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419" w:rsidRDefault="00EE1CF7">
      <w:pPr>
        <w:pStyle w:val="105051"/>
        <w:rPr>
          <w:rFonts w:ascii="Times New Roman" w:cs="Times New Roman"/>
          <w:color w:val="auto"/>
        </w:rPr>
      </w:pPr>
      <w:bookmarkStart w:id="0" w:name="_Toc6386"/>
      <w:bookmarkStart w:id="1" w:name="_Toc18266"/>
      <w:bookmarkStart w:id="2" w:name="_Toc20430"/>
      <w:bookmarkStart w:id="3" w:name="_Toc17604"/>
      <w:bookmarkStart w:id="4" w:name="_Toc19417"/>
      <w:r>
        <w:rPr>
          <w:rFonts w:ascii="Times New Roman" w:cs="Times New Roman"/>
          <w:color w:val="auto"/>
        </w:rPr>
        <w:t>目录</w:t>
      </w:r>
      <w:bookmarkEnd w:id="0"/>
      <w:bookmarkEnd w:id="1"/>
      <w:bookmarkEnd w:id="2"/>
      <w:bookmarkEnd w:id="3"/>
      <w:bookmarkEnd w:id="4"/>
    </w:p>
    <w:p w:rsidR="00525419" w:rsidRDefault="00EE1CF7">
      <w:pPr>
        <w:pStyle w:val="1c"/>
        <w:tabs>
          <w:tab w:val="right" w:leader="dot" w:pos="8306"/>
        </w:tabs>
        <w:spacing w:line="360" w:lineRule="auto"/>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TOC \o "1-2" \h \u </w:instrText>
      </w:r>
      <w:r>
        <w:rPr>
          <w:rFonts w:ascii="Times New Roman" w:hAnsi="Times New Roman"/>
          <w:sz w:val="24"/>
          <w:szCs w:val="24"/>
        </w:rPr>
        <w:fldChar w:fldCharType="separate"/>
      </w:r>
      <w:hyperlink w:anchor="_Toc31626" w:history="1">
        <w:r>
          <w:rPr>
            <w:rFonts w:ascii="Times New Roman" w:eastAsia="楷体_GB2312" w:hAnsi="Times New Roman"/>
            <w:sz w:val="24"/>
            <w:szCs w:val="24"/>
          </w:rPr>
          <w:t xml:space="preserve">1 </w:t>
        </w:r>
        <w:r>
          <w:rPr>
            <w:rFonts w:ascii="Times New Roman" w:eastAsia="楷体_GB2312" w:hAnsi="Times New Roman"/>
            <w:sz w:val="24"/>
            <w:szCs w:val="24"/>
          </w:rPr>
          <w:t>概述</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_Toc31626 </w:instrText>
        </w:r>
        <w:r>
          <w:rPr>
            <w:rFonts w:ascii="Times New Roman" w:hAnsi="Times New Roman"/>
            <w:sz w:val="24"/>
            <w:szCs w:val="24"/>
          </w:rPr>
          <w:fldChar w:fldCharType="separate"/>
        </w:r>
        <w:r>
          <w:rPr>
            <w:rFonts w:ascii="Times New Roman" w:hAnsi="Times New Roman"/>
            <w:sz w:val="24"/>
            <w:szCs w:val="24"/>
          </w:rPr>
          <w:t>5</w:t>
        </w:r>
        <w:r>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18267" w:history="1">
        <w:r w:rsidR="00EE1CF7">
          <w:rPr>
            <w:rFonts w:ascii="Times New Roman" w:eastAsia="楷体_GB2312" w:hAnsi="Times New Roman"/>
            <w:sz w:val="24"/>
            <w:szCs w:val="24"/>
          </w:rPr>
          <w:t>1.1</w:t>
        </w:r>
        <w:r w:rsidR="00EE1CF7">
          <w:rPr>
            <w:rFonts w:ascii="Times New Roman" w:eastAsia="楷体_GB2312" w:hAnsi="Times New Roman"/>
            <w:sz w:val="24"/>
            <w:szCs w:val="24"/>
          </w:rPr>
          <w:t>建设项目背景及特点</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_Toc18267 </w:instrText>
        </w:r>
        <w:r w:rsidR="00EE1CF7">
          <w:rPr>
            <w:rFonts w:ascii="Times New Roman" w:hAnsi="Times New Roman"/>
            <w:sz w:val="24"/>
            <w:szCs w:val="24"/>
          </w:rPr>
          <w:fldChar w:fldCharType="separate"/>
        </w:r>
        <w:r w:rsidR="00EE1CF7">
          <w:rPr>
            <w:rFonts w:ascii="Times New Roman" w:hAnsi="Times New Roman"/>
            <w:sz w:val="24"/>
            <w:szCs w:val="24"/>
          </w:rPr>
          <w:t>5</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7341" w:history="1">
        <w:r w:rsidR="00EE1CF7">
          <w:rPr>
            <w:rFonts w:ascii="Times New Roman" w:eastAsia="楷体_GB2312" w:hAnsi="Times New Roman"/>
            <w:sz w:val="24"/>
            <w:szCs w:val="24"/>
          </w:rPr>
          <w:t>1.2</w:t>
        </w:r>
        <w:r w:rsidR="00EE1CF7">
          <w:rPr>
            <w:rFonts w:ascii="Times New Roman" w:eastAsia="楷体_GB2312" w:hAnsi="Times New Roman"/>
            <w:sz w:val="24"/>
            <w:szCs w:val="24"/>
          </w:rPr>
          <w:t>环境影响评价的工作过程</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_Toc7341 </w:instrText>
        </w:r>
        <w:r w:rsidR="00EE1CF7">
          <w:rPr>
            <w:rFonts w:ascii="Times New Roman" w:hAnsi="Times New Roman"/>
            <w:sz w:val="24"/>
            <w:szCs w:val="24"/>
          </w:rPr>
          <w:fldChar w:fldCharType="separate"/>
        </w:r>
        <w:r w:rsidR="00EE1CF7">
          <w:rPr>
            <w:rFonts w:ascii="Times New Roman" w:hAnsi="Times New Roman"/>
            <w:sz w:val="24"/>
            <w:szCs w:val="24"/>
          </w:rPr>
          <w:t>5</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22040" w:history="1">
        <w:r w:rsidR="00EE1CF7">
          <w:rPr>
            <w:rFonts w:ascii="Times New Roman" w:eastAsia="楷体_GB2312" w:hAnsi="Times New Roman"/>
            <w:sz w:val="24"/>
            <w:szCs w:val="24"/>
          </w:rPr>
          <w:t>1.3</w:t>
        </w:r>
        <w:r w:rsidR="00EE1CF7">
          <w:rPr>
            <w:rFonts w:ascii="Times New Roman" w:eastAsia="楷体_GB2312" w:hAnsi="Times New Roman"/>
            <w:sz w:val="24"/>
            <w:szCs w:val="24"/>
          </w:rPr>
          <w:t>分析判定相关情况</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_Toc22040 </w:instrText>
        </w:r>
        <w:r w:rsidR="00EE1CF7">
          <w:rPr>
            <w:rFonts w:ascii="Times New Roman" w:hAnsi="Times New Roman"/>
            <w:sz w:val="24"/>
            <w:szCs w:val="24"/>
          </w:rPr>
          <w:fldChar w:fldCharType="separate"/>
        </w:r>
        <w:r w:rsidR="00EE1CF7">
          <w:rPr>
            <w:rFonts w:ascii="Times New Roman" w:hAnsi="Times New Roman"/>
            <w:sz w:val="24"/>
            <w:szCs w:val="24"/>
          </w:rPr>
          <w:t>6</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4771" w:history="1">
        <w:r w:rsidR="00EE1CF7">
          <w:rPr>
            <w:rFonts w:ascii="Times New Roman" w:eastAsia="楷体_GB2312" w:hAnsi="Times New Roman"/>
            <w:sz w:val="24"/>
            <w:szCs w:val="24"/>
          </w:rPr>
          <w:t>1.4</w:t>
        </w:r>
        <w:r w:rsidR="00EE1CF7">
          <w:rPr>
            <w:rFonts w:ascii="Times New Roman" w:eastAsia="楷体_GB2312" w:hAnsi="Times New Roman"/>
            <w:sz w:val="24"/>
            <w:szCs w:val="24"/>
          </w:rPr>
          <w:t>关注的主要环境问题及环境影响</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_Toc4771 </w:instrText>
        </w:r>
        <w:r w:rsidR="00EE1CF7">
          <w:rPr>
            <w:rFonts w:ascii="Times New Roman" w:hAnsi="Times New Roman"/>
            <w:sz w:val="24"/>
            <w:szCs w:val="24"/>
          </w:rPr>
          <w:fldChar w:fldCharType="separate"/>
        </w:r>
        <w:r w:rsidR="00EE1CF7">
          <w:rPr>
            <w:rFonts w:ascii="Times New Roman" w:hAnsi="Times New Roman"/>
            <w:sz w:val="24"/>
            <w:szCs w:val="24"/>
          </w:rPr>
          <w:t>9</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9159" w:history="1">
        <w:r w:rsidR="00EE1CF7">
          <w:rPr>
            <w:rFonts w:ascii="Times New Roman" w:eastAsia="楷体_GB2312" w:hAnsi="Times New Roman"/>
            <w:sz w:val="24"/>
            <w:szCs w:val="24"/>
          </w:rPr>
          <w:t>1.5</w:t>
        </w:r>
        <w:r w:rsidR="00EE1CF7">
          <w:rPr>
            <w:rFonts w:ascii="Times New Roman" w:eastAsia="楷体_GB2312" w:hAnsi="Times New Roman"/>
            <w:sz w:val="24"/>
            <w:szCs w:val="24"/>
          </w:rPr>
          <w:t>环境影响评价的主要结论</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_Toc9159 </w:instrText>
        </w:r>
        <w:r w:rsidR="00EE1CF7">
          <w:rPr>
            <w:rFonts w:ascii="Times New Roman" w:hAnsi="Times New Roman"/>
            <w:sz w:val="24"/>
            <w:szCs w:val="24"/>
          </w:rPr>
          <w:fldChar w:fldCharType="separate"/>
        </w:r>
        <w:r w:rsidR="00EE1CF7">
          <w:rPr>
            <w:rFonts w:ascii="Times New Roman" w:hAnsi="Times New Roman"/>
            <w:sz w:val="24"/>
            <w:szCs w:val="24"/>
          </w:rPr>
          <w:t>9</w:t>
        </w:r>
        <w:r w:rsidR="00EE1CF7">
          <w:rPr>
            <w:rFonts w:ascii="Times New Roman" w:hAnsi="Times New Roman"/>
            <w:sz w:val="24"/>
            <w:szCs w:val="24"/>
          </w:rPr>
          <w:fldChar w:fldCharType="end"/>
        </w:r>
      </w:hyperlink>
    </w:p>
    <w:p w:rsidR="00525419" w:rsidRDefault="007D0E8A">
      <w:pPr>
        <w:pStyle w:val="1c"/>
        <w:tabs>
          <w:tab w:val="right" w:leader="dot" w:pos="8306"/>
        </w:tabs>
        <w:spacing w:line="360" w:lineRule="auto"/>
        <w:rPr>
          <w:rFonts w:ascii="Times New Roman" w:hAnsi="Times New Roman"/>
          <w:sz w:val="24"/>
          <w:szCs w:val="24"/>
        </w:rPr>
      </w:pPr>
      <w:hyperlink w:anchor="_Toc22654" w:history="1">
        <w:r w:rsidR="00EE1CF7">
          <w:rPr>
            <w:rFonts w:ascii="Times New Roman" w:eastAsia="楷体_GB2312" w:hAnsi="Times New Roman"/>
            <w:sz w:val="24"/>
            <w:szCs w:val="24"/>
          </w:rPr>
          <w:t>2</w:t>
        </w:r>
        <w:r w:rsidR="00EE1CF7">
          <w:rPr>
            <w:rFonts w:ascii="Times New Roman" w:eastAsia="楷体_GB2312" w:hAnsi="Times New Roman"/>
            <w:sz w:val="24"/>
            <w:szCs w:val="24"/>
          </w:rPr>
          <w:t>总则</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_Toc22654 </w:instrText>
        </w:r>
        <w:r w:rsidR="00EE1CF7">
          <w:rPr>
            <w:rFonts w:ascii="Times New Roman" w:hAnsi="Times New Roman"/>
            <w:sz w:val="24"/>
            <w:szCs w:val="24"/>
          </w:rPr>
          <w:fldChar w:fldCharType="separate"/>
        </w:r>
        <w:r w:rsidR="00EE1CF7">
          <w:rPr>
            <w:rFonts w:ascii="Times New Roman" w:hAnsi="Times New Roman"/>
            <w:sz w:val="24"/>
            <w:szCs w:val="24"/>
          </w:rPr>
          <w:t>11</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3232" w:history="1">
        <w:r w:rsidR="00EE1CF7">
          <w:rPr>
            <w:rFonts w:ascii="Times New Roman" w:eastAsia="楷体_GB2312" w:hAnsi="Times New Roman"/>
            <w:sz w:val="24"/>
            <w:szCs w:val="24"/>
          </w:rPr>
          <w:t>2.1</w:t>
        </w:r>
        <w:r w:rsidR="00EE1CF7">
          <w:rPr>
            <w:rFonts w:ascii="Times New Roman" w:eastAsia="楷体_GB2312" w:hAnsi="Times New Roman"/>
            <w:sz w:val="24"/>
            <w:szCs w:val="24"/>
          </w:rPr>
          <w:t>编制依据</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_Toc3232 </w:instrText>
        </w:r>
        <w:r w:rsidR="00EE1CF7">
          <w:rPr>
            <w:rFonts w:ascii="Times New Roman" w:hAnsi="Times New Roman"/>
            <w:sz w:val="24"/>
            <w:szCs w:val="24"/>
          </w:rPr>
          <w:fldChar w:fldCharType="separate"/>
        </w:r>
        <w:r w:rsidR="00EE1CF7">
          <w:rPr>
            <w:rFonts w:ascii="Times New Roman" w:hAnsi="Times New Roman"/>
            <w:sz w:val="24"/>
            <w:szCs w:val="24"/>
          </w:rPr>
          <w:t>11</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6485" w:history="1">
        <w:r w:rsidR="00EE1CF7">
          <w:rPr>
            <w:rFonts w:ascii="Times New Roman" w:eastAsia="楷体_GB2312" w:hAnsi="Times New Roman"/>
            <w:sz w:val="24"/>
            <w:szCs w:val="24"/>
          </w:rPr>
          <w:t>2.2</w:t>
        </w:r>
        <w:r w:rsidR="00EE1CF7">
          <w:rPr>
            <w:rFonts w:ascii="Times New Roman" w:eastAsia="楷体_GB2312" w:hAnsi="Times New Roman"/>
            <w:sz w:val="24"/>
            <w:szCs w:val="24"/>
          </w:rPr>
          <w:t>评价因子与评价标准</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_Toc6485 </w:instrText>
        </w:r>
        <w:r w:rsidR="00EE1CF7">
          <w:rPr>
            <w:rFonts w:ascii="Times New Roman" w:hAnsi="Times New Roman"/>
            <w:sz w:val="24"/>
            <w:szCs w:val="24"/>
          </w:rPr>
          <w:fldChar w:fldCharType="separate"/>
        </w:r>
        <w:r w:rsidR="00EE1CF7">
          <w:rPr>
            <w:rFonts w:ascii="Times New Roman" w:hAnsi="Times New Roman"/>
            <w:sz w:val="24"/>
            <w:szCs w:val="24"/>
          </w:rPr>
          <w:t>14</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22553" w:history="1">
        <w:r w:rsidR="00EE1CF7">
          <w:rPr>
            <w:rFonts w:ascii="Times New Roman" w:eastAsia="楷体_GB2312" w:hAnsi="Times New Roman"/>
            <w:sz w:val="24"/>
            <w:szCs w:val="24"/>
          </w:rPr>
          <w:t xml:space="preserve">2.3 </w:t>
        </w:r>
        <w:r w:rsidR="00EE1CF7">
          <w:rPr>
            <w:rFonts w:ascii="Times New Roman" w:eastAsia="楷体_GB2312" w:hAnsi="Times New Roman"/>
            <w:sz w:val="24"/>
            <w:szCs w:val="24"/>
          </w:rPr>
          <w:t>评价工作等级和评价重点</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_Toc22553 </w:instrText>
        </w:r>
        <w:r w:rsidR="00EE1CF7">
          <w:rPr>
            <w:rFonts w:ascii="Times New Roman" w:hAnsi="Times New Roman"/>
            <w:sz w:val="24"/>
            <w:szCs w:val="24"/>
          </w:rPr>
          <w:fldChar w:fldCharType="separate"/>
        </w:r>
        <w:r w:rsidR="00EE1CF7">
          <w:rPr>
            <w:rFonts w:ascii="Times New Roman" w:hAnsi="Times New Roman"/>
            <w:sz w:val="24"/>
            <w:szCs w:val="24"/>
          </w:rPr>
          <w:t>22</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3224" w:history="1">
        <w:r w:rsidR="00EE1CF7">
          <w:rPr>
            <w:rFonts w:ascii="Times New Roman" w:eastAsia="楷体_GB2312" w:hAnsi="Times New Roman"/>
            <w:sz w:val="24"/>
            <w:szCs w:val="24"/>
          </w:rPr>
          <w:t xml:space="preserve">2.4 </w:t>
        </w:r>
        <w:r w:rsidR="00EE1CF7">
          <w:rPr>
            <w:rFonts w:ascii="Times New Roman" w:eastAsia="楷体_GB2312" w:hAnsi="Times New Roman"/>
            <w:sz w:val="24"/>
            <w:szCs w:val="24"/>
          </w:rPr>
          <w:t>评价范围及环境保护目标</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_Toc3224 </w:instrText>
        </w:r>
        <w:r w:rsidR="00EE1CF7">
          <w:rPr>
            <w:rFonts w:ascii="Times New Roman" w:hAnsi="Times New Roman"/>
            <w:sz w:val="24"/>
            <w:szCs w:val="24"/>
          </w:rPr>
          <w:fldChar w:fldCharType="separate"/>
        </w:r>
        <w:r w:rsidR="00EE1CF7">
          <w:rPr>
            <w:rFonts w:ascii="Times New Roman" w:hAnsi="Times New Roman"/>
            <w:sz w:val="24"/>
            <w:szCs w:val="24"/>
          </w:rPr>
          <w:t>27</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32357" w:history="1">
        <w:r w:rsidR="00EE1CF7">
          <w:rPr>
            <w:rFonts w:ascii="Times New Roman" w:eastAsia="楷体_GB2312" w:hAnsi="Times New Roman"/>
            <w:sz w:val="24"/>
            <w:szCs w:val="24"/>
          </w:rPr>
          <w:t>2.5</w:t>
        </w:r>
        <w:r w:rsidR="00EE1CF7">
          <w:rPr>
            <w:rFonts w:ascii="Times New Roman" w:eastAsia="楷体_GB2312" w:hAnsi="Times New Roman"/>
            <w:sz w:val="24"/>
            <w:szCs w:val="24"/>
          </w:rPr>
          <w:t>相关规划及环境功能区划</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_Toc32357 </w:instrText>
        </w:r>
        <w:r w:rsidR="00EE1CF7">
          <w:rPr>
            <w:rFonts w:ascii="Times New Roman" w:hAnsi="Times New Roman"/>
            <w:sz w:val="24"/>
            <w:szCs w:val="24"/>
          </w:rPr>
          <w:fldChar w:fldCharType="separate"/>
        </w:r>
        <w:r w:rsidR="00EE1CF7">
          <w:rPr>
            <w:rFonts w:ascii="Times New Roman" w:hAnsi="Times New Roman"/>
            <w:sz w:val="24"/>
            <w:szCs w:val="24"/>
          </w:rPr>
          <w:t>29</w:t>
        </w:r>
        <w:r w:rsidR="00EE1CF7">
          <w:rPr>
            <w:rFonts w:ascii="Times New Roman" w:hAnsi="Times New Roman"/>
            <w:sz w:val="24"/>
            <w:szCs w:val="24"/>
          </w:rPr>
          <w:fldChar w:fldCharType="end"/>
        </w:r>
      </w:hyperlink>
    </w:p>
    <w:p w:rsidR="00525419" w:rsidRDefault="007D0E8A">
      <w:pPr>
        <w:pStyle w:val="1c"/>
        <w:tabs>
          <w:tab w:val="right" w:leader="dot" w:pos="8306"/>
        </w:tabs>
        <w:spacing w:line="360" w:lineRule="auto"/>
        <w:rPr>
          <w:rFonts w:ascii="Times New Roman" w:hAnsi="Times New Roman"/>
          <w:sz w:val="24"/>
          <w:szCs w:val="24"/>
        </w:rPr>
      </w:pPr>
      <w:hyperlink w:anchor="_Toc5648" w:history="1">
        <w:r w:rsidR="00EE1CF7">
          <w:rPr>
            <w:rFonts w:ascii="Times New Roman" w:eastAsia="楷体_GB2312" w:hAnsi="Times New Roman"/>
            <w:sz w:val="24"/>
            <w:szCs w:val="24"/>
          </w:rPr>
          <w:t>3</w:t>
        </w:r>
        <w:r w:rsidR="00EE1CF7">
          <w:rPr>
            <w:rFonts w:ascii="Times New Roman" w:eastAsia="楷体_GB2312" w:hAnsi="Times New Roman"/>
            <w:sz w:val="24"/>
            <w:szCs w:val="24"/>
          </w:rPr>
          <w:t xml:space="preserve">　建设项目工程分析</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_Toc5648 </w:instrText>
        </w:r>
        <w:r w:rsidR="00EE1CF7">
          <w:rPr>
            <w:rFonts w:ascii="Times New Roman" w:hAnsi="Times New Roman"/>
            <w:sz w:val="24"/>
            <w:szCs w:val="24"/>
          </w:rPr>
          <w:fldChar w:fldCharType="separate"/>
        </w:r>
        <w:r w:rsidR="00EE1CF7">
          <w:rPr>
            <w:rFonts w:ascii="Times New Roman" w:hAnsi="Times New Roman"/>
            <w:sz w:val="24"/>
            <w:szCs w:val="24"/>
          </w:rPr>
          <w:t>33</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30474" w:history="1">
        <w:r w:rsidR="00EE1CF7">
          <w:rPr>
            <w:rFonts w:ascii="Times New Roman" w:eastAsia="楷体_GB2312" w:hAnsi="Times New Roman"/>
            <w:sz w:val="24"/>
            <w:szCs w:val="24"/>
          </w:rPr>
          <w:t>3.1</w:t>
        </w:r>
        <w:r w:rsidR="00EE1CF7">
          <w:rPr>
            <w:rFonts w:ascii="Times New Roman" w:eastAsia="楷体_GB2312" w:hAnsi="Times New Roman"/>
            <w:sz w:val="24"/>
            <w:szCs w:val="24"/>
          </w:rPr>
          <w:t>变更后（本项目）基本概况</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_Toc30474 </w:instrText>
        </w:r>
        <w:r w:rsidR="00EE1CF7">
          <w:rPr>
            <w:rFonts w:ascii="Times New Roman" w:hAnsi="Times New Roman"/>
            <w:sz w:val="24"/>
            <w:szCs w:val="24"/>
          </w:rPr>
          <w:fldChar w:fldCharType="separate"/>
        </w:r>
        <w:r w:rsidR="00EE1CF7">
          <w:rPr>
            <w:rFonts w:ascii="Times New Roman" w:hAnsi="Times New Roman"/>
            <w:sz w:val="24"/>
            <w:szCs w:val="24"/>
          </w:rPr>
          <w:t>33</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20126" w:history="1">
        <w:r w:rsidR="00EE1CF7">
          <w:rPr>
            <w:rFonts w:ascii="Times New Roman" w:eastAsia="楷体_GB2312" w:hAnsi="Times New Roman"/>
            <w:sz w:val="24"/>
            <w:szCs w:val="24"/>
          </w:rPr>
          <w:t>3.2</w:t>
        </w:r>
        <w:r w:rsidR="00EE1CF7">
          <w:rPr>
            <w:rFonts w:ascii="Times New Roman" w:eastAsia="楷体_GB2312" w:hAnsi="Times New Roman"/>
            <w:sz w:val="24"/>
            <w:szCs w:val="24"/>
          </w:rPr>
          <w:t>现有工程概况</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_Toc20126 </w:instrText>
        </w:r>
        <w:r w:rsidR="00EE1CF7">
          <w:rPr>
            <w:rFonts w:ascii="Times New Roman" w:hAnsi="Times New Roman"/>
            <w:sz w:val="24"/>
            <w:szCs w:val="24"/>
          </w:rPr>
          <w:fldChar w:fldCharType="separate"/>
        </w:r>
        <w:r w:rsidR="00EE1CF7">
          <w:rPr>
            <w:rFonts w:ascii="Times New Roman" w:hAnsi="Times New Roman"/>
            <w:sz w:val="24"/>
            <w:szCs w:val="24"/>
          </w:rPr>
          <w:t>33</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16650" w:history="1">
        <w:r w:rsidR="00EE1CF7">
          <w:rPr>
            <w:rFonts w:ascii="Times New Roman" w:eastAsia="楷体_GB2312" w:hAnsi="Times New Roman"/>
            <w:sz w:val="24"/>
            <w:szCs w:val="24"/>
          </w:rPr>
          <w:t>3.3</w:t>
        </w:r>
        <w:r w:rsidR="00EE1CF7">
          <w:rPr>
            <w:rFonts w:ascii="Times New Roman" w:eastAsia="楷体_GB2312" w:hAnsi="Times New Roman"/>
            <w:sz w:val="24"/>
            <w:szCs w:val="24"/>
          </w:rPr>
          <w:t>变更后建设内容</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_Toc16650 </w:instrText>
        </w:r>
        <w:r w:rsidR="00EE1CF7">
          <w:rPr>
            <w:rFonts w:ascii="Times New Roman" w:hAnsi="Times New Roman"/>
            <w:sz w:val="24"/>
            <w:szCs w:val="24"/>
          </w:rPr>
          <w:fldChar w:fldCharType="separate"/>
        </w:r>
        <w:r w:rsidR="00EE1CF7">
          <w:rPr>
            <w:rFonts w:ascii="Times New Roman" w:hAnsi="Times New Roman"/>
            <w:sz w:val="24"/>
            <w:szCs w:val="24"/>
          </w:rPr>
          <w:t>55</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1085" w:history="1">
        <w:r w:rsidR="00EE1CF7">
          <w:rPr>
            <w:rFonts w:ascii="Times New Roman" w:eastAsia="楷体_GB2312" w:hAnsi="Times New Roman"/>
            <w:sz w:val="24"/>
            <w:szCs w:val="24"/>
          </w:rPr>
          <w:t>3.4</w:t>
        </w:r>
        <w:r w:rsidR="00EE1CF7">
          <w:rPr>
            <w:rFonts w:ascii="Times New Roman" w:eastAsia="楷体_GB2312" w:hAnsi="Times New Roman"/>
            <w:sz w:val="24"/>
            <w:szCs w:val="24"/>
          </w:rPr>
          <w:t>变更前后对比</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_Toc1085 </w:instrText>
        </w:r>
        <w:r w:rsidR="00EE1CF7">
          <w:rPr>
            <w:rFonts w:ascii="Times New Roman" w:hAnsi="Times New Roman"/>
            <w:sz w:val="24"/>
            <w:szCs w:val="24"/>
          </w:rPr>
          <w:fldChar w:fldCharType="separate"/>
        </w:r>
        <w:r w:rsidR="00EE1CF7">
          <w:rPr>
            <w:rFonts w:ascii="Times New Roman" w:hAnsi="Times New Roman"/>
            <w:sz w:val="24"/>
            <w:szCs w:val="24"/>
          </w:rPr>
          <w:t>72</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6515" w:history="1">
        <w:r w:rsidR="00EE1CF7">
          <w:rPr>
            <w:rFonts w:ascii="Times New Roman" w:eastAsia="楷体_GB2312" w:hAnsi="Times New Roman"/>
            <w:sz w:val="24"/>
            <w:szCs w:val="24"/>
          </w:rPr>
          <w:t>3.5</w:t>
        </w:r>
        <w:r w:rsidR="00EE1CF7">
          <w:rPr>
            <w:rFonts w:ascii="Times New Roman" w:eastAsia="楷体_GB2312" w:hAnsi="Times New Roman"/>
            <w:sz w:val="24"/>
            <w:szCs w:val="24"/>
          </w:rPr>
          <w:t>变更后本项目生产工艺</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_Toc6515 </w:instrText>
        </w:r>
        <w:r w:rsidR="00EE1CF7">
          <w:rPr>
            <w:rFonts w:ascii="Times New Roman" w:hAnsi="Times New Roman"/>
            <w:sz w:val="24"/>
            <w:szCs w:val="24"/>
          </w:rPr>
          <w:fldChar w:fldCharType="separate"/>
        </w:r>
        <w:r w:rsidR="00EE1CF7">
          <w:rPr>
            <w:rFonts w:ascii="Times New Roman" w:hAnsi="Times New Roman"/>
            <w:sz w:val="24"/>
            <w:szCs w:val="24"/>
          </w:rPr>
          <w:t>90</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29396" w:history="1">
        <w:r w:rsidR="00EE1CF7">
          <w:rPr>
            <w:rFonts w:ascii="Times New Roman" w:eastAsia="楷体_GB2312" w:hAnsi="Times New Roman"/>
            <w:sz w:val="24"/>
            <w:szCs w:val="24"/>
          </w:rPr>
          <w:t>3.6</w:t>
        </w:r>
        <w:r w:rsidR="00EE1CF7">
          <w:rPr>
            <w:rFonts w:ascii="Times New Roman" w:eastAsia="楷体_GB2312" w:hAnsi="Times New Roman"/>
            <w:sz w:val="24"/>
            <w:szCs w:val="24"/>
          </w:rPr>
          <w:t>变更后影响因素分析</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_Toc29396 </w:instrText>
        </w:r>
        <w:r w:rsidR="00EE1CF7">
          <w:rPr>
            <w:rFonts w:ascii="Times New Roman" w:hAnsi="Times New Roman"/>
            <w:sz w:val="24"/>
            <w:szCs w:val="24"/>
          </w:rPr>
          <w:fldChar w:fldCharType="separate"/>
        </w:r>
        <w:r w:rsidR="00EE1CF7">
          <w:rPr>
            <w:rFonts w:ascii="Times New Roman" w:hAnsi="Times New Roman"/>
            <w:sz w:val="24"/>
            <w:szCs w:val="24"/>
          </w:rPr>
          <w:t>112</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15187" w:history="1">
        <w:r w:rsidR="00EE1CF7">
          <w:rPr>
            <w:rFonts w:ascii="Times New Roman" w:eastAsia="楷体_GB2312" w:hAnsi="Times New Roman"/>
            <w:sz w:val="24"/>
            <w:szCs w:val="24"/>
          </w:rPr>
          <w:t>3.7</w:t>
        </w:r>
        <w:r w:rsidR="00EE1CF7">
          <w:rPr>
            <w:rFonts w:ascii="Times New Roman" w:eastAsia="楷体_GB2312" w:hAnsi="Times New Roman"/>
            <w:sz w:val="24"/>
            <w:szCs w:val="24"/>
          </w:rPr>
          <w:t>变更后污染源源强核</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_Toc15187 </w:instrText>
        </w:r>
        <w:r w:rsidR="00EE1CF7">
          <w:rPr>
            <w:rFonts w:ascii="Times New Roman" w:hAnsi="Times New Roman"/>
            <w:sz w:val="24"/>
            <w:szCs w:val="24"/>
          </w:rPr>
          <w:fldChar w:fldCharType="separate"/>
        </w:r>
        <w:r w:rsidR="00EE1CF7">
          <w:rPr>
            <w:rFonts w:ascii="Times New Roman" w:hAnsi="Times New Roman"/>
            <w:sz w:val="24"/>
            <w:szCs w:val="24"/>
          </w:rPr>
          <w:t>115</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17628" w:history="1">
        <w:r w:rsidR="00EE1CF7">
          <w:rPr>
            <w:rFonts w:ascii="Times New Roman" w:eastAsia="楷体_GB2312" w:hAnsi="Times New Roman"/>
            <w:sz w:val="24"/>
            <w:szCs w:val="24"/>
          </w:rPr>
          <w:t>3.8</w:t>
        </w:r>
        <w:r w:rsidR="00EE1CF7">
          <w:rPr>
            <w:rFonts w:ascii="Times New Roman" w:eastAsia="楷体_GB2312" w:hAnsi="Times New Roman"/>
            <w:sz w:val="24"/>
            <w:szCs w:val="24"/>
          </w:rPr>
          <w:t>清洁生产分析</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_Toc17628 </w:instrText>
        </w:r>
        <w:r w:rsidR="00EE1CF7">
          <w:rPr>
            <w:rFonts w:ascii="Times New Roman" w:hAnsi="Times New Roman"/>
            <w:sz w:val="24"/>
            <w:szCs w:val="24"/>
          </w:rPr>
          <w:fldChar w:fldCharType="separate"/>
        </w:r>
        <w:r w:rsidR="00EE1CF7">
          <w:rPr>
            <w:rFonts w:ascii="Times New Roman" w:hAnsi="Times New Roman"/>
            <w:sz w:val="24"/>
            <w:szCs w:val="24"/>
          </w:rPr>
          <w:t>128</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7266" w:history="1">
        <w:r w:rsidR="00EE1CF7">
          <w:rPr>
            <w:rFonts w:ascii="Times New Roman" w:eastAsia="楷体_GB2312" w:hAnsi="Times New Roman"/>
            <w:sz w:val="24"/>
            <w:szCs w:val="24"/>
          </w:rPr>
          <w:t>3.9</w:t>
        </w:r>
        <w:r w:rsidR="00EE1CF7">
          <w:rPr>
            <w:rFonts w:ascii="Times New Roman" w:eastAsia="楷体_GB2312" w:hAnsi="Times New Roman"/>
            <w:sz w:val="24"/>
            <w:szCs w:val="24"/>
          </w:rPr>
          <w:t>总量控制</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_Toc7266 </w:instrText>
        </w:r>
        <w:r w:rsidR="00EE1CF7">
          <w:rPr>
            <w:rFonts w:ascii="Times New Roman" w:hAnsi="Times New Roman"/>
            <w:sz w:val="24"/>
            <w:szCs w:val="24"/>
          </w:rPr>
          <w:fldChar w:fldCharType="separate"/>
        </w:r>
        <w:r w:rsidR="00EE1CF7">
          <w:rPr>
            <w:rFonts w:ascii="Times New Roman" w:hAnsi="Times New Roman"/>
            <w:sz w:val="24"/>
            <w:szCs w:val="24"/>
          </w:rPr>
          <w:t>135</w:t>
        </w:r>
        <w:r w:rsidR="00EE1CF7">
          <w:rPr>
            <w:rFonts w:ascii="Times New Roman" w:hAnsi="Times New Roman"/>
            <w:sz w:val="24"/>
            <w:szCs w:val="24"/>
          </w:rPr>
          <w:fldChar w:fldCharType="end"/>
        </w:r>
      </w:hyperlink>
    </w:p>
    <w:p w:rsidR="00525419" w:rsidRDefault="007D0E8A">
      <w:pPr>
        <w:pStyle w:val="1c"/>
        <w:tabs>
          <w:tab w:val="right" w:leader="dot" w:pos="8306"/>
        </w:tabs>
        <w:spacing w:line="360" w:lineRule="auto"/>
        <w:rPr>
          <w:rFonts w:ascii="Times New Roman" w:hAnsi="Times New Roman"/>
          <w:sz w:val="24"/>
          <w:szCs w:val="24"/>
        </w:rPr>
      </w:pPr>
      <w:hyperlink w:anchor="_Toc8673" w:history="1">
        <w:r w:rsidR="00EE1CF7">
          <w:rPr>
            <w:rFonts w:ascii="Times New Roman" w:eastAsia="楷体_GB2312" w:hAnsi="Times New Roman"/>
            <w:sz w:val="24"/>
            <w:szCs w:val="24"/>
          </w:rPr>
          <w:t>4</w:t>
        </w:r>
        <w:r w:rsidR="00EE1CF7">
          <w:rPr>
            <w:rFonts w:ascii="Times New Roman" w:eastAsia="楷体_GB2312" w:hAnsi="Times New Roman"/>
            <w:sz w:val="24"/>
            <w:szCs w:val="24"/>
          </w:rPr>
          <w:t>环境现状调查与评价</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_Toc8673 </w:instrText>
        </w:r>
        <w:r w:rsidR="00EE1CF7">
          <w:rPr>
            <w:rFonts w:ascii="Times New Roman" w:hAnsi="Times New Roman"/>
            <w:sz w:val="24"/>
            <w:szCs w:val="24"/>
          </w:rPr>
          <w:fldChar w:fldCharType="separate"/>
        </w:r>
        <w:r w:rsidR="00EE1CF7">
          <w:rPr>
            <w:rFonts w:ascii="Times New Roman" w:hAnsi="Times New Roman"/>
            <w:sz w:val="24"/>
            <w:szCs w:val="24"/>
          </w:rPr>
          <w:t>137</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29661" w:history="1">
        <w:r w:rsidR="00EE1CF7">
          <w:rPr>
            <w:rFonts w:ascii="Times New Roman" w:eastAsia="楷体_GB2312" w:hAnsi="Times New Roman"/>
            <w:sz w:val="24"/>
            <w:szCs w:val="24"/>
          </w:rPr>
          <w:t xml:space="preserve">4.1 </w:t>
        </w:r>
        <w:r w:rsidR="00EE1CF7">
          <w:rPr>
            <w:rFonts w:ascii="Times New Roman" w:eastAsia="楷体_GB2312" w:hAnsi="Times New Roman"/>
            <w:sz w:val="24"/>
            <w:szCs w:val="24"/>
          </w:rPr>
          <w:t>自然环境现状调查</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_Toc29661 </w:instrText>
        </w:r>
        <w:r w:rsidR="00EE1CF7">
          <w:rPr>
            <w:rFonts w:ascii="Times New Roman" w:hAnsi="Times New Roman"/>
            <w:sz w:val="24"/>
            <w:szCs w:val="24"/>
          </w:rPr>
          <w:fldChar w:fldCharType="separate"/>
        </w:r>
        <w:r w:rsidR="00EE1CF7">
          <w:rPr>
            <w:rFonts w:ascii="Times New Roman" w:hAnsi="Times New Roman"/>
            <w:sz w:val="24"/>
            <w:szCs w:val="24"/>
          </w:rPr>
          <w:t>137</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619" w:history="1">
        <w:r w:rsidR="00EE1CF7">
          <w:rPr>
            <w:rFonts w:ascii="Times New Roman" w:eastAsia="楷体_GB2312" w:hAnsi="Times New Roman"/>
            <w:sz w:val="24"/>
            <w:szCs w:val="24"/>
          </w:rPr>
          <w:t>4.2</w:t>
        </w:r>
        <w:r w:rsidR="00EE1CF7">
          <w:rPr>
            <w:rFonts w:ascii="Times New Roman" w:eastAsia="楷体_GB2312" w:hAnsi="Times New Roman"/>
            <w:sz w:val="24"/>
            <w:szCs w:val="24"/>
          </w:rPr>
          <w:t>鄯善高新技术产业开发区（鄯善工业园区）概况</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_Toc619 </w:instrText>
        </w:r>
        <w:r w:rsidR="00EE1CF7">
          <w:rPr>
            <w:rFonts w:ascii="Times New Roman" w:hAnsi="Times New Roman"/>
            <w:sz w:val="24"/>
            <w:szCs w:val="24"/>
          </w:rPr>
          <w:fldChar w:fldCharType="separate"/>
        </w:r>
        <w:r w:rsidR="00EE1CF7">
          <w:rPr>
            <w:rFonts w:ascii="Times New Roman" w:hAnsi="Times New Roman"/>
            <w:sz w:val="24"/>
            <w:szCs w:val="24"/>
          </w:rPr>
          <w:t>145</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1389" w:history="1">
        <w:r w:rsidR="00EE1CF7">
          <w:rPr>
            <w:rFonts w:ascii="Times New Roman" w:eastAsia="楷体_GB2312" w:hAnsi="Times New Roman"/>
            <w:sz w:val="24"/>
            <w:szCs w:val="24"/>
          </w:rPr>
          <w:t>4.3</w:t>
        </w:r>
        <w:r w:rsidR="00EE1CF7">
          <w:rPr>
            <w:rFonts w:ascii="Times New Roman" w:eastAsia="楷体_GB2312" w:hAnsi="Times New Roman"/>
            <w:sz w:val="24"/>
            <w:szCs w:val="24"/>
          </w:rPr>
          <w:t>环境质量现状调查与评价</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_Toc1389 </w:instrText>
        </w:r>
        <w:r w:rsidR="00EE1CF7">
          <w:rPr>
            <w:rFonts w:ascii="Times New Roman" w:hAnsi="Times New Roman"/>
            <w:sz w:val="24"/>
            <w:szCs w:val="24"/>
          </w:rPr>
          <w:fldChar w:fldCharType="separate"/>
        </w:r>
        <w:r w:rsidR="00EE1CF7">
          <w:rPr>
            <w:rFonts w:ascii="Times New Roman" w:hAnsi="Times New Roman"/>
            <w:sz w:val="24"/>
            <w:szCs w:val="24"/>
          </w:rPr>
          <w:t>153</w:t>
        </w:r>
        <w:r w:rsidR="00EE1CF7">
          <w:rPr>
            <w:rFonts w:ascii="Times New Roman" w:hAnsi="Times New Roman"/>
            <w:sz w:val="24"/>
            <w:szCs w:val="24"/>
          </w:rPr>
          <w:fldChar w:fldCharType="end"/>
        </w:r>
      </w:hyperlink>
    </w:p>
    <w:p w:rsidR="00525419" w:rsidRDefault="007D0E8A">
      <w:pPr>
        <w:pStyle w:val="1c"/>
        <w:tabs>
          <w:tab w:val="right" w:leader="dot" w:pos="8306"/>
        </w:tabs>
        <w:spacing w:line="360" w:lineRule="auto"/>
        <w:rPr>
          <w:rFonts w:ascii="Times New Roman" w:hAnsi="Times New Roman"/>
          <w:sz w:val="24"/>
          <w:szCs w:val="24"/>
        </w:rPr>
      </w:pPr>
      <w:hyperlink w:anchor="_Toc31700" w:history="1">
        <w:r w:rsidR="00EE1CF7">
          <w:rPr>
            <w:rFonts w:ascii="Times New Roman" w:eastAsia="楷体_GB2312" w:hAnsi="Times New Roman"/>
            <w:sz w:val="24"/>
            <w:szCs w:val="24"/>
          </w:rPr>
          <w:t>5</w:t>
        </w:r>
        <w:r w:rsidR="00EE1CF7">
          <w:rPr>
            <w:rFonts w:ascii="Times New Roman" w:eastAsia="楷体_GB2312" w:hAnsi="Times New Roman"/>
            <w:sz w:val="24"/>
            <w:szCs w:val="24"/>
          </w:rPr>
          <w:t>环境影响预测与评价</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_Toc31700 </w:instrText>
        </w:r>
        <w:r w:rsidR="00EE1CF7">
          <w:rPr>
            <w:rFonts w:ascii="Times New Roman" w:hAnsi="Times New Roman"/>
            <w:sz w:val="24"/>
            <w:szCs w:val="24"/>
          </w:rPr>
          <w:fldChar w:fldCharType="separate"/>
        </w:r>
        <w:r w:rsidR="00EE1CF7">
          <w:rPr>
            <w:rFonts w:ascii="Times New Roman" w:hAnsi="Times New Roman"/>
            <w:sz w:val="24"/>
            <w:szCs w:val="24"/>
          </w:rPr>
          <w:t>167</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14349" w:history="1">
        <w:r w:rsidR="00EE1CF7">
          <w:rPr>
            <w:rFonts w:ascii="Times New Roman" w:eastAsia="楷体_GB2312" w:hAnsi="Times New Roman"/>
            <w:sz w:val="24"/>
            <w:szCs w:val="24"/>
          </w:rPr>
          <w:t>5.1</w:t>
        </w:r>
        <w:r w:rsidR="00EE1CF7">
          <w:rPr>
            <w:rFonts w:ascii="Times New Roman" w:eastAsia="楷体_GB2312" w:hAnsi="Times New Roman"/>
            <w:sz w:val="24"/>
            <w:szCs w:val="24"/>
          </w:rPr>
          <w:t>运营期大气环境影响预测与评价</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_Toc14349 </w:instrText>
        </w:r>
        <w:r w:rsidR="00EE1CF7">
          <w:rPr>
            <w:rFonts w:ascii="Times New Roman" w:hAnsi="Times New Roman"/>
            <w:sz w:val="24"/>
            <w:szCs w:val="24"/>
          </w:rPr>
          <w:fldChar w:fldCharType="separate"/>
        </w:r>
        <w:r w:rsidR="00EE1CF7">
          <w:rPr>
            <w:rFonts w:ascii="Times New Roman" w:hAnsi="Times New Roman"/>
            <w:sz w:val="24"/>
            <w:szCs w:val="24"/>
          </w:rPr>
          <w:t>167</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11790" w:history="1">
        <w:r w:rsidR="00EE1CF7">
          <w:rPr>
            <w:rFonts w:ascii="Times New Roman" w:eastAsia="楷体_GB2312" w:hAnsi="Times New Roman"/>
            <w:sz w:val="24"/>
            <w:szCs w:val="24"/>
          </w:rPr>
          <w:t xml:space="preserve">5.2 </w:t>
        </w:r>
        <w:r w:rsidR="00EE1CF7">
          <w:rPr>
            <w:rFonts w:ascii="Times New Roman" w:eastAsia="楷体_GB2312" w:hAnsi="Times New Roman"/>
            <w:sz w:val="24"/>
            <w:szCs w:val="24"/>
          </w:rPr>
          <w:t>运营期水环境影响分析</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_Toc11790 </w:instrText>
        </w:r>
        <w:r w:rsidR="00EE1CF7">
          <w:rPr>
            <w:rFonts w:ascii="Times New Roman" w:hAnsi="Times New Roman"/>
            <w:sz w:val="24"/>
            <w:szCs w:val="24"/>
          </w:rPr>
          <w:fldChar w:fldCharType="separate"/>
        </w:r>
        <w:r w:rsidR="00EE1CF7">
          <w:rPr>
            <w:rFonts w:ascii="Times New Roman" w:hAnsi="Times New Roman"/>
            <w:sz w:val="24"/>
            <w:szCs w:val="24"/>
          </w:rPr>
          <w:t>193</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15215" w:history="1">
        <w:r w:rsidR="00EE1CF7">
          <w:rPr>
            <w:rFonts w:ascii="Times New Roman" w:eastAsia="楷体_GB2312" w:hAnsi="Times New Roman"/>
            <w:sz w:val="24"/>
            <w:szCs w:val="24"/>
          </w:rPr>
          <w:t xml:space="preserve">5.3 </w:t>
        </w:r>
        <w:r w:rsidR="00EE1CF7">
          <w:rPr>
            <w:rFonts w:ascii="Times New Roman" w:eastAsia="楷体_GB2312" w:hAnsi="Times New Roman"/>
            <w:sz w:val="24"/>
            <w:szCs w:val="24"/>
          </w:rPr>
          <w:t>运营期声环境影响预测及评价</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_Toc15215 </w:instrText>
        </w:r>
        <w:r w:rsidR="00EE1CF7">
          <w:rPr>
            <w:rFonts w:ascii="Times New Roman" w:hAnsi="Times New Roman"/>
            <w:sz w:val="24"/>
            <w:szCs w:val="24"/>
          </w:rPr>
          <w:fldChar w:fldCharType="separate"/>
        </w:r>
        <w:r w:rsidR="00EE1CF7">
          <w:rPr>
            <w:rFonts w:ascii="Times New Roman" w:hAnsi="Times New Roman"/>
            <w:sz w:val="24"/>
            <w:szCs w:val="24"/>
          </w:rPr>
          <w:t>207</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24975" w:history="1">
        <w:r w:rsidR="00EE1CF7">
          <w:rPr>
            <w:rFonts w:ascii="Times New Roman" w:eastAsia="楷体_GB2312" w:hAnsi="Times New Roman"/>
            <w:sz w:val="24"/>
            <w:szCs w:val="24"/>
          </w:rPr>
          <w:t xml:space="preserve">5.4 </w:t>
        </w:r>
        <w:r w:rsidR="00EE1CF7">
          <w:rPr>
            <w:rFonts w:ascii="Times New Roman" w:eastAsia="楷体_GB2312" w:hAnsi="Times New Roman"/>
            <w:sz w:val="24"/>
            <w:szCs w:val="24"/>
          </w:rPr>
          <w:t>运营期固体废物环境影响分析</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_Toc24975 </w:instrText>
        </w:r>
        <w:r w:rsidR="00EE1CF7">
          <w:rPr>
            <w:rFonts w:ascii="Times New Roman" w:hAnsi="Times New Roman"/>
            <w:sz w:val="24"/>
            <w:szCs w:val="24"/>
          </w:rPr>
          <w:fldChar w:fldCharType="separate"/>
        </w:r>
        <w:r w:rsidR="00EE1CF7">
          <w:rPr>
            <w:rFonts w:ascii="Times New Roman" w:hAnsi="Times New Roman"/>
            <w:sz w:val="24"/>
            <w:szCs w:val="24"/>
          </w:rPr>
          <w:t>208</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22555" w:history="1">
        <w:r w:rsidR="00EE1CF7">
          <w:rPr>
            <w:rFonts w:ascii="Times New Roman" w:eastAsia="楷体_GB2312" w:hAnsi="Times New Roman"/>
            <w:sz w:val="24"/>
            <w:szCs w:val="24"/>
          </w:rPr>
          <w:t>5.5</w:t>
        </w:r>
        <w:r w:rsidR="00EE1CF7">
          <w:rPr>
            <w:rFonts w:ascii="Times New Roman" w:eastAsia="楷体_GB2312" w:hAnsi="Times New Roman"/>
            <w:sz w:val="24"/>
            <w:szCs w:val="24"/>
          </w:rPr>
          <w:t>运营期土壤环境影响预测</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_Toc22555 </w:instrText>
        </w:r>
        <w:r w:rsidR="00EE1CF7">
          <w:rPr>
            <w:rFonts w:ascii="Times New Roman" w:hAnsi="Times New Roman"/>
            <w:sz w:val="24"/>
            <w:szCs w:val="24"/>
          </w:rPr>
          <w:fldChar w:fldCharType="separate"/>
        </w:r>
        <w:r w:rsidR="00EE1CF7">
          <w:rPr>
            <w:rFonts w:ascii="Times New Roman" w:hAnsi="Times New Roman"/>
            <w:sz w:val="24"/>
            <w:szCs w:val="24"/>
          </w:rPr>
          <w:t>210</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32416" w:history="1">
        <w:r w:rsidR="00EE1CF7">
          <w:rPr>
            <w:rFonts w:ascii="Times New Roman" w:eastAsia="楷体_GB2312" w:hAnsi="Times New Roman"/>
            <w:sz w:val="24"/>
            <w:szCs w:val="24"/>
          </w:rPr>
          <w:t>5.6</w:t>
        </w:r>
        <w:r w:rsidR="00EE1CF7">
          <w:rPr>
            <w:rFonts w:ascii="Times New Roman" w:eastAsia="楷体_GB2312" w:hAnsi="Times New Roman"/>
            <w:sz w:val="24"/>
            <w:szCs w:val="24"/>
          </w:rPr>
          <w:t>环境风险评价</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_Toc32416 </w:instrText>
        </w:r>
        <w:r w:rsidR="00EE1CF7">
          <w:rPr>
            <w:rFonts w:ascii="Times New Roman" w:hAnsi="Times New Roman"/>
            <w:sz w:val="24"/>
            <w:szCs w:val="24"/>
          </w:rPr>
          <w:fldChar w:fldCharType="separate"/>
        </w:r>
        <w:r w:rsidR="00EE1CF7">
          <w:rPr>
            <w:rFonts w:ascii="Times New Roman" w:hAnsi="Times New Roman"/>
            <w:sz w:val="24"/>
            <w:szCs w:val="24"/>
          </w:rPr>
          <w:t>215</w:t>
        </w:r>
        <w:r w:rsidR="00EE1CF7">
          <w:rPr>
            <w:rFonts w:ascii="Times New Roman" w:hAnsi="Times New Roman"/>
            <w:sz w:val="24"/>
            <w:szCs w:val="24"/>
          </w:rPr>
          <w:fldChar w:fldCharType="end"/>
        </w:r>
      </w:hyperlink>
    </w:p>
    <w:p w:rsidR="00525419" w:rsidRDefault="007D0E8A">
      <w:pPr>
        <w:pStyle w:val="1c"/>
        <w:tabs>
          <w:tab w:val="right" w:leader="dot" w:pos="8306"/>
        </w:tabs>
        <w:spacing w:line="360" w:lineRule="auto"/>
        <w:rPr>
          <w:rFonts w:ascii="Times New Roman" w:hAnsi="Times New Roman"/>
          <w:sz w:val="24"/>
          <w:szCs w:val="24"/>
        </w:rPr>
      </w:pPr>
      <w:hyperlink w:anchor="_Toc24002" w:history="1">
        <w:r w:rsidR="00EE1CF7">
          <w:rPr>
            <w:rFonts w:ascii="Times New Roman" w:eastAsia="楷体_GB2312" w:hAnsi="Times New Roman"/>
            <w:sz w:val="24"/>
            <w:szCs w:val="24"/>
          </w:rPr>
          <w:t>6</w:t>
        </w:r>
        <w:r w:rsidR="00EE1CF7">
          <w:rPr>
            <w:rFonts w:ascii="Times New Roman" w:eastAsia="楷体_GB2312" w:hAnsi="Times New Roman"/>
            <w:sz w:val="24"/>
            <w:szCs w:val="24"/>
          </w:rPr>
          <w:t xml:space="preserve">　环境保护措施及其可行性论证</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_Toc24002 </w:instrText>
        </w:r>
        <w:r w:rsidR="00EE1CF7">
          <w:rPr>
            <w:rFonts w:ascii="Times New Roman" w:hAnsi="Times New Roman"/>
            <w:sz w:val="24"/>
            <w:szCs w:val="24"/>
          </w:rPr>
          <w:fldChar w:fldCharType="separate"/>
        </w:r>
        <w:r w:rsidR="00EE1CF7">
          <w:rPr>
            <w:rFonts w:ascii="Times New Roman" w:hAnsi="Times New Roman"/>
            <w:sz w:val="24"/>
            <w:szCs w:val="24"/>
          </w:rPr>
          <w:t>245</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13499" w:history="1">
        <w:r w:rsidR="00EE1CF7">
          <w:rPr>
            <w:rFonts w:ascii="Times New Roman" w:eastAsia="楷体_GB2312" w:hAnsi="Times New Roman"/>
            <w:sz w:val="24"/>
            <w:szCs w:val="24"/>
          </w:rPr>
          <w:t>6.1</w:t>
        </w:r>
        <w:r w:rsidR="00EE1CF7">
          <w:rPr>
            <w:rFonts w:ascii="Times New Roman" w:eastAsia="楷体_GB2312" w:hAnsi="Times New Roman"/>
            <w:sz w:val="24"/>
            <w:szCs w:val="24"/>
          </w:rPr>
          <w:t>运营期废气防治措施</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_Toc13499 </w:instrText>
        </w:r>
        <w:r w:rsidR="00EE1CF7">
          <w:rPr>
            <w:rFonts w:ascii="Times New Roman" w:hAnsi="Times New Roman"/>
            <w:sz w:val="24"/>
            <w:szCs w:val="24"/>
          </w:rPr>
          <w:fldChar w:fldCharType="separate"/>
        </w:r>
        <w:r w:rsidR="00EE1CF7">
          <w:rPr>
            <w:rFonts w:ascii="Times New Roman" w:hAnsi="Times New Roman"/>
            <w:sz w:val="24"/>
            <w:szCs w:val="24"/>
          </w:rPr>
          <w:t>245</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19810" w:history="1">
        <w:r w:rsidR="00EE1CF7">
          <w:rPr>
            <w:rFonts w:ascii="Times New Roman" w:eastAsia="楷体_GB2312" w:hAnsi="Times New Roman"/>
            <w:sz w:val="24"/>
            <w:szCs w:val="24"/>
          </w:rPr>
          <w:t>6.2</w:t>
        </w:r>
        <w:r w:rsidR="00EE1CF7">
          <w:rPr>
            <w:rFonts w:ascii="Times New Roman" w:eastAsia="楷体_GB2312" w:hAnsi="Times New Roman"/>
            <w:sz w:val="24"/>
            <w:szCs w:val="24"/>
          </w:rPr>
          <w:t>运营期废水防治措施</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_Toc19810 </w:instrText>
        </w:r>
        <w:r w:rsidR="00EE1CF7">
          <w:rPr>
            <w:rFonts w:ascii="Times New Roman" w:hAnsi="Times New Roman"/>
            <w:sz w:val="24"/>
            <w:szCs w:val="24"/>
          </w:rPr>
          <w:fldChar w:fldCharType="separate"/>
        </w:r>
        <w:r w:rsidR="00EE1CF7">
          <w:rPr>
            <w:rFonts w:ascii="Times New Roman" w:hAnsi="Times New Roman"/>
            <w:sz w:val="24"/>
            <w:szCs w:val="24"/>
          </w:rPr>
          <w:t>252</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31396" w:history="1">
        <w:r w:rsidR="00EE1CF7">
          <w:rPr>
            <w:rFonts w:ascii="Times New Roman" w:eastAsia="楷体_GB2312" w:hAnsi="Times New Roman"/>
            <w:sz w:val="24"/>
            <w:szCs w:val="24"/>
          </w:rPr>
          <w:t>6.3</w:t>
        </w:r>
        <w:r w:rsidR="00EE1CF7">
          <w:rPr>
            <w:rFonts w:ascii="Times New Roman" w:eastAsia="楷体_GB2312" w:hAnsi="Times New Roman"/>
            <w:sz w:val="24"/>
            <w:szCs w:val="24"/>
          </w:rPr>
          <w:t>地下水环境保护防治措施</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_Toc31396 </w:instrText>
        </w:r>
        <w:r w:rsidR="00EE1CF7">
          <w:rPr>
            <w:rFonts w:ascii="Times New Roman" w:hAnsi="Times New Roman"/>
            <w:sz w:val="24"/>
            <w:szCs w:val="24"/>
          </w:rPr>
          <w:fldChar w:fldCharType="separate"/>
        </w:r>
        <w:r w:rsidR="00EE1CF7">
          <w:rPr>
            <w:rFonts w:ascii="Times New Roman" w:hAnsi="Times New Roman"/>
            <w:sz w:val="24"/>
            <w:szCs w:val="24"/>
          </w:rPr>
          <w:t>256</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23916" w:history="1">
        <w:r w:rsidR="00EE1CF7">
          <w:rPr>
            <w:rFonts w:ascii="Times New Roman" w:eastAsia="楷体_GB2312" w:hAnsi="Times New Roman"/>
            <w:sz w:val="24"/>
            <w:szCs w:val="24"/>
          </w:rPr>
          <w:t>6.4</w:t>
        </w:r>
        <w:r w:rsidR="00EE1CF7">
          <w:rPr>
            <w:rFonts w:ascii="Times New Roman" w:eastAsia="楷体_GB2312" w:hAnsi="Times New Roman"/>
            <w:sz w:val="24"/>
            <w:szCs w:val="24"/>
          </w:rPr>
          <w:t>运营期噪声防治措施</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_Toc23916 </w:instrText>
        </w:r>
        <w:r w:rsidR="00EE1CF7">
          <w:rPr>
            <w:rFonts w:ascii="Times New Roman" w:hAnsi="Times New Roman"/>
            <w:sz w:val="24"/>
            <w:szCs w:val="24"/>
          </w:rPr>
          <w:fldChar w:fldCharType="separate"/>
        </w:r>
        <w:r w:rsidR="00EE1CF7">
          <w:rPr>
            <w:rFonts w:ascii="Times New Roman" w:hAnsi="Times New Roman"/>
            <w:sz w:val="24"/>
            <w:szCs w:val="24"/>
          </w:rPr>
          <w:t>262</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12513" w:history="1">
        <w:r w:rsidR="00EE1CF7">
          <w:rPr>
            <w:rFonts w:ascii="Times New Roman" w:eastAsia="楷体_GB2312" w:hAnsi="Times New Roman"/>
            <w:sz w:val="24"/>
            <w:szCs w:val="24"/>
          </w:rPr>
          <w:t>6.5</w:t>
        </w:r>
        <w:r w:rsidR="00EE1CF7">
          <w:rPr>
            <w:rFonts w:ascii="Times New Roman" w:eastAsia="楷体_GB2312" w:hAnsi="Times New Roman"/>
            <w:sz w:val="24"/>
            <w:szCs w:val="24"/>
          </w:rPr>
          <w:t>运营期固体废物污染防治措施</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_Toc12513 </w:instrText>
        </w:r>
        <w:r w:rsidR="00EE1CF7">
          <w:rPr>
            <w:rFonts w:ascii="Times New Roman" w:hAnsi="Times New Roman"/>
            <w:sz w:val="24"/>
            <w:szCs w:val="24"/>
          </w:rPr>
          <w:fldChar w:fldCharType="separate"/>
        </w:r>
        <w:r w:rsidR="00EE1CF7">
          <w:rPr>
            <w:rFonts w:ascii="Times New Roman" w:hAnsi="Times New Roman"/>
            <w:sz w:val="24"/>
            <w:szCs w:val="24"/>
          </w:rPr>
          <w:t>263</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20672" w:history="1">
        <w:r w:rsidR="00EE1CF7">
          <w:rPr>
            <w:rFonts w:ascii="Times New Roman" w:eastAsia="楷体_GB2312" w:hAnsi="Times New Roman"/>
            <w:sz w:val="24"/>
            <w:szCs w:val="24"/>
          </w:rPr>
          <w:t>6.6</w:t>
        </w:r>
        <w:r w:rsidR="00EE1CF7">
          <w:rPr>
            <w:rFonts w:ascii="Times New Roman" w:eastAsia="楷体_GB2312" w:hAnsi="Times New Roman"/>
            <w:sz w:val="24"/>
            <w:szCs w:val="24"/>
          </w:rPr>
          <w:t>土壤污染治理措施</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_Toc20672 </w:instrText>
        </w:r>
        <w:r w:rsidR="00EE1CF7">
          <w:rPr>
            <w:rFonts w:ascii="Times New Roman" w:hAnsi="Times New Roman"/>
            <w:sz w:val="24"/>
            <w:szCs w:val="24"/>
          </w:rPr>
          <w:fldChar w:fldCharType="separate"/>
        </w:r>
        <w:r w:rsidR="00EE1CF7">
          <w:rPr>
            <w:rFonts w:ascii="Times New Roman" w:hAnsi="Times New Roman"/>
            <w:sz w:val="24"/>
            <w:szCs w:val="24"/>
          </w:rPr>
          <w:t>265</w:t>
        </w:r>
        <w:r w:rsidR="00EE1CF7">
          <w:rPr>
            <w:rFonts w:ascii="Times New Roman" w:hAnsi="Times New Roman"/>
            <w:sz w:val="24"/>
            <w:szCs w:val="24"/>
          </w:rPr>
          <w:fldChar w:fldCharType="end"/>
        </w:r>
      </w:hyperlink>
    </w:p>
    <w:p w:rsidR="00525419" w:rsidRDefault="007D0E8A">
      <w:pPr>
        <w:pStyle w:val="1c"/>
        <w:tabs>
          <w:tab w:val="right" w:leader="dot" w:pos="8306"/>
        </w:tabs>
        <w:spacing w:line="360" w:lineRule="auto"/>
        <w:rPr>
          <w:rFonts w:ascii="Times New Roman" w:hAnsi="Times New Roman"/>
          <w:sz w:val="24"/>
          <w:szCs w:val="24"/>
        </w:rPr>
      </w:pPr>
      <w:hyperlink w:anchor="_Toc9354" w:history="1">
        <w:r w:rsidR="00EE1CF7">
          <w:rPr>
            <w:rFonts w:ascii="Times New Roman" w:eastAsia="楷体_GB2312" w:hAnsi="Times New Roman"/>
            <w:sz w:val="24"/>
            <w:szCs w:val="24"/>
          </w:rPr>
          <w:t>7</w:t>
        </w:r>
        <w:r w:rsidR="00EE1CF7">
          <w:rPr>
            <w:rFonts w:ascii="Times New Roman" w:eastAsia="楷体_GB2312" w:hAnsi="Times New Roman"/>
            <w:sz w:val="24"/>
            <w:szCs w:val="24"/>
          </w:rPr>
          <w:t>环境影响经济损益分析</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_Toc9354 </w:instrText>
        </w:r>
        <w:r w:rsidR="00EE1CF7">
          <w:rPr>
            <w:rFonts w:ascii="Times New Roman" w:hAnsi="Times New Roman"/>
            <w:sz w:val="24"/>
            <w:szCs w:val="24"/>
          </w:rPr>
          <w:fldChar w:fldCharType="separate"/>
        </w:r>
        <w:r w:rsidR="00EE1CF7">
          <w:rPr>
            <w:rFonts w:ascii="Times New Roman" w:hAnsi="Times New Roman"/>
            <w:sz w:val="24"/>
            <w:szCs w:val="24"/>
          </w:rPr>
          <w:t>267</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12650" w:history="1">
        <w:r w:rsidR="00EE1CF7">
          <w:rPr>
            <w:rFonts w:ascii="Times New Roman" w:eastAsia="楷体_GB2312" w:hAnsi="Times New Roman"/>
            <w:sz w:val="24"/>
            <w:szCs w:val="24"/>
          </w:rPr>
          <w:t>7.1</w:t>
        </w:r>
        <w:r w:rsidR="00EE1CF7">
          <w:rPr>
            <w:rFonts w:ascii="Times New Roman" w:eastAsia="楷体_GB2312" w:hAnsi="Times New Roman"/>
            <w:sz w:val="24"/>
            <w:szCs w:val="24"/>
          </w:rPr>
          <w:t>经济效益分析</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_Toc12650 </w:instrText>
        </w:r>
        <w:r w:rsidR="00EE1CF7">
          <w:rPr>
            <w:rFonts w:ascii="Times New Roman" w:hAnsi="Times New Roman"/>
            <w:sz w:val="24"/>
            <w:szCs w:val="24"/>
          </w:rPr>
          <w:fldChar w:fldCharType="separate"/>
        </w:r>
        <w:r w:rsidR="00EE1CF7">
          <w:rPr>
            <w:rFonts w:ascii="Times New Roman" w:hAnsi="Times New Roman"/>
            <w:sz w:val="24"/>
            <w:szCs w:val="24"/>
          </w:rPr>
          <w:t>267</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19136" w:history="1">
        <w:r w:rsidR="00EE1CF7">
          <w:rPr>
            <w:rFonts w:ascii="Times New Roman" w:eastAsia="楷体_GB2312" w:hAnsi="Times New Roman"/>
            <w:sz w:val="24"/>
            <w:szCs w:val="24"/>
          </w:rPr>
          <w:t>7.2</w:t>
        </w:r>
        <w:r w:rsidR="00EE1CF7">
          <w:rPr>
            <w:rFonts w:ascii="Times New Roman" w:eastAsia="楷体_GB2312" w:hAnsi="Times New Roman"/>
            <w:sz w:val="24"/>
            <w:szCs w:val="24"/>
          </w:rPr>
          <w:t>社会效益分析</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_Toc19136 </w:instrText>
        </w:r>
        <w:r w:rsidR="00EE1CF7">
          <w:rPr>
            <w:rFonts w:ascii="Times New Roman" w:hAnsi="Times New Roman"/>
            <w:sz w:val="24"/>
            <w:szCs w:val="24"/>
          </w:rPr>
          <w:fldChar w:fldCharType="separate"/>
        </w:r>
        <w:r w:rsidR="00EE1CF7">
          <w:rPr>
            <w:rFonts w:ascii="Times New Roman" w:hAnsi="Times New Roman"/>
            <w:sz w:val="24"/>
            <w:szCs w:val="24"/>
          </w:rPr>
          <w:t>267</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29904" w:history="1">
        <w:r w:rsidR="00EE1CF7">
          <w:rPr>
            <w:rFonts w:ascii="Times New Roman" w:eastAsia="楷体_GB2312" w:hAnsi="Times New Roman"/>
            <w:sz w:val="24"/>
            <w:szCs w:val="24"/>
          </w:rPr>
          <w:t>7.3</w:t>
        </w:r>
        <w:r w:rsidR="00EE1CF7">
          <w:rPr>
            <w:rFonts w:ascii="Times New Roman" w:eastAsia="楷体_GB2312" w:hAnsi="Times New Roman"/>
            <w:sz w:val="24"/>
            <w:szCs w:val="24"/>
          </w:rPr>
          <w:t>环境经济损益分析</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_Toc29904 </w:instrText>
        </w:r>
        <w:r w:rsidR="00EE1CF7">
          <w:rPr>
            <w:rFonts w:ascii="Times New Roman" w:hAnsi="Times New Roman"/>
            <w:sz w:val="24"/>
            <w:szCs w:val="24"/>
          </w:rPr>
          <w:fldChar w:fldCharType="separate"/>
        </w:r>
        <w:r w:rsidR="00EE1CF7">
          <w:rPr>
            <w:rFonts w:ascii="Times New Roman" w:hAnsi="Times New Roman"/>
            <w:sz w:val="24"/>
            <w:szCs w:val="24"/>
          </w:rPr>
          <w:t>268</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12954" w:history="1">
        <w:r w:rsidR="00EE1CF7">
          <w:rPr>
            <w:rFonts w:ascii="Times New Roman" w:eastAsia="楷体_GB2312" w:hAnsi="Times New Roman"/>
            <w:sz w:val="24"/>
            <w:szCs w:val="24"/>
          </w:rPr>
          <w:t>7.4</w:t>
        </w:r>
        <w:r w:rsidR="00EE1CF7">
          <w:rPr>
            <w:rFonts w:ascii="Times New Roman" w:eastAsia="楷体_GB2312" w:hAnsi="Times New Roman"/>
            <w:sz w:val="24"/>
            <w:szCs w:val="24"/>
          </w:rPr>
          <w:t>小结</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_Toc12954 </w:instrText>
        </w:r>
        <w:r w:rsidR="00EE1CF7">
          <w:rPr>
            <w:rFonts w:ascii="Times New Roman" w:hAnsi="Times New Roman"/>
            <w:sz w:val="24"/>
            <w:szCs w:val="24"/>
          </w:rPr>
          <w:fldChar w:fldCharType="separate"/>
        </w:r>
        <w:r w:rsidR="00EE1CF7">
          <w:rPr>
            <w:rFonts w:ascii="Times New Roman" w:hAnsi="Times New Roman"/>
            <w:sz w:val="24"/>
            <w:szCs w:val="24"/>
          </w:rPr>
          <w:t>270</w:t>
        </w:r>
        <w:r w:rsidR="00EE1CF7">
          <w:rPr>
            <w:rFonts w:ascii="Times New Roman" w:hAnsi="Times New Roman"/>
            <w:sz w:val="24"/>
            <w:szCs w:val="24"/>
          </w:rPr>
          <w:fldChar w:fldCharType="end"/>
        </w:r>
      </w:hyperlink>
    </w:p>
    <w:p w:rsidR="00525419" w:rsidRDefault="007D0E8A">
      <w:pPr>
        <w:pStyle w:val="1c"/>
        <w:tabs>
          <w:tab w:val="right" w:leader="dot" w:pos="8306"/>
        </w:tabs>
        <w:spacing w:line="360" w:lineRule="auto"/>
        <w:rPr>
          <w:rFonts w:ascii="Times New Roman" w:hAnsi="Times New Roman"/>
          <w:sz w:val="24"/>
          <w:szCs w:val="24"/>
        </w:rPr>
      </w:pPr>
      <w:hyperlink w:anchor="_Toc10940" w:history="1">
        <w:r w:rsidR="00EE1CF7">
          <w:rPr>
            <w:rFonts w:ascii="Times New Roman" w:eastAsia="楷体_GB2312" w:hAnsi="Times New Roman"/>
            <w:sz w:val="24"/>
            <w:szCs w:val="24"/>
          </w:rPr>
          <w:t>8</w:t>
        </w:r>
        <w:r w:rsidR="00EE1CF7">
          <w:rPr>
            <w:rFonts w:ascii="Times New Roman" w:eastAsia="楷体_GB2312" w:hAnsi="Times New Roman"/>
            <w:sz w:val="24"/>
            <w:szCs w:val="24"/>
          </w:rPr>
          <w:t>环境管理与监测计划</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_Toc10940 </w:instrText>
        </w:r>
        <w:r w:rsidR="00EE1CF7">
          <w:rPr>
            <w:rFonts w:ascii="Times New Roman" w:hAnsi="Times New Roman"/>
            <w:sz w:val="24"/>
            <w:szCs w:val="24"/>
          </w:rPr>
          <w:fldChar w:fldCharType="separate"/>
        </w:r>
        <w:r w:rsidR="00EE1CF7">
          <w:rPr>
            <w:rFonts w:ascii="Times New Roman" w:hAnsi="Times New Roman"/>
            <w:sz w:val="24"/>
            <w:szCs w:val="24"/>
          </w:rPr>
          <w:t>271</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15750" w:history="1">
        <w:r w:rsidR="00EE1CF7">
          <w:rPr>
            <w:rFonts w:ascii="Times New Roman" w:eastAsia="楷体_GB2312" w:hAnsi="Times New Roman"/>
            <w:sz w:val="24"/>
            <w:szCs w:val="24"/>
          </w:rPr>
          <w:t>8.1</w:t>
        </w:r>
        <w:r w:rsidR="00EE1CF7">
          <w:rPr>
            <w:rFonts w:ascii="Times New Roman" w:eastAsia="楷体_GB2312" w:hAnsi="Times New Roman"/>
            <w:sz w:val="24"/>
            <w:szCs w:val="24"/>
          </w:rPr>
          <w:t>环境保护管理</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_Toc15750 </w:instrText>
        </w:r>
        <w:r w:rsidR="00EE1CF7">
          <w:rPr>
            <w:rFonts w:ascii="Times New Roman" w:hAnsi="Times New Roman"/>
            <w:sz w:val="24"/>
            <w:szCs w:val="24"/>
          </w:rPr>
          <w:fldChar w:fldCharType="separate"/>
        </w:r>
        <w:r w:rsidR="00EE1CF7">
          <w:rPr>
            <w:rFonts w:ascii="Times New Roman" w:hAnsi="Times New Roman"/>
            <w:sz w:val="24"/>
            <w:szCs w:val="24"/>
          </w:rPr>
          <w:t>271</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9352" w:history="1">
        <w:r w:rsidR="00EE1CF7">
          <w:rPr>
            <w:rFonts w:ascii="Times New Roman" w:eastAsia="楷体_GB2312" w:hAnsi="Times New Roman"/>
            <w:sz w:val="24"/>
            <w:szCs w:val="24"/>
          </w:rPr>
          <w:t>8.2</w:t>
        </w:r>
        <w:r w:rsidR="00EE1CF7">
          <w:rPr>
            <w:rFonts w:ascii="Times New Roman" w:eastAsia="楷体_GB2312" w:hAnsi="Times New Roman"/>
            <w:sz w:val="24"/>
            <w:szCs w:val="24"/>
          </w:rPr>
          <w:t>环境监测计划</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_Toc9352 </w:instrText>
        </w:r>
        <w:r w:rsidR="00EE1CF7">
          <w:rPr>
            <w:rFonts w:ascii="Times New Roman" w:hAnsi="Times New Roman"/>
            <w:sz w:val="24"/>
            <w:szCs w:val="24"/>
          </w:rPr>
          <w:fldChar w:fldCharType="separate"/>
        </w:r>
        <w:r w:rsidR="00EE1CF7">
          <w:rPr>
            <w:rFonts w:ascii="Times New Roman" w:hAnsi="Times New Roman"/>
            <w:sz w:val="24"/>
            <w:szCs w:val="24"/>
          </w:rPr>
          <w:t>275</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7821" w:history="1">
        <w:r w:rsidR="00EE1CF7">
          <w:rPr>
            <w:rFonts w:ascii="Times New Roman" w:eastAsia="楷体_GB2312" w:hAnsi="Times New Roman"/>
            <w:sz w:val="24"/>
            <w:szCs w:val="24"/>
          </w:rPr>
          <w:t>8.3</w:t>
        </w:r>
        <w:r w:rsidR="00EE1CF7">
          <w:rPr>
            <w:rFonts w:ascii="Times New Roman" w:eastAsia="楷体_GB2312" w:hAnsi="Times New Roman"/>
            <w:sz w:val="24"/>
            <w:szCs w:val="24"/>
          </w:rPr>
          <w:t>排污口设置及规范化管理</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_Toc7821 </w:instrText>
        </w:r>
        <w:r w:rsidR="00EE1CF7">
          <w:rPr>
            <w:rFonts w:ascii="Times New Roman" w:hAnsi="Times New Roman"/>
            <w:sz w:val="24"/>
            <w:szCs w:val="24"/>
          </w:rPr>
          <w:fldChar w:fldCharType="separate"/>
        </w:r>
        <w:r w:rsidR="00EE1CF7">
          <w:rPr>
            <w:rFonts w:ascii="Times New Roman" w:hAnsi="Times New Roman"/>
            <w:sz w:val="24"/>
            <w:szCs w:val="24"/>
          </w:rPr>
          <w:t>277</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15309" w:history="1">
        <w:r w:rsidR="00EE1CF7">
          <w:rPr>
            <w:rFonts w:ascii="Times New Roman" w:eastAsia="楷体_GB2312" w:hAnsi="Times New Roman"/>
            <w:sz w:val="24"/>
            <w:szCs w:val="24"/>
          </w:rPr>
          <w:t>8.4</w:t>
        </w:r>
        <w:r w:rsidR="00EE1CF7">
          <w:rPr>
            <w:rFonts w:ascii="Times New Roman" w:eastAsia="楷体_GB2312" w:hAnsi="Times New Roman"/>
            <w:sz w:val="24"/>
            <w:szCs w:val="24"/>
          </w:rPr>
          <w:t>污染物排放清单</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_Toc15309 </w:instrText>
        </w:r>
        <w:r w:rsidR="00EE1CF7">
          <w:rPr>
            <w:rFonts w:ascii="Times New Roman" w:hAnsi="Times New Roman"/>
            <w:sz w:val="24"/>
            <w:szCs w:val="24"/>
          </w:rPr>
          <w:fldChar w:fldCharType="separate"/>
        </w:r>
        <w:r w:rsidR="00EE1CF7">
          <w:rPr>
            <w:rFonts w:ascii="Times New Roman" w:hAnsi="Times New Roman"/>
            <w:sz w:val="24"/>
            <w:szCs w:val="24"/>
          </w:rPr>
          <w:t>278</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14548" w:history="1">
        <w:r w:rsidR="00EE1CF7">
          <w:rPr>
            <w:rFonts w:ascii="Times New Roman" w:eastAsia="楷体_GB2312" w:hAnsi="Times New Roman"/>
            <w:sz w:val="24"/>
            <w:szCs w:val="24"/>
          </w:rPr>
          <w:t>8.5</w:t>
        </w:r>
        <w:r w:rsidR="00EE1CF7">
          <w:rPr>
            <w:rFonts w:ascii="Times New Roman" w:eastAsia="楷体_GB2312" w:hAnsi="Times New Roman"/>
            <w:sz w:val="24"/>
            <w:szCs w:val="24"/>
          </w:rPr>
          <w:t>环境保护</w:t>
        </w:r>
        <w:r w:rsidR="00EE1CF7">
          <w:rPr>
            <w:rFonts w:ascii="Times New Roman" w:eastAsia="楷体_GB2312" w:hAnsi="Times New Roman"/>
            <w:sz w:val="24"/>
            <w:szCs w:val="24"/>
          </w:rPr>
          <w:t>“</w:t>
        </w:r>
        <w:r w:rsidR="00EE1CF7">
          <w:rPr>
            <w:rFonts w:ascii="Times New Roman" w:eastAsia="楷体_GB2312" w:hAnsi="Times New Roman"/>
            <w:sz w:val="24"/>
            <w:szCs w:val="24"/>
          </w:rPr>
          <w:t>三同时</w:t>
        </w:r>
        <w:r w:rsidR="00EE1CF7">
          <w:rPr>
            <w:rFonts w:ascii="Times New Roman" w:eastAsia="楷体_GB2312" w:hAnsi="Times New Roman"/>
            <w:sz w:val="24"/>
            <w:szCs w:val="24"/>
          </w:rPr>
          <w:t>”</w:t>
        </w:r>
        <w:r w:rsidR="00EE1CF7">
          <w:rPr>
            <w:rFonts w:ascii="Times New Roman" w:eastAsia="楷体_GB2312" w:hAnsi="Times New Roman"/>
            <w:sz w:val="24"/>
            <w:szCs w:val="24"/>
          </w:rPr>
          <w:t>验收</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_Toc14548 </w:instrText>
        </w:r>
        <w:r w:rsidR="00EE1CF7">
          <w:rPr>
            <w:rFonts w:ascii="Times New Roman" w:hAnsi="Times New Roman"/>
            <w:sz w:val="24"/>
            <w:szCs w:val="24"/>
          </w:rPr>
          <w:fldChar w:fldCharType="separate"/>
        </w:r>
        <w:r w:rsidR="00EE1CF7">
          <w:rPr>
            <w:rFonts w:ascii="Times New Roman" w:hAnsi="Times New Roman"/>
            <w:sz w:val="24"/>
            <w:szCs w:val="24"/>
          </w:rPr>
          <w:t>282</w:t>
        </w:r>
        <w:r w:rsidR="00EE1CF7">
          <w:rPr>
            <w:rFonts w:ascii="Times New Roman" w:hAnsi="Times New Roman"/>
            <w:sz w:val="24"/>
            <w:szCs w:val="24"/>
          </w:rPr>
          <w:fldChar w:fldCharType="end"/>
        </w:r>
      </w:hyperlink>
    </w:p>
    <w:p w:rsidR="00525419" w:rsidRDefault="007D0E8A">
      <w:pPr>
        <w:pStyle w:val="1c"/>
        <w:tabs>
          <w:tab w:val="right" w:leader="dot" w:pos="8306"/>
        </w:tabs>
        <w:spacing w:line="360" w:lineRule="auto"/>
        <w:rPr>
          <w:rFonts w:ascii="Times New Roman" w:hAnsi="Times New Roman"/>
          <w:sz w:val="24"/>
          <w:szCs w:val="24"/>
        </w:rPr>
      </w:pPr>
      <w:hyperlink w:anchor="_Toc8027" w:history="1">
        <w:r w:rsidR="00EE1CF7">
          <w:rPr>
            <w:rFonts w:ascii="Times New Roman" w:eastAsia="楷体_GB2312" w:hAnsi="Times New Roman"/>
            <w:sz w:val="24"/>
            <w:szCs w:val="24"/>
          </w:rPr>
          <w:t>9</w:t>
        </w:r>
        <w:r w:rsidR="00EE1CF7">
          <w:rPr>
            <w:rFonts w:ascii="Times New Roman" w:eastAsia="楷体_GB2312" w:hAnsi="Times New Roman"/>
            <w:sz w:val="24"/>
            <w:szCs w:val="24"/>
          </w:rPr>
          <w:t>环境影响评价结论</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_Toc8027 </w:instrText>
        </w:r>
        <w:r w:rsidR="00EE1CF7">
          <w:rPr>
            <w:rFonts w:ascii="Times New Roman" w:hAnsi="Times New Roman"/>
            <w:sz w:val="24"/>
            <w:szCs w:val="24"/>
          </w:rPr>
          <w:fldChar w:fldCharType="separate"/>
        </w:r>
        <w:r w:rsidR="00EE1CF7">
          <w:rPr>
            <w:rFonts w:ascii="Times New Roman" w:hAnsi="Times New Roman"/>
            <w:sz w:val="24"/>
            <w:szCs w:val="24"/>
          </w:rPr>
          <w:t>284</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32541" w:history="1">
        <w:r w:rsidR="00EE1CF7">
          <w:rPr>
            <w:rFonts w:ascii="Times New Roman" w:eastAsia="楷体_GB2312" w:hAnsi="Times New Roman"/>
            <w:sz w:val="24"/>
            <w:szCs w:val="24"/>
          </w:rPr>
          <w:t>9.1</w:t>
        </w:r>
        <w:r w:rsidR="00EE1CF7">
          <w:rPr>
            <w:rFonts w:ascii="Times New Roman" w:eastAsia="楷体_GB2312" w:hAnsi="Times New Roman"/>
            <w:sz w:val="24"/>
            <w:szCs w:val="24"/>
          </w:rPr>
          <w:t>项目概况</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_Toc32541 </w:instrText>
        </w:r>
        <w:r w:rsidR="00EE1CF7">
          <w:rPr>
            <w:rFonts w:ascii="Times New Roman" w:hAnsi="Times New Roman"/>
            <w:sz w:val="24"/>
            <w:szCs w:val="24"/>
          </w:rPr>
          <w:fldChar w:fldCharType="separate"/>
        </w:r>
        <w:r w:rsidR="00EE1CF7">
          <w:rPr>
            <w:rFonts w:ascii="Times New Roman" w:hAnsi="Times New Roman"/>
            <w:sz w:val="24"/>
            <w:szCs w:val="24"/>
          </w:rPr>
          <w:t>284</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24895" w:history="1">
        <w:r w:rsidR="00EE1CF7">
          <w:rPr>
            <w:rFonts w:ascii="Times New Roman" w:eastAsia="楷体_GB2312" w:hAnsi="Times New Roman"/>
            <w:sz w:val="24"/>
            <w:szCs w:val="24"/>
          </w:rPr>
          <w:t xml:space="preserve">9.2 </w:t>
        </w:r>
        <w:r w:rsidR="00EE1CF7">
          <w:rPr>
            <w:rFonts w:ascii="Times New Roman" w:eastAsia="楷体_GB2312" w:hAnsi="Times New Roman"/>
            <w:sz w:val="24"/>
            <w:szCs w:val="24"/>
          </w:rPr>
          <w:t>环境质量现状评价结论</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_Toc24895 </w:instrText>
        </w:r>
        <w:r w:rsidR="00EE1CF7">
          <w:rPr>
            <w:rFonts w:ascii="Times New Roman" w:hAnsi="Times New Roman"/>
            <w:sz w:val="24"/>
            <w:szCs w:val="24"/>
          </w:rPr>
          <w:fldChar w:fldCharType="separate"/>
        </w:r>
        <w:r w:rsidR="00EE1CF7">
          <w:rPr>
            <w:rFonts w:ascii="Times New Roman" w:hAnsi="Times New Roman"/>
            <w:sz w:val="24"/>
            <w:szCs w:val="24"/>
          </w:rPr>
          <w:t>284</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17491" w:history="1">
        <w:r w:rsidR="00EE1CF7">
          <w:rPr>
            <w:rFonts w:ascii="Times New Roman" w:eastAsia="楷体_GB2312" w:hAnsi="Times New Roman"/>
            <w:sz w:val="24"/>
            <w:szCs w:val="24"/>
          </w:rPr>
          <w:t xml:space="preserve">9.3 </w:t>
        </w:r>
        <w:r w:rsidR="00EE1CF7">
          <w:rPr>
            <w:rFonts w:ascii="Times New Roman" w:eastAsia="楷体_GB2312" w:hAnsi="Times New Roman"/>
            <w:sz w:val="24"/>
            <w:szCs w:val="24"/>
          </w:rPr>
          <w:t>工程分析结论</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_Toc17491 </w:instrText>
        </w:r>
        <w:r w:rsidR="00EE1CF7">
          <w:rPr>
            <w:rFonts w:ascii="Times New Roman" w:hAnsi="Times New Roman"/>
            <w:sz w:val="24"/>
            <w:szCs w:val="24"/>
          </w:rPr>
          <w:fldChar w:fldCharType="separate"/>
        </w:r>
        <w:r w:rsidR="00EE1CF7">
          <w:rPr>
            <w:rFonts w:ascii="Times New Roman" w:hAnsi="Times New Roman"/>
            <w:sz w:val="24"/>
            <w:szCs w:val="24"/>
          </w:rPr>
          <w:t>285</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5532" w:history="1">
        <w:r w:rsidR="00EE1CF7">
          <w:rPr>
            <w:rFonts w:ascii="Times New Roman" w:eastAsia="楷体_GB2312" w:hAnsi="Times New Roman"/>
            <w:sz w:val="24"/>
            <w:szCs w:val="24"/>
          </w:rPr>
          <w:t xml:space="preserve">9.4 </w:t>
        </w:r>
        <w:r w:rsidR="00EE1CF7">
          <w:rPr>
            <w:rFonts w:ascii="Times New Roman" w:eastAsia="楷体_GB2312" w:hAnsi="Times New Roman"/>
            <w:sz w:val="24"/>
            <w:szCs w:val="24"/>
          </w:rPr>
          <w:t>环境影响评价结论</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_Toc5532 </w:instrText>
        </w:r>
        <w:r w:rsidR="00EE1CF7">
          <w:rPr>
            <w:rFonts w:ascii="Times New Roman" w:hAnsi="Times New Roman"/>
            <w:sz w:val="24"/>
            <w:szCs w:val="24"/>
          </w:rPr>
          <w:fldChar w:fldCharType="separate"/>
        </w:r>
        <w:r w:rsidR="00EE1CF7">
          <w:rPr>
            <w:rFonts w:ascii="Times New Roman" w:hAnsi="Times New Roman"/>
            <w:sz w:val="24"/>
            <w:szCs w:val="24"/>
          </w:rPr>
          <w:t>285</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11617" w:history="1">
        <w:r w:rsidR="00EE1CF7">
          <w:rPr>
            <w:rFonts w:ascii="Times New Roman" w:eastAsia="楷体_GB2312" w:hAnsi="Times New Roman"/>
            <w:sz w:val="24"/>
            <w:szCs w:val="24"/>
          </w:rPr>
          <w:t xml:space="preserve">9.5 </w:t>
        </w:r>
        <w:r w:rsidR="00EE1CF7">
          <w:rPr>
            <w:rFonts w:ascii="Times New Roman" w:eastAsia="楷体_GB2312" w:hAnsi="Times New Roman"/>
            <w:sz w:val="24"/>
            <w:szCs w:val="24"/>
          </w:rPr>
          <w:t>公众意见采纳情况</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_Toc11617 </w:instrText>
        </w:r>
        <w:r w:rsidR="00EE1CF7">
          <w:rPr>
            <w:rFonts w:ascii="Times New Roman" w:hAnsi="Times New Roman"/>
            <w:sz w:val="24"/>
            <w:szCs w:val="24"/>
          </w:rPr>
          <w:fldChar w:fldCharType="separate"/>
        </w:r>
        <w:r w:rsidR="00EE1CF7">
          <w:rPr>
            <w:rFonts w:ascii="Times New Roman" w:hAnsi="Times New Roman"/>
            <w:sz w:val="24"/>
            <w:szCs w:val="24"/>
          </w:rPr>
          <w:t>287</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4512" w:history="1">
        <w:r w:rsidR="00EE1CF7">
          <w:rPr>
            <w:rFonts w:ascii="Times New Roman" w:eastAsia="楷体_GB2312" w:hAnsi="Times New Roman"/>
            <w:sz w:val="24"/>
            <w:szCs w:val="24"/>
          </w:rPr>
          <w:t>9.6</w:t>
        </w:r>
        <w:r w:rsidR="00EE1CF7">
          <w:rPr>
            <w:rFonts w:ascii="Times New Roman" w:eastAsia="楷体_GB2312" w:hAnsi="Times New Roman"/>
            <w:sz w:val="24"/>
            <w:szCs w:val="24"/>
          </w:rPr>
          <w:t>污染防治措施结论</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_Toc4512 </w:instrText>
        </w:r>
        <w:r w:rsidR="00EE1CF7">
          <w:rPr>
            <w:rFonts w:ascii="Times New Roman" w:hAnsi="Times New Roman"/>
            <w:sz w:val="24"/>
            <w:szCs w:val="24"/>
          </w:rPr>
          <w:fldChar w:fldCharType="separate"/>
        </w:r>
        <w:r w:rsidR="00EE1CF7">
          <w:rPr>
            <w:rFonts w:ascii="Times New Roman" w:hAnsi="Times New Roman"/>
            <w:sz w:val="24"/>
            <w:szCs w:val="24"/>
          </w:rPr>
          <w:t>287</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14059" w:history="1">
        <w:r w:rsidR="00EE1CF7">
          <w:rPr>
            <w:rFonts w:ascii="Times New Roman" w:eastAsia="楷体_GB2312" w:hAnsi="Times New Roman"/>
            <w:sz w:val="24"/>
            <w:szCs w:val="24"/>
          </w:rPr>
          <w:t xml:space="preserve">9.7 </w:t>
        </w:r>
        <w:r w:rsidR="00EE1CF7">
          <w:rPr>
            <w:rFonts w:ascii="Times New Roman" w:eastAsia="楷体_GB2312" w:hAnsi="Times New Roman"/>
            <w:sz w:val="24"/>
            <w:szCs w:val="24"/>
          </w:rPr>
          <w:t>环境影响经济损益结论</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_Toc14059 </w:instrText>
        </w:r>
        <w:r w:rsidR="00EE1CF7">
          <w:rPr>
            <w:rFonts w:ascii="Times New Roman" w:hAnsi="Times New Roman"/>
            <w:sz w:val="24"/>
            <w:szCs w:val="24"/>
          </w:rPr>
          <w:fldChar w:fldCharType="separate"/>
        </w:r>
        <w:r w:rsidR="00EE1CF7">
          <w:rPr>
            <w:rFonts w:ascii="Times New Roman" w:hAnsi="Times New Roman"/>
            <w:sz w:val="24"/>
            <w:szCs w:val="24"/>
          </w:rPr>
          <w:t>289</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4836" w:history="1">
        <w:r w:rsidR="00EE1CF7">
          <w:rPr>
            <w:rFonts w:ascii="Times New Roman" w:eastAsia="楷体_GB2312" w:hAnsi="Times New Roman"/>
            <w:sz w:val="24"/>
            <w:szCs w:val="24"/>
          </w:rPr>
          <w:t xml:space="preserve">9.8 </w:t>
        </w:r>
        <w:r w:rsidR="00EE1CF7">
          <w:rPr>
            <w:rFonts w:ascii="Times New Roman" w:eastAsia="楷体_GB2312" w:hAnsi="Times New Roman"/>
            <w:sz w:val="24"/>
            <w:szCs w:val="24"/>
          </w:rPr>
          <w:t>环境管理与监测计划</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_Toc4836 </w:instrText>
        </w:r>
        <w:r w:rsidR="00EE1CF7">
          <w:rPr>
            <w:rFonts w:ascii="Times New Roman" w:hAnsi="Times New Roman"/>
            <w:sz w:val="24"/>
            <w:szCs w:val="24"/>
          </w:rPr>
          <w:fldChar w:fldCharType="separate"/>
        </w:r>
        <w:r w:rsidR="00EE1CF7">
          <w:rPr>
            <w:rFonts w:ascii="Times New Roman" w:hAnsi="Times New Roman"/>
            <w:sz w:val="24"/>
            <w:szCs w:val="24"/>
          </w:rPr>
          <w:t>289</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sz w:val="24"/>
          <w:szCs w:val="24"/>
        </w:rPr>
      </w:pPr>
      <w:hyperlink w:anchor="_Toc5535" w:history="1">
        <w:r w:rsidR="00EE1CF7">
          <w:rPr>
            <w:rFonts w:ascii="Times New Roman" w:eastAsia="楷体_GB2312" w:hAnsi="Times New Roman"/>
            <w:sz w:val="24"/>
            <w:szCs w:val="24"/>
          </w:rPr>
          <w:t>9.9</w:t>
        </w:r>
        <w:r w:rsidR="00EE1CF7">
          <w:rPr>
            <w:rFonts w:ascii="Times New Roman" w:eastAsia="楷体_GB2312" w:hAnsi="Times New Roman"/>
            <w:sz w:val="24"/>
            <w:szCs w:val="24"/>
          </w:rPr>
          <w:t>总体结论</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_Toc5535 </w:instrText>
        </w:r>
        <w:r w:rsidR="00EE1CF7">
          <w:rPr>
            <w:rFonts w:ascii="Times New Roman" w:hAnsi="Times New Roman"/>
            <w:sz w:val="24"/>
            <w:szCs w:val="24"/>
          </w:rPr>
          <w:fldChar w:fldCharType="separate"/>
        </w:r>
        <w:r w:rsidR="00EE1CF7">
          <w:rPr>
            <w:rFonts w:ascii="Times New Roman" w:hAnsi="Times New Roman"/>
            <w:sz w:val="24"/>
            <w:szCs w:val="24"/>
          </w:rPr>
          <w:t>290</w:t>
        </w:r>
        <w:r w:rsidR="00EE1CF7">
          <w:rPr>
            <w:rFonts w:ascii="Times New Roman" w:hAnsi="Times New Roman"/>
            <w:sz w:val="24"/>
            <w:szCs w:val="24"/>
          </w:rPr>
          <w:fldChar w:fldCharType="end"/>
        </w:r>
      </w:hyperlink>
    </w:p>
    <w:p w:rsidR="00525419" w:rsidRDefault="007D0E8A">
      <w:pPr>
        <w:pStyle w:val="2f0"/>
        <w:tabs>
          <w:tab w:val="right" w:leader="dot" w:pos="8306"/>
        </w:tabs>
        <w:spacing w:line="360" w:lineRule="auto"/>
        <w:rPr>
          <w:rFonts w:ascii="Times New Roman" w:hAnsi="Times New Roman"/>
        </w:rPr>
      </w:pPr>
      <w:hyperlink w:anchor="_Toc6893" w:history="1">
        <w:r w:rsidR="00EE1CF7">
          <w:rPr>
            <w:rFonts w:ascii="Times New Roman" w:eastAsia="楷体_GB2312" w:hAnsi="Times New Roman"/>
            <w:sz w:val="24"/>
            <w:szCs w:val="24"/>
          </w:rPr>
          <w:t xml:space="preserve">9.10 </w:t>
        </w:r>
        <w:r w:rsidR="00EE1CF7">
          <w:rPr>
            <w:rFonts w:ascii="Times New Roman" w:eastAsia="楷体_GB2312" w:hAnsi="Times New Roman"/>
            <w:sz w:val="24"/>
            <w:szCs w:val="24"/>
          </w:rPr>
          <w:t>建议与要求</w:t>
        </w:r>
        <w:r w:rsidR="00EE1CF7">
          <w:rPr>
            <w:rFonts w:ascii="Times New Roman" w:hAnsi="Times New Roman"/>
            <w:sz w:val="24"/>
            <w:szCs w:val="24"/>
          </w:rPr>
          <w:tab/>
        </w:r>
        <w:r w:rsidR="00EE1CF7">
          <w:rPr>
            <w:rFonts w:ascii="Times New Roman" w:hAnsi="Times New Roman"/>
            <w:sz w:val="24"/>
            <w:szCs w:val="24"/>
          </w:rPr>
          <w:fldChar w:fldCharType="begin"/>
        </w:r>
        <w:r w:rsidR="00EE1CF7">
          <w:rPr>
            <w:rFonts w:ascii="Times New Roman" w:hAnsi="Times New Roman"/>
            <w:sz w:val="24"/>
            <w:szCs w:val="24"/>
          </w:rPr>
          <w:instrText xml:space="preserve"> PAGEREF _Toc6893 </w:instrText>
        </w:r>
        <w:r w:rsidR="00EE1CF7">
          <w:rPr>
            <w:rFonts w:ascii="Times New Roman" w:hAnsi="Times New Roman"/>
            <w:sz w:val="24"/>
            <w:szCs w:val="24"/>
          </w:rPr>
          <w:fldChar w:fldCharType="separate"/>
        </w:r>
        <w:r w:rsidR="00EE1CF7">
          <w:rPr>
            <w:rFonts w:ascii="Times New Roman" w:hAnsi="Times New Roman"/>
            <w:sz w:val="24"/>
            <w:szCs w:val="24"/>
          </w:rPr>
          <w:t>290</w:t>
        </w:r>
        <w:r w:rsidR="00EE1CF7">
          <w:rPr>
            <w:rFonts w:ascii="Times New Roman" w:hAnsi="Times New Roman"/>
            <w:sz w:val="24"/>
            <w:szCs w:val="24"/>
          </w:rPr>
          <w:fldChar w:fldCharType="end"/>
        </w:r>
      </w:hyperlink>
    </w:p>
    <w:p w:rsidR="00525419" w:rsidRDefault="00EE1CF7">
      <w:pPr>
        <w:pStyle w:val="2f0"/>
        <w:tabs>
          <w:tab w:val="right" w:leader="dot" w:pos="8306"/>
        </w:tabs>
        <w:spacing w:line="360" w:lineRule="auto"/>
        <w:rPr>
          <w:rFonts w:ascii="Times New Roman" w:hAnsi="Times New Roman"/>
        </w:rPr>
      </w:pPr>
      <w:r>
        <w:rPr>
          <w:rFonts w:ascii="Times New Roman" w:hAnsi="Times New Roman"/>
          <w:szCs w:val="24"/>
        </w:rPr>
        <w:fldChar w:fldCharType="end"/>
      </w:r>
    </w:p>
    <w:p w:rsidR="00525419" w:rsidRDefault="00EE1CF7">
      <w:pPr>
        <w:pStyle w:val="afb"/>
        <w:spacing w:line="360" w:lineRule="auto"/>
        <w:rPr>
          <w:b/>
          <w:bCs/>
          <w:kern w:val="2"/>
          <w:sz w:val="24"/>
          <w:szCs w:val="22"/>
        </w:rPr>
      </w:pPr>
      <w:r>
        <w:rPr>
          <w:b/>
          <w:bCs/>
        </w:rPr>
        <w:t xml:space="preserve">    </w:t>
      </w:r>
      <w:r>
        <w:rPr>
          <w:b/>
          <w:bCs/>
          <w:kern w:val="2"/>
          <w:sz w:val="24"/>
          <w:szCs w:val="22"/>
        </w:rPr>
        <w:t>附图：</w:t>
      </w:r>
    </w:p>
    <w:p w:rsidR="00525419" w:rsidRDefault="00EE1CF7">
      <w:pPr>
        <w:pStyle w:val="afb"/>
        <w:spacing w:line="360" w:lineRule="auto"/>
        <w:ind w:firstLine="480"/>
        <w:rPr>
          <w:kern w:val="2"/>
          <w:sz w:val="24"/>
          <w:szCs w:val="22"/>
        </w:rPr>
      </w:pPr>
      <w:r>
        <w:rPr>
          <w:kern w:val="2"/>
          <w:sz w:val="24"/>
          <w:szCs w:val="22"/>
        </w:rPr>
        <w:t>2.4-1</w:t>
      </w:r>
      <w:r>
        <w:rPr>
          <w:kern w:val="2"/>
          <w:sz w:val="24"/>
          <w:szCs w:val="22"/>
        </w:rPr>
        <w:t>评价范围图及敏感点分布图；</w:t>
      </w:r>
    </w:p>
    <w:p w:rsidR="00525419" w:rsidRDefault="00EE1CF7">
      <w:pPr>
        <w:snapToGrid w:val="0"/>
        <w:spacing w:line="360" w:lineRule="auto"/>
        <w:ind w:firstLineChars="200" w:firstLine="480"/>
        <w:rPr>
          <w:rFonts w:ascii="Times New Roman" w:hAnsi="Times New Roman"/>
          <w:sz w:val="24"/>
        </w:rPr>
      </w:pPr>
      <w:r>
        <w:rPr>
          <w:rFonts w:ascii="Times New Roman" w:hAnsi="Times New Roman"/>
          <w:sz w:val="24"/>
        </w:rPr>
        <w:t>2.5-1</w:t>
      </w:r>
      <w:r>
        <w:rPr>
          <w:rFonts w:ascii="Times New Roman" w:hAnsi="Times New Roman"/>
          <w:sz w:val="24"/>
        </w:rPr>
        <w:t>项目厂址所在园区环境功能区划图；</w:t>
      </w:r>
    </w:p>
    <w:p w:rsidR="00525419" w:rsidRDefault="00EE1CF7">
      <w:pPr>
        <w:snapToGrid w:val="0"/>
        <w:spacing w:line="360" w:lineRule="auto"/>
        <w:ind w:firstLineChars="200" w:firstLine="480"/>
        <w:rPr>
          <w:rFonts w:ascii="Times New Roman" w:hAnsi="Times New Roman"/>
          <w:sz w:val="24"/>
        </w:rPr>
      </w:pPr>
      <w:r>
        <w:rPr>
          <w:rFonts w:ascii="Times New Roman" w:hAnsi="Times New Roman"/>
          <w:sz w:val="24"/>
        </w:rPr>
        <w:t>2.5-2</w:t>
      </w:r>
      <w:r>
        <w:rPr>
          <w:rFonts w:ascii="Times New Roman" w:hAnsi="Times New Roman"/>
          <w:sz w:val="24"/>
        </w:rPr>
        <w:t>项目厂址所在生态环境功能区划位置；</w:t>
      </w:r>
    </w:p>
    <w:p w:rsidR="00525419" w:rsidRDefault="00EE1CF7">
      <w:pPr>
        <w:snapToGrid w:val="0"/>
        <w:spacing w:line="360" w:lineRule="auto"/>
        <w:ind w:firstLineChars="200" w:firstLine="480"/>
        <w:rPr>
          <w:rFonts w:ascii="Times New Roman" w:hAnsi="Times New Roman"/>
          <w:sz w:val="24"/>
        </w:rPr>
      </w:pPr>
      <w:r>
        <w:rPr>
          <w:rFonts w:ascii="Times New Roman" w:hAnsi="Times New Roman"/>
          <w:sz w:val="24"/>
        </w:rPr>
        <w:t>4.1-1</w:t>
      </w:r>
      <w:r>
        <w:rPr>
          <w:rFonts w:ascii="Times New Roman" w:hAnsi="Times New Roman"/>
          <w:sz w:val="24"/>
        </w:rPr>
        <w:t>项目地理位置示意图；</w:t>
      </w:r>
    </w:p>
    <w:p w:rsidR="00525419" w:rsidRDefault="00EE1CF7">
      <w:pPr>
        <w:snapToGrid w:val="0"/>
        <w:spacing w:line="360" w:lineRule="auto"/>
        <w:ind w:firstLineChars="200" w:firstLine="480"/>
        <w:rPr>
          <w:rFonts w:ascii="Times New Roman" w:hAnsi="Times New Roman"/>
          <w:sz w:val="24"/>
        </w:rPr>
      </w:pPr>
      <w:r>
        <w:rPr>
          <w:rFonts w:ascii="Times New Roman" w:hAnsi="Times New Roman"/>
          <w:sz w:val="24"/>
        </w:rPr>
        <w:t>4.1-2</w:t>
      </w:r>
      <w:r>
        <w:rPr>
          <w:rFonts w:ascii="Times New Roman" w:hAnsi="Times New Roman"/>
          <w:sz w:val="24"/>
        </w:rPr>
        <w:t>项目所在园区位置示意图；</w:t>
      </w:r>
    </w:p>
    <w:p w:rsidR="00525419" w:rsidRDefault="00EE1CF7">
      <w:pPr>
        <w:snapToGrid w:val="0"/>
        <w:spacing w:line="360" w:lineRule="auto"/>
        <w:ind w:firstLineChars="200" w:firstLine="480"/>
        <w:rPr>
          <w:rFonts w:ascii="Times New Roman" w:hAnsi="Times New Roman"/>
          <w:sz w:val="24"/>
        </w:rPr>
      </w:pPr>
      <w:r>
        <w:rPr>
          <w:rFonts w:ascii="Times New Roman" w:hAnsi="Times New Roman"/>
          <w:sz w:val="24"/>
        </w:rPr>
        <w:t>4.2-1</w:t>
      </w:r>
      <w:r>
        <w:rPr>
          <w:rFonts w:ascii="Times New Roman" w:hAnsi="Times New Roman"/>
          <w:sz w:val="24"/>
        </w:rPr>
        <w:t>园区规划范围图；</w:t>
      </w:r>
    </w:p>
    <w:p w:rsidR="00525419" w:rsidRDefault="00EE1CF7">
      <w:pPr>
        <w:snapToGrid w:val="0"/>
        <w:spacing w:line="360" w:lineRule="auto"/>
        <w:ind w:firstLineChars="200" w:firstLine="480"/>
        <w:rPr>
          <w:rFonts w:ascii="Times New Roman" w:hAnsi="Times New Roman"/>
          <w:sz w:val="24"/>
        </w:rPr>
      </w:pPr>
      <w:r>
        <w:rPr>
          <w:rFonts w:ascii="Times New Roman" w:hAnsi="Times New Roman"/>
          <w:sz w:val="24"/>
        </w:rPr>
        <w:t>4.2-2</w:t>
      </w:r>
      <w:r>
        <w:rPr>
          <w:rFonts w:ascii="Times New Roman" w:hAnsi="Times New Roman"/>
          <w:sz w:val="24"/>
        </w:rPr>
        <w:t>园区空间结构规划；</w:t>
      </w:r>
    </w:p>
    <w:p w:rsidR="00525419" w:rsidRDefault="00EE1CF7">
      <w:pPr>
        <w:snapToGrid w:val="0"/>
        <w:spacing w:line="360" w:lineRule="auto"/>
        <w:ind w:firstLineChars="200" w:firstLine="480"/>
        <w:rPr>
          <w:rFonts w:ascii="Times New Roman" w:hAnsi="Times New Roman"/>
          <w:sz w:val="24"/>
        </w:rPr>
      </w:pPr>
      <w:r>
        <w:rPr>
          <w:rFonts w:ascii="Times New Roman" w:hAnsi="Times New Roman"/>
          <w:sz w:val="24"/>
        </w:rPr>
        <w:t>4.2-4</w:t>
      </w:r>
      <w:r>
        <w:rPr>
          <w:rFonts w:ascii="Times New Roman" w:hAnsi="Times New Roman"/>
          <w:sz w:val="24"/>
        </w:rPr>
        <w:t>近期建设用地规划图；</w:t>
      </w:r>
    </w:p>
    <w:p w:rsidR="00525419" w:rsidRDefault="00EE1CF7">
      <w:pPr>
        <w:snapToGrid w:val="0"/>
        <w:spacing w:line="360" w:lineRule="auto"/>
        <w:ind w:firstLineChars="200" w:firstLine="480"/>
        <w:rPr>
          <w:rFonts w:ascii="Times New Roman" w:hAnsi="Times New Roman"/>
          <w:sz w:val="24"/>
        </w:rPr>
      </w:pPr>
      <w:r>
        <w:rPr>
          <w:rFonts w:ascii="Times New Roman" w:hAnsi="Times New Roman"/>
          <w:sz w:val="24"/>
        </w:rPr>
        <w:t xml:space="preserve">4.3-1 </w:t>
      </w:r>
      <w:r>
        <w:rPr>
          <w:rFonts w:ascii="Times New Roman" w:hAnsi="Times New Roman"/>
          <w:sz w:val="24"/>
        </w:rPr>
        <w:t>大气、土壤、噪声监测布点图；</w:t>
      </w:r>
    </w:p>
    <w:p w:rsidR="00525419" w:rsidRDefault="00EE1CF7">
      <w:pPr>
        <w:snapToGrid w:val="0"/>
        <w:spacing w:line="360" w:lineRule="auto"/>
        <w:ind w:firstLineChars="200" w:firstLine="480"/>
        <w:rPr>
          <w:rFonts w:ascii="Times New Roman" w:hAnsi="Times New Roman"/>
          <w:sz w:val="24"/>
        </w:rPr>
      </w:pPr>
      <w:r>
        <w:rPr>
          <w:rFonts w:ascii="Times New Roman" w:hAnsi="Times New Roman"/>
          <w:sz w:val="24"/>
        </w:rPr>
        <w:t>新平面布置图；</w:t>
      </w:r>
    </w:p>
    <w:p w:rsidR="00525419" w:rsidRDefault="00525419">
      <w:pPr>
        <w:snapToGrid w:val="0"/>
        <w:spacing w:line="360" w:lineRule="auto"/>
        <w:ind w:firstLineChars="200" w:firstLine="480"/>
        <w:rPr>
          <w:rFonts w:ascii="Times New Roman" w:hAnsi="Times New Roman"/>
          <w:sz w:val="24"/>
        </w:rPr>
      </w:pPr>
    </w:p>
    <w:p w:rsidR="00525419" w:rsidRDefault="00EE1CF7">
      <w:pPr>
        <w:pStyle w:val="afb"/>
        <w:spacing w:line="360" w:lineRule="auto"/>
        <w:ind w:firstLineChars="200" w:firstLine="482"/>
        <w:rPr>
          <w:b/>
          <w:bCs/>
          <w:kern w:val="2"/>
          <w:sz w:val="24"/>
          <w:szCs w:val="22"/>
        </w:rPr>
      </w:pPr>
      <w:r>
        <w:rPr>
          <w:b/>
          <w:bCs/>
          <w:kern w:val="2"/>
          <w:sz w:val="24"/>
          <w:szCs w:val="22"/>
        </w:rPr>
        <w:t>原有工程相关附件：</w:t>
      </w:r>
    </w:p>
    <w:p w:rsidR="00525419" w:rsidRDefault="00EE1CF7">
      <w:pPr>
        <w:pStyle w:val="afb"/>
        <w:spacing w:line="360" w:lineRule="auto"/>
        <w:ind w:firstLine="480"/>
        <w:rPr>
          <w:kern w:val="2"/>
          <w:sz w:val="24"/>
          <w:szCs w:val="22"/>
        </w:rPr>
      </w:pPr>
      <w:r>
        <w:rPr>
          <w:kern w:val="2"/>
          <w:sz w:val="24"/>
          <w:szCs w:val="22"/>
        </w:rPr>
        <w:t>1</w:t>
      </w:r>
      <w:r>
        <w:rPr>
          <w:kern w:val="2"/>
          <w:sz w:val="24"/>
          <w:szCs w:val="22"/>
        </w:rPr>
        <w:t>、新疆美汇特石化产品有限公司鄯善县</w:t>
      </w:r>
      <w:r>
        <w:rPr>
          <w:kern w:val="2"/>
          <w:sz w:val="24"/>
          <w:szCs w:val="22"/>
        </w:rPr>
        <w:t>50</w:t>
      </w:r>
      <w:r>
        <w:rPr>
          <w:kern w:val="2"/>
          <w:sz w:val="24"/>
          <w:szCs w:val="22"/>
        </w:rPr>
        <w:t>万吨</w:t>
      </w:r>
      <w:r>
        <w:rPr>
          <w:kern w:val="2"/>
          <w:sz w:val="24"/>
          <w:szCs w:val="22"/>
        </w:rPr>
        <w:t>/</w:t>
      </w:r>
      <w:r>
        <w:rPr>
          <w:kern w:val="2"/>
          <w:sz w:val="24"/>
          <w:szCs w:val="22"/>
        </w:rPr>
        <w:t>年高等级道路沥青及改性沥青项目环境影响报告书的批复及环保验收批复；</w:t>
      </w:r>
    </w:p>
    <w:p w:rsidR="00525419" w:rsidRDefault="00EE1CF7">
      <w:pPr>
        <w:pStyle w:val="afb"/>
        <w:spacing w:line="360" w:lineRule="auto"/>
        <w:ind w:firstLine="480"/>
        <w:rPr>
          <w:kern w:val="2"/>
          <w:sz w:val="24"/>
          <w:szCs w:val="22"/>
        </w:rPr>
      </w:pPr>
      <w:r>
        <w:rPr>
          <w:kern w:val="2"/>
          <w:sz w:val="24"/>
          <w:szCs w:val="22"/>
        </w:rPr>
        <w:t>2</w:t>
      </w:r>
      <w:r>
        <w:rPr>
          <w:kern w:val="2"/>
          <w:sz w:val="24"/>
          <w:szCs w:val="22"/>
        </w:rPr>
        <w:t>、新疆美汇特石化产品有限公司鄯善县</w:t>
      </w:r>
      <w:r>
        <w:rPr>
          <w:kern w:val="2"/>
          <w:sz w:val="24"/>
          <w:szCs w:val="22"/>
        </w:rPr>
        <w:t>120</w:t>
      </w:r>
      <w:r>
        <w:rPr>
          <w:kern w:val="2"/>
          <w:sz w:val="24"/>
          <w:szCs w:val="22"/>
        </w:rPr>
        <w:t>万吨</w:t>
      </w:r>
      <w:r>
        <w:rPr>
          <w:kern w:val="2"/>
          <w:sz w:val="24"/>
          <w:szCs w:val="22"/>
        </w:rPr>
        <w:t>/</w:t>
      </w:r>
      <w:r>
        <w:rPr>
          <w:kern w:val="2"/>
          <w:sz w:val="24"/>
          <w:szCs w:val="22"/>
        </w:rPr>
        <w:t>年高等级道路沥青及改性沥青改扩建项目环境影响报告书的批复及环保验收批复；</w:t>
      </w:r>
    </w:p>
    <w:p w:rsidR="00525419" w:rsidRDefault="00EE1CF7">
      <w:pPr>
        <w:pStyle w:val="afb"/>
        <w:spacing w:line="360" w:lineRule="auto"/>
        <w:ind w:firstLine="480"/>
        <w:rPr>
          <w:kern w:val="2"/>
          <w:sz w:val="24"/>
          <w:szCs w:val="22"/>
        </w:rPr>
      </w:pPr>
      <w:r>
        <w:rPr>
          <w:kern w:val="2"/>
          <w:sz w:val="24"/>
          <w:szCs w:val="22"/>
        </w:rPr>
        <w:t>3</w:t>
      </w:r>
      <w:r>
        <w:rPr>
          <w:kern w:val="2"/>
          <w:sz w:val="24"/>
          <w:szCs w:val="22"/>
        </w:rPr>
        <w:t>、</w:t>
      </w:r>
      <w:r>
        <w:rPr>
          <w:kern w:val="2"/>
          <w:sz w:val="24"/>
          <w:szCs w:val="22"/>
        </w:rPr>
        <w:t>2</w:t>
      </w:r>
      <w:r>
        <w:rPr>
          <w:kern w:val="2"/>
          <w:sz w:val="24"/>
          <w:szCs w:val="22"/>
        </w:rPr>
        <w:t>万立方米成品油储油库项目环境影响报告表的环评批复；</w:t>
      </w:r>
    </w:p>
    <w:p w:rsidR="00525419" w:rsidRDefault="00EE1CF7">
      <w:pPr>
        <w:pStyle w:val="afb"/>
        <w:spacing w:line="360" w:lineRule="auto"/>
        <w:ind w:firstLine="480"/>
        <w:rPr>
          <w:kern w:val="2"/>
          <w:sz w:val="24"/>
          <w:szCs w:val="22"/>
        </w:rPr>
      </w:pPr>
      <w:r>
        <w:rPr>
          <w:kern w:val="2"/>
          <w:sz w:val="24"/>
          <w:szCs w:val="22"/>
        </w:rPr>
        <w:t>4</w:t>
      </w:r>
      <w:r>
        <w:rPr>
          <w:kern w:val="2"/>
          <w:sz w:val="24"/>
          <w:szCs w:val="22"/>
        </w:rPr>
        <w:t>、</w:t>
      </w:r>
      <w:r>
        <w:rPr>
          <w:kern w:val="2"/>
          <w:sz w:val="24"/>
          <w:szCs w:val="22"/>
        </w:rPr>
        <w:t>2</w:t>
      </w:r>
      <w:r>
        <w:rPr>
          <w:kern w:val="2"/>
          <w:sz w:val="24"/>
          <w:szCs w:val="22"/>
        </w:rPr>
        <w:t>万立方米成品油储油库项目环境影响报告验收专家组意见；</w:t>
      </w:r>
    </w:p>
    <w:p w:rsidR="00525419" w:rsidRDefault="00EE1CF7">
      <w:pPr>
        <w:pStyle w:val="afb"/>
        <w:spacing w:line="360" w:lineRule="auto"/>
        <w:ind w:firstLine="480"/>
        <w:rPr>
          <w:kern w:val="2"/>
          <w:sz w:val="24"/>
          <w:szCs w:val="22"/>
        </w:rPr>
      </w:pPr>
      <w:r>
        <w:rPr>
          <w:kern w:val="2"/>
          <w:sz w:val="24"/>
          <w:szCs w:val="22"/>
        </w:rPr>
        <w:t>5</w:t>
      </w:r>
      <w:r>
        <w:rPr>
          <w:kern w:val="2"/>
          <w:sz w:val="24"/>
          <w:szCs w:val="22"/>
        </w:rPr>
        <w:t>、</w:t>
      </w:r>
      <w:r>
        <w:rPr>
          <w:kern w:val="2"/>
          <w:sz w:val="24"/>
          <w:szCs w:val="22"/>
        </w:rPr>
        <w:t>8</w:t>
      </w:r>
      <w:r>
        <w:rPr>
          <w:kern w:val="2"/>
          <w:sz w:val="24"/>
          <w:szCs w:val="22"/>
        </w:rPr>
        <w:t>万</w:t>
      </w:r>
      <w:r>
        <w:rPr>
          <w:kern w:val="2"/>
          <w:sz w:val="24"/>
          <w:szCs w:val="22"/>
        </w:rPr>
        <w:t>m</w:t>
      </w:r>
      <w:r>
        <w:rPr>
          <w:kern w:val="2"/>
          <w:sz w:val="24"/>
          <w:szCs w:val="22"/>
          <w:vertAlign w:val="superscript"/>
        </w:rPr>
        <w:t>3</w:t>
      </w:r>
      <w:r>
        <w:rPr>
          <w:kern w:val="2"/>
          <w:sz w:val="24"/>
          <w:szCs w:val="22"/>
        </w:rPr>
        <w:t>沥青储罐经营储存项目环境影响报告表的环评批复；</w:t>
      </w:r>
    </w:p>
    <w:p w:rsidR="00525419" w:rsidRDefault="00EE1CF7">
      <w:pPr>
        <w:pStyle w:val="afb"/>
        <w:spacing w:line="360" w:lineRule="auto"/>
        <w:ind w:firstLineChars="200" w:firstLine="480"/>
        <w:rPr>
          <w:kern w:val="2"/>
          <w:sz w:val="24"/>
          <w:szCs w:val="22"/>
        </w:rPr>
      </w:pPr>
      <w:r>
        <w:rPr>
          <w:kern w:val="2"/>
          <w:sz w:val="24"/>
          <w:szCs w:val="22"/>
        </w:rPr>
        <w:t>6</w:t>
      </w:r>
      <w:r>
        <w:rPr>
          <w:kern w:val="2"/>
          <w:sz w:val="24"/>
          <w:szCs w:val="22"/>
        </w:rPr>
        <w:t>、关于</w:t>
      </w:r>
      <w:r>
        <w:rPr>
          <w:kern w:val="2"/>
          <w:sz w:val="24"/>
          <w:szCs w:val="22"/>
        </w:rPr>
        <w:t>140</w:t>
      </w:r>
      <w:r>
        <w:rPr>
          <w:kern w:val="2"/>
          <w:sz w:val="24"/>
          <w:szCs w:val="22"/>
        </w:rPr>
        <w:t>万吨</w:t>
      </w:r>
      <w:r>
        <w:rPr>
          <w:kern w:val="2"/>
          <w:sz w:val="24"/>
          <w:szCs w:val="22"/>
        </w:rPr>
        <w:t>/</w:t>
      </w:r>
      <w:r>
        <w:rPr>
          <w:kern w:val="2"/>
          <w:sz w:val="24"/>
          <w:szCs w:val="22"/>
        </w:rPr>
        <w:t>年高等级道路沥青及改性沥青改扩建项目总量指标的批复；</w:t>
      </w:r>
    </w:p>
    <w:p w:rsidR="00525419" w:rsidRDefault="00EE1CF7">
      <w:pPr>
        <w:pStyle w:val="afb"/>
        <w:spacing w:line="360" w:lineRule="auto"/>
        <w:ind w:firstLineChars="200" w:firstLine="480"/>
        <w:rPr>
          <w:kern w:val="2"/>
          <w:sz w:val="24"/>
          <w:szCs w:val="22"/>
        </w:rPr>
      </w:pPr>
      <w:r>
        <w:rPr>
          <w:kern w:val="2"/>
          <w:sz w:val="24"/>
          <w:szCs w:val="22"/>
        </w:rPr>
        <w:lastRenderedPageBreak/>
        <w:t>7</w:t>
      </w:r>
      <w:r>
        <w:rPr>
          <w:kern w:val="2"/>
          <w:sz w:val="24"/>
          <w:szCs w:val="22"/>
        </w:rPr>
        <w:t>、关于新疆美汇特石化产品有限公司</w:t>
      </w:r>
      <w:r>
        <w:rPr>
          <w:kern w:val="2"/>
          <w:sz w:val="24"/>
          <w:szCs w:val="22"/>
        </w:rPr>
        <w:t>“</w:t>
      </w:r>
      <w:r>
        <w:rPr>
          <w:kern w:val="2"/>
          <w:sz w:val="24"/>
          <w:szCs w:val="22"/>
        </w:rPr>
        <w:t>一企一策</w:t>
      </w:r>
      <w:r>
        <w:rPr>
          <w:kern w:val="2"/>
          <w:sz w:val="24"/>
          <w:szCs w:val="22"/>
        </w:rPr>
        <w:t>”</w:t>
      </w:r>
      <w:r>
        <w:rPr>
          <w:kern w:val="2"/>
          <w:sz w:val="24"/>
          <w:szCs w:val="22"/>
        </w:rPr>
        <w:t>报告的评审意见；</w:t>
      </w:r>
    </w:p>
    <w:p w:rsidR="00525419" w:rsidRDefault="00EE1CF7">
      <w:pPr>
        <w:pStyle w:val="afb"/>
        <w:numPr>
          <w:ilvl w:val="0"/>
          <w:numId w:val="116"/>
        </w:numPr>
        <w:spacing w:line="360" w:lineRule="auto"/>
        <w:ind w:firstLine="480"/>
        <w:rPr>
          <w:kern w:val="2"/>
          <w:sz w:val="24"/>
          <w:szCs w:val="22"/>
        </w:rPr>
      </w:pPr>
      <w:r>
        <w:rPr>
          <w:kern w:val="2"/>
          <w:sz w:val="24"/>
          <w:szCs w:val="22"/>
        </w:rPr>
        <w:t>现有工程例行监测数据。</w:t>
      </w:r>
    </w:p>
    <w:p w:rsidR="00525419" w:rsidRDefault="00525419">
      <w:pPr>
        <w:pStyle w:val="afb"/>
        <w:spacing w:line="360" w:lineRule="auto"/>
        <w:ind w:firstLineChars="200" w:firstLine="482"/>
        <w:rPr>
          <w:b/>
          <w:bCs/>
          <w:kern w:val="2"/>
          <w:sz w:val="24"/>
          <w:szCs w:val="22"/>
        </w:rPr>
      </w:pPr>
    </w:p>
    <w:p w:rsidR="00525419" w:rsidRDefault="00EE1CF7">
      <w:pPr>
        <w:pStyle w:val="afb"/>
        <w:spacing w:line="360" w:lineRule="auto"/>
        <w:ind w:firstLineChars="200" w:firstLine="482"/>
        <w:rPr>
          <w:b/>
          <w:bCs/>
          <w:kern w:val="2"/>
          <w:sz w:val="24"/>
          <w:szCs w:val="22"/>
        </w:rPr>
      </w:pPr>
      <w:r>
        <w:rPr>
          <w:b/>
          <w:bCs/>
          <w:kern w:val="2"/>
          <w:sz w:val="24"/>
          <w:szCs w:val="22"/>
        </w:rPr>
        <w:t>本项目相关附件：</w:t>
      </w:r>
    </w:p>
    <w:p w:rsidR="00525419" w:rsidRDefault="00EE1CF7">
      <w:pPr>
        <w:pStyle w:val="afb"/>
        <w:spacing w:line="360" w:lineRule="auto"/>
        <w:ind w:firstLineChars="200" w:firstLine="480"/>
        <w:rPr>
          <w:kern w:val="2"/>
          <w:sz w:val="24"/>
          <w:szCs w:val="22"/>
        </w:rPr>
      </w:pPr>
      <w:r>
        <w:rPr>
          <w:kern w:val="2"/>
          <w:sz w:val="24"/>
          <w:szCs w:val="22"/>
        </w:rPr>
        <w:t>1</w:t>
      </w:r>
      <w:r>
        <w:rPr>
          <w:kern w:val="2"/>
          <w:sz w:val="24"/>
          <w:szCs w:val="22"/>
        </w:rPr>
        <w:t>、新疆美汇特石化产品有限公司</w:t>
      </w:r>
      <w:r>
        <w:rPr>
          <w:kern w:val="2"/>
          <w:sz w:val="24"/>
          <w:szCs w:val="22"/>
        </w:rPr>
        <w:t>40</w:t>
      </w:r>
      <w:r>
        <w:rPr>
          <w:kern w:val="2"/>
          <w:sz w:val="24"/>
          <w:szCs w:val="22"/>
        </w:rPr>
        <w:t>万吨</w:t>
      </w:r>
      <w:r>
        <w:rPr>
          <w:kern w:val="2"/>
          <w:sz w:val="24"/>
          <w:szCs w:val="22"/>
        </w:rPr>
        <w:t>/</w:t>
      </w:r>
      <w:r>
        <w:rPr>
          <w:kern w:val="2"/>
          <w:sz w:val="24"/>
          <w:szCs w:val="22"/>
        </w:rPr>
        <w:t>年煤焦油加氢及配套项目环境影响报告书的批复；</w:t>
      </w:r>
    </w:p>
    <w:p w:rsidR="00525419" w:rsidRDefault="00EE1CF7">
      <w:pPr>
        <w:pStyle w:val="afb"/>
        <w:spacing w:line="360" w:lineRule="auto"/>
        <w:ind w:firstLineChars="200" w:firstLine="480"/>
        <w:rPr>
          <w:kern w:val="2"/>
          <w:sz w:val="24"/>
          <w:szCs w:val="22"/>
        </w:rPr>
      </w:pPr>
      <w:r>
        <w:rPr>
          <w:kern w:val="2"/>
          <w:sz w:val="24"/>
          <w:szCs w:val="22"/>
        </w:rPr>
        <w:t>2</w:t>
      </w:r>
      <w:r>
        <w:rPr>
          <w:kern w:val="2"/>
          <w:sz w:val="24"/>
          <w:szCs w:val="22"/>
        </w:rPr>
        <w:t>、关于新疆鄯善高新技术产业园区（鄯善工业园区）总体规划（</w:t>
      </w:r>
      <w:r>
        <w:rPr>
          <w:kern w:val="2"/>
          <w:sz w:val="24"/>
          <w:szCs w:val="22"/>
        </w:rPr>
        <w:t>2015-2030</w:t>
      </w:r>
      <w:r>
        <w:rPr>
          <w:kern w:val="2"/>
          <w:sz w:val="24"/>
          <w:szCs w:val="22"/>
        </w:rPr>
        <w:t>）环境影响报告书的审查意见；</w:t>
      </w:r>
    </w:p>
    <w:p w:rsidR="00525419" w:rsidRDefault="00EE1CF7">
      <w:pPr>
        <w:pStyle w:val="afb"/>
        <w:spacing w:line="360" w:lineRule="auto"/>
        <w:ind w:firstLineChars="200" w:firstLine="480"/>
        <w:rPr>
          <w:kern w:val="2"/>
          <w:sz w:val="24"/>
          <w:szCs w:val="22"/>
        </w:rPr>
      </w:pPr>
      <w:r>
        <w:rPr>
          <w:kern w:val="2"/>
          <w:sz w:val="24"/>
          <w:szCs w:val="22"/>
        </w:rPr>
        <w:t>3</w:t>
      </w:r>
      <w:r>
        <w:rPr>
          <w:kern w:val="2"/>
          <w:sz w:val="24"/>
          <w:szCs w:val="22"/>
        </w:rPr>
        <w:t>、引用厂区土壤监测报告；</w:t>
      </w:r>
    </w:p>
    <w:p w:rsidR="00525419" w:rsidRDefault="00EE1CF7">
      <w:pPr>
        <w:pStyle w:val="afb"/>
        <w:spacing w:line="360" w:lineRule="auto"/>
        <w:ind w:firstLineChars="200" w:firstLine="480"/>
        <w:rPr>
          <w:kern w:val="2"/>
          <w:sz w:val="24"/>
          <w:szCs w:val="22"/>
        </w:rPr>
      </w:pPr>
      <w:r>
        <w:rPr>
          <w:kern w:val="2"/>
          <w:sz w:val="24"/>
          <w:szCs w:val="22"/>
        </w:rPr>
        <w:t>4</w:t>
      </w:r>
      <w:r>
        <w:rPr>
          <w:kern w:val="2"/>
          <w:sz w:val="24"/>
          <w:szCs w:val="22"/>
        </w:rPr>
        <w:t>、土壤、环境空气、噪声监测报告；</w:t>
      </w:r>
    </w:p>
    <w:p w:rsidR="00525419" w:rsidRDefault="00EE1CF7">
      <w:pPr>
        <w:pStyle w:val="afb"/>
        <w:spacing w:line="360" w:lineRule="auto"/>
        <w:ind w:firstLineChars="200" w:firstLine="480"/>
        <w:rPr>
          <w:kern w:val="2"/>
          <w:sz w:val="24"/>
          <w:szCs w:val="22"/>
        </w:rPr>
      </w:pPr>
      <w:r>
        <w:rPr>
          <w:kern w:val="2"/>
          <w:sz w:val="24"/>
          <w:szCs w:val="22"/>
        </w:rPr>
        <w:t>5</w:t>
      </w:r>
      <w:r>
        <w:rPr>
          <w:kern w:val="2"/>
          <w:sz w:val="24"/>
          <w:szCs w:val="22"/>
        </w:rPr>
        <w:t>、营业执照；</w:t>
      </w:r>
    </w:p>
    <w:p w:rsidR="00525419" w:rsidRDefault="00EE1CF7">
      <w:pPr>
        <w:pStyle w:val="afb"/>
        <w:spacing w:line="360" w:lineRule="auto"/>
        <w:ind w:firstLineChars="200" w:firstLine="480"/>
        <w:rPr>
          <w:kern w:val="2"/>
          <w:sz w:val="24"/>
          <w:szCs w:val="22"/>
        </w:rPr>
      </w:pPr>
      <w:r>
        <w:rPr>
          <w:kern w:val="2"/>
          <w:sz w:val="24"/>
          <w:szCs w:val="22"/>
        </w:rPr>
        <w:t>6</w:t>
      </w:r>
      <w:r>
        <w:rPr>
          <w:kern w:val="2"/>
          <w:sz w:val="24"/>
          <w:szCs w:val="22"/>
        </w:rPr>
        <w:t>、建设项目环评审批基础信息表；</w:t>
      </w:r>
    </w:p>
    <w:p w:rsidR="00525419" w:rsidRDefault="00EE1CF7">
      <w:pPr>
        <w:pStyle w:val="afb"/>
        <w:spacing w:line="360" w:lineRule="auto"/>
        <w:ind w:firstLineChars="200" w:firstLine="480"/>
        <w:rPr>
          <w:kern w:val="2"/>
          <w:sz w:val="24"/>
          <w:szCs w:val="22"/>
        </w:rPr>
      </w:pPr>
      <w:r>
        <w:rPr>
          <w:kern w:val="2"/>
          <w:sz w:val="24"/>
          <w:szCs w:val="22"/>
        </w:rPr>
        <w:t>7</w:t>
      </w:r>
      <w:r>
        <w:rPr>
          <w:kern w:val="2"/>
          <w:sz w:val="24"/>
          <w:szCs w:val="22"/>
        </w:rPr>
        <w:t>、项目委托书。</w:t>
      </w:r>
    </w:p>
    <w:p w:rsidR="00525419" w:rsidRDefault="00EE1CF7">
      <w:pPr>
        <w:pStyle w:val="afb"/>
        <w:spacing w:line="360" w:lineRule="auto"/>
        <w:rPr>
          <w:kern w:val="2"/>
          <w:sz w:val="24"/>
          <w:szCs w:val="22"/>
        </w:rPr>
      </w:pPr>
      <w:r>
        <w:rPr>
          <w:kern w:val="2"/>
          <w:sz w:val="24"/>
          <w:szCs w:val="22"/>
        </w:rPr>
        <w:br w:type="page"/>
      </w:r>
    </w:p>
    <w:p w:rsidR="00525419" w:rsidRDefault="00EE1CF7">
      <w:pPr>
        <w:pStyle w:val="1a"/>
        <w:spacing w:before="120" w:after="0" w:line="360" w:lineRule="auto"/>
        <w:jc w:val="center"/>
        <w:rPr>
          <w:rFonts w:ascii="Times New Roman" w:eastAsia="楷体_GB2312" w:hAnsi="Times New Roman"/>
        </w:rPr>
      </w:pPr>
      <w:bookmarkStart w:id="5" w:name="_Toc31626"/>
      <w:r>
        <w:rPr>
          <w:rFonts w:ascii="Times New Roman" w:eastAsia="楷体_GB2312" w:hAnsi="Times New Roman"/>
        </w:rPr>
        <w:lastRenderedPageBreak/>
        <w:t xml:space="preserve">1 </w:t>
      </w:r>
      <w:r>
        <w:rPr>
          <w:rFonts w:ascii="Times New Roman" w:eastAsia="楷体_GB2312" w:hAnsi="Times New Roman"/>
        </w:rPr>
        <w:t>概述</w:t>
      </w:r>
      <w:bookmarkEnd w:id="5"/>
    </w:p>
    <w:p w:rsidR="00525419" w:rsidRDefault="00EE1CF7">
      <w:pPr>
        <w:pStyle w:val="2a"/>
        <w:spacing w:beforeLines="50" w:before="156" w:after="156"/>
        <w:ind w:left="578" w:hanging="578"/>
        <w:rPr>
          <w:rFonts w:ascii="Times New Roman" w:eastAsia="楷体_GB2312" w:hAnsi="Times New Roman"/>
          <w:sz w:val="36"/>
        </w:rPr>
      </w:pPr>
      <w:bookmarkStart w:id="6" w:name="_Toc410121232"/>
      <w:bookmarkStart w:id="7" w:name="_Toc461196948"/>
      <w:bookmarkStart w:id="8" w:name="_Toc18267"/>
      <w:r>
        <w:rPr>
          <w:rFonts w:ascii="Times New Roman" w:eastAsia="楷体_GB2312" w:hAnsi="Times New Roman"/>
          <w:sz w:val="36"/>
        </w:rPr>
        <w:t>1.1</w:t>
      </w:r>
      <w:bookmarkEnd w:id="6"/>
      <w:bookmarkEnd w:id="7"/>
      <w:r>
        <w:rPr>
          <w:rFonts w:ascii="Times New Roman" w:eastAsia="楷体_GB2312" w:hAnsi="Times New Roman"/>
          <w:sz w:val="36"/>
        </w:rPr>
        <w:t>建设项目背景及特点</w:t>
      </w:r>
      <w:bookmarkEnd w:id="8"/>
    </w:p>
    <w:p w:rsidR="00525419" w:rsidRDefault="00EE1CF7">
      <w:pPr>
        <w:snapToGrid w:val="0"/>
        <w:spacing w:line="360" w:lineRule="auto"/>
        <w:ind w:firstLineChars="200" w:firstLine="480"/>
        <w:rPr>
          <w:rFonts w:ascii="Times New Roman" w:hAnsi="Times New Roman"/>
          <w:sz w:val="24"/>
        </w:rPr>
      </w:pPr>
      <w:r>
        <w:rPr>
          <w:rFonts w:ascii="Times New Roman" w:hAnsi="Times New Roman"/>
          <w:sz w:val="24"/>
        </w:rPr>
        <w:t>新疆美汇特石化产品有限公司（以下简称美汇特公司）是一家以生产经营高等级道路沥青和改性沥青为主的民营石化企业，公司成立于</w:t>
      </w:r>
      <w:r>
        <w:rPr>
          <w:rFonts w:ascii="Times New Roman" w:hAnsi="Times New Roman"/>
          <w:sz w:val="24"/>
        </w:rPr>
        <w:t xml:space="preserve"> 2007 </w:t>
      </w:r>
      <w:r>
        <w:rPr>
          <w:rFonts w:ascii="Times New Roman" w:hAnsi="Times New Roman"/>
          <w:sz w:val="24"/>
        </w:rPr>
        <w:t>年</w:t>
      </w:r>
      <w:r>
        <w:rPr>
          <w:rFonts w:ascii="Times New Roman" w:hAnsi="Times New Roman"/>
          <w:sz w:val="24"/>
        </w:rPr>
        <w:t xml:space="preserve"> 3 </w:t>
      </w:r>
      <w:r>
        <w:rPr>
          <w:rFonts w:ascii="Times New Roman" w:hAnsi="Times New Roman"/>
          <w:sz w:val="24"/>
        </w:rPr>
        <w:t>月</w:t>
      </w:r>
      <w:r>
        <w:rPr>
          <w:rFonts w:ascii="Times New Roman" w:hAnsi="Times New Roman"/>
          <w:sz w:val="24"/>
        </w:rPr>
        <w:t xml:space="preserve"> 2 </w:t>
      </w:r>
      <w:r>
        <w:rPr>
          <w:rFonts w:ascii="Times New Roman" w:hAnsi="Times New Roman"/>
          <w:sz w:val="24"/>
        </w:rPr>
        <w:t>日，注册地址吐鲁番市鄯善工业园区，注册资本</w:t>
      </w:r>
      <w:r>
        <w:rPr>
          <w:rFonts w:ascii="Times New Roman" w:hAnsi="Times New Roman"/>
          <w:sz w:val="24"/>
        </w:rPr>
        <w:t xml:space="preserve"> 15 </w:t>
      </w:r>
      <w:r>
        <w:rPr>
          <w:rFonts w:ascii="Times New Roman" w:hAnsi="Times New Roman"/>
          <w:sz w:val="24"/>
        </w:rPr>
        <w:t>亿元人民币，占地面积</w:t>
      </w:r>
      <w:r>
        <w:rPr>
          <w:rFonts w:ascii="Times New Roman" w:hAnsi="Times New Roman"/>
          <w:sz w:val="24"/>
        </w:rPr>
        <w:t xml:space="preserve"> 660 </w:t>
      </w:r>
      <w:r>
        <w:rPr>
          <w:rFonts w:ascii="Times New Roman" w:hAnsi="Times New Roman"/>
          <w:sz w:val="24"/>
        </w:rPr>
        <w:t>亩，公司现有员工</w:t>
      </w:r>
      <w:r>
        <w:rPr>
          <w:rFonts w:ascii="Times New Roman" w:hAnsi="Times New Roman"/>
          <w:sz w:val="24"/>
        </w:rPr>
        <w:t xml:space="preserve">480 </w:t>
      </w:r>
      <w:r>
        <w:rPr>
          <w:rFonts w:ascii="Times New Roman" w:hAnsi="Times New Roman"/>
          <w:sz w:val="24"/>
        </w:rPr>
        <w:t>人。美汇特公司现有储存罐单次储油能力</w:t>
      </w:r>
      <w:r>
        <w:rPr>
          <w:rFonts w:ascii="Times New Roman" w:hAnsi="Times New Roman"/>
          <w:sz w:val="24"/>
        </w:rPr>
        <w:t>30</w:t>
      </w:r>
      <w:r>
        <w:rPr>
          <w:rFonts w:ascii="Times New Roman" w:hAnsi="Times New Roman"/>
          <w:sz w:val="24"/>
        </w:rPr>
        <w:t>万吨，储存沥青能力</w:t>
      </w:r>
      <w:r>
        <w:rPr>
          <w:rFonts w:ascii="Times New Roman" w:hAnsi="Times New Roman"/>
          <w:sz w:val="24"/>
        </w:rPr>
        <w:t>10</w:t>
      </w:r>
      <w:r>
        <w:rPr>
          <w:rFonts w:ascii="Times New Roman" w:hAnsi="Times New Roman"/>
          <w:sz w:val="24"/>
        </w:rPr>
        <w:t>万吨，现建有</w:t>
      </w:r>
      <w:r>
        <w:rPr>
          <w:rFonts w:ascii="Times New Roman" w:hAnsi="Times New Roman"/>
          <w:sz w:val="24"/>
        </w:rPr>
        <w:t>140</w:t>
      </w:r>
      <w:r>
        <w:rPr>
          <w:rFonts w:ascii="Times New Roman" w:hAnsi="Times New Roman"/>
          <w:sz w:val="24"/>
        </w:rPr>
        <w:t>万吨</w:t>
      </w:r>
      <w:r>
        <w:rPr>
          <w:rFonts w:ascii="Times New Roman" w:hAnsi="Times New Roman"/>
          <w:sz w:val="24"/>
        </w:rPr>
        <w:t>/</w:t>
      </w:r>
      <w:r>
        <w:rPr>
          <w:rFonts w:ascii="Times New Roman" w:hAnsi="Times New Roman"/>
          <w:sz w:val="24"/>
        </w:rPr>
        <w:t>年高等级道路沥青项目，产品主要有</w:t>
      </w:r>
      <w:r>
        <w:rPr>
          <w:rFonts w:ascii="Times New Roman" w:hAnsi="Times New Roman"/>
          <w:sz w:val="24"/>
        </w:rPr>
        <w:t>70#</w:t>
      </w:r>
      <w:r>
        <w:rPr>
          <w:rFonts w:ascii="Times New Roman" w:hAnsi="Times New Roman"/>
          <w:sz w:val="24"/>
        </w:rPr>
        <w:t>沥青、</w:t>
      </w:r>
      <w:r>
        <w:rPr>
          <w:rFonts w:ascii="Times New Roman" w:hAnsi="Times New Roman"/>
          <w:sz w:val="24"/>
        </w:rPr>
        <w:t>90#</w:t>
      </w:r>
      <w:r>
        <w:rPr>
          <w:rFonts w:ascii="Times New Roman" w:hAnsi="Times New Roman"/>
          <w:sz w:val="24"/>
        </w:rPr>
        <w:t>沥青、</w:t>
      </w:r>
      <w:r>
        <w:rPr>
          <w:rFonts w:ascii="Times New Roman" w:hAnsi="Times New Roman"/>
          <w:sz w:val="24"/>
        </w:rPr>
        <w:t>110#</w:t>
      </w:r>
      <w:r>
        <w:rPr>
          <w:rFonts w:ascii="Times New Roman" w:hAnsi="Times New Roman"/>
          <w:sz w:val="24"/>
        </w:rPr>
        <w:t>沥青、</w:t>
      </w:r>
      <w:r>
        <w:rPr>
          <w:rFonts w:ascii="Times New Roman" w:hAnsi="Times New Roman"/>
          <w:sz w:val="24"/>
        </w:rPr>
        <w:t>2#</w:t>
      </w:r>
      <w:r>
        <w:rPr>
          <w:rFonts w:ascii="Times New Roman" w:hAnsi="Times New Roman"/>
          <w:sz w:val="24"/>
        </w:rPr>
        <w:t>稳定轻烃，美汇特公司在保证产品质量同时，和下游客户建立了良好的合作关系。</w:t>
      </w:r>
    </w:p>
    <w:p w:rsidR="00525419" w:rsidRDefault="00EE1CF7">
      <w:pPr>
        <w:snapToGrid w:val="0"/>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新疆美汇特石化产品有限公司</w:t>
      </w:r>
      <w:r>
        <w:rPr>
          <w:rFonts w:ascii="Times New Roman" w:hAnsi="Times New Roman"/>
          <w:sz w:val="24"/>
        </w:rPr>
        <w:t>40</w:t>
      </w:r>
      <w:r>
        <w:rPr>
          <w:rFonts w:ascii="Times New Roman" w:hAnsi="Times New Roman"/>
          <w:sz w:val="24"/>
        </w:rPr>
        <w:t>万吨</w:t>
      </w:r>
      <w:r>
        <w:rPr>
          <w:rFonts w:ascii="Times New Roman" w:hAnsi="Times New Roman"/>
          <w:sz w:val="24"/>
        </w:rPr>
        <w:t>/</w:t>
      </w:r>
      <w:r>
        <w:rPr>
          <w:rFonts w:ascii="Times New Roman" w:hAnsi="Times New Roman"/>
          <w:sz w:val="24"/>
        </w:rPr>
        <w:t>年煤焦油加氢及配套项目</w:t>
      </w:r>
      <w:r>
        <w:rPr>
          <w:rFonts w:ascii="Times New Roman" w:hAnsi="Times New Roman"/>
          <w:sz w:val="24"/>
        </w:rPr>
        <w:t>”</w:t>
      </w:r>
      <w:r>
        <w:rPr>
          <w:rFonts w:ascii="Times New Roman" w:hAnsi="Times New Roman"/>
          <w:sz w:val="24"/>
        </w:rPr>
        <w:t>已于</w:t>
      </w:r>
      <w:r>
        <w:rPr>
          <w:rFonts w:ascii="Times New Roman" w:hAnsi="Times New Roman"/>
          <w:sz w:val="24"/>
        </w:rPr>
        <w:t>2018</w:t>
      </w:r>
      <w:r>
        <w:rPr>
          <w:rFonts w:ascii="Times New Roman" w:hAnsi="Times New Roman"/>
          <w:sz w:val="24"/>
        </w:rPr>
        <w:t>年</w:t>
      </w:r>
      <w:r>
        <w:rPr>
          <w:rFonts w:ascii="Times New Roman" w:hAnsi="Times New Roman"/>
          <w:sz w:val="24"/>
        </w:rPr>
        <w:t>2</w:t>
      </w:r>
      <w:r>
        <w:rPr>
          <w:rFonts w:ascii="Times New Roman" w:hAnsi="Times New Roman"/>
          <w:sz w:val="24"/>
        </w:rPr>
        <w:t>月取得自治区环保厅的批复（新环函</w:t>
      </w:r>
      <w:r>
        <w:rPr>
          <w:rFonts w:ascii="Times New Roman" w:hAnsi="Times New Roman"/>
          <w:sz w:val="24"/>
        </w:rPr>
        <w:t>[2018]225</w:t>
      </w:r>
      <w:r>
        <w:rPr>
          <w:rFonts w:ascii="Times New Roman" w:hAnsi="Times New Roman"/>
          <w:sz w:val="24"/>
        </w:rPr>
        <w:t>号），同意项目建设。</w:t>
      </w:r>
      <w:r>
        <w:rPr>
          <w:rFonts w:ascii="Times New Roman" w:hAnsi="Times New Roman" w:hint="eastAsia"/>
          <w:sz w:val="24"/>
        </w:rPr>
        <w:t>后期</w:t>
      </w:r>
      <w:r>
        <w:rPr>
          <w:rFonts w:ascii="Times New Roman" w:hAnsi="Times New Roman"/>
          <w:sz w:val="24"/>
        </w:rPr>
        <w:t>建设方由于资金</w:t>
      </w:r>
      <w:r>
        <w:rPr>
          <w:rFonts w:ascii="Times New Roman" w:hAnsi="Times New Roman" w:hint="eastAsia"/>
          <w:sz w:val="24"/>
        </w:rPr>
        <w:t>和市场</w:t>
      </w:r>
      <w:r>
        <w:rPr>
          <w:rFonts w:ascii="Times New Roman" w:hAnsi="Times New Roman"/>
          <w:sz w:val="24"/>
        </w:rPr>
        <w:t>原因，</w:t>
      </w:r>
      <w:r>
        <w:rPr>
          <w:rFonts w:ascii="Times New Roman" w:hAnsi="Times New Roman" w:hint="eastAsia"/>
          <w:sz w:val="24"/>
        </w:rPr>
        <w:t>在</w:t>
      </w:r>
      <w:r>
        <w:rPr>
          <w:rFonts w:ascii="Times New Roman" w:hAnsi="Times New Roman"/>
          <w:sz w:val="24"/>
        </w:rPr>
        <w:t>与设计方商讨</w:t>
      </w:r>
      <w:r>
        <w:rPr>
          <w:rFonts w:ascii="Times New Roman" w:hAnsi="Times New Roman" w:hint="eastAsia"/>
          <w:sz w:val="24"/>
        </w:rPr>
        <w:t>下将</w:t>
      </w:r>
      <w:r>
        <w:rPr>
          <w:rFonts w:ascii="Times New Roman" w:hAnsi="Times New Roman"/>
          <w:sz w:val="24"/>
        </w:rPr>
        <w:t>原批复中</w:t>
      </w:r>
      <w:r>
        <w:rPr>
          <w:rFonts w:ascii="Times New Roman" w:hAnsi="Times New Roman" w:hint="eastAsia"/>
          <w:sz w:val="24"/>
        </w:rPr>
        <w:t>部分内容取消，具体如下：取消</w:t>
      </w:r>
      <w:r>
        <w:rPr>
          <w:rFonts w:ascii="Times New Roman" w:hAnsi="Times New Roman"/>
          <w:sz w:val="24"/>
        </w:rPr>
        <w:t>一期工程建设内容</w:t>
      </w:r>
      <w:r>
        <w:rPr>
          <w:rFonts w:ascii="Times New Roman" w:hAnsi="Times New Roman" w:hint="eastAsia"/>
          <w:sz w:val="24"/>
        </w:rPr>
        <w:t>中</w:t>
      </w:r>
      <w:r>
        <w:rPr>
          <w:rFonts w:ascii="Times New Roman" w:hAnsi="Times New Roman"/>
          <w:sz w:val="24"/>
        </w:rPr>
        <w:t>煤焦油预处理装置，建设煤焦油加氢装置、天然气制氢装置以及硫磺回收装置及配套的辅助工程，取消二期工程建设内容。原批复建设内容及生产工艺发生了重大变化，根据《关于印发环评管理中部分行业建设项目重大变动清单的通知》（环办</w:t>
      </w:r>
      <w:r>
        <w:rPr>
          <w:rFonts w:ascii="Times New Roman" w:hAnsi="Times New Roman"/>
          <w:sz w:val="24"/>
        </w:rPr>
        <w:t>[2015]52</w:t>
      </w:r>
      <w:r>
        <w:rPr>
          <w:rFonts w:ascii="Times New Roman" w:hAnsi="Times New Roman"/>
          <w:sz w:val="24"/>
        </w:rPr>
        <w:t>号）和《关于印发〈新疆维吾尔自治区环境影响评价管理中建设项目重大变动界定程序规定〉的通知》中相关规定，项目属于重大变化，须重新报批环境影响文件。</w:t>
      </w:r>
    </w:p>
    <w:p w:rsidR="00525419" w:rsidRDefault="00EE1CF7">
      <w:pPr>
        <w:pStyle w:val="2a"/>
        <w:spacing w:beforeLines="50" w:before="156" w:after="156"/>
        <w:rPr>
          <w:rFonts w:ascii="Times New Roman" w:eastAsia="楷体_GB2312" w:hAnsi="Times New Roman"/>
          <w:sz w:val="36"/>
        </w:rPr>
      </w:pPr>
      <w:bookmarkStart w:id="9" w:name="_Toc7341"/>
      <w:r>
        <w:rPr>
          <w:rFonts w:ascii="Times New Roman" w:eastAsia="楷体_GB2312" w:hAnsi="Times New Roman"/>
          <w:sz w:val="36"/>
        </w:rPr>
        <w:t>1.2</w:t>
      </w:r>
      <w:r>
        <w:rPr>
          <w:rFonts w:ascii="Times New Roman" w:eastAsia="楷体_GB2312" w:hAnsi="Times New Roman"/>
          <w:sz w:val="36"/>
        </w:rPr>
        <w:t>环境影响评价的工作过程</w:t>
      </w:r>
      <w:bookmarkEnd w:id="9"/>
    </w:p>
    <w:p w:rsidR="00525419" w:rsidRDefault="00EE1CF7">
      <w:pPr>
        <w:snapToGrid w:val="0"/>
        <w:spacing w:line="360" w:lineRule="auto"/>
        <w:ind w:firstLineChars="200" w:firstLine="480"/>
        <w:rPr>
          <w:rFonts w:ascii="Times New Roman" w:hAnsi="Times New Roman"/>
          <w:sz w:val="24"/>
        </w:rPr>
      </w:pPr>
      <w:r>
        <w:rPr>
          <w:rFonts w:ascii="Times New Roman" w:hAnsi="Times New Roman"/>
          <w:sz w:val="24"/>
        </w:rPr>
        <w:t>根据《中华人民共和国环境影响评价法》、《建设项目环境保护管理条例》和《建设项目环境影响评价分类管理名录》的有关规定，新疆美汇特石化产品有限公司委托乌鲁木齐湘永丽景环保科技有限公司承担</w:t>
      </w:r>
      <w:r>
        <w:rPr>
          <w:rFonts w:ascii="Times New Roman" w:hAnsi="Times New Roman"/>
          <w:sz w:val="24"/>
        </w:rPr>
        <w:t>“</w:t>
      </w:r>
      <w:r>
        <w:rPr>
          <w:rFonts w:ascii="Times New Roman" w:hAnsi="Times New Roman"/>
          <w:sz w:val="24"/>
        </w:rPr>
        <w:t>新疆美汇特石化产品有限公司</w:t>
      </w:r>
      <w:r>
        <w:rPr>
          <w:rFonts w:ascii="Times New Roman" w:hAnsi="Times New Roman"/>
          <w:sz w:val="24"/>
        </w:rPr>
        <w:t>40</w:t>
      </w:r>
      <w:r>
        <w:rPr>
          <w:rFonts w:ascii="Times New Roman" w:hAnsi="Times New Roman"/>
          <w:sz w:val="24"/>
        </w:rPr>
        <w:t>万吨</w:t>
      </w:r>
      <w:r>
        <w:rPr>
          <w:rFonts w:ascii="Times New Roman" w:hAnsi="Times New Roman"/>
          <w:sz w:val="24"/>
        </w:rPr>
        <w:t>/</w:t>
      </w:r>
      <w:r>
        <w:rPr>
          <w:rFonts w:ascii="Times New Roman" w:hAnsi="Times New Roman"/>
          <w:sz w:val="24"/>
        </w:rPr>
        <w:t>年煤焦油加氢及配套项目（变更）</w:t>
      </w:r>
      <w:r>
        <w:rPr>
          <w:rFonts w:ascii="Times New Roman" w:hAnsi="Times New Roman"/>
          <w:sz w:val="24"/>
        </w:rPr>
        <w:t>”</w:t>
      </w:r>
      <w:r>
        <w:rPr>
          <w:rFonts w:ascii="Times New Roman" w:hAnsi="Times New Roman"/>
          <w:sz w:val="24"/>
        </w:rPr>
        <w:t>的环境影响评价工作。评价单位接受委托后，对</w:t>
      </w:r>
      <w:r>
        <w:rPr>
          <w:rFonts w:ascii="Times New Roman" w:hAnsi="Times New Roman" w:hint="eastAsia"/>
          <w:sz w:val="24"/>
        </w:rPr>
        <w:t>建设方</w:t>
      </w:r>
      <w:r>
        <w:rPr>
          <w:rFonts w:ascii="Times New Roman" w:hAnsi="Times New Roman"/>
          <w:sz w:val="24"/>
        </w:rPr>
        <w:t>提供的工程资料进行分析，在完成现场环境踏勘、环境质量现状监测等资料收集基础上，编制完成了《新疆美汇特石化产品有限公司</w:t>
      </w:r>
      <w:r>
        <w:rPr>
          <w:rFonts w:ascii="Times New Roman" w:hAnsi="Times New Roman"/>
          <w:sz w:val="24"/>
        </w:rPr>
        <w:t>40</w:t>
      </w:r>
      <w:r>
        <w:rPr>
          <w:rFonts w:ascii="Times New Roman" w:hAnsi="Times New Roman"/>
          <w:sz w:val="24"/>
        </w:rPr>
        <w:t>万吨</w:t>
      </w:r>
      <w:r>
        <w:rPr>
          <w:rFonts w:ascii="Times New Roman" w:hAnsi="Times New Roman"/>
          <w:sz w:val="24"/>
        </w:rPr>
        <w:t>/</w:t>
      </w:r>
      <w:r>
        <w:rPr>
          <w:rFonts w:ascii="Times New Roman" w:hAnsi="Times New Roman"/>
          <w:sz w:val="24"/>
        </w:rPr>
        <w:t>年煤焦油加氢及配套项目（变更）环境影响报告书》。</w:t>
      </w:r>
    </w:p>
    <w:p w:rsidR="00525419" w:rsidRDefault="00EE1CF7">
      <w:pPr>
        <w:snapToGrid w:val="0"/>
        <w:spacing w:line="360" w:lineRule="auto"/>
        <w:ind w:firstLineChars="200" w:firstLine="480"/>
        <w:rPr>
          <w:rFonts w:ascii="Times New Roman" w:hAnsi="Times New Roman"/>
          <w:sz w:val="24"/>
        </w:rPr>
      </w:pPr>
      <w:r>
        <w:rPr>
          <w:rFonts w:ascii="Times New Roman" w:hAnsi="Times New Roman"/>
          <w:sz w:val="24"/>
        </w:rPr>
        <w:t>环境影响评价工作一般分为三个阶段，即调查分析和工作方案制定阶段，分</w:t>
      </w:r>
      <w:r>
        <w:rPr>
          <w:rFonts w:ascii="Times New Roman" w:hAnsi="Times New Roman"/>
          <w:sz w:val="24"/>
        </w:rPr>
        <w:lastRenderedPageBreak/>
        <w:t>析论证和预测评价阶段，环境影响报告书编制阶段。</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环境影响评价工作过程具体流程见图</w:t>
      </w:r>
      <w:r>
        <w:rPr>
          <w:rFonts w:ascii="Times New Roman" w:hAnsi="Times New Roman"/>
          <w:sz w:val="24"/>
        </w:rPr>
        <w:t>1.2-1</w:t>
      </w:r>
      <w:r>
        <w:rPr>
          <w:rFonts w:ascii="Times New Roman" w:hAnsi="Times New Roman"/>
          <w:sz w:val="24"/>
        </w:rPr>
        <w:t>。</w:t>
      </w:r>
    </w:p>
    <w:p w:rsidR="00525419" w:rsidRDefault="00FE095A">
      <w:pPr>
        <w:rPr>
          <w:rFonts w:ascii="Times New Roman" w:hAnsi="Times New Roman"/>
        </w:rPr>
      </w:pPr>
      <w:r>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398.25pt">
            <v:imagedata r:id="rId8" o:title=""/>
          </v:shape>
        </w:pict>
      </w:r>
    </w:p>
    <w:p w:rsidR="00525419" w:rsidRDefault="00525419">
      <w:pPr>
        <w:rPr>
          <w:rFonts w:ascii="Times New Roman" w:hAnsi="Times New Roman"/>
        </w:rPr>
      </w:pPr>
    </w:p>
    <w:p w:rsidR="00525419" w:rsidRDefault="00EE1CF7">
      <w:pPr>
        <w:ind w:firstLineChars="735" w:firstLine="1830"/>
        <w:rPr>
          <w:rFonts w:ascii="Times New Roman" w:hAnsi="Times New Roman"/>
        </w:rPr>
      </w:pPr>
      <w:r>
        <w:rPr>
          <w:rFonts w:ascii="Times New Roman" w:hAnsi="Times New Roman"/>
          <w:b/>
          <w:spacing w:val="4"/>
          <w:sz w:val="24"/>
        </w:rPr>
        <w:t>图</w:t>
      </w:r>
      <w:r>
        <w:rPr>
          <w:rFonts w:ascii="Times New Roman" w:hAnsi="Times New Roman"/>
          <w:b/>
          <w:spacing w:val="4"/>
          <w:sz w:val="24"/>
        </w:rPr>
        <w:t xml:space="preserve">1.2-1  </w:t>
      </w:r>
      <w:r>
        <w:rPr>
          <w:rFonts w:ascii="Times New Roman" w:hAnsi="Times New Roman"/>
          <w:b/>
          <w:spacing w:val="4"/>
          <w:sz w:val="24"/>
        </w:rPr>
        <w:t>环境影响评价工作程序图</w:t>
      </w:r>
    </w:p>
    <w:p w:rsidR="00525419" w:rsidRDefault="00EE1CF7">
      <w:pPr>
        <w:pStyle w:val="2a"/>
        <w:spacing w:beforeLines="50" w:before="156" w:after="156"/>
        <w:ind w:left="578" w:hanging="578"/>
        <w:rPr>
          <w:rFonts w:ascii="Times New Roman" w:eastAsia="楷体_GB2312" w:hAnsi="Times New Roman"/>
          <w:sz w:val="36"/>
        </w:rPr>
      </w:pPr>
      <w:bookmarkStart w:id="10" w:name="_Toc22040"/>
      <w:r>
        <w:rPr>
          <w:rFonts w:ascii="Times New Roman" w:eastAsia="楷体_GB2312" w:hAnsi="Times New Roman"/>
          <w:sz w:val="36"/>
        </w:rPr>
        <w:t>1.3</w:t>
      </w:r>
      <w:r>
        <w:rPr>
          <w:rFonts w:ascii="Times New Roman" w:eastAsia="楷体_GB2312" w:hAnsi="Times New Roman"/>
          <w:sz w:val="36"/>
        </w:rPr>
        <w:t>分析判定相关情况</w:t>
      </w:r>
      <w:bookmarkEnd w:id="10"/>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本项目位于鄯善高新技术产业开发区（鄯善工业园区）石化产业园，根据《鄯善高新技术产业开发区（鄯善工业园区）总体规划》、《关于鄯善高新技术产业开发区（鄯善工业园区）总体规划（</w:t>
      </w:r>
      <w:r>
        <w:rPr>
          <w:rFonts w:ascii="Times New Roman" w:hAnsi="Times New Roman"/>
          <w:sz w:val="24"/>
          <w:szCs w:val="24"/>
        </w:rPr>
        <w:t>2015-2030</w:t>
      </w:r>
      <w:r>
        <w:rPr>
          <w:rFonts w:ascii="Times New Roman" w:hAnsi="Times New Roman"/>
          <w:sz w:val="24"/>
          <w:szCs w:val="24"/>
        </w:rPr>
        <w:t>）环境影响报告书的审查意见》及相关政策，本项目分析判定相关情况如下：</w:t>
      </w:r>
    </w:p>
    <w:p w:rsidR="00525419" w:rsidRDefault="00EE1CF7">
      <w:pPr>
        <w:pStyle w:val="3a"/>
        <w:spacing w:beforeLines="50" w:before="156" w:after="156" w:line="360" w:lineRule="auto"/>
        <w:jc w:val="left"/>
        <w:rPr>
          <w:rFonts w:ascii="Times New Roman" w:eastAsia="华文楷体" w:hAnsi="Times New Roman"/>
        </w:rPr>
      </w:pPr>
      <w:r>
        <w:rPr>
          <w:rFonts w:ascii="Times New Roman" w:eastAsia="华文楷体" w:hAnsi="Times New Roman"/>
        </w:rPr>
        <w:t>1.3.1</w:t>
      </w:r>
      <w:r>
        <w:rPr>
          <w:rFonts w:ascii="Times New Roman" w:eastAsia="华文楷体" w:hAnsi="Times New Roman"/>
        </w:rPr>
        <w:t>产业政策符合性分析</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本项目以煤焦油为原料主要生产柴油、石脑油及尾油等，根据《产业结构调</w:t>
      </w:r>
      <w:r>
        <w:rPr>
          <w:rFonts w:ascii="Times New Roman" w:hAnsi="Times New Roman"/>
          <w:sz w:val="24"/>
          <w:szCs w:val="24"/>
        </w:rPr>
        <w:lastRenderedPageBreak/>
        <w:t>整指导目录（</w:t>
      </w:r>
      <w:r>
        <w:rPr>
          <w:rFonts w:ascii="Times New Roman" w:hAnsi="Times New Roman"/>
          <w:sz w:val="24"/>
          <w:szCs w:val="24"/>
        </w:rPr>
        <w:t>2019</w:t>
      </w:r>
      <w:r>
        <w:rPr>
          <w:rFonts w:ascii="Times New Roman" w:hAnsi="Times New Roman"/>
          <w:sz w:val="24"/>
          <w:szCs w:val="24"/>
        </w:rPr>
        <w:t>年本）》中相关内容，本项目不属于鼓励类、限制类和淘汰类，为允许类，符合国家产业政策。</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本项目先前已经取得了鄯善县人民政府和发展改革委员会的登记备案证（备案证编号</w:t>
      </w:r>
      <w:r>
        <w:rPr>
          <w:rFonts w:ascii="Times New Roman" w:hAnsi="Times New Roman"/>
          <w:sz w:val="24"/>
          <w:szCs w:val="24"/>
        </w:rPr>
        <w:t>2016054</w:t>
      </w:r>
      <w:r>
        <w:rPr>
          <w:rFonts w:ascii="Times New Roman" w:hAnsi="Times New Roman"/>
          <w:sz w:val="24"/>
          <w:szCs w:val="24"/>
        </w:rPr>
        <w:t>）。</w:t>
      </w:r>
    </w:p>
    <w:p w:rsidR="00525419" w:rsidRDefault="00EE1CF7">
      <w:pPr>
        <w:pStyle w:val="3a"/>
        <w:spacing w:beforeLines="50" w:before="156" w:after="156" w:line="360" w:lineRule="auto"/>
        <w:jc w:val="left"/>
        <w:rPr>
          <w:rFonts w:ascii="Times New Roman" w:eastAsia="华文楷体" w:hAnsi="Times New Roman"/>
        </w:rPr>
      </w:pPr>
      <w:r>
        <w:rPr>
          <w:rFonts w:ascii="Times New Roman" w:eastAsia="华文楷体" w:hAnsi="Times New Roman"/>
        </w:rPr>
        <w:t>1.3.2</w:t>
      </w:r>
      <w:r>
        <w:rPr>
          <w:rFonts w:ascii="Times New Roman" w:eastAsia="华文楷体" w:hAnsi="Times New Roman"/>
        </w:rPr>
        <w:t>与相关规划符合性分析</w:t>
      </w:r>
    </w:p>
    <w:p w:rsidR="00525419" w:rsidRDefault="00EE1CF7">
      <w:pPr>
        <w:pStyle w:val="B1"/>
        <w:numPr>
          <w:ilvl w:val="0"/>
          <w:numId w:val="117"/>
        </w:numPr>
        <w:ind w:firstLine="482"/>
        <w:jc w:val="both"/>
        <w:rPr>
          <w:rFonts w:cs="Times New Roman"/>
          <w:b/>
          <w:bCs/>
        </w:rPr>
      </w:pPr>
      <w:r>
        <w:rPr>
          <w:rFonts w:cs="Times New Roman"/>
          <w:b/>
          <w:bCs/>
        </w:rPr>
        <w:t>与《</w:t>
      </w:r>
      <w:r>
        <w:rPr>
          <w:rFonts w:cs="Times New Roman" w:hint="eastAsia"/>
          <w:b/>
          <w:bCs/>
        </w:rPr>
        <w:t>新疆</w:t>
      </w:r>
      <w:r>
        <w:rPr>
          <w:rFonts w:cs="Times New Roman"/>
          <w:b/>
          <w:bCs/>
        </w:rPr>
        <w:t>鄯善高新技术产业</w:t>
      </w:r>
      <w:r>
        <w:rPr>
          <w:rFonts w:cs="Times New Roman" w:hint="eastAsia"/>
          <w:b/>
          <w:bCs/>
        </w:rPr>
        <w:t>园区（鄯善工业园区）</w:t>
      </w:r>
      <w:r>
        <w:rPr>
          <w:rFonts w:cs="Times New Roman"/>
          <w:b/>
          <w:bCs/>
        </w:rPr>
        <w:t>总体规划（</w:t>
      </w:r>
      <w:r>
        <w:rPr>
          <w:rFonts w:cs="Times New Roman"/>
          <w:b/>
          <w:bCs/>
        </w:rPr>
        <w:t>2015-2030</w:t>
      </w:r>
      <w:r>
        <w:rPr>
          <w:rFonts w:cs="Times New Roman"/>
          <w:b/>
          <w:bCs/>
        </w:rPr>
        <w:t>）》符合性分析</w:t>
      </w:r>
    </w:p>
    <w:p w:rsidR="00525419" w:rsidRDefault="00EE1CF7">
      <w:pPr>
        <w:pStyle w:val="B1"/>
        <w:ind w:firstLineChars="300" w:firstLine="720"/>
        <w:rPr>
          <w:rFonts w:cs="Times New Roman"/>
        </w:rPr>
      </w:pPr>
      <w:r>
        <w:rPr>
          <w:rFonts w:cs="Times New Roman"/>
        </w:rPr>
        <w:t>本项目位于鄯善高新技术产业开发区（鄯善工业园区）石化产业园，符合《</w:t>
      </w:r>
      <w:r>
        <w:rPr>
          <w:rFonts w:cs="Times New Roman" w:hint="eastAsia"/>
        </w:rPr>
        <w:t>新疆</w:t>
      </w:r>
      <w:r>
        <w:rPr>
          <w:rFonts w:cs="Times New Roman"/>
        </w:rPr>
        <w:t>鄯善高新技术产业</w:t>
      </w:r>
      <w:r>
        <w:rPr>
          <w:rFonts w:cs="Times New Roman" w:hint="eastAsia"/>
        </w:rPr>
        <w:t>园区（鄯善工业园区）</w:t>
      </w:r>
      <w:r>
        <w:rPr>
          <w:rFonts w:cs="Times New Roman"/>
        </w:rPr>
        <w:t>总体规划（</w:t>
      </w:r>
      <w:r>
        <w:rPr>
          <w:rFonts w:cs="Times New Roman"/>
        </w:rPr>
        <w:t>2015-2030</w:t>
      </w:r>
      <w:r>
        <w:rPr>
          <w:rFonts w:cs="Times New Roman"/>
        </w:rPr>
        <w:t>）》中的产业定位（石油天然气化工以沥青、燃料油、溶剂油及微晶蜡为主，适度发展石油化工产业）和产业布局中的以石油天然气下游精细化工产业为主集中地块。本项目建设符合</w:t>
      </w:r>
      <w:r>
        <w:rPr>
          <w:rFonts w:cs="Times New Roman" w:hint="eastAsia"/>
        </w:rPr>
        <w:t>上述规划</w:t>
      </w:r>
      <w:r>
        <w:rPr>
          <w:rFonts w:cs="Times New Roman"/>
        </w:rPr>
        <w:t>。</w:t>
      </w:r>
    </w:p>
    <w:p w:rsidR="00525419" w:rsidRDefault="00EE1CF7">
      <w:pPr>
        <w:pStyle w:val="B1"/>
        <w:numPr>
          <w:ilvl w:val="0"/>
          <w:numId w:val="117"/>
        </w:numPr>
        <w:ind w:firstLine="482"/>
        <w:rPr>
          <w:rFonts w:cs="Times New Roman"/>
          <w:b/>
          <w:bCs/>
        </w:rPr>
      </w:pPr>
      <w:r>
        <w:rPr>
          <w:rFonts w:cs="Times New Roman"/>
          <w:b/>
          <w:bCs/>
        </w:rPr>
        <w:t>与园区规划环评符合性分析</w:t>
      </w:r>
    </w:p>
    <w:p w:rsidR="00525419" w:rsidRDefault="00EE1CF7">
      <w:pPr>
        <w:pStyle w:val="B1"/>
        <w:ind w:firstLine="480"/>
        <w:jc w:val="both"/>
        <w:rPr>
          <w:rFonts w:cs="Times New Roman"/>
        </w:rPr>
      </w:pPr>
      <w:r>
        <w:rPr>
          <w:rFonts w:cs="Times New Roman"/>
        </w:rPr>
        <w:t>本项目开展环境影响评价，将严格执行建设项目</w:t>
      </w:r>
      <w:r>
        <w:rPr>
          <w:rFonts w:cs="Times New Roman"/>
        </w:rPr>
        <w:t>“</w:t>
      </w:r>
      <w:r>
        <w:rPr>
          <w:rFonts w:cs="Times New Roman"/>
        </w:rPr>
        <w:t>三同时</w:t>
      </w:r>
      <w:r>
        <w:rPr>
          <w:rFonts w:cs="Times New Roman"/>
        </w:rPr>
        <w:t>”</w:t>
      </w:r>
      <w:r>
        <w:rPr>
          <w:rFonts w:cs="Times New Roman"/>
        </w:rPr>
        <w:t>环境管理制度，项目制定并落实事故风险防范措施和应急预案，配套完善运行管理设施，因此，本项目建设符合《</w:t>
      </w:r>
      <w:r>
        <w:rPr>
          <w:rFonts w:cs="Times New Roman" w:hint="eastAsia"/>
        </w:rPr>
        <w:t>新疆</w:t>
      </w:r>
      <w:r>
        <w:rPr>
          <w:rFonts w:cs="Times New Roman"/>
        </w:rPr>
        <w:t>鄯善高新技术产业</w:t>
      </w:r>
      <w:r>
        <w:rPr>
          <w:rFonts w:cs="Times New Roman" w:hint="eastAsia"/>
        </w:rPr>
        <w:t>园区（鄯善工业园区）</w:t>
      </w:r>
      <w:r>
        <w:rPr>
          <w:rFonts w:cs="Times New Roman"/>
        </w:rPr>
        <w:t>总体规划（</w:t>
      </w:r>
      <w:r>
        <w:rPr>
          <w:rFonts w:cs="Times New Roman"/>
        </w:rPr>
        <w:t>2015-2030</w:t>
      </w:r>
      <w:r>
        <w:rPr>
          <w:rFonts w:cs="Times New Roman"/>
        </w:rPr>
        <w:t>）环境影响报告书》及其审查意见的要求。</w:t>
      </w:r>
    </w:p>
    <w:p w:rsidR="00525419" w:rsidRDefault="00EE1CF7">
      <w:pPr>
        <w:pStyle w:val="B1"/>
        <w:numPr>
          <w:ilvl w:val="0"/>
          <w:numId w:val="117"/>
        </w:numPr>
        <w:ind w:firstLine="482"/>
        <w:rPr>
          <w:rFonts w:cs="Times New Roman"/>
          <w:b/>
          <w:bCs/>
        </w:rPr>
      </w:pPr>
      <w:r>
        <w:rPr>
          <w:rFonts w:cs="Times New Roman"/>
          <w:b/>
          <w:bCs/>
        </w:rPr>
        <w:t>与</w:t>
      </w:r>
      <w:r>
        <w:rPr>
          <w:rFonts w:cs="Times New Roman"/>
          <w:b/>
          <w:bCs/>
        </w:rPr>
        <w:t>“</w:t>
      </w:r>
      <w:r>
        <w:rPr>
          <w:rFonts w:cs="Times New Roman"/>
          <w:b/>
          <w:bCs/>
        </w:rPr>
        <w:t>三线一单</w:t>
      </w:r>
      <w:r>
        <w:rPr>
          <w:rFonts w:cs="Times New Roman"/>
          <w:b/>
          <w:bCs/>
        </w:rPr>
        <w:t>”</w:t>
      </w:r>
      <w:r>
        <w:rPr>
          <w:rFonts w:cs="Times New Roman"/>
          <w:b/>
          <w:bCs/>
        </w:rPr>
        <w:t>符合性分析</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根据《关于以改善环境质量为核心加强环境影响评价管理的通知》（环环评</w:t>
      </w:r>
      <w:r>
        <w:rPr>
          <w:rFonts w:ascii="Times New Roman" w:hAnsi="Times New Roman"/>
          <w:kern w:val="0"/>
          <w:sz w:val="24"/>
          <w:szCs w:val="24"/>
        </w:rPr>
        <w:t>[2016]150</w:t>
      </w:r>
      <w:r>
        <w:rPr>
          <w:rFonts w:ascii="Times New Roman" w:hAnsi="Times New Roman"/>
          <w:kern w:val="0"/>
          <w:sz w:val="24"/>
          <w:szCs w:val="24"/>
        </w:rPr>
        <w:t>号）：</w:t>
      </w:r>
      <w:r>
        <w:rPr>
          <w:rFonts w:ascii="Times New Roman" w:hAnsi="Times New Roman"/>
          <w:kern w:val="0"/>
          <w:sz w:val="24"/>
          <w:szCs w:val="24"/>
        </w:rPr>
        <w:t>“</w:t>
      </w:r>
      <w:r>
        <w:rPr>
          <w:rFonts w:ascii="Times New Roman" w:hAnsi="Times New Roman"/>
          <w:kern w:val="0"/>
          <w:sz w:val="24"/>
          <w:szCs w:val="24"/>
        </w:rPr>
        <w:t>为适应以改善环境质量为核心的环境管理要求，切实加强环境影响评价管理，落实：</w:t>
      </w:r>
      <w:r>
        <w:rPr>
          <w:rFonts w:ascii="Times New Roman" w:hAnsi="Times New Roman"/>
          <w:kern w:val="0"/>
          <w:sz w:val="24"/>
          <w:szCs w:val="24"/>
        </w:rPr>
        <w:t>“</w:t>
      </w:r>
      <w:r>
        <w:rPr>
          <w:rFonts w:ascii="Times New Roman" w:hAnsi="Times New Roman"/>
          <w:kern w:val="0"/>
          <w:sz w:val="24"/>
          <w:szCs w:val="24"/>
        </w:rPr>
        <w:t>生态保护红线、环境质量底线、资源利用上线和环境准入负面清单</w:t>
      </w:r>
      <w:r>
        <w:rPr>
          <w:rFonts w:ascii="Times New Roman" w:hAnsi="Times New Roman"/>
          <w:kern w:val="0"/>
          <w:sz w:val="24"/>
          <w:szCs w:val="24"/>
        </w:rPr>
        <w:t>”</w:t>
      </w:r>
      <w:r>
        <w:rPr>
          <w:rFonts w:ascii="Times New Roman" w:hAnsi="Times New Roman"/>
          <w:kern w:val="0"/>
          <w:sz w:val="24"/>
          <w:szCs w:val="24"/>
        </w:rPr>
        <w:t>约束</w:t>
      </w:r>
      <w:r>
        <w:rPr>
          <w:rFonts w:ascii="Times New Roman" w:hAnsi="Times New Roman"/>
          <w:kern w:val="0"/>
          <w:sz w:val="24"/>
          <w:szCs w:val="24"/>
        </w:rPr>
        <w:t>”</w:t>
      </w:r>
      <w:r>
        <w:rPr>
          <w:rFonts w:ascii="Times New Roman" w:hAnsi="Times New Roman"/>
          <w:kern w:val="0"/>
          <w:sz w:val="24"/>
          <w:szCs w:val="24"/>
        </w:rPr>
        <w:t>。</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①</w:t>
      </w:r>
      <w:r>
        <w:rPr>
          <w:rFonts w:ascii="Times New Roman" w:hAnsi="Times New Roman"/>
          <w:kern w:val="0"/>
          <w:sz w:val="24"/>
          <w:szCs w:val="24"/>
        </w:rPr>
        <w:t>与生态红线区域保护规划的相符性</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本项目位于</w:t>
      </w:r>
      <w:r>
        <w:rPr>
          <w:rFonts w:ascii="Times New Roman" w:hAnsi="Times New Roman"/>
          <w:sz w:val="24"/>
          <w:szCs w:val="24"/>
        </w:rPr>
        <w:t>鄯善高新技术产业开发区（鄯善工业园区）石化产业园</w:t>
      </w:r>
      <w:r>
        <w:rPr>
          <w:rFonts w:ascii="Times New Roman" w:hAnsi="Times New Roman"/>
          <w:kern w:val="0"/>
          <w:sz w:val="24"/>
          <w:szCs w:val="24"/>
        </w:rPr>
        <w:t>，经核实，项目不涉及生态红线保护区域，不会影响所在区域内生态服务功能。</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②</w:t>
      </w:r>
      <w:r>
        <w:rPr>
          <w:rFonts w:ascii="Times New Roman" w:hAnsi="Times New Roman"/>
          <w:kern w:val="0"/>
          <w:sz w:val="24"/>
          <w:szCs w:val="24"/>
        </w:rPr>
        <w:t>与环境质量底线相符性分析</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lastRenderedPageBreak/>
        <w:t>环境质量底线是只能改善不能恶化。大气环境质量底线就是在符合大气环境区域功能区划和大气环境管理的基础上，确保大气污染物排放不对区域功能区划造成影响，污染物排放总量低于大气环境容量。</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本项目对</w:t>
      </w:r>
      <w:r>
        <w:rPr>
          <w:rFonts w:ascii="Times New Roman" w:hAnsi="Times New Roman" w:hint="eastAsia"/>
          <w:kern w:val="0"/>
          <w:sz w:val="24"/>
          <w:szCs w:val="24"/>
        </w:rPr>
        <w:t>制氢转化炉烟气、加氢反应一、二段加热炉</w:t>
      </w:r>
      <w:r>
        <w:rPr>
          <w:rFonts w:ascii="Times New Roman" w:hAnsi="Times New Roman"/>
          <w:kern w:val="0"/>
          <w:sz w:val="24"/>
          <w:szCs w:val="24"/>
        </w:rPr>
        <w:t>烟气、</w:t>
      </w:r>
      <w:r>
        <w:rPr>
          <w:rFonts w:ascii="Times New Roman" w:hAnsi="Times New Roman" w:hint="eastAsia"/>
          <w:kern w:val="0"/>
          <w:sz w:val="24"/>
          <w:szCs w:val="24"/>
        </w:rPr>
        <w:t>加氢分馏加热炉烟气、</w:t>
      </w:r>
      <w:r>
        <w:rPr>
          <w:rFonts w:ascii="Times New Roman" w:hAnsi="Times New Roman"/>
          <w:kern w:val="0"/>
          <w:sz w:val="24"/>
          <w:szCs w:val="24"/>
        </w:rPr>
        <w:t>硫磺</w:t>
      </w:r>
      <w:r>
        <w:rPr>
          <w:rFonts w:ascii="Times New Roman" w:hAnsi="Times New Roman" w:hint="eastAsia"/>
          <w:kern w:val="0"/>
          <w:sz w:val="24"/>
          <w:szCs w:val="24"/>
        </w:rPr>
        <w:t>回收焚烧炉尾气</w:t>
      </w:r>
      <w:r>
        <w:rPr>
          <w:rFonts w:ascii="Times New Roman" w:hAnsi="Times New Roman"/>
          <w:kern w:val="0"/>
          <w:sz w:val="24"/>
          <w:szCs w:val="24"/>
        </w:rPr>
        <w:t>、罐区及</w:t>
      </w:r>
      <w:r>
        <w:rPr>
          <w:rFonts w:ascii="Times New Roman" w:hAnsi="Times New Roman" w:hint="eastAsia"/>
          <w:kern w:val="0"/>
          <w:sz w:val="24"/>
          <w:szCs w:val="24"/>
        </w:rPr>
        <w:t>装置区</w:t>
      </w:r>
      <w:r>
        <w:rPr>
          <w:rFonts w:ascii="Times New Roman" w:hAnsi="Times New Roman"/>
          <w:kern w:val="0"/>
          <w:sz w:val="24"/>
          <w:szCs w:val="24"/>
        </w:rPr>
        <w:t>无组织排放的非甲烷总烃均采取收集和有效的治理措施，排放量较少，对环境空气影响较小，不会降低区域环境空气质量。</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本项目产生的含油废水、循环水排污、生活污水进入污水处理站处理达标后回用；</w:t>
      </w:r>
      <w:r>
        <w:rPr>
          <w:rFonts w:ascii="Times New Roman" w:hAnsi="Times New Roman" w:hint="eastAsia"/>
          <w:kern w:val="0"/>
          <w:sz w:val="24"/>
          <w:szCs w:val="24"/>
        </w:rPr>
        <w:t>脱盐水站产生含盐废水</w:t>
      </w:r>
      <w:r>
        <w:rPr>
          <w:rFonts w:ascii="Times New Roman" w:hAnsi="Times New Roman"/>
          <w:kern w:val="0"/>
          <w:sz w:val="24"/>
          <w:szCs w:val="24"/>
        </w:rPr>
        <w:t>经浓盐水处理装置处理后作为循环水回用；</w:t>
      </w:r>
      <w:r>
        <w:rPr>
          <w:rFonts w:ascii="Times New Roman" w:hAnsi="Times New Roman" w:hint="eastAsia"/>
          <w:kern w:val="0"/>
          <w:sz w:val="24"/>
          <w:szCs w:val="24"/>
        </w:rPr>
        <w:t>含</w:t>
      </w:r>
      <w:r>
        <w:rPr>
          <w:rFonts w:ascii="Times New Roman" w:hAnsi="Times New Roman"/>
          <w:kern w:val="0"/>
          <w:sz w:val="24"/>
          <w:szCs w:val="24"/>
        </w:rPr>
        <w:t>硫废水进入酸性水汽提装置</w:t>
      </w:r>
      <w:r>
        <w:rPr>
          <w:rFonts w:ascii="Times New Roman" w:hAnsi="Times New Roman"/>
          <w:sz w:val="24"/>
        </w:rPr>
        <w:t>处理后用于</w:t>
      </w:r>
      <w:r>
        <w:rPr>
          <w:rFonts w:ascii="Times New Roman" w:hAnsi="Times New Roman" w:hint="eastAsia"/>
          <w:sz w:val="24"/>
        </w:rPr>
        <w:t>工艺</w:t>
      </w:r>
      <w:r>
        <w:rPr>
          <w:rFonts w:ascii="Times New Roman" w:hAnsi="Times New Roman"/>
          <w:sz w:val="24"/>
        </w:rPr>
        <w:t>注水，</w:t>
      </w:r>
      <w:r>
        <w:rPr>
          <w:rFonts w:ascii="Times New Roman" w:hAnsi="Times New Roman"/>
          <w:kern w:val="0"/>
          <w:sz w:val="24"/>
          <w:szCs w:val="24"/>
        </w:rPr>
        <w:t>不会影响区域水环境质量。</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本项目产生的各类一般固废均按照各自特性进行分类处置，危险废物委托有资质的单位处置</w:t>
      </w:r>
      <w:r>
        <w:rPr>
          <w:rFonts w:ascii="Times New Roman" w:hAnsi="Times New Roman" w:hint="eastAsia"/>
          <w:kern w:val="0"/>
          <w:sz w:val="24"/>
          <w:szCs w:val="24"/>
        </w:rPr>
        <w:t>，</w:t>
      </w:r>
      <w:r>
        <w:rPr>
          <w:rFonts w:ascii="Times New Roman" w:hAnsi="Times New Roman"/>
          <w:kern w:val="0"/>
          <w:sz w:val="24"/>
          <w:szCs w:val="24"/>
        </w:rPr>
        <w:t>场地进行了分区防渗，不会影响区域土壤环境</w:t>
      </w:r>
      <w:r>
        <w:rPr>
          <w:rFonts w:ascii="Times New Roman" w:hAnsi="Times New Roman" w:hint="eastAsia"/>
          <w:kern w:val="0"/>
          <w:sz w:val="24"/>
          <w:szCs w:val="24"/>
        </w:rPr>
        <w:t>、地下水环境</w:t>
      </w:r>
      <w:r>
        <w:rPr>
          <w:rFonts w:ascii="Times New Roman" w:hAnsi="Times New Roman"/>
          <w:kern w:val="0"/>
          <w:sz w:val="24"/>
          <w:szCs w:val="24"/>
        </w:rPr>
        <w:t>质量。</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采取的环保措施能确保本项目污染物对环境质量的影响降到最小，不突破所在区域环境质量底线。</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③</w:t>
      </w:r>
      <w:r>
        <w:rPr>
          <w:rFonts w:ascii="Times New Roman" w:hAnsi="Times New Roman"/>
          <w:kern w:val="0"/>
          <w:sz w:val="24"/>
          <w:szCs w:val="24"/>
        </w:rPr>
        <w:t>资源利用上线相符性</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本项目使用天然气、电、水等能源，使用量均较小，满足资源利用上线要求。</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④</w:t>
      </w:r>
      <w:r>
        <w:rPr>
          <w:rFonts w:ascii="Times New Roman" w:hAnsi="Times New Roman"/>
          <w:kern w:val="0"/>
          <w:sz w:val="24"/>
          <w:szCs w:val="24"/>
        </w:rPr>
        <w:t>环境准入负面清单</w:t>
      </w:r>
      <w:r>
        <w:rPr>
          <w:rFonts w:ascii="Times New Roman" w:hAnsi="Times New Roman"/>
          <w:kern w:val="0"/>
          <w:sz w:val="24"/>
          <w:szCs w:val="24"/>
        </w:rPr>
        <w:t xml:space="preserve"> </w:t>
      </w:r>
    </w:p>
    <w:p w:rsidR="00525419" w:rsidRDefault="00EE1CF7">
      <w:pPr>
        <w:widowControl/>
        <w:spacing w:line="360" w:lineRule="auto"/>
        <w:ind w:firstLineChars="200" w:firstLine="480"/>
        <w:rPr>
          <w:rFonts w:ascii="Times New Roman" w:hAnsi="Times New Roman"/>
          <w:kern w:val="0"/>
          <w:sz w:val="24"/>
          <w:szCs w:val="24"/>
        </w:rPr>
      </w:pPr>
      <w:r>
        <w:rPr>
          <w:rFonts w:ascii="Times New Roman" w:hAnsi="Times New Roman"/>
          <w:kern w:val="0"/>
          <w:sz w:val="24"/>
          <w:szCs w:val="24"/>
        </w:rPr>
        <w:t>本项目区不属于《新疆鄯善高新技术产业园（鄯善工业园区）总体规划（</w:t>
      </w:r>
      <w:r>
        <w:rPr>
          <w:rFonts w:ascii="Times New Roman" w:hAnsi="Times New Roman"/>
          <w:kern w:val="0"/>
          <w:sz w:val="24"/>
          <w:szCs w:val="24"/>
        </w:rPr>
        <w:t>2015-2030</w:t>
      </w:r>
      <w:r>
        <w:rPr>
          <w:rFonts w:ascii="Times New Roman" w:hAnsi="Times New Roman"/>
          <w:kern w:val="0"/>
          <w:sz w:val="24"/>
          <w:szCs w:val="24"/>
        </w:rPr>
        <w:t>）环境影响书》负面清单内容。</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 xml:space="preserve"> </w:t>
      </w:r>
      <w:r>
        <w:rPr>
          <w:rFonts w:ascii="Times New Roman" w:hAnsi="Times New Roman"/>
          <w:kern w:val="0"/>
          <w:sz w:val="24"/>
          <w:szCs w:val="24"/>
        </w:rPr>
        <w:t>综上分析，项目的建设符合</w:t>
      </w:r>
      <w:r>
        <w:rPr>
          <w:rFonts w:ascii="Times New Roman" w:hAnsi="Times New Roman"/>
          <w:kern w:val="0"/>
          <w:sz w:val="24"/>
          <w:szCs w:val="24"/>
        </w:rPr>
        <w:t>“</w:t>
      </w:r>
      <w:r>
        <w:rPr>
          <w:rFonts w:ascii="Times New Roman" w:hAnsi="Times New Roman"/>
          <w:kern w:val="0"/>
          <w:sz w:val="24"/>
          <w:szCs w:val="24"/>
        </w:rPr>
        <w:t>三线一单</w:t>
      </w:r>
      <w:r>
        <w:rPr>
          <w:rFonts w:ascii="Times New Roman" w:hAnsi="Times New Roman"/>
          <w:kern w:val="0"/>
          <w:sz w:val="24"/>
          <w:szCs w:val="24"/>
        </w:rPr>
        <w:t>”</w:t>
      </w:r>
      <w:r>
        <w:rPr>
          <w:rFonts w:ascii="Times New Roman" w:hAnsi="Times New Roman"/>
          <w:kern w:val="0"/>
          <w:sz w:val="24"/>
          <w:szCs w:val="24"/>
        </w:rPr>
        <w:t>的要求。</w:t>
      </w:r>
    </w:p>
    <w:p w:rsidR="00525419" w:rsidRDefault="00EE1CF7">
      <w:pPr>
        <w:widowControl/>
        <w:spacing w:line="360" w:lineRule="auto"/>
        <w:ind w:firstLineChars="100" w:firstLine="241"/>
        <w:jc w:val="left"/>
        <w:rPr>
          <w:rFonts w:ascii="Times New Roman" w:hAnsi="Times New Roman"/>
          <w:b/>
          <w:bCs/>
          <w:kern w:val="0"/>
          <w:sz w:val="24"/>
          <w:szCs w:val="24"/>
        </w:rPr>
      </w:pPr>
      <w:r>
        <w:rPr>
          <w:rFonts w:ascii="Times New Roman" w:hAnsi="Times New Roman"/>
          <w:b/>
          <w:bCs/>
          <w:kern w:val="0"/>
          <w:sz w:val="24"/>
          <w:szCs w:val="24"/>
        </w:rPr>
        <w:t>（</w:t>
      </w:r>
      <w:r>
        <w:rPr>
          <w:rFonts w:ascii="Times New Roman" w:hAnsi="Times New Roman"/>
          <w:b/>
          <w:bCs/>
          <w:kern w:val="0"/>
          <w:sz w:val="24"/>
          <w:szCs w:val="24"/>
        </w:rPr>
        <w:t>4</w:t>
      </w:r>
      <w:r>
        <w:rPr>
          <w:rFonts w:ascii="Times New Roman" w:hAnsi="Times New Roman"/>
          <w:b/>
          <w:bCs/>
          <w:kern w:val="0"/>
          <w:sz w:val="24"/>
          <w:szCs w:val="24"/>
        </w:rPr>
        <w:t>）《自治区打赢蓝天保卫战三年行动计划》符合性分析</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2018</w:t>
      </w:r>
      <w:r>
        <w:rPr>
          <w:rFonts w:ascii="Times New Roman" w:hAnsi="Times New Roman"/>
          <w:kern w:val="0"/>
          <w:sz w:val="24"/>
          <w:szCs w:val="24"/>
        </w:rPr>
        <w:t>年</w:t>
      </w:r>
      <w:r>
        <w:rPr>
          <w:rFonts w:ascii="Times New Roman" w:hAnsi="Times New Roman"/>
          <w:kern w:val="0"/>
          <w:sz w:val="24"/>
          <w:szCs w:val="24"/>
        </w:rPr>
        <w:t>9</w:t>
      </w:r>
      <w:r>
        <w:rPr>
          <w:rFonts w:ascii="Times New Roman" w:hAnsi="Times New Roman"/>
          <w:kern w:val="0"/>
          <w:sz w:val="24"/>
          <w:szCs w:val="24"/>
        </w:rPr>
        <w:t>月，新疆维吾尔自治区人民政府印发了《自治区打赢蓝天保卫战三年行动计划》（新政发</w:t>
      </w:r>
      <w:r>
        <w:rPr>
          <w:rFonts w:ascii="Times New Roman" w:hAnsi="Times New Roman"/>
          <w:kern w:val="0"/>
          <w:sz w:val="24"/>
          <w:szCs w:val="24"/>
        </w:rPr>
        <w:t>[2018]66</w:t>
      </w:r>
      <w:r>
        <w:rPr>
          <w:rFonts w:ascii="Times New Roman" w:hAnsi="Times New Roman"/>
          <w:kern w:val="0"/>
          <w:sz w:val="24"/>
          <w:szCs w:val="24"/>
        </w:rPr>
        <w:t>号）。</w:t>
      </w:r>
      <w:r>
        <w:rPr>
          <w:rFonts w:ascii="Times New Roman" w:hAnsi="Times New Roman"/>
          <w:kern w:val="0"/>
          <w:sz w:val="24"/>
          <w:szCs w:val="24"/>
        </w:rPr>
        <w:t>“</w:t>
      </w:r>
      <w:r>
        <w:rPr>
          <w:rFonts w:ascii="Times New Roman" w:hAnsi="Times New Roman"/>
          <w:kern w:val="0"/>
          <w:sz w:val="24"/>
          <w:szCs w:val="24"/>
        </w:rPr>
        <w:t>行动计划</w:t>
      </w:r>
      <w:r>
        <w:rPr>
          <w:rFonts w:ascii="Times New Roman" w:hAnsi="Times New Roman"/>
          <w:kern w:val="0"/>
          <w:sz w:val="24"/>
          <w:szCs w:val="24"/>
        </w:rPr>
        <w:t>”</w:t>
      </w:r>
      <w:r>
        <w:rPr>
          <w:rFonts w:ascii="Times New Roman" w:hAnsi="Times New Roman"/>
          <w:kern w:val="0"/>
          <w:sz w:val="24"/>
          <w:szCs w:val="24"/>
        </w:rPr>
        <w:t>要求：严格产业准入门槛，积极推行区域、规划环境影响评价，新、改、扩建钢铁、石化、化工、焦化、建材、有色等项目环境影响评级，应满足区域、规划环评要求。优化产业布局，淘汰落后产能，压减过剩产能，综合整治</w:t>
      </w:r>
      <w:r>
        <w:rPr>
          <w:rFonts w:ascii="Times New Roman" w:hAnsi="Times New Roman"/>
          <w:kern w:val="0"/>
          <w:sz w:val="24"/>
          <w:szCs w:val="24"/>
        </w:rPr>
        <w:t>“</w:t>
      </w:r>
      <w:r>
        <w:rPr>
          <w:rFonts w:ascii="Times New Roman" w:hAnsi="Times New Roman"/>
          <w:kern w:val="0"/>
          <w:sz w:val="24"/>
          <w:szCs w:val="24"/>
        </w:rPr>
        <w:t>散乱污</w:t>
      </w:r>
      <w:r>
        <w:rPr>
          <w:rFonts w:ascii="Times New Roman" w:hAnsi="Times New Roman"/>
          <w:kern w:val="0"/>
          <w:sz w:val="24"/>
          <w:szCs w:val="24"/>
        </w:rPr>
        <w:t>”</w:t>
      </w:r>
      <w:r>
        <w:rPr>
          <w:rFonts w:ascii="Times New Roman" w:hAnsi="Times New Roman"/>
          <w:kern w:val="0"/>
          <w:sz w:val="24"/>
          <w:szCs w:val="24"/>
        </w:rPr>
        <w:t>企业，推进涉气工业污染源全面达标排放。积极推进污染物排放许可制，推进重点行业污染治理升级改造，大力培育绿色环保产业。</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lastRenderedPageBreak/>
        <w:t>本项目所在地不属于《自治区打赢蓝天保卫战三年行动计划》中重点区域，项目建设符合园区规划及规划环评要求，其建设不违背地方生态保护</w:t>
      </w:r>
      <w:r>
        <w:rPr>
          <w:rFonts w:ascii="Times New Roman" w:hAnsi="Times New Roman" w:hint="eastAsia"/>
          <w:kern w:val="0"/>
          <w:sz w:val="24"/>
          <w:szCs w:val="24"/>
        </w:rPr>
        <w:t>和</w:t>
      </w:r>
      <w:r>
        <w:rPr>
          <w:rFonts w:ascii="Times New Roman" w:hAnsi="Times New Roman"/>
          <w:kern w:val="0"/>
          <w:sz w:val="24"/>
          <w:szCs w:val="24"/>
        </w:rPr>
        <w:t>相关环境准入的要求。因此，</w:t>
      </w:r>
      <w:r>
        <w:rPr>
          <w:rFonts w:ascii="Times New Roman" w:hAnsi="Times New Roman" w:hint="eastAsia"/>
          <w:kern w:val="0"/>
          <w:sz w:val="24"/>
          <w:szCs w:val="24"/>
        </w:rPr>
        <w:t>本项目的建设</w:t>
      </w:r>
      <w:r>
        <w:rPr>
          <w:rFonts w:ascii="Times New Roman" w:hAnsi="Times New Roman"/>
          <w:kern w:val="0"/>
          <w:sz w:val="24"/>
          <w:szCs w:val="24"/>
        </w:rPr>
        <w:t>符合《自治区打赢蓝天保卫战三年行动计划》要求。</w:t>
      </w:r>
    </w:p>
    <w:p w:rsidR="00525419" w:rsidRDefault="00EE1CF7">
      <w:pPr>
        <w:pStyle w:val="3a"/>
        <w:spacing w:beforeLines="50" w:before="156" w:after="156" w:line="360" w:lineRule="auto"/>
        <w:jc w:val="left"/>
        <w:rPr>
          <w:rFonts w:ascii="Times New Roman" w:eastAsia="华文楷体" w:hAnsi="Times New Roman"/>
        </w:rPr>
      </w:pPr>
      <w:r>
        <w:rPr>
          <w:rFonts w:ascii="Times New Roman" w:eastAsia="华文楷体" w:hAnsi="Times New Roman"/>
        </w:rPr>
        <w:t>1.3.3</w:t>
      </w:r>
      <w:r>
        <w:rPr>
          <w:rFonts w:ascii="Times New Roman" w:eastAsia="华文楷体" w:hAnsi="Times New Roman"/>
        </w:rPr>
        <w:t>分析判定结论</w:t>
      </w:r>
    </w:p>
    <w:p w:rsidR="00525419" w:rsidRDefault="00EE1CF7">
      <w:pPr>
        <w:pStyle w:val="B1"/>
        <w:ind w:firstLine="480"/>
        <w:rPr>
          <w:rFonts w:cs="Times New Roman"/>
        </w:rPr>
      </w:pPr>
      <w:r>
        <w:rPr>
          <w:rFonts w:cs="Times New Roman"/>
        </w:rPr>
        <w:t>本项目符合国家产业政策，选址及建设内容符合园区规划及规划环评内容，项目建设符合</w:t>
      </w:r>
      <w:r>
        <w:rPr>
          <w:rFonts w:cs="Times New Roman"/>
        </w:rPr>
        <w:t>“</w:t>
      </w:r>
      <w:r>
        <w:rPr>
          <w:rFonts w:cs="Times New Roman"/>
        </w:rPr>
        <w:t>三线一单</w:t>
      </w:r>
      <w:r>
        <w:rPr>
          <w:rFonts w:cs="Times New Roman"/>
        </w:rPr>
        <w:t>”</w:t>
      </w:r>
      <w:r>
        <w:rPr>
          <w:rFonts w:cs="Times New Roman"/>
        </w:rPr>
        <w:t>相关内容，经分析判定具备开展环境影响评价工作的前提和基础条件。</w:t>
      </w:r>
    </w:p>
    <w:p w:rsidR="00525419" w:rsidRDefault="00EE1CF7">
      <w:pPr>
        <w:pStyle w:val="2a"/>
        <w:spacing w:beforeLines="50" w:before="156" w:after="156"/>
        <w:ind w:left="578" w:hanging="578"/>
        <w:rPr>
          <w:rFonts w:ascii="Times New Roman" w:eastAsia="楷体_GB2312" w:hAnsi="Times New Roman"/>
          <w:sz w:val="36"/>
        </w:rPr>
      </w:pPr>
      <w:bookmarkStart w:id="11" w:name="_Toc4771"/>
      <w:r>
        <w:rPr>
          <w:rFonts w:ascii="Times New Roman" w:eastAsia="楷体_GB2312" w:hAnsi="Times New Roman"/>
          <w:sz w:val="36"/>
        </w:rPr>
        <w:t>1.4</w:t>
      </w:r>
      <w:r>
        <w:rPr>
          <w:rFonts w:ascii="Times New Roman" w:eastAsia="楷体_GB2312" w:hAnsi="Times New Roman"/>
          <w:sz w:val="36"/>
        </w:rPr>
        <w:t>关注的主要环境问题及环境影响</w:t>
      </w:r>
      <w:bookmarkEnd w:id="11"/>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本项目位于鄯善高新技术产业开发区（鄯善工业园区）石化产业园</w:t>
      </w:r>
      <w:r>
        <w:rPr>
          <w:rFonts w:ascii="Times New Roman" w:hAnsi="Times New Roman" w:hint="eastAsia"/>
          <w:sz w:val="24"/>
          <w:szCs w:val="24"/>
        </w:rPr>
        <w:t>，</w:t>
      </w:r>
      <w:r>
        <w:rPr>
          <w:rFonts w:ascii="Times New Roman" w:hAnsi="Times New Roman"/>
          <w:sz w:val="24"/>
          <w:szCs w:val="24"/>
        </w:rPr>
        <w:t>园区内的水、电、交通等基础设施齐全。</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本项目正常情况下废气主要是</w:t>
      </w:r>
      <w:r>
        <w:rPr>
          <w:rFonts w:ascii="Times New Roman" w:hAnsi="Times New Roman" w:hint="eastAsia"/>
          <w:sz w:val="24"/>
          <w:szCs w:val="24"/>
        </w:rPr>
        <w:t>有组织排放的</w:t>
      </w:r>
      <w:r>
        <w:rPr>
          <w:rFonts w:ascii="Times New Roman" w:hAnsi="Times New Roman" w:hint="eastAsia"/>
          <w:kern w:val="0"/>
          <w:sz w:val="24"/>
          <w:szCs w:val="24"/>
        </w:rPr>
        <w:t>制氢转化炉烟气、加氢反应一、二段加热炉</w:t>
      </w:r>
      <w:r>
        <w:rPr>
          <w:rFonts w:ascii="Times New Roman" w:hAnsi="Times New Roman"/>
          <w:kern w:val="0"/>
          <w:sz w:val="24"/>
          <w:szCs w:val="24"/>
        </w:rPr>
        <w:t>烟气、</w:t>
      </w:r>
      <w:r>
        <w:rPr>
          <w:rFonts w:ascii="Times New Roman" w:hAnsi="Times New Roman" w:hint="eastAsia"/>
          <w:kern w:val="0"/>
          <w:sz w:val="24"/>
          <w:szCs w:val="24"/>
        </w:rPr>
        <w:t>加氢分馏加热炉烟气、</w:t>
      </w:r>
      <w:r>
        <w:rPr>
          <w:rFonts w:ascii="Times New Roman" w:hAnsi="Times New Roman"/>
          <w:kern w:val="0"/>
          <w:sz w:val="24"/>
          <w:szCs w:val="24"/>
        </w:rPr>
        <w:t>硫磺</w:t>
      </w:r>
      <w:r>
        <w:rPr>
          <w:rFonts w:ascii="Times New Roman" w:hAnsi="Times New Roman" w:hint="eastAsia"/>
          <w:kern w:val="0"/>
          <w:sz w:val="24"/>
          <w:szCs w:val="24"/>
        </w:rPr>
        <w:t>回收焚烧炉尾气以及罐区、</w:t>
      </w:r>
      <w:r>
        <w:rPr>
          <w:rFonts w:ascii="Times New Roman" w:hAnsi="Times New Roman"/>
          <w:sz w:val="24"/>
          <w:szCs w:val="24"/>
        </w:rPr>
        <w:t>装卸</w:t>
      </w:r>
      <w:r>
        <w:rPr>
          <w:rFonts w:ascii="Times New Roman" w:hAnsi="Times New Roman" w:hint="eastAsia"/>
          <w:sz w:val="24"/>
          <w:szCs w:val="24"/>
        </w:rPr>
        <w:t>台</w:t>
      </w:r>
      <w:r>
        <w:rPr>
          <w:rFonts w:ascii="Times New Roman" w:hAnsi="Times New Roman"/>
          <w:sz w:val="24"/>
          <w:szCs w:val="24"/>
        </w:rPr>
        <w:t>排放的无组织废气；废水主要是装置产生的含硫废水</w:t>
      </w:r>
      <w:r>
        <w:rPr>
          <w:rFonts w:ascii="Times New Roman" w:hAnsi="Times New Roman" w:hint="eastAsia"/>
          <w:sz w:val="24"/>
          <w:szCs w:val="24"/>
        </w:rPr>
        <w:t>、含油废水及其他废水</w:t>
      </w:r>
      <w:r>
        <w:rPr>
          <w:rFonts w:ascii="Times New Roman" w:hAnsi="Times New Roman"/>
          <w:sz w:val="24"/>
          <w:szCs w:val="24"/>
        </w:rPr>
        <w:t>；装置噪声源主要是机泵、空冷器和</w:t>
      </w:r>
      <w:r>
        <w:rPr>
          <w:rFonts w:ascii="Times New Roman" w:hAnsi="Times New Roman" w:hint="eastAsia"/>
          <w:sz w:val="24"/>
          <w:szCs w:val="24"/>
        </w:rPr>
        <w:t>各类加热炉</w:t>
      </w:r>
      <w:r>
        <w:rPr>
          <w:rFonts w:ascii="Times New Roman" w:hAnsi="Times New Roman"/>
          <w:sz w:val="24"/>
          <w:szCs w:val="24"/>
        </w:rPr>
        <w:t>的噪声；本项目产生的危险废物主要有废加氢催化剂、废脱氯剂、废脱硫剂、</w:t>
      </w:r>
      <w:r>
        <w:rPr>
          <w:rFonts w:ascii="Times New Roman" w:hAnsi="Times New Roman"/>
          <w:sz w:val="24"/>
          <w:szCs w:val="24"/>
          <w:lang w:val="zh-CN"/>
        </w:rPr>
        <w:t>废催化剂、</w:t>
      </w:r>
      <w:r>
        <w:rPr>
          <w:rFonts w:ascii="Times New Roman" w:hAnsi="Times New Roman"/>
          <w:sz w:val="24"/>
          <w:szCs w:val="24"/>
        </w:rPr>
        <w:t>废保护剂、废活性炭等，一般工业固体废物包括</w:t>
      </w:r>
      <w:r>
        <w:rPr>
          <w:rFonts w:ascii="Times New Roman" w:hAnsi="Times New Roman"/>
          <w:sz w:val="24"/>
          <w:szCs w:val="24"/>
          <w:lang w:val="zh-CN"/>
        </w:rPr>
        <w:t>废瓷球</w:t>
      </w:r>
      <w:r>
        <w:rPr>
          <w:rFonts w:ascii="Times New Roman" w:hAnsi="Times New Roman"/>
          <w:sz w:val="24"/>
          <w:szCs w:val="24"/>
        </w:rPr>
        <w:t>、废吸附剂。</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根据项目主要污染物产生情况，结合项目周围环境</w:t>
      </w:r>
      <w:r>
        <w:rPr>
          <w:rFonts w:ascii="Times New Roman" w:hAnsi="Times New Roman" w:hint="eastAsia"/>
          <w:sz w:val="24"/>
          <w:szCs w:val="24"/>
        </w:rPr>
        <w:t>的</w:t>
      </w:r>
      <w:r>
        <w:rPr>
          <w:rFonts w:ascii="Times New Roman" w:hAnsi="Times New Roman"/>
          <w:sz w:val="24"/>
          <w:szCs w:val="24"/>
        </w:rPr>
        <w:t>环境保护目标及区域环境管理要求，本项目关注</w:t>
      </w:r>
      <w:r>
        <w:rPr>
          <w:rFonts w:ascii="Times New Roman" w:hAnsi="Times New Roman" w:hint="eastAsia"/>
          <w:sz w:val="24"/>
          <w:szCs w:val="24"/>
        </w:rPr>
        <w:t>的</w:t>
      </w:r>
      <w:r>
        <w:rPr>
          <w:rFonts w:ascii="Times New Roman" w:hAnsi="Times New Roman"/>
          <w:sz w:val="24"/>
          <w:szCs w:val="24"/>
        </w:rPr>
        <w:t>主要环境问题一是废水合理的处理及去向，二是无组织废气的控制；三是固体废物的安全处理处置；四是环境风险防范措施的有效性。</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本项目</w:t>
      </w:r>
      <w:r>
        <w:rPr>
          <w:rFonts w:ascii="Times New Roman" w:hAnsi="Times New Roman" w:hint="eastAsia"/>
          <w:sz w:val="24"/>
          <w:szCs w:val="24"/>
        </w:rPr>
        <w:t>各类加热炉</w:t>
      </w:r>
      <w:r>
        <w:rPr>
          <w:rFonts w:ascii="Times New Roman" w:hAnsi="Times New Roman"/>
          <w:sz w:val="24"/>
          <w:szCs w:val="24"/>
        </w:rPr>
        <w:t>利用清洁燃料，采用低氮燃烧技术，大大减少了氮氧化物排放量；硫磺回收尾气采用</w:t>
      </w:r>
      <w:r>
        <w:rPr>
          <w:rFonts w:ascii="Times New Roman" w:hAnsi="Times New Roman"/>
          <w:sz w:val="24"/>
          <w:lang w:val="zh-CN"/>
        </w:rPr>
        <w:t>还原</w:t>
      </w:r>
      <w:r>
        <w:rPr>
          <w:rFonts w:ascii="Times New Roman" w:hAnsi="Times New Roman"/>
          <w:sz w:val="24"/>
          <w:lang w:val="zh-CN"/>
        </w:rPr>
        <w:t>-</w:t>
      </w:r>
      <w:r>
        <w:rPr>
          <w:rFonts w:ascii="Times New Roman" w:hAnsi="Times New Roman"/>
          <w:sz w:val="24"/>
          <w:lang w:val="zh-CN"/>
        </w:rPr>
        <w:t>吸收</w:t>
      </w:r>
      <w:r>
        <w:rPr>
          <w:rFonts w:ascii="Times New Roman" w:hAnsi="Times New Roman"/>
          <w:sz w:val="24"/>
          <w:lang w:val="zh-CN"/>
        </w:rPr>
        <w:t>+</w:t>
      </w:r>
      <w:r>
        <w:rPr>
          <w:rFonts w:ascii="Times New Roman" w:hAnsi="Times New Roman"/>
          <w:sz w:val="24"/>
          <w:lang w:val="zh-CN"/>
        </w:rPr>
        <w:t>焚烧处理，减少二氧化硫的排放；</w:t>
      </w:r>
      <w:r>
        <w:rPr>
          <w:rFonts w:ascii="Times New Roman" w:hAnsi="Times New Roman"/>
          <w:sz w:val="24"/>
          <w:szCs w:val="24"/>
        </w:rPr>
        <w:t>本项目</w:t>
      </w:r>
      <w:r>
        <w:rPr>
          <w:rFonts w:ascii="Times New Roman" w:hAnsi="Times New Roman" w:hint="eastAsia"/>
          <w:sz w:val="24"/>
          <w:szCs w:val="24"/>
        </w:rPr>
        <w:t>油罐、</w:t>
      </w:r>
      <w:r>
        <w:rPr>
          <w:rFonts w:ascii="Times New Roman" w:hAnsi="Times New Roman"/>
          <w:sz w:val="24"/>
          <w:szCs w:val="24"/>
        </w:rPr>
        <w:t>装卸</w:t>
      </w:r>
      <w:r>
        <w:rPr>
          <w:rFonts w:ascii="Times New Roman" w:hAnsi="Times New Roman" w:hint="eastAsia"/>
          <w:sz w:val="24"/>
          <w:szCs w:val="24"/>
        </w:rPr>
        <w:t>台</w:t>
      </w:r>
      <w:r>
        <w:rPr>
          <w:rFonts w:ascii="Times New Roman" w:hAnsi="Times New Roman"/>
          <w:sz w:val="24"/>
          <w:szCs w:val="24"/>
        </w:rPr>
        <w:t>油气回收依托现厂区油气回收处理装置，生产装置采用</w:t>
      </w:r>
      <w:r>
        <w:rPr>
          <w:rFonts w:ascii="Times New Roman" w:hAnsi="Times New Roman"/>
          <w:sz w:val="24"/>
          <w:szCs w:val="24"/>
        </w:rPr>
        <w:t>LDAR(</w:t>
      </w:r>
      <w:r>
        <w:rPr>
          <w:rFonts w:ascii="Times New Roman" w:hAnsi="Times New Roman"/>
          <w:sz w:val="24"/>
          <w:szCs w:val="24"/>
        </w:rPr>
        <w:t>泄漏检测与修复</w:t>
      </w:r>
      <w:r>
        <w:rPr>
          <w:rFonts w:ascii="Times New Roman" w:hAnsi="Times New Roman"/>
          <w:sz w:val="24"/>
          <w:szCs w:val="24"/>
        </w:rPr>
        <w:t>)</w:t>
      </w:r>
      <w:r>
        <w:rPr>
          <w:rFonts w:ascii="Times New Roman" w:hAnsi="Times New Roman"/>
          <w:sz w:val="24"/>
          <w:szCs w:val="24"/>
        </w:rPr>
        <w:t>技术控制无组织泄漏，从而大大减少了项目</w:t>
      </w:r>
      <w:r>
        <w:rPr>
          <w:rFonts w:ascii="Times New Roman" w:hAnsi="Times New Roman"/>
          <w:sz w:val="24"/>
          <w:szCs w:val="24"/>
        </w:rPr>
        <w:t>VOCs</w:t>
      </w:r>
      <w:r>
        <w:rPr>
          <w:rFonts w:ascii="Times New Roman" w:hAnsi="Times New Roman"/>
          <w:sz w:val="24"/>
          <w:szCs w:val="24"/>
        </w:rPr>
        <w:t>的排放；废水经处理后</w:t>
      </w:r>
      <w:r>
        <w:rPr>
          <w:rFonts w:ascii="Times New Roman" w:hAnsi="Times New Roman"/>
          <w:kern w:val="0"/>
          <w:sz w:val="24"/>
          <w:szCs w:val="24"/>
        </w:rPr>
        <w:t>作为循环水</w:t>
      </w:r>
      <w:r>
        <w:rPr>
          <w:rFonts w:ascii="Times New Roman" w:hAnsi="Times New Roman" w:hint="eastAsia"/>
          <w:kern w:val="0"/>
          <w:sz w:val="24"/>
          <w:szCs w:val="24"/>
        </w:rPr>
        <w:t>及</w:t>
      </w:r>
      <w:r>
        <w:rPr>
          <w:rFonts w:ascii="Times New Roman" w:hAnsi="Times New Roman" w:hint="eastAsia"/>
          <w:sz w:val="24"/>
        </w:rPr>
        <w:t>工艺</w:t>
      </w:r>
      <w:r>
        <w:rPr>
          <w:rFonts w:ascii="Times New Roman" w:hAnsi="Times New Roman"/>
          <w:sz w:val="24"/>
        </w:rPr>
        <w:t>注水</w:t>
      </w:r>
      <w:r>
        <w:rPr>
          <w:rFonts w:ascii="Times New Roman" w:hAnsi="Times New Roman"/>
          <w:sz w:val="24"/>
          <w:szCs w:val="24"/>
        </w:rPr>
        <w:t>，不外排环境；</w:t>
      </w:r>
      <w:r>
        <w:rPr>
          <w:rFonts w:ascii="Times New Roman" w:hAnsi="Times New Roman" w:hint="eastAsia"/>
          <w:sz w:val="24"/>
          <w:szCs w:val="24"/>
        </w:rPr>
        <w:t>项目周围</w:t>
      </w:r>
      <w:r>
        <w:rPr>
          <w:rFonts w:ascii="Times New Roman" w:hAnsi="Times New Roman" w:hint="eastAsia"/>
          <w:sz w:val="24"/>
          <w:szCs w:val="24"/>
        </w:rPr>
        <w:t>2.5km</w:t>
      </w:r>
      <w:r>
        <w:rPr>
          <w:rFonts w:ascii="Times New Roman" w:hAnsi="Times New Roman"/>
          <w:sz w:val="24"/>
          <w:szCs w:val="24"/>
        </w:rPr>
        <w:t>没有声环境敏感目标</w:t>
      </w:r>
      <w:r>
        <w:rPr>
          <w:rFonts w:ascii="Times New Roman" w:hAnsi="Times New Roman" w:hint="eastAsia"/>
          <w:sz w:val="24"/>
          <w:szCs w:val="24"/>
        </w:rPr>
        <w:t>；本项目产生的危险废物交由有资质单位处置，一般工业固体废物在厂区堆存，由厂家回收。</w:t>
      </w:r>
      <w:r>
        <w:rPr>
          <w:rFonts w:ascii="Times New Roman" w:hAnsi="Times New Roman"/>
          <w:sz w:val="24"/>
          <w:szCs w:val="24"/>
        </w:rPr>
        <w:t>基于本项目污染物产生情况、石油化工项目特点和周围环境敏感目标，</w:t>
      </w:r>
      <w:r>
        <w:rPr>
          <w:rFonts w:ascii="Times New Roman" w:hAnsi="Times New Roman" w:hint="eastAsia"/>
          <w:sz w:val="24"/>
          <w:szCs w:val="24"/>
        </w:rPr>
        <w:t>本项目</w:t>
      </w:r>
      <w:r>
        <w:rPr>
          <w:rFonts w:ascii="Times New Roman" w:hAnsi="Times New Roman"/>
          <w:sz w:val="24"/>
          <w:szCs w:val="24"/>
        </w:rPr>
        <w:t>关心的主要环境影响是无组织废气对环境空气的影响和环境风险</w:t>
      </w:r>
      <w:r>
        <w:rPr>
          <w:rFonts w:ascii="Times New Roman" w:hAnsi="Times New Roman"/>
          <w:sz w:val="24"/>
          <w:szCs w:val="24"/>
        </w:rPr>
        <w:lastRenderedPageBreak/>
        <w:t>影响。</w:t>
      </w:r>
    </w:p>
    <w:p w:rsidR="00525419" w:rsidRDefault="00EE1CF7">
      <w:pPr>
        <w:pStyle w:val="2a"/>
        <w:spacing w:beforeLines="50" w:before="156" w:after="156"/>
        <w:ind w:left="578" w:hanging="578"/>
        <w:rPr>
          <w:rFonts w:ascii="Times New Roman" w:eastAsia="楷体_GB2312" w:hAnsi="Times New Roman"/>
          <w:sz w:val="36"/>
        </w:rPr>
      </w:pPr>
      <w:bookmarkStart w:id="12" w:name="_Toc9159"/>
      <w:r>
        <w:rPr>
          <w:rFonts w:ascii="Times New Roman" w:eastAsia="楷体_GB2312" w:hAnsi="Times New Roman"/>
          <w:sz w:val="36"/>
        </w:rPr>
        <w:t>1.5</w:t>
      </w:r>
      <w:r>
        <w:rPr>
          <w:rFonts w:ascii="Times New Roman" w:eastAsia="楷体_GB2312" w:hAnsi="Times New Roman"/>
          <w:sz w:val="36"/>
        </w:rPr>
        <w:t>环境影响评价的主要结论</w:t>
      </w:r>
      <w:bookmarkEnd w:id="12"/>
    </w:p>
    <w:p w:rsidR="00525419" w:rsidRDefault="00EE1CF7">
      <w:pPr>
        <w:pStyle w:val="B1"/>
        <w:ind w:firstLine="480"/>
        <w:rPr>
          <w:rFonts w:cs="Times New Roman"/>
        </w:rPr>
      </w:pPr>
      <w:r>
        <w:rPr>
          <w:rFonts w:cs="Times New Roman"/>
        </w:rPr>
        <w:t>新疆美汇特石化产品有限公司</w:t>
      </w:r>
      <w:r>
        <w:rPr>
          <w:rFonts w:cs="Times New Roman"/>
        </w:rPr>
        <w:t>40</w:t>
      </w:r>
      <w:r>
        <w:rPr>
          <w:rFonts w:cs="Times New Roman"/>
        </w:rPr>
        <w:t>万吨</w:t>
      </w:r>
      <w:r>
        <w:rPr>
          <w:rFonts w:cs="Times New Roman"/>
        </w:rPr>
        <w:t>/</w:t>
      </w:r>
      <w:r>
        <w:rPr>
          <w:rFonts w:cs="Times New Roman"/>
        </w:rPr>
        <w:t>年煤焦油加氢及配套项目（变更）符合国家产业政策和地方环保要求，选址符合《鄯善高新技术产业开发区（鄯善工业园区）总体规划》、规划环境影响评价结论及审查意见；建设项目生产符合清洁生产要求；各项污染治理得当，经有效处理后可使污染物稳定达到相关排放标准要求，对外环境影响不大，不会降低区域功能类别；项目制定环境风险应急预案，经采取有效的事故防范和减缓措施后，项目环境风险是可防控的；通过公众参与调查，没有收到反对项目建设的意见；项目建成后，具有一定的环境、社会和经济效益；因此，在认真落实本项目的各项污染防治措施的前提下，从环保的角度来说，该项目建设是可行的。</w:t>
      </w:r>
    </w:p>
    <w:p w:rsidR="00525419" w:rsidRDefault="00525419">
      <w:pPr>
        <w:spacing w:line="360" w:lineRule="auto"/>
        <w:ind w:firstLineChars="200" w:firstLine="480"/>
        <w:rPr>
          <w:rFonts w:ascii="Times New Roman" w:hAnsi="Times New Roman"/>
          <w:sz w:val="24"/>
        </w:rPr>
      </w:pPr>
    </w:p>
    <w:p w:rsidR="00525419" w:rsidRDefault="00EE1CF7">
      <w:pPr>
        <w:rPr>
          <w:rFonts w:ascii="Times New Roman" w:eastAsia="楷体_GB2312" w:hAnsi="Times New Roman"/>
          <w:sz w:val="44"/>
        </w:rPr>
      </w:pPr>
      <w:r>
        <w:rPr>
          <w:rFonts w:ascii="Times New Roman" w:eastAsia="楷体_GB2312" w:hAnsi="Times New Roman"/>
          <w:sz w:val="44"/>
        </w:rPr>
        <w:br w:type="page"/>
      </w:r>
    </w:p>
    <w:p w:rsidR="00525419" w:rsidRDefault="00EE1CF7">
      <w:pPr>
        <w:pStyle w:val="1a"/>
        <w:spacing w:before="120" w:after="0" w:line="360" w:lineRule="auto"/>
        <w:jc w:val="center"/>
        <w:rPr>
          <w:rFonts w:ascii="Times New Roman" w:eastAsia="楷体_GB2312" w:hAnsi="Times New Roman"/>
        </w:rPr>
      </w:pPr>
      <w:bookmarkStart w:id="13" w:name="_Toc22654"/>
      <w:r>
        <w:rPr>
          <w:rFonts w:ascii="Times New Roman" w:eastAsia="楷体_GB2312" w:hAnsi="Times New Roman"/>
        </w:rPr>
        <w:lastRenderedPageBreak/>
        <w:t>2</w:t>
      </w:r>
      <w:r>
        <w:rPr>
          <w:rFonts w:ascii="Times New Roman" w:eastAsia="楷体_GB2312" w:hAnsi="Times New Roman"/>
        </w:rPr>
        <w:t>总则</w:t>
      </w:r>
      <w:bookmarkEnd w:id="13"/>
    </w:p>
    <w:p w:rsidR="00525419" w:rsidRDefault="00EE1CF7">
      <w:pPr>
        <w:pStyle w:val="2a"/>
        <w:spacing w:beforeLines="50" w:before="156" w:after="156"/>
        <w:ind w:left="578" w:hanging="578"/>
        <w:rPr>
          <w:rFonts w:ascii="Times New Roman" w:eastAsia="楷体_GB2312" w:hAnsi="Times New Roman"/>
          <w:sz w:val="36"/>
        </w:rPr>
      </w:pPr>
      <w:bookmarkStart w:id="14" w:name="_Toc3232"/>
      <w:r>
        <w:rPr>
          <w:rFonts w:ascii="Times New Roman" w:eastAsia="楷体_GB2312" w:hAnsi="Times New Roman"/>
          <w:sz w:val="36"/>
        </w:rPr>
        <w:t>2.1</w:t>
      </w:r>
      <w:r>
        <w:rPr>
          <w:rFonts w:ascii="Times New Roman" w:eastAsia="楷体_GB2312" w:hAnsi="Times New Roman"/>
          <w:sz w:val="36"/>
        </w:rPr>
        <w:t>编制依据</w:t>
      </w:r>
      <w:bookmarkEnd w:id="14"/>
    </w:p>
    <w:p w:rsidR="00525419" w:rsidRDefault="00EE1CF7">
      <w:pPr>
        <w:pStyle w:val="3a"/>
        <w:spacing w:beforeLines="50" w:before="156" w:after="156" w:line="360" w:lineRule="auto"/>
        <w:jc w:val="left"/>
        <w:rPr>
          <w:rFonts w:ascii="Times New Roman" w:eastAsia="华文楷体" w:hAnsi="Times New Roman"/>
        </w:rPr>
      </w:pPr>
      <w:r>
        <w:rPr>
          <w:rFonts w:ascii="Times New Roman" w:eastAsia="华文楷体" w:hAnsi="Times New Roman"/>
        </w:rPr>
        <w:t>2.1.1</w:t>
      </w:r>
      <w:r>
        <w:rPr>
          <w:rFonts w:ascii="Times New Roman" w:eastAsia="华文楷体" w:hAnsi="Times New Roman"/>
        </w:rPr>
        <w:t>国家法律、法规</w:t>
      </w:r>
    </w:p>
    <w:p w:rsidR="00525419" w:rsidRDefault="00EE1CF7">
      <w:pPr>
        <w:pStyle w:val="B5"/>
        <w:rPr>
          <w:rFonts w:cs="Times New Roman"/>
          <w:b w:val="0"/>
        </w:rPr>
      </w:pPr>
      <w:r>
        <w:rPr>
          <w:rFonts w:cs="Times New Roman"/>
          <w:b w:val="0"/>
        </w:rPr>
        <w:t>（</w:t>
      </w:r>
      <w:r>
        <w:rPr>
          <w:rFonts w:cs="Times New Roman"/>
          <w:b w:val="0"/>
        </w:rPr>
        <w:t>1</w:t>
      </w:r>
      <w:r>
        <w:rPr>
          <w:rFonts w:cs="Times New Roman"/>
          <w:b w:val="0"/>
        </w:rPr>
        <w:t>）《中华人民共和国环境保护法》，</w:t>
      </w:r>
      <w:r>
        <w:rPr>
          <w:rFonts w:cs="Times New Roman"/>
          <w:b w:val="0"/>
        </w:rPr>
        <w:t>2015.01.01</w:t>
      </w:r>
      <w:r>
        <w:rPr>
          <w:rFonts w:cs="Times New Roman"/>
          <w:b w:val="0"/>
        </w:rPr>
        <w:t>修订；</w:t>
      </w:r>
    </w:p>
    <w:p w:rsidR="00525419" w:rsidRDefault="00EE1CF7">
      <w:pPr>
        <w:pStyle w:val="B5"/>
        <w:rPr>
          <w:rFonts w:cs="Times New Roman"/>
          <w:b w:val="0"/>
        </w:rPr>
      </w:pPr>
      <w:r>
        <w:rPr>
          <w:rFonts w:cs="Times New Roman"/>
          <w:b w:val="0"/>
        </w:rPr>
        <w:t>（</w:t>
      </w:r>
      <w:r>
        <w:rPr>
          <w:rFonts w:cs="Times New Roman"/>
          <w:b w:val="0"/>
        </w:rPr>
        <w:t>2</w:t>
      </w:r>
      <w:r>
        <w:rPr>
          <w:rFonts w:cs="Times New Roman"/>
          <w:b w:val="0"/>
        </w:rPr>
        <w:t>）《中华人民共和国环境影响评价法》，</w:t>
      </w:r>
      <w:r>
        <w:rPr>
          <w:rFonts w:cs="Times New Roman"/>
          <w:b w:val="0"/>
        </w:rPr>
        <w:t>2018.12.29</w:t>
      </w:r>
      <w:r>
        <w:rPr>
          <w:rFonts w:cs="Times New Roman"/>
          <w:b w:val="0"/>
        </w:rPr>
        <w:t>修订；</w:t>
      </w:r>
    </w:p>
    <w:p w:rsidR="00525419" w:rsidRDefault="00EE1CF7">
      <w:pPr>
        <w:pStyle w:val="B5"/>
        <w:rPr>
          <w:rFonts w:cs="Times New Roman"/>
          <w:b w:val="0"/>
        </w:rPr>
      </w:pPr>
      <w:r>
        <w:rPr>
          <w:rFonts w:cs="Times New Roman"/>
          <w:b w:val="0"/>
        </w:rPr>
        <w:t>（</w:t>
      </w:r>
      <w:r>
        <w:rPr>
          <w:rFonts w:cs="Times New Roman"/>
          <w:b w:val="0"/>
        </w:rPr>
        <w:t>3</w:t>
      </w:r>
      <w:r>
        <w:rPr>
          <w:rFonts w:cs="Times New Roman"/>
          <w:b w:val="0"/>
        </w:rPr>
        <w:t>）《中华人民共和国大气污染防治法》，</w:t>
      </w:r>
      <w:r>
        <w:rPr>
          <w:rFonts w:cs="Times New Roman"/>
          <w:b w:val="0"/>
        </w:rPr>
        <w:t>2018.10.26</w:t>
      </w:r>
      <w:r>
        <w:rPr>
          <w:rFonts w:cs="Times New Roman"/>
          <w:b w:val="0"/>
        </w:rPr>
        <w:t>修订；</w:t>
      </w:r>
    </w:p>
    <w:p w:rsidR="00525419" w:rsidRDefault="00EE1CF7">
      <w:pPr>
        <w:pStyle w:val="B5"/>
        <w:rPr>
          <w:rFonts w:cs="Times New Roman"/>
          <w:b w:val="0"/>
        </w:rPr>
      </w:pPr>
      <w:r>
        <w:rPr>
          <w:rFonts w:cs="Times New Roman"/>
          <w:b w:val="0"/>
        </w:rPr>
        <w:t>（</w:t>
      </w:r>
      <w:r>
        <w:rPr>
          <w:rFonts w:cs="Times New Roman"/>
          <w:b w:val="0"/>
        </w:rPr>
        <w:t>4</w:t>
      </w:r>
      <w:r>
        <w:rPr>
          <w:rFonts w:cs="Times New Roman"/>
          <w:b w:val="0"/>
        </w:rPr>
        <w:t>）《中华人民共和国水污染防治法》，</w:t>
      </w:r>
      <w:r>
        <w:rPr>
          <w:rFonts w:cs="Times New Roman"/>
          <w:b w:val="0"/>
        </w:rPr>
        <w:t>2018.01.01</w:t>
      </w:r>
      <w:r>
        <w:rPr>
          <w:rFonts w:cs="Times New Roman"/>
          <w:b w:val="0"/>
        </w:rPr>
        <w:t>修正；</w:t>
      </w:r>
    </w:p>
    <w:p w:rsidR="00525419" w:rsidRDefault="00EE1CF7">
      <w:pPr>
        <w:pStyle w:val="B5"/>
        <w:rPr>
          <w:rFonts w:cs="Times New Roman"/>
          <w:b w:val="0"/>
        </w:rPr>
      </w:pPr>
      <w:r>
        <w:rPr>
          <w:rFonts w:cs="Times New Roman"/>
          <w:b w:val="0"/>
        </w:rPr>
        <w:t>（</w:t>
      </w:r>
      <w:r>
        <w:rPr>
          <w:rFonts w:cs="Times New Roman"/>
          <w:b w:val="0"/>
        </w:rPr>
        <w:t>5</w:t>
      </w:r>
      <w:r>
        <w:rPr>
          <w:rFonts w:cs="Times New Roman"/>
          <w:b w:val="0"/>
        </w:rPr>
        <w:t>）《中华人民共和国环境噪声污染防治法》，</w:t>
      </w:r>
      <w:r>
        <w:rPr>
          <w:rFonts w:cs="Times New Roman"/>
          <w:b w:val="0"/>
        </w:rPr>
        <w:t>2018.12.29</w:t>
      </w:r>
      <w:r>
        <w:rPr>
          <w:rFonts w:cs="Times New Roman"/>
          <w:b w:val="0"/>
        </w:rPr>
        <w:t>修改；</w:t>
      </w:r>
    </w:p>
    <w:p w:rsidR="00525419" w:rsidRDefault="00EE1CF7">
      <w:pPr>
        <w:pStyle w:val="B5"/>
        <w:rPr>
          <w:rFonts w:cs="Times New Roman"/>
          <w:b w:val="0"/>
        </w:rPr>
      </w:pPr>
      <w:r>
        <w:rPr>
          <w:rFonts w:cs="Times New Roman"/>
          <w:b w:val="0"/>
        </w:rPr>
        <w:t>（</w:t>
      </w:r>
      <w:r>
        <w:rPr>
          <w:rFonts w:cs="Times New Roman"/>
          <w:b w:val="0"/>
        </w:rPr>
        <w:t>6</w:t>
      </w:r>
      <w:r>
        <w:rPr>
          <w:rFonts w:cs="Times New Roman"/>
          <w:b w:val="0"/>
        </w:rPr>
        <w:t>）《中华人民共和国固体废物污染环境防治法》，</w:t>
      </w:r>
      <w:r>
        <w:rPr>
          <w:rFonts w:cs="Times New Roman"/>
          <w:b w:val="0"/>
        </w:rPr>
        <w:t>2020.4.29</w:t>
      </w:r>
      <w:r>
        <w:rPr>
          <w:rFonts w:cs="Times New Roman"/>
          <w:b w:val="0"/>
        </w:rPr>
        <w:t>修订；</w:t>
      </w:r>
    </w:p>
    <w:p w:rsidR="00525419" w:rsidRDefault="00EE1CF7">
      <w:pPr>
        <w:pStyle w:val="B5"/>
        <w:rPr>
          <w:rFonts w:cs="Times New Roman"/>
          <w:b w:val="0"/>
        </w:rPr>
      </w:pPr>
      <w:r>
        <w:rPr>
          <w:rFonts w:cs="Times New Roman"/>
          <w:b w:val="0"/>
        </w:rPr>
        <w:t>（</w:t>
      </w:r>
      <w:r>
        <w:rPr>
          <w:rFonts w:cs="Times New Roman"/>
          <w:b w:val="0"/>
        </w:rPr>
        <w:t>7</w:t>
      </w:r>
      <w:r>
        <w:rPr>
          <w:rFonts w:cs="Times New Roman"/>
          <w:b w:val="0"/>
        </w:rPr>
        <w:t>）《中华人民共和国水土保持法》，</w:t>
      </w:r>
      <w:r>
        <w:rPr>
          <w:rFonts w:cs="Times New Roman"/>
          <w:b w:val="0"/>
        </w:rPr>
        <w:t>2017.12.20</w:t>
      </w:r>
      <w:r>
        <w:rPr>
          <w:rFonts w:cs="Times New Roman"/>
          <w:b w:val="0"/>
        </w:rPr>
        <w:t>修订；</w:t>
      </w:r>
    </w:p>
    <w:p w:rsidR="00525419" w:rsidRDefault="00EE1CF7">
      <w:pPr>
        <w:pStyle w:val="B5"/>
        <w:rPr>
          <w:rFonts w:cs="Times New Roman"/>
          <w:b w:val="0"/>
        </w:rPr>
      </w:pPr>
      <w:r>
        <w:rPr>
          <w:rFonts w:cs="Times New Roman"/>
          <w:b w:val="0"/>
        </w:rPr>
        <w:t>（</w:t>
      </w:r>
      <w:r>
        <w:rPr>
          <w:rFonts w:cs="Times New Roman"/>
          <w:b w:val="0"/>
        </w:rPr>
        <w:t>8</w:t>
      </w:r>
      <w:r>
        <w:rPr>
          <w:rFonts w:cs="Times New Roman"/>
          <w:b w:val="0"/>
        </w:rPr>
        <w:t>）《中华人民共和国土壤污染防治法》（</w:t>
      </w:r>
      <w:r>
        <w:rPr>
          <w:rFonts w:cs="Times New Roman"/>
          <w:b w:val="0"/>
        </w:rPr>
        <w:t>2019</w:t>
      </w:r>
      <w:r>
        <w:rPr>
          <w:rFonts w:cs="Times New Roman"/>
          <w:b w:val="0"/>
        </w:rPr>
        <w:t>年</w:t>
      </w:r>
      <w:r>
        <w:rPr>
          <w:rFonts w:cs="Times New Roman"/>
          <w:b w:val="0"/>
        </w:rPr>
        <w:t>1</w:t>
      </w:r>
      <w:r>
        <w:rPr>
          <w:rFonts w:cs="Times New Roman"/>
          <w:b w:val="0"/>
        </w:rPr>
        <w:t>月</w:t>
      </w:r>
      <w:r>
        <w:rPr>
          <w:rFonts w:cs="Times New Roman"/>
          <w:b w:val="0"/>
        </w:rPr>
        <w:t>1</w:t>
      </w:r>
      <w:r>
        <w:rPr>
          <w:rFonts w:cs="Times New Roman"/>
          <w:b w:val="0"/>
        </w:rPr>
        <w:t>日起施行）</w:t>
      </w:r>
    </w:p>
    <w:p w:rsidR="00525419" w:rsidRDefault="00EE1CF7">
      <w:pPr>
        <w:pStyle w:val="B5"/>
        <w:rPr>
          <w:rFonts w:cs="Times New Roman"/>
          <w:b w:val="0"/>
        </w:rPr>
      </w:pPr>
      <w:r>
        <w:rPr>
          <w:rFonts w:cs="Times New Roman"/>
          <w:b w:val="0"/>
        </w:rPr>
        <w:t>（</w:t>
      </w:r>
      <w:r>
        <w:rPr>
          <w:rFonts w:cs="Times New Roman"/>
          <w:b w:val="0"/>
        </w:rPr>
        <w:t>9</w:t>
      </w:r>
      <w:r>
        <w:rPr>
          <w:rFonts w:cs="Times New Roman"/>
          <w:b w:val="0"/>
        </w:rPr>
        <w:t>）《中华人民共和国清洁生产促进法》，</w:t>
      </w:r>
      <w:r>
        <w:rPr>
          <w:rFonts w:cs="Times New Roman"/>
          <w:b w:val="0"/>
        </w:rPr>
        <w:t>2012.07.01</w:t>
      </w:r>
      <w:r>
        <w:rPr>
          <w:rFonts w:cs="Times New Roman"/>
          <w:b w:val="0"/>
        </w:rPr>
        <w:t>；</w:t>
      </w:r>
    </w:p>
    <w:p w:rsidR="00525419" w:rsidRDefault="00EE1CF7">
      <w:pPr>
        <w:pStyle w:val="B5"/>
        <w:rPr>
          <w:rFonts w:cs="Times New Roman"/>
          <w:b w:val="0"/>
        </w:rPr>
      </w:pPr>
      <w:r>
        <w:rPr>
          <w:rFonts w:cs="Times New Roman"/>
          <w:b w:val="0"/>
        </w:rPr>
        <w:t>（</w:t>
      </w:r>
      <w:r>
        <w:rPr>
          <w:rFonts w:cs="Times New Roman"/>
          <w:b w:val="0"/>
        </w:rPr>
        <w:t>10</w:t>
      </w:r>
      <w:r>
        <w:rPr>
          <w:rFonts w:cs="Times New Roman"/>
          <w:b w:val="0"/>
        </w:rPr>
        <w:t>）《中华人民共和国节约能源法》（</w:t>
      </w:r>
      <w:r>
        <w:rPr>
          <w:rFonts w:cs="Times New Roman"/>
          <w:b w:val="0"/>
        </w:rPr>
        <w:t>2018</w:t>
      </w:r>
      <w:r>
        <w:rPr>
          <w:rFonts w:cs="Times New Roman"/>
          <w:b w:val="0"/>
        </w:rPr>
        <w:t>年</w:t>
      </w:r>
      <w:r>
        <w:rPr>
          <w:rFonts w:cs="Times New Roman"/>
          <w:b w:val="0"/>
        </w:rPr>
        <w:t>10</w:t>
      </w:r>
      <w:r>
        <w:rPr>
          <w:rFonts w:cs="Times New Roman"/>
          <w:b w:val="0"/>
        </w:rPr>
        <w:t>月</w:t>
      </w:r>
      <w:r>
        <w:rPr>
          <w:rFonts w:cs="Times New Roman"/>
          <w:b w:val="0"/>
        </w:rPr>
        <w:t>26</w:t>
      </w:r>
      <w:r>
        <w:rPr>
          <w:rFonts w:cs="Times New Roman"/>
          <w:b w:val="0"/>
        </w:rPr>
        <w:t>日修订）；</w:t>
      </w:r>
    </w:p>
    <w:p w:rsidR="00525419" w:rsidRDefault="00EE1CF7">
      <w:pPr>
        <w:pStyle w:val="B5"/>
        <w:rPr>
          <w:rFonts w:cs="Times New Roman"/>
          <w:b w:val="0"/>
        </w:rPr>
      </w:pPr>
      <w:r>
        <w:rPr>
          <w:rFonts w:cs="Times New Roman"/>
          <w:b w:val="0"/>
        </w:rPr>
        <w:t>（</w:t>
      </w:r>
      <w:r>
        <w:rPr>
          <w:rFonts w:cs="Times New Roman"/>
          <w:b w:val="0"/>
        </w:rPr>
        <w:t>11</w:t>
      </w:r>
      <w:r>
        <w:rPr>
          <w:rFonts w:cs="Times New Roman"/>
          <w:b w:val="0"/>
        </w:rPr>
        <w:t>）《中华人民共和国循环经济促进法》，</w:t>
      </w:r>
      <w:r>
        <w:rPr>
          <w:rFonts w:cs="Times New Roman"/>
          <w:b w:val="0"/>
        </w:rPr>
        <w:t>2018.10.26</w:t>
      </w:r>
      <w:r>
        <w:rPr>
          <w:rFonts w:cs="Times New Roman"/>
          <w:b w:val="0"/>
        </w:rPr>
        <w:t>修订；</w:t>
      </w:r>
    </w:p>
    <w:p w:rsidR="00525419" w:rsidRDefault="00EE1CF7">
      <w:pPr>
        <w:pStyle w:val="B5"/>
        <w:rPr>
          <w:rFonts w:cs="Times New Roman"/>
          <w:b w:val="0"/>
        </w:rPr>
      </w:pPr>
      <w:r>
        <w:rPr>
          <w:rFonts w:cs="Times New Roman"/>
          <w:b w:val="0"/>
        </w:rPr>
        <w:t>（</w:t>
      </w:r>
      <w:r>
        <w:rPr>
          <w:rFonts w:cs="Times New Roman"/>
          <w:b w:val="0"/>
        </w:rPr>
        <w:t>12</w:t>
      </w:r>
      <w:r>
        <w:rPr>
          <w:rFonts w:cs="Times New Roman"/>
          <w:b w:val="0"/>
        </w:rPr>
        <w:t>）《中华人民共和国土地管理法（修订）》（</w:t>
      </w:r>
      <w:r>
        <w:rPr>
          <w:rFonts w:cs="Times New Roman"/>
          <w:b w:val="0"/>
        </w:rPr>
        <w:t>2004</w:t>
      </w:r>
      <w:r>
        <w:rPr>
          <w:rFonts w:cs="Times New Roman"/>
          <w:b w:val="0"/>
        </w:rPr>
        <w:t>年</w:t>
      </w:r>
      <w:r>
        <w:rPr>
          <w:rFonts w:cs="Times New Roman"/>
          <w:b w:val="0"/>
        </w:rPr>
        <w:t>8</w:t>
      </w:r>
      <w:r>
        <w:rPr>
          <w:rFonts w:cs="Times New Roman"/>
          <w:b w:val="0"/>
        </w:rPr>
        <w:t>月</w:t>
      </w:r>
      <w:r>
        <w:rPr>
          <w:rFonts w:cs="Times New Roman"/>
          <w:b w:val="0"/>
        </w:rPr>
        <w:t>28</w:t>
      </w:r>
      <w:r>
        <w:rPr>
          <w:rFonts w:cs="Times New Roman"/>
          <w:b w:val="0"/>
        </w:rPr>
        <w:t>日修订）；</w:t>
      </w:r>
    </w:p>
    <w:p w:rsidR="00525419" w:rsidRDefault="00EE1CF7">
      <w:pPr>
        <w:pStyle w:val="3a"/>
        <w:spacing w:beforeLines="50" w:before="156" w:after="156" w:line="360" w:lineRule="auto"/>
        <w:jc w:val="left"/>
        <w:rPr>
          <w:rFonts w:ascii="Times New Roman" w:eastAsia="华文楷体" w:hAnsi="Times New Roman"/>
        </w:rPr>
      </w:pPr>
      <w:r>
        <w:rPr>
          <w:rFonts w:ascii="Times New Roman" w:eastAsia="华文楷体" w:hAnsi="Times New Roman"/>
        </w:rPr>
        <w:t>2.1.2</w:t>
      </w:r>
      <w:r>
        <w:rPr>
          <w:rFonts w:ascii="Times New Roman" w:eastAsia="华文楷体" w:hAnsi="Times New Roman"/>
        </w:rPr>
        <w:t>部门规章</w:t>
      </w:r>
    </w:p>
    <w:p w:rsidR="00525419" w:rsidRDefault="00EE1CF7">
      <w:pPr>
        <w:pStyle w:val="B5"/>
        <w:rPr>
          <w:rFonts w:cs="Times New Roman"/>
          <w:b w:val="0"/>
        </w:rPr>
      </w:pPr>
      <w:r>
        <w:rPr>
          <w:rFonts w:cs="Times New Roman"/>
          <w:b w:val="0"/>
        </w:rPr>
        <w:t>（</w:t>
      </w:r>
      <w:r>
        <w:rPr>
          <w:rFonts w:cs="Times New Roman"/>
          <w:b w:val="0"/>
        </w:rPr>
        <w:t>1</w:t>
      </w:r>
      <w:r>
        <w:rPr>
          <w:rFonts w:cs="Times New Roman"/>
          <w:b w:val="0"/>
        </w:rPr>
        <w:t>）《建设项目环境保护管理条例》（</w:t>
      </w:r>
      <w:r>
        <w:rPr>
          <w:rFonts w:cs="Times New Roman"/>
          <w:b w:val="0"/>
        </w:rPr>
        <w:t>2017</w:t>
      </w:r>
      <w:r>
        <w:rPr>
          <w:rFonts w:cs="Times New Roman"/>
          <w:b w:val="0"/>
        </w:rPr>
        <w:t>年修订），国务院令第</w:t>
      </w:r>
      <w:r>
        <w:rPr>
          <w:rFonts w:cs="Times New Roman"/>
          <w:b w:val="0"/>
        </w:rPr>
        <w:t>682</w:t>
      </w:r>
      <w:r>
        <w:rPr>
          <w:rFonts w:cs="Times New Roman"/>
          <w:b w:val="0"/>
        </w:rPr>
        <w:t>号，</w:t>
      </w:r>
      <w:r>
        <w:rPr>
          <w:rFonts w:cs="Times New Roman"/>
          <w:b w:val="0"/>
        </w:rPr>
        <w:t>2017.10.01</w:t>
      </w:r>
      <w:r>
        <w:rPr>
          <w:rFonts w:cs="Times New Roman"/>
          <w:b w:val="0"/>
        </w:rPr>
        <w:t>。</w:t>
      </w:r>
    </w:p>
    <w:p w:rsidR="00525419" w:rsidRDefault="00EE1CF7">
      <w:pPr>
        <w:widowControl/>
        <w:spacing w:line="360" w:lineRule="auto"/>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）《建设项目环境影响评价分类管理名录》，生态环境部令第</w:t>
      </w:r>
      <w:r>
        <w:rPr>
          <w:rFonts w:ascii="Times New Roman" w:hAnsi="Times New Roman"/>
          <w:sz w:val="24"/>
          <w:szCs w:val="24"/>
        </w:rPr>
        <w:t>1</w:t>
      </w:r>
      <w:r>
        <w:rPr>
          <w:rFonts w:ascii="Times New Roman" w:hAnsi="Times New Roman"/>
          <w:sz w:val="24"/>
          <w:szCs w:val="24"/>
        </w:rPr>
        <w:t>号，</w:t>
      </w:r>
      <w:r>
        <w:rPr>
          <w:rFonts w:ascii="Times New Roman" w:hAnsi="Times New Roman"/>
          <w:sz w:val="24"/>
          <w:szCs w:val="24"/>
        </w:rPr>
        <w:t>2018.04.28</w:t>
      </w:r>
      <w:r>
        <w:rPr>
          <w:rFonts w:ascii="Times New Roman" w:hAnsi="Times New Roman"/>
          <w:sz w:val="24"/>
          <w:szCs w:val="24"/>
        </w:rPr>
        <w:t>；</w:t>
      </w:r>
    </w:p>
    <w:p w:rsidR="00525419" w:rsidRDefault="00EE1CF7">
      <w:pPr>
        <w:widowControl/>
        <w:spacing w:line="360" w:lineRule="auto"/>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）《资源综合利用目录（</w:t>
      </w:r>
      <w:r>
        <w:rPr>
          <w:rFonts w:ascii="Times New Roman" w:hAnsi="Times New Roman"/>
          <w:sz w:val="24"/>
          <w:szCs w:val="24"/>
        </w:rPr>
        <w:t>2003</w:t>
      </w:r>
      <w:r>
        <w:rPr>
          <w:rFonts w:ascii="Times New Roman" w:hAnsi="Times New Roman"/>
          <w:sz w:val="24"/>
          <w:szCs w:val="24"/>
        </w:rPr>
        <w:t>年修订）》，发改环资</w:t>
      </w:r>
      <w:r>
        <w:rPr>
          <w:rFonts w:ascii="Times New Roman" w:hAnsi="Times New Roman"/>
          <w:sz w:val="24"/>
          <w:szCs w:val="24"/>
        </w:rPr>
        <w:t>[2005]73</w:t>
      </w:r>
      <w:r>
        <w:rPr>
          <w:rFonts w:ascii="Times New Roman" w:hAnsi="Times New Roman"/>
          <w:sz w:val="24"/>
          <w:szCs w:val="24"/>
        </w:rPr>
        <w:t>号，</w:t>
      </w:r>
      <w:r>
        <w:rPr>
          <w:rFonts w:ascii="Times New Roman" w:hAnsi="Times New Roman"/>
          <w:sz w:val="24"/>
          <w:szCs w:val="24"/>
        </w:rPr>
        <w:t>2004.01.12</w:t>
      </w:r>
      <w:r>
        <w:rPr>
          <w:rFonts w:ascii="Times New Roman" w:hAnsi="Times New Roman"/>
          <w:sz w:val="24"/>
          <w:szCs w:val="24"/>
        </w:rPr>
        <w:t>；</w:t>
      </w:r>
    </w:p>
    <w:p w:rsidR="00525419" w:rsidRDefault="00EE1CF7">
      <w:pPr>
        <w:widowControl/>
        <w:spacing w:line="360" w:lineRule="auto"/>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4</w:t>
      </w:r>
      <w:r>
        <w:rPr>
          <w:rFonts w:ascii="Times New Roman" w:hAnsi="Times New Roman"/>
          <w:sz w:val="24"/>
          <w:szCs w:val="24"/>
        </w:rPr>
        <w:t>）《产业结构调整指导目录（</w:t>
      </w:r>
      <w:r>
        <w:rPr>
          <w:rFonts w:ascii="Times New Roman" w:hAnsi="Times New Roman"/>
          <w:sz w:val="24"/>
          <w:szCs w:val="24"/>
        </w:rPr>
        <w:t>2019</w:t>
      </w:r>
      <w:r>
        <w:rPr>
          <w:rFonts w:ascii="Times New Roman" w:hAnsi="Times New Roman"/>
          <w:sz w:val="24"/>
          <w:szCs w:val="24"/>
        </w:rPr>
        <w:t>年本）》，国家发改委令第</w:t>
      </w:r>
      <w:r>
        <w:rPr>
          <w:rFonts w:ascii="Times New Roman" w:hAnsi="Times New Roman"/>
          <w:sz w:val="24"/>
          <w:szCs w:val="24"/>
        </w:rPr>
        <w:t>29</w:t>
      </w:r>
      <w:r>
        <w:rPr>
          <w:rFonts w:ascii="Times New Roman" w:hAnsi="Times New Roman"/>
          <w:sz w:val="24"/>
          <w:szCs w:val="24"/>
        </w:rPr>
        <w:t>号，</w:t>
      </w:r>
      <w:r>
        <w:rPr>
          <w:rFonts w:ascii="Times New Roman" w:hAnsi="Times New Roman"/>
          <w:sz w:val="24"/>
          <w:szCs w:val="24"/>
        </w:rPr>
        <w:t>2020.01.01</w:t>
      </w:r>
      <w:r>
        <w:rPr>
          <w:rFonts w:ascii="Times New Roman" w:hAnsi="Times New Roman"/>
          <w:sz w:val="24"/>
          <w:szCs w:val="24"/>
        </w:rPr>
        <w:t>；</w:t>
      </w:r>
    </w:p>
    <w:p w:rsidR="00525419" w:rsidRDefault="00EE1CF7">
      <w:pPr>
        <w:widowControl/>
        <w:spacing w:line="360" w:lineRule="auto"/>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5</w:t>
      </w:r>
      <w:r>
        <w:rPr>
          <w:rFonts w:ascii="Times New Roman" w:hAnsi="Times New Roman"/>
          <w:sz w:val="24"/>
          <w:szCs w:val="24"/>
        </w:rPr>
        <w:t>）《关于进一步加强环境影响评价管理防范环境风险的通知》，环发</w:t>
      </w:r>
      <w:r>
        <w:rPr>
          <w:rFonts w:ascii="Times New Roman" w:hAnsi="Times New Roman"/>
          <w:sz w:val="24"/>
          <w:szCs w:val="24"/>
        </w:rPr>
        <w:t>[2012]77</w:t>
      </w:r>
      <w:r>
        <w:rPr>
          <w:rFonts w:ascii="Times New Roman" w:hAnsi="Times New Roman"/>
          <w:sz w:val="24"/>
          <w:szCs w:val="24"/>
        </w:rPr>
        <w:t>号，</w:t>
      </w:r>
      <w:r>
        <w:rPr>
          <w:rFonts w:ascii="Times New Roman" w:hAnsi="Times New Roman"/>
          <w:sz w:val="24"/>
          <w:szCs w:val="24"/>
        </w:rPr>
        <w:t>2012.07.03</w:t>
      </w:r>
      <w:r>
        <w:rPr>
          <w:rFonts w:ascii="Times New Roman" w:hAnsi="Times New Roman"/>
          <w:sz w:val="24"/>
          <w:szCs w:val="24"/>
        </w:rPr>
        <w:t>；</w:t>
      </w:r>
    </w:p>
    <w:p w:rsidR="00525419" w:rsidRDefault="00EE1CF7">
      <w:pPr>
        <w:widowControl/>
        <w:spacing w:line="360" w:lineRule="auto"/>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6</w:t>
      </w:r>
      <w:r>
        <w:rPr>
          <w:rFonts w:ascii="Times New Roman" w:hAnsi="Times New Roman"/>
          <w:sz w:val="24"/>
          <w:szCs w:val="24"/>
        </w:rPr>
        <w:t>）《国务院安委会办公室关于进一步加强化工园区安全管理的指导意见》，安委办</w:t>
      </w:r>
      <w:r>
        <w:rPr>
          <w:rFonts w:ascii="Times New Roman" w:hAnsi="Times New Roman"/>
          <w:sz w:val="24"/>
          <w:szCs w:val="24"/>
        </w:rPr>
        <w:t>[2012]37</w:t>
      </w:r>
      <w:r>
        <w:rPr>
          <w:rFonts w:ascii="Times New Roman" w:hAnsi="Times New Roman"/>
          <w:sz w:val="24"/>
          <w:szCs w:val="24"/>
        </w:rPr>
        <w:t>号，</w:t>
      </w:r>
      <w:r>
        <w:rPr>
          <w:rFonts w:ascii="Times New Roman" w:hAnsi="Times New Roman"/>
          <w:sz w:val="24"/>
          <w:szCs w:val="24"/>
        </w:rPr>
        <w:t>2012.08.07</w:t>
      </w:r>
      <w:r>
        <w:rPr>
          <w:rFonts w:ascii="Times New Roman" w:hAnsi="Times New Roman"/>
          <w:sz w:val="24"/>
          <w:szCs w:val="24"/>
        </w:rPr>
        <w:t>；</w:t>
      </w:r>
    </w:p>
    <w:p w:rsidR="00525419" w:rsidRDefault="00EE1CF7">
      <w:pPr>
        <w:widowControl/>
        <w:spacing w:line="360" w:lineRule="auto"/>
        <w:jc w:val="left"/>
        <w:rPr>
          <w:rFonts w:ascii="Times New Roman" w:hAnsi="Times New Roman"/>
          <w:sz w:val="24"/>
          <w:szCs w:val="24"/>
        </w:rPr>
      </w:pPr>
      <w:r>
        <w:rPr>
          <w:rFonts w:ascii="Times New Roman" w:hAnsi="Times New Roman"/>
          <w:sz w:val="24"/>
          <w:szCs w:val="24"/>
        </w:rPr>
        <w:lastRenderedPageBreak/>
        <w:t>（</w:t>
      </w:r>
      <w:r>
        <w:rPr>
          <w:rFonts w:ascii="Times New Roman" w:hAnsi="Times New Roman"/>
          <w:sz w:val="24"/>
          <w:szCs w:val="24"/>
        </w:rPr>
        <w:t>7</w:t>
      </w:r>
      <w:r>
        <w:rPr>
          <w:rFonts w:ascii="Times New Roman" w:hAnsi="Times New Roman"/>
          <w:sz w:val="24"/>
          <w:szCs w:val="24"/>
        </w:rPr>
        <w:t>）《关于切实加强风险防范严格环境影响评价管理的通知》，环发</w:t>
      </w:r>
      <w:r>
        <w:rPr>
          <w:rFonts w:ascii="Times New Roman" w:hAnsi="Times New Roman"/>
          <w:sz w:val="24"/>
          <w:szCs w:val="24"/>
        </w:rPr>
        <w:t>[2012]98</w:t>
      </w:r>
      <w:r>
        <w:rPr>
          <w:rFonts w:ascii="Times New Roman" w:hAnsi="Times New Roman"/>
          <w:sz w:val="24"/>
          <w:szCs w:val="24"/>
        </w:rPr>
        <w:t>号，</w:t>
      </w:r>
      <w:r>
        <w:rPr>
          <w:rFonts w:ascii="Times New Roman" w:hAnsi="Times New Roman"/>
          <w:sz w:val="24"/>
          <w:szCs w:val="24"/>
        </w:rPr>
        <w:t>2012.08.07</w:t>
      </w:r>
      <w:r>
        <w:rPr>
          <w:rFonts w:ascii="Times New Roman" w:hAnsi="Times New Roman"/>
          <w:sz w:val="24"/>
          <w:szCs w:val="24"/>
        </w:rPr>
        <w:t>；</w:t>
      </w:r>
    </w:p>
    <w:p w:rsidR="00525419" w:rsidRDefault="00EE1CF7">
      <w:pPr>
        <w:widowControl/>
        <w:spacing w:line="360" w:lineRule="auto"/>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8</w:t>
      </w:r>
      <w:r>
        <w:rPr>
          <w:rFonts w:ascii="Times New Roman" w:hAnsi="Times New Roman"/>
          <w:sz w:val="24"/>
          <w:szCs w:val="24"/>
        </w:rPr>
        <w:t>）《国务院关于印发打赢蓝天保卫战三年行动计划的通知》，国发</w:t>
      </w:r>
      <w:r>
        <w:rPr>
          <w:rFonts w:ascii="Times New Roman" w:hAnsi="Times New Roman"/>
          <w:sz w:val="24"/>
          <w:szCs w:val="24"/>
        </w:rPr>
        <w:t>[2018]22</w:t>
      </w:r>
      <w:r>
        <w:rPr>
          <w:rFonts w:ascii="Times New Roman" w:hAnsi="Times New Roman"/>
          <w:sz w:val="24"/>
          <w:szCs w:val="24"/>
        </w:rPr>
        <w:t>号，</w:t>
      </w:r>
      <w:r>
        <w:rPr>
          <w:rFonts w:ascii="Times New Roman" w:hAnsi="Times New Roman"/>
          <w:sz w:val="24"/>
          <w:szCs w:val="24"/>
        </w:rPr>
        <w:t>(2018</w:t>
      </w:r>
      <w:r>
        <w:rPr>
          <w:rFonts w:ascii="Times New Roman" w:hAnsi="Times New Roman"/>
          <w:sz w:val="24"/>
          <w:szCs w:val="24"/>
        </w:rPr>
        <w:t>年</w:t>
      </w:r>
      <w:r>
        <w:rPr>
          <w:rFonts w:ascii="Times New Roman" w:hAnsi="Times New Roman"/>
          <w:sz w:val="24"/>
          <w:szCs w:val="24"/>
        </w:rPr>
        <w:t>7</w:t>
      </w:r>
      <w:r>
        <w:rPr>
          <w:rFonts w:ascii="Times New Roman" w:hAnsi="Times New Roman"/>
          <w:sz w:val="24"/>
          <w:szCs w:val="24"/>
        </w:rPr>
        <w:t>月</w:t>
      </w:r>
      <w:r>
        <w:rPr>
          <w:rFonts w:ascii="Times New Roman" w:hAnsi="Times New Roman"/>
          <w:sz w:val="24"/>
          <w:szCs w:val="24"/>
        </w:rPr>
        <w:t>3</w:t>
      </w:r>
      <w:r>
        <w:rPr>
          <w:rFonts w:ascii="Times New Roman" w:hAnsi="Times New Roman"/>
          <w:sz w:val="24"/>
          <w:szCs w:val="24"/>
        </w:rPr>
        <w:t>日实施</w:t>
      </w:r>
      <w:r>
        <w:rPr>
          <w:rFonts w:ascii="Times New Roman" w:hAnsi="Times New Roman"/>
          <w:sz w:val="24"/>
          <w:szCs w:val="24"/>
        </w:rPr>
        <w:t>)</w:t>
      </w:r>
      <w:r>
        <w:rPr>
          <w:rFonts w:ascii="Times New Roman" w:hAnsi="Times New Roman"/>
          <w:sz w:val="24"/>
          <w:szCs w:val="24"/>
        </w:rPr>
        <w:t>；</w:t>
      </w:r>
    </w:p>
    <w:p w:rsidR="00525419" w:rsidRDefault="00EE1CF7">
      <w:pPr>
        <w:widowControl/>
        <w:spacing w:line="360" w:lineRule="auto"/>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9</w:t>
      </w:r>
      <w:r>
        <w:rPr>
          <w:rFonts w:ascii="Times New Roman" w:hAnsi="Times New Roman"/>
          <w:sz w:val="24"/>
          <w:szCs w:val="24"/>
        </w:rPr>
        <w:t>）《国务院关于印发水污染防治行动计划的通知》（国发</w:t>
      </w:r>
      <w:r>
        <w:rPr>
          <w:rFonts w:ascii="Times New Roman" w:hAnsi="Times New Roman"/>
          <w:sz w:val="24"/>
          <w:szCs w:val="24"/>
        </w:rPr>
        <w:t>[2015]17</w:t>
      </w:r>
      <w:r>
        <w:rPr>
          <w:rFonts w:ascii="Times New Roman" w:hAnsi="Times New Roman"/>
          <w:sz w:val="24"/>
          <w:szCs w:val="24"/>
        </w:rPr>
        <w:t>号）</w:t>
      </w:r>
      <w:r>
        <w:rPr>
          <w:rFonts w:ascii="Times New Roman" w:hAnsi="Times New Roman"/>
          <w:sz w:val="24"/>
          <w:szCs w:val="24"/>
        </w:rPr>
        <w:t>2015.04.02</w:t>
      </w:r>
      <w:r>
        <w:rPr>
          <w:rFonts w:ascii="Times New Roman" w:hAnsi="Times New Roman"/>
          <w:sz w:val="24"/>
          <w:szCs w:val="24"/>
        </w:rPr>
        <w:t>；</w:t>
      </w:r>
    </w:p>
    <w:p w:rsidR="00525419" w:rsidRDefault="00EE1CF7">
      <w:pPr>
        <w:widowControl/>
        <w:spacing w:line="360" w:lineRule="auto"/>
        <w:jc w:val="left"/>
        <w:rPr>
          <w:rFonts w:ascii="Times New Roman" w:hAnsi="Times New Roman"/>
        </w:rPr>
      </w:pPr>
      <w:r>
        <w:rPr>
          <w:rFonts w:ascii="Times New Roman" w:hAnsi="Times New Roman"/>
          <w:sz w:val="24"/>
          <w:szCs w:val="24"/>
        </w:rPr>
        <w:t>（</w:t>
      </w:r>
      <w:r>
        <w:rPr>
          <w:rFonts w:ascii="Times New Roman" w:hAnsi="Times New Roman"/>
          <w:sz w:val="24"/>
          <w:szCs w:val="24"/>
        </w:rPr>
        <w:t>10</w:t>
      </w:r>
      <w:r>
        <w:rPr>
          <w:rFonts w:ascii="Times New Roman" w:hAnsi="Times New Roman"/>
          <w:sz w:val="24"/>
          <w:szCs w:val="24"/>
        </w:rPr>
        <w:t>）《全国地下水污染防治规划（</w:t>
      </w:r>
      <w:r>
        <w:rPr>
          <w:rFonts w:ascii="Times New Roman" w:hAnsi="Times New Roman"/>
          <w:sz w:val="24"/>
          <w:szCs w:val="24"/>
        </w:rPr>
        <w:t>2011-2020</w:t>
      </w:r>
      <w:r>
        <w:rPr>
          <w:rFonts w:ascii="Times New Roman" w:hAnsi="Times New Roman"/>
          <w:sz w:val="24"/>
          <w:szCs w:val="24"/>
        </w:rPr>
        <w:t>年）》，环发</w:t>
      </w:r>
      <w:r>
        <w:rPr>
          <w:rFonts w:ascii="Times New Roman" w:hAnsi="Times New Roman"/>
          <w:sz w:val="24"/>
          <w:szCs w:val="24"/>
        </w:rPr>
        <w:t>[2011]128</w:t>
      </w:r>
      <w:r>
        <w:rPr>
          <w:rFonts w:ascii="Times New Roman" w:hAnsi="Times New Roman"/>
          <w:sz w:val="24"/>
          <w:szCs w:val="24"/>
        </w:rPr>
        <w:t>号；</w:t>
      </w:r>
    </w:p>
    <w:p w:rsidR="00525419" w:rsidRDefault="00EE1CF7">
      <w:pPr>
        <w:widowControl/>
        <w:spacing w:line="360" w:lineRule="auto"/>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11</w:t>
      </w:r>
      <w:r>
        <w:rPr>
          <w:rFonts w:ascii="Times New Roman" w:hAnsi="Times New Roman"/>
          <w:sz w:val="24"/>
          <w:szCs w:val="24"/>
        </w:rPr>
        <w:t>）《国务院关于印发土壤污染防治行动计划的通知》（国发</w:t>
      </w:r>
      <w:r>
        <w:rPr>
          <w:rFonts w:ascii="Times New Roman" w:hAnsi="Times New Roman"/>
          <w:sz w:val="24"/>
          <w:szCs w:val="24"/>
        </w:rPr>
        <w:t>[2016]31</w:t>
      </w:r>
      <w:r>
        <w:rPr>
          <w:rFonts w:ascii="Times New Roman" w:hAnsi="Times New Roman"/>
          <w:sz w:val="24"/>
          <w:szCs w:val="24"/>
        </w:rPr>
        <w:t>号）</w:t>
      </w:r>
      <w:r>
        <w:rPr>
          <w:rFonts w:ascii="Times New Roman" w:hAnsi="Times New Roman"/>
          <w:sz w:val="24"/>
          <w:szCs w:val="24"/>
        </w:rPr>
        <w:t>2016.05.28</w:t>
      </w:r>
      <w:r>
        <w:rPr>
          <w:rFonts w:ascii="Times New Roman" w:hAnsi="Times New Roman"/>
          <w:sz w:val="24"/>
          <w:szCs w:val="24"/>
        </w:rPr>
        <w:t>；</w:t>
      </w:r>
    </w:p>
    <w:p w:rsidR="00525419" w:rsidRDefault="00EE1CF7">
      <w:pPr>
        <w:widowControl/>
        <w:spacing w:line="360" w:lineRule="auto"/>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12</w:t>
      </w:r>
      <w:r>
        <w:rPr>
          <w:rFonts w:ascii="Times New Roman" w:hAnsi="Times New Roman"/>
          <w:sz w:val="24"/>
          <w:szCs w:val="24"/>
        </w:rPr>
        <w:t>）《关于切实加强环境影响评价监督管理工作的通知》，环办</w:t>
      </w:r>
      <w:r>
        <w:rPr>
          <w:rFonts w:ascii="Times New Roman" w:hAnsi="Times New Roman"/>
          <w:sz w:val="24"/>
          <w:szCs w:val="24"/>
        </w:rPr>
        <w:t>[2013]104</w:t>
      </w:r>
      <w:r>
        <w:rPr>
          <w:rFonts w:ascii="Times New Roman" w:hAnsi="Times New Roman"/>
          <w:sz w:val="24"/>
          <w:szCs w:val="24"/>
        </w:rPr>
        <w:t>号，</w:t>
      </w:r>
      <w:r>
        <w:rPr>
          <w:rFonts w:ascii="Times New Roman" w:hAnsi="Times New Roman"/>
          <w:sz w:val="24"/>
          <w:szCs w:val="24"/>
        </w:rPr>
        <w:t>2013.11.15</w:t>
      </w:r>
      <w:r>
        <w:rPr>
          <w:rFonts w:ascii="Times New Roman" w:hAnsi="Times New Roman"/>
          <w:sz w:val="24"/>
          <w:szCs w:val="24"/>
        </w:rPr>
        <w:t>；</w:t>
      </w:r>
    </w:p>
    <w:p w:rsidR="00525419" w:rsidRDefault="00EE1CF7">
      <w:pPr>
        <w:widowControl/>
        <w:spacing w:line="360" w:lineRule="auto"/>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13</w:t>
      </w:r>
      <w:r>
        <w:rPr>
          <w:rFonts w:ascii="Times New Roman" w:hAnsi="Times New Roman"/>
          <w:sz w:val="24"/>
          <w:szCs w:val="24"/>
        </w:rPr>
        <w:t>）《关于以改善环境质量为核心加强环境影响评价管理的通知》（环境保护部文件，环环评</w:t>
      </w:r>
      <w:r>
        <w:rPr>
          <w:rFonts w:ascii="Times New Roman" w:hAnsi="Times New Roman"/>
          <w:sz w:val="24"/>
          <w:szCs w:val="24"/>
        </w:rPr>
        <w:t>[2016]150</w:t>
      </w:r>
      <w:r>
        <w:rPr>
          <w:rFonts w:ascii="Times New Roman" w:hAnsi="Times New Roman"/>
          <w:sz w:val="24"/>
          <w:szCs w:val="24"/>
        </w:rPr>
        <w:t>号），</w:t>
      </w:r>
      <w:r>
        <w:rPr>
          <w:rFonts w:ascii="Times New Roman" w:hAnsi="Times New Roman"/>
          <w:sz w:val="24"/>
          <w:szCs w:val="24"/>
        </w:rPr>
        <w:t>2016</w:t>
      </w:r>
      <w:r>
        <w:rPr>
          <w:rFonts w:ascii="Times New Roman" w:hAnsi="Times New Roman"/>
          <w:sz w:val="24"/>
          <w:szCs w:val="24"/>
        </w:rPr>
        <w:t>年</w:t>
      </w:r>
      <w:r>
        <w:rPr>
          <w:rFonts w:ascii="Times New Roman" w:hAnsi="Times New Roman"/>
          <w:sz w:val="24"/>
          <w:szCs w:val="24"/>
        </w:rPr>
        <w:t>10</w:t>
      </w:r>
      <w:r>
        <w:rPr>
          <w:rFonts w:ascii="Times New Roman" w:hAnsi="Times New Roman"/>
          <w:sz w:val="24"/>
          <w:szCs w:val="24"/>
        </w:rPr>
        <w:t>月</w:t>
      </w:r>
      <w:r>
        <w:rPr>
          <w:rFonts w:ascii="Times New Roman" w:hAnsi="Times New Roman"/>
          <w:sz w:val="24"/>
          <w:szCs w:val="24"/>
        </w:rPr>
        <w:t>26</w:t>
      </w:r>
      <w:r>
        <w:rPr>
          <w:rFonts w:ascii="Times New Roman" w:hAnsi="Times New Roman"/>
          <w:sz w:val="24"/>
          <w:szCs w:val="24"/>
        </w:rPr>
        <w:t>日</w:t>
      </w:r>
      <w:r>
        <w:rPr>
          <w:rFonts w:ascii="Times New Roman" w:hAnsi="Times New Roman" w:hint="eastAsia"/>
          <w:sz w:val="24"/>
          <w:szCs w:val="24"/>
        </w:rPr>
        <w:t>；</w:t>
      </w:r>
    </w:p>
    <w:p w:rsidR="00525419" w:rsidRDefault="00EE1CF7">
      <w:pPr>
        <w:widowControl/>
        <w:spacing w:line="360" w:lineRule="auto"/>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14</w:t>
      </w:r>
      <w:r>
        <w:rPr>
          <w:rFonts w:ascii="Times New Roman" w:hAnsi="Times New Roman"/>
          <w:sz w:val="24"/>
          <w:szCs w:val="24"/>
        </w:rPr>
        <w:t>）《国务院关于印发打赢蓝天保卫战三年行动计划的通知》（国发</w:t>
      </w:r>
      <w:r>
        <w:rPr>
          <w:rFonts w:ascii="Times New Roman" w:hAnsi="Times New Roman"/>
          <w:sz w:val="24"/>
          <w:szCs w:val="24"/>
        </w:rPr>
        <w:t>[2018]22</w:t>
      </w:r>
      <w:r>
        <w:rPr>
          <w:rFonts w:ascii="Times New Roman" w:hAnsi="Times New Roman"/>
          <w:sz w:val="24"/>
          <w:szCs w:val="24"/>
        </w:rPr>
        <w:t>号，</w:t>
      </w:r>
      <w:r>
        <w:rPr>
          <w:rFonts w:ascii="Times New Roman" w:hAnsi="Times New Roman"/>
          <w:sz w:val="24"/>
          <w:szCs w:val="24"/>
        </w:rPr>
        <w:t>2018</w:t>
      </w:r>
      <w:r>
        <w:rPr>
          <w:rFonts w:ascii="Times New Roman" w:hAnsi="Times New Roman"/>
          <w:sz w:val="24"/>
          <w:szCs w:val="24"/>
        </w:rPr>
        <w:t>年</w:t>
      </w:r>
      <w:r>
        <w:rPr>
          <w:rFonts w:ascii="Times New Roman" w:hAnsi="Times New Roman"/>
          <w:sz w:val="24"/>
          <w:szCs w:val="24"/>
        </w:rPr>
        <w:t>7</w:t>
      </w:r>
      <w:r>
        <w:rPr>
          <w:rFonts w:ascii="Times New Roman" w:hAnsi="Times New Roman"/>
          <w:sz w:val="24"/>
          <w:szCs w:val="24"/>
        </w:rPr>
        <w:t>月</w:t>
      </w:r>
      <w:r>
        <w:rPr>
          <w:rFonts w:ascii="Times New Roman" w:hAnsi="Times New Roman"/>
          <w:sz w:val="24"/>
          <w:szCs w:val="24"/>
        </w:rPr>
        <w:t>3</w:t>
      </w:r>
      <w:r>
        <w:rPr>
          <w:rFonts w:ascii="Times New Roman" w:hAnsi="Times New Roman"/>
          <w:sz w:val="24"/>
          <w:szCs w:val="24"/>
        </w:rPr>
        <w:t>日发布）；</w:t>
      </w:r>
    </w:p>
    <w:p w:rsidR="00525419" w:rsidRDefault="00EE1CF7">
      <w:pPr>
        <w:widowControl/>
        <w:spacing w:line="360" w:lineRule="auto"/>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15</w:t>
      </w:r>
      <w:r>
        <w:rPr>
          <w:rFonts w:ascii="Times New Roman" w:hAnsi="Times New Roman"/>
          <w:sz w:val="24"/>
          <w:szCs w:val="24"/>
        </w:rPr>
        <w:t>）《中共中央国务院关于全面加强生态环境保护坚决打好污染防治攻坚战的意见》（</w:t>
      </w:r>
      <w:r>
        <w:rPr>
          <w:rFonts w:ascii="Times New Roman" w:hAnsi="Times New Roman"/>
          <w:sz w:val="24"/>
          <w:szCs w:val="24"/>
        </w:rPr>
        <w:t>2018</w:t>
      </w:r>
      <w:r>
        <w:rPr>
          <w:rFonts w:ascii="Times New Roman" w:hAnsi="Times New Roman"/>
          <w:sz w:val="24"/>
          <w:szCs w:val="24"/>
        </w:rPr>
        <w:t>年</w:t>
      </w:r>
      <w:r>
        <w:rPr>
          <w:rFonts w:ascii="Times New Roman" w:hAnsi="Times New Roman"/>
          <w:sz w:val="24"/>
          <w:szCs w:val="24"/>
        </w:rPr>
        <w:t>6</w:t>
      </w:r>
      <w:r>
        <w:rPr>
          <w:rFonts w:ascii="Times New Roman" w:hAnsi="Times New Roman"/>
          <w:sz w:val="24"/>
          <w:szCs w:val="24"/>
        </w:rPr>
        <w:t>月</w:t>
      </w:r>
      <w:r>
        <w:rPr>
          <w:rFonts w:ascii="Times New Roman" w:hAnsi="Times New Roman"/>
          <w:sz w:val="24"/>
          <w:szCs w:val="24"/>
        </w:rPr>
        <w:t>16</w:t>
      </w:r>
      <w:r>
        <w:rPr>
          <w:rFonts w:ascii="Times New Roman" w:hAnsi="Times New Roman"/>
          <w:sz w:val="24"/>
          <w:szCs w:val="24"/>
        </w:rPr>
        <w:t>日发布）；</w:t>
      </w:r>
    </w:p>
    <w:p w:rsidR="00525419" w:rsidRDefault="00EE1CF7">
      <w:pPr>
        <w:widowControl/>
        <w:spacing w:line="360" w:lineRule="auto"/>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16</w:t>
      </w:r>
      <w:r>
        <w:rPr>
          <w:rFonts w:ascii="Times New Roman" w:hAnsi="Times New Roman"/>
          <w:sz w:val="24"/>
          <w:szCs w:val="24"/>
        </w:rPr>
        <w:t>）《环境影响评价公众参与办法》，生态环境部第</w:t>
      </w:r>
      <w:r>
        <w:rPr>
          <w:rFonts w:ascii="Times New Roman" w:hAnsi="Times New Roman"/>
          <w:sz w:val="24"/>
          <w:szCs w:val="24"/>
        </w:rPr>
        <w:t>4</w:t>
      </w:r>
      <w:r>
        <w:rPr>
          <w:rFonts w:ascii="Times New Roman" w:hAnsi="Times New Roman"/>
          <w:sz w:val="24"/>
          <w:szCs w:val="24"/>
        </w:rPr>
        <w:t>号令，</w:t>
      </w:r>
      <w:r>
        <w:rPr>
          <w:rFonts w:ascii="Times New Roman" w:hAnsi="Times New Roman"/>
          <w:sz w:val="24"/>
          <w:szCs w:val="24"/>
        </w:rPr>
        <w:t>2019.01.01</w:t>
      </w:r>
      <w:r>
        <w:rPr>
          <w:rFonts w:ascii="Times New Roman" w:hAnsi="Times New Roman"/>
          <w:sz w:val="24"/>
          <w:szCs w:val="24"/>
        </w:rPr>
        <w:t>；</w:t>
      </w:r>
    </w:p>
    <w:p w:rsidR="00525419" w:rsidRDefault="00EE1CF7">
      <w:pPr>
        <w:widowControl/>
        <w:spacing w:line="360" w:lineRule="auto"/>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17</w:t>
      </w:r>
      <w:r>
        <w:rPr>
          <w:rFonts w:ascii="Times New Roman" w:hAnsi="Times New Roman"/>
          <w:sz w:val="24"/>
          <w:szCs w:val="24"/>
        </w:rPr>
        <w:t>）《关于印发</w:t>
      </w:r>
      <w:r>
        <w:rPr>
          <w:rFonts w:ascii="Times New Roman" w:hAnsi="Times New Roman"/>
          <w:sz w:val="24"/>
          <w:szCs w:val="24"/>
        </w:rPr>
        <w:t>&lt;</w:t>
      </w:r>
      <w:r>
        <w:rPr>
          <w:rFonts w:ascii="Times New Roman" w:hAnsi="Times New Roman"/>
          <w:sz w:val="24"/>
          <w:szCs w:val="24"/>
        </w:rPr>
        <w:t>建设项目环境影响评价信息公开机制方案</w:t>
      </w:r>
      <w:r>
        <w:rPr>
          <w:rFonts w:ascii="Times New Roman" w:hAnsi="Times New Roman"/>
          <w:sz w:val="24"/>
          <w:szCs w:val="24"/>
        </w:rPr>
        <w:t>&gt;</w:t>
      </w:r>
      <w:r>
        <w:rPr>
          <w:rFonts w:ascii="Times New Roman" w:hAnsi="Times New Roman"/>
          <w:sz w:val="24"/>
          <w:szCs w:val="24"/>
        </w:rPr>
        <w:t>的通知》（环发</w:t>
      </w:r>
      <w:r>
        <w:rPr>
          <w:rFonts w:ascii="Times New Roman" w:hAnsi="Times New Roman"/>
          <w:sz w:val="24"/>
          <w:szCs w:val="24"/>
        </w:rPr>
        <w:t>[2015]162</w:t>
      </w:r>
      <w:r>
        <w:rPr>
          <w:rFonts w:ascii="Times New Roman" w:hAnsi="Times New Roman"/>
          <w:sz w:val="24"/>
          <w:szCs w:val="24"/>
        </w:rPr>
        <w:t>号，</w:t>
      </w:r>
      <w:r>
        <w:rPr>
          <w:rFonts w:ascii="Times New Roman" w:hAnsi="Times New Roman"/>
          <w:sz w:val="24"/>
          <w:szCs w:val="24"/>
        </w:rPr>
        <w:t>2015</w:t>
      </w:r>
      <w:r>
        <w:rPr>
          <w:rFonts w:ascii="Times New Roman" w:hAnsi="Times New Roman"/>
          <w:sz w:val="24"/>
          <w:szCs w:val="24"/>
        </w:rPr>
        <w:t>年</w:t>
      </w:r>
      <w:r>
        <w:rPr>
          <w:rFonts w:ascii="Times New Roman" w:hAnsi="Times New Roman"/>
          <w:sz w:val="24"/>
          <w:szCs w:val="24"/>
        </w:rPr>
        <w:t>12</w:t>
      </w:r>
      <w:r>
        <w:rPr>
          <w:rFonts w:ascii="Times New Roman" w:hAnsi="Times New Roman"/>
          <w:sz w:val="24"/>
          <w:szCs w:val="24"/>
        </w:rPr>
        <w:t>月</w:t>
      </w:r>
      <w:r>
        <w:rPr>
          <w:rFonts w:ascii="Times New Roman" w:hAnsi="Times New Roman"/>
          <w:sz w:val="24"/>
          <w:szCs w:val="24"/>
        </w:rPr>
        <w:t>10</w:t>
      </w:r>
      <w:r>
        <w:rPr>
          <w:rFonts w:ascii="Times New Roman" w:hAnsi="Times New Roman"/>
          <w:sz w:val="24"/>
          <w:szCs w:val="24"/>
        </w:rPr>
        <w:t>日）；</w:t>
      </w:r>
    </w:p>
    <w:p w:rsidR="00525419" w:rsidRDefault="00EE1CF7">
      <w:pPr>
        <w:widowControl/>
        <w:spacing w:line="360" w:lineRule="auto"/>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18</w:t>
      </w:r>
      <w:r>
        <w:rPr>
          <w:rFonts w:ascii="Times New Roman" w:hAnsi="Times New Roman"/>
          <w:sz w:val="24"/>
          <w:szCs w:val="24"/>
        </w:rPr>
        <w:t>）《关于印发</w:t>
      </w:r>
      <w:r>
        <w:rPr>
          <w:rFonts w:ascii="Times New Roman" w:hAnsi="Times New Roman"/>
          <w:sz w:val="24"/>
          <w:szCs w:val="24"/>
        </w:rPr>
        <w:t>&lt;</w:t>
      </w:r>
      <w:r>
        <w:rPr>
          <w:rFonts w:ascii="Times New Roman" w:hAnsi="Times New Roman"/>
          <w:sz w:val="24"/>
          <w:szCs w:val="24"/>
        </w:rPr>
        <w:t>建设项目环境影响评价政府信息公开指南（试行）</w:t>
      </w:r>
      <w:r>
        <w:rPr>
          <w:rFonts w:ascii="Times New Roman" w:hAnsi="Times New Roman"/>
          <w:sz w:val="24"/>
          <w:szCs w:val="24"/>
        </w:rPr>
        <w:t>&gt;</w:t>
      </w:r>
      <w:r>
        <w:rPr>
          <w:rFonts w:ascii="Times New Roman" w:hAnsi="Times New Roman"/>
          <w:sz w:val="24"/>
          <w:szCs w:val="24"/>
        </w:rPr>
        <w:t>的通知》（环办</w:t>
      </w:r>
      <w:r>
        <w:rPr>
          <w:rFonts w:ascii="Times New Roman" w:hAnsi="Times New Roman"/>
          <w:sz w:val="24"/>
          <w:szCs w:val="24"/>
        </w:rPr>
        <w:t>[2013]103</w:t>
      </w:r>
      <w:r>
        <w:rPr>
          <w:rFonts w:ascii="Times New Roman" w:hAnsi="Times New Roman"/>
          <w:sz w:val="24"/>
          <w:szCs w:val="24"/>
        </w:rPr>
        <w:t>号）；</w:t>
      </w:r>
    </w:p>
    <w:p w:rsidR="00525419" w:rsidRDefault="00EE1CF7">
      <w:pPr>
        <w:widowControl/>
        <w:spacing w:line="360" w:lineRule="auto"/>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19</w:t>
      </w:r>
      <w:r>
        <w:rPr>
          <w:rFonts w:ascii="Times New Roman" w:hAnsi="Times New Roman"/>
          <w:sz w:val="24"/>
          <w:szCs w:val="24"/>
        </w:rPr>
        <w:t>）《危险废物转移联单管理办法》，国务院令第</w:t>
      </w:r>
      <w:r>
        <w:rPr>
          <w:rFonts w:ascii="Times New Roman" w:hAnsi="Times New Roman"/>
          <w:sz w:val="24"/>
          <w:szCs w:val="24"/>
        </w:rPr>
        <w:t>5</w:t>
      </w:r>
      <w:r>
        <w:rPr>
          <w:rFonts w:ascii="Times New Roman" w:hAnsi="Times New Roman"/>
          <w:sz w:val="24"/>
          <w:szCs w:val="24"/>
        </w:rPr>
        <w:t>号，</w:t>
      </w:r>
      <w:r>
        <w:rPr>
          <w:rFonts w:ascii="Times New Roman" w:hAnsi="Times New Roman"/>
          <w:sz w:val="24"/>
          <w:szCs w:val="24"/>
        </w:rPr>
        <w:t>1999.10.1</w:t>
      </w:r>
      <w:r>
        <w:rPr>
          <w:rFonts w:ascii="Times New Roman" w:hAnsi="Times New Roman"/>
          <w:sz w:val="24"/>
          <w:szCs w:val="24"/>
        </w:rPr>
        <w:t>；</w:t>
      </w:r>
    </w:p>
    <w:p w:rsidR="00525419" w:rsidRDefault="00EE1CF7">
      <w:pPr>
        <w:widowControl/>
        <w:spacing w:line="360" w:lineRule="auto"/>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20</w:t>
      </w:r>
      <w:r>
        <w:rPr>
          <w:rFonts w:ascii="Times New Roman" w:hAnsi="Times New Roman"/>
          <w:sz w:val="24"/>
          <w:szCs w:val="24"/>
        </w:rPr>
        <w:t>）《危险化学品安全管理条例》，国务院令第</w:t>
      </w:r>
      <w:r>
        <w:rPr>
          <w:rFonts w:ascii="Times New Roman" w:hAnsi="Times New Roman"/>
          <w:sz w:val="24"/>
          <w:szCs w:val="24"/>
        </w:rPr>
        <w:t>645</w:t>
      </w:r>
      <w:r>
        <w:rPr>
          <w:rFonts w:ascii="Times New Roman" w:hAnsi="Times New Roman"/>
          <w:sz w:val="24"/>
          <w:szCs w:val="24"/>
        </w:rPr>
        <w:t>号，</w:t>
      </w:r>
      <w:r>
        <w:rPr>
          <w:rFonts w:ascii="Times New Roman" w:hAnsi="Times New Roman"/>
          <w:sz w:val="24"/>
          <w:szCs w:val="24"/>
        </w:rPr>
        <w:t>2013.12.7</w:t>
      </w:r>
      <w:r>
        <w:rPr>
          <w:rFonts w:ascii="Times New Roman" w:hAnsi="Times New Roman"/>
          <w:sz w:val="24"/>
          <w:szCs w:val="24"/>
        </w:rPr>
        <w:t>；</w:t>
      </w:r>
    </w:p>
    <w:p w:rsidR="00525419" w:rsidRDefault="00EE1CF7">
      <w:pPr>
        <w:widowControl/>
        <w:spacing w:line="360" w:lineRule="auto"/>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21</w:t>
      </w:r>
      <w:r>
        <w:rPr>
          <w:rFonts w:ascii="Times New Roman" w:hAnsi="Times New Roman"/>
          <w:sz w:val="24"/>
          <w:szCs w:val="24"/>
        </w:rPr>
        <w:t>）《国家危险废物名录》（</w:t>
      </w:r>
      <w:r>
        <w:rPr>
          <w:rFonts w:ascii="Times New Roman" w:hAnsi="Times New Roman"/>
          <w:sz w:val="24"/>
          <w:szCs w:val="24"/>
        </w:rPr>
        <w:t>2016</w:t>
      </w:r>
      <w:r>
        <w:rPr>
          <w:rFonts w:ascii="Times New Roman" w:hAnsi="Times New Roman"/>
          <w:sz w:val="24"/>
          <w:szCs w:val="24"/>
        </w:rPr>
        <w:t>）；</w:t>
      </w:r>
    </w:p>
    <w:p w:rsidR="00525419" w:rsidRDefault="00EE1CF7">
      <w:pPr>
        <w:widowControl/>
        <w:spacing w:line="360" w:lineRule="auto"/>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22</w:t>
      </w:r>
      <w:r>
        <w:rPr>
          <w:rFonts w:ascii="Times New Roman" w:hAnsi="Times New Roman"/>
          <w:sz w:val="24"/>
          <w:szCs w:val="24"/>
        </w:rPr>
        <w:t>）《国家突发公共事件总体应急预案》，</w:t>
      </w:r>
      <w:r>
        <w:rPr>
          <w:rFonts w:ascii="Times New Roman" w:hAnsi="Times New Roman"/>
          <w:sz w:val="24"/>
          <w:szCs w:val="24"/>
        </w:rPr>
        <w:t>2006.01</w:t>
      </w:r>
      <w:r>
        <w:rPr>
          <w:rFonts w:ascii="Times New Roman" w:hAnsi="Times New Roman"/>
          <w:sz w:val="24"/>
          <w:szCs w:val="24"/>
        </w:rPr>
        <w:t>；</w:t>
      </w:r>
    </w:p>
    <w:p w:rsidR="00525419" w:rsidRDefault="00EE1CF7">
      <w:pPr>
        <w:widowControl/>
        <w:spacing w:line="360" w:lineRule="auto"/>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23</w:t>
      </w:r>
      <w:r>
        <w:rPr>
          <w:rFonts w:ascii="Times New Roman" w:hAnsi="Times New Roman"/>
          <w:sz w:val="24"/>
          <w:szCs w:val="24"/>
        </w:rPr>
        <w:t>）关于印发《企业事业单位突发环境事件应急预案备案管理办法（试行）》的通知，环发</w:t>
      </w:r>
      <w:r>
        <w:rPr>
          <w:rFonts w:ascii="Times New Roman" w:hAnsi="Times New Roman"/>
          <w:sz w:val="24"/>
          <w:szCs w:val="24"/>
        </w:rPr>
        <w:t>[2015]4</w:t>
      </w:r>
      <w:r>
        <w:rPr>
          <w:rFonts w:ascii="Times New Roman" w:hAnsi="Times New Roman"/>
          <w:sz w:val="24"/>
          <w:szCs w:val="24"/>
        </w:rPr>
        <w:t>号，</w:t>
      </w:r>
      <w:r>
        <w:rPr>
          <w:rFonts w:ascii="Times New Roman" w:hAnsi="Times New Roman"/>
          <w:sz w:val="24"/>
          <w:szCs w:val="24"/>
        </w:rPr>
        <w:t>2015.01.08</w:t>
      </w:r>
      <w:r>
        <w:rPr>
          <w:rFonts w:ascii="Times New Roman" w:hAnsi="Times New Roman"/>
          <w:sz w:val="24"/>
          <w:szCs w:val="24"/>
        </w:rPr>
        <w:t>；</w:t>
      </w:r>
    </w:p>
    <w:p w:rsidR="00525419" w:rsidRDefault="00EE1CF7">
      <w:pPr>
        <w:widowControl/>
        <w:spacing w:line="360" w:lineRule="auto"/>
        <w:jc w:val="left"/>
        <w:rPr>
          <w:rFonts w:ascii="Times New Roman" w:hAnsi="Times New Roman"/>
          <w:sz w:val="24"/>
          <w:szCs w:val="24"/>
        </w:rPr>
      </w:pPr>
      <w:r>
        <w:rPr>
          <w:rFonts w:ascii="Times New Roman" w:hAnsi="Times New Roman"/>
          <w:sz w:val="24"/>
          <w:szCs w:val="24"/>
        </w:rPr>
        <w:lastRenderedPageBreak/>
        <w:t>（</w:t>
      </w:r>
      <w:r>
        <w:rPr>
          <w:rFonts w:ascii="Times New Roman" w:hAnsi="Times New Roman"/>
          <w:sz w:val="24"/>
          <w:szCs w:val="24"/>
        </w:rPr>
        <w:t>24</w:t>
      </w:r>
      <w:r>
        <w:rPr>
          <w:rFonts w:ascii="Times New Roman" w:hAnsi="Times New Roman"/>
          <w:sz w:val="24"/>
          <w:szCs w:val="24"/>
        </w:rPr>
        <w:t>）《关于做好环境影响评价制度与排污许可制衔接相关工作的通知》（环办环评</w:t>
      </w:r>
      <w:r>
        <w:rPr>
          <w:rFonts w:ascii="Times New Roman" w:hAnsi="Times New Roman"/>
          <w:sz w:val="24"/>
          <w:szCs w:val="24"/>
        </w:rPr>
        <w:t>[2017]84</w:t>
      </w:r>
      <w:r>
        <w:rPr>
          <w:rFonts w:ascii="Times New Roman" w:hAnsi="Times New Roman"/>
          <w:sz w:val="24"/>
          <w:szCs w:val="24"/>
        </w:rPr>
        <w:t>号，</w:t>
      </w:r>
      <w:r>
        <w:rPr>
          <w:rFonts w:ascii="Times New Roman" w:hAnsi="Times New Roman"/>
          <w:sz w:val="24"/>
          <w:szCs w:val="24"/>
        </w:rPr>
        <w:t>2017</w:t>
      </w:r>
      <w:r>
        <w:rPr>
          <w:rFonts w:ascii="Times New Roman" w:hAnsi="Times New Roman"/>
          <w:sz w:val="24"/>
          <w:szCs w:val="24"/>
        </w:rPr>
        <w:t>年</w:t>
      </w:r>
      <w:r>
        <w:rPr>
          <w:rFonts w:ascii="Times New Roman" w:hAnsi="Times New Roman"/>
          <w:sz w:val="24"/>
          <w:szCs w:val="24"/>
        </w:rPr>
        <w:t>11</w:t>
      </w:r>
      <w:r>
        <w:rPr>
          <w:rFonts w:ascii="Times New Roman" w:hAnsi="Times New Roman"/>
          <w:sz w:val="24"/>
          <w:szCs w:val="24"/>
        </w:rPr>
        <w:t>月</w:t>
      </w:r>
      <w:r>
        <w:rPr>
          <w:rFonts w:ascii="Times New Roman" w:hAnsi="Times New Roman"/>
          <w:sz w:val="24"/>
          <w:szCs w:val="24"/>
        </w:rPr>
        <w:t>15</w:t>
      </w:r>
      <w:r>
        <w:rPr>
          <w:rFonts w:ascii="Times New Roman" w:hAnsi="Times New Roman"/>
          <w:sz w:val="24"/>
          <w:szCs w:val="24"/>
        </w:rPr>
        <w:t>日印发）；</w:t>
      </w:r>
    </w:p>
    <w:p w:rsidR="00525419" w:rsidRDefault="00EE1CF7">
      <w:pPr>
        <w:widowControl/>
        <w:spacing w:line="360" w:lineRule="auto"/>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25</w:t>
      </w:r>
      <w:r>
        <w:rPr>
          <w:rFonts w:ascii="Times New Roman" w:hAnsi="Times New Roman"/>
          <w:sz w:val="24"/>
          <w:szCs w:val="24"/>
        </w:rPr>
        <w:t>）《排污许可证管理暂行规定》（环办水体</w:t>
      </w:r>
      <w:r>
        <w:rPr>
          <w:rFonts w:ascii="Times New Roman" w:hAnsi="Times New Roman"/>
          <w:sz w:val="24"/>
          <w:szCs w:val="24"/>
        </w:rPr>
        <w:t>[2016]99</w:t>
      </w:r>
      <w:r>
        <w:rPr>
          <w:rFonts w:ascii="Times New Roman" w:hAnsi="Times New Roman"/>
          <w:sz w:val="24"/>
          <w:szCs w:val="24"/>
        </w:rPr>
        <w:t>号</w:t>
      </w:r>
      <w:r>
        <w:rPr>
          <w:rFonts w:ascii="Times New Roman" w:hAnsi="Times New Roman"/>
          <w:sz w:val="24"/>
          <w:szCs w:val="24"/>
        </w:rPr>
        <w:t xml:space="preserve"> 2016</w:t>
      </w:r>
      <w:r>
        <w:rPr>
          <w:rFonts w:ascii="Times New Roman" w:hAnsi="Times New Roman"/>
          <w:sz w:val="24"/>
          <w:szCs w:val="24"/>
        </w:rPr>
        <w:t>年</w:t>
      </w:r>
      <w:r>
        <w:rPr>
          <w:rFonts w:ascii="Times New Roman" w:hAnsi="Times New Roman"/>
          <w:sz w:val="24"/>
          <w:szCs w:val="24"/>
        </w:rPr>
        <w:t>10</w:t>
      </w:r>
      <w:r>
        <w:rPr>
          <w:rFonts w:ascii="Times New Roman" w:hAnsi="Times New Roman"/>
          <w:sz w:val="24"/>
          <w:szCs w:val="24"/>
        </w:rPr>
        <w:t>月</w:t>
      </w:r>
      <w:r>
        <w:rPr>
          <w:rFonts w:ascii="Times New Roman" w:hAnsi="Times New Roman"/>
          <w:sz w:val="24"/>
          <w:szCs w:val="24"/>
        </w:rPr>
        <w:t>28</w:t>
      </w:r>
      <w:r>
        <w:rPr>
          <w:rFonts w:ascii="Times New Roman" w:hAnsi="Times New Roman"/>
          <w:sz w:val="24"/>
          <w:szCs w:val="24"/>
        </w:rPr>
        <w:t>日印发）。</w:t>
      </w:r>
    </w:p>
    <w:p w:rsidR="00525419" w:rsidRDefault="00EE1CF7">
      <w:pPr>
        <w:pStyle w:val="3a"/>
        <w:spacing w:beforeLines="50" w:before="156" w:after="156" w:line="360" w:lineRule="auto"/>
        <w:jc w:val="left"/>
        <w:rPr>
          <w:rFonts w:ascii="Times New Roman" w:eastAsia="华文楷体" w:hAnsi="Times New Roman"/>
        </w:rPr>
      </w:pPr>
      <w:r>
        <w:rPr>
          <w:rFonts w:ascii="Times New Roman" w:eastAsia="华文楷体" w:hAnsi="Times New Roman"/>
        </w:rPr>
        <w:t>2.1.3</w:t>
      </w:r>
      <w:r>
        <w:rPr>
          <w:rFonts w:ascii="Times New Roman" w:eastAsia="华文楷体" w:hAnsi="Times New Roman"/>
        </w:rPr>
        <w:t>地方法规及政策</w:t>
      </w:r>
    </w:p>
    <w:p w:rsidR="00525419" w:rsidRDefault="00EE1CF7">
      <w:pPr>
        <w:widowControl/>
        <w:spacing w:line="360" w:lineRule="auto"/>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）《新疆维吾尔自治区环境保护条例》，新疆维吾尔自治区第十二届人民代表大会常务委员会第二十五次会议，</w:t>
      </w:r>
      <w:r>
        <w:rPr>
          <w:rFonts w:ascii="Times New Roman" w:hAnsi="Times New Roman"/>
          <w:sz w:val="24"/>
          <w:szCs w:val="24"/>
        </w:rPr>
        <w:t>2018.09.21</w:t>
      </w:r>
      <w:r>
        <w:rPr>
          <w:rFonts w:ascii="Times New Roman" w:hAnsi="Times New Roman"/>
          <w:sz w:val="24"/>
          <w:szCs w:val="24"/>
        </w:rPr>
        <w:t>修订；</w:t>
      </w:r>
    </w:p>
    <w:p w:rsidR="00525419" w:rsidRDefault="00EE1CF7">
      <w:pPr>
        <w:widowControl/>
        <w:spacing w:line="36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）《新疆维吾尔自治区危险废物污染环境防治办法》，新疆维吾尔自治区人民政府令第</w:t>
      </w:r>
      <w:r>
        <w:rPr>
          <w:rFonts w:ascii="Times New Roman" w:hAnsi="Times New Roman"/>
          <w:sz w:val="24"/>
          <w:szCs w:val="24"/>
        </w:rPr>
        <w:t>163</w:t>
      </w:r>
      <w:r>
        <w:rPr>
          <w:rFonts w:ascii="Times New Roman" w:hAnsi="Times New Roman"/>
          <w:sz w:val="24"/>
          <w:szCs w:val="24"/>
        </w:rPr>
        <w:t>号公布，自</w:t>
      </w:r>
      <w:r>
        <w:rPr>
          <w:rFonts w:ascii="Times New Roman" w:hAnsi="Times New Roman"/>
          <w:sz w:val="24"/>
          <w:szCs w:val="24"/>
        </w:rPr>
        <w:t>2010</w:t>
      </w:r>
      <w:r>
        <w:rPr>
          <w:rFonts w:ascii="Times New Roman" w:hAnsi="Times New Roman"/>
          <w:sz w:val="24"/>
          <w:szCs w:val="24"/>
        </w:rPr>
        <w:t>年</w:t>
      </w:r>
      <w:r>
        <w:rPr>
          <w:rFonts w:ascii="Times New Roman" w:hAnsi="Times New Roman"/>
          <w:sz w:val="24"/>
          <w:szCs w:val="24"/>
        </w:rPr>
        <w:t>05</w:t>
      </w:r>
      <w:r>
        <w:rPr>
          <w:rFonts w:ascii="Times New Roman" w:hAnsi="Times New Roman"/>
          <w:sz w:val="24"/>
          <w:szCs w:val="24"/>
        </w:rPr>
        <w:t>月</w:t>
      </w:r>
      <w:r>
        <w:rPr>
          <w:rFonts w:ascii="Times New Roman" w:hAnsi="Times New Roman"/>
          <w:sz w:val="24"/>
          <w:szCs w:val="24"/>
        </w:rPr>
        <w:t>01</w:t>
      </w:r>
      <w:r>
        <w:rPr>
          <w:rFonts w:ascii="Times New Roman" w:hAnsi="Times New Roman"/>
          <w:sz w:val="24"/>
          <w:szCs w:val="24"/>
        </w:rPr>
        <w:t>日起施行；</w:t>
      </w:r>
    </w:p>
    <w:p w:rsidR="00525419" w:rsidRDefault="00EE1CF7">
      <w:pPr>
        <w:widowControl/>
        <w:spacing w:line="36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）《关于印发新疆维吾尔自治区工业和生活用水定额的通知》，新政办发</w:t>
      </w:r>
      <w:r>
        <w:rPr>
          <w:rFonts w:ascii="Times New Roman" w:hAnsi="Times New Roman"/>
          <w:sz w:val="24"/>
          <w:szCs w:val="24"/>
        </w:rPr>
        <w:t>[2007]105</w:t>
      </w:r>
      <w:r>
        <w:rPr>
          <w:rFonts w:ascii="Times New Roman" w:hAnsi="Times New Roman"/>
          <w:sz w:val="24"/>
          <w:szCs w:val="24"/>
        </w:rPr>
        <w:t>，</w:t>
      </w:r>
      <w:r>
        <w:rPr>
          <w:rFonts w:ascii="Times New Roman" w:hAnsi="Times New Roman"/>
          <w:sz w:val="24"/>
          <w:szCs w:val="24"/>
        </w:rPr>
        <w:t>2007.06.06</w:t>
      </w:r>
      <w:r>
        <w:rPr>
          <w:rFonts w:ascii="Times New Roman" w:hAnsi="Times New Roman"/>
          <w:sz w:val="24"/>
          <w:szCs w:val="24"/>
        </w:rPr>
        <w:t>；</w:t>
      </w:r>
    </w:p>
    <w:p w:rsidR="00525419" w:rsidRDefault="00EE1CF7">
      <w:pPr>
        <w:widowControl/>
        <w:spacing w:line="36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4</w:t>
      </w:r>
      <w:r>
        <w:rPr>
          <w:rFonts w:ascii="Times New Roman" w:hAnsi="Times New Roman"/>
          <w:sz w:val="24"/>
          <w:szCs w:val="24"/>
        </w:rPr>
        <w:t>）《新疆维吾尔自治区水污染防治行动计划工作方案》（新政发</w:t>
      </w:r>
      <w:r>
        <w:rPr>
          <w:rFonts w:ascii="Times New Roman" w:hAnsi="Times New Roman"/>
          <w:sz w:val="24"/>
          <w:szCs w:val="24"/>
        </w:rPr>
        <w:t>[2016]21</w:t>
      </w:r>
      <w:r>
        <w:rPr>
          <w:rFonts w:ascii="Times New Roman" w:hAnsi="Times New Roman"/>
          <w:sz w:val="24"/>
          <w:szCs w:val="24"/>
        </w:rPr>
        <w:t>号，</w:t>
      </w:r>
      <w:r>
        <w:rPr>
          <w:rFonts w:ascii="Times New Roman" w:hAnsi="Times New Roman"/>
          <w:sz w:val="24"/>
          <w:szCs w:val="24"/>
        </w:rPr>
        <w:t>2016.1.29</w:t>
      </w:r>
      <w:r>
        <w:rPr>
          <w:rFonts w:ascii="Times New Roman" w:hAnsi="Times New Roman"/>
          <w:sz w:val="24"/>
          <w:szCs w:val="24"/>
        </w:rPr>
        <w:t>发布）；</w:t>
      </w:r>
    </w:p>
    <w:p w:rsidR="00525419" w:rsidRDefault="00EE1CF7">
      <w:pPr>
        <w:widowControl/>
        <w:spacing w:line="36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5</w:t>
      </w:r>
      <w:r>
        <w:rPr>
          <w:rFonts w:ascii="Times New Roman" w:hAnsi="Times New Roman"/>
          <w:sz w:val="24"/>
          <w:szCs w:val="24"/>
        </w:rPr>
        <w:t>）《新疆维吾尔自治区土壤污染防治行动计划工作方案》（新政发</w:t>
      </w:r>
      <w:r>
        <w:rPr>
          <w:rFonts w:ascii="Times New Roman" w:hAnsi="Times New Roman"/>
          <w:sz w:val="24"/>
          <w:szCs w:val="24"/>
        </w:rPr>
        <w:t>[2017]25</w:t>
      </w:r>
      <w:r>
        <w:rPr>
          <w:rFonts w:ascii="Times New Roman" w:hAnsi="Times New Roman"/>
          <w:sz w:val="24"/>
          <w:szCs w:val="24"/>
        </w:rPr>
        <w:t>号，</w:t>
      </w:r>
      <w:r>
        <w:rPr>
          <w:rFonts w:ascii="Times New Roman" w:hAnsi="Times New Roman"/>
          <w:sz w:val="24"/>
          <w:szCs w:val="24"/>
        </w:rPr>
        <w:t>2017.3.7</w:t>
      </w:r>
      <w:r>
        <w:rPr>
          <w:rFonts w:ascii="Times New Roman" w:hAnsi="Times New Roman"/>
          <w:sz w:val="24"/>
          <w:szCs w:val="24"/>
        </w:rPr>
        <w:t>发布）；</w:t>
      </w:r>
    </w:p>
    <w:p w:rsidR="00525419" w:rsidRDefault="00EE1CF7">
      <w:pPr>
        <w:widowControl/>
        <w:spacing w:line="36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6</w:t>
      </w:r>
      <w:r>
        <w:rPr>
          <w:rFonts w:ascii="Times New Roman" w:hAnsi="Times New Roman"/>
          <w:sz w:val="24"/>
          <w:szCs w:val="24"/>
        </w:rPr>
        <w:t>）关于印发《自治区打赢蓝天保卫战三年行动计划（</w:t>
      </w:r>
      <w:r>
        <w:rPr>
          <w:rFonts w:ascii="Times New Roman" w:hAnsi="Times New Roman"/>
          <w:sz w:val="24"/>
          <w:szCs w:val="24"/>
        </w:rPr>
        <w:t>2018-2020</w:t>
      </w:r>
      <w:r>
        <w:rPr>
          <w:rFonts w:ascii="Times New Roman" w:hAnsi="Times New Roman"/>
          <w:sz w:val="24"/>
          <w:szCs w:val="24"/>
        </w:rPr>
        <w:t>年）》的通知，新政发</w:t>
      </w:r>
      <w:r>
        <w:rPr>
          <w:rFonts w:ascii="Times New Roman" w:hAnsi="Times New Roman"/>
          <w:sz w:val="24"/>
          <w:szCs w:val="24"/>
        </w:rPr>
        <w:t>[2018]66</w:t>
      </w:r>
      <w:r>
        <w:rPr>
          <w:rFonts w:ascii="Times New Roman" w:hAnsi="Times New Roman"/>
          <w:sz w:val="24"/>
          <w:szCs w:val="24"/>
        </w:rPr>
        <w:t>号，</w:t>
      </w:r>
      <w:r>
        <w:rPr>
          <w:rFonts w:ascii="Times New Roman" w:hAnsi="Times New Roman"/>
          <w:sz w:val="24"/>
          <w:szCs w:val="24"/>
        </w:rPr>
        <w:t>(2018</w:t>
      </w:r>
      <w:r>
        <w:rPr>
          <w:rFonts w:ascii="Times New Roman" w:hAnsi="Times New Roman"/>
          <w:sz w:val="24"/>
          <w:szCs w:val="24"/>
        </w:rPr>
        <w:t>年</w:t>
      </w:r>
      <w:r>
        <w:rPr>
          <w:rFonts w:ascii="Times New Roman" w:hAnsi="Times New Roman"/>
          <w:sz w:val="24"/>
          <w:szCs w:val="24"/>
        </w:rPr>
        <w:t>9</w:t>
      </w:r>
      <w:r>
        <w:rPr>
          <w:rFonts w:ascii="Times New Roman" w:hAnsi="Times New Roman"/>
          <w:sz w:val="24"/>
          <w:szCs w:val="24"/>
        </w:rPr>
        <w:t>月</w:t>
      </w:r>
      <w:r>
        <w:rPr>
          <w:rFonts w:ascii="Times New Roman" w:hAnsi="Times New Roman"/>
          <w:sz w:val="24"/>
          <w:szCs w:val="24"/>
        </w:rPr>
        <w:t>29</w:t>
      </w:r>
      <w:r>
        <w:rPr>
          <w:rFonts w:ascii="Times New Roman" w:hAnsi="Times New Roman"/>
          <w:sz w:val="24"/>
          <w:szCs w:val="24"/>
        </w:rPr>
        <w:t>日</w:t>
      </w:r>
      <w:r>
        <w:rPr>
          <w:rFonts w:ascii="Times New Roman" w:hAnsi="Times New Roman"/>
          <w:sz w:val="24"/>
          <w:szCs w:val="24"/>
        </w:rPr>
        <w:t>)</w:t>
      </w:r>
      <w:r>
        <w:rPr>
          <w:rFonts w:ascii="Times New Roman" w:hAnsi="Times New Roman"/>
          <w:sz w:val="24"/>
          <w:szCs w:val="24"/>
        </w:rPr>
        <w:t>；</w:t>
      </w:r>
    </w:p>
    <w:p w:rsidR="00525419" w:rsidRDefault="00EE1CF7">
      <w:pPr>
        <w:widowControl/>
        <w:spacing w:line="36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7</w:t>
      </w:r>
      <w:r>
        <w:rPr>
          <w:rFonts w:ascii="Times New Roman" w:hAnsi="Times New Roman"/>
          <w:sz w:val="24"/>
          <w:szCs w:val="24"/>
        </w:rPr>
        <w:t>）关于印发《新疆维吾尔自治区排污许可证管理暂行办法》的通知（</w:t>
      </w:r>
      <w:r>
        <w:rPr>
          <w:rFonts w:ascii="Times New Roman" w:hAnsi="Times New Roman"/>
          <w:sz w:val="24"/>
          <w:szCs w:val="24"/>
        </w:rPr>
        <w:t>2015</w:t>
      </w:r>
      <w:r>
        <w:rPr>
          <w:rFonts w:ascii="Times New Roman" w:hAnsi="Times New Roman"/>
          <w:sz w:val="24"/>
          <w:szCs w:val="24"/>
        </w:rPr>
        <w:t>年</w:t>
      </w:r>
      <w:r>
        <w:rPr>
          <w:rFonts w:ascii="Times New Roman" w:hAnsi="Times New Roman"/>
          <w:sz w:val="24"/>
          <w:szCs w:val="24"/>
        </w:rPr>
        <w:t>5</w:t>
      </w:r>
      <w:r>
        <w:rPr>
          <w:rFonts w:ascii="Times New Roman" w:hAnsi="Times New Roman"/>
          <w:sz w:val="24"/>
          <w:szCs w:val="24"/>
        </w:rPr>
        <w:t>月</w:t>
      </w:r>
      <w:r>
        <w:rPr>
          <w:rFonts w:ascii="Times New Roman" w:hAnsi="Times New Roman"/>
          <w:sz w:val="24"/>
          <w:szCs w:val="24"/>
        </w:rPr>
        <w:t>11</w:t>
      </w:r>
      <w:r>
        <w:rPr>
          <w:rFonts w:ascii="Times New Roman" w:hAnsi="Times New Roman"/>
          <w:sz w:val="24"/>
          <w:szCs w:val="24"/>
        </w:rPr>
        <w:t>日印发）；</w:t>
      </w:r>
    </w:p>
    <w:p w:rsidR="00525419" w:rsidRDefault="00EE1CF7">
      <w:pPr>
        <w:widowControl/>
        <w:spacing w:line="36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8</w:t>
      </w:r>
      <w:r>
        <w:rPr>
          <w:rFonts w:ascii="Times New Roman" w:hAnsi="Times New Roman"/>
          <w:sz w:val="24"/>
          <w:szCs w:val="24"/>
        </w:rPr>
        <w:t>）《新疆维吾尔自治区危险废物污染环境防治办法》（</w:t>
      </w:r>
      <w:r>
        <w:rPr>
          <w:rFonts w:ascii="Times New Roman" w:hAnsi="Times New Roman"/>
          <w:sz w:val="24"/>
          <w:szCs w:val="24"/>
        </w:rPr>
        <w:t>2010</w:t>
      </w:r>
      <w:r>
        <w:rPr>
          <w:rFonts w:ascii="Times New Roman" w:hAnsi="Times New Roman"/>
          <w:sz w:val="24"/>
          <w:szCs w:val="24"/>
        </w:rPr>
        <w:t>年</w:t>
      </w:r>
      <w:r>
        <w:rPr>
          <w:rFonts w:ascii="Times New Roman" w:hAnsi="Times New Roman"/>
          <w:sz w:val="24"/>
          <w:szCs w:val="24"/>
        </w:rPr>
        <w:t>5</w:t>
      </w:r>
      <w:r>
        <w:rPr>
          <w:rFonts w:ascii="Times New Roman" w:hAnsi="Times New Roman"/>
          <w:sz w:val="24"/>
          <w:szCs w:val="24"/>
        </w:rPr>
        <w:t>月</w:t>
      </w:r>
      <w:r>
        <w:rPr>
          <w:rFonts w:ascii="Times New Roman" w:hAnsi="Times New Roman"/>
          <w:sz w:val="24"/>
          <w:szCs w:val="24"/>
        </w:rPr>
        <w:t>1</w:t>
      </w:r>
      <w:r>
        <w:rPr>
          <w:rFonts w:ascii="Times New Roman" w:hAnsi="Times New Roman"/>
          <w:sz w:val="24"/>
          <w:szCs w:val="24"/>
        </w:rPr>
        <w:t>日施行）。</w:t>
      </w:r>
    </w:p>
    <w:p w:rsidR="00525419" w:rsidRDefault="00EE1CF7">
      <w:pPr>
        <w:pStyle w:val="3a"/>
        <w:spacing w:beforeLines="50" w:before="156" w:after="156" w:line="360" w:lineRule="auto"/>
        <w:jc w:val="left"/>
        <w:rPr>
          <w:rFonts w:ascii="Times New Roman" w:eastAsia="华文楷体" w:hAnsi="Times New Roman"/>
        </w:rPr>
      </w:pPr>
      <w:r>
        <w:rPr>
          <w:rFonts w:ascii="Times New Roman" w:eastAsia="华文楷体" w:hAnsi="Times New Roman"/>
        </w:rPr>
        <w:t>2.1.4</w:t>
      </w:r>
      <w:r>
        <w:rPr>
          <w:rFonts w:ascii="Times New Roman" w:eastAsia="华文楷体" w:hAnsi="Times New Roman"/>
        </w:rPr>
        <w:t>相关规划</w:t>
      </w:r>
    </w:p>
    <w:p w:rsidR="00525419" w:rsidRDefault="00EE1CF7">
      <w:pPr>
        <w:pStyle w:val="B5"/>
        <w:numPr>
          <w:ilvl w:val="0"/>
          <w:numId w:val="118"/>
        </w:numPr>
        <w:rPr>
          <w:rFonts w:cs="Times New Roman"/>
          <w:b w:val="0"/>
          <w:kern w:val="2"/>
        </w:rPr>
      </w:pPr>
      <w:r>
        <w:rPr>
          <w:rFonts w:cs="Times New Roman"/>
          <w:b w:val="0"/>
          <w:kern w:val="2"/>
        </w:rPr>
        <w:t>《新疆环境功能区划》；</w:t>
      </w:r>
    </w:p>
    <w:p w:rsidR="00525419" w:rsidRDefault="00EE1CF7">
      <w:pPr>
        <w:pStyle w:val="B5"/>
        <w:rPr>
          <w:rFonts w:cs="Times New Roman"/>
          <w:b w:val="0"/>
          <w:kern w:val="2"/>
        </w:rPr>
      </w:pPr>
      <w:r>
        <w:rPr>
          <w:rFonts w:cs="Times New Roman"/>
          <w:b w:val="0"/>
          <w:kern w:val="2"/>
        </w:rPr>
        <w:t>（</w:t>
      </w:r>
      <w:r>
        <w:rPr>
          <w:rFonts w:cs="Times New Roman"/>
          <w:b w:val="0"/>
          <w:kern w:val="2"/>
        </w:rPr>
        <w:t>2</w:t>
      </w:r>
      <w:r>
        <w:rPr>
          <w:rFonts w:cs="Times New Roman"/>
          <w:b w:val="0"/>
          <w:kern w:val="2"/>
        </w:rPr>
        <w:t>）《新疆生态功能区划》（</w:t>
      </w:r>
      <w:r>
        <w:rPr>
          <w:rFonts w:cs="Times New Roman"/>
          <w:b w:val="0"/>
          <w:kern w:val="2"/>
        </w:rPr>
        <w:t>2006</w:t>
      </w:r>
      <w:r>
        <w:rPr>
          <w:rFonts w:cs="Times New Roman"/>
          <w:b w:val="0"/>
          <w:kern w:val="2"/>
        </w:rPr>
        <w:t>年</w:t>
      </w:r>
      <w:r>
        <w:rPr>
          <w:rFonts w:cs="Times New Roman"/>
          <w:b w:val="0"/>
          <w:kern w:val="2"/>
        </w:rPr>
        <w:t>8</w:t>
      </w:r>
      <w:r>
        <w:rPr>
          <w:rFonts w:cs="Times New Roman"/>
          <w:b w:val="0"/>
          <w:kern w:val="2"/>
        </w:rPr>
        <w:t>月）；</w:t>
      </w:r>
    </w:p>
    <w:p w:rsidR="00525419" w:rsidRDefault="00EE1CF7">
      <w:pPr>
        <w:pStyle w:val="B5"/>
        <w:rPr>
          <w:rFonts w:cs="Times New Roman"/>
          <w:b w:val="0"/>
          <w:kern w:val="2"/>
        </w:rPr>
      </w:pPr>
      <w:r>
        <w:rPr>
          <w:rFonts w:cs="Times New Roman"/>
          <w:b w:val="0"/>
          <w:kern w:val="2"/>
        </w:rPr>
        <w:t>（</w:t>
      </w:r>
      <w:r>
        <w:rPr>
          <w:rFonts w:cs="Times New Roman"/>
          <w:b w:val="0"/>
          <w:kern w:val="2"/>
        </w:rPr>
        <w:t>3</w:t>
      </w:r>
      <w:r>
        <w:rPr>
          <w:rFonts w:cs="Times New Roman"/>
          <w:b w:val="0"/>
          <w:kern w:val="2"/>
        </w:rPr>
        <w:t>）《新疆水环境功能区划》（新疆</w:t>
      </w:r>
      <w:r w:rsidR="00FE095A">
        <w:rPr>
          <w:rFonts w:cs="Times New Roman" w:hint="eastAsia"/>
          <w:b w:val="0"/>
          <w:kern w:val="2"/>
        </w:rPr>
        <w:t>维吾尔</w:t>
      </w:r>
      <w:bookmarkStart w:id="15" w:name="_GoBack"/>
      <w:bookmarkEnd w:id="15"/>
      <w:r>
        <w:rPr>
          <w:rFonts w:cs="Times New Roman"/>
          <w:b w:val="0"/>
          <w:kern w:val="2"/>
        </w:rPr>
        <w:t>自治区人民政府，新政函</w:t>
      </w:r>
      <w:r>
        <w:rPr>
          <w:rFonts w:cs="Times New Roman"/>
          <w:b w:val="0"/>
          <w:kern w:val="2"/>
        </w:rPr>
        <w:t>[2002]194</w:t>
      </w:r>
      <w:r>
        <w:rPr>
          <w:rFonts w:cs="Times New Roman"/>
          <w:b w:val="0"/>
          <w:kern w:val="2"/>
        </w:rPr>
        <w:t>号文，</w:t>
      </w:r>
      <w:r>
        <w:rPr>
          <w:rFonts w:cs="Times New Roman"/>
          <w:b w:val="0"/>
          <w:kern w:val="2"/>
        </w:rPr>
        <w:t>2002</w:t>
      </w:r>
      <w:r>
        <w:rPr>
          <w:rFonts w:cs="Times New Roman"/>
          <w:b w:val="0"/>
          <w:kern w:val="2"/>
        </w:rPr>
        <w:t>年</w:t>
      </w:r>
      <w:r>
        <w:rPr>
          <w:rFonts w:cs="Times New Roman"/>
          <w:b w:val="0"/>
          <w:kern w:val="2"/>
        </w:rPr>
        <w:t>11</w:t>
      </w:r>
      <w:r>
        <w:rPr>
          <w:rFonts w:cs="Times New Roman"/>
          <w:b w:val="0"/>
          <w:kern w:val="2"/>
        </w:rPr>
        <w:t>月</w:t>
      </w:r>
      <w:r>
        <w:rPr>
          <w:rFonts w:cs="Times New Roman"/>
          <w:b w:val="0"/>
          <w:kern w:val="2"/>
        </w:rPr>
        <w:t>16</w:t>
      </w:r>
      <w:r>
        <w:rPr>
          <w:rFonts w:cs="Times New Roman"/>
          <w:b w:val="0"/>
          <w:kern w:val="2"/>
        </w:rPr>
        <w:t>日</w:t>
      </w:r>
      <w:r>
        <w:rPr>
          <w:rFonts w:cs="Times New Roman"/>
          <w:b w:val="0"/>
          <w:kern w:val="2"/>
        </w:rPr>
        <w:t xml:space="preserve"> </w:t>
      </w:r>
      <w:r>
        <w:rPr>
          <w:rFonts w:cs="Times New Roman"/>
          <w:b w:val="0"/>
          <w:kern w:val="2"/>
        </w:rPr>
        <w:t>印发）；</w:t>
      </w:r>
    </w:p>
    <w:p w:rsidR="00525419" w:rsidRDefault="00EE1CF7">
      <w:pPr>
        <w:pStyle w:val="B5"/>
        <w:rPr>
          <w:rFonts w:cs="Times New Roman"/>
          <w:b w:val="0"/>
          <w:kern w:val="2"/>
        </w:rPr>
      </w:pPr>
      <w:r>
        <w:rPr>
          <w:rFonts w:cs="Times New Roman"/>
          <w:b w:val="0"/>
          <w:kern w:val="2"/>
        </w:rPr>
        <w:t>（</w:t>
      </w:r>
      <w:r>
        <w:rPr>
          <w:rFonts w:cs="Times New Roman"/>
          <w:b w:val="0"/>
          <w:kern w:val="2"/>
        </w:rPr>
        <w:t>4</w:t>
      </w:r>
      <w:r>
        <w:rPr>
          <w:rFonts w:cs="Times New Roman"/>
          <w:b w:val="0"/>
          <w:kern w:val="2"/>
        </w:rPr>
        <w:t>）《鄯善高新技术产业开发区总体规划（</w:t>
      </w:r>
      <w:r>
        <w:rPr>
          <w:rFonts w:cs="Times New Roman"/>
          <w:b w:val="0"/>
          <w:kern w:val="2"/>
        </w:rPr>
        <w:t>2015-2030</w:t>
      </w:r>
      <w:r>
        <w:rPr>
          <w:rFonts w:cs="Times New Roman"/>
          <w:b w:val="0"/>
          <w:kern w:val="2"/>
        </w:rPr>
        <w:t>）》。</w:t>
      </w:r>
    </w:p>
    <w:p w:rsidR="00525419" w:rsidRDefault="00EE1CF7">
      <w:pPr>
        <w:pStyle w:val="3a"/>
        <w:spacing w:beforeLines="50" w:before="156" w:after="156" w:line="360" w:lineRule="auto"/>
        <w:jc w:val="left"/>
        <w:rPr>
          <w:rFonts w:ascii="Times New Roman" w:eastAsia="华文楷体" w:hAnsi="Times New Roman"/>
        </w:rPr>
      </w:pPr>
      <w:r>
        <w:rPr>
          <w:rFonts w:ascii="Times New Roman" w:eastAsia="华文楷体" w:hAnsi="Times New Roman"/>
        </w:rPr>
        <w:lastRenderedPageBreak/>
        <w:t>2.1.5</w:t>
      </w:r>
      <w:r>
        <w:rPr>
          <w:rFonts w:ascii="Times New Roman" w:eastAsia="华文楷体" w:hAnsi="Times New Roman"/>
        </w:rPr>
        <w:t>技术导则和规范</w:t>
      </w:r>
    </w:p>
    <w:p w:rsidR="00525419" w:rsidRDefault="00EE1CF7">
      <w:pPr>
        <w:widowControl/>
        <w:tabs>
          <w:tab w:val="right" w:pos="8306"/>
        </w:tabs>
        <w:spacing w:line="360" w:lineRule="auto"/>
        <w:jc w:val="left"/>
        <w:rPr>
          <w:rFonts w:ascii="Times New Roman" w:hAnsi="Times New Roman"/>
          <w:kern w:val="0"/>
          <w:sz w:val="24"/>
          <w:szCs w:val="24"/>
          <w:lang w:val="zh-CN"/>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w:t>
      </w:r>
      <w:r>
        <w:rPr>
          <w:rFonts w:ascii="Times New Roman" w:hAnsi="Times New Roman"/>
          <w:kern w:val="0"/>
          <w:sz w:val="24"/>
          <w:szCs w:val="24"/>
          <w:lang w:val="zh-CN"/>
        </w:rPr>
        <w:t>《建设项目环境影响评价技术导则</w:t>
      </w:r>
      <w:r>
        <w:rPr>
          <w:rFonts w:ascii="Times New Roman" w:hAnsi="Times New Roman"/>
          <w:kern w:val="0"/>
          <w:sz w:val="24"/>
          <w:szCs w:val="24"/>
          <w:lang w:val="zh-CN"/>
        </w:rPr>
        <w:t>·</w:t>
      </w:r>
      <w:r>
        <w:rPr>
          <w:rFonts w:ascii="Times New Roman" w:hAnsi="Times New Roman"/>
          <w:kern w:val="0"/>
          <w:sz w:val="24"/>
          <w:szCs w:val="24"/>
          <w:lang w:val="zh-CN"/>
        </w:rPr>
        <w:t>总纲》</w:t>
      </w:r>
      <w:r>
        <w:rPr>
          <w:rFonts w:ascii="Times New Roman" w:hAnsi="Times New Roman"/>
          <w:kern w:val="0"/>
          <w:sz w:val="24"/>
          <w:szCs w:val="24"/>
        </w:rPr>
        <w:t>（</w:t>
      </w:r>
      <w:r>
        <w:rPr>
          <w:rFonts w:ascii="Times New Roman" w:hAnsi="Times New Roman"/>
          <w:kern w:val="0"/>
          <w:sz w:val="24"/>
          <w:szCs w:val="24"/>
          <w:lang w:val="zh-CN"/>
        </w:rPr>
        <w:t>HJ2.1-2016</w:t>
      </w:r>
      <w:r>
        <w:rPr>
          <w:rFonts w:ascii="Times New Roman" w:hAnsi="Times New Roman"/>
          <w:kern w:val="0"/>
          <w:sz w:val="24"/>
          <w:szCs w:val="24"/>
          <w:lang w:val="zh-CN"/>
        </w:rPr>
        <w:t>）；</w:t>
      </w:r>
    </w:p>
    <w:p w:rsidR="00525419" w:rsidRDefault="00EE1CF7">
      <w:pPr>
        <w:widowControl/>
        <w:spacing w:line="360" w:lineRule="auto"/>
        <w:jc w:val="left"/>
        <w:rPr>
          <w:rFonts w:ascii="Times New Roman" w:hAnsi="Times New Roman"/>
          <w:kern w:val="0"/>
          <w:sz w:val="24"/>
          <w:szCs w:val="24"/>
          <w:lang w:val="zh-CN"/>
        </w:rPr>
      </w:pPr>
      <w:r>
        <w:rPr>
          <w:rFonts w:ascii="Times New Roman" w:hAnsi="Times New Roman"/>
          <w:kern w:val="0"/>
          <w:sz w:val="24"/>
          <w:szCs w:val="24"/>
        </w:rPr>
        <w:t>（</w:t>
      </w:r>
      <w:r>
        <w:rPr>
          <w:rFonts w:ascii="Times New Roman" w:hAnsi="Times New Roman"/>
          <w:kern w:val="0"/>
          <w:sz w:val="24"/>
          <w:szCs w:val="24"/>
        </w:rPr>
        <w:t>2</w:t>
      </w:r>
      <w:r>
        <w:rPr>
          <w:rFonts w:ascii="Times New Roman" w:hAnsi="Times New Roman"/>
          <w:kern w:val="0"/>
          <w:sz w:val="24"/>
          <w:szCs w:val="24"/>
        </w:rPr>
        <w:t>）</w:t>
      </w:r>
      <w:r>
        <w:rPr>
          <w:rFonts w:ascii="Times New Roman" w:hAnsi="Times New Roman"/>
          <w:kern w:val="0"/>
          <w:sz w:val="24"/>
          <w:szCs w:val="24"/>
          <w:lang w:val="zh-CN"/>
        </w:rPr>
        <w:t>《环境影响评价技术导则</w:t>
      </w:r>
      <w:r>
        <w:rPr>
          <w:rFonts w:ascii="Times New Roman" w:hAnsi="Times New Roman"/>
          <w:kern w:val="0"/>
          <w:sz w:val="24"/>
          <w:szCs w:val="24"/>
          <w:lang w:val="zh-CN"/>
        </w:rPr>
        <w:t>·</w:t>
      </w:r>
      <w:r>
        <w:rPr>
          <w:rFonts w:ascii="Times New Roman" w:hAnsi="Times New Roman"/>
          <w:kern w:val="0"/>
          <w:sz w:val="24"/>
          <w:szCs w:val="24"/>
          <w:lang w:val="zh-CN"/>
        </w:rPr>
        <w:t>大气环境》（</w:t>
      </w:r>
      <w:r>
        <w:rPr>
          <w:rFonts w:ascii="Times New Roman" w:hAnsi="Times New Roman"/>
          <w:kern w:val="0"/>
          <w:sz w:val="24"/>
          <w:szCs w:val="24"/>
          <w:lang w:val="zh-CN"/>
        </w:rPr>
        <w:t>HJ2.2-2018</w:t>
      </w:r>
      <w:r>
        <w:rPr>
          <w:rFonts w:ascii="Times New Roman" w:hAnsi="Times New Roman"/>
          <w:kern w:val="0"/>
          <w:sz w:val="24"/>
          <w:szCs w:val="24"/>
          <w:lang w:val="zh-CN"/>
        </w:rPr>
        <w:t>）；</w:t>
      </w:r>
    </w:p>
    <w:p w:rsidR="00525419" w:rsidRDefault="00EE1CF7">
      <w:pPr>
        <w:widowControl/>
        <w:spacing w:line="360" w:lineRule="auto"/>
        <w:jc w:val="left"/>
        <w:rPr>
          <w:rFonts w:ascii="Times New Roman" w:hAnsi="Times New Roman"/>
          <w:kern w:val="0"/>
          <w:sz w:val="24"/>
          <w:szCs w:val="24"/>
          <w:lang w:val="zh-CN"/>
        </w:rPr>
      </w:pPr>
      <w:r>
        <w:rPr>
          <w:rFonts w:ascii="Times New Roman" w:hAnsi="Times New Roman"/>
          <w:kern w:val="0"/>
          <w:sz w:val="24"/>
          <w:szCs w:val="24"/>
        </w:rPr>
        <w:t>（</w:t>
      </w:r>
      <w:r>
        <w:rPr>
          <w:rFonts w:ascii="Times New Roman" w:hAnsi="Times New Roman"/>
          <w:kern w:val="0"/>
          <w:sz w:val="24"/>
          <w:szCs w:val="24"/>
        </w:rPr>
        <w:t>3</w:t>
      </w:r>
      <w:r>
        <w:rPr>
          <w:rFonts w:ascii="Times New Roman" w:hAnsi="Times New Roman"/>
          <w:kern w:val="0"/>
          <w:sz w:val="24"/>
          <w:szCs w:val="24"/>
        </w:rPr>
        <w:t>）</w:t>
      </w:r>
      <w:r>
        <w:rPr>
          <w:rFonts w:ascii="Times New Roman" w:hAnsi="Times New Roman"/>
          <w:kern w:val="0"/>
          <w:sz w:val="24"/>
          <w:szCs w:val="24"/>
          <w:lang w:val="zh-CN"/>
        </w:rPr>
        <w:t>《环境影响评价技术导则</w:t>
      </w:r>
      <w:r>
        <w:rPr>
          <w:rFonts w:ascii="Times New Roman" w:hAnsi="Times New Roman"/>
          <w:kern w:val="0"/>
          <w:sz w:val="24"/>
          <w:szCs w:val="24"/>
          <w:lang w:val="zh-CN"/>
        </w:rPr>
        <w:t>·</w:t>
      </w:r>
      <w:r>
        <w:rPr>
          <w:rFonts w:ascii="Times New Roman" w:hAnsi="Times New Roman"/>
          <w:kern w:val="0"/>
          <w:sz w:val="24"/>
          <w:szCs w:val="24"/>
          <w:lang w:val="zh-CN"/>
        </w:rPr>
        <w:t>地表水环境》（</w:t>
      </w:r>
      <w:r>
        <w:rPr>
          <w:rFonts w:ascii="Times New Roman" w:hAnsi="Times New Roman"/>
          <w:kern w:val="0"/>
          <w:sz w:val="24"/>
          <w:szCs w:val="24"/>
          <w:lang w:val="zh-CN"/>
        </w:rPr>
        <w:t>HJ2.3-2018</w:t>
      </w:r>
      <w:r>
        <w:rPr>
          <w:rFonts w:ascii="Times New Roman" w:hAnsi="Times New Roman"/>
          <w:kern w:val="0"/>
          <w:sz w:val="24"/>
          <w:szCs w:val="24"/>
          <w:lang w:val="zh-CN"/>
        </w:rPr>
        <w:t>）；</w:t>
      </w:r>
    </w:p>
    <w:p w:rsidR="00525419" w:rsidRDefault="00EE1CF7">
      <w:pPr>
        <w:widowControl/>
        <w:spacing w:line="360" w:lineRule="auto"/>
        <w:jc w:val="left"/>
        <w:rPr>
          <w:rFonts w:ascii="Times New Roman" w:hAnsi="Times New Roman"/>
          <w:kern w:val="0"/>
          <w:sz w:val="24"/>
          <w:szCs w:val="24"/>
          <w:lang w:val="zh-CN"/>
        </w:rPr>
      </w:pPr>
      <w:r>
        <w:rPr>
          <w:rFonts w:ascii="Times New Roman" w:hAnsi="Times New Roman"/>
          <w:kern w:val="0"/>
          <w:sz w:val="24"/>
          <w:szCs w:val="24"/>
        </w:rPr>
        <w:t>（</w:t>
      </w:r>
      <w:r>
        <w:rPr>
          <w:rFonts w:ascii="Times New Roman" w:hAnsi="Times New Roman"/>
          <w:kern w:val="0"/>
          <w:sz w:val="24"/>
          <w:szCs w:val="24"/>
        </w:rPr>
        <w:t>4</w:t>
      </w:r>
      <w:r>
        <w:rPr>
          <w:rFonts w:ascii="Times New Roman" w:hAnsi="Times New Roman"/>
          <w:kern w:val="0"/>
          <w:sz w:val="24"/>
          <w:szCs w:val="24"/>
        </w:rPr>
        <w:t>）</w:t>
      </w:r>
      <w:r>
        <w:rPr>
          <w:rFonts w:ascii="Times New Roman" w:hAnsi="Times New Roman"/>
          <w:kern w:val="0"/>
          <w:sz w:val="24"/>
          <w:szCs w:val="24"/>
          <w:lang w:val="zh-CN"/>
        </w:rPr>
        <w:t>《环境影响评价技术导则</w:t>
      </w:r>
      <w:r>
        <w:rPr>
          <w:rFonts w:ascii="Times New Roman" w:hAnsi="Times New Roman"/>
          <w:kern w:val="0"/>
          <w:sz w:val="24"/>
          <w:szCs w:val="24"/>
          <w:lang w:val="zh-CN"/>
        </w:rPr>
        <w:t>·</w:t>
      </w:r>
      <w:r>
        <w:rPr>
          <w:rFonts w:ascii="Times New Roman" w:hAnsi="Times New Roman"/>
          <w:kern w:val="0"/>
          <w:sz w:val="24"/>
          <w:szCs w:val="24"/>
          <w:lang w:val="zh-CN"/>
        </w:rPr>
        <w:t>声环境》（</w:t>
      </w:r>
      <w:r>
        <w:rPr>
          <w:rFonts w:ascii="Times New Roman" w:hAnsi="Times New Roman"/>
          <w:kern w:val="0"/>
          <w:sz w:val="24"/>
          <w:szCs w:val="24"/>
          <w:lang w:val="zh-CN"/>
        </w:rPr>
        <w:t>HJ2.4-2009</w:t>
      </w:r>
      <w:r>
        <w:rPr>
          <w:rFonts w:ascii="Times New Roman" w:hAnsi="Times New Roman"/>
          <w:kern w:val="0"/>
          <w:sz w:val="24"/>
          <w:szCs w:val="24"/>
          <w:lang w:val="zh-CN"/>
        </w:rPr>
        <w:t>）；</w:t>
      </w:r>
    </w:p>
    <w:p w:rsidR="00525419" w:rsidRDefault="00EE1CF7">
      <w:pPr>
        <w:widowControl/>
        <w:spacing w:line="360" w:lineRule="auto"/>
        <w:jc w:val="left"/>
        <w:rPr>
          <w:rFonts w:ascii="Times New Roman" w:hAnsi="Times New Roman"/>
          <w:kern w:val="0"/>
          <w:sz w:val="24"/>
          <w:szCs w:val="24"/>
          <w:lang w:val="zh-CN"/>
        </w:rPr>
      </w:pPr>
      <w:r>
        <w:rPr>
          <w:rFonts w:ascii="Times New Roman" w:hAnsi="Times New Roman"/>
          <w:kern w:val="0"/>
          <w:sz w:val="24"/>
          <w:szCs w:val="24"/>
        </w:rPr>
        <w:t>（</w:t>
      </w:r>
      <w:r>
        <w:rPr>
          <w:rFonts w:ascii="Times New Roman" w:hAnsi="Times New Roman"/>
          <w:kern w:val="0"/>
          <w:sz w:val="24"/>
          <w:szCs w:val="24"/>
        </w:rPr>
        <w:t>5</w:t>
      </w:r>
      <w:r>
        <w:rPr>
          <w:rFonts w:ascii="Times New Roman" w:hAnsi="Times New Roman"/>
          <w:kern w:val="0"/>
          <w:sz w:val="24"/>
          <w:szCs w:val="24"/>
        </w:rPr>
        <w:t>）</w:t>
      </w:r>
      <w:r>
        <w:rPr>
          <w:rFonts w:ascii="Times New Roman" w:hAnsi="Times New Roman"/>
          <w:kern w:val="0"/>
          <w:sz w:val="24"/>
          <w:szCs w:val="24"/>
          <w:lang w:val="zh-CN"/>
        </w:rPr>
        <w:t>《环境影响评价技术导则</w:t>
      </w:r>
      <w:r>
        <w:rPr>
          <w:rFonts w:ascii="Times New Roman" w:hAnsi="Times New Roman"/>
          <w:kern w:val="0"/>
          <w:sz w:val="24"/>
          <w:szCs w:val="24"/>
          <w:lang w:val="zh-CN"/>
        </w:rPr>
        <w:t>·</w:t>
      </w:r>
      <w:r>
        <w:rPr>
          <w:rFonts w:ascii="Times New Roman" w:hAnsi="Times New Roman"/>
          <w:kern w:val="0"/>
          <w:sz w:val="24"/>
          <w:szCs w:val="24"/>
          <w:lang w:val="zh-CN"/>
        </w:rPr>
        <w:t>地下水环境》（</w:t>
      </w:r>
      <w:r>
        <w:rPr>
          <w:rFonts w:ascii="Times New Roman" w:hAnsi="Times New Roman"/>
          <w:kern w:val="0"/>
          <w:sz w:val="24"/>
          <w:szCs w:val="24"/>
          <w:lang w:val="zh-CN"/>
        </w:rPr>
        <w:t>HJ610-2016</w:t>
      </w:r>
      <w:r>
        <w:rPr>
          <w:rFonts w:ascii="Times New Roman" w:hAnsi="Times New Roman"/>
          <w:kern w:val="0"/>
          <w:sz w:val="24"/>
          <w:szCs w:val="24"/>
          <w:lang w:val="zh-CN"/>
        </w:rPr>
        <w:t>）；</w:t>
      </w:r>
    </w:p>
    <w:p w:rsidR="00525419" w:rsidRDefault="00EE1CF7">
      <w:pPr>
        <w:widowControl/>
        <w:spacing w:line="360" w:lineRule="auto"/>
        <w:jc w:val="left"/>
        <w:rPr>
          <w:rFonts w:ascii="Times New Roman" w:hAnsi="Times New Roman"/>
          <w:kern w:val="0"/>
          <w:sz w:val="24"/>
          <w:szCs w:val="24"/>
          <w:lang w:val="zh-CN"/>
        </w:rPr>
      </w:pPr>
      <w:r>
        <w:rPr>
          <w:rFonts w:ascii="Times New Roman" w:hAnsi="Times New Roman"/>
          <w:kern w:val="0"/>
          <w:sz w:val="24"/>
          <w:szCs w:val="24"/>
        </w:rPr>
        <w:t>（</w:t>
      </w:r>
      <w:r>
        <w:rPr>
          <w:rFonts w:ascii="Times New Roman" w:hAnsi="Times New Roman"/>
          <w:kern w:val="0"/>
          <w:sz w:val="24"/>
          <w:szCs w:val="24"/>
        </w:rPr>
        <w:t>6</w:t>
      </w:r>
      <w:r>
        <w:rPr>
          <w:rFonts w:ascii="Times New Roman" w:hAnsi="Times New Roman"/>
          <w:kern w:val="0"/>
          <w:sz w:val="24"/>
          <w:szCs w:val="24"/>
        </w:rPr>
        <w:t>）</w:t>
      </w:r>
      <w:r>
        <w:rPr>
          <w:rFonts w:ascii="Times New Roman" w:hAnsi="Times New Roman"/>
          <w:kern w:val="0"/>
          <w:sz w:val="24"/>
          <w:szCs w:val="24"/>
          <w:lang w:val="zh-CN"/>
        </w:rPr>
        <w:t>《环境影响评价技术导则</w:t>
      </w:r>
      <w:r>
        <w:rPr>
          <w:rFonts w:ascii="Times New Roman" w:hAnsi="Times New Roman"/>
          <w:kern w:val="0"/>
          <w:sz w:val="24"/>
          <w:szCs w:val="24"/>
          <w:lang w:val="zh-CN"/>
        </w:rPr>
        <w:t>·</w:t>
      </w:r>
      <w:r>
        <w:rPr>
          <w:rFonts w:ascii="Times New Roman" w:hAnsi="Times New Roman"/>
          <w:kern w:val="0"/>
          <w:sz w:val="24"/>
          <w:szCs w:val="24"/>
          <w:lang w:val="zh-CN"/>
        </w:rPr>
        <w:t>生态影响》（</w:t>
      </w:r>
      <w:r>
        <w:rPr>
          <w:rFonts w:ascii="Times New Roman" w:hAnsi="Times New Roman"/>
          <w:kern w:val="0"/>
          <w:sz w:val="24"/>
          <w:szCs w:val="24"/>
          <w:lang w:val="zh-CN"/>
        </w:rPr>
        <w:t>HJ19-2011</w:t>
      </w:r>
      <w:r>
        <w:rPr>
          <w:rFonts w:ascii="Times New Roman" w:hAnsi="Times New Roman"/>
          <w:kern w:val="0"/>
          <w:sz w:val="24"/>
          <w:szCs w:val="24"/>
          <w:lang w:val="zh-CN"/>
        </w:rPr>
        <w:t>）；</w:t>
      </w:r>
    </w:p>
    <w:p w:rsidR="00525419" w:rsidRDefault="00EE1CF7">
      <w:pPr>
        <w:widowControl/>
        <w:spacing w:line="360" w:lineRule="auto"/>
        <w:jc w:val="left"/>
        <w:rPr>
          <w:rFonts w:ascii="Times New Roman" w:hAnsi="Times New Roman"/>
          <w:kern w:val="0"/>
          <w:sz w:val="24"/>
          <w:szCs w:val="24"/>
          <w:lang w:val="zh-CN"/>
        </w:rPr>
      </w:pPr>
      <w:r>
        <w:rPr>
          <w:rFonts w:ascii="Times New Roman" w:hAnsi="Times New Roman"/>
          <w:kern w:val="0"/>
          <w:sz w:val="24"/>
          <w:szCs w:val="24"/>
        </w:rPr>
        <w:t>（</w:t>
      </w:r>
      <w:r>
        <w:rPr>
          <w:rFonts w:ascii="Times New Roman" w:hAnsi="Times New Roman"/>
          <w:kern w:val="0"/>
          <w:sz w:val="24"/>
          <w:szCs w:val="24"/>
        </w:rPr>
        <w:t>7</w:t>
      </w:r>
      <w:r>
        <w:rPr>
          <w:rFonts w:ascii="Times New Roman" w:hAnsi="Times New Roman"/>
          <w:kern w:val="0"/>
          <w:sz w:val="24"/>
          <w:szCs w:val="24"/>
        </w:rPr>
        <w:t>）</w:t>
      </w:r>
      <w:r>
        <w:rPr>
          <w:rFonts w:ascii="Times New Roman" w:hAnsi="Times New Roman"/>
          <w:kern w:val="0"/>
          <w:sz w:val="24"/>
          <w:szCs w:val="24"/>
          <w:lang w:val="zh-CN"/>
        </w:rPr>
        <w:t>《建设项目环境风险评价技术导则》（</w:t>
      </w:r>
      <w:r>
        <w:rPr>
          <w:rFonts w:ascii="Times New Roman" w:hAnsi="Times New Roman"/>
          <w:kern w:val="0"/>
          <w:sz w:val="24"/>
          <w:szCs w:val="24"/>
          <w:lang w:val="zh-CN"/>
        </w:rPr>
        <w:t>HJ169-2018</w:t>
      </w:r>
      <w:r>
        <w:rPr>
          <w:rFonts w:ascii="Times New Roman" w:hAnsi="Times New Roman"/>
          <w:kern w:val="0"/>
          <w:sz w:val="24"/>
          <w:szCs w:val="24"/>
          <w:lang w:val="zh-CN"/>
        </w:rPr>
        <w:t>）；</w:t>
      </w:r>
    </w:p>
    <w:p w:rsidR="00525419" w:rsidRDefault="00EE1CF7">
      <w:pPr>
        <w:widowControl/>
        <w:spacing w:line="360" w:lineRule="auto"/>
        <w:jc w:val="left"/>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8</w:t>
      </w:r>
      <w:r>
        <w:rPr>
          <w:rFonts w:ascii="Times New Roman" w:hAnsi="Times New Roman"/>
          <w:kern w:val="0"/>
          <w:sz w:val="24"/>
          <w:szCs w:val="24"/>
        </w:rPr>
        <w:t>）《环境影响评价技术导则</w:t>
      </w:r>
      <w:r>
        <w:rPr>
          <w:rFonts w:ascii="Times New Roman" w:hAnsi="Times New Roman"/>
          <w:kern w:val="0"/>
          <w:sz w:val="24"/>
          <w:szCs w:val="24"/>
          <w:lang w:val="zh-CN"/>
        </w:rPr>
        <w:t>·</w:t>
      </w:r>
      <w:r>
        <w:rPr>
          <w:rFonts w:ascii="Times New Roman" w:hAnsi="Times New Roman"/>
          <w:kern w:val="0"/>
          <w:sz w:val="24"/>
          <w:szCs w:val="24"/>
        </w:rPr>
        <w:t>土壤环境（试行）》（</w:t>
      </w:r>
      <w:r>
        <w:rPr>
          <w:rFonts w:ascii="Times New Roman" w:hAnsi="Times New Roman"/>
          <w:kern w:val="0"/>
          <w:sz w:val="24"/>
          <w:szCs w:val="24"/>
        </w:rPr>
        <w:t>HJ964-2018</w:t>
      </w:r>
      <w:r>
        <w:rPr>
          <w:rFonts w:ascii="Times New Roman" w:hAnsi="Times New Roman"/>
          <w:kern w:val="0"/>
          <w:sz w:val="24"/>
          <w:szCs w:val="24"/>
        </w:rPr>
        <w:t>）；</w:t>
      </w:r>
    </w:p>
    <w:p w:rsidR="00525419" w:rsidRDefault="00EE1CF7">
      <w:pPr>
        <w:widowControl/>
        <w:numPr>
          <w:ilvl w:val="0"/>
          <w:numId w:val="119"/>
        </w:numPr>
        <w:spacing w:line="360" w:lineRule="auto"/>
        <w:jc w:val="left"/>
        <w:rPr>
          <w:rFonts w:ascii="Times New Roman" w:hAnsi="Times New Roman"/>
          <w:kern w:val="0"/>
          <w:sz w:val="24"/>
          <w:szCs w:val="24"/>
        </w:rPr>
      </w:pPr>
      <w:r>
        <w:rPr>
          <w:rFonts w:ascii="Times New Roman" w:hAnsi="Times New Roman"/>
          <w:kern w:val="0"/>
          <w:sz w:val="24"/>
          <w:szCs w:val="24"/>
        </w:rPr>
        <w:t>《环境影响评价技术导则</w:t>
      </w:r>
      <w:r>
        <w:rPr>
          <w:rFonts w:ascii="Times New Roman" w:hAnsi="Times New Roman"/>
          <w:kern w:val="0"/>
          <w:sz w:val="24"/>
          <w:szCs w:val="24"/>
        </w:rPr>
        <w:t xml:space="preserve"> </w:t>
      </w:r>
      <w:r>
        <w:rPr>
          <w:rFonts w:ascii="Times New Roman" w:hAnsi="Times New Roman"/>
          <w:kern w:val="0"/>
          <w:sz w:val="24"/>
          <w:szCs w:val="24"/>
        </w:rPr>
        <w:t>石油化工建设项目》（</w:t>
      </w:r>
      <w:r>
        <w:rPr>
          <w:rFonts w:ascii="Times New Roman" w:hAnsi="Times New Roman"/>
          <w:kern w:val="0"/>
          <w:sz w:val="24"/>
          <w:szCs w:val="24"/>
        </w:rPr>
        <w:t>HJ/T89-2003</w:t>
      </w:r>
      <w:r>
        <w:rPr>
          <w:rFonts w:ascii="Times New Roman" w:hAnsi="Times New Roman"/>
          <w:kern w:val="0"/>
          <w:sz w:val="24"/>
          <w:szCs w:val="24"/>
        </w:rPr>
        <w:t>）；</w:t>
      </w:r>
    </w:p>
    <w:p w:rsidR="00525419" w:rsidRDefault="00EE1CF7">
      <w:pPr>
        <w:spacing w:line="360" w:lineRule="auto"/>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10</w:t>
      </w:r>
      <w:r>
        <w:rPr>
          <w:rFonts w:ascii="Times New Roman" w:hAnsi="Times New Roman"/>
          <w:kern w:val="0"/>
          <w:sz w:val="24"/>
          <w:szCs w:val="24"/>
        </w:rPr>
        <w:t>）《排污单位自行监测技术指南</w:t>
      </w:r>
      <w:r>
        <w:rPr>
          <w:rFonts w:ascii="Times New Roman" w:hAnsi="Times New Roman"/>
          <w:kern w:val="0"/>
          <w:sz w:val="24"/>
          <w:szCs w:val="24"/>
        </w:rPr>
        <w:t xml:space="preserve"> </w:t>
      </w:r>
      <w:r>
        <w:rPr>
          <w:rFonts w:ascii="Times New Roman" w:hAnsi="Times New Roman"/>
          <w:kern w:val="0"/>
          <w:sz w:val="24"/>
          <w:szCs w:val="24"/>
        </w:rPr>
        <w:t>总则》（</w:t>
      </w:r>
      <w:r>
        <w:rPr>
          <w:rFonts w:ascii="Times New Roman" w:hAnsi="Times New Roman"/>
          <w:kern w:val="0"/>
          <w:sz w:val="24"/>
          <w:szCs w:val="24"/>
        </w:rPr>
        <w:t>HJ819-2017</w:t>
      </w:r>
      <w:r>
        <w:rPr>
          <w:rFonts w:ascii="Times New Roman" w:hAnsi="Times New Roman"/>
          <w:kern w:val="0"/>
          <w:sz w:val="24"/>
          <w:szCs w:val="24"/>
        </w:rPr>
        <w:t>）；</w:t>
      </w:r>
    </w:p>
    <w:p w:rsidR="00525419" w:rsidRDefault="00EE1CF7">
      <w:pPr>
        <w:pStyle w:val="afb"/>
        <w:spacing w:line="360" w:lineRule="auto"/>
        <w:rPr>
          <w:sz w:val="24"/>
        </w:rPr>
      </w:pPr>
      <w:r>
        <w:rPr>
          <w:sz w:val="24"/>
        </w:rPr>
        <w:t>（</w:t>
      </w:r>
      <w:r>
        <w:rPr>
          <w:sz w:val="24"/>
        </w:rPr>
        <w:t>11</w:t>
      </w:r>
      <w:r>
        <w:rPr>
          <w:sz w:val="24"/>
        </w:rPr>
        <w:t>）《排污许可证申请与核发技术规范</w:t>
      </w:r>
      <w:r>
        <w:rPr>
          <w:sz w:val="24"/>
        </w:rPr>
        <w:t xml:space="preserve"> </w:t>
      </w:r>
      <w:r>
        <w:rPr>
          <w:sz w:val="24"/>
        </w:rPr>
        <w:t>石化工业》（</w:t>
      </w:r>
      <w:r>
        <w:rPr>
          <w:sz w:val="24"/>
        </w:rPr>
        <w:t>HJ853-2017</w:t>
      </w:r>
      <w:r>
        <w:rPr>
          <w:sz w:val="24"/>
        </w:rPr>
        <w:t>）；</w:t>
      </w:r>
    </w:p>
    <w:p w:rsidR="00525419" w:rsidRDefault="00EE1CF7">
      <w:pPr>
        <w:pStyle w:val="afb"/>
        <w:spacing w:line="360" w:lineRule="auto"/>
        <w:rPr>
          <w:sz w:val="24"/>
        </w:rPr>
      </w:pPr>
      <w:r>
        <w:rPr>
          <w:sz w:val="24"/>
        </w:rPr>
        <w:t>（</w:t>
      </w:r>
      <w:r>
        <w:rPr>
          <w:sz w:val="24"/>
        </w:rPr>
        <w:t>12</w:t>
      </w:r>
      <w:r>
        <w:rPr>
          <w:sz w:val="24"/>
        </w:rPr>
        <w:t>）《泄漏和敞开液面排放的挥发性有机物检测技术导则》（</w:t>
      </w:r>
      <w:r>
        <w:rPr>
          <w:sz w:val="24"/>
        </w:rPr>
        <w:t>HJ733-2014</w:t>
      </w:r>
      <w:r>
        <w:rPr>
          <w:sz w:val="24"/>
        </w:rPr>
        <w:t>）</w:t>
      </w:r>
    </w:p>
    <w:p w:rsidR="00525419" w:rsidRDefault="00EE1CF7">
      <w:pPr>
        <w:widowControl/>
        <w:spacing w:line="360" w:lineRule="auto"/>
        <w:jc w:val="left"/>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13</w:t>
      </w:r>
      <w:r>
        <w:rPr>
          <w:rFonts w:ascii="Times New Roman" w:hAnsi="Times New Roman"/>
          <w:kern w:val="0"/>
          <w:sz w:val="24"/>
          <w:szCs w:val="24"/>
        </w:rPr>
        <w:t>）《挥发性有机物（</w:t>
      </w:r>
      <w:r>
        <w:rPr>
          <w:rFonts w:ascii="Times New Roman" w:hAnsi="Times New Roman"/>
          <w:kern w:val="0"/>
          <w:sz w:val="24"/>
          <w:szCs w:val="24"/>
        </w:rPr>
        <w:t>VOCs</w:t>
      </w:r>
      <w:r>
        <w:rPr>
          <w:rFonts w:ascii="Times New Roman" w:hAnsi="Times New Roman"/>
          <w:kern w:val="0"/>
          <w:sz w:val="24"/>
          <w:szCs w:val="24"/>
        </w:rPr>
        <w:t>）污染防治技术政策》（环保部公告</w:t>
      </w:r>
      <w:r>
        <w:rPr>
          <w:rFonts w:ascii="Times New Roman" w:hAnsi="Times New Roman"/>
          <w:kern w:val="0"/>
          <w:sz w:val="24"/>
          <w:szCs w:val="24"/>
        </w:rPr>
        <w:t>2013</w:t>
      </w:r>
      <w:r>
        <w:rPr>
          <w:rFonts w:ascii="Times New Roman" w:hAnsi="Times New Roman"/>
          <w:kern w:val="0"/>
          <w:sz w:val="24"/>
          <w:szCs w:val="24"/>
        </w:rPr>
        <w:t>年第</w:t>
      </w:r>
      <w:r>
        <w:rPr>
          <w:rFonts w:ascii="Times New Roman" w:hAnsi="Times New Roman"/>
          <w:kern w:val="0"/>
          <w:sz w:val="24"/>
          <w:szCs w:val="24"/>
        </w:rPr>
        <w:t>31</w:t>
      </w:r>
      <w:r>
        <w:rPr>
          <w:rFonts w:ascii="Times New Roman" w:hAnsi="Times New Roman"/>
          <w:kern w:val="0"/>
          <w:sz w:val="24"/>
          <w:szCs w:val="24"/>
        </w:rPr>
        <w:t>号）；</w:t>
      </w:r>
    </w:p>
    <w:p w:rsidR="00525419" w:rsidRDefault="00EE1CF7">
      <w:pPr>
        <w:widowControl/>
        <w:spacing w:line="360" w:lineRule="auto"/>
        <w:jc w:val="left"/>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14</w:t>
      </w:r>
      <w:r>
        <w:rPr>
          <w:rFonts w:ascii="Times New Roman" w:hAnsi="Times New Roman"/>
          <w:kern w:val="0"/>
          <w:sz w:val="24"/>
          <w:szCs w:val="24"/>
        </w:rPr>
        <w:t>）《石化行业挥发性有机物综合整治方案》，环发</w:t>
      </w:r>
      <w:r>
        <w:rPr>
          <w:rFonts w:ascii="Times New Roman" w:hAnsi="Times New Roman"/>
          <w:kern w:val="0"/>
          <w:sz w:val="24"/>
          <w:szCs w:val="24"/>
        </w:rPr>
        <w:t>[2014]177</w:t>
      </w:r>
      <w:r>
        <w:rPr>
          <w:rFonts w:ascii="Times New Roman" w:hAnsi="Times New Roman"/>
          <w:kern w:val="0"/>
          <w:sz w:val="24"/>
          <w:szCs w:val="24"/>
        </w:rPr>
        <w:t>号，环境保护部办公厅</w:t>
      </w:r>
      <w:r>
        <w:rPr>
          <w:rFonts w:ascii="Times New Roman" w:hAnsi="Times New Roman"/>
          <w:kern w:val="0"/>
          <w:sz w:val="24"/>
          <w:szCs w:val="24"/>
        </w:rPr>
        <w:t>2014</w:t>
      </w:r>
      <w:r>
        <w:rPr>
          <w:rFonts w:ascii="Times New Roman" w:hAnsi="Times New Roman"/>
          <w:kern w:val="0"/>
          <w:sz w:val="24"/>
          <w:szCs w:val="24"/>
        </w:rPr>
        <w:t>年</w:t>
      </w:r>
      <w:r>
        <w:rPr>
          <w:rFonts w:ascii="Times New Roman" w:hAnsi="Times New Roman"/>
          <w:kern w:val="0"/>
          <w:sz w:val="24"/>
          <w:szCs w:val="24"/>
        </w:rPr>
        <w:t>12</w:t>
      </w:r>
      <w:r>
        <w:rPr>
          <w:rFonts w:ascii="Times New Roman" w:hAnsi="Times New Roman"/>
          <w:kern w:val="0"/>
          <w:sz w:val="24"/>
          <w:szCs w:val="24"/>
        </w:rPr>
        <w:t>月</w:t>
      </w:r>
      <w:r>
        <w:rPr>
          <w:rFonts w:ascii="Times New Roman" w:hAnsi="Times New Roman"/>
          <w:kern w:val="0"/>
          <w:sz w:val="24"/>
          <w:szCs w:val="24"/>
        </w:rPr>
        <w:t>5</w:t>
      </w:r>
      <w:r>
        <w:rPr>
          <w:rFonts w:ascii="Times New Roman" w:hAnsi="Times New Roman"/>
          <w:kern w:val="0"/>
          <w:sz w:val="24"/>
          <w:szCs w:val="24"/>
        </w:rPr>
        <w:t>日印发；</w:t>
      </w:r>
    </w:p>
    <w:p w:rsidR="00525419" w:rsidRDefault="00EE1CF7">
      <w:pPr>
        <w:widowControl/>
        <w:spacing w:line="360" w:lineRule="auto"/>
        <w:jc w:val="left"/>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15</w:t>
      </w:r>
      <w:r>
        <w:rPr>
          <w:rFonts w:ascii="Times New Roman" w:hAnsi="Times New Roman"/>
          <w:kern w:val="0"/>
          <w:sz w:val="24"/>
          <w:szCs w:val="24"/>
        </w:rPr>
        <w:t>）《危险废物收集</w:t>
      </w:r>
      <w:r>
        <w:rPr>
          <w:rFonts w:ascii="Times New Roman" w:hAnsi="Times New Roman"/>
          <w:kern w:val="0"/>
          <w:sz w:val="24"/>
          <w:szCs w:val="24"/>
        </w:rPr>
        <w:t xml:space="preserve"> </w:t>
      </w:r>
      <w:r>
        <w:rPr>
          <w:rFonts w:ascii="Times New Roman" w:hAnsi="Times New Roman"/>
          <w:kern w:val="0"/>
          <w:sz w:val="24"/>
          <w:szCs w:val="24"/>
        </w:rPr>
        <w:t>贮存</w:t>
      </w:r>
      <w:r>
        <w:rPr>
          <w:rFonts w:ascii="Times New Roman" w:hAnsi="Times New Roman"/>
          <w:kern w:val="0"/>
          <w:sz w:val="24"/>
          <w:szCs w:val="24"/>
        </w:rPr>
        <w:t xml:space="preserve"> </w:t>
      </w:r>
      <w:r>
        <w:rPr>
          <w:rFonts w:ascii="Times New Roman" w:hAnsi="Times New Roman"/>
          <w:kern w:val="0"/>
          <w:sz w:val="24"/>
          <w:szCs w:val="24"/>
        </w:rPr>
        <w:t>运输技术规范》（</w:t>
      </w:r>
      <w:r>
        <w:rPr>
          <w:rFonts w:ascii="Times New Roman" w:hAnsi="Times New Roman"/>
          <w:kern w:val="0"/>
          <w:sz w:val="24"/>
          <w:szCs w:val="24"/>
        </w:rPr>
        <w:t>HJ2025</w:t>
      </w:r>
      <w:r>
        <w:rPr>
          <w:rFonts w:ascii="Times New Roman" w:hAnsi="Times New Roman"/>
          <w:kern w:val="0"/>
          <w:sz w:val="24"/>
          <w:szCs w:val="24"/>
        </w:rPr>
        <w:t>－</w:t>
      </w:r>
      <w:r>
        <w:rPr>
          <w:rFonts w:ascii="Times New Roman" w:hAnsi="Times New Roman"/>
          <w:kern w:val="0"/>
          <w:sz w:val="24"/>
          <w:szCs w:val="24"/>
        </w:rPr>
        <w:t>2012</w:t>
      </w:r>
      <w:r>
        <w:rPr>
          <w:rFonts w:ascii="Times New Roman" w:hAnsi="Times New Roman"/>
          <w:kern w:val="0"/>
          <w:sz w:val="24"/>
          <w:szCs w:val="24"/>
        </w:rPr>
        <w:t>）。</w:t>
      </w:r>
    </w:p>
    <w:p w:rsidR="00525419" w:rsidRDefault="00EE1CF7">
      <w:pPr>
        <w:pStyle w:val="2a"/>
        <w:spacing w:beforeLines="50" w:before="156" w:after="156"/>
        <w:ind w:left="578" w:hanging="578"/>
        <w:rPr>
          <w:rFonts w:ascii="Times New Roman" w:eastAsia="楷体_GB2312" w:hAnsi="Times New Roman"/>
          <w:sz w:val="36"/>
        </w:rPr>
      </w:pPr>
      <w:bookmarkStart w:id="16" w:name="_Toc6485"/>
      <w:r>
        <w:rPr>
          <w:rFonts w:ascii="Times New Roman" w:eastAsia="楷体_GB2312" w:hAnsi="Times New Roman"/>
          <w:sz w:val="36"/>
        </w:rPr>
        <w:t>2.2</w:t>
      </w:r>
      <w:r>
        <w:rPr>
          <w:rFonts w:ascii="Times New Roman" w:eastAsia="楷体_GB2312" w:hAnsi="Times New Roman"/>
          <w:sz w:val="36"/>
        </w:rPr>
        <w:t>评价因子与评价标准</w:t>
      </w:r>
      <w:bookmarkEnd w:id="16"/>
    </w:p>
    <w:p w:rsidR="00525419" w:rsidRDefault="00EE1CF7">
      <w:pPr>
        <w:pStyle w:val="3a"/>
        <w:spacing w:beforeLines="50" w:before="156" w:after="156" w:line="360" w:lineRule="auto"/>
        <w:jc w:val="left"/>
        <w:rPr>
          <w:rFonts w:ascii="Times New Roman" w:eastAsia="华文楷体" w:hAnsi="Times New Roman"/>
        </w:rPr>
      </w:pPr>
      <w:bookmarkStart w:id="17" w:name="_Toc404864557"/>
      <w:r>
        <w:rPr>
          <w:rFonts w:ascii="Times New Roman" w:eastAsia="华文楷体" w:hAnsi="Times New Roman"/>
        </w:rPr>
        <w:t>2.2.1</w:t>
      </w:r>
      <w:r>
        <w:rPr>
          <w:rFonts w:ascii="Times New Roman" w:eastAsia="华文楷体" w:hAnsi="Times New Roman"/>
        </w:rPr>
        <w:t>环境影响因素识别</w:t>
      </w:r>
      <w:bookmarkEnd w:id="17"/>
    </w:p>
    <w:p w:rsidR="00525419" w:rsidRDefault="00EE1CF7">
      <w:pPr>
        <w:autoSpaceDE w:val="0"/>
        <w:autoSpaceDN w:val="0"/>
        <w:adjustRightInd w:val="0"/>
        <w:spacing w:line="360" w:lineRule="auto"/>
        <w:ind w:firstLineChars="200" w:firstLine="480"/>
        <w:rPr>
          <w:rFonts w:ascii="Times New Roman" w:hAnsi="Times New Roman"/>
          <w:sz w:val="24"/>
        </w:rPr>
      </w:pPr>
      <w:r>
        <w:rPr>
          <w:rFonts w:ascii="Times New Roman" w:hAnsi="Times New Roman"/>
          <w:sz w:val="24"/>
          <w:lang w:val="zh-CN"/>
        </w:rPr>
        <w:t>本项目影响因素主要表现在运营期的</w:t>
      </w:r>
      <w:r>
        <w:rPr>
          <w:rFonts w:ascii="Times New Roman" w:hAnsi="Times New Roman"/>
          <w:sz w:val="24"/>
          <w:lang w:val="zh-CN"/>
        </w:rPr>
        <w:t>“</w:t>
      </w:r>
      <w:r>
        <w:rPr>
          <w:rFonts w:ascii="Times New Roman" w:hAnsi="Times New Roman"/>
          <w:sz w:val="24"/>
          <w:lang w:val="zh-CN"/>
        </w:rPr>
        <w:t>三废</w:t>
      </w:r>
      <w:r>
        <w:rPr>
          <w:rFonts w:ascii="Times New Roman" w:hAnsi="Times New Roman"/>
          <w:sz w:val="24"/>
          <w:lang w:val="zh-CN"/>
        </w:rPr>
        <w:t>”</w:t>
      </w:r>
      <w:r>
        <w:rPr>
          <w:rFonts w:ascii="Times New Roman" w:hAnsi="Times New Roman"/>
          <w:sz w:val="24"/>
          <w:lang w:val="zh-CN"/>
        </w:rPr>
        <w:t>排放</w:t>
      </w:r>
      <w:r>
        <w:rPr>
          <w:rFonts w:ascii="Times New Roman" w:hAnsi="Times New Roman" w:hint="eastAsia"/>
          <w:sz w:val="24"/>
          <w:lang w:val="zh-CN"/>
        </w:rPr>
        <w:t>，</w:t>
      </w:r>
      <w:r>
        <w:rPr>
          <w:rFonts w:ascii="Times New Roman" w:hAnsi="Times New Roman"/>
          <w:sz w:val="24"/>
          <w:lang w:val="zh-CN"/>
        </w:rPr>
        <w:t>经过对本项目生产和排污特征分析及对周围环境状况的调查，识别出本项目对环境的影响矩阵见表</w:t>
      </w:r>
      <w:r>
        <w:rPr>
          <w:rFonts w:ascii="Times New Roman" w:hAnsi="Times New Roman"/>
          <w:sz w:val="24"/>
        </w:rPr>
        <w:t>2.2-1</w:t>
      </w:r>
      <w:r>
        <w:rPr>
          <w:rFonts w:ascii="Times New Roman" w:hAnsi="Times New Roman"/>
          <w:sz w:val="24"/>
          <w:lang w:val="zh-CN"/>
        </w:rPr>
        <w:t>。</w:t>
      </w:r>
    </w:p>
    <w:p w:rsidR="00525419" w:rsidRDefault="00EE1CF7">
      <w:pPr>
        <w:autoSpaceDE w:val="0"/>
        <w:autoSpaceDN w:val="0"/>
        <w:adjustRightInd w:val="0"/>
        <w:spacing w:line="240" w:lineRule="atLeast"/>
        <w:ind w:firstLineChars="794" w:firstLine="1667"/>
        <w:rPr>
          <w:rFonts w:ascii="Times New Roman" w:eastAsia="黑体" w:hAnsi="Times New Roman"/>
          <w:kern w:val="0"/>
          <w:szCs w:val="21"/>
        </w:rPr>
      </w:pPr>
      <w:r>
        <w:rPr>
          <w:rFonts w:ascii="Times New Roman" w:eastAsia="黑体" w:hAnsi="Times New Roman"/>
          <w:kern w:val="0"/>
          <w:szCs w:val="21"/>
        </w:rPr>
        <w:t>表</w:t>
      </w:r>
      <w:r>
        <w:rPr>
          <w:rFonts w:ascii="Times New Roman" w:eastAsia="黑体" w:hAnsi="Times New Roman"/>
          <w:kern w:val="0"/>
          <w:szCs w:val="21"/>
        </w:rPr>
        <w:t>2.2-1</w:t>
      </w:r>
      <w:r>
        <w:rPr>
          <w:rFonts w:ascii="Times New Roman" w:eastAsia="黑体" w:hAnsi="Times New Roman"/>
          <w:kern w:val="0"/>
          <w:szCs w:val="21"/>
        </w:rPr>
        <w:t xml:space="preserve">　　　不同阶段环境影响要素判别表</w:t>
      </w:r>
    </w:p>
    <w:tbl>
      <w:tblPr>
        <w:tblW w:w="8517"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18"/>
        <w:gridCol w:w="966"/>
        <w:gridCol w:w="1320"/>
        <w:gridCol w:w="1320"/>
        <w:gridCol w:w="3303"/>
        <w:gridCol w:w="990"/>
      </w:tblGrid>
      <w:tr w:rsidR="00525419">
        <w:trPr>
          <w:trHeight w:val="313"/>
          <w:jc w:val="center"/>
        </w:trPr>
        <w:tc>
          <w:tcPr>
            <w:tcW w:w="61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序号</w:t>
            </w:r>
          </w:p>
        </w:tc>
        <w:tc>
          <w:tcPr>
            <w:tcW w:w="96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时段</w:t>
            </w:r>
          </w:p>
        </w:tc>
        <w:tc>
          <w:tcPr>
            <w:tcW w:w="132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环境要素</w:t>
            </w:r>
          </w:p>
        </w:tc>
        <w:tc>
          <w:tcPr>
            <w:tcW w:w="132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影响因子</w:t>
            </w:r>
          </w:p>
        </w:tc>
        <w:tc>
          <w:tcPr>
            <w:tcW w:w="3303"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工程内容及表征</w:t>
            </w:r>
          </w:p>
        </w:tc>
        <w:tc>
          <w:tcPr>
            <w:tcW w:w="99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影响</w:t>
            </w:r>
          </w:p>
          <w:p w:rsidR="00525419" w:rsidRDefault="00EE1CF7">
            <w:pPr>
              <w:spacing w:line="240" w:lineRule="atLeast"/>
              <w:rPr>
                <w:rFonts w:ascii="Times New Roman" w:hAnsi="Times New Roman"/>
                <w:szCs w:val="21"/>
              </w:rPr>
            </w:pPr>
            <w:r>
              <w:rPr>
                <w:rFonts w:ascii="Times New Roman" w:hAnsi="Times New Roman"/>
                <w:szCs w:val="21"/>
              </w:rPr>
              <w:t>程度</w:t>
            </w:r>
          </w:p>
        </w:tc>
      </w:tr>
      <w:tr w:rsidR="00525419">
        <w:trPr>
          <w:trHeight w:val="90"/>
          <w:jc w:val="center"/>
        </w:trPr>
        <w:tc>
          <w:tcPr>
            <w:tcW w:w="618" w:type="dxa"/>
            <w:vMerge w:val="restart"/>
            <w:tcBorders>
              <w:tl2br w:val="nil"/>
              <w:tr2bl w:val="nil"/>
            </w:tcBorders>
            <w:vAlign w:val="center"/>
          </w:tcPr>
          <w:p w:rsidR="00525419" w:rsidRDefault="00525419">
            <w:pPr>
              <w:spacing w:line="240" w:lineRule="atLeast"/>
              <w:rPr>
                <w:rFonts w:ascii="Times New Roman" w:hAnsi="Times New Roman"/>
                <w:szCs w:val="21"/>
              </w:rPr>
            </w:pPr>
          </w:p>
          <w:p w:rsidR="00525419" w:rsidRDefault="00525419">
            <w:pPr>
              <w:spacing w:line="240" w:lineRule="atLeast"/>
              <w:rPr>
                <w:rFonts w:ascii="Times New Roman" w:hAnsi="Times New Roman"/>
                <w:szCs w:val="21"/>
              </w:rPr>
            </w:pPr>
          </w:p>
          <w:p w:rsidR="00525419" w:rsidRDefault="00525419">
            <w:pPr>
              <w:spacing w:line="240" w:lineRule="atLeast"/>
              <w:rPr>
                <w:rFonts w:ascii="Times New Roman" w:hAnsi="Times New Roman"/>
                <w:szCs w:val="21"/>
              </w:rPr>
            </w:pPr>
          </w:p>
          <w:p w:rsidR="00525419" w:rsidRDefault="00525419">
            <w:pPr>
              <w:spacing w:line="240" w:lineRule="atLeast"/>
              <w:rPr>
                <w:rFonts w:ascii="Times New Roman" w:hAnsi="Times New Roman"/>
                <w:szCs w:val="21"/>
              </w:rPr>
            </w:pPr>
          </w:p>
          <w:p w:rsidR="00525419" w:rsidRDefault="00525419">
            <w:pPr>
              <w:spacing w:line="240" w:lineRule="atLeast"/>
              <w:rPr>
                <w:rFonts w:ascii="Times New Roman" w:hAnsi="Times New Roman"/>
                <w:szCs w:val="21"/>
              </w:rPr>
            </w:pPr>
          </w:p>
          <w:p w:rsidR="00525419" w:rsidRDefault="00EE1CF7">
            <w:pPr>
              <w:spacing w:line="240" w:lineRule="atLeast"/>
              <w:rPr>
                <w:rFonts w:ascii="Times New Roman" w:hAnsi="Times New Roman"/>
                <w:szCs w:val="21"/>
              </w:rPr>
            </w:pPr>
            <w:r>
              <w:rPr>
                <w:rFonts w:ascii="Times New Roman" w:hAnsi="Times New Roman"/>
                <w:szCs w:val="21"/>
              </w:rPr>
              <w:t xml:space="preserve">1 </w:t>
            </w:r>
          </w:p>
        </w:tc>
        <w:tc>
          <w:tcPr>
            <w:tcW w:w="966" w:type="dxa"/>
            <w:vMerge w:val="restart"/>
            <w:tcBorders>
              <w:tl2br w:val="nil"/>
              <w:tr2bl w:val="nil"/>
            </w:tcBorders>
            <w:vAlign w:val="center"/>
          </w:tcPr>
          <w:p w:rsidR="00525419" w:rsidRDefault="00525419">
            <w:pPr>
              <w:spacing w:line="240" w:lineRule="atLeast"/>
              <w:rPr>
                <w:rFonts w:ascii="Times New Roman" w:hAnsi="Times New Roman"/>
                <w:szCs w:val="21"/>
              </w:rPr>
            </w:pPr>
          </w:p>
          <w:p w:rsidR="00525419" w:rsidRDefault="00525419">
            <w:pPr>
              <w:spacing w:line="240" w:lineRule="atLeast"/>
              <w:rPr>
                <w:rFonts w:ascii="Times New Roman" w:hAnsi="Times New Roman"/>
                <w:szCs w:val="21"/>
              </w:rPr>
            </w:pPr>
          </w:p>
          <w:p w:rsidR="00525419" w:rsidRDefault="00525419">
            <w:pPr>
              <w:spacing w:line="240" w:lineRule="atLeast"/>
              <w:rPr>
                <w:rFonts w:ascii="Times New Roman" w:hAnsi="Times New Roman"/>
                <w:szCs w:val="21"/>
              </w:rPr>
            </w:pPr>
          </w:p>
          <w:p w:rsidR="00525419" w:rsidRDefault="00525419">
            <w:pPr>
              <w:spacing w:line="240" w:lineRule="atLeast"/>
              <w:rPr>
                <w:rFonts w:ascii="Times New Roman" w:hAnsi="Times New Roman"/>
                <w:szCs w:val="21"/>
              </w:rPr>
            </w:pPr>
          </w:p>
          <w:p w:rsidR="00525419" w:rsidRDefault="00525419">
            <w:pPr>
              <w:spacing w:line="240" w:lineRule="atLeast"/>
              <w:rPr>
                <w:rFonts w:ascii="Times New Roman" w:hAnsi="Times New Roman"/>
                <w:szCs w:val="21"/>
              </w:rPr>
            </w:pPr>
          </w:p>
          <w:p w:rsidR="00525419" w:rsidRDefault="00EE1CF7">
            <w:pPr>
              <w:spacing w:line="240" w:lineRule="atLeast"/>
              <w:rPr>
                <w:rFonts w:ascii="Times New Roman" w:hAnsi="Times New Roman"/>
                <w:szCs w:val="21"/>
              </w:rPr>
            </w:pPr>
            <w:r>
              <w:rPr>
                <w:rFonts w:ascii="Times New Roman" w:hAnsi="Times New Roman"/>
                <w:szCs w:val="21"/>
              </w:rPr>
              <w:t>运营期正常工况</w:t>
            </w:r>
          </w:p>
        </w:tc>
        <w:tc>
          <w:tcPr>
            <w:tcW w:w="132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lastRenderedPageBreak/>
              <w:t>环境空气</w:t>
            </w:r>
          </w:p>
        </w:tc>
        <w:tc>
          <w:tcPr>
            <w:tcW w:w="132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r>
              <w:rPr>
                <w:rFonts w:ascii="Times New Roman" w:hAnsi="Times New Roman"/>
                <w:szCs w:val="21"/>
              </w:rPr>
              <w:t>、</w:t>
            </w:r>
            <w:r>
              <w:rPr>
                <w:rFonts w:ascii="Times New Roman" w:hAnsi="Times New Roman"/>
                <w:szCs w:val="21"/>
              </w:rPr>
              <w:t>NOx</w:t>
            </w:r>
            <w:r>
              <w:rPr>
                <w:rFonts w:ascii="Times New Roman" w:hAnsi="Times New Roman"/>
                <w:szCs w:val="21"/>
              </w:rPr>
              <w:t>、颗粒物、烃类等</w:t>
            </w:r>
          </w:p>
        </w:tc>
        <w:tc>
          <w:tcPr>
            <w:tcW w:w="3303"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主要有</w:t>
            </w:r>
            <w:r>
              <w:rPr>
                <w:rFonts w:ascii="Times New Roman" w:hAnsi="Times New Roman" w:hint="eastAsia"/>
                <w:szCs w:val="21"/>
              </w:rPr>
              <w:t>各类加热炉及焚烧炉</w:t>
            </w:r>
            <w:r>
              <w:rPr>
                <w:rFonts w:ascii="Times New Roman" w:hAnsi="Times New Roman"/>
                <w:szCs w:val="21"/>
              </w:rPr>
              <w:t>燃烧烟气、装置</w:t>
            </w:r>
            <w:r>
              <w:rPr>
                <w:rFonts w:ascii="Times New Roman" w:hAnsi="Times New Roman" w:hint="eastAsia"/>
                <w:szCs w:val="21"/>
              </w:rPr>
              <w:t>区</w:t>
            </w:r>
            <w:r>
              <w:rPr>
                <w:rFonts w:ascii="Times New Roman" w:hAnsi="Times New Roman"/>
                <w:szCs w:val="21"/>
              </w:rPr>
              <w:t>泄漏的烃类气体等。此外，原料和产品贮存过程中的逸散、泄露、</w:t>
            </w:r>
            <w:r>
              <w:rPr>
                <w:rFonts w:ascii="Times New Roman" w:hAnsi="Times New Roman" w:hint="eastAsia"/>
                <w:szCs w:val="21"/>
              </w:rPr>
              <w:t>气浮池运行</w:t>
            </w:r>
            <w:r>
              <w:rPr>
                <w:rFonts w:ascii="Times New Roman" w:hAnsi="Times New Roman"/>
                <w:szCs w:val="21"/>
              </w:rPr>
              <w:t>中也会产生</w:t>
            </w:r>
            <w:r>
              <w:rPr>
                <w:rFonts w:ascii="Times New Roman" w:hAnsi="Times New Roman"/>
                <w:szCs w:val="21"/>
              </w:rPr>
              <w:lastRenderedPageBreak/>
              <w:t>发散的恶臭和有害气体等。</w:t>
            </w:r>
          </w:p>
        </w:tc>
        <w:tc>
          <w:tcPr>
            <w:tcW w:w="99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lastRenderedPageBreak/>
              <w:t>--</w:t>
            </w:r>
          </w:p>
        </w:tc>
      </w:tr>
      <w:tr w:rsidR="00525419">
        <w:trPr>
          <w:trHeight w:val="214"/>
          <w:jc w:val="center"/>
        </w:trPr>
        <w:tc>
          <w:tcPr>
            <w:tcW w:w="618" w:type="dxa"/>
            <w:vMerge/>
            <w:tcBorders>
              <w:tl2br w:val="nil"/>
              <w:tr2bl w:val="nil"/>
            </w:tcBorders>
            <w:vAlign w:val="center"/>
          </w:tcPr>
          <w:p w:rsidR="00525419" w:rsidRDefault="00525419">
            <w:pPr>
              <w:spacing w:line="240" w:lineRule="atLeast"/>
              <w:rPr>
                <w:rFonts w:ascii="Times New Roman" w:hAnsi="Times New Roman"/>
                <w:szCs w:val="21"/>
              </w:rPr>
            </w:pPr>
          </w:p>
        </w:tc>
        <w:tc>
          <w:tcPr>
            <w:tcW w:w="966" w:type="dxa"/>
            <w:vMerge/>
            <w:tcBorders>
              <w:tl2br w:val="nil"/>
              <w:tr2bl w:val="nil"/>
            </w:tcBorders>
            <w:vAlign w:val="center"/>
          </w:tcPr>
          <w:p w:rsidR="00525419" w:rsidRDefault="00525419">
            <w:pPr>
              <w:spacing w:line="240" w:lineRule="atLeast"/>
              <w:rPr>
                <w:rFonts w:ascii="Times New Roman" w:hAnsi="Times New Roman"/>
                <w:szCs w:val="21"/>
              </w:rPr>
            </w:pPr>
          </w:p>
        </w:tc>
        <w:tc>
          <w:tcPr>
            <w:tcW w:w="132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声环境</w:t>
            </w:r>
          </w:p>
        </w:tc>
        <w:tc>
          <w:tcPr>
            <w:tcW w:w="132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噪声</w:t>
            </w:r>
          </w:p>
        </w:tc>
        <w:tc>
          <w:tcPr>
            <w:tcW w:w="3303"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机械噪声</w:t>
            </w:r>
          </w:p>
        </w:tc>
        <w:tc>
          <w:tcPr>
            <w:tcW w:w="99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w:t>
            </w:r>
          </w:p>
        </w:tc>
      </w:tr>
      <w:tr w:rsidR="00525419">
        <w:trPr>
          <w:trHeight w:val="1560"/>
          <w:jc w:val="center"/>
        </w:trPr>
        <w:tc>
          <w:tcPr>
            <w:tcW w:w="618" w:type="dxa"/>
            <w:vMerge/>
            <w:tcBorders>
              <w:tl2br w:val="nil"/>
              <w:tr2bl w:val="nil"/>
            </w:tcBorders>
            <w:vAlign w:val="center"/>
          </w:tcPr>
          <w:p w:rsidR="00525419" w:rsidRDefault="00525419">
            <w:pPr>
              <w:spacing w:line="240" w:lineRule="atLeast"/>
              <w:rPr>
                <w:rFonts w:ascii="Times New Roman" w:hAnsi="Times New Roman"/>
                <w:szCs w:val="21"/>
              </w:rPr>
            </w:pPr>
          </w:p>
        </w:tc>
        <w:tc>
          <w:tcPr>
            <w:tcW w:w="966" w:type="dxa"/>
            <w:vMerge/>
            <w:tcBorders>
              <w:tl2br w:val="nil"/>
              <w:tr2bl w:val="nil"/>
            </w:tcBorders>
            <w:vAlign w:val="center"/>
          </w:tcPr>
          <w:p w:rsidR="00525419" w:rsidRDefault="00525419">
            <w:pPr>
              <w:spacing w:line="240" w:lineRule="atLeast"/>
              <w:rPr>
                <w:rFonts w:ascii="Times New Roman" w:hAnsi="Times New Roman"/>
                <w:szCs w:val="21"/>
              </w:rPr>
            </w:pPr>
          </w:p>
        </w:tc>
        <w:tc>
          <w:tcPr>
            <w:tcW w:w="132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水环境</w:t>
            </w:r>
          </w:p>
        </w:tc>
        <w:tc>
          <w:tcPr>
            <w:tcW w:w="132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石油类、硫化物、氨氮、</w:t>
            </w:r>
            <w:r>
              <w:rPr>
                <w:rFonts w:ascii="Times New Roman" w:hAnsi="Times New Roman"/>
                <w:szCs w:val="21"/>
              </w:rPr>
              <w:t>BOD</w:t>
            </w:r>
            <w:r>
              <w:rPr>
                <w:rFonts w:ascii="Times New Roman" w:hAnsi="Times New Roman"/>
                <w:szCs w:val="21"/>
                <w:vertAlign w:val="subscript"/>
              </w:rPr>
              <w:t>5</w:t>
            </w:r>
            <w:r>
              <w:rPr>
                <w:rFonts w:ascii="Times New Roman" w:hAnsi="Times New Roman"/>
                <w:szCs w:val="21"/>
              </w:rPr>
              <w:t>、</w:t>
            </w:r>
            <w:r>
              <w:rPr>
                <w:rFonts w:ascii="Times New Roman" w:hAnsi="Times New Roman"/>
                <w:szCs w:val="21"/>
              </w:rPr>
              <w:t>COD</w:t>
            </w:r>
            <w:r>
              <w:rPr>
                <w:rFonts w:ascii="Times New Roman" w:hAnsi="Times New Roman"/>
                <w:szCs w:val="21"/>
              </w:rPr>
              <w:t>、悬浮物和</w:t>
            </w:r>
            <w:r>
              <w:rPr>
                <w:rFonts w:ascii="Times New Roman" w:hAnsi="Times New Roman"/>
                <w:szCs w:val="21"/>
              </w:rPr>
              <w:t xml:space="preserve">pH </w:t>
            </w:r>
            <w:r>
              <w:rPr>
                <w:rFonts w:ascii="Times New Roman" w:hAnsi="Times New Roman"/>
                <w:szCs w:val="21"/>
              </w:rPr>
              <w:t>值等</w:t>
            </w:r>
          </w:p>
        </w:tc>
        <w:tc>
          <w:tcPr>
            <w:tcW w:w="3303"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厂区产生的酸性污水经汽提装置处理后用于本</w:t>
            </w:r>
            <w:r>
              <w:rPr>
                <w:rFonts w:ascii="Times New Roman" w:hAnsi="Times New Roman" w:hint="eastAsia"/>
                <w:szCs w:val="21"/>
              </w:rPr>
              <w:t>项目工艺注水</w:t>
            </w:r>
            <w:r>
              <w:rPr>
                <w:rFonts w:ascii="Times New Roman" w:hAnsi="Times New Roman"/>
                <w:szCs w:val="21"/>
              </w:rPr>
              <w:t>，含油污水、生活污水及其它废水依托厂区污水处理装置处理后回用，不外排；</w:t>
            </w:r>
            <w:r>
              <w:rPr>
                <w:rFonts w:ascii="Times New Roman" w:hAnsi="Times New Roman"/>
                <w:kern w:val="0"/>
                <w:szCs w:val="21"/>
              </w:rPr>
              <w:t>含盐废水经浓盐水处理装置处理后作为循环水回用；</w:t>
            </w:r>
          </w:p>
        </w:tc>
        <w:tc>
          <w:tcPr>
            <w:tcW w:w="99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w:t>
            </w:r>
          </w:p>
        </w:tc>
      </w:tr>
      <w:tr w:rsidR="00525419">
        <w:trPr>
          <w:trHeight w:val="248"/>
          <w:jc w:val="center"/>
        </w:trPr>
        <w:tc>
          <w:tcPr>
            <w:tcW w:w="618" w:type="dxa"/>
            <w:vMerge w:val="restart"/>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2</w:t>
            </w:r>
          </w:p>
        </w:tc>
        <w:tc>
          <w:tcPr>
            <w:tcW w:w="966" w:type="dxa"/>
            <w:vMerge w:val="restart"/>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运营期风险事故</w:t>
            </w:r>
          </w:p>
        </w:tc>
        <w:tc>
          <w:tcPr>
            <w:tcW w:w="132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空气环境</w:t>
            </w:r>
          </w:p>
        </w:tc>
        <w:tc>
          <w:tcPr>
            <w:tcW w:w="132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r>
              <w:rPr>
                <w:rFonts w:ascii="Times New Roman" w:hAnsi="Times New Roman"/>
                <w:szCs w:val="21"/>
              </w:rPr>
              <w:t>、</w:t>
            </w:r>
            <w:r>
              <w:rPr>
                <w:rFonts w:ascii="Times New Roman" w:hAnsi="Times New Roman"/>
                <w:szCs w:val="21"/>
              </w:rPr>
              <w:t>CO</w:t>
            </w:r>
          </w:p>
        </w:tc>
        <w:tc>
          <w:tcPr>
            <w:tcW w:w="3303"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引起空气污染</w:t>
            </w:r>
          </w:p>
        </w:tc>
        <w:tc>
          <w:tcPr>
            <w:tcW w:w="99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w:t>
            </w:r>
          </w:p>
        </w:tc>
      </w:tr>
      <w:tr w:rsidR="00525419">
        <w:trPr>
          <w:trHeight w:val="359"/>
          <w:jc w:val="center"/>
        </w:trPr>
        <w:tc>
          <w:tcPr>
            <w:tcW w:w="618" w:type="dxa"/>
            <w:vMerge/>
            <w:tcBorders>
              <w:tl2br w:val="nil"/>
              <w:tr2bl w:val="nil"/>
            </w:tcBorders>
            <w:vAlign w:val="center"/>
          </w:tcPr>
          <w:p w:rsidR="00525419" w:rsidRDefault="00525419">
            <w:pPr>
              <w:spacing w:line="240" w:lineRule="atLeast"/>
              <w:rPr>
                <w:rFonts w:ascii="Times New Roman" w:hAnsi="Times New Roman"/>
                <w:szCs w:val="21"/>
              </w:rPr>
            </w:pPr>
          </w:p>
        </w:tc>
        <w:tc>
          <w:tcPr>
            <w:tcW w:w="966" w:type="dxa"/>
            <w:vMerge/>
            <w:tcBorders>
              <w:tl2br w:val="nil"/>
              <w:tr2bl w:val="nil"/>
            </w:tcBorders>
            <w:vAlign w:val="center"/>
          </w:tcPr>
          <w:p w:rsidR="00525419" w:rsidRDefault="00525419">
            <w:pPr>
              <w:spacing w:line="240" w:lineRule="atLeast"/>
              <w:rPr>
                <w:rFonts w:ascii="Times New Roman" w:hAnsi="Times New Roman"/>
                <w:szCs w:val="21"/>
              </w:rPr>
            </w:pPr>
          </w:p>
        </w:tc>
        <w:tc>
          <w:tcPr>
            <w:tcW w:w="132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土壤和地下水</w:t>
            </w:r>
          </w:p>
        </w:tc>
        <w:tc>
          <w:tcPr>
            <w:tcW w:w="132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石油烃</w:t>
            </w:r>
          </w:p>
        </w:tc>
        <w:tc>
          <w:tcPr>
            <w:tcW w:w="3303"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罐区物料泄露事故可能引起土壤</w:t>
            </w:r>
            <w:r>
              <w:rPr>
                <w:rFonts w:ascii="Times New Roman" w:hAnsi="Times New Roman" w:hint="eastAsia"/>
                <w:szCs w:val="21"/>
              </w:rPr>
              <w:t>、</w:t>
            </w:r>
            <w:r>
              <w:rPr>
                <w:rFonts w:ascii="Times New Roman" w:hAnsi="Times New Roman"/>
                <w:szCs w:val="21"/>
              </w:rPr>
              <w:t>地下水污染</w:t>
            </w:r>
          </w:p>
        </w:tc>
        <w:tc>
          <w:tcPr>
            <w:tcW w:w="99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w:t>
            </w:r>
          </w:p>
        </w:tc>
      </w:tr>
      <w:tr w:rsidR="00525419">
        <w:trPr>
          <w:trHeight w:val="194"/>
          <w:jc w:val="center"/>
        </w:trPr>
        <w:tc>
          <w:tcPr>
            <w:tcW w:w="8517" w:type="dxa"/>
            <w:gridSpan w:val="6"/>
            <w:tcBorders>
              <w:tl2br w:val="nil"/>
              <w:tr2bl w:val="nil"/>
            </w:tcBorders>
            <w:vAlign w:val="center"/>
          </w:tcPr>
          <w:p w:rsidR="00525419" w:rsidRDefault="00EE1CF7">
            <w:pPr>
              <w:autoSpaceDE w:val="0"/>
              <w:autoSpaceDN w:val="0"/>
              <w:adjustRightInd w:val="0"/>
              <w:spacing w:line="240" w:lineRule="atLeast"/>
              <w:rPr>
                <w:rFonts w:ascii="Times New Roman" w:hAnsi="Times New Roman"/>
                <w:kern w:val="0"/>
                <w:szCs w:val="21"/>
              </w:rPr>
            </w:pPr>
            <w:r>
              <w:rPr>
                <w:rFonts w:ascii="Times New Roman" w:hAnsi="Times New Roman"/>
                <w:kern w:val="0"/>
                <w:szCs w:val="21"/>
              </w:rPr>
              <w:t>注：</w:t>
            </w:r>
            <w:r>
              <w:rPr>
                <w:rFonts w:ascii="Times New Roman" w:hAnsi="Times New Roman"/>
                <w:kern w:val="0"/>
                <w:szCs w:val="21"/>
              </w:rPr>
              <w:t xml:space="preserve">- </w:t>
            </w:r>
            <w:r>
              <w:rPr>
                <w:rFonts w:ascii="Times New Roman" w:hAnsi="Times New Roman"/>
                <w:kern w:val="0"/>
                <w:szCs w:val="21"/>
              </w:rPr>
              <w:t>表示负效应，</w:t>
            </w:r>
            <w:r>
              <w:rPr>
                <w:rFonts w:ascii="Times New Roman" w:hAnsi="Times New Roman"/>
                <w:kern w:val="0"/>
                <w:szCs w:val="21"/>
              </w:rPr>
              <w:t>+</w:t>
            </w:r>
            <w:r>
              <w:rPr>
                <w:rFonts w:ascii="Times New Roman" w:hAnsi="Times New Roman"/>
                <w:kern w:val="0"/>
                <w:szCs w:val="21"/>
              </w:rPr>
              <w:t>表示正效应；符号随数量的递增，表示影响的程度由大到小。</w:t>
            </w:r>
          </w:p>
        </w:tc>
      </w:tr>
    </w:tbl>
    <w:p w:rsidR="00525419" w:rsidRDefault="00525419">
      <w:pPr>
        <w:rPr>
          <w:rFonts w:ascii="Times New Roman" w:hAnsi="Times New Roman"/>
        </w:rPr>
      </w:pPr>
    </w:p>
    <w:p w:rsidR="00525419" w:rsidRDefault="00EE1CF7">
      <w:pPr>
        <w:pStyle w:val="3a"/>
        <w:spacing w:beforeLines="50" w:before="156" w:after="156" w:line="360" w:lineRule="auto"/>
        <w:jc w:val="left"/>
        <w:rPr>
          <w:rFonts w:ascii="Times New Roman" w:eastAsia="华文楷体" w:hAnsi="Times New Roman"/>
        </w:rPr>
      </w:pPr>
      <w:r>
        <w:rPr>
          <w:rFonts w:ascii="Times New Roman" w:eastAsia="华文楷体" w:hAnsi="Times New Roman"/>
        </w:rPr>
        <w:t>2.2.2</w:t>
      </w:r>
      <w:r>
        <w:rPr>
          <w:rFonts w:ascii="Times New Roman" w:eastAsia="华文楷体" w:hAnsi="Times New Roman"/>
        </w:rPr>
        <w:t>污染因子识别</w:t>
      </w:r>
    </w:p>
    <w:p w:rsidR="00525419" w:rsidRDefault="00EE1CF7">
      <w:pPr>
        <w:spacing w:line="360" w:lineRule="auto"/>
        <w:ind w:firstLineChars="200" w:firstLine="480"/>
        <w:rPr>
          <w:rFonts w:ascii="Times New Roman" w:hAnsi="Times New Roman"/>
          <w:sz w:val="24"/>
        </w:rPr>
      </w:pPr>
      <w:r>
        <w:rPr>
          <w:rFonts w:ascii="Times New Roman" w:hAnsi="Times New Roman"/>
          <w:sz w:val="24"/>
          <w:szCs w:val="24"/>
        </w:rPr>
        <w:t>本项目大气污染物中主要为</w:t>
      </w:r>
      <w:r>
        <w:rPr>
          <w:rFonts w:ascii="Times New Roman" w:hAnsi="Times New Roman" w:hint="eastAsia"/>
          <w:sz w:val="24"/>
          <w:szCs w:val="24"/>
        </w:rPr>
        <w:t>转化炉、加热炉、焚烧炉</w:t>
      </w:r>
      <w:r>
        <w:rPr>
          <w:rFonts w:ascii="Times New Roman" w:hAnsi="Times New Roman"/>
          <w:sz w:val="24"/>
          <w:szCs w:val="24"/>
        </w:rPr>
        <w:t>燃烧</w:t>
      </w:r>
      <w:r>
        <w:rPr>
          <w:rFonts w:ascii="Times New Roman" w:hAnsi="Times New Roman" w:hint="eastAsia"/>
          <w:sz w:val="24"/>
          <w:szCs w:val="24"/>
        </w:rPr>
        <w:t>尾气</w:t>
      </w:r>
      <w:r>
        <w:rPr>
          <w:rFonts w:ascii="Times New Roman" w:hAnsi="Times New Roman"/>
          <w:sz w:val="24"/>
          <w:szCs w:val="24"/>
        </w:rPr>
        <w:t>中的</w:t>
      </w:r>
      <w:r>
        <w:rPr>
          <w:rFonts w:ascii="Times New Roman" w:hAnsi="Times New Roman"/>
          <w:sz w:val="24"/>
          <w:szCs w:val="24"/>
        </w:rPr>
        <w:t>SO</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sz w:val="24"/>
          <w:szCs w:val="24"/>
        </w:rPr>
        <w:t>NOx</w:t>
      </w:r>
      <w:r>
        <w:rPr>
          <w:rFonts w:ascii="Times New Roman" w:hAnsi="Times New Roman"/>
          <w:sz w:val="24"/>
          <w:szCs w:val="24"/>
        </w:rPr>
        <w:t>和颗粒物；装置</w:t>
      </w:r>
      <w:r>
        <w:rPr>
          <w:rFonts w:ascii="Times New Roman" w:hAnsi="Times New Roman" w:hint="eastAsia"/>
          <w:sz w:val="24"/>
          <w:szCs w:val="24"/>
        </w:rPr>
        <w:t>区、储罐区</w:t>
      </w:r>
      <w:r>
        <w:rPr>
          <w:rFonts w:ascii="Times New Roman" w:hAnsi="Times New Roman"/>
          <w:sz w:val="24"/>
          <w:szCs w:val="24"/>
        </w:rPr>
        <w:t>逸散泄露的</w:t>
      </w:r>
      <w:r>
        <w:rPr>
          <w:rFonts w:ascii="Times New Roman" w:hAnsi="Times New Roman" w:hint="eastAsia"/>
          <w:sz w:val="24"/>
          <w:szCs w:val="24"/>
        </w:rPr>
        <w:t>无组织</w:t>
      </w:r>
      <w:r>
        <w:rPr>
          <w:rFonts w:ascii="Times New Roman" w:hAnsi="Times New Roman"/>
          <w:sz w:val="24"/>
          <w:szCs w:val="24"/>
        </w:rPr>
        <w:t>VOCs</w:t>
      </w:r>
      <w:r>
        <w:rPr>
          <w:rFonts w:ascii="Times New Roman" w:hAnsi="Times New Roman"/>
          <w:sz w:val="24"/>
          <w:szCs w:val="24"/>
        </w:rPr>
        <w:t>。本项目废水主要含油污水、</w:t>
      </w:r>
      <w:r>
        <w:rPr>
          <w:rFonts w:ascii="Times New Roman" w:hAnsi="Times New Roman" w:hint="eastAsia"/>
          <w:sz w:val="24"/>
          <w:szCs w:val="24"/>
        </w:rPr>
        <w:t>含硫废水</w:t>
      </w:r>
      <w:r>
        <w:rPr>
          <w:rFonts w:ascii="Times New Roman" w:hAnsi="Times New Roman"/>
          <w:sz w:val="24"/>
          <w:szCs w:val="24"/>
        </w:rPr>
        <w:t>、生活污水及其他废水，废水主要污染物为是石油类、硫化物、氨氮、</w:t>
      </w:r>
      <w:r>
        <w:rPr>
          <w:rFonts w:ascii="Times New Roman" w:hAnsi="Times New Roman"/>
          <w:sz w:val="24"/>
          <w:szCs w:val="24"/>
        </w:rPr>
        <w:t>BOD</w:t>
      </w:r>
      <w:r>
        <w:rPr>
          <w:rFonts w:ascii="Times New Roman" w:hAnsi="Times New Roman"/>
          <w:sz w:val="24"/>
          <w:szCs w:val="24"/>
          <w:vertAlign w:val="subscript"/>
        </w:rPr>
        <w:t>5</w:t>
      </w:r>
      <w:r>
        <w:rPr>
          <w:rFonts w:ascii="Times New Roman" w:hAnsi="Times New Roman"/>
          <w:sz w:val="24"/>
          <w:szCs w:val="24"/>
        </w:rPr>
        <w:t>、</w:t>
      </w:r>
      <w:r>
        <w:rPr>
          <w:rFonts w:ascii="Times New Roman" w:hAnsi="Times New Roman"/>
          <w:sz w:val="24"/>
          <w:szCs w:val="24"/>
        </w:rPr>
        <w:t>COD</w:t>
      </w:r>
      <w:r>
        <w:rPr>
          <w:rFonts w:ascii="Times New Roman" w:hAnsi="Times New Roman"/>
          <w:sz w:val="24"/>
          <w:szCs w:val="24"/>
        </w:rPr>
        <w:t>、悬浮物和</w:t>
      </w:r>
      <w:r>
        <w:rPr>
          <w:rFonts w:ascii="Times New Roman" w:hAnsi="Times New Roman"/>
          <w:sz w:val="24"/>
          <w:szCs w:val="24"/>
        </w:rPr>
        <w:t xml:space="preserve">pH </w:t>
      </w:r>
      <w:r>
        <w:rPr>
          <w:rFonts w:ascii="Times New Roman" w:hAnsi="Times New Roman"/>
          <w:sz w:val="24"/>
          <w:szCs w:val="24"/>
        </w:rPr>
        <w:t>值等。固体废物主要为废加氢催化剂、废脱氯剂、废脱硫剂、</w:t>
      </w:r>
      <w:r>
        <w:rPr>
          <w:rFonts w:ascii="Times New Roman" w:hAnsi="Times New Roman"/>
          <w:sz w:val="24"/>
          <w:szCs w:val="24"/>
          <w:lang w:val="zh-CN"/>
        </w:rPr>
        <w:t>废催化剂、废吸附剂、</w:t>
      </w:r>
      <w:r>
        <w:rPr>
          <w:rFonts w:ascii="Times New Roman" w:hAnsi="Times New Roman"/>
          <w:sz w:val="24"/>
          <w:szCs w:val="24"/>
        </w:rPr>
        <w:t>废保护剂、</w:t>
      </w:r>
      <w:r>
        <w:rPr>
          <w:rFonts w:ascii="Times New Roman" w:hAnsi="Times New Roman"/>
          <w:sz w:val="24"/>
          <w:szCs w:val="24"/>
          <w:lang w:val="zh-CN"/>
        </w:rPr>
        <w:t>废瓷球</w:t>
      </w:r>
      <w:r>
        <w:rPr>
          <w:rFonts w:ascii="Times New Roman" w:hAnsi="Times New Roman"/>
          <w:sz w:val="24"/>
          <w:szCs w:val="24"/>
        </w:rPr>
        <w:t>、废活性炭等。</w:t>
      </w:r>
      <w:r>
        <w:rPr>
          <w:rFonts w:ascii="Times New Roman" w:hAnsi="Times New Roman"/>
          <w:sz w:val="24"/>
        </w:rPr>
        <w:t>本项目主要噪声源包括各类机泵、压缩机、空冷器及其驱动设备，如电机等，还有</w:t>
      </w:r>
      <w:r>
        <w:rPr>
          <w:rFonts w:ascii="Times New Roman" w:hAnsi="Times New Roman" w:hint="eastAsia"/>
          <w:sz w:val="24"/>
        </w:rPr>
        <w:t>各类加热炉</w:t>
      </w:r>
      <w:r>
        <w:rPr>
          <w:rFonts w:ascii="Times New Roman" w:hAnsi="Times New Roman"/>
          <w:sz w:val="24"/>
        </w:rPr>
        <w:t>、调节阀和各种放空设施，其噪声强度多在</w:t>
      </w:r>
      <w:r>
        <w:rPr>
          <w:rFonts w:ascii="Times New Roman" w:hAnsi="Times New Roman"/>
          <w:sz w:val="24"/>
        </w:rPr>
        <w:t>85</w:t>
      </w:r>
      <w:r>
        <w:rPr>
          <w:rFonts w:ascii="Times New Roman" w:hAnsi="Times New Roman"/>
          <w:sz w:val="24"/>
        </w:rPr>
        <w:t>～</w:t>
      </w:r>
      <w:r>
        <w:rPr>
          <w:rFonts w:ascii="Times New Roman" w:hAnsi="Times New Roman"/>
          <w:sz w:val="24"/>
        </w:rPr>
        <w:t>100dB(A)</w:t>
      </w:r>
      <w:r>
        <w:rPr>
          <w:rFonts w:ascii="Times New Roman" w:hAnsi="Times New Roman"/>
          <w:sz w:val="24"/>
        </w:rPr>
        <w:t>。</w:t>
      </w:r>
    </w:p>
    <w:p w:rsidR="00525419" w:rsidRDefault="00EE1CF7" w:rsidP="00EE1CF7">
      <w:pPr>
        <w:autoSpaceDE w:val="0"/>
        <w:autoSpaceDN w:val="0"/>
        <w:adjustRightInd w:val="0"/>
        <w:spacing w:line="360" w:lineRule="auto"/>
        <w:ind w:firstLineChars="182" w:firstLine="437"/>
        <w:rPr>
          <w:rFonts w:ascii="Times New Roman" w:hAnsi="Times New Roman"/>
          <w:sz w:val="24"/>
        </w:rPr>
      </w:pPr>
      <w:r>
        <w:rPr>
          <w:rFonts w:ascii="Times New Roman" w:hAnsi="Times New Roman"/>
          <w:sz w:val="24"/>
          <w:lang w:val="zh-CN"/>
        </w:rPr>
        <w:t>根据以上分析，本项目环境污染因子识别结果见表</w:t>
      </w:r>
      <w:r>
        <w:rPr>
          <w:rFonts w:ascii="Times New Roman" w:hAnsi="Times New Roman"/>
          <w:sz w:val="24"/>
        </w:rPr>
        <w:t>2.2-2</w:t>
      </w:r>
      <w:r>
        <w:rPr>
          <w:rFonts w:ascii="Times New Roman" w:hAnsi="Times New Roman"/>
          <w:sz w:val="24"/>
          <w:lang w:val="zh-CN"/>
        </w:rPr>
        <w:t>。</w:t>
      </w:r>
    </w:p>
    <w:p w:rsidR="00525419" w:rsidRDefault="00EE1CF7">
      <w:pPr>
        <w:autoSpaceDE w:val="0"/>
        <w:autoSpaceDN w:val="0"/>
        <w:adjustRightInd w:val="0"/>
        <w:spacing w:line="240" w:lineRule="atLeast"/>
        <w:ind w:firstLineChars="790" w:firstLine="1659"/>
        <w:rPr>
          <w:rFonts w:ascii="Times New Roman" w:eastAsia="黑体" w:hAnsi="Times New Roman"/>
          <w:szCs w:val="21"/>
          <w:lang w:val="zh-CN"/>
        </w:rPr>
      </w:pPr>
      <w:r>
        <w:rPr>
          <w:rFonts w:ascii="Times New Roman" w:eastAsia="黑体" w:hAnsi="Times New Roman"/>
          <w:szCs w:val="21"/>
          <w:lang w:val="zh-CN"/>
        </w:rPr>
        <w:t>表</w:t>
      </w:r>
      <w:r>
        <w:rPr>
          <w:rFonts w:ascii="Times New Roman" w:eastAsia="黑体" w:hAnsi="Times New Roman"/>
          <w:szCs w:val="21"/>
          <w:lang w:val="zh-CN"/>
        </w:rPr>
        <w:t>2.2-2</w:t>
      </w:r>
      <w:r>
        <w:rPr>
          <w:rFonts w:ascii="Times New Roman" w:eastAsia="黑体" w:hAnsi="Times New Roman"/>
          <w:szCs w:val="21"/>
          <w:lang w:val="zh-CN"/>
        </w:rPr>
        <w:t xml:space="preserve">　　　　污染因子识别表</w:t>
      </w:r>
    </w:p>
    <w:tbl>
      <w:tblPr>
        <w:tblW w:w="8647"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054"/>
        <w:gridCol w:w="1788"/>
        <w:gridCol w:w="1921"/>
        <w:gridCol w:w="2533"/>
        <w:gridCol w:w="1351"/>
      </w:tblGrid>
      <w:tr w:rsidR="00525419">
        <w:trPr>
          <w:trHeight w:val="211"/>
          <w:jc w:val="center"/>
        </w:trPr>
        <w:tc>
          <w:tcPr>
            <w:tcW w:w="1054"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污染类别</w:t>
            </w:r>
          </w:p>
        </w:tc>
        <w:tc>
          <w:tcPr>
            <w:tcW w:w="1788"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工序</w:t>
            </w:r>
          </w:p>
        </w:tc>
        <w:tc>
          <w:tcPr>
            <w:tcW w:w="192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产污节点</w:t>
            </w:r>
          </w:p>
        </w:tc>
        <w:tc>
          <w:tcPr>
            <w:tcW w:w="2533"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主要污染物</w:t>
            </w:r>
          </w:p>
        </w:tc>
        <w:tc>
          <w:tcPr>
            <w:tcW w:w="135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源型</w:t>
            </w:r>
          </w:p>
        </w:tc>
      </w:tr>
      <w:tr w:rsidR="00525419">
        <w:trPr>
          <w:trHeight w:val="201"/>
          <w:jc w:val="center"/>
        </w:trPr>
        <w:tc>
          <w:tcPr>
            <w:tcW w:w="1054" w:type="dxa"/>
            <w:vMerge w:val="restart"/>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大气</w:t>
            </w:r>
          </w:p>
          <w:p w:rsidR="00525419" w:rsidRDefault="00EE1CF7">
            <w:pPr>
              <w:spacing w:line="240" w:lineRule="atLeast"/>
              <w:jc w:val="center"/>
              <w:rPr>
                <w:rFonts w:ascii="Times New Roman" w:hAnsi="Times New Roman"/>
                <w:szCs w:val="21"/>
              </w:rPr>
            </w:pPr>
            <w:r>
              <w:rPr>
                <w:rFonts w:ascii="Times New Roman" w:hAnsi="Times New Roman"/>
                <w:szCs w:val="21"/>
              </w:rPr>
              <w:t>污染</w:t>
            </w:r>
          </w:p>
        </w:tc>
        <w:tc>
          <w:tcPr>
            <w:tcW w:w="1788"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hint="eastAsia"/>
                <w:szCs w:val="21"/>
              </w:rPr>
              <w:t>制氢装置</w:t>
            </w:r>
          </w:p>
        </w:tc>
        <w:tc>
          <w:tcPr>
            <w:tcW w:w="1921" w:type="dxa"/>
            <w:tcBorders>
              <w:tl2br w:val="nil"/>
              <w:tr2bl w:val="nil"/>
            </w:tcBorders>
            <w:vAlign w:val="center"/>
          </w:tcPr>
          <w:p w:rsidR="00525419" w:rsidRDefault="00EE1CF7">
            <w:pPr>
              <w:autoSpaceDE w:val="0"/>
              <w:autoSpaceDN w:val="0"/>
              <w:adjustRightInd w:val="0"/>
              <w:spacing w:line="240" w:lineRule="atLeast"/>
              <w:jc w:val="center"/>
              <w:rPr>
                <w:rFonts w:ascii="Times New Roman" w:hAnsi="Times New Roman"/>
                <w:szCs w:val="21"/>
              </w:rPr>
            </w:pPr>
            <w:r>
              <w:rPr>
                <w:rFonts w:ascii="Times New Roman" w:hAnsi="Times New Roman" w:hint="eastAsia"/>
                <w:szCs w:val="21"/>
              </w:rPr>
              <w:t>转化炉</w:t>
            </w:r>
          </w:p>
        </w:tc>
        <w:tc>
          <w:tcPr>
            <w:tcW w:w="2533"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烟尘、</w:t>
            </w:r>
            <w:r>
              <w:rPr>
                <w:rFonts w:ascii="Times New Roman" w:hAnsi="Times New Roman"/>
                <w:szCs w:val="21"/>
              </w:rPr>
              <w:t>SO</w:t>
            </w:r>
            <w:r>
              <w:rPr>
                <w:rFonts w:ascii="Times New Roman" w:hAnsi="Times New Roman"/>
                <w:szCs w:val="21"/>
                <w:vertAlign w:val="subscript"/>
              </w:rPr>
              <w:t>2</w:t>
            </w:r>
            <w:r>
              <w:rPr>
                <w:rFonts w:ascii="Times New Roman" w:hAnsi="Times New Roman"/>
                <w:szCs w:val="21"/>
              </w:rPr>
              <w:t>、</w:t>
            </w:r>
            <w:r>
              <w:rPr>
                <w:rFonts w:ascii="Times New Roman" w:hAnsi="Times New Roman"/>
                <w:szCs w:val="21"/>
              </w:rPr>
              <w:t>NOx</w:t>
            </w:r>
          </w:p>
        </w:tc>
        <w:tc>
          <w:tcPr>
            <w:tcW w:w="135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点源</w:t>
            </w:r>
          </w:p>
        </w:tc>
      </w:tr>
      <w:tr w:rsidR="00525419">
        <w:trPr>
          <w:trHeight w:val="201"/>
          <w:jc w:val="center"/>
        </w:trPr>
        <w:tc>
          <w:tcPr>
            <w:tcW w:w="1054"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788"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hint="eastAsia"/>
                <w:szCs w:val="21"/>
              </w:rPr>
              <w:t>加氢装置</w:t>
            </w:r>
          </w:p>
        </w:tc>
        <w:tc>
          <w:tcPr>
            <w:tcW w:w="1921" w:type="dxa"/>
            <w:tcBorders>
              <w:tl2br w:val="nil"/>
              <w:tr2bl w:val="nil"/>
            </w:tcBorders>
            <w:vAlign w:val="center"/>
          </w:tcPr>
          <w:p w:rsidR="00525419" w:rsidRDefault="00EE1CF7">
            <w:pPr>
              <w:autoSpaceDE w:val="0"/>
              <w:autoSpaceDN w:val="0"/>
              <w:adjustRightInd w:val="0"/>
              <w:spacing w:line="240" w:lineRule="atLeast"/>
              <w:jc w:val="center"/>
              <w:rPr>
                <w:rFonts w:ascii="Times New Roman" w:hAnsi="Times New Roman"/>
                <w:szCs w:val="21"/>
              </w:rPr>
            </w:pPr>
            <w:r>
              <w:rPr>
                <w:rFonts w:ascii="Times New Roman" w:hAnsi="Times New Roman"/>
                <w:szCs w:val="21"/>
              </w:rPr>
              <w:t>加热炉</w:t>
            </w:r>
          </w:p>
        </w:tc>
        <w:tc>
          <w:tcPr>
            <w:tcW w:w="2533"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烟尘、</w:t>
            </w:r>
            <w:r>
              <w:rPr>
                <w:rFonts w:ascii="Times New Roman" w:hAnsi="Times New Roman"/>
                <w:szCs w:val="21"/>
              </w:rPr>
              <w:t>SO</w:t>
            </w:r>
            <w:r>
              <w:rPr>
                <w:rFonts w:ascii="Times New Roman" w:hAnsi="Times New Roman"/>
                <w:szCs w:val="21"/>
                <w:vertAlign w:val="subscript"/>
              </w:rPr>
              <w:t>2</w:t>
            </w:r>
            <w:r>
              <w:rPr>
                <w:rFonts w:ascii="Times New Roman" w:hAnsi="Times New Roman"/>
                <w:szCs w:val="21"/>
              </w:rPr>
              <w:t>、</w:t>
            </w:r>
            <w:r>
              <w:rPr>
                <w:rFonts w:ascii="Times New Roman" w:hAnsi="Times New Roman"/>
                <w:szCs w:val="21"/>
              </w:rPr>
              <w:t>NOx</w:t>
            </w:r>
          </w:p>
        </w:tc>
        <w:tc>
          <w:tcPr>
            <w:tcW w:w="135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点源</w:t>
            </w:r>
          </w:p>
        </w:tc>
      </w:tr>
      <w:tr w:rsidR="00525419">
        <w:trPr>
          <w:trHeight w:val="330"/>
          <w:jc w:val="center"/>
        </w:trPr>
        <w:tc>
          <w:tcPr>
            <w:tcW w:w="1054"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788"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硫磺回收</w:t>
            </w:r>
            <w:r>
              <w:rPr>
                <w:rFonts w:ascii="Times New Roman" w:hAnsi="Times New Roman" w:hint="eastAsia"/>
                <w:szCs w:val="21"/>
              </w:rPr>
              <w:t>装置</w:t>
            </w:r>
          </w:p>
        </w:tc>
        <w:tc>
          <w:tcPr>
            <w:tcW w:w="1921" w:type="dxa"/>
            <w:tcBorders>
              <w:tl2br w:val="nil"/>
              <w:tr2bl w:val="nil"/>
            </w:tcBorders>
            <w:vAlign w:val="center"/>
          </w:tcPr>
          <w:p w:rsidR="00525419" w:rsidRDefault="00EE1CF7">
            <w:pPr>
              <w:autoSpaceDE w:val="0"/>
              <w:autoSpaceDN w:val="0"/>
              <w:adjustRightInd w:val="0"/>
              <w:spacing w:line="240" w:lineRule="atLeast"/>
              <w:jc w:val="center"/>
              <w:rPr>
                <w:rFonts w:ascii="Times New Roman" w:hAnsi="Times New Roman"/>
                <w:szCs w:val="21"/>
              </w:rPr>
            </w:pPr>
            <w:r>
              <w:rPr>
                <w:rFonts w:ascii="Times New Roman" w:hAnsi="Times New Roman"/>
                <w:szCs w:val="21"/>
              </w:rPr>
              <w:t>焚烧炉</w:t>
            </w:r>
          </w:p>
        </w:tc>
        <w:tc>
          <w:tcPr>
            <w:tcW w:w="2533"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烟尘、</w:t>
            </w:r>
            <w:r>
              <w:rPr>
                <w:rFonts w:ascii="Times New Roman" w:hAnsi="Times New Roman"/>
                <w:szCs w:val="21"/>
              </w:rPr>
              <w:t>SO</w:t>
            </w:r>
            <w:r>
              <w:rPr>
                <w:rFonts w:ascii="Times New Roman" w:hAnsi="Times New Roman"/>
                <w:szCs w:val="21"/>
                <w:vertAlign w:val="subscript"/>
              </w:rPr>
              <w:t>2</w:t>
            </w:r>
            <w:r>
              <w:rPr>
                <w:rFonts w:ascii="Times New Roman" w:hAnsi="Times New Roman"/>
                <w:szCs w:val="21"/>
              </w:rPr>
              <w:t>、</w:t>
            </w:r>
            <w:r>
              <w:rPr>
                <w:rFonts w:ascii="Times New Roman" w:hAnsi="Times New Roman"/>
                <w:szCs w:val="21"/>
              </w:rPr>
              <w:t>NOx</w:t>
            </w:r>
          </w:p>
        </w:tc>
        <w:tc>
          <w:tcPr>
            <w:tcW w:w="135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点源</w:t>
            </w:r>
          </w:p>
        </w:tc>
      </w:tr>
      <w:tr w:rsidR="00525419">
        <w:trPr>
          <w:trHeight w:val="551"/>
          <w:jc w:val="center"/>
        </w:trPr>
        <w:tc>
          <w:tcPr>
            <w:tcW w:w="1054"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788"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hint="eastAsia"/>
                <w:szCs w:val="21"/>
              </w:rPr>
              <w:t>罐区和装置区</w:t>
            </w:r>
          </w:p>
        </w:tc>
        <w:tc>
          <w:tcPr>
            <w:tcW w:w="192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hint="eastAsia"/>
                <w:szCs w:val="21"/>
              </w:rPr>
              <w:t>罐区和装置区</w:t>
            </w:r>
            <w:r>
              <w:rPr>
                <w:rFonts w:ascii="Times New Roman" w:hAnsi="Times New Roman"/>
                <w:szCs w:val="21"/>
              </w:rPr>
              <w:t>无组织排放</w:t>
            </w:r>
          </w:p>
        </w:tc>
        <w:tc>
          <w:tcPr>
            <w:tcW w:w="2533"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VOCs</w:t>
            </w:r>
            <w:r>
              <w:rPr>
                <w:rFonts w:ascii="Times New Roman" w:hAnsi="Times New Roman"/>
                <w:szCs w:val="21"/>
              </w:rPr>
              <w:t>（以非甲烷总烃计）</w:t>
            </w:r>
          </w:p>
        </w:tc>
        <w:tc>
          <w:tcPr>
            <w:tcW w:w="135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面源</w:t>
            </w:r>
          </w:p>
        </w:tc>
      </w:tr>
      <w:tr w:rsidR="00525419">
        <w:trPr>
          <w:trHeight w:val="90"/>
          <w:jc w:val="center"/>
        </w:trPr>
        <w:tc>
          <w:tcPr>
            <w:tcW w:w="1054" w:type="dxa"/>
            <w:vMerge w:val="restart"/>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水污</w:t>
            </w:r>
          </w:p>
          <w:p w:rsidR="00525419" w:rsidRDefault="00EE1CF7">
            <w:pPr>
              <w:spacing w:line="240" w:lineRule="atLeast"/>
              <w:jc w:val="center"/>
              <w:rPr>
                <w:rFonts w:ascii="Times New Roman" w:hAnsi="Times New Roman"/>
                <w:szCs w:val="21"/>
              </w:rPr>
            </w:pPr>
            <w:r>
              <w:rPr>
                <w:rFonts w:ascii="Times New Roman" w:hAnsi="Times New Roman"/>
                <w:szCs w:val="21"/>
              </w:rPr>
              <w:t>染物</w:t>
            </w:r>
          </w:p>
        </w:tc>
        <w:tc>
          <w:tcPr>
            <w:tcW w:w="1788"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油罐切水</w:t>
            </w:r>
          </w:p>
        </w:tc>
        <w:tc>
          <w:tcPr>
            <w:tcW w:w="1921" w:type="dxa"/>
            <w:tcBorders>
              <w:tl2br w:val="nil"/>
              <w:tr2bl w:val="nil"/>
            </w:tcBorders>
            <w:vAlign w:val="center"/>
          </w:tcPr>
          <w:p w:rsidR="00525419" w:rsidRDefault="00EE1CF7">
            <w:pPr>
              <w:autoSpaceDE w:val="0"/>
              <w:autoSpaceDN w:val="0"/>
              <w:adjustRightInd w:val="0"/>
              <w:jc w:val="center"/>
              <w:rPr>
                <w:rFonts w:ascii="Times New Roman" w:hAnsi="Times New Roman"/>
                <w:szCs w:val="21"/>
              </w:rPr>
            </w:pPr>
            <w:r>
              <w:rPr>
                <w:rFonts w:ascii="Times New Roman" w:hAnsi="Times New Roman" w:hint="eastAsia"/>
                <w:szCs w:val="21"/>
              </w:rPr>
              <w:t>含油废水</w:t>
            </w:r>
          </w:p>
        </w:tc>
        <w:tc>
          <w:tcPr>
            <w:tcW w:w="2533"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COD</w:t>
            </w:r>
            <w:r>
              <w:rPr>
                <w:rFonts w:ascii="Times New Roman" w:hAnsi="Times New Roman"/>
                <w:szCs w:val="21"/>
              </w:rPr>
              <w:t>、</w:t>
            </w:r>
            <w:r>
              <w:rPr>
                <w:rFonts w:ascii="Times New Roman" w:hAnsi="Times New Roman"/>
                <w:szCs w:val="21"/>
              </w:rPr>
              <w:t>pH</w:t>
            </w:r>
            <w:r>
              <w:rPr>
                <w:rFonts w:ascii="Times New Roman" w:hAnsi="Times New Roman"/>
                <w:szCs w:val="21"/>
              </w:rPr>
              <w:t>、石油类和</w:t>
            </w:r>
            <w:r>
              <w:rPr>
                <w:rFonts w:ascii="Times New Roman" w:hAnsi="Times New Roman"/>
                <w:szCs w:val="21"/>
              </w:rPr>
              <w:t>SS</w:t>
            </w:r>
            <w:r>
              <w:rPr>
                <w:rFonts w:ascii="Times New Roman" w:hAnsi="Times New Roman"/>
                <w:szCs w:val="21"/>
              </w:rPr>
              <w:t>等</w:t>
            </w:r>
          </w:p>
        </w:tc>
        <w:tc>
          <w:tcPr>
            <w:tcW w:w="135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hint="eastAsia"/>
                <w:szCs w:val="21"/>
              </w:rPr>
              <w:t>进入污水处理站</w:t>
            </w:r>
          </w:p>
        </w:tc>
      </w:tr>
      <w:tr w:rsidR="00525419">
        <w:trPr>
          <w:trHeight w:val="90"/>
          <w:jc w:val="center"/>
        </w:trPr>
        <w:tc>
          <w:tcPr>
            <w:tcW w:w="1054"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788"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hint="eastAsia"/>
                <w:szCs w:val="21"/>
              </w:rPr>
              <w:t>循环水定期排污</w:t>
            </w:r>
          </w:p>
        </w:tc>
        <w:tc>
          <w:tcPr>
            <w:tcW w:w="1921" w:type="dxa"/>
            <w:tcBorders>
              <w:tl2br w:val="nil"/>
              <w:tr2bl w:val="nil"/>
            </w:tcBorders>
            <w:vAlign w:val="center"/>
          </w:tcPr>
          <w:p w:rsidR="00525419" w:rsidRDefault="00EE1CF7">
            <w:pPr>
              <w:autoSpaceDE w:val="0"/>
              <w:autoSpaceDN w:val="0"/>
              <w:adjustRightInd w:val="0"/>
              <w:jc w:val="center"/>
              <w:rPr>
                <w:rFonts w:ascii="Times New Roman" w:hAnsi="Times New Roman"/>
                <w:szCs w:val="21"/>
              </w:rPr>
            </w:pPr>
            <w:r>
              <w:rPr>
                <w:rFonts w:ascii="Times New Roman" w:hAnsi="Times New Roman" w:hint="eastAsia"/>
                <w:szCs w:val="21"/>
              </w:rPr>
              <w:t>清净下水</w:t>
            </w:r>
          </w:p>
        </w:tc>
        <w:tc>
          <w:tcPr>
            <w:tcW w:w="2533" w:type="dxa"/>
            <w:tcBorders>
              <w:tl2br w:val="nil"/>
              <w:tr2bl w:val="nil"/>
            </w:tcBorders>
            <w:vAlign w:val="center"/>
          </w:tcPr>
          <w:p w:rsidR="00525419" w:rsidRDefault="00525419">
            <w:pPr>
              <w:spacing w:line="240" w:lineRule="atLeast"/>
              <w:jc w:val="center"/>
              <w:rPr>
                <w:rFonts w:ascii="Times New Roman" w:hAnsi="Times New Roman"/>
                <w:szCs w:val="21"/>
              </w:rPr>
            </w:pPr>
          </w:p>
        </w:tc>
        <w:tc>
          <w:tcPr>
            <w:tcW w:w="135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hint="eastAsia"/>
                <w:szCs w:val="21"/>
              </w:rPr>
              <w:t>进入污水处理站</w:t>
            </w:r>
          </w:p>
        </w:tc>
      </w:tr>
      <w:tr w:rsidR="00525419">
        <w:trPr>
          <w:trHeight w:val="135"/>
          <w:jc w:val="center"/>
        </w:trPr>
        <w:tc>
          <w:tcPr>
            <w:tcW w:w="1054"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788"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高低压分离器、回流罐等</w:t>
            </w:r>
          </w:p>
        </w:tc>
        <w:tc>
          <w:tcPr>
            <w:tcW w:w="192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hint="eastAsia"/>
                <w:szCs w:val="21"/>
              </w:rPr>
              <w:t>含硫废水</w:t>
            </w:r>
          </w:p>
        </w:tc>
        <w:tc>
          <w:tcPr>
            <w:tcW w:w="2533"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石油类、硫化物、氨氮、</w:t>
            </w:r>
            <w:r>
              <w:rPr>
                <w:rFonts w:ascii="Times New Roman" w:hAnsi="Times New Roman"/>
                <w:szCs w:val="21"/>
              </w:rPr>
              <w:t>BOD</w:t>
            </w:r>
            <w:r>
              <w:rPr>
                <w:rFonts w:ascii="Times New Roman" w:hAnsi="Times New Roman"/>
                <w:szCs w:val="21"/>
                <w:vertAlign w:val="subscript"/>
              </w:rPr>
              <w:t>5</w:t>
            </w:r>
            <w:r>
              <w:rPr>
                <w:rFonts w:ascii="Times New Roman" w:hAnsi="Times New Roman"/>
                <w:szCs w:val="21"/>
              </w:rPr>
              <w:t>、</w:t>
            </w:r>
            <w:r>
              <w:rPr>
                <w:rFonts w:ascii="Times New Roman" w:hAnsi="Times New Roman"/>
                <w:szCs w:val="21"/>
              </w:rPr>
              <w:t>COD</w:t>
            </w:r>
            <w:r>
              <w:rPr>
                <w:rFonts w:ascii="Times New Roman" w:hAnsi="Times New Roman"/>
                <w:szCs w:val="21"/>
              </w:rPr>
              <w:t>、悬浮物和</w:t>
            </w:r>
            <w:r>
              <w:rPr>
                <w:rFonts w:ascii="Times New Roman" w:hAnsi="Times New Roman"/>
                <w:szCs w:val="21"/>
              </w:rPr>
              <w:t xml:space="preserve">pH </w:t>
            </w:r>
            <w:r>
              <w:rPr>
                <w:rFonts w:ascii="Times New Roman" w:hAnsi="Times New Roman"/>
                <w:szCs w:val="21"/>
              </w:rPr>
              <w:t>值</w:t>
            </w:r>
          </w:p>
        </w:tc>
        <w:tc>
          <w:tcPr>
            <w:tcW w:w="135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进入酸性水汽提装置</w:t>
            </w:r>
          </w:p>
        </w:tc>
      </w:tr>
      <w:tr w:rsidR="00525419">
        <w:trPr>
          <w:trHeight w:val="135"/>
          <w:jc w:val="center"/>
        </w:trPr>
        <w:tc>
          <w:tcPr>
            <w:tcW w:w="1054"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788"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脱盐水站</w:t>
            </w:r>
          </w:p>
        </w:tc>
        <w:tc>
          <w:tcPr>
            <w:tcW w:w="192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hint="eastAsia"/>
                <w:szCs w:val="21"/>
              </w:rPr>
              <w:t>含盐废水</w:t>
            </w:r>
          </w:p>
        </w:tc>
        <w:tc>
          <w:tcPr>
            <w:tcW w:w="2533"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COD</w:t>
            </w:r>
            <w:r>
              <w:rPr>
                <w:rFonts w:ascii="Times New Roman" w:hAnsi="Times New Roman"/>
                <w:szCs w:val="21"/>
              </w:rPr>
              <w:t>、</w:t>
            </w:r>
            <w:r>
              <w:rPr>
                <w:rFonts w:ascii="Times New Roman" w:hAnsi="Times New Roman"/>
                <w:szCs w:val="21"/>
              </w:rPr>
              <w:t>TDS</w:t>
            </w:r>
          </w:p>
        </w:tc>
        <w:tc>
          <w:tcPr>
            <w:tcW w:w="135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hint="eastAsia"/>
                <w:szCs w:val="21"/>
              </w:rPr>
              <w:t>进入浓盐水</w:t>
            </w:r>
            <w:r>
              <w:rPr>
                <w:rFonts w:ascii="Times New Roman" w:hAnsi="Times New Roman" w:hint="eastAsia"/>
                <w:szCs w:val="21"/>
              </w:rPr>
              <w:lastRenderedPageBreak/>
              <w:t>处理装置</w:t>
            </w:r>
          </w:p>
        </w:tc>
      </w:tr>
      <w:tr w:rsidR="00525419">
        <w:trPr>
          <w:trHeight w:val="581"/>
          <w:jc w:val="center"/>
        </w:trPr>
        <w:tc>
          <w:tcPr>
            <w:tcW w:w="1054"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788"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生活人员</w:t>
            </w:r>
          </w:p>
        </w:tc>
        <w:tc>
          <w:tcPr>
            <w:tcW w:w="1921" w:type="dxa"/>
            <w:tcBorders>
              <w:tl2br w:val="nil"/>
              <w:tr2bl w:val="nil"/>
            </w:tcBorders>
            <w:vAlign w:val="center"/>
          </w:tcPr>
          <w:p w:rsidR="00525419" w:rsidRDefault="00EE1CF7">
            <w:pPr>
              <w:spacing w:line="240" w:lineRule="atLeast"/>
              <w:jc w:val="center"/>
              <w:rPr>
                <w:rFonts w:ascii="Times New Roman" w:hAnsi="Times New Roman"/>
                <w:kern w:val="0"/>
                <w:sz w:val="20"/>
                <w:szCs w:val="20"/>
              </w:rPr>
            </w:pPr>
            <w:r>
              <w:rPr>
                <w:rFonts w:ascii="Times New Roman" w:hAnsi="Times New Roman" w:hint="eastAsia"/>
                <w:kern w:val="0"/>
                <w:sz w:val="20"/>
                <w:szCs w:val="20"/>
              </w:rPr>
              <w:t>生活污水</w:t>
            </w:r>
          </w:p>
        </w:tc>
        <w:tc>
          <w:tcPr>
            <w:tcW w:w="2533"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COD</w:t>
            </w:r>
            <w:r>
              <w:rPr>
                <w:rFonts w:ascii="Times New Roman" w:hAnsi="Times New Roman"/>
                <w:szCs w:val="21"/>
              </w:rPr>
              <w:t>、</w:t>
            </w:r>
            <w:r>
              <w:rPr>
                <w:rFonts w:ascii="Times New Roman" w:hAnsi="Times New Roman"/>
                <w:szCs w:val="21"/>
              </w:rPr>
              <w:t>BOD</w:t>
            </w:r>
            <w:r>
              <w:rPr>
                <w:rFonts w:ascii="Times New Roman" w:hAnsi="Times New Roman"/>
                <w:szCs w:val="21"/>
                <w:vertAlign w:val="subscript"/>
              </w:rPr>
              <w:t>5</w:t>
            </w:r>
            <w:r>
              <w:rPr>
                <w:rFonts w:ascii="Times New Roman" w:hAnsi="Times New Roman"/>
                <w:szCs w:val="21"/>
              </w:rPr>
              <w:t>、</w:t>
            </w:r>
            <w:r>
              <w:rPr>
                <w:rFonts w:ascii="Times New Roman" w:hAnsi="Times New Roman"/>
                <w:szCs w:val="21"/>
              </w:rPr>
              <w:t>pH</w:t>
            </w:r>
            <w:r>
              <w:rPr>
                <w:rFonts w:ascii="Times New Roman" w:hAnsi="Times New Roman"/>
                <w:szCs w:val="21"/>
              </w:rPr>
              <w:t>、</w:t>
            </w:r>
            <w:r>
              <w:rPr>
                <w:rFonts w:ascii="Times New Roman" w:hAnsi="Times New Roman"/>
                <w:szCs w:val="21"/>
              </w:rPr>
              <w:t xml:space="preserve">SS </w:t>
            </w:r>
            <w:r>
              <w:rPr>
                <w:rFonts w:ascii="Times New Roman" w:hAnsi="Times New Roman"/>
                <w:szCs w:val="21"/>
              </w:rPr>
              <w:t>、</w:t>
            </w:r>
            <w:r>
              <w:rPr>
                <w:rFonts w:ascii="Times New Roman" w:hAnsi="Times New Roman"/>
                <w:szCs w:val="21"/>
              </w:rPr>
              <w:t>NH</w:t>
            </w:r>
            <w:r>
              <w:rPr>
                <w:rFonts w:ascii="Times New Roman" w:hAnsi="Times New Roman"/>
                <w:szCs w:val="21"/>
                <w:vertAlign w:val="subscript"/>
              </w:rPr>
              <w:t>3</w:t>
            </w:r>
            <w:r>
              <w:rPr>
                <w:rFonts w:ascii="Times New Roman" w:hAnsi="Times New Roman"/>
                <w:szCs w:val="21"/>
              </w:rPr>
              <w:t>-N</w:t>
            </w:r>
          </w:p>
        </w:tc>
        <w:tc>
          <w:tcPr>
            <w:tcW w:w="135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hint="eastAsia"/>
                <w:szCs w:val="21"/>
              </w:rPr>
              <w:t>进入污水处理站</w:t>
            </w:r>
          </w:p>
        </w:tc>
      </w:tr>
      <w:tr w:rsidR="00525419">
        <w:trPr>
          <w:trHeight w:val="90"/>
          <w:jc w:val="center"/>
        </w:trPr>
        <w:tc>
          <w:tcPr>
            <w:tcW w:w="1054" w:type="dxa"/>
            <w:vMerge w:val="restart"/>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固体</w:t>
            </w:r>
          </w:p>
          <w:p w:rsidR="00525419" w:rsidRDefault="00EE1CF7">
            <w:pPr>
              <w:spacing w:line="240" w:lineRule="atLeast"/>
              <w:jc w:val="center"/>
              <w:rPr>
                <w:rFonts w:ascii="Times New Roman" w:hAnsi="Times New Roman"/>
                <w:szCs w:val="21"/>
              </w:rPr>
            </w:pPr>
            <w:r>
              <w:rPr>
                <w:rFonts w:ascii="Times New Roman" w:hAnsi="Times New Roman"/>
                <w:szCs w:val="21"/>
              </w:rPr>
              <w:t>废物</w:t>
            </w:r>
          </w:p>
        </w:tc>
        <w:tc>
          <w:tcPr>
            <w:tcW w:w="1788" w:type="dxa"/>
            <w:vMerge w:val="restart"/>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生产装置及罐区</w:t>
            </w:r>
          </w:p>
        </w:tc>
        <w:tc>
          <w:tcPr>
            <w:tcW w:w="1921" w:type="dxa"/>
            <w:vMerge w:val="restart"/>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塔、釜、罐等装置</w:t>
            </w:r>
          </w:p>
        </w:tc>
        <w:tc>
          <w:tcPr>
            <w:tcW w:w="2533"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废加氢催化剂、废脱氯剂、废脱硫剂、</w:t>
            </w:r>
            <w:r>
              <w:rPr>
                <w:rFonts w:ascii="Times New Roman" w:hAnsi="Times New Roman"/>
                <w:szCs w:val="21"/>
                <w:lang w:val="zh-CN"/>
              </w:rPr>
              <w:t>废催化剂、</w:t>
            </w:r>
            <w:r>
              <w:rPr>
                <w:rFonts w:ascii="Times New Roman" w:hAnsi="Times New Roman"/>
                <w:szCs w:val="21"/>
              </w:rPr>
              <w:t>废保护剂、废活性炭、浮渣、油泥等</w:t>
            </w:r>
          </w:p>
        </w:tc>
        <w:tc>
          <w:tcPr>
            <w:tcW w:w="135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危险废物</w:t>
            </w:r>
          </w:p>
        </w:tc>
      </w:tr>
      <w:tr w:rsidR="00525419">
        <w:trPr>
          <w:trHeight w:val="90"/>
          <w:jc w:val="center"/>
        </w:trPr>
        <w:tc>
          <w:tcPr>
            <w:tcW w:w="1054"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788"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921"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2533"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lang w:val="zh-CN"/>
              </w:rPr>
              <w:t>废瓷球</w:t>
            </w:r>
            <w:r>
              <w:rPr>
                <w:rFonts w:ascii="Times New Roman" w:hAnsi="Times New Roman"/>
                <w:szCs w:val="21"/>
              </w:rPr>
              <w:t>、</w:t>
            </w:r>
            <w:r>
              <w:rPr>
                <w:rFonts w:ascii="Times New Roman" w:hAnsi="Times New Roman"/>
                <w:szCs w:val="21"/>
                <w:lang w:val="zh-CN"/>
              </w:rPr>
              <w:t>废吸附剂</w:t>
            </w:r>
          </w:p>
        </w:tc>
        <w:tc>
          <w:tcPr>
            <w:tcW w:w="135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一般工业固体废物</w:t>
            </w:r>
          </w:p>
        </w:tc>
      </w:tr>
      <w:tr w:rsidR="00525419">
        <w:trPr>
          <w:trHeight w:val="477"/>
          <w:jc w:val="center"/>
        </w:trPr>
        <w:tc>
          <w:tcPr>
            <w:tcW w:w="1054"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788"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生活人员</w:t>
            </w:r>
          </w:p>
        </w:tc>
        <w:tc>
          <w:tcPr>
            <w:tcW w:w="192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w:t>
            </w:r>
          </w:p>
        </w:tc>
        <w:tc>
          <w:tcPr>
            <w:tcW w:w="2533"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生活垃圾</w:t>
            </w:r>
          </w:p>
        </w:tc>
        <w:tc>
          <w:tcPr>
            <w:tcW w:w="135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w:t>
            </w:r>
          </w:p>
        </w:tc>
      </w:tr>
      <w:tr w:rsidR="00525419">
        <w:trPr>
          <w:trHeight w:val="468"/>
          <w:jc w:val="center"/>
        </w:trPr>
        <w:tc>
          <w:tcPr>
            <w:tcW w:w="1054"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噪声</w:t>
            </w:r>
          </w:p>
        </w:tc>
        <w:tc>
          <w:tcPr>
            <w:tcW w:w="1788"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w:t>
            </w:r>
          </w:p>
        </w:tc>
        <w:tc>
          <w:tcPr>
            <w:tcW w:w="192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各种机械和空气动力</w:t>
            </w:r>
          </w:p>
        </w:tc>
        <w:tc>
          <w:tcPr>
            <w:tcW w:w="2533"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等效</w:t>
            </w:r>
            <w:r>
              <w:rPr>
                <w:rFonts w:ascii="Times New Roman" w:hAnsi="Times New Roman"/>
                <w:szCs w:val="21"/>
              </w:rPr>
              <w:t>A</w:t>
            </w:r>
            <w:r>
              <w:rPr>
                <w:rFonts w:ascii="Times New Roman" w:hAnsi="Times New Roman"/>
                <w:szCs w:val="21"/>
              </w:rPr>
              <w:t>声级</w:t>
            </w:r>
          </w:p>
        </w:tc>
        <w:tc>
          <w:tcPr>
            <w:tcW w:w="135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机械噪声和空气动力性噪声</w:t>
            </w:r>
          </w:p>
        </w:tc>
      </w:tr>
    </w:tbl>
    <w:p w:rsidR="00525419" w:rsidRDefault="00EE1CF7">
      <w:pPr>
        <w:pStyle w:val="3a"/>
        <w:spacing w:beforeLines="50" w:before="156" w:after="156" w:line="360" w:lineRule="auto"/>
        <w:jc w:val="left"/>
        <w:rPr>
          <w:rFonts w:ascii="Times New Roman" w:eastAsia="华文楷体" w:hAnsi="Times New Roman"/>
        </w:rPr>
      </w:pPr>
      <w:bookmarkStart w:id="18" w:name="_Toc404864558"/>
      <w:r>
        <w:rPr>
          <w:rFonts w:ascii="Times New Roman" w:eastAsia="华文楷体" w:hAnsi="Times New Roman"/>
        </w:rPr>
        <w:t>2.2.3</w:t>
      </w:r>
      <w:r>
        <w:rPr>
          <w:rFonts w:ascii="Times New Roman" w:eastAsia="华文楷体" w:hAnsi="Times New Roman"/>
        </w:rPr>
        <w:t>环境影响评价因子筛选</w:t>
      </w:r>
      <w:bookmarkEnd w:id="18"/>
    </w:p>
    <w:p w:rsidR="00525419" w:rsidRDefault="00EE1CF7">
      <w:pPr>
        <w:tabs>
          <w:tab w:val="left" w:pos="540"/>
        </w:tabs>
        <w:adjustRightInd w:val="0"/>
        <w:snapToGrid w:val="0"/>
        <w:spacing w:line="360" w:lineRule="auto"/>
        <w:ind w:firstLine="480"/>
        <w:rPr>
          <w:rFonts w:ascii="Times New Roman" w:hAnsi="Times New Roman"/>
          <w:sz w:val="24"/>
        </w:rPr>
      </w:pPr>
      <w:r>
        <w:rPr>
          <w:rFonts w:ascii="Times New Roman" w:hAnsi="Times New Roman"/>
          <w:sz w:val="24"/>
        </w:rPr>
        <w:t>根据工程分析和环境影响要素识别，结合各环境要素现状特征，确定了各环境要素的评价因子，筛选结果列于表</w:t>
      </w:r>
      <w:r>
        <w:rPr>
          <w:rFonts w:ascii="Times New Roman" w:hAnsi="Times New Roman"/>
          <w:sz w:val="24"/>
        </w:rPr>
        <w:t>2.2-3</w:t>
      </w:r>
      <w:r>
        <w:rPr>
          <w:rFonts w:ascii="Times New Roman" w:hAnsi="Times New Roman"/>
          <w:sz w:val="24"/>
        </w:rPr>
        <w:t>。</w:t>
      </w:r>
    </w:p>
    <w:p w:rsidR="00525419" w:rsidRDefault="00EE1CF7">
      <w:pPr>
        <w:spacing w:line="240" w:lineRule="atLeast"/>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2.2-3 </w:t>
      </w:r>
      <w:r>
        <w:rPr>
          <w:rFonts w:ascii="Times New Roman" w:eastAsia="黑体" w:hAnsi="Times New Roman"/>
          <w:szCs w:val="21"/>
        </w:rPr>
        <w:t>项目环境影响评价因子筛选结果</w:t>
      </w:r>
    </w:p>
    <w:tbl>
      <w:tblPr>
        <w:tblW w:w="85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75"/>
        <w:gridCol w:w="1389"/>
        <w:gridCol w:w="1219"/>
        <w:gridCol w:w="5239"/>
      </w:tblGrid>
      <w:tr w:rsidR="00525419">
        <w:trPr>
          <w:trHeight w:val="268"/>
        </w:trPr>
        <w:tc>
          <w:tcPr>
            <w:tcW w:w="675" w:type="dxa"/>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序号</w:t>
            </w:r>
          </w:p>
        </w:tc>
        <w:tc>
          <w:tcPr>
            <w:tcW w:w="1389" w:type="dxa"/>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环境要素</w:t>
            </w:r>
          </w:p>
        </w:tc>
        <w:tc>
          <w:tcPr>
            <w:tcW w:w="1219" w:type="dxa"/>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评价专题</w:t>
            </w:r>
          </w:p>
        </w:tc>
        <w:tc>
          <w:tcPr>
            <w:tcW w:w="5239" w:type="dxa"/>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评价因子</w:t>
            </w:r>
          </w:p>
        </w:tc>
      </w:tr>
      <w:tr w:rsidR="00525419">
        <w:tc>
          <w:tcPr>
            <w:tcW w:w="675" w:type="dxa"/>
            <w:vMerge w:val="restart"/>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1</w:t>
            </w:r>
          </w:p>
        </w:tc>
        <w:tc>
          <w:tcPr>
            <w:tcW w:w="1389" w:type="dxa"/>
            <w:vMerge w:val="restart"/>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环境空气</w:t>
            </w:r>
          </w:p>
        </w:tc>
        <w:tc>
          <w:tcPr>
            <w:tcW w:w="1219" w:type="dxa"/>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现状评价</w:t>
            </w:r>
          </w:p>
        </w:tc>
        <w:tc>
          <w:tcPr>
            <w:tcW w:w="5239" w:type="dxa"/>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r>
              <w:rPr>
                <w:rFonts w:ascii="Times New Roman" w:hAnsi="Times New Roman"/>
                <w:szCs w:val="21"/>
              </w:rPr>
              <w:t>、</w:t>
            </w:r>
            <w:r>
              <w:rPr>
                <w:rFonts w:ascii="Times New Roman" w:hAnsi="Times New Roman"/>
                <w:szCs w:val="21"/>
              </w:rPr>
              <w:t>SO</w:t>
            </w:r>
            <w:r>
              <w:rPr>
                <w:rFonts w:ascii="Times New Roman" w:hAnsi="Times New Roman"/>
                <w:szCs w:val="21"/>
                <w:vertAlign w:val="subscript"/>
              </w:rPr>
              <w:t>2</w:t>
            </w:r>
            <w:r>
              <w:rPr>
                <w:rFonts w:ascii="Times New Roman" w:hAnsi="Times New Roman"/>
                <w:szCs w:val="21"/>
              </w:rPr>
              <w:t>、</w:t>
            </w:r>
            <w:r>
              <w:rPr>
                <w:rFonts w:ascii="Times New Roman" w:hAnsi="Times New Roman"/>
                <w:szCs w:val="21"/>
              </w:rPr>
              <w:t>NO</w:t>
            </w:r>
            <w:r>
              <w:rPr>
                <w:rFonts w:ascii="Times New Roman" w:hAnsi="Times New Roman"/>
                <w:szCs w:val="21"/>
                <w:vertAlign w:val="subscript"/>
              </w:rPr>
              <w:t>2</w:t>
            </w:r>
            <w:r>
              <w:rPr>
                <w:rFonts w:ascii="Times New Roman" w:hAnsi="Times New Roman"/>
                <w:szCs w:val="21"/>
              </w:rPr>
              <w:t>、</w:t>
            </w:r>
            <w:r>
              <w:rPr>
                <w:rFonts w:ascii="Times New Roman" w:hAnsi="Times New Roman"/>
                <w:szCs w:val="21"/>
              </w:rPr>
              <w:t>PM</w:t>
            </w:r>
            <w:r>
              <w:rPr>
                <w:rFonts w:ascii="Times New Roman" w:hAnsi="Times New Roman"/>
                <w:szCs w:val="21"/>
                <w:vertAlign w:val="subscript"/>
              </w:rPr>
              <w:t>2.5</w:t>
            </w:r>
            <w:r>
              <w:rPr>
                <w:rFonts w:ascii="Times New Roman" w:hAnsi="Times New Roman"/>
                <w:szCs w:val="21"/>
              </w:rPr>
              <w:t>、</w:t>
            </w:r>
            <w:r>
              <w:rPr>
                <w:rFonts w:ascii="Times New Roman" w:hAnsi="Times New Roman"/>
                <w:szCs w:val="21"/>
              </w:rPr>
              <w:t>CO</w:t>
            </w:r>
            <w:r>
              <w:rPr>
                <w:rFonts w:ascii="Times New Roman" w:hAnsi="Times New Roman"/>
                <w:szCs w:val="21"/>
              </w:rPr>
              <w:t>、</w:t>
            </w:r>
            <w:r>
              <w:rPr>
                <w:rFonts w:ascii="Times New Roman" w:hAnsi="Times New Roman"/>
                <w:szCs w:val="21"/>
              </w:rPr>
              <w:t>O</w:t>
            </w:r>
            <w:r>
              <w:rPr>
                <w:rFonts w:ascii="Times New Roman" w:hAnsi="Times New Roman"/>
                <w:szCs w:val="21"/>
                <w:vertAlign w:val="subscript"/>
              </w:rPr>
              <w:t>3</w:t>
            </w:r>
            <w:r>
              <w:rPr>
                <w:rFonts w:ascii="Times New Roman" w:hAnsi="Times New Roman"/>
                <w:szCs w:val="21"/>
              </w:rPr>
              <w:t>、非甲烷总烃、</w:t>
            </w: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S</w:t>
            </w:r>
            <w:r>
              <w:rPr>
                <w:rFonts w:ascii="Times New Roman" w:hAnsi="Times New Roman"/>
                <w:szCs w:val="21"/>
              </w:rPr>
              <w:t>、氨</w:t>
            </w:r>
          </w:p>
        </w:tc>
      </w:tr>
      <w:tr w:rsidR="00525419">
        <w:trPr>
          <w:trHeight w:val="90"/>
        </w:trPr>
        <w:tc>
          <w:tcPr>
            <w:tcW w:w="675" w:type="dxa"/>
            <w:vMerge/>
            <w:tcBorders>
              <w:tl2br w:val="nil"/>
              <w:tr2bl w:val="nil"/>
            </w:tcBorders>
            <w:vAlign w:val="center"/>
          </w:tcPr>
          <w:p w:rsidR="00525419" w:rsidRDefault="00525419">
            <w:pPr>
              <w:adjustRightInd w:val="0"/>
              <w:snapToGrid w:val="0"/>
              <w:jc w:val="center"/>
              <w:textAlignment w:val="center"/>
              <w:rPr>
                <w:rFonts w:ascii="Times New Roman" w:hAnsi="Times New Roman"/>
                <w:szCs w:val="21"/>
              </w:rPr>
            </w:pPr>
          </w:p>
        </w:tc>
        <w:tc>
          <w:tcPr>
            <w:tcW w:w="1389" w:type="dxa"/>
            <w:vMerge/>
            <w:tcBorders>
              <w:tl2br w:val="nil"/>
              <w:tr2bl w:val="nil"/>
            </w:tcBorders>
            <w:vAlign w:val="center"/>
          </w:tcPr>
          <w:p w:rsidR="00525419" w:rsidRDefault="00525419">
            <w:pPr>
              <w:adjustRightInd w:val="0"/>
              <w:snapToGrid w:val="0"/>
              <w:jc w:val="center"/>
              <w:textAlignment w:val="center"/>
              <w:rPr>
                <w:rFonts w:ascii="Times New Roman" w:hAnsi="Times New Roman"/>
                <w:szCs w:val="21"/>
              </w:rPr>
            </w:pPr>
          </w:p>
        </w:tc>
        <w:tc>
          <w:tcPr>
            <w:tcW w:w="1219" w:type="dxa"/>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预测评价</w:t>
            </w:r>
          </w:p>
        </w:tc>
        <w:tc>
          <w:tcPr>
            <w:tcW w:w="5239" w:type="dxa"/>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r>
              <w:rPr>
                <w:rFonts w:ascii="Times New Roman" w:hAnsi="Times New Roman"/>
                <w:szCs w:val="21"/>
              </w:rPr>
              <w:t>、</w:t>
            </w:r>
            <w:r>
              <w:rPr>
                <w:rFonts w:ascii="Times New Roman" w:hAnsi="Times New Roman"/>
                <w:szCs w:val="21"/>
              </w:rPr>
              <w:t>SO</w:t>
            </w:r>
            <w:r>
              <w:rPr>
                <w:rFonts w:ascii="Times New Roman" w:hAnsi="Times New Roman"/>
                <w:szCs w:val="21"/>
                <w:vertAlign w:val="subscript"/>
              </w:rPr>
              <w:t>2</w:t>
            </w:r>
            <w:r>
              <w:rPr>
                <w:rFonts w:ascii="Times New Roman" w:hAnsi="Times New Roman"/>
                <w:szCs w:val="21"/>
              </w:rPr>
              <w:t>、</w:t>
            </w:r>
            <w:r>
              <w:rPr>
                <w:rFonts w:ascii="Times New Roman" w:hAnsi="Times New Roman"/>
                <w:szCs w:val="21"/>
              </w:rPr>
              <w:t>NO</w:t>
            </w:r>
            <w:r>
              <w:rPr>
                <w:rFonts w:ascii="Times New Roman" w:hAnsi="Times New Roman"/>
                <w:szCs w:val="21"/>
                <w:vertAlign w:val="subscript"/>
              </w:rPr>
              <w:t>x</w:t>
            </w:r>
            <w:r>
              <w:rPr>
                <w:rFonts w:ascii="Times New Roman" w:hAnsi="Times New Roman"/>
                <w:szCs w:val="21"/>
              </w:rPr>
              <w:t>和非甲烷总烃</w:t>
            </w:r>
          </w:p>
        </w:tc>
      </w:tr>
      <w:tr w:rsidR="00525419">
        <w:trPr>
          <w:trHeight w:val="157"/>
        </w:trPr>
        <w:tc>
          <w:tcPr>
            <w:tcW w:w="675" w:type="dxa"/>
            <w:vMerge w:val="restart"/>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2</w:t>
            </w:r>
          </w:p>
        </w:tc>
        <w:tc>
          <w:tcPr>
            <w:tcW w:w="1389" w:type="dxa"/>
            <w:vMerge w:val="restart"/>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地下水环境</w:t>
            </w:r>
          </w:p>
        </w:tc>
        <w:tc>
          <w:tcPr>
            <w:tcW w:w="1219" w:type="dxa"/>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现状评价</w:t>
            </w:r>
          </w:p>
        </w:tc>
        <w:tc>
          <w:tcPr>
            <w:tcW w:w="5239" w:type="dxa"/>
            <w:tcBorders>
              <w:tl2br w:val="nil"/>
              <w:tr2bl w:val="nil"/>
            </w:tcBorders>
            <w:vAlign w:val="center"/>
          </w:tcPr>
          <w:p w:rsidR="00525419" w:rsidRDefault="00EE1CF7">
            <w:pPr>
              <w:adjustRightInd w:val="0"/>
              <w:snapToGrid w:val="0"/>
              <w:spacing w:line="240" w:lineRule="exact"/>
              <w:jc w:val="center"/>
              <w:textAlignment w:val="center"/>
              <w:rPr>
                <w:rFonts w:ascii="Times New Roman" w:hAnsi="Times New Roman"/>
                <w:szCs w:val="21"/>
              </w:rPr>
            </w:pPr>
            <w:r>
              <w:rPr>
                <w:rFonts w:ascii="Times New Roman" w:hAnsi="Times New Roman"/>
                <w:kern w:val="0"/>
                <w:szCs w:val="21"/>
              </w:rPr>
              <w:t>pH</w:t>
            </w:r>
            <w:r>
              <w:rPr>
                <w:rFonts w:ascii="Times New Roman" w:hAnsi="Times New Roman"/>
                <w:kern w:val="0"/>
                <w:szCs w:val="21"/>
              </w:rPr>
              <w:t>、氨氮、硝酸盐、亚硝酸盐、挥发性酚类、氰化物、砷、汞、铬（六价）、总硬度、铅、氟、镉、铁、锰、溶解性总固体、高锰酸盐指数、硫酸盐、氯化物、总大肠菌群、石油类</w:t>
            </w:r>
          </w:p>
        </w:tc>
      </w:tr>
      <w:tr w:rsidR="00525419">
        <w:trPr>
          <w:trHeight w:val="90"/>
        </w:trPr>
        <w:tc>
          <w:tcPr>
            <w:tcW w:w="675" w:type="dxa"/>
            <w:vMerge/>
            <w:tcBorders>
              <w:tl2br w:val="nil"/>
              <w:tr2bl w:val="nil"/>
            </w:tcBorders>
            <w:vAlign w:val="center"/>
          </w:tcPr>
          <w:p w:rsidR="00525419" w:rsidRDefault="00525419">
            <w:pPr>
              <w:ind w:leftChars="200" w:left="420"/>
              <w:jc w:val="center"/>
              <w:rPr>
                <w:rFonts w:ascii="Times New Roman" w:hAnsi="Times New Roman"/>
              </w:rPr>
            </w:pPr>
          </w:p>
        </w:tc>
        <w:tc>
          <w:tcPr>
            <w:tcW w:w="1389" w:type="dxa"/>
            <w:vMerge/>
            <w:tcBorders>
              <w:tl2br w:val="nil"/>
              <w:tr2bl w:val="nil"/>
            </w:tcBorders>
            <w:vAlign w:val="center"/>
          </w:tcPr>
          <w:p w:rsidR="00525419" w:rsidRDefault="00525419">
            <w:pPr>
              <w:ind w:leftChars="200" w:left="420"/>
              <w:jc w:val="center"/>
              <w:rPr>
                <w:rFonts w:ascii="Times New Roman" w:hAnsi="Times New Roman"/>
              </w:rPr>
            </w:pPr>
          </w:p>
        </w:tc>
        <w:tc>
          <w:tcPr>
            <w:tcW w:w="1219" w:type="dxa"/>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预测评价</w:t>
            </w:r>
          </w:p>
        </w:tc>
        <w:tc>
          <w:tcPr>
            <w:tcW w:w="5239" w:type="dxa"/>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石油类</w:t>
            </w:r>
          </w:p>
        </w:tc>
      </w:tr>
      <w:tr w:rsidR="00525419">
        <w:tc>
          <w:tcPr>
            <w:tcW w:w="675" w:type="dxa"/>
            <w:vMerge w:val="restart"/>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3</w:t>
            </w:r>
          </w:p>
        </w:tc>
        <w:tc>
          <w:tcPr>
            <w:tcW w:w="1389" w:type="dxa"/>
            <w:vMerge w:val="restart"/>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声环境</w:t>
            </w:r>
          </w:p>
        </w:tc>
        <w:tc>
          <w:tcPr>
            <w:tcW w:w="1219" w:type="dxa"/>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现状评价</w:t>
            </w:r>
          </w:p>
        </w:tc>
        <w:tc>
          <w:tcPr>
            <w:tcW w:w="5239" w:type="dxa"/>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连续等效</w:t>
            </w:r>
            <w:r>
              <w:rPr>
                <w:rFonts w:ascii="Times New Roman" w:hAnsi="Times New Roman"/>
                <w:szCs w:val="21"/>
              </w:rPr>
              <w:t>A</w:t>
            </w:r>
            <w:r>
              <w:rPr>
                <w:rFonts w:ascii="Times New Roman" w:hAnsi="Times New Roman"/>
                <w:szCs w:val="21"/>
              </w:rPr>
              <w:t>声级</w:t>
            </w:r>
          </w:p>
        </w:tc>
      </w:tr>
      <w:tr w:rsidR="00525419">
        <w:trPr>
          <w:trHeight w:val="210"/>
        </w:trPr>
        <w:tc>
          <w:tcPr>
            <w:tcW w:w="675" w:type="dxa"/>
            <w:vMerge/>
            <w:tcBorders>
              <w:tl2br w:val="nil"/>
              <w:tr2bl w:val="nil"/>
            </w:tcBorders>
            <w:vAlign w:val="center"/>
          </w:tcPr>
          <w:p w:rsidR="00525419" w:rsidRDefault="00525419">
            <w:pPr>
              <w:adjustRightInd w:val="0"/>
              <w:snapToGrid w:val="0"/>
              <w:jc w:val="center"/>
              <w:textAlignment w:val="center"/>
              <w:rPr>
                <w:rFonts w:ascii="Times New Roman" w:hAnsi="Times New Roman"/>
                <w:szCs w:val="21"/>
              </w:rPr>
            </w:pPr>
          </w:p>
        </w:tc>
        <w:tc>
          <w:tcPr>
            <w:tcW w:w="1389" w:type="dxa"/>
            <w:vMerge/>
            <w:tcBorders>
              <w:tl2br w:val="nil"/>
              <w:tr2bl w:val="nil"/>
            </w:tcBorders>
            <w:vAlign w:val="center"/>
          </w:tcPr>
          <w:p w:rsidR="00525419" w:rsidRDefault="00525419">
            <w:pPr>
              <w:adjustRightInd w:val="0"/>
              <w:snapToGrid w:val="0"/>
              <w:jc w:val="center"/>
              <w:textAlignment w:val="center"/>
              <w:rPr>
                <w:rFonts w:ascii="Times New Roman" w:hAnsi="Times New Roman"/>
                <w:szCs w:val="21"/>
              </w:rPr>
            </w:pPr>
          </w:p>
        </w:tc>
        <w:tc>
          <w:tcPr>
            <w:tcW w:w="1219" w:type="dxa"/>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预测评价</w:t>
            </w:r>
          </w:p>
        </w:tc>
        <w:tc>
          <w:tcPr>
            <w:tcW w:w="5239" w:type="dxa"/>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连续等效</w:t>
            </w:r>
            <w:r>
              <w:rPr>
                <w:rFonts w:ascii="Times New Roman" w:hAnsi="Times New Roman"/>
                <w:szCs w:val="21"/>
              </w:rPr>
              <w:t>A</w:t>
            </w:r>
            <w:r>
              <w:rPr>
                <w:rFonts w:ascii="Times New Roman" w:hAnsi="Times New Roman"/>
                <w:szCs w:val="21"/>
              </w:rPr>
              <w:t>声级</w:t>
            </w:r>
          </w:p>
        </w:tc>
      </w:tr>
      <w:tr w:rsidR="00525419">
        <w:trPr>
          <w:trHeight w:val="274"/>
        </w:trPr>
        <w:tc>
          <w:tcPr>
            <w:tcW w:w="675" w:type="dxa"/>
            <w:vMerge w:val="restart"/>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4</w:t>
            </w:r>
          </w:p>
        </w:tc>
        <w:tc>
          <w:tcPr>
            <w:tcW w:w="1389" w:type="dxa"/>
            <w:vMerge w:val="restart"/>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土壤环境</w:t>
            </w:r>
          </w:p>
        </w:tc>
        <w:tc>
          <w:tcPr>
            <w:tcW w:w="1219" w:type="dxa"/>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现状评价</w:t>
            </w:r>
          </w:p>
        </w:tc>
        <w:tc>
          <w:tcPr>
            <w:tcW w:w="5239" w:type="dxa"/>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rPr>
              <w:t>砷、镉、铬（六价）、铜、铅、汞、镍、苯、甲苯、乙苯、间二甲苯</w:t>
            </w:r>
            <w:r>
              <w:rPr>
                <w:rFonts w:ascii="Times New Roman" w:hAnsi="Times New Roman"/>
              </w:rPr>
              <w:t>+</w:t>
            </w:r>
            <w:r>
              <w:rPr>
                <w:rFonts w:ascii="Times New Roman" w:hAnsi="Times New Roman"/>
              </w:rPr>
              <w:t>对二甲苯、邻二甲苯、苯胺等</w:t>
            </w:r>
            <w:r>
              <w:rPr>
                <w:rFonts w:ascii="Times New Roman" w:hAnsi="Times New Roman"/>
              </w:rPr>
              <w:t>45</w:t>
            </w:r>
            <w:r>
              <w:rPr>
                <w:rFonts w:ascii="Times New Roman" w:hAnsi="Times New Roman"/>
              </w:rPr>
              <w:t>项和石油烃（</w:t>
            </w:r>
            <w:r>
              <w:rPr>
                <w:rFonts w:ascii="Times New Roman" w:hAnsi="Times New Roman"/>
              </w:rPr>
              <w:t>C</w:t>
            </w:r>
            <w:r>
              <w:rPr>
                <w:rFonts w:ascii="Times New Roman" w:hAnsi="Times New Roman"/>
                <w:vertAlign w:val="subscript"/>
              </w:rPr>
              <w:t>10</w:t>
            </w:r>
            <w:r>
              <w:rPr>
                <w:rFonts w:ascii="Times New Roman" w:hAnsi="Times New Roman"/>
              </w:rPr>
              <w:t>-C</w:t>
            </w:r>
            <w:r>
              <w:rPr>
                <w:rFonts w:ascii="Times New Roman" w:hAnsi="Times New Roman"/>
                <w:vertAlign w:val="subscript"/>
              </w:rPr>
              <w:t>40</w:t>
            </w:r>
            <w:r>
              <w:rPr>
                <w:rFonts w:ascii="Times New Roman" w:hAnsi="Times New Roman"/>
              </w:rPr>
              <w:t>）</w:t>
            </w:r>
          </w:p>
        </w:tc>
      </w:tr>
      <w:tr w:rsidR="00525419">
        <w:trPr>
          <w:trHeight w:val="210"/>
        </w:trPr>
        <w:tc>
          <w:tcPr>
            <w:tcW w:w="675" w:type="dxa"/>
            <w:vMerge/>
            <w:tcBorders>
              <w:tl2br w:val="nil"/>
              <w:tr2bl w:val="nil"/>
            </w:tcBorders>
            <w:vAlign w:val="center"/>
          </w:tcPr>
          <w:p w:rsidR="00525419" w:rsidRDefault="00525419">
            <w:pPr>
              <w:adjustRightInd w:val="0"/>
              <w:snapToGrid w:val="0"/>
              <w:jc w:val="center"/>
              <w:textAlignment w:val="center"/>
              <w:rPr>
                <w:rFonts w:ascii="Times New Roman" w:hAnsi="Times New Roman"/>
                <w:szCs w:val="21"/>
              </w:rPr>
            </w:pPr>
          </w:p>
        </w:tc>
        <w:tc>
          <w:tcPr>
            <w:tcW w:w="1389" w:type="dxa"/>
            <w:vMerge/>
            <w:tcBorders>
              <w:tl2br w:val="nil"/>
              <w:tr2bl w:val="nil"/>
            </w:tcBorders>
            <w:vAlign w:val="center"/>
          </w:tcPr>
          <w:p w:rsidR="00525419" w:rsidRDefault="00525419">
            <w:pPr>
              <w:adjustRightInd w:val="0"/>
              <w:snapToGrid w:val="0"/>
              <w:jc w:val="center"/>
              <w:textAlignment w:val="center"/>
              <w:rPr>
                <w:rFonts w:ascii="Times New Roman" w:hAnsi="Times New Roman"/>
                <w:szCs w:val="21"/>
              </w:rPr>
            </w:pPr>
          </w:p>
        </w:tc>
        <w:tc>
          <w:tcPr>
            <w:tcW w:w="1219" w:type="dxa"/>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预测评价</w:t>
            </w:r>
          </w:p>
        </w:tc>
        <w:tc>
          <w:tcPr>
            <w:tcW w:w="5239" w:type="dxa"/>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石油烃</w:t>
            </w:r>
          </w:p>
        </w:tc>
      </w:tr>
      <w:tr w:rsidR="00525419">
        <w:trPr>
          <w:trHeight w:val="401"/>
        </w:trPr>
        <w:tc>
          <w:tcPr>
            <w:tcW w:w="675" w:type="dxa"/>
            <w:vMerge w:val="restart"/>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5</w:t>
            </w:r>
          </w:p>
        </w:tc>
        <w:tc>
          <w:tcPr>
            <w:tcW w:w="1389" w:type="dxa"/>
            <w:vMerge w:val="restart"/>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环境风险</w:t>
            </w:r>
          </w:p>
        </w:tc>
        <w:tc>
          <w:tcPr>
            <w:tcW w:w="1219" w:type="dxa"/>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储罐及管线泄漏及火灾</w:t>
            </w:r>
          </w:p>
        </w:tc>
        <w:tc>
          <w:tcPr>
            <w:tcW w:w="5239" w:type="dxa"/>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kern w:val="0"/>
                <w:szCs w:val="21"/>
              </w:rPr>
              <w:t>SO</w:t>
            </w:r>
            <w:r>
              <w:rPr>
                <w:rFonts w:ascii="Times New Roman" w:hAnsi="Times New Roman"/>
                <w:kern w:val="0"/>
                <w:szCs w:val="21"/>
                <w:vertAlign w:val="subscript"/>
              </w:rPr>
              <w:t>2</w:t>
            </w:r>
            <w:r>
              <w:rPr>
                <w:rFonts w:ascii="Times New Roman" w:hAnsi="Times New Roman"/>
                <w:kern w:val="0"/>
                <w:szCs w:val="21"/>
              </w:rPr>
              <w:t>、</w:t>
            </w:r>
            <w:r>
              <w:rPr>
                <w:rFonts w:ascii="Times New Roman" w:hAnsi="Times New Roman"/>
                <w:szCs w:val="21"/>
              </w:rPr>
              <w:t>CO</w:t>
            </w:r>
          </w:p>
        </w:tc>
      </w:tr>
      <w:tr w:rsidR="00525419">
        <w:trPr>
          <w:trHeight w:val="130"/>
        </w:trPr>
        <w:tc>
          <w:tcPr>
            <w:tcW w:w="675" w:type="dxa"/>
            <w:vMerge/>
            <w:tcBorders>
              <w:tl2br w:val="nil"/>
              <w:tr2bl w:val="nil"/>
            </w:tcBorders>
            <w:vAlign w:val="center"/>
          </w:tcPr>
          <w:p w:rsidR="00525419" w:rsidRDefault="00525419">
            <w:pPr>
              <w:adjustRightInd w:val="0"/>
              <w:snapToGrid w:val="0"/>
              <w:jc w:val="center"/>
              <w:textAlignment w:val="center"/>
              <w:rPr>
                <w:rFonts w:ascii="Times New Roman" w:hAnsi="Times New Roman"/>
                <w:szCs w:val="21"/>
              </w:rPr>
            </w:pPr>
          </w:p>
        </w:tc>
        <w:tc>
          <w:tcPr>
            <w:tcW w:w="1389" w:type="dxa"/>
            <w:vMerge/>
            <w:tcBorders>
              <w:tl2br w:val="nil"/>
              <w:tr2bl w:val="nil"/>
            </w:tcBorders>
            <w:vAlign w:val="center"/>
          </w:tcPr>
          <w:p w:rsidR="00525419" w:rsidRDefault="00525419">
            <w:pPr>
              <w:adjustRightInd w:val="0"/>
              <w:snapToGrid w:val="0"/>
              <w:jc w:val="center"/>
              <w:textAlignment w:val="center"/>
              <w:rPr>
                <w:rFonts w:ascii="Times New Roman" w:hAnsi="Times New Roman"/>
                <w:szCs w:val="21"/>
              </w:rPr>
            </w:pPr>
          </w:p>
        </w:tc>
        <w:tc>
          <w:tcPr>
            <w:tcW w:w="1219" w:type="dxa"/>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储罐泄漏地下水</w:t>
            </w:r>
          </w:p>
        </w:tc>
        <w:tc>
          <w:tcPr>
            <w:tcW w:w="5239" w:type="dxa"/>
            <w:tcBorders>
              <w:tl2br w:val="nil"/>
              <w:tr2bl w:val="nil"/>
            </w:tcBorders>
            <w:vAlign w:val="center"/>
          </w:tcPr>
          <w:p w:rsidR="00525419" w:rsidRDefault="00EE1CF7">
            <w:pPr>
              <w:adjustRightInd w:val="0"/>
              <w:snapToGrid w:val="0"/>
              <w:jc w:val="center"/>
              <w:textAlignment w:val="center"/>
              <w:rPr>
                <w:rFonts w:ascii="Times New Roman" w:hAnsi="Times New Roman"/>
                <w:kern w:val="0"/>
                <w:szCs w:val="21"/>
              </w:rPr>
            </w:pPr>
            <w:r>
              <w:rPr>
                <w:rFonts w:ascii="Times New Roman" w:hAnsi="Times New Roman"/>
                <w:kern w:val="0"/>
                <w:szCs w:val="21"/>
              </w:rPr>
              <w:t>石油类</w:t>
            </w:r>
          </w:p>
        </w:tc>
      </w:tr>
      <w:tr w:rsidR="00525419">
        <w:tc>
          <w:tcPr>
            <w:tcW w:w="675" w:type="dxa"/>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6</w:t>
            </w:r>
          </w:p>
        </w:tc>
        <w:tc>
          <w:tcPr>
            <w:tcW w:w="1389" w:type="dxa"/>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固体废物</w:t>
            </w:r>
          </w:p>
        </w:tc>
        <w:tc>
          <w:tcPr>
            <w:tcW w:w="1219" w:type="dxa"/>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预测评价</w:t>
            </w:r>
          </w:p>
        </w:tc>
        <w:tc>
          <w:tcPr>
            <w:tcW w:w="5239" w:type="dxa"/>
            <w:tcBorders>
              <w:tl2br w:val="nil"/>
              <w:tr2bl w:val="nil"/>
            </w:tcBorders>
            <w:vAlign w:val="center"/>
          </w:tcPr>
          <w:p w:rsidR="00525419" w:rsidRDefault="00EE1CF7">
            <w:pPr>
              <w:adjustRightInd w:val="0"/>
              <w:snapToGrid w:val="0"/>
              <w:jc w:val="center"/>
              <w:textAlignment w:val="center"/>
              <w:rPr>
                <w:rFonts w:ascii="Times New Roman" w:hAnsi="Times New Roman"/>
                <w:szCs w:val="21"/>
              </w:rPr>
            </w:pPr>
            <w:r>
              <w:rPr>
                <w:rFonts w:ascii="Times New Roman" w:hAnsi="Times New Roman"/>
                <w:szCs w:val="21"/>
              </w:rPr>
              <w:t>废加氢催化剂、废脱氯剂、废脱硫剂、</w:t>
            </w:r>
            <w:r>
              <w:rPr>
                <w:rFonts w:ascii="Times New Roman" w:hAnsi="Times New Roman"/>
                <w:szCs w:val="21"/>
                <w:lang w:val="zh-CN"/>
              </w:rPr>
              <w:t>废催化剂、废吸附剂、</w:t>
            </w:r>
            <w:r>
              <w:rPr>
                <w:rFonts w:ascii="Times New Roman" w:hAnsi="Times New Roman"/>
                <w:szCs w:val="21"/>
              </w:rPr>
              <w:t>废保护剂、</w:t>
            </w:r>
            <w:r>
              <w:rPr>
                <w:rFonts w:ascii="Times New Roman" w:hAnsi="Times New Roman"/>
                <w:szCs w:val="21"/>
                <w:lang w:val="zh-CN"/>
              </w:rPr>
              <w:t>废瓷球</w:t>
            </w:r>
            <w:r>
              <w:rPr>
                <w:rFonts w:ascii="Times New Roman" w:hAnsi="Times New Roman"/>
                <w:szCs w:val="21"/>
              </w:rPr>
              <w:t>、废活性炭等、浮渣、油泥</w:t>
            </w:r>
          </w:p>
        </w:tc>
      </w:tr>
    </w:tbl>
    <w:p w:rsidR="00525419" w:rsidRDefault="00EE1CF7">
      <w:pPr>
        <w:pStyle w:val="3a"/>
        <w:spacing w:beforeLines="50" w:before="156" w:after="156" w:line="360" w:lineRule="auto"/>
        <w:jc w:val="left"/>
        <w:rPr>
          <w:rFonts w:ascii="Times New Roman" w:eastAsia="华文楷体" w:hAnsi="Times New Roman"/>
        </w:rPr>
      </w:pPr>
      <w:bookmarkStart w:id="19" w:name="_Toc404864559"/>
      <w:r>
        <w:rPr>
          <w:rFonts w:ascii="Times New Roman" w:eastAsia="华文楷体" w:hAnsi="Times New Roman"/>
        </w:rPr>
        <w:lastRenderedPageBreak/>
        <w:t>2.2.4</w:t>
      </w:r>
      <w:r>
        <w:rPr>
          <w:rFonts w:ascii="Times New Roman" w:eastAsia="华文楷体" w:hAnsi="Times New Roman"/>
        </w:rPr>
        <w:t>评价标准</w:t>
      </w:r>
      <w:bookmarkEnd w:id="19"/>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2.2.4.1</w:t>
      </w:r>
      <w:r>
        <w:rPr>
          <w:rFonts w:ascii="Times New Roman" w:hAnsi="Times New Roman" w:cs="Times New Roman"/>
          <w:kern w:val="44"/>
          <w:sz w:val="24"/>
          <w:szCs w:val="24"/>
        </w:rPr>
        <w:t>环境质量标准</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）环境空气质量标准</w:t>
      </w:r>
    </w:p>
    <w:p w:rsidR="00525419" w:rsidRDefault="00EE1CF7">
      <w:pPr>
        <w:pStyle w:val="B1"/>
        <w:ind w:firstLine="480"/>
        <w:jc w:val="both"/>
        <w:rPr>
          <w:rFonts w:cs="Times New Roman"/>
        </w:rPr>
      </w:pPr>
      <w:r>
        <w:rPr>
          <w:rFonts w:cs="Times New Roman"/>
        </w:rPr>
        <w:t>PM</w:t>
      </w:r>
      <w:r>
        <w:rPr>
          <w:rFonts w:cs="Times New Roman"/>
          <w:vertAlign w:val="subscript"/>
        </w:rPr>
        <w:t>10</w:t>
      </w:r>
      <w:r>
        <w:rPr>
          <w:rFonts w:cs="Times New Roman"/>
        </w:rPr>
        <w:t>、</w:t>
      </w:r>
      <w:r>
        <w:rPr>
          <w:rFonts w:cs="Times New Roman"/>
        </w:rPr>
        <w:t>PM</w:t>
      </w:r>
      <w:r>
        <w:rPr>
          <w:rFonts w:cs="Times New Roman"/>
          <w:vertAlign w:val="subscript"/>
        </w:rPr>
        <w:t>2.5</w:t>
      </w:r>
      <w:r>
        <w:rPr>
          <w:rFonts w:cs="Times New Roman"/>
        </w:rPr>
        <w:t>、</w:t>
      </w:r>
      <w:r>
        <w:rPr>
          <w:rFonts w:cs="Times New Roman"/>
        </w:rPr>
        <w:t>SO</w:t>
      </w:r>
      <w:r>
        <w:rPr>
          <w:rFonts w:cs="Times New Roman"/>
          <w:vertAlign w:val="subscript"/>
        </w:rPr>
        <w:t>2</w:t>
      </w:r>
      <w:r>
        <w:rPr>
          <w:rFonts w:cs="Times New Roman"/>
        </w:rPr>
        <w:t>、</w:t>
      </w:r>
      <w:r>
        <w:rPr>
          <w:rFonts w:cs="Times New Roman"/>
        </w:rPr>
        <w:t>NO</w:t>
      </w:r>
      <w:r>
        <w:rPr>
          <w:rFonts w:cs="Times New Roman"/>
          <w:vertAlign w:val="subscript"/>
        </w:rPr>
        <w:t>2</w:t>
      </w:r>
      <w:r>
        <w:rPr>
          <w:rFonts w:cs="Times New Roman"/>
        </w:rPr>
        <w:t>、</w:t>
      </w:r>
      <w:r>
        <w:rPr>
          <w:rFonts w:cs="Times New Roman"/>
        </w:rPr>
        <w:t>CO</w:t>
      </w:r>
      <w:r>
        <w:rPr>
          <w:rFonts w:cs="Times New Roman"/>
        </w:rPr>
        <w:t>和</w:t>
      </w:r>
      <w:r>
        <w:rPr>
          <w:rFonts w:cs="Times New Roman"/>
        </w:rPr>
        <w:t>O</w:t>
      </w:r>
      <w:r>
        <w:rPr>
          <w:rFonts w:cs="Times New Roman"/>
          <w:vertAlign w:val="subscript"/>
        </w:rPr>
        <w:t>3</w:t>
      </w:r>
      <w:r>
        <w:rPr>
          <w:rFonts w:cs="Times New Roman"/>
        </w:rPr>
        <w:t>评价标准选取《环境空气质量标准》（</w:t>
      </w:r>
      <w:r>
        <w:rPr>
          <w:rFonts w:cs="Times New Roman"/>
        </w:rPr>
        <w:t>GB3095-2012</w:t>
      </w:r>
      <w:r>
        <w:rPr>
          <w:rFonts w:cs="Times New Roman"/>
        </w:rPr>
        <w:t>）中的二级标准；非甲烷总烃评价标准参照《大气污染物综合排放标准详解》；氨、</w:t>
      </w:r>
      <w:r>
        <w:rPr>
          <w:rFonts w:cs="Times New Roman"/>
        </w:rPr>
        <w:t>H</w:t>
      </w:r>
      <w:r>
        <w:rPr>
          <w:rFonts w:cs="Times New Roman"/>
          <w:vertAlign w:val="subscript"/>
        </w:rPr>
        <w:t>2</w:t>
      </w:r>
      <w:r>
        <w:rPr>
          <w:rFonts w:cs="Times New Roman"/>
        </w:rPr>
        <w:t>S</w:t>
      </w:r>
      <w:r>
        <w:rPr>
          <w:rFonts w:cs="Times New Roman"/>
        </w:rPr>
        <w:t>价标准选取《环境影响评价技术导则</w:t>
      </w:r>
      <w:r>
        <w:rPr>
          <w:rFonts w:cs="Times New Roman"/>
        </w:rPr>
        <w:t>•</w:t>
      </w:r>
      <w:r>
        <w:rPr>
          <w:rFonts w:cs="Times New Roman"/>
        </w:rPr>
        <w:t>大气环境》（</w:t>
      </w:r>
      <w:r>
        <w:rPr>
          <w:rFonts w:cs="Times New Roman"/>
        </w:rPr>
        <w:t>HJ2.2-2018</w:t>
      </w:r>
      <w:r>
        <w:rPr>
          <w:rFonts w:cs="Times New Roman"/>
        </w:rPr>
        <w:t>）中附录</w:t>
      </w:r>
      <w:r>
        <w:rPr>
          <w:rFonts w:cs="Times New Roman"/>
        </w:rPr>
        <w:t>D</w:t>
      </w:r>
      <w:r>
        <w:rPr>
          <w:rFonts w:cs="Times New Roman"/>
        </w:rPr>
        <w:t>中其他污染物空气质量浓度参考限值。浓度限值具体见表</w:t>
      </w:r>
      <w:r>
        <w:rPr>
          <w:rFonts w:cs="Times New Roman"/>
        </w:rPr>
        <w:t>2.2-4</w:t>
      </w:r>
      <w:r>
        <w:rPr>
          <w:rFonts w:cs="Times New Roman"/>
        </w:rPr>
        <w:t>。</w:t>
      </w:r>
    </w:p>
    <w:p w:rsidR="00525419" w:rsidRDefault="00EE1CF7">
      <w:pPr>
        <w:spacing w:line="240" w:lineRule="atLeast"/>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2.2-4  </w:t>
      </w:r>
      <w:r>
        <w:rPr>
          <w:rFonts w:ascii="Times New Roman" w:eastAsia="黑体" w:hAnsi="Times New Roman"/>
          <w:szCs w:val="21"/>
        </w:rPr>
        <w:t>环境空气质量标准</w:t>
      </w:r>
    </w:p>
    <w:tbl>
      <w:tblPr>
        <w:tblW w:w="85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69"/>
        <w:gridCol w:w="1788"/>
        <w:gridCol w:w="1948"/>
        <w:gridCol w:w="3100"/>
      </w:tblGrid>
      <w:tr w:rsidR="00525419">
        <w:trPr>
          <w:trHeight w:val="397"/>
          <w:jc w:val="center"/>
        </w:trPr>
        <w:tc>
          <w:tcPr>
            <w:tcW w:w="1669" w:type="dxa"/>
            <w:shd w:val="clear" w:color="auto" w:fill="auto"/>
            <w:vAlign w:val="center"/>
          </w:tcPr>
          <w:p w:rsidR="00525419" w:rsidRDefault="00EE1CF7">
            <w:pPr>
              <w:pStyle w:val="B2"/>
              <w:rPr>
                <w:rFonts w:cs="Times New Roman"/>
              </w:rPr>
            </w:pPr>
            <w:r>
              <w:rPr>
                <w:rFonts w:cs="Times New Roman"/>
              </w:rPr>
              <w:t>污染物</w:t>
            </w:r>
          </w:p>
        </w:tc>
        <w:tc>
          <w:tcPr>
            <w:tcW w:w="1788" w:type="dxa"/>
            <w:shd w:val="clear" w:color="auto" w:fill="auto"/>
            <w:vAlign w:val="center"/>
          </w:tcPr>
          <w:p w:rsidR="00525419" w:rsidRDefault="00EE1CF7">
            <w:pPr>
              <w:pStyle w:val="B2"/>
              <w:rPr>
                <w:rFonts w:cs="Times New Roman"/>
              </w:rPr>
            </w:pPr>
            <w:r>
              <w:rPr>
                <w:rFonts w:cs="Times New Roman"/>
              </w:rPr>
              <w:t>取值时间</w:t>
            </w:r>
          </w:p>
        </w:tc>
        <w:tc>
          <w:tcPr>
            <w:tcW w:w="1948" w:type="dxa"/>
            <w:shd w:val="clear" w:color="auto" w:fill="auto"/>
            <w:vAlign w:val="center"/>
          </w:tcPr>
          <w:p w:rsidR="00525419" w:rsidRDefault="00EE1CF7">
            <w:pPr>
              <w:pStyle w:val="B2"/>
              <w:rPr>
                <w:rFonts w:cs="Times New Roman"/>
              </w:rPr>
            </w:pPr>
            <w:r>
              <w:rPr>
                <w:rFonts w:cs="Times New Roman"/>
              </w:rPr>
              <w:t>浓度限值</w:t>
            </w:r>
            <w:r>
              <w:rPr>
                <w:rFonts w:cs="Times New Roman"/>
              </w:rPr>
              <w:t>(ug/m</w:t>
            </w:r>
            <w:r>
              <w:rPr>
                <w:rFonts w:cs="Times New Roman"/>
                <w:vertAlign w:val="superscript"/>
              </w:rPr>
              <w:t>3</w:t>
            </w:r>
            <w:r>
              <w:rPr>
                <w:rFonts w:cs="Times New Roman"/>
              </w:rPr>
              <w:t>)</w:t>
            </w:r>
          </w:p>
        </w:tc>
        <w:tc>
          <w:tcPr>
            <w:tcW w:w="3100" w:type="dxa"/>
            <w:shd w:val="clear" w:color="auto" w:fill="auto"/>
            <w:vAlign w:val="center"/>
          </w:tcPr>
          <w:p w:rsidR="00525419" w:rsidRDefault="00EE1CF7">
            <w:pPr>
              <w:pStyle w:val="B2"/>
              <w:rPr>
                <w:rFonts w:cs="Times New Roman"/>
              </w:rPr>
            </w:pPr>
            <w:r>
              <w:rPr>
                <w:rFonts w:cs="Times New Roman"/>
              </w:rPr>
              <w:t>标准来源</w:t>
            </w:r>
          </w:p>
        </w:tc>
      </w:tr>
      <w:tr w:rsidR="00525419">
        <w:trPr>
          <w:trHeight w:val="397"/>
          <w:jc w:val="center"/>
        </w:trPr>
        <w:tc>
          <w:tcPr>
            <w:tcW w:w="1669" w:type="dxa"/>
            <w:vMerge w:val="restart"/>
            <w:shd w:val="clear" w:color="auto" w:fill="auto"/>
            <w:vAlign w:val="center"/>
          </w:tcPr>
          <w:p w:rsidR="00525419" w:rsidRDefault="00EE1CF7">
            <w:pPr>
              <w:pStyle w:val="B2"/>
              <w:rPr>
                <w:rFonts w:cs="Times New Roman"/>
              </w:rPr>
            </w:pPr>
            <w:r>
              <w:rPr>
                <w:rFonts w:cs="Times New Roman"/>
              </w:rPr>
              <w:t>SO</w:t>
            </w:r>
            <w:r>
              <w:rPr>
                <w:rFonts w:cs="Times New Roman"/>
                <w:vertAlign w:val="subscript"/>
              </w:rPr>
              <w:t>2</w:t>
            </w:r>
          </w:p>
        </w:tc>
        <w:tc>
          <w:tcPr>
            <w:tcW w:w="1788" w:type="dxa"/>
            <w:shd w:val="clear" w:color="auto" w:fill="auto"/>
            <w:vAlign w:val="center"/>
          </w:tcPr>
          <w:p w:rsidR="00525419" w:rsidRDefault="00EE1CF7">
            <w:pPr>
              <w:pStyle w:val="B2"/>
              <w:rPr>
                <w:rFonts w:cs="Times New Roman"/>
              </w:rPr>
            </w:pPr>
            <w:r>
              <w:rPr>
                <w:rFonts w:cs="Times New Roman"/>
              </w:rPr>
              <w:t>年平均</w:t>
            </w:r>
          </w:p>
        </w:tc>
        <w:tc>
          <w:tcPr>
            <w:tcW w:w="1948" w:type="dxa"/>
            <w:shd w:val="clear" w:color="auto" w:fill="auto"/>
            <w:vAlign w:val="center"/>
          </w:tcPr>
          <w:p w:rsidR="00525419" w:rsidRDefault="00EE1CF7">
            <w:pPr>
              <w:pStyle w:val="B2"/>
              <w:rPr>
                <w:rFonts w:cs="Times New Roman"/>
              </w:rPr>
            </w:pPr>
            <w:r>
              <w:rPr>
                <w:rFonts w:cs="Times New Roman"/>
              </w:rPr>
              <w:t>60</w:t>
            </w:r>
          </w:p>
        </w:tc>
        <w:tc>
          <w:tcPr>
            <w:tcW w:w="3100" w:type="dxa"/>
            <w:vMerge w:val="restart"/>
            <w:shd w:val="clear" w:color="auto" w:fill="auto"/>
            <w:vAlign w:val="center"/>
          </w:tcPr>
          <w:p w:rsidR="00525419" w:rsidRDefault="00EE1CF7">
            <w:pPr>
              <w:pStyle w:val="B2"/>
              <w:rPr>
                <w:rFonts w:cs="Times New Roman"/>
              </w:rPr>
            </w:pPr>
            <w:r>
              <w:rPr>
                <w:rFonts w:cs="Times New Roman"/>
              </w:rPr>
              <w:t>《环境空气质量标准》（</w:t>
            </w:r>
            <w:r>
              <w:rPr>
                <w:rFonts w:cs="Times New Roman"/>
              </w:rPr>
              <w:t>GB3095-2012</w:t>
            </w:r>
            <w:r>
              <w:rPr>
                <w:rFonts w:cs="Times New Roman"/>
              </w:rPr>
              <w:t>）</w:t>
            </w:r>
          </w:p>
        </w:tc>
      </w:tr>
      <w:tr w:rsidR="00525419">
        <w:trPr>
          <w:trHeight w:val="397"/>
          <w:jc w:val="center"/>
        </w:trPr>
        <w:tc>
          <w:tcPr>
            <w:tcW w:w="1669" w:type="dxa"/>
            <w:vMerge/>
            <w:shd w:val="clear" w:color="auto" w:fill="auto"/>
            <w:vAlign w:val="center"/>
          </w:tcPr>
          <w:p w:rsidR="00525419" w:rsidRDefault="00525419">
            <w:pPr>
              <w:pStyle w:val="B2"/>
              <w:rPr>
                <w:rFonts w:cs="Times New Roman"/>
              </w:rPr>
            </w:pPr>
          </w:p>
        </w:tc>
        <w:tc>
          <w:tcPr>
            <w:tcW w:w="1788" w:type="dxa"/>
            <w:shd w:val="clear" w:color="auto" w:fill="auto"/>
            <w:vAlign w:val="center"/>
          </w:tcPr>
          <w:p w:rsidR="00525419" w:rsidRDefault="00EE1CF7">
            <w:pPr>
              <w:pStyle w:val="B2"/>
              <w:rPr>
                <w:rFonts w:cs="Times New Roman"/>
              </w:rPr>
            </w:pPr>
            <w:r>
              <w:rPr>
                <w:rFonts w:cs="Times New Roman"/>
              </w:rPr>
              <w:t>24</w:t>
            </w:r>
            <w:r>
              <w:rPr>
                <w:rFonts w:cs="Times New Roman"/>
              </w:rPr>
              <w:t>小时平均</w:t>
            </w:r>
          </w:p>
        </w:tc>
        <w:tc>
          <w:tcPr>
            <w:tcW w:w="1948" w:type="dxa"/>
            <w:shd w:val="clear" w:color="auto" w:fill="auto"/>
            <w:vAlign w:val="center"/>
          </w:tcPr>
          <w:p w:rsidR="00525419" w:rsidRDefault="00EE1CF7">
            <w:pPr>
              <w:pStyle w:val="B2"/>
              <w:rPr>
                <w:rFonts w:cs="Times New Roman"/>
              </w:rPr>
            </w:pPr>
            <w:r>
              <w:rPr>
                <w:rFonts w:cs="Times New Roman"/>
              </w:rPr>
              <w:t>150</w:t>
            </w:r>
          </w:p>
        </w:tc>
        <w:tc>
          <w:tcPr>
            <w:tcW w:w="3100" w:type="dxa"/>
            <w:vMerge/>
            <w:shd w:val="clear" w:color="auto" w:fill="auto"/>
            <w:vAlign w:val="center"/>
          </w:tcPr>
          <w:p w:rsidR="00525419" w:rsidRDefault="00525419">
            <w:pPr>
              <w:pStyle w:val="B2"/>
              <w:rPr>
                <w:rFonts w:cs="Times New Roman"/>
              </w:rPr>
            </w:pPr>
          </w:p>
        </w:tc>
      </w:tr>
      <w:tr w:rsidR="00525419">
        <w:trPr>
          <w:trHeight w:val="397"/>
          <w:jc w:val="center"/>
        </w:trPr>
        <w:tc>
          <w:tcPr>
            <w:tcW w:w="1669" w:type="dxa"/>
            <w:vMerge/>
            <w:shd w:val="clear" w:color="auto" w:fill="auto"/>
            <w:vAlign w:val="center"/>
          </w:tcPr>
          <w:p w:rsidR="00525419" w:rsidRDefault="00525419">
            <w:pPr>
              <w:pStyle w:val="B2"/>
              <w:rPr>
                <w:rFonts w:cs="Times New Roman"/>
              </w:rPr>
            </w:pPr>
          </w:p>
        </w:tc>
        <w:tc>
          <w:tcPr>
            <w:tcW w:w="1788" w:type="dxa"/>
            <w:shd w:val="clear" w:color="auto" w:fill="auto"/>
            <w:vAlign w:val="center"/>
          </w:tcPr>
          <w:p w:rsidR="00525419" w:rsidRDefault="00EE1CF7">
            <w:pPr>
              <w:pStyle w:val="B2"/>
              <w:rPr>
                <w:rFonts w:cs="Times New Roman"/>
              </w:rPr>
            </w:pPr>
            <w:r>
              <w:rPr>
                <w:rFonts w:cs="Times New Roman"/>
              </w:rPr>
              <w:t>1</w:t>
            </w:r>
            <w:r>
              <w:rPr>
                <w:rFonts w:cs="Times New Roman"/>
              </w:rPr>
              <w:t>小时平均</w:t>
            </w:r>
          </w:p>
        </w:tc>
        <w:tc>
          <w:tcPr>
            <w:tcW w:w="1948" w:type="dxa"/>
            <w:shd w:val="clear" w:color="auto" w:fill="auto"/>
            <w:vAlign w:val="center"/>
          </w:tcPr>
          <w:p w:rsidR="00525419" w:rsidRDefault="00EE1CF7">
            <w:pPr>
              <w:pStyle w:val="B2"/>
              <w:rPr>
                <w:rFonts w:cs="Times New Roman"/>
              </w:rPr>
            </w:pPr>
            <w:r>
              <w:rPr>
                <w:rFonts w:cs="Times New Roman"/>
              </w:rPr>
              <w:t>500</w:t>
            </w:r>
          </w:p>
        </w:tc>
        <w:tc>
          <w:tcPr>
            <w:tcW w:w="3100" w:type="dxa"/>
            <w:vMerge/>
            <w:shd w:val="clear" w:color="auto" w:fill="auto"/>
            <w:vAlign w:val="center"/>
          </w:tcPr>
          <w:p w:rsidR="00525419" w:rsidRDefault="00525419">
            <w:pPr>
              <w:pStyle w:val="B2"/>
              <w:rPr>
                <w:rFonts w:cs="Times New Roman"/>
              </w:rPr>
            </w:pPr>
          </w:p>
        </w:tc>
      </w:tr>
      <w:tr w:rsidR="00525419">
        <w:trPr>
          <w:trHeight w:val="397"/>
          <w:jc w:val="center"/>
        </w:trPr>
        <w:tc>
          <w:tcPr>
            <w:tcW w:w="1669" w:type="dxa"/>
            <w:vMerge w:val="restart"/>
            <w:shd w:val="clear" w:color="auto" w:fill="auto"/>
            <w:vAlign w:val="center"/>
          </w:tcPr>
          <w:p w:rsidR="00525419" w:rsidRDefault="00EE1CF7">
            <w:pPr>
              <w:pStyle w:val="B2"/>
              <w:rPr>
                <w:rFonts w:cs="Times New Roman"/>
              </w:rPr>
            </w:pPr>
            <w:r>
              <w:rPr>
                <w:rFonts w:cs="Times New Roman"/>
              </w:rPr>
              <w:t>NO</w:t>
            </w:r>
            <w:r>
              <w:rPr>
                <w:rFonts w:cs="Times New Roman"/>
                <w:vertAlign w:val="subscript"/>
              </w:rPr>
              <w:t>2</w:t>
            </w:r>
          </w:p>
        </w:tc>
        <w:tc>
          <w:tcPr>
            <w:tcW w:w="1788" w:type="dxa"/>
            <w:shd w:val="clear" w:color="auto" w:fill="auto"/>
            <w:vAlign w:val="center"/>
          </w:tcPr>
          <w:p w:rsidR="00525419" w:rsidRDefault="00EE1CF7">
            <w:pPr>
              <w:pStyle w:val="B2"/>
              <w:rPr>
                <w:rFonts w:cs="Times New Roman"/>
              </w:rPr>
            </w:pPr>
            <w:r>
              <w:rPr>
                <w:rFonts w:cs="Times New Roman"/>
              </w:rPr>
              <w:t>年平均</w:t>
            </w:r>
          </w:p>
        </w:tc>
        <w:tc>
          <w:tcPr>
            <w:tcW w:w="1948" w:type="dxa"/>
            <w:shd w:val="clear" w:color="auto" w:fill="auto"/>
            <w:vAlign w:val="center"/>
          </w:tcPr>
          <w:p w:rsidR="00525419" w:rsidRDefault="00EE1CF7">
            <w:pPr>
              <w:pStyle w:val="B2"/>
              <w:rPr>
                <w:rFonts w:cs="Times New Roman"/>
              </w:rPr>
            </w:pPr>
            <w:r>
              <w:rPr>
                <w:rFonts w:cs="Times New Roman"/>
              </w:rPr>
              <w:t>40</w:t>
            </w:r>
          </w:p>
        </w:tc>
        <w:tc>
          <w:tcPr>
            <w:tcW w:w="3100" w:type="dxa"/>
            <w:vMerge/>
            <w:shd w:val="clear" w:color="auto" w:fill="auto"/>
            <w:vAlign w:val="center"/>
          </w:tcPr>
          <w:p w:rsidR="00525419" w:rsidRDefault="00525419">
            <w:pPr>
              <w:pStyle w:val="B2"/>
              <w:rPr>
                <w:rFonts w:cs="Times New Roman"/>
              </w:rPr>
            </w:pPr>
          </w:p>
        </w:tc>
      </w:tr>
      <w:tr w:rsidR="00525419">
        <w:trPr>
          <w:trHeight w:val="397"/>
          <w:jc w:val="center"/>
        </w:trPr>
        <w:tc>
          <w:tcPr>
            <w:tcW w:w="1669" w:type="dxa"/>
            <w:vMerge/>
            <w:shd w:val="clear" w:color="auto" w:fill="auto"/>
            <w:vAlign w:val="center"/>
          </w:tcPr>
          <w:p w:rsidR="00525419" w:rsidRDefault="00525419">
            <w:pPr>
              <w:pStyle w:val="B2"/>
              <w:rPr>
                <w:rFonts w:cs="Times New Roman"/>
              </w:rPr>
            </w:pPr>
          </w:p>
        </w:tc>
        <w:tc>
          <w:tcPr>
            <w:tcW w:w="1788" w:type="dxa"/>
            <w:shd w:val="clear" w:color="auto" w:fill="auto"/>
            <w:vAlign w:val="center"/>
          </w:tcPr>
          <w:p w:rsidR="00525419" w:rsidRDefault="00EE1CF7">
            <w:pPr>
              <w:pStyle w:val="B2"/>
              <w:rPr>
                <w:rFonts w:cs="Times New Roman"/>
              </w:rPr>
            </w:pPr>
            <w:r>
              <w:rPr>
                <w:rFonts w:cs="Times New Roman"/>
              </w:rPr>
              <w:t>24</w:t>
            </w:r>
            <w:r>
              <w:rPr>
                <w:rFonts w:cs="Times New Roman"/>
              </w:rPr>
              <w:t>小时平均</w:t>
            </w:r>
          </w:p>
        </w:tc>
        <w:tc>
          <w:tcPr>
            <w:tcW w:w="1948" w:type="dxa"/>
            <w:shd w:val="clear" w:color="auto" w:fill="auto"/>
            <w:vAlign w:val="center"/>
          </w:tcPr>
          <w:p w:rsidR="00525419" w:rsidRDefault="00EE1CF7">
            <w:pPr>
              <w:pStyle w:val="B2"/>
              <w:rPr>
                <w:rFonts w:cs="Times New Roman"/>
              </w:rPr>
            </w:pPr>
            <w:r>
              <w:rPr>
                <w:rFonts w:cs="Times New Roman"/>
              </w:rPr>
              <w:t>80</w:t>
            </w:r>
          </w:p>
        </w:tc>
        <w:tc>
          <w:tcPr>
            <w:tcW w:w="3100" w:type="dxa"/>
            <w:vMerge/>
            <w:shd w:val="clear" w:color="auto" w:fill="auto"/>
            <w:vAlign w:val="center"/>
          </w:tcPr>
          <w:p w:rsidR="00525419" w:rsidRDefault="00525419">
            <w:pPr>
              <w:pStyle w:val="B2"/>
              <w:rPr>
                <w:rFonts w:cs="Times New Roman"/>
              </w:rPr>
            </w:pPr>
          </w:p>
        </w:tc>
      </w:tr>
      <w:tr w:rsidR="00525419">
        <w:trPr>
          <w:trHeight w:val="397"/>
          <w:jc w:val="center"/>
        </w:trPr>
        <w:tc>
          <w:tcPr>
            <w:tcW w:w="1669" w:type="dxa"/>
            <w:vMerge/>
            <w:shd w:val="clear" w:color="auto" w:fill="auto"/>
            <w:vAlign w:val="center"/>
          </w:tcPr>
          <w:p w:rsidR="00525419" w:rsidRDefault="00525419">
            <w:pPr>
              <w:pStyle w:val="B2"/>
              <w:rPr>
                <w:rFonts w:cs="Times New Roman"/>
              </w:rPr>
            </w:pPr>
          </w:p>
        </w:tc>
        <w:tc>
          <w:tcPr>
            <w:tcW w:w="1788" w:type="dxa"/>
            <w:shd w:val="clear" w:color="auto" w:fill="auto"/>
            <w:vAlign w:val="center"/>
          </w:tcPr>
          <w:p w:rsidR="00525419" w:rsidRDefault="00EE1CF7">
            <w:pPr>
              <w:pStyle w:val="B2"/>
              <w:rPr>
                <w:rFonts w:cs="Times New Roman"/>
              </w:rPr>
            </w:pPr>
            <w:r>
              <w:rPr>
                <w:rFonts w:cs="Times New Roman"/>
              </w:rPr>
              <w:t>1</w:t>
            </w:r>
            <w:r>
              <w:rPr>
                <w:rFonts w:cs="Times New Roman"/>
              </w:rPr>
              <w:t>小时平均</w:t>
            </w:r>
          </w:p>
        </w:tc>
        <w:tc>
          <w:tcPr>
            <w:tcW w:w="1948" w:type="dxa"/>
            <w:shd w:val="clear" w:color="auto" w:fill="auto"/>
            <w:vAlign w:val="center"/>
          </w:tcPr>
          <w:p w:rsidR="00525419" w:rsidRDefault="00EE1CF7">
            <w:pPr>
              <w:pStyle w:val="B2"/>
              <w:rPr>
                <w:rFonts w:cs="Times New Roman"/>
              </w:rPr>
            </w:pPr>
            <w:r>
              <w:rPr>
                <w:rFonts w:cs="Times New Roman"/>
              </w:rPr>
              <w:t>200</w:t>
            </w:r>
          </w:p>
        </w:tc>
        <w:tc>
          <w:tcPr>
            <w:tcW w:w="3100" w:type="dxa"/>
            <w:vMerge/>
            <w:shd w:val="clear" w:color="auto" w:fill="auto"/>
            <w:vAlign w:val="center"/>
          </w:tcPr>
          <w:p w:rsidR="00525419" w:rsidRDefault="00525419">
            <w:pPr>
              <w:pStyle w:val="B2"/>
              <w:rPr>
                <w:rFonts w:cs="Times New Roman"/>
              </w:rPr>
            </w:pPr>
          </w:p>
        </w:tc>
      </w:tr>
      <w:tr w:rsidR="00525419">
        <w:trPr>
          <w:trHeight w:val="397"/>
          <w:jc w:val="center"/>
        </w:trPr>
        <w:tc>
          <w:tcPr>
            <w:tcW w:w="1669" w:type="dxa"/>
            <w:vMerge w:val="restart"/>
            <w:shd w:val="clear" w:color="auto" w:fill="auto"/>
            <w:vAlign w:val="center"/>
          </w:tcPr>
          <w:p w:rsidR="00525419" w:rsidRDefault="00EE1CF7">
            <w:pPr>
              <w:pStyle w:val="B2"/>
              <w:rPr>
                <w:rFonts w:cs="Times New Roman"/>
              </w:rPr>
            </w:pPr>
            <w:r>
              <w:rPr>
                <w:rFonts w:cs="Times New Roman"/>
              </w:rPr>
              <w:t>PM</w:t>
            </w:r>
            <w:r>
              <w:rPr>
                <w:rFonts w:cs="Times New Roman"/>
                <w:vertAlign w:val="subscript"/>
              </w:rPr>
              <w:t>10</w:t>
            </w:r>
          </w:p>
        </w:tc>
        <w:tc>
          <w:tcPr>
            <w:tcW w:w="1788" w:type="dxa"/>
            <w:shd w:val="clear" w:color="auto" w:fill="auto"/>
            <w:vAlign w:val="center"/>
          </w:tcPr>
          <w:p w:rsidR="00525419" w:rsidRDefault="00EE1CF7">
            <w:pPr>
              <w:pStyle w:val="B2"/>
              <w:rPr>
                <w:rFonts w:cs="Times New Roman"/>
              </w:rPr>
            </w:pPr>
            <w:r>
              <w:rPr>
                <w:rFonts w:cs="Times New Roman"/>
              </w:rPr>
              <w:t>年平均</w:t>
            </w:r>
          </w:p>
        </w:tc>
        <w:tc>
          <w:tcPr>
            <w:tcW w:w="1948" w:type="dxa"/>
            <w:shd w:val="clear" w:color="auto" w:fill="auto"/>
            <w:vAlign w:val="center"/>
          </w:tcPr>
          <w:p w:rsidR="00525419" w:rsidRDefault="00EE1CF7">
            <w:pPr>
              <w:pStyle w:val="B2"/>
              <w:rPr>
                <w:rFonts w:cs="Times New Roman"/>
              </w:rPr>
            </w:pPr>
            <w:r>
              <w:rPr>
                <w:rFonts w:cs="Times New Roman"/>
              </w:rPr>
              <w:t>70</w:t>
            </w:r>
          </w:p>
        </w:tc>
        <w:tc>
          <w:tcPr>
            <w:tcW w:w="3100" w:type="dxa"/>
            <w:vMerge/>
            <w:shd w:val="clear" w:color="auto" w:fill="auto"/>
            <w:vAlign w:val="center"/>
          </w:tcPr>
          <w:p w:rsidR="00525419" w:rsidRDefault="00525419">
            <w:pPr>
              <w:pStyle w:val="B2"/>
              <w:rPr>
                <w:rFonts w:cs="Times New Roman"/>
              </w:rPr>
            </w:pPr>
          </w:p>
        </w:tc>
      </w:tr>
      <w:tr w:rsidR="00525419">
        <w:trPr>
          <w:trHeight w:val="397"/>
          <w:jc w:val="center"/>
        </w:trPr>
        <w:tc>
          <w:tcPr>
            <w:tcW w:w="1669" w:type="dxa"/>
            <w:vMerge/>
            <w:shd w:val="clear" w:color="auto" w:fill="auto"/>
            <w:vAlign w:val="center"/>
          </w:tcPr>
          <w:p w:rsidR="00525419" w:rsidRDefault="00525419">
            <w:pPr>
              <w:pStyle w:val="B2"/>
              <w:rPr>
                <w:rFonts w:cs="Times New Roman"/>
              </w:rPr>
            </w:pPr>
          </w:p>
        </w:tc>
        <w:tc>
          <w:tcPr>
            <w:tcW w:w="1788" w:type="dxa"/>
            <w:shd w:val="clear" w:color="auto" w:fill="auto"/>
            <w:vAlign w:val="center"/>
          </w:tcPr>
          <w:p w:rsidR="00525419" w:rsidRDefault="00EE1CF7">
            <w:pPr>
              <w:pStyle w:val="B2"/>
              <w:rPr>
                <w:rFonts w:cs="Times New Roman"/>
              </w:rPr>
            </w:pPr>
            <w:r>
              <w:rPr>
                <w:rFonts w:cs="Times New Roman"/>
              </w:rPr>
              <w:t>24</w:t>
            </w:r>
            <w:r>
              <w:rPr>
                <w:rFonts w:cs="Times New Roman"/>
              </w:rPr>
              <w:t>小时平均</w:t>
            </w:r>
          </w:p>
        </w:tc>
        <w:tc>
          <w:tcPr>
            <w:tcW w:w="1948" w:type="dxa"/>
            <w:shd w:val="clear" w:color="auto" w:fill="auto"/>
            <w:vAlign w:val="center"/>
          </w:tcPr>
          <w:p w:rsidR="00525419" w:rsidRDefault="00EE1CF7">
            <w:pPr>
              <w:pStyle w:val="B2"/>
              <w:rPr>
                <w:rFonts w:cs="Times New Roman"/>
              </w:rPr>
            </w:pPr>
            <w:r>
              <w:rPr>
                <w:rFonts w:cs="Times New Roman"/>
              </w:rPr>
              <w:t>150</w:t>
            </w:r>
          </w:p>
        </w:tc>
        <w:tc>
          <w:tcPr>
            <w:tcW w:w="3100" w:type="dxa"/>
            <w:vMerge/>
            <w:shd w:val="clear" w:color="auto" w:fill="auto"/>
            <w:vAlign w:val="center"/>
          </w:tcPr>
          <w:p w:rsidR="00525419" w:rsidRDefault="00525419">
            <w:pPr>
              <w:pStyle w:val="B2"/>
              <w:rPr>
                <w:rFonts w:cs="Times New Roman"/>
              </w:rPr>
            </w:pPr>
          </w:p>
        </w:tc>
      </w:tr>
      <w:tr w:rsidR="00525419">
        <w:trPr>
          <w:trHeight w:val="397"/>
          <w:jc w:val="center"/>
        </w:trPr>
        <w:tc>
          <w:tcPr>
            <w:tcW w:w="1669" w:type="dxa"/>
            <w:vMerge w:val="restart"/>
            <w:shd w:val="clear" w:color="auto" w:fill="auto"/>
            <w:vAlign w:val="center"/>
          </w:tcPr>
          <w:p w:rsidR="00525419" w:rsidRDefault="00EE1CF7">
            <w:pPr>
              <w:pStyle w:val="B2"/>
              <w:rPr>
                <w:rFonts w:cs="Times New Roman"/>
              </w:rPr>
            </w:pPr>
            <w:r>
              <w:rPr>
                <w:rFonts w:cs="Times New Roman"/>
              </w:rPr>
              <w:t>PM</w:t>
            </w:r>
            <w:r>
              <w:rPr>
                <w:rFonts w:cs="Times New Roman"/>
                <w:vertAlign w:val="subscript"/>
              </w:rPr>
              <w:t>2.5</w:t>
            </w:r>
          </w:p>
        </w:tc>
        <w:tc>
          <w:tcPr>
            <w:tcW w:w="1788" w:type="dxa"/>
            <w:shd w:val="clear" w:color="auto" w:fill="auto"/>
            <w:vAlign w:val="center"/>
          </w:tcPr>
          <w:p w:rsidR="00525419" w:rsidRDefault="00EE1CF7">
            <w:pPr>
              <w:pStyle w:val="B2"/>
              <w:rPr>
                <w:rFonts w:cs="Times New Roman"/>
              </w:rPr>
            </w:pPr>
            <w:r>
              <w:rPr>
                <w:rFonts w:cs="Times New Roman"/>
              </w:rPr>
              <w:t>年平均</w:t>
            </w:r>
          </w:p>
        </w:tc>
        <w:tc>
          <w:tcPr>
            <w:tcW w:w="1948" w:type="dxa"/>
            <w:shd w:val="clear" w:color="auto" w:fill="auto"/>
            <w:vAlign w:val="center"/>
          </w:tcPr>
          <w:p w:rsidR="00525419" w:rsidRDefault="00EE1CF7">
            <w:pPr>
              <w:pStyle w:val="B2"/>
              <w:rPr>
                <w:rFonts w:cs="Times New Roman"/>
              </w:rPr>
            </w:pPr>
            <w:r>
              <w:rPr>
                <w:rFonts w:cs="Times New Roman"/>
              </w:rPr>
              <w:t>35</w:t>
            </w:r>
          </w:p>
        </w:tc>
        <w:tc>
          <w:tcPr>
            <w:tcW w:w="3100" w:type="dxa"/>
            <w:vMerge/>
            <w:shd w:val="clear" w:color="auto" w:fill="auto"/>
            <w:vAlign w:val="center"/>
          </w:tcPr>
          <w:p w:rsidR="00525419" w:rsidRDefault="00525419">
            <w:pPr>
              <w:pStyle w:val="B2"/>
              <w:rPr>
                <w:rFonts w:cs="Times New Roman"/>
              </w:rPr>
            </w:pPr>
          </w:p>
        </w:tc>
      </w:tr>
      <w:tr w:rsidR="00525419">
        <w:trPr>
          <w:trHeight w:val="397"/>
          <w:jc w:val="center"/>
        </w:trPr>
        <w:tc>
          <w:tcPr>
            <w:tcW w:w="1669" w:type="dxa"/>
            <w:vMerge/>
            <w:shd w:val="clear" w:color="auto" w:fill="auto"/>
            <w:vAlign w:val="center"/>
          </w:tcPr>
          <w:p w:rsidR="00525419" w:rsidRDefault="00525419">
            <w:pPr>
              <w:pStyle w:val="B2"/>
              <w:rPr>
                <w:rFonts w:cs="Times New Roman"/>
              </w:rPr>
            </w:pPr>
          </w:p>
        </w:tc>
        <w:tc>
          <w:tcPr>
            <w:tcW w:w="1788" w:type="dxa"/>
            <w:shd w:val="clear" w:color="auto" w:fill="auto"/>
            <w:vAlign w:val="center"/>
          </w:tcPr>
          <w:p w:rsidR="00525419" w:rsidRDefault="00EE1CF7">
            <w:pPr>
              <w:pStyle w:val="B2"/>
              <w:rPr>
                <w:rFonts w:cs="Times New Roman"/>
              </w:rPr>
            </w:pPr>
            <w:r>
              <w:rPr>
                <w:rFonts w:cs="Times New Roman"/>
              </w:rPr>
              <w:t>24</w:t>
            </w:r>
            <w:r>
              <w:rPr>
                <w:rFonts w:cs="Times New Roman"/>
              </w:rPr>
              <w:t>小时平均</w:t>
            </w:r>
          </w:p>
        </w:tc>
        <w:tc>
          <w:tcPr>
            <w:tcW w:w="1948" w:type="dxa"/>
            <w:shd w:val="clear" w:color="auto" w:fill="auto"/>
            <w:vAlign w:val="center"/>
          </w:tcPr>
          <w:p w:rsidR="00525419" w:rsidRDefault="00EE1CF7">
            <w:pPr>
              <w:pStyle w:val="B2"/>
              <w:rPr>
                <w:rFonts w:cs="Times New Roman"/>
              </w:rPr>
            </w:pPr>
            <w:r>
              <w:rPr>
                <w:rFonts w:cs="Times New Roman"/>
              </w:rPr>
              <w:t>75</w:t>
            </w:r>
          </w:p>
        </w:tc>
        <w:tc>
          <w:tcPr>
            <w:tcW w:w="3100" w:type="dxa"/>
            <w:vMerge/>
            <w:shd w:val="clear" w:color="auto" w:fill="auto"/>
            <w:vAlign w:val="center"/>
          </w:tcPr>
          <w:p w:rsidR="00525419" w:rsidRDefault="00525419">
            <w:pPr>
              <w:pStyle w:val="B2"/>
              <w:rPr>
                <w:rFonts w:cs="Times New Roman"/>
              </w:rPr>
            </w:pPr>
          </w:p>
        </w:tc>
      </w:tr>
      <w:tr w:rsidR="00525419">
        <w:trPr>
          <w:trHeight w:val="397"/>
          <w:jc w:val="center"/>
        </w:trPr>
        <w:tc>
          <w:tcPr>
            <w:tcW w:w="1669" w:type="dxa"/>
            <w:vMerge w:val="restart"/>
            <w:shd w:val="clear" w:color="auto" w:fill="auto"/>
            <w:vAlign w:val="center"/>
          </w:tcPr>
          <w:p w:rsidR="00525419" w:rsidRDefault="00EE1CF7">
            <w:pPr>
              <w:pStyle w:val="B2"/>
              <w:rPr>
                <w:rFonts w:cs="Times New Roman"/>
              </w:rPr>
            </w:pPr>
            <w:r>
              <w:rPr>
                <w:rFonts w:cs="Times New Roman"/>
              </w:rPr>
              <w:t>CO</w:t>
            </w:r>
          </w:p>
        </w:tc>
        <w:tc>
          <w:tcPr>
            <w:tcW w:w="1788" w:type="dxa"/>
            <w:shd w:val="clear" w:color="auto" w:fill="auto"/>
            <w:vAlign w:val="center"/>
          </w:tcPr>
          <w:p w:rsidR="00525419" w:rsidRDefault="00EE1CF7">
            <w:pPr>
              <w:pStyle w:val="B2"/>
              <w:rPr>
                <w:rFonts w:cs="Times New Roman"/>
              </w:rPr>
            </w:pPr>
            <w:r>
              <w:rPr>
                <w:rFonts w:cs="Times New Roman"/>
              </w:rPr>
              <w:t>24</w:t>
            </w:r>
            <w:r>
              <w:rPr>
                <w:rFonts w:cs="Times New Roman"/>
              </w:rPr>
              <w:t>小时平均</w:t>
            </w:r>
          </w:p>
        </w:tc>
        <w:tc>
          <w:tcPr>
            <w:tcW w:w="1948" w:type="dxa"/>
            <w:shd w:val="clear" w:color="auto" w:fill="auto"/>
            <w:vAlign w:val="center"/>
          </w:tcPr>
          <w:p w:rsidR="00525419" w:rsidRDefault="00EE1CF7">
            <w:pPr>
              <w:pStyle w:val="B2"/>
              <w:rPr>
                <w:rFonts w:cs="Times New Roman"/>
              </w:rPr>
            </w:pPr>
            <w:r>
              <w:rPr>
                <w:rFonts w:cs="Times New Roman"/>
              </w:rPr>
              <w:t>4000</w:t>
            </w:r>
          </w:p>
        </w:tc>
        <w:tc>
          <w:tcPr>
            <w:tcW w:w="3100" w:type="dxa"/>
            <w:vMerge/>
            <w:shd w:val="clear" w:color="auto" w:fill="auto"/>
            <w:vAlign w:val="center"/>
          </w:tcPr>
          <w:p w:rsidR="00525419" w:rsidRDefault="00525419">
            <w:pPr>
              <w:pStyle w:val="B2"/>
              <w:rPr>
                <w:rFonts w:cs="Times New Roman"/>
              </w:rPr>
            </w:pPr>
          </w:p>
        </w:tc>
      </w:tr>
      <w:tr w:rsidR="00525419">
        <w:trPr>
          <w:trHeight w:val="397"/>
          <w:jc w:val="center"/>
        </w:trPr>
        <w:tc>
          <w:tcPr>
            <w:tcW w:w="1669" w:type="dxa"/>
            <w:vMerge/>
            <w:shd w:val="clear" w:color="auto" w:fill="auto"/>
            <w:vAlign w:val="center"/>
          </w:tcPr>
          <w:p w:rsidR="00525419" w:rsidRDefault="00525419">
            <w:pPr>
              <w:pStyle w:val="B2"/>
              <w:rPr>
                <w:rFonts w:cs="Times New Roman"/>
              </w:rPr>
            </w:pPr>
          </w:p>
        </w:tc>
        <w:tc>
          <w:tcPr>
            <w:tcW w:w="1788" w:type="dxa"/>
            <w:shd w:val="clear" w:color="auto" w:fill="auto"/>
            <w:vAlign w:val="center"/>
          </w:tcPr>
          <w:p w:rsidR="00525419" w:rsidRDefault="00EE1CF7">
            <w:pPr>
              <w:pStyle w:val="B2"/>
              <w:rPr>
                <w:rFonts w:cs="Times New Roman"/>
              </w:rPr>
            </w:pPr>
            <w:r>
              <w:rPr>
                <w:rFonts w:cs="Times New Roman"/>
              </w:rPr>
              <w:t>1</w:t>
            </w:r>
            <w:r>
              <w:rPr>
                <w:rFonts w:cs="Times New Roman"/>
              </w:rPr>
              <w:t>小时平均</w:t>
            </w:r>
          </w:p>
        </w:tc>
        <w:tc>
          <w:tcPr>
            <w:tcW w:w="1948" w:type="dxa"/>
            <w:shd w:val="clear" w:color="auto" w:fill="auto"/>
            <w:vAlign w:val="center"/>
          </w:tcPr>
          <w:p w:rsidR="00525419" w:rsidRDefault="00EE1CF7">
            <w:pPr>
              <w:pStyle w:val="B2"/>
              <w:rPr>
                <w:rFonts w:cs="Times New Roman"/>
              </w:rPr>
            </w:pPr>
            <w:r>
              <w:rPr>
                <w:rFonts w:cs="Times New Roman"/>
              </w:rPr>
              <w:t>10000</w:t>
            </w:r>
          </w:p>
        </w:tc>
        <w:tc>
          <w:tcPr>
            <w:tcW w:w="3100" w:type="dxa"/>
            <w:vMerge/>
            <w:shd w:val="clear" w:color="auto" w:fill="auto"/>
            <w:vAlign w:val="center"/>
          </w:tcPr>
          <w:p w:rsidR="00525419" w:rsidRDefault="00525419">
            <w:pPr>
              <w:pStyle w:val="B2"/>
              <w:rPr>
                <w:rFonts w:cs="Times New Roman"/>
              </w:rPr>
            </w:pPr>
          </w:p>
        </w:tc>
      </w:tr>
      <w:tr w:rsidR="00525419">
        <w:trPr>
          <w:trHeight w:val="397"/>
          <w:jc w:val="center"/>
        </w:trPr>
        <w:tc>
          <w:tcPr>
            <w:tcW w:w="1669" w:type="dxa"/>
            <w:vMerge w:val="restart"/>
            <w:shd w:val="clear" w:color="auto" w:fill="auto"/>
            <w:vAlign w:val="center"/>
          </w:tcPr>
          <w:p w:rsidR="00525419" w:rsidRDefault="00EE1CF7">
            <w:pPr>
              <w:pStyle w:val="B2"/>
              <w:rPr>
                <w:rFonts w:cs="Times New Roman"/>
              </w:rPr>
            </w:pPr>
            <w:r>
              <w:rPr>
                <w:rFonts w:cs="Times New Roman"/>
              </w:rPr>
              <w:t>O</w:t>
            </w:r>
            <w:r>
              <w:rPr>
                <w:rFonts w:cs="Times New Roman"/>
                <w:vertAlign w:val="subscript"/>
              </w:rPr>
              <w:t>3</w:t>
            </w:r>
          </w:p>
        </w:tc>
        <w:tc>
          <w:tcPr>
            <w:tcW w:w="1788" w:type="dxa"/>
            <w:shd w:val="clear" w:color="auto" w:fill="auto"/>
            <w:vAlign w:val="center"/>
          </w:tcPr>
          <w:p w:rsidR="00525419" w:rsidRDefault="00EE1CF7">
            <w:pPr>
              <w:pStyle w:val="B2"/>
              <w:rPr>
                <w:rFonts w:cs="Times New Roman"/>
              </w:rPr>
            </w:pPr>
            <w:r>
              <w:rPr>
                <w:rFonts w:cs="Times New Roman"/>
              </w:rPr>
              <w:t>日最大</w:t>
            </w:r>
            <w:r>
              <w:rPr>
                <w:rFonts w:cs="Times New Roman"/>
              </w:rPr>
              <w:t>8</w:t>
            </w:r>
            <w:r>
              <w:rPr>
                <w:rFonts w:cs="Times New Roman"/>
              </w:rPr>
              <w:t>小时平均</w:t>
            </w:r>
          </w:p>
        </w:tc>
        <w:tc>
          <w:tcPr>
            <w:tcW w:w="1948" w:type="dxa"/>
            <w:shd w:val="clear" w:color="auto" w:fill="auto"/>
            <w:vAlign w:val="center"/>
          </w:tcPr>
          <w:p w:rsidR="00525419" w:rsidRDefault="00EE1CF7">
            <w:pPr>
              <w:pStyle w:val="B2"/>
              <w:rPr>
                <w:rFonts w:cs="Times New Roman"/>
              </w:rPr>
            </w:pPr>
            <w:r>
              <w:rPr>
                <w:rFonts w:cs="Times New Roman"/>
              </w:rPr>
              <w:t>160</w:t>
            </w:r>
          </w:p>
        </w:tc>
        <w:tc>
          <w:tcPr>
            <w:tcW w:w="3100" w:type="dxa"/>
            <w:vMerge/>
            <w:shd w:val="clear" w:color="auto" w:fill="auto"/>
            <w:vAlign w:val="center"/>
          </w:tcPr>
          <w:p w:rsidR="00525419" w:rsidRDefault="00525419">
            <w:pPr>
              <w:pStyle w:val="B2"/>
              <w:rPr>
                <w:rFonts w:cs="Times New Roman"/>
              </w:rPr>
            </w:pPr>
          </w:p>
        </w:tc>
      </w:tr>
      <w:tr w:rsidR="00525419">
        <w:trPr>
          <w:trHeight w:val="397"/>
          <w:jc w:val="center"/>
        </w:trPr>
        <w:tc>
          <w:tcPr>
            <w:tcW w:w="1669" w:type="dxa"/>
            <w:vMerge/>
            <w:shd w:val="clear" w:color="auto" w:fill="auto"/>
            <w:vAlign w:val="center"/>
          </w:tcPr>
          <w:p w:rsidR="00525419" w:rsidRDefault="00525419">
            <w:pPr>
              <w:pStyle w:val="B2"/>
              <w:rPr>
                <w:rFonts w:cs="Times New Roman"/>
              </w:rPr>
            </w:pPr>
          </w:p>
        </w:tc>
        <w:tc>
          <w:tcPr>
            <w:tcW w:w="1788" w:type="dxa"/>
            <w:shd w:val="clear" w:color="auto" w:fill="auto"/>
            <w:vAlign w:val="center"/>
          </w:tcPr>
          <w:p w:rsidR="00525419" w:rsidRDefault="00EE1CF7">
            <w:pPr>
              <w:pStyle w:val="B2"/>
              <w:rPr>
                <w:rFonts w:cs="Times New Roman"/>
              </w:rPr>
            </w:pPr>
            <w:r>
              <w:rPr>
                <w:rFonts w:cs="Times New Roman"/>
              </w:rPr>
              <w:t>1</w:t>
            </w:r>
            <w:r>
              <w:rPr>
                <w:rFonts w:cs="Times New Roman"/>
              </w:rPr>
              <w:t>小时平均</w:t>
            </w:r>
          </w:p>
        </w:tc>
        <w:tc>
          <w:tcPr>
            <w:tcW w:w="1948" w:type="dxa"/>
            <w:shd w:val="clear" w:color="auto" w:fill="auto"/>
            <w:vAlign w:val="center"/>
          </w:tcPr>
          <w:p w:rsidR="00525419" w:rsidRDefault="00EE1CF7">
            <w:pPr>
              <w:pStyle w:val="B2"/>
              <w:rPr>
                <w:rFonts w:cs="Times New Roman"/>
              </w:rPr>
            </w:pPr>
            <w:r>
              <w:rPr>
                <w:rFonts w:cs="Times New Roman"/>
              </w:rPr>
              <w:t>200</w:t>
            </w:r>
          </w:p>
        </w:tc>
        <w:tc>
          <w:tcPr>
            <w:tcW w:w="3100" w:type="dxa"/>
            <w:vMerge/>
            <w:shd w:val="clear" w:color="auto" w:fill="auto"/>
            <w:vAlign w:val="center"/>
          </w:tcPr>
          <w:p w:rsidR="00525419" w:rsidRDefault="00525419">
            <w:pPr>
              <w:pStyle w:val="B2"/>
              <w:rPr>
                <w:rFonts w:cs="Times New Roman"/>
              </w:rPr>
            </w:pPr>
          </w:p>
        </w:tc>
      </w:tr>
      <w:tr w:rsidR="00525419">
        <w:trPr>
          <w:trHeight w:val="397"/>
          <w:jc w:val="center"/>
        </w:trPr>
        <w:tc>
          <w:tcPr>
            <w:tcW w:w="1669" w:type="dxa"/>
            <w:shd w:val="clear" w:color="auto" w:fill="auto"/>
            <w:vAlign w:val="center"/>
          </w:tcPr>
          <w:p w:rsidR="00525419" w:rsidRDefault="00EE1CF7">
            <w:pPr>
              <w:pStyle w:val="B2"/>
              <w:rPr>
                <w:rFonts w:cs="Times New Roman"/>
              </w:rPr>
            </w:pPr>
            <w:r>
              <w:rPr>
                <w:rFonts w:cs="Times New Roman"/>
              </w:rPr>
              <w:t>非甲烷总烃</w:t>
            </w:r>
          </w:p>
        </w:tc>
        <w:tc>
          <w:tcPr>
            <w:tcW w:w="1788" w:type="dxa"/>
            <w:shd w:val="clear" w:color="auto" w:fill="auto"/>
            <w:vAlign w:val="center"/>
          </w:tcPr>
          <w:p w:rsidR="00525419" w:rsidRDefault="00EE1CF7">
            <w:pPr>
              <w:pStyle w:val="B2"/>
              <w:rPr>
                <w:rFonts w:cs="Times New Roman"/>
              </w:rPr>
            </w:pPr>
            <w:r>
              <w:rPr>
                <w:rFonts w:cs="Times New Roman"/>
              </w:rPr>
              <w:t>一次值</w:t>
            </w:r>
          </w:p>
        </w:tc>
        <w:tc>
          <w:tcPr>
            <w:tcW w:w="1948" w:type="dxa"/>
            <w:shd w:val="clear" w:color="auto" w:fill="auto"/>
            <w:vAlign w:val="center"/>
          </w:tcPr>
          <w:p w:rsidR="00525419" w:rsidRDefault="00EE1CF7">
            <w:pPr>
              <w:pStyle w:val="B2"/>
              <w:rPr>
                <w:rFonts w:cs="Times New Roman"/>
              </w:rPr>
            </w:pPr>
            <w:r>
              <w:rPr>
                <w:rFonts w:cs="Times New Roman"/>
              </w:rPr>
              <w:t>2000</w:t>
            </w:r>
          </w:p>
        </w:tc>
        <w:tc>
          <w:tcPr>
            <w:tcW w:w="3100" w:type="dxa"/>
            <w:shd w:val="clear" w:color="auto" w:fill="auto"/>
            <w:vAlign w:val="center"/>
          </w:tcPr>
          <w:p w:rsidR="00525419" w:rsidRDefault="00EE1CF7">
            <w:pPr>
              <w:pStyle w:val="B2"/>
              <w:rPr>
                <w:rFonts w:cs="Times New Roman"/>
              </w:rPr>
            </w:pPr>
            <w:r>
              <w:rPr>
                <w:rFonts w:cs="Times New Roman"/>
              </w:rPr>
              <w:t>《大气污染物综合排放标准详解》</w:t>
            </w:r>
          </w:p>
        </w:tc>
      </w:tr>
      <w:tr w:rsidR="00525419">
        <w:trPr>
          <w:trHeight w:val="784"/>
          <w:jc w:val="center"/>
        </w:trPr>
        <w:tc>
          <w:tcPr>
            <w:tcW w:w="1669" w:type="dxa"/>
            <w:shd w:val="clear" w:color="auto" w:fill="auto"/>
            <w:vAlign w:val="center"/>
          </w:tcPr>
          <w:p w:rsidR="00525419" w:rsidRDefault="00EE1CF7">
            <w:pPr>
              <w:pStyle w:val="B2"/>
              <w:rPr>
                <w:rFonts w:cs="Times New Roman"/>
              </w:rPr>
            </w:pPr>
            <w:r>
              <w:rPr>
                <w:rFonts w:cs="Times New Roman"/>
              </w:rPr>
              <w:t>NH</w:t>
            </w:r>
            <w:r>
              <w:rPr>
                <w:rFonts w:cs="Times New Roman"/>
                <w:vertAlign w:val="subscript"/>
              </w:rPr>
              <w:t>3</w:t>
            </w:r>
          </w:p>
        </w:tc>
        <w:tc>
          <w:tcPr>
            <w:tcW w:w="1788" w:type="dxa"/>
            <w:shd w:val="clear" w:color="auto" w:fill="auto"/>
            <w:vAlign w:val="center"/>
          </w:tcPr>
          <w:p w:rsidR="00525419" w:rsidRDefault="00EE1CF7">
            <w:pPr>
              <w:pStyle w:val="B2"/>
              <w:rPr>
                <w:rFonts w:cs="Times New Roman"/>
              </w:rPr>
            </w:pPr>
            <w:r>
              <w:rPr>
                <w:rFonts w:cs="Times New Roman"/>
              </w:rPr>
              <w:t>1</w:t>
            </w:r>
            <w:r>
              <w:rPr>
                <w:rFonts w:cs="Times New Roman"/>
              </w:rPr>
              <w:t>小时平均</w:t>
            </w:r>
          </w:p>
        </w:tc>
        <w:tc>
          <w:tcPr>
            <w:tcW w:w="1948" w:type="dxa"/>
            <w:shd w:val="clear" w:color="auto" w:fill="auto"/>
            <w:vAlign w:val="center"/>
          </w:tcPr>
          <w:p w:rsidR="00525419" w:rsidRDefault="00EE1CF7">
            <w:pPr>
              <w:pStyle w:val="B2"/>
              <w:rPr>
                <w:rFonts w:cs="Times New Roman"/>
              </w:rPr>
            </w:pPr>
            <w:r>
              <w:rPr>
                <w:rFonts w:cs="Times New Roman"/>
              </w:rPr>
              <w:t>200</w:t>
            </w:r>
          </w:p>
        </w:tc>
        <w:tc>
          <w:tcPr>
            <w:tcW w:w="3100" w:type="dxa"/>
            <w:vMerge w:val="restart"/>
            <w:shd w:val="clear" w:color="auto" w:fill="auto"/>
            <w:vAlign w:val="center"/>
          </w:tcPr>
          <w:p w:rsidR="00525419" w:rsidRDefault="00EE1CF7">
            <w:pPr>
              <w:pStyle w:val="B2"/>
              <w:rPr>
                <w:rFonts w:cs="Times New Roman"/>
              </w:rPr>
            </w:pPr>
            <w:r>
              <w:rPr>
                <w:rFonts w:cs="Times New Roman"/>
              </w:rPr>
              <w:t>《环境影响评价技术导则</w:t>
            </w:r>
            <w:r>
              <w:rPr>
                <w:rFonts w:cs="Times New Roman"/>
              </w:rPr>
              <w:t xml:space="preserve"> </w:t>
            </w:r>
            <w:r>
              <w:rPr>
                <w:rFonts w:cs="Times New Roman"/>
              </w:rPr>
              <w:t>大气环境》（</w:t>
            </w:r>
            <w:r>
              <w:rPr>
                <w:rFonts w:cs="Times New Roman"/>
              </w:rPr>
              <w:t>HJ2.2-2018</w:t>
            </w:r>
            <w:r>
              <w:rPr>
                <w:rFonts w:cs="Times New Roman"/>
              </w:rPr>
              <w:t>）中附录</w:t>
            </w:r>
            <w:r>
              <w:rPr>
                <w:rFonts w:cs="Times New Roman"/>
              </w:rPr>
              <w:t>D</w:t>
            </w:r>
          </w:p>
        </w:tc>
      </w:tr>
      <w:tr w:rsidR="00525419">
        <w:trPr>
          <w:trHeight w:val="397"/>
          <w:jc w:val="center"/>
        </w:trPr>
        <w:tc>
          <w:tcPr>
            <w:tcW w:w="1669" w:type="dxa"/>
            <w:shd w:val="clear" w:color="auto" w:fill="auto"/>
            <w:vAlign w:val="center"/>
          </w:tcPr>
          <w:p w:rsidR="00525419" w:rsidRDefault="00EE1CF7">
            <w:pPr>
              <w:pStyle w:val="B2"/>
              <w:rPr>
                <w:rFonts w:cs="Times New Roman"/>
              </w:rPr>
            </w:pPr>
            <w:r>
              <w:rPr>
                <w:rFonts w:cs="Times New Roman"/>
              </w:rPr>
              <w:t>H</w:t>
            </w:r>
            <w:r>
              <w:rPr>
                <w:rFonts w:cs="Times New Roman"/>
                <w:vertAlign w:val="subscript"/>
              </w:rPr>
              <w:t>2</w:t>
            </w:r>
            <w:r>
              <w:rPr>
                <w:rFonts w:cs="Times New Roman"/>
              </w:rPr>
              <w:t>S</w:t>
            </w:r>
          </w:p>
        </w:tc>
        <w:tc>
          <w:tcPr>
            <w:tcW w:w="1788" w:type="dxa"/>
            <w:shd w:val="clear" w:color="auto" w:fill="auto"/>
            <w:vAlign w:val="center"/>
          </w:tcPr>
          <w:p w:rsidR="00525419" w:rsidRDefault="00EE1CF7">
            <w:pPr>
              <w:pStyle w:val="B2"/>
              <w:rPr>
                <w:rFonts w:cs="Times New Roman"/>
              </w:rPr>
            </w:pPr>
            <w:r>
              <w:rPr>
                <w:rFonts w:cs="Times New Roman"/>
              </w:rPr>
              <w:t>1</w:t>
            </w:r>
            <w:r>
              <w:rPr>
                <w:rFonts w:cs="Times New Roman"/>
              </w:rPr>
              <w:t>小时平均</w:t>
            </w:r>
          </w:p>
        </w:tc>
        <w:tc>
          <w:tcPr>
            <w:tcW w:w="1948" w:type="dxa"/>
            <w:shd w:val="clear" w:color="auto" w:fill="auto"/>
            <w:vAlign w:val="center"/>
          </w:tcPr>
          <w:p w:rsidR="00525419" w:rsidRDefault="00EE1CF7">
            <w:pPr>
              <w:pStyle w:val="B2"/>
              <w:rPr>
                <w:rFonts w:cs="Times New Roman"/>
              </w:rPr>
            </w:pPr>
            <w:r>
              <w:rPr>
                <w:rFonts w:cs="Times New Roman"/>
              </w:rPr>
              <w:t>10</w:t>
            </w:r>
          </w:p>
        </w:tc>
        <w:tc>
          <w:tcPr>
            <w:tcW w:w="3100" w:type="dxa"/>
            <w:vMerge/>
            <w:shd w:val="clear" w:color="auto" w:fill="auto"/>
            <w:vAlign w:val="center"/>
          </w:tcPr>
          <w:p w:rsidR="00525419" w:rsidRDefault="00525419">
            <w:pPr>
              <w:pStyle w:val="B2"/>
              <w:rPr>
                <w:rFonts w:cs="Times New Roman"/>
              </w:rPr>
            </w:pPr>
          </w:p>
        </w:tc>
      </w:tr>
    </w:tbl>
    <w:p w:rsidR="00525419" w:rsidRDefault="00EE1CF7">
      <w:pPr>
        <w:pStyle w:val="B1"/>
        <w:ind w:firstLine="480"/>
        <w:rPr>
          <w:rFonts w:cs="Times New Roman"/>
          <w:lang w:val="zh-CN"/>
        </w:rPr>
      </w:pPr>
      <w:r>
        <w:rPr>
          <w:rFonts w:cs="Times New Roman"/>
          <w:lang w:val="zh-CN"/>
        </w:rPr>
        <w:t>（</w:t>
      </w:r>
      <w:r>
        <w:rPr>
          <w:rFonts w:cs="Times New Roman"/>
          <w:lang w:val="zh-CN"/>
        </w:rPr>
        <w:t>2</w:t>
      </w:r>
      <w:r>
        <w:rPr>
          <w:rFonts w:cs="Times New Roman"/>
          <w:lang w:val="zh-CN"/>
        </w:rPr>
        <w:t>）地下水质量标准</w:t>
      </w:r>
    </w:p>
    <w:p w:rsidR="00525419" w:rsidRDefault="00EE1CF7">
      <w:pPr>
        <w:pStyle w:val="B1"/>
        <w:ind w:firstLine="480"/>
        <w:rPr>
          <w:rFonts w:cs="Times New Roman"/>
          <w:lang w:val="zh-CN"/>
        </w:rPr>
      </w:pPr>
      <w:r>
        <w:rPr>
          <w:rFonts w:cs="Times New Roman"/>
          <w:lang w:val="zh-CN"/>
        </w:rPr>
        <w:t>周边区域地下水环境质量执行《地下水质量标准》（</w:t>
      </w:r>
      <w:r>
        <w:rPr>
          <w:rFonts w:cs="Times New Roman"/>
          <w:lang w:val="zh-CN"/>
        </w:rPr>
        <w:t>GB/T14848-2017</w:t>
      </w:r>
      <w:r>
        <w:rPr>
          <w:rFonts w:cs="Times New Roman"/>
          <w:lang w:val="zh-CN"/>
        </w:rPr>
        <w:t>）中</w:t>
      </w:r>
      <w:r>
        <w:rPr>
          <w:rFonts w:cs="Times New Roman"/>
          <w:lang w:val="zh-CN"/>
        </w:rPr>
        <w:t>Ⅲ</w:t>
      </w:r>
      <w:r>
        <w:rPr>
          <w:rFonts w:cs="Times New Roman"/>
          <w:lang w:val="zh-CN"/>
        </w:rPr>
        <w:t>类标准。标准值见表</w:t>
      </w:r>
      <w:r>
        <w:rPr>
          <w:rFonts w:cs="Times New Roman"/>
        </w:rPr>
        <w:t>2.2-5</w:t>
      </w:r>
      <w:r>
        <w:rPr>
          <w:rFonts w:cs="Times New Roman"/>
          <w:lang w:val="zh-CN"/>
        </w:rPr>
        <w:t>。</w:t>
      </w:r>
    </w:p>
    <w:p w:rsidR="00525419" w:rsidRDefault="00525419">
      <w:pPr>
        <w:spacing w:line="240" w:lineRule="atLeast"/>
        <w:jc w:val="center"/>
        <w:rPr>
          <w:rFonts w:ascii="Times New Roman" w:eastAsia="黑体" w:hAnsi="Times New Roman"/>
          <w:szCs w:val="21"/>
        </w:rPr>
      </w:pPr>
    </w:p>
    <w:p w:rsidR="00525419" w:rsidRDefault="00EE1CF7">
      <w:pPr>
        <w:spacing w:line="240" w:lineRule="atLeast"/>
        <w:jc w:val="center"/>
        <w:rPr>
          <w:rFonts w:ascii="Times New Roman" w:eastAsia="黑体" w:hAnsi="Times New Roman"/>
          <w:szCs w:val="21"/>
        </w:rPr>
      </w:pPr>
      <w:r>
        <w:rPr>
          <w:rFonts w:ascii="Times New Roman" w:eastAsia="黑体" w:hAnsi="Times New Roman"/>
          <w:szCs w:val="21"/>
        </w:rPr>
        <w:lastRenderedPageBreak/>
        <w:t>表</w:t>
      </w:r>
      <w:r>
        <w:rPr>
          <w:rFonts w:ascii="Times New Roman" w:eastAsia="黑体" w:hAnsi="Times New Roman"/>
          <w:szCs w:val="21"/>
        </w:rPr>
        <w:t xml:space="preserve">2.2-5  </w:t>
      </w:r>
      <w:r>
        <w:rPr>
          <w:rFonts w:ascii="Times New Roman" w:eastAsia="黑体" w:hAnsi="Times New Roman"/>
          <w:szCs w:val="21"/>
        </w:rPr>
        <w:t>地下水质量标准</w:t>
      </w:r>
    </w:p>
    <w:tbl>
      <w:tblPr>
        <w:tblW w:w="835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91"/>
        <w:gridCol w:w="2684"/>
        <w:gridCol w:w="2684"/>
      </w:tblGrid>
      <w:tr w:rsidR="00525419">
        <w:trPr>
          <w:trHeight w:val="369"/>
          <w:jc w:val="center"/>
        </w:trPr>
        <w:tc>
          <w:tcPr>
            <w:tcW w:w="299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检测项目</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单位</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标准</w:t>
            </w:r>
          </w:p>
        </w:tc>
      </w:tr>
      <w:tr w:rsidR="00525419">
        <w:trPr>
          <w:trHeight w:val="369"/>
          <w:jc w:val="center"/>
        </w:trPr>
        <w:tc>
          <w:tcPr>
            <w:tcW w:w="299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pH</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无量纲</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6.5</w:t>
            </w:r>
            <w:r>
              <w:rPr>
                <w:rFonts w:ascii="Times New Roman" w:hAnsi="Times New Roman"/>
                <w:kern w:val="0"/>
                <w:szCs w:val="24"/>
              </w:rPr>
              <w:t>～</w:t>
            </w:r>
            <w:r>
              <w:rPr>
                <w:rFonts w:ascii="Times New Roman" w:hAnsi="Times New Roman"/>
                <w:kern w:val="0"/>
                <w:szCs w:val="24"/>
              </w:rPr>
              <w:t>8.5</w:t>
            </w:r>
          </w:p>
        </w:tc>
      </w:tr>
      <w:tr w:rsidR="00525419">
        <w:trPr>
          <w:trHeight w:val="369"/>
          <w:jc w:val="center"/>
        </w:trPr>
        <w:tc>
          <w:tcPr>
            <w:tcW w:w="299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氨氮</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0.5</w:t>
            </w:r>
          </w:p>
        </w:tc>
      </w:tr>
      <w:tr w:rsidR="00525419">
        <w:trPr>
          <w:trHeight w:val="369"/>
          <w:jc w:val="center"/>
        </w:trPr>
        <w:tc>
          <w:tcPr>
            <w:tcW w:w="299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硝酸盐氮</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20</w:t>
            </w:r>
          </w:p>
        </w:tc>
      </w:tr>
      <w:tr w:rsidR="00525419">
        <w:trPr>
          <w:trHeight w:val="369"/>
          <w:jc w:val="center"/>
        </w:trPr>
        <w:tc>
          <w:tcPr>
            <w:tcW w:w="299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亚硝酸盐氮</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w:t>
            </w:r>
          </w:p>
        </w:tc>
      </w:tr>
      <w:tr w:rsidR="00525419">
        <w:trPr>
          <w:trHeight w:val="369"/>
          <w:jc w:val="center"/>
        </w:trPr>
        <w:tc>
          <w:tcPr>
            <w:tcW w:w="299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挥发酚</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0.002</w:t>
            </w:r>
          </w:p>
        </w:tc>
      </w:tr>
      <w:tr w:rsidR="00525419">
        <w:trPr>
          <w:trHeight w:val="369"/>
          <w:jc w:val="center"/>
        </w:trPr>
        <w:tc>
          <w:tcPr>
            <w:tcW w:w="299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氰化物</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0.05</w:t>
            </w:r>
          </w:p>
        </w:tc>
      </w:tr>
      <w:tr w:rsidR="00525419">
        <w:trPr>
          <w:trHeight w:val="369"/>
          <w:jc w:val="center"/>
        </w:trPr>
        <w:tc>
          <w:tcPr>
            <w:tcW w:w="299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砷</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0.01</w:t>
            </w:r>
          </w:p>
        </w:tc>
      </w:tr>
      <w:tr w:rsidR="00525419">
        <w:trPr>
          <w:trHeight w:val="369"/>
          <w:jc w:val="center"/>
        </w:trPr>
        <w:tc>
          <w:tcPr>
            <w:tcW w:w="299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汞</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0.001</w:t>
            </w:r>
          </w:p>
        </w:tc>
      </w:tr>
      <w:tr w:rsidR="00525419">
        <w:trPr>
          <w:trHeight w:val="369"/>
          <w:jc w:val="center"/>
        </w:trPr>
        <w:tc>
          <w:tcPr>
            <w:tcW w:w="299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六价铬</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0.05</w:t>
            </w:r>
          </w:p>
        </w:tc>
      </w:tr>
      <w:tr w:rsidR="00525419">
        <w:trPr>
          <w:trHeight w:val="369"/>
          <w:jc w:val="center"/>
        </w:trPr>
        <w:tc>
          <w:tcPr>
            <w:tcW w:w="299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钙和镁总量（总硬度）</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450</w:t>
            </w:r>
          </w:p>
        </w:tc>
      </w:tr>
      <w:tr w:rsidR="00525419">
        <w:trPr>
          <w:trHeight w:val="369"/>
          <w:jc w:val="center"/>
        </w:trPr>
        <w:tc>
          <w:tcPr>
            <w:tcW w:w="299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铅</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0.01</w:t>
            </w:r>
          </w:p>
        </w:tc>
      </w:tr>
      <w:tr w:rsidR="00525419">
        <w:trPr>
          <w:trHeight w:val="369"/>
          <w:jc w:val="center"/>
        </w:trPr>
        <w:tc>
          <w:tcPr>
            <w:tcW w:w="299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氟化物</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w:t>
            </w:r>
          </w:p>
        </w:tc>
      </w:tr>
      <w:tr w:rsidR="00525419">
        <w:trPr>
          <w:trHeight w:val="369"/>
          <w:jc w:val="center"/>
        </w:trPr>
        <w:tc>
          <w:tcPr>
            <w:tcW w:w="299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镉</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0.005</w:t>
            </w:r>
          </w:p>
        </w:tc>
      </w:tr>
      <w:tr w:rsidR="00525419">
        <w:trPr>
          <w:trHeight w:val="369"/>
          <w:jc w:val="center"/>
        </w:trPr>
        <w:tc>
          <w:tcPr>
            <w:tcW w:w="299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铁</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0.3</w:t>
            </w:r>
          </w:p>
        </w:tc>
      </w:tr>
      <w:tr w:rsidR="00525419">
        <w:trPr>
          <w:trHeight w:val="369"/>
          <w:jc w:val="center"/>
        </w:trPr>
        <w:tc>
          <w:tcPr>
            <w:tcW w:w="299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锰</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0.1</w:t>
            </w:r>
          </w:p>
        </w:tc>
      </w:tr>
      <w:tr w:rsidR="00525419">
        <w:trPr>
          <w:trHeight w:val="369"/>
          <w:jc w:val="center"/>
        </w:trPr>
        <w:tc>
          <w:tcPr>
            <w:tcW w:w="299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溶解性总固体</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1000</w:t>
            </w:r>
          </w:p>
        </w:tc>
      </w:tr>
      <w:tr w:rsidR="00525419">
        <w:trPr>
          <w:trHeight w:val="369"/>
          <w:jc w:val="center"/>
        </w:trPr>
        <w:tc>
          <w:tcPr>
            <w:tcW w:w="299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耗氧量（高锰酸盐指数）</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w:t>
            </w:r>
          </w:p>
        </w:tc>
      </w:tr>
      <w:tr w:rsidR="00525419">
        <w:trPr>
          <w:trHeight w:val="369"/>
          <w:jc w:val="center"/>
        </w:trPr>
        <w:tc>
          <w:tcPr>
            <w:tcW w:w="299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硫酸盐</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250</w:t>
            </w:r>
          </w:p>
        </w:tc>
      </w:tr>
      <w:tr w:rsidR="00525419">
        <w:trPr>
          <w:trHeight w:val="369"/>
          <w:jc w:val="center"/>
        </w:trPr>
        <w:tc>
          <w:tcPr>
            <w:tcW w:w="299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氯化物</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250</w:t>
            </w:r>
          </w:p>
        </w:tc>
      </w:tr>
      <w:tr w:rsidR="00525419">
        <w:trPr>
          <w:trHeight w:val="369"/>
          <w:jc w:val="center"/>
        </w:trPr>
        <w:tc>
          <w:tcPr>
            <w:tcW w:w="299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总大肠菌群</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MPN/100mL</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w:t>
            </w:r>
          </w:p>
        </w:tc>
      </w:tr>
      <w:tr w:rsidR="00525419">
        <w:trPr>
          <w:trHeight w:val="369"/>
          <w:jc w:val="center"/>
        </w:trPr>
        <w:tc>
          <w:tcPr>
            <w:tcW w:w="299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石油类</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268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0.05</w:t>
            </w:r>
          </w:p>
        </w:tc>
      </w:tr>
    </w:tbl>
    <w:p w:rsidR="00525419" w:rsidRDefault="00EE1CF7">
      <w:pPr>
        <w:pStyle w:val="B1"/>
        <w:ind w:firstLine="480"/>
        <w:rPr>
          <w:rFonts w:cs="Times New Roman"/>
        </w:rPr>
      </w:pPr>
      <w:r>
        <w:rPr>
          <w:rFonts w:cs="Times New Roman"/>
        </w:rPr>
        <w:t>（</w:t>
      </w:r>
      <w:r>
        <w:rPr>
          <w:rFonts w:cs="Times New Roman"/>
        </w:rPr>
        <w:t>3</w:t>
      </w:r>
      <w:r>
        <w:rPr>
          <w:rFonts w:cs="Times New Roman"/>
        </w:rPr>
        <w:t>）声环境评价标准</w:t>
      </w:r>
    </w:p>
    <w:p w:rsidR="00525419" w:rsidRDefault="00EE1CF7">
      <w:pPr>
        <w:pStyle w:val="B1"/>
        <w:ind w:firstLine="480"/>
        <w:jc w:val="both"/>
        <w:rPr>
          <w:rFonts w:cs="Times New Roman"/>
        </w:rPr>
      </w:pPr>
      <w:r>
        <w:rPr>
          <w:rFonts w:cs="Times New Roman"/>
        </w:rPr>
        <w:t>按项目所在区域环境功能区划分，声环境采用《声环境质量标准》（</w:t>
      </w:r>
      <w:r>
        <w:rPr>
          <w:rFonts w:cs="Times New Roman"/>
        </w:rPr>
        <w:t>GB3096-2008</w:t>
      </w:r>
      <w:r>
        <w:rPr>
          <w:rFonts w:cs="Times New Roman"/>
        </w:rPr>
        <w:t>）中的</w:t>
      </w:r>
      <w:r>
        <w:rPr>
          <w:rFonts w:cs="Times New Roman"/>
        </w:rPr>
        <w:t>3</w:t>
      </w:r>
      <w:r>
        <w:rPr>
          <w:rFonts w:cs="Times New Roman"/>
        </w:rPr>
        <w:t>类标准，昼间</w:t>
      </w:r>
      <w:r>
        <w:rPr>
          <w:rFonts w:cs="Times New Roman"/>
        </w:rPr>
        <w:t>65dB</w:t>
      </w:r>
      <w:r>
        <w:rPr>
          <w:rFonts w:cs="Times New Roman"/>
        </w:rPr>
        <w:t>（</w:t>
      </w:r>
      <w:r>
        <w:rPr>
          <w:rFonts w:cs="Times New Roman"/>
        </w:rPr>
        <w:t>A</w:t>
      </w:r>
      <w:r>
        <w:rPr>
          <w:rFonts w:cs="Times New Roman"/>
        </w:rPr>
        <w:t>），夜间</w:t>
      </w:r>
      <w:r>
        <w:rPr>
          <w:rFonts w:cs="Times New Roman"/>
        </w:rPr>
        <w:t>55dB</w:t>
      </w:r>
      <w:r>
        <w:rPr>
          <w:rFonts w:cs="Times New Roman"/>
        </w:rPr>
        <w:t>（</w:t>
      </w:r>
      <w:r>
        <w:rPr>
          <w:rFonts w:cs="Times New Roman"/>
        </w:rPr>
        <w:t>A</w:t>
      </w:r>
      <w:r>
        <w:rPr>
          <w:rFonts w:cs="Times New Roman"/>
        </w:rPr>
        <w:t>），其值见表</w:t>
      </w:r>
      <w:r>
        <w:rPr>
          <w:rFonts w:cs="Times New Roman"/>
        </w:rPr>
        <w:t>2.2-6</w:t>
      </w:r>
      <w:r>
        <w:rPr>
          <w:rFonts w:cs="Times New Roman"/>
        </w:rPr>
        <w:t>。</w:t>
      </w:r>
    </w:p>
    <w:p w:rsidR="00525419" w:rsidRDefault="00EE1CF7">
      <w:pPr>
        <w:spacing w:line="240" w:lineRule="atLeast"/>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2.2-6  </w:t>
      </w:r>
      <w:r>
        <w:rPr>
          <w:rFonts w:ascii="Times New Roman" w:eastAsia="黑体" w:hAnsi="Times New Roman"/>
          <w:szCs w:val="21"/>
        </w:rPr>
        <w:t>噪声评价标准</w:t>
      </w:r>
    </w:p>
    <w:tbl>
      <w:tblPr>
        <w:tblW w:w="85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368"/>
        <w:gridCol w:w="1843"/>
        <w:gridCol w:w="1919"/>
        <w:gridCol w:w="2375"/>
      </w:tblGrid>
      <w:tr w:rsidR="00525419">
        <w:trPr>
          <w:trHeight w:val="397"/>
          <w:jc w:val="center"/>
        </w:trPr>
        <w:tc>
          <w:tcPr>
            <w:tcW w:w="2368" w:type="dxa"/>
            <w:vMerge w:val="restart"/>
            <w:vAlign w:val="center"/>
          </w:tcPr>
          <w:p w:rsidR="00525419" w:rsidRDefault="00EE1CF7">
            <w:pPr>
              <w:pStyle w:val="B2"/>
              <w:rPr>
                <w:rFonts w:cs="Times New Roman"/>
              </w:rPr>
            </w:pPr>
            <w:r>
              <w:rPr>
                <w:rFonts w:cs="Times New Roman"/>
              </w:rPr>
              <w:t>适应区域</w:t>
            </w:r>
          </w:p>
        </w:tc>
        <w:tc>
          <w:tcPr>
            <w:tcW w:w="3762" w:type="dxa"/>
            <w:gridSpan w:val="2"/>
            <w:vAlign w:val="center"/>
          </w:tcPr>
          <w:p w:rsidR="00525419" w:rsidRDefault="00EE1CF7">
            <w:pPr>
              <w:pStyle w:val="B2"/>
              <w:rPr>
                <w:rFonts w:cs="Times New Roman"/>
              </w:rPr>
            </w:pPr>
            <w:r>
              <w:rPr>
                <w:rFonts w:cs="Times New Roman"/>
              </w:rPr>
              <w:t>标准值</w:t>
            </w:r>
            <w:r>
              <w:rPr>
                <w:rFonts w:cs="Times New Roman"/>
              </w:rPr>
              <w:t>dB(A)</w:t>
            </w:r>
          </w:p>
        </w:tc>
        <w:tc>
          <w:tcPr>
            <w:tcW w:w="2375" w:type="dxa"/>
            <w:vMerge w:val="restart"/>
            <w:vAlign w:val="center"/>
          </w:tcPr>
          <w:p w:rsidR="00525419" w:rsidRDefault="00EE1CF7">
            <w:pPr>
              <w:pStyle w:val="B2"/>
              <w:rPr>
                <w:rFonts w:cs="Times New Roman"/>
              </w:rPr>
            </w:pPr>
            <w:r>
              <w:rPr>
                <w:rFonts w:cs="Times New Roman"/>
              </w:rPr>
              <w:t>标准来源</w:t>
            </w:r>
          </w:p>
        </w:tc>
      </w:tr>
      <w:tr w:rsidR="00525419">
        <w:trPr>
          <w:trHeight w:val="397"/>
          <w:jc w:val="center"/>
        </w:trPr>
        <w:tc>
          <w:tcPr>
            <w:tcW w:w="2368" w:type="dxa"/>
            <w:vMerge/>
            <w:vAlign w:val="center"/>
          </w:tcPr>
          <w:p w:rsidR="00525419" w:rsidRDefault="00525419">
            <w:pPr>
              <w:pStyle w:val="B2"/>
              <w:rPr>
                <w:rFonts w:cs="Times New Roman"/>
              </w:rPr>
            </w:pPr>
          </w:p>
        </w:tc>
        <w:tc>
          <w:tcPr>
            <w:tcW w:w="1843" w:type="dxa"/>
            <w:vAlign w:val="center"/>
          </w:tcPr>
          <w:p w:rsidR="00525419" w:rsidRDefault="00EE1CF7">
            <w:pPr>
              <w:pStyle w:val="B2"/>
              <w:rPr>
                <w:rFonts w:cs="Times New Roman"/>
              </w:rPr>
            </w:pPr>
            <w:r>
              <w:rPr>
                <w:rFonts w:cs="Times New Roman"/>
              </w:rPr>
              <w:t>昼间</w:t>
            </w:r>
          </w:p>
        </w:tc>
        <w:tc>
          <w:tcPr>
            <w:tcW w:w="1919" w:type="dxa"/>
            <w:vAlign w:val="center"/>
          </w:tcPr>
          <w:p w:rsidR="00525419" w:rsidRDefault="00EE1CF7">
            <w:pPr>
              <w:pStyle w:val="B2"/>
              <w:rPr>
                <w:rFonts w:cs="Times New Roman"/>
              </w:rPr>
            </w:pPr>
            <w:r>
              <w:rPr>
                <w:rFonts w:cs="Times New Roman"/>
              </w:rPr>
              <w:t>夜间</w:t>
            </w:r>
          </w:p>
        </w:tc>
        <w:tc>
          <w:tcPr>
            <w:tcW w:w="2375" w:type="dxa"/>
            <w:vMerge/>
            <w:vAlign w:val="center"/>
          </w:tcPr>
          <w:p w:rsidR="00525419" w:rsidRDefault="00525419">
            <w:pPr>
              <w:pStyle w:val="B2"/>
              <w:rPr>
                <w:rFonts w:cs="Times New Roman"/>
              </w:rPr>
            </w:pPr>
          </w:p>
        </w:tc>
      </w:tr>
      <w:tr w:rsidR="00525419">
        <w:trPr>
          <w:trHeight w:val="397"/>
          <w:jc w:val="center"/>
        </w:trPr>
        <w:tc>
          <w:tcPr>
            <w:tcW w:w="2368" w:type="dxa"/>
            <w:vAlign w:val="center"/>
          </w:tcPr>
          <w:p w:rsidR="00525419" w:rsidRDefault="00EE1CF7">
            <w:pPr>
              <w:pStyle w:val="B2"/>
              <w:rPr>
                <w:rFonts w:cs="Times New Roman"/>
              </w:rPr>
            </w:pPr>
            <w:r>
              <w:rPr>
                <w:rFonts w:cs="Times New Roman"/>
              </w:rPr>
              <w:t>环境噪声</w:t>
            </w:r>
          </w:p>
        </w:tc>
        <w:tc>
          <w:tcPr>
            <w:tcW w:w="1843" w:type="dxa"/>
            <w:vAlign w:val="center"/>
          </w:tcPr>
          <w:p w:rsidR="00525419" w:rsidRDefault="00EE1CF7">
            <w:pPr>
              <w:pStyle w:val="B2"/>
              <w:rPr>
                <w:rFonts w:cs="Times New Roman"/>
              </w:rPr>
            </w:pPr>
            <w:r>
              <w:rPr>
                <w:rFonts w:cs="Times New Roman"/>
              </w:rPr>
              <w:t>65</w:t>
            </w:r>
          </w:p>
        </w:tc>
        <w:tc>
          <w:tcPr>
            <w:tcW w:w="1919" w:type="dxa"/>
            <w:vAlign w:val="center"/>
          </w:tcPr>
          <w:p w:rsidR="00525419" w:rsidRDefault="00EE1CF7">
            <w:pPr>
              <w:pStyle w:val="B2"/>
              <w:rPr>
                <w:rFonts w:cs="Times New Roman"/>
              </w:rPr>
            </w:pPr>
            <w:r>
              <w:rPr>
                <w:rFonts w:cs="Times New Roman"/>
              </w:rPr>
              <w:t>55</w:t>
            </w:r>
          </w:p>
        </w:tc>
        <w:tc>
          <w:tcPr>
            <w:tcW w:w="2375" w:type="dxa"/>
            <w:vAlign w:val="center"/>
          </w:tcPr>
          <w:p w:rsidR="00525419" w:rsidRDefault="00EE1CF7">
            <w:pPr>
              <w:pStyle w:val="B2"/>
              <w:rPr>
                <w:rFonts w:cs="Times New Roman"/>
              </w:rPr>
            </w:pPr>
            <w:r>
              <w:rPr>
                <w:rFonts w:cs="Times New Roman"/>
              </w:rPr>
              <w:t>GB3096-2008</w:t>
            </w:r>
          </w:p>
        </w:tc>
      </w:tr>
    </w:tbl>
    <w:p w:rsidR="00525419" w:rsidRDefault="00EE1CF7">
      <w:pPr>
        <w:pStyle w:val="B1"/>
        <w:ind w:firstLine="480"/>
        <w:rPr>
          <w:rFonts w:cs="Times New Roman"/>
        </w:rPr>
      </w:pPr>
      <w:r>
        <w:rPr>
          <w:rFonts w:cs="Times New Roman"/>
        </w:rPr>
        <w:t>（</w:t>
      </w:r>
      <w:r>
        <w:rPr>
          <w:rFonts w:cs="Times New Roman"/>
        </w:rPr>
        <w:t>4</w:t>
      </w:r>
      <w:r>
        <w:rPr>
          <w:rFonts w:cs="Times New Roman"/>
        </w:rPr>
        <w:t>）土壤环境质量标准</w:t>
      </w:r>
    </w:p>
    <w:p w:rsidR="00525419" w:rsidRDefault="00EE1CF7">
      <w:pPr>
        <w:pStyle w:val="B1"/>
        <w:ind w:firstLine="480"/>
        <w:rPr>
          <w:rFonts w:cs="Times New Roman"/>
          <w:szCs w:val="21"/>
          <w:lang w:val="zh-CN"/>
        </w:rPr>
      </w:pPr>
      <w:r>
        <w:rPr>
          <w:rFonts w:cs="Times New Roman"/>
          <w:szCs w:val="21"/>
          <w:lang w:val="zh-CN"/>
        </w:rPr>
        <w:t>根据《土壤环境质量</w:t>
      </w:r>
      <w:r>
        <w:rPr>
          <w:rFonts w:cs="Times New Roman"/>
          <w:szCs w:val="21"/>
          <w:lang w:val="zh-CN"/>
        </w:rPr>
        <w:t xml:space="preserve"> </w:t>
      </w:r>
      <w:r>
        <w:rPr>
          <w:rFonts w:cs="Times New Roman"/>
          <w:szCs w:val="21"/>
          <w:lang w:val="zh-CN"/>
        </w:rPr>
        <w:t>建设用地土壤污染风险管控标准》（</w:t>
      </w:r>
      <w:r>
        <w:rPr>
          <w:rFonts w:cs="Times New Roman"/>
          <w:szCs w:val="21"/>
          <w:lang w:val="zh-CN"/>
        </w:rPr>
        <w:t>GB36600-2018</w:t>
      </w:r>
      <w:r>
        <w:rPr>
          <w:rFonts w:cs="Times New Roman"/>
          <w:szCs w:val="21"/>
          <w:lang w:val="zh-CN"/>
        </w:rPr>
        <w:t>），本项目所在区域土壤环境执行第二类用地筛选值，具体标准值见表</w:t>
      </w:r>
      <w:r>
        <w:rPr>
          <w:rFonts w:cs="Times New Roman"/>
          <w:szCs w:val="21"/>
        </w:rPr>
        <w:t>2.2-7</w:t>
      </w:r>
      <w:r>
        <w:rPr>
          <w:rFonts w:cs="Times New Roman"/>
          <w:szCs w:val="21"/>
          <w:lang w:val="zh-CN"/>
        </w:rPr>
        <w:t>。</w:t>
      </w:r>
    </w:p>
    <w:p w:rsidR="00525419" w:rsidRDefault="00525419">
      <w:pPr>
        <w:spacing w:line="240" w:lineRule="atLeast"/>
        <w:jc w:val="center"/>
        <w:rPr>
          <w:rFonts w:ascii="Times New Roman" w:eastAsia="黑体" w:hAnsi="Times New Roman"/>
          <w:szCs w:val="21"/>
        </w:rPr>
      </w:pPr>
    </w:p>
    <w:p w:rsidR="00525419" w:rsidRDefault="00EE1CF7">
      <w:pPr>
        <w:spacing w:line="240" w:lineRule="atLeast"/>
        <w:jc w:val="center"/>
        <w:rPr>
          <w:rFonts w:ascii="Times New Roman" w:eastAsia="黑体" w:hAnsi="Times New Roman"/>
          <w:szCs w:val="21"/>
        </w:rPr>
      </w:pPr>
      <w:r>
        <w:rPr>
          <w:rFonts w:ascii="Times New Roman" w:eastAsia="黑体" w:hAnsi="Times New Roman"/>
          <w:szCs w:val="21"/>
        </w:rPr>
        <w:lastRenderedPageBreak/>
        <w:t>表</w:t>
      </w:r>
      <w:r>
        <w:rPr>
          <w:rFonts w:ascii="Times New Roman" w:eastAsia="黑体" w:hAnsi="Times New Roman"/>
          <w:szCs w:val="21"/>
        </w:rPr>
        <w:t xml:space="preserve">2.2-7   </w:t>
      </w:r>
      <w:r>
        <w:rPr>
          <w:rFonts w:ascii="Times New Roman" w:eastAsia="黑体" w:hAnsi="Times New Roman"/>
          <w:szCs w:val="21"/>
        </w:rPr>
        <w:t>建设用地土壤污染风险筛选至和管制值一览表</w:t>
      </w:r>
      <w:r>
        <w:rPr>
          <w:rFonts w:ascii="Times New Roman" w:eastAsia="黑体" w:hAnsi="Times New Roman"/>
          <w:szCs w:val="21"/>
        </w:rPr>
        <w:t xml:space="preserve">    </w:t>
      </w:r>
      <w:r>
        <w:rPr>
          <w:rFonts w:ascii="Times New Roman" w:eastAsia="黑体" w:hAnsi="Times New Roman"/>
          <w:szCs w:val="21"/>
        </w:rPr>
        <w:t>单位：</w:t>
      </w:r>
      <w:r>
        <w:rPr>
          <w:rFonts w:ascii="Times New Roman" w:eastAsia="黑体" w:hAnsi="Times New Roman"/>
          <w:szCs w:val="21"/>
        </w:rPr>
        <w:t>mg/kg</w:t>
      </w:r>
    </w:p>
    <w:tbl>
      <w:tblPr>
        <w:tblW w:w="85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526"/>
        <w:gridCol w:w="1559"/>
        <w:gridCol w:w="1065"/>
        <w:gridCol w:w="1066"/>
        <w:gridCol w:w="562"/>
        <w:gridCol w:w="1559"/>
        <w:gridCol w:w="1084"/>
        <w:gridCol w:w="1084"/>
      </w:tblGrid>
      <w:tr w:rsidR="00525419">
        <w:trPr>
          <w:trHeight w:val="397"/>
          <w:jc w:val="center"/>
        </w:trPr>
        <w:tc>
          <w:tcPr>
            <w:tcW w:w="526" w:type="dxa"/>
            <w:vAlign w:val="center"/>
          </w:tcPr>
          <w:p w:rsidR="00525419" w:rsidRDefault="00EE1CF7">
            <w:pPr>
              <w:pStyle w:val="B2"/>
              <w:rPr>
                <w:rFonts w:cs="Times New Roman"/>
              </w:rPr>
            </w:pPr>
            <w:r>
              <w:rPr>
                <w:rFonts w:cs="Times New Roman"/>
              </w:rPr>
              <w:t>序号</w:t>
            </w:r>
          </w:p>
        </w:tc>
        <w:tc>
          <w:tcPr>
            <w:tcW w:w="1559" w:type="dxa"/>
            <w:vAlign w:val="center"/>
          </w:tcPr>
          <w:p w:rsidR="00525419" w:rsidRDefault="00EE1CF7">
            <w:pPr>
              <w:pStyle w:val="B2"/>
              <w:rPr>
                <w:rFonts w:cs="Times New Roman"/>
              </w:rPr>
            </w:pPr>
            <w:r>
              <w:rPr>
                <w:rFonts w:cs="Times New Roman"/>
              </w:rPr>
              <w:t>污染物项目</w:t>
            </w:r>
          </w:p>
        </w:tc>
        <w:tc>
          <w:tcPr>
            <w:tcW w:w="1065" w:type="dxa"/>
            <w:vAlign w:val="center"/>
          </w:tcPr>
          <w:p w:rsidR="00525419" w:rsidRDefault="00EE1CF7">
            <w:pPr>
              <w:pStyle w:val="B2"/>
              <w:rPr>
                <w:rFonts w:cs="Times New Roman"/>
              </w:rPr>
            </w:pPr>
            <w:r>
              <w:rPr>
                <w:rFonts w:cs="Times New Roman"/>
              </w:rPr>
              <w:t>筛选值</w:t>
            </w:r>
          </w:p>
          <w:p w:rsidR="00525419" w:rsidRDefault="00EE1CF7">
            <w:pPr>
              <w:pStyle w:val="B2"/>
              <w:rPr>
                <w:rFonts w:cs="Times New Roman"/>
              </w:rPr>
            </w:pPr>
            <w:r>
              <w:rPr>
                <w:rFonts w:cs="Times New Roman"/>
              </w:rPr>
              <w:t>（第二类）</w:t>
            </w:r>
          </w:p>
        </w:tc>
        <w:tc>
          <w:tcPr>
            <w:tcW w:w="1066" w:type="dxa"/>
            <w:vAlign w:val="center"/>
          </w:tcPr>
          <w:p w:rsidR="00525419" w:rsidRDefault="00EE1CF7">
            <w:pPr>
              <w:pStyle w:val="B2"/>
              <w:rPr>
                <w:rFonts w:cs="Times New Roman"/>
              </w:rPr>
            </w:pPr>
            <w:r>
              <w:rPr>
                <w:rFonts w:cs="Times New Roman"/>
              </w:rPr>
              <w:t>管制值</w:t>
            </w:r>
          </w:p>
          <w:p w:rsidR="00525419" w:rsidRDefault="00EE1CF7">
            <w:pPr>
              <w:pStyle w:val="B2"/>
              <w:rPr>
                <w:rFonts w:cs="Times New Roman"/>
              </w:rPr>
            </w:pPr>
            <w:r>
              <w:rPr>
                <w:rFonts w:cs="Times New Roman"/>
              </w:rPr>
              <w:t>（第二类）</w:t>
            </w:r>
          </w:p>
        </w:tc>
        <w:tc>
          <w:tcPr>
            <w:tcW w:w="562" w:type="dxa"/>
            <w:vAlign w:val="center"/>
          </w:tcPr>
          <w:p w:rsidR="00525419" w:rsidRDefault="00EE1CF7">
            <w:pPr>
              <w:pStyle w:val="B2"/>
              <w:rPr>
                <w:rFonts w:cs="Times New Roman"/>
              </w:rPr>
            </w:pPr>
            <w:r>
              <w:rPr>
                <w:rFonts w:cs="Times New Roman"/>
              </w:rPr>
              <w:t>序号</w:t>
            </w:r>
          </w:p>
        </w:tc>
        <w:tc>
          <w:tcPr>
            <w:tcW w:w="1559" w:type="dxa"/>
            <w:vAlign w:val="center"/>
          </w:tcPr>
          <w:p w:rsidR="00525419" w:rsidRDefault="00EE1CF7">
            <w:pPr>
              <w:pStyle w:val="B2"/>
              <w:rPr>
                <w:rFonts w:cs="Times New Roman"/>
              </w:rPr>
            </w:pPr>
            <w:r>
              <w:rPr>
                <w:rFonts w:cs="Times New Roman"/>
              </w:rPr>
              <w:t>污染物项目</w:t>
            </w:r>
          </w:p>
        </w:tc>
        <w:tc>
          <w:tcPr>
            <w:tcW w:w="1084" w:type="dxa"/>
            <w:vAlign w:val="center"/>
          </w:tcPr>
          <w:p w:rsidR="00525419" w:rsidRDefault="00EE1CF7">
            <w:pPr>
              <w:pStyle w:val="B2"/>
              <w:rPr>
                <w:rFonts w:cs="Times New Roman"/>
              </w:rPr>
            </w:pPr>
            <w:r>
              <w:rPr>
                <w:rFonts w:cs="Times New Roman"/>
              </w:rPr>
              <w:t>筛选值</w:t>
            </w:r>
          </w:p>
          <w:p w:rsidR="00525419" w:rsidRDefault="00EE1CF7">
            <w:pPr>
              <w:pStyle w:val="B2"/>
              <w:rPr>
                <w:rFonts w:cs="Times New Roman"/>
              </w:rPr>
            </w:pPr>
            <w:r>
              <w:rPr>
                <w:rFonts w:cs="Times New Roman"/>
              </w:rPr>
              <w:t>（第二类）</w:t>
            </w:r>
          </w:p>
        </w:tc>
        <w:tc>
          <w:tcPr>
            <w:tcW w:w="1084" w:type="dxa"/>
            <w:vAlign w:val="center"/>
          </w:tcPr>
          <w:p w:rsidR="00525419" w:rsidRDefault="00EE1CF7">
            <w:pPr>
              <w:pStyle w:val="B2"/>
              <w:rPr>
                <w:rFonts w:cs="Times New Roman"/>
              </w:rPr>
            </w:pPr>
            <w:r>
              <w:rPr>
                <w:rFonts w:cs="Times New Roman"/>
              </w:rPr>
              <w:t>管制值</w:t>
            </w:r>
          </w:p>
          <w:p w:rsidR="00525419" w:rsidRDefault="00EE1CF7">
            <w:pPr>
              <w:pStyle w:val="B2"/>
              <w:rPr>
                <w:rFonts w:cs="Times New Roman"/>
              </w:rPr>
            </w:pPr>
            <w:r>
              <w:rPr>
                <w:rFonts w:cs="Times New Roman"/>
              </w:rPr>
              <w:t>（第二类）</w:t>
            </w:r>
          </w:p>
        </w:tc>
      </w:tr>
      <w:tr w:rsidR="00525419">
        <w:trPr>
          <w:trHeight w:val="397"/>
          <w:jc w:val="center"/>
        </w:trPr>
        <w:tc>
          <w:tcPr>
            <w:tcW w:w="526" w:type="dxa"/>
            <w:vAlign w:val="center"/>
          </w:tcPr>
          <w:p w:rsidR="00525419" w:rsidRDefault="00EE1CF7">
            <w:pPr>
              <w:pStyle w:val="B2"/>
              <w:rPr>
                <w:rFonts w:cs="Times New Roman"/>
              </w:rPr>
            </w:pPr>
            <w:r>
              <w:rPr>
                <w:rFonts w:cs="Times New Roman"/>
              </w:rPr>
              <w:t>1</w:t>
            </w:r>
          </w:p>
        </w:tc>
        <w:tc>
          <w:tcPr>
            <w:tcW w:w="1559" w:type="dxa"/>
            <w:vAlign w:val="center"/>
          </w:tcPr>
          <w:p w:rsidR="00525419" w:rsidRDefault="00EE1CF7">
            <w:pPr>
              <w:pStyle w:val="B2"/>
              <w:rPr>
                <w:rFonts w:cs="Times New Roman"/>
              </w:rPr>
            </w:pPr>
            <w:r>
              <w:rPr>
                <w:rFonts w:cs="Times New Roman"/>
              </w:rPr>
              <w:t>砷</w:t>
            </w:r>
          </w:p>
        </w:tc>
        <w:tc>
          <w:tcPr>
            <w:tcW w:w="1065" w:type="dxa"/>
            <w:vAlign w:val="center"/>
          </w:tcPr>
          <w:p w:rsidR="00525419" w:rsidRDefault="00EE1CF7">
            <w:pPr>
              <w:pStyle w:val="B2"/>
              <w:rPr>
                <w:rFonts w:cs="Times New Roman"/>
              </w:rPr>
            </w:pPr>
            <w:r>
              <w:rPr>
                <w:rFonts w:cs="Times New Roman"/>
              </w:rPr>
              <w:t>60</w:t>
            </w:r>
          </w:p>
        </w:tc>
        <w:tc>
          <w:tcPr>
            <w:tcW w:w="1066" w:type="dxa"/>
            <w:vAlign w:val="center"/>
          </w:tcPr>
          <w:p w:rsidR="00525419" w:rsidRDefault="00EE1CF7">
            <w:pPr>
              <w:pStyle w:val="B2"/>
              <w:rPr>
                <w:rFonts w:cs="Times New Roman"/>
              </w:rPr>
            </w:pPr>
            <w:r>
              <w:rPr>
                <w:rFonts w:cs="Times New Roman"/>
              </w:rPr>
              <w:t>140</w:t>
            </w:r>
          </w:p>
        </w:tc>
        <w:tc>
          <w:tcPr>
            <w:tcW w:w="562" w:type="dxa"/>
            <w:vAlign w:val="center"/>
          </w:tcPr>
          <w:p w:rsidR="00525419" w:rsidRDefault="00EE1CF7">
            <w:pPr>
              <w:pStyle w:val="B2"/>
              <w:rPr>
                <w:rFonts w:cs="Times New Roman"/>
              </w:rPr>
            </w:pPr>
            <w:r>
              <w:rPr>
                <w:rFonts w:cs="Times New Roman"/>
              </w:rPr>
              <w:t>24</w:t>
            </w:r>
          </w:p>
        </w:tc>
        <w:tc>
          <w:tcPr>
            <w:tcW w:w="1559" w:type="dxa"/>
            <w:vAlign w:val="center"/>
          </w:tcPr>
          <w:p w:rsidR="00525419" w:rsidRDefault="00EE1CF7">
            <w:pPr>
              <w:pStyle w:val="B2"/>
              <w:rPr>
                <w:rFonts w:cs="Times New Roman"/>
                <w:bCs/>
                <w:szCs w:val="21"/>
                <w:lang w:bidi="ar"/>
              </w:rPr>
            </w:pPr>
            <w:r>
              <w:rPr>
                <w:rFonts w:cs="Times New Roman"/>
                <w:szCs w:val="21"/>
                <w:lang w:bidi="ar"/>
              </w:rPr>
              <w:t>1,2,3-</w:t>
            </w:r>
            <w:r>
              <w:rPr>
                <w:rFonts w:cs="Times New Roman"/>
                <w:szCs w:val="21"/>
                <w:lang w:bidi="ar"/>
              </w:rPr>
              <w:t>三氯丙烷</w:t>
            </w:r>
          </w:p>
        </w:tc>
        <w:tc>
          <w:tcPr>
            <w:tcW w:w="1084" w:type="dxa"/>
            <w:vAlign w:val="center"/>
          </w:tcPr>
          <w:p w:rsidR="00525419" w:rsidRDefault="00EE1CF7">
            <w:pPr>
              <w:pStyle w:val="B2"/>
              <w:rPr>
                <w:rFonts w:cs="Times New Roman"/>
              </w:rPr>
            </w:pPr>
            <w:r>
              <w:rPr>
                <w:rFonts w:cs="Times New Roman"/>
              </w:rPr>
              <w:t>0.5</w:t>
            </w:r>
          </w:p>
        </w:tc>
        <w:tc>
          <w:tcPr>
            <w:tcW w:w="1084" w:type="dxa"/>
            <w:vAlign w:val="center"/>
          </w:tcPr>
          <w:p w:rsidR="00525419" w:rsidRDefault="00EE1CF7">
            <w:pPr>
              <w:pStyle w:val="B2"/>
              <w:rPr>
                <w:rFonts w:cs="Times New Roman"/>
              </w:rPr>
            </w:pPr>
            <w:r>
              <w:rPr>
                <w:rFonts w:cs="Times New Roman"/>
              </w:rPr>
              <w:t>5</w:t>
            </w:r>
          </w:p>
        </w:tc>
      </w:tr>
      <w:tr w:rsidR="00525419">
        <w:trPr>
          <w:trHeight w:val="397"/>
          <w:jc w:val="center"/>
        </w:trPr>
        <w:tc>
          <w:tcPr>
            <w:tcW w:w="526" w:type="dxa"/>
            <w:vAlign w:val="center"/>
          </w:tcPr>
          <w:p w:rsidR="00525419" w:rsidRDefault="00EE1CF7">
            <w:pPr>
              <w:pStyle w:val="B2"/>
              <w:rPr>
                <w:rFonts w:cs="Times New Roman"/>
              </w:rPr>
            </w:pPr>
            <w:r>
              <w:rPr>
                <w:rFonts w:cs="Times New Roman"/>
              </w:rPr>
              <w:t>2</w:t>
            </w:r>
          </w:p>
        </w:tc>
        <w:tc>
          <w:tcPr>
            <w:tcW w:w="1559" w:type="dxa"/>
            <w:vAlign w:val="center"/>
          </w:tcPr>
          <w:p w:rsidR="00525419" w:rsidRDefault="00EE1CF7">
            <w:pPr>
              <w:pStyle w:val="B2"/>
              <w:rPr>
                <w:rFonts w:cs="Times New Roman"/>
              </w:rPr>
            </w:pPr>
            <w:r>
              <w:rPr>
                <w:rFonts w:cs="Times New Roman"/>
              </w:rPr>
              <w:t>镉</w:t>
            </w:r>
          </w:p>
        </w:tc>
        <w:tc>
          <w:tcPr>
            <w:tcW w:w="1065" w:type="dxa"/>
            <w:vAlign w:val="center"/>
          </w:tcPr>
          <w:p w:rsidR="00525419" w:rsidRDefault="00EE1CF7">
            <w:pPr>
              <w:pStyle w:val="B2"/>
              <w:rPr>
                <w:rFonts w:cs="Times New Roman"/>
              </w:rPr>
            </w:pPr>
            <w:r>
              <w:rPr>
                <w:rFonts w:cs="Times New Roman"/>
              </w:rPr>
              <w:t>65</w:t>
            </w:r>
          </w:p>
        </w:tc>
        <w:tc>
          <w:tcPr>
            <w:tcW w:w="1066" w:type="dxa"/>
            <w:vAlign w:val="center"/>
          </w:tcPr>
          <w:p w:rsidR="00525419" w:rsidRDefault="00EE1CF7">
            <w:pPr>
              <w:pStyle w:val="B2"/>
              <w:rPr>
                <w:rFonts w:cs="Times New Roman"/>
              </w:rPr>
            </w:pPr>
            <w:r>
              <w:rPr>
                <w:rFonts w:cs="Times New Roman"/>
              </w:rPr>
              <w:t>172</w:t>
            </w:r>
          </w:p>
        </w:tc>
        <w:tc>
          <w:tcPr>
            <w:tcW w:w="562" w:type="dxa"/>
            <w:vAlign w:val="center"/>
          </w:tcPr>
          <w:p w:rsidR="00525419" w:rsidRDefault="00EE1CF7">
            <w:pPr>
              <w:pStyle w:val="B2"/>
              <w:rPr>
                <w:rFonts w:cs="Times New Roman"/>
              </w:rPr>
            </w:pPr>
            <w:r>
              <w:rPr>
                <w:rFonts w:cs="Times New Roman"/>
              </w:rPr>
              <w:t>25</w:t>
            </w:r>
          </w:p>
        </w:tc>
        <w:tc>
          <w:tcPr>
            <w:tcW w:w="1559" w:type="dxa"/>
            <w:vAlign w:val="center"/>
          </w:tcPr>
          <w:p w:rsidR="00525419" w:rsidRDefault="00EE1CF7">
            <w:pPr>
              <w:pStyle w:val="B2"/>
              <w:rPr>
                <w:rFonts w:cs="Times New Roman"/>
                <w:bCs/>
                <w:szCs w:val="21"/>
                <w:lang w:bidi="ar"/>
              </w:rPr>
            </w:pPr>
            <w:r>
              <w:rPr>
                <w:rFonts w:cs="Times New Roman"/>
                <w:szCs w:val="21"/>
                <w:lang w:bidi="ar"/>
              </w:rPr>
              <w:t>氯乙烯</w:t>
            </w:r>
          </w:p>
        </w:tc>
        <w:tc>
          <w:tcPr>
            <w:tcW w:w="1084" w:type="dxa"/>
            <w:vAlign w:val="center"/>
          </w:tcPr>
          <w:p w:rsidR="00525419" w:rsidRDefault="00EE1CF7">
            <w:pPr>
              <w:pStyle w:val="B2"/>
              <w:rPr>
                <w:rFonts w:cs="Times New Roman"/>
              </w:rPr>
            </w:pPr>
            <w:r>
              <w:rPr>
                <w:rFonts w:cs="Times New Roman"/>
              </w:rPr>
              <w:t>0.43</w:t>
            </w:r>
          </w:p>
        </w:tc>
        <w:tc>
          <w:tcPr>
            <w:tcW w:w="1084" w:type="dxa"/>
            <w:vAlign w:val="center"/>
          </w:tcPr>
          <w:p w:rsidR="00525419" w:rsidRDefault="00EE1CF7">
            <w:pPr>
              <w:pStyle w:val="B2"/>
              <w:rPr>
                <w:rFonts w:cs="Times New Roman"/>
              </w:rPr>
            </w:pPr>
            <w:r>
              <w:rPr>
                <w:rFonts w:cs="Times New Roman"/>
              </w:rPr>
              <w:t>4.3</w:t>
            </w:r>
          </w:p>
        </w:tc>
      </w:tr>
      <w:tr w:rsidR="00525419">
        <w:trPr>
          <w:trHeight w:val="397"/>
          <w:jc w:val="center"/>
        </w:trPr>
        <w:tc>
          <w:tcPr>
            <w:tcW w:w="526" w:type="dxa"/>
            <w:vAlign w:val="center"/>
          </w:tcPr>
          <w:p w:rsidR="00525419" w:rsidRDefault="00EE1CF7">
            <w:pPr>
              <w:pStyle w:val="B2"/>
              <w:rPr>
                <w:rFonts w:cs="Times New Roman"/>
              </w:rPr>
            </w:pPr>
            <w:r>
              <w:rPr>
                <w:rFonts w:cs="Times New Roman"/>
              </w:rPr>
              <w:t>3</w:t>
            </w:r>
          </w:p>
        </w:tc>
        <w:tc>
          <w:tcPr>
            <w:tcW w:w="1559" w:type="dxa"/>
            <w:vAlign w:val="center"/>
          </w:tcPr>
          <w:p w:rsidR="00525419" w:rsidRDefault="00EE1CF7">
            <w:pPr>
              <w:pStyle w:val="B2"/>
              <w:rPr>
                <w:rFonts w:cs="Times New Roman"/>
              </w:rPr>
            </w:pPr>
            <w:r>
              <w:rPr>
                <w:rFonts w:cs="Times New Roman"/>
              </w:rPr>
              <w:t>铬（六价）</w:t>
            </w:r>
          </w:p>
        </w:tc>
        <w:tc>
          <w:tcPr>
            <w:tcW w:w="1065" w:type="dxa"/>
            <w:vAlign w:val="center"/>
          </w:tcPr>
          <w:p w:rsidR="00525419" w:rsidRDefault="00EE1CF7">
            <w:pPr>
              <w:pStyle w:val="B2"/>
              <w:rPr>
                <w:rFonts w:cs="Times New Roman"/>
              </w:rPr>
            </w:pPr>
            <w:r>
              <w:rPr>
                <w:rFonts w:cs="Times New Roman"/>
              </w:rPr>
              <w:t>5.7</w:t>
            </w:r>
          </w:p>
        </w:tc>
        <w:tc>
          <w:tcPr>
            <w:tcW w:w="1066" w:type="dxa"/>
            <w:vAlign w:val="center"/>
          </w:tcPr>
          <w:p w:rsidR="00525419" w:rsidRDefault="00EE1CF7">
            <w:pPr>
              <w:pStyle w:val="B2"/>
              <w:rPr>
                <w:rFonts w:cs="Times New Roman"/>
              </w:rPr>
            </w:pPr>
            <w:r>
              <w:rPr>
                <w:rFonts w:cs="Times New Roman"/>
              </w:rPr>
              <w:t>78</w:t>
            </w:r>
          </w:p>
        </w:tc>
        <w:tc>
          <w:tcPr>
            <w:tcW w:w="562" w:type="dxa"/>
            <w:vAlign w:val="center"/>
          </w:tcPr>
          <w:p w:rsidR="00525419" w:rsidRDefault="00EE1CF7">
            <w:pPr>
              <w:pStyle w:val="B2"/>
              <w:rPr>
                <w:rFonts w:cs="Times New Roman"/>
              </w:rPr>
            </w:pPr>
            <w:r>
              <w:rPr>
                <w:rFonts w:cs="Times New Roman"/>
              </w:rPr>
              <w:t>26</w:t>
            </w:r>
          </w:p>
        </w:tc>
        <w:tc>
          <w:tcPr>
            <w:tcW w:w="1559" w:type="dxa"/>
            <w:vAlign w:val="center"/>
          </w:tcPr>
          <w:p w:rsidR="00525419" w:rsidRDefault="00EE1CF7">
            <w:pPr>
              <w:pStyle w:val="B2"/>
              <w:rPr>
                <w:rFonts w:cs="Times New Roman"/>
                <w:bCs/>
                <w:szCs w:val="21"/>
                <w:lang w:bidi="ar"/>
              </w:rPr>
            </w:pPr>
            <w:r>
              <w:rPr>
                <w:rFonts w:cs="Times New Roman"/>
                <w:szCs w:val="21"/>
                <w:lang w:bidi="ar"/>
              </w:rPr>
              <w:t>苯</w:t>
            </w:r>
          </w:p>
        </w:tc>
        <w:tc>
          <w:tcPr>
            <w:tcW w:w="1084" w:type="dxa"/>
            <w:vAlign w:val="center"/>
          </w:tcPr>
          <w:p w:rsidR="00525419" w:rsidRDefault="00EE1CF7">
            <w:pPr>
              <w:pStyle w:val="B2"/>
              <w:rPr>
                <w:rFonts w:cs="Times New Roman"/>
              </w:rPr>
            </w:pPr>
            <w:r>
              <w:rPr>
                <w:rFonts w:cs="Times New Roman"/>
              </w:rPr>
              <w:t>4</w:t>
            </w:r>
          </w:p>
        </w:tc>
        <w:tc>
          <w:tcPr>
            <w:tcW w:w="1084" w:type="dxa"/>
            <w:vAlign w:val="center"/>
          </w:tcPr>
          <w:p w:rsidR="00525419" w:rsidRDefault="00EE1CF7">
            <w:pPr>
              <w:pStyle w:val="B2"/>
              <w:rPr>
                <w:rFonts w:cs="Times New Roman"/>
              </w:rPr>
            </w:pPr>
            <w:r>
              <w:rPr>
                <w:rFonts w:cs="Times New Roman"/>
              </w:rPr>
              <w:t>40</w:t>
            </w:r>
          </w:p>
        </w:tc>
      </w:tr>
      <w:tr w:rsidR="00525419">
        <w:trPr>
          <w:trHeight w:val="397"/>
          <w:jc w:val="center"/>
        </w:trPr>
        <w:tc>
          <w:tcPr>
            <w:tcW w:w="526" w:type="dxa"/>
            <w:vAlign w:val="center"/>
          </w:tcPr>
          <w:p w:rsidR="00525419" w:rsidRDefault="00EE1CF7">
            <w:pPr>
              <w:pStyle w:val="B2"/>
              <w:rPr>
                <w:rFonts w:cs="Times New Roman"/>
              </w:rPr>
            </w:pPr>
            <w:r>
              <w:rPr>
                <w:rFonts w:cs="Times New Roman"/>
              </w:rPr>
              <w:t>4</w:t>
            </w:r>
          </w:p>
        </w:tc>
        <w:tc>
          <w:tcPr>
            <w:tcW w:w="1559" w:type="dxa"/>
            <w:vAlign w:val="center"/>
          </w:tcPr>
          <w:p w:rsidR="00525419" w:rsidRDefault="00EE1CF7">
            <w:pPr>
              <w:pStyle w:val="B2"/>
              <w:rPr>
                <w:rFonts w:cs="Times New Roman"/>
              </w:rPr>
            </w:pPr>
            <w:r>
              <w:rPr>
                <w:rFonts w:cs="Times New Roman"/>
              </w:rPr>
              <w:t>铜</w:t>
            </w:r>
          </w:p>
        </w:tc>
        <w:tc>
          <w:tcPr>
            <w:tcW w:w="1065" w:type="dxa"/>
            <w:vAlign w:val="center"/>
          </w:tcPr>
          <w:p w:rsidR="00525419" w:rsidRDefault="00EE1CF7">
            <w:pPr>
              <w:pStyle w:val="B2"/>
              <w:rPr>
                <w:rFonts w:cs="Times New Roman"/>
              </w:rPr>
            </w:pPr>
            <w:r>
              <w:rPr>
                <w:rFonts w:cs="Times New Roman"/>
              </w:rPr>
              <w:t>18000</w:t>
            </w:r>
          </w:p>
        </w:tc>
        <w:tc>
          <w:tcPr>
            <w:tcW w:w="1066" w:type="dxa"/>
            <w:vAlign w:val="center"/>
          </w:tcPr>
          <w:p w:rsidR="00525419" w:rsidRDefault="00EE1CF7">
            <w:pPr>
              <w:pStyle w:val="B2"/>
              <w:rPr>
                <w:rFonts w:cs="Times New Roman"/>
              </w:rPr>
            </w:pPr>
            <w:r>
              <w:rPr>
                <w:rFonts w:cs="Times New Roman"/>
              </w:rPr>
              <w:t>36000</w:t>
            </w:r>
          </w:p>
        </w:tc>
        <w:tc>
          <w:tcPr>
            <w:tcW w:w="562" w:type="dxa"/>
            <w:vAlign w:val="center"/>
          </w:tcPr>
          <w:p w:rsidR="00525419" w:rsidRDefault="00EE1CF7">
            <w:pPr>
              <w:pStyle w:val="B2"/>
              <w:rPr>
                <w:rFonts w:cs="Times New Roman"/>
              </w:rPr>
            </w:pPr>
            <w:r>
              <w:rPr>
                <w:rFonts w:cs="Times New Roman"/>
              </w:rPr>
              <w:t>27</w:t>
            </w:r>
          </w:p>
        </w:tc>
        <w:tc>
          <w:tcPr>
            <w:tcW w:w="1559" w:type="dxa"/>
            <w:vAlign w:val="center"/>
          </w:tcPr>
          <w:p w:rsidR="00525419" w:rsidRDefault="00EE1CF7">
            <w:pPr>
              <w:pStyle w:val="B2"/>
              <w:rPr>
                <w:rFonts w:cs="Times New Roman"/>
                <w:bCs/>
                <w:szCs w:val="21"/>
              </w:rPr>
            </w:pPr>
            <w:r>
              <w:rPr>
                <w:rFonts w:cs="Times New Roman"/>
                <w:szCs w:val="21"/>
                <w:lang w:bidi="ar"/>
              </w:rPr>
              <w:t>氯苯</w:t>
            </w:r>
          </w:p>
        </w:tc>
        <w:tc>
          <w:tcPr>
            <w:tcW w:w="1084" w:type="dxa"/>
            <w:vAlign w:val="center"/>
          </w:tcPr>
          <w:p w:rsidR="00525419" w:rsidRDefault="00EE1CF7">
            <w:pPr>
              <w:pStyle w:val="B2"/>
              <w:rPr>
                <w:rFonts w:cs="Times New Roman"/>
              </w:rPr>
            </w:pPr>
            <w:r>
              <w:rPr>
                <w:rFonts w:cs="Times New Roman"/>
              </w:rPr>
              <w:t>270</w:t>
            </w:r>
          </w:p>
        </w:tc>
        <w:tc>
          <w:tcPr>
            <w:tcW w:w="1084" w:type="dxa"/>
            <w:vAlign w:val="center"/>
          </w:tcPr>
          <w:p w:rsidR="00525419" w:rsidRDefault="00EE1CF7">
            <w:pPr>
              <w:pStyle w:val="B2"/>
              <w:rPr>
                <w:rFonts w:cs="Times New Roman"/>
              </w:rPr>
            </w:pPr>
            <w:r>
              <w:rPr>
                <w:rFonts w:cs="Times New Roman"/>
              </w:rPr>
              <w:t>1000</w:t>
            </w:r>
          </w:p>
        </w:tc>
      </w:tr>
      <w:tr w:rsidR="00525419">
        <w:trPr>
          <w:trHeight w:val="397"/>
          <w:jc w:val="center"/>
        </w:trPr>
        <w:tc>
          <w:tcPr>
            <w:tcW w:w="526" w:type="dxa"/>
            <w:vAlign w:val="center"/>
          </w:tcPr>
          <w:p w:rsidR="00525419" w:rsidRDefault="00EE1CF7">
            <w:pPr>
              <w:pStyle w:val="B2"/>
              <w:rPr>
                <w:rFonts w:cs="Times New Roman"/>
              </w:rPr>
            </w:pPr>
            <w:r>
              <w:rPr>
                <w:rFonts w:cs="Times New Roman"/>
              </w:rPr>
              <w:t>5</w:t>
            </w:r>
          </w:p>
        </w:tc>
        <w:tc>
          <w:tcPr>
            <w:tcW w:w="1559" w:type="dxa"/>
            <w:vAlign w:val="center"/>
          </w:tcPr>
          <w:p w:rsidR="00525419" w:rsidRDefault="00EE1CF7">
            <w:pPr>
              <w:pStyle w:val="B2"/>
              <w:rPr>
                <w:rFonts w:cs="Times New Roman"/>
              </w:rPr>
            </w:pPr>
            <w:r>
              <w:rPr>
                <w:rFonts w:cs="Times New Roman"/>
              </w:rPr>
              <w:t>铅</w:t>
            </w:r>
          </w:p>
        </w:tc>
        <w:tc>
          <w:tcPr>
            <w:tcW w:w="1065" w:type="dxa"/>
            <w:vAlign w:val="center"/>
          </w:tcPr>
          <w:p w:rsidR="00525419" w:rsidRDefault="00EE1CF7">
            <w:pPr>
              <w:pStyle w:val="B2"/>
              <w:rPr>
                <w:rFonts w:cs="Times New Roman"/>
              </w:rPr>
            </w:pPr>
            <w:r>
              <w:rPr>
                <w:rFonts w:cs="Times New Roman"/>
              </w:rPr>
              <w:t>800</w:t>
            </w:r>
          </w:p>
        </w:tc>
        <w:tc>
          <w:tcPr>
            <w:tcW w:w="1066" w:type="dxa"/>
            <w:vAlign w:val="center"/>
          </w:tcPr>
          <w:p w:rsidR="00525419" w:rsidRDefault="00EE1CF7">
            <w:pPr>
              <w:pStyle w:val="B2"/>
              <w:rPr>
                <w:rFonts w:cs="Times New Roman"/>
              </w:rPr>
            </w:pPr>
            <w:r>
              <w:rPr>
                <w:rFonts w:cs="Times New Roman"/>
              </w:rPr>
              <w:t>2500</w:t>
            </w:r>
          </w:p>
        </w:tc>
        <w:tc>
          <w:tcPr>
            <w:tcW w:w="562" w:type="dxa"/>
            <w:vAlign w:val="center"/>
          </w:tcPr>
          <w:p w:rsidR="00525419" w:rsidRDefault="00EE1CF7">
            <w:pPr>
              <w:pStyle w:val="B2"/>
              <w:rPr>
                <w:rFonts w:cs="Times New Roman"/>
              </w:rPr>
            </w:pPr>
            <w:r>
              <w:rPr>
                <w:rFonts w:cs="Times New Roman"/>
              </w:rPr>
              <w:t>28</w:t>
            </w:r>
          </w:p>
        </w:tc>
        <w:tc>
          <w:tcPr>
            <w:tcW w:w="1559" w:type="dxa"/>
            <w:vAlign w:val="center"/>
          </w:tcPr>
          <w:p w:rsidR="00525419" w:rsidRDefault="00EE1CF7">
            <w:pPr>
              <w:pStyle w:val="B2"/>
              <w:rPr>
                <w:rFonts w:cs="Times New Roman"/>
                <w:bCs/>
                <w:szCs w:val="21"/>
                <w:lang w:bidi="ar"/>
              </w:rPr>
            </w:pPr>
            <w:r>
              <w:rPr>
                <w:rFonts w:cs="Times New Roman"/>
                <w:szCs w:val="21"/>
                <w:lang w:bidi="ar"/>
              </w:rPr>
              <w:t>1,2-</w:t>
            </w:r>
            <w:r>
              <w:rPr>
                <w:rFonts w:cs="Times New Roman"/>
                <w:szCs w:val="21"/>
                <w:lang w:bidi="ar"/>
              </w:rPr>
              <w:t>二氯苯</w:t>
            </w:r>
          </w:p>
        </w:tc>
        <w:tc>
          <w:tcPr>
            <w:tcW w:w="1084" w:type="dxa"/>
            <w:vAlign w:val="center"/>
          </w:tcPr>
          <w:p w:rsidR="00525419" w:rsidRDefault="00EE1CF7">
            <w:pPr>
              <w:pStyle w:val="B2"/>
              <w:rPr>
                <w:rFonts w:cs="Times New Roman"/>
              </w:rPr>
            </w:pPr>
            <w:r>
              <w:rPr>
                <w:rFonts w:cs="Times New Roman"/>
              </w:rPr>
              <w:t>560</w:t>
            </w:r>
          </w:p>
        </w:tc>
        <w:tc>
          <w:tcPr>
            <w:tcW w:w="1084" w:type="dxa"/>
            <w:vAlign w:val="center"/>
          </w:tcPr>
          <w:p w:rsidR="00525419" w:rsidRDefault="00EE1CF7">
            <w:pPr>
              <w:pStyle w:val="B2"/>
              <w:rPr>
                <w:rFonts w:cs="Times New Roman"/>
              </w:rPr>
            </w:pPr>
            <w:r>
              <w:rPr>
                <w:rFonts w:cs="Times New Roman"/>
              </w:rPr>
              <w:t>560</w:t>
            </w:r>
          </w:p>
        </w:tc>
      </w:tr>
      <w:tr w:rsidR="00525419">
        <w:trPr>
          <w:trHeight w:val="397"/>
          <w:jc w:val="center"/>
        </w:trPr>
        <w:tc>
          <w:tcPr>
            <w:tcW w:w="526" w:type="dxa"/>
            <w:vAlign w:val="center"/>
          </w:tcPr>
          <w:p w:rsidR="00525419" w:rsidRDefault="00EE1CF7">
            <w:pPr>
              <w:pStyle w:val="B2"/>
              <w:rPr>
                <w:rFonts w:cs="Times New Roman"/>
              </w:rPr>
            </w:pPr>
            <w:r>
              <w:rPr>
                <w:rFonts w:cs="Times New Roman"/>
              </w:rPr>
              <w:t>6</w:t>
            </w:r>
          </w:p>
        </w:tc>
        <w:tc>
          <w:tcPr>
            <w:tcW w:w="1559" w:type="dxa"/>
            <w:vAlign w:val="center"/>
          </w:tcPr>
          <w:p w:rsidR="00525419" w:rsidRDefault="00EE1CF7">
            <w:pPr>
              <w:pStyle w:val="B2"/>
              <w:rPr>
                <w:rFonts w:cs="Times New Roman"/>
              </w:rPr>
            </w:pPr>
            <w:r>
              <w:rPr>
                <w:rFonts w:cs="Times New Roman"/>
              </w:rPr>
              <w:t>汞</w:t>
            </w:r>
          </w:p>
        </w:tc>
        <w:tc>
          <w:tcPr>
            <w:tcW w:w="1065" w:type="dxa"/>
            <w:vAlign w:val="center"/>
          </w:tcPr>
          <w:p w:rsidR="00525419" w:rsidRDefault="00EE1CF7">
            <w:pPr>
              <w:pStyle w:val="B2"/>
              <w:rPr>
                <w:rFonts w:cs="Times New Roman"/>
              </w:rPr>
            </w:pPr>
            <w:r>
              <w:rPr>
                <w:rFonts w:cs="Times New Roman"/>
              </w:rPr>
              <w:t>38</w:t>
            </w:r>
          </w:p>
        </w:tc>
        <w:tc>
          <w:tcPr>
            <w:tcW w:w="1066" w:type="dxa"/>
            <w:vAlign w:val="center"/>
          </w:tcPr>
          <w:p w:rsidR="00525419" w:rsidRDefault="00EE1CF7">
            <w:pPr>
              <w:pStyle w:val="B2"/>
              <w:rPr>
                <w:rFonts w:cs="Times New Roman"/>
              </w:rPr>
            </w:pPr>
            <w:r>
              <w:rPr>
                <w:rFonts w:cs="Times New Roman"/>
              </w:rPr>
              <w:t>82</w:t>
            </w:r>
          </w:p>
        </w:tc>
        <w:tc>
          <w:tcPr>
            <w:tcW w:w="562" w:type="dxa"/>
            <w:vAlign w:val="center"/>
          </w:tcPr>
          <w:p w:rsidR="00525419" w:rsidRDefault="00EE1CF7">
            <w:pPr>
              <w:pStyle w:val="B2"/>
              <w:rPr>
                <w:rFonts w:cs="Times New Roman"/>
              </w:rPr>
            </w:pPr>
            <w:r>
              <w:rPr>
                <w:rFonts w:cs="Times New Roman"/>
              </w:rPr>
              <w:t>29</w:t>
            </w:r>
          </w:p>
        </w:tc>
        <w:tc>
          <w:tcPr>
            <w:tcW w:w="1559" w:type="dxa"/>
            <w:vAlign w:val="center"/>
          </w:tcPr>
          <w:p w:rsidR="00525419" w:rsidRDefault="00EE1CF7">
            <w:pPr>
              <w:pStyle w:val="B2"/>
              <w:rPr>
                <w:rFonts w:cs="Times New Roman"/>
                <w:bCs/>
                <w:szCs w:val="21"/>
                <w:lang w:bidi="ar"/>
              </w:rPr>
            </w:pPr>
            <w:r>
              <w:rPr>
                <w:rFonts w:cs="Times New Roman"/>
                <w:szCs w:val="21"/>
                <w:lang w:bidi="ar"/>
              </w:rPr>
              <w:t>1,4-</w:t>
            </w:r>
            <w:r>
              <w:rPr>
                <w:rFonts w:cs="Times New Roman"/>
                <w:szCs w:val="21"/>
                <w:lang w:bidi="ar"/>
              </w:rPr>
              <w:t>二氯苯</w:t>
            </w:r>
          </w:p>
        </w:tc>
        <w:tc>
          <w:tcPr>
            <w:tcW w:w="1084" w:type="dxa"/>
            <w:vAlign w:val="center"/>
          </w:tcPr>
          <w:p w:rsidR="00525419" w:rsidRDefault="00EE1CF7">
            <w:pPr>
              <w:pStyle w:val="B2"/>
              <w:rPr>
                <w:rFonts w:cs="Times New Roman"/>
              </w:rPr>
            </w:pPr>
            <w:r>
              <w:rPr>
                <w:rFonts w:cs="Times New Roman"/>
              </w:rPr>
              <w:t>20</w:t>
            </w:r>
          </w:p>
        </w:tc>
        <w:tc>
          <w:tcPr>
            <w:tcW w:w="1084" w:type="dxa"/>
            <w:vAlign w:val="center"/>
          </w:tcPr>
          <w:p w:rsidR="00525419" w:rsidRDefault="00EE1CF7">
            <w:pPr>
              <w:pStyle w:val="B2"/>
              <w:rPr>
                <w:rFonts w:cs="Times New Roman"/>
              </w:rPr>
            </w:pPr>
            <w:r>
              <w:rPr>
                <w:rFonts w:cs="Times New Roman"/>
              </w:rPr>
              <w:t>200</w:t>
            </w:r>
          </w:p>
        </w:tc>
      </w:tr>
      <w:tr w:rsidR="00525419">
        <w:trPr>
          <w:trHeight w:val="397"/>
          <w:jc w:val="center"/>
        </w:trPr>
        <w:tc>
          <w:tcPr>
            <w:tcW w:w="526" w:type="dxa"/>
            <w:vAlign w:val="center"/>
          </w:tcPr>
          <w:p w:rsidR="00525419" w:rsidRDefault="00EE1CF7">
            <w:pPr>
              <w:pStyle w:val="B2"/>
              <w:rPr>
                <w:rFonts w:cs="Times New Roman"/>
              </w:rPr>
            </w:pPr>
            <w:r>
              <w:rPr>
                <w:rFonts w:cs="Times New Roman"/>
              </w:rPr>
              <w:t>7</w:t>
            </w:r>
          </w:p>
        </w:tc>
        <w:tc>
          <w:tcPr>
            <w:tcW w:w="1559" w:type="dxa"/>
            <w:vAlign w:val="center"/>
          </w:tcPr>
          <w:p w:rsidR="00525419" w:rsidRDefault="00EE1CF7">
            <w:pPr>
              <w:pStyle w:val="B2"/>
              <w:rPr>
                <w:rFonts w:cs="Times New Roman"/>
              </w:rPr>
            </w:pPr>
            <w:r>
              <w:rPr>
                <w:rFonts w:cs="Times New Roman"/>
              </w:rPr>
              <w:t>镍</w:t>
            </w:r>
          </w:p>
        </w:tc>
        <w:tc>
          <w:tcPr>
            <w:tcW w:w="1065" w:type="dxa"/>
            <w:vAlign w:val="center"/>
          </w:tcPr>
          <w:p w:rsidR="00525419" w:rsidRDefault="00EE1CF7">
            <w:pPr>
              <w:pStyle w:val="B2"/>
              <w:rPr>
                <w:rFonts w:cs="Times New Roman"/>
              </w:rPr>
            </w:pPr>
            <w:r>
              <w:rPr>
                <w:rFonts w:cs="Times New Roman"/>
              </w:rPr>
              <w:t>900</w:t>
            </w:r>
          </w:p>
        </w:tc>
        <w:tc>
          <w:tcPr>
            <w:tcW w:w="1066" w:type="dxa"/>
            <w:vAlign w:val="center"/>
          </w:tcPr>
          <w:p w:rsidR="00525419" w:rsidRDefault="00EE1CF7">
            <w:pPr>
              <w:pStyle w:val="B2"/>
              <w:rPr>
                <w:rFonts w:cs="Times New Roman"/>
              </w:rPr>
            </w:pPr>
            <w:r>
              <w:rPr>
                <w:rFonts w:cs="Times New Roman"/>
              </w:rPr>
              <w:t>2000</w:t>
            </w:r>
          </w:p>
        </w:tc>
        <w:tc>
          <w:tcPr>
            <w:tcW w:w="562" w:type="dxa"/>
            <w:vAlign w:val="center"/>
          </w:tcPr>
          <w:p w:rsidR="00525419" w:rsidRDefault="00EE1CF7">
            <w:pPr>
              <w:pStyle w:val="B2"/>
              <w:rPr>
                <w:rFonts w:cs="Times New Roman"/>
              </w:rPr>
            </w:pPr>
            <w:r>
              <w:rPr>
                <w:rFonts w:cs="Times New Roman"/>
              </w:rPr>
              <w:t>30</w:t>
            </w:r>
          </w:p>
        </w:tc>
        <w:tc>
          <w:tcPr>
            <w:tcW w:w="1559" w:type="dxa"/>
            <w:vAlign w:val="center"/>
          </w:tcPr>
          <w:p w:rsidR="00525419" w:rsidRDefault="00EE1CF7">
            <w:pPr>
              <w:pStyle w:val="B2"/>
              <w:rPr>
                <w:rFonts w:cs="Times New Roman"/>
                <w:bCs/>
                <w:szCs w:val="21"/>
                <w:lang w:bidi="ar"/>
              </w:rPr>
            </w:pPr>
            <w:r>
              <w:rPr>
                <w:rFonts w:cs="Times New Roman"/>
                <w:szCs w:val="21"/>
                <w:lang w:bidi="ar"/>
              </w:rPr>
              <w:t>乙苯</w:t>
            </w:r>
          </w:p>
        </w:tc>
        <w:tc>
          <w:tcPr>
            <w:tcW w:w="1084" w:type="dxa"/>
            <w:vAlign w:val="center"/>
          </w:tcPr>
          <w:p w:rsidR="00525419" w:rsidRDefault="00EE1CF7">
            <w:pPr>
              <w:pStyle w:val="B2"/>
              <w:rPr>
                <w:rFonts w:cs="Times New Roman"/>
              </w:rPr>
            </w:pPr>
            <w:r>
              <w:rPr>
                <w:rFonts w:cs="Times New Roman"/>
              </w:rPr>
              <w:t>28</w:t>
            </w:r>
          </w:p>
        </w:tc>
        <w:tc>
          <w:tcPr>
            <w:tcW w:w="1084" w:type="dxa"/>
            <w:vAlign w:val="center"/>
          </w:tcPr>
          <w:p w:rsidR="00525419" w:rsidRDefault="00EE1CF7">
            <w:pPr>
              <w:pStyle w:val="B2"/>
              <w:rPr>
                <w:rFonts w:cs="Times New Roman"/>
              </w:rPr>
            </w:pPr>
            <w:r>
              <w:rPr>
                <w:rFonts w:cs="Times New Roman"/>
              </w:rPr>
              <w:t>280</w:t>
            </w:r>
          </w:p>
        </w:tc>
      </w:tr>
      <w:tr w:rsidR="00525419">
        <w:trPr>
          <w:trHeight w:val="397"/>
          <w:jc w:val="center"/>
        </w:trPr>
        <w:tc>
          <w:tcPr>
            <w:tcW w:w="526" w:type="dxa"/>
            <w:vAlign w:val="center"/>
          </w:tcPr>
          <w:p w:rsidR="00525419" w:rsidRDefault="00EE1CF7">
            <w:pPr>
              <w:pStyle w:val="B2"/>
              <w:rPr>
                <w:rFonts w:cs="Times New Roman"/>
              </w:rPr>
            </w:pPr>
            <w:r>
              <w:rPr>
                <w:rFonts w:cs="Times New Roman"/>
              </w:rPr>
              <w:t>8</w:t>
            </w:r>
          </w:p>
        </w:tc>
        <w:tc>
          <w:tcPr>
            <w:tcW w:w="1559" w:type="dxa"/>
            <w:vAlign w:val="center"/>
          </w:tcPr>
          <w:p w:rsidR="00525419" w:rsidRDefault="00EE1CF7">
            <w:pPr>
              <w:pStyle w:val="B2"/>
              <w:rPr>
                <w:rFonts w:cs="Times New Roman"/>
                <w:bCs/>
                <w:szCs w:val="21"/>
                <w:lang w:bidi="ar"/>
              </w:rPr>
            </w:pPr>
            <w:r>
              <w:rPr>
                <w:rFonts w:cs="Times New Roman"/>
                <w:bCs/>
                <w:szCs w:val="21"/>
                <w:lang w:bidi="ar"/>
              </w:rPr>
              <w:t>四氯化碳</w:t>
            </w:r>
          </w:p>
        </w:tc>
        <w:tc>
          <w:tcPr>
            <w:tcW w:w="1065" w:type="dxa"/>
            <w:vAlign w:val="center"/>
          </w:tcPr>
          <w:p w:rsidR="00525419" w:rsidRDefault="00EE1CF7">
            <w:pPr>
              <w:pStyle w:val="B2"/>
              <w:rPr>
                <w:rFonts w:cs="Times New Roman"/>
              </w:rPr>
            </w:pPr>
            <w:r>
              <w:rPr>
                <w:rFonts w:cs="Times New Roman"/>
              </w:rPr>
              <w:t>2.8</w:t>
            </w:r>
          </w:p>
        </w:tc>
        <w:tc>
          <w:tcPr>
            <w:tcW w:w="1066" w:type="dxa"/>
            <w:vAlign w:val="center"/>
          </w:tcPr>
          <w:p w:rsidR="00525419" w:rsidRDefault="00EE1CF7">
            <w:pPr>
              <w:pStyle w:val="B2"/>
              <w:rPr>
                <w:rFonts w:cs="Times New Roman"/>
              </w:rPr>
            </w:pPr>
            <w:r>
              <w:rPr>
                <w:rFonts w:cs="Times New Roman"/>
              </w:rPr>
              <w:t>36</w:t>
            </w:r>
          </w:p>
        </w:tc>
        <w:tc>
          <w:tcPr>
            <w:tcW w:w="562" w:type="dxa"/>
            <w:vAlign w:val="center"/>
          </w:tcPr>
          <w:p w:rsidR="00525419" w:rsidRDefault="00EE1CF7">
            <w:pPr>
              <w:pStyle w:val="B2"/>
              <w:rPr>
                <w:rFonts w:cs="Times New Roman"/>
              </w:rPr>
            </w:pPr>
            <w:r>
              <w:rPr>
                <w:rFonts w:cs="Times New Roman"/>
              </w:rPr>
              <w:t>31</w:t>
            </w:r>
          </w:p>
        </w:tc>
        <w:tc>
          <w:tcPr>
            <w:tcW w:w="1559" w:type="dxa"/>
            <w:vAlign w:val="center"/>
          </w:tcPr>
          <w:p w:rsidR="00525419" w:rsidRDefault="00EE1CF7">
            <w:pPr>
              <w:pStyle w:val="B2"/>
              <w:rPr>
                <w:rFonts w:cs="Times New Roman"/>
                <w:bCs/>
                <w:szCs w:val="21"/>
              </w:rPr>
            </w:pPr>
            <w:r>
              <w:rPr>
                <w:rFonts w:cs="Times New Roman"/>
                <w:szCs w:val="21"/>
                <w:lang w:bidi="ar"/>
              </w:rPr>
              <w:t>苯乙烯</w:t>
            </w:r>
          </w:p>
        </w:tc>
        <w:tc>
          <w:tcPr>
            <w:tcW w:w="1084" w:type="dxa"/>
            <w:vAlign w:val="center"/>
          </w:tcPr>
          <w:p w:rsidR="00525419" w:rsidRDefault="00EE1CF7">
            <w:pPr>
              <w:pStyle w:val="B2"/>
              <w:rPr>
                <w:rFonts w:cs="Times New Roman"/>
              </w:rPr>
            </w:pPr>
            <w:r>
              <w:rPr>
                <w:rFonts w:cs="Times New Roman"/>
              </w:rPr>
              <w:t>1290</w:t>
            </w:r>
          </w:p>
        </w:tc>
        <w:tc>
          <w:tcPr>
            <w:tcW w:w="1084" w:type="dxa"/>
            <w:vAlign w:val="center"/>
          </w:tcPr>
          <w:p w:rsidR="00525419" w:rsidRDefault="00EE1CF7">
            <w:pPr>
              <w:pStyle w:val="B2"/>
              <w:rPr>
                <w:rFonts w:cs="Times New Roman"/>
              </w:rPr>
            </w:pPr>
            <w:r>
              <w:rPr>
                <w:rFonts w:cs="Times New Roman"/>
              </w:rPr>
              <w:t>1290</w:t>
            </w:r>
          </w:p>
        </w:tc>
      </w:tr>
      <w:tr w:rsidR="00525419">
        <w:trPr>
          <w:trHeight w:val="397"/>
          <w:jc w:val="center"/>
        </w:trPr>
        <w:tc>
          <w:tcPr>
            <w:tcW w:w="526" w:type="dxa"/>
            <w:vAlign w:val="center"/>
          </w:tcPr>
          <w:p w:rsidR="00525419" w:rsidRDefault="00EE1CF7">
            <w:pPr>
              <w:pStyle w:val="B2"/>
              <w:rPr>
                <w:rFonts w:cs="Times New Roman"/>
              </w:rPr>
            </w:pPr>
            <w:r>
              <w:rPr>
                <w:rFonts w:cs="Times New Roman"/>
              </w:rPr>
              <w:t>9</w:t>
            </w:r>
          </w:p>
        </w:tc>
        <w:tc>
          <w:tcPr>
            <w:tcW w:w="1559" w:type="dxa"/>
            <w:vAlign w:val="center"/>
          </w:tcPr>
          <w:p w:rsidR="00525419" w:rsidRDefault="00EE1CF7">
            <w:pPr>
              <w:pStyle w:val="B2"/>
              <w:rPr>
                <w:rFonts w:cs="Times New Roman"/>
                <w:bCs/>
                <w:szCs w:val="21"/>
                <w:lang w:bidi="ar"/>
              </w:rPr>
            </w:pPr>
            <w:r>
              <w:rPr>
                <w:rFonts w:cs="Times New Roman"/>
                <w:bCs/>
                <w:szCs w:val="21"/>
                <w:lang w:bidi="ar"/>
              </w:rPr>
              <w:t>氯仿</w:t>
            </w:r>
          </w:p>
        </w:tc>
        <w:tc>
          <w:tcPr>
            <w:tcW w:w="1065" w:type="dxa"/>
            <w:vAlign w:val="center"/>
          </w:tcPr>
          <w:p w:rsidR="00525419" w:rsidRDefault="00EE1CF7">
            <w:pPr>
              <w:pStyle w:val="B2"/>
              <w:rPr>
                <w:rFonts w:cs="Times New Roman"/>
              </w:rPr>
            </w:pPr>
            <w:r>
              <w:rPr>
                <w:rFonts w:cs="Times New Roman"/>
              </w:rPr>
              <w:t>0.9</w:t>
            </w:r>
          </w:p>
        </w:tc>
        <w:tc>
          <w:tcPr>
            <w:tcW w:w="1066" w:type="dxa"/>
            <w:vAlign w:val="center"/>
          </w:tcPr>
          <w:p w:rsidR="00525419" w:rsidRDefault="00EE1CF7">
            <w:pPr>
              <w:pStyle w:val="B2"/>
              <w:rPr>
                <w:rFonts w:cs="Times New Roman"/>
              </w:rPr>
            </w:pPr>
            <w:r>
              <w:rPr>
                <w:rFonts w:cs="Times New Roman"/>
              </w:rPr>
              <w:t>10</w:t>
            </w:r>
          </w:p>
        </w:tc>
        <w:tc>
          <w:tcPr>
            <w:tcW w:w="562" w:type="dxa"/>
            <w:vAlign w:val="center"/>
          </w:tcPr>
          <w:p w:rsidR="00525419" w:rsidRDefault="00EE1CF7">
            <w:pPr>
              <w:pStyle w:val="B2"/>
              <w:rPr>
                <w:rFonts w:cs="Times New Roman"/>
              </w:rPr>
            </w:pPr>
            <w:r>
              <w:rPr>
                <w:rFonts w:cs="Times New Roman"/>
              </w:rPr>
              <w:t>32</w:t>
            </w:r>
          </w:p>
        </w:tc>
        <w:tc>
          <w:tcPr>
            <w:tcW w:w="1559" w:type="dxa"/>
            <w:vAlign w:val="center"/>
          </w:tcPr>
          <w:p w:rsidR="00525419" w:rsidRDefault="00EE1CF7">
            <w:pPr>
              <w:pStyle w:val="B2"/>
              <w:rPr>
                <w:rFonts w:cs="Times New Roman"/>
                <w:bCs/>
                <w:szCs w:val="21"/>
              </w:rPr>
            </w:pPr>
            <w:r>
              <w:rPr>
                <w:rFonts w:cs="Times New Roman"/>
                <w:szCs w:val="21"/>
                <w:lang w:bidi="ar"/>
              </w:rPr>
              <w:t>甲苯</w:t>
            </w:r>
          </w:p>
        </w:tc>
        <w:tc>
          <w:tcPr>
            <w:tcW w:w="1084" w:type="dxa"/>
            <w:vAlign w:val="center"/>
          </w:tcPr>
          <w:p w:rsidR="00525419" w:rsidRDefault="00EE1CF7">
            <w:pPr>
              <w:pStyle w:val="B2"/>
              <w:rPr>
                <w:rFonts w:cs="Times New Roman"/>
              </w:rPr>
            </w:pPr>
            <w:r>
              <w:rPr>
                <w:rFonts w:cs="Times New Roman"/>
              </w:rPr>
              <w:t>1200</w:t>
            </w:r>
          </w:p>
        </w:tc>
        <w:tc>
          <w:tcPr>
            <w:tcW w:w="1084" w:type="dxa"/>
            <w:vAlign w:val="center"/>
          </w:tcPr>
          <w:p w:rsidR="00525419" w:rsidRDefault="00EE1CF7">
            <w:pPr>
              <w:pStyle w:val="B2"/>
              <w:rPr>
                <w:rFonts w:cs="Times New Roman"/>
              </w:rPr>
            </w:pPr>
            <w:r>
              <w:rPr>
                <w:rFonts w:cs="Times New Roman"/>
              </w:rPr>
              <w:t>1200</w:t>
            </w:r>
          </w:p>
        </w:tc>
      </w:tr>
      <w:tr w:rsidR="00525419">
        <w:trPr>
          <w:trHeight w:val="397"/>
          <w:jc w:val="center"/>
        </w:trPr>
        <w:tc>
          <w:tcPr>
            <w:tcW w:w="526" w:type="dxa"/>
            <w:vAlign w:val="center"/>
          </w:tcPr>
          <w:p w:rsidR="00525419" w:rsidRDefault="00EE1CF7">
            <w:pPr>
              <w:pStyle w:val="B2"/>
              <w:rPr>
                <w:rFonts w:cs="Times New Roman"/>
              </w:rPr>
            </w:pPr>
            <w:r>
              <w:rPr>
                <w:rFonts w:cs="Times New Roman"/>
              </w:rPr>
              <w:t>10</w:t>
            </w:r>
          </w:p>
        </w:tc>
        <w:tc>
          <w:tcPr>
            <w:tcW w:w="1559" w:type="dxa"/>
            <w:vAlign w:val="center"/>
          </w:tcPr>
          <w:p w:rsidR="00525419" w:rsidRDefault="00EE1CF7">
            <w:pPr>
              <w:pStyle w:val="B2"/>
              <w:rPr>
                <w:rFonts w:cs="Times New Roman"/>
                <w:bCs/>
                <w:szCs w:val="21"/>
              </w:rPr>
            </w:pPr>
            <w:r>
              <w:rPr>
                <w:rFonts w:cs="Times New Roman"/>
                <w:bCs/>
                <w:szCs w:val="21"/>
              </w:rPr>
              <w:t>氯甲烷</w:t>
            </w:r>
          </w:p>
        </w:tc>
        <w:tc>
          <w:tcPr>
            <w:tcW w:w="1065" w:type="dxa"/>
            <w:vAlign w:val="center"/>
          </w:tcPr>
          <w:p w:rsidR="00525419" w:rsidRDefault="00EE1CF7">
            <w:pPr>
              <w:pStyle w:val="B2"/>
              <w:rPr>
                <w:rFonts w:cs="Times New Roman"/>
              </w:rPr>
            </w:pPr>
            <w:r>
              <w:rPr>
                <w:rFonts w:cs="Times New Roman"/>
              </w:rPr>
              <w:t>37</w:t>
            </w:r>
          </w:p>
        </w:tc>
        <w:tc>
          <w:tcPr>
            <w:tcW w:w="1066" w:type="dxa"/>
            <w:vAlign w:val="center"/>
          </w:tcPr>
          <w:p w:rsidR="00525419" w:rsidRDefault="00EE1CF7">
            <w:pPr>
              <w:pStyle w:val="B2"/>
              <w:rPr>
                <w:rFonts w:cs="Times New Roman"/>
              </w:rPr>
            </w:pPr>
            <w:r>
              <w:rPr>
                <w:rFonts w:cs="Times New Roman"/>
              </w:rPr>
              <w:t>120</w:t>
            </w:r>
          </w:p>
        </w:tc>
        <w:tc>
          <w:tcPr>
            <w:tcW w:w="562" w:type="dxa"/>
            <w:vAlign w:val="center"/>
          </w:tcPr>
          <w:p w:rsidR="00525419" w:rsidRDefault="00EE1CF7">
            <w:pPr>
              <w:pStyle w:val="B2"/>
              <w:rPr>
                <w:rFonts w:cs="Times New Roman"/>
              </w:rPr>
            </w:pPr>
            <w:r>
              <w:rPr>
                <w:rFonts w:cs="Times New Roman"/>
              </w:rPr>
              <w:t>33</w:t>
            </w:r>
          </w:p>
        </w:tc>
        <w:tc>
          <w:tcPr>
            <w:tcW w:w="1559" w:type="dxa"/>
            <w:vAlign w:val="center"/>
          </w:tcPr>
          <w:p w:rsidR="00525419" w:rsidRDefault="00EE1CF7">
            <w:pPr>
              <w:pStyle w:val="B2"/>
              <w:rPr>
                <w:rFonts w:cs="Times New Roman"/>
                <w:bCs/>
                <w:szCs w:val="21"/>
              </w:rPr>
            </w:pPr>
            <w:r>
              <w:rPr>
                <w:rFonts w:cs="Times New Roman"/>
                <w:szCs w:val="21"/>
                <w:lang w:bidi="ar"/>
              </w:rPr>
              <w:t>间二甲苯</w:t>
            </w:r>
            <w:r>
              <w:rPr>
                <w:rFonts w:cs="Times New Roman"/>
                <w:szCs w:val="21"/>
                <w:lang w:bidi="ar"/>
              </w:rPr>
              <w:t>+</w:t>
            </w:r>
            <w:r>
              <w:rPr>
                <w:rFonts w:cs="Times New Roman"/>
                <w:szCs w:val="21"/>
                <w:lang w:bidi="ar"/>
              </w:rPr>
              <w:t>对二甲苯</w:t>
            </w:r>
          </w:p>
        </w:tc>
        <w:tc>
          <w:tcPr>
            <w:tcW w:w="1084" w:type="dxa"/>
            <w:vAlign w:val="center"/>
          </w:tcPr>
          <w:p w:rsidR="00525419" w:rsidRDefault="00EE1CF7">
            <w:pPr>
              <w:pStyle w:val="B2"/>
              <w:rPr>
                <w:rFonts w:cs="Times New Roman"/>
              </w:rPr>
            </w:pPr>
            <w:r>
              <w:rPr>
                <w:rFonts w:cs="Times New Roman"/>
              </w:rPr>
              <w:t>570</w:t>
            </w:r>
          </w:p>
        </w:tc>
        <w:tc>
          <w:tcPr>
            <w:tcW w:w="1084" w:type="dxa"/>
            <w:vAlign w:val="center"/>
          </w:tcPr>
          <w:p w:rsidR="00525419" w:rsidRDefault="00EE1CF7">
            <w:pPr>
              <w:pStyle w:val="B2"/>
              <w:rPr>
                <w:rFonts w:cs="Times New Roman"/>
              </w:rPr>
            </w:pPr>
            <w:r>
              <w:rPr>
                <w:rFonts w:cs="Times New Roman"/>
              </w:rPr>
              <w:t>570</w:t>
            </w:r>
          </w:p>
        </w:tc>
      </w:tr>
      <w:tr w:rsidR="00525419">
        <w:trPr>
          <w:trHeight w:val="397"/>
          <w:jc w:val="center"/>
        </w:trPr>
        <w:tc>
          <w:tcPr>
            <w:tcW w:w="526" w:type="dxa"/>
            <w:vAlign w:val="center"/>
          </w:tcPr>
          <w:p w:rsidR="00525419" w:rsidRDefault="00EE1CF7">
            <w:pPr>
              <w:pStyle w:val="B2"/>
              <w:rPr>
                <w:rFonts w:cs="Times New Roman"/>
              </w:rPr>
            </w:pPr>
            <w:r>
              <w:rPr>
                <w:rFonts w:cs="Times New Roman"/>
              </w:rPr>
              <w:t>11</w:t>
            </w:r>
          </w:p>
        </w:tc>
        <w:tc>
          <w:tcPr>
            <w:tcW w:w="1559" w:type="dxa"/>
            <w:vAlign w:val="center"/>
          </w:tcPr>
          <w:p w:rsidR="00525419" w:rsidRDefault="00EE1CF7">
            <w:pPr>
              <w:pStyle w:val="B2"/>
              <w:rPr>
                <w:rFonts w:cs="Times New Roman"/>
                <w:bCs/>
                <w:szCs w:val="21"/>
              </w:rPr>
            </w:pPr>
            <w:r>
              <w:rPr>
                <w:rFonts w:cs="Times New Roman"/>
                <w:bCs/>
                <w:szCs w:val="21"/>
              </w:rPr>
              <w:t>1,1-</w:t>
            </w:r>
            <w:r>
              <w:rPr>
                <w:rFonts w:cs="Times New Roman"/>
                <w:bCs/>
                <w:szCs w:val="21"/>
              </w:rPr>
              <w:t>二氯乙烷</w:t>
            </w:r>
          </w:p>
        </w:tc>
        <w:tc>
          <w:tcPr>
            <w:tcW w:w="1065" w:type="dxa"/>
            <w:vAlign w:val="center"/>
          </w:tcPr>
          <w:p w:rsidR="00525419" w:rsidRDefault="00EE1CF7">
            <w:pPr>
              <w:pStyle w:val="B2"/>
              <w:rPr>
                <w:rFonts w:cs="Times New Roman"/>
              </w:rPr>
            </w:pPr>
            <w:r>
              <w:rPr>
                <w:rFonts w:cs="Times New Roman"/>
              </w:rPr>
              <w:t>9</w:t>
            </w:r>
          </w:p>
        </w:tc>
        <w:tc>
          <w:tcPr>
            <w:tcW w:w="1066" w:type="dxa"/>
            <w:vAlign w:val="center"/>
          </w:tcPr>
          <w:p w:rsidR="00525419" w:rsidRDefault="00EE1CF7">
            <w:pPr>
              <w:pStyle w:val="B2"/>
              <w:rPr>
                <w:rFonts w:cs="Times New Roman"/>
              </w:rPr>
            </w:pPr>
            <w:r>
              <w:rPr>
                <w:rFonts w:cs="Times New Roman"/>
              </w:rPr>
              <w:t>100</w:t>
            </w:r>
          </w:p>
        </w:tc>
        <w:tc>
          <w:tcPr>
            <w:tcW w:w="562" w:type="dxa"/>
            <w:vAlign w:val="center"/>
          </w:tcPr>
          <w:p w:rsidR="00525419" w:rsidRDefault="00EE1CF7">
            <w:pPr>
              <w:pStyle w:val="B2"/>
              <w:rPr>
                <w:rFonts w:cs="Times New Roman"/>
              </w:rPr>
            </w:pPr>
            <w:r>
              <w:rPr>
                <w:rFonts w:cs="Times New Roman"/>
              </w:rPr>
              <w:t>34</w:t>
            </w:r>
          </w:p>
        </w:tc>
        <w:tc>
          <w:tcPr>
            <w:tcW w:w="1559" w:type="dxa"/>
            <w:vAlign w:val="center"/>
          </w:tcPr>
          <w:p w:rsidR="00525419" w:rsidRDefault="00EE1CF7">
            <w:pPr>
              <w:pStyle w:val="B2"/>
              <w:rPr>
                <w:rFonts w:cs="Times New Roman"/>
                <w:bCs/>
                <w:szCs w:val="21"/>
              </w:rPr>
            </w:pPr>
            <w:r>
              <w:rPr>
                <w:rFonts w:cs="Times New Roman"/>
                <w:szCs w:val="21"/>
                <w:lang w:bidi="ar"/>
              </w:rPr>
              <w:t>邻二甲苯</w:t>
            </w:r>
          </w:p>
        </w:tc>
        <w:tc>
          <w:tcPr>
            <w:tcW w:w="1084" w:type="dxa"/>
            <w:vAlign w:val="center"/>
          </w:tcPr>
          <w:p w:rsidR="00525419" w:rsidRDefault="00EE1CF7">
            <w:pPr>
              <w:pStyle w:val="B2"/>
              <w:rPr>
                <w:rFonts w:cs="Times New Roman"/>
              </w:rPr>
            </w:pPr>
            <w:r>
              <w:rPr>
                <w:rFonts w:cs="Times New Roman"/>
              </w:rPr>
              <w:t>640</w:t>
            </w:r>
          </w:p>
        </w:tc>
        <w:tc>
          <w:tcPr>
            <w:tcW w:w="1084" w:type="dxa"/>
            <w:vAlign w:val="center"/>
          </w:tcPr>
          <w:p w:rsidR="00525419" w:rsidRDefault="00EE1CF7">
            <w:pPr>
              <w:pStyle w:val="B2"/>
              <w:rPr>
                <w:rFonts w:cs="Times New Roman"/>
              </w:rPr>
            </w:pPr>
            <w:r>
              <w:rPr>
                <w:rFonts w:cs="Times New Roman"/>
              </w:rPr>
              <w:t>640</w:t>
            </w:r>
          </w:p>
        </w:tc>
      </w:tr>
      <w:tr w:rsidR="00525419">
        <w:trPr>
          <w:trHeight w:val="397"/>
          <w:jc w:val="center"/>
        </w:trPr>
        <w:tc>
          <w:tcPr>
            <w:tcW w:w="526" w:type="dxa"/>
            <w:vAlign w:val="center"/>
          </w:tcPr>
          <w:p w:rsidR="00525419" w:rsidRDefault="00EE1CF7">
            <w:pPr>
              <w:pStyle w:val="B2"/>
              <w:rPr>
                <w:rFonts w:cs="Times New Roman"/>
              </w:rPr>
            </w:pPr>
            <w:r>
              <w:rPr>
                <w:rFonts w:cs="Times New Roman"/>
              </w:rPr>
              <w:t>12</w:t>
            </w:r>
          </w:p>
        </w:tc>
        <w:tc>
          <w:tcPr>
            <w:tcW w:w="1559" w:type="dxa"/>
            <w:vAlign w:val="center"/>
          </w:tcPr>
          <w:p w:rsidR="00525419" w:rsidRDefault="00EE1CF7">
            <w:pPr>
              <w:pStyle w:val="B2"/>
              <w:rPr>
                <w:rFonts w:cs="Times New Roman"/>
                <w:bCs/>
                <w:szCs w:val="21"/>
              </w:rPr>
            </w:pPr>
            <w:r>
              <w:rPr>
                <w:rFonts w:cs="Times New Roman"/>
                <w:bCs/>
                <w:szCs w:val="21"/>
              </w:rPr>
              <w:t>1,2-</w:t>
            </w:r>
            <w:r>
              <w:rPr>
                <w:rFonts w:cs="Times New Roman"/>
                <w:bCs/>
                <w:szCs w:val="21"/>
              </w:rPr>
              <w:t>二氯乙烷</w:t>
            </w:r>
          </w:p>
        </w:tc>
        <w:tc>
          <w:tcPr>
            <w:tcW w:w="1065" w:type="dxa"/>
            <w:vAlign w:val="center"/>
          </w:tcPr>
          <w:p w:rsidR="00525419" w:rsidRDefault="00EE1CF7">
            <w:pPr>
              <w:pStyle w:val="B2"/>
              <w:rPr>
                <w:rFonts w:cs="Times New Roman"/>
              </w:rPr>
            </w:pPr>
            <w:r>
              <w:rPr>
                <w:rFonts w:cs="Times New Roman"/>
              </w:rPr>
              <w:t>5</w:t>
            </w:r>
          </w:p>
        </w:tc>
        <w:tc>
          <w:tcPr>
            <w:tcW w:w="1066" w:type="dxa"/>
            <w:vAlign w:val="center"/>
          </w:tcPr>
          <w:p w:rsidR="00525419" w:rsidRDefault="00EE1CF7">
            <w:pPr>
              <w:pStyle w:val="B2"/>
              <w:rPr>
                <w:rFonts w:cs="Times New Roman"/>
              </w:rPr>
            </w:pPr>
            <w:r>
              <w:rPr>
                <w:rFonts w:cs="Times New Roman"/>
              </w:rPr>
              <w:t>21</w:t>
            </w:r>
          </w:p>
        </w:tc>
        <w:tc>
          <w:tcPr>
            <w:tcW w:w="562" w:type="dxa"/>
            <w:vAlign w:val="center"/>
          </w:tcPr>
          <w:p w:rsidR="00525419" w:rsidRDefault="00EE1CF7">
            <w:pPr>
              <w:pStyle w:val="B2"/>
              <w:rPr>
                <w:rFonts w:cs="Times New Roman"/>
              </w:rPr>
            </w:pPr>
            <w:r>
              <w:rPr>
                <w:rFonts w:cs="Times New Roman"/>
              </w:rPr>
              <w:t>35</w:t>
            </w:r>
          </w:p>
        </w:tc>
        <w:tc>
          <w:tcPr>
            <w:tcW w:w="1559" w:type="dxa"/>
            <w:vAlign w:val="center"/>
          </w:tcPr>
          <w:p w:rsidR="00525419" w:rsidRDefault="00EE1CF7">
            <w:pPr>
              <w:pStyle w:val="B2"/>
              <w:rPr>
                <w:rFonts w:cs="Times New Roman"/>
              </w:rPr>
            </w:pPr>
            <w:r>
              <w:rPr>
                <w:rFonts w:cs="Times New Roman"/>
              </w:rPr>
              <w:t>硝基苯</w:t>
            </w:r>
          </w:p>
        </w:tc>
        <w:tc>
          <w:tcPr>
            <w:tcW w:w="1084" w:type="dxa"/>
            <w:vAlign w:val="center"/>
          </w:tcPr>
          <w:p w:rsidR="00525419" w:rsidRDefault="00EE1CF7">
            <w:pPr>
              <w:pStyle w:val="B2"/>
              <w:rPr>
                <w:rFonts w:cs="Times New Roman"/>
              </w:rPr>
            </w:pPr>
            <w:r>
              <w:rPr>
                <w:rFonts w:cs="Times New Roman"/>
              </w:rPr>
              <w:t>76</w:t>
            </w:r>
          </w:p>
        </w:tc>
        <w:tc>
          <w:tcPr>
            <w:tcW w:w="1084" w:type="dxa"/>
            <w:vAlign w:val="center"/>
          </w:tcPr>
          <w:p w:rsidR="00525419" w:rsidRDefault="00EE1CF7">
            <w:pPr>
              <w:pStyle w:val="B2"/>
              <w:rPr>
                <w:rFonts w:cs="Times New Roman"/>
              </w:rPr>
            </w:pPr>
            <w:r>
              <w:rPr>
                <w:rFonts w:cs="Times New Roman"/>
              </w:rPr>
              <w:t>760</w:t>
            </w:r>
          </w:p>
        </w:tc>
      </w:tr>
      <w:tr w:rsidR="00525419">
        <w:trPr>
          <w:trHeight w:val="397"/>
          <w:jc w:val="center"/>
        </w:trPr>
        <w:tc>
          <w:tcPr>
            <w:tcW w:w="526" w:type="dxa"/>
            <w:vAlign w:val="center"/>
          </w:tcPr>
          <w:p w:rsidR="00525419" w:rsidRDefault="00EE1CF7">
            <w:pPr>
              <w:pStyle w:val="B2"/>
              <w:rPr>
                <w:rFonts w:cs="Times New Roman"/>
              </w:rPr>
            </w:pPr>
            <w:r>
              <w:rPr>
                <w:rFonts w:cs="Times New Roman"/>
              </w:rPr>
              <w:t>13</w:t>
            </w:r>
          </w:p>
        </w:tc>
        <w:tc>
          <w:tcPr>
            <w:tcW w:w="1559" w:type="dxa"/>
            <w:vAlign w:val="center"/>
          </w:tcPr>
          <w:p w:rsidR="00525419" w:rsidRDefault="00EE1CF7">
            <w:pPr>
              <w:pStyle w:val="B2"/>
              <w:rPr>
                <w:rFonts w:cs="Times New Roman"/>
                <w:bCs/>
                <w:szCs w:val="21"/>
              </w:rPr>
            </w:pPr>
            <w:r>
              <w:rPr>
                <w:rFonts w:cs="Times New Roman"/>
                <w:bCs/>
                <w:szCs w:val="21"/>
              </w:rPr>
              <w:t>1,1-</w:t>
            </w:r>
            <w:r>
              <w:rPr>
                <w:rFonts w:cs="Times New Roman"/>
                <w:bCs/>
                <w:szCs w:val="21"/>
              </w:rPr>
              <w:t>二氯乙烯</w:t>
            </w:r>
          </w:p>
        </w:tc>
        <w:tc>
          <w:tcPr>
            <w:tcW w:w="1065" w:type="dxa"/>
            <w:vAlign w:val="center"/>
          </w:tcPr>
          <w:p w:rsidR="00525419" w:rsidRDefault="00EE1CF7">
            <w:pPr>
              <w:pStyle w:val="B2"/>
              <w:rPr>
                <w:rFonts w:cs="Times New Roman"/>
              </w:rPr>
            </w:pPr>
            <w:r>
              <w:rPr>
                <w:rFonts w:cs="Times New Roman"/>
              </w:rPr>
              <w:t>66</w:t>
            </w:r>
          </w:p>
        </w:tc>
        <w:tc>
          <w:tcPr>
            <w:tcW w:w="1066" w:type="dxa"/>
            <w:vAlign w:val="center"/>
          </w:tcPr>
          <w:p w:rsidR="00525419" w:rsidRDefault="00EE1CF7">
            <w:pPr>
              <w:pStyle w:val="B2"/>
              <w:rPr>
                <w:rFonts w:cs="Times New Roman"/>
              </w:rPr>
            </w:pPr>
            <w:r>
              <w:rPr>
                <w:rFonts w:cs="Times New Roman"/>
              </w:rPr>
              <w:t>200</w:t>
            </w:r>
          </w:p>
        </w:tc>
        <w:tc>
          <w:tcPr>
            <w:tcW w:w="562" w:type="dxa"/>
            <w:vAlign w:val="center"/>
          </w:tcPr>
          <w:p w:rsidR="00525419" w:rsidRDefault="00EE1CF7">
            <w:pPr>
              <w:pStyle w:val="B2"/>
              <w:rPr>
                <w:rFonts w:cs="Times New Roman"/>
              </w:rPr>
            </w:pPr>
            <w:r>
              <w:rPr>
                <w:rFonts w:cs="Times New Roman"/>
              </w:rPr>
              <w:t>36</w:t>
            </w:r>
          </w:p>
        </w:tc>
        <w:tc>
          <w:tcPr>
            <w:tcW w:w="1559" w:type="dxa"/>
            <w:vAlign w:val="center"/>
          </w:tcPr>
          <w:p w:rsidR="00525419" w:rsidRDefault="00EE1CF7">
            <w:pPr>
              <w:pStyle w:val="B2"/>
              <w:rPr>
                <w:rFonts w:cs="Times New Roman"/>
              </w:rPr>
            </w:pPr>
            <w:r>
              <w:rPr>
                <w:rFonts w:cs="Times New Roman"/>
              </w:rPr>
              <w:t>苯胺</w:t>
            </w:r>
          </w:p>
        </w:tc>
        <w:tc>
          <w:tcPr>
            <w:tcW w:w="1084" w:type="dxa"/>
            <w:vAlign w:val="center"/>
          </w:tcPr>
          <w:p w:rsidR="00525419" w:rsidRDefault="00EE1CF7">
            <w:pPr>
              <w:pStyle w:val="B2"/>
              <w:rPr>
                <w:rFonts w:cs="Times New Roman"/>
              </w:rPr>
            </w:pPr>
            <w:r>
              <w:rPr>
                <w:rFonts w:cs="Times New Roman"/>
              </w:rPr>
              <w:t>260</w:t>
            </w:r>
          </w:p>
        </w:tc>
        <w:tc>
          <w:tcPr>
            <w:tcW w:w="1084" w:type="dxa"/>
            <w:vAlign w:val="center"/>
          </w:tcPr>
          <w:p w:rsidR="00525419" w:rsidRDefault="00EE1CF7">
            <w:pPr>
              <w:pStyle w:val="B2"/>
              <w:rPr>
                <w:rFonts w:cs="Times New Roman"/>
              </w:rPr>
            </w:pPr>
            <w:r>
              <w:rPr>
                <w:rFonts w:cs="Times New Roman"/>
              </w:rPr>
              <w:t>663</w:t>
            </w:r>
          </w:p>
        </w:tc>
      </w:tr>
      <w:tr w:rsidR="00525419">
        <w:trPr>
          <w:trHeight w:val="397"/>
          <w:jc w:val="center"/>
        </w:trPr>
        <w:tc>
          <w:tcPr>
            <w:tcW w:w="526" w:type="dxa"/>
            <w:vAlign w:val="center"/>
          </w:tcPr>
          <w:p w:rsidR="00525419" w:rsidRDefault="00EE1CF7">
            <w:pPr>
              <w:pStyle w:val="B2"/>
              <w:rPr>
                <w:rFonts w:cs="Times New Roman"/>
              </w:rPr>
            </w:pPr>
            <w:r>
              <w:rPr>
                <w:rFonts w:cs="Times New Roman"/>
              </w:rPr>
              <w:t>14</w:t>
            </w:r>
          </w:p>
        </w:tc>
        <w:tc>
          <w:tcPr>
            <w:tcW w:w="1559" w:type="dxa"/>
            <w:vAlign w:val="center"/>
          </w:tcPr>
          <w:p w:rsidR="00525419" w:rsidRDefault="00EE1CF7">
            <w:pPr>
              <w:pStyle w:val="B2"/>
              <w:rPr>
                <w:rFonts w:cs="Times New Roman"/>
                <w:bCs/>
                <w:szCs w:val="21"/>
              </w:rPr>
            </w:pPr>
            <w:r>
              <w:rPr>
                <w:rFonts w:cs="Times New Roman"/>
                <w:bCs/>
                <w:szCs w:val="21"/>
              </w:rPr>
              <w:t>顺</w:t>
            </w:r>
            <w:r>
              <w:rPr>
                <w:rFonts w:cs="Times New Roman"/>
                <w:bCs/>
                <w:szCs w:val="21"/>
              </w:rPr>
              <w:t>-1,2-</w:t>
            </w:r>
            <w:r>
              <w:rPr>
                <w:rFonts w:cs="Times New Roman"/>
                <w:bCs/>
                <w:szCs w:val="21"/>
              </w:rPr>
              <w:t>二氯乙烯</w:t>
            </w:r>
          </w:p>
        </w:tc>
        <w:tc>
          <w:tcPr>
            <w:tcW w:w="1065" w:type="dxa"/>
            <w:vAlign w:val="center"/>
          </w:tcPr>
          <w:p w:rsidR="00525419" w:rsidRDefault="00EE1CF7">
            <w:pPr>
              <w:pStyle w:val="B2"/>
              <w:rPr>
                <w:rFonts w:cs="Times New Roman"/>
              </w:rPr>
            </w:pPr>
            <w:r>
              <w:rPr>
                <w:rFonts w:cs="Times New Roman"/>
              </w:rPr>
              <w:t>596</w:t>
            </w:r>
          </w:p>
        </w:tc>
        <w:tc>
          <w:tcPr>
            <w:tcW w:w="1066" w:type="dxa"/>
            <w:vAlign w:val="center"/>
          </w:tcPr>
          <w:p w:rsidR="00525419" w:rsidRDefault="00EE1CF7">
            <w:pPr>
              <w:pStyle w:val="B2"/>
              <w:rPr>
                <w:rFonts w:cs="Times New Roman"/>
              </w:rPr>
            </w:pPr>
            <w:r>
              <w:rPr>
                <w:rFonts w:cs="Times New Roman"/>
              </w:rPr>
              <w:t>2000</w:t>
            </w:r>
          </w:p>
        </w:tc>
        <w:tc>
          <w:tcPr>
            <w:tcW w:w="562" w:type="dxa"/>
            <w:vAlign w:val="center"/>
          </w:tcPr>
          <w:p w:rsidR="00525419" w:rsidRDefault="00EE1CF7">
            <w:pPr>
              <w:pStyle w:val="B2"/>
              <w:rPr>
                <w:rFonts w:cs="Times New Roman"/>
              </w:rPr>
            </w:pPr>
            <w:r>
              <w:rPr>
                <w:rFonts w:cs="Times New Roman"/>
              </w:rPr>
              <w:t>37</w:t>
            </w:r>
          </w:p>
        </w:tc>
        <w:tc>
          <w:tcPr>
            <w:tcW w:w="1559" w:type="dxa"/>
            <w:vAlign w:val="center"/>
          </w:tcPr>
          <w:p w:rsidR="00525419" w:rsidRDefault="00EE1CF7">
            <w:pPr>
              <w:pStyle w:val="B2"/>
              <w:rPr>
                <w:rFonts w:cs="Times New Roman"/>
                <w:bCs/>
                <w:szCs w:val="21"/>
              </w:rPr>
            </w:pPr>
            <w:r>
              <w:rPr>
                <w:rFonts w:cs="Times New Roman"/>
                <w:szCs w:val="21"/>
              </w:rPr>
              <w:t>2-</w:t>
            </w:r>
            <w:r>
              <w:rPr>
                <w:rFonts w:cs="Times New Roman"/>
                <w:szCs w:val="21"/>
              </w:rPr>
              <w:t>氯酚</w:t>
            </w:r>
          </w:p>
        </w:tc>
        <w:tc>
          <w:tcPr>
            <w:tcW w:w="1084" w:type="dxa"/>
            <w:vAlign w:val="center"/>
          </w:tcPr>
          <w:p w:rsidR="00525419" w:rsidRDefault="00EE1CF7">
            <w:pPr>
              <w:pStyle w:val="B2"/>
              <w:rPr>
                <w:rFonts w:cs="Times New Roman"/>
              </w:rPr>
            </w:pPr>
            <w:r>
              <w:rPr>
                <w:rFonts w:cs="Times New Roman"/>
              </w:rPr>
              <w:t>2480</w:t>
            </w:r>
          </w:p>
        </w:tc>
        <w:tc>
          <w:tcPr>
            <w:tcW w:w="1084" w:type="dxa"/>
            <w:vAlign w:val="center"/>
          </w:tcPr>
          <w:p w:rsidR="00525419" w:rsidRDefault="00EE1CF7">
            <w:pPr>
              <w:pStyle w:val="B2"/>
              <w:rPr>
                <w:rFonts w:cs="Times New Roman"/>
              </w:rPr>
            </w:pPr>
            <w:r>
              <w:rPr>
                <w:rFonts w:cs="Times New Roman"/>
              </w:rPr>
              <w:t>4500</w:t>
            </w:r>
          </w:p>
        </w:tc>
      </w:tr>
      <w:tr w:rsidR="00525419">
        <w:trPr>
          <w:trHeight w:val="397"/>
          <w:jc w:val="center"/>
        </w:trPr>
        <w:tc>
          <w:tcPr>
            <w:tcW w:w="526" w:type="dxa"/>
            <w:vAlign w:val="center"/>
          </w:tcPr>
          <w:p w:rsidR="00525419" w:rsidRDefault="00EE1CF7">
            <w:pPr>
              <w:pStyle w:val="B2"/>
              <w:rPr>
                <w:rFonts w:cs="Times New Roman"/>
              </w:rPr>
            </w:pPr>
            <w:r>
              <w:rPr>
                <w:rFonts w:cs="Times New Roman"/>
              </w:rPr>
              <w:t>15</w:t>
            </w:r>
          </w:p>
        </w:tc>
        <w:tc>
          <w:tcPr>
            <w:tcW w:w="1559" w:type="dxa"/>
            <w:vAlign w:val="center"/>
          </w:tcPr>
          <w:p w:rsidR="00525419" w:rsidRDefault="00EE1CF7">
            <w:pPr>
              <w:pStyle w:val="B2"/>
              <w:rPr>
                <w:rFonts w:cs="Times New Roman"/>
                <w:bCs/>
                <w:szCs w:val="21"/>
              </w:rPr>
            </w:pPr>
            <w:r>
              <w:rPr>
                <w:rFonts w:cs="Times New Roman"/>
                <w:bCs/>
                <w:szCs w:val="21"/>
              </w:rPr>
              <w:t>反</w:t>
            </w:r>
            <w:r>
              <w:rPr>
                <w:rFonts w:cs="Times New Roman"/>
                <w:bCs/>
                <w:szCs w:val="21"/>
              </w:rPr>
              <w:t>-1,2-</w:t>
            </w:r>
            <w:r>
              <w:rPr>
                <w:rFonts w:cs="Times New Roman"/>
                <w:bCs/>
                <w:szCs w:val="21"/>
              </w:rPr>
              <w:t>二氯乙烯</w:t>
            </w:r>
          </w:p>
        </w:tc>
        <w:tc>
          <w:tcPr>
            <w:tcW w:w="1065" w:type="dxa"/>
            <w:vAlign w:val="center"/>
          </w:tcPr>
          <w:p w:rsidR="00525419" w:rsidRDefault="00EE1CF7">
            <w:pPr>
              <w:pStyle w:val="B2"/>
              <w:rPr>
                <w:rFonts w:cs="Times New Roman"/>
              </w:rPr>
            </w:pPr>
            <w:r>
              <w:rPr>
                <w:rFonts w:cs="Times New Roman"/>
              </w:rPr>
              <w:t>54</w:t>
            </w:r>
          </w:p>
        </w:tc>
        <w:tc>
          <w:tcPr>
            <w:tcW w:w="1066" w:type="dxa"/>
            <w:vAlign w:val="center"/>
          </w:tcPr>
          <w:p w:rsidR="00525419" w:rsidRDefault="00EE1CF7">
            <w:pPr>
              <w:pStyle w:val="B2"/>
              <w:rPr>
                <w:rFonts w:cs="Times New Roman"/>
              </w:rPr>
            </w:pPr>
            <w:r>
              <w:rPr>
                <w:rFonts w:cs="Times New Roman"/>
              </w:rPr>
              <w:t>163</w:t>
            </w:r>
          </w:p>
        </w:tc>
        <w:tc>
          <w:tcPr>
            <w:tcW w:w="562" w:type="dxa"/>
            <w:vAlign w:val="center"/>
          </w:tcPr>
          <w:p w:rsidR="00525419" w:rsidRDefault="00EE1CF7">
            <w:pPr>
              <w:pStyle w:val="B2"/>
              <w:rPr>
                <w:rFonts w:cs="Times New Roman"/>
              </w:rPr>
            </w:pPr>
            <w:r>
              <w:rPr>
                <w:rFonts w:cs="Times New Roman"/>
              </w:rPr>
              <w:t>38</w:t>
            </w:r>
          </w:p>
        </w:tc>
        <w:tc>
          <w:tcPr>
            <w:tcW w:w="1559" w:type="dxa"/>
            <w:vAlign w:val="center"/>
          </w:tcPr>
          <w:p w:rsidR="00525419" w:rsidRDefault="00EE1CF7">
            <w:pPr>
              <w:pStyle w:val="B2"/>
              <w:rPr>
                <w:rFonts w:cs="Times New Roman"/>
                <w:bCs/>
                <w:szCs w:val="21"/>
              </w:rPr>
            </w:pPr>
            <w:r>
              <w:rPr>
                <w:rFonts w:cs="Times New Roman"/>
                <w:szCs w:val="21"/>
              </w:rPr>
              <w:t>苯并</w:t>
            </w:r>
            <w:r>
              <w:rPr>
                <w:rFonts w:cs="Times New Roman"/>
                <w:szCs w:val="21"/>
              </w:rPr>
              <w:t>[a]</w:t>
            </w:r>
            <w:r>
              <w:rPr>
                <w:rFonts w:cs="Times New Roman"/>
                <w:szCs w:val="21"/>
              </w:rPr>
              <w:t>蒽</w:t>
            </w:r>
          </w:p>
        </w:tc>
        <w:tc>
          <w:tcPr>
            <w:tcW w:w="1084" w:type="dxa"/>
            <w:vAlign w:val="center"/>
          </w:tcPr>
          <w:p w:rsidR="00525419" w:rsidRDefault="00EE1CF7">
            <w:pPr>
              <w:pStyle w:val="B2"/>
              <w:rPr>
                <w:rFonts w:cs="Times New Roman"/>
              </w:rPr>
            </w:pPr>
            <w:r>
              <w:rPr>
                <w:rFonts w:cs="Times New Roman"/>
              </w:rPr>
              <w:t>15</w:t>
            </w:r>
          </w:p>
        </w:tc>
        <w:tc>
          <w:tcPr>
            <w:tcW w:w="1084" w:type="dxa"/>
            <w:vAlign w:val="center"/>
          </w:tcPr>
          <w:p w:rsidR="00525419" w:rsidRDefault="00EE1CF7">
            <w:pPr>
              <w:pStyle w:val="B2"/>
              <w:rPr>
                <w:rFonts w:cs="Times New Roman"/>
              </w:rPr>
            </w:pPr>
            <w:r>
              <w:rPr>
                <w:rFonts w:cs="Times New Roman"/>
              </w:rPr>
              <w:t>151</w:t>
            </w:r>
          </w:p>
        </w:tc>
      </w:tr>
      <w:tr w:rsidR="00525419">
        <w:trPr>
          <w:trHeight w:val="397"/>
          <w:jc w:val="center"/>
        </w:trPr>
        <w:tc>
          <w:tcPr>
            <w:tcW w:w="526" w:type="dxa"/>
            <w:vAlign w:val="center"/>
          </w:tcPr>
          <w:p w:rsidR="00525419" w:rsidRDefault="00EE1CF7">
            <w:pPr>
              <w:pStyle w:val="B2"/>
              <w:rPr>
                <w:rFonts w:cs="Times New Roman"/>
              </w:rPr>
            </w:pPr>
            <w:r>
              <w:rPr>
                <w:rFonts w:cs="Times New Roman"/>
              </w:rPr>
              <w:t>16</w:t>
            </w:r>
          </w:p>
        </w:tc>
        <w:tc>
          <w:tcPr>
            <w:tcW w:w="1559" w:type="dxa"/>
            <w:vAlign w:val="center"/>
          </w:tcPr>
          <w:p w:rsidR="00525419" w:rsidRDefault="00EE1CF7">
            <w:pPr>
              <w:pStyle w:val="B2"/>
              <w:rPr>
                <w:rFonts w:cs="Times New Roman"/>
                <w:bCs/>
                <w:szCs w:val="21"/>
              </w:rPr>
            </w:pPr>
            <w:r>
              <w:rPr>
                <w:rFonts w:cs="Times New Roman"/>
                <w:bCs/>
                <w:szCs w:val="21"/>
              </w:rPr>
              <w:t>二氯甲烷</w:t>
            </w:r>
          </w:p>
        </w:tc>
        <w:tc>
          <w:tcPr>
            <w:tcW w:w="1065" w:type="dxa"/>
            <w:vAlign w:val="center"/>
          </w:tcPr>
          <w:p w:rsidR="00525419" w:rsidRDefault="00EE1CF7">
            <w:pPr>
              <w:pStyle w:val="B2"/>
              <w:rPr>
                <w:rFonts w:cs="Times New Roman"/>
              </w:rPr>
            </w:pPr>
            <w:r>
              <w:rPr>
                <w:rFonts w:cs="Times New Roman"/>
              </w:rPr>
              <w:t>616</w:t>
            </w:r>
          </w:p>
        </w:tc>
        <w:tc>
          <w:tcPr>
            <w:tcW w:w="1066" w:type="dxa"/>
            <w:vAlign w:val="center"/>
          </w:tcPr>
          <w:p w:rsidR="00525419" w:rsidRDefault="00EE1CF7">
            <w:pPr>
              <w:pStyle w:val="B2"/>
              <w:rPr>
                <w:rFonts w:cs="Times New Roman"/>
              </w:rPr>
            </w:pPr>
            <w:r>
              <w:rPr>
                <w:rFonts w:cs="Times New Roman"/>
              </w:rPr>
              <w:t>2000</w:t>
            </w:r>
          </w:p>
        </w:tc>
        <w:tc>
          <w:tcPr>
            <w:tcW w:w="562" w:type="dxa"/>
            <w:vAlign w:val="center"/>
          </w:tcPr>
          <w:p w:rsidR="00525419" w:rsidRDefault="00EE1CF7">
            <w:pPr>
              <w:pStyle w:val="B2"/>
              <w:rPr>
                <w:rFonts w:cs="Times New Roman"/>
              </w:rPr>
            </w:pPr>
            <w:r>
              <w:rPr>
                <w:rFonts w:cs="Times New Roman"/>
              </w:rPr>
              <w:t>39</w:t>
            </w:r>
          </w:p>
        </w:tc>
        <w:tc>
          <w:tcPr>
            <w:tcW w:w="1559" w:type="dxa"/>
            <w:vAlign w:val="center"/>
          </w:tcPr>
          <w:p w:rsidR="00525419" w:rsidRDefault="00EE1CF7">
            <w:pPr>
              <w:pStyle w:val="B2"/>
              <w:rPr>
                <w:rFonts w:cs="Times New Roman"/>
                <w:bCs/>
                <w:szCs w:val="21"/>
              </w:rPr>
            </w:pPr>
            <w:r>
              <w:rPr>
                <w:rFonts w:cs="Times New Roman"/>
                <w:szCs w:val="21"/>
              </w:rPr>
              <w:t>苯并</w:t>
            </w:r>
            <w:r>
              <w:rPr>
                <w:rFonts w:cs="Times New Roman"/>
                <w:szCs w:val="21"/>
              </w:rPr>
              <w:t>[a]</w:t>
            </w:r>
            <w:r>
              <w:rPr>
                <w:rFonts w:cs="Times New Roman"/>
                <w:szCs w:val="21"/>
              </w:rPr>
              <w:t>芘</w:t>
            </w:r>
          </w:p>
        </w:tc>
        <w:tc>
          <w:tcPr>
            <w:tcW w:w="1084" w:type="dxa"/>
            <w:vAlign w:val="center"/>
          </w:tcPr>
          <w:p w:rsidR="00525419" w:rsidRDefault="00EE1CF7">
            <w:pPr>
              <w:pStyle w:val="B2"/>
              <w:rPr>
                <w:rFonts w:cs="Times New Roman"/>
              </w:rPr>
            </w:pPr>
            <w:r>
              <w:rPr>
                <w:rFonts w:cs="Times New Roman"/>
              </w:rPr>
              <w:t>1.5</w:t>
            </w:r>
          </w:p>
        </w:tc>
        <w:tc>
          <w:tcPr>
            <w:tcW w:w="1084" w:type="dxa"/>
            <w:vAlign w:val="center"/>
          </w:tcPr>
          <w:p w:rsidR="00525419" w:rsidRDefault="00EE1CF7">
            <w:pPr>
              <w:pStyle w:val="B2"/>
              <w:rPr>
                <w:rFonts w:cs="Times New Roman"/>
              </w:rPr>
            </w:pPr>
            <w:r>
              <w:rPr>
                <w:rFonts w:cs="Times New Roman"/>
              </w:rPr>
              <w:t>15</w:t>
            </w:r>
          </w:p>
        </w:tc>
      </w:tr>
      <w:tr w:rsidR="00525419">
        <w:trPr>
          <w:trHeight w:val="397"/>
          <w:jc w:val="center"/>
        </w:trPr>
        <w:tc>
          <w:tcPr>
            <w:tcW w:w="526" w:type="dxa"/>
            <w:vAlign w:val="center"/>
          </w:tcPr>
          <w:p w:rsidR="00525419" w:rsidRDefault="00EE1CF7">
            <w:pPr>
              <w:pStyle w:val="B2"/>
              <w:rPr>
                <w:rFonts w:cs="Times New Roman"/>
              </w:rPr>
            </w:pPr>
            <w:r>
              <w:rPr>
                <w:rFonts w:cs="Times New Roman"/>
              </w:rPr>
              <w:t>17</w:t>
            </w:r>
          </w:p>
        </w:tc>
        <w:tc>
          <w:tcPr>
            <w:tcW w:w="1559" w:type="dxa"/>
            <w:vAlign w:val="center"/>
          </w:tcPr>
          <w:p w:rsidR="00525419" w:rsidRDefault="00EE1CF7">
            <w:pPr>
              <w:pStyle w:val="B2"/>
              <w:rPr>
                <w:rFonts w:cs="Times New Roman"/>
                <w:bCs/>
                <w:szCs w:val="21"/>
              </w:rPr>
            </w:pPr>
            <w:r>
              <w:rPr>
                <w:rFonts w:cs="Times New Roman"/>
                <w:szCs w:val="21"/>
              </w:rPr>
              <w:t>1,2-</w:t>
            </w:r>
            <w:r>
              <w:rPr>
                <w:rFonts w:cs="Times New Roman"/>
                <w:szCs w:val="21"/>
              </w:rPr>
              <w:t>二氯丙烷</w:t>
            </w:r>
          </w:p>
        </w:tc>
        <w:tc>
          <w:tcPr>
            <w:tcW w:w="1065" w:type="dxa"/>
            <w:vAlign w:val="center"/>
          </w:tcPr>
          <w:p w:rsidR="00525419" w:rsidRDefault="00EE1CF7">
            <w:pPr>
              <w:pStyle w:val="B2"/>
              <w:rPr>
                <w:rFonts w:cs="Times New Roman"/>
              </w:rPr>
            </w:pPr>
            <w:r>
              <w:rPr>
                <w:rFonts w:cs="Times New Roman"/>
              </w:rPr>
              <w:t>5</w:t>
            </w:r>
          </w:p>
        </w:tc>
        <w:tc>
          <w:tcPr>
            <w:tcW w:w="1066" w:type="dxa"/>
            <w:vAlign w:val="center"/>
          </w:tcPr>
          <w:p w:rsidR="00525419" w:rsidRDefault="00EE1CF7">
            <w:pPr>
              <w:pStyle w:val="B2"/>
              <w:rPr>
                <w:rFonts w:cs="Times New Roman"/>
              </w:rPr>
            </w:pPr>
            <w:r>
              <w:rPr>
                <w:rFonts w:cs="Times New Roman"/>
              </w:rPr>
              <w:t>47</w:t>
            </w:r>
          </w:p>
        </w:tc>
        <w:tc>
          <w:tcPr>
            <w:tcW w:w="562" w:type="dxa"/>
            <w:vAlign w:val="center"/>
          </w:tcPr>
          <w:p w:rsidR="00525419" w:rsidRDefault="00EE1CF7">
            <w:pPr>
              <w:pStyle w:val="B2"/>
              <w:rPr>
                <w:rFonts w:cs="Times New Roman"/>
              </w:rPr>
            </w:pPr>
            <w:r>
              <w:rPr>
                <w:rFonts w:cs="Times New Roman"/>
              </w:rPr>
              <w:t>40</w:t>
            </w:r>
          </w:p>
        </w:tc>
        <w:tc>
          <w:tcPr>
            <w:tcW w:w="1559" w:type="dxa"/>
            <w:vAlign w:val="center"/>
          </w:tcPr>
          <w:p w:rsidR="00525419" w:rsidRDefault="00EE1CF7">
            <w:pPr>
              <w:pStyle w:val="B2"/>
              <w:rPr>
                <w:rFonts w:cs="Times New Roman"/>
                <w:bCs/>
                <w:szCs w:val="21"/>
              </w:rPr>
            </w:pPr>
            <w:r>
              <w:rPr>
                <w:rFonts w:cs="Times New Roman"/>
                <w:szCs w:val="21"/>
              </w:rPr>
              <w:t>苯并</w:t>
            </w:r>
            <w:r>
              <w:rPr>
                <w:rFonts w:cs="Times New Roman"/>
                <w:szCs w:val="21"/>
              </w:rPr>
              <w:t>[b]</w:t>
            </w:r>
            <w:r>
              <w:rPr>
                <w:rFonts w:cs="Times New Roman"/>
                <w:szCs w:val="21"/>
              </w:rPr>
              <w:t>荧蒽</w:t>
            </w:r>
          </w:p>
        </w:tc>
        <w:tc>
          <w:tcPr>
            <w:tcW w:w="1084" w:type="dxa"/>
            <w:vAlign w:val="center"/>
          </w:tcPr>
          <w:p w:rsidR="00525419" w:rsidRDefault="00EE1CF7">
            <w:pPr>
              <w:pStyle w:val="B2"/>
              <w:rPr>
                <w:rFonts w:cs="Times New Roman"/>
              </w:rPr>
            </w:pPr>
            <w:r>
              <w:rPr>
                <w:rFonts w:cs="Times New Roman"/>
              </w:rPr>
              <w:t>15</w:t>
            </w:r>
          </w:p>
        </w:tc>
        <w:tc>
          <w:tcPr>
            <w:tcW w:w="1084" w:type="dxa"/>
            <w:vAlign w:val="center"/>
          </w:tcPr>
          <w:p w:rsidR="00525419" w:rsidRDefault="00EE1CF7">
            <w:pPr>
              <w:pStyle w:val="B2"/>
              <w:rPr>
                <w:rFonts w:cs="Times New Roman"/>
              </w:rPr>
            </w:pPr>
            <w:r>
              <w:rPr>
                <w:rFonts w:cs="Times New Roman"/>
              </w:rPr>
              <w:t>151</w:t>
            </w:r>
          </w:p>
        </w:tc>
      </w:tr>
      <w:tr w:rsidR="00525419">
        <w:trPr>
          <w:trHeight w:val="397"/>
          <w:jc w:val="center"/>
        </w:trPr>
        <w:tc>
          <w:tcPr>
            <w:tcW w:w="526" w:type="dxa"/>
            <w:vAlign w:val="center"/>
          </w:tcPr>
          <w:p w:rsidR="00525419" w:rsidRDefault="00EE1CF7">
            <w:pPr>
              <w:pStyle w:val="B2"/>
              <w:rPr>
                <w:rFonts w:cs="Times New Roman"/>
              </w:rPr>
            </w:pPr>
            <w:r>
              <w:rPr>
                <w:rFonts w:cs="Times New Roman"/>
              </w:rPr>
              <w:t>18</w:t>
            </w:r>
          </w:p>
        </w:tc>
        <w:tc>
          <w:tcPr>
            <w:tcW w:w="1559" w:type="dxa"/>
            <w:vAlign w:val="center"/>
          </w:tcPr>
          <w:p w:rsidR="00525419" w:rsidRDefault="00EE1CF7">
            <w:pPr>
              <w:pStyle w:val="B2"/>
              <w:rPr>
                <w:rFonts w:cs="Times New Roman"/>
                <w:bCs/>
                <w:szCs w:val="21"/>
              </w:rPr>
            </w:pPr>
            <w:r>
              <w:rPr>
                <w:rFonts w:cs="Times New Roman"/>
                <w:szCs w:val="21"/>
              </w:rPr>
              <w:t>1,1,1,2-</w:t>
            </w:r>
            <w:r>
              <w:rPr>
                <w:rFonts w:cs="Times New Roman"/>
                <w:szCs w:val="21"/>
              </w:rPr>
              <w:t>四氯乙烷</w:t>
            </w:r>
          </w:p>
        </w:tc>
        <w:tc>
          <w:tcPr>
            <w:tcW w:w="1065" w:type="dxa"/>
            <w:vAlign w:val="center"/>
          </w:tcPr>
          <w:p w:rsidR="00525419" w:rsidRDefault="00EE1CF7">
            <w:pPr>
              <w:pStyle w:val="B2"/>
              <w:rPr>
                <w:rFonts w:cs="Times New Roman"/>
              </w:rPr>
            </w:pPr>
            <w:r>
              <w:rPr>
                <w:rFonts w:cs="Times New Roman"/>
              </w:rPr>
              <w:t>10</w:t>
            </w:r>
          </w:p>
        </w:tc>
        <w:tc>
          <w:tcPr>
            <w:tcW w:w="1066" w:type="dxa"/>
            <w:vAlign w:val="center"/>
          </w:tcPr>
          <w:p w:rsidR="00525419" w:rsidRDefault="00EE1CF7">
            <w:pPr>
              <w:pStyle w:val="B2"/>
              <w:rPr>
                <w:rFonts w:cs="Times New Roman"/>
              </w:rPr>
            </w:pPr>
            <w:r>
              <w:rPr>
                <w:rFonts w:cs="Times New Roman"/>
              </w:rPr>
              <w:t>100</w:t>
            </w:r>
          </w:p>
        </w:tc>
        <w:tc>
          <w:tcPr>
            <w:tcW w:w="562" w:type="dxa"/>
            <w:vAlign w:val="center"/>
          </w:tcPr>
          <w:p w:rsidR="00525419" w:rsidRDefault="00EE1CF7">
            <w:pPr>
              <w:pStyle w:val="B2"/>
              <w:rPr>
                <w:rFonts w:cs="Times New Roman"/>
              </w:rPr>
            </w:pPr>
            <w:r>
              <w:rPr>
                <w:rFonts w:cs="Times New Roman"/>
              </w:rPr>
              <w:t>41</w:t>
            </w:r>
          </w:p>
        </w:tc>
        <w:tc>
          <w:tcPr>
            <w:tcW w:w="1559" w:type="dxa"/>
            <w:vAlign w:val="center"/>
          </w:tcPr>
          <w:p w:rsidR="00525419" w:rsidRDefault="00EE1CF7">
            <w:pPr>
              <w:pStyle w:val="B2"/>
              <w:rPr>
                <w:rFonts w:cs="Times New Roman"/>
                <w:szCs w:val="21"/>
                <w:lang w:bidi="ar"/>
              </w:rPr>
            </w:pPr>
            <w:r>
              <w:rPr>
                <w:rFonts w:cs="Times New Roman"/>
                <w:szCs w:val="21"/>
              </w:rPr>
              <w:t>苯并</w:t>
            </w:r>
            <w:r>
              <w:rPr>
                <w:rFonts w:cs="Times New Roman"/>
                <w:szCs w:val="21"/>
              </w:rPr>
              <w:t>[k]</w:t>
            </w:r>
            <w:r>
              <w:rPr>
                <w:rFonts w:cs="Times New Roman"/>
                <w:szCs w:val="21"/>
              </w:rPr>
              <w:t>荧蒽</w:t>
            </w:r>
          </w:p>
        </w:tc>
        <w:tc>
          <w:tcPr>
            <w:tcW w:w="1084" w:type="dxa"/>
            <w:vAlign w:val="center"/>
          </w:tcPr>
          <w:p w:rsidR="00525419" w:rsidRDefault="00EE1CF7">
            <w:pPr>
              <w:pStyle w:val="B2"/>
              <w:rPr>
                <w:rFonts w:cs="Times New Roman"/>
              </w:rPr>
            </w:pPr>
            <w:r>
              <w:rPr>
                <w:rFonts w:cs="Times New Roman"/>
              </w:rPr>
              <w:t>151</w:t>
            </w:r>
          </w:p>
        </w:tc>
        <w:tc>
          <w:tcPr>
            <w:tcW w:w="1084" w:type="dxa"/>
            <w:vAlign w:val="center"/>
          </w:tcPr>
          <w:p w:rsidR="00525419" w:rsidRDefault="00EE1CF7">
            <w:pPr>
              <w:pStyle w:val="B2"/>
              <w:rPr>
                <w:rFonts w:cs="Times New Roman"/>
              </w:rPr>
            </w:pPr>
            <w:r>
              <w:rPr>
                <w:rFonts w:cs="Times New Roman"/>
              </w:rPr>
              <w:t>1500</w:t>
            </w:r>
          </w:p>
        </w:tc>
      </w:tr>
      <w:tr w:rsidR="00525419">
        <w:trPr>
          <w:trHeight w:val="397"/>
          <w:jc w:val="center"/>
        </w:trPr>
        <w:tc>
          <w:tcPr>
            <w:tcW w:w="526" w:type="dxa"/>
            <w:vAlign w:val="center"/>
          </w:tcPr>
          <w:p w:rsidR="00525419" w:rsidRDefault="00EE1CF7">
            <w:pPr>
              <w:pStyle w:val="B2"/>
              <w:rPr>
                <w:rFonts w:cs="Times New Roman"/>
              </w:rPr>
            </w:pPr>
            <w:r>
              <w:rPr>
                <w:rFonts w:cs="Times New Roman"/>
              </w:rPr>
              <w:t>19</w:t>
            </w:r>
          </w:p>
        </w:tc>
        <w:tc>
          <w:tcPr>
            <w:tcW w:w="1559" w:type="dxa"/>
            <w:vAlign w:val="center"/>
          </w:tcPr>
          <w:p w:rsidR="00525419" w:rsidRDefault="00EE1CF7">
            <w:pPr>
              <w:pStyle w:val="B2"/>
              <w:rPr>
                <w:rFonts w:cs="Times New Roman"/>
                <w:szCs w:val="21"/>
              </w:rPr>
            </w:pPr>
            <w:r>
              <w:rPr>
                <w:rFonts w:cs="Times New Roman"/>
                <w:szCs w:val="21"/>
              </w:rPr>
              <w:t>1,1,2,2-</w:t>
            </w:r>
            <w:r>
              <w:rPr>
                <w:rFonts w:cs="Times New Roman"/>
                <w:szCs w:val="21"/>
              </w:rPr>
              <w:t>四氯乙烷</w:t>
            </w:r>
          </w:p>
        </w:tc>
        <w:tc>
          <w:tcPr>
            <w:tcW w:w="1065" w:type="dxa"/>
            <w:vAlign w:val="center"/>
          </w:tcPr>
          <w:p w:rsidR="00525419" w:rsidRDefault="00EE1CF7">
            <w:pPr>
              <w:pStyle w:val="B2"/>
              <w:rPr>
                <w:rFonts w:cs="Times New Roman"/>
              </w:rPr>
            </w:pPr>
            <w:r>
              <w:rPr>
                <w:rFonts w:cs="Times New Roman"/>
              </w:rPr>
              <w:t>6.8</w:t>
            </w:r>
          </w:p>
        </w:tc>
        <w:tc>
          <w:tcPr>
            <w:tcW w:w="1066" w:type="dxa"/>
            <w:vAlign w:val="center"/>
          </w:tcPr>
          <w:p w:rsidR="00525419" w:rsidRDefault="00EE1CF7">
            <w:pPr>
              <w:pStyle w:val="B2"/>
              <w:rPr>
                <w:rFonts w:cs="Times New Roman"/>
              </w:rPr>
            </w:pPr>
            <w:r>
              <w:rPr>
                <w:rFonts w:cs="Times New Roman"/>
              </w:rPr>
              <w:t>50</w:t>
            </w:r>
          </w:p>
        </w:tc>
        <w:tc>
          <w:tcPr>
            <w:tcW w:w="562" w:type="dxa"/>
            <w:vAlign w:val="center"/>
          </w:tcPr>
          <w:p w:rsidR="00525419" w:rsidRDefault="00EE1CF7">
            <w:pPr>
              <w:pStyle w:val="B2"/>
              <w:rPr>
                <w:rFonts w:cs="Times New Roman"/>
              </w:rPr>
            </w:pPr>
            <w:r>
              <w:rPr>
                <w:rFonts w:cs="Times New Roman"/>
              </w:rPr>
              <w:t>42</w:t>
            </w:r>
          </w:p>
        </w:tc>
        <w:tc>
          <w:tcPr>
            <w:tcW w:w="1559" w:type="dxa"/>
            <w:vAlign w:val="center"/>
          </w:tcPr>
          <w:p w:rsidR="00525419" w:rsidRDefault="00EE1CF7">
            <w:pPr>
              <w:pStyle w:val="B2"/>
              <w:rPr>
                <w:rFonts w:cs="Times New Roman"/>
                <w:szCs w:val="21"/>
                <w:lang w:bidi="ar"/>
              </w:rPr>
            </w:pPr>
            <w:r>
              <w:rPr>
                <w:rFonts w:cs="Times New Roman"/>
                <w:szCs w:val="21"/>
                <w:lang w:bidi="ar"/>
              </w:rPr>
              <w:t>䓛</w:t>
            </w:r>
          </w:p>
        </w:tc>
        <w:tc>
          <w:tcPr>
            <w:tcW w:w="1084" w:type="dxa"/>
            <w:vAlign w:val="center"/>
          </w:tcPr>
          <w:p w:rsidR="00525419" w:rsidRDefault="00EE1CF7">
            <w:pPr>
              <w:pStyle w:val="B2"/>
              <w:rPr>
                <w:rFonts w:cs="Times New Roman"/>
              </w:rPr>
            </w:pPr>
            <w:r>
              <w:rPr>
                <w:rFonts w:cs="Times New Roman"/>
              </w:rPr>
              <w:t>1293</w:t>
            </w:r>
          </w:p>
        </w:tc>
        <w:tc>
          <w:tcPr>
            <w:tcW w:w="1084" w:type="dxa"/>
            <w:vAlign w:val="center"/>
          </w:tcPr>
          <w:p w:rsidR="00525419" w:rsidRDefault="00EE1CF7">
            <w:pPr>
              <w:pStyle w:val="B2"/>
              <w:rPr>
                <w:rFonts w:cs="Times New Roman"/>
              </w:rPr>
            </w:pPr>
            <w:r>
              <w:rPr>
                <w:rFonts w:cs="Times New Roman"/>
              </w:rPr>
              <w:t>12900</w:t>
            </w:r>
          </w:p>
        </w:tc>
      </w:tr>
      <w:tr w:rsidR="00525419">
        <w:trPr>
          <w:trHeight w:val="397"/>
          <w:jc w:val="center"/>
        </w:trPr>
        <w:tc>
          <w:tcPr>
            <w:tcW w:w="526" w:type="dxa"/>
            <w:vAlign w:val="center"/>
          </w:tcPr>
          <w:p w:rsidR="00525419" w:rsidRDefault="00EE1CF7">
            <w:pPr>
              <w:pStyle w:val="B2"/>
              <w:rPr>
                <w:rFonts w:cs="Times New Roman"/>
              </w:rPr>
            </w:pPr>
            <w:r>
              <w:rPr>
                <w:rFonts w:cs="Times New Roman"/>
              </w:rPr>
              <w:t>20</w:t>
            </w:r>
          </w:p>
        </w:tc>
        <w:tc>
          <w:tcPr>
            <w:tcW w:w="1559" w:type="dxa"/>
            <w:vAlign w:val="center"/>
          </w:tcPr>
          <w:p w:rsidR="00525419" w:rsidRDefault="00EE1CF7">
            <w:pPr>
              <w:pStyle w:val="B2"/>
              <w:rPr>
                <w:rFonts w:cs="Times New Roman"/>
                <w:szCs w:val="21"/>
              </w:rPr>
            </w:pPr>
            <w:r>
              <w:rPr>
                <w:rFonts w:cs="Times New Roman"/>
                <w:szCs w:val="21"/>
              </w:rPr>
              <w:t>四氯乙烯</w:t>
            </w:r>
          </w:p>
        </w:tc>
        <w:tc>
          <w:tcPr>
            <w:tcW w:w="1065" w:type="dxa"/>
            <w:vAlign w:val="center"/>
          </w:tcPr>
          <w:p w:rsidR="00525419" w:rsidRDefault="00EE1CF7">
            <w:pPr>
              <w:pStyle w:val="B2"/>
              <w:rPr>
                <w:rFonts w:cs="Times New Roman"/>
              </w:rPr>
            </w:pPr>
            <w:r>
              <w:rPr>
                <w:rFonts w:cs="Times New Roman"/>
              </w:rPr>
              <w:t>53</w:t>
            </w:r>
          </w:p>
        </w:tc>
        <w:tc>
          <w:tcPr>
            <w:tcW w:w="1066" w:type="dxa"/>
            <w:vAlign w:val="center"/>
          </w:tcPr>
          <w:p w:rsidR="00525419" w:rsidRDefault="00EE1CF7">
            <w:pPr>
              <w:pStyle w:val="B2"/>
              <w:rPr>
                <w:rFonts w:cs="Times New Roman"/>
              </w:rPr>
            </w:pPr>
            <w:r>
              <w:rPr>
                <w:rFonts w:cs="Times New Roman"/>
              </w:rPr>
              <w:t>183</w:t>
            </w:r>
          </w:p>
        </w:tc>
        <w:tc>
          <w:tcPr>
            <w:tcW w:w="562" w:type="dxa"/>
            <w:vAlign w:val="center"/>
          </w:tcPr>
          <w:p w:rsidR="00525419" w:rsidRDefault="00EE1CF7">
            <w:pPr>
              <w:pStyle w:val="B2"/>
              <w:rPr>
                <w:rFonts w:cs="Times New Roman"/>
              </w:rPr>
            </w:pPr>
            <w:r>
              <w:rPr>
                <w:rFonts w:cs="Times New Roman"/>
              </w:rPr>
              <w:t>43</w:t>
            </w:r>
          </w:p>
        </w:tc>
        <w:tc>
          <w:tcPr>
            <w:tcW w:w="1559" w:type="dxa"/>
            <w:vAlign w:val="center"/>
          </w:tcPr>
          <w:p w:rsidR="00525419" w:rsidRDefault="00EE1CF7">
            <w:pPr>
              <w:pStyle w:val="B2"/>
              <w:rPr>
                <w:rFonts w:cs="Times New Roman"/>
                <w:szCs w:val="21"/>
                <w:lang w:bidi="ar"/>
              </w:rPr>
            </w:pPr>
            <w:r>
              <w:rPr>
                <w:rFonts w:cs="Times New Roman"/>
                <w:szCs w:val="21"/>
                <w:lang w:bidi="ar"/>
              </w:rPr>
              <w:t>二苯并</w:t>
            </w:r>
            <w:r>
              <w:rPr>
                <w:rFonts w:cs="Times New Roman"/>
                <w:szCs w:val="21"/>
              </w:rPr>
              <w:t>[a,h]</w:t>
            </w:r>
            <w:r>
              <w:rPr>
                <w:rFonts w:cs="Times New Roman"/>
                <w:szCs w:val="21"/>
              </w:rPr>
              <w:t>蒽</w:t>
            </w:r>
          </w:p>
        </w:tc>
        <w:tc>
          <w:tcPr>
            <w:tcW w:w="1084" w:type="dxa"/>
            <w:vAlign w:val="center"/>
          </w:tcPr>
          <w:p w:rsidR="00525419" w:rsidRDefault="00EE1CF7">
            <w:pPr>
              <w:pStyle w:val="B2"/>
              <w:rPr>
                <w:rFonts w:cs="Times New Roman"/>
              </w:rPr>
            </w:pPr>
            <w:r>
              <w:rPr>
                <w:rFonts w:cs="Times New Roman"/>
              </w:rPr>
              <w:t>1.5</w:t>
            </w:r>
          </w:p>
        </w:tc>
        <w:tc>
          <w:tcPr>
            <w:tcW w:w="1084" w:type="dxa"/>
            <w:vAlign w:val="center"/>
          </w:tcPr>
          <w:p w:rsidR="00525419" w:rsidRDefault="00EE1CF7">
            <w:pPr>
              <w:pStyle w:val="B2"/>
              <w:rPr>
                <w:rFonts w:cs="Times New Roman"/>
              </w:rPr>
            </w:pPr>
            <w:r>
              <w:rPr>
                <w:rFonts w:cs="Times New Roman"/>
              </w:rPr>
              <w:t>15</w:t>
            </w:r>
          </w:p>
        </w:tc>
      </w:tr>
      <w:tr w:rsidR="00525419">
        <w:trPr>
          <w:trHeight w:val="397"/>
          <w:jc w:val="center"/>
        </w:trPr>
        <w:tc>
          <w:tcPr>
            <w:tcW w:w="526" w:type="dxa"/>
            <w:vAlign w:val="center"/>
          </w:tcPr>
          <w:p w:rsidR="00525419" w:rsidRDefault="00EE1CF7">
            <w:pPr>
              <w:pStyle w:val="B2"/>
              <w:rPr>
                <w:rFonts w:cs="Times New Roman"/>
              </w:rPr>
            </w:pPr>
            <w:r>
              <w:rPr>
                <w:rFonts w:cs="Times New Roman"/>
              </w:rPr>
              <w:t>21</w:t>
            </w:r>
          </w:p>
        </w:tc>
        <w:tc>
          <w:tcPr>
            <w:tcW w:w="1559" w:type="dxa"/>
            <w:vAlign w:val="center"/>
          </w:tcPr>
          <w:p w:rsidR="00525419" w:rsidRDefault="00EE1CF7">
            <w:pPr>
              <w:pStyle w:val="B2"/>
              <w:rPr>
                <w:rFonts w:cs="Times New Roman"/>
                <w:szCs w:val="21"/>
              </w:rPr>
            </w:pPr>
            <w:r>
              <w:rPr>
                <w:rFonts w:cs="Times New Roman"/>
                <w:szCs w:val="21"/>
              </w:rPr>
              <w:t>1,1,1-</w:t>
            </w:r>
            <w:r>
              <w:rPr>
                <w:rFonts w:cs="Times New Roman"/>
                <w:szCs w:val="21"/>
              </w:rPr>
              <w:t>三氯乙烷</w:t>
            </w:r>
          </w:p>
        </w:tc>
        <w:tc>
          <w:tcPr>
            <w:tcW w:w="1065" w:type="dxa"/>
            <w:vAlign w:val="center"/>
          </w:tcPr>
          <w:p w:rsidR="00525419" w:rsidRDefault="00EE1CF7">
            <w:pPr>
              <w:pStyle w:val="B2"/>
              <w:rPr>
                <w:rFonts w:cs="Times New Roman"/>
              </w:rPr>
            </w:pPr>
            <w:r>
              <w:rPr>
                <w:rFonts w:cs="Times New Roman"/>
              </w:rPr>
              <w:t>840</w:t>
            </w:r>
          </w:p>
        </w:tc>
        <w:tc>
          <w:tcPr>
            <w:tcW w:w="1066" w:type="dxa"/>
            <w:vAlign w:val="center"/>
          </w:tcPr>
          <w:p w:rsidR="00525419" w:rsidRDefault="00EE1CF7">
            <w:pPr>
              <w:pStyle w:val="B2"/>
              <w:rPr>
                <w:rFonts w:cs="Times New Roman"/>
              </w:rPr>
            </w:pPr>
            <w:r>
              <w:rPr>
                <w:rFonts w:cs="Times New Roman"/>
              </w:rPr>
              <w:t>840</w:t>
            </w:r>
          </w:p>
        </w:tc>
        <w:tc>
          <w:tcPr>
            <w:tcW w:w="562" w:type="dxa"/>
            <w:vAlign w:val="center"/>
          </w:tcPr>
          <w:p w:rsidR="00525419" w:rsidRDefault="00EE1CF7">
            <w:pPr>
              <w:pStyle w:val="B2"/>
              <w:rPr>
                <w:rFonts w:cs="Times New Roman"/>
              </w:rPr>
            </w:pPr>
            <w:r>
              <w:rPr>
                <w:rFonts w:cs="Times New Roman"/>
              </w:rPr>
              <w:t>44</w:t>
            </w:r>
          </w:p>
        </w:tc>
        <w:tc>
          <w:tcPr>
            <w:tcW w:w="1559" w:type="dxa"/>
            <w:vAlign w:val="center"/>
          </w:tcPr>
          <w:p w:rsidR="00525419" w:rsidRDefault="00EE1CF7">
            <w:pPr>
              <w:pStyle w:val="B2"/>
              <w:rPr>
                <w:rFonts w:cs="Times New Roman"/>
                <w:szCs w:val="21"/>
                <w:lang w:bidi="ar"/>
              </w:rPr>
            </w:pPr>
            <w:r>
              <w:rPr>
                <w:rFonts w:cs="Times New Roman"/>
                <w:szCs w:val="21"/>
                <w:lang w:bidi="ar"/>
              </w:rPr>
              <w:t>茚并</w:t>
            </w:r>
            <w:r>
              <w:rPr>
                <w:rFonts w:cs="Times New Roman"/>
                <w:szCs w:val="21"/>
                <w:lang w:bidi="ar"/>
              </w:rPr>
              <w:t>[1,2,3-cd]</w:t>
            </w:r>
            <w:r>
              <w:rPr>
                <w:rFonts w:cs="Times New Roman"/>
                <w:szCs w:val="21"/>
                <w:lang w:bidi="ar"/>
              </w:rPr>
              <w:t>芘</w:t>
            </w:r>
          </w:p>
        </w:tc>
        <w:tc>
          <w:tcPr>
            <w:tcW w:w="1084" w:type="dxa"/>
            <w:vAlign w:val="center"/>
          </w:tcPr>
          <w:p w:rsidR="00525419" w:rsidRDefault="00EE1CF7">
            <w:pPr>
              <w:pStyle w:val="B2"/>
              <w:rPr>
                <w:rFonts w:cs="Times New Roman"/>
              </w:rPr>
            </w:pPr>
            <w:r>
              <w:rPr>
                <w:rFonts w:cs="Times New Roman"/>
              </w:rPr>
              <w:t>15</w:t>
            </w:r>
          </w:p>
        </w:tc>
        <w:tc>
          <w:tcPr>
            <w:tcW w:w="1084" w:type="dxa"/>
            <w:vAlign w:val="center"/>
          </w:tcPr>
          <w:p w:rsidR="00525419" w:rsidRDefault="00EE1CF7">
            <w:pPr>
              <w:pStyle w:val="B2"/>
              <w:rPr>
                <w:rFonts w:cs="Times New Roman"/>
              </w:rPr>
            </w:pPr>
            <w:r>
              <w:rPr>
                <w:rFonts w:cs="Times New Roman"/>
              </w:rPr>
              <w:t>151</w:t>
            </w:r>
          </w:p>
        </w:tc>
      </w:tr>
      <w:tr w:rsidR="00525419">
        <w:trPr>
          <w:trHeight w:val="397"/>
          <w:jc w:val="center"/>
        </w:trPr>
        <w:tc>
          <w:tcPr>
            <w:tcW w:w="526" w:type="dxa"/>
            <w:vAlign w:val="center"/>
          </w:tcPr>
          <w:p w:rsidR="00525419" w:rsidRDefault="00EE1CF7">
            <w:pPr>
              <w:pStyle w:val="B2"/>
              <w:rPr>
                <w:rFonts w:cs="Times New Roman"/>
              </w:rPr>
            </w:pPr>
            <w:r>
              <w:rPr>
                <w:rFonts w:cs="Times New Roman"/>
              </w:rPr>
              <w:t>22</w:t>
            </w:r>
          </w:p>
        </w:tc>
        <w:tc>
          <w:tcPr>
            <w:tcW w:w="1559" w:type="dxa"/>
            <w:vAlign w:val="center"/>
          </w:tcPr>
          <w:p w:rsidR="00525419" w:rsidRDefault="00EE1CF7">
            <w:pPr>
              <w:pStyle w:val="B2"/>
              <w:rPr>
                <w:rFonts w:cs="Times New Roman"/>
                <w:szCs w:val="21"/>
              </w:rPr>
            </w:pPr>
            <w:r>
              <w:rPr>
                <w:rFonts w:cs="Times New Roman"/>
                <w:szCs w:val="21"/>
              </w:rPr>
              <w:t>1,1,2-</w:t>
            </w:r>
            <w:r>
              <w:rPr>
                <w:rFonts w:cs="Times New Roman"/>
                <w:szCs w:val="21"/>
              </w:rPr>
              <w:t>三氯乙烷</w:t>
            </w:r>
          </w:p>
        </w:tc>
        <w:tc>
          <w:tcPr>
            <w:tcW w:w="1065" w:type="dxa"/>
            <w:vAlign w:val="center"/>
          </w:tcPr>
          <w:p w:rsidR="00525419" w:rsidRDefault="00EE1CF7">
            <w:pPr>
              <w:pStyle w:val="B2"/>
              <w:rPr>
                <w:rFonts w:cs="Times New Roman"/>
              </w:rPr>
            </w:pPr>
            <w:r>
              <w:rPr>
                <w:rFonts w:cs="Times New Roman"/>
              </w:rPr>
              <w:t>2.8</w:t>
            </w:r>
          </w:p>
        </w:tc>
        <w:tc>
          <w:tcPr>
            <w:tcW w:w="1066" w:type="dxa"/>
            <w:vAlign w:val="center"/>
          </w:tcPr>
          <w:p w:rsidR="00525419" w:rsidRDefault="00EE1CF7">
            <w:pPr>
              <w:pStyle w:val="B2"/>
              <w:rPr>
                <w:rFonts w:cs="Times New Roman"/>
              </w:rPr>
            </w:pPr>
            <w:r>
              <w:rPr>
                <w:rFonts w:cs="Times New Roman"/>
              </w:rPr>
              <w:t>15</w:t>
            </w:r>
          </w:p>
        </w:tc>
        <w:tc>
          <w:tcPr>
            <w:tcW w:w="562" w:type="dxa"/>
            <w:vAlign w:val="center"/>
          </w:tcPr>
          <w:p w:rsidR="00525419" w:rsidRDefault="00EE1CF7">
            <w:pPr>
              <w:pStyle w:val="B2"/>
              <w:rPr>
                <w:rFonts w:cs="Times New Roman"/>
              </w:rPr>
            </w:pPr>
            <w:r>
              <w:rPr>
                <w:rFonts w:cs="Times New Roman"/>
              </w:rPr>
              <w:t>45</w:t>
            </w:r>
          </w:p>
        </w:tc>
        <w:tc>
          <w:tcPr>
            <w:tcW w:w="1559" w:type="dxa"/>
            <w:vAlign w:val="center"/>
          </w:tcPr>
          <w:p w:rsidR="00525419" w:rsidRDefault="00EE1CF7">
            <w:pPr>
              <w:pStyle w:val="B2"/>
              <w:rPr>
                <w:rFonts w:cs="Times New Roman"/>
                <w:szCs w:val="21"/>
                <w:lang w:bidi="ar"/>
              </w:rPr>
            </w:pPr>
            <w:r>
              <w:rPr>
                <w:rFonts w:cs="Times New Roman"/>
                <w:szCs w:val="21"/>
                <w:lang w:bidi="ar"/>
              </w:rPr>
              <w:t>萘</w:t>
            </w:r>
          </w:p>
        </w:tc>
        <w:tc>
          <w:tcPr>
            <w:tcW w:w="1084" w:type="dxa"/>
            <w:vAlign w:val="center"/>
          </w:tcPr>
          <w:p w:rsidR="00525419" w:rsidRDefault="00EE1CF7">
            <w:pPr>
              <w:pStyle w:val="B2"/>
              <w:rPr>
                <w:rFonts w:cs="Times New Roman"/>
              </w:rPr>
            </w:pPr>
            <w:r>
              <w:rPr>
                <w:rFonts w:cs="Times New Roman"/>
              </w:rPr>
              <w:t>70</w:t>
            </w:r>
          </w:p>
        </w:tc>
        <w:tc>
          <w:tcPr>
            <w:tcW w:w="1084" w:type="dxa"/>
            <w:vAlign w:val="center"/>
          </w:tcPr>
          <w:p w:rsidR="00525419" w:rsidRDefault="00EE1CF7">
            <w:pPr>
              <w:pStyle w:val="B2"/>
              <w:rPr>
                <w:rFonts w:cs="Times New Roman"/>
              </w:rPr>
            </w:pPr>
            <w:r>
              <w:rPr>
                <w:rFonts w:cs="Times New Roman"/>
              </w:rPr>
              <w:t>700</w:t>
            </w:r>
          </w:p>
        </w:tc>
      </w:tr>
      <w:tr w:rsidR="00525419">
        <w:trPr>
          <w:trHeight w:val="397"/>
          <w:jc w:val="center"/>
        </w:trPr>
        <w:tc>
          <w:tcPr>
            <w:tcW w:w="526" w:type="dxa"/>
            <w:vAlign w:val="center"/>
          </w:tcPr>
          <w:p w:rsidR="00525419" w:rsidRDefault="00EE1CF7">
            <w:pPr>
              <w:pStyle w:val="B2"/>
              <w:rPr>
                <w:rFonts w:cs="Times New Roman"/>
              </w:rPr>
            </w:pPr>
            <w:r>
              <w:rPr>
                <w:rFonts w:cs="Times New Roman"/>
              </w:rPr>
              <w:t>23</w:t>
            </w:r>
          </w:p>
        </w:tc>
        <w:tc>
          <w:tcPr>
            <w:tcW w:w="1559" w:type="dxa"/>
            <w:vAlign w:val="center"/>
          </w:tcPr>
          <w:p w:rsidR="00525419" w:rsidRDefault="00EE1CF7">
            <w:pPr>
              <w:pStyle w:val="B2"/>
              <w:rPr>
                <w:rFonts w:cs="Times New Roman"/>
                <w:bCs/>
                <w:szCs w:val="21"/>
              </w:rPr>
            </w:pPr>
            <w:r>
              <w:rPr>
                <w:rFonts w:cs="Times New Roman"/>
                <w:szCs w:val="21"/>
              </w:rPr>
              <w:t>三氯乙烯</w:t>
            </w:r>
          </w:p>
        </w:tc>
        <w:tc>
          <w:tcPr>
            <w:tcW w:w="1065" w:type="dxa"/>
            <w:vAlign w:val="center"/>
          </w:tcPr>
          <w:p w:rsidR="00525419" w:rsidRDefault="00EE1CF7">
            <w:pPr>
              <w:pStyle w:val="B2"/>
              <w:rPr>
                <w:rFonts w:cs="Times New Roman"/>
              </w:rPr>
            </w:pPr>
            <w:r>
              <w:rPr>
                <w:rFonts w:cs="Times New Roman"/>
              </w:rPr>
              <w:t>2.8</w:t>
            </w:r>
          </w:p>
        </w:tc>
        <w:tc>
          <w:tcPr>
            <w:tcW w:w="1066" w:type="dxa"/>
            <w:vAlign w:val="center"/>
          </w:tcPr>
          <w:p w:rsidR="00525419" w:rsidRDefault="00EE1CF7">
            <w:pPr>
              <w:pStyle w:val="B2"/>
              <w:rPr>
                <w:rFonts w:cs="Times New Roman"/>
              </w:rPr>
            </w:pPr>
            <w:r>
              <w:rPr>
                <w:rFonts w:cs="Times New Roman"/>
              </w:rPr>
              <w:t>20</w:t>
            </w:r>
          </w:p>
        </w:tc>
        <w:tc>
          <w:tcPr>
            <w:tcW w:w="562" w:type="dxa"/>
            <w:vAlign w:val="center"/>
          </w:tcPr>
          <w:p w:rsidR="00525419" w:rsidRDefault="00EE1CF7">
            <w:pPr>
              <w:pStyle w:val="B2"/>
              <w:rPr>
                <w:rFonts w:cs="Times New Roman"/>
              </w:rPr>
            </w:pPr>
            <w:r>
              <w:rPr>
                <w:rFonts w:cs="Times New Roman"/>
              </w:rPr>
              <w:t>46</w:t>
            </w:r>
          </w:p>
        </w:tc>
        <w:tc>
          <w:tcPr>
            <w:tcW w:w="1559" w:type="dxa"/>
            <w:vAlign w:val="center"/>
          </w:tcPr>
          <w:p w:rsidR="00525419" w:rsidRDefault="00EE1CF7">
            <w:pPr>
              <w:pStyle w:val="B2"/>
              <w:rPr>
                <w:rFonts w:cs="Times New Roman"/>
                <w:szCs w:val="21"/>
                <w:lang w:bidi="ar"/>
              </w:rPr>
            </w:pPr>
            <w:r>
              <w:rPr>
                <w:rFonts w:cs="Times New Roman"/>
                <w:szCs w:val="21"/>
                <w:lang w:bidi="ar"/>
              </w:rPr>
              <w:t>石油烃</w:t>
            </w:r>
          </w:p>
          <w:p w:rsidR="00525419" w:rsidRDefault="00EE1CF7">
            <w:pPr>
              <w:pStyle w:val="B2"/>
              <w:rPr>
                <w:rFonts w:cs="Times New Roman"/>
                <w:szCs w:val="21"/>
                <w:lang w:bidi="ar"/>
              </w:rPr>
            </w:pPr>
            <w:r>
              <w:rPr>
                <w:rFonts w:cs="Times New Roman"/>
                <w:szCs w:val="21"/>
                <w:lang w:bidi="ar"/>
              </w:rPr>
              <w:t>（</w:t>
            </w:r>
            <w:r>
              <w:rPr>
                <w:rFonts w:cs="Times New Roman"/>
                <w:szCs w:val="21"/>
                <w:lang w:bidi="ar"/>
              </w:rPr>
              <w:t>C</w:t>
            </w:r>
            <w:r>
              <w:rPr>
                <w:rFonts w:cs="Times New Roman"/>
                <w:b/>
                <w:szCs w:val="21"/>
                <w:vertAlign w:val="subscript"/>
                <w:lang w:bidi="ar"/>
              </w:rPr>
              <w:t>10</w:t>
            </w:r>
            <w:r>
              <w:rPr>
                <w:rFonts w:cs="Times New Roman"/>
                <w:szCs w:val="21"/>
                <w:lang w:bidi="ar"/>
              </w:rPr>
              <w:t>-C</w:t>
            </w:r>
            <w:r>
              <w:rPr>
                <w:rFonts w:cs="Times New Roman"/>
                <w:b/>
                <w:szCs w:val="21"/>
                <w:vertAlign w:val="subscript"/>
                <w:lang w:bidi="ar"/>
              </w:rPr>
              <w:t>40</w:t>
            </w:r>
            <w:r>
              <w:rPr>
                <w:rFonts w:cs="Times New Roman"/>
                <w:szCs w:val="21"/>
                <w:lang w:bidi="ar"/>
              </w:rPr>
              <w:t>）</w:t>
            </w:r>
          </w:p>
        </w:tc>
        <w:tc>
          <w:tcPr>
            <w:tcW w:w="1084" w:type="dxa"/>
            <w:vAlign w:val="center"/>
          </w:tcPr>
          <w:p w:rsidR="00525419" w:rsidRDefault="00EE1CF7">
            <w:pPr>
              <w:pStyle w:val="B2"/>
              <w:rPr>
                <w:rFonts w:cs="Times New Roman"/>
              </w:rPr>
            </w:pPr>
            <w:r>
              <w:rPr>
                <w:rFonts w:cs="Times New Roman"/>
              </w:rPr>
              <w:t>4500</w:t>
            </w:r>
          </w:p>
        </w:tc>
        <w:tc>
          <w:tcPr>
            <w:tcW w:w="1084" w:type="dxa"/>
            <w:vAlign w:val="center"/>
          </w:tcPr>
          <w:p w:rsidR="00525419" w:rsidRDefault="00EE1CF7">
            <w:pPr>
              <w:pStyle w:val="B2"/>
              <w:rPr>
                <w:rFonts w:cs="Times New Roman"/>
              </w:rPr>
            </w:pPr>
            <w:r>
              <w:rPr>
                <w:rFonts w:cs="Times New Roman"/>
              </w:rPr>
              <w:t>9000</w:t>
            </w:r>
          </w:p>
        </w:tc>
      </w:tr>
    </w:tbl>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2.2.4.2</w:t>
      </w:r>
      <w:r>
        <w:rPr>
          <w:rFonts w:ascii="Times New Roman" w:hAnsi="Times New Roman" w:cs="Times New Roman"/>
          <w:kern w:val="44"/>
          <w:sz w:val="24"/>
          <w:szCs w:val="24"/>
        </w:rPr>
        <w:t>排放标准</w:t>
      </w:r>
    </w:p>
    <w:p w:rsidR="00525419" w:rsidRDefault="00EE1CF7">
      <w:pPr>
        <w:tabs>
          <w:tab w:val="left" w:pos="540"/>
        </w:tabs>
        <w:adjustRightInd w:val="0"/>
        <w:snapToGrid w:val="0"/>
        <w:spacing w:line="360" w:lineRule="auto"/>
        <w:rPr>
          <w:rFonts w:ascii="Times New Roman" w:hAnsi="Times New Roman"/>
          <w:sz w:val="24"/>
        </w:rPr>
      </w:pPr>
      <w:r>
        <w:rPr>
          <w:rFonts w:ascii="Times New Roman" w:hAnsi="Times New Roman"/>
          <w:sz w:val="24"/>
        </w:rPr>
        <w:t xml:space="preserve">    </w:t>
      </w:r>
      <w:r>
        <w:rPr>
          <w:rFonts w:ascii="Times New Roman" w:hAnsi="Times New Roman"/>
          <w:sz w:val="24"/>
        </w:rPr>
        <w:t>（</w:t>
      </w:r>
      <w:r>
        <w:rPr>
          <w:rFonts w:ascii="Times New Roman" w:hAnsi="Times New Roman"/>
          <w:sz w:val="24"/>
        </w:rPr>
        <w:t>1</w:t>
      </w:r>
      <w:r>
        <w:rPr>
          <w:rFonts w:ascii="Times New Roman" w:hAnsi="Times New Roman"/>
          <w:sz w:val="24"/>
        </w:rPr>
        <w:t>）废气</w:t>
      </w:r>
    </w:p>
    <w:p w:rsidR="00525419" w:rsidRDefault="00EE1CF7" w:rsidP="00EE1CF7">
      <w:pPr>
        <w:tabs>
          <w:tab w:val="left" w:pos="540"/>
        </w:tabs>
        <w:adjustRightInd w:val="0"/>
        <w:snapToGrid w:val="0"/>
        <w:spacing w:line="360" w:lineRule="auto"/>
        <w:ind w:firstLineChars="232" w:firstLine="557"/>
        <w:rPr>
          <w:rFonts w:ascii="Times New Roman" w:hAnsi="Times New Roman"/>
          <w:sz w:val="24"/>
        </w:rPr>
      </w:pPr>
      <w:r>
        <w:rPr>
          <w:rFonts w:ascii="Times New Roman" w:hAnsi="Times New Roman"/>
          <w:sz w:val="24"/>
        </w:rPr>
        <w:t>新疆美汇特石化产品有限公司厂区现有工程</w:t>
      </w:r>
      <w:r>
        <w:rPr>
          <w:rFonts w:ascii="Times New Roman" w:hAnsi="Times New Roman" w:hint="eastAsia"/>
          <w:sz w:val="24"/>
        </w:rPr>
        <w:t>3</w:t>
      </w:r>
      <w:r>
        <w:rPr>
          <w:rFonts w:ascii="Arial" w:hAnsi="Arial" w:cs="Arial"/>
          <w:sz w:val="24"/>
        </w:rPr>
        <w:t>×</w:t>
      </w:r>
      <w:r>
        <w:rPr>
          <w:rFonts w:ascii="Times New Roman" w:hAnsi="Times New Roman" w:hint="eastAsia"/>
          <w:sz w:val="24"/>
        </w:rPr>
        <w:t>20t/h</w:t>
      </w:r>
      <w:r>
        <w:rPr>
          <w:rFonts w:ascii="Times New Roman" w:hAnsi="Times New Roman"/>
          <w:sz w:val="24"/>
        </w:rPr>
        <w:t>燃煤</w:t>
      </w:r>
      <w:r>
        <w:rPr>
          <w:rFonts w:ascii="Times New Roman" w:hAnsi="Times New Roman" w:hint="eastAsia"/>
          <w:sz w:val="24"/>
        </w:rPr>
        <w:t>蒸汽</w:t>
      </w:r>
      <w:r>
        <w:rPr>
          <w:rFonts w:ascii="Times New Roman" w:hAnsi="Times New Roman"/>
          <w:sz w:val="24"/>
        </w:rPr>
        <w:t>锅炉烟气中烟尘、二氧化硫、</w:t>
      </w:r>
      <w:r>
        <w:rPr>
          <w:rFonts w:ascii="Times New Roman" w:hAnsi="Times New Roman"/>
          <w:sz w:val="24"/>
        </w:rPr>
        <w:t>NOx</w:t>
      </w:r>
      <w:r>
        <w:rPr>
          <w:rFonts w:ascii="Times New Roman" w:hAnsi="Times New Roman"/>
          <w:sz w:val="24"/>
        </w:rPr>
        <w:t>和汞及其化合物排放执行《锅炉大气污染物排放标准》</w:t>
      </w:r>
      <w:r>
        <w:rPr>
          <w:rFonts w:ascii="Times New Roman" w:hAnsi="Times New Roman"/>
          <w:sz w:val="24"/>
        </w:rPr>
        <w:t>(GB13271-2014)</w:t>
      </w:r>
      <w:r>
        <w:rPr>
          <w:rFonts w:ascii="Times New Roman" w:hAnsi="Times New Roman"/>
          <w:sz w:val="24"/>
        </w:rPr>
        <w:t>中</w:t>
      </w:r>
      <w:r>
        <w:rPr>
          <w:rFonts w:ascii="Times New Roman" w:hAnsi="Times New Roman"/>
          <w:sz w:val="24"/>
        </w:rPr>
        <w:t>“</w:t>
      </w:r>
      <w:r>
        <w:rPr>
          <w:rFonts w:ascii="Times New Roman" w:hAnsi="Times New Roman"/>
          <w:sz w:val="24"/>
        </w:rPr>
        <w:t>表</w:t>
      </w:r>
      <w:r>
        <w:rPr>
          <w:rFonts w:ascii="Times New Roman" w:hAnsi="Times New Roman"/>
          <w:sz w:val="24"/>
        </w:rPr>
        <w:t xml:space="preserve">1 </w:t>
      </w:r>
      <w:r>
        <w:rPr>
          <w:rFonts w:ascii="Times New Roman" w:hAnsi="Times New Roman"/>
          <w:sz w:val="24"/>
        </w:rPr>
        <w:t>在用锅炉大气污染物排放浓度限值</w:t>
      </w:r>
      <w:r>
        <w:rPr>
          <w:rFonts w:ascii="Times New Roman" w:hAnsi="Times New Roman"/>
          <w:sz w:val="24"/>
        </w:rPr>
        <w:t>”</w:t>
      </w:r>
      <w:r>
        <w:rPr>
          <w:rFonts w:ascii="Times New Roman" w:hAnsi="Times New Roman"/>
          <w:sz w:val="24"/>
        </w:rPr>
        <w:t>的规定</w:t>
      </w:r>
      <w:r>
        <w:rPr>
          <w:rFonts w:ascii="Times New Roman" w:hAnsi="Times New Roman" w:hint="eastAsia"/>
          <w:sz w:val="24"/>
        </w:rPr>
        <w:t>；</w:t>
      </w:r>
      <w:r>
        <w:rPr>
          <w:rFonts w:ascii="Times New Roman" w:hAnsi="Times New Roman" w:hint="eastAsia"/>
          <w:sz w:val="24"/>
        </w:rPr>
        <w:t>1</w:t>
      </w:r>
      <w:r>
        <w:rPr>
          <w:rFonts w:ascii="Arial" w:hAnsi="Arial" w:cs="Arial"/>
          <w:sz w:val="24"/>
        </w:rPr>
        <w:t>×</w:t>
      </w:r>
      <w:r>
        <w:rPr>
          <w:rFonts w:ascii="Times New Roman" w:hAnsi="Times New Roman" w:hint="eastAsia"/>
          <w:sz w:val="24"/>
        </w:rPr>
        <w:t>20t/h</w:t>
      </w:r>
      <w:r>
        <w:rPr>
          <w:rFonts w:ascii="Times New Roman" w:hAnsi="Times New Roman"/>
          <w:sz w:val="24"/>
        </w:rPr>
        <w:t>燃煤导热油炉执行《锅炉大气污染物排放标准》</w:t>
      </w:r>
      <w:r>
        <w:rPr>
          <w:rFonts w:ascii="Times New Roman" w:hAnsi="Times New Roman"/>
          <w:sz w:val="24"/>
        </w:rPr>
        <w:t>(GB13271-2014)</w:t>
      </w:r>
      <w:r>
        <w:rPr>
          <w:rFonts w:ascii="Times New Roman" w:hAnsi="Times New Roman"/>
          <w:sz w:val="24"/>
        </w:rPr>
        <w:t>中</w:t>
      </w:r>
      <w:r>
        <w:rPr>
          <w:rFonts w:ascii="Times New Roman" w:hAnsi="Times New Roman"/>
          <w:sz w:val="24"/>
        </w:rPr>
        <w:t>“</w:t>
      </w:r>
      <w:r>
        <w:rPr>
          <w:rFonts w:ascii="Times New Roman" w:hAnsi="Times New Roman"/>
          <w:sz w:val="24"/>
        </w:rPr>
        <w:t>表</w:t>
      </w:r>
      <w:r>
        <w:rPr>
          <w:rFonts w:ascii="Times New Roman" w:hAnsi="Times New Roman"/>
          <w:sz w:val="24"/>
        </w:rPr>
        <w:t>2</w:t>
      </w:r>
      <w:r>
        <w:rPr>
          <w:rFonts w:ascii="Times New Roman" w:hAnsi="Times New Roman"/>
          <w:sz w:val="24"/>
        </w:rPr>
        <w:t>新建锅炉</w:t>
      </w:r>
      <w:r>
        <w:rPr>
          <w:rFonts w:ascii="Times New Roman" w:hAnsi="Times New Roman"/>
          <w:sz w:val="24"/>
        </w:rPr>
        <w:lastRenderedPageBreak/>
        <w:t>大气污染物排放浓度限值</w:t>
      </w:r>
      <w:r>
        <w:rPr>
          <w:rFonts w:ascii="Times New Roman" w:hAnsi="Times New Roman"/>
          <w:sz w:val="24"/>
        </w:rPr>
        <w:t>”</w:t>
      </w:r>
      <w:r>
        <w:rPr>
          <w:rFonts w:ascii="Times New Roman" w:hAnsi="Times New Roman"/>
          <w:sz w:val="24"/>
        </w:rPr>
        <w:t>的规定；现有工程</w:t>
      </w:r>
      <w:r>
        <w:rPr>
          <w:rFonts w:ascii="Times New Roman" w:hAnsi="Times New Roman" w:hint="eastAsia"/>
          <w:sz w:val="24"/>
        </w:rPr>
        <w:t>2</w:t>
      </w:r>
      <w:r>
        <w:rPr>
          <w:rFonts w:ascii="Times New Roman" w:hAnsi="Times New Roman" w:hint="eastAsia"/>
          <w:sz w:val="24"/>
        </w:rPr>
        <w:t>台</w:t>
      </w:r>
      <w:r>
        <w:rPr>
          <w:rFonts w:ascii="Times New Roman" w:hAnsi="Times New Roman"/>
          <w:sz w:val="24"/>
        </w:rPr>
        <w:t>加热炉烟气中烟尘、二氧化硫和</w:t>
      </w:r>
      <w:r>
        <w:rPr>
          <w:rFonts w:ascii="Times New Roman" w:hAnsi="Times New Roman"/>
          <w:sz w:val="24"/>
        </w:rPr>
        <w:t>NOx</w:t>
      </w:r>
      <w:r>
        <w:rPr>
          <w:rFonts w:ascii="Times New Roman" w:hAnsi="Times New Roman"/>
          <w:sz w:val="24"/>
        </w:rPr>
        <w:t>排放执行《石油炼制工业污染物排放标准》</w:t>
      </w:r>
      <w:r>
        <w:rPr>
          <w:rFonts w:ascii="Times New Roman" w:hAnsi="Times New Roman"/>
          <w:sz w:val="24"/>
        </w:rPr>
        <w:t>(GB31570-2015)</w:t>
      </w:r>
      <w:r>
        <w:rPr>
          <w:rFonts w:ascii="Times New Roman" w:hAnsi="Times New Roman"/>
          <w:sz w:val="24"/>
        </w:rPr>
        <w:t>中</w:t>
      </w:r>
      <w:r>
        <w:rPr>
          <w:rFonts w:ascii="Times New Roman" w:hAnsi="Times New Roman"/>
          <w:sz w:val="24"/>
        </w:rPr>
        <w:t>“</w:t>
      </w:r>
      <w:r>
        <w:rPr>
          <w:rFonts w:ascii="Times New Roman" w:hAnsi="Times New Roman"/>
          <w:sz w:val="24"/>
        </w:rPr>
        <w:t>表</w:t>
      </w:r>
      <w:r>
        <w:rPr>
          <w:rFonts w:ascii="Times New Roman" w:hAnsi="Times New Roman"/>
          <w:sz w:val="24"/>
        </w:rPr>
        <w:t xml:space="preserve">3 </w:t>
      </w:r>
      <w:r>
        <w:rPr>
          <w:rFonts w:ascii="Times New Roman" w:hAnsi="Times New Roman"/>
          <w:sz w:val="24"/>
        </w:rPr>
        <w:t>大气污染物排放限值</w:t>
      </w:r>
      <w:r>
        <w:rPr>
          <w:rFonts w:ascii="Times New Roman" w:hAnsi="Times New Roman"/>
          <w:sz w:val="24"/>
        </w:rPr>
        <w:t>”</w:t>
      </w:r>
      <w:r>
        <w:rPr>
          <w:rFonts w:ascii="Times New Roman" w:hAnsi="Times New Roman"/>
          <w:sz w:val="24"/>
        </w:rPr>
        <w:t>的规定。</w:t>
      </w:r>
    </w:p>
    <w:p w:rsidR="00525419" w:rsidRDefault="00EE1CF7" w:rsidP="00EE1CF7">
      <w:pPr>
        <w:tabs>
          <w:tab w:val="left" w:pos="540"/>
        </w:tabs>
        <w:adjustRightInd w:val="0"/>
        <w:snapToGrid w:val="0"/>
        <w:spacing w:line="360" w:lineRule="auto"/>
        <w:ind w:firstLineChars="232" w:firstLine="557"/>
        <w:rPr>
          <w:rFonts w:ascii="Times New Roman" w:hAnsi="Times New Roman"/>
          <w:sz w:val="24"/>
        </w:rPr>
      </w:pPr>
      <w:r>
        <w:rPr>
          <w:rFonts w:ascii="Times New Roman" w:hAnsi="Times New Roman"/>
          <w:sz w:val="24"/>
        </w:rPr>
        <w:t>本项目</w:t>
      </w:r>
      <w:r>
        <w:rPr>
          <w:rFonts w:ascii="Times New Roman" w:hAnsi="Times New Roman" w:hint="eastAsia"/>
          <w:sz w:val="24"/>
        </w:rPr>
        <w:t>转化炉、</w:t>
      </w:r>
      <w:r>
        <w:rPr>
          <w:rFonts w:ascii="Times New Roman" w:hAnsi="Times New Roman"/>
          <w:sz w:val="24"/>
        </w:rPr>
        <w:t>加热炉烟气中烟尘、二氧化硫和</w:t>
      </w:r>
      <w:r>
        <w:rPr>
          <w:rFonts w:ascii="Times New Roman" w:hAnsi="Times New Roman"/>
          <w:sz w:val="24"/>
        </w:rPr>
        <w:t>NOx</w:t>
      </w:r>
      <w:r>
        <w:rPr>
          <w:rFonts w:ascii="Times New Roman" w:hAnsi="Times New Roman" w:hint="eastAsia"/>
          <w:sz w:val="24"/>
        </w:rPr>
        <w:t>以及</w:t>
      </w:r>
      <w:r>
        <w:rPr>
          <w:rFonts w:ascii="Times New Roman" w:hAnsi="Times New Roman"/>
          <w:sz w:val="24"/>
        </w:rPr>
        <w:t>硫磺回收焚烧烟气的二氧化硫</w:t>
      </w:r>
      <w:r>
        <w:rPr>
          <w:rFonts w:ascii="Times New Roman" w:hAnsi="Times New Roman" w:hint="eastAsia"/>
          <w:sz w:val="24"/>
        </w:rPr>
        <w:t>、</w:t>
      </w:r>
      <w:r>
        <w:rPr>
          <w:rFonts w:ascii="Times New Roman" w:hAnsi="Times New Roman"/>
          <w:sz w:val="24"/>
        </w:rPr>
        <w:t>依托油气回收</w:t>
      </w:r>
      <w:r>
        <w:rPr>
          <w:rFonts w:ascii="Times New Roman" w:hAnsi="Times New Roman" w:hint="eastAsia"/>
          <w:sz w:val="24"/>
        </w:rPr>
        <w:t>装置</w:t>
      </w:r>
      <w:r>
        <w:rPr>
          <w:rFonts w:ascii="Times New Roman" w:hAnsi="Times New Roman"/>
          <w:sz w:val="24"/>
        </w:rPr>
        <w:t>排气筒排放的非甲烷总烃执行《石油炼制工业污染物排放标准》</w:t>
      </w:r>
      <w:r>
        <w:rPr>
          <w:rFonts w:ascii="Times New Roman" w:hAnsi="Times New Roman"/>
          <w:sz w:val="24"/>
        </w:rPr>
        <w:t>(GB31570-2015)</w:t>
      </w:r>
      <w:r>
        <w:rPr>
          <w:rFonts w:ascii="Times New Roman" w:hAnsi="Times New Roman"/>
          <w:sz w:val="24"/>
        </w:rPr>
        <w:t>中</w:t>
      </w:r>
      <w:r>
        <w:rPr>
          <w:rFonts w:ascii="Times New Roman" w:hAnsi="Times New Roman"/>
          <w:sz w:val="24"/>
        </w:rPr>
        <w:t>“</w:t>
      </w:r>
      <w:r>
        <w:rPr>
          <w:rFonts w:ascii="Times New Roman" w:hAnsi="Times New Roman"/>
          <w:sz w:val="24"/>
        </w:rPr>
        <w:t>表</w:t>
      </w:r>
      <w:r>
        <w:rPr>
          <w:rFonts w:ascii="Times New Roman" w:hAnsi="Times New Roman"/>
          <w:sz w:val="24"/>
        </w:rPr>
        <w:t xml:space="preserve">3 </w:t>
      </w:r>
      <w:r>
        <w:rPr>
          <w:rFonts w:ascii="Times New Roman" w:hAnsi="Times New Roman"/>
          <w:sz w:val="24"/>
        </w:rPr>
        <w:t>大气污染物排放限值</w:t>
      </w:r>
      <w:r>
        <w:rPr>
          <w:rFonts w:ascii="Times New Roman" w:hAnsi="Times New Roman"/>
          <w:sz w:val="24"/>
        </w:rPr>
        <w:t>”</w:t>
      </w:r>
      <w:r>
        <w:rPr>
          <w:rFonts w:ascii="Times New Roman" w:hAnsi="Times New Roman"/>
          <w:sz w:val="24"/>
        </w:rPr>
        <w:t>的规定。</w:t>
      </w:r>
    </w:p>
    <w:p w:rsidR="00525419" w:rsidRDefault="00EE1CF7">
      <w:pPr>
        <w:tabs>
          <w:tab w:val="left" w:pos="540"/>
        </w:tabs>
        <w:adjustRightInd w:val="0"/>
        <w:snapToGrid w:val="0"/>
        <w:spacing w:line="360" w:lineRule="auto"/>
        <w:ind w:firstLineChars="200" w:firstLine="480"/>
        <w:rPr>
          <w:rFonts w:ascii="Times New Roman" w:hAnsi="Times New Roman"/>
          <w:sz w:val="24"/>
        </w:rPr>
      </w:pPr>
      <w:r>
        <w:rPr>
          <w:rFonts w:ascii="Times New Roman" w:hAnsi="Times New Roman"/>
          <w:sz w:val="24"/>
        </w:rPr>
        <w:t>厂界无组织排放的</w:t>
      </w:r>
      <w:r>
        <w:rPr>
          <w:rFonts w:ascii="Times New Roman" w:hAnsi="Times New Roman"/>
          <w:sz w:val="24"/>
        </w:rPr>
        <w:t>H</w:t>
      </w:r>
      <w:r>
        <w:rPr>
          <w:rFonts w:ascii="Times New Roman" w:hAnsi="Times New Roman"/>
          <w:sz w:val="24"/>
          <w:vertAlign w:val="subscript"/>
        </w:rPr>
        <w:t>2</w:t>
      </w:r>
      <w:r>
        <w:rPr>
          <w:rFonts w:ascii="Times New Roman" w:hAnsi="Times New Roman"/>
          <w:sz w:val="24"/>
        </w:rPr>
        <w:t>S</w:t>
      </w:r>
      <w:r>
        <w:rPr>
          <w:rFonts w:ascii="Times New Roman" w:hAnsi="Times New Roman"/>
          <w:sz w:val="24"/>
        </w:rPr>
        <w:t>和氨执行《恶臭污染物排放标准》</w:t>
      </w:r>
      <w:r>
        <w:rPr>
          <w:rFonts w:ascii="Times New Roman" w:hAnsi="Times New Roman"/>
          <w:sz w:val="24"/>
        </w:rPr>
        <w:t>(GB14554-93)</w:t>
      </w:r>
      <w:r>
        <w:rPr>
          <w:rFonts w:ascii="Times New Roman" w:hAnsi="Times New Roman"/>
          <w:sz w:val="24"/>
        </w:rPr>
        <w:t>中</w:t>
      </w:r>
      <w:r>
        <w:rPr>
          <w:rFonts w:ascii="Times New Roman" w:hAnsi="Times New Roman"/>
          <w:sz w:val="24"/>
        </w:rPr>
        <w:t>“</w:t>
      </w:r>
      <w:r>
        <w:rPr>
          <w:rFonts w:ascii="Times New Roman" w:hAnsi="Times New Roman"/>
          <w:sz w:val="24"/>
        </w:rPr>
        <w:t>表</w:t>
      </w:r>
      <w:r>
        <w:rPr>
          <w:rFonts w:ascii="Times New Roman" w:hAnsi="Times New Roman"/>
          <w:sz w:val="24"/>
        </w:rPr>
        <w:t xml:space="preserve">1 </w:t>
      </w:r>
      <w:r>
        <w:rPr>
          <w:rFonts w:ascii="Times New Roman" w:hAnsi="Times New Roman"/>
          <w:sz w:val="24"/>
        </w:rPr>
        <w:t>恶臭污染物厂界标准值</w:t>
      </w:r>
      <w:r>
        <w:rPr>
          <w:rFonts w:ascii="Times New Roman" w:hAnsi="Times New Roman"/>
          <w:sz w:val="24"/>
        </w:rPr>
        <w:t>”</w:t>
      </w:r>
      <w:r>
        <w:rPr>
          <w:rFonts w:ascii="Times New Roman" w:hAnsi="Times New Roman"/>
          <w:sz w:val="24"/>
        </w:rPr>
        <w:t>的二级标准；</w:t>
      </w:r>
      <w:r>
        <w:rPr>
          <w:rFonts w:ascii="Times New Roman" w:hAnsi="Times New Roman" w:hint="eastAsia"/>
          <w:sz w:val="24"/>
        </w:rPr>
        <w:t>颗粒物、非甲烷总烃</w:t>
      </w:r>
      <w:r>
        <w:rPr>
          <w:rFonts w:ascii="Times New Roman" w:hAnsi="Times New Roman"/>
          <w:sz w:val="24"/>
        </w:rPr>
        <w:t>无组织污染物排放执行《石油炼制工业污染物排放标准》</w:t>
      </w:r>
      <w:r>
        <w:rPr>
          <w:rFonts w:ascii="Times New Roman" w:hAnsi="Times New Roman"/>
          <w:sz w:val="24"/>
        </w:rPr>
        <w:t>(GB31570-2015)</w:t>
      </w:r>
      <w:r>
        <w:rPr>
          <w:rFonts w:ascii="Times New Roman" w:hAnsi="Times New Roman"/>
          <w:sz w:val="24"/>
        </w:rPr>
        <w:t>中</w:t>
      </w:r>
      <w:r>
        <w:rPr>
          <w:rFonts w:ascii="Times New Roman" w:hAnsi="Times New Roman"/>
          <w:sz w:val="24"/>
        </w:rPr>
        <w:t>“</w:t>
      </w:r>
      <w:r>
        <w:rPr>
          <w:rFonts w:ascii="Times New Roman" w:hAnsi="Times New Roman"/>
          <w:sz w:val="24"/>
        </w:rPr>
        <w:t>表</w:t>
      </w:r>
      <w:r>
        <w:rPr>
          <w:rFonts w:ascii="Times New Roman" w:hAnsi="Times New Roman"/>
          <w:sz w:val="24"/>
        </w:rPr>
        <w:t xml:space="preserve">5 </w:t>
      </w:r>
      <w:r>
        <w:rPr>
          <w:rFonts w:ascii="Times New Roman" w:hAnsi="Times New Roman"/>
          <w:sz w:val="24"/>
        </w:rPr>
        <w:t>企业边界大气污染物浓度限值</w:t>
      </w:r>
      <w:r>
        <w:rPr>
          <w:rFonts w:ascii="Times New Roman" w:hAnsi="Times New Roman"/>
          <w:sz w:val="24"/>
        </w:rPr>
        <w:t>”</w:t>
      </w:r>
      <w:r>
        <w:rPr>
          <w:rFonts w:ascii="Times New Roman" w:hAnsi="Times New Roman"/>
          <w:sz w:val="24"/>
        </w:rPr>
        <w:t>的规定。</w:t>
      </w:r>
    </w:p>
    <w:p w:rsidR="00525419" w:rsidRDefault="00EE1CF7">
      <w:pPr>
        <w:tabs>
          <w:tab w:val="left" w:pos="540"/>
        </w:tabs>
        <w:adjustRightInd w:val="0"/>
        <w:snapToGrid w:val="0"/>
        <w:spacing w:line="360" w:lineRule="auto"/>
        <w:ind w:firstLineChars="200" w:firstLine="480"/>
        <w:rPr>
          <w:rFonts w:ascii="Times New Roman" w:hAnsi="Times New Roman"/>
          <w:sz w:val="24"/>
        </w:rPr>
      </w:pPr>
      <w:r>
        <w:rPr>
          <w:rFonts w:ascii="Times New Roman" w:hAnsi="Times New Roman"/>
          <w:sz w:val="24"/>
        </w:rPr>
        <w:t>厂区内</w:t>
      </w:r>
      <w:r>
        <w:rPr>
          <w:rFonts w:ascii="Times New Roman" w:hAnsi="Times New Roman"/>
          <w:sz w:val="24"/>
        </w:rPr>
        <w:t>VOC</w:t>
      </w:r>
      <w:r>
        <w:rPr>
          <w:rFonts w:ascii="Times New Roman" w:hAnsi="Times New Roman"/>
          <w:sz w:val="24"/>
          <w:vertAlign w:val="subscript"/>
        </w:rPr>
        <w:t>S</w:t>
      </w:r>
      <w:r>
        <w:rPr>
          <w:rFonts w:ascii="Times New Roman" w:hAnsi="Times New Roman"/>
          <w:sz w:val="24"/>
        </w:rPr>
        <w:t>无组织排放执行《挥发性有机物无组织排放控制标准》（</w:t>
      </w:r>
      <w:r>
        <w:rPr>
          <w:rFonts w:ascii="Times New Roman" w:hAnsi="Times New Roman"/>
          <w:sz w:val="24"/>
        </w:rPr>
        <w:t>GB37822-2019</w:t>
      </w:r>
      <w:r>
        <w:rPr>
          <w:rFonts w:ascii="Times New Roman" w:hAnsi="Times New Roman"/>
          <w:sz w:val="24"/>
        </w:rPr>
        <w:t>）表</w:t>
      </w:r>
      <w:r>
        <w:rPr>
          <w:rFonts w:ascii="Times New Roman" w:hAnsi="Times New Roman"/>
          <w:sz w:val="24"/>
        </w:rPr>
        <w:t>A.1</w:t>
      </w:r>
      <w:r>
        <w:rPr>
          <w:rFonts w:ascii="Times New Roman" w:hAnsi="Times New Roman"/>
          <w:sz w:val="24"/>
        </w:rPr>
        <w:t>厂区内</w:t>
      </w:r>
      <w:r>
        <w:rPr>
          <w:rFonts w:ascii="Times New Roman" w:hAnsi="Times New Roman"/>
          <w:sz w:val="24"/>
        </w:rPr>
        <w:t>VOCS</w:t>
      </w:r>
      <w:r>
        <w:rPr>
          <w:rFonts w:ascii="Times New Roman" w:hAnsi="Times New Roman"/>
          <w:sz w:val="24"/>
        </w:rPr>
        <w:t>无组织排放限值中特别排放限值要求。</w:t>
      </w:r>
    </w:p>
    <w:p w:rsidR="00525419" w:rsidRDefault="00EE1CF7">
      <w:pPr>
        <w:tabs>
          <w:tab w:val="left" w:pos="540"/>
        </w:tabs>
        <w:adjustRightInd w:val="0"/>
        <w:snapToGrid w:val="0"/>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）噪声</w:t>
      </w:r>
    </w:p>
    <w:p w:rsidR="00525419" w:rsidRDefault="00EE1CF7">
      <w:pPr>
        <w:tabs>
          <w:tab w:val="left" w:pos="540"/>
        </w:tabs>
        <w:adjustRightInd w:val="0"/>
        <w:snapToGrid w:val="0"/>
        <w:spacing w:line="360" w:lineRule="auto"/>
        <w:ind w:firstLineChars="200" w:firstLine="480"/>
        <w:rPr>
          <w:rFonts w:ascii="Times New Roman" w:hAnsi="Times New Roman"/>
          <w:sz w:val="24"/>
        </w:rPr>
      </w:pPr>
      <w:r>
        <w:rPr>
          <w:rFonts w:ascii="Times New Roman" w:hAnsi="Times New Roman"/>
          <w:sz w:val="24"/>
        </w:rPr>
        <w:t>运营期厂界噪声排放标准执行《工业企业厂界环境噪声排放标准》（</w:t>
      </w:r>
      <w:r>
        <w:rPr>
          <w:rFonts w:ascii="Times New Roman" w:hAnsi="Times New Roman"/>
          <w:sz w:val="24"/>
        </w:rPr>
        <w:t>GB12348-2008</w:t>
      </w:r>
      <w:r>
        <w:rPr>
          <w:rFonts w:ascii="Times New Roman" w:hAnsi="Times New Roman"/>
          <w:sz w:val="24"/>
        </w:rPr>
        <w:t>）厂界外</w:t>
      </w:r>
      <w:r>
        <w:rPr>
          <w:rFonts w:ascii="Times New Roman" w:hAnsi="Times New Roman"/>
          <w:sz w:val="24"/>
        </w:rPr>
        <w:t>3</w:t>
      </w:r>
      <w:r>
        <w:rPr>
          <w:rFonts w:ascii="Times New Roman" w:hAnsi="Times New Roman"/>
          <w:sz w:val="24"/>
        </w:rPr>
        <w:t>类声环境功能区环境噪声排放限值，即昼间</w:t>
      </w:r>
      <w:r>
        <w:rPr>
          <w:rFonts w:ascii="Times New Roman" w:hAnsi="Times New Roman"/>
          <w:sz w:val="24"/>
        </w:rPr>
        <w:t>≤65dB</w:t>
      </w:r>
      <w:r>
        <w:rPr>
          <w:rFonts w:ascii="Times New Roman" w:hAnsi="Times New Roman"/>
          <w:sz w:val="24"/>
        </w:rPr>
        <w:t>（</w:t>
      </w:r>
      <w:r>
        <w:rPr>
          <w:rFonts w:ascii="Times New Roman" w:hAnsi="Times New Roman"/>
          <w:sz w:val="24"/>
        </w:rPr>
        <w:t>A</w:t>
      </w:r>
      <w:r>
        <w:rPr>
          <w:rFonts w:ascii="Times New Roman" w:hAnsi="Times New Roman"/>
          <w:sz w:val="24"/>
        </w:rPr>
        <w:t>），夜间</w:t>
      </w:r>
      <w:r>
        <w:rPr>
          <w:rFonts w:ascii="Times New Roman" w:hAnsi="Times New Roman"/>
          <w:sz w:val="24"/>
        </w:rPr>
        <w:t>≤55dB</w:t>
      </w:r>
      <w:r>
        <w:rPr>
          <w:rFonts w:ascii="Times New Roman" w:hAnsi="Times New Roman"/>
          <w:sz w:val="24"/>
        </w:rPr>
        <w:t>（</w:t>
      </w:r>
      <w:r>
        <w:rPr>
          <w:rFonts w:ascii="Times New Roman" w:hAnsi="Times New Roman"/>
          <w:sz w:val="24"/>
        </w:rPr>
        <w:t>A</w:t>
      </w:r>
      <w:r>
        <w:rPr>
          <w:rFonts w:ascii="Times New Roman" w:hAnsi="Times New Roman"/>
          <w:sz w:val="24"/>
        </w:rPr>
        <w:t>）。</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）废水</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厂区产生的</w:t>
      </w:r>
      <w:r>
        <w:rPr>
          <w:rFonts w:ascii="Times New Roman" w:hAnsi="Times New Roman" w:hint="eastAsia"/>
          <w:sz w:val="24"/>
        </w:rPr>
        <w:t>含硫废水</w:t>
      </w:r>
      <w:r>
        <w:rPr>
          <w:rFonts w:ascii="Times New Roman" w:hAnsi="Times New Roman"/>
          <w:sz w:val="24"/>
        </w:rPr>
        <w:t>经汽提装置处理后用于</w:t>
      </w:r>
      <w:r>
        <w:rPr>
          <w:rFonts w:ascii="Times New Roman" w:hAnsi="Times New Roman" w:hint="eastAsia"/>
          <w:sz w:val="24"/>
        </w:rPr>
        <w:t>工艺</w:t>
      </w:r>
      <w:r>
        <w:rPr>
          <w:rFonts w:ascii="Times New Roman" w:hAnsi="Times New Roman"/>
          <w:sz w:val="24"/>
        </w:rPr>
        <w:t>注水，</w:t>
      </w:r>
      <w:r>
        <w:rPr>
          <w:rFonts w:ascii="Times New Roman" w:hAnsi="Times New Roman" w:hint="eastAsia"/>
          <w:kern w:val="0"/>
          <w:sz w:val="24"/>
          <w:szCs w:val="24"/>
        </w:rPr>
        <w:t>脱盐水站产生含盐废水</w:t>
      </w:r>
      <w:r>
        <w:rPr>
          <w:rFonts w:ascii="Times New Roman" w:hAnsi="Times New Roman"/>
          <w:kern w:val="0"/>
          <w:sz w:val="24"/>
          <w:szCs w:val="24"/>
        </w:rPr>
        <w:t>经浓盐水处理装置处理后作为循环水回用；</w:t>
      </w:r>
      <w:r>
        <w:rPr>
          <w:rFonts w:ascii="Times New Roman" w:hAnsi="Times New Roman"/>
          <w:sz w:val="24"/>
        </w:rPr>
        <w:t>含油污水、生活污水及其它废水到依托厂区污水处理站处理后达到《循环冷却水用再生水水质标准》（</w:t>
      </w:r>
      <w:r>
        <w:rPr>
          <w:rFonts w:ascii="Times New Roman" w:hAnsi="Times New Roman"/>
          <w:sz w:val="24"/>
        </w:rPr>
        <w:t>HJ/T3923-2007</w:t>
      </w:r>
      <w:r>
        <w:rPr>
          <w:rFonts w:ascii="Times New Roman" w:hAnsi="Times New Roman"/>
          <w:sz w:val="24"/>
        </w:rPr>
        <w:t>）用于厂区循环冷却补水，不外排。</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）固体废物</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根据本项目产生的各种固体废物的性质和去向，生活垃圾执行《生活垃圾填埋污染控制标准》（</w:t>
      </w:r>
      <w:r>
        <w:rPr>
          <w:rFonts w:ascii="Times New Roman" w:hAnsi="Times New Roman"/>
          <w:sz w:val="24"/>
        </w:rPr>
        <w:t>GB16889-2008</w:t>
      </w:r>
      <w:r>
        <w:rPr>
          <w:rFonts w:ascii="Times New Roman" w:hAnsi="Times New Roman"/>
          <w:sz w:val="24"/>
        </w:rPr>
        <w:t>）</w:t>
      </w:r>
      <w:r>
        <w:rPr>
          <w:rFonts w:ascii="Times New Roman" w:hAnsi="Times New Roman" w:hint="eastAsia"/>
          <w:sz w:val="24"/>
        </w:rPr>
        <w:t>；</w:t>
      </w:r>
      <w:r>
        <w:rPr>
          <w:rFonts w:ascii="Times New Roman" w:hAnsi="Times New Roman"/>
          <w:sz w:val="24"/>
        </w:rPr>
        <w:t>一般工业固体废物执行《一般工业固体废物贮存、处置场所污染控制标准》（</w:t>
      </w:r>
      <w:r>
        <w:rPr>
          <w:rFonts w:ascii="Times New Roman" w:hAnsi="Times New Roman"/>
          <w:sz w:val="24"/>
        </w:rPr>
        <w:t>GB18599-2001</w:t>
      </w:r>
      <w:r>
        <w:rPr>
          <w:rFonts w:ascii="Times New Roman" w:hAnsi="Times New Roman"/>
          <w:sz w:val="24"/>
        </w:rPr>
        <w:t>）及《关于发布〈一般工业固体废物贮存、处置场污染控制标准〉（</w:t>
      </w:r>
      <w:r>
        <w:rPr>
          <w:rFonts w:ascii="Times New Roman" w:hAnsi="Times New Roman"/>
          <w:sz w:val="24"/>
        </w:rPr>
        <w:t>GB18599- 2001</w:t>
      </w:r>
      <w:r>
        <w:rPr>
          <w:rFonts w:ascii="Times New Roman" w:hAnsi="Times New Roman"/>
          <w:sz w:val="24"/>
        </w:rPr>
        <w:t>）等</w:t>
      </w:r>
      <w:r>
        <w:rPr>
          <w:rFonts w:ascii="Times New Roman" w:hAnsi="Times New Roman"/>
          <w:sz w:val="24"/>
        </w:rPr>
        <w:t>3</w:t>
      </w:r>
      <w:r>
        <w:rPr>
          <w:rFonts w:ascii="Times New Roman" w:hAnsi="Times New Roman"/>
          <w:sz w:val="24"/>
        </w:rPr>
        <w:t>项国家污染物控制标准修改单的公告</w:t>
      </w:r>
      <w:r>
        <w:rPr>
          <w:rFonts w:ascii="Times New Roman" w:hAnsi="Times New Roman" w:hint="eastAsia"/>
          <w:sz w:val="24"/>
        </w:rPr>
        <w:t>；</w:t>
      </w:r>
      <w:r>
        <w:rPr>
          <w:rFonts w:ascii="Times New Roman" w:hAnsi="Times New Roman"/>
          <w:sz w:val="24"/>
        </w:rPr>
        <w:t>危险废物应按照《国家危险废物名录》</w:t>
      </w:r>
      <w:r>
        <w:rPr>
          <w:rFonts w:ascii="Times New Roman" w:hAnsi="Times New Roman" w:hint="eastAsia"/>
          <w:sz w:val="24"/>
        </w:rPr>
        <w:t>（</w:t>
      </w:r>
      <w:r>
        <w:rPr>
          <w:rFonts w:ascii="Times New Roman" w:hAnsi="Times New Roman" w:hint="eastAsia"/>
          <w:sz w:val="24"/>
        </w:rPr>
        <w:t>2016</w:t>
      </w:r>
      <w:r>
        <w:rPr>
          <w:rFonts w:ascii="Times New Roman" w:hAnsi="Times New Roman" w:hint="eastAsia"/>
          <w:sz w:val="24"/>
        </w:rPr>
        <w:t>）</w:t>
      </w:r>
      <w:r>
        <w:rPr>
          <w:rFonts w:ascii="Times New Roman" w:hAnsi="Times New Roman"/>
          <w:sz w:val="24"/>
        </w:rPr>
        <w:t>规定，设置规范的分类收集容器（罐、场）进行分类收集，并交给有资质处置相关危险废物的机构实施无害化处置。危险废物在场地内临时贮存、处置执行《危险废物贮存污染物控制标准》（</w:t>
      </w:r>
      <w:r>
        <w:rPr>
          <w:rFonts w:ascii="Times New Roman" w:hAnsi="Times New Roman"/>
          <w:sz w:val="24"/>
        </w:rPr>
        <w:t>GB18597-2001</w:t>
      </w:r>
      <w:r>
        <w:rPr>
          <w:rFonts w:ascii="Times New Roman" w:hAnsi="Times New Roman"/>
          <w:sz w:val="24"/>
        </w:rPr>
        <w:t>）及《关于发布〈一般工业固体废物贮</w:t>
      </w:r>
      <w:r>
        <w:rPr>
          <w:rFonts w:ascii="Times New Roman" w:hAnsi="Times New Roman"/>
          <w:sz w:val="24"/>
        </w:rPr>
        <w:lastRenderedPageBreak/>
        <w:t>存、处置场污染控制标准〉（</w:t>
      </w:r>
      <w:r>
        <w:rPr>
          <w:rFonts w:ascii="Times New Roman" w:hAnsi="Times New Roman"/>
          <w:sz w:val="24"/>
        </w:rPr>
        <w:t>GB18599- 2001</w:t>
      </w:r>
      <w:r>
        <w:rPr>
          <w:rFonts w:ascii="Times New Roman" w:hAnsi="Times New Roman"/>
          <w:sz w:val="24"/>
        </w:rPr>
        <w:t>）等</w:t>
      </w:r>
      <w:r>
        <w:rPr>
          <w:rFonts w:ascii="Times New Roman" w:hAnsi="Times New Roman"/>
          <w:sz w:val="24"/>
        </w:rPr>
        <w:t>3</w:t>
      </w:r>
      <w:r>
        <w:rPr>
          <w:rFonts w:ascii="Times New Roman" w:hAnsi="Times New Roman"/>
          <w:sz w:val="24"/>
        </w:rPr>
        <w:t>项国家污染物控制标准修改单的公告和《危险废物鉴别标准》（</w:t>
      </w:r>
      <w:r>
        <w:rPr>
          <w:rFonts w:ascii="Times New Roman" w:hAnsi="Times New Roman"/>
          <w:sz w:val="24"/>
        </w:rPr>
        <w:t>GB5085.1-5085.6</w:t>
      </w:r>
      <w:r>
        <w:rPr>
          <w:rFonts w:ascii="Times New Roman" w:hAnsi="Times New Roman"/>
          <w:sz w:val="24"/>
        </w:rPr>
        <w:t>－</w:t>
      </w:r>
      <w:r>
        <w:rPr>
          <w:rFonts w:ascii="Times New Roman" w:hAnsi="Times New Roman"/>
          <w:sz w:val="24"/>
        </w:rPr>
        <w:t>2007</w:t>
      </w:r>
      <w:r>
        <w:rPr>
          <w:rFonts w:ascii="Times New Roman" w:hAnsi="Times New Roman"/>
          <w:sz w:val="24"/>
        </w:rPr>
        <w:t>及</w:t>
      </w:r>
      <w:r>
        <w:rPr>
          <w:rFonts w:ascii="Times New Roman" w:hAnsi="Times New Roman"/>
          <w:sz w:val="24"/>
        </w:rPr>
        <w:t>GB34330-2017</w:t>
      </w:r>
      <w:r>
        <w:rPr>
          <w:rFonts w:ascii="Times New Roman" w:hAnsi="Times New Roman"/>
          <w:sz w:val="24"/>
        </w:rPr>
        <w:t>）；危险废物的转移依照《危险废物转移联单管理办法》（国家环境保护总局令第</w:t>
      </w:r>
      <w:r>
        <w:rPr>
          <w:rFonts w:ascii="Times New Roman" w:hAnsi="Times New Roman"/>
          <w:sz w:val="24"/>
        </w:rPr>
        <w:t>5</w:t>
      </w:r>
      <w:r>
        <w:rPr>
          <w:rFonts w:ascii="Times New Roman" w:hAnsi="Times New Roman"/>
          <w:sz w:val="24"/>
        </w:rPr>
        <w:t>号）进行监督和管理。</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执行的排放标准详见表</w:t>
      </w:r>
      <w:r>
        <w:rPr>
          <w:rFonts w:ascii="Times New Roman" w:hAnsi="Times New Roman"/>
          <w:sz w:val="24"/>
        </w:rPr>
        <w:t>2.2-8</w:t>
      </w:r>
      <w:r>
        <w:rPr>
          <w:rFonts w:ascii="Times New Roman" w:hAnsi="Times New Roman"/>
          <w:sz w:val="24"/>
        </w:rPr>
        <w:t>。</w:t>
      </w:r>
    </w:p>
    <w:p w:rsidR="00525419" w:rsidRDefault="00EE1CF7" w:rsidP="00EE1CF7">
      <w:pPr>
        <w:spacing w:line="240" w:lineRule="atLeast"/>
        <w:ind w:firstLineChars="836" w:firstLine="1756"/>
        <w:rPr>
          <w:rFonts w:ascii="Times New Roman" w:eastAsia="黑体" w:hAnsi="Times New Roman"/>
          <w:kern w:val="0"/>
          <w:szCs w:val="21"/>
          <w:lang w:val="zh-CN"/>
        </w:rPr>
      </w:pPr>
      <w:r>
        <w:rPr>
          <w:rFonts w:ascii="Times New Roman" w:eastAsia="黑体" w:hAnsi="Times New Roman"/>
          <w:szCs w:val="21"/>
        </w:rPr>
        <w:t>表</w:t>
      </w:r>
      <w:r>
        <w:rPr>
          <w:rFonts w:ascii="Times New Roman" w:eastAsia="黑体" w:hAnsi="Times New Roman"/>
          <w:szCs w:val="21"/>
        </w:rPr>
        <w:t>2.2-8</w:t>
      </w:r>
      <w:r>
        <w:rPr>
          <w:rFonts w:ascii="Times New Roman" w:eastAsia="黑体" w:hAnsi="Times New Roman"/>
          <w:szCs w:val="21"/>
        </w:rPr>
        <w:t xml:space="preserve">　　　　</w:t>
      </w:r>
      <w:r>
        <w:rPr>
          <w:rFonts w:ascii="Times New Roman" w:eastAsia="黑体" w:hAnsi="Times New Roman"/>
          <w:kern w:val="0"/>
          <w:szCs w:val="21"/>
          <w:lang w:val="zh-CN"/>
        </w:rPr>
        <w:t>排放标准一览表</w:t>
      </w:r>
    </w:p>
    <w:tbl>
      <w:tblPr>
        <w:tblW w:w="84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3"/>
        <w:gridCol w:w="1185"/>
        <w:gridCol w:w="1064"/>
        <w:gridCol w:w="55"/>
        <w:gridCol w:w="1078"/>
        <w:gridCol w:w="2264"/>
        <w:gridCol w:w="1698"/>
      </w:tblGrid>
      <w:tr w:rsidR="00525419">
        <w:trPr>
          <w:trHeight w:val="555"/>
          <w:jc w:val="center"/>
        </w:trPr>
        <w:tc>
          <w:tcPr>
            <w:tcW w:w="1113" w:type="dxa"/>
            <w:tcBorders>
              <w:tl2br w:val="nil"/>
              <w:tr2bl w:val="nil"/>
            </w:tcBorders>
            <w:vAlign w:val="center"/>
          </w:tcPr>
          <w:p w:rsidR="00525419" w:rsidRDefault="00EE1CF7">
            <w:pPr>
              <w:spacing w:line="240" w:lineRule="exact"/>
              <w:rPr>
                <w:rFonts w:ascii="Times New Roman" w:hAnsi="Times New Roman"/>
                <w:kern w:val="0"/>
                <w:szCs w:val="21"/>
                <w:lang w:val="zh-CN"/>
              </w:rPr>
            </w:pPr>
            <w:r>
              <w:rPr>
                <w:rFonts w:ascii="Times New Roman" w:hAnsi="Times New Roman"/>
                <w:kern w:val="0"/>
                <w:szCs w:val="21"/>
                <w:lang w:val="zh-CN"/>
              </w:rPr>
              <w:t>污染物类型</w:t>
            </w:r>
          </w:p>
        </w:tc>
        <w:tc>
          <w:tcPr>
            <w:tcW w:w="1185" w:type="dxa"/>
            <w:tcBorders>
              <w:tl2br w:val="nil"/>
              <w:tr2bl w:val="nil"/>
            </w:tcBorders>
            <w:vAlign w:val="center"/>
          </w:tcPr>
          <w:p w:rsidR="00525419" w:rsidRDefault="00EE1CF7">
            <w:pPr>
              <w:spacing w:line="240" w:lineRule="exact"/>
              <w:rPr>
                <w:rFonts w:ascii="Times New Roman" w:hAnsi="Times New Roman"/>
                <w:kern w:val="0"/>
                <w:szCs w:val="21"/>
                <w:lang w:val="zh-CN"/>
              </w:rPr>
            </w:pPr>
            <w:r>
              <w:rPr>
                <w:rFonts w:ascii="Times New Roman" w:hAnsi="Times New Roman"/>
                <w:kern w:val="0"/>
                <w:szCs w:val="21"/>
                <w:lang w:val="zh-CN"/>
              </w:rPr>
              <w:t>污染物</w:t>
            </w:r>
          </w:p>
        </w:tc>
        <w:tc>
          <w:tcPr>
            <w:tcW w:w="2197" w:type="dxa"/>
            <w:gridSpan w:val="3"/>
            <w:tcBorders>
              <w:tl2br w:val="nil"/>
              <w:tr2bl w:val="nil"/>
            </w:tcBorders>
            <w:vAlign w:val="center"/>
          </w:tcPr>
          <w:p w:rsidR="00525419" w:rsidRDefault="00EE1CF7">
            <w:pPr>
              <w:spacing w:line="240" w:lineRule="exact"/>
              <w:rPr>
                <w:rFonts w:ascii="Times New Roman" w:hAnsi="Times New Roman"/>
                <w:kern w:val="0"/>
                <w:szCs w:val="21"/>
                <w:lang w:val="zh-CN"/>
              </w:rPr>
            </w:pPr>
            <w:r>
              <w:rPr>
                <w:rFonts w:ascii="Times New Roman" w:hAnsi="Times New Roman"/>
                <w:szCs w:val="21"/>
              </w:rPr>
              <w:t>污染物排放浓度限值</w:t>
            </w:r>
          </w:p>
        </w:tc>
        <w:tc>
          <w:tcPr>
            <w:tcW w:w="2264" w:type="dxa"/>
            <w:tcBorders>
              <w:tl2br w:val="nil"/>
              <w:tr2bl w:val="nil"/>
            </w:tcBorders>
            <w:vAlign w:val="center"/>
          </w:tcPr>
          <w:p w:rsidR="00525419" w:rsidRDefault="00EE1CF7">
            <w:pPr>
              <w:spacing w:line="240" w:lineRule="atLeast"/>
              <w:rPr>
                <w:rFonts w:ascii="Times New Roman" w:hAnsi="Times New Roman"/>
                <w:kern w:val="0"/>
                <w:szCs w:val="21"/>
                <w:lang w:val="zh-CN"/>
              </w:rPr>
            </w:pPr>
            <w:r>
              <w:rPr>
                <w:rFonts w:ascii="Times New Roman" w:hAnsi="Times New Roman"/>
                <w:szCs w:val="21"/>
              </w:rPr>
              <w:t>标准来源</w:t>
            </w:r>
          </w:p>
        </w:tc>
        <w:tc>
          <w:tcPr>
            <w:tcW w:w="1698" w:type="dxa"/>
            <w:tcBorders>
              <w:tl2br w:val="nil"/>
              <w:tr2bl w:val="nil"/>
            </w:tcBorders>
            <w:vAlign w:val="center"/>
          </w:tcPr>
          <w:p w:rsidR="00525419" w:rsidRDefault="00EE1CF7">
            <w:pPr>
              <w:spacing w:line="240" w:lineRule="atLeast"/>
              <w:rPr>
                <w:rFonts w:ascii="Times New Roman" w:hAnsi="Times New Roman"/>
                <w:kern w:val="0"/>
                <w:szCs w:val="21"/>
                <w:lang w:val="zh-CN"/>
              </w:rPr>
            </w:pPr>
            <w:r>
              <w:rPr>
                <w:rFonts w:ascii="Times New Roman" w:hAnsi="Times New Roman"/>
                <w:kern w:val="0"/>
                <w:szCs w:val="21"/>
                <w:lang w:val="zh-CN"/>
              </w:rPr>
              <w:t>监控位置</w:t>
            </w:r>
          </w:p>
        </w:tc>
      </w:tr>
      <w:tr w:rsidR="00525419">
        <w:trPr>
          <w:trHeight w:val="281"/>
          <w:jc w:val="center"/>
        </w:trPr>
        <w:tc>
          <w:tcPr>
            <w:tcW w:w="1113" w:type="dxa"/>
            <w:vMerge w:val="restart"/>
            <w:tcBorders>
              <w:tl2br w:val="nil"/>
              <w:tr2bl w:val="nil"/>
            </w:tcBorders>
            <w:vAlign w:val="center"/>
          </w:tcPr>
          <w:p w:rsidR="00525419" w:rsidRDefault="00EE1CF7">
            <w:pPr>
              <w:spacing w:line="240" w:lineRule="atLeast"/>
              <w:rPr>
                <w:rFonts w:ascii="Times New Roman" w:hAnsi="Times New Roman"/>
                <w:kern w:val="0"/>
                <w:szCs w:val="21"/>
                <w:lang w:val="zh-CN"/>
              </w:rPr>
            </w:pPr>
            <w:r>
              <w:rPr>
                <w:rFonts w:ascii="Times New Roman" w:hAnsi="Times New Roman"/>
                <w:kern w:val="0"/>
                <w:szCs w:val="21"/>
                <w:lang w:val="zh-CN"/>
              </w:rPr>
              <w:t>燃煤锅炉烟气</w:t>
            </w:r>
          </w:p>
        </w:tc>
        <w:tc>
          <w:tcPr>
            <w:tcW w:w="1185" w:type="dxa"/>
            <w:tcBorders>
              <w:tl2br w:val="nil"/>
              <w:tr2bl w:val="nil"/>
            </w:tcBorders>
            <w:vAlign w:val="center"/>
          </w:tcPr>
          <w:p w:rsidR="00525419" w:rsidRDefault="00EE1CF7">
            <w:pPr>
              <w:tabs>
                <w:tab w:val="left" w:pos="360"/>
                <w:tab w:val="left" w:pos="1620"/>
              </w:tabs>
              <w:adjustRightInd w:val="0"/>
              <w:snapToGrid w:val="0"/>
              <w:spacing w:line="240" w:lineRule="atLeast"/>
              <w:rPr>
                <w:rFonts w:ascii="Times New Roman" w:hAnsi="Times New Roman"/>
                <w:kern w:val="0"/>
                <w:szCs w:val="21"/>
                <w:lang w:val="zh-CN"/>
              </w:rPr>
            </w:pPr>
            <w:r>
              <w:rPr>
                <w:rFonts w:ascii="Times New Roman" w:hAnsi="Times New Roman"/>
                <w:szCs w:val="21"/>
              </w:rPr>
              <w:t>烟尘</w:t>
            </w:r>
          </w:p>
        </w:tc>
        <w:tc>
          <w:tcPr>
            <w:tcW w:w="2197" w:type="dxa"/>
            <w:gridSpan w:val="3"/>
            <w:tcBorders>
              <w:tl2br w:val="nil"/>
              <w:tr2bl w:val="nil"/>
            </w:tcBorders>
            <w:vAlign w:val="center"/>
          </w:tcPr>
          <w:p w:rsidR="00525419" w:rsidRDefault="00EE1CF7">
            <w:pPr>
              <w:tabs>
                <w:tab w:val="left" w:pos="360"/>
                <w:tab w:val="left" w:pos="1620"/>
              </w:tabs>
              <w:adjustRightInd w:val="0"/>
              <w:snapToGrid w:val="0"/>
              <w:spacing w:line="240" w:lineRule="atLeast"/>
              <w:rPr>
                <w:rFonts w:ascii="Times New Roman" w:hAnsi="Times New Roman"/>
                <w:kern w:val="0"/>
                <w:szCs w:val="21"/>
              </w:rPr>
            </w:pPr>
            <w:r>
              <w:rPr>
                <w:rFonts w:ascii="Times New Roman" w:hAnsi="Times New Roman"/>
                <w:szCs w:val="21"/>
              </w:rPr>
              <w:t>80</w:t>
            </w:r>
            <w:r>
              <w:rPr>
                <w:rFonts w:ascii="Times New Roman" w:hAnsi="Times New Roman"/>
                <w:kern w:val="0"/>
                <w:szCs w:val="21"/>
              </w:rPr>
              <w:t>mg/m</w:t>
            </w:r>
            <w:r>
              <w:rPr>
                <w:rFonts w:ascii="Times New Roman" w:hAnsi="Times New Roman"/>
                <w:kern w:val="0"/>
                <w:szCs w:val="21"/>
                <w:vertAlign w:val="superscript"/>
              </w:rPr>
              <w:t>3</w:t>
            </w:r>
          </w:p>
        </w:tc>
        <w:tc>
          <w:tcPr>
            <w:tcW w:w="2264" w:type="dxa"/>
            <w:vMerge w:val="restart"/>
            <w:tcBorders>
              <w:tl2br w:val="nil"/>
              <w:tr2bl w:val="nil"/>
            </w:tcBorders>
            <w:vAlign w:val="center"/>
          </w:tcPr>
          <w:p w:rsidR="00525419" w:rsidRDefault="00EE1CF7">
            <w:pPr>
              <w:rPr>
                <w:rFonts w:ascii="Times New Roman" w:hAnsi="Times New Roman"/>
                <w:kern w:val="0"/>
                <w:szCs w:val="21"/>
              </w:rPr>
            </w:pPr>
            <w:r>
              <w:rPr>
                <w:rFonts w:ascii="Times New Roman" w:hAnsi="Times New Roman"/>
                <w:kern w:val="0"/>
                <w:szCs w:val="21"/>
              </w:rPr>
              <w:t>《锅炉大气污染物排放标准》</w:t>
            </w:r>
            <w:r>
              <w:rPr>
                <w:rFonts w:ascii="Times New Roman" w:hAnsi="Times New Roman"/>
                <w:kern w:val="0"/>
                <w:szCs w:val="21"/>
              </w:rPr>
              <w:t>(GB13271-2014)</w:t>
            </w:r>
            <w:r>
              <w:rPr>
                <w:rFonts w:ascii="Times New Roman" w:hAnsi="Times New Roman"/>
                <w:kern w:val="0"/>
                <w:szCs w:val="21"/>
              </w:rPr>
              <w:t>表</w:t>
            </w:r>
            <w:r>
              <w:rPr>
                <w:rFonts w:ascii="Times New Roman" w:hAnsi="Times New Roman"/>
                <w:kern w:val="0"/>
                <w:szCs w:val="21"/>
              </w:rPr>
              <w:t>1</w:t>
            </w:r>
          </w:p>
        </w:tc>
        <w:tc>
          <w:tcPr>
            <w:tcW w:w="1698" w:type="dxa"/>
            <w:vMerge w:val="restart"/>
            <w:tcBorders>
              <w:tl2br w:val="nil"/>
              <w:tr2bl w:val="nil"/>
            </w:tcBorders>
            <w:vAlign w:val="center"/>
          </w:tcPr>
          <w:p w:rsidR="00525419" w:rsidRDefault="00EE1CF7">
            <w:pPr>
              <w:spacing w:line="240" w:lineRule="atLeast"/>
              <w:jc w:val="center"/>
              <w:rPr>
                <w:rFonts w:ascii="Times New Roman" w:hAnsi="Times New Roman"/>
                <w:kern w:val="0"/>
                <w:szCs w:val="21"/>
                <w:lang w:val="zh-CN"/>
              </w:rPr>
            </w:pPr>
            <w:r>
              <w:rPr>
                <w:rFonts w:ascii="Times New Roman" w:hAnsi="Times New Roman"/>
                <w:kern w:val="0"/>
                <w:szCs w:val="21"/>
              </w:rPr>
              <w:t>污染物烟囱采样口</w:t>
            </w:r>
          </w:p>
        </w:tc>
      </w:tr>
      <w:tr w:rsidR="00525419">
        <w:trPr>
          <w:trHeight w:val="249"/>
          <w:jc w:val="center"/>
        </w:trPr>
        <w:tc>
          <w:tcPr>
            <w:tcW w:w="1113" w:type="dxa"/>
            <w:vMerge/>
            <w:tcBorders>
              <w:tl2br w:val="nil"/>
              <w:tr2bl w:val="nil"/>
            </w:tcBorders>
            <w:vAlign w:val="center"/>
          </w:tcPr>
          <w:p w:rsidR="00525419" w:rsidRDefault="00525419">
            <w:pPr>
              <w:spacing w:line="240" w:lineRule="atLeast"/>
              <w:rPr>
                <w:rFonts w:ascii="Times New Roman" w:hAnsi="Times New Roman"/>
                <w:kern w:val="0"/>
                <w:szCs w:val="21"/>
                <w:lang w:val="zh-CN"/>
              </w:rPr>
            </w:pPr>
          </w:p>
        </w:tc>
        <w:tc>
          <w:tcPr>
            <w:tcW w:w="1185" w:type="dxa"/>
            <w:tcBorders>
              <w:tl2br w:val="nil"/>
              <w:tr2bl w:val="nil"/>
            </w:tcBorders>
            <w:vAlign w:val="center"/>
          </w:tcPr>
          <w:p w:rsidR="00525419" w:rsidRDefault="00EE1CF7">
            <w:pPr>
              <w:snapToGrid w:val="0"/>
              <w:rPr>
                <w:rFonts w:ascii="Times New Roman" w:hAnsi="Times New Roman"/>
                <w:szCs w:val="24"/>
              </w:rPr>
            </w:pPr>
            <w:r>
              <w:rPr>
                <w:rFonts w:ascii="Times New Roman" w:hAnsi="Times New Roman"/>
                <w:szCs w:val="24"/>
              </w:rPr>
              <w:t>SO</w:t>
            </w:r>
            <w:r>
              <w:rPr>
                <w:rFonts w:ascii="Times New Roman" w:hAnsi="Times New Roman"/>
                <w:szCs w:val="24"/>
                <w:vertAlign w:val="subscript"/>
              </w:rPr>
              <w:t>2</w:t>
            </w:r>
          </w:p>
        </w:tc>
        <w:tc>
          <w:tcPr>
            <w:tcW w:w="2197" w:type="dxa"/>
            <w:gridSpan w:val="3"/>
            <w:tcBorders>
              <w:tl2br w:val="nil"/>
              <w:tr2bl w:val="nil"/>
            </w:tcBorders>
            <w:vAlign w:val="center"/>
          </w:tcPr>
          <w:p w:rsidR="00525419" w:rsidRDefault="00EE1CF7">
            <w:pPr>
              <w:snapToGrid w:val="0"/>
              <w:rPr>
                <w:rFonts w:ascii="Times New Roman" w:hAnsi="Times New Roman"/>
                <w:szCs w:val="24"/>
              </w:rPr>
            </w:pPr>
            <w:r>
              <w:rPr>
                <w:rFonts w:ascii="Times New Roman" w:hAnsi="Times New Roman"/>
                <w:szCs w:val="24"/>
              </w:rPr>
              <w:t>400</w:t>
            </w:r>
            <w:r>
              <w:rPr>
                <w:rFonts w:ascii="Times New Roman" w:hAnsi="Times New Roman"/>
                <w:szCs w:val="21"/>
              </w:rPr>
              <w:t xml:space="preserve"> mg/m</w:t>
            </w:r>
            <w:r>
              <w:rPr>
                <w:rFonts w:ascii="Times New Roman" w:hAnsi="Times New Roman"/>
                <w:szCs w:val="21"/>
                <w:vertAlign w:val="superscript"/>
              </w:rPr>
              <w:t>3</w:t>
            </w:r>
          </w:p>
        </w:tc>
        <w:tc>
          <w:tcPr>
            <w:tcW w:w="2264" w:type="dxa"/>
            <w:vMerge/>
            <w:tcBorders>
              <w:tl2br w:val="nil"/>
              <w:tr2bl w:val="nil"/>
            </w:tcBorders>
            <w:vAlign w:val="center"/>
          </w:tcPr>
          <w:p w:rsidR="00525419" w:rsidRDefault="00525419">
            <w:pPr>
              <w:rPr>
                <w:rFonts w:ascii="Times New Roman" w:hAnsi="Times New Roman"/>
                <w:kern w:val="0"/>
                <w:szCs w:val="21"/>
              </w:rPr>
            </w:pPr>
          </w:p>
        </w:tc>
        <w:tc>
          <w:tcPr>
            <w:tcW w:w="1698" w:type="dxa"/>
            <w:vMerge/>
            <w:tcBorders>
              <w:tl2br w:val="nil"/>
              <w:tr2bl w:val="nil"/>
            </w:tcBorders>
            <w:vAlign w:val="center"/>
          </w:tcPr>
          <w:p w:rsidR="00525419" w:rsidRDefault="00525419">
            <w:pPr>
              <w:spacing w:line="240" w:lineRule="atLeast"/>
              <w:jc w:val="center"/>
              <w:rPr>
                <w:rFonts w:ascii="Times New Roman" w:hAnsi="Times New Roman"/>
                <w:kern w:val="0"/>
                <w:szCs w:val="21"/>
                <w:lang w:val="zh-CN"/>
              </w:rPr>
            </w:pPr>
          </w:p>
        </w:tc>
      </w:tr>
      <w:tr w:rsidR="00525419">
        <w:trPr>
          <w:trHeight w:val="249"/>
          <w:jc w:val="center"/>
        </w:trPr>
        <w:tc>
          <w:tcPr>
            <w:tcW w:w="1113" w:type="dxa"/>
            <w:vMerge/>
            <w:tcBorders>
              <w:tl2br w:val="nil"/>
              <w:tr2bl w:val="nil"/>
            </w:tcBorders>
            <w:vAlign w:val="center"/>
          </w:tcPr>
          <w:p w:rsidR="00525419" w:rsidRDefault="00525419">
            <w:pPr>
              <w:spacing w:line="240" w:lineRule="atLeast"/>
              <w:rPr>
                <w:rFonts w:ascii="Times New Roman" w:hAnsi="Times New Roman"/>
                <w:kern w:val="0"/>
                <w:szCs w:val="21"/>
                <w:lang w:val="zh-CN"/>
              </w:rPr>
            </w:pPr>
          </w:p>
        </w:tc>
        <w:tc>
          <w:tcPr>
            <w:tcW w:w="1185" w:type="dxa"/>
            <w:tcBorders>
              <w:tl2br w:val="nil"/>
              <w:tr2bl w:val="nil"/>
            </w:tcBorders>
            <w:vAlign w:val="center"/>
          </w:tcPr>
          <w:p w:rsidR="00525419" w:rsidRDefault="00EE1CF7">
            <w:pPr>
              <w:snapToGrid w:val="0"/>
              <w:rPr>
                <w:rFonts w:ascii="Times New Roman" w:hAnsi="Times New Roman"/>
                <w:szCs w:val="24"/>
              </w:rPr>
            </w:pPr>
            <w:r>
              <w:rPr>
                <w:rFonts w:ascii="Times New Roman" w:hAnsi="Times New Roman"/>
                <w:szCs w:val="24"/>
              </w:rPr>
              <w:t>NOx</w:t>
            </w:r>
          </w:p>
        </w:tc>
        <w:tc>
          <w:tcPr>
            <w:tcW w:w="2197" w:type="dxa"/>
            <w:gridSpan w:val="3"/>
            <w:tcBorders>
              <w:tl2br w:val="nil"/>
              <w:tr2bl w:val="nil"/>
            </w:tcBorders>
            <w:vAlign w:val="center"/>
          </w:tcPr>
          <w:p w:rsidR="00525419" w:rsidRDefault="00EE1CF7">
            <w:pPr>
              <w:snapToGrid w:val="0"/>
              <w:rPr>
                <w:rFonts w:ascii="Times New Roman" w:hAnsi="Times New Roman"/>
                <w:szCs w:val="24"/>
              </w:rPr>
            </w:pPr>
            <w:r>
              <w:rPr>
                <w:rFonts w:ascii="Times New Roman" w:hAnsi="Times New Roman"/>
                <w:szCs w:val="24"/>
              </w:rPr>
              <w:t>400</w:t>
            </w:r>
            <w:r>
              <w:rPr>
                <w:rFonts w:ascii="Times New Roman" w:hAnsi="Times New Roman"/>
                <w:szCs w:val="21"/>
              </w:rPr>
              <w:t xml:space="preserve"> mg/m</w:t>
            </w:r>
            <w:r>
              <w:rPr>
                <w:rFonts w:ascii="Times New Roman" w:hAnsi="Times New Roman"/>
                <w:szCs w:val="21"/>
                <w:vertAlign w:val="superscript"/>
              </w:rPr>
              <w:t>3</w:t>
            </w:r>
          </w:p>
        </w:tc>
        <w:tc>
          <w:tcPr>
            <w:tcW w:w="2264" w:type="dxa"/>
            <w:vMerge/>
            <w:tcBorders>
              <w:tl2br w:val="nil"/>
              <w:tr2bl w:val="nil"/>
            </w:tcBorders>
            <w:vAlign w:val="center"/>
          </w:tcPr>
          <w:p w:rsidR="00525419" w:rsidRDefault="00525419">
            <w:pPr>
              <w:rPr>
                <w:rFonts w:ascii="Times New Roman" w:hAnsi="Times New Roman"/>
                <w:kern w:val="0"/>
                <w:szCs w:val="21"/>
              </w:rPr>
            </w:pPr>
          </w:p>
        </w:tc>
        <w:tc>
          <w:tcPr>
            <w:tcW w:w="1698" w:type="dxa"/>
            <w:vMerge/>
            <w:tcBorders>
              <w:tl2br w:val="nil"/>
              <w:tr2bl w:val="nil"/>
            </w:tcBorders>
            <w:vAlign w:val="center"/>
          </w:tcPr>
          <w:p w:rsidR="00525419" w:rsidRDefault="00525419">
            <w:pPr>
              <w:spacing w:line="240" w:lineRule="atLeast"/>
              <w:jc w:val="center"/>
              <w:rPr>
                <w:rFonts w:ascii="Times New Roman" w:hAnsi="Times New Roman"/>
                <w:kern w:val="0"/>
                <w:szCs w:val="21"/>
                <w:lang w:val="zh-CN"/>
              </w:rPr>
            </w:pPr>
          </w:p>
        </w:tc>
      </w:tr>
      <w:tr w:rsidR="00525419">
        <w:trPr>
          <w:trHeight w:val="319"/>
          <w:jc w:val="center"/>
        </w:trPr>
        <w:tc>
          <w:tcPr>
            <w:tcW w:w="1113" w:type="dxa"/>
            <w:vMerge/>
            <w:tcBorders>
              <w:tl2br w:val="nil"/>
              <w:tr2bl w:val="nil"/>
            </w:tcBorders>
            <w:vAlign w:val="center"/>
          </w:tcPr>
          <w:p w:rsidR="00525419" w:rsidRDefault="00525419">
            <w:pPr>
              <w:spacing w:line="240" w:lineRule="atLeast"/>
              <w:rPr>
                <w:rFonts w:ascii="Times New Roman" w:hAnsi="Times New Roman"/>
                <w:kern w:val="0"/>
                <w:szCs w:val="21"/>
                <w:lang w:val="zh-CN"/>
              </w:rPr>
            </w:pPr>
          </w:p>
        </w:tc>
        <w:tc>
          <w:tcPr>
            <w:tcW w:w="1185" w:type="dxa"/>
            <w:tcBorders>
              <w:tl2br w:val="nil"/>
              <w:tr2bl w:val="nil"/>
            </w:tcBorders>
            <w:vAlign w:val="center"/>
          </w:tcPr>
          <w:p w:rsidR="00525419" w:rsidRDefault="00EE1CF7">
            <w:pPr>
              <w:spacing w:line="240" w:lineRule="atLeast"/>
              <w:rPr>
                <w:rFonts w:ascii="Times New Roman" w:hAnsi="Times New Roman"/>
                <w:kern w:val="0"/>
                <w:szCs w:val="21"/>
                <w:lang w:val="zh-CN"/>
              </w:rPr>
            </w:pPr>
            <w:r>
              <w:rPr>
                <w:rFonts w:ascii="Times New Roman" w:hAnsi="Times New Roman"/>
                <w:kern w:val="0"/>
                <w:szCs w:val="21"/>
                <w:lang w:val="zh-CN"/>
              </w:rPr>
              <w:t>汞及其化合物</w:t>
            </w:r>
          </w:p>
        </w:tc>
        <w:tc>
          <w:tcPr>
            <w:tcW w:w="2197" w:type="dxa"/>
            <w:gridSpan w:val="3"/>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0.05 mg/m</w:t>
            </w:r>
            <w:r>
              <w:rPr>
                <w:rFonts w:ascii="Times New Roman" w:hAnsi="Times New Roman"/>
                <w:szCs w:val="21"/>
                <w:vertAlign w:val="superscript"/>
              </w:rPr>
              <w:t>3</w:t>
            </w:r>
          </w:p>
        </w:tc>
        <w:tc>
          <w:tcPr>
            <w:tcW w:w="2264" w:type="dxa"/>
            <w:vMerge/>
            <w:tcBorders>
              <w:tl2br w:val="nil"/>
              <w:tr2bl w:val="nil"/>
            </w:tcBorders>
            <w:vAlign w:val="center"/>
          </w:tcPr>
          <w:p w:rsidR="00525419" w:rsidRDefault="00525419">
            <w:pPr>
              <w:rPr>
                <w:rFonts w:ascii="Times New Roman" w:hAnsi="Times New Roman"/>
                <w:kern w:val="0"/>
                <w:szCs w:val="21"/>
              </w:rPr>
            </w:pPr>
          </w:p>
        </w:tc>
        <w:tc>
          <w:tcPr>
            <w:tcW w:w="1698" w:type="dxa"/>
            <w:vMerge/>
            <w:tcBorders>
              <w:tl2br w:val="nil"/>
              <w:tr2bl w:val="nil"/>
            </w:tcBorders>
            <w:vAlign w:val="center"/>
          </w:tcPr>
          <w:p w:rsidR="00525419" w:rsidRDefault="00525419">
            <w:pPr>
              <w:spacing w:line="240" w:lineRule="atLeast"/>
              <w:jc w:val="center"/>
              <w:rPr>
                <w:rFonts w:ascii="Times New Roman" w:hAnsi="Times New Roman"/>
                <w:kern w:val="0"/>
                <w:szCs w:val="21"/>
                <w:lang w:val="zh-CN"/>
              </w:rPr>
            </w:pPr>
          </w:p>
        </w:tc>
      </w:tr>
      <w:tr w:rsidR="00525419">
        <w:trPr>
          <w:trHeight w:val="319"/>
          <w:jc w:val="center"/>
        </w:trPr>
        <w:tc>
          <w:tcPr>
            <w:tcW w:w="1113" w:type="dxa"/>
            <w:vMerge w:val="restart"/>
            <w:tcBorders>
              <w:tl2br w:val="nil"/>
              <w:tr2bl w:val="nil"/>
            </w:tcBorders>
            <w:vAlign w:val="center"/>
          </w:tcPr>
          <w:p w:rsidR="00525419" w:rsidRDefault="00EE1CF7">
            <w:pPr>
              <w:spacing w:line="240" w:lineRule="atLeast"/>
              <w:rPr>
                <w:rFonts w:ascii="Times New Roman" w:hAnsi="Times New Roman"/>
                <w:kern w:val="0"/>
                <w:szCs w:val="21"/>
                <w:lang w:val="zh-CN"/>
              </w:rPr>
            </w:pPr>
            <w:r>
              <w:rPr>
                <w:rFonts w:ascii="Times New Roman" w:hAnsi="Times New Roman"/>
                <w:kern w:val="0"/>
                <w:szCs w:val="21"/>
                <w:lang w:val="zh-CN"/>
              </w:rPr>
              <w:t>燃煤导热油炉</w:t>
            </w:r>
          </w:p>
        </w:tc>
        <w:tc>
          <w:tcPr>
            <w:tcW w:w="1185" w:type="dxa"/>
            <w:tcBorders>
              <w:tl2br w:val="nil"/>
              <w:tr2bl w:val="nil"/>
            </w:tcBorders>
            <w:vAlign w:val="center"/>
          </w:tcPr>
          <w:p w:rsidR="00525419" w:rsidRDefault="00EE1CF7">
            <w:pPr>
              <w:tabs>
                <w:tab w:val="left" w:pos="360"/>
                <w:tab w:val="left" w:pos="1620"/>
              </w:tabs>
              <w:adjustRightInd w:val="0"/>
              <w:snapToGrid w:val="0"/>
              <w:spacing w:line="240" w:lineRule="atLeast"/>
              <w:rPr>
                <w:rFonts w:ascii="Times New Roman" w:hAnsi="Times New Roman"/>
                <w:kern w:val="0"/>
                <w:szCs w:val="21"/>
                <w:lang w:val="zh-CN"/>
              </w:rPr>
            </w:pPr>
            <w:r>
              <w:rPr>
                <w:rFonts w:ascii="Times New Roman" w:hAnsi="Times New Roman"/>
                <w:szCs w:val="21"/>
              </w:rPr>
              <w:t>烟尘</w:t>
            </w:r>
          </w:p>
        </w:tc>
        <w:tc>
          <w:tcPr>
            <w:tcW w:w="2197" w:type="dxa"/>
            <w:gridSpan w:val="3"/>
            <w:tcBorders>
              <w:tl2br w:val="nil"/>
              <w:tr2bl w:val="nil"/>
            </w:tcBorders>
            <w:vAlign w:val="center"/>
          </w:tcPr>
          <w:p w:rsidR="00525419" w:rsidRDefault="00EE1CF7">
            <w:pPr>
              <w:tabs>
                <w:tab w:val="left" w:pos="360"/>
                <w:tab w:val="left" w:pos="1620"/>
              </w:tabs>
              <w:adjustRightInd w:val="0"/>
              <w:snapToGrid w:val="0"/>
              <w:spacing w:line="240" w:lineRule="atLeast"/>
              <w:rPr>
                <w:rFonts w:ascii="Times New Roman" w:hAnsi="Times New Roman"/>
                <w:kern w:val="0"/>
                <w:szCs w:val="21"/>
              </w:rPr>
            </w:pPr>
            <w:r>
              <w:rPr>
                <w:rFonts w:ascii="Times New Roman" w:hAnsi="Times New Roman"/>
                <w:szCs w:val="21"/>
              </w:rPr>
              <w:t>50</w:t>
            </w:r>
            <w:r>
              <w:rPr>
                <w:rFonts w:ascii="Times New Roman" w:hAnsi="Times New Roman"/>
                <w:kern w:val="0"/>
                <w:szCs w:val="21"/>
              </w:rPr>
              <w:t>mg/m</w:t>
            </w:r>
            <w:r>
              <w:rPr>
                <w:rFonts w:ascii="Times New Roman" w:hAnsi="Times New Roman"/>
                <w:kern w:val="0"/>
                <w:szCs w:val="21"/>
                <w:vertAlign w:val="superscript"/>
              </w:rPr>
              <w:t>3</w:t>
            </w:r>
          </w:p>
        </w:tc>
        <w:tc>
          <w:tcPr>
            <w:tcW w:w="2264" w:type="dxa"/>
            <w:vMerge w:val="restart"/>
            <w:tcBorders>
              <w:tl2br w:val="nil"/>
              <w:tr2bl w:val="nil"/>
            </w:tcBorders>
            <w:vAlign w:val="center"/>
          </w:tcPr>
          <w:p w:rsidR="00525419" w:rsidRDefault="00EE1CF7">
            <w:pPr>
              <w:rPr>
                <w:rFonts w:ascii="Times New Roman" w:hAnsi="Times New Roman"/>
                <w:kern w:val="0"/>
                <w:szCs w:val="21"/>
              </w:rPr>
            </w:pPr>
            <w:r>
              <w:rPr>
                <w:rFonts w:ascii="Times New Roman" w:hAnsi="Times New Roman"/>
                <w:kern w:val="0"/>
                <w:szCs w:val="21"/>
              </w:rPr>
              <w:t>《锅炉大气污染物排放标准》</w:t>
            </w:r>
            <w:r>
              <w:rPr>
                <w:rFonts w:ascii="Times New Roman" w:hAnsi="Times New Roman"/>
                <w:kern w:val="0"/>
                <w:szCs w:val="21"/>
              </w:rPr>
              <w:t>(GB13271-2014)</w:t>
            </w:r>
            <w:r>
              <w:rPr>
                <w:rFonts w:ascii="Times New Roman" w:hAnsi="Times New Roman"/>
                <w:kern w:val="0"/>
                <w:szCs w:val="21"/>
              </w:rPr>
              <w:t>表</w:t>
            </w:r>
            <w:r>
              <w:rPr>
                <w:rFonts w:ascii="Times New Roman" w:hAnsi="Times New Roman"/>
                <w:kern w:val="0"/>
                <w:szCs w:val="21"/>
              </w:rPr>
              <w:t>2</w:t>
            </w:r>
          </w:p>
        </w:tc>
        <w:tc>
          <w:tcPr>
            <w:tcW w:w="1698" w:type="dxa"/>
            <w:vMerge w:val="restart"/>
            <w:tcBorders>
              <w:tl2br w:val="nil"/>
              <w:tr2bl w:val="nil"/>
            </w:tcBorders>
            <w:vAlign w:val="center"/>
          </w:tcPr>
          <w:p w:rsidR="00525419" w:rsidRDefault="00EE1CF7">
            <w:pPr>
              <w:spacing w:line="240" w:lineRule="atLeast"/>
              <w:jc w:val="center"/>
              <w:rPr>
                <w:rFonts w:ascii="Times New Roman" w:hAnsi="Times New Roman"/>
                <w:kern w:val="0"/>
                <w:szCs w:val="21"/>
                <w:lang w:val="zh-CN"/>
              </w:rPr>
            </w:pPr>
            <w:r>
              <w:rPr>
                <w:rFonts w:ascii="Times New Roman" w:hAnsi="Times New Roman"/>
                <w:kern w:val="0"/>
                <w:szCs w:val="21"/>
              </w:rPr>
              <w:t>污染物烟囱采样口</w:t>
            </w:r>
          </w:p>
        </w:tc>
      </w:tr>
      <w:tr w:rsidR="00525419">
        <w:trPr>
          <w:trHeight w:val="319"/>
          <w:jc w:val="center"/>
        </w:trPr>
        <w:tc>
          <w:tcPr>
            <w:tcW w:w="1113" w:type="dxa"/>
            <w:vMerge/>
            <w:tcBorders>
              <w:tl2br w:val="nil"/>
              <w:tr2bl w:val="nil"/>
            </w:tcBorders>
            <w:vAlign w:val="center"/>
          </w:tcPr>
          <w:p w:rsidR="00525419" w:rsidRDefault="00525419">
            <w:pPr>
              <w:spacing w:line="240" w:lineRule="atLeast"/>
              <w:rPr>
                <w:rFonts w:ascii="Times New Roman" w:hAnsi="Times New Roman"/>
                <w:kern w:val="0"/>
                <w:szCs w:val="21"/>
                <w:lang w:val="zh-CN"/>
              </w:rPr>
            </w:pPr>
          </w:p>
        </w:tc>
        <w:tc>
          <w:tcPr>
            <w:tcW w:w="1185" w:type="dxa"/>
            <w:tcBorders>
              <w:tl2br w:val="nil"/>
              <w:tr2bl w:val="nil"/>
            </w:tcBorders>
            <w:vAlign w:val="center"/>
          </w:tcPr>
          <w:p w:rsidR="00525419" w:rsidRDefault="00EE1CF7">
            <w:pPr>
              <w:snapToGrid w:val="0"/>
              <w:rPr>
                <w:rFonts w:ascii="Times New Roman" w:hAnsi="Times New Roman"/>
                <w:szCs w:val="24"/>
                <w:lang w:val="zh-CN"/>
              </w:rPr>
            </w:pPr>
            <w:r>
              <w:rPr>
                <w:rFonts w:ascii="Times New Roman" w:hAnsi="Times New Roman"/>
                <w:szCs w:val="24"/>
              </w:rPr>
              <w:t>SO</w:t>
            </w:r>
            <w:r>
              <w:rPr>
                <w:rFonts w:ascii="Times New Roman" w:hAnsi="Times New Roman"/>
                <w:szCs w:val="24"/>
                <w:vertAlign w:val="subscript"/>
              </w:rPr>
              <w:t>2</w:t>
            </w:r>
          </w:p>
        </w:tc>
        <w:tc>
          <w:tcPr>
            <w:tcW w:w="2197" w:type="dxa"/>
            <w:gridSpan w:val="3"/>
            <w:tcBorders>
              <w:tl2br w:val="nil"/>
              <w:tr2bl w:val="nil"/>
            </w:tcBorders>
            <w:vAlign w:val="center"/>
          </w:tcPr>
          <w:p w:rsidR="00525419" w:rsidRDefault="00EE1CF7">
            <w:pPr>
              <w:snapToGrid w:val="0"/>
              <w:rPr>
                <w:rFonts w:ascii="Times New Roman" w:hAnsi="Times New Roman"/>
                <w:szCs w:val="24"/>
              </w:rPr>
            </w:pPr>
            <w:r>
              <w:rPr>
                <w:rFonts w:ascii="Times New Roman" w:hAnsi="Times New Roman"/>
                <w:szCs w:val="24"/>
              </w:rPr>
              <w:t>300</w:t>
            </w:r>
            <w:r>
              <w:rPr>
                <w:rFonts w:ascii="Times New Roman" w:hAnsi="Times New Roman"/>
                <w:szCs w:val="21"/>
              </w:rPr>
              <w:t xml:space="preserve"> mg/m</w:t>
            </w:r>
            <w:r>
              <w:rPr>
                <w:rFonts w:ascii="Times New Roman" w:hAnsi="Times New Roman"/>
                <w:szCs w:val="21"/>
                <w:vertAlign w:val="superscript"/>
              </w:rPr>
              <w:t>3</w:t>
            </w:r>
          </w:p>
        </w:tc>
        <w:tc>
          <w:tcPr>
            <w:tcW w:w="2264" w:type="dxa"/>
            <w:vMerge/>
            <w:tcBorders>
              <w:tl2br w:val="nil"/>
              <w:tr2bl w:val="nil"/>
            </w:tcBorders>
            <w:vAlign w:val="center"/>
          </w:tcPr>
          <w:p w:rsidR="00525419" w:rsidRDefault="00525419">
            <w:pPr>
              <w:rPr>
                <w:rFonts w:ascii="Times New Roman" w:hAnsi="Times New Roman"/>
                <w:kern w:val="0"/>
                <w:szCs w:val="21"/>
              </w:rPr>
            </w:pPr>
          </w:p>
        </w:tc>
        <w:tc>
          <w:tcPr>
            <w:tcW w:w="1698" w:type="dxa"/>
            <w:vMerge/>
            <w:tcBorders>
              <w:tl2br w:val="nil"/>
              <w:tr2bl w:val="nil"/>
            </w:tcBorders>
            <w:vAlign w:val="center"/>
          </w:tcPr>
          <w:p w:rsidR="00525419" w:rsidRDefault="00525419">
            <w:pPr>
              <w:spacing w:line="240" w:lineRule="atLeast"/>
              <w:jc w:val="center"/>
              <w:rPr>
                <w:rFonts w:ascii="Times New Roman" w:hAnsi="Times New Roman"/>
                <w:kern w:val="0"/>
                <w:szCs w:val="21"/>
                <w:lang w:val="zh-CN"/>
              </w:rPr>
            </w:pPr>
          </w:p>
        </w:tc>
      </w:tr>
      <w:tr w:rsidR="00525419">
        <w:trPr>
          <w:trHeight w:val="319"/>
          <w:jc w:val="center"/>
        </w:trPr>
        <w:tc>
          <w:tcPr>
            <w:tcW w:w="1113" w:type="dxa"/>
            <w:vMerge/>
            <w:tcBorders>
              <w:tl2br w:val="nil"/>
              <w:tr2bl w:val="nil"/>
            </w:tcBorders>
            <w:vAlign w:val="center"/>
          </w:tcPr>
          <w:p w:rsidR="00525419" w:rsidRDefault="00525419">
            <w:pPr>
              <w:spacing w:line="240" w:lineRule="atLeast"/>
              <w:rPr>
                <w:rFonts w:ascii="Times New Roman" w:hAnsi="Times New Roman"/>
                <w:kern w:val="0"/>
                <w:szCs w:val="21"/>
                <w:lang w:val="zh-CN"/>
              </w:rPr>
            </w:pPr>
          </w:p>
        </w:tc>
        <w:tc>
          <w:tcPr>
            <w:tcW w:w="1185" w:type="dxa"/>
            <w:tcBorders>
              <w:tl2br w:val="nil"/>
              <w:tr2bl w:val="nil"/>
            </w:tcBorders>
            <w:vAlign w:val="center"/>
          </w:tcPr>
          <w:p w:rsidR="00525419" w:rsidRDefault="00EE1CF7">
            <w:pPr>
              <w:snapToGrid w:val="0"/>
              <w:rPr>
                <w:rFonts w:ascii="Times New Roman" w:hAnsi="Times New Roman"/>
                <w:szCs w:val="24"/>
                <w:lang w:val="zh-CN"/>
              </w:rPr>
            </w:pPr>
            <w:r>
              <w:rPr>
                <w:rFonts w:ascii="Times New Roman" w:hAnsi="Times New Roman"/>
                <w:szCs w:val="24"/>
              </w:rPr>
              <w:t>NOx</w:t>
            </w:r>
          </w:p>
        </w:tc>
        <w:tc>
          <w:tcPr>
            <w:tcW w:w="2197" w:type="dxa"/>
            <w:gridSpan w:val="3"/>
            <w:tcBorders>
              <w:tl2br w:val="nil"/>
              <w:tr2bl w:val="nil"/>
            </w:tcBorders>
            <w:vAlign w:val="center"/>
          </w:tcPr>
          <w:p w:rsidR="00525419" w:rsidRDefault="00EE1CF7">
            <w:pPr>
              <w:snapToGrid w:val="0"/>
              <w:rPr>
                <w:rFonts w:ascii="Times New Roman" w:hAnsi="Times New Roman"/>
                <w:szCs w:val="24"/>
              </w:rPr>
            </w:pPr>
            <w:r>
              <w:rPr>
                <w:rFonts w:ascii="Times New Roman" w:hAnsi="Times New Roman"/>
                <w:szCs w:val="24"/>
              </w:rPr>
              <w:t>300</w:t>
            </w:r>
            <w:r>
              <w:rPr>
                <w:rFonts w:ascii="Times New Roman" w:hAnsi="Times New Roman"/>
                <w:szCs w:val="21"/>
              </w:rPr>
              <w:t xml:space="preserve"> mg/m</w:t>
            </w:r>
            <w:r>
              <w:rPr>
                <w:rFonts w:ascii="Times New Roman" w:hAnsi="Times New Roman"/>
                <w:szCs w:val="21"/>
                <w:vertAlign w:val="superscript"/>
              </w:rPr>
              <w:t>3</w:t>
            </w:r>
          </w:p>
        </w:tc>
        <w:tc>
          <w:tcPr>
            <w:tcW w:w="2264" w:type="dxa"/>
            <w:vMerge/>
            <w:tcBorders>
              <w:tl2br w:val="nil"/>
              <w:tr2bl w:val="nil"/>
            </w:tcBorders>
            <w:vAlign w:val="center"/>
          </w:tcPr>
          <w:p w:rsidR="00525419" w:rsidRDefault="00525419">
            <w:pPr>
              <w:rPr>
                <w:rFonts w:ascii="Times New Roman" w:hAnsi="Times New Roman"/>
                <w:kern w:val="0"/>
                <w:szCs w:val="21"/>
              </w:rPr>
            </w:pPr>
          </w:p>
        </w:tc>
        <w:tc>
          <w:tcPr>
            <w:tcW w:w="1698" w:type="dxa"/>
            <w:vMerge/>
            <w:tcBorders>
              <w:tl2br w:val="nil"/>
              <w:tr2bl w:val="nil"/>
            </w:tcBorders>
            <w:vAlign w:val="center"/>
          </w:tcPr>
          <w:p w:rsidR="00525419" w:rsidRDefault="00525419">
            <w:pPr>
              <w:spacing w:line="240" w:lineRule="atLeast"/>
              <w:jc w:val="center"/>
              <w:rPr>
                <w:rFonts w:ascii="Times New Roman" w:hAnsi="Times New Roman"/>
                <w:kern w:val="0"/>
                <w:szCs w:val="21"/>
                <w:lang w:val="zh-CN"/>
              </w:rPr>
            </w:pPr>
          </w:p>
        </w:tc>
      </w:tr>
      <w:tr w:rsidR="00525419">
        <w:trPr>
          <w:trHeight w:val="90"/>
          <w:jc w:val="center"/>
        </w:trPr>
        <w:tc>
          <w:tcPr>
            <w:tcW w:w="1113" w:type="dxa"/>
            <w:vMerge w:val="restart"/>
            <w:tcBorders>
              <w:tl2br w:val="nil"/>
              <w:tr2bl w:val="nil"/>
            </w:tcBorders>
            <w:vAlign w:val="center"/>
          </w:tcPr>
          <w:p w:rsidR="00525419" w:rsidRDefault="00EE1CF7">
            <w:pPr>
              <w:rPr>
                <w:rFonts w:ascii="Times New Roman" w:hAnsi="Times New Roman"/>
                <w:szCs w:val="24"/>
              </w:rPr>
            </w:pPr>
            <w:r>
              <w:rPr>
                <w:rFonts w:ascii="Times New Roman" w:hAnsi="Times New Roman"/>
                <w:szCs w:val="24"/>
              </w:rPr>
              <w:t>加热炉烟气</w:t>
            </w:r>
          </w:p>
        </w:tc>
        <w:tc>
          <w:tcPr>
            <w:tcW w:w="1185" w:type="dxa"/>
            <w:tcBorders>
              <w:tl2br w:val="nil"/>
              <w:tr2bl w:val="nil"/>
            </w:tcBorders>
            <w:vAlign w:val="center"/>
          </w:tcPr>
          <w:p w:rsidR="00525419" w:rsidRDefault="00EE1CF7">
            <w:pPr>
              <w:tabs>
                <w:tab w:val="left" w:pos="360"/>
                <w:tab w:val="left" w:pos="1620"/>
              </w:tabs>
              <w:adjustRightInd w:val="0"/>
              <w:snapToGrid w:val="0"/>
              <w:spacing w:line="240" w:lineRule="atLeast"/>
              <w:rPr>
                <w:rFonts w:ascii="Times New Roman" w:hAnsi="Times New Roman"/>
                <w:kern w:val="0"/>
                <w:szCs w:val="21"/>
                <w:lang w:val="zh-CN"/>
              </w:rPr>
            </w:pPr>
            <w:r>
              <w:rPr>
                <w:rFonts w:ascii="Times New Roman" w:hAnsi="Times New Roman"/>
                <w:szCs w:val="21"/>
              </w:rPr>
              <w:t>烟尘</w:t>
            </w:r>
          </w:p>
        </w:tc>
        <w:tc>
          <w:tcPr>
            <w:tcW w:w="2197" w:type="dxa"/>
            <w:gridSpan w:val="3"/>
            <w:tcBorders>
              <w:tl2br w:val="nil"/>
              <w:tr2bl w:val="nil"/>
            </w:tcBorders>
            <w:vAlign w:val="center"/>
          </w:tcPr>
          <w:p w:rsidR="00525419" w:rsidRDefault="00EE1CF7">
            <w:pPr>
              <w:tabs>
                <w:tab w:val="left" w:pos="360"/>
                <w:tab w:val="left" w:pos="1620"/>
              </w:tabs>
              <w:adjustRightInd w:val="0"/>
              <w:snapToGrid w:val="0"/>
              <w:spacing w:line="240" w:lineRule="atLeast"/>
              <w:rPr>
                <w:rFonts w:ascii="Times New Roman" w:hAnsi="Times New Roman"/>
                <w:kern w:val="0"/>
                <w:szCs w:val="21"/>
              </w:rPr>
            </w:pPr>
            <w:r>
              <w:rPr>
                <w:rFonts w:ascii="Times New Roman" w:hAnsi="Times New Roman"/>
                <w:szCs w:val="21"/>
              </w:rPr>
              <w:t>20</w:t>
            </w:r>
            <w:r>
              <w:rPr>
                <w:rFonts w:ascii="Times New Roman" w:hAnsi="Times New Roman"/>
                <w:kern w:val="0"/>
                <w:szCs w:val="21"/>
              </w:rPr>
              <w:t>mg/m</w:t>
            </w:r>
            <w:r>
              <w:rPr>
                <w:rFonts w:ascii="Times New Roman" w:hAnsi="Times New Roman"/>
                <w:kern w:val="0"/>
                <w:szCs w:val="21"/>
                <w:vertAlign w:val="superscript"/>
              </w:rPr>
              <w:t>3</w:t>
            </w:r>
          </w:p>
        </w:tc>
        <w:tc>
          <w:tcPr>
            <w:tcW w:w="2264" w:type="dxa"/>
            <w:vMerge w:val="restart"/>
            <w:tcBorders>
              <w:tl2br w:val="nil"/>
              <w:tr2bl w:val="nil"/>
            </w:tcBorders>
            <w:vAlign w:val="center"/>
          </w:tcPr>
          <w:p w:rsidR="00525419" w:rsidRDefault="00EE1CF7">
            <w:pPr>
              <w:rPr>
                <w:rFonts w:ascii="Times New Roman" w:hAnsi="Times New Roman"/>
                <w:kern w:val="0"/>
                <w:szCs w:val="21"/>
              </w:rPr>
            </w:pPr>
            <w:r>
              <w:rPr>
                <w:rFonts w:ascii="Times New Roman" w:hAnsi="Times New Roman"/>
                <w:kern w:val="0"/>
                <w:szCs w:val="21"/>
              </w:rPr>
              <w:t>《石油炼制工业污染物排放标准》</w:t>
            </w:r>
            <w:r>
              <w:rPr>
                <w:rFonts w:ascii="Times New Roman" w:hAnsi="Times New Roman"/>
                <w:kern w:val="0"/>
                <w:szCs w:val="21"/>
              </w:rPr>
              <w:t>(GB31570-2015)</w:t>
            </w:r>
            <w:r>
              <w:rPr>
                <w:rFonts w:ascii="Times New Roman" w:hAnsi="Times New Roman"/>
                <w:kern w:val="0"/>
                <w:szCs w:val="21"/>
              </w:rPr>
              <w:t>表</w:t>
            </w:r>
            <w:r>
              <w:rPr>
                <w:rFonts w:ascii="Times New Roman" w:hAnsi="Times New Roman"/>
                <w:kern w:val="0"/>
                <w:szCs w:val="21"/>
              </w:rPr>
              <w:t>3</w:t>
            </w:r>
          </w:p>
        </w:tc>
        <w:tc>
          <w:tcPr>
            <w:tcW w:w="1698" w:type="dxa"/>
            <w:vMerge w:val="restart"/>
            <w:tcBorders>
              <w:tl2br w:val="nil"/>
              <w:tr2bl w:val="nil"/>
            </w:tcBorders>
            <w:vAlign w:val="center"/>
          </w:tcPr>
          <w:p w:rsidR="00525419" w:rsidRDefault="00EE1CF7">
            <w:pPr>
              <w:jc w:val="center"/>
              <w:rPr>
                <w:rFonts w:ascii="Times New Roman" w:hAnsi="Times New Roman"/>
                <w:szCs w:val="24"/>
              </w:rPr>
            </w:pPr>
            <w:r>
              <w:rPr>
                <w:rFonts w:ascii="Times New Roman" w:hAnsi="Times New Roman"/>
                <w:kern w:val="0"/>
                <w:szCs w:val="21"/>
              </w:rPr>
              <w:t>污染物排气筒采样口</w:t>
            </w:r>
          </w:p>
        </w:tc>
      </w:tr>
      <w:tr w:rsidR="00525419">
        <w:trPr>
          <w:trHeight w:val="278"/>
          <w:jc w:val="center"/>
        </w:trPr>
        <w:tc>
          <w:tcPr>
            <w:tcW w:w="1113" w:type="dxa"/>
            <w:vMerge/>
            <w:tcBorders>
              <w:tl2br w:val="nil"/>
              <w:tr2bl w:val="nil"/>
            </w:tcBorders>
            <w:vAlign w:val="center"/>
          </w:tcPr>
          <w:p w:rsidR="00525419" w:rsidRDefault="00525419">
            <w:pPr>
              <w:rPr>
                <w:rFonts w:ascii="Times New Roman" w:hAnsi="Times New Roman"/>
                <w:szCs w:val="24"/>
              </w:rPr>
            </w:pPr>
          </w:p>
        </w:tc>
        <w:tc>
          <w:tcPr>
            <w:tcW w:w="1185" w:type="dxa"/>
            <w:tcBorders>
              <w:tl2br w:val="nil"/>
              <w:tr2bl w:val="nil"/>
            </w:tcBorders>
            <w:vAlign w:val="center"/>
          </w:tcPr>
          <w:p w:rsidR="00525419" w:rsidRDefault="00EE1CF7">
            <w:pPr>
              <w:snapToGrid w:val="0"/>
              <w:rPr>
                <w:rFonts w:ascii="Times New Roman" w:hAnsi="Times New Roman"/>
                <w:szCs w:val="24"/>
              </w:rPr>
            </w:pPr>
            <w:r>
              <w:rPr>
                <w:rFonts w:ascii="Times New Roman" w:hAnsi="Times New Roman"/>
                <w:szCs w:val="24"/>
              </w:rPr>
              <w:t>SO</w:t>
            </w:r>
            <w:r>
              <w:rPr>
                <w:rFonts w:ascii="Times New Roman" w:hAnsi="Times New Roman"/>
                <w:szCs w:val="24"/>
                <w:vertAlign w:val="subscript"/>
              </w:rPr>
              <w:t>2</w:t>
            </w:r>
          </w:p>
        </w:tc>
        <w:tc>
          <w:tcPr>
            <w:tcW w:w="2197" w:type="dxa"/>
            <w:gridSpan w:val="3"/>
            <w:tcBorders>
              <w:tl2br w:val="nil"/>
              <w:tr2bl w:val="nil"/>
            </w:tcBorders>
            <w:vAlign w:val="center"/>
          </w:tcPr>
          <w:p w:rsidR="00525419" w:rsidRDefault="00EE1CF7">
            <w:pPr>
              <w:snapToGrid w:val="0"/>
              <w:rPr>
                <w:rFonts w:ascii="Times New Roman" w:hAnsi="Times New Roman"/>
                <w:szCs w:val="24"/>
              </w:rPr>
            </w:pPr>
            <w:r>
              <w:rPr>
                <w:rFonts w:ascii="Times New Roman" w:hAnsi="Times New Roman"/>
                <w:szCs w:val="24"/>
              </w:rPr>
              <w:t>100</w:t>
            </w:r>
            <w:r>
              <w:rPr>
                <w:rFonts w:ascii="Times New Roman" w:hAnsi="Times New Roman"/>
                <w:szCs w:val="21"/>
              </w:rPr>
              <w:t xml:space="preserve"> mg/m</w:t>
            </w:r>
            <w:r>
              <w:rPr>
                <w:rFonts w:ascii="Times New Roman" w:hAnsi="Times New Roman"/>
                <w:szCs w:val="21"/>
                <w:vertAlign w:val="superscript"/>
              </w:rPr>
              <w:t>3</w:t>
            </w:r>
          </w:p>
        </w:tc>
        <w:tc>
          <w:tcPr>
            <w:tcW w:w="2264" w:type="dxa"/>
            <w:vMerge/>
            <w:tcBorders>
              <w:tl2br w:val="nil"/>
              <w:tr2bl w:val="nil"/>
            </w:tcBorders>
            <w:vAlign w:val="center"/>
          </w:tcPr>
          <w:p w:rsidR="00525419" w:rsidRDefault="00525419">
            <w:pPr>
              <w:pStyle w:val="afffff"/>
              <w:snapToGrid w:val="0"/>
            </w:pPr>
          </w:p>
        </w:tc>
        <w:tc>
          <w:tcPr>
            <w:tcW w:w="1698" w:type="dxa"/>
            <w:vMerge/>
            <w:tcBorders>
              <w:tl2br w:val="nil"/>
              <w:tr2bl w:val="nil"/>
            </w:tcBorders>
            <w:vAlign w:val="center"/>
          </w:tcPr>
          <w:p w:rsidR="00525419" w:rsidRDefault="00525419">
            <w:pPr>
              <w:rPr>
                <w:rFonts w:ascii="Times New Roman" w:hAnsi="Times New Roman"/>
                <w:szCs w:val="24"/>
              </w:rPr>
            </w:pPr>
          </w:p>
        </w:tc>
      </w:tr>
      <w:tr w:rsidR="00525419">
        <w:trPr>
          <w:trHeight w:val="90"/>
          <w:jc w:val="center"/>
        </w:trPr>
        <w:tc>
          <w:tcPr>
            <w:tcW w:w="1113" w:type="dxa"/>
            <w:vMerge/>
            <w:tcBorders>
              <w:tl2br w:val="nil"/>
              <w:tr2bl w:val="nil"/>
            </w:tcBorders>
            <w:vAlign w:val="center"/>
          </w:tcPr>
          <w:p w:rsidR="00525419" w:rsidRDefault="00525419">
            <w:pPr>
              <w:rPr>
                <w:rFonts w:ascii="Times New Roman" w:hAnsi="Times New Roman"/>
                <w:szCs w:val="24"/>
              </w:rPr>
            </w:pPr>
          </w:p>
        </w:tc>
        <w:tc>
          <w:tcPr>
            <w:tcW w:w="1185" w:type="dxa"/>
            <w:tcBorders>
              <w:tl2br w:val="nil"/>
              <w:tr2bl w:val="nil"/>
            </w:tcBorders>
            <w:vAlign w:val="center"/>
          </w:tcPr>
          <w:p w:rsidR="00525419" w:rsidRDefault="00EE1CF7">
            <w:pPr>
              <w:snapToGrid w:val="0"/>
              <w:rPr>
                <w:rFonts w:ascii="Times New Roman" w:hAnsi="Times New Roman"/>
                <w:szCs w:val="24"/>
              </w:rPr>
            </w:pPr>
            <w:r>
              <w:rPr>
                <w:rFonts w:ascii="Times New Roman" w:hAnsi="Times New Roman"/>
                <w:szCs w:val="24"/>
              </w:rPr>
              <w:t>NOx</w:t>
            </w:r>
          </w:p>
        </w:tc>
        <w:tc>
          <w:tcPr>
            <w:tcW w:w="2197" w:type="dxa"/>
            <w:gridSpan w:val="3"/>
            <w:tcBorders>
              <w:tl2br w:val="nil"/>
              <w:tr2bl w:val="nil"/>
            </w:tcBorders>
            <w:vAlign w:val="center"/>
          </w:tcPr>
          <w:p w:rsidR="00525419" w:rsidRDefault="00EE1CF7">
            <w:pPr>
              <w:snapToGrid w:val="0"/>
              <w:rPr>
                <w:rFonts w:ascii="Times New Roman" w:hAnsi="Times New Roman"/>
                <w:szCs w:val="24"/>
              </w:rPr>
            </w:pPr>
            <w:r>
              <w:rPr>
                <w:rFonts w:ascii="Times New Roman" w:hAnsi="Times New Roman"/>
                <w:szCs w:val="24"/>
              </w:rPr>
              <w:t>150</w:t>
            </w:r>
            <w:r>
              <w:rPr>
                <w:rFonts w:ascii="Times New Roman" w:hAnsi="Times New Roman"/>
                <w:szCs w:val="21"/>
              </w:rPr>
              <w:t xml:space="preserve"> mg/m</w:t>
            </w:r>
            <w:r>
              <w:rPr>
                <w:rFonts w:ascii="Times New Roman" w:hAnsi="Times New Roman"/>
                <w:szCs w:val="21"/>
                <w:vertAlign w:val="superscript"/>
              </w:rPr>
              <w:t>3</w:t>
            </w:r>
          </w:p>
        </w:tc>
        <w:tc>
          <w:tcPr>
            <w:tcW w:w="2264" w:type="dxa"/>
            <w:vMerge/>
            <w:tcBorders>
              <w:tl2br w:val="nil"/>
              <w:tr2bl w:val="nil"/>
            </w:tcBorders>
            <w:vAlign w:val="center"/>
          </w:tcPr>
          <w:p w:rsidR="00525419" w:rsidRDefault="00525419">
            <w:pPr>
              <w:pStyle w:val="afffff"/>
              <w:snapToGrid w:val="0"/>
            </w:pPr>
          </w:p>
        </w:tc>
        <w:tc>
          <w:tcPr>
            <w:tcW w:w="1698" w:type="dxa"/>
            <w:vMerge/>
            <w:tcBorders>
              <w:tl2br w:val="nil"/>
              <w:tr2bl w:val="nil"/>
            </w:tcBorders>
            <w:vAlign w:val="center"/>
          </w:tcPr>
          <w:p w:rsidR="00525419" w:rsidRDefault="00525419">
            <w:pPr>
              <w:rPr>
                <w:rFonts w:ascii="Times New Roman" w:hAnsi="Times New Roman"/>
                <w:szCs w:val="24"/>
              </w:rPr>
            </w:pPr>
          </w:p>
        </w:tc>
      </w:tr>
      <w:tr w:rsidR="00525419">
        <w:trPr>
          <w:trHeight w:val="486"/>
          <w:jc w:val="center"/>
        </w:trPr>
        <w:tc>
          <w:tcPr>
            <w:tcW w:w="1113" w:type="dxa"/>
            <w:tcBorders>
              <w:tl2br w:val="nil"/>
              <w:tr2bl w:val="nil"/>
            </w:tcBorders>
            <w:vAlign w:val="center"/>
          </w:tcPr>
          <w:p w:rsidR="00525419" w:rsidRDefault="00EE1CF7">
            <w:pPr>
              <w:spacing w:line="240" w:lineRule="exact"/>
              <w:rPr>
                <w:rFonts w:ascii="Times New Roman" w:hAnsi="Times New Roman"/>
                <w:szCs w:val="24"/>
              </w:rPr>
            </w:pPr>
            <w:r>
              <w:rPr>
                <w:rFonts w:ascii="Times New Roman" w:hAnsi="Times New Roman"/>
                <w:szCs w:val="24"/>
              </w:rPr>
              <w:t>硫磺回收焚烧烟气</w:t>
            </w:r>
          </w:p>
        </w:tc>
        <w:tc>
          <w:tcPr>
            <w:tcW w:w="1185" w:type="dxa"/>
            <w:tcBorders>
              <w:tl2br w:val="nil"/>
              <w:tr2bl w:val="nil"/>
            </w:tcBorders>
            <w:vAlign w:val="center"/>
          </w:tcPr>
          <w:p w:rsidR="00525419" w:rsidRDefault="00EE1CF7">
            <w:pPr>
              <w:snapToGrid w:val="0"/>
              <w:rPr>
                <w:rFonts w:ascii="Times New Roman" w:hAnsi="Times New Roman"/>
                <w:szCs w:val="24"/>
              </w:rPr>
            </w:pPr>
            <w:r>
              <w:rPr>
                <w:rFonts w:ascii="Times New Roman" w:hAnsi="Times New Roman"/>
                <w:szCs w:val="24"/>
              </w:rPr>
              <w:t>二氧化硫</w:t>
            </w:r>
          </w:p>
        </w:tc>
        <w:tc>
          <w:tcPr>
            <w:tcW w:w="2197" w:type="dxa"/>
            <w:gridSpan w:val="3"/>
            <w:tcBorders>
              <w:tl2br w:val="nil"/>
              <w:tr2bl w:val="nil"/>
            </w:tcBorders>
            <w:vAlign w:val="center"/>
          </w:tcPr>
          <w:p w:rsidR="00525419" w:rsidRDefault="00EE1CF7">
            <w:pPr>
              <w:snapToGrid w:val="0"/>
              <w:rPr>
                <w:rFonts w:ascii="Times New Roman" w:hAnsi="Times New Roman"/>
                <w:szCs w:val="24"/>
              </w:rPr>
            </w:pPr>
            <w:r>
              <w:rPr>
                <w:rFonts w:ascii="Times New Roman" w:hAnsi="Times New Roman"/>
                <w:szCs w:val="24"/>
              </w:rPr>
              <w:t>400</w:t>
            </w:r>
            <w:r>
              <w:rPr>
                <w:rFonts w:ascii="Times New Roman" w:hAnsi="Times New Roman"/>
                <w:szCs w:val="21"/>
              </w:rPr>
              <w:t xml:space="preserve"> mg/m</w:t>
            </w:r>
            <w:r>
              <w:rPr>
                <w:rFonts w:ascii="Times New Roman" w:hAnsi="Times New Roman"/>
                <w:szCs w:val="21"/>
                <w:vertAlign w:val="superscript"/>
              </w:rPr>
              <w:t>3</w:t>
            </w:r>
          </w:p>
        </w:tc>
        <w:tc>
          <w:tcPr>
            <w:tcW w:w="2264" w:type="dxa"/>
            <w:vMerge/>
            <w:tcBorders>
              <w:tl2br w:val="nil"/>
              <w:tr2bl w:val="nil"/>
            </w:tcBorders>
            <w:vAlign w:val="center"/>
          </w:tcPr>
          <w:p w:rsidR="00525419" w:rsidRDefault="00525419">
            <w:pPr>
              <w:pStyle w:val="afffff"/>
              <w:snapToGrid w:val="0"/>
            </w:pPr>
          </w:p>
        </w:tc>
        <w:tc>
          <w:tcPr>
            <w:tcW w:w="1698" w:type="dxa"/>
            <w:vMerge/>
            <w:tcBorders>
              <w:tl2br w:val="nil"/>
              <w:tr2bl w:val="nil"/>
            </w:tcBorders>
            <w:vAlign w:val="center"/>
          </w:tcPr>
          <w:p w:rsidR="00525419" w:rsidRDefault="00525419">
            <w:pPr>
              <w:rPr>
                <w:rFonts w:ascii="Times New Roman" w:hAnsi="Times New Roman"/>
                <w:szCs w:val="24"/>
              </w:rPr>
            </w:pPr>
          </w:p>
        </w:tc>
      </w:tr>
      <w:tr w:rsidR="00525419">
        <w:trPr>
          <w:trHeight w:val="961"/>
          <w:jc w:val="center"/>
        </w:trPr>
        <w:tc>
          <w:tcPr>
            <w:tcW w:w="1113" w:type="dxa"/>
            <w:tcBorders>
              <w:tl2br w:val="nil"/>
              <w:tr2bl w:val="nil"/>
            </w:tcBorders>
            <w:vAlign w:val="center"/>
          </w:tcPr>
          <w:p w:rsidR="00525419" w:rsidRDefault="00EE1CF7">
            <w:pPr>
              <w:tabs>
                <w:tab w:val="left" w:pos="360"/>
                <w:tab w:val="left" w:pos="1620"/>
              </w:tabs>
              <w:snapToGrid w:val="0"/>
              <w:spacing w:line="240" w:lineRule="atLeast"/>
              <w:rPr>
                <w:rFonts w:ascii="Times New Roman" w:hAnsi="Times New Roman"/>
                <w:szCs w:val="21"/>
              </w:rPr>
            </w:pPr>
            <w:r>
              <w:rPr>
                <w:rFonts w:ascii="Times New Roman" w:hAnsi="Times New Roman"/>
                <w:szCs w:val="21"/>
              </w:rPr>
              <w:t>油气回收处理设施排放有机废气</w:t>
            </w:r>
          </w:p>
        </w:tc>
        <w:tc>
          <w:tcPr>
            <w:tcW w:w="1185" w:type="dxa"/>
            <w:tcBorders>
              <w:tl2br w:val="nil"/>
              <w:tr2bl w:val="nil"/>
            </w:tcBorders>
            <w:vAlign w:val="center"/>
          </w:tcPr>
          <w:p w:rsidR="00525419" w:rsidRDefault="00EE1CF7">
            <w:pPr>
              <w:tabs>
                <w:tab w:val="left" w:pos="360"/>
                <w:tab w:val="left" w:pos="1620"/>
              </w:tabs>
              <w:snapToGrid w:val="0"/>
              <w:spacing w:line="240" w:lineRule="atLeast"/>
              <w:rPr>
                <w:rFonts w:ascii="Times New Roman" w:hAnsi="Times New Roman"/>
                <w:szCs w:val="21"/>
              </w:rPr>
            </w:pPr>
            <w:r>
              <w:rPr>
                <w:rFonts w:ascii="Times New Roman" w:hAnsi="Times New Roman"/>
                <w:szCs w:val="21"/>
              </w:rPr>
              <w:t>非甲烷</w:t>
            </w:r>
          </w:p>
          <w:p w:rsidR="00525419" w:rsidRDefault="00EE1CF7">
            <w:pPr>
              <w:tabs>
                <w:tab w:val="left" w:pos="360"/>
                <w:tab w:val="left" w:pos="1620"/>
              </w:tabs>
              <w:snapToGrid w:val="0"/>
              <w:spacing w:line="240" w:lineRule="atLeast"/>
              <w:rPr>
                <w:rFonts w:ascii="Times New Roman" w:hAnsi="Times New Roman"/>
                <w:szCs w:val="21"/>
              </w:rPr>
            </w:pPr>
            <w:r>
              <w:rPr>
                <w:rFonts w:ascii="Times New Roman" w:hAnsi="Times New Roman"/>
                <w:szCs w:val="21"/>
              </w:rPr>
              <w:t>总烃</w:t>
            </w:r>
          </w:p>
        </w:tc>
        <w:tc>
          <w:tcPr>
            <w:tcW w:w="2197" w:type="dxa"/>
            <w:gridSpan w:val="3"/>
            <w:tcBorders>
              <w:tl2br w:val="nil"/>
              <w:tr2bl w:val="nil"/>
            </w:tcBorders>
            <w:vAlign w:val="center"/>
          </w:tcPr>
          <w:p w:rsidR="00525419" w:rsidRDefault="00EE1CF7">
            <w:pPr>
              <w:tabs>
                <w:tab w:val="left" w:pos="360"/>
                <w:tab w:val="left" w:pos="1620"/>
              </w:tabs>
              <w:snapToGrid w:val="0"/>
              <w:spacing w:line="240" w:lineRule="atLeast"/>
              <w:rPr>
                <w:rFonts w:ascii="Times New Roman" w:hAnsi="Times New Roman"/>
                <w:szCs w:val="21"/>
              </w:rPr>
            </w:pPr>
            <w:r>
              <w:rPr>
                <w:rFonts w:ascii="Times New Roman" w:hAnsi="Times New Roman"/>
                <w:szCs w:val="21"/>
              </w:rPr>
              <w:t>去除效率</w:t>
            </w:r>
            <w:r>
              <w:rPr>
                <w:rFonts w:ascii="Times New Roman" w:hAnsi="Times New Roman"/>
                <w:szCs w:val="21"/>
              </w:rPr>
              <w:t>≥95%</w:t>
            </w:r>
          </w:p>
        </w:tc>
        <w:tc>
          <w:tcPr>
            <w:tcW w:w="2264" w:type="dxa"/>
            <w:vMerge/>
            <w:tcBorders>
              <w:tl2br w:val="nil"/>
              <w:tr2bl w:val="nil"/>
            </w:tcBorders>
            <w:vAlign w:val="center"/>
          </w:tcPr>
          <w:p w:rsidR="00525419" w:rsidRDefault="00525419">
            <w:pPr>
              <w:pStyle w:val="afffff"/>
              <w:snapToGrid w:val="0"/>
            </w:pPr>
          </w:p>
        </w:tc>
        <w:tc>
          <w:tcPr>
            <w:tcW w:w="1698" w:type="dxa"/>
            <w:vMerge/>
            <w:tcBorders>
              <w:tl2br w:val="nil"/>
              <w:tr2bl w:val="nil"/>
            </w:tcBorders>
            <w:vAlign w:val="center"/>
          </w:tcPr>
          <w:p w:rsidR="00525419" w:rsidRDefault="00525419">
            <w:pPr>
              <w:rPr>
                <w:rFonts w:ascii="Times New Roman" w:hAnsi="Times New Roman"/>
                <w:szCs w:val="24"/>
              </w:rPr>
            </w:pPr>
          </w:p>
        </w:tc>
      </w:tr>
      <w:tr w:rsidR="00525419">
        <w:trPr>
          <w:trHeight w:val="524"/>
          <w:jc w:val="center"/>
        </w:trPr>
        <w:tc>
          <w:tcPr>
            <w:tcW w:w="1113" w:type="dxa"/>
            <w:vMerge w:val="restart"/>
            <w:tcBorders>
              <w:tl2br w:val="nil"/>
              <w:tr2bl w:val="nil"/>
            </w:tcBorders>
            <w:vAlign w:val="center"/>
          </w:tcPr>
          <w:p w:rsidR="00525419" w:rsidRDefault="00EE1CF7">
            <w:pPr>
              <w:tabs>
                <w:tab w:val="left" w:pos="360"/>
                <w:tab w:val="left" w:pos="1620"/>
              </w:tabs>
              <w:snapToGrid w:val="0"/>
              <w:spacing w:line="240" w:lineRule="atLeast"/>
              <w:rPr>
                <w:rFonts w:ascii="Times New Roman" w:hAnsi="Times New Roman"/>
                <w:szCs w:val="21"/>
              </w:rPr>
            </w:pPr>
            <w:r>
              <w:rPr>
                <w:rFonts w:ascii="Times New Roman" w:hAnsi="Times New Roman"/>
                <w:szCs w:val="21"/>
              </w:rPr>
              <w:t>厂区内</w:t>
            </w:r>
          </w:p>
        </w:tc>
        <w:tc>
          <w:tcPr>
            <w:tcW w:w="1185" w:type="dxa"/>
            <w:vMerge w:val="restart"/>
            <w:tcBorders>
              <w:tl2br w:val="nil"/>
              <w:tr2bl w:val="nil"/>
            </w:tcBorders>
            <w:vAlign w:val="center"/>
          </w:tcPr>
          <w:p w:rsidR="00525419" w:rsidRDefault="00EE1CF7">
            <w:pPr>
              <w:tabs>
                <w:tab w:val="left" w:pos="360"/>
                <w:tab w:val="left" w:pos="1620"/>
              </w:tabs>
              <w:snapToGrid w:val="0"/>
              <w:spacing w:line="240" w:lineRule="atLeast"/>
              <w:rPr>
                <w:rFonts w:ascii="Times New Roman" w:hAnsi="Times New Roman"/>
                <w:szCs w:val="21"/>
              </w:rPr>
            </w:pPr>
            <w:r>
              <w:rPr>
                <w:rFonts w:ascii="Times New Roman" w:hAnsi="Times New Roman"/>
                <w:szCs w:val="21"/>
              </w:rPr>
              <w:t>非甲烷</w:t>
            </w:r>
          </w:p>
          <w:p w:rsidR="00525419" w:rsidRDefault="00EE1CF7">
            <w:pPr>
              <w:tabs>
                <w:tab w:val="left" w:pos="360"/>
                <w:tab w:val="left" w:pos="1620"/>
              </w:tabs>
              <w:snapToGrid w:val="0"/>
              <w:spacing w:line="240" w:lineRule="atLeast"/>
              <w:rPr>
                <w:rFonts w:ascii="Times New Roman" w:hAnsi="Times New Roman"/>
                <w:szCs w:val="21"/>
              </w:rPr>
            </w:pPr>
            <w:r>
              <w:rPr>
                <w:rFonts w:ascii="Times New Roman" w:hAnsi="Times New Roman"/>
                <w:szCs w:val="21"/>
              </w:rPr>
              <w:t>总烃</w:t>
            </w:r>
          </w:p>
        </w:tc>
        <w:tc>
          <w:tcPr>
            <w:tcW w:w="1119" w:type="dxa"/>
            <w:gridSpan w:val="2"/>
            <w:tcBorders>
              <w:tl2br w:val="nil"/>
              <w:tr2bl w:val="nil"/>
            </w:tcBorders>
            <w:vAlign w:val="center"/>
          </w:tcPr>
          <w:p w:rsidR="00525419" w:rsidRDefault="00EE1CF7">
            <w:pPr>
              <w:tabs>
                <w:tab w:val="left" w:pos="360"/>
                <w:tab w:val="left" w:pos="1620"/>
              </w:tabs>
              <w:snapToGrid w:val="0"/>
              <w:spacing w:line="240" w:lineRule="atLeast"/>
              <w:rPr>
                <w:rFonts w:ascii="Times New Roman" w:hAnsi="Times New Roman"/>
                <w:szCs w:val="21"/>
              </w:rPr>
            </w:pPr>
            <w:r>
              <w:rPr>
                <w:rFonts w:ascii="Times New Roman" w:hAnsi="Times New Roman"/>
              </w:rPr>
              <w:t>6mg/m</w:t>
            </w:r>
            <w:r>
              <w:rPr>
                <w:rFonts w:ascii="Times New Roman" w:hAnsi="Times New Roman"/>
                <w:vertAlign w:val="superscript"/>
              </w:rPr>
              <w:t>3</w:t>
            </w:r>
          </w:p>
        </w:tc>
        <w:tc>
          <w:tcPr>
            <w:tcW w:w="1078" w:type="dxa"/>
            <w:tcBorders>
              <w:tl2br w:val="nil"/>
              <w:tr2bl w:val="nil"/>
            </w:tcBorders>
            <w:vAlign w:val="center"/>
          </w:tcPr>
          <w:p w:rsidR="00525419" w:rsidRDefault="00EE1CF7">
            <w:pPr>
              <w:tabs>
                <w:tab w:val="left" w:pos="360"/>
                <w:tab w:val="left" w:pos="1620"/>
              </w:tabs>
              <w:snapToGrid w:val="0"/>
              <w:spacing w:line="240" w:lineRule="atLeast"/>
              <w:rPr>
                <w:rFonts w:ascii="Times New Roman" w:hAnsi="Times New Roman"/>
                <w:szCs w:val="21"/>
              </w:rPr>
            </w:pPr>
            <w:r>
              <w:rPr>
                <w:rFonts w:ascii="Times New Roman" w:hAnsi="Times New Roman"/>
              </w:rPr>
              <w:t>监控点处</w:t>
            </w:r>
            <w:r>
              <w:rPr>
                <w:rFonts w:ascii="Times New Roman" w:hAnsi="Times New Roman"/>
              </w:rPr>
              <w:t>1h</w:t>
            </w:r>
            <w:r>
              <w:rPr>
                <w:rFonts w:ascii="Times New Roman" w:hAnsi="Times New Roman"/>
              </w:rPr>
              <w:t>平均浓度值</w:t>
            </w:r>
          </w:p>
        </w:tc>
        <w:tc>
          <w:tcPr>
            <w:tcW w:w="2264" w:type="dxa"/>
            <w:vMerge w:val="restart"/>
            <w:tcBorders>
              <w:tl2br w:val="nil"/>
              <w:tr2bl w:val="nil"/>
            </w:tcBorders>
            <w:vAlign w:val="center"/>
          </w:tcPr>
          <w:p w:rsidR="00525419" w:rsidRDefault="00EE1CF7">
            <w:pPr>
              <w:pStyle w:val="afffff"/>
              <w:snapToGrid w:val="0"/>
            </w:pPr>
            <w:r>
              <w:t>《挥发性有机物无组织排放控制标准》（</w:t>
            </w:r>
            <w:r>
              <w:t>GB37822-2019</w:t>
            </w:r>
            <w:r>
              <w:t>）表</w:t>
            </w:r>
            <w:r>
              <w:t>A.1</w:t>
            </w:r>
          </w:p>
        </w:tc>
        <w:tc>
          <w:tcPr>
            <w:tcW w:w="1698" w:type="dxa"/>
            <w:vMerge w:val="restart"/>
            <w:tcBorders>
              <w:tl2br w:val="nil"/>
              <w:tr2bl w:val="nil"/>
            </w:tcBorders>
            <w:vAlign w:val="center"/>
          </w:tcPr>
          <w:p w:rsidR="00525419" w:rsidRDefault="00EE1CF7">
            <w:pPr>
              <w:rPr>
                <w:rFonts w:ascii="Times New Roman" w:hAnsi="Times New Roman"/>
                <w:szCs w:val="24"/>
              </w:rPr>
            </w:pPr>
            <w:r>
              <w:rPr>
                <w:rFonts w:ascii="Times New Roman" w:hAnsi="Times New Roman"/>
              </w:rPr>
              <w:t>在厂房外设置监控点</w:t>
            </w:r>
          </w:p>
        </w:tc>
      </w:tr>
      <w:tr w:rsidR="00525419">
        <w:trPr>
          <w:trHeight w:val="524"/>
          <w:jc w:val="center"/>
        </w:trPr>
        <w:tc>
          <w:tcPr>
            <w:tcW w:w="1113" w:type="dxa"/>
            <w:vMerge/>
            <w:tcBorders>
              <w:tl2br w:val="nil"/>
              <w:tr2bl w:val="nil"/>
            </w:tcBorders>
            <w:vAlign w:val="center"/>
          </w:tcPr>
          <w:p w:rsidR="00525419" w:rsidRDefault="00525419">
            <w:pPr>
              <w:tabs>
                <w:tab w:val="left" w:pos="360"/>
                <w:tab w:val="left" w:pos="1620"/>
              </w:tabs>
              <w:snapToGrid w:val="0"/>
              <w:spacing w:line="240" w:lineRule="atLeast"/>
              <w:rPr>
                <w:rFonts w:ascii="Times New Roman" w:hAnsi="Times New Roman"/>
              </w:rPr>
            </w:pPr>
          </w:p>
        </w:tc>
        <w:tc>
          <w:tcPr>
            <w:tcW w:w="1185" w:type="dxa"/>
            <w:vMerge/>
            <w:tcBorders>
              <w:tl2br w:val="nil"/>
              <w:tr2bl w:val="nil"/>
            </w:tcBorders>
            <w:vAlign w:val="center"/>
          </w:tcPr>
          <w:p w:rsidR="00525419" w:rsidRDefault="00525419">
            <w:pPr>
              <w:tabs>
                <w:tab w:val="left" w:pos="360"/>
                <w:tab w:val="left" w:pos="1620"/>
              </w:tabs>
              <w:snapToGrid w:val="0"/>
              <w:spacing w:line="240" w:lineRule="atLeast"/>
              <w:rPr>
                <w:rFonts w:ascii="Times New Roman" w:hAnsi="Times New Roman"/>
              </w:rPr>
            </w:pPr>
          </w:p>
        </w:tc>
        <w:tc>
          <w:tcPr>
            <w:tcW w:w="1119" w:type="dxa"/>
            <w:gridSpan w:val="2"/>
            <w:tcBorders>
              <w:tl2br w:val="nil"/>
              <w:tr2bl w:val="nil"/>
            </w:tcBorders>
            <w:vAlign w:val="center"/>
          </w:tcPr>
          <w:p w:rsidR="00525419" w:rsidRDefault="00EE1CF7">
            <w:pPr>
              <w:tabs>
                <w:tab w:val="left" w:pos="360"/>
                <w:tab w:val="left" w:pos="1620"/>
              </w:tabs>
              <w:snapToGrid w:val="0"/>
              <w:spacing w:line="240" w:lineRule="atLeast"/>
              <w:rPr>
                <w:rFonts w:ascii="Times New Roman" w:hAnsi="Times New Roman"/>
                <w:szCs w:val="21"/>
              </w:rPr>
            </w:pPr>
            <w:r>
              <w:rPr>
                <w:rFonts w:ascii="Times New Roman" w:hAnsi="Times New Roman"/>
              </w:rPr>
              <w:t>20mg/m</w:t>
            </w:r>
            <w:r>
              <w:rPr>
                <w:rFonts w:ascii="Times New Roman" w:hAnsi="Times New Roman"/>
                <w:vertAlign w:val="superscript"/>
              </w:rPr>
              <w:t>3</w:t>
            </w:r>
          </w:p>
        </w:tc>
        <w:tc>
          <w:tcPr>
            <w:tcW w:w="1078" w:type="dxa"/>
            <w:tcBorders>
              <w:tl2br w:val="nil"/>
              <w:tr2bl w:val="nil"/>
            </w:tcBorders>
            <w:vAlign w:val="center"/>
          </w:tcPr>
          <w:p w:rsidR="00525419" w:rsidRDefault="00EE1CF7">
            <w:pPr>
              <w:tabs>
                <w:tab w:val="left" w:pos="360"/>
                <w:tab w:val="left" w:pos="1620"/>
              </w:tabs>
              <w:snapToGrid w:val="0"/>
              <w:spacing w:line="240" w:lineRule="atLeast"/>
              <w:rPr>
                <w:rFonts w:ascii="Times New Roman" w:hAnsi="Times New Roman"/>
                <w:szCs w:val="21"/>
              </w:rPr>
            </w:pPr>
            <w:r>
              <w:rPr>
                <w:rFonts w:ascii="Times New Roman" w:hAnsi="Times New Roman"/>
              </w:rPr>
              <w:t>监控点处任意一次浓度值</w:t>
            </w:r>
          </w:p>
        </w:tc>
        <w:tc>
          <w:tcPr>
            <w:tcW w:w="2264" w:type="dxa"/>
            <w:vMerge/>
            <w:tcBorders>
              <w:tl2br w:val="nil"/>
              <w:tr2bl w:val="nil"/>
            </w:tcBorders>
            <w:vAlign w:val="center"/>
          </w:tcPr>
          <w:p w:rsidR="00525419" w:rsidRDefault="00525419">
            <w:pPr>
              <w:tabs>
                <w:tab w:val="left" w:pos="360"/>
                <w:tab w:val="left" w:pos="1620"/>
              </w:tabs>
              <w:snapToGrid w:val="0"/>
              <w:spacing w:line="240" w:lineRule="atLeast"/>
              <w:rPr>
                <w:rFonts w:ascii="Times New Roman" w:hAnsi="Times New Roman"/>
                <w:szCs w:val="21"/>
              </w:rPr>
            </w:pPr>
          </w:p>
        </w:tc>
        <w:tc>
          <w:tcPr>
            <w:tcW w:w="1698" w:type="dxa"/>
            <w:vMerge/>
            <w:tcBorders>
              <w:tl2br w:val="nil"/>
              <w:tr2bl w:val="nil"/>
            </w:tcBorders>
            <w:vAlign w:val="center"/>
          </w:tcPr>
          <w:p w:rsidR="00525419" w:rsidRDefault="00525419">
            <w:pPr>
              <w:tabs>
                <w:tab w:val="left" w:pos="360"/>
                <w:tab w:val="left" w:pos="1620"/>
              </w:tabs>
              <w:snapToGrid w:val="0"/>
              <w:spacing w:line="240" w:lineRule="atLeast"/>
              <w:rPr>
                <w:rFonts w:ascii="Times New Roman" w:hAnsi="Times New Roman"/>
                <w:szCs w:val="21"/>
              </w:rPr>
            </w:pPr>
          </w:p>
        </w:tc>
      </w:tr>
      <w:tr w:rsidR="00525419">
        <w:trPr>
          <w:trHeight w:val="319"/>
          <w:jc w:val="center"/>
        </w:trPr>
        <w:tc>
          <w:tcPr>
            <w:tcW w:w="1113" w:type="dxa"/>
            <w:vMerge w:val="restart"/>
            <w:tcBorders>
              <w:tl2br w:val="nil"/>
              <w:tr2bl w:val="nil"/>
            </w:tcBorders>
            <w:vAlign w:val="center"/>
          </w:tcPr>
          <w:p w:rsidR="00525419" w:rsidRDefault="00EE1CF7">
            <w:pPr>
              <w:tabs>
                <w:tab w:val="left" w:pos="360"/>
                <w:tab w:val="left" w:pos="1620"/>
              </w:tabs>
              <w:snapToGrid w:val="0"/>
              <w:spacing w:line="240" w:lineRule="atLeast"/>
              <w:rPr>
                <w:rFonts w:ascii="Times New Roman" w:hAnsi="Times New Roman"/>
                <w:szCs w:val="21"/>
              </w:rPr>
            </w:pPr>
            <w:r>
              <w:rPr>
                <w:rFonts w:ascii="Times New Roman" w:hAnsi="Times New Roman"/>
                <w:szCs w:val="21"/>
              </w:rPr>
              <w:t>厂界大气污染物</w:t>
            </w:r>
          </w:p>
        </w:tc>
        <w:tc>
          <w:tcPr>
            <w:tcW w:w="1185" w:type="dxa"/>
            <w:tcBorders>
              <w:tl2br w:val="nil"/>
              <w:tr2bl w:val="nil"/>
            </w:tcBorders>
            <w:vAlign w:val="center"/>
          </w:tcPr>
          <w:p w:rsidR="00525419" w:rsidRDefault="00EE1CF7">
            <w:pPr>
              <w:spacing w:line="240" w:lineRule="atLeast"/>
              <w:rPr>
                <w:rFonts w:ascii="Times New Roman" w:hAnsi="Times New Roman"/>
                <w:kern w:val="0"/>
                <w:szCs w:val="21"/>
                <w:lang w:val="zh-CN"/>
              </w:rPr>
            </w:pPr>
            <w:r>
              <w:rPr>
                <w:rFonts w:ascii="Times New Roman" w:hAnsi="Times New Roman"/>
                <w:kern w:val="0"/>
                <w:szCs w:val="21"/>
                <w:lang w:val="zh-CN"/>
              </w:rPr>
              <w:t>颗粒放</w:t>
            </w:r>
          </w:p>
        </w:tc>
        <w:tc>
          <w:tcPr>
            <w:tcW w:w="2197" w:type="dxa"/>
            <w:gridSpan w:val="3"/>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1.0mg/m</w:t>
            </w:r>
            <w:r>
              <w:rPr>
                <w:rFonts w:ascii="Times New Roman" w:hAnsi="Times New Roman"/>
                <w:szCs w:val="21"/>
                <w:vertAlign w:val="superscript"/>
              </w:rPr>
              <w:t>3</w:t>
            </w:r>
          </w:p>
        </w:tc>
        <w:tc>
          <w:tcPr>
            <w:tcW w:w="2264" w:type="dxa"/>
            <w:vMerge w:val="restart"/>
            <w:tcBorders>
              <w:tl2br w:val="nil"/>
              <w:tr2bl w:val="nil"/>
            </w:tcBorders>
            <w:vAlign w:val="center"/>
          </w:tcPr>
          <w:p w:rsidR="00525419" w:rsidRDefault="00EE1CF7">
            <w:pPr>
              <w:tabs>
                <w:tab w:val="left" w:pos="360"/>
                <w:tab w:val="left" w:pos="1620"/>
              </w:tabs>
              <w:adjustRightInd w:val="0"/>
              <w:snapToGrid w:val="0"/>
              <w:spacing w:line="240" w:lineRule="atLeast"/>
              <w:rPr>
                <w:rFonts w:ascii="Times New Roman" w:hAnsi="Times New Roman"/>
                <w:szCs w:val="21"/>
              </w:rPr>
            </w:pPr>
            <w:r>
              <w:rPr>
                <w:rFonts w:ascii="Times New Roman" w:hAnsi="Times New Roman"/>
                <w:szCs w:val="24"/>
              </w:rPr>
              <w:t>《石油炼制工业污染物排放标准》</w:t>
            </w:r>
            <w:r>
              <w:rPr>
                <w:rFonts w:ascii="Times New Roman" w:hAnsi="Times New Roman"/>
                <w:kern w:val="0"/>
                <w:szCs w:val="21"/>
              </w:rPr>
              <w:t>(GB31570-2015)</w:t>
            </w:r>
            <w:r>
              <w:rPr>
                <w:rFonts w:ascii="Times New Roman" w:hAnsi="Times New Roman"/>
                <w:kern w:val="0"/>
                <w:szCs w:val="21"/>
              </w:rPr>
              <w:t>表</w:t>
            </w:r>
            <w:r>
              <w:rPr>
                <w:rFonts w:ascii="Times New Roman" w:hAnsi="Times New Roman"/>
                <w:kern w:val="0"/>
                <w:szCs w:val="21"/>
              </w:rPr>
              <w:t>5</w:t>
            </w:r>
          </w:p>
        </w:tc>
        <w:tc>
          <w:tcPr>
            <w:tcW w:w="1698" w:type="dxa"/>
            <w:vMerge w:val="restart"/>
            <w:tcBorders>
              <w:tl2br w:val="nil"/>
              <w:tr2bl w:val="nil"/>
            </w:tcBorders>
            <w:vAlign w:val="center"/>
          </w:tcPr>
          <w:p w:rsidR="00525419" w:rsidRDefault="00EE1CF7">
            <w:pPr>
              <w:tabs>
                <w:tab w:val="left" w:pos="360"/>
                <w:tab w:val="left" w:pos="1620"/>
              </w:tabs>
              <w:snapToGrid w:val="0"/>
              <w:spacing w:line="240" w:lineRule="atLeast"/>
              <w:rPr>
                <w:rFonts w:ascii="Times New Roman" w:hAnsi="Times New Roman"/>
                <w:kern w:val="0"/>
                <w:szCs w:val="21"/>
              </w:rPr>
            </w:pPr>
            <w:r>
              <w:rPr>
                <w:rFonts w:ascii="Times New Roman" w:hAnsi="Times New Roman"/>
                <w:kern w:val="0"/>
                <w:szCs w:val="21"/>
                <w:lang w:val="zh-CN"/>
              </w:rPr>
              <w:t>颗粒物设在厂界外下风向和上风向</w:t>
            </w:r>
            <w:r>
              <w:rPr>
                <w:rFonts w:ascii="Times New Roman" w:hAnsi="Times New Roman"/>
                <w:kern w:val="0"/>
                <w:szCs w:val="21"/>
                <w:lang w:val="zh-CN"/>
              </w:rPr>
              <w:t>2-50m</w:t>
            </w:r>
            <w:r>
              <w:rPr>
                <w:rFonts w:ascii="Times New Roman" w:hAnsi="Times New Roman"/>
                <w:kern w:val="0"/>
                <w:szCs w:val="21"/>
                <w:lang w:val="zh-CN"/>
              </w:rPr>
              <w:t>范围内设监控点和参照点，其余监测污染物监控点设在厂界外</w:t>
            </w:r>
            <w:r>
              <w:rPr>
                <w:rFonts w:ascii="Times New Roman" w:hAnsi="Times New Roman"/>
                <w:kern w:val="0"/>
                <w:szCs w:val="21"/>
                <w:lang w:val="zh-CN"/>
              </w:rPr>
              <w:t>10m</w:t>
            </w:r>
            <w:r>
              <w:rPr>
                <w:rFonts w:ascii="Times New Roman" w:hAnsi="Times New Roman"/>
                <w:kern w:val="0"/>
                <w:szCs w:val="21"/>
                <w:lang w:val="zh-CN"/>
              </w:rPr>
              <w:t>范围内浓度最高点</w:t>
            </w:r>
          </w:p>
        </w:tc>
      </w:tr>
      <w:tr w:rsidR="00525419">
        <w:trPr>
          <w:trHeight w:val="549"/>
          <w:jc w:val="center"/>
        </w:trPr>
        <w:tc>
          <w:tcPr>
            <w:tcW w:w="1113" w:type="dxa"/>
            <w:vMerge/>
            <w:tcBorders>
              <w:tl2br w:val="nil"/>
              <w:tr2bl w:val="nil"/>
            </w:tcBorders>
            <w:vAlign w:val="center"/>
          </w:tcPr>
          <w:p w:rsidR="00525419" w:rsidRDefault="00525419">
            <w:pPr>
              <w:tabs>
                <w:tab w:val="left" w:pos="360"/>
                <w:tab w:val="left" w:pos="1620"/>
              </w:tabs>
              <w:snapToGrid w:val="0"/>
              <w:spacing w:line="240" w:lineRule="atLeast"/>
              <w:rPr>
                <w:rFonts w:ascii="Times New Roman" w:hAnsi="Times New Roman"/>
                <w:szCs w:val="21"/>
              </w:rPr>
            </w:pPr>
          </w:p>
        </w:tc>
        <w:tc>
          <w:tcPr>
            <w:tcW w:w="1185" w:type="dxa"/>
            <w:tcBorders>
              <w:tl2br w:val="nil"/>
              <w:tr2bl w:val="nil"/>
            </w:tcBorders>
            <w:vAlign w:val="center"/>
          </w:tcPr>
          <w:p w:rsidR="00525419" w:rsidRDefault="00EE1CF7">
            <w:pPr>
              <w:tabs>
                <w:tab w:val="left" w:pos="360"/>
                <w:tab w:val="left" w:pos="1620"/>
              </w:tabs>
              <w:adjustRightInd w:val="0"/>
              <w:snapToGrid w:val="0"/>
              <w:spacing w:line="240" w:lineRule="atLeast"/>
              <w:rPr>
                <w:rFonts w:ascii="Times New Roman" w:hAnsi="Times New Roman"/>
                <w:szCs w:val="21"/>
              </w:rPr>
            </w:pPr>
            <w:r>
              <w:rPr>
                <w:rFonts w:ascii="Times New Roman" w:hAnsi="Times New Roman"/>
                <w:szCs w:val="21"/>
              </w:rPr>
              <w:t>非甲烷总烃</w:t>
            </w:r>
          </w:p>
        </w:tc>
        <w:tc>
          <w:tcPr>
            <w:tcW w:w="2197" w:type="dxa"/>
            <w:gridSpan w:val="3"/>
            <w:tcBorders>
              <w:tl2br w:val="nil"/>
              <w:tr2bl w:val="nil"/>
            </w:tcBorders>
            <w:vAlign w:val="center"/>
          </w:tcPr>
          <w:p w:rsidR="00525419" w:rsidRDefault="00EE1CF7">
            <w:pPr>
              <w:tabs>
                <w:tab w:val="left" w:pos="360"/>
                <w:tab w:val="left" w:pos="1620"/>
              </w:tabs>
              <w:adjustRightInd w:val="0"/>
              <w:snapToGrid w:val="0"/>
              <w:spacing w:line="240" w:lineRule="atLeast"/>
              <w:rPr>
                <w:rFonts w:ascii="Times New Roman" w:hAnsi="Times New Roman"/>
                <w:szCs w:val="21"/>
              </w:rPr>
            </w:pPr>
            <w:r>
              <w:rPr>
                <w:rFonts w:ascii="Times New Roman" w:hAnsi="Times New Roman"/>
                <w:szCs w:val="21"/>
              </w:rPr>
              <w:t>4.0</w:t>
            </w:r>
            <w:r>
              <w:rPr>
                <w:rFonts w:ascii="Times New Roman" w:hAnsi="Times New Roman"/>
                <w:kern w:val="0"/>
                <w:szCs w:val="21"/>
                <w:lang w:val="zh-CN"/>
              </w:rPr>
              <w:t xml:space="preserve"> mg/m</w:t>
            </w:r>
            <w:r>
              <w:rPr>
                <w:rFonts w:ascii="Times New Roman" w:hAnsi="Times New Roman"/>
                <w:kern w:val="0"/>
                <w:szCs w:val="21"/>
                <w:vertAlign w:val="superscript"/>
                <w:lang w:val="zh-CN"/>
              </w:rPr>
              <w:t>3</w:t>
            </w:r>
          </w:p>
        </w:tc>
        <w:tc>
          <w:tcPr>
            <w:tcW w:w="2264" w:type="dxa"/>
            <w:vMerge/>
            <w:tcBorders>
              <w:tl2br w:val="nil"/>
              <w:tr2bl w:val="nil"/>
            </w:tcBorders>
            <w:vAlign w:val="center"/>
          </w:tcPr>
          <w:p w:rsidR="00525419" w:rsidRDefault="00525419">
            <w:pPr>
              <w:tabs>
                <w:tab w:val="left" w:pos="360"/>
                <w:tab w:val="left" w:pos="1620"/>
              </w:tabs>
              <w:adjustRightInd w:val="0"/>
              <w:snapToGrid w:val="0"/>
              <w:spacing w:line="240" w:lineRule="atLeast"/>
              <w:rPr>
                <w:rFonts w:ascii="Times New Roman" w:hAnsi="Times New Roman"/>
                <w:szCs w:val="21"/>
              </w:rPr>
            </w:pPr>
          </w:p>
        </w:tc>
        <w:tc>
          <w:tcPr>
            <w:tcW w:w="1698" w:type="dxa"/>
            <w:vMerge/>
            <w:tcBorders>
              <w:tl2br w:val="nil"/>
              <w:tr2bl w:val="nil"/>
            </w:tcBorders>
            <w:vAlign w:val="center"/>
          </w:tcPr>
          <w:p w:rsidR="00525419" w:rsidRDefault="00525419">
            <w:pPr>
              <w:tabs>
                <w:tab w:val="left" w:pos="360"/>
                <w:tab w:val="left" w:pos="1620"/>
              </w:tabs>
              <w:snapToGrid w:val="0"/>
              <w:spacing w:line="240" w:lineRule="atLeast"/>
              <w:rPr>
                <w:rFonts w:ascii="Times New Roman" w:hAnsi="Times New Roman"/>
                <w:kern w:val="0"/>
                <w:szCs w:val="21"/>
              </w:rPr>
            </w:pPr>
          </w:p>
        </w:tc>
      </w:tr>
      <w:tr w:rsidR="00525419">
        <w:trPr>
          <w:trHeight w:val="319"/>
          <w:jc w:val="center"/>
        </w:trPr>
        <w:tc>
          <w:tcPr>
            <w:tcW w:w="1113" w:type="dxa"/>
            <w:vMerge/>
            <w:tcBorders>
              <w:tl2br w:val="nil"/>
              <w:tr2bl w:val="nil"/>
            </w:tcBorders>
            <w:vAlign w:val="center"/>
          </w:tcPr>
          <w:p w:rsidR="00525419" w:rsidRDefault="00525419">
            <w:pPr>
              <w:tabs>
                <w:tab w:val="left" w:pos="360"/>
                <w:tab w:val="left" w:pos="1620"/>
              </w:tabs>
              <w:snapToGrid w:val="0"/>
              <w:spacing w:line="240" w:lineRule="atLeast"/>
              <w:rPr>
                <w:rFonts w:ascii="Times New Roman" w:hAnsi="Times New Roman"/>
                <w:szCs w:val="21"/>
              </w:rPr>
            </w:pPr>
          </w:p>
        </w:tc>
        <w:tc>
          <w:tcPr>
            <w:tcW w:w="1185"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S</w:t>
            </w:r>
          </w:p>
        </w:tc>
        <w:tc>
          <w:tcPr>
            <w:tcW w:w="2197" w:type="dxa"/>
            <w:gridSpan w:val="3"/>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0.01 mg/m</w:t>
            </w:r>
            <w:r>
              <w:rPr>
                <w:rFonts w:ascii="Times New Roman" w:hAnsi="Times New Roman"/>
                <w:szCs w:val="21"/>
                <w:vertAlign w:val="superscript"/>
              </w:rPr>
              <w:t>3</w:t>
            </w:r>
          </w:p>
        </w:tc>
        <w:tc>
          <w:tcPr>
            <w:tcW w:w="2264" w:type="dxa"/>
            <w:vMerge w:val="restart"/>
            <w:tcBorders>
              <w:tl2br w:val="nil"/>
              <w:tr2bl w:val="nil"/>
            </w:tcBorders>
            <w:vAlign w:val="center"/>
          </w:tcPr>
          <w:p w:rsidR="00525419" w:rsidRDefault="00EE1CF7">
            <w:pPr>
              <w:tabs>
                <w:tab w:val="left" w:pos="360"/>
                <w:tab w:val="left" w:pos="1620"/>
              </w:tabs>
              <w:adjustRightInd w:val="0"/>
              <w:snapToGrid w:val="0"/>
              <w:spacing w:line="240" w:lineRule="atLeast"/>
              <w:rPr>
                <w:rFonts w:ascii="Times New Roman" w:hAnsi="Times New Roman"/>
                <w:szCs w:val="21"/>
              </w:rPr>
            </w:pPr>
            <w:r>
              <w:rPr>
                <w:rFonts w:ascii="Times New Roman" w:hAnsi="Times New Roman"/>
                <w:szCs w:val="21"/>
              </w:rPr>
              <w:t>《恶臭污染物排放标准》</w:t>
            </w:r>
            <w:r>
              <w:rPr>
                <w:rFonts w:ascii="Times New Roman" w:hAnsi="Times New Roman"/>
                <w:szCs w:val="21"/>
              </w:rPr>
              <w:t>(GB14554-93)</w:t>
            </w:r>
          </w:p>
        </w:tc>
        <w:tc>
          <w:tcPr>
            <w:tcW w:w="1698" w:type="dxa"/>
            <w:vMerge/>
            <w:tcBorders>
              <w:tl2br w:val="nil"/>
              <w:tr2bl w:val="nil"/>
            </w:tcBorders>
            <w:vAlign w:val="center"/>
          </w:tcPr>
          <w:p w:rsidR="00525419" w:rsidRDefault="00525419">
            <w:pPr>
              <w:tabs>
                <w:tab w:val="left" w:pos="360"/>
                <w:tab w:val="left" w:pos="1620"/>
              </w:tabs>
              <w:snapToGrid w:val="0"/>
              <w:spacing w:line="240" w:lineRule="atLeast"/>
              <w:rPr>
                <w:rFonts w:ascii="Times New Roman" w:hAnsi="Times New Roman"/>
                <w:kern w:val="0"/>
                <w:szCs w:val="21"/>
              </w:rPr>
            </w:pPr>
          </w:p>
        </w:tc>
      </w:tr>
      <w:tr w:rsidR="00525419">
        <w:trPr>
          <w:trHeight w:val="1029"/>
          <w:jc w:val="center"/>
        </w:trPr>
        <w:tc>
          <w:tcPr>
            <w:tcW w:w="1113" w:type="dxa"/>
            <w:vMerge/>
            <w:tcBorders>
              <w:tl2br w:val="nil"/>
              <w:tr2bl w:val="nil"/>
            </w:tcBorders>
            <w:vAlign w:val="center"/>
          </w:tcPr>
          <w:p w:rsidR="00525419" w:rsidRDefault="00525419">
            <w:pPr>
              <w:tabs>
                <w:tab w:val="left" w:pos="360"/>
                <w:tab w:val="left" w:pos="1620"/>
              </w:tabs>
              <w:snapToGrid w:val="0"/>
              <w:spacing w:line="240" w:lineRule="atLeast"/>
              <w:rPr>
                <w:rFonts w:ascii="Times New Roman" w:hAnsi="Times New Roman"/>
                <w:szCs w:val="21"/>
              </w:rPr>
            </w:pPr>
          </w:p>
        </w:tc>
        <w:tc>
          <w:tcPr>
            <w:tcW w:w="1185"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NH</w:t>
            </w:r>
            <w:r>
              <w:rPr>
                <w:rFonts w:ascii="Times New Roman" w:hAnsi="Times New Roman"/>
                <w:szCs w:val="21"/>
                <w:vertAlign w:val="subscript"/>
              </w:rPr>
              <w:t>3</w:t>
            </w:r>
          </w:p>
        </w:tc>
        <w:tc>
          <w:tcPr>
            <w:tcW w:w="2197" w:type="dxa"/>
            <w:gridSpan w:val="3"/>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0.2mg/m</w:t>
            </w:r>
            <w:r>
              <w:rPr>
                <w:rFonts w:ascii="Times New Roman" w:hAnsi="Times New Roman"/>
                <w:szCs w:val="21"/>
                <w:vertAlign w:val="superscript"/>
              </w:rPr>
              <w:t>3</w:t>
            </w:r>
          </w:p>
        </w:tc>
        <w:tc>
          <w:tcPr>
            <w:tcW w:w="2264" w:type="dxa"/>
            <w:vMerge/>
            <w:tcBorders>
              <w:tl2br w:val="nil"/>
              <w:tr2bl w:val="nil"/>
            </w:tcBorders>
            <w:vAlign w:val="center"/>
          </w:tcPr>
          <w:p w:rsidR="00525419" w:rsidRDefault="00525419">
            <w:pPr>
              <w:tabs>
                <w:tab w:val="left" w:pos="360"/>
                <w:tab w:val="left" w:pos="1620"/>
              </w:tabs>
              <w:adjustRightInd w:val="0"/>
              <w:snapToGrid w:val="0"/>
              <w:spacing w:line="240" w:lineRule="atLeast"/>
              <w:rPr>
                <w:rFonts w:ascii="Times New Roman" w:hAnsi="Times New Roman"/>
                <w:szCs w:val="21"/>
              </w:rPr>
            </w:pPr>
          </w:p>
        </w:tc>
        <w:tc>
          <w:tcPr>
            <w:tcW w:w="1698" w:type="dxa"/>
            <w:vMerge/>
            <w:tcBorders>
              <w:tl2br w:val="nil"/>
              <w:tr2bl w:val="nil"/>
            </w:tcBorders>
            <w:vAlign w:val="center"/>
          </w:tcPr>
          <w:p w:rsidR="00525419" w:rsidRDefault="00525419">
            <w:pPr>
              <w:tabs>
                <w:tab w:val="left" w:pos="360"/>
                <w:tab w:val="left" w:pos="1620"/>
              </w:tabs>
              <w:snapToGrid w:val="0"/>
              <w:spacing w:line="240" w:lineRule="atLeast"/>
              <w:rPr>
                <w:rFonts w:ascii="Times New Roman" w:hAnsi="Times New Roman"/>
                <w:kern w:val="0"/>
                <w:szCs w:val="21"/>
              </w:rPr>
            </w:pPr>
          </w:p>
        </w:tc>
      </w:tr>
      <w:tr w:rsidR="00525419">
        <w:trPr>
          <w:trHeight w:val="319"/>
          <w:jc w:val="center"/>
        </w:trPr>
        <w:tc>
          <w:tcPr>
            <w:tcW w:w="1113" w:type="dxa"/>
            <w:vMerge w:val="restart"/>
            <w:tcBorders>
              <w:tl2br w:val="nil"/>
              <w:tr2bl w:val="nil"/>
            </w:tcBorders>
            <w:vAlign w:val="center"/>
          </w:tcPr>
          <w:p w:rsidR="00525419" w:rsidRDefault="00EE1CF7">
            <w:pPr>
              <w:spacing w:line="240" w:lineRule="atLeast"/>
              <w:rPr>
                <w:rFonts w:ascii="Times New Roman" w:hAnsi="Times New Roman"/>
                <w:kern w:val="0"/>
                <w:szCs w:val="21"/>
                <w:lang w:val="zh-CN"/>
              </w:rPr>
            </w:pPr>
            <w:r>
              <w:rPr>
                <w:rFonts w:ascii="Times New Roman" w:hAnsi="Times New Roman"/>
                <w:kern w:val="0"/>
                <w:szCs w:val="21"/>
                <w:lang w:val="zh-CN"/>
              </w:rPr>
              <w:t>运营噪声</w:t>
            </w:r>
          </w:p>
        </w:tc>
        <w:tc>
          <w:tcPr>
            <w:tcW w:w="1185" w:type="dxa"/>
            <w:vMerge w:val="restart"/>
            <w:tcBorders>
              <w:tl2br w:val="nil"/>
              <w:tr2bl w:val="nil"/>
            </w:tcBorders>
            <w:vAlign w:val="center"/>
          </w:tcPr>
          <w:p w:rsidR="00525419" w:rsidRDefault="00EE1CF7">
            <w:pPr>
              <w:spacing w:line="240" w:lineRule="atLeast"/>
              <w:rPr>
                <w:rFonts w:ascii="Times New Roman" w:hAnsi="Times New Roman"/>
                <w:kern w:val="0"/>
                <w:szCs w:val="21"/>
                <w:lang w:val="zh-CN"/>
              </w:rPr>
            </w:pPr>
            <w:r>
              <w:rPr>
                <w:rFonts w:ascii="Times New Roman" w:hAnsi="Times New Roman"/>
                <w:kern w:val="0"/>
                <w:szCs w:val="21"/>
                <w:lang w:val="zh-CN"/>
              </w:rPr>
              <w:t>厂界噪声</w:t>
            </w:r>
          </w:p>
        </w:tc>
        <w:tc>
          <w:tcPr>
            <w:tcW w:w="1064" w:type="dxa"/>
            <w:tcBorders>
              <w:tl2br w:val="nil"/>
              <w:tr2bl w:val="nil"/>
            </w:tcBorders>
            <w:vAlign w:val="center"/>
          </w:tcPr>
          <w:p w:rsidR="00525419" w:rsidRDefault="00EE1CF7">
            <w:pPr>
              <w:spacing w:line="240" w:lineRule="atLeast"/>
              <w:rPr>
                <w:rFonts w:ascii="Times New Roman" w:hAnsi="Times New Roman"/>
                <w:kern w:val="0"/>
                <w:szCs w:val="21"/>
                <w:lang w:val="zh-CN"/>
              </w:rPr>
            </w:pPr>
            <w:r>
              <w:rPr>
                <w:rFonts w:ascii="Times New Roman" w:hAnsi="Times New Roman"/>
                <w:szCs w:val="21"/>
              </w:rPr>
              <w:t>昼间</w:t>
            </w:r>
          </w:p>
        </w:tc>
        <w:tc>
          <w:tcPr>
            <w:tcW w:w="1133" w:type="dxa"/>
            <w:gridSpan w:val="2"/>
            <w:tcBorders>
              <w:tl2br w:val="nil"/>
              <w:tr2bl w:val="nil"/>
            </w:tcBorders>
            <w:vAlign w:val="center"/>
          </w:tcPr>
          <w:p w:rsidR="00525419" w:rsidRDefault="00EE1CF7">
            <w:pPr>
              <w:spacing w:line="240" w:lineRule="atLeast"/>
              <w:rPr>
                <w:rFonts w:ascii="Times New Roman" w:hAnsi="Times New Roman"/>
                <w:kern w:val="0"/>
                <w:szCs w:val="21"/>
                <w:lang w:val="zh-CN"/>
              </w:rPr>
            </w:pPr>
            <w:r>
              <w:rPr>
                <w:rFonts w:ascii="Times New Roman" w:hAnsi="Times New Roman"/>
                <w:szCs w:val="21"/>
              </w:rPr>
              <w:t>65dB</w:t>
            </w:r>
            <w:r>
              <w:rPr>
                <w:rFonts w:ascii="Times New Roman" w:hAnsi="Times New Roman"/>
                <w:szCs w:val="21"/>
              </w:rPr>
              <w:t>（</w:t>
            </w:r>
            <w:r>
              <w:rPr>
                <w:rFonts w:ascii="Times New Roman" w:hAnsi="Times New Roman"/>
                <w:szCs w:val="21"/>
              </w:rPr>
              <w:t>A</w:t>
            </w:r>
            <w:r>
              <w:rPr>
                <w:rFonts w:ascii="Times New Roman" w:hAnsi="Times New Roman"/>
                <w:szCs w:val="21"/>
              </w:rPr>
              <w:t>）</w:t>
            </w:r>
          </w:p>
        </w:tc>
        <w:tc>
          <w:tcPr>
            <w:tcW w:w="2264" w:type="dxa"/>
            <w:vMerge w:val="restart"/>
            <w:tcBorders>
              <w:tl2br w:val="nil"/>
              <w:tr2bl w:val="nil"/>
            </w:tcBorders>
            <w:vAlign w:val="center"/>
          </w:tcPr>
          <w:p w:rsidR="00525419" w:rsidRDefault="00EE1CF7">
            <w:pPr>
              <w:spacing w:line="240" w:lineRule="atLeast"/>
              <w:rPr>
                <w:rFonts w:ascii="Times New Roman" w:hAnsi="Times New Roman"/>
                <w:kern w:val="0"/>
                <w:szCs w:val="21"/>
                <w:lang w:val="zh-CN"/>
              </w:rPr>
            </w:pPr>
            <w:r>
              <w:rPr>
                <w:rFonts w:ascii="Times New Roman" w:hAnsi="Times New Roman"/>
                <w:szCs w:val="21"/>
              </w:rPr>
              <w:t>《工业企业厂界环境噪声排放标准》（</w:t>
            </w:r>
            <w:r>
              <w:rPr>
                <w:rFonts w:ascii="Times New Roman" w:hAnsi="Times New Roman"/>
                <w:szCs w:val="21"/>
              </w:rPr>
              <w:t>GB12348-2008</w:t>
            </w:r>
            <w:r>
              <w:rPr>
                <w:rFonts w:ascii="Times New Roman" w:hAnsi="Times New Roman"/>
                <w:szCs w:val="21"/>
              </w:rPr>
              <w:t>）</w:t>
            </w:r>
          </w:p>
        </w:tc>
        <w:tc>
          <w:tcPr>
            <w:tcW w:w="1698" w:type="dxa"/>
            <w:vMerge w:val="restart"/>
            <w:tcBorders>
              <w:tl2br w:val="nil"/>
              <w:tr2bl w:val="nil"/>
            </w:tcBorders>
            <w:vAlign w:val="center"/>
          </w:tcPr>
          <w:p w:rsidR="00525419" w:rsidRDefault="00EE1CF7">
            <w:pPr>
              <w:spacing w:line="240" w:lineRule="atLeast"/>
              <w:jc w:val="center"/>
              <w:rPr>
                <w:rFonts w:ascii="Times New Roman" w:hAnsi="Times New Roman"/>
                <w:kern w:val="0"/>
                <w:szCs w:val="21"/>
                <w:lang w:val="zh-CN"/>
              </w:rPr>
            </w:pPr>
            <w:r>
              <w:rPr>
                <w:rFonts w:ascii="Times New Roman" w:hAnsi="Times New Roman"/>
                <w:kern w:val="0"/>
                <w:szCs w:val="21"/>
                <w:lang w:val="zh-CN"/>
              </w:rPr>
              <w:t>厂界外</w:t>
            </w:r>
            <w:r>
              <w:rPr>
                <w:rFonts w:ascii="Times New Roman" w:hAnsi="Times New Roman"/>
                <w:kern w:val="0"/>
                <w:szCs w:val="21"/>
                <w:lang w:val="zh-CN"/>
              </w:rPr>
              <w:t>1m</w:t>
            </w:r>
          </w:p>
        </w:tc>
      </w:tr>
      <w:tr w:rsidR="00525419">
        <w:trPr>
          <w:trHeight w:val="618"/>
          <w:jc w:val="center"/>
        </w:trPr>
        <w:tc>
          <w:tcPr>
            <w:tcW w:w="1113" w:type="dxa"/>
            <w:vMerge/>
            <w:tcBorders>
              <w:tl2br w:val="nil"/>
              <w:tr2bl w:val="nil"/>
            </w:tcBorders>
            <w:vAlign w:val="center"/>
          </w:tcPr>
          <w:p w:rsidR="00525419" w:rsidRDefault="00525419">
            <w:pPr>
              <w:rPr>
                <w:rFonts w:ascii="Times New Roman" w:hAnsi="Times New Roman"/>
                <w:szCs w:val="24"/>
              </w:rPr>
            </w:pPr>
          </w:p>
        </w:tc>
        <w:tc>
          <w:tcPr>
            <w:tcW w:w="1185" w:type="dxa"/>
            <w:vMerge/>
            <w:tcBorders>
              <w:tl2br w:val="nil"/>
              <w:tr2bl w:val="nil"/>
            </w:tcBorders>
            <w:vAlign w:val="center"/>
          </w:tcPr>
          <w:p w:rsidR="00525419" w:rsidRDefault="00525419">
            <w:pPr>
              <w:rPr>
                <w:rFonts w:ascii="Times New Roman" w:hAnsi="Times New Roman"/>
                <w:szCs w:val="24"/>
              </w:rPr>
            </w:pPr>
          </w:p>
        </w:tc>
        <w:tc>
          <w:tcPr>
            <w:tcW w:w="1064" w:type="dxa"/>
            <w:tcBorders>
              <w:tl2br w:val="nil"/>
              <w:tr2bl w:val="nil"/>
            </w:tcBorders>
            <w:vAlign w:val="center"/>
          </w:tcPr>
          <w:p w:rsidR="00525419" w:rsidRDefault="00EE1CF7">
            <w:pPr>
              <w:spacing w:line="240" w:lineRule="atLeast"/>
              <w:rPr>
                <w:rFonts w:ascii="Times New Roman" w:hAnsi="Times New Roman"/>
                <w:kern w:val="0"/>
                <w:szCs w:val="21"/>
                <w:lang w:val="zh-CN"/>
              </w:rPr>
            </w:pPr>
            <w:r>
              <w:rPr>
                <w:rFonts w:ascii="Times New Roman" w:hAnsi="Times New Roman"/>
                <w:szCs w:val="21"/>
              </w:rPr>
              <w:t>夜间</w:t>
            </w:r>
          </w:p>
        </w:tc>
        <w:tc>
          <w:tcPr>
            <w:tcW w:w="1133" w:type="dxa"/>
            <w:gridSpan w:val="2"/>
            <w:tcBorders>
              <w:tl2br w:val="nil"/>
              <w:tr2bl w:val="nil"/>
            </w:tcBorders>
            <w:vAlign w:val="center"/>
          </w:tcPr>
          <w:p w:rsidR="00525419" w:rsidRDefault="00EE1CF7">
            <w:pPr>
              <w:spacing w:line="240" w:lineRule="atLeast"/>
              <w:rPr>
                <w:rFonts w:ascii="Times New Roman" w:hAnsi="Times New Roman"/>
                <w:kern w:val="0"/>
                <w:szCs w:val="21"/>
                <w:lang w:val="zh-CN"/>
              </w:rPr>
            </w:pPr>
            <w:r>
              <w:rPr>
                <w:rFonts w:ascii="Times New Roman" w:hAnsi="Times New Roman"/>
                <w:szCs w:val="21"/>
              </w:rPr>
              <w:t>55dB</w:t>
            </w:r>
            <w:r>
              <w:rPr>
                <w:rFonts w:ascii="Times New Roman" w:hAnsi="Times New Roman"/>
                <w:szCs w:val="21"/>
              </w:rPr>
              <w:t>（</w:t>
            </w:r>
            <w:r>
              <w:rPr>
                <w:rFonts w:ascii="Times New Roman" w:hAnsi="Times New Roman"/>
                <w:szCs w:val="21"/>
              </w:rPr>
              <w:t>A</w:t>
            </w:r>
            <w:r>
              <w:rPr>
                <w:rFonts w:ascii="Times New Roman" w:hAnsi="Times New Roman"/>
                <w:szCs w:val="21"/>
              </w:rPr>
              <w:t>）</w:t>
            </w:r>
          </w:p>
        </w:tc>
        <w:tc>
          <w:tcPr>
            <w:tcW w:w="2264" w:type="dxa"/>
            <w:vMerge/>
            <w:tcBorders>
              <w:tl2br w:val="nil"/>
              <w:tr2bl w:val="nil"/>
            </w:tcBorders>
            <w:vAlign w:val="center"/>
          </w:tcPr>
          <w:p w:rsidR="00525419" w:rsidRDefault="00525419">
            <w:pPr>
              <w:rPr>
                <w:rFonts w:ascii="Times New Roman" w:hAnsi="Times New Roman"/>
                <w:szCs w:val="24"/>
              </w:rPr>
            </w:pPr>
          </w:p>
        </w:tc>
        <w:tc>
          <w:tcPr>
            <w:tcW w:w="1698" w:type="dxa"/>
            <w:vMerge/>
            <w:tcBorders>
              <w:tl2br w:val="nil"/>
              <w:tr2bl w:val="nil"/>
            </w:tcBorders>
            <w:vAlign w:val="center"/>
          </w:tcPr>
          <w:p w:rsidR="00525419" w:rsidRDefault="00525419">
            <w:pPr>
              <w:jc w:val="center"/>
              <w:rPr>
                <w:rFonts w:ascii="Times New Roman" w:hAnsi="Times New Roman"/>
                <w:szCs w:val="24"/>
              </w:rPr>
            </w:pPr>
          </w:p>
        </w:tc>
      </w:tr>
      <w:tr w:rsidR="00525419">
        <w:trPr>
          <w:trHeight w:val="249"/>
          <w:jc w:val="center"/>
        </w:trPr>
        <w:tc>
          <w:tcPr>
            <w:tcW w:w="1113" w:type="dxa"/>
            <w:vMerge w:val="restart"/>
            <w:tcBorders>
              <w:tl2br w:val="nil"/>
              <w:tr2bl w:val="nil"/>
            </w:tcBorders>
            <w:vAlign w:val="center"/>
          </w:tcPr>
          <w:p w:rsidR="00525419" w:rsidRDefault="00EE1CF7">
            <w:pPr>
              <w:spacing w:line="240" w:lineRule="atLeast"/>
              <w:rPr>
                <w:rFonts w:ascii="Times New Roman" w:hAnsi="Times New Roman"/>
                <w:szCs w:val="24"/>
              </w:rPr>
            </w:pPr>
            <w:r>
              <w:rPr>
                <w:rFonts w:ascii="Times New Roman" w:hAnsi="Times New Roman"/>
                <w:kern w:val="0"/>
                <w:szCs w:val="21"/>
                <w:lang w:val="zh-CN"/>
              </w:rPr>
              <w:t>废水</w:t>
            </w:r>
          </w:p>
        </w:tc>
        <w:tc>
          <w:tcPr>
            <w:tcW w:w="1185" w:type="dxa"/>
            <w:tcBorders>
              <w:tl2br w:val="nil"/>
              <w:tr2bl w:val="nil"/>
            </w:tcBorders>
            <w:vAlign w:val="center"/>
          </w:tcPr>
          <w:p w:rsidR="00525419" w:rsidRDefault="00EE1CF7">
            <w:pPr>
              <w:tabs>
                <w:tab w:val="left" w:pos="360"/>
                <w:tab w:val="left" w:pos="1620"/>
              </w:tabs>
              <w:snapToGrid w:val="0"/>
              <w:spacing w:line="240" w:lineRule="atLeast"/>
              <w:rPr>
                <w:rFonts w:ascii="Times New Roman" w:hAnsi="Times New Roman"/>
                <w:szCs w:val="21"/>
              </w:rPr>
            </w:pPr>
            <w:r>
              <w:rPr>
                <w:rFonts w:ascii="Times New Roman" w:hAnsi="Times New Roman"/>
                <w:szCs w:val="21"/>
              </w:rPr>
              <w:t>pH</w:t>
            </w:r>
          </w:p>
        </w:tc>
        <w:tc>
          <w:tcPr>
            <w:tcW w:w="2197" w:type="dxa"/>
            <w:gridSpan w:val="3"/>
            <w:tcBorders>
              <w:tl2br w:val="nil"/>
              <w:tr2bl w:val="nil"/>
            </w:tcBorders>
            <w:vAlign w:val="center"/>
          </w:tcPr>
          <w:p w:rsidR="00525419" w:rsidRDefault="00EE1CF7">
            <w:pPr>
              <w:tabs>
                <w:tab w:val="left" w:pos="360"/>
                <w:tab w:val="left" w:pos="1620"/>
              </w:tabs>
              <w:snapToGrid w:val="0"/>
              <w:spacing w:line="240" w:lineRule="atLeast"/>
              <w:rPr>
                <w:rFonts w:ascii="Times New Roman" w:hAnsi="Times New Roman"/>
                <w:szCs w:val="21"/>
              </w:rPr>
            </w:pPr>
            <w:r>
              <w:rPr>
                <w:rFonts w:ascii="Times New Roman" w:hAnsi="Times New Roman"/>
                <w:szCs w:val="21"/>
              </w:rPr>
              <w:t>6-9</w:t>
            </w:r>
          </w:p>
        </w:tc>
        <w:tc>
          <w:tcPr>
            <w:tcW w:w="2264" w:type="dxa"/>
            <w:vMerge w:val="restart"/>
            <w:tcBorders>
              <w:tl2br w:val="nil"/>
              <w:tr2bl w:val="nil"/>
            </w:tcBorders>
            <w:vAlign w:val="center"/>
          </w:tcPr>
          <w:p w:rsidR="00525419" w:rsidRDefault="00EE1CF7">
            <w:pPr>
              <w:tabs>
                <w:tab w:val="left" w:pos="360"/>
                <w:tab w:val="left" w:pos="1620"/>
              </w:tabs>
              <w:snapToGrid w:val="0"/>
              <w:spacing w:line="240" w:lineRule="atLeast"/>
              <w:rPr>
                <w:rFonts w:ascii="Times New Roman" w:hAnsi="Times New Roman"/>
                <w:szCs w:val="21"/>
              </w:rPr>
            </w:pPr>
            <w:r>
              <w:rPr>
                <w:rFonts w:ascii="Times New Roman" w:hAnsi="Times New Roman"/>
                <w:szCs w:val="21"/>
              </w:rPr>
              <w:t>《循环冷却水用再生水水质标准》</w:t>
            </w:r>
            <w:r>
              <w:rPr>
                <w:rFonts w:ascii="Times New Roman" w:hAnsi="Times New Roman"/>
                <w:szCs w:val="21"/>
              </w:rPr>
              <w:lastRenderedPageBreak/>
              <w:t>（</w:t>
            </w:r>
            <w:r>
              <w:rPr>
                <w:rFonts w:ascii="Times New Roman" w:hAnsi="Times New Roman"/>
                <w:szCs w:val="21"/>
              </w:rPr>
              <w:t>HJ/T3923-2007</w:t>
            </w:r>
            <w:r>
              <w:rPr>
                <w:rFonts w:ascii="Times New Roman" w:hAnsi="Times New Roman"/>
                <w:szCs w:val="21"/>
              </w:rPr>
              <w:t>）</w:t>
            </w:r>
          </w:p>
        </w:tc>
        <w:tc>
          <w:tcPr>
            <w:tcW w:w="1698" w:type="dxa"/>
            <w:vMerge w:val="restart"/>
            <w:tcBorders>
              <w:tl2br w:val="nil"/>
              <w:tr2bl w:val="nil"/>
            </w:tcBorders>
            <w:vAlign w:val="center"/>
          </w:tcPr>
          <w:p w:rsidR="00525419" w:rsidRDefault="00EE1CF7">
            <w:pPr>
              <w:tabs>
                <w:tab w:val="left" w:pos="360"/>
                <w:tab w:val="left" w:pos="1620"/>
              </w:tabs>
              <w:snapToGrid w:val="0"/>
              <w:spacing w:line="240" w:lineRule="atLeast"/>
              <w:jc w:val="center"/>
              <w:rPr>
                <w:rFonts w:ascii="Times New Roman" w:hAnsi="Times New Roman"/>
                <w:szCs w:val="21"/>
              </w:rPr>
            </w:pPr>
            <w:r>
              <w:rPr>
                <w:rFonts w:ascii="Times New Roman" w:hAnsi="Times New Roman"/>
                <w:szCs w:val="21"/>
              </w:rPr>
              <w:lastRenderedPageBreak/>
              <w:t>/</w:t>
            </w:r>
          </w:p>
        </w:tc>
      </w:tr>
      <w:tr w:rsidR="00525419">
        <w:trPr>
          <w:trHeight w:val="247"/>
          <w:jc w:val="center"/>
        </w:trPr>
        <w:tc>
          <w:tcPr>
            <w:tcW w:w="1113" w:type="dxa"/>
            <w:vMerge/>
            <w:tcBorders>
              <w:tl2br w:val="nil"/>
              <w:tr2bl w:val="nil"/>
            </w:tcBorders>
            <w:vAlign w:val="center"/>
          </w:tcPr>
          <w:p w:rsidR="00525419" w:rsidRDefault="00525419">
            <w:pPr>
              <w:spacing w:line="240" w:lineRule="atLeast"/>
              <w:rPr>
                <w:rFonts w:ascii="Times New Roman" w:hAnsi="Times New Roman"/>
                <w:kern w:val="0"/>
                <w:szCs w:val="21"/>
                <w:lang w:val="zh-CN"/>
              </w:rPr>
            </w:pPr>
          </w:p>
        </w:tc>
        <w:tc>
          <w:tcPr>
            <w:tcW w:w="1185" w:type="dxa"/>
            <w:tcBorders>
              <w:tl2br w:val="nil"/>
              <w:tr2bl w:val="nil"/>
            </w:tcBorders>
            <w:vAlign w:val="center"/>
          </w:tcPr>
          <w:p w:rsidR="00525419" w:rsidRDefault="00EE1CF7">
            <w:pPr>
              <w:tabs>
                <w:tab w:val="left" w:pos="360"/>
                <w:tab w:val="left" w:pos="1620"/>
              </w:tabs>
              <w:snapToGrid w:val="0"/>
              <w:spacing w:line="240" w:lineRule="atLeast"/>
              <w:rPr>
                <w:rFonts w:ascii="Times New Roman" w:hAnsi="Times New Roman"/>
                <w:szCs w:val="21"/>
              </w:rPr>
            </w:pPr>
            <w:r>
              <w:rPr>
                <w:rFonts w:ascii="Times New Roman" w:hAnsi="Times New Roman"/>
                <w:szCs w:val="21"/>
              </w:rPr>
              <w:t>悬浮物</w:t>
            </w:r>
          </w:p>
        </w:tc>
        <w:tc>
          <w:tcPr>
            <w:tcW w:w="2197" w:type="dxa"/>
            <w:gridSpan w:val="3"/>
            <w:tcBorders>
              <w:tl2br w:val="nil"/>
              <w:tr2bl w:val="nil"/>
            </w:tcBorders>
            <w:vAlign w:val="center"/>
          </w:tcPr>
          <w:p w:rsidR="00525419" w:rsidRDefault="00EE1CF7">
            <w:pPr>
              <w:tabs>
                <w:tab w:val="left" w:pos="360"/>
                <w:tab w:val="left" w:pos="1620"/>
              </w:tabs>
              <w:snapToGrid w:val="0"/>
              <w:spacing w:line="240" w:lineRule="atLeast"/>
              <w:rPr>
                <w:rFonts w:ascii="Times New Roman" w:hAnsi="Times New Roman"/>
                <w:szCs w:val="21"/>
              </w:rPr>
            </w:pPr>
            <w:r>
              <w:rPr>
                <w:rFonts w:ascii="Times New Roman" w:hAnsi="Times New Roman"/>
                <w:szCs w:val="21"/>
              </w:rPr>
              <w:t>20mg/L</w:t>
            </w:r>
          </w:p>
        </w:tc>
        <w:tc>
          <w:tcPr>
            <w:tcW w:w="2264" w:type="dxa"/>
            <w:vMerge/>
            <w:tcBorders>
              <w:tl2br w:val="nil"/>
              <w:tr2bl w:val="nil"/>
            </w:tcBorders>
            <w:vAlign w:val="center"/>
          </w:tcPr>
          <w:p w:rsidR="00525419" w:rsidRDefault="00525419">
            <w:pPr>
              <w:spacing w:line="240" w:lineRule="atLeast"/>
              <w:rPr>
                <w:rFonts w:ascii="Times New Roman" w:hAnsi="Times New Roman"/>
                <w:szCs w:val="24"/>
              </w:rPr>
            </w:pPr>
          </w:p>
        </w:tc>
        <w:tc>
          <w:tcPr>
            <w:tcW w:w="1698" w:type="dxa"/>
            <w:vMerge/>
            <w:tcBorders>
              <w:tl2br w:val="nil"/>
              <w:tr2bl w:val="nil"/>
            </w:tcBorders>
            <w:vAlign w:val="center"/>
          </w:tcPr>
          <w:p w:rsidR="00525419" w:rsidRDefault="00525419">
            <w:pPr>
              <w:spacing w:line="240" w:lineRule="atLeast"/>
              <w:rPr>
                <w:rFonts w:ascii="Times New Roman" w:hAnsi="Times New Roman"/>
                <w:szCs w:val="24"/>
              </w:rPr>
            </w:pPr>
          </w:p>
        </w:tc>
      </w:tr>
      <w:tr w:rsidR="00525419">
        <w:trPr>
          <w:trHeight w:val="90"/>
          <w:jc w:val="center"/>
        </w:trPr>
        <w:tc>
          <w:tcPr>
            <w:tcW w:w="1113" w:type="dxa"/>
            <w:vMerge/>
            <w:tcBorders>
              <w:tl2br w:val="nil"/>
              <w:tr2bl w:val="nil"/>
            </w:tcBorders>
            <w:vAlign w:val="center"/>
          </w:tcPr>
          <w:p w:rsidR="00525419" w:rsidRDefault="00525419">
            <w:pPr>
              <w:spacing w:line="240" w:lineRule="atLeast"/>
              <w:rPr>
                <w:rFonts w:ascii="Times New Roman" w:hAnsi="Times New Roman"/>
                <w:kern w:val="0"/>
                <w:szCs w:val="21"/>
                <w:lang w:val="zh-CN"/>
              </w:rPr>
            </w:pPr>
          </w:p>
        </w:tc>
        <w:tc>
          <w:tcPr>
            <w:tcW w:w="1185" w:type="dxa"/>
            <w:tcBorders>
              <w:tl2br w:val="nil"/>
              <w:tr2bl w:val="nil"/>
            </w:tcBorders>
            <w:vAlign w:val="center"/>
          </w:tcPr>
          <w:p w:rsidR="00525419" w:rsidRDefault="00EE1CF7">
            <w:pPr>
              <w:tabs>
                <w:tab w:val="left" w:pos="360"/>
                <w:tab w:val="left" w:pos="1620"/>
              </w:tabs>
              <w:snapToGrid w:val="0"/>
              <w:spacing w:line="240" w:lineRule="atLeast"/>
              <w:rPr>
                <w:rFonts w:ascii="Times New Roman" w:hAnsi="Times New Roman"/>
                <w:szCs w:val="21"/>
              </w:rPr>
            </w:pPr>
            <w:r>
              <w:rPr>
                <w:rFonts w:ascii="Times New Roman" w:hAnsi="Times New Roman"/>
                <w:szCs w:val="21"/>
              </w:rPr>
              <w:t>化学需氧</w:t>
            </w:r>
            <w:r>
              <w:rPr>
                <w:rFonts w:ascii="Times New Roman" w:hAnsi="Times New Roman"/>
                <w:szCs w:val="21"/>
              </w:rPr>
              <w:lastRenderedPageBreak/>
              <w:t>量</w:t>
            </w:r>
          </w:p>
        </w:tc>
        <w:tc>
          <w:tcPr>
            <w:tcW w:w="2197" w:type="dxa"/>
            <w:gridSpan w:val="3"/>
            <w:tcBorders>
              <w:tl2br w:val="nil"/>
              <w:tr2bl w:val="nil"/>
            </w:tcBorders>
            <w:vAlign w:val="center"/>
          </w:tcPr>
          <w:p w:rsidR="00525419" w:rsidRDefault="00EE1CF7">
            <w:pPr>
              <w:tabs>
                <w:tab w:val="left" w:pos="360"/>
                <w:tab w:val="left" w:pos="1620"/>
              </w:tabs>
              <w:snapToGrid w:val="0"/>
              <w:spacing w:line="240" w:lineRule="atLeast"/>
              <w:rPr>
                <w:rFonts w:ascii="Times New Roman" w:hAnsi="Times New Roman"/>
                <w:szCs w:val="21"/>
              </w:rPr>
            </w:pPr>
            <w:r>
              <w:rPr>
                <w:rFonts w:ascii="Times New Roman" w:hAnsi="Times New Roman"/>
                <w:szCs w:val="21"/>
              </w:rPr>
              <w:lastRenderedPageBreak/>
              <w:t>80mg/L</w:t>
            </w:r>
          </w:p>
        </w:tc>
        <w:tc>
          <w:tcPr>
            <w:tcW w:w="2264" w:type="dxa"/>
            <w:vMerge/>
            <w:tcBorders>
              <w:tl2br w:val="nil"/>
              <w:tr2bl w:val="nil"/>
            </w:tcBorders>
            <w:vAlign w:val="center"/>
          </w:tcPr>
          <w:p w:rsidR="00525419" w:rsidRDefault="00525419">
            <w:pPr>
              <w:spacing w:line="240" w:lineRule="atLeast"/>
              <w:rPr>
                <w:rFonts w:ascii="Times New Roman" w:hAnsi="Times New Roman"/>
                <w:szCs w:val="24"/>
              </w:rPr>
            </w:pPr>
          </w:p>
        </w:tc>
        <w:tc>
          <w:tcPr>
            <w:tcW w:w="1698" w:type="dxa"/>
            <w:vMerge/>
            <w:tcBorders>
              <w:tl2br w:val="nil"/>
              <w:tr2bl w:val="nil"/>
            </w:tcBorders>
            <w:vAlign w:val="center"/>
          </w:tcPr>
          <w:p w:rsidR="00525419" w:rsidRDefault="00525419">
            <w:pPr>
              <w:spacing w:line="240" w:lineRule="atLeast"/>
              <w:rPr>
                <w:rFonts w:ascii="Times New Roman" w:hAnsi="Times New Roman"/>
                <w:szCs w:val="24"/>
              </w:rPr>
            </w:pPr>
          </w:p>
        </w:tc>
      </w:tr>
      <w:tr w:rsidR="00525419">
        <w:trPr>
          <w:trHeight w:val="249"/>
          <w:jc w:val="center"/>
        </w:trPr>
        <w:tc>
          <w:tcPr>
            <w:tcW w:w="1113" w:type="dxa"/>
            <w:vMerge/>
            <w:tcBorders>
              <w:tl2br w:val="nil"/>
              <w:tr2bl w:val="nil"/>
            </w:tcBorders>
            <w:vAlign w:val="center"/>
          </w:tcPr>
          <w:p w:rsidR="00525419" w:rsidRDefault="00525419">
            <w:pPr>
              <w:spacing w:line="240" w:lineRule="atLeast"/>
              <w:rPr>
                <w:rFonts w:ascii="Times New Roman" w:hAnsi="Times New Roman"/>
                <w:kern w:val="0"/>
                <w:szCs w:val="21"/>
                <w:lang w:val="zh-CN"/>
              </w:rPr>
            </w:pPr>
          </w:p>
        </w:tc>
        <w:tc>
          <w:tcPr>
            <w:tcW w:w="1185" w:type="dxa"/>
            <w:tcBorders>
              <w:tl2br w:val="nil"/>
              <w:tr2bl w:val="nil"/>
            </w:tcBorders>
            <w:vAlign w:val="center"/>
          </w:tcPr>
          <w:p w:rsidR="00525419" w:rsidRDefault="00EE1CF7">
            <w:pPr>
              <w:tabs>
                <w:tab w:val="left" w:pos="360"/>
                <w:tab w:val="left" w:pos="1620"/>
              </w:tabs>
              <w:snapToGrid w:val="0"/>
              <w:spacing w:line="240" w:lineRule="atLeast"/>
              <w:rPr>
                <w:rFonts w:ascii="Times New Roman" w:hAnsi="Times New Roman"/>
                <w:szCs w:val="21"/>
              </w:rPr>
            </w:pPr>
            <w:r>
              <w:rPr>
                <w:rFonts w:ascii="Times New Roman" w:hAnsi="Times New Roman"/>
                <w:szCs w:val="21"/>
              </w:rPr>
              <w:t>BOD</w:t>
            </w:r>
            <w:r>
              <w:rPr>
                <w:rFonts w:ascii="Times New Roman" w:hAnsi="Times New Roman"/>
                <w:szCs w:val="21"/>
                <w:vertAlign w:val="subscript"/>
              </w:rPr>
              <w:t>5</w:t>
            </w:r>
          </w:p>
        </w:tc>
        <w:tc>
          <w:tcPr>
            <w:tcW w:w="2197" w:type="dxa"/>
            <w:gridSpan w:val="3"/>
            <w:tcBorders>
              <w:tl2br w:val="nil"/>
              <w:tr2bl w:val="nil"/>
            </w:tcBorders>
            <w:vAlign w:val="center"/>
          </w:tcPr>
          <w:p w:rsidR="00525419" w:rsidRDefault="00EE1CF7">
            <w:pPr>
              <w:tabs>
                <w:tab w:val="left" w:pos="360"/>
                <w:tab w:val="left" w:pos="1620"/>
              </w:tabs>
              <w:snapToGrid w:val="0"/>
              <w:spacing w:line="240" w:lineRule="atLeast"/>
              <w:rPr>
                <w:rFonts w:ascii="Times New Roman" w:hAnsi="Times New Roman"/>
                <w:szCs w:val="21"/>
              </w:rPr>
            </w:pPr>
            <w:r>
              <w:rPr>
                <w:rFonts w:ascii="Times New Roman" w:hAnsi="Times New Roman"/>
                <w:szCs w:val="21"/>
              </w:rPr>
              <w:t>5mg/L</w:t>
            </w:r>
          </w:p>
        </w:tc>
        <w:tc>
          <w:tcPr>
            <w:tcW w:w="2264" w:type="dxa"/>
            <w:vMerge/>
            <w:tcBorders>
              <w:tl2br w:val="nil"/>
              <w:tr2bl w:val="nil"/>
            </w:tcBorders>
            <w:vAlign w:val="center"/>
          </w:tcPr>
          <w:p w:rsidR="00525419" w:rsidRDefault="00525419">
            <w:pPr>
              <w:spacing w:line="240" w:lineRule="atLeast"/>
              <w:rPr>
                <w:rFonts w:ascii="Times New Roman" w:hAnsi="Times New Roman"/>
                <w:szCs w:val="24"/>
              </w:rPr>
            </w:pPr>
          </w:p>
        </w:tc>
        <w:tc>
          <w:tcPr>
            <w:tcW w:w="1698" w:type="dxa"/>
            <w:vMerge/>
            <w:tcBorders>
              <w:tl2br w:val="nil"/>
              <w:tr2bl w:val="nil"/>
            </w:tcBorders>
            <w:vAlign w:val="center"/>
          </w:tcPr>
          <w:p w:rsidR="00525419" w:rsidRDefault="00525419">
            <w:pPr>
              <w:spacing w:line="240" w:lineRule="atLeast"/>
              <w:rPr>
                <w:rFonts w:ascii="Times New Roman" w:hAnsi="Times New Roman"/>
                <w:szCs w:val="24"/>
              </w:rPr>
            </w:pPr>
          </w:p>
        </w:tc>
      </w:tr>
      <w:tr w:rsidR="00525419">
        <w:trPr>
          <w:trHeight w:val="280"/>
          <w:jc w:val="center"/>
        </w:trPr>
        <w:tc>
          <w:tcPr>
            <w:tcW w:w="1113" w:type="dxa"/>
            <w:vMerge/>
            <w:tcBorders>
              <w:tl2br w:val="nil"/>
              <w:tr2bl w:val="nil"/>
            </w:tcBorders>
            <w:vAlign w:val="center"/>
          </w:tcPr>
          <w:p w:rsidR="00525419" w:rsidRDefault="00525419">
            <w:pPr>
              <w:spacing w:line="240" w:lineRule="atLeast"/>
              <w:rPr>
                <w:rFonts w:ascii="Times New Roman" w:hAnsi="Times New Roman"/>
                <w:kern w:val="0"/>
                <w:szCs w:val="21"/>
                <w:lang w:val="zh-CN"/>
              </w:rPr>
            </w:pPr>
          </w:p>
        </w:tc>
        <w:tc>
          <w:tcPr>
            <w:tcW w:w="1185" w:type="dxa"/>
            <w:tcBorders>
              <w:tl2br w:val="nil"/>
              <w:tr2bl w:val="nil"/>
            </w:tcBorders>
            <w:vAlign w:val="center"/>
          </w:tcPr>
          <w:p w:rsidR="00525419" w:rsidRDefault="00EE1CF7">
            <w:pPr>
              <w:tabs>
                <w:tab w:val="left" w:pos="360"/>
                <w:tab w:val="left" w:pos="1620"/>
              </w:tabs>
              <w:snapToGrid w:val="0"/>
              <w:spacing w:line="240" w:lineRule="atLeast"/>
              <w:rPr>
                <w:rFonts w:ascii="Times New Roman" w:hAnsi="Times New Roman"/>
                <w:szCs w:val="21"/>
              </w:rPr>
            </w:pPr>
            <w:r>
              <w:rPr>
                <w:rFonts w:ascii="Times New Roman" w:hAnsi="Times New Roman"/>
                <w:szCs w:val="21"/>
              </w:rPr>
              <w:t>氨态氮</w:t>
            </w:r>
          </w:p>
        </w:tc>
        <w:tc>
          <w:tcPr>
            <w:tcW w:w="2197" w:type="dxa"/>
            <w:gridSpan w:val="3"/>
            <w:tcBorders>
              <w:tl2br w:val="nil"/>
              <w:tr2bl w:val="nil"/>
            </w:tcBorders>
            <w:vAlign w:val="center"/>
          </w:tcPr>
          <w:p w:rsidR="00525419" w:rsidRDefault="00EE1CF7">
            <w:pPr>
              <w:tabs>
                <w:tab w:val="left" w:pos="360"/>
                <w:tab w:val="left" w:pos="1620"/>
              </w:tabs>
              <w:snapToGrid w:val="0"/>
              <w:spacing w:line="240" w:lineRule="atLeast"/>
              <w:rPr>
                <w:rFonts w:ascii="Times New Roman" w:hAnsi="Times New Roman"/>
                <w:szCs w:val="21"/>
              </w:rPr>
            </w:pPr>
            <w:r>
              <w:rPr>
                <w:rFonts w:ascii="Times New Roman" w:hAnsi="Times New Roman"/>
                <w:szCs w:val="21"/>
              </w:rPr>
              <w:t>15 mg/L</w:t>
            </w:r>
          </w:p>
        </w:tc>
        <w:tc>
          <w:tcPr>
            <w:tcW w:w="2264" w:type="dxa"/>
            <w:vMerge/>
            <w:tcBorders>
              <w:tl2br w:val="nil"/>
              <w:tr2bl w:val="nil"/>
            </w:tcBorders>
            <w:vAlign w:val="center"/>
          </w:tcPr>
          <w:p w:rsidR="00525419" w:rsidRDefault="00525419">
            <w:pPr>
              <w:spacing w:line="240" w:lineRule="atLeast"/>
              <w:rPr>
                <w:rFonts w:ascii="Times New Roman" w:hAnsi="Times New Roman"/>
                <w:szCs w:val="24"/>
              </w:rPr>
            </w:pPr>
          </w:p>
        </w:tc>
        <w:tc>
          <w:tcPr>
            <w:tcW w:w="1698" w:type="dxa"/>
            <w:vMerge/>
            <w:tcBorders>
              <w:tl2br w:val="nil"/>
              <w:tr2bl w:val="nil"/>
            </w:tcBorders>
            <w:vAlign w:val="center"/>
          </w:tcPr>
          <w:p w:rsidR="00525419" w:rsidRDefault="00525419">
            <w:pPr>
              <w:spacing w:line="240" w:lineRule="atLeast"/>
              <w:rPr>
                <w:rFonts w:ascii="Times New Roman" w:hAnsi="Times New Roman"/>
                <w:szCs w:val="24"/>
              </w:rPr>
            </w:pPr>
          </w:p>
        </w:tc>
      </w:tr>
      <w:tr w:rsidR="00525419">
        <w:trPr>
          <w:trHeight w:val="280"/>
          <w:jc w:val="center"/>
        </w:trPr>
        <w:tc>
          <w:tcPr>
            <w:tcW w:w="1113" w:type="dxa"/>
            <w:vMerge/>
            <w:tcBorders>
              <w:tl2br w:val="nil"/>
              <w:tr2bl w:val="nil"/>
            </w:tcBorders>
            <w:vAlign w:val="center"/>
          </w:tcPr>
          <w:p w:rsidR="00525419" w:rsidRDefault="00525419">
            <w:pPr>
              <w:spacing w:line="240" w:lineRule="atLeast"/>
              <w:rPr>
                <w:rFonts w:ascii="Times New Roman" w:hAnsi="Times New Roman"/>
                <w:kern w:val="0"/>
                <w:szCs w:val="21"/>
                <w:lang w:val="zh-CN"/>
              </w:rPr>
            </w:pPr>
          </w:p>
        </w:tc>
        <w:tc>
          <w:tcPr>
            <w:tcW w:w="1185" w:type="dxa"/>
            <w:tcBorders>
              <w:tl2br w:val="nil"/>
              <w:tr2bl w:val="nil"/>
            </w:tcBorders>
            <w:vAlign w:val="center"/>
          </w:tcPr>
          <w:p w:rsidR="00525419" w:rsidRDefault="00EE1CF7">
            <w:pPr>
              <w:tabs>
                <w:tab w:val="left" w:pos="360"/>
                <w:tab w:val="left" w:pos="1620"/>
              </w:tabs>
              <w:snapToGrid w:val="0"/>
              <w:spacing w:line="240" w:lineRule="atLeast"/>
              <w:rPr>
                <w:rFonts w:ascii="Times New Roman" w:hAnsi="Times New Roman"/>
                <w:szCs w:val="21"/>
              </w:rPr>
            </w:pPr>
            <w:r>
              <w:rPr>
                <w:rFonts w:ascii="Times New Roman" w:hAnsi="Times New Roman"/>
                <w:szCs w:val="21"/>
              </w:rPr>
              <w:t>硫化物</w:t>
            </w:r>
          </w:p>
        </w:tc>
        <w:tc>
          <w:tcPr>
            <w:tcW w:w="2197" w:type="dxa"/>
            <w:gridSpan w:val="3"/>
            <w:tcBorders>
              <w:tl2br w:val="nil"/>
              <w:tr2bl w:val="nil"/>
            </w:tcBorders>
            <w:vAlign w:val="center"/>
          </w:tcPr>
          <w:p w:rsidR="00525419" w:rsidRDefault="00EE1CF7">
            <w:pPr>
              <w:tabs>
                <w:tab w:val="left" w:pos="360"/>
                <w:tab w:val="left" w:pos="1620"/>
              </w:tabs>
              <w:snapToGrid w:val="0"/>
              <w:spacing w:line="240" w:lineRule="atLeast"/>
              <w:rPr>
                <w:rFonts w:ascii="Times New Roman" w:hAnsi="Times New Roman"/>
                <w:szCs w:val="21"/>
              </w:rPr>
            </w:pPr>
            <w:r>
              <w:rPr>
                <w:rFonts w:ascii="Times New Roman" w:hAnsi="Times New Roman"/>
                <w:szCs w:val="21"/>
              </w:rPr>
              <w:t>0.1mg/L</w:t>
            </w:r>
          </w:p>
        </w:tc>
        <w:tc>
          <w:tcPr>
            <w:tcW w:w="2264" w:type="dxa"/>
            <w:vMerge/>
            <w:tcBorders>
              <w:tl2br w:val="nil"/>
              <w:tr2bl w:val="nil"/>
            </w:tcBorders>
            <w:vAlign w:val="center"/>
          </w:tcPr>
          <w:p w:rsidR="00525419" w:rsidRDefault="00525419">
            <w:pPr>
              <w:spacing w:line="240" w:lineRule="atLeast"/>
              <w:rPr>
                <w:rFonts w:ascii="Times New Roman" w:hAnsi="Times New Roman"/>
                <w:szCs w:val="24"/>
              </w:rPr>
            </w:pPr>
          </w:p>
        </w:tc>
        <w:tc>
          <w:tcPr>
            <w:tcW w:w="1698" w:type="dxa"/>
            <w:vMerge/>
            <w:tcBorders>
              <w:tl2br w:val="nil"/>
              <w:tr2bl w:val="nil"/>
            </w:tcBorders>
            <w:vAlign w:val="center"/>
          </w:tcPr>
          <w:p w:rsidR="00525419" w:rsidRDefault="00525419">
            <w:pPr>
              <w:spacing w:line="240" w:lineRule="atLeast"/>
              <w:rPr>
                <w:rFonts w:ascii="Times New Roman" w:hAnsi="Times New Roman"/>
                <w:szCs w:val="24"/>
              </w:rPr>
            </w:pPr>
          </w:p>
        </w:tc>
      </w:tr>
      <w:tr w:rsidR="00525419">
        <w:trPr>
          <w:trHeight w:val="280"/>
          <w:jc w:val="center"/>
        </w:trPr>
        <w:tc>
          <w:tcPr>
            <w:tcW w:w="1113" w:type="dxa"/>
            <w:vMerge/>
            <w:tcBorders>
              <w:tl2br w:val="nil"/>
              <w:tr2bl w:val="nil"/>
            </w:tcBorders>
            <w:vAlign w:val="center"/>
          </w:tcPr>
          <w:p w:rsidR="00525419" w:rsidRDefault="00525419">
            <w:pPr>
              <w:spacing w:line="240" w:lineRule="atLeast"/>
              <w:rPr>
                <w:rFonts w:ascii="Times New Roman" w:hAnsi="Times New Roman"/>
                <w:kern w:val="0"/>
                <w:szCs w:val="21"/>
                <w:lang w:val="zh-CN"/>
              </w:rPr>
            </w:pPr>
          </w:p>
        </w:tc>
        <w:tc>
          <w:tcPr>
            <w:tcW w:w="1185" w:type="dxa"/>
            <w:tcBorders>
              <w:tl2br w:val="nil"/>
              <w:tr2bl w:val="nil"/>
            </w:tcBorders>
            <w:vAlign w:val="center"/>
          </w:tcPr>
          <w:p w:rsidR="00525419" w:rsidRDefault="00EE1CF7">
            <w:pPr>
              <w:tabs>
                <w:tab w:val="left" w:pos="360"/>
                <w:tab w:val="left" w:pos="1620"/>
              </w:tabs>
              <w:snapToGrid w:val="0"/>
              <w:spacing w:line="240" w:lineRule="atLeast"/>
              <w:rPr>
                <w:rFonts w:ascii="Times New Roman" w:hAnsi="Times New Roman"/>
                <w:szCs w:val="21"/>
              </w:rPr>
            </w:pPr>
            <w:r>
              <w:rPr>
                <w:rFonts w:ascii="Times New Roman" w:hAnsi="Times New Roman"/>
                <w:szCs w:val="21"/>
              </w:rPr>
              <w:t>油含量</w:t>
            </w:r>
          </w:p>
        </w:tc>
        <w:tc>
          <w:tcPr>
            <w:tcW w:w="2197" w:type="dxa"/>
            <w:gridSpan w:val="3"/>
            <w:tcBorders>
              <w:tl2br w:val="nil"/>
              <w:tr2bl w:val="nil"/>
            </w:tcBorders>
            <w:vAlign w:val="center"/>
          </w:tcPr>
          <w:p w:rsidR="00525419" w:rsidRDefault="00EE1CF7">
            <w:pPr>
              <w:tabs>
                <w:tab w:val="left" w:pos="360"/>
                <w:tab w:val="left" w:pos="1620"/>
              </w:tabs>
              <w:snapToGrid w:val="0"/>
              <w:spacing w:line="240" w:lineRule="atLeast"/>
              <w:rPr>
                <w:rFonts w:ascii="Times New Roman" w:hAnsi="Times New Roman"/>
                <w:szCs w:val="21"/>
              </w:rPr>
            </w:pPr>
            <w:r>
              <w:rPr>
                <w:rFonts w:ascii="Times New Roman" w:hAnsi="Times New Roman"/>
                <w:szCs w:val="21"/>
              </w:rPr>
              <w:t>0.5mg/L</w:t>
            </w:r>
          </w:p>
        </w:tc>
        <w:tc>
          <w:tcPr>
            <w:tcW w:w="2264" w:type="dxa"/>
            <w:vMerge/>
            <w:tcBorders>
              <w:tl2br w:val="nil"/>
              <w:tr2bl w:val="nil"/>
            </w:tcBorders>
            <w:vAlign w:val="center"/>
          </w:tcPr>
          <w:p w:rsidR="00525419" w:rsidRDefault="00525419">
            <w:pPr>
              <w:spacing w:line="240" w:lineRule="atLeast"/>
              <w:rPr>
                <w:rFonts w:ascii="Times New Roman" w:hAnsi="Times New Roman"/>
                <w:szCs w:val="24"/>
              </w:rPr>
            </w:pPr>
          </w:p>
        </w:tc>
        <w:tc>
          <w:tcPr>
            <w:tcW w:w="1698" w:type="dxa"/>
            <w:vMerge/>
            <w:tcBorders>
              <w:tl2br w:val="nil"/>
              <w:tr2bl w:val="nil"/>
            </w:tcBorders>
            <w:vAlign w:val="center"/>
          </w:tcPr>
          <w:p w:rsidR="00525419" w:rsidRDefault="00525419">
            <w:pPr>
              <w:spacing w:line="240" w:lineRule="atLeast"/>
              <w:rPr>
                <w:rFonts w:ascii="Times New Roman" w:hAnsi="Times New Roman"/>
                <w:szCs w:val="24"/>
              </w:rPr>
            </w:pPr>
          </w:p>
        </w:tc>
      </w:tr>
      <w:tr w:rsidR="00525419">
        <w:trPr>
          <w:trHeight w:val="445"/>
          <w:jc w:val="center"/>
        </w:trPr>
        <w:tc>
          <w:tcPr>
            <w:tcW w:w="1113" w:type="dxa"/>
            <w:vMerge/>
            <w:tcBorders>
              <w:tl2br w:val="nil"/>
              <w:tr2bl w:val="nil"/>
            </w:tcBorders>
            <w:vAlign w:val="center"/>
          </w:tcPr>
          <w:p w:rsidR="00525419" w:rsidRDefault="00525419">
            <w:pPr>
              <w:spacing w:line="240" w:lineRule="atLeast"/>
              <w:rPr>
                <w:rFonts w:ascii="Times New Roman" w:hAnsi="Times New Roman"/>
                <w:kern w:val="0"/>
                <w:szCs w:val="21"/>
                <w:lang w:val="zh-CN"/>
              </w:rPr>
            </w:pPr>
          </w:p>
        </w:tc>
        <w:tc>
          <w:tcPr>
            <w:tcW w:w="1185" w:type="dxa"/>
            <w:tcBorders>
              <w:tl2br w:val="nil"/>
              <w:tr2bl w:val="nil"/>
            </w:tcBorders>
            <w:vAlign w:val="center"/>
          </w:tcPr>
          <w:p w:rsidR="00525419" w:rsidRDefault="00EE1CF7">
            <w:pPr>
              <w:tabs>
                <w:tab w:val="left" w:pos="360"/>
                <w:tab w:val="left" w:pos="1620"/>
              </w:tabs>
              <w:snapToGrid w:val="0"/>
              <w:spacing w:line="240" w:lineRule="atLeast"/>
              <w:rPr>
                <w:rFonts w:ascii="Times New Roman" w:hAnsi="Times New Roman"/>
                <w:szCs w:val="21"/>
              </w:rPr>
            </w:pPr>
            <w:r>
              <w:rPr>
                <w:rFonts w:ascii="Times New Roman" w:hAnsi="Times New Roman"/>
                <w:szCs w:val="21"/>
              </w:rPr>
              <w:t>细菌总数</w:t>
            </w:r>
          </w:p>
        </w:tc>
        <w:tc>
          <w:tcPr>
            <w:tcW w:w="2197" w:type="dxa"/>
            <w:gridSpan w:val="3"/>
            <w:tcBorders>
              <w:tl2br w:val="nil"/>
              <w:tr2bl w:val="nil"/>
            </w:tcBorders>
            <w:vAlign w:val="center"/>
          </w:tcPr>
          <w:p w:rsidR="00525419" w:rsidRDefault="00EE1CF7">
            <w:pPr>
              <w:tabs>
                <w:tab w:val="left" w:pos="360"/>
                <w:tab w:val="left" w:pos="1620"/>
              </w:tabs>
              <w:snapToGrid w:val="0"/>
              <w:spacing w:line="240" w:lineRule="atLeast"/>
              <w:rPr>
                <w:rFonts w:ascii="Times New Roman" w:hAnsi="Times New Roman"/>
                <w:szCs w:val="21"/>
              </w:rPr>
            </w:pPr>
            <w:r>
              <w:rPr>
                <w:rFonts w:ascii="Times New Roman" w:hAnsi="Times New Roman"/>
                <w:szCs w:val="21"/>
              </w:rPr>
              <w:t>1×10</w:t>
            </w:r>
            <w:r>
              <w:rPr>
                <w:rFonts w:ascii="Times New Roman" w:hAnsi="Times New Roman"/>
                <w:szCs w:val="21"/>
                <w:vertAlign w:val="superscript"/>
              </w:rPr>
              <w:t>4</w:t>
            </w:r>
          </w:p>
        </w:tc>
        <w:tc>
          <w:tcPr>
            <w:tcW w:w="2264" w:type="dxa"/>
            <w:vMerge/>
            <w:tcBorders>
              <w:tl2br w:val="nil"/>
              <w:tr2bl w:val="nil"/>
            </w:tcBorders>
            <w:vAlign w:val="center"/>
          </w:tcPr>
          <w:p w:rsidR="00525419" w:rsidRDefault="00525419">
            <w:pPr>
              <w:spacing w:line="240" w:lineRule="atLeast"/>
              <w:rPr>
                <w:rFonts w:ascii="Times New Roman" w:hAnsi="Times New Roman"/>
                <w:szCs w:val="24"/>
              </w:rPr>
            </w:pPr>
          </w:p>
        </w:tc>
        <w:tc>
          <w:tcPr>
            <w:tcW w:w="1698" w:type="dxa"/>
            <w:vMerge/>
            <w:tcBorders>
              <w:tl2br w:val="nil"/>
              <w:tr2bl w:val="nil"/>
            </w:tcBorders>
            <w:vAlign w:val="center"/>
          </w:tcPr>
          <w:p w:rsidR="00525419" w:rsidRDefault="00525419">
            <w:pPr>
              <w:spacing w:line="240" w:lineRule="atLeast"/>
              <w:rPr>
                <w:rFonts w:ascii="Times New Roman" w:hAnsi="Times New Roman"/>
                <w:szCs w:val="24"/>
              </w:rPr>
            </w:pPr>
          </w:p>
        </w:tc>
      </w:tr>
    </w:tbl>
    <w:p w:rsidR="00525419" w:rsidRDefault="00525419">
      <w:pPr>
        <w:rPr>
          <w:rFonts w:ascii="Times New Roman" w:hAnsi="Times New Roman"/>
        </w:rPr>
      </w:pPr>
    </w:p>
    <w:p w:rsidR="00525419" w:rsidRDefault="00EE1CF7">
      <w:pPr>
        <w:pStyle w:val="2a"/>
        <w:spacing w:beforeLines="50" w:before="156" w:after="156"/>
        <w:ind w:left="578" w:hanging="578"/>
        <w:rPr>
          <w:rFonts w:ascii="Times New Roman" w:eastAsia="楷体_GB2312" w:hAnsi="Times New Roman"/>
          <w:sz w:val="36"/>
        </w:rPr>
      </w:pPr>
      <w:bookmarkStart w:id="20" w:name="_Toc388894017"/>
      <w:bookmarkStart w:id="21" w:name="_Toc335315125"/>
      <w:bookmarkStart w:id="22" w:name="_Toc399496821"/>
      <w:bookmarkStart w:id="23" w:name="_Toc354837484"/>
      <w:bookmarkStart w:id="24" w:name="_Toc330205275"/>
      <w:bookmarkStart w:id="25" w:name="_Toc22553"/>
      <w:r>
        <w:rPr>
          <w:rFonts w:ascii="Times New Roman" w:eastAsia="楷体_GB2312" w:hAnsi="Times New Roman"/>
          <w:sz w:val="36"/>
        </w:rPr>
        <w:t xml:space="preserve">2.3 </w:t>
      </w:r>
      <w:r>
        <w:rPr>
          <w:rFonts w:ascii="Times New Roman" w:eastAsia="楷体_GB2312" w:hAnsi="Times New Roman"/>
          <w:sz w:val="36"/>
        </w:rPr>
        <w:t>评价工作等级和评价重点</w:t>
      </w:r>
      <w:bookmarkEnd w:id="20"/>
      <w:bookmarkEnd w:id="21"/>
      <w:bookmarkEnd w:id="22"/>
      <w:bookmarkEnd w:id="23"/>
      <w:bookmarkEnd w:id="24"/>
      <w:bookmarkEnd w:id="25"/>
    </w:p>
    <w:p w:rsidR="00525419" w:rsidRDefault="00EE1CF7">
      <w:pPr>
        <w:pStyle w:val="3a"/>
        <w:spacing w:beforeLines="50" w:before="156" w:after="156" w:line="360" w:lineRule="auto"/>
        <w:jc w:val="left"/>
        <w:rPr>
          <w:rFonts w:ascii="Times New Roman" w:eastAsia="华文楷体" w:hAnsi="Times New Roman"/>
        </w:rPr>
      </w:pPr>
      <w:r>
        <w:rPr>
          <w:rFonts w:ascii="Times New Roman" w:eastAsia="华文楷体" w:hAnsi="Times New Roman"/>
        </w:rPr>
        <w:t>2.3.1</w:t>
      </w:r>
      <w:r>
        <w:rPr>
          <w:rFonts w:ascii="Times New Roman" w:eastAsia="华文楷体" w:hAnsi="Times New Roman"/>
        </w:rPr>
        <w:t>评价工作等级</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2.3.1.1</w:t>
      </w:r>
      <w:r>
        <w:rPr>
          <w:rFonts w:ascii="Times New Roman" w:hAnsi="Times New Roman" w:cs="Times New Roman"/>
          <w:kern w:val="44"/>
          <w:sz w:val="24"/>
          <w:szCs w:val="24"/>
        </w:rPr>
        <w:t>大气环境影响评价</w:t>
      </w:r>
    </w:p>
    <w:p w:rsidR="00525419" w:rsidRDefault="00EE1CF7">
      <w:pPr>
        <w:pStyle w:val="B1"/>
        <w:ind w:firstLine="480"/>
        <w:rPr>
          <w:rFonts w:cs="Times New Roman"/>
        </w:rPr>
      </w:pPr>
      <w:r>
        <w:rPr>
          <w:rFonts w:cs="Times New Roman"/>
        </w:rPr>
        <w:t>根据工程特点和污染特征以及周围环境状况，采用《环境影响评价技术导则</w:t>
      </w:r>
      <w:r>
        <w:rPr>
          <w:rFonts w:cs="Times New Roman"/>
        </w:rPr>
        <w:t xml:space="preserve"> </w:t>
      </w:r>
      <w:r>
        <w:rPr>
          <w:rFonts w:cs="Times New Roman"/>
        </w:rPr>
        <w:t>大气环境》</w:t>
      </w:r>
      <w:r>
        <w:rPr>
          <w:rFonts w:cs="Times New Roman"/>
        </w:rPr>
        <w:t>(HJ2.2-2018)</w:t>
      </w:r>
      <w:r>
        <w:rPr>
          <w:rFonts w:cs="Times New Roman"/>
        </w:rPr>
        <w:t>中</w:t>
      </w:r>
      <w:r>
        <w:rPr>
          <w:rFonts w:cs="Times New Roman"/>
        </w:rPr>
        <w:t>5.3“</w:t>
      </w:r>
      <w:r>
        <w:rPr>
          <w:rFonts w:cs="Times New Roman"/>
        </w:rPr>
        <w:t>评价等级判定</w:t>
      </w:r>
      <w:r>
        <w:rPr>
          <w:rFonts w:cs="Times New Roman"/>
        </w:rPr>
        <w:t>”</w:t>
      </w:r>
      <w:r>
        <w:rPr>
          <w:rFonts w:cs="Times New Roman"/>
        </w:rPr>
        <w:t>规定的方法核算，计算公式及评价工作级别表（表</w:t>
      </w:r>
      <w:r>
        <w:rPr>
          <w:rFonts w:cs="Times New Roman"/>
        </w:rPr>
        <w:t>2.3-1</w:t>
      </w:r>
      <w:r>
        <w:rPr>
          <w:rFonts w:cs="Times New Roman"/>
        </w:rPr>
        <w:t>）如下：</w:t>
      </w:r>
    </w:p>
    <w:p w:rsidR="00525419" w:rsidRDefault="00FE095A">
      <w:pPr>
        <w:spacing w:line="360" w:lineRule="auto"/>
        <w:ind w:firstLineChars="200" w:firstLine="480"/>
        <w:jc w:val="center"/>
        <w:rPr>
          <w:rFonts w:ascii="Times New Roman" w:hAnsi="Times New Roman"/>
          <w:sz w:val="24"/>
        </w:rPr>
      </w:pPr>
      <w:r>
        <w:rPr>
          <w:rFonts w:ascii="Times New Roman" w:hAnsi="Times New Roman"/>
          <w:sz w:val="24"/>
        </w:rPr>
        <w:pict>
          <v:shape id="_x0000_i1026" type="#_x0000_t75" style="width:87pt;height:36pt">
            <v:imagedata r:id="rId9" o:title=""/>
          </v:shape>
        </w:pic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式中：</w:t>
      </w:r>
      <w:r>
        <w:rPr>
          <w:rFonts w:ascii="Times New Roman" w:hAnsi="Times New Roman"/>
          <w:kern w:val="0"/>
          <w:sz w:val="24"/>
          <w:szCs w:val="24"/>
        </w:rPr>
        <w:t>Pi——</w:t>
      </w:r>
      <w:r>
        <w:rPr>
          <w:rFonts w:ascii="Times New Roman" w:hAnsi="Times New Roman"/>
          <w:kern w:val="0"/>
          <w:sz w:val="24"/>
          <w:szCs w:val="24"/>
        </w:rPr>
        <w:t>第</w:t>
      </w:r>
      <w:r>
        <w:rPr>
          <w:rFonts w:ascii="Times New Roman" w:hAnsi="Times New Roman"/>
          <w:kern w:val="0"/>
          <w:sz w:val="24"/>
          <w:szCs w:val="24"/>
        </w:rPr>
        <w:t>i</w:t>
      </w:r>
      <w:r>
        <w:rPr>
          <w:rFonts w:ascii="Times New Roman" w:hAnsi="Times New Roman"/>
          <w:kern w:val="0"/>
          <w:sz w:val="24"/>
          <w:szCs w:val="24"/>
        </w:rPr>
        <w:t>个污染物的最大地面浓度占标率，</w:t>
      </w:r>
      <w:r>
        <w:rPr>
          <w:rFonts w:ascii="Times New Roman" w:hAnsi="Times New Roman"/>
          <w:kern w:val="0"/>
          <w:sz w:val="24"/>
          <w:szCs w:val="24"/>
        </w:rPr>
        <w:t>%</w:t>
      </w:r>
      <w:r>
        <w:rPr>
          <w:rFonts w:ascii="Times New Roman" w:hAnsi="Times New Roman"/>
          <w:kern w:val="0"/>
          <w:sz w:val="24"/>
          <w:szCs w:val="24"/>
        </w:rPr>
        <w:t>；</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 xml:space="preserve">      Ci——</w:t>
      </w:r>
      <w:r>
        <w:rPr>
          <w:rFonts w:ascii="Times New Roman" w:hAnsi="Times New Roman"/>
          <w:kern w:val="0"/>
          <w:sz w:val="24"/>
          <w:szCs w:val="24"/>
        </w:rPr>
        <w:t>用估算模型计算出的第</w:t>
      </w:r>
      <w:r>
        <w:rPr>
          <w:rFonts w:ascii="Times New Roman" w:hAnsi="Times New Roman"/>
          <w:kern w:val="0"/>
          <w:sz w:val="24"/>
          <w:szCs w:val="24"/>
        </w:rPr>
        <w:t>i</w:t>
      </w:r>
      <w:r>
        <w:rPr>
          <w:rFonts w:ascii="Times New Roman" w:hAnsi="Times New Roman"/>
          <w:kern w:val="0"/>
          <w:sz w:val="24"/>
          <w:szCs w:val="24"/>
        </w:rPr>
        <w:t>个污染物的最大</w:t>
      </w:r>
      <w:r>
        <w:rPr>
          <w:rFonts w:ascii="Times New Roman" w:hAnsi="Times New Roman"/>
          <w:kern w:val="0"/>
          <w:sz w:val="24"/>
          <w:szCs w:val="24"/>
        </w:rPr>
        <w:t>1h</w:t>
      </w:r>
      <w:r>
        <w:rPr>
          <w:rFonts w:ascii="Times New Roman" w:hAnsi="Times New Roman"/>
          <w:kern w:val="0"/>
          <w:sz w:val="24"/>
          <w:szCs w:val="24"/>
        </w:rPr>
        <w:t>地面空气质量浓度，</w:t>
      </w:r>
      <w:r>
        <w:rPr>
          <w:rFonts w:ascii="Times New Roman" w:hAnsi="Times New Roman"/>
          <w:kern w:val="0"/>
          <w:sz w:val="24"/>
          <w:szCs w:val="24"/>
        </w:rPr>
        <w:t>μg/m</w:t>
      </w:r>
      <w:r>
        <w:rPr>
          <w:rFonts w:ascii="Times New Roman" w:hAnsi="Times New Roman"/>
          <w:kern w:val="0"/>
          <w:sz w:val="24"/>
          <w:szCs w:val="24"/>
          <w:vertAlign w:val="superscript"/>
        </w:rPr>
        <w:t>3</w:t>
      </w:r>
      <w:r>
        <w:rPr>
          <w:rFonts w:ascii="Times New Roman" w:hAnsi="Times New Roman"/>
          <w:kern w:val="0"/>
          <w:sz w:val="24"/>
          <w:szCs w:val="24"/>
        </w:rPr>
        <w:t>；</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 xml:space="preserve">      C</w:t>
      </w:r>
      <w:r>
        <w:rPr>
          <w:rFonts w:ascii="Times New Roman" w:hAnsi="Times New Roman"/>
          <w:kern w:val="0"/>
          <w:sz w:val="24"/>
          <w:szCs w:val="24"/>
          <w:vertAlign w:val="subscript"/>
        </w:rPr>
        <w:t>0i</w:t>
      </w:r>
      <w:r>
        <w:rPr>
          <w:rFonts w:ascii="Times New Roman" w:hAnsi="Times New Roman"/>
          <w:kern w:val="0"/>
          <w:sz w:val="24"/>
          <w:szCs w:val="24"/>
        </w:rPr>
        <w:t>——</w:t>
      </w:r>
      <w:r>
        <w:rPr>
          <w:rFonts w:ascii="Times New Roman" w:hAnsi="Times New Roman"/>
          <w:kern w:val="0"/>
          <w:sz w:val="24"/>
          <w:szCs w:val="24"/>
        </w:rPr>
        <w:t>第</w:t>
      </w:r>
      <w:r>
        <w:rPr>
          <w:rFonts w:ascii="Times New Roman" w:hAnsi="Times New Roman"/>
          <w:kern w:val="0"/>
          <w:sz w:val="24"/>
          <w:szCs w:val="24"/>
        </w:rPr>
        <w:t>i</w:t>
      </w:r>
      <w:r>
        <w:rPr>
          <w:rFonts w:ascii="Times New Roman" w:hAnsi="Times New Roman"/>
          <w:kern w:val="0"/>
          <w:sz w:val="24"/>
          <w:szCs w:val="24"/>
        </w:rPr>
        <w:t>个污染物环境空气质量标准</w:t>
      </w:r>
      <w:r>
        <w:rPr>
          <w:rFonts w:ascii="Times New Roman" w:hAnsi="Times New Roman"/>
          <w:kern w:val="0"/>
          <w:sz w:val="24"/>
          <w:szCs w:val="24"/>
        </w:rPr>
        <w:t>μg/m</w:t>
      </w:r>
      <w:r>
        <w:rPr>
          <w:rFonts w:ascii="Times New Roman" w:hAnsi="Times New Roman"/>
          <w:kern w:val="0"/>
          <w:sz w:val="24"/>
          <w:szCs w:val="24"/>
          <w:vertAlign w:val="superscript"/>
        </w:rPr>
        <w:t>3</w:t>
      </w:r>
      <w:r>
        <w:rPr>
          <w:rFonts w:ascii="Times New Roman" w:hAnsi="Times New Roman"/>
          <w:kern w:val="0"/>
          <w:sz w:val="24"/>
          <w:szCs w:val="24"/>
        </w:rPr>
        <w:t>。</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C</w:t>
      </w:r>
      <w:r>
        <w:rPr>
          <w:rFonts w:ascii="Times New Roman" w:hAnsi="Times New Roman"/>
          <w:kern w:val="0"/>
          <w:sz w:val="24"/>
          <w:szCs w:val="24"/>
          <w:vertAlign w:val="subscript"/>
        </w:rPr>
        <w:t>0i</w:t>
      </w:r>
      <w:r>
        <w:rPr>
          <w:rFonts w:ascii="Times New Roman" w:hAnsi="Times New Roman"/>
          <w:kern w:val="0"/>
          <w:sz w:val="24"/>
          <w:szCs w:val="24"/>
        </w:rPr>
        <w:t>一般选用</w:t>
      </w:r>
      <w:r>
        <w:rPr>
          <w:rFonts w:ascii="Times New Roman" w:hAnsi="Times New Roman"/>
          <w:kern w:val="0"/>
          <w:sz w:val="24"/>
          <w:szCs w:val="24"/>
        </w:rPr>
        <w:t>GB3095</w:t>
      </w:r>
      <w:r>
        <w:rPr>
          <w:rFonts w:ascii="Times New Roman" w:hAnsi="Times New Roman"/>
          <w:kern w:val="0"/>
          <w:sz w:val="24"/>
          <w:szCs w:val="24"/>
        </w:rPr>
        <w:t>中</w:t>
      </w:r>
      <w:r>
        <w:rPr>
          <w:rFonts w:ascii="Times New Roman" w:hAnsi="Times New Roman"/>
          <w:kern w:val="0"/>
          <w:sz w:val="24"/>
          <w:szCs w:val="24"/>
        </w:rPr>
        <w:t>1h</w:t>
      </w:r>
      <w:r>
        <w:rPr>
          <w:rFonts w:ascii="Times New Roman" w:hAnsi="Times New Roman"/>
          <w:kern w:val="0"/>
          <w:sz w:val="24"/>
          <w:szCs w:val="24"/>
        </w:rPr>
        <w:t>平均质量浓度的二级浓度限值；对该标准中未包含的污染物，使用导则</w:t>
      </w:r>
      <w:r>
        <w:rPr>
          <w:rFonts w:ascii="Times New Roman" w:hAnsi="Times New Roman"/>
          <w:kern w:val="0"/>
          <w:sz w:val="24"/>
          <w:szCs w:val="24"/>
        </w:rPr>
        <w:t>5.2</w:t>
      </w:r>
      <w:r>
        <w:rPr>
          <w:rFonts w:ascii="Times New Roman" w:hAnsi="Times New Roman"/>
          <w:kern w:val="0"/>
          <w:sz w:val="24"/>
          <w:szCs w:val="24"/>
        </w:rPr>
        <w:t>确定的各评价因子</w:t>
      </w:r>
      <w:r>
        <w:rPr>
          <w:rFonts w:ascii="Times New Roman" w:hAnsi="Times New Roman"/>
          <w:kern w:val="0"/>
          <w:sz w:val="24"/>
          <w:szCs w:val="24"/>
        </w:rPr>
        <w:t>1h</w:t>
      </w:r>
      <w:r>
        <w:rPr>
          <w:rFonts w:ascii="Times New Roman" w:hAnsi="Times New Roman"/>
          <w:kern w:val="0"/>
          <w:sz w:val="24"/>
          <w:szCs w:val="24"/>
        </w:rPr>
        <w:t>平均质量浓度限值。对仅有</w:t>
      </w:r>
      <w:r>
        <w:rPr>
          <w:rFonts w:ascii="Times New Roman" w:hAnsi="Times New Roman"/>
          <w:kern w:val="0"/>
          <w:sz w:val="24"/>
          <w:szCs w:val="24"/>
        </w:rPr>
        <w:t>8h</w:t>
      </w:r>
      <w:r>
        <w:rPr>
          <w:rFonts w:ascii="Times New Roman" w:hAnsi="Times New Roman"/>
          <w:kern w:val="0"/>
          <w:sz w:val="24"/>
          <w:szCs w:val="24"/>
        </w:rPr>
        <w:t>平均质量浓度限值、日平均质量浓度限值或年平均质量浓度限值的，可分别按</w:t>
      </w:r>
      <w:r>
        <w:rPr>
          <w:rFonts w:ascii="Times New Roman" w:hAnsi="Times New Roman"/>
          <w:kern w:val="0"/>
          <w:sz w:val="24"/>
          <w:szCs w:val="24"/>
        </w:rPr>
        <w:t>2</w:t>
      </w:r>
      <w:r>
        <w:rPr>
          <w:rFonts w:ascii="Times New Roman" w:hAnsi="Times New Roman"/>
          <w:kern w:val="0"/>
          <w:sz w:val="24"/>
          <w:szCs w:val="24"/>
        </w:rPr>
        <w:t>倍、</w:t>
      </w:r>
      <w:r>
        <w:rPr>
          <w:rFonts w:ascii="Times New Roman" w:hAnsi="Times New Roman"/>
          <w:kern w:val="0"/>
          <w:sz w:val="24"/>
          <w:szCs w:val="24"/>
        </w:rPr>
        <w:t>3</w:t>
      </w:r>
      <w:r>
        <w:rPr>
          <w:rFonts w:ascii="Times New Roman" w:hAnsi="Times New Roman"/>
          <w:kern w:val="0"/>
          <w:sz w:val="24"/>
          <w:szCs w:val="24"/>
        </w:rPr>
        <w:t>倍、</w:t>
      </w:r>
      <w:r>
        <w:rPr>
          <w:rFonts w:ascii="Times New Roman" w:hAnsi="Times New Roman"/>
          <w:kern w:val="0"/>
          <w:sz w:val="24"/>
          <w:szCs w:val="24"/>
        </w:rPr>
        <w:t>6</w:t>
      </w:r>
      <w:r>
        <w:rPr>
          <w:rFonts w:ascii="Times New Roman" w:hAnsi="Times New Roman"/>
          <w:kern w:val="0"/>
          <w:sz w:val="24"/>
          <w:szCs w:val="24"/>
        </w:rPr>
        <w:t>倍折算为</w:t>
      </w:r>
      <w:r>
        <w:rPr>
          <w:rFonts w:ascii="Times New Roman" w:hAnsi="Times New Roman"/>
          <w:kern w:val="0"/>
          <w:sz w:val="24"/>
          <w:szCs w:val="24"/>
        </w:rPr>
        <w:t>1h</w:t>
      </w:r>
      <w:r>
        <w:rPr>
          <w:rFonts w:ascii="Times New Roman" w:hAnsi="Times New Roman"/>
          <w:kern w:val="0"/>
          <w:sz w:val="24"/>
          <w:szCs w:val="24"/>
        </w:rPr>
        <w:t>平均质量浓度限值。</w:t>
      </w:r>
    </w:p>
    <w:p w:rsidR="00525419" w:rsidRDefault="00EE1CF7">
      <w:pPr>
        <w:spacing w:line="240" w:lineRule="atLeast"/>
        <w:ind w:firstLineChars="1300" w:firstLine="2730"/>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2.3-1   </w:t>
      </w:r>
      <w:r>
        <w:rPr>
          <w:rFonts w:ascii="Times New Roman" w:eastAsia="黑体" w:hAnsi="Times New Roman"/>
          <w:szCs w:val="21"/>
        </w:rPr>
        <w:t>评价工作级别表</w:t>
      </w:r>
    </w:p>
    <w:tbl>
      <w:tblPr>
        <w:tblW w:w="85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67"/>
        <w:gridCol w:w="5938"/>
      </w:tblGrid>
      <w:tr w:rsidR="00525419">
        <w:trPr>
          <w:trHeight w:val="397"/>
          <w:jc w:val="center"/>
        </w:trPr>
        <w:tc>
          <w:tcPr>
            <w:tcW w:w="2567" w:type="dxa"/>
            <w:shd w:val="clear" w:color="auto" w:fill="auto"/>
            <w:tcMar>
              <w:left w:w="0" w:type="dxa"/>
              <w:right w:w="0" w:type="dxa"/>
            </w:tcMar>
            <w:vAlign w:val="center"/>
          </w:tcPr>
          <w:p w:rsidR="00525419" w:rsidRDefault="00EE1CF7">
            <w:pPr>
              <w:pStyle w:val="B2"/>
              <w:rPr>
                <w:rFonts w:cs="Times New Roman"/>
              </w:rPr>
            </w:pPr>
            <w:r>
              <w:rPr>
                <w:rFonts w:cs="Times New Roman"/>
              </w:rPr>
              <w:t>评价工作等级</w:t>
            </w:r>
          </w:p>
        </w:tc>
        <w:tc>
          <w:tcPr>
            <w:tcW w:w="5938" w:type="dxa"/>
            <w:shd w:val="clear" w:color="auto" w:fill="auto"/>
            <w:vAlign w:val="center"/>
          </w:tcPr>
          <w:p w:rsidR="00525419" w:rsidRDefault="00EE1CF7">
            <w:pPr>
              <w:pStyle w:val="B2"/>
              <w:rPr>
                <w:rFonts w:cs="Times New Roman"/>
              </w:rPr>
            </w:pPr>
            <w:r>
              <w:rPr>
                <w:rFonts w:cs="Times New Roman"/>
              </w:rPr>
              <w:t>评价工作分级判据</w:t>
            </w:r>
          </w:p>
        </w:tc>
      </w:tr>
      <w:tr w:rsidR="00525419">
        <w:trPr>
          <w:trHeight w:val="397"/>
          <w:jc w:val="center"/>
        </w:trPr>
        <w:tc>
          <w:tcPr>
            <w:tcW w:w="2567" w:type="dxa"/>
            <w:shd w:val="clear" w:color="auto" w:fill="auto"/>
            <w:tcMar>
              <w:left w:w="0" w:type="dxa"/>
              <w:right w:w="0" w:type="dxa"/>
            </w:tcMar>
            <w:vAlign w:val="center"/>
          </w:tcPr>
          <w:p w:rsidR="00525419" w:rsidRDefault="00EE1CF7">
            <w:pPr>
              <w:pStyle w:val="B2"/>
              <w:rPr>
                <w:rFonts w:cs="Times New Roman"/>
              </w:rPr>
            </w:pPr>
            <w:r>
              <w:rPr>
                <w:rFonts w:cs="Times New Roman"/>
              </w:rPr>
              <w:t>一级</w:t>
            </w:r>
          </w:p>
        </w:tc>
        <w:tc>
          <w:tcPr>
            <w:tcW w:w="5938" w:type="dxa"/>
            <w:shd w:val="clear" w:color="auto" w:fill="auto"/>
            <w:vAlign w:val="center"/>
          </w:tcPr>
          <w:p w:rsidR="00525419" w:rsidRDefault="00EE1CF7">
            <w:pPr>
              <w:pStyle w:val="B2"/>
              <w:rPr>
                <w:rFonts w:cs="Times New Roman"/>
              </w:rPr>
            </w:pPr>
            <w:r>
              <w:rPr>
                <w:rFonts w:cs="Times New Roman"/>
              </w:rPr>
              <w:t>P</w:t>
            </w:r>
            <w:r>
              <w:rPr>
                <w:rFonts w:cs="Times New Roman"/>
                <w:vertAlign w:val="subscript"/>
              </w:rPr>
              <w:t>max</w:t>
            </w:r>
            <w:r>
              <w:rPr>
                <w:rFonts w:cs="Times New Roman"/>
              </w:rPr>
              <w:t>≥10%</w:t>
            </w:r>
          </w:p>
        </w:tc>
      </w:tr>
      <w:tr w:rsidR="00525419">
        <w:trPr>
          <w:trHeight w:val="397"/>
          <w:jc w:val="center"/>
        </w:trPr>
        <w:tc>
          <w:tcPr>
            <w:tcW w:w="2567" w:type="dxa"/>
            <w:shd w:val="clear" w:color="auto" w:fill="auto"/>
            <w:tcMar>
              <w:left w:w="0" w:type="dxa"/>
              <w:right w:w="0" w:type="dxa"/>
            </w:tcMar>
            <w:vAlign w:val="center"/>
          </w:tcPr>
          <w:p w:rsidR="00525419" w:rsidRDefault="00EE1CF7">
            <w:pPr>
              <w:pStyle w:val="B2"/>
              <w:rPr>
                <w:rFonts w:cs="Times New Roman"/>
              </w:rPr>
            </w:pPr>
            <w:r>
              <w:rPr>
                <w:rFonts w:cs="Times New Roman"/>
              </w:rPr>
              <w:t>二级</w:t>
            </w:r>
          </w:p>
        </w:tc>
        <w:tc>
          <w:tcPr>
            <w:tcW w:w="5938" w:type="dxa"/>
            <w:shd w:val="clear" w:color="auto" w:fill="auto"/>
            <w:vAlign w:val="center"/>
          </w:tcPr>
          <w:p w:rsidR="00525419" w:rsidRDefault="00EE1CF7">
            <w:pPr>
              <w:pStyle w:val="B2"/>
              <w:rPr>
                <w:rFonts w:cs="Times New Roman"/>
              </w:rPr>
            </w:pPr>
            <w:r>
              <w:rPr>
                <w:rFonts w:cs="Times New Roman"/>
              </w:rPr>
              <w:t>1%≤P</w:t>
            </w:r>
            <w:r>
              <w:rPr>
                <w:rFonts w:cs="Times New Roman"/>
                <w:vertAlign w:val="subscript"/>
              </w:rPr>
              <w:t>max</w:t>
            </w:r>
            <w:r>
              <w:rPr>
                <w:rFonts w:cs="Times New Roman"/>
              </w:rPr>
              <w:t>＜</w:t>
            </w:r>
            <w:r>
              <w:rPr>
                <w:rFonts w:cs="Times New Roman"/>
              </w:rPr>
              <w:t>10%</w:t>
            </w:r>
          </w:p>
        </w:tc>
      </w:tr>
      <w:tr w:rsidR="00525419">
        <w:trPr>
          <w:trHeight w:val="397"/>
          <w:jc w:val="center"/>
        </w:trPr>
        <w:tc>
          <w:tcPr>
            <w:tcW w:w="2567" w:type="dxa"/>
            <w:shd w:val="clear" w:color="auto" w:fill="auto"/>
            <w:tcMar>
              <w:left w:w="0" w:type="dxa"/>
              <w:right w:w="0" w:type="dxa"/>
            </w:tcMar>
            <w:vAlign w:val="center"/>
          </w:tcPr>
          <w:p w:rsidR="00525419" w:rsidRDefault="00EE1CF7">
            <w:pPr>
              <w:pStyle w:val="B2"/>
              <w:rPr>
                <w:rFonts w:cs="Times New Roman"/>
              </w:rPr>
            </w:pPr>
            <w:r>
              <w:rPr>
                <w:rFonts w:cs="Times New Roman"/>
              </w:rPr>
              <w:t>三级</w:t>
            </w:r>
          </w:p>
        </w:tc>
        <w:tc>
          <w:tcPr>
            <w:tcW w:w="5938" w:type="dxa"/>
            <w:shd w:val="clear" w:color="auto" w:fill="auto"/>
            <w:vAlign w:val="center"/>
          </w:tcPr>
          <w:p w:rsidR="00525419" w:rsidRDefault="00EE1CF7">
            <w:pPr>
              <w:pStyle w:val="B2"/>
              <w:rPr>
                <w:rFonts w:cs="Times New Roman"/>
              </w:rPr>
            </w:pPr>
            <w:r>
              <w:rPr>
                <w:rFonts w:cs="Times New Roman"/>
              </w:rPr>
              <w:t>P</w:t>
            </w:r>
            <w:r>
              <w:rPr>
                <w:rFonts w:cs="Times New Roman"/>
                <w:vertAlign w:val="subscript"/>
              </w:rPr>
              <w:t>max</w:t>
            </w:r>
            <w:r>
              <w:rPr>
                <w:rFonts w:cs="Times New Roman"/>
              </w:rPr>
              <w:t>＜</w:t>
            </w:r>
            <w:r>
              <w:rPr>
                <w:rFonts w:cs="Times New Roman"/>
              </w:rPr>
              <w:t>1%</w:t>
            </w:r>
          </w:p>
        </w:tc>
      </w:tr>
    </w:tbl>
    <w:p w:rsidR="00525419" w:rsidRDefault="00525419">
      <w:pPr>
        <w:pStyle w:val="B2"/>
        <w:rPr>
          <w:rFonts w:cs="Times New Roman"/>
        </w:rPr>
      </w:pPr>
    </w:p>
    <w:p w:rsidR="00525419" w:rsidRDefault="00EE1CF7">
      <w:pPr>
        <w:pStyle w:val="B1"/>
        <w:ind w:firstLine="480"/>
        <w:rPr>
          <w:rFonts w:cs="Times New Roman"/>
        </w:rPr>
      </w:pPr>
      <w:r>
        <w:rPr>
          <w:rFonts w:cs="Times New Roman"/>
        </w:rPr>
        <w:t>本项目的污染源参数选取见表</w:t>
      </w:r>
      <w:r>
        <w:rPr>
          <w:rFonts w:cs="Times New Roman"/>
        </w:rPr>
        <w:t>2.3-2</w:t>
      </w:r>
      <w:r>
        <w:rPr>
          <w:rFonts w:cs="Times New Roman"/>
        </w:rPr>
        <w:t>。</w:t>
      </w:r>
    </w:p>
    <w:p w:rsidR="00525419" w:rsidRDefault="00EE1CF7">
      <w:pPr>
        <w:pStyle w:val="B1"/>
        <w:ind w:firstLineChars="1400" w:firstLine="2940"/>
        <w:rPr>
          <w:rFonts w:eastAsia="黑体" w:cs="Times New Roman"/>
          <w:kern w:val="2"/>
          <w:sz w:val="21"/>
          <w:szCs w:val="21"/>
        </w:rPr>
      </w:pPr>
      <w:r>
        <w:rPr>
          <w:rFonts w:eastAsia="黑体" w:cs="Times New Roman"/>
          <w:kern w:val="2"/>
          <w:sz w:val="21"/>
          <w:szCs w:val="21"/>
        </w:rPr>
        <w:t>表</w:t>
      </w:r>
      <w:r>
        <w:rPr>
          <w:rFonts w:eastAsia="黑体" w:cs="Times New Roman"/>
          <w:kern w:val="2"/>
          <w:sz w:val="21"/>
          <w:szCs w:val="21"/>
        </w:rPr>
        <w:t xml:space="preserve">2.3-2    </w:t>
      </w:r>
      <w:r>
        <w:rPr>
          <w:rFonts w:eastAsia="黑体" w:cs="Times New Roman"/>
          <w:kern w:val="2"/>
          <w:sz w:val="21"/>
          <w:szCs w:val="21"/>
        </w:rPr>
        <w:t>污染物计算参数选取值一览表</w:t>
      </w:r>
    </w:p>
    <w:tbl>
      <w:tblPr>
        <w:tblW w:w="839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24"/>
        <w:gridCol w:w="1062"/>
        <w:gridCol w:w="1129"/>
        <w:gridCol w:w="999"/>
        <w:gridCol w:w="925"/>
        <w:gridCol w:w="1014"/>
        <w:gridCol w:w="1037"/>
        <w:gridCol w:w="801"/>
      </w:tblGrid>
      <w:tr w:rsidR="00525419">
        <w:trPr>
          <w:trHeight w:val="397"/>
          <w:jc w:val="center"/>
        </w:trPr>
        <w:tc>
          <w:tcPr>
            <w:tcW w:w="1424"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lastRenderedPageBreak/>
              <w:t>污染源</w:t>
            </w:r>
          </w:p>
        </w:tc>
        <w:tc>
          <w:tcPr>
            <w:tcW w:w="1062"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污染物</w:t>
            </w:r>
          </w:p>
        </w:tc>
        <w:tc>
          <w:tcPr>
            <w:tcW w:w="1129"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污染源强</w:t>
            </w:r>
          </w:p>
          <w:p w:rsidR="00525419" w:rsidRDefault="00EE1CF7">
            <w:pPr>
              <w:widowControl/>
              <w:jc w:val="center"/>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kg/h</w:t>
            </w:r>
            <w:r>
              <w:rPr>
                <w:rFonts w:ascii="Times New Roman" w:hAnsi="Times New Roman"/>
                <w:kern w:val="0"/>
                <w:szCs w:val="24"/>
              </w:rPr>
              <w:t>）</w:t>
            </w:r>
          </w:p>
        </w:tc>
        <w:tc>
          <w:tcPr>
            <w:tcW w:w="999"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排气温度（</w:t>
            </w:r>
            <w:r>
              <w:rPr>
                <w:rFonts w:ascii="Times New Roman" w:hAnsi="Times New Roman"/>
                <w:kern w:val="0"/>
                <w:szCs w:val="24"/>
              </w:rPr>
              <w:t>℃</w:t>
            </w:r>
            <w:r>
              <w:rPr>
                <w:rFonts w:ascii="Times New Roman" w:hAnsi="Times New Roman"/>
                <w:kern w:val="0"/>
                <w:szCs w:val="24"/>
              </w:rPr>
              <w:t>）</w:t>
            </w:r>
          </w:p>
        </w:tc>
        <w:tc>
          <w:tcPr>
            <w:tcW w:w="1939" w:type="dxa"/>
            <w:gridSpan w:val="2"/>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排气筒（</w:t>
            </w:r>
            <w:r>
              <w:rPr>
                <w:rFonts w:ascii="Times New Roman" w:hAnsi="Times New Roman"/>
                <w:kern w:val="0"/>
                <w:szCs w:val="24"/>
              </w:rPr>
              <w:t>m</w:t>
            </w:r>
            <w:r>
              <w:rPr>
                <w:rFonts w:ascii="Times New Roman" w:hAnsi="Times New Roman"/>
                <w:kern w:val="0"/>
                <w:szCs w:val="24"/>
              </w:rPr>
              <w:t>）</w:t>
            </w:r>
          </w:p>
        </w:tc>
        <w:tc>
          <w:tcPr>
            <w:tcW w:w="1037"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排气量</w:t>
            </w:r>
          </w:p>
          <w:p w:rsidR="00525419" w:rsidRDefault="00EE1CF7">
            <w:pPr>
              <w:widowControl/>
              <w:jc w:val="center"/>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Nm</w:t>
            </w:r>
            <w:r>
              <w:rPr>
                <w:rFonts w:ascii="Times New Roman" w:hAnsi="Times New Roman"/>
                <w:kern w:val="0"/>
                <w:szCs w:val="24"/>
                <w:vertAlign w:val="superscript"/>
              </w:rPr>
              <w:t>3</w:t>
            </w:r>
            <w:r>
              <w:rPr>
                <w:rFonts w:ascii="Times New Roman" w:hAnsi="Times New Roman"/>
                <w:kern w:val="0"/>
                <w:szCs w:val="24"/>
              </w:rPr>
              <w:t>/h</w:t>
            </w:r>
            <w:r>
              <w:rPr>
                <w:rFonts w:ascii="Times New Roman" w:hAnsi="Times New Roman"/>
                <w:kern w:val="0"/>
                <w:szCs w:val="24"/>
              </w:rPr>
              <w:t>）</w:t>
            </w:r>
          </w:p>
        </w:tc>
        <w:tc>
          <w:tcPr>
            <w:tcW w:w="801"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污染源</w:t>
            </w:r>
          </w:p>
          <w:p w:rsidR="00525419" w:rsidRDefault="00EE1CF7">
            <w:pPr>
              <w:widowControl/>
              <w:jc w:val="center"/>
              <w:rPr>
                <w:rFonts w:ascii="Times New Roman" w:hAnsi="Times New Roman"/>
                <w:kern w:val="0"/>
                <w:szCs w:val="24"/>
              </w:rPr>
            </w:pPr>
            <w:r>
              <w:rPr>
                <w:rFonts w:ascii="Times New Roman" w:hAnsi="Times New Roman"/>
                <w:kern w:val="0"/>
                <w:szCs w:val="24"/>
              </w:rPr>
              <w:t>性质</w:t>
            </w:r>
          </w:p>
        </w:tc>
      </w:tr>
      <w:tr w:rsidR="00525419">
        <w:trPr>
          <w:trHeight w:val="397"/>
          <w:jc w:val="center"/>
        </w:trPr>
        <w:tc>
          <w:tcPr>
            <w:tcW w:w="1424" w:type="dxa"/>
            <w:vMerge/>
            <w:vAlign w:val="center"/>
          </w:tcPr>
          <w:p w:rsidR="00525419" w:rsidRDefault="00525419">
            <w:pPr>
              <w:widowControl/>
              <w:jc w:val="center"/>
              <w:rPr>
                <w:rFonts w:ascii="Times New Roman" w:hAnsi="Times New Roman"/>
                <w:kern w:val="0"/>
                <w:szCs w:val="24"/>
              </w:rPr>
            </w:pPr>
          </w:p>
        </w:tc>
        <w:tc>
          <w:tcPr>
            <w:tcW w:w="1062" w:type="dxa"/>
            <w:vMerge/>
            <w:vAlign w:val="center"/>
          </w:tcPr>
          <w:p w:rsidR="00525419" w:rsidRDefault="00525419">
            <w:pPr>
              <w:widowControl/>
              <w:jc w:val="center"/>
              <w:rPr>
                <w:rFonts w:ascii="Times New Roman" w:hAnsi="Times New Roman"/>
                <w:kern w:val="0"/>
                <w:szCs w:val="24"/>
              </w:rPr>
            </w:pPr>
          </w:p>
        </w:tc>
        <w:tc>
          <w:tcPr>
            <w:tcW w:w="1129" w:type="dxa"/>
            <w:vMerge/>
            <w:vAlign w:val="center"/>
          </w:tcPr>
          <w:p w:rsidR="00525419" w:rsidRDefault="00525419">
            <w:pPr>
              <w:widowControl/>
              <w:jc w:val="center"/>
              <w:rPr>
                <w:rFonts w:ascii="Times New Roman" w:hAnsi="Times New Roman"/>
                <w:kern w:val="0"/>
                <w:szCs w:val="24"/>
              </w:rPr>
            </w:pPr>
          </w:p>
        </w:tc>
        <w:tc>
          <w:tcPr>
            <w:tcW w:w="999" w:type="dxa"/>
            <w:vMerge/>
            <w:vAlign w:val="center"/>
          </w:tcPr>
          <w:p w:rsidR="00525419" w:rsidRDefault="00525419">
            <w:pPr>
              <w:widowControl/>
              <w:jc w:val="center"/>
              <w:rPr>
                <w:rFonts w:ascii="Times New Roman" w:hAnsi="Times New Roman"/>
                <w:kern w:val="0"/>
                <w:szCs w:val="24"/>
              </w:rPr>
            </w:pPr>
          </w:p>
        </w:tc>
        <w:tc>
          <w:tcPr>
            <w:tcW w:w="92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高度</w:t>
            </w:r>
          </w:p>
        </w:tc>
        <w:tc>
          <w:tcPr>
            <w:tcW w:w="101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内径</w:t>
            </w:r>
          </w:p>
        </w:tc>
        <w:tc>
          <w:tcPr>
            <w:tcW w:w="1037" w:type="dxa"/>
            <w:vMerge/>
            <w:vAlign w:val="center"/>
          </w:tcPr>
          <w:p w:rsidR="00525419" w:rsidRDefault="00525419">
            <w:pPr>
              <w:widowControl/>
              <w:jc w:val="center"/>
              <w:rPr>
                <w:rFonts w:ascii="Times New Roman" w:hAnsi="Times New Roman"/>
                <w:kern w:val="0"/>
                <w:szCs w:val="24"/>
              </w:rPr>
            </w:pPr>
          </w:p>
        </w:tc>
        <w:tc>
          <w:tcPr>
            <w:tcW w:w="801" w:type="dxa"/>
            <w:vMerge/>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1424"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制氢转化炉</w:t>
            </w:r>
          </w:p>
          <w:p w:rsidR="00525419" w:rsidRDefault="00EE1CF7">
            <w:pPr>
              <w:widowControl/>
              <w:jc w:val="center"/>
              <w:rPr>
                <w:rFonts w:ascii="Times New Roman" w:hAnsi="Times New Roman"/>
                <w:kern w:val="0"/>
                <w:szCs w:val="24"/>
              </w:rPr>
            </w:pPr>
            <w:r>
              <w:rPr>
                <w:rFonts w:ascii="Times New Roman" w:hAnsi="Times New Roman"/>
                <w:kern w:val="0"/>
                <w:szCs w:val="24"/>
              </w:rPr>
              <w:t>烟气</w:t>
            </w:r>
          </w:p>
        </w:tc>
        <w:tc>
          <w:tcPr>
            <w:tcW w:w="1062"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颗粒物</w:t>
            </w:r>
          </w:p>
        </w:tc>
        <w:tc>
          <w:tcPr>
            <w:tcW w:w="1129" w:type="dxa"/>
          </w:tcPr>
          <w:p w:rsidR="00525419" w:rsidRDefault="00EE1CF7">
            <w:pPr>
              <w:jc w:val="center"/>
              <w:rPr>
                <w:rFonts w:ascii="Times New Roman" w:hAnsi="Times New Roman"/>
              </w:rPr>
            </w:pPr>
            <w:r>
              <w:rPr>
                <w:rFonts w:ascii="Times New Roman" w:hAnsi="Times New Roman"/>
              </w:rPr>
              <w:t>0.404</w:t>
            </w:r>
          </w:p>
        </w:tc>
        <w:tc>
          <w:tcPr>
            <w:tcW w:w="999"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175</w:t>
            </w:r>
          </w:p>
        </w:tc>
        <w:tc>
          <w:tcPr>
            <w:tcW w:w="925"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66</w:t>
            </w:r>
          </w:p>
        </w:tc>
        <w:tc>
          <w:tcPr>
            <w:tcW w:w="1014"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hint="eastAsia"/>
                <w:kern w:val="0"/>
                <w:szCs w:val="24"/>
              </w:rPr>
              <w:t>3.0</w:t>
            </w:r>
          </w:p>
        </w:tc>
        <w:tc>
          <w:tcPr>
            <w:tcW w:w="1037"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szCs w:val="21"/>
              </w:rPr>
              <w:t>67320</w:t>
            </w:r>
          </w:p>
        </w:tc>
        <w:tc>
          <w:tcPr>
            <w:tcW w:w="801"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点源连续排放</w:t>
            </w:r>
          </w:p>
        </w:tc>
      </w:tr>
      <w:tr w:rsidR="00525419">
        <w:trPr>
          <w:trHeight w:val="397"/>
          <w:jc w:val="center"/>
        </w:trPr>
        <w:tc>
          <w:tcPr>
            <w:tcW w:w="1424" w:type="dxa"/>
            <w:vMerge/>
            <w:vAlign w:val="center"/>
          </w:tcPr>
          <w:p w:rsidR="00525419" w:rsidRDefault="00525419">
            <w:pPr>
              <w:widowControl/>
              <w:jc w:val="center"/>
              <w:rPr>
                <w:rFonts w:ascii="Times New Roman" w:hAnsi="Times New Roman"/>
                <w:kern w:val="0"/>
                <w:szCs w:val="24"/>
              </w:rPr>
            </w:pPr>
          </w:p>
        </w:tc>
        <w:tc>
          <w:tcPr>
            <w:tcW w:w="1062"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SO</w:t>
            </w:r>
            <w:r>
              <w:rPr>
                <w:rFonts w:ascii="Times New Roman" w:hAnsi="Times New Roman"/>
                <w:kern w:val="0"/>
                <w:szCs w:val="24"/>
                <w:vertAlign w:val="subscript"/>
              </w:rPr>
              <w:t>2</w:t>
            </w:r>
          </w:p>
        </w:tc>
        <w:tc>
          <w:tcPr>
            <w:tcW w:w="1129" w:type="dxa"/>
          </w:tcPr>
          <w:p w:rsidR="00525419" w:rsidRDefault="00EE1CF7">
            <w:pPr>
              <w:jc w:val="center"/>
              <w:rPr>
                <w:rFonts w:ascii="Times New Roman" w:hAnsi="Times New Roman"/>
              </w:rPr>
            </w:pPr>
            <w:r>
              <w:rPr>
                <w:rFonts w:ascii="Times New Roman" w:hAnsi="Times New Roman"/>
              </w:rPr>
              <w:t>0.507</w:t>
            </w:r>
          </w:p>
        </w:tc>
        <w:tc>
          <w:tcPr>
            <w:tcW w:w="999" w:type="dxa"/>
            <w:vMerge/>
            <w:vAlign w:val="center"/>
          </w:tcPr>
          <w:p w:rsidR="00525419" w:rsidRDefault="00525419">
            <w:pPr>
              <w:widowControl/>
              <w:jc w:val="center"/>
              <w:rPr>
                <w:rFonts w:ascii="Times New Roman" w:hAnsi="Times New Roman"/>
                <w:kern w:val="0"/>
                <w:szCs w:val="24"/>
              </w:rPr>
            </w:pPr>
          </w:p>
        </w:tc>
        <w:tc>
          <w:tcPr>
            <w:tcW w:w="925" w:type="dxa"/>
            <w:vMerge/>
            <w:vAlign w:val="center"/>
          </w:tcPr>
          <w:p w:rsidR="00525419" w:rsidRDefault="00525419">
            <w:pPr>
              <w:widowControl/>
              <w:jc w:val="center"/>
              <w:rPr>
                <w:rFonts w:ascii="Times New Roman" w:hAnsi="Times New Roman"/>
                <w:kern w:val="0"/>
                <w:szCs w:val="24"/>
              </w:rPr>
            </w:pPr>
          </w:p>
        </w:tc>
        <w:tc>
          <w:tcPr>
            <w:tcW w:w="1014" w:type="dxa"/>
            <w:vMerge/>
            <w:vAlign w:val="center"/>
          </w:tcPr>
          <w:p w:rsidR="00525419" w:rsidRDefault="00525419">
            <w:pPr>
              <w:widowControl/>
              <w:jc w:val="center"/>
              <w:rPr>
                <w:rFonts w:ascii="Times New Roman" w:hAnsi="Times New Roman"/>
                <w:kern w:val="0"/>
                <w:szCs w:val="24"/>
              </w:rPr>
            </w:pPr>
          </w:p>
        </w:tc>
        <w:tc>
          <w:tcPr>
            <w:tcW w:w="1037" w:type="dxa"/>
            <w:vMerge/>
            <w:vAlign w:val="center"/>
          </w:tcPr>
          <w:p w:rsidR="00525419" w:rsidRDefault="00525419">
            <w:pPr>
              <w:widowControl/>
              <w:jc w:val="center"/>
              <w:rPr>
                <w:rFonts w:ascii="Times New Roman" w:hAnsi="Times New Roman"/>
                <w:kern w:val="0"/>
                <w:szCs w:val="24"/>
              </w:rPr>
            </w:pPr>
          </w:p>
        </w:tc>
        <w:tc>
          <w:tcPr>
            <w:tcW w:w="801" w:type="dxa"/>
            <w:vMerge/>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1424" w:type="dxa"/>
            <w:vMerge/>
            <w:vAlign w:val="center"/>
          </w:tcPr>
          <w:p w:rsidR="00525419" w:rsidRDefault="00525419">
            <w:pPr>
              <w:widowControl/>
              <w:jc w:val="center"/>
              <w:rPr>
                <w:rFonts w:ascii="Times New Roman" w:hAnsi="Times New Roman"/>
                <w:kern w:val="0"/>
                <w:szCs w:val="24"/>
              </w:rPr>
            </w:pPr>
          </w:p>
        </w:tc>
        <w:tc>
          <w:tcPr>
            <w:tcW w:w="1062"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NO</w:t>
            </w:r>
            <w:r>
              <w:rPr>
                <w:rFonts w:ascii="Times New Roman" w:hAnsi="Times New Roman"/>
                <w:kern w:val="0"/>
                <w:szCs w:val="24"/>
                <w:vertAlign w:val="subscript"/>
              </w:rPr>
              <w:t>X</w:t>
            </w:r>
          </w:p>
        </w:tc>
        <w:tc>
          <w:tcPr>
            <w:tcW w:w="1129" w:type="dxa"/>
          </w:tcPr>
          <w:p w:rsidR="00525419" w:rsidRDefault="00EE1CF7">
            <w:pPr>
              <w:jc w:val="center"/>
              <w:rPr>
                <w:rFonts w:ascii="Times New Roman" w:hAnsi="Times New Roman"/>
              </w:rPr>
            </w:pPr>
            <w:r>
              <w:rPr>
                <w:rFonts w:ascii="Times New Roman" w:hAnsi="Times New Roman"/>
              </w:rPr>
              <w:t>6.76</w:t>
            </w:r>
          </w:p>
        </w:tc>
        <w:tc>
          <w:tcPr>
            <w:tcW w:w="999" w:type="dxa"/>
            <w:vMerge/>
            <w:vAlign w:val="center"/>
          </w:tcPr>
          <w:p w:rsidR="00525419" w:rsidRDefault="00525419">
            <w:pPr>
              <w:widowControl/>
              <w:jc w:val="center"/>
              <w:rPr>
                <w:rFonts w:ascii="Times New Roman" w:hAnsi="Times New Roman"/>
                <w:kern w:val="0"/>
                <w:szCs w:val="24"/>
              </w:rPr>
            </w:pPr>
          </w:p>
        </w:tc>
        <w:tc>
          <w:tcPr>
            <w:tcW w:w="925" w:type="dxa"/>
            <w:vMerge/>
            <w:vAlign w:val="center"/>
          </w:tcPr>
          <w:p w:rsidR="00525419" w:rsidRDefault="00525419">
            <w:pPr>
              <w:widowControl/>
              <w:jc w:val="center"/>
              <w:rPr>
                <w:rFonts w:ascii="Times New Roman" w:hAnsi="Times New Roman"/>
                <w:kern w:val="0"/>
                <w:szCs w:val="24"/>
              </w:rPr>
            </w:pPr>
          </w:p>
        </w:tc>
        <w:tc>
          <w:tcPr>
            <w:tcW w:w="1014" w:type="dxa"/>
            <w:vMerge/>
            <w:vAlign w:val="center"/>
          </w:tcPr>
          <w:p w:rsidR="00525419" w:rsidRDefault="00525419">
            <w:pPr>
              <w:widowControl/>
              <w:jc w:val="center"/>
              <w:rPr>
                <w:rFonts w:ascii="Times New Roman" w:hAnsi="Times New Roman"/>
                <w:kern w:val="0"/>
                <w:szCs w:val="24"/>
              </w:rPr>
            </w:pPr>
          </w:p>
        </w:tc>
        <w:tc>
          <w:tcPr>
            <w:tcW w:w="1037" w:type="dxa"/>
            <w:vMerge/>
            <w:vAlign w:val="center"/>
          </w:tcPr>
          <w:p w:rsidR="00525419" w:rsidRDefault="00525419">
            <w:pPr>
              <w:widowControl/>
              <w:jc w:val="center"/>
              <w:rPr>
                <w:rFonts w:ascii="Times New Roman" w:hAnsi="Times New Roman"/>
                <w:kern w:val="0"/>
                <w:szCs w:val="24"/>
              </w:rPr>
            </w:pPr>
          </w:p>
        </w:tc>
        <w:tc>
          <w:tcPr>
            <w:tcW w:w="801" w:type="dxa"/>
            <w:vMerge/>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1424"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rPr>
              <w:t>加氢</w:t>
            </w:r>
            <w:r>
              <w:rPr>
                <w:rFonts w:ascii="Times New Roman" w:hAnsi="Times New Roman" w:hint="eastAsia"/>
              </w:rPr>
              <w:t>反应一、二段加热炉</w:t>
            </w:r>
          </w:p>
        </w:tc>
        <w:tc>
          <w:tcPr>
            <w:tcW w:w="1062"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颗粒物</w:t>
            </w:r>
          </w:p>
        </w:tc>
        <w:tc>
          <w:tcPr>
            <w:tcW w:w="1129" w:type="dxa"/>
          </w:tcPr>
          <w:p w:rsidR="00525419" w:rsidRDefault="00EE1CF7">
            <w:pPr>
              <w:jc w:val="center"/>
              <w:rPr>
                <w:rFonts w:ascii="Times New Roman" w:hAnsi="Times New Roman"/>
              </w:rPr>
            </w:pPr>
            <w:r>
              <w:rPr>
                <w:rFonts w:ascii="Times New Roman" w:hAnsi="Times New Roman"/>
              </w:rPr>
              <w:t>0.03468</w:t>
            </w:r>
          </w:p>
        </w:tc>
        <w:tc>
          <w:tcPr>
            <w:tcW w:w="999"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150</w:t>
            </w:r>
          </w:p>
        </w:tc>
        <w:tc>
          <w:tcPr>
            <w:tcW w:w="925"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25</w:t>
            </w:r>
          </w:p>
        </w:tc>
        <w:tc>
          <w:tcPr>
            <w:tcW w:w="1014"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hint="eastAsia"/>
                <w:kern w:val="0"/>
                <w:szCs w:val="24"/>
              </w:rPr>
              <w:t>1.7</w:t>
            </w:r>
          </w:p>
        </w:tc>
        <w:tc>
          <w:tcPr>
            <w:tcW w:w="1037"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15028</w:t>
            </w:r>
          </w:p>
        </w:tc>
        <w:tc>
          <w:tcPr>
            <w:tcW w:w="801"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点源连续排放</w:t>
            </w:r>
          </w:p>
        </w:tc>
      </w:tr>
      <w:tr w:rsidR="00525419">
        <w:trPr>
          <w:trHeight w:val="397"/>
          <w:jc w:val="center"/>
        </w:trPr>
        <w:tc>
          <w:tcPr>
            <w:tcW w:w="1424" w:type="dxa"/>
            <w:vMerge/>
            <w:vAlign w:val="center"/>
          </w:tcPr>
          <w:p w:rsidR="00525419" w:rsidRDefault="00525419">
            <w:pPr>
              <w:widowControl/>
              <w:jc w:val="center"/>
              <w:rPr>
                <w:rFonts w:ascii="Times New Roman" w:hAnsi="Times New Roman"/>
                <w:kern w:val="0"/>
                <w:szCs w:val="24"/>
              </w:rPr>
            </w:pPr>
          </w:p>
        </w:tc>
        <w:tc>
          <w:tcPr>
            <w:tcW w:w="1062"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SO</w:t>
            </w:r>
            <w:r>
              <w:rPr>
                <w:rFonts w:ascii="Times New Roman" w:hAnsi="Times New Roman"/>
                <w:kern w:val="0"/>
                <w:szCs w:val="24"/>
                <w:vertAlign w:val="subscript"/>
              </w:rPr>
              <w:t>2</w:t>
            </w:r>
          </w:p>
        </w:tc>
        <w:tc>
          <w:tcPr>
            <w:tcW w:w="1129" w:type="dxa"/>
          </w:tcPr>
          <w:p w:rsidR="00525419" w:rsidRDefault="00EE1CF7">
            <w:pPr>
              <w:jc w:val="center"/>
              <w:rPr>
                <w:rFonts w:ascii="Times New Roman" w:hAnsi="Times New Roman"/>
              </w:rPr>
            </w:pPr>
            <w:r>
              <w:rPr>
                <w:rFonts w:ascii="Times New Roman" w:hAnsi="Times New Roman"/>
              </w:rPr>
              <w:t>0.04352</w:t>
            </w:r>
          </w:p>
        </w:tc>
        <w:tc>
          <w:tcPr>
            <w:tcW w:w="999" w:type="dxa"/>
            <w:vMerge/>
            <w:vAlign w:val="center"/>
          </w:tcPr>
          <w:p w:rsidR="00525419" w:rsidRDefault="00525419">
            <w:pPr>
              <w:widowControl/>
              <w:jc w:val="center"/>
              <w:rPr>
                <w:rFonts w:ascii="Times New Roman" w:hAnsi="Times New Roman"/>
                <w:kern w:val="0"/>
                <w:szCs w:val="24"/>
              </w:rPr>
            </w:pPr>
          </w:p>
        </w:tc>
        <w:tc>
          <w:tcPr>
            <w:tcW w:w="925" w:type="dxa"/>
            <w:vMerge/>
            <w:vAlign w:val="center"/>
          </w:tcPr>
          <w:p w:rsidR="00525419" w:rsidRDefault="00525419">
            <w:pPr>
              <w:widowControl/>
              <w:jc w:val="center"/>
              <w:rPr>
                <w:rFonts w:ascii="Times New Roman" w:hAnsi="Times New Roman"/>
                <w:kern w:val="0"/>
                <w:szCs w:val="24"/>
              </w:rPr>
            </w:pPr>
          </w:p>
        </w:tc>
        <w:tc>
          <w:tcPr>
            <w:tcW w:w="1014" w:type="dxa"/>
            <w:vMerge/>
            <w:vAlign w:val="center"/>
          </w:tcPr>
          <w:p w:rsidR="00525419" w:rsidRDefault="00525419">
            <w:pPr>
              <w:widowControl/>
              <w:jc w:val="center"/>
              <w:rPr>
                <w:rFonts w:ascii="Times New Roman" w:hAnsi="Times New Roman"/>
                <w:kern w:val="0"/>
                <w:szCs w:val="24"/>
              </w:rPr>
            </w:pPr>
          </w:p>
        </w:tc>
        <w:tc>
          <w:tcPr>
            <w:tcW w:w="1037" w:type="dxa"/>
            <w:vMerge/>
            <w:vAlign w:val="center"/>
          </w:tcPr>
          <w:p w:rsidR="00525419" w:rsidRDefault="00525419">
            <w:pPr>
              <w:widowControl/>
              <w:jc w:val="center"/>
              <w:rPr>
                <w:rFonts w:ascii="Times New Roman" w:hAnsi="Times New Roman"/>
                <w:kern w:val="0"/>
                <w:szCs w:val="24"/>
              </w:rPr>
            </w:pPr>
          </w:p>
        </w:tc>
        <w:tc>
          <w:tcPr>
            <w:tcW w:w="801" w:type="dxa"/>
            <w:vMerge/>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1424" w:type="dxa"/>
            <w:vMerge/>
            <w:vAlign w:val="center"/>
          </w:tcPr>
          <w:p w:rsidR="00525419" w:rsidRDefault="00525419">
            <w:pPr>
              <w:widowControl/>
              <w:jc w:val="center"/>
              <w:rPr>
                <w:rFonts w:ascii="Times New Roman" w:hAnsi="Times New Roman"/>
                <w:kern w:val="0"/>
                <w:szCs w:val="24"/>
              </w:rPr>
            </w:pPr>
          </w:p>
        </w:tc>
        <w:tc>
          <w:tcPr>
            <w:tcW w:w="1062"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NO</w:t>
            </w:r>
            <w:r>
              <w:rPr>
                <w:rFonts w:ascii="Times New Roman" w:hAnsi="Times New Roman"/>
                <w:kern w:val="0"/>
                <w:szCs w:val="24"/>
                <w:vertAlign w:val="subscript"/>
              </w:rPr>
              <w:t>X</w:t>
            </w:r>
          </w:p>
        </w:tc>
        <w:tc>
          <w:tcPr>
            <w:tcW w:w="1129" w:type="dxa"/>
          </w:tcPr>
          <w:p w:rsidR="00525419" w:rsidRDefault="00EE1CF7">
            <w:pPr>
              <w:jc w:val="center"/>
              <w:rPr>
                <w:rFonts w:ascii="Times New Roman" w:hAnsi="Times New Roman"/>
              </w:rPr>
            </w:pPr>
            <w:r>
              <w:rPr>
                <w:rFonts w:ascii="Times New Roman" w:hAnsi="Times New Roman"/>
              </w:rPr>
              <w:t>1.2978</w:t>
            </w:r>
          </w:p>
        </w:tc>
        <w:tc>
          <w:tcPr>
            <w:tcW w:w="999" w:type="dxa"/>
            <w:vMerge/>
            <w:vAlign w:val="center"/>
          </w:tcPr>
          <w:p w:rsidR="00525419" w:rsidRDefault="00525419">
            <w:pPr>
              <w:widowControl/>
              <w:jc w:val="center"/>
              <w:rPr>
                <w:rFonts w:ascii="Times New Roman" w:hAnsi="Times New Roman"/>
                <w:kern w:val="0"/>
                <w:szCs w:val="24"/>
              </w:rPr>
            </w:pPr>
          </w:p>
        </w:tc>
        <w:tc>
          <w:tcPr>
            <w:tcW w:w="925" w:type="dxa"/>
            <w:vMerge/>
            <w:vAlign w:val="center"/>
          </w:tcPr>
          <w:p w:rsidR="00525419" w:rsidRDefault="00525419">
            <w:pPr>
              <w:widowControl/>
              <w:jc w:val="center"/>
              <w:rPr>
                <w:rFonts w:ascii="Times New Roman" w:hAnsi="Times New Roman"/>
                <w:kern w:val="0"/>
                <w:szCs w:val="24"/>
              </w:rPr>
            </w:pPr>
          </w:p>
        </w:tc>
        <w:tc>
          <w:tcPr>
            <w:tcW w:w="1014" w:type="dxa"/>
            <w:vMerge/>
            <w:vAlign w:val="center"/>
          </w:tcPr>
          <w:p w:rsidR="00525419" w:rsidRDefault="00525419">
            <w:pPr>
              <w:widowControl/>
              <w:jc w:val="center"/>
              <w:rPr>
                <w:rFonts w:ascii="Times New Roman" w:hAnsi="Times New Roman"/>
                <w:kern w:val="0"/>
                <w:szCs w:val="24"/>
              </w:rPr>
            </w:pPr>
          </w:p>
        </w:tc>
        <w:tc>
          <w:tcPr>
            <w:tcW w:w="1037" w:type="dxa"/>
            <w:vMerge/>
            <w:vAlign w:val="center"/>
          </w:tcPr>
          <w:p w:rsidR="00525419" w:rsidRDefault="00525419">
            <w:pPr>
              <w:widowControl/>
              <w:jc w:val="center"/>
              <w:rPr>
                <w:rFonts w:ascii="Times New Roman" w:hAnsi="Times New Roman"/>
                <w:kern w:val="0"/>
                <w:szCs w:val="24"/>
              </w:rPr>
            </w:pPr>
          </w:p>
        </w:tc>
        <w:tc>
          <w:tcPr>
            <w:tcW w:w="801" w:type="dxa"/>
            <w:vMerge/>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1424"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hint="eastAsia"/>
              </w:rPr>
              <w:t>加氢</w:t>
            </w:r>
            <w:r>
              <w:rPr>
                <w:rFonts w:ascii="Times New Roman" w:hAnsi="Times New Roman"/>
              </w:rPr>
              <w:t>分馏加热炉</w:t>
            </w:r>
          </w:p>
        </w:tc>
        <w:tc>
          <w:tcPr>
            <w:tcW w:w="1062" w:type="dxa"/>
          </w:tcPr>
          <w:p w:rsidR="00525419" w:rsidRDefault="00EE1CF7">
            <w:pPr>
              <w:jc w:val="center"/>
              <w:rPr>
                <w:rFonts w:ascii="Times New Roman" w:hAnsi="Times New Roman"/>
              </w:rPr>
            </w:pPr>
            <w:r>
              <w:rPr>
                <w:rFonts w:ascii="Times New Roman" w:hAnsi="Times New Roman"/>
              </w:rPr>
              <w:t>颗粒物</w:t>
            </w:r>
          </w:p>
        </w:tc>
        <w:tc>
          <w:tcPr>
            <w:tcW w:w="1129" w:type="dxa"/>
          </w:tcPr>
          <w:p w:rsidR="00525419" w:rsidRDefault="00EE1CF7">
            <w:pPr>
              <w:jc w:val="center"/>
              <w:rPr>
                <w:rFonts w:ascii="Times New Roman" w:hAnsi="Times New Roman"/>
              </w:rPr>
            </w:pPr>
            <w:r>
              <w:rPr>
                <w:rFonts w:ascii="Times New Roman" w:hAnsi="Times New Roman"/>
              </w:rPr>
              <w:t>0.02937</w:t>
            </w:r>
          </w:p>
        </w:tc>
        <w:tc>
          <w:tcPr>
            <w:tcW w:w="999"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150</w:t>
            </w:r>
          </w:p>
        </w:tc>
        <w:tc>
          <w:tcPr>
            <w:tcW w:w="925"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50</w:t>
            </w:r>
          </w:p>
        </w:tc>
        <w:tc>
          <w:tcPr>
            <w:tcW w:w="1014"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hint="eastAsia"/>
                <w:kern w:val="0"/>
                <w:szCs w:val="24"/>
              </w:rPr>
              <w:t>1.9</w:t>
            </w:r>
          </w:p>
        </w:tc>
        <w:tc>
          <w:tcPr>
            <w:tcW w:w="1037"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rPr>
              <w:t>12727</w:t>
            </w:r>
          </w:p>
        </w:tc>
        <w:tc>
          <w:tcPr>
            <w:tcW w:w="801"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点源连续排放</w:t>
            </w:r>
          </w:p>
        </w:tc>
      </w:tr>
      <w:tr w:rsidR="00525419">
        <w:trPr>
          <w:trHeight w:val="397"/>
          <w:jc w:val="center"/>
        </w:trPr>
        <w:tc>
          <w:tcPr>
            <w:tcW w:w="1424" w:type="dxa"/>
            <w:vMerge/>
            <w:vAlign w:val="center"/>
          </w:tcPr>
          <w:p w:rsidR="00525419" w:rsidRDefault="00525419">
            <w:pPr>
              <w:widowControl/>
              <w:jc w:val="center"/>
              <w:rPr>
                <w:rFonts w:ascii="Times New Roman" w:hAnsi="Times New Roman"/>
                <w:kern w:val="0"/>
                <w:szCs w:val="24"/>
              </w:rPr>
            </w:pPr>
          </w:p>
        </w:tc>
        <w:tc>
          <w:tcPr>
            <w:tcW w:w="1062" w:type="dxa"/>
          </w:tcPr>
          <w:p w:rsidR="00525419" w:rsidRDefault="00EE1CF7">
            <w:pPr>
              <w:jc w:val="center"/>
              <w:rPr>
                <w:rFonts w:ascii="Times New Roman" w:hAnsi="Times New Roman"/>
              </w:rPr>
            </w:pPr>
            <w:r>
              <w:rPr>
                <w:rFonts w:ascii="Times New Roman" w:hAnsi="Times New Roman"/>
              </w:rPr>
              <w:t>二氧化硫</w:t>
            </w:r>
          </w:p>
        </w:tc>
        <w:tc>
          <w:tcPr>
            <w:tcW w:w="1129" w:type="dxa"/>
          </w:tcPr>
          <w:p w:rsidR="00525419" w:rsidRDefault="00EE1CF7">
            <w:pPr>
              <w:jc w:val="center"/>
              <w:rPr>
                <w:rFonts w:ascii="Times New Roman" w:hAnsi="Times New Roman"/>
              </w:rPr>
            </w:pPr>
            <w:r>
              <w:rPr>
                <w:rFonts w:ascii="Times New Roman" w:hAnsi="Times New Roman"/>
              </w:rPr>
              <w:t>0.0369</w:t>
            </w:r>
          </w:p>
        </w:tc>
        <w:tc>
          <w:tcPr>
            <w:tcW w:w="999" w:type="dxa"/>
            <w:vMerge/>
            <w:vAlign w:val="center"/>
          </w:tcPr>
          <w:p w:rsidR="00525419" w:rsidRDefault="00525419">
            <w:pPr>
              <w:widowControl/>
              <w:jc w:val="center"/>
              <w:rPr>
                <w:rFonts w:ascii="Times New Roman" w:hAnsi="Times New Roman"/>
                <w:kern w:val="0"/>
                <w:szCs w:val="24"/>
              </w:rPr>
            </w:pPr>
          </w:p>
        </w:tc>
        <w:tc>
          <w:tcPr>
            <w:tcW w:w="925" w:type="dxa"/>
            <w:vMerge/>
            <w:vAlign w:val="center"/>
          </w:tcPr>
          <w:p w:rsidR="00525419" w:rsidRDefault="00525419">
            <w:pPr>
              <w:widowControl/>
              <w:jc w:val="center"/>
              <w:rPr>
                <w:rFonts w:ascii="Times New Roman" w:hAnsi="Times New Roman"/>
                <w:kern w:val="0"/>
                <w:szCs w:val="24"/>
              </w:rPr>
            </w:pPr>
          </w:p>
        </w:tc>
        <w:tc>
          <w:tcPr>
            <w:tcW w:w="1014" w:type="dxa"/>
            <w:vMerge/>
            <w:vAlign w:val="center"/>
          </w:tcPr>
          <w:p w:rsidR="00525419" w:rsidRDefault="00525419">
            <w:pPr>
              <w:widowControl/>
              <w:jc w:val="center"/>
              <w:rPr>
                <w:rFonts w:ascii="Times New Roman" w:hAnsi="Times New Roman"/>
                <w:kern w:val="0"/>
                <w:szCs w:val="24"/>
              </w:rPr>
            </w:pPr>
          </w:p>
        </w:tc>
        <w:tc>
          <w:tcPr>
            <w:tcW w:w="1037" w:type="dxa"/>
            <w:vMerge/>
            <w:vAlign w:val="center"/>
          </w:tcPr>
          <w:p w:rsidR="00525419" w:rsidRDefault="00525419">
            <w:pPr>
              <w:widowControl/>
              <w:jc w:val="center"/>
              <w:rPr>
                <w:rFonts w:ascii="Times New Roman" w:hAnsi="Times New Roman"/>
                <w:kern w:val="0"/>
                <w:szCs w:val="24"/>
              </w:rPr>
            </w:pPr>
          </w:p>
        </w:tc>
        <w:tc>
          <w:tcPr>
            <w:tcW w:w="801" w:type="dxa"/>
            <w:vMerge/>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1424" w:type="dxa"/>
            <w:vMerge/>
            <w:vAlign w:val="center"/>
          </w:tcPr>
          <w:p w:rsidR="00525419" w:rsidRDefault="00525419">
            <w:pPr>
              <w:widowControl/>
              <w:jc w:val="center"/>
              <w:rPr>
                <w:rFonts w:ascii="Times New Roman" w:hAnsi="Times New Roman"/>
                <w:kern w:val="0"/>
                <w:szCs w:val="24"/>
              </w:rPr>
            </w:pPr>
          </w:p>
        </w:tc>
        <w:tc>
          <w:tcPr>
            <w:tcW w:w="1062" w:type="dxa"/>
          </w:tcPr>
          <w:p w:rsidR="00525419" w:rsidRDefault="00EE1CF7">
            <w:pPr>
              <w:jc w:val="center"/>
              <w:rPr>
                <w:rFonts w:ascii="Times New Roman" w:hAnsi="Times New Roman"/>
              </w:rPr>
            </w:pPr>
            <w:r>
              <w:rPr>
                <w:rFonts w:ascii="Times New Roman" w:hAnsi="Times New Roman"/>
              </w:rPr>
              <w:t>氮氧化物</w:t>
            </w:r>
          </w:p>
        </w:tc>
        <w:tc>
          <w:tcPr>
            <w:tcW w:w="1129" w:type="dxa"/>
          </w:tcPr>
          <w:p w:rsidR="00525419" w:rsidRDefault="00EE1CF7">
            <w:pPr>
              <w:jc w:val="center"/>
              <w:rPr>
                <w:rFonts w:ascii="Times New Roman" w:hAnsi="Times New Roman"/>
              </w:rPr>
            </w:pPr>
            <w:r>
              <w:rPr>
                <w:rFonts w:ascii="Times New Roman" w:hAnsi="Times New Roman"/>
              </w:rPr>
              <w:t>1.098</w:t>
            </w:r>
          </w:p>
        </w:tc>
        <w:tc>
          <w:tcPr>
            <w:tcW w:w="999" w:type="dxa"/>
            <w:vMerge/>
            <w:vAlign w:val="center"/>
          </w:tcPr>
          <w:p w:rsidR="00525419" w:rsidRDefault="00525419">
            <w:pPr>
              <w:widowControl/>
              <w:jc w:val="center"/>
              <w:rPr>
                <w:rFonts w:ascii="Times New Roman" w:hAnsi="Times New Roman"/>
                <w:kern w:val="0"/>
                <w:szCs w:val="24"/>
              </w:rPr>
            </w:pPr>
          </w:p>
        </w:tc>
        <w:tc>
          <w:tcPr>
            <w:tcW w:w="925" w:type="dxa"/>
            <w:vMerge/>
            <w:vAlign w:val="center"/>
          </w:tcPr>
          <w:p w:rsidR="00525419" w:rsidRDefault="00525419">
            <w:pPr>
              <w:widowControl/>
              <w:jc w:val="center"/>
              <w:rPr>
                <w:rFonts w:ascii="Times New Roman" w:hAnsi="Times New Roman"/>
                <w:kern w:val="0"/>
                <w:szCs w:val="24"/>
              </w:rPr>
            </w:pPr>
          </w:p>
        </w:tc>
        <w:tc>
          <w:tcPr>
            <w:tcW w:w="1014" w:type="dxa"/>
            <w:vMerge/>
            <w:vAlign w:val="center"/>
          </w:tcPr>
          <w:p w:rsidR="00525419" w:rsidRDefault="00525419">
            <w:pPr>
              <w:widowControl/>
              <w:jc w:val="center"/>
              <w:rPr>
                <w:rFonts w:ascii="Times New Roman" w:hAnsi="Times New Roman"/>
                <w:kern w:val="0"/>
                <w:szCs w:val="24"/>
              </w:rPr>
            </w:pPr>
          </w:p>
        </w:tc>
        <w:tc>
          <w:tcPr>
            <w:tcW w:w="1037" w:type="dxa"/>
            <w:vMerge/>
            <w:vAlign w:val="center"/>
          </w:tcPr>
          <w:p w:rsidR="00525419" w:rsidRDefault="00525419">
            <w:pPr>
              <w:widowControl/>
              <w:jc w:val="center"/>
              <w:rPr>
                <w:rFonts w:ascii="Times New Roman" w:hAnsi="Times New Roman"/>
                <w:kern w:val="0"/>
                <w:szCs w:val="24"/>
              </w:rPr>
            </w:pPr>
          </w:p>
        </w:tc>
        <w:tc>
          <w:tcPr>
            <w:tcW w:w="801" w:type="dxa"/>
            <w:vMerge/>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1424"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hint="eastAsia"/>
              </w:rPr>
              <w:t>硫磺回收尾气焚烧炉</w:t>
            </w:r>
          </w:p>
        </w:tc>
        <w:tc>
          <w:tcPr>
            <w:tcW w:w="1062" w:type="dxa"/>
          </w:tcPr>
          <w:p w:rsidR="00525419" w:rsidRDefault="00EE1CF7">
            <w:pPr>
              <w:jc w:val="center"/>
              <w:rPr>
                <w:rFonts w:ascii="Times New Roman" w:hAnsi="Times New Roman"/>
              </w:rPr>
            </w:pPr>
            <w:r>
              <w:rPr>
                <w:rFonts w:ascii="Times New Roman" w:hAnsi="Times New Roman"/>
              </w:rPr>
              <w:t>颗粒物</w:t>
            </w:r>
          </w:p>
        </w:tc>
        <w:tc>
          <w:tcPr>
            <w:tcW w:w="1129" w:type="dxa"/>
          </w:tcPr>
          <w:p w:rsidR="00525419" w:rsidRDefault="00EE1CF7">
            <w:pPr>
              <w:jc w:val="center"/>
              <w:rPr>
                <w:rFonts w:ascii="Times New Roman" w:hAnsi="Times New Roman"/>
              </w:rPr>
            </w:pPr>
            <w:r>
              <w:rPr>
                <w:rFonts w:ascii="Times New Roman" w:hAnsi="Times New Roman"/>
              </w:rPr>
              <w:t>0.79</w:t>
            </w:r>
          </w:p>
        </w:tc>
        <w:tc>
          <w:tcPr>
            <w:tcW w:w="999"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150</w:t>
            </w:r>
          </w:p>
        </w:tc>
        <w:tc>
          <w:tcPr>
            <w:tcW w:w="925"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80</w:t>
            </w:r>
          </w:p>
        </w:tc>
        <w:tc>
          <w:tcPr>
            <w:tcW w:w="1014"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hint="eastAsia"/>
                <w:kern w:val="0"/>
                <w:szCs w:val="24"/>
              </w:rPr>
              <w:t>0.6</w:t>
            </w:r>
          </w:p>
        </w:tc>
        <w:tc>
          <w:tcPr>
            <w:tcW w:w="1037"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rPr>
              <w:t>15734</w:t>
            </w:r>
          </w:p>
        </w:tc>
        <w:tc>
          <w:tcPr>
            <w:tcW w:w="801"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点源连续排放</w:t>
            </w:r>
          </w:p>
        </w:tc>
      </w:tr>
      <w:tr w:rsidR="00525419">
        <w:trPr>
          <w:trHeight w:val="397"/>
          <w:jc w:val="center"/>
        </w:trPr>
        <w:tc>
          <w:tcPr>
            <w:tcW w:w="1424" w:type="dxa"/>
            <w:vMerge/>
            <w:vAlign w:val="center"/>
          </w:tcPr>
          <w:p w:rsidR="00525419" w:rsidRDefault="00525419">
            <w:pPr>
              <w:widowControl/>
              <w:jc w:val="center"/>
              <w:rPr>
                <w:rFonts w:ascii="Times New Roman" w:hAnsi="Times New Roman"/>
                <w:kern w:val="0"/>
                <w:szCs w:val="24"/>
              </w:rPr>
            </w:pPr>
          </w:p>
        </w:tc>
        <w:tc>
          <w:tcPr>
            <w:tcW w:w="1062" w:type="dxa"/>
          </w:tcPr>
          <w:p w:rsidR="00525419" w:rsidRDefault="00EE1CF7">
            <w:pPr>
              <w:jc w:val="center"/>
              <w:rPr>
                <w:rFonts w:ascii="Times New Roman" w:hAnsi="Times New Roman"/>
              </w:rPr>
            </w:pPr>
            <w:r>
              <w:rPr>
                <w:rFonts w:ascii="Times New Roman" w:hAnsi="Times New Roman"/>
              </w:rPr>
              <w:t>二氧化硫</w:t>
            </w:r>
          </w:p>
        </w:tc>
        <w:tc>
          <w:tcPr>
            <w:tcW w:w="1129" w:type="dxa"/>
          </w:tcPr>
          <w:p w:rsidR="00525419" w:rsidRDefault="00EE1CF7">
            <w:pPr>
              <w:jc w:val="center"/>
              <w:rPr>
                <w:rFonts w:ascii="Times New Roman" w:hAnsi="Times New Roman"/>
              </w:rPr>
            </w:pPr>
            <w:r>
              <w:rPr>
                <w:rFonts w:ascii="Times New Roman" w:hAnsi="Times New Roman"/>
              </w:rPr>
              <w:t>3.156</w:t>
            </w:r>
          </w:p>
        </w:tc>
        <w:tc>
          <w:tcPr>
            <w:tcW w:w="999" w:type="dxa"/>
            <w:vMerge/>
            <w:vAlign w:val="center"/>
          </w:tcPr>
          <w:p w:rsidR="00525419" w:rsidRDefault="00525419">
            <w:pPr>
              <w:widowControl/>
              <w:jc w:val="center"/>
              <w:rPr>
                <w:rFonts w:ascii="Times New Roman" w:hAnsi="Times New Roman"/>
                <w:kern w:val="0"/>
                <w:szCs w:val="24"/>
              </w:rPr>
            </w:pPr>
          </w:p>
        </w:tc>
        <w:tc>
          <w:tcPr>
            <w:tcW w:w="925" w:type="dxa"/>
            <w:vMerge/>
            <w:vAlign w:val="center"/>
          </w:tcPr>
          <w:p w:rsidR="00525419" w:rsidRDefault="00525419">
            <w:pPr>
              <w:widowControl/>
              <w:jc w:val="center"/>
              <w:rPr>
                <w:rFonts w:ascii="Times New Roman" w:hAnsi="Times New Roman"/>
                <w:kern w:val="0"/>
                <w:szCs w:val="24"/>
              </w:rPr>
            </w:pPr>
          </w:p>
        </w:tc>
        <w:tc>
          <w:tcPr>
            <w:tcW w:w="1014" w:type="dxa"/>
            <w:vMerge/>
            <w:vAlign w:val="center"/>
          </w:tcPr>
          <w:p w:rsidR="00525419" w:rsidRDefault="00525419">
            <w:pPr>
              <w:widowControl/>
              <w:jc w:val="center"/>
              <w:rPr>
                <w:rFonts w:ascii="Times New Roman" w:hAnsi="Times New Roman"/>
                <w:kern w:val="0"/>
                <w:szCs w:val="24"/>
              </w:rPr>
            </w:pPr>
          </w:p>
        </w:tc>
        <w:tc>
          <w:tcPr>
            <w:tcW w:w="1037" w:type="dxa"/>
            <w:vMerge/>
            <w:vAlign w:val="center"/>
          </w:tcPr>
          <w:p w:rsidR="00525419" w:rsidRDefault="00525419">
            <w:pPr>
              <w:widowControl/>
              <w:jc w:val="center"/>
              <w:rPr>
                <w:rFonts w:ascii="Times New Roman" w:hAnsi="Times New Roman"/>
                <w:kern w:val="0"/>
                <w:szCs w:val="24"/>
              </w:rPr>
            </w:pPr>
          </w:p>
        </w:tc>
        <w:tc>
          <w:tcPr>
            <w:tcW w:w="801" w:type="dxa"/>
            <w:vMerge/>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1424" w:type="dxa"/>
            <w:vMerge/>
            <w:vAlign w:val="center"/>
          </w:tcPr>
          <w:p w:rsidR="00525419" w:rsidRDefault="00525419">
            <w:pPr>
              <w:widowControl/>
              <w:jc w:val="center"/>
              <w:rPr>
                <w:rFonts w:ascii="Times New Roman" w:hAnsi="Times New Roman"/>
                <w:kern w:val="0"/>
                <w:szCs w:val="24"/>
              </w:rPr>
            </w:pPr>
          </w:p>
        </w:tc>
        <w:tc>
          <w:tcPr>
            <w:tcW w:w="1062" w:type="dxa"/>
          </w:tcPr>
          <w:p w:rsidR="00525419" w:rsidRDefault="00EE1CF7">
            <w:pPr>
              <w:jc w:val="center"/>
              <w:rPr>
                <w:rFonts w:ascii="Times New Roman" w:hAnsi="Times New Roman"/>
              </w:rPr>
            </w:pPr>
            <w:r>
              <w:rPr>
                <w:rFonts w:ascii="Times New Roman" w:hAnsi="Times New Roman"/>
              </w:rPr>
              <w:t>氮氧化物</w:t>
            </w:r>
          </w:p>
        </w:tc>
        <w:tc>
          <w:tcPr>
            <w:tcW w:w="1129" w:type="dxa"/>
          </w:tcPr>
          <w:p w:rsidR="00525419" w:rsidRDefault="00EE1CF7">
            <w:pPr>
              <w:jc w:val="center"/>
              <w:rPr>
                <w:rFonts w:ascii="Times New Roman" w:hAnsi="Times New Roman"/>
              </w:rPr>
            </w:pPr>
            <w:r>
              <w:rPr>
                <w:rFonts w:ascii="Times New Roman" w:hAnsi="Times New Roman"/>
              </w:rPr>
              <w:t xml:space="preserve">0.22  </w:t>
            </w:r>
          </w:p>
        </w:tc>
        <w:tc>
          <w:tcPr>
            <w:tcW w:w="999" w:type="dxa"/>
            <w:vMerge/>
            <w:vAlign w:val="center"/>
          </w:tcPr>
          <w:p w:rsidR="00525419" w:rsidRDefault="00525419">
            <w:pPr>
              <w:widowControl/>
              <w:jc w:val="center"/>
              <w:rPr>
                <w:rFonts w:ascii="Times New Roman" w:hAnsi="Times New Roman"/>
                <w:kern w:val="0"/>
                <w:szCs w:val="24"/>
              </w:rPr>
            </w:pPr>
          </w:p>
        </w:tc>
        <w:tc>
          <w:tcPr>
            <w:tcW w:w="925" w:type="dxa"/>
            <w:vMerge/>
            <w:vAlign w:val="center"/>
          </w:tcPr>
          <w:p w:rsidR="00525419" w:rsidRDefault="00525419">
            <w:pPr>
              <w:widowControl/>
              <w:jc w:val="center"/>
              <w:rPr>
                <w:rFonts w:ascii="Times New Roman" w:hAnsi="Times New Roman"/>
                <w:kern w:val="0"/>
                <w:szCs w:val="24"/>
              </w:rPr>
            </w:pPr>
          </w:p>
        </w:tc>
        <w:tc>
          <w:tcPr>
            <w:tcW w:w="1014" w:type="dxa"/>
            <w:vMerge/>
            <w:vAlign w:val="center"/>
          </w:tcPr>
          <w:p w:rsidR="00525419" w:rsidRDefault="00525419">
            <w:pPr>
              <w:widowControl/>
              <w:jc w:val="center"/>
              <w:rPr>
                <w:rFonts w:ascii="Times New Roman" w:hAnsi="Times New Roman"/>
                <w:kern w:val="0"/>
                <w:szCs w:val="24"/>
              </w:rPr>
            </w:pPr>
          </w:p>
        </w:tc>
        <w:tc>
          <w:tcPr>
            <w:tcW w:w="1037" w:type="dxa"/>
            <w:vMerge/>
            <w:vAlign w:val="center"/>
          </w:tcPr>
          <w:p w:rsidR="00525419" w:rsidRDefault="00525419">
            <w:pPr>
              <w:widowControl/>
              <w:jc w:val="center"/>
              <w:rPr>
                <w:rFonts w:ascii="Times New Roman" w:hAnsi="Times New Roman"/>
                <w:kern w:val="0"/>
                <w:szCs w:val="24"/>
              </w:rPr>
            </w:pPr>
          </w:p>
        </w:tc>
        <w:tc>
          <w:tcPr>
            <w:tcW w:w="801" w:type="dxa"/>
            <w:vMerge/>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1424"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装置区、罐区</w:t>
            </w:r>
          </w:p>
        </w:tc>
        <w:tc>
          <w:tcPr>
            <w:tcW w:w="1062"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非甲烷总烃</w:t>
            </w:r>
          </w:p>
        </w:tc>
        <w:tc>
          <w:tcPr>
            <w:tcW w:w="112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6.8</w:t>
            </w:r>
          </w:p>
        </w:tc>
        <w:tc>
          <w:tcPr>
            <w:tcW w:w="3975" w:type="dxa"/>
            <w:gridSpan w:val="4"/>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225m×980m</w:t>
            </w:r>
            <w:r>
              <w:rPr>
                <w:rFonts w:ascii="Times New Roman" w:hAnsi="Times New Roman"/>
                <w:kern w:val="0"/>
                <w:szCs w:val="24"/>
              </w:rPr>
              <w:t>，有效高度</w:t>
            </w:r>
            <w:r>
              <w:rPr>
                <w:rFonts w:ascii="Times New Roman" w:hAnsi="Times New Roman"/>
                <w:kern w:val="0"/>
                <w:szCs w:val="24"/>
              </w:rPr>
              <w:t>15m</w:t>
            </w:r>
          </w:p>
        </w:tc>
        <w:tc>
          <w:tcPr>
            <w:tcW w:w="80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面源</w:t>
            </w:r>
          </w:p>
        </w:tc>
      </w:tr>
      <w:tr w:rsidR="00525419">
        <w:trPr>
          <w:trHeight w:val="401"/>
          <w:jc w:val="center"/>
        </w:trPr>
        <w:tc>
          <w:tcPr>
            <w:tcW w:w="3615" w:type="dxa"/>
            <w:gridSpan w:val="3"/>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参数</w:t>
            </w:r>
          </w:p>
        </w:tc>
        <w:tc>
          <w:tcPr>
            <w:tcW w:w="4776" w:type="dxa"/>
            <w:gridSpan w:val="5"/>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取值</w:t>
            </w:r>
          </w:p>
        </w:tc>
      </w:tr>
      <w:tr w:rsidR="00525419">
        <w:trPr>
          <w:trHeight w:val="397"/>
          <w:jc w:val="center"/>
        </w:trPr>
        <w:tc>
          <w:tcPr>
            <w:tcW w:w="3615" w:type="dxa"/>
            <w:gridSpan w:val="3"/>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城市</w:t>
            </w:r>
            <w:r>
              <w:rPr>
                <w:rFonts w:ascii="Times New Roman" w:hAnsi="Times New Roman"/>
                <w:kern w:val="0"/>
                <w:szCs w:val="24"/>
              </w:rPr>
              <w:t>/</w:t>
            </w:r>
            <w:r>
              <w:rPr>
                <w:rFonts w:ascii="Times New Roman" w:hAnsi="Times New Roman"/>
                <w:kern w:val="0"/>
                <w:szCs w:val="24"/>
              </w:rPr>
              <w:t>农村选项</w:t>
            </w:r>
          </w:p>
        </w:tc>
        <w:tc>
          <w:tcPr>
            <w:tcW w:w="4776" w:type="dxa"/>
            <w:gridSpan w:val="5"/>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农村</w:t>
            </w:r>
          </w:p>
        </w:tc>
      </w:tr>
      <w:tr w:rsidR="00525419">
        <w:trPr>
          <w:trHeight w:val="397"/>
          <w:jc w:val="center"/>
        </w:trPr>
        <w:tc>
          <w:tcPr>
            <w:tcW w:w="3615" w:type="dxa"/>
            <w:gridSpan w:val="3"/>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最高环境温度</w:t>
            </w:r>
            <w:r>
              <w:rPr>
                <w:rFonts w:ascii="Times New Roman" w:hAnsi="Times New Roman"/>
                <w:kern w:val="0"/>
                <w:szCs w:val="24"/>
              </w:rPr>
              <w:t>/℃</w:t>
            </w:r>
          </w:p>
        </w:tc>
        <w:tc>
          <w:tcPr>
            <w:tcW w:w="4776" w:type="dxa"/>
            <w:gridSpan w:val="5"/>
          </w:tcPr>
          <w:p w:rsidR="00525419" w:rsidRDefault="00EE1CF7">
            <w:pPr>
              <w:spacing w:line="240" w:lineRule="atLeast"/>
              <w:jc w:val="center"/>
              <w:rPr>
                <w:rFonts w:ascii="Times New Roman" w:hAnsi="Times New Roman"/>
                <w:kern w:val="0"/>
                <w:szCs w:val="24"/>
              </w:rPr>
            </w:pPr>
            <w:r>
              <w:rPr>
                <w:rFonts w:ascii="Times New Roman" w:hAnsi="Times New Roman"/>
                <w:snapToGrid w:val="0"/>
                <w:kern w:val="0"/>
                <w:szCs w:val="21"/>
              </w:rPr>
              <w:t>44.8</w:t>
            </w:r>
          </w:p>
        </w:tc>
      </w:tr>
      <w:tr w:rsidR="00525419">
        <w:trPr>
          <w:trHeight w:val="397"/>
          <w:jc w:val="center"/>
        </w:trPr>
        <w:tc>
          <w:tcPr>
            <w:tcW w:w="3615" w:type="dxa"/>
            <w:gridSpan w:val="3"/>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最低环境温度</w:t>
            </w:r>
            <w:r>
              <w:rPr>
                <w:rFonts w:ascii="Times New Roman" w:hAnsi="Times New Roman"/>
                <w:kern w:val="0"/>
                <w:szCs w:val="24"/>
              </w:rPr>
              <w:t>/℃</w:t>
            </w:r>
          </w:p>
        </w:tc>
        <w:tc>
          <w:tcPr>
            <w:tcW w:w="4776" w:type="dxa"/>
            <w:gridSpan w:val="5"/>
          </w:tcPr>
          <w:p w:rsidR="00525419" w:rsidRDefault="00EE1CF7">
            <w:pPr>
              <w:spacing w:line="240" w:lineRule="atLeast"/>
              <w:jc w:val="center"/>
              <w:rPr>
                <w:rFonts w:ascii="Times New Roman" w:hAnsi="Times New Roman"/>
                <w:kern w:val="0"/>
                <w:szCs w:val="24"/>
              </w:rPr>
            </w:pPr>
            <w:r>
              <w:rPr>
                <w:rFonts w:ascii="Times New Roman" w:hAnsi="Times New Roman"/>
                <w:snapToGrid w:val="0"/>
                <w:kern w:val="0"/>
                <w:szCs w:val="21"/>
              </w:rPr>
              <w:t>－</w:t>
            </w:r>
            <w:r>
              <w:rPr>
                <w:rFonts w:ascii="Times New Roman" w:hAnsi="Times New Roman"/>
                <w:snapToGrid w:val="0"/>
                <w:kern w:val="0"/>
                <w:szCs w:val="21"/>
              </w:rPr>
              <w:t>28.7</w:t>
            </w:r>
          </w:p>
        </w:tc>
      </w:tr>
      <w:tr w:rsidR="00525419">
        <w:trPr>
          <w:trHeight w:val="397"/>
          <w:jc w:val="center"/>
        </w:trPr>
        <w:tc>
          <w:tcPr>
            <w:tcW w:w="3615" w:type="dxa"/>
            <w:gridSpan w:val="3"/>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土地利用类型</w:t>
            </w:r>
          </w:p>
        </w:tc>
        <w:tc>
          <w:tcPr>
            <w:tcW w:w="4776" w:type="dxa"/>
            <w:gridSpan w:val="5"/>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荒漠</w:t>
            </w:r>
          </w:p>
        </w:tc>
      </w:tr>
      <w:tr w:rsidR="00525419">
        <w:trPr>
          <w:trHeight w:val="397"/>
          <w:jc w:val="center"/>
        </w:trPr>
        <w:tc>
          <w:tcPr>
            <w:tcW w:w="3615" w:type="dxa"/>
            <w:gridSpan w:val="3"/>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区域湿度条件</w:t>
            </w:r>
          </w:p>
        </w:tc>
        <w:tc>
          <w:tcPr>
            <w:tcW w:w="4776" w:type="dxa"/>
            <w:gridSpan w:val="5"/>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干燥气候</w:t>
            </w:r>
          </w:p>
        </w:tc>
      </w:tr>
      <w:tr w:rsidR="00525419">
        <w:trPr>
          <w:trHeight w:val="397"/>
          <w:jc w:val="center"/>
        </w:trPr>
        <w:tc>
          <w:tcPr>
            <w:tcW w:w="3615" w:type="dxa"/>
            <w:gridSpan w:val="3"/>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地形数据分辨率</w:t>
            </w:r>
          </w:p>
        </w:tc>
        <w:tc>
          <w:tcPr>
            <w:tcW w:w="4776" w:type="dxa"/>
            <w:gridSpan w:val="5"/>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25m</w:t>
            </w:r>
          </w:p>
        </w:tc>
      </w:tr>
      <w:tr w:rsidR="00525419">
        <w:trPr>
          <w:trHeight w:val="397"/>
          <w:jc w:val="center"/>
        </w:trPr>
        <w:tc>
          <w:tcPr>
            <w:tcW w:w="3615" w:type="dxa"/>
            <w:gridSpan w:val="3"/>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是否考虑海岸线熏烟</w:t>
            </w:r>
          </w:p>
        </w:tc>
        <w:tc>
          <w:tcPr>
            <w:tcW w:w="4776" w:type="dxa"/>
            <w:gridSpan w:val="5"/>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否</w:t>
            </w:r>
          </w:p>
        </w:tc>
      </w:tr>
    </w:tbl>
    <w:p w:rsidR="00525419" w:rsidRDefault="00EE1CF7">
      <w:pPr>
        <w:spacing w:line="360" w:lineRule="auto"/>
        <w:ind w:firstLineChars="200" w:firstLine="480"/>
        <w:rPr>
          <w:rFonts w:ascii="Times New Roman" w:hAnsi="Times New Roman"/>
          <w:sz w:val="24"/>
        </w:rPr>
      </w:pPr>
      <w:r>
        <w:rPr>
          <w:rFonts w:ascii="Times New Roman" w:hAnsi="Times New Roman"/>
          <w:sz w:val="24"/>
        </w:rPr>
        <w:t>根据工程分析的污染源数据，利用估算模式计算结果见表</w:t>
      </w:r>
      <w:r>
        <w:rPr>
          <w:rFonts w:ascii="Times New Roman" w:hAnsi="Times New Roman"/>
          <w:sz w:val="24"/>
        </w:rPr>
        <w:t>2.3-3</w:t>
      </w:r>
      <w:r>
        <w:rPr>
          <w:rFonts w:ascii="Times New Roman" w:hAnsi="Times New Roman"/>
          <w:sz w:val="24"/>
        </w:rPr>
        <w:t>。</w:t>
      </w:r>
    </w:p>
    <w:p w:rsidR="00525419" w:rsidRDefault="00EE1CF7">
      <w:pPr>
        <w:spacing w:line="240" w:lineRule="atLeast"/>
        <w:ind w:firstLineChars="1000" w:firstLine="2100"/>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2.3-3      </w:t>
      </w:r>
      <w:r>
        <w:rPr>
          <w:rFonts w:ascii="Times New Roman" w:eastAsia="黑体" w:hAnsi="Times New Roman"/>
          <w:szCs w:val="21"/>
        </w:rPr>
        <w:t>本项目主要污染源估算结果</w:t>
      </w:r>
    </w:p>
    <w:tbl>
      <w:tblPr>
        <w:tblW w:w="8336"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644"/>
        <w:gridCol w:w="1036"/>
        <w:gridCol w:w="656"/>
        <w:gridCol w:w="660"/>
        <w:gridCol w:w="971"/>
        <w:gridCol w:w="1099"/>
        <w:gridCol w:w="1109"/>
        <w:gridCol w:w="1177"/>
        <w:gridCol w:w="984"/>
      </w:tblGrid>
      <w:tr w:rsidR="00525419">
        <w:trPr>
          <w:trHeight w:val="286"/>
        </w:trPr>
        <w:tc>
          <w:tcPr>
            <w:tcW w:w="64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序号</w:t>
            </w:r>
          </w:p>
        </w:tc>
        <w:tc>
          <w:tcPr>
            <w:tcW w:w="103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污染源名称</w:t>
            </w:r>
          </w:p>
        </w:tc>
        <w:tc>
          <w:tcPr>
            <w:tcW w:w="65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方位角度</w:t>
            </w:r>
            <w:r>
              <w:rPr>
                <w:rFonts w:ascii="Times New Roman" w:hAnsi="Times New Roman"/>
                <w:kern w:val="0"/>
                <w:szCs w:val="21"/>
                <w:lang w:bidi="ar"/>
              </w:rPr>
              <w:t>(</w:t>
            </w:r>
            <w:r>
              <w:rPr>
                <w:rFonts w:ascii="Times New Roman" w:hAnsi="Times New Roman"/>
                <w:kern w:val="0"/>
                <w:szCs w:val="21"/>
                <w:lang w:bidi="ar"/>
              </w:rPr>
              <w:t>度</w:t>
            </w:r>
            <w:r>
              <w:rPr>
                <w:rFonts w:ascii="Times New Roman" w:hAnsi="Times New Roman"/>
                <w:kern w:val="0"/>
                <w:szCs w:val="21"/>
                <w:lang w:bidi="ar"/>
              </w:rPr>
              <w:t xml:space="preserve">) </w:t>
            </w:r>
          </w:p>
        </w:tc>
        <w:tc>
          <w:tcPr>
            <w:tcW w:w="66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离源距离</w:t>
            </w:r>
            <w:r>
              <w:rPr>
                <w:rFonts w:ascii="Times New Roman" w:hAnsi="Times New Roman"/>
                <w:kern w:val="0"/>
                <w:szCs w:val="21"/>
                <w:lang w:bidi="ar"/>
              </w:rPr>
              <w:t>(m)</w:t>
            </w:r>
          </w:p>
        </w:tc>
        <w:tc>
          <w:tcPr>
            <w:tcW w:w="971"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相对源高</w:t>
            </w:r>
            <w:r>
              <w:rPr>
                <w:rFonts w:ascii="Times New Roman" w:hAnsi="Times New Roman"/>
                <w:kern w:val="0"/>
                <w:szCs w:val="21"/>
                <w:lang w:bidi="ar"/>
              </w:rPr>
              <w:t>(m)</w:t>
            </w:r>
          </w:p>
        </w:tc>
        <w:tc>
          <w:tcPr>
            <w:tcW w:w="109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SO</w:t>
            </w:r>
            <w:r>
              <w:rPr>
                <w:rFonts w:ascii="Times New Roman" w:hAnsi="Times New Roman"/>
                <w:kern w:val="0"/>
                <w:szCs w:val="21"/>
                <w:vertAlign w:val="subscript"/>
                <w:lang w:bidi="ar"/>
              </w:rPr>
              <w:t>2</w:t>
            </w:r>
            <w:r>
              <w:rPr>
                <w:rFonts w:ascii="Times New Roman" w:hAnsi="Times New Roman"/>
                <w:kern w:val="0"/>
                <w:szCs w:val="21"/>
                <w:lang w:bidi="ar"/>
              </w:rPr>
              <w:t>|D10(m)</w:t>
            </w:r>
          </w:p>
        </w:tc>
        <w:tc>
          <w:tcPr>
            <w:tcW w:w="110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NO</w:t>
            </w:r>
            <w:r>
              <w:rPr>
                <w:rFonts w:ascii="Times New Roman" w:hAnsi="Times New Roman"/>
                <w:kern w:val="0"/>
                <w:szCs w:val="21"/>
                <w:vertAlign w:val="subscript"/>
                <w:lang w:bidi="ar"/>
              </w:rPr>
              <w:t>2</w:t>
            </w:r>
            <w:r>
              <w:rPr>
                <w:rFonts w:ascii="Times New Roman" w:hAnsi="Times New Roman"/>
                <w:kern w:val="0"/>
                <w:szCs w:val="21"/>
                <w:lang w:bidi="ar"/>
              </w:rPr>
              <w:t>|D10(m)</w:t>
            </w:r>
          </w:p>
        </w:tc>
        <w:tc>
          <w:tcPr>
            <w:tcW w:w="117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PM</w:t>
            </w:r>
            <w:r>
              <w:rPr>
                <w:rFonts w:ascii="Times New Roman" w:hAnsi="Times New Roman"/>
                <w:kern w:val="0"/>
                <w:szCs w:val="21"/>
                <w:vertAlign w:val="subscript"/>
                <w:lang w:bidi="ar"/>
              </w:rPr>
              <w:t>10</w:t>
            </w:r>
            <w:r>
              <w:rPr>
                <w:rFonts w:ascii="Times New Roman" w:hAnsi="Times New Roman"/>
                <w:kern w:val="0"/>
                <w:szCs w:val="21"/>
                <w:lang w:bidi="ar"/>
              </w:rPr>
              <w:t>|D10(m)</w:t>
            </w:r>
          </w:p>
        </w:tc>
        <w:tc>
          <w:tcPr>
            <w:tcW w:w="9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非甲烷总烃</w:t>
            </w:r>
            <w:r>
              <w:rPr>
                <w:rFonts w:ascii="Times New Roman" w:hAnsi="Times New Roman"/>
                <w:kern w:val="0"/>
                <w:szCs w:val="21"/>
                <w:lang w:bidi="ar"/>
              </w:rPr>
              <w:t>|D10(m)</w:t>
            </w:r>
          </w:p>
        </w:tc>
      </w:tr>
      <w:tr w:rsidR="00525419">
        <w:trPr>
          <w:trHeight w:val="286"/>
        </w:trPr>
        <w:tc>
          <w:tcPr>
            <w:tcW w:w="64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w:t>
            </w:r>
          </w:p>
        </w:tc>
        <w:tc>
          <w:tcPr>
            <w:tcW w:w="1036" w:type="dxa"/>
            <w:tcBorders>
              <w:tl2br w:val="nil"/>
              <w:tr2bl w:val="nil"/>
            </w:tcBorders>
            <w:shd w:val="clear" w:color="auto" w:fill="auto"/>
            <w:vAlign w:val="center"/>
          </w:tcPr>
          <w:p w:rsidR="00525419" w:rsidRDefault="00EE1CF7">
            <w:pPr>
              <w:widowControl/>
              <w:jc w:val="center"/>
              <w:rPr>
                <w:rFonts w:ascii="Times New Roman" w:hAnsi="Times New Roman"/>
                <w:szCs w:val="21"/>
              </w:rPr>
            </w:pPr>
            <w:r>
              <w:rPr>
                <w:rFonts w:ascii="Times New Roman" w:hAnsi="Times New Roman"/>
                <w:kern w:val="0"/>
                <w:szCs w:val="24"/>
              </w:rPr>
              <w:t>制氢转化炉</w:t>
            </w:r>
          </w:p>
        </w:tc>
        <w:tc>
          <w:tcPr>
            <w:tcW w:w="65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340</w:t>
            </w:r>
          </w:p>
        </w:tc>
        <w:tc>
          <w:tcPr>
            <w:tcW w:w="66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2895</w:t>
            </w:r>
          </w:p>
        </w:tc>
        <w:tc>
          <w:tcPr>
            <w:tcW w:w="971"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93.71</w:t>
            </w:r>
          </w:p>
        </w:tc>
        <w:tc>
          <w:tcPr>
            <w:tcW w:w="109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0.42|0</w:t>
            </w:r>
          </w:p>
        </w:tc>
        <w:tc>
          <w:tcPr>
            <w:tcW w:w="110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14.04|275</w:t>
            </w:r>
          </w:p>
        </w:tc>
        <w:tc>
          <w:tcPr>
            <w:tcW w:w="117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0.37|0</w:t>
            </w:r>
          </w:p>
        </w:tc>
        <w:tc>
          <w:tcPr>
            <w:tcW w:w="9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0.00|0</w:t>
            </w:r>
          </w:p>
        </w:tc>
      </w:tr>
      <w:tr w:rsidR="00525419">
        <w:trPr>
          <w:trHeight w:val="286"/>
        </w:trPr>
        <w:tc>
          <w:tcPr>
            <w:tcW w:w="64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w:t>
            </w:r>
          </w:p>
        </w:tc>
        <w:tc>
          <w:tcPr>
            <w:tcW w:w="103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rPr>
              <w:t>加氢</w:t>
            </w:r>
            <w:r>
              <w:rPr>
                <w:rFonts w:ascii="Times New Roman" w:hAnsi="Times New Roman" w:hint="eastAsia"/>
              </w:rPr>
              <w:t>反应一、二段加热炉</w:t>
            </w:r>
          </w:p>
        </w:tc>
        <w:tc>
          <w:tcPr>
            <w:tcW w:w="65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340</w:t>
            </w:r>
          </w:p>
        </w:tc>
        <w:tc>
          <w:tcPr>
            <w:tcW w:w="66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1545</w:t>
            </w:r>
          </w:p>
        </w:tc>
        <w:tc>
          <w:tcPr>
            <w:tcW w:w="971"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46.79</w:t>
            </w:r>
          </w:p>
        </w:tc>
        <w:tc>
          <w:tcPr>
            <w:tcW w:w="109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0.13|0</w:t>
            </w:r>
          </w:p>
        </w:tc>
        <w:tc>
          <w:tcPr>
            <w:tcW w:w="110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9.73|0</w:t>
            </w:r>
          </w:p>
        </w:tc>
        <w:tc>
          <w:tcPr>
            <w:tcW w:w="117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0.12|0</w:t>
            </w:r>
          </w:p>
        </w:tc>
        <w:tc>
          <w:tcPr>
            <w:tcW w:w="9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0.00|0</w:t>
            </w:r>
          </w:p>
        </w:tc>
      </w:tr>
      <w:tr w:rsidR="00525419">
        <w:trPr>
          <w:trHeight w:val="286"/>
        </w:trPr>
        <w:tc>
          <w:tcPr>
            <w:tcW w:w="64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w:t>
            </w:r>
          </w:p>
        </w:tc>
        <w:tc>
          <w:tcPr>
            <w:tcW w:w="103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hint="eastAsia"/>
              </w:rPr>
              <w:t>加氢</w:t>
            </w:r>
            <w:r>
              <w:rPr>
                <w:rFonts w:ascii="Times New Roman" w:hAnsi="Times New Roman"/>
              </w:rPr>
              <w:t>分馏加热炉</w:t>
            </w:r>
          </w:p>
        </w:tc>
        <w:tc>
          <w:tcPr>
            <w:tcW w:w="65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350</w:t>
            </w:r>
          </w:p>
        </w:tc>
        <w:tc>
          <w:tcPr>
            <w:tcW w:w="66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1840</w:t>
            </w:r>
          </w:p>
        </w:tc>
        <w:tc>
          <w:tcPr>
            <w:tcW w:w="971"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58.14</w:t>
            </w:r>
          </w:p>
        </w:tc>
        <w:tc>
          <w:tcPr>
            <w:tcW w:w="109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0.09|0</w:t>
            </w:r>
          </w:p>
        </w:tc>
        <w:tc>
          <w:tcPr>
            <w:tcW w:w="110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6.47|0</w:t>
            </w:r>
          </w:p>
        </w:tc>
        <w:tc>
          <w:tcPr>
            <w:tcW w:w="117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0.08|0</w:t>
            </w:r>
          </w:p>
        </w:tc>
        <w:tc>
          <w:tcPr>
            <w:tcW w:w="9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0.00|0</w:t>
            </w:r>
          </w:p>
        </w:tc>
      </w:tr>
      <w:tr w:rsidR="00525419">
        <w:trPr>
          <w:trHeight w:val="286"/>
        </w:trPr>
        <w:tc>
          <w:tcPr>
            <w:tcW w:w="64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4</w:t>
            </w:r>
          </w:p>
        </w:tc>
        <w:tc>
          <w:tcPr>
            <w:tcW w:w="103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hint="eastAsia"/>
              </w:rPr>
              <w:t>硫磺回收</w:t>
            </w:r>
            <w:r>
              <w:rPr>
                <w:rFonts w:ascii="Times New Roman" w:hAnsi="Times New Roman" w:hint="eastAsia"/>
              </w:rPr>
              <w:lastRenderedPageBreak/>
              <w:t>硫磺回收尾气焚烧炉</w:t>
            </w:r>
          </w:p>
        </w:tc>
        <w:tc>
          <w:tcPr>
            <w:tcW w:w="65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lastRenderedPageBreak/>
              <w:t>350</w:t>
            </w:r>
          </w:p>
        </w:tc>
        <w:tc>
          <w:tcPr>
            <w:tcW w:w="66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3320</w:t>
            </w:r>
          </w:p>
        </w:tc>
        <w:tc>
          <w:tcPr>
            <w:tcW w:w="971"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103.2</w:t>
            </w:r>
          </w:p>
        </w:tc>
        <w:tc>
          <w:tcPr>
            <w:tcW w:w="109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3.88|0</w:t>
            </w:r>
          </w:p>
        </w:tc>
        <w:tc>
          <w:tcPr>
            <w:tcW w:w="110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0.68|0</w:t>
            </w:r>
          </w:p>
        </w:tc>
        <w:tc>
          <w:tcPr>
            <w:tcW w:w="117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1.08|0</w:t>
            </w:r>
          </w:p>
        </w:tc>
        <w:tc>
          <w:tcPr>
            <w:tcW w:w="9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0.00|0</w:t>
            </w:r>
          </w:p>
        </w:tc>
      </w:tr>
      <w:tr w:rsidR="00525419">
        <w:trPr>
          <w:trHeight w:val="286"/>
        </w:trPr>
        <w:tc>
          <w:tcPr>
            <w:tcW w:w="64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5</w:t>
            </w:r>
          </w:p>
        </w:tc>
        <w:tc>
          <w:tcPr>
            <w:tcW w:w="103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装置区、储罐区</w:t>
            </w:r>
          </w:p>
        </w:tc>
        <w:tc>
          <w:tcPr>
            <w:tcW w:w="65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66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569</w:t>
            </w:r>
          </w:p>
        </w:tc>
        <w:tc>
          <w:tcPr>
            <w:tcW w:w="971"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109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0.00|0</w:t>
            </w:r>
          </w:p>
        </w:tc>
        <w:tc>
          <w:tcPr>
            <w:tcW w:w="110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0.00|0</w:t>
            </w:r>
          </w:p>
        </w:tc>
        <w:tc>
          <w:tcPr>
            <w:tcW w:w="117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0.00|0</w:t>
            </w:r>
          </w:p>
        </w:tc>
        <w:tc>
          <w:tcPr>
            <w:tcW w:w="9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17.43|3750</w:t>
            </w:r>
          </w:p>
        </w:tc>
      </w:tr>
      <w:tr w:rsidR="00525419">
        <w:trPr>
          <w:trHeight w:val="286"/>
        </w:trPr>
        <w:tc>
          <w:tcPr>
            <w:tcW w:w="644" w:type="dxa"/>
            <w:tcBorders>
              <w:tl2br w:val="nil"/>
              <w:tr2bl w:val="nil"/>
            </w:tcBorders>
            <w:shd w:val="clear" w:color="auto" w:fill="auto"/>
            <w:vAlign w:val="center"/>
          </w:tcPr>
          <w:p w:rsidR="00525419" w:rsidRDefault="00525419">
            <w:pPr>
              <w:jc w:val="center"/>
              <w:rPr>
                <w:rFonts w:ascii="Times New Roman" w:hAnsi="Times New Roman"/>
                <w:szCs w:val="21"/>
              </w:rPr>
            </w:pPr>
          </w:p>
        </w:tc>
        <w:tc>
          <w:tcPr>
            <w:tcW w:w="103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各源最大值</w:t>
            </w:r>
          </w:p>
        </w:tc>
        <w:tc>
          <w:tcPr>
            <w:tcW w:w="65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w:t>
            </w:r>
          </w:p>
        </w:tc>
        <w:tc>
          <w:tcPr>
            <w:tcW w:w="66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w:t>
            </w:r>
          </w:p>
        </w:tc>
        <w:tc>
          <w:tcPr>
            <w:tcW w:w="971"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w:t>
            </w:r>
          </w:p>
        </w:tc>
        <w:tc>
          <w:tcPr>
            <w:tcW w:w="109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3.88</w:t>
            </w:r>
          </w:p>
        </w:tc>
        <w:tc>
          <w:tcPr>
            <w:tcW w:w="110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14.04</w:t>
            </w:r>
          </w:p>
        </w:tc>
        <w:tc>
          <w:tcPr>
            <w:tcW w:w="117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1.08</w:t>
            </w:r>
          </w:p>
        </w:tc>
        <w:tc>
          <w:tcPr>
            <w:tcW w:w="9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17.43</w:t>
            </w:r>
          </w:p>
        </w:tc>
      </w:tr>
    </w:tbl>
    <w:p w:rsidR="00525419" w:rsidRDefault="00EE1CF7">
      <w:pPr>
        <w:spacing w:line="360" w:lineRule="auto"/>
        <w:ind w:firstLineChars="200" w:firstLine="480"/>
        <w:rPr>
          <w:rFonts w:ascii="Times New Roman" w:hAnsi="Times New Roman"/>
          <w:sz w:val="24"/>
        </w:rPr>
      </w:pPr>
      <w:r>
        <w:rPr>
          <w:rFonts w:ascii="Times New Roman" w:hAnsi="Times New Roman"/>
          <w:sz w:val="24"/>
        </w:rPr>
        <w:t>估算结果表明，最大占标率</w:t>
      </w:r>
      <w:r>
        <w:rPr>
          <w:rFonts w:ascii="Times New Roman" w:hAnsi="Times New Roman"/>
          <w:sz w:val="24"/>
        </w:rPr>
        <w:t>Pmax</w:t>
      </w:r>
      <w:r>
        <w:rPr>
          <w:rFonts w:ascii="Times New Roman" w:hAnsi="Times New Roman"/>
          <w:sz w:val="24"/>
        </w:rPr>
        <w:t>：</w:t>
      </w:r>
      <w:r>
        <w:rPr>
          <w:rFonts w:ascii="Times New Roman" w:hAnsi="Times New Roman"/>
          <w:sz w:val="24"/>
        </w:rPr>
        <w:t>17.43%</w:t>
      </w:r>
      <w:r>
        <w:rPr>
          <w:rFonts w:ascii="Times New Roman" w:hAnsi="Times New Roman"/>
          <w:sz w:val="24"/>
        </w:rPr>
        <w:t>，最远影响距离</w:t>
      </w:r>
      <w:r>
        <w:rPr>
          <w:rFonts w:ascii="Times New Roman" w:hAnsi="Times New Roman"/>
          <w:sz w:val="24"/>
        </w:rPr>
        <w:t>D10</w:t>
      </w:r>
      <w:r>
        <w:rPr>
          <w:rFonts w:ascii="Times New Roman" w:hAnsi="Times New Roman"/>
          <w:sz w:val="24"/>
        </w:rPr>
        <w:t>为</w:t>
      </w:r>
      <w:r>
        <w:rPr>
          <w:rFonts w:ascii="Times New Roman" w:hAnsi="Times New Roman"/>
          <w:sz w:val="24"/>
        </w:rPr>
        <w:t>3750m</w:t>
      </w:r>
      <w:r>
        <w:rPr>
          <w:rFonts w:ascii="Times New Roman" w:hAnsi="Times New Roman"/>
          <w:sz w:val="24"/>
        </w:rPr>
        <w:t>。筛选得到评价等级定级：一级</w:t>
      </w:r>
      <w:r>
        <w:rPr>
          <w:rFonts w:ascii="Times New Roman" w:hAnsi="Times New Roman" w:hint="eastAsia"/>
          <w:sz w:val="24"/>
        </w:rPr>
        <w:t>，</w:t>
      </w:r>
      <w:r>
        <w:rPr>
          <w:rFonts w:ascii="Times New Roman" w:hAnsi="Times New Roman"/>
          <w:sz w:val="24"/>
        </w:rPr>
        <w:t>按导则要求评价范围确定为自厂界外延</w:t>
      </w:r>
      <w:r>
        <w:rPr>
          <w:rFonts w:ascii="Times New Roman" w:hAnsi="Times New Roman"/>
          <w:sz w:val="24"/>
        </w:rPr>
        <w:t>3750m</w:t>
      </w:r>
      <w:r>
        <w:rPr>
          <w:rFonts w:ascii="Times New Roman" w:hAnsi="Times New Roman"/>
          <w:sz w:val="24"/>
        </w:rPr>
        <w:t>的矩形区域。</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2.3.1.2</w:t>
      </w:r>
      <w:r>
        <w:rPr>
          <w:rFonts w:ascii="Times New Roman" w:hAnsi="Times New Roman" w:cs="Times New Roman"/>
          <w:kern w:val="44"/>
          <w:sz w:val="24"/>
          <w:szCs w:val="24"/>
        </w:rPr>
        <w:t>水环境评价等级</w:t>
      </w:r>
    </w:p>
    <w:p w:rsidR="00525419" w:rsidRDefault="00EE1CF7">
      <w:pPr>
        <w:spacing w:line="360" w:lineRule="auto"/>
        <w:ind w:firstLineChars="200" w:firstLine="482"/>
        <w:rPr>
          <w:rFonts w:ascii="Times New Roman" w:hAnsi="Times New Roman"/>
          <w:b/>
          <w:bCs/>
          <w:sz w:val="24"/>
        </w:rPr>
      </w:pPr>
      <w:r>
        <w:rPr>
          <w:rFonts w:ascii="Times New Roman" w:hAnsi="Times New Roman"/>
          <w:b/>
          <w:bCs/>
          <w:sz w:val="24"/>
        </w:rPr>
        <w:t>（</w:t>
      </w:r>
      <w:r>
        <w:rPr>
          <w:rFonts w:ascii="Times New Roman" w:hAnsi="Times New Roman"/>
          <w:b/>
          <w:bCs/>
          <w:sz w:val="24"/>
        </w:rPr>
        <w:t>1</w:t>
      </w:r>
      <w:r>
        <w:rPr>
          <w:rFonts w:ascii="Times New Roman" w:hAnsi="Times New Roman"/>
          <w:b/>
          <w:bCs/>
          <w:sz w:val="24"/>
        </w:rPr>
        <w:t>）地表水环境</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根据</w:t>
      </w:r>
      <w:r>
        <w:rPr>
          <w:rFonts w:ascii="Times New Roman" w:hAnsi="Times New Roman"/>
          <w:sz w:val="24"/>
          <w:lang w:val="zh-CN"/>
        </w:rPr>
        <w:t>《环境影响评价技术导则</w:t>
      </w:r>
      <w:r>
        <w:rPr>
          <w:rFonts w:ascii="Times New Roman" w:hAnsi="Times New Roman"/>
          <w:sz w:val="24"/>
          <w:lang w:val="zh-CN"/>
        </w:rPr>
        <w:t xml:space="preserve"> </w:t>
      </w:r>
      <w:r>
        <w:rPr>
          <w:rFonts w:ascii="Times New Roman" w:hAnsi="Times New Roman"/>
          <w:sz w:val="24"/>
          <w:lang w:val="zh-CN"/>
        </w:rPr>
        <w:t>地表水环境》（</w:t>
      </w:r>
      <w:r>
        <w:rPr>
          <w:rFonts w:ascii="Times New Roman" w:hAnsi="Times New Roman"/>
          <w:sz w:val="24"/>
          <w:lang w:val="zh-CN"/>
        </w:rPr>
        <w:t>HJ2.3-2018</w:t>
      </w:r>
      <w:r>
        <w:rPr>
          <w:rFonts w:ascii="Times New Roman" w:hAnsi="Times New Roman"/>
          <w:sz w:val="24"/>
          <w:lang w:val="zh-CN"/>
        </w:rPr>
        <w:t>），建设项目地表水环境影响评价等级按照影响类型、排放方式、排放量或影响情况、受纳水体环境质量现状、水环境保护目标等综合确定。</w:t>
      </w:r>
    </w:p>
    <w:p w:rsidR="00525419" w:rsidRDefault="00EE1CF7">
      <w:pPr>
        <w:pStyle w:val="B1"/>
        <w:ind w:firstLine="480"/>
        <w:jc w:val="both"/>
        <w:rPr>
          <w:rFonts w:cs="Times New Roman"/>
          <w:lang w:val="zh-CN"/>
        </w:rPr>
      </w:pPr>
      <w:r>
        <w:rPr>
          <w:rFonts w:cs="Times New Roman"/>
        </w:rPr>
        <w:t>本厂区产生的</w:t>
      </w:r>
      <w:r>
        <w:rPr>
          <w:rFonts w:cs="Times New Roman" w:hint="eastAsia"/>
        </w:rPr>
        <w:t>含硫废水</w:t>
      </w:r>
      <w:r>
        <w:rPr>
          <w:rFonts w:cs="Times New Roman"/>
        </w:rPr>
        <w:t>经汽提装置处理后用于</w:t>
      </w:r>
      <w:r>
        <w:rPr>
          <w:rFonts w:cs="Times New Roman" w:hint="eastAsia"/>
        </w:rPr>
        <w:t>工艺</w:t>
      </w:r>
      <w:r>
        <w:rPr>
          <w:rFonts w:cs="Times New Roman"/>
        </w:rPr>
        <w:t>注水，</w:t>
      </w:r>
      <w:r>
        <w:rPr>
          <w:rFonts w:cs="Times New Roman" w:hint="eastAsia"/>
        </w:rPr>
        <w:t>脱盐水站产生含盐废水</w:t>
      </w:r>
      <w:r>
        <w:rPr>
          <w:rFonts w:cs="Times New Roman"/>
        </w:rPr>
        <w:t>经浓盐水处理装置处理后作为循环水回用；含油污水、生活污水及其它废水到依托厂区污水处理装置处理后达到《循环冷却水用再生水水质标准》（</w:t>
      </w:r>
      <w:r>
        <w:rPr>
          <w:rFonts w:cs="Times New Roman"/>
        </w:rPr>
        <w:t>HJ/T3923-2007</w:t>
      </w:r>
      <w:r>
        <w:rPr>
          <w:rFonts w:cs="Times New Roman"/>
        </w:rPr>
        <w:t>）用于厂区循环冷却补水，不进入流域水体</w:t>
      </w:r>
      <w:r>
        <w:rPr>
          <w:rFonts w:cs="Times New Roman" w:hint="eastAsia"/>
        </w:rPr>
        <w:t>。本项目</w:t>
      </w:r>
      <w:r>
        <w:rPr>
          <w:rFonts w:cs="Times New Roman"/>
          <w:lang w:val="zh-CN"/>
        </w:rPr>
        <w:t>属于水污染影响型中的间接排放建设项目，评价等级为三级</w:t>
      </w:r>
      <w:r>
        <w:rPr>
          <w:rFonts w:cs="Times New Roman"/>
          <w:lang w:val="zh-CN"/>
        </w:rPr>
        <w:t>B</w:t>
      </w:r>
      <w:r>
        <w:rPr>
          <w:rFonts w:cs="Times New Roman"/>
          <w:lang w:val="zh-CN"/>
        </w:rPr>
        <w:t>。</w:t>
      </w:r>
    </w:p>
    <w:p w:rsidR="00525419" w:rsidRDefault="00EE1CF7">
      <w:pPr>
        <w:spacing w:line="360" w:lineRule="auto"/>
        <w:ind w:firstLineChars="200" w:firstLine="482"/>
        <w:rPr>
          <w:rFonts w:ascii="Times New Roman" w:hAnsi="Times New Roman"/>
          <w:b/>
          <w:bCs/>
          <w:sz w:val="24"/>
        </w:rPr>
      </w:pPr>
      <w:r>
        <w:rPr>
          <w:rFonts w:ascii="Times New Roman" w:hAnsi="Times New Roman"/>
          <w:b/>
          <w:bCs/>
          <w:sz w:val="24"/>
        </w:rPr>
        <w:t>（</w:t>
      </w:r>
      <w:r>
        <w:rPr>
          <w:rFonts w:ascii="Times New Roman" w:hAnsi="Times New Roman"/>
          <w:b/>
          <w:bCs/>
          <w:sz w:val="24"/>
        </w:rPr>
        <w:t>2</w:t>
      </w:r>
      <w:r>
        <w:rPr>
          <w:rFonts w:ascii="Times New Roman" w:hAnsi="Times New Roman"/>
          <w:b/>
          <w:bCs/>
          <w:sz w:val="24"/>
        </w:rPr>
        <w:t>）地下水环境</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地下水环境影响评价参照环境保护部发布的《环境影响评价技术导则</w:t>
      </w:r>
      <w:r>
        <w:rPr>
          <w:rFonts w:ascii="Times New Roman" w:hAnsi="Times New Roman"/>
          <w:sz w:val="24"/>
        </w:rPr>
        <w:t>-</w:t>
      </w:r>
      <w:r>
        <w:rPr>
          <w:rFonts w:ascii="Times New Roman" w:hAnsi="Times New Roman"/>
          <w:sz w:val="24"/>
        </w:rPr>
        <w:t>地下水环境》（</w:t>
      </w:r>
      <w:r>
        <w:rPr>
          <w:rFonts w:ascii="Times New Roman" w:hAnsi="Times New Roman"/>
          <w:sz w:val="24"/>
        </w:rPr>
        <w:t>HJ 610-2016</w:t>
      </w:r>
      <w:r>
        <w:rPr>
          <w:rFonts w:ascii="Times New Roman" w:hAnsi="Times New Roman"/>
          <w:sz w:val="24"/>
        </w:rPr>
        <w:t>）相关技术评价规范进行评价等级的确定。</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项目类别属于地下水导则附录</w:t>
      </w:r>
      <w:r>
        <w:rPr>
          <w:rFonts w:ascii="Times New Roman" w:hAnsi="Times New Roman"/>
          <w:sz w:val="24"/>
        </w:rPr>
        <w:t>A</w:t>
      </w:r>
      <w:r>
        <w:rPr>
          <w:rFonts w:ascii="Times New Roman" w:hAnsi="Times New Roman"/>
          <w:sz w:val="24"/>
        </w:rPr>
        <w:t>中</w:t>
      </w:r>
      <w:r>
        <w:rPr>
          <w:rFonts w:ascii="Times New Roman" w:hAnsi="Times New Roman"/>
          <w:sz w:val="24"/>
        </w:rPr>
        <w:t xml:space="preserve">“84 </w:t>
      </w:r>
      <w:r>
        <w:rPr>
          <w:rFonts w:ascii="Times New Roman" w:hAnsi="Times New Roman"/>
          <w:sz w:val="24"/>
        </w:rPr>
        <w:t>其它石油制品</w:t>
      </w:r>
      <w:r>
        <w:rPr>
          <w:rFonts w:ascii="Times New Roman" w:hAnsi="Times New Roman"/>
          <w:sz w:val="24"/>
        </w:rPr>
        <w:t>”</w:t>
      </w:r>
      <w:r>
        <w:rPr>
          <w:rFonts w:ascii="Times New Roman" w:hAnsi="Times New Roman"/>
          <w:sz w:val="24"/>
        </w:rPr>
        <w:t>行业类别，属于</w:t>
      </w:r>
      <w:r>
        <w:rPr>
          <w:rFonts w:ascii="Times New Roman" w:hAnsi="Times New Roman"/>
          <w:sz w:val="24"/>
        </w:rPr>
        <w:t>Ⅰ</w:t>
      </w:r>
      <w:r>
        <w:rPr>
          <w:rFonts w:ascii="Times New Roman" w:hAnsi="Times New Roman"/>
          <w:sz w:val="24"/>
        </w:rPr>
        <w:t>类项目。项目所在区域不属于生活供水水源地准保护区、不属于热水、矿泉水、温泉等特殊地下水源保护区、也不属于补给径流区，同时项目占地为工业用地，场地内无分散居民饮用水源取水井等其它环境敏感区。参照《环境影响评价技术导则</w:t>
      </w:r>
      <w:r>
        <w:rPr>
          <w:rFonts w:ascii="Times New Roman" w:hAnsi="Times New Roman" w:hint="eastAsia"/>
          <w:sz w:val="24"/>
        </w:rPr>
        <w:t xml:space="preserve">  </w:t>
      </w:r>
      <w:r>
        <w:rPr>
          <w:rFonts w:ascii="Times New Roman" w:hAnsi="Times New Roman"/>
          <w:sz w:val="24"/>
        </w:rPr>
        <w:t>地下水环境》</w:t>
      </w:r>
      <w:r>
        <w:rPr>
          <w:rFonts w:ascii="Times New Roman" w:hAnsi="Times New Roman"/>
          <w:sz w:val="24"/>
        </w:rPr>
        <w:t>(HJ 610-2016)</w:t>
      </w:r>
      <w:r>
        <w:rPr>
          <w:rFonts w:ascii="Times New Roman" w:hAnsi="Times New Roman"/>
          <w:sz w:val="24"/>
        </w:rPr>
        <w:t>中地下水环境影响评价工作等级划分的原则确定本项目评价工作等级</w:t>
      </w:r>
      <w:r>
        <w:rPr>
          <w:rFonts w:ascii="Times New Roman" w:hAnsi="Times New Roman" w:hint="eastAsia"/>
          <w:sz w:val="24"/>
        </w:rPr>
        <w:t>，</w:t>
      </w:r>
      <w:r>
        <w:rPr>
          <w:rFonts w:ascii="Times New Roman" w:hAnsi="Times New Roman"/>
          <w:sz w:val="24"/>
        </w:rPr>
        <w:t>划分依据见表</w:t>
      </w:r>
      <w:r>
        <w:rPr>
          <w:rFonts w:ascii="Times New Roman" w:hAnsi="Times New Roman"/>
          <w:sz w:val="24"/>
        </w:rPr>
        <w:t>2.3-4</w:t>
      </w:r>
      <w:r>
        <w:rPr>
          <w:rFonts w:ascii="Times New Roman" w:hAnsi="Times New Roman"/>
          <w:sz w:val="24"/>
        </w:rPr>
        <w:t>。</w:t>
      </w:r>
    </w:p>
    <w:p w:rsidR="00525419" w:rsidRDefault="00EE1CF7">
      <w:pPr>
        <w:adjustRightInd w:val="0"/>
        <w:snapToGrid w:val="0"/>
        <w:jc w:val="center"/>
        <w:rPr>
          <w:rFonts w:ascii="Times New Roman" w:eastAsia="黑体" w:hAnsi="Times New Roman"/>
          <w:kern w:val="0"/>
          <w:szCs w:val="21"/>
        </w:rPr>
      </w:pPr>
      <w:r>
        <w:rPr>
          <w:rFonts w:ascii="Times New Roman" w:eastAsia="黑体" w:hAnsi="Times New Roman"/>
          <w:kern w:val="0"/>
          <w:szCs w:val="21"/>
        </w:rPr>
        <w:t>表</w:t>
      </w:r>
      <w:r>
        <w:rPr>
          <w:rFonts w:ascii="Times New Roman" w:eastAsia="黑体" w:hAnsi="Times New Roman"/>
          <w:kern w:val="0"/>
          <w:szCs w:val="21"/>
        </w:rPr>
        <w:t xml:space="preserve">2.3-4    </w:t>
      </w:r>
      <w:r>
        <w:rPr>
          <w:rFonts w:ascii="Times New Roman" w:eastAsia="黑体" w:hAnsi="Times New Roman"/>
          <w:kern w:val="0"/>
          <w:szCs w:val="21"/>
        </w:rPr>
        <w:t>地下水环境影响评价工作等级划分依据表</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130"/>
        <w:gridCol w:w="2130"/>
        <w:gridCol w:w="2131"/>
        <w:gridCol w:w="2131"/>
      </w:tblGrid>
      <w:tr w:rsidR="00525419">
        <w:trPr>
          <w:trHeight w:val="20"/>
          <w:jc w:val="center"/>
        </w:trPr>
        <w:tc>
          <w:tcPr>
            <w:tcW w:w="2130" w:type="dxa"/>
            <w:tcBorders>
              <w:tl2br w:val="nil"/>
              <w:tr2bl w:val="nil"/>
            </w:tcBorders>
          </w:tcPr>
          <w:p w:rsidR="00525419" w:rsidRDefault="00EE1CF7">
            <w:pPr>
              <w:adjustRightInd w:val="0"/>
              <w:snapToGrid w:val="0"/>
              <w:ind w:firstLineChars="500" w:firstLine="1050"/>
              <w:rPr>
                <w:rFonts w:ascii="Times New Roman" w:hAnsi="Times New Roman"/>
                <w:szCs w:val="21"/>
              </w:rPr>
            </w:pPr>
            <w:r>
              <w:rPr>
                <w:rFonts w:ascii="Times New Roman" w:hAnsi="Times New Roman"/>
                <w:szCs w:val="21"/>
              </w:rPr>
              <w:t>项目类别</w:t>
            </w:r>
          </w:p>
          <w:p w:rsidR="00525419" w:rsidRDefault="00EE1CF7">
            <w:pPr>
              <w:adjustRightInd w:val="0"/>
              <w:snapToGrid w:val="0"/>
              <w:rPr>
                <w:rFonts w:ascii="Times New Roman" w:hAnsi="Times New Roman"/>
                <w:szCs w:val="21"/>
              </w:rPr>
            </w:pPr>
            <w:r>
              <w:rPr>
                <w:rFonts w:ascii="Times New Roman" w:hAnsi="Times New Roman"/>
                <w:szCs w:val="21"/>
              </w:rPr>
              <w:t>环境敏感程度</w:t>
            </w:r>
          </w:p>
        </w:tc>
        <w:tc>
          <w:tcPr>
            <w:tcW w:w="2130" w:type="dxa"/>
            <w:tcBorders>
              <w:tl2br w:val="nil"/>
              <w:tr2bl w:val="nil"/>
            </w:tcBorders>
            <w:vAlign w:val="center"/>
          </w:tcPr>
          <w:p w:rsidR="00525419" w:rsidRDefault="00EE1CF7">
            <w:pPr>
              <w:adjustRightInd w:val="0"/>
              <w:snapToGrid w:val="0"/>
              <w:jc w:val="center"/>
              <w:rPr>
                <w:rFonts w:ascii="Times New Roman" w:hAnsi="Times New Roman"/>
                <w:b/>
                <w:szCs w:val="21"/>
              </w:rPr>
            </w:pPr>
            <w:r>
              <w:rPr>
                <w:rFonts w:ascii="Times New Roman" w:hAnsi="Times New Roman"/>
                <w:b/>
                <w:szCs w:val="21"/>
              </w:rPr>
              <w:t>I</w:t>
            </w:r>
            <w:r>
              <w:rPr>
                <w:rFonts w:ascii="Times New Roman" w:hAnsi="Times New Roman"/>
                <w:b/>
                <w:szCs w:val="21"/>
              </w:rPr>
              <w:t>类项目</w:t>
            </w:r>
          </w:p>
        </w:tc>
        <w:tc>
          <w:tcPr>
            <w:tcW w:w="2131" w:type="dxa"/>
            <w:tcBorders>
              <w:tl2br w:val="nil"/>
              <w:tr2bl w:val="nil"/>
            </w:tcBorders>
            <w:vAlign w:val="center"/>
          </w:tcPr>
          <w:p w:rsidR="00525419" w:rsidRDefault="00EE1CF7">
            <w:pPr>
              <w:adjustRightInd w:val="0"/>
              <w:snapToGrid w:val="0"/>
              <w:jc w:val="center"/>
              <w:rPr>
                <w:rFonts w:ascii="Times New Roman" w:hAnsi="Times New Roman"/>
                <w:szCs w:val="21"/>
              </w:rPr>
            </w:pPr>
            <w:r>
              <w:rPr>
                <w:rFonts w:ascii="Times New Roman" w:hAnsi="Times New Roman"/>
                <w:szCs w:val="21"/>
              </w:rPr>
              <w:t>II</w:t>
            </w:r>
            <w:r>
              <w:rPr>
                <w:rFonts w:ascii="Times New Roman" w:hAnsi="Times New Roman"/>
                <w:szCs w:val="21"/>
              </w:rPr>
              <w:t>类项目</w:t>
            </w:r>
          </w:p>
        </w:tc>
        <w:tc>
          <w:tcPr>
            <w:tcW w:w="2131" w:type="dxa"/>
            <w:tcBorders>
              <w:tl2br w:val="nil"/>
              <w:tr2bl w:val="nil"/>
            </w:tcBorders>
            <w:vAlign w:val="center"/>
          </w:tcPr>
          <w:p w:rsidR="00525419" w:rsidRDefault="00EE1CF7">
            <w:pPr>
              <w:adjustRightInd w:val="0"/>
              <w:snapToGrid w:val="0"/>
              <w:jc w:val="center"/>
              <w:rPr>
                <w:rFonts w:ascii="Times New Roman" w:hAnsi="Times New Roman"/>
                <w:szCs w:val="21"/>
              </w:rPr>
            </w:pPr>
            <w:r>
              <w:rPr>
                <w:rFonts w:ascii="Times New Roman" w:hAnsi="Times New Roman"/>
                <w:szCs w:val="21"/>
              </w:rPr>
              <w:t>III</w:t>
            </w:r>
            <w:r>
              <w:rPr>
                <w:rFonts w:ascii="Times New Roman" w:hAnsi="Times New Roman"/>
                <w:szCs w:val="21"/>
              </w:rPr>
              <w:t>类项目</w:t>
            </w:r>
          </w:p>
        </w:tc>
      </w:tr>
      <w:tr w:rsidR="00525419">
        <w:trPr>
          <w:trHeight w:val="20"/>
          <w:jc w:val="center"/>
        </w:trPr>
        <w:tc>
          <w:tcPr>
            <w:tcW w:w="2130" w:type="dxa"/>
            <w:tcBorders>
              <w:tl2br w:val="nil"/>
              <w:tr2bl w:val="nil"/>
            </w:tcBorders>
            <w:vAlign w:val="center"/>
          </w:tcPr>
          <w:p w:rsidR="00525419" w:rsidRDefault="00EE1CF7">
            <w:pPr>
              <w:adjustRightInd w:val="0"/>
              <w:snapToGrid w:val="0"/>
              <w:jc w:val="center"/>
              <w:rPr>
                <w:rFonts w:ascii="Times New Roman" w:hAnsi="Times New Roman"/>
                <w:szCs w:val="21"/>
              </w:rPr>
            </w:pPr>
            <w:r>
              <w:rPr>
                <w:rFonts w:ascii="Times New Roman" w:hAnsi="Times New Roman"/>
                <w:szCs w:val="21"/>
              </w:rPr>
              <w:lastRenderedPageBreak/>
              <w:t>敏感</w:t>
            </w:r>
          </w:p>
        </w:tc>
        <w:tc>
          <w:tcPr>
            <w:tcW w:w="2130" w:type="dxa"/>
            <w:tcBorders>
              <w:tl2br w:val="nil"/>
              <w:tr2bl w:val="nil"/>
            </w:tcBorders>
            <w:vAlign w:val="center"/>
          </w:tcPr>
          <w:p w:rsidR="00525419" w:rsidRDefault="00EE1CF7">
            <w:pPr>
              <w:adjustRightInd w:val="0"/>
              <w:snapToGrid w:val="0"/>
              <w:jc w:val="center"/>
              <w:rPr>
                <w:rFonts w:ascii="Times New Roman" w:hAnsi="Times New Roman"/>
                <w:szCs w:val="21"/>
              </w:rPr>
            </w:pPr>
            <w:r>
              <w:rPr>
                <w:rFonts w:ascii="Times New Roman" w:hAnsi="Times New Roman"/>
                <w:szCs w:val="21"/>
              </w:rPr>
              <w:t>一</w:t>
            </w:r>
          </w:p>
        </w:tc>
        <w:tc>
          <w:tcPr>
            <w:tcW w:w="2131" w:type="dxa"/>
            <w:tcBorders>
              <w:tl2br w:val="nil"/>
              <w:tr2bl w:val="nil"/>
            </w:tcBorders>
            <w:vAlign w:val="center"/>
          </w:tcPr>
          <w:p w:rsidR="00525419" w:rsidRDefault="00EE1CF7">
            <w:pPr>
              <w:adjustRightInd w:val="0"/>
              <w:snapToGrid w:val="0"/>
              <w:jc w:val="center"/>
              <w:rPr>
                <w:rFonts w:ascii="Times New Roman" w:hAnsi="Times New Roman"/>
                <w:szCs w:val="21"/>
              </w:rPr>
            </w:pPr>
            <w:r>
              <w:rPr>
                <w:rFonts w:ascii="Times New Roman" w:hAnsi="Times New Roman"/>
                <w:szCs w:val="21"/>
              </w:rPr>
              <w:t>一</w:t>
            </w:r>
          </w:p>
        </w:tc>
        <w:tc>
          <w:tcPr>
            <w:tcW w:w="2131" w:type="dxa"/>
            <w:tcBorders>
              <w:tl2br w:val="nil"/>
              <w:tr2bl w:val="nil"/>
            </w:tcBorders>
            <w:vAlign w:val="center"/>
          </w:tcPr>
          <w:p w:rsidR="00525419" w:rsidRDefault="00EE1CF7">
            <w:pPr>
              <w:adjustRightInd w:val="0"/>
              <w:snapToGrid w:val="0"/>
              <w:jc w:val="center"/>
              <w:rPr>
                <w:rFonts w:ascii="Times New Roman" w:hAnsi="Times New Roman"/>
                <w:szCs w:val="21"/>
              </w:rPr>
            </w:pPr>
            <w:r>
              <w:rPr>
                <w:rFonts w:ascii="Times New Roman" w:hAnsi="Times New Roman"/>
                <w:szCs w:val="21"/>
              </w:rPr>
              <w:t>二</w:t>
            </w:r>
          </w:p>
        </w:tc>
      </w:tr>
      <w:tr w:rsidR="00525419">
        <w:trPr>
          <w:trHeight w:val="20"/>
          <w:jc w:val="center"/>
        </w:trPr>
        <w:tc>
          <w:tcPr>
            <w:tcW w:w="2130" w:type="dxa"/>
            <w:tcBorders>
              <w:tl2br w:val="nil"/>
              <w:tr2bl w:val="nil"/>
            </w:tcBorders>
            <w:vAlign w:val="center"/>
          </w:tcPr>
          <w:p w:rsidR="00525419" w:rsidRDefault="00EE1CF7">
            <w:pPr>
              <w:adjustRightInd w:val="0"/>
              <w:snapToGrid w:val="0"/>
              <w:jc w:val="center"/>
              <w:rPr>
                <w:rFonts w:ascii="Times New Roman" w:hAnsi="Times New Roman"/>
                <w:szCs w:val="21"/>
              </w:rPr>
            </w:pPr>
            <w:r>
              <w:rPr>
                <w:rFonts w:ascii="Times New Roman" w:hAnsi="Times New Roman"/>
                <w:szCs w:val="21"/>
              </w:rPr>
              <w:t>较敏感</w:t>
            </w:r>
          </w:p>
        </w:tc>
        <w:tc>
          <w:tcPr>
            <w:tcW w:w="2130" w:type="dxa"/>
            <w:tcBorders>
              <w:tl2br w:val="nil"/>
              <w:tr2bl w:val="nil"/>
            </w:tcBorders>
            <w:vAlign w:val="center"/>
          </w:tcPr>
          <w:p w:rsidR="00525419" w:rsidRDefault="00EE1CF7">
            <w:pPr>
              <w:adjustRightInd w:val="0"/>
              <w:snapToGrid w:val="0"/>
              <w:jc w:val="center"/>
              <w:rPr>
                <w:rFonts w:ascii="Times New Roman" w:hAnsi="Times New Roman"/>
                <w:szCs w:val="21"/>
              </w:rPr>
            </w:pPr>
            <w:r>
              <w:rPr>
                <w:rFonts w:ascii="Times New Roman" w:hAnsi="Times New Roman"/>
                <w:szCs w:val="21"/>
              </w:rPr>
              <w:t>一</w:t>
            </w:r>
          </w:p>
        </w:tc>
        <w:tc>
          <w:tcPr>
            <w:tcW w:w="2131" w:type="dxa"/>
            <w:tcBorders>
              <w:tl2br w:val="nil"/>
              <w:tr2bl w:val="nil"/>
            </w:tcBorders>
            <w:vAlign w:val="center"/>
          </w:tcPr>
          <w:p w:rsidR="00525419" w:rsidRDefault="00EE1CF7">
            <w:pPr>
              <w:adjustRightInd w:val="0"/>
              <w:snapToGrid w:val="0"/>
              <w:jc w:val="center"/>
              <w:rPr>
                <w:rFonts w:ascii="Times New Roman" w:hAnsi="Times New Roman"/>
                <w:szCs w:val="21"/>
              </w:rPr>
            </w:pPr>
            <w:r>
              <w:rPr>
                <w:rFonts w:ascii="Times New Roman" w:hAnsi="Times New Roman"/>
                <w:szCs w:val="21"/>
              </w:rPr>
              <w:t>二</w:t>
            </w:r>
          </w:p>
        </w:tc>
        <w:tc>
          <w:tcPr>
            <w:tcW w:w="2131" w:type="dxa"/>
            <w:tcBorders>
              <w:tl2br w:val="nil"/>
              <w:tr2bl w:val="nil"/>
            </w:tcBorders>
            <w:vAlign w:val="center"/>
          </w:tcPr>
          <w:p w:rsidR="00525419" w:rsidRDefault="00EE1CF7">
            <w:pPr>
              <w:adjustRightInd w:val="0"/>
              <w:snapToGrid w:val="0"/>
              <w:jc w:val="center"/>
              <w:rPr>
                <w:rFonts w:ascii="Times New Roman" w:hAnsi="Times New Roman"/>
                <w:szCs w:val="21"/>
              </w:rPr>
            </w:pPr>
            <w:r>
              <w:rPr>
                <w:rFonts w:ascii="Times New Roman" w:hAnsi="Times New Roman"/>
                <w:szCs w:val="21"/>
              </w:rPr>
              <w:t>三</w:t>
            </w:r>
          </w:p>
        </w:tc>
      </w:tr>
      <w:tr w:rsidR="00525419">
        <w:trPr>
          <w:trHeight w:val="20"/>
          <w:jc w:val="center"/>
        </w:trPr>
        <w:tc>
          <w:tcPr>
            <w:tcW w:w="2130" w:type="dxa"/>
            <w:tcBorders>
              <w:tl2br w:val="nil"/>
              <w:tr2bl w:val="nil"/>
            </w:tcBorders>
            <w:vAlign w:val="center"/>
          </w:tcPr>
          <w:p w:rsidR="00525419" w:rsidRDefault="00EE1CF7">
            <w:pPr>
              <w:adjustRightInd w:val="0"/>
              <w:snapToGrid w:val="0"/>
              <w:jc w:val="center"/>
              <w:rPr>
                <w:rFonts w:ascii="Times New Roman" w:hAnsi="Times New Roman"/>
                <w:b/>
                <w:szCs w:val="21"/>
              </w:rPr>
            </w:pPr>
            <w:r>
              <w:rPr>
                <w:rFonts w:ascii="Times New Roman" w:hAnsi="Times New Roman"/>
                <w:b/>
                <w:szCs w:val="21"/>
              </w:rPr>
              <w:t>不敏感</w:t>
            </w:r>
          </w:p>
        </w:tc>
        <w:tc>
          <w:tcPr>
            <w:tcW w:w="2130" w:type="dxa"/>
            <w:tcBorders>
              <w:tl2br w:val="nil"/>
              <w:tr2bl w:val="nil"/>
            </w:tcBorders>
            <w:vAlign w:val="center"/>
          </w:tcPr>
          <w:p w:rsidR="00525419" w:rsidRDefault="00EE1CF7">
            <w:pPr>
              <w:adjustRightInd w:val="0"/>
              <w:snapToGrid w:val="0"/>
              <w:jc w:val="center"/>
              <w:rPr>
                <w:rFonts w:ascii="Times New Roman" w:eastAsia="黑体" w:hAnsi="Times New Roman"/>
                <w:b/>
                <w:szCs w:val="21"/>
              </w:rPr>
            </w:pPr>
            <w:r>
              <w:rPr>
                <w:rFonts w:ascii="Times New Roman" w:eastAsia="黑体" w:hAnsi="Times New Roman"/>
                <w:b/>
                <w:szCs w:val="21"/>
              </w:rPr>
              <w:t>二</w:t>
            </w:r>
          </w:p>
        </w:tc>
        <w:tc>
          <w:tcPr>
            <w:tcW w:w="2131" w:type="dxa"/>
            <w:tcBorders>
              <w:tl2br w:val="nil"/>
              <w:tr2bl w:val="nil"/>
            </w:tcBorders>
            <w:vAlign w:val="center"/>
          </w:tcPr>
          <w:p w:rsidR="00525419" w:rsidRDefault="00EE1CF7">
            <w:pPr>
              <w:adjustRightInd w:val="0"/>
              <w:snapToGrid w:val="0"/>
              <w:jc w:val="center"/>
              <w:rPr>
                <w:rFonts w:ascii="Times New Roman" w:hAnsi="Times New Roman"/>
                <w:b/>
                <w:szCs w:val="21"/>
              </w:rPr>
            </w:pPr>
            <w:r>
              <w:rPr>
                <w:rFonts w:ascii="Times New Roman" w:hAnsi="Times New Roman"/>
                <w:b/>
                <w:szCs w:val="21"/>
              </w:rPr>
              <w:t>三</w:t>
            </w:r>
          </w:p>
        </w:tc>
        <w:tc>
          <w:tcPr>
            <w:tcW w:w="2131" w:type="dxa"/>
            <w:tcBorders>
              <w:tl2br w:val="nil"/>
              <w:tr2bl w:val="nil"/>
            </w:tcBorders>
            <w:vAlign w:val="center"/>
          </w:tcPr>
          <w:p w:rsidR="00525419" w:rsidRDefault="00EE1CF7">
            <w:pPr>
              <w:adjustRightInd w:val="0"/>
              <w:snapToGrid w:val="0"/>
              <w:jc w:val="center"/>
              <w:rPr>
                <w:rFonts w:ascii="Times New Roman" w:hAnsi="Times New Roman"/>
                <w:szCs w:val="21"/>
              </w:rPr>
            </w:pPr>
            <w:r>
              <w:rPr>
                <w:rFonts w:ascii="Times New Roman" w:hAnsi="Times New Roman"/>
                <w:szCs w:val="21"/>
              </w:rPr>
              <w:t>三</w:t>
            </w:r>
          </w:p>
        </w:tc>
      </w:tr>
    </w:tbl>
    <w:p w:rsidR="00525419" w:rsidRDefault="00EE1CF7">
      <w:pPr>
        <w:spacing w:line="360" w:lineRule="auto"/>
        <w:ind w:firstLineChars="200" w:firstLine="480"/>
        <w:rPr>
          <w:rFonts w:ascii="Times New Roman" w:hAnsi="Times New Roman"/>
          <w:sz w:val="24"/>
        </w:rPr>
      </w:pPr>
      <w:r>
        <w:rPr>
          <w:rFonts w:ascii="Times New Roman" w:hAnsi="Times New Roman"/>
          <w:sz w:val="24"/>
        </w:rPr>
        <w:t>根据以上划分依据评估结果，参照《环境影响评价技术导则</w:t>
      </w:r>
      <w:r>
        <w:rPr>
          <w:rFonts w:ascii="Times New Roman" w:hAnsi="Times New Roman"/>
          <w:sz w:val="24"/>
        </w:rPr>
        <w:t xml:space="preserve">  </w:t>
      </w:r>
      <w:r>
        <w:rPr>
          <w:rFonts w:ascii="Times New Roman" w:hAnsi="Times New Roman"/>
          <w:sz w:val="24"/>
        </w:rPr>
        <w:t>地下水环境》（</w:t>
      </w:r>
      <w:r>
        <w:rPr>
          <w:rFonts w:ascii="Times New Roman" w:hAnsi="Times New Roman"/>
          <w:sz w:val="24"/>
        </w:rPr>
        <w:t>HJ 610-2016</w:t>
      </w:r>
      <w:r>
        <w:rPr>
          <w:rFonts w:ascii="Times New Roman" w:hAnsi="Times New Roman"/>
          <w:sz w:val="24"/>
        </w:rPr>
        <w:t>），本项目地下水影响评价等级为二级。</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2.3.1.3</w:t>
      </w:r>
      <w:r>
        <w:rPr>
          <w:rFonts w:ascii="Times New Roman" w:hAnsi="Times New Roman" w:cs="Times New Roman"/>
          <w:kern w:val="44"/>
          <w:sz w:val="24"/>
          <w:szCs w:val="24"/>
        </w:rPr>
        <w:t>声环境影响评价等级</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本项目区位于声环境功能区</w:t>
      </w:r>
      <w:r>
        <w:rPr>
          <w:rFonts w:ascii="Times New Roman" w:hAnsi="Times New Roman"/>
          <w:sz w:val="24"/>
        </w:rPr>
        <w:t>3</w:t>
      </w:r>
      <w:r>
        <w:rPr>
          <w:rFonts w:ascii="Times New Roman" w:hAnsi="Times New Roman"/>
          <w:sz w:val="24"/>
        </w:rPr>
        <w:t>类，周围</w:t>
      </w:r>
      <w:r>
        <w:rPr>
          <w:rFonts w:ascii="Times New Roman" w:hAnsi="Times New Roman"/>
          <w:sz w:val="24"/>
        </w:rPr>
        <w:t>200m</w:t>
      </w:r>
      <w:r>
        <w:rPr>
          <w:rFonts w:ascii="Times New Roman" w:hAnsi="Times New Roman"/>
          <w:sz w:val="24"/>
        </w:rPr>
        <w:t>范围内没有声环境敏感目标。根据《环境影响评价技术导则　声环境》（</w:t>
      </w:r>
      <w:r>
        <w:rPr>
          <w:rFonts w:ascii="Times New Roman" w:hAnsi="Times New Roman"/>
          <w:sz w:val="24"/>
        </w:rPr>
        <w:t>HJ2.4-2009</w:t>
      </w:r>
      <w:r>
        <w:rPr>
          <w:rFonts w:ascii="Times New Roman" w:hAnsi="Times New Roman"/>
          <w:sz w:val="24"/>
        </w:rPr>
        <w:t>）中的</w:t>
      </w:r>
      <w:r>
        <w:rPr>
          <w:rFonts w:ascii="Times New Roman" w:hAnsi="Times New Roman"/>
          <w:sz w:val="24"/>
        </w:rPr>
        <w:t>“5.2.4</w:t>
      </w:r>
      <w:r>
        <w:rPr>
          <w:rFonts w:ascii="Times New Roman" w:hAnsi="Times New Roman"/>
          <w:sz w:val="24"/>
        </w:rPr>
        <w:t>条</w:t>
      </w:r>
      <w:r>
        <w:rPr>
          <w:rFonts w:ascii="Times New Roman" w:hAnsi="Times New Roman"/>
          <w:sz w:val="24"/>
        </w:rPr>
        <w:t>”</w:t>
      </w:r>
      <w:r>
        <w:rPr>
          <w:rFonts w:ascii="Times New Roman" w:hAnsi="Times New Roman"/>
          <w:sz w:val="24"/>
        </w:rPr>
        <w:t>规定：建设项目所处的声环境功能区为</w:t>
      </w:r>
      <w:r>
        <w:rPr>
          <w:rFonts w:ascii="Times New Roman" w:hAnsi="Times New Roman"/>
          <w:sz w:val="24"/>
        </w:rPr>
        <w:t>GB3096</w:t>
      </w:r>
      <w:r>
        <w:rPr>
          <w:rFonts w:ascii="Times New Roman" w:hAnsi="Times New Roman"/>
          <w:sz w:val="24"/>
        </w:rPr>
        <w:t>规定的</w:t>
      </w:r>
      <w:r>
        <w:rPr>
          <w:rFonts w:ascii="Times New Roman" w:hAnsi="Times New Roman"/>
          <w:sz w:val="24"/>
        </w:rPr>
        <w:t>3</w:t>
      </w:r>
      <w:r>
        <w:rPr>
          <w:rFonts w:ascii="Times New Roman" w:hAnsi="Times New Roman"/>
          <w:sz w:val="24"/>
        </w:rPr>
        <w:t>类、</w:t>
      </w:r>
      <w:r>
        <w:rPr>
          <w:rFonts w:ascii="Times New Roman" w:hAnsi="Times New Roman"/>
          <w:sz w:val="24"/>
        </w:rPr>
        <w:t>4</w:t>
      </w:r>
      <w:r>
        <w:rPr>
          <w:rFonts w:ascii="Times New Roman" w:hAnsi="Times New Roman"/>
          <w:sz w:val="24"/>
        </w:rPr>
        <w:t>类地区，或建设项目建设前后评价范围内敏感目标噪声级增高量达</w:t>
      </w:r>
      <w:r>
        <w:rPr>
          <w:rFonts w:ascii="Times New Roman" w:hAnsi="Times New Roman"/>
          <w:sz w:val="24"/>
        </w:rPr>
        <w:t>3dB(A)</w:t>
      </w:r>
      <w:r>
        <w:rPr>
          <w:rFonts w:ascii="Times New Roman" w:hAnsi="Times New Roman"/>
          <w:sz w:val="24"/>
        </w:rPr>
        <w:t>以下（不含</w:t>
      </w:r>
      <w:r>
        <w:rPr>
          <w:rFonts w:ascii="Times New Roman" w:hAnsi="Times New Roman"/>
          <w:sz w:val="24"/>
        </w:rPr>
        <w:t>3dB(A)</w:t>
      </w:r>
      <w:r>
        <w:rPr>
          <w:rFonts w:ascii="Times New Roman" w:hAnsi="Times New Roman"/>
          <w:sz w:val="24"/>
        </w:rPr>
        <w:t>，或受噪声影响人口数量变化不大时，按三级评价</w:t>
      </w:r>
      <w:r>
        <w:rPr>
          <w:rFonts w:ascii="Times New Roman" w:hAnsi="Times New Roman" w:hint="eastAsia"/>
          <w:sz w:val="24"/>
        </w:rPr>
        <w:t>，</w:t>
      </w:r>
      <w:r>
        <w:rPr>
          <w:rFonts w:ascii="Times New Roman" w:hAnsi="Times New Roman"/>
          <w:sz w:val="24"/>
        </w:rPr>
        <w:t>因此本项目声环境影响评价等级为三级。</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2.3.1.4</w:t>
      </w:r>
      <w:r>
        <w:rPr>
          <w:rFonts w:ascii="Times New Roman" w:hAnsi="Times New Roman" w:cs="Times New Roman"/>
          <w:kern w:val="44"/>
          <w:sz w:val="24"/>
          <w:szCs w:val="24"/>
        </w:rPr>
        <w:t>土壤环境影响评价等级</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本项目为污染影响型项目，根据土壤环境影响评价类别、占地规模与敏感程度划分评价工作等级，详见表</w:t>
      </w:r>
      <w:r>
        <w:rPr>
          <w:rFonts w:ascii="Times New Roman" w:hAnsi="Times New Roman"/>
          <w:kern w:val="0"/>
          <w:sz w:val="24"/>
          <w:szCs w:val="24"/>
        </w:rPr>
        <w:t>2.3-5</w:t>
      </w:r>
      <w:r>
        <w:rPr>
          <w:rFonts w:ascii="Times New Roman" w:hAnsi="Times New Roman"/>
          <w:kern w:val="0"/>
          <w:sz w:val="24"/>
          <w:szCs w:val="24"/>
        </w:rPr>
        <w:t>。</w:t>
      </w:r>
    </w:p>
    <w:p w:rsidR="00525419" w:rsidRDefault="00EE1CF7">
      <w:pPr>
        <w:adjustRightInd w:val="0"/>
        <w:snapToGrid w:val="0"/>
        <w:jc w:val="center"/>
        <w:rPr>
          <w:rFonts w:ascii="Times New Roman" w:eastAsia="黑体" w:hAnsi="Times New Roman"/>
          <w:kern w:val="0"/>
          <w:szCs w:val="21"/>
        </w:rPr>
      </w:pPr>
      <w:r>
        <w:rPr>
          <w:rFonts w:ascii="Times New Roman" w:eastAsia="黑体" w:hAnsi="Times New Roman"/>
          <w:kern w:val="0"/>
          <w:szCs w:val="21"/>
        </w:rPr>
        <w:t>表</w:t>
      </w:r>
      <w:r>
        <w:rPr>
          <w:rFonts w:ascii="Times New Roman" w:eastAsia="黑体" w:hAnsi="Times New Roman"/>
          <w:kern w:val="0"/>
          <w:szCs w:val="21"/>
        </w:rPr>
        <w:t xml:space="preserve">2.3-5    </w:t>
      </w:r>
      <w:r>
        <w:rPr>
          <w:rFonts w:ascii="Times New Roman" w:eastAsia="黑体" w:hAnsi="Times New Roman"/>
          <w:kern w:val="0"/>
          <w:szCs w:val="21"/>
        </w:rPr>
        <w:t>污染影响型评价工作等级划分表</w:t>
      </w:r>
    </w:p>
    <w:tbl>
      <w:tblPr>
        <w:tblW w:w="850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6" w:type="dxa"/>
          <w:right w:w="6" w:type="dxa"/>
        </w:tblCellMar>
        <w:tblLook w:val="04A0" w:firstRow="1" w:lastRow="0" w:firstColumn="1" w:lastColumn="0" w:noHBand="0" w:noVBand="1"/>
      </w:tblPr>
      <w:tblGrid>
        <w:gridCol w:w="2462"/>
        <w:gridCol w:w="671"/>
        <w:gridCol w:w="671"/>
        <w:gridCol w:w="672"/>
        <w:gridCol w:w="671"/>
        <w:gridCol w:w="672"/>
        <w:gridCol w:w="671"/>
        <w:gridCol w:w="672"/>
        <w:gridCol w:w="671"/>
        <w:gridCol w:w="672"/>
      </w:tblGrid>
      <w:tr w:rsidR="00525419">
        <w:trPr>
          <w:trHeight w:val="397"/>
          <w:jc w:val="center"/>
        </w:trPr>
        <w:tc>
          <w:tcPr>
            <w:tcW w:w="2462" w:type="dxa"/>
            <w:vMerge w:val="restart"/>
            <w:vAlign w:val="center"/>
          </w:tcPr>
          <w:p w:rsidR="00525419" w:rsidRDefault="007D0E8A">
            <w:pPr>
              <w:widowControl/>
              <w:jc w:val="center"/>
              <w:rPr>
                <w:rFonts w:ascii="Times New Roman" w:hAnsi="Times New Roman"/>
                <w:kern w:val="0"/>
                <w:szCs w:val="24"/>
              </w:rPr>
            </w:pPr>
            <w:r>
              <w:rPr>
                <w:rFonts w:ascii="Times New Roman" w:hAnsi="Times New Roman"/>
                <w:kern w:val="0"/>
                <w:szCs w:val="24"/>
              </w:rPr>
              <w:pict>
                <v:line id="__TH_L9618" o:spid="_x0000_s1026" style="position:absolute;left:0;text-align:left;z-index:251658752;mso-width-relative:page;mso-height-relative:page" from=".75pt,13.75pt" to="122.35pt,37.35pt" strokeweight=".5pt">
                  <o:callout v:ext="edit" minusx="t" minusy="t"/>
                </v:line>
              </w:pict>
            </w:r>
            <w:r>
              <w:rPr>
                <w:rFonts w:ascii="Times New Roman" w:hAnsi="Times New Roman"/>
                <w:kern w:val="0"/>
                <w:szCs w:val="24"/>
              </w:rPr>
              <w:pict>
                <v:shapetype id="_x0000_t202" coordsize="21600,21600" o:spt="202" path="m,l,21600r21600,l21600,xe">
                  <v:stroke joinstyle="miter"/>
                  <v:path gradientshapeok="t" o:connecttype="rect"/>
                </v:shapetype>
                <v:shape id="__TH_B309627" o:spid="_x0000_s1027" type="#_x0000_t202" style="position:absolute;left:0;text-align:left;margin-left:8.15pt;margin-top:24.65pt;width:43.6pt;height:13.95pt;z-index:251667968;mso-width-relative:page;mso-height-relative:page" filled="f" stroked="f" strokeweight=".5pt">
                  <v:textbox inset="0,0,0,0">
                    <w:txbxContent>
                      <w:p w:rsidR="00EE1CF7" w:rsidRDefault="00EE1CF7">
                        <w:pPr>
                          <w:snapToGrid w:val="0"/>
                          <w:rPr>
                            <w:rFonts w:ascii="Times New Roman" w:hAnsi="Times New Roman"/>
                            <w:sz w:val="18"/>
                            <w:szCs w:val="18"/>
                          </w:rPr>
                        </w:pPr>
                        <w:r>
                          <w:rPr>
                            <w:rFonts w:ascii="Times New Roman" w:hAnsi="Times New Roman" w:hint="eastAsia"/>
                            <w:sz w:val="18"/>
                            <w:szCs w:val="18"/>
                          </w:rPr>
                          <w:t>敏感程度</w:t>
                        </w:r>
                      </w:p>
                    </w:txbxContent>
                  </v:textbox>
                  <o:callout v:ext="edit" minusx="t" minusy="t"/>
                </v:shape>
              </w:pict>
            </w:r>
            <w:r>
              <w:rPr>
                <w:rFonts w:ascii="Times New Roman" w:hAnsi="Times New Roman"/>
                <w:kern w:val="0"/>
                <w:szCs w:val="24"/>
              </w:rPr>
              <w:pict>
                <v:shape id="__TH_B219623" o:spid="_x0000_s1028" type="#_x0000_t202" style="position:absolute;left:0;text-align:left;margin-left:13.4pt;margin-top:.45pt;width:9.85pt;height:13.95pt;z-index:251663872;mso-width-relative:page;mso-height-relative:page" filled="f" stroked="f" strokeweight=".5pt">
                  <v:textbox inset="0,0,0,0">
                    <w:txbxContent>
                      <w:p w:rsidR="00EE1CF7" w:rsidRDefault="00EE1CF7">
                        <w:pPr>
                          <w:snapToGrid w:val="0"/>
                          <w:rPr>
                            <w:rFonts w:ascii="Times New Roman" w:hAnsi="Times New Roman"/>
                            <w:sz w:val="18"/>
                            <w:szCs w:val="18"/>
                          </w:rPr>
                        </w:pPr>
                        <w:r>
                          <w:rPr>
                            <w:rFonts w:ascii="Times New Roman" w:hAnsi="Times New Roman" w:hint="eastAsia"/>
                            <w:sz w:val="18"/>
                            <w:szCs w:val="18"/>
                          </w:rPr>
                          <w:t>评</w:t>
                        </w:r>
                      </w:p>
                    </w:txbxContent>
                  </v:textbox>
                  <o:callout v:ext="edit" minusx="t" minusy="t"/>
                </v:shape>
              </w:pict>
            </w:r>
            <w:r>
              <w:rPr>
                <w:rFonts w:ascii="Times New Roman" w:hAnsi="Times New Roman"/>
                <w:kern w:val="0"/>
                <w:szCs w:val="24"/>
              </w:rPr>
              <w:pict>
                <v:shape id="__TH_B239625" o:spid="_x0000_s1029" type="#_x0000_t202" style="position:absolute;left:0;text-align:left;margin-left:57.75pt;margin-top:13.1pt;width:9.9pt;height:14pt;z-index:251665920;mso-width-relative:page;mso-height-relative:page" filled="f" stroked="f" strokeweight=".5pt">
                  <v:textbox inset="0,0,0,0">
                    <w:txbxContent>
                      <w:p w:rsidR="00EE1CF7" w:rsidRDefault="00EE1CF7">
                        <w:pPr>
                          <w:snapToGrid w:val="0"/>
                          <w:rPr>
                            <w:rFonts w:ascii="Times New Roman" w:hAnsi="Times New Roman"/>
                            <w:sz w:val="18"/>
                            <w:szCs w:val="18"/>
                          </w:rPr>
                        </w:pPr>
                        <w:r>
                          <w:rPr>
                            <w:rFonts w:ascii="Times New Roman" w:hAnsi="Times New Roman" w:hint="eastAsia"/>
                            <w:sz w:val="18"/>
                            <w:szCs w:val="18"/>
                          </w:rPr>
                          <w:t>等</w:t>
                        </w:r>
                      </w:p>
                    </w:txbxContent>
                  </v:textbox>
                  <o:callout v:ext="edit" minusx="t" minusy="t"/>
                </v:shape>
              </w:pict>
            </w:r>
            <w:r>
              <w:rPr>
                <w:rFonts w:ascii="Times New Roman" w:hAnsi="Times New Roman"/>
                <w:kern w:val="0"/>
                <w:szCs w:val="24"/>
              </w:rPr>
              <w:pict>
                <v:shape id="__TH_B249626" o:spid="_x0000_s1030" type="#_x0000_t202" style="position:absolute;left:0;text-align:left;margin-left:77.55pt;margin-top:19.5pt;width:8.15pt;height:19.15pt;z-index:251666944;mso-width-relative:page;mso-height-relative:page" filled="f" stroked="f" strokeweight=".5pt">
                  <v:textbox inset="0,0,0,0">
                    <w:txbxContent>
                      <w:p w:rsidR="00EE1CF7" w:rsidRDefault="00EE1CF7">
                        <w:pPr>
                          <w:snapToGrid w:val="0"/>
                          <w:rPr>
                            <w:rFonts w:ascii="Times New Roman" w:hAnsi="Times New Roman"/>
                            <w:sz w:val="18"/>
                            <w:szCs w:val="18"/>
                          </w:rPr>
                        </w:pPr>
                        <w:r>
                          <w:rPr>
                            <w:rFonts w:ascii="Times New Roman" w:hAnsi="Times New Roman" w:hint="eastAsia"/>
                            <w:sz w:val="18"/>
                            <w:szCs w:val="18"/>
                          </w:rPr>
                          <w:t>级</w:t>
                        </w:r>
                      </w:p>
                    </w:txbxContent>
                  </v:textbox>
                  <o:callout v:ext="edit" minusx="t" minusy="t"/>
                </v:shape>
              </w:pict>
            </w:r>
            <w:r>
              <w:rPr>
                <w:rFonts w:ascii="Times New Roman" w:hAnsi="Times New Roman"/>
                <w:kern w:val="0"/>
                <w:szCs w:val="24"/>
              </w:rPr>
              <w:pict>
                <v:shape id="__TH_B229624" o:spid="_x0000_s1031" type="#_x0000_t202" style="position:absolute;left:0;text-align:left;margin-left:33.3pt;margin-top:5.65pt;width:9.85pt;height:14pt;z-index:251664896;mso-width-relative:page;mso-height-relative:page" filled="f" stroked="f" strokeweight=".5pt">
                  <v:textbox inset="0,0,0,0">
                    <w:txbxContent>
                      <w:p w:rsidR="00EE1CF7" w:rsidRDefault="00EE1CF7">
                        <w:pPr>
                          <w:snapToGrid w:val="0"/>
                          <w:rPr>
                            <w:rFonts w:ascii="Times New Roman" w:hAnsi="Times New Roman"/>
                            <w:sz w:val="18"/>
                            <w:szCs w:val="18"/>
                          </w:rPr>
                        </w:pPr>
                        <w:r>
                          <w:rPr>
                            <w:rFonts w:ascii="Times New Roman" w:hAnsi="Times New Roman" w:hint="eastAsia"/>
                            <w:sz w:val="18"/>
                            <w:szCs w:val="18"/>
                          </w:rPr>
                          <w:t>价</w:t>
                        </w:r>
                      </w:p>
                    </w:txbxContent>
                  </v:textbox>
                  <o:callout v:ext="edit" minusx="t" minusy="t"/>
                </v:shape>
              </w:pict>
            </w:r>
            <w:r>
              <w:rPr>
                <w:rFonts w:ascii="Times New Roman" w:hAnsi="Times New Roman"/>
                <w:kern w:val="0"/>
                <w:szCs w:val="24"/>
              </w:rPr>
              <w:pict>
                <v:shape id="__TH_B129620" o:spid="_x0000_s1032" type="#_x0000_t202" style="position:absolute;left:0;text-align:left;margin-left:85.7pt;margin-top:2.85pt;width:9.9pt;height:14pt;z-index:251660800;mso-width-relative:page;mso-height-relative:page" filled="f" stroked="f" strokeweight=".5pt">
                  <v:textbox inset="0,0,0,0">
                    <w:txbxContent>
                      <w:p w:rsidR="00EE1CF7" w:rsidRDefault="00EE1CF7">
                        <w:pPr>
                          <w:snapToGrid w:val="0"/>
                          <w:rPr>
                            <w:rFonts w:ascii="Times New Roman" w:hAnsi="Times New Roman"/>
                            <w:sz w:val="18"/>
                            <w:szCs w:val="18"/>
                          </w:rPr>
                        </w:pPr>
                        <w:r>
                          <w:rPr>
                            <w:rFonts w:ascii="Times New Roman" w:hAnsi="Times New Roman" w:hint="eastAsia"/>
                            <w:sz w:val="18"/>
                            <w:szCs w:val="18"/>
                          </w:rPr>
                          <w:t>地</w:t>
                        </w:r>
                      </w:p>
                    </w:txbxContent>
                  </v:textbox>
                  <o:callout v:ext="edit" minusx="t" minusy="t"/>
                </v:shape>
              </w:pict>
            </w:r>
            <w:r>
              <w:rPr>
                <w:rFonts w:ascii="Times New Roman" w:hAnsi="Times New Roman"/>
                <w:kern w:val="0"/>
                <w:szCs w:val="24"/>
              </w:rPr>
              <w:pict>
                <v:shape id="__TH_B139621" o:spid="_x0000_s1033" type="#_x0000_t202" style="position:absolute;left:0;text-align:left;margin-left:97.65pt;margin-top:9.2pt;width:9.9pt;height:14pt;z-index:251661824;mso-width-relative:page;mso-height-relative:page" filled="f" stroked="f" strokeweight=".5pt">
                  <v:textbox inset="0,0,0,0">
                    <w:txbxContent>
                      <w:p w:rsidR="00EE1CF7" w:rsidRDefault="00EE1CF7">
                        <w:pPr>
                          <w:snapToGrid w:val="0"/>
                          <w:rPr>
                            <w:rFonts w:ascii="Times New Roman" w:hAnsi="Times New Roman"/>
                            <w:sz w:val="18"/>
                            <w:szCs w:val="18"/>
                          </w:rPr>
                        </w:pPr>
                        <w:r>
                          <w:rPr>
                            <w:rFonts w:ascii="Times New Roman" w:hAnsi="Times New Roman" w:hint="eastAsia"/>
                            <w:sz w:val="18"/>
                            <w:szCs w:val="18"/>
                          </w:rPr>
                          <w:t>规</w:t>
                        </w:r>
                      </w:p>
                    </w:txbxContent>
                  </v:textbox>
                  <o:callout v:ext="edit" minusx="t" minusy="t"/>
                </v:shape>
              </w:pict>
            </w:r>
            <w:r>
              <w:rPr>
                <w:rFonts w:ascii="Times New Roman" w:hAnsi="Times New Roman"/>
                <w:kern w:val="0"/>
                <w:szCs w:val="24"/>
              </w:rPr>
              <w:pict>
                <v:shape id="__TH_B149622" o:spid="_x0000_s1034" type="#_x0000_t202" style="position:absolute;left:0;text-align:left;margin-left:107.55pt;margin-top:15.05pt;width:9.9pt;height:14pt;z-index:251662848;mso-width-relative:page;mso-height-relative:page" filled="f" stroked="f" strokeweight=".5pt">
                  <v:textbox inset="0,0,0,0">
                    <w:txbxContent>
                      <w:p w:rsidR="00EE1CF7" w:rsidRDefault="00EE1CF7">
                        <w:pPr>
                          <w:snapToGrid w:val="0"/>
                          <w:rPr>
                            <w:rFonts w:ascii="Times New Roman" w:hAnsi="Times New Roman"/>
                            <w:sz w:val="18"/>
                            <w:szCs w:val="18"/>
                          </w:rPr>
                        </w:pPr>
                        <w:r>
                          <w:rPr>
                            <w:rFonts w:ascii="Times New Roman" w:hAnsi="Times New Roman" w:hint="eastAsia"/>
                            <w:sz w:val="18"/>
                            <w:szCs w:val="18"/>
                          </w:rPr>
                          <w:t>模</w:t>
                        </w:r>
                      </w:p>
                    </w:txbxContent>
                  </v:textbox>
                  <o:callout v:ext="edit" minusx="t" minusy="t"/>
                </v:shape>
              </w:pict>
            </w:r>
            <w:r>
              <w:rPr>
                <w:rFonts w:ascii="Times New Roman" w:hAnsi="Times New Roman"/>
                <w:kern w:val="0"/>
                <w:szCs w:val="24"/>
              </w:rPr>
              <w:pict>
                <v:shape id="__TH_B119619" o:spid="_x0000_s1035" type="#_x0000_t202" style="position:absolute;left:0;text-align:left;margin-left:72.15pt;margin-top:-1.35pt;width:9.9pt;height:14pt;z-index:251659776;mso-width-relative:page;mso-height-relative:page" filled="f" stroked="f" strokeweight=".5pt">
                  <v:textbox inset="0,0,0,0">
                    <w:txbxContent>
                      <w:p w:rsidR="00EE1CF7" w:rsidRDefault="00EE1CF7">
                        <w:pPr>
                          <w:snapToGrid w:val="0"/>
                          <w:rPr>
                            <w:rFonts w:ascii="Times New Roman" w:hAnsi="Times New Roman"/>
                            <w:sz w:val="18"/>
                            <w:szCs w:val="18"/>
                          </w:rPr>
                        </w:pPr>
                        <w:r>
                          <w:rPr>
                            <w:rFonts w:ascii="Times New Roman" w:hAnsi="Times New Roman" w:hint="eastAsia"/>
                            <w:sz w:val="18"/>
                            <w:szCs w:val="18"/>
                          </w:rPr>
                          <w:t>占</w:t>
                        </w:r>
                      </w:p>
                    </w:txbxContent>
                  </v:textbox>
                  <o:callout v:ext="edit" minusx="t" minusy="t"/>
                </v:shape>
              </w:pict>
            </w:r>
            <w:r>
              <w:rPr>
                <w:rFonts w:ascii="Times New Roman" w:hAnsi="Times New Roman"/>
                <w:kern w:val="0"/>
                <w:szCs w:val="24"/>
              </w:rPr>
              <w:pict>
                <v:line id="__TH_L9617" o:spid="_x0000_s1036" style="position:absolute;left:0;text-align:left;z-index:251657728;mso-width-relative:page;mso-height-relative:page" from="46.05pt,.45pt" to="121.6pt,38.8pt" strokeweight=".5pt">
                  <o:callout v:ext="edit" minusx="t" minusy="t"/>
                </v:line>
              </w:pict>
            </w:r>
          </w:p>
        </w:tc>
        <w:tc>
          <w:tcPr>
            <w:tcW w:w="2014" w:type="dxa"/>
            <w:gridSpan w:val="3"/>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Ⅰ</w:t>
            </w:r>
            <w:r>
              <w:rPr>
                <w:rFonts w:ascii="Times New Roman" w:hAnsi="Times New Roman"/>
                <w:kern w:val="0"/>
                <w:szCs w:val="24"/>
              </w:rPr>
              <w:t>类</w:t>
            </w:r>
          </w:p>
        </w:tc>
        <w:tc>
          <w:tcPr>
            <w:tcW w:w="2014" w:type="dxa"/>
            <w:gridSpan w:val="3"/>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Ⅱ</w:t>
            </w:r>
            <w:r>
              <w:rPr>
                <w:rFonts w:ascii="Times New Roman" w:hAnsi="Times New Roman"/>
                <w:kern w:val="0"/>
                <w:szCs w:val="24"/>
              </w:rPr>
              <w:t>类</w:t>
            </w:r>
          </w:p>
        </w:tc>
        <w:tc>
          <w:tcPr>
            <w:tcW w:w="2015" w:type="dxa"/>
            <w:gridSpan w:val="3"/>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Ⅲ</w:t>
            </w:r>
            <w:r>
              <w:rPr>
                <w:rFonts w:ascii="Times New Roman" w:hAnsi="Times New Roman"/>
                <w:kern w:val="0"/>
                <w:szCs w:val="24"/>
              </w:rPr>
              <w:t>类</w:t>
            </w:r>
          </w:p>
        </w:tc>
      </w:tr>
      <w:tr w:rsidR="00525419">
        <w:trPr>
          <w:trHeight w:val="397"/>
          <w:jc w:val="center"/>
        </w:trPr>
        <w:tc>
          <w:tcPr>
            <w:tcW w:w="2462" w:type="dxa"/>
            <w:vMerge/>
            <w:vAlign w:val="center"/>
          </w:tcPr>
          <w:p w:rsidR="00525419" w:rsidRDefault="00525419">
            <w:pPr>
              <w:widowControl/>
              <w:jc w:val="center"/>
              <w:rPr>
                <w:rFonts w:ascii="Times New Roman" w:hAnsi="Times New Roman"/>
                <w:kern w:val="0"/>
                <w:szCs w:val="24"/>
              </w:rPr>
            </w:pPr>
          </w:p>
        </w:tc>
        <w:tc>
          <w:tcPr>
            <w:tcW w:w="67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大</w:t>
            </w:r>
          </w:p>
        </w:tc>
        <w:tc>
          <w:tcPr>
            <w:tcW w:w="67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中</w:t>
            </w:r>
          </w:p>
        </w:tc>
        <w:tc>
          <w:tcPr>
            <w:tcW w:w="672"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小</w:t>
            </w:r>
          </w:p>
        </w:tc>
        <w:tc>
          <w:tcPr>
            <w:tcW w:w="67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大</w:t>
            </w:r>
          </w:p>
        </w:tc>
        <w:tc>
          <w:tcPr>
            <w:tcW w:w="672"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中</w:t>
            </w:r>
          </w:p>
        </w:tc>
        <w:tc>
          <w:tcPr>
            <w:tcW w:w="67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小</w:t>
            </w:r>
          </w:p>
        </w:tc>
        <w:tc>
          <w:tcPr>
            <w:tcW w:w="672"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大</w:t>
            </w:r>
          </w:p>
        </w:tc>
        <w:tc>
          <w:tcPr>
            <w:tcW w:w="67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中</w:t>
            </w:r>
          </w:p>
        </w:tc>
        <w:tc>
          <w:tcPr>
            <w:tcW w:w="672"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小</w:t>
            </w:r>
          </w:p>
        </w:tc>
      </w:tr>
      <w:tr w:rsidR="00525419">
        <w:trPr>
          <w:trHeight w:val="397"/>
          <w:jc w:val="center"/>
        </w:trPr>
        <w:tc>
          <w:tcPr>
            <w:tcW w:w="2462"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敏感</w:t>
            </w:r>
          </w:p>
        </w:tc>
        <w:tc>
          <w:tcPr>
            <w:tcW w:w="67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一级</w:t>
            </w:r>
          </w:p>
        </w:tc>
        <w:tc>
          <w:tcPr>
            <w:tcW w:w="67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一级</w:t>
            </w:r>
          </w:p>
        </w:tc>
        <w:tc>
          <w:tcPr>
            <w:tcW w:w="672"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一级</w:t>
            </w:r>
          </w:p>
        </w:tc>
        <w:tc>
          <w:tcPr>
            <w:tcW w:w="67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二级</w:t>
            </w:r>
          </w:p>
        </w:tc>
        <w:tc>
          <w:tcPr>
            <w:tcW w:w="672"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二级</w:t>
            </w:r>
          </w:p>
        </w:tc>
        <w:tc>
          <w:tcPr>
            <w:tcW w:w="67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二级</w:t>
            </w:r>
          </w:p>
        </w:tc>
        <w:tc>
          <w:tcPr>
            <w:tcW w:w="672"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三级</w:t>
            </w:r>
          </w:p>
        </w:tc>
        <w:tc>
          <w:tcPr>
            <w:tcW w:w="67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三级</w:t>
            </w:r>
          </w:p>
        </w:tc>
        <w:tc>
          <w:tcPr>
            <w:tcW w:w="672"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三级</w:t>
            </w:r>
          </w:p>
        </w:tc>
      </w:tr>
      <w:tr w:rsidR="00525419">
        <w:trPr>
          <w:trHeight w:val="397"/>
          <w:jc w:val="center"/>
        </w:trPr>
        <w:tc>
          <w:tcPr>
            <w:tcW w:w="2462"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较敏感</w:t>
            </w:r>
          </w:p>
        </w:tc>
        <w:tc>
          <w:tcPr>
            <w:tcW w:w="67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一级</w:t>
            </w:r>
          </w:p>
        </w:tc>
        <w:tc>
          <w:tcPr>
            <w:tcW w:w="67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一级</w:t>
            </w:r>
          </w:p>
        </w:tc>
        <w:tc>
          <w:tcPr>
            <w:tcW w:w="672"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二级</w:t>
            </w:r>
          </w:p>
        </w:tc>
        <w:tc>
          <w:tcPr>
            <w:tcW w:w="67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二级</w:t>
            </w:r>
          </w:p>
        </w:tc>
        <w:tc>
          <w:tcPr>
            <w:tcW w:w="672"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二级</w:t>
            </w:r>
          </w:p>
        </w:tc>
        <w:tc>
          <w:tcPr>
            <w:tcW w:w="67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三级</w:t>
            </w:r>
          </w:p>
        </w:tc>
        <w:tc>
          <w:tcPr>
            <w:tcW w:w="672"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三级</w:t>
            </w:r>
          </w:p>
        </w:tc>
        <w:tc>
          <w:tcPr>
            <w:tcW w:w="67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三级</w:t>
            </w:r>
          </w:p>
        </w:tc>
        <w:tc>
          <w:tcPr>
            <w:tcW w:w="672"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p>
        </w:tc>
      </w:tr>
      <w:tr w:rsidR="00525419">
        <w:trPr>
          <w:trHeight w:val="397"/>
          <w:jc w:val="center"/>
        </w:trPr>
        <w:tc>
          <w:tcPr>
            <w:tcW w:w="2462"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不敏感</w:t>
            </w:r>
          </w:p>
        </w:tc>
        <w:tc>
          <w:tcPr>
            <w:tcW w:w="67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一级</w:t>
            </w:r>
          </w:p>
        </w:tc>
        <w:tc>
          <w:tcPr>
            <w:tcW w:w="671" w:type="dxa"/>
            <w:vAlign w:val="center"/>
          </w:tcPr>
          <w:p w:rsidR="00525419" w:rsidRDefault="00EE1CF7">
            <w:pPr>
              <w:widowControl/>
              <w:jc w:val="center"/>
              <w:rPr>
                <w:rFonts w:ascii="Times New Roman" w:hAnsi="Times New Roman"/>
                <w:kern w:val="0"/>
                <w:szCs w:val="24"/>
              </w:rPr>
            </w:pPr>
            <w:r>
              <w:rPr>
                <w:rFonts w:ascii="Times New Roman" w:hAnsi="Times New Roman"/>
                <w:b/>
                <w:bCs/>
                <w:kern w:val="0"/>
                <w:szCs w:val="24"/>
              </w:rPr>
              <w:t>二级</w:t>
            </w:r>
          </w:p>
        </w:tc>
        <w:tc>
          <w:tcPr>
            <w:tcW w:w="672"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二级</w:t>
            </w:r>
          </w:p>
        </w:tc>
        <w:tc>
          <w:tcPr>
            <w:tcW w:w="67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二级</w:t>
            </w:r>
          </w:p>
        </w:tc>
        <w:tc>
          <w:tcPr>
            <w:tcW w:w="672"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三级</w:t>
            </w:r>
          </w:p>
        </w:tc>
        <w:tc>
          <w:tcPr>
            <w:tcW w:w="67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三级</w:t>
            </w:r>
          </w:p>
        </w:tc>
        <w:tc>
          <w:tcPr>
            <w:tcW w:w="672"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三级</w:t>
            </w:r>
          </w:p>
        </w:tc>
        <w:tc>
          <w:tcPr>
            <w:tcW w:w="67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p>
        </w:tc>
        <w:tc>
          <w:tcPr>
            <w:tcW w:w="672"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p>
        </w:tc>
      </w:tr>
      <w:tr w:rsidR="00525419">
        <w:trPr>
          <w:trHeight w:val="397"/>
          <w:jc w:val="center"/>
        </w:trPr>
        <w:tc>
          <w:tcPr>
            <w:tcW w:w="8505" w:type="dxa"/>
            <w:gridSpan w:val="10"/>
            <w:vAlign w:val="center"/>
          </w:tcPr>
          <w:p w:rsidR="00525419" w:rsidRDefault="00EE1CF7">
            <w:pPr>
              <w:widowControl/>
              <w:ind w:firstLineChars="50" w:firstLine="105"/>
              <w:rPr>
                <w:rFonts w:ascii="Times New Roman" w:hAnsi="Times New Roman"/>
                <w:kern w:val="0"/>
                <w:szCs w:val="24"/>
              </w:rPr>
            </w:pPr>
            <w:r>
              <w:rPr>
                <w:rFonts w:ascii="Times New Roman" w:hAnsi="Times New Roman"/>
                <w:kern w:val="0"/>
                <w:szCs w:val="24"/>
              </w:rPr>
              <w:t>注：</w:t>
            </w:r>
            <w:r>
              <w:rPr>
                <w:rFonts w:ascii="Times New Roman" w:hAnsi="Times New Roman"/>
                <w:kern w:val="0"/>
                <w:szCs w:val="24"/>
              </w:rPr>
              <w:t>“-”</w:t>
            </w:r>
            <w:r>
              <w:rPr>
                <w:rFonts w:ascii="Times New Roman" w:hAnsi="Times New Roman"/>
                <w:kern w:val="0"/>
                <w:szCs w:val="24"/>
              </w:rPr>
              <w:t>表示可不开展土壤环境影响评价工作</w:t>
            </w:r>
          </w:p>
        </w:tc>
      </w:tr>
    </w:tbl>
    <w:p w:rsidR="00525419" w:rsidRDefault="00525419">
      <w:pPr>
        <w:widowControl/>
        <w:jc w:val="center"/>
        <w:rPr>
          <w:rFonts w:ascii="Times New Roman" w:hAnsi="Times New Roman"/>
          <w:kern w:val="0"/>
          <w:szCs w:val="24"/>
        </w:rPr>
      </w:pP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建设项目所在地周边的环境影响敏感程度分为敏感、较敏感、不敏感，判别依据详见表</w:t>
      </w:r>
      <w:r>
        <w:rPr>
          <w:rFonts w:ascii="Times New Roman" w:hAnsi="Times New Roman"/>
          <w:kern w:val="0"/>
          <w:sz w:val="24"/>
          <w:szCs w:val="24"/>
        </w:rPr>
        <w:t>2.3-6</w:t>
      </w:r>
      <w:r>
        <w:rPr>
          <w:rFonts w:ascii="Times New Roman" w:hAnsi="Times New Roman"/>
          <w:kern w:val="0"/>
          <w:sz w:val="24"/>
          <w:szCs w:val="24"/>
        </w:rPr>
        <w:t>。</w:t>
      </w:r>
    </w:p>
    <w:p w:rsidR="00525419" w:rsidRDefault="00EE1CF7">
      <w:pPr>
        <w:adjustRightInd w:val="0"/>
        <w:snapToGrid w:val="0"/>
        <w:jc w:val="center"/>
        <w:rPr>
          <w:rFonts w:ascii="Times New Roman" w:eastAsia="黑体" w:hAnsi="Times New Roman"/>
          <w:kern w:val="0"/>
          <w:szCs w:val="21"/>
        </w:rPr>
      </w:pPr>
      <w:r>
        <w:rPr>
          <w:rFonts w:ascii="Times New Roman" w:eastAsia="黑体" w:hAnsi="Times New Roman"/>
          <w:kern w:val="0"/>
          <w:szCs w:val="21"/>
        </w:rPr>
        <w:t>表</w:t>
      </w:r>
      <w:r>
        <w:rPr>
          <w:rFonts w:ascii="Times New Roman" w:eastAsia="黑体" w:hAnsi="Times New Roman"/>
          <w:kern w:val="0"/>
          <w:szCs w:val="21"/>
        </w:rPr>
        <w:t xml:space="preserve">2.3-6   </w:t>
      </w:r>
      <w:r>
        <w:rPr>
          <w:rFonts w:ascii="Times New Roman" w:eastAsia="黑体" w:hAnsi="Times New Roman"/>
          <w:kern w:val="0"/>
          <w:szCs w:val="21"/>
        </w:rPr>
        <w:t>污染影响型敏感程度分级一览表</w:t>
      </w:r>
    </w:p>
    <w:tbl>
      <w:tblPr>
        <w:tblW w:w="850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093"/>
        <w:gridCol w:w="6412"/>
      </w:tblGrid>
      <w:tr w:rsidR="00525419">
        <w:trPr>
          <w:trHeight w:val="397"/>
          <w:jc w:val="center"/>
        </w:trPr>
        <w:tc>
          <w:tcPr>
            <w:tcW w:w="209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敏感程度</w:t>
            </w:r>
          </w:p>
        </w:tc>
        <w:tc>
          <w:tcPr>
            <w:tcW w:w="6412"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判别依据</w:t>
            </w:r>
          </w:p>
        </w:tc>
      </w:tr>
      <w:tr w:rsidR="00525419">
        <w:trPr>
          <w:trHeight w:val="397"/>
          <w:jc w:val="center"/>
        </w:trPr>
        <w:tc>
          <w:tcPr>
            <w:tcW w:w="209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敏感</w:t>
            </w:r>
          </w:p>
        </w:tc>
        <w:tc>
          <w:tcPr>
            <w:tcW w:w="6412" w:type="dxa"/>
            <w:vAlign w:val="center"/>
          </w:tcPr>
          <w:p w:rsidR="00525419" w:rsidRDefault="00EE1CF7">
            <w:pPr>
              <w:widowControl/>
              <w:rPr>
                <w:rFonts w:ascii="Times New Roman" w:hAnsi="Times New Roman"/>
                <w:kern w:val="0"/>
                <w:szCs w:val="24"/>
              </w:rPr>
            </w:pPr>
            <w:r>
              <w:rPr>
                <w:rFonts w:ascii="Times New Roman" w:hAnsi="Times New Roman"/>
                <w:kern w:val="0"/>
                <w:szCs w:val="24"/>
              </w:rPr>
              <w:t>建设项目周边存在耕地、园地、牧草地、饮用水水源地或居民区、学校、医院、疗养院、养老院等土壤环境敏感目标的</w:t>
            </w:r>
          </w:p>
        </w:tc>
      </w:tr>
      <w:tr w:rsidR="00525419">
        <w:trPr>
          <w:trHeight w:val="397"/>
          <w:jc w:val="center"/>
        </w:trPr>
        <w:tc>
          <w:tcPr>
            <w:tcW w:w="209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较敏感</w:t>
            </w:r>
          </w:p>
        </w:tc>
        <w:tc>
          <w:tcPr>
            <w:tcW w:w="6412" w:type="dxa"/>
            <w:vAlign w:val="center"/>
          </w:tcPr>
          <w:p w:rsidR="00525419" w:rsidRDefault="00EE1CF7">
            <w:pPr>
              <w:widowControl/>
              <w:rPr>
                <w:rFonts w:ascii="Times New Roman" w:hAnsi="Times New Roman"/>
                <w:kern w:val="0"/>
                <w:szCs w:val="24"/>
              </w:rPr>
            </w:pPr>
            <w:r>
              <w:rPr>
                <w:rFonts w:ascii="Times New Roman" w:hAnsi="Times New Roman"/>
                <w:kern w:val="0"/>
                <w:szCs w:val="24"/>
              </w:rPr>
              <w:t>建设项目周边存在其他土壤环境敏感目标的</w:t>
            </w:r>
          </w:p>
        </w:tc>
      </w:tr>
      <w:tr w:rsidR="00525419">
        <w:trPr>
          <w:trHeight w:val="397"/>
          <w:jc w:val="center"/>
        </w:trPr>
        <w:tc>
          <w:tcPr>
            <w:tcW w:w="209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不敏感</w:t>
            </w:r>
          </w:p>
        </w:tc>
        <w:tc>
          <w:tcPr>
            <w:tcW w:w="6412" w:type="dxa"/>
            <w:vAlign w:val="center"/>
          </w:tcPr>
          <w:p w:rsidR="00525419" w:rsidRDefault="00EE1CF7">
            <w:pPr>
              <w:widowControl/>
              <w:rPr>
                <w:rFonts w:ascii="Times New Roman" w:hAnsi="Times New Roman"/>
                <w:kern w:val="0"/>
                <w:szCs w:val="24"/>
              </w:rPr>
            </w:pPr>
            <w:r>
              <w:rPr>
                <w:rFonts w:ascii="Times New Roman" w:hAnsi="Times New Roman"/>
                <w:kern w:val="0"/>
                <w:szCs w:val="24"/>
              </w:rPr>
              <w:t>其他情况</w:t>
            </w:r>
          </w:p>
        </w:tc>
      </w:tr>
    </w:tbl>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lastRenderedPageBreak/>
        <w:t>根据附录</w:t>
      </w:r>
      <w:r>
        <w:rPr>
          <w:rFonts w:ascii="Times New Roman" w:hAnsi="Times New Roman"/>
          <w:kern w:val="0"/>
          <w:sz w:val="24"/>
          <w:szCs w:val="24"/>
        </w:rPr>
        <w:t>A</w:t>
      </w:r>
      <w:r>
        <w:rPr>
          <w:rFonts w:ascii="Times New Roman" w:hAnsi="Times New Roman"/>
          <w:kern w:val="0"/>
          <w:sz w:val="24"/>
          <w:szCs w:val="24"/>
        </w:rPr>
        <w:t>中判定本项目为</w:t>
      </w:r>
      <w:r>
        <w:rPr>
          <w:rFonts w:ascii="Times New Roman" w:hAnsi="Times New Roman"/>
          <w:kern w:val="0"/>
          <w:sz w:val="24"/>
          <w:szCs w:val="24"/>
        </w:rPr>
        <w:t>Ⅰ</w:t>
      </w:r>
      <w:r>
        <w:rPr>
          <w:rFonts w:ascii="Times New Roman" w:hAnsi="Times New Roman"/>
          <w:kern w:val="0"/>
          <w:sz w:val="24"/>
          <w:szCs w:val="24"/>
        </w:rPr>
        <w:t>类项目</w:t>
      </w:r>
      <w:r>
        <w:rPr>
          <w:rFonts w:ascii="Times New Roman" w:hAnsi="Times New Roman" w:hint="eastAsia"/>
          <w:kern w:val="0"/>
          <w:sz w:val="24"/>
          <w:szCs w:val="24"/>
        </w:rPr>
        <w:t>；</w:t>
      </w:r>
      <w:r>
        <w:rPr>
          <w:rFonts w:ascii="Times New Roman" w:hAnsi="Times New Roman"/>
          <w:kern w:val="0"/>
          <w:sz w:val="24"/>
          <w:szCs w:val="24"/>
        </w:rPr>
        <w:t>项目占地面积为</w:t>
      </w:r>
      <w:r>
        <w:rPr>
          <w:rFonts w:ascii="Times New Roman" w:hAnsi="Times New Roman"/>
          <w:kern w:val="0"/>
          <w:sz w:val="24"/>
          <w:szCs w:val="24"/>
        </w:rPr>
        <w:t>44hm</w:t>
      </w:r>
      <w:r>
        <w:rPr>
          <w:rFonts w:ascii="Times New Roman" w:hAnsi="Times New Roman"/>
          <w:kern w:val="0"/>
          <w:sz w:val="24"/>
          <w:szCs w:val="24"/>
          <w:vertAlign w:val="superscript"/>
        </w:rPr>
        <w:t>2</w:t>
      </w:r>
      <w:r>
        <w:rPr>
          <w:rFonts w:ascii="Times New Roman" w:hAnsi="Times New Roman"/>
          <w:kern w:val="0"/>
          <w:sz w:val="24"/>
          <w:szCs w:val="24"/>
        </w:rPr>
        <w:t>（</w:t>
      </w:r>
      <w:r>
        <w:rPr>
          <w:rFonts w:ascii="Times New Roman" w:hAnsi="Times New Roman"/>
          <w:kern w:val="0"/>
          <w:sz w:val="24"/>
          <w:szCs w:val="24"/>
        </w:rPr>
        <w:t>660</w:t>
      </w:r>
      <w:r>
        <w:rPr>
          <w:rFonts w:ascii="Times New Roman" w:hAnsi="Times New Roman"/>
          <w:kern w:val="0"/>
          <w:sz w:val="24"/>
          <w:szCs w:val="24"/>
        </w:rPr>
        <w:t>亩），占地规模为中型</w:t>
      </w:r>
      <w:r>
        <w:rPr>
          <w:rFonts w:ascii="Times New Roman" w:hAnsi="Times New Roman" w:hint="eastAsia"/>
          <w:kern w:val="0"/>
          <w:sz w:val="24"/>
          <w:szCs w:val="24"/>
        </w:rPr>
        <w:t>；</w:t>
      </w:r>
      <w:r>
        <w:rPr>
          <w:rFonts w:ascii="Times New Roman" w:hAnsi="Times New Roman"/>
          <w:kern w:val="0"/>
          <w:sz w:val="24"/>
          <w:szCs w:val="24"/>
        </w:rPr>
        <w:t>项目周边无耕地、园地、牧草地、饮用水水源地等土壤环境敏感目标和其他土壤环境敏感目标，项目区土壤环境敏感程度为不敏感。</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因此，根据表</w:t>
      </w:r>
      <w:r>
        <w:rPr>
          <w:rFonts w:ascii="Times New Roman" w:hAnsi="Times New Roman"/>
          <w:kern w:val="0"/>
          <w:sz w:val="24"/>
          <w:szCs w:val="24"/>
        </w:rPr>
        <w:t>2.3-5</w:t>
      </w:r>
      <w:r>
        <w:rPr>
          <w:rFonts w:ascii="Times New Roman" w:hAnsi="Times New Roman"/>
          <w:kern w:val="0"/>
          <w:sz w:val="24"/>
          <w:szCs w:val="24"/>
        </w:rPr>
        <w:t>判定，项目区土壤环境影响评价工作等级为二级。</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2.3.1.5</w:t>
      </w:r>
      <w:r>
        <w:rPr>
          <w:rFonts w:ascii="Times New Roman" w:hAnsi="Times New Roman" w:cs="Times New Roman"/>
          <w:kern w:val="44"/>
          <w:sz w:val="24"/>
          <w:szCs w:val="24"/>
        </w:rPr>
        <w:t>环境风险评价</w:t>
      </w:r>
      <w:r>
        <w:rPr>
          <w:rFonts w:ascii="Times New Roman" w:hAnsi="Times New Roman" w:cs="Times New Roman"/>
          <w:kern w:val="44"/>
          <w:sz w:val="24"/>
          <w:szCs w:val="24"/>
        </w:rPr>
        <w:t xml:space="preserve"> </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根据《建设项目环境风险评价技术导则》（</w:t>
      </w:r>
      <w:r>
        <w:rPr>
          <w:rFonts w:ascii="Times New Roman" w:hAnsi="Times New Roman"/>
          <w:kern w:val="0"/>
          <w:sz w:val="24"/>
          <w:szCs w:val="24"/>
        </w:rPr>
        <w:t>HJ169-2018</w:t>
      </w:r>
      <w:r>
        <w:rPr>
          <w:rFonts w:ascii="Times New Roman" w:hAnsi="Times New Roman"/>
          <w:kern w:val="0"/>
          <w:sz w:val="24"/>
          <w:szCs w:val="24"/>
        </w:rPr>
        <w:t>）规定：</w:t>
      </w:r>
      <w:r>
        <w:rPr>
          <w:rFonts w:ascii="Times New Roman" w:hAnsi="Times New Roman"/>
          <w:kern w:val="0"/>
          <w:sz w:val="24"/>
          <w:szCs w:val="24"/>
        </w:rPr>
        <w:t>“</w:t>
      </w:r>
      <w:r>
        <w:rPr>
          <w:rFonts w:ascii="Times New Roman" w:hAnsi="Times New Roman"/>
          <w:kern w:val="0"/>
          <w:sz w:val="24"/>
          <w:szCs w:val="24"/>
        </w:rPr>
        <w:t>环境风险评价工作是依据建设项目涉及的物质及工艺系统危险性和所在地的环境敏感性确定环境风险潜势进行分级，环境影响评价工作等级划分为一级、二级、三级</w:t>
      </w:r>
      <w:r>
        <w:rPr>
          <w:rFonts w:ascii="Times New Roman" w:hAnsi="Times New Roman"/>
          <w:kern w:val="0"/>
          <w:sz w:val="24"/>
          <w:szCs w:val="24"/>
        </w:rPr>
        <w:t>”</w:t>
      </w:r>
      <w:r>
        <w:rPr>
          <w:rFonts w:ascii="Times New Roman" w:hAnsi="Times New Roman"/>
          <w:kern w:val="0"/>
          <w:sz w:val="24"/>
          <w:szCs w:val="24"/>
        </w:rPr>
        <w:t>，评价工作等级划分见表</w:t>
      </w:r>
      <w:r>
        <w:rPr>
          <w:rFonts w:ascii="Times New Roman" w:hAnsi="Times New Roman"/>
          <w:kern w:val="0"/>
          <w:sz w:val="24"/>
          <w:szCs w:val="24"/>
        </w:rPr>
        <w:t>2.3-7</w:t>
      </w:r>
      <w:r>
        <w:rPr>
          <w:rFonts w:ascii="Times New Roman" w:hAnsi="Times New Roman"/>
          <w:kern w:val="0"/>
          <w:sz w:val="24"/>
          <w:szCs w:val="24"/>
        </w:rPr>
        <w:t>。</w:t>
      </w:r>
    </w:p>
    <w:p w:rsidR="00525419" w:rsidRDefault="00EE1CF7">
      <w:pPr>
        <w:adjustRightInd w:val="0"/>
        <w:snapToGrid w:val="0"/>
        <w:jc w:val="center"/>
        <w:rPr>
          <w:rFonts w:ascii="Times New Roman" w:eastAsia="黑体" w:hAnsi="Times New Roman"/>
          <w:kern w:val="0"/>
          <w:szCs w:val="21"/>
        </w:rPr>
      </w:pPr>
      <w:r>
        <w:rPr>
          <w:rFonts w:ascii="Times New Roman" w:eastAsia="黑体" w:hAnsi="Times New Roman"/>
          <w:kern w:val="0"/>
          <w:szCs w:val="21"/>
        </w:rPr>
        <w:t>表</w:t>
      </w:r>
      <w:r>
        <w:rPr>
          <w:rFonts w:ascii="Times New Roman" w:eastAsia="黑体" w:hAnsi="Times New Roman"/>
          <w:kern w:val="0"/>
          <w:szCs w:val="21"/>
        </w:rPr>
        <w:t xml:space="preserve">2.3-7   </w:t>
      </w:r>
      <w:r>
        <w:rPr>
          <w:rFonts w:ascii="Times New Roman" w:eastAsia="黑体" w:hAnsi="Times New Roman"/>
          <w:kern w:val="0"/>
          <w:szCs w:val="21"/>
        </w:rPr>
        <w:t>环境影响评价等级判据一览表</w:t>
      </w:r>
    </w:p>
    <w:tbl>
      <w:tblPr>
        <w:tblW w:w="850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093"/>
        <w:gridCol w:w="1603"/>
        <w:gridCol w:w="1603"/>
        <w:gridCol w:w="1603"/>
        <w:gridCol w:w="1603"/>
      </w:tblGrid>
      <w:tr w:rsidR="00525419">
        <w:trPr>
          <w:trHeight w:val="373"/>
        </w:trPr>
        <w:tc>
          <w:tcPr>
            <w:tcW w:w="209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环境风险潜势</w:t>
            </w:r>
          </w:p>
        </w:tc>
        <w:tc>
          <w:tcPr>
            <w:tcW w:w="160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Ⅳ</w:t>
            </w:r>
            <w:r>
              <w:rPr>
                <w:rFonts w:ascii="Times New Roman" w:hAnsi="Times New Roman"/>
                <w:kern w:val="0"/>
                <w:szCs w:val="24"/>
              </w:rPr>
              <w:t>、</w:t>
            </w:r>
            <w:r>
              <w:rPr>
                <w:rFonts w:ascii="Times New Roman" w:hAnsi="Times New Roman"/>
                <w:kern w:val="0"/>
                <w:szCs w:val="24"/>
              </w:rPr>
              <w:t>Ⅳ</w:t>
            </w:r>
            <w:r>
              <w:rPr>
                <w:rFonts w:ascii="Times New Roman" w:hAnsi="Times New Roman"/>
                <w:kern w:val="0"/>
                <w:szCs w:val="24"/>
                <w:vertAlign w:val="superscript"/>
              </w:rPr>
              <w:t>+</w:t>
            </w:r>
          </w:p>
        </w:tc>
        <w:tc>
          <w:tcPr>
            <w:tcW w:w="160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III</w:t>
            </w:r>
          </w:p>
        </w:tc>
        <w:tc>
          <w:tcPr>
            <w:tcW w:w="160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II</w:t>
            </w:r>
          </w:p>
        </w:tc>
        <w:tc>
          <w:tcPr>
            <w:tcW w:w="160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I</w:t>
            </w:r>
          </w:p>
        </w:tc>
      </w:tr>
      <w:tr w:rsidR="00525419">
        <w:trPr>
          <w:trHeight w:val="397"/>
        </w:trPr>
        <w:tc>
          <w:tcPr>
            <w:tcW w:w="209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环境风险评价等级</w:t>
            </w:r>
          </w:p>
        </w:tc>
        <w:tc>
          <w:tcPr>
            <w:tcW w:w="160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一</w:t>
            </w:r>
          </w:p>
        </w:tc>
        <w:tc>
          <w:tcPr>
            <w:tcW w:w="160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二</w:t>
            </w:r>
          </w:p>
        </w:tc>
        <w:tc>
          <w:tcPr>
            <w:tcW w:w="160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三</w:t>
            </w:r>
          </w:p>
        </w:tc>
        <w:tc>
          <w:tcPr>
            <w:tcW w:w="160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简单分析</w:t>
            </w:r>
          </w:p>
        </w:tc>
      </w:tr>
    </w:tbl>
    <w:p w:rsidR="00525419" w:rsidRDefault="00525419">
      <w:pPr>
        <w:widowControl/>
        <w:jc w:val="center"/>
        <w:rPr>
          <w:rFonts w:ascii="Times New Roman" w:hAnsi="Times New Roman"/>
          <w:kern w:val="0"/>
          <w:szCs w:val="24"/>
        </w:rPr>
      </w:pP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根据</w:t>
      </w:r>
      <w:r>
        <w:rPr>
          <w:rFonts w:ascii="Times New Roman" w:hAnsi="Times New Roman"/>
          <w:kern w:val="0"/>
          <w:sz w:val="24"/>
          <w:szCs w:val="24"/>
        </w:rPr>
        <w:t>5.6</w:t>
      </w:r>
      <w:r>
        <w:rPr>
          <w:rFonts w:ascii="Times New Roman" w:hAnsi="Times New Roman"/>
          <w:kern w:val="0"/>
          <w:sz w:val="24"/>
          <w:szCs w:val="24"/>
        </w:rPr>
        <w:t>节分析结果，本项目的环境风险潜势为</w:t>
      </w:r>
      <w:r>
        <w:rPr>
          <w:rFonts w:ascii="Times New Roman" w:hAnsi="Times New Roman"/>
          <w:kern w:val="0"/>
          <w:sz w:val="24"/>
          <w:szCs w:val="24"/>
        </w:rPr>
        <w:t>Ⅳ</w:t>
      </w:r>
      <w:r>
        <w:rPr>
          <w:rFonts w:ascii="Times New Roman" w:hAnsi="Times New Roman"/>
          <w:kern w:val="0"/>
          <w:sz w:val="24"/>
          <w:szCs w:val="24"/>
        </w:rPr>
        <w:t>级，因此本项目的环境风险评价等级为一级。</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根据分析结果，本项目</w:t>
      </w:r>
      <w:r>
        <w:rPr>
          <w:rFonts w:ascii="Times New Roman" w:hAnsi="Times New Roman" w:hint="eastAsia"/>
          <w:kern w:val="0"/>
          <w:sz w:val="24"/>
          <w:szCs w:val="24"/>
        </w:rPr>
        <w:t>大气、地下水</w:t>
      </w:r>
      <w:r>
        <w:rPr>
          <w:rFonts w:ascii="Times New Roman" w:hAnsi="Times New Roman"/>
          <w:kern w:val="0"/>
          <w:sz w:val="24"/>
          <w:szCs w:val="24"/>
        </w:rPr>
        <w:t>环境敏感等级为</w:t>
      </w:r>
      <w:r>
        <w:rPr>
          <w:rFonts w:ascii="Times New Roman" w:hAnsi="Times New Roman"/>
          <w:kern w:val="0"/>
          <w:sz w:val="24"/>
          <w:szCs w:val="24"/>
        </w:rPr>
        <w:t>E2</w:t>
      </w:r>
      <w:r>
        <w:rPr>
          <w:rFonts w:ascii="Times New Roman" w:hAnsi="Times New Roman"/>
          <w:kern w:val="0"/>
          <w:sz w:val="24"/>
          <w:szCs w:val="24"/>
        </w:rPr>
        <w:t>，危害的等级为</w:t>
      </w:r>
      <w:r>
        <w:rPr>
          <w:rFonts w:ascii="Times New Roman" w:hAnsi="Times New Roman"/>
          <w:kern w:val="0"/>
          <w:sz w:val="24"/>
          <w:szCs w:val="24"/>
        </w:rPr>
        <w:t>P1</w:t>
      </w:r>
      <w:r>
        <w:rPr>
          <w:rFonts w:ascii="Times New Roman" w:hAnsi="Times New Roman"/>
          <w:kern w:val="0"/>
          <w:sz w:val="24"/>
          <w:szCs w:val="24"/>
        </w:rPr>
        <w:t>，环境风险潜势为</w:t>
      </w:r>
      <w:r>
        <w:rPr>
          <w:rFonts w:ascii="Times New Roman" w:hAnsi="Times New Roman"/>
          <w:kern w:val="0"/>
          <w:sz w:val="24"/>
          <w:szCs w:val="24"/>
        </w:rPr>
        <w:t>Ⅳ</w:t>
      </w:r>
      <w:r>
        <w:rPr>
          <w:rFonts w:ascii="Times New Roman" w:hAnsi="Times New Roman"/>
          <w:kern w:val="0"/>
          <w:sz w:val="24"/>
          <w:szCs w:val="24"/>
        </w:rPr>
        <w:t>级，根据《建设项目环境风险评价技术导则》（</w:t>
      </w:r>
      <w:r>
        <w:rPr>
          <w:rFonts w:ascii="Times New Roman" w:hAnsi="Times New Roman"/>
          <w:kern w:val="0"/>
          <w:sz w:val="24"/>
          <w:szCs w:val="24"/>
        </w:rPr>
        <w:t>HJ/T169-2018</w:t>
      </w:r>
      <w:r>
        <w:rPr>
          <w:rFonts w:ascii="Times New Roman" w:hAnsi="Times New Roman"/>
          <w:kern w:val="0"/>
          <w:sz w:val="24"/>
          <w:szCs w:val="24"/>
        </w:rPr>
        <w:t>），本项目的环境风险评价等级为一级，其中大气为一级评价，地下水为一级</w:t>
      </w:r>
      <w:r>
        <w:rPr>
          <w:rFonts w:ascii="Times New Roman" w:hAnsi="Times New Roman" w:hint="eastAsia"/>
          <w:kern w:val="0"/>
          <w:sz w:val="24"/>
          <w:szCs w:val="24"/>
        </w:rPr>
        <w:t>评价</w:t>
      </w:r>
      <w:r>
        <w:rPr>
          <w:rFonts w:ascii="Times New Roman" w:hAnsi="Times New Roman"/>
          <w:kern w:val="0"/>
          <w:sz w:val="24"/>
          <w:szCs w:val="24"/>
        </w:rPr>
        <w:t>。</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2.3.1.6</w:t>
      </w:r>
      <w:r>
        <w:rPr>
          <w:rFonts w:ascii="Times New Roman" w:hAnsi="Times New Roman" w:cs="Times New Roman"/>
          <w:kern w:val="44"/>
          <w:sz w:val="24"/>
          <w:szCs w:val="24"/>
        </w:rPr>
        <w:t>生态影响评价等级</w:t>
      </w:r>
    </w:p>
    <w:p w:rsidR="00525419" w:rsidRDefault="00EE1CF7">
      <w:pPr>
        <w:pStyle w:val="aff3"/>
        <w:adjustRightInd w:val="0"/>
        <w:snapToGrid w:val="0"/>
        <w:spacing w:line="360" w:lineRule="auto"/>
        <w:ind w:leftChars="0" w:left="0" w:firstLineChars="200" w:firstLine="480"/>
        <w:rPr>
          <w:rFonts w:ascii="Times New Roman" w:hAnsi="Times New Roman"/>
          <w:sz w:val="24"/>
          <w:szCs w:val="24"/>
        </w:rPr>
      </w:pPr>
      <w:r>
        <w:rPr>
          <w:rFonts w:ascii="Times New Roman" w:hAnsi="Times New Roman"/>
          <w:sz w:val="24"/>
          <w:szCs w:val="24"/>
        </w:rPr>
        <w:t>本项目厂区占地</w:t>
      </w:r>
      <w:r>
        <w:rPr>
          <w:rFonts w:ascii="Times New Roman" w:hAnsi="Times New Roman"/>
          <w:sz w:val="24"/>
          <w:szCs w:val="24"/>
        </w:rPr>
        <w:t>25000m</w:t>
      </w:r>
      <w:r>
        <w:rPr>
          <w:rFonts w:ascii="Times New Roman" w:hAnsi="Times New Roman"/>
          <w:sz w:val="24"/>
          <w:szCs w:val="24"/>
          <w:vertAlign w:val="superscript"/>
        </w:rPr>
        <w:t>2</w:t>
      </w:r>
      <w:r>
        <w:rPr>
          <w:rFonts w:ascii="Times New Roman" w:hAnsi="Times New Roman"/>
          <w:sz w:val="24"/>
          <w:szCs w:val="24"/>
        </w:rPr>
        <w:t>，位于现厂区占地范围内。根据《环境影响评价技术导则　生态影响》（</w:t>
      </w:r>
      <w:r>
        <w:rPr>
          <w:rFonts w:ascii="Times New Roman" w:hAnsi="Times New Roman"/>
          <w:sz w:val="24"/>
          <w:szCs w:val="24"/>
        </w:rPr>
        <w:t>HJ19-2011</w:t>
      </w:r>
      <w:r>
        <w:rPr>
          <w:rFonts w:ascii="Times New Roman" w:hAnsi="Times New Roman"/>
          <w:sz w:val="24"/>
          <w:szCs w:val="24"/>
        </w:rPr>
        <w:t>）中</w:t>
      </w:r>
      <w:r>
        <w:rPr>
          <w:rFonts w:ascii="Times New Roman" w:hAnsi="Times New Roman"/>
          <w:sz w:val="24"/>
          <w:szCs w:val="24"/>
        </w:rPr>
        <w:t>“4.2.1”</w:t>
      </w:r>
      <w:r>
        <w:rPr>
          <w:rFonts w:ascii="Times New Roman" w:hAnsi="Times New Roman"/>
          <w:sz w:val="24"/>
          <w:szCs w:val="24"/>
        </w:rPr>
        <w:t>内容：位于原厂界</w:t>
      </w:r>
      <w:r>
        <w:rPr>
          <w:rFonts w:ascii="Times New Roman" w:hAnsi="Times New Roman"/>
          <w:sz w:val="24"/>
          <w:szCs w:val="24"/>
        </w:rPr>
        <w:t>(</w:t>
      </w:r>
      <w:r>
        <w:rPr>
          <w:rFonts w:ascii="Times New Roman" w:hAnsi="Times New Roman"/>
          <w:sz w:val="24"/>
          <w:szCs w:val="24"/>
        </w:rPr>
        <w:t>或永久用地</w:t>
      </w:r>
      <w:r>
        <w:rPr>
          <w:rFonts w:ascii="Times New Roman" w:hAnsi="Times New Roman"/>
          <w:sz w:val="24"/>
          <w:szCs w:val="24"/>
        </w:rPr>
        <w:t>)</w:t>
      </w:r>
      <w:r>
        <w:rPr>
          <w:rFonts w:ascii="Times New Roman" w:hAnsi="Times New Roman"/>
          <w:sz w:val="24"/>
          <w:szCs w:val="24"/>
        </w:rPr>
        <w:t>范围内的工业类改扩建项目，可做生态影响分析。因此本项目建设生态影响评价等级为生态影响分析。</w:t>
      </w:r>
    </w:p>
    <w:p w:rsidR="00525419" w:rsidRDefault="00EE1CF7">
      <w:pPr>
        <w:pStyle w:val="3a"/>
        <w:spacing w:beforeLines="50" w:before="156" w:after="156" w:line="360" w:lineRule="auto"/>
        <w:jc w:val="left"/>
        <w:rPr>
          <w:rFonts w:ascii="Times New Roman" w:eastAsia="华文楷体" w:hAnsi="Times New Roman"/>
        </w:rPr>
      </w:pPr>
      <w:r>
        <w:rPr>
          <w:rFonts w:ascii="Times New Roman" w:eastAsia="华文楷体" w:hAnsi="Times New Roman"/>
        </w:rPr>
        <w:t>2.3.2</w:t>
      </w:r>
      <w:r>
        <w:rPr>
          <w:rFonts w:ascii="Times New Roman" w:eastAsia="华文楷体" w:hAnsi="Times New Roman"/>
        </w:rPr>
        <w:t>评价重点</w:t>
      </w:r>
    </w:p>
    <w:p w:rsidR="00525419" w:rsidRDefault="00EE1CF7">
      <w:pPr>
        <w:spacing w:line="360" w:lineRule="auto"/>
        <w:ind w:firstLineChars="200" w:firstLine="480"/>
        <w:rPr>
          <w:rFonts w:ascii="Times New Roman" w:hAnsi="Times New Roman"/>
          <w:kern w:val="0"/>
          <w:sz w:val="24"/>
        </w:rPr>
      </w:pPr>
      <w:r>
        <w:rPr>
          <w:rFonts w:ascii="Times New Roman" w:hAnsi="Times New Roman"/>
          <w:kern w:val="0"/>
          <w:sz w:val="24"/>
        </w:rPr>
        <w:t>根据本项目的工程特点和所在区域的环境特征，确定本次评价的重点为：</w:t>
      </w:r>
    </w:p>
    <w:p w:rsidR="00525419" w:rsidRDefault="00EE1CF7">
      <w:pPr>
        <w:spacing w:line="360" w:lineRule="auto"/>
        <w:ind w:firstLineChars="200" w:firstLine="480"/>
        <w:rPr>
          <w:rFonts w:ascii="Times New Roman" w:hAnsi="Times New Roman"/>
          <w:kern w:val="0"/>
          <w:sz w:val="24"/>
        </w:rPr>
      </w:pPr>
      <w:r>
        <w:rPr>
          <w:rFonts w:ascii="Times New Roman" w:hAnsi="Times New Roman"/>
          <w:kern w:val="0"/>
          <w:sz w:val="24"/>
        </w:rPr>
        <w:t>（</w:t>
      </w:r>
      <w:r>
        <w:rPr>
          <w:rFonts w:ascii="Times New Roman" w:hAnsi="Times New Roman"/>
          <w:kern w:val="0"/>
          <w:sz w:val="24"/>
        </w:rPr>
        <w:t>1</w:t>
      </w:r>
      <w:r>
        <w:rPr>
          <w:rFonts w:ascii="Times New Roman" w:hAnsi="Times New Roman"/>
          <w:kern w:val="0"/>
          <w:sz w:val="24"/>
        </w:rPr>
        <w:t>）分析本项目在生产中的污染物排放及影响特征、</w:t>
      </w:r>
      <w:r>
        <w:rPr>
          <w:rFonts w:ascii="Times New Roman" w:hAnsi="Times New Roman"/>
          <w:sz w:val="24"/>
          <w:szCs w:val="24"/>
        </w:rPr>
        <w:t>污染物源强核算。</w:t>
      </w:r>
    </w:p>
    <w:p w:rsidR="00525419" w:rsidRDefault="00EE1CF7">
      <w:pPr>
        <w:spacing w:line="360" w:lineRule="auto"/>
        <w:ind w:firstLineChars="200" w:firstLine="480"/>
        <w:rPr>
          <w:rFonts w:ascii="Times New Roman" w:hAnsi="Times New Roman"/>
          <w:sz w:val="24"/>
          <w:szCs w:val="24"/>
        </w:rPr>
      </w:pPr>
      <w:r>
        <w:rPr>
          <w:rFonts w:ascii="Times New Roman" w:hAnsi="Times New Roman"/>
          <w:kern w:val="0"/>
          <w:sz w:val="24"/>
        </w:rPr>
        <w:t>（</w:t>
      </w:r>
      <w:r>
        <w:rPr>
          <w:rFonts w:ascii="Times New Roman" w:hAnsi="Times New Roman"/>
          <w:kern w:val="0"/>
          <w:sz w:val="24"/>
        </w:rPr>
        <w:t>2</w:t>
      </w:r>
      <w:r>
        <w:rPr>
          <w:rFonts w:ascii="Times New Roman" w:hAnsi="Times New Roman"/>
          <w:kern w:val="0"/>
          <w:sz w:val="24"/>
        </w:rPr>
        <w:t>）</w:t>
      </w:r>
      <w:r>
        <w:rPr>
          <w:rFonts w:ascii="Times New Roman" w:hAnsi="Times New Roman"/>
          <w:sz w:val="24"/>
          <w:szCs w:val="24"/>
        </w:rPr>
        <w:t>针对环境保护措施、环境风险防范及应急处置措施，强化环保措施的技术可行性、稳定运行的有效性和经济合理性分析。</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lastRenderedPageBreak/>
        <w:t>（</w:t>
      </w:r>
      <w:r>
        <w:rPr>
          <w:rFonts w:ascii="Times New Roman" w:hAnsi="Times New Roman"/>
          <w:sz w:val="24"/>
          <w:szCs w:val="24"/>
        </w:rPr>
        <w:t>3</w:t>
      </w:r>
      <w:r>
        <w:rPr>
          <w:rFonts w:ascii="Times New Roman" w:hAnsi="Times New Roman"/>
          <w:sz w:val="24"/>
          <w:szCs w:val="24"/>
        </w:rPr>
        <w:t>）建设项目主要环境影响</w:t>
      </w:r>
      <w:r>
        <w:rPr>
          <w:rFonts w:ascii="Times New Roman" w:hAnsi="Times New Roman" w:hint="eastAsia"/>
          <w:sz w:val="24"/>
          <w:szCs w:val="24"/>
        </w:rPr>
        <w:t>：针对</w:t>
      </w:r>
      <w:r>
        <w:rPr>
          <w:rFonts w:ascii="Times New Roman" w:hAnsi="Times New Roman"/>
          <w:sz w:val="24"/>
          <w:szCs w:val="24"/>
        </w:rPr>
        <w:t>地下水环境</w:t>
      </w:r>
      <w:r>
        <w:rPr>
          <w:rFonts w:ascii="Times New Roman" w:hAnsi="Times New Roman" w:hint="eastAsia"/>
          <w:sz w:val="24"/>
          <w:szCs w:val="24"/>
        </w:rPr>
        <w:t>、土壤环境和</w:t>
      </w:r>
      <w:r>
        <w:rPr>
          <w:rFonts w:ascii="Times New Roman" w:hAnsi="Times New Roman"/>
          <w:sz w:val="24"/>
          <w:szCs w:val="24"/>
        </w:rPr>
        <w:t>环境风险进行重点分析和评价。</w:t>
      </w:r>
    </w:p>
    <w:p w:rsidR="00525419" w:rsidRDefault="00EE1CF7">
      <w:pPr>
        <w:spacing w:line="360" w:lineRule="auto"/>
        <w:ind w:firstLineChars="200" w:firstLine="480"/>
        <w:rPr>
          <w:rFonts w:ascii="Times New Roman" w:hAnsi="Times New Roman"/>
          <w:sz w:val="24"/>
          <w:szCs w:val="24"/>
        </w:rPr>
      </w:pPr>
      <w:r>
        <w:rPr>
          <w:rFonts w:ascii="Times New Roman" w:hAnsi="Times New Roman"/>
          <w:kern w:val="0"/>
          <w:sz w:val="24"/>
        </w:rPr>
        <w:t>（</w:t>
      </w:r>
      <w:r>
        <w:rPr>
          <w:rFonts w:ascii="Times New Roman" w:hAnsi="Times New Roman"/>
          <w:kern w:val="0"/>
          <w:sz w:val="24"/>
        </w:rPr>
        <w:t>4</w:t>
      </w:r>
      <w:r>
        <w:rPr>
          <w:rFonts w:ascii="Times New Roman" w:hAnsi="Times New Roman"/>
          <w:kern w:val="0"/>
          <w:sz w:val="24"/>
        </w:rPr>
        <w:t>）提出环境管理、</w:t>
      </w:r>
      <w:r>
        <w:rPr>
          <w:rFonts w:ascii="Times New Roman" w:hAnsi="Times New Roman"/>
          <w:sz w:val="24"/>
          <w:szCs w:val="24"/>
        </w:rPr>
        <w:t>环境监测方案、排污清单等要求，</w:t>
      </w:r>
      <w:r>
        <w:rPr>
          <w:rFonts w:ascii="Times New Roman" w:hAnsi="Times New Roman"/>
          <w:sz w:val="22"/>
          <w:szCs w:val="24"/>
        </w:rPr>
        <w:t>满足</w:t>
      </w:r>
      <w:r>
        <w:rPr>
          <w:rFonts w:ascii="Times New Roman" w:hAnsi="Times New Roman"/>
          <w:sz w:val="24"/>
          <w:szCs w:val="24"/>
        </w:rPr>
        <w:t>环境影响评价管理需求。</w:t>
      </w:r>
    </w:p>
    <w:p w:rsidR="00525419" w:rsidRDefault="00EE1CF7">
      <w:pPr>
        <w:pStyle w:val="2a"/>
        <w:spacing w:beforeLines="50" w:before="156" w:after="156"/>
        <w:ind w:left="578" w:hanging="578"/>
        <w:rPr>
          <w:rFonts w:ascii="Times New Roman" w:eastAsia="楷体_GB2312" w:hAnsi="Times New Roman"/>
          <w:sz w:val="36"/>
        </w:rPr>
      </w:pPr>
      <w:bookmarkStart w:id="26" w:name="_Toc354837485"/>
      <w:bookmarkStart w:id="27" w:name="_Toc330205276"/>
      <w:bookmarkStart w:id="28" w:name="_Toc335315126"/>
      <w:bookmarkStart w:id="29" w:name="_Toc388894018"/>
      <w:bookmarkStart w:id="30" w:name="_Toc399496822"/>
      <w:bookmarkStart w:id="31" w:name="_Toc3224"/>
      <w:r>
        <w:rPr>
          <w:rFonts w:ascii="Times New Roman" w:eastAsia="楷体_GB2312" w:hAnsi="Times New Roman"/>
          <w:sz w:val="36"/>
        </w:rPr>
        <w:t xml:space="preserve">2.4 </w:t>
      </w:r>
      <w:r>
        <w:rPr>
          <w:rFonts w:ascii="Times New Roman" w:eastAsia="楷体_GB2312" w:hAnsi="Times New Roman"/>
          <w:sz w:val="36"/>
        </w:rPr>
        <w:t>评价范围及</w:t>
      </w:r>
      <w:bookmarkEnd w:id="26"/>
      <w:bookmarkEnd w:id="27"/>
      <w:bookmarkEnd w:id="28"/>
      <w:bookmarkEnd w:id="29"/>
      <w:bookmarkEnd w:id="30"/>
      <w:r>
        <w:rPr>
          <w:rFonts w:ascii="Times New Roman" w:eastAsia="楷体_GB2312" w:hAnsi="Times New Roman"/>
          <w:sz w:val="36"/>
        </w:rPr>
        <w:t>环境保护目标</w:t>
      </w:r>
      <w:bookmarkEnd w:id="31"/>
    </w:p>
    <w:p w:rsidR="00525419" w:rsidRDefault="00EE1CF7">
      <w:pPr>
        <w:pStyle w:val="3a"/>
        <w:spacing w:beforeLines="50" w:before="156" w:after="156" w:line="360" w:lineRule="auto"/>
        <w:jc w:val="left"/>
        <w:rPr>
          <w:rFonts w:ascii="Times New Roman" w:eastAsia="华文楷体" w:hAnsi="Times New Roman"/>
        </w:rPr>
      </w:pPr>
      <w:r>
        <w:rPr>
          <w:rFonts w:ascii="Times New Roman" w:eastAsia="华文楷体" w:hAnsi="Times New Roman"/>
        </w:rPr>
        <w:t>2.4.1</w:t>
      </w:r>
      <w:r>
        <w:rPr>
          <w:rFonts w:ascii="Times New Roman" w:eastAsia="华文楷体" w:hAnsi="Times New Roman"/>
        </w:rPr>
        <w:t>评价范围</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2.4.1.1</w:t>
      </w:r>
      <w:r>
        <w:rPr>
          <w:rFonts w:ascii="Times New Roman" w:hAnsi="Times New Roman" w:cs="Times New Roman"/>
          <w:kern w:val="44"/>
          <w:sz w:val="24"/>
          <w:szCs w:val="24"/>
        </w:rPr>
        <w:t>大气环境</w:t>
      </w:r>
    </w:p>
    <w:p w:rsidR="00525419" w:rsidRDefault="00EE1CF7">
      <w:pPr>
        <w:spacing w:line="360" w:lineRule="auto"/>
        <w:ind w:firstLineChars="200" w:firstLine="480"/>
        <w:rPr>
          <w:rFonts w:ascii="Times New Roman" w:hAnsi="Times New Roman"/>
          <w:kern w:val="0"/>
          <w:sz w:val="24"/>
        </w:rPr>
      </w:pPr>
      <w:r>
        <w:rPr>
          <w:rFonts w:ascii="Times New Roman" w:hAnsi="Times New Roman"/>
          <w:kern w:val="0"/>
          <w:sz w:val="24"/>
        </w:rPr>
        <w:t>本次的大气环境影响评价工作等级确定为一级，</w:t>
      </w:r>
      <w:r>
        <w:rPr>
          <w:rFonts w:ascii="Times New Roman" w:hAnsi="Times New Roman"/>
          <w:kern w:val="0"/>
          <w:sz w:val="24"/>
          <w:lang w:val="zh-CN"/>
        </w:rPr>
        <w:t>环境空气评价范围拟定为：以厂址为中心，</w:t>
      </w:r>
      <w:r>
        <w:rPr>
          <w:rFonts w:ascii="Times New Roman" w:hAnsi="Times New Roman"/>
          <w:kern w:val="0"/>
          <w:sz w:val="24"/>
        </w:rPr>
        <w:t>自厂界外延</w:t>
      </w:r>
      <w:r>
        <w:rPr>
          <w:rFonts w:ascii="Times New Roman" w:hAnsi="Times New Roman"/>
          <w:kern w:val="0"/>
          <w:sz w:val="24"/>
        </w:rPr>
        <w:t>3750m</w:t>
      </w:r>
      <w:r>
        <w:rPr>
          <w:rFonts w:ascii="Times New Roman" w:hAnsi="Times New Roman"/>
          <w:kern w:val="0"/>
          <w:sz w:val="24"/>
        </w:rPr>
        <w:t>的矩形区域。评价范围见图</w:t>
      </w:r>
      <w:r>
        <w:rPr>
          <w:rFonts w:ascii="Times New Roman" w:hAnsi="Times New Roman"/>
          <w:kern w:val="0"/>
          <w:sz w:val="24"/>
        </w:rPr>
        <w:t>2.4-1</w:t>
      </w:r>
      <w:r>
        <w:rPr>
          <w:rFonts w:ascii="Times New Roman" w:hAnsi="Times New Roman"/>
          <w:kern w:val="0"/>
          <w:sz w:val="24"/>
        </w:rPr>
        <w:t>。</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2.4.1.2</w:t>
      </w:r>
      <w:r>
        <w:rPr>
          <w:rFonts w:ascii="Times New Roman" w:hAnsi="Times New Roman" w:cs="Times New Roman"/>
          <w:kern w:val="44"/>
          <w:sz w:val="24"/>
          <w:szCs w:val="24"/>
        </w:rPr>
        <w:t>地下水环境影响评价范围</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本项目为</w:t>
      </w:r>
      <w:r>
        <w:rPr>
          <w:rFonts w:ascii="Times New Roman" w:hAnsi="Times New Roman"/>
          <w:sz w:val="24"/>
        </w:rPr>
        <w:t>Ⅰ</w:t>
      </w:r>
      <w:r>
        <w:rPr>
          <w:rFonts w:ascii="Times New Roman" w:hAnsi="Times New Roman"/>
          <w:sz w:val="24"/>
        </w:rPr>
        <w:t>类建设项目，评价工作等级为二级，根据建设场地水文地质资料和《环境影响评价技术导则　地下水环境》（</w:t>
      </w:r>
      <w:r>
        <w:rPr>
          <w:rFonts w:ascii="Times New Roman" w:hAnsi="Times New Roman"/>
          <w:sz w:val="24"/>
        </w:rPr>
        <w:t>HJ610-2016</w:t>
      </w:r>
      <w:r>
        <w:rPr>
          <w:rFonts w:ascii="Times New Roman" w:hAnsi="Times New Roman"/>
          <w:sz w:val="24"/>
        </w:rPr>
        <w:t>）中</w:t>
      </w:r>
      <w:r>
        <w:rPr>
          <w:rFonts w:ascii="Times New Roman" w:hAnsi="Times New Roman"/>
          <w:sz w:val="24"/>
        </w:rPr>
        <w:t>“</w:t>
      </w:r>
      <w:r>
        <w:rPr>
          <w:rFonts w:ascii="Times New Roman" w:hAnsi="Times New Roman"/>
          <w:sz w:val="24"/>
        </w:rPr>
        <w:t>表</w:t>
      </w:r>
      <w:r>
        <w:rPr>
          <w:rFonts w:ascii="Times New Roman" w:hAnsi="Times New Roman"/>
          <w:sz w:val="24"/>
        </w:rPr>
        <w:t xml:space="preserve">3  </w:t>
      </w:r>
      <w:r>
        <w:rPr>
          <w:rFonts w:ascii="Times New Roman" w:hAnsi="Times New Roman"/>
          <w:sz w:val="24"/>
        </w:rPr>
        <w:t>地下水环境现状调查评价范围参考表</w:t>
      </w:r>
      <w:r>
        <w:rPr>
          <w:rFonts w:ascii="Times New Roman" w:hAnsi="Times New Roman"/>
          <w:sz w:val="24"/>
        </w:rPr>
        <w:t>”</w:t>
      </w:r>
      <w:r>
        <w:rPr>
          <w:rFonts w:ascii="Times New Roman" w:hAnsi="Times New Roman"/>
          <w:sz w:val="24"/>
        </w:rPr>
        <w:t>规定，确定本项目地下水评价范围为</w:t>
      </w:r>
      <w:r>
        <w:rPr>
          <w:rFonts w:ascii="Times New Roman" w:hAnsi="Times New Roman"/>
          <w:sz w:val="24"/>
          <w:lang w:val="zh-CN"/>
        </w:rPr>
        <w:t>上游</w:t>
      </w:r>
      <w:r>
        <w:rPr>
          <w:rFonts w:ascii="Times New Roman" w:hAnsi="Times New Roman"/>
          <w:sz w:val="24"/>
        </w:rPr>
        <w:t>方向</w:t>
      </w:r>
      <w:r>
        <w:rPr>
          <w:rFonts w:ascii="Times New Roman" w:hAnsi="Times New Roman"/>
          <w:sz w:val="24"/>
        </w:rPr>
        <w:t>1km</w:t>
      </w:r>
      <w:r>
        <w:rPr>
          <w:rFonts w:ascii="Times New Roman" w:hAnsi="Times New Roman"/>
          <w:sz w:val="24"/>
        </w:rPr>
        <w:t>、两侧各</w:t>
      </w:r>
      <w:r>
        <w:rPr>
          <w:rFonts w:ascii="Times New Roman" w:hAnsi="Times New Roman"/>
          <w:sz w:val="24"/>
        </w:rPr>
        <w:t>1km</w:t>
      </w:r>
      <w:r>
        <w:rPr>
          <w:rFonts w:ascii="Times New Roman" w:hAnsi="Times New Roman"/>
          <w:sz w:val="24"/>
        </w:rPr>
        <w:t>、下游</w:t>
      </w:r>
      <w:r>
        <w:rPr>
          <w:rFonts w:ascii="Times New Roman" w:hAnsi="Times New Roman"/>
          <w:sz w:val="24"/>
        </w:rPr>
        <w:t>3km</w:t>
      </w:r>
      <w:r>
        <w:rPr>
          <w:rFonts w:ascii="Times New Roman" w:hAnsi="Times New Roman"/>
          <w:sz w:val="24"/>
        </w:rPr>
        <w:t>，共计</w:t>
      </w:r>
      <w:r>
        <w:rPr>
          <w:rFonts w:ascii="Times New Roman" w:hAnsi="Times New Roman"/>
          <w:sz w:val="24"/>
        </w:rPr>
        <w:t>8km</w:t>
      </w:r>
      <w:r>
        <w:rPr>
          <w:rFonts w:ascii="Times New Roman" w:hAnsi="Times New Roman"/>
          <w:sz w:val="24"/>
          <w:vertAlign w:val="superscript"/>
        </w:rPr>
        <w:t>2</w:t>
      </w:r>
      <w:r>
        <w:rPr>
          <w:rFonts w:ascii="Times New Roman" w:hAnsi="Times New Roman"/>
          <w:sz w:val="24"/>
        </w:rPr>
        <w:t>范围。</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2.4.1.3</w:t>
      </w:r>
      <w:r>
        <w:rPr>
          <w:rFonts w:ascii="Times New Roman" w:hAnsi="Times New Roman" w:cs="Times New Roman"/>
          <w:kern w:val="44"/>
          <w:sz w:val="24"/>
          <w:szCs w:val="24"/>
        </w:rPr>
        <w:t>声环境评价范围</w:t>
      </w:r>
    </w:p>
    <w:p w:rsidR="00525419" w:rsidRDefault="00EE1CF7">
      <w:pPr>
        <w:autoSpaceDE w:val="0"/>
        <w:autoSpaceDN w:val="0"/>
        <w:adjustRightInd w:val="0"/>
        <w:spacing w:line="360" w:lineRule="auto"/>
        <w:ind w:firstLineChars="200" w:firstLine="480"/>
        <w:textAlignment w:val="bottom"/>
        <w:rPr>
          <w:rFonts w:ascii="Times New Roman" w:hAnsi="Times New Roman"/>
          <w:sz w:val="24"/>
        </w:rPr>
      </w:pPr>
      <w:r>
        <w:rPr>
          <w:rFonts w:ascii="Times New Roman" w:hAnsi="Times New Roman"/>
          <w:sz w:val="24"/>
        </w:rPr>
        <w:t>本项目建设场地</w:t>
      </w:r>
      <w:r>
        <w:rPr>
          <w:rFonts w:ascii="Times New Roman" w:hAnsi="Times New Roman"/>
          <w:sz w:val="24"/>
        </w:rPr>
        <w:t>200m</w:t>
      </w:r>
      <w:r>
        <w:rPr>
          <w:rFonts w:ascii="Times New Roman" w:hAnsi="Times New Roman"/>
          <w:sz w:val="24"/>
        </w:rPr>
        <w:t>范围内无声环境敏感点，因此只进行厂界达标性分析，其厂界噪声评价范围为厂界外</w:t>
      </w:r>
      <w:r>
        <w:rPr>
          <w:rFonts w:ascii="Times New Roman" w:hAnsi="Times New Roman"/>
          <w:sz w:val="24"/>
        </w:rPr>
        <w:t>1m</w:t>
      </w:r>
      <w:r>
        <w:rPr>
          <w:rFonts w:ascii="Times New Roman" w:hAnsi="Times New Roman"/>
          <w:sz w:val="24"/>
        </w:rPr>
        <w:t>处。</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2.4.1.4</w:t>
      </w:r>
      <w:r>
        <w:rPr>
          <w:rFonts w:ascii="Times New Roman" w:hAnsi="Times New Roman" w:cs="Times New Roman"/>
          <w:kern w:val="44"/>
          <w:sz w:val="24"/>
          <w:szCs w:val="24"/>
        </w:rPr>
        <w:t>土壤环境评价范围</w:t>
      </w:r>
    </w:p>
    <w:p w:rsidR="00525419" w:rsidRDefault="00EE1CF7">
      <w:pPr>
        <w:pStyle w:val="B1"/>
        <w:ind w:firstLine="480"/>
        <w:rPr>
          <w:rFonts w:cs="Times New Roman"/>
        </w:rPr>
      </w:pPr>
      <w:r>
        <w:rPr>
          <w:rFonts w:cs="Times New Roman"/>
        </w:rPr>
        <w:t>项目占地范围内及占地范围外</w:t>
      </w:r>
      <w:r>
        <w:rPr>
          <w:rFonts w:cs="Times New Roman"/>
        </w:rPr>
        <w:t>0.2km</w:t>
      </w:r>
      <w:r>
        <w:rPr>
          <w:rFonts w:cs="Times New Roman"/>
        </w:rPr>
        <w:t>范围内。</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2.4.1.5</w:t>
      </w:r>
      <w:r>
        <w:rPr>
          <w:rFonts w:ascii="Times New Roman" w:hAnsi="Times New Roman" w:cs="Times New Roman"/>
          <w:kern w:val="44"/>
          <w:sz w:val="24"/>
          <w:szCs w:val="24"/>
        </w:rPr>
        <w:t>环境风险评价范围</w:t>
      </w:r>
    </w:p>
    <w:p w:rsidR="00525419" w:rsidRDefault="00EE1CF7">
      <w:pPr>
        <w:autoSpaceDE w:val="0"/>
        <w:autoSpaceDN w:val="0"/>
        <w:adjustRightInd w:val="0"/>
        <w:spacing w:line="360" w:lineRule="auto"/>
        <w:ind w:firstLineChars="200" w:firstLine="480"/>
        <w:textAlignment w:val="bottom"/>
        <w:rPr>
          <w:rFonts w:ascii="Times New Roman" w:hAnsi="Times New Roman"/>
          <w:kern w:val="0"/>
          <w:sz w:val="24"/>
          <w:szCs w:val="24"/>
        </w:rPr>
      </w:pPr>
      <w:r>
        <w:rPr>
          <w:rFonts w:ascii="Times New Roman" w:hAnsi="Times New Roman"/>
          <w:kern w:val="0"/>
          <w:sz w:val="24"/>
          <w:szCs w:val="24"/>
          <w:lang w:val="zh-CN"/>
        </w:rPr>
        <w:t>距建设项目边界</w:t>
      </w:r>
      <w:r>
        <w:rPr>
          <w:rFonts w:ascii="Times New Roman" w:hAnsi="Times New Roman"/>
          <w:kern w:val="0"/>
          <w:sz w:val="24"/>
          <w:szCs w:val="24"/>
          <w:lang w:val="zh-CN"/>
        </w:rPr>
        <w:t>5km</w:t>
      </w:r>
      <w:r>
        <w:rPr>
          <w:rFonts w:ascii="Times New Roman" w:hAnsi="Times New Roman"/>
          <w:kern w:val="0"/>
          <w:sz w:val="24"/>
          <w:szCs w:val="24"/>
          <w:lang w:val="zh-CN"/>
        </w:rPr>
        <w:t>范围内的矩形区域。</w:t>
      </w:r>
      <w:r>
        <w:rPr>
          <w:rFonts w:ascii="Times New Roman" w:hAnsi="Times New Roman"/>
          <w:kern w:val="0"/>
          <w:sz w:val="24"/>
          <w:szCs w:val="24"/>
        </w:rPr>
        <w:t>环境风险评价范围见图</w:t>
      </w:r>
      <w:r>
        <w:rPr>
          <w:rFonts w:ascii="Times New Roman" w:hAnsi="Times New Roman"/>
          <w:kern w:val="0"/>
          <w:sz w:val="24"/>
          <w:szCs w:val="24"/>
        </w:rPr>
        <w:t>2.4-1</w:t>
      </w:r>
      <w:r>
        <w:rPr>
          <w:rFonts w:ascii="Times New Roman" w:hAnsi="Times New Roman"/>
          <w:kern w:val="0"/>
          <w:sz w:val="24"/>
          <w:szCs w:val="24"/>
        </w:rPr>
        <w:t>。</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2.4.1.6</w:t>
      </w:r>
      <w:r>
        <w:rPr>
          <w:rFonts w:ascii="Times New Roman" w:hAnsi="Times New Roman" w:cs="Times New Roman"/>
          <w:kern w:val="44"/>
          <w:sz w:val="24"/>
          <w:szCs w:val="24"/>
        </w:rPr>
        <w:t>生态影响评价范围</w:t>
      </w:r>
    </w:p>
    <w:p w:rsidR="00525419" w:rsidRDefault="00EE1CF7">
      <w:pPr>
        <w:autoSpaceDE w:val="0"/>
        <w:autoSpaceDN w:val="0"/>
        <w:adjustRightInd w:val="0"/>
        <w:spacing w:line="360" w:lineRule="auto"/>
        <w:ind w:firstLineChars="200" w:firstLine="480"/>
        <w:textAlignment w:val="bottom"/>
        <w:rPr>
          <w:rFonts w:ascii="Times New Roman" w:hAnsi="Times New Roman"/>
          <w:sz w:val="24"/>
        </w:rPr>
      </w:pPr>
      <w:r>
        <w:rPr>
          <w:rFonts w:ascii="Times New Roman" w:hAnsi="Times New Roman"/>
          <w:sz w:val="24"/>
        </w:rPr>
        <w:t>本次评价以厂区边界外延</w:t>
      </w:r>
      <w:r>
        <w:rPr>
          <w:rFonts w:ascii="Times New Roman" w:hAnsi="Times New Roman"/>
          <w:sz w:val="24"/>
        </w:rPr>
        <w:t>0.5km</w:t>
      </w:r>
      <w:r>
        <w:rPr>
          <w:rFonts w:ascii="Times New Roman" w:hAnsi="Times New Roman"/>
          <w:sz w:val="24"/>
        </w:rPr>
        <w:t>范围周围区域作为项目生态环境现状评价范围。</w:t>
      </w:r>
    </w:p>
    <w:p w:rsidR="00525419" w:rsidRDefault="00EE1CF7">
      <w:pPr>
        <w:autoSpaceDE w:val="0"/>
        <w:autoSpaceDN w:val="0"/>
        <w:adjustRightInd w:val="0"/>
        <w:spacing w:line="360" w:lineRule="auto"/>
        <w:ind w:firstLineChars="200" w:firstLine="480"/>
        <w:textAlignment w:val="bottom"/>
        <w:rPr>
          <w:rFonts w:ascii="Times New Roman" w:hAnsi="Times New Roman"/>
          <w:sz w:val="24"/>
        </w:rPr>
      </w:pPr>
      <w:r>
        <w:rPr>
          <w:rFonts w:ascii="Times New Roman" w:hAnsi="Times New Roman"/>
          <w:sz w:val="24"/>
        </w:rPr>
        <w:t>根据本项目重点分析内容，本项目各环境要素影响评价工作等级及评价范围</w:t>
      </w:r>
      <w:r>
        <w:rPr>
          <w:rFonts w:ascii="Times New Roman" w:hAnsi="Times New Roman"/>
          <w:sz w:val="24"/>
        </w:rPr>
        <w:lastRenderedPageBreak/>
        <w:t>汇总见表</w:t>
      </w:r>
      <w:r>
        <w:rPr>
          <w:rFonts w:ascii="Times New Roman" w:hAnsi="Times New Roman"/>
          <w:sz w:val="24"/>
        </w:rPr>
        <w:t>2.4-1</w:t>
      </w:r>
      <w:r>
        <w:rPr>
          <w:rFonts w:ascii="Times New Roman" w:hAnsi="Times New Roman"/>
          <w:sz w:val="24"/>
        </w:rPr>
        <w:t>。</w:t>
      </w:r>
    </w:p>
    <w:p w:rsidR="00525419" w:rsidRDefault="00EE1CF7">
      <w:pPr>
        <w:adjustRightInd w:val="0"/>
        <w:snapToGrid w:val="0"/>
        <w:spacing w:line="240" w:lineRule="atLeast"/>
        <w:ind w:firstLineChars="723" w:firstLine="1518"/>
        <w:rPr>
          <w:rFonts w:ascii="Times New Roman" w:eastAsia="黑体" w:hAnsi="Times New Roman"/>
          <w:kern w:val="0"/>
          <w:szCs w:val="21"/>
        </w:rPr>
      </w:pPr>
      <w:r>
        <w:rPr>
          <w:rFonts w:ascii="Times New Roman" w:eastAsia="黑体" w:hAnsi="Times New Roman"/>
          <w:kern w:val="0"/>
          <w:szCs w:val="21"/>
        </w:rPr>
        <w:t>表</w:t>
      </w:r>
      <w:r>
        <w:rPr>
          <w:rFonts w:ascii="Times New Roman" w:eastAsia="黑体" w:hAnsi="Times New Roman"/>
          <w:kern w:val="0"/>
          <w:szCs w:val="21"/>
        </w:rPr>
        <w:t xml:space="preserve">2.4-1        </w:t>
      </w:r>
      <w:r>
        <w:rPr>
          <w:rFonts w:ascii="Times New Roman" w:eastAsia="黑体" w:hAnsi="Times New Roman"/>
          <w:kern w:val="0"/>
          <w:szCs w:val="21"/>
        </w:rPr>
        <w:t>环境影响评价工作等级及评价范围汇总表</w:t>
      </w:r>
    </w:p>
    <w:tbl>
      <w:tblPr>
        <w:tblW w:w="8490"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20"/>
        <w:gridCol w:w="1322"/>
        <w:gridCol w:w="1845"/>
        <w:gridCol w:w="4603"/>
      </w:tblGrid>
      <w:tr w:rsidR="00525419">
        <w:trPr>
          <w:trHeight w:val="271"/>
        </w:trPr>
        <w:tc>
          <w:tcPr>
            <w:tcW w:w="720"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lang w:val="zh-CN"/>
              </w:rPr>
            </w:pPr>
            <w:r>
              <w:rPr>
                <w:rFonts w:ascii="Times New Roman" w:hAnsi="Times New Roman"/>
                <w:szCs w:val="21"/>
                <w:lang w:val="zh-CN"/>
              </w:rPr>
              <w:t>序号</w:t>
            </w:r>
          </w:p>
        </w:tc>
        <w:tc>
          <w:tcPr>
            <w:tcW w:w="1322"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lang w:val="zh-CN"/>
              </w:rPr>
            </w:pPr>
            <w:r>
              <w:rPr>
                <w:rFonts w:ascii="Times New Roman" w:hAnsi="Times New Roman"/>
                <w:szCs w:val="21"/>
                <w:lang w:val="zh-CN"/>
              </w:rPr>
              <w:t>环境要素</w:t>
            </w:r>
          </w:p>
        </w:tc>
        <w:tc>
          <w:tcPr>
            <w:tcW w:w="1845"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lang w:val="zh-CN"/>
              </w:rPr>
            </w:pPr>
            <w:r>
              <w:rPr>
                <w:rFonts w:ascii="Times New Roman" w:hAnsi="Times New Roman"/>
                <w:szCs w:val="21"/>
                <w:lang w:val="zh-CN"/>
              </w:rPr>
              <w:t>评价工作等级</w:t>
            </w:r>
          </w:p>
        </w:tc>
        <w:tc>
          <w:tcPr>
            <w:tcW w:w="4603"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lang w:val="zh-CN"/>
              </w:rPr>
            </w:pPr>
            <w:r>
              <w:rPr>
                <w:rFonts w:ascii="Times New Roman" w:hAnsi="Times New Roman"/>
                <w:szCs w:val="21"/>
                <w:lang w:val="zh-CN"/>
              </w:rPr>
              <w:t>评价范围</w:t>
            </w:r>
          </w:p>
        </w:tc>
      </w:tr>
      <w:tr w:rsidR="00525419">
        <w:trPr>
          <w:trHeight w:val="295"/>
        </w:trPr>
        <w:tc>
          <w:tcPr>
            <w:tcW w:w="720"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rPr>
            </w:pPr>
            <w:r>
              <w:rPr>
                <w:rFonts w:ascii="Times New Roman" w:hAnsi="Times New Roman"/>
                <w:szCs w:val="21"/>
              </w:rPr>
              <w:t>1</w:t>
            </w:r>
          </w:p>
        </w:tc>
        <w:tc>
          <w:tcPr>
            <w:tcW w:w="1322"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rPr>
            </w:pPr>
            <w:r>
              <w:rPr>
                <w:rFonts w:ascii="Times New Roman" w:hAnsi="Times New Roman"/>
                <w:szCs w:val="21"/>
                <w:lang w:val="zh-CN"/>
              </w:rPr>
              <w:t>空气环境</w:t>
            </w:r>
          </w:p>
        </w:tc>
        <w:tc>
          <w:tcPr>
            <w:tcW w:w="1845"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lang w:val="zh-CN"/>
              </w:rPr>
            </w:pPr>
            <w:r>
              <w:rPr>
                <w:rFonts w:ascii="Times New Roman" w:hAnsi="Times New Roman"/>
                <w:szCs w:val="21"/>
                <w:lang w:val="zh-CN"/>
              </w:rPr>
              <w:t>一级</w:t>
            </w:r>
          </w:p>
        </w:tc>
        <w:tc>
          <w:tcPr>
            <w:tcW w:w="4603"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lang w:val="zh-CN"/>
              </w:rPr>
            </w:pPr>
            <w:r>
              <w:rPr>
                <w:rFonts w:ascii="Times New Roman" w:hAnsi="Times New Roman"/>
                <w:szCs w:val="21"/>
                <w:lang w:val="zh-CN"/>
              </w:rPr>
              <w:t>以厂区为中心，自厂界外延</w:t>
            </w:r>
            <w:r>
              <w:rPr>
                <w:rFonts w:ascii="Times New Roman" w:hAnsi="Times New Roman"/>
                <w:szCs w:val="21"/>
              </w:rPr>
              <w:t>3750</w:t>
            </w:r>
            <w:r>
              <w:rPr>
                <w:rFonts w:ascii="Times New Roman" w:hAnsi="Times New Roman"/>
                <w:szCs w:val="21"/>
                <w:lang w:val="zh-CN"/>
              </w:rPr>
              <w:t>m</w:t>
            </w:r>
            <w:r>
              <w:rPr>
                <w:rFonts w:ascii="Times New Roman" w:hAnsi="Times New Roman"/>
                <w:szCs w:val="21"/>
                <w:lang w:val="zh-CN"/>
              </w:rPr>
              <w:t>的矩形区域</w:t>
            </w:r>
          </w:p>
        </w:tc>
      </w:tr>
      <w:tr w:rsidR="00525419">
        <w:trPr>
          <w:trHeight w:val="295"/>
        </w:trPr>
        <w:tc>
          <w:tcPr>
            <w:tcW w:w="720"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rPr>
            </w:pPr>
            <w:r>
              <w:rPr>
                <w:rFonts w:ascii="Times New Roman" w:hAnsi="Times New Roman"/>
                <w:szCs w:val="21"/>
              </w:rPr>
              <w:t>2</w:t>
            </w:r>
          </w:p>
        </w:tc>
        <w:tc>
          <w:tcPr>
            <w:tcW w:w="1322"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lang w:val="zh-CN"/>
              </w:rPr>
            </w:pPr>
            <w:r>
              <w:rPr>
                <w:rFonts w:ascii="Times New Roman" w:hAnsi="Times New Roman"/>
                <w:szCs w:val="21"/>
                <w:lang w:val="zh-CN"/>
              </w:rPr>
              <w:t>地表水环境</w:t>
            </w:r>
          </w:p>
        </w:tc>
        <w:tc>
          <w:tcPr>
            <w:tcW w:w="1845"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lang w:val="zh-CN"/>
              </w:rPr>
            </w:pPr>
            <w:r>
              <w:rPr>
                <w:rFonts w:ascii="Times New Roman" w:hAnsi="Times New Roman"/>
                <w:szCs w:val="21"/>
                <w:lang w:val="zh-CN"/>
              </w:rPr>
              <w:t>三级</w:t>
            </w:r>
            <w:r>
              <w:rPr>
                <w:rFonts w:ascii="Times New Roman" w:hAnsi="Times New Roman"/>
                <w:szCs w:val="21"/>
              </w:rPr>
              <w:t>B</w:t>
            </w:r>
          </w:p>
        </w:tc>
        <w:tc>
          <w:tcPr>
            <w:tcW w:w="4603"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lang w:val="zh-CN"/>
              </w:rPr>
            </w:pPr>
            <w:r>
              <w:rPr>
                <w:rFonts w:ascii="Times New Roman" w:hAnsi="Times New Roman"/>
                <w:kern w:val="0"/>
                <w:szCs w:val="21"/>
              </w:rPr>
              <w:t>/</w:t>
            </w:r>
          </w:p>
        </w:tc>
      </w:tr>
      <w:tr w:rsidR="00525419">
        <w:trPr>
          <w:trHeight w:val="295"/>
        </w:trPr>
        <w:tc>
          <w:tcPr>
            <w:tcW w:w="720"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rPr>
            </w:pPr>
            <w:r>
              <w:rPr>
                <w:rFonts w:ascii="Times New Roman" w:hAnsi="Times New Roman"/>
                <w:szCs w:val="21"/>
              </w:rPr>
              <w:t>3</w:t>
            </w:r>
          </w:p>
        </w:tc>
        <w:tc>
          <w:tcPr>
            <w:tcW w:w="1322"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lang w:val="zh-CN"/>
              </w:rPr>
            </w:pPr>
            <w:r>
              <w:rPr>
                <w:rFonts w:ascii="Times New Roman" w:hAnsi="Times New Roman"/>
                <w:szCs w:val="21"/>
                <w:lang w:val="zh-CN"/>
              </w:rPr>
              <w:t>地下水环境</w:t>
            </w:r>
          </w:p>
        </w:tc>
        <w:tc>
          <w:tcPr>
            <w:tcW w:w="1845"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lang w:val="zh-CN"/>
              </w:rPr>
            </w:pPr>
            <w:r>
              <w:rPr>
                <w:rFonts w:ascii="Times New Roman" w:hAnsi="Times New Roman"/>
                <w:szCs w:val="21"/>
                <w:lang w:val="zh-CN"/>
              </w:rPr>
              <w:t>二级</w:t>
            </w:r>
          </w:p>
        </w:tc>
        <w:tc>
          <w:tcPr>
            <w:tcW w:w="4603"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lang w:val="zh-CN"/>
              </w:rPr>
            </w:pPr>
            <w:r>
              <w:rPr>
                <w:rFonts w:ascii="Times New Roman" w:hAnsi="Times New Roman"/>
                <w:kern w:val="0"/>
                <w:szCs w:val="21"/>
              </w:rPr>
              <w:t>项目占地范围区域外</w:t>
            </w:r>
            <w:r>
              <w:rPr>
                <w:rFonts w:ascii="Times New Roman" w:hAnsi="Times New Roman"/>
                <w:kern w:val="0"/>
                <w:szCs w:val="21"/>
              </w:rPr>
              <w:t>8km</w:t>
            </w:r>
            <w:r>
              <w:rPr>
                <w:rFonts w:ascii="Times New Roman" w:hAnsi="Times New Roman"/>
                <w:kern w:val="0"/>
                <w:szCs w:val="21"/>
                <w:vertAlign w:val="superscript"/>
              </w:rPr>
              <w:t>2</w:t>
            </w:r>
          </w:p>
        </w:tc>
      </w:tr>
      <w:tr w:rsidR="00525419">
        <w:trPr>
          <w:trHeight w:val="270"/>
        </w:trPr>
        <w:tc>
          <w:tcPr>
            <w:tcW w:w="720"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rPr>
            </w:pPr>
            <w:r>
              <w:rPr>
                <w:rFonts w:ascii="Times New Roman" w:hAnsi="Times New Roman"/>
                <w:szCs w:val="21"/>
              </w:rPr>
              <w:t>4</w:t>
            </w:r>
          </w:p>
        </w:tc>
        <w:tc>
          <w:tcPr>
            <w:tcW w:w="1322"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rPr>
            </w:pPr>
            <w:r>
              <w:rPr>
                <w:rFonts w:ascii="Times New Roman" w:hAnsi="Times New Roman"/>
                <w:szCs w:val="21"/>
                <w:lang w:val="zh-CN"/>
              </w:rPr>
              <w:t>声环境</w:t>
            </w:r>
          </w:p>
        </w:tc>
        <w:tc>
          <w:tcPr>
            <w:tcW w:w="1845"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lang w:val="zh-CN"/>
              </w:rPr>
            </w:pPr>
            <w:r>
              <w:rPr>
                <w:rFonts w:ascii="Times New Roman" w:hAnsi="Times New Roman"/>
                <w:szCs w:val="21"/>
                <w:lang w:val="zh-CN"/>
              </w:rPr>
              <w:t>三级</w:t>
            </w:r>
          </w:p>
        </w:tc>
        <w:tc>
          <w:tcPr>
            <w:tcW w:w="4603"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lang w:val="zh-CN"/>
              </w:rPr>
            </w:pPr>
            <w:r>
              <w:rPr>
                <w:rFonts w:ascii="Times New Roman" w:hAnsi="Times New Roman"/>
                <w:kern w:val="0"/>
                <w:szCs w:val="21"/>
              </w:rPr>
              <w:t>厂</w:t>
            </w:r>
            <w:r>
              <w:rPr>
                <w:rFonts w:ascii="Times New Roman" w:hAnsi="Times New Roman"/>
                <w:szCs w:val="21"/>
              </w:rPr>
              <w:t>界线</w:t>
            </w:r>
            <w:r>
              <w:rPr>
                <w:rFonts w:ascii="Times New Roman" w:hAnsi="Times New Roman"/>
                <w:szCs w:val="21"/>
                <w:lang w:val="zh-CN"/>
              </w:rPr>
              <w:t>外</w:t>
            </w:r>
            <w:r>
              <w:rPr>
                <w:rFonts w:ascii="Times New Roman" w:hAnsi="Times New Roman"/>
                <w:szCs w:val="21"/>
                <w:lang w:val="zh-CN"/>
              </w:rPr>
              <w:t>1m</w:t>
            </w:r>
          </w:p>
        </w:tc>
      </w:tr>
      <w:tr w:rsidR="00525419">
        <w:trPr>
          <w:trHeight w:val="270"/>
        </w:trPr>
        <w:tc>
          <w:tcPr>
            <w:tcW w:w="720"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rPr>
            </w:pPr>
            <w:r>
              <w:rPr>
                <w:rFonts w:ascii="Times New Roman" w:hAnsi="Times New Roman"/>
                <w:szCs w:val="21"/>
              </w:rPr>
              <w:t>5</w:t>
            </w:r>
          </w:p>
        </w:tc>
        <w:tc>
          <w:tcPr>
            <w:tcW w:w="1322"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lang w:val="zh-CN"/>
              </w:rPr>
            </w:pPr>
            <w:r>
              <w:rPr>
                <w:rFonts w:ascii="Times New Roman" w:hAnsi="Times New Roman"/>
                <w:szCs w:val="21"/>
                <w:lang w:val="zh-CN"/>
              </w:rPr>
              <w:t>土壤环境</w:t>
            </w:r>
          </w:p>
        </w:tc>
        <w:tc>
          <w:tcPr>
            <w:tcW w:w="1845"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lang w:val="zh-CN"/>
              </w:rPr>
            </w:pPr>
            <w:r>
              <w:rPr>
                <w:rFonts w:ascii="Times New Roman" w:hAnsi="Times New Roman"/>
                <w:szCs w:val="21"/>
                <w:lang w:val="zh-CN"/>
              </w:rPr>
              <w:t>二级</w:t>
            </w:r>
          </w:p>
        </w:tc>
        <w:tc>
          <w:tcPr>
            <w:tcW w:w="4603"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kern w:val="0"/>
                <w:szCs w:val="21"/>
              </w:rPr>
            </w:pPr>
            <w:r>
              <w:rPr>
                <w:rFonts w:ascii="Times New Roman" w:hAnsi="Times New Roman"/>
              </w:rPr>
              <w:t>占地范围内及占地范围外</w:t>
            </w:r>
            <w:r>
              <w:rPr>
                <w:rFonts w:ascii="Times New Roman" w:hAnsi="Times New Roman"/>
              </w:rPr>
              <w:t>0.2km</w:t>
            </w:r>
            <w:r>
              <w:rPr>
                <w:rFonts w:ascii="Times New Roman" w:hAnsi="Times New Roman"/>
              </w:rPr>
              <w:t>范围内</w:t>
            </w:r>
          </w:p>
        </w:tc>
      </w:tr>
      <w:tr w:rsidR="00525419">
        <w:trPr>
          <w:trHeight w:val="303"/>
        </w:trPr>
        <w:tc>
          <w:tcPr>
            <w:tcW w:w="720" w:type="dxa"/>
            <w:vMerge w:val="restart"/>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rPr>
            </w:pPr>
            <w:r>
              <w:rPr>
                <w:rFonts w:ascii="Times New Roman" w:hAnsi="Times New Roman"/>
                <w:szCs w:val="21"/>
              </w:rPr>
              <w:t>6</w:t>
            </w:r>
          </w:p>
        </w:tc>
        <w:tc>
          <w:tcPr>
            <w:tcW w:w="1322" w:type="dxa"/>
            <w:vMerge w:val="restart"/>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lang w:val="zh-CN"/>
              </w:rPr>
            </w:pPr>
            <w:r>
              <w:rPr>
                <w:rFonts w:ascii="Times New Roman" w:hAnsi="Times New Roman"/>
                <w:szCs w:val="21"/>
                <w:lang w:val="zh-CN"/>
              </w:rPr>
              <w:t>环境风险</w:t>
            </w:r>
          </w:p>
        </w:tc>
        <w:tc>
          <w:tcPr>
            <w:tcW w:w="1845"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rPr>
            </w:pPr>
            <w:r>
              <w:rPr>
                <w:rFonts w:ascii="Times New Roman" w:hAnsi="Times New Roman"/>
                <w:szCs w:val="21"/>
                <w:lang w:val="zh-CN"/>
              </w:rPr>
              <w:t>大气环境：一级</w:t>
            </w:r>
          </w:p>
        </w:tc>
        <w:tc>
          <w:tcPr>
            <w:tcW w:w="4603"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lang w:val="zh-CN"/>
              </w:rPr>
            </w:pPr>
            <w:r>
              <w:rPr>
                <w:rFonts w:ascii="Times New Roman" w:hAnsi="Times New Roman"/>
                <w:szCs w:val="21"/>
                <w:lang w:val="zh-CN"/>
              </w:rPr>
              <w:t>距项目边界</w:t>
            </w:r>
            <w:r>
              <w:rPr>
                <w:rFonts w:ascii="Times New Roman" w:hAnsi="Times New Roman"/>
                <w:szCs w:val="21"/>
                <w:lang w:val="zh-CN"/>
              </w:rPr>
              <w:t>5km</w:t>
            </w:r>
            <w:r>
              <w:rPr>
                <w:rFonts w:ascii="Times New Roman" w:hAnsi="Times New Roman"/>
                <w:szCs w:val="21"/>
                <w:lang w:val="zh-CN"/>
              </w:rPr>
              <w:t>范围内的矩形区域</w:t>
            </w:r>
          </w:p>
        </w:tc>
      </w:tr>
      <w:tr w:rsidR="00525419">
        <w:trPr>
          <w:trHeight w:val="303"/>
        </w:trPr>
        <w:tc>
          <w:tcPr>
            <w:tcW w:w="720" w:type="dxa"/>
            <w:vMerge/>
            <w:tcBorders>
              <w:tl2br w:val="nil"/>
              <w:tr2bl w:val="nil"/>
            </w:tcBorders>
            <w:vAlign w:val="center"/>
          </w:tcPr>
          <w:p w:rsidR="00525419" w:rsidRDefault="00525419">
            <w:pPr>
              <w:autoSpaceDE w:val="0"/>
              <w:autoSpaceDN w:val="0"/>
              <w:adjustRightInd w:val="0"/>
              <w:spacing w:line="240" w:lineRule="atLeast"/>
              <w:rPr>
                <w:rFonts w:ascii="Times New Roman" w:hAnsi="Times New Roman"/>
                <w:szCs w:val="21"/>
              </w:rPr>
            </w:pPr>
          </w:p>
        </w:tc>
        <w:tc>
          <w:tcPr>
            <w:tcW w:w="1322" w:type="dxa"/>
            <w:vMerge/>
            <w:tcBorders>
              <w:tl2br w:val="nil"/>
              <w:tr2bl w:val="nil"/>
            </w:tcBorders>
            <w:vAlign w:val="center"/>
          </w:tcPr>
          <w:p w:rsidR="00525419" w:rsidRDefault="00525419">
            <w:pPr>
              <w:autoSpaceDE w:val="0"/>
              <w:autoSpaceDN w:val="0"/>
              <w:adjustRightInd w:val="0"/>
              <w:spacing w:line="240" w:lineRule="atLeast"/>
              <w:rPr>
                <w:rFonts w:ascii="Times New Roman" w:hAnsi="Times New Roman"/>
                <w:szCs w:val="21"/>
                <w:lang w:val="zh-CN"/>
              </w:rPr>
            </w:pPr>
          </w:p>
        </w:tc>
        <w:tc>
          <w:tcPr>
            <w:tcW w:w="1845"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lang w:val="zh-CN"/>
              </w:rPr>
            </w:pPr>
            <w:r>
              <w:rPr>
                <w:rFonts w:ascii="Times New Roman" w:hAnsi="Times New Roman"/>
                <w:szCs w:val="21"/>
                <w:lang w:val="zh-CN"/>
              </w:rPr>
              <w:t>地下水环境：一级</w:t>
            </w:r>
          </w:p>
        </w:tc>
        <w:tc>
          <w:tcPr>
            <w:tcW w:w="4603"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lang w:val="zh-CN"/>
              </w:rPr>
            </w:pPr>
            <w:r>
              <w:rPr>
                <w:rFonts w:ascii="Times New Roman" w:hAnsi="Times New Roman"/>
                <w:szCs w:val="21"/>
              </w:rPr>
              <w:t>地下水评价范围为</w:t>
            </w:r>
            <w:r>
              <w:rPr>
                <w:rFonts w:ascii="Times New Roman" w:hAnsi="Times New Roman"/>
                <w:szCs w:val="21"/>
                <w:lang w:val="zh-CN"/>
              </w:rPr>
              <w:t>上游</w:t>
            </w:r>
            <w:r>
              <w:rPr>
                <w:rFonts w:ascii="Times New Roman" w:hAnsi="Times New Roman"/>
                <w:szCs w:val="21"/>
              </w:rPr>
              <w:t>方向</w:t>
            </w:r>
            <w:r>
              <w:rPr>
                <w:rFonts w:ascii="Times New Roman" w:hAnsi="Times New Roman"/>
                <w:szCs w:val="21"/>
              </w:rPr>
              <w:t>1.0km</w:t>
            </w:r>
            <w:r>
              <w:rPr>
                <w:rFonts w:ascii="Times New Roman" w:hAnsi="Times New Roman"/>
                <w:szCs w:val="21"/>
              </w:rPr>
              <w:t>、两侧各</w:t>
            </w:r>
            <w:r>
              <w:rPr>
                <w:rFonts w:ascii="Times New Roman" w:hAnsi="Times New Roman"/>
                <w:szCs w:val="21"/>
              </w:rPr>
              <w:t>2km</w:t>
            </w:r>
            <w:r>
              <w:rPr>
                <w:rFonts w:ascii="Times New Roman" w:hAnsi="Times New Roman"/>
                <w:szCs w:val="21"/>
              </w:rPr>
              <w:t>、下游</w:t>
            </w:r>
            <w:r>
              <w:rPr>
                <w:rFonts w:ascii="Times New Roman" w:hAnsi="Times New Roman"/>
                <w:szCs w:val="21"/>
              </w:rPr>
              <w:t>4km</w:t>
            </w:r>
            <w:r>
              <w:rPr>
                <w:rFonts w:ascii="Times New Roman" w:hAnsi="Times New Roman"/>
                <w:szCs w:val="21"/>
              </w:rPr>
              <w:t>，共计</w:t>
            </w:r>
            <w:r>
              <w:rPr>
                <w:rFonts w:ascii="Times New Roman" w:hAnsi="Times New Roman"/>
                <w:szCs w:val="21"/>
              </w:rPr>
              <w:t>20km</w:t>
            </w:r>
            <w:r>
              <w:rPr>
                <w:rFonts w:ascii="Times New Roman" w:hAnsi="Times New Roman"/>
                <w:szCs w:val="21"/>
                <w:vertAlign w:val="superscript"/>
              </w:rPr>
              <w:t>2</w:t>
            </w:r>
            <w:r>
              <w:rPr>
                <w:rFonts w:ascii="Times New Roman" w:hAnsi="Times New Roman"/>
                <w:szCs w:val="21"/>
              </w:rPr>
              <w:t>范围</w:t>
            </w:r>
          </w:p>
        </w:tc>
      </w:tr>
      <w:tr w:rsidR="00525419">
        <w:trPr>
          <w:trHeight w:val="237"/>
        </w:trPr>
        <w:tc>
          <w:tcPr>
            <w:tcW w:w="720"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rPr>
            </w:pPr>
            <w:r>
              <w:rPr>
                <w:rFonts w:ascii="Times New Roman" w:hAnsi="Times New Roman"/>
                <w:szCs w:val="21"/>
              </w:rPr>
              <w:t>7</w:t>
            </w:r>
          </w:p>
        </w:tc>
        <w:tc>
          <w:tcPr>
            <w:tcW w:w="1322"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rPr>
            </w:pPr>
            <w:r>
              <w:rPr>
                <w:rFonts w:ascii="Times New Roman" w:hAnsi="Times New Roman"/>
                <w:szCs w:val="21"/>
                <w:lang w:val="zh-CN"/>
              </w:rPr>
              <w:t>生态环境</w:t>
            </w:r>
          </w:p>
        </w:tc>
        <w:tc>
          <w:tcPr>
            <w:tcW w:w="1845"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lang w:val="zh-CN"/>
              </w:rPr>
            </w:pPr>
            <w:r>
              <w:rPr>
                <w:rFonts w:ascii="Times New Roman" w:hAnsi="Times New Roman"/>
                <w:szCs w:val="21"/>
                <w:lang w:val="zh-CN"/>
              </w:rPr>
              <w:t>影响分析</w:t>
            </w:r>
          </w:p>
        </w:tc>
        <w:tc>
          <w:tcPr>
            <w:tcW w:w="4603"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lang w:val="zh-CN"/>
              </w:rPr>
            </w:pPr>
            <w:r>
              <w:rPr>
                <w:rFonts w:ascii="Times New Roman" w:hAnsi="Times New Roman"/>
                <w:szCs w:val="21"/>
                <w:lang w:val="zh-CN"/>
              </w:rPr>
              <w:t>厂区边界外延</w:t>
            </w:r>
            <w:r>
              <w:rPr>
                <w:rFonts w:ascii="Times New Roman" w:hAnsi="Times New Roman"/>
                <w:szCs w:val="21"/>
                <w:lang w:val="zh-CN"/>
              </w:rPr>
              <w:t>0.5km</w:t>
            </w:r>
            <w:r>
              <w:rPr>
                <w:rFonts w:ascii="Times New Roman" w:hAnsi="Times New Roman"/>
                <w:szCs w:val="21"/>
                <w:lang w:val="zh-CN"/>
              </w:rPr>
              <w:t>范围周围区域</w:t>
            </w:r>
          </w:p>
        </w:tc>
      </w:tr>
    </w:tbl>
    <w:p w:rsidR="00525419" w:rsidRDefault="00525419">
      <w:pPr>
        <w:rPr>
          <w:rFonts w:ascii="Times New Roman" w:hAnsi="Times New Roman"/>
        </w:rPr>
      </w:pPr>
    </w:p>
    <w:p w:rsidR="00525419" w:rsidRDefault="00EE1CF7">
      <w:pPr>
        <w:pStyle w:val="3a"/>
        <w:spacing w:beforeLines="50" w:before="156" w:after="156" w:line="360" w:lineRule="auto"/>
        <w:jc w:val="left"/>
        <w:rPr>
          <w:rFonts w:ascii="Times New Roman" w:eastAsia="华文楷体" w:hAnsi="Times New Roman"/>
        </w:rPr>
      </w:pPr>
      <w:r>
        <w:rPr>
          <w:rFonts w:ascii="Times New Roman" w:eastAsia="华文楷体" w:hAnsi="Times New Roman"/>
        </w:rPr>
        <w:t>2.4.2</w:t>
      </w:r>
      <w:r>
        <w:rPr>
          <w:rFonts w:ascii="Times New Roman" w:eastAsia="华文楷体" w:hAnsi="Times New Roman"/>
        </w:rPr>
        <w:t>环境保护目标</w:t>
      </w:r>
    </w:p>
    <w:p w:rsidR="00525419" w:rsidRDefault="00EE1CF7">
      <w:pPr>
        <w:autoSpaceDE w:val="0"/>
        <w:autoSpaceDN w:val="0"/>
        <w:adjustRightInd w:val="0"/>
        <w:spacing w:line="360" w:lineRule="auto"/>
        <w:ind w:firstLineChars="200" w:firstLine="480"/>
        <w:textAlignment w:val="bottom"/>
        <w:rPr>
          <w:rFonts w:ascii="Times New Roman" w:hAnsi="Times New Roman"/>
          <w:sz w:val="24"/>
        </w:rPr>
      </w:pPr>
      <w:r>
        <w:rPr>
          <w:rFonts w:ascii="Times New Roman" w:hAnsi="Times New Roman"/>
          <w:sz w:val="24"/>
        </w:rPr>
        <w:t>根据《建设项目环境影响评价分类管理名录》中</w:t>
      </w:r>
      <w:r>
        <w:rPr>
          <w:rFonts w:ascii="Times New Roman" w:hAnsi="Times New Roman"/>
          <w:sz w:val="24"/>
        </w:rPr>
        <w:t>“</w:t>
      </w:r>
      <w:r>
        <w:rPr>
          <w:rFonts w:ascii="Times New Roman" w:hAnsi="Times New Roman"/>
          <w:sz w:val="24"/>
        </w:rPr>
        <w:t>环境敏感区</w:t>
      </w:r>
      <w:r>
        <w:rPr>
          <w:rFonts w:ascii="Times New Roman" w:hAnsi="Times New Roman"/>
          <w:sz w:val="24"/>
        </w:rPr>
        <w:t>”</w:t>
      </w:r>
      <w:r>
        <w:rPr>
          <w:rFonts w:ascii="Times New Roman" w:hAnsi="Times New Roman"/>
          <w:sz w:val="24"/>
        </w:rPr>
        <w:t>的规定（自然保护区、风景名胜区、世界文化和自然遗产地、饮用水水源保护区；基本农田保护区、基本草原、森林公园、地质公园、重要湿地、天然林、珍稀濒危野生动植物天然集中分布区、重要水生生物的自然产卵场、索饵场、越冬场和洄游通道、天然渔场、资源性缺水地区、水土流失重点防治区、沙化土地封禁保护区、封闭及半封闭海域、富营养化水域；以居住、医疗卫生、文化教育、科研、行政办公等为主要功能的区域，文物保护单位，具有特殊历史、文化、科学、民族意义的保护地。）</w:t>
      </w:r>
    </w:p>
    <w:p w:rsidR="00525419" w:rsidRDefault="00EE1CF7">
      <w:pPr>
        <w:autoSpaceDE w:val="0"/>
        <w:autoSpaceDN w:val="0"/>
        <w:adjustRightInd w:val="0"/>
        <w:spacing w:line="360" w:lineRule="auto"/>
        <w:ind w:firstLineChars="200" w:firstLine="480"/>
        <w:rPr>
          <w:rFonts w:ascii="Times New Roman" w:hAnsi="Times New Roman"/>
          <w:kern w:val="0"/>
          <w:sz w:val="24"/>
        </w:rPr>
      </w:pPr>
      <w:r>
        <w:rPr>
          <w:rFonts w:ascii="Times New Roman" w:hAnsi="Times New Roman"/>
          <w:kern w:val="0"/>
          <w:sz w:val="24"/>
        </w:rPr>
        <w:t>根据环境空气、声环境、水环境和环境风险影响评价范围的现状调查，厂址区域周围无自然保护区、风景旅游区等特殊环境敏感区。根据工程性质及周围环境特征，本</w:t>
      </w:r>
      <w:r>
        <w:rPr>
          <w:rFonts w:ascii="Times New Roman" w:hAnsi="Times New Roman"/>
          <w:sz w:val="24"/>
        </w:rPr>
        <w:t>次评价确定的需要环境保护目标见表</w:t>
      </w:r>
      <w:r>
        <w:rPr>
          <w:rFonts w:ascii="Times New Roman" w:hAnsi="Times New Roman"/>
          <w:sz w:val="24"/>
        </w:rPr>
        <w:t>2.4-2</w:t>
      </w:r>
      <w:r>
        <w:rPr>
          <w:rFonts w:ascii="Times New Roman" w:hAnsi="Times New Roman"/>
          <w:sz w:val="24"/>
        </w:rPr>
        <w:t>和见图</w:t>
      </w:r>
      <w:r>
        <w:rPr>
          <w:rFonts w:ascii="Times New Roman" w:hAnsi="Times New Roman"/>
          <w:sz w:val="24"/>
        </w:rPr>
        <w:t>2.4-1</w:t>
      </w:r>
      <w:r>
        <w:rPr>
          <w:rFonts w:ascii="Times New Roman" w:hAnsi="Times New Roman"/>
          <w:sz w:val="24"/>
        </w:rPr>
        <w:t>。</w:t>
      </w:r>
    </w:p>
    <w:p w:rsidR="00525419" w:rsidRDefault="00525419">
      <w:pPr>
        <w:adjustRightInd w:val="0"/>
        <w:snapToGrid w:val="0"/>
        <w:jc w:val="center"/>
        <w:rPr>
          <w:rFonts w:ascii="Times New Roman" w:eastAsia="黑体" w:hAnsi="Times New Roman"/>
          <w:kern w:val="0"/>
          <w:szCs w:val="21"/>
        </w:rPr>
      </w:pPr>
    </w:p>
    <w:p w:rsidR="00525419" w:rsidRDefault="00EE1CF7">
      <w:pPr>
        <w:adjustRightInd w:val="0"/>
        <w:snapToGrid w:val="0"/>
        <w:jc w:val="center"/>
        <w:rPr>
          <w:rFonts w:ascii="Times New Roman" w:eastAsia="黑体" w:hAnsi="Times New Roman"/>
          <w:kern w:val="0"/>
          <w:szCs w:val="21"/>
        </w:rPr>
      </w:pPr>
      <w:r>
        <w:rPr>
          <w:rFonts w:ascii="Times New Roman" w:eastAsia="黑体" w:hAnsi="Times New Roman"/>
          <w:kern w:val="0"/>
          <w:szCs w:val="21"/>
        </w:rPr>
        <w:t>表</w:t>
      </w:r>
      <w:r>
        <w:rPr>
          <w:rFonts w:ascii="Times New Roman" w:eastAsia="黑体" w:hAnsi="Times New Roman"/>
          <w:kern w:val="0"/>
          <w:szCs w:val="21"/>
        </w:rPr>
        <w:t xml:space="preserve">2.4-2     </w:t>
      </w:r>
      <w:r>
        <w:rPr>
          <w:rFonts w:ascii="Times New Roman" w:eastAsia="黑体" w:hAnsi="Times New Roman"/>
          <w:kern w:val="0"/>
          <w:szCs w:val="21"/>
        </w:rPr>
        <w:t>环境保护目标</w:t>
      </w:r>
    </w:p>
    <w:tbl>
      <w:tblPr>
        <w:tblW w:w="85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01"/>
        <w:gridCol w:w="1788"/>
        <w:gridCol w:w="1513"/>
        <w:gridCol w:w="1337"/>
        <w:gridCol w:w="938"/>
        <w:gridCol w:w="1848"/>
      </w:tblGrid>
      <w:tr w:rsidR="00525419">
        <w:trPr>
          <w:trHeight w:val="281"/>
          <w:jc w:val="center"/>
        </w:trPr>
        <w:tc>
          <w:tcPr>
            <w:tcW w:w="1101" w:type="dxa"/>
            <w:tcBorders>
              <w:tl2br w:val="nil"/>
              <w:tr2bl w:val="nil"/>
            </w:tcBorders>
            <w:vAlign w:val="center"/>
          </w:tcPr>
          <w:p w:rsidR="00525419" w:rsidRDefault="00EE1CF7">
            <w:pPr>
              <w:spacing w:line="240" w:lineRule="atLeast"/>
              <w:rPr>
                <w:rFonts w:ascii="Times New Roman" w:hAnsi="Times New Roman"/>
                <w:szCs w:val="24"/>
              </w:rPr>
            </w:pPr>
            <w:bookmarkStart w:id="32" w:name="_Toc354837486"/>
            <w:bookmarkStart w:id="33" w:name="_Toc335315127"/>
            <w:bookmarkStart w:id="34" w:name="_Toc388894019"/>
            <w:bookmarkStart w:id="35" w:name="_Toc330205277"/>
            <w:bookmarkStart w:id="36" w:name="_Toc399496823"/>
            <w:r>
              <w:rPr>
                <w:rFonts w:ascii="Times New Roman" w:hAnsi="Times New Roman"/>
                <w:szCs w:val="24"/>
              </w:rPr>
              <w:t>环境要素</w:t>
            </w:r>
          </w:p>
        </w:tc>
        <w:tc>
          <w:tcPr>
            <w:tcW w:w="1788" w:type="dxa"/>
            <w:tcBorders>
              <w:tl2br w:val="nil"/>
              <w:tr2bl w:val="nil"/>
            </w:tcBorders>
            <w:vAlign w:val="center"/>
          </w:tcPr>
          <w:p w:rsidR="00525419" w:rsidRDefault="00EE1CF7">
            <w:pPr>
              <w:spacing w:line="240" w:lineRule="atLeast"/>
              <w:rPr>
                <w:rFonts w:ascii="Times New Roman" w:hAnsi="Times New Roman"/>
                <w:szCs w:val="24"/>
              </w:rPr>
            </w:pPr>
            <w:r>
              <w:rPr>
                <w:rFonts w:ascii="Times New Roman" w:hAnsi="Times New Roman"/>
                <w:szCs w:val="24"/>
              </w:rPr>
              <w:t>保护目标名称</w:t>
            </w:r>
          </w:p>
        </w:tc>
        <w:tc>
          <w:tcPr>
            <w:tcW w:w="1513" w:type="dxa"/>
            <w:tcBorders>
              <w:tl2br w:val="nil"/>
              <w:tr2bl w:val="nil"/>
            </w:tcBorders>
            <w:vAlign w:val="center"/>
          </w:tcPr>
          <w:p w:rsidR="00525419" w:rsidRDefault="00EE1CF7">
            <w:pPr>
              <w:spacing w:line="240" w:lineRule="atLeast"/>
              <w:rPr>
                <w:rFonts w:ascii="Times New Roman" w:hAnsi="Times New Roman"/>
                <w:szCs w:val="24"/>
              </w:rPr>
            </w:pPr>
            <w:r>
              <w:rPr>
                <w:rFonts w:ascii="Times New Roman" w:hAnsi="Times New Roman"/>
                <w:sz w:val="22"/>
                <w:szCs w:val="24"/>
              </w:rPr>
              <w:t>地理位置</w:t>
            </w:r>
          </w:p>
        </w:tc>
        <w:tc>
          <w:tcPr>
            <w:tcW w:w="1337" w:type="dxa"/>
            <w:tcBorders>
              <w:tl2br w:val="nil"/>
              <w:tr2bl w:val="nil"/>
            </w:tcBorders>
            <w:vAlign w:val="center"/>
          </w:tcPr>
          <w:p w:rsidR="00525419" w:rsidRDefault="00EE1CF7">
            <w:pPr>
              <w:spacing w:line="240" w:lineRule="atLeast"/>
              <w:rPr>
                <w:rFonts w:ascii="Times New Roman" w:hAnsi="Times New Roman"/>
                <w:szCs w:val="24"/>
              </w:rPr>
            </w:pPr>
            <w:r>
              <w:rPr>
                <w:rFonts w:ascii="Times New Roman" w:hAnsi="Times New Roman"/>
                <w:sz w:val="22"/>
                <w:szCs w:val="24"/>
              </w:rPr>
              <w:t>服务功能</w:t>
            </w:r>
          </w:p>
        </w:tc>
        <w:tc>
          <w:tcPr>
            <w:tcW w:w="938" w:type="dxa"/>
            <w:tcBorders>
              <w:tl2br w:val="nil"/>
              <w:tr2bl w:val="nil"/>
            </w:tcBorders>
            <w:vAlign w:val="center"/>
          </w:tcPr>
          <w:p w:rsidR="00525419" w:rsidRDefault="00EE1CF7">
            <w:pPr>
              <w:spacing w:line="240" w:lineRule="atLeast"/>
              <w:rPr>
                <w:rFonts w:ascii="Times New Roman" w:hAnsi="Times New Roman"/>
                <w:szCs w:val="24"/>
              </w:rPr>
            </w:pPr>
            <w:r>
              <w:rPr>
                <w:rFonts w:ascii="Times New Roman" w:hAnsi="Times New Roman"/>
                <w:sz w:val="22"/>
                <w:szCs w:val="24"/>
              </w:rPr>
              <w:t>人数</w:t>
            </w:r>
          </w:p>
        </w:tc>
        <w:tc>
          <w:tcPr>
            <w:tcW w:w="1848" w:type="dxa"/>
            <w:tcBorders>
              <w:tl2br w:val="nil"/>
              <w:tr2bl w:val="nil"/>
            </w:tcBorders>
            <w:vAlign w:val="center"/>
          </w:tcPr>
          <w:p w:rsidR="00525419" w:rsidRDefault="00EE1CF7">
            <w:pPr>
              <w:spacing w:line="240" w:lineRule="atLeast"/>
              <w:rPr>
                <w:rFonts w:ascii="Times New Roman" w:hAnsi="Times New Roman"/>
                <w:szCs w:val="24"/>
              </w:rPr>
            </w:pPr>
            <w:r>
              <w:rPr>
                <w:rFonts w:ascii="Times New Roman" w:hAnsi="Times New Roman"/>
                <w:sz w:val="22"/>
                <w:szCs w:val="24"/>
              </w:rPr>
              <w:t>保护要求</w:t>
            </w:r>
          </w:p>
        </w:tc>
      </w:tr>
      <w:tr w:rsidR="00525419">
        <w:trPr>
          <w:trHeight w:val="550"/>
          <w:jc w:val="center"/>
        </w:trPr>
        <w:tc>
          <w:tcPr>
            <w:tcW w:w="1101" w:type="dxa"/>
            <w:vMerge w:val="restart"/>
            <w:tcBorders>
              <w:tl2br w:val="nil"/>
              <w:tr2bl w:val="nil"/>
            </w:tcBorders>
            <w:vAlign w:val="center"/>
          </w:tcPr>
          <w:p w:rsidR="00525419" w:rsidRDefault="00EE1CF7">
            <w:pPr>
              <w:spacing w:line="240" w:lineRule="atLeast"/>
              <w:rPr>
                <w:rFonts w:ascii="Times New Roman" w:hAnsi="Times New Roman"/>
                <w:szCs w:val="24"/>
              </w:rPr>
            </w:pPr>
            <w:r>
              <w:rPr>
                <w:rFonts w:ascii="Times New Roman" w:hAnsi="Times New Roman"/>
                <w:szCs w:val="24"/>
              </w:rPr>
              <w:t>环境空气</w:t>
            </w:r>
          </w:p>
        </w:tc>
        <w:tc>
          <w:tcPr>
            <w:tcW w:w="1788" w:type="dxa"/>
            <w:tcBorders>
              <w:tl2br w:val="nil"/>
              <w:tr2bl w:val="nil"/>
            </w:tcBorders>
            <w:vAlign w:val="center"/>
          </w:tcPr>
          <w:p w:rsidR="00525419" w:rsidRDefault="00EE1CF7">
            <w:pPr>
              <w:pStyle w:val="B2"/>
              <w:rPr>
                <w:rFonts w:cs="Times New Roman"/>
              </w:rPr>
            </w:pPr>
            <w:r>
              <w:rPr>
                <w:rFonts w:cs="Times New Roman"/>
              </w:rPr>
              <w:t>鄯善火车站</w:t>
            </w:r>
          </w:p>
        </w:tc>
        <w:tc>
          <w:tcPr>
            <w:tcW w:w="1513" w:type="dxa"/>
            <w:tcBorders>
              <w:tl2br w:val="nil"/>
              <w:tr2bl w:val="nil"/>
            </w:tcBorders>
            <w:vAlign w:val="center"/>
          </w:tcPr>
          <w:p w:rsidR="00525419" w:rsidRDefault="00EE1CF7">
            <w:pPr>
              <w:spacing w:line="240" w:lineRule="atLeast"/>
              <w:rPr>
                <w:rFonts w:ascii="Times New Roman" w:hAnsi="Times New Roman"/>
                <w:szCs w:val="24"/>
              </w:rPr>
            </w:pPr>
            <w:r>
              <w:rPr>
                <w:rFonts w:ascii="Times New Roman" w:hAnsi="Times New Roman"/>
                <w:szCs w:val="21"/>
                <w:lang w:val="zh-CN"/>
              </w:rPr>
              <w:t>东北侧</w:t>
            </w:r>
            <w:r>
              <w:rPr>
                <w:rFonts w:ascii="Times New Roman" w:hAnsi="Times New Roman"/>
                <w:szCs w:val="21"/>
              </w:rPr>
              <w:t>4.2</w:t>
            </w:r>
            <w:r>
              <w:rPr>
                <w:rFonts w:ascii="Times New Roman" w:hAnsi="Times New Roman"/>
                <w:szCs w:val="21"/>
                <w:lang w:val="zh-CN"/>
              </w:rPr>
              <w:t>km</w:t>
            </w:r>
          </w:p>
        </w:tc>
        <w:tc>
          <w:tcPr>
            <w:tcW w:w="1337" w:type="dxa"/>
            <w:vMerge w:val="restart"/>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人群聚集区</w:t>
            </w:r>
          </w:p>
        </w:tc>
        <w:tc>
          <w:tcPr>
            <w:tcW w:w="938" w:type="dxa"/>
            <w:tcBorders>
              <w:tl2br w:val="nil"/>
              <w:tr2bl w:val="nil"/>
            </w:tcBorders>
            <w:vAlign w:val="center"/>
          </w:tcPr>
          <w:p w:rsidR="00525419" w:rsidRDefault="00EE1CF7">
            <w:pPr>
              <w:spacing w:line="240" w:lineRule="atLeast"/>
              <w:rPr>
                <w:rFonts w:ascii="Times New Roman" w:hAnsi="Times New Roman"/>
                <w:szCs w:val="24"/>
              </w:rPr>
            </w:pPr>
            <w:r>
              <w:rPr>
                <w:rFonts w:ascii="Times New Roman" w:hAnsi="Times New Roman"/>
                <w:szCs w:val="24"/>
              </w:rPr>
              <w:t>400</w:t>
            </w:r>
            <w:r>
              <w:rPr>
                <w:rFonts w:ascii="Times New Roman" w:hAnsi="Times New Roman"/>
                <w:szCs w:val="24"/>
              </w:rPr>
              <w:t>人</w:t>
            </w:r>
          </w:p>
        </w:tc>
        <w:tc>
          <w:tcPr>
            <w:tcW w:w="1848" w:type="dxa"/>
            <w:vMerge w:val="restart"/>
            <w:tcBorders>
              <w:tl2br w:val="nil"/>
              <w:tr2bl w:val="nil"/>
            </w:tcBorders>
            <w:vAlign w:val="center"/>
          </w:tcPr>
          <w:p w:rsidR="00525419" w:rsidRDefault="00EE1CF7">
            <w:pPr>
              <w:spacing w:line="240" w:lineRule="atLeast"/>
              <w:rPr>
                <w:rFonts w:ascii="Times New Roman" w:hAnsi="Times New Roman"/>
                <w:szCs w:val="24"/>
              </w:rPr>
            </w:pPr>
            <w:r>
              <w:rPr>
                <w:rFonts w:ascii="Times New Roman" w:hAnsi="Times New Roman"/>
                <w:szCs w:val="21"/>
              </w:rPr>
              <w:t>《环境空气质量标准》（</w:t>
            </w:r>
            <w:r>
              <w:rPr>
                <w:rFonts w:ascii="Times New Roman" w:hAnsi="Times New Roman"/>
                <w:szCs w:val="21"/>
              </w:rPr>
              <w:t>GB3095-2012</w:t>
            </w:r>
            <w:r>
              <w:rPr>
                <w:rFonts w:ascii="Times New Roman" w:hAnsi="Times New Roman"/>
                <w:szCs w:val="21"/>
              </w:rPr>
              <w:t>）中二级标准</w:t>
            </w:r>
          </w:p>
        </w:tc>
      </w:tr>
      <w:tr w:rsidR="00525419">
        <w:trPr>
          <w:trHeight w:val="491"/>
          <w:jc w:val="center"/>
        </w:trPr>
        <w:tc>
          <w:tcPr>
            <w:tcW w:w="1101" w:type="dxa"/>
            <w:vMerge/>
            <w:tcBorders>
              <w:tl2br w:val="nil"/>
              <w:tr2bl w:val="nil"/>
            </w:tcBorders>
            <w:vAlign w:val="center"/>
          </w:tcPr>
          <w:p w:rsidR="00525419" w:rsidRDefault="00525419">
            <w:pPr>
              <w:spacing w:line="240" w:lineRule="atLeast"/>
              <w:rPr>
                <w:rFonts w:ascii="Times New Roman" w:hAnsi="Times New Roman"/>
                <w:szCs w:val="24"/>
              </w:rPr>
            </w:pPr>
          </w:p>
        </w:tc>
        <w:tc>
          <w:tcPr>
            <w:tcW w:w="1788" w:type="dxa"/>
            <w:tcBorders>
              <w:tl2br w:val="nil"/>
              <w:tr2bl w:val="nil"/>
            </w:tcBorders>
            <w:vAlign w:val="center"/>
          </w:tcPr>
          <w:p w:rsidR="00525419" w:rsidRDefault="00EE1CF7">
            <w:pPr>
              <w:pStyle w:val="B2"/>
              <w:rPr>
                <w:rFonts w:cs="Times New Roman"/>
              </w:rPr>
            </w:pPr>
            <w:r>
              <w:rPr>
                <w:rFonts w:cs="Times New Roman"/>
              </w:rPr>
              <w:t>火车站镇</w:t>
            </w:r>
          </w:p>
        </w:tc>
        <w:tc>
          <w:tcPr>
            <w:tcW w:w="1513" w:type="dxa"/>
            <w:tcBorders>
              <w:tl2br w:val="nil"/>
              <w:tr2bl w:val="nil"/>
            </w:tcBorders>
            <w:vAlign w:val="center"/>
          </w:tcPr>
          <w:p w:rsidR="00525419" w:rsidRDefault="00EE1CF7">
            <w:pPr>
              <w:spacing w:line="240" w:lineRule="atLeast"/>
              <w:rPr>
                <w:rFonts w:ascii="Times New Roman" w:hAnsi="Times New Roman"/>
                <w:szCs w:val="24"/>
              </w:rPr>
            </w:pPr>
            <w:r>
              <w:rPr>
                <w:rFonts w:ascii="Times New Roman" w:hAnsi="Times New Roman"/>
                <w:szCs w:val="21"/>
                <w:lang w:val="zh-CN"/>
              </w:rPr>
              <w:t>东北侧</w:t>
            </w:r>
            <w:r>
              <w:rPr>
                <w:rFonts w:ascii="Times New Roman" w:hAnsi="Times New Roman"/>
                <w:szCs w:val="21"/>
              </w:rPr>
              <w:t>2.5</w:t>
            </w:r>
            <w:r>
              <w:rPr>
                <w:rFonts w:ascii="Times New Roman" w:hAnsi="Times New Roman"/>
                <w:szCs w:val="21"/>
                <w:lang w:val="zh-CN"/>
              </w:rPr>
              <w:t>km</w:t>
            </w:r>
          </w:p>
        </w:tc>
        <w:tc>
          <w:tcPr>
            <w:tcW w:w="1337" w:type="dxa"/>
            <w:vMerge/>
            <w:tcBorders>
              <w:tl2br w:val="nil"/>
              <w:tr2bl w:val="nil"/>
            </w:tcBorders>
            <w:vAlign w:val="center"/>
          </w:tcPr>
          <w:p w:rsidR="00525419" w:rsidRDefault="00525419">
            <w:pPr>
              <w:spacing w:line="240" w:lineRule="atLeast"/>
              <w:rPr>
                <w:rFonts w:ascii="Times New Roman" w:hAnsi="Times New Roman"/>
                <w:szCs w:val="21"/>
              </w:rPr>
            </w:pPr>
          </w:p>
        </w:tc>
        <w:tc>
          <w:tcPr>
            <w:tcW w:w="938" w:type="dxa"/>
            <w:tcBorders>
              <w:tl2br w:val="nil"/>
              <w:tr2bl w:val="nil"/>
            </w:tcBorders>
            <w:vAlign w:val="center"/>
          </w:tcPr>
          <w:p w:rsidR="00525419" w:rsidRDefault="00EE1CF7">
            <w:pPr>
              <w:spacing w:line="240" w:lineRule="atLeast"/>
              <w:rPr>
                <w:rFonts w:ascii="Times New Roman" w:hAnsi="Times New Roman"/>
                <w:szCs w:val="24"/>
              </w:rPr>
            </w:pPr>
            <w:r>
              <w:rPr>
                <w:rFonts w:ascii="Times New Roman" w:hAnsi="Times New Roman"/>
                <w:szCs w:val="24"/>
              </w:rPr>
              <w:t>3000</w:t>
            </w:r>
            <w:r>
              <w:rPr>
                <w:rFonts w:ascii="Times New Roman" w:hAnsi="Times New Roman"/>
                <w:szCs w:val="24"/>
              </w:rPr>
              <w:t>人</w:t>
            </w:r>
          </w:p>
        </w:tc>
        <w:tc>
          <w:tcPr>
            <w:tcW w:w="1848" w:type="dxa"/>
            <w:vMerge/>
            <w:tcBorders>
              <w:tl2br w:val="nil"/>
              <w:tr2bl w:val="nil"/>
            </w:tcBorders>
            <w:vAlign w:val="center"/>
          </w:tcPr>
          <w:p w:rsidR="00525419" w:rsidRDefault="00525419">
            <w:pPr>
              <w:spacing w:line="240" w:lineRule="atLeast"/>
              <w:rPr>
                <w:rFonts w:ascii="Times New Roman" w:hAnsi="Times New Roman"/>
                <w:szCs w:val="24"/>
              </w:rPr>
            </w:pPr>
          </w:p>
        </w:tc>
      </w:tr>
      <w:tr w:rsidR="00525419">
        <w:trPr>
          <w:trHeight w:val="90"/>
          <w:jc w:val="center"/>
        </w:trPr>
        <w:tc>
          <w:tcPr>
            <w:tcW w:w="1101" w:type="dxa"/>
            <w:tcBorders>
              <w:tl2br w:val="nil"/>
              <w:tr2bl w:val="nil"/>
            </w:tcBorders>
            <w:vAlign w:val="center"/>
          </w:tcPr>
          <w:p w:rsidR="00525419" w:rsidRDefault="00EE1CF7">
            <w:pPr>
              <w:pStyle w:val="1f7"/>
              <w:spacing w:line="240" w:lineRule="atLeast"/>
              <w:ind w:firstLineChars="0" w:firstLine="0"/>
              <w:jc w:val="both"/>
              <w:outlineLvl w:val="9"/>
            </w:pPr>
            <w:r>
              <w:rPr>
                <w:kern w:val="2"/>
                <w:sz w:val="21"/>
                <w:szCs w:val="21"/>
              </w:rPr>
              <w:t>地下水</w:t>
            </w:r>
          </w:p>
        </w:tc>
        <w:tc>
          <w:tcPr>
            <w:tcW w:w="1788" w:type="dxa"/>
            <w:tcBorders>
              <w:tl2br w:val="nil"/>
              <w:tr2bl w:val="nil"/>
            </w:tcBorders>
            <w:vAlign w:val="center"/>
          </w:tcPr>
          <w:p w:rsidR="00525419" w:rsidRDefault="00EE1CF7">
            <w:pPr>
              <w:spacing w:line="240" w:lineRule="atLeast"/>
              <w:rPr>
                <w:rFonts w:ascii="Times New Roman" w:hAnsi="Times New Roman"/>
                <w:szCs w:val="21"/>
                <w:lang w:val="zh-CN"/>
              </w:rPr>
            </w:pPr>
            <w:r>
              <w:rPr>
                <w:rFonts w:ascii="Times New Roman" w:hAnsi="Times New Roman"/>
                <w:szCs w:val="21"/>
              </w:rPr>
              <w:t>厂址及附近区域地下水</w:t>
            </w:r>
          </w:p>
        </w:tc>
        <w:tc>
          <w:tcPr>
            <w:tcW w:w="1513"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w:t>
            </w:r>
          </w:p>
        </w:tc>
        <w:tc>
          <w:tcPr>
            <w:tcW w:w="1337" w:type="dxa"/>
            <w:tcBorders>
              <w:tl2br w:val="nil"/>
              <w:tr2bl w:val="nil"/>
            </w:tcBorders>
            <w:vAlign w:val="center"/>
          </w:tcPr>
          <w:p w:rsidR="00525419" w:rsidRDefault="00EE1CF7">
            <w:pPr>
              <w:spacing w:line="240" w:lineRule="atLeast"/>
              <w:rPr>
                <w:rFonts w:ascii="Times New Roman" w:hAnsi="Times New Roman"/>
                <w:snapToGrid w:val="0"/>
                <w:kern w:val="0"/>
                <w:szCs w:val="21"/>
              </w:rPr>
            </w:pPr>
            <w:r>
              <w:rPr>
                <w:rFonts w:ascii="Times New Roman" w:hAnsi="Times New Roman"/>
                <w:szCs w:val="21"/>
              </w:rPr>
              <w:t>Ⅲ</w:t>
            </w:r>
            <w:r>
              <w:rPr>
                <w:rFonts w:ascii="Times New Roman" w:hAnsi="Times New Roman"/>
                <w:szCs w:val="21"/>
              </w:rPr>
              <w:t>类，工、农业用水</w:t>
            </w:r>
          </w:p>
        </w:tc>
        <w:tc>
          <w:tcPr>
            <w:tcW w:w="938" w:type="dxa"/>
            <w:tcBorders>
              <w:tl2br w:val="nil"/>
              <w:tr2bl w:val="nil"/>
            </w:tcBorders>
            <w:vAlign w:val="center"/>
          </w:tcPr>
          <w:p w:rsidR="00525419" w:rsidRDefault="00EE1CF7">
            <w:pPr>
              <w:spacing w:line="240" w:lineRule="atLeast"/>
              <w:rPr>
                <w:rFonts w:ascii="Times New Roman" w:hAnsi="Times New Roman"/>
                <w:szCs w:val="24"/>
              </w:rPr>
            </w:pPr>
            <w:r>
              <w:rPr>
                <w:rFonts w:ascii="Times New Roman" w:hAnsi="Times New Roman"/>
                <w:szCs w:val="24"/>
              </w:rPr>
              <w:t>/</w:t>
            </w:r>
          </w:p>
        </w:tc>
        <w:tc>
          <w:tcPr>
            <w:tcW w:w="1848" w:type="dxa"/>
            <w:tcBorders>
              <w:tl2br w:val="nil"/>
              <w:tr2bl w:val="nil"/>
            </w:tcBorders>
            <w:vAlign w:val="center"/>
          </w:tcPr>
          <w:p w:rsidR="00525419" w:rsidRDefault="00EE1CF7">
            <w:pPr>
              <w:spacing w:line="240" w:lineRule="atLeast"/>
              <w:rPr>
                <w:rFonts w:ascii="Times New Roman" w:hAnsi="Times New Roman"/>
                <w:szCs w:val="24"/>
              </w:rPr>
            </w:pPr>
            <w:r>
              <w:rPr>
                <w:rFonts w:ascii="Times New Roman" w:hAnsi="Times New Roman"/>
                <w:szCs w:val="21"/>
              </w:rPr>
              <w:t>达到《地下水质量标准》</w:t>
            </w:r>
            <w:r>
              <w:rPr>
                <w:rFonts w:ascii="Times New Roman" w:hAnsi="Times New Roman"/>
                <w:szCs w:val="21"/>
              </w:rPr>
              <w:t>GB/T14848-2017</w:t>
            </w:r>
            <w:r>
              <w:rPr>
                <w:rFonts w:ascii="Times New Roman" w:hAnsi="Times New Roman"/>
                <w:szCs w:val="21"/>
              </w:rPr>
              <w:t>中的</w:t>
            </w:r>
            <w:r>
              <w:rPr>
                <w:rFonts w:ascii="Times New Roman" w:hAnsi="Times New Roman"/>
                <w:szCs w:val="21"/>
              </w:rPr>
              <w:t>Ⅲ</w:t>
            </w:r>
            <w:r>
              <w:rPr>
                <w:rFonts w:ascii="Times New Roman" w:hAnsi="Times New Roman"/>
                <w:szCs w:val="21"/>
              </w:rPr>
              <w:t>类标准</w:t>
            </w:r>
          </w:p>
        </w:tc>
      </w:tr>
      <w:tr w:rsidR="00525419">
        <w:trPr>
          <w:trHeight w:val="90"/>
          <w:jc w:val="center"/>
        </w:trPr>
        <w:tc>
          <w:tcPr>
            <w:tcW w:w="1101" w:type="dxa"/>
            <w:tcBorders>
              <w:tl2br w:val="nil"/>
              <w:tr2bl w:val="nil"/>
            </w:tcBorders>
            <w:vAlign w:val="center"/>
          </w:tcPr>
          <w:p w:rsidR="00525419" w:rsidRDefault="00EE1CF7">
            <w:pPr>
              <w:pStyle w:val="1f7"/>
              <w:spacing w:line="240" w:lineRule="atLeast"/>
              <w:ind w:firstLineChars="0" w:firstLine="0"/>
              <w:jc w:val="both"/>
              <w:outlineLvl w:val="9"/>
              <w:rPr>
                <w:kern w:val="2"/>
                <w:sz w:val="21"/>
                <w:szCs w:val="21"/>
              </w:rPr>
            </w:pPr>
            <w:r>
              <w:rPr>
                <w:kern w:val="2"/>
                <w:sz w:val="21"/>
                <w:szCs w:val="21"/>
              </w:rPr>
              <w:lastRenderedPageBreak/>
              <w:t>土壤</w:t>
            </w:r>
          </w:p>
        </w:tc>
        <w:tc>
          <w:tcPr>
            <w:tcW w:w="178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厂址及附近土壤</w:t>
            </w:r>
          </w:p>
        </w:tc>
        <w:tc>
          <w:tcPr>
            <w:tcW w:w="1513"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w:t>
            </w:r>
          </w:p>
        </w:tc>
        <w:tc>
          <w:tcPr>
            <w:tcW w:w="1337"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工业用地</w:t>
            </w:r>
          </w:p>
        </w:tc>
        <w:tc>
          <w:tcPr>
            <w:tcW w:w="938" w:type="dxa"/>
            <w:tcBorders>
              <w:tl2br w:val="nil"/>
              <w:tr2bl w:val="nil"/>
            </w:tcBorders>
            <w:vAlign w:val="center"/>
          </w:tcPr>
          <w:p w:rsidR="00525419" w:rsidRDefault="00EE1CF7">
            <w:pPr>
              <w:spacing w:line="240" w:lineRule="atLeast"/>
              <w:rPr>
                <w:rFonts w:ascii="Times New Roman" w:hAnsi="Times New Roman"/>
                <w:szCs w:val="24"/>
              </w:rPr>
            </w:pPr>
            <w:r>
              <w:rPr>
                <w:rFonts w:ascii="Times New Roman" w:hAnsi="Times New Roman"/>
                <w:szCs w:val="24"/>
              </w:rPr>
              <w:t>/</w:t>
            </w:r>
          </w:p>
        </w:tc>
        <w:tc>
          <w:tcPr>
            <w:tcW w:w="184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lang w:val="zh-CN"/>
              </w:rPr>
              <w:t>GB36600-2018</w:t>
            </w:r>
            <w:r>
              <w:rPr>
                <w:rFonts w:ascii="Times New Roman" w:hAnsi="Times New Roman"/>
                <w:szCs w:val="21"/>
                <w:lang w:val="zh-CN"/>
              </w:rPr>
              <w:t>第二类用地筛选值</w:t>
            </w:r>
          </w:p>
        </w:tc>
      </w:tr>
      <w:tr w:rsidR="00525419">
        <w:trPr>
          <w:trHeight w:val="142"/>
          <w:jc w:val="center"/>
        </w:trPr>
        <w:tc>
          <w:tcPr>
            <w:tcW w:w="1101" w:type="dxa"/>
            <w:tcBorders>
              <w:tl2br w:val="nil"/>
              <w:tr2bl w:val="nil"/>
            </w:tcBorders>
            <w:vAlign w:val="center"/>
          </w:tcPr>
          <w:p w:rsidR="00525419" w:rsidRDefault="00EE1CF7">
            <w:pPr>
              <w:spacing w:line="240" w:lineRule="atLeast"/>
              <w:rPr>
                <w:rFonts w:ascii="Times New Roman" w:hAnsi="Times New Roman"/>
                <w:szCs w:val="24"/>
              </w:rPr>
            </w:pPr>
            <w:r>
              <w:rPr>
                <w:rFonts w:ascii="Times New Roman" w:hAnsi="Times New Roman"/>
                <w:szCs w:val="21"/>
              </w:rPr>
              <w:t>生态</w:t>
            </w:r>
          </w:p>
        </w:tc>
        <w:tc>
          <w:tcPr>
            <w:tcW w:w="1788" w:type="dxa"/>
            <w:tcBorders>
              <w:tl2br w:val="nil"/>
              <w:tr2bl w:val="nil"/>
            </w:tcBorders>
            <w:vAlign w:val="center"/>
          </w:tcPr>
          <w:p w:rsidR="00525419" w:rsidRDefault="00EE1CF7">
            <w:pPr>
              <w:spacing w:line="240" w:lineRule="atLeast"/>
              <w:rPr>
                <w:rFonts w:ascii="Times New Roman" w:hAnsi="Times New Roman"/>
                <w:szCs w:val="21"/>
                <w:lang w:val="zh-CN"/>
              </w:rPr>
            </w:pPr>
            <w:r>
              <w:rPr>
                <w:rFonts w:ascii="Times New Roman" w:hAnsi="Times New Roman"/>
                <w:szCs w:val="21"/>
              </w:rPr>
              <w:t>区域生态环境</w:t>
            </w:r>
          </w:p>
        </w:tc>
        <w:tc>
          <w:tcPr>
            <w:tcW w:w="1513"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w:t>
            </w:r>
          </w:p>
        </w:tc>
        <w:tc>
          <w:tcPr>
            <w:tcW w:w="1337" w:type="dxa"/>
            <w:tcBorders>
              <w:tl2br w:val="nil"/>
              <w:tr2bl w:val="nil"/>
            </w:tcBorders>
            <w:vAlign w:val="center"/>
          </w:tcPr>
          <w:p w:rsidR="00525419" w:rsidRDefault="00EE1CF7">
            <w:pPr>
              <w:spacing w:line="240" w:lineRule="atLeast"/>
              <w:rPr>
                <w:rFonts w:ascii="Times New Roman" w:hAnsi="Times New Roman"/>
                <w:snapToGrid w:val="0"/>
                <w:kern w:val="0"/>
                <w:szCs w:val="21"/>
              </w:rPr>
            </w:pPr>
            <w:r>
              <w:rPr>
                <w:rFonts w:ascii="Times New Roman" w:hAnsi="Times New Roman"/>
                <w:snapToGrid w:val="0"/>
                <w:kern w:val="0"/>
                <w:szCs w:val="21"/>
              </w:rPr>
              <w:t>/</w:t>
            </w:r>
          </w:p>
        </w:tc>
        <w:tc>
          <w:tcPr>
            <w:tcW w:w="938" w:type="dxa"/>
            <w:tcBorders>
              <w:tl2br w:val="nil"/>
              <w:tr2bl w:val="nil"/>
            </w:tcBorders>
            <w:vAlign w:val="center"/>
          </w:tcPr>
          <w:p w:rsidR="00525419" w:rsidRDefault="00EE1CF7">
            <w:pPr>
              <w:spacing w:line="240" w:lineRule="atLeast"/>
              <w:rPr>
                <w:rFonts w:ascii="Times New Roman" w:hAnsi="Times New Roman"/>
                <w:szCs w:val="24"/>
              </w:rPr>
            </w:pPr>
            <w:r>
              <w:rPr>
                <w:rFonts w:ascii="Times New Roman" w:hAnsi="Times New Roman"/>
                <w:szCs w:val="24"/>
              </w:rPr>
              <w:t>/</w:t>
            </w:r>
          </w:p>
        </w:tc>
        <w:tc>
          <w:tcPr>
            <w:tcW w:w="1848" w:type="dxa"/>
            <w:tcBorders>
              <w:tl2br w:val="nil"/>
              <w:tr2bl w:val="nil"/>
            </w:tcBorders>
            <w:vAlign w:val="center"/>
          </w:tcPr>
          <w:p w:rsidR="00525419" w:rsidRDefault="00EE1CF7">
            <w:pPr>
              <w:spacing w:line="240" w:lineRule="atLeast"/>
              <w:rPr>
                <w:rFonts w:ascii="Times New Roman" w:hAnsi="Times New Roman"/>
                <w:szCs w:val="24"/>
              </w:rPr>
            </w:pPr>
            <w:r>
              <w:rPr>
                <w:rFonts w:ascii="Times New Roman" w:hAnsi="Times New Roman"/>
                <w:szCs w:val="21"/>
              </w:rPr>
              <w:t>保护现有生态环境不被破坏</w:t>
            </w:r>
          </w:p>
        </w:tc>
      </w:tr>
    </w:tbl>
    <w:p w:rsidR="00525419" w:rsidRDefault="00EE1CF7">
      <w:pPr>
        <w:pStyle w:val="2a"/>
        <w:spacing w:beforeLines="50" w:before="156" w:after="156"/>
        <w:ind w:left="578" w:hanging="578"/>
        <w:rPr>
          <w:rFonts w:ascii="Times New Roman" w:eastAsia="楷体_GB2312" w:hAnsi="Times New Roman"/>
          <w:sz w:val="36"/>
        </w:rPr>
      </w:pPr>
      <w:bookmarkStart w:id="37" w:name="_Toc32357"/>
      <w:r>
        <w:rPr>
          <w:rFonts w:ascii="Times New Roman" w:eastAsia="楷体_GB2312" w:hAnsi="Times New Roman"/>
          <w:sz w:val="36"/>
        </w:rPr>
        <w:t>2.5</w:t>
      </w:r>
      <w:r>
        <w:rPr>
          <w:rFonts w:ascii="Times New Roman" w:eastAsia="楷体_GB2312" w:hAnsi="Times New Roman"/>
          <w:sz w:val="36"/>
        </w:rPr>
        <w:t>相关规划及环境功能区划</w:t>
      </w:r>
      <w:bookmarkEnd w:id="32"/>
      <w:bookmarkEnd w:id="33"/>
      <w:bookmarkEnd w:id="34"/>
      <w:bookmarkEnd w:id="35"/>
      <w:bookmarkEnd w:id="36"/>
      <w:bookmarkEnd w:id="37"/>
    </w:p>
    <w:p w:rsidR="00525419" w:rsidRDefault="00EE1CF7">
      <w:pPr>
        <w:pStyle w:val="3a"/>
        <w:spacing w:beforeLines="50" w:before="156" w:after="156" w:line="360" w:lineRule="auto"/>
        <w:jc w:val="left"/>
        <w:rPr>
          <w:rFonts w:ascii="Times New Roman" w:eastAsia="华文楷体" w:hAnsi="Times New Roman"/>
        </w:rPr>
      </w:pPr>
      <w:r>
        <w:rPr>
          <w:rFonts w:ascii="Times New Roman" w:eastAsia="华文楷体" w:hAnsi="Times New Roman"/>
        </w:rPr>
        <w:t>2.5.1</w:t>
      </w:r>
      <w:r>
        <w:rPr>
          <w:rFonts w:ascii="Times New Roman" w:eastAsia="华文楷体" w:hAnsi="Times New Roman"/>
        </w:rPr>
        <w:t>环境空气质量功能区划</w:t>
      </w:r>
    </w:p>
    <w:p w:rsidR="00525419" w:rsidRDefault="00EE1CF7">
      <w:pPr>
        <w:pStyle w:val="B1"/>
        <w:ind w:firstLine="480"/>
        <w:rPr>
          <w:rFonts w:cs="Times New Roman"/>
        </w:rPr>
      </w:pPr>
      <w:r>
        <w:rPr>
          <w:rFonts w:cs="Times New Roman"/>
        </w:rPr>
        <w:t>根据《环境空气质量功能区划分原则与技术方法》（</w:t>
      </w:r>
      <w:r>
        <w:rPr>
          <w:rFonts w:cs="Times New Roman"/>
        </w:rPr>
        <w:t>HJ14-1996</w:t>
      </w:r>
      <w:r>
        <w:rPr>
          <w:rFonts w:cs="Times New Roman"/>
        </w:rPr>
        <w:t>）、《环境空气质量标准》（</w:t>
      </w:r>
      <w:r>
        <w:rPr>
          <w:rFonts w:cs="Times New Roman"/>
        </w:rPr>
        <w:t>GB3095-2012</w:t>
      </w:r>
      <w:r>
        <w:rPr>
          <w:rFonts w:cs="Times New Roman"/>
        </w:rPr>
        <w:t>）功能区分类要求以及规划环评要求，园区规划范围环境空气质量功能区划属二类功能区，环境空气质量执行二级标准。</w:t>
      </w:r>
    </w:p>
    <w:p w:rsidR="00525419" w:rsidRDefault="00EE1CF7">
      <w:pPr>
        <w:pStyle w:val="3a"/>
        <w:spacing w:beforeLines="50" w:before="156" w:after="156" w:line="360" w:lineRule="auto"/>
        <w:jc w:val="left"/>
        <w:rPr>
          <w:rFonts w:ascii="Times New Roman" w:eastAsia="华文楷体" w:hAnsi="Times New Roman"/>
        </w:rPr>
      </w:pPr>
      <w:r>
        <w:rPr>
          <w:rFonts w:ascii="Times New Roman" w:eastAsia="华文楷体" w:hAnsi="Times New Roman"/>
        </w:rPr>
        <w:t>2.5.2</w:t>
      </w:r>
      <w:r>
        <w:rPr>
          <w:rFonts w:ascii="Times New Roman" w:eastAsia="华文楷体" w:hAnsi="Times New Roman"/>
        </w:rPr>
        <w:t>地下水环境功能区划</w:t>
      </w:r>
    </w:p>
    <w:p w:rsidR="00525419" w:rsidRDefault="00EE1CF7">
      <w:pPr>
        <w:pStyle w:val="B1"/>
        <w:ind w:firstLine="480"/>
        <w:rPr>
          <w:rFonts w:cs="Times New Roman"/>
        </w:rPr>
      </w:pPr>
      <w:r>
        <w:rPr>
          <w:rFonts w:cs="Times New Roman"/>
        </w:rPr>
        <w:t>根据鄯善高新技术产业开发区规划环评，园区所在区域地下水属于</w:t>
      </w:r>
      <w:r>
        <w:rPr>
          <w:rFonts w:cs="Times New Roman"/>
        </w:rPr>
        <w:t>Ⅲ</w:t>
      </w:r>
      <w:r>
        <w:rPr>
          <w:rFonts w:cs="Times New Roman"/>
        </w:rPr>
        <w:t>类水体。本次环评评价标准地下水执行《地下水质量标准》（</w:t>
      </w:r>
      <w:r>
        <w:rPr>
          <w:rFonts w:cs="Times New Roman"/>
        </w:rPr>
        <w:t>GB/T14848-2017</w:t>
      </w:r>
      <w:r>
        <w:rPr>
          <w:rFonts w:cs="Times New Roman"/>
        </w:rPr>
        <w:t>）</w:t>
      </w:r>
      <w:r>
        <w:rPr>
          <w:rFonts w:cs="Times New Roman"/>
        </w:rPr>
        <w:t>Ⅲ</w:t>
      </w:r>
      <w:r>
        <w:rPr>
          <w:rFonts w:cs="Times New Roman"/>
        </w:rPr>
        <w:t>类标准</w:t>
      </w:r>
      <w:r>
        <w:rPr>
          <w:rFonts w:cs="Times New Roman" w:hint="eastAsia"/>
        </w:rPr>
        <w:t>。</w:t>
      </w:r>
    </w:p>
    <w:p w:rsidR="00525419" w:rsidRDefault="00EE1CF7">
      <w:pPr>
        <w:pStyle w:val="3a"/>
        <w:spacing w:beforeLines="50" w:before="156" w:after="156" w:line="360" w:lineRule="auto"/>
        <w:jc w:val="left"/>
        <w:rPr>
          <w:rFonts w:ascii="Times New Roman" w:eastAsia="华文楷体" w:hAnsi="Times New Roman"/>
        </w:rPr>
      </w:pPr>
      <w:r>
        <w:rPr>
          <w:rFonts w:ascii="Times New Roman" w:eastAsia="华文楷体" w:hAnsi="Times New Roman"/>
        </w:rPr>
        <w:t>2.5.3</w:t>
      </w:r>
      <w:r>
        <w:rPr>
          <w:rFonts w:ascii="Times New Roman" w:eastAsia="华文楷体" w:hAnsi="Times New Roman"/>
        </w:rPr>
        <w:t>声环境功能区划</w:t>
      </w:r>
    </w:p>
    <w:p w:rsidR="00525419" w:rsidRDefault="00EE1CF7">
      <w:pPr>
        <w:pStyle w:val="B1"/>
        <w:ind w:firstLine="480"/>
        <w:rPr>
          <w:rFonts w:cs="Times New Roman"/>
        </w:rPr>
      </w:pPr>
      <w:r>
        <w:rPr>
          <w:rFonts w:cs="Times New Roman"/>
        </w:rPr>
        <w:t>根据《声环境质量标准》（</w:t>
      </w:r>
      <w:r>
        <w:rPr>
          <w:rFonts w:cs="Times New Roman"/>
        </w:rPr>
        <w:t>GB3096-2008</w:t>
      </w:r>
      <w:r>
        <w:rPr>
          <w:rFonts w:cs="Times New Roman"/>
        </w:rPr>
        <w:t>）和《鄯善高新技术产业开发区噪声功能区划图》中功能区的划分，本项目位于鄯善高新技术产业开发区内，属于一般工业区，执行声环境质量标准</w:t>
      </w:r>
      <w:r>
        <w:rPr>
          <w:rFonts w:cs="Times New Roman"/>
        </w:rPr>
        <w:t>3</w:t>
      </w:r>
      <w:r>
        <w:rPr>
          <w:rFonts w:cs="Times New Roman"/>
        </w:rPr>
        <w:t>类标准。</w:t>
      </w:r>
    </w:p>
    <w:p w:rsidR="00525419" w:rsidRDefault="00EE1CF7">
      <w:pPr>
        <w:pStyle w:val="3a"/>
        <w:spacing w:beforeLines="50" w:before="156" w:after="156" w:line="360" w:lineRule="auto"/>
        <w:jc w:val="left"/>
        <w:rPr>
          <w:rFonts w:ascii="Times New Roman" w:eastAsia="华文楷体" w:hAnsi="Times New Roman"/>
        </w:rPr>
      </w:pPr>
      <w:r>
        <w:rPr>
          <w:rFonts w:ascii="Times New Roman" w:eastAsia="华文楷体" w:hAnsi="Times New Roman"/>
        </w:rPr>
        <w:t>2.5.4</w:t>
      </w:r>
      <w:r>
        <w:rPr>
          <w:rFonts w:ascii="Times New Roman" w:eastAsia="华文楷体" w:hAnsi="Times New Roman"/>
        </w:rPr>
        <w:t>土壤环境功能区划</w:t>
      </w:r>
    </w:p>
    <w:p w:rsidR="00525419" w:rsidRDefault="00EE1CF7">
      <w:pPr>
        <w:pStyle w:val="B1"/>
        <w:ind w:firstLineChars="0" w:firstLine="0"/>
        <w:rPr>
          <w:rFonts w:cs="Times New Roman"/>
        </w:rPr>
      </w:pPr>
      <w:r>
        <w:rPr>
          <w:rFonts w:cs="Times New Roman"/>
        </w:rPr>
        <w:t xml:space="preserve">    </w:t>
      </w:r>
      <w:r>
        <w:rPr>
          <w:rFonts w:cs="Times New Roman"/>
        </w:rPr>
        <w:t>根据《土壤环境质量</w:t>
      </w:r>
      <w:r>
        <w:rPr>
          <w:rFonts w:cs="Times New Roman"/>
        </w:rPr>
        <w:t xml:space="preserve">  </w:t>
      </w:r>
      <w:r>
        <w:rPr>
          <w:rFonts w:cs="Times New Roman"/>
        </w:rPr>
        <w:t>建设用地土壤污染风险管控标准》（</w:t>
      </w:r>
      <w:r>
        <w:rPr>
          <w:rFonts w:cs="Times New Roman"/>
        </w:rPr>
        <w:t>GB36600-2018</w:t>
      </w:r>
      <w:r>
        <w:rPr>
          <w:rFonts w:cs="Times New Roman"/>
        </w:rPr>
        <w:t>）</w:t>
      </w:r>
      <w:r>
        <w:rPr>
          <w:rFonts w:cs="Times New Roman"/>
        </w:rPr>
        <w:t xml:space="preserve"> </w:t>
      </w:r>
      <w:r>
        <w:rPr>
          <w:rFonts w:cs="Times New Roman"/>
        </w:rPr>
        <w:t>，本项目为工业用地，土壤中污染物含量等于或者低于该值的，对人体健康的风险可以忽略，执行</w:t>
      </w:r>
      <w:r>
        <w:rPr>
          <w:rFonts w:cs="Times New Roman"/>
        </w:rPr>
        <w:t>GB36600-2018</w:t>
      </w:r>
      <w:r>
        <w:rPr>
          <w:rFonts w:cs="Times New Roman"/>
        </w:rPr>
        <w:t>第二类用地筛选值。</w:t>
      </w:r>
    </w:p>
    <w:p w:rsidR="00525419" w:rsidRDefault="00EE1CF7">
      <w:pPr>
        <w:pStyle w:val="3a"/>
        <w:spacing w:beforeLines="50" w:before="156" w:after="156" w:line="360" w:lineRule="auto"/>
        <w:jc w:val="left"/>
        <w:rPr>
          <w:rFonts w:ascii="Times New Roman" w:eastAsia="华文楷体" w:hAnsi="Times New Roman"/>
        </w:rPr>
      </w:pPr>
      <w:r>
        <w:rPr>
          <w:rFonts w:ascii="Times New Roman" w:eastAsia="华文楷体" w:hAnsi="Times New Roman"/>
        </w:rPr>
        <w:t>2.5.5</w:t>
      </w:r>
      <w:r>
        <w:rPr>
          <w:rFonts w:ascii="Times New Roman" w:eastAsia="华文楷体" w:hAnsi="Times New Roman"/>
        </w:rPr>
        <w:t>生态功能区划</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根据《新疆生态功能区划》，规划所处评价区域属于天山南坡吐鲁番</w:t>
      </w:r>
      <w:r>
        <w:rPr>
          <w:rFonts w:ascii="Times New Roman" w:hAnsi="Times New Roman"/>
          <w:sz w:val="24"/>
        </w:rPr>
        <w:t>—</w:t>
      </w:r>
      <w:r>
        <w:rPr>
          <w:rFonts w:ascii="Times New Roman" w:hAnsi="Times New Roman"/>
          <w:sz w:val="24"/>
        </w:rPr>
        <w:t>哈密盆地戈壁荒漠、绿洲农业生态亚区、吐鲁番盆地绿洲外围防风固沙、油气勘探开发环境保护生态功能区。</w:t>
      </w:r>
    </w:p>
    <w:p w:rsidR="00525419" w:rsidRDefault="00EE1CF7">
      <w:pPr>
        <w:spacing w:line="360" w:lineRule="auto"/>
        <w:ind w:firstLineChars="200" w:firstLine="480"/>
        <w:rPr>
          <w:rFonts w:ascii="Times New Roman" w:hAnsi="Times New Roman"/>
          <w:sz w:val="24"/>
        </w:rPr>
      </w:pPr>
      <w:r>
        <w:rPr>
          <w:rFonts w:ascii="Times New Roman" w:hAnsi="Times New Roman"/>
          <w:sz w:val="24"/>
        </w:rPr>
        <w:lastRenderedPageBreak/>
        <w:t>项目厂址所在园区环境功能区划见图</w:t>
      </w:r>
      <w:r>
        <w:rPr>
          <w:rFonts w:ascii="Times New Roman" w:hAnsi="Times New Roman"/>
          <w:sz w:val="24"/>
        </w:rPr>
        <w:t>2.5-1</w:t>
      </w:r>
      <w:r>
        <w:rPr>
          <w:rFonts w:ascii="Times New Roman" w:hAnsi="Times New Roman"/>
          <w:sz w:val="24"/>
        </w:rPr>
        <w:t>。项目厂址生态功能区划见图</w:t>
      </w:r>
      <w:r>
        <w:rPr>
          <w:rFonts w:ascii="Times New Roman" w:hAnsi="Times New Roman"/>
          <w:sz w:val="24"/>
        </w:rPr>
        <w:t>2.5-2</w:t>
      </w:r>
      <w:r>
        <w:rPr>
          <w:rFonts w:ascii="Times New Roman" w:hAnsi="Times New Roman"/>
          <w:sz w:val="24"/>
        </w:rPr>
        <w:t>。</w:t>
      </w: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sectPr w:rsidR="00525419">
          <w:headerReference w:type="default" r:id="rId10"/>
          <w:footerReference w:type="default" r:id="rId11"/>
          <w:pgSz w:w="11906" w:h="16838"/>
          <w:pgMar w:top="1440" w:right="1800" w:bottom="1440" w:left="1800" w:header="851" w:footer="992" w:gutter="0"/>
          <w:pgNumType w:start="1"/>
          <w:cols w:space="425"/>
          <w:docGrid w:type="lines" w:linePitch="312"/>
        </w:sectPr>
      </w:pPr>
    </w:p>
    <w:p w:rsidR="00525419" w:rsidRDefault="00525419">
      <w:pPr>
        <w:rPr>
          <w:rFonts w:ascii="Times New Roman" w:hAnsi="Times New Roman"/>
        </w:rPr>
      </w:pPr>
    </w:p>
    <w:p w:rsidR="00525419" w:rsidRDefault="00525419">
      <w:pPr>
        <w:rPr>
          <w:rFonts w:ascii="Times New Roman" w:hAnsi="Times New Roman"/>
        </w:rPr>
      </w:pPr>
    </w:p>
    <w:p w:rsidR="00525419" w:rsidRDefault="007D0E8A">
      <w:pPr>
        <w:rPr>
          <w:rFonts w:ascii="Times New Roman" w:hAnsi="Times New Roman"/>
        </w:rPr>
      </w:pPr>
      <w:r>
        <w:rPr>
          <w:rFonts w:ascii="Times New Roman" w:hAnsi="Times New Roman"/>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032" o:spid="_x0000_s1037" type="#_x0000_t62" style="position:absolute;left:0;text-align:left;margin-left:137.25pt;margin-top:242.55pt;width:50.6pt;height:17.25pt;z-index:251634176;mso-width-relative:page;mso-height-relative:page" o:preferrelative="t" adj="33147,8390" strokecolor="red">
            <v:fill opacity="35389f"/>
            <v:stroke miterlimit="2"/>
            <v:textbox inset="0,.85pt,0,.85pt">
              <w:txbxContent>
                <w:p w:rsidR="00EE1CF7" w:rsidRDefault="00EE1CF7">
                  <w:pPr>
                    <w:snapToGrid w:val="0"/>
                    <w:jc w:val="center"/>
                    <w:rPr>
                      <w:b/>
                      <w:bCs/>
                      <w:color w:val="FF0000"/>
                      <w:szCs w:val="21"/>
                    </w:rPr>
                  </w:pPr>
                  <w:r>
                    <w:rPr>
                      <w:rFonts w:hint="eastAsia"/>
                      <w:b/>
                      <w:bCs/>
                      <w:color w:val="FF0000"/>
                      <w:szCs w:val="21"/>
                    </w:rPr>
                    <w:t>项目位置</w:t>
                  </w:r>
                </w:p>
              </w:txbxContent>
            </v:textbox>
          </v:shape>
        </w:pict>
      </w:r>
      <w:r>
        <w:rPr>
          <w:rFonts w:ascii="Times New Roman" w:hAnsi="Times New Roman"/>
        </w:rPr>
        <w:pict>
          <v:rect id="Rectangle 1031" o:spid="_x0000_s1038" style="position:absolute;left:0;text-align:left;margin-left:3in;margin-top:246.55pt;width:8.25pt;height:5.75pt;z-index:251633152;mso-width-relative:page;mso-height-relative:page" o:preferrelative="t" fillcolor="red" strokecolor="red" strokeweight="2pt">
            <v:fill opacity="0"/>
            <v:stroke miterlimit="2"/>
          </v:rect>
        </w:pict>
      </w:r>
    </w:p>
    <w:p w:rsidR="00525419" w:rsidRDefault="00EE1CF7">
      <w:pPr>
        <w:jc w:val="center"/>
        <w:rPr>
          <w:rFonts w:ascii="Times New Roman" w:hAnsi="Times New Roman"/>
          <w:b/>
          <w:sz w:val="24"/>
          <w:szCs w:val="24"/>
        </w:rPr>
      </w:pPr>
      <w:r>
        <w:rPr>
          <w:rFonts w:ascii="Times New Roman" w:hAnsi="Times New Roman"/>
          <w:b/>
          <w:sz w:val="24"/>
          <w:szCs w:val="24"/>
        </w:rPr>
        <w:t>图</w:t>
      </w:r>
      <w:r>
        <w:rPr>
          <w:rFonts w:ascii="Times New Roman" w:hAnsi="Times New Roman"/>
          <w:b/>
          <w:sz w:val="24"/>
          <w:szCs w:val="24"/>
        </w:rPr>
        <w:t>2.5-1</w:t>
      </w:r>
      <w:r>
        <w:rPr>
          <w:rFonts w:ascii="Times New Roman" w:hAnsi="Times New Roman"/>
          <w:b/>
          <w:sz w:val="24"/>
          <w:szCs w:val="24"/>
        </w:rPr>
        <w:t xml:space="preserve">　　项目厂址所在园区环境功能区划图</w:t>
      </w: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EE1CF7" w:rsidP="00EE1CF7">
      <w:pPr>
        <w:ind w:firstLineChars="1050" w:firstLine="2530"/>
        <w:rPr>
          <w:rFonts w:ascii="Times New Roman" w:hAnsi="Times New Roman"/>
          <w:b/>
          <w:sz w:val="24"/>
        </w:rPr>
      </w:pPr>
      <w:r>
        <w:rPr>
          <w:rFonts w:ascii="Times New Roman" w:hAnsi="Times New Roman"/>
          <w:b/>
          <w:sz w:val="24"/>
        </w:rPr>
        <w:t>图</w:t>
      </w:r>
      <w:r>
        <w:rPr>
          <w:rFonts w:ascii="Times New Roman" w:hAnsi="Times New Roman"/>
          <w:b/>
          <w:sz w:val="24"/>
        </w:rPr>
        <w:t xml:space="preserve">2.5-2   </w:t>
      </w:r>
      <w:r>
        <w:rPr>
          <w:rFonts w:ascii="Times New Roman" w:hAnsi="Times New Roman"/>
          <w:b/>
          <w:sz w:val="24"/>
        </w:rPr>
        <w:t>项目厂址所在生态环境功能区划位置</w:t>
      </w:r>
    </w:p>
    <w:p w:rsidR="00525419" w:rsidRDefault="00525419">
      <w:pPr>
        <w:rPr>
          <w:rFonts w:ascii="Times New Roman" w:hAnsi="Times New Roman"/>
        </w:rPr>
        <w:sectPr w:rsidR="00525419">
          <w:headerReference w:type="default" r:id="rId12"/>
          <w:footerReference w:type="default" r:id="rId13"/>
          <w:pgSz w:w="16838" w:h="11906" w:orient="landscape"/>
          <w:pgMar w:top="1797" w:right="1440" w:bottom="1797" w:left="1440" w:header="851" w:footer="992" w:gutter="0"/>
          <w:cols w:space="425"/>
          <w:docGrid w:type="linesAndChars" w:linePitch="312"/>
        </w:sectPr>
      </w:pPr>
    </w:p>
    <w:p w:rsidR="00525419" w:rsidRDefault="00EE1CF7">
      <w:pPr>
        <w:pStyle w:val="1a"/>
        <w:spacing w:before="120" w:after="0" w:line="360" w:lineRule="auto"/>
        <w:jc w:val="center"/>
        <w:rPr>
          <w:rFonts w:ascii="Times New Roman" w:eastAsia="楷体_GB2312" w:hAnsi="Times New Roman"/>
        </w:rPr>
      </w:pPr>
      <w:bookmarkStart w:id="38" w:name="_Toc5648"/>
      <w:r>
        <w:rPr>
          <w:rFonts w:ascii="Times New Roman" w:eastAsia="楷体_GB2312" w:hAnsi="Times New Roman"/>
        </w:rPr>
        <w:lastRenderedPageBreak/>
        <w:t>3</w:t>
      </w:r>
      <w:r>
        <w:rPr>
          <w:rFonts w:ascii="Times New Roman" w:eastAsia="楷体_GB2312" w:hAnsi="Times New Roman"/>
        </w:rPr>
        <w:t xml:space="preserve">　建设项目工程分析</w:t>
      </w:r>
      <w:bookmarkEnd w:id="38"/>
    </w:p>
    <w:p w:rsidR="00525419" w:rsidRDefault="00EE1CF7">
      <w:pPr>
        <w:pStyle w:val="2a"/>
        <w:spacing w:beforeLines="50" w:before="156" w:after="156"/>
        <w:ind w:left="578" w:hanging="578"/>
        <w:rPr>
          <w:rFonts w:ascii="Times New Roman" w:eastAsia="楷体_GB2312" w:hAnsi="Times New Roman"/>
          <w:sz w:val="36"/>
        </w:rPr>
      </w:pPr>
      <w:bookmarkStart w:id="39" w:name="_Toc30474"/>
      <w:bookmarkStart w:id="40" w:name="_Toc484775633"/>
      <w:r>
        <w:rPr>
          <w:rFonts w:ascii="Times New Roman" w:eastAsia="楷体_GB2312" w:hAnsi="Times New Roman"/>
          <w:sz w:val="36"/>
        </w:rPr>
        <w:t>3.1</w:t>
      </w:r>
      <w:r>
        <w:rPr>
          <w:rFonts w:ascii="Times New Roman" w:eastAsia="楷体_GB2312" w:hAnsi="Times New Roman"/>
          <w:sz w:val="36"/>
        </w:rPr>
        <w:t>变更后（本项目）基本概况</w:t>
      </w:r>
      <w:bookmarkEnd w:id="39"/>
    </w:p>
    <w:p w:rsidR="00525419" w:rsidRDefault="00EE1CF7">
      <w:pPr>
        <w:pStyle w:val="B1"/>
        <w:ind w:firstLine="480"/>
        <w:rPr>
          <w:rFonts w:cs="Times New Roman"/>
        </w:rPr>
      </w:pPr>
      <w:r>
        <w:rPr>
          <w:rFonts w:cs="Times New Roman"/>
        </w:rPr>
        <w:t>（</w:t>
      </w:r>
      <w:r>
        <w:rPr>
          <w:rFonts w:cs="Times New Roman"/>
        </w:rPr>
        <w:t>1</w:t>
      </w:r>
      <w:r>
        <w:rPr>
          <w:rFonts w:cs="Times New Roman"/>
        </w:rPr>
        <w:t>）项目名称：新疆美汇特石化产品有限公司</w:t>
      </w:r>
      <w:r>
        <w:rPr>
          <w:rFonts w:cs="Times New Roman"/>
        </w:rPr>
        <w:t>40</w:t>
      </w:r>
      <w:r>
        <w:rPr>
          <w:rFonts w:cs="Times New Roman"/>
        </w:rPr>
        <w:t>万吨</w:t>
      </w:r>
      <w:r>
        <w:rPr>
          <w:rFonts w:cs="Times New Roman"/>
        </w:rPr>
        <w:t>/</w:t>
      </w:r>
      <w:r>
        <w:rPr>
          <w:rFonts w:cs="Times New Roman"/>
        </w:rPr>
        <w:t>年煤焦油加氢及配套项目（变更）；</w:t>
      </w:r>
    </w:p>
    <w:p w:rsidR="00525419" w:rsidRDefault="00EE1CF7">
      <w:pPr>
        <w:pStyle w:val="B1"/>
        <w:ind w:firstLine="480"/>
        <w:rPr>
          <w:rFonts w:cs="Times New Roman"/>
        </w:rPr>
      </w:pPr>
      <w:r>
        <w:rPr>
          <w:rFonts w:cs="Times New Roman"/>
        </w:rPr>
        <w:t>（</w:t>
      </w:r>
      <w:r>
        <w:rPr>
          <w:rFonts w:cs="Times New Roman"/>
        </w:rPr>
        <w:t>2</w:t>
      </w:r>
      <w:r>
        <w:rPr>
          <w:rFonts w:cs="Times New Roman"/>
        </w:rPr>
        <w:t>）建设单位：新疆美汇特石化产品有限公司；</w:t>
      </w:r>
    </w:p>
    <w:p w:rsidR="00525419" w:rsidRDefault="00EE1CF7">
      <w:pPr>
        <w:pStyle w:val="B1"/>
        <w:ind w:firstLine="480"/>
        <w:rPr>
          <w:rFonts w:cs="Times New Roman"/>
        </w:rPr>
      </w:pPr>
      <w:r>
        <w:rPr>
          <w:rFonts w:cs="Times New Roman"/>
        </w:rPr>
        <w:t>（</w:t>
      </w:r>
      <w:r>
        <w:rPr>
          <w:rFonts w:cs="Times New Roman"/>
        </w:rPr>
        <w:t>3</w:t>
      </w:r>
      <w:r>
        <w:rPr>
          <w:rFonts w:cs="Times New Roman"/>
        </w:rPr>
        <w:t>）建设性质：新建；</w:t>
      </w:r>
    </w:p>
    <w:p w:rsidR="00525419" w:rsidRDefault="00EE1CF7">
      <w:pPr>
        <w:widowControl/>
        <w:spacing w:line="440" w:lineRule="exact"/>
        <w:ind w:firstLineChars="200" w:firstLine="48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4</w:t>
      </w:r>
      <w:r>
        <w:rPr>
          <w:rFonts w:ascii="Times New Roman" w:hAnsi="Times New Roman"/>
          <w:kern w:val="0"/>
          <w:sz w:val="24"/>
          <w:szCs w:val="24"/>
        </w:rPr>
        <w:t>）建设地点：鄯善高新技术产业开发区（鄯善工业园区）石化产业园，厂址中心地理坐标为</w:t>
      </w:r>
      <w:r>
        <w:rPr>
          <w:rFonts w:ascii="Times New Roman" w:hAnsi="Times New Roman"/>
          <w:kern w:val="0"/>
          <w:sz w:val="24"/>
          <w:szCs w:val="24"/>
        </w:rPr>
        <w:t>E90°27'46.24"</w:t>
      </w:r>
      <w:r>
        <w:rPr>
          <w:rFonts w:ascii="Times New Roman" w:hAnsi="Times New Roman"/>
          <w:kern w:val="0"/>
          <w:sz w:val="24"/>
          <w:szCs w:val="24"/>
        </w:rPr>
        <w:t>，</w:t>
      </w:r>
      <w:r>
        <w:rPr>
          <w:rFonts w:ascii="Times New Roman" w:hAnsi="Times New Roman"/>
          <w:kern w:val="0"/>
          <w:sz w:val="24"/>
          <w:szCs w:val="24"/>
        </w:rPr>
        <w:t>N43°3'33.20"</w:t>
      </w:r>
      <w:r>
        <w:rPr>
          <w:rFonts w:ascii="Times New Roman" w:hAnsi="Times New Roman"/>
          <w:kern w:val="0"/>
          <w:sz w:val="24"/>
          <w:szCs w:val="24"/>
        </w:rPr>
        <w:t>；</w:t>
      </w:r>
    </w:p>
    <w:p w:rsidR="00525419" w:rsidRDefault="00EE1CF7">
      <w:pPr>
        <w:pStyle w:val="B1"/>
        <w:ind w:firstLine="480"/>
        <w:rPr>
          <w:rFonts w:cs="Times New Roman"/>
        </w:rPr>
      </w:pPr>
      <w:r>
        <w:rPr>
          <w:rFonts w:cs="Times New Roman"/>
        </w:rPr>
        <w:t>（</w:t>
      </w:r>
      <w:r>
        <w:rPr>
          <w:rFonts w:cs="Times New Roman"/>
        </w:rPr>
        <w:t>5</w:t>
      </w:r>
      <w:r>
        <w:rPr>
          <w:rFonts w:cs="Times New Roman"/>
        </w:rPr>
        <w:t>）项目投资：</w:t>
      </w:r>
      <w:r>
        <w:rPr>
          <w:rFonts w:cs="Times New Roman"/>
        </w:rPr>
        <w:t>76371</w:t>
      </w:r>
      <w:r>
        <w:rPr>
          <w:rFonts w:cs="Times New Roman"/>
        </w:rPr>
        <w:t>万元；</w:t>
      </w:r>
    </w:p>
    <w:p w:rsidR="00525419" w:rsidRDefault="00EE1CF7">
      <w:pPr>
        <w:widowControl/>
        <w:spacing w:line="440" w:lineRule="exact"/>
        <w:ind w:firstLineChars="200" w:firstLine="48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6</w:t>
      </w:r>
      <w:r>
        <w:rPr>
          <w:rFonts w:ascii="Times New Roman" w:hAnsi="Times New Roman"/>
          <w:kern w:val="0"/>
          <w:sz w:val="24"/>
          <w:szCs w:val="24"/>
        </w:rPr>
        <w:t>）建设内容：本项目占地面积</w:t>
      </w:r>
      <w:r>
        <w:rPr>
          <w:rFonts w:ascii="Times New Roman" w:hAnsi="Times New Roman"/>
          <w:kern w:val="0"/>
          <w:sz w:val="24"/>
          <w:szCs w:val="24"/>
        </w:rPr>
        <w:t>25000m</w:t>
      </w:r>
      <w:r>
        <w:rPr>
          <w:rFonts w:ascii="Times New Roman" w:hAnsi="Times New Roman"/>
          <w:kern w:val="0"/>
          <w:sz w:val="24"/>
          <w:szCs w:val="24"/>
          <w:vertAlign w:val="superscript"/>
        </w:rPr>
        <w:t>2</w:t>
      </w:r>
      <w:r>
        <w:rPr>
          <w:rFonts w:ascii="Times New Roman" w:hAnsi="Times New Roman"/>
          <w:kern w:val="0"/>
          <w:sz w:val="24"/>
          <w:szCs w:val="24"/>
        </w:rPr>
        <w:t>，建设</w:t>
      </w:r>
      <w:r>
        <w:rPr>
          <w:rFonts w:ascii="Times New Roman" w:hAnsi="Times New Roman"/>
          <w:kern w:val="0"/>
          <w:sz w:val="24"/>
          <w:szCs w:val="24"/>
        </w:rPr>
        <w:t>40</w:t>
      </w:r>
      <w:r>
        <w:rPr>
          <w:rFonts w:ascii="Times New Roman" w:hAnsi="Times New Roman"/>
          <w:kern w:val="0"/>
          <w:sz w:val="24"/>
          <w:szCs w:val="24"/>
        </w:rPr>
        <w:t>万吨</w:t>
      </w:r>
      <w:r>
        <w:rPr>
          <w:rFonts w:ascii="Times New Roman" w:hAnsi="Times New Roman"/>
          <w:kern w:val="0"/>
          <w:sz w:val="24"/>
          <w:szCs w:val="24"/>
        </w:rPr>
        <w:t>/</w:t>
      </w:r>
      <w:r>
        <w:rPr>
          <w:rFonts w:ascii="Times New Roman" w:hAnsi="Times New Roman"/>
          <w:kern w:val="0"/>
          <w:sz w:val="24"/>
          <w:szCs w:val="24"/>
        </w:rPr>
        <w:t>年煤焦油加氢装置、</w:t>
      </w:r>
      <w:r>
        <w:rPr>
          <w:rFonts w:ascii="Times New Roman" w:hAnsi="Times New Roman"/>
          <w:kern w:val="0"/>
          <w:sz w:val="24"/>
          <w:szCs w:val="24"/>
        </w:rPr>
        <w:t>25000Nm</w:t>
      </w:r>
      <w:r>
        <w:rPr>
          <w:rFonts w:ascii="Times New Roman" w:hAnsi="Times New Roman"/>
          <w:kern w:val="0"/>
          <w:sz w:val="24"/>
          <w:szCs w:val="24"/>
          <w:vertAlign w:val="superscript"/>
        </w:rPr>
        <w:t>3</w:t>
      </w:r>
      <w:r>
        <w:rPr>
          <w:rFonts w:ascii="Times New Roman" w:hAnsi="Times New Roman"/>
          <w:kern w:val="0"/>
          <w:sz w:val="24"/>
          <w:szCs w:val="24"/>
        </w:rPr>
        <w:t>/h</w:t>
      </w:r>
      <w:r>
        <w:rPr>
          <w:rFonts w:ascii="Times New Roman" w:hAnsi="Times New Roman"/>
          <w:kern w:val="0"/>
          <w:sz w:val="24"/>
          <w:szCs w:val="24"/>
        </w:rPr>
        <w:t>天然气制氢装置、</w:t>
      </w:r>
      <w:r>
        <w:rPr>
          <w:rFonts w:ascii="Times New Roman" w:hAnsi="Times New Roman"/>
          <w:kern w:val="0"/>
          <w:sz w:val="24"/>
          <w:szCs w:val="24"/>
        </w:rPr>
        <w:t>1.5</w:t>
      </w:r>
      <w:r>
        <w:rPr>
          <w:rFonts w:ascii="Times New Roman" w:hAnsi="Times New Roman"/>
          <w:kern w:val="0"/>
          <w:sz w:val="24"/>
          <w:szCs w:val="24"/>
        </w:rPr>
        <w:t>万吨</w:t>
      </w:r>
      <w:r>
        <w:rPr>
          <w:rFonts w:ascii="Times New Roman" w:hAnsi="Times New Roman"/>
          <w:kern w:val="0"/>
          <w:sz w:val="24"/>
          <w:szCs w:val="24"/>
        </w:rPr>
        <w:t>/</w:t>
      </w:r>
      <w:r>
        <w:rPr>
          <w:rFonts w:ascii="Times New Roman" w:hAnsi="Times New Roman"/>
          <w:kern w:val="0"/>
          <w:sz w:val="24"/>
          <w:szCs w:val="24"/>
        </w:rPr>
        <w:t>年硫磺回收装置（含</w:t>
      </w:r>
      <w:r>
        <w:rPr>
          <w:rFonts w:ascii="Times New Roman" w:hAnsi="Times New Roman"/>
          <w:kern w:val="0"/>
          <w:sz w:val="24"/>
          <w:szCs w:val="24"/>
        </w:rPr>
        <w:t>55t/h</w:t>
      </w:r>
      <w:r>
        <w:rPr>
          <w:rFonts w:ascii="Times New Roman" w:hAnsi="Times New Roman"/>
          <w:kern w:val="0"/>
          <w:sz w:val="24"/>
          <w:szCs w:val="24"/>
        </w:rPr>
        <w:t>酸性水汽提单元、</w:t>
      </w:r>
      <w:r>
        <w:rPr>
          <w:rFonts w:ascii="Times New Roman" w:hAnsi="Times New Roman"/>
          <w:kern w:val="0"/>
          <w:sz w:val="24"/>
          <w:szCs w:val="24"/>
        </w:rPr>
        <w:t>40t/h</w:t>
      </w:r>
      <w:r>
        <w:rPr>
          <w:rFonts w:ascii="Times New Roman" w:hAnsi="Times New Roman"/>
          <w:kern w:val="0"/>
          <w:sz w:val="24"/>
          <w:szCs w:val="24"/>
        </w:rPr>
        <w:t>溶剂再生单元及</w:t>
      </w:r>
      <w:r>
        <w:rPr>
          <w:rFonts w:ascii="Times New Roman" w:hAnsi="Times New Roman"/>
          <w:kern w:val="0"/>
          <w:sz w:val="24"/>
          <w:szCs w:val="24"/>
        </w:rPr>
        <w:t>1.5</w:t>
      </w:r>
      <w:r>
        <w:rPr>
          <w:rFonts w:ascii="Times New Roman" w:hAnsi="Times New Roman"/>
          <w:kern w:val="0"/>
          <w:sz w:val="24"/>
          <w:szCs w:val="24"/>
        </w:rPr>
        <w:t>万吨</w:t>
      </w:r>
      <w:r>
        <w:rPr>
          <w:rFonts w:ascii="Times New Roman" w:hAnsi="Times New Roman"/>
          <w:kern w:val="0"/>
          <w:sz w:val="24"/>
          <w:szCs w:val="24"/>
        </w:rPr>
        <w:t>/</w:t>
      </w:r>
      <w:r>
        <w:rPr>
          <w:rFonts w:ascii="Times New Roman" w:hAnsi="Times New Roman"/>
          <w:kern w:val="0"/>
          <w:sz w:val="24"/>
          <w:szCs w:val="24"/>
        </w:rPr>
        <w:t>年硫磺回收单元）和辅助设施及公用工程组成。</w:t>
      </w:r>
    </w:p>
    <w:p w:rsidR="00525419" w:rsidRDefault="00EE1CF7">
      <w:pPr>
        <w:pStyle w:val="B1"/>
        <w:ind w:firstLine="480"/>
        <w:rPr>
          <w:rFonts w:cs="Times New Roman"/>
        </w:rPr>
      </w:pPr>
      <w:r>
        <w:rPr>
          <w:rFonts w:cs="Times New Roman"/>
        </w:rPr>
        <w:t>（</w:t>
      </w:r>
      <w:r>
        <w:rPr>
          <w:rFonts w:cs="Times New Roman"/>
        </w:rPr>
        <w:t>7</w:t>
      </w:r>
      <w:r>
        <w:rPr>
          <w:rFonts w:cs="Times New Roman"/>
        </w:rPr>
        <w:t>）劳动定员及生产制度：劳动定员</w:t>
      </w:r>
      <w:r>
        <w:rPr>
          <w:rFonts w:cs="Times New Roman"/>
        </w:rPr>
        <w:t>90</w:t>
      </w:r>
      <w:r>
        <w:rPr>
          <w:rFonts w:cs="Times New Roman"/>
        </w:rPr>
        <w:t>人，运营期生产工人和值班技术人员实行四班三运转制，全年运行</w:t>
      </w:r>
      <w:r>
        <w:rPr>
          <w:rFonts w:cs="Times New Roman"/>
        </w:rPr>
        <w:t>333</w:t>
      </w:r>
      <w:r>
        <w:rPr>
          <w:rFonts w:cs="Times New Roman" w:hint="eastAsia"/>
        </w:rPr>
        <w:t>d</w:t>
      </w:r>
      <w:r>
        <w:rPr>
          <w:rFonts w:cs="Times New Roman"/>
        </w:rPr>
        <w:t>，操作时间</w:t>
      </w:r>
      <w:r>
        <w:rPr>
          <w:rFonts w:cs="Times New Roman"/>
        </w:rPr>
        <w:t>8000</w:t>
      </w:r>
      <w:r>
        <w:rPr>
          <w:rFonts w:cs="Times New Roman" w:hint="eastAsia"/>
        </w:rPr>
        <w:t>h</w:t>
      </w:r>
      <w:r>
        <w:rPr>
          <w:rFonts w:cs="Times New Roman"/>
        </w:rPr>
        <w:t>。</w:t>
      </w:r>
    </w:p>
    <w:p w:rsidR="00525419" w:rsidRDefault="00EE1CF7">
      <w:pPr>
        <w:pStyle w:val="B1"/>
        <w:ind w:firstLine="480"/>
        <w:rPr>
          <w:rFonts w:cs="Times New Roman"/>
        </w:rPr>
      </w:pPr>
      <w:r>
        <w:rPr>
          <w:rFonts w:cs="Times New Roman"/>
        </w:rPr>
        <w:t>（</w:t>
      </w:r>
      <w:r>
        <w:rPr>
          <w:rFonts w:cs="Times New Roman"/>
        </w:rPr>
        <w:t>8</w:t>
      </w:r>
      <w:r>
        <w:rPr>
          <w:rFonts w:cs="Times New Roman"/>
        </w:rPr>
        <w:t>）建设情况：目前建设内容均已建成。</w:t>
      </w:r>
    </w:p>
    <w:p w:rsidR="00525419" w:rsidRDefault="00EE1CF7">
      <w:pPr>
        <w:pStyle w:val="2a"/>
        <w:spacing w:beforeLines="50" w:before="156" w:after="156"/>
        <w:ind w:left="578" w:hanging="578"/>
        <w:rPr>
          <w:rFonts w:ascii="Times New Roman" w:eastAsia="楷体_GB2312" w:hAnsi="Times New Roman"/>
          <w:sz w:val="36"/>
        </w:rPr>
      </w:pPr>
      <w:bookmarkStart w:id="41" w:name="_Toc20126"/>
      <w:r>
        <w:rPr>
          <w:rFonts w:ascii="Times New Roman" w:eastAsia="楷体_GB2312" w:hAnsi="Times New Roman"/>
          <w:sz w:val="36"/>
        </w:rPr>
        <w:t>3.2</w:t>
      </w:r>
      <w:bookmarkEnd w:id="40"/>
      <w:r>
        <w:rPr>
          <w:rFonts w:ascii="Times New Roman" w:eastAsia="楷体_GB2312" w:hAnsi="Times New Roman"/>
          <w:sz w:val="36"/>
        </w:rPr>
        <w:t>现有工程概况</w:t>
      </w:r>
      <w:bookmarkEnd w:id="41"/>
    </w:p>
    <w:p w:rsidR="00525419" w:rsidRDefault="00EE1CF7">
      <w:pPr>
        <w:snapToGrid w:val="0"/>
        <w:spacing w:line="360" w:lineRule="auto"/>
        <w:ind w:firstLineChars="200" w:firstLine="480"/>
        <w:rPr>
          <w:rFonts w:ascii="Times New Roman" w:hAnsi="Times New Roman"/>
          <w:sz w:val="24"/>
        </w:rPr>
      </w:pPr>
      <w:r>
        <w:rPr>
          <w:rFonts w:ascii="Times New Roman" w:hAnsi="Times New Roman"/>
          <w:sz w:val="24"/>
        </w:rPr>
        <w:t>新疆美汇特石化产品有限公司（以下简称美汇特公司）是一家以生产经营高等级道路沥青和改性沥青为主的民营石化企业，公司成立于</w:t>
      </w:r>
      <w:r>
        <w:rPr>
          <w:rFonts w:ascii="Times New Roman" w:hAnsi="Times New Roman"/>
          <w:sz w:val="24"/>
        </w:rPr>
        <w:t xml:space="preserve"> 2007 </w:t>
      </w:r>
      <w:r>
        <w:rPr>
          <w:rFonts w:ascii="Times New Roman" w:hAnsi="Times New Roman"/>
          <w:sz w:val="24"/>
        </w:rPr>
        <w:t>年</w:t>
      </w:r>
      <w:r>
        <w:rPr>
          <w:rFonts w:ascii="Times New Roman" w:hAnsi="Times New Roman"/>
          <w:sz w:val="24"/>
        </w:rPr>
        <w:t xml:space="preserve"> 3 </w:t>
      </w:r>
      <w:r>
        <w:rPr>
          <w:rFonts w:ascii="Times New Roman" w:hAnsi="Times New Roman"/>
          <w:sz w:val="24"/>
        </w:rPr>
        <w:t>月</w:t>
      </w:r>
      <w:r>
        <w:rPr>
          <w:rFonts w:ascii="Times New Roman" w:hAnsi="Times New Roman"/>
          <w:sz w:val="24"/>
        </w:rPr>
        <w:t xml:space="preserve"> 2 </w:t>
      </w:r>
      <w:r>
        <w:rPr>
          <w:rFonts w:ascii="Times New Roman" w:hAnsi="Times New Roman"/>
          <w:sz w:val="24"/>
        </w:rPr>
        <w:t>日，注册地址吐鲁番市鄯善工业园区，注册资本</w:t>
      </w:r>
      <w:r>
        <w:rPr>
          <w:rFonts w:ascii="Times New Roman" w:hAnsi="Times New Roman"/>
          <w:sz w:val="24"/>
        </w:rPr>
        <w:t xml:space="preserve"> 15 </w:t>
      </w:r>
      <w:r>
        <w:rPr>
          <w:rFonts w:ascii="Times New Roman" w:hAnsi="Times New Roman"/>
          <w:sz w:val="24"/>
        </w:rPr>
        <w:t>亿元人民币，占地面积</w:t>
      </w:r>
      <w:r>
        <w:rPr>
          <w:rFonts w:ascii="Times New Roman" w:hAnsi="Times New Roman"/>
          <w:sz w:val="24"/>
        </w:rPr>
        <w:t xml:space="preserve">660 </w:t>
      </w:r>
      <w:r>
        <w:rPr>
          <w:rFonts w:ascii="Times New Roman" w:hAnsi="Times New Roman"/>
          <w:sz w:val="24"/>
        </w:rPr>
        <w:t>亩，公司现有员工</w:t>
      </w:r>
      <w:r>
        <w:rPr>
          <w:rFonts w:ascii="Times New Roman" w:hAnsi="Times New Roman"/>
          <w:sz w:val="24"/>
        </w:rPr>
        <w:t xml:space="preserve"> 480</w:t>
      </w:r>
      <w:r>
        <w:rPr>
          <w:rFonts w:ascii="Times New Roman" w:hAnsi="Times New Roman"/>
          <w:sz w:val="24"/>
        </w:rPr>
        <w:t>人。</w:t>
      </w:r>
      <w:r>
        <w:rPr>
          <w:rFonts w:ascii="Times New Roman" w:hAnsi="Times New Roman"/>
          <w:sz w:val="24"/>
        </w:rPr>
        <w:t xml:space="preserve"> </w:t>
      </w:r>
    </w:p>
    <w:p w:rsidR="00525419" w:rsidRDefault="00EE1CF7">
      <w:pPr>
        <w:pStyle w:val="3a"/>
        <w:spacing w:beforeLines="50" w:before="156" w:after="156" w:line="360" w:lineRule="auto"/>
        <w:jc w:val="left"/>
        <w:rPr>
          <w:rFonts w:ascii="Times New Roman" w:eastAsia="华文楷体" w:hAnsi="Times New Roman"/>
        </w:rPr>
      </w:pPr>
      <w:r>
        <w:rPr>
          <w:rFonts w:ascii="Times New Roman" w:eastAsia="华文楷体" w:hAnsi="Times New Roman"/>
        </w:rPr>
        <w:t>3.2.1</w:t>
      </w:r>
      <w:r>
        <w:rPr>
          <w:rFonts w:ascii="Times New Roman" w:eastAsia="华文楷体" w:hAnsi="Times New Roman"/>
        </w:rPr>
        <w:t>现有工程建设历程及环保手续回顾</w:t>
      </w:r>
    </w:p>
    <w:p w:rsidR="00525419" w:rsidRDefault="00EE1CF7">
      <w:pPr>
        <w:spacing w:line="360" w:lineRule="auto"/>
        <w:ind w:firstLineChars="250" w:firstLine="600"/>
        <w:rPr>
          <w:rFonts w:ascii="Times New Roman" w:eastAsia="黑体" w:hAnsi="Times New Roman"/>
          <w:szCs w:val="21"/>
        </w:rPr>
      </w:pPr>
      <w:r>
        <w:rPr>
          <w:rFonts w:ascii="Times New Roman" w:hAnsi="Times New Roman"/>
          <w:sz w:val="24"/>
        </w:rPr>
        <w:t>新疆美汇特石化产品有限公司项目建设情况见表</w:t>
      </w:r>
      <w:r>
        <w:rPr>
          <w:rFonts w:ascii="Times New Roman" w:hAnsi="Times New Roman"/>
          <w:sz w:val="24"/>
        </w:rPr>
        <w:t>3.2-1</w:t>
      </w:r>
      <w:r>
        <w:rPr>
          <w:rFonts w:ascii="Times New Roman" w:hAnsi="Times New Roman"/>
          <w:sz w:val="24"/>
        </w:rPr>
        <w:t>。</w:t>
      </w:r>
    </w:p>
    <w:p w:rsidR="00525419" w:rsidRDefault="00EE1CF7">
      <w:pPr>
        <w:ind w:firstLineChars="250" w:firstLine="525"/>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3.2-1</w:t>
      </w:r>
      <w:r>
        <w:rPr>
          <w:rFonts w:ascii="Times New Roman" w:eastAsia="黑体" w:hAnsi="Times New Roman"/>
          <w:szCs w:val="21"/>
        </w:rPr>
        <w:t xml:space="preserve">　　　　新疆美汇特石化产品有限公司各建设项目概况汇总一览表</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4"/>
        <w:gridCol w:w="1900"/>
        <w:gridCol w:w="1441"/>
        <w:gridCol w:w="994"/>
        <w:gridCol w:w="816"/>
        <w:gridCol w:w="1079"/>
        <w:gridCol w:w="1758"/>
      </w:tblGrid>
      <w:tr w:rsidR="00525419">
        <w:trPr>
          <w:jc w:val="center"/>
        </w:trPr>
        <w:tc>
          <w:tcPr>
            <w:tcW w:w="534"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序号</w:t>
            </w:r>
          </w:p>
        </w:tc>
        <w:tc>
          <w:tcPr>
            <w:tcW w:w="190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建设项目名称</w:t>
            </w:r>
          </w:p>
        </w:tc>
        <w:tc>
          <w:tcPr>
            <w:tcW w:w="1441"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实际建设</w:t>
            </w:r>
          </w:p>
          <w:p w:rsidR="00525419" w:rsidRDefault="00EE1CF7">
            <w:pPr>
              <w:spacing w:line="240" w:lineRule="atLeast"/>
              <w:rPr>
                <w:rFonts w:ascii="Times New Roman" w:hAnsi="Times New Roman"/>
                <w:szCs w:val="21"/>
              </w:rPr>
            </w:pPr>
            <w:r>
              <w:rPr>
                <w:rFonts w:ascii="Times New Roman" w:hAnsi="Times New Roman"/>
                <w:szCs w:val="21"/>
              </w:rPr>
              <w:t>内容</w:t>
            </w:r>
          </w:p>
        </w:tc>
        <w:tc>
          <w:tcPr>
            <w:tcW w:w="994"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目前运行或建设状态</w:t>
            </w:r>
          </w:p>
        </w:tc>
        <w:tc>
          <w:tcPr>
            <w:tcW w:w="816"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kern w:val="0"/>
                <w:szCs w:val="21"/>
              </w:rPr>
            </w:pPr>
            <w:r>
              <w:rPr>
                <w:rFonts w:ascii="Times New Roman" w:hAnsi="Times New Roman"/>
                <w:kern w:val="0"/>
                <w:szCs w:val="21"/>
              </w:rPr>
              <w:t>项目建设时间</w:t>
            </w:r>
          </w:p>
        </w:tc>
        <w:tc>
          <w:tcPr>
            <w:tcW w:w="1079"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kern w:val="0"/>
                <w:szCs w:val="21"/>
              </w:rPr>
            </w:pPr>
            <w:r>
              <w:rPr>
                <w:rFonts w:ascii="Times New Roman" w:hAnsi="Times New Roman"/>
                <w:kern w:val="0"/>
                <w:szCs w:val="21"/>
              </w:rPr>
              <w:t>项目试运</w:t>
            </w:r>
          </w:p>
          <w:p w:rsidR="00525419" w:rsidRDefault="00EE1CF7">
            <w:pPr>
              <w:autoSpaceDE w:val="0"/>
              <w:autoSpaceDN w:val="0"/>
              <w:adjustRightInd w:val="0"/>
              <w:spacing w:line="240" w:lineRule="atLeast"/>
              <w:rPr>
                <w:rFonts w:ascii="Times New Roman" w:hAnsi="Times New Roman"/>
                <w:kern w:val="0"/>
                <w:szCs w:val="21"/>
              </w:rPr>
            </w:pPr>
            <w:r>
              <w:rPr>
                <w:rFonts w:ascii="Times New Roman" w:hAnsi="Times New Roman"/>
                <w:kern w:val="0"/>
                <w:szCs w:val="21"/>
              </w:rPr>
              <w:t>行时间</w:t>
            </w:r>
          </w:p>
        </w:tc>
        <w:tc>
          <w:tcPr>
            <w:tcW w:w="175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bCs/>
                <w:szCs w:val="21"/>
              </w:rPr>
              <w:t>环保</w:t>
            </w:r>
            <w:r>
              <w:rPr>
                <w:rFonts w:ascii="Times New Roman" w:hAnsi="Times New Roman"/>
                <w:bCs/>
                <w:szCs w:val="21"/>
              </w:rPr>
              <w:t>“</w:t>
            </w:r>
            <w:r>
              <w:rPr>
                <w:rFonts w:ascii="Times New Roman" w:hAnsi="Times New Roman"/>
                <w:bCs/>
                <w:szCs w:val="21"/>
              </w:rPr>
              <w:t>三同时</w:t>
            </w:r>
            <w:r>
              <w:rPr>
                <w:rFonts w:ascii="Times New Roman" w:hAnsi="Times New Roman"/>
                <w:bCs/>
                <w:szCs w:val="21"/>
              </w:rPr>
              <w:t>”</w:t>
            </w:r>
            <w:r>
              <w:rPr>
                <w:rFonts w:ascii="Times New Roman" w:hAnsi="Times New Roman"/>
                <w:bCs/>
                <w:szCs w:val="21"/>
              </w:rPr>
              <w:t>执行情况</w:t>
            </w:r>
          </w:p>
        </w:tc>
      </w:tr>
      <w:tr w:rsidR="00525419">
        <w:trPr>
          <w:jc w:val="center"/>
        </w:trPr>
        <w:tc>
          <w:tcPr>
            <w:tcW w:w="534"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1</w:t>
            </w:r>
          </w:p>
        </w:tc>
        <w:tc>
          <w:tcPr>
            <w:tcW w:w="190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50</w:t>
            </w:r>
            <w:r>
              <w:rPr>
                <w:rFonts w:ascii="Times New Roman" w:hAnsi="Times New Roman"/>
                <w:szCs w:val="21"/>
              </w:rPr>
              <w:t>万吨年高等级</w:t>
            </w:r>
            <w:r>
              <w:rPr>
                <w:rFonts w:ascii="Times New Roman" w:hAnsi="Times New Roman"/>
                <w:szCs w:val="21"/>
              </w:rPr>
              <w:lastRenderedPageBreak/>
              <w:t>道路沥青及改性沥青项目环境影响报告书</w:t>
            </w:r>
          </w:p>
        </w:tc>
        <w:tc>
          <w:tcPr>
            <w:tcW w:w="1441"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lastRenderedPageBreak/>
              <w:t>20</w:t>
            </w:r>
            <w:r>
              <w:rPr>
                <w:rFonts w:ascii="Times New Roman" w:hAnsi="Times New Roman"/>
                <w:szCs w:val="21"/>
              </w:rPr>
              <w:t>万吨年</w:t>
            </w:r>
          </w:p>
        </w:tc>
        <w:tc>
          <w:tcPr>
            <w:tcW w:w="994"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目前</w:t>
            </w:r>
          </w:p>
          <w:p w:rsidR="00525419" w:rsidRDefault="00EE1CF7">
            <w:pPr>
              <w:spacing w:line="240" w:lineRule="atLeast"/>
              <w:rPr>
                <w:rFonts w:ascii="Times New Roman" w:hAnsi="Times New Roman"/>
                <w:szCs w:val="21"/>
              </w:rPr>
            </w:pPr>
            <w:r>
              <w:rPr>
                <w:rFonts w:ascii="Times New Roman" w:hAnsi="Times New Roman"/>
                <w:szCs w:val="21"/>
              </w:rPr>
              <w:lastRenderedPageBreak/>
              <w:t>运营</w:t>
            </w:r>
          </w:p>
        </w:tc>
        <w:tc>
          <w:tcPr>
            <w:tcW w:w="81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lastRenderedPageBreak/>
              <w:t>2008</w:t>
            </w:r>
            <w:r>
              <w:rPr>
                <w:rFonts w:ascii="Times New Roman" w:hAnsi="Times New Roman"/>
                <w:szCs w:val="21"/>
              </w:rPr>
              <w:lastRenderedPageBreak/>
              <w:t>年</w:t>
            </w:r>
            <w:r>
              <w:rPr>
                <w:rFonts w:ascii="Times New Roman" w:hAnsi="Times New Roman"/>
                <w:szCs w:val="21"/>
              </w:rPr>
              <w:t>1</w:t>
            </w:r>
            <w:r>
              <w:rPr>
                <w:rFonts w:ascii="Times New Roman" w:hAnsi="Times New Roman"/>
                <w:szCs w:val="21"/>
              </w:rPr>
              <w:t>月</w:t>
            </w:r>
          </w:p>
        </w:tc>
        <w:tc>
          <w:tcPr>
            <w:tcW w:w="107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lastRenderedPageBreak/>
              <w:t>2011</w:t>
            </w:r>
            <w:r>
              <w:rPr>
                <w:rFonts w:ascii="Times New Roman" w:hAnsi="Times New Roman"/>
                <w:szCs w:val="21"/>
              </w:rPr>
              <w:t>年</w:t>
            </w:r>
            <w:r>
              <w:rPr>
                <w:rFonts w:ascii="Times New Roman" w:hAnsi="Times New Roman"/>
                <w:szCs w:val="21"/>
              </w:rPr>
              <w:t>5</w:t>
            </w:r>
            <w:r>
              <w:rPr>
                <w:rFonts w:ascii="Times New Roman" w:hAnsi="Times New Roman"/>
                <w:szCs w:val="21"/>
              </w:rPr>
              <w:lastRenderedPageBreak/>
              <w:t>月</w:t>
            </w:r>
          </w:p>
        </w:tc>
        <w:tc>
          <w:tcPr>
            <w:tcW w:w="175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lastRenderedPageBreak/>
              <w:t>有环境影响评价</w:t>
            </w:r>
            <w:r>
              <w:rPr>
                <w:rFonts w:ascii="Times New Roman" w:hAnsi="Times New Roman"/>
                <w:szCs w:val="21"/>
              </w:rPr>
              <w:lastRenderedPageBreak/>
              <w:t>和竣工验收手续</w:t>
            </w:r>
          </w:p>
        </w:tc>
      </w:tr>
      <w:tr w:rsidR="00525419">
        <w:trPr>
          <w:trHeight w:val="751"/>
          <w:jc w:val="center"/>
        </w:trPr>
        <w:tc>
          <w:tcPr>
            <w:tcW w:w="534"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lastRenderedPageBreak/>
              <w:t>2</w:t>
            </w:r>
          </w:p>
        </w:tc>
        <w:tc>
          <w:tcPr>
            <w:tcW w:w="190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120</w:t>
            </w:r>
            <w:r>
              <w:rPr>
                <w:rFonts w:ascii="Times New Roman" w:hAnsi="Times New Roman"/>
                <w:szCs w:val="21"/>
              </w:rPr>
              <w:t>万吨年高等级道路沥青及改性沥青改扩建项目环境影响报告书</w:t>
            </w:r>
          </w:p>
        </w:tc>
        <w:tc>
          <w:tcPr>
            <w:tcW w:w="1441"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120</w:t>
            </w:r>
            <w:r>
              <w:rPr>
                <w:rFonts w:ascii="Times New Roman" w:hAnsi="Times New Roman"/>
                <w:szCs w:val="21"/>
              </w:rPr>
              <w:t>万吨年</w:t>
            </w:r>
          </w:p>
        </w:tc>
        <w:tc>
          <w:tcPr>
            <w:tcW w:w="994"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目前</w:t>
            </w:r>
          </w:p>
          <w:p w:rsidR="00525419" w:rsidRDefault="00EE1CF7">
            <w:pPr>
              <w:spacing w:line="240" w:lineRule="atLeast"/>
              <w:rPr>
                <w:rFonts w:ascii="Times New Roman" w:hAnsi="Times New Roman"/>
                <w:szCs w:val="21"/>
              </w:rPr>
            </w:pPr>
            <w:r>
              <w:rPr>
                <w:rFonts w:ascii="Times New Roman" w:hAnsi="Times New Roman"/>
                <w:szCs w:val="21"/>
              </w:rPr>
              <w:t>运营</w:t>
            </w:r>
          </w:p>
        </w:tc>
        <w:tc>
          <w:tcPr>
            <w:tcW w:w="81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2013</w:t>
            </w:r>
            <w:r>
              <w:rPr>
                <w:rFonts w:ascii="Times New Roman" w:hAnsi="Times New Roman"/>
                <w:szCs w:val="21"/>
              </w:rPr>
              <w:t>年</w:t>
            </w:r>
            <w:r>
              <w:rPr>
                <w:rFonts w:ascii="Times New Roman" w:hAnsi="Times New Roman"/>
                <w:szCs w:val="21"/>
              </w:rPr>
              <w:t>2</w:t>
            </w:r>
            <w:r>
              <w:rPr>
                <w:rFonts w:ascii="Times New Roman" w:hAnsi="Times New Roman"/>
                <w:szCs w:val="21"/>
              </w:rPr>
              <w:t>月</w:t>
            </w:r>
          </w:p>
        </w:tc>
        <w:tc>
          <w:tcPr>
            <w:tcW w:w="107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2015</w:t>
            </w:r>
            <w:r>
              <w:rPr>
                <w:rFonts w:ascii="Times New Roman" w:hAnsi="Times New Roman"/>
                <w:szCs w:val="21"/>
              </w:rPr>
              <w:t>年</w:t>
            </w:r>
            <w:r>
              <w:rPr>
                <w:rFonts w:ascii="Times New Roman" w:hAnsi="Times New Roman"/>
                <w:szCs w:val="21"/>
              </w:rPr>
              <w:t>8</w:t>
            </w:r>
            <w:r>
              <w:rPr>
                <w:rFonts w:ascii="Times New Roman" w:hAnsi="Times New Roman"/>
                <w:szCs w:val="21"/>
              </w:rPr>
              <w:t>月</w:t>
            </w:r>
          </w:p>
        </w:tc>
        <w:tc>
          <w:tcPr>
            <w:tcW w:w="175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有环境影响评价和竣工验收手续</w:t>
            </w:r>
          </w:p>
        </w:tc>
      </w:tr>
      <w:tr w:rsidR="00525419">
        <w:trPr>
          <w:trHeight w:val="751"/>
          <w:jc w:val="center"/>
        </w:trPr>
        <w:tc>
          <w:tcPr>
            <w:tcW w:w="534"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3</w:t>
            </w:r>
          </w:p>
        </w:tc>
        <w:tc>
          <w:tcPr>
            <w:tcW w:w="190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2</w:t>
            </w:r>
            <w:r>
              <w:rPr>
                <w:rFonts w:ascii="Times New Roman" w:hAnsi="Times New Roman"/>
                <w:szCs w:val="21"/>
              </w:rPr>
              <w:t>万立方米成品油储油库项目环境影响报告表</w:t>
            </w:r>
          </w:p>
        </w:tc>
        <w:tc>
          <w:tcPr>
            <w:tcW w:w="1441"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3×5000m</w:t>
            </w:r>
            <w:r>
              <w:rPr>
                <w:rFonts w:ascii="Times New Roman" w:hAnsi="Times New Roman"/>
                <w:szCs w:val="21"/>
                <w:vertAlign w:val="superscript"/>
              </w:rPr>
              <w:t>3</w:t>
            </w:r>
            <w:r>
              <w:rPr>
                <w:rFonts w:ascii="Times New Roman" w:hAnsi="Times New Roman"/>
                <w:szCs w:val="21"/>
              </w:rPr>
              <w:t>柴油罐；</w:t>
            </w:r>
            <w:r>
              <w:rPr>
                <w:rFonts w:ascii="Times New Roman" w:hAnsi="Times New Roman"/>
                <w:szCs w:val="21"/>
              </w:rPr>
              <w:t>1×5000m</w:t>
            </w:r>
            <w:r>
              <w:rPr>
                <w:rFonts w:ascii="Times New Roman" w:hAnsi="Times New Roman"/>
                <w:szCs w:val="21"/>
                <w:vertAlign w:val="superscript"/>
              </w:rPr>
              <w:t>3</w:t>
            </w:r>
            <w:r>
              <w:rPr>
                <w:rFonts w:ascii="Times New Roman" w:hAnsi="Times New Roman"/>
                <w:szCs w:val="21"/>
              </w:rPr>
              <w:t>汽油罐</w:t>
            </w:r>
          </w:p>
        </w:tc>
        <w:tc>
          <w:tcPr>
            <w:tcW w:w="994"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目前</w:t>
            </w:r>
          </w:p>
          <w:p w:rsidR="00525419" w:rsidRDefault="00EE1CF7">
            <w:pPr>
              <w:spacing w:line="240" w:lineRule="atLeast"/>
              <w:rPr>
                <w:rFonts w:ascii="Times New Roman" w:hAnsi="Times New Roman"/>
                <w:szCs w:val="21"/>
              </w:rPr>
            </w:pPr>
            <w:r>
              <w:rPr>
                <w:rFonts w:ascii="Times New Roman" w:hAnsi="Times New Roman"/>
                <w:szCs w:val="21"/>
              </w:rPr>
              <w:t>运营</w:t>
            </w:r>
          </w:p>
        </w:tc>
        <w:tc>
          <w:tcPr>
            <w:tcW w:w="81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5</w:t>
            </w:r>
            <w:r>
              <w:rPr>
                <w:rFonts w:ascii="Times New Roman" w:hAnsi="Times New Roman"/>
                <w:szCs w:val="21"/>
              </w:rPr>
              <w:t>月</w:t>
            </w:r>
          </w:p>
        </w:tc>
        <w:tc>
          <w:tcPr>
            <w:tcW w:w="107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9</w:t>
            </w:r>
            <w:r>
              <w:rPr>
                <w:rFonts w:ascii="Times New Roman" w:hAnsi="Times New Roman"/>
                <w:szCs w:val="21"/>
              </w:rPr>
              <w:t>月</w:t>
            </w:r>
          </w:p>
        </w:tc>
        <w:tc>
          <w:tcPr>
            <w:tcW w:w="175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有环境影响评价和竣工验收手续</w:t>
            </w:r>
          </w:p>
        </w:tc>
      </w:tr>
      <w:tr w:rsidR="00525419">
        <w:trPr>
          <w:trHeight w:val="751"/>
          <w:jc w:val="center"/>
        </w:trPr>
        <w:tc>
          <w:tcPr>
            <w:tcW w:w="534"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4</w:t>
            </w:r>
          </w:p>
        </w:tc>
        <w:tc>
          <w:tcPr>
            <w:tcW w:w="190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8</w:t>
            </w:r>
            <w:r>
              <w:rPr>
                <w:rFonts w:ascii="Times New Roman" w:hAnsi="Times New Roman"/>
                <w:szCs w:val="21"/>
              </w:rPr>
              <w:t>万</w:t>
            </w: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沥青储罐经营储存项目环境影响报告表</w:t>
            </w:r>
          </w:p>
        </w:tc>
        <w:tc>
          <w:tcPr>
            <w:tcW w:w="1441"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16×5000m</w:t>
            </w:r>
            <w:r>
              <w:rPr>
                <w:rFonts w:ascii="Times New Roman" w:hAnsi="Times New Roman"/>
                <w:szCs w:val="21"/>
                <w:vertAlign w:val="superscript"/>
              </w:rPr>
              <w:t>3</w:t>
            </w:r>
            <w:r>
              <w:rPr>
                <w:rFonts w:ascii="Times New Roman" w:hAnsi="Times New Roman"/>
                <w:szCs w:val="21"/>
              </w:rPr>
              <w:t>沥青储罐</w:t>
            </w:r>
          </w:p>
        </w:tc>
        <w:tc>
          <w:tcPr>
            <w:tcW w:w="994"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目前</w:t>
            </w:r>
          </w:p>
          <w:p w:rsidR="00525419" w:rsidRDefault="00EE1CF7">
            <w:pPr>
              <w:spacing w:line="240" w:lineRule="atLeast"/>
              <w:rPr>
                <w:rFonts w:ascii="Times New Roman" w:hAnsi="Times New Roman"/>
                <w:szCs w:val="21"/>
              </w:rPr>
            </w:pPr>
            <w:r>
              <w:rPr>
                <w:rFonts w:ascii="Times New Roman" w:hAnsi="Times New Roman"/>
                <w:szCs w:val="21"/>
              </w:rPr>
              <w:t>运营</w:t>
            </w:r>
          </w:p>
        </w:tc>
        <w:tc>
          <w:tcPr>
            <w:tcW w:w="81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5</w:t>
            </w:r>
            <w:r>
              <w:rPr>
                <w:rFonts w:ascii="Times New Roman" w:hAnsi="Times New Roman"/>
                <w:szCs w:val="21"/>
              </w:rPr>
              <w:t>月</w:t>
            </w:r>
          </w:p>
        </w:tc>
        <w:tc>
          <w:tcPr>
            <w:tcW w:w="107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10</w:t>
            </w:r>
          </w:p>
        </w:tc>
        <w:tc>
          <w:tcPr>
            <w:tcW w:w="175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有环境影响评价手续</w:t>
            </w:r>
          </w:p>
        </w:tc>
      </w:tr>
    </w:tbl>
    <w:p w:rsidR="00525419" w:rsidRDefault="00EE1CF7">
      <w:pPr>
        <w:pStyle w:val="3a"/>
        <w:spacing w:beforeLines="50" w:before="156" w:after="156" w:line="360" w:lineRule="auto"/>
        <w:jc w:val="left"/>
        <w:rPr>
          <w:rFonts w:ascii="Times New Roman" w:eastAsia="华文楷体" w:hAnsi="Times New Roman"/>
        </w:rPr>
      </w:pPr>
      <w:r>
        <w:rPr>
          <w:rFonts w:ascii="Times New Roman" w:eastAsia="华文楷体" w:hAnsi="Times New Roman"/>
        </w:rPr>
        <w:t>3.2.2</w:t>
      </w:r>
      <w:r>
        <w:rPr>
          <w:rFonts w:ascii="Times New Roman" w:eastAsia="华文楷体" w:hAnsi="Times New Roman"/>
        </w:rPr>
        <w:t>现有工程组成及现状回顾</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3.2.2.1</w:t>
      </w:r>
      <w:r>
        <w:rPr>
          <w:rFonts w:ascii="Times New Roman" w:hAnsi="Times New Roman" w:cs="Times New Roman"/>
          <w:kern w:val="44"/>
          <w:sz w:val="24"/>
          <w:szCs w:val="24"/>
        </w:rPr>
        <w:t>建设规模及产品方案</w:t>
      </w:r>
    </w:p>
    <w:p w:rsidR="00525419" w:rsidRDefault="00EE1CF7">
      <w:pPr>
        <w:snapToGrid w:val="0"/>
        <w:spacing w:line="360" w:lineRule="auto"/>
        <w:ind w:firstLineChars="200" w:firstLine="480"/>
        <w:rPr>
          <w:rFonts w:ascii="Times New Roman" w:hAnsi="Times New Roman"/>
        </w:rPr>
      </w:pPr>
      <w:r>
        <w:rPr>
          <w:rFonts w:ascii="Times New Roman" w:hAnsi="Times New Roman"/>
          <w:sz w:val="24"/>
        </w:rPr>
        <w:t>新疆美汇特石化产品有限公司现建有</w:t>
      </w:r>
      <w:r>
        <w:rPr>
          <w:rFonts w:ascii="Times New Roman" w:hAnsi="Times New Roman"/>
          <w:sz w:val="24"/>
        </w:rPr>
        <w:t>140</w:t>
      </w:r>
      <w:r>
        <w:rPr>
          <w:rFonts w:ascii="Times New Roman" w:hAnsi="Times New Roman"/>
          <w:sz w:val="24"/>
        </w:rPr>
        <w:t>万吨</w:t>
      </w:r>
      <w:r>
        <w:rPr>
          <w:rFonts w:ascii="Times New Roman" w:hAnsi="Times New Roman"/>
          <w:sz w:val="24"/>
        </w:rPr>
        <w:t>/</w:t>
      </w:r>
      <w:r>
        <w:rPr>
          <w:rFonts w:ascii="Times New Roman" w:hAnsi="Times New Roman"/>
          <w:sz w:val="24"/>
        </w:rPr>
        <w:t>年高等级道路沥青项目，主要产品为沥青、蜡油。</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3.2.2.2</w:t>
      </w:r>
      <w:r>
        <w:rPr>
          <w:rFonts w:ascii="Times New Roman" w:hAnsi="Times New Roman" w:cs="Times New Roman"/>
          <w:kern w:val="44"/>
          <w:sz w:val="24"/>
          <w:szCs w:val="24"/>
        </w:rPr>
        <w:t>建设内容</w:t>
      </w:r>
    </w:p>
    <w:p w:rsidR="00525419" w:rsidRDefault="00EE1CF7">
      <w:pPr>
        <w:snapToGrid w:val="0"/>
        <w:spacing w:line="360" w:lineRule="auto"/>
        <w:ind w:firstLineChars="200" w:firstLine="480"/>
        <w:rPr>
          <w:rFonts w:ascii="Times New Roman" w:hAnsi="Times New Roman"/>
        </w:rPr>
      </w:pPr>
      <w:r>
        <w:rPr>
          <w:rFonts w:ascii="Times New Roman" w:hAnsi="Times New Roman"/>
          <w:sz w:val="24"/>
        </w:rPr>
        <w:t>新疆美汇特石化产品有限公司现有工程建设内容包括原料预处理装置、混合苯装置及配套公用设施、储运工程等。现有工程组成情况见表</w:t>
      </w:r>
      <w:r>
        <w:rPr>
          <w:rFonts w:ascii="Times New Roman" w:hAnsi="Times New Roman"/>
          <w:sz w:val="24"/>
        </w:rPr>
        <w:t>3.2-2</w:t>
      </w:r>
      <w:r>
        <w:rPr>
          <w:rFonts w:ascii="Times New Roman" w:hAnsi="Times New Roman"/>
          <w:sz w:val="24"/>
        </w:rPr>
        <w:t>。</w:t>
      </w:r>
    </w:p>
    <w:p w:rsidR="00525419" w:rsidRDefault="00EE1CF7">
      <w:pPr>
        <w:pStyle w:val="afffff0"/>
        <w:spacing w:beforeLines="0" w:line="240" w:lineRule="atLeast"/>
        <w:ind w:firstLineChars="800" w:firstLine="1680"/>
        <w:rPr>
          <w:rFonts w:ascii="Times New Roman" w:hAnsi="Times New Roman" w:cs="Times New Roman"/>
          <w:szCs w:val="21"/>
        </w:rPr>
      </w:pPr>
      <w:r>
        <w:rPr>
          <w:rFonts w:ascii="Times New Roman" w:hAnsi="Times New Roman" w:cs="Times New Roman"/>
          <w:szCs w:val="21"/>
        </w:rPr>
        <w:t>表</w:t>
      </w:r>
      <w:r>
        <w:rPr>
          <w:rFonts w:ascii="Times New Roman" w:hAnsi="Times New Roman" w:cs="Times New Roman"/>
          <w:szCs w:val="21"/>
        </w:rPr>
        <w:t xml:space="preserve">3.2-2               </w:t>
      </w:r>
      <w:r>
        <w:rPr>
          <w:rFonts w:ascii="Times New Roman" w:hAnsi="Times New Roman" w:cs="Times New Roman"/>
          <w:szCs w:val="21"/>
        </w:rPr>
        <w:t>现有工程组成表</w:t>
      </w:r>
    </w:p>
    <w:tbl>
      <w:tblPr>
        <w:tblW w:w="84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29"/>
        <w:gridCol w:w="764"/>
        <w:gridCol w:w="1631"/>
        <w:gridCol w:w="4689"/>
      </w:tblGrid>
      <w:tr w:rsidR="00525419">
        <w:trPr>
          <w:trHeight w:val="315"/>
        </w:trPr>
        <w:tc>
          <w:tcPr>
            <w:tcW w:w="1329" w:type="dxa"/>
            <w:tcBorders>
              <w:tl2br w:val="nil"/>
              <w:tr2bl w:val="nil"/>
            </w:tcBorders>
          </w:tcPr>
          <w:p w:rsidR="00525419" w:rsidRDefault="00EE1CF7">
            <w:pPr>
              <w:spacing w:line="240" w:lineRule="exact"/>
              <w:rPr>
                <w:rFonts w:ascii="Times New Roman" w:hAnsi="Times New Roman"/>
                <w:szCs w:val="21"/>
              </w:rPr>
            </w:pPr>
            <w:r>
              <w:rPr>
                <w:rFonts w:ascii="Times New Roman" w:hAnsi="Times New Roman"/>
                <w:szCs w:val="21"/>
              </w:rPr>
              <w:t>名称</w:t>
            </w:r>
          </w:p>
        </w:tc>
        <w:tc>
          <w:tcPr>
            <w:tcW w:w="2395" w:type="dxa"/>
            <w:gridSpan w:val="2"/>
            <w:tcBorders>
              <w:tl2br w:val="nil"/>
              <w:tr2bl w:val="nil"/>
            </w:tcBorders>
          </w:tcPr>
          <w:p w:rsidR="00525419" w:rsidRDefault="00EE1CF7">
            <w:pPr>
              <w:spacing w:line="240" w:lineRule="exact"/>
              <w:rPr>
                <w:rFonts w:ascii="Times New Roman" w:hAnsi="Times New Roman"/>
                <w:szCs w:val="21"/>
              </w:rPr>
            </w:pPr>
            <w:r>
              <w:rPr>
                <w:rFonts w:ascii="Times New Roman" w:hAnsi="Times New Roman"/>
                <w:szCs w:val="21"/>
              </w:rPr>
              <w:t>实际建设内容</w:t>
            </w:r>
          </w:p>
        </w:tc>
        <w:tc>
          <w:tcPr>
            <w:tcW w:w="4689" w:type="dxa"/>
            <w:tcBorders>
              <w:tl2br w:val="nil"/>
              <w:tr2bl w:val="nil"/>
            </w:tcBorders>
          </w:tcPr>
          <w:p w:rsidR="00525419" w:rsidRDefault="00EE1CF7">
            <w:pPr>
              <w:spacing w:line="240" w:lineRule="exact"/>
              <w:rPr>
                <w:rFonts w:ascii="Times New Roman" w:hAnsi="Times New Roman"/>
                <w:szCs w:val="21"/>
              </w:rPr>
            </w:pPr>
            <w:r>
              <w:rPr>
                <w:rFonts w:ascii="Times New Roman" w:hAnsi="Times New Roman"/>
                <w:szCs w:val="21"/>
              </w:rPr>
              <w:t>备注</w:t>
            </w:r>
          </w:p>
        </w:tc>
      </w:tr>
      <w:tr w:rsidR="00525419">
        <w:trPr>
          <w:trHeight w:val="211"/>
        </w:trPr>
        <w:tc>
          <w:tcPr>
            <w:tcW w:w="1329" w:type="dxa"/>
            <w:vMerge w:val="restart"/>
            <w:tcBorders>
              <w:tl2br w:val="nil"/>
              <w:tr2bl w:val="nil"/>
            </w:tcBorders>
          </w:tcPr>
          <w:p w:rsidR="00525419" w:rsidRDefault="00EE1CF7">
            <w:pPr>
              <w:spacing w:line="240" w:lineRule="exact"/>
              <w:rPr>
                <w:rFonts w:ascii="Times New Roman" w:hAnsi="Times New Roman"/>
                <w:szCs w:val="21"/>
              </w:rPr>
            </w:pPr>
            <w:r>
              <w:rPr>
                <w:rFonts w:ascii="Times New Roman" w:hAnsi="Times New Roman"/>
                <w:szCs w:val="21"/>
              </w:rPr>
              <w:t>主体工程</w:t>
            </w:r>
          </w:p>
        </w:tc>
        <w:tc>
          <w:tcPr>
            <w:tcW w:w="2395" w:type="dxa"/>
            <w:gridSpan w:val="2"/>
            <w:tcBorders>
              <w:tl2br w:val="nil"/>
              <w:tr2bl w:val="nil"/>
            </w:tcBorders>
          </w:tcPr>
          <w:p w:rsidR="00525419" w:rsidRDefault="00EE1CF7">
            <w:pPr>
              <w:spacing w:line="240" w:lineRule="exact"/>
              <w:rPr>
                <w:rFonts w:ascii="Times New Roman" w:hAnsi="Times New Roman"/>
                <w:szCs w:val="21"/>
              </w:rPr>
            </w:pPr>
            <w:r>
              <w:rPr>
                <w:rFonts w:ascii="Times New Roman" w:hAnsi="Times New Roman"/>
                <w:szCs w:val="21"/>
              </w:rPr>
              <w:t>原料预处理装置</w:t>
            </w:r>
          </w:p>
        </w:tc>
        <w:tc>
          <w:tcPr>
            <w:tcW w:w="4689" w:type="dxa"/>
            <w:tcBorders>
              <w:tl2br w:val="nil"/>
              <w:tr2bl w:val="nil"/>
            </w:tcBorders>
          </w:tcPr>
          <w:p w:rsidR="00525419" w:rsidRDefault="00EE1CF7">
            <w:pPr>
              <w:spacing w:line="240" w:lineRule="exact"/>
              <w:rPr>
                <w:rFonts w:ascii="Times New Roman" w:hAnsi="Times New Roman"/>
                <w:szCs w:val="21"/>
              </w:rPr>
            </w:pPr>
            <w:r>
              <w:rPr>
                <w:rFonts w:ascii="Times New Roman" w:hAnsi="Times New Roman"/>
                <w:szCs w:val="21"/>
              </w:rPr>
              <w:t>正常运营</w:t>
            </w:r>
          </w:p>
        </w:tc>
      </w:tr>
      <w:tr w:rsidR="00525419">
        <w:trPr>
          <w:trHeight w:val="90"/>
        </w:trPr>
        <w:tc>
          <w:tcPr>
            <w:tcW w:w="1329" w:type="dxa"/>
            <w:vMerge/>
            <w:tcBorders>
              <w:tl2br w:val="nil"/>
              <w:tr2bl w:val="nil"/>
            </w:tcBorders>
          </w:tcPr>
          <w:p w:rsidR="00525419" w:rsidRDefault="00525419">
            <w:pPr>
              <w:spacing w:line="240" w:lineRule="exact"/>
              <w:rPr>
                <w:rFonts w:ascii="Times New Roman" w:hAnsi="Times New Roman"/>
                <w:szCs w:val="21"/>
              </w:rPr>
            </w:pPr>
          </w:p>
        </w:tc>
        <w:tc>
          <w:tcPr>
            <w:tcW w:w="2395" w:type="dxa"/>
            <w:gridSpan w:val="2"/>
            <w:tcBorders>
              <w:tl2br w:val="nil"/>
              <w:tr2bl w:val="nil"/>
            </w:tcBorders>
          </w:tcPr>
          <w:p w:rsidR="00525419" w:rsidRDefault="00EE1CF7">
            <w:pPr>
              <w:spacing w:line="240" w:lineRule="exact"/>
              <w:rPr>
                <w:rFonts w:ascii="Times New Roman" w:hAnsi="Times New Roman"/>
                <w:szCs w:val="21"/>
              </w:rPr>
            </w:pPr>
            <w:r>
              <w:rPr>
                <w:rFonts w:ascii="Times New Roman" w:hAnsi="Times New Roman"/>
                <w:szCs w:val="21"/>
              </w:rPr>
              <w:t>混合苯装置</w:t>
            </w:r>
          </w:p>
        </w:tc>
        <w:tc>
          <w:tcPr>
            <w:tcW w:w="4689" w:type="dxa"/>
            <w:tcBorders>
              <w:tl2br w:val="nil"/>
              <w:tr2bl w:val="nil"/>
            </w:tcBorders>
          </w:tcPr>
          <w:p w:rsidR="00525419" w:rsidRDefault="00EE1CF7">
            <w:pPr>
              <w:spacing w:line="240" w:lineRule="exact"/>
              <w:rPr>
                <w:rFonts w:ascii="Times New Roman" w:hAnsi="Times New Roman"/>
                <w:szCs w:val="21"/>
              </w:rPr>
            </w:pPr>
            <w:r>
              <w:rPr>
                <w:rFonts w:ascii="Times New Roman" w:hAnsi="Times New Roman"/>
                <w:szCs w:val="21"/>
              </w:rPr>
              <w:t>因设计原因，开车试生产后不能投料生产</w:t>
            </w:r>
          </w:p>
        </w:tc>
      </w:tr>
      <w:tr w:rsidR="00525419">
        <w:trPr>
          <w:trHeight w:val="90"/>
        </w:trPr>
        <w:tc>
          <w:tcPr>
            <w:tcW w:w="1329" w:type="dxa"/>
            <w:vMerge w:val="restart"/>
            <w:tcBorders>
              <w:tl2br w:val="nil"/>
              <w:tr2bl w:val="nil"/>
            </w:tcBorders>
          </w:tcPr>
          <w:p w:rsidR="00525419" w:rsidRDefault="00EE1CF7">
            <w:pPr>
              <w:spacing w:line="240" w:lineRule="exact"/>
              <w:rPr>
                <w:rFonts w:ascii="Times New Roman" w:hAnsi="Times New Roman"/>
                <w:szCs w:val="21"/>
              </w:rPr>
            </w:pPr>
            <w:r>
              <w:rPr>
                <w:rFonts w:ascii="Times New Roman" w:hAnsi="Times New Roman"/>
                <w:szCs w:val="21"/>
              </w:rPr>
              <w:t>辅助公用工程</w:t>
            </w:r>
          </w:p>
        </w:tc>
        <w:tc>
          <w:tcPr>
            <w:tcW w:w="2395" w:type="dxa"/>
            <w:gridSpan w:val="2"/>
            <w:tcBorders>
              <w:tl2br w:val="nil"/>
              <w:tr2bl w:val="nil"/>
            </w:tcBorders>
          </w:tcPr>
          <w:p w:rsidR="00525419" w:rsidRDefault="00EE1CF7">
            <w:pPr>
              <w:spacing w:line="240" w:lineRule="exact"/>
              <w:rPr>
                <w:rFonts w:ascii="Times New Roman" w:hAnsi="Times New Roman"/>
                <w:szCs w:val="21"/>
              </w:rPr>
            </w:pPr>
            <w:r>
              <w:rPr>
                <w:rFonts w:ascii="Times New Roman" w:hAnsi="Times New Roman"/>
                <w:szCs w:val="21"/>
              </w:rPr>
              <w:t>水源及供水设施</w:t>
            </w:r>
          </w:p>
        </w:tc>
        <w:tc>
          <w:tcPr>
            <w:tcW w:w="4689" w:type="dxa"/>
            <w:tcBorders>
              <w:tl2br w:val="nil"/>
              <w:tr2bl w:val="nil"/>
            </w:tcBorders>
          </w:tcPr>
          <w:p w:rsidR="00525419" w:rsidRDefault="00EE1CF7">
            <w:pPr>
              <w:spacing w:line="240" w:lineRule="exact"/>
              <w:rPr>
                <w:rFonts w:ascii="Times New Roman" w:hAnsi="Times New Roman"/>
                <w:szCs w:val="21"/>
              </w:rPr>
            </w:pPr>
            <w:r>
              <w:rPr>
                <w:rFonts w:ascii="Times New Roman" w:hAnsi="Times New Roman"/>
                <w:szCs w:val="21"/>
              </w:rPr>
              <w:t>150DN</w:t>
            </w:r>
            <w:r>
              <w:rPr>
                <w:rFonts w:ascii="Times New Roman" w:hAnsi="Times New Roman"/>
                <w:szCs w:val="21"/>
              </w:rPr>
              <w:t>供水管线，供水能力</w:t>
            </w:r>
            <w:r>
              <w:rPr>
                <w:rFonts w:ascii="Times New Roman" w:hAnsi="Times New Roman"/>
                <w:szCs w:val="21"/>
              </w:rPr>
              <w:t>116m</w:t>
            </w:r>
            <w:r>
              <w:rPr>
                <w:rFonts w:ascii="Times New Roman" w:hAnsi="Times New Roman"/>
                <w:szCs w:val="21"/>
                <w:vertAlign w:val="superscript"/>
              </w:rPr>
              <w:t>3</w:t>
            </w:r>
            <w:r>
              <w:rPr>
                <w:rFonts w:ascii="Times New Roman" w:hAnsi="Times New Roman"/>
                <w:szCs w:val="21"/>
              </w:rPr>
              <w:t>/h</w:t>
            </w:r>
          </w:p>
        </w:tc>
      </w:tr>
      <w:tr w:rsidR="00525419">
        <w:trPr>
          <w:trHeight w:val="330"/>
        </w:trPr>
        <w:tc>
          <w:tcPr>
            <w:tcW w:w="1329" w:type="dxa"/>
            <w:vMerge/>
            <w:tcBorders>
              <w:tl2br w:val="nil"/>
              <w:tr2bl w:val="nil"/>
            </w:tcBorders>
          </w:tcPr>
          <w:p w:rsidR="00525419" w:rsidRDefault="00525419">
            <w:pPr>
              <w:spacing w:line="240" w:lineRule="exact"/>
              <w:rPr>
                <w:rFonts w:ascii="Times New Roman" w:hAnsi="Times New Roman"/>
                <w:szCs w:val="21"/>
              </w:rPr>
            </w:pPr>
          </w:p>
        </w:tc>
        <w:tc>
          <w:tcPr>
            <w:tcW w:w="2395" w:type="dxa"/>
            <w:gridSpan w:val="2"/>
            <w:tcBorders>
              <w:tl2br w:val="nil"/>
              <w:tr2bl w:val="nil"/>
            </w:tcBorders>
          </w:tcPr>
          <w:p w:rsidR="00525419" w:rsidRDefault="00EE1CF7">
            <w:pPr>
              <w:spacing w:line="240" w:lineRule="exact"/>
              <w:rPr>
                <w:rFonts w:ascii="Times New Roman" w:hAnsi="Times New Roman"/>
                <w:szCs w:val="21"/>
              </w:rPr>
            </w:pPr>
            <w:r>
              <w:rPr>
                <w:rFonts w:ascii="Times New Roman" w:hAnsi="Times New Roman"/>
                <w:szCs w:val="21"/>
              </w:rPr>
              <w:t>脱盐水站</w:t>
            </w:r>
          </w:p>
        </w:tc>
        <w:tc>
          <w:tcPr>
            <w:tcW w:w="4689" w:type="dxa"/>
            <w:tcBorders>
              <w:tl2br w:val="nil"/>
              <w:tr2bl w:val="nil"/>
            </w:tcBorders>
          </w:tcPr>
          <w:p w:rsidR="00525419" w:rsidRDefault="00EE1CF7">
            <w:pPr>
              <w:spacing w:line="240" w:lineRule="exact"/>
              <w:rPr>
                <w:rFonts w:ascii="Times New Roman" w:hAnsi="Times New Roman"/>
                <w:szCs w:val="21"/>
              </w:rPr>
            </w:pPr>
            <w:r>
              <w:rPr>
                <w:rFonts w:ascii="Times New Roman" w:hAnsi="Times New Roman"/>
                <w:szCs w:val="21"/>
              </w:rPr>
              <w:t>规模为</w:t>
            </w:r>
            <w:r>
              <w:rPr>
                <w:rFonts w:ascii="Times New Roman" w:hAnsi="Times New Roman"/>
                <w:szCs w:val="21"/>
              </w:rPr>
              <w:t>80 m</w:t>
            </w:r>
            <w:r>
              <w:rPr>
                <w:rFonts w:ascii="Times New Roman" w:hAnsi="Times New Roman"/>
                <w:szCs w:val="21"/>
                <w:vertAlign w:val="superscript"/>
              </w:rPr>
              <w:t>3</w:t>
            </w:r>
            <w:r>
              <w:rPr>
                <w:rFonts w:ascii="Times New Roman" w:hAnsi="Times New Roman"/>
                <w:szCs w:val="21"/>
              </w:rPr>
              <w:t>/h</w:t>
            </w:r>
          </w:p>
        </w:tc>
      </w:tr>
      <w:tr w:rsidR="00525419">
        <w:trPr>
          <w:trHeight w:val="285"/>
        </w:trPr>
        <w:tc>
          <w:tcPr>
            <w:tcW w:w="1329" w:type="dxa"/>
            <w:vMerge/>
            <w:tcBorders>
              <w:tl2br w:val="nil"/>
              <w:tr2bl w:val="nil"/>
            </w:tcBorders>
          </w:tcPr>
          <w:p w:rsidR="00525419" w:rsidRDefault="00525419">
            <w:pPr>
              <w:spacing w:line="240" w:lineRule="exact"/>
              <w:rPr>
                <w:rFonts w:ascii="Times New Roman" w:hAnsi="Times New Roman"/>
                <w:szCs w:val="21"/>
              </w:rPr>
            </w:pPr>
          </w:p>
        </w:tc>
        <w:tc>
          <w:tcPr>
            <w:tcW w:w="764" w:type="dxa"/>
            <w:vMerge w:val="restart"/>
            <w:tcBorders>
              <w:tl2br w:val="nil"/>
              <w:tr2bl w:val="nil"/>
            </w:tcBorders>
          </w:tcPr>
          <w:p w:rsidR="00525419" w:rsidRDefault="00EE1CF7">
            <w:pPr>
              <w:spacing w:line="240" w:lineRule="exact"/>
              <w:rPr>
                <w:rFonts w:ascii="Times New Roman" w:hAnsi="Times New Roman"/>
                <w:szCs w:val="21"/>
              </w:rPr>
            </w:pPr>
            <w:r>
              <w:rPr>
                <w:rFonts w:ascii="Times New Roman" w:hAnsi="Times New Roman"/>
                <w:szCs w:val="21"/>
              </w:rPr>
              <w:t>空压站</w:t>
            </w:r>
          </w:p>
        </w:tc>
        <w:tc>
          <w:tcPr>
            <w:tcW w:w="1631" w:type="dxa"/>
            <w:tcBorders>
              <w:tl2br w:val="nil"/>
              <w:tr2bl w:val="nil"/>
            </w:tcBorders>
          </w:tcPr>
          <w:p w:rsidR="00525419" w:rsidRDefault="00EE1CF7">
            <w:pPr>
              <w:spacing w:line="240" w:lineRule="exact"/>
              <w:rPr>
                <w:rFonts w:ascii="Times New Roman" w:hAnsi="Times New Roman"/>
                <w:szCs w:val="21"/>
              </w:rPr>
            </w:pPr>
            <w:r>
              <w:rPr>
                <w:rFonts w:ascii="Times New Roman" w:hAnsi="Times New Roman"/>
                <w:snapToGrid w:val="0"/>
                <w:kern w:val="0"/>
                <w:szCs w:val="21"/>
              </w:rPr>
              <w:t>压缩空气系统</w:t>
            </w:r>
          </w:p>
        </w:tc>
        <w:tc>
          <w:tcPr>
            <w:tcW w:w="4689" w:type="dxa"/>
            <w:tcBorders>
              <w:tl2br w:val="nil"/>
              <w:tr2bl w:val="nil"/>
            </w:tcBorders>
          </w:tcPr>
          <w:p w:rsidR="00525419" w:rsidRDefault="00EE1CF7">
            <w:pPr>
              <w:spacing w:line="240" w:lineRule="exact"/>
              <w:rPr>
                <w:rFonts w:ascii="Times New Roman" w:hAnsi="Times New Roman"/>
                <w:szCs w:val="21"/>
              </w:rPr>
            </w:pPr>
            <w:r>
              <w:rPr>
                <w:rFonts w:ascii="Times New Roman" w:hAnsi="Times New Roman"/>
                <w:szCs w:val="21"/>
              </w:rPr>
              <w:t>规模为</w:t>
            </w:r>
            <w:r>
              <w:rPr>
                <w:rFonts w:ascii="Times New Roman" w:hAnsi="Times New Roman"/>
                <w:szCs w:val="21"/>
              </w:rPr>
              <w:t>3×2580m</w:t>
            </w:r>
            <w:r>
              <w:rPr>
                <w:rFonts w:ascii="Times New Roman" w:hAnsi="Times New Roman"/>
                <w:szCs w:val="21"/>
                <w:vertAlign w:val="superscript"/>
              </w:rPr>
              <w:t>3</w:t>
            </w:r>
            <w:r>
              <w:rPr>
                <w:rFonts w:ascii="Times New Roman" w:hAnsi="Times New Roman"/>
                <w:szCs w:val="21"/>
              </w:rPr>
              <w:t>/h</w:t>
            </w:r>
          </w:p>
        </w:tc>
      </w:tr>
      <w:tr w:rsidR="00525419">
        <w:trPr>
          <w:trHeight w:val="180"/>
        </w:trPr>
        <w:tc>
          <w:tcPr>
            <w:tcW w:w="1329" w:type="dxa"/>
            <w:vMerge/>
            <w:tcBorders>
              <w:tl2br w:val="nil"/>
              <w:tr2bl w:val="nil"/>
            </w:tcBorders>
          </w:tcPr>
          <w:p w:rsidR="00525419" w:rsidRDefault="00525419">
            <w:pPr>
              <w:spacing w:line="240" w:lineRule="exact"/>
              <w:rPr>
                <w:rFonts w:ascii="Times New Roman" w:hAnsi="Times New Roman"/>
                <w:szCs w:val="21"/>
              </w:rPr>
            </w:pPr>
          </w:p>
        </w:tc>
        <w:tc>
          <w:tcPr>
            <w:tcW w:w="764" w:type="dxa"/>
            <w:vMerge/>
            <w:tcBorders>
              <w:tl2br w:val="nil"/>
              <w:tr2bl w:val="nil"/>
            </w:tcBorders>
          </w:tcPr>
          <w:p w:rsidR="00525419" w:rsidRDefault="00525419">
            <w:pPr>
              <w:spacing w:line="240" w:lineRule="exact"/>
              <w:rPr>
                <w:rFonts w:ascii="Times New Roman" w:hAnsi="Times New Roman"/>
                <w:snapToGrid w:val="0"/>
                <w:kern w:val="0"/>
                <w:szCs w:val="21"/>
              </w:rPr>
            </w:pPr>
          </w:p>
        </w:tc>
        <w:tc>
          <w:tcPr>
            <w:tcW w:w="1631" w:type="dxa"/>
            <w:tcBorders>
              <w:tl2br w:val="nil"/>
              <w:tr2bl w:val="nil"/>
            </w:tcBorders>
          </w:tcPr>
          <w:p w:rsidR="00525419" w:rsidRDefault="00EE1CF7">
            <w:pPr>
              <w:spacing w:line="240" w:lineRule="exact"/>
              <w:rPr>
                <w:rFonts w:ascii="Times New Roman" w:hAnsi="Times New Roman"/>
                <w:snapToGrid w:val="0"/>
                <w:kern w:val="0"/>
                <w:szCs w:val="21"/>
              </w:rPr>
            </w:pPr>
            <w:r>
              <w:rPr>
                <w:rFonts w:ascii="Times New Roman" w:hAnsi="Times New Roman"/>
                <w:szCs w:val="21"/>
              </w:rPr>
              <w:t>氮气系统</w:t>
            </w:r>
          </w:p>
        </w:tc>
        <w:tc>
          <w:tcPr>
            <w:tcW w:w="4689" w:type="dxa"/>
            <w:tcBorders>
              <w:tl2br w:val="nil"/>
              <w:tr2bl w:val="nil"/>
            </w:tcBorders>
          </w:tcPr>
          <w:p w:rsidR="00525419" w:rsidRDefault="00EE1CF7">
            <w:pPr>
              <w:spacing w:line="240" w:lineRule="exact"/>
              <w:rPr>
                <w:rFonts w:ascii="Times New Roman" w:hAnsi="Times New Roman"/>
                <w:szCs w:val="21"/>
              </w:rPr>
            </w:pPr>
            <w:r>
              <w:rPr>
                <w:rFonts w:ascii="Times New Roman" w:hAnsi="Times New Roman"/>
                <w:szCs w:val="21"/>
              </w:rPr>
              <w:t>规模为</w:t>
            </w:r>
            <w:r>
              <w:rPr>
                <w:rFonts w:ascii="Times New Roman" w:hAnsi="Times New Roman"/>
                <w:szCs w:val="21"/>
              </w:rPr>
              <w:t>500Nm</w:t>
            </w:r>
            <w:r>
              <w:rPr>
                <w:rFonts w:ascii="Times New Roman" w:hAnsi="Times New Roman"/>
                <w:szCs w:val="21"/>
                <w:vertAlign w:val="superscript"/>
              </w:rPr>
              <w:t>3</w:t>
            </w:r>
            <w:r>
              <w:rPr>
                <w:rFonts w:ascii="Times New Roman" w:hAnsi="Times New Roman"/>
                <w:szCs w:val="21"/>
              </w:rPr>
              <w:t>/h</w:t>
            </w:r>
          </w:p>
        </w:tc>
      </w:tr>
      <w:tr w:rsidR="00525419">
        <w:trPr>
          <w:trHeight w:val="186"/>
        </w:trPr>
        <w:tc>
          <w:tcPr>
            <w:tcW w:w="1329" w:type="dxa"/>
            <w:vMerge/>
            <w:tcBorders>
              <w:tl2br w:val="nil"/>
              <w:tr2bl w:val="nil"/>
            </w:tcBorders>
          </w:tcPr>
          <w:p w:rsidR="00525419" w:rsidRDefault="00525419">
            <w:pPr>
              <w:spacing w:line="240" w:lineRule="exact"/>
              <w:rPr>
                <w:rFonts w:ascii="Times New Roman" w:hAnsi="Times New Roman"/>
                <w:szCs w:val="21"/>
              </w:rPr>
            </w:pPr>
          </w:p>
        </w:tc>
        <w:tc>
          <w:tcPr>
            <w:tcW w:w="2395" w:type="dxa"/>
            <w:gridSpan w:val="2"/>
            <w:tcBorders>
              <w:tl2br w:val="nil"/>
              <w:tr2bl w:val="nil"/>
            </w:tcBorders>
          </w:tcPr>
          <w:p w:rsidR="00525419" w:rsidRDefault="00EE1CF7">
            <w:pPr>
              <w:spacing w:line="240" w:lineRule="exact"/>
              <w:rPr>
                <w:rFonts w:ascii="Times New Roman" w:hAnsi="Times New Roman"/>
                <w:snapToGrid w:val="0"/>
                <w:kern w:val="0"/>
                <w:szCs w:val="21"/>
              </w:rPr>
            </w:pPr>
            <w:r>
              <w:rPr>
                <w:rFonts w:ascii="Times New Roman" w:hAnsi="Times New Roman" w:hint="eastAsia"/>
                <w:szCs w:val="21"/>
              </w:rPr>
              <w:t xml:space="preserve">35kV </w:t>
            </w:r>
            <w:r>
              <w:rPr>
                <w:rFonts w:ascii="Times New Roman" w:hAnsi="Times New Roman"/>
                <w:szCs w:val="21"/>
              </w:rPr>
              <w:t>变电站</w:t>
            </w:r>
          </w:p>
        </w:tc>
        <w:tc>
          <w:tcPr>
            <w:tcW w:w="4689" w:type="dxa"/>
            <w:tcBorders>
              <w:tl2br w:val="nil"/>
              <w:tr2bl w:val="nil"/>
            </w:tcBorders>
          </w:tcPr>
          <w:p w:rsidR="00525419" w:rsidRDefault="00EE1CF7">
            <w:pPr>
              <w:spacing w:line="240" w:lineRule="exact"/>
              <w:rPr>
                <w:rFonts w:ascii="Times New Roman" w:hAnsi="Times New Roman"/>
                <w:szCs w:val="21"/>
              </w:rPr>
            </w:pPr>
            <w:r>
              <w:rPr>
                <w:rFonts w:ascii="Times New Roman" w:hAnsi="Times New Roman" w:hint="eastAsia"/>
                <w:szCs w:val="21"/>
              </w:rPr>
              <w:t>/</w:t>
            </w:r>
          </w:p>
        </w:tc>
      </w:tr>
      <w:tr w:rsidR="00525419">
        <w:trPr>
          <w:trHeight w:val="90"/>
        </w:trPr>
        <w:tc>
          <w:tcPr>
            <w:tcW w:w="1329" w:type="dxa"/>
            <w:vMerge/>
            <w:tcBorders>
              <w:tl2br w:val="nil"/>
              <w:tr2bl w:val="nil"/>
            </w:tcBorders>
          </w:tcPr>
          <w:p w:rsidR="00525419" w:rsidRDefault="00525419">
            <w:pPr>
              <w:spacing w:line="240" w:lineRule="exact"/>
              <w:rPr>
                <w:rFonts w:ascii="Times New Roman" w:hAnsi="Times New Roman"/>
                <w:szCs w:val="21"/>
              </w:rPr>
            </w:pPr>
          </w:p>
        </w:tc>
        <w:tc>
          <w:tcPr>
            <w:tcW w:w="2395" w:type="dxa"/>
            <w:gridSpan w:val="2"/>
            <w:tcBorders>
              <w:tl2br w:val="nil"/>
              <w:tr2bl w:val="nil"/>
            </w:tcBorders>
          </w:tcPr>
          <w:p w:rsidR="00525419" w:rsidRDefault="00EE1CF7">
            <w:pPr>
              <w:spacing w:line="240" w:lineRule="exact"/>
              <w:rPr>
                <w:rFonts w:ascii="Times New Roman" w:hAnsi="Times New Roman"/>
                <w:szCs w:val="21"/>
              </w:rPr>
            </w:pPr>
            <w:r>
              <w:rPr>
                <w:rFonts w:ascii="Times New Roman" w:hAnsi="Times New Roman"/>
                <w:szCs w:val="21"/>
              </w:rPr>
              <w:t>循环水场</w:t>
            </w:r>
          </w:p>
        </w:tc>
        <w:tc>
          <w:tcPr>
            <w:tcW w:w="4689" w:type="dxa"/>
            <w:tcBorders>
              <w:tl2br w:val="nil"/>
              <w:tr2bl w:val="nil"/>
            </w:tcBorders>
          </w:tcPr>
          <w:p w:rsidR="00525419" w:rsidRDefault="00EE1CF7">
            <w:pPr>
              <w:spacing w:line="240" w:lineRule="exact"/>
              <w:rPr>
                <w:rFonts w:ascii="Times New Roman" w:hAnsi="Times New Roman"/>
                <w:szCs w:val="21"/>
              </w:rPr>
            </w:pPr>
            <w:r>
              <w:rPr>
                <w:rFonts w:ascii="Times New Roman" w:hAnsi="Times New Roman" w:hint="eastAsia"/>
                <w:snapToGrid w:val="0"/>
                <w:kern w:val="0"/>
                <w:szCs w:val="21"/>
              </w:rPr>
              <w:t>循环水池循环量为</w:t>
            </w:r>
            <w:r>
              <w:rPr>
                <w:rFonts w:ascii="Times New Roman" w:hAnsi="Times New Roman"/>
                <w:snapToGrid w:val="0"/>
                <w:kern w:val="0"/>
                <w:szCs w:val="21"/>
              </w:rPr>
              <w:t>1200m</w:t>
            </w:r>
            <w:r>
              <w:rPr>
                <w:rFonts w:ascii="Times New Roman" w:hAnsi="Times New Roman"/>
                <w:snapToGrid w:val="0"/>
                <w:kern w:val="0"/>
                <w:szCs w:val="21"/>
                <w:vertAlign w:val="superscript"/>
              </w:rPr>
              <w:t>3</w:t>
            </w:r>
            <w:r>
              <w:rPr>
                <w:rFonts w:ascii="Times New Roman" w:hAnsi="Times New Roman"/>
                <w:szCs w:val="21"/>
              </w:rPr>
              <w:t>/h</w:t>
            </w:r>
            <w:r>
              <w:rPr>
                <w:rFonts w:ascii="Times New Roman" w:hAnsi="Times New Roman"/>
                <w:snapToGrid w:val="0"/>
                <w:kern w:val="0"/>
                <w:szCs w:val="21"/>
              </w:rPr>
              <w:t>，给水泵能力为</w:t>
            </w:r>
            <w:r>
              <w:rPr>
                <w:rFonts w:ascii="Times New Roman" w:hAnsi="Times New Roman"/>
                <w:szCs w:val="21"/>
              </w:rPr>
              <w:t>4×1171m</w:t>
            </w:r>
            <w:r>
              <w:rPr>
                <w:rFonts w:ascii="Times New Roman" w:hAnsi="Times New Roman"/>
                <w:szCs w:val="21"/>
                <w:vertAlign w:val="superscript"/>
              </w:rPr>
              <w:t>3</w:t>
            </w:r>
            <w:r>
              <w:rPr>
                <w:rFonts w:ascii="Times New Roman" w:hAnsi="Times New Roman"/>
                <w:szCs w:val="21"/>
              </w:rPr>
              <w:t>/h</w:t>
            </w:r>
          </w:p>
        </w:tc>
      </w:tr>
      <w:tr w:rsidR="00525419">
        <w:trPr>
          <w:trHeight w:val="153"/>
        </w:trPr>
        <w:tc>
          <w:tcPr>
            <w:tcW w:w="1329" w:type="dxa"/>
            <w:vMerge/>
            <w:tcBorders>
              <w:tl2br w:val="nil"/>
              <w:tr2bl w:val="nil"/>
            </w:tcBorders>
          </w:tcPr>
          <w:p w:rsidR="00525419" w:rsidRDefault="00525419">
            <w:pPr>
              <w:spacing w:line="240" w:lineRule="exact"/>
              <w:rPr>
                <w:rFonts w:ascii="Times New Roman" w:hAnsi="Times New Roman"/>
                <w:szCs w:val="21"/>
              </w:rPr>
            </w:pPr>
          </w:p>
        </w:tc>
        <w:tc>
          <w:tcPr>
            <w:tcW w:w="2395" w:type="dxa"/>
            <w:gridSpan w:val="2"/>
            <w:tcBorders>
              <w:tl2br w:val="nil"/>
              <w:tr2bl w:val="nil"/>
            </w:tcBorders>
          </w:tcPr>
          <w:p w:rsidR="00525419" w:rsidRDefault="00EE1CF7">
            <w:pPr>
              <w:spacing w:line="240" w:lineRule="exact"/>
              <w:rPr>
                <w:rFonts w:ascii="Times New Roman" w:hAnsi="Times New Roman"/>
                <w:szCs w:val="21"/>
              </w:rPr>
            </w:pPr>
            <w:r>
              <w:rPr>
                <w:rFonts w:ascii="Times New Roman" w:hAnsi="Times New Roman"/>
                <w:szCs w:val="21"/>
              </w:rPr>
              <w:t>锅炉房</w:t>
            </w:r>
          </w:p>
        </w:tc>
        <w:tc>
          <w:tcPr>
            <w:tcW w:w="4689" w:type="dxa"/>
            <w:tcBorders>
              <w:tl2br w:val="nil"/>
              <w:tr2bl w:val="nil"/>
            </w:tcBorders>
          </w:tcPr>
          <w:p w:rsidR="00525419" w:rsidRDefault="00EE1CF7">
            <w:pPr>
              <w:spacing w:line="240" w:lineRule="exact"/>
              <w:rPr>
                <w:rFonts w:ascii="Times New Roman" w:hAnsi="Times New Roman"/>
                <w:szCs w:val="21"/>
              </w:rPr>
            </w:pPr>
            <w:r>
              <w:rPr>
                <w:rFonts w:ascii="Times New Roman" w:hAnsi="Times New Roman"/>
                <w:szCs w:val="21"/>
              </w:rPr>
              <w:t>安装锅炉容量为</w:t>
            </w:r>
            <w:r>
              <w:rPr>
                <w:rFonts w:ascii="Times New Roman" w:hAnsi="Times New Roman"/>
                <w:szCs w:val="21"/>
              </w:rPr>
              <w:t>3×20 t/h</w:t>
            </w:r>
            <w:r>
              <w:rPr>
                <w:rFonts w:ascii="Times New Roman" w:hAnsi="Times New Roman"/>
                <w:szCs w:val="21"/>
              </w:rPr>
              <w:t>蒸汽锅炉</w:t>
            </w:r>
            <w:r>
              <w:rPr>
                <w:rFonts w:ascii="Times New Roman" w:hAnsi="Times New Roman"/>
                <w:szCs w:val="21"/>
              </w:rPr>
              <w:t>+ 1×20 t/h</w:t>
            </w:r>
            <w:r>
              <w:rPr>
                <w:rFonts w:ascii="Times New Roman" w:hAnsi="Times New Roman"/>
              </w:rPr>
              <w:t>导热油炉</w:t>
            </w:r>
          </w:p>
        </w:tc>
      </w:tr>
      <w:tr w:rsidR="00525419">
        <w:trPr>
          <w:trHeight w:val="198"/>
        </w:trPr>
        <w:tc>
          <w:tcPr>
            <w:tcW w:w="1329" w:type="dxa"/>
            <w:vMerge w:val="restart"/>
            <w:tcBorders>
              <w:tl2br w:val="nil"/>
              <w:tr2bl w:val="nil"/>
            </w:tcBorders>
          </w:tcPr>
          <w:p w:rsidR="00525419" w:rsidRDefault="00EE1CF7">
            <w:pPr>
              <w:spacing w:line="240" w:lineRule="exact"/>
              <w:rPr>
                <w:rFonts w:ascii="Times New Roman" w:hAnsi="Times New Roman"/>
                <w:szCs w:val="21"/>
              </w:rPr>
            </w:pPr>
            <w:r>
              <w:rPr>
                <w:rFonts w:ascii="Times New Roman" w:hAnsi="Times New Roman"/>
                <w:szCs w:val="21"/>
              </w:rPr>
              <w:t>储运工程</w:t>
            </w:r>
          </w:p>
        </w:tc>
        <w:tc>
          <w:tcPr>
            <w:tcW w:w="7084" w:type="dxa"/>
            <w:gridSpan w:val="3"/>
            <w:tcBorders>
              <w:tl2br w:val="nil"/>
              <w:tr2bl w:val="nil"/>
            </w:tcBorders>
          </w:tcPr>
          <w:p w:rsidR="00525419" w:rsidRDefault="00EE1CF7">
            <w:pPr>
              <w:spacing w:line="240" w:lineRule="exact"/>
              <w:rPr>
                <w:rFonts w:ascii="Times New Roman" w:hAnsi="Times New Roman"/>
                <w:szCs w:val="21"/>
              </w:rPr>
            </w:pPr>
            <w:r>
              <w:rPr>
                <w:rFonts w:ascii="Times New Roman" w:hAnsi="Times New Roman"/>
                <w:szCs w:val="21"/>
              </w:rPr>
              <w:t>现有工程建设有</w:t>
            </w:r>
            <w:r>
              <w:rPr>
                <w:rFonts w:ascii="Times New Roman" w:hAnsi="Times New Roman"/>
                <w:szCs w:val="21"/>
              </w:rPr>
              <w:t>16</w:t>
            </w:r>
            <w:r>
              <w:rPr>
                <w:rFonts w:ascii="Times New Roman" w:hAnsi="Times New Roman"/>
                <w:szCs w:val="21"/>
              </w:rPr>
              <w:t>座</w:t>
            </w:r>
            <w:r>
              <w:rPr>
                <w:rFonts w:ascii="Times New Roman" w:hAnsi="Times New Roman"/>
                <w:szCs w:val="21"/>
              </w:rPr>
              <w:t>2000m</w:t>
            </w:r>
            <w:r>
              <w:rPr>
                <w:rFonts w:ascii="Times New Roman" w:hAnsi="Times New Roman"/>
                <w:szCs w:val="21"/>
                <w:vertAlign w:val="superscript"/>
              </w:rPr>
              <w:t>3</w:t>
            </w:r>
            <w:r>
              <w:rPr>
                <w:rFonts w:ascii="Times New Roman" w:hAnsi="Times New Roman"/>
                <w:szCs w:val="21"/>
              </w:rPr>
              <w:t>+4</w:t>
            </w:r>
            <w:r>
              <w:rPr>
                <w:rFonts w:ascii="Times New Roman" w:hAnsi="Times New Roman"/>
                <w:szCs w:val="21"/>
              </w:rPr>
              <w:t>座</w:t>
            </w:r>
            <w:r>
              <w:rPr>
                <w:rFonts w:ascii="Times New Roman" w:hAnsi="Times New Roman"/>
                <w:szCs w:val="21"/>
              </w:rPr>
              <w:t>3000m</w:t>
            </w:r>
            <w:r>
              <w:rPr>
                <w:rFonts w:ascii="Times New Roman" w:hAnsi="Times New Roman"/>
                <w:szCs w:val="21"/>
                <w:vertAlign w:val="superscript"/>
              </w:rPr>
              <w:t>3</w:t>
            </w:r>
            <w:r>
              <w:rPr>
                <w:rFonts w:ascii="Times New Roman" w:hAnsi="Times New Roman"/>
                <w:szCs w:val="21"/>
              </w:rPr>
              <w:t>+4</w:t>
            </w:r>
            <w:r>
              <w:rPr>
                <w:rFonts w:ascii="Times New Roman" w:hAnsi="Times New Roman"/>
                <w:szCs w:val="21"/>
              </w:rPr>
              <w:t>座</w:t>
            </w:r>
            <w:r>
              <w:rPr>
                <w:rFonts w:ascii="Times New Roman" w:hAnsi="Times New Roman"/>
                <w:szCs w:val="21"/>
              </w:rPr>
              <w:t>4000m</w:t>
            </w:r>
            <w:r>
              <w:rPr>
                <w:rFonts w:ascii="Times New Roman" w:hAnsi="Times New Roman"/>
                <w:szCs w:val="21"/>
                <w:vertAlign w:val="superscript"/>
              </w:rPr>
              <w:t>3</w:t>
            </w:r>
            <w:r>
              <w:rPr>
                <w:rFonts w:ascii="Times New Roman" w:hAnsi="Times New Roman"/>
                <w:szCs w:val="21"/>
              </w:rPr>
              <w:t>+24</w:t>
            </w:r>
            <w:r>
              <w:rPr>
                <w:rFonts w:ascii="Times New Roman" w:hAnsi="Times New Roman"/>
                <w:szCs w:val="21"/>
              </w:rPr>
              <w:t>座</w:t>
            </w:r>
            <w:r>
              <w:rPr>
                <w:rFonts w:ascii="Times New Roman" w:hAnsi="Times New Roman"/>
                <w:szCs w:val="21"/>
              </w:rPr>
              <w:t>5000m</w:t>
            </w:r>
            <w:r>
              <w:rPr>
                <w:rFonts w:ascii="Times New Roman" w:hAnsi="Times New Roman"/>
                <w:szCs w:val="21"/>
                <w:vertAlign w:val="superscript"/>
              </w:rPr>
              <w:t>3</w:t>
            </w:r>
            <w:r>
              <w:rPr>
                <w:rFonts w:ascii="Times New Roman" w:hAnsi="Times New Roman"/>
                <w:szCs w:val="21"/>
              </w:rPr>
              <w:t>+16</w:t>
            </w:r>
            <w:r>
              <w:rPr>
                <w:rFonts w:ascii="Times New Roman" w:hAnsi="Times New Roman"/>
                <w:szCs w:val="21"/>
              </w:rPr>
              <w:t>座</w:t>
            </w:r>
            <w:r>
              <w:rPr>
                <w:rFonts w:ascii="Times New Roman" w:hAnsi="Times New Roman"/>
                <w:szCs w:val="21"/>
              </w:rPr>
              <w:t>10000m</w:t>
            </w:r>
            <w:r>
              <w:rPr>
                <w:rFonts w:ascii="Times New Roman" w:hAnsi="Times New Roman"/>
                <w:szCs w:val="21"/>
                <w:vertAlign w:val="superscript"/>
              </w:rPr>
              <w:t>3</w:t>
            </w:r>
            <w:r>
              <w:rPr>
                <w:rFonts w:ascii="Times New Roman" w:hAnsi="Times New Roman"/>
                <w:szCs w:val="21"/>
              </w:rPr>
              <w:t>中间产物及产品储罐、</w:t>
            </w:r>
            <w:r>
              <w:rPr>
                <w:rFonts w:ascii="Times New Roman" w:hAnsi="Times New Roman"/>
                <w:szCs w:val="21"/>
              </w:rPr>
              <w:t>4</w:t>
            </w:r>
            <w:r>
              <w:rPr>
                <w:rFonts w:ascii="Times New Roman" w:hAnsi="Times New Roman"/>
                <w:szCs w:val="21"/>
              </w:rPr>
              <w:t>个</w:t>
            </w:r>
            <w:r>
              <w:rPr>
                <w:rFonts w:ascii="Times New Roman" w:hAnsi="Times New Roman"/>
                <w:szCs w:val="21"/>
              </w:rPr>
              <w:t>1000m</w:t>
            </w:r>
            <w:r>
              <w:rPr>
                <w:rFonts w:ascii="Times New Roman" w:hAnsi="Times New Roman"/>
                <w:szCs w:val="21"/>
                <w:vertAlign w:val="superscript"/>
              </w:rPr>
              <w:t>3</w:t>
            </w:r>
            <w:r>
              <w:rPr>
                <w:rFonts w:ascii="Times New Roman" w:hAnsi="Times New Roman"/>
                <w:szCs w:val="21"/>
              </w:rPr>
              <w:t>球罐</w:t>
            </w:r>
          </w:p>
        </w:tc>
      </w:tr>
      <w:tr w:rsidR="00525419">
        <w:trPr>
          <w:trHeight w:val="255"/>
        </w:trPr>
        <w:tc>
          <w:tcPr>
            <w:tcW w:w="1329" w:type="dxa"/>
            <w:vMerge/>
            <w:tcBorders>
              <w:tl2br w:val="nil"/>
              <w:tr2bl w:val="nil"/>
            </w:tcBorders>
          </w:tcPr>
          <w:p w:rsidR="00525419" w:rsidRDefault="00525419">
            <w:pPr>
              <w:spacing w:line="240" w:lineRule="exact"/>
              <w:rPr>
                <w:rFonts w:ascii="Times New Roman" w:hAnsi="Times New Roman"/>
                <w:szCs w:val="21"/>
              </w:rPr>
            </w:pPr>
          </w:p>
        </w:tc>
        <w:tc>
          <w:tcPr>
            <w:tcW w:w="7084" w:type="dxa"/>
            <w:gridSpan w:val="3"/>
            <w:tcBorders>
              <w:tl2br w:val="nil"/>
              <w:tr2bl w:val="nil"/>
            </w:tcBorders>
          </w:tcPr>
          <w:p w:rsidR="00525419" w:rsidRDefault="00EE1CF7">
            <w:pPr>
              <w:spacing w:line="240" w:lineRule="exact"/>
              <w:rPr>
                <w:rFonts w:ascii="Times New Roman" w:hAnsi="Times New Roman"/>
                <w:szCs w:val="21"/>
              </w:rPr>
            </w:pPr>
            <w:r>
              <w:rPr>
                <w:rFonts w:ascii="Times New Roman" w:hAnsi="Times New Roman"/>
                <w:szCs w:val="21"/>
              </w:rPr>
              <w:t>装卸场所</w:t>
            </w:r>
          </w:p>
        </w:tc>
      </w:tr>
      <w:tr w:rsidR="00525419">
        <w:trPr>
          <w:trHeight w:val="90"/>
        </w:trPr>
        <w:tc>
          <w:tcPr>
            <w:tcW w:w="1329" w:type="dxa"/>
            <w:vMerge w:val="restart"/>
            <w:tcBorders>
              <w:tl2br w:val="nil"/>
              <w:tr2bl w:val="nil"/>
            </w:tcBorders>
          </w:tcPr>
          <w:p w:rsidR="00525419" w:rsidRDefault="00EE1CF7">
            <w:pPr>
              <w:spacing w:line="240" w:lineRule="exact"/>
              <w:rPr>
                <w:rFonts w:ascii="Times New Roman" w:hAnsi="Times New Roman"/>
                <w:szCs w:val="21"/>
              </w:rPr>
            </w:pPr>
            <w:r>
              <w:rPr>
                <w:rFonts w:ascii="Times New Roman" w:hAnsi="Times New Roman"/>
                <w:szCs w:val="21"/>
              </w:rPr>
              <w:t>环保工程</w:t>
            </w:r>
          </w:p>
        </w:tc>
        <w:tc>
          <w:tcPr>
            <w:tcW w:w="2395" w:type="dxa"/>
            <w:gridSpan w:val="2"/>
            <w:tcBorders>
              <w:tl2br w:val="nil"/>
              <w:tr2bl w:val="nil"/>
            </w:tcBorders>
          </w:tcPr>
          <w:p w:rsidR="00525419" w:rsidRDefault="00EE1CF7">
            <w:pPr>
              <w:spacing w:line="240" w:lineRule="exact"/>
              <w:rPr>
                <w:rFonts w:ascii="Times New Roman" w:hAnsi="Times New Roman"/>
                <w:szCs w:val="21"/>
              </w:rPr>
            </w:pPr>
            <w:r>
              <w:rPr>
                <w:rFonts w:ascii="Times New Roman" w:hAnsi="Times New Roman"/>
                <w:szCs w:val="21"/>
              </w:rPr>
              <w:t>污水处理站</w:t>
            </w:r>
          </w:p>
        </w:tc>
        <w:tc>
          <w:tcPr>
            <w:tcW w:w="4689" w:type="dxa"/>
            <w:tcBorders>
              <w:tl2br w:val="nil"/>
              <w:tr2bl w:val="nil"/>
            </w:tcBorders>
          </w:tcPr>
          <w:p w:rsidR="00525419" w:rsidRDefault="00EE1CF7">
            <w:pPr>
              <w:spacing w:line="240" w:lineRule="exact"/>
              <w:rPr>
                <w:rFonts w:ascii="Times New Roman" w:hAnsi="Times New Roman"/>
                <w:szCs w:val="21"/>
              </w:rPr>
            </w:pPr>
            <w:r>
              <w:rPr>
                <w:rFonts w:ascii="Times New Roman" w:hAnsi="Times New Roman"/>
                <w:szCs w:val="21"/>
              </w:rPr>
              <w:t>处理规模为</w:t>
            </w:r>
            <w:r>
              <w:rPr>
                <w:rFonts w:ascii="Times New Roman" w:hAnsi="Times New Roman" w:hint="eastAsia"/>
                <w:szCs w:val="21"/>
              </w:rPr>
              <w:t>80</w:t>
            </w: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/h</w:t>
            </w:r>
          </w:p>
        </w:tc>
      </w:tr>
      <w:tr w:rsidR="00525419">
        <w:trPr>
          <w:trHeight w:val="210"/>
        </w:trPr>
        <w:tc>
          <w:tcPr>
            <w:tcW w:w="1329" w:type="dxa"/>
            <w:vMerge/>
            <w:tcBorders>
              <w:tl2br w:val="nil"/>
              <w:tr2bl w:val="nil"/>
            </w:tcBorders>
          </w:tcPr>
          <w:p w:rsidR="00525419" w:rsidRDefault="00525419">
            <w:pPr>
              <w:spacing w:line="240" w:lineRule="exact"/>
              <w:rPr>
                <w:rFonts w:ascii="Times New Roman" w:hAnsi="Times New Roman"/>
                <w:szCs w:val="21"/>
              </w:rPr>
            </w:pPr>
          </w:p>
        </w:tc>
        <w:tc>
          <w:tcPr>
            <w:tcW w:w="7084" w:type="dxa"/>
            <w:gridSpan w:val="3"/>
            <w:tcBorders>
              <w:tl2br w:val="nil"/>
              <w:tr2bl w:val="nil"/>
            </w:tcBorders>
          </w:tcPr>
          <w:p w:rsidR="00525419" w:rsidRDefault="00EE1CF7">
            <w:pPr>
              <w:spacing w:line="240" w:lineRule="exact"/>
              <w:rPr>
                <w:rFonts w:ascii="Times New Roman" w:hAnsi="Times New Roman"/>
                <w:szCs w:val="21"/>
              </w:rPr>
            </w:pPr>
            <w:r>
              <w:rPr>
                <w:rFonts w:ascii="Times New Roman" w:hAnsi="Times New Roman"/>
                <w:szCs w:val="21"/>
              </w:rPr>
              <w:t>危险废物暂存间</w:t>
            </w:r>
          </w:p>
        </w:tc>
      </w:tr>
      <w:tr w:rsidR="00525419">
        <w:trPr>
          <w:trHeight w:val="90"/>
        </w:trPr>
        <w:tc>
          <w:tcPr>
            <w:tcW w:w="1329" w:type="dxa"/>
            <w:vMerge/>
            <w:tcBorders>
              <w:tl2br w:val="nil"/>
              <w:tr2bl w:val="nil"/>
            </w:tcBorders>
          </w:tcPr>
          <w:p w:rsidR="00525419" w:rsidRDefault="00525419">
            <w:pPr>
              <w:spacing w:line="240" w:lineRule="exact"/>
              <w:rPr>
                <w:rFonts w:ascii="Times New Roman" w:hAnsi="Times New Roman"/>
                <w:szCs w:val="21"/>
              </w:rPr>
            </w:pPr>
          </w:p>
        </w:tc>
        <w:tc>
          <w:tcPr>
            <w:tcW w:w="7084" w:type="dxa"/>
            <w:gridSpan w:val="3"/>
            <w:tcBorders>
              <w:tl2br w:val="nil"/>
              <w:tr2bl w:val="nil"/>
            </w:tcBorders>
          </w:tcPr>
          <w:p w:rsidR="00525419" w:rsidRDefault="00EE1CF7">
            <w:pPr>
              <w:spacing w:line="240" w:lineRule="exact"/>
              <w:rPr>
                <w:rFonts w:ascii="Times New Roman" w:hAnsi="Times New Roman"/>
                <w:szCs w:val="21"/>
              </w:rPr>
            </w:pPr>
            <w:r>
              <w:rPr>
                <w:rFonts w:ascii="Times New Roman" w:hAnsi="Times New Roman"/>
                <w:szCs w:val="21"/>
              </w:rPr>
              <w:t>原有火炬高度为</w:t>
            </w:r>
            <w:r>
              <w:rPr>
                <w:rFonts w:ascii="Times New Roman" w:hAnsi="Times New Roman"/>
                <w:szCs w:val="21"/>
              </w:rPr>
              <w:t>110m</w:t>
            </w:r>
            <w:r>
              <w:rPr>
                <w:rFonts w:ascii="Times New Roman" w:hAnsi="Times New Roman" w:hint="eastAsia"/>
                <w:szCs w:val="21"/>
              </w:rPr>
              <w:t>，目前已经停用</w:t>
            </w:r>
          </w:p>
        </w:tc>
      </w:tr>
      <w:tr w:rsidR="00525419">
        <w:trPr>
          <w:trHeight w:val="319"/>
        </w:trPr>
        <w:tc>
          <w:tcPr>
            <w:tcW w:w="1329" w:type="dxa"/>
            <w:vMerge/>
            <w:tcBorders>
              <w:tl2br w:val="nil"/>
              <w:tr2bl w:val="nil"/>
            </w:tcBorders>
          </w:tcPr>
          <w:p w:rsidR="00525419" w:rsidRDefault="00525419">
            <w:pPr>
              <w:spacing w:line="240" w:lineRule="exact"/>
              <w:rPr>
                <w:rFonts w:ascii="Times New Roman" w:hAnsi="Times New Roman"/>
                <w:szCs w:val="21"/>
              </w:rPr>
            </w:pPr>
          </w:p>
        </w:tc>
        <w:tc>
          <w:tcPr>
            <w:tcW w:w="7084" w:type="dxa"/>
            <w:gridSpan w:val="3"/>
            <w:tcBorders>
              <w:tl2br w:val="nil"/>
              <w:tr2bl w:val="nil"/>
            </w:tcBorders>
          </w:tcPr>
          <w:p w:rsidR="00525419" w:rsidRDefault="00EE1CF7">
            <w:pPr>
              <w:spacing w:line="240" w:lineRule="exact"/>
              <w:rPr>
                <w:rFonts w:ascii="Times New Roman" w:hAnsi="Times New Roman"/>
                <w:szCs w:val="21"/>
              </w:rPr>
            </w:pPr>
            <w:r>
              <w:rPr>
                <w:rFonts w:ascii="Times New Roman" w:hAnsi="Times New Roman"/>
                <w:szCs w:val="21"/>
              </w:rPr>
              <w:t>3×20 t/h</w:t>
            </w:r>
            <w:r>
              <w:rPr>
                <w:rFonts w:ascii="Times New Roman" w:hAnsi="Times New Roman"/>
                <w:szCs w:val="21"/>
              </w:rPr>
              <w:t>蒸汽锅炉烟气采用陶瓷多管除尘器</w:t>
            </w: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套）</w:t>
            </w:r>
            <w:r>
              <w:rPr>
                <w:rFonts w:ascii="Times New Roman" w:hAnsi="Times New Roman"/>
                <w:szCs w:val="21"/>
              </w:rPr>
              <w:t>+</w:t>
            </w:r>
            <w:r>
              <w:rPr>
                <w:rFonts w:ascii="Times New Roman" w:hAnsi="Times New Roman" w:hint="eastAsia"/>
                <w:szCs w:val="21"/>
              </w:rPr>
              <w:t>布袋除尘器（已安装</w:t>
            </w:r>
            <w:r>
              <w:rPr>
                <w:rFonts w:ascii="Times New Roman" w:hAnsi="Times New Roman" w:hint="eastAsia"/>
                <w:szCs w:val="21"/>
              </w:rPr>
              <w:t>2</w:t>
            </w:r>
            <w:r>
              <w:rPr>
                <w:rFonts w:ascii="Times New Roman" w:hAnsi="Times New Roman" w:hint="eastAsia"/>
                <w:szCs w:val="21"/>
              </w:rPr>
              <w:lastRenderedPageBreak/>
              <w:t>套）</w:t>
            </w:r>
            <w:r>
              <w:rPr>
                <w:rFonts w:ascii="Times New Roman" w:hAnsi="Times New Roman" w:hint="eastAsia"/>
                <w:szCs w:val="21"/>
              </w:rPr>
              <w:t>+</w:t>
            </w:r>
            <w:r>
              <w:rPr>
                <w:rFonts w:ascii="Times New Roman" w:hAnsi="Times New Roman"/>
                <w:szCs w:val="21"/>
              </w:rPr>
              <w:t>双碱法脱硫</w:t>
            </w: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套）</w:t>
            </w:r>
            <w:r>
              <w:rPr>
                <w:rFonts w:ascii="Times New Roman" w:hAnsi="Times New Roman"/>
                <w:szCs w:val="21"/>
              </w:rPr>
              <w:t>+SNCR</w:t>
            </w:r>
            <w:r>
              <w:rPr>
                <w:rFonts w:ascii="Times New Roman" w:hAnsi="Times New Roman"/>
                <w:szCs w:val="21"/>
              </w:rPr>
              <w:t>脱硝</w:t>
            </w: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套）</w:t>
            </w:r>
            <w:r>
              <w:rPr>
                <w:rFonts w:ascii="Times New Roman" w:hAnsi="Times New Roman"/>
                <w:szCs w:val="21"/>
              </w:rPr>
              <w:t>处理后通过</w:t>
            </w:r>
            <w:r>
              <w:rPr>
                <w:rFonts w:ascii="Times New Roman" w:hAnsi="Times New Roman"/>
                <w:szCs w:val="21"/>
              </w:rPr>
              <w:t>1</w:t>
            </w:r>
            <w:r>
              <w:rPr>
                <w:rFonts w:ascii="Times New Roman" w:hAnsi="Times New Roman"/>
                <w:szCs w:val="21"/>
              </w:rPr>
              <w:t>根</w:t>
            </w:r>
            <w:r>
              <w:rPr>
                <w:rFonts w:ascii="Times New Roman" w:hAnsi="Times New Roman"/>
                <w:szCs w:val="21"/>
              </w:rPr>
              <w:t>45m</w:t>
            </w:r>
            <w:r>
              <w:rPr>
                <w:rFonts w:ascii="Times New Roman" w:hAnsi="Times New Roman"/>
                <w:szCs w:val="21"/>
              </w:rPr>
              <w:t>烟囱排放；</w:t>
            </w:r>
            <w:r>
              <w:rPr>
                <w:rFonts w:ascii="Times New Roman" w:hAnsi="Times New Roman"/>
                <w:szCs w:val="21"/>
              </w:rPr>
              <w:t>1×20 t/h</w:t>
            </w:r>
            <w:r>
              <w:rPr>
                <w:rFonts w:ascii="Times New Roman" w:hAnsi="Times New Roman"/>
              </w:rPr>
              <w:t>导热油炉烟气采用布袋除尘器</w:t>
            </w:r>
            <w:r>
              <w:rPr>
                <w:rFonts w:ascii="Times New Roman" w:hAnsi="Times New Roman"/>
              </w:rPr>
              <w:t>+</w:t>
            </w:r>
            <w:r>
              <w:rPr>
                <w:rFonts w:ascii="Times New Roman" w:hAnsi="Times New Roman"/>
              </w:rPr>
              <w:t>双碱法脱硫</w:t>
            </w:r>
            <w:r>
              <w:rPr>
                <w:rFonts w:ascii="Times New Roman" w:hAnsi="Times New Roman"/>
              </w:rPr>
              <w:t>+</w:t>
            </w:r>
            <w:r>
              <w:rPr>
                <w:rFonts w:ascii="Times New Roman" w:hAnsi="Times New Roman"/>
              </w:rPr>
              <w:t>双氧水脱硝后通过</w:t>
            </w:r>
            <w:r>
              <w:rPr>
                <w:rFonts w:ascii="Times New Roman" w:hAnsi="Times New Roman"/>
              </w:rPr>
              <w:t>1</w:t>
            </w:r>
            <w:r>
              <w:rPr>
                <w:rFonts w:ascii="Times New Roman" w:hAnsi="Times New Roman"/>
              </w:rPr>
              <w:t>根</w:t>
            </w:r>
            <w:r>
              <w:rPr>
                <w:rFonts w:ascii="Times New Roman" w:hAnsi="Times New Roman"/>
              </w:rPr>
              <w:t>45m</w:t>
            </w:r>
            <w:r>
              <w:rPr>
                <w:rFonts w:ascii="Times New Roman" w:hAnsi="Times New Roman"/>
              </w:rPr>
              <w:t>高烟囱排放</w:t>
            </w:r>
          </w:p>
        </w:tc>
      </w:tr>
      <w:tr w:rsidR="00525419">
        <w:trPr>
          <w:trHeight w:val="90"/>
        </w:trPr>
        <w:tc>
          <w:tcPr>
            <w:tcW w:w="1329" w:type="dxa"/>
            <w:vMerge/>
            <w:tcBorders>
              <w:tl2br w:val="nil"/>
              <w:tr2bl w:val="nil"/>
            </w:tcBorders>
          </w:tcPr>
          <w:p w:rsidR="00525419" w:rsidRDefault="00525419">
            <w:pPr>
              <w:spacing w:line="240" w:lineRule="exact"/>
              <w:rPr>
                <w:rFonts w:ascii="Times New Roman" w:hAnsi="Times New Roman"/>
                <w:szCs w:val="21"/>
              </w:rPr>
            </w:pPr>
          </w:p>
        </w:tc>
        <w:tc>
          <w:tcPr>
            <w:tcW w:w="7084" w:type="dxa"/>
            <w:gridSpan w:val="3"/>
            <w:tcBorders>
              <w:tl2br w:val="nil"/>
              <w:tr2bl w:val="nil"/>
            </w:tcBorders>
          </w:tcPr>
          <w:p w:rsidR="00525419" w:rsidRDefault="00EE1CF7">
            <w:pPr>
              <w:spacing w:line="240" w:lineRule="exact"/>
              <w:rPr>
                <w:rFonts w:ascii="Times New Roman" w:hAnsi="Times New Roman"/>
                <w:szCs w:val="21"/>
              </w:rPr>
            </w:pPr>
            <w:r>
              <w:rPr>
                <w:rFonts w:ascii="Times New Roman" w:hAnsi="Times New Roman"/>
                <w:szCs w:val="21"/>
              </w:rPr>
              <w:t>2×2600m</w:t>
            </w:r>
            <w:r>
              <w:rPr>
                <w:rFonts w:ascii="Times New Roman" w:hAnsi="Times New Roman"/>
                <w:szCs w:val="21"/>
                <w:vertAlign w:val="superscript"/>
              </w:rPr>
              <w:t>3</w:t>
            </w:r>
            <w:r>
              <w:rPr>
                <w:rFonts w:ascii="Times New Roman" w:hAnsi="Times New Roman"/>
                <w:szCs w:val="21"/>
              </w:rPr>
              <w:t>事故池</w:t>
            </w:r>
          </w:p>
        </w:tc>
      </w:tr>
      <w:tr w:rsidR="00525419">
        <w:trPr>
          <w:trHeight w:val="240"/>
        </w:trPr>
        <w:tc>
          <w:tcPr>
            <w:tcW w:w="1329" w:type="dxa"/>
            <w:vMerge/>
            <w:tcBorders>
              <w:tl2br w:val="nil"/>
              <w:tr2bl w:val="nil"/>
            </w:tcBorders>
          </w:tcPr>
          <w:p w:rsidR="00525419" w:rsidRDefault="00525419">
            <w:pPr>
              <w:spacing w:line="240" w:lineRule="exact"/>
              <w:rPr>
                <w:rFonts w:ascii="Times New Roman" w:hAnsi="Times New Roman"/>
                <w:szCs w:val="21"/>
              </w:rPr>
            </w:pPr>
          </w:p>
        </w:tc>
        <w:tc>
          <w:tcPr>
            <w:tcW w:w="7084" w:type="dxa"/>
            <w:gridSpan w:val="3"/>
            <w:tcBorders>
              <w:tl2br w:val="nil"/>
              <w:tr2bl w:val="nil"/>
            </w:tcBorders>
          </w:tcPr>
          <w:p w:rsidR="00525419" w:rsidRDefault="00EE1CF7">
            <w:pPr>
              <w:spacing w:line="240" w:lineRule="exact"/>
              <w:rPr>
                <w:rFonts w:ascii="Times New Roman" w:hAnsi="Times New Roman"/>
                <w:szCs w:val="21"/>
              </w:rPr>
            </w:pPr>
            <w:r>
              <w:rPr>
                <w:rFonts w:ascii="Times New Roman" w:hAnsi="Times New Roman"/>
                <w:szCs w:val="21"/>
              </w:rPr>
              <w:t>储罐区、装卸站台分别设置</w:t>
            </w:r>
            <w:r>
              <w:rPr>
                <w:rFonts w:ascii="Times New Roman" w:hAnsi="Times New Roman"/>
                <w:szCs w:val="21"/>
              </w:rPr>
              <w:t>3</w:t>
            </w:r>
            <w:r>
              <w:rPr>
                <w:rFonts w:ascii="Times New Roman" w:hAnsi="Times New Roman"/>
                <w:szCs w:val="21"/>
              </w:rPr>
              <w:t>套油气回收处理装置，处理规模分别为</w:t>
            </w:r>
            <w:r>
              <w:rPr>
                <w:rFonts w:ascii="Times New Roman" w:hAnsi="Times New Roman"/>
                <w:szCs w:val="21"/>
              </w:rPr>
              <w:t>400Nm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w:t>
            </w:r>
            <w:r>
              <w:rPr>
                <w:rFonts w:ascii="Times New Roman" w:hAnsi="Times New Roman"/>
                <w:szCs w:val="21"/>
              </w:rPr>
              <w:t>2000Nm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w:t>
            </w:r>
            <w:r>
              <w:rPr>
                <w:rFonts w:ascii="Times New Roman" w:hAnsi="Times New Roman"/>
                <w:szCs w:val="21"/>
              </w:rPr>
              <w:t>900Nm</w:t>
            </w:r>
            <w:r>
              <w:rPr>
                <w:rFonts w:ascii="Times New Roman" w:hAnsi="Times New Roman"/>
                <w:szCs w:val="21"/>
                <w:vertAlign w:val="superscript"/>
              </w:rPr>
              <w:t>3</w:t>
            </w:r>
            <w:r>
              <w:rPr>
                <w:rFonts w:ascii="Times New Roman" w:hAnsi="Times New Roman"/>
                <w:szCs w:val="21"/>
              </w:rPr>
              <w:t>/h</w:t>
            </w:r>
          </w:p>
        </w:tc>
      </w:tr>
      <w:tr w:rsidR="00525419">
        <w:trPr>
          <w:trHeight w:val="300"/>
        </w:trPr>
        <w:tc>
          <w:tcPr>
            <w:tcW w:w="1329" w:type="dxa"/>
            <w:tcBorders>
              <w:tl2br w:val="nil"/>
              <w:tr2bl w:val="nil"/>
            </w:tcBorders>
          </w:tcPr>
          <w:p w:rsidR="00525419" w:rsidRDefault="00EE1CF7">
            <w:pPr>
              <w:spacing w:line="240" w:lineRule="exact"/>
              <w:rPr>
                <w:rFonts w:ascii="Times New Roman" w:hAnsi="Times New Roman"/>
                <w:szCs w:val="21"/>
              </w:rPr>
            </w:pPr>
            <w:r>
              <w:rPr>
                <w:rFonts w:ascii="Times New Roman" w:hAnsi="Times New Roman"/>
                <w:szCs w:val="21"/>
              </w:rPr>
              <w:t>生活办公设施</w:t>
            </w:r>
          </w:p>
        </w:tc>
        <w:tc>
          <w:tcPr>
            <w:tcW w:w="7084" w:type="dxa"/>
            <w:gridSpan w:val="3"/>
            <w:tcBorders>
              <w:tl2br w:val="nil"/>
              <w:tr2bl w:val="nil"/>
            </w:tcBorders>
          </w:tcPr>
          <w:p w:rsidR="00525419" w:rsidRDefault="00EE1CF7">
            <w:pPr>
              <w:spacing w:line="240" w:lineRule="exact"/>
              <w:rPr>
                <w:rFonts w:ascii="Times New Roman" w:hAnsi="Times New Roman"/>
                <w:szCs w:val="21"/>
              </w:rPr>
            </w:pPr>
            <w:r>
              <w:rPr>
                <w:rFonts w:ascii="Times New Roman" w:hAnsi="Times New Roman"/>
                <w:szCs w:val="21"/>
              </w:rPr>
              <w:t>建有办公及生活设施，包括办公场所、宿舍和食堂等。</w:t>
            </w:r>
          </w:p>
        </w:tc>
      </w:tr>
    </w:tbl>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3.2.2.3</w:t>
      </w:r>
      <w:r>
        <w:rPr>
          <w:rFonts w:ascii="Times New Roman" w:hAnsi="Times New Roman" w:cs="Times New Roman"/>
          <w:kern w:val="44"/>
          <w:sz w:val="24"/>
          <w:szCs w:val="24"/>
        </w:rPr>
        <w:t>平面布置</w:t>
      </w:r>
    </w:p>
    <w:p w:rsidR="00525419" w:rsidRDefault="00EE1CF7">
      <w:pPr>
        <w:rPr>
          <w:rFonts w:ascii="Times New Roman" w:hAnsi="Times New Roman"/>
        </w:rPr>
      </w:pPr>
      <w:r>
        <w:rPr>
          <w:rFonts w:ascii="Times New Roman" w:hAnsi="Times New Roman"/>
          <w:sz w:val="24"/>
          <w:szCs w:val="24"/>
        </w:rPr>
        <w:t xml:space="preserve">　　原厂区</w:t>
      </w:r>
      <w:r>
        <w:rPr>
          <w:rFonts w:ascii="Times New Roman" w:hAnsi="Times New Roman"/>
          <w:sz w:val="24"/>
        </w:rPr>
        <w:t>平面布置见附图。</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3.2.2.4</w:t>
      </w:r>
      <w:r>
        <w:rPr>
          <w:rFonts w:ascii="Times New Roman" w:hAnsi="Times New Roman" w:cs="Times New Roman"/>
          <w:kern w:val="44"/>
          <w:sz w:val="24"/>
          <w:szCs w:val="24"/>
        </w:rPr>
        <w:t>生产工艺</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现工程建成运营的生产装置为预处理装置，其混合苯装置因原料不足等原因不能开车，因此现工程生产运营装置为预处理生产。</w:t>
      </w:r>
      <w:r>
        <w:rPr>
          <w:rFonts w:ascii="Times New Roman" w:hAnsi="Times New Roman"/>
          <w:bCs/>
          <w:sz w:val="24"/>
        </w:rPr>
        <w:t>预处理装置加工原料为重油</w:t>
      </w:r>
      <w:r>
        <w:rPr>
          <w:rFonts w:ascii="Times New Roman" w:hAnsi="Times New Roman"/>
          <w:bCs/>
          <w:sz w:val="24"/>
        </w:rPr>
        <w:t>M100</w:t>
      </w:r>
      <w:r>
        <w:rPr>
          <w:rFonts w:ascii="Times New Roman" w:hAnsi="Times New Roman"/>
          <w:bCs/>
          <w:sz w:val="24"/>
        </w:rPr>
        <w:t>。现工程原料预处理装置采用成熟的电脱盐、常减压</w:t>
      </w:r>
      <w:r>
        <w:rPr>
          <w:rFonts w:ascii="Times New Roman" w:hAnsi="Times New Roman"/>
          <w:sz w:val="24"/>
        </w:rPr>
        <w:t>蒸馏工艺生产</w:t>
      </w:r>
      <w:r>
        <w:rPr>
          <w:rFonts w:ascii="Times New Roman" w:hAnsi="Times New Roman"/>
          <w:bCs/>
          <w:sz w:val="24"/>
        </w:rPr>
        <w:t>沥青、</w:t>
      </w:r>
      <w:r>
        <w:rPr>
          <w:rFonts w:ascii="Times New Roman" w:hAnsi="Times New Roman"/>
          <w:bCs/>
          <w:sz w:val="24"/>
          <w:szCs w:val="24"/>
        </w:rPr>
        <w:t>蜡油等。</w:t>
      </w:r>
    </w:p>
    <w:p w:rsidR="00525419" w:rsidRDefault="00EE1CF7">
      <w:pPr>
        <w:pStyle w:val="1f8"/>
        <w:rPr>
          <w:bCs/>
          <w:color w:val="auto"/>
        </w:rPr>
      </w:pPr>
      <w:r>
        <w:rPr>
          <w:color w:val="auto"/>
        </w:rPr>
        <w:t>原料</w:t>
      </w:r>
      <w:r>
        <w:rPr>
          <w:color w:val="auto"/>
        </w:rPr>
        <w:t>M100</w:t>
      </w:r>
      <w:r>
        <w:rPr>
          <w:color w:val="auto"/>
        </w:rPr>
        <w:t>自罐区进入装置，经泵升压换热至</w:t>
      </w:r>
      <w:r>
        <w:rPr>
          <w:color w:val="auto"/>
        </w:rPr>
        <w:t>135℃</w:t>
      </w:r>
      <w:r>
        <w:rPr>
          <w:color w:val="auto"/>
        </w:rPr>
        <w:t>进入电脱盐装置，</w:t>
      </w:r>
      <w:r>
        <w:rPr>
          <w:bCs/>
          <w:color w:val="auto"/>
        </w:rPr>
        <w:t>在高压交流电场内，原料油中的微小水滴受到电场极化作用聚集成大水滴，在油水密度差的作用，水滴在油中沉降分离，原料油中的盐溶解于水，随水脱除。</w:t>
      </w:r>
      <w:r>
        <w:rPr>
          <w:color w:val="auto"/>
        </w:rPr>
        <w:t>原料</w:t>
      </w:r>
      <w:r>
        <w:rPr>
          <w:color w:val="auto"/>
        </w:rPr>
        <w:t>M100</w:t>
      </w:r>
      <w:r>
        <w:rPr>
          <w:color w:val="auto"/>
        </w:rPr>
        <w:t>经脱盐脱水后与热源换热进入闪蒸塔。闪蒸塔塔顶出来的油气直接进入常压塔的中部，而</w:t>
      </w:r>
      <w:r>
        <w:rPr>
          <w:bCs/>
          <w:color w:val="auto"/>
        </w:rPr>
        <w:t>闪底油与热源换热约</w:t>
      </w:r>
      <w:r>
        <w:rPr>
          <w:bCs/>
          <w:color w:val="auto"/>
        </w:rPr>
        <w:t>260℃</w:t>
      </w:r>
      <w:r>
        <w:rPr>
          <w:bCs/>
          <w:color w:val="auto"/>
        </w:rPr>
        <w:t>后进常压加热炉，加热到约</w:t>
      </w:r>
      <w:r>
        <w:rPr>
          <w:bCs/>
          <w:color w:val="auto"/>
        </w:rPr>
        <w:t>360</w:t>
      </w:r>
      <w:r>
        <w:rPr>
          <w:bCs/>
          <w:color w:val="auto"/>
        </w:rPr>
        <w:t>～</w:t>
      </w:r>
      <w:r>
        <w:rPr>
          <w:bCs/>
          <w:color w:val="auto"/>
        </w:rPr>
        <w:t>370℃</w:t>
      </w:r>
      <w:r>
        <w:rPr>
          <w:bCs/>
          <w:color w:val="auto"/>
        </w:rPr>
        <w:t>后进入常压塔。</w:t>
      </w:r>
    </w:p>
    <w:p w:rsidR="00525419" w:rsidRDefault="00EE1CF7">
      <w:pPr>
        <w:pStyle w:val="1f8"/>
        <w:rPr>
          <w:color w:val="auto"/>
        </w:rPr>
      </w:pPr>
      <w:r>
        <w:rPr>
          <w:color w:val="auto"/>
        </w:rPr>
        <w:t>常压塔塔内的物料在存在内回流的条件下，气液在塔盘上经过多次逆流接触，进行相间传质、传热，使混合物各种馏分在不同的温度下和压力下有效地分离。常压塔塔顶气经塔顶冷却器冷却后，进塔顶回流罐进行气液分离，不凝气经碱液水封送加热炉作燃料气，塔顶回流罐产生的</w:t>
      </w:r>
      <w:r>
        <w:rPr>
          <w:rFonts w:hint="eastAsia"/>
          <w:color w:val="auto"/>
        </w:rPr>
        <w:t>酸性</w:t>
      </w:r>
      <w:r>
        <w:rPr>
          <w:color w:val="auto"/>
        </w:rPr>
        <w:t>污水经酸性水中和槽预处理后送至污水处理站处理；常压塔顶油经常顶回流泵分为两路，一路做冷回流打入常压塔顶部，另一路作为油品送入产品罐区。</w:t>
      </w:r>
    </w:p>
    <w:p w:rsidR="00525419" w:rsidRDefault="00EE1CF7">
      <w:pPr>
        <w:pStyle w:val="1f8"/>
        <w:rPr>
          <w:color w:val="auto"/>
        </w:rPr>
      </w:pPr>
      <w:r>
        <w:rPr>
          <w:color w:val="auto"/>
        </w:rPr>
        <w:t>常压塔塔底油用泵抽出进入减压塔底部，在塔顶</w:t>
      </w:r>
      <w:r>
        <w:rPr>
          <w:color w:val="auto"/>
        </w:rPr>
        <w:t>1</w:t>
      </w:r>
      <w:r>
        <w:rPr>
          <w:color w:val="auto"/>
        </w:rPr>
        <w:t>～</w:t>
      </w:r>
      <w:r>
        <w:rPr>
          <w:color w:val="auto"/>
        </w:rPr>
        <w:t>5KPa</w:t>
      </w:r>
      <w:r>
        <w:rPr>
          <w:color w:val="auto"/>
        </w:rPr>
        <w:t>的绝对压力及</w:t>
      </w:r>
      <w:r>
        <w:rPr>
          <w:color w:val="auto"/>
        </w:rPr>
        <w:t>110℃</w:t>
      </w:r>
      <w:r>
        <w:rPr>
          <w:color w:val="auto"/>
        </w:rPr>
        <w:t>温度条件下进行减压分馏。减压蒸馏装置采用三级抽真空以获得比一般的减压塔高的真空度，抽空器所用蒸汽与塔顶瓦斯一起冷凝冷却后进入减顶油水分离罐，减顶气体经碱液水封进加热炉作燃料气烧掉，减顶油水分离罐产生的</w:t>
      </w:r>
      <w:r>
        <w:rPr>
          <w:rFonts w:hint="eastAsia"/>
          <w:color w:val="auto"/>
        </w:rPr>
        <w:t>酸性</w:t>
      </w:r>
      <w:r>
        <w:rPr>
          <w:color w:val="auto"/>
        </w:rPr>
        <w:t>污水酸性水中和槽预处理后送至污水处理站处理，减顶油经减顶油泵作为侧线油送入罐区。</w:t>
      </w:r>
    </w:p>
    <w:p w:rsidR="00525419" w:rsidRDefault="00EE1CF7">
      <w:pPr>
        <w:pStyle w:val="1f8"/>
        <w:rPr>
          <w:color w:val="auto"/>
        </w:rPr>
      </w:pPr>
      <w:r>
        <w:rPr>
          <w:color w:val="auto"/>
        </w:rPr>
        <w:lastRenderedPageBreak/>
        <w:t>减一线及减一中油、减二线及减二中油由减二线油泵抽出，与冷源换热后分两路，一路作为蜡油送出装置，另一路再冷却后返回减压塔。</w:t>
      </w:r>
    </w:p>
    <w:p w:rsidR="00525419" w:rsidRDefault="00EE1CF7">
      <w:pPr>
        <w:pStyle w:val="1f8"/>
        <w:rPr>
          <w:color w:val="auto"/>
        </w:rPr>
      </w:pPr>
      <w:r>
        <w:rPr>
          <w:color w:val="auto"/>
        </w:rPr>
        <w:t>减三线油泵抽出，与冷源换热后分两路，作为燃料油送出装置，进入缓冲罐。</w:t>
      </w:r>
    </w:p>
    <w:p w:rsidR="00525419" w:rsidRDefault="00EE1CF7">
      <w:pPr>
        <w:pStyle w:val="1f8"/>
        <w:rPr>
          <w:color w:val="auto"/>
        </w:rPr>
      </w:pPr>
      <w:r>
        <w:rPr>
          <w:color w:val="auto"/>
        </w:rPr>
        <w:t>通过调整减压馏分油的拔出量控制减压塔底的沥青质量，约</w:t>
      </w:r>
      <w:r>
        <w:rPr>
          <w:color w:val="auto"/>
        </w:rPr>
        <w:t>370℃</w:t>
      </w:r>
      <w:r>
        <w:rPr>
          <w:color w:val="auto"/>
        </w:rPr>
        <w:t>的塔底油作为产品沥青经与原料换热再经冷却至</w:t>
      </w:r>
      <w:r>
        <w:rPr>
          <w:color w:val="auto"/>
        </w:rPr>
        <w:t>120℃</w:t>
      </w:r>
      <w:r>
        <w:rPr>
          <w:color w:val="auto"/>
        </w:rPr>
        <w:t>送至沥青罐区。</w:t>
      </w:r>
    </w:p>
    <w:p w:rsidR="00525419" w:rsidRDefault="00EE1CF7">
      <w:pPr>
        <w:spacing w:line="360" w:lineRule="auto"/>
        <w:ind w:firstLineChars="200" w:firstLine="480"/>
        <w:rPr>
          <w:rFonts w:ascii="Times New Roman" w:hAnsi="Times New Roman"/>
          <w:sz w:val="24"/>
          <w:szCs w:val="24"/>
        </w:rPr>
      </w:pPr>
      <w:r>
        <w:rPr>
          <w:rFonts w:ascii="Times New Roman" w:hAnsi="Times New Roman"/>
          <w:bCs/>
          <w:sz w:val="24"/>
          <w:szCs w:val="24"/>
        </w:rPr>
        <w:t>原料预处理装置</w:t>
      </w:r>
      <w:r>
        <w:rPr>
          <w:rFonts w:ascii="Times New Roman" w:hAnsi="Times New Roman"/>
          <w:sz w:val="24"/>
          <w:szCs w:val="24"/>
        </w:rPr>
        <w:t>工艺及污染流程见图</w:t>
      </w:r>
      <w:r>
        <w:rPr>
          <w:rFonts w:ascii="Times New Roman" w:hAnsi="Times New Roman" w:hint="eastAsia"/>
          <w:sz w:val="24"/>
          <w:szCs w:val="24"/>
        </w:rPr>
        <w:t>3.2-1</w:t>
      </w:r>
      <w:r>
        <w:rPr>
          <w:rFonts w:ascii="Times New Roman" w:hAnsi="Times New Roman"/>
          <w:sz w:val="24"/>
          <w:szCs w:val="24"/>
        </w:rPr>
        <w:t>。</w:t>
      </w:r>
    </w:p>
    <w:p w:rsidR="00525419" w:rsidRDefault="007D0E8A">
      <w:pPr>
        <w:rPr>
          <w:rFonts w:ascii="Times New Roman" w:hAnsi="Times New Roman"/>
        </w:rPr>
      </w:pPr>
      <w:r>
        <w:rPr>
          <w:rFonts w:ascii="Times New Roman" w:hAnsi="Times New Roman"/>
        </w:rPr>
        <w:pict>
          <v:group id="Group 1033" o:spid="_x0000_s1044" style="position:absolute;left:0;text-align:left;margin-left:7.65pt;margin-top:6.15pt;width:429pt;height:152.4pt;z-index:251635200" coordorigin="1860,11235" coordsize="8580,3048">
            <v:shape id="Quad Arrow 1034" o:spid="_x0000_s1045" type="#_x0000_t202" style="position:absolute;left:1860;top:11859;width:780;height:312" o:preferrelative="t" filled="f" stroked="f">
              <v:textbox inset="1.42pt,.85pt,1.42pt,.85pt">
                <w:txbxContent>
                  <w:p w:rsidR="00EE1CF7" w:rsidRDefault="00EE1CF7">
                    <w:r>
                      <w:rPr>
                        <w:rFonts w:hint="eastAsia"/>
                      </w:rPr>
                      <w:t>原料油</w:t>
                    </w:r>
                  </w:p>
                </w:txbxContent>
              </v:textbox>
            </v:shape>
            <v:shape id="Quad Arrow 1035" o:spid="_x0000_s1046" type="#_x0000_t202" style="position:absolute;left:3285;top:11859;width:705;height:312" o:preferrelative="t">
              <v:stroke miterlimit="2"/>
              <v:textbox inset="1.42pt,.85pt,1.42pt,.85pt">
                <w:txbxContent>
                  <w:p w:rsidR="00EE1CF7" w:rsidRDefault="00EE1CF7">
                    <w:r>
                      <w:rPr>
                        <w:rFonts w:hint="eastAsia"/>
                      </w:rPr>
                      <w:t>电脱盐</w:t>
                    </w:r>
                  </w:p>
                </w:txbxContent>
              </v:textbox>
            </v:shape>
            <v:line id="Line 1036" o:spid="_x0000_s1047" style="position:absolute" from="2550,12009" to="3270,12009" o:preferrelative="t">
              <v:stroke endarrow="block" miterlimit="2"/>
            </v:line>
            <v:line id="Line 1037" o:spid="_x0000_s1048" style="position:absolute;flip:y" from="4455,12633" to="4455,12945" o:preferrelative="t">
              <v:stroke endarrow="block" miterlimit="2"/>
            </v:line>
            <v:shape id="Quad Arrow 1038" o:spid="_x0000_s1049" type="#_x0000_t202" style="position:absolute;left:3450;top:11235;width:360;height:312" o:preferrelative="t" filled="f" stroked="f">
              <v:textbox inset="1.42pt,.85pt,1.42pt,.85pt">
                <w:txbxContent>
                  <w:p w:rsidR="00EE1CF7" w:rsidRDefault="00EE1CF7">
                    <w:r>
                      <w:rPr>
                        <w:rFonts w:hint="eastAsia"/>
                      </w:rPr>
                      <w:t>W1</w:t>
                    </w:r>
                  </w:p>
                </w:txbxContent>
              </v:textbox>
            </v:shape>
            <v:line id="Line 1039" o:spid="_x0000_s1050" style="position:absolute" from="3990,12009" to="4710,12009" o:preferrelative="t">
              <v:stroke endarrow="block" miterlimit="2"/>
            </v:line>
            <v:shape id="Quad Arrow 1040" o:spid="_x0000_s1051" type="#_x0000_t202" style="position:absolute;left:4710;top:11859;width:525;height:312" o:preferrelative="t">
              <v:stroke miterlimit="2"/>
              <v:textbox inset="1.42pt,.85pt,1.42pt,.85pt">
                <w:txbxContent>
                  <w:p w:rsidR="00EE1CF7" w:rsidRDefault="00EE1CF7">
                    <w:r>
                      <w:rPr>
                        <w:rFonts w:hint="eastAsia"/>
                      </w:rPr>
                      <w:t>闪蒸</w:t>
                    </w:r>
                  </w:p>
                </w:txbxContent>
              </v:textbox>
            </v:shape>
            <v:line id="Line 1041" o:spid="_x0000_s1052" style="position:absolute" from="4965,11547" to="4965,11859" o:preferrelative="t">
              <v:stroke miterlimit="2"/>
            </v:line>
            <v:shape id="Quad Arrow 1042" o:spid="_x0000_s1053" type="#_x0000_t202" style="position:absolute;left:5325;top:11739;width:705;height:312" o:preferrelative="t" filled="f" stroked="f">
              <v:textbox inset="1.42pt,.85pt,1.42pt,.85pt">
                <w:txbxContent>
                  <w:p w:rsidR="00EE1CF7" w:rsidRDefault="00EE1CF7">
                    <w:r>
                      <w:rPr>
                        <w:rFonts w:hint="eastAsia"/>
                      </w:rPr>
                      <w:t>闪底油</w:t>
                    </w:r>
                  </w:p>
                </w:txbxContent>
              </v:textbox>
            </v:shape>
            <v:shape id="Quad Arrow 1043" o:spid="_x0000_s1054" type="#_x0000_t202" style="position:absolute;left:6240;top:11859;width:555;height:312" o:preferrelative="t">
              <v:stroke miterlimit="2"/>
              <v:textbox inset="1.42pt,.85pt,1.42pt,.85pt">
                <w:txbxContent>
                  <w:p w:rsidR="00EE1CF7" w:rsidRDefault="00EE1CF7">
                    <w:r>
                      <w:rPr>
                        <w:rFonts w:hint="eastAsia"/>
                      </w:rPr>
                      <w:t>加热</w:t>
                    </w:r>
                  </w:p>
                </w:txbxContent>
              </v:textbox>
            </v:shape>
            <v:line id="Line 1044" o:spid="_x0000_s1055" style="position:absolute" from="5235,12009" to="6210,12009" o:preferrelative="t">
              <v:stroke endarrow="block" miterlimit="2"/>
            </v:line>
            <v:shape id="Quad Arrow 1045" o:spid="_x0000_s1056" type="#_x0000_t202" style="position:absolute;left:7320;top:11859;width:915;height:312" o:preferrelative="t">
              <v:stroke miterlimit="2"/>
              <v:textbox inset="1.42pt,.85pt,1.42pt,.85pt">
                <w:txbxContent>
                  <w:p w:rsidR="00EE1CF7" w:rsidRDefault="00EE1CF7">
                    <w:r>
                      <w:rPr>
                        <w:rFonts w:hint="eastAsia"/>
                      </w:rPr>
                      <w:t>常压蒸馏塔</w:t>
                    </w:r>
                  </w:p>
                </w:txbxContent>
              </v:textbox>
            </v:shape>
            <v:line id="Line 1046" o:spid="_x0000_s1057" style="position:absolute" from="7770,12171" to="7770,12951" o:preferrelative="t">
              <v:stroke endarrow="block" miterlimit="2"/>
            </v:line>
            <v:shape id="Quad Arrow 1047" o:spid="_x0000_s1058" type="#_x0000_t202" style="position:absolute;left:8895;top:11859;width:1080;height:312" o:preferrelative="t">
              <v:stroke miterlimit="2"/>
              <v:textbox inset="1.42pt,.85pt,1.42pt,.85pt">
                <w:txbxContent>
                  <w:p w:rsidR="00EE1CF7" w:rsidRDefault="00EE1CF7">
                    <w:r>
                      <w:rPr>
                        <w:rFonts w:hint="eastAsia"/>
                      </w:rPr>
                      <w:t>冷却分离</w:t>
                    </w:r>
                  </w:p>
                </w:txbxContent>
              </v:textbox>
            </v:shape>
            <v:shape id="Quad Arrow 1048" o:spid="_x0000_s1059" type="#_x0000_t202" style="position:absolute;left:8235;top:11754;width:720;height:312" o:preferrelative="t" filled="f" stroked="f">
              <v:textbox inset="1.42pt,.85pt,1.42pt,.85pt">
                <w:txbxContent>
                  <w:p w:rsidR="00EE1CF7" w:rsidRDefault="00EE1CF7">
                    <w:r>
                      <w:rPr>
                        <w:rFonts w:hint="eastAsia"/>
                      </w:rPr>
                      <w:t>常顶气</w:t>
                    </w:r>
                  </w:p>
                </w:txbxContent>
              </v:textbox>
            </v:shape>
            <v:shape id="Quad Arrow 1049" o:spid="_x0000_s1060" type="#_x0000_t202" style="position:absolute;left:9105;top:12639;width:540;height:312" o:preferrelative="t">
              <v:stroke miterlimit="2"/>
              <v:textbox inset="1.42pt,.85pt,1.42pt,.85pt">
                <w:txbxContent>
                  <w:p w:rsidR="00EE1CF7" w:rsidRDefault="00EE1CF7">
                    <w:r>
                      <w:rPr>
                        <w:rFonts w:hint="eastAsia"/>
                      </w:rPr>
                      <w:t>储罐</w:t>
                    </w:r>
                  </w:p>
                </w:txbxContent>
              </v:textbox>
            </v:shape>
            <v:line id="Line 1050" o:spid="_x0000_s1061" style="position:absolute" from="4440,13263" to="4440,13575" o:preferrelative="t">
              <v:stroke dashstyle="dash" endarrow="block" miterlimit="2"/>
            </v:line>
            <v:shape id="Quad Arrow 1051" o:spid="_x0000_s1062" type="#_x0000_t202" style="position:absolute;left:9210;top:11235;width:360;height:312" o:preferrelative="t" filled="f" stroked="f">
              <v:textbox inset="1.42pt,.85pt,1.42pt,.85pt">
                <w:txbxContent>
                  <w:p w:rsidR="00EE1CF7" w:rsidRDefault="00EE1CF7">
                    <w:r>
                      <w:rPr>
                        <w:rFonts w:hint="eastAsia"/>
                      </w:rPr>
                      <w:t>W2</w:t>
                    </w:r>
                  </w:p>
                </w:txbxContent>
              </v:textbox>
            </v:shape>
            <v:shape id="Quad Arrow 1052" o:spid="_x0000_s1063" type="#_x0000_t202" style="position:absolute;left:5865;top:12945;width:915;height:312" o:preferrelative="t">
              <v:stroke miterlimit="2"/>
              <v:textbox inset="1.42pt,.85pt,1.42pt,.85pt">
                <w:txbxContent>
                  <w:p w:rsidR="00EE1CF7" w:rsidRDefault="00EE1CF7">
                    <w:r>
                      <w:rPr>
                        <w:rFonts w:hint="eastAsia"/>
                      </w:rPr>
                      <w:t>减压蒸馏</w:t>
                    </w:r>
                  </w:p>
                </w:txbxContent>
              </v:textbox>
            </v:shape>
            <v:line id="Line 1053" o:spid="_x0000_s1064" style="position:absolute" from="9375,12171" to="9375,12639" o:preferrelative="t">
              <v:stroke endarrow="block" miterlimit="2"/>
            </v:line>
            <v:shape id="Quad Arrow 1054" o:spid="_x0000_s1065" type="#_x0000_t202" style="position:absolute;left:7485;top:12369;width:720;height:312" o:preferrelative="t" filled="f" stroked="f">
              <v:textbox inset="1.42pt,.85pt,1.42pt,.85pt">
                <w:txbxContent>
                  <w:p w:rsidR="00EE1CF7" w:rsidRDefault="00EE1CF7">
                    <w:r>
                      <w:rPr>
                        <w:rFonts w:hint="eastAsia"/>
                      </w:rPr>
                      <w:t>常底油</w:t>
                    </w:r>
                  </w:p>
                </w:txbxContent>
              </v:textbox>
            </v:shape>
            <v:shape id="Quad Arrow 1055" o:spid="_x0000_s1066" type="#_x0000_t202" style="position:absolute;left:3900;top:12945;width:1080;height:312" o:preferrelative="t">
              <v:stroke miterlimit="2"/>
              <v:textbox inset="1.42pt,.85pt,1.42pt,.85pt">
                <w:txbxContent>
                  <w:p w:rsidR="00EE1CF7" w:rsidRDefault="00EE1CF7">
                    <w:r>
                      <w:rPr>
                        <w:rFonts w:hint="eastAsia"/>
                      </w:rPr>
                      <w:t>冷却分离</w:t>
                    </w:r>
                  </w:p>
                </w:txbxContent>
              </v:textbox>
            </v:shape>
            <v:line id="Line 1056" o:spid="_x0000_s1067" style="position:absolute;flip:y" from="9375,11508" to="9375,11820" o:preferrelative="t">
              <v:stroke dashstyle="dash" endarrow="block" miterlimit="2"/>
            </v:line>
            <v:shape id="Quad Arrow 1057" o:spid="_x0000_s1068" type="#_x0000_t202" style="position:absolute;left:4245;top:13575;width:360;height:312" o:preferrelative="t" filled="f" stroked="f">
              <v:textbox inset="1.42pt,.85pt,1.42pt,.85pt">
                <w:txbxContent>
                  <w:p w:rsidR="00EE1CF7" w:rsidRDefault="00EE1CF7">
                    <w:r>
                      <w:rPr>
                        <w:rFonts w:hint="eastAsia"/>
                      </w:rPr>
                      <w:t>W3</w:t>
                    </w:r>
                  </w:p>
                </w:txbxContent>
              </v:textbox>
            </v:shape>
            <v:line id="Line 1058" o:spid="_x0000_s1069" style="position:absolute;flip:x" from="6720,13104" to="7440,13104" o:preferrelative="t">
              <v:stroke endarrow="block" miterlimit="2"/>
            </v:line>
            <v:shape id="Quad Arrow 1059" o:spid="_x0000_s1070" type="#_x0000_t202" style="position:absolute;left:7485;top:12951;width:540;height:312" o:preferrelative="t">
              <v:stroke miterlimit="2"/>
              <v:textbox inset="1.42pt,.85pt,1.42pt,.85pt">
                <w:txbxContent>
                  <w:p w:rsidR="00EE1CF7" w:rsidRDefault="00EE1CF7">
                    <w:r>
                      <w:rPr>
                        <w:rFonts w:hint="eastAsia"/>
                      </w:rPr>
                      <w:t>加热</w:t>
                    </w:r>
                  </w:p>
                </w:txbxContent>
              </v:textbox>
            </v:shape>
            <v:line id="Line 1060" o:spid="_x0000_s1071" style="position:absolute" from="8055,13104" to="8595,13104" o:preferrelative="t">
              <v:stroke dashstyle="dash" endarrow="block" miterlimit="2"/>
            </v:line>
            <v:shape id="Quad Arrow 1061" o:spid="_x0000_s1072" type="#_x0000_t202" style="position:absolute;left:8595;top:12951;width:360;height:312" o:preferrelative="t" filled="f" stroked="f">
              <v:textbox inset="1.42pt,.85pt,1.42pt,.85pt">
                <w:txbxContent>
                  <w:p w:rsidR="00EE1CF7" w:rsidRDefault="00EE1CF7">
                    <w:r>
                      <w:rPr>
                        <w:rFonts w:hint="eastAsia"/>
                      </w:rPr>
                      <w:t>G2</w:t>
                    </w:r>
                  </w:p>
                </w:txbxContent>
              </v:textbox>
            </v:shape>
            <v:line id="Line 1062" o:spid="_x0000_s1073" style="position:absolute;flip:x" from="4980,13104" to="5880,13104" o:preferrelative="t">
              <v:stroke endarrow="block" miterlimit="2"/>
            </v:line>
            <v:line id="Line 1063" o:spid="_x0000_s1074" style="position:absolute" from="6375,13263" to="6375,13785" o:preferrelative="t">
              <v:stroke endarrow="block" miterlimit="2"/>
            </v:line>
            <v:shape id="Quad Arrow 1064" o:spid="_x0000_s1075" type="#_x0000_t202" style="position:absolute;left:5895;top:13263;width:900;height:312" o:preferrelative="t" filled="f" stroked="f">
              <v:textbox inset="1.42pt,.85pt,1.42pt,.85pt">
                <w:txbxContent>
                  <w:p w:rsidR="00EE1CF7" w:rsidRDefault="00EE1CF7">
                    <w:r>
                      <w:rPr>
                        <w:rFonts w:hint="eastAsia"/>
                      </w:rPr>
                      <w:t xml:space="preserve">　沥青</w:t>
                    </w:r>
                  </w:p>
                </w:txbxContent>
              </v:textbox>
            </v:shape>
            <v:line id="Line 1065" o:spid="_x0000_s1076" style="position:absolute" from="4980,11547" to="7755,11547" o:preferrelative="t">
              <v:stroke miterlimit="2"/>
            </v:line>
            <v:shape id="Quad Arrow 1066" o:spid="_x0000_s1077" type="#_x0000_t202" style="position:absolute;left:9630;top:12951;width:810;height:327" o:preferrelative="t" filled="f" stroked="f">
              <v:textbox inset="1.42pt,.85pt,1.42pt,.85pt">
                <w:txbxContent>
                  <w:p w:rsidR="00EE1CF7" w:rsidRDefault="00EE1CF7">
                    <w:r>
                      <w:rPr>
                        <w:rFonts w:hint="eastAsia"/>
                      </w:rPr>
                      <w:t>不凝气</w:t>
                    </w:r>
                  </w:p>
                </w:txbxContent>
              </v:textbox>
            </v:shape>
            <v:line id="Line 1067" o:spid="_x0000_s1078" style="position:absolute;flip:y" from="3630,11547" to="3630,11859" o:preferrelative="t">
              <v:stroke dashstyle="dash" endarrow="block" miterlimit="2"/>
            </v:line>
            <v:shapetype id="_x0000_t32" coordsize="21600,21600" o:spt="32" o:oned="t" path="m,l21600,21600e" filled="f">
              <v:path arrowok="t" fillok="f" o:connecttype="none"/>
              <o:lock v:ext="edit" shapetype="t"/>
            </v:shapetype>
            <v:shape id="Straight Connector 1068" o:spid="_x0000_s1079" type="#_x0000_t32" style="position:absolute;left:6795;top:12009;width:525;height:0" o:connectortype="straight" o:preferrelative="t">
              <v:stroke endarrow="block" miterlimit="2"/>
            </v:shape>
            <v:shape id="Straight Connector 1069" o:spid="_x0000_s1080" type="#_x0000_t32" style="position:absolute;left:7755;top:11547;width:0;height:312" o:connectortype="straight" o:preferrelative="t">
              <v:stroke endarrow="block" miterlimit="2"/>
            </v:shape>
            <v:shape id="Quad Arrow 1070" o:spid="_x0000_s1081" type="#_x0000_t202" style="position:absolute;left:6420;top:11334;width:705;height:312" o:preferrelative="t" filled="f" stroked="f">
              <v:textbox inset="1.42pt,.85pt,1.42pt,.85pt">
                <w:txbxContent>
                  <w:p w:rsidR="00EE1CF7" w:rsidRDefault="00EE1CF7">
                    <w:r>
                      <w:rPr>
                        <w:rFonts w:hint="eastAsia"/>
                      </w:rPr>
                      <w:t>闪顶气</w:t>
                    </w:r>
                  </w:p>
                </w:txbxContent>
              </v:textbox>
            </v:shape>
            <v:shape id="Straight Connector 1071" o:spid="_x0000_s1082" type="#_x0000_t32" style="position:absolute;left:8235;top:12009;width:660;height:0" o:connectortype="straight" o:preferrelative="t">
              <v:stroke endarrow="block" miterlimit="2"/>
            </v:shape>
            <v:shape id="Quad Arrow 1072" o:spid="_x0000_s1083" type="#_x0000_t202" style="position:absolute;left:5160;top:12792;width:720;height:312" o:preferrelative="t" filled="f" stroked="f">
              <v:textbox inset="1.42pt,.85pt,1.42pt,.85pt">
                <w:txbxContent>
                  <w:p w:rsidR="00EE1CF7" w:rsidRDefault="00EE1CF7">
                    <w:r>
                      <w:rPr>
                        <w:rFonts w:hint="eastAsia"/>
                      </w:rPr>
                      <w:t>减顶气</w:t>
                    </w:r>
                  </w:p>
                </w:txbxContent>
              </v:textbox>
            </v:shape>
            <v:shape id="Quad Arrow 1073" o:spid="_x0000_s1084" type="#_x0000_t202" style="position:absolute;left:6090;top:13770;width:540;height:312" o:preferrelative="t">
              <v:stroke miterlimit="2"/>
              <v:textbox inset="1.42pt,.85pt,1.42pt,.85pt">
                <w:txbxContent>
                  <w:p w:rsidR="00EE1CF7" w:rsidRDefault="00EE1CF7">
                    <w:r>
                      <w:rPr>
                        <w:rFonts w:hint="eastAsia"/>
                      </w:rPr>
                      <w:t>储罐</w:t>
                    </w:r>
                  </w:p>
                </w:txbxContent>
              </v:textbox>
            </v:shape>
            <v:shape id="Straight Connector 1074" o:spid="_x0000_s1085" type="#_x0000_t32" style="position:absolute;left:9825;top:12171;width:0;height:1092" o:connectortype="straight" o:preferrelative="t">
              <v:stroke endarrow="block" miterlimit="2"/>
            </v:shape>
            <v:shape id="Quad Arrow 1075" o:spid="_x0000_s1086" type="#_x0000_t202" style="position:absolute;left:9465;top:13257;width:975;height:312" o:preferrelative="t" filled="f" stroked="f">
              <v:textbox inset="1.42pt,.85pt,1.42pt,.85pt">
                <w:txbxContent>
                  <w:p w:rsidR="00EE1CF7" w:rsidRDefault="00EE1CF7">
                    <w:r>
                      <w:rPr>
                        <w:rFonts w:hint="eastAsia"/>
                      </w:rPr>
                      <w:t>去加热炉</w:t>
                    </w:r>
                  </w:p>
                </w:txbxContent>
              </v:textbox>
            </v:shape>
            <v:shape id="Quad Arrow 1076" o:spid="_x0000_s1087" type="#_x0000_t202" style="position:absolute;left:3990;top:12681;width:810;height:327" o:preferrelative="t" filled="f" stroked="f">
              <v:textbox inset="1.42pt,.85pt,1.42pt,.85pt">
                <w:txbxContent>
                  <w:p w:rsidR="00EE1CF7" w:rsidRDefault="00EE1CF7">
                    <w:r>
                      <w:rPr>
                        <w:rFonts w:hint="eastAsia"/>
                      </w:rPr>
                      <w:t>不凝气</w:t>
                    </w:r>
                  </w:p>
                </w:txbxContent>
              </v:textbox>
            </v:shape>
            <v:shape id="Quad Arrow 1077" o:spid="_x0000_s1088" type="#_x0000_t202" style="position:absolute;left:4005;top:12327;width:975;height:312" o:preferrelative="t" filled="f" stroked="f">
              <v:textbox inset="1.42pt,.85pt,1.42pt,.85pt">
                <w:txbxContent>
                  <w:p w:rsidR="00EE1CF7" w:rsidRDefault="00EE1CF7">
                    <w:r>
                      <w:rPr>
                        <w:rFonts w:hint="eastAsia"/>
                      </w:rPr>
                      <w:t>去加热炉</w:t>
                    </w:r>
                  </w:p>
                </w:txbxContent>
              </v:textbox>
            </v:shape>
            <v:shape id="Straight Connector 1078" o:spid="_x0000_s1089" type="#_x0000_t32" style="position:absolute;left:3450;top:13104;width:450;height:0;flip:x" o:connectortype="straight" o:preferrelative="t">
              <v:stroke miterlimit="2"/>
            </v:shape>
            <v:shape id="Straight Connector 1079" o:spid="_x0000_s1090" type="#_x0000_t32" style="position:absolute;left:3450;top:13104;width:0;height:555" o:connectortype="straight" o:preferrelative="t">
              <v:stroke endarrow="block" miterlimit="2"/>
            </v:shape>
            <v:shape id="Quad Arrow 1080" o:spid="_x0000_s1091" type="#_x0000_t202" style="position:absolute;left:8955;top:12312;width:720;height:312" o:preferrelative="t" filled="f" stroked="f">
              <v:textbox inset="1.42pt,.85pt,1.42pt,.85pt">
                <w:txbxContent>
                  <w:p w:rsidR="00EE1CF7" w:rsidRDefault="00EE1CF7">
                    <w:r>
                      <w:rPr>
                        <w:rFonts w:hint="eastAsia"/>
                      </w:rPr>
                      <w:t>常顶油</w:t>
                    </w:r>
                  </w:p>
                </w:txbxContent>
              </v:textbox>
            </v:shape>
            <v:shape id="Quad Arrow 1081" o:spid="_x0000_s1092" type="#_x0000_t202" style="position:absolute;left:3090;top:13104;width:720;height:312" o:preferrelative="t" filled="f" stroked="f">
              <v:textbox inset="1.42pt,.85pt,1.42pt,.85pt">
                <w:txbxContent>
                  <w:p w:rsidR="00EE1CF7" w:rsidRDefault="00EE1CF7">
                    <w:r>
                      <w:rPr>
                        <w:rFonts w:hint="eastAsia"/>
                      </w:rPr>
                      <w:t>减顶油</w:t>
                    </w:r>
                  </w:p>
                </w:txbxContent>
              </v:textbox>
            </v:shape>
            <v:shape id="Quad Arrow 1082" o:spid="_x0000_s1093" type="#_x0000_t202" style="position:absolute;left:3270;top:13659;width:540;height:312" o:preferrelative="t">
              <v:stroke miterlimit="2"/>
              <v:textbox inset="1.42pt,.85pt,1.42pt,.85pt">
                <w:txbxContent>
                  <w:p w:rsidR="00EE1CF7" w:rsidRDefault="00EE1CF7">
                    <w:r>
                      <w:rPr>
                        <w:rFonts w:hint="eastAsia"/>
                      </w:rPr>
                      <w:t>储罐</w:t>
                    </w:r>
                  </w:p>
                </w:txbxContent>
              </v:textbox>
            </v:shape>
            <v:shape id="Straight Connector 1083" o:spid="_x0000_s1094" type="#_x0000_t32" style="position:absolute;left:5355;top:13575;width:735;height:6;flip:x y" o:connectortype="straight" o:preferrelative="t">
              <v:stroke miterlimit="2"/>
            </v:shape>
            <v:shape id="Straight Connector 1084" o:spid="_x0000_s1095" type="#_x0000_t32" style="position:absolute;left:6090;top:13263;width:0;height:306" o:connectortype="straight" o:preferrelative="t">
              <v:stroke miterlimit="2"/>
            </v:shape>
            <v:shape id="Straight Connector 1085" o:spid="_x0000_s1096" type="#_x0000_t32" style="position:absolute;left:5355;top:13581;width:0;height:390" o:connectortype="straight" o:preferrelative="t">
              <v:stroke endarrow="block" miterlimit="2"/>
            </v:shape>
            <v:shape id="Quad Arrow 1086" o:spid="_x0000_s1097" type="#_x0000_t202" style="position:absolute;left:5370;top:13416;width:720;height:312" o:preferrelative="t" filled="f" stroked="f">
              <v:textbox inset="1.42pt,.85pt,1.42pt,.85pt">
                <w:txbxContent>
                  <w:p w:rsidR="00EE1CF7" w:rsidRDefault="00EE1CF7">
                    <w:r>
                      <w:rPr>
                        <w:rFonts w:hint="eastAsia"/>
                      </w:rPr>
                      <w:t>侧线油</w:t>
                    </w:r>
                  </w:p>
                </w:txbxContent>
              </v:textbox>
            </v:shape>
            <v:shape id="Quad Arrow 1087" o:spid="_x0000_s1098" type="#_x0000_t202" style="position:absolute;left:5145;top:13971;width:540;height:312" o:preferrelative="t">
              <v:stroke miterlimit="2"/>
              <v:textbox inset="1.42pt,.85pt,1.42pt,.85pt">
                <w:txbxContent>
                  <w:p w:rsidR="00EE1CF7" w:rsidRDefault="00EE1CF7">
                    <w:r>
                      <w:rPr>
                        <w:rFonts w:hint="eastAsia"/>
                      </w:rPr>
                      <w:t>储罐</w:t>
                    </w:r>
                  </w:p>
                </w:txbxContent>
              </v:textbox>
            </v:shape>
            <v:shape id="Straight Connector 1088" o:spid="_x0000_s1099" type="#_x0000_t32" style="position:absolute;left:6543;top:12171;width:15;height:339" o:connectortype="straight" o:preferrelative="t">
              <v:stroke dashstyle="dash" endarrow="block" miterlimit="2"/>
            </v:shape>
            <v:shape id="Quad Arrow 1089" o:spid="_x0000_s1100" type="#_x0000_t202" style="position:absolute;left:6375;top:12480;width:360;height:312" o:preferrelative="t" filled="f" stroked="f">
              <v:textbox inset="1.42pt,.85pt,1.42pt,.85pt">
                <w:txbxContent>
                  <w:p w:rsidR="00EE1CF7" w:rsidRDefault="00EE1CF7">
                    <w:r>
                      <w:rPr>
                        <w:rFonts w:hint="eastAsia"/>
                      </w:rPr>
                      <w:t>G1</w:t>
                    </w:r>
                  </w:p>
                </w:txbxContent>
              </v:textbox>
            </v:shape>
          </v:group>
        </w:pict>
      </w: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sz w:val="24"/>
          <w:szCs w:val="24"/>
        </w:rPr>
      </w:pPr>
    </w:p>
    <w:p w:rsidR="00525419" w:rsidRDefault="00EE1CF7">
      <w:pPr>
        <w:jc w:val="center"/>
        <w:rPr>
          <w:rFonts w:ascii="Times New Roman" w:hAnsi="Times New Roman"/>
          <w:b/>
          <w:sz w:val="24"/>
          <w:szCs w:val="24"/>
        </w:rPr>
      </w:pPr>
      <w:r>
        <w:rPr>
          <w:rFonts w:ascii="Times New Roman" w:hAnsi="Times New Roman"/>
          <w:b/>
          <w:sz w:val="24"/>
          <w:szCs w:val="24"/>
        </w:rPr>
        <w:t>图</w:t>
      </w:r>
      <w:r>
        <w:rPr>
          <w:rFonts w:ascii="Times New Roman" w:hAnsi="Times New Roman"/>
          <w:b/>
          <w:sz w:val="24"/>
          <w:szCs w:val="24"/>
        </w:rPr>
        <w:t>3.2-</w:t>
      </w:r>
      <w:r>
        <w:rPr>
          <w:rFonts w:ascii="Times New Roman" w:hAnsi="Times New Roman" w:hint="eastAsia"/>
          <w:b/>
          <w:sz w:val="24"/>
          <w:szCs w:val="24"/>
        </w:rPr>
        <w:t>1</w:t>
      </w:r>
      <w:r>
        <w:rPr>
          <w:rFonts w:ascii="Times New Roman" w:hAnsi="Times New Roman"/>
          <w:b/>
          <w:sz w:val="24"/>
          <w:szCs w:val="24"/>
        </w:rPr>
        <w:t xml:space="preserve">　　</w:t>
      </w:r>
      <w:r>
        <w:rPr>
          <w:rFonts w:ascii="Times New Roman" w:hAnsi="Times New Roman"/>
          <w:b/>
          <w:bCs/>
          <w:sz w:val="24"/>
          <w:szCs w:val="24"/>
        </w:rPr>
        <w:t>原料预处理装置</w:t>
      </w:r>
      <w:r>
        <w:rPr>
          <w:rFonts w:ascii="Times New Roman" w:hAnsi="Times New Roman"/>
          <w:b/>
          <w:sz w:val="24"/>
          <w:szCs w:val="24"/>
        </w:rPr>
        <w:t>工艺流程及产污环节图</w:t>
      </w:r>
    </w:p>
    <w:p w:rsidR="00525419" w:rsidRDefault="00EE1CF7">
      <w:pPr>
        <w:pStyle w:val="3a"/>
        <w:spacing w:beforeLines="50" w:before="156" w:after="156" w:line="360" w:lineRule="auto"/>
        <w:jc w:val="left"/>
        <w:rPr>
          <w:rFonts w:ascii="Times New Roman" w:eastAsia="华文楷体" w:hAnsi="Times New Roman"/>
        </w:rPr>
      </w:pPr>
      <w:r>
        <w:rPr>
          <w:rFonts w:ascii="Times New Roman" w:eastAsia="华文楷体" w:hAnsi="Times New Roman"/>
        </w:rPr>
        <w:t>3.2.3</w:t>
      </w:r>
      <w:r>
        <w:rPr>
          <w:rFonts w:ascii="Times New Roman" w:eastAsia="华文楷体" w:hAnsi="Times New Roman"/>
        </w:rPr>
        <w:t>现有工程公用、辅助配套设施及储运工程情况</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3.2.3.1</w:t>
      </w:r>
      <w:r>
        <w:rPr>
          <w:rFonts w:ascii="Times New Roman" w:hAnsi="Times New Roman" w:cs="Times New Roman"/>
          <w:kern w:val="44"/>
          <w:sz w:val="24"/>
          <w:szCs w:val="24"/>
        </w:rPr>
        <w:t>给排水</w:t>
      </w:r>
    </w:p>
    <w:p w:rsidR="00525419" w:rsidRDefault="00EE1CF7">
      <w:pPr>
        <w:adjustRightInd w:val="0"/>
        <w:snapToGrid w:val="0"/>
        <w:spacing w:line="440" w:lineRule="exact"/>
        <w:ind w:firstLineChars="200" w:firstLine="480"/>
        <w:rPr>
          <w:rFonts w:ascii="Times New Roman" w:hAnsi="Times New Roman"/>
          <w:sz w:val="24"/>
        </w:rPr>
      </w:pPr>
      <w:r>
        <w:rPr>
          <w:rFonts w:ascii="Times New Roman" w:hAnsi="Times New Roman"/>
          <w:sz w:val="24"/>
        </w:rPr>
        <w:t>①</w:t>
      </w:r>
      <w:r>
        <w:rPr>
          <w:rFonts w:ascii="Times New Roman" w:hAnsi="Times New Roman"/>
          <w:sz w:val="24"/>
        </w:rPr>
        <w:t>给水</w:t>
      </w:r>
    </w:p>
    <w:p w:rsidR="00525419" w:rsidRDefault="00EE1CF7">
      <w:pPr>
        <w:adjustRightInd w:val="0"/>
        <w:snapToGrid w:val="0"/>
        <w:spacing w:line="440" w:lineRule="exact"/>
        <w:ind w:firstLineChars="200" w:firstLine="480"/>
        <w:rPr>
          <w:rFonts w:ascii="Times New Roman" w:hAnsi="Times New Roman"/>
          <w:sz w:val="24"/>
        </w:rPr>
      </w:pPr>
      <w:r>
        <w:rPr>
          <w:rFonts w:ascii="Times New Roman" w:hAnsi="Times New Roman"/>
          <w:sz w:val="24"/>
        </w:rPr>
        <w:t>▲</w:t>
      </w:r>
      <w:r>
        <w:rPr>
          <w:rFonts w:ascii="Times New Roman" w:hAnsi="Times New Roman"/>
          <w:sz w:val="24"/>
        </w:rPr>
        <w:t>新鲜水</w:t>
      </w:r>
    </w:p>
    <w:p w:rsidR="00525419" w:rsidRDefault="00EE1CF7">
      <w:pPr>
        <w:adjustRightInd w:val="0"/>
        <w:snapToGrid w:val="0"/>
        <w:spacing w:line="440" w:lineRule="exact"/>
        <w:ind w:firstLineChars="200" w:firstLine="480"/>
        <w:rPr>
          <w:rFonts w:ascii="Times New Roman" w:hAnsi="Times New Roman"/>
          <w:sz w:val="24"/>
        </w:rPr>
      </w:pPr>
      <w:r>
        <w:rPr>
          <w:rFonts w:ascii="Times New Roman" w:hAnsi="Times New Roman"/>
          <w:sz w:val="24"/>
        </w:rPr>
        <w:t>新疆美汇特石化产品有限公司厂区</w:t>
      </w:r>
      <w:r>
        <w:rPr>
          <w:rFonts w:ascii="Times New Roman" w:hAnsi="Times New Roman"/>
          <w:sz w:val="24"/>
          <w:szCs w:val="24"/>
        </w:rPr>
        <w:t>外接园区管网</w:t>
      </w:r>
      <w:r>
        <w:rPr>
          <w:rFonts w:ascii="Times New Roman" w:hAnsi="Times New Roman"/>
          <w:sz w:val="24"/>
          <w:szCs w:val="24"/>
        </w:rPr>
        <w:t>DN150</w:t>
      </w:r>
      <w:r>
        <w:rPr>
          <w:rFonts w:ascii="Times New Roman" w:hAnsi="Times New Roman"/>
          <w:sz w:val="24"/>
          <w:szCs w:val="24"/>
        </w:rPr>
        <w:t>，现供水能力</w:t>
      </w:r>
      <w:r>
        <w:rPr>
          <w:rFonts w:ascii="Times New Roman" w:hAnsi="Times New Roman"/>
          <w:sz w:val="24"/>
          <w:szCs w:val="24"/>
        </w:rPr>
        <w:t>116m</w:t>
      </w:r>
      <w:r>
        <w:rPr>
          <w:rFonts w:ascii="Times New Roman" w:hAnsi="Times New Roman"/>
          <w:sz w:val="24"/>
          <w:szCs w:val="24"/>
          <w:vertAlign w:val="superscript"/>
        </w:rPr>
        <w:t>3</w:t>
      </w:r>
      <w:r>
        <w:rPr>
          <w:rFonts w:ascii="Times New Roman" w:hAnsi="Times New Roman"/>
          <w:sz w:val="24"/>
          <w:szCs w:val="24"/>
        </w:rPr>
        <w:t>/h</w:t>
      </w:r>
      <w:r>
        <w:rPr>
          <w:rFonts w:ascii="Times New Roman" w:hAnsi="Times New Roman"/>
          <w:sz w:val="24"/>
          <w:szCs w:val="24"/>
        </w:rPr>
        <w:t>。</w:t>
      </w:r>
    </w:p>
    <w:p w:rsidR="00525419" w:rsidRDefault="00EE1CF7">
      <w:pPr>
        <w:adjustRightInd w:val="0"/>
        <w:snapToGrid w:val="0"/>
        <w:spacing w:line="440" w:lineRule="exact"/>
        <w:ind w:firstLineChars="200" w:firstLine="480"/>
        <w:rPr>
          <w:rFonts w:ascii="Times New Roman" w:hAnsi="Times New Roman"/>
          <w:sz w:val="24"/>
        </w:rPr>
      </w:pPr>
      <w:r>
        <w:rPr>
          <w:rFonts w:ascii="Times New Roman" w:hAnsi="Times New Roman"/>
          <w:sz w:val="24"/>
        </w:rPr>
        <w:t>▲</w:t>
      </w:r>
      <w:r>
        <w:rPr>
          <w:rFonts w:ascii="Times New Roman" w:hAnsi="Times New Roman"/>
          <w:sz w:val="24"/>
        </w:rPr>
        <w:t>脱盐水</w:t>
      </w:r>
    </w:p>
    <w:p w:rsidR="00525419" w:rsidRDefault="00EE1CF7">
      <w:pPr>
        <w:adjustRightInd w:val="0"/>
        <w:snapToGrid w:val="0"/>
        <w:spacing w:line="440" w:lineRule="exact"/>
        <w:ind w:firstLineChars="200" w:firstLine="480"/>
        <w:rPr>
          <w:rFonts w:ascii="Times New Roman" w:hAnsi="Times New Roman"/>
          <w:sz w:val="24"/>
        </w:rPr>
      </w:pPr>
      <w:r>
        <w:rPr>
          <w:rFonts w:ascii="Times New Roman" w:hAnsi="Times New Roman"/>
          <w:sz w:val="24"/>
        </w:rPr>
        <w:t>新疆美汇特石化产品有限公司厂区现脱盐水系统</w:t>
      </w:r>
      <w:r>
        <w:rPr>
          <w:rFonts w:ascii="Times New Roman" w:hAnsi="Times New Roman"/>
          <w:sz w:val="24"/>
          <w:szCs w:val="24"/>
        </w:rPr>
        <w:t>设计规模</w:t>
      </w:r>
      <w:r>
        <w:rPr>
          <w:rFonts w:ascii="Times New Roman" w:hAnsi="Times New Roman"/>
          <w:sz w:val="24"/>
          <w:szCs w:val="24"/>
        </w:rPr>
        <w:t>2×40m</w:t>
      </w:r>
      <w:r>
        <w:rPr>
          <w:rFonts w:ascii="Times New Roman" w:hAnsi="Times New Roman"/>
          <w:sz w:val="24"/>
          <w:szCs w:val="24"/>
          <w:vertAlign w:val="superscript"/>
        </w:rPr>
        <w:t>3</w:t>
      </w:r>
      <w:r>
        <w:rPr>
          <w:rFonts w:ascii="Times New Roman" w:hAnsi="Times New Roman"/>
          <w:sz w:val="24"/>
          <w:szCs w:val="24"/>
        </w:rPr>
        <w:t>/h</w:t>
      </w:r>
      <w:r>
        <w:rPr>
          <w:rFonts w:ascii="Times New Roman" w:hAnsi="Times New Roman"/>
          <w:sz w:val="24"/>
          <w:szCs w:val="24"/>
        </w:rPr>
        <w:t>。脱盐水制备采用介质过滤</w:t>
      </w:r>
      <w:r>
        <w:rPr>
          <w:rFonts w:ascii="Times New Roman" w:hAnsi="Times New Roman"/>
          <w:sz w:val="24"/>
          <w:szCs w:val="24"/>
        </w:rPr>
        <w:t>+</w:t>
      </w:r>
      <w:r w:rsidR="00BF584C">
        <w:rPr>
          <w:rFonts w:ascii="Times New Roman" w:hAnsi="Times New Roman"/>
          <w:sz w:val="24"/>
          <w:szCs w:val="24"/>
        </w:rPr>
        <w:t>活性</w:t>
      </w:r>
      <w:r w:rsidR="00BF584C">
        <w:rPr>
          <w:rFonts w:ascii="Times New Roman" w:hAnsi="Times New Roman" w:hint="eastAsia"/>
          <w:sz w:val="24"/>
          <w:szCs w:val="24"/>
        </w:rPr>
        <w:t>炭</w:t>
      </w:r>
      <w:r>
        <w:rPr>
          <w:rFonts w:ascii="Times New Roman" w:hAnsi="Times New Roman"/>
          <w:sz w:val="24"/>
          <w:szCs w:val="24"/>
        </w:rPr>
        <w:t>过滤</w:t>
      </w:r>
      <w:r>
        <w:rPr>
          <w:rFonts w:ascii="Times New Roman" w:hAnsi="Times New Roman"/>
          <w:sz w:val="24"/>
          <w:szCs w:val="24"/>
        </w:rPr>
        <w:t>+</w:t>
      </w:r>
      <w:r>
        <w:rPr>
          <w:rFonts w:ascii="Times New Roman" w:hAnsi="Times New Roman"/>
          <w:sz w:val="24"/>
          <w:szCs w:val="24"/>
        </w:rPr>
        <w:t>保安过滤</w:t>
      </w:r>
      <w:r>
        <w:rPr>
          <w:rFonts w:ascii="Times New Roman" w:hAnsi="Times New Roman"/>
          <w:sz w:val="24"/>
          <w:szCs w:val="24"/>
        </w:rPr>
        <w:t>+</w:t>
      </w:r>
      <w:r>
        <w:rPr>
          <w:rFonts w:ascii="Times New Roman" w:hAnsi="Times New Roman"/>
          <w:sz w:val="24"/>
          <w:szCs w:val="24"/>
        </w:rPr>
        <w:t>反渗透除盐系统</w:t>
      </w:r>
      <w:r>
        <w:rPr>
          <w:rFonts w:ascii="Times New Roman" w:hAnsi="Times New Roman"/>
          <w:sz w:val="24"/>
          <w:szCs w:val="24"/>
        </w:rPr>
        <w:t>+</w:t>
      </w:r>
      <w:r>
        <w:rPr>
          <w:rFonts w:ascii="Times New Roman" w:hAnsi="Times New Roman"/>
          <w:sz w:val="24"/>
          <w:szCs w:val="24"/>
        </w:rPr>
        <w:t>混床工艺。</w:t>
      </w:r>
    </w:p>
    <w:p w:rsidR="00525419" w:rsidRDefault="00EE1CF7">
      <w:pPr>
        <w:adjustRightInd w:val="0"/>
        <w:snapToGrid w:val="0"/>
        <w:spacing w:line="440" w:lineRule="exact"/>
        <w:ind w:firstLineChars="200" w:firstLine="480"/>
        <w:rPr>
          <w:rFonts w:ascii="Times New Roman" w:hAnsi="Times New Roman"/>
          <w:sz w:val="24"/>
        </w:rPr>
      </w:pPr>
      <w:r>
        <w:rPr>
          <w:rFonts w:ascii="Times New Roman" w:hAnsi="Times New Roman"/>
          <w:sz w:val="24"/>
        </w:rPr>
        <w:t>▲</w:t>
      </w:r>
      <w:r>
        <w:rPr>
          <w:rFonts w:ascii="Times New Roman" w:hAnsi="Times New Roman"/>
          <w:sz w:val="24"/>
        </w:rPr>
        <w:t>循环水</w:t>
      </w:r>
    </w:p>
    <w:p w:rsidR="00525419" w:rsidRDefault="00EE1CF7">
      <w:pPr>
        <w:spacing w:line="440" w:lineRule="exact"/>
        <w:ind w:firstLineChars="200" w:firstLine="480"/>
        <w:rPr>
          <w:rFonts w:ascii="Times New Roman" w:hAnsi="Times New Roman"/>
          <w:sz w:val="24"/>
          <w:szCs w:val="24"/>
        </w:rPr>
      </w:pPr>
      <w:r>
        <w:rPr>
          <w:rFonts w:ascii="Times New Roman" w:hAnsi="Times New Roman"/>
          <w:sz w:val="24"/>
        </w:rPr>
        <w:t>新疆美汇特石化产品有限公司厂区建有闭路循环系统，循环热水自压回到凉水塔，经过冷却后循环使用。美汇特石化产品有限公司厂区现循环水系统</w:t>
      </w:r>
      <w:r>
        <w:rPr>
          <w:rFonts w:ascii="Times New Roman" w:hAnsi="Times New Roman"/>
          <w:snapToGrid w:val="0"/>
          <w:sz w:val="24"/>
          <w:szCs w:val="24"/>
        </w:rPr>
        <w:t>设计循环水泵循环水</w:t>
      </w:r>
      <w:r>
        <w:rPr>
          <w:rFonts w:ascii="Times New Roman" w:hAnsi="Times New Roman"/>
          <w:sz w:val="24"/>
        </w:rPr>
        <w:t>量</w:t>
      </w:r>
      <w:r>
        <w:rPr>
          <w:rFonts w:ascii="Times New Roman" w:hAnsi="Times New Roman"/>
          <w:sz w:val="24"/>
        </w:rPr>
        <w:t>4×1171m</w:t>
      </w:r>
      <w:r>
        <w:rPr>
          <w:rFonts w:ascii="Times New Roman" w:hAnsi="Times New Roman"/>
          <w:sz w:val="24"/>
          <w:vertAlign w:val="superscript"/>
        </w:rPr>
        <w:t>3</w:t>
      </w:r>
      <w:r>
        <w:rPr>
          <w:rFonts w:ascii="Times New Roman" w:hAnsi="Times New Roman"/>
          <w:sz w:val="24"/>
        </w:rPr>
        <w:t>/h</w:t>
      </w:r>
      <w:r>
        <w:rPr>
          <w:rFonts w:ascii="Times New Roman" w:hAnsi="Times New Roman"/>
          <w:sz w:val="24"/>
        </w:rPr>
        <w:t>，循环水池的循环水量</w:t>
      </w:r>
      <w:r>
        <w:rPr>
          <w:rFonts w:ascii="Times New Roman" w:hAnsi="Times New Roman"/>
          <w:sz w:val="24"/>
        </w:rPr>
        <w:t>1200m</w:t>
      </w:r>
      <w:r>
        <w:rPr>
          <w:rFonts w:ascii="Times New Roman" w:hAnsi="Times New Roman"/>
          <w:sz w:val="24"/>
          <w:vertAlign w:val="superscript"/>
        </w:rPr>
        <w:t>3</w:t>
      </w:r>
      <w:r>
        <w:rPr>
          <w:rFonts w:ascii="Times New Roman" w:hAnsi="Times New Roman"/>
          <w:sz w:val="24"/>
        </w:rPr>
        <w:t>/h</w:t>
      </w:r>
      <w:r>
        <w:rPr>
          <w:rFonts w:ascii="Times New Roman" w:hAnsi="Times New Roman"/>
          <w:sz w:val="24"/>
        </w:rPr>
        <w:t>。</w:t>
      </w:r>
    </w:p>
    <w:p w:rsidR="00525419" w:rsidRDefault="00EE1CF7">
      <w:pPr>
        <w:adjustRightInd w:val="0"/>
        <w:snapToGrid w:val="0"/>
        <w:spacing w:line="440" w:lineRule="exact"/>
        <w:ind w:firstLineChars="200" w:firstLine="480"/>
        <w:rPr>
          <w:rFonts w:ascii="Times New Roman" w:hAnsi="Times New Roman"/>
          <w:sz w:val="24"/>
        </w:rPr>
      </w:pPr>
      <w:r>
        <w:rPr>
          <w:rFonts w:ascii="Times New Roman" w:hAnsi="Times New Roman"/>
          <w:sz w:val="24"/>
        </w:rPr>
        <w:t>②</w:t>
      </w:r>
      <w:r>
        <w:rPr>
          <w:rFonts w:ascii="Times New Roman" w:hAnsi="Times New Roman"/>
          <w:sz w:val="24"/>
        </w:rPr>
        <w:t>排水</w:t>
      </w:r>
    </w:p>
    <w:p w:rsidR="00525419" w:rsidRDefault="00EE1CF7">
      <w:pPr>
        <w:spacing w:line="440" w:lineRule="exact"/>
        <w:ind w:firstLineChars="200" w:firstLine="480"/>
        <w:rPr>
          <w:rFonts w:ascii="Times New Roman" w:hAnsi="Times New Roman"/>
          <w:sz w:val="24"/>
        </w:rPr>
      </w:pPr>
      <w:r>
        <w:rPr>
          <w:rFonts w:ascii="Times New Roman" w:hAnsi="Times New Roman"/>
          <w:sz w:val="24"/>
        </w:rPr>
        <w:t>生活污水排放至新疆美汇特石化产品有限公司厂区现有的生活污水管网，然</w:t>
      </w:r>
      <w:r>
        <w:rPr>
          <w:rFonts w:ascii="Times New Roman" w:hAnsi="Times New Roman"/>
          <w:sz w:val="24"/>
        </w:rPr>
        <w:lastRenderedPageBreak/>
        <w:t>后送至位于厂区西侧的污水处理站进行处理。生产废水收集后直接排入污水处理站进行处理，厂区废水经污水处理站处理后回用循环水系统补水。</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3.2.3.2</w:t>
      </w:r>
      <w:r>
        <w:rPr>
          <w:rFonts w:ascii="Times New Roman" w:hAnsi="Times New Roman" w:cs="Times New Roman"/>
          <w:kern w:val="44"/>
          <w:sz w:val="24"/>
          <w:szCs w:val="24"/>
        </w:rPr>
        <w:t>供电及电信</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①</w:t>
      </w:r>
      <w:r>
        <w:rPr>
          <w:rFonts w:ascii="Times New Roman" w:hAnsi="Times New Roman"/>
          <w:sz w:val="24"/>
        </w:rPr>
        <w:t>供电</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新疆美汇特石化产品有限公司厂区现建有</w:t>
      </w:r>
      <w:r>
        <w:rPr>
          <w:rFonts w:ascii="Times New Roman" w:hAnsi="Times New Roman"/>
          <w:sz w:val="24"/>
        </w:rPr>
        <w:t>35kV</w:t>
      </w:r>
      <w:r>
        <w:rPr>
          <w:rFonts w:ascii="Times New Roman" w:hAnsi="Times New Roman"/>
          <w:sz w:val="24"/>
        </w:rPr>
        <w:t>变电站。</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②</w:t>
      </w:r>
      <w:r>
        <w:rPr>
          <w:rFonts w:ascii="Times New Roman" w:hAnsi="Times New Roman"/>
          <w:sz w:val="24"/>
        </w:rPr>
        <w:t>电信</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新疆美汇特石化产品有限公司厂区现建有生产调度电话系统、无线对讲电话、扩音对讲电话系统、火灾自动报警系统和电视监控系统。</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3.2.3.3</w:t>
      </w:r>
      <w:r>
        <w:rPr>
          <w:rFonts w:ascii="Times New Roman" w:hAnsi="Times New Roman" w:cs="Times New Roman"/>
          <w:kern w:val="44"/>
          <w:sz w:val="24"/>
          <w:szCs w:val="24"/>
        </w:rPr>
        <w:t>供热</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新疆美汇特石化产品有限公司厂区现建有一座锅炉房，安装锅炉容量为</w:t>
      </w:r>
      <w:r>
        <w:rPr>
          <w:rFonts w:ascii="Times New Roman" w:hAnsi="Times New Roman"/>
          <w:sz w:val="24"/>
        </w:rPr>
        <w:t>3×20 t/h</w:t>
      </w:r>
      <w:r>
        <w:rPr>
          <w:rFonts w:ascii="Times New Roman" w:hAnsi="Times New Roman"/>
          <w:sz w:val="24"/>
        </w:rPr>
        <w:t>的燃煤蒸汽锅炉</w:t>
      </w:r>
      <w:r>
        <w:rPr>
          <w:rFonts w:ascii="Times New Roman" w:hAnsi="Times New Roman"/>
          <w:sz w:val="24"/>
        </w:rPr>
        <w:t>+1×20 t/h</w:t>
      </w:r>
      <w:r>
        <w:rPr>
          <w:rFonts w:ascii="Times New Roman" w:hAnsi="Times New Roman" w:hint="eastAsia"/>
          <w:sz w:val="24"/>
        </w:rPr>
        <w:t>燃煤</w:t>
      </w:r>
      <w:r>
        <w:rPr>
          <w:rFonts w:ascii="Times New Roman" w:hAnsi="Times New Roman"/>
          <w:sz w:val="24"/>
        </w:rPr>
        <w:t>导热油炉。</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3.2.3.4</w:t>
      </w:r>
      <w:r>
        <w:rPr>
          <w:rFonts w:ascii="Times New Roman" w:hAnsi="Times New Roman" w:cs="Times New Roman"/>
          <w:kern w:val="44"/>
          <w:sz w:val="24"/>
          <w:szCs w:val="24"/>
        </w:rPr>
        <w:t>供风、供氮</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rPr>
        <w:t>新疆美汇特石化产品有限公司厂区现建有空分空压站，</w:t>
      </w:r>
      <w:r>
        <w:rPr>
          <w:rFonts w:ascii="Times New Roman" w:hAnsi="Times New Roman"/>
          <w:sz w:val="24"/>
          <w:szCs w:val="24"/>
        </w:rPr>
        <w:t>设计规模</w:t>
      </w:r>
      <w:r>
        <w:rPr>
          <w:rFonts w:ascii="Times New Roman" w:hAnsi="Times New Roman"/>
          <w:sz w:val="24"/>
          <w:szCs w:val="24"/>
        </w:rPr>
        <w:t>3×43m</w:t>
      </w:r>
      <w:r>
        <w:rPr>
          <w:rFonts w:ascii="Times New Roman" w:hAnsi="Times New Roman"/>
          <w:sz w:val="24"/>
          <w:szCs w:val="24"/>
          <w:vertAlign w:val="superscript"/>
        </w:rPr>
        <w:t>3</w:t>
      </w:r>
      <w:r>
        <w:rPr>
          <w:rFonts w:ascii="Times New Roman" w:hAnsi="Times New Roman"/>
          <w:sz w:val="24"/>
          <w:szCs w:val="24"/>
        </w:rPr>
        <w:t>/min</w:t>
      </w:r>
      <w:r>
        <w:rPr>
          <w:rFonts w:ascii="Times New Roman" w:hAnsi="Times New Roman"/>
          <w:sz w:val="24"/>
          <w:szCs w:val="24"/>
        </w:rPr>
        <w:t>（</w:t>
      </w:r>
      <w:r>
        <w:rPr>
          <w:rFonts w:ascii="Times New Roman" w:hAnsi="Times New Roman"/>
          <w:sz w:val="24"/>
          <w:szCs w:val="24"/>
        </w:rPr>
        <w:t>3×2580m</w:t>
      </w:r>
      <w:r>
        <w:rPr>
          <w:rFonts w:ascii="Times New Roman" w:hAnsi="Times New Roman"/>
          <w:sz w:val="24"/>
          <w:szCs w:val="24"/>
          <w:vertAlign w:val="superscript"/>
        </w:rPr>
        <w:t>3</w:t>
      </w:r>
      <w:r>
        <w:rPr>
          <w:rFonts w:ascii="Times New Roman" w:hAnsi="Times New Roman"/>
          <w:sz w:val="24"/>
          <w:szCs w:val="24"/>
        </w:rPr>
        <w:t>/h)</w:t>
      </w:r>
      <w:r>
        <w:rPr>
          <w:rFonts w:ascii="Times New Roman" w:hAnsi="Times New Roman"/>
          <w:sz w:val="24"/>
          <w:szCs w:val="24"/>
        </w:rPr>
        <w:t>。</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3.2.3.5</w:t>
      </w:r>
      <w:r>
        <w:rPr>
          <w:rFonts w:ascii="Times New Roman" w:hAnsi="Times New Roman" w:cs="Times New Roman"/>
          <w:kern w:val="44"/>
          <w:sz w:val="24"/>
          <w:szCs w:val="24"/>
        </w:rPr>
        <w:t>其他生产辅助及生活设施</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新疆美汇特石化产品有限公司厂区已建有生产调度楼、宿舍楼、食堂、文体活动场地等其它生产辅助及生活设施。</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3.2.3.6</w:t>
      </w:r>
      <w:r>
        <w:rPr>
          <w:rFonts w:ascii="Times New Roman" w:hAnsi="Times New Roman" w:cs="Times New Roman"/>
          <w:kern w:val="44"/>
          <w:sz w:val="24"/>
          <w:szCs w:val="24"/>
        </w:rPr>
        <w:t>储运工程</w:t>
      </w:r>
    </w:p>
    <w:p w:rsidR="00525419" w:rsidRDefault="00EE1CF7">
      <w:pPr>
        <w:adjustRightInd w:val="0"/>
        <w:snapToGrid w:val="0"/>
        <w:spacing w:line="360" w:lineRule="auto"/>
        <w:ind w:firstLineChars="200" w:firstLine="480"/>
        <w:rPr>
          <w:rFonts w:ascii="Times New Roman" w:eastAsia="黑体" w:hAnsi="Times New Roman"/>
          <w:szCs w:val="21"/>
        </w:rPr>
      </w:pPr>
      <w:r>
        <w:rPr>
          <w:rFonts w:ascii="Times New Roman" w:hAnsi="Times New Roman"/>
          <w:sz w:val="24"/>
        </w:rPr>
        <w:t>新疆美汇特石化产品有限公司厂区已建有装卸站台，配套卸车鹤管和装车鹤管等</w:t>
      </w:r>
      <w:r>
        <w:rPr>
          <w:rFonts w:ascii="Times New Roman" w:hAnsi="Times New Roman" w:hint="eastAsia"/>
          <w:sz w:val="24"/>
        </w:rPr>
        <w:t>，</w:t>
      </w:r>
      <w:r>
        <w:rPr>
          <w:rFonts w:ascii="Times New Roman" w:hAnsi="Times New Roman"/>
          <w:sz w:val="24"/>
        </w:rPr>
        <w:t>厂区罐区现建有</w:t>
      </w:r>
      <w:r>
        <w:rPr>
          <w:rFonts w:ascii="Times New Roman" w:hAnsi="Times New Roman"/>
          <w:sz w:val="24"/>
        </w:rPr>
        <w:t>16</w:t>
      </w:r>
      <w:r>
        <w:rPr>
          <w:rFonts w:ascii="Times New Roman" w:hAnsi="Times New Roman"/>
          <w:sz w:val="24"/>
        </w:rPr>
        <w:t>座</w:t>
      </w:r>
      <w:r>
        <w:rPr>
          <w:rFonts w:ascii="Times New Roman" w:hAnsi="Times New Roman"/>
          <w:sz w:val="24"/>
        </w:rPr>
        <w:t>2000m</w:t>
      </w:r>
      <w:r>
        <w:rPr>
          <w:rFonts w:ascii="Times New Roman" w:hAnsi="Times New Roman"/>
          <w:sz w:val="24"/>
          <w:vertAlign w:val="superscript"/>
        </w:rPr>
        <w:t>3</w:t>
      </w:r>
      <w:r>
        <w:rPr>
          <w:rFonts w:ascii="Times New Roman" w:hAnsi="Times New Roman"/>
          <w:sz w:val="24"/>
        </w:rPr>
        <w:t>+4</w:t>
      </w:r>
      <w:r>
        <w:rPr>
          <w:rFonts w:ascii="Times New Roman" w:hAnsi="Times New Roman"/>
          <w:sz w:val="24"/>
        </w:rPr>
        <w:t>座</w:t>
      </w:r>
      <w:r>
        <w:rPr>
          <w:rFonts w:ascii="Times New Roman" w:hAnsi="Times New Roman"/>
          <w:sz w:val="24"/>
        </w:rPr>
        <w:t>3000m</w:t>
      </w:r>
      <w:r>
        <w:rPr>
          <w:rFonts w:ascii="Times New Roman" w:hAnsi="Times New Roman"/>
          <w:sz w:val="24"/>
          <w:vertAlign w:val="superscript"/>
        </w:rPr>
        <w:t>3</w:t>
      </w:r>
      <w:r>
        <w:rPr>
          <w:rFonts w:ascii="Times New Roman" w:hAnsi="Times New Roman"/>
          <w:sz w:val="24"/>
        </w:rPr>
        <w:t>+4</w:t>
      </w:r>
      <w:r>
        <w:rPr>
          <w:rFonts w:ascii="Times New Roman" w:hAnsi="Times New Roman"/>
          <w:sz w:val="24"/>
        </w:rPr>
        <w:t>座</w:t>
      </w:r>
      <w:r>
        <w:rPr>
          <w:rFonts w:ascii="Times New Roman" w:hAnsi="Times New Roman"/>
          <w:sz w:val="24"/>
        </w:rPr>
        <w:t>4000m</w:t>
      </w:r>
      <w:r>
        <w:rPr>
          <w:rFonts w:ascii="Times New Roman" w:hAnsi="Times New Roman"/>
          <w:sz w:val="24"/>
          <w:vertAlign w:val="superscript"/>
        </w:rPr>
        <w:t>3</w:t>
      </w:r>
      <w:r>
        <w:rPr>
          <w:rFonts w:ascii="Times New Roman" w:hAnsi="Times New Roman"/>
          <w:sz w:val="24"/>
        </w:rPr>
        <w:t>+24</w:t>
      </w:r>
      <w:r>
        <w:rPr>
          <w:rFonts w:ascii="Times New Roman" w:hAnsi="Times New Roman"/>
          <w:sz w:val="24"/>
        </w:rPr>
        <w:t>座</w:t>
      </w:r>
      <w:r>
        <w:rPr>
          <w:rFonts w:ascii="Times New Roman" w:hAnsi="Times New Roman"/>
          <w:sz w:val="24"/>
        </w:rPr>
        <w:t>5000m</w:t>
      </w:r>
      <w:r>
        <w:rPr>
          <w:rFonts w:ascii="Times New Roman" w:hAnsi="Times New Roman"/>
          <w:sz w:val="24"/>
          <w:vertAlign w:val="superscript"/>
        </w:rPr>
        <w:t>3</w:t>
      </w:r>
      <w:r>
        <w:rPr>
          <w:rFonts w:ascii="Times New Roman" w:hAnsi="Times New Roman"/>
          <w:sz w:val="24"/>
        </w:rPr>
        <w:t>+16</w:t>
      </w:r>
      <w:r>
        <w:rPr>
          <w:rFonts w:ascii="Times New Roman" w:hAnsi="Times New Roman"/>
          <w:sz w:val="24"/>
        </w:rPr>
        <w:t>座</w:t>
      </w:r>
      <w:r>
        <w:rPr>
          <w:rFonts w:ascii="Times New Roman" w:hAnsi="Times New Roman"/>
          <w:sz w:val="24"/>
        </w:rPr>
        <w:t>10000m</w:t>
      </w:r>
      <w:r>
        <w:rPr>
          <w:rFonts w:ascii="Times New Roman" w:hAnsi="Times New Roman"/>
          <w:sz w:val="24"/>
          <w:vertAlign w:val="superscript"/>
        </w:rPr>
        <w:t>3</w:t>
      </w:r>
      <w:r>
        <w:rPr>
          <w:rFonts w:ascii="Times New Roman" w:hAnsi="Times New Roman"/>
          <w:sz w:val="24"/>
        </w:rPr>
        <w:t>中间产物及产品储罐、</w:t>
      </w:r>
      <w:r>
        <w:rPr>
          <w:rFonts w:ascii="Times New Roman" w:hAnsi="Times New Roman"/>
          <w:sz w:val="24"/>
        </w:rPr>
        <w:t>4</w:t>
      </w:r>
      <w:r>
        <w:rPr>
          <w:rFonts w:ascii="Times New Roman" w:hAnsi="Times New Roman"/>
          <w:sz w:val="24"/>
        </w:rPr>
        <w:t>个</w:t>
      </w:r>
      <w:r>
        <w:rPr>
          <w:rFonts w:ascii="Times New Roman" w:hAnsi="Times New Roman"/>
          <w:sz w:val="24"/>
        </w:rPr>
        <w:t>1000m</w:t>
      </w:r>
      <w:r>
        <w:rPr>
          <w:rFonts w:ascii="Times New Roman" w:hAnsi="Times New Roman"/>
          <w:sz w:val="24"/>
          <w:vertAlign w:val="superscript"/>
        </w:rPr>
        <w:t>3</w:t>
      </w:r>
      <w:r>
        <w:rPr>
          <w:rFonts w:ascii="Times New Roman" w:hAnsi="Times New Roman"/>
          <w:sz w:val="24"/>
        </w:rPr>
        <w:t>球罐，储罐方式见表</w:t>
      </w:r>
      <w:r>
        <w:rPr>
          <w:rFonts w:ascii="Times New Roman" w:hAnsi="Times New Roman"/>
          <w:sz w:val="24"/>
        </w:rPr>
        <w:t>3.2-3</w:t>
      </w:r>
      <w:r>
        <w:rPr>
          <w:rFonts w:ascii="Times New Roman" w:hAnsi="Times New Roman"/>
          <w:sz w:val="24"/>
        </w:rPr>
        <w:t>。</w:t>
      </w:r>
    </w:p>
    <w:p w:rsidR="00525419" w:rsidRDefault="00EE1CF7">
      <w:pPr>
        <w:ind w:firstLineChars="1200" w:firstLine="2520"/>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3.2-3</w:t>
      </w:r>
      <w:r>
        <w:rPr>
          <w:rFonts w:ascii="Times New Roman" w:eastAsia="黑体" w:hAnsi="Times New Roman"/>
          <w:szCs w:val="21"/>
        </w:rPr>
        <w:t xml:space="preserve">　　</w:t>
      </w:r>
      <w:r>
        <w:rPr>
          <w:rFonts w:ascii="Times New Roman" w:eastAsia="黑体" w:hAnsi="Times New Roman"/>
          <w:szCs w:val="21"/>
        </w:rPr>
        <w:t xml:space="preserve">   </w:t>
      </w:r>
      <w:r>
        <w:rPr>
          <w:rFonts w:ascii="Times New Roman" w:eastAsia="黑体" w:hAnsi="Times New Roman"/>
          <w:szCs w:val="21"/>
        </w:rPr>
        <w:t>储罐方式</w:t>
      </w:r>
    </w:p>
    <w:tbl>
      <w:tblPr>
        <w:tblStyle w:val="affff0"/>
        <w:tblW w:w="8330"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51"/>
        <w:gridCol w:w="1276"/>
        <w:gridCol w:w="1134"/>
        <w:gridCol w:w="1276"/>
        <w:gridCol w:w="708"/>
        <w:gridCol w:w="993"/>
        <w:gridCol w:w="992"/>
      </w:tblGrid>
      <w:tr w:rsidR="00525419">
        <w:tc>
          <w:tcPr>
            <w:tcW w:w="1951" w:type="dxa"/>
            <w:tcBorders>
              <w:tl2br w:val="nil"/>
              <w:tr2bl w:val="nil"/>
            </w:tcBorders>
          </w:tcPr>
          <w:p w:rsidR="00525419" w:rsidRDefault="00EE1CF7">
            <w:pPr>
              <w:rPr>
                <w:rFonts w:ascii="Times New Roman" w:hAnsi="Times New Roman"/>
                <w:szCs w:val="24"/>
              </w:rPr>
            </w:pPr>
            <w:r>
              <w:rPr>
                <w:rFonts w:ascii="Times New Roman" w:hAnsi="Times New Roman"/>
                <w:szCs w:val="24"/>
              </w:rPr>
              <w:t>储罐编号</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物料名称</w:t>
            </w:r>
          </w:p>
        </w:tc>
        <w:tc>
          <w:tcPr>
            <w:tcW w:w="1134" w:type="dxa"/>
            <w:tcBorders>
              <w:tl2br w:val="nil"/>
              <w:tr2bl w:val="nil"/>
            </w:tcBorders>
          </w:tcPr>
          <w:p w:rsidR="00525419" w:rsidRDefault="00EE1CF7">
            <w:pPr>
              <w:rPr>
                <w:rFonts w:ascii="Times New Roman" w:hAnsi="Times New Roman"/>
                <w:szCs w:val="24"/>
              </w:rPr>
            </w:pPr>
            <w:r>
              <w:rPr>
                <w:rFonts w:ascii="Times New Roman" w:hAnsi="Times New Roman"/>
                <w:szCs w:val="24"/>
              </w:rPr>
              <w:t>储罐类型</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单罐容积</w:t>
            </w:r>
            <w:r>
              <w:rPr>
                <w:rFonts w:ascii="Times New Roman" w:hAnsi="Times New Roman"/>
                <w:sz w:val="24"/>
                <w:szCs w:val="24"/>
              </w:rPr>
              <w:t>m</w:t>
            </w:r>
            <w:r>
              <w:rPr>
                <w:rFonts w:ascii="Times New Roman" w:hAnsi="Times New Roman"/>
                <w:sz w:val="24"/>
                <w:szCs w:val="24"/>
                <w:vertAlign w:val="superscript"/>
              </w:rPr>
              <w:t>3</w:t>
            </w:r>
          </w:p>
        </w:tc>
        <w:tc>
          <w:tcPr>
            <w:tcW w:w="708" w:type="dxa"/>
            <w:tcBorders>
              <w:tl2br w:val="nil"/>
              <w:tr2bl w:val="nil"/>
            </w:tcBorders>
          </w:tcPr>
          <w:p w:rsidR="00525419" w:rsidRDefault="00EE1CF7">
            <w:pPr>
              <w:rPr>
                <w:rFonts w:ascii="Times New Roman" w:hAnsi="Times New Roman"/>
                <w:szCs w:val="24"/>
              </w:rPr>
            </w:pPr>
            <w:r>
              <w:rPr>
                <w:rFonts w:ascii="Times New Roman" w:hAnsi="Times New Roman"/>
                <w:szCs w:val="24"/>
              </w:rPr>
              <w:t>数量</w:t>
            </w:r>
          </w:p>
        </w:tc>
        <w:tc>
          <w:tcPr>
            <w:tcW w:w="993" w:type="dxa"/>
            <w:tcBorders>
              <w:tl2br w:val="nil"/>
              <w:tr2bl w:val="nil"/>
            </w:tcBorders>
          </w:tcPr>
          <w:p w:rsidR="00525419" w:rsidRDefault="00EE1CF7">
            <w:pPr>
              <w:rPr>
                <w:rFonts w:ascii="Times New Roman" w:hAnsi="Times New Roman"/>
                <w:szCs w:val="24"/>
              </w:rPr>
            </w:pPr>
            <w:r>
              <w:rPr>
                <w:rFonts w:ascii="Times New Roman" w:hAnsi="Times New Roman"/>
                <w:szCs w:val="24"/>
              </w:rPr>
              <w:t>周转量</w:t>
            </w:r>
          </w:p>
        </w:tc>
        <w:tc>
          <w:tcPr>
            <w:tcW w:w="992" w:type="dxa"/>
            <w:tcBorders>
              <w:tl2br w:val="nil"/>
              <w:tr2bl w:val="nil"/>
            </w:tcBorders>
          </w:tcPr>
          <w:p w:rsidR="00525419" w:rsidRDefault="00EE1CF7">
            <w:pPr>
              <w:rPr>
                <w:rFonts w:ascii="Times New Roman" w:hAnsi="Times New Roman"/>
                <w:szCs w:val="24"/>
              </w:rPr>
            </w:pPr>
            <w:r>
              <w:rPr>
                <w:rFonts w:ascii="Times New Roman" w:hAnsi="Times New Roman"/>
                <w:szCs w:val="24"/>
              </w:rPr>
              <w:t>备注</w:t>
            </w:r>
          </w:p>
        </w:tc>
      </w:tr>
      <w:tr w:rsidR="00525419">
        <w:trPr>
          <w:trHeight w:val="119"/>
        </w:trPr>
        <w:tc>
          <w:tcPr>
            <w:tcW w:w="1951" w:type="dxa"/>
            <w:tcBorders>
              <w:tl2br w:val="nil"/>
              <w:tr2bl w:val="nil"/>
            </w:tcBorders>
          </w:tcPr>
          <w:p w:rsidR="00525419" w:rsidRDefault="00EE1CF7">
            <w:pPr>
              <w:rPr>
                <w:rFonts w:ascii="Times New Roman" w:hAnsi="Times New Roman"/>
                <w:szCs w:val="24"/>
              </w:rPr>
            </w:pPr>
            <w:r>
              <w:rPr>
                <w:rFonts w:ascii="Times New Roman" w:hAnsi="Times New Roman"/>
                <w:szCs w:val="24"/>
              </w:rPr>
              <w:t>401-420</w:t>
            </w:r>
            <w:r>
              <w:rPr>
                <w:rFonts w:ascii="Times New Roman" w:hAnsi="Times New Roman" w:hint="eastAsia"/>
                <w:szCs w:val="24"/>
              </w:rPr>
              <w:t>#</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沥青</w:t>
            </w:r>
          </w:p>
        </w:tc>
        <w:tc>
          <w:tcPr>
            <w:tcW w:w="1134" w:type="dxa"/>
            <w:tcBorders>
              <w:tl2br w:val="nil"/>
              <w:tr2bl w:val="nil"/>
            </w:tcBorders>
          </w:tcPr>
          <w:p w:rsidR="00525419" w:rsidRDefault="00EE1CF7">
            <w:pPr>
              <w:rPr>
                <w:rFonts w:ascii="Times New Roman" w:hAnsi="Times New Roman"/>
                <w:szCs w:val="24"/>
              </w:rPr>
            </w:pPr>
            <w:r>
              <w:rPr>
                <w:rFonts w:ascii="Times New Roman" w:hAnsi="Times New Roman"/>
                <w:szCs w:val="24"/>
              </w:rPr>
              <w:t>拱顶罐</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5000</w:t>
            </w:r>
          </w:p>
        </w:tc>
        <w:tc>
          <w:tcPr>
            <w:tcW w:w="708" w:type="dxa"/>
            <w:tcBorders>
              <w:tl2br w:val="nil"/>
              <w:tr2bl w:val="nil"/>
            </w:tcBorders>
          </w:tcPr>
          <w:p w:rsidR="00525419" w:rsidRDefault="00EE1CF7">
            <w:pPr>
              <w:rPr>
                <w:rFonts w:ascii="Times New Roman" w:hAnsi="Times New Roman"/>
                <w:szCs w:val="24"/>
              </w:rPr>
            </w:pPr>
            <w:r>
              <w:rPr>
                <w:rFonts w:ascii="Times New Roman" w:hAnsi="Times New Roman"/>
                <w:szCs w:val="24"/>
              </w:rPr>
              <w:t>20</w:t>
            </w:r>
          </w:p>
        </w:tc>
        <w:tc>
          <w:tcPr>
            <w:tcW w:w="993" w:type="dxa"/>
            <w:tcBorders>
              <w:tl2br w:val="nil"/>
              <w:tr2bl w:val="nil"/>
            </w:tcBorders>
          </w:tcPr>
          <w:p w:rsidR="00525419" w:rsidRDefault="00EE1CF7">
            <w:pPr>
              <w:rPr>
                <w:rFonts w:ascii="Times New Roman" w:hAnsi="Times New Roman"/>
                <w:szCs w:val="24"/>
              </w:rPr>
            </w:pPr>
            <w:r>
              <w:rPr>
                <w:rFonts w:ascii="Times New Roman" w:hAnsi="Times New Roman"/>
                <w:szCs w:val="24"/>
              </w:rPr>
              <w:t>70.98</w:t>
            </w:r>
          </w:p>
        </w:tc>
        <w:tc>
          <w:tcPr>
            <w:tcW w:w="992" w:type="dxa"/>
            <w:tcBorders>
              <w:tl2br w:val="nil"/>
              <w:tr2bl w:val="nil"/>
            </w:tcBorders>
          </w:tcPr>
          <w:p w:rsidR="00525419" w:rsidRDefault="00525419">
            <w:pPr>
              <w:rPr>
                <w:rFonts w:ascii="Times New Roman" w:hAnsi="Times New Roman"/>
                <w:szCs w:val="24"/>
              </w:rPr>
            </w:pPr>
          </w:p>
        </w:tc>
      </w:tr>
      <w:tr w:rsidR="00525419">
        <w:tc>
          <w:tcPr>
            <w:tcW w:w="1951" w:type="dxa"/>
            <w:tcBorders>
              <w:tl2br w:val="nil"/>
              <w:tr2bl w:val="nil"/>
            </w:tcBorders>
          </w:tcPr>
          <w:p w:rsidR="00525419" w:rsidRDefault="00EE1CF7">
            <w:pPr>
              <w:rPr>
                <w:rFonts w:ascii="Times New Roman" w:hAnsi="Times New Roman"/>
                <w:szCs w:val="24"/>
              </w:rPr>
            </w:pPr>
            <w:r>
              <w:rPr>
                <w:rFonts w:ascii="Times New Roman" w:hAnsi="Times New Roman"/>
                <w:szCs w:val="24"/>
              </w:rPr>
              <w:t>301#- 304#</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液化气</w:t>
            </w:r>
          </w:p>
        </w:tc>
        <w:tc>
          <w:tcPr>
            <w:tcW w:w="1134" w:type="dxa"/>
            <w:tcBorders>
              <w:tl2br w:val="nil"/>
              <w:tr2bl w:val="nil"/>
            </w:tcBorders>
          </w:tcPr>
          <w:p w:rsidR="00525419" w:rsidRDefault="00EE1CF7">
            <w:pPr>
              <w:rPr>
                <w:rFonts w:ascii="Times New Roman" w:hAnsi="Times New Roman"/>
                <w:szCs w:val="24"/>
              </w:rPr>
            </w:pPr>
            <w:r>
              <w:rPr>
                <w:rFonts w:ascii="Times New Roman" w:hAnsi="Times New Roman"/>
                <w:szCs w:val="24"/>
              </w:rPr>
              <w:t>球罐</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1000</w:t>
            </w:r>
          </w:p>
        </w:tc>
        <w:tc>
          <w:tcPr>
            <w:tcW w:w="708" w:type="dxa"/>
            <w:tcBorders>
              <w:tl2br w:val="nil"/>
              <w:tr2bl w:val="nil"/>
            </w:tcBorders>
          </w:tcPr>
          <w:p w:rsidR="00525419" w:rsidRDefault="00EE1CF7">
            <w:pPr>
              <w:rPr>
                <w:rFonts w:ascii="Times New Roman" w:hAnsi="Times New Roman"/>
                <w:szCs w:val="24"/>
              </w:rPr>
            </w:pPr>
            <w:r>
              <w:rPr>
                <w:rFonts w:ascii="Times New Roman" w:hAnsi="Times New Roman"/>
                <w:szCs w:val="24"/>
              </w:rPr>
              <w:t>4</w:t>
            </w:r>
          </w:p>
        </w:tc>
        <w:tc>
          <w:tcPr>
            <w:tcW w:w="993" w:type="dxa"/>
            <w:tcBorders>
              <w:tl2br w:val="nil"/>
              <w:tr2bl w:val="nil"/>
            </w:tcBorders>
          </w:tcPr>
          <w:p w:rsidR="00525419" w:rsidRDefault="00EE1CF7">
            <w:pPr>
              <w:rPr>
                <w:rFonts w:ascii="Times New Roman" w:hAnsi="Times New Roman"/>
                <w:szCs w:val="24"/>
              </w:rPr>
            </w:pPr>
            <w:r>
              <w:rPr>
                <w:rFonts w:ascii="Times New Roman" w:hAnsi="Times New Roman"/>
                <w:szCs w:val="24"/>
              </w:rPr>
              <w:t>7.47</w:t>
            </w:r>
          </w:p>
        </w:tc>
        <w:tc>
          <w:tcPr>
            <w:tcW w:w="992" w:type="dxa"/>
            <w:tcBorders>
              <w:tl2br w:val="nil"/>
              <w:tr2bl w:val="nil"/>
            </w:tcBorders>
          </w:tcPr>
          <w:p w:rsidR="00525419" w:rsidRDefault="00525419">
            <w:pPr>
              <w:rPr>
                <w:rFonts w:ascii="Times New Roman" w:hAnsi="Times New Roman"/>
                <w:szCs w:val="24"/>
              </w:rPr>
            </w:pPr>
          </w:p>
        </w:tc>
      </w:tr>
      <w:tr w:rsidR="00525419">
        <w:tc>
          <w:tcPr>
            <w:tcW w:w="1951" w:type="dxa"/>
            <w:tcBorders>
              <w:tl2br w:val="nil"/>
              <w:tr2bl w:val="nil"/>
            </w:tcBorders>
          </w:tcPr>
          <w:p w:rsidR="00525419" w:rsidRDefault="00EE1CF7">
            <w:pPr>
              <w:rPr>
                <w:rFonts w:ascii="Times New Roman" w:hAnsi="Times New Roman"/>
                <w:szCs w:val="24"/>
              </w:rPr>
            </w:pPr>
            <w:r>
              <w:rPr>
                <w:rFonts w:ascii="Times New Roman" w:hAnsi="Times New Roman"/>
                <w:szCs w:val="24"/>
              </w:rPr>
              <w:t>201#-202#</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直馏石脑油</w:t>
            </w:r>
          </w:p>
        </w:tc>
        <w:tc>
          <w:tcPr>
            <w:tcW w:w="1134" w:type="dxa"/>
            <w:tcBorders>
              <w:tl2br w:val="nil"/>
              <w:tr2bl w:val="nil"/>
            </w:tcBorders>
          </w:tcPr>
          <w:p w:rsidR="00525419" w:rsidRDefault="00EE1CF7">
            <w:pPr>
              <w:rPr>
                <w:rFonts w:ascii="Times New Roman" w:hAnsi="Times New Roman"/>
                <w:szCs w:val="24"/>
              </w:rPr>
            </w:pPr>
            <w:r>
              <w:rPr>
                <w:rFonts w:ascii="Times New Roman" w:hAnsi="Times New Roman"/>
                <w:szCs w:val="24"/>
              </w:rPr>
              <w:t>内浮顶罐</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10000</w:t>
            </w:r>
          </w:p>
        </w:tc>
        <w:tc>
          <w:tcPr>
            <w:tcW w:w="708" w:type="dxa"/>
            <w:tcBorders>
              <w:tl2br w:val="nil"/>
              <w:tr2bl w:val="nil"/>
            </w:tcBorders>
          </w:tcPr>
          <w:p w:rsidR="00525419" w:rsidRDefault="00EE1CF7">
            <w:pPr>
              <w:rPr>
                <w:rFonts w:ascii="Times New Roman" w:hAnsi="Times New Roman"/>
                <w:szCs w:val="24"/>
              </w:rPr>
            </w:pPr>
            <w:r>
              <w:rPr>
                <w:rFonts w:ascii="Times New Roman" w:hAnsi="Times New Roman"/>
                <w:szCs w:val="24"/>
              </w:rPr>
              <w:t>2</w:t>
            </w:r>
          </w:p>
        </w:tc>
        <w:tc>
          <w:tcPr>
            <w:tcW w:w="993" w:type="dxa"/>
            <w:tcBorders>
              <w:tl2br w:val="nil"/>
              <w:tr2bl w:val="nil"/>
            </w:tcBorders>
          </w:tcPr>
          <w:p w:rsidR="00525419" w:rsidRDefault="00EE1CF7">
            <w:pPr>
              <w:rPr>
                <w:rFonts w:ascii="Times New Roman" w:hAnsi="Times New Roman"/>
                <w:szCs w:val="24"/>
              </w:rPr>
            </w:pPr>
            <w:r>
              <w:rPr>
                <w:rFonts w:ascii="Times New Roman" w:hAnsi="Times New Roman"/>
                <w:szCs w:val="24"/>
              </w:rPr>
              <w:t>2.72</w:t>
            </w:r>
          </w:p>
        </w:tc>
        <w:tc>
          <w:tcPr>
            <w:tcW w:w="992" w:type="dxa"/>
            <w:tcBorders>
              <w:tl2br w:val="nil"/>
              <w:tr2bl w:val="nil"/>
            </w:tcBorders>
          </w:tcPr>
          <w:p w:rsidR="00525419" w:rsidRDefault="00525419">
            <w:pPr>
              <w:rPr>
                <w:rFonts w:ascii="Times New Roman" w:hAnsi="Times New Roman"/>
                <w:szCs w:val="24"/>
              </w:rPr>
            </w:pPr>
          </w:p>
        </w:tc>
      </w:tr>
      <w:tr w:rsidR="00525419">
        <w:tc>
          <w:tcPr>
            <w:tcW w:w="1951" w:type="dxa"/>
            <w:tcBorders>
              <w:tl2br w:val="nil"/>
              <w:tr2bl w:val="nil"/>
            </w:tcBorders>
          </w:tcPr>
          <w:p w:rsidR="00525419" w:rsidRDefault="00EE1CF7">
            <w:pPr>
              <w:rPr>
                <w:rFonts w:ascii="Times New Roman" w:hAnsi="Times New Roman"/>
                <w:szCs w:val="24"/>
              </w:rPr>
            </w:pPr>
            <w:r>
              <w:rPr>
                <w:rFonts w:ascii="Times New Roman" w:hAnsi="Times New Roman"/>
                <w:szCs w:val="24"/>
              </w:rPr>
              <w:t>203#-204#</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常柴</w:t>
            </w:r>
          </w:p>
        </w:tc>
        <w:tc>
          <w:tcPr>
            <w:tcW w:w="1134" w:type="dxa"/>
            <w:tcBorders>
              <w:tl2br w:val="nil"/>
              <w:tr2bl w:val="nil"/>
            </w:tcBorders>
          </w:tcPr>
          <w:p w:rsidR="00525419" w:rsidRDefault="00EE1CF7">
            <w:pPr>
              <w:rPr>
                <w:rFonts w:ascii="Times New Roman" w:hAnsi="Times New Roman"/>
                <w:szCs w:val="24"/>
              </w:rPr>
            </w:pPr>
            <w:r>
              <w:rPr>
                <w:rFonts w:ascii="Times New Roman" w:hAnsi="Times New Roman"/>
                <w:szCs w:val="24"/>
              </w:rPr>
              <w:t>拱顶罐</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10000</w:t>
            </w:r>
          </w:p>
        </w:tc>
        <w:tc>
          <w:tcPr>
            <w:tcW w:w="708" w:type="dxa"/>
            <w:tcBorders>
              <w:tl2br w:val="nil"/>
              <w:tr2bl w:val="nil"/>
            </w:tcBorders>
          </w:tcPr>
          <w:p w:rsidR="00525419" w:rsidRDefault="00EE1CF7">
            <w:pPr>
              <w:rPr>
                <w:rFonts w:ascii="Times New Roman" w:hAnsi="Times New Roman"/>
                <w:szCs w:val="24"/>
              </w:rPr>
            </w:pPr>
            <w:r>
              <w:rPr>
                <w:rFonts w:ascii="Times New Roman" w:hAnsi="Times New Roman"/>
                <w:szCs w:val="24"/>
              </w:rPr>
              <w:t>2</w:t>
            </w:r>
          </w:p>
        </w:tc>
        <w:tc>
          <w:tcPr>
            <w:tcW w:w="993" w:type="dxa"/>
            <w:tcBorders>
              <w:tl2br w:val="nil"/>
              <w:tr2bl w:val="nil"/>
            </w:tcBorders>
          </w:tcPr>
          <w:p w:rsidR="00525419" w:rsidRDefault="00EE1CF7">
            <w:pPr>
              <w:rPr>
                <w:rFonts w:ascii="Times New Roman" w:hAnsi="Times New Roman"/>
                <w:szCs w:val="24"/>
              </w:rPr>
            </w:pPr>
            <w:r>
              <w:rPr>
                <w:rFonts w:ascii="Times New Roman" w:hAnsi="Times New Roman"/>
                <w:szCs w:val="24"/>
              </w:rPr>
              <w:t>8.4</w:t>
            </w:r>
          </w:p>
        </w:tc>
        <w:tc>
          <w:tcPr>
            <w:tcW w:w="992" w:type="dxa"/>
            <w:tcBorders>
              <w:tl2br w:val="nil"/>
              <w:tr2bl w:val="nil"/>
            </w:tcBorders>
          </w:tcPr>
          <w:p w:rsidR="00525419" w:rsidRDefault="00525419">
            <w:pPr>
              <w:rPr>
                <w:rFonts w:ascii="Times New Roman" w:hAnsi="Times New Roman"/>
                <w:szCs w:val="24"/>
              </w:rPr>
            </w:pPr>
          </w:p>
        </w:tc>
      </w:tr>
      <w:tr w:rsidR="00525419">
        <w:tc>
          <w:tcPr>
            <w:tcW w:w="1951" w:type="dxa"/>
            <w:tcBorders>
              <w:tl2br w:val="nil"/>
              <w:tr2bl w:val="nil"/>
            </w:tcBorders>
          </w:tcPr>
          <w:p w:rsidR="00525419" w:rsidRDefault="00EE1CF7">
            <w:pPr>
              <w:rPr>
                <w:rFonts w:ascii="Times New Roman" w:hAnsi="Times New Roman"/>
                <w:szCs w:val="24"/>
              </w:rPr>
            </w:pPr>
            <w:r>
              <w:rPr>
                <w:rFonts w:ascii="Times New Roman" w:hAnsi="Times New Roman"/>
                <w:szCs w:val="24"/>
              </w:rPr>
              <w:t>111#-112#</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蜡油</w:t>
            </w:r>
          </w:p>
        </w:tc>
        <w:tc>
          <w:tcPr>
            <w:tcW w:w="1134" w:type="dxa"/>
            <w:tcBorders>
              <w:tl2br w:val="nil"/>
              <w:tr2bl w:val="nil"/>
            </w:tcBorders>
          </w:tcPr>
          <w:p w:rsidR="00525419" w:rsidRDefault="00EE1CF7">
            <w:pPr>
              <w:rPr>
                <w:rFonts w:ascii="Times New Roman" w:hAnsi="Times New Roman"/>
                <w:szCs w:val="24"/>
              </w:rPr>
            </w:pPr>
            <w:r>
              <w:rPr>
                <w:rFonts w:ascii="Times New Roman" w:hAnsi="Times New Roman"/>
                <w:szCs w:val="24"/>
              </w:rPr>
              <w:t>拱顶罐</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10000</w:t>
            </w:r>
          </w:p>
        </w:tc>
        <w:tc>
          <w:tcPr>
            <w:tcW w:w="708" w:type="dxa"/>
            <w:tcBorders>
              <w:tl2br w:val="nil"/>
              <w:tr2bl w:val="nil"/>
            </w:tcBorders>
          </w:tcPr>
          <w:p w:rsidR="00525419" w:rsidRDefault="00EE1CF7">
            <w:pPr>
              <w:rPr>
                <w:rFonts w:ascii="Times New Roman" w:hAnsi="Times New Roman"/>
                <w:szCs w:val="24"/>
              </w:rPr>
            </w:pPr>
            <w:r>
              <w:rPr>
                <w:rFonts w:ascii="Times New Roman" w:hAnsi="Times New Roman"/>
                <w:szCs w:val="24"/>
              </w:rPr>
              <w:t>2</w:t>
            </w:r>
          </w:p>
        </w:tc>
        <w:tc>
          <w:tcPr>
            <w:tcW w:w="993" w:type="dxa"/>
            <w:tcBorders>
              <w:tl2br w:val="nil"/>
              <w:tr2bl w:val="nil"/>
            </w:tcBorders>
          </w:tcPr>
          <w:p w:rsidR="00525419" w:rsidRDefault="00EE1CF7">
            <w:pPr>
              <w:rPr>
                <w:rFonts w:ascii="Times New Roman" w:hAnsi="Times New Roman"/>
                <w:szCs w:val="24"/>
              </w:rPr>
            </w:pPr>
            <w:r>
              <w:rPr>
                <w:rFonts w:ascii="Times New Roman" w:hAnsi="Times New Roman"/>
                <w:szCs w:val="24"/>
              </w:rPr>
              <w:t>10.49</w:t>
            </w:r>
          </w:p>
        </w:tc>
        <w:tc>
          <w:tcPr>
            <w:tcW w:w="992" w:type="dxa"/>
            <w:tcBorders>
              <w:tl2br w:val="nil"/>
              <w:tr2bl w:val="nil"/>
            </w:tcBorders>
          </w:tcPr>
          <w:p w:rsidR="00525419" w:rsidRDefault="00525419">
            <w:pPr>
              <w:rPr>
                <w:rFonts w:ascii="Times New Roman" w:hAnsi="Times New Roman"/>
                <w:szCs w:val="24"/>
              </w:rPr>
            </w:pPr>
          </w:p>
        </w:tc>
      </w:tr>
      <w:tr w:rsidR="00525419">
        <w:trPr>
          <w:trHeight w:val="90"/>
        </w:trPr>
        <w:tc>
          <w:tcPr>
            <w:tcW w:w="1951" w:type="dxa"/>
            <w:tcBorders>
              <w:tl2br w:val="nil"/>
              <w:tr2bl w:val="nil"/>
            </w:tcBorders>
          </w:tcPr>
          <w:p w:rsidR="00525419" w:rsidRDefault="00EE1CF7">
            <w:pPr>
              <w:rPr>
                <w:rFonts w:ascii="Times New Roman" w:hAnsi="Times New Roman"/>
                <w:szCs w:val="24"/>
              </w:rPr>
            </w:pPr>
            <w:r>
              <w:rPr>
                <w:rFonts w:ascii="Times New Roman" w:hAnsi="Times New Roman"/>
                <w:szCs w:val="24"/>
              </w:rPr>
              <w:t>103#--110#</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重油</w:t>
            </w:r>
          </w:p>
        </w:tc>
        <w:tc>
          <w:tcPr>
            <w:tcW w:w="1134" w:type="dxa"/>
            <w:tcBorders>
              <w:tl2br w:val="nil"/>
              <w:tr2bl w:val="nil"/>
            </w:tcBorders>
          </w:tcPr>
          <w:p w:rsidR="00525419" w:rsidRDefault="00EE1CF7">
            <w:pPr>
              <w:rPr>
                <w:rFonts w:ascii="Times New Roman" w:hAnsi="Times New Roman"/>
                <w:szCs w:val="24"/>
              </w:rPr>
            </w:pPr>
            <w:r>
              <w:rPr>
                <w:rFonts w:ascii="Times New Roman" w:hAnsi="Times New Roman"/>
                <w:szCs w:val="24"/>
              </w:rPr>
              <w:t>拱顶罐</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10000</w:t>
            </w:r>
          </w:p>
        </w:tc>
        <w:tc>
          <w:tcPr>
            <w:tcW w:w="708" w:type="dxa"/>
            <w:tcBorders>
              <w:tl2br w:val="nil"/>
              <w:tr2bl w:val="nil"/>
            </w:tcBorders>
          </w:tcPr>
          <w:p w:rsidR="00525419" w:rsidRDefault="00EE1CF7">
            <w:pPr>
              <w:rPr>
                <w:rFonts w:ascii="Times New Roman" w:hAnsi="Times New Roman"/>
                <w:szCs w:val="24"/>
              </w:rPr>
            </w:pPr>
            <w:r>
              <w:rPr>
                <w:rFonts w:ascii="Times New Roman" w:hAnsi="Times New Roman"/>
                <w:szCs w:val="24"/>
              </w:rPr>
              <w:t>8</w:t>
            </w:r>
          </w:p>
        </w:tc>
        <w:tc>
          <w:tcPr>
            <w:tcW w:w="993" w:type="dxa"/>
            <w:tcBorders>
              <w:tl2br w:val="nil"/>
              <w:tr2bl w:val="nil"/>
            </w:tcBorders>
          </w:tcPr>
          <w:p w:rsidR="00525419" w:rsidRDefault="00EE1CF7">
            <w:pPr>
              <w:rPr>
                <w:rFonts w:ascii="Times New Roman" w:hAnsi="Times New Roman"/>
                <w:szCs w:val="24"/>
              </w:rPr>
            </w:pPr>
            <w:r>
              <w:rPr>
                <w:rFonts w:ascii="Times New Roman" w:hAnsi="Times New Roman"/>
                <w:szCs w:val="24"/>
              </w:rPr>
              <w:t>69.6</w:t>
            </w:r>
          </w:p>
        </w:tc>
        <w:tc>
          <w:tcPr>
            <w:tcW w:w="992" w:type="dxa"/>
            <w:tcBorders>
              <w:tl2br w:val="nil"/>
              <w:tr2bl w:val="nil"/>
            </w:tcBorders>
          </w:tcPr>
          <w:p w:rsidR="00525419" w:rsidRDefault="00525419">
            <w:pPr>
              <w:rPr>
                <w:rFonts w:ascii="Times New Roman" w:hAnsi="Times New Roman"/>
                <w:szCs w:val="24"/>
              </w:rPr>
            </w:pPr>
          </w:p>
        </w:tc>
      </w:tr>
      <w:tr w:rsidR="00525419">
        <w:tc>
          <w:tcPr>
            <w:tcW w:w="1951" w:type="dxa"/>
            <w:tcBorders>
              <w:tl2br w:val="nil"/>
              <w:tr2bl w:val="nil"/>
            </w:tcBorders>
          </w:tcPr>
          <w:p w:rsidR="00525419" w:rsidRDefault="00EE1CF7">
            <w:pPr>
              <w:rPr>
                <w:rFonts w:ascii="Times New Roman" w:hAnsi="Times New Roman"/>
                <w:szCs w:val="24"/>
              </w:rPr>
            </w:pPr>
            <w:r>
              <w:rPr>
                <w:rFonts w:ascii="Times New Roman" w:hAnsi="Times New Roman"/>
                <w:szCs w:val="24"/>
              </w:rPr>
              <w:lastRenderedPageBreak/>
              <w:t>101#--102#</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轻质原料</w:t>
            </w:r>
          </w:p>
        </w:tc>
        <w:tc>
          <w:tcPr>
            <w:tcW w:w="1134" w:type="dxa"/>
            <w:tcBorders>
              <w:tl2br w:val="nil"/>
              <w:tr2bl w:val="nil"/>
            </w:tcBorders>
          </w:tcPr>
          <w:p w:rsidR="00525419" w:rsidRDefault="00EE1CF7">
            <w:pPr>
              <w:rPr>
                <w:rFonts w:ascii="Times New Roman" w:hAnsi="Times New Roman"/>
                <w:szCs w:val="24"/>
              </w:rPr>
            </w:pPr>
            <w:r>
              <w:rPr>
                <w:rFonts w:ascii="Times New Roman" w:hAnsi="Times New Roman"/>
                <w:szCs w:val="24"/>
              </w:rPr>
              <w:t>拱顶罐</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10000</w:t>
            </w:r>
          </w:p>
        </w:tc>
        <w:tc>
          <w:tcPr>
            <w:tcW w:w="708" w:type="dxa"/>
            <w:tcBorders>
              <w:tl2br w:val="nil"/>
              <w:tr2bl w:val="nil"/>
            </w:tcBorders>
          </w:tcPr>
          <w:p w:rsidR="00525419" w:rsidRDefault="00EE1CF7">
            <w:pPr>
              <w:rPr>
                <w:rFonts w:ascii="Times New Roman" w:hAnsi="Times New Roman"/>
                <w:szCs w:val="24"/>
              </w:rPr>
            </w:pPr>
            <w:r>
              <w:rPr>
                <w:rFonts w:ascii="Times New Roman" w:hAnsi="Times New Roman"/>
                <w:szCs w:val="24"/>
              </w:rPr>
              <w:t>2</w:t>
            </w:r>
          </w:p>
        </w:tc>
        <w:tc>
          <w:tcPr>
            <w:tcW w:w="993" w:type="dxa"/>
            <w:tcBorders>
              <w:tl2br w:val="nil"/>
              <w:tr2bl w:val="nil"/>
            </w:tcBorders>
          </w:tcPr>
          <w:p w:rsidR="00525419" w:rsidRDefault="00EE1CF7">
            <w:pPr>
              <w:rPr>
                <w:rFonts w:ascii="Times New Roman" w:hAnsi="Times New Roman"/>
                <w:szCs w:val="24"/>
              </w:rPr>
            </w:pPr>
            <w:r>
              <w:rPr>
                <w:rFonts w:ascii="Times New Roman" w:hAnsi="Times New Roman"/>
                <w:szCs w:val="24"/>
              </w:rPr>
              <w:t>1.74</w:t>
            </w:r>
          </w:p>
        </w:tc>
        <w:tc>
          <w:tcPr>
            <w:tcW w:w="992" w:type="dxa"/>
            <w:tcBorders>
              <w:tl2br w:val="nil"/>
              <w:tr2bl w:val="nil"/>
            </w:tcBorders>
          </w:tcPr>
          <w:p w:rsidR="00525419" w:rsidRDefault="00525419">
            <w:pPr>
              <w:rPr>
                <w:rFonts w:ascii="Times New Roman" w:hAnsi="Times New Roman"/>
                <w:szCs w:val="24"/>
              </w:rPr>
            </w:pPr>
          </w:p>
        </w:tc>
      </w:tr>
      <w:tr w:rsidR="00525419">
        <w:trPr>
          <w:trHeight w:val="90"/>
        </w:trPr>
        <w:tc>
          <w:tcPr>
            <w:tcW w:w="1951" w:type="dxa"/>
            <w:tcBorders>
              <w:tl2br w:val="nil"/>
              <w:tr2bl w:val="nil"/>
            </w:tcBorders>
          </w:tcPr>
          <w:p w:rsidR="00525419" w:rsidRDefault="00EE1CF7">
            <w:pPr>
              <w:rPr>
                <w:rFonts w:ascii="Times New Roman" w:hAnsi="Times New Roman"/>
                <w:szCs w:val="24"/>
              </w:rPr>
            </w:pPr>
            <w:r>
              <w:rPr>
                <w:rFonts w:ascii="Times New Roman" w:hAnsi="Times New Roman"/>
                <w:szCs w:val="24"/>
              </w:rPr>
              <w:t>23#--26#</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直馏石脑油</w:t>
            </w:r>
          </w:p>
        </w:tc>
        <w:tc>
          <w:tcPr>
            <w:tcW w:w="1134" w:type="dxa"/>
            <w:tcBorders>
              <w:tl2br w:val="nil"/>
              <w:tr2bl w:val="nil"/>
            </w:tcBorders>
          </w:tcPr>
          <w:p w:rsidR="00525419" w:rsidRDefault="00EE1CF7">
            <w:pPr>
              <w:rPr>
                <w:rFonts w:ascii="Times New Roman" w:hAnsi="Times New Roman"/>
                <w:szCs w:val="24"/>
              </w:rPr>
            </w:pPr>
            <w:r>
              <w:rPr>
                <w:rFonts w:ascii="Times New Roman" w:hAnsi="Times New Roman"/>
                <w:szCs w:val="24"/>
              </w:rPr>
              <w:t>内浮顶罐</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2000</w:t>
            </w:r>
          </w:p>
        </w:tc>
        <w:tc>
          <w:tcPr>
            <w:tcW w:w="708" w:type="dxa"/>
            <w:tcBorders>
              <w:tl2br w:val="nil"/>
              <w:tr2bl w:val="nil"/>
            </w:tcBorders>
          </w:tcPr>
          <w:p w:rsidR="00525419" w:rsidRDefault="00EE1CF7">
            <w:pPr>
              <w:rPr>
                <w:rFonts w:ascii="Times New Roman" w:hAnsi="Times New Roman"/>
                <w:szCs w:val="24"/>
              </w:rPr>
            </w:pPr>
            <w:r>
              <w:rPr>
                <w:rFonts w:ascii="Times New Roman" w:hAnsi="Times New Roman"/>
                <w:szCs w:val="24"/>
              </w:rPr>
              <w:t>4</w:t>
            </w:r>
          </w:p>
        </w:tc>
        <w:tc>
          <w:tcPr>
            <w:tcW w:w="993" w:type="dxa"/>
            <w:tcBorders>
              <w:tl2br w:val="nil"/>
              <w:tr2bl w:val="nil"/>
            </w:tcBorders>
          </w:tcPr>
          <w:p w:rsidR="00525419" w:rsidRDefault="00EE1CF7">
            <w:pPr>
              <w:rPr>
                <w:rFonts w:ascii="Times New Roman" w:hAnsi="Times New Roman"/>
                <w:szCs w:val="24"/>
              </w:rPr>
            </w:pPr>
            <w:r>
              <w:rPr>
                <w:rFonts w:ascii="Times New Roman" w:hAnsi="Times New Roman"/>
                <w:szCs w:val="24"/>
              </w:rPr>
              <w:t>0.27</w:t>
            </w:r>
          </w:p>
        </w:tc>
        <w:tc>
          <w:tcPr>
            <w:tcW w:w="992" w:type="dxa"/>
            <w:tcBorders>
              <w:tl2br w:val="nil"/>
              <w:tr2bl w:val="nil"/>
            </w:tcBorders>
          </w:tcPr>
          <w:p w:rsidR="00525419" w:rsidRDefault="00525419">
            <w:pPr>
              <w:rPr>
                <w:rFonts w:ascii="Times New Roman" w:hAnsi="Times New Roman"/>
                <w:szCs w:val="24"/>
              </w:rPr>
            </w:pPr>
          </w:p>
        </w:tc>
      </w:tr>
      <w:tr w:rsidR="00525419">
        <w:tc>
          <w:tcPr>
            <w:tcW w:w="1951" w:type="dxa"/>
            <w:tcBorders>
              <w:tl2br w:val="nil"/>
              <w:tr2bl w:val="nil"/>
            </w:tcBorders>
          </w:tcPr>
          <w:p w:rsidR="00525419" w:rsidRDefault="00EE1CF7">
            <w:pPr>
              <w:rPr>
                <w:rFonts w:ascii="Times New Roman" w:hAnsi="Times New Roman"/>
                <w:szCs w:val="24"/>
              </w:rPr>
            </w:pPr>
            <w:r>
              <w:rPr>
                <w:rFonts w:ascii="Times New Roman" w:hAnsi="Times New Roman"/>
                <w:szCs w:val="24"/>
              </w:rPr>
              <w:t>19#--22#</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常柴</w:t>
            </w:r>
          </w:p>
        </w:tc>
        <w:tc>
          <w:tcPr>
            <w:tcW w:w="1134" w:type="dxa"/>
            <w:tcBorders>
              <w:tl2br w:val="nil"/>
              <w:tr2bl w:val="nil"/>
            </w:tcBorders>
          </w:tcPr>
          <w:p w:rsidR="00525419" w:rsidRDefault="00EE1CF7">
            <w:pPr>
              <w:rPr>
                <w:rFonts w:ascii="Times New Roman" w:hAnsi="Times New Roman"/>
                <w:szCs w:val="24"/>
              </w:rPr>
            </w:pPr>
            <w:r>
              <w:rPr>
                <w:rFonts w:ascii="Times New Roman" w:hAnsi="Times New Roman"/>
                <w:szCs w:val="24"/>
              </w:rPr>
              <w:t>拱顶罐</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2000</w:t>
            </w:r>
          </w:p>
        </w:tc>
        <w:tc>
          <w:tcPr>
            <w:tcW w:w="708" w:type="dxa"/>
            <w:tcBorders>
              <w:tl2br w:val="nil"/>
              <w:tr2bl w:val="nil"/>
            </w:tcBorders>
          </w:tcPr>
          <w:p w:rsidR="00525419" w:rsidRDefault="00EE1CF7">
            <w:pPr>
              <w:rPr>
                <w:rFonts w:ascii="Times New Roman" w:hAnsi="Times New Roman"/>
                <w:szCs w:val="24"/>
              </w:rPr>
            </w:pPr>
            <w:r>
              <w:rPr>
                <w:rFonts w:ascii="Times New Roman" w:hAnsi="Times New Roman"/>
                <w:szCs w:val="24"/>
              </w:rPr>
              <w:t>4</w:t>
            </w:r>
          </w:p>
        </w:tc>
        <w:tc>
          <w:tcPr>
            <w:tcW w:w="993" w:type="dxa"/>
            <w:tcBorders>
              <w:tl2br w:val="nil"/>
              <w:tr2bl w:val="nil"/>
            </w:tcBorders>
          </w:tcPr>
          <w:p w:rsidR="00525419" w:rsidRDefault="00EE1CF7">
            <w:pPr>
              <w:rPr>
                <w:rFonts w:ascii="Times New Roman" w:hAnsi="Times New Roman"/>
                <w:szCs w:val="24"/>
              </w:rPr>
            </w:pPr>
            <w:r>
              <w:rPr>
                <w:rFonts w:ascii="Times New Roman" w:hAnsi="Times New Roman"/>
                <w:szCs w:val="24"/>
              </w:rPr>
              <w:t>3.36</w:t>
            </w:r>
          </w:p>
        </w:tc>
        <w:tc>
          <w:tcPr>
            <w:tcW w:w="992" w:type="dxa"/>
            <w:tcBorders>
              <w:tl2br w:val="nil"/>
              <w:tr2bl w:val="nil"/>
            </w:tcBorders>
          </w:tcPr>
          <w:p w:rsidR="00525419" w:rsidRDefault="00525419">
            <w:pPr>
              <w:rPr>
                <w:rFonts w:ascii="Times New Roman" w:hAnsi="Times New Roman"/>
                <w:szCs w:val="24"/>
              </w:rPr>
            </w:pPr>
          </w:p>
        </w:tc>
      </w:tr>
      <w:tr w:rsidR="00525419">
        <w:tc>
          <w:tcPr>
            <w:tcW w:w="1951" w:type="dxa"/>
            <w:tcBorders>
              <w:tl2br w:val="nil"/>
              <w:tr2bl w:val="nil"/>
            </w:tcBorders>
          </w:tcPr>
          <w:p w:rsidR="00525419" w:rsidRDefault="00EE1CF7">
            <w:pPr>
              <w:rPr>
                <w:rFonts w:ascii="Times New Roman" w:hAnsi="Times New Roman"/>
                <w:szCs w:val="24"/>
              </w:rPr>
            </w:pPr>
            <w:r>
              <w:rPr>
                <w:rFonts w:ascii="Times New Roman" w:hAnsi="Times New Roman"/>
                <w:szCs w:val="24"/>
              </w:rPr>
              <w:t>13#--14#</w:t>
            </w:r>
            <w:r>
              <w:rPr>
                <w:rFonts w:ascii="Times New Roman" w:hAnsi="Times New Roman"/>
                <w:szCs w:val="24"/>
              </w:rPr>
              <w:t>、</w:t>
            </w:r>
            <w:r>
              <w:rPr>
                <w:rFonts w:ascii="Times New Roman" w:hAnsi="Times New Roman"/>
                <w:szCs w:val="24"/>
              </w:rPr>
              <w:t>17#--18#</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蜡油</w:t>
            </w:r>
          </w:p>
        </w:tc>
        <w:tc>
          <w:tcPr>
            <w:tcW w:w="1134" w:type="dxa"/>
            <w:tcBorders>
              <w:tl2br w:val="nil"/>
              <w:tr2bl w:val="nil"/>
            </w:tcBorders>
          </w:tcPr>
          <w:p w:rsidR="00525419" w:rsidRDefault="00EE1CF7">
            <w:pPr>
              <w:rPr>
                <w:rFonts w:ascii="Times New Roman" w:hAnsi="Times New Roman"/>
                <w:szCs w:val="24"/>
              </w:rPr>
            </w:pPr>
            <w:r>
              <w:rPr>
                <w:rFonts w:ascii="Times New Roman" w:hAnsi="Times New Roman"/>
                <w:szCs w:val="24"/>
              </w:rPr>
              <w:t>拱顶罐</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2000</w:t>
            </w:r>
          </w:p>
        </w:tc>
        <w:tc>
          <w:tcPr>
            <w:tcW w:w="708" w:type="dxa"/>
            <w:tcBorders>
              <w:tl2br w:val="nil"/>
              <w:tr2bl w:val="nil"/>
            </w:tcBorders>
          </w:tcPr>
          <w:p w:rsidR="00525419" w:rsidRDefault="00EE1CF7">
            <w:pPr>
              <w:rPr>
                <w:rFonts w:ascii="Times New Roman" w:hAnsi="Times New Roman"/>
                <w:szCs w:val="24"/>
              </w:rPr>
            </w:pPr>
            <w:r>
              <w:rPr>
                <w:rFonts w:ascii="Times New Roman" w:hAnsi="Times New Roman"/>
                <w:szCs w:val="24"/>
              </w:rPr>
              <w:t>4</w:t>
            </w:r>
          </w:p>
        </w:tc>
        <w:tc>
          <w:tcPr>
            <w:tcW w:w="993" w:type="dxa"/>
            <w:tcBorders>
              <w:tl2br w:val="nil"/>
              <w:tr2bl w:val="nil"/>
            </w:tcBorders>
          </w:tcPr>
          <w:p w:rsidR="00525419" w:rsidRDefault="00EE1CF7">
            <w:pPr>
              <w:rPr>
                <w:rFonts w:ascii="Times New Roman" w:hAnsi="Times New Roman"/>
                <w:szCs w:val="24"/>
              </w:rPr>
            </w:pPr>
            <w:r>
              <w:rPr>
                <w:rFonts w:ascii="Times New Roman" w:hAnsi="Times New Roman"/>
                <w:szCs w:val="24"/>
              </w:rPr>
              <w:t>0.34</w:t>
            </w:r>
          </w:p>
        </w:tc>
        <w:tc>
          <w:tcPr>
            <w:tcW w:w="992" w:type="dxa"/>
            <w:tcBorders>
              <w:tl2br w:val="nil"/>
              <w:tr2bl w:val="nil"/>
            </w:tcBorders>
          </w:tcPr>
          <w:p w:rsidR="00525419" w:rsidRDefault="00525419">
            <w:pPr>
              <w:rPr>
                <w:rFonts w:ascii="Times New Roman" w:hAnsi="Times New Roman"/>
                <w:szCs w:val="24"/>
              </w:rPr>
            </w:pPr>
          </w:p>
        </w:tc>
      </w:tr>
      <w:tr w:rsidR="00525419">
        <w:trPr>
          <w:trHeight w:val="242"/>
        </w:trPr>
        <w:tc>
          <w:tcPr>
            <w:tcW w:w="1951" w:type="dxa"/>
            <w:tcBorders>
              <w:tl2br w:val="nil"/>
              <w:tr2bl w:val="nil"/>
            </w:tcBorders>
          </w:tcPr>
          <w:p w:rsidR="00525419" w:rsidRDefault="00EE1CF7">
            <w:pPr>
              <w:rPr>
                <w:rFonts w:ascii="Times New Roman" w:hAnsi="Times New Roman"/>
                <w:szCs w:val="24"/>
              </w:rPr>
            </w:pPr>
            <w:r>
              <w:rPr>
                <w:rFonts w:ascii="Times New Roman" w:hAnsi="Times New Roman"/>
                <w:szCs w:val="24"/>
              </w:rPr>
              <w:t>15#--16#</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煤焦油</w:t>
            </w:r>
          </w:p>
        </w:tc>
        <w:tc>
          <w:tcPr>
            <w:tcW w:w="1134" w:type="dxa"/>
            <w:tcBorders>
              <w:tl2br w:val="nil"/>
              <w:tr2bl w:val="nil"/>
            </w:tcBorders>
          </w:tcPr>
          <w:p w:rsidR="00525419" w:rsidRDefault="00EE1CF7">
            <w:pPr>
              <w:rPr>
                <w:rFonts w:ascii="Times New Roman" w:hAnsi="Times New Roman"/>
                <w:szCs w:val="24"/>
              </w:rPr>
            </w:pPr>
            <w:r>
              <w:rPr>
                <w:rFonts w:ascii="Times New Roman" w:hAnsi="Times New Roman"/>
                <w:szCs w:val="24"/>
              </w:rPr>
              <w:t>拱顶罐</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500</w:t>
            </w:r>
          </w:p>
        </w:tc>
        <w:tc>
          <w:tcPr>
            <w:tcW w:w="708" w:type="dxa"/>
            <w:tcBorders>
              <w:tl2br w:val="nil"/>
              <w:tr2bl w:val="nil"/>
            </w:tcBorders>
          </w:tcPr>
          <w:p w:rsidR="00525419" w:rsidRDefault="00EE1CF7">
            <w:pPr>
              <w:rPr>
                <w:rFonts w:ascii="Times New Roman" w:hAnsi="Times New Roman"/>
                <w:szCs w:val="24"/>
              </w:rPr>
            </w:pPr>
            <w:r>
              <w:rPr>
                <w:rFonts w:ascii="Times New Roman" w:hAnsi="Times New Roman"/>
                <w:szCs w:val="24"/>
              </w:rPr>
              <w:t>2</w:t>
            </w:r>
          </w:p>
        </w:tc>
        <w:tc>
          <w:tcPr>
            <w:tcW w:w="993" w:type="dxa"/>
            <w:tcBorders>
              <w:tl2br w:val="nil"/>
              <w:tr2bl w:val="nil"/>
            </w:tcBorders>
          </w:tcPr>
          <w:p w:rsidR="00525419" w:rsidRDefault="00EE1CF7">
            <w:pPr>
              <w:rPr>
                <w:rFonts w:ascii="Times New Roman" w:hAnsi="Times New Roman"/>
              </w:rPr>
            </w:pPr>
            <w:r>
              <w:rPr>
                <w:rFonts w:ascii="Times New Roman" w:hAnsi="Times New Roman"/>
                <w:szCs w:val="24"/>
              </w:rPr>
              <w:t>/</w:t>
            </w:r>
          </w:p>
        </w:tc>
        <w:tc>
          <w:tcPr>
            <w:tcW w:w="992" w:type="dxa"/>
            <w:tcBorders>
              <w:tl2br w:val="nil"/>
              <w:tr2bl w:val="nil"/>
            </w:tcBorders>
          </w:tcPr>
          <w:p w:rsidR="00525419" w:rsidRDefault="00EE1CF7">
            <w:pPr>
              <w:rPr>
                <w:rFonts w:ascii="Times New Roman" w:hAnsi="Times New Roman"/>
                <w:szCs w:val="24"/>
              </w:rPr>
            </w:pPr>
            <w:r>
              <w:rPr>
                <w:rFonts w:ascii="Times New Roman" w:hAnsi="Times New Roman"/>
                <w:szCs w:val="24"/>
              </w:rPr>
              <w:t>已拆除</w:t>
            </w:r>
          </w:p>
        </w:tc>
      </w:tr>
      <w:tr w:rsidR="00525419">
        <w:tc>
          <w:tcPr>
            <w:tcW w:w="1951" w:type="dxa"/>
            <w:tcBorders>
              <w:tl2br w:val="nil"/>
              <w:tr2bl w:val="nil"/>
            </w:tcBorders>
          </w:tcPr>
          <w:p w:rsidR="00525419" w:rsidRDefault="00EE1CF7">
            <w:pPr>
              <w:rPr>
                <w:rFonts w:ascii="Times New Roman" w:hAnsi="Times New Roman"/>
                <w:szCs w:val="24"/>
              </w:rPr>
            </w:pPr>
            <w:r>
              <w:rPr>
                <w:rFonts w:ascii="Times New Roman" w:hAnsi="Times New Roman"/>
                <w:szCs w:val="24"/>
              </w:rPr>
              <w:t>9#--10#</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直馏石脑油</w:t>
            </w:r>
          </w:p>
        </w:tc>
        <w:tc>
          <w:tcPr>
            <w:tcW w:w="1134" w:type="dxa"/>
            <w:tcBorders>
              <w:tl2br w:val="nil"/>
              <w:tr2bl w:val="nil"/>
            </w:tcBorders>
          </w:tcPr>
          <w:p w:rsidR="00525419" w:rsidRDefault="00EE1CF7">
            <w:pPr>
              <w:rPr>
                <w:rFonts w:ascii="Times New Roman" w:hAnsi="Times New Roman"/>
                <w:szCs w:val="24"/>
              </w:rPr>
            </w:pPr>
            <w:r>
              <w:rPr>
                <w:rFonts w:ascii="Times New Roman" w:hAnsi="Times New Roman"/>
                <w:szCs w:val="24"/>
              </w:rPr>
              <w:t>内浮顶罐</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2000</w:t>
            </w:r>
          </w:p>
        </w:tc>
        <w:tc>
          <w:tcPr>
            <w:tcW w:w="708" w:type="dxa"/>
            <w:tcBorders>
              <w:tl2br w:val="nil"/>
              <w:tr2bl w:val="nil"/>
            </w:tcBorders>
          </w:tcPr>
          <w:p w:rsidR="00525419" w:rsidRDefault="00EE1CF7">
            <w:pPr>
              <w:rPr>
                <w:rFonts w:ascii="Times New Roman" w:hAnsi="Times New Roman"/>
                <w:szCs w:val="24"/>
              </w:rPr>
            </w:pPr>
            <w:r>
              <w:rPr>
                <w:rFonts w:ascii="Times New Roman" w:hAnsi="Times New Roman"/>
                <w:szCs w:val="24"/>
              </w:rPr>
              <w:t>2</w:t>
            </w:r>
          </w:p>
        </w:tc>
        <w:tc>
          <w:tcPr>
            <w:tcW w:w="993" w:type="dxa"/>
            <w:tcBorders>
              <w:tl2br w:val="nil"/>
              <w:tr2bl w:val="nil"/>
            </w:tcBorders>
          </w:tcPr>
          <w:p w:rsidR="00525419" w:rsidRDefault="00EE1CF7">
            <w:pPr>
              <w:rPr>
                <w:rFonts w:ascii="Times New Roman" w:hAnsi="Times New Roman"/>
                <w:szCs w:val="24"/>
              </w:rPr>
            </w:pPr>
            <w:r>
              <w:rPr>
                <w:rFonts w:ascii="Times New Roman" w:hAnsi="Times New Roman"/>
                <w:szCs w:val="24"/>
              </w:rPr>
              <w:t>0.54</w:t>
            </w:r>
          </w:p>
        </w:tc>
        <w:tc>
          <w:tcPr>
            <w:tcW w:w="992" w:type="dxa"/>
            <w:tcBorders>
              <w:tl2br w:val="nil"/>
              <w:tr2bl w:val="nil"/>
            </w:tcBorders>
          </w:tcPr>
          <w:p w:rsidR="00525419" w:rsidRDefault="00525419">
            <w:pPr>
              <w:rPr>
                <w:rFonts w:ascii="Times New Roman" w:hAnsi="Times New Roman"/>
                <w:szCs w:val="24"/>
              </w:rPr>
            </w:pPr>
          </w:p>
        </w:tc>
      </w:tr>
      <w:tr w:rsidR="00525419">
        <w:tc>
          <w:tcPr>
            <w:tcW w:w="1951" w:type="dxa"/>
            <w:tcBorders>
              <w:tl2br w:val="nil"/>
              <w:tr2bl w:val="nil"/>
            </w:tcBorders>
          </w:tcPr>
          <w:p w:rsidR="00525419" w:rsidRDefault="00EE1CF7">
            <w:pPr>
              <w:rPr>
                <w:rFonts w:ascii="Times New Roman" w:hAnsi="Times New Roman"/>
                <w:szCs w:val="24"/>
              </w:rPr>
            </w:pPr>
            <w:r>
              <w:rPr>
                <w:rFonts w:ascii="Times New Roman" w:hAnsi="Times New Roman"/>
                <w:szCs w:val="24"/>
              </w:rPr>
              <w:t>11#--12#</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常柴</w:t>
            </w:r>
          </w:p>
        </w:tc>
        <w:tc>
          <w:tcPr>
            <w:tcW w:w="1134" w:type="dxa"/>
            <w:tcBorders>
              <w:tl2br w:val="nil"/>
              <w:tr2bl w:val="nil"/>
            </w:tcBorders>
          </w:tcPr>
          <w:p w:rsidR="00525419" w:rsidRDefault="00EE1CF7">
            <w:pPr>
              <w:rPr>
                <w:rFonts w:ascii="Times New Roman" w:hAnsi="Times New Roman"/>
                <w:szCs w:val="24"/>
              </w:rPr>
            </w:pPr>
            <w:r>
              <w:rPr>
                <w:rFonts w:ascii="Times New Roman" w:hAnsi="Times New Roman"/>
                <w:szCs w:val="24"/>
              </w:rPr>
              <w:t>拱顶罐</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2000</w:t>
            </w:r>
          </w:p>
        </w:tc>
        <w:tc>
          <w:tcPr>
            <w:tcW w:w="708" w:type="dxa"/>
            <w:tcBorders>
              <w:tl2br w:val="nil"/>
              <w:tr2bl w:val="nil"/>
            </w:tcBorders>
          </w:tcPr>
          <w:p w:rsidR="00525419" w:rsidRDefault="00EE1CF7">
            <w:pPr>
              <w:rPr>
                <w:rFonts w:ascii="Times New Roman" w:hAnsi="Times New Roman"/>
                <w:szCs w:val="24"/>
              </w:rPr>
            </w:pPr>
            <w:r>
              <w:rPr>
                <w:rFonts w:ascii="Times New Roman" w:hAnsi="Times New Roman"/>
                <w:szCs w:val="24"/>
              </w:rPr>
              <w:t>2</w:t>
            </w:r>
          </w:p>
        </w:tc>
        <w:tc>
          <w:tcPr>
            <w:tcW w:w="993" w:type="dxa"/>
            <w:tcBorders>
              <w:tl2br w:val="nil"/>
              <w:tr2bl w:val="nil"/>
            </w:tcBorders>
          </w:tcPr>
          <w:p w:rsidR="00525419" w:rsidRDefault="00EE1CF7">
            <w:pPr>
              <w:rPr>
                <w:rFonts w:ascii="Times New Roman" w:hAnsi="Times New Roman"/>
                <w:szCs w:val="24"/>
              </w:rPr>
            </w:pPr>
            <w:r>
              <w:rPr>
                <w:rFonts w:ascii="Times New Roman" w:hAnsi="Times New Roman"/>
                <w:szCs w:val="24"/>
              </w:rPr>
              <w:t>1.68</w:t>
            </w:r>
          </w:p>
        </w:tc>
        <w:tc>
          <w:tcPr>
            <w:tcW w:w="992" w:type="dxa"/>
            <w:tcBorders>
              <w:tl2br w:val="nil"/>
              <w:tr2bl w:val="nil"/>
            </w:tcBorders>
          </w:tcPr>
          <w:p w:rsidR="00525419" w:rsidRDefault="00525419">
            <w:pPr>
              <w:rPr>
                <w:rFonts w:ascii="Times New Roman" w:hAnsi="Times New Roman"/>
                <w:szCs w:val="24"/>
              </w:rPr>
            </w:pPr>
          </w:p>
        </w:tc>
      </w:tr>
      <w:tr w:rsidR="00525419">
        <w:trPr>
          <w:trHeight w:val="341"/>
        </w:trPr>
        <w:tc>
          <w:tcPr>
            <w:tcW w:w="1951" w:type="dxa"/>
            <w:tcBorders>
              <w:tl2br w:val="nil"/>
              <w:tr2bl w:val="nil"/>
            </w:tcBorders>
          </w:tcPr>
          <w:p w:rsidR="00525419" w:rsidRDefault="00EE1CF7">
            <w:pPr>
              <w:rPr>
                <w:rFonts w:ascii="Times New Roman" w:hAnsi="Times New Roman"/>
                <w:szCs w:val="24"/>
              </w:rPr>
            </w:pPr>
            <w:r>
              <w:rPr>
                <w:rFonts w:ascii="Times New Roman" w:hAnsi="Times New Roman"/>
                <w:szCs w:val="24"/>
              </w:rPr>
              <w:t>1#--2#</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轻质原料</w:t>
            </w:r>
          </w:p>
        </w:tc>
        <w:tc>
          <w:tcPr>
            <w:tcW w:w="1134" w:type="dxa"/>
            <w:tcBorders>
              <w:tl2br w:val="nil"/>
              <w:tr2bl w:val="nil"/>
            </w:tcBorders>
          </w:tcPr>
          <w:p w:rsidR="00525419" w:rsidRDefault="00EE1CF7">
            <w:pPr>
              <w:rPr>
                <w:rFonts w:ascii="Times New Roman" w:hAnsi="Times New Roman"/>
                <w:szCs w:val="24"/>
              </w:rPr>
            </w:pPr>
            <w:r>
              <w:rPr>
                <w:rFonts w:ascii="Times New Roman" w:hAnsi="Times New Roman"/>
                <w:szCs w:val="24"/>
              </w:rPr>
              <w:t>拱顶罐</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3000</w:t>
            </w:r>
          </w:p>
        </w:tc>
        <w:tc>
          <w:tcPr>
            <w:tcW w:w="708" w:type="dxa"/>
            <w:tcBorders>
              <w:tl2br w:val="nil"/>
              <w:tr2bl w:val="nil"/>
            </w:tcBorders>
          </w:tcPr>
          <w:p w:rsidR="00525419" w:rsidRDefault="00EE1CF7">
            <w:pPr>
              <w:rPr>
                <w:rFonts w:ascii="Times New Roman" w:hAnsi="Times New Roman"/>
                <w:szCs w:val="24"/>
              </w:rPr>
            </w:pPr>
            <w:r>
              <w:rPr>
                <w:rFonts w:ascii="Times New Roman" w:hAnsi="Times New Roman"/>
                <w:szCs w:val="24"/>
              </w:rPr>
              <w:t>2</w:t>
            </w:r>
          </w:p>
        </w:tc>
        <w:tc>
          <w:tcPr>
            <w:tcW w:w="993" w:type="dxa"/>
            <w:vMerge w:val="restart"/>
            <w:tcBorders>
              <w:tl2br w:val="nil"/>
              <w:tr2bl w:val="nil"/>
            </w:tcBorders>
          </w:tcPr>
          <w:p w:rsidR="00525419" w:rsidRDefault="00EE1CF7">
            <w:pPr>
              <w:rPr>
                <w:rFonts w:ascii="Times New Roman" w:hAnsi="Times New Roman"/>
                <w:szCs w:val="24"/>
              </w:rPr>
            </w:pPr>
            <w:r>
              <w:rPr>
                <w:rFonts w:ascii="Times New Roman" w:hAnsi="Times New Roman"/>
                <w:szCs w:val="24"/>
              </w:rPr>
              <w:t>0.86</w:t>
            </w:r>
          </w:p>
        </w:tc>
        <w:tc>
          <w:tcPr>
            <w:tcW w:w="992" w:type="dxa"/>
            <w:tcBorders>
              <w:tl2br w:val="nil"/>
              <w:tr2bl w:val="nil"/>
            </w:tcBorders>
          </w:tcPr>
          <w:p w:rsidR="00525419" w:rsidRDefault="00525419">
            <w:pPr>
              <w:rPr>
                <w:rFonts w:ascii="Times New Roman" w:hAnsi="Times New Roman"/>
                <w:szCs w:val="24"/>
              </w:rPr>
            </w:pPr>
          </w:p>
        </w:tc>
      </w:tr>
      <w:tr w:rsidR="00525419">
        <w:trPr>
          <w:trHeight w:val="210"/>
        </w:trPr>
        <w:tc>
          <w:tcPr>
            <w:tcW w:w="1951" w:type="dxa"/>
            <w:tcBorders>
              <w:tl2br w:val="nil"/>
              <w:tr2bl w:val="nil"/>
            </w:tcBorders>
          </w:tcPr>
          <w:p w:rsidR="00525419" w:rsidRDefault="00EE1CF7">
            <w:pPr>
              <w:rPr>
                <w:rFonts w:ascii="Times New Roman" w:hAnsi="Times New Roman"/>
                <w:szCs w:val="24"/>
              </w:rPr>
            </w:pPr>
            <w:r>
              <w:rPr>
                <w:rFonts w:ascii="Times New Roman" w:hAnsi="Times New Roman"/>
                <w:szCs w:val="24"/>
              </w:rPr>
              <w:t>5#</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轻质原料</w:t>
            </w:r>
          </w:p>
        </w:tc>
        <w:tc>
          <w:tcPr>
            <w:tcW w:w="1134" w:type="dxa"/>
            <w:tcBorders>
              <w:tl2br w:val="nil"/>
              <w:tr2bl w:val="nil"/>
            </w:tcBorders>
          </w:tcPr>
          <w:p w:rsidR="00525419" w:rsidRDefault="00EE1CF7">
            <w:pPr>
              <w:rPr>
                <w:rFonts w:ascii="Times New Roman" w:hAnsi="Times New Roman"/>
                <w:szCs w:val="24"/>
              </w:rPr>
            </w:pPr>
            <w:r>
              <w:rPr>
                <w:rFonts w:ascii="Times New Roman" w:hAnsi="Times New Roman"/>
                <w:szCs w:val="24"/>
              </w:rPr>
              <w:t>拱顶罐</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4000</w:t>
            </w:r>
          </w:p>
        </w:tc>
        <w:tc>
          <w:tcPr>
            <w:tcW w:w="708" w:type="dxa"/>
            <w:tcBorders>
              <w:tl2br w:val="nil"/>
              <w:tr2bl w:val="nil"/>
            </w:tcBorders>
          </w:tcPr>
          <w:p w:rsidR="00525419" w:rsidRDefault="00EE1CF7">
            <w:pPr>
              <w:rPr>
                <w:rFonts w:ascii="Times New Roman" w:hAnsi="Times New Roman"/>
                <w:szCs w:val="24"/>
              </w:rPr>
            </w:pPr>
            <w:r>
              <w:rPr>
                <w:rFonts w:ascii="Times New Roman" w:hAnsi="Times New Roman"/>
                <w:szCs w:val="24"/>
              </w:rPr>
              <w:t>1</w:t>
            </w:r>
          </w:p>
        </w:tc>
        <w:tc>
          <w:tcPr>
            <w:tcW w:w="993" w:type="dxa"/>
            <w:vMerge/>
            <w:tcBorders>
              <w:tl2br w:val="nil"/>
              <w:tr2bl w:val="nil"/>
            </w:tcBorders>
          </w:tcPr>
          <w:p w:rsidR="00525419" w:rsidRDefault="00525419">
            <w:pPr>
              <w:rPr>
                <w:rFonts w:ascii="Times New Roman" w:hAnsi="Times New Roman"/>
                <w:szCs w:val="24"/>
              </w:rPr>
            </w:pPr>
          </w:p>
        </w:tc>
        <w:tc>
          <w:tcPr>
            <w:tcW w:w="992" w:type="dxa"/>
            <w:tcBorders>
              <w:tl2br w:val="nil"/>
              <w:tr2bl w:val="nil"/>
            </w:tcBorders>
          </w:tcPr>
          <w:p w:rsidR="00525419" w:rsidRDefault="00525419">
            <w:pPr>
              <w:rPr>
                <w:rFonts w:ascii="Times New Roman" w:hAnsi="Times New Roman"/>
                <w:szCs w:val="24"/>
              </w:rPr>
            </w:pPr>
          </w:p>
        </w:tc>
      </w:tr>
      <w:tr w:rsidR="00525419">
        <w:trPr>
          <w:trHeight w:val="253"/>
        </w:trPr>
        <w:tc>
          <w:tcPr>
            <w:tcW w:w="1951" w:type="dxa"/>
            <w:tcBorders>
              <w:tl2br w:val="nil"/>
              <w:tr2bl w:val="nil"/>
            </w:tcBorders>
          </w:tcPr>
          <w:p w:rsidR="00525419" w:rsidRDefault="00EE1CF7">
            <w:pPr>
              <w:rPr>
                <w:rFonts w:ascii="Times New Roman" w:hAnsi="Times New Roman"/>
                <w:szCs w:val="24"/>
              </w:rPr>
            </w:pPr>
            <w:r>
              <w:rPr>
                <w:rFonts w:ascii="Times New Roman" w:hAnsi="Times New Roman"/>
                <w:szCs w:val="24"/>
              </w:rPr>
              <w:t>3#-4#</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沥青</w:t>
            </w:r>
          </w:p>
        </w:tc>
        <w:tc>
          <w:tcPr>
            <w:tcW w:w="1134" w:type="dxa"/>
            <w:tcBorders>
              <w:tl2br w:val="nil"/>
              <w:tr2bl w:val="nil"/>
            </w:tcBorders>
          </w:tcPr>
          <w:p w:rsidR="00525419" w:rsidRDefault="00EE1CF7">
            <w:pPr>
              <w:rPr>
                <w:rFonts w:ascii="Times New Roman" w:hAnsi="Times New Roman"/>
                <w:szCs w:val="24"/>
              </w:rPr>
            </w:pPr>
            <w:r>
              <w:rPr>
                <w:rFonts w:ascii="Times New Roman" w:hAnsi="Times New Roman"/>
                <w:szCs w:val="24"/>
              </w:rPr>
              <w:t>拱顶罐</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3000</w:t>
            </w:r>
          </w:p>
        </w:tc>
        <w:tc>
          <w:tcPr>
            <w:tcW w:w="708" w:type="dxa"/>
            <w:tcBorders>
              <w:tl2br w:val="nil"/>
              <w:tr2bl w:val="nil"/>
            </w:tcBorders>
          </w:tcPr>
          <w:p w:rsidR="00525419" w:rsidRDefault="00EE1CF7">
            <w:pPr>
              <w:rPr>
                <w:rFonts w:ascii="Times New Roman" w:hAnsi="Times New Roman"/>
                <w:szCs w:val="24"/>
              </w:rPr>
            </w:pPr>
            <w:r>
              <w:rPr>
                <w:rFonts w:ascii="Times New Roman" w:hAnsi="Times New Roman"/>
                <w:szCs w:val="24"/>
              </w:rPr>
              <w:t>2</w:t>
            </w:r>
          </w:p>
        </w:tc>
        <w:tc>
          <w:tcPr>
            <w:tcW w:w="993" w:type="dxa"/>
            <w:vMerge w:val="restart"/>
            <w:tcBorders>
              <w:tl2br w:val="nil"/>
              <w:tr2bl w:val="nil"/>
            </w:tcBorders>
          </w:tcPr>
          <w:p w:rsidR="00525419" w:rsidRDefault="00EE1CF7">
            <w:pPr>
              <w:rPr>
                <w:rFonts w:ascii="Times New Roman" w:hAnsi="Times New Roman"/>
                <w:szCs w:val="24"/>
              </w:rPr>
            </w:pPr>
            <w:r>
              <w:rPr>
                <w:rFonts w:ascii="Times New Roman" w:hAnsi="Times New Roman"/>
                <w:szCs w:val="24"/>
              </w:rPr>
              <w:t>26.46</w:t>
            </w:r>
          </w:p>
        </w:tc>
        <w:tc>
          <w:tcPr>
            <w:tcW w:w="992" w:type="dxa"/>
            <w:tcBorders>
              <w:tl2br w:val="nil"/>
              <w:tr2bl w:val="nil"/>
            </w:tcBorders>
          </w:tcPr>
          <w:p w:rsidR="00525419" w:rsidRDefault="00525419">
            <w:pPr>
              <w:rPr>
                <w:rFonts w:ascii="Times New Roman" w:hAnsi="Times New Roman"/>
                <w:szCs w:val="24"/>
              </w:rPr>
            </w:pPr>
          </w:p>
        </w:tc>
      </w:tr>
      <w:tr w:rsidR="00525419">
        <w:trPr>
          <w:trHeight w:val="225"/>
        </w:trPr>
        <w:tc>
          <w:tcPr>
            <w:tcW w:w="1951" w:type="dxa"/>
            <w:tcBorders>
              <w:tl2br w:val="nil"/>
              <w:tr2bl w:val="nil"/>
            </w:tcBorders>
          </w:tcPr>
          <w:p w:rsidR="00525419" w:rsidRDefault="00EE1CF7">
            <w:pPr>
              <w:rPr>
                <w:rFonts w:ascii="Times New Roman" w:hAnsi="Times New Roman"/>
                <w:szCs w:val="24"/>
              </w:rPr>
            </w:pPr>
            <w:r>
              <w:rPr>
                <w:rFonts w:ascii="Times New Roman" w:hAnsi="Times New Roman"/>
                <w:szCs w:val="24"/>
              </w:rPr>
              <w:t>6#-8#</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沥青</w:t>
            </w:r>
          </w:p>
        </w:tc>
        <w:tc>
          <w:tcPr>
            <w:tcW w:w="1134" w:type="dxa"/>
            <w:tcBorders>
              <w:tl2br w:val="nil"/>
              <w:tr2bl w:val="nil"/>
            </w:tcBorders>
          </w:tcPr>
          <w:p w:rsidR="00525419" w:rsidRDefault="00EE1CF7">
            <w:pPr>
              <w:rPr>
                <w:rFonts w:ascii="Times New Roman" w:hAnsi="Times New Roman"/>
                <w:szCs w:val="24"/>
              </w:rPr>
            </w:pPr>
            <w:r>
              <w:rPr>
                <w:rFonts w:ascii="Times New Roman" w:hAnsi="Times New Roman"/>
                <w:szCs w:val="24"/>
              </w:rPr>
              <w:t>拱顶罐</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4000</w:t>
            </w:r>
          </w:p>
        </w:tc>
        <w:tc>
          <w:tcPr>
            <w:tcW w:w="708" w:type="dxa"/>
            <w:tcBorders>
              <w:tl2br w:val="nil"/>
              <w:tr2bl w:val="nil"/>
            </w:tcBorders>
          </w:tcPr>
          <w:p w:rsidR="00525419" w:rsidRDefault="00EE1CF7">
            <w:pPr>
              <w:rPr>
                <w:rFonts w:ascii="Times New Roman" w:hAnsi="Times New Roman"/>
                <w:szCs w:val="24"/>
              </w:rPr>
            </w:pPr>
            <w:r>
              <w:rPr>
                <w:rFonts w:ascii="Times New Roman" w:hAnsi="Times New Roman"/>
                <w:szCs w:val="24"/>
              </w:rPr>
              <w:t>3</w:t>
            </w:r>
          </w:p>
        </w:tc>
        <w:tc>
          <w:tcPr>
            <w:tcW w:w="993" w:type="dxa"/>
            <w:vMerge/>
            <w:tcBorders>
              <w:tl2br w:val="nil"/>
              <w:tr2bl w:val="nil"/>
            </w:tcBorders>
          </w:tcPr>
          <w:p w:rsidR="00525419" w:rsidRDefault="00525419">
            <w:pPr>
              <w:rPr>
                <w:rFonts w:ascii="Times New Roman" w:hAnsi="Times New Roman"/>
                <w:szCs w:val="24"/>
              </w:rPr>
            </w:pPr>
          </w:p>
        </w:tc>
        <w:tc>
          <w:tcPr>
            <w:tcW w:w="992" w:type="dxa"/>
            <w:tcBorders>
              <w:tl2br w:val="nil"/>
              <w:tr2bl w:val="nil"/>
            </w:tcBorders>
          </w:tcPr>
          <w:p w:rsidR="00525419" w:rsidRDefault="00525419">
            <w:pPr>
              <w:rPr>
                <w:rFonts w:ascii="Times New Roman" w:hAnsi="Times New Roman"/>
                <w:szCs w:val="24"/>
              </w:rPr>
            </w:pPr>
          </w:p>
        </w:tc>
      </w:tr>
      <w:tr w:rsidR="00525419">
        <w:trPr>
          <w:trHeight w:val="319"/>
        </w:trPr>
        <w:tc>
          <w:tcPr>
            <w:tcW w:w="1951" w:type="dxa"/>
            <w:tcBorders>
              <w:tl2br w:val="nil"/>
              <w:tr2bl w:val="nil"/>
            </w:tcBorders>
          </w:tcPr>
          <w:p w:rsidR="00525419" w:rsidRDefault="00EE1CF7">
            <w:pPr>
              <w:rPr>
                <w:rFonts w:ascii="Times New Roman" w:hAnsi="Times New Roman"/>
                <w:szCs w:val="24"/>
              </w:rPr>
            </w:pPr>
            <w:r>
              <w:rPr>
                <w:rFonts w:ascii="Times New Roman" w:hAnsi="Times New Roman"/>
                <w:szCs w:val="24"/>
              </w:rPr>
              <w:t>205#</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hint="eastAsia"/>
                <w:szCs w:val="24"/>
              </w:rPr>
              <w:t>汽油</w:t>
            </w:r>
          </w:p>
        </w:tc>
        <w:tc>
          <w:tcPr>
            <w:tcW w:w="1134" w:type="dxa"/>
            <w:tcBorders>
              <w:tl2br w:val="nil"/>
              <w:tr2bl w:val="nil"/>
            </w:tcBorders>
          </w:tcPr>
          <w:p w:rsidR="00525419" w:rsidRDefault="00EE1CF7">
            <w:pPr>
              <w:rPr>
                <w:rFonts w:ascii="Times New Roman" w:hAnsi="Times New Roman"/>
                <w:szCs w:val="24"/>
              </w:rPr>
            </w:pPr>
            <w:r>
              <w:rPr>
                <w:rFonts w:ascii="Times New Roman" w:hAnsi="Times New Roman"/>
                <w:szCs w:val="24"/>
              </w:rPr>
              <w:t>内浮顶罐</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5000</w:t>
            </w:r>
          </w:p>
        </w:tc>
        <w:tc>
          <w:tcPr>
            <w:tcW w:w="708" w:type="dxa"/>
            <w:tcBorders>
              <w:tl2br w:val="nil"/>
              <w:tr2bl w:val="nil"/>
            </w:tcBorders>
          </w:tcPr>
          <w:p w:rsidR="00525419" w:rsidRDefault="00EE1CF7">
            <w:pPr>
              <w:rPr>
                <w:rFonts w:ascii="Times New Roman" w:hAnsi="Times New Roman"/>
                <w:szCs w:val="24"/>
              </w:rPr>
            </w:pPr>
            <w:r>
              <w:rPr>
                <w:rFonts w:ascii="Times New Roman" w:hAnsi="Times New Roman" w:hint="eastAsia"/>
                <w:szCs w:val="24"/>
              </w:rPr>
              <w:t>1</w:t>
            </w:r>
          </w:p>
        </w:tc>
        <w:tc>
          <w:tcPr>
            <w:tcW w:w="993" w:type="dxa"/>
            <w:tcBorders>
              <w:tl2br w:val="nil"/>
              <w:tr2bl w:val="nil"/>
            </w:tcBorders>
          </w:tcPr>
          <w:p w:rsidR="00525419" w:rsidRDefault="00525419">
            <w:pPr>
              <w:rPr>
                <w:rFonts w:ascii="Times New Roman" w:hAnsi="Times New Roman"/>
                <w:szCs w:val="24"/>
              </w:rPr>
            </w:pPr>
          </w:p>
        </w:tc>
        <w:tc>
          <w:tcPr>
            <w:tcW w:w="992" w:type="dxa"/>
            <w:tcBorders>
              <w:tl2br w:val="nil"/>
              <w:tr2bl w:val="nil"/>
            </w:tcBorders>
          </w:tcPr>
          <w:p w:rsidR="00525419" w:rsidRDefault="00525419">
            <w:pPr>
              <w:rPr>
                <w:rFonts w:ascii="Times New Roman" w:hAnsi="Times New Roman"/>
                <w:szCs w:val="24"/>
              </w:rPr>
            </w:pPr>
          </w:p>
        </w:tc>
      </w:tr>
      <w:tr w:rsidR="00525419">
        <w:trPr>
          <w:trHeight w:val="319"/>
        </w:trPr>
        <w:tc>
          <w:tcPr>
            <w:tcW w:w="1951" w:type="dxa"/>
            <w:tcBorders>
              <w:tl2br w:val="nil"/>
              <w:tr2bl w:val="nil"/>
            </w:tcBorders>
          </w:tcPr>
          <w:p w:rsidR="00525419" w:rsidRDefault="00EE1CF7">
            <w:pPr>
              <w:rPr>
                <w:rFonts w:ascii="Times New Roman" w:hAnsi="Times New Roman"/>
                <w:szCs w:val="24"/>
              </w:rPr>
            </w:pPr>
            <w:r>
              <w:rPr>
                <w:rFonts w:ascii="Times New Roman" w:hAnsi="Times New Roman"/>
                <w:szCs w:val="24"/>
              </w:rPr>
              <w:t>20</w:t>
            </w:r>
            <w:r>
              <w:rPr>
                <w:rFonts w:ascii="Times New Roman" w:hAnsi="Times New Roman" w:hint="eastAsia"/>
                <w:szCs w:val="24"/>
              </w:rPr>
              <w:t>6#</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柴油</w:t>
            </w:r>
          </w:p>
        </w:tc>
        <w:tc>
          <w:tcPr>
            <w:tcW w:w="1134" w:type="dxa"/>
            <w:tcBorders>
              <w:tl2br w:val="nil"/>
              <w:tr2bl w:val="nil"/>
            </w:tcBorders>
          </w:tcPr>
          <w:p w:rsidR="00525419" w:rsidRDefault="00EE1CF7">
            <w:pPr>
              <w:rPr>
                <w:rFonts w:ascii="Times New Roman" w:hAnsi="Times New Roman"/>
                <w:szCs w:val="24"/>
              </w:rPr>
            </w:pPr>
            <w:r>
              <w:rPr>
                <w:rFonts w:ascii="Times New Roman" w:hAnsi="Times New Roman"/>
                <w:szCs w:val="24"/>
              </w:rPr>
              <w:t>内浮顶罐</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5000</w:t>
            </w:r>
          </w:p>
        </w:tc>
        <w:tc>
          <w:tcPr>
            <w:tcW w:w="708" w:type="dxa"/>
            <w:tcBorders>
              <w:tl2br w:val="nil"/>
              <w:tr2bl w:val="nil"/>
            </w:tcBorders>
          </w:tcPr>
          <w:p w:rsidR="00525419" w:rsidRDefault="00EE1CF7">
            <w:pPr>
              <w:rPr>
                <w:rFonts w:ascii="Times New Roman" w:hAnsi="Times New Roman"/>
                <w:szCs w:val="24"/>
              </w:rPr>
            </w:pPr>
            <w:r>
              <w:rPr>
                <w:rFonts w:ascii="Times New Roman" w:hAnsi="Times New Roman" w:hint="eastAsia"/>
                <w:szCs w:val="24"/>
              </w:rPr>
              <w:t>1</w:t>
            </w:r>
          </w:p>
        </w:tc>
        <w:tc>
          <w:tcPr>
            <w:tcW w:w="993" w:type="dxa"/>
            <w:tcBorders>
              <w:tl2br w:val="nil"/>
              <w:tr2bl w:val="nil"/>
            </w:tcBorders>
          </w:tcPr>
          <w:p w:rsidR="00525419" w:rsidRDefault="00525419">
            <w:pPr>
              <w:rPr>
                <w:rFonts w:ascii="Times New Roman" w:hAnsi="Times New Roman"/>
                <w:szCs w:val="24"/>
              </w:rPr>
            </w:pPr>
          </w:p>
        </w:tc>
        <w:tc>
          <w:tcPr>
            <w:tcW w:w="992" w:type="dxa"/>
            <w:tcBorders>
              <w:tl2br w:val="nil"/>
              <w:tr2bl w:val="nil"/>
            </w:tcBorders>
          </w:tcPr>
          <w:p w:rsidR="00525419" w:rsidRDefault="00525419">
            <w:pPr>
              <w:rPr>
                <w:rFonts w:ascii="Times New Roman" w:hAnsi="Times New Roman"/>
                <w:szCs w:val="24"/>
              </w:rPr>
            </w:pPr>
          </w:p>
        </w:tc>
      </w:tr>
      <w:tr w:rsidR="00525419">
        <w:trPr>
          <w:trHeight w:val="319"/>
        </w:trPr>
        <w:tc>
          <w:tcPr>
            <w:tcW w:w="1951" w:type="dxa"/>
            <w:tcBorders>
              <w:tl2br w:val="nil"/>
              <w:tr2bl w:val="nil"/>
            </w:tcBorders>
          </w:tcPr>
          <w:p w:rsidR="00525419" w:rsidRDefault="00EE1CF7">
            <w:pPr>
              <w:rPr>
                <w:rFonts w:ascii="Times New Roman" w:hAnsi="Times New Roman"/>
                <w:szCs w:val="24"/>
              </w:rPr>
            </w:pPr>
            <w:r>
              <w:rPr>
                <w:rFonts w:ascii="Times New Roman" w:hAnsi="Times New Roman" w:hint="eastAsia"/>
                <w:szCs w:val="24"/>
              </w:rPr>
              <w:t>207-208#</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hint="eastAsia"/>
                <w:szCs w:val="24"/>
              </w:rPr>
              <w:t>柴油</w:t>
            </w:r>
          </w:p>
        </w:tc>
        <w:tc>
          <w:tcPr>
            <w:tcW w:w="1134" w:type="dxa"/>
            <w:tcBorders>
              <w:tl2br w:val="nil"/>
              <w:tr2bl w:val="nil"/>
            </w:tcBorders>
          </w:tcPr>
          <w:p w:rsidR="00525419" w:rsidRDefault="00EE1CF7">
            <w:pPr>
              <w:rPr>
                <w:rFonts w:ascii="Times New Roman" w:hAnsi="Times New Roman"/>
                <w:szCs w:val="24"/>
              </w:rPr>
            </w:pPr>
            <w:r>
              <w:rPr>
                <w:rFonts w:ascii="Times New Roman" w:hAnsi="Times New Roman"/>
                <w:szCs w:val="24"/>
              </w:rPr>
              <w:t>拱顶罐</w:t>
            </w:r>
          </w:p>
        </w:tc>
        <w:tc>
          <w:tcPr>
            <w:tcW w:w="1276" w:type="dxa"/>
            <w:tcBorders>
              <w:tl2br w:val="nil"/>
              <w:tr2bl w:val="nil"/>
            </w:tcBorders>
          </w:tcPr>
          <w:p w:rsidR="00525419" w:rsidRDefault="00EE1CF7">
            <w:pPr>
              <w:rPr>
                <w:rFonts w:ascii="Times New Roman" w:hAnsi="Times New Roman"/>
                <w:szCs w:val="24"/>
              </w:rPr>
            </w:pPr>
            <w:r>
              <w:rPr>
                <w:rFonts w:ascii="Times New Roman" w:hAnsi="Times New Roman"/>
                <w:szCs w:val="24"/>
              </w:rPr>
              <w:t>5000</w:t>
            </w:r>
          </w:p>
        </w:tc>
        <w:tc>
          <w:tcPr>
            <w:tcW w:w="708" w:type="dxa"/>
            <w:tcBorders>
              <w:tl2br w:val="nil"/>
              <w:tr2bl w:val="nil"/>
            </w:tcBorders>
          </w:tcPr>
          <w:p w:rsidR="00525419" w:rsidRDefault="00EE1CF7">
            <w:pPr>
              <w:rPr>
                <w:rFonts w:ascii="Times New Roman" w:hAnsi="Times New Roman"/>
                <w:szCs w:val="24"/>
              </w:rPr>
            </w:pPr>
            <w:r>
              <w:rPr>
                <w:rFonts w:ascii="Times New Roman" w:hAnsi="Times New Roman" w:hint="eastAsia"/>
                <w:szCs w:val="24"/>
              </w:rPr>
              <w:t>2</w:t>
            </w:r>
          </w:p>
        </w:tc>
        <w:tc>
          <w:tcPr>
            <w:tcW w:w="993" w:type="dxa"/>
            <w:tcBorders>
              <w:tl2br w:val="nil"/>
              <w:tr2bl w:val="nil"/>
            </w:tcBorders>
          </w:tcPr>
          <w:p w:rsidR="00525419" w:rsidRDefault="00525419">
            <w:pPr>
              <w:rPr>
                <w:rFonts w:ascii="Times New Roman" w:hAnsi="Times New Roman"/>
                <w:szCs w:val="24"/>
              </w:rPr>
            </w:pPr>
          </w:p>
        </w:tc>
        <w:tc>
          <w:tcPr>
            <w:tcW w:w="992" w:type="dxa"/>
            <w:tcBorders>
              <w:tl2br w:val="nil"/>
              <w:tr2bl w:val="nil"/>
            </w:tcBorders>
          </w:tcPr>
          <w:p w:rsidR="00525419" w:rsidRDefault="00525419">
            <w:pPr>
              <w:rPr>
                <w:rFonts w:ascii="Times New Roman" w:hAnsi="Times New Roman"/>
                <w:szCs w:val="24"/>
              </w:rPr>
            </w:pPr>
          </w:p>
        </w:tc>
      </w:tr>
    </w:tbl>
    <w:p w:rsidR="00525419" w:rsidRDefault="00525419">
      <w:pPr>
        <w:rPr>
          <w:rFonts w:ascii="Times New Roman" w:hAnsi="Times New Roman"/>
          <w:sz w:val="24"/>
        </w:rPr>
      </w:pPr>
    </w:p>
    <w:p w:rsidR="00525419" w:rsidRDefault="00EE1CF7">
      <w:pPr>
        <w:pStyle w:val="3a"/>
        <w:spacing w:beforeLines="50" w:before="156" w:after="156" w:line="360" w:lineRule="auto"/>
        <w:jc w:val="left"/>
        <w:rPr>
          <w:rFonts w:ascii="Times New Roman" w:eastAsia="华文楷体" w:hAnsi="Times New Roman"/>
        </w:rPr>
      </w:pPr>
      <w:r>
        <w:rPr>
          <w:rFonts w:ascii="Times New Roman" w:eastAsia="华文楷体" w:hAnsi="Times New Roman"/>
        </w:rPr>
        <w:t>3.2.4</w:t>
      </w:r>
      <w:r>
        <w:rPr>
          <w:rFonts w:ascii="Times New Roman" w:eastAsia="华文楷体" w:hAnsi="Times New Roman"/>
        </w:rPr>
        <w:t>现有工程污染物排放及主要治理措施</w:t>
      </w:r>
    </w:p>
    <w:p w:rsidR="00525419" w:rsidRDefault="00EE1CF7">
      <w:pPr>
        <w:adjustRightInd w:val="0"/>
        <w:snapToGrid w:val="0"/>
        <w:spacing w:line="360" w:lineRule="auto"/>
        <w:rPr>
          <w:rFonts w:ascii="Times New Roman" w:hAnsi="Times New Roman"/>
          <w:b/>
          <w:bCs/>
          <w:sz w:val="24"/>
        </w:rPr>
      </w:pPr>
      <w:r>
        <w:rPr>
          <w:rFonts w:ascii="Times New Roman" w:hAnsi="Times New Roman"/>
          <w:b/>
          <w:bCs/>
          <w:sz w:val="24"/>
        </w:rPr>
        <w:t>3.2.4.1</w:t>
      </w:r>
      <w:r>
        <w:rPr>
          <w:rFonts w:ascii="Times New Roman" w:hAnsi="Times New Roman"/>
          <w:b/>
          <w:bCs/>
          <w:sz w:val="24"/>
        </w:rPr>
        <w:t>废气</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锅炉烟气</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厂区燃煤锅炉产生的主要污染物为烟尘、</w:t>
      </w:r>
      <w:r>
        <w:rPr>
          <w:rFonts w:ascii="Times New Roman" w:hAnsi="Times New Roman"/>
          <w:sz w:val="24"/>
        </w:rPr>
        <w:t>SO</w:t>
      </w:r>
      <w:r>
        <w:rPr>
          <w:rFonts w:ascii="Times New Roman" w:hAnsi="Times New Roman"/>
          <w:sz w:val="24"/>
          <w:vertAlign w:val="subscript"/>
        </w:rPr>
        <w:t>2</w:t>
      </w:r>
      <w:r>
        <w:rPr>
          <w:rFonts w:ascii="Times New Roman" w:hAnsi="Times New Roman"/>
          <w:sz w:val="24"/>
        </w:rPr>
        <w:t>和</w:t>
      </w:r>
      <w:r>
        <w:rPr>
          <w:rFonts w:ascii="Times New Roman" w:hAnsi="Times New Roman"/>
          <w:sz w:val="24"/>
        </w:rPr>
        <w:t>NOx</w:t>
      </w:r>
      <w:r>
        <w:rPr>
          <w:rFonts w:ascii="Times New Roman" w:hAnsi="Times New Roman"/>
          <w:sz w:val="24"/>
        </w:rPr>
        <w:t>。</w:t>
      </w:r>
      <w:r>
        <w:rPr>
          <w:rFonts w:ascii="Times New Roman" w:hAnsi="Times New Roman" w:hint="eastAsia"/>
          <w:sz w:val="24"/>
          <w:szCs w:val="24"/>
        </w:rPr>
        <w:t>3</w:t>
      </w:r>
      <w:r>
        <w:rPr>
          <w:rFonts w:ascii="Times New Roman" w:hAnsi="Times New Roman"/>
          <w:sz w:val="24"/>
          <w:szCs w:val="24"/>
        </w:rPr>
        <w:t>×20 t/h</w:t>
      </w:r>
      <w:r>
        <w:rPr>
          <w:rFonts w:ascii="Times New Roman" w:hAnsi="Times New Roman"/>
          <w:sz w:val="24"/>
          <w:szCs w:val="24"/>
        </w:rPr>
        <w:t>蒸汽锅炉烟气采用陶瓷多管除尘器</w:t>
      </w:r>
      <w:r>
        <w:rPr>
          <w:rFonts w:ascii="Times New Roman" w:hAnsi="Times New Roman" w:hint="eastAsia"/>
          <w:sz w:val="24"/>
          <w:szCs w:val="24"/>
        </w:rPr>
        <w:t>（</w:t>
      </w:r>
      <w:r>
        <w:rPr>
          <w:rFonts w:ascii="Times New Roman" w:hAnsi="Times New Roman" w:hint="eastAsia"/>
          <w:sz w:val="24"/>
          <w:szCs w:val="24"/>
        </w:rPr>
        <w:t>3</w:t>
      </w:r>
      <w:r>
        <w:rPr>
          <w:rFonts w:ascii="Times New Roman" w:hAnsi="Times New Roman" w:hint="eastAsia"/>
          <w:sz w:val="24"/>
          <w:szCs w:val="24"/>
        </w:rPr>
        <w:t>套）</w:t>
      </w:r>
      <w:r>
        <w:rPr>
          <w:rFonts w:ascii="Times New Roman" w:hAnsi="Times New Roman"/>
          <w:sz w:val="24"/>
          <w:szCs w:val="24"/>
        </w:rPr>
        <w:t>+</w:t>
      </w:r>
      <w:r>
        <w:rPr>
          <w:rFonts w:ascii="Times New Roman" w:hAnsi="Times New Roman" w:hint="eastAsia"/>
          <w:sz w:val="24"/>
          <w:szCs w:val="24"/>
        </w:rPr>
        <w:t>布袋除尘器（已安装</w:t>
      </w:r>
      <w:r>
        <w:rPr>
          <w:rFonts w:ascii="Times New Roman" w:hAnsi="Times New Roman" w:hint="eastAsia"/>
          <w:sz w:val="24"/>
          <w:szCs w:val="24"/>
        </w:rPr>
        <w:t>2</w:t>
      </w:r>
      <w:r>
        <w:rPr>
          <w:rFonts w:ascii="Times New Roman" w:hAnsi="Times New Roman" w:hint="eastAsia"/>
          <w:sz w:val="24"/>
          <w:szCs w:val="24"/>
        </w:rPr>
        <w:t>套）</w:t>
      </w:r>
      <w:r>
        <w:rPr>
          <w:rFonts w:ascii="Times New Roman" w:hAnsi="Times New Roman" w:hint="eastAsia"/>
          <w:sz w:val="24"/>
          <w:szCs w:val="24"/>
        </w:rPr>
        <w:t>+</w:t>
      </w:r>
      <w:r>
        <w:rPr>
          <w:rFonts w:ascii="Times New Roman" w:hAnsi="Times New Roman"/>
          <w:sz w:val="24"/>
          <w:szCs w:val="24"/>
        </w:rPr>
        <w:t>双碱法脱硫</w:t>
      </w:r>
      <w:r>
        <w:rPr>
          <w:rFonts w:ascii="Times New Roman" w:hAnsi="Times New Roman" w:hint="eastAsia"/>
          <w:sz w:val="24"/>
          <w:szCs w:val="24"/>
        </w:rPr>
        <w:t>（</w:t>
      </w:r>
      <w:r>
        <w:rPr>
          <w:rFonts w:ascii="Times New Roman" w:hAnsi="Times New Roman" w:hint="eastAsia"/>
          <w:sz w:val="24"/>
          <w:szCs w:val="24"/>
        </w:rPr>
        <w:t>3</w:t>
      </w:r>
      <w:r>
        <w:rPr>
          <w:rFonts w:ascii="Times New Roman" w:hAnsi="Times New Roman" w:hint="eastAsia"/>
          <w:sz w:val="24"/>
          <w:szCs w:val="24"/>
        </w:rPr>
        <w:t>套）</w:t>
      </w:r>
      <w:r>
        <w:rPr>
          <w:rFonts w:ascii="Times New Roman" w:hAnsi="Times New Roman"/>
          <w:sz w:val="24"/>
          <w:szCs w:val="24"/>
        </w:rPr>
        <w:t>+SNCR</w:t>
      </w:r>
      <w:r>
        <w:rPr>
          <w:rFonts w:ascii="Times New Roman" w:hAnsi="Times New Roman"/>
          <w:sz w:val="24"/>
          <w:szCs w:val="24"/>
        </w:rPr>
        <w:t>脱硝</w:t>
      </w:r>
      <w:r>
        <w:rPr>
          <w:rFonts w:ascii="Times New Roman" w:hAnsi="Times New Roman" w:hint="eastAsia"/>
          <w:sz w:val="24"/>
          <w:szCs w:val="24"/>
        </w:rPr>
        <w:t>（</w:t>
      </w:r>
      <w:r>
        <w:rPr>
          <w:rFonts w:ascii="Times New Roman" w:hAnsi="Times New Roman" w:hint="eastAsia"/>
          <w:sz w:val="24"/>
          <w:szCs w:val="24"/>
        </w:rPr>
        <w:t>3</w:t>
      </w:r>
      <w:r>
        <w:rPr>
          <w:rFonts w:ascii="Times New Roman" w:hAnsi="Times New Roman" w:hint="eastAsia"/>
          <w:sz w:val="24"/>
          <w:szCs w:val="24"/>
        </w:rPr>
        <w:t>套）</w:t>
      </w:r>
      <w:r>
        <w:rPr>
          <w:rFonts w:ascii="Times New Roman" w:hAnsi="Times New Roman"/>
          <w:sz w:val="24"/>
          <w:szCs w:val="24"/>
        </w:rPr>
        <w:t>处理后通过</w:t>
      </w:r>
      <w:r>
        <w:rPr>
          <w:rFonts w:ascii="Times New Roman" w:hAnsi="Times New Roman"/>
          <w:sz w:val="24"/>
          <w:szCs w:val="24"/>
        </w:rPr>
        <w:t>1</w:t>
      </w:r>
      <w:r>
        <w:rPr>
          <w:rFonts w:ascii="Times New Roman" w:hAnsi="Times New Roman"/>
          <w:sz w:val="24"/>
          <w:szCs w:val="24"/>
        </w:rPr>
        <w:t>根</w:t>
      </w:r>
      <w:r>
        <w:rPr>
          <w:rFonts w:ascii="Times New Roman" w:hAnsi="Times New Roman"/>
          <w:sz w:val="24"/>
          <w:szCs w:val="24"/>
        </w:rPr>
        <w:t>45m</w:t>
      </w:r>
      <w:r>
        <w:rPr>
          <w:rFonts w:ascii="Times New Roman" w:hAnsi="Times New Roman"/>
          <w:sz w:val="24"/>
          <w:szCs w:val="24"/>
        </w:rPr>
        <w:t>烟囱排放</w:t>
      </w:r>
      <w:r>
        <w:rPr>
          <w:rFonts w:ascii="Times New Roman" w:hAnsi="Times New Roman"/>
          <w:sz w:val="24"/>
        </w:rPr>
        <w:t>；</w:t>
      </w:r>
      <w:r>
        <w:rPr>
          <w:rFonts w:ascii="Times New Roman" w:hAnsi="Times New Roman"/>
          <w:sz w:val="24"/>
        </w:rPr>
        <w:t>1×20 t/h</w:t>
      </w:r>
      <w:r>
        <w:rPr>
          <w:rFonts w:ascii="Times New Roman" w:hAnsi="Times New Roman"/>
          <w:sz w:val="24"/>
        </w:rPr>
        <w:t>导热油炉烟气采用布袋除尘器</w:t>
      </w:r>
      <w:r>
        <w:rPr>
          <w:rFonts w:ascii="Times New Roman" w:hAnsi="Times New Roman"/>
          <w:sz w:val="24"/>
        </w:rPr>
        <w:t>+</w:t>
      </w:r>
      <w:r>
        <w:rPr>
          <w:rFonts w:ascii="Times New Roman" w:hAnsi="Times New Roman"/>
          <w:sz w:val="24"/>
        </w:rPr>
        <w:t>双碱法脱硫</w:t>
      </w:r>
      <w:r>
        <w:rPr>
          <w:rFonts w:ascii="Times New Roman" w:hAnsi="Times New Roman"/>
          <w:sz w:val="24"/>
        </w:rPr>
        <w:t>+</w:t>
      </w:r>
      <w:r>
        <w:rPr>
          <w:rFonts w:ascii="Times New Roman" w:hAnsi="Times New Roman"/>
          <w:sz w:val="24"/>
        </w:rPr>
        <w:t>双氧水脱硝后通过</w:t>
      </w:r>
      <w:r>
        <w:rPr>
          <w:rFonts w:ascii="Times New Roman" w:hAnsi="Times New Roman"/>
          <w:sz w:val="24"/>
        </w:rPr>
        <w:t>1</w:t>
      </w:r>
      <w:r>
        <w:rPr>
          <w:rFonts w:ascii="Times New Roman" w:hAnsi="Times New Roman"/>
          <w:sz w:val="24"/>
        </w:rPr>
        <w:t>根</w:t>
      </w:r>
      <w:r>
        <w:rPr>
          <w:rFonts w:ascii="Times New Roman" w:hAnsi="Times New Roman"/>
          <w:sz w:val="24"/>
        </w:rPr>
        <w:t>45m</w:t>
      </w:r>
      <w:r>
        <w:rPr>
          <w:rFonts w:ascii="Times New Roman" w:hAnsi="Times New Roman"/>
          <w:sz w:val="24"/>
        </w:rPr>
        <w:t>高烟囱排放，两个排放口均安装</w:t>
      </w:r>
      <w:r>
        <w:rPr>
          <w:rFonts w:ascii="Times New Roman" w:hAnsi="Times New Roman"/>
          <w:sz w:val="24"/>
        </w:rPr>
        <w:t>DY-FG200</w:t>
      </w:r>
      <w:r>
        <w:rPr>
          <w:rFonts w:ascii="Times New Roman" w:hAnsi="Times New Roman"/>
          <w:sz w:val="24"/>
        </w:rPr>
        <w:t>系统烟气排放连续监测系统。</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加热炉烟气</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台加热炉以天然气为燃料，主要污染物为</w:t>
      </w:r>
      <w:r>
        <w:rPr>
          <w:rFonts w:ascii="Times New Roman" w:hAnsi="Times New Roman"/>
          <w:sz w:val="24"/>
        </w:rPr>
        <w:t>SO</w:t>
      </w:r>
      <w:r>
        <w:rPr>
          <w:rFonts w:ascii="Times New Roman" w:hAnsi="Times New Roman"/>
          <w:sz w:val="24"/>
          <w:vertAlign w:val="subscript"/>
        </w:rPr>
        <w:t>2</w:t>
      </w:r>
      <w:r>
        <w:rPr>
          <w:rFonts w:ascii="Times New Roman" w:hAnsi="Times New Roman"/>
          <w:sz w:val="24"/>
        </w:rPr>
        <w:t>、</w:t>
      </w:r>
      <w:r>
        <w:rPr>
          <w:rFonts w:ascii="Times New Roman" w:hAnsi="Times New Roman"/>
          <w:sz w:val="24"/>
        </w:rPr>
        <w:t>NOx</w:t>
      </w:r>
      <w:r>
        <w:rPr>
          <w:rFonts w:ascii="Times New Roman" w:hAnsi="Times New Roman"/>
          <w:sz w:val="24"/>
        </w:rPr>
        <w:t>和烟尘。</w:t>
      </w:r>
      <w:r>
        <w:rPr>
          <w:rFonts w:ascii="Times New Roman" w:hAnsi="Times New Roman"/>
          <w:sz w:val="24"/>
        </w:rPr>
        <w:t>2</w:t>
      </w:r>
      <w:r>
        <w:rPr>
          <w:rFonts w:ascii="Times New Roman" w:hAnsi="Times New Roman"/>
          <w:sz w:val="24"/>
        </w:rPr>
        <w:t>台加热炉燃烧产生的烟气分别由</w:t>
      </w:r>
      <w:r>
        <w:rPr>
          <w:rFonts w:ascii="Times New Roman" w:hAnsi="Times New Roman"/>
          <w:sz w:val="24"/>
        </w:rPr>
        <w:t>2</w:t>
      </w:r>
      <w:r>
        <w:rPr>
          <w:rFonts w:ascii="Times New Roman" w:hAnsi="Times New Roman"/>
          <w:sz w:val="24"/>
        </w:rPr>
        <w:t>个高为</w:t>
      </w:r>
      <w:r>
        <w:rPr>
          <w:rFonts w:ascii="Times New Roman" w:hAnsi="Times New Roman"/>
          <w:sz w:val="24"/>
        </w:rPr>
        <w:t>34m</w:t>
      </w:r>
      <w:r>
        <w:rPr>
          <w:rFonts w:ascii="Times New Roman" w:hAnsi="Times New Roman"/>
          <w:sz w:val="24"/>
        </w:rPr>
        <w:t>的排气筒排放</w:t>
      </w:r>
      <w:r>
        <w:rPr>
          <w:rFonts w:ascii="Times New Roman" w:hAnsi="Times New Roman" w:hint="eastAsia"/>
          <w:sz w:val="24"/>
        </w:rPr>
        <w:t>，排放口</w:t>
      </w:r>
      <w:r>
        <w:rPr>
          <w:rFonts w:ascii="Times New Roman" w:hAnsi="Times New Roman"/>
          <w:sz w:val="24"/>
        </w:rPr>
        <w:t>安装</w:t>
      </w:r>
      <w:r>
        <w:rPr>
          <w:rFonts w:ascii="Times New Roman" w:hAnsi="Times New Roman"/>
          <w:sz w:val="24"/>
        </w:rPr>
        <w:t>DY-FG200</w:t>
      </w:r>
      <w:r>
        <w:rPr>
          <w:rFonts w:ascii="Times New Roman" w:hAnsi="Times New Roman"/>
          <w:sz w:val="24"/>
        </w:rPr>
        <w:t>系统烟气排放连续监测系统。</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储罐及装载的挥发性有机物</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根据现场勘查，现有工程汽车装卸</w:t>
      </w:r>
      <w:r>
        <w:rPr>
          <w:rFonts w:ascii="Times New Roman" w:hAnsi="Times New Roman" w:hint="eastAsia"/>
          <w:sz w:val="24"/>
        </w:rPr>
        <w:t>站台</w:t>
      </w:r>
      <w:r>
        <w:rPr>
          <w:rFonts w:ascii="Times New Roman" w:hAnsi="Times New Roman"/>
          <w:sz w:val="24"/>
        </w:rPr>
        <w:t>采取底部装载方式，且采取挥发性有机物收集后到</w:t>
      </w:r>
      <w:r>
        <w:rPr>
          <w:rFonts w:ascii="Times New Roman" w:hAnsi="Times New Roman"/>
          <w:sz w:val="24"/>
        </w:rPr>
        <w:t>2000m</w:t>
      </w:r>
      <w:r>
        <w:rPr>
          <w:rFonts w:ascii="Times New Roman" w:hAnsi="Times New Roman"/>
          <w:sz w:val="24"/>
          <w:vertAlign w:val="superscript"/>
        </w:rPr>
        <w:t>3</w:t>
      </w:r>
      <w:r>
        <w:rPr>
          <w:rFonts w:ascii="Times New Roman" w:hAnsi="Times New Roman"/>
          <w:sz w:val="24"/>
        </w:rPr>
        <w:t>/h</w:t>
      </w:r>
      <w:r>
        <w:rPr>
          <w:rFonts w:ascii="Times New Roman" w:hAnsi="Times New Roman"/>
          <w:sz w:val="24"/>
        </w:rPr>
        <w:t>油气回收装置处理其装车过程中挥发的油气。</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浮顶罐浮盘与罐壁之间采用双封式高效密封方式，</w:t>
      </w:r>
      <w:r>
        <w:rPr>
          <w:rFonts w:ascii="Times New Roman" w:hAnsi="Times New Roman"/>
          <w:sz w:val="24"/>
        </w:rPr>
        <w:t>9#--10#</w:t>
      </w:r>
      <w:r>
        <w:rPr>
          <w:rFonts w:ascii="Times New Roman" w:hAnsi="Times New Roman"/>
          <w:sz w:val="24"/>
        </w:rPr>
        <w:t>直馏石脑油罐、</w:t>
      </w:r>
      <w:r>
        <w:rPr>
          <w:rFonts w:ascii="Times New Roman" w:hAnsi="Times New Roman"/>
          <w:sz w:val="24"/>
        </w:rPr>
        <w:t>23#--26#</w:t>
      </w:r>
      <w:r>
        <w:rPr>
          <w:rFonts w:ascii="Times New Roman" w:hAnsi="Times New Roman"/>
          <w:sz w:val="24"/>
        </w:rPr>
        <w:t>直馏石脑油罐罐顶安装密闭排气系统至</w:t>
      </w:r>
      <w:r>
        <w:rPr>
          <w:rFonts w:ascii="Times New Roman" w:hAnsi="Times New Roman"/>
          <w:sz w:val="24"/>
        </w:rPr>
        <w:t>400m</w:t>
      </w:r>
      <w:r>
        <w:rPr>
          <w:rFonts w:ascii="Times New Roman" w:hAnsi="Times New Roman"/>
          <w:sz w:val="24"/>
          <w:vertAlign w:val="superscript"/>
        </w:rPr>
        <w:t>3</w:t>
      </w:r>
      <w:r>
        <w:rPr>
          <w:rFonts w:ascii="Times New Roman" w:hAnsi="Times New Roman"/>
          <w:sz w:val="24"/>
        </w:rPr>
        <w:t>/h</w:t>
      </w:r>
      <w:r>
        <w:rPr>
          <w:rFonts w:ascii="Times New Roman" w:hAnsi="Times New Roman"/>
          <w:sz w:val="24"/>
        </w:rPr>
        <w:t>油气回收处理装置。</w:t>
      </w:r>
      <w:r>
        <w:rPr>
          <w:rFonts w:ascii="Times New Roman" w:hAnsi="Times New Roman"/>
          <w:sz w:val="24"/>
        </w:rPr>
        <w:t>201#-208#</w:t>
      </w:r>
      <w:r>
        <w:rPr>
          <w:rFonts w:ascii="Times New Roman" w:hAnsi="Times New Roman"/>
          <w:sz w:val="24"/>
        </w:rPr>
        <w:t>储罐罐顶安装密闭排气系统至</w:t>
      </w:r>
      <w:r>
        <w:rPr>
          <w:rFonts w:ascii="Times New Roman" w:hAnsi="Times New Roman"/>
          <w:sz w:val="24"/>
        </w:rPr>
        <w:t>900m</w:t>
      </w:r>
      <w:r>
        <w:rPr>
          <w:rFonts w:ascii="Times New Roman" w:hAnsi="Times New Roman"/>
          <w:sz w:val="24"/>
          <w:vertAlign w:val="superscript"/>
        </w:rPr>
        <w:t>3</w:t>
      </w:r>
      <w:r>
        <w:rPr>
          <w:rFonts w:ascii="Times New Roman" w:hAnsi="Times New Roman"/>
          <w:sz w:val="24"/>
        </w:rPr>
        <w:t>/h</w:t>
      </w:r>
      <w:r>
        <w:rPr>
          <w:rFonts w:ascii="Times New Roman" w:hAnsi="Times New Roman"/>
          <w:sz w:val="24"/>
        </w:rPr>
        <w:t>油气回收处理装置。</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lastRenderedPageBreak/>
        <w:t>现有工程设置</w:t>
      </w:r>
      <w:r>
        <w:rPr>
          <w:rFonts w:ascii="Times New Roman" w:hAnsi="Times New Roman"/>
          <w:sz w:val="24"/>
        </w:rPr>
        <w:t>3</w:t>
      </w:r>
      <w:r>
        <w:rPr>
          <w:rFonts w:ascii="Times New Roman" w:hAnsi="Times New Roman"/>
          <w:sz w:val="24"/>
        </w:rPr>
        <w:t>套油气回收处理装置，油气回收处理装置采用</w:t>
      </w:r>
      <w:r>
        <w:rPr>
          <w:rFonts w:ascii="Times New Roman" w:hAnsi="Times New Roman"/>
          <w:sz w:val="24"/>
        </w:rPr>
        <w:t>“</w:t>
      </w:r>
      <w:r>
        <w:rPr>
          <w:rFonts w:ascii="Times New Roman" w:hAnsi="Times New Roman"/>
          <w:sz w:val="24"/>
        </w:rPr>
        <w:t>冷凝</w:t>
      </w:r>
      <w:r>
        <w:rPr>
          <w:rFonts w:ascii="Times New Roman" w:hAnsi="Times New Roman"/>
          <w:sz w:val="24"/>
        </w:rPr>
        <w:t>+</w:t>
      </w:r>
      <w:r>
        <w:rPr>
          <w:rFonts w:ascii="Times New Roman" w:hAnsi="Times New Roman"/>
          <w:sz w:val="24"/>
        </w:rPr>
        <w:t>活性炭吸附法处理</w:t>
      </w:r>
      <w:r>
        <w:rPr>
          <w:rFonts w:ascii="Times New Roman" w:hAnsi="Times New Roman"/>
          <w:sz w:val="24"/>
        </w:rPr>
        <w:t>”</w:t>
      </w:r>
      <w:r>
        <w:rPr>
          <w:rFonts w:ascii="Times New Roman" w:hAnsi="Times New Roman"/>
          <w:sz w:val="24"/>
        </w:rPr>
        <w:t>工艺，处理完的废气分别经</w:t>
      </w:r>
      <w:r>
        <w:rPr>
          <w:rFonts w:ascii="Times New Roman" w:hAnsi="Times New Roman"/>
          <w:sz w:val="24"/>
        </w:rPr>
        <w:t>3</w:t>
      </w:r>
      <w:r>
        <w:rPr>
          <w:rFonts w:ascii="Times New Roman" w:hAnsi="Times New Roman"/>
          <w:sz w:val="24"/>
        </w:rPr>
        <w:t>个</w:t>
      </w:r>
      <w:r>
        <w:rPr>
          <w:rFonts w:ascii="Times New Roman" w:hAnsi="Times New Roman"/>
          <w:sz w:val="24"/>
        </w:rPr>
        <w:t>15m</w:t>
      </w:r>
      <w:r>
        <w:rPr>
          <w:rFonts w:ascii="Times New Roman" w:hAnsi="Times New Roman"/>
          <w:sz w:val="24"/>
        </w:rPr>
        <w:t>高排气筒排放。</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贮煤、灰渣场逸散废气</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现有工程煤场、灰渣场设置有防风抑尘网，并采取定期洒水进行降尘。</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污水处理站臭气</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hint="eastAsia"/>
          <w:sz w:val="24"/>
        </w:rPr>
        <w:t>现有</w:t>
      </w:r>
      <w:r>
        <w:rPr>
          <w:rFonts w:ascii="Times New Roman" w:hAnsi="Times New Roman"/>
          <w:sz w:val="24"/>
        </w:rPr>
        <w:t>污水处理站的集水井、隔油池、中间水池、污油池、气浮池、厌氧、好氧池污泥浓缩池等有恶臭气体散发的处理设施加盖，采用封闭结构，设置抽气管道，将恶臭气体收集到生物滤床等除臭设备处理后通过</w:t>
      </w:r>
      <w:r>
        <w:rPr>
          <w:rFonts w:ascii="Times New Roman" w:hAnsi="Times New Roman"/>
          <w:sz w:val="24"/>
        </w:rPr>
        <w:t>15m</w:t>
      </w:r>
      <w:r>
        <w:rPr>
          <w:rFonts w:ascii="Times New Roman" w:hAnsi="Times New Roman"/>
          <w:sz w:val="24"/>
        </w:rPr>
        <w:t>高排气筒排放。</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非正常工况排气</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装置开停车的排放气</w:t>
      </w:r>
      <w:r>
        <w:rPr>
          <w:rFonts w:ascii="Times New Roman" w:hAnsi="Times New Roman" w:hint="eastAsia"/>
          <w:sz w:val="24"/>
        </w:rPr>
        <w:t>、</w:t>
      </w:r>
      <w:r>
        <w:rPr>
          <w:rFonts w:ascii="Times New Roman" w:hAnsi="Times New Roman"/>
          <w:sz w:val="24"/>
        </w:rPr>
        <w:t>装置正常生产时的调压气以及事故状态下的泄压气中的可燃气体和不可燃气体经</w:t>
      </w:r>
      <w:r>
        <w:rPr>
          <w:rFonts w:ascii="Times New Roman" w:hAnsi="Times New Roman"/>
          <w:sz w:val="24"/>
        </w:rPr>
        <w:t>110m</w:t>
      </w:r>
      <w:r>
        <w:rPr>
          <w:rFonts w:ascii="Times New Roman" w:hAnsi="Times New Roman"/>
          <w:sz w:val="24"/>
        </w:rPr>
        <w:t>高火炬燃烧后放空。</w:t>
      </w:r>
    </w:p>
    <w:p w:rsidR="00525419" w:rsidRDefault="00EE1CF7">
      <w:pPr>
        <w:adjustRightInd w:val="0"/>
        <w:snapToGrid w:val="0"/>
        <w:spacing w:line="360" w:lineRule="auto"/>
        <w:rPr>
          <w:rFonts w:ascii="Times New Roman" w:hAnsi="Times New Roman"/>
          <w:b/>
          <w:bCs/>
          <w:sz w:val="24"/>
        </w:rPr>
      </w:pPr>
      <w:r>
        <w:rPr>
          <w:rFonts w:ascii="Times New Roman" w:hAnsi="Times New Roman"/>
          <w:b/>
          <w:bCs/>
          <w:sz w:val="24"/>
        </w:rPr>
        <w:t>3.2.4.2</w:t>
      </w:r>
      <w:r>
        <w:rPr>
          <w:rFonts w:ascii="Times New Roman" w:hAnsi="Times New Roman"/>
          <w:b/>
          <w:bCs/>
          <w:sz w:val="24"/>
        </w:rPr>
        <w:t>废水</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装置塔顶油水分离排放的酸性废水先加</w:t>
      </w:r>
      <w:r>
        <w:rPr>
          <w:rFonts w:ascii="Times New Roman" w:hAnsi="Times New Roman"/>
          <w:sz w:val="24"/>
          <w:szCs w:val="24"/>
        </w:rPr>
        <w:t>NaOH</w:t>
      </w:r>
      <w:r>
        <w:rPr>
          <w:rFonts w:ascii="Times New Roman" w:hAnsi="Times New Roman"/>
          <w:sz w:val="24"/>
          <w:szCs w:val="24"/>
        </w:rPr>
        <w:t>在酸性水中和槽内进行中和，调节</w:t>
      </w:r>
      <w:r>
        <w:rPr>
          <w:rFonts w:ascii="Times New Roman" w:hAnsi="Times New Roman"/>
          <w:sz w:val="24"/>
          <w:szCs w:val="24"/>
        </w:rPr>
        <w:t>pH7-8</w:t>
      </w:r>
      <w:r>
        <w:rPr>
          <w:rFonts w:ascii="Times New Roman" w:hAnsi="Times New Roman"/>
          <w:sz w:val="24"/>
          <w:szCs w:val="24"/>
        </w:rPr>
        <w:t>后排入污水处理站处理，原料预处理装置电脱盐罐含油废水、生活污水、锅炉排水、循环水的排污水一同进入污水处理站处理达到《循环冷却水用再生水水质标准》（</w:t>
      </w:r>
      <w:r>
        <w:rPr>
          <w:rFonts w:ascii="Times New Roman" w:hAnsi="Times New Roman"/>
          <w:sz w:val="24"/>
          <w:szCs w:val="24"/>
        </w:rPr>
        <w:t>HJ/T3923-2007</w:t>
      </w:r>
      <w:r>
        <w:rPr>
          <w:rFonts w:ascii="Times New Roman" w:hAnsi="Times New Roman"/>
          <w:sz w:val="24"/>
          <w:szCs w:val="24"/>
        </w:rPr>
        <w:t>）后，作为循环水补水回用。</w:t>
      </w:r>
    </w:p>
    <w:p w:rsidR="00525419" w:rsidRDefault="00EE1CF7">
      <w:pPr>
        <w:adjustRightInd w:val="0"/>
        <w:snapToGrid w:val="0"/>
        <w:spacing w:line="360" w:lineRule="auto"/>
        <w:ind w:firstLineChars="200" w:firstLine="480"/>
        <w:rPr>
          <w:rFonts w:ascii="Times New Roman" w:hAnsi="Times New Roman"/>
        </w:rPr>
      </w:pPr>
      <w:r>
        <w:rPr>
          <w:rFonts w:ascii="Times New Roman" w:hAnsi="Times New Roman"/>
          <w:sz w:val="24"/>
          <w:szCs w:val="24"/>
        </w:rPr>
        <w:t>污水站的处理工艺采用预处理</w:t>
      </w:r>
      <w:r>
        <w:rPr>
          <w:rFonts w:ascii="Times New Roman" w:hAnsi="Times New Roman"/>
          <w:sz w:val="24"/>
          <w:szCs w:val="24"/>
        </w:rPr>
        <w:t xml:space="preserve">+A/O </w:t>
      </w:r>
      <w:r>
        <w:rPr>
          <w:rFonts w:ascii="Times New Roman" w:hAnsi="Times New Roman"/>
          <w:sz w:val="24"/>
          <w:szCs w:val="24"/>
        </w:rPr>
        <w:t>生化处理和</w:t>
      </w:r>
      <w:r>
        <w:rPr>
          <w:rFonts w:ascii="Times New Roman" w:hAnsi="Times New Roman"/>
          <w:sz w:val="24"/>
          <w:szCs w:val="24"/>
        </w:rPr>
        <w:t xml:space="preserve">BAF </w:t>
      </w:r>
      <w:r>
        <w:rPr>
          <w:rFonts w:ascii="Times New Roman" w:hAnsi="Times New Roman"/>
          <w:sz w:val="24"/>
          <w:szCs w:val="24"/>
        </w:rPr>
        <w:t>深度处理</w:t>
      </w:r>
      <w:r>
        <w:rPr>
          <w:rFonts w:ascii="Times New Roman" w:hAnsi="Times New Roman"/>
          <w:sz w:val="24"/>
          <w:szCs w:val="24"/>
        </w:rPr>
        <w:t>+</w:t>
      </w:r>
      <w:r>
        <w:rPr>
          <w:rFonts w:ascii="Times New Roman" w:hAnsi="Times New Roman"/>
          <w:sz w:val="24"/>
          <w:szCs w:val="24"/>
        </w:rPr>
        <w:t>超滤装置处理。</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rPr>
        <w:t>▲</w:t>
      </w:r>
      <w:r>
        <w:rPr>
          <w:rFonts w:ascii="Times New Roman" w:hAnsi="Times New Roman"/>
          <w:sz w:val="24"/>
          <w:szCs w:val="24"/>
        </w:rPr>
        <w:t>预处理工艺流程</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含油污水、锅炉排水、循环水的排污水由厂区自流先进入格栅渠，通过自动细格栅除污机去除生产废水中的固体废物，防止生产废水中的固体废物对后续污水处理系统单元的设备、管道造成损害。自动机械细格栅除污机去除的固体废物通过小推车运走与厂区固体废弃物集中处置。通过格栅渠处理后自流进入集水井</w:t>
      </w:r>
      <w:r>
        <w:rPr>
          <w:rFonts w:ascii="Times New Roman" w:hAnsi="Times New Roman"/>
          <w:sz w:val="24"/>
          <w:szCs w:val="24"/>
        </w:rPr>
        <w:t>I</w:t>
      </w:r>
      <w:r>
        <w:rPr>
          <w:rFonts w:ascii="Times New Roman" w:hAnsi="Times New Roman"/>
          <w:sz w:val="24"/>
          <w:szCs w:val="24"/>
        </w:rPr>
        <w:t>，自流进入组合式隔油池。隔油池的主要作用是完成对浮油的去除和泥水分离，隔油后污水自流进入中间水池，通过二级提升泵提升至调节罐。在调节罐内进行水质的均化和水量的调节，并通过旋流除油器完成对浮油的初步去除。调节后的废水通过调节罐出液阀控制流量均匀进入一、二级气浮池。一级气浮池采用加强型涡凹气浮，为了提高气浮效果，在一级气浮的入口端添加</w:t>
      </w:r>
      <w:r>
        <w:rPr>
          <w:rFonts w:ascii="Times New Roman" w:hAnsi="Times New Roman"/>
          <w:sz w:val="24"/>
          <w:szCs w:val="24"/>
        </w:rPr>
        <w:t>PAC</w:t>
      </w:r>
      <w:r>
        <w:rPr>
          <w:rFonts w:ascii="Times New Roman" w:hAnsi="Times New Roman"/>
          <w:sz w:val="24"/>
          <w:szCs w:val="24"/>
        </w:rPr>
        <w:t>和</w:t>
      </w:r>
      <w:r>
        <w:rPr>
          <w:rFonts w:ascii="Times New Roman" w:hAnsi="Times New Roman"/>
          <w:sz w:val="24"/>
          <w:szCs w:val="24"/>
        </w:rPr>
        <w:t>PAM</w:t>
      </w:r>
      <w:r>
        <w:rPr>
          <w:rFonts w:ascii="Times New Roman" w:hAnsi="Times New Roman"/>
          <w:sz w:val="24"/>
          <w:szCs w:val="24"/>
        </w:rPr>
        <w:t>药剂；二级气浮采用部分回流加压溶气气浮，在此完成对污水中的乳化油的去除。气浮出水自流进入生化处理单元进行生物降解。</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lastRenderedPageBreak/>
        <w:t>预处理工艺流程见图</w:t>
      </w:r>
      <w:r>
        <w:rPr>
          <w:rFonts w:ascii="Times New Roman" w:hAnsi="Times New Roman"/>
          <w:sz w:val="24"/>
          <w:szCs w:val="24"/>
        </w:rPr>
        <w:t>3.2-</w:t>
      </w:r>
      <w:r>
        <w:rPr>
          <w:rFonts w:ascii="Times New Roman" w:hAnsi="Times New Roman" w:hint="eastAsia"/>
          <w:sz w:val="24"/>
          <w:szCs w:val="24"/>
        </w:rPr>
        <w:t>2</w:t>
      </w:r>
      <w:r>
        <w:rPr>
          <w:rFonts w:ascii="Times New Roman" w:hAnsi="Times New Roman"/>
          <w:sz w:val="24"/>
          <w:szCs w:val="24"/>
        </w:rPr>
        <w:t>。</w:t>
      </w:r>
    </w:p>
    <w:p w:rsidR="00525419" w:rsidRDefault="007D0E8A">
      <w:pPr>
        <w:adjustRightInd w:val="0"/>
        <w:snapToGrid w:val="0"/>
        <w:spacing w:line="360" w:lineRule="auto"/>
        <w:ind w:firstLine="555"/>
        <w:rPr>
          <w:rFonts w:ascii="Times New Roman" w:hAnsi="Times New Roman"/>
          <w:sz w:val="24"/>
        </w:rPr>
      </w:pPr>
      <w:r>
        <w:rPr>
          <w:rFonts w:ascii="Times New Roman" w:hAnsi="Times New Roman"/>
          <w:sz w:val="24"/>
        </w:rPr>
        <w:pict>
          <v:group id="Group 1090" o:spid="_x0000_s1101" style="position:absolute;left:0;text-align:left;margin-left:15.55pt;margin-top:-8.3pt;width:382.5pt;height:151.95pt;z-index:251636224" coordorigin="2167,1421" coordsize="7650,3039">
            <v:shape id="Quad Arrow 1091" o:spid="_x0000_s1102" type="#_x0000_t202" style="position:absolute;left:2167;top:2003;width:3218;height:278" filled="f" stroked="f">
              <v:textbox inset="1.42pt,.85pt,1.42pt,.85pt">
                <w:txbxContent>
                  <w:p w:rsidR="00EE1CF7" w:rsidRDefault="00EE1CF7">
                    <w:r>
                      <w:rPr>
                        <w:rFonts w:hint="eastAsia"/>
                      </w:rPr>
                      <w:t>含油污水、锅炉排水、循环水排污等</w:t>
                    </w:r>
                  </w:p>
                </w:txbxContent>
              </v:textbox>
            </v:shape>
            <v:shape id="Quad Arrow 1092" o:spid="_x0000_s1103" type="#_x0000_t202" style="position:absolute;left:5923;top:2003;width:977;height:278">
              <v:textbox inset="1.42pt,0,1.42pt,0">
                <w:txbxContent>
                  <w:p w:rsidR="00EE1CF7" w:rsidRDefault="00EE1CF7">
                    <w:r>
                      <w:rPr>
                        <w:rFonts w:hint="eastAsia"/>
                      </w:rPr>
                      <w:t>机械格栅</w:t>
                    </w:r>
                  </w:p>
                </w:txbxContent>
              </v:textbox>
            </v:shape>
            <v:shape id="Straight Connector 1093" o:spid="_x0000_s1104" type="#_x0000_t32" style="position:absolute;left:5385;top:2166;width:538;height:0">
              <v:stroke endarrow="block"/>
            </v:shape>
            <v:shape id="Quad Arrow 1094" o:spid="_x0000_s1105" type="#_x0000_t202" style="position:absolute;left:6221;top:1699;width:536;height:278" filled="f" stroked="f">
              <v:textbox inset="1.42pt,.85pt,1.42pt,.85pt">
                <w:txbxContent>
                  <w:p w:rsidR="00EE1CF7" w:rsidRDefault="00EE1CF7">
                    <w:pPr>
                      <w:rPr>
                        <w:sz w:val="18"/>
                        <w:szCs w:val="18"/>
                      </w:rPr>
                    </w:pPr>
                    <w:r>
                      <w:rPr>
                        <w:rFonts w:hint="eastAsia"/>
                        <w:sz w:val="18"/>
                        <w:szCs w:val="18"/>
                      </w:rPr>
                      <w:t>栅渣</w:t>
                    </w:r>
                  </w:p>
                </w:txbxContent>
              </v:textbox>
            </v:shape>
            <v:shape id="Quad Arrow 1095" o:spid="_x0000_s1106" type="#_x0000_t202" style="position:absolute;left:6053;top:1421;width:847;height:278" filled="f" stroked="f">
              <v:textbox inset="1.42pt,.85pt,1.42pt,.85pt">
                <w:txbxContent>
                  <w:p w:rsidR="00EE1CF7" w:rsidRDefault="00EE1CF7">
                    <w:pPr>
                      <w:rPr>
                        <w:sz w:val="18"/>
                        <w:szCs w:val="18"/>
                      </w:rPr>
                    </w:pPr>
                    <w:r>
                      <w:rPr>
                        <w:rFonts w:hint="eastAsia"/>
                        <w:sz w:val="18"/>
                        <w:szCs w:val="18"/>
                      </w:rPr>
                      <w:t>栅渣外运</w:t>
                    </w:r>
                  </w:p>
                </w:txbxContent>
              </v:textbox>
            </v:shape>
            <v:shape id="Straight Connector 1096" o:spid="_x0000_s1107" type="#_x0000_t32" style="position:absolute;left:6900;top:2166;width:538;height:0">
              <v:stroke endarrow="block"/>
            </v:shape>
            <v:shape id="Quad Arrow 1097" o:spid="_x0000_s1108" type="#_x0000_t202" style="position:absolute;left:7438;top:2016;width:799;height:278">
              <v:textbox inset="1.42pt,0,1.42pt,0">
                <w:txbxContent>
                  <w:p w:rsidR="00EE1CF7" w:rsidRDefault="00EE1CF7">
                    <w:r>
                      <w:rPr>
                        <w:rFonts w:hint="eastAsia"/>
                      </w:rPr>
                      <w:t>集水井</w:t>
                    </w:r>
                  </w:p>
                </w:txbxContent>
              </v:textbox>
            </v:shape>
            <v:shape id="Straight Connector 1098" o:spid="_x0000_s1109" type="#_x0000_t32" style="position:absolute;left:8237;top:2166;width:538;height:0">
              <v:stroke endarrow="block"/>
            </v:shape>
            <v:shape id="Quad Arrow 1099" o:spid="_x0000_s1110" type="#_x0000_t202" style="position:absolute;left:8775;top:2016;width:799;height:278">
              <v:textbox inset="1.42pt,0,1.42pt,0">
                <w:txbxContent>
                  <w:p w:rsidR="00EE1CF7" w:rsidRDefault="00EE1CF7">
                    <w:r>
                      <w:rPr>
                        <w:rFonts w:hint="eastAsia"/>
                      </w:rPr>
                      <w:t>隔油池</w:t>
                    </w:r>
                  </w:p>
                </w:txbxContent>
              </v:textbox>
            </v:shape>
            <v:shape id="Straight Connector 1100" o:spid="_x0000_s1111" type="#_x0000_t32" style="position:absolute;left:9178;top:2294;width:0;height:448">
              <v:stroke endarrow="block"/>
            </v:shape>
            <v:shape id="Quad Arrow 1101" o:spid="_x0000_s1112" type="#_x0000_t202" style="position:absolute;left:8564;top:2742;width:1253;height:278">
              <v:textbox inset="1.42pt,0,1.42pt,0">
                <w:txbxContent>
                  <w:p w:rsidR="00EE1CF7" w:rsidRDefault="00EE1CF7">
                    <w:r>
                      <w:rPr>
                        <w:rFonts w:hint="eastAsia"/>
                      </w:rPr>
                      <w:t>中间水池</w:t>
                    </w:r>
                  </w:p>
                </w:txbxContent>
              </v:textbox>
            </v:shape>
            <v:shape id="Straight Connector 1102" o:spid="_x0000_s1113" type="#_x0000_t32" style="position:absolute;left:9178;top:3020;width:0;height:448">
              <v:stroke endarrow="block"/>
            </v:shape>
            <v:shape id="Quad Arrow 1103" o:spid="_x0000_s1114" type="#_x0000_t202" style="position:absolute;left:8564;top:3468;width:1253;height:278">
              <v:textbox inset="1.42pt,0,1.42pt,0">
                <w:txbxContent>
                  <w:p w:rsidR="00EE1CF7" w:rsidRDefault="00EE1CF7">
                    <w:r>
                      <w:rPr>
                        <w:rFonts w:hint="eastAsia"/>
                      </w:rPr>
                      <w:t>调节除油罐</w:t>
                    </w:r>
                  </w:p>
                </w:txbxContent>
              </v:textbox>
            </v:shape>
            <v:shape id="Straight Connector 1104" o:spid="_x0000_s1115" type="#_x0000_t32" style="position:absolute;left:7989;top:3619;width:575;height:0;flip:x">
              <v:stroke endarrow="block"/>
            </v:shape>
            <v:shape id="Quad Arrow 1105" o:spid="_x0000_s1116" type="#_x0000_t202" style="position:absolute;left:7015;top:3468;width:974;height:278">
              <v:textbox inset="1.42pt,0,1.42pt,0">
                <w:txbxContent>
                  <w:p w:rsidR="00EE1CF7" w:rsidRDefault="00EE1CF7">
                    <w:pPr>
                      <w:rPr>
                        <w:szCs w:val="21"/>
                      </w:rPr>
                    </w:pPr>
                    <w:r>
                      <w:rPr>
                        <w:rFonts w:ascii="宋体" w:hAnsi="宋体" w:hint="eastAsia"/>
                        <w:szCs w:val="21"/>
                      </w:rPr>
                      <w:t>涡凹气浮</w:t>
                    </w:r>
                  </w:p>
                </w:txbxContent>
              </v:textbox>
            </v:shape>
            <v:shape id="Straight Connector 1106" o:spid="_x0000_s1117" type="#_x0000_t32" style="position:absolute;left:6436;top:1628;width:0;height:375;flip:y">
              <v:stroke endarrow="block"/>
            </v:shape>
            <v:shape id="Straight Connector 1107" o:spid="_x0000_s1118" type="#_x0000_t32" style="position:absolute;left:8064;top:2893;width:500;height:0;flip:x" stroked="f">
              <v:stroke endarrow="block"/>
            </v:shape>
            <v:shape id="Quad Arrow 1108" o:spid="_x0000_s1119" type="#_x0000_t202" style="position:absolute;left:7350;top:2765;width:714;height:278">
              <v:textbox inset="1.42pt,0,1.42pt,0">
                <w:txbxContent>
                  <w:p w:rsidR="00EE1CF7" w:rsidRDefault="00EE1CF7">
                    <w:r>
                      <w:rPr>
                        <w:rFonts w:hint="eastAsia"/>
                      </w:rPr>
                      <w:t>污油池</w:t>
                    </w:r>
                  </w:p>
                </w:txbxContent>
              </v:textbox>
            </v:shape>
            <v:shape id="Straight Connector 1109" o:spid="_x0000_s1120" type="#_x0000_t32" style="position:absolute;left:6837;top:2893;width:500;height:0;flip:x">
              <v:stroke endarrow="block"/>
            </v:shape>
            <v:shape id="Quad Arrow 1110" o:spid="_x0000_s1121" type="#_x0000_t202" style="position:absolute;left:5727;top:2751;width:1173;height:278" filled="f" stroked="f">
              <v:textbox inset="1.42pt,.85pt,1.42pt,.85pt">
                <w:txbxContent>
                  <w:p w:rsidR="00EE1CF7" w:rsidRDefault="00EE1CF7">
                    <w:r>
                      <w:rPr>
                        <w:rFonts w:hint="eastAsia"/>
                      </w:rPr>
                      <w:t>厂区污油罐</w:t>
                    </w:r>
                  </w:p>
                </w:txbxContent>
              </v:textbox>
            </v:shape>
            <v:shape id="Quad Arrow 1111" o:spid="_x0000_s1122" type="#_x0000_t202" style="position:absolute;left:8138;top:2664;width:237;height:278;mso-wrap-style:none" filled="f" stroked="f">
              <v:textbox inset="1.42pt,.85pt,1.42pt,.85pt">
                <w:txbxContent>
                  <w:p w:rsidR="00EE1CF7" w:rsidRDefault="00EE1CF7"/>
                </w:txbxContent>
              </v:textbox>
            </v:shape>
            <v:shape id="Straight Connector 1112" o:spid="_x0000_s1123" type="#_x0000_t32" style="position:absolute;left:8775;top:3293;width:0;height:175;flip:y"/>
            <v:shape id="Straight Connector 1113" o:spid="_x0000_s1124" type="#_x0000_t32" style="position:absolute;left:7901;top:3293;width:874;height:0;flip:x"/>
            <v:shape id="Straight Connector 1114" o:spid="_x0000_s1125" type="#_x0000_t32" style="position:absolute;left:7901;top:3043;width:0;height:250;flip:y">
              <v:stroke endarrow="block"/>
            </v:shape>
            <v:shape id="Quad Arrow 1115" o:spid="_x0000_s1126" type="#_x0000_t202" style="position:absolute;left:8138;top:3043;width:536;height:278" filled="f" stroked="f">
              <v:textbox inset="1.42pt,.85pt,1.42pt,.85pt">
                <w:txbxContent>
                  <w:p w:rsidR="00EE1CF7" w:rsidRDefault="00EE1CF7">
                    <w:pPr>
                      <w:rPr>
                        <w:sz w:val="18"/>
                        <w:szCs w:val="18"/>
                      </w:rPr>
                    </w:pPr>
                    <w:r>
                      <w:rPr>
                        <w:rFonts w:hint="eastAsia"/>
                        <w:sz w:val="18"/>
                        <w:szCs w:val="18"/>
                      </w:rPr>
                      <w:t>污油</w:t>
                    </w:r>
                  </w:p>
                </w:txbxContent>
              </v:textbox>
            </v:shape>
            <v:shape id="Straight Connector 1116" o:spid="_x0000_s1127" type="#_x0000_t32" style="position:absolute;left:6502;top:3619;width:500;height:0;flip:x">
              <v:stroke endarrow="block"/>
            </v:shape>
            <v:shape id="Quad Arrow 1117" o:spid="_x0000_s1128" type="#_x0000_t202" style="position:absolute;left:5528;top:3468;width:974;height:278">
              <v:textbox inset="1.42pt,0,1.42pt,0">
                <w:txbxContent>
                  <w:p w:rsidR="00EE1CF7" w:rsidRDefault="00EE1CF7">
                    <w:pPr>
                      <w:rPr>
                        <w:szCs w:val="21"/>
                      </w:rPr>
                    </w:pPr>
                    <w:r>
                      <w:rPr>
                        <w:rFonts w:ascii="宋体" w:hAnsi="宋体" w:hint="eastAsia"/>
                        <w:szCs w:val="21"/>
                      </w:rPr>
                      <w:t>溶气气浮</w:t>
                    </w:r>
                  </w:p>
                </w:txbxContent>
              </v:textbox>
            </v:shape>
            <v:shape id="Straight Connector 1118" o:spid="_x0000_s1129" type="#_x0000_t32" style="position:absolute;left:5028;top:3619;width:500;height:0;flip:x">
              <v:stroke endarrow="block"/>
            </v:shape>
            <v:shape id="Quad Arrow 1119" o:spid="_x0000_s1130" type="#_x0000_t202" style="position:absolute;left:3644;top:3468;width:1384;height:278" filled="f" stroked="f">
              <v:textbox inset="1.42pt,.85pt,1.42pt,.85pt">
                <w:txbxContent>
                  <w:p w:rsidR="00EE1CF7" w:rsidRDefault="00EE1CF7">
                    <w:r>
                      <w:rPr>
                        <w:rFonts w:hint="eastAsia"/>
                      </w:rPr>
                      <w:t>生化处理单元</w:t>
                    </w:r>
                  </w:p>
                </w:txbxContent>
              </v:textbox>
            </v:shape>
            <v:shape id="Quad Arrow 1120" o:spid="_x0000_s1131" type="#_x0000_t202" style="position:absolute;left:6254;top:4182;width:761;height:278">
              <v:textbox inset="1.42pt,0,1.42pt,0">
                <w:txbxContent>
                  <w:p w:rsidR="00EE1CF7" w:rsidRDefault="00EE1CF7">
                    <w:pPr>
                      <w:rPr>
                        <w:szCs w:val="21"/>
                      </w:rPr>
                    </w:pPr>
                    <w:r>
                      <w:rPr>
                        <w:rFonts w:ascii="宋体" w:hAnsi="宋体" w:hint="eastAsia"/>
                        <w:szCs w:val="21"/>
                      </w:rPr>
                      <w:t>浮渣池</w:t>
                    </w:r>
                  </w:p>
                </w:txbxContent>
              </v:textbox>
            </v:shape>
            <v:shape id="Straight Connector 1121" o:spid="_x0000_s1132" type="#_x0000_t32" style="position:absolute;left:6148;top:3746;width:0;height:183"/>
            <v:shape id="Straight Connector 1122" o:spid="_x0000_s1133" type="#_x0000_t32" style="position:absolute;left:6148;top:3929;width:1202;height:0"/>
            <v:shape id="Straight Connector 1123" o:spid="_x0000_s1134" type="#_x0000_t32" style="position:absolute;left:7350;top:3746;width:0;height:183"/>
            <v:shape id="Straight Connector 1124" o:spid="_x0000_s1135" type="#_x0000_t32" style="position:absolute;left:6662;top:3929;width:0;height:253">
              <v:stroke endarrow="block"/>
            </v:shape>
            <v:shape id="Quad Arrow 1125" o:spid="_x0000_s1136" type="#_x0000_t202" style="position:absolute;left:6221;top:3746;width:464;height:278" filled="f" stroked="f">
              <v:textbox inset="1.42pt,.85pt,1.42pt,.85pt">
                <w:txbxContent>
                  <w:p w:rsidR="00EE1CF7" w:rsidRDefault="00EE1CF7">
                    <w:pPr>
                      <w:rPr>
                        <w:sz w:val="18"/>
                        <w:szCs w:val="18"/>
                      </w:rPr>
                    </w:pPr>
                    <w:r>
                      <w:rPr>
                        <w:rFonts w:hint="eastAsia"/>
                        <w:sz w:val="18"/>
                        <w:szCs w:val="18"/>
                      </w:rPr>
                      <w:t>浮渣</w:t>
                    </w:r>
                  </w:p>
                </w:txbxContent>
              </v:textbox>
            </v:shape>
            <v:shape id="Quad Arrow 1126" o:spid="_x0000_s1137" type="#_x0000_t202" style="position:absolute;left:6873;top:3746;width:464;height:278" filled="f" stroked="f">
              <v:textbox inset="1.42pt,.85pt,1.42pt,.85pt">
                <w:txbxContent>
                  <w:p w:rsidR="00EE1CF7" w:rsidRDefault="00EE1CF7">
                    <w:pPr>
                      <w:rPr>
                        <w:sz w:val="18"/>
                        <w:szCs w:val="18"/>
                      </w:rPr>
                    </w:pPr>
                    <w:r>
                      <w:rPr>
                        <w:rFonts w:hint="eastAsia"/>
                        <w:sz w:val="18"/>
                        <w:szCs w:val="18"/>
                      </w:rPr>
                      <w:t>浮渣</w:t>
                    </w:r>
                  </w:p>
                </w:txbxContent>
              </v:textbox>
            </v:shape>
            <v:shape id="Straight Connector 1127" o:spid="_x0000_s1138" type="#_x0000_t32" style="position:absolute;left:7015;top:4321;width:511;height:12">
              <v:stroke endarrow="block"/>
            </v:shape>
            <v:shape id="Quad Arrow 1128" o:spid="_x0000_s1139" type="#_x0000_t202" style="position:absolute;left:7526;top:4182;width:847;height:278" filled="f" stroked="f">
              <v:textbox inset="1.42pt,.85pt,1.42pt,.85pt">
                <w:txbxContent>
                  <w:p w:rsidR="00EE1CF7" w:rsidRDefault="00EE1CF7">
                    <w:pPr>
                      <w:rPr>
                        <w:sz w:val="18"/>
                        <w:szCs w:val="18"/>
                      </w:rPr>
                    </w:pPr>
                    <w:r>
                      <w:rPr>
                        <w:rFonts w:hint="eastAsia"/>
                        <w:sz w:val="18"/>
                        <w:szCs w:val="18"/>
                      </w:rPr>
                      <w:t>资质单位</w:t>
                    </w:r>
                  </w:p>
                </w:txbxContent>
              </v:textbox>
            </v:shape>
          </v:group>
        </w:pict>
      </w:r>
    </w:p>
    <w:p w:rsidR="00525419" w:rsidRDefault="007D0E8A">
      <w:pPr>
        <w:tabs>
          <w:tab w:val="left" w:pos="1390"/>
        </w:tabs>
        <w:adjustRightInd w:val="0"/>
        <w:snapToGrid w:val="0"/>
        <w:spacing w:line="360" w:lineRule="auto"/>
        <w:ind w:firstLine="555"/>
        <w:rPr>
          <w:rFonts w:ascii="Times New Roman" w:hAnsi="Times New Roman"/>
          <w:sz w:val="24"/>
        </w:rPr>
      </w:pPr>
      <w:r>
        <w:rPr>
          <w:rFonts w:ascii="Times New Roman" w:hAnsi="Times New Roman"/>
          <w:sz w:val="24"/>
        </w:rPr>
        <w:pict>
          <v:shape id="_x0000_s1140" type="#_x0000_t202" style="position:absolute;left:0;text-align:left;margin-left:299.05pt;margin-top:12.55pt;width:38.7pt;height:20.4pt;z-index:251674112;mso-width-relative:page;mso-height-relative:page" filled="f" stroked="f" strokeweight="1.25pt">
            <v:textbox>
              <w:txbxContent>
                <w:p w:rsidR="00EE1CF7" w:rsidRDefault="00EE1CF7">
                  <w:pPr>
                    <w:rPr>
                      <w:sz w:val="18"/>
                      <w:szCs w:val="18"/>
                    </w:rPr>
                  </w:pPr>
                  <w:r>
                    <w:rPr>
                      <w:rFonts w:hint="eastAsia"/>
                      <w:sz w:val="18"/>
                      <w:szCs w:val="18"/>
                    </w:rPr>
                    <w:t>污油</w:t>
                  </w:r>
                </w:p>
              </w:txbxContent>
            </v:textbox>
          </v:shape>
        </w:pict>
      </w:r>
      <w:r>
        <w:rPr>
          <w:rFonts w:ascii="Times New Roman" w:hAnsi="Times New Roman"/>
          <w:sz w:val="24"/>
        </w:rPr>
        <w:pict>
          <v:line id="_x0000_s1141" style="position:absolute;left:0;text-align:left;z-index:251671040;mso-width-relative:page;mso-height-relative:page" from="360.05pt,14.5pt" to="360.1pt,23.2pt" filled="t" strokeweight=".5pt">
            <v:fill angle="90" type="gradient">
              <o:fill v:ext="view" type="gradientUnscaled"/>
            </v:fill>
          </v:line>
        </w:pict>
      </w:r>
      <w:r w:rsidR="00EE1CF7">
        <w:rPr>
          <w:rFonts w:ascii="Times New Roman" w:hAnsi="Times New Roman"/>
          <w:sz w:val="24"/>
        </w:rPr>
        <w:tab/>
      </w:r>
    </w:p>
    <w:p w:rsidR="00525419" w:rsidRDefault="007D0E8A">
      <w:pPr>
        <w:adjustRightInd w:val="0"/>
        <w:snapToGrid w:val="0"/>
        <w:spacing w:line="360" w:lineRule="auto"/>
        <w:ind w:firstLine="555"/>
        <w:rPr>
          <w:rFonts w:ascii="Times New Roman" w:hAnsi="Times New Roman"/>
          <w:sz w:val="24"/>
        </w:rPr>
      </w:pPr>
      <w:r>
        <w:rPr>
          <w:rFonts w:ascii="Times New Roman" w:hAnsi="Times New Roman"/>
          <w:sz w:val="24"/>
        </w:rPr>
        <w:pict>
          <v:line id="_x0000_s1142" style="position:absolute;left:0;text-align:left;z-index:251673088;mso-width-relative:page;mso-height-relative:page" from="299.65pt,3.4pt" to="300.1pt,14.7pt" filled="t" strokeweight="1.25pt">
            <v:fill angle="90" type="gradient">
              <o:fill v:ext="view" type="gradientUnscaled"/>
            </v:fill>
            <v:stroke endarrow="block"/>
          </v:line>
        </w:pict>
      </w:r>
      <w:r>
        <w:rPr>
          <w:rFonts w:ascii="Times New Roman" w:hAnsi="Times New Roman"/>
          <w:sz w:val="24"/>
        </w:rPr>
        <w:pict>
          <v:line id="_x0000_s1143" style="position:absolute;left:0;text-align:left;flip:y;z-index:251672064;mso-width-relative:page;mso-height-relative:page" from="299.1pt,2.6pt" to="360.05pt,3.55pt" filled="t" strokeweight=".5pt">
            <v:fill angle="90" type="gradient">
              <o:fill v:ext="view" type="gradientUnscaled"/>
            </v:fill>
          </v:line>
        </w:pict>
      </w:r>
    </w:p>
    <w:p w:rsidR="00525419" w:rsidRDefault="00525419">
      <w:pPr>
        <w:adjustRightInd w:val="0"/>
        <w:snapToGrid w:val="0"/>
        <w:spacing w:line="360" w:lineRule="auto"/>
        <w:ind w:firstLine="555"/>
        <w:rPr>
          <w:rFonts w:ascii="Times New Roman" w:hAnsi="Times New Roman"/>
          <w:sz w:val="24"/>
        </w:rPr>
      </w:pPr>
    </w:p>
    <w:p w:rsidR="00525419" w:rsidRDefault="00525419">
      <w:pPr>
        <w:adjustRightInd w:val="0"/>
        <w:snapToGrid w:val="0"/>
        <w:spacing w:line="360" w:lineRule="auto"/>
        <w:ind w:firstLine="555"/>
        <w:rPr>
          <w:rFonts w:ascii="Times New Roman" w:hAnsi="Times New Roman"/>
          <w:sz w:val="24"/>
        </w:rPr>
      </w:pPr>
    </w:p>
    <w:p w:rsidR="00525419" w:rsidRDefault="00525419">
      <w:pPr>
        <w:adjustRightInd w:val="0"/>
        <w:snapToGrid w:val="0"/>
        <w:spacing w:line="360" w:lineRule="auto"/>
        <w:ind w:firstLine="555"/>
        <w:rPr>
          <w:rFonts w:ascii="Times New Roman" w:hAnsi="Times New Roman"/>
          <w:sz w:val="24"/>
        </w:rPr>
      </w:pPr>
    </w:p>
    <w:p w:rsidR="00525419" w:rsidRDefault="00525419">
      <w:pPr>
        <w:adjustRightInd w:val="0"/>
        <w:snapToGrid w:val="0"/>
        <w:spacing w:line="360" w:lineRule="auto"/>
        <w:ind w:firstLine="555"/>
        <w:rPr>
          <w:rFonts w:ascii="Times New Roman" w:hAnsi="Times New Roman"/>
          <w:sz w:val="24"/>
        </w:rPr>
      </w:pPr>
    </w:p>
    <w:p w:rsidR="00525419" w:rsidRDefault="00525419">
      <w:pPr>
        <w:autoSpaceDE w:val="0"/>
        <w:autoSpaceDN w:val="0"/>
        <w:adjustRightInd w:val="0"/>
        <w:ind w:firstLineChars="850" w:firstLine="2048"/>
        <w:jc w:val="left"/>
        <w:rPr>
          <w:rFonts w:ascii="Times New Roman" w:hAnsi="Times New Roman"/>
          <w:b/>
          <w:kern w:val="0"/>
          <w:sz w:val="24"/>
        </w:rPr>
      </w:pPr>
    </w:p>
    <w:p w:rsidR="00525419" w:rsidRDefault="00EE1CF7">
      <w:pPr>
        <w:autoSpaceDE w:val="0"/>
        <w:autoSpaceDN w:val="0"/>
        <w:adjustRightInd w:val="0"/>
        <w:ind w:firstLineChars="850" w:firstLine="2048"/>
        <w:jc w:val="left"/>
        <w:rPr>
          <w:rFonts w:ascii="Times New Roman" w:hAnsi="Times New Roman"/>
          <w:b/>
          <w:kern w:val="0"/>
          <w:sz w:val="24"/>
        </w:rPr>
      </w:pPr>
      <w:r>
        <w:rPr>
          <w:rFonts w:ascii="Times New Roman" w:hAnsi="Times New Roman"/>
          <w:b/>
          <w:kern w:val="0"/>
          <w:sz w:val="24"/>
        </w:rPr>
        <w:t>图</w:t>
      </w:r>
      <w:r>
        <w:rPr>
          <w:rFonts w:ascii="Times New Roman" w:hAnsi="Times New Roman"/>
          <w:b/>
          <w:kern w:val="0"/>
          <w:sz w:val="24"/>
        </w:rPr>
        <w:t>3.2-</w:t>
      </w:r>
      <w:r>
        <w:rPr>
          <w:rFonts w:ascii="Times New Roman" w:hAnsi="Times New Roman" w:hint="eastAsia"/>
          <w:b/>
          <w:kern w:val="0"/>
          <w:sz w:val="24"/>
        </w:rPr>
        <w:t>2</w:t>
      </w:r>
      <w:r>
        <w:rPr>
          <w:rFonts w:ascii="Times New Roman" w:hAnsi="Times New Roman"/>
          <w:b/>
          <w:kern w:val="0"/>
          <w:sz w:val="24"/>
        </w:rPr>
        <w:t xml:space="preserve">       </w:t>
      </w:r>
      <w:r>
        <w:rPr>
          <w:rFonts w:ascii="Times New Roman" w:hAnsi="Times New Roman"/>
          <w:b/>
          <w:kern w:val="0"/>
          <w:sz w:val="24"/>
        </w:rPr>
        <w:t>预处理工艺流程图</w:t>
      </w:r>
    </w:p>
    <w:p w:rsidR="00525419" w:rsidRDefault="00525419">
      <w:pPr>
        <w:spacing w:line="360" w:lineRule="auto"/>
        <w:ind w:firstLineChars="200" w:firstLine="480"/>
        <w:rPr>
          <w:rFonts w:ascii="Times New Roman" w:hAnsi="Times New Roman"/>
          <w:sz w:val="24"/>
        </w:rPr>
      </w:pPr>
    </w:p>
    <w:p w:rsidR="00525419" w:rsidRDefault="00EE1CF7">
      <w:pPr>
        <w:spacing w:line="360" w:lineRule="auto"/>
        <w:ind w:firstLineChars="200" w:firstLine="480"/>
        <w:rPr>
          <w:rFonts w:ascii="Times New Roman" w:hAnsi="Times New Roman"/>
          <w:kern w:val="0"/>
          <w:sz w:val="24"/>
          <w:szCs w:val="24"/>
        </w:rPr>
      </w:pPr>
      <w:r>
        <w:rPr>
          <w:rFonts w:ascii="Times New Roman" w:hAnsi="Times New Roman"/>
          <w:sz w:val="24"/>
        </w:rPr>
        <w:t>▲</w:t>
      </w:r>
      <w:r>
        <w:rPr>
          <w:rFonts w:ascii="Times New Roman" w:hAnsi="Times New Roman"/>
          <w:kern w:val="0"/>
          <w:sz w:val="24"/>
          <w:szCs w:val="24"/>
        </w:rPr>
        <w:t>生化处理单元工艺流程</w:t>
      </w:r>
    </w:p>
    <w:p w:rsidR="00525419" w:rsidRDefault="00EE1CF7">
      <w:pPr>
        <w:spacing w:line="360" w:lineRule="auto"/>
        <w:ind w:firstLineChars="200" w:firstLine="480"/>
        <w:rPr>
          <w:rFonts w:ascii="Times New Roman" w:hAnsi="Times New Roman"/>
          <w:kern w:val="0"/>
          <w:sz w:val="24"/>
          <w:szCs w:val="24"/>
        </w:rPr>
      </w:pPr>
      <w:r>
        <w:rPr>
          <w:rFonts w:ascii="Times New Roman" w:hAnsi="Times New Roman"/>
          <w:kern w:val="0"/>
          <w:sz w:val="24"/>
          <w:szCs w:val="24"/>
        </w:rPr>
        <w:t>预处理单元出水、生活污水（车辆拉运至此单元）首先进入缺氧池（</w:t>
      </w:r>
      <w:r>
        <w:rPr>
          <w:rFonts w:ascii="Times New Roman" w:hAnsi="Times New Roman"/>
          <w:kern w:val="0"/>
          <w:sz w:val="24"/>
          <w:szCs w:val="24"/>
        </w:rPr>
        <w:t>A</w:t>
      </w:r>
      <w:r>
        <w:rPr>
          <w:rFonts w:ascii="Times New Roman" w:hAnsi="Times New Roman"/>
          <w:kern w:val="0"/>
          <w:sz w:val="24"/>
          <w:szCs w:val="24"/>
        </w:rPr>
        <w:t>池），为了增加污水中的磷源，在</w:t>
      </w:r>
      <w:r>
        <w:rPr>
          <w:rFonts w:ascii="Times New Roman" w:hAnsi="Times New Roman"/>
          <w:kern w:val="0"/>
          <w:sz w:val="24"/>
          <w:szCs w:val="24"/>
        </w:rPr>
        <w:t>A</w:t>
      </w:r>
      <w:r>
        <w:rPr>
          <w:rFonts w:ascii="Times New Roman" w:hAnsi="Times New Roman"/>
          <w:kern w:val="0"/>
          <w:sz w:val="24"/>
          <w:szCs w:val="24"/>
        </w:rPr>
        <w:t>池入口端添加磷酸二氢钠药剂，在缺氧区</w:t>
      </w:r>
      <w:r>
        <w:rPr>
          <w:rFonts w:ascii="Times New Roman" w:hAnsi="Times New Roman"/>
          <w:kern w:val="0"/>
          <w:sz w:val="24"/>
          <w:szCs w:val="24"/>
        </w:rPr>
        <w:t>(A</w:t>
      </w:r>
      <w:r>
        <w:rPr>
          <w:rFonts w:ascii="Times New Roman" w:hAnsi="Times New Roman"/>
          <w:kern w:val="0"/>
          <w:sz w:val="24"/>
          <w:szCs w:val="24"/>
        </w:rPr>
        <w:t>池</w:t>
      </w:r>
      <w:r>
        <w:rPr>
          <w:rFonts w:ascii="Times New Roman" w:hAnsi="Times New Roman"/>
          <w:kern w:val="0"/>
          <w:sz w:val="24"/>
          <w:szCs w:val="24"/>
        </w:rPr>
        <w:t>)</w:t>
      </w:r>
      <w:r>
        <w:rPr>
          <w:rFonts w:ascii="Times New Roman" w:hAnsi="Times New Roman"/>
          <w:kern w:val="0"/>
          <w:sz w:val="24"/>
          <w:szCs w:val="24"/>
        </w:rPr>
        <w:t>污水中的难降解长链或环链有机物可以继续被分解成易于降解的短链或直链有机物，并且使得活性污泥经过缺氧的刺激，提高其生物活性和沉降性能；而后污水被推流进入好氧区</w:t>
      </w:r>
      <w:r>
        <w:rPr>
          <w:rFonts w:ascii="Times New Roman" w:hAnsi="Times New Roman"/>
          <w:kern w:val="0"/>
          <w:sz w:val="24"/>
          <w:szCs w:val="24"/>
        </w:rPr>
        <w:t>(O</w:t>
      </w:r>
      <w:r>
        <w:rPr>
          <w:rFonts w:ascii="Times New Roman" w:hAnsi="Times New Roman"/>
          <w:kern w:val="0"/>
          <w:sz w:val="24"/>
          <w:szCs w:val="24"/>
        </w:rPr>
        <w:t>池</w:t>
      </w:r>
      <w:r>
        <w:rPr>
          <w:rFonts w:ascii="Times New Roman" w:hAnsi="Times New Roman"/>
          <w:kern w:val="0"/>
          <w:sz w:val="24"/>
          <w:szCs w:val="24"/>
        </w:rPr>
        <w:t>)</w:t>
      </w:r>
      <w:r>
        <w:rPr>
          <w:rFonts w:ascii="Times New Roman" w:hAnsi="Times New Roman"/>
          <w:kern w:val="0"/>
          <w:sz w:val="24"/>
          <w:szCs w:val="24"/>
        </w:rPr>
        <w:t>，为了增加污水中的碱度，向污水中添加氢氧化钠或碳酸钠。使用微孔曝气装置进行充氧曝气，对好氧微生物进行供氧，以维持其生物代谢。在好氧区通过微生物的降解将</w:t>
      </w:r>
      <w:r>
        <w:rPr>
          <w:rFonts w:ascii="Times New Roman" w:hAnsi="Times New Roman"/>
          <w:kern w:val="0"/>
          <w:sz w:val="24"/>
          <w:szCs w:val="24"/>
        </w:rPr>
        <w:t>COD</w:t>
      </w:r>
      <w:r>
        <w:rPr>
          <w:rFonts w:ascii="Times New Roman" w:hAnsi="Times New Roman"/>
          <w:kern w:val="0"/>
          <w:sz w:val="24"/>
          <w:szCs w:val="24"/>
        </w:rPr>
        <w:t>氧化成</w:t>
      </w:r>
      <w:r>
        <w:rPr>
          <w:rFonts w:ascii="Times New Roman" w:hAnsi="Times New Roman"/>
          <w:kern w:val="0"/>
          <w:sz w:val="24"/>
          <w:szCs w:val="24"/>
        </w:rPr>
        <w:t>CO</w:t>
      </w:r>
      <w:r>
        <w:rPr>
          <w:rFonts w:ascii="Times New Roman" w:hAnsi="Times New Roman"/>
          <w:kern w:val="0"/>
          <w:sz w:val="24"/>
          <w:szCs w:val="24"/>
          <w:vertAlign w:val="subscript"/>
        </w:rPr>
        <w:t>2</w:t>
      </w:r>
      <w:r>
        <w:rPr>
          <w:rFonts w:ascii="Times New Roman" w:hAnsi="Times New Roman"/>
          <w:kern w:val="0"/>
          <w:sz w:val="24"/>
          <w:szCs w:val="24"/>
        </w:rPr>
        <w:t>和</w:t>
      </w:r>
      <w:r>
        <w:rPr>
          <w:rFonts w:ascii="Times New Roman" w:hAnsi="Times New Roman"/>
          <w:kern w:val="0"/>
          <w:sz w:val="24"/>
          <w:szCs w:val="24"/>
        </w:rPr>
        <w:t>H</w:t>
      </w:r>
      <w:r>
        <w:rPr>
          <w:rFonts w:ascii="Times New Roman" w:hAnsi="Times New Roman"/>
          <w:kern w:val="0"/>
          <w:sz w:val="24"/>
          <w:szCs w:val="24"/>
          <w:vertAlign w:val="subscript"/>
        </w:rPr>
        <w:t>2</w:t>
      </w:r>
      <w:r>
        <w:rPr>
          <w:rFonts w:ascii="Times New Roman" w:hAnsi="Times New Roman"/>
          <w:kern w:val="0"/>
          <w:sz w:val="24"/>
          <w:szCs w:val="24"/>
        </w:rPr>
        <w:t>O</w:t>
      </w:r>
      <w:r>
        <w:rPr>
          <w:rFonts w:ascii="Times New Roman" w:hAnsi="Times New Roman"/>
          <w:kern w:val="0"/>
          <w:sz w:val="24"/>
          <w:szCs w:val="24"/>
        </w:rPr>
        <w:t>，在氨化菌、亚硝酸菌和硝化菌作用下通过氨化和硝化作用将</w:t>
      </w:r>
      <w:r>
        <w:rPr>
          <w:rFonts w:ascii="Times New Roman" w:hAnsi="Times New Roman"/>
          <w:kern w:val="0"/>
          <w:sz w:val="24"/>
          <w:szCs w:val="24"/>
        </w:rPr>
        <w:t>NH</w:t>
      </w:r>
      <w:r>
        <w:rPr>
          <w:rFonts w:ascii="Times New Roman" w:hAnsi="Times New Roman"/>
          <w:kern w:val="0"/>
          <w:sz w:val="24"/>
          <w:szCs w:val="24"/>
          <w:vertAlign w:val="subscript"/>
        </w:rPr>
        <w:t>3</w:t>
      </w:r>
      <w:r>
        <w:rPr>
          <w:rFonts w:ascii="Times New Roman" w:hAnsi="Times New Roman"/>
          <w:kern w:val="0"/>
          <w:sz w:val="24"/>
          <w:szCs w:val="24"/>
        </w:rPr>
        <w:t>-N</w:t>
      </w:r>
      <w:r>
        <w:rPr>
          <w:rFonts w:ascii="Times New Roman" w:hAnsi="Times New Roman"/>
          <w:kern w:val="0"/>
          <w:sz w:val="24"/>
          <w:szCs w:val="24"/>
        </w:rPr>
        <w:t>等有机氨氮化合物氧化成</w:t>
      </w:r>
      <w:r>
        <w:rPr>
          <w:rFonts w:ascii="Times New Roman" w:hAnsi="Times New Roman"/>
          <w:kern w:val="0"/>
          <w:sz w:val="24"/>
          <w:szCs w:val="24"/>
        </w:rPr>
        <w:t>NO</w:t>
      </w:r>
      <w:r>
        <w:rPr>
          <w:rFonts w:ascii="Times New Roman" w:hAnsi="Times New Roman"/>
          <w:kern w:val="0"/>
          <w:sz w:val="24"/>
          <w:szCs w:val="24"/>
          <w:vertAlign w:val="subscript"/>
        </w:rPr>
        <w:t>2</w:t>
      </w:r>
      <w:r>
        <w:rPr>
          <w:rFonts w:ascii="Times New Roman" w:hAnsi="Times New Roman"/>
          <w:kern w:val="0"/>
          <w:sz w:val="24"/>
          <w:szCs w:val="24"/>
        </w:rPr>
        <w:t>-N</w:t>
      </w:r>
      <w:r>
        <w:rPr>
          <w:rFonts w:ascii="Times New Roman" w:hAnsi="Times New Roman"/>
          <w:kern w:val="0"/>
          <w:sz w:val="24"/>
          <w:szCs w:val="24"/>
        </w:rPr>
        <w:t>和</w:t>
      </w:r>
      <w:r>
        <w:rPr>
          <w:rFonts w:ascii="Times New Roman" w:hAnsi="Times New Roman"/>
          <w:kern w:val="0"/>
          <w:sz w:val="24"/>
          <w:szCs w:val="24"/>
        </w:rPr>
        <w:t>NO</w:t>
      </w:r>
      <w:r>
        <w:rPr>
          <w:rFonts w:ascii="Times New Roman" w:hAnsi="Times New Roman"/>
          <w:kern w:val="0"/>
          <w:sz w:val="24"/>
          <w:szCs w:val="24"/>
          <w:vertAlign w:val="subscript"/>
        </w:rPr>
        <w:t>3</w:t>
      </w:r>
      <w:r>
        <w:rPr>
          <w:rFonts w:ascii="Times New Roman" w:hAnsi="Times New Roman"/>
          <w:kern w:val="0"/>
          <w:sz w:val="24"/>
          <w:szCs w:val="24"/>
        </w:rPr>
        <w:t>-N</w:t>
      </w:r>
      <w:r>
        <w:rPr>
          <w:rFonts w:ascii="Times New Roman" w:hAnsi="Times New Roman"/>
          <w:kern w:val="0"/>
          <w:sz w:val="24"/>
          <w:szCs w:val="24"/>
        </w:rPr>
        <w:t>盐，经过硝化后的污水再提升回流到缺氧段（</w:t>
      </w:r>
      <w:r>
        <w:rPr>
          <w:rFonts w:ascii="Times New Roman" w:hAnsi="Times New Roman"/>
          <w:kern w:val="0"/>
          <w:sz w:val="24"/>
          <w:szCs w:val="24"/>
        </w:rPr>
        <w:t>A</w:t>
      </w:r>
      <w:r>
        <w:rPr>
          <w:rFonts w:ascii="Times New Roman" w:hAnsi="Times New Roman"/>
          <w:kern w:val="0"/>
          <w:sz w:val="24"/>
          <w:szCs w:val="24"/>
        </w:rPr>
        <w:t>池）进行反硝化，利用污泥中的反硝化菌，在缺氧条件下，将</w:t>
      </w:r>
      <w:r>
        <w:rPr>
          <w:rFonts w:ascii="Times New Roman" w:hAnsi="Times New Roman"/>
          <w:kern w:val="0"/>
          <w:sz w:val="24"/>
          <w:szCs w:val="24"/>
        </w:rPr>
        <w:t>NO</w:t>
      </w:r>
      <w:r>
        <w:rPr>
          <w:rFonts w:ascii="Times New Roman" w:hAnsi="Times New Roman"/>
          <w:kern w:val="0"/>
          <w:sz w:val="24"/>
          <w:szCs w:val="24"/>
          <w:vertAlign w:val="subscript"/>
        </w:rPr>
        <w:t>3</w:t>
      </w:r>
      <w:r>
        <w:rPr>
          <w:rFonts w:ascii="Times New Roman" w:hAnsi="Times New Roman"/>
          <w:kern w:val="0"/>
          <w:sz w:val="24"/>
          <w:szCs w:val="24"/>
        </w:rPr>
        <w:t>-N</w:t>
      </w:r>
      <w:r>
        <w:rPr>
          <w:rFonts w:ascii="Times New Roman" w:hAnsi="Times New Roman"/>
          <w:kern w:val="0"/>
          <w:sz w:val="24"/>
          <w:szCs w:val="24"/>
        </w:rPr>
        <w:t>还原为气态氮（</w:t>
      </w:r>
      <w:r>
        <w:rPr>
          <w:rFonts w:ascii="Times New Roman" w:hAnsi="Times New Roman"/>
          <w:kern w:val="0"/>
          <w:sz w:val="24"/>
          <w:szCs w:val="24"/>
        </w:rPr>
        <w:t>N</w:t>
      </w:r>
      <w:r>
        <w:rPr>
          <w:rFonts w:ascii="Times New Roman" w:hAnsi="Times New Roman"/>
          <w:kern w:val="0"/>
          <w:sz w:val="24"/>
          <w:szCs w:val="24"/>
          <w:vertAlign w:val="subscript"/>
        </w:rPr>
        <w:t>2</w:t>
      </w:r>
      <w:r>
        <w:rPr>
          <w:rFonts w:ascii="Times New Roman" w:hAnsi="Times New Roman"/>
          <w:kern w:val="0"/>
          <w:sz w:val="24"/>
          <w:szCs w:val="24"/>
        </w:rPr>
        <w:t>）释放以达到污水脱氮的功能。经好氧区（</w:t>
      </w:r>
      <w:r>
        <w:rPr>
          <w:rFonts w:ascii="Times New Roman" w:hAnsi="Times New Roman"/>
          <w:kern w:val="0"/>
          <w:sz w:val="24"/>
          <w:szCs w:val="24"/>
        </w:rPr>
        <w:t>O</w:t>
      </w:r>
      <w:r>
        <w:rPr>
          <w:rFonts w:ascii="Times New Roman" w:hAnsi="Times New Roman"/>
          <w:kern w:val="0"/>
          <w:sz w:val="24"/>
          <w:szCs w:val="24"/>
        </w:rPr>
        <w:t>池）处理后的污水进入二沉池进行泥水分离，经过泥水分离的污水自流进入二沉产水池并通过泵提升至深度处理单元。</w:t>
      </w:r>
    </w:p>
    <w:p w:rsidR="00525419" w:rsidRDefault="00EE1CF7">
      <w:pPr>
        <w:adjustRightInd w:val="0"/>
        <w:snapToGrid w:val="0"/>
        <w:spacing w:line="360" w:lineRule="auto"/>
        <w:ind w:firstLine="200"/>
        <w:rPr>
          <w:rFonts w:ascii="Times New Roman" w:hAnsi="Times New Roman"/>
          <w:sz w:val="24"/>
          <w:szCs w:val="24"/>
        </w:rPr>
      </w:pPr>
      <w:r>
        <w:rPr>
          <w:rFonts w:ascii="Times New Roman" w:hAnsi="Times New Roman"/>
          <w:kern w:val="0"/>
          <w:sz w:val="24"/>
          <w:szCs w:val="24"/>
        </w:rPr>
        <w:t xml:space="preserve">　　生化处理工艺流</w:t>
      </w:r>
      <w:r>
        <w:rPr>
          <w:rFonts w:ascii="Times New Roman" w:hAnsi="Times New Roman"/>
          <w:sz w:val="24"/>
          <w:szCs w:val="24"/>
        </w:rPr>
        <w:t>程见图</w:t>
      </w:r>
      <w:r>
        <w:rPr>
          <w:rFonts w:ascii="Times New Roman" w:hAnsi="Times New Roman"/>
          <w:sz w:val="24"/>
          <w:szCs w:val="24"/>
        </w:rPr>
        <w:t>3.2-</w:t>
      </w:r>
      <w:r>
        <w:rPr>
          <w:rFonts w:ascii="Times New Roman" w:hAnsi="Times New Roman" w:hint="eastAsia"/>
          <w:sz w:val="24"/>
          <w:szCs w:val="24"/>
        </w:rPr>
        <w:t>3</w:t>
      </w:r>
      <w:r>
        <w:rPr>
          <w:rFonts w:ascii="Times New Roman" w:hAnsi="Times New Roman"/>
          <w:sz w:val="24"/>
          <w:szCs w:val="24"/>
        </w:rPr>
        <w:t>。</w:t>
      </w:r>
    </w:p>
    <w:p w:rsidR="00525419" w:rsidRDefault="007D0E8A">
      <w:pPr>
        <w:adjustRightInd w:val="0"/>
        <w:snapToGrid w:val="0"/>
        <w:spacing w:line="360" w:lineRule="auto"/>
        <w:ind w:firstLine="555"/>
        <w:rPr>
          <w:rFonts w:ascii="Times New Roman" w:hAnsi="Times New Roman"/>
          <w:sz w:val="24"/>
        </w:rPr>
      </w:pPr>
      <w:r>
        <w:rPr>
          <w:rFonts w:ascii="Times New Roman" w:hAnsi="Times New Roman"/>
          <w:sz w:val="24"/>
        </w:rPr>
        <w:pict>
          <v:group id="Group 1129" o:spid="_x0000_s1144" style="position:absolute;left:0;text-align:left;margin-left:6.4pt;margin-top:1.65pt;width:390.6pt;height:109.2pt;z-index:251637248" coordorigin="2337,4404" coordsize="7812,2184">
            <v:shape id="Quad Arrow 1130" o:spid="_x0000_s1145" type="#_x0000_t202" style="position:absolute;left:3957;top:5274;width:237;height:312;mso-wrap-style:none" filled="f" stroked="f">
              <v:textbox inset="1.42pt,.85pt,1.42pt,.85pt">
                <w:txbxContent>
                  <w:p w:rsidR="00EE1CF7" w:rsidRDefault="00EE1CF7"/>
                </w:txbxContent>
              </v:textbox>
            </v:shape>
            <v:shape id="Quad Arrow 1131" o:spid="_x0000_s1146" type="#_x0000_t202" style="position:absolute;left:2337;top:5184;width:469;height:468;mso-wrap-style:none" filled="f" stroked="f">
              <v:textbox>
                <w:txbxContent>
                  <w:p w:rsidR="00EE1CF7" w:rsidRDefault="00EE1CF7"/>
                </w:txbxContent>
              </v:textbox>
            </v:shape>
            <v:line id="Line 1132" o:spid="_x0000_s1147" style="position:absolute" from="3597,5406" to="3957,5406" stroked="f"/>
            <v:line id="Line 1133" o:spid="_x0000_s1148" style="position:absolute" from="4317,4761" to="4317,5229" stroked="f"/>
            <v:shape id="Quad Arrow 1134" o:spid="_x0000_s1149" type="#_x0000_t202" style="position:absolute;left:4137;top:4479;width:237;height:468;mso-wrap-style:none" filled="f" stroked="f">
              <v:textbox inset="1.42pt,.85pt,1.42pt,.85pt">
                <w:txbxContent>
                  <w:p w:rsidR="00EE1CF7" w:rsidRDefault="00EE1CF7"/>
                </w:txbxContent>
              </v:textbox>
            </v:shape>
            <v:line id="Line 1135" o:spid="_x0000_s1150" style="position:absolute" from="4677,5430" to="5397,5430" stroked="f"/>
            <v:shape id="Quad Arrow 1136" o:spid="_x0000_s1151" type="#_x0000_t202" style="position:absolute;left:5397;top:5250;width:456;height:357;mso-wrap-style:none">
              <v:textbox inset="1.42pt,.85pt,1.42pt,.85pt">
                <w:txbxContent>
                  <w:p w:rsidR="00EE1CF7" w:rsidRDefault="00EE1CF7">
                    <w:r>
                      <w:rPr>
                        <w:rFonts w:hint="eastAsia"/>
                      </w:rPr>
                      <w:t>A</w:t>
                    </w:r>
                    <w:r>
                      <w:rPr>
                        <w:rFonts w:hint="eastAsia"/>
                      </w:rPr>
                      <w:t>池</w:t>
                    </w:r>
                  </w:p>
                </w:txbxContent>
              </v:textbox>
            </v:shape>
            <v:line id="Line 1137" o:spid="_x0000_s1152" style="position:absolute" from="5937,5436" to="6657,5436">
              <v:stroke endarrow="block"/>
            </v:line>
            <v:shape id="Quad Arrow 1138" o:spid="_x0000_s1153" type="#_x0000_t202" style="position:absolute;left:6657;top:5280;width:473;height:357;mso-wrap-style:none">
              <v:textbox inset="1.42pt,.85pt,1.42pt,.85pt">
                <w:txbxContent>
                  <w:p w:rsidR="00EE1CF7" w:rsidRDefault="00EE1CF7">
                    <w:r>
                      <w:rPr>
                        <w:rFonts w:hint="eastAsia"/>
                      </w:rPr>
                      <w:t>O</w:t>
                    </w:r>
                    <w:r>
                      <w:rPr>
                        <w:rFonts w:hint="eastAsia"/>
                      </w:rPr>
                      <w:t>池</w:t>
                    </w:r>
                  </w:p>
                </w:txbxContent>
              </v:textbox>
            </v:shape>
            <v:line id="Line 1139" o:spid="_x0000_s1154" style="position:absolute" from="7197,5466" to="7557,5466">
              <v:stroke endarrow="block"/>
            </v:line>
            <v:shape id="Quad Arrow 1140" o:spid="_x0000_s1155" type="#_x0000_t202" style="position:absolute;left:7557;top:5340;width:702;height:357;mso-wrap-style:none">
              <v:textbox inset="1.42pt,.85pt,1.42pt,.85pt">
                <w:txbxContent>
                  <w:p w:rsidR="00EE1CF7" w:rsidRDefault="00EE1CF7">
                    <w:r>
                      <w:rPr>
                        <w:rFonts w:hint="eastAsia"/>
                      </w:rPr>
                      <w:t>二沉池</w:t>
                    </w:r>
                  </w:p>
                </w:txbxContent>
              </v:textbox>
            </v:shape>
            <v:line id="Line 1141" o:spid="_x0000_s1156" style="position:absolute;flip:y" from="6837,4947" to="6837,5259"/>
            <v:line id="Line 1142" o:spid="_x0000_s1157" style="position:absolute;flip:x" from="5757,4953" to="6837,4953"/>
            <v:line id="Line 1143" o:spid="_x0000_s1158" style="position:absolute" from="5757,4962" to="5757,5274">
              <v:stroke endarrow="block"/>
            </v:line>
            <v:shape id="Quad Arrow 1144" o:spid="_x0000_s1159" type="#_x0000_t202" style="position:absolute;left:5937;top:4716;width:686;height:468;mso-wrap-style:none" filled="f" stroked="f">
              <v:textbox inset="1.42pt,.85pt,1.42pt,.85pt">
                <w:txbxContent>
                  <w:p w:rsidR="00EE1CF7" w:rsidRDefault="00EE1CF7">
                    <w:r>
                      <w:rPr>
                        <w:rFonts w:hint="eastAsia"/>
                      </w:rPr>
                      <w:t>混合液</w:t>
                    </w:r>
                  </w:p>
                </w:txbxContent>
              </v:textbox>
            </v:shape>
            <v:line id="Line 1145" o:spid="_x0000_s1160" style="position:absolute" from="7017,4671" to="7017,5295">
              <v:stroke endarrow="block"/>
            </v:line>
            <v:shape id="Quad Arrow 1146" o:spid="_x0000_s1161" type="#_x0000_t202" style="position:absolute;left:6297;top:4404;width:1309;height:468;mso-wrap-style:none" filled="f" stroked="f">
              <v:textbox inset="1.42pt,.85pt,1.42pt,.85pt">
                <w:txbxContent>
                  <w:p w:rsidR="00EE1CF7" w:rsidRDefault="00EE1CF7">
                    <w:r>
                      <w:rPr>
                        <w:rFonts w:hint="eastAsia"/>
                      </w:rPr>
                      <w:t>空气、</w:t>
                    </w:r>
                    <w:r>
                      <w:rPr>
                        <w:rFonts w:hint="eastAsia"/>
                      </w:rPr>
                      <w:t>Na</w:t>
                    </w:r>
                    <w:r>
                      <w:rPr>
                        <w:rFonts w:hint="eastAsia"/>
                        <w:vertAlign w:val="subscript"/>
                      </w:rPr>
                      <w:t>2</w:t>
                    </w:r>
                    <w:r>
                      <w:rPr>
                        <w:rFonts w:hint="eastAsia"/>
                      </w:rPr>
                      <w:t>CO</w:t>
                    </w:r>
                    <w:r>
                      <w:rPr>
                        <w:rFonts w:hint="eastAsia"/>
                        <w:vertAlign w:val="subscript"/>
                      </w:rPr>
                      <w:t>3</w:t>
                    </w:r>
                  </w:p>
                </w:txbxContent>
              </v:textbox>
            </v:shape>
            <v:line id="Line 1147" o:spid="_x0000_s1162" style="position:absolute" from="7737,5712" to="7737,6180">
              <v:stroke endarrow="block"/>
            </v:line>
            <v:line id="Line 1148" o:spid="_x0000_s1163" style="position:absolute;flip:x" from="4317,5964" to="7737,5964" stroked="f"/>
            <v:line id="Line 1149" o:spid="_x0000_s1164" style="position:absolute;flip:y" from="4317,5652" to="4317,5964" stroked="f"/>
            <v:shape id="Quad Arrow 1150" o:spid="_x0000_s1165" type="#_x0000_t202" style="position:absolute;left:5577;top:5652;width:237;height:312;mso-wrap-style:none" filled="f" stroked="f">
              <v:textbox inset="1.42pt,.85pt,1.42pt,.85pt">
                <w:txbxContent>
                  <w:p w:rsidR="00EE1CF7" w:rsidRDefault="00EE1CF7"/>
                </w:txbxContent>
              </v:textbox>
            </v:shape>
            <v:shape id="Quad Arrow 1151" o:spid="_x0000_s1166" type="#_x0000_t202" style="position:absolute;left:7107;top:6216;width:1122;height:312;mso-wrap-style:none">
              <v:textbox inset="1.42pt,.85pt,1.42pt,.85pt">
                <w:txbxContent>
                  <w:p w:rsidR="00EE1CF7" w:rsidRDefault="00EE1CF7">
                    <w:r>
                      <w:rPr>
                        <w:rFonts w:hint="eastAsia"/>
                      </w:rPr>
                      <w:t>污泥暂存池</w:t>
                    </w:r>
                  </w:p>
                </w:txbxContent>
              </v:textbox>
            </v:shape>
            <v:shape id="Quad Arrow 1152" o:spid="_x0000_s1167" type="#_x0000_t202" style="position:absolute;left:5097;top:6276;width:1122;height:312;mso-wrap-style:none">
              <v:textbox inset="1.42pt,.85pt,1.42pt,.85pt">
                <w:txbxContent>
                  <w:p w:rsidR="00EE1CF7" w:rsidRDefault="00EE1CF7">
                    <w:r>
                      <w:rPr>
                        <w:rFonts w:hint="eastAsia"/>
                      </w:rPr>
                      <w:t>污泥脱水机</w:t>
                    </w:r>
                  </w:p>
                </w:txbxContent>
              </v:textbox>
            </v:shape>
            <v:line id="Line 1153" o:spid="_x0000_s1168" style="position:absolute;flip:x" from="6357,6402" to="7077,6402">
              <v:stroke endarrow="block"/>
            </v:line>
            <v:line id="Line 1154" o:spid="_x0000_s1169" style="position:absolute;flip:x" from="4527,6432" to="5067,6432">
              <v:stroke endarrow="block"/>
            </v:line>
            <v:shape id="Quad Arrow 1155" o:spid="_x0000_s1170" type="#_x0000_t202" style="position:absolute;left:3597;top:6276;width:900;height:312;mso-wrap-style:none" filled="f" stroked="f">
              <v:textbox inset="1.42pt,.85pt,1.42pt,.85pt">
                <w:txbxContent>
                  <w:p w:rsidR="00EE1CF7" w:rsidRDefault="00EE1CF7">
                    <w:r>
                      <w:rPr>
                        <w:rFonts w:hint="eastAsia"/>
                      </w:rPr>
                      <w:t>污泥处运</w:t>
                    </w:r>
                  </w:p>
                </w:txbxContent>
              </v:textbox>
            </v:shape>
            <v:line id="Line 1156" o:spid="_x0000_s1171" style="position:absolute" from="8277,5496" to="9177,5496">
              <v:stroke endarrow="block"/>
            </v:line>
            <v:shape id="Quad Arrow 1157" o:spid="_x0000_s1172" type="#_x0000_t202" style="position:absolute;left:9177;top:5190;width:972;height:624;mso-wrap-style:none" filled="f">
              <v:textbox inset="1.42pt,.85pt,1.42pt,.85pt">
                <w:txbxContent>
                  <w:p w:rsidR="00EE1CF7" w:rsidRDefault="00EE1CF7">
                    <w:pPr>
                      <w:jc w:val="center"/>
                      <w:rPr>
                        <w:sz w:val="18"/>
                        <w:szCs w:val="18"/>
                      </w:rPr>
                    </w:pPr>
                    <w:r>
                      <w:rPr>
                        <w:rFonts w:hint="eastAsia"/>
                        <w:sz w:val="18"/>
                        <w:szCs w:val="18"/>
                      </w:rPr>
                      <w:t>二沉产水池</w:t>
                    </w:r>
                  </w:p>
                </w:txbxContent>
              </v:textbox>
            </v:shape>
            <v:shape id="Quad Arrow 1158" o:spid="_x0000_s1173" type="#_x0000_t202" style="position:absolute;left:8457;top:5184;width:476;height:468;mso-wrap-style:none" filled="f" stroked="f">
              <v:textbox inset="1.42pt,.85pt,1.42pt,.85pt">
                <w:txbxContent>
                  <w:p w:rsidR="00EE1CF7" w:rsidRDefault="00EE1CF7">
                    <w:r>
                      <w:rPr>
                        <w:rFonts w:hint="eastAsia"/>
                      </w:rPr>
                      <w:t>废水</w:t>
                    </w:r>
                  </w:p>
                </w:txbxContent>
              </v:textbox>
            </v:shape>
          </v:group>
        </w:pict>
      </w:r>
    </w:p>
    <w:p w:rsidR="00525419" w:rsidRDefault="007D0E8A">
      <w:pPr>
        <w:adjustRightInd w:val="0"/>
        <w:snapToGrid w:val="0"/>
        <w:spacing w:line="360" w:lineRule="auto"/>
        <w:ind w:firstLine="555"/>
        <w:rPr>
          <w:rFonts w:ascii="Times New Roman" w:hAnsi="Times New Roman"/>
          <w:sz w:val="24"/>
        </w:rPr>
      </w:pPr>
      <w:r>
        <w:rPr>
          <w:rFonts w:ascii="Times New Roman" w:hAnsi="Times New Roman"/>
          <w:sz w:val="24"/>
        </w:rPr>
        <w:pict>
          <v:shape id="_x0000_s1174" type="#_x0000_t202" style="position:absolute;left:0;text-align:left;margin-left:44.95pt;margin-top:20.55pt;width:70.15pt;height:50.5pt;z-index:251681280;mso-width-relative:page;mso-height-relative:page" filled="f" stroked="f" strokeweight="1.25pt">
            <v:textbox>
              <w:txbxContent>
                <w:p w:rsidR="00EE1CF7" w:rsidRDefault="00EE1CF7">
                  <w:r>
                    <w:rPr>
                      <w:rFonts w:hint="eastAsia"/>
                    </w:rPr>
                    <w:t>预处理出水、生活污水</w:t>
                  </w:r>
                </w:p>
              </w:txbxContent>
            </v:textbox>
          </v:shape>
        </w:pict>
      </w:r>
    </w:p>
    <w:p w:rsidR="00525419" w:rsidRDefault="007D0E8A">
      <w:pPr>
        <w:adjustRightInd w:val="0"/>
        <w:snapToGrid w:val="0"/>
        <w:spacing w:line="360" w:lineRule="auto"/>
        <w:ind w:firstLine="555"/>
        <w:rPr>
          <w:rFonts w:ascii="Times New Roman" w:hAnsi="Times New Roman"/>
          <w:sz w:val="24"/>
        </w:rPr>
      </w:pPr>
      <w:r>
        <w:rPr>
          <w:rFonts w:ascii="Times New Roman" w:hAnsi="Times New Roman"/>
          <w:sz w:val="24"/>
        </w:rPr>
        <w:pict>
          <v:line id="_x0000_s1175" style="position:absolute;left:0;text-align:left;flip:y;z-index:251677184;mso-width-relative:page;mso-height-relative:page" from="112.9pt,11.4pt" to="156.85pt,11.9pt" filled="t" strokeweight="1pt">
            <v:fill angle="90" type="gradient">
              <o:fill v:ext="view" type="gradientUnscaled"/>
            </v:fill>
            <v:stroke endarrow="block"/>
          </v:line>
        </w:pict>
      </w:r>
    </w:p>
    <w:p w:rsidR="00525419" w:rsidRDefault="007D0E8A">
      <w:pPr>
        <w:adjustRightInd w:val="0"/>
        <w:snapToGrid w:val="0"/>
        <w:spacing w:line="360" w:lineRule="auto"/>
        <w:ind w:firstLine="555"/>
        <w:rPr>
          <w:rFonts w:ascii="Times New Roman" w:hAnsi="Times New Roman"/>
          <w:sz w:val="24"/>
        </w:rPr>
      </w:pPr>
      <w:r>
        <w:rPr>
          <w:rFonts w:ascii="Times New Roman" w:hAnsi="Times New Roman"/>
          <w:sz w:val="24"/>
        </w:rPr>
        <w:pict>
          <v:shape id="_x0000_s1176" type="#_x0000_t202" style="position:absolute;left:0;text-align:left;margin-left:193.8pt;margin-top:6.1pt;width:41.85pt;height:22.85pt;z-index:251680256;mso-width-relative:page;mso-height-relative:page" filled="f" stroked="f" strokeweight="1.25pt">
            <v:textbox>
              <w:txbxContent>
                <w:p w:rsidR="00EE1CF7" w:rsidRDefault="00EE1CF7">
                  <w:r>
                    <w:rPr>
                      <w:rFonts w:hint="eastAsia"/>
                    </w:rPr>
                    <w:t>污泥</w:t>
                  </w:r>
                </w:p>
              </w:txbxContent>
            </v:textbox>
          </v:shape>
        </w:pict>
      </w:r>
      <w:r>
        <w:rPr>
          <w:rFonts w:ascii="Times New Roman" w:hAnsi="Times New Roman"/>
          <w:sz w:val="24"/>
        </w:rPr>
        <w:pict>
          <v:line id="_x0000_s1177" style="position:absolute;left:0;text-align:left;z-index:251675136;mso-width-relative:page;mso-height-relative:page" from="371.15pt,11.65pt" to="371.2pt,30.9pt" filled="t" strokeweight="1pt">
            <v:fill angle="90" type="gradient">
              <o:fill v:ext="view" type="gradientUnscaled"/>
            </v:fill>
            <v:stroke endarrow="block"/>
          </v:line>
        </w:pict>
      </w:r>
      <w:r>
        <w:rPr>
          <w:rFonts w:ascii="Times New Roman" w:hAnsi="Times New Roman"/>
          <w:sz w:val="24"/>
        </w:rPr>
        <w:pict>
          <v:line id="_x0000_s1178" style="position:absolute;left:0;text-align:left;flip:y;z-index:251679232;mso-width-relative:page;mso-height-relative:page" from="175.1pt,5.5pt" to="175.15pt,21.05pt" filled="t" strokeweight="1pt">
            <v:fill angle="90" type="gradient">
              <o:fill v:ext="view" type="gradientUnscaled"/>
            </v:fill>
            <v:stroke endarrow="block"/>
          </v:line>
        </w:pict>
      </w:r>
    </w:p>
    <w:p w:rsidR="00525419" w:rsidRDefault="007D0E8A">
      <w:pPr>
        <w:adjustRightInd w:val="0"/>
        <w:snapToGrid w:val="0"/>
        <w:spacing w:line="360" w:lineRule="auto"/>
        <w:ind w:firstLine="555"/>
        <w:rPr>
          <w:rFonts w:ascii="Times New Roman" w:hAnsi="Times New Roman"/>
          <w:sz w:val="24"/>
        </w:rPr>
      </w:pPr>
      <w:r>
        <w:rPr>
          <w:rFonts w:ascii="Times New Roman" w:hAnsi="Times New Roman"/>
          <w:sz w:val="24"/>
        </w:rPr>
        <w:pict>
          <v:shape id="_x0000_s1179" type="#_x0000_t202" style="position:absolute;left:0;text-align:left;margin-left:346.5pt;margin-top:9.95pt;width:53.6pt;height:37.5pt;z-index:251676160;mso-width-relative:page;mso-height-relative:page" filled="f" stroked="f" strokeweight="1.25pt">
            <v:textbox>
              <w:txbxContent>
                <w:p w:rsidR="00EE1CF7" w:rsidRDefault="00EE1CF7">
                  <w:pPr>
                    <w:rPr>
                      <w:sz w:val="18"/>
                      <w:szCs w:val="18"/>
                    </w:rPr>
                  </w:pPr>
                  <w:r>
                    <w:rPr>
                      <w:rFonts w:hint="eastAsia"/>
                      <w:sz w:val="18"/>
                      <w:szCs w:val="18"/>
                    </w:rPr>
                    <w:t>深度处理单元</w:t>
                  </w:r>
                </w:p>
              </w:txbxContent>
            </v:textbox>
          </v:shape>
        </w:pict>
      </w:r>
      <w:r>
        <w:rPr>
          <w:rFonts w:ascii="Times New Roman" w:hAnsi="Times New Roman"/>
          <w:sz w:val="24"/>
        </w:rPr>
        <w:pict>
          <v:line id="_x0000_s1180" style="position:absolute;left:0;text-align:left;flip:y;z-index:251678208;mso-width-relative:page;mso-height-relative:page" from="175.1pt,.3pt" to="275.3pt,.4pt" filled="t" strokeweight="1pt">
            <v:fill angle="90" type="gradient">
              <o:fill v:ext="view" type="gradientUnscaled"/>
            </v:fill>
          </v:line>
        </w:pict>
      </w:r>
    </w:p>
    <w:p w:rsidR="00525419" w:rsidRDefault="00525419">
      <w:pPr>
        <w:adjustRightInd w:val="0"/>
        <w:snapToGrid w:val="0"/>
        <w:spacing w:line="360" w:lineRule="auto"/>
        <w:ind w:firstLine="555"/>
        <w:rPr>
          <w:rFonts w:ascii="Times New Roman" w:hAnsi="Times New Roman"/>
          <w:sz w:val="24"/>
        </w:rPr>
      </w:pPr>
    </w:p>
    <w:p w:rsidR="00525419" w:rsidRDefault="00EE1CF7">
      <w:pPr>
        <w:autoSpaceDE w:val="0"/>
        <w:autoSpaceDN w:val="0"/>
        <w:adjustRightInd w:val="0"/>
        <w:ind w:firstLineChars="800" w:firstLine="1928"/>
        <w:jc w:val="left"/>
        <w:rPr>
          <w:rFonts w:ascii="Times New Roman" w:hAnsi="Times New Roman"/>
          <w:b/>
          <w:kern w:val="0"/>
          <w:sz w:val="24"/>
        </w:rPr>
      </w:pPr>
      <w:r>
        <w:rPr>
          <w:rFonts w:ascii="Times New Roman" w:hAnsi="Times New Roman"/>
          <w:b/>
          <w:kern w:val="0"/>
          <w:sz w:val="24"/>
        </w:rPr>
        <w:t>图</w:t>
      </w:r>
      <w:r>
        <w:rPr>
          <w:rFonts w:ascii="Times New Roman" w:hAnsi="Times New Roman"/>
          <w:b/>
          <w:kern w:val="0"/>
          <w:sz w:val="24"/>
        </w:rPr>
        <w:t>3.2-</w:t>
      </w:r>
      <w:r>
        <w:rPr>
          <w:rFonts w:ascii="Times New Roman" w:hAnsi="Times New Roman" w:hint="eastAsia"/>
          <w:b/>
          <w:kern w:val="0"/>
          <w:sz w:val="24"/>
        </w:rPr>
        <w:t>3</w:t>
      </w:r>
      <w:r>
        <w:rPr>
          <w:rFonts w:ascii="Times New Roman" w:hAnsi="Times New Roman"/>
          <w:b/>
          <w:kern w:val="0"/>
          <w:sz w:val="24"/>
        </w:rPr>
        <w:t xml:space="preserve">  </w:t>
      </w:r>
      <w:r>
        <w:rPr>
          <w:rFonts w:ascii="Times New Roman" w:hAnsi="Times New Roman"/>
          <w:b/>
          <w:kern w:val="0"/>
          <w:sz w:val="24"/>
        </w:rPr>
        <w:t>生化处理工艺流程图</w:t>
      </w:r>
    </w:p>
    <w:p w:rsidR="00525419" w:rsidRDefault="00EE1CF7">
      <w:pPr>
        <w:spacing w:line="360" w:lineRule="auto"/>
        <w:ind w:firstLineChars="200" w:firstLine="480"/>
        <w:rPr>
          <w:rFonts w:ascii="Times New Roman" w:hAnsi="Times New Roman"/>
          <w:kern w:val="0"/>
          <w:sz w:val="24"/>
          <w:szCs w:val="24"/>
        </w:rPr>
      </w:pPr>
      <w:r>
        <w:rPr>
          <w:rFonts w:ascii="Times New Roman" w:hAnsi="Times New Roman"/>
          <w:sz w:val="24"/>
        </w:rPr>
        <w:lastRenderedPageBreak/>
        <w:t>▲</w:t>
      </w:r>
      <w:r>
        <w:rPr>
          <w:rFonts w:ascii="Times New Roman" w:hAnsi="Times New Roman"/>
          <w:kern w:val="0"/>
          <w:sz w:val="24"/>
          <w:szCs w:val="24"/>
        </w:rPr>
        <w:t>深度处理单元工艺流程</w:t>
      </w:r>
    </w:p>
    <w:p w:rsidR="00525419" w:rsidRDefault="00EE1CF7">
      <w:pPr>
        <w:spacing w:line="360" w:lineRule="auto"/>
        <w:ind w:firstLineChars="200" w:firstLine="480"/>
        <w:rPr>
          <w:rFonts w:ascii="Times New Roman" w:hAnsi="Times New Roman"/>
          <w:kern w:val="0"/>
          <w:sz w:val="24"/>
          <w:szCs w:val="24"/>
        </w:rPr>
      </w:pPr>
      <w:r>
        <w:rPr>
          <w:rFonts w:ascii="Times New Roman" w:hAnsi="Times New Roman"/>
          <w:kern w:val="0"/>
          <w:sz w:val="24"/>
          <w:szCs w:val="24"/>
        </w:rPr>
        <w:t>二沉池出水由泵提升至臭氧接触池，利用臭氧的强氧化作用，去除废水中难降解物质，以提高废水的可生化性，再经</w:t>
      </w:r>
      <w:r>
        <w:rPr>
          <w:rFonts w:ascii="Times New Roman" w:hAnsi="Times New Roman"/>
          <w:kern w:val="0"/>
          <w:sz w:val="24"/>
          <w:szCs w:val="24"/>
        </w:rPr>
        <w:t>BAF</w:t>
      </w:r>
      <w:r>
        <w:rPr>
          <w:rFonts w:ascii="Times New Roman" w:hAnsi="Times New Roman"/>
          <w:kern w:val="0"/>
          <w:sz w:val="24"/>
          <w:szCs w:val="24"/>
        </w:rPr>
        <w:t>池进一步去除废水中的有机污染物，</w:t>
      </w:r>
      <w:r>
        <w:rPr>
          <w:rFonts w:ascii="Times New Roman" w:hAnsi="Times New Roman"/>
          <w:kern w:val="0"/>
          <w:sz w:val="24"/>
          <w:szCs w:val="24"/>
        </w:rPr>
        <w:t>BAF</w:t>
      </w:r>
      <w:r>
        <w:rPr>
          <w:rFonts w:ascii="Times New Roman" w:hAnsi="Times New Roman"/>
          <w:kern w:val="0"/>
          <w:sz w:val="24"/>
          <w:szCs w:val="24"/>
        </w:rPr>
        <w:t>出水自流至砂滤池，以去除废水中的部分</w:t>
      </w:r>
      <w:r>
        <w:rPr>
          <w:rFonts w:ascii="Times New Roman" w:hAnsi="Times New Roman"/>
          <w:kern w:val="0"/>
          <w:sz w:val="24"/>
          <w:szCs w:val="24"/>
        </w:rPr>
        <w:t>SS</w:t>
      </w:r>
      <w:r>
        <w:rPr>
          <w:rFonts w:ascii="Times New Roman" w:hAnsi="Times New Roman"/>
          <w:kern w:val="0"/>
          <w:sz w:val="24"/>
          <w:szCs w:val="24"/>
        </w:rPr>
        <w:t>，砂滤池出水进入活性炭滤池，进一步去除废水当中的有机污染物、</w:t>
      </w:r>
      <w:r>
        <w:rPr>
          <w:rFonts w:ascii="Times New Roman" w:hAnsi="Times New Roman"/>
          <w:kern w:val="0"/>
          <w:sz w:val="24"/>
          <w:szCs w:val="24"/>
        </w:rPr>
        <w:t>SS</w:t>
      </w:r>
      <w:r>
        <w:rPr>
          <w:rFonts w:ascii="Times New Roman" w:hAnsi="Times New Roman"/>
          <w:kern w:val="0"/>
          <w:sz w:val="24"/>
          <w:szCs w:val="24"/>
        </w:rPr>
        <w:t>及异味。</w:t>
      </w:r>
    </w:p>
    <w:p w:rsidR="00525419" w:rsidRDefault="007D0E8A">
      <w:pPr>
        <w:spacing w:line="360" w:lineRule="auto"/>
        <w:ind w:firstLineChars="200" w:firstLine="480"/>
        <w:rPr>
          <w:rFonts w:ascii="Times New Roman" w:hAnsi="Times New Roman"/>
          <w:kern w:val="0"/>
          <w:sz w:val="24"/>
          <w:szCs w:val="24"/>
        </w:rPr>
      </w:pPr>
      <w:r>
        <w:rPr>
          <w:rFonts w:ascii="Times New Roman" w:hAnsi="Times New Roman"/>
          <w:kern w:val="0"/>
          <w:sz w:val="24"/>
          <w:szCs w:val="24"/>
        </w:rPr>
        <w:pict>
          <v:group id="Group 1159" o:spid="_x0000_s1181" style="position:absolute;left:0;text-align:left;margin-left:-51.85pt;margin-top:18.4pt;width:456.05pt;height:105.5pt;z-index:251638272" coordorigin="2127,2537" coordsize="7743,2067">
            <v:shape id="Quad Arrow 1160" o:spid="_x0000_s1182" type="#_x0000_t202" style="position:absolute;left:3915;top:3422;width:963;height:342" filled="f" stroked="f">
              <v:textbox inset="1.42pt,0,1.42pt,0">
                <w:txbxContent>
                  <w:p w:rsidR="00EE1CF7" w:rsidRDefault="00EE1CF7">
                    <w:r>
                      <w:rPr>
                        <w:rFonts w:hint="eastAsia"/>
                      </w:rPr>
                      <w:t>二沉池出水</w:t>
                    </w:r>
                  </w:p>
                </w:txbxContent>
              </v:textbox>
            </v:shape>
            <v:shape id="Quad Arrow 1161" o:spid="_x0000_s1183" type="#_x0000_t202" style="position:absolute;left:2127;top:3422;width:1106;height:342" filled="f" stroked="f">
              <v:textbox inset="1.42pt,0,1.42pt,0">
                <w:txbxContent>
                  <w:p w:rsidR="00EE1CF7" w:rsidRDefault="00EE1CF7"/>
                </w:txbxContent>
              </v:textbox>
            </v:shape>
            <v:shape id="Quad Arrow 1162" o:spid="_x0000_s1184" type="#_x0000_t202" style="position:absolute;left:5907;top:2537;width:2430;height:645" filled="f" stroked="f">
              <v:textbox inset="1.42pt,.85pt,1.42pt,.85pt">
                <w:txbxContent>
                  <w:p w:rsidR="00EE1CF7" w:rsidRDefault="00EE1CF7"/>
                </w:txbxContent>
              </v:textbox>
            </v:shape>
            <v:shape id="Straight Connector 1163" o:spid="_x0000_s1185" type="#_x0000_t32" style="position:absolute;left:4704;top:3559;width:666;height:14;flip:y">
              <v:stroke endarrow="block"/>
            </v:shape>
            <v:shape id="Straight Connector 1164" o:spid="_x0000_s1186" type="#_x0000_t32" style="position:absolute;left:4407;top:2852;width:1410;height:0" stroked="f"/>
            <v:shape id="Straight Connector 1165" o:spid="_x0000_s1187" type="#_x0000_t32" style="position:absolute;left:4878;top:3572;width:579;height:1;flip:y" stroked="f">
              <v:stroke endarrow="block"/>
            </v:shape>
            <v:shape id="Quad Arrow 1166" o:spid="_x0000_s1188" type="#_x0000_t202" style="position:absolute;left:5457;top:3422;width:1260;height:342" filled="f">
              <v:textbox inset="1.42pt,.85pt,1.42pt,.85pt">
                <w:txbxContent>
                  <w:p w:rsidR="00EE1CF7" w:rsidRDefault="00EE1CF7">
                    <w:r>
                      <w:rPr>
                        <w:rFonts w:hint="eastAsia"/>
                      </w:rPr>
                      <w:t>臭氧接触池</w:t>
                    </w:r>
                  </w:p>
                </w:txbxContent>
              </v:textbox>
            </v:shape>
            <v:shape id="Straight Connector 1167" o:spid="_x0000_s1189" type="#_x0000_t32" style="position:absolute;left:6717;top:3573;width:453;height:0">
              <v:stroke endarrow="block"/>
            </v:shape>
            <v:shape id="Quad Arrow 1168" o:spid="_x0000_s1190" type="#_x0000_t202" style="position:absolute;left:7170;top:3467;width:900;height:312" filled="f">
              <v:textbox inset="1.42pt,.85pt,1.42pt,.85pt">
                <w:txbxContent>
                  <w:p w:rsidR="00EE1CF7" w:rsidRDefault="00EE1CF7">
                    <w:r>
                      <w:rPr>
                        <w:rFonts w:hint="eastAsia"/>
                      </w:rPr>
                      <w:t>BAF</w:t>
                    </w:r>
                    <w:r>
                      <w:rPr>
                        <w:rFonts w:hint="eastAsia"/>
                      </w:rPr>
                      <w:t>池</w:t>
                    </w:r>
                  </w:p>
                </w:txbxContent>
              </v:textbox>
            </v:shape>
            <v:shape id="Straight Connector 1169" o:spid="_x0000_s1191" type="#_x0000_t32" style="position:absolute;left:8070;top:3633;width:645;height:0">
              <v:stroke endarrow="block"/>
            </v:shape>
            <v:shape id="Quad Arrow 1170" o:spid="_x0000_s1192" type="#_x0000_t202" style="position:absolute;left:8715;top:3467;width:900;height:312" filled="f">
              <v:textbox inset="1.42pt,.85pt,1.42pt,.85pt">
                <w:txbxContent>
                  <w:p w:rsidR="00EE1CF7" w:rsidRDefault="00EE1CF7">
                    <w:r>
                      <w:rPr>
                        <w:rFonts w:hint="eastAsia"/>
                      </w:rPr>
                      <w:t>砂滤池</w:t>
                    </w:r>
                  </w:p>
                </w:txbxContent>
              </v:textbox>
            </v:shape>
            <v:shape id="Straight Connector 1171" o:spid="_x0000_s1193" type="#_x0000_t32" style="position:absolute;left:9195;top:3779;width:0;height:483">
              <v:stroke endarrow="block"/>
            </v:shape>
            <v:shape id="Quad Arrow 1172" o:spid="_x0000_s1194" type="#_x0000_t202" style="position:absolute;left:8610;top:4247;width:1260;height:342" filled="f">
              <v:textbox inset="1.42pt,.85pt,1.42pt,.85pt">
                <w:txbxContent>
                  <w:p w:rsidR="00EE1CF7" w:rsidRDefault="00EE1CF7">
                    <w:r>
                      <w:rPr>
                        <w:rFonts w:hint="eastAsia"/>
                      </w:rPr>
                      <w:t>活性炭滤池</w:t>
                    </w:r>
                  </w:p>
                </w:txbxContent>
              </v:textbox>
            </v:shape>
            <v:shape id="Straight Connector 1173" o:spid="_x0000_s1195" type="#_x0000_t32" style="position:absolute;left:8070;top:4427;width:540;height:0;flip:x">
              <v:stroke endarrow="block"/>
            </v:shape>
            <v:shape id="Quad Arrow 1174" o:spid="_x0000_s1196" type="#_x0000_t202" style="position:absolute;left:7107;top:4262;width:963;height:342" filled="f">
              <v:textbox inset="1.42pt,.85pt,1.42pt,.85pt">
                <w:txbxContent>
                  <w:p w:rsidR="00EE1CF7" w:rsidRDefault="00EE1CF7">
                    <w:r>
                      <w:rPr>
                        <w:rFonts w:hint="eastAsia"/>
                      </w:rPr>
                      <w:t>滤后水池</w:t>
                    </w:r>
                  </w:p>
                </w:txbxContent>
              </v:textbox>
            </v:shape>
            <v:shape id="Straight Connector 1175" o:spid="_x0000_s1197" type="#_x0000_t32" style="position:absolute;left:6237;top:4427;width:870;height:0;flip:x">
              <v:stroke endarrow="block"/>
            </v:shape>
            <v:shape id="Quad Arrow 1176" o:spid="_x0000_s1198" type="#_x0000_t202" style="position:absolute;left:4617;top:4269;width:1620;height:320" filled="f" stroked="f">
              <v:textbox inset="1.42pt,.85pt,1.42pt,.85pt">
                <w:txbxContent>
                  <w:p w:rsidR="00EE1CF7" w:rsidRDefault="00EE1CF7">
                    <w:pPr>
                      <w:ind w:firstLineChars="300" w:firstLine="630"/>
                    </w:pPr>
                    <w:r>
                      <w:rPr>
                        <w:rFonts w:hint="eastAsia"/>
                      </w:rPr>
                      <w:t>超滤单元</w:t>
                    </w:r>
                  </w:p>
                </w:txbxContent>
              </v:textbox>
            </v:shape>
            <v:shape id="Straight Connector 1177" o:spid="_x0000_s1199" type="#_x0000_t32" style="position:absolute;left:4407;top:2852;width:0;height:570" stroked="f"/>
          </v:group>
        </w:pict>
      </w:r>
      <w:r w:rsidR="00EE1CF7">
        <w:rPr>
          <w:rFonts w:ascii="Times New Roman" w:hAnsi="Times New Roman"/>
          <w:kern w:val="0"/>
          <w:sz w:val="24"/>
          <w:szCs w:val="24"/>
        </w:rPr>
        <w:t>深度处理工艺流程见图</w:t>
      </w:r>
      <w:r w:rsidR="00EE1CF7">
        <w:rPr>
          <w:rFonts w:ascii="Times New Roman" w:hAnsi="Times New Roman"/>
          <w:kern w:val="0"/>
          <w:sz w:val="24"/>
          <w:szCs w:val="24"/>
        </w:rPr>
        <w:t>3.2-</w:t>
      </w:r>
      <w:r w:rsidR="00EE1CF7">
        <w:rPr>
          <w:rFonts w:ascii="Times New Roman" w:hAnsi="Times New Roman" w:hint="eastAsia"/>
          <w:kern w:val="0"/>
          <w:sz w:val="24"/>
          <w:szCs w:val="24"/>
        </w:rPr>
        <w:t>4</w:t>
      </w:r>
      <w:r w:rsidR="00EE1CF7">
        <w:rPr>
          <w:rFonts w:ascii="Times New Roman" w:hAnsi="Times New Roman"/>
          <w:kern w:val="0"/>
          <w:sz w:val="24"/>
          <w:szCs w:val="24"/>
        </w:rPr>
        <w:t>。</w:t>
      </w:r>
    </w:p>
    <w:p w:rsidR="00525419" w:rsidRDefault="00525419">
      <w:pPr>
        <w:spacing w:line="360" w:lineRule="auto"/>
        <w:ind w:firstLineChars="200" w:firstLine="480"/>
        <w:rPr>
          <w:rFonts w:ascii="Times New Roman" w:hAnsi="Times New Roman"/>
          <w:kern w:val="0"/>
          <w:sz w:val="24"/>
          <w:szCs w:val="24"/>
        </w:rPr>
      </w:pPr>
    </w:p>
    <w:p w:rsidR="00525419" w:rsidRDefault="00525419">
      <w:pPr>
        <w:spacing w:line="360" w:lineRule="auto"/>
        <w:ind w:firstLineChars="200" w:firstLine="480"/>
        <w:rPr>
          <w:rFonts w:ascii="Times New Roman" w:hAnsi="Times New Roman"/>
          <w:kern w:val="0"/>
          <w:sz w:val="24"/>
          <w:szCs w:val="24"/>
        </w:rPr>
      </w:pPr>
    </w:p>
    <w:p w:rsidR="00525419" w:rsidRDefault="00525419">
      <w:pPr>
        <w:spacing w:line="360" w:lineRule="auto"/>
        <w:ind w:firstLineChars="200" w:firstLine="480"/>
        <w:rPr>
          <w:rFonts w:ascii="Times New Roman" w:hAnsi="Times New Roman"/>
          <w:kern w:val="0"/>
          <w:sz w:val="24"/>
          <w:szCs w:val="24"/>
        </w:rPr>
      </w:pPr>
    </w:p>
    <w:p w:rsidR="00525419" w:rsidRDefault="00525419">
      <w:pPr>
        <w:spacing w:line="360" w:lineRule="auto"/>
        <w:ind w:firstLineChars="200" w:firstLine="480"/>
        <w:rPr>
          <w:rFonts w:ascii="Times New Roman" w:hAnsi="Times New Roman"/>
          <w:kern w:val="0"/>
          <w:sz w:val="24"/>
          <w:szCs w:val="24"/>
        </w:rPr>
      </w:pPr>
    </w:p>
    <w:p w:rsidR="00525419" w:rsidRDefault="00525419">
      <w:pPr>
        <w:spacing w:line="360" w:lineRule="auto"/>
        <w:ind w:firstLineChars="200" w:firstLine="480"/>
        <w:rPr>
          <w:rFonts w:ascii="Times New Roman" w:hAnsi="Times New Roman"/>
          <w:kern w:val="0"/>
          <w:sz w:val="24"/>
          <w:szCs w:val="24"/>
        </w:rPr>
      </w:pPr>
    </w:p>
    <w:p w:rsidR="00525419" w:rsidRDefault="00EE1CF7">
      <w:pPr>
        <w:autoSpaceDE w:val="0"/>
        <w:autoSpaceDN w:val="0"/>
        <w:adjustRightInd w:val="0"/>
        <w:ind w:firstLineChars="800" w:firstLine="1928"/>
        <w:jc w:val="left"/>
        <w:rPr>
          <w:rFonts w:ascii="Times New Roman" w:hAnsi="Times New Roman"/>
          <w:b/>
          <w:kern w:val="0"/>
          <w:sz w:val="24"/>
        </w:rPr>
      </w:pPr>
      <w:r>
        <w:rPr>
          <w:rFonts w:ascii="Times New Roman" w:hAnsi="Times New Roman"/>
          <w:b/>
          <w:kern w:val="0"/>
          <w:sz w:val="24"/>
        </w:rPr>
        <w:t>图</w:t>
      </w:r>
      <w:r>
        <w:rPr>
          <w:rFonts w:ascii="Times New Roman" w:hAnsi="Times New Roman"/>
          <w:b/>
          <w:kern w:val="0"/>
          <w:sz w:val="24"/>
        </w:rPr>
        <w:t>3.2-</w:t>
      </w:r>
      <w:r>
        <w:rPr>
          <w:rFonts w:ascii="Times New Roman" w:hAnsi="Times New Roman" w:hint="eastAsia"/>
          <w:b/>
          <w:kern w:val="0"/>
          <w:sz w:val="24"/>
        </w:rPr>
        <w:t>4</w:t>
      </w:r>
      <w:r>
        <w:rPr>
          <w:rFonts w:ascii="Times New Roman" w:hAnsi="Times New Roman"/>
          <w:b/>
          <w:kern w:val="0"/>
          <w:sz w:val="24"/>
        </w:rPr>
        <w:t xml:space="preserve">　　深度处理工艺流程图</w:t>
      </w:r>
    </w:p>
    <w:p w:rsidR="00525419" w:rsidRDefault="00EE1CF7">
      <w:pPr>
        <w:spacing w:line="360" w:lineRule="auto"/>
        <w:ind w:firstLineChars="200" w:firstLine="480"/>
        <w:rPr>
          <w:rFonts w:ascii="Times New Roman" w:hAnsi="Times New Roman"/>
          <w:kern w:val="0"/>
          <w:sz w:val="24"/>
          <w:szCs w:val="24"/>
        </w:rPr>
      </w:pPr>
      <w:r>
        <w:rPr>
          <w:rFonts w:ascii="Times New Roman" w:hAnsi="Times New Roman"/>
          <w:sz w:val="24"/>
        </w:rPr>
        <w:t>▲</w:t>
      </w:r>
      <w:r>
        <w:rPr>
          <w:rFonts w:ascii="Times New Roman" w:hAnsi="Times New Roman"/>
          <w:sz w:val="24"/>
        </w:rPr>
        <w:t>超滤装置</w:t>
      </w:r>
      <w:r>
        <w:rPr>
          <w:rFonts w:ascii="Times New Roman" w:hAnsi="Times New Roman"/>
          <w:kern w:val="0"/>
          <w:sz w:val="24"/>
          <w:szCs w:val="24"/>
        </w:rPr>
        <w:t>工艺流程</w:t>
      </w:r>
    </w:p>
    <w:p w:rsidR="00525419" w:rsidRDefault="00EE1CF7">
      <w:pPr>
        <w:spacing w:line="360" w:lineRule="auto"/>
        <w:ind w:firstLineChars="200" w:firstLine="480"/>
        <w:rPr>
          <w:rFonts w:ascii="Times New Roman" w:hAnsi="Times New Roman"/>
          <w:kern w:val="0"/>
          <w:sz w:val="24"/>
          <w:szCs w:val="24"/>
        </w:rPr>
      </w:pPr>
      <w:r>
        <w:rPr>
          <w:rFonts w:ascii="Times New Roman" w:hAnsi="Times New Roman"/>
          <w:kern w:val="0"/>
          <w:sz w:val="24"/>
          <w:szCs w:val="24"/>
        </w:rPr>
        <w:t>深度处理单元活性炭滤池出水进入超滤装置进行过滤，进一步降低水中杂质含量，出水进入回用水池，由回用水泵送至循环水装置。超滤处理单元共设置</w:t>
      </w:r>
      <w:r>
        <w:rPr>
          <w:rFonts w:ascii="Times New Roman" w:hAnsi="Times New Roman"/>
          <w:kern w:val="0"/>
          <w:sz w:val="24"/>
          <w:szCs w:val="24"/>
        </w:rPr>
        <w:t>2</w:t>
      </w:r>
      <w:r>
        <w:rPr>
          <w:rFonts w:ascii="Times New Roman" w:hAnsi="Times New Roman"/>
          <w:kern w:val="0"/>
          <w:sz w:val="24"/>
          <w:szCs w:val="24"/>
        </w:rPr>
        <w:t>套，一套产水量为</w:t>
      </w:r>
      <w:r>
        <w:rPr>
          <w:rFonts w:ascii="Times New Roman" w:hAnsi="Times New Roman"/>
          <w:kern w:val="0"/>
          <w:sz w:val="24"/>
          <w:szCs w:val="24"/>
        </w:rPr>
        <w:t>35m</w:t>
      </w:r>
      <w:r>
        <w:rPr>
          <w:rFonts w:ascii="Times New Roman" w:hAnsi="Times New Roman"/>
          <w:kern w:val="0"/>
          <w:sz w:val="24"/>
          <w:szCs w:val="24"/>
          <w:vertAlign w:val="superscript"/>
        </w:rPr>
        <w:t>3</w:t>
      </w:r>
      <w:r>
        <w:rPr>
          <w:rFonts w:ascii="Times New Roman" w:hAnsi="Times New Roman"/>
          <w:kern w:val="0"/>
          <w:sz w:val="24"/>
          <w:szCs w:val="24"/>
        </w:rPr>
        <w:t>/h</w:t>
      </w:r>
      <w:r>
        <w:rPr>
          <w:rFonts w:ascii="Times New Roman" w:hAnsi="Times New Roman"/>
          <w:kern w:val="0"/>
          <w:sz w:val="24"/>
          <w:szCs w:val="24"/>
        </w:rPr>
        <w:t>，另外一套产水量为</w:t>
      </w:r>
      <w:r>
        <w:rPr>
          <w:rFonts w:ascii="Times New Roman" w:hAnsi="Times New Roman"/>
          <w:kern w:val="0"/>
          <w:sz w:val="24"/>
          <w:szCs w:val="24"/>
        </w:rPr>
        <w:t>30m</w:t>
      </w:r>
      <w:r>
        <w:rPr>
          <w:rFonts w:ascii="Times New Roman" w:hAnsi="Times New Roman"/>
          <w:kern w:val="0"/>
          <w:sz w:val="24"/>
          <w:szCs w:val="24"/>
          <w:vertAlign w:val="superscript"/>
        </w:rPr>
        <w:t>3</w:t>
      </w:r>
      <w:r>
        <w:rPr>
          <w:rFonts w:ascii="Times New Roman" w:hAnsi="Times New Roman"/>
          <w:kern w:val="0"/>
          <w:sz w:val="24"/>
          <w:szCs w:val="24"/>
        </w:rPr>
        <w:t>/h</w:t>
      </w:r>
      <w:r>
        <w:rPr>
          <w:rFonts w:ascii="Times New Roman" w:hAnsi="Times New Roman"/>
          <w:kern w:val="0"/>
          <w:sz w:val="24"/>
          <w:szCs w:val="24"/>
        </w:rPr>
        <w:t>。超滤装置处理工艺流程见图</w:t>
      </w:r>
      <w:r>
        <w:rPr>
          <w:rFonts w:ascii="Times New Roman" w:hAnsi="Times New Roman"/>
          <w:kern w:val="0"/>
          <w:sz w:val="24"/>
          <w:szCs w:val="24"/>
        </w:rPr>
        <w:t>3.2-</w:t>
      </w:r>
      <w:r>
        <w:rPr>
          <w:rFonts w:ascii="Times New Roman" w:hAnsi="Times New Roman" w:hint="eastAsia"/>
          <w:kern w:val="0"/>
          <w:sz w:val="24"/>
          <w:szCs w:val="24"/>
        </w:rPr>
        <w:t>5</w:t>
      </w:r>
      <w:r>
        <w:rPr>
          <w:rFonts w:ascii="Times New Roman" w:hAnsi="Times New Roman"/>
          <w:kern w:val="0"/>
          <w:sz w:val="24"/>
          <w:szCs w:val="24"/>
        </w:rPr>
        <w:t>。</w:t>
      </w:r>
    </w:p>
    <w:p w:rsidR="00525419" w:rsidRDefault="00EE1CF7">
      <w:pPr>
        <w:pStyle w:val="2e"/>
        <w:ind w:leftChars="0" w:left="0"/>
        <w:rPr>
          <w:sz w:val="24"/>
          <w:szCs w:val="24"/>
        </w:rPr>
      </w:pPr>
      <w:r>
        <w:rPr>
          <w:noProof/>
        </w:rPr>
        <w:drawing>
          <wp:inline distT="0" distB="0" distL="114300" distR="114300">
            <wp:extent cx="5230495" cy="1272540"/>
            <wp:effectExtent l="0" t="0" r="1905" b="10160"/>
            <wp:docPr id="2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5"/>
                    <pic:cNvPicPr>
                      <a:picLocks noChangeAspect="1"/>
                    </pic:cNvPicPr>
                  </pic:nvPicPr>
                  <pic:blipFill>
                    <a:blip r:embed="rId14"/>
                    <a:stretch>
                      <a:fillRect/>
                    </a:stretch>
                  </pic:blipFill>
                  <pic:spPr>
                    <a:xfrm>
                      <a:off x="0" y="0"/>
                      <a:ext cx="5230495" cy="1272540"/>
                    </a:xfrm>
                    <a:prstGeom prst="rect">
                      <a:avLst/>
                    </a:prstGeom>
                    <a:noFill/>
                    <a:ln>
                      <a:noFill/>
                    </a:ln>
                  </pic:spPr>
                </pic:pic>
              </a:graphicData>
            </a:graphic>
          </wp:inline>
        </w:drawing>
      </w:r>
    </w:p>
    <w:p w:rsidR="00525419" w:rsidRDefault="00EE1CF7">
      <w:pPr>
        <w:autoSpaceDE w:val="0"/>
        <w:autoSpaceDN w:val="0"/>
        <w:adjustRightInd w:val="0"/>
        <w:ind w:firstLineChars="800" w:firstLine="1928"/>
        <w:jc w:val="left"/>
        <w:rPr>
          <w:rFonts w:ascii="Times New Roman" w:hAnsi="Times New Roman"/>
          <w:b/>
          <w:kern w:val="0"/>
          <w:sz w:val="24"/>
        </w:rPr>
      </w:pPr>
      <w:r>
        <w:rPr>
          <w:rFonts w:ascii="Times New Roman" w:hAnsi="Times New Roman"/>
          <w:b/>
          <w:kern w:val="0"/>
          <w:sz w:val="24"/>
        </w:rPr>
        <w:t>图</w:t>
      </w:r>
      <w:r>
        <w:rPr>
          <w:rFonts w:ascii="Times New Roman" w:hAnsi="Times New Roman"/>
          <w:b/>
          <w:kern w:val="0"/>
          <w:sz w:val="24"/>
        </w:rPr>
        <w:t>3.2-</w:t>
      </w:r>
      <w:r>
        <w:rPr>
          <w:rFonts w:ascii="Times New Roman" w:hAnsi="Times New Roman" w:hint="eastAsia"/>
          <w:b/>
          <w:kern w:val="0"/>
          <w:sz w:val="24"/>
        </w:rPr>
        <w:t>5</w:t>
      </w:r>
      <w:r>
        <w:rPr>
          <w:rFonts w:ascii="Times New Roman" w:hAnsi="Times New Roman"/>
          <w:b/>
          <w:kern w:val="0"/>
          <w:sz w:val="24"/>
        </w:rPr>
        <w:t xml:space="preserve">　　超滤装置处理工艺流程图</w:t>
      </w:r>
    </w:p>
    <w:p w:rsidR="00525419" w:rsidRDefault="00EE1CF7">
      <w:pPr>
        <w:spacing w:line="360" w:lineRule="auto"/>
        <w:ind w:firstLineChars="200" w:firstLine="480"/>
        <w:rPr>
          <w:rFonts w:ascii="Times New Roman" w:hAnsi="Times New Roman"/>
          <w:kern w:val="0"/>
          <w:sz w:val="24"/>
          <w:szCs w:val="24"/>
        </w:rPr>
      </w:pPr>
      <w:r>
        <w:rPr>
          <w:rFonts w:ascii="Times New Roman" w:hAnsi="Times New Roman"/>
          <w:kern w:val="0"/>
          <w:sz w:val="24"/>
          <w:szCs w:val="24"/>
        </w:rPr>
        <w:t>厂区污水处理站废水处理工艺流程见图</w:t>
      </w:r>
      <w:r>
        <w:rPr>
          <w:rFonts w:ascii="Times New Roman" w:hAnsi="Times New Roman"/>
          <w:kern w:val="0"/>
          <w:sz w:val="24"/>
          <w:szCs w:val="24"/>
        </w:rPr>
        <w:t>3.2-</w:t>
      </w:r>
      <w:r>
        <w:rPr>
          <w:rFonts w:ascii="Times New Roman" w:hAnsi="Times New Roman" w:hint="eastAsia"/>
          <w:kern w:val="0"/>
          <w:sz w:val="24"/>
          <w:szCs w:val="24"/>
        </w:rPr>
        <w:t>6</w:t>
      </w:r>
      <w:r>
        <w:rPr>
          <w:rFonts w:ascii="Times New Roman" w:hAnsi="Times New Roman"/>
          <w:kern w:val="0"/>
          <w:sz w:val="24"/>
          <w:szCs w:val="24"/>
        </w:rPr>
        <w:t>。</w:t>
      </w:r>
    </w:p>
    <w:p w:rsidR="00525419" w:rsidRDefault="00EE1CF7">
      <w:pPr>
        <w:spacing w:line="360" w:lineRule="auto"/>
        <w:jc w:val="center"/>
        <w:rPr>
          <w:rFonts w:ascii="Times New Roman" w:hAnsi="Times New Roman"/>
          <w:kern w:val="0"/>
          <w:sz w:val="24"/>
          <w:szCs w:val="24"/>
        </w:rPr>
      </w:pPr>
      <w:r>
        <w:rPr>
          <w:rFonts w:ascii="Times New Roman" w:hAnsi="Times New Roman"/>
          <w:noProof/>
        </w:rPr>
        <w:lastRenderedPageBreak/>
        <w:drawing>
          <wp:inline distT="0" distB="0" distL="114300" distR="114300">
            <wp:extent cx="3642995" cy="6483985"/>
            <wp:effectExtent l="0" t="0" r="1905" b="5715"/>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1"/>
                    </pic:cNvPicPr>
                  </pic:nvPicPr>
                  <pic:blipFill>
                    <a:blip r:embed="rId15"/>
                    <a:stretch>
                      <a:fillRect/>
                    </a:stretch>
                  </pic:blipFill>
                  <pic:spPr>
                    <a:xfrm>
                      <a:off x="0" y="0"/>
                      <a:ext cx="3642995" cy="6483985"/>
                    </a:xfrm>
                    <a:prstGeom prst="rect">
                      <a:avLst/>
                    </a:prstGeom>
                    <a:noFill/>
                    <a:ln>
                      <a:noFill/>
                    </a:ln>
                  </pic:spPr>
                </pic:pic>
              </a:graphicData>
            </a:graphic>
          </wp:inline>
        </w:drawing>
      </w:r>
    </w:p>
    <w:p w:rsidR="00525419" w:rsidRDefault="00EE1CF7">
      <w:pPr>
        <w:spacing w:line="360" w:lineRule="auto"/>
        <w:ind w:firstLineChars="200" w:firstLine="482"/>
        <w:rPr>
          <w:rFonts w:ascii="Times New Roman" w:hAnsi="Times New Roman"/>
          <w:b/>
          <w:kern w:val="0"/>
          <w:sz w:val="24"/>
        </w:rPr>
      </w:pPr>
      <w:r>
        <w:rPr>
          <w:rFonts w:ascii="Times New Roman" w:hAnsi="Times New Roman"/>
          <w:b/>
          <w:kern w:val="0"/>
          <w:sz w:val="24"/>
        </w:rPr>
        <w:t xml:space="preserve">　　　　图</w:t>
      </w:r>
      <w:r>
        <w:rPr>
          <w:rFonts w:ascii="Times New Roman" w:hAnsi="Times New Roman"/>
          <w:b/>
          <w:kern w:val="0"/>
          <w:sz w:val="24"/>
        </w:rPr>
        <w:t>3.2-</w:t>
      </w:r>
      <w:r>
        <w:rPr>
          <w:rFonts w:ascii="Times New Roman" w:hAnsi="Times New Roman" w:hint="eastAsia"/>
          <w:b/>
          <w:kern w:val="0"/>
          <w:sz w:val="24"/>
        </w:rPr>
        <w:t>6</w:t>
      </w:r>
      <w:r>
        <w:rPr>
          <w:rFonts w:ascii="Times New Roman" w:hAnsi="Times New Roman"/>
          <w:b/>
          <w:kern w:val="0"/>
          <w:sz w:val="24"/>
        </w:rPr>
        <w:t xml:space="preserve">　　厂区污水处理站废水处理工艺流程图</w:t>
      </w:r>
    </w:p>
    <w:p w:rsidR="00525419" w:rsidRDefault="00EE1CF7">
      <w:pPr>
        <w:spacing w:line="360" w:lineRule="auto"/>
        <w:ind w:firstLineChars="200" w:firstLine="480"/>
        <w:rPr>
          <w:rFonts w:ascii="Times New Roman" w:hAnsi="Times New Roman"/>
          <w:kern w:val="0"/>
          <w:sz w:val="24"/>
          <w:szCs w:val="24"/>
        </w:rPr>
      </w:pPr>
      <w:r>
        <w:rPr>
          <w:rFonts w:ascii="Times New Roman" w:hAnsi="Times New Roman"/>
          <w:sz w:val="24"/>
        </w:rPr>
        <w:t>▲</w:t>
      </w:r>
      <w:r>
        <w:rPr>
          <w:rFonts w:ascii="Times New Roman" w:hAnsi="Times New Roman"/>
          <w:sz w:val="24"/>
        </w:rPr>
        <w:t>浓盐水处理装置</w:t>
      </w:r>
      <w:r>
        <w:rPr>
          <w:rFonts w:ascii="Times New Roman" w:hAnsi="Times New Roman"/>
          <w:kern w:val="0"/>
          <w:sz w:val="24"/>
          <w:szCs w:val="24"/>
        </w:rPr>
        <w:t>工艺流程</w:t>
      </w:r>
    </w:p>
    <w:p w:rsidR="00525419" w:rsidRDefault="00EE1CF7">
      <w:pPr>
        <w:spacing w:line="360" w:lineRule="auto"/>
        <w:ind w:firstLineChars="200" w:firstLine="480"/>
        <w:rPr>
          <w:rFonts w:ascii="Times New Roman" w:hAnsi="Times New Roman"/>
          <w:sz w:val="24"/>
        </w:rPr>
      </w:pPr>
      <w:r>
        <w:rPr>
          <w:rFonts w:ascii="Times New Roman" w:hAnsi="Times New Roman"/>
          <w:sz w:val="24"/>
          <w:szCs w:val="24"/>
        </w:rPr>
        <w:t>脱盐水站产生的浓盐水进入浓盐水处理装置进行处理，出水进入循环水系统，</w:t>
      </w:r>
      <w:r>
        <w:rPr>
          <w:rFonts w:ascii="Times New Roman" w:hAnsi="Times New Roman"/>
          <w:sz w:val="24"/>
        </w:rPr>
        <w:t>该装置设计产生量为</w:t>
      </w:r>
      <w:r>
        <w:rPr>
          <w:rFonts w:ascii="Times New Roman" w:hAnsi="Times New Roman"/>
          <w:sz w:val="24"/>
        </w:rPr>
        <w:t>30m</w:t>
      </w:r>
      <w:r>
        <w:rPr>
          <w:rFonts w:ascii="Times New Roman" w:hAnsi="Times New Roman"/>
          <w:sz w:val="24"/>
          <w:vertAlign w:val="superscript"/>
        </w:rPr>
        <w:t>3</w:t>
      </w:r>
      <w:r>
        <w:rPr>
          <w:rFonts w:ascii="Times New Roman" w:hAnsi="Times New Roman"/>
          <w:sz w:val="24"/>
        </w:rPr>
        <w:t>/h</w:t>
      </w:r>
      <w:r>
        <w:rPr>
          <w:rFonts w:ascii="Times New Roman" w:hAnsi="Times New Roman"/>
          <w:sz w:val="24"/>
        </w:rPr>
        <w:t>，出水水质达到工业循环水进水要求，硬度</w:t>
      </w:r>
      <w:r>
        <w:rPr>
          <w:rFonts w:ascii="Times New Roman" w:hAnsi="Times New Roman"/>
          <w:sz w:val="24"/>
        </w:rPr>
        <w:t>≤30mg/L</w:t>
      </w:r>
      <w:r>
        <w:rPr>
          <w:rFonts w:ascii="Times New Roman" w:hAnsi="Times New Roman"/>
          <w:sz w:val="24"/>
        </w:rPr>
        <w:t>，浊度</w:t>
      </w:r>
      <w:r>
        <w:rPr>
          <w:rFonts w:ascii="Times New Roman" w:hAnsi="Times New Roman"/>
          <w:sz w:val="24"/>
        </w:rPr>
        <w:t>≤10NTU</w:t>
      </w:r>
      <w:r>
        <w:rPr>
          <w:rFonts w:ascii="Times New Roman" w:hAnsi="Times New Roman"/>
          <w:sz w:val="24"/>
        </w:rPr>
        <w:t>，</w:t>
      </w:r>
      <w:r>
        <w:rPr>
          <w:rFonts w:ascii="Times New Roman" w:hAnsi="Times New Roman"/>
          <w:sz w:val="24"/>
          <w:szCs w:val="24"/>
        </w:rPr>
        <w:t>其工艺流程如下：</w:t>
      </w:r>
    </w:p>
    <w:p w:rsidR="00525419" w:rsidRDefault="00EE1CF7">
      <w:pPr>
        <w:pStyle w:val="2e"/>
        <w:rPr>
          <w:sz w:val="24"/>
          <w:szCs w:val="24"/>
        </w:rPr>
      </w:pPr>
      <w:r>
        <w:rPr>
          <w:rFonts w:hint="eastAsia"/>
          <w:sz w:val="24"/>
          <w:szCs w:val="24"/>
        </w:rPr>
        <w:t>浓盐水处理装置工艺流程见图</w:t>
      </w:r>
      <w:r>
        <w:rPr>
          <w:rFonts w:hint="eastAsia"/>
          <w:sz w:val="24"/>
          <w:szCs w:val="24"/>
        </w:rPr>
        <w:t>3.2-7</w:t>
      </w:r>
      <w:r>
        <w:rPr>
          <w:rFonts w:hint="eastAsia"/>
          <w:sz w:val="24"/>
          <w:szCs w:val="24"/>
        </w:rPr>
        <w:t>。</w:t>
      </w:r>
    </w:p>
    <w:p w:rsidR="00525419" w:rsidRDefault="00EE1CF7">
      <w:pPr>
        <w:pStyle w:val="2e"/>
        <w:ind w:leftChars="0" w:left="0"/>
        <w:rPr>
          <w:sz w:val="24"/>
          <w:szCs w:val="24"/>
        </w:rPr>
      </w:pPr>
      <w:r>
        <w:rPr>
          <w:noProof/>
        </w:rPr>
        <w:lastRenderedPageBreak/>
        <w:drawing>
          <wp:inline distT="0" distB="0" distL="114300" distR="114300">
            <wp:extent cx="5273675" cy="1392555"/>
            <wp:effectExtent l="0" t="0" r="3175" b="17145"/>
            <wp:docPr id="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pic:cNvPicPr>
                      <a:picLocks noChangeAspect="1"/>
                    </pic:cNvPicPr>
                  </pic:nvPicPr>
                  <pic:blipFill>
                    <a:blip r:embed="rId16"/>
                    <a:stretch>
                      <a:fillRect/>
                    </a:stretch>
                  </pic:blipFill>
                  <pic:spPr>
                    <a:xfrm>
                      <a:off x="0" y="0"/>
                      <a:ext cx="5273675" cy="1392555"/>
                    </a:xfrm>
                    <a:prstGeom prst="rect">
                      <a:avLst/>
                    </a:prstGeom>
                    <a:noFill/>
                    <a:ln>
                      <a:noFill/>
                    </a:ln>
                  </pic:spPr>
                </pic:pic>
              </a:graphicData>
            </a:graphic>
          </wp:inline>
        </w:drawing>
      </w:r>
    </w:p>
    <w:p w:rsidR="00525419" w:rsidRDefault="00EE1CF7">
      <w:pPr>
        <w:adjustRightInd w:val="0"/>
        <w:snapToGrid w:val="0"/>
        <w:spacing w:line="360" w:lineRule="auto"/>
        <w:rPr>
          <w:rFonts w:ascii="Times New Roman" w:hAnsi="Times New Roman"/>
          <w:b/>
          <w:bCs/>
          <w:sz w:val="24"/>
        </w:rPr>
      </w:pPr>
      <w:r>
        <w:rPr>
          <w:rFonts w:ascii="Times New Roman" w:hAnsi="Times New Roman"/>
          <w:b/>
          <w:bCs/>
          <w:sz w:val="24"/>
        </w:rPr>
        <w:t xml:space="preserve">  </w:t>
      </w:r>
      <w:r>
        <w:rPr>
          <w:rFonts w:ascii="Times New Roman" w:hAnsi="Times New Roman"/>
          <w:b/>
          <w:kern w:val="0"/>
          <w:sz w:val="24"/>
        </w:rPr>
        <w:t xml:space="preserve">　</w:t>
      </w:r>
      <w:r>
        <w:rPr>
          <w:rFonts w:ascii="Times New Roman" w:hAnsi="Times New Roman"/>
          <w:b/>
          <w:kern w:val="0"/>
          <w:sz w:val="24"/>
        </w:rPr>
        <w:t xml:space="preserve">         </w:t>
      </w:r>
      <w:r>
        <w:rPr>
          <w:rFonts w:ascii="Times New Roman" w:hAnsi="Times New Roman"/>
          <w:b/>
          <w:kern w:val="0"/>
          <w:sz w:val="24"/>
        </w:rPr>
        <w:t>图</w:t>
      </w:r>
      <w:r>
        <w:rPr>
          <w:rFonts w:ascii="Times New Roman" w:hAnsi="Times New Roman"/>
          <w:b/>
          <w:kern w:val="0"/>
          <w:sz w:val="24"/>
        </w:rPr>
        <w:t>3.2-</w:t>
      </w:r>
      <w:r>
        <w:rPr>
          <w:rFonts w:ascii="Times New Roman" w:hAnsi="Times New Roman" w:hint="eastAsia"/>
          <w:b/>
          <w:kern w:val="0"/>
          <w:sz w:val="24"/>
        </w:rPr>
        <w:t>7</w:t>
      </w:r>
      <w:r>
        <w:rPr>
          <w:rFonts w:ascii="Times New Roman" w:hAnsi="Times New Roman"/>
          <w:b/>
          <w:kern w:val="0"/>
          <w:sz w:val="24"/>
        </w:rPr>
        <w:t xml:space="preserve">　　浓盐水处理装置工艺流程</w:t>
      </w:r>
    </w:p>
    <w:p w:rsidR="00525419" w:rsidRDefault="00EE1CF7">
      <w:pPr>
        <w:adjustRightInd w:val="0"/>
        <w:snapToGrid w:val="0"/>
        <w:spacing w:line="360" w:lineRule="auto"/>
        <w:rPr>
          <w:rFonts w:ascii="Times New Roman" w:hAnsi="Times New Roman"/>
          <w:b/>
          <w:bCs/>
          <w:sz w:val="24"/>
        </w:rPr>
      </w:pPr>
      <w:r>
        <w:rPr>
          <w:rFonts w:ascii="Times New Roman" w:hAnsi="Times New Roman"/>
          <w:b/>
          <w:bCs/>
          <w:sz w:val="24"/>
        </w:rPr>
        <w:t>3.2.4.3</w:t>
      </w:r>
      <w:r>
        <w:rPr>
          <w:rFonts w:ascii="Times New Roman" w:hAnsi="Times New Roman"/>
          <w:b/>
          <w:bCs/>
          <w:sz w:val="24"/>
        </w:rPr>
        <w:t>固体废物</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厂区内建有一座面积</w:t>
      </w:r>
      <w:r>
        <w:rPr>
          <w:rFonts w:ascii="Times New Roman" w:hAnsi="Times New Roman"/>
          <w:sz w:val="24"/>
          <w:szCs w:val="24"/>
        </w:rPr>
        <w:t>82m²</w:t>
      </w:r>
      <w:r>
        <w:rPr>
          <w:rFonts w:ascii="Times New Roman" w:hAnsi="Times New Roman"/>
          <w:sz w:val="24"/>
          <w:szCs w:val="24"/>
        </w:rPr>
        <w:t>（</w:t>
      </w:r>
      <w:r>
        <w:rPr>
          <w:rFonts w:ascii="Times New Roman" w:hAnsi="Times New Roman"/>
          <w:sz w:val="24"/>
          <w:szCs w:val="24"/>
        </w:rPr>
        <w:t>10.6m×7.8m</w:t>
      </w:r>
      <w:r>
        <w:rPr>
          <w:rFonts w:ascii="Times New Roman" w:hAnsi="Times New Roman"/>
          <w:sz w:val="24"/>
          <w:szCs w:val="24"/>
        </w:rPr>
        <w:t>）的危险废物暂存间，材质为彩钢板房，位于厂区西南侧。</w:t>
      </w:r>
    </w:p>
    <w:p w:rsidR="00525419" w:rsidRDefault="00525419">
      <w:pPr>
        <w:rPr>
          <w:rFonts w:ascii="Times New Roman" w:hAnsi="Times New Roman"/>
        </w:rPr>
      </w:pPr>
    </w:p>
    <w:p w:rsidR="00525419" w:rsidRDefault="00525419">
      <w:pPr>
        <w:rPr>
          <w:rFonts w:ascii="Times New Roman" w:hAnsi="Times New Roman"/>
        </w:rPr>
        <w:sectPr w:rsidR="00525419">
          <w:pgSz w:w="11906" w:h="16838"/>
          <w:pgMar w:top="1440" w:right="1797" w:bottom="1440" w:left="1797" w:header="851" w:footer="992" w:gutter="0"/>
          <w:cols w:space="425"/>
          <w:docGrid w:type="lines" w:linePitch="312"/>
        </w:sectPr>
      </w:pPr>
    </w:p>
    <w:p w:rsidR="00525419" w:rsidRDefault="00EE1CF7">
      <w:pPr>
        <w:pStyle w:val="3a"/>
        <w:spacing w:beforeLines="50" w:before="156" w:after="156" w:line="360" w:lineRule="auto"/>
        <w:jc w:val="left"/>
        <w:rPr>
          <w:rFonts w:ascii="Times New Roman" w:eastAsia="华文楷体" w:hAnsi="Times New Roman"/>
        </w:rPr>
      </w:pPr>
      <w:r>
        <w:rPr>
          <w:rFonts w:ascii="Times New Roman" w:eastAsia="华文楷体" w:hAnsi="Times New Roman"/>
        </w:rPr>
        <w:lastRenderedPageBreak/>
        <w:t>3.2.5</w:t>
      </w:r>
      <w:r>
        <w:rPr>
          <w:rFonts w:ascii="Times New Roman" w:eastAsia="华文楷体" w:hAnsi="Times New Roman"/>
        </w:rPr>
        <w:t>现有工程污染物排放及达标情况</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3.2.5.1</w:t>
      </w:r>
      <w:r>
        <w:rPr>
          <w:rFonts w:ascii="Times New Roman" w:hAnsi="Times New Roman" w:cs="Times New Roman"/>
          <w:kern w:val="44"/>
          <w:sz w:val="24"/>
          <w:szCs w:val="24"/>
        </w:rPr>
        <w:t>现有工程污染物达标情况</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根据现场调查、</w:t>
      </w:r>
      <w:r>
        <w:rPr>
          <w:rFonts w:ascii="Times New Roman" w:hAnsi="Times New Roman"/>
          <w:sz w:val="24"/>
          <w:szCs w:val="24"/>
        </w:rPr>
        <w:t>2019</w:t>
      </w:r>
      <w:r>
        <w:rPr>
          <w:rFonts w:ascii="Times New Roman" w:hAnsi="Times New Roman"/>
          <w:sz w:val="24"/>
          <w:szCs w:val="24"/>
        </w:rPr>
        <w:t>年</w:t>
      </w:r>
      <w:r>
        <w:rPr>
          <w:rFonts w:ascii="Times New Roman" w:hAnsi="Times New Roman"/>
          <w:sz w:val="24"/>
          <w:szCs w:val="24"/>
        </w:rPr>
        <w:t>11</w:t>
      </w:r>
      <w:r>
        <w:rPr>
          <w:rFonts w:ascii="Times New Roman" w:hAnsi="Times New Roman"/>
          <w:sz w:val="24"/>
          <w:szCs w:val="24"/>
        </w:rPr>
        <w:t>月例行检测数据、《新疆美汇特石化产品有限公司</w:t>
      </w:r>
      <w:r>
        <w:rPr>
          <w:rFonts w:ascii="Times New Roman" w:hAnsi="Times New Roman"/>
          <w:sz w:val="24"/>
          <w:szCs w:val="24"/>
        </w:rPr>
        <w:t>120</w:t>
      </w:r>
      <w:r>
        <w:rPr>
          <w:rFonts w:ascii="Times New Roman" w:hAnsi="Times New Roman"/>
          <w:sz w:val="24"/>
          <w:szCs w:val="24"/>
        </w:rPr>
        <w:t>万吨</w:t>
      </w:r>
      <w:r>
        <w:rPr>
          <w:rFonts w:ascii="Times New Roman" w:hAnsi="Times New Roman"/>
          <w:sz w:val="24"/>
          <w:szCs w:val="24"/>
        </w:rPr>
        <w:t>/</w:t>
      </w:r>
      <w:r>
        <w:rPr>
          <w:rFonts w:ascii="Times New Roman" w:hAnsi="Times New Roman"/>
          <w:sz w:val="24"/>
          <w:szCs w:val="24"/>
        </w:rPr>
        <w:t>年高等级道路沥青及改性沥青改扩建项目（一期）竣工环境保护验收监测报告》（新环验</w:t>
      </w:r>
      <w:r>
        <w:rPr>
          <w:rFonts w:ascii="Times New Roman" w:hAnsi="Times New Roman"/>
          <w:sz w:val="24"/>
          <w:szCs w:val="24"/>
        </w:rPr>
        <w:t>[HJY-2015-103]</w:t>
      </w:r>
      <w:r>
        <w:rPr>
          <w:rFonts w:ascii="Times New Roman" w:hAnsi="Times New Roman"/>
          <w:sz w:val="24"/>
          <w:szCs w:val="24"/>
        </w:rPr>
        <w:t>），现有工程污染物排放及达标情况见表</w:t>
      </w:r>
      <w:r>
        <w:rPr>
          <w:rFonts w:ascii="Times New Roman" w:hAnsi="Times New Roman"/>
          <w:sz w:val="24"/>
          <w:szCs w:val="24"/>
        </w:rPr>
        <w:t>3.2-4</w:t>
      </w:r>
      <w:r>
        <w:rPr>
          <w:rFonts w:ascii="Times New Roman" w:hAnsi="Times New Roman"/>
          <w:sz w:val="24"/>
          <w:szCs w:val="24"/>
        </w:rPr>
        <w:t>。</w:t>
      </w:r>
    </w:p>
    <w:p w:rsidR="00525419" w:rsidRDefault="00EE1CF7">
      <w:pPr>
        <w:jc w:val="center"/>
        <w:rPr>
          <w:rFonts w:ascii="Times New Roman" w:eastAsia="黑体" w:hAnsi="Times New Roman"/>
        </w:rPr>
      </w:pPr>
      <w:r>
        <w:rPr>
          <w:rFonts w:ascii="Times New Roman" w:eastAsia="黑体" w:hAnsi="Times New Roman"/>
        </w:rPr>
        <w:t>表</w:t>
      </w:r>
      <w:r>
        <w:rPr>
          <w:rFonts w:ascii="Times New Roman" w:eastAsia="黑体" w:hAnsi="Times New Roman"/>
        </w:rPr>
        <w:t>3.2-4</w:t>
      </w:r>
      <w:r>
        <w:rPr>
          <w:rFonts w:ascii="Times New Roman" w:eastAsia="黑体" w:hAnsi="Times New Roman"/>
        </w:rPr>
        <w:t xml:space="preserve">　　现有工程污染物排放及达标情况</w:t>
      </w:r>
    </w:p>
    <w:tbl>
      <w:tblPr>
        <w:tblW w:w="1417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1091"/>
        <w:gridCol w:w="767"/>
        <w:gridCol w:w="709"/>
        <w:gridCol w:w="1701"/>
        <w:gridCol w:w="2835"/>
        <w:gridCol w:w="2390"/>
        <w:gridCol w:w="1364"/>
        <w:gridCol w:w="1491"/>
        <w:gridCol w:w="1166"/>
      </w:tblGrid>
      <w:tr w:rsidR="00525419">
        <w:trPr>
          <w:trHeight w:val="304"/>
          <w:jc w:val="center"/>
        </w:trPr>
        <w:tc>
          <w:tcPr>
            <w:tcW w:w="660"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类别</w:t>
            </w:r>
          </w:p>
        </w:tc>
        <w:tc>
          <w:tcPr>
            <w:tcW w:w="1091"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污染源</w:t>
            </w:r>
          </w:p>
        </w:tc>
        <w:tc>
          <w:tcPr>
            <w:tcW w:w="1476" w:type="dxa"/>
            <w:gridSpan w:val="2"/>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污染物</w:t>
            </w:r>
          </w:p>
        </w:tc>
        <w:tc>
          <w:tcPr>
            <w:tcW w:w="1701"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治理措施</w:t>
            </w:r>
          </w:p>
        </w:tc>
        <w:tc>
          <w:tcPr>
            <w:tcW w:w="5225"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排放情况</w:t>
            </w:r>
          </w:p>
        </w:tc>
        <w:tc>
          <w:tcPr>
            <w:tcW w:w="1364"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排放去向</w:t>
            </w:r>
          </w:p>
        </w:tc>
        <w:tc>
          <w:tcPr>
            <w:tcW w:w="1491"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排放标准</w:t>
            </w:r>
          </w:p>
        </w:tc>
        <w:tc>
          <w:tcPr>
            <w:tcW w:w="1166"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达标分析</w:t>
            </w:r>
          </w:p>
        </w:tc>
      </w:tr>
      <w:tr w:rsidR="00525419">
        <w:trPr>
          <w:trHeight w:val="235"/>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vMerge/>
            <w:tcBorders>
              <w:tl2br w:val="nil"/>
              <w:tr2bl w:val="nil"/>
            </w:tcBorders>
            <w:vAlign w:val="center"/>
          </w:tcPr>
          <w:p w:rsidR="00525419" w:rsidRDefault="00525419">
            <w:pPr>
              <w:rPr>
                <w:rFonts w:ascii="Times New Roman" w:hAnsi="Times New Roman"/>
                <w:szCs w:val="21"/>
              </w:rPr>
            </w:pP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浓度</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排放量</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vMerge/>
            <w:tcBorders>
              <w:tl2br w:val="nil"/>
              <w:tr2bl w:val="nil"/>
            </w:tcBorders>
            <w:vAlign w:val="center"/>
          </w:tcPr>
          <w:p w:rsidR="00525419" w:rsidRDefault="00525419">
            <w:pPr>
              <w:rPr>
                <w:rFonts w:ascii="Times New Roman" w:hAnsi="Times New Roman"/>
                <w:szCs w:val="21"/>
              </w:rPr>
            </w:pPr>
          </w:p>
        </w:tc>
        <w:tc>
          <w:tcPr>
            <w:tcW w:w="1166" w:type="dxa"/>
            <w:vMerge/>
            <w:tcBorders>
              <w:tl2br w:val="nil"/>
              <w:tr2bl w:val="nil"/>
            </w:tcBorders>
            <w:vAlign w:val="center"/>
          </w:tcPr>
          <w:p w:rsidR="00525419" w:rsidRDefault="00525419">
            <w:pPr>
              <w:rPr>
                <w:rFonts w:ascii="Times New Roman" w:hAnsi="Times New Roman"/>
                <w:szCs w:val="21"/>
              </w:rPr>
            </w:pPr>
          </w:p>
        </w:tc>
      </w:tr>
      <w:tr w:rsidR="00525419">
        <w:trPr>
          <w:trHeight w:val="132"/>
          <w:jc w:val="center"/>
        </w:trPr>
        <w:tc>
          <w:tcPr>
            <w:tcW w:w="660" w:type="dxa"/>
            <w:vMerge w:val="restart"/>
            <w:tcBorders>
              <w:tl2br w:val="nil"/>
              <w:tr2bl w:val="nil"/>
            </w:tcBorders>
            <w:vAlign w:val="center"/>
          </w:tcPr>
          <w:p w:rsidR="00525419" w:rsidRDefault="00525419">
            <w:pPr>
              <w:rPr>
                <w:rFonts w:ascii="Times New Roman" w:hAnsi="Times New Roman"/>
                <w:szCs w:val="21"/>
              </w:rPr>
            </w:pPr>
          </w:p>
          <w:p w:rsidR="00525419" w:rsidRDefault="00525419">
            <w:pPr>
              <w:rPr>
                <w:rFonts w:ascii="Times New Roman" w:hAnsi="Times New Roman"/>
                <w:szCs w:val="21"/>
              </w:rPr>
            </w:pPr>
          </w:p>
          <w:p w:rsidR="00525419" w:rsidRDefault="00525419">
            <w:pPr>
              <w:rPr>
                <w:rFonts w:ascii="Times New Roman" w:hAnsi="Times New Roman"/>
                <w:szCs w:val="21"/>
              </w:rPr>
            </w:pPr>
          </w:p>
          <w:p w:rsidR="00525419" w:rsidRDefault="00525419">
            <w:pPr>
              <w:rPr>
                <w:rFonts w:ascii="Times New Roman" w:hAnsi="Times New Roman"/>
                <w:szCs w:val="21"/>
              </w:rPr>
            </w:pPr>
          </w:p>
          <w:p w:rsidR="00525419" w:rsidRDefault="00525419">
            <w:pPr>
              <w:rPr>
                <w:rFonts w:ascii="Times New Roman" w:hAnsi="Times New Roman"/>
                <w:szCs w:val="21"/>
              </w:rPr>
            </w:pPr>
          </w:p>
          <w:p w:rsidR="00525419" w:rsidRDefault="00525419">
            <w:pPr>
              <w:rPr>
                <w:rFonts w:ascii="Times New Roman" w:hAnsi="Times New Roman"/>
                <w:szCs w:val="21"/>
              </w:rPr>
            </w:pPr>
          </w:p>
          <w:p w:rsidR="00525419" w:rsidRDefault="00525419">
            <w:pPr>
              <w:rPr>
                <w:rFonts w:ascii="Times New Roman" w:hAnsi="Times New Roman"/>
                <w:szCs w:val="21"/>
              </w:rPr>
            </w:pPr>
          </w:p>
          <w:p w:rsidR="00525419" w:rsidRDefault="00525419">
            <w:pPr>
              <w:rPr>
                <w:rFonts w:ascii="Times New Roman" w:hAnsi="Times New Roman"/>
                <w:szCs w:val="21"/>
              </w:rPr>
            </w:pPr>
          </w:p>
          <w:p w:rsidR="00525419" w:rsidRDefault="00525419">
            <w:pPr>
              <w:rPr>
                <w:rFonts w:ascii="Times New Roman" w:hAnsi="Times New Roman"/>
                <w:szCs w:val="21"/>
              </w:rPr>
            </w:pPr>
          </w:p>
          <w:p w:rsidR="00525419" w:rsidRDefault="00EE1CF7">
            <w:pPr>
              <w:rPr>
                <w:rFonts w:ascii="Times New Roman" w:hAnsi="Times New Roman"/>
                <w:szCs w:val="21"/>
              </w:rPr>
            </w:pPr>
            <w:r>
              <w:rPr>
                <w:rFonts w:ascii="Times New Roman" w:hAnsi="Times New Roman"/>
                <w:szCs w:val="21"/>
              </w:rPr>
              <w:t>废气</w:t>
            </w:r>
          </w:p>
        </w:tc>
        <w:tc>
          <w:tcPr>
            <w:tcW w:w="1091"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锅炉烟气</w:t>
            </w: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烟尘</w:t>
            </w:r>
          </w:p>
        </w:tc>
        <w:tc>
          <w:tcPr>
            <w:tcW w:w="1701"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陶瓷多管除尘</w:t>
            </w: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台）</w:t>
            </w:r>
            <w:r>
              <w:rPr>
                <w:rFonts w:ascii="Times New Roman" w:hAnsi="Times New Roman"/>
                <w:szCs w:val="21"/>
              </w:rPr>
              <w:t>+</w:t>
            </w:r>
            <w:r>
              <w:rPr>
                <w:rFonts w:ascii="Times New Roman" w:hAnsi="Times New Roman" w:hint="eastAsia"/>
                <w:szCs w:val="21"/>
              </w:rPr>
              <w:t>布袋除尘器（</w:t>
            </w:r>
            <w:r>
              <w:rPr>
                <w:rFonts w:ascii="Times New Roman" w:hAnsi="Times New Roman" w:hint="eastAsia"/>
                <w:szCs w:val="21"/>
              </w:rPr>
              <w:t>2</w:t>
            </w:r>
            <w:r>
              <w:rPr>
                <w:rFonts w:ascii="Times New Roman" w:hAnsi="Times New Roman" w:hint="eastAsia"/>
                <w:szCs w:val="21"/>
              </w:rPr>
              <w:t>台）</w:t>
            </w:r>
            <w:r>
              <w:rPr>
                <w:rFonts w:ascii="Times New Roman" w:hAnsi="Times New Roman" w:hint="eastAsia"/>
                <w:szCs w:val="21"/>
              </w:rPr>
              <w:t>+</w:t>
            </w:r>
            <w:r>
              <w:rPr>
                <w:rFonts w:ascii="Times New Roman" w:hAnsi="Times New Roman"/>
                <w:szCs w:val="21"/>
              </w:rPr>
              <w:t>双碱法脱硫</w:t>
            </w: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套）</w:t>
            </w:r>
            <w:r>
              <w:rPr>
                <w:rFonts w:ascii="Times New Roman" w:hAnsi="Times New Roman"/>
                <w:szCs w:val="21"/>
              </w:rPr>
              <w:t>+SNCR</w:t>
            </w:r>
            <w:r>
              <w:rPr>
                <w:rFonts w:ascii="Times New Roman" w:hAnsi="Times New Roman"/>
                <w:szCs w:val="21"/>
              </w:rPr>
              <w:t>脱硝</w:t>
            </w: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套）</w:t>
            </w: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14.4mg/Nm</w:t>
            </w:r>
            <w:r>
              <w:rPr>
                <w:rFonts w:ascii="Times New Roman" w:hAnsi="Times New Roman"/>
                <w:szCs w:val="21"/>
                <w:vertAlign w:val="superscript"/>
              </w:rPr>
              <w:t>3</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0.18kg/h</w:t>
            </w:r>
          </w:p>
        </w:tc>
        <w:tc>
          <w:tcPr>
            <w:tcW w:w="1364"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共用</w:t>
            </w:r>
            <w:r>
              <w:rPr>
                <w:rFonts w:ascii="Times New Roman" w:hAnsi="Times New Roman"/>
                <w:szCs w:val="21"/>
              </w:rPr>
              <w:t>1</w:t>
            </w:r>
            <w:r>
              <w:rPr>
                <w:rFonts w:ascii="Times New Roman" w:hAnsi="Times New Roman"/>
                <w:szCs w:val="21"/>
              </w:rPr>
              <w:t>根</w:t>
            </w:r>
            <w:r>
              <w:rPr>
                <w:rFonts w:ascii="Times New Roman" w:hAnsi="Times New Roman"/>
                <w:szCs w:val="21"/>
              </w:rPr>
              <w:t>45m</w:t>
            </w:r>
            <w:r>
              <w:rPr>
                <w:rFonts w:ascii="Times New Roman" w:hAnsi="Times New Roman"/>
                <w:szCs w:val="21"/>
              </w:rPr>
              <w:t>高烟囱排放到大气</w:t>
            </w: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80 mg/Nm</w:t>
            </w:r>
            <w:r>
              <w:rPr>
                <w:rFonts w:ascii="Times New Roman" w:hAnsi="Times New Roman"/>
                <w:szCs w:val="21"/>
                <w:vertAlign w:val="superscript"/>
              </w:rPr>
              <w:t>3</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r w:rsidR="00525419">
        <w:trPr>
          <w:trHeight w:val="90"/>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14mg/Nm</w:t>
            </w:r>
            <w:r>
              <w:rPr>
                <w:rFonts w:ascii="Times New Roman" w:hAnsi="Times New Roman"/>
                <w:szCs w:val="21"/>
                <w:vertAlign w:val="superscript"/>
              </w:rPr>
              <w:t>3</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0.17kg/h</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400 mg/Nm</w:t>
            </w:r>
            <w:r>
              <w:rPr>
                <w:rFonts w:ascii="Times New Roman" w:hAnsi="Times New Roman"/>
                <w:szCs w:val="21"/>
                <w:vertAlign w:val="superscript"/>
              </w:rPr>
              <w:t>3</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r w:rsidR="00525419">
        <w:trPr>
          <w:trHeight w:val="225"/>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NOx</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90mg/Nm</w:t>
            </w:r>
            <w:r>
              <w:rPr>
                <w:rFonts w:ascii="Times New Roman" w:hAnsi="Times New Roman"/>
                <w:szCs w:val="21"/>
                <w:vertAlign w:val="superscript"/>
              </w:rPr>
              <w:t>3</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1.10kg/h</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400 mg/Nm</w:t>
            </w:r>
            <w:r>
              <w:rPr>
                <w:rFonts w:ascii="Times New Roman" w:hAnsi="Times New Roman"/>
                <w:szCs w:val="21"/>
                <w:vertAlign w:val="superscript"/>
              </w:rPr>
              <w:t>3</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r w:rsidR="00525419">
        <w:trPr>
          <w:trHeight w:val="90"/>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导热油锅炉烟气</w:t>
            </w: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烟尘</w:t>
            </w:r>
          </w:p>
        </w:tc>
        <w:tc>
          <w:tcPr>
            <w:tcW w:w="1701"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布袋除尘器</w:t>
            </w:r>
            <w:r>
              <w:rPr>
                <w:rFonts w:ascii="Times New Roman" w:hAnsi="Times New Roman"/>
                <w:szCs w:val="21"/>
              </w:rPr>
              <w:t>+</w:t>
            </w:r>
            <w:r>
              <w:rPr>
                <w:rFonts w:ascii="Times New Roman" w:hAnsi="Times New Roman"/>
                <w:szCs w:val="21"/>
              </w:rPr>
              <w:t>双碱法脱硫</w:t>
            </w:r>
            <w:r>
              <w:rPr>
                <w:rFonts w:ascii="Times New Roman" w:hAnsi="Times New Roman"/>
                <w:szCs w:val="21"/>
              </w:rPr>
              <w:t>+</w:t>
            </w:r>
            <w:r>
              <w:rPr>
                <w:rFonts w:ascii="Times New Roman" w:hAnsi="Times New Roman"/>
                <w:szCs w:val="21"/>
              </w:rPr>
              <w:t>双氧水脱硝</w:t>
            </w: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14.9mg/Nm</w:t>
            </w:r>
            <w:r>
              <w:rPr>
                <w:rFonts w:ascii="Times New Roman" w:hAnsi="Times New Roman"/>
                <w:szCs w:val="21"/>
                <w:vertAlign w:val="superscript"/>
              </w:rPr>
              <w:t>3</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0.33kg/h</w:t>
            </w:r>
          </w:p>
        </w:tc>
        <w:tc>
          <w:tcPr>
            <w:tcW w:w="1364"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通过</w:t>
            </w:r>
            <w:r>
              <w:rPr>
                <w:rFonts w:ascii="Times New Roman" w:hAnsi="Times New Roman"/>
                <w:szCs w:val="21"/>
              </w:rPr>
              <w:t>1</w:t>
            </w:r>
            <w:r>
              <w:rPr>
                <w:rFonts w:ascii="Times New Roman" w:hAnsi="Times New Roman"/>
                <w:szCs w:val="21"/>
              </w:rPr>
              <w:t>根</w:t>
            </w:r>
            <w:r>
              <w:rPr>
                <w:rFonts w:ascii="Times New Roman" w:hAnsi="Times New Roman"/>
                <w:szCs w:val="21"/>
              </w:rPr>
              <w:t>45m</w:t>
            </w:r>
            <w:r>
              <w:rPr>
                <w:rFonts w:ascii="Times New Roman" w:hAnsi="Times New Roman"/>
                <w:szCs w:val="21"/>
              </w:rPr>
              <w:t>高烟囱排放到大气</w:t>
            </w: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50 mg/Nm</w:t>
            </w:r>
            <w:r>
              <w:rPr>
                <w:rFonts w:ascii="Times New Roman" w:hAnsi="Times New Roman"/>
                <w:szCs w:val="21"/>
                <w:vertAlign w:val="superscript"/>
              </w:rPr>
              <w:t>3</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r w:rsidR="00525419">
        <w:trPr>
          <w:trHeight w:val="163"/>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4mg/Nm</w:t>
            </w:r>
            <w:r>
              <w:rPr>
                <w:rFonts w:ascii="Times New Roman" w:hAnsi="Times New Roman"/>
                <w:szCs w:val="21"/>
                <w:vertAlign w:val="superscript"/>
              </w:rPr>
              <w:t>3</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0.09kg/h</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300 mg/Nm</w:t>
            </w:r>
            <w:r>
              <w:rPr>
                <w:rFonts w:ascii="Times New Roman" w:hAnsi="Times New Roman"/>
                <w:szCs w:val="21"/>
                <w:vertAlign w:val="superscript"/>
              </w:rPr>
              <w:t>3</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r w:rsidR="00525419">
        <w:trPr>
          <w:trHeight w:val="90"/>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NOx</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69mg/Nm</w:t>
            </w:r>
            <w:r>
              <w:rPr>
                <w:rFonts w:ascii="Times New Roman" w:hAnsi="Times New Roman"/>
                <w:szCs w:val="21"/>
                <w:vertAlign w:val="superscript"/>
              </w:rPr>
              <w:t>3</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1.54kg/h</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300mg/Nm</w:t>
            </w:r>
            <w:r>
              <w:rPr>
                <w:rFonts w:ascii="Times New Roman" w:hAnsi="Times New Roman"/>
                <w:szCs w:val="21"/>
                <w:vertAlign w:val="superscript"/>
              </w:rPr>
              <w:t>3</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r w:rsidR="00525419">
        <w:trPr>
          <w:trHeight w:val="210"/>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常加热炉烟气</w:t>
            </w: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烟尘</w:t>
            </w:r>
          </w:p>
        </w:tc>
        <w:tc>
          <w:tcPr>
            <w:tcW w:w="1701"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清洁燃料</w:t>
            </w: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2.6mg/Nm</w:t>
            </w:r>
            <w:r>
              <w:rPr>
                <w:rFonts w:ascii="Times New Roman" w:hAnsi="Times New Roman"/>
                <w:szCs w:val="21"/>
                <w:vertAlign w:val="superscript"/>
              </w:rPr>
              <w:t>3</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0.04kg/h</w:t>
            </w:r>
          </w:p>
        </w:tc>
        <w:tc>
          <w:tcPr>
            <w:tcW w:w="1364"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通过</w:t>
            </w:r>
            <w:r>
              <w:rPr>
                <w:rFonts w:ascii="Times New Roman" w:hAnsi="Times New Roman"/>
                <w:szCs w:val="21"/>
              </w:rPr>
              <w:t>1</w:t>
            </w:r>
            <w:r>
              <w:rPr>
                <w:rFonts w:ascii="Times New Roman" w:hAnsi="Times New Roman"/>
                <w:szCs w:val="21"/>
              </w:rPr>
              <w:t>根</w:t>
            </w:r>
            <w:r>
              <w:rPr>
                <w:rFonts w:ascii="Times New Roman" w:hAnsi="Times New Roman"/>
                <w:szCs w:val="21"/>
              </w:rPr>
              <w:t>34m</w:t>
            </w:r>
            <w:r>
              <w:rPr>
                <w:rFonts w:ascii="Times New Roman" w:hAnsi="Times New Roman"/>
                <w:szCs w:val="21"/>
              </w:rPr>
              <w:t>烟囱排放到大气</w:t>
            </w: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20 mg/Nm</w:t>
            </w:r>
            <w:r>
              <w:rPr>
                <w:rFonts w:ascii="Times New Roman" w:hAnsi="Times New Roman"/>
                <w:szCs w:val="21"/>
                <w:vertAlign w:val="superscript"/>
              </w:rPr>
              <w:t>3</w:t>
            </w:r>
          </w:p>
        </w:tc>
        <w:tc>
          <w:tcPr>
            <w:tcW w:w="1166" w:type="dxa"/>
            <w:tcBorders>
              <w:tl2br w:val="nil"/>
              <w:tr2bl w:val="nil"/>
            </w:tcBorders>
            <w:vAlign w:val="center"/>
          </w:tcPr>
          <w:p w:rsidR="00525419" w:rsidRDefault="00EE1CF7">
            <w:pPr>
              <w:rPr>
                <w:rFonts w:ascii="Times New Roman" w:hAnsi="Times New Roman"/>
                <w:b/>
                <w:szCs w:val="21"/>
              </w:rPr>
            </w:pPr>
            <w:r>
              <w:rPr>
                <w:rFonts w:ascii="Times New Roman" w:hAnsi="Times New Roman"/>
                <w:szCs w:val="21"/>
              </w:rPr>
              <w:t>达标</w:t>
            </w:r>
          </w:p>
        </w:tc>
      </w:tr>
      <w:tr w:rsidR="00525419">
        <w:trPr>
          <w:trHeight w:val="255"/>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12mg/Nm</w:t>
            </w:r>
            <w:r>
              <w:rPr>
                <w:rFonts w:ascii="Times New Roman" w:hAnsi="Times New Roman"/>
                <w:szCs w:val="21"/>
                <w:vertAlign w:val="superscript"/>
              </w:rPr>
              <w:t>3</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0.18kg/h</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100 mg/Nm</w:t>
            </w:r>
            <w:r>
              <w:rPr>
                <w:rFonts w:ascii="Times New Roman" w:hAnsi="Times New Roman"/>
                <w:szCs w:val="21"/>
                <w:vertAlign w:val="superscript"/>
              </w:rPr>
              <w:t>3</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r w:rsidR="00525419">
        <w:trPr>
          <w:trHeight w:val="240"/>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NOx</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67mg/Nm</w:t>
            </w:r>
            <w:r>
              <w:rPr>
                <w:rFonts w:ascii="Times New Roman" w:hAnsi="Times New Roman"/>
                <w:szCs w:val="21"/>
                <w:vertAlign w:val="superscript"/>
              </w:rPr>
              <w:t>3</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1.03kg/h</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150 mg/Nm</w:t>
            </w:r>
            <w:r>
              <w:rPr>
                <w:rFonts w:ascii="Times New Roman" w:hAnsi="Times New Roman"/>
                <w:szCs w:val="21"/>
                <w:vertAlign w:val="superscript"/>
              </w:rPr>
              <w:t>3</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r w:rsidR="00525419">
        <w:trPr>
          <w:trHeight w:val="245"/>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减加热炉烟气</w:t>
            </w: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烟尘</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3.5mg/Nm</w:t>
            </w:r>
            <w:r>
              <w:rPr>
                <w:rFonts w:ascii="Times New Roman" w:hAnsi="Times New Roman"/>
                <w:szCs w:val="21"/>
                <w:vertAlign w:val="superscript"/>
              </w:rPr>
              <w:t>3</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0.03kg/h</w:t>
            </w:r>
          </w:p>
        </w:tc>
        <w:tc>
          <w:tcPr>
            <w:tcW w:w="1364"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通过</w:t>
            </w:r>
            <w:r>
              <w:rPr>
                <w:rFonts w:ascii="Times New Roman" w:hAnsi="Times New Roman"/>
                <w:szCs w:val="21"/>
              </w:rPr>
              <w:t>1</w:t>
            </w:r>
            <w:r>
              <w:rPr>
                <w:rFonts w:ascii="Times New Roman" w:hAnsi="Times New Roman"/>
                <w:szCs w:val="21"/>
              </w:rPr>
              <w:t>根</w:t>
            </w:r>
            <w:r>
              <w:rPr>
                <w:rFonts w:ascii="Times New Roman" w:hAnsi="Times New Roman"/>
                <w:szCs w:val="21"/>
              </w:rPr>
              <w:t>34m</w:t>
            </w:r>
            <w:r>
              <w:rPr>
                <w:rFonts w:ascii="Times New Roman" w:hAnsi="Times New Roman"/>
                <w:szCs w:val="21"/>
              </w:rPr>
              <w:t>烟囱排放到大气</w:t>
            </w: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20 mg/Nm</w:t>
            </w:r>
            <w:r>
              <w:rPr>
                <w:rFonts w:ascii="Times New Roman" w:hAnsi="Times New Roman"/>
                <w:szCs w:val="21"/>
                <w:vertAlign w:val="superscript"/>
              </w:rPr>
              <w:t>3</w:t>
            </w:r>
          </w:p>
        </w:tc>
        <w:tc>
          <w:tcPr>
            <w:tcW w:w="1166" w:type="dxa"/>
            <w:tcBorders>
              <w:tl2br w:val="nil"/>
              <w:tr2bl w:val="nil"/>
            </w:tcBorders>
            <w:vAlign w:val="center"/>
          </w:tcPr>
          <w:p w:rsidR="00525419" w:rsidRDefault="00EE1CF7">
            <w:pPr>
              <w:rPr>
                <w:rFonts w:ascii="Times New Roman" w:hAnsi="Times New Roman"/>
                <w:b/>
                <w:szCs w:val="21"/>
              </w:rPr>
            </w:pPr>
            <w:r>
              <w:rPr>
                <w:rFonts w:ascii="Times New Roman" w:hAnsi="Times New Roman"/>
                <w:szCs w:val="21"/>
              </w:rPr>
              <w:t>达标</w:t>
            </w:r>
          </w:p>
        </w:tc>
      </w:tr>
      <w:tr w:rsidR="00525419">
        <w:trPr>
          <w:trHeight w:val="195"/>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29mg/Nm</w:t>
            </w:r>
            <w:r>
              <w:rPr>
                <w:rFonts w:ascii="Times New Roman" w:hAnsi="Times New Roman"/>
                <w:szCs w:val="21"/>
                <w:vertAlign w:val="superscript"/>
              </w:rPr>
              <w:t>3</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0.28kg/h</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100 mg/Nm</w:t>
            </w:r>
            <w:r>
              <w:rPr>
                <w:rFonts w:ascii="Times New Roman" w:hAnsi="Times New Roman"/>
                <w:szCs w:val="21"/>
                <w:vertAlign w:val="superscript"/>
              </w:rPr>
              <w:t>3</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r w:rsidR="00525419">
        <w:trPr>
          <w:trHeight w:val="90"/>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NOx</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39mg/Nm</w:t>
            </w:r>
            <w:r>
              <w:rPr>
                <w:rFonts w:ascii="Times New Roman" w:hAnsi="Times New Roman"/>
                <w:szCs w:val="21"/>
                <w:vertAlign w:val="superscript"/>
              </w:rPr>
              <w:t>3</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0.37kg/h</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150 mg/Nm</w:t>
            </w:r>
            <w:r>
              <w:rPr>
                <w:rFonts w:ascii="Times New Roman" w:hAnsi="Times New Roman"/>
                <w:szCs w:val="21"/>
                <w:vertAlign w:val="superscript"/>
              </w:rPr>
              <w:t>3</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r w:rsidR="00525419">
        <w:trPr>
          <w:trHeight w:val="225"/>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污水处理站臭气</w:t>
            </w: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苯</w:t>
            </w:r>
          </w:p>
        </w:tc>
        <w:tc>
          <w:tcPr>
            <w:tcW w:w="1701"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加盖收集后</w:t>
            </w:r>
            <w:r>
              <w:rPr>
                <w:rFonts w:ascii="Times New Roman" w:hAnsi="Times New Roman"/>
                <w:szCs w:val="21"/>
              </w:rPr>
              <w:t>+</w:t>
            </w:r>
            <w:r>
              <w:rPr>
                <w:rFonts w:ascii="Times New Roman" w:hAnsi="Times New Roman"/>
                <w:szCs w:val="21"/>
              </w:rPr>
              <w:t>生物滤床除臭</w:t>
            </w: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3.33mg/Nm</w:t>
            </w:r>
            <w:r>
              <w:rPr>
                <w:rFonts w:ascii="Times New Roman" w:hAnsi="Times New Roman"/>
                <w:szCs w:val="21"/>
                <w:vertAlign w:val="superscript"/>
              </w:rPr>
              <w:t>3</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0.021kg/h</w:t>
            </w:r>
          </w:p>
        </w:tc>
        <w:tc>
          <w:tcPr>
            <w:tcW w:w="1364" w:type="dxa"/>
            <w:vMerge w:val="restart"/>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通过</w:t>
            </w:r>
            <w:r>
              <w:rPr>
                <w:rFonts w:ascii="Times New Roman" w:hAnsi="Times New Roman"/>
                <w:szCs w:val="21"/>
              </w:rPr>
              <w:t>15m</w:t>
            </w:r>
            <w:r>
              <w:rPr>
                <w:rFonts w:ascii="Times New Roman" w:hAnsi="Times New Roman"/>
                <w:szCs w:val="21"/>
              </w:rPr>
              <w:t>高排气筒排放到大气</w:t>
            </w: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4 mg/Nm</w:t>
            </w:r>
            <w:r>
              <w:rPr>
                <w:rFonts w:ascii="Times New Roman" w:hAnsi="Times New Roman"/>
                <w:szCs w:val="21"/>
                <w:vertAlign w:val="superscript"/>
              </w:rPr>
              <w:t>3</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r w:rsidR="00525419">
        <w:trPr>
          <w:trHeight w:val="225"/>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甲苯</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2.35mg/Nm</w:t>
            </w:r>
            <w:r>
              <w:rPr>
                <w:rFonts w:ascii="Times New Roman" w:hAnsi="Times New Roman"/>
                <w:szCs w:val="21"/>
                <w:vertAlign w:val="superscript"/>
              </w:rPr>
              <w:t>3</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0.015kg/h</w:t>
            </w:r>
          </w:p>
        </w:tc>
        <w:tc>
          <w:tcPr>
            <w:tcW w:w="1364" w:type="dxa"/>
            <w:vMerge/>
            <w:tcBorders>
              <w:tl2br w:val="nil"/>
              <w:tr2bl w:val="nil"/>
            </w:tcBorders>
            <w:vAlign w:val="center"/>
          </w:tcPr>
          <w:p w:rsidR="00525419" w:rsidRDefault="00525419">
            <w:pPr>
              <w:spacing w:line="240" w:lineRule="exact"/>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15mg/Nm</w:t>
            </w:r>
            <w:r>
              <w:rPr>
                <w:rFonts w:ascii="Times New Roman" w:hAnsi="Times New Roman"/>
                <w:szCs w:val="21"/>
                <w:vertAlign w:val="superscript"/>
              </w:rPr>
              <w:t>3</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r w:rsidR="00525419">
        <w:trPr>
          <w:trHeight w:val="225"/>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二甲苯</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r>
              <w:rPr>
                <w:rFonts w:ascii="Times New Roman" w:hAnsi="Times New Roman"/>
                <w:szCs w:val="21"/>
              </w:rPr>
              <w:t>1.5×10</w:t>
            </w:r>
            <w:r>
              <w:rPr>
                <w:rFonts w:ascii="Times New Roman" w:hAnsi="Times New Roman"/>
                <w:szCs w:val="21"/>
                <w:vertAlign w:val="superscript"/>
              </w:rPr>
              <w:t>-3</w:t>
            </w:r>
            <w:r>
              <w:rPr>
                <w:rFonts w:ascii="Times New Roman" w:hAnsi="Times New Roman"/>
                <w:szCs w:val="21"/>
              </w:rPr>
              <w:t>mg/Nm</w:t>
            </w:r>
            <w:r>
              <w:rPr>
                <w:rFonts w:ascii="Times New Roman" w:hAnsi="Times New Roman"/>
                <w:szCs w:val="21"/>
                <w:vertAlign w:val="superscript"/>
              </w:rPr>
              <w:t>3</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tcBorders>
              <w:tl2br w:val="nil"/>
              <w:tr2bl w:val="nil"/>
            </w:tcBorders>
            <w:vAlign w:val="center"/>
          </w:tcPr>
          <w:p w:rsidR="00525419" w:rsidRDefault="00525419">
            <w:pPr>
              <w:spacing w:line="240" w:lineRule="exact"/>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20mg/Nm</w:t>
            </w:r>
            <w:r>
              <w:rPr>
                <w:rFonts w:ascii="Times New Roman" w:hAnsi="Times New Roman"/>
                <w:szCs w:val="21"/>
                <w:vertAlign w:val="superscript"/>
              </w:rPr>
              <w:t>3</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r w:rsidR="00525419">
        <w:trPr>
          <w:trHeight w:val="225"/>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硫化氢</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tcBorders>
              <w:tl2br w:val="nil"/>
              <w:tr2bl w:val="nil"/>
            </w:tcBorders>
            <w:vAlign w:val="center"/>
          </w:tcPr>
          <w:p w:rsidR="00525419" w:rsidRDefault="00525419">
            <w:pPr>
              <w:spacing w:line="240" w:lineRule="exact"/>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0.33kg/h</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r w:rsidR="00525419">
        <w:trPr>
          <w:trHeight w:val="288"/>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非甲烷总烃</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1.46 mg/Nm</w:t>
            </w:r>
            <w:r>
              <w:rPr>
                <w:rFonts w:ascii="Times New Roman" w:hAnsi="Times New Roman"/>
                <w:szCs w:val="21"/>
                <w:vertAlign w:val="superscript"/>
              </w:rPr>
              <w:t>3</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0.009kg/h</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120mg/Nm</w:t>
            </w:r>
            <w:r>
              <w:rPr>
                <w:rFonts w:ascii="Times New Roman" w:hAnsi="Times New Roman"/>
                <w:szCs w:val="21"/>
                <w:vertAlign w:val="superscript"/>
              </w:rPr>
              <w:t>3</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r w:rsidR="00525419">
        <w:trPr>
          <w:trHeight w:val="288"/>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臭气浓度</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1086</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2000</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r w:rsidR="00525419">
        <w:trPr>
          <w:trHeight w:val="471"/>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厂界无组织废气</w:t>
            </w: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硫化氢</w:t>
            </w:r>
          </w:p>
        </w:tc>
        <w:tc>
          <w:tcPr>
            <w:tcW w:w="1701"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r>
              <w:rPr>
                <w:rFonts w:ascii="Times New Roman" w:hAnsi="Times New Roman"/>
                <w:szCs w:val="21"/>
              </w:rPr>
              <w:t>0.005mg/Nm</w:t>
            </w:r>
            <w:r>
              <w:rPr>
                <w:rFonts w:ascii="Times New Roman" w:hAnsi="Times New Roman"/>
                <w:szCs w:val="21"/>
                <w:vertAlign w:val="superscript"/>
              </w:rPr>
              <w:t>3</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大气</w:t>
            </w: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0.06mg/Nm</w:t>
            </w:r>
            <w:r>
              <w:rPr>
                <w:rFonts w:ascii="Times New Roman" w:hAnsi="Times New Roman"/>
                <w:szCs w:val="21"/>
                <w:vertAlign w:val="superscript"/>
              </w:rPr>
              <w:t>3</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r w:rsidR="00525419">
        <w:trPr>
          <w:trHeight w:val="240"/>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氨</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0.16mg/Nm</w:t>
            </w:r>
            <w:r>
              <w:rPr>
                <w:rFonts w:ascii="Times New Roman" w:hAnsi="Times New Roman"/>
                <w:szCs w:val="21"/>
                <w:vertAlign w:val="superscript"/>
              </w:rPr>
              <w:t>3</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1.5mg/Nm</w:t>
            </w:r>
            <w:r>
              <w:rPr>
                <w:rFonts w:ascii="Times New Roman" w:hAnsi="Times New Roman"/>
                <w:szCs w:val="21"/>
                <w:vertAlign w:val="superscript"/>
              </w:rPr>
              <w:t>3</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r w:rsidR="00525419">
        <w:trPr>
          <w:trHeight w:val="240"/>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颗粒物</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0.2mg/Nm</w:t>
            </w:r>
            <w:r>
              <w:rPr>
                <w:rFonts w:ascii="Times New Roman" w:hAnsi="Times New Roman"/>
                <w:szCs w:val="21"/>
                <w:vertAlign w:val="superscript"/>
              </w:rPr>
              <w:t>3</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1.0mg/Nm</w:t>
            </w:r>
            <w:r>
              <w:rPr>
                <w:rFonts w:ascii="Times New Roman" w:hAnsi="Times New Roman"/>
                <w:szCs w:val="21"/>
                <w:vertAlign w:val="superscript"/>
              </w:rPr>
              <w:t>3</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r w:rsidR="00525419">
        <w:trPr>
          <w:trHeight w:val="240"/>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氯化氢</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0.19mg/Nm</w:t>
            </w:r>
            <w:r>
              <w:rPr>
                <w:rFonts w:ascii="Times New Roman" w:hAnsi="Times New Roman"/>
                <w:szCs w:val="21"/>
                <w:vertAlign w:val="superscript"/>
              </w:rPr>
              <w:t>3</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0.2mg/Nm</w:t>
            </w:r>
            <w:r>
              <w:rPr>
                <w:rFonts w:ascii="Times New Roman" w:hAnsi="Times New Roman"/>
                <w:szCs w:val="21"/>
                <w:vertAlign w:val="superscript"/>
              </w:rPr>
              <w:t>3</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r w:rsidR="00525419">
        <w:trPr>
          <w:trHeight w:val="240"/>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苯</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r>
              <w:rPr>
                <w:rFonts w:ascii="Times New Roman" w:hAnsi="Times New Roman"/>
                <w:szCs w:val="21"/>
              </w:rPr>
              <w:t>1.5×10</w:t>
            </w:r>
            <w:r>
              <w:rPr>
                <w:rFonts w:ascii="Times New Roman" w:hAnsi="Times New Roman"/>
                <w:szCs w:val="21"/>
                <w:vertAlign w:val="superscript"/>
              </w:rPr>
              <w:t>-3</w:t>
            </w:r>
            <w:r>
              <w:rPr>
                <w:rFonts w:ascii="Times New Roman" w:hAnsi="Times New Roman"/>
                <w:szCs w:val="21"/>
              </w:rPr>
              <w:t>mg/Nm</w:t>
            </w:r>
            <w:r>
              <w:rPr>
                <w:rFonts w:ascii="Times New Roman" w:hAnsi="Times New Roman"/>
                <w:szCs w:val="21"/>
                <w:vertAlign w:val="superscript"/>
              </w:rPr>
              <w:t>3</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0.4mg/Nm</w:t>
            </w:r>
            <w:r>
              <w:rPr>
                <w:rFonts w:ascii="Times New Roman" w:hAnsi="Times New Roman"/>
                <w:szCs w:val="21"/>
                <w:vertAlign w:val="superscript"/>
              </w:rPr>
              <w:t>3</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r w:rsidR="00525419">
        <w:trPr>
          <w:trHeight w:val="240"/>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甲苯</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r>
              <w:rPr>
                <w:rFonts w:ascii="Times New Roman" w:hAnsi="Times New Roman"/>
                <w:szCs w:val="21"/>
              </w:rPr>
              <w:t>1.5×10</w:t>
            </w:r>
            <w:r>
              <w:rPr>
                <w:rFonts w:ascii="Times New Roman" w:hAnsi="Times New Roman"/>
                <w:szCs w:val="21"/>
                <w:vertAlign w:val="superscript"/>
              </w:rPr>
              <w:t>-3</w:t>
            </w:r>
            <w:r>
              <w:rPr>
                <w:rFonts w:ascii="Times New Roman" w:hAnsi="Times New Roman"/>
                <w:szCs w:val="21"/>
              </w:rPr>
              <w:t>mg/Nm</w:t>
            </w:r>
            <w:r>
              <w:rPr>
                <w:rFonts w:ascii="Times New Roman" w:hAnsi="Times New Roman"/>
                <w:szCs w:val="21"/>
                <w:vertAlign w:val="superscript"/>
              </w:rPr>
              <w:t>3</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0.8mg/Nm</w:t>
            </w:r>
            <w:r>
              <w:rPr>
                <w:rFonts w:ascii="Times New Roman" w:hAnsi="Times New Roman"/>
                <w:szCs w:val="21"/>
                <w:vertAlign w:val="superscript"/>
              </w:rPr>
              <w:t>3</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r w:rsidR="00525419">
        <w:trPr>
          <w:trHeight w:val="240"/>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二甲苯</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r>
              <w:rPr>
                <w:rFonts w:ascii="Times New Roman" w:hAnsi="Times New Roman"/>
                <w:szCs w:val="21"/>
              </w:rPr>
              <w:t>1.5×10</w:t>
            </w:r>
            <w:r>
              <w:rPr>
                <w:rFonts w:ascii="Times New Roman" w:hAnsi="Times New Roman"/>
                <w:szCs w:val="21"/>
                <w:vertAlign w:val="superscript"/>
              </w:rPr>
              <w:t>-3</w:t>
            </w:r>
            <w:r>
              <w:rPr>
                <w:rFonts w:ascii="Times New Roman" w:hAnsi="Times New Roman"/>
                <w:szCs w:val="21"/>
              </w:rPr>
              <w:t>mg/Nm</w:t>
            </w:r>
            <w:r>
              <w:rPr>
                <w:rFonts w:ascii="Times New Roman" w:hAnsi="Times New Roman"/>
                <w:szCs w:val="21"/>
                <w:vertAlign w:val="superscript"/>
              </w:rPr>
              <w:t>3</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0.8mg/Nm</w:t>
            </w:r>
            <w:r>
              <w:rPr>
                <w:rFonts w:ascii="Times New Roman" w:hAnsi="Times New Roman"/>
                <w:szCs w:val="21"/>
                <w:vertAlign w:val="superscript"/>
              </w:rPr>
              <w:t>3</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r w:rsidR="00525419">
        <w:trPr>
          <w:trHeight w:val="240"/>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臭气浓度</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r>
              <w:rPr>
                <w:rFonts w:ascii="Times New Roman" w:hAnsi="Times New Roman"/>
                <w:szCs w:val="21"/>
              </w:rPr>
              <w:t>10</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20</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r w:rsidR="00525419">
        <w:trPr>
          <w:trHeight w:val="90"/>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非甲烷总烃</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0.91mg/Nm</w:t>
            </w:r>
            <w:r>
              <w:rPr>
                <w:rFonts w:ascii="Times New Roman" w:hAnsi="Times New Roman"/>
                <w:szCs w:val="21"/>
                <w:vertAlign w:val="superscript"/>
              </w:rPr>
              <w:t>3</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4mg/Nm</w:t>
            </w:r>
            <w:r>
              <w:rPr>
                <w:rFonts w:ascii="Times New Roman" w:hAnsi="Times New Roman"/>
                <w:szCs w:val="21"/>
                <w:vertAlign w:val="superscript"/>
              </w:rPr>
              <w:t>3</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r w:rsidR="00525419">
        <w:trPr>
          <w:trHeight w:val="166"/>
          <w:jc w:val="center"/>
        </w:trPr>
        <w:tc>
          <w:tcPr>
            <w:tcW w:w="660"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废水</w:t>
            </w:r>
          </w:p>
        </w:tc>
        <w:tc>
          <w:tcPr>
            <w:tcW w:w="1091"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超滤端</w:t>
            </w:r>
          </w:p>
          <w:p w:rsidR="00525419" w:rsidRDefault="00EE1CF7">
            <w:pPr>
              <w:rPr>
                <w:rFonts w:ascii="Times New Roman" w:hAnsi="Times New Roman"/>
                <w:szCs w:val="21"/>
              </w:rPr>
            </w:pPr>
            <w:r>
              <w:rPr>
                <w:rFonts w:ascii="Times New Roman" w:hAnsi="Times New Roman"/>
                <w:szCs w:val="21"/>
              </w:rPr>
              <w:t>出口</w:t>
            </w: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三氯甲烷</w:t>
            </w:r>
          </w:p>
        </w:tc>
        <w:tc>
          <w:tcPr>
            <w:tcW w:w="1701"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污水站的处理工艺采用预处理</w:t>
            </w:r>
            <w:r>
              <w:rPr>
                <w:rFonts w:ascii="Times New Roman" w:hAnsi="Times New Roman"/>
                <w:szCs w:val="21"/>
              </w:rPr>
              <w:t xml:space="preserve">+A/O </w:t>
            </w:r>
            <w:r>
              <w:rPr>
                <w:rFonts w:ascii="Times New Roman" w:hAnsi="Times New Roman"/>
                <w:szCs w:val="21"/>
              </w:rPr>
              <w:t>生化处理</w:t>
            </w:r>
            <w:r>
              <w:rPr>
                <w:rFonts w:ascii="Times New Roman" w:hAnsi="Times New Roman"/>
                <w:szCs w:val="21"/>
              </w:rPr>
              <w:t>+</w:t>
            </w:r>
            <w:r>
              <w:rPr>
                <w:rFonts w:ascii="Times New Roman" w:hAnsi="Times New Roman"/>
                <w:szCs w:val="21"/>
              </w:rPr>
              <w:t>深度处理</w:t>
            </w:r>
            <w:r>
              <w:rPr>
                <w:rFonts w:ascii="Times New Roman" w:hAnsi="Times New Roman"/>
                <w:szCs w:val="21"/>
              </w:rPr>
              <w:t>+</w:t>
            </w:r>
            <w:r>
              <w:rPr>
                <w:rFonts w:ascii="Times New Roman" w:hAnsi="Times New Roman"/>
                <w:szCs w:val="21"/>
              </w:rPr>
              <w:t>超滤处理</w:t>
            </w: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1.8×10</w:t>
            </w:r>
            <w:r>
              <w:rPr>
                <w:rFonts w:ascii="Times New Roman" w:hAnsi="Times New Roman"/>
                <w:szCs w:val="21"/>
                <w:vertAlign w:val="superscript"/>
              </w:rPr>
              <w:t>-3</w:t>
            </w:r>
            <w:r>
              <w:rPr>
                <w:rFonts w:ascii="Times New Roman" w:hAnsi="Times New Roman"/>
                <w:szCs w:val="21"/>
              </w:rPr>
              <w:t>mg/L</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循环冷却补水</w:t>
            </w: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0.3mg/L</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满足要求</w:t>
            </w:r>
          </w:p>
        </w:tc>
      </w:tr>
      <w:tr w:rsidR="00525419">
        <w:trPr>
          <w:trHeight w:val="319"/>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四氯化碳</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r>
              <w:rPr>
                <w:rFonts w:ascii="Times New Roman" w:hAnsi="Times New Roman"/>
                <w:szCs w:val="21"/>
              </w:rPr>
              <w:t>0.4×10</w:t>
            </w:r>
            <w:r>
              <w:rPr>
                <w:rFonts w:ascii="Times New Roman" w:hAnsi="Times New Roman"/>
                <w:szCs w:val="21"/>
                <w:vertAlign w:val="superscript"/>
              </w:rPr>
              <w:t>-3</w:t>
            </w:r>
            <w:r>
              <w:rPr>
                <w:rFonts w:ascii="Times New Roman" w:hAnsi="Times New Roman"/>
                <w:szCs w:val="21"/>
              </w:rPr>
              <w:t>mg/L</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0.03mg/L</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满足要求</w:t>
            </w:r>
          </w:p>
        </w:tc>
      </w:tr>
      <w:tr w:rsidR="00525419">
        <w:trPr>
          <w:trHeight w:val="319"/>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三氯乙烯</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r>
              <w:rPr>
                <w:rFonts w:ascii="Times New Roman" w:hAnsi="Times New Roman"/>
                <w:szCs w:val="21"/>
              </w:rPr>
              <w:t>0.4×10</w:t>
            </w:r>
            <w:r>
              <w:rPr>
                <w:rFonts w:ascii="Times New Roman" w:hAnsi="Times New Roman"/>
                <w:szCs w:val="21"/>
                <w:vertAlign w:val="superscript"/>
              </w:rPr>
              <w:t>-3</w:t>
            </w:r>
            <w:r>
              <w:rPr>
                <w:rFonts w:ascii="Times New Roman" w:hAnsi="Times New Roman"/>
                <w:szCs w:val="21"/>
              </w:rPr>
              <w:t>mg/L</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0.3mg/L</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满足要求</w:t>
            </w:r>
          </w:p>
        </w:tc>
      </w:tr>
      <w:tr w:rsidR="00525419">
        <w:trPr>
          <w:trHeight w:val="319"/>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四氯乙烯</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0.4×10</w:t>
            </w:r>
            <w:r>
              <w:rPr>
                <w:rFonts w:ascii="Times New Roman" w:hAnsi="Times New Roman"/>
                <w:szCs w:val="21"/>
                <w:vertAlign w:val="superscript"/>
              </w:rPr>
              <w:t>-3</w:t>
            </w:r>
            <w:r>
              <w:rPr>
                <w:rFonts w:ascii="Times New Roman" w:hAnsi="Times New Roman"/>
                <w:szCs w:val="21"/>
              </w:rPr>
              <w:t>mg/L</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0.1mg/L</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满足要求</w:t>
            </w:r>
          </w:p>
        </w:tc>
      </w:tr>
      <w:tr w:rsidR="00525419">
        <w:trPr>
          <w:trHeight w:val="90"/>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苯</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r>
              <w:rPr>
                <w:rFonts w:ascii="Times New Roman" w:hAnsi="Times New Roman"/>
                <w:szCs w:val="21"/>
              </w:rPr>
              <w:t>0.4×10</w:t>
            </w:r>
            <w:r>
              <w:rPr>
                <w:rFonts w:ascii="Times New Roman" w:hAnsi="Times New Roman"/>
                <w:szCs w:val="21"/>
                <w:vertAlign w:val="superscript"/>
              </w:rPr>
              <w:t>-3</w:t>
            </w:r>
            <w:r>
              <w:rPr>
                <w:rFonts w:ascii="Times New Roman" w:hAnsi="Times New Roman"/>
                <w:szCs w:val="21"/>
              </w:rPr>
              <w:t>mg/L</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0.1mg/L</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满足要求</w:t>
            </w:r>
          </w:p>
        </w:tc>
      </w:tr>
      <w:tr w:rsidR="00525419">
        <w:trPr>
          <w:trHeight w:val="319"/>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甲苯</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0.3×10</w:t>
            </w:r>
            <w:r>
              <w:rPr>
                <w:rFonts w:ascii="Times New Roman" w:hAnsi="Times New Roman"/>
                <w:szCs w:val="21"/>
                <w:vertAlign w:val="superscript"/>
              </w:rPr>
              <w:t>-3</w:t>
            </w:r>
            <w:r>
              <w:rPr>
                <w:rFonts w:ascii="Times New Roman" w:hAnsi="Times New Roman"/>
                <w:szCs w:val="21"/>
              </w:rPr>
              <w:t>mg/L</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0.1mg/L</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满足要求</w:t>
            </w:r>
          </w:p>
        </w:tc>
      </w:tr>
      <w:tr w:rsidR="00525419">
        <w:trPr>
          <w:trHeight w:val="319"/>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二甲苯</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r>
              <w:rPr>
                <w:rFonts w:ascii="Times New Roman" w:hAnsi="Times New Roman"/>
                <w:szCs w:val="21"/>
              </w:rPr>
              <w:t>0.3×10</w:t>
            </w:r>
            <w:r>
              <w:rPr>
                <w:rFonts w:ascii="Times New Roman" w:hAnsi="Times New Roman"/>
                <w:szCs w:val="21"/>
                <w:vertAlign w:val="superscript"/>
              </w:rPr>
              <w:t>-3</w:t>
            </w:r>
            <w:r>
              <w:rPr>
                <w:rFonts w:ascii="Times New Roman" w:hAnsi="Times New Roman"/>
                <w:szCs w:val="21"/>
              </w:rPr>
              <w:t>mg/L</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rPr>
            </w:pPr>
            <w:r>
              <w:rPr>
                <w:rFonts w:ascii="Times New Roman" w:hAnsi="Times New Roman"/>
              </w:rPr>
              <w:t>0.4</w:t>
            </w:r>
            <w:r>
              <w:rPr>
                <w:rFonts w:ascii="Times New Roman" w:hAnsi="Times New Roman"/>
                <w:szCs w:val="21"/>
              </w:rPr>
              <w:t>mg/L</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满足要求</w:t>
            </w:r>
          </w:p>
        </w:tc>
      </w:tr>
      <w:tr w:rsidR="00525419">
        <w:trPr>
          <w:trHeight w:val="319"/>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间</w:t>
            </w:r>
            <w:r>
              <w:rPr>
                <w:rFonts w:ascii="Times New Roman" w:hAnsi="Times New Roman"/>
                <w:szCs w:val="21"/>
              </w:rPr>
              <w:t>/</w:t>
            </w:r>
            <w:r>
              <w:rPr>
                <w:rFonts w:ascii="Times New Roman" w:hAnsi="Times New Roman"/>
                <w:szCs w:val="21"/>
              </w:rPr>
              <w:t>对二甲苯</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r>
              <w:rPr>
                <w:rFonts w:ascii="Times New Roman" w:hAnsi="Times New Roman"/>
                <w:szCs w:val="21"/>
              </w:rPr>
              <w:t>0.5×10</w:t>
            </w:r>
            <w:r>
              <w:rPr>
                <w:rFonts w:ascii="Times New Roman" w:hAnsi="Times New Roman"/>
                <w:szCs w:val="21"/>
                <w:vertAlign w:val="superscript"/>
              </w:rPr>
              <w:t>-3</w:t>
            </w:r>
            <w:r>
              <w:rPr>
                <w:rFonts w:ascii="Times New Roman" w:hAnsi="Times New Roman"/>
                <w:szCs w:val="21"/>
              </w:rPr>
              <w:t>mg/L</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0.4mg/L</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满足要求</w:t>
            </w:r>
          </w:p>
        </w:tc>
      </w:tr>
      <w:tr w:rsidR="00525419">
        <w:trPr>
          <w:trHeight w:val="319"/>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邻二甲苯</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r>
              <w:rPr>
                <w:rFonts w:ascii="Times New Roman" w:hAnsi="Times New Roman"/>
                <w:szCs w:val="21"/>
              </w:rPr>
              <w:t>0.2×10</w:t>
            </w:r>
            <w:r>
              <w:rPr>
                <w:rFonts w:ascii="Times New Roman" w:hAnsi="Times New Roman"/>
                <w:szCs w:val="21"/>
                <w:vertAlign w:val="superscript"/>
              </w:rPr>
              <w:t>-3</w:t>
            </w:r>
            <w:r>
              <w:rPr>
                <w:rFonts w:ascii="Times New Roman" w:hAnsi="Times New Roman"/>
                <w:szCs w:val="21"/>
              </w:rPr>
              <w:t>mg/L</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0.4mg/L</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满足要求</w:t>
            </w:r>
          </w:p>
        </w:tc>
      </w:tr>
      <w:tr w:rsidR="00525419">
        <w:trPr>
          <w:trHeight w:val="285"/>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氯苯</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r>
              <w:rPr>
                <w:rFonts w:ascii="Times New Roman" w:hAnsi="Times New Roman"/>
                <w:szCs w:val="21"/>
              </w:rPr>
              <w:t>0.2×10</w:t>
            </w:r>
            <w:r>
              <w:rPr>
                <w:rFonts w:ascii="Times New Roman" w:hAnsi="Times New Roman"/>
                <w:szCs w:val="21"/>
                <w:vertAlign w:val="superscript"/>
              </w:rPr>
              <w:t>-3</w:t>
            </w:r>
            <w:r>
              <w:rPr>
                <w:rFonts w:ascii="Times New Roman" w:hAnsi="Times New Roman"/>
                <w:szCs w:val="21"/>
              </w:rPr>
              <w:t>mg/L</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0.2mg/L</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满足要求</w:t>
            </w:r>
          </w:p>
        </w:tc>
      </w:tr>
      <w:tr w:rsidR="00525419">
        <w:trPr>
          <w:trHeight w:val="285"/>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1,4-</w:t>
            </w:r>
            <w:r>
              <w:rPr>
                <w:rFonts w:ascii="Times New Roman" w:hAnsi="Times New Roman"/>
                <w:szCs w:val="21"/>
              </w:rPr>
              <w:t>二氯苯</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r>
              <w:rPr>
                <w:rFonts w:ascii="Times New Roman" w:hAnsi="Times New Roman"/>
                <w:szCs w:val="21"/>
              </w:rPr>
              <w:t>0.4×10</w:t>
            </w:r>
            <w:r>
              <w:rPr>
                <w:rFonts w:ascii="Times New Roman" w:hAnsi="Times New Roman"/>
                <w:szCs w:val="21"/>
                <w:vertAlign w:val="superscript"/>
              </w:rPr>
              <w:t>-3</w:t>
            </w:r>
            <w:r>
              <w:rPr>
                <w:rFonts w:ascii="Times New Roman" w:hAnsi="Times New Roman"/>
                <w:szCs w:val="21"/>
              </w:rPr>
              <w:t>mg/L</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0.4mg/L</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满足要求</w:t>
            </w:r>
          </w:p>
        </w:tc>
      </w:tr>
      <w:tr w:rsidR="00525419">
        <w:trPr>
          <w:trHeight w:val="277"/>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1,2-</w:t>
            </w:r>
            <w:r>
              <w:rPr>
                <w:rFonts w:ascii="Times New Roman" w:hAnsi="Times New Roman"/>
                <w:szCs w:val="21"/>
              </w:rPr>
              <w:t>二氯苯</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r>
              <w:rPr>
                <w:rFonts w:ascii="Times New Roman" w:hAnsi="Times New Roman"/>
                <w:szCs w:val="21"/>
              </w:rPr>
              <w:t>0.4×10</w:t>
            </w:r>
            <w:r>
              <w:rPr>
                <w:rFonts w:ascii="Times New Roman" w:hAnsi="Times New Roman"/>
                <w:szCs w:val="21"/>
                <w:vertAlign w:val="superscript"/>
              </w:rPr>
              <w:t>-3</w:t>
            </w:r>
            <w:r>
              <w:rPr>
                <w:rFonts w:ascii="Times New Roman" w:hAnsi="Times New Roman"/>
                <w:szCs w:val="21"/>
              </w:rPr>
              <w:t>mg/L</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0.4mg/L</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满足要求</w:t>
            </w:r>
          </w:p>
        </w:tc>
      </w:tr>
      <w:tr w:rsidR="00525419">
        <w:trPr>
          <w:trHeight w:val="285"/>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1476"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VOC</w:t>
            </w:r>
            <w:r>
              <w:rPr>
                <w:rFonts w:ascii="Times New Roman" w:hAnsi="Times New Roman"/>
                <w:szCs w:val="21"/>
              </w:rPr>
              <w:t>总量</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2.5×10</w:t>
            </w:r>
            <w:r>
              <w:rPr>
                <w:rFonts w:ascii="Times New Roman" w:hAnsi="Times New Roman"/>
                <w:szCs w:val="21"/>
                <w:vertAlign w:val="superscript"/>
              </w:rPr>
              <w:t>-3</w:t>
            </w:r>
            <w:r>
              <w:rPr>
                <w:rFonts w:ascii="Times New Roman" w:hAnsi="Times New Roman"/>
                <w:szCs w:val="21"/>
              </w:rPr>
              <w:t>mg/L</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满足要求</w:t>
            </w:r>
          </w:p>
        </w:tc>
      </w:tr>
      <w:tr w:rsidR="00525419">
        <w:trPr>
          <w:trHeight w:val="120"/>
          <w:jc w:val="center"/>
        </w:trPr>
        <w:tc>
          <w:tcPr>
            <w:tcW w:w="660"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噪声</w:t>
            </w:r>
          </w:p>
        </w:tc>
        <w:tc>
          <w:tcPr>
            <w:tcW w:w="1091"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厂界</w:t>
            </w:r>
          </w:p>
        </w:tc>
        <w:tc>
          <w:tcPr>
            <w:tcW w:w="767" w:type="dxa"/>
            <w:vMerge w:val="restart"/>
            <w:tcBorders>
              <w:tl2br w:val="nil"/>
              <w:tr2bl w:val="nil"/>
            </w:tcBorders>
            <w:vAlign w:val="center"/>
          </w:tcPr>
          <w:p w:rsidR="00525419" w:rsidRDefault="00EE1CF7">
            <w:pPr>
              <w:rPr>
                <w:rFonts w:ascii="Times New Roman" w:hAnsi="Times New Roman"/>
                <w:kern w:val="0"/>
                <w:szCs w:val="21"/>
              </w:rPr>
            </w:pPr>
            <w:r>
              <w:rPr>
                <w:rFonts w:ascii="Times New Roman" w:hAnsi="Times New Roman"/>
                <w:kern w:val="0"/>
                <w:szCs w:val="21"/>
              </w:rPr>
              <w:t>南</w:t>
            </w:r>
          </w:p>
        </w:tc>
        <w:tc>
          <w:tcPr>
            <w:tcW w:w="709" w:type="dxa"/>
            <w:tcBorders>
              <w:tl2br w:val="nil"/>
              <w:tr2bl w:val="nil"/>
            </w:tcBorders>
            <w:vAlign w:val="center"/>
          </w:tcPr>
          <w:p w:rsidR="00525419" w:rsidRDefault="00EE1CF7">
            <w:pPr>
              <w:rPr>
                <w:rFonts w:ascii="Times New Roman" w:hAnsi="Times New Roman"/>
                <w:kern w:val="0"/>
                <w:szCs w:val="21"/>
              </w:rPr>
            </w:pPr>
            <w:r>
              <w:rPr>
                <w:rFonts w:ascii="Times New Roman" w:hAnsi="Times New Roman"/>
                <w:szCs w:val="21"/>
              </w:rPr>
              <w:t>昼间</w:t>
            </w:r>
          </w:p>
        </w:tc>
        <w:tc>
          <w:tcPr>
            <w:tcW w:w="1701"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隔振、减振、消声等</w:t>
            </w: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56.6 dB(A)</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65dB(A)</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r w:rsidR="00525419">
        <w:trPr>
          <w:trHeight w:val="255"/>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767" w:type="dxa"/>
            <w:vMerge/>
            <w:tcBorders>
              <w:tl2br w:val="nil"/>
              <w:tr2bl w:val="nil"/>
            </w:tcBorders>
            <w:vAlign w:val="center"/>
          </w:tcPr>
          <w:p w:rsidR="00525419" w:rsidRDefault="00525419">
            <w:pPr>
              <w:rPr>
                <w:rFonts w:ascii="Times New Roman" w:hAnsi="Times New Roman"/>
                <w:kern w:val="0"/>
                <w:szCs w:val="21"/>
              </w:rPr>
            </w:pPr>
          </w:p>
        </w:tc>
        <w:tc>
          <w:tcPr>
            <w:tcW w:w="709" w:type="dxa"/>
            <w:tcBorders>
              <w:tl2br w:val="nil"/>
              <w:tr2bl w:val="nil"/>
            </w:tcBorders>
            <w:vAlign w:val="center"/>
          </w:tcPr>
          <w:p w:rsidR="00525419" w:rsidRDefault="00EE1CF7">
            <w:pPr>
              <w:rPr>
                <w:rFonts w:ascii="Times New Roman" w:hAnsi="Times New Roman"/>
                <w:kern w:val="0"/>
                <w:szCs w:val="21"/>
              </w:rPr>
            </w:pPr>
            <w:r>
              <w:rPr>
                <w:rFonts w:ascii="Times New Roman" w:hAnsi="Times New Roman"/>
                <w:szCs w:val="21"/>
              </w:rPr>
              <w:t>夜间</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54.4 dB(A)</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55dB(A)</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r w:rsidR="00525419">
        <w:trPr>
          <w:trHeight w:val="235"/>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767" w:type="dxa"/>
            <w:vMerge w:val="restart"/>
            <w:tcBorders>
              <w:tl2br w:val="nil"/>
              <w:tr2bl w:val="nil"/>
            </w:tcBorders>
            <w:vAlign w:val="center"/>
          </w:tcPr>
          <w:p w:rsidR="00525419" w:rsidRDefault="00EE1CF7">
            <w:pPr>
              <w:rPr>
                <w:rFonts w:ascii="Times New Roman" w:hAnsi="Times New Roman"/>
                <w:kern w:val="0"/>
                <w:szCs w:val="21"/>
              </w:rPr>
            </w:pPr>
            <w:r>
              <w:rPr>
                <w:rFonts w:ascii="Times New Roman" w:hAnsi="Times New Roman"/>
                <w:kern w:val="0"/>
                <w:szCs w:val="21"/>
              </w:rPr>
              <w:t>西</w:t>
            </w:r>
          </w:p>
        </w:tc>
        <w:tc>
          <w:tcPr>
            <w:tcW w:w="709" w:type="dxa"/>
            <w:tcBorders>
              <w:tl2br w:val="nil"/>
              <w:tr2bl w:val="nil"/>
            </w:tcBorders>
            <w:vAlign w:val="center"/>
          </w:tcPr>
          <w:p w:rsidR="00525419" w:rsidRDefault="00EE1CF7">
            <w:pPr>
              <w:rPr>
                <w:rFonts w:ascii="Times New Roman" w:hAnsi="Times New Roman"/>
                <w:kern w:val="0"/>
                <w:szCs w:val="21"/>
              </w:rPr>
            </w:pPr>
            <w:r>
              <w:rPr>
                <w:rFonts w:ascii="Times New Roman" w:hAnsi="Times New Roman"/>
                <w:szCs w:val="21"/>
              </w:rPr>
              <w:t>昼间</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55.6dB(A)</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65dB(A)</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r w:rsidR="00525419">
        <w:trPr>
          <w:trHeight w:val="273"/>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767" w:type="dxa"/>
            <w:vMerge/>
            <w:tcBorders>
              <w:tl2br w:val="nil"/>
              <w:tr2bl w:val="nil"/>
            </w:tcBorders>
            <w:vAlign w:val="center"/>
          </w:tcPr>
          <w:p w:rsidR="00525419" w:rsidRDefault="00525419">
            <w:pPr>
              <w:rPr>
                <w:rFonts w:ascii="Times New Roman" w:hAnsi="Times New Roman"/>
                <w:kern w:val="0"/>
                <w:szCs w:val="21"/>
              </w:rPr>
            </w:pPr>
          </w:p>
        </w:tc>
        <w:tc>
          <w:tcPr>
            <w:tcW w:w="709" w:type="dxa"/>
            <w:tcBorders>
              <w:tl2br w:val="nil"/>
              <w:tr2bl w:val="nil"/>
            </w:tcBorders>
            <w:vAlign w:val="center"/>
          </w:tcPr>
          <w:p w:rsidR="00525419" w:rsidRDefault="00EE1CF7">
            <w:pPr>
              <w:rPr>
                <w:rFonts w:ascii="Times New Roman" w:hAnsi="Times New Roman"/>
                <w:kern w:val="0"/>
                <w:szCs w:val="21"/>
              </w:rPr>
            </w:pPr>
            <w:r>
              <w:rPr>
                <w:rFonts w:ascii="Times New Roman" w:hAnsi="Times New Roman"/>
                <w:szCs w:val="21"/>
              </w:rPr>
              <w:t>夜间</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51.2 dB(A)</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55dB(A)</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r w:rsidR="00525419">
        <w:trPr>
          <w:trHeight w:val="315"/>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767" w:type="dxa"/>
            <w:vMerge w:val="restart"/>
            <w:tcBorders>
              <w:tl2br w:val="nil"/>
              <w:tr2bl w:val="nil"/>
            </w:tcBorders>
            <w:vAlign w:val="center"/>
          </w:tcPr>
          <w:p w:rsidR="00525419" w:rsidRDefault="00EE1CF7">
            <w:pPr>
              <w:rPr>
                <w:rFonts w:ascii="Times New Roman" w:hAnsi="Times New Roman"/>
                <w:kern w:val="0"/>
                <w:szCs w:val="21"/>
              </w:rPr>
            </w:pPr>
            <w:r>
              <w:rPr>
                <w:rFonts w:ascii="Times New Roman" w:hAnsi="Times New Roman"/>
                <w:kern w:val="0"/>
                <w:szCs w:val="21"/>
              </w:rPr>
              <w:t>北</w:t>
            </w:r>
          </w:p>
        </w:tc>
        <w:tc>
          <w:tcPr>
            <w:tcW w:w="709" w:type="dxa"/>
            <w:tcBorders>
              <w:tl2br w:val="nil"/>
              <w:tr2bl w:val="nil"/>
            </w:tcBorders>
            <w:vAlign w:val="center"/>
          </w:tcPr>
          <w:p w:rsidR="00525419" w:rsidRDefault="00EE1CF7">
            <w:pPr>
              <w:rPr>
                <w:rFonts w:ascii="Times New Roman" w:hAnsi="Times New Roman"/>
                <w:kern w:val="0"/>
                <w:szCs w:val="21"/>
              </w:rPr>
            </w:pPr>
            <w:r>
              <w:rPr>
                <w:rFonts w:ascii="Times New Roman" w:hAnsi="Times New Roman"/>
                <w:szCs w:val="21"/>
              </w:rPr>
              <w:t>昼间</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54.4 dB(A)</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65dB(A)</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r w:rsidR="00525419">
        <w:trPr>
          <w:trHeight w:val="298"/>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767" w:type="dxa"/>
            <w:vMerge/>
            <w:tcBorders>
              <w:tl2br w:val="nil"/>
              <w:tr2bl w:val="nil"/>
            </w:tcBorders>
            <w:vAlign w:val="center"/>
          </w:tcPr>
          <w:p w:rsidR="00525419" w:rsidRDefault="00525419">
            <w:pPr>
              <w:rPr>
                <w:rFonts w:ascii="Times New Roman" w:hAnsi="Times New Roman"/>
                <w:kern w:val="0"/>
                <w:szCs w:val="21"/>
              </w:rPr>
            </w:pPr>
          </w:p>
        </w:tc>
        <w:tc>
          <w:tcPr>
            <w:tcW w:w="709" w:type="dxa"/>
            <w:tcBorders>
              <w:tl2br w:val="nil"/>
              <w:tr2bl w:val="nil"/>
            </w:tcBorders>
            <w:vAlign w:val="center"/>
          </w:tcPr>
          <w:p w:rsidR="00525419" w:rsidRDefault="00EE1CF7">
            <w:pPr>
              <w:rPr>
                <w:rFonts w:ascii="Times New Roman" w:hAnsi="Times New Roman"/>
                <w:kern w:val="0"/>
                <w:szCs w:val="21"/>
              </w:rPr>
            </w:pPr>
            <w:r>
              <w:rPr>
                <w:rFonts w:ascii="Times New Roman" w:hAnsi="Times New Roman"/>
                <w:szCs w:val="21"/>
              </w:rPr>
              <w:t>夜间</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50.5 dB(A)</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55dB(A)</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r w:rsidR="00525419">
        <w:trPr>
          <w:trHeight w:val="195"/>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767" w:type="dxa"/>
            <w:vMerge w:val="restart"/>
            <w:tcBorders>
              <w:tl2br w:val="nil"/>
              <w:tr2bl w:val="nil"/>
            </w:tcBorders>
            <w:vAlign w:val="center"/>
          </w:tcPr>
          <w:p w:rsidR="00525419" w:rsidRDefault="00EE1CF7">
            <w:pPr>
              <w:rPr>
                <w:rFonts w:ascii="Times New Roman" w:hAnsi="Times New Roman"/>
                <w:kern w:val="0"/>
                <w:szCs w:val="21"/>
              </w:rPr>
            </w:pPr>
            <w:r>
              <w:rPr>
                <w:rFonts w:ascii="Times New Roman" w:hAnsi="Times New Roman"/>
                <w:kern w:val="0"/>
                <w:szCs w:val="21"/>
              </w:rPr>
              <w:t>东</w:t>
            </w:r>
          </w:p>
        </w:tc>
        <w:tc>
          <w:tcPr>
            <w:tcW w:w="709" w:type="dxa"/>
            <w:tcBorders>
              <w:tl2br w:val="nil"/>
              <w:tr2bl w:val="nil"/>
            </w:tcBorders>
            <w:vAlign w:val="center"/>
          </w:tcPr>
          <w:p w:rsidR="00525419" w:rsidRDefault="00EE1CF7">
            <w:pPr>
              <w:rPr>
                <w:rFonts w:ascii="Times New Roman" w:hAnsi="Times New Roman"/>
                <w:kern w:val="0"/>
                <w:szCs w:val="21"/>
              </w:rPr>
            </w:pPr>
            <w:r>
              <w:rPr>
                <w:rFonts w:ascii="Times New Roman" w:hAnsi="Times New Roman"/>
                <w:szCs w:val="21"/>
              </w:rPr>
              <w:t>昼间</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54.1dB(A)</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65dB(A)</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r w:rsidR="00525419">
        <w:trPr>
          <w:trHeight w:val="165"/>
          <w:jc w:val="center"/>
        </w:trPr>
        <w:tc>
          <w:tcPr>
            <w:tcW w:w="660" w:type="dxa"/>
            <w:vMerge/>
            <w:tcBorders>
              <w:tl2br w:val="nil"/>
              <w:tr2bl w:val="nil"/>
            </w:tcBorders>
            <w:vAlign w:val="center"/>
          </w:tcPr>
          <w:p w:rsidR="00525419" w:rsidRDefault="00525419">
            <w:pPr>
              <w:rPr>
                <w:rFonts w:ascii="Times New Roman" w:hAnsi="Times New Roman"/>
                <w:szCs w:val="21"/>
              </w:rPr>
            </w:pPr>
          </w:p>
        </w:tc>
        <w:tc>
          <w:tcPr>
            <w:tcW w:w="1091" w:type="dxa"/>
            <w:vMerge/>
            <w:tcBorders>
              <w:tl2br w:val="nil"/>
              <w:tr2bl w:val="nil"/>
            </w:tcBorders>
            <w:vAlign w:val="center"/>
          </w:tcPr>
          <w:p w:rsidR="00525419" w:rsidRDefault="00525419">
            <w:pPr>
              <w:rPr>
                <w:rFonts w:ascii="Times New Roman" w:hAnsi="Times New Roman"/>
                <w:szCs w:val="21"/>
              </w:rPr>
            </w:pPr>
          </w:p>
        </w:tc>
        <w:tc>
          <w:tcPr>
            <w:tcW w:w="767" w:type="dxa"/>
            <w:vMerge/>
            <w:tcBorders>
              <w:tl2br w:val="nil"/>
              <w:tr2bl w:val="nil"/>
            </w:tcBorders>
            <w:vAlign w:val="center"/>
          </w:tcPr>
          <w:p w:rsidR="00525419" w:rsidRDefault="00525419">
            <w:pPr>
              <w:rPr>
                <w:rFonts w:ascii="Times New Roman" w:hAnsi="Times New Roman"/>
                <w:kern w:val="0"/>
                <w:szCs w:val="21"/>
              </w:rPr>
            </w:pPr>
          </w:p>
        </w:tc>
        <w:tc>
          <w:tcPr>
            <w:tcW w:w="709" w:type="dxa"/>
            <w:tcBorders>
              <w:tl2br w:val="nil"/>
              <w:tr2bl w:val="nil"/>
            </w:tcBorders>
            <w:vAlign w:val="center"/>
          </w:tcPr>
          <w:p w:rsidR="00525419" w:rsidRDefault="00EE1CF7">
            <w:pPr>
              <w:rPr>
                <w:rFonts w:ascii="Times New Roman" w:hAnsi="Times New Roman"/>
                <w:kern w:val="0"/>
                <w:szCs w:val="21"/>
              </w:rPr>
            </w:pPr>
            <w:r>
              <w:rPr>
                <w:rFonts w:ascii="Times New Roman" w:hAnsi="Times New Roman"/>
                <w:szCs w:val="21"/>
              </w:rPr>
              <w:t>夜间</w:t>
            </w:r>
          </w:p>
        </w:tc>
        <w:tc>
          <w:tcPr>
            <w:tcW w:w="1701" w:type="dxa"/>
            <w:vMerge/>
            <w:tcBorders>
              <w:tl2br w:val="nil"/>
              <w:tr2bl w:val="nil"/>
            </w:tcBorders>
            <w:vAlign w:val="center"/>
          </w:tcPr>
          <w:p w:rsidR="00525419" w:rsidRDefault="00525419">
            <w:pPr>
              <w:rPr>
                <w:rFonts w:ascii="Times New Roman" w:hAnsi="Times New Roman"/>
                <w:szCs w:val="21"/>
              </w:rPr>
            </w:pPr>
          </w:p>
        </w:tc>
        <w:tc>
          <w:tcPr>
            <w:tcW w:w="283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51.1dB(A)</w:t>
            </w:r>
          </w:p>
        </w:tc>
        <w:tc>
          <w:tcPr>
            <w:tcW w:w="239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c>
          <w:tcPr>
            <w:tcW w:w="1364" w:type="dxa"/>
            <w:vMerge/>
            <w:tcBorders>
              <w:tl2br w:val="nil"/>
              <w:tr2bl w:val="nil"/>
            </w:tcBorders>
            <w:vAlign w:val="center"/>
          </w:tcPr>
          <w:p w:rsidR="00525419" w:rsidRDefault="00525419">
            <w:pPr>
              <w:rPr>
                <w:rFonts w:ascii="Times New Roman" w:hAnsi="Times New Roman"/>
                <w:szCs w:val="21"/>
              </w:rPr>
            </w:pPr>
          </w:p>
        </w:tc>
        <w:tc>
          <w:tcPr>
            <w:tcW w:w="149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55dB(A)</w:t>
            </w:r>
          </w:p>
        </w:tc>
        <w:tc>
          <w:tcPr>
            <w:tcW w:w="116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达标</w:t>
            </w:r>
          </w:p>
        </w:tc>
      </w:tr>
    </w:tbl>
    <w:p w:rsidR="00525419" w:rsidRDefault="00525419">
      <w:pPr>
        <w:rPr>
          <w:rFonts w:ascii="Times New Roman" w:hAnsi="Times New Roman"/>
        </w:rPr>
        <w:sectPr w:rsidR="00525419">
          <w:pgSz w:w="16838" w:h="11906" w:orient="landscape"/>
          <w:pgMar w:top="1797" w:right="1440" w:bottom="1797" w:left="1440" w:header="851" w:footer="992" w:gutter="0"/>
          <w:cols w:space="425"/>
          <w:docGrid w:type="linesAndChars" w:linePitch="312"/>
        </w:sectPr>
      </w:pP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lastRenderedPageBreak/>
        <w:t>3.2.5.2</w:t>
      </w:r>
      <w:r>
        <w:rPr>
          <w:rFonts w:ascii="Times New Roman" w:hAnsi="Times New Roman" w:cs="Times New Roman"/>
          <w:kern w:val="44"/>
          <w:sz w:val="24"/>
          <w:szCs w:val="24"/>
        </w:rPr>
        <w:t>现有工程</w:t>
      </w:r>
      <w:r>
        <w:rPr>
          <w:rFonts w:ascii="Times New Roman" w:hAnsi="Times New Roman" w:cs="Times New Roman"/>
          <w:kern w:val="44"/>
          <w:sz w:val="24"/>
          <w:szCs w:val="24"/>
        </w:rPr>
        <w:t>VOC</w:t>
      </w:r>
      <w:r>
        <w:rPr>
          <w:rFonts w:ascii="Times New Roman" w:hAnsi="Times New Roman" w:cs="Times New Roman"/>
          <w:kern w:val="44"/>
          <w:sz w:val="24"/>
          <w:szCs w:val="24"/>
        </w:rPr>
        <w:t>排放量统计</w:t>
      </w:r>
    </w:p>
    <w:p w:rsidR="00525419" w:rsidRDefault="00EE1CF7">
      <w:pPr>
        <w:autoSpaceDE w:val="0"/>
        <w:autoSpaceDN w:val="0"/>
        <w:adjustRightInd w:val="0"/>
        <w:spacing w:line="360" w:lineRule="auto"/>
        <w:ind w:firstLineChars="200" w:firstLine="480"/>
        <w:rPr>
          <w:rFonts w:ascii="Times New Roman" w:hAnsi="Times New Roman"/>
          <w:sz w:val="24"/>
          <w:szCs w:val="24"/>
        </w:rPr>
      </w:pPr>
      <w:r>
        <w:rPr>
          <w:rFonts w:ascii="Times New Roman" w:hAnsi="Times New Roman"/>
          <w:sz w:val="24"/>
          <w:szCs w:val="24"/>
        </w:rPr>
        <w:t>根据《石化行业</w:t>
      </w:r>
      <w:r>
        <w:rPr>
          <w:rFonts w:ascii="Times New Roman" w:hAnsi="Times New Roman"/>
          <w:sz w:val="24"/>
          <w:szCs w:val="24"/>
        </w:rPr>
        <w:t>VOCs</w:t>
      </w:r>
      <w:r>
        <w:rPr>
          <w:rFonts w:ascii="Times New Roman" w:hAnsi="Times New Roman"/>
          <w:sz w:val="24"/>
          <w:szCs w:val="24"/>
        </w:rPr>
        <w:t>污染源排查工作指南》、《石油化工行业</w:t>
      </w:r>
      <w:r>
        <w:rPr>
          <w:rFonts w:ascii="Times New Roman" w:hAnsi="Times New Roman"/>
          <w:sz w:val="24"/>
          <w:szCs w:val="24"/>
        </w:rPr>
        <w:t>VOCs</w:t>
      </w:r>
      <w:r>
        <w:rPr>
          <w:rFonts w:ascii="Times New Roman" w:hAnsi="Times New Roman"/>
          <w:sz w:val="24"/>
          <w:szCs w:val="24"/>
        </w:rPr>
        <w:t>排放量计算办法》和《排污许可证申请与核发技术规范　石化工业》相关核算依据进行核算。</w:t>
      </w:r>
    </w:p>
    <w:p w:rsidR="00525419" w:rsidRDefault="00EE1CF7">
      <w:pPr>
        <w:autoSpaceDE w:val="0"/>
        <w:autoSpaceDN w:val="0"/>
        <w:adjustRightInd w:val="0"/>
        <w:spacing w:line="360" w:lineRule="auto"/>
        <w:ind w:firstLineChars="200" w:firstLine="480"/>
        <w:rPr>
          <w:rFonts w:ascii="Times New Roman" w:hAnsi="Times New Roman"/>
          <w:sz w:val="24"/>
          <w:szCs w:val="24"/>
        </w:rPr>
      </w:pPr>
      <w:r>
        <w:rPr>
          <w:rFonts w:ascii="Times New Roman" w:hAnsi="Times New Roman"/>
          <w:sz w:val="24"/>
          <w:szCs w:val="24"/>
        </w:rPr>
        <w:t>①</w:t>
      </w:r>
      <w:r>
        <w:rPr>
          <w:rFonts w:ascii="Times New Roman" w:hAnsi="Times New Roman"/>
          <w:sz w:val="24"/>
          <w:szCs w:val="24"/>
        </w:rPr>
        <w:t>设备动静密封点泄漏</w:t>
      </w:r>
    </w:p>
    <w:p w:rsidR="00525419" w:rsidRDefault="00EE1CF7">
      <w:pPr>
        <w:autoSpaceDE w:val="0"/>
        <w:autoSpaceDN w:val="0"/>
        <w:adjustRightInd w:val="0"/>
        <w:spacing w:line="360" w:lineRule="auto"/>
        <w:ind w:firstLineChars="200" w:firstLine="480"/>
        <w:rPr>
          <w:rFonts w:ascii="Times New Roman" w:hAnsi="Times New Roman"/>
          <w:sz w:val="24"/>
          <w:szCs w:val="24"/>
        </w:rPr>
      </w:pPr>
      <w:r>
        <w:rPr>
          <w:rFonts w:ascii="Times New Roman" w:hAnsi="Times New Roman"/>
          <w:sz w:val="24"/>
          <w:szCs w:val="24"/>
        </w:rPr>
        <w:t>设备动静密封点泄漏指</w:t>
      </w:r>
      <w:r>
        <w:rPr>
          <w:rFonts w:ascii="Times New Roman" w:hAnsi="Times New Roman"/>
          <w:sz w:val="24"/>
          <w:szCs w:val="24"/>
        </w:rPr>
        <w:t>VOCs</w:t>
      </w:r>
      <w:r>
        <w:rPr>
          <w:rFonts w:ascii="Times New Roman" w:hAnsi="Times New Roman"/>
          <w:sz w:val="24"/>
          <w:szCs w:val="24"/>
        </w:rPr>
        <w:t>流经或接触的设备或管道，主要包括泵、压缩机、搅拌器、阀门、泄压设备、取样连接系统、开口阀或开口管线、法兰、连接件和其他等。</w:t>
      </w:r>
    </w:p>
    <w:p w:rsidR="00525419" w:rsidRDefault="00EE1CF7">
      <w:pPr>
        <w:autoSpaceDE w:val="0"/>
        <w:autoSpaceDN w:val="0"/>
        <w:adjustRightInd w:val="0"/>
        <w:spacing w:line="360" w:lineRule="auto"/>
        <w:ind w:firstLineChars="200" w:firstLine="480"/>
        <w:rPr>
          <w:rFonts w:ascii="Times New Roman" w:hAnsi="Times New Roman"/>
          <w:sz w:val="24"/>
          <w:szCs w:val="24"/>
        </w:rPr>
      </w:pPr>
      <w:r>
        <w:rPr>
          <w:rFonts w:ascii="Times New Roman" w:hAnsi="Times New Roman"/>
          <w:sz w:val="24"/>
          <w:szCs w:val="24"/>
        </w:rPr>
        <w:t>②</w:t>
      </w:r>
      <w:r>
        <w:rPr>
          <w:rFonts w:ascii="Times New Roman" w:hAnsi="Times New Roman"/>
          <w:sz w:val="24"/>
          <w:szCs w:val="24"/>
        </w:rPr>
        <w:t>油品储存与调和挥发损失</w:t>
      </w:r>
    </w:p>
    <w:p w:rsidR="00525419" w:rsidRDefault="00EE1CF7">
      <w:pPr>
        <w:autoSpaceDE w:val="0"/>
        <w:autoSpaceDN w:val="0"/>
        <w:adjustRightInd w:val="0"/>
        <w:spacing w:line="360" w:lineRule="auto"/>
        <w:ind w:firstLineChars="200" w:firstLine="480"/>
        <w:rPr>
          <w:rFonts w:ascii="Times New Roman" w:hAnsi="Times New Roman"/>
          <w:sz w:val="24"/>
          <w:szCs w:val="24"/>
        </w:rPr>
      </w:pPr>
      <w:r>
        <w:rPr>
          <w:rFonts w:ascii="Times New Roman" w:hAnsi="Times New Roman"/>
          <w:sz w:val="24"/>
          <w:szCs w:val="24"/>
        </w:rPr>
        <w:t>油品储存与调和挥发损失主要来自未设置油气回收设施的固定顶罐及浮顶罐的静置损失和工作损失。</w:t>
      </w:r>
    </w:p>
    <w:p w:rsidR="00525419" w:rsidRDefault="00EE1CF7">
      <w:pPr>
        <w:autoSpaceDE w:val="0"/>
        <w:autoSpaceDN w:val="0"/>
        <w:adjustRightInd w:val="0"/>
        <w:spacing w:line="360" w:lineRule="auto"/>
        <w:ind w:firstLineChars="200" w:firstLine="480"/>
        <w:rPr>
          <w:rFonts w:ascii="Times New Roman" w:hAnsi="Times New Roman"/>
          <w:sz w:val="24"/>
          <w:szCs w:val="24"/>
        </w:rPr>
      </w:pPr>
      <w:r>
        <w:rPr>
          <w:rFonts w:ascii="Times New Roman" w:hAnsi="Times New Roman"/>
          <w:sz w:val="24"/>
          <w:szCs w:val="24"/>
        </w:rPr>
        <w:t>③</w:t>
      </w:r>
      <w:r>
        <w:rPr>
          <w:rFonts w:ascii="Times New Roman" w:hAnsi="Times New Roman"/>
          <w:sz w:val="24"/>
          <w:szCs w:val="24"/>
        </w:rPr>
        <w:t>油品装卸挥发损失</w:t>
      </w:r>
    </w:p>
    <w:p w:rsidR="00525419" w:rsidRDefault="00EE1CF7">
      <w:pPr>
        <w:autoSpaceDE w:val="0"/>
        <w:autoSpaceDN w:val="0"/>
        <w:adjustRightInd w:val="0"/>
        <w:spacing w:line="360" w:lineRule="auto"/>
        <w:ind w:firstLineChars="200" w:firstLine="480"/>
        <w:rPr>
          <w:rFonts w:ascii="Times New Roman" w:hAnsi="Times New Roman"/>
          <w:sz w:val="24"/>
          <w:szCs w:val="24"/>
        </w:rPr>
      </w:pPr>
      <w:r>
        <w:rPr>
          <w:rFonts w:ascii="Times New Roman" w:hAnsi="Times New Roman"/>
          <w:sz w:val="24"/>
          <w:szCs w:val="24"/>
        </w:rPr>
        <w:t>油品装卸挥发损失主要来自未设置油气回收设施的装载损失。</w:t>
      </w:r>
    </w:p>
    <w:p w:rsidR="00525419" w:rsidRDefault="00EE1CF7">
      <w:pPr>
        <w:autoSpaceDE w:val="0"/>
        <w:autoSpaceDN w:val="0"/>
        <w:adjustRightInd w:val="0"/>
        <w:spacing w:line="360" w:lineRule="auto"/>
        <w:ind w:firstLineChars="200" w:firstLine="480"/>
        <w:rPr>
          <w:rFonts w:ascii="Times New Roman" w:hAnsi="Times New Roman"/>
          <w:sz w:val="24"/>
          <w:szCs w:val="24"/>
        </w:rPr>
      </w:pPr>
      <w:r>
        <w:rPr>
          <w:rFonts w:ascii="Times New Roman" w:hAnsi="Times New Roman"/>
          <w:sz w:val="24"/>
          <w:szCs w:val="24"/>
        </w:rPr>
        <w:t>④</w:t>
      </w:r>
      <w:r>
        <w:rPr>
          <w:rFonts w:ascii="Times New Roman" w:hAnsi="Times New Roman"/>
          <w:bCs/>
          <w:caps/>
          <w:sz w:val="24"/>
          <w:szCs w:val="24"/>
        </w:rPr>
        <w:t>废水集输、储存、处理处置过程逸散</w:t>
      </w:r>
    </w:p>
    <w:p w:rsidR="00525419" w:rsidRDefault="00EE1CF7">
      <w:pPr>
        <w:autoSpaceDE w:val="0"/>
        <w:autoSpaceDN w:val="0"/>
        <w:adjustRightInd w:val="0"/>
        <w:spacing w:line="360" w:lineRule="auto"/>
        <w:ind w:firstLineChars="200" w:firstLine="480"/>
        <w:rPr>
          <w:rFonts w:ascii="Times New Roman" w:hAnsi="Times New Roman"/>
          <w:sz w:val="24"/>
          <w:szCs w:val="24"/>
        </w:rPr>
      </w:pPr>
      <w:r>
        <w:rPr>
          <w:rFonts w:ascii="Times New Roman" w:hAnsi="Times New Roman"/>
          <w:sz w:val="24"/>
          <w:szCs w:val="24"/>
        </w:rPr>
        <w:t>废水通过密闭管道输送，污水处理站进行加盖密闭后的废气收集后经生物滤床处理后通过排气筒排放，无组织排放可忽略不计。</w:t>
      </w:r>
    </w:p>
    <w:p w:rsidR="00525419" w:rsidRDefault="00EE1CF7">
      <w:pPr>
        <w:autoSpaceDE w:val="0"/>
        <w:autoSpaceDN w:val="0"/>
        <w:adjustRightInd w:val="0"/>
        <w:spacing w:line="360" w:lineRule="auto"/>
        <w:ind w:firstLineChars="200" w:firstLine="480"/>
        <w:rPr>
          <w:rFonts w:ascii="Times New Roman" w:hAnsi="Times New Roman"/>
          <w:sz w:val="24"/>
          <w:szCs w:val="24"/>
        </w:rPr>
      </w:pPr>
      <w:r>
        <w:rPr>
          <w:rFonts w:ascii="Times New Roman" w:hAnsi="Times New Roman"/>
          <w:sz w:val="24"/>
          <w:szCs w:val="24"/>
        </w:rPr>
        <w:t>⑤</w:t>
      </w:r>
      <w:r>
        <w:rPr>
          <w:rFonts w:ascii="Times New Roman" w:hAnsi="Times New Roman"/>
          <w:bCs/>
          <w:caps/>
          <w:sz w:val="24"/>
          <w:szCs w:val="24"/>
        </w:rPr>
        <w:t>燃烧烟气排放</w:t>
      </w:r>
    </w:p>
    <w:p w:rsidR="00525419" w:rsidRDefault="00EE1CF7">
      <w:pPr>
        <w:autoSpaceDE w:val="0"/>
        <w:autoSpaceDN w:val="0"/>
        <w:adjustRightInd w:val="0"/>
        <w:spacing w:line="360" w:lineRule="auto"/>
        <w:ind w:firstLineChars="200" w:firstLine="480"/>
        <w:rPr>
          <w:rFonts w:ascii="Times New Roman" w:hAnsi="Times New Roman"/>
          <w:sz w:val="24"/>
          <w:szCs w:val="24"/>
        </w:rPr>
      </w:pPr>
      <w:r>
        <w:rPr>
          <w:rFonts w:ascii="Times New Roman" w:hAnsi="Times New Roman"/>
          <w:sz w:val="24"/>
          <w:szCs w:val="24"/>
        </w:rPr>
        <w:t>燃烧烟气排放的</w:t>
      </w:r>
      <w:r>
        <w:rPr>
          <w:rFonts w:ascii="Times New Roman" w:hAnsi="Times New Roman"/>
          <w:sz w:val="24"/>
          <w:szCs w:val="24"/>
        </w:rPr>
        <w:t>VOCs</w:t>
      </w:r>
      <w:r>
        <w:rPr>
          <w:rFonts w:ascii="Times New Roman" w:hAnsi="Times New Roman"/>
          <w:sz w:val="24"/>
          <w:szCs w:val="24"/>
        </w:rPr>
        <w:t>主要来自工艺装置加热炉烟气和蒸汽锅炉及导热油锅炉烟气。</w:t>
      </w:r>
    </w:p>
    <w:p w:rsidR="00525419" w:rsidRDefault="00EE1CF7">
      <w:pPr>
        <w:autoSpaceDE w:val="0"/>
        <w:autoSpaceDN w:val="0"/>
        <w:adjustRightInd w:val="0"/>
        <w:spacing w:line="360" w:lineRule="auto"/>
        <w:ind w:firstLineChars="200" w:firstLine="480"/>
        <w:rPr>
          <w:rFonts w:ascii="Times New Roman" w:hAnsi="Times New Roman"/>
          <w:sz w:val="24"/>
          <w:szCs w:val="24"/>
        </w:rPr>
      </w:pPr>
      <w:r>
        <w:rPr>
          <w:rFonts w:ascii="Times New Roman" w:hAnsi="Times New Roman"/>
          <w:sz w:val="24"/>
          <w:szCs w:val="24"/>
        </w:rPr>
        <w:t>⑥</w:t>
      </w:r>
      <w:r>
        <w:rPr>
          <w:rFonts w:ascii="Times New Roman" w:hAnsi="Times New Roman"/>
          <w:bCs/>
          <w:caps/>
          <w:sz w:val="24"/>
          <w:szCs w:val="24"/>
        </w:rPr>
        <w:t>工艺有组织排放</w:t>
      </w:r>
    </w:p>
    <w:p w:rsidR="00525419" w:rsidRDefault="00EE1CF7">
      <w:pPr>
        <w:autoSpaceDE w:val="0"/>
        <w:autoSpaceDN w:val="0"/>
        <w:adjustRightInd w:val="0"/>
        <w:spacing w:line="360" w:lineRule="auto"/>
        <w:ind w:firstLineChars="200" w:firstLine="480"/>
        <w:rPr>
          <w:rFonts w:ascii="Times New Roman" w:hAnsi="Times New Roman"/>
          <w:sz w:val="24"/>
          <w:szCs w:val="24"/>
        </w:rPr>
      </w:pPr>
      <w:r>
        <w:rPr>
          <w:rFonts w:ascii="Times New Roman" w:hAnsi="Times New Roman"/>
          <w:bCs/>
          <w:caps/>
          <w:sz w:val="24"/>
          <w:szCs w:val="24"/>
        </w:rPr>
        <w:t>工艺有组织排放的</w:t>
      </w:r>
      <w:r>
        <w:rPr>
          <w:rFonts w:ascii="Times New Roman" w:hAnsi="Times New Roman"/>
          <w:sz w:val="24"/>
          <w:szCs w:val="24"/>
        </w:rPr>
        <w:t>VOCs</w:t>
      </w:r>
      <w:r>
        <w:rPr>
          <w:rFonts w:ascii="Times New Roman" w:hAnsi="Times New Roman"/>
          <w:sz w:val="24"/>
          <w:szCs w:val="24"/>
        </w:rPr>
        <w:t>主要来自油气回收设施和污水处理站废气处理设施外排废气。</w:t>
      </w:r>
    </w:p>
    <w:p w:rsidR="00525419" w:rsidRDefault="00EE1CF7">
      <w:pPr>
        <w:autoSpaceDE w:val="0"/>
        <w:autoSpaceDN w:val="0"/>
        <w:adjustRightInd w:val="0"/>
        <w:spacing w:line="360" w:lineRule="auto"/>
        <w:ind w:firstLineChars="200" w:firstLine="480"/>
        <w:rPr>
          <w:rFonts w:ascii="Times New Roman" w:hAnsi="Times New Roman"/>
          <w:sz w:val="24"/>
          <w:szCs w:val="24"/>
        </w:rPr>
      </w:pPr>
      <w:r>
        <w:rPr>
          <w:rFonts w:ascii="Times New Roman" w:hAnsi="Times New Roman"/>
          <w:sz w:val="24"/>
          <w:szCs w:val="24"/>
        </w:rPr>
        <w:t>⑦</w:t>
      </w:r>
      <w:r>
        <w:rPr>
          <w:rFonts w:ascii="Times New Roman" w:hAnsi="Times New Roman"/>
          <w:bCs/>
          <w:caps/>
          <w:sz w:val="24"/>
          <w:szCs w:val="24"/>
        </w:rPr>
        <w:t>工艺无组织排放</w:t>
      </w:r>
    </w:p>
    <w:p w:rsidR="00525419" w:rsidRDefault="00EE1CF7">
      <w:pPr>
        <w:autoSpaceDE w:val="0"/>
        <w:autoSpaceDN w:val="0"/>
        <w:adjustRightInd w:val="0"/>
        <w:spacing w:line="360" w:lineRule="auto"/>
        <w:ind w:firstLineChars="200" w:firstLine="480"/>
        <w:rPr>
          <w:rFonts w:ascii="Times New Roman" w:hAnsi="Times New Roman"/>
          <w:sz w:val="24"/>
          <w:szCs w:val="24"/>
        </w:rPr>
      </w:pPr>
      <w:r>
        <w:rPr>
          <w:rFonts w:ascii="Times New Roman" w:hAnsi="Times New Roman"/>
          <w:bCs/>
          <w:caps/>
          <w:sz w:val="24"/>
          <w:szCs w:val="24"/>
        </w:rPr>
        <w:t>密闭的生产工艺，</w:t>
      </w:r>
      <w:r>
        <w:rPr>
          <w:rFonts w:ascii="Times New Roman" w:hAnsi="Times New Roman"/>
          <w:sz w:val="24"/>
          <w:szCs w:val="24"/>
        </w:rPr>
        <w:t>无组织排放可忽略不计。</w:t>
      </w:r>
    </w:p>
    <w:p w:rsidR="00525419" w:rsidRDefault="00EE1CF7">
      <w:pPr>
        <w:autoSpaceDE w:val="0"/>
        <w:autoSpaceDN w:val="0"/>
        <w:adjustRightInd w:val="0"/>
        <w:spacing w:line="360" w:lineRule="auto"/>
        <w:ind w:firstLineChars="200" w:firstLine="480"/>
        <w:rPr>
          <w:rFonts w:ascii="Times New Roman" w:hAnsi="Times New Roman"/>
          <w:sz w:val="24"/>
          <w:szCs w:val="24"/>
        </w:rPr>
      </w:pPr>
      <w:r>
        <w:rPr>
          <w:rFonts w:ascii="Times New Roman" w:hAnsi="Times New Roman"/>
          <w:sz w:val="24"/>
          <w:szCs w:val="24"/>
        </w:rPr>
        <w:t>⑧</w:t>
      </w:r>
      <w:r>
        <w:rPr>
          <w:rFonts w:ascii="Times New Roman" w:hAnsi="Times New Roman"/>
          <w:bCs/>
          <w:caps/>
          <w:sz w:val="24"/>
          <w:szCs w:val="24"/>
        </w:rPr>
        <w:t>采样过程排放</w:t>
      </w:r>
    </w:p>
    <w:p w:rsidR="00525419" w:rsidRDefault="00EE1CF7">
      <w:pPr>
        <w:autoSpaceDE w:val="0"/>
        <w:autoSpaceDN w:val="0"/>
        <w:adjustRightInd w:val="0"/>
        <w:spacing w:line="360" w:lineRule="auto"/>
        <w:ind w:firstLineChars="200" w:firstLine="480"/>
        <w:rPr>
          <w:rFonts w:ascii="Times New Roman" w:hAnsi="Times New Roman"/>
          <w:sz w:val="24"/>
          <w:szCs w:val="24"/>
        </w:rPr>
      </w:pPr>
      <w:r>
        <w:rPr>
          <w:rFonts w:ascii="Times New Roman" w:hAnsi="Times New Roman"/>
          <w:sz w:val="24"/>
          <w:szCs w:val="24"/>
        </w:rPr>
        <w:t>采样均采用密闭采样工，废气泄漏量忽略不计。</w:t>
      </w:r>
    </w:p>
    <w:p w:rsidR="00525419" w:rsidRDefault="00EE1CF7">
      <w:pPr>
        <w:autoSpaceDE w:val="0"/>
        <w:autoSpaceDN w:val="0"/>
        <w:adjustRightInd w:val="0"/>
        <w:spacing w:line="360" w:lineRule="auto"/>
        <w:ind w:firstLineChars="200" w:firstLine="480"/>
        <w:rPr>
          <w:rFonts w:ascii="Times New Roman" w:hAnsi="Times New Roman"/>
          <w:sz w:val="24"/>
          <w:szCs w:val="24"/>
        </w:rPr>
      </w:pPr>
      <w:r>
        <w:rPr>
          <w:rFonts w:ascii="Times New Roman" w:hAnsi="Times New Roman"/>
          <w:sz w:val="24"/>
          <w:szCs w:val="24"/>
        </w:rPr>
        <w:t>⑨</w:t>
      </w:r>
      <w:r>
        <w:rPr>
          <w:rFonts w:ascii="Times New Roman" w:hAnsi="Times New Roman"/>
          <w:bCs/>
          <w:caps/>
          <w:sz w:val="24"/>
          <w:szCs w:val="24"/>
        </w:rPr>
        <w:t>火炬排放</w:t>
      </w:r>
    </w:p>
    <w:p w:rsidR="00525419" w:rsidRDefault="00EE1CF7">
      <w:pPr>
        <w:autoSpaceDE w:val="0"/>
        <w:autoSpaceDN w:val="0"/>
        <w:adjustRightInd w:val="0"/>
        <w:spacing w:line="360" w:lineRule="auto"/>
        <w:ind w:firstLineChars="200" w:firstLine="480"/>
        <w:rPr>
          <w:rFonts w:ascii="Times New Roman" w:hAnsi="Times New Roman"/>
          <w:sz w:val="24"/>
          <w:szCs w:val="24"/>
        </w:rPr>
      </w:pPr>
      <w:r>
        <w:rPr>
          <w:rFonts w:ascii="Times New Roman" w:hAnsi="Times New Roman"/>
          <w:sz w:val="24"/>
          <w:szCs w:val="24"/>
        </w:rPr>
        <w:t>主要来自非正常工况（含开停工及检修）排放的物料及生产过程中泄压物料未完全燃烧的烃或未处理的有机废气以及中间产物。</w:t>
      </w:r>
    </w:p>
    <w:p w:rsidR="00525419" w:rsidRDefault="00EE1CF7">
      <w:pPr>
        <w:autoSpaceDE w:val="0"/>
        <w:autoSpaceDN w:val="0"/>
        <w:adjustRightInd w:val="0"/>
        <w:spacing w:line="360" w:lineRule="auto"/>
        <w:ind w:firstLineChars="200" w:firstLine="480"/>
        <w:rPr>
          <w:rFonts w:ascii="Times New Roman" w:hAnsi="Times New Roman"/>
          <w:bCs/>
          <w:caps/>
          <w:sz w:val="24"/>
          <w:szCs w:val="24"/>
        </w:rPr>
      </w:pPr>
      <w:r>
        <w:rPr>
          <w:rFonts w:ascii="Times New Roman" w:hAnsi="Times New Roman"/>
          <w:sz w:val="24"/>
          <w:szCs w:val="24"/>
        </w:rPr>
        <w:lastRenderedPageBreak/>
        <w:t>⑩</w:t>
      </w:r>
      <w:r>
        <w:rPr>
          <w:rFonts w:ascii="Times New Roman" w:hAnsi="Times New Roman"/>
          <w:bCs/>
          <w:caps/>
          <w:sz w:val="24"/>
          <w:szCs w:val="24"/>
        </w:rPr>
        <w:t>冷却塔、循环水冷却系统释放</w:t>
      </w:r>
    </w:p>
    <w:p w:rsidR="00525419" w:rsidRDefault="00EE1CF7">
      <w:pPr>
        <w:autoSpaceDE w:val="0"/>
        <w:autoSpaceDN w:val="0"/>
        <w:adjustRightInd w:val="0"/>
        <w:spacing w:line="360" w:lineRule="auto"/>
        <w:ind w:firstLineChars="200" w:firstLine="480"/>
        <w:rPr>
          <w:rFonts w:ascii="Times New Roman" w:hAnsi="Times New Roman"/>
          <w:bCs/>
          <w:caps/>
          <w:sz w:val="24"/>
          <w:szCs w:val="24"/>
        </w:rPr>
      </w:pPr>
      <w:r>
        <w:rPr>
          <w:rFonts w:ascii="Times New Roman" w:hAnsi="Times New Roman"/>
          <w:bCs/>
          <w:caps/>
          <w:sz w:val="24"/>
          <w:szCs w:val="24"/>
        </w:rPr>
        <w:t>主要来自</w:t>
      </w:r>
      <w:r>
        <w:rPr>
          <w:rFonts w:ascii="Times New Roman" w:hAnsi="Times New Roman"/>
          <w:sz w:val="24"/>
          <w:szCs w:val="24"/>
        </w:rPr>
        <w:t>循环水冷却塔的汽提作用和风吹逸散，</w:t>
      </w:r>
      <w:r>
        <w:rPr>
          <w:rFonts w:ascii="Times New Roman" w:hAnsi="Times New Roman"/>
          <w:sz w:val="24"/>
          <w:szCs w:val="24"/>
        </w:rPr>
        <w:t>VOCs</w:t>
      </w:r>
      <w:r>
        <w:rPr>
          <w:rFonts w:ascii="Times New Roman" w:hAnsi="Times New Roman"/>
          <w:sz w:val="24"/>
          <w:szCs w:val="24"/>
        </w:rPr>
        <w:t>会从冷却水中排入大气。</w:t>
      </w:r>
    </w:p>
    <w:p w:rsidR="00525419" w:rsidRDefault="00EE1CF7">
      <w:pPr>
        <w:autoSpaceDE w:val="0"/>
        <w:autoSpaceDN w:val="0"/>
        <w:adjustRightInd w:val="0"/>
        <w:spacing w:line="360" w:lineRule="auto"/>
        <w:ind w:firstLineChars="200" w:firstLine="480"/>
        <w:rPr>
          <w:rFonts w:ascii="Times New Roman" w:hAnsi="Times New Roman"/>
          <w:sz w:val="24"/>
          <w:szCs w:val="24"/>
        </w:rPr>
      </w:pPr>
      <w:r>
        <w:rPr>
          <w:rFonts w:ascii="Times New Roman" w:hAnsi="Times New Roman"/>
          <w:sz w:val="24"/>
          <w:szCs w:val="24"/>
        </w:rPr>
        <w:t>厂区现已建工程</w:t>
      </w:r>
      <w:r>
        <w:rPr>
          <w:rFonts w:ascii="Times New Roman" w:hAnsi="Times New Roman"/>
          <w:sz w:val="24"/>
          <w:szCs w:val="24"/>
        </w:rPr>
        <w:t>VOCs</w:t>
      </w:r>
      <w:r>
        <w:rPr>
          <w:rFonts w:ascii="Times New Roman" w:hAnsi="Times New Roman"/>
          <w:sz w:val="24"/>
          <w:szCs w:val="24"/>
        </w:rPr>
        <w:t>排放量核算见表</w:t>
      </w:r>
      <w:r>
        <w:rPr>
          <w:rFonts w:ascii="Times New Roman" w:hAnsi="Times New Roman"/>
          <w:sz w:val="24"/>
          <w:szCs w:val="24"/>
        </w:rPr>
        <w:t>3.2-5</w:t>
      </w:r>
      <w:r>
        <w:rPr>
          <w:rFonts w:ascii="Times New Roman" w:hAnsi="Times New Roman"/>
          <w:sz w:val="24"/>
          <w:szCs w:val="24"/>
        </w:rPr>
        <w:t>。</w:t>
      </w:r>
    </w:p>
    <w:p w:rsidR="00525419" w:rsidRDefault="00EE1CF7">
      <w:pPr>
        <w:ind w:firstLineChars="200" w:firstLine="420"/>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3.2-5</w:t>
      </w:r>
      <w:r>
        <w:rPr>
          <w:rFonts w:ascii="Times New Roman" w:eastAsia="黑体" w:hAnsi="Times New Roman"/>
          <w:szCs w:val="21"/>
        </w:rPr>
        <w:t xml:space="preserve">　　已建工程</w:t>
      </w:r>
      <w:r>
        <w:rPr>
          <w:rFonts w:ascii="Times New Roman" w:eastAsia="黑体" w:hAnsi="Times New Roman"/>
          <w:szCs w:val="21"/>
        </w:rPr>
        <w:t>VOCs</w:t>
      </w:r>
      <w:r>
        <w:rPr>
          <w:rFonts w:ascii="Times New Roman" w:eastAsia="黑体" w:hAnsi="Times New Roman"/>
          <w:szCs w:val="21"/>
        </w:rPr>
        <w:t>排放量核算一览表　　　单位：</w:t>
      </w:r>
      <w:r>
        <w:rPr>
          <w:rFonts w:ascii="Times New Roman" w:eastAsia="黑体" w:hAnsi="Times New Roman"/>
          <w:szCs w:val="21"/>
        </w:rPr>
        <w:t>t/a</w:t>
      </w:r>
    </w:p>
    <w:tbl>
      <w:tblPr>
        <w:tblStyle w:val="affff0"/>
        <w:tblW w:w="833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675"/>
        <w:gridCol w:w="1843"/>
        <w:gridCol w:w="2977"/>
        <w:gridCol w:w="1559"/>
        <w:gridCol w:w="1280"/>
      </w:tblGrid>
      <w:tr w:rsidR="00525419">
        <w:trPr>
          <w:trHeight w:val="153"/>
        </w:trPr>
        <w:tc>
          <w:tcPr>
            <w:tcW w:w="675"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序号</w:t>
            </w:r>
          </w:p>
        </w:tc>
        <w:tc>
          <w:tcPr>
            <w:tcW w:w="4820" w:type="dxa"/>
            <w:gridSpan w:val="2"/>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VOCs</w:t>
            </w:r>
            <w:r>
              <w:rPr>
                <w:rFonts w:ascii="Times New Roman" w:hAnsi="Times New Roman"/>
                <w:szCs w:val="21"/>
              </w:rPr>
              <w:t>污染源</w:t>
            </w:r>
          </w:p>
        </w:tc>
        <w:tc>
          <w:tcPr>
            <w:tcW w:w="1559"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核算方法</w:t>
            </w:r>
          </w:p>
        </w:tc>
        <w:tc>
          <w:tcPr>
            <w:tcW w:w="1280"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VOCs</w:t>
            </w:r>
          </w:p>
        </w:tc>
      </w:tr>
      <w:tr w:rsidR="00525419">
        <w:trPr>
          <w:trHeight w:val="102"/>
        </w:trPr>
        <w:tc>
          <w:tcPr>
            <w:tcW w:w="675"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1</w:t>
            </w:r>
          </w:p>
        </w:tc>
        <w:tc>
          <w:tcPr>
            <w:tcW w:w="4820" w:type="dxa"/>
            <w:gridSpan w:val="2"/>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bCs/>
                <w:caps/>
                <w:szCs w:val="21"/>
              </w:rPr>
              <w:t>设备与管线组件密封点泄漏</w:t>
            </w:r>
          </w:p>
        </w:tc>
        <w:tc>
          <w:tcPr>
            <w:tcW w:w="1559"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系数法</w:t>
            </w:r>
          </w:p>
        </w:tc>
        <w:tc>
          <w:tcPr>
            <w:tcW w:w="1280"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64.52</w:t>
            </w:r>
          </w:p>
        </w:tc>
      </w:tr>
      <w:tr w:rsidR="00525419">
        <w:trPr>
          <w:trHeight w:val="295"/>
        </w:trPr>
        <w:tc>
          <w:tcPr>
            <w:tcW w:w="675"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2</w:t>
            </w:r>
          </w:p>
        </w:tc>
        <w:tc>
          <w:tcPr>
            <w:tcW w:w="4820" w:type="dxa"/>
            <w:gridSpan w:val="2"/>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bCs/>
                <w:caps/>
                <w:szCs w:val="21"/>
              </w:rPr>
              <w:t>油品储存与调和挥发损失</w:t>
            </w:r>
          </w:p>
        </w:tc>
        <w:tc>
          <w:tcPr>
            <w:tcW w:w="1559"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公式法</w:t>
            </w:r>
          </w:p>
        </w:tc>
        <w:tc>
          <w:tcPr>
            <w:tcW w:w="1280"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kern w:val="0"/>
                <w:szCs w:val="21"/>
              </w:rPr>
              <w:t>54.82</w:t>
            </w:r>
          </w:p>
        </w:tc>
      </w:tr>
      <w:tr w:rsidR="00525419">
        <w:trPr>
          <w:trHeight w:val="307"/>
        </w:trPr>
        <w:tc>
          <w:tcPr>
            <w:tcW w:w="675"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3</w:t>
            </w:r>
          </w:p>
        </w:tc>
        <w:tc>
          <w:tcPr>
            <w:tcW w:w="4820" w:type="dxa"/>
            <w:gridSpan w:val="2"/>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bCs/>
                <w:caps/>
                <w:szCs w:val="21"/>
              </w:rPr>
              <w:t>油品装卸挥发损失</w:t>
            </w:r>
          </w:p>
        </w:tc>
        <w:tc>
          <w:tcPr>
            <w:tcW w:w="1559"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系数法</w:t>
            </w:r>
          </w:p>
        </w:tc>
        <w:tc>
          <w:tcPr>
            <w:tcW w:w="1280"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42.93</w:t>
            </w:r>
          </w:p>
        </w:tc>
      </w:tr>
      <w:tr w:rsidR="00525419">
        <w:trPr>
          <w:trHeight w:val="315"/>
        </w:trPr>
        <w:tc>
          <w:tcPr>
            <w:tcW w:w="675"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4</w:t>
            </w:r>
          </w:p>
        </w:tc>
        <w:tc>
          <w:tcPr>
            <w:tcW w:w="4820" w:type="dxa"/>
            <w:gridSpan w:val="2"/>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bCs/>
                <w:caps/>
                <w:szCs w:val="21"/>
              </w:rPr>
              <w:t>燃烧烟气排放</w:t>
            </w:r>
          </w:p>
        </w:tc>
        <w:tc>
          <w:tcPr>
            <w:tcW w:w="1559"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系数法</w:t>
            </w:r>
          </w:p>
        </w:tc>
        <w:tc>
          <w:tcPr>
            <w:tcW w:w="1280"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5.18</w:t>
            </w:r>
          </w:p>
        </w:tc>
      </w:tr>
      <w:tr w:rsidR="00525419">
        <w:trPr>
          <w:trHeight w:val="91"/>
        </w:trPr>
        <w:tc>
          <w:tcPr>
            <w:tcW w:w="675" w:type="dxa"/>
            <w:vMerge w:val="restart"/>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5</w:t>
            </w:r>
          </w:p>
        </w:tc>
        <w:tc>
          <w:tcPr>
            <w:tcW w:w="1843" w:type="dxa"/>
            <w:vMerge w:val="restart"/>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bCs/>
                <w:caps/>
                <w:szCs w:val="21"/>
              </w:rPr>
              <w:t>工艺有组织排放</w:t>
            </w:r>
          </w:p>
        </w:tc>
        <w:tc>
          <w:tcPr>
            <w:tcW w:w="2977"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油气回收设施尾气</w:t>
            </w:r>
          </w:p>
        </w:tc>
        <w:tc>
          <w:tcPr>
            <w:tcW w:w="1559"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系数法</w:t>
            </w:r>
          </w:p>
        </w:tc>
        <w:tc>
          <w:tcPr>
            <w:tcW w:w="1280"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0.0014</w:t>
            </w:r>
          </w:p>
        </w:tc>
      </w:tr>
      <w:tr w:rsidR="00525419">
        <w:trPr>
          <w:trHeight w:val="172"/>
        </w:trPr>
        <w:tc>
          <w:tcPr>
            <w:tcW w:w="675" w:type="dxa"/>
            <w:vMerge/>
            <w:tcBorders>
              <w:tl2br w:val="nil"/>
              <w:tr2bl w:val="nil"/>
            </w:tcBorders>
          </w:tcPr>
          <w:p w:rsidR="00525419" w:rsidRDefault="00525419">
            <w:pPr>
              <w:spacing w:line="240" w:lineRule="atLeast"/>
              <w:rPr>
                <w:rFonts w:ascii="Times New Roman" w:hAnsi="Times New Roman"/>
                <w:szCs w:val="21"/>
              </w:rPr>
            </w:pPr>
          </w:p>
        </w:tc>
        <w:tc>
          <w:tcPr>
            <w:tcW w:w="1843" w:type="dxa"/>
            <w:vMerge/>
            <w:tcBorders>
              <w:tl2br w:val="nil"/>
              <w:tr2bl w:val="nil"/>
            </w:tcBorders>
          </w:tcPr>
          <w:p w:rsidR="00525419" w:rsidRDefault="00525419">
            <w:pPr>
              <w:spacing w:line="240" w:lineRule="atLeast"/>
              <w:rPr>
                <w:rFonts w:ascii="Times New Roman" w:hAnsi="Times New Roman"/>
                <w:bCs/>
                <w:caps/>
                <w:szCs w:val="21"/>
              </w:rPr>
            </w:pPr>
          </w:p>
        </w:tc>
        <w:tc>
          <w:tcPr>
            <w:tcW w:w="2977" w:type="dxa"/>
            <w:tcBorders>
              <w:tl2br w:val="nil"/>
              <w:tr2bl w:val="nil"/>
            </w:tcBorders>
          </w:tcPr>
          <w:p w:rsidR="00525419" w:rsidRDefault="00EE1CF7">
            <w:pPr>
              <w:spacing w:line="240" w:lineRule="atLeast"/>
              <w:rPr>
                <w:rFonts w:ascii="Times New Roman" w:hAnsi="Times New Roman"/>
                <w:bCs/>
                <w:caps/>
                <w:szCs w:val="21"/>
              </w:rPr>
            </w:pPr>
            <w:r>
              <w:rPr>
                <w:rFonts w:ascii="Times New Roman" w:hAnsi="Times New Roman"/>
                <w:bCs/>
                <w:caps/>
                <w:szCs w:val="21"/>
              </w:rPr>
              <w:t>污水处理站生物除臭设施</w:t>
            </w:r>
            <w:r>
              <w:rPr>
                <w:rFonts w:ascii="Times New Roman" w:hAnsi="Times New Roman"/>
                <w:szCs w:val="21"/>
              </w:rPr>
              <w:t>尾气</w:t>
            </w:r>
          </w:p>
        </w:tc>
        <w:tc>
          <w:tcPr>
            <w:tcW w:w="1559"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系数法</w:t>
            </w:r>
          </w:p>
        </w:tc>
        <w:tc>
          <w:tcPr>
            <w:tcW w:w="1280"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5.28</w:t>
            </w:r>
          </w:p>
        </w:tc>
      </w:tr>
      <w:tr w:rsidR="00525419">
        <w:trPr>
          <w:trHeight w:val="299"/>
        </w:trPr>
        <w:tc>
          <w:tcPr>
            <w:tcW w:w="675"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6</w:t>
            </w:r>
          </w:p>
        </w:tc>
        <w:tc>
          <w:tcPr>
            <w:tcW w:w="4820" w:type="dxa"/>
            <w:gridSpan w:val="2"/>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bCs/>
                <w:caps/>
                <w:szCs w:val="21"/>
              </w:rPr>
              <w:t>火炬排放</w:t>
            </w:r>
          </w:p>
        </w:tc>
        <w:tc>
          <w:tcPr>
            <w:tcW w:w="1559"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系数法</w:t>
            </w:r>
          </w:p>
        </w:tc>
        <w:tc>
          <w:tcPr>
            <w:tcW w:w="1280"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0.87</w:t>
            </w:r>
          </w:p>
        </w:tc>
      </w:tr>
      <w:tr w:rsidR="00525419">
        <w:trPr>
          <w:trHeight w:val="164"/>
        </w:trPr>
        <w:tc>
          <w:tcPr>
            <w:tcW w:w="675"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7</w:t>
            </w:r>
          </w:p>
        </w:tc>
        <w:tc>
          <w:tcPr>
            <w:tcW w:w="4820" w:type="dxa"/>
            <w:gridSpan w:val="2"/>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bCs/>
                <w:caps/>
                <w:szCs w:val="21"/>
              </w:rPr>
              <w:t>冷却塔、循环水冷却系统释放</w:t>
            </w:r>
          </w:p>
        </w:tc>
        <w:tc>
          <w:tcPr>
            <w:tcW w:w="1559"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系数法</w:t>
            </w:r>
          </w:p>
        </w:tc>
        <w:tc>
          <w:tcPr>
            <w:tcW w:w="1280"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9.2</w:t>
            </w:r>
          </w:p>
        </w:tc>
      </w:tr>
      <w:tr w:rsidR="00525419">
        <w:trPr>
          <w:trHeight w:val="225"/>
        </w:trPr>
        <w:tc>
          <w:tcPr>
            <w:tcW w:w="675"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合计</w:t>
            </w:r>
          </w:p>
        </w:tc>
        <w:tc>
          <w:tcPr>
            <w:tcW w:w="4820" w:type="dxa"/>
            <w:gridSpan w:val="2"/>
            <w:tcBorders>
              <w:tl2br w:val="nil"/>
              <w:tr2bl w:val="nil"/>
            </w:tcBorders>
          </w:tcPr>
          <w:p w:rsidR="00525419" w:rsidRDefault="00525419">
            <w:pPr>
              <w:spacing w:line="240" w:lineRule="atLeast"/>
              <w:rPr>
                <w:rFonts w:ascii="Times New Roman" w:hAnsi="Times New Roman"/>
                <w:bCs/>
                <w:caps/>
                <w:szCs w:val="21"/>
              </w:rPr>
            </w:pPr>
          </w:p>
        </w:tc>
        <w:tc>
          <w:tcPr>
            <w:tcW w:w="1559" w:type="dxa"/>
            <w:tcBorders>
              <w:tl2br w:val="nil"/>
              <w:tr2bl w:val="nil"/>
            </w:tcBorders>
          </w:tcPr>
          <w:p w:rsidR="00525419" w:rsidRDefault="00525419">
            <w:pPr>
              <w:spacing w:line="240" w:lineRule="atLeast"/>
              <w:rPr>
                <w:rFonts w:ascii="Times New Roman" w:hAnsi="Times New Roman"/>
                <w:szCs w:val="21"/>
              </w:rPr>
            </w:pPr>
          </w:p>
        </w:tc>
        <w:tc>
          <w:tcPr>
            <w:tcW w:w="1280"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182.8014</w:t>
            </w:r>
          </w:p>
        </w:tc>
      </w:tr>
    </w:tbl>
    <w:p w:rsidR="00525419" w:rsidRDefault="00EE1CF7">
      <w:pPr>
        <w:pStyle w:val="3a"/>
        <w:spacing w:beforeLines="50" w:before="156" w:after="156" w:line="360" w:lineRule="auto"/>
        <w:jc w:val="left"/>
        <w:rPr>
          <w:rFonts w:ascii="Times New Roman" w:eastAsia="华文楷体" w:hAnsi="Times New Roman"/>
        </w:rPr>
      </w:pPr>
      <w:r>
        <w:rPr>
          <w:rFonts w:ascii="Times New Roman" w:eastAsia="华文楷体" w:hAnsi="Times New Roman"/>
        </w:rPr>
        <w:t>3.2.6</w:t>
      </w:r>
      <w:r>
        <w:rPr>
          <w:rFonts w:ascii="Times New Roman" w:eastAsia="华文楷体" w:hAnsi="Times New Roman"/>
        </w:rPr>
        <w:t>现有工程污染物排放总量统计</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本项目总量根据排污许可证进行核定。</w:t>
      </w:r>
      <w:r>
        <w:rPr>
          <w:rFonts w:ascii="Times New Roman" w:hAnsi="Times New Roman" w:hint="eastAsia"/>
          <w:sz w:val="24"/>
          <w:szCs w:val="24"/>
        </w:rPr>
        <w:t>根据表</w:t>
      </w:r>
      <w:r>
        <w:rPr>
          <w:rFonts w:ascii="Times New Roman" w:hAnsi="Times New Roman" w:hint="eastAsia"/>
          <w:sz w:val="24"/>
          <w:szCs w:val="24"/>
        </w:rPr>
        <w:t>3.2-4</w:t>
      </w:r>
      <w:r>
        <w:rPr>
          <w:rFonts w:ascii="Times New Roman" w:hAnsi="Times New Roman" w:hint="eastAsia"/>
          <w:sz w:val="24"/>
          <w:szCs w:val="24"/>
        </w:rPr>
        <w:t>，</w:t>
      </w:r>
      <w:r>
        <w:rPr>
          <w:rFonts w:ascii="Times New Roman" w:hAnsi="Times New Roman"/>
          <w:sz w:val="24"/>
          <w:szCs w:val="24"/>
        </w:rPr>
        <w:t>厂区已建工程污染物排放总量统计见表</w:t>
      </w:r>
      <w:r>
        <w:rPr>
          <w:rFonts w:ascii="Times New Roman" w:hAnsi="Times New Roman"/>
          <w:sz w:val="24"/>
          <w:szCs w:val="24"/>
        </w:rPr>
        <w:t>3.2-6</w:t>
      </w:r>
      <w:r>
        <w:rPr>
          <w:rFonts w:ascii="Times New Roman" w:hAnsi="Times New Roman"/>
          <w:sz w:val="24"/>
          <w:szCs w:val="24"/>
        </w:rPr>
        <w:t>。</w:t>
      </w:r>
    </w:p>
    <w:p w:rsidR="00525419" w:rsidRDefault="00EE1CF7">
      <w:pPr>
        <w:ind w:firstLineChars="200" w:firstLine="420"/>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3.2-6   </w:t>
      </w:r>
      <w:r>
        <w:rPr>
          <w:rFonts w:ascii="Times New Roman" w:eastAsia="黑体" w:hAnsi="Times New Roman"/>
          <w:szCs w:val="21"/>
        </w:rPr>
        <w:t>现有工程主要污染物排放总量汇总表</w:t>
      </w:r>
      <w:r>
        <w:rPr>
          <w:rFonts w:ascii="Times New Roman" w:eastAsia="黑体" w:hAnsi="Times New Roman"/>
          <w:szCs w:val="21"/>
        </w:rPr>
        <w:t xml:space="preserve">    </w:t>
      </w:r>
      <w:r>
        <w:rPr>
          <w:rFonts w:ascii="Times New Roman" w:eastAsia="黑体" w:hAnsi="Times New Roman"/>
          <w:szCs w:val="21"/>
        </w:rPr>
        <w:t>单位：</w:t>
      </w:r>
      <w:r>
        <w:rPr>
          <w:rFonts w:ascii="Times New Roman" w:eastAsia="黑体" w:hAnsi="Times New Roman"/>
          <w:szCs w:val="21"/>
        </w:rPr>
        <w:t>t/a</w:t>
      </w:r>
    </w:p>
    <w:tbl>
      <w:tblPr>
        <w:tblW w:w="852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30"/>
        <w:gridCol w:w="3273"/>
        <w:gridCol w:w="4224"/>
      </w:tblGrid>
      <w:tr w:rsidR="00525419">
        <w:trPr>
          <w:trHeight w:val="271"/>
          <w:jc w:val="center"/>
        </w:trPr>
        <w:tc>
          <w:tcPr>
            <w:tcW w:w="1030" w:type="dxa"/>
            <w:tcBorders>
              <w:tl2br w:val="nil"/>
              <w:tr2bl w:val="nil"/>
            </w:tcBorders>
            <w:vAlign w:val="center"/>
          </w:tcPr>
          <w:p w:rsidR="00525419" w:rsidRDefault="00EE1CF7">
            <w:pPr>
              <w:pStyle w:val="afffff1"/>
              <w:spacing w:line="240" w:lineRule="atLeast"/>
              <w:jc w:val="both"/>
            </w:pPr>
            <w:r>
              <w:t>项目</w:t>
            </w:r>
          </w:p>
        </w:tc>
        <w:tc>
          <w:tcPr>
            <w:tcW w:w="3273" w:type="dxa"/>
            <w:tcBorders>
              <w:tl2br w:val="nil"/>
              <w:tr2bl w:val="nil"/>
            </w:tcBorders>
            <w:vAlign w:val="center"/>
          </w:tcPr>
          <w:p w:rsidR="00525419" w:rsidRDefault="00EE1CF7">
            <w:pPr>
              <w:pStyle w:val="afffff1"/>
              <w:spacing w:line="240" w:lineRule="atLeast"/>
              <w:jc w:val="both"/>
            </w:pPr>
            <w:r>
              <w:t>排放量</w:t>
            </w:r>
          </w:p>
        </w:tc>
        <w:tc>
          <w:tcPr>
            <w:tcW w:w="4224" w:type="dxa"/>
            <w:tcBorders>
              <w:tl2br w:val="nil"/>
              <w:tr2bl w:val="nil"/>
            </w:tcBorders>
            <w:vAlign w:val="center"/>
          </w:tcPr>
          <w:p w:rsidR="00525419" w:rsidRDefault="00EE1CF7">
            <w:pPr>
              <w:pStyle w:val="afffff1"/>
              <w:spacing w:line="240" w:lineRule="atLeast"/>
              <w:jc w:val="both"/>
            </w:pPr>
            <w:r>
              <w:t>排污许可证指标</w:t>
            </w:r>
          </w:p>
        </w:tc>
      </w:tr>
      <w:tr w:rsidR="00525419">
        <w:trPr>
          <w:trHeight w:val="201"/>
          <w:jc w:val="center"/>
        </w:trPr>
        <w:tc>
          <w:tcPr>
            <w:tcW w:w="1030" w:type="dxa"/>
            <w:tcBorders>
              <w:tl2br w:val="nil"/>
              <w:tr2bl w:val="nil"/>
            </w:tcBorders>
            <w:vAlign w:val="center"/>
          </w:tcPr>
          <w:p w:rsidR="00525419" w:rsidRDefault="00EE1CF7">
            <w:pPr>
              <w:pStyle w:val="afffff1"/>
              <w:spacing w:line="240" w:lineRule="atLeast"/>
              <w:jc w:val="both"/>
            </w:pPr>
            <w:r>
              <w:t>烟尘</w:t>
            </w:r>
          </w:p>
        </w:tc>
        <w:tc>
          <w:tcPr>
            <w:tcW w:w="3273" w:type="dxa"/>
            <w:tcBorders>
              <w:tl2br w:val="nil"/>
              <w:tr2bl w:val="nil"/>
            </w:tcBorders>
            <w:vAlign w:val="center"/>
          </w:tcPr>
          <w:p w:rsidR="00525419" w:rsidRDefault="00EE1CF7">
            <w:pPr>
              <w:widowControl/>
              <w:spacing w:line="240" w:lineRule="atLeast"/>
              <w:textAlignment w:val="center"/>
              <w:rPr>
                <w:rFonts w:ascii="Times New Roman" w:hAnsi="Times New Roman"/>
                <w:kern w:val="0"/>
                <w:szCs w:val="21"/>
              </w:rPr>
            </w:pPr>
            <w:r>
              <w:rPr>
                <w:rFonts w:ascii="Times New Roman" w:hAnsi="Times New Roman"/>
                <w:kern w:val="0"/>
                <w:szCs w:val="21"/>
              </w:rPr>
              <w:t>4.64</w:t>
            </w:r>
          </w:p>
        </w:tc>
        <w:tc>
          <w:tcPr>
            <w:tcW w:w="4224" w:type="dxa"/>
            <w:tcBorders>
              <w:tl2br w:val="nil"/>
              <w:tr2bl w:val="nil"/>
            </w:tcBorders>
            <w:vAlign w:val="center"/>
          </w:tcPr>
          <w:p w:rsidR="00525419" w:rsidRDefault="00EE1CF7">
            <w:pPr>
              <w:pStyle w:val="afffff1"/>
              <w:spacing w:line="240" w:lineRule="atLeast"/>
              <w:jc w:val="both"/>
            </w:pPr>
            <w:r>
              <w:t>13.556</w:t>
            </w:r>
          </w:p>
        </w:tc>
      </w:tr>
      <w:tr w:rsidR="00525419">
        <w:trPr>
          <w:trHeight w:val="177"/>
          <w:jc w:val="center"/>
        </w:trPr>
        <w:tc>
          <w:tcPr>
            <w:tcW w:w="1030" w:type="dxa"/>
            <w:tcBorders>
              <w:tl2br w:val="nil"/>
              <w:tr2bl w:val="nil"/>
            </w:tcBorders>
            <w:vAlign w:val="center"/>
          </w:tcPr>
          <w:p w:rsidR="00525419" w:rsidRDefault="00EE1CF7">
            <w:pPr>
              <w:pStyle w:val="afffff1"/>
              <w:spacing w:line="240" w:lineRule="atLeast"/>
              <w:jc w:val="both"/>
            </w:pPr>
            <w:r>
              <w:t>SO</w:t>
            </w:r>
            <w:r>
              <w:rPr>
                <w:vertAlign w:val="subscript"/>
              </w:rPr>
              <w:t>2</w:t>
            </w:r>
          </w:p>
        </w:tc>
        <w:tc>
          <w:tcPr>
            <w:tcW w:w="3273" w:type="dxa"/>
            <w:tcBorders>
              <w:tl2br w:val="nil"/>
              <w:tr2bl w:val="nil"/>
            </w:tcBorders>
            <w:vAlign w:val="center"/>
          </w:tcPr>
          <w:p w:rsidR="00525419" w:rsidRDefault="00EE1CF7">
            <w:pPr>
              <w:widowControl/>
              <w:spacing w:line="240" w:lineRule="atLeast"/>
              <w:textAlignment w:val="center"/>
              <w:rPr>
                <w:rFonts w:ascii="Times New Roman" w:hAnsi="Times New Roman"/>
                <w:kern w:val="0"/>
                <w:szCs w:val="21"/>
              </w:rPr>
            </w:pPr>
            <w:r>
              <w:rPr>
                <w:rFonts w:ascii="Times New Roman" w:hAnsi="Times New Roman"/>
                <w:kern w:val="0"/>
                <w:szCs w:val="21"/>
              </w:rPr>
              <w:t>5.76</w:t>
            </w:r>
          </w:p>
        </w:tc>
        <w:tc>
          <w:tcPr>
            <w:tcW w:w="4224" w:type="dxa"/>
            <w:tcBorders>
              <w:tl2br w:val="nil"/>
              <w:tr2bl w:val="nil"/>
            </w:tcBorders>
            <w:vAlign w:val="center"/>
          </w:tcPr>
          <w:p w:rsidR="00525419" w:rsidRDefault="00EE1CF7">
            <w:pPr>
              <w:pStyle w:val="afffff1"/>
              <w:spacing w:line="240" w:lineRule="atLeast"/>
              <w:jc w:val="both"/>
            </w:pPr>
            <w:r>
              <w:t>55.883</w:t>
            </w:r>
          </w:p>
        </w:tc>
      </w:tr>
      <w:tr w:rsidR="00525419">
        <w:trPr>
          <w:trHeight w:val="285"/>
          <w:jc w:val="center"/>
        </w:trPr>
        <w:tc>
          <w:tcPr>
            <w:tcW w:w="1030" w:type="dxa"/>
            <w:tcBorders>
              <w:tl2br w:val="nil"/>
              <w:tr2bl w:val="nil"/>
            </w:tcBorders>
            <w:vAlign w:val="center"/>
          </w:tcPr>
          <w:p w:rsidR="00525419" w:rsidRDefault="00EE1CF7">
            <w:pPr>
              <w:pStyle w:val="afffff1"/>
              <w:spacing w:line="240" w:lineRule="atLeast"/>
              <w:jc w:val="both"/>
            </w:pPr>
            <w:r>
              <w:t>NO</w:t>
            </w:r>
            <w:r>
              <w:rPr>
                <w:vertAlign w:val="subscript"/>
              </w:rPr>
              <w:t>x</w:t>
            </w:r>
          </w:p>
        </w:tc>
        <w:tc>
          <w:tcPr>
            <w:tcW w:w="3273" w:type="dxa"/>
            <w:tcBorders>
              <w:tl2br w:val="nil"/>
              <w:tr2bl w:val="nil"/>
            </w:tcBorders>
            <w:vAlign w:val="center"/>
          </w:tcPr>
          <w:p w:rsidR="00525419" w:rsidRDefault="00EE1CF7">
            <w:pPr>
              <w:widowControl/>
              <w:spacing w:line="240" w:lineRule="atLeast"/>
              <w:textAlignment w:val="center"/>
              <w:rPr>
                <w:rFonts w:ascii="Times New Roman" w:hAnsi="Times New Roman"/>
                <w:kern w:val="0"/>
                <w:szCs w:val="21"/>
              </w:rPr>
            </w:pPr>
            <w:r>
              <w:rPr>
                <w:rFonts w:ascii="Times New Roman" w:hAnsi="Times New Roman"/>
                <w:kern w:val="0"/>
                <w:szCs w:val="21"/>
              </w:rPr>
              <w:t>32.32</w:t>
            </w:r>
          </w:p>
        </w:tc>
        <w:tc>
          <w:tcPr>
            <w:tcW w:w="4224" w:type="dxa"/>
            <w:tcBorders>
              <w:tl2br w:val="nil"/>
              <w:tr2bl w:val="nil"/>
            </w:tcBorders>
            <w:vAlign w:val="center"/>
          </w:tcPr>
          <w:p w:rsidR="00525419" w:rsidRDefault="00EE1CF7">
            <w:pPr>
              <w:pStyle w:val="afffff1"/>
              <w:spacing w:line="240" w:lineRule="atLeast"/>
              <w:jc w:val="both"/>
            </w:pPr>
            <w:r>
              <w:t>71.935152</w:t>
            </w:r>
          </w:p>
        </w:tc>
      </w:tr>
      <w:tr w:rsidR="00525419">
        <w:trPr>
          <w:trHeight w:val="90"/>
          <w:jc w:val="center"/>
        </w:trPr>
        <w:tc>
          <w:tcPr>
            <w:tcW w:w="1030" w:type="dxa"/>
            <w:tcBorders>
              <w:tl2br w:val="nil"/>
              <w:tr2bl w:val="nil"/>
            </w:tcBorders>
            <w:vAlign w:val="center"/>
          </w:tcPr>
          <w:p w:rsidR="00525419" w:rsidRDefault="00EE1CF7">
            <w:pPr>
              <w:pStyle w:val="afffff1"/>
              <w:spacing w:line="240" w:lineRule="atLeast"/>
              <w:jc w:val="both"/>
            </w:pPr>
            <w:r>
              <w:t>COD</w:t>
            </w:r>
          </w:p>
        </w:tc>
        <w:tc>
          <w:tcPr>
            <w:tcW w:w="3273" w:type="dxa"/>
            <w:tcBorders>
              <w:tl2br w:val="nil"/>
              <w:tr2bl w:val="nil"/>
            </w:tcBorders>
            <w:vAlign w:val="center"/>
          </w:tcPr>
          <w:p w:rsidR="00525419" w:rsidRDefault="00EE1CF7">
            <w:pPr>
              <w:widowControl/>
              <w:spacing w:line="240" w:lineRule="atLeast"/>
              <w:textAlignment w:val="center"/>
              <w:rPr>
                <w:rFonts w:ascii="Times New Roman" w:hAnsi="Times New Roman"/>
                <w:kern w:val="0"/>
                <w:szCs w:val="21"/>
              </w:rPr>
            </w:pPr>
            <w:r>
              <w:rPr>
                <w:rFonts w:ascii="Times New Roman" w:hAnsi="Times New Roman"/>
                <w:kern w:val="0"/>
                <w:szCs w:val="21"/>
              </w:rPr>
              <w:t>0</w:t>
            </w:r>
          </w:p>
        </w:tc>
        <w:tc>
          <w:tcPr>
            <w:tcW w:w="4224" w:type="dxa"/>
            <w:tcBorders>
              <w:tl2br w:val="nil"/>
              <w:tr2bl w:val="nil"/>
            </w:tcBorders>
            <w:vAlign w:val="center"/>
          </w:tcPr>
          <w:p w:rsidR="00525419" w:rsidRDefault="00EE1CF7">
            <w:pPr>
              <w:pStyle w:val="afffff1"/>
              <w:spacing w:line="240" w:lineRule="atLeast"/>
              <w:jc w:val="both"/>
            </w:pPr>
            <w:r>
              <w:t>0</w:t>
            </w:r>
          </w:p>
        </w:tc>
      </w:tr>
      <w:tr w:rsidR="00525419">
        <w:trPr>
          <w:trHeight w:val="288"/>
          <w:jc w:val="center"/>
        </w:trPr>
        <w:tc>
          <w:tcPr>
            <w:tcW w:w="1030" w:type="dxa"/>
            <w:tcBorders>
              <w:tl2br w:val="nil"/>
              <w:tr2bl w:val="nil"/>
            </w:tcBorders>
            <w:vAlign w:val="center"/>
          </w:tcPr>
          <w:p w:rsidR="00525419" w:rsidRDefault="00EE1CF7">
            <w:pPr>
              <w:pStyle w:val="afffff1"/>
              <w:spacing w:line="240" w:lineRule="atLeast"/>
              <w:jc w:val="both"/>
            </w:pPr>
            <w:r>
              <w:t>氨氮</w:t>
            </w:r>
          </w:p>
        </w:tc>
        <w:tc>
          <w:tcPr>
            <w:tcW w:w="3273" w:type="dxa"/>
            <w:tcBorders>
              <w:tl2br w:val="nil"/>
              <w:tr2bl w:val="nil"/>
            </w:tcBorders>
            <w:vAlign w:val="center"/>
          </w:tcPr>
          <w:p w:rsidR="00525419" w:rsidRDefault="00EE1CF7">
            <w:pPr>
              <w:widowControl/>
              <w:spacing w:line="240" w:lineRule="atLeast"/>
              <w:textAlignment w:val="center"/>
              <w:rPr>
                <w:rFonts w:ascii="Times New Roman" w:hAnsi="Times New Roman"/>
                <w:kern w:val="0"/>
                <w:szCs w:val="21"/>
              </w:rPr>
            </w:pPr>
            <w:r>
              <w:rPr>
                <w:rFonts w:ascii="Times New Roman" w:hAnsi="Times New Roman"/>
                <w:kern w:val="0"/>
                <w:szCs w:val="21"/>
              </w:rPr>
              <w:t>0</w:t>
            </w:r>
          </w:p>
        </w:tc>
        <w:tc>
          <w:tcPr>
            <w:tcW w:w="4224" w:type="dxa"/>
            <w:tcBorders>
              <w:tl2br w:val="nil"/>
              <w:tr2bl w:val="nil"/>
            </w:tcBorders>
            <w:vAlign w:val="center"/>
          </w:tcPr>
          <w:p w:rsidR="00525419" w:rsidRDefault="00EE1CF7">
            <w:pPr>
              <w:pStyle w:val="afffff1"/>
              <w:spacing w:line="240" w:lineRule="atLeast"/>
              <w:jc w:val="both"/>
            </w:pPr>
            <w:r>
              <w:t>0</w:t>
            </w:r>
          </w:p>
        </w:tc>
      </w:tr>
      <w:tr w:rsidR="00525419">
        <w:trPr>
          <w:trHeight w:val="288"/>
          <w:jc w:val="center"/>
        </w:trPr>
        <w:tc>
          <w:tcPr>
            <w:tcW w:w="1030" w:type="dxa"/>
            <w:tcBorders>
              <w:tl2br w:val="nil"/>
              <w:tr2bl w:val="nil"/>
            </w:tcBorders>
            <w:vAlign w:val="center"/>
          </w:tcPr>
          <w:p w:rsidR="00525419" w:rsidRDefault="00EE1CF7">
            <w:pPr>
              <w:pStyle w:val="afffff1"/>
              <w:spacing w:line="240" w:lineRule="atLeast"/>
              <w:jc w:val="both"/>
            </w:pPr>
            <w:r>
              <w:t xml:space="preserve">VOC </w:t>
            </w:r>
          </w:p>
        </w:tc>
        <w:tc>
          <w:tcPr>
            <w:tcW w:w="3273" w:type="dxa"/>
            <w:tcBorders>
              <w:tl2br w:val="nil"/>
              <w:tr2bl w:val="nil"/>
            </w:tcBorders>
            <w:vAlign w:val="center"/>
          </w:tcPr>
          <w:p w:rsidR="00525419" w:rsidRDefault="00EE1CF7">
            <w:pPr>
              <w:widowControl/>
              <w:spacing w:line="240" w:lineRule="atLeast"/>
              <w:textAlignment w:val="center"/>
              <w:rPr>
                <w:rFonts w:ascii="Times New Roman" w:hAnsi="Times New Roman"/>
                <w:kern w:val="0"/>
                <w:szCs w:val="21"/>
              </w:rPr>
            </w:pPr>
            <w:r>
              <w:rPr>
                <w:rFonts w:ascii="Times New Roman" w:hAnsi="Times New Roman"/>
                <w:kern w:val="0"/>
                <w:szCs w:val="21"/>
              </w:rPr>
              <w:t>182.8014</w:t>
            </w:r>
          </w:p>
        </w:tc>
        <w:tc>
          <w:tcPr>
            <w:tcW w:w="4224" w:type="dxa"/>
            <w:tcBorders>
              <w:tl2br w:val="nil"/>
              <w:tr2bl w:val="nil"/>
            </w:tcBorders>
            <w:vAlign w:val="center"/>
          </w:tcPr>
          <w:p w:rsidR="00525419" w:rsidRDefault="00EE1CF7">
            <w:pPr>
              <w:pStyle w:val="afffff1"/>
              <w:spacing w:line="240" w:lineRule="atLeast"/>
              <w:jc w:val="both"/>
            </w:pPr>
            <w:r>
              <w:t>415.3069</w:t>
            </w:r>
          </w:p>
        </w:tc>
      </w:tr>
    </w:tbl>
    <w:p w:rsidR="00525419" w:rsidRDefault="00EE1CF7">
      <w:pPr>
        <w:rPr>
          <w:rFonts w:ascii="Times New Roman" w:hAnsi="Times New Roman"/>
          <w:szCs w:val="28"/>
        </w:rPr>
      </w:pPr>
      <w:r>
        <w:rPr>
          <w:rFonts w:ascii="Times New Roman" w:hAnsi="Times New Roman"/>
          <w:szCs w:val="28"/>
        </w:rPr>
        <w:t>目前，依托单位废水不外排，故废水中污染物排放量按零计。</w:t>
      </w:r>
    </w:p>
    <w:p w:rsidR="00525419" w:rsidRDefault="00525419">
      <w:pPr>
        <w:ind w:firstLineChars="200" w:firstLine="420"/>
        <w:jc w:val="center"/>
        <w:rPr>
          <w:rFonts w:ascii="Times New Roman" w:eastAsia="黑体" w:hAnsi="Times New Roman"/>
          <w:szCs w:val="21"/>
        </w:rPr>
      </w:pPr>
    </w:p>
    <w:p w:rsidR="00525419" w:rsidRDefault="00EE1CF7">
      <w:pPr>
        <w:pStyle w:val="3a"/>
        <w:spacing w:beforeLines="50" w:before="156" w:after="156" w:line="360" w:lineRule="auto"/>
        <w:jc w:val="left"/>
        <w:rPr>
          <w:rFonts w:ascii="Times New Roman" w:eastAsia="华文楷体" w:hAnsi="Times New Roman"/>
        </w:rPr>
      </w:pPr>
      <w:r>
        <w:rPr>
          <w:rFonts w:ascii="Times New Roman" w:eastAsia="华文楷体" w:hAnsi="Times New Roman"/>
        </w:rPr>
        <w:t>3.2.7</w:t>
      </w:r>
      <w:r>
        <w:rPr>
          <w:rFonts w:ascii="Times New Roman" w:eastAsia="华文楷体" w:hAnsi="Times New Roman"/>
        </w:rPr>
        <w:t>现有工程环境影响评价和</w:t>
      </w:r>
      <w:r>
        <w:rPr>
          <w:rFonts w:ascii="Times New Roman" w:eastAsia="华文楷体" w:hAnsi="Times New Roman"/>
        </w:rPr>
        <w:t>“</w:t>
      </w:r>
      <w:r>
        <w:rPr>
          <w:rFonts w:ascii="Times New Roman" w:eastAsia="华文楷体" w:hAnsi="Times New Roman"/>
        </w:rPr>
        <w:t>三同时</w:t>
      </w:r>
      <w:r>
        <w:rPr>
          <w:rFonts w:ascii="Times New Roman" w:eastAsia="华文楷体" w:hAnsi="Times New Roman"/>
        </w:rPr>
        <w:t>”</w:t>
      </w:r>
      <w:r>
        <w:rPr>
          <w:rFonts w:ascii="Times New Roman" w:eastAsia="华文楷体" w:hAnsi="Times New Roman"/>
        </w:rPr>
        <w:t>制度</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3.2.7.1</w:t>
      </w:r>
      <w:r>
        <w:rPr>
          <w:rFonts w:ascii="Times New Roman" w:hAnsi="Times New Roman" w:cs="Times New Roman"/>
          <w:kern w:val="44"/>
          <w:sz w:val="24"/>
          <w:szCs w:val="24"/>
        </w:rPr>
        <w:t>环境影响评价与竣工验收</w:t>
      </w:r>
    </w:p>
    <w:p w:rsidR="00525419" w:rsidRDefault="00EE1CF7">
      <w:pPr>
        <w:autoSpaceDE w:val="0"/>
        <w:autoSpaceDN w:val="0"/>
        <w:adjustRightInd w:val="0"/>
        <w:spacing w:line="360" w:lineRule="auto"/>
        <w:ind w:firstLineChars="200" w:firstLine="480"/>
        <w:rPr>
          <w:rFonts w:ascii="Times New Roman" w:hAnsi="Times New Roman"/>
          <w:sz w:val="24"/>
          <w:szCs w:val="24"/>
        </w:rPr>
      </w:pPr>
      <w:r>
        <w:rPr>
          <w:rFonts w:ascii="Times New Roman" w:hAnsi="Times New Roman"/>
          <w:sz w:val="24"/>
          <w:szCs w:val="24"/>
        </w:rPr>
        <w:t>自建厂以来，新疆美汇特石化产品有限公司项目环评及</w:t>
      </w:r>
      <w:r>
        <w:rPr>
          <w:rFonts w:ascii="Times New Roman" w:hAnsi="Times New Roman"/>
          <w:sz w:val="24"/>
          <w:szCs w:val="24"/>
        </w:rPr>
        <w:t>“</w:t>
      </w:r>
      <w:r>
        <w:rPr>
          <w:rFonts w:ascii="Times New Roman" w:hAnsi="Times New Roman"/>
          <w:sz w:val="24"/>
          <w:szCs w:val="24"/>
        </w:rPr>
        <w:t>三同时</w:t>
      </w:r>
      <w:r>
        <w:rPr>
          <w:rFonts w:ascii="Times New Roman" w:hAnsi="Times New Roman"/>
          <w:sz w:val="24"/>
          <w:szCs w:val="24"/>
        </w:rPr>
        <w:t>”</w:t>
      </w:r>
      <w:r>
        <w:rPr>
          <w:rFonts w:ascii="Times New Roman" w:hAnsi="Times New Roman"/>
          <w:sz w:val="24"/>
          <w:szCs w:val="24"/>
        </w:rPr>
        <w:t>制度执行情况见表</w:t>
      </w:r>
      <w:r>
        <w:rPr>
          <w:rFonts w:ascii="Times New Roman" w:hAnsi="Times New Roman"/>
          <w:sz w:val="24"/>
          <w:szCs w:val="24"/>
        </w:rPr>
        <w:t>3.2-7</w:t>
      </w:r>
      <w:r>
        <w:rPr>
          <w:rFonts w:ascii="Times New Roman" w:hAnsi="Times New Roman"/>
          <w:sz w:val="24"/>
          <w:szCs w:val="24"/>
        </w:rPr>
        <w:t>。</w:t>
      </w:r>
    </w:p>
    <w:p w:rsidR="00525419" w:rsidRDefault="00525419">
      <w:pPr>
        <w:spacing w:line="240" w:lineRule="atLeast"/>
        <w:ind w:firstLineChars="200" w:firstLine="420"/>
        <w:rPr>
          <w:rFonts w:ascii="Times New Roman" w:eastAsia="黑体" w:hAnsi="Times New Roman"/>
          <w:szCs w:val="21"/>
        </w:rPr>
      </w:pPr>
    </w:p>
    <w:p w:rsidR="00525419" w:rsidRDefault="00EE1CF7">
      <w:pPr>
        <w:spacing w:line="240" w:lineRule="atLeast"/>
        <w:ind w:firstLineChars="200" w:firstLine="420"/>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3.2-7</w:t>
      </w:r>
      <w:r>
        <w:rPr>
          <w:rFonts w:ascii="Times New Roman" w:eastAsia="黑体" w:hAnsi="Times New Roman"/>
          <w:szCs w:val="21"/>
        </w:rPr>
        <w:t xml:space="preserve">　</w:t>
      </w:r>
      <w:r>
        <w:rPr>
          <w:rFonts w:ascii="Times New Roman" w:eastAsia="黑体" w:hAnsi="Times New Roman"/>
          <w:szCs w:val="21"/>
        </w:rPr>
        <w:t xml:space="preserve">  </w:t>
      </w:r>
      <w:r>
        <w:rPr>
          <w:rFonts w:ascii="Times New Roman" w:eastAsia="黑体" w:hAnsi="Times New Roman"/>
          <w:szCs w:val="21"/>
        </w:rPr>
        <w:t>新疆美汇特石化产品有限公司环境影响评价和</w:t>
      </w:r>
      <w:r>
        <w:rPr>
          <w:rFonts w:ascii="Times New Roman" w:eastAsia="黑体" w:hAnsi="Times New Roman"/>
          <w:szCs w:val="21"/>
        </w:rPr>
        <w:t>“</w:t>
      </w:r>
      <w:r>
        <w:rPr>
          <w:rFonts w:ascii="Times New Roman" w:eastAsia="黑体" w:hAnsi="Times New Roman"/>
          <w:szCs w:val="21"/>
        </w:rPr>
        <w:t>三同时</w:t>
      </w:r>
      <w:r>
        <w:rPr>
          <w:rFonts w:ascii="Times New Roman" w:eastAsia="黑体" w:hAnsi="Times New Roman"/>
          <w:szCs w:val="21"/>
        </w:rPr>
        <w:t>”</w:t>
      </w:r>
      <w:r>
        <w:rPr>
          <w:rFonts w:ascii="Times New Roman" w:eastAsia="黑体" w:hAnsi="Times New Roman"/>
          <w:szCs w:val="21"/>
        </w:rPr>
        <w:t>制度执行情况</w:t>
      </w:r>
    </w:p>
    <w:tbl>
      <w:tblPr>
        <w:tblW w:w="856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5"/>
        <w:gridCol w:w="1803"/>
        <w:gridCol w:w="900"/>
        <w:gridCol w:w="1080"/>
        <w:gridCol w:w="1252"/>
        <w:gridCol w:w="1050"/>
        <w:gridCol w:w="1150"/>
        <w:gridCol w:w="868"/>
      </w:tblGrid>
      <w:tr w:rsidR="00525419">
        <w:trPr>
          <w:trHeight w:val="222"/>
          <w:jc w:val="center"/>
        </w:trPr>
        <w:tc>
          <w:tcPr>
            <w:tcW w:w="465" w:type="dxa"/>
            <w:vMerge w:val="restart"/>
            <w:tcBorders>
              <w:tl2br w:val="nil"/>
              <w:tr2bl w:val="nil"/>
            </w:tcBorders>
            <w:vAlign w:val="center"/>
          </w:tcPr>
          <w:p w:rsidR="00525419" w:rsidRDefault="00EE1CF7">
            <w:pPr>
              <w:spacing w:line="280" w:lineRule="exact"/>
              <w:jc w:val="center"/>
              <w:rPr>
                <w:rFonts w:ascii="Times New Roman" w:hAnsi="Times New Roman"/>
                <w:szCs w:val="21"/>
              </w:rPr>
            </w:pPr>
            <w:r>
              <w:rPr>
                <w:rFonts w:ascii="Times New Roman" w:hAnsi="Times New Roman"/>
                <w:szCs w:val="21"/>
              </w:rPr>
              <w:t>序</w:t>
            </w:r>
            <w:r>
              <w:rPr>
                <w:rFonts w:ascii="Times New Roman" w:hAnsi="Times New Roman"/>
                <w:szCs w:val="21"/>
              </w:rPr>
              <w:lastRenderedPageBreak/>
              <w:t>号</w:t>
            </w:r>
          </w:p>
        </w:tc>
        <w:tc>
          <w:tcPr>
            <w:tcW w:w="1803" w:type="dxa"/>
            <w:vMerge w:val="restart"/>
            <w:tcBorders>
              <w:tl2br w:val="nil"/>
              <w:tr2bl w:val="nil"/>
            </w:tcBorders>
            <w:vAlign w:val="center"/>
          </w:tcPr>
          <w:p w:rsidR="00525419" w:rsidRDefault="00EE1CF7">
            <w:pPr>
              <w:spacing w:line="280" w:lineRule="exact"/>
              <w:jc w:val="center"/>
              <w:rPr>
                <w:rFonts w:ascii="Times New Roman" w:hAnsi="Times New Roman"/>
                <w:szCs w:val="21"/>
              </w:rPr>
            </w:pPr>
            <w:r>
              <w:rPr>
                <w:rFonts w:ascii="Times New Roman" w:hAnsi="Times New Roman"/>
                <w:szCs w:val="21"/>
              </w:rPr>
              <w:lastRenderedPageBreak/>
              <w:t>名称</w:t>
            </w:r>
          </w:p>
        </w:tc>
        <w:tc>
          <w:tcPr>
            <w:tcW w:w="3232" w:type="dxa"/>
            <w:gridSpan w:val="3"/>
            <w:tcBorders>
              <w:tl2br w:val="nil"/>
              <w:tr2bl w:val="nil"/>
            </w:tcBorders>
            <w:vAlign w:val="center"/>
          </w:tcPr>
          <w:p w:rsidR="00525419" w:rsidRDefault="00EE1CF7">
            <w:pPr>
              <w:spacing w:line="280" w:lineRule="exact"/>
              <w:jc w:val="center"/>
              <w:rPr>
                <w:rFonts w:ascii="Times New Roman" w:hAnsi="Times New Roman"/>
                <w:szCs w:val="21"/>
              </w:rPr>
            </w:pPr>
            <w:r>
              <w:rPr>
                <w:rFonts w:ascii="Times New Roman" w:hAnsi="Times New Roman"/>
                <w:szCs w:val="21"/>
              </w:rPr>
              <w:t>环境影响评价</w:t>
            </w:r>
          </w:p>
        </w:tc>
        <w:tc>
          <w:tcPr>
            <w:tcW w:w="3068" w:type="dxa"/>
            <w:gridSpan w:val="3"/>
            <w:tcBorders>
              <w:tl2br w:val="nil"/>
              <w:tr2bl w:val="nil"/>
            </w:tcBorders>
            <w:vAlign w:val="center"/>
          </w:tcPr>
          <w:p w:rsidR="00525419" w:rsidRDefault="00EE1CF7">
            <w:pPr>
              <w:spacing w:line="280" w:lineRule="exact"/>
              <w:jc w:val="center"/>
              <w:rPr>
                <w:rFonts w:ascii="Times New Roman" w:hAnsi="Times New Roman"/>
                <w:szCs w:val="21"/>
              </w:rPr>
            </w:pPr>
            <w:r>
              <w:rPr>
                <w:rFonts w:ascii="Times New Roman" w:hAnsi="Times New Roman"/>
                <w:szCs w:val="21"/>
              </w:rPr>
              <w:t>竣工环境保护验收</w:t>
            </w:r>
          </w:p>
        </w:tc>
      </w:tr>
      <w:tr w:rsidR="00525419">
        <w:trPr>
          <w:trHeight w:val="607"/>
          <w:jc w:val="center"/>
        </w:trPr>
        <w:tc>
          <w:tcPr>
            <w:tcW w:w="465" w:type="dxa"/>
            <w:vMerge/>
            <w:tcBorders>
              <w:tl2br w:val="nil"/>
              <w:tr2bl w:val="nil"/>
            </w:tcBorders>
            <w:vAlign w:val="center"/>
          </w:tcPr>
          <w:p w:rsidR="00525419" w:rsidRDefault="00525419">
            <w:pPr>
              <w:spacing w:line="280" w:lineRule="exact"/>
              <w:jc w:val="center"/>
              <w:rPr>
                <w:rFonts w:ascii="Times New Roman" w:hAnsi="Times New Roman"/>
                <w:szCs w:val="21"/>
              </w:rPr>
            </w:pPr>
          </w:p>
        </w:tc>
        <w:tc>
          <w:tcPr>
            <w:tcW w:w="1803" w:type="dxa"/>
            <w:vMerge/>
            <w:tcBorders>
              <w:tl2br w:val="nil"/>
              <w:tr2bl w:val="nil"/>
            </w:tcBorders>
            <w:vAlign w:val="center"/>
          </w:tcPr>
          <w:p w:rsidR="00525419" w:rsidRDefault="00525419">
            <w:pPr>
              <w:spacing w:line="280" w:lineRule="exact"/>
              <w:jc w:val="center"/>
              <w:rPr>
                <w:rFonts w:ascii="Times New Roman" w:hAnsi="Times New Roman"/>
                <w:szCs w:val="21"/>
              </w:rPr>
            </w:pPr>
          </w:p>
        </w:tc>
        <w:tc>
          <w:tcPr>
            <w:tcW w:w="900" w:type="dxa"/>
            <w:tcBorders>
              <w:tl2br w:val="nil"/>
              <w:tr2bl w:val="nil"/>
            </w:tcBorders>
            <w:vAlign w:val="center"/>
          </w:tcPr>
          <w:p w:rsidR="00525419" w:rsidRDefault="00EE1CF7">
            <w:pPr>
              <w:spacing w:line="280" w:lineRule="exact"/>
              <w:jc w:val="center"/>
              <w:rPr>
                <w:rFonts w:ascii="Times New Roman" w:hAnsi="Times New Roman"/>
                <w:szCs w:val="21"/>
              </w:rPr>
            </w:pPr>
            <w:r>
              <w:rPr>
                <w:rFonts w:ascii="Times New Roman" w:hAnsi="Times New Roman"/>
                <w:szCs w:val="21"/>
              </w:rPr>
              <w:t>审批</w:t>
            </w:r>
          </w:p>
          <w:p w:rsidR="00525419" w:rsidRDefault="00EE1CF7">
            <w:pPr>
              <w:spacing w:line="280" w:lineRule="exact"/>
              <w:jc w:val="center"/>
              <w:rPr>
                <w:rFonts w:ascii="Times New Roman" w:hAnsi="Times New Roman"/>
                <w:szCs w:val="21"/>
              </w:rPr>
            </w:pPr>
            <w:r>
              <w:rPr>
                <w:rFonts w:ascii="Times New Roman" w:hAnsi="Times New Roman"/>
                <w:szCs w:val="21"/>
              </w:rPr>
              <w:t>单位</w:t>
            </w:r>
          </w:p>
        </w:tc>
        <w:tc>
          <w:tcPr>
            <w:tcW w:w="1080" w:type="dxa"/>
            <w:tcBorders>
              <w:tl2br w:val="nil"/>
              <w:tr2bl w:val="nil"/>
            </w:tcBorders>
            <w:vAlign w:val="center"/>
          </w:tcPr>
          <w:p w:rsidR="00525419" w:rsidRDefault="00EE1CF7">
            <w:pPr>
              <w:spacing w:line="280" w:lineRule="exact"/>
              <w:jc w:val="center"/>
              <w:rPr>
                <w:rFonts w:ascii="Times New Roman" w:hAnsi="Times New Roman"/>
                <w:szCs w:val="21"/>
              </w:rPr>
            </w:pPr>
            <w:r>
              <w:rPr>
                <w:rFonts w:ascii="Times New Roman" w:hAnsi="Times New Roman"/>
                <w:szCs w:val="21"/>
              </w:rPr>
              <w:t>批准文号</w:t>
            </w:r>
          </w:p>
        </w:tc>
        <w:tc>
          <w:tcPr>
            <w:tcW w:w="1252" w:type="dxa"/>
            <w:tcBorders>
              <w:tl2br w:val="nil"/>
              <w:tr2bl w:val="nil"/>
            </w:tcBorders>
            <w:vAlign w:val="center"/>
          </w:tcPr>
          <w:p w:rsidR="00525419" w:rsidRDefault="00EE1CF7">
            <w:pPr>
              <w:spacing w:line="280" w:lineRule="exact"/>
              <w:jc w:val="center"/>
              <w:rPr>
                <w:rFonts w:ascii="Times New Roman" w:hAnsi="Times New Roman"/>
                <w:szCs w:val="21"/>
              </w:rPr>
            </w:pPr>
            <w:r>
              <w:rPr>
                <w:rFonts w:ascii="Times New Roman" w:hAnsi="Times New Roman"/>
                <w:szCs w:val="21"/>
              </w:rPr>
              <w:t>批准</w:t>
            </w:r>
          </w:p>
          <w:p w:rsidR="00525419" w:rsidRDefault="00EE1CF7">
            <w:pPr>
              <w:spacing w:line="280" w:lineRule="exact"/>
              <w:jc w:val="center"/>
              <w:rPr>
                <w:rFonts w:ascii="Times New Roman" w:hAnsi="Times New Roman"/>
                <w:szCs w:val="21"/>
              </w:rPr>
            </w:pPr>
            <w:r>
              <w:rPr>
                <w:rFonts w:ascii="Times New Roman" w:hAnsi="Times New Roman"/>
                <w:szCs w:val="21"/>
              </w:rPr>
              <w:t>时间</w:t>
            </w:r>
          </w:p>
        </w:tc>
        <w:tc>
          <w:tcPr>
            <w:tcW w:w="1050" w:type="dxa"/>
            <w:tcBorders>
              <w:tl2br w:val="nil"/>
              <w:tr2bl w:val="nil"/>
            </w:tcBorders>
            <w:vAlign w:val="center"/>
          </w:tcPr>
          <w:p w:rsidR="00525419" w:rsidRDefault="00EE1CF7">
            <w:pPr>
              <w:spacing w:line="280" w:lineRule="exact"/>
              <w:jc w:val="center"/>
              <w:rPr>
                <w:rFonts w:ascii="Times New Roman" w:hAnsi="Times New Roman"/>
                <w:szCs w:val="21"/>
              </w:rPr>
            </w:pPr>
            <w:r>
              <w:rPr>
                <w:rFonts w:ascii="Times New Roman" w:hAnsi="Times New Roman"/>
                <w:szCs w:val="21"/>
              </w:rPr>
              <w:t>审批</w:t>
            </w:r>
          </w:p>
          <w:p w:rsidR="00525419" w:rsidRDefault="00EE1CF7">
            <w:pPr>
              <w:spacing w:line="280" w:lineRule="exact"/>
              <w:jc w:val="center"/>
              <w:rPr>
                <w:rFonts w:ascii="Times New Roman" w:hAnsi="Times New Roman"/>
                <w:szCs w:val="21"/>
              </w:rPr>
            </w:pPr>
            <w:r>
              <w:rPr>
                <w:rFonts w:ascii="Times New Roman" w:hAnsi="Times New Roman"/>
                <w:szCs w:val="21"/>
              </w:rPr>
              <w:t>单位</w:t>
            </w:r>
          </w:p>
        </w:tc>
        <w:tc>
          <w:tcPr>
            <w:tcW w:w="1150" w:type="dxa"/>
            <w:tcBorders>
              <w:tl2br w:val="nil"/>
              <w:tr2bl w:val="nil"/>
            </w:tcBorders>
            <w:vAlign w:val="center"/>
          </w:tcPr>
          <w:p w:rsidR="00525419" w:rsidRDefault="00EE1CF7">
            <w:pPr>
              <w:spacing w:line="280" w:lineRule="exact"/>
              <w:jc w:val="center"/>
              <w:rPr>
                <w:rFonts w:ascii="Times New Roman" w:hAnsi="Times New Roman"/>
                <w:szCs w:val="21"/>
              </w:rPr>
            </w:pPr>
            <w:r>
              <w:rPr>
                <w:rFonts w:ascii="Times New Roman" w:hAnsi="Times New Roman"/>
                <w:szCs w:val="21"/>
              </w:rPr>
              <w:t>批准文号</w:t>
            </w:r>
          </w:p>
        </w:tc>
        <w:tc>
          <w:tcPr>
            <w:tcW w:w="868" w:type="dxa"/>
            <w:tcBorders>
              <w:tl2br w:val="nil"/>
              <w:tr2bl w:val="nil"/>
            </w:tcBorders>
            <w:vAlign w:val="center"/>
          </w:tcPr>
          <w:p w:rsidR="00525419" w:rsidRDefault="00EE1CF7">
            <w:pPr>
              <w:spacing w:line="280" w:lineRule="exact"/>
              <w:jc w:val="center"/>
              <w:rPr>
                <w:rFonts w:ascii="Times New Roman" w:hAnsi="Times New Roman"/>
                <w:szCs w:val="21"/>
              </w:rPr>
            </w:pPr>
            <w:r>
              <w:rPr>
                <w:rFonts w:ascii="Times New Roman" w:hAnsi="Times New Roman"/>
                <w:szCs w:val="21"/>
              </w:rPr>
              <w:t>批准</w:t>
            </w:r>
          </w:p>
          <w:p w:rsidR="00525419" w:rsidRDefault="00EE1CF7">
            <w:pPr>
              <w:spacing w:line="280" w:lineRule="exact"/>
              <w:jc w:val="center"/>
              <w:rPr>
                <w:rFonts w:ascii="Times New Roman" w:hAnsi="Times New Roman"/>
                <w:szCs w:val="21"/>
              </w:rPr>
            </w:pPr>
            <w:r>
              <w:rPr>
                <w:rFonts w:ascii="Times New Roman" w:hAnsi="Times New Roman"/>
                <w:szCs w:val="21"/>
              </w:rPr>
              <w:t>时间</w:t>
            </w:r>
          </w:p>
        </w:tc>
      </w:tr>
      <w:tr w:rsidR="00525419">
        <w:trPr>
          <w:jc w:val="center"/>
        </w:trPr>
        <w:tc>
          <w:tcPr>
            <w:tcW w:w="465"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1"/>
              </w:rPr>
              <w:t>1</w:t>
            </w:r>
          </w:p>
        </w:tc>
        <w:tc>
          <w:tcPr>
            <w:tcW w:w="1803"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1"/>
              </w:rPr>
              <w:t>50</w:t>
            </w:r>
            <w:r>
              <w:rPr>
                <w:rFonts w:ascii="Times New Roman" w:hAnsi="Times New Roman"/>
                <w:szCs w:val="21"/>
              </w:rPr>
              <w:t>万吨年高等级道路沥青及改性沥青项目</w:t>
            </w:r>
          </w:p>
        </w:tc>
        <w:tc>
          <w:tcPr>
            <w:tcW w:w="900"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1"/>
              </w:rPr>
              <w:t>新疆维吾尔自</w:t>
            </w:r>
          </w:p>
          <w:p w:rsidR="00525419" w:rsidRDefault="00EE1CF7">
            <w:pPr>
              <w:spacing w:line="280" w:lineRule="exact"/>
              <w:rPr>
                <w:rFonts w:ascii="Times New Roman" w:hAnsi="Times New Roman"/>
                <w:szCs w:val="21"/>
              </w:rPr>
            </w:pPr>
            <w:r>
              <w:rPr>
                <w:rFonts w:ascii="Times New Roman" w:hAnsi="Times New Roman"/>
                <w:szCs w:val="21"/>
              </w:rPr>
              <w:t>治区环保局</w:t>
            </w:r>
          </w:p>
        </w:tc>
        <w:tc>
          <w:tcPr>
            <w:tcW w:w="1080"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1"/>
              </w:rPr>
              <w:t>新环监函</w:t>
            </w:r>
          </w:p>
          <w:p w:rsidR="00525419" w:rsidRDefault="00EE1CF7">
            <w:pPr>
              <w:spacing w:line="280" w:lineRule="exact"/>
              <w:rPr>
                <w:rFonts w:ascii="Times New Roman" w:hAnsi="Times New Roman"/>
                <w:szCs w:val="21"/>
              </w:rPr>
            </w:pPr>
            <w:r>
              <w:rPr>
                <w:rFonts w:ascii="Times New Roman" w:hAnsi="Times New Roman"/>
                <w:szCs w:val="21"/>
              </w:rPr>
              <w:t>[2008]</w:t>
            </w:r>
          </w:p>
          <w:p w:rsidR="00525419" w:rsidRDefault="00EE1CF7">
            <w:pPr>
              <w:spacing w:line="280" w:lineRule="exact"/>
              <w:rPr>
                <w:rFonts w:ascii="Times New Roman" w:hAnsi="Times New Roman"/>
                <w:szCs w:val="21"/>
              </w:rPr>
            </w:pPr>
            <w:r>
              <w:rPr>
                <w:rFonts w:ascii="Times New Roman" w:hAnsi="Times New Roman"/>
                <w:szCs w:val="21"/>
              </w:rPr>
              <w:t>24</w:t>
            </w:r>
            <w:r>
              <w:rPr>
                <w:rFonts w:ascii="Times New Roman" w:hAnsi="Times New Roman"/>
                <w:szCs w:val="21"/>
              </w:rPr>
              <w:t>号</w:t>
            </w:r>
          </w:p>
        </w:tc>
        <w:tc>
          <w:tcPr>
            <w:tcW w:w="1252"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1"/>
              </w:rPr>
              <w:t>2008.1.24</w:t>
            </w:r>
          </w:p>
        </w:tc>
        <w:tc>
          <w:tcPr>
            <w:tcW w:w="1050"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1"/>
              </w:rPr>
              <w:t>新疆环保厅</w:t>
            </w:r>
          </w:p>
        </w:tc>
        <w:tc>
          <w:tcPr>
            <w:tcW w:w="1150"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1"/>
              </w:rPr>
              <w:t>新环评价函</w:t>
            </w:r>
            <w:r>
              <w:rPr>
                <w:rFonts w:ascii="Times New Roman" w:hAnsi="Times New Roman"/>
                <w:szCs w:val="21"/>
              </w:rPr>
              <w:t>[2011]</w:t>
            </w:r>
          </w:p>
          <w:p w:rsidR="00525419" w:rsidRDefault="00EE1CF7">
            <w:pPr>
              <w:spacing w:line="280" w:lineRule="exact"/>
              <w:rPr>
                <w:rFonts w:ascii="Times New Roman" w:hAnsi="Times New Roman"/>
                <w:szCs w:val="21"/>
              </w:rPr>
            </w:pPr>
            <w:r>
              <w:rPr>
                <w:rFonts w:ascii="Times New Roman" w:hAnsi="Times New Roman"/>
                <w:szCs w:val="21"/>
              </w:rPr>
              <w:t>1165</w:t>
            </w:r>
            <w:r>
              <w:rPr>
                <w:rFonts w:ascii="Times New Roman" w:hAnsi="Times New Roman"/>
                <w:szCs w:val="21"/>
              </w:rPr>
              <w:t>号</w:t>
            </w:r>
          </w:p>
        </w:tc>
        <w:tc>
          <w:tcPr>
            <w:tcW w:w="868"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1"/>
              </w:rPr>
              <w:t>2011.12.12</w:t>
            </w:r>
          </w:p>
        </w:tc>
      </w:tr>
      <w:tr w:rsidR="00525419">
        <w:trPr>
          <w:jc w:val="center"/>
        </w:trPr>
        <w:tc>
          <w:tcPr>
            <w:tcW w:w="465"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1"/>
              </w:rPr>
              <w:t>2</w:t>
            </w:r>
          </w:p>
        </w:tc>
        <w:tc>
          <w:tcPr>
            <w:tcW w:w="1803"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1"/>
              </w:rPr>
              <w:t>120</w:t>
            </w:r>
            <w:r>
              <w:rPr>
                <w:rFonts w:ascii="Times New Roman" w:hAnsi="Times New Roman"/>
                <w:szCs w:val="21"/>
              </w:rPr>
              <w:t>万吨年高等级道路沥青及改性沥青改扩建项目</w:t>
            </w:r>
          </w:p>
        </w:tc>
        <w:tc>
          <w:tcPr>
            <w:tcW w:w="900"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1"/>
              </w:rPr>
              <w:t>新疆维吾尔自治区生态环境厅</w:t>
            </w:r>
          </w:p>
        </w:tc>
        <w:tc>
          <w:tcPr>
            <w:tcW w:w="1080"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1"/>
              </w:rPr>
              <w:t>新环评价函</w:t>
            </w:r>
            <w:r>
              <w:rPr>
                <w:rFonts w:ascii="Times New Roman" w:hAnsi="Times New Roman"/>
                <w:szCs w:val="21"/>
              </w:rPr>
              <w:t>[2013]</w:t>
            </w:r>
          </w:p>
          <w:p w:rsidR="00525419" w:rsidRDefault="00EE1CF7">
            <w:pPr>
              <w:spacing w:line="280" w:lineRule="exact"/>
              <w:rPr>
                <w:rFonts w:ascii="Times New Roman" w:hAnsi="Times New Roman"/>
                <w:szCs w:val="21"/>
              </w:rPr>
            </w:pPr>
            <w:r>
              <w:rPr>
                <w:rFonts w:ascii="Times New Roman" w:hAnsi="Times New Roman"/>
                <w:szCs w:val="21"/>
              </w:rPr>
              <w:t>149</w:t>
            </w:r>
            <w:r>
              <w:rPr>
                <w:rFonts w:ascii="Times New Roman" w:hAnsi="Times New Roman"/>
                <w:szCs w:val="21"/>
              </w:rPr>
              <w:t>号</w:t>
            </w:r>
          </w:p>
        </w:tc>
        <w:tc>
          <w:tcPr>
            <w:tcW w:w="1252"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1"/>
              </w:rPr>
              <w:t>2013.2.25</w:t>
            </w:r>
          </w:p>
        </w:tc>
        <w:tc>
          <w:tcPr>
            <w:tcW w:w="1050"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1"/>
              </w:rPr>
              <w:t>新疆环保厅</w:t>
            </w:r>
          </w:p>
        </w:tc>
        <w:tc>
          <w:tcPr>
            <w:tcW w:w="1150"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1"/>
              </w:rPr>
              <w:t>新环审</w:t>
            </w:r>
            <w:r>
              <w:rPr>
                <w:rFonts w:ascii="Times New Roman" w:hAnsi="Times New Roman"/>
                <w:szCs w:val="21"/>
              </w:rPr>
              <w:t>[2019]279</w:t>
            </w:r>
            <w:r>
              <w:rPr>
                <w:rFonts w:ascii="Times New Roman" w:hAnsi="Times New Roman"/>
                <w:szCs w:val="21"/>
              </w:rPr>
              <w:t>号</w:t>
            </w:r>
          </w:p>
        </w:tc>
        <w:tc>
          <w:tcPr>
            <w:tcW w:w="868"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1"/>
              </w:rPr>
              <w:t>2019.11.12</w:t>
            </w:r>
          </w:p>
        </w:tc>
      </w:tr>
      <w:tr w:rsidR="00525419">
        <w:trPr>
          <w:jc w:val="center"/>
        </w:trPr>
        <w:tc>
          <w:tcPr>
            <w:tcW w:w="465"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1"/>
              </w:rPr>
              <w:t>3</w:t>
            </w:r>
          </w:p>
        </w:tc>
        <w:tc>
          <w:tcPr>
            <w:tcW w:w="1803"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2</w:t>
            </w:r>
            <w:r>
              <w:rPr>
                <w:rFonts w:ascii="Times New Roman" w:hAnsi="Times New Roman"/>
                <w:szCs w:val="21"/>
              </w:rPr>
              <w:t>万立方米成品油储油库项目环境影响报告表</w:t>
            </w:r>
          </w:p>
        </w:tc>
        <w:tc>
          <w:tcPr>
            <w:tcW w:w="900"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1"/>
              </w:rPr>
              <w:t>吐鲁番市环境保护局</w:t>
            </w:r>
          </w:p>
        </w:tc>
        <w:tc>
          <w:tcPr>
            <w:tcW w:w="1080"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1"/>
              </w:rPr>
              <w:t>吐市环监函</w:t>
            </w:r>
            <w:r>
              <w:rPr>
                <w:rFonts w:ascii="Times New Roman" w:hAnsi="Times New Roman"/>
                <w:szCs w:val="21"/>
              </w:rPr>
              <w:t>[2017]</w:t>
            </w:r>
          </w:p>
          <w:p w:rsidR="00525419" w:rsidRDefault="00EE1CF7">
            <w:pPr>
              <w:spacing w:line="280" w:lineRule="exact"/>
              <w:rPr>
                <w:rFonts w:ascii="Times New Roman" w:hAnsi="Times New Roman"/>
                <w:szCs w:val="21"/>
              </w:rPr>
            </w:pPr>
            <w:r>
              <w:rPr>
                <w:rFonts w:ascii="Times New Roman" w:hAnsi="Times New Roman"/>
                <w:szCs w:val="21"/>
              </w:rPr>
              <w:t>31</w:t>
            </w:r>
            <w:r>
              <w:rPr>
                <w:rFonts w:ascii="Times New Roman" w:hAnsi="Times New Roman"/>
                <w:szCs w:val="21"/>
              </w:rPr>
              <w:t>号</w:t>
            </w:r>
          </w:p>
        </w:tc>
        <w:tc>
          <w:tcPr>
            <w:tcW w:w="1252" w:type="dxa"/>
            <w:tcBorders>
              <w:tl2br w:val="nil"/>
              <w:tr2bl w:val="nil"/>
            </w:tcBorders>
            <w:vAlign w:val="center"/>
          </w:tcPr>
          <w:p w:rsidR="00525419" w:rsidRDefault="00EE1CF7">
            <w:pPr>
              <w:spacing w:line="280" w:lineRule="exact"/>
              <w:rPr>
                <w:rFonts w:ascii="Times New Roman" w:hAnsi="Times New Roman"/>
              </w:rPr>
            </w:pPr>
            <w:r>
              <w:rPr>
                <w:rFonts w:ascii="Times New Roman" w:hAnsi="Times New Roman"/>
              </w:rPr>
              <w:t>2017.4.24</w:t>
            </w:r>
          </w:p>
        </w:tc>
        <w:tc>
          <w:tcPr>
            <w:tcW w:w="1050"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1"/>
              </w:rPr>
              <w:t>自主验收</w:t>
            </w:r>
          </w:p>
        </w:tc>
        <w:tc>
          <w:tcPr>
            <w:tcW w:w="1150"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1"/>
              </w:rPr>
              <w:t>/</w:t>
            </w:r>
          </w:p>
        </w:tc>
        <w:tc>
          <w:tcPr>
            <w:tcW w:w="868"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1"/>
              </w:rPr>
              <w:t>2017.11.19</w:t>
            </w:r>
          </w:p>
        </w:tc>
      </w:tr>
      <w:tr w:rsidR="00525419">
        <w:trPr>
          <w:jc w:val="center"/>
        </w:trPr>
        <w:tc>
          <w:tcPr>
            <w:tcW w:w="465"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1"/>
              </w:rPr>
              <w:t>4</w:t>
            </w:r>
          </w:p>
        </w:tc>
        <w:tc>
          <w:tcPr>
            <w:tcW w:w="1803"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8</w:t>
            </w:r>
            <w:r>
              <w:rPr>
                <w:rFonts w:ascii="Times New Roman" w:hAnsi="Times New Roman"/>
                <w:szCs w:val="21"/>
              </w:rPr>
              <w:t>万</w:t>
            </w: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沥青储罐经营储存项目环境影响报告表</w:t>
            </w:r>
          </w:p>
        </w:tc>
        <w:tc>
          <w:tcPr>
            <w:tcW w:w="900"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1"/>
              </w:rPr>
              <w:t>吐鲁番市环境保护局</w:t>
            </w:r>
          </w:p>
        </w:tc>
        <w:tc>
          <w:tcPr>
            <w:tcW w:w="1080"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1"/>
              </w:rPr>
              <w:t>吐市环监函</w:t>
            </w:r>
            <w:r>
              <w:rPr>
                <w:rFonts w:ascii="Times New Roman" w:hAnsi="Times New Roman"/>
                <w:szCs w:val="21"/>
              </w:rPr>
              <w:t>[2017]</w:t>
            </w:r>
          </w:p>
          <w:p w:rsidR="00525419" w:rsidRDefault="00EE1CF7">
            <w:pPr>
              <w:spacing w:line="280" w:lineRule="exact"/>
              <w:rPr>
                <w:rFonts w:ascii="Times New Roman" w:hAnsi="Times New Roman"/>
                <w:szCs w:val="21"/>
              </w:rPr>
            </w:pPr>
            <w:r>
              <w:rPr>
                <w:rFonts w:ascii="Times New Roman" w:hAnsi="Times New Roman"/>
                <w:szCs w:val="21"/>
              </w:rPr>
              <w:t>61</w:t>
            </w:r>
            <w:r>
              <w:rPr>
                <w:rFonts w:ascii="Times New Roman" w:hAnsi="Times New Roman"/>
                <w:szCs w:val="21"/>
              </w:rPr>
              <w:t>号</w:t>
            </w:r>
          </w:p>
        </w:tc>
        <w:tc>
          <w:tcPr>
            <w:tcW w:w="1252"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rPr>
              <w:t>2017.10.18</w:t>
            </w:r>
          </w:p>
        </w:tc>
        <w:tc>
          <w:tcPr>
            <w:tcW w:w="1050"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1"/>
              </w:rPr>
              <w:t>未验收</w:t>
            </w:r>
          </w:p>
        </w:tc>
        <w:tc>
          <w:tcPr>
            <w:tcW w:w="1150"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1"/>
              </w:rPr>
              <w:t>/</w:t>
            </w:r>
          </w:p>
        </w:tc>
        <w:tc>
          <w:tcPr>
            <w:tcW w:w="868"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1"/>
              </w:rPr>
              <w:t>/</w:t>
            </w:r>
          </w:p>
        </w:tc>
      </w:tr>
    </w:tbl>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3.2.7.2</w:t>
      </w:r>
      <w:r>
        <w:rPr>
          <w:rFonts w:ascii="Times New Roman" w:hAnsi="Times New Roman" w:cs="Times New Roman"/>
          <w:kern w:val="44"/>
          <w:sz w:val="24"/>
          <w:szCs w:val="24"/>
        </w:rPr>
        <w:t>环保要求的落实情况</w:t>
      </w:r>
    </w:p>
    <w:p w:rsidR="00525419" w:rsidRDefault="00EE1CF7">
      <w:pPr>
        <w:autoSpaceDE w:val="0"/>
        <w:autoSpaceDN w:val="0"/>
        <w:adjustRightInd w:val="0"/>
        <w:spacing w:line="360" w:lineRule="auto"/>
        <w:ind w:firstLineChars="200" w:firstLine="480"/>
        <w:rPr>
          <w:rFonts w:ascii="Times New Roman" w:hAnsi="Times New Roman"/>
          <w:sz w:val="24"/>
          <w:szCs w:val="24"/>
        </w:rPr>
      </w:pPr>
      <w:r>
        <w:rPr>
          <w:rFonts w:ascii="Times New Roman" w:hAnsi="Times New Roman"/>
          <w:sz w:val="24"/>
          <w:szCs w:val="24"/>
        </w:rPr>
        <w:t>新疆美汇特石化产品有限公司各期项目环评批复及竣工环保验收审查意见提出的环保要求及落实情况见表</w:t>
      </w:r>
      <w:r>
        <w:rPr>
          <w:rFonts w:ascii="Times New Roman" w:hAnsi="Times New Roman"/>
          <w:sz w:val="24"/>
          <w:szCs w:val="24"/>
        </w:rPr>
        <w:t>3.2-8</w:t>
      </w:r>
      <w:r>
        <w:rPr>
          <w:rFonts w:ascii="Times New Roman" w:hAnsi="Times New Roman"/>
          <w:sz w:val="24"/>
          <w:szCs w:val="24"/>
        </w:rPr>
        <w:t>、表</w:t>
      </w:r>
      <w:r>
        <w:rPr>
          <w:rFonts w:ascii="Times New Roman" w:hAnsi="Times New Roman"/>
          <w:sz w:val="24"/>
          <w:szCs w:val="24"/>
        </w:rPr>
        <w:t>3.2-9</w:t>
      </w:r>
      <w:r>
        <w:rPr>
          <w:rFonts w:ascii="Times New Roman" w:hAnsi="Times New Roman"/>
          <w:sz w:val="24"/>
          <w:szCs w:val="24"/>
        </w:rPr>
        <w:t>。</w:t>
      </w:r>
    </w:p>
    <w:p w:rsidR="00525419" w:rsidRDefault="00EE1CF7">
      <w:pPr>
        <w:spacing w:line="240" w:lineRule="atLeast"/>
        <w:ind w:firstLineChars="900" w:firstLine="1890"/>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3.2-8   </w:t>
      </w:r>
      <w:r>
        <w:rPr>
          <w:rFonts w:ascii="Times New Roman" w:eastAsia="黑体" w:hAnsi="Times New Roman"/>
          <w:szCs w:val="21"/>
        </w:rPr>
        <w:t>企业环评批复意见落实情况一览表</w:t>
      </w:r>
    </w:p>
    <w:tbl>
      <w:tblPr>
        <w:tblW w:w="85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16"/>
        <w:gridCol w:w="4806"/>
        <w:gridCol w:w="2906"/>
      </w:tblGrid>
      <w:tr w:rsidR="00525419">
        <w:trPr>
          <w:jc w:val="center"/>
        </w:trPr>
        <w:tc>
          <w:tcPr>
            <w:tcW w:w="81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建设项目名称</w:t>
            </w:r>
          </w:p>
        </w:tc>
        <w:tc>
          <w:tcPr>
            <w:tcW w:w="48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kern w:val="0"/>
                <w:szCs w:val="21"/>
                <w:lang w:val="zh-CN"/>
              </w:rPr>
              <w:t>环评</w:t>
            </w:r>
            <w:r>
              <w:rPr>
                <w:rFonts w:ascii="Times New Roman" w:hAnsi="Times New Roman"/>
                <w:spacing w:val="-2"/>
                <w:kern w:val="0"/>
                <w:szCs w:val="21"/>
                <w:lang w:val="zh-CN"/>
              </w:rPr>
              <w:t>批</w:t>
            </w:r>
            <w:r>
              <w:rPr>
                <w:rFonts w:ascii="Times New Roman" w:hAnsi="Times New Roman"/>
                <w:kern w:val="0"/>
                <w:szCs w:val="21"/>
                <w:lang w:val="zh-CN"/>
              </w:rPr>
              <w:t>复</w:t>
            </w:r>
            <w:r>
              <w:rPr>
                <w:rFonts w:ascii="Times New Roman" w:hAnsi="Times New Roman"/>
                <w:spacing w:val="-2"/>
                <w:kern w:val="0"/>
                <w:szCs w:val="21"/>
                <w:lang w:val="zh-CN"/>
              </w:rPr>
              <w:t>提</w:t>
            </w:r>
            <w:r>
              <w:rPr>
                <w:rFonts w:ascii="Times New Roman" w:hAnsi="Times New Roman"/>
                <w:kern w:val="0"/>
                <w:szCs w:val="21"/>
                <w:lang w:val="zh-CN"/>
              </w:rPr>
              <w:t>出</w:t>
            </w:r>
            <w:r>
              <w:rPr>
                <w:rFonts w:ascii="Times New Roman" w:hAnsi="Times New Roman"/>
                <w:spacing w:val="-2"/>
                <w:kern w:val="0"/>
                <w:szCs w:val="21"/>
                <w:lang w:val="zh-CN"/>
              </w:rPr>
              <w:t>的</w:t>
            </w:r>
            <w:r>
              <w:rPr>
                <w:rFonts w:ascii="Times New Roman" w:hAnsi="Times New Roman"/>
                <w:kern w:val="0"/>
                <w:szCs w:val="21"/>
                <w:lang w:val="zh-CN"/>
              </w:rPr>
              <w:t>环</w:t>
            </w:r>
            <w:r>
              <w:rPr>
                <w:rFonts w:ascii="Times New Roman" w:hAnsi="Times New Roman"/>
                <w:spacing w:val="-2"/>
                <w:kern w:val="0"/>
                <w:szCs w:val="21"/>
                <w:lang w:val="zh-CN"/>
              </w:rPr>
              <w:t>保</w:t>
            </w:r>
            <w:r>
              <w:rPr>
                <w:rFonts w:ascii="Times New Roman" w:hAnsi="Times New Roman"/>
                <w:kern w:val="0"/>
                <w:szCs w:val="21"/>
                <w:lang w:val="zh-CN"/>
              </w:rPr>
              <w:t>要求</w:t>
            </w:r>
          </w:p>
        </w:tc>
        <w:tc>
          <w:tcPr>
            <w:tcW w:w="29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kern w:val="0"/>
                <w:szCs w:val="21"/>
                <w:lang w:val="zh-CN"/>
              </w:rPr>
              <w:t>实际</w:t>
            </w:r>
            <w:r>
              <w:rPr>
                <w:rFonts w:ascii="Times New Roman" w:hAnsi="Times New Roman"/>
                <w:spacing w:val="-2"/>
                <w:kern w:val="0"/>
                <w:szCs w:val="21"/>
                <w:lang w:val="zh-CN"/>
              </w:rPr>
              <w:t>落</w:t>
            </w:r>
            <w:r>
              <w:rPr>
                <w:rFonts w:ascii="Times New Roman" w:hAnsi="Times New Roman"/>
                <w:kern w:val="0"/>
                <w:szCs w:val="21"/>
                <w:lang w:val="zh-CN"/>
              </w:rPr>
              <w:t>实</w:t>
            </w:r>
            <w:r>
              <w:rPr>
                <w:rFonts w:ascii="Times New Roman" w:hAnsi="Times New Roman"/>
                <w:spacing w:val="-2"/>
                <w:kern w:val="0"/>
                <w:szCs w:val="21"/>
                <w:lang w:val="zh-CN"/>
              </w:rPr>
              <w:t>情</w:t>
            </w:r>
            <w:r>
              <w:rPr>
                <w:rFonts w:ascii="Times New Roman" w:hAnsi="Times New Roman"/>
                <w:kern w:val="0"/>
                <w:szCs w:val="21"/>
                <w:lang w:val="zh-CN"/>
              </w:rPr>
              <w:t>况</w:t>
            </w:r>
          </w:p>
        </w:tc>
      </w:tr>
      <w:tr w:rsidR="00525419">
        <w:trPr>
          <w:jc w:val="center"/>
        </w:trPr>
        <w:tc>
          <w:tcPr>
            <w:tcW w:w="816" w:type="dxa"/>
            <w:vMerge w:val="restart"/>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50</w:t>
            </w:r>
            <w:r>
              <w:rPr>
                <w:rFonts w:ascii="Times New Roman" w:hAnsi="Times New Roman"/>
                <w:szCs w:val="21"/>
              </w:rPr>
              <w:t>万吨年高等级道路沥青及改性沥青项目</w:t>
            </w:r>
          </w:p>
        </w:tc>
        <w:tc>
          <w:tcPr>
            <w:tcW w:w="48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严格落实施工期污染防治措施，加强施工期环境管理，控制施工扬尘、噪声污染，妥善处理施工废水、固体废物，注意施工安全，防范施工造成的污染事故。</w:t>
            </w:r>
          </w:p>
        </w:tc>
        <w:tc>
          <w:tcPr>
            <w:tcW w:w="29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施工期已按照要求落实</w:t>
            </w:r>
          </w:p>
        </w:tc>
      </w:tr>
      <w:tr w:rsidR="00525419">
        <w:trPr>
          <w:jc w:val="center"/>
        </w:trPr>
        <w:tc>
          <w:tcPr>
            <w:tcW w:w="816" w:type="dxa"/>
            <w:vMerge/>
            <w:tcBorders>
              <w:tl2br w:val="nil"/>
              <w:tr2bl w:val="nil"/>
            </w:tcBorders>
            <w:vAlign w:val="center"/>
          </w:tcPr>
          <w:p w:rsidR="00525419" w:rsidRDefault="00525419">
            <w:pPr>
              <w:spacing w:line="240" w:lineRule="atLeast"/>
              <w:rPr>
                <w:rFonts w:ascii="Times New Roman" w:hAnsi="Times New Roman"/>
                <w:szCs w:val="21"/>
              </w:rPr>
            </w:pPr>
          </w:p>
        </w:tc>
        <w:tc>
          <w:tcPr>
            <w:tcW w:w="48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污水处理采用稳定、成熟的处理工艺，处理，处理后污水须达到《污水综合排放标准》二级标准，冬储夏灌，生活污水经处理后，用于厂区绿化，不得无组织排放。</w:t>
            </w:r>
          </w:p>
        </w:tc>
        <w:tc>
          <w:tcPr>
            <w:tcW w:w="29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污水处理站目前采用预处理</w:t>
            </w:r>
            <w:r>
              <w:rPr>
                <w:rFonts w:ascii="Times New Roman" w:hAnsi="Times New Roman"/>
                <w:szCs w:val="21"/>
              </w:rPr>
              <w:t xml:space="preserve">+A/O </w:t>
            </w:r>
            <w:r>
              <w:rPr>
                <w:rFonts w:ascii="Times New Roman" w:hAnsi="Times New Roman"/>
                <w:szCs w:val="21"/>
              </w:rPr>
              <w:t>生化处理</w:t>
            </w:r>
            <w:r>
              <w:rPr>
                <w:rFonts w:ascii="Times New Roman" w:hAnsi="Times New Roman" w:hint="eastAsia"/>
                <w:szCs w:val="21"/>
              </w:rPr>
              <w:t>+</w:t>
            </w:r>
            <w:r>
              <w:rPr>
                <w:rFonts w:ascii="Times New Roman" w:hAnsi="Times New Roman"/>
                <w:szCs w:val="21"/>
              </w:rPr>
              <w:t xml:space="preserve">BAF </w:t>
            </w:r>
            <w:r>
              <w:rPr>
                <w:rFonts w:ascii="Times New Roman" w:hAnsi="Times New Roman"/>
                <w:szCs w:val="21"/>
              </w:rPr>
              <w:t>深度处理</w:t>
            </w:r>
            <w:r>
              <w:rPr>
                <w:rFonts w:ascii="Times New Roman" w:hAnsi="Times New Roman"/>
                <w:szCs w:val="21"/>
              </w:rPr>
              <w:t>+</w:t>
            </w:r>
            <w:r>
              <w:rPr>
                <w:rFonts w:ascii="Times New Roman" w:hAnsi="Times New Roman"/>
                <w:szCs w:val="21"/>
              </w:rPr>
              <w:t>超滤装置处理，可达到二级标准，且生产废水及生活污水经处理后用于循环冷却补水。</w:t>
            </w:r>
            <w:r>
              <w:rPr>
                <w:rFonts w:ascii="Times New Roman" w:hAnsi="Times New Roman"/>
                <w:szCs w:val="21"/>
              </w:rPr>
              <w:t xml:space="preserve"> </w:t>
            </w:r>
          </w:p>
        </w:tc>
      </w:tr>
      <w:tr w:rsidR="00525419">
        <w:trPr>
          <w:jc w:val="center"/>
        </w:trPr>
        <w:tc>
          <w:tcPr>
            <w:tcW w:w="816" w:type="dxa"/>
            <w:vMerge/>
            <w:tcBorders>
              <w:tl2br w:val="nil"/>
              <w:tr2bl w:val="nil"/>
            </w:tcBorders>
            <w:vAlign w:val="center"/>
          </w:tcPr>
          <w:p w:rsidR="00525419" w:rsidRDefault="00525419">
            <w:pPr>
              <w:spacing w:line="240" w:lineRule="atLeast"/>
              <w:rPr>
                <w:rFonts w:ascii="Times New Roman" w:hAnsi="Times New Roman"/>
                <w:szCs w:val="21"/>
              </w:rPr>
            </w:pPr>
          </w:p>
        </w:tc>
        <w:tc>
          <w:tcPr>
            <w:tcW w:w="48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做好大气污染防治工作。严格控制焚烧炉温度，按要求安装焚烧炉烟气净化系统，烟气经处理后由</w:t>
            </w:r>
            <w:r>
              <w:rPr>
                <w:rFonts w:ascii="Times New Roman" w:hAnsi="Times New Roman"/>
                <w:szCs w:val="21"/>
              </w:rPr>
              <w:t>35m</w:t>
            </w:r>
            <w:r>
              <w:rPr>
                <w:rFonts w:ascii="Times New Roman" w:hAnsi="Times New Roman"/>
                <w:szCs w:val="21"/>
              </w:rPr>
              <w:t>高烟囱排放，确保苯并（</w:t>
            </w:r>
            <w:r>
              <w:rPr>
                <w:rFonts w:ascii="Times New Roman" w:hAnsi="Times New Roman"/>
                <w:szCs w:val="21"/>
              </w:rPr>
              <w:t>a</w:t>
            </w:r>
            <w:r>
              <w:rPr>
                <w:rFonts w:ascii="Times New Roman" w:hAnsi="Times New Roman"/>
                <w:szCs w:val="21"/>
              </w:rPr>
              <w:t>）芘、硫化氢等污染物小于《大气污染物综合排放标准》（</w:t>
            </w:r>
            <w:r>
              <w:rPr>
                <w:rFonts w:ascii="Times New Roman" w:hAnsi="Times New Roman"/>
                <w:szCs w:val="21"/>
              </w:rPr>
              <w:t>GB16297-1996</w:t>
            </w:r>
            <w:r>
              <w:rPr>
                <w:rFonts w:ascii="Times New Roman" w:hAnsi="Times New Roman"/>
                <w:szCs w:val="21"/>
              </w:rPr>
              <w:t>）中新污染源排放浓度限值。锅炉废气须经高效脱硫除尘设施处理，达到《锅炉大气污染物排放标准》（</w:t>
            </w:r>
            <w:r>
              <w:rPr>
                <w:rFonts w:ascii="Times New Roman" w:hAnsi="Times New Roman"/>
                <w:szCs w:val="21"/>
              </w:rPr>
              <w:t>GB13271-2001</w:t>
            </w:r>
            <w:r>
              <w:rPr>
                <w:rFonts w:ascii="Times New Roman" w:hAnsi="Times New Roman"/>
                <w:szCs w:val="21"/>
              </w:rPr>
              <w:t>）</w:t>
            </w:r>
            <w:r>
              <w:rPr>
                <w:rFonts w:ascii="Times New Roman" w:hAnsi="Times New Roman"/>
                <w:szCs w:val="21"/>
              </w:rPr>
              <w:t>Ⅱ</w:t>
            </w:r>
            <w:r>
              <w:rPr>
                <w:rFonts w:ascii="Times New Roman" w:hAnsi="Times New Roman"/>
                <w:szCs w:val="21"/>
              </w:rPr>
              <w:t>时段二类区标准经</w:t>
            </w:r>
            <w:r>
              <w:rPr>
                <w:rFonts w:ascii="Times New Roman" w:hAnsi="Times New Roman"/>
                <w:szCs w:val="21"/>
              </w:rPr>
              <w:t>35 m</w:t>
            </w:r>
            <w:r>
              <w:rPr>
                <w:rFonts w:ascii="Times New Roman" w:hAnsi="Times New Roman"/>
                <w:szCs w:val="21"/>
              </w:rPr>
              <w:t>烟囱排放。项目建设产生的各类污染</w:t>
            </w:r>
            <w:r>
              <w:rPr>
                <w:rFonts w:ascii="Times New Roman" w:hAnsi="Times New Roman"/>
                <w:szCs w:val="21"/>
              </w:rPr>
              <w:lastRenderedPageBreak/>
              <w:t>物达标排放的同时，必须满足污染物总量控制指标要求。</w:t>
            </w:r>
          </w:p>
        </w:tc>
        <w:tc>
          <w:tcPr>
            <w:tcW w:w="2906" w:type="dxa"/>
            <w:tcBorders>
              <w:tl2br w:val="nil"/>
              <w:tr2bl w:val="nil"/>
            </w:tcBorders>
            <w:vAlign w:val="center"/>
          </w:tcPr>
          <w:p w:rsidR="00525419" w:rsidRDefault="00EE1CF7">
            <w:pPr>
              <w:spacing w:line="240" w:lineRule="atLeast"/>
              <w:ind w:firstLineChars="200" w:firstLine="420"/>
              <w:rPr>
                <w:rFonts w:ascii="Times New Roman" w:hAnsi="Times New Roman"/>
                <w:szCs w:val="21"/>
              </w:rPr>
            </w:pPr>
            <w:r>
              <w:rPr>
                <w:rFonts w:ascii="Times New Roman" w:hAnsi="Times New Roman"/>
                <w:szCs w:val="21"/>
              </w:rPr>
              <w:lastRenderedPageBreak/>
              <w:t>因为厂区目前改性沥青装置没有运营，焚烧炉已经拆除了。</w:t>
            </w:r>
          </w:p>
          <w:p w:rsidR="00525419" w:rsidRDefault="00EE1CF7">
            <w:pPr>
              <w:spacing w:line="240" w:lineRule="atLeast"/>
              <w:ind w:firstLineChars="200" w:firstLine="420"/>
              <w:rPr>
                <w:rFonts w:ascii="Times New Roman" w:hAnsi="Times New Roman"/>
                <w:szCs w:val="21"/>
              </w:rPr>
            </w:pPr>
            <w:r>
              <w:rPr>
                <w:rFonts w:ascii="Times New Roman" w:hAnsi="Times New Roman" w:hint="eastAsia"/>
                <w:szCs w:val="21"/>
              </w:rPr>
              <w:t>3</w:t>
            </w:r>
            <w:r>
              <w:rPr>
                <w:rFonts w:ascii="Times New Roman" w:hAnsi="Times New Roman"/>
                <w:szCs w:val="21"/>
              </w:rPr>
              <w:t>×20 t/h</w:t>
            </w:r>
            <w:r>
              <w:rPr>
                <w:rFonts w:ascii="Times New Roman" w:hAnsi="Times New Roman"/>
                <w:szCs w:val="21"/>
              </w:rPr>
              <w:t>蒸汽锅炉烟气采用陶瓷多管除尘器</w:t>
            </w: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套）</w:t>
            </w:r>
            <w:r>
              <w:rPr>
                <w:rFonts w:ascii="Times New Roman" w:hAnsi="Times New Roman"/>
                <w:szCs w:val="21"/>
              </w:rPr>
              <w:t>+</w:t>
            </w:r>
            <w:r>
              <w:rPr>
                <w:rFonts w:ascii="Times New Roman" w:hAnsi="Times New Roman" w:hint="eastAsia"/>
                <w:szCs w:val="21"/>
              </w:rPr>
              <w:t>布袋除尘器（已安装</w:t>
            </w:r>
            <w:r>
              <w:rPr>
                <w:rFonts w:ascii="Times New Roman" w:hAnsi="Times New Roman" w:hint="eastAsia"/>
                <w:szCs w:val="21"/>
              </w:rPr>
              <w:t>2</w:t>
            </w:r>
            <w:r>
              <w:rPr>
                <w:rFonts w:ascii="Times New Roman" w:hAnsi="Times New Roman" w:hint="eastAsia"/>
                <w:szCs w:val="21"/>
              </w:rPr>
              <w:t>套）</w:t>
            </w:r>
            <w:r>
              <w:rPr>
                <w:rFonts w:ascii="Times New Roman" w:hAnsi="Times New Roman" w:hint="eastAsia"/>
                <w:szCs w:val="21"/>
              </w:rPr>
              <w:t>+</w:t>
            </w:r>
            <w:r>
              <w:rPr>
                <w:rFonts w:ascii="Times New Roman" w:hAnsi="Times New Roman"/>
                <w:szCs w:val="21"/>
              </w:rPr>
              <w:t>双碱法脱硫</w:t>
            </w: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套）</w:t>
            </w:r>
            <w:r>
              <w:rPr>
                <w:rFonts w:ascii="Times New Roman" w:hAnsi="Times New Roman"/>
                <w:szCs w:val="21"/>
              </w:rPr>
              <w:t>+SNCR</w:t>
            </w:r>
            <w:r>
              <w:rPr>
                <w:rFonts w:ascii="Times New Roman" w:hAnsi="Times New Roman"/>
                <w:szCs w:val="21"/>
              </w:rPr>
              <w:t>脱硝</w:t>
            </w: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套）</w:t>
            </w:r>
            <w:r>
              <w:rPr>
                <w:rFonts w:ascii="Times New Roman" w:hAnsi="Times New Roman"/>
                <w:szCs w:val="21"/>
              </w:rPr>
              <w:t>处理后通过</w:t>
            </w:r>
            <w:r>
              <w:rPr>
                <w:rFonts w:ascii="Times New Roman" w:hAnsi="Times New Roman"/>
                <w:szCs w:val="21"/>
              </w:rPr>
              <w:t>1</w:t>
            </w:r>
            <w:r>
              <w:rPr>
                <w:rFonts w:ascii="Times New Roman" w:hAnsi="Times New Roman"/>
                <w:szCs w:val="21"/>
              </w:rPr>
              <w:t>根</w:t>
            </w:r>
            <w:r>
              <w:rPr>
                <w:rFonts w:ascii="Times New Roman" w:hAnsi="Times New Roman"/>
                <w:szCs w:val="21"/>
              </w:rPr>
              <w:t>45m</w:t>
            </w:r>
            <w:r>
              <w:rPr>
                <w:rFonts w:ascii="Times New Roman" w:hAnsi="Times New Roman"/>
                <w:szCs w:val="21"/>
              </w:rPr>
              <w:lastRenderedPageBreak/>
              <w:t>烟囱排放，能达到《锅炉大气污染物排放标准》</w:t>
            </w:r>
            <w:r>
              <w:rPr>
                <w:rFonts w:ascii="Times New Roman" w:hAnsi="Times New Roman"/>
                <w:szCs w:val="21"/>
              </w:rPr>
              <w:t>(GB13271-2014)</w:t>
            </w:r>
            <w:r>
              <w:rPr>
                <w:rFonts w:ascii="Times New Roman" w:hAnsi="Times New Roman"/>
                <w:szCs w:val="21"/>
              </w:rPr>
              <w:t>中</w:t>
            </w:r>
            <w:r>
              <w:rPr>
                <w:rFonts w:ascii="Times New Roman" w:hAnsi="Times New Roman"/>
                <w:szCs w:val="21"/>
              </w:rPr>
              <w:t>“</w:t>
            </w:r>
            <w:r>
              <w:rPr>
                <w:rFonts w:ascii="Times New Roman" w:hAnsi="Times New Roman"/>
                <w:szCs w:val="21"/>
              </w:rPr>
              <w:t>表</w:t>
            </w:r>
            <w:r>
              <w:rPr>
                <w:rFonts w:ascii="Times New Roman" w:hAnsi="Times New Roman"/>
                <w:szCs w:val="21"/>
              </w:rPr>
              <w:t xml:space="preserve">1 </w:t>
            </w:r>
            <w:r>
              <w:rPr>
                <w:rFonts w:ascii="Times New Roman" w:hAnsi="Times New Roman"/>
                <w:szCs w:val="21"/>
              </w:rPr>
              <w:t>在用锅炉大气污染物排放浓度限值</w:t>
            </w:r>
            <w:r>
              <w:rPr>
                <w:rFonts w:ascii="Times New Roman" w:hAnsi="Times New Roman"/>
                <w:szCs w:val="21"/>
              </w:rPr>
              <w:t>”</w:t>
            </w:r>
            <w:r>
              <w:rPr>
                <w:rFonts w:ascii="Times New Roman" w:hAnsi="Times New Roman"/>
                <w:szCs w:val="21"/>
              </w:rPr>
              <w:t>的规定。</w:t>
            </w:r>
          </w:p>
          <w:p w:rsidR="00525419" w:rsidRDefault="00EE1CF7">
            <w:pPr>
              <w:spacing w:line="240" w:lineRule="atLeast"/>
              <w:rPr>
                <w:rFonts w:ascii="Times New Roman" w:hAnsi="Times New Roman"/>
                <w:szCs w:val="21"/>
              </w:rPr>
            </w:pPr>
            <w:r>
              <w:rPr>
                <w:rFonts w:ascii="Times New Roman" w:hAnsi="Times New Roman"/>
                <w:szCs w:val="21"/>
              </w:rPr>
              <w:t xml:space="preserve">　　相关污染物的总量控制满足指标要求。</w:t>
            </w:r>
          </w:p>
        </w:tc>
      </w:tr>
      <w:tr w:rsidR="00525419">
        <w:trPr>
          <w:trHeight w:val="90"/>
          <w:jc w:val="center"/>
        </w:trPr>
        <w:tc>
          <w:tcPr>
            <w:tcW w:w="816" w:type="dxa"/>
            <w:vMerge/>
            <w:tcBorders>
              <w:tl2br w:val="nil"/>
              <w:tr2bl w:val="nil"/>
            </w:tcBorders>
            <w:vAlign w:val="center"/>
          </w:tcPr>
          <w:p w:rsidR="00525419" w:rsidRDefault="00525419">
            <w:pPr>
              <w:spacing w:line="240" w:lineRule="atLeast"/>
              <w:rPr>
                <w:rFonts w:ascii="Times New Roman" w:hAnsi="Times New Roman"/>
                <w:szCs w:val="21"/>
              </w:rPr>
            </w:pPr>
          </w:p>
        </w:tc>
        <w:tc>
          <w:tcPr>
            <w:tcW w:w="4806" w:type="dxa"/>
            <w:tcBorders>
              <w:tl2br w:val="nil"/>
              <w:tr2bl w:val="nil"/>
            </w:tcBorders>
            <w:vAlign w:val="center"/>
          </w:tcPr>
          <w:p w:rsidR="00525419" w:rsidRDefault="00EE1CF7">
            <w:pPr>
              <w:spacing w:line="260" w:lineRule="exact"/>
              <w:rPr>
                <w:rFonts w:ascii="Times New Roman" w:hAnsi="Times New Roman"/>
                <w:szCs w:val="21"/>
              </w:rPr>
            </w:pPr>
            <w:r>
              <w:rPr>
                <w:rFonts w:ascii="Times New Roman" w:hAnsi="Times New Roman"/>
                <w:szCs w:val="21"/>
              </w:rPr>
              <w:t>你公司应积极寻找工业固体废弃物的综合利用途径，产生的各类固体废弃物应优先综合利用，暂时不能综合利用有应按规范安全处置。生活垃圾应集中收集，定期运往当地环保部门指定的位置。</w:t>
            </w:r>
          </w:p>
        </w:tc>
        <w:tc>
          <w:tcPr>
            <w:tcW w:w="2906" w:type="dxa"/>
            <w:tcBorders>
              <w:tl2br w:val="nil"/>
              <w:tr2bl w:val="nil"/>
            </w:tcBorders>
            <w:vAlign w:val="center"/>
          </w:tcPr>
          <w:p w:rsidR="00525419" w:rsidRDefault="00EE1CF7">
            <w:pPr>
              <w:spacing w:line="260" w:lineRule="exact"/>
              <w:ind w:firstLineChars="200" w:firstLine="420"/>
              <w:rPr>
                <w:rFonts w:ascii="Times New Roman" w:hAnsi="Times New Roman"/>
                <w:szCs w:val="21"/>
              </w:rPr>
            </w:pPr>
            <w:r>
              <w:rPr>
                <w:rFonts w:ascii="Times New Roman" w:hAnsi="Times New Roman"/>
                <w:szCs w:val="21"/>
              </w:rPr>
              <w:t>生活垃圾收集后运往当地生活垃圾填埋场</w:t>
            </w:r>
            <w:r>
              <w:rPr>
                <w:rFonts w:ascii="Times New Roman" w:hAnsi="Times New Roman" w:hint="eastAsia"/>
                <w:szCs w:val="21"/>
              </w:rPr>
              <w:t>填埋</w:t>
            </w:r>
            <w:r>
              <w:rPr>
                <w:rFonts w:ascii="Times New Roman" w:hAnsi="Times New Roman"/>
                <w:szCs w:val="21"/>
              </w:rPr>
              <w:t>。炉灰渣及脱硫渣销售给建筑公司用作建筑材料。</w:t>
            </w:r>
          </w:p>
        </w:tc>
      </w:tr>
      <w:tr w:rsidR="00525419">
        <w:trPr>
          <w:trHeight w:val="1605"/>
          <w:jc w:val="center"/>
        </w:trPr>
        <w:tc>
          <w:tcPr>
            <w:tcW w:w="816" w:type="dxa"/>
            <w:vMerge/>
            <w:tcBorders>
              <w:tl2br w:val="nil"/>
              <w:tr2bl w:val="nil"/>
            </w:tcBorders>
            <w:vAlign w:val="center"/>
          </w:tcPr>
          <w:p w:rsidR="00525419" w:rsidRDefault="00525419">
            <w:pPr>
              <w:spacing w:line="240" w:lineRule="atLeast"/>
              <w:rPr>
                <w:rFonts w:ascii="Times New Roman" w:hAnsi="Times New Roman"/>
                <w:szCs w:val="21"/>
              </w:rPr>
            </w:pPr>
          </w:p>
        </w:tc>
        <w:tc>
          <w:tcPr>
            <w:tcW w:w="48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采取选用低噪声设备、加装隔声罩、消声器和加强设备检修与维护等措施，确保厂界噪声符合《工业企业厂界噪声标准》（</w:t>
            </w:r>
            <w:r>
              <w:rPr>
                <w:rFonts w:ascii="Times New Roman" w:hAnsi="Times New Roman"/>
                <w:szCs w:val="21"/>
              </w:rPr>
              <w:t>GB12348-90</w:t>
            </w:r>
            <w:r>
              <w:rPr>
                <w:rFonts w:ascii="Times New Roman" w:hAnsi="Times New Roman"/>
                <w:szCs w:val="21"/>
              </w:rPr>
              <w:t>）</w:t>
            </w:r>
            <w:r>
              <w:rPr>
                <w:rFonts w:ascii="Times New Roman" w:hAnsi="Times New Roman"/>
                <w:szCs w:val="21"/>
              </w:rPr>
              <w:t>Ⅲ</w:t>
            </w:r>
            <w:r>
              <w:rPr>
                <w:rFonts w:ascii="Times New Roman" w:hAnsi="Times New Roman"/>
                <w:szCs w:val="21"/>
              </w:rPr>
              <w:t>类标准。</w:t>
            </w:r>
          </w:p>
        </w:tc>
        <w:tc>
          <w:tcPr>
            <w:tcW w:w="2906" w:type="dxa"/>
            <w:tcBorders>
              <w:tl2br w:val="nil"/>
              <w:tr2bl w:val="nil"/>
            </w:tcBorders>
            <w:vAlign w:val="center"/>
          </w:tcPr>
          <w:p w:rsidR="00525419" w:rsidRDefault="00EE1CF7">
            <w:pPr>
              <w:spacing w:line="240" w:lineRule="exact"/>
              <w:ind w:firstLineChars="200" w:firstLine="420"/>
              <w:rPr>
                <w:rFonts w:ascii="Times New Roman" w:hAnsi="Times New Roman"/>
                <w:szCs w:val="21"/>
              </w:rPr>
            </w:pPr>
            <w:r>
              <w:rPr>
                <w:rFonts w:ascii="Times New Roman" w:hAnsi="Times New Roman"/>
                <w:szCs w:val="21"/>
              </w:rPr>
              <w:t>对高噪声源采取减振、选取低噪声设备、吸声、消声、合理布局、绿化减噪等综合污染防治措施</w:t>
            </w:r>
            <w:r>
              <w:rPr>
                <w:rFonts w:ascii="Times New Roman" w:hAnsi="Times New Roman" w:hint="eastAsia"/>
                <w:szCs w:val="21"/>
              </w:rPr>
              <w:t>，</w:t>
            </w:r>
            <w:r>
              <w:rPr>
                <w:rFonts w:ascii="Times New Roman" w:hAnsi="Times New Roman"/>
                <w:szCs w:val="21"/>
              </w:rPr>
              <w:t>使厂界噪声达到《工业企业厂界环境噪声排放标准》（</w:t>
            </w:r>
            <w:r>
              <w:rPr>
                <w:rFonts w:ascii="Times New Roman" w:hAnsi="Times New Roman"/>
                <w:szCs w:val="21"/>
              </w:rPr>
              <w:t>GB12348-2008</w:t>
            </w:r>
            <w:r>
              <w:rPr>
                <w:rFonts w:ascii="Times New Roman" w:hAnsi="Times New Roman"/>
                <w:szCs w:val="21"/>
              </w:rPr>
              <w:t>）</w:t>
            </w:r>
            <w:r>
              <w:rPr>
                <w:rFonts w:ascii="Times New Roman" w:hAnsi="Times New Roman"/>
                <w:szCs w:val="21"/>
              </w:rPr>
              <w:t>3</w:t>
            </w:r>
            <w:r>
              <w:rPr>
                <w:rFonts w:ascii="Times New Roman" w:hAnsi="Times New Roman"/>
                <w:szCs w:val="21"/>
              </w:rPr>
              <w:t>类标准。</w:t>
            </w:r>
          </w:p>
        </w:tc>
      </w:tr>
      <w:tr w:rsidR="00525419">
        <w:trPr>
          <w:trHeight w:val="309"/>
          <w:jc w:val="center"/>
        </w:trPr>
        <w:tc>
          <w:tcPr>
            <w:tcW w:w="816" w:type="dxa"/>
            <w:vMerge/>
            <w:tcBorders>
              <w:tl2br w:val="nil"/>
              <w:tr2bl w:val="nil"/>
            </w:tcBorders>
            <w:vAlign w:val="center"/>
          </w:tcPr>
          <w:p w:rsidR="00525419" w:rsidRDefault="00525419">
            <w:pPr>
              <w:spacing w:line="240" w:lineRule="atLeast"/>
              <w:rPr>
                <w:rFonts w:ascii="Times New Roman" w:hAnsi="Times New Roman"/>
                <w:szCs w:val="21"/>
              </w:rPr>
            </w:pPr>
          </w:p>
        </w:tc>
        <w:tc>
          <w:tcPr>
            <w:tcW w:w="48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运营期加强环境管理做好环境风险防治工作，采取严格的事故防范和人身防范措施，建立完备的安全规章制度和事故应急响应措施，制定事故应急预案，严防污染事故发生。做好各项生产设施和环保设施运行管理，确保稳定运行。加强贮运系统的管理。切实提高各类贮罐、运输管道和车辆等的密闭性、严防物料泄漏污染环境。依相关要求，须保证沥青生产装置卫生防护距离</w:t>
            </w:r>
            <w:r>
              <w:rPr>
                <w:rFonts w:ascii="Times New Roman" w:hAnsi="Times New Roman"/>
                <w:szCs w:val="21"/>
              </w:rPr>
              <w:t>400m</w:t>
            </w:r>
            <w:r>
              <w:rPr>
                <w:rFonts w:ascii="Times New Roman" w:hAnsi="Times New Roman"/>
                <w:szCs w:val="21"/>
              </w:rPr>
              <w:t>，罐区卫生防护距离</w:t>
            </w:r>
            <w:r>
              <w:rPr>
                <w:rFonts w:ascii="Times New Roman" w:hAnsi="Times New Roman"/>
                <w:szCs w:val="21"/>
              </w:rPr>
              <w:t>600 m</w:t>
            </w:r>
            <w:r>
              <w:rPr>
                <w:rFonts w:ascii="Times New Roman" w:hAnsi="Times New Roman"/>
                <w:szCs w:val="21"/>
              </w:rPr>
              <w:t>，确定的卫生防护距离内禁止建设对环境敏感的建筑物。</w:t>
            </w:r>
          </w:p>
        </w:tc>
        <w:tc>
          <w:tcPr>
            <w:tcW w:w="2906" w:type="dxa"/>
            <w:tcBorders>
              <w:tl2br w:val="nil"/>
              <w:tr2bl w:val="nil"/>
            </w:tcBorders>
            <w:vAlign w:val="center"/>
          </w:tcPr>
          <w:p w:rsidR="00525419" w:rsidRDefault="00EE1CF7">
            <w:pPr>
              <w:spacing w:line="240" w:lineRule="atLeast"/>
              <w:ind w:firstLineChars="200" w:firstLine="420"/>
              <w:rPr>
                <w:rFonts w:ascii="Times New Roman" w:hAnsi="Times New Roman"/>
                <w:szCs w:val="21"/>
              </w:rPr>
            </w:pPr>
            <w:r>
              <w:rPr>
                <w:rFonts w:ascii="Times New Roman" w:hAnsi="Times New Roman"/>
                <w:szCs w:val="21"/>
              </w:rPr>
              <w:t>按要求实施，且</w:t>
            </w:r>
            <w:r>
              <w:rPr>
                <w:rFonts w:ascii="Times New Roman" w:hAnsi="Times New Roman"/>
                <w:szCs w:val="21"/>
              </w:rPr>
              <w:t>3km</w:t>
            </w:r>
            <w:r>
              <w:rPr>
                <w:rFonts w:ascii="Times New Roman" w:hAnsi="Times New Roman"/>
                <w:szCs w:val="21"/>
              </w:rPr>
              <w:t>范围内无环境敏感建筑物，已经制定应急预案；目前已设置</w:t>
            </w:r>
            <w:r>
              <w:rPr>
                <w:rFonts w:ascii="Times New Roman" w:hAnsi="Times New Roman"/>
                <w:szCs w:val="21"/>
              </w:rPr>
              <w:t>3</w:t>
            </w:r>
            <w:r>
              <w:rPr>
                <w:rFonts w:ascii="Times New Roman" w:hAnsi="Times New Roman"/>
                <w:szCs w:val="21"/>
              </w:rPr>
              <w:t>套油气回收装置。</w:t>
            </w:r>
          </w:p>
        </w:tc>
      </w:tr>
      <w:tr w:rsidR="00525419">
        <w:trPr>
          <w:trHeight w:val="405"/>
          <w:jc w:val="center"/>
        </w:trPr>
        <w:tc>
          <w:tcPr>
            <w:tcW w:w="816" w:type="dxa"/>
            <w:vMerge/>
            <w:tcBorders>
              <w:tl2br w:val="nil"/>
              <w:tr2bl w:val="nil"/>
            </w:tcBorders>
            <w:vAlign w:val="center"/>
          </w:tcPr>
          <w:p w:rsidR="00525419" w:rsidRDefault="00525419">
            <w:pPr>
              <w:spacing w:line="240" w:lineRule="atLeast"/>
              <w:rPr>
                <w:rFonts w:ascii="Times New Roman" w:hAnsi="Times New Roman"/>
                <w:szCs w:val="21"/>
              </w:rPr>
            </w:pPr>
          </w:p>
        </w:tc>
        <w:tc>
          <w:tcPr>
            <w:tcW w:w="48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按照排污口设置规范化整治的要求，设置各类排污口标识，废气排放口应设置便于采样的平台和取样口。</w:t>
            </w:r>
          </w:p>
        </w:tc>
        <w:tc>
          <w:tcPr>
            <w:tcW w:w="29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按规范要求设置</w:t>
            </w:r>
            <w:r>
              <w:rPr>
                <w:rFonts w:ascii="Times New Roman" w:hAnsi="Times New Roman" w:hint="eastAsia"/>
                <w:szCs w:val="21"/>
              </w:rPr>
              <w:t>。</w:t>
            </w:r>
          </w:p>
        </w:tc>
      </w:tr>
      <w:tr w:rsidR="00525419">
        <w:trPr>
          <w:jc w:val="center"/>
        </w:trPr>
        <w:tc>
          <w:tcPr>
            <w:tcW w:w="816" w:type="dxa"/>
            <w:vMerge w:val="restart"/>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120</w:t>
            </w:r>
            <w:r>
              <w:rPr>
                <w:rFonts w:ascii="Times New Roman" w:hAnsi="Times New Roman"/>
                <w:szCs w:val="21"/>
              </w:rPr>
              <w:t>万吨年高等级道路沥青及改性沥青改扩建项目</w:t>
            </w:r>
          </w:p>
        </w:tc>
        <w:tc>
          <w:tcPr>
            <w:tcW w:w="48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该项目主要污染物排放总量指标已经我厅新环总量函</w:t>
            </w:r>
            <w:r>
              <w:rPr>
                <w:rFonts w:ascii="Times New Roman" w:hAnsi="Times New Roman"/>
                <w:szCs w:val="21"/>
              </w:rPr>
              <w:t>[2012]1298</w:t>
            </w:r>
            <w:r>
              <w:rPr>
                <w:rFonts w:ascii="Times New Roman" w:hAnsi="Times New Roman"/>
                <w:szCs w:val="21"/>
              </w:rPr>
              <w:t>号予以核定，你公司须遵照执行。</w:t>
            </w:r>
          </w:p>
        </w:tc>
        <w:tc>
          <w:tcPr>
            <w:tcW w:w="29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外排污染物总量按要求落实。</w:t>
            </w:r>
          </w:p>
        </w:tc>
      </w:tr>
      <w:tr w:rsidR="00525419">
        <w:trPr>
          <w:jc w:val="center"/>
        </w:trPr>
        <w:tc>
          <w:tcPr>
            <w:tcW w:w="816" w:type="dxa"/>
            <w:vMerge/>
            <w:tcBorders>
              <w:tl2br w:val="nil"/>
              <w:tr2bl w:val="nil"/>
            </w:tcBorders>
            <w:vAlign w:val="center"/>
          </w:tcPr>
          <w:p w:rsidR="00525419" w:rsidRDefault="00525419">
            <w:pPr>
              <w:spacing w:line="240" w:lineRule="atLeast"/>
              <w:rPr>
                <w:rFonts w:ascii="Times New Roman" w:hAnsi="Times New Roman"/>
                <w:szCs w:val="21"/>
              </w:rPr>
            </w:pPr>
          </w:p>
        </w:tc>
        <w:tc>
          <w:tcPr>
            <w:tcW w:w="48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加强项目环境风险防范。制定事故状态下环境风险应急预案和污染防治措施，避免生产事故引发环境污染。配置健全的消防设施并妥善考虑消防水的处理和处置。加强项目安全生产检查，对事故隐患做到及早发现，及时处理。建立与地方政府突发环境事故应急预案对接及联动具体实施方案，确保风险事故得到有效控制，避免发生污染事件。在项目试生产前制定《突发事件环境保护应急预案》，并报我厅备案。</w:t>
            </w:r>
          </w:p>
        </w:tc>
        <w:tc>
          <w:tcPr>
            <w:tcW w:w="29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按要求落实了。</w:t>
            </w:r>
          </w:p>
        </w:tc>
      </w:tr>
      <w:tr w:rsidR="00525419">
        <w:trPr>
          <w:trHeight w:val="482"/>
          <w:jc w:val="center"/>
        </w:trPr>
        <w:tc>
          <w:tcPr>
            <w:tcW w:w="816" w:type="dxa"/>
            <w:vMerge/>
            <w:tcBorders>
              <w:tl2br w:val="nil"/>
              <w:tr2bl w:val="nil"/>
            </w:tcBorders>
            <w:vAlign w:val="center"/>
          </w:tcPr>
          <w:p w:rsidR="00525419" w:rsidRDefault="00525419">
            <w:pPr>
              <w:spacing w:line="240" w:lineRule="atLeast"/>
              <w:rPr>
                <w:rFonts w:ascii="Times New Roman" w:hAnsi="Times New Roman"/>
                <w:szCs w:val="21"/>
              </w:rPr>
            </w:pPr>
          </w:p>
        </w:tc>
        <w:tc>
          <w:tcPr>
            <w:tcW w:w="4806" w:type="dxa"/>
            <w:tcBorders>
              <w:tl2br w:val="nil"/>
              <w:tr2bl w:val="nil"/>
            </w:tcBorders>
            <w:vAlign w:val="center"/>
          </w:tcPr>
          <w:p w:rsidR="00525419" w:rsidRDefault="00525419">
            <w:pPr>
              <w:spacing w:line="240" w:lineRule="atLeast"/>
              <w:rPr>
                <w:rFonts w:ascii="Times New Roman" w:hAnsi="Times New Roman"/>
                <w:szCs w:val="21"/>
              </w:rPr>
            </w:pPr>
          </w:p>
          <w:p w:rsidR="00525419" w:rsidRDefault="00525419">
            <w:pPr>
              <w:spacing w:line="240" w:lineRule="atLeast"/>
              <w:rPr>
                <w:rFonts w:ascii="Times New Roman" w:hAnsi="Times New Roman"/>
                <w:szCs w:val="21"/>
              </w:rPr>
            </w:pPr>
          </w:p>
          <w:p w:rsidR="00525419" w:rsidRDefault="00525419">
            <w:pPr>
              <w:spacing w:line="240" w:lineRule="atLeast"/>
              <w:rPr>
                <w:rFonts w:ascii="Times New Roman" w:hAnsi="Times New Roman"/>
                <w:szCs w:val="21"/>
              </w:rPr>
            </w:pPr>
          </w:p>
          <w:p w:rsidR="00525419" w:rsidRDefault="00EE1CF7">
            <w:pPr>
              <w:spacing w:line="240" w:lineRule="atLeast"/>
              <w:rPr>
                <w:rFonts w:ascii="Times New Roman" w:hAnsi="Times New Roman"/>
                <w:szCs w:val="21"/>
              </w:rPr>
            </w:pPr>
            <w:r>
              <w:rPr>
                <w:rFonts w:ascii="Times New Roman" w:hAnsi="Times New Roman"/>
                <w:szCs w:val="21"/>
              </w:rPr>
              <w:t>严格落实各项废气、烟尘污染防治措施。废气主要</w:t>
            </w:r>
            <w:r>
              <w:rPr>
                <w:rFonts w:ascii="Times New Roman" w:hAnsi="Times New Roman"/>
                <w:szCs w:val="21"/>
              </w:rPr>
              <w:lastRenderedPageBreak/>
              <w:t>包括再生烟气、制硫尾气焚烧后的焚烧烟气、改性沥青尾气、锅炉烟气、无组织排放的废气。其中再生烟气与焚烧烟气一同经</w:t>
            </w:r>
            <w:r>
              <w:rPr>
                <w:rFonts w:ascii="Times New Roman" w:hAnsi="Times New Roman"/>
                <w:szCs w:val="21"/>
              </w:rPr>
              <w:t>60m</w:t>
            </w:r>
            <w:r>
              <w:rPr>
                <w:rFonts w:ascii="Times New Roman" w:hAnsi="Times New Roman"/>
                <w:szCs w:val="21"/>
              </w:rPr>
              <w:t>高烟囱排放，改性沥青尾气经净化后排放。烟气中主要污染物均应处理后须达到《大气污染物综合排放标准》中的二级标准。锅炉烟气除尘脱硫后经</w:t>
            </w:r>
            <w:r>
              <w:rPr>
                <w:rFonts w:ascii="Times New Roman" w:hAnsi="Times New Roman"/>
                <w:szCs w:val="21"/>
              </w:rPr>
              <w:t>45m</w:t>
            </w:r>
            <w:r>
              <w:rPr>
                <w:rFonts w:ascii="Times New Roman" w:hAnsi="Times New Roman"/>
                <w:szCs w:val="21"/>
              </w:rPr>
              <w:t>高排气筒达标排放。该项目应在设备选型及生产管理上采取有效措施，减少无组织废气排放，确保区域环境安全。</w:t>
            </w:r>
          </w:p>
        </w:tc>
        <w:tc>
          <w:tcPr>
            <w:tcW w:w="2906" w:type="dxa"/>
            <w:tcBorders>
              <w:tl2br w:val="nil"/>
              <w:tr2bl w:val="nil"/>
            </w:tcBorders>
            <w:vAlign w:val="center"/>
          </w:tcPr>
          <w:p w:rsidR="00525419" w:rsidRDefault="00EE1CF7">
            <w:pPr>
              <w:spacing w:line="240" w:lineRule="atLeast"/>
              <w:ind w:firstLineChars="200" w:firstLine="420"/>
              <w:rPr>
                <w:rFonts w:ascii="Times New Roman" w:hAnsi="Times New Roman"/>
                <w:szCs w:val="21"/>
              </w:rPr>
            </w:pPr>
            <w:r>
              <w:rPr>
                <w:rFonts w:ascii="Times New Roman" w:hAnsi="Times New Roman"/>
                <w:szCs w:val="21"/>
              </w:rPr>
              <w:lastRenderedPageBreak/>
              <w:t>本项目建设了原料预处理和混合苯装置，但混合苯装置因为原料问题没有投料运行，因此无再生烟气、制硫尾</w:t>
            </w:r>
            <w:r>
              <w:rPr>
                <w:rFonts w:ascii="Times New Roman" w:hAnsi="Times New Roman"/>
                <w:szCs w:val="21"/>
              </w:rPr>
              <w:lastRenderedPageBreak/>
              <w:t>气焚烧后的焚烧烟气、改性沥青尾气。</w:t>
            </w:r>
          </w:p>
          <w:p w:rsidR="00525419" w:rsidRDefault="00EE1CF7">
            <w:pPr>
              <w:spacing w:line="240" w:lineRule="atLeast"/>
              <w:ind w:firstLineChars="200" w:firstLine="420"/>
              <w:rPr>
                <w:rFonts w:ascii="Times New Roman" w:hAnsi="Times New Roman"/>
                <w:szCs w:val="21"/>
              </w:rPr>
            </w:pPr>
            <w:r>
              <w:rPr>
                <w:rFonts w:ascii="Times New Roman" w:hAnsi="Times New Roman" w:hint="eastAsia"/>
                <w:szCs w:val="21"/>
              </w:rPr>
              <w:t>3</w:t>
            </w:r>
            <w:r>
              <w:rPr>
                <w:rFonts w:ascii="Times New Roman" w:hAnsi="Times New Roman"/>
                <w:szCs w:val="21"/>
              </w:rPr>
              <w:t>×20 t/h</w:t>
            </w:r>
            <w:r>
              <w:rPr>
                <w:rFonts w:ascii="Times New Roman" w:hAnsi="Times New Roman"/>
                <w:szCs w:val="21"/>
              </w:rPr>
              <w:t>蒸汽锅炉烟气采用陶瓷多管除尘器</w:t>
            </w: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套）</w:t>
            </w:r>
            <w:r>
              <w:rPr>
                <w:rFonts w:ascii="Times New Roman" w:hAnsi="Times New Roman"/>
                <w:szCs w:val="21"/>
              </w:rPr>
              <w:t>+</w:t>
            </w:r>
            <w:r>
              <w:rPr>
                <w:rFonts w:ascii="Times New Roman" w:hAnsi="Times New Roman" w:hint="eastAsia"/>
                <w:szCs w:val="21"/>
              </w:rPr>
              <w:t>布袋除尘器（已安装</w:t>
            </w:r>
            <w:r>
              <w:rPr>
                <w:rFonts w:ascii="Times New Roman" w:hAnsi="Times New Roman" w:hint="eastAsia"/>
                <w:szCs w:val="21"/>
              </w:rPr>
              <w:t>2</w:t>
            </w:r>
            <w:r>
              <w:rPr>
                <w:rFonts w:ascii="Times New Roman" w:hAnsi="Times New Roman" w:hint="eastAsia"/>
                <w:szCs w:val="21"/>
              </w:rPr>
              <w:t>套）</w:t>
            </w:r>
            <w:r>
              <w:rPr>
                <w:rFonts w:ascii="Times New Roman" w:hAnsi="Times New Roman" w:hint="eastAsia"/>
                <w:szCs w:val="21"/>
              </w:rPr>
              <w:t>+</w:t>
            </w:r>
            <w:r>
              <w:rPr>
                <w:rFonts w:ascii="Times New Roman" w:hAnsi="Times New Roman"/>
                <w:szCs w:val="21"/>
              </w:rPr>
              <w:t>双碱法脱硫</w:t>
            </w: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套）</w:t>
            </w:r>
            <w:r>
              <w:rPr>
                <w:rFonts w:ascii="Times New Roman" w:hAnsi="Times New Roman"/>
                <w:szCs w:val="21"/>
              </w:rPr>
              <w:t>+SNCR</w:t>
            </w:r>
            <w:r>
              <w:rPr>
                <w:rFonts w:ascii="Times New Roman" w:hAnsi="Times New Roman"/>
                <w:szCs w:val="21"/>
              </w:rPr>
              <w:t>脱硝</w:t>
            </w: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套）</w:t>
            </w:r>
            <w:r>
              <w:rPr>
                <w:rFonts w:ascii="Times New Roman" w:hAnsi="Times New Roman"/>
                <w:szCs w:val="21"/>
              </w:rPr>
              <w:t>处理后通过</w:t>
            </w:r>
            <w:r>
              <w:rPr>
                <w:rFonts w:ascii="Times New Roman" w:hAnsi="Times New Roman"/>
                <w:szCs w:val="21"/>
              </w:rPr>
              <w:t>1</w:t>
            </w:r>
            <w:r>
              <w:rPr>
                <w:rFonts w:ascii="Times New Roman" w:hAnsi="Times New Roman"/>
                <w:szCs w:val="21"/>
              </w:rPr>
              <w:t>根</w:t>
            </w:r>
            <w:r>
              <w:rPr>
                <w:rFonts w:ascii="Times New Roman" w:hAnsi="Times New Roman"/>
                <w:szCs w:val="21"/>
              </w:rPr>
              <w:t>45m</w:t>
            </w:r>
            <w:r>
              <w:rPr>
                <w:rFonts w:ascii="Times New Roman" w:hAnsi="Times New Roman"/>
                <w:szCs w:val="21"/>
              </w:rPr>
              <w:t>烟囱排放，能达到《锅炉大气污染物排放标准》</w:t>
            </w:r>
            <w:r>
              <w:rPr>
                <w:rFonts w:ascii="Times New Roman" w:hAnsi="Times New Roman"/>
                <w:szCs w:val="21"/>
              </w:rPr>
              <w:t>(GB13271-2014)</w:t>
            </w:r>
            <w:r>
              <w:rPr>
                <w:rFonts w:ascii="Times New Roman" w:hAnsi="Times New Roman"/>
                <w:szCs w:val="21"/>
              </w:rPr>
              <w:t>中</w:t>
            </w:r>
            <w:r>
              <w:rPr>
                <w:rFonts w:ascii="Times New Roman" w:hAnsi="Times New Roman"/>
                <w:szCs w:val="21"/>
              </w:rPr>
              <w:t>“</w:t>
            </w:r>
            <w:r>
              <w:rPr>
                <w:rFonts w:ascii="Times New Roman" w:hAnsi="Times New Roman"/>
                <w:szCs w:val="21"/>
              </w:rPr>
              <w:t>表</w:t>
            </w:r>
            <w:r>
              <w:rPr>
                <w:rFonts w:ascii="Times New Roman" w:hAnsi="Times New Roman"/>
                <w:szCs w:val="21"/>
              </w:rPr>
              <w:t xml:space="preserve">1 </w:t>
            </w:r>
            <w:r>
              <w:rPr>
                <w:rFonts w:ascii="Times New Roman" w:hAnsi="Times New Roman"/>
                <w:szCs w:val="21"/>
              </w:rPr>
              <w:t>在用锅炉大气污染物排放浓度限值</w:t>
            </w:r>
            <w:r>
              <w:rPr>
                <w:rFonts w:ascii="Times New Roman" w:hAnsi="Times New Roman"/>
                <w:szCs w:val="21"/>
              </w:rPr>
              <w:t>”</w:t>
            </w:r>
            <w:r>
              <w:rPr>
                <w:rFonts w:ascii="Times New Roman" w:hAnsi="Times New Roman"/>
                <w:szCs w:val="21"/>
              </w:rPr>
              <w:t>的规定。</w:t>
            </w:r>
          </w:p>
        </w:tc>
      </w:tr>
      <w:tr w:rsidR="00525419">
        <w:trPr>
          <w:trHeight w:val="1953"/>
          <w:jc w:val="center"/>
        </w:trPr>
        <w:tc>
          <w:tcPr>
            <w:tcW w:w="816" w:type="dxa"/>
            <w:vMerge/>
            <w:tcBorders>
              <w:tl2br w:val="nil"/>
              <w:tr2bl w:val="nil"/>
            </w:tcBorders>
            <w:vAlign w:val="center"/>
          </w:tcPr>
          <w:p w:rsidR="00525419" w:rsidRDefault="00525419">
            <w:pPr>
              <w:spacing w:line="240" w:lineRule="atLeast"/>
              <w:rPr>
                <w:rFonts w:ascii="Times New Roman" w:hAnsi="Times New Roman"/>
                <w:szCs w:val="21"/>
              </w:rPr>
            </w:pPr>
          </w:p>
        </w:tc>
        <w:tc>
          <w:tcPr>
            <w:tcW w:w="48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本项目废水主要包括含硫废水、含油废水、酸碱废水、含盐废水、生活废水等，其中含硫废水采用酸性水汽提装置处理后，大部分回用，少部分排至污水处理站与含油废水、生活废水一同采用生化处理，达到《污水综合排放标准》中的二级标准后进入回用水站处理后全部回用。回用水处理站产生的浓盐水排往厂内蒸发池，在厂内进行蒸发处理，不得排放。</w:t>
            </w:r>
          </w:p>
        </w:tc>
        <w:tc>
          <w:tcPr>
            <w:tcW w:w="29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按要求落实了。</w:t>
            </w:r>
          </w:p>
        </w:tc>
      </w:tr>
      <w:tr w:rsidR="00525419">
        <w:trPr>
          <w:trHeight w:val="334"/>
          <w:jc w:val="center"/>
        </w:trPr>
        <w:tc>
          <w:tcPr>
            <w:tcW w:w="816" w:type="dxa"/>
            <w:vMerge/>
            <w:tcBorders>
              <w:tl2br w:val="nil"/>
              <w:tr2bl w:val="nil"/>
            </w:tcBorders>
            <w:vAlign w:val="center"/>
          </w:tcPr>
          <w:p w:rsidR="00525419" w:rsidRDefault="00525419">
            <w:pPr>
              <w:spacing w:line="240" w:lineRule="atLeast"/>
              <w:rPr>
                <w:rFonts w:ascii="Times New Roman" w:hAnsi="Times New Roman"/>
                <w:szCs w:val="21"/>
              </w:rPr>
            </w:pPr>
          </w:p>
        </w:tc>
        <w:tc>
          <w:tcPr>
            <w:tcW w:w="48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在厂内可能发生工艺废水事故排放的位置，设置专用疏水通道，一旦发生事故排放，即可收集至本项目配套建设的专用的、有足够容量的事故应急排放池暂存，事故解除后立即按规定方案处置。在厂区内清净废水等严防有毒有害化学物质进入收集口，须设置应急封闭装置，事故状态下防止有毒有害物质排入。</w:t>
            </w:r>
          </w:p>
        </w:tc>
        <w:tc>
          <w:tcPr>
            <w:tcW w:w="29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建有事故池，按要求落实了。</w:t>
            </w:r>
          </w:p>
        </w:tc>
      </w:tr>
      <w:tr w:rsidR="00525419">
        <w:trPr>
          <w:trHeight w:val="274"/>
          <w:jc w:val="center"/>
        </w:trPr>
        <w:tc>
          <w:tcPr>
            <w:tcW w:w="816" w:type="dxa"/>
            <w:vMerge/>
            <w:tcBorders>
              <w:tl2br w:val="nil"/>
              <w:tr2bl w:val="nil"/>
            </w:tcBorders>
            <w:vAlign w:val="center"/>
          </w:tcPr>
          <w:p w:rsidR="00525419" w:rsidRDefault="00525419">
            <w:pPr>
              <w:spacing w:line="240" w:lineRule="atLeast"/>
              <w:rPr>
                <w:rFonts w:ascii="Times New Roman" w:hAnsi="Times New Roman"/>
                <w:szCs w:val="21"/>
              </w:rPr>
            </w:pPr>
          </w:p>
        </w:tc>
        <w:tc>
          <w:tcPr>
            <w:tcW w:w="48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项目产生的废弃物应按有关标准和分析方法检测认定，属危险废物的须专人管理，按有关控制标准贮存和运输，定期交有危险废物处置资质的机构安全处置，不得擅自处理。按《危险废物贮存污染物控制标准》（</w:t>
            </w:r>
            <w:r>
              <w:rPr>
                <w:rFonts w:ascii="Times New Roman" w:hAnsi="Times New Roman"/>
                <w:szCs w:val="21"/>
              </w:rPr>
              <w:t>GB18597-2001</w:t>
            </w:r>
            <w:r>
              <w:rPr>
                <w:rFonts w:ascii="Times New Roman" w:hAnsi="Times New Roman"/>
                <w:szCs w:val="21"/>
              </w:rPr>
              <w:t>）的相关要求，设置危废在厂区内的贮存设施，并按贮存规程严格操作。设置有防渗、防尘等污染防治设施的专用贮存场地堆存一般工业固体废物。一般工业固体废物应优先综合利用，不能利用的定期送园区工业固废填埋场处置。生活垃圾收集后定期运至当地生活垃圾填埋场处置。</w:t>
            </w:r>
          </w:p>
        </w:tc>
        <w:tc>
          <w:tcPr>
            <w:tcW w:w="29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按要求进行了落实。</w:t>
            </w:r>
          </w:p>
        </w:tc>
      </w:tr>
      <w:tr w:rsidR="00525419">
        <w:trPr>
          <w:trHeight w:val="841"/>
          <w:jc w:val="center"/>
        </w:trPr>
        <w:tc>
          <w:tcPr>
            <w:tcW w:w="816" w:type="dxa"/>
            <w:vMerge/>
            <w:tcBorders>
              <w:tl2br w:val="nil"/>
              <w:tr2bl w:val="nil"/>
            </w:tcBorders>
            <w:vAlign w:val="center"/>
          </w:tcPr>
          <w:p w:rsidR="00525419" w:rsidRDefault="00525419">
            <w:pPr>
              <w:spacing w:line="240" w:lineRule="atLeast"/>
              <w:rPr>
                <w:rFonts w:ascii="Times New Roman" w:hAnsi="Times New Roman"/>
                <w:szCs w:val="21"/>
              </w:rPr>
            </w:pPr>
          </w:p>
        </w:tc>
        <w:tc>
          <w:tcPr>
            <w:tcW w:w="48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按规定设置卫生防护距离。在防护距离范围内不得规划和建设居住区、学校、医院等环境敏感设施，以及其它严防污染的建设项目。</w:t>
            </w:r>
          </w:p>
        </w:tc>
        <w:tc>
          <w:tcPr>
            <w:tcW w:w="29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按要求实施，且</w:t>
            </w:r>
            <w:r>
              <w:rPr>
                <w:rFonts w:ascii="Times New Roman" w:hAnsi="Times New Roman"/>
                <w:szCs w:val="21"/>
              </w:rPr>
              <w:t>3km</w:t>
            </w:r>
            <w:r>
              <w:rPr>
                <w:rFonts w:ascii="Times New Roman" w:hAnsi="Times New Roman"/>
                <w:szCs w:val="21"/>
              </w:rPr>
              <w:t>范围内无环境敏感建筑物。</w:t>
            </w:r>
          </w:p>
        </w:tc>
      </w:tr>
      <w:tr w:rsidR="00525419">
        <w:trPr>
          <w:trHeight w:val="465"/>
          <w:jc w:val="center"/>
        </w:trPr>
        <w:tc>
          <w:tcPr>
            <w:tcW w:w="816" w:type="dxa"/>
            <w:vMerge/>
            <w:tcBorders>
              <w:tl2br w:val="nil"/>
              <w:tr2bl w:val="nil"/>
            </w:tcBorders>
            <w:vAlign w:val="center"/>
          </w:tcPr>
          <w:p w:rsidR="00525419" w:rsidRDefault="00525419">
            <w:pPr>
              <w:spacing w:line="240" w:lineRule="atLeast"/>
              <w:rPr>
                <w:rFonts w:ascii="Times New Roman" w:hAnsi="Times New Roman"/>
                <w:szCs w:val="21"/>
              </w:rPr>
            </w:pPr>
          </w:p>
        </w:tc>
        <w:tc>
          <w:tcPr>
            <w:tcW w:w="48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积极开展清洁生产审核，降低单位产品水耗、能耗，逐步提高企业清洁生产水平，从源头减少污染物产生情况。</w:t>
            </w:r>
          </w:p>
        </w:tc>
        <w:tc>
          <w:tcPr>
            <w:tcW w:w="29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后期按照环保要求逐步落实清洁生产审核</w:t>
            </w:r>
          </w:p>
        </w:tc>
      </w:tr>
      <w:tr w:rsidR="00525419">
        <w:trPr>
          <w:trHeight w:val="450"/>
          <w:jc w:val="center"/>
        </w:trPr>
        <w:tc>
          <w:tcPr>
            <w:tcW w:w="816" w:type="dxa"/>
            <w:vMerge/>
            <w:tcBorders>
              <w:tl2br w:val="nil"/>
              <w:tr2bl w:val="nil"/>
            </w:tcBorders>
            <w:vAlign w:val="center"/>
          </w:tcPr>
          <w:p w:rsidR="00525419" w:rsidRDefault="00525419">
            <w:pPr>
              <w:spacing w:line="240" w:lineRule="atLeast"/>
              <w:rPr>
                <w:rFonts w:ascii="Times New Roman" w:hAnsi="Times New Roman"/>
                <w:szCs w:val="21"/>
              </w:rPr>
            </w:pPr>
          </w:p>
        </w:tc>
        <w:tc>
          <w:tcPr>
            <w:tcW w:w="48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按照排污口设置及规范化整治管理的相关规定设置各类排污口，按要求标识，并设置必备的监测采样平台。</w:t>
            </w:r>
          </w:p>
        </w:tc>
        <w:tc>
          <w:tcPr>
            <w:tcW w:w="29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按要求进行了落实。</w:t>
            </w:r>
          </w:p>
        </w:tc>
      </w:tr>
      <w:tr w:rsidR="00525419">
        <w:trPr>
          <w:trHeight w:val="420"/>
          <w:jc w:val="center"/>
        </w:trPr>
        <w:tc>
          <w:tcPr>
            <w:tcW w:w="816" w:type="dxa"/>
            <w:vMerge/>
            <w:tcBorders>
              <w:tl2br w:val="nil"/>
              <w:tr2bl w:val="nil"/>
            </w:tcBorders>
            <w:vAlign w:val="center"/>
          </w:tcPr>
          <w:p w:rsidR="00525419" w:rsidRDefault="00525419">
            <w:pPr>
              <w:spacing w:line="240" w:lineRule="atLeast"/>
              <w:rPr>
                <w:rFonts w:ascii="Times New Roman" w:hAnsi="Times New Roman"/>
                <w:szCs w:val="21"/>
              </w:rPr>
            </w:pPr>
          </w:p>
        </w:tc>
        <w:tc>
          <w:tcPr>
            <w:tcW w:w="48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开展本项目工程环境监理，在施工招标文件，施工合同和工程监理合同文件中明确环保条款和责任，建立专项档案，定期向当地环保部门报告。在本项目进入试生产前向我厅提交该工程环境监理报告。此项工作纳入竣工环保验收内容。</w:t>
            </w:r>
          </w:p>
        </w:tc>
        <w:tc>
          <w:tcPr>
            <w:tcW w:w="29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按要求进行了落实。</w:t>
            </w:r>
          </w:p>
        </w:tc>
      </w:tr>
      <w:tr w:rsidR="00525419">
        <w:trPr>
          <w:trHeight w:val="420"/>
          <w:jc w:val="center"/>
        </w:trPr>
        <w:tc>
          <w:tcPr>
            <w:tcW w:w="816" w:type="dxa"/>
            <w:vMerge w:val="restart"/>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2</w:t>
            </w:r>
            <w:r>
              <w:rPr>
                <w:rFonts w:ascii="Times New Roman" w:hAnsi="Times New Roman"/>
                <w:szCs w:val="21"/>
              </w:rPr>
              <w:t>万立方米成品油储油库项目</w:t>
            </w:r>
          </w:p>
        </w:tc>
        <w:tc>
          <w:tcPr>
            <w:tcW w:w="48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做好大气污染防治工作，油罐大、小呼吸、发车过程中管线和罐车大呼吸、倒罐泵大呼吸散发出来的油气，主要污染因子为非甲烷总烃。采用油气回收处理装置处理达到《储油库大气污染物排放标准》（</w:t>
            </w:r>
            <w:r>
              <w:rPr>
                <w:rFonts w:ascii="Times New Roman" w:hAnsi="Times New Roman"/>
                <w:szCs w:val="21"/>
              </w:rPr>
              <w:t>GB20950-2007</w:t>
            </w:r>
            <w:r>
              <w:rPr>
                <w:rFonts w:ascii="Times New Roman" w:hAnsi="Times New Roman"/>
                <w:szCs w:val="21"/>
              </w:rPr>
              <w:t>）后排放。</w:t>
            </w:r>
          </w:p>
        </w:tc>
        <w:tc>
          <w:tcPr>
            <w:tcW w:w="29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目前厂区已建设</w:t>
            </w:r>
            <w:r>
              <w:rPr>
                <w:rFonts w:ascii="Times New Roman" w:hAnsi="Times New Roman"/>
                <w:szCs w:val="21"/>
              </w:rPr>
              <w:t>3</w:t>
            </w:r>
            <w:r>
              <w:rPr>
                <w:rFonts w:ascii="Times New Roman" w:hAnsi="Times New Roman"/>
                <w:szCs w:val="21"/>
              </w:rPr>
              <w:t>套油气回收装置，分别收集处理油罐大、小呼吸、发车过程中管线和罐车大呼吸、倒罐泵大呼吸散发出来的油气。</w:t>
            </w:r>
          </w:p>
        </w:tc>
      </w:tr>
      <w:tr w:rsidR="00525419">
        <w:trPr>
          <w:trHeight w:val="420"/>
          <w:jc w:val="center"/>
        </w:trPr>
        <w:tc>
          <w:tcPr>
            <w:tcW w:w="816" w:type="dxa"/>
            <w:vMerge/>
            <w:tcBorders>
              <w:tl2br w:val="nil"/>
              <w:tr2bl w:val="nil"/>
            </w:tcBorders>
            <w:vAlign w:val="center"/>
          </w:tcPr>
          <w:p w:rsidR="00525419" w:rsidRDefault="00525419">
            <w:pPr>
              <w:spacing w:line="240" w:lineRule="atLeast"/>
              <w:rPr>
                <w:rFonts w:ascii="Times New Roman" w:hAnsi="Times New Roman"/>
                <w:szCs w:val="21"/>
              </w:rPr>
            </w:pPr>
          </w:p>
        </w:tc>
        <w:tc>
          <w:tcPr>
            <w:tcW w:w="48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认真做好废水的污染治理工作，本项目废水主要为生活废水。生活废水排入厂区化粪池处理，最终由鄯善县火车站镇污水处理厂采用吸污车将废水运至该污水处理厂处理。年底之前接入工业园区排水管网进入工业污水处理厂处置。</w:t>
            </w:r>
          </w:p>
        </w:tc>
        <w:tc>
          <w:tcPr>
            <w:tcW w:w="29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生活污水经污水处理站处理后用于循环冷却补水。</w:t>
            </w:r>
            <w:r>
              <w:rPr>
                <w:rFonts w:ascii="Times New Roman" w:hAnsi="Times New Roman"/>
                <w:szCs w:val="21"/>
              </w:rPr>
              <w:t xml:space="preserve"> </w:t>
            </w:r>
          </w:p>
        </w:tc>
      </w:tr>
      <w:tr w:rsidR="00525419">
        <w:trPr>
          <w:trHeight w:val="938"/>
          <w:jc w:val="center"/>
        </w:trPr>
        <w:tc>
          <w:tcPr>
            <w:tcW w:w="816" w:type="dxa"/>
            <w:vMerge/>
            <w:tcBorders>
              <w:tl2br w:val="nil"/>
              <w:tr2bl w:val="nil"/>
            </w:tcBorders>
            <w:vAlign w:val="center"/>
          </w:tcPr>
          <w:p w:rsidR="00525419" w:rsidRDefault="00525419">
            <w:pPr>
              <w:spacing w:line="240" w:lineRule="atLeast"/>
              <w:rPr>
                <w:rFonts w:ascii="Times New Roman" w:hAnsi="Times New Roman"/>
                <w:szCs w:val="21"/>
              </w:rPr>
            </w:pPr>
          </w:p>
        </w:tc>
        <w:tc>
          <w:tcPr>
            <w:tcW w:w="48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强化噪声污染防治措施。对高噪声设备采取密闭隔离、减震消音等措施，厂界噪声须满足《工业企业厂界环境噪声排放标准》（</w:t>
            </w:r>
            <w:r>
              <w:rPr>
                <w:rFonts w:ascii="Times New Roman" w:hAnsi="Times New Roman"/>
                <w:szCs w:val="21"/>
              </w:rPr>
              <w:t>GB12348-2008</w:t>
            </w:r>
            <w:r>
              <w:rPr>
                <w:rFonts w:ascii="Times New Roman" w:hAnsi="Times New Roman"/>
                <w:szCs w:val="21"/>
              </w:rPr>
              <w:t>）</w:t>
            </w:r>
            <w:r>
              <w:rPr>
                <w:rFonts w:ascii="Times New Roman" w:hAnsi="Times New Roman"/>
                <w:szCs w:val="21"/>
              </w:rPr>
              <w:t>3</w:t>
            </w:r>
            <w:r>
              <w:rPr>
                <w:rFonts w:ascii="Times New Roman" w:hAnsi="Times New Roman"/>
                <w:szCs w:val="21"/>
              </w:rPr>
              <w:t>类标准。</w:t>
            </w:r>
          </w:p>
        </w:tc>
        <w:tc>
          <w:tcPr>
            <w:tcW w:w="29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对高噪声源采取密闭隔离、减震消音措施后，厂界噪声达到《工业企业厂界环境噪声排放标准》（</w:t>
            </w:r>
            <w:r>
              <w:rPr>
                <w:rFonts w:ascii="Times New Roman" w:hAnsi="Times New Roman"/>
                <w:szCs w:val="21"/>
              </w:rPr>
              <w:t>GB12348-2008</w:t>
            </w:r>
            <w:r>
              <w:rPr>
                <w:rFonts w:ascii="Times New Roman" w:hAnsi="Times New Roman"/>
                <w:szCs w:val="21"/>
              </w:rPr>
              <w:t>）</w:t>
            </w:r>
            <w:r>
              <w:rPr>
                <w:rFonts w:ascii="Times New Roman" w:hAnsi="Times New Roman"/>
                <w:szCs w:val="21"/>
              </w:rPr>
              <w:t>3</w:t>
            </w:r>
            <w:r>
              <w:rPr>
                <w:rFonts w:ascii="Times New Roman" w:hAnsi="Times New Roman"/>
                <w:szCs w:val="21"/>
              </w:rPr>
              <w:t>类标准。</w:t>
            </w:r>
          </w:p>
        </w:tc>
      </w:tr>
      <w:tr w:rsidR="00525419">
        <w:trPr>
          <w:trHeight w:val="420"/>
          <w:jc w:val="center"/>
        </w:trPr>
        <w:tc>
          <w:tcPr>
            <w:tcW w:w="816" w:type="dxa"/>
            <w:vMerge/>
            <w:tcBorders>
              <w:tl2br w:val="nil"/>
              <w:tr2bl w:val="nil"/>
            </w:tcBorders>
            <w:vAlign w:val="center"/>
          </w:tcPr>
          <w:p w:rsidR="00525419" w:rsidRDefault="00525419">
            <w:pPr>
              <w:spacing w:line="240" w:lineRule="atLeast"/>
              <w:rPr>
                <w:rFonts w:ascii="Times New Roman" w:hAnsi="Times New Roman"/>
                <w:szCs w:val="21"/>
              </w:rPr>
            </w:pPr>
          </w:p>
        </w:tc>
        <w:tc>
          <w:tcPr>
            <w:tcW w:w="48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做好固体废物分类处理工作，厂区按照《一般工业固体废物贮存、处置场污染控制标准》相关要求建设；临时废物贮存场。严格落实项目固体废物的收集、处置及综合利用措施，严禁随意抛洒或混乱堆放。项目危险废物包括油泥、含油手套抹布、废弃活性炭，危险废物需委托有资质单位处置。危险固体废物要严格执行环发（</w:t>
            </w:r>
            <w:r>
              <w:rPr>
                <w:rFonts w:ascii="Times New Roman" w:hAnsi="Times New Roman"/>
                <w:szCs w:val="21"/>
              </w:rPr>
              <w:t>2011</w:t>
            </w:r>
            <w:r>
              <w:rPr>
                <w:rFonts w:ascii="Times New Roman" w:hAnsi="Times New Roman"/>
                <w:szCs w:val="21"/>
              </w:rPr>
              <w:t>）</w:t>
            </w:r>
            <w:r>
              <w:rPr>
                <w:rFonts w:ascii="Times New Roman" w:hAnsi="Times New Roman"/>
                <w:szCs w:val="21"/>
              </w:rPr>
              <w:t>199</w:t>
            </w:r>
            <w:r>
              <w:rPr>
                <w:rFonts w:ascii="Times New Roman" w:hAnsi="Times New Roman"/>
                <w:szCs w:val="21"/>
              </w:rPr>
              <w:t>号《危险废物污染防治技术政策》和国家环境总局令</w:t>
            </w:r>
            <w:r>
              <w:rPr>
                <w:rFonts w:ascii="Times New Roman" w:hAnsi="Times New Roman"/>
                <w:szCs w:val="21"/>
              </w:rPr>
              <w:t>1999</w:t>
            </w:r>
            <w:r>
              <w:rPr>
                <w:rFonts w:ascii="Times New Roman" w:hAnsi="Times New Roman"/>
                <w:szCs w:val="21"/>
              </w:rPr>
              <w:t>年第</w:t>
            </w:r>
            <w:r>
              <w:rPr>
                <w:rFonts w:ascii="Times New Roman" w:hAnsi="Times New Roman"/>
                <w:szCs w:val="21"/>
              </w:rPr>
              <w:t>5</w:t>
            </w:r>
            <w:r>
              <w:rPr>
                <w:rFonts w:ascii="Times New Roman" w:hAnsi="Times New Roman"/>
                <w:szCs w:val="21"/>
              </w:rPr>
              <w:t>号《危险废物转移联单管理办法》。生活垃圾集中收集后清运至垃圾填埋场。</w:t>
            </w:r>
          </w:p>
        </w:tc>
        <w:tc>
          <w:tcPr>
            <w:tcW w:w="2906" w:type="dxa"/>
            <w:tcBorders>
              <w:tl2br w:val="nil"/>
              <w:tr2bl w:val="nil"/>
            </w:tcBorders>
            <w:vAlign w:val="center"/>
          </w:tcPr>
          <w:p w:rsidR="00525419" w:rsidRDefault="00525419">
            <w:pPr>
              <w:spacing w:line="240" w:lineRule="atLeast"/>
              <w:rPr>
                <w:rFonts w:ascii="Times New Roman" w:hAnsi="Times New Roman"/>
                <w:szCs w:val="21"/>
              </w:rPr>
            </w:pPr>
          </w:p>
          <w:p w:rsidR="00525419" w:rsidRDefault="00525419">
            <w:pPr>
              <w:spacing w:line="240" w:lineRule="atLeast"/>
              <w:rPr>
                <w:rFonts w:ascii="Times New Roman" w:hAnsi="Times New Roman"/>
                <w:szCs w:val="21"/>
              </w:rPr>
            </w:pPr>
          </w:p>
          <w:p w:rsidR="00525419" w:rsidRDefault="00525419">
            <w:pPr>
              <w:spacing w:line="240" w:lineRule="atLeast"/>
              <w:rPr>
                <w:rFonts w:ascii="Times New Roman" w:hAnsi="Times New Roman"/>
                <w:szCs w:val="21"/>
              </w:rPr>
            </w:pPr>
          </w:p>
          <w:p w:rsidR="00525419" w:rsidRDefault="00EE1CF7">
            <w:pPr>
              <w:spacing w:line="240" w:lineRule="atLeast"/>
              <w:rPr>
                <w:rFonts w:ascii="Times New Roman" w:hAnsi="Times New Roman"/>
                <w:szCs w:val="21"/>
              </w:rPr>
            </w:pPr>
            <w:r>
              <w:rPr>
                <w:rFonts w:ascii="Times New Roman" w:hAnsi="Times New Roman"/>
                <w:szCs w:val="21"/>
              </w:rPr>
              <w:t>按要求进行了落实。</w:t>
            </w:r>
          </w:p>
        </w:tc>
      </w:tr>
      <w:tr w:rsidR="00525419">
        <w:trPr>
          <w:trHeight w:val="420"/>
          <w:jc w:val="center"/>
        </w:trPr>
        <w:tc>
          <w:tcPr>
            <w:tcW w:w="816" w:type="dxa"/>
            <w:vMerge/>
            <w:tcBorders>
              <w:tl2br w:val="nil"/>
              <w:tr2bl w:val="nil"/>
            </w:tcBorders>
            <w:vAlign w:val="center"/>
          </w:tcPr>
          <w:p w:rsidR="00525419" w:rsidRDefault="00525419">
            <w:pPr>
              <w:spacing w:line="240" w:lineRule="atLeast"/>
              <w:rPr>
                <w:rFonts w:ascii="Times New Roman" w:hAnsi="Times New Roman"/>
                <w:szCs w:val="21"/>
              </w:rPr>
            </w:pPr>
          </w:p>
        </w:tc>
        <w:tc>
          <w:tcPr>
            <w:tcW w:w="48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强化环境风险防范和应急措施。制定完善的环保规章制度，并按照《突发环境事件应急预案管理暂行办法》（环发（</w:t>
            </w:r>
            <w:r>
              <w:rPr>
                <w:rFonts w:ascii="Times New Roman" w:hAnsi="Times New Roman"/>
                <w:szCs w:val="21"/>
              </w:rPr>
              <w:t>2010</w:t>
            </w:r>
            <w:r>
              <w:rPr>
                <w:rFonts w:ascii="Times New Roman" w:hAnsi="Times New Roman"/>
                <w:szCs w:val="21"/>
              </w:rPr>
              <w:t>）</w:t>
            </w:r>
            <w:r>
              <w:rPr>
                <w:rFonts w:ascii="Times New Roman" w:hAnsi="Times New Roman"/>
                <w:szCs w:val="21"/>
              </w:rPr>
              <w:t>113</w:t>
            </w:r>
            <w:r>
              <w:rPr>
                <w:rFonts w:ascii="Times New Roman" w:hAnsi="Times New Roman"/>
                <w:szCs w:val="21"/>
              </w:rPr>
              <w:t>号）要求做好环境应急预案的编制、评估和备案等工作。严格操作规程，做好运行记录，定期检修生产设备和各项环保设施，发现隐患及时处理，杜绝盲目生产造成非正常工况或泄露等事故对环境产生影响</w:t>
            </w:r>
            <w:r>
              <w:rPr>
                <w:rFonts w:ascii="Times New Roman" w:hAnsi="Times New Roman" w:hint="eastAsia"/>
                <w:szCs w:val="21"/>
              </w:rPr>
              <w:t>。</w:t>
            </w:r>
          </w:p>
        </w:tc>
        <w:tc>
          <w:tcPr>
            <w:tcW w:w="29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按要求进行了落实。</w:t>
            </w:r>
          </w:p>
        </w:tc>
      </w:tr>
      <w:tr w:rsidR="00525419">
        <w:trPr>
          <w:trHeight w:val="2774"/>
          <w:jc w:val="center"/>
        </w:trPr>
        <w:tc>
          <w:tcPr>
            <w:tcW w:w="816" w:type="dxa"/>
            <w:vMerge w:val="restart"/>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lastRenderedPageBreak/>
              <w:t>8</w:t>
            </w:r>
            <w:r>
              <w:rPr>
                <w:rFonts w:ascii="Times New Roman" w:hAnsi="Times New Roman"/>
                <w:szCs w:val="21"/>
              </w:rPr>
              <w:t>万</w:t>
            </w: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沥青储罐经营储存项目</w:t>
            </w:r>
          </w:p>
        </w:tc>
        <w:tc>
          <w:tcPr>
            <w:tcW w:w="48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导热油锅炉采用陶瓷多管除尘器，多冲激脱硫除尘器脱硫除尘，除尘效率达</w:t>
            </w:r>
            <w:r>
              <w:rPr>
                <w:rFonts w:ascii="Times New Roman" w:hAnsi="Times New Roman"/>
                <w:szCs w:val="21"/>
              </w:rPr>
              <w:t>96%</w:t>
            </w:r>
            <w:r>
              <w:rPr>
                <w:rFonts w:ascii="Times New Roman" w:hAnsi="Times New Roman"/>
                <w:szCs w:val="21"/>
              </w:rPr>
              <w:t>，脱硫效率</w:t>
            </w:r>
            <w:r>
              <w:rPr>
                <w:rFonts w:ascii="Times New Roman" w:hAnsi="Times New Roman"/>
                <w:szCs w:val="21"/>
              </w:rPr>
              <w:t>&gt;80%</w:t>
            </w:r>
            <w:r>
              <w:rPr>
                <w:rFonts w:ascii="Times New Roman" w:hAnsi="Times New Roman"/>
                <w:szCs w:val="21"/>
              </w:rPr>
              <w:t>。采取以上措施后烟尘、</w:t>
            </w:r>
            <w:r>
              <w:rPr>
                <w:rFonts w:ascii="Times New Roman" w:hAnsi="Times New Roman"/>
                <w:szCs w:val="21"/>
              </w:rPr>
              <w:t>SO</w:t>
            </w:r>
            <w:r>
              <w:rPr>
                <w:rFonts w:ascii="Times New Roman" w:hAnsi="Times New Roman"/>
                <w:szCs w:val="21"/>
                <w:vertAlign w:val="subscript"/>
              </w:rPr>
              <w:t>2</w:t>
            </w:r>
            <w:r>
              <w:rPr>
                <w:rFonts w:ascii="Times New Roman" w:hAnsi="Times New Roman"/>
                <w:szCs w:val="21"/>
              </w:rPr>
              <w:t>、</w:t>
            </w:r>
            <w:r>
              <w:rPr>
                <w:rFonts w:ascii="Times New Roman" w:hAnsi="Times New Roman"/>
                <w:szCs w:val="21"/>
              </w:rPr>
              <w:t>NOx</w:t>
            </w:r>
            <w:r>
              <w:rPr>
                <w:rFonts w:ascii="Times New Roman" w:hAnsi="Times New Roman"/>
                <w:szCs w:val="21"/>
              </w:rPr>
              <w:t>排放浓度须满足《锅炉大气污染物排放标准》</w:t>
            </w:r>
            <w:r>
              <w:rPr>
                <w:rFonts w:ascii="Times New Roman" w:hAnsi="Times New Roman"/>
                <w:szCs w:val="21"/>
              </w:rPr>
              <w:t>(GB13271-2014</w:t>
            </w:r>
            <w:r>
              <w:rPr>
                <w:rFonts w:ascii="Times New Roman" w:hAnsi="Times New Roman"/>
                <w:szCs w:val="21"/>
              </w:rPr>
              <w:t>）中表</w:t>
            </w:r>
            <w:r>
              <w:rPr>
                <w:rFonts w:ascii="Times New Roman" w:hAnsi="Times New Roman"/>
                <w:szCs w:val="21"/>
              </w:rPr>
              <w:t>2</w:t>
            </w:r>
            <w:r>
              <w:rPr>
                <w:rFonts w:ascii="Times New Roman" w:hAnsi="Times New Roman"/>
                <w:szCs w:val="21"/>
              </w:rPr>
              <w:t>中限值。因现有烟囱高度为</w:t>
            </w:r>
            <w:r>
              <w:rPr>
                <w:rFonts w:ascii="Times New Roman" w:hAnsi="Times New Roman"/>
                <w:szCs w:val="21"/>
              </w:rPr>
              <w:t>21m</w:t>
            </w:r>
            <w:r>
              <w:rPr>
                <w:rFonts w:ascii="Times New Roman" w:hAnsi="Times New Roman"/>
                <w:szCs w:val="21"/>
              </w:rPr>
              <w:t>，导热油锅炉烟囱高度不符合《锅炉大气污染物排放标准》（</w:t>
            </w:r>
            <w:r>
              <w:rPr>
                <w:rFonts w:ascii="Times New Roman" w:hAnsi="Times New Roman"/>
                <w:szCs w:val="21"/>
              </w:rPr>
              <w:t>GB13271-2014</w:t>
            </w:r>
            <w:r>
              <w:rPr>
                <w:rFonts w:ascii="Times New Roman" w:hAnsi="Times New Roman"/>
                <w:szCs w:val="21"/>
              </w:rPr>
              <w:t>）中</w:t>
            </w:r>
            <w:r>
              <w:rPr>
                <w:rFonts w:ascii="Times New Roman" w:hAnsi="Times New Roman"/>
                <w:szCs w:val="21"/>
              </w:rPr>
              <w:t>4t/h</w:t>
            </w:r>
            <w:r>
              <w:rPr>
                <w:rFonts w:ascii="Times New Roman" w:hAnsi="Times New Roman"/>
                <w:szCs w:val="21"/>
              </w:rPr>
              <w:t>锅炉烟囱最低高度耍求，整改后锅炉</w:t>
            </w:r>
            <w:r>
              <w:rPr>
                <w:rFonts w:ascii="Times New Roman" w:hAnsi="Times New Roman" w:hint="eastAsia"/>
                <w:szCs w:val="21"/>
              </w:rPr>
              <w:t>烟</w:t>
            </w:r>
            <w:r>
              <w:rPr>
                <w:rFonts w:ascii="Times New Roman" w:hAnsi="Times New Roman"/>
                <w:szCs w:val="21"/>
              </w:rPr>
              <w:t>囱高度要求不低于</w:t>
            </w:r>
            <w:r>
              <w:rPr>
                <w:rFonts w:ascii="Times New Roman" w:hAnsi="Times New Roman"/>
                <w:szCs w:val="21"/>
              </w:rPr>
              <w:t>35m</w:t>
            </w:r>
            <w:r>
              <w:rPr>
                <w:rFonts w:ascii="Times New Roman" w:hAnsi="Times New Roman"/>
                <w:szCs w:val="21"/>
              </w:rPr>
              <w:t>。</w:t>
            </w:r>
          </w:p>
        </w:tc>
        <w:tc>
          <w:tcPr>
            <w:tcW w:w="29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原有的</w:t>
            </w:r>
            <w:r>
              <w:rPr>
                <w:rFonts w:ascii="Times New Roman" w:hAnsi="Times New Roman"/>
                <w:szCs w:val="21"/>
              </w:rPr>
              <w:t>4t/h</w:t>
            </w:r>
            <w:r>
              <w:rPr>
                <w:rFonts w:ascii="Times New Roman" w:hAnsi="Times New Roman"/>
                <w:szCs w:val="21"/>
              </w:rPr>
              <w:t>导热油锅炉已经停用，改用</w:t>
            </w:r>
            <w:r>
              <w:rPr>
                <w:rFonts w:ascii="Times New Roman" w:hAnsi="Times New Roman"/>
                <w:szCs w:val="21"/>
              </w:rPr>
              <w:t>1×20 t/h</w:t>
            </w:r>
            <w:r>
              <w:rPr>
                <w:rFonts w:ascii="Times New Roman" w:hAnsi="Times New Roman"/>
                <w:szCs w:val="21"/>
              </w:rPr>
              <w:t>导热油炉，其烟气采用布袋除尘器</w:t>
            </w:r>
            <w:r>
              <w:rPr>
                <w:rFonts w:ascii="Times New Roman" w:hAnsi="Times New Roman"/>
                <w:szCs w:val="21"/>
              </w:rPr>
              <w:t>+</w:t>
            </w:r>
            <w:r>
              <w:rPr>
                <w:rFonts w:ascii="Times New Roman" w:hAnsi="Times New Roman"/>
                <w:szCs w:val="21"/>
              </w:rPr>
              <w:t>双碱法脱硫</w:t>
            </w:r>
            <w:r>
              <w:rPr>
                <w:rFonts w:ascii="Times New Roman" w:hAnsi="Times New Roman"/>
                <w:szCs w:val="21"/>
              </w:rPr>
              <w:t>+</w:t>
            </w:r>
            <w:r>
              <w:rPr>
                <w:rFonts w:ascii="Times New Roman" w:hAnsi="Times New Roman"/>
                <w:szCs w:val="21"/>
              </w:rPr>
              <w:t>双氧水脱硝后通过</w:t>
            </w:r>
            <w:r>
              <w:rPr>
                <w:rFonts w:ascii="Times New Roman" w:hAnsi="Times New Roman"/>
                <w:szCs w:val="21"/>
              </w:rPr>
              <w:t>1</w:t>
            </w:r>
            <w:r>
              <w:rPr>
                <w:rFonts w:ascii="Times New Roman" w:hAnsi="Times New Roman"/>
                <w:szCs w:val="21"/>
              </w:rPr>
              <w:t>根</w:t>
            </w:r>
            <w:r>
              <w:rPr>
                <w:rFonts w:ascii="Times New Roman" w:hAnsi="Times New Roman"/>
                <w:szCs w:val="21"/>
              </w:rPr>
              <w:t>45m</w:t>
            </w:r>
            <w:r>
              <w:rPr>
                <w:rFonts w:ascii="Times New Roman" w:hAnsi="Times New Roman"/>
                <w:szCs w:val="21"/>
              </w:rPr>
              <w:t>高烟囱排放，排放浓度满足《锅炉大气污染物排放标准》</w:t>
            </w:r>
            <w:r>
              <w:rPr>
                <w:rFonts w:ascii="Times New Roman" w:hAnsi="Times New Roman"/>
                <w:szCs w:val="21"/>
              </w:rPr>
              <w:t>(GB13271-2014</w:t>
            </w:r>
            <w:r>
              <w:rPr>
                <w:rFonts w:ascii="Times New Roman" w:hAnsi="Times New Roman"/>
                <w:szCs w:val="21"/>
              </w:rPr>
              <w:t>）中表</w:t>
            </w:r>
            <w:r>
              <w:rPr>
                <w:rFonts w:ascii="Times New Roman" w:hAnsi="Times New Roman"/>
                <w:szCs w:val="21"/>
              </w:rPr>
              <w:t>2</w:t>
            </w:r>
            <w:r>
              <w:rPr>
                <w:rFonts w:ascii="Times New Roman" w:hAnsi="Times New Roman"/>
                <w:szCs w:val="21"/>
              </w:rPr>
              <w:t>中限值。</w:t>
            </w:r>
          </w:p>
        </w:tc>
      </w:tr>
      <w:tr w:rsidR="00525419">
        <w:trPr>
          <w:trHeight w:val="420"/>
          <w:jc w:val="center"/>
        </w:trPr>
        <w:tc>
          <w:tcPr>
            <w:tcW w:w="816" w:type="dxa"/>
            <w:vMerge/>
            <w:tcBorders>
              <w:tl2br w:val="nil"/>
              <w:tr2bl w:val="nil"/>
            </w:tcBorders>
            <w:vAlign w:val="center"/>
          </w:tcPr>
          <w:p w:rsidR="00525419" w:rsidRDefault="00525419">
            <w:pPr>
              <w:spacing w:line="240" w:lineRule="atLeast"/>
              <w:rPr>
                <w:rFonts w:ascii="Times New Roman" w:hAnsi="Times New Roman"/>
                <w:szCs w:val="21"/>
              </w:rPr>
            </w:pPr>
          </w:p>
        </w:tc>
        <w:tc>
          <w:tcPr>
            <w:tcW w:w="48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20t/h</w:t>
            </w:r>
            <w:r>
              <w:rPr>
                <w:rFonts w:ascii="Times New Roman" w:hAnsi="Times New Roman"/>
                <w:szCs w:val="21"/>
              </w:rPr>
              <w:t>蒸汽锅炉排放的废气通过</w:t>
            </w:r>
            <w:r>
              <w:rPr>
                <w:rFonts w:ascii="Times New Roman" w:hAnsi="Times New Roman"/>
                <w:szCs w:val="21"/>
              </w:rPr>
              <w:t>45m</w:t>
            </w:r>
            <w:r>
              <w:rPr>
                <w:rFonts w:ascii="Times New Roman" w:hAnsi="Times New Roman"/>
                <w:szCs w:val="21"/>
              </w:rPr>
              <w:t>高烟囱高空排放，采用陶瓷多管除尘器除尘及深度除尘脱硫塔脱硫，陶瓷多管除尘器的设计除尘效率为</w:t>
            </w:r>
            <w:r>
              <w:rPr>
                <w:rFonts w:ascii="Times New Roman" w:hAnsi="Times New Roman"/>
                <w:szCs w:val="21"/>
              </w:rPr>
              <w:t>&gt;90%</w:t>
            </w:r>
            <w:r>
              <w:rPr>
                <w:rFonts w:ascii="Times New Roman" w:hAnsi="Times New Roman"/>
                <w:szCs w:val="21"/>
              </w:rPr>
              <w:t>，深度除尘脱硫塔的除尘效率为</w:t>
            </w:r>
            <w:r>
              <w:rPr>
                <w:rFonts w:ascii="Times New Roman" w:hAnsi="Times New Roman"/>
                <w:szCs w:val="21"/>
              </w:rPr>
              <w:t>&gt;75%</w:t>
            </w:r>
            <w:r>
              <w:rPr>
                <w:rFonts w:ascii="Times New Roman" w:hAnsi="Times New Roman"/>
                <w:szCs w:val="21"/>
              </w:rPr>
              <w:t>，脱硫效率</w:t>
            </w:r>
            <w:r>
              <w:rPr>
                <w:rFonts w:ascii="Times New Roman" w:hAnsi="Times New Roman"/>
                <w:szCs w:val="21"/>
              </w:rPr>
              <w:t>≥90%</w:t>
            </w:r>
            <w:r>
              <w:rPr>
                <w:rFonts w:ascii="Times New Roman" w:hAnsi="Times New Roman"/>
                <w:szCs w:val="21"/>
              </w:rPr>
              <w:t>。脱硝采用</w:t>
            </w:r>
            <w:r>
              <w:rPr>
                <w:rFonts w:ascii="Times New Roman" w:hAnsi="Times New Roman"/>
                <w:szCs w:val="21"/>
              </w:rPr>
              <w:t>SNCR</w:t>
            </w:r>
            <w:r>
              <w:rPr>
                <w:rFonts w:ascii="Times New Roman" w:hAnsi="Times New Roman"/>
                <w:szCs w:val="21"/>
              </w:rPr>
              <w:t>法，脱硝效率达</w:t>
            </w:r>
            <w:r>
              <w:rPr>
                <w:rFonts w:ascii="Times New Roman" w:hAnsi="Times New Roman"/>
                <w:szCs w:val="21"/>
              </w:rPr>
              <w:t>70%</w:t>
            </w:r>
            <w:r>
              <w:rPr>
                <w:rFonts w:ascii="Times New Roman" w:hAnsi="Times New Roman"/>
                <w:szCs w:val="21"/>
              </w:rPr>
              <w:t>以上，采取以上措施后烟尘、</w:t>
            </w:r>
            <w:r>
              <w:rPr>
                <w:rFonts w:ascii="Times New Roman" w:hAnsi="Times New Roman"/>
                <w:szCs w:val="21"/>
              </w:rPr>
              <w:t>SO</w:t>
            </w:r>
            <w:r>
              <w:rPr>
                <w:rFonts w:ascii="Times New Roman" w:hAnsi="Times New Roman"/>
                <w:szCs w:val="21"/>
                <w:vertAlign w:val="subscript"/>
              </w:rPr>
              <w:t>2</w:t>
            </w:r>
            <w:r>
              <w:rPr>
                <w:rFonts w:ascii="Times New Roman" w:hAnsi="Times New Roman"/>
                <w:szCs w:val="21"/>
              </w:rPr>
              <w:t>、</w:t>
            </w:r>
            <w:r>
              <w:rPr>
                <w:rFonts w:ascii="Times New Roman" w:hAnsi="Times New Roman"/>
                <w:szCs w:val="21"/>
              </w:rPr>
              <w:t>NOx</w:t>
            </w:r>
            <w:r>
              <w:rPr>
                <w:rFonts w:ascii="Times New Roman" w:hAnsi="Times New Roman"/>
                <w:szCs w:val="21"/>
              </w:rPr>
              <w:t>排放浓度须满足《锅炉大气污染物排放标准》（</w:t>
            </w:r>
            <w:r>
              <w:rPr>
                <w:rFonts w:ascii="Times New Roman" w:hAnsi="Times New Roman"/>
                <w:szCs w:val="21"/>
              </w:rPr>
              <w:t>GB13271-2014</w:t>
            </w:r>
            <w:r>
              <w:rPr>
                <w:rFonts w:ascii="Times New Roman" w:hAnsi="Times New Roman"/>
                <w:szCs w:val="21"/>
              </w:rPr>
              <w:t>）中表</w:t>
            </w:r>
            <w:r>
              <w:rPr>
                <w:rFonts w:ascii="Times New Roman" w:hAnsi="Times New Roman"/>
                <w:szCs w:val="21"/>
              </w:rPr>
              <w:t>2</w:t>
            </w:r>
            <w:r>
              <w:rPr>
                <w:rFonts w:ascii="Times New Roman" w:hAnsi="Times New Roman"/>
                <w:szCs w:val="21"/>
              </w:rPr>
              <w:t>中限值要求；锅炉房储煤方式选用煤仓储煤，煤尘满足《大气污染物综合排放标准》（</w:t>
            </w:r>
            <w:r>
              <w:rPr>
                <w:rFonts w:ascii="Times New Roman" w:hAnsi="Times New Roman"/>
                <w:szCs w:val="21"/>
              </w:rPr>
              <w:t>GB16297-1996</w:t>
            </w:r>
            <w:r>
              <w:rPr>
                <w:rFonts w:ascii="Times New Roman" w:hAnsi="Times New Roman"/>
                <w:szCs w:val="21"/>
              </w:rPr>
              <w:t>）表</w:t>
            </w:r>
            <w:r>
              <w:rPr>
                <w:rFonts w:ascii="Times New Roman" w:hAnsi="Times New Roman"/>
                <w:szCs w:val="21"/>
              </w:rPr>
              <w:t>2</w:t>
            </w:r>
            <w:r>
              <w:rPr>
                <w:rFonts w:ascii="Times New Roman" w:hAnsi="Times New Roman"/>
                <w:szCs w:val="21"/>
              </w:rPr>
              <w:t>颗粒物无组织排放标准限值。为减小无组织废气排放量，加强设备维护保养，所有机泵、管道、阀门、鹤管等连接部位、运转部分鹤静密封点部位都应连接牢固，做到严密、不渗、不漏、不跑气。</w:t>
            </w:r>
          </w:p>
        </w:tc>
        <w:tc>
          <w:tcPr>
            <w:tcW w:w="29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hint="eastAsia"/>
                <w:szCs w:val="21"/>
              </w:rPr>
              <w:t>3</w:t>
            </w:r>
            <w:r>
              <w:rPr>
                <w:rFonts w:ascii="Times New Roman" w:hAnsi="Times New Roman"/>
                <w:szCs w:val="21"/>
              </w:rPr>
              <w:t>×20 t/h</w:t>
            </w:r>
            <w:r>
              <w:rPr>
                <w:rFonts w:ascii="Times New Roman" w:hAnsi="Times New Roman"/>
                <w:szCs w:val="21"/>
              </w:rPr>
              <w:t>蒸汽锅炉烟气采用陶瓷多管除尘器</w:t>
            </w: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套）</w:t>
            </w:r>
            <w:r>
              <w:rPr>
                <w:rFonts w:ascii="Times New Roman" w:hAnsi="Times New Roman"/>
                <w:szCs w:val="21"/>
              </w:rPr>
              <w:t>+</w:t>
            </w:r>
            <w:r>
              <w:rPr>
                <w:rFonts w:ascii="Times New Roman" w:hAnsi="Times New Roman" w:hint="eastAsia"/>
                <w:szCs w:val="21"/>
              </w:rPr>
              <w:t>布袋除尘器（已安装</w:t>
            </w:r>
            <w:r>
              <w:rPr>
                <w:rFonts w:ascii="Times New Roman" w:hAnsi="Times New Roman" w:hint="eastAsia"/>
                <w:szCs w:val="21"/>
              </w:rPr>
              <w:t>2</w:t>
            </w:r>
            <w:r>
              <w:rPr>
                <w:rFonts w:ascii="Times New Roman" w:hAnsi="Times New Roman" w:hint="eastAsia"/>
                <w:szCs w:val="21"/>
              </w:rPr>
              <w:t>套）</w:t>
            </w:r>
            <w:r>
              <w:rPr>
                <w:rFonts w:ascii="Times New Roman" w:hAnsi="Times New Roman" w:hint="eastAsia"/>
                <w:szCs w:val="21"/>
              </w:rPr>
              <w:t>+</w:t>
            </w:r>
            <w:r>
              <w:rPr>
                <w:rFonts w:ascii="Times New Roman" w:hAnsi="Times New Roman"/>
                <w:szCs w:val="21"/>
              </w:rPr>
              <w:t>双碱法脱硫</w:t>
            </w: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套）</w:t>
            </w:r>
            <w:r>
              <w:rPr>
                <w:rFonts w:ascii="Times New Roman" w:hAnsi="Times New Roman"/>
                <w:szCs w:val="21"/>
              </w:rPr>
              <w:t>+SNCR</w:t>
            </w:r>
            <w:r>
              <w:rPr>
                <w:rFonts w:ascii="Times New Roman" w:hAnsi="Times New Roman"/>
                <w:szCs w:val="21"/>
              </w:rPr>
              <w:t>脱硝</w:t>
            </w: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套）</w:t>
            </w:r>
            <w:r>
              <w:rPr>
                <w:rFonts w:ascii="Times New Roman" w:hAnsi="Times New Roman"/>
                <w:szCs w:val="21"/>
              </w:rPr>
              <w:t>处理后通过</w:t>
            </w:r>
            <w:r>
              <w:rPr>
                <w:rFonts w:ascii="Times New Roman" w:hAnsi="Times New Roman"/>
                <w:szCs w:val="21"/>
              </w:rPr>
              <w:t>1</w:t>
            </w:r>
            <w:r>
              <w:rPr>
                <w:rFonts w:ascii="Times New Roman" w:hAnsi="Times New Roman"/>
                <w:szCs w:val="21"/>
              </w:rPr>
              <w:t>根</w:t>
            </w:r>
            <w:r>
              <w:rPr>
                <w:rFonts w:ascii="Times New Roman" w:hAnsi="Times New Roman"/>
                <w:szCs w:val="21"/>
              </w:rPr>
              <w:t>45m</w:t>
            </w:r>
            <w:r>
              <w:rPr>
                <w:rFonts w:ascii="Times New Roman" w:hAnsi="Times New Roman"/>
                <w:szCs w:val="21"/>
              </w:rPr>
              <w:t>烟囱排放，能达到《锅炉大气污染物排放标准》</w:t>
            </w:r>
            <w:r>
              <w:rPr>
                <w:rFonts w:ascii="Times New Roman" w:hAnsi="Times New Roman"/>
                <w:szCs w:val="21"/>
              </w:rPr>
              <w:t>(GB13271-2014)</w:t>
            </w:r>
            <w:r>
              <w:rPr>
                <w:rFonts w:ascii="Times New Roman" w:hAnsi="Times New Roman"/>
                <w:szCs w:val="21"/>
              </w:rPr>
              <w:t>中</w:t>
            </w:r>
            <w:r>
              <w:rPr>
                <w:rFonts w:ascii="Times New Roman" w:hAnsi="Times New Roman"/>
                <w:szCs w:val="21"/>
              </w:rPr>
              <w:t>“</w:t>
            </w:r>
            <w:r>
              <w:rPr>
                <w:rFonts w:ascii="Times New Roman" w:hAnsi="Times New Roman"/>
                <w:szCs w:val="21"/>
              </w:rPr>
              <w:t>表</w:t>
            </w:r>
            <w:r>
              <w:rPr>
                <w:rFonts w:ascii="Times New Roman" w:hAnsi="Times New Roman"/>
                <w:szCs w:val="21"/>
              </w:rPr>
              <w:t xml:space="preserve">1 </w:t>
            </w:r>
            <w:r>
              <w:rPr>
                <w:rFonts w:ascii="Times New Roman" w:hAnsi="Times New Roman"/>
                <w:szCs w:val="21"/>
              </w:rPr>
              <w:t>在用锅炉大气污染物排放浓度限值</w:t>
            </w:r>
            <w:r>
              <w:rPr>
                <w:rFonts w:ascii="Times New Roman" w:hAnsi="Times New Roman"/>
                <w:szCs w:val="21"/>
              </w:rPr>
              <w:t>”</w:t>
            </w:r>
            <w:r>
              <w:rPr>
                <w:rFonts w:ascii="Times New Roman" w:hAnsi="Times New Roman"/>
                <w:szCs w:val="21"/>
              </w:rPr>
              <w:t>的规定。</w:t>
            </w:r>
          </w:p>
          <w:p w:rsidR="00525419" w:rsidRDefault="00EE1CF7">
            <w:pPr>
              <w:spacing w:line="240" w:lineRule="atLeast"/>
              <w:rPr>
                <w:rFonts w:ascii="Times New Roman" w:hAnsi="Times New Roman"/>
              </w:rPr>
            </w:pPr>
            <w:r>
              <w:rPr>
                <w:rFonts w:ascii="Times New Roman" w:hAnsi="Times New Roman"/>
                <w:szCs w:val="21"/>
              </w:rPr>
              <w:t>储煤场、灰渣场目前采用防风抑尘网</w:t>
            </w:r>
            <w:r>
              <w:rPr>
                <w:rFonts w:ascii="Times New Roman" w:hAnsi="Times New Roman" w:hint="eastAsia"/>
                <w:szCs w:val="21"/>
              </w:rPr>
              <w:t>+</w:t>
            </w:r>
            <w:r>
              <w:rPr>
                <w:rFonts w:ascii="Times New Roman" w:hAnsi="Times New Roman" w:hint="eastAsia"/>
                <w:szCs w:val="21"/>
              </w:rPr>
              <w:t>定期洒水</w:t>
            </w:r>
            <w:r>
              <w:rPr>
                <w:rFonts w:ascii="Times New Roman" w:hAnsi="Times New Roman"/>
                <w:szCs w:val="21"/>
              </w:rPr>
              <w:t>，未落实封闭煤场、灰渣场。</w:t>
            </w:r>
          </w:p>
        </w:tc>
      </w:tr>
      <w:tr w:rsidR="00525419">
        <w:trPr>
          <w:trHeight w:val="420"/>
          <w:jc w:val="center"/>
        </w:trPr>
        <w:tc>
          <w:tcPr>
            <w:tcW w:w="816" w:type="dxa"/>
            <w:vMerge/>
            <w:tcBorders>
              <w:tl2br w:val="nil"/>
              <w:tr2bl w:val="nil"/>
            </w:tcBorders>
            <w:vAlign w:val="center"/>
          </w:tcPr>
          <w:p w:rsidR="00525419" w:rsidRDefault="00525419">
            <w:pPr>
              <w:spacing w:line="240" w:lineRule="atLeast"/>
              <w:rPr>
                <w:rFonts w:ascii="Times New Roman" w:hAnsi="Times New Roman"/>
                <w:szCs w:val="21"/>
              </w:rPr>
            </w:pPr>
          </w:p>
        </w:tc>
        <w:tc>
          <w:tcPr>
            <w:tcW w:w="48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本项目沥青储罐区的卫生防护距离应与整个厂区设置的卫生防护距离一致为</w:t>
            </w:r>
            <w:r>
              <w:rPr>
                <w:rFonts w:ascii="Times New Roman" w:hAnsi="Times New Roman"/>
                <w:szCs w:val="21"/>
              </w:rPr>
              <w:t>900m</w:t>
            </w:r>
            <w:r>
              <w:rPr>
                <w:rFonts w:ascii="Times New Roman" w:hAnsi="Times New Roman"/>
                <w:szCs w:val="21"/>
              </w:rPr>
              <w:t>。卫生防护距离范围内不得新建居住区、医院、学校等环境空气敏感目标。</w:t>
            </w:r>
          </w:p>
        </w:tc>
        <w:tc>
          <w:tcPr>
            <w:tcW w:w="2906" w:type="dxa"/>
            <w:tcBorders>
              <w:tl2br w:val="nil"/>
              <w:tr2bl w:val="nil"/>
            </w:tcBorders>
            <w:vAlign w:val="center"/>
          </w:tcPr>
          <w:p w:rsidR="00525419" w:rsidRDefault="00EE1CF7">
            <w:pPr>
              <w:spacing w:line="240" w:lineRule="atLeast"/>
              <w:ind w:firstLineChars="200" w:firstLine="420"/>
              <w:rPr>
                <w:rFonts w:ascii="Times New Roman" w:hAnsi="Times New Roman"/>
                <w:szCs w:val="21"/>
              </w:rPr>
            </w:pPr>
            <w:r>
              <w:rPr>
                <w:rFonts w:ascii="Times New Roman" w:hAnsi="Times New Roman"/>
                <w:szCs w:val="21"/>
              </w:rPr>
              <w:t>已经落实。</w:t>
            </w:r>
          </w:p>
        </w:tc>
      </w:tr>
      <w:tr w:rsidR="00525419">
        <w:trPr>
          <w:trHeight w:val="420"/>
          <w:jc w:val="center"/>
        </w:trPr>
        <w:tc>
          <w:tcPr>
            <w:tcW w:w="816" w:type="dxa"/>
            <w:vMerge/>
            <w:tcBorders>
              <w:tl2br w:val="nil"/>
              <w:tr2bl w:val="nil"/>
            </w:tcBorders>
            <w:vAlign w:val="center"/>
          </w:tcPr>
          <w:p w:rsidR="00525419" w:rsidRDefault="00525419">
            <w:pPr>
              <w:spacing w:line="240" w:lineRule="atLeast"/>
              <w:rPr>
                <w:rFonts w:ascii="Times New Roman" w:hAnsi="Times New Roman"/>
                <w:szCs w:val="21"/>
              </w:rPr>
            </w:pPr>
          </w:p>
        </w:tc>
        <w:tc>
          <w:tcPr>
            <w:tcW w:w="48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认真做好废水的污染治理工作。本项目废水主要为生活废水、</w:t>
            </w:r>
            <w:r>
              <w:rPr>
                <w:rFonts w:ascii="Times New Roman" w:hAnsi="Times New Roman"/>
                <w:szCs w:val="21"/>
              </w:rPr>
              <w:t>20t</w:t>
            </w:r>
            <w:r>
              <w:rPr>
                <w:rFonts w:ascii="Times New Roman" w:hAnsi="Times New Roman"/>
                <w:szCs w:val="21"/>
              </w:rPr>
              <w:t>蒸汽锅炉排水和导热油锅炉水除尘器排水。生活废水排入厂区内化粪池处理，最终由部善县火车站镇污水处理厂采用吸污车将废水运送至该污水处理厂处理。锅炉排水依托厂区现有回用水池处理，处理后的水循环利用，不外排；导热油锅炉水除尘器排水沉淀后可循环利用，不外排。</w:t>
            </w:r>
          </w:p>
        </w:tc>
        <w:tc>
          <w:tcPr>
            <w:tcW w:w="29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生活污水经污水处理站处理后用于循环冷却补水，其他均按照要求落实。</w:t>
            </w:r>
          </w:p>
        </w:tc>
      </w:tr>
      <w:tr w:rsidR="00525419">
        <w:trPr>
          <w:trHeight w:val="420"/>
          <w:jc w:val="center"/>
        </w:trPr>
        <w:tc>
          <w:tcPr>
            <w:tcW w:w="816" w:type="dxa"/>
            <w:vMerge/>
            <w:tcBorders>
              <w:tl2br w:val="nil"/>
              <w:tr2bl w:val="nil"/>
            </w:tcBorders>
            <w:vAlign w:val="center"/>
          </w:tcPr>
          <w:p w:rsidR="00525419" w:rsidRDefault="00525419">
            <w:pPr>
              <w:spacing w:line="240" w:lineRule="atLeast"/>
              <w:rPr>
                <w:rFonts w:ascii="Times New Roman" w:hAnsi="Times New Roman"/>
                <w:szCs w:val="21"/>
              </w:rPr>
            </w:pPr>
          </w:p>
        </w:tc>
        <w:tc>
          <w:tcPr>
            <w:tcW w:w="48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强化噪声污染防治措施。对高噪声设备采取密闭隔离、减震消音等措施，厂界噪声须满足《工业企业厂界环境噪声排放标准》（</w:t>
            </w:r>
            <w:r>
              <w:rPr>
                <w:rFonts w:ascii="Times New Roman" w:hAnsi="Times New Roman"/>
                <w:szCs w:val="21"/>
              </w:rPr>
              <w:t>GB12348-2008</w:t>
            </w:r>
            <w:r>
              <w:rPr>
                <w:rFonts w:ascii="Times New Roman" w:hAnsi="Times New Roman"/>
                <w:szCs w:val="21"/>
              </w:rPr>
              <w:t>）</w:t>
            </w:r>
            <w:r>
              <w:rPr>
                <w:rFonts w:ascii="Times New Roman" w:hAnsi="Times New Roman"/>
                <w:szCs w:val="21"/>
              </w:rPr>
              <w:t>3</w:t>
            </w:r>
            <w:r>
              <w:rPr>
                <w:rFonts w:ascii="Times New Roman" w:hAnsi="Times New Roman"/>
                <w:szCs w:val="21"/>
              </w:rPr>
              <w:t>类标准。</w:t>
            </w:r>
          </w:p>
        </w:tc>
        <w:tc>
          <w:tcPr>
            <w:tcW w:w="29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对高噪声源采取密闭隔离、减震消音措施后，厂界噪声达到《工业企业厂界环境噪声排放标准》（</w:t>
            </w:r>
            <w:r>
              <w:rPr>
                <w:rFonts w:ascii="Times New Roman" w:hAnsi="Times New Roman"/>
                <w:szCs w:val="21"/>
              </w:rPr>
              <w:t>GB12348-2008</w:t>
            </w:r>
            <w:r>
              <w:rPr>
                <w:rFonts w:ascii="Times New Roman" w:hAnsi="Times New Roman"/>
                <w:szCs w:val="21"/>
              </w:rPr>
              <w:t>）</w:t>
            </w:r>
            <w:r>
              <w:rPr>
                <w:rFonts w:ascii="Times New Roman" w:hAnsi="Times New Roman"/>
                <w:szCs w:val="21"/>
              </w:rPr>
              <w:t>3</w:t>
            </w:r>
            <w:r>
              <w:rPr>
                <w:rFonts w:ascii="Times New Roman" w:hAnsi="Times New Roman"/>
                <w:szCs w:val="21"/>
              </w:rPr>
              <w:t>类标准。</w:t>
            </w:r>
          </w:p>
        </w:tc>
      </w:tr>
      <w:tr w:rsidR="00525419">
        <w:trPr>
          <w:trHeight w:val="420"/>
          <w:jc w:val="center"/>
        </w:trPr>
        <w:tc>
          <w:tcPr>
            <w:tcW w:w="816" w:type="dxa"/>
            <w:vMerge/>
            <w:tcBorders>
              <w:tl2br w:val="nil"/>
              <w:tr2bl w:val="nil"/>
            </w:tcBorders>
            <w:vAlign w:val="center"/>
          </w:tcPr>
          <w:p w:rsidR="00525419" w:rsidRDefault="00525419">
            <w:pPr>
              <w:spacing w:line="240" w:lineRule="atLeast"/>
              <w:rPr>
                <w:rFonts w:ascii="Times New Roman" w:hAnsi="Times New Roman"/>
                <w:szCs w:val="21"/>
              </w:rPr>
            </w:pPr>
          </w:p>
        </w:tc>
        <w:tc>
          <w:tcPr>
            <w:tcW w:w="48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rPr>
              <w:t>做好固体废物分类处理工作。厂区按照《一般工业固体废物贮存、处置场污染控制标准》相关要求建设临时废物贮存场。严格落实项目固体废物的手机、处置及综合利用措施，严禁随意抛洒或混乱堆放。除尘器收集的除尘灰、灰渣外售给制砖厂综合利用，不外排；废导热油（</w:t>
            </w:r>
            <w:r>
              <w:rPr>
                <w:rFonts w:ascii="Times New Roman" w:hAnsi="Times New Roman"/>
              </w:rPr>
              <w:t>HWO8</w:t>
            </w:r>
            <w:r>
              <w:rPr>
                <w:rFonts w:ascii="Times New Roman" w:hAnsi="Times New Roman"/>
              </w:rPr>
              <w:t>废矿物油</w:t>
            </w:r>
            <w:r>
              <w:rPr>
                <w:rFonts w:ascii="Times New Roman" w:hAnsi="Times New Roman"/>
              </w:rPr>
              <w:t>)</w:t>
            </w:r>
            <w:r>
              <w:rPr>
                <w:rFonts w:ascii="Times New Roman" w:hAnsi="Times New Roman"/>
              </w:rPr>
              <w:t>属于</w:t>
            </w:r>
            <w:r>
              <w:rPr>
                <w:rFonts w:ascii="Times New Roman" w:hAnsi="Times New Roman"/>
              </w:rPr>
              <w:lastRenderedPageBreak/>
              <w:t>危险废物，需委托有资质单位处置。本项目建成后产生的危险固体废物要严格执行环发</w:t>
            </w:r>
            <w:r>
              <w:rPr>
                <w:rFonts w:ascii="Times New Roman" w:hAnsi="Times New Roman"/>
              </w:rPr>
              <w:t>[2001]199</w:t>
            </w:r>
            <w:r>
              <w:rPr>
                <w:rFonts w:ascii="Times New Roman" w:hAnsi="Times New Roman"/>
              </w:rPr>
              <w:t>号《危险废物污染防治技术政策》和国家环境保护总局令</w:t>
            </w:r>
            <w:r>
              <w:rPr>
                <w:rFonts w:ascii="Times New Roman" w:hAnsi="Times New Roman"/>
              </w:rPr>
              <w:t>1999</w:t>
            </w:r>
            <w:r>
              <w:rPr>
                <w:rFonts w:ascii="Times New Roman" w:hAnsi="Times New Roman"/>
              </w:rPr>
              <w:t>年第</w:t>
            </w:r>
            <w:r>
              <w:rPr>
                <w:rFonts w:ascii="Times New Roman" w:hAnsi="Times New Roman"/>
              </w:rPr>
              <w:t>5</w:t>
            </w:r>
            <w:r>
              <w:rPr>
                <w:rFonts w:ascii="Times New Roman" w:hAnsi="Times New Roman"/>
              </w:rPr>
              <w:t>号《危险废物转移联单管理办法》。生活垃圾集中收集后清运至垃圾填埋场。</w:t>
            </w:r>
          </w:p>
        </w:tc>
        <w:tc>
          <w:tcPr>
            <w:tcW w:w="29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lastRenderedPageBreak/>
              <w:t>按要求进行了落实。</w:t>
            </w:r>
          </w:p>
        </w:tc>
      </w:tr>
      <w:tr w:rsidR="00525419">
        <w:trPr>
          <w:trHeight w:val="420"/>
          <w:jc w:val="center"/>
        </w:trPr>
        <w:tc>
          <w:tcPr>
            <w:tcW w:w="816" w:type="dxa"/>
            <w:vMerge w:val="restart"/>
            <w:tcBorders>
              <w:tl2br w:val="nil"/>
              <w:tr2bl w:val="nil"/>
            </w:tcBorders>
            <w:vAlign w:val="center"/>
          </w:tcPr>
          <w:p w:rsidR="00525419" w:rsidRDefault="00525419">
            <w:pPr>
              <w:spacing w:line="240" w:lineRule="atLeast"/>
              <w:rPr>
                <w:rFonts w:ascii="Times New Roman" w:hAnsi="Times New Roman"/>
                <w:szCs w:val="21"/>
              </w:rPr>
            </w:pPr>
          </w:p>
        </w:tc>
        <w:tc>
          <w:tcPr>
            <w:tcW w:w="4806" w:type="dxa"/>
            <w:tcBorders>
              <w:tl2br w:val="nil"/>
              <w:tr2bl w:val="nil"/>
            </w:tcBorders>
            <w:vAlign w:val="center"/>
          </w:tcPr>
          <w:p w:rsidR="00525419" w:rsidRDefault="00EE1CF7">
            <w:pPr>
              <w:spacing w:line="240" w:lineRule="atLeast"/>
              <w:rPr>
                <w:rFonts w:ascii="Times New Roman" w:hAnsi="Times New Roman"/>
              </w:rPr>
            </w:pPr>
            <w:r>
              <w:rPr>
                <w:rFonts w:ascii="Times New Roman" w:hAnsi="Times New Roman"/>
              </w:rPr>
              <w:t>根据本项目污染特征，项目正常运行期间，大气污染源主要为锅炉烟气排放，二氧化硫、氮氧化物分别不得超过</w:t>
            </w:r>
            <w:r>
              <w:rPr>
                <w:rFonts w:ascii="Times New Roman" w:hAnsi="Times New Roman"/>
              </w:rPr>
              <w:t>22.2t/a</w:t>
            </w:r>
            <w:r>
              <w:rPr>
                <w:rFonts w:ascii="Times New Roman" w:hAnsi="Times New Roman"/>
              </w:rPr>
              <w:t>、</w:t>
            </w:r>
            <w:r>
              <w:rPr>
                <w:rFonts w:ascii="Times New Roman" w:hAnsi="Times New Roman"/>
              </w:rPr>
              <w:t>77.3t/a</w:t>
            </w:r>
            <w:r>
              <w:rPr>
                <w:rFonts w:ascii="Times New Roman" w:hAnsi="Times New Roman"/>
              </w:rPr>
              <w:t>。项目运行前必须取得项目所需二氧化硫、氮氧化物排污权，并按照控制污染物排放许可制相关要求取得排污许可证后，方可投入生产。</w:t>
            </w:r>
          </w:p>
        </w:tc>
        <w:tc>
          <w:tcPr>
            <w:tcW w:w="29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按要求进行了落实。</w:t>
            </w:r>
          </w:p>
        </w:tc>
      </w:tr>
      <w:tr w:rsidR="00525419">
        <w:trPr>
          <w:trHeight w:val="420"/>
          <w:jc w:val="center"/>
        </w:trPr>
        <w:tc>
          <w:tcPr>
            <w:tcW w:w="816" w:type="dxa"/>
            <w:vMerge/>
            <w:tcBorders>
              <w:tl2br w:val="nil"/>
              <w:tr2bl w:val="nil"/>
            </w:tcBorders>
            <w:vAlign w:val="center"/>
          </w:tcPr>
          <w:p w:rsidR="00525419" w:rsidRDefault="00525419">
            <w:pPr>
              <w:spacing w:line="240" w:lineRule="atLeast"/>
              <w:rPr>
                <w:rFonts w:ascii="Times New Roman" w:hAnsi="Times New Roman"/>
                <w:szCs w:val="21"/>
              </w:rPr>
            </w:pPr>
          </w:p>
        </w:tc>
        <w:tc>
          <w:tcPr>
            <w:tcW w:w="4806" w:type="dxa"/>
            <w:tcBorders>
              <w:tl2br w:val="nil"/>
              <w:tr2bl w:val="nil"/>
            </w:tcBorders>
            <w:vAlign w:val="center"/>
          </w:tcPr>
          <w:p w:rsidR="00525419" w:rsidRDefault="00EE1CF7">
            <w:pPr>
              <w:spacing w:line="240" w:lineRule="atLeast"/>
              <w:rPr>
                <w:rFonts w:ascii="Times New Roman" w:hAnsi="Times New Roman"/>
              </w:rPr>
            </w:pPr>
            <w:r>
              <w:rPr>
                <w:rFonts w:ascii="Times New Roman" w:hAnsi="Times New Roman"/>
              </w:rPr>
              <w:t>强化环境风险防范和应急措施。制订完善的环保规章制度，并按照《突发环境事件应急预案管理暂行办法》（环发</w:t>
            </w:r>
            <w:r>
              <w:rPr>
                <w:rFonts w:ascii="Times New Roman" w:hAnsi="Times New Roman"/>
              </w:rPr>
              <w:t>2010</w:t>
            </w:r>
            <w:r>
              <w:rPr>
                <w:rFonts w:ascii="Times New Roman" w:hAnsi="Times New Roman"/>
              </w:rPr>
              <w:t>〕</w:t>
            </w:r>
            <w:r>
              <w:rPr>
                <w:rFonts w:ascii="Times New Roman" w:hAnsi="Times New Roman"/>
              </w:rPr>
              <w:t>113</w:t>
            </w:r>
            <w:r>
              <w:rPr>
                <w:rFonts w:ascii="Times New Roman" w:hAnsi="Times New Roman"/>
              </w:rPr>
              <w:t>号）要求做好环境应急预案的编制、评估和备案等工作。严格操作规程，做好运行记录，定期检修生产设备和各项环保设施，发现隐患及时处理，杜绝盲目生产造成非正常工况或泄漏等事故对环境产生影响。</w:t>
            </w:r>
          </w:p>
        </w:tc>
        <w:tc>
          <w:tcPr>
            <w:tcW w:w="29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按要求进行了落实。</w:t>
            </w:r>
          </w:p>
        </w:tc>
      </w:tr>
    </w:tbl>
    <w:p w:rsidR="00525419" w:rsidRDefault="00525419">
      <w:pPr>
        <w:spacing w:line="360" w:lineRule="auto"/>
        <w:ind w:firstLineChars="200" w:firstLine="480"/>
        <w:rPr>
          <w:rFonts w:ascii="Times New Roman" w:hAnsi="Times New Roman"/>
          <w:sz w:val="24"/>
          <w:szCs w:val="24"/>
        </w:rPr>
      </w:pPr>
    </w:p>
    <w:p w:rsidR="00525419" w:rsidRDefault="00EE1CF7">
      <w:pPr>
        <w:tabs>
          <w:tab w:val="left" w:pos="3040"/>
        </w:tabs>
        <w:autoSpaceDE w:val="0"/>
        <w:autoSpaceDN w:val="0"/>
        <w:adjustRightInd w:val="0"/>
        <w:spacing w:line="287" w:lineRule="exact"/>
        <w:ind w:right="-20" w:firstLineChars="700" w:firstLine="1470"/>
        <w:jc w:val="left"/>
        <w:rPr>
          <w:rFonts w:ascii="Times New Roman" w:eastAsia="黑体" w:hAnsi="Times New Roman"/>
          <w:kern w:val="0"/>
          <w:position w:val="-1"/>
          <w:szCs w:val="21"/>
          <w:lang w:val="zh-CN"/>
        </w:rPr>
      </w:pPr>
      <w:r>
        <w:rPr>
          <w:rFonts w:ascii="Times New Roman" w:eastAsia="黑体" w:hAnsi="Times New Roman"/>
          <w:kern w:val="0"/>
          <w:position w:val="-1"/>
          <w:szCs w:val="21"/>
          <w:lang w:val="zh-CN"/>
        </w:rPr>
        <w:t>表</w:t>
      </w:r>
      <w:r>
        <w:rPr>
          <w:rFonts w:ascii="Times New Roman" w:eastAsia="黑体" w:hAnsi="Times New Roman"/>
          <w:b/>
          <w:bCs/>
          <w:spacing w:val="-2"/>
          <w:kern w:val="0"/>
          <w:position w:val="-1"/>
          <w:szCs w:val="21"/>
        </w:rPr>
        <w:t xml:space="preserve">3.2-9  </w:t>
      </w:r>
      <w:r>
        <w:rPr>
          <w:rFonts w:ascii="Times New Roman" w:eastAsia="黑体" w:hAnsi="Times New Roman"/>
          <w:kern w:val="0"/>
          <w:position w:val="-1"/>
          <w:szCs w:val="21"/>
          <w:lang w:val="zh-CN"/>
        </w:rPr>
        <w:t>企业竣工环保</w:t>
      </w:r>
      <w:r>
        <w:rPr>
          <w:rFonts w:ascii="Times New Roman" w:eastAsia="黑体" w:hAnsi="Times New Roman"/>
          <w:spacing w:val="-2"/>
          <w:kern w:val="0"/>
          <w:position w:val="-1"/>
          <w:szCs w:val="21"/>
          <w:lang w:val="zh-CN"/>
        </w:rPr>
        <w:t>验</w:t>
      </w:r>
      <w:r>
        <w:rPr>
          <w:rFonts w:ascii="Times New Roman" w:eastAsia="黑体" w:hAnsi="Times New Roman"/>
          <w:kern w:val="0"/>
          <w:position w:val="-1"/>
          <w:szCs w:val="21"/>
          <w:lang w:val="zh-CN"/>
        </w:rPr>
        <w:t>收意见落实情况一</w:t>
      </w:r>
      <w:r>
        <w:rPr>
          <w:rFonts w:ascii="Times New Roman" w:eastAsia="黑体" w:hAnsi="Times New Roman"/>
          <w:spacing w:val="-2"/>
          <w:kern w:val="0"/>
          <w:position w:val="-1"/>
          <w:szCs w:val="21"/>
          <w:lang w:val="zh-CN"/>
        </w:rPr>
        <w:t>览</w:t>
      </w:r>
      <w:r>
        <w:rPr>
          <w:rFonts w:ascii="Times New Roman" w:eastAsia="黑体" w:hAnsi="Times New Roman"/>
          <w:kern w:val="0"/>
          <w:position w:val="-1"/>
          <w:szCs w:val="21"/>
          <w:lang w:val="zh-CN"/>
        </w:rPr>
        <w:t>表</w:t>
      </w:r>
    </w:p>
    <w:tbl>
      <w:tblPr>
        <w:tblW w:w="8339"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58"/>
        <w:gridCol w:w="3509"/>
        <w:gridCol w:w="3472"/>
      </w:tblGrid>
      <w:tr w:rsidR="00525419">
        <w:trPr>
          <w:trHeight w:hRule="exact" w:val="563"/>
          <w:jc w:val="center"/>
        </w:trPr>
        <w:tc>
          <w:tcPr>
            <w:tcW w:w="1358"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kern w:val="0"/>
                <w:szCs w:val="21"/>
              </w:rPr>
            </w:pPr>
            <w:r>
              <w:rPr>
                <w:rFonts w:ascii="Times New Roman" w:hAnsi="Times New Roman"/>
                <w:kern w:val="0"/>
                <w:szCs w:val="21"/>
                <w:lang w:val="zh-CN"/>
              </w:rPr>
              <w:t>建设</w:t>
            </w:r>
            <w:r>
              <w:rPr>
                <w:rFonts w:ascii="Times New Roman" w:hAnsi="Times New Roman"/>
                <w:spacing w:val="-2"/>
                <w:kern w:val="0"/>
                <w:szCs w:val="21"/>
                <w:lang w:val="zh-CN"/>
              </w:rPr>
              <w:t>项</w:t>
            </w:r>
            <w:r>
              <w:rPr>
                <w:rFonts w:ascii="Times New Roman" w:hAnsi="Times New Roman"/>
                <w:kern w:val="0"/>
                <w:szCs w:val="21"/>
                <w:lang w:val="zh-CN"/>
              </w:rPr>
              <w:t>目</w:t>
            </w:r>
            <w:r>
              <w:rPr>
                <w:rFonts w:ascii="Times New Roman" w:hAnsi="Times New Roman"/>
                <w:spacing w:val="-2"/>
                <w:kern w:val="0"/>
                <w:szCs w:val="21"/>
                <w:lang w:val="zh-CN"/>
              </w:rPr>
              <w:t>名</w:t>
            </w:r>
            <w:r>
              <w:rPr>
                <w:rFonts w:ascii="Times New Roman" w:hAnsi="Times New Roman"/>
                <w:kern w:val="0"/>
                <w:szCs w:val="21"/>
                <w:lang w:val="zh-CN"/>
              </w:rPr>
              <w:t>称</w:t>
            </w:r>
          </w:p>
        </w:tc>
        <w:tc>
          <w:tcPr>
            <w:tcW w:w="3509"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kern w:val="0"/>
                <w:szCs w:val="21"/>
                <w:lang w:val="zh-CN"/>
              </w:rPr>
            </w:pPr>
            <w:r>
              <w:rPr>
                <w:rFonts w:ascii="Times New Roman" w:hAnsi="Times New Roman"/>
                <w:kern w:val="0"/>
                <w:position w:val="-2"/>
                <w:szCs w:val="21"/>
                <w:lang w:val="zh-CN"/>
              </w:rPr>
              <w:t>竣工</w:t>
            </w:r>
            <w:r>
              <w:rPr>
                <w:rFonts w:ascii="Times New Roman" w:hAnsi="Times New Roman"/>
                <w:spacing w:val="-2"/>
                <w:kern w:val="0"/>
                <w:position w:val="-2"/>
                <w:szCs w:val="21"/>
                <w:lang w:val="zh-CN"/>
              </w:rPr>
              <w:t>环</w:t>
            </w:r>
            <w:r>
              <w:rPr>
                <w:rFonts w:ascii="Times New Roman" w:hAnsi="Times New Roman"/>
                <w:kern w:val="0"/>
                <w:position w:val="-2"/>
                <w:szCs w:val="21"/>
                <w:lang w:val="zh-CN"/>
              </w:rPr>
              <w:t>保</w:t>
            </w:r>
            <w:r>
              <w:rPr>
                <w:rFonts w:ascii="Times New Roman" w:hAnsi="Times New Roman"/>
                <w:spacing w:val="-2"/>
                <w:kern w:val="0"/>
                <w:position w:val="-2"/>
                <w:szCs w:val="21"/>
                <w:lang w:val="zh-CN"/>
              </w:rPr>
              <w:t>验</w:t>
            </w:r>
            <w:r>
              <w:rPr>
                <w:rFonts w:ascii="Times New Roman" w:hAnsi="Times New Roman"/>
                <w:kern w:val="0"/>
                <w:position w:val="-2"/>
                <w:szCs w:val="21"/>
                <w:lang w:val="zh-CN"/>
              </w:rPr>
              <w:t>收</w:t>
            </w:r>
            <w:r>
              <w:rPr>
                <w:rFonts w:ascii="Times New Roman" w:hAnsi="Times New Roman"/>
                <w:spacing w:val="-2"/>
                <w:kern w:val="0"/>
                <w:position w:val="-2"/>
                <w:szCs w:val="21"/>
                <w:lang w:val="zh-CN"/>
              </w:rPr>
              <w:t>意</w:t>
            </w:r>
            <w:r>
              <w:rPr>
                <w:rFonts w:ascii="Times New Roman" w:hAnsi="Times New Roman"/>
                <w:kern w:val="0"/>
                <w:position w:val="-2"/>
                <w:szCs w:val="21"/>
                <w:lang w:val="zh-CN"/>
              </w:rPr>
              <w:t>见</w:t>
            </w:r>
            <w:r>
              <w:rPr>
                <w:rFonts w:ascii="Times New Roman" w:hAnsi="Times New Roman"/>
                <w:spacing w:val="-2"/>
                <w:kern w:val="0"/>
                <w:position w:val="-2"/>
                <w:szCs w:val="21"/>
                <w:lang w:val="zh-CN"/>
              </w:rPr>
              <w:t>提</w:t>
            </w:r>
            <w:r>
              <w:rPr>
                <w:rFonts w:ascii="Times New Roman" w:hAnsi="Times New Roman"/>
                <w:kern w:val="0"/>
                <w:position w:val="-2"/>
                <w:szCs w:val="21"/>
                <w:lang w:val="zh-CN"/>
              </w:rPr>
              <w:t>出</w:t>
            </w:r>
            <w:r>
              <w:rPr>
                <w:rFonts w:ascii="Times New Roman" w:hAnsi="Times New Roman"/>
                <w:spacing w:val="-2"/>
                <w:kern w:val="0"/>
                <w:position w:val="-2"/>
                <w:szCs w:val="21"/>
                <w:lang w:val="zh-CN"/>
              </w:rPr>
              <w:t>的</w:t>
            </w:r>
            <w:r>
              <w:rPr>
                <w:rFonts w:ascii="Times New Roman" w:hAnsi="Times New Roman"/>
                <w:kern w:val="0"/>
                <w:position w:val="-2"/>
                <w:szCs w:val="21"/>
                <w:lang w:val="zh-CN"/>
              </w:rPr>
              <w:t>环保要求</w:t>
            </w:r>
          </w:p>
        </w:tc>
        <w:tc>
          <w:tcPr>
            <w:tcW w:w="3472"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kern w:val="0"/>
                <w:szCs w:val="21"/>
              </w:rPr>
            </w:pPr>
            <w:r>
              <w:rPr>
                <w:rFonts w:ascii="Times New Roman" w:hAnsi="Times New Roman"/>
                <w:kern w:val="0"/>
                <w:szCs w:val="21"/>
                <w:lang w:val="zh-CN"/>
              </w:rPr>
              <w:t>实际</w:t>
            </w:r>
            <w:r>
              <w:rPr>
                <w:rFonts w:ascii="Times New Roman" w:hAnsi="Times New Roman"/>
                <w:spacing w:val="-2"/>
                <w:kern w:val="0"/>
                <w:szCs w:val="21"/>
                <w:lang w:val="zh-CN"/>
              </w:rPr>
              <w:t>落</w:t>
            </w:r>
            <w:r>
              <w:rPr>
                <w:rFonts w:ascii="Times New Roman" w:hAnsi="Times New Roman"/>
                <w:kern w:val="0"/>
                <w:szCs w:val="21"/>
                <w:lang w:val="zh-CN"/>
              </w:rPr>
              <w:t>实</w:t>
            </w:r>
            <w:r>
              <w:rPr>
                <w:rFonts w:ascii="Times New Roman" w:hAnsi="Times New Roman"/>
                <w:spacing w:val="-2"/>
                <w:kern w:val="0"/>
                <w:szCs w:val="21"/>
                <w:lang w:val="zh-CN"/>
              </w:rPr>
              <w:t>情</w:t>
            </w:r>
            <w:r>
              <w:rPr>
                <w:rFonts w:ascii="Times New Roman" w:hAnsi="Times New Roman"/>
                <w:kern w:val="0"/>
                <w:szCs w:val="21"/>
                <w:lang w:val="zh-CN"/>
              </w:rPr>
              <w:t>况</w:t>
            </w:r>
          </w:p>
        </w:tc>
      </w:tr>
      <w:tr w:rsidR="00525419">
        <w:trPr>
          <w:trHeight w:hRule="exact" w:val="1256"/>
          <w:jc w:val="center"/>
        </w:trPr>
        <w:tc>
          <w:tcPr>
            <w:tcW w:w="1358" w:type="dxa"/>
            <w:vMerge w:val="restart"/>
            <w:tcBorders>
              <w:tl2br w:val="nil"/>
              <w:tr2bl w:val="nil"/>
            </w:tcBorders>
            <w:vAlign w:val="center"/>
          </w:tcPr>
          <w:p w:rsidR="00525419" w:rsidRDefault="00EE1CF7">
            <w:pPr>
              <w:autoSpaceDE w:val="0"/>
              <w:autoSpaceDN w:val="0"/>
              <w:adjustRightInd w:val="0"/>
              <w:spacing w:line="240" w:lineRule="atLeast"/>
              <w:rPr>
                <w:rFonts w:ascii="Times New Roman" w:hAnsi="Times New Roman"/>
                <w:kern w:val="0"/>
                <w:szCs w:val="21"/>
                <w:lang w:val="zh-CN"/>
              </w:rPr>
            </w:pPr>
            <w:r>
              <w:rPr>
                <w:rFonts w:ascii="Times New Roman" w:hAnsi="Times New Roman"/>
                <w:szCs w:val="21"/>
              </w:rPr>
              <w:t>50</w:t>
            </w:r>
            <w:r>
              <w:rPr>
                <w:rFonts w:ascii="Times New Roman" w:hAnsi="Times New Roman"/>
                <w:szCs w:val="21"/>
              </w:rPr>
              <w:t>万吨年高等级道路沥青及改性沥青项目一期工程（</w:t>
            </w:r>
            <w:r>
              <w:rPr>
                <w:rFonts w:ascii="Times New Roman" w:hAnsi="Times New Roman"/>
                <w:szCs w:val="21"/>
              </w:rPr>
              <w:t>20</w:t>
            </w:r>
            <w:r>
              <w:rPr>
                <w:rFonts w:ascii="Times New Roman" w:hAnsi="Times New Roman"/>
                <w:szCs w:val="21"/>
              </w:rPr>
              <w:t>万吨</w:t>
            </w:r>
            <w:r>
              <w:rPr>
                <w:rFonts w:ascii="Times New Roman" w:hAnsi="Times New Roman"/>
                <w:szCs w:val="21"/>
              </w:rPr>
              <w:t>/</w:t>
            </w:r>
            <w:r>
              <w:rPr>
                <w:rFonts w:ascii="Times New Roman" w:hAnsi="Times New Roman"/>
                <w:szCs w:val="21"/>
              </w:rPr>
              <w:t>年）</w:t>
            </w:r>
          </w:p>
        </w:tc>
        <w:tc>
          <w:tcPr>
            <w:tcW w:w="3509"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kern w:val="0"/>
                <w:szCs w:val="21"/>
                <w:lang w:val="zh-CN"/>
              </w:rPr>
            </w:pPr>
            <w:r>
              <w:rPr>
                <w:rFonts w:ascii="Times New Roman" w:hAnsi="Times New Roman"/>
                <w:spacing w:val="7"/>
                <w:kern w:val="0"/>
                <w:position w:val="-1"/>
                <w:szCs w:val="21"/>
                <w:lang w:val="zh-CN"/>
              </w:rPr>
              <w:t>加强对焚烧炉及工业锅炉烟气处理等环保设施的运行维护，确保各类污染物达标排放。</w:t>
            </w:r>
          </w:p>
        </w:tc>
        <w:tc>
          <w:tcPr>
            <w:tcW w:w="3472"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kern w:val="0"/>
                <w:szCs w:val="21"/>
                <w:lang w:val="zh-CN"/>
              </w:rPr>
            </w:pPr>
            <w:r>
              <w:rPr>
                <w:rFonts w:ascii="Times New Roman" w:hAnsi="Times New Roman"/>
                <w:spacing w:val="3"/>
                <w:kern w:val="0"/>
                <w:position w:val="-1"/>
                <w:szCs w:val="21"/>
                <w:lang w:val="zh-CN"/>
              </w:rPr>
              <w:t>公司制定了各项</w:t>
            </w:r>
            <w:r>
              <w:rPr>
                <w:rFonts w:ascii="Times New Roman" w:hAnsi="Times New Roman"/>
                <w:kern w:val="0"/>
                <w:position w:val="-1"/>
                <w:szCs w:val="21"/>
                <w:lang w:val="zh-CN"/>
              </w:rPr>
              <w:t>环保</w:t>
            </w:r>
            <w:r>
              <w:rPr>
                <w:rFonts w:ascii="Times New Roman" w:hAnsi="Times New Roman"/>
                <w:spacing w:val="3"/>
                <w:kern w:val="0"/>
                <w:position w:val="-1"/>
                <w:szCs w:val="21"/>
                <w:lang w:val="zh-CN"/>
              </w:rPr>
              <w:t>规</w:t>
            </w:r>
            <w:r>
              <w:rPr>
                <w:rFonts w:ascii="Times New Roman" w:hAnsi="Times New Roman"/>
                <w:kern w:val="0"/>
                <w:position w:val="-1"/>
                <w:szCs w:val="21"/>
                <w:lang w:val="zh-CN"/>
              </w:rPr>
              <w:t>章</w:t>
            </w:r>
            <w:r>
              <w:rPr>
                <w:rFonts w:ascii="Times New Roman" w:hAnsi="Times New Roman"/>
                <w:kern w:val="0"/>
                <w:szCs w:val="21"/>
                <w:lang w:val="zh-CN"/>
              </w:rPr>
              <w:t>制</w:t>
            </w:r>
            <w:r>
              <w:rPr>
                <w:rFonts w:ascii="Times New Roman" w:hAnsi="Times New Roman"/>
                <w:spacing w:val="-2"/>
                <w:kern w:val="0"/>
                <w:szCs w:val="21"/>
                <w:lang w:val="zh-CN"/>
              </w:rPr>
              <w:t>度</w:t>
            </w:r>
            <w:r>
              <w:rPr>
                <w:rFonts w:ascii="Times New Roman" w:hAnsi="Times New Roman"/>
                <w:spacing w:val="-62"/>
                <w:kern w:val="0"/>
                <w:szCs w:val="21"/>
                <w:lang w:val="zh-CN"/>
              </w:rPr>
              <w:t>，</w:t>
            </w:r>
            <w:r>
              <w:rPr>
                <w:rFonts w:ascii="Times New Roman" w:hAnsi="Times New Roman"/>
                <w:spacing w:val="-2"/>
                <w:kern w:val="0"/>
                <w:szCs w:val="21"/>
                <w:lang w:val="zh-CN"/>
              </w:rPr>
              <w:t>对锅炉烟气处理设施和</w:t>
            </w:r>
            <w:r>
              <w:rPr>
                <w:rFonts w:ascii="Times New Roman" w:hAnsi="Times New Roman"/>
                <w:kern w:val="0"/>
                <w:szCs w:val="21"/>
                <w:lang w:val="zh-CN"/>
              </w:rPr>
              <w:t>污</w:t>
            </w:r>
            <w:r>
              <w:rPr>
                <w:rFonts w:ascii="Times New Roman" w:hAnsi="Times New Roman"/>
                <w:spacing w:val="-2"/>
                <w:kern w:val="0"/>
                <w:szCs w:val="21"/>
                <w:lang w:val="zh-CN"/>
              </w:rPr>
              <w:t>水</w:t>
            </w:r>
            <w:r>
              <w:rPr>
                <w:rFonts w:ascii="Times New Roman" w:hAnsi="Times New Roman"/>
                <w:kern w:val="0"/>
                <w:szCs w:val="21"/>
                <w:lang w:val="zh-CN"/>
              </w:rPr>
              <w:t>处</w:t>
            </w:r>
            <w:r>
              <w:rPr>
                <w:rFonts w:ascii="Times New Roman" w:hAnsi="Times New Roman"/>
                <w:spacing w:val="-2"/>
                <w:kern w:val="0"/>
                <w:szCs w:val="21"/>
                <w:lang w:val="zh-CN"/>
              </w:rPr>
              <w:t>理</w:t>
            </w:r>
            <w:r>
              <w:rPr>
                <w:rFonts w:ascii="Times New Roman" w:hAnsi="Times New Roman"/>
                <w:kern w:val="0"/>
                <w:szCs w:val="21"/>
                <w:lang w:val="zh-CN"/>
              </w:rPr>
              <w:t>设</w:t>
            </w:r>
            <w:r>
              <w:rPr>
                <w:rFonts w:ascii="Times New Roman" w:hAnsi="Times New Roman"/>
                <w:spacing w:val="-2"/>
                <w:kern w:val="0"/>
                <w:szCs w:val="21"/>
                <w:lang w:val="zh-CN"/>
              </w:rPr>
              <w:t>施制</w:t>
            </w:r>
            <w:r>
              <w:rPr>
                <w:rFonts w:ascii="Times New Roman" w:hAnsi="Times New Roman"/>
                <w:kern w:val="0"/>
                <w:szCs w:val="21"/>
                <w:lang w:val="zh-CN"/>
              </w:rPr>
              <w:t>定了操</w:t>
            </w:r>
            <w:r>
              <w:rPr>
                <w:rFonts w:ascii="Times New Roman" w:hAnsi="Times New Roman"/>
                <w:spacing w:val="12"/>
                <w:kern w:val="0"/>
                <w:szCs w:val="21"/>
                <w:lang w:val="zh-CN"/>
              </w:rPr>
              <w:t>作规</w:t>
            </w:r>
            <w:r>
              <w:rPr>
                <w:rFonts w:ascii="Times New Roman" w:hAnsi="Times New Roman"/>
                <w:spacing w:val="10"/>
                <w:kern w:val="0"/>
                <w:szCs w:val="21"/>
                <w:lang w:val="zh-CN"/>
              </w:rPr>
              <w:t>程</w:t>
            </w:r>
            <w:r>
              <w:rPr>
                <w:rFonts w:ascii="Times New Roman" w:hAnsi="Times New Roman"/>
                <w:spacing w:val="12"/>
                <w:kern w:val="0"/>
                <w:szCs w:val="21"/>
                <w:lang w:val="zh-CN"/>
              </w:rPr>
              <w:t>，设</w:t>
            </w:r>
            <w:r>
              <w:rPr>
                <w:rFonts w:ascii="Times New Roman" w:hAnsi="Times New Roman"/>
                <w:spacing w:val="10"/>
                <w:kern w:val="0"/>
                <w:szCs w:val="21"/>
                <w:lang w:val="zh-CN"/>
              </w:rPr>
              <w:t>置</w:t>
            </w:r>
            <w:r>
              <w:rPr>
                <w:rFonts w:ascii="Times New Roman" w:hAnsi="Times New Roman"/>
                <w:spacing w:val="12"/>
                <w:kern w:val="0"/>
                <w:szCs w:val="21"/>
                <w:lang w:val="zh-CN"/>
              </w:rPr>
              <w:t>专人</w:t>
            </w:r>
            <w:r>
              <w:rPr>
                <w:rFonts w:ascii="Times New Roman" w:hAnsi="Times New Roman"/>
                <w:spacing w:val="10"/>
                <w:kern w:val="0"/>
                <w:szCs w:val="21"/>
                <w:lang w:val="zh-CN"/>
              </w:rPr>
              <w:t>进</w:t>
            </w:r>
            <w:r>
              <w:rPr>
                <w:rFonts w:ascii="Times New Roman" w:hAnsi="Times New Roman"/>
                <w:spacing w:val="12"/>
                <w:kern w:val="0"/>
                <w:szCs w:val="21"/>
                <w:lang w:val="zh-CN"/>
              </w:rPr>
              <w:t>行</w:t>
            </w:r>
            <w:r>
              <w:rPr>
                <w:rFonts w:ascii="Times New Roman" w:hAnsi="Times New Roman"/>
                <w:spacing w:val="10"/>
                <w:kern w:val="0"/>
                <w:szCs w:val="21"/>
                <w:lang w:val="zh-CN"/>
              </w:rPr>
              <w:t>维</w:t>
            </w:r>
            <w:r>
              <w:rPr>
                <w:rFonts w:ascii="Times New Roman" w:hAnsi="Times New Roman"/>
                <w:spacing w:val="12"/>
                <w:kern w:val="0"/>
                <w:szCs w:val="21"/>
                <w:lang w:val="zh-CN"/>
              </w:rPr>
              <w:t>护</w:t>
            </w:r>
            <w:r>
              <w:rPr>
                <w:rFonts w:ascii="Times New Roman" w:hAnsi="Times New Roman"/>
                <w:kern w:val="0"/>
                <w:szCs w:val="21"/>
                <w:lang w:val="zh-CN"/>
              </w:rPr>
              <w:t>管</w:t>
            </w:r>
            <w:r>
              <w:rPr>
                <w:rFonts w:ascii="Times New Roman" w:hAnsi="Times New Roman"/>
                <w:kern w:val="0"/>
                <w:position w:val="-2"/>
                <w:szCs w:val="21"/>
                <w:lang w:val="zh-CN"/>
              </w:rPr>
              <w:t>理，</w:t>
            </w:r>
            <w:r>
              <w:rPr>
                <w:rFonts w:ascii="Times New Roman" w:hAnsi="Times New Roman"/>
                <w:spacing w:val="-2"/>
                <w:kern w:val="0"/>
                <w:position w:val="-2"/>
                <w:szCs w:val="21"/>
                <w:lang w:val="zh-CN"/>
              </w:rPr>
              <w:t>污</w:t>
            </w:r>
            <w:r>
              <w:rPr>
                <w:rFonts w:ascii="Times New Roman" w:hAnsi="Times New Roman"/>
                <w:kern w:val="0"/>
                <w:position w:val="-2"/>
                <w:szCs w:val="21"/>
                <w:lang w:val="zh-CN"/>
              </w:rPr>
              <w:t>染</w:t>
            </w:r>
            <w:r>
              <w:rPr>
                <w:rFonts w:ascii="Times New Roman" w:hAnsi="Times New Roman"/>
                <w:spacing w:val="-2"/>
                <w:kern w:val="0"/>
                <w:position w:val="-2"/>
                <w:szCs w:val="21"/>
                <w:lang w:val="zh-CN"/>
              </w:rPr>
              <w:t>物</w:t>
            </w:r>
            <w:r>
              <w:rPr>
                <w:rFonts w:ascii="Times New Roman" w:hAnsi="Times New Roman"/>
                <w:kern w:val="0"/>
                <w:position w:val="-2"/>
                <w:szCs w:val="21"/>
                <w:lang w:val="zh-CN"/>
              </w:rPr>
              <w:t>长</w:t>
            </w:r>
            <w:r>
              <w:rPr>
                <w:rFonts w:ascii="Times New Roman" w:hAnsi="Times New Roman"/>
                <w:spacing w:val="-2"/>
                <w:kern w:val="0"/>
                <w:position w:val="-2"/>
                <w:szCs w:val="21"/>
                <w:lang w:val="zh-CN"/>
              </w:rPr>
              <w:t>期</w:t>
            </w:r>
            <w:r>
              <w:rPr>
                <w:rFonts w:ascii="Times New Roman" w:hAnsi="Times New Roman"/>
                <w:kern w:val="0"/>
                <w:position w:val="-2"/>
                <w:szCs w:val="21"/>
                <w:lang w:val="zh-CN"/>
              </w:rPr>
              <w:t>稳</w:t>
            </w:r>
            <w:r>
              <w:rPr>
                <w:rFonts w:ascii="Times New Roman" w:hAnsi="Times New Roman"/>
                <w:spacing w:val="-2"/>
                <w:kern w:val="0"/>
                <w:position w:val="-2"/>
                <w:szCs w:val="21"/>
                <w:lang w:val="zh-CN"/>
              </w:rPr>
              <w:t>定</w:t>
            </w:r>
            <w:r>
              <w:rPr>
                <w:rFonts w:ascii="Times New Roman" w:hAnsi="Times New Roman"/>
                <w:kern w:val="0"/>
                <w:position w:val="-2"/>
                <w:szCs w:val="21"/>
                <w:lang w:val="zh-CN"/>
              </w:rPr>
              <w:t>达</w:t>
            </w:r>
            <w:r>
              <w:rPr>
                <w:rFonts w:ascii="Times New Roman" w:hAnsi="Times New Roman"/>
                <w:spacing w:val="-2"/>
                <w:kern w:val="0"/>
                <w:position w:val="-2"/>
                <w:szCs w:val="21"/>
                <w:lang w:val="zh-CN"/>
              </w:rPr>
              <w:t>标</w:t>
            </w:r>
            <w:r>
              <w:rPr>
                <w:rFonts w:ascii="Times New Roman" w:hAnsi="Times New Roman"/>
                <w:kern w:val="0"/>
                <w:position w:val="-2"/>
                <w:szCs w:val="21"/>
                <w:lang w:val="zh-CN"/>
              </w:rPr>
              <w:t>排</w:t>
            </w:r>
            <w:r>
              <w:rPr>
                <w:rFonts w:ascii="Times New Roman" w:hAnsi="Times New Roman"/>
                <w:spacing w:val="-2"/>
                <w:kern w:val="0"/>
                <w:position w:val="-2"/>
                <w:szCs w:val="21"/>
                <w:lang w:val="zh-CN"/>
              </w:rPr>
              <w:t>放</w:t>
            </w:r>
            <w:r>
              <w:rPr>
                <w:rFonts w:ascii="Times New Roman" w:hAnsi="Times New Roman"/>
                <w:kern w:val="0"/>
                <w:position w:val="-2"/>
                <w:szCs w:val="21"/>
                <w:lang w:val="zh-CN"/>
              </w:rPr>
              <w:t>。</w:t>
            </w:r>
          </w:p>
        </w:tc>
      </w:tr>
      <w:tr w:rsidR="00525419">
        <w:trPr>
          <w:trHeight w:val="1914"/>
          <w:jc w:val="center"/>
        </w:trPr>
        <w:tc>
          <w:tcPr>
            <w:tcW w:w="1358" w:type="dxa"/>
            <w:vMerge/>
            <w:tcBorders>
              <w:tl2br w:val="nil"/>
              <w:tr2bl w:val="nil"/>
            </w:tcBorders>
            <w:vAlign w:val="center"/>
          </w:tcPr>
          <w:p w:rsidR="00525419" w:rsidRDefault="00525419">
            <w:pPr>
              <w:autoSpaceDE w:val="0"/>
              <w:autoSpaceDN w:val="0"/>
              <w:adjustRightInd w:val="0"/>
              <w:spacing w:line="240" w:lineRule="atLeast"/>
              <w:rPr>
                <w:rFonts w:ascii="Times New Roman" w:hAnsi="Times New Roman"/>
                <w:kern w:val="0"/>
                <w:szCs w:val="21"/>
              </w:rPr>
            </w:pPr>
          </w:p>
        </w:tc>
        <w:tc>
          <w:tcPr>
            <w:tcW w:w="3509"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kern w:val="0"/>
                <w:szCs w:val="21"/>
                <w:lang w:val="zh-CN"/>
              </w:rPr>
            </w:pPr>
            <w:r>
              <w:rPr>
                <w:rFonts w:ascii="Times New Roman" w:hAnsi="Times New Roman"/>
                <w:spacing w:val="7"/>
                <w:kern w:val="0"/>
                <w:position w:val="-1"/>
                <w:szCs w:val="21"/>
                <w:lang w:val="zh-CN"/>
              </w:rPr>
              <w:t>设置规范的排污口标识，建立环保机构，完善环境管理制度、环保档案及环境应急预案，落实环境应急处置措施，确保区域环境安全。</w:t>
            </w:r>
          </w:p>
        </w:tc>
        <w:tc>
          <w:tcPr>
            <w:tcW w:w="3472"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rPr>
            </w:pPr>
            <w:r>
              <w:rPr>
                <w:rFonts w:ascii="Times New Roman" w:hAnsi="Times New Roman"/>
                <w:szCs w:val="21"/>
              </w:rPr>
              <w:t>严格按照国家《排污口规范化整治技术要求》规范排污口标识，且设有安环部的环保管理部门。公司制定了《新疆美汇特石化产品有限公司环境管理制度》等专项环境管理制度，且制定了环境应急预案。</w:t>
            </w:r>
          </w:p>
        </w:tc>
      </w:tr>
      <w:tr w:rsidR="00525419">
        <w:trPr>
          <w:trHeight w:hRule="exact" w:val="1293"/>
          <w:jc w:val="center"/>
        </w:trPr>
        <w:tc>
          <w:tcPr>
            <w:tcW w:w="1358" w:type="dxa"/>
            <w:vMerge w:val="restart"/>
            <w:tcBorders>
              <w:tl2br w:val="nil"/>
              <w:tr2bl w:val="nil"/>
            </w:tcBorders>
            <w:vAlign w:val="center"/>
          </w:tcPr>
          <w:p w:rsidR="00525419" w:rsidRDefault="00EE1CF7">
            <w:pPr>
              <w:autoSpaceDE w:val="0"/>
              <w:autoSpaceDN w:val="0"/>
              <w:adjustRightInd w:val="0"/>
              <w:spacing w:line="240" w:lineRule="atLeast"/>
              <w:rPr>
                <w:rFonts w:ascii="Times New Roman" w:hAnsi="Times New Roman"/>
                <w:kern w:val="0"/>
                <w:szCs w:val="21"/>
                <w:lang w:val="zh-CN"/>
              </w:rPr>
            </w:pPr>
            <w:r>
              <w:rPr>
                <w:rFonts w:ascii="Times New Roman" w:hAnsi="Times New Roman"/>
                <w:szCs w:val="21"/>
              </w:rPr>
              <w:t>120</w:t>
            </w:r>
            <w:r>
              <w:rPr>
                <w:rFonts w:ascii="Times New Roman" w:hAnsi="Times New Roman"/>
                <w:szCs w:val="21"/>
              </w:rPr>
              <w:t>万吨年高等级道路沥青及改性沥青改扩建项目（一期）</w:t>
            </w:r>
          </w:p>
        </w:tc>
        <w:tc>
          <w:tcPr>
            <w:tcW w:w="3509"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kern w:val="0"/>
                <w:szCs w:val="21"/>
                <w:lang w:val="zh-CN"/>
              </w:rPr>
            </w:pPr>
            <w:r>
              <w:rPr>
                <w:rFonts w:ascii="Times New Roman" w:hAnsi="Times New Roman"/>
                <w:kern w:val="0"/>
                <w:szCs w:val="21"/>
                <w:lang w:val="zh-CN"/>
              </w:rPr>
              <w:t>分类妥善处置各类固体废物。</w:t>
            </w:r>
          </w:p>
        </w:tc>
        <w:tc>
          <w:tcPr>
            <w:tcW w:w="3472"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kern w:val="0"/>
                <w:szCs w:val="21"/>
                <w:lang w:val="zh-CN"/>
              </w:rPr>
            </w:pPr>
            <w:r>
              <w:rPr>
                <w:rFonts w:ascii="Times New Roman" w:hAnsi="Times New Roman"/>
                <w:kern w:val="0"/>
                <w:szCs w:val="21"/>
                <w:lang w:val="zh-CN"/>
              </w:rPr>
              <w:t>炉灰渣外售做建筑材料；生活垃圾由环卫部门拉运至当地生活垃圾填埋场</w:t>
            </w:r>
            <w:r>
              <w:rPr>
                <w:rFonts w:ascii="Times New Roman" w:hAnsi="Times New Roman" w:hint="eastAsia"/>
                <w:kern w:val="0"/>
                <w:szCs w:val="21"/>
                <w:lang w:val="zh-CN"/>
              </w:rPr>
              <w:t>填埋</w:t>
            </w:r>
            <w:r>
              <w:rPr>
                <w:rFonts w:ascii="Times New Roman" w:hAnsi="Times New Roman"/>
                <w:kern w:val="0"/>
                <w:szCs w:val="21"/>
                <w:lang w:val="zh-CN"/>
              </w:rPr>
              <w:t>；油泥</w:t>
            </w:r>
            <w:r>
              <w:rPr>
                <w:rFonts w:ascii="Times New Roman" w:hAnsi="Times New Roman" w:hint="eastAsia"/>
                <w:kern w:val="0"/>
                <w:szCs w:val="21"/>
                <w:lang w:val="zh-CN"/>
              </w:rPr>
              <w:t>等危险废物</w:t>
            </w:r>
            <w:r>
              <w:rPr>
                <w:rFonts w:ascii="Times New Roman" w:hAnsi="Times New Roman"/>
                <w:kern w:val="0"/>
                <w:szCs w:val="21"/>
                <w:lang w:val="zh-CN"/>
              </w:rPr>
              <w:t>委托有处理资质单位进行处置。</w:t>
            </w:r>
          </w:p>
        </w:tc>
      </w:tr>
      <w:tr w:rsidR="00525419">
        <w:trPr>
          <w:trHeight w:hRule="exact" w:val="1203"/>
          <w:jc w:val="center"/>
        </w:trPr>
        <w:tc>
          <w:tcPr>
            <w:tcW w:w="1358" w:type="dxa"/>
            <w:vMerge/>
            <w:tcBorders>
              <w:tl2br w:val="nil"/>
              <w:tr2bl w:val="nil"/>
            </w:tcBorders>
            <w:vAlign w:val="center"/>
          </w:tcPr>
          <w:p w:rsidR="00525419" w:rsidRDefault="00525419">
            <w:pPr>
              <w:autoSpaceDE w:val="0"/>
              <w:autoSpaceDN w:val="0"/>
              <w:adjustRightInd w:val="0"/>
              <w:spacing w:line="240" w:lineRule="atLeast"/>
              <w:rPr>
                <w:rFonts w:ascii="Times New Roman" w:hAnsi="Times New Roman"/>
                <w:kern w:val="0"/>
                <w:szCs w:val="21"/>
              </w:rPr>
            </w:pPr>
          </w:p>
        </w:tc>
        <w:tc>
          <w:tcPr>
            <w:tcW w:w="3509"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kern w:val="0"/>
                <w:szCs w:val="21"/>
                <w:lang w:val="zh-CN"/>
              </w:rPr>
            </w:pPr>
            <w:r>
              <w:rPr>
                <w:rFonts w:ascii="Times New Roman" w:hAnsi="Times New Roman"/>
                <w:spacing w:val="7"/>
                <w:kern w:val="0"/>
                <w:position w:val="-1"/>
                <w:szCs w:val="21"/>
                <w:lang w:val="zh-CN"/>
              </w:rPr>
              <w:t>加强除尘、脱硫、沉淀池和蒸发池等各项环保设施的日常维护和运行管理，确保各项污染物稳定长期排放。</w:t>
            </w:r>
          </w:p>
        </w:tc>
        <w:tc>
          <w:tcPr>
            <w:tcW w:w="3472"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kern w:val="0"/>
                <w:szCs w:val="21"/>
                <w:lang w:val="zh-CN"/>
              </w:rPr>
            </w:pPr>
            <w:r>
              <w:rPr>
                <w:rFonts w:ascii="Times New Roman" w:hAnsi="Times New Roman"/>
                <w:spacing w:val="3"/>
                <w:kern w:val="0"/>
                <w:position w:val="-1"/>
                <w:szCs w:val="21"/>
                <w:lang w:val="zh-CN"/>
              </w:rPr>
              <w:t>公司制定了各项</w:t>
            </w:r>
            <w:r>
              <w:rPr>
                <w:rFonts w:ascii="Times New Roman" w:hAnsi="Times New Roman"/>
                <w:kern w:val="0"/>
                <w:position w:val="-1"/>
                <w:szCs w:val="21"/>
                <w:lang w:val="zh-CN"/>
              </w:rPr>
              <w:t>环保</w:t>
            </w:r>
            <w:r>
              <w:rPr>
                <w:rFonts w:ascii="Times New Roman" w:hAnsi="Times New Roman"/>
                <w:spacing w:val="3"/>
                <w:kern w:val="0"/>
                <w:position w:val="-1"/>
                <w:szCs w:val="21"/>
                <w:lang w:val="zh-CN"/>
              </w:rPr>
              <w:t>规</w:t>
            </w:r>
            <w:r>
              <w:rPr>
                <w:rFonts w:ascii="Times New Roman" w:hAnsi="Times New Roman"/>
                <w:kern w:val="0"/>
                <w:position w:val="-1"/>
                <w:szCs w:val="21"/>
                <w:lang w:val="zh-CN"/>
              </w:rPr>
              <w:t>章</w:t>
            </w:r>
            <w:r>
              <w:rPr>
                <w:rFonts w:ascii="Times New Roman" w:hAnsi="Times New Roman"/>
                <w:kern w:val="0"/>
                <w:szCs w:val="21"/>
                <w:lang w:val="zh-CN"/>
              </w:rPr>
              <w:t>制</w:t>
            </w:r>
            <w:r>
              <w:rPr>
                <w:rFonts w:ascii="Times New Roman" w:hAnsi="Times New Roman"/>
                <w:spacing w:val="-2"/>
                <w:kern w:val="0"/>
                <w:szCs w:val="21"/>
                <w:lang w:val="zh-CN"/>
              </w:rPr>
              <w:t>度，对锅炉烟气处理设施和</w:t>
            </w:r>
            <w:r>
              <w:rPr>
                <w:rFonts w:ascii="Times New Roman" w:hAnsi="Times New Roman"/>
                <w:kern w:val="0"/>
                <w:szCs w:val="21"/>
                <w:lang w:val="zh-CN"/>
              </w:rPr>
              <w:t>污</w:t>
            </w:r>
            <w:r>
              <w:rPr>
                <w:rFonts w:ascii="Times New Roman" w:hAnsi="Times New Roman"/>
                <w:spacing w:val="-2"/>
                <w:kern w:val="0"/>
                <w:szCs w:val="21"/>
                <w:lang w:val="zh-CN"/>
              </w:rPr>
              <w:t>水</w:t>
            </w:r>
            <w:r>
              <w:rPr>
                <w:rFonts w:ascii="Times New Roman" w:hAnsi="Times New Roman"/>
                <w:kern w:val="0"/>
                <w:szCs w:val="21"/>
                <w:lang w:val="zh-CN"/>
              </w:rPr>
              <w:t>处</w:t>
            </w:r>
            <w:r>
              <w:rPr>
                <w:rFonts w:ascii="Times New Roman" w:hAnsi="Times New Roman"/>
                <w:spacing w:val="-2"/>
                <w:kern w:val="0"/>
                <w:szCs w:val="21"/>
                <w:lang w:val="zh-CN"/>
              </w:rPr>
              <w:t>理</w:t>
            </w:r>
            <w:r>
              <w:rPr>
                <w:rFonts w:ascii="Times New Roman" w:hAnsi="Times New Roman"/>
                <w:kern w:val="0"/>
                <w:szCs w:val="21"/>
                <w:lang w:val="zh-CN"/>
              </w:rPr>
              <w:t>设</w:t>
            </w:r>
            <w:r>
              <w:rPr>
                <w:rFonts w:ascii="Times New Roman" w:hAnsi="Times New Roman"/>
                <w:spacing w:val="-2"/>
                <w:kern w:val="0"/>
                <w:szCs w:val="21"/>
                <w:lang w:val="zh-CN"/>
              </w:rPr>
              <w:t>施制</w:t>
            </w:r>
            <w:r>
              <w:rPr>
                <w:rFonts w:ascii="Times New Roman" w:hAnsi="Times New Roman"/>
                <w:kern w:val="0"/>
                <w:szCs w:val="21"/>
                <w:lang w:val="zh-CN"/>
              </w:rPr>
              <w:t>定了操</w:t>
            </w:r>
            <w:r>
              <w:rPr>
                <w:rFonts w:ascii="Times New Roman" w:hAnsi="Times New Roman"/>
                <w:spacing w:val="12"/>
                <w:kern w:val="0"/>
                <w:szCs w:val="21"/>
                <w:lang w:val="zh-CN"/>
              </w:rPr>
              <w:t>作规</w:t>
            </w:r>
            <w:r>
              <w:rPr>
                <w:rFonts w:ascii="Times New Roman" w:hAnsi="Times New Roman"/>
                <w:spacing w:val="10"/>
                <w:kern w:val="0"/>
                <w:szCs w:val="21"/>
                <w:lang w:val="zh-CN"/>
              </w:rPr>
              <w:t>程</w:t>
            </w:r>
            <w:r>
              <w:rPr>
                <w:rFonts w:ascii="Times New Roman" w:hAnsi="Times New Roman"/>
                <w:spacing w:val="12"/>
                <w:kern w:val="0"/>
                <w:szCs w:val="21"/>
                <w:lang w:val="zh-CN"/>
              </w:rPr>
              <w:t>，设</w:t>
            </w:r>
            <w:r>
              <w:rPr>
                <w:rFonts w:ascii="Times New Roman" w:hAnsi="Times New Roman"/>
                <w:spacing w:val="10"/>
                <w:kern w:val="0"/>
                <w:szCs w:val="21"/>
                <w:lang w:val="zh-CN"/>
              </w:rPr>
              <w:t>置</w:t>
            </w:r>
            <w:r>
              <w:rPr>
                <w:rFonts w:ascii="Times New Roman" w:hAnsi="Times New Roman"/>
                <w:spacing w:val="12"/>
                <w:kern w:val="0"/>
                <w:szCs w:val="21"/>
                <w:lang w:val="zh-CN"/>
              </w:rPr>
              <w:t>专人</w:t>
            </w:r>
            <w:r>
              <w:rPr>
                <w:rFonts w:ascii="Times New Roman" w:hAnsi="Times New Roman"/>
                <w:spacing w:val="10"/>
                <w:kern w:val="0"/>
                <w:szCs w:val="21"/>
                <w:lang w:val="zh-CN"/>
              </w:rPr>
              <w:t>进</w:t>
            </w:r>
            <w:r>
              <w:rPr>
                <w:rFonts w:ascii="Times New Roman" w:hAnsi="Times New Roman"/>
                <w:spacing w:val="12"/>
                <w:kern w:val="0"/>
                <w:szCs w:val="21"/>
                <w:lang w:val="zh-CN"/>
              </w:rPr>
              <w:t>行</w:t>
            </w:r>
            <w:r>
              <w:rPr>
                <w:rFonts w:ascii="Times New Roman" w:hAnsi="Times New Roman"/>
                <w:spacing w:val="10"/>
                <w:kern w:val="0"/>
                <w:szCs w:val="21"/>
                <w:lang w:val="zh-CN"/>
              </w:rPr>
              <w:t>维</w:t>
            </w:r>
            <w:r>
              <w:rPr>
                <w:rFonts w:ascii="Times New Roman" w:hAnsi="Times New Roman"/>
                <w:spacing w:val="12"/>
                <w:kern w:val="0"/>
                <w:szCs w:val="21"/>
                <w:lang w:val="zh-CN"/>
              </w:rPr>
              <w:t>护</w:t>
            </w:r>
            <w:r>
              <w:rPr>
                <w:rFonts w:ascii="Times New Roman" w:hAnsi="Times New Roman"/>
                <w:kern w:val="0"/>
                <w:szCs w:val="21"/>
                <w:lang w:val="zh-CN"/>
              </w:rPr>
              <w:t>管</w:t>
            </w:r>
            <w:r>
              <w:rPr>
                <w:rFonts w:ascii="Times New Roman" w:hAnsi="Times New Roman"/>
                <w:kern w:val="0"/>
                <w:position w:val="-2"/>
                <w:szCs w:val="21"/>
                <w:lang w:val="zh-CN"/>
              </w:rPr>
              <w:t>理，</w:t>
            </w:r>
            <w:r>
              <w:rPr>
                <w:rFonts w:ascii="Times New Roman" w:hAnsi="Times New Roman"/>
                <w:spacing w:val="-2"/>
                <w:kern w:val="0"/>
                <w:position w:val="-2"/>
                <w:szCs w:val="21"/>
                <w:lang w:val="zh-CN"/>
              </w:rPr>
              <w:t>污</w:t>
            </w:r>
            <w:r>
              <w:rPr>
                <w:rFonts w:ascii="Times New Roman" w:hAnsi="Times New Roman"/>
                <w:kern w:val="0"/>
                <w:position w:val="-2"/>
                <w:szCs w:val="21"/>
                <w:lang w:val="zh-CN"/>
              </w:rPr>
              <w:t>染</w:t>
            </w:r>
            <w:r>
              <w:rPr>
                <w:rFonts w:ascii="Times New Roman" w:hAnsi="Times New Roman"/>
                <w:spacing w:val="-2"/>
                <w:kern w:val="0"/>
                <w:position w:val="-2"/>
                <w:szCs w:val="21"/>
                <w:lang w:val="zh-CN"/>
              </w:rPr>
              <w:t>物</w:t>
            </w:r>
            <w:r>
              <w:rPr>
                <w:rFonts w:ascii="Times New Roman" w:hAnsi="Times New Roman"/>
                <w:kern w:val="0"/>
                <w:position w:val="-2"/>
                <w:szCs w:val="21"/>
                <w:lang w:val="zh-CN"/>
              </w:rPr>
              <w:t>长</w:t>
            </w:r>
            <w:r>
              <w:rPr>
                <w:rFonts w:ascii="Times New Roman" w:hAnsi="Times New Roman"/>
                <w:spacing w:val="-2"/>
                <w:kern w:val="0"/>
                <w:position w:val="-2"/>
                <w:szCs w:val="21"/>
                <w:lang w:val="zh-CN"/>
              </w:rPr>
              <w:t>期</w:t>
            </w:r>
            <w:r>
              <w:rPr>
                <w:rFonts w:ascii="Times New Roman" w:hAnsi="Times New Roman"/>
                <w:kern w:val="0"/>
                <w:position w:val="-2"/>
                <w:szCs w:val="21"/>
                <w:lang w:val="zh-CN"/>
              </w:rPr>
              <w:t>稳</w:t>
            </w:r>
            <w:r>
              <w:rPr>
                <w:rFonts w:ascii="Times New Roman" w:hAnsi="Times New Roman"/>
                <w:spacing w:val="-2"/>
                <w:kern w:val="0"/>
                <w:position w:val="-2"/>
                <w:szCs w:val="21"/>
                <w:lang w:val="zh-CN"/>
              </w:rPr>
              <w:t>定</w:t>
            </w:r>
            <w:r>
              <w:rPr>
                <w:rFonts w:ascii="Times New Roman" w:hAnsi="Times New Roman"/>
                <w:kern w:val="0"/>
                <w:position w:val="-2"/>
                <w:szCs w:val="21"/>
                <w:lang w:val="zh-CN"/>
              </w:rPr>
              <w:t>达</w:t>
            </w:r>
            <w:r>
              <w:rPr>
                <w:rFonts w:ascii="Times New Roman" w:hAnsi="Times New Roman"/>
                <w:spacing w:val="-2"/>
                <w:kern w:val="0"/>
                <w:position w:val="-2"/>
                <w:szCs w:val="21"/>
                <w:lang w:val="zh-CN"/>
              </w:rPr>
              <w:t>标</w:t>
            </w:r>
            <w:r>
              <w:rPr>
                <w:rFonts w:ascii="Times New Roman" w:hAnsi="Times New Roman"/>
                <w:kern w:val="0"/>
                <w:position w:val="-2"/>
                <w:szCs w:val="21"/>
                <w:lang w:val="zh-CN"/>
              </w:rPr>
              <w:t>排</w:t>
            </w:r>
            <w:r>
              <w:rPr>
                <w:rFonts w:ascii="Times New Roman" w:hAnsi="Times New Roman"/>
                <w:spacing w:val="-2"/>
                <w:kern w:val="0"/>
                <w:position w:val="-2"/>
                <w:szCs w:val="21"/>
                <w:lang w:val="zh-CN"/>
              </w:rPr>
              <w:t>放</w:t>
            </w:r>
            <w:r>
              <w:rPr>
                <w:rFonts w:ascii="Times New Roman" w:hAnsi="Times New Roman"/>
                <w:kern w:val="0"/>
                <w:position w:val="-2"/>
                <w:szCs w:val="21"/>
                <w:lang w:val="zh-CN"/>
              </w:rPr>
              <w:t>。</w:t>
            </w:r>
          </w:p>
        </w:tc>
      </w:tr>
      <w:tr w:rsidR="00525419">
        <w:trPr>
          <w:trHeight w:hRule="exact" w:val="1661"/>
          <w:jc w:val="center"/>
        </w:trPr>
        <w:tc>
          <w:tcPr>
            <w:tcW w:w="1358" w:type="dxa"/>
            <w:vMerge/>
            <w:tcBorders>
              <w:tl2br w:val="nil"/>
              <w:tr2bl w:val="nil"/>
            </w:tcBorders>
            <w:vAlign w:val="center"/>
          </w:tcPr>
          <w:p w:rsidR="00525419" w:rsidRDefault="00525419">
            <w:pPr>
              <w:autoSpaceDE w:val="0"/>
              <w:autoSpaceDN w:val="0"/>
              <w:adjustRightInd w:val="0"/>
              <w:spacing w:line="240" w:lineRule="atLeast"/>
              <w:rPr>
                <w:rFonts w:ascii="Times New Roman" w:hAnsi="Times New Roman"/>
                <w:kern w:val="0"/>
                <w:szCs w:val="21"/>
              </w:rPr>
            </w:pPr>
          </w:p>
        </w:tc>
        <w:tc>
          <w:tcPr>
            <w:tcW w:w="3509"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kern w:val="0"/>
                <w:szCs w:val="21"/>
                <w:lang w:val="zh-CN"/>
              </w:rPr>
            </w:pPr>
            <w:r>
              <w:rPr>
                <w:rFonts w:ascii="Times New Roman" w:hAnsi="Times New Roman"/>
                <w:spacing w:val="7"/>
                <w:kern w:val="0"/>
                <w:position w:val="-1"/>
                <w:szCs w:val="21"/>
                <w:lang w:val="zh-CN"/>
              </w:rPr>
              <w:t>完善环境应急预案，定期开展应急演练，建立有效的生产事故预警系统和应急体系，做好易燃易爆及危险废物储运管理工作，防止发生污染事故，确保区域环境安全。</w:t>
            </w:r>
          </w:p>
        </w:tc>
        <w:tc>
          <w:tcPr>
            <w:tcW w:w="3472"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kern w:val="0"/>
                <w:szCs w:val="21"/>
                <w:lang w:val="zh-CN"/>
              </w:rPr>
            </w:pPr>
            <w:r>
              <w:rPr>
                <w:rFonts w:ascii="Times New Roman" w:hAnsi="Times New Roman"/>
                <w:kern w:val="0"/>
                <w:position w:val="-1"/>
                <w:szCs w:val="21"/>
                <w:lang w:val="zh-CN"/>
              </w:rPr>
              <w:t>落实了。</w:t>
            </w:r>
          </w:p>
        </w:tc>
      </w:tr>
      <w:tr w:rsidR="00525419">
        <w:trPr>
          <w:trHeight w:hRule="exact" w:val="4881"/>
          <w:jc w:val="center"/>
        </w:trPr>
        <w:tc>
          <w:tcPr>
            <w:tcW w:w="1358"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kern w:val="0"/>
                <w:szCs w:val="21"/>
              </w:rPr>
            </w:pPr>
            <w:r>
              <w:rPr>
                <w:rFonts w:ascii="Times New Roman" w:hAnsi="Times New Roman"/>
                <w:szCs w:val="21"/>
              </w:rPr>
              <w:t>2</w:t>
            </w:r>
            <w:r>
              <w:rPr>
                <w:rFonts w:ascii="Times New Roman" w:hAnsi="Times New Roman"/>
                <w:szCs w:val="21"/>
              </w:rPr>
              <w:t>万立方米成品油储油库项目</w:t>
            </w:r>
          </w:p>
        </w:tc>
        <w:tc>
          <w:tcPr>
            <w:tcW w:w="3509"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lang w:val="zh-CN"/>
              </w:rPr>
            </w:pPr>
            <w:r>
              <w:rPr>
                <w:rFonts w:ascii="Times New Roman" w:hAnsi="Times New Roman"/>
                <w:lang w:val="zh-CN"/>
              </w:rPr>
              <w:t>完善油气回收处理装置环保设施排污口标志牌；</w:t>
            </w:r>
          </w:p>
          <w:p w:rsidR="00525419" w:rsidRDefault="00BF584C">
            <w:pPr>
              <w:autoSpaceDE w:val="0"/>
              <w:autoSpaceDN w:val="0"/>
              <w:adjustRightInd w:val="0"/>
              <w:spacing w:line="240" w:lineRule="atLeast"/>
              <w:rPr>
                <w:rFonts w:ascii="Times New Roman" w:hAnsi="Times New Roman"/>
              </w:rPr>
            </w:pPr>
            <w:r>
              <w:rPr>
                <w:rFonts w:ascii="Times New Roman" w:hAnsi="Times New Roman"/>
              </w:rPr>
              <w:t>完善本项目环境风险防范措施及环境管理台账的</w:t>
            </w:r>
            <w:r>
              <w:rPr>
                <w:rFonts w:ascii="Times New Roman" w:hAnsi="Times New Roman" w:hint="eastAsia"/>
              </w:rPr>
              <w:t>规范</w:t>
            </w:r>
            <w:r w:rsidR="00EE1CF7">
              <w:rPr>
                <w:rFonts w:ascii="Times New Roman" w:hAnsi="Times New Roman"/>
              </w:rPr>
              <w:t>化管理；</w:t>
            </w:r>
          </w:p>
          <w:p w:rsidR="00525419" w:rsidRDefault="00EE1CF7">
            <w:pPr>
              <w:autoSpaceDE w:val="0"/>
              <w:autoSpaceDN w:val="0"/>
              <w:adjustRightInd w:val="0"/>
              <w:spacing w:line="240" w:lineRule="atLeast"/>
              <w:rPr>
                <w:rFonts w:ascii="Times New Roman" w:hAnsi="Times New Roman"/>
              </w:rPr>
            </w:pPr>
            <w:r>
              <w:rPr>
                <w:rFonts w:ascii="Times New Roman" w:hAnsi="Times New Roman"/>
              </w:rPr>
              <w:t>完善竣工环境保护验收资料收集及归档；</w:t>
            </w:r>
          </w:p>
          <w:p w:rsidR="00525419" w:rsidRDefault="00EE1CF7">
            <w:pPr>
              <w:autoSpaceDE w:val="0"/>
              <w:autoSpaceDN w:val="0"/>
              <w:adjustRightInd w:val="0"/>
              <w:spacing w:line="240" w:lineRule="atLeast"/>
              <w:rPr>
                <w:rFonts w:ascii="Times New Roman" w:hAnsi="Times New Roman"/>
              </w:rPr>
            </w:pPr>
            <w:r>
              <w:rPr>
                <w:rFonts w:ascii="Times New Roman" w:hAnsi="Times New Roman"/>
              </w:rPr>
              <w:t>企业产生的危险废物就近与具有危险废物处置资质的有关单位签订危废处置协议；</w:t>
            </w:r>
          </w:p>
          <w:p w:rsidR="00525419" w:rsidRDefault="00EE1CF7">
            <w:pPr>
              <w:autoSpaceDE w:val="0"/>
              <w:autoSpaceDN w:val="0"/>
              <w:adjustRightInd w:val="0"/>
              <w:spacing w:line="240" w:lineRule="atLeast"/>
              <w:rPr>
                <w:rFonts w:ascii="Times New Roman" w:hAnsi="Times New Roman"/>
              </w:rPr>
            </w:pPr>
            <w:r>
              <w:rPr>
                <w:rFonts w:ascii="Times New Roman" w:hAnsi="Times New Roman"/>
              </w:rPr>
              <w:t>完善职工食堂应安装油烟处理装置，并保持正常运行。</w:t>
            </w:r>
          </w:p>
          <w:p w:rsidR="00525419" w:rsidRDefault="00EE1CF7">
            <w:pPr>
              <w:autoSpaceDE w:val="0"/>
              <w:autoSpaceDN w:val="0"/>
              <w:adjustRightInd w:val="0"/>
              <w:spacing w:line="240" w:lineRule="atLeast"/>
              <w:rPr>
                <w:rFonts w:ascii="Times New Roman" w:hAnsi="Times New Roman"/>
              </w:rPr>
            </w:pPr>
            <w:r>
              <w:rPr>
                <w:rFonts w:ascii="Times New Roman" w:hAnsi="Times New Roman"/>
              </w:rPr>
              <w:t>根据《十三五挥发性有机物污染防治工作方案》的要求，建议企业加强对油气回收处理装置系统的外观及仪器的检测，确保油气回收的系统的正常运行。</w:t>
            </w:r>
          </w:p>
        </w:tc>
        <w:tc>
          <w:tcPr>
            <w:tcW w:w="3472"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kern w:val="0"/>
                <w:position w:val="-1"/>
                <w:szCs w:val="21"/>
                <w:lang w:val="zh-CN"/>
              </w:rPr>
            </w:pPr>
            <w:r>
              <w:rPr>
                <w:rFonts w:ascii="Times New Roman" w:hAnsi="Times New Roman"/>
                <w:szCs w:val="21"/>
              </w:rPr>
              <w:t>按要求进行了落实。</w:t>
            </w:r>
          </w:p>
        </w:tc>
      </w:tr>
    </w:tbl>
    <w:p w:rsidR="00525419" w:rsidRDefault="00EE1CF7">
      <w:pPr>
        <w:pStyle w:val="3a"/>
        <w:spacing w:beforeLines="50" w:before="156" w:after="156" w:line="360" w:lineRule="auto"/>
        <w:jc w:val="left"/>
        <w:rPr>
          <w:rFonts w:ascii="Times New Roman" w:eastAsia="华文楷体" w:hAnsi="Times New Roman"/>
        </w:rPr>
      </w:pPr>
      <w:r>
        <w:rPr>
          <w:rFonts w:ascii="Times New Roman" w:eastAsia="华文楷体" w:hAnsi="Times New Roman"/>
        </w:rPr>
        <w:t>3.2.8</w:t>
      </w:r>
      <w:r>
        <w:rPr>
          <w:rFonts w:ascii="Times New Roman" w:eastAsia="华文楷体" w:hAnsi="Times New Roman"/>
        </w:rPr>
        <w:t>现有工程存在的环境保护问题及拟采取的整改方案</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根据《关于印发新疆维吾尔自治区大气污染防治行动计划实施方案的通知》中</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6.</w:t>
      </w:r>
      <w:r>
        <w:rPr>
          <w:rFonts w:ascii="Times New Roman" w:hAnsi="Times New Roman"/>
          <w:sz w:val="24"/>
          <w:szCs w:val="24"/>
        </w:rPr>
        <w:t>加大城市扬尘综合整治力度。根据煤堆、料堆、渣堆实现封闭存储。</w:t>
      </w:r>
      <w:r>
        <w:rPr>
          <w:rFonts w:ascii="Times New Roman" w:hAnsi="Times New Roman"/>
          <w:sz w:val="24"/>
          <w:szCs w:val="24"/>
        </w:rPr>
        <w:t>”</w:t>
      </w:r>
      <w:r>
        <w:rPr>
          <w:rFonts w:ascii="Times New Roman" w:hAnsi="Times New Roman"/>
          <w:sz w:val="24"/>
          <w:szCs w:val="24"/>
        </w:rPr>
        <w:t>现有工程煤场及灰渣场目前采用防风抑尘网</w:t>
      </w:r>
      <w:r>
        <w:rPr>
          <w:rFonts w:ascii="Times New Roman" w:hAnsi="Times New Roman"/>
          <w:sz w:val="24"/>
          <w:szCs w:val="24"/>
        </w:rPr>
        <w:t>+</w:t>
      </w:r>
      <w:r>
        <w:rPr>
          <w:rFonts w:ascii="Times New Roman" w:hAnsi="Times New Roman"/>
          <w:sz w:val="24"/>
          <w:szCs w:val="24"/>
        </w:rPr>
        <w:t>洒水降尘措施抑尘，按照上述要求针对煤场及灰渣场实行封闭存储。</w:t>
      </w:r>
    </w:p>
    <w:p w:rsidR="00525419" w:rsidRDefault="00EE1CF7">
      <w:pPr>
        <w:pStyle w:val="2a"/>
        <w:spacing w:beforeLines="50" w:before="156" w:after="156"/>
        <w:ind w:left="578" w:hanging="578"/>
        <w:rPr>
          <w:rFonts w:ascii="Times New Roman" w:eastAsia="楷体_GB2312" w:hAnsi="Times New Roman"/>
          <w:sz w:val="36"/>
        </w:rPr>
      </w:pPr>
      <w:bookmarkStart w:id="42" w:name="_Toc16650"/>
      <w:r>
        <w:rPr>
          <w:rFonts w:ascii="Times New Roman" w:eastAsia="楷体_GB2312" w:hAnsi="Times New Roman"/>
          <w:sz w:val="36"/>
        </w:rPr>
        <w:t>3.3</w:t>
      </w:r>
      <w:r>
        <w:rPr>
          <w:rFonts w:ascii="Times New Roman" w:eastAsia="楷体_GB2312" w:hAnsi="Times New Roman"/>
          <w:sz w:val="36"/>
        </w:rPr>
        <w:t>变更后建设内容</w:t>
      </w:r>
      <w:bookmarkEnd w:id="42"/>
    </w:p>
    <w:p w:rsidR="00525419" w:rsidRDefault="00EE1CF7">
      <w:pPr>
        <w:pStyle w:val="3a"/>
        <w:spacing w:beforeLines="50" w:before="156" w:after="156" w:line="360" w:lineRule="auto"/>
        <w:jc w:val="left"/>
        <w:rPr>
          <w:rFonts w:ascii="Times New Roman" w:eastAsia="华文楷体" w:hAnsi="Times New Roman"/>
        </w:rPr>
      </w:pPr>
      <w:bookmarkStart w:id="43" w:name="_Toc410121258"/>
      <w:bookmarkStart w:id="44" w:name="_Toc461196957"/>
      <w:r>
        <w:rPr>
          <w:rFonts w:ascii="Times New Roman" w:eastAsia="华文楷体" w:hAnsi="Times New Roman"/>
        </w:rPr>
        <w:t>3.3.1</w:t>
      </w:r>
      <w:r>
        <w:rPr>
          <w:rFonts w:ascii="Times New Roman" w:eastAsia="华文楷体" w:hAnsi="Times New Roman"/>
        </w:rPr>
        <w:t>变更后建设规模与产品方案</w:t>
      </w:r>
      <w:bookmarkEnd w:id="43"/>
      <w:bookmarkEnd w:id="44"/>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3.3.1.1</w:t>
      </w:r>
      <w:r>
        <w:rPr>
          <w:rFonts w:ascii="Times New Roman" w:hAnsi="Times New Roman" w:cs="Times New Roman"/>
          <w:kern w:val="44"/>
          <w:sz w:val="24"/>
          <w:szCs w:val="24"/>
        </w:rPr>
        <w:t>变更后建设规模</w:t>
      </w:r>
    </w:p>
    <w:p w:rsidR="00525419" w:rsidRDefault="00EE1CF7">
      <w:pPr>
        <w:pStyle w:val="afffff2"/>
        <w:ind w:firstLineChars="200" w:firstLine="480"/>
        <w:rPr>
          <w:color w:val="auto"/>
          <w:szCs w:val="28"/>
        </w:rPr>
      </w:pPr>
      <w:r>
        <w:rPr>
          <w:color w:val="auto"/>
          <w:szCs w:val="28"/>
        </w:rPr>
        <w:t>变更后本项目各生产装置的建设规模见表</w:t>
      </w:r>
      <w:r>
        <w:rPr>
          <w:color w:val="auto"/>
          <w:szCs w:val="28"/>
        </w:rPr>
        <w:t>3.3-1</w:t>
      </w:r>
      <w:r>
        <w:rPr>
          <w:color w:val="auto"/>
          <w:szCs w:val="28"/>
        </w:rPr>
        <w:t>。</w:t>
      </w:r>
    </w:p>
    <w:p w:rsidR="00525419" w:rsidRDefault="00EE1CF7">
      <w:pPr>
        <w:ind w:firstLineChars="1000" w:firstLine="2100"/>
        <w:rPr>
          <w:rFonts w:ascii="Times New Roman" w:eastAsia="黑体" w:hAnsi="Times New Roman"/>
        </w:rPr>
      </w:pPr>
      <w:r>
        <w:rPr>
          <w:rFonts w:ascii="Times New Roman" w:eastAsia="黑体" w:hAnsi="Times New Roman"/>
        </w:rPr>
        <w:t>表</w:t>
      </w:r>
      <w:r>
        <w:rPr>
          <w:rFonts w:ascii="Times New Roman" w:eastAsia="黑体" w:hAnsi="Times New Roman"/>
        </w:rPr>
        <w:t>3.3-1</w:t>
      </w:r>
      <w:r>
        <w:rPr>
          <w:rFonts w:ascii="Times New Roman" w:eastAsia="黑体" w:hAnsi="Times New Roman"/>
        </w:rPr>
        <w:t xml:space="preserve">　　　生产装置建设规模一览表</w:t>
      </w:r>
    </w:p>
    <w:tbl>
      <w:tblPr>
        <w:tblW w:w="856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75"/>
        <w:gridCol w:w="2020"/>
        <w:gridCol w:w="1600"/>
        <w:gridCol w:w="4273"/>
      </w:tblGrid>
      <w:tr w:rsidR="00525419">
        <w:trPr>
          <w:trHeight w:val="237"/>
        </w:trPr>
        <w:tc>
          <w:tcPr>
            <w:tcW w:w="2695" w:type="dxa"/>
            <w:gridSpan w:val="2"/>
            <w:tcBorders>
              <w:tl2br w:val="nil"/>
              <w:tr2bl w:val="nil"/>
            </w:tcBorders>
          </w:tcPr>
          <w:p w:rsidR="00525419" w:rsidRDefault="00EE1CF7">
            <w:pPr>
              <w:rPr>
                <w:rFonts w:ascii="Times New Roman" w:hAnsi="Times New Roman"/>
                <w:szCs w:val="24"/>
              </w:rPr>
            </w:pPr>
            <w:r>
              <w:rPr>
                <w:rFonts w:ascii="Times New Roman" w:hAnsi="Times New Roman"/>
                <w:szCs w:val="24"/>
              </w:rPr>
              <w:t>装置名称</w:t>
            </w:r>
          </w:p>
        </w:tc>
        <w:tc>
          <w:tcPr>
            <w:tcW w:w="1600" w:type="dxa"/>
            <w:tcBorders>
              <w:tl2br w:val="nil"/>
              <w:tr2bl w:val="nil"/>
            </w:tcBorders>
          </w:tcPr>
          <w:p w:rsidR="00525419" w:rsidRDefault="00EE1CF7">
            <w:pPr>
              <w:rPr>
                <w:rFonts w:ascii="Times New Roman" w:hAnsi="Times New Roman"/>
                <w:szCs w:val="24"/>
              </w:rPr>
            </w:pPr>
            <w:r>
              <w:rPr>
                <w:rFonts w:ascii="Times New Roman" w:hAnsi="Times New Roman"/>
                <w:szCs w:val="24"/>
              </w:rPr>
              <w:t>建设规模</w:t>
            </w:r>
          </w:p>
        </w:tc>
        <w:tc>
          <w:tcPr>
            <w:tcW w:w="4273" w:type="dxa"/>
            <w:tcBorders>
              <w:tl2br w:val="nil"/>
              <w:tr2bl w:val="nil"/>
            </w:tcBorders>
          </w:tcPr>
          <w:p w:rsidR="00525419" w:rsidRDefault="00EE1CF7">
            <w:pPr>
              <w:rPr>
                <w:rFonts w:ascii="Times New Roman" w:hAnsi="Times New Roman"/>
                <w:szCs w:val="24"/>
              </w:rPr>
            </w:pPr>
            <w:r>
              <w:rPr>
                <w:rFonts w:ascii="Times New Roman" w:hAnsi="Times New Roman"/>
                <w:szCs w:val="21"/>
              </w:rPr>
              <w:t>备注</w:t>
            </w:r>
          </w:p>
        </w:tc>
      </w:tr>
      <w:tr w:rsidR="00525419">
        <w:trPr>
          <w:trHeight w:val="574"/>
        </w:trPr>
        <w:tc>
          <w:tcPr>
            <w:tcW w:w="2695" w:type="dxa"/>
            <w:gridSpan w:val="2"/>
            <w:tcBorders>
              <w:tl2br w:val="nil"/>
              <w:tr2bl w:val="nil"/>
            </w:tcBorders>
          </w:tcPr>
          <w:p w:rsidR="00525419" w:rsidRDefault="00EE1CF7">
            <w:pPr>
              <w:rPr>
                <w:rFonts w:ascii="Times New Roman" w:hAnsi="Times New Roman"/>
                <w:szCs w:val="24"/>
              </w:rPr>
            </w:pPr>
            <w:r>
              <w:rPr>
                <w:rFonts w:ascii="Times New Roman" w:hAnsi="Times New Roman"/>
                <w:szCs w:val="24"/>
              </w:rPr>
              <w:t>煤焦油加氢装置</w:t>
            </w:r>
          </w:p>
        </w:tc>
        <w:tc>
          <w:tcPr>
            <w:tcW w:w="1600" w:type="dxa"/>
            <w:tcBorders>
              <w:tl2br w:val="nil"/>
              <w:tr2bl w:val="nil"/>
            </w:tcBorders>
          </w:tcPr>
          <w:p w:rsidR="00525419" w:rsidRDefault="00EE1CF7">
            <w:pPr>
              <w:rPr>
                <w:rFonts w:ascii="Times New Roman" w:hAnsi="Times New Roman"/>
                <w:szCs w:val="24"/>
              </w:rPr>
            </w:pPr>
            <w:r>
              <w:rPr>
                <w:rFonts w:ascii="Times New Roman" w:hAnsi="Times New Roman"/>
                <w:szCs w:val="24"/>
              </w:rPr>
              <w:t>40</w:t>
            </w:r>
            <w:r>
              <w:rPr>
                <w:rFonts w:ascii="Times New Roman" w:hAnsi="Times New Roman"/>
                <w:szCs w:val="24"/>
              </w:rPr>
              <w:t>万</w:t>
            </w:r>
            <w:r>
              <w:rPr>
                <w:rFonts w:ascii="Times New Roman" w:hAnsi="Times New Roman"/>
                <w:szCs w:val="24"/>
              </w:rPr>
              <w:t>t/a</w:t>
            </w:r>
          </w:p>
        </w:tc>
        <w:tc>
          <w:tcPr>
            <w:tcW w:w="4273" w:type="dxa"/>
            <w:tcBorders>
              <w:tl2br w:val="nil"/>
              <w:tr2bl w:val="nil"/>
            </w:tcBorders>
          </w:tcPr>
          <w:p w:rsidR="00525419" w:rsidRDefault="00EE1CF7">
            <w:pPr>
              <w:autoSpaceDE w:val="0"/>
              <w:autoSpaceDN w:val="0"/>
              <w:adjustRightInd w:val="0"/>
              <w:jc w:val="left"/>
              <w:rPr>
                <w:rFonts w:ascii="Times New Roman" w:hAnsi="Times New Roman"/>
                <w:szCs w:val="24"/>
              </w:rPr>
            </w:pPr>
            <w:r>
              <w:rPr>
                <w:rFonts w:ascii="Times New Roman" w:hAnsi="Times New Roman"/>
                <w:szCs w:val="24"/>
              </w:rPr>
              <w:t>主要包括煤焦油加氢单元</w:t>
            </w:r>
            <w:r>
              <w:rPr>
                <w:rFonts w:ascii="Times New Roman" w:hAnsi="Times New Roman" w:hint="eastAsia"/>
                <w:szCs w:val="24"/>
              </w:rPr>
              <w:t>、分馏单元、</w:t>
            </w:r>
            <w:r>
              <w:rPr>
                <w:rFonts w:ascii="Times New Roman" w:hAnsi="Times New Roman"/>
                <w:szCs w:val="24"/>
              </w:rPr>
              <w:t>配套低分气、干气、液化气脱硫部分；</w:t>
            </w:r>
          </w:p>
        </w:tc>
      </w:tr>
      <w:tr w:rsidR="00525419">
        <w:trPr>
          <w:trHeight w:val="203"/>
        </w:trPr>
        <w:tc>
          <w:tcPr>
            <w:tcW w:w="2695" w:type="dxa"/>
            <w:gridSpan w:val="2"/>
            <w:tcBorders>
              <w:tl2br w:val="nil"/>
              <w:tr2bl w:val="nil"/>
            </w:tcBorders>
          </w:tcPr>
          <w:p w:rsidR="00525419" w:rsidRDefault="00EE1CF7">
            <w:pPr>
              <w:rPr>
                <w:rFonts w:ascii="Times New Roman" w:hAnsi="Times New Roman"/>
                <w:szCs w:val="24"/>
              </w:rPr>
            </w:pPr>
            <w:r>
              <w:rPr>
                <w:rFonts w:ascii="Times New Roman" w:hAnsi="Times New Roman"/>
                <w:szCs w:val="24"/>
              </w:rPr>
              <w:t>天然气制氢装置</w:t>
            </w:r>
          </w:p>
        </w:tc>
        <w:tc>
          <w:tcPr>
            <w:tcW w:w="1600" w:type="dxa"/>
            <w:tcBorders>
              <w:tl2br w:val="nil"/>
              <w:tr2bl w:val="nil"/>
            </w:tcBorders>
          </w:tcPr>
          <w:p w:rsidR="00525419" w:rsidRDefault="00EE1CF7">
            <w:pPr>
              <w:rPr>
                <w:rFonts w:ascii="Times New Roman" w:hAnsi="Times New Roman"/>
                <w:szCs w:val="24"/>
              </w:rPr>
            </w:pPr>
            <w:r>
              <w:rPr>
                <w:rFonts w:ascii="Times New Roman" w:hAnsi="Times New Roman"/>
                <w:szCs w:val="24"/>
              </w:rPr>
              <w:t>25000Nm³/h</w:t>
            </w:r>
          </w:p>
        </w:tc>
        <w:tc>
          <w:tcPr>
            <w:tcW w:w="4273" w:type="dxa"/>
            <w:tcBorders>
              <w:tl2br w:val="nil"/>
              <w:tr2bl w:val="nil"/>
            </w:tcBorders>
          </w:tcPr>
          <w:p w:rsidR="00525419" w:rsidRDefault="00EE1CF7">
            <w:pPr>
              <w:autoSpaceDE w:val="0"/>
              <w:autoSpaceDN w:val="0"/>
              <w:adjustRightInd w:val="0"/>
              <w:jc w:val="left"/>
              <w:rPr>
                <w:rFonts w:ascii="Times New Roman" w:hAnsi="Times New Roman"/>
                <w:szCs w:val="24"/>
              </w:rPr>
            </w:pPr>
            <w:r>
              <w:rPr>
                <w:rFonts w:ascii="Times New Roman" w:hAnsi="Times New Roman"/>
                <w:kern w:val="0"/>
                <w:szCs w:val="21"/>
              </w:rPr>
              <w:t>主要包括天然气蒸汽转化、</w:t>
            </w:r>
            <w:r>
              <w:rPr>
                <w:rFonts w:ascii="Times New Roman" w:hAnsi="Times New Roman" w:hint="eastAsia"/>
                <w:kern w:val="0"/>
                <w:szCs w:val="21"/>
              </w:rPr>
              <w:t>CO</w:t>
            </w:r>
            <w:r>
              <w:rPr>
                <w:rFonts w:ascii="Times New Roman" w:hAnsi="Times New Roman" w:hint="eastAsia"/>
                <w:kern w:val="0"/>
                <w:szCs w:val="21"/>
              </w:rPr>
              <w:t>变换、</w:t>
            </w:r>
            <w:r>
              <w:rPr>
                <w:rFonts w:ascii="Times New Roman" w:hAnsi="Times New Roman"/>
                <w:kern w:val="0"/>
                <w:szCs w:val="21"/>
              </w:rPr>
              <w:t>变压吸</w:t>
            </w:r>
            <w:r>
              <w:rPr>
                <w:rFonts w:ascii="Times New Roman" w:hAnsi="Times New Roman"/>
                <w:kern w:val="0"/>
                <w:szCs w:val="21"/>
              </w:rPr>
              <w:lastRenderedPageBreak/>
              <w:t>附工序等。</w:t>
            </w:r>
          </w:p>
        </w:tc>
      </w:tr>
      <w:tr w:rsidR="00525419">
        <w:trPr>
          <w:trHeight w:val="212"/>
        </w:trPr>
        <w:tc>
          <w:tcPr>
            <w:tcW w:w="675" w:type="dxa"/>
            <w:vMerge w:val="restart"/>
            <w:tcBorders>
              <w:tl2br w:val="nil"/>
              <w:tr2bl w:val="nil"/>
            </w:tcBorders>
          </w:tcPr>
          <w:p w:rsidR="00525419" w:rsidRDefault="00EE1CF7">
            <w:pPr>
              <w:rPr>
                <w:rFonts w:ascii="Times New Roman" w:hAnsi="Times New Roman"/>
                <w:szCs w:val="24"/>
              </w:rPr>
            </w:pPr>
            <w:r>
              <w:rPr>
                <w:rFonts w:ascii="Times New Roman" w:hAnsi="Times New Roman"/>
                <w:szCs w:val="24"/>
              </w:rPr>
              <w:lastRenderedPageBreak/>
              <w:t>硫磺回收装置</w:t>
            </w:r>
          </w:p>
        </w:tc>
        <w:tc>
          <w:tcPr>
            <w:tcW w:w="2020" w:type="dxa"/>
            <w:tcBorders>
              <w:tl2br w:val="nil"/>
              <w:tr2bl w:val="nil"/>
            </w:tcBorders>
          </w:tcPr>
          <w:p w:rsidR="00525419" w:rsidRDefault="00EE1CF7">
            <w:pPr>
              <w:rPr>
                <w:rFonts w:ascii="Times New Roman" w:hAnsi="Times New Roman"/>
                <w:szCs w:val="24"/>
              </w:rPr>
            </w:pPr>
            <w:r>
              <w:rPr>
                <w:rFonts w:ascii="Times New Roman" w:hAnsi="Times New Roman"/>
                <w:szCs w:val="24"/>
              </w:rPr>
              <w:t>酸性水汽提</w:t>
            </w:r>
          </w:p>
        </w:tc>
        <w:tc>
          <w:tcPr>
            <w:tcW w:w="1600" w:type="dxa"/>
            <w:tcBorders>
              <w:tl2br w:val="nil"/>
              <w:tr2bl w:val="nil"/>
            </w:tcBorders>
          </w:tcPr>
          <w:p w:rsidR="00525419" w:rsidRDefault="00EE1CF7">
            <w:pPr>
              <w:autoSpaceDE w:val="0"/>
              <w:autoSpaceDN w:val="0"/>
              <w:adjustRightInd w:val="0"/>
              <w:jc w:val="left"/>
              <w:rPr>
                <w:rFonts w:ascii="Times New Roman" w:hAnsi="Times New Roman"/>
                <w:szCs w:val="24"/>
              </w:rPr>
            </w:pPr>
            <w:r>
              <w:rPr>
                <w:rFonts w:ascii="Times New Roman" w:hAnsi="Times New Roman"/>
                <w:szCs w:val="24"/>
              </w:rPr>
              <w:t>55t/h</w:t>
            </w:r>
          </w:p>
        </w:tc>
        <w:tc>
          <w:tcPr>
            <w:tcW w:w="4273" w:type="dxa"/>
            <w:vMerge w:val="restart"/>
            <w:tcBorders>
              <w:tl2br w:val="nil"/>
              <w:tr2bl w:val="nil"/>
            </w:tcBorders>
          </w:tcPr>
          <w:p w:rsidR="00525419" w:rsidRDefault="00EE1CF7">
            <w:pPr>
              <w:autoSpaceDE w:val="0"/>
              <w:autoSpaceDN w:val="0"/>
              <w:adjustRightInd w:val="0"/>
              <w:jc w:val="left"/>
              <w:rPr>
                <w:rFonts w:ascii="Times New Roman" w:hAnsi="Times New Roman"/>
                <w:kern w:val="0"/>
                <w:szCs w:val="21"/>
              </w:rPr>
            </w:pPr>
            <w:r>
              <w:rPr>
                <w:rFonts w:ascii="Times New Roman" w:hAnsi="Times New Roman"/>
                <w:szCs w:val="24"/>
              </w:rPr>
              <w:t>硫磺回收装置</w:t>
            </w:r>
            <w:r>
              <w:rPr>
                <w:rFonts w:ascii="Times New Roman" w:hAnsi="Times New Roman"/>
                <w:kern w:val="0"/>
                <w:szCs w:val="21"/>
              </w:rPr>
              <w:t>主要包括硫磺回收、酸性水汽提和溶剂再生等。</w:t>
            </w:r>
          </w:p>
        </w:tc>
      </w:tr>
      <w:tr w:rsidR="00525419">
        <w:trPr>
          <w:trHeight w:val="188"/>
        </w:trPr>
        <w:tc>
          <w:tcPr>
            <w:tcW w:w="675" w:type="dxa"/>
            <w:vMerge/>
            <w:tcBorders>
              <w:tl2br w:val="nil"/>
              <w:tr2bl w:val="nil"/>
            </w:tcBorders>
          </w:tcPr>
          <w:p w:rsidR="00525419" w:rsidRDefault="00525419">
            <w:pPr>
              <w:rPr>
                <w:rFonts w:ascii="Times New Roman" w:hAnsi="Times New Roman"/>
                <w:szCs w:val="24"/>
              </w:rPr>
            </w:pPr>
          </w:p>
        </w:tc>
        <w:tc>
          <w:tcPr>
            <w:tcW w:w="2020" w:type="dxa"/>
            <w:tcBorders>
              <w:tl2br w:val="nil"/>
              <w:tr2bl w:val="nil"/>
            </w:tcBorders>
          </w:tcPr>
          <w:p w:rsidR="00525419" w:rsidRDefault="00EE1CF7">
            <w:pPr>
              <w:rPr>
                <w:rFonts w:ascii="Times New Roman" w:hAnsi="Times New Roman"/>
                <w:szCs w:val="24"/>
              </w:rPr>
            </w:pPr>
            <w:r>
              <w:rPr>
                <w:rFonts w:ascii="Times New Roman" w:hAnsi="Times New Roman"/>
                <w:szCs w:val="24"/>
              </w:rPr>
              <w:t>溶剂回收</w:t>
            </w:r>
          </w:p>
        </w:tc>
        <w:tc>
          <w:tcPr>
            <w:tcW w:w="1600" w:type="dxa"/>
            <w:tcBorders>
              <w:tl2br w:val="nil"/>
              <w:tr2bl w:val="nil"/>
            </w:tcBorders>
          </w:tcPr>
          <w:p w:rsidR="00525419" w:rsidRDefault="00EE1CF7">
            <w:pPr>
              <w:autoSpaceDE w:val="0"/>
              <w:autoSpaceDN w:val="0"/>
              <w:adjustRightInd w:val="0"/>
              <w:jc w:val="left"/>
              <w:rPr>
                <w:rFonts w:ascii="Times New Roman" w:hAnsi="Times New Roman"/>
                <w:szCs w:val="24"/>
              </w:rPr>
            </w:pPr>
            <w:r>
              <w:rPr>
                <w:rFonts w:ascii="Times New Roman" w:hAnsi="Times New Roman"/>
                <w:szCs w:val="24"/>
              </w:rPr>
              <w:t>40 t/h</w:t>
            </w:r>
          </w:p>
        </w:tc>
        <w:tc>
          <w:tcPr>
            <w:tcW w:w="4273" w:type="dxa"/>
            <w:vMerge/>
            <w:tcBorders>
              <w:tl2br w:val="nil"/>
              <w:tr2bl w:val="nil"/>
            </w:tcBorders>
          </w:tcPr>
          <w:p w:rsidR="00525419" w:rsidRDefault="00525419">
            <w:pPr>
              <w:autoSpaceDE w:val="0"/>
              <w:autoSpaceDN w:val="0"/>
              <w:adjustRightInd w:val="0"/>
              <w:jc w:val="left"/>
              <w:rPr>
                <w:rFonts w:ascii="Times New Roman" w:hAnsi="Times New Roman"/>
                <w:kern w:val="0"/>
                <w:szCs w:val="21"/>
              </w:rPr>
            </w:pPr>
          </w:p>
        </w:tc>
      </w:tr>
      <w:tr w:rsidR="00525419">
        <w:trPr>
          <w:trHeight w:val="200"/>
        </w:trPr>
        <w:tc>
          <w:tcPr>
            <w:tcW w:w="675" w:type="dxa"/>
            <w:vMerge/>
            <w:tcBorders>
              <w:tl2br w:val="nil"/>
              <w:tr2bl w:val="nil"/>
            </w:tcBorders>
          </w:tcPr>
          <w:p w:rsidR="00525419" w:rsidRDefault="00525419">
            <w:pPr>
              <w:rPr>
                <w:rFonts w:ascii="Times New Roman" w:hAnsi="Times New Roman"/>
                <w:szCs w:val="24"/>
              </w:rPr>
            </w:pPr>
          </w:p>
        </w:tc>
        <w:tc>
          <w:tcPr>
            <w:tcW w:w="2020" w:type="dxa"/>
            <w:tcBorders>
              <w:tl2br w:val="nil"/>
              <w:tr2bl w:val="nil"/>
            </w:tcBorders>
          </w:tcPr>
          <w:p w:rsidR="00525419" w:rsidRDefault="00EE1CF7">
            <w:pPr>
              <w:rPr>
                <w:rFonts w:ascii="Times New Roman" w:hAnsi="Times New Roman"/>
                <w:szCs w:val="24"/>
              </w:rPr>
            </w:pPr>
            <w:r>
              <w:rPr>
                <w:rFonts w:ascii="Times New Roman" w:hAnsi="Times New Roman"/>
                <w:szCs w:val="24"/>
              </w:rPr>
              <w:t>硫磺回收</w:t>
            </w:r>
          </w:p>
        </w:tc>
        <w:tc>
          <w:tcPr>
            <w:tcW w:w="1600" w:type="dxa"/>
            <w:tcBorders>
              <w:tl2br w:val="nil"/>
              <w:tr2bl w:val="nil"/>
            </w:tcBorders>
          </w:tcPr>
          <w:p w:rsidR="00525419" w:rsidRDefault="00EE1CF7">
            <w:pPr>
              <w:autoSpaceDE w:val="0"/>
              <w:autoSpaceDN w:val="0"/>
              <w:adjustRightInd w:val="0"/>
              <w:jc w:val="left"/>
              <w:rPr>
                <w:rFonts w:ascii="Times New Roman" w:hAnsi="Times New Roman"/>
                <w:szCs w:val="24"/>
              </w:rPr>
            </w:pPr>
            <w:r>
              <w:rPr>
                <w:rFonts w:ascii="Times New Roman" w:hAnsi="Times New Roman"/>
                <w:szCs w:val="24"/>
              </w:rPr>
              <w:t>1.5</w:t>
            </w:r>
            <w:r>
              <w:rPr>
                <w:rFonts w:ascii="Times New Roman" w:hAnsi="Times New Roman"/>
                <w:szCs w:val="24"/>
              </w:rPr>
              <w:t>万</w:t>
            </w:r>
            <w:r>
              <w:rPr>
                <w:rFonts w:ascii="Times New Roman" w:hAnsi="Times New Roman"/>
                <w:szCs w:val="24"/>
              </w:rPr>
              <w:t>t/a</w:t>
            </w:r>
          </w:p>
        </w:tc>
        <w:tc>
          <w:tcPr>
            <w:tcW w:w="4273" w:type="dxa"/>
            <w:vMerge/>
            <w:tcBorders>
              <w:tl2br w:val="nil"/>
              <w:tr2bl w:val="nil"/>
            </w:tcBorders>
          </w:tcPr>
          <w:p w:rsidR="00525419" w:rsidRDefault="00525419">
            <w:pPr>
              <w:autoSpaceDE w:val="0"/>
              <w:autoSpaceDN w:val="0"/>
              <w:adjustRightInd w:val="0"/>
              <w:jc w:val="left"/>
              <w:rPr>
                <w:rFonts w:ascii="Times New Roman" w:hAnsi="Times New Roman"/>
                <w:kern w:val="0"/>
                <w:szCs w:val="21"/>
              </w:rPr>
            </w:pPr>
          </w:p>
        </w:tc>
      </w:tr>
    </w:tbl>
    <w:p w:rsidR="00525419" w:rsidRDefault="00525419">
      <w:pPr>
        <w:rPr>
          <w:rFonts w:ascii="Times New Roman" w:hAnsi="Times New Roman"/>
        </w:rPr>
      </w:pP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3.3.1.2</w:t>
      </w:r>
      <w:r>
        <w:rPr>
          <w:rFonts w:ascii="Times New Roman" w:hAnsi="Times New Roman" w:cs="Times New Roman"/>
          <w:kern w:val="44"/>
          <w:sz w:val="24"/>
          <w:szCs w:val="24"/>
        </w:rPr>
        <w:t>变更后产品方案</w:t>
      </w:r>
    </w:p>
    <w:p w:rsidR="00525419" w:rsidRDefault="00EE1CF7">
      <w:pPr>
        <w:pStyle w:val="afffff2"/>
        <w:numPr>
          <w:ilvl w:val="0"/>
          <w:numId w:val="120"/>
        </w:numPr>
        <w:ind w:firstLineChars="100" w:firstLine="240"/>
        <w:rPr>
          <w:color w:val="auto"/>
          <w:szCs w:val="28"/>
        </w:rPr>
      </w:pPr>
      <w:r>
        <w:rPr>
          <w:color w:val="auto"/>
          <w:szCs w:val="28"/>
        </w:rPr>
        <w:t>产品组成</w:t>
      </w:r>
    </w:p>
    <w:p w:rsidR="00525419" w:rsidRDefault="00EE1CF7">
      <w:pPr>
        <w:pStyle w:val="afffff2"/>
        <w:ind w:leftChars="100" w:left="210" w:firstLineChars="0" w:firstLine="0"/>
        <w:rPr>
          <w:color w:val="auto"/>
          <w:szCs w:val="28"/>
        </w:rPr>
      </w:pPr>
      <w:r>
        <w:rPr>
          <w:color w:val="auto"/>
          <w:szCs w:val="28"/>
        </w:rPr>
        <w:t>变更后本项目各生产装置的产品方案见表</w:t>
      </w:r>
      <w:r>
        <w:rPr>
          <w:color w:val="auto"/>
          <w:szCs w:val="28"/>
        </w:rPr>
        <w:t>3.3-2</w:t>
      </w:r>
      <w:r>
        <w:rPr>
          <w:color w:val="auto"/>
          <w:szCs w:val="28"/>
        </w:rPr>
        <w:t>。</w:t>
      </w:r>
    </w:p>
    <w:p w:rsidR="00525419" w:rsidRDefault="00EE1CF7">
      <w:pPr>
        <w:ind w:firstLineChars="1100" w:firstLine="2310"/>
        <w:rPr>
          <w:rFonts w:ascii="Times New Roman" w:eastAsia="黑体" w:hAnsi="Times New Roman"/>
        </w:rPr>
      </w:pPr>
      <w:r>
        <w:rPr>
          <w:rFonts w:ascii="Times New Roman" w:eastAsia="黑体" w:hAnsi="Times New Roman"/>
        </w:rPr>
        <w:t>表</w:t>
      </w:r>
      <w:r>
        <w:rPr>
          <w:rFonts w:ascii="Times New Roman" w:eastAsia="黑体" w:hAnsi="Times New Roman"/>
        </w:rPr>
        <w:t>3.3-2</w:t>
      </w:r>
      <w:r>
        <w:rPr>
          <w:rFonts w:ascii="Times New Roman" w:eastAsia="黑体" w:hAnsi="Times New Roman"/>
        </w:rPr>
        <w:t xml:space="preserve">　　　生产装置产品方案一览表</w:t>
      </w:r>
    </w:p>
    <w:tbl>
      <w:tblPr>
        <w:tblW w:w="86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42"/>
        <w:gridCol w:w="1134"/>
        <w:gridCol w:w="1418"/>
        <w:gridCol w:w="2268"/>
        <w:gridCol w:w="2551"/>
      </w:tblGrid>
      <w:tr w:rsidR="00525419">
        <w:trPr>
          <w:trHeight w:val="540"/>
          <w:jc w:val="center"/>
        </w:trPr>
        <w:tc>
          <w:tcPr>
            <w:tcW w:w="1242" w:type="dxa"/>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szCs w:val="24"/>
              </w:rPr>
              <w:t>装置名称</w:t>
            </w:r>
          </w:p>
        </w:tc>
        <w:tc>
          <w:tcPr>
            <w:tcW w:w="1134" w:type="dxa"/>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szCs w:val="24"/>
              </w:rPr>
              <w:t>产品类别</w:t>
            </w:r>
          </w:p>
        </w:tc>
        <w:tc>
          <w:tcPr>
            <w:tcW w:w="1418" w:type="dxa"/>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szCs w:val="24"/>
              </w:rPr>
              <w:t>产品名称</w:t>
            </w:r>
          </w:p>
        </w:tc>
        <w:tc>
          <w:tcPr>
            <w:tcW w:w="2268" w:type="dxa"/>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szCs w:val="24"/>
              </w:rPr>
              <w:t>数量</w:t>
            </w:r>
          </w:p>
        </w:tc>
        <w:tc>
          <w:tcPr>
            <w:tcW w:w="2551" w:type="dxa"/>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szCs w:val="21"/>
              </w:rPr>
              <w:t>备注</w:t>
            </w:r>
          </w:p>
        </w:tc>
      </w:tr>
      <w:tr w:rsidR="00525419">
        <w:trPr>
          <w:trHeight w:val="133"/>
          <w:jc w:val="center"/>
        </w:trPr>
        <w:tc>
          <w:tcPr>
            <w:tcW w:w="1242" w:type="dxa"/>
            <w:vMerge w:val="restart"/>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szCs w:val="24"/>
              </w:rPr>
              <w:t>煤焦油</w:t>
            </w:r>
          </w:p>
          <w:p w:rsidR="00525419" w:rsidRDefault="00EE1CF7">
            <w:pPr>
              <w:spacing w:line="280" w:lineRule="exact"/>
              <w:rPr>
                <w:rFonts w:ascii="Times New Roman" w:hAnsi="Times New Roman"/>
                <w:szCs w:val="24"/>
              </w:rPr>
            </w:pPr>
            <w:r>
              <w:rPr>
                <w:rFonts w:ascii="Times New Roman" w:hAnsi="Times New Roman"/>
                <w:szCs w:val="24"/>
              </w:rPr>
              <w:t>加氢</w:t>
            </w:r>
          </w:p>
        </w:tc>
        <w:tc>
          <w:tcPr>
            <w:tcW w:w="1134" w:type="dxa"/>
            <w:vMerge w:val="restart"/>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szCs w:val="24"/>
              </w:rPr>
              <w:t>主产品</w:t>
            </w:r>
          </w:p>
        </w:tc>
        <w:tc>
          <w:tcPr>
            <w:tcW w:w="1418" w:type="dxa"/>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szCs w:val="24"/>
              </w:rPr>
              <w:t>柴油</w:t>
            </w:r>
          </w:p>
        </w:tc>
        <w:tc>
          <w:tcPr>
            <w:tcW w:w="2268" w:type="dxa"/>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hint="eastAsia"/>
                <w:szCs w:val="24"/>
              </w:rPr>
              <w:t>26.7</w:t>
            </w:r>
            <w:r>
              <w:rPr>
                <w:rFonts w:ascii="Times New Roman" w:hAnsi="Times New Roman"/>
                <w:szCs w:val="24"/>
              </w:rPr>
              <w:t>万</w:t>
            </w:r>
            <w:r>
              <w:rPr>
                <w:rFonts w:ascii="Times New Roman" w:hAnsi="Times New Roman"/>
                <w:szCs w:val="24"/>
              </w:rPr>
              <w:t>t/a</w:t>
            </w:r>
          </w:p>
        </w:tc>
        <w:tc>
          <w:tcPr>
            <w:tcW w:w="2551"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1"/>
              </w:rPr>
              <w:t>产品出售</w:t>
            </w:r>
          </w:p>
        </w:tc>
      </w:tr>
      <w:tr w:rsidR="00525419">
        <w:trPr>
          <w:trHeight w:val="265"/>
          <w:jc w:val="center"/>
        </w:trPr>
        <w:tc>
          <w:tcPr>
            <w:tcW w:w="1242" w:type="dxa"/>
            <w:vMerge/>
            <w:tcBorders>
              <w:tl2br w:val="nil"/>
              <w:tr2bl w:val="nil"/>
            </w:tcBorders>
            <w:vAlign w:val="center"/>
          </w:tcPr>
          <w:p w:rsidR="00525419" w:rsidRDefault="00525419">
            <w:pPr>
              <w:spacing w:line="280" w:lineRule="exact"/>
              <w:rPr>
                <w:rFonts w:ascii="Times New Roman" w:hAnsi="Times New Roman"/>
                <w:szCs w:val="24"/>
              </w:rPr>
            </w:pPr>
          </w:p>
        </w:tc>
        <w:tc>
          <w:tcPr>
            <w:tcW w:w="1134" w:type="dxa"/>
            <w:vMerge/>
            <w:tcBorders>
              <w:tl2br w:val="nil"/>
              <w:tr2bl w:val="nil"/>
            </w:tcBorders>
            <w:vAlign w:val="center"/>
          </w:tcPr>
          <w:p w:rsidR="00525419" w:rsidRDefault="00525419">
            <w:pPr>
              <w:spacing w:line="280" w:lineRule="exact"/>
              <w:rPr>
                <w:rFonts w:ascii="Times New Roman" w:hAnsi="Times New Roman"/>
                <w:szCs w:val="24"/>
              </w:rPr>
            </w:pPr>
          </w:p>
        </w:tc>
        <w:tc>
          <w:tcPr>
            <w:tcW w:w="1418" w:type="dxa"/>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szCs w:val="24"/>
              </w:rPr>
              <w:t>石脑油</w:t>
            </w:r>
          </w:p>
        </w:tc>
        <w:tc>
          <w:tcPr>
            <w:tcW w:w="2268" w:type="dxa"/>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hint="eastAsia"/>
                <w:szCs w:val="24"/>
              </w:rPr>
              <w:t>8</w:t>
            </w:r>
            <w:r>
              <w:rPr>
                <w:rFonts w:ascii="Times New Roman" w:hAnsi="Times New Roman"/>
                <w:szCs w:val="24"/>
              </w:rPr>
              <w:t>万</w:t>
            </w:r>
            <w:r>
              <w:rPr>
                <w:rFonts w:ascii="Times New Roman" w:hAnsi="Times New Roman"/>
                <w:szCs w:val="24"/>
              </w:rPr>
              <w:t>t/a</w:t>
            </w:r>
          </w:p>
        </w:tc>
        <w:tc>
          <w:tcPr>
            <w:tcW w:w="2551"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1"/>
              </w:rPr>
              <w:t>产品出售</w:t>
            </w:r>
          </w:p>
        </w:tc>
      </w:tr>
      <w:tr w:rsidR="00525419">
        <w:trPr>
          <w:trHeight w:val="90"/>
          <w:jc w:val="center"/>
        </w:trPr>
        <w:tc>
          <w:tcPr>
            <w:tcW w:w="1242" w:type="dxa"/>
            <w:vMerge/>
            <w:tcBorders>
              <w:tl2br w:val="nil"/>
              <w:tr2bl w:val="nil"/>
            </w:tcBorders>
            <w:vAlign w:val="center"/>
          </w:tcPr>
          <w:p w:rsidR="00525419" w:rsidRDefault="00525419">
            <w:pPr>
              <w:spacing w:line="280" w:lineRule="exact"/>
              <w:rPr>
                <w:rFonts w:ascii="Times New Roman" w:hAnsi="Times New Roman"/>
                <w:szCs w:val="24"/>
              </w:rPr>
            </w:pPr>
          </w:p>
        </w:tc>
        <w:tc>
          <w:tcPr>
            <w:tcW w:w="1134" w:type="dxa"/>
            <w:vMerge w:val="restart"/>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szCs w:val="24"/>
              </w:rPr>
              <w:t>副产品</w:t>
            </w:r>
          </w:p>
        </w:tc>
        <w:tc>
          <w:tcPr>
            <w:tcW w:w="1418" w:type="dxa"/>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szCs w:val="24"/>
              </w:rPr>
              <w:t>干气</w:t>
            </w:r>
          </w:p>
        </w:tc>
        <w:tc>
          <w:tcPr>
            <w:tcW w:w="2268" w:type="dxa"/>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hint="eastAsia"/>
                <w:szCs w:val="24"/>
              </w:rPr>
              <w:t>0.67</w:t>
            </w:r>
            <w:r>
              <w:rPr>
                <w:rFonts w:ascii="Times New Roman" w:hAnsi="Times New Roman"/>
                <w:szCs w:val="24"/>
              </w:rPr>
              <w:t>万</w:t>
            </w:r>
            <w:r>
              <w:rPr>
                <w:rFonts w:ascii="Times New Roman" w:hAnsi="Times New Roman"/>
                <w:szCs w:val="24"/>
              </w:rPr>
              <w:t>t/a</w:t>
            </w:r>
          </w:p>
        </w:tc>
        <w:tc>
          <w:tcPr>
            <w:tcW w:w="2551"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4"/>
              </w:rPr>
              <w:t>用于工艺燃料</w:t>
            </w:r>
          </w:p>
        </w:tc>
      </w:tr>
      <w:tr w:rsidR="00525419">
        <w:trPr>
          <w:trHeight w:val="213"/>
          <w:jc w:val="center"/>
        </w:trPr>
        <w:tc>
          <w:tcPr>
            <w:tcW w:w="1242" w:type="dxa"/>
            <w:vMerge/>
            <w:tcBorders>
              <w:tl2br w:val="nil"/>
              <w:tr2bl w:val="nil"/>
            </w:tcBorders>
            <w:vAlign w:val="center"/>
          </w:tcPr>
          <w:p w:rsidR="00525419" w:rsidRDefault="00525419">
            <w:pPr>
              <w:spacing w:line="280" w:lineRule="exact"/>
              <w:rPr>
                <w:rFonts w:ascii="Times New Roman" w:hAnsi="Times New Roman"/>
                <w:szCs w:val="24"/>
              </w:rPr>
            </w:pPr>
          </w:p>
        </w:tc>
        <w:tc>
          <w:tcPr>
            <w:tcW w:w="1134" w:type="dxa"/>
            <w:vMerge/>
            <w:tcBorders>
              <w:tl2br w:val="nil"/>
              <w:tr2bl w:val="nil"/>
            </w:tcBorders>
            <w:vAlign w:val="center"/>
          </w:tcPr>
          <w:p w:rsidR="00525419" w:rsidRDefault="00525419">
            <w:pPr>
              <w:spacing w:line="280" w:lineRule="exact"/>
              <w:rPr>
                <w:rFonts w:ascii="Times New Roman" w:hAnsi="Times New Roman"/>
                <w:szCs w:val="24"/>
              </w:rPr>
            </w:pPr>
          </w:p>
        </w:tc>
        <w:tc>
          <w:tcPr>
            <w:tcW w:w="1418" w:type="dxa"/>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szCs w:val="24"/>
              </w:rPr>
              <w:t>低分气</w:t>
            </w:r>
          </w:p>
        </w:tc>
        <w:tc>
          <w:tcPr>
            <w:tcW w:w="2268" w:type="dxa"/>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hint="eastAsia"/>
                <w:szCs w:val="24"/>
              </w:rPr>
              <w:t>0.92</w:t>
            </w:r>
            <w:r>
              <w:rPr>
                <w:rFonts w:ascii="Times New Roman" w:hAnsi="Times New Roman"/>
                <w:szCs w:val="24"/>
              </w:rPr>
              <w:t>万</w:t>
            </w:r>
            <w:r>
              <w:rPr>
                <w:rFonts w:ascii="Times New Roman" w:hAnsi="Times New Roman"/>
                <w:szCs w:val="24"/>
              </w:rPr>
              <w:t>t/a</w:t>
            </w:r>
          </w:p>
        </w:tc>
        <w:tc>
          <w:tcPr>
            <w:tcW w:w="2551" w:type="dxa"/>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szCs w:val="24"/>
              </w:rPr>
              <w:t>去</w:t>
            </w:r>
            <w:r>
              <w:rPr>
                <w:rFonts w:ascii="Times New Roman" w:hAnsi="Times New Roman"/>
                <w:szCs w:val="24"/>
              </w:rPr>
              <w:t>PSA</w:t>
            </w:r>
            <w:r>
              <w:rPr>
                <w:rFonts w:ascii="Times New Roman" w:hAnsi="Times New Roman"/>
                <w:szCs w:val="24"/>
              </w:rPr>
              <w:t>单元</w:t>
            </w:r>
          </w:p>
        </w:tc>
      </w:tr>
      <w:tr w:rsidR="00525419">
        <w:trPr>
          <w:trHeight w:val="255"/>
          <w:jc w:val="center"/>
        </w:trPr>
        <w:tc>
          <w:tcPr>
            <w:tcW w:w="1242" w:type="dxa"/>
            <w:vMerge/>
            <w:tcBorders>
              <w:tl2br w:val="nil"/>
              <w:tr2bl w:val="nil"/>
            </w:tcBorders>
            <w:vAlign w:val="center"/>
          </w:tcPr>
          <w:p w:rsidR="00525419" w:rsidRDefault="00525419">
            <w:pPr>
              <w:spacing w:line="280" w:lineRule="exact"/>
              <w:rPr>
                <w:rFonts w:ascii="Times New Roman" w:hAnsi="Times New Roman"/>
                <w:szCs w:val="24"/>
              </w:rPr>
            </w:pPr>
          </w:p>
        </w:tc>
        <w:tc>
          <w:tcPr>
            <w:tcW w:w="1134" w:type="dxa"/>
            <w:vMerge/>
            <w:tcBorders>
              <w:tl2br w:val="nil"/>
              <w:tr2bl w:val="nil"/>
            </w:tcBorders>
            <w:vAlign w:val="center"/>
          </w:tcPr>
          <w:p w:rsidR="00525419" w:rsidRDefault="00525419">
            <w:pPr>
              <w:spacing w:line="280" w:lineRule="exact"/>
              <w:rPr>
                <w:rFonts w:ascii="Times New Roman" w:hAnsi="Times New Roman"/>
                <w:szCs w:val="24"/>
              </w:rPr>
            </w:pPr>
          </w:p>
        </w:tc>
        <w:tc>
          <w:tcPr>
            <w:tcW w:w="1418" w:type="dxa"/>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szCs w:val="24"/>
              </w:rPr>
              <w:t>液化气</w:t>
            </w:r>
          </w:p>
        </w:tc>
        <w:tc>
          <w:tcPr>
            <w:tcW w:w="2268" w:type="dxa"/>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szCs w:val="24"/>
              </w:rPr>
              <w:t>1.36</w:t>
            </w:r>
            <w:r>
              <w:rPr>
                <w:rFonts w:ascii="Times New Roman" w:hAnsi="Times New Roman"/>
                <w:szCs w:val="24"/>
              </w:rPr>
              <w:t>万</w:t>
            </w:r>
            <w:r>
              <w:rPr>
                <w:rFonts w:ascii="Times New Roman" w:hAnsi="Times New Roman"/>
                <w:szCs w:val="24"/>
              </w:rPr>
              <w:t>t/a</w:t>
            </w:r>
          </w:p>
        </w:tc>
        <w:tc>
          <w:tcPr>
            <w:tcW w:w="2551"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1"/>
              </w:rPr>
              <w:t>产品出售</w:t>
            </w:r>
          </w:p>
        </w:tc>
      </w:tr>
      <w:tr w:rsidR="00525419">
        <w:trPr>
          <w:trHeight w:val="135"/>
          <w:jc w:val="center"/>
        </w:trPr>
        <w:tc>
          <w:tcPr>
            <w:tcW w:w="1242" w:type="dxa"/>
            <w:vMerge/>
            <w:tcBorders>
              <w:tl2br w:val="nil"/>
              <w:tr2bl w:val="nil"/>
            </w:tcBorders>
            <w:vAlign w:val="center"/>
          </w:tcPr>
          <w:p w:rsidR="00525419" w:rsidRDefault="00525419">
            <w:pPr>
              <w:spacing w:line="280" w:lineRule="exact"/>
              <w:rPr>
                <w:rFonts w:ascii="Times New Roman" w:hAnsi="Times New Roman"/>
                <w:szCs w:val="24"/>
              </w:rPr>
            </w:pPr>
          </w:p>
        </w:tc>
        <w:tc>
          <w:tcPr>
            <w:tcW w:w="1134" w:type="dxa"/>
            <w:vMerge/>
            <w:tcBorders>
              <w:tl2br w:val="nil"/>
              <w:tr2bl w:val="nil"/>
            </w:tcBorders>
            <w:vAlign w:val="center"/>
          </w:tcPr>
          <w:p w:rsidR="00525419" w:rsidRDefault="00525419">
            <w:pPr>
              <w:spacing w:line="280" w:lineRule="exact"/>
              <w:rPr>
                <w:rFonts w:ascii="Times New Roman" w:hAnsi="Times New Roman"/>
                <w:szCs w:val="24"/>
              </w:rPr>
            </w:pPr>
          </w:p>
        </w:tc>
        <w:tc>
          <w:tcPr>
            <w:tcW w:w="1418" w:type="dxa"/>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szCs w:val="21"/>
              </w:rPr>
              <w:t>尾油</w:t>
            </w:r>
          </w:p>
        </w:tc>
        <w:tc>
          <w:tcPr>
            <w:tcW w:w="2268" w:type="dxa"/>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szCs w:val="24"/>
              </w:rPr>
              <w:t>0.8</w:t>
            </w:r>
            <w:r>
              <w:rPr>
                <w:rFonts w:ascii="Times New Roman" w:hAnsi="Times New Roman"/>
                <w:szCs w:val="24"/>
              </w:rPr>
              <w:t>万</w:t>
            </w:r>
            <w:r>
              <w:rPr>
                <w:rFonts w:ascii="Times New Roman" w:hAnsi="Times New Roman"/>
                <w:szCs w:val="24"/>
              </w:rPr>
              <w:t>t/a</w:t>
            </w:r>
          </w:p>
        </w:tc>
        <w:tc>
          <w:tcPr>
            <w:tcW w:w="2551" w:type="dxa"/>
            <w:tcBorders>
              <w:tl2br w:val="nil"/>
              <w:tr2bl w:val="nil"/>
            </w:tcBorders>
            <w:vAlign w:val="center"/>
          </w:tcPr>
          <w:p w:rsidR="00525419" w:rsidRDefault="00EE1CF7">
            <w:pPr>
              <w:spacing w:line="280" w:lineRule="exact"/>
              <w:rPr>
                <w:rFonts w:ascii="Times New Roman" w:hAnsi="Times New Roman"/>
                <w:szCs w:val="21"/>
              </w:rPr>
            </w:pPr>
            <w:r>
              <w:rPr>
                <w:rFonts w:ascii="Times New Roman" w:hAnsi="Times New Roman"/>
                <w:szCs w:val="21"/>
              </w:rPr>
              <w:t>产品出售</w:t>
            </w:r>
          </w:p>
        </w:tc>
      </w:tr>
      <w:tr w:rsidR="00525419">
        <w:trPr>
          <w:trHeight w:val="283"/>
          <w:jc w:val="center"/>
        </w:trPr>
        <w:tc>
          <w:tcPr>
            <w:tcW w:w="1242" w:type="dxa"/>
            <w:vMerge w:val="restart"/>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szCs w:val="24"/>
              </w:rPr>
              <w:t>天然气</w:t>
            </w:r>
          </w:p>
          <w:p w:rsidR="00525419" w:rsidRDefault="00EE1CF7">
            <w:pPr>
              <w:spacing w:line="280" w:lineRule="exact"/>
              <w:rPr>
                <w:rFonts w:ascii="Times New Roman" w:hAnsi="Times New Roman"/>
                <w:szCs w:val="24"/>
              </w:rPr>
            </w:pPr>
            <w:r>
              <w:rPr>
                <w:rFonts w:ascii="Times New Roman" w:hAnsi="Times New Roman"/>
                <w:szCs w:val="24"/>
              </w:rPr>
              <w:t>制氢</w:t>
            </w:r>
          </w:p>
        </w:tc>
        <w:tc>
          <w:tcPr>
            <w:tcW w:w="1134" w:type="dxa"/>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szCs w:val="24"/>
              </w:rPr>
              <w:t>中间产品</w:t>
            </w:r>
          </w:p>
        </w:tc>
        <w:tc>
          <w:tcPr>
            <w:tcW w:w="1418" w:type="dxa"/>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szCs w:val="24"/>
              </w:rPr>
              <w:t>氢气</w:t>
            </w:r>
          </w:p>
        </w:tc>
        <w:tc>
          <w:tcPr>
            <w:tcW w:w="2268" w:type="dxa"/>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szCs w:val="24"/>
              </w:rPr>
              <w:t>25000Nm</w:t>
            </w:r>
            <w:r>
              <w:rPr>
                <w:rFonts w:ascii="Times New Roman" w:hAnsi="Times New Roman"/>
                <w:szCs w:val="24"/>
                <w:vertAlign w:val="superscript"/>
              </w:rPr>
              <w:t>3</w:t>
            </w:r>
            <w:r>
              <w:rPr>
                <w:rFonts w:ascii="Times New Roman" w:hAnsi="Times New Roman"/>
                <w:szCs w:val="24"/>
              </w:rPr>
              <w:t>/h</w:t>
            </w:r>
            <w:r>
              <w:rPr>
                <w:rFonts w:ascii="Times New Roman" w:hAnsi="Times New Roman"/>
                <w:szCs w:val="24"/>
              </w:rPr>
              <w:t>（</w:t>
            </w:r>
            <w:r>
              <w:rPr>
                <w:rFonts w:ascii="Times New Roman" w:hAnsi="Times New Roman" w:hint="eastAsia"/>
                <w:szCs w:val="24"/>
              </w:rPr>
              <w:t>16700</w:t>
            </w:r>
            <w:r>
              <w:rPr>
                <w:rFonts w:ascii="Times New Roman" w:hAnsi="Times New Roman"/>
                <w:szCs w:val="24"/>
              </w:rPr>
              <w:t>t/a</w:t>
            </w:r>
            <w:r>
              <w:rPr>
                <w:rFonts w:ascii="Times New Roman" w:hAnsi="Times New Roman"/>
                <w:szCs w:val="24"/>
              </w:rPr>
              <w:t>）</w:t>
            </w:r>
          </w:p>
        </w:tc>
        <w:tc>
          <w:tcPr>
            <w:tcW w:w="2551" w:type="dxa"/>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szCs w:val="24"/>
              </w:rPr>
              <w:t>用于加氢原料</w:t>
            </w:r>
          </w:p>
        </w:tc>
      </w:tr>
      <w:tr w:rsidR="00525419">
        <w:trPr>
          <w:trHeight w:val="225"/>
          <w:jc w:val="center"/>
        </w:trPr>
        <w:tc>
          <w:tcPr>
            <w:tcW w:w="1242" w:type="dxa"/>
            <w:vMerge/>
            <w:tcBorders>
              <w:tl2br w:val="nil"/>
              <w:tr2bl w:val="nil"/>
            </w:tcBorders>
            <w:vAlign w:val="center"/>
          </w:tcPr>
          <w:p w:rsidR="00525419" w:rsidRDefault="00525419">
            <w:pPr>
              <w:spacing w:line="280" w:lineRule="exact"/>
              <w:rPr>
                <w:rFonts w:ascii="Times New Roman" w:hAnsi="Times New Roman"/>
                <w:szCs w:val="24"/>
              </w:rPr>
            </w:pPr>
          </w:p>
        </w:tc>
        <w:tc>
          <w:tcPr>
            <w:tcW w:w="1134" w:type="dxa"/>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szCs w:val="24"/>
              </w:rPr>
              <w:t>副产品</w:t>
            </w:r>
          </w:p>
        </w:tc>
        <w:tc>
          <w:tcPr>
            <w:tcW w:w="1418" w:type="dxa"/>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szCs w:val="24"/>
              </w:rPr>
              <w:t>解吸气</w:t>
            </w:r>
          </w:p>
        </w:tc>
        <w:tc>
          <w:tcPr>
            <w:tcW w:w="2268" w:type="dxa"/>
            <w:tcBorders>
              <w:tl2br w:val="nil"/>
              <w:tr2bl w:val="nil"/>
            </w:tcBorders>
            <w:vAlign w:val="center"/>
          </w:tcPr>
          <w:p w:rsidR="00525419" w:rsidRDefault="00EE1CF7">
            <w:pPr>
              <w:rPr>
                <w:rFonts w:ascii="Times New Roman" w:hAnsi="Times New Roman"/>
                <w:szCs w:val="24"/>
              </w:rPr>
            </w:pPr>
            <w:r>
              <w:rPr>
                <w:rFonts w:ascii="Times New Roman" w:hAnsi="Times New Roman" w:hint="eastAsia"/>
                <w:szCs w:val="24"/>
              </w:rPr>
              <w:t>9976.8</w:t>
            </w:r>
            <w:r>
              <w:rPr>
                <w:rFonts w:ascii="Times New Roman" w:hAnsi="Times New Roman" w:hint="eastAsia"/>
                <w:szCs w:val="24"/>
              </w:rPr>
              <w:t>万</w:t>
            </w:r>
            <w:r>
              <w:rPr>
                <w:rFonts w:ascii="Times New Roman" w:hAnsi="Times New Roman"/>
                <w:szCs w:val="24"/>
              </w:rPr>
              <w:t>t/a</w:t>
            </w:r>
          </w:p>
          <w:p w:rsidR="00525419" w:rsidRDefault="00EE1CF7">
            <w:pPr>
              <w:rPr>
                <w:rFonts w:ascii="Times New Roman" w:hAnsi="Times New Roman"/>
                <w:szCs w:val="24"/>
              </w:rPr>
            </w:pPr>
            <w:r>
              <w:rPr>
                <w:rFonts w:ascii="Times New Roman" w:hAnsi="Times New Roman"/>
                <w:szCs w:val="24"/>
              </w:rPr>
              <w:t>（</w:t>
            </w:r>
            <w:r>
              <w:rPr>
                <w:rFonts w:ascii="Times New Roman" w:hAnsi="Times New Roman"/>
                <w:szCs w:val="24"/>
              </w:rPr>
              <w:t>12471 Nm</w:t>
            </w:r>
            <w:r>
              <w:rPr>
                <w:rFonts w:ascii="Times New Roman" w:hAnsi="Times New Roman"/>
                <w:szCs w:val="24"/>
                <w:vertAlign w:val="superscript"/>
              </w:rPr>
              <w:t>3</w:t>
            </w:r>
            <w:r>
              <w:rPr>
                <w:rFonts w:ascii="Times New Roman" w:hAnsi="Times New Roman"/>
                <w:szCs w:val="24"/>
              </w:rPr>
              <w:t>/h</w:t>
            </w:r>
            <w:r>
              <w:rPr>
                <w:rFonts w:ascii="Times New Roman" w:hAnsi="Times New Roman"/>
                <w:szCs w:val="24"/>
              </w:rPr>
              <w:t>）</w:t>
            </w:r>
          </w:p>
        </w:tc>
        <w:tc>
          <w:tcPr>
            <w:tcW w:w="2551" w:type="dxa"/>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szCs w:val="24"/>
              </w:rPr>
              <w:t>用于</w:t>
            </w:r>
            <w:r>
              <w:rPr>
                <w:rFonts w:ascii="Times New Roman" w:hAnsi="Times New Roman" w:hint="eastAsia"/>
                <w:szCs w:val="24"/>
              </w:rPr>
              <w:t>制氢转化炉</w:t>
            </w:r>
            <w:r>
              <w:rPr>
                <w:rFonts w:ascii="Times New Roman" w:hAnsi="Times New Roman"/>
                <w:szCs w:val="24"/>
              </w:rPr>
              <w:t>燃料</w:t>
            </w:r>
          </w:p>
        </w:tc>
      </w:tr>
      <w:tr w:rsidR="00525419">
        <w:trPr>
          <w:trHeight w:val="263"/>
          <w:jc w:val="center"/>
        </w:trPr>
        <w:tc>
          <w:tcPr>
            <w:tcW w:w="1242" w:type="dxa"/>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szCs w:val="24"/>
              </w:rPr>
              <w:t>硫磺回收</w:t>
            </w:r>
          </w:p>
        </w:tc>
        <w:tc>
          <w:tcPr>
            <w:tcW w:w="1134" w:type="dxa"/>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szCs w:val="24"/>
              </w:rPr>
              <w:t>副产品</w:t>
            </w:r>
          </w:p>
        </w:tc>
        <w:tc>
          <w:tcPr>
            <w:tcW w:w="1418" w:type="dxa"/>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szCs w:val="24"/>
              </w:rPr>
              <w:t>硫磺</w:t>
            </w:r>
          </w:p>
        </w:tc>
        <w:tc>
          <w:tcPr>
            <w:tcW w:w="2268" w:type="dxa"/>
            <w:tcBorders>
              <w:tl2br w:val="nil"/>
              <w:tr2bl w:val="nil"/>
            </w:tcBorders>
            <w:vAlign w:val="center"/>
          </w:tcPr>
          <w:p w:rsidR="00525419" w:rsidRDefault="00EE1CF7">
            <w:pPr>
              <w:rPr>
                <w:rFonts w:ascii="Times New Roman" w:hAnsi="Times New Roman"/>
                <w:szCs w:val="24"/>
              </w:rPr>
            </w:pPr>
            <w:r>
              <w:rPr>
                <w:rFonts w:ascii="Times New Roman" w:hAnsi="Times New Roman"/>
                <w:szCs w:val="24"/>
              </w:rPr>
              <w:t>1.0192</w:t>
            </w:r>
            <w:r>
              <w:rPr>
                <w:rFonts w:ascii="Times New Roman" w:hAnsi="Times New Roman"/>
                <w:szCs w:val="21"/>
              </w:rPr>
              <w:t>×10</w:t>
            </w:r>
            <w:r>
              <w:rPr>
                <w:rFonts w:ascii="Times New Roman" w:hAnsi="Times New Roman"/>
                <w:szCs w:val="21"/>
                <w:vertAlign w:val="superscript"/>
              </w:rPr>
              <w:t>4</w:t>
            </w:r>
            <w:r>
              <w:rPr>
                <w:rFonts w:ascii="Times New Roman" w:hAnsi="Times New Roman"/>
                <w:szCs w:val="24"/>
              </w:rPr>
              <w:t>t/a</w:t>
            </w:r>
          </w:p>
        </w:tc>
        <w:tc>
          <w:tcPr>
            <w:tcW w:w="2551" w:type="dxa"/>
            <w:tcBorders>
              <w:tl2br w:val="nil"/>
              <w:tr2bl w:val="nil"/>
            </w:tcBorders>
            <w:vAlign w:val="center"/>
          </w:tcPr>
          <w:p w:rsidR="00525419" w:rsidRDefault="00EE1CF7">
            <w:pPr>
              <w:spacing w:line="280" w:lineRule="exact"/>
              <w:rPr>
                <w:rFonts w:ascii="Times New Roman" w:hAnsi="Times New Roman"/>
                <w:szCs w:val="24"/>
              </w:rPr>
            </w:pPr>
            <w:r>
              <w:rPr>
                <w:rFonts w:ascii="Times New Roman" w:hAnsi="Times New Roman"/>
                <w:szCs w:val="21"/>
              </w:rPr>
              <w:t>产品出售</w:t>
            </w:r>
          </w:p>
        </w:tc>
      </w:tr>
    </w:tbl>
    <w:p w:rsidR="00525419" w:rsidRDefault="00525419">
      <w:pPr>
        <w:rPr>
          <w:rFonts w:ascii="Times New Roman" w:hAnsi="Times New Roman"/>
        </w:rPr>
      </w:pPr>
    </w:p>
    <w:p w:rsidR="00525419" w:rsidRDefault="00EE1CF7">
      <w:pPr>
        <w:pStyle w:val="afffff2"/>
        <w:ind w:firstLineChars="200" w:firstLine="480"/>
        <w:rPr>
          <w:color w:val="auto"/>
          <w:szCs w:val="28"/>
        </w:rPr>
      </w:pPr>
      <w:r>
        <w:rPr>
          <w:color w:val="auto"/>
          <w:szCs w:val="28"/>
        </w:rPr>
        <w:t>（</w:t>
      </w:r>
      <w:r>
        <w:rPr>
          <w:color w:val="auto"/>
          <w:szCs w:val="28"/>
        </w:rPr>
        <w:t>2</w:t>
      </w:r>
      <w:r>
        <w:rPr>
          <w:color w:val="auto"/>
          <w:szCs w:val="28"/>
        </w:rPr>
        <w:t>）主要产品性质</w:t>
      </w:r>
    </w:p>
    <w:p w:rsidR="00525419" w:rsidRDefault="00EE1CF7">
      <w:pPr>
        <w:pStyle w:val="afffff2"/>
        <w:ind w:firstLineChars="200" w:firstLine="480"/>
        <w:rPr>
          <w:color w:val="auto"/>
          <w:szCs w:val="28"/>
        </w:rPr>
      </w:pPr>
      <w:r>
        <w:rPr>
          <w:color w:val="auto"/>
          <w:szCs w:val="28"/>
        </w:rPr>
        <w:t>产品性质分别见表</w:t>
      </w:r>
      <w:r>
        <w:rPr>
          <w:color w:val="auto"/>
          <w:szCs w:val="28"/>
        </w:rPr>
        <w:t>3.3-3</w:t>
      </w:r>
      <w:r>
        <w:rPr>
          <w:color w:val="auto"/>
          <w:szCs w:val="28"/>
        </w:rPr>
        <w:t>至</w:t>
      </w:r>
      <w:r>
        <w:rPr>
          <w:color w:val="auto"/>
          <w:szCs w:val="28"/>
        </w:rPr>
        <w:t>3.3-9</w:t>
      </w:r>
      <w:r>
        <w:rPr>
          <w:color w:val="auto"/>
          <w:szCs w:val="28"/>
        </w:rPr>
        <w:t>。</w:t>
      </w:r>
    </w:p>
    <w:p w:rsidR="00525419" w:rsidRDefault="00EE1CF7">
      <w:pPr>
        <w:jc w:val="center"/>
        <w:rPr>
          <w:rFonts w:ascii="Times New Roman" w:eastAsia="黑体" w:hAnsi="Times New Roman"/>
        </w:rPr>
      </w:pPr>
      <w:r>
        <w:rPr>
          <w:rFonts w:ascii="Times New Roman" w:eastAsia="黑体" w:hAnsi="Times New Roman"/>
        </w:rPr>
        <w:t>表</w:t>
      </w:r>
      <w:r>
        <w:rPr>
          <w:rFonts w:ascii="Times New Roman" w:eastAsia="黑体" w:hAnsi="Times New Roman"/>
        </w:rPr>
        <w:t xml:space="preserve">3.3-3 </w:t>
      </w:r>
      <w:r>
        <w:rPr>
          <w:rFonts w:ascii="Times New Roman" w:eastAsia="黑体" w:hAnsi="Times New Roman"/>
        </w:rPr>
        <w:t xml:space="preserve">　柴油性质</w:t>
      </w:r>
    </w:p>
    <w:tbl>
      <w:tblPr>
        <w:tblW w:w="85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095"/>
        <w:gridCol w:w="4431"/>
      </w:tblGrid>
      <w:tr w:rsidR="00525419">
        <w:trPr>
          <w:cantSplit/>
          <w:trHeight w:val="121"/>
          <w:jc w:val="center"/>
        </w:trPr>
        <w:tc>
          <w:tcPr>
            <w:tcW w:w="4095"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项目</w:t>
            </w:r>
          </w:p>
        </w:tc>
        <w:tc>
          <w:tcPr>
            <w:tcW w:w="4431" w:type="dxa"/>
            <w:tcBorders>
              <w:tl2br w:val="nil"/>
              <w:tr2bl w:val="nil"/>
            </w:tcBorders>
          </w:tcPr>
          <w:p w:rsidR="00525419" w:rsidRDefault="00EE1CF7">
            <w:pPr>
              <w:spacing w:before="100" w:beforeAutospacing="1" w:after="100" w:afterAutospacing="1"/>
              <w:jc w:val="center"/>
              <w:rPr>
                <w:rFonts w:ascii="Times New Roman" w:hAnsi="Times New Roman"/>
                <w:szCs w:val="21"/>
              </w:rPr>
            </w:pPr>
            <w:r>
              <w:rPr>
                <w:rFonts w:ascii="Times New Roman" w:hAnsi="Times New Roman"/>
                <w:szCs w:val="21"/>
              </w:rPr>
              <w:t>指标</w:t>
            </w:r>
          </w:p>
        </w:tc>
      </w:tr>
      <w:tr w:rsidR="00525419">
        <w:trPr>
          <w:cantSplit/>
          <w:trHeight w:val="269"/>
          <w:jc w:val="center"/>
        </w:trPr>
        <w:tc>
          <w:tcPr>
            <w:tcW w:w="4095" w:type="dxa"/>
            <w:tcBorders>
              <w:tl2br w:val="nil"/>
              <w:tr2bl w:val="nil"/>
            </w:tcBorders>
            <w:vAlign w:val="center"/>
          </w:tcPr>
          <w:p w:rsidR="00525419" w:rsidRDefault="00EE1CF7">
            <w:pPr>
              <w:spacing w:beforeLines="5" w:before="15" w:afterLines="5" w:after="15"/>
              <w:rPr>
                <w:rFonts w:ascii="Times New Roman" w:hAnsi="Times New Roman"/>
                <w:szCs w:val="21"/>
              </w:rPr>
            </w:pPr>
            <w:r>
              <w:rPr>
                <w:rFonts w:ascii="Times New Roman" w:hAnsi="Times New Roman"/>
                <w:szCs w:val="21"/>
              </w:rPr>
              <w:t>馏分范围</w:t>
            </w:r>
            <w:r>
              <w:rPr>
                <w:rFonts w:ascii="Times New Roman" w:hAnsi="Times New Roman"/>
                <w:szCs w:val="21"/>
              </w:rPr>
              <w:t>/℃</w:t>
            </w:r>
          </w:p>
        </w:tc>
        <w:tc>
          <w:tcPr>
            <w:tcW w:w="4431" w:type="dxa"/>
            <w:tcBorders>
              <w:tl2br w:val="nil"/>
              <w:tr2bl w:val="nil"/>
            </w:tcBorders>
          </w:tcPr>
          <w:p w:rsidR="00525419" w:rsidRDefault="00EE1CF7">
            <w:pPr>
              <w:spacing w:beforeLines="5" w:before="15" w:afterLines="5" w:after="15"/>
              <w:jc w:val="center"/>
              <w:rPr>
                <w:rFonts w:ascii="Times New Roman" w:hAnsi="Times New Roman"/>
                <w:szCs w:val="21"/>
              </w:rPr>
            </w:pPr>
            <w:r>
              <w:rPr>
                <w:rFonts w:ascii="Times New Roman" w:hAnsi="Times New Roman"/>
                <w:szCs w:val="21"/>
              </w:rPr>
              <w:t>160-380</w:t>
            </w:r>
          </w:p>
        </w:tc>
      </w:tr>
      <w:tr w:rsidR="00525419">
        <w:trPr>
          <w:cantSplit/>
          <w:trHeight w:val="65"/>
          <w:jc w:val="center"/>
        </w:trPr>
        <w:tc>
          <w:tcPr>
            <w:tcW w:w="4095" w:type="dxa"/>
            <w:tcBorders>
              <w:tl2br w:val="nil"/>
              <w:tr2bl w:val="nil"/>
            </w:tcBorders>
            <w:vAlign w:val="center"/>
          </w:tcPr>
          <w:p w:rsidR="00525419" w:rsidRDefault="00EE1CF7">
            <w:pPr>
              <w:spacing w:beforeLines="5" w:before="15" w:afterLines="5" w:after="15"/>
              <w:rPr>
                <w:rFonts w:ascii="Times New Roman" w:hAnsi="Times New Roman"/>
                <w:szCs w:val="21"/>
              </w:rPr>
            </w:pPr>
            <w:r>
              <w:rPr>
                <w:rFonts w:ascii="Times New Roman" w:hAnsi="Times New Roman"/>
                <w:szCs w:val="21"/>
              </w:rPr>
              <w:t>密度</w:t>
            </w:r>
            <w:r>
              <w:rPr>
                <w:rFonts w:ascii="Times New Roman" w:hAnsi="Times New Roman"/>
                <w:szCs w:val="21"/>
              </w:rPr>
              <w:t>(20℃)/g.cm</w:t>
            </w:r>
            <w:r>
              <w:rPr>
                <w:rFonts w:ascii="Times New Roman" w:hAnsi="Times New Roman"/>
                <w:szCs w:val="21"/>
                <w:vertAlign w:val="superscript"/>
              </w:rPr>
              <w:t>-3</w:t>
            </w:r>
          </w:p>
        </w:tc>
        <w:tc>
          <w:tcPr>
            <w:tcW w:w="4431" w:type="dxa"/>
            <w:tcBorders>
              <w:tl2br w:val="nil"/>
              <w:tr2bl w:val="nil"/>
            </w:tcBorders>
            <w:vAlign w:val="center"/>
          </w:tcPr>
          <w:p w:rsidR="00525419" w:rsidRDefault="00EE1CF7">
            <w:pPr>
              <w:spacing w:beforeLines="5" w:before="15" w:afterLines="5" w:after="15"/>
              <w:jc w:val="center"/>
              <w:rPr>
                <w:rFonts w:ascii="Times New Roman" w:hAnsi="Times New Roman"/>
                <w:szCs w:val="21"/>
              </w:rPr>
            </w:pPr>
            <w:r>
              <w:rPr>
                <w:rFonts w:ascii="Times New Roman" w:hAnsi="Times New Roman"/>
                <w:szCs w:val="21"/>
              </w:rPr>
              <w:t>0.842</w:t>
            </w:r>
          </w:p>
        </w:tc>
      </w:tr>
      <w:tr w:rsidR="00525419">
        <w:trPr>
          <w:cantSplit/>
          <w:trHeight w:val="75"/>
          <w:jc w:val="center"/>
        </w:trPr>
        <w:tc>
          <w:tcPr>
            <w:tcW w:w="4095" w:type="dxa"/>
            <w:tcBorders>
              <w:tl2br w:val="nil"/>
              <w:tr2bl w:val="nil"/>
            </w:tcBorders>
            <w:vAlign w:val="center"/>
          </w:tcPr>
          <w:p w:rsidR="00525419" w:rsidRDefault="00EE1CF7">
            <w:pPr>
              <w:spacing w:beforeLines="5" w:before="15" w:afterLines="5" w:after="15"/>
              <w:rPr>
                <w:rFonts w:ascii="Times New Roman" w:hAnsi="Times New Roman"/>
                <w:szCs w:val="21"/>
              </w:rPr>
            </w:pPr>
            <w:r>
              <w:rPr>
                <w:rFonts w:ascii="Times New Roman" w:hAnsi="Times New Roman"/>
                <w:szCs w:val="21"/>
              </w:rPr>
              <w:t>馏程（</w:t>
            </w:r>
            <w:r>
              <w:rPr>
                <w:rFonts w:ascii="Times New Roman" w:hAnsi="Times New Roman"/>
                <w:szCs w:val="21"/>
              </w:rPr>
              <w:t>ASTM D86</w:t>
            </w:r>
            <w:r>
              <w:rPr>
                <w:rFonts w:ascii="Times New Roman" w:hAnsi="Times New Roman"/>
                <w:szCs w:val="21"/>
              </w:rPr>
              <w:t>）</w:t>
            </w:r>
            <w:r>
              <w:rPr>
                <w:rFonts w:ascii="Times New Roman" w:hAnsi="Times New Roman"/>
                <w:szCs w:val="21"/>
              </w:rPr>
              <w:t>/℃</w:t>
            </w:r>
          </w:p>
        </w:tc>
        <w:tc>
          <w:tcPr>
            <w:tcW w:w="4431" w:type="dxa"/>
            <w:tcBorders>
              <w:tl2br w:val="nil"/>
              <w:tr2bl w:val="nil"/>
            </w:tcBorders>
            <w:vAlign w:val="center"/>
          </w:tcPr>
          <w:p w:rsidR="00525419" w:rsidRDefault="00525419">
            <w:pPr>
              <w:widowControl/>
              <w:jc w:val="center"/>
              <w:rPr>
                <w:rFonts w:ascii="Times New Roman" w:hAnsi="Times New Roman"/>
                <w:szCs w:val="21"/>
              </w:rPr>
            </w:pPr>
          </w:p>
        </w:tc>
      </w:tr>
      <w:tr w:rsidR="00525419">
        <w:trPr>
          <w:cantSplit/>
          <w:trHeight w:val="65"/>
          <w:jc w:val="center"/>
        </w:trPr>
        <w:tc>
          <w:tcPr>
            <w:tcW w:w="4095" w:type="dxa"/>
            <w:tcBorders>
              <w:tl2br w:val="nil"/>
              <w:tr2bl w:val="nil"/>
            </w:tcBorders>
            <w:vAlign w:val="center"/>
          </w:tcPr>
          <w:p w:rsidR="00525419" w:rsidRDefault="00EE1CF7">
            <w:pPr>
              <w:spacing w:beforeLines="5" w:before="15" w:afterLines="5" w:after="15"/>
              <w:ind w:firstLineChars="100" w:firstLine="210"/>
              <w:rPr>
                <w:rFonts w:ascii="Times New Roman" w:hAnsi="Times New Roman"/>
                <w:szCs w:val="21"/>
              </w:rPr>
            </w:pPr>
            <w:r>
              <w:rPr>
                <w:rFonts w:ascii="Times New Roman" w:hAnsi="Times New Roman"/>
                <w:szCs w:val="21"/>
              </w:rPr>
              <w:t>IBP/10%/30%/50%</w:t>
            </w:r>
          </w:p>
        </w:tc>
        <w:tc>
          <w:tcPr>
            <w:tcW w:w="4431"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162/197/242/280</w:t>
            </w:r>
          </w:p>
        </w:tc>
      </w:tr>
      <w:tr w:rsidR="00525419">
        <w:trPr>
          <w:cantSplit/>
          <w:trHeight w:val="119"/>
          <w:jc w:val="center"/>
        </w:trPr>
        <w:tc>
          <w:tcPr>
            <w:tcW w:w="4095" w:type="dxa"/>
            <w:tcBorders>
              <w:tl2br w:val="nil"/>
              <w:tr2bl w:val="nil"/>
            </w:tcBorders>
            <w:vAlign w:val="center"/>
          </w:tcPr>
          <w:p w:rsidR="00525419" w:rsidRDefault="00EE1CF7">
            <w:pPr>
              <w:spacing w:beforeLines="5" w:before="15" w:afterLines="5" w:after="15"/>
              <w:ind w:firstLineChars="100" w:firstLine="210"/>
              <w:rPr>
                <w:rFonts w:ascii="Times New Roman" w:hAnsi="Times New Roman"/>
                <w:szCs w:val="21"/>
              </w:rPr>
            </w:pPr>
            <w:r>
              <w:rPr>
                <w:rFonts w:ascii="Times New Roman" w:hAnsi="Times New Roman"/>
                <w:szCs w:val="21"/>
              </w:rPr>
              <w:t>70%/90%/95%/EBP</w:t>
            </w:r>
          </w:p>
        </w:tc>
        <w:tc>
          <w:tcPr>
            <w:tcW w:w="4431"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322/360/373/378</w:t>
            </w:r>
          </w:p>
        </w:tc>
      </w:tr>
      <w:tr w:rsidR="00525419">
        <w:trPr>
          <w:cantSplit/>
          <w:trHeight w:val="132"/>
          <w:jc w:val="center"/>
        </w:trPr>
        <w:tc>
          <w:tcPr>
            <w:tcW w:w="4095" w:type="dxa"/>
            <w:tcBorders>
              <w:tl2br w:val="nil"/>
              <w:tr2bl w:val="nil"/>
            </w:tcBorders>
            <w:vAlign w:val="center"/>
          </w:tcPr>
          <w:p w:rsidR="00525419" w:rsidRDefault="00EE1CF7">
            <w:pPr>
              <w:spacing w:beforeLines="5" w:before="15" w:afterLines="5" w:after="15"/>
              <w:rPr>
                <w:rFonts w:ascii="Times New Roman" w:hAnsi="Times New Roman"/>
                <w:szCs w:val="21"/>
              </w:rPr>
            </w:pPr>
            <w:r>
              <w:rPr>
                <w:rFonts w:ascii="Times New Roman" w:hAnsi="Times New Roman"/>
                <w:szCs w:val="21"/>
              </w:rPr>
              <w:t>硫</w:t>
            </w:r>
            <w:r>
              <w:rPr>
                <w:rFonts w:ascii="Times New Roman" w:hAnsi="Times New Roman"/>
                <w:szCs w:val="21"/>
              </w:rPr>
              <w:t>/μg.g</w:t>
            </w:r>
            <w:r>
              <w:rPr>
                <w:rFonts w:ascii="Times New Roman" w:hAnsi="Times New Roman"/>
                <w:szCs w:val="21"/>
                <w:vertAlign w:val="superscript"/>
              </w:rPr>
              <w:t>-1</w:t>
            </w:r>
          </w:p>
        </w:tc>
        <w:tc>
          <w:tcPr>
            <w:tcW w:w="4431" w:type="dxa"/>
            <w:tcBorders>
              <w:tl2br w:val="nil"/>
              <w:tr2bl w:val="nil"/>
            </w:tcBorders>
            <w:vAlign w:val="center"/>
          </w:tcPr>
          <w:p w:rsidR="00525419" w:rsidRDefault="00EE1CF7">
            <w:pPr>
              <w:spacing w:before="100" w:beforeAutospacing="1" w:after="100" w:afterAutospacing="1"/>
              <w:jc w:val="center"/>
              <w:rPr>
                <w:rFonts w:ascii="Times New Roman" w:hAnsi="Times New Roman"/>
                <w:szCs w:val="21"/>
              </w:rPr>
            </w:pPr>
            <w:r>
              <w:rPr>
                <w:rFonts w:ascii="Times New Roman" w:hAnsi="Times New Roman"/>
                <w:szCs w:val="21"/>
              </w:rPr>
              <w:t>＜</w:t>
            </w:r>
            <w:r>
              <w:rPr>
                <w:rFonts w:ascii="Times New Roman" w:hAnsi="Times New Roman"/>
                <w:szCs w:val="21"/>
              </w:rPr>
              <w:t>5.0</w:t>
            </w:r>
          </w:p>
        </w:tc>
      </w:tr>
      <w:tr w:rsidR="00525419">
        <w:trPr>
          <w:cantSplit/>
          <w:trHeight w:val="208"/>
          <w:jc w:val="center"/>
        </w:trPr>
        <w:tc>
          <w:tcPr>
            <w:tcW w:w="4095" w:type="dxa"/>
            <w:tcBorders>
              <w:tl2br w:val="nil"/>
              <w:tr2bl w:val="nil"/>
            </w:tcBorders>
            <w:vAlign w:val="center"/>
          </w:tcPr>
          <w:p w:rsidR="00525419" w:rsidRDefault="00EE1CF7">
            <w:pPr>
              <w:spacing w:beforeLines="5" w:before="15" w:afterLines="5" w:after="15"/>
              <w:rPr>
                <w:rFonts w:ascii="Times New Roman" w:hAnsi="Times New Roman"/>
                <w:szCs w:val="21"/>
              </w:rPr>
            </w:pPr>
            <w:r>
              <w:rPr>
                <w:rFonts w:ascii="Times New Roman" w:hAnsi="Times New Roman"/>
                <w:szCs w:val="21"/>
              </w:rPr>
              <w:t>氮</w:t>
            </w:r>
            <w:r>
              <w:rPr>
                <w:rFonts w:ascii="Times New Roman" w:hAnsi="Times New Roman"/>
                <w:szCs w:val="21"/>
              </w:rPr>
              <w:t>/μg.g</w:t>
            </w:r>
            <w:r>
              <w:rPr>
                <w:rFonts w:ascii="Times New Roman" w:hAnsi="Times New Roman"/>
                <w:szCs w:val="21"/>
                <w:vertAlign w:val="superscript"/>
              </w:rPr>
              <w:t>-1</w:t>
            </w:r>
          </w:p>
        </w:tc>
        <w:tc>
          <w:tcPr>
            <w:tcW w:w="4431" w:type="dxa"/>
            <w:tcBorders>
              <w:tl2br w:val="nil"/>
              <w:tr2bl w:val="nil"/>
            </w:tcBorders>
            <w:vAlign w:val="center"/>
          </w:tcPr>
          <w:p w:rsidR="00525419" w:rsidRDefault="00EE1CF7">
            <w:pPr>
              <w:spacing w:before="100" w:beforeAutospacing="1" w:after="100" w:afterAutospacing="1"/>
              <w:jc w:val="center"/>
              <w:rPr>
                <w:rFonts w:ascii="Times New Roman" w:hAnsi="Times New Roman"/>
                <w:szCs w:val="21"/>
              </w:rPr>
            </w:pPr>
            <w:r>
              <w:rPr>
                <w:rFonts w:ascii="Times New Roman" w:hAnsi="Times New Roman"/>
                <w:szCs w:val="21"/>
              </w:rPr>
              <w:t>＜</w:t>
            </w:r>
            <w:r>
              <w:rPr>
                <w:rFonts w:ascii="Times New Roman" w:hAnsi="Times New Roman"/>
                <w:szCs w:val="21"/>
              </w:rPr>
              <w:t>1.0</w:t>
            </w:r>
          </w:p>
        </w:tc>
      </w:tr>
      <w:tr w:rsidR="00525419">
        <w:trPr>
          <w:cantSplit/>
          <w:trHeight w:val="128"/>
          <w:jc w:val="center"/>
        </w:trPr>
        <w:tc>
          <w:tcPr>
            <w:tcW w:w="4095" w:type="dxa"/>
            <w:tcBorders>
              <w:tl2br w:val="nil"/>
              <w:tr2bl w:val="nil"/>
            </w:tcBorders>
            <w:vAlign w:val="center"/>
          </w:tcPr>
          <w:p w:rsidR="00525419" w:rsidRDefault="00EE1CF7">
            <w:pPr>
              <w:spacing w:beforeLines="5" w:before="15" w:afterLines="5" w:after="15"/>
              <w:rPr>
                <w:rFonts w:ascii="Times New Roman" w:hAnsi="Times New Roman"/>
                <w:szCs w:val="21"/>
              </w:rPr>
            </w:pPr>
            <w:r>
              <w:rPr>
                <w:rFonts w:ascii="Times New Roman" w:hAnsi="Times New Roman"/>
                <w:szCs w:val="21"/>
              </w:rPr>
              <w:t>凝点</w:t>
            </w:r>
            <w:r>
              <w:rPr>
                <w:rFonts w:ascii="Times New Roman" w:hAnsi="Times New Roman"/>
                <w:szCs w:val="21"/>
              </w:rPr>
              <w:t>/℃</w:t>
            </w:r>
          </w:p>
        </w:tc>
        <w:tc>
          <w:tcPr>
            <w:tcW w:w="4431" w:type="dxa"/>
            <w:tcBorders>
              <w:tl2br w:val="nil"/>
              <w:tr2bl w:val="nil"/>
            </w:tcBorders>
            <w:vAlign w:val="center"/>
          </w:tcPr>
          <w:p w:rsidR="00525419" w:rsidRDefault="00EE1CF7">
            <w:pPr>
              <w:spacing w:beforeLines="5" w:before="15" w:afterLines="5" w:after="15"/>
              <w:jc w:val="center"/>
              <w:rPr>
                <w:rFonts w:ascii="Times New Roman" w:hAnsi="Times New Roman"/>
                <w:szCs w:val="21"/>
              </w:rPr>
            </w:pPr>
            <w:r>
              <w:rPr>
                <w:rFonts w:ascii="Times New Roman" w:hAnsi="Times New Roman"/>
                <w:szCs w:val="21"/>
              </w:rPr>
              <w:t>-9</w:t>
            </w:r>
          </w:p>
        </w:tc>
      </w:tr>
      <w:tr w:rsidR="00525419">
        <w:trPr>
          <w:cantSplit/>
          <w:trHeight w:val="65"/>
          <w:jc w:val="center"/>
        </w:trPr>
        <w:tc>
          <w:tcPr>
            <w:tcW w:w="4095" w:type="dxa"/>
            <w:tcBorders>
              <w:tl2br w:val="nil"/>
              <w:tr2bl w:val="nil"/>
            </w:tcBorders>
            <w:vAlign w:val="center"/>
          </w:tcPr>
          <w:p w:rsidR="00525419" w:rsidRDefault="00EE1CF7">
            <w:pPr>
              <w:spacing w:beforeLines="5" w:before="15" w:afterLines="5" w:after="15"/>
              <w:rPr>
                <w:rFonts w:ascii="Times New Roman" w:hAnsi="Times New Roman"/>
                <w:szCs w:val="21"/>
              </w:rPr>
            </w:pPr>
            <w:r>
              <w:rPr>
                <w:rFonts w:ascii="Times New Roman" w:hAnsi="Times New Roman"/>
                <w:szCs w:val="21"/>
              </w:rPr>
              <w:t>十六烷值</w:t>
            </w:r>
            <w:r>
              <w:rPr>
                <w:rFonts w:ascii="Times New Roman" w:hAnsi="Times New Roman"/>
                <w:szCs w:val="21"/>
              </w:rPr>
              <w:t>(</w:t>
            </w:r>
            <w:r>
              <w:rPr>
                <w:rFonts w:ascii="Times New Roman" w:hAnsi="Times New Roman"/>
                <w:szCs w:val="21"/>
              </w:rPr>
              <w:t>实测</w:t>
            </w:r>
            <w:r>
              <w:rPr>
                <w:rFonts w:ascii="Times New Roman" w:hAnsi="Times New Roman"/>
                <w:szCs w:val="21"/>
              </w:rPr>
              <w:t>)</w:t>
            </w:r>
          </w:p>
        </w:tc>
        <w:tc>
          <w:tcPr>
            <w:tcW w:w="4431" w:type="dxa"/>
            <w:tcBorders>
              <w:tl2br w:val="nil"/>
              <w:tr2bl w:val="nil"/>
            </w:tcBorders>
            <w:vAlign w:val="center"/>
          </w:tcPr>
          <w:p w:rsidR="00525419" w:rsidRDefault="00EE1CF7">
            <w:pPr>
              <w:spacing w:beforeLines="5" w:before="15" w:afterLines="5" w:after="15"/>
              <w:jc w:val="center"/>
              <w:rPr>
                <w:rFonts w:ascii="Times New Roman" w:hAnsi="Times New Roman"/>
                <w:szCs w:val="21"/>
              </w:rPr>
            </w:pPr>
            <w:r>
              <w:rPr>
                <w:rFonts w:ascii="Times New Roman" w:hAnsi="Times New Roman"/>
                <w:szCs w:val="21"/>
              </w:rPr>
              <w:t>50</w:t>
            </w:r>
          </w:p>
        </w:tc>
      </w:tr>
    </w:tbl>
    <w:p w:rsidR="00525419" w:rsidRDefault="00EE1CF7">
      <w:pPr>
        <w:jc w:val="center"/>
        <w:rPr>
          <w:rFonts w:ascii="Times New Roman" w:eastAsia="黑体" w:hAnsi="Times New Roman"/>
        </w:rPr>
      </w:pPr>
      <w:r>
        <w:rPr>
          <w:rFonts w:ascii="Times New Roman" w:eastAsia="黑体" w:hAnsi="Times New Roman"/>
        </w:rPr>
        <w:t>表</w:t>
      </w:r>
      <w:r>
        <w:rPr>
          <w:rFonts w:ascii="Times New Roman" w:eastAsia="黑体" w:hAnsi="Times New Roman"/>
        </w:rPr>
        <w:t xml:space="preserve">3.3-4 </w:t>
      </w:r>
      <w:r>
        <w:rPr>
          <w:rFonts w:ascii="Times New Roman" w:eastAsia="黑体" w:hAnsi="Times New Roman"/>
        </w:rPr>
        <w:t>尾油性质</w:t>
      </w:r>
    </w:p>
    <w:tbl>
      <w:tblPr>
        <w:tblW w:w="85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126"/>
        <w:gridCol w:w="4400"/>
      </w:tblGrid>
      <w:tr w:rsidR="00525419">
        <w:trPr>
          <w:cantSplit/>
          <w:trHeight w:val="152"/>
          <w:jc w:val="center"/>
        </w:trPr>
        <w:tc>
          <w:tcPr>
            <w:tcW w:w="412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项目</w:t>
            </w:r>
          </w:p>
        </w:tc>
        <w:tc>
          <w:tcPr>
            <w:tcW w:w="440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指标</w:t>
            </w:r>
          </w:p>
        </w:tc>
      </w:tr>
      <w:tr w:rsidR="00525419">
        <w:trPr>
          <w:cantSplit/>
          <w:trHeight w:val="256"/>
          <w:jc w:val="center"/>
        </w:trPr>
        <w:tc>
          <w:tcPr>
            <w:tcW w:w="412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馏分范围</w:t>
            </w:r>
            <w:r>
              <w:rPr>
                <w:rFonts w:ascii="Times New Roman" w:hAnsi="Times New Roman"/>
                <w:szCs w:val="21"/>
              </w:rPr>
              <w:t>/℃</w:t>
            </w:r>
          </w:p>
        </w:tc>
        <w:tc>
          <w:tcPr>
            <w:tcW w:w="440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w:t>
            </w:r>
            <w:r>
              <w:rPr>
                <w:rFonts w:ascii="Times New Roman" w:hAnsi="Times New Roman"/>
                <w:szCs w:val="21"/>
              </w:rPr>
              <w:t>360℃</w:t>
            </w:r>
          </w:p>
        </w:tc>
      </w:tr>
      <w:tr w:rsidR="00525419">
        <w:trPr>
          <w:cantSplit/>
          <w:trHeight w:val="218"/>
          <w:jc w:val="center"/>
        </w:trPr>
        <w:tc>
          <w:tcPr>
            <w:tcW w:w="412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密度</w:t>
            </w:r>
            <w:r>
              <w:rPr>
                <w:rFonts w:ascii="Times New Roman" w:hAnsi="Times New Roman"/>
                <w:szCs w:val="21"/>
              </w:rPr>
              <w:t>(20℃)/g·cm</w:t>
            </w:r>
            <w:r>
              <w:rPr>
                <w:rFonts w:ascii="Times New Roman" w:hAnsi="Times New Roman"/>
                <w:szCs w:val="21"/>
                <w:vertAlign w:val="superscript"/>
              </w:rPr>
              <w:t>-3</w:t>
            </w:r>
          </w:p>
        </w:tc>
        <w:tc>
          <w:tcPr>
            <w:tcW w:w="440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0.831</w:t>
            </w:r>
          </w:p>
        </w:tc>
      </w:tr>
      <w:tr w:rsidR="00525419">
        <w:trPr>
          <w:cantSplit/>
          <w:trHeight w:val="180"/>
          <w:jc w:val="center"/>
        </w:trPr>
        <w:tc>
          <w:tcPr>
            <w:tcW w:w="412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馏程（</w:t>
            </w:r>
            <w:r>
              <w:rPr>
                <w:rFonts w:ascii="Times New Roman" w:hAnsi="Times New Roman"/>
                <w:szCs w:val="21"/>
              </w:rPr>
              <w:t>ASTM D2887</w:t>
            </w:r>
            <w:r>
              <w:rPr>
                <w:rFonts w:ascii="Times New Roman" w:hAnsi="Times New Roman"/>
                <w:szCs w:val="21"/>
              </w:rPr>
              <w:t>）</w:t>
            </w:r>
            <w:r>
              <w:rPr>
                <w:rFonts w:ascii="Times New Roman" w:hAnsi="Times New Roman"/>
                <w:szCs w:val="21"/>
              </w:rPr>
              <w:t>/℃</w:t>
            </w:r>
          </w:p>
        </w:tc>
        <w:tc>
          <w:tcPr>
            <w:tcW w:w="4400" w:type="dxa"/>
            <w:tcBorders>
              <w:tl2br w:val="nil"/>
              <w:tr2bl w:val="nil"/>
            </w:tcBorders>
            <w:vAlign w:val="center"/>
          </w:tcPr>
          <w:p w:rsidR="00525419" w:rsidRDefault="00525419">
            <w:pPr>
              <w:spacing w:line="240" w:lineRule="atLeast"/>
              <w:rPr>
                <w:rFonts w:ascii="Times New Roman" w:hAnsi="Times New Roman"/>
                <w:szCs w:val="21"/>
              </w:rPr>
            </w:pPr>
          </w:p>
        </w:tc>
      </w:tr>
      <w:tr w:rsidR="00525419">
        <w:trPr>
          <w:cantSplit/>
          <w:trHeight w:val="142"/>
          <w:jc w:val="center"/>
        </w:trPr>
        <w:tc>
          <w:tcPr>
            <w:tcW w:w="412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lastRenderedPageBreak/>
              <w:t>IBP/10%/30%/50%</w:t>
            </w:r>
          </w:p>
        </w:tc>
        <w:tc>
          <w:tcPr>
            <w:tcW w:w="440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365/372/393/415</w:t>
            </w:r>
          </w:p>
        </w:tc>
      </w:tr>
      <w:tr w:rsidR="00525419">
        <w:trPr>
          <w:cantSplit/>
          <w:trHeight w:val="104"/>
          <w:jc w:val="center"/>
        </w:trPr>
        <w:tc>
          <w:tcPr>
            <w:tcW w:w="412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70%/90%/95%/EBP</w:t>
            </w:r>
          </w:p>
        </w:tc>
        <w:tc>
          <w:tcPr>
            <w:tcW w:w="440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446/497/-/-</w:t>
            </w:r>
          </w:p>
        </w:tc>
      </w:tr>
      <w:tr w:rsidR="00525419">
        <w:trPr>
          <w:cantSplit/>
          <w:trHeight w:val="209"/>
          <w:jc w:val="center"/>
        </w:trPr>
        <w:tc>
          <w:tcPr>
            <w:tcW w:w="412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硫</w:t>
            </w:r>
            <w:r>
              <w:rPr>
                <w:rFonts w:ascii="Times New Roman" w:hAnsi="Times New Roman"/>
                <w:szCs w:val="21"/>
              </w:rPr>
              <w:t>/μg·g</w:t>
            </w:r>
            <w:r>
              <w:rPr>
                <w:rFonts w:ascii="Times New Roman" w:hAnsi="Times New Roman"/>
                <w:szCs w:val="21"/>
                <w:vertAlign w:val="superscript"/>
              </w:rPr>
              <w:t>-1</w:t>
            </w:r>
          </w:p>
        </w:tc>
        <w:tc>
          <w:tcPr>
            <w:tcW w:w="440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w:t>
            </w:r>
            <w:r>
              <w:rPr>
                <w:rFonts w:ascii="Times New Roman" w:hAnsi="Times New Roman"/>
                <w:szCs w:val="21"/>
              </w:rPr>
              <w:t>5.0</w:t>
            </w:r>
          </w:p>
        </w:tc>
      </w:tr>
      <w:tr w:rsidR="00525419">
        <w:trPr>
          <w:cantSplit/>
          <w:trHeight w:val="170"/>
          <w:jc w:val="center"/>
        </w:trPr>
        <w:tc>
          <w:tcPr>
            <w:tcW w:w="412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氮</w:t>
            </w:r>
            <w:r>
              <w:rPr>
                <w:rFonts w:ascii="Times New Roman" w:hAnsi="Times New Roman"/>
                <w:szCs w:val="21"/>
              </w:rPr>
              <w:t>/μg·g</w:t>
            </w:r>
            <w:r>
              <w:rPr>
                <w:rFonts w:ascii="Times New Roman" w:hAnsi="Times New Roman"/>
                <w:szCs w:val="21"/>
                <w:vertAlign w:val="superscript"/>
              </w:rPr>
              <w:t>-1</w:t>
            </w:r>
          </w:p>
        </w:tc>
        <w:tc>
          <w:tcPr>
            <w:tcW w:w="440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w:t>
            </w:r>
            <w:r>
              <w:rPr>
                <w:rFonts w:ascii="Times New Roman" w:hAnsi="Times New Roman"/>
                <w:szCs w:val="21"/>
              </w:rPr>
              <w:t>5.0</w:t>
            </w:r>
          </w:p>
        </w:tc>
      </w:tr>
      <w:tr w:rsidR="00525419">
        <w:trPr>
          <w:cantSplit/>
          <w:trHeight w:val="133"/>
          <w:jc w:val="center"/>
        </w:trPr>
        <w:tc>
          <w:tcPr>
            <w:tcW w:w="412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黏度指数</w:t>
            </w:r>
          </w:p>
        </w:tc>
        <w:tc>
          <w:tcPr>
            <w:tcW w:w="440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w:t>
            </w:r>
            <w:r>
              <w:rPr>
                <w:rFonts w:ascii="Times New Roman" w:hAnsi="Times New Roman"/>
                <w:szCs w:val="21"/>
              </w:rPr>
              <w:t>130</w:t>
            </w:r>
          </w:p>
        </w:tc>
      </w:tr>
    </w:tbl>
    <w:p w:rsidR="00525419" w:rsidRDefault="00EE1CF7">
      <w:pPr>
        <w:jc w:val="center"/>
        <w:rPr>
          <w:rFonts w:ascii="Times New Roman" w:eastAsia="黑体" w:hAnsi="Times New Roman"/>
        </w:rPr>
      </w:pPr>
      <w:r>
        <w:rPr>
          <w:rFonts w:ascii="Times New Roman" w:eastAsia="黑体" w:hAnsi="Times New Roman"/>
        </w:rPr>
        <w:t>表</w:t>
      </w:r>
      <w:r>
        <w:rPr>
          <w:rFonts w:ascii="Times New Roman" w:eastAsia="黑体" w:hAnsi="Times New Roman"/>
        </w:rPr>
        <w:t xml:space="preserve">3.3-5  </w:t>
      </w:r>
      <w:r>
        <w:rPr>
          <w:rFonts w:ascii="Times New Roman" w:eastAsia="黑体" w:hAnsi="Times New Roman"/>
        </w:rPr>
        <w:t>石脑油性质</w:t>
      </w:r>
    </w:p>
    <w:tbl>
      <w:tblPr>
        <w:tblW w:w="499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78"/>
        <w:gridCol w:w="2768"/>
        <w:gridCol w:w="3080"/>
      </w:tblGrid>
      <w:tr w:rsidR="00525419">
        <w:trPr>
          <w:cantSplit/>
          <w:trHeight w:val="397"/>
          <w:jc w:val="center"/>
        </w:trPr>
        <w:tc>
          <w:tcPr>
            <w:tcW w:w="1570" w:type="pct"/>
            <w:vAlign w:val="center"/>
          </w:tcPr>
          <w:p w:rsidR="00525419" w:rsidRDefault="00EE1CF7">
            <w:pPr>
              <w:jc w:val="center"/>
              <w:rPr>
                <w:rFonts w:ascii="Times New Roman" w:hAnsi="Times New Roman"/>
              </w:rPr>
            </w:pPr>
            <w:r>
              <w:rPr>
                <w:rFonts w:ascii="Times New Roman" w:hAnsi="Times New Roman"/>
              </w:rPr>
              <w:t>项</w:t>
            </w:r>
            <w:r>
              <w:rPr>
                <w:rFonts w:ascii="Times New Roman" w:hAnsi="Times New Roman"/>
              </w:rPr>
              <w:t xml:space="preserve">  </w:t>
            </w:r>
            <w:r>
              <w:rPr>
                <w:rFonts w:ascii="Times New Roman" w:hAnsi="Times New Roman"/>
              </w:rPr>
              <w:t>目</w:t>
            </w:r>
          </w:p>
        </w:tc>
        <w:tc>
          <w:tcPr>
            <w:tcW w:w="1623" w:type="pct"/>
            <w:vAlign w:val="center"/>
          </w:tcPr>
          <w:p w:rsidR="00525419" w:rsidRDefault="00EE1CF7">
            <w:pPr>
              <w:jc w:val="center"/>
              <w:rPr>
                <w:rFonts w:ascii="Times New Roman" w:hAnsi="Times New Roman"/>
              </w:rPr>
            </w:pPr>
            <w:r>
              <w:rPr>
                <w:rFonts w:ascii="Times New Roman" w:hAnsi="Times New Roman"/>
              </w:rPr>
              <w:t>初期</w:t>
            </w:r>
          </w:p>
        </w:tc>
        <w:tc>
          <w:tcPr>
            <w:tcW w:w="1806" w:type="pct"/>
            <w:vAlign w:val="center"/>
          </w:tcPr>
          <w:p w:rsidR="00525419" w:rsidRDefault="00EE1CF7">
            <w:pPr>
              <w:jc w:val="center"/>
              <w:rPr>
                <w:rFonts w:ascii="Times New Roman" w:hAnsi="Times New Roman"/>
              </w:rPr>
            </w:pPr>
            <w:r>
              <w:rPr>
                <w:rFonts w:ascii="Times New Roman" w:hAnsi="Times New Roman"/>
              </w:rPr>
              <w:t>末期</w:t>
            </w:r>
          </w:p>
        </w:tc>
      </w:tr>
      <w:tr w:rsidR="00525419">
        <w:trPr>
          <w:cantSplit/>
          <w:trHeight w:val="397"/>
          <w:jc w:val="center"/>
        </w:trPr>
        <w:tc>
          <w:tcPr>
            <w:tcW w:w="1570" w:type="pct"/>
            <w:vAlign w:val="center"/>
          </w:tcPr>
          <w:p w:rsidR="00525419" w:rsidRDefault="00EE1CF7">
            <w:pPr>
              <w:jc w:val="center"/>
              <w:rPr>
                <w:rFonts w:ascii="Times New Roman" w:hAnsi="Times New Roman"/>
              </w:rPr>
            </w:pPr>
            <w:r>
              <w:rPr>
                <w:rFonts w:ascii="Times New Roman" w:hAnsi="Times New Roman"/>
              </w:rPr>
              <w:t>馏分范围</w:t>
            </w:r>
            <w:r>
              <w:rPr>
                <w:rFonts w:ascii="Times New Roman" w:hAnsi="Times New Roman"/>
              </w:rPr>
              <w:t>/℃</w:t>
            </w:r>
          </w:p>
        </w:tc>
        <w:tc>
          <w:tcPr>
            <w:tcW w:w="3429" w:type="pct"/>
            <w:gridSpan w:val="2"/>
            <w:vAlign w:val="center"/>
          </w:tcPr>
          <w:p w:rsidR="00525419" w:rsidRDefault="00EE1CF7">
            <w:pPr>
              <w:jc w:val="center"/>
              <w:rPr>
                <w:rFonts w:ascii="Times New Roman" w:hAnsi="Times New Roman"/>
              </w:rPr>
            </w:pPr>
            <w:r>
              <w:rPr>
                <w:rFonts w:ascii="Times New Roman" w:hAnsi="Times New Roman"/>
              </w:rPr>
              <w:t>&lt;160</w:t>
            </w:r>
          </w:p>
        </w:tc>
      </w:tr>
      <w:tr w:rsidR="00525419">
        <w:trPr>
          <w:cantSplit/>
          <w:trHeight w:val="397"/>
          <w:jc w:val="center"/>
        </w:trPr>
        <w:tc>
          <w:tcPr>
            <w:tcW w:w="1570" w:type="pct"/>
            <w:vAlign w:val="center"/>
          </w:tcPr>
          <w:p w:rsidR="00525419" w:rsidRDefault="00EE1CF7">
            <w:pPr>
              <w:jc w:val="center"/>
              <w:rPr>
                <w:rFonts w:ascii="Times New Roman" w:hAnsi="Times New Roman"/>
              </w:rPr>
            </w:pPr>
            <w:r>
              <w:rPr>
                <w:rFonts w:ascii="Times New Roman" w:hAnsi="Times New Roman"/>
              </w:rPr>
              <w:t>密度</w:t>
            </w:r>
            <w:r>
              <w:rPr>
                <w:rFonts w:ascii="Times New Roman" w:hAnsi="Times New Roman"/>
              </w:rPr>
              <w:t>(20℃)/g·cm</w:t>
            </w:r>
            <w:r>
              <w:rPr>
                <w:rFonts w:ascii="Times New Roman" w:hAnsi="Times New Roman"/>
                <w:vertAlign w:val="superscript"/>
              </w:rPr>
              <w:t>-3</w:t>
            </w:r>
          </w:p>
        </w:tc>
        <w:tc>
          <w:tcPr>
            <w:tcW w:w="1623" w:type="pct"/>
            <w:vAlign w:val="center"/>
          </w:tcPr>
          <w:p w:rsidR="00525419" w:rsidRDefault="00EE1CF7">
            <w:pPr>
              <w:jc w:val="center"/>
              <w:rPr>
                <w:rFonts w:ascii="Times New Roman" w:hAnsi="Times New Roman"/>
              </w:rPr>
            </w:pPr>
            <w:r>
              <w:rPr>
                <w:rFonts w:ascii="Times New Roman" w:hAnsi="Times New Roman"/>
              </w:rPr>
              <w:t>0.761</w:t>
            </w:r>
          </w:p>
        </w:tc>
        <w:tc>
          <w:tcPr>
            <w:tcW w:w="1806" w:type="pct"/>
            <w:vAlign w:val="center"/>
          </w:tcPr>
          <w:p w:rsidR="00525419" w:rsidRDefault="00EE1CF7">
            <w:pPr>
              <w:jc w:val="center"/>
              <w:rPr>
                <w:rFonts w:ascii="Times New Roman" w:hAnsi="Times New Roman"/>
              </w:rPr>
            </w:pPr>
            <w:r>
              <w:rPr>
                <w:rFonts w:ascii="Times New Roman" w:hAnsi="Times New Roman"/>
              </w:rPr>
              <w:t>0.763</w:t>
            </w:r>
          </w:p>
        </w:tc>
      </w:tr>
      <w:tr w:rsidR="00525419">
        <w:trPr>
          <w:cantSplit/>
          <w:trHeight w:val="397"/>
          <w:jc w:val="center"/>
        </w:trPr>
        <w:tc>
          <w:tcPr>
            <w:tcW w:w="1570" w:type="pct"/>
            <w:vAlign w:val="center"/>
          </w:tcPr>
          <w:p w:rsidR="00525419" w:rsidRDefault="00EE1CF7">
            <w:pPr>
              <w:jc w:val="center"/>
              <w:rPr>
                <w:rFonts w:ascii="Times New Roman" w:hAnsi="Times New Roman"/>
              </w:rPr>
            </w:pPr>
            <w:r>
              <w:rPr>
                <w:rFonts w:ascii="Times New Roman" w:hAnsi="Times New Roman"/>
              </w:rPr>
              <w:t>馏程（</w:t>
            </w:r>
            <w:r>
              <w:rPr>
                <w:rFonts w:ascii="Times New Roman" w:hAnsi="Times New Roman"/>
              </w:rPr>
              <w:t>ASTM D86</w:t>
            </w:r>
            <w:r>
              <w:rPr>
                <w:rFonts w:ascii="Times New Roman" w:hAnsi="Times New Roman"/>
              </w:rPr>
              <w:t>）</w:t>
            </w:r>
            <w:r>
              <w:rPr>
                <w:rFonts w:ascii="Times New Roman" w:hAnsi="Times New Roman"/>
              </w:rPr>
              <w:t>/℃</w:t>
            </w:r>
          </w:p>
        </w:tc>
        <w:tc>
          <w:tcPr>
            <w:tcW w:w="1623" w:type="pct"/>
            <w:vAlign w:val="center"/>
          </w:tcPr>
          <w:p w:rsidR="00525419" w:rsidRDefault="00525419">
            <w:pPr>
              <w:jc w:val="center"/>
              <w:rPr>
                <w:rFonts w:ascii="Times New Roman" w:hAnsi="Times New Roman"/>
              </w:rPr>
            </w:pPr>
          </w:p>
        </w:tc>
        <w:tc>
          <w:tcPr>
            <w:tcW w:w="1806" w:type="pct"/>
            <w:vAlign w:val="center"/>
          </w:tcPr>
          <w:p w:rsidR="00525419" w:rsidRDefault="00525419">
            <w:pPr>
              <w:jc w:val="center"/>
              <w:rPr>
                <w:rFonts w:ascii="Times New Roman" w:hAnsi="Times New Roman"/>
              </w:rPr>
            </w:pPr>
          </w:p>
        </w:tc>
      </w:tr>
      <w:tr w:rsidR="00525419">
        <w:trPr>
          <w:cantSplit/>
          <w:trHeight w:val="90"/>
          <w:jc w:val="center"/>
        </w:trPr>
        <w:tc>
          <w:tcPr>
            <w:tcW w:w="1570" w:type="pct"/>
            <w:vAlign w:val="center"/>
          </w:tcPr>
          <w:p w:rsidR="00525419" w:rsidRDefault="00EE1CF7">
            <w:pPr>
              <w:jc w:val="center"/>
              <w:rPr>
                <w:rFonts w:ascii="Times New Roman" w:hAnsi="Times New Roman"/>
              </w:rPr>
            </w:pPr>
            <w:r>
              <w:rPr>
                <w:rFonts w:ascii="Times New Roman" w:hAnsi="Times New Roman"/>
              </w:rPr>
              <w:t>IBP/10%/30%/50%</w:t>
            </w:r>
          </w:p>
        </w:tc>
        <w:tc>
          <w:tcPr>
            <w:tcW w:w="1623" w:type="pct"/>
            <w:vAlign w:val="center"/>
          </w:tcPr>
          <w:p w:rsidR="00525419" w:rsidRDefault="00EE1CF7">
            <w:pPr>
              <w:jc w:val="center"/>
              <w:rPr>
                <w:rFonts w:ascii="Times New Roman" w:hAnsi="Times New Roman"/>
              </w:rPr>
            </w:pPr>
            <w:r>
              <w:rPr>
                <w:rFonts w:ascii="Times New Roman" w:hAnsi="Times New Roman"/>
              </w:rPr>
              <w:t>67/72/75/84</w:t>
            </w:r>
          </w:p>
        </w:tc>
        <w:tc>
          <w:tcPr>
            <w:tcW w:w="1806" w:type="pct"/>
            <w:vAlign w:val="center"/>
          </w:tcPr>
          <w:p w:rsidR="00525419" w:rsidRDefault="00EE1CF7">
            <w:pPr>
              <w:jc w:val="center"/>
              <w:rPr>
                <w:rFonts w:ascii="Times New Roman" w:hAnsi="Times New Roman"/>
              </w:rPr>
            </w:pPr>
            <w:r>
              <w:rPr>
                <w:rFonts w:ascii="Times New Roman" w:hAnsi="Times New Roman"/>
              </w:rPr>
              <w:t>67/72/75/84</w:t>
            </w:r>
          </w:p>
        </w:tc>
      </w:tr>
      <w:tr w:rsidR="00525419">
        <w:trPr>
          <w:cantSplit/>
          <w:trHeight w:val="397"/>
          <w:jc w:val="center"/>
        </w:trPr>
        <w:tc>
          <w:tcPr>
            <w:tcW w:w="1570" w:type="pct"/>
            <w:vAlign w:val="center"/>
          </w:tcPr>
          <w:p w:rsidR="00525419" w:rsidRDefault="00EE1CF7">
            <w:pPr>
              <w:jc w:val="center"/>
              <w:rPr>
                <w:rFonts w:ascii="Times New Roman" w:hAnsi="Times New Roman"/>
              </w:rPr>
            </w:pPr>
            <w:r>
              <w:rPr>
                <w:rFonts w:ascii="Times New Roman" w:hAnsi="Times New Roman"/>
              </w:rPr>
              <w:t>70%/90%/95%/EBP</w:t>
            </w:r>
          </w:p>
        </w:tc>
        <w:tc>
          <w:tcPr>
            <w:tcW w:w="1623" w:type="pct"/>
            <w:vAlign w:val="center"/>
          </w:tcPr>
          <w:p w:rsidR="00525419" w:rsidRDefault="00EE1CF7">
            <w:pPr>
              <w:jc w:val="center"/>
              <w:rPr>
                <w:rFonts w:ascii="Times New Roman" w:hAnsi="Times New Roman"/>
              </w:rPr>
            </w:pPr>
            <w:r>
              <w:rPr>
                <w:rFonts w:ascii="Times New Roman" w:hAnsi="Times New Roman"/>
              </w:rPr>
              <w:t>99/128/137/152</w:t>
            </w:r>
          </w:p>
        </w:tc>
        <w:tc>
          <w:tcPr>
            <w:tcW w:w="1806" w:type="pct"/>
            <w:vAlign w:val="center"/>
          </w:tcPr>
          <w:p w:rsidR="00525419" w:rsidRDefault="00EE1CF7">
            <w:pPr>
              <w:jc w:val="center"/>
              <w:rPr>
                <w:rFonts w:ascii="Times New Roman" w:hAnsi="Times New Roman"/>
              </w:rPr>
            </w:pPr>
            <w:r>
              <w:rPr>
                <w:rFonts w:ascii="Times New Roman" w:hAnsi="Times New Roman"/>
              </w:rPr>
              <w:t>99/128/137/152</w:t>
            </w:r>
          </w:p>
        </w:tc>
      </w:tr>
      <w:tr w:rsidR="00525419">
        <w:trPr>
          <w:cantSplit/>
          <w:trHeight w:val="397"/>
          <w:jc w:val="center"/>
        </w:trPr>
        <w:tc>
          <w:tcPr>
            <w:tcW w:w="1570" w:type="pct"/>
            <w:vAlign w:val="center"/>
          </w:tcPr>
          <w:p w:rsidR="00525419" w:rsidRDefault="00EE1CF7">
            <w:pPr>
              <w:jc w:val="center"/>
              <w:rPr>
                <w:rFonts w:ascii="Times New Roman" w:hAnsi="Times New Roman"/>
              </w:rPr>
            </w:pPr>
            <w:r>
              <w:rPr>
                <w:rFonts w:ascii="Times New Roman" w:hAnsi="Times New Roman"/>
              </w:rPr>
              <w:t>硫</w:t>
            </w:r>
            <w:r>
              <w:rPr>
                <w:rFonts w:ascii="Times New Roman" w:hAnsi="Times New Roman"/>
              </w:rPr>
              <w:t>/μg·g</w:t>
            </w:r>
            <w:r>
              <w:rPr>
                <w:rFonts w:ascii="Times New Roman" w:hAnsi="Times New Roman"/>
                <w:vertAlign w:val="superscript"/>
              </w:rPr>
              <w:t>-1</w:t>
            </w:r>
          </w:p>
        </w:tc>
        <w:tc>
          <w:tcPr>
            <w:tcW w:w="1623" w:type="pct"/>
            <w:vAlign w:val="center"/>
          </w:tcPr>
          <w:p w:rsidR="00525419" w:rsidRDefault="00EE1CF7">
            <w:pPr>
              <w:jc w:val="center"/>
              <w:rPr>
                <w:rFonts w:ascii="Times New Roman" w:hAnsi="Times New Roman"/>
              </w:rPr>
            </w:pPr>
            <w:r>
              <w:rPr>
                <w:rFonts w:ascii="Times New Roman" w:hAnsi="Times New Roman"/>
              </w:rPr>
              <w:t>＜</w:t>
            </w:r>
            <w:r>
              <w:rPr>
                <w:rFonts w:ascii="Times New Roman" w:hAnsi="Times New Roman"/>
              </w:rPr>
              <w:t>5.0</w:t>
            </w:r>
          </w:p>
        </w:tc>
        <w:tc>
          <w:tcPr>
            <w:tcW w:w="1806" w:type="pct"/>
            <w:vAlign w:val="center"/>
          </w:tcPr>
          <w:p w:rsidR="00525419" w:rsidRDefault="00EE1CF7">
            <w:pPr>
              <w:jc w:val="center"/>
              <w:rPr>
                <w:rFonts w:ascii="Times New Roman" w:hAnsi="Times New Roman"/>
              </w:rPr>
            </w:pPr>
            <w:r>
              <w:rPr>
                <w:rFonts w:ascii="Times New Roman" w:hAnsi="Times New Roman"/>
              </w:rPr>
              <w:t>＜</w:t>
            </w:r>
            <w:r>
              <w:rPr>
                <w:rFonts w:ascii="Times New Roman" w:hAnsi="Times New Roman"/>
              </w:rPr>
              <w:t>5.0</w:t>
            </w:r>
          </w:p>
        </w:tc>
      </w:tr>
      <w:tr w:rsidR="00525419">
        <w:trPr>
          <w:cantSplit/>
          <w:trHeight w:val="397"/>
          <w:jc w:val="center"/>
        </w:trPr>
        <w:tc>
          <w:tcPr>
            <w:tcW w:w="1570" w:type="pct"/>
            <w:vAlign w:val="center"/>
          </w:tcPr>
          <w:p w:rsidR="00525419" w:rsidRDefault="00EE1CF7">
            <w:pPr>
              <w:jc w:val="center"/>
              <w:rPr>
                <w:rFonts w:ascii="Times New Roman" w:hAnsi="Times New Roman"/>
              </w:rPr>
            </w:pPr>
            <w:r>
              <w:rPr>
                <w:rFonts w:ascii="Times New Roman" w:hAnsi="Times New Roman"/>
              </w:rPr>
              <w:t>氮</w:t>
            </w:r>
            <w:r>
              <w:rPr>
                <w:rFonts w:ascii="Times New Roman" w:hAnsi="Times New Roman"/>
              </w:rPr>
              <w:t>/μg·g</w:t>
            </w:r>
            <w:r>
              <w:rPr>
                <w:rFonts w:ascii="Times New Roman" w:hAnsi="Times New Roman"/>
                <w:vertAlign w:val="superscript"/>
              </w:rPr>
              <w:t>-1</w:t>
            </w:r>
          </w:p>
        </w:tc>
        <w:tc>
          <w:tcPr>
            <w:tcW w:w="1623" w:type="pct"/>
            <w:vAlign w:val="center"/>
          </w:tcPr>
          <w:p w:rsidR="00525419" w:rsidRDefault="00EE1CF7">
            <w:pPr>
              <w:jc w:val="center"/>
              <w:rPr>
                <w:rFonts w:ascii="Times New Roman" w:hAnsi="Times New Roman"/>
              </w:rPr>
            </w:pPr>
            <w:r>
              <w:rPr>
                <w:rFonts w:ascii="Times New Roman" w:hAnsi="Times New Roman"/>
              </w:rPr>
              <w:t>＜</w:t>
            </w:r>
            <w:r>
              <w:rPr>
                <w:rFonts w:ascii="Times New Roman" w:hAnsi="Times New Roman"/>
              </w:rPr>
              <w:t>0.5</w:t>
            </w:r>
          </w:p>
        </w:tc>
        <w:tc>
          <w:tcPr>
            <w:tcW w:w="1806" w:type="pct"/>
            <w:vAlign w:val="center"/>
          </w:tcPr>
          <w:p w:rsidR="00525419" w:rsidRDefault="00EE1CF7">
            <w:pPr>
              <w:jc w:val="center"/>
              <w:rPr>
                <w:rFonts w:ascii="Times New Roman" w:hAnsi="Times New Roman"/>
              </w:rPr>
            </w:pPr>
            <w:r>
              <w:rPr>
                <w:rFonts w:ascii="Times New Roman" w:hAnsi="Times New Roman"/>
              </w:rPr>
              <w:t>＜</w:t>
            </w:r>
            <w:r>
              <w:rPr>
                <w:rFonts w:ascii="Times New Roman" w:hAnsi="Times New Roman"/>
              </w:rPr>
              <w:t>1.0</w:t>
            </w:r>
          </w:p>
        </w:tc>
      </w:tr>
    </w:tbl>
    <w:p w:rsidR="00525419" w:rsidRDefault="00525419">
      <w:pPr>
        <w:jc w:val="center"/>
        <w:rPr>
          <w:rFonts w:ascii="Times New Roman" w:eastAsia="黑体" w:hAnsi="Times New Roman"/>
        </w:rPr>
      </w:pPr>
    </w:p>
    <w:p w:rsidR="00525419" w:rsidRDefault="00EE1CF7">
      <w:pPr>
        <w:jc w:val="center"/>
        <w:rPr>
          <w:rFonts w:ascii="Times New Roman" w:eastAsia="黑体" w:hAnsi="Times New Roman"/>
        </w:rPr>
      </w:pPr>
      <w:r>
        <w:rPr>
          <w:rFonts w:ascii="Times New Roman" w:eastAsia="黑体" w:hAnsi="Times New Roman"/>
        </w:rPr>
        <w:t>表</w:t>
      </w:r>
      <w:r>
        <w:rPr>
          <w:rFonts w:ascii="Times New Roman" w:eastAsia="黑体" w:hAnsi="Times New Roman"/>
        </w:rPr>
        <w:t>3.3-6</w:t>
      </w:r>
      <w:r>
        <w:rPr>
          <w:rFonts w:ascii="Times New Roman" w:eastAsia="黑体" w:hAnsi="Times New Roman"/>
        </w:rPr>
        <w:t xml:space="preserve">　工业硫磺的质量要求</w:t>
      </w:r>
    </w:p>
    <w:tbl>
      <w:tblPr>
        <w:tblW w:w="85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056"/>
        <w:gridCol w:w="1697"/>
        <w:gridCol w:w="1740"/>
        <w:gridCol w:w="2032"/>
      </w:tblGrid>
      <w:tr w:rsidR="00525419">
        <w:trPr>
          <w:jc w:val="center"/>
        </w:trPr>
        <w:tc>
          <w:tcPr>
            <w:tcW w:w="3056" w:type="dxa"/>
            <w:tcBorders>
              <w:tl2br w:val="nil"/>
              <w:tr2bl w:val="nil"/>
            </w:tcBorders>
          </w:tcPr>
          <w:p w:rsidR="00525419" w:rsidRDefault="00525419">
            <w:pPr>
              <w:rPr>
                <w:rFonts w:ascii="Times New Roman" w:hAnsi="Times New Roman"/>
                <w:szCs w:val="21"/>
              </w:rPr>
            </w:pPr>
          </w:p>
        </w:tc>
        <w:tc>
          <w:tcPr>
            <w:tcW w:w="1697" w:type="dxa"/>
            <w:tcBorders>
              <w:tl2br w:val="nil"/>
              <w:tr2bl w:val="nil"/>
            </w:tcBorders>
          </w:tcPr>
          <w:p w:rsidR="00525419" w:rsidRDefault="00EE1CF7">
            <w:pPr>
              <w:rPr>
                <w:rFonts w:ascii="Times New Roman" w:hAnsi="Times New Roman"/>
                <w:szCs w:val="21"/>
              </w:rPr>
            </w:pPr>
            <w:r>
              <w:rPr>
                <w:rFonts w:ascii="Times New Roman" w:hAnsi="Times New Roman"/>
                <w:szCs w:val="21"/>
              </w:rPr>
              <w:t>优等品</w:t>
            </w:r>
          </w:p>
        </w:tc>
        <w:tc>
          <w:tcPr>
            <w:tcW w:w="1740" w:type="dxa"/>
            <w:tcBorders>
              <w:tl2br w:val="nil"/>
              <w:tr2bl w:val="nil"/>
            </w:tcBorders>
          </w:tcPr>
          <w:p w:rsidR="00525419" w:rsidRDefault="00EE1CF7">
            <w:pPr>
              <w:rPr>
                <w:rFonts w:ascii="Times New Roman" w:hAnsi="Times New Roman"/>
                <w:szCs w:val="21"/>
              </w:rPr>
            </w:pPr>
            <w:r>
              <w:rPr>
                <w:rFonts w:ascii="Times New Roman" w:hAnsi="Times New Roman"/>
                <w:szCs w:val="21"/>
              </w:rPr>
              <w:t>一等品</w:t>
            </w:r>
          </w:p>
        </w:tc>
        <w:tc>
          <w:tcPr>
            <w:tcW w:w="2032" w:type="dxa"/>
            <w:tcBorders>
              <w:tl2br w:val="nil"/>
              <w:tr2bl w:val="nil"/>
            </w:tcBorders>
          </w:tcPr>
          <w:p w:rsidR="00525419" w:rsidRDefault="00EE1CF7">
            <w:pPr>
              <w:rPr>
                <w:rFonts w:ascii="Times New Roman" w:hAnsi="Times New Roman"/>
                <w:szCs w:val="21"/>
              </w:rPr>
            </w:pPr>
            <w:r>
              <w:rPr>
                <w:rFonts w:ascii="Times New Roman" w:hAnsi="Times New Roman"/>
                <w:szCs w:val="21"/>
              </w:rPr>
              <w:t>合格品</w:t>
            </w:r>
          </w:p>
        </w:tc>
      </w:tr>
      <w:tr w:rsidR="00525419">
        <w:trPr>
          <w:jc w:val="center"/>
        </w:trPr>
        <w:tc>
          <w:tcPr>
            <w:tcW w:w="3056" w:type="dxa"/>
            <w:tcBorders>
              <w:tl2br w:val="nil"/>
              <w:tr2bl w:val="nil"/>
            </w:tcBorders>
          </w:tcPr>
          <w:p w:rsidR="00525419" w:rsidRDefault="00EE1CF7">
            <w:pPr>
              <w:rPr>
                <w:rFonts w:ascii="Times New Roman" w:hAnsi="Times New Roman"/>
                <w:szCs w:val="21"/>
              </w:rPr>
            </w:pPr>
            <w:r>
              <w:rPr>
                <w:rFonts w:ascii="Times New Roman" w:hAnsi="Times New Roman"/>
                <w:szCs w:val="21"/>
              </w:rPr>
              <w:t>硫（</w:t>
            </w:r>
            <w:r>
              <w:rPr>
                <w:rFonts w:ascii="Times New Roman" w:hAnsi="Times New Roman"/>
                <w:szCs w:val="21"/>
              </w:rPr>
              <w:t>S</w:t>
            </w:r>
            <w:r>
              <w:rPr>
                <w:rFonts w:ascii="Times New Roman" w:hAnsi="Times New Roman"/>
                <w:szCs w:val="21"/>
              </w:rPr>
              <w:t>）的质量分数</w:t>
            </w:r>
            <w:r>
              <w:rPr>
                <w:rFonts w:ascii="Times New Roman" w:hAnsi="Times New Roman"/>
                <w:szCs w:val="21"/>
              </w:rPr>
              <w:t> </w:t>
            </w:r>
          </w:p>
        </w:tc>
        <w:tc>
          <w:tcPr>
            <w:tcW w:w="1697" w:type="dxa"/>
            <w:tcBorders>
              <w:tl2br w:val="nil"/>
              <w:tr2bl w:val="nil"/>
            </w:tcBorders>
          </w:tcPr>
          <w:p w:rsidR="00525419" w:rsidRDefault="00EE1CF7">
            <w:pPr>
              <w:rPr>
                <w:rFonts w:ascii="Times New Roman" w:hAnsi="Times New Roman"/>
                <w:szCs w:val="21"/>
              </w:rPr>
            </w:pPr>
            <w:r>
              <w:rPr>
                <w:rFonts w:ascii="Times New Roman" w:hAnsi="Times New Roman"/>
                <w:szCs w:val="21"/>
              </w:rPr>
              <w:t>≥99.95%  </w:t>
            </w:r>
          </w:p>
        </w:tc>
        <w:tc>
          <w:tcPr>
            <w:tcW w:w="1740" w:type="dxa"/>
            <w:tcBorders>
              <w:tl2br w:val="nil"/>
              <w:tr2bl w:val="nil"/>
            </w:tcBorders>
          </w:tcPr>
          <w:p w:rsidR="00525419" w:rsidRDefault="00EE1CF7">
            <w:pPr>
              <w:rPr>
                <w:rFonts w:ascii="Times New Roman" w:hAnsi="Times New Roman"/>
                <w:szCs w:val="21"/>
              </w:rPr>
            </w:pPr>
            <w:r>
              <w:rPr>
                <w:rFonts w:ascii="Times New Roman" w:hAnsi="Times New Roman"/>
                <w:szCs w:val="21"/>
              </w:rPr>
              <w:t>≥99.5%</w:t>
            </w:r>
          </w:p>
        </w:tc>
        <w:tc>
          <w:tcPr>
            <w:tcW w:w="2032" w:type="dxa"/>
            <w:tcBorders>
              <w:tl2br w:val="nil"/>
              <w:tr2bl w:val="nil"/>
            </w:tcBorders>
          </w:tcPr>
          <w:p w:rsidR="00525419" w:rsidRDefault="00EE1CF7">
            <w:pPr>
              <w:rPr>
                <w:rFonts w:ascii="Times New Roman" w:hAnsi="Times New Roman"/>
                <w:szCs w:val="21"/>
              </w:rPr>
            </w:pPr>
            <w:r>
              <w:rPr>
                <w:rFonts w:ascii="Times New Roman" w:hAnsi="Times New Roman"/>
                <w:szCs w:val="21"/>
              </w:rPr>
              <w:t>≥99.0%</w:t>
            </w:r>
          </w:p>
        </w:tc>
      </w:tr>
      <w:tr w:rsidR="00525419">
        <w:trPr>
          <w:jc w:val="center"/>
        </w:trPr>
        <w:tc>
          <w:tcPr>
            <w:tcW w:w="3056" w:type="dxa"/>
            <w:tcBorders>
              <w:tl2br w:val="nil"/>
              <w:tr2bl w:val="nil"/>
            </w:tcBorders>
          </w:tcPr>
          <w:p w:rsidR="00525419" w:rsidRDefault="00EE1CF7">
            <w:pPr>
              <w:rPr>
                <w:rFonts w:ascii="Times New Roman" w:hAnsi="Times New Roman"/>
                <w:szCs w:val="21"/>
              </w:rPr>
            </w:pPr>
            <w:r>
              <w:rPr>
                <w:rFonts w:ascii="Times New Roman" w:hAnsi="Times New Roman"/>
                <w:szCs w:val="21"/>
              </w:rPr>
              <w:t>水分（固体硫磺）</w:t>
            </w:r>
            <w:r>
              <w:rPr>
                <w:rFonts w:ascii="Times New Roman" w:hAnsi="Times New Roman"/>
                <w:szCs w:val="21"/>
              </w:rPr>
              <w:t> </w:t>
            </w:r>
          </w:p>
        </w:tc>
        <w:tc>
          <w:tcPr>
            <w:tcW w:w="1697" w:type="dxa"/>
            <w:tcBorders>
              <w:tl2br w:val="nil"/>
              <w:tr2bl w:val="nil"/>
            </w:tcBorders>
          </w:tcPr>
          <w:p w:rsidR="00525419" w:rsidRDefault="00EE1CF7">
            <w:pPr>
              <w:rPr>
                <w:rFonts w:ascii="Times New Roman" w:hAnsi="Times New Roman"/>
                <w:szCs w:val="21"/>
              </w:rPr>
            </w:pPr>
            <w:r>
              <w:rPr>
                <w:rFonts w:ascii="Times New Roman" w:hAnsi="Times New Roman"/>
                <w:szCs w:val="21"/>
              </w:rPr>
              <w:t>≤2.00% </w:t>
            </w:r>
          </w:p>
        </w:tc>
        <w:tc>
          <w:tcPr>
            <w:tcW w:w="1740" w:type="dxa"/>
            <w:tcBorders>
              <w:tl2br w:val="nil"/>
              <w:tr2bl w:val="nil"/>
            </w:tcBorders>
          </w:tcPr>
          <w:p w:rsidR="00525419" w:rsidRDefault="00EE1CF7">
            <w:pPr>
              <w:rPr>
                <w:rFonts w:ascii="Times New Roman" w:hAnsi="Times New Roman"/>
                <w:szCs w:val="21"/>
              </w:rPr>
            </w:pPr>
            <w:r>
              <w:rPr>
                <w:rFonts w:ascii="Times New Roman" w:hAnsi="Times New Roman"/>
                <w:szCs w:val="21"/>
              </w:rPr>
              <w:t>≤2.00% </w:t>
            </w:r>
          </w:p>
        </w:tc>
        <w:tc>
          <w:tcPr>
            <w:tcW w:w="2032" w:type="dxa"/>
            <w:tcBorders>
              <w:tl2br w:val="nil"/>
              <w:tr2bl w:val="nil"/>
            </w:tcBorders>
          </w:tcPr>
          <w:p w:rsidR="00525419" w:rsidRDefault="00EE1CF7">
            <w:pPr>
              <w:rPr>
                <w:rFonts w:ascii="Times New Roman" w:hAnsi="Times New Roman"/>
                <w:szCs w:val="21"/>
              </w:rPr>
            </w:pPr>
            <w:r>
              <w:rPr>
                <w:rFonts w:ascii="Times New Roman" w:hAnsi="Times New Roman"/>
                <w:szCs w:val="21"/>
              </w:rPr>
              <w:t>≤2.00%</w:t>
            </w:r>
          </w:p>
        </w:tc>
      </w:tr>
      <w:tr w:rsidR="00525419">
        <w:trPr>
          <w:jc w:val="center"/>
        </w:trPr>
        <w:tc>
          <w:tcPr>
            <w:tcW w:w="3056" w:type="dxa"/>
            <w:tcBorders>
              <w:tl2br w:val="nil"/>
              <w:tr2bl w:val="nil"/>
            </w:tcBorders>
          </w:tcPr>
          <w:p w:rsidR="00525419" w:rsidRDefault="00EE1CF7">
            <w:pPr>
              <w:rPr>
                <w:rFonts w:ascii="Times New Roman" w:hAnsi="Times New Roman"/>
                <w:szCs w:val="21"/>
              </w:rPr>
            </w:pPr>
            <w:r>
              <w:rPr>
                <w:rFonts w:ascii="Times New Roman" w:hAnsi="Times New Roman"/>
                <w:szCs w:val="21"/>
              </w:rPr>
              <w:t>水分（液体硫磺）</w:t>
            </w:r>
          </w:p>
        </w:tc>
        <w:tc>
          <w:tcPr>
            <w:tcW w:w="1697" w:type="dxa"/>
            <w:tcBorders>
              <w:tl2br w:val="nil"/>
              <w:tr2bl w:val="nil"/>
            </w:tcBorders>
          </w:tcPr>
          <w:p w:rsidR="00525419" w:rsidRDefault="00EE1CF7">
            <w:pPr>
              <w:rPr>
                <w:rFonts w:ascii="Times New Roman" w:hAnsi="Times New Roman"/>
                <w:szCs w:val="21"/>
              </w:rPr>
            </w:pPr>
            <w:r>
              <w:rPr>
                <w:rFonts w:ascii="Times New Roman" w:hAnsi="Times New Roman"/>
                <w:szCs w:val="21"/>
              </w:rPr>
              <w:t>≤0.10%  </w:t>
            </w:r>
          </w:p>
        </w:tc>
        <w:tc>
          <w:tcPr>
            <w:tcW w:w="1740" w:type="dxa"/>
            <w:tcBorders>
              <w:tl2br w:val="nil"/>
              <w:tr2bl w:val="nil"/>
            </w:tcBorders>
          </w:tcPr>
          <w:p w:rsidR="00525419" w:rsidRDefault="00EE1CF7">
            <w:pPr>
              <w:rPr>
                <w:rFonts w:ascii="Times New Roman" w:hAnsi="Times New Roman"/>
                <w:szCs w:val="21"/>
              </w:rPr>
            </w:pPr>
            <w:r>
              <w:rPr>
                <w:rFonts w:ascii="Times New Roman" w:hAnsi="Times New Roman"/>
                <w:szCs w:val="21"/>
              </w:rPr>
              <w:t> ≤0.50%  </w:t>
            </w:r>
          </w:p>
        </w:tc>
        <w:tc>
          <w:tcPr>
            <w:tcW w:w="2032" w:type="dxa"/>
            <w:tcBorders>
              <w:tl2br w:val="nil"/>
              <w:tr2bl w:val="nil"/>
            </w:tcBorders>
          </w:tcPr>
          <w:p w:rsidR="00525419" w:rsidRDefault="00EE1CF7">
            <w:pPr>
              <w:rPr>
                <w:rFonts w:ascii="Times New Roman" w:hAnsi="Times New Roman"/>
                <w:szCs w:val="21"/>
              </w:rPr>
            </w:pPr>
            <w:r>
              <w:rPr>
                <w:rFonts w:ascii="Times New Roman" w:hAnsi="Times New Roman"/>
                <w:szCs w:val="21"/>
              </w:rPr>
              <w:t>≤1.00%</w:t>
            </w:r>
          </w:p>
        </w:tc>
      </w:tr>
      <w:tr w:rsidR="00525419">
        <w:trPr>
          <w:jc w:val="center"/>
        </w:trPr>
        <w:tc>
          <w:tcPr>
            <w:tcW w:w="3056" w:type="dxa"/>
            <w:tcBorders>
              <w:tl2br w:val="nil"/>
              <w:tr2bl w:val="nil"/>
            </w:tcBorders>
          </w:tcPr>
          <w:p w:rsidR="00525419" w:rsidRDefault="00EE1CF7">
            <w:pPr>
              <w:rPr>
                <w:rFonts w:ascii="Times New Roman" w:hAnsi="Times New Roman"/>
                <w:szCs w:val="21"/>
              </w:rPr>
            </w:pPr>
            <w:r>
              <w:rPr>
                <w:rFonts w:ascii="Times New Roman" w:hAnsi="Times New Roman"/>
                <w:szCs w:val="21"/>
              </w:rPr>
              <w:t>酸度（以</w:t>
            </w: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SO</w:t>
            </w:r>
            <w:r>
              <w:rPr>
                <w:rFonts w:ascii="Times New Roman" w:hAnsi="Times New Roman"/>
                <w:szCs w:val="21"/>
                <w:vertAlign w:val="subscript"/>
              </w:rPr>
              <w:t>4</w:t>
            </w:r>
            <w:r>
              <w:rPr>
                <w:rFonts w:ascii="Times New Roman" w:hAnsi="Times New Roman"/>
                <w:szCs w:val="21"/>
              </w:rPr>
              <w:t>计）</w:t>
            </w:r>
          </w:p>
        </w:tc>
        <w:tc>
          <w:tcPr>
            <w:tcW w:w="1697" w:type="dxa"/>
            <w:tcBorders>
              <w:tl2br w:val="nil"/>
              <w:tr2bl w:val="nil"/>
            </w:tcBorders>
          </w:tcPr>
          <w:p w:rsidR="00525419" w:rsidRDefault="00EE1CF7">
            <w:pPr>
              <w:rPr>
                <w:rFonts w:ascii="Times New Roman" w:hAnsi="Times New Roman"/>
                <w:szCs w:val="21"/>
              </w:rPr>
            </w:pPr>
            <w:r>
              <w:rPr>
                <w:rFonts w:ascii="Times New Roman" w:hAnsi="Times New Roman"/>
                <w:szCs w:val="21"/>
              </w:rPr>
              <w:t> ≤0.003% </w:t>
            </w:r>
          </w:p>
        </w:tc>
        <w:tc>
          <w:tcPr>
            <w:tcW w:w="1740" w:type="dxa"/>
            <w:tcBorders>
              <w:tl2br w:val="nil"/>
              <w:tr2bl w:val="nil"/>
            </w:tcBorders>
          </w:tcPr>
          <w:p w:rsidR="00525419" w:rsidRDefault="00EE1CF7">
            <w:pPr>
              <w:rPr>
                <w:rFonts w:ascii="Times New Roman" w:hAnsi="Times New Roman"/>
                <w:szCs w:val="21"/>
              </w:rPr>
            </w:pPr>
            <w:r>
              <w:rPr>
                <w:rFonts w:ascii="Times New Roman" w:hAnsi="Times New Roman"/>
                <w:szCs w:val="21"/>
              </w:rPr>
              <w:t>≤0.005% </w:t>
            </w:r>
          </w:p>
        </w:tc>
        <w:tc>
          <w:tcPr>
            <w:tcW w:w="2032" w:type="dxa"/>
            <w:tcBorders>
              <w:tl2br w:val="nil"/>
              <w:tr2bl w:val="nil"/>
            </w:tcBorders>
          </w:tcPr>
          <w:p w:rsidR="00525419" w:rsidRDefault="00EE1CF7">
            <w:pPr>
              <w:rPr>
                <w:rFonts w:ascii="Times New Roman" w:hAnsi="Times New Roman"/>
                <w:szCs w:val="21"/>
              </w:rPr>
            </w:pPr>
            <w:r>
              <w:rPr>
                <w:rFonts w:ascii="Times New Roman" w:hAnsi="Times New Roman"/>
                <w:szCs w:val="21"/>
              </w:rPr>
              <w:t>≤0.02%</w:t>
            </w:r>
          </w:p>
        </w:tc>
      </w:tr>
      <w:tr w:rsidR="00525419">
        <w:trPr>
          <w:jc w:val="center"/>
        </w:trPr>
        <w:tc>
          <w:tcPr>
            <w:tcW w:w="3056" w:type="dxa"/>
            <w:tcBorders>
              <w:tl2br w:val="nil"/>
              <w:tr2bl w:val="nil"/>
            </w:tcBorders>
          </w:tcPr>
          <w:p w:rsidR="00525419" w:rsidRDefault="00EE1CF7">
            <w:pPr>
              <w:rPr>
                <w:rFonts w:ascii="Times New Roman" w:hAnsi="Times New Roman"/>
                <w:szCs w:val="21"/>
              </w:rPr>
            </w:pPr>
            <w:r>
              <w:rPr>
                <w:rFonts w:ascii="Times New Roman" w:hAnsi="Times New Roman"/>
                <w:szCs w:val="21"/>
              </w:rPr>
              <w:t>灰分的质量分数</w:t>
            </w:r>
            <w:r>
              <w:rPr>
                <w:rFonts w:ascii="Times New Roman" w:hAnsi="Times New Roman"/>
                <w:szCs w:val="21"/>
              </w:rPr>
              <w:t> </w:t>
            </w:r>
          </w:p>
        </w:tc>
        <w:tc>
          <w:tcPr>
            <w:tcW w:w="1697" w:type="dxa"/>
            <w:tcBorders>
              <w:tl2br w:val="nil"/>
              <w:tr2bl w:val="nil"/>
            </w:tcBorders>
          </w:tcPr>
          <w:p w:rsidR="00525419" w:rsidRDefault="00EE1CF7">
            <w:pPr>
              <w:rPr>
                <w:rFonts w:ascii="Times New Roman" w:hAnsi="Times New Roman"/>
                <w:szCs w:val="21"/>
              </w:rPr>
            </w:pPr>
            <w:r>
              <w:rPr>
                <w:rFonts w:ascii="Times New Roman" w:hAnsi="Times New Roman"/>
                <w:szCs w:val="21"/>
              </w:rPr>
              <w:t>≤0.03%  </w:t>
            </w:r>
          </w:p>
        </w:tc>
        <w:tc>
          <w:tcPr>
            <w:tcW w:w="1740" w:type="dxa"/>
            <w:tcBorders>
              <w:tl2br w:val="nil"/>
              <w:tr2bl w:val="nil"/>
            </w:tcBorders>
          </w:tcPr>
          <w:p w:rsidR="00525419" w:rsidRDefault="00EE1CF7">
            <w:pPr>
              <w:rPr>
                <w:rFonts w:ascii="Times New Roman" w:hAnsi="Times New Roman"/>
                <w:szCs w:val="21"/>
              </w:rPr>
            </w:pPr>
            <w:r>
              <w:rPr>
                <w:rFonts w:ascii="Times New Roman" w:hAnsi="Times New Roman"/>
                <w:szCs w:val="21"/>
              </w:rPr>
              <w:t>≤0.10%  </w:t>
            </w:r>
          </w:p>
        </w:tc>
        <w:tc>
          <w:tcPr>
            <w:tcW w:w="2032" w:type="dxa"/>
            <w:tcBorders>
              <w:tl2br w:val="nil"/>
              <w:tr2bl w:val="nil"/>
            </w:tcBorders>
          </w:tcPr>
          <w:p w:rsidR="00525419" w:rsidRDefault="00EE1CF7">
            <w:pPr>
              <w:rPr>
                <w:rFonts w:ascii="Times New Roman" w:hAnsi="Times New Roman"/>
                <w:szCs w:val="21"/>
              </w:rPr>
            </w:pPr>
            <w:r>
              <w:rPr>
                <w:rFonts w:ascii="Times New Roman" w:hAnsi="Times New Roman"/>
                <w:szCs w:val="21"/>
              </w:rPr>
              <w:t>≤0.20%</w:t>
            </w:r>
          </w:p>
        </w:tc>
      </w:tr>
      <w:tr w:rsidR="00525419">
        <w:trPr>
          <w:jc w:val="center"/>
        </w:trPr>
        <w:tc>
          <w:tcPr>
            <w:tcW w:w="3056" w:type="dxa"/>
            <w:tcBorders>
              <w:tl2br w:val="nil"/>
              <w:tr2bl w:val="nil"/>
            </w:tcBorders>
          </w:tcPr>
          <w:p w:rsidR="00525419" w:rsidRDefault="00EE1CF7">
            <w:pPr>
              <w:rPr>
                <w:rFonts w:ascii="Times New Roman" w:hAnsi="Times New Roman"/>
                <w:szCs w:val="21"/>
              </w:rPr>
            </w:pPr>
            <w:r>
              <w:rPr>
                <w:rFonts w:ascii="Times New Roman" w:hAnsi="Times New Roman"/>
                <w:szCs w:val="21"/>
              </w:rPr>
              <w:t>有机物的质量分数</w:t>
            </w:r>
            <w:r>
              <w:rPr>
                <w:rFonts w:ascii="Times New Roman" w:hAnsi="Times New Roman"/>
                <w:szCs w:val="21"/>
              </w:rPr>
              <w:t> </w:t>
            </w:r>
          </w:p>
        </w:tc>
        <w:tc>
          <w:tcPr>
            <w:tcW w:w="1697" w:type="dxa"/>
            <w:tcBorders>
              <w:tl2br w:val="nil"/>
              <w:tr2bl w:val="nil"/>
            </w:tcBorders>
          </w:tcPr>
          <w:p w:rsidR="00525419" w:rsidRDefault="00EE1CF7">
            <w:pPr>
              <w:rPr>
                <w:rFonts w:ascii="Times New Roman" w:hAnsi="Times New Roman"/>
                <w:szCs w:val="21"/>
              </w:rPr>
            </w:pPr>
            <w:r>
              <w:rPr>
                <w:rFonts w:ascii="Times New Roman" w:hAnsi="Times New Roman"/>
                <w:szCs w:val="21"/>
              </w:rPr>
              <w:t> ≤0.03%  </w:t>
            </w:r>
          </w:p>
        </w:tc>
        <w:tc>
          <w:tcPr>
            <w:tcW w:w="1740" w:type="dxa"/>
            <w:tcBorders>
              <w:tl2br w:val="nil"/>
              <w:tr2bl w:val="nil"/>
            </w:tcBorders>
          </w:tcPr>
          <w:p w:rsidR="00525419" w:rsidRDefault="00EE1CF7">
            <w:pPr>
              <w:rPr>
                <w:rFonts w:ascii="Times New Roman" w:hAnsi="Times New Roman"/>
                <w:szCs w:val="21"/>
              </w:rPr>
            </w:pPr>
            <w:r>
              <w:rPr>
                <w:rFonts w:ascii="Times New Roman" w:hAnsi="Times New Roman"/>
                <w:szCs w:val="21"/>
              </w:rPr>
              <w:t>≤0.30%</w:t>
            </w:r>
          </w:p>
        </w:tc>
        <w:tc>
          <w:tcPr>
            <w:tcW w:w="2032" w:type="dxa"/>
            <w:tcBorders>
              <w:tl2br w:val="nil"/>
              <w:tr2bl w:val="nil"/>
            </w:tcBorders>
          </w:tcPr>
          <w:p w:rsidR="00525419" w:rsidRDefault="00EE1CF7">
            <w:pPr>
              <w:rPr>
                <w:rFonts w:ascii="Times New Roman" w:hAnsi="Times New Roman"/>
                <w:szCs w:val="21"/>
              </w:rPr>
            </w:pPr>
            <w:r>
              <w:rPr>
                <w:rFonts w:ascii="Times New Roman" w:hAnsi="Times New Roman"/>
                <w:szCs w:val="21"/>
              </w:rPr>
              <w:t>≤0.80%</w:t>
            </w:r>
          </w:p>
        </w:tc>
      </w:tr>
      <w:tr w:rsidR="00525419">
        <w:trPr>
          <w:jc w:val="center"/>
        </w:trPr>
        <w:tc>
          <w:tcPr>
            <w:tcW w:w="3056" w:type="dxa"/>
            <w:tcBorders>
              <w:tl2br w:val="nil"/>
              <w:tr2bl w:val="nil"/>
            </w:tcBorders>
          </w:tcPr>
          <w:p w:rsidR="00525419" w:rsidRDefault="00EE1CF7">
            <w:pPr>
              <w:rPr>
                <w:rFonts w:ascii="Times New Roman" w:hAnsi="Times New Roman"/>
                <w:szCs w:val="21"/>
              </w:rPr>
            </w:pPr>
            <w:r>
              <w:rPr>
                <w:rFonts w:ascii="Times New Roman" w:hAnsi="Times New Roman"/>
                <w:szCs w:val="21"/>
              </w:rPr>
              <w:t>砷（</w:t>
            </w:r>
            <w:r>
              <w:rPr>
                <w:rFonts w:ascii="Times New Roman" w:hAnsi="Times New Roman"/>
                <w:szCs w:val="21"/>
              </w:rPr>
              <w:t>As</w:t>
            </w:r>
            <w:r>
              <w:rPr>
                <w:rFonts w:ascii="Times New Roman" w:hAnsi="Times New Roman"/>
                <w:szCs w:val="21"/>
              </w:rPr>
              <w:t>）的质量分数</w:t>
            </w:r>
          </w:p>
        </w:tc>
        <w:tc>
          <w:tcPr>
            <w:tcW w:w="1697" w:type="dxa"/>
            <w:tcBorders>
              <w:tl2br w:val="nil"/>
              <w:tr2bl w:val="nil"/>
            </w:tcBorders>
          </w:tcPr>
          <w:p w:rsidR="00525419" w:rsidRDefault="00EE1CF7">
            <w:pPr>
              <w:rPr>
                <w:rFonts w:ascii="Times New Roman" w:hAnsi="Times New Roman"/>
                <w:szCs w:val="21"/>
              </w:rPr>
            </w:pPr>
            <w:r>
              <w:rPr>
                <w:rFonts w:ascii="Times New Roman" w:hAnsi="Times New Roman"/>
                <w:szCs w:val="21"/>
              </w:rPr>
              <w:t>≤0.0001% </w:t>
            </w:r>
          </w:p>
        </w:tc>
        <w:tc>
          <w:tcPr>
            <w:tcW w:w="1740" w:type="dxa"/>
            <w:tcBorders>
              <w:tl2br w:val="nil"/>
              <w:tr2bl w:val="nil"/>
            </w:tcBorders>
          </w:tcPr>
          <w:p w:rsidR="00525419" w:rsidRDefault="00EE1CF7">
            <w:pPr>
              <w:rPr>
                <w:rFonts w:ascii="Times New Roman" w:hAnsi="Times New Roman"/>
                <w:szCs w:val="21"/>
              </w:rPr>
            </w:pPr>
            <w:r>
              <w:rPr>
                <w:rFonts w:ascii="Times New Roman" w:hAnsi="Times New Roman"/>
                <w:szCs w:val="21"/>
              </w:rPr>
              <w:t>≤0.01% </w:t>
            </w:r>
          </w:p>
        </w:tc>
        <w:tc>
          <w:tcPr>
            <w:tcW w:w="2032" w:type="dxa"/>
            <w:tcBorders>
              <w:tl2br w:val="nil"/>
              <w:tr2bl w:val="nil"/>
            </w:tcBorders>
          </w:tcPr>
          <w:p w:rsidR="00525419" w:rsidRDefault="00EE1CF7">
            <w:pPr>
              <w:rPr>
                <w:rFonts w:ascii="Times New Roman" w:hAnsi="Times New Roman"/>
                <w:szCs w:val="21"/>
              </w:rPr>
            </w:pPr>
            <w:r>
              <w:rPr>
                <w:rFonts w:ascii="Times New Roman" w:hAnsi="Times New Roman"/>
                <w:szCs w:val="21"/>
              </w:rPr>
              <w:t>≤0.05%</w:t>
            </w:r>
          </w:p>
        </w:tc>
      </w:tr>
      <w:tr w:rsidR="00525419">
        <w:trPr>
          <w:jc w:val="center"/>
        </w:trPr>
        <w:tc>
          <w:tcPr>
            <w:tcW w:w="3056" w:type="dxa"/>
            <w:tcBorders>
              <w:tl2br w:val="nil"/>
              <w:tr2bl w:val="nil"/>
            </w:tcBorders>
          </w:tcPr>
          <w:p w:rsidR="00525419" w:rsidRDefault="00EE1CF7">
            <w:pPr>
              <w:rPr>
                <w:rFonts w:ascii="Times New Roman" w:hAnsi="Times New Roman"/>
                <w:szCs w:val="21"/>
              </w:rPr>
            </w:pPr>
            <w:r>
              <w:rPr>
                <w:rFonts w:ascii="Times New Roman" w:hAnsi="Times New Roman"/>
                <w:szCs w:val="21"/>
              </w:rPr>
              <w:t>铁（</w:t>
            </w:r>
            <w:r>
              <w:rPr>
                <w:rFonts w:ascii="Times New Roman" w:hAnsi="Times New Roman"/>
                <w:szCs w:val="21"/>
              </w:rPr>
              <w:t>Fe</w:t>
            </w:r>
            <w:r>
              <w:rPr>
                <w:rFonts w:ascii="Times New Roman" w:hAnsi="Times New Roman"/>
                <w:szCs w:val="21"/>
              </w:rPr>
              <w:t>）的质量分数</w:t>
            </w:r>
            <w:r>
              <w:rPr>
                <w:rFonts w:ascii="Times New Roman" w:hAnsi="Times New Roman"/>
                <w:szCs w:val="21"/>
              </w:rPr>
              <w:t> </w:t>
            </w:r>
          </w:p>
        </w:tc>
        <w:tc>
          <w:tcPr>
            <w:tcW w:w="1697" w:type="dxa"/>
            <w:tcBorders>
              <w:tl2br w:val="nil"/>
              <w:tr2bl w:val="nil"/>
            </w:tcBorders>
          </w:tcPr>
          <w:p w:rsidR="00525419" w:rsidRDefault="00EE1CF7">
            <w:pPr>
              <w:rPr>
                <w:rFonts w:ascii="Times New Roman" w:hAnsi="Times New Roman"/>
                <w:szCs w:val="21"/>
              </w:rPr>
            </w:pPr>
            <w:r>
              <w:rPr>
                <w:rFonts w:ascii="Times New Roman" w:hAnsi="Times New Roman"/>
                <w:szCs w:val="21"/>
              </w:rPr>
              <w:t>≤0.003%  </w:t>
            </w:r>
          </w:p>
        </w:tc>
        <w:tc>
          <w:tcPr>
            <w:tcW w:w="1740" w:type="dxa"/>
            <w:tcBorders>
              <w:tl2br w:val="nil"/>
              <w:tr2bl w:val="nil"/>
            </w:tcBorders>
          </w:tcPr>
          <w:p w:rsidR="00525419" w:rsidRDefault="00EE1CF7">
            <w:pPr>
              <w:rPr>
                <w:rFonts w:ascii="Times New Roman" w:hAnsi="Times New Roman"/>
                <w:szCs w:val="21"/>
              </w:rPr>
            </w:pPr>
            <w:r>
              <w:rPr>
                <w:rFonts w:ascii="Times New Roman" w:hAnsi="Times New Roman"/>
                <w:szCs w:val="21"/>
              </w:rPr>
              <w:t>≤0.005% </w:t>
            </w:r>
          </w:p>
        </w:tc>
        <w:tc>
          <w:tcPr>
            <w:tcW w:w="2032" w:type="dxa"/>
            <w:tcBorders>
              <w:tl2br w:val="nil"/>
              <w:tr2bl w:val="nil"/>
            </w:tcBorders>
          </w:tcPr>
          <w:p w:rsidR="00525419" w:rsidRDefault="00EE1CF7">
            <w:pPr>
              <w:rPr>
                <w:rFonts w:ascii="Times New Roman" w:hAnsi="Times New Roman"/>
                <w:szCs w:val="21"/>
              </w:rPr>
            </w:pPr>
            <w:r>
              <w:rPr>
                <w:rFonts w:ascii="Times New Roman" w:hAnsi="Times New Roman"/>
                <w:szCs w:val="21"/>
              </w:rPr>
              <w:t>≤3.00%</w:t>
            </w:r>
          </w:p>
        </w:tc>
      </w:tr>
      <w:tr w:rsidR="00525419">
        <w:trPr>
          <w:jc w:val="center"/>
        </w:trPr>
        <w:tc>
          <w:tcPr>
            <w:tcW w:w="3056" w:type="dxa"/>
            <w:tcBorders>
              <w:tl2br w:val="nil"/>
              <w:tr2bl w:val="nil"/>
            </w:tcBorders>
          </w:tcPr>
          <w:p w:rsidR="00525419" w:rsidRDefault="00EE1CF7">
            <w:pPr>
              <w:rPr>
                <w:rFonts w:ascii="Times New Roman" w:hAnsi="Times New Roman"/>
                <w:szCs w:val="21"/>
              </w:rPr>
            </w:pPr>
            <w:r>
              <w:rPr>
                <w:rFonts w:ascii="Times New Roman" w:hAnsi="Times New Roman"/>
                <w:szCs w:val="21"/>
              </w:rPr>
              <w:t>筛余物（粒度大于</w:t>
            </w:r>
            <w:r>
              <w:rPr>
                <w:rFonts w:ascii="Times New Roman" w:hAnsi="Times New Roman"/>
                <w:szCs w:val="21"/>
              </w:rPr>
              <w:t>150μm</w:t>
            </w:r>
            <w:r>
              <w:rPr>
                <w:rFonts w:ascii="Times New Roman" w:hAnsi="Times New Roman"/>
                <w:szCs w:val="21"/>
              </w:rPr>
              <w:t>）</w:t>
            </w:r>
          </w:p>
        </w:tc>
        <w:tc>
          <w:tcPr>
            <w:tcW w:w="1697" w:type="dxa"/>
            <w:tcBorders>
              <w:tl2br w:val="nil"/>
              <w:tr2bl w:val="nil"/>
            </w:tcBorders>
          </w:tcPr>
          <w:p w:rsidR="00525419" w:rsidRDefault="00EE1CF7">
            <w:pPr>
              <w:rPr>
                <w:rFonts w:ascii="Times New Roman" w:hAnsi="Times New Roman"/>
                <w:szCs w:val="21"/>
              </w:rPr>
            </w:pPr>
            <w:r>
              <w:rPr>
                <w:rFonts w:ascii="Times New Roman" w:hAnsi="Times New Roman"/>
                <w:szCs w:val="21"/>
              </w:rPr>
              <w:t>0      </w:t>
            </w:r>
          </w:p>
        </w:tc>
        <w:tc>
          <w:tcPr>
            <w:tcW w:w="1740" w:type="dxa"/>
            <w:tcBorders>
              <w:tl2br w:val="nil"/>
              <w:tr2bl w:val="nil"/>
            </w:tcBorders>
          </w:tcPr>
          <w:p w:rsidR="00525419" w:rsidRDefault="00EE1CF7">
            <w:pPr>
              <w:rPr>
                <w:rFonts w:ascii="Times New Roman" w:hAnsi="Times New Roman"/>
                <w:szCs w:val="21"/>
              </w:rPr>
            </w:pPr>
            <w:r>
              <w:rPr>
                <w:rFonts w:ascii="Times New Roman" w:hAnsi="Times New Roman"/>
                <w:szCs w:val="21"/>
              </w:rPr>
              <w:t>0 </w:t>
            </w:r>
          </w:p>
        </w:tc>
        <w:tc>
          <w:tcPr>
            <w:tcW w:w="2032" w:type="dxa"/>
            <w:tcBorders>
              <w:tl2br w:val="nil"/>
              <w:tr2bl w:val="nil"/>
            </w:tcBorders>
          </w:tcPr>
          <w:p w:rsidR="00525419" w:rsidRDefault="00525419">
            <w:pPr>
              <w:rPr>
                <w:rFonts w:ascii="Times New Roman" w:hAnsi="Times New Roman"/>
                <w:szCs w:val="21"/>
              </w:rPr>
            </w:pPr>
          </w:p>
        </w:tc>
      </w:tr>
      <w:tr w:rsidR="00525419">
        <w:trPr>
          <w:jc w:val="center"/>
        </w:trPr>
        <w:tc>
          <w:tcPr>
            <w:tcW w:w="3056" w:type="dxa"/>
            <w:tcBorders>
              <w:tl2br w:val="nil"/>
              <w:tr2bl w:val="nil"/>
            </w:tcBorders>
          </w:tcPr>
          <w:p w:rsidR="00525419" w:rsidRDefault="00EE1CF7">
            <w:pPr>
              <w:rPr>
                <w:rFonts w:ascii="Times New Roman" w:hAnsi="Times New Roman"/>
                <w:szCs w:val="21"/>
              </w:rPr>
            </w:pPr>
            <w:r>
              <w:rPr>
                <w:rFonts w:ascii="Times New Roman" w:hAnsi="Times New Roman"/>
                <w:szCs w:val="21"/>
              </w:rPr>
              <w:t>筛余物（粒度大于</w:t>
            </w:r>
            <w:r>
              <w:rPr>
                <w:rFonts w:ascii="Times New Roman" w:hAnsi="Times New Roman"/>
                <w:szCs w:val="21"/>
              </w:rPr>
              <w:t>150μm</w:t>
            </w:r>
            <w:r>
              <w:rPr>
                <w:rFonts w:ascii="Times New Roman" w:hAnsi="Times New Roman"/>
                <w:szCs w:val="21"/>
              </w:rPr>
              <w:t>）</w:t>
            </w:r>
            <w:r>
              <w:rPr>
                <w:rFonts w:ascii="Times New Roman" w:hAnsi="Times New Roman"/>
                <w:szCs w:val="21"/>
              </w:rPr>
              <w:t> </w:t>
            </w:r>
          </w:p>
        </w:tc>
        <w:tc>
          <w:tcPr>
            <w:tcW w:w="1697" w:type="dxa"/>
            <w:tcBorders>
              <w:tl2br w:val="nil"/>
              <w:tr2bl w:val="nil"/>
            </w:tcBorders>
          </w:tcPr>
          <w:p w:rsidR="00525419" w:rsidRDefault="00EE1CF7">
            <w:pPr>
              <w:rPr>
                <w:rFonts w:ascii="Times New Roman" w:hAnsi="Times New Roman"/>
                <w:szCs w:val="21"/>
              </w:rPr>
            </w:pPr>
            <w:r>
              <w:rPr>
                <w:rFonts w:ascii="Times New Roman" w:hAnsi="Times New Roman"/>
                <w:szCs w:val="21"/>
              </w:rPr>
              <w:t>≤0.50%  </w:t>
            </w:r>
          </w:p>
        </w:tc>
        <w:tc>
          <w:tcPr>
            <w:tcW w:w="1740" w:type="dxa"/>
            <w:tcBorders>
              <w:tl2br w:val="nil"/>
              <w:tr2bl w:val="nil"/>
            </w:tcBorders>
          </w:tcPr>
          <w:p w:rsidR="00525419" w:rsidRDefault="00EE1CF7">
            <w:pPr>
              <w:rPr>
                <w:rFonts w:ascii="Times New Roman" w:hAnsi="Times New Roman"/>
                <w:szCs w:val="21"/>
              </w:rPr>
            </w:pPr>
            <w:r>
              <w:rPr>
                <w:rFonts w:ascii="Times New Roman" w:hAnsi="Times New Roman"/>
                <w:szCs w:val="21"/>
              </w:rPr>
              <w:t>1.0%  </w:t>
            </w:r>
          </w:p>
        </w:tc>
        <w:tc>
          <w:tcPr>
            <w:tcW w:w="2032" w:type="dxa"/>
            <w:tcBorders>
              <w:tl2br w:val="nil"/>
              <w:tr2bl w:val="nil"/>
            </w:tcBorders>
          </w:tcPr>
          <w:p w:rsidR="00525419" w:rsidRDefault="00EE1CF7">
            <w:pPr>
              <w:rPr>
                <w:rFonts w:ascii="Times New Roman" w:hAnsi="Times New Roman"/>
                <w:szCs w:val="21"/>
              </w:rPr>
            </w:pPr>
            <w:r>
              <w:rPr>
                <w:rFonts w:ascii="Times New Roman" w:hAnsi="Times New Roman"/>
                <w:szCs w:val="21"/>
              </w:rPr>
              <w:t>4.0%</w:t>
            </w:r>
          </w:p>
        </w:tc>
      </w:tr>
    </w:tbl>
    <w:p w:rsidR="00525419" w:rsidRDefault="00525419">
      <w:pPr>
        <w:ind w:firstLineChars="200" w:firstLine="420"/>
        <w:rPr>
          <w:rFonts w:ascii="Times New Roman" w:eastAsia="黑体" w:hAnsi="Times New Roman"/>
        </w:rPr>
      </w:pPr>
    </w:p>
    <w:p w:rsidR="00525419" w:rsidRDefault="00EE1CF7">
      <w:pPr>
        <w:ind w:firstLineChars="1400" w:firstLine="2940"/>
        <w:rPr>
          <w:rFonts w:ascii="Times New Roman" w:eastAsia="黑体" w:hAnsi="Times New Roman"/>
        </w:rPr>
      </w:pPr>
      <w:r>
        <w:rPr>
          <w:rFonts w:ascii="Times New Roman" w:eastAsia="黑体" w:hAnsi="Times New Roman"/>
        </w:rPr>
        <w:t>表</w:t>
      </w:r>
      <w:r>
        <w:rPr>
          <w:rFonts w:ascii="Times New Roman" w:eastAsia="黑体" w:hAnsi="Times New Roman"/>
        </w:rPr>
        <w:t>3.3-7</w:t>
      </w:r>
      <w:r>
        <w:rPr>
          <w:rFonts w:ascii="Times New Roman" w:eastAsia="黑体" w:hAnsi="Times New Roman"/>
        </w:rPr>
        <w:t xml:space="preserve">　</w:t>
      </w:r>
      <w:r>
        <w:rPr>
          <w:rFonts w:ascii="Times New Roman" w:eastAsia="黑体" w:hAnsi="Times New Roman"/>
        </w:rPr>
        <w:t xml:space="preserve"> </w:t>
      </w:r>
      <w:r>
        <w:rPr>
          <w:rFonts w:ascii="Times New Roman" w:eastAsia="黑体" w:hAnsi="Times New Roman"/>
        </w:rPr>
        <w:t>氢气标准</w:t>
      </w:r>
    </w:p>
    <w:tbl>
      <w:tblPr>
        <w:tblW w:w="85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404"/>
        <w:gridCol w:w="930"/>
        <w:gridCol w:w="2166"/>
        <w:gridCol w:w="2026"/>
      </w:tblGrid>
      <w:tr w:rsidR="00525419">
        <w:trPr>
          <w:trHeight w:val="276"/>
        </w:trPr>
        <w:tc>
          <w:tcPr>
            <w:tcW w:w="3404" w:type="dxa"/>
            <w:vMerge w:val="restart"/>
            <w:tcBorders>
              <w:tl2br w:val="nil"/>
              <w:tr2bl w:val="nil"/>
            </w:tcBorders>
          </w:tcPr>
          <w:p w:rsidR="00525419" w:rsidRDefault="00EE1CF7">
            <w:pPr>
              <w:spacing w:line="240" w:lineRule="exact"/>
              <w:rPr>
                <w:rFonts w:ascii="Times New Roman" w:hAnsi="Times New Roman"/>
              </w:rPr>
            </w:pPr>
            <w:r>
              <w:rPr>
                <w:rFonts w:ascii="Times New Roman" w:hAnsi="Times New Roman"/>
              </w:rPr>
              <w:t>项目名称</w:t>
            </w:r>
          </w:p>
        </w:tc>
        <w:tc>
          <w:tcPr>
            <w:tcW w:w="5122" w:type="dxa"/>
            <w:gridSpan w:val="3"/>
            <w:tcBorders>
              <w:tl2br w:val="nil"/>
              <w:tr2bl w:val="nil"/>
            </w:tcBorders>
          </w:tcPr>
          <w:p w:rsidR="00525419" w:rsidRDefault="00EE1CF7">
            <w:pPr>
              <w:spacing w:line="240" w:lineRule="exact"/>
              <w:rPr>
                <w:rFonts w:ascii="Times New Roman" w:hAnsi="Times New Roman"/>
              </w:rPr>
            </w:pPr>
            <w:r>
              <w:rPr>
                <w:rFonts w:ascii="Times New Roman" w:hAnsi="Times New Roman"/>
              </w:rPr>
              <w:t>指标</w:t>
            </w:r>
          </w:p>
        </w:tc>
      </w:tr>
      <w:tr w:rsidR="00525419">
        <w:trPr>
          <w:trHeight w:val="300"/>
        </w:trPr>
        <w:tc>
          <w:tcPr>
            <w:tcW w:w="3404" w:type="dxa"/>
            <w:vMerge/>
            <w:tcBorders>
              <w:tl2br w:val="nil"/>
              <w:tr2bl w:val="nil"/>
            </w:tcBorders>
          </w:tcPr>
          <w:p w:rsidR="00525419" w:rsidRDefault="00525419">
            <w:pPr>
              <w:spacing w:line="240" w:lineRule="exact"/>
              <w:rPr>
                <w:rFonts w:ascii="Times New Roman" w:hAnsi="Times New Roman"/>
              </w:rPr>
            </w:pPr>
          </w:p>
        </w:tc>
        <w:tc>
          <w:tcPr>
            <w:tcW w:w="930" w:type="dxa"/>
            <w:tcBorders>
              <w:tl2br w:val="nil"/>
              <w:tr2bl w:val="nil"/>
            </w:tcBorders>
          </w:tcPr>
          <w:p w:rsidR="00525419" w:rsidRDefault="00EE1CF7">
            <w:pPr>
              <w:spacing w:line="240" w:lineRule="exact"/>
              <w:rPr>
                <w:rFonts w:ascii="Times New Roman" w:hAnsi="Times New Roman"/>
              </w:rPr>
            </w:pPr>
            <w:r>
              <w:rPr>
                <w:rFonts w:ascii="Times New Roman" w:hAnsi="Times New Roman"/>
              </w:rPr>
              <w:t>优等品</w:t>
            </w:r>
          </w:p>
        </w:tc>
        <w:tc>
          <w:tcPr>
            <w:tcW w:w="2166" w:type="dxa"/>
            <w:tcBorders>
              <w:tl2br w:val="nil"/>
              <w:tr2bl w:val="nil"/>
            </w:tcBorders>
          </w:tcPr>
          <w:p w:rsidR="00525419" w:rsidRDefault="00EE1CF7">
            <w:pPr>
              <w:spacing w:line="240" w:lineRule="exact"/>
              <w:rPr>
                <w:rFonts w:ascii="Times New Roman" w:hAnsi="Times New Roman"/>
              </w:rPr>
            </w:pPr>
            <w:r>
              <w:rPr>
                <w:rFonts w:ascii="Times New Roman" w:hAnsi="Times New Roman"/>
              </w:rPr>
              <w:t>一等品</w:t>
            </w:r>
          </w:p>
        </w:tc>
        <w:tc>
          <w:tcPr>
            <w:tcW w:w="2026" w:type="dxa"/>
            <w:tcBorders>
              <w:tl2br w:val="nil"/>
              <w:tr2bl w:val="nil"/>
            </w:tcBorders>
          </w:tcPr>
          <w:p w:rsidR="00525419" w:rsidRDefault="00EE1CF7">
            <w:pPr>
              <w:spacing w:line="240" w:lineRule="exact"/>
              <w:rPr>
                <w:rFonts w:ascii="Times New Roman" w:hAnsi="Times New Roman"/>
              </w:rPr>
            </w:pPr>
            <w:r>
              <w:rPr>
                <w:rFonts w:ascii="Times New Roman" w:hAnsi="Times New Roman"/>
              </w:rPr>
              <w:t>合格品</w:t>
            </w:r>
          </w:p>
        </w:tc>
      </w:tr>
      <w:tr w:rsidR="00525419">
        <w:trPr>
          <w:trHeight w:val="240"/>
        </w:trPr>
        <w:tc>
          <w:tcPr>
            <w:tcW w:w="3404" w:type="dxa"/>
            <w:tcBorders>
              <w:tl2br w:val="nil"/>
              <w:tr2bl w:val="nil"/>
            </w:tcBorders>
          </w:tcPr>
          <w:p w:rsidR="00525419" w:rsidRDefault="00EE1CF7">
            <w:pPr>
              <w:spacing w:line="240" w:lineRule="exact"/>
              <w:rPr>
                <w:rFonts w:ascii="Times New Roman" w:hAnsi="Times New Roman"/>
              </w:rPr>
            </w:pPr>
            <w:r>
              <w:rPr>
                <w:rFonts w:ascii="Times New Roman" w:hAnsi="Times New Roman"/>
              </w:rPr>
              <w:t>氢气的体积分数</w:t>
            </w:r>
            <w:r>
              <w:rPr>
                <w:rFonts w:ascii="Times New Roman" w:hAnsi="Times New Roman"/>
              </w:rPr>
              <w:t>/10</w:t>
            </w:r>
            <w:r>
              <w:rPr>
                <w:rFonts w:ascii="Times New Roman" w:hAnsi="Times New Roman"/>
                <w:vertAlign w:val="superscript"/>
              </w:rPr>
              <w:t>-2</w:t>
            </w:r>
            <w:r>
              <w:rPr>
                <w:rFonts w:ascii="Times New Roman" w:hAnsi="Times New Roman"/>
              </w:rPr>
              <w:t xml:space="preserve">  ≥</w:t>
            </w:r>
          </w:p>
        </w:tc>
        <w:tc>
          <w:tcPr>
            <w:tcW w:w="930" w:type="dxa"/>
            <w:tcBorders>
              <w:tl2br w:val="nil"/>
              <w:tr2bl w:val="nil"/>
            </w:tcBorders>
          </w:tcPr>
          <w:p w:rsidR="00525419" w:rsidRDefault="00EE1CF7">
            <w:pPr>
              <w:spacing w:line="240" w:lineRule="exact"/>
              <w:rPr>
                <w:rFonts w:ascii="Times New Roman" w:hAnsi="Times New Roman"/>
              </w:rPr>
            </w:pPr>
            <w:r>
              <w:rPr>
                <w:rFonts w:ascii="Times New Roman" w:hAnsi="Times New Roman"/>
              </w:rPr>
              <w:t>99.95</w:t>
            </w:r>
          </w:p>
        </w:tc>
        <w:tc>
          <w:tcPr>
            <w:tcW w:w="2166" w:type="dxa"/>
            <w:tcBorders>
              <w:tl2br w:val="nil"/>
              <w:tr2bl w:val="nil"/>
            </w:tcBorders>
          </w:tcPr>
          <w:p w:rsidR="00525419" w:rsidRDefault="00EE1CF7">
            <w:pPr>
              <w:spacing w:line="240" w:lineRule="exact"/>
              <w:rPr>
                <w:rFonts w:ascii="Times New Roman" w:hAnsi="Times New Roman"/>
              </w:rPr>
            </w:pPr>
            <w:r>
              <w:rPr>
                <w:rFonts w:ascii="Times New Roman" w:hAnsi="Times New Roman"/>
              </w:rPr>
              <w:t>99.50</w:t>
            </w:r>
          </w:p>
        </w:tc>
        <w:tc>
          <w:tcPr>
            <w:tcW w:w="2026" w:type="dxa"/>
            <w:tcBorders>
              <w:tl2br w:val="nil"/>
              <w:tr2bl w:val="nil"/>
            </w:tcBorders>
          </w:tcPr>
          <w:p w:rsidR="00525419" w:rsidRDefault="00EE1CF7">
            <w:pPr>
              <w:spacing w:line="240" w:lineRule="exact"/>
              <w:rPr>
                <w:rFonts w:ascii="Times New Roman" w:hAnsi="Times New Roman"/>
              </w:rPr>
            </w:pPr>
            <w:r>
              <w:rPr>
                <w:rFonts w:ascii="Times New Roman" w:hAnsi="Times New Roman"/>
              </w:rPr>
              <w:t>99.00</w:t>
            </w:r>
          </w:p>
        </w:tc>
      </w:tr>
      <w:tr w:rsidR="00525419">
        <w:trPr>
          <w:trHeight w:val="240"/>
        </w:trPr>
        <w:tc>
          <w:tcPr>
            <w:tcW w:w="3404" w:type="dxa"/>
            <w:tcBorders>
              <w:tl2br w:val="nil"/>
              <w:tr2bl w:val="nil"/>
            </w:tcBorders>
          </w:tcPr>
          <w:p w:rsidR="00525419" w:rsidRDefault="00EE1CF7">
            <w:pPr>
              <w:spacing w:line="240" w:lineRule="exact"/>
              <w:rPr>
                <w:rFonts w:ascii="Times New Roman" w:hAnsi="Times New Roman"/>
              </w:rPr>
            </w:pPr>
            <w:r>
              <w:rPr>
                <w:rFonts w:ascii="Times New Roman" w:hAnsi="Times New Roman"/>
              </w:rPr>
              <w:t>氧</w:t>
            </w:r>
            <w:r>
              <w:rPr>
                <w:rFonts w:ascii="Times New Roman" w:hAnsi="Times New Roman"/>
              </w:rPr>
              <w:t>(O</w:t>
            </w:r>
            <w:r>
              <w:rPr>
                <w:rFonts w:ascii="Times New Roman" w:hAnsi="Times New Roman"/>
                <w:vertAlign w:val="subscript"/>
              </w:rPr>
              <w:t>2</w:t>
            </w:r>
            <w:r>
              <w:rPr>
                <w:rFonts w:ascii="Times New Roman" w:hAnsi="Times New Roman"/>
              </w:rPr>
              <w:t>)</w:t>
            </w:r>
            <w:r>
              <w:rPr>
                <w:rFonts w:ascii="Times New Roman" w:hAnsi="Times New Roman"/>
              </w:rPr>
              <w:t>的体积分数</w:t>
            </w:r>
            <w:r>
              <w:rPr>
                <w:rFonts w:ascii="Times New Roman" w:hAnsi="Times New Roman"/>
              </w:rPr>
              <w:t>/10</w:t>
            </w:r>
            <w:r>
              <w:rPr>
                <w:rFonts w:ascii="Times New Roman" w:hAnsi="Times New Roman"/>
                <w:vertAlign w:val="superscript"/>
              </w:rPr>
              <w:t>-2</w:t>
            </w:r>
            <w:r>
              <w:rPr>
                <w:rFonts w:ascii="Times New Roman" w:hAnsi="Times New Roman"/>
              </w:rPr>
              <w:t xml:space="preserve">  ≤</w:t>
            </w:r>
          </w:p>
        </w:tc>
        <w:tc>
          <w:tcPr>
            <w:tcW w:w="930" w:type="dxa"/>
            <w:tcBorders>
              <w:tl2br w:val="nil"/>
              <w:tr2bl w:val="nil"/>
            </w:tcBorders>
          </w:tcPr>
          <w:p w:rsidR="00525419" w:rsidRDefault="00EE1CF7">
            <w:pPr>
              <w:spacing w:line="240" w:lineRule="exact"/>
              <w:rPr>
                <w:rFonts w:ascii="Times New Roman" w:hAnsi="Times New Roman"/>
              </w:rPr>
            </w:pPr>
            <w:r>
              <w:rPr>
                <w:rFonts w:ascii="Times New Roman" w:hAnsi="Times New Roman"/>
              </w:rPr>
              <w:t>0.01</w:t>
            </w:r>
          </w:p>
        </w:tc>
        <w:tc>
          <w:tcPr>
            <w:tcW w:w="2166" w:type="dxa"/>
            <w:tcBorders>
              <w:tl2br w:val="nil"/>
              <w:tr2bl w:val="nil"/>
            </w:tcBorders>
          </w:tcPr>
          <w:p w:rsidR="00525419" w:rsidRDefault="00EE1CF7">
            <w:pPr>
              <w:spacing w:line="240" w:lineRule="exact"/>
              <w:rPr>
                <w:rFonts w:ascii="Times New Roman" w:hAnsi="Times New Roman"/>
              </w:rPr>
            </w:pPr>
            <w:r>
              <w:rPr>
                <w:rFonts w:ascii="Times New Roman" w:hAnsi="Times New Roman"/>
              </w:rPr>
              <w:t>0.20</w:t>
            </w:r>
          </w:p>
        </w:tc>
        <w:tc>
          <w:tcPr>
            <w:tcW w:w="2026" w:type="dxa"/>
            <w:tcBorders>
              <w:tl2br w:val="nil"/>
              <w:tr2bl w:val="nil"/>
            </w:tcBorders>
          </w:tcPr>
          <w:p w:rsidR="00525419" w:rsidRDefault="00EE1CF7">
            <w:pPr>
              <w:spacing w:line="240" w:lineRule="exact"/>
              <w:rPr>
                <w:rFonts w:ascii="Times New Roman" w:hAnsi="Times New Roman"/>
              </w:rPr>
            </w:pPr>
            <w:r>
              <w:rPr>
                <w:rFonts w:ascii="Times New Roman" w:hAnsi="Times New Roman"/>
              </w:rPr>
              <w:t>0.40</w:t>
            </w:r>
          </w:p>
        </w:tc>
      </w:tr>
      <w:tr w:rsidR="00525419">
        <w:trPr>
          <w:trHeight w:val="225"/>
        </w:trPr>
        <w:tc>
          <w:tcPr>
            <w:tcW w:w="3404" w:type="dxa"/>
            <w:tcBorders>
              <w:tl2br w:val="nil"/>
              <w:tr2bl w:val="nil"/>
            </w:tcBorders>
          </w:tcPr>
          <w:p w:rsidR="00525419" w:rsidRDefault="00EE1CF7">
            <w:pPr>
              <w:spacing w:line="240" w:lineRule="exact"/>
              <w:rPr>
                <w:rFonts w:ascii="Times New Roman" w:hAnsi="Times New Roman"/>
              </w:rPr>
            </w:pPr>
            <w:r>
              <w:rPr>
                <w:rFonts w:ascii="Times New Roman" w:hAnsi="Times New Roman"/>
              </w:rPr>
              <w:t>氮</w:t>
            </w:r>
            <w:r>
              <w:rPr>
                <w:rFonts w:ascii="Times New Roman" w:hAnsi="Times New Roman"/>
              </w:rPr>
              <w:t>+</w:t>
            </w:r>
            <w:r>
              <w:rPr>
                <w:rFonts w:ascii="Times New Roman" w:hAnsi="Times New Roman"/>
              </w:rPr>
              <w:t>氩的体积分数</w:t>
            </w:r>
            <w:r>
              <w:rPr>
                <w:rFonts w:ascii="Times New Roman" w:hAnsi="Times New Roman"/>
              </w:rPr>
              <w:t>/10</w:t>
            </w:r>
            <w:r>
              <w:rPr>
                <w:rFonts w:ascii="Times New Roman" w:hAnsi="Times New Roman"/>
                <w:vertAlign w:val="superscript"/>
              </w:rPr>
              <w:t>-2</w:t>
            </w:r>
            <w:r>
              <w:rPr>
                <w:rFonts w:ascii="Times New Roman" w:hAnsi="Times New Roman"/>
              </w:rPr>
              <w:t xml:space="preserve">  ≤</w:t>
            </w:r>
          </w:p>
        </w:tc>
        <w:tc>
          <w:tcPr>
            <w:tcW w:w="930" w:type="dxa"/>
            <w:tcBorders>
              <w:tl2br w:val="nil"/>
              <w:tr2bl w:val="nil"/>
            </w:tcBorders>
          </w:tcPr>
          <w:p w:rsidR="00525419" w:rsidRDefault="00EE1CF7">
            <w:pPr>
              <w:spacing w:line="240" w:lineRule="exact"/>
              <w:rPr>
                <w:rFonts w:ascii="Times New Roman" w:hAnsi="Times New Roman"/>
              </w:rPr>
            </w:pPr>
            <w:r>
              <w:rPr>
                <w:rFonts w:ascii="Times New Roman" w:hAnsi="Times New Roman"/>
              </w:rPr>
              <w:t>0.04</w:t>
            </w:r>
          </w:p>
        </w:tc>
        <w:tc>
          <w:tcPr>
            <w:tcW w:w="2166" w:type="dxa"/>
            <w:tcBorders>
              <w:tl2br w:val="nil"/>
              <w:tr2bl w:val="nil"/>
            </w:tcBorders>
          </w:tcPr>
          <w:p w:rsidR="00525419" w:rsidRDefault="00EE1CF7">
            <w:pPr>
              <w:spacing w:line="240" w:lineRule="exact"/>
              <w:rPr>
                <w:rFonts w:ascii="Times New Roman" w:hAnsi="Times New Roman"/>
              </w:rPr>
            </w:pPr>
            <w:r>
              <w:rPr>
                <w:rFonts w:ascii="Times New Roman" w:hAnsi="Times New Roman"/>
              </w:rPr>
              <w:t>0.30</w:t>
            </w:r>
          </w:p>
        </w:tc>
        <w:tc>
          <w:tcPr>
            <w:tcW w:w="2026" w:type="dxa"/>
            <w:tcBorders>
              <w:tl2br w:val="nil"/>
              <w:tr2bl w:val="nil"/>
            </w:tcBorders>
          </w:tcPr>
          <w:p w:rsidR="00525419" w:rsidRDefault="00EE1CF7">
            <w:pPr>
              <w:spacing w:line="240" w:lineRule="exact"/>
              <w:rPr>
                <w:rFonts w:ascii="Times New Roman" w:hAnsi="Times New Roman"/>
              </w:rPr>
            </w:pPr>
            <w:r>
              <w:rPr>
                <w:rFonts w:ascii="Times New Roman" w:hAnsi="Times New Roman"/>
              </w:rPr>
              <w:t>0.60</w:t>
            </w:r>
          </w:p>
        </w:tc>
      </w:tr>
      <w:tr w:rsidR="00525419">
        <w:trPr>
          <w:trHeight w:val="240"/>
        </w:trPr>
        <w:tc>
          <w:tcPr>
            <w:tcW w:w="3404" w:type="dxa"/>
            <w:tcBorders>
              <w:tl2br w:val="nil"/>
              <w:tr2bl w:val="nil"/>
            </w:tcBorders>
          </w:tcPr>
          <w:p w:rsidR="00525419" w:rsidRDefault="00EE1CF7">
            <w:pPr>
              <w:spacing w:line="240" w:lineRule="exact"/>
              <w:rPr>
                <w:rFonts w:ascii="Times New Roman" w:hAnsi="Times New Roman"/>
              </w:rPr>
            </w:pPr>
            <w:r>
              <w:rPr>
                <w:rFonts w:ascii="Times New Roman" w:hAnsi="Times New Roman"/>
              </w:rPr>
              <w:t>露点</w:t>
            </w:r>
            <w:r>
              <w:rPr>
                <w:rFonts w:ascii="Times New Roman" w:hAnsi="Times New Roman"/>
              </w:rPr>
              <w:t>/℃                ≤</w:t>
            </w:r>
          </w:p>
        </w:tc>
        <w:tc>
          <w:tcPr>
            <w:tcW w:w="930" w:type="dxa"/>
            <w:tcBorders>
              <w:tl2br w:val="nil"/>
              <w:tr2bl w:val="nil"/>
            </w:tcBorders>
          </w:tcPr>
          <w:p w:rsidR="00525419" w:rsidRDefault="00EE1CF7">
            <w:pPr>
              <w:spacing w:line="240" w:lineRule="exact"/>
              <w:rPr>
                <w:rFonts w:ascii="Times New Roman" w:hAnsi="Times New Roman"/>
              </w:rPr>
            </w:pPr>
            <w:r>
              <w:rPr>
                <w:rFonts w:ascii="Times New Roman" w:hAnsi="Times New Roman"/>
              </w:rPr>
              <w:t>-43</w:t>
            </w:r>
          </w:p>
        </w:tc>
        <w:tc>
          <w:tcPr>
            <w:tcW w:w="2166" w:type="dxa"/>
            <w:tcBorders>
              <w:tl2br w:val="nil"/>
              <w:tr2bl w:val="nil"/>
            </w:tcBorders>
          </w:tcPr>
          <w:p w:rsidR="00525419" w:rsidRDefault="00EE1CF7">
            <w:pPr>
              <w:spacing w:line="240" w:lineRule="exact"/>
              <w:rPr>
                <w:rFonts w:ascii="Times New Roman" w:hAnsi="Times New Roman"/>
              </w:rPr>
            </w:pPr>
            <w:r>
              <w:rPr>
                <w:rFonts w:ascii="Times New Roman" w:hAnsi="Times New Roman"/>
              </w:rPr>
              <w:t>-</w:t>
            </w:r>
          </w:p>
        </w:tc>
        <w:tc>
          <w:tcPr>
            <w:tcW w:w="2026" w:type="dxa"/>
            <w:tcBorders>
              <w:tl2br w:val="nil"/>
              <w:tr2bl w:val="nil"/>
            </w:tcBorders>
          </w:tcPr>
          <w:p w:rsidR="00525419" w:rsidRDefault="00EE1CF7">
            <w:pPr>
              <w:spacing w:line="240" w:lineRule="exact"/>
              <w:rPr>
                <w:rFonts w:ascii="Times New Roman" w:hAnsi="Times New Roman"/>
              </w:rPr>
            </w:pPr>
            <w:r>
              <w:rPr>
                <w:rFonts w:ascii="Times New Roman" w:hAnsi="Times New Roman"/>
              </w:rPr>
              <w:t>-</w:t>
            </w:r>
          </w:p>
        </w:tc>
      </w:tr>
      <w:tr w:rsidR="00525419">
        <w:trPr>
          <w:trHeight w:val="240"/>
        </w:trPr>
        <w:tc>
          <w:tcPr>
            <w:tcW w:w="3404" w:type="dxa"/>
            <w:tcBorders>
              <w:tl2br w:val="nil"/>
              <w:tr2bl w:val="nil"/>
            </w:tcBorders>
          </w:tcPr>
          <w:p w:rsidR="00525419" w:rsidRDefault="00EE1CF7">
            <w:pPr>
              <w:spacing w:line="240" w:lineRule="exact"/>
              <w:rPr>
                <w:rFonts w:ascii="Times New Roman" w:hAnsi="Times New Roman"/>
              </w:rPr>
            </w:pPr>
            <w:r>
              <w:rPr>
                <w:rFonts w:ascii="Times New Roman" w:hAnsi="Times New Roman"/>
              </w:rPr>
              <w:t>游离水</w:t>
            </w:r>
            <w:r>
              <w:rPr>
                <w:rFonts w:ascii="Times New Roman" w:hAnsi="Times New Roman"/>
              </w:rPr>
              <w:t>/(mL/40L</w:t>
            </w:r>
            <w:r>
              <w:rPr>
                <w:rFonts w:ascii="Times New Roman" w:hAnsi="Times New Roman"/>
              </w:rPr>
              <w:t>瓶</w:t>
            </w:r>
            <w:r>
              <w:rPr>
                <w:rFonts w:ascii="Times New Roman" w:hAnsi="Times New Roman"/>
              </w:rPr>
              <w:t>)</w:t>
            </w:r>
          </w:p>
        </w:tc>
        <w:tc>
          <w:tcPr>
            <w:tcW w:w="930" w:type="dxa"/>
            <w:tcBorders>
              <w:tl2br w:val="nil"/>
              <w:tr2bl w:val="nil"/>
            </w:tcBorders>
          </w:tcPr>
          <w:p w:rsidR="00525419" w:rsidRDefault="00EE1CF7">
            <w:pPr>
              <w:spacing w:line="240" w:lineRule="exact"/>
              <w:rPr>
                <w:rFonts w:ascii="Times New Roman" w:hAnsi="Times New Roman"/>
              </w:rPr>
            </w:pPr>
            <w:r>
              <w:rPr>
                <w:rFonts w:ascii="Times New Roman" w:hAnsi="Times New Roman"/>
              </w:rPr>
              <w:t>-</w:t>
            </w:r>
          </w:p>
        </w:tc>
        <w:tc>
          <w:tcPr>
            <w:tcW w:w="2166" w:type="dxa"/>
            <w:tcBorders>
              <w:tl2br w:val="nil"/>
              <w:tr2bl w:val="nil"/>
            </w:tcBorders>
          </w:tcPr>
          <w:p w:rsidR="00525419" w:rsidRDefault="00EE1CF7">
            <w:pPr>
              <w:spacing w:line="240" w:lineRule="exact"/>
              <w:rPr>
                <w:rFonts w:ascii="Times New Roman" w:hAnsi="Times New Roman"/>
              </w:rPr>
            </w:pPr>
            <w:r>
              <w:rPr>
                <w:rFonts w:ascii="Times New Roman" w:hAnsi="Times New Roman"/>
              </w:rPr>
              <w:t>无游离水</w:t>
            </w:r>
          </w:p>
        </w:tc>
        <w:tc>
          <w:tcPr>
            <w:tcW w:w="2026" w:type="dxa"/>
            <w:tcBorders>
              <w:tl2br w:val="nil"/>
              <w:tr2bl w:val="nil"/>
            </w:tcBorders>
          </w:tcPr>
          <w:p w:rsidR="00525419" w:rsidRDefault="00EE1CF7">
            <w:pPr>
              <w:spacing w:line="240" w:lineRule="exact"/>
              <w:rPr>
                <w:rFonts w:ascii="Times New Roman" w:hAnsi="Times New Roman"/>
              </w:rPr>
            </w:pPr>
            <w:r>
              <w:rPr>
                <w:rFonts w:ascii="Times New Roman" w:hAnsi="Times New Roman"/>
              </w:rPr>
              <w:t>≤100</w:t>
            </w:r>
          </w:p>
        </w:tc>
      </w:tr>
    </w:tbl>
    <w:p w:rsidR="00525419" w:rsidRDefault="00525419">
      <w:pPr>
        <w:spacing w:line="320" w:lineRule="exact"/>
        <w:rPr>
          <w:rFonts w:ascii="Times New Roman" w:hAnsi="Times New Roman"/>
          <w:szCs w:val="21"/>
        </w:rPr>
      </w:pPr>
    </w:p>
    <w:p w:rsidR="00525419" w:rsidRDefault="00EE1CF7">
      <w:pPr>
        <w:ind w:firstLineChars="1300" w:firstLine="2730"/>
        <w:rPr>
          <w:rFonts w:ascii="Times New Roman" w:eastAsia="黑体" w:hAnsi="Times New Roman"/>
        </w:rPr>
      </w:pPr>
      <w:r>
        <w:rPr>
          <w:rFonts w:ascii="Times New Roman" w:eastAsia="黑体" w:hAnsi="Times New Roman"/>
        </w:rPr>
        <w:t>表</w:t>
      </w:r>
      <w:r>
        <w:rPr>
          <w:rFonts w:ascii="Times New Roman" w:eastAsia="黑体" w:hAnsi="Times New Roman"/>
        </w:rPr>
        <w:t>3.3-8</w:t>
      </w:r>
      <w:r>
        <w:rPr>
          <w:rFonts w:ascii="Times New Roman" w:eastAsia="黑体" w:hAnsi="Times New Roman"/>
        </w:rPr>
        <w:t xml:space="preserve">　制氢解吸气规格</w:t>
      </w:r>
      <w:r>
        <w:rPr>
          <w:rFonts w:ascii="Times New Roman" w:eastAsia="黑体" w:hAnsi="Times New Roman"/>
        </w:rPr>
        <w:t>(vol%)</w:t>
      </w:r>
    </w:p>
    <w:tbl>
      <w:tblPr>
        <w:tblW w:w="499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25"/>
        <w:gridCol w:w="1008"/>
        <w:gridCol w:w="846"/>
        <w:gridCol w:w="845"/>
        <w:gridCol w:w="845"/>
        <w:gridCol w:w="845"/>
        <w:gridCol w:w="1483"/>
        <w:gridCol w:w="1324"/>
      </w:tblGrid>
      <w:tr w:rsidR="00525419">
        <w:trPr>
          <w:trHeight w:val="397"/>
          <w:tblHeader/>
        </w:trPr>
        <w:tc>
          <w:tcPr>
            <w:tcW w:w="776" w:type="pct"/>
            <w:vAlign w:val="center"/>
          </w:tcPr>
          <w:p w:rsidR="00525419" w:rsidRDefault="00EE1CF7">
            <w:pPr>
              <w:tabs>
                <w:tab w:val="left" w:pos="639"/>
                <w:tab w:val="center" w:pos="5670"/>
                <w:tab w:val="right" w:pos="7655"/>
              </w:tabs>
              <w:adjustRightInd w:val="0"/>
              <w:snapToGrid w:val="0"/>
              <w:jc w:val="center"/>
              <w:outlineLvl w:val="7"/>
            </w:pPr>
            <w:r>
              <w:t>组成</w:t>
            </w:r>
          </w:p>
        </w:tc>
        <w:tc>
          <w:tcPr>
            <w:tcW w:w="590" w:type="pct"/>
            <w:vAlign w:val="center"/>
          </w:tcPr>
          <w:p w:rsidR="00525419" w:rsidRDefault="00EE1CF7">
            <w:pPr>
              <w:tabs>
                <w:tab w:val="left" w:pos="639"/>
                <w:tab w:val="center" w:pos="5670"/>
                <w:tab w:val="right" w:pos="7655"/>
              </w:tabs>
              <w:adjustRightInd w:val="0"/>
              <w:snapToGrid w:val="0"/>
              <w:jc w:val="center"/>
              <w:outlineLvl w:val="7"/>
            </w:pPr>
            <w:r>
              <w:t>H</w:t>
            </w:r>
            <w:r>
              <w:rPr>
                <w:vertAlign w:val="subscript"/>
              </w:rPr>
              <w:t>2</w:t>
            </w:r>
            <w:r>
              <w:t>O</w:t>
            </w:r>
          </w:p>
        </w:tc>
        <w:tc>
          <w:tcPr>
            <w:tcW w:w="496" w:type="pct"/>
            <w:vAlign w:val="center"/>
          </w:tcPr>
          <w:p w:rsidR="00525419" w:rsidRDefault="00EE1CF7">
            <w:pPr>
              <w:tabs>
                <w:tab w:val="left" w:pos="639"/>
                <w:tab w:val="center" w:pos="5670"/>
                <w:tab w:val="right" w:pos="7655"/>
              </w:tabs>
              <w:adjustRightInd w:val="0"/>
              <w:snapToGrid w:val="0"/>
              <w:jc w:val="center"/>
              <w:outlineLvl w:val="7"/>
            </w:pPr>
            <w:r>
              <w:t>H</w:t>
            </w:r>
            <w:r>
              <w:rPr>
                <w:vertAlign w:val="subscript"/>
              </w:rPr>
              <w:t>2</w:t>
            </w:r>
          </w:p>
        </w:tc>
        <w:tc>
          <w:tcPr>
            <w:tcW w:w="496" w:type="pct"/>
            <w:vAlign w:val="center"/>
          </w:tcPr>
          <w:p w:rsidR="00525419" w:rsidRDefault="00EE1CF7">
            <w:pPr>
              <w:tabs>
                <w:tab w:val="left" w:pos="639"/>
                <w:tab w:val="center" w:pos="5670"/>
                <w:tab w:val="right" w:pos="7655"/>
              </w:tabs>
              <w:adjustRightInd w:val="0"/>
              <w:snapToGrid w:val="0"/>
              <w:jc w:val="center"/>
              <w:outlineLvl w:val="7"/>
            </w:pPr>
            <w:r>
              <w:t>CO</w:t>
            </w:r>
          </w:p>
        </w:tc>
        <w:tc>
          <w:tcPr>
            <w:tcW w:w="496" w:type="pct"/>
            <w:vAlign w:val="center"/>
          </w:tcPr>
          <w:p w:rsidR="00525419" w:rsidRDefault="00EE1CF7">
            <w:pPr>
              <w:tabs>
                <w:tab w:val="left" w:pos="639"/>
                <w:tab w:val="center" w:pos="5670"/>
                <w:tab w:val="right" w:pos="7655"/>
              </w:tabs>
              <w:adjustRightInd w:val="0"/>
              <w:snapToGrid w:val="0"/>
              <w:jc w:val="center"/>
              <w:outlineLvl w:val="7"/>
            </w:pPr>
            <w:r>
              <w:t>CO</w:t>
            </w:r>
            <w:r>
              <w:rPr>
                <w:vertAlign w:val="subscript"/>
              </w:rPr>
              <w:t>2</w:t>
            </w:r>
          </w:p>
        </w:tc>
        <w:tc>
          <w:tcPr>
            <w:tcW w:w="496" w:type="pct"/>
            <w:vAlign w:val="center"/>
          </w:tcPr>
          <w:p w:rsidR="00525419" w:rsidRDefault="00EE1CF7">
            <w:pPr>
              <w:tabs>
                <w:tab w:val="left" w:pos="639"/>
                <w:tab w:val="center" w:pos="5670"/>
                <w:tab w:val="right" w:pos="7655"/>
              </w:tabs>
              <w:adjustRightInd w:val="0"/>
              <w:snapToGrid w:val="0"/>
              <w:jc w:val="center"/>
              <w:outlineLvl w:val="7"/>
            </w:pPr>
            <w:r>
              <w:t>CH</w:t>
            </w:r>
            <w:r>
              <w:rPr>
                <w:vertAlign w:val="subscript"/>
              </w:rPr>
              <w:t>4</w:t>
            </w:r>
          </w:p>
        </w:tc>
        <w:tc>
          <w:tcPr>
            <w:tcW w:w="869" w:type="pct"/>
            <w:vAlign w:val="center"/>
          </w:tcPr>
          <w:p w:rsidR="00525419" w:rsidRDefault="00EE1CF7">
            <w:pPr>
              <w:tabs>
                <w:tab w:val="left" w:pos="639"/>
                <w:tab w:val="center" w:pos="5670"/>
                <w:tab w:val="right" w:pos="7655"/>
              </w:tabs>
              <w:adjustRightInd w:val="0"/>
              <w:snapToGrid w:val="0"/>
              <w:jc w:val="center"/>
              <w:outlineLvl w:val="7"/>
            </w:pPr>
            <w:r>
              <w:t>N</w:t>
            </w:r>
            <w:r>
              <w:rPr>
                <w:vertAlign w:val="subscript"/>
              </w:rPr>
              <w:t>2</w:t>
            </w:r>
          </w:p>
        </w:tc>
        <w:tc>
          <w:tcPr>
            <w:tcW w:w="776" w:type="pct"/>
            <w:vAlign w:val="center"/>
          </w:tcPr>
          <w:p w:rsidR="00525419" w:rsidRDefault="00EE1CF7">
            <w:pPr>
              <w:tabs>
                <w:tab w:val="left" w:pos="639"/>
                <w:tab w:val="center" w:pos="5670"/>
                <w:tab w:val="right" w:pos="7655"/>
              </w:tabs>
              <w:adjustRightInd w:val="0"/>
              <w:snapToGrid w:val="0"/>
              <w:jc w:val="center"/>
              <w:outlineLvl w:val="7"/>
            </w:pPr>
            <w:r>
              <w:t>合计</w:t>
            </w:r>
          </w:p>
        </w:tc>
      </w:tr>
      <w:tr w:rsidR="00525419">
        <w:trPr>
          <w:trHeight w:val="397"/>
        </w:trPr>
        <w:tc>
          <w:tcPr>
            <w:tcW w:w="776" w:type="pct"/>
            <w:vAlign w:val="center"/>
          </w:tcPr>
          <w:p w:rsidR="00525419" w:rsidRDefault="00EE1CF7">
            <w:pPr>
              <w:tabs>
                <w:tab w:val="left" w:pos="639"/>
                <w:tab w:val="center" w:pos="5670"/>
                <w:tab w:val="right" w:pos="7655"/>
              </w:tabs>
              <w:adjustRightInd w:val="0"/>
              <w:snapToGrid w:val="0"/>
              <w:jc w:val="center"/>
              <w:outlineLvl w:val="7"/>
            </w:pPr>
            <w:r>
              <w:t>（</w:t>
            </w:r>
            <w:r>
              <w:t>mol%</w:t>
            </w:r>
            <w:r>
              <w:t>）</w:t>
            </w:r>
          </w:p>
        </w:tc>
        <w:tc>
          <w:tcPr>
            <w:tcW w:w="590" w:type="pct"/>
            <w:vAlign w:val="center"/>
          </w:tcPr>
          <w:p w:rsidR="00525419" w:rsidRDefault="00EE1CF7">
            <w:pPr>
              <w:tabs>
                <w:tab w:val="left" w:pos="639"/>
                <w:tab w:val="center" w:pos="5670"/>
                <w:tab w:val="right" w:pos="7655"/>
              </w:tabs>
              <w:adjustRightInd w:val="0"/>
              <w:snapToGrid w:val="0"/>
              <w:jc w:val="center"/>
              <w:outlineLvl w:val="7"/>
            </w:pPr>
            <w:r>
              <w:t>0.86</w:t>
            </w:r>
          </w:p>
        </w:tc>
        <w:tc>
          <w:tcPr>
            <w:tcW w:w="496" w:type="pct"/>
            <w:vAlign w:val="center"/>
          </w:tcPr>
          <w:p w:rsidR="00525419" w:rsidRDefault="00EE1CF7">
            <w:pPr>
              <w:tabs>
                <w:tab w:val="left" w:pos="639"/>
                <w:tab w:val="center" w:pos="5670"/>
                <w:tab w:val="right" w:pos="7655"/>
              </w:tabs>
              <w:adjustRightInd w:val="0"/>
              <w:snapToGrid w:val="0"/>
              <w:jc w:val="center"/>
              <w:outlineLvl w:val="7"/>
            </w:pPr>
            <w:r>
              <w:t>22.79</w:t>
            </w:r>
          </w:p>
        </w:tc>
        <w:tc>
          <w:tcPr>
            <w:tcW w:w="496" w:type="pct"/>
            <w:vAlign w:val="center"/>
          </w:tcPr>
          <w:p w:rsidR="00525419" w:rsidRDefault="00EE1CF7">
            <w:pPr>
              <w:tabs>
                <w:tab w:val="left" w:pos="639"/>
                <w:tab w:val="center" w:pos="5670"/>
                <w:tab w:val="right" w:pos="7655"/>
              </w:tabs>
              <w:adjustRightInd w:val="0"/>
              <w:snapToGrid w:val="0"/>
              <w:jc w:val="center"/>
              <w:outlineLvl w:val="7"/>
            </w:pPr>
            <w:r>
              <w:t>7.34</w:t>
            </w:r>
          </w:p>
        </w:tc>
        <w:tc>
          <w:tcPr>
            <w:tcW w:w="496" w:type="pct"/>
            <w:vAlign w:val="center"/>
          </w:tcPr>
          <w:p w:rsidR="00525419" w:rsidRDefault="00EE1CF7">
            <w:pPr>
              <w:tabs>
                <w:tab w:val="left" w:pos="639"/>
                <w:tab w:val="center" w:pos="5670"/>
                <w:tab w:val="right" w:pos="7655"/>
              </w:tabs>
              <w:adjustRightInd w:val="0"/>
              <w:snapToGrid w:val="0"/>
              <w:jc w:val="center"/>
              <w:outlineLvl w:val="7"/>
            </w:pPr>
            <w:r>
              <w:t>52.11</w:t>
            </w:r>
          </w:p>
        </w:tc>
        <w:tc>
          <w:tcPr>
            <w:tcW w:w="496" w:type="pct"/>
            <w:vAlign w:val="center"/>
          </w:tcPr>
          <w:p w:rsidR="00525419" w:rsidRDefault="00EE1CF7">
            <w:pPr>
              <w:tabs>
                <w:tab w:val="left" w:pos="639"/>
                <w:tab w:val="center" w:pos="5670"/>
                <w:tab w:val="right" w:pos="7655"/>
              </w:tabs>
              <w:adjustRightInd w:val="0"/>
              <w:snapToGrid w:val="0"/>
              <w:jc w:val="center"/>
              <w:outlineLvl w:val="7"/>
            </w:pPr>
            <w:r>
              <w:t>14.54</w:t>
            </w:r>
          </w:p>
        </w:tc>
        <w:tc>
          <w:tcPr>
            <w:tcW w:w="869" w:type="pct"/>
            <w:vAlign w:val="center"/>
          </w:tcPr>
          <w:p w:rsidR="00525419" w:rsidRDefault="00EE1CF7">
            <w:pPr>
              <w:tabs>
                <w:tab w:val="left" w:pos="639"/>
                <w:tab w:val="center" w:pos="5670"/>
                <w:tab w:val="right" w:pos="7655"/>
              </w:tabs>
              <w:adjustRightInd w:val="0"/>
              <w:snapToGrid w:val="0"/>
              <w:jc w:val="center"/>
              <w:outlineLvl w:val="7"/>
            </w:pPr>
            <w:r>
              <w:t>2.36</w:t>
            </w:r>
          </w:p>
        </w:tc>
        <w:tc>
          <w:tcPr>
            <w:tcW w:w="776" w:type="pct"/>
            <w:vAlign w:val="center"/>
          </w:tcPr>
          <w:p w:rsidR="00525419" w:rsidRDefault="00EE1CF7">
            <w:pPr>
              <w:tabs>
                <w:tab w:val="left" w:pos="639"/>
                <w:tab w:val="center" w:pos="5670"/>
                <w:tab w:val="right" w:pos="7655"/>
              </w:tabs>
              <w:adjustRightInd w:val="0"/>
              <w:snapToGrid w:val="0"/>
              <w:jc w:val="center"/>
              <w:outlineLvl w:val="7"/>
            </w:pPr>
            <w:r>
              <w:t>100</w:t>
            </w:r>
          </w:p>
        </w:tc>
      </w:tr>
    </w:tbl>
    <w:p w:rsidR="00525419" w:rsidRDefault="00525419">
      <w:pPr>
        <w:spacing w:line="320" w:lineRule="exact"/>
        <w:rPr>
          <w:rFonts w:ascii="Times New Roman" w:hAnsi="Times New Roman"/>
          <w:szCs w:val="21"/>
        </w:rPr>
      </w:pPr>
    </w:p>
    <w:p w:rsidR="00525419" w:rsidRDefault="00EE1CF7">
      <w:pPr>
        <w:ind w:firstLineChars="1300" w:firstLine="2730"/>
        <w:rPr>
          <w:rFonts w:ascii="Times New Roman" w:eastAsia="黑体" w:hAnsi="Times New Roman"/>
        </w:rPr>
      </w:pPr>
      <w:r>
        <w:rPr>
          <w:rFonts w:ascii="Times New Roman" w:eastAsia="黑体" w:hAnsi="Times New Roman"/>
        </w:rPr>
        <w:lastRenderedPageBreak/>
        <w:t>表</w:t>
      </w:r>
      <w:r>
        <w:rPr>
          <w:rFonts w:ascii="Times New Roman" w:eastAsia="黑体" w:hAnsi="Times New Roman"/>
        </w:rPr>
        <w:t xml:space="preserve">3.3-9   </w:t>
      </w:r>
      <w:r>
        <w:rPr>
          <w:rFonts w:ascii="Times New Roman" w:eastAsia="黑体" w:hAnsi="Times New Roman"/>
        </w:rPr>
        <w:t>低分气、干气和液化气的质量要求</w:t>
      </w:r>
    </w:p>
    <w:tbl>
      <w:tblPr>
        <w:tblW w:w="85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39"/>
        <w:gridCol w:w="1633"/>
        <w:gridCol w:w="1322"/>
        <w:gridCol w:w="1539"/>
        <w:gridCol w:w="2092"/>
      </w:tblGrid>
      <w:tr w:rsidR="00525419">
        <w:trPr>
          <w:trHeight w:val="141"/>
          <w:jc w:val="center"/>
        </w:trPr>
        <w:tc>
          <w:tcPr>
            <w:tcW w:w="193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序号</w:t>
            </w:r>
          </w:p>
        </w:tc>
        <w:tc>
          <w:tcPr>
            <w:tcW w:w="1633"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组分</w:t>
            </w:r>
            <w:r>
              <w:rPr>
                <w:rFonts w:ascii="Times New Roman" w:hAnsi="Times New Roman"/>
                <w:szCs w:val="21"/>
              </w:rPr>
              <w:t>mol%</w:t>
            </w:r>
          </w:p>
        </w:tc>
        <w:tc>
          <w:tcPr>
            <w:tcW w:w="132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低分气</w:t>
            </w:r>
          </w:p>
        </w:tc>
        <w:tc>
          <w:tcPr>
            <w:tcW w:w="153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干气</w:t>
            </w:r>
          </w:p>
        </w:tc>
        <w:tc>
          <w:tcPr>
            <w:tcW w:w="209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液化气</w:t>
            </w:r>
          </w:p>
        </w:tc>
      </w:tr>
      <w:tr w:rsidR="00525419">
        <w:trPr>
          <w:trHeight w:val="179"/>
          <w:jc w:val="center"/>
        </w:trPr>
        <w:tc>
          <w:tcPr>
            <w:tcW w:w="193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1</w:t>
            </w:r>
          </w:p>
        </w:tc>
        <w:tc>
          <w:tcPr>
            <w:tcW w:w="1633"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O</w:t>
            </w:r>
          </w:p>
        </w:tc>
        <w:tc>
          <w:tcPr>
            <w:tcW w:w="132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0.004</w:t>
            </w:r>
          </w:p>
        </w:tc>
        <w:tc>
          <w:tcPr>
            <w:tcW w:w="153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0.008</w:t>
            </w:r>
          </w:p>
        </w:tc>
        <w:tc>
          <w:tcPr>
            <w:tcW w:w="209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0.001</w:t>
            </w:r>
          </w:p>
        </w:tc>
      </w:tr>
      <w:tr w:rsidR="00525419">
        <w:trPr>
          <w:trHeight w:val="269"/>
          <w:jc w:val="center"/>
        </w:trPr>
        <w:tc>
          <w:tcPr>
            <w:tcW w:w="193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2</w:t>
            </w:r>
          </w:p>
        </w:tc>
        <w:tc>
          <w:tcPr>
            <w:tcW w:w="1633"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S</w:t>
            </w:r>
          </w:p>
        </w:tc>
        <w:tc>
          <w:tcPr>
            <w:tcW w:w="132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0.002</w:t>
            </w:r>
          </w:p>
        </w:tc>
        <w:tc>
          <w:tcPr>
            <w:tcW w:w="153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0.005</w:t>
            </w:r>
          </w:p>
        </w:tc>
        <w:tc>
          <w:tcPr>
            <w:tcW w:w="209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0.005</w:t>
            </w:r>
          </w:p>
        </w:tc>
      </w:tr>
      <w:tr w:rsidR="00525419">
        <w:trPr>
          <w:trHeight w:val="277"/>
          <w:jc w:val="center"/>
        </w:trPr>
        <w:tc>
          <w:tcPr>
            <w:tcW w:w="193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3</w:t>
            </w:r>
          </w:p>
        </w:tc>
        <w:tc>
          <w:tcPr>
            <w:tcW w:w="1633"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H</w:t>
            </w:r>
            <w:r>
              <w:rPr>
                <w:rFonts w:ascii="Times New Roman" w:hAnsi="Times New Roman"/>
                <w:szCs w:val="21"/>
                <w:vertAlign w:val="subscript"/>
              </w:rPr>
              <w:t>2</w:t>
            </w:r>
          </w:p>
        </w:tc>
        <w:tc>
          <w:tcPr>
            <w:tcW w:w="132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0.780</w:t>
            </w:r>
          </w:p>
        </w:tc>
        <w:tc>
          <w:tcPr>
            <w:tcW w:w="153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0.450</w:t>
            </w:r>
          </w:p>
        </w:tc>
        <w:tc>
          <w:tcPr>
            <w:tcW w:w="209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0.004</w:t>
            </w:r>
          </w:p>
        </w:tc>
      </w:tr>
      <w:tr w:rsidR="00525419">
        <w:trPr>
          <w:trHeight w:val="281"/>
          <w:jc w:val="center"/>
        </w:trPr>
        <w:tc>
          <w:tcPr>
            <w:tcW w:w="193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4</w:t>
            </w:r>
          </w:p>
        </w:tc>
        <w:tc>
          <w:tcPr>
            <w:tcW w:w="1633"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C</w:t>
            </w:r>
            <w:r>
              <w:rPr>
                <w:rFonts w:ascii="Times New Roman" w:hAnsi="Times New Roman"/>
                <w:szCs w:val="21"/>
                <w:vertAlign w:val="subscript"/>
              </w:rPr>
              <w:t>1</w:t>
            </w:r>
          </w:p>
        </w:tc>
        <w:tc>
          <w:tcPr>
            <w:tcW w:w="132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0.094</w:t>
            </w:r>
          </w:p>
        </w:tc>
        <w:tc>
          <w:tcPr>
            <w:tcW w:w="153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0.119</w:t>
            </w:r>
          </w:p>
        </w:tc>
        <w:tc>
          <w:tcPr>
            <w:tcW w:w="209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0.016</w:t>
            </w:r>
          </w:p>
        </w:tc>
      </w:tr>
      <w:tr w:rsidR="00525419">
        <w:trPr>
          <w:trHeight w:val="115"/>
          <w:jc w:val="center"/>
        </w:trPr>
        <w:tc>
          <w:tcPr>
            <w:tcW w:w="193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5</w:t>
            </w:r>
          </w:p>
        </w:tc>
        <w:tc>
          <w:tcPr>
            <w:tcW w:w="1633"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C</w:t>
            </w:r>
            <w:r>
              <w:rPr>
                <w:rFonts w:ascii="Times New Roman" w:hAnsi="Times New Roman"/>
                <w:szCs w:val="21"/>
                <w:vertAlign w:val="subscript"/>
              </w:rPr>
              <w:t>2</w:t>
            </w:r>
          </w:p>
        </w:tc>
        <w:tc>
          <w:tcPr>
            <w:tcW w:w="132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0.024</w:t>
            </w:r>
          </w:p>
        </w:tc>
        <w:tc>
          <w:tcPr>
            <w:tcW w:w="153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0.095</w:t>
            </w:r>
          </w:p>
        </w:tc>
        <w:tc>
          <w:tcPr>
            <w:tcW w:w="209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0.060</w:t>
            </w:r>
          </w:p>
        </w:tc>
      </w:tr>
      <w:tr w:rsidR="00525419">
        <w:trPr>
          <w:trHeight w:val="247"/>
          <w:jc w:val="center"/>
        </w:trPr>
        <w:tc>
          <w:tcPr>
            <w:tcW w:w="193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6</w:t>
            </w:r>
          </w:p>
        </w:tc>
        <w:tc>
          <w:tcPr>
            <w:tcW w:w="1633"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C</w:t>
            </w:r>
            <w:r>
              <w:rPr>
                <w:rFonts w:ascii="Times New Roman" w:hAnsi="Times New Roman"/>
                <w:szCs w:val="21"/>
                <w:vertAlign w:val="subscript"/>
              </w:rPr>
              <w:t>3</w:t>
            </w:r>
          </w:p>
        </w:tc>
        <w:tc>
          <w:tcPr>
            <w:tcW w:w="132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0.038</w:t>
            </w:r>
          </w:p>
        </w:tc>
        <w:tc>
          <w:tcPr>
            <w:tcW w:w="153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0.139</w:t>
            </w:r>
          </w:p>
        </w:tc>
        <w:tc>
          <w:tcPr>
            <w:tcW w:w="209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0.272</w:t>
            </w:r>
          </w:p>
        </w:tc>
      </w:tr>
      <w:tr w:rsidR="00525419">
        <w:trPr>
          <w:trHeight w:val="292"/>
          <w:jc w:val="center"/>
        </w:trPr>
        <w:tc>
          <w:tcPr>
            <w:tcW w:w="193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7</w:t>
            </w:r>
          </w:p>
        </w:tc>
        <w:tc>
          <w:tcPr>
            <w:tcW w:w="1633"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nC</w:t>
            </w:r>
            <w:r>
              <w:rPr>
                <w:rFonts w:ascii="Times New Roman" w:hAnsi="Times New Roman"/>
                <w:szCs w:val="21"/>
                <w:vertAlign w:val="subscript"/>
              </w:rPr>
              <w:t>4</w:t>
            </w:r>
          </w:p>
        </w:tc>
        <w:tc>
          <w:tcPr>
            <w:tcW w:w="132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0.024</w:t>
            </w:r>
          </w:p>
        </w:tc>
        <w:tc>
          <w:tcPr>
            <w:tcW w:w="153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0.090</w:t>
            </w:r>
          </w:p>
        </w:tc>
        <w:tc>
          <w:tcPr>
            <w:tcW w:w="209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0.353</w:t>
            </w:r>
          </w:p>
        </w:tc>
      </w:tr>
      <w:tr w:rsidR="00525419">
        <w:trPr>
          <w:trHeight w:val="282"/>
          <w:jc w:val="center"/>
        </w:trPr>
        <w:tc>
          <w:tcPr>
            <w:tcW w:w="193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8</w:t>
            </w:r>
          </w:p>
        </w:tc>
        <w:tc>
          <w:tcPr>
            <w:tcW w:w="1633"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iC</w:t>
            </w:r>
            <w:r>
              <w:rPr>
                <w:rFonts w:ascii="Times New Roman" w:hAnsi="Times New Roman"/>
                <w:szCs w:val="21"/>
                <w:vertAlign w:val="subscript"/>
              </w:rPr>
              <w:t>4</w:t>
            </w:r>
          </w:p>
        </w:tc>
        <w:tc>
          <w:tcPr>
            <w:tcW w:w="132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0.011</w:t>
            </w:r>
          </w:p>
        </w:tc>
        <w:tc>
          <w:tcPr>
            <w:tcW w:w="153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0.046</w:t>
            </w:r>
          </w:p>
        </w:tc>
        <w:tc>
          <w:tcPr>
            <w:tcW w:w="209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0.280</w:t>
            </w:r>
          </w:p>
        </w:tc>
      </w:tr>
      <w:tr w:rsidR="00525419">
        <w:trPr>
          <w:trHeight w:val="106"/>
          <w:jc w:val="center"/>
        </w:trPr>
        <w:tc>
          <w:tcPr>
            <w:tcW w:w="193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9</w:t>
            </w:r>
          </w:p>
        </w:tc>
        <w:tc>
          <w:tcPr>
            <w:tcW w:w="1633"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NC</w:t>
            </w:r>
            <w:r>
              <w:rPr>
                <w:rFonts w:ascii="Times New Roman" w:hAnsi="Times New Roman"/>
                <w:szCs w:val="21"/>
                <w:vertAlign w:val="subscript"/>
              </w:rPr>
              <w:t>5</w:t>
            </w:r>
          </w:p>
        </w:tc>
        <w:tc>
          <w:tcPr>
            <w:tcW w:w="132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0.023</w:t>
            </w:r>
          </w:p>
        </w:tc>
        <w:tc>
          <w:tcPr>
            <w:tcW w:w="153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0.047</w:t>
            </w:r>
          </w:p>
        </w:tc>
        <w:tc>
          <w:tcPr>
            <w:tcW w:w="209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0.008</w:t>
            </w:r>
          </w:p>
        </w:tc>
      </w:tr>
      <w:tr w:rsidR="00525419">
        <w:trPr>
          <w:trHeight w:val="251"/>
          <w:jc w:val="center"/>
        </w:trPr>
        <w:tc>
          <w:tcPr>
            <w:tcW w:w="193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10</w:t>
            </w:r>
          </w:p>
        </w:tc>
        <w:tc>
          <w:tcPr>
            <w:tcW w:w="1633"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小计</w:t>
            </w:r>
          </w:p>
        </w:tc>
        <w:tc>
          <w:tcPr>
            <w:tcW w:w="132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1</w:t>
            </w:r>
          </w:p>
        </w:tc>
        <w:tc>
          <w:tcPr>
            <w:tcW w:w="153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1</w:t>
            </w:r>
          </w:p>
        </w:tc>
        <w:tc>
          <w:tcPr>
            <w:tcW w:w="209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1</w:t>
            </w:r>
          </w:p>
        </w:tc>
      </w:tr>
    </w:tbl>
    <w:p w:rsidR="00525419" w:rsidRDefault="00EE1CF7">
      <w:pPr>
        <w:pStyle w:val="3a"/>
        <w:spacing w:beforeLines="50" w:before="156" w:after="156" w:line="360" w:lineRule="auto"/>
        <w:jc w:val="left"/>
        <w:rPr>
          <w:rFonts w:ascii="Times New Roman" w:eastAsia="华文楷体" w:hAnsi="Times New Roman"/>
        </w:rPr>
      </w:pPr>
      <w:bookmarkStart w:id="45" w:name="_Toc461196958"/>
      <w:bookmarkStart w:id="46" w:name="_Toc410121261"/>
      <w:r>
        <w:rPr>
          <w:rFonts w:ascii="Times New Roman" w:eastAsia="华文楷体" w:hAnsi="Times New Roman"/>
        </w:rPr>
        <w:t>3.3.2</w:t>
      </w:r>
      <w:r>
        <w:rPr>
          <w:rFonts w:ascii="Times New Roman" w:eastAsia="华文楷体" w:hAnsi="Times New Roman"/>
        </w:rPr>
        <w:t>变更后项目组成</w:t>
      </w:r>
      <w:bookmarkEnd w:id="45"/>
      <w:bookmarkEnd w:id="46"/>
    </w:p>
    <w:p w:rsidR="00525419" w:rsidRDefault="00EE1CF7">
      <w:pPr>
        <w:pStyle w:val="afffff2"/>
        <w:ind w:firstLineChars="200" w:firstLine="480"/>
        <w:rPr>
          <w:color w:val="auto"/>
        </w:rPr>
        <w:sectPr w:rsidR="00525419">
          <w:pgSz w:w="11906" w:h="16838"/>
          <w:pgMar w:top="1440" w:right="1797" w:bottom="1440" w:left="1797" w:header="851" w:footer="992" w:gutter="0"/>
          <w:cols w:space="425"/>
          <w:docGrid w:type="lines" w:linePitch="312"/>
        </w:sectPr>
      </w:pPr>
      <w:r>
        <w:rPr>
          <w:color w:val="auto"/>
          <w:szCs w:val="28"/>
        </w:rPr>
        <w:t>变更后本项目组成、建设内容及与现有工程的依托关系，见表</w:t>
      </w:r>
      <w:r>
        <w:rPr>
          <w:color w:val="auto"/>
          <w:szCs w:val="28"/>
        </w:rPr>
        <w:t>3.3-10</w:t>
      </w:r>
      <w:r>
        <w:rPr>
          <w:color w:val="auto"/>
          <w:szCs w:val="28"/>
        </w:rPr>
        <w:t>。</w:t>
      </w:r>
    </w:p>
    <w:p w:rsidR="00525419" w:rsidRDefault="00EE1CF7">
      <w:pPr>
        <w:ind w:firstLineChars="200" w:firstLine="420"/>
        <w:jc w:val="center"/>
        <w:rPr>
          <w:rFonts w:ascii="Times New Roman" w:eastAsia="黑体" w:hAnsi="Times New Roman"/>
        </w:rPr>
      </w:pPr>
      <w:r>
        <w:rPr>
          <w:rFonts w:ascii="Times New Roman" w:eastAsia="黑体" w:hAnsi="Times New Roman"/>
        </w:rPr>
        <w:lastRenderedPageBreak/>
        <w:t>表</w:t>
      </w:r>
      <w:r>
        <w:rPr>
          <w:rFonts w:ascii="Times New Roman" w:eastAsia="黑体" w:hAnsi="Times New Roman"/>
        </w:rPr>
        <w:t xml:space="preserve">3.3-10    </w:t>
      </w:r>
      <w:r>
        <w:rPr>
          <w:rFonts w:ascii="Times New Roman" w:eastAsia="黑体" w:hAnsi="Times New Roman"/>
        </w:rPr>
        <w:t>变更后本项目组成表</w:t>
      </w:r>
    </w:p>
    <w:tbl>
      <w:tblPr>
        <w:tblW w:w="138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75"/>
        <w:gridCol w:w="851"/>
        <w:gridCol w:w="1559"/>
        <w:gridCol w:w="2408"/>
        <w:gridCol w:w="5307"/>
        <w:gridCol w:w="1742"/>
        <w:gridCol w:w="1286"/>
      </w:tblGrid>
      <w:tr w:rsidR="00525419">
        <w:trPr>
          <w:trHeight w:val="145"/>
          <w:jc w:val="center"/>
        </w:trPr>
        <w:tc>
          <w:tcPr>
            <w:tcW w:w="675"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名称</w:t>
            </w:r>
          </w:p>
        </w:tc>
        <w:tc>
          <w:tcPr>
            <w:tcW w:w="2410" w:type="dxa"/>
            <w:gridSpan w:val="2"/>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装置名称</w:t>
            </w:r>
          </w:p>
        </w:tc>
        <w:tc>
          <w:tcPr>
            <w:tcW w:w="240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建设规模</w:t>
            </w:r>
          </w:p>
        </w:tc>
        <w:tc>
          <w:tcPr>
            <w:tcW w:w="5307"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组成</w:t>
            </w:r>
          </w:p>
        </w:tc>
        <w:tc>
          <w:tcPr>
            <w:tcW w:w="174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备注</w:t>
            </w:r>
          </w:p>
        </w:tc>
        <w:tc>
          <w:tcPr>
            <w:tcW w:w="128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依托关系</w:t>
            </w:r>
          </w:p>
        </w:tc>
      </w:tr>
      <w:tr w:rsidR="00525419">
        <w:trPr>
          <w:trHeight w:val="1364"/>
          <w:jc w:val="center"/>
        </w:trPr>
        <w:tc>
          <w:tcPr>
            <w:tcW w:w="675" w:type="dxa"/>
            <w:vMerge w:val="restart"/>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主体工程</w:t>
            </w:r>
          </w:p>
        </w:tc>
        <w:tc>
          <w:tcPr>
            <w:tcW w:w="2410" w:type="dxa"/>
            <w:gridSpan w:val="2"/>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煤焦油加氢</w:t>
            </w:r>
          </w:p>
        </w:tc>
        <w:tc>
          <w:tcPr>
            <w:tcW w:w="240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40</w:t>
            </w:r>
            <w:r>
              <w:rPr>
                <w:rFonts w:ascii="Times New Roman" w:hAnsi="Times New Roman"/>
                <w:szCs w:val="21"/>
              </w:rPr>
              <w:t>万吨</w:t>
            </w:r>
            <w:r>
              <w:rPr>
                <w:rFonts w:ascii="Times New Roman" w:hAnsi="Times New Roman"/>
                <w:szCs w:val="21"/>
              </w:rPr>
              <w:t>/</w:t>
            </w:r>
            <w:r>
              <w:rPr>
                <w:rFonts w:ascii="Times New Roman" w:hAnsi="Times New Roman"/>
                <w:szCs w:val="21"/>
              </w:rPr>
              <w:t>年</w:t>
            </w:r>
          </w:p>
        </w:tc>
        <w:tc>
          <w:tcPr>
            <w:tcW w:w="5307"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bCs/>
                <w:szCs w:val="28"/>
              </w:rPr>
              <w:t>由加氢精制、加氢裂化和气体脱硫</w:t>
            </w:r>
            <w:r>
              <w:rPr>
                <w:rFonts w:ascii="Times New Roman" w:hAnsi="Times New Roman" w:hint="eastAsia"/>
                <w:bCs/>
                <w:szCs w:val="28"/>
              </w:rPr>
              <w:t>、分馏</w:t>
            </w:r>
            <w:r>
              <w:rPr>
                <w:rFonts w:ascii="Times New Roman" w:hAnsi="Times New Roman"/>
                <w:bCs/>
                <w:szCs w:val="28"/>
              </w:rPr>
              <w:t>部分等组成。</w:t>
            </w:r>
          </w:p>
        </w:tc>
        <w:tc>
          <w:tcPr>
            <w:tcW w:w="1742" w:type="dxa"/>
            <w:tcBorders>
              <w:tl2br w:val="nil"/>
              <w:tr2bl w:val="nil"/>
            </w:tcBorders>
            <w:vAlign w:val="center"/>
          </w:tcPr>
          <w:p w:rsidR="00525419" w:rsidRDefault="00EE1CF7">
            <w:pPr>
              <w:pStyle w:val="1f7"/>
              <w:spacing w:line="240" w:lineRule="atLeast"/>
              <w:ind w:firstLineChars="0" w:firstLine="0"/>
              <w:jc w:val="both"/>
              <w:outlineLvl w:val="9"/>
              <w:rPr>
                <w:sz w:val="21"/>
                <w:szCs w:val="21"/>
              </w:rPr>
            </w:pPr>
            <w:r>
              <w:rPr>
                <w:sz w:val="21"/>
                <w:szCs w:val="21"/>
              </w:rPr>
              <w:t>/</w:t>
            </w:r>
          </w:p>
        </w:tc>
        <w:tc>
          <w:tcPr>
            <w:tcW w:w="1286" w:type="dxa"/>
            <w:tcBorders>
              <w:tl2br w:val="nil"/>
              <w:tr2bl w:val="nil"/>
            </w:tcBorders>
            <w:vAlign w:val="center"/>
          </w:tcPr>
          <w:p w:rsidR="00525419" w:rsidRDefault="00EE1CF7">
            <w:pPr>
              <w:pStyle w:val="1f7"/>
              <w:spacing w:line="240" w:lineRule="atLeast"/>
              <w:ind w:firstLineChars="0" w:firstLine="0"/>
              <w:jc w:val="both"/>
              <w:outlineLvl w:val="9"/>
              <w:rPr>
                <w:sz w:val="21"/>
                <w:szCs w:val="21"/>
              </w:rPr>
            </w:pPr>
            <w:r>
              <w:rPr>
                <w:sz w:val="21"/>
                <w:szCs w:val="21"/>
              </w:rPr>
              <w:t>新建，现有工程依托本次新建的气体脱硫装置</w:t>
            </w:r>
          </w:p>
        </w:tc>
      </w:tr>
      <w:tr w:rsidR="00525419">
        <w:trPr>
          <w:trHeight w:val="275"/>
          <w:jc w:val="center"/>
        </w:trPr>
        <w:tc>
          <w:tcPr>
            <w:tcW w:w="675" w:type="dxa"/>
            <w:vMerge/>
            <w:tcBorders>
              <w:tl2br w:val="nil"/>
              <w:tr2bl w:val="nil"/>
            </w:tcBorders>
            <w:vAlign w:val="center"/>
          </w:tcPr>
          <w:p w:rsidR="00525419" w:rsidRDefault="00525419">
            <w:pPr>
              <w:spacing w:line="240" w:lineRule="atLeast"/>
              <w:rPr>
                <w:rFonts w:ascii="Times New Roman" w:hAnsi="Times New Roman"/>
                <w:szCs w:val="21"/>
              </w:rPr>
            </w:pPr>
          </w:p>
        </w:tc>
        <w:tc>
          <w:tcPr>
            <w:tcW w:w="2410" w:type="dxa"/>
            <w:gridSpan w:val="2"/>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天然气制氢</w:t>
            </w:r>
          </w:p>
        </w:tc>
        <w:tc>
          <w:tcPr>
            <w:tcW w:w="240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25000Nm</w:t>
            </w:r>
            <w:r>
              <w:rPr>
                <w:rFonts w:ascii="Times New Roman" w:hAnsi="Times New Roman"/>
                <w:szCs w:val="21"/>
                <w:vertAlign w:val="superscript"/>
              </w:rPr>
              <w:t>3</w:t>
            </w:r>
            <w:r>
              <w:rPr>
                <w:rFonts w:ascii="Times New Roman" w:hAnsi="Times New Roman"/>
                <w:szCs w:val="21"/>
              </w:rPr>
              <w:t>/h</w:t>
            </w:r>
          </w:p>
        </w:tc>
        <w:tc>
          <w:tcPr>
            <w:tcW w:w="5307" w:type="dxa"/>
            <w:tcBorders>
              <w:tl2br w:val="nil"/>
              <w:tr2bl w:val="nil"/>
            </w:tcBorders>
            <w:vAlign w:val="center"/>
          </w:tcPr>
          <w:p w:rsidR="00525419" w:rsidRDefault="00EE1CF7">
            <w:pPr>
              <w:spacing w:line="240" w:lineRule="atLeast"/>
              <w:rPr>
                <w:rFonts w:ascii="Times New Roman" w:hAnsi="Times New Roman"/>
                <w:kern w:val="0"/>
                <w:szCs w:val="21"/>
              </w:rPr>
            </w:pPr>
            <w:r>
              <w:rPr>
                <w:rFonts w:ascii="Times New Roman" w:hAnsi="Times New Roman"/>
                <w:szCs w:val="21"/>
              </w:rPr>
              <w:t>由脱硫部分、转化部分、变换部分和</w:t>
            </w:r>
            <w:r>
              <w:rPr>
                <w:rFonts w:ascii="Times New Roman" w:hAnsi="Times New Roman"/>
                <w:szCs w:val="21"/>
              </w:rPr>
              <w:t>PSA</w:t>
            </w:r>
            <w:r>
              <w:rPr>
                <w:rFonts w:ascii="Times New Roman" w:hAnsi="Times New Roman"/>
                <w:szCs w:val="21"/>
              </w:rPr>
              <w:t>部分等组成。</w:t>
            </w:r>
          </w:p>
        </w:tc>
        <w:tc>
          <w:tcPr>
            <w:tcW w:w="1742" w:type="dxa"/>
            <w:tcBorders>
              <w:tl2br w:val="nil"/>
              <w:tr2bl w:val="nil"/>
            </w:tcBorders>
            <w:vAlign w:val="center"/>
          </w:tcPr>
          <w:p w:rsidR="00525419" w:rsidRDefault="00EE1CF7">
            <w:pPr>
              <w:pStyle w:val="1f7"/>
              <w:spacing w:line="240" w:lineRule="atLeast"/>
              <w:ind w:firstLineChars="0" w:firstLine="0"/>
              <w:jc w:val="both"/>
              <w:outlineLvl w:val="9"/>
              <w:rPr>
                <w:sz w:val="21"/>
                <w:szCs w:val="21"/>
              </w:rPr>
            </w:pPr>
            <w:r>
              <w:rPr>
                <w:sz w:val="21"/>
                <w:szCs w:val="21"/>
              </w:rPr>
              <w:t>/</w:t>
            </w:r>
          </w:p>
        </w:tc>
        <w:tc>
          <w:tcPr>
            <w:tcW w:w="1286" w:type="dxa"/>
            <w:tcBorders>
              <w:tl2br w:val="nil"/>
              <w:tr2bl w:val="nil"/>
            </w:tcBorders>
            <w:vAlign w:val="center"/>
          </w:tcPr>
          <w:p w:rsidR="00525419" w:rsidRDefault="00EE1CF7">
            <w:pPr>
              <w:pStyle w:val="1f7"/>
              <w:spacing w:line="240" w:lineRule="atLeast"/>
              <w:ind w:firstLineChars="0" w:firstLine="0"/>
              <w:jc w:val="both"/>
              <w:outlineLvl w:val="9"/>
              <w:rPr>
                <w:sz w:val="21"/>
                <w:szCs w:val="21"/>
              </w:rPr>
            </w:pPr>
            <w:r>
              <w:rPr>
                <w:sz w:val="21"/>
                <w:szCs w:val="21"/>
              </w:rPr>
              <w:t>新建</w:t>
            </w:r>
          </w:p>
        </w:tc>
      </w:tr>
      <w:tr w:rsidR="00525419">
        <w:trPr>
          <w:trHeight w:val="461"/>
          <w:jc w:val="center"/>
        </w:trPr>
        <w:tc>
          <w:tcPr>
            <w:tcW w:w="675" w:type="dxa"/>
            <w:vMerge/>
            <w:tcBorders>
              <w:tl2br w:val="nil"/>
              <w:tr2bl w:val="nil"/>
            </w:tcBorders>
            <w:vAlign w:val="center"/>
          </w:tcPr>
          <w:p w:rsidR="00525419" w:rsidRDefault="00525419">
            <w:pPr>
              <w:spacing w:line="240" w:lineRule="atLeast"/>
              <w:rPr>
                <w:rFonts w:ascii="Times New Roman" w:hAnsi="Times New Roman"/>
                <w:szCs w:val="21"/>
              </w:rPr>
            </w:pPr>
          </w:p>
        </w:tc>
        <w:tc>
          <w:tcPr>
            <w:tcW w:w="2410" w:type="dxa"/>
            <w:gridSpan w:val="2"/>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 xml:space="preserve">硫磺回收　</w:t>
            </w:r>
          </w:p>
        </w:tc>
        <w:tc>
          <w:tcPr>
            <w:tcW w:w="240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1.5</w:t>
            </w:r>
            <w:r>
              <w:rPr>
                <w:rFonts w:ascii="Times New Roman" w:hAnsi="Times New Roman"/>
                <w:szCs w:val="21"/>
              </w:rPr>
              <w:t>万吨</w:t>
            </w:r>
            <w:r>
              <w:rPr>
                <w:rFonts w:ascii="Times New Roman" w:hAnsi="Times New Roman"/>
                <w:szCs w:val="21"/>
              </w:rPr>
              <w:t>/</w:t>
            </w:r>
            <w:r>
              <w:rPr>
                <w:rFonts w:ascii="Times New Roman" w:hAnsi="Times New Roman"/>
                <w:szCs w:val="21"/>
              </w:rPr>
              <w:t>年</w:t>
            </w:r>
          </w:p>
        </w:tc>
        <w:tc>
          <w:tcPr>
            <w:tcW w:w="5307" w:type="dxa"/>
            <w:tcBorders>
              <w:tl2br w:val="nil"/>
              <w:tr2bl w:val="nil"/>
            </w:tcBorders>
            <w:vAlign w:val="center"/>
          </w:tcPr>
          <w:p w:rsidR="00525419" w:rsidRDefault="00EE1CF7">
            <w:pPr>
              <w:spacing w:line="240" w:lineRule="atLeast"/>
              <w:rPr>
                <w:rFonts w:ascii="Times New Roman" w:hAnsi="Times New Roman"/>
                <w:kern w:val="0"/>
                <w:szCs w:val="21"/>
              </w:rPr>
            </w:pPr>
            <w:r>
              <w:rPr>
                <w:rFonts w:ascii="Times New Roman" w:hAnsi="Times New Roman"/>
                <w:szCs w:val="21"/>
              </w:rPr>
              <w:t>由溶剂再生部分（</w:t>
            </w:r>
            <w:r>
              <w:rPr>
                <w:rFonts w:ascii="Times New Roman" w:hAnsi="Times New Roman"/>
                <w:szCs w:val="24"/>
              </w:rPr>
              <w:t>40t/h</w:t>
            </w:r>
            <w:r>
              <w:rPr>
                <w:rFonts w:ascii="Times New Roman" w:hAnsi="Times New Roman"/>
                <w:szCs w:val="21"/>
              </w:rPr>
              <w:t>）、酸性水汽提部分（</w:t>
            </w:r>
            <w:r>
              <w:rPr>
                <w:rFonts w:ascii="Times New Roman" w:hAnsi="Times New Roman"/>
                <w:szCs w:val="24"/>
              </w:rPr>
              <w:t>55t/h</w:t>
            </w:r>
            <w:r>
              <w:rPr>
                <w:rFonts w:ascii="Times New Roman" w:hAnsi="Times New Roman"/>
                <w:szCs w:val="21"/>
              </w:rPr>
              <w:t>）和硫磺回收部分（</w:t>
            </w:r>
            <w:r>
              <w:rPr>
                <w:rFonts w:ascii="Times New Roman" w:hAnsi="Times New Roman"/>
                <w:szCs w:val="24"/>
              </w:rPr>
              <w:t>1.5</w:t>
            </w:r>
            <w:r>
              <w:rPr>
                <w:rFonts w:ascii="Times New Roman" w:hAnsi="Times New Roman"/>
                <w:szCs w:val="24"/>
              </w:rPr>
              <w:t>万</w:t>
            </w:r>
            <w:r>
              <w:rPr>
                <w:rFonts w:ascii="Times New Roman" w:hAnsi="Times New Roman"/>
                <w:szCs w:val="24"/>
              </w:rPr>
              <w:t>t/a</w:t>
            </w:r>
            <w:r>
              <w:rPr>
                <w:rFonts w:ascii="Times New Roman" w:hAnsi="Times New Roman"/>
                <w:szCs w:val="21"/>
              </w:rPr>
              <w:t>）等组成。</w:t>
            </w:r>
          </w:p>
        </w:tc>
        <w:tc>
          <w:tcPr>
            <w:tcW w:w="1742" w:type="dxa"/>
            <w:tcBorders>
              <w:tl2br w:val="nil"/>
              <w:tr2bl w:val="nil"/>
            </w:tcBorders>
            <w:vAlign w:val="center"/>
          </w:tcPr>
          <w:p w:rsidR="00525419" w:rsidRDefault="00EE1CF7">
            <w:pPr>
              <w:pStyle w:val="1f7"/>
              <w:spacing w:line="240" w:lineRule="atLeast"/>
              <w:ind w:firstLineChars="0" w:firstLine="0"/>
              <w:jc w:val="both"/>
              <w:outlineLvl w:val="9"/>
              <w:rPr>
                <w:sz w:val="21"/>
                <w:szCs w:val="21"/>
              </w:rPr>
            </w:pPr>
            <w:r>
              <w:rPr>
                <w:sz w:val="21"/>
                <w:szCs w:val="21"/>
              </w:rPr>
              <w:t>/</w:t>
            </w:r>
          </w:p>
        </w:tc>
        <w:tc>
          <w:tcPr>
            <w:tcW w:w="1286" w:type="dxa"/>
            <w:tcBorders>
              <w:tl2br w:val="nil"/>
              <w:tr2bl w:val="nil"/>
            </w:tcBorders>
            <w:vAlign w:val="center"/>
          </w:tcPr>
          <w:p w:rsidR="00525419" w:rsidRDefault="00EE1CF7">
            <w:pPr>
              <w:pStyle w:val="1f7"/>
              <w:spacing w:line="240" w:lineRule="atLeast"/>
              <w:ind w:firstLineChars="0" w:firstLine="0"/>
              <w:jc w:val="both"/>
              <w:outlineLvl w:val="9"/>
              <w:rPr>
                <w:sz w:val="21"/>
                <w:szCs w:val="21"/>
              </w:rPr>
            </w:pPr>
            <w:r>
              <w:rPr>
                <w:sz w:val="21"/>
                <w:szCs w:val="21"/>
              </w:rPr>
              <w:t>新建，现有工程</w:t>
            </w:r>
            <w:r>
              <w:rPr>
                <w:rFonts w:hint="eastAsia"/>
                <w:sz w:val="21"/>
                <w:szCs w:val="21"/>
              </w:rPr>
              <w:t>含硫废水</w:t>
            </w:r>
            <w:r>
              <w:rPr>
                <w:sz w:val="21"/>
                <w:szCs w:val="21"/>
              </w:rPr>
              <w:t>依托本次新建</w:t>
            </w:r>
            <w:r>
              <w:rPr>
                <w:rFonts w:hint="eastAsia"/>
                <w:sz w:val="21"/>
                <w:szCs w:val="21"/>
              </w:rPr>
              <w:t>硫磺回收装置</w:t>
            </w:r>
          </w:p>
        </w:tc>
      </w:tr>
      <w:tr w:rsidR="00525419">
        <w:trPr>
          <w:trHeight w:val="301"/>
          <w:jc w:val="center"/>
        </w:trPr>
        <w:tc>
          <w:tcPr>
            <w:tcW w:w="675" w:type="dxa"/>
            <w:vMerge w:val="restart"/>
            <w:tcBorders>
              <w:tl2br w:val="nil"/>
              <w:tr2bl w:val="nil"/>
            </w:tcBorders>
            <w:vAlign w:val="center"/>
          </w:tcPr>
          <w:p w:rsidR="00525419" w:rsidRDefault="00EE1CF7">
            <w:pPr>
              <w:pStyle w:val="3d"/>
              <w:spacing w:after="0" w:line="240" w:lineRule="atLeast"/>
              <w:rPr>
                <w:sz w:val="21"/>
                <w:szCs w:val="21"/>
              </w:rPr>
            </w:pPr>
            <w:r>
              <w:rPr>
                <w:sz w:val="21"/>
                <w:szCs w:val="21"/>
              </w:rPr>
              <w:t>辅</w:t>
            </w:r>
          </w:p>
          <w:p w:rsidR="00525419" w:rsidRDefault="00EE1CF7">
            <w:pPr>
              <w:pStyle w:val="3d"/>
              <w:spacing w:after="0" w:line="240" w:lineRule="atLeast"/>
              <w:rPr>
                <w:sz w:val="21"/>
                <w:szCs w:val="21"/>
              </w:rPr>
            </w:pPr>
            <w:r>
              <w:rPr>
                <w:sz w:val="21"/>
                <w:szCs w:val="21"/>
              </w:rPr>
              <w:t>助</w:t>
            </w:r>
          </w:p>
          <w:p w:rsidR="00525419" w:rsidRDefault="00EE1CF7">
            <w:pPr>
              <w:pStyle w:val="3d"/>
              <w:spacing w:after="0" w:line="240" w:lineRule="atLeast"/>
              <w:rPr>
                <w:sz w:val="21"/>
                <w:szCs w:val="21"/>
              </w:rPr>
            </w:pPr>
            <w:r>
              <w:rPr>
                <w:sz w:val="21"/>
                <w:szCs w:val="21"/>
              </w:rPr>
              <w:t>、</w:t>
            </w:r>
          </w:p>
          <w:p w:rsidR="00525419" w:rsidRDefault="00EE1CF7">
            <w:pPr>
              <w:pStyle w:val="3d"/>
              <w:spacing w:after="0" w:line="240" w:lineRule="atLeast"/>
              <w:rPr>
                <w:sz w:val="21"/>
                <w:szCs w:val="21"/>
              </w:rPr>
            </w:pPr>
            <w:r>
              <w:rPr>
                <w:sz w:val="21"/>
                <w:szCs w:val="21"/>
              </w:rPr>
              <w:t>公</w:t>
            </w:r>
          </w:p>
          <w:p w:rsidR="00525419" w:rsidRDefault="00EE1CF7">
            <w:pPr>
              <w:pStyle w:val="3d"/>
              <w:spacing w:after="0" w:line="240" w:lineRule="atLeast"/>
              <w:rPr>
                <w:sz w:val="21"/>
                <w:szCs w:val="21"/>
              </w:rPr>
            </w:pPr>
            <w:r>
              <w:rPr>
                <w:sz w:val="21"/>
                <w:szCs w:val="21"/>
              </w:rPr>
              <w:t>用</w:t>
            </w:r>
          </w:p>
          <w:p w:rsidR="00525419" w:rsidRDefault="00EE1CF7">
            <w:pPr>
              <w:spacing w:line="240" w:lineRule="atLeast"/>
              <w:rPr>
                <w:rFonts w:ascii="Times New Roman" w:hAnsi="Times New Roman"/>
                <w:szCs w:val="21"/>
              </w:rPr>
            </w:pPr>
            <w:r>
              <w:rPr>
                <w:rFonts w:ascii="Times New Roman" w:hAnsi="Times New Roman"/>
                <w:szCs w:val="21"/>
              </w:rPr>
              <w:t>工</w:t>
            </w:r>
          </w:p>
          <w:p w:rsidR="00525419" w:rsidRDefault="00EE1CF7">
            <w:pPr>
              <w:spacing w:line="240" w:lineRule="atLeast"/>
              <w:rPr>
                <w:rFonts w:ascii="Times New Roman" w:hAnsi="Times New Roman"/>
                <w:szCs w:val="21"/>
              </w:rPr>
            </w:pPr>
            <w:r>
              <w:rPr>
                <w:rFonts w:ascii="Times New Roman" w:hAnsi="Times New Roman"/>
                <w:szCs w:val="21"/>
              </w:rPr>
              <w:t>程</w:t>
            </w:r>
          </w:p>
        </w:tc>
        <w:tc>
          <w:tcPr>
            <w:tcW w:w="851" w:type="dxa"/>
            <w:vMerge w:val="restart"/>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给排水</w:t>
            </w:r>
          </w:p>
        </w:tc>
        <w:tc>
          <w:tcPr>
            <w:tcW w:w="155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水源</w:t>
            </w:r>
          </w:p>
        </w:tc>
        <w:tc>
          <w:tcPr>
            <w:tcW w:w="240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w:t>
            </w:r>
          </w:p>
        </w:tc>
        <w:tc>
          <w:tcPr>
            <w:tcW w:w="5307"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新鲜水供水来源为园区自来水</w:t>
            </w:r>
            <w:r>
              <w:rPr>
                <w:rFonts w:ascii="Times New Roman" w:hAnsi="Times New Roman" w:hint="eastAsia"/>
                <w:szCs w:val="21"/>
              </w:rPr>
              <w:t>。</w:t>
            </w:r>
          </w:p>
        </w:tc>
        <w:tc>
          <w:tcPr>
            <w:tcW w:w="174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w:t>
            </w:r>
          </w:p>
        </w:tc>
        <w:tc>
          <w:tcPr>
            <w:tcW w:w="128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依托现有</w:t>
            </w:r>
          </w:p>
        </w:tc>
      </w:tr>
      <w:tr w:rsidR="00525419">
        <w:trPr>
          <w:trHeight w:val="566"/>
          <w:jc w:val="center"/>
        </w:trPr>
        <w:tc>
          <w:tcPr>
            <w:tcW w:w="675" w:type="dxa"/>
            <w:vMerge/>
            <w:tcBorders>
              <w:tl2br w:val="nil"/>
              <w:tr2bl w:val="nil"/>
            </w:tcBorders>
            <w:vAlign w:val="center"/>
          </w:tcPr>
          <w:p w:rsidR="00525419" w:rsidRDefault="00525419">
            <w:pPr>
              <w:pStyle w:val="3d"/>
              <w:spacing w:after="0" w:line="240" w:lineRule="atLeast"/>
              <w:rPr>
                <w:sz w:val="21"/>
                <w:szCs w:val="21"/>
              </w:rPr>
            </w:pPr>
          </w:p>
        </w:tc>
        <w:tc>
          <w:tcPr>
            <w:tcW w:w="851" w:type="dxa"/>
            <w:vMerge/>
            <w:tcBorders>
              <w:tl2br w:val="nil"/>
              <w:tr2bl w:val="nil"/>
            </w:tcBorders>
            <w:vAlign w:val="center"/>
          </w:tcPr>
          <w:p w:rsidR="00525419" w:rsidRDefault="00525419">
            <w:pPr>
              <w:spacing w:line="240" w:lineRule="atLeast"/>
              <w:rPr>
                <w:rFonts w:ascii="Times New Roman" w:hAnsi="Times New Roman"/>
                <w:szCs w:val="21"/>
              </w:rPr>
            </w:pPr>
          </w:p>
        </w:tc>
        <w:tc>
          <w:tcPr>
            <w:tcW w:w="155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脱盐水</w:t>
            </w:r>
          </w:p>
        </w:tc>
        <w:tc>
          <w:tcPr>
            <w:tcW w:w="240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扩建处理能力</w:t>
            </w:r>
            <w:r>
              <w:rPr>
                <w:rFonts w:ascii="Times New Roman" w:hAnsi="Times New Roman"/>
                <w:szCs w:val="21"/>
              </w:rPr>
              <w:t>100m</w:t>
            </w:r>
            <w:r>
              <w:rPr>
                <w:rFonts w:ascii="Times New Roman" w:hAnsi="Times New Roman"/>
                <w:szCs w:val="21"/>
                <w:vertAlign w:val="superscript"/>
              </w:rPr>
              <w:t>3</w:t>
            </w:r>
            <w:r>
              <w:rPr>
                <w:rFonts w:ascii="Times New Roman" w:hAnsi="Times New Roman"/>
                <w:szCs w:val="21"/>
              </w:rPr>
              <w:t>／</w:t>
            </w:r>
            <w:r>
              <w:rPr>
                <w:rFonts w:ascii="Times New Roman" w:hAnsi="Times New Roman"/>
                <w:szCs w:val="21"/>
              </w:rPr>
              <w:t>h</w:t>
            </w:r>
          </w:p>
        </w:tc>
        <w:tc>
          <w:tcPr>
            <w:tcW w:w="5307"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新建脱盐水站</w:t>
            </w:r>
          </w:p>
        </w:tc>
        <w:tc>
          <w:tcPr>
            <w:tcW w:w="174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w:t>
            </w:r>
          </w:p>
        </w:tc>
        <w:tc>
          <w:tcPr>
            <w:tcW w:w="128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扩建</w:t>
            </w:r>
          </w:p>
        </w:tc>
      </w:tr>
      <w:tr w:rsidR="00525419">
        <w:trPr>
          <w:trHeight w:val="90"/>
          <w:jc w:val="center"/>
        </w:trPr>
        <w:tc>
          <w:tcPr>
            <w:tcW w:w="675" w:type="dxa"/>
            <w:vMerge/>
            <w:tcBorders>
              <w:tl2br w:val="nil"/>
              <w:tr2bl w:val="nil"/>
            </w:tcBorders>
            <w:vAlign w:val="center"/>
          </w:tcPr>
          <w:p w:rsidR="00525419" w:rsidRDefault="00525419">
            <w:pPr>
              <w:pStyle w:val="3d"/>
              <w:spacing w:after="0" w:line="240" w:lineRule="atLeast"/>
              <w:rPr>
                <w:sz w:val="21"/>
                <w:szCs w:val="21"/>
              </w:rPr>
            </w:pPr>
          </w:p>
        </w:tc>
        <w:tc>
          <w:tcPr>
            <w:tcW w:w="851" w:type="dxa"/>
            <w:vMerge/>
            <w:tcBorders>
              <w:tl2br w:val="nil"/>
              <w:tr2bl w:val="nil"/>
            </w:tcBorders>
            <w:vAlign w:val="center"/>
          </w:tcPr>
          <w:p w:rsidR="00525419" w:rsidRDefault="00525419">
            <w:pPr>
              <w:spacing w:line="240" w:lineRule="atLeast"/>
              <w:rPr>
                <w:rFonts w:ascii="Times New Roman" w:hAnsi="Times New Roman"/>
                <w:szCs w:val="21"/>
              </w:rPr>
            </w:pPr>
          </w:p>
        </w:tc>
        <w:tc>
          <w:tcPr>
            <w:tcW w:w="155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循环水</w:t>
            </w:r>
          </w:p>
        </w:tc>
        <w:tc>
          <w:tcPr>
            <w:tcW w:w="240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扩建能力</w:t>
            </w:r>
            <w:r>
              <w:rPr>
                <w:rFonts w:ascii="Times New Roman" w:hAnsi="Times New Roman"/>
                <w:szCs w:val="21"/>
              </w:rPr>
              <w:t>1500 m</w:t>
            </w:r>
            <w:r>
              <w:rPr>
                <w:rFonts w:ascii="Times New Roman" w:hAnsi="Times New Roman"/>
                <w:szCs w:val="21"/>
                <w:vertAlign w:val="superscript"/>
              </w:rPr>
              <w:t>3</w:t>
            </w:r>
            <w:r>
              <w:rPr>
                <w:rFonts w:ascii="Times New Roman" w:hAnsi="Times New Roman"/>
                <w:szCs w:val="21"/>
              </w:rPr>
              <w:t>／</w:t>
            </w:r>
            <w:r>
              <w:rPr>
                <w:rFonts w:ascii="Times New Roman" w:hAnsi="Times New Roman"/>
                <w:szCs w:val="21"/>
              </w:rPr>
              <w:t>h</w:t>
            </w:r>
          </w:p>
        </w:tc>
        <w:tc>
          <w:tcPr>
            <w:tcW w:w="5307"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rPr>
              <w:t>扩建的循环水规模为：</w:t>
            </w:r>
            <w:r>
              <w:rPr>
                <w:rFonts w:ascii="Times New Roman" w:hAnsi="Times New Roman"/>
              </w:rPr>
              <w:t>1000m</w:t>
            </w:r>
            <w:r>
              <w:rPr>
                <w:rFonts w:ascii="Times New Roman" w:hAnsi="Times New Roman"/>
                <w:vertAlign w:val="superscript"/>
              </w:rPr>
              <w:t>3</w:t>
            </w:r>
            <w:r>
              <w:rPr>
                <w:rFonts w:ascii="Times New Roman" w:hAnsi="Times New Roman"/>
              </w:rPr>
              <w:t>/h</w:t>
            </w:r>
            <w:r>
              <w:rPr>
                <w:rFonts w:ascii="Times New Roman" w:hAnsi="Times New Roman"/>
              </w:rPr>
              <w:t>，硫磺回收联合装置自建</w:t>
            </w:r>
            <w:r>
              <w:rPr>
                <w:rFonts w:ascii="Times New Roman" w:hAnsi="Times New Roman"/>
              </w:rPr>
              <w:t>500 m</w:t>
            </w:r>
            <w:r>
              <w:rPr>
                <w:rFonts w:ascii="Times New Roman" w:hAnsi="Times New Roman"/>
                <w:vertAlign w:val="superscript"/>
              </w:rPr>
              <w:t>3</w:t>
            </w:r>
            <w:r>
              <w:rPr>
                <w:rFonts w:ascii="Times New Roman" w:hAnsi="Times New Roman"/>
              </w:rPr>
              <w:t>/h</w:t>
            </w:r>
          </w:p>
        </w:tc>
        <w:tc>
          <w:tcPr>
            <w:tcW w:w="174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w:t>
            </w:r>
          </w:p>
        </w:tc>
        <w:tc>
          <w:tcPr>
            <w:tcW w:w="128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扩建</w:t>
            </w:r>
          </w:p>
        </w:tc>
      </w:tr>
      <w:tr w:rsidR="00525419">
        <w:trPr>
          <w:trHeight w:val="284"/>
          <w:jc w:val="center"/>
        </w:trPr>
        <w:tc>
          <w:tcPr>
            <w:tcW w:w="675" w:type="dxa"/>
            <w:vMerge/>
            <w:tcBorders>
              <w:tl2br w:val="nil"/>
              <w:tr2bl w:val="nil"/>
            </w:tcBorders>
            <w:vAlign w:val="center"/>
          </w:tcPr>
          <w:p w:rsidR="00525419" w:rsidRDefault="00525419">
            <w:pPr>
              <w:pStyle w:val="3d"/>
              <w:spacing w:after="0" w:line="240" w:lineRule="atLeast"/>
              <w:rPr>
                <w:sz w:val="21"/>
                <w:szCs w:val="21"/>
              </w:rPr>
            </w:pPr>
          </w:p>
        </w:tc>
        <w:tc>
          <w:tcPr>
            <w:tcW w:w="851" w:type="dxa"/>
            <w:vMerge/>
            <w:tcBorders>
              <w:tl2br w:val="nil"/>
              <w:tr2bl w:val="nil"/>
            </w:tcBorders>
            <w:vAlign w:val="center"/>
          </w:tcPr>
          <w:p w:rsidR="00525419" w:rsidRDefault="00525419">
            <w:pPr>
              <w:spacing w:line="240" w:lineRule="atLeast"/>
              <w:rPr>
                <w:rFonts w:ascii="Times New Roman" w:hAnsi="Times New Roman"/>
                <w:szCs w:val="21"/>
              </w:rPr>
            </w:pPr>
          </w:p>
        </w:tc>
        <w:tc>
          <w:tcPr>
            <w:tcW w:w="155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消防水</w:t>
            </w:r>
          </w:p>
        </w:tc>
        <w:tc>
          <w:tcPr>
            <w:tcW w:w="240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lang w:val="zh-CN"/>
              </w:rPr>
              <w:t>扩建消防水罐</w:t>
            </w:r>
            <w:r>
              <w:rPr>
                <w:rFonts w:ascii="Times New Roman" w:hAnsi="Times New Roman"/>
                <w:szCs w:val="21"/>
                <w:lang w:val="zh-CN"/>
              </w:rPr>
              <w:t>2</w:t>
            </w:r>
            <w:r>
              <w:rPr>
                <w:rFonts w:ascii="Times New Roman" w:hAnsi="Times New Roman"/>
                <w:szCs w:val="21"/>
                <w:lang w:val="zh-CN"/>
              </w:rPr>
              <w:t>个</w:t>
            </w:r>
            <w:r>
              <w:rPr>
                <w:rFonts w:ascii="Times New Roman" w:hAnsi="Times New Roman"/>
                <w:szCs w:val="21"/>
                <w:lang w:val="zh-CN"/>
              </w:rPr>
              <w:t>1000m</w:t>
            </w:r>
            <w:r>
              <w:rPr>
                <w:rFonts w:ascii="Times New Roman" w:hAnsi="Times New Roman"/>
                <w:szCs w:val="21"/>
                <w:vertAlign w:val="superscript"/>
                <w:lang w:val="zh-CN"/>
              </w:rPr>
              <w:t>3</w:t>
            </w:r>
          </w:p>
        </w:tc>
        <w:tc>
          <w:tcPr>
            <w:tcW w:w="5307"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循环水场西侧原有</w:t>
            </w:r>
            <w:r>
              <w:rPr>
                <w:rFonts w:ascii="Times New Roman" w:hAnsi="Times New Roman"/>
                <w:szCs w:val="21"/>
              </w:rPr>
              <w:t>4</w:t>
            </w:r>
            <w:r>
              <w:rPr>
                <w:rFonts w:ascii="Times New Roman" w:hAnsi="Times New Roman"/>
                <w:szCs w:val="21"/>
              </w:rPr>
              <w:t>座</w:t>
            </w:r>
            <w:r>
              <w:rPr>
                <w:rFonts w:ascii="Times New Roman" w:hAnsi="Times New Roman"/>
                <w:szCs w:val="21"/>
              </w:rPr>
              <w:t>2000m</w:t>
            </w:r>
            <w:r>
              <w:rPr>
                <w:rFonts w:ascii="Times New Roman" w:hAnsi="Times New Roman"/>
                <w:szCs w:val="21"/>
                <w:vertAlign w:val="superscript"/>
              </w:rPr>
              <w:t>3</w:t>
            </w:r>
            <w:r>
              <w:rPr>
                <w:rFonts w:ascii="Times New Roman" w:hAnsi="Times New Roman"/>
                <w:szCs w:val="21"/>
              </w:rPr>
              <w:t>消防水罐</w:t>
            </w:r>
            <w:r>
              <w:rPr>
                <w:rFonts w:ascii="Times New Roman" w:hAnsi="Times New Roman" w:hint="eastAsia"/>
                <w:szCs w:val="21"/>
              </w:rPr>
              <w:t>，本次</w:t>
            </w:r>
            <w:r>
              <w:rPr>
                <w:rFonts w:ascii="Times New Roman" w:hAnsi="Times New Roman"/>
                <w:szCs w:val="21"/>
              </w:rPr>
              <w:t>新建</w:t>
            </w:r>
            <w:r>
              <w:rPr>
                <w:rFonts w:ascii="Times New Roman" w:hAnsi="Times New Roman"/>
                <w:szCs w:val="21"/>
              </w:rPr>
              <w:t>2</w:t>
            </w:r>
            <w:r>
              <w:rPr>
                <w:rFonts w:ascii="Times New Roman" w:hAnsi="Times New Roman"/>
                <w:szCs w:val="21"/>
              </w:rPr>
              <w:t>座</w:t>
            </w:r>
            <w:r>
              <w:rPr>
                <w:rFonts w:ascii="Times New Roman" w:hAnsi="Times New Roman"/>
                <w:szCs w:val="21"/>
              </w:rPr>
              <w:t>1000m</w:t>
            </w:r>
            <w:r>
              <w:rPr>
                <w:rFonts w:ascii="Times New Roman" w:hAnsi="Times New Roman"/>
                <w:szCs w:val="21"/>
                <w:vertAlign w:val="superscript"/>
              </w:rPr>
              <w:t>3</w:t>
            </w:r>
            <w:r>
              <w:rPr>
                <w:rFonts w:ascii="Times New Roman" w:hAnsi="Times New Roman"/>
                <w:szCs w:val="21"/>
              </w:rPr>
              <w:t>消防水罐，总储量为</w:t>
            </w:r>
            <w:r>
              <w:rPr>
                <w:rFonts w:ascii="Times New Roman" w:hAnsi="Times New Roman"/>
                <w:szCs w:val="21"/>
              </w:rPr>
              <w:t>10000m</w:t>
            </w:r>
            <w:r>
              <w:rPr>
                <w:rFonts w:ascii="Times New Roman" w:hAnsi="Times New Roman"/>
                <w:szCs w:val="21"/>
                <w:vertAlign w:val="superscript"/>
              </w:rPr>
              <w:t>3</w:t>
            </w:r>
          </w:p>
        </w:tc>
        <w:tc>
          <w:tcPr>
            <w:tcW w:w="174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部分依托</w:t>
            </w:r>
          </w:p>
        </w:tc>
        <w:tc>
          <w:tcPr>
            <w:tcW w:w="128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扩建</w:t>
            </w:r>
          </w:p>
        </w:tc>
      </w:tr>
      <w:tr w:rsidR="00525419">
        <w:trPr>
          <w:trHeight w:val="596"/>
          <w:jc w:val="center"/>
        </w:trPr>
        <w:tc>
          <w:tcPr>
            <w:tcW w:w="675" w:type="dxa"/>
            <w:vMerge/>
            <w:tcBorders>
              <w:tl2br w:val="nil"/>
              <w:tr2bl w:val="nil"/>
            </w:tcBorders>
            <w:vAlign w:val="center"/>
          </w:tcPr>
          <w:p w:rsidR="00525419" w:rsidRDefault="00525419">
            <w:pPr>
              <w:pStyle w:val="3d"/>
              <w:spacing w:after="0" w:line="240" w:lineRule="atLeast"/>
              <w:rPr>
                <w:sz w:val="21"/>
                <w:szCs w:val="21"/>
              </w:rPr>
            </w:pPr>
          </w:p>
        </w:tc>
        <w:tc>
          <w:tcPr>
            <w:tcW w:w="851" w:type="dxa"/>
            <w:vMerge/>
            <w:tcBorders>
              <w:tl2br w:val="nil"/>
              <w:tr2bl w:val="nil"/>
            </w:tcBorders>
            <w:vAlign w:val="center"/>
          </w:tcPr>
          <w:p w:rsidR="00525419" w:rsidRDefault="00525419">
            <w:pPr>
              <w:spacing w:line="240" w:lineRule="atLeast"/>
              <w:rPr>
                <w:rFonts w:ascii="Times New Roman" w:hAnsi="Times New Roman"/>
                <w:szCs w:val="21"/>
              </w:rPr>
            </w:pPr>
          </w:p>
        </w:tc>
        <w:tc>
          <w:tcPr>
            <w:tcW w:w="155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排水系统</w:t>
            </w:r>
          </w:p>
        </w:tc>
        <w:tc>
          <w:tcPr>
            <w:tcW w:w="240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w:t>
            </w:r>
          </w:p>
        </w:tc>
        <w:tc>
          <w:tcPr>
            <w:tcW w:w="5307"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生活污水排水、生产废水排水系统和雨水</w:t>
            </w:r>
            <w:r>
              <w:rPr>
                <w:rFonts w:ascii="Times New Roman" w:hAnsi="Times New Roman"/>
                <w:szCs w:val="21"/>
              </w:rPr>
              <w:t>(</w:t>
            </w:r>
            <w:r>
              <w:rPr>
                <w:rFonts w:ascii="Times New Roman" w:hAnsi="Times New Roman"/>
                <w:szCs w:val="21"/>
              </w:rPr>
              <w:t>清净废水</w:t>
            </w:r>
            <w:r>
              <w:rPr>
                <w:rFonts w:ascii="Times New Roman" w:hAnsi="Times New Roman"/>
                <w:szCs w:val="21"/>
              </w:rPr>
              <w:t>)</w:t>
            </w:r>
            <w:r>
              <w:rPr>
                <w:rFonts w:ascii="Times New Roman" w:hAnsi="Times New Roman"/>
                <w:szCs w:val="21"/>
              </w:rPr>
              <w:t>系统</w:t>
            </w:r>
          </w:p>
        </w:tc>
        <w:tc>
          <w:tcPr>
            <w:tcW w:w="174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依托现厂区建成的排水系统</w:t>
            </w:r>
          </w:p>
        </w:tc>
        <w:tc>
          <w:tcPr>
            <w:tcW w:w="128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依托</w:t>
            </w:r>
          </w:p>
        </w:tc>
      </w:tr>
      <w:tr w:rsidR="00525419">
        <w:trPr>
          <w:trHeight w:val="776"/>
          <w:jc w:val="center"/>
        </w:trPr>
        <w:tc>
          <w:tcPr>
            <w:tcW w:w="675" w:type="dxa"/>
            <w:vMerge/>
            <w:tcBorders>
              <w:tl2br w:val="nil"/>
              <w:tr2bl w:val="nil"/>
            </w:tcBorders>
            <w:vAlign w:val="center"/>
          </w:tcPr>
          <w:p w:rsidR="00525419" w:rsidRDefault="00525419">
            <w:pPr>
              <w:pStyle w:val="3d"/>
              <w:spacing w:after="0" w:line="240" w:lineRule="atLeast"/>
              <w:rPr>
                <w:sz w:val="21"/>
                <w:szCs w:val="21"/>
              </w:rPr>
            </w:pPr>
          </w:p>
        </w:tc>
        <w:tc>
          <w:tcPr>
            <w:tcW w:w="851" w:type="dxa"/>
            <w:vMerge/>
            <w:tcBorders>
              <w:tl2br w:val="nil"/>
              <w:tr2bl w:val="nil"/>
            </w:tcBorders>
            <w:vAlign w:val="center"/>
          </w:tcPr>
          <w:p w:rsidR="00525419" w:rsidRDefault="00525419">
            <w:pPr>
              <w:spacing w:line="240" w:lineRule="atLeast"/>
              <w:rPr>
                <w:rFonts w:ascii="Times New Roman" w:hAnsi="Times New Roman"/>
                <w:szCs w:val="21"/>
              </w:rPr>
            </w:pPr>
          </w:p>
        </w:tc>
        <w:tc>
          <w:tcPr>
            <w:tcW w:w="155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污水处理装置</w:t>
            </w:r>
          </w:p>
        </w:tc>
        <w:tc>
          <w:tcPr>
            <w:tcW w:w="240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w:t>
            </w:r>
          </w:p>
        </w:tc>
        <w:tc>
          <w:tcPr>
            <w:tcW w:w="5307"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本次扩建内容为</w:t>
            </w:r>
            <w:r>
              <w:rPr>
                <w:rFonts w:ascii="Times New Roman" w:hAnsi="Times New Roman"/>
              </w:rPr>
              <w:t>扩大</w:t>
            </w:r>
            <w:r>
              <w:rPr>
                <w:rFonts w:ascii="Times New Roman" w:hAnsi="Times New Roman"/>
                <w:shd w:val="clear" w:color="auto" w:fill="FFFFFF"/>
              </w:rPr>
              <w:t>溶剂气浮</w:t>
            </w:r>
            <w:r>
              <w:rPr>
                <w:rFonts w:ascii="Times New Roman" w:hAnsi="Times New Roman" w:hint="eastAsia"/>
                <w:shd w:val="clear" w:color="auto" w:fill="FFFFFF"/>
              </w:rPr>
              <w:t>装置</w:t>
            </w:r>
            <w:r>
              <w:rPr>
                <w:rFonts w:ascii="Times New Roman" w:hAnsi="Times New Roman"/>
                <w:shd w:val="clear" w:color="auto" w:fill="FFFFFF"/>
              </w:rPr>
              <w:t>和涡凹气浮</w:t>
            </w:r>
            <w:r>
              <w:rPr>
                <w:rFonts w:ascii="Times New Roman" w:hAnsi="Times New Roman" w:hint="eastAsia"/>
                <w:shd w:val="clear" w:color="auto" w:fill="FFFFFF"/>
              </w:rPr>
              <w:t>装置</w:t>
            </w:r>
            <w:r>
              <w:rPr>
                <w:rFonts w:ascii="Times New Roman" w:hAnsi="Times New Roman"/>
                <w:shd w:val="clear" w:color="auto" w:fill="FFFFFF"/>
              </w:rPr>
              <w:t>。</w:t>
            </w:r>
          </w:p>
        </w:tc>
        <w:tc>
          <w:tcPr>
            <w:tcW w:w="174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依托现有污水处理站</w:t>
            </w:r>
          </w:p>
        </w:tc>
        <w:tc>
          <w:tcPr>
            <w:tcW w:w="128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依托</w:t>
            </w:r>
          </w:p>
        </w:tc>
      </w:tr>
      <w:tr w:rsidR="00525419">
        <w:trPr>
          <w:trHeight w:val="90"/>
          <w:jc w:val="center"/>
        </w:trPr>
        <w:tc>
          <w:tcPr>
            <w:tcW w:w="675" w:type="dxa"/>
            <w:vMerge/>
            <w:tcBorders>
              <w:tl2br w:val="nil"/>
              <w:tr2bl w:val="nil"/>
            </w:tcBorders>
            <w:vAlign w:val="center"/>
          </w:tcPr>
          <w:p w:rsidR="00525419" w:rsidRDefault="00525419">
            <w:pPr>
              <w:spacing w:line="240" w:lineRule="atLeast"/>
              <w:rPr>
                <w:rFonts w:ascii="Times New Roman" w:hAnsi="Times New Roman"/>
                <w:szCs w:val="21"/>
              </w:rPr>
            </w:pPr>
          </w:p>
        </w:tc>
        <w:tc>
          <w:tcPr>
            <w:tcW w:w="2410" w:type="dxa"/>
            <w:gridSpan w:val="2"/>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供电</w:t>
            </w:r>
          </w:p>
        </w:tc>
        <w:tc>
          <w:tcPr>
            <w:tcW w:w="240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w:t>
            </w:r>
          </w:p>
        </w:tc>
        <w:tc>
          <w:tcPr>
            <w:tcW w:w="5307"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新建</w:t>
            </w:r>
            <w:r>
              <w:rPr>
                <w:rFonts w:ascii="Times New Roman" w:hAnsi="Times New Roman"/>
                <w:szCs w:val="21"/>
              </w:rPr>
              <w:t>2</w:t>
            </w:r>
            <w:r>
              <w:rPr>
                <w:rFonts w:ascii="Times New Roman" w:hAnsi="Times New Roman"/>
                <w:szCs w:val="21"/>
              </w:rPr>
              <w:t>座配电室分别为</w:t>
            </w:r>
            <w:r>
              <w:rPr>
                <w:rFonts w:ascii="Times New Roman" w:hAnsi="Times New Roman"/>
              </w:rPr>
              <w:t>加氢单元配电室、硫磺回收联合装置配电室</w:t>
            </w:r>
          </w:p>
        </w:tc>
        <w:tc>
          <w:tcPr>
            <w:tcW w:w="174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部分依托</w:t>
            </w:r>
          </w:p>
        </w:tc>
        <w:tc>
          <w:tcPr>
            <w:tcW w:w="128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扩建</w:t>
            </w:r>
          </w:p>
        </w:tc>
      </w:tr>
      <w:tr w:rsidR="00525419">
        <w:trPr>
          <w:trHeight w:val="145"/>
          <w:jc w:val="center"/>
        </w:trPr>
        <w:tc>
          <w:tcPr>
            <w:tcW w:w="675" w:type="dxa"/>
            <w:vMerge/>
            <w:tcBorders>
              <w:tl2br w:val="nil"/>
              <w:tr2bl w:val="nil"/>
            </w:tcBorders>
            <w:vAlign w:val="center"/>
          </w:tcPr>
          <w:p w:rsidR="00525419" w:rsidRDefault="00525419">
            <w:pPr>
              <w:spacing w:line="240" w:lineRule="atLeast"/>
              <w:rPr>
                <w:rFonts w:ascii="Times New Roman" w:hAnsi="Times New Roman"/>
                <w:szCs w:val="21"/>
              </w:rPr>
            </w:pPr>
          </w:p>
        </w:tc>
        <w:tc>
          <w:tcPr>
            <w:tcW w:w="2410" w:type="dxa"/>
            <w:gridSpan w:val="2"/>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供热</w:t>
            </w:r>
          </w:p>
        </w:tc>
        <w:tc>
          <w:tcPr>
            <w:tcW w:w="240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w:t>
            </w:r>
          </w:p>
        </w:tc>
        <w:tc>
          <w:tcPr>
            <w:tcW w:w="5307" w:type="dxa"/>
            <w:tcBorders>
              <w:tl2br w:val="nil"/>
              <w:tr2bl w:val="nil"/>
            </w:tcBorders>
            <w:vAlign w:val="center"/>
          </w:tcPr>
          <w:p w:rsidR="00525419" w:rsidRDefault="00EE1CF7">
            <w:pPr>
              <w:topLinePunct/>
              <w:spacing w:line="240" w:lineRule="atLeast"/>
              <w:rPr>
                <w:rFonts w:ascii="Times New Roman" w:hAnsi="Times New Roman"/>
                <w:szCs w:val="21"/>
              </w:rPr>
            </w:pPr>
            <w:r>
              <w:rPr>
                <w:rFonts w:ascii="Times New Roman" w:hAnsi="Times New Roman"/>
                <w:szCs w:val="21"/>
              </w:rPr>
              <w:t>本项目热源由厂区现锅炉热源和提供。</w:t>
            </w:r>
          </w:p>
        </w:tc>
        <w:tc>
          <w:tcPr>
            <w:tcW w:w="174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依托现厂区供热</w:t>
            </w:r>
          </w:p>
        </w:tc>
        <w:tc>
          <w:tcPr>
            <w:tcW w:w="128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依托</w:t>
            </w:r>
          </w:p>
        </w:tc>
      </w:tr>
      <w:tr w:rsidR="00525419">
        <w:trPr>
          <w:trHeight w:val="90"/>
          <w:jc w:val="center"/>
        </w:trPr>
        <w:tc>
          <w:tcPr>
            <w:tcW w:w="675" w:type="dxa"/>
            <w:vMerge/>
            <w:tcBorders>
              <w:tl2br w:val="nil"/>
              <w:tr2bl w:val="nil"/>
            </w:tcBorders>
            <w:vAlign w:val="center"/>
          </w:tcPr>
          <w:p w:rsidR="00525419" w:rsidRDefault="00525419">
            <w:pPr>
              <w:spacing w:line="240" w:lineRule="atLeast"/>
              <w:rPr>
                <w:rFonts w:ascii="Times New Roman" w:hAnsi="Times New Roman"/>
                <w:szCs w:val="21"/>
              </w:rPr>
            </w:pPr>
          </w:p>
        </w:tc>
        <w:tc>
          <w:tcPr>
            <w:tcW w:w="2410" w:type="dxa"/>
            <w:gridSpan w:val="2"/>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供风、供氮气</w:t>
            </w:r>
          </w:p>
        </w:tc>
        <w:tc>
          <w:tcPr>
            <w:tcW w:w="240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w:t>
            </w:r>
          </w:p>
        </w:tc>
        <w:tc>
          <w:tcPr>
            <w:tcW w:w="5307" w:type="dxa"/>
            <w:tcBorders>
              <w:tl2br w:val="nil"/>
              <w:tr2bl w:val="nil"/>
            </w:tcBorders>
            <w:vAlign w:val="center"/>
          </w:tcPr>
          <w:p w:rsidR="00525419" w:rsidRDefault="00EE1CF7">
            <w:pPr>
              <w:topLinePunct/>
              <w:spacing w:line="240" w:lineRule="atLeast"/>
              <w:rPr>
                <w:rFonts w:ascii="Times New Roman" w:hAnsi="Times New Roman"/>
                <w:szCs w:val="21"/>
              </w:rPr>
            </w:pPr>
            <w:r>
              <w:rPr>
                <w:rFonts w:ascii="Times New Roman" w:hAnsi="Times New Roman"/>
                <w:szCs w:val="21"/>
              </w:rPr>
              <w:t>在厂区现空压站新增一台空压机，一套</w:t>
            </w:r>
            <w:r>
              <w:rPr>
                <w:rFonts w:ascii="Times New Roman" w:hAnsi="Times New Roman"/>
                <w:szCs w:val="21"/>
              </w:rPr>
              <w:t>9000Nm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空气净化设备和</w:t>
            </w:r>
            <w:r>
              <w:rPr>
                <w:rFonts w:ascii="Times New Roman" w:hAnsi="Times New Roman"/>
                <w:szCs w:val="21"/>
              </w:rPr>
              <w:t>1250 Nm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提纯氮气吸附罐。</w:t>
            </w:r>
          </w:p>
        </w:tc>
        <w:tc>
          <w:tcPr>
            <w:tcW w:w="1742" w:type="dxa"/>
            <w:tcBorders>
              <w:tl2br w:val="nil"/>
              <w:tr2bl w:val="nil"/>
            </w:tcBorders>
            <w:vAlign w:val="center"/>
          </w:tcPr>
          <w:p w:rsidR="00525419" w:rsidRDefault="00EE1CF7">
            <w:pPr>
              <w:spacing w:line="240" w:lineRule="atLeast"/>
              <w:rPr>
                <w:rFonts w:ascii="Times New Roman" w:hAnsi="Times New Roman"/>
              </w:rPr>
            </w:pPr>
            <w:r>
              <w:rPr>
                <w:rFonts w:ascii="Times New Roman" w:hAnsi="Times New Roman"/>
              </w:rPr>
              <w:t>扩建</w:t>
            </w:r>
          </w:p>
        </w:tc>
        <w:tc>
          <w:tcPr>
            <w:tcW w:w="128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扩建</w:t>
            </w:r>
          </w:p>
        </w:tc>
      </w:tr>
      <w:tr w:rsidR="00525419">
        <w:trPr>
          <w:trHeight w:val="363"/>
          <w:jc w:val="center"/>
        </w:trPr>
        <w:tc>
          <w:tcPr>
            <w:tcW w:w="675" w:type="dxa"/>
            <w:vMerge/>
            <w:tcBorders>
              <w:tl2br w:val="nil"/>
              <w:tr2bl w:val="nil"/>
            </w:tcBorders>
            <w:vAlign w:val="center"/>
          </w:tcPr>
          <w:p w:rsidR="00525419" w:rsidRDefault="00525419">
            <w:pPr>
              <w:spacing w:line="240" w:lineRule="atLeast"/>
              <w:rPr>
                <w:rFonts w:ascii="Times New Roman" w:hAnsi="Times New Roman"/>
                <w:szCs w:val="21"/>
              </w:rPr>
            </w:pPr>
          </w:p>
        </w:tc>
        <w:tc>
          <w:tcPr>
            <w:tcW w:w="2410" w:type="dxa"/>
            <w:gridSpan w:val="2"/>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检维修设施</w:t>
            </w:r>
          </w:p>
        </w:tc>
        <w:tc>
          <w:tcPr>
            <w:tcW w:w="240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w:t>
            </w:r>
          </w:p>
        </w:tc>
        <w:tc>
          <w:tcPr>
            <w:tcW w:w="5307"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w:t>
            </w:r>
          </w:p>
        </w:tc>
        <w:tc>
          <w:tcPr>
            <w:tcW w:w="174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依托现厂区</w:t>
            </w:r>
          </w:p>
        </w:tc>
        <w:tc>
          <w:tcPr>
            <w:tcW w:w="128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依托</w:t>
            </w:r>
          </w:p>
        </w:tc>
      </w:tr>
      <w:tr w:rsidR="00525419">
        <w:trPr>
          <w:trHeight w:val="145"/>
          <w:jc w:val="center"/>
        </w:trPr>
        <w:tc>
          <w:tcPr>
            <w:tcW w:w="675" w:type="dxa"/>
            <w:vMerge/>
            <w:tcBorders>
              <w:tl2br w:val="nil"/>
              <w:tr2bl w:val="nil"/>
            </w:tcBorders>
            <w:vAlign w:val="center"/>
          </w:tcPr>
          <w:p w:rsidR="00525419" w:rsidRDefault="00525419">
            <w:pPr>
              <w:spacing w:line="240" w:lineRule="atLeast"/>
              <w:rPr>
                <w:rFonts w:ascii="Times New Roman" w:hAnsi="Times New Roman"/>
                <w:szCs w:val="21"/>
              </w:rPr>
            </w:pPr>
          </w:p>
        </w:tc>
        <w:tc>
          <w:tcPr>
            <w:tcW w:w="2410" w:type="dxa"/>
            <w:gridSpan w:val="2"/>
            <w:tcBorders>
              <w:tl2br w:val="nil"/>
              <w:tr2bl w:val="nil"/>
            </w:tcBorders>
            <w:vAlign w:val="center"/>
          </w:tcPr>
          <w:p w:rsidR="00525419" w:rsidRDefault="00EE1CF7">
            <w:pPr>
              <w:pStyle w:val="3d"/>
              <w:spacing w:after="0" w:line="240" w:lineRule="atLeast"/>
              <w:rPr>
                <w:sz w:val="21"/>
                <w:szCs w:val="21"/>
              </w:rPr>
            </w:pPr>
            <w:r>
              <w:rPr>
                <w:sz w:val="21"/>
                <w:szCs w:val="21"/>
              </w:rPr>
              <w:t>中心化验室</w:t>
            </w:r>
          </w:p>
        </w:tc>
        <w:tc>
          <w:tcPr>
            <w:tcW w:w="2408" w:type="dxa"/>
            <w:tcBorders>
              <w:tl2br w:val="nil"/>
              <w:tr2bl w:val="nil"/>
            </w:tcBorders>
            <w:vAlign w:val="center"/>
          </w:tcPr>
          <w:p w:rsidR="00525419" w:rsidRDefault="00EE1CF7">
            <w:pPr>
              <w:pStyle w:val="3d"/>
              <w:spacing w:after="0" w:line="240" w:lineRule="atLeast"/>
              <w:rPr>
                <w:sz w:val="21"/>
                <w:szCs w:val="21"/>
              </w:rPr>
            </w:pPr>
            <w:r>
              <w:rPr>
                <w:sz w:val="21"/>
                <w:szCs w:val="21"/>
              </w:rPr>
              <w:t>/</w:t>
            </w:r>
          </w:p>
        </w:tc>
        <w:tc>
          <w:tcPr>
            <w:tcW w:w="5307"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现厂区有化验室</w:t>
            </w:r>
          </w:p>
        </w:tc>
        <w:tc>
          <w:tcPr>
            <w:tcW w:w="174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依托现厂区</w:t>
            </w:r>
          </w:p>
        </w:tc>
        <w:tc>
          <w:tcPr>
            <w:tcW w:w="128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依托</w:t>
            </w:r>
          </w:p>
        </w:tc>
      </w:tr>
      <w:tr w:rsidR="00525419">
        <w:trPr>
          <w:trHeight w:val="145"/>
          <w:jc w:val="center"/>
        </w:trPr>
        <w:tc>
          <w:tcPr>
            <w:tcW w:w="675" w:type="dxa"/>
            <w:vMerge/>
            <w:tcBorders>
              <w:tl2br w:val="nil"/>
              <w:tr2bl w:val="nil"/>
            </w:tcBorders>
            <w:vAlign w:val="center"/>
          </w:tcPr>
          <w:p w:rsidR="00525419" w:rsidRDefault="00525419">
            <w:pPr>
              <w:spacing w:line="240" w:lineRule="atLeast"/>
              <w:rPr>
                <w:rFonts w:ascii="Times New Roman" w:hAnsi="Times New Roman"/>
                <w:szCs w:val="21"/>
              </w:rPr>
            </w:pPr>
          </w:p>
        </w:tc>
        <w:tc>
          <w:tcPr>
            <w:tcW w:w="2410" w:type="dxa"/>
            <w:gridSpan w:val="2"/>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行政及生活设施</w:t>
            </w:r>
          </w:p>
        </w:tc>
        <w:tc>
          <w:tcPr>
            <w:tcW w:w="240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w:t>
            </w:r>
          </w:p>
        </w:tc>
        <w:tc>
          <w:tcPr>
            <w:tcW w:w="5307"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包括办公生活区、文体活动场地等</w:t>
            </w:r>
          </w:p>
        </w:tc>
        <w:tc>
          <w:tcPr>
            <w:tcW w:w="174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依托现厂区</w:t>
            </w:r>
          </w:p>
        </w:tc>
        <w:tc>
          <w:tcPr>
            <w:tcW w:w="128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依托</w:t>
            </w:r>
          </w:p>
        </w:tc>
      </w:tr>
      <w:tr w:rsidR="00525419">
        <w:trPr>
          <w:trHeight w:val="145"/>
          <w:jc w:val="center"/>
        </w:trPr>
        <w:tc>
          <w:tcPr>
            <w:tcW w:w="675" w:type="dxa"/>
            <w:vMerge/>
            <w:tcBorders>
              <w:tl2br w:val="nil"/>
              <w:tr2bl w:val="nil"/>
            </w:tcBorders>
            <w:vAlign w:val="center"/>
          </w:tcPr>
          <w:p w:rsidR="00525419" w:rsidRDefault="00525419">
            <w:pPr>
              <w:spacing w:line="240" w:lineRule="atLeast"/>
              <w:rPr>
                <w:rFonts w:ascii="Times New Roman" w:hAnsi="Times New Roman"/>
                <w:szCs w:val="21"/>
              </w:rPr>
            </w:pPr>
          </w:p>
        </w:tc>
        <w:tc>
          <w:tcPr>
            <w:tcW w:w="2410" w:type="dxa"/>
            <w:gridSpan w:val="2"/>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辅助生产设施</w:t>
            </w:r>
          </w:p>
        </w:tc>
        <w:tc>
          <w:tcPr>
            <w:tcW w:w="240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w:t>
            </w:r>
          </w:p>
        </w:tc>
        <w:tc>
          <w:tcPr>
            <w:tcW w:w="5307"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新建</w:t>
            </w:r>
            <w:r>
              <w:rPr>
                <w:rFonts w:ascii="Times New Roman" w:hAnsi="Times New Roman"/>
                <w:lang w:val="zh-CN"/>
              </w:rPr>
              <w:t>加氢单元机柜间、</w:t>
            </w:r>
            <w:r>
              <w:rPr>
                <w:rFonts w:ascii="Times New Roman" w:hAnsi="Times New Roman"/>
              </w:rPr>
              <w:t>硫磺回收联合装置机柜间</w:t>
            </w:r>
          </w:p>
        </w:tc>
        <w:tc>
          <w:tcPr>
            <w:tcW w:w="174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w:t>
            </w:r>
          </w:p>
        </w:tc>
        <w:tc>
          <w:tcPr>
            <w:tcW w:w="128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新建</w:t>
            </w:r>
          </w:p>
        </w:tc>
      </w:tr>
      <w:tr w:rsidR="00525419">
        <w:trPr>
          <w:trHeight w:val="303"/>
          <w:jc w:val="center"/>
        </w:trPr>
        <w:tc>
          <w:tcPr>
            <w:tcW w:w="675" w:type="dxa"/>
            <w:vMerge w:val="restart"/>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储运工程</w:t>
            </w:r>
          </w:p>
        </w:tc>
        <w:tc>
          <w:tcPr>
            <w:tcW w:w="2410"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储罐区</w:t>
            </w:r>
          </w:p>
        </w:tc>
        <w:tc>
          <w:tcPr>
            <w:tcW w:w="7715" w:type="dxa"/>
            <w:gridSpan w:val="2"/>
            <w:tcBorders>
              <w:tl2br w:val="nil"/>
              <w:tr2bl w:val="nil"/>
            </w:tcBorders>
            <w:vAlign w:val="center"/>
          </w:tcPr>
          <w:p w:rsidR="00525419" w:rsidRDefault="00EE1CF7">
            <w:pPr>
              <w:adjustRightInd w:val="0"/>
              <w:snapToGrid w:val="0"/>
              <w:spacing w:beforeLines="50" w:before="156"/>
              <w:rPr>
                <w:rFonts w:ascii="Times New Roman" w:hAnsi="Times New Roman"/>
                <w:szCs w:val="21"/>
              </w:rPr>
            </w:pPr>
            <w:r>
              <w:rPr>
                <w:rFonts w:ascii="Times New Roman" w:hAnsi="Times New Roman"/>
                <w:szCs w:val="21"/>
                <w:lang w:val="zh-CN"/>
              </w:rPr>
              <w:t>煤焦油储存利旧</w:t>
            </w:r>
            <w:r>
              <w:rPr>
                <w:rFonts w:ascii="Times New Roman" w:hAnsi="Times New Roman"/>
                <w:szCs w:val="21"/>
                <w:lang w:val="zh-CN"/>
              </w:rPr>
              <w:t>3</w:t>
            </w:r>
            <w:r>
              <w:rPr>
                <w:rFonts w:ascii="Times New Roman" w:hAnsi="Times New Roman"/>
                <w:szCs w:val="21"/>
                <w:lang w:val="zh-CN"/>
              </w:rPr>
              <w:t>座</w:t>
            </w:r>
            <w:r>
              <w:rPr>
                <w:rFonts w:ascii="Times New Roman" w:hAnsi="Times New Roman"/>
                <w:szCs w:val="21"/>
                <w:lang w:val="zh-CN"/>
              </w:rPr>
              <w:t>10000m</w:t>
            </w:r>
            <w:r>
              <w:rPr>
                <w:rFonts w:ascii="Times New Roman" w:hAnsi="Times New Roman"/>
                <w:szCs w:val="21"/>
                <w:vertAlign w:val="superscript"/>
                <w:lang w:val="zh-CN"/>
              </w:rPr>
              <w:t>3</w:t>
            </w:r>
            <w:r>
              <w:rPr>
                <w:rFonts w:ascii="Times New Roman" w:hAnsi="Times New Roman"/>
                <w:szCs w:val="21"/>
                <w:lang w:val="zh-CN"/>
              </w:rPr>
              <w:t>储罐，精制尾油储存利旧</w:t>
            </w:r>
            <w:r>
              <w:rPr>
                <w:rFonts w:ascii="Times New Roman" w:hAnsi="Times New Roman"/>
                <w:szCs w:val="21"/>
                <w:lang w:val="zh-CN"/>
              </w:rPr>
              <w:t>1</w:t>
            </w:r>
            <w:r>
              <w:rPr>
                <w:rFonts w:ascii="Times New Roman" w:hAnsi="Times New Roman"/>
                <w:szCs w:val="21"/>
                <w:lang w:val="zh-CN"/>
              </w:rPr>
              <w:t>座</w:t>
            </w:r>
            <w:r>
              <w:rPr>
                <w:rFonts w:ascii="Times New Roman" w:hAnsi="Times New Roman"/>
                <w:szCs w:val="21"/>
                <w:lang w:val="zh-CN"/>
              </w:rPr>
              <w:t>2000m</w:t>
            </w:r>
            <w:r>
              <w:rPr>
                <w:rFonts w:ascii="Times New Roman" w:hAnsi="Times New Roman"/>
                <w:szCs w:val="21"/>
                <w:vertAlign w:val="superscript"/>
                <w:lang w:val="zh-CN"/>
              </w:rPr>
              <w:t>3</w:t>
            </w:r>
            <w:r>
              <w:rPr>
                <w:rFonts w:ascii="Times New Roman" w:hAnsi="Times New Roman"/>
                <w:szCs w:val="21"/>
                <w:lang w:val="zh-CN"/>
              </w:rPr>
              <w:t>储罐，精制柴油储存利旧</w:t>
            </w:r>
            <w:r>
              <w:rPr>
                <w:rFonts w:ascii="Times New Roman" w:hAnsi="Times New Roman"/>
                <w:szCs w:val="21"/>
                <w:lang w:val="zh-CN"/>
              </w:rPr>
              <w:t>3</w:t>
            </w:r>
            <w:r>
              <w:rPr>
                <w:rFonts w:ascii="Times New Roman" w:hAnsi="Times New Roman"/>
                <w:szCs w:val="21"/>
                <w:lang w:val="zh-CN"/>
              </w:rPr>
              <w:t>座</w:t>
            </w:r>
            <w:r>
              <w:rPr>
                <w:rFonts w:ascii="Times New Roman" w:hAnsi="Times New Roman"/>
                <w:szCs w:val="21"/>
                <w:lang w:val="zh-CN"/>
              </w:rPr>
              <w:t>5000m</w:t>
            </w:r>
            <w:r>
              <w:rPr>
                <w:rFonts w:ascii="Times New Roman" w:hAnsi="Times New Roman"/>
                <w:szCs w:val="21"/>
                <w:vertAlign w:val="superscript"/>
                <w:lang w:val="zh-CN"/>
              </w:rPr>
              <w:t>3</w:t>
            </w:r>
            <w:r>
              <w:rPr>
                <w:rFonts w:ascii="Times New Roman" w:hAnsi="Times New Roman"/>
                <w:szCs w:val="21"/>
                <w:lang w:val="zh-CN"/>
              </w:rPr>
              <w:t>储罐，石脑油储存利旧</w:t>
            </w:r>
            <w:r>
              <w:rPr>
                <w:rFonts w:ascii="Times New Roman" w:hAnsi="Times New Roman"/>
                <w:szCs w:val="21"/>
                <w:lang w:val="zh-CN"/>
              </w:rPr>
              <w:t>1</w:t>
            </w:r>
            <w:r>
              <w:rPr>
                <w:rFonts w:ascii="Times New Roman" w:hAnsi="Times New Roman"/>
                <w:szCs w:val="21"/>
                <w:lang w:val="zh-CN"/>
              </w:rPr>
              <w:t>座</w:t>
            </w:r>
            <w:r>
              <w:rPr>
                <w:rFonts w:ascii="Times New Roman" w:hAnsi="Times New Roman"/>
                <w:szCs w:val="21"/>
                <w:lang w:val="zh-CN"/>
              </w:rPr>
              <w:t>5000m</w:t>
            </w:r>
            <w:r>
              <w:rPr>
                <w:rFonts w:ascii="Times New Roman" w:hAnsi="Times New Roman"/>
                <w:szCs w:val="21"/>
                <w:vertAlign w:val="superscript"/>
                <w:lang w:val="zh-CN"/>
              </w:rPr>
              <w:t>3</w:t>
            </w:r>
            <w:r>
              <w:rPr>
                <w:rFonts w:ascii="Times New Roman" w:hAnsi="Times New Roman"/>
                <w:szCs w:val="21"/>
                <w:lang w:val="zh-CN"/>
              </w:rPr>
              <w:t>储罐，液化石油气储存利旧</w:t>
            </w:r>
            <w:r>
              <w:rPr>
                <w:rFonts w:ascii="Times New Roman" w:hAnsi="Times New Roman"/>
                <w:szCs w:val="21"/>
                <w:lang w:val="zh-CN"/>
              </w:rPr>
              <w:t>4</w:t>
            </w:r>
            <w:r>
              <w:rPr>
                <w:rFonts w:ascii="Times New Roman" w:hAnsi="Times New Roman"/>
                <w:szCs w:val="21"/>
                <w:lang w:val="zh-CN"/>
              </w:rPr>
              <w:t>座</w:t>
            </w:r>
            <w:r>
              <w:rPr>
                <w:rFonts w:ascii="Times New Roman" w:hAnsi="Times New Roman"/>
                <w:szCs w:val="21"/>
                <w:lang w:val="zh-CN"/>
              </w:rPr>
              <w:t>1000m</w:t>
            </w:r>
            <w:r>
              <w:rPr>
                <w:rFonts w:ascii="Times New Roman" w:hAnsi="Times New Roman"/>
                <w:szCs w:val="21"/>
                <w:vertAlign w:val="superscript"/>
                <w:lang w:val="zh-CN"/>
              </w:rPr>
              <w:t>3</w:t>
            </w:r>
            <w:r>
              <w:rPr>
                <w:rFonts w:ascii="Times New Roman" w:hAnsi="Times New Roman"/>
                <w:szCs w:val="21"/>
                <w:lang w:val="zh-CN"/>
              </w:rPr>
              <w:t>储罐，尾油储存利旧</w:t>
            </w:r>
            <w:r>
              <w:rPr>
                <w:rFonts w:ascii="Times New Roman" w:hAnsi="Times New Roman"/>
                <w:szCs w:val="21"/>
                <w:lang w:val="zh-CN"/>
              </w:rPr>
              <w:t>2</w:t>
            </w:r>
            <w:r>
              <w:rPr>
                <w:rFonts w:ascii="Times New Roman" w:hAnsi="Times New Roman"/>
                <w:szCs w:val="21"/>
                <w:lang w:val="zh-CN"/>
              </w:rPr>
              <w:t>座</w:t>
            </w:r>
            <w:r>
              <w:rPr>
                <w:rFonts w:ascii="Times New Roman" w:hAnsi="Times New Roman"/>
                <w:szCs w:val="21"/>
                <w:lang w:val="zh-CN"/>
              </w:rPr>
              <w:t>10000m</w:t>
            </w:r>
            <w:r>
              <w:rPr>
                <w:rFonts w:ascii="Times New Roman" w:hAnsi="Times New Roman"/>
                <w:szCs w:val="21"/>
                <w:vertAlign w:val="superscript"/>
                <w:lang w:val="zh-CN"/>
              </w:rPr>
              <w:t>3</w:t>
            </w:r>
            <w:r>
              <w:rPr>
                <w:rFonts w:ascii="Times New Roman" w:hAnsi="Times New Roman"/>
                <w:szCs w:val="21"/>
                <w:lang w:val="zh-CN"/>
              </w:rPr>
              <w:t>尾油中间罐。</w:t>
            </w:r>
          </w:p>
        </w:tc>
        <w:tc>
          <w:tcPr>
            <w:tcW w:w="1742"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利旧现厂区储罐区储罐</w:t>
            </w:r>
          </w:p>
        </w:tc>
        <w:tc>
          <w:tcPr>
            <w:tcW w:w="128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依托</w:t>
            </w:r>
          </w:p>
        </w:tc>
      </w:tr>
      <w:tr w:rsidR="00525419">
        <w:trPr>
          <w:trHeight w:val="256"/>
          <w:jc w:val="center"/>
        </w:trPr>
        <w:tc>
          <w:tcPr>
            <w:tcW w:w="675" w:type="dxa"/>
            <w:vMerge/>
            <w:tcBorders>
              <w:tl2br w:val="nil"/>
              <w:tr2bl w:val="nil"/>
            </w:tcBorders>
            <w:vAlign w:val="center"/>
          </w:tcPr>
          <w:p w:rsidR="00525419" w:rsidRDefault="00525419">
            <w:pPr>
              <w:spacing w:line="240" w:lineRule="atLeast"/>
              <w:rPr>
                <w:rFonts w:ascii="Times New Roman" w:hAnsi="Times New Roman"/>
                <w:szCs w:val="21"/>
              </w:rPr>
            </w:pPr>
          </w:p>
        </w:tc>
        <w:tc>
          <w:tcPr>
            <w:tcW w:w="2410" w:type="dxa"/>
            <w:gridSpan w:val="2"/>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废料堆放区</w:t>
            </w:r>
          </w:p>
        </w:tc>
        <w:tc>
          <w:tcPr>
            <w:tcW w:w="7715" w:type="dxa"/>
            <w:gridSpan w:val="2"/>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包括一般固废堆放场（主要为灰渣场）和危险废物暂存间。</w:t>
            </w:r>
          </w:p>
        </w:tc>
        <w:tc>
          <w:tcPr>
            <w:tcW w:w="174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依托现厂区</w:t>
            </w:r>
          </w:p>
        </w:tc>
        <w:tc>
          <w:tcPr>
            <w:tcW w:w="128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依托</w:t>
            </w:r>
          </w:p>
        </w:tc>
      </w:tr>
      <w:tr w:rsidR="00525419">
        <w:trPr>
          <w:trHeight w:val="545"/>
          <w:jc w:val="center"/>
        </w:trPr>
        <w:tc>
          <w:tcPr>
            <w:tcW w:w="675" w:type="dxa"/>
            <w:vMerge/>
            <w:tcBorders>
              <w:tl2br w:val="nil"/>
              <w:tr2bl w:val="nil"/>
            </w:tcBorders>
            <w:vAlign w:val="center"/>
          </w:tcPr>
          <w:p w:rsidR="00525419" w:rsidRDefault="00525419">
            <w:pPr>
              <w:spacing w:line="240" w:lineRule="atLeast"/>
              <w:rPr>
                <w:rFonts w:ascii="Times New Roman" w:hAnsi="Times New Roman"/>
                <w:szCs w:val="21"/>
              </w:rPr>
            </w:pPr>
          </w:p>
        </w:tc>
        <w:tc>
          <w:tcPr>
            <w:tcW w:w="2410" w:type="dxa"/>
            <w:gridSpan w:val="2"/>
            <w:tcBorders>
              <w:tl2br w:val="nil"/>
              <w:tr2bl w:val="nil"/>
            </w:tcBorders>
            <w:vAlign w:val="center"/>
          </w:tcPr>
          <w:p w:rsidR="00525419" w:rsidRDefault="00EE1CF7">
            <w:pPr>
              <w:snapToGrid w:val="0"/>
              <w:spacing w:line="240" w:lineRule="atLeast"/>
              <w:rPr>
                <w:rFonts w:ascii="Times New Roman" w:hAnsi="Times New Roman"/>
                <w:szCs w:val="21"/>
              </w:rPr>
            </w:pPr>
            <w:r>
              <w:rPr>
                <w:rFonts w:ascii="Times New Roman" w:hAnsi="Times New Roman"/>
                <w:szCs w:val="21"/>
              </w:rPr>
              <w:t>运输工程</w:t>
            </w:r>
          </w:p>
        </w:tc>
        <w:tc>
          <w:tcPr>
            <w:tcW w:w="7715" w:type="dxa"/>
            <w:gridSpan w:val="2"/>
            <w:tcBorders>
              <w:tl2br w:val="nil"/>
              <w:tr2bl w:val="nil"/>
            </w:tcBorders>
            <w:vAlign w:val="center"/>
          </w:tcPr>
          <w:p w:rsidR="00525419" w:rsidRDefault="00EE1CF7">
            <w:pPr>
              <w:snapToGrid w:val="0"/>
              <w:spacing w:line="240" w:lineRule="atLeast"/>
              <w:rPr>
                <w:rFonts w:ascii="Times New Roman" w:hAnsi="Times New Roman"/>
                <w:szCs w:val="21"/>
              </w:rPr>
            </w:pPr>
            <w:r>
              <w:rPr>
                <w:rFonts w:ascii="Times New Roman" w:hAnsi="Times New Roman"/>
                <w:szCs w:val="21"/>
              </w:rPr>
              <w:t>原料由供应商负责供应运入厂，出厂产品由专业公司运输。</w:t>
            </w:r>
            <w:r>
              <w:rPr>
                <w:rFonts w:ascii="Times New Roman" w:hAnsi="Times New Roman"/>
                <w:szCs w:val="21"/>
              </w:rPr>
              <w:t xml:space="preserve"> </w:t>
            </w:r>
            <w:r>
              <w:rPr>
                <w:rFonts w:ascii="Times New Roman" w:hAnsi="Times New Roman"/>
                <w:szCs w:val="21"/>
              </w:rPr>
              <w:t>厂内罐区物料由管道输送，其它由推车和叉车运输。</w:t>
            </w:r>
          </w:p>
        </w:tc>
        <w:tc>
          <w:tcPr>
            <w:tcW w:w="174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依托现厂区</w:t>
            </w:r>
          </w:p>
        </w:tc>
        <w:tc>
          <w:tcPr>
            <w:tcW w:w="128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依托</w:t>
            </w:r>
          </w:p>
        </w:tc>
      </w:tr>
      <w:tr w:rsidR="00525419">
        <w:trPr>
          <w:trHeight w:val="145"/>
          <w:jc w:val="center"/>
        </w:trPr>
        <w:tc>
          <w:tcPr>
            <w:tcW w:w="675" w:type="dxa"/>
            <w:vMerge w:val="restart"/>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环保工程</w:t>
            </w:r>
          </w:p>
        </w:tc>
        <w:tc>
          <w:tcPr>
            <w:tcW w:w="2410" w:type="dxa"/>
            <w:gridSpan w:val="2"/>
            <w:tcBorders>
              <w:tl2br w:val="nil"/>
              <w:tr2bl w:val="nil"/>
            </w:tcBorders>
            <w:vAlign w:val="center"/>
          </w:tcPr>
          <w:p w:rsidR="00525419" w:rsidRDefault="00EE1CF7">
            <w:pPr>
              <w:snapToGrid w:val="0"/>
              <w:spacing w:line="240" w:lineRule="atLeast"/>
              <w:rPr>
                <w:rFonts w:ascii="Times New Roman" w:hAnsi="Times New Roman"/>
                <w:szCs w:val="21"/>
              </w:rPr>
            </w:pPr>
            <w:r>
              <w:rPr>
                <w:rFonts w:ascii="Times New Roman" w:hAnsi="Times New Roman"/>
                <w:szCs w:val="21"/>
              </w:rPr>
              <w:t>污水处理</w:t>
            </w:r>
          </w:p>
        </w:tc>
        <w:tc>
          <w:tcPr>
            <w:tcW w:w="7715" w:type="dxa"/>
            <w:gridSpan w:val="2"/>
            <w:tcBorders>
              <w:tl2br w:val="nil"/>
              <w:tr2bl w:val="nil"/>
            </w:tcBorders>
            <w:vAlign w:val="center"/>
          </w:tcPr>
          <w:p w:rsidR="00525419" w:rsidRDefault="00EE1CF7">
            <w:pPr>
              <w:snapToGrid w:val="0"/>
              <w:spacing w:line="240" w:lineRule="atLeast"/>
              <w:rPr>
                <w:rFonts w:ascii="Times New Roman" w:hAnsi="Times New Roman"/>
                <w:szCs w:val="21"/>
              </w:rPr>
            </w:pPr>
            <w:r>
              <w:rPr>
                <w:rFonts w:ascii="Times New Roman" w:hAnsi="Times New Roman"/>
                <w:szCs w:val="21"/>
              </w:rPr>
              <w:t>扩建现厂区污水站预处理单元（新增涡凹气浮装置</w:t>
            </w:r>
            <w:r>
              <w:rPr>
                <w:rFonts w:ascii="Times New Roman" w:hAnsi="Times New Roman"/>
                <w:szCs w:val="21"/>
              </w:rPr>
              <w:t>1</w:t>
            </w:r>
            <w:r>
              <w:rPr>
                <w:rFonts w:ascii="Times New Roman" w:hAnsi="Times New Roman"/>
                <w:szCs w:val="21"/>
              </w:rPr>
              <w:t>套</w:t>
            </w:r>
            <w:r>
              <w:rPr>
                <w:rFonts w:ascii="Times New Roman" w:hAnsi="Times New Roman"/>
                <w:szCs w:val="21"/>
              </w:rPr>
              <w:t>+</w:t>
            </w:r>
            <w:r>
              <w:rPr>
                <w:rFonts w:ascii="Times New Roman" w:hAnsi="Times New Roman"/>
                <w:szCs w:val="21"/>
              </w:rPr>
              <w:t>溶气气浮</w:t>
            </w:r>
            <w:r>
              <w:rPr>
                <w:rFonts w:ascii="Times New Roman" w:hAnsi="Times New Roman"/>
                <w:szCs w:val="21"/>
              </w:rPr>
              <w:t>1</w:t>
            </w:r>
            <w:r>
              <w:rPr>
                <w:rFonts w:ascii="Times New Roman" w:hAnsi="Times New Roman"/>
                <w:szCs w:val="21"/>
              </w:rPr>
              <w:t>套），新建</w:t>
            </w:r>
            <w:r>
              <w:rPr>
                <w:rFonts w:ascii="Times New Roman" w:hAnsi="Times New Roman"/>
                <w:szCs w:val="21"/>
              </w:rPr>
              <w:t>55t/h</w:t>
            </w:r>
            <w:r>
              <w:rPr>
                <w:rFonts w:ascii="Times New Roman" w:hAnsi="Times New Roman"/>
                <w:szCs w:val="21"/>
              </w:rPr>
              <w:t>酸性水汽提装置</w:t>
            </w:r>
          </w:p>
        </w:tc>
        <w:tc>
          <w:tcPr>
            <w:tcW w:w="174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部分依托现厂区</w:t>
            </w:r>
          </w:p>
        </w:tc>
        <w:tc>
          <w:tcPr>
            <w:tcW w:w="128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扩建</w:t>
            </w:r>
          </w:p>
        </w:tc>
      </w:tr>
      <w:tr w:rsidR="00525419">
        <w:trPr>
          <w:trHeight w:val="145"/>
          <w:jc w:val="center"/>
        </w:trPr>
        <w:tc>
          <w:tcPr>
            <w:tcW w:w="675" w:type="dxa"/>
            <w:vMerge/>
            <w:tcBorders>
              <w:tl2br w:val="nil"/>
              <w:tr2bl w:val="nil"/>
            </w:tcBorders>
            <w:vAlign w:val="center"/>
          </w:tcPr>
          <w:p w:rsidR="00525419" w:rsidRDefault="00525419">
            <w:pPr>
              <w:spacing w:line="240" w:lineRule="atLeast"/>
              <w:rPr>
                <w:rFonts w:ascii="Times New Roman" w:hAnsi="Times New Roman"/>
                <w:szCs w:val="21"/>
              </w:rPr>
            </w:pPr>
          </w:p>
        </w:tc>
        <w:tc>
          <w:tcPr>
            <w:tcW w:w="2410" w:type="dxa"/>
            <w:gridSpan w:val="2"/>
            <w:tcBorders>
              <w:tl2br w:val="nil"/>
              <w:tr2bl w:val="nil"/>
            </w:tcBorders>
            <w:vAlign w:val="center"/>
          </w:tcPr>
          <w:p w:rsidR="00525419" w:rsidRDefault="00EE1CF7">
            <w:pPr>
              <w:pStyle w:val="3d"/>
              <w:spacing w:after="0" w:line="240" w:lineRule="atLeast"/>
              <w:rPr>
                <w:sz w:val="21"/>
                <w:szCs w:val="21"/>
              </w:rPr>
            </w:pPr>
            <w:r>
              <w:rPr>
                <w:sz w:val="21"/>
                <w:szCs w:val="21"/>
              </w:rPr>
              <w:t>火炬装置</w:t>
            </w:r>
          </w:p>
        </w:tc>
        <w:tc>
          <w:tcPr>
            <w:tcW w:w="7715" w:type="dxa"/>
            <w:gridSpan w:val="2"/>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新建火炬</w:t>
            </w:r>
            <w:r>
              <w:rPr>
                <w:rFonts w:ascii="Times New Roman" w:hAnsi="Times New Roman"/>
                <w:szCs w:val="21"/>
              </w:rPr>
              <w:t>1</w:t>
            </w:r>
            <w:r>
              <w:rPr>
                <w:rFonts w:ascii="Times New Roman" w:hAnsi="Times New Roman"/>
                <w:szCs w:val="21"/>
              </w:rPr>
              <w:t>座，火炬总高为</w:t>
            </w:r>
            <w:r>
              <w:rPr>
                <w:rFonts w:ascii="Times New Roman" w:hAnsi="Times New Roman"/>
                <w:szCs w:val="21"/>
              </w:rPr>
              <w:t>110m</w:t>
            </w:r>
            <w:r>
              <w:rPr>
                <w:rFonts w:ascii="Times New Roman" w:hAnsi="Times New Roman"/>
                <w:szCs w:val="21"/>
              </w:rPr>
              <w:t>（原有工程火炬停用）。</w:t>
            </w:r>
          </w:p>
        </w:tc>
        <w:tc>
          <w:tcPr>
            <w:tcW w:w="174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w:t>
            </w:r>
          </w:p>
        </w:tc>
        <w:tc>
          <w:tcPr>
            <w:tcW w:w="128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新建，全厂项目共用</w:t>
            </w:r>
          </w:p>
        </w:tc>
      </w:tr>
      <w:tr w:rsidR="00525419">
        <w:trPr>
          <w:trHeight w:val="145"/>
          <w:jc w:val="center"/>
        </w:trPr>
        <w:tc>
          <w:tcPr>
            <w:tcW w:w="675" w:type="dxa"/>
            <w:vMerge/>
            <w:tcBorders>
              <w:tl2br w:val="nil"/>
              <w:tr2bl w:val="nil"/>
            </w:tcBorders>
            <w:vAlign w:val="center"/>
          </w:tcPr>
          <w:p w:rsidR="00525419" w:rsidRDefault="00525419">
            <w:pPr>
              <w:spacing w:line="240" w:lineRule="atLeast"/>
              <w:rPr>
                <w:rFonts w:ascii="Times New Roman" w:hAnsi="Times New Roman"/>
                <w:szCs w:val="21"/>
              </w:rPr>
            </w:pPr>
          </w:p>
        </w:tc>
        <w:tc>
          <w:tcPr>
            <w:tcW w:w="2410" w:type="dxa"/>
            <w:gridSpan w:val="2"/>
            <w:tcBorders>
              <w:tl2br w:val="nil"/>
              <w:tr2bl w:val="nil"/>
            </w:tcBorders>
            <w:vAlign w:val="center"/>
          </w:tcPr>
          <w:p w:rsidR="00525419" w:rsidRDefault="00EE1CF7">
            <w:pPr>
              <w:pStyle w:val="3d"/>
              <w:spacing w:after="0" w:line="240" w:lineRule="atLeast"/>
              <w:rPr>
                <w:sz w:val="21"/>
                <w:szCs w:val="21"/>
              </w:rPr>
            </w:pPr>
            <w:r>
              <w:rPr>
                <w:sz w:val="21"/>
                <w:szCs w:val="21"/>
              </w:rPr>
              <w:t>噪声处理</w:t>
            </w:r>
          </w:p>
        </w:tc>
        <w:tc>
          <w:tcPr>
            <w:tcW w:w="7715" w:type="dxa"/>
            <w:gridSpan w:val="2"/>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采用低噪声设备、减振、隔声、柔性连接、消音罩等。</w:t>
            </w:r>
          </w:p>
        </w:tc>
        <w:tc>
          <w:tcPr>
            <w:tcW w:w="174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w:t>
            </w:r>
          </w:p>
        </w:tc>
        <w:tc>
          <w:tcPr>
            <w:tcW w:w="128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新建</w:t>
            </w:r>
          </w:p>
        </w:tc>
      </w:tr>
      <w:tr w:rsidR="00525419">
        <w:trPr>
          <w:trHeight w:val="90"/>
          <w:jc w:val="center"/>
        </w:trPr>
        <w:tc>
          <w:tcPr>
            <w:tcW w:w="675" w:type="dxa"/>
            <w:vMerge/>
            <w:tcBorders>
              <w:tl2br w:val="nil"/>
              <w:tr2bl w:val="nil"/>
            </w:tcBorders>
            <w:vAlign w:val="center"/>
          </w:tcPr>
          <w:p w:rsidR="00525419" w:rsidRDefault="00525419">
            <w:pPr>
              <w:spacing w:line="240" w:lineRule="atLeast"/>
              <w:rPr>
                <w:rFonts w:ascii="Times New Roman" w:hAnsi="Times New Roman"/>
                <w:szCs w:val="21"/>
              </w:rPr>
            </w:pPr>
          </w:p>
        </w:tc>
        <w:tc>
          <w:tcPr>
            <w:tcW w:w="2410" w:type="dxa"/>
            <w:gridSpan w:val="2"/>
            <w:tcBorders>
              <w:tl2br w:val="nil"/>
              <w:tr2bl w:val="nil"/>
            </w:tcBorders>
            <w:vAlign w:val="center"/>
          </w:tcPr>
          <w:p w:rsidR="00525419" w:rsidRDefault="00EE1CF7">
            <w:pPr>
              <w:pStyle w:val="3d"/>
              <w:spacing w:after="0" w:line="240" w:lineRule="atLeast"/>
              <w:rPr>
                <w:sz w:val="21"/>
                <w:szCs w:val="21"/>
              </w:rPr>
            </w:pPr>
            <w:r>
              <w:rPr>
                <w:sz w:val="21"/>
                <w:szCs w:val="21"/>
              </w:rPr>
              <w:t>固体废物治理</w:t>
            </w:r>
          </w:p>
        </w:tc>
        <w:tc>
          <w:tcPr>
            <w:tcW w:w="7715" w:type="dxa"/>
            <w:gridSpan w:val="2"/>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危险固废委托有资质单位</w:t>
            </w:r>
            <w:r>
              <w:rPr>
                <w:rFonts w:ascii="Times New Roman" w:hAnsi="Times New Roman" w:hint="eastAsia"/>
                <w:szCs w:val="21"/>
              </w:rPr>
              <w:t>处置</w:t>
            </w:r>
            <w:r>
              <w:rPr>
                <w:rFonts w:ascii="Times New Roman" w:hAnsi="Times New Roman"/>
                <w:szCs w:val="21"/>
              </w:rPr>
              <w:t>，一般</w:t>
            </w:r>
            <w:r>
              <w:rPr>
                <w:rFonts w:ascii="Times New Roman" w:hAnsi="Times New Roman" w:hint="eastAsia"/>
                <w:szCs w:val="21"/>
              </w:rPr>
              <w:t>工业</w:t>
            </w:r>
            <w:r>
              <w:rPr>
                <w:rFonts w:ascii="Times New Roman" w:hAnsi="Times New Roman"/>
                <w:szCs w:val="21"/>
              </w:rPr>
              <w:t>固废</w:t>
            </w:r>
            <w:r>
              <w:rPr>
                <w:rFonts w:ascii="Times New Roman" w:hAnsi="Times New Roman" w:hint="eastAsia"/>
                <w:szCs w:val="21"/>
              </w:rPr>
              <w:t>（废吸附剂、废瓷球）在项目区暂存，由厂家回收</w:t>
            </w:r>
          </w:p>
        </w:tc>
        <w:tc>
          <w:tcPr>
            <w:tcW w:w="174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w:t>
            </w:r>
          </w:p>
        </w:tc>
        <w:tc>
          <w:tcPr>
            <w:tcW w:w="128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依托</w:t>
            </w:r>
          </w:p>
        </w:tc>
      </w:tr>
      <w:tr w:rsidR="00525419">
        <w:trPr>
          <w:trHeight w:val="230"/>
          <w:jc w:val="center"/>
        </w:trPr>
        <w:tc>
          <w:tcPr>
            <w:tcW w:w="675" w:type="dxa"/>
            <w:vMerge/>
            <w:tcBorders>
              <w:tl2br w:val="nil"/>
              <w:tr2bl w:val="nil"/>
            </w:tcBorders>
            <w:vAlign w:val="center"/>
          </w:tcPr>
          <w:p w:rsidR="00525419" w:rsidRDefault="00525419">
            <w:pPr>
              <w:spacing w:line="240" w:lineRule="atLeast"/>
              <w:rPr>
                <w:rFonts w:ascii="Times New Roman" w:hAnsi="Times New Roman"/>
                <w:szCs w:val="21"/>
              </w:rPr>
            </w:pPr>
          </w:p>
        </w:tc>
        <w:tc>
          <w:tcPr>
            <w:tcW w:w="2410" w:type="dxa"/>
            <w:gridSpan w:val="2"/>
            <w:tcBorders>
              <w:tl2br w:val="nil"/>
              <w:tr2bl w:val="nil"/>
            </w:tcBorders>
            <w:vAlign w:val="center"/>
          </w:tcPr>
          <w:p w:rsidR="00525419" w:rsidRDefault="00EE1CF7">
            <w:pPr>
              <w:pStyle w:val="1f7"/>
              <w:spacing w:line="240" w:lineRule="atLeast"/>
              <w:ind w:firstLineChars="0" w:firstLine="0"/>
              <w:jc w:val="both"/>
              <w:outlineLvl w:val="9"/>
              <w:rPr>
                <w:sz w:val="21"/>
                <w:szCs w:val="21"/>
              </w:rPr>
            </w:pPr>
            <w:r>
              <w:rPr>
                <w:sz w:val="21"/>
                <w:szCs w:val="21"/>
              </w:rPr>
              <w:t>风险防范</w:t>
            </w:r>
          </w:p>
        </w:tc>
        <w:tc>
          <w:tcPr>
            <w:tcW w:w="7715" w:type="dxa"/>
            <w:gridSpan w:val="2"/>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依托现厂区</w:t>
            </w:r>
            <w:r>
              <w:rPr>
                <w:rFonts w:ascii="Times New Roman" w:hAnsi="Times New Roman"/>
                <w:szCs w:val="21"/>
              </w:rPr>
              <w:t>2</w:t>
            </w:r>
            <w:r>
              <w:rPr>
                <w:rFonts w:ascii="Times New Roman" w:hAnsi="Times New Roman"/>
                <w:szCs w:val="21"/>
              </w:rPr>
              <w:t>座</w:t>
            </w:r>
            <w:r>
              <w:rPr>
                <w:rFonts w:ascii="Times New Roman" w:hAnsi="Times New Roman"/>
                <w:szCs w:val="21"/>
              </w:rPr>
              <w:t>2600m</w:t>
            </w:r>
            <w:r>
              <w:rPr>
                <w:rFonts w:ascii="Times New Roman" w:hAnsi="Times New Roman"/>
                <w:szCs w:val="21"/>
                <w:vertAlign w:val="superscript"/>
              </w:rPr>
              <w:t>3</w:t>
            </w:r>
            <w:r>
              <w:rPr>
                <w:rFonts w:ascii="Times New Roman" w:hAnsi="Times New Roman"/>
                <w:szCs w:val="21"/>
              </w:rPr>
              <w:t>事故水池</w:t>
            </w:r>
          </w:p>
        </w:tc>
        <w:tc>
          <w:tcPr>
            <w:tcW w:w="174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完全依托</w:t>
            </w:r>
          </w:p>
        </w:tc>
        <w:tc>
          <w:tcPr>
            <w:tcW w:w="128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依托</w:t>
            </w:r>
          </w:p>
        </w:tc>
      </w:tr>
      <w:tr w:rsidR="00525419">
        <w:trPr>
          <w:trHeight w:val="211"/>
          <w:jc w:val="center"/>
        </w:trPr>
        <w:tc>
          <w:tcPr>
            <w:tcW w:w="675" w:type="dxa"/>
            <w:vMerge w:val="restart"/>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依托工程</w:t>
            </w:r>
          </w:p>
        </w:tc>
        <w:tc>
          <w:tcPr>
            <w:tcW w:w="2410" w:type="dxa"/>
            <w:gridSpan w:val="2"/>
            <w:tcBorders>
              <w:tl2br w:val="nil"/>
              <w:tr2bl w:val="nil"/>
            </w:tcBorders>
            <w:vAlign w:val="center"/>
          </w:tcPr>
          <w:p w:rsidR="00525419" w:rsidRDefault="00EE1CF7">
            <w:pPr>
              <w:pStyle w:val="1f7"/>
              <w:spacing w:line="240" w:lineRule="atLeast"/>
              <w:ind w:firstLineChars="0" w:firstLine="0"/>
              <w:jc w:val="both"/>
              <w:outlineLvl w:val="9"/>
              <w:rPr>
                <w:sz w:val="21"/>
                <w:szCs w:val="21"/>
              </w:rPr>
            </w:pPr>
            <w:r>
              <w:rPr>
                <w:sz w:val="21"/>
                <w:szCs w:val="21"/>
              </w:rPr>
              <w:t>给排水</w:t>
            </w:r>
          </w:p>
        </w:tc>
        <w:tc>
          <w:tcPr>
            <w:tcW w:w="7715" w:type="dxa"/>
            <w:gridSpan w:val="2"/>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依托现厂区给排水系统</w:t>
            </w:r>
          </w:p>
        </w:tc>
        <w:tc>
          <w:tcPr>
            <w:tcW w:w="174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部分依托</w:t>
            </w:r>
          </w:p>
        </w:tc>
        <w:tc>
          <w:tcPr>
            <w:tcW w:w="1286" w:type="dxa"/>
            <w:vMerge w:val="restart"/>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扩建</w:t>
            </w:r>
          </w:p>
        </w:tc>
      </w:tr>
      <w:tr w:rsidR="00525419">
        <w:trPr>
          <w:trHeight w:val="192"/>
          <w:jc w:val="center"/>
        </w:trPr>
        <w:tc>
          <w:tcPr>
            <w:tcW w:w="675" w:type="dxa"/>
            <w:vMerge/>
            <w:tcBorders>
              <w:tl2br w:val="nil"/>
              <w:tr2bl w:val="nil"/>
            </w:tcBorders>
            <w:vAlign w:val="center"/>
          </w:tcPr>
          <w:p w:rsidR="00525419" w:rsidRDefault="00525419">
            <w:pPr>
              <w:spacing w:line="240" w:lineRule="atLeast"/>
              <w:rPr>
                <w:rFonts w:ascii="Times New Roman" w:hAnsi="Times New Roman"/>
                <w:szCs w:val="21"/>
              </w:rPr>
            </w:pPr>
          </w:p>
        </w:tc>
        <w:tc>
          <w:tcPr>
            <w:tcW w:w="2410" w:type="dxa"/>
            <w:gridSpan w:val="2"/>
            <w:tcBorders>
              <w:tl2br w:val="nil"/>
              <w:tr2bl w:val="nil"/>
            </w:tcBorders>
            <w:vAlign w:val="center"/>
          </w:tcPr>
          <w:p w:rsidR="00525419" w:rsidRDefault="00EE1CF7">
            <w:pPr>
              <w:pStyle w:val="1f7"/>
              <w:spacing w:line="240" w:lineRule="atLeast"/>
              <w:ind w:firstLineChars="0" w:firstLine="0"/>
              <w:jc w:val="both"/>
              <w:outlineLvl w:val="9"/>
              <w:rPr>
                <w:sz w:val="21"/>
                <w:szCs w:val="21"/>
              </w:rPr>
            </w:pPr>
            <w:r>
              <w:rPr>
                <w:sz w:val="21"/>
                <w:szCs w:val="21"/>
              </w:rPr>
              <w:t>供热</w:t>
            </w:r>
            <w:r>
              <w:rPr>
                <w:sz w:val="21"/>
                <w:szCs w:val="21"/>
              </w:rPr>
              <w:t>(</w:t>
            </w:r>
            <w:r>
              <w:rPr>
                <w:sz w:val="21"/>
                <w:szCs w:val="21"/>
              </w:rPr>
              <w:t>供汽</w:t>
            </w:r>
            <w:r>
              <w:rPr>
                <w:sz w:val="21"/>
                <w:szCs w:val="21"/>
              </w:rPr>
              <w:t>)</w:t>
            </w:r>
          </w:p>
        </w:tc>
        <w:tc>
          <w:tcPr>
            <w:tcW w:w="7715" w:type="dxa"/>
            <w:gridSpan w:val="2"/>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依托现厂区</w:t>
            </w:r>
            <w:r>
              <w:rPr>
                <w:rFonts w:ascii="Times New Roman" w:hAnsi="Times New Roman"/>
                <w:szCs w:val="21"/>
              </w:rPr>
              <w:t>3</w:t>
            </w:r>
            <w:r>
              <w:rPr>
                <w:rFonts w:ascii="Times New Roman" w:hAnsi="Times New Roman"/>
                <w:szCs w:val="21"/>
              </w:rPr>
              <w:t>台</w:t>
            </w:r>
            <w:r>
              <w:rPr>
                <w:rFonts w:ascii="Times New Roman" w:hAnsi="Times New Roman"/>
                <w:szCs w:val="21"/>
              </w:rPr>
              <w:t>20t/h</w:t>
            </w:r>
            <w:r>
              <w:rPr>
                <w:rFonts w:ascii="Times New Roman" w:hAnsi="Times New Roman"/>
                <w:szCs w:val="21"/>
              </w:rPr>
              <w:t>蒸汽锅炉和装置自产蒸汽</w:t>
            </w:r>
          </w:p>
        </w:tc>
        <w:tc>
          <w:tcPr>
            <w:tcW w:w="174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部分依托</w:t>
            </w:r>
          </w:p>
        </w:tc>
        <w:tc>
          <w:tcPr>
            <w:tcW w:w="1286" w:type="dxa"/>
            <w:vMerge/>
            <w:tcBorders>
              <w:tl2br w:val="nil"/>
              <w:tr2bl w:val="nil"/>
            </w:tcBorders>
            <w:vAlign w:val="center"/>
          </w:tcPr>
          <w:p w:rsidR="00525419" w:rsidRDefault="00525419">
            <w:pPr>
              <w:spacing w:line="240" w:lineRule="atLeast"/>
              <w:rPr>
                <w:rFonts w:ascii="Times New Roman" w:hAnsi="Times New Roman"/>
                <w:szCs w:val="21"/>
              </w:rPr>
            </w:pPr>
          </w:p>
        </w:tc>
      </w:tr>
      <w:tr w:rsidR="00525419">
        <w:trPr>
          <w:trHeight w:val="226"/>
          <w:jc w:val="center"/>
        </w:trPr>
        <w:tc>
          <w:tcPr>
            <w:tcW w:w="675" w:type="dxa"/>
            <w:vMerge/>
            <w:tcBorders>
              <w:tl2br w:val="nil"/>
              <w:tr2bl w:val="nil"/>
            </w:tcBorders>
            <w:vAlign w:val="center"/>
          </w:tcPr>
          <w:p w:rsidR="00525419" w:rsidRDefault="00525419">
            <w:pPr>
              <w:spacing w:line="240" w:lineRule="atLeast"/>
              <w:rPr>
                <w:rFonts w:ascii="Times New Roman" w:hAnsi="Times New Roman"/>
                <w:szCs w:val="21"/>
              </w:rPr>
            </w:pPr>
          </w:p>
        </w:tc>
        <w:tc>
          <w:tcPr>
            <w:tcW w:w="2410" w:type="dxa"/>
            <w:gridSpan w:val="2"/>
            <w:tcBorders>
              <w:tl2br w:val="nil"/>
              <w:tr2bl w:val="nil"/>
            </w:tcBorders>
            <w:vAlign w:val="center"/>
          </w:tcPr>
          <w:p w:rsidR="00525419" w:rsidRDefault="00EE1CF7">
            <w:pPr>
              <w:pStyle w:val="1f7"/>
              <w:spacing w:line="240" w:lineRule="atLeast"/>
              <w:ind w:firstLineChars="0" w:firstLine="0"/>
              <w:jc w:val="both"/>
              <w:outlineLvl w:val="9"/>
              <w:rPr>
                <w:sz w:val="21"/>
                <w:szCs w:val="21"/>
              </w:rPr>
            </w:pPr>
            <w:r>
              <w:rPr>
                <w:sz w:val="21"/>
                <w:szCs w:val="21"/>
              </w:rPr>
              <w:t>空压站</w:t>
            </w:r>
          </w:p>
        </w:tc>
        <w:tc>
          <w:tcPr>
            <w:tcW w:w="7715" w:type="dxa"/>
            <w:gridSpan w:val="2"/>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在现厂区空压站增加不足能力的设备</w:t>
            </w:r>
          </w:p>
        </w:tc>
        <w:tc>
          <w:tcPr>
            <w:tcW w:w="174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部分依托</w:t>
            </w:r>
          </w:p>
        </w:tc>
        <w:tc>
          <w:tcPr>
            <w:tcW w:w="1286" w:type="dxa"/>
            <w:vMerge/>
            <w:tcBorders>
              <w:tl2br w:val="nil"/>
              <w:tr2bl w:val="nil"/>
            </w:tcBorders>
            <w:vAlign w:val="center"/>
          </w:tcPr>
          <w:p w:rsidR="00525419" w:rsidRDefault="00525419">
            <w:pPr>
              <w:spacing w:line="240" w:lineRule="atLeast"/>
              <w:rPr>
                <w:rFonts w:ascii="Times New Roman" w:hAnsi="Times New Roman"/>
                <w:szCs w:val="21"/>
              </w:rPr>
            </w:pPr>
          </w:p>
        </w:tc>
      </w:tr>
      <w:tr w:rsidR="00525419">
        <w:trPr>
          <w:trHeight w:val="158"/>
          <w:jc w:val="center"/>
        </w:trPr>
        <w:tc>
          <w:tcPr>
            <w:tcW w:w="675" w:type="dxa"/>
            <w:vMerge/>
            <w:tcBorders>
              <w:tl2br w:val="nil"/>
              <w:tr2bl w:val="nil"/>
            </w:tcBorders>
            <w:vAlign w:val="center"/>
          </w:tcPr>
          <w:p w:rsidR="00525419" w:rsidRDefault="00525419">
            <w:pPr>
              <w:spacing w:line="240" w:lineRule="atLeast"/>
              <w:rPr>
                <w:rFonts w:ascii="Times New Roman" w:hAnsi="Times New Roman"/>
                <w:szCs w:val="21"/>
              </w:rPr>
            </w:pPr>
          </w:p>
        </w:tc>
        <w:tc>
          <w:tcPr>
            <w:tcW w:w="2410" w:type="dxa"/>
            <w:gridSpan w:val="2"/>
            <w:tcBorders>
              <w:tl2br w:val="nil"/>
              <w:tr2bl w:val="nil"/>
            </w:tcBorders>
            <w:vAlign w:val="center"/>
          </w:tcPr>
          <w:p w:rsidR="00525419" w:rsidRDefault="00EE1CF7">
            <w:pPr>
              <w:pStyle w:val="1f7"/>
              <w:spacing w:line="240" w:lineRule="atLeast"/>
              <w:ind w:firstLineChars="0" w:firstLine="0"/>
              <w:jc w:val="both"/>
              <w:outlineLvl w:val="9"/>
              <w:rPr>
                <w:sz w:val="21"/>
                <w:szCs w:val="21"/>
              </w:rPr>
            </w:pPr>
            <w:r>
              <w:rPr>
                <w:sz w:val="21"/>
                <w:szCs w:val="21"/>
              </w:rPr>
              <w:t>污水处理站和汽提装置</w:t>
            </w:r>
          </w:p>
        </w:tc>
        <w:tc>
          <w:tcPr>
            <w:tcW w:w="7715" w:type="dxa"/>
            <w:gridSpan w:val="2"/>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新建酸性水汽</w:t>
            </w:r>
            <w:r>
              <w:rPr>
                <w:rFonts w:ascii="Times New Roman" w:hAnsi="Times New Roman" w:hint="eastAsia"/>
                <w:szCs w:val="21"/>
              </w:rPr>
              <w:t>提</w:t>
            </w:r>
            <w:r>
              <w:rPr>
                <w:rFonts w:ascii="Times New Roman" w:hAnsi="Times New Roman"/>
                <w:szCs w:val="21"/>
              </w:rPr>
              <w:t>装置；扩建现厂区污水站预处理单元（新增涡凹气浮装置</w:t>
            </w:r>
            <w:r>
              <w:rPr>
                <w:rFonts w:ascii="Times New Roman" w:hAnsi="Times New Roman"/>
                <w:szCs w:val="21"/>
              </w:rPr>
              <w:t>1</w:t>
            </w:r>
            <w:r>
              <w:rPr>
                <w:rFonts w:ascii="Times New Roman" w:hAnsi="Times New Roman"/>
                <w:szCs w:val="21"/>
              </w:rPr>
              <w:t>套</w:t>
            </w:r>
            <w:r>
              <w:rPr>
                <w:rFonts w:ascii="Times New Roman" w:hAnsi="Times New Roman"/>
                <w:szCs w:val="21"/>
              </w:rPr>
              <w:t>+</w:t>
            </w:r>
            <w:r>
              <w:rPr>
                <w:rFonts w:ascii="Times New Roman" w:hAnsi="Times New Roman"/>
                <w:szCs w:val="21"/>
              </w:rPr>
              <w:t>溶气气浮</w:t>
            </w:r>
            <w:r>
              <w:rPr>
                <w:rFonts w:ascii="Times New Roman" w:hAnsi="Times New Roman" w:hint="eastAsia"/>
                <w:szCs w:val="21"/>
              </w:rPr>
              <w:t>装置</w:t>
            </w:r>
            <w:r>
              <w:rPr>
                <w:rFonts w:ascii="Times New Roman" w:hAnsi="Times New Roman"/>
                <w:szCs w:val="21"/>
              </w:rPr>
              <w:t>1</w:t>
            </w:r>
            <w:r>
              <w:rPr>
                <w:rFonts w:ascii="Times New Roman" w:hAnsi="Times New Roman"/>
                <w:szCs w:val="21"/>
              </w:rPr>
              <w:t>套）</w:t>
            </w:r>
          </w:p>
        </w:tc>
        <w:tc>
          <w:tcPr>
            <w:tcW w:w="174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依托</w:t>
            </w:r>
            <w:r>
              <w:rPr>
                <w:rFonts w:ascii="Times New Roman" w:hAnsi="Times New Roman"/>
                <w:szCs w:val="21"/>
              </w:rPr>
              <w:t>+</w:t>
            </w:r>
            <w:r>
              <w:rPr>
                <w:rFonts w:ascii="Times New Roman" w:hAnsi="Times New Roman"/>
                <w:szCs w:val="21"/>
              </w:rPr>
              <w:t>新建</w:t>
            </w:r>
          </w:p>
        </w:tc>
        <w:tc>
          <w:tcPr>
            <w:tcW w:w="1286" w:type="dxa"/>
            <w:vMerge/>
            <w:tcBorders>
              <w:tl2br w:val="nil"/>
              <w:tr2bl w:val="nil"/>
            </w:tcBorders>
            <w:vAlign w:val="center"/>
          </w:tcPr>
          <w:p w:rsidR="00525419" w:rsidRDefault="00525419">
            <w:pPr>
              <w:spacing w:line="240" w:lineRule="atLeast"/>
              <w:rPr>
                <w:rFonts w:ascii="Times New Roman" w:hAnsi="Times New Roman"/>
                <w:szCs w:val="21"/>
              </w:rPr>
            </w:pPr>
          </w:p>
        </w:tc>
      </w:tr>
      <w:tr w:rsidR="00525419">
        <w:trPr>
          <w:trHeight w:val="353"/>
          <w:jc w:val="center"/>
        </w:trPr>
        <w:tc>
          <w:tcPr>
            <w:tcW w:w="675" w:type="dxa"/>
            <w:vMerge/>
            <w:tcBorders>
              <w:tl2br w:val="nil"/>
              <w:tr2bl w:val="nil"/>
            </w:tcBorders>
            <w:vAlign w:val="center"/>
          </w:tcPr>
          <w:p w:rsidR="00525419" w:rsidRDefault="00525419">
            <w:pPr>
              <w:spacing w:line="240" w:lineRule="atLeast"/>
              <w:rPr>
                <w:rFonts w:ascii="Times New Roman" w:hAnsi="Times New Roman"/>
                <w:szCs w:val="21"/>
              </w:rPr>
            </w:pPr>
          </w:p>
        </w:tc>
        <w:tc>
          <w:tcPr>
            <w:tcW w:w="2410" w:type="dxa"/>
            <w:gridSpan w:val="2"/>
            <w:tcBorders>
              <w:tl2br w:val="nil"/>
              <w:tr2bl w:val="nil"/>
            </w:tcBorders>
            <w:vAlign w:val="center"/>
          </w:tcPr>
          <w:p w:rsidR="00525419" w:rsidRDefault="00EE1CF7">
            <w:pPr>
              <w:pStyle w:val="1f7"/>
              <w:spacing w:line="240" w:lineRule="atLeast"/>
              <w:ind w:firstLineChars="0" w:firstLine="0"/>
              <w:jc w:val="both"/>
              <w:outlineLvl w:val="9"/>
              <w:rPr>
                <w:sz w:val="21"/>
                <w:szCs w:val="21"/>
              </w:rPr>
            </w:pPr>
            <w:r>
              <w:rPr>
                <w:sz w:val="21"/>
                <w:szCs w:val="21"/>
              </w:rPr>
              <w:t>固体废物处置</w:t>
            </w:r>
          </w:p>
        </w:tc>
        <w:tc>
          <w:tcPr>
            <w:tcW w:w="7715" w:type="dxa"/>
            <w:gridSpan w:val="2"/>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一般固废堆放场和危险固废暂存间</w:t>
            </w:r>
          </w:p>
        </w:tc>
        <w:tc>
          <w:tcPr>
            <w:tcW w:w="174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完全依托</w:t>
            </w:r>
          </w:p>
        </w:tc>
        <w:tc>
          <w:tcPr>
            <w:tcW w:w="128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依托</w:t>
            </w:r>
          </w:p>
        </w:tc>
      </w:tr>
      <w:tr w:rsidR="00525419">
        <w:trPr>
          <w:trHeight w:val="512"/>
          <w:jc w:val="center"/>
        </w:trPr>
        <w:tc>
          <w:tcPr>
            <w:tcW w:w="675" w:type="dxa"/>
            <w:vMerge/>
            <w:tcBorders>
              <w:tl2br w:val="nil"/>
              <w:tr2bl w:val="nil"/>
            </w:tcBorders>
            <w:vAlign w:val="center"/>
          </w:tcPr>
          <w:p w:rsidR="00525419" w:rsidRDefault="00525419">
            <w:pPr>
              <w:spacing w:line="240" w:lineRule="atLeast"/>
              <w:rPr>
                <w:rFonts w:ascii="Times New Roman" w:hAnsi="Times New Roman"/>
                <w:szCs w:val="21"/>
              </w:rPr>
            </w:pPr>
          </w:p>
        </w:tc>
        <w:tc>
          <w:tcPr>
            <w:tcW w:w="2410" w:type="dxa"/>
            <w:gridSpan w:val="2"/>
            <w:tcBorders>
              <w:tl2br w:val="nil"/>
              <w:tr2bl w:val="nil"/>
            </w:tcBorders>
            <w:vAlign w:val="center"/>
          </w:tcPr>
          <w:p w:rsidR="00525419" w:rsidRDefault="00EE1CF7">
            <w:pPr>
              <w:pStyle w:val="1f7"/>
              <w:spacing w:line="240" w:lineRule="atLeast"/>
              <w:ind w:firstLineChars="0" w:firstLine="0"/>
              <w:jc w:val="both"/>
              <w:outlineLvl w:val="9"/>
              <w:rPr>
                <w:sz w:val="21"/>
                <w:szCs w:val="21"/>
              </w:rPr>
            </w:pPr>
            <w:r>
              <w:rPr>
                <w:sz w:val="21"/>
                <w:szCs w:val="21"/>
              </w:rPr>
              <w:t>风险防范</w:t>
            </w:r>
          </w:p>
        </w:tc>
        <w:tc>
          <w:tcPr>
            <w:tcW w:w="7715" w:type="dxa"/>
            <w:gridSpan w:val="2"/>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依托现厂区</w:t>
            </w:r>
            <w:r>
              <w:rPr>
                <w:rFonts w:ascii="Times New Roman" w:hAnsi="Times New Roman"/>
                <w:szCs w:val="21"/>
              </w:rPr>
              <w:t>2</w:t>
            </w:r>
            <w:r>
              <w:rPr>
                <w:rFonts w:ascii="Times New Roman" w:hAnsi="Times New Roman"/>
                <w:szCs w:val="21"/>
              </w:rPr>
              <w:t>座</w:t>
            </w:r>
            <w:r>
              <w:rPr>
                <w:rFonts w:ascii="Times New Roman" w:hAnsi="Times New Roman"/>
                <w:szCs w:val="21"/>
              </w:rPr>
              <w:t>2600m</w:t>
            </w:r>
            <w:r>
              <w:rPr>
                <w:rFonts w:ascii="Times New Roman" w:hAnsi="Times New Roman"/>
                <w:szCs w:val="21"/>
                <w:vertAlign w:val="superscript"/>
              </w:rPr>
              <w:t>3</w:t>
            </w:r>
            <w:r>
              <w:rPr>
                <w:rFonts w:ascii="Times New Roman" w:hAnsi="Times New Roman"/>
                <w:szCs w:val="21"/>
              </w:rPr>
              <w:t>事故水池</w:t>
            </w:r>
          </w:p>
        </w:tc>
        <w:tc>
          <w:tcPr>
            <w:tcW w:w="174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完全依托</w:t>
            </w:r>
          </w:p>
        </w:tc>
        <w:tc>
          <w:tcPr>
            <w:tcW w:w="128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依托</w:t>
            </w:r>
          </w:p>
        </w:tc>
      </w:tr>
      <w:tr w:rsidR="00525419">
        <w:trPr>
          <w:trHeight w:val="227"/>
          <w:jc w:val="center"/>
        </w:trPr>
        <w:tc>
          <w:tcPr>
            <w:tcW w:w="675" w:type="dxa"/>
            <w:vMerge/>
            <w:tcBorders>
              <w:tl2br w:val="nil"/>
              <w:tr2bl w:val="nil"/>
            </w:tcBorders>
            <w:vAlign w:val="center"/>
          </w:tcPr>
          <w:p w:rsidR="00525419" w:rsidRDefault="00525419">
            <w:pPr>
              <w:spacing w:line="240" w:lineRule="atLeast"/>
              <w:rPr>
                <w:rFonts w:ascii="Times New Roman" w:hAnsi="Times New Roman"/>
                <w:szCs w:val="21"/>
              </w:rPr>
            </w:pPr>
          </w:p>
        </w:tc>
        <w:tc>
          <w:tcPr>
            <w:tcW w:w="2410" w:type="dxa"/>
            <w:gridSpan w:val="2"/>
            <w:tcBorders>
              <w:tl2br w:val="nil"/>
              <w:tr2bl w:val="nil"/>
            </w:tcBorders>
            <w:vAlign w:val="center"/>
          </w:tcPr>
          <w:p w:rsidR="00525419" w:rsidRDefault="00EE1CF7">
            <w:pPr>
              <w:pStyle w:val="1f7"/>
              <w:spacing w:line="240" w:lineRule="atLeast"/>
              <w:ind w:firstLineChars="0" w:firstLine="0"/>
              <w:jc w:val="both"/>
              <w:rPr>
                <w:sz w:val="21"/>
                <w:szCs w:val="21"/>
              </w:rPr>
            </w:pPr>
            <w:r>
              <w:rPr>
                <w:sz w:val="21"/>
                <w:szCs w:val="21"/>
              </w:rPr>
              <w:t>无组织非甲烷总烃</w:t>
            </w:r>
          </w:p>
        </w:tc>
        <w:tc>
          <w:tcPr>
            <w:tcW w:w="7715" w:type="dxa"/>
            <w:gridSpan w:val="2"/>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依托现厂区</w:t>
            </w:r>
            <w:r>
              <w:rPr>
                <w:rFonts w:ascii="Times New Roman" w:hAnsi="Times New Roman"/>
                <w:szCs w:val="21"/>
              </w:rPr>
              <w:t>3</w:t>
            </w:r>
            <w:r>
              <w:rPr>
                <w:rFonts w:ascii="Times New Roman" w:hAnsi="Times New Roman"/>
                <w:szCs w:val="21"/>
              </w:rPr>
              <w:t>套油气回收装置，处理规模分别为</w:t>
            </w:r>
            <w:r>
              <w:rPr>
                <w:rFonts w:ascii="Times New Roman" w:hAnsi="Times New Roman"/>
                <w:szCs w:val="21"/>
              </w:rPr>
              <w:t>400m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w:t>
            </w:r>
            <w:r>
              <w:rPr>
                <w:rFonts w:ascii="Times New Roman" w:hAnsi="Times New Roman"/>
                <w:szCs w:val="21"/>
              </w:rPr>
              <w:t>2000m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w:t>
            </w:r>
            <w:r>
              <w:rPr>
                <w:rFonts w:ascii="Times New Roman" w:hAnsi="Times New Roman"/>
                <w:szCs w:val="21"/>
              </w:rPr>
              <w:t>900m</w:t>
            </w:r>
            <w:r>
              <w:rPr>
                <w:rFonts w:ascii="Times New Roman" w:hAnsi="Times New Roman"/>
                <w:szCs w:val="21"/>
                <w:vertAlign w:val="superscript"/>
              </w:rPr>
              <w:t>3</w:t>
            </w:r>
            <w:r>
              <w:rPr>
                <w:rFonts w:ascii="Times New Roman" w:hAnsi="Times New Roman"/>
                <w:szCs w:val="21"/>
              </w:rPr>
              <w:t>/h</w:t>
            </w:r>
          </w:p>
        </w:tc>
        <w:tc>
          <w:tcPr>
            <w:tcW w:w="174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完全依托</w:t>
            </w:r>
          </w:p>
        </w:tc>
        <w:tc>
          <w:tcPr>
            <w:tcW w:w="128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依托</w:t>
            </w:r>
          </w:p>
        </w:tc>
      </w:tr>
      <w:tr w:rsidR="00525419">
        <w:trPr>
          <w:trHeight w:val="316"/>
          <w:jc w:val="center"/>
        </w:trPr>
        <w:tc>
          <w:tcPr>
            <w:tcW w:w="675" w:type="dxa"/>
            <w:vMerge/>
            <w:tcBorders>
              <w:tl2br w:val="nil"/>
              <w:tr2bl w:val="nil"/>
            </w:tcBorders>
            <w:vAlign w:val="center"/>
          </w:tcPr>
          <w:p w:rsidR="00525419" w:rsidRDefault="00525419">
            <w:pPr>
              <w:spacing w:line="240" w:lineRule="atLeast"/>
              <w:rPr>
                <w:rFonts w:ascii="Times New Roman" w:hAnsi="Times New Roman"/>
                <w:szCs w:val="21"/>
              </w:rPr>
            </w:pPr>
          </w:p>
        </w:tc>
        <w:tc>
          <w:tcPr>
            <w:tcW w:w="2410" w:type="dxa"/>
            <w:gridSpan w:val="2"/>
            <w:tcBorders>
              <w:tl2br w:val="nil"/>
              <w:tr2bl w:val="nil"/>
            </w:tcBorders>
            <w:vAlign w:val="center"/>
          </w:tcPr>
          <w:p w:rsidR="00525419" w:rsidRDefault="00EE1CF7">
            <w:pPr>
              <w:pStyle w:val="1f7"/>
              <w:spacing w:line="240" w:lineRule="atLeast"/>
              <w:ind w:firstLineChars="0" w:firstLine="0"/>
              <w:jc w:val="both"/>
              <w:outlineLvl w:val="9"/>
              <w:rPr>
                <w:sz w:val="21"/>
                <w:szCs w:val="21"/>
              </w:rPr>
            </w:pPr>
            <w:r>
              <w:rPr>
                <w:sz w:val="21"/>
                <w:szCs w:val="21"/>
              </w:rPr>
              <w:t>其它</w:t>
            </w:r>
          </w:p>
        </w:tc>
        <w:tc>
          <w:tcPr>
            <w:tcW w:w="7715" w:type="dxa"/>
            <w:gridSpan w:val="2"/>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检修、维修；化验、行政及生活设施</w:t>
            </w:r>
          </w:p>
        </w:tc>
        <w:tc>
          <w:tcPr>
            <w:tcW w:w="1742"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完全依托</w:t>
            </w:r>
          </w:p>
        </w:tc>
        <w:tc>
          <w:tcPr>
            <w:tcW w:w="128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依托</w:t>
            </w:r>
          </w:p>
        </w:tc>
      </w:tr>
    </w:tbl>
    <w:p w:rsidR="00525419" w:rsidRDefault="00525419">
      <w:pPr>
        <w:rPr>
          <w:rFonts w:ascii="Times New Roman" w:hAnsi="Times New Roman"/>
        </w:rPr>
        <w:sectPr w:rsidR="00525419">
          <w:pgSz w:w="16838" w:h="11906" w:orient="landscape"/>
          <w:pgMar w:top="1797" w:right="1440" w:bottom="1797" w:left="1440" w:header="851" w:footer="992" w:gutter="0"/>
          <w:cols w:space="425"/>
          <w:docGrid w:type="linesAndChars" w:linePitch="312"/>
        </w:sectPr>
      </w:pP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lastRenderedPageBreak/>
        <w:t>3.3.2.1</w:t>
      </w:r>
      <w:r>
        <w:rPr>
          <w:rFonts w:ascii="Times New Roman" w:hAnsi="Times New Roman" w:cs="Times New Roman"/>
          <w:kern w:val="44"/>
          <w:sz w:val="24"/>
          <w:szCs w:val="24"/>
        </w:rPr>
        <w:t>主体工程</w:t>
      </w:r>
    </w:p>
    <w:p w:rsidR="00525419" w:rsidRDefault="00EE1CF7">
      <w:pPr>
        <w:adjustRightInd w:val="0"/>
        <w:snapToGrid w:val="0"/>
        <w:spacing w:line="360" w:lineRule="auto"/>
        <w:ind w:firstLineChars="200" w:firstLine="480"/>
        <w:rPr>
          <w:rFonts w:ascii="Times New Roman" w:hAnsi="Times New Roman"/>
          <w:sz w:val="24"/>
          <w:szCs w:val="28"/>
        </w:rPr>
      </w:pPr>
      <w:r>
        <w:rPr>
          <w:rFonts w:ascii="Times New Roman" w:hAnsi="Times New Roman"/>
          <w:sz w:val="24"/>
          <w:szCs w:val="28"/>
        </w:rPr>
        <w:t>变更后本项目建设煤焦油加氢装置（包括</w:t>
      </w:r>
      <w:r>
        <w:rPr>
          <w:rFonts w:ascii="Times New Roman" w:hAnsi="Times New Roman" w:hint="eastAsia"/>
          <w:sz w:val="24"/>
          <w:szCs w:val="28"/>
        </w:rPr>
        <w:t>煤焦油</w:t>
      </w:r>
      <w:r>
        <w:rPr>
          <w:rFonts w:ascii="Times New Roman" w:hAnsi="Times New Roman"/>
          <w:sz w:val="24"/>
          <w:szCs w:val="28"/>
        </w:rPr>
        <w:t>加氢精制、加氢裂化和气体脱硫</w:t>
      </w:r>
      <w:r>
        <w:rPr>
          <w:rFonts w:ascii="Times New Roman" w:hAnsi="Times New Roman" w:hint="eastAsia"/>
          <w:sz w:val="24"/>
          <w:szCs w:val="28"/>
        </w:rPr>
        <w:t>、分馏</w:t>
      </w:r>
      <w:r>
        <w:rPr>
          <w:rFonts w:ascii="Times New Roman" w:hAnsi="Times New Roman"/>
          <w:sz w:val="24"/>
          <w:szCs w:val="28"/>
        </w:rPr>
        <w:t>部分等</w:t>
      </w:r>
      <w:r>
        <w:rPr>
          <w:rFonts w:ascii="Times New Roman" w:hAnsi="Times New Roman" w:hint="eastAsia"/>
          <w:sz w:val="24"/>
          <w:szCs w:val="28"/>
        </w:rPr>
        <w:t>）</w:t>
      </w:r>
      <w:r>
        <w:rPr>
          <w:rFonts w:ascii="Times New Roman" w:hAnsi="Times New Roman"/>
          <w:sz w:val="24"/>
          <w:szCs w:val="28"/>
        </w:rPr>
        <w:t>、天然气制氢装置</w:t>
      </w:r>
      <w:r>
        <w:rPr>
          <w:rFonts w:ascii="Times New Roman" w:hAnsi="Times New Roman" w:hint="eastAsia"/>
          <w:sz w:val="24"/>
          <w:szCs w:val="28"/>
        </w:rPr>
        <w:t>（包括</w:t>
      </w:r>
      <w:r>
        <w:rPr>
          <w:rFonts w:ascii="Times New Roman" w:hAnsi="Times New Roman"/>
          <w:sz w:val="24"/>
          <w:szCs w:val="28"/>
        </w:rPr>
        <w:t>脱硫部分、转化部分、变换部分和</w:t>
      </w:r>
      <w:r>
        <w:rPr>
          <w:rFonts w:ascii="Times New Roman" w:hAnsi="Times New Roman"/>
          <w:sz w:val="24"/>
          <w:szCs w:val="28"/>
        </w:rPr>
        <w:t>PSA</w:t>
      </w:r>
      <w:r>
        <w:rPr>
          <w:rFonts w:ascii="Times New Roman" w:hAnsi="Times New Roman"/>
          <w:sz w:val="24"/>
          <w:szCs w:val="28"/>
        </w:rPr>
        <w:t>部分等</w:t>
      </w:r>
      <w:r>
        <w:rPr>
          <w:rFonts w:ascii="Times New Roman" w:hAnsi="Times New Roman" w:hint="eastAsia"/>
          <w:sz w:val="24"/>
          <w:szCs w:val="28"/>
        </w:rPr>
        <w:t>）</w:t>
      </w:r>
      <w:r>
        <w:rPr>
          <w:rFonts w:ascii="Times New Roman" w:hAnsi="Times New Roman"/>
          <w:sz w:val="24"/>
          <w:szCs w:val="28"/>
        </w:rPr>
        <w:t>、配套硫磺回收装置（包括酸性水汽提单元、溶剂再生单元及硫磺回收单元）。</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3.3.2.2</w:t>
      </w:r>
      <w:r>
        <w:rPr>
          <w:rFonts w:ascii="Times New Roman" w:hAnsi="Times New Roman" w:cs="Times New Roman"/>
          <w:kern w:val="44"/>
          <w:sz w:val="24"/>
          <w:szCs w:val="24"/>
        </w:rPr>
        <w:t>公用工程及辅助工程</w:t>
      </w:r>
    </w:p>
    <w:p w:rsidR="00525419" w:rsidRDefault="00EE1CF7">
      <w:pPr>
        <w:adjustRightInd w:val="0"/>
        <w:snapToGrid w:val="0"/>
        <w:spacing w:line="440" w:lineRule="exact"/>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）给排水</w:t>
      </w:r>
    </w:p>
    <w:p w:rsidR="00525419" w:rsidRDefault="00EE1CF7">
      <w:pPr>
        <w:adjustRightInd w:val="0"/>
        <w:snapToGrid w:val="0"/>
        <w:spacing w:line="440" w:lineRule="exact"/>
        <w:ind w:firstLineChars="200" w:firstLine="480"/>
        <w:rPr>
          <w:rFonts w:ascii="Times New Roman" w:hAnsi="Times New Roman"/>
          <w:sz w:val="24"/>
        </w:rPr>
      </w:pPr>
      <w:r>
        <w:rPr>
          <w:rFonts w:ascii="Times New Roman" w:hAnsi="Times New Roman"/>
          <w:sz w:val="24"/>
        </w:rPr>
        <w:t>①</w:t>
      </w:r>
      <w:r>
        <w:rPr>
          <w:rFonts w:ascii="Times New Roman" w:hAnsi="Times New Roman"/>
          <w:sz w:val="24"/>
        </w:rPr>
        <w:t>给水</w:t>
      </w:r>
    </w:p>
    <w:p w:rsidR="00525419" w:rsidRDefault="00EE1CF7">
      <w:pPr>
        <w:adjustRightInd w:val="0"/>
        <w:snapToGrid w:val="0"/>
        <w:spacing w:line="440" w:lineRule="exact"/>
        <w:ind w:firstLineChars="200" w:firstLine="480"/>
        <w:rPr>
          <w:rFonts w:ascii="Times New Roman" w:hAnsi="Times New Roman"/>
          <w:sz w:val="24"/>
        </w:rPr>
      </w:pPr>
      <w:r>
        <w:rPr>
          <w:rFonts w:ascii="Times New Roman" w:hAnsi="Times New Roman"/>
          <w:sz w:val="24"/>
        </w:rPr>
        <w:t>▲</w:t>
      </w:r>
      <w:r>
        <w:rPr>
          <w:rFonts w:ascii="Times New Roman" w:hAnsi="Times New Roman"/>
          <w:sz w:val="24"/>
        </w:rPr>
        <w:t>新鲜水</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新疆美汇特石化产品有限公司厂区现供水管线外接园区管网</w:t>
      </w:r>
      <w:r>
        <w:rPr>
          <w:rFonts w:ascii="Times New Roman" w:hAnsi="Times New Roman"/>
          <w:sz w:val="24"/>
        </w:rPr>
        <w:t>DN150</w:t>
      </w:r>
      <w:r>
        <w:rPr>
          <w:rFonts w:ascii="Times New Roman" w:hAnsi="Times New Roman"/>
          <w:sz w:val="24"/>
        </w:rPr>
        <w:t>，本项目新增新鲜水用量为最大</w:t>
      </w:r>
      <w:r>
        <w:rPr>
          <w:rFonts w:ascii="Times New Roman" w:hAnsi="Times New Roman" w:hint="eastAsia"/>
          <w:sz w:val="24"/>
        </w:rPr>
        <w:t>50.65</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/h</w:t>
      </w:r>
      <w:r>
        <w:rPr>
          <w:rFonts w:ascii="Times New Roman" w:hAnsi="Times New Roman" w:hint="eastAsia"/>
          <w:sz w:val="24"/>
        </w:rPr>
        <w:t>，</w:t>
      </w:r>
      <w:r>
        <w:rPr>
          <w:rFonts w:ascii="Times New Roman" w:hAnsi="Times New Roman"/>
          <w:sz w:val="24"/>
        </w:rPr>
        <w:t>能够满足本项目的需要。厂内深水泵井管径</w:t>
      </w:r>
      <w:r>
        <w:rPr>
          <w:rFonts w:ascii="Times New Roman" w:hAnsi="Times New Roman"/>
          <w:sz w:val="24"/>
        </w:rPr>
        <w:t>DN100</w:t>
      </w:r>
      <w:r>
        <w:rPr>
          <w:rFonts w:ascii="Times New Roman" w:hAnsi="Times New Roman" w:hint="eastAsia"/>
          <w:sz w:val="24"/>
        </w:rPr>
        <w:t>、</w:t>
      </w:r>
      <w:r>
        <w:rPr>
          <w:rFonts w:ascii="Times New Roman" w:hAnsi="Times New Roman"/>
          <w:sz w:val="24"/>
        </w:rPr>
        <w:t>流量</w:t>
      </w:r>
      <w:r>
        <w:rPr>
          <w:rFonts w:ascii="Times New Roman" w:hAnsi="Times New Roman" w:hint="eastAsia"/>
          <w:sz w:val="24"/>
        </w:rPr>
        <w:t>100</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/h</w:t>
      </w:r>
      <w:r>
        <w:rPr>
          <w:rFonts w:ascii="Times New Roman" w:hAnsi="Times New Roman" w:hint="eastAsia"/>
          <w:sz w:val="24"/>
        </w:rPr>
        <w:t>，</w:t>
      </w:r>
      <w:r>
        <w:rPr>
          <w:rFonts w:ascii="Times New Roman" w:hAnsi="Times New Roman"/>
          <w:sz w:val="24"/>
        </w:rPr>
        <w:t>作为市政管网停水及</w:t>
      </w:r>
      <w:r>
        <w:rPr>
          <w:rFonts w:ascii="Times New Roman" w:hAnsi="Times New Roman" w:hint="eastAsia"/>
          <w:sz w:val="24"/>
        </w:rPr>
        <w:t>应急补充用水。</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本</w:t>
      </w:r>
      <w:r>
        <w:rPr>
          <w:rFonts w:ascii="Times New Roman" w:hAnsi="Times New Roman" w:hint="eastAsia"/>
          <w:sz w:val="24"/>
        </w:rPr>
        <w:t>项目</w:t>
      </w:r>
      <w:r>
        <w:rPr>
          <w:rFonts w:ascii="Times New Roman" w:hAnsi="Times New Roman"/>
          <w:sz w:val="24"/>
        </w:rPr>
        <w:t>新鲜用水依托新疆美汇特石化产品有限公司厂区已建供水设施。</w:t>
      </w:r>
    </w:p>
    <w:p w:rsidR="00525419" w:rsidRDefault="00EE1CF7">
      <w:pPr>
        <w:adjustRightInd w:val="0"/>
        <w:snapToGrid w:val="0"/>
        <w:spacing w:line="440" w:lineRule="exact"/>
        <w:ind w:firstLineChars="200" w:firstLine="480"/>
        <w:rPr>
          <w:rFonts w:ascii="Times New Roman" w:hAnsi="Times New Roman"/>
          <w:sz w:val="24"/>
        </w:rPr>
      </w:pPr>
      <w:r>
        <w:rPr>
          <w:rFonts w:ascii="Times New Roman" w:hAnsi="Times New Roman"/>
          <w:sz w:val="24"/>
        </w:rPr>
        <w:t>▲</w:t>
      </w:r>
      <w:r>
        <w:rPr>
          <w:rFonts w:ascii="Times New Roman" w:hAnsi="Times New Roman"/>
          <w:sz w:val="24"/>
        </w:rPr>
        <w:t>脱盐水</w:t>
      </w:r>
    </w:p>
    <w:p w:rsidR="00525419" w:rsidRDefault="00EE1CF7">
      <w:pPr>
        <w:adjustRightInd w:val="0"/>
        <w:snapToGrid w:val="0"/>
        <w:spacing w:line="440" w:lineRule="exact"/>
        <w:ind w:firstLineChars="200" w:firstLine="480"/>
        <w:rPr>
          <w:rFonts w:ascii="Times New Roman" w:hAnsi="Times New Roman"/>
          <w:sz w:val="24"/>
          <w:szCs w:val="24"/>
        </w:rPr>
      </w:pPr>
      <w:r>
        <w:rPr>
          <w:rFonts w:ascii="Times New Roman" w:hAnsi="Times New Roman"/>
          <w:sz w:val="24"/>
        </w:rPr>
        <w:t>新疆美汇特石化产品有限公司厂区现工程脱盐水系统，</w:t>
      </w:r>
      <w:r>
        <w:rPr>
          <w:rFonts w:ascii="Times New Roman" w:hAnsi="Times New Roman"/>
          <w:sz w:val="24"/>
          <w:szCs w:val="24"/>
        </w:rPr>
        <w:t>设计规模</w:t>
      </w:r>
      <w:r>
        <w:rPr>
          <w:rFonts w:ascii="Times New Roman" w:hAnsi="Times New Roman"/>
          <w:sz w:val="24"/>
          <w:szCs w:val="24"/>
        </w:rPr>
        <w:t>2×40m</w:t>
      </w:r>
      <w:r>
        <w:rPr>
          <w:rFonts w:ascii="Times New Roman" w:hAnsi="Times New Roman"/>
          <w:sz w:val="24"/>
          <w:szCs w:val="24"/>
          <w:vertAlign w:val="superscript"/>
        </w:rPr>
        <w:t>3</w:t>
      </w:r>
      <w:r>
        <w:rPr>
          <w:rFonts w:ascii="Times New Roman" w:hAnsi="Times New Roman"/>
          <w:sz w:val="24"/>
          <w:szCs w:val="24"/>
        </w:rPr>
        <w:t>/h</w:t>
      </w:r>
      <w:r>
        <w:rPr>
          <w:rFonts w:ascii="Times New Roman" w:hAnsi="Times New Roman"/>
          <w:sz w:val="24"/>
          <w:szCs w:val="24"/>
        </w:rPr>
        <w:t>。脱盐水制备采用介质过滤</w:t>
      </w:r>
      <w:r>
        <w:rPr>
          <w:rFonts w:ascii="Times New Roman" w:hAnsi="Times New Roman"/>
          <w:sz w:val="24"/>
          <w:szCs w:val="24"/>
        </w:rPr>
        <w:t>+</w:t>
      </w:r>
      <w:r w:rsidR="00BF584C">
        <w:rPr>
          <w:rFonts w:ascii="Times New Roman" w:hAnsi="Times New Roman"/>
          <w:sz w:val="24"/>
          <w:szCs w:val="24"/>
        </w:rPr>
        <w:t>活性</w:t>
      </w:r>
      <w:r w:rsidR="00BF584C">
        <w:rPr>
          <w:rFonts w:ascii="Times New Roman" w:hAnsi="Times New Roman" w:hint="eastAsia"/>
          <w:sz w:val="24"/>
          <w:szCs w:val="24"/>
        </w:rPr>
        <w:t>炭</w:t>
      </w:r>
      <w:r>
        <w:rPr>
          <w:rFonts w:ascii="Times New Roman" w:hAnsi="Times New Roman"/>
          <w:sz w:val="24"/>
          <w:szCs w:val="24"/>
        </w:rPr>
        <w:t>过滤</w:t>
      </w:r>
      <w:r>
        <w:rPr>
          <w:rFonts w:ascii="Times New Roman" w:hAnsi="Times New Roman"/>
          <w:sz w:val="24"/>
          <w:szCs w:val="24"/>
        </w:rPr>
        <w:t>+</w:t>
      </w:r>
      <w:r>
        <w:rPr>
          <w:rFonts w:ascii="Times New Roman" w:hAnsi="Times New Roman"/>
          <w:sz w:val="24"/>
          <w:szCs w:val="24"/>
        </w:rPr>
        <w:t>保安过滤</w:t>
      </w:r>
      <w:r>
        <w:rPr>
          <w:rFonts w:ascii="Times New Roman" w:hAnsi="Times New Roman"/>
          <w:sz w:val="24"/>
          <w:szCs w:val="24"/>
        </w:rPr>
        <w:t>+</w:t>
      </w:r>
      <w:r>
        <w:rPr>
          <w:rFonts w:ascii="Times New Roman" w:hAnsi="Times New Roman"/>
          <w:sz w:val="24"/>
          <w:szCs w:val="24"/>
        </w:rPr>
        <w:t>反渗透除盐系统</w:t>
      </w:r>
      <w:r>
        <w:rPr>
          <w:rFonts w:ascii="Times New Roman" w:hAnsi="Times New Roman"/>
          <w:sz w:val="24"/>
          <w:szCs w:val="24"/>
        </w:rPr>
        <w:t>+</w:t>
      </w:r>
      <w:r>
        <w:rPr>
          <w:rFonts w:ascii="Times New Roman" w:hAnsi="Times New Roman"/>
          <w:sz w:val="24"/>
          <w:szCs w:val="24"/>
        </w:rPr>
        <w:t>混床工艺。</w:t>
      </w:r>
    </w:p>
    <w:p w:rsidR="00525419" w:rsidRDefault="00EE1CF7">
      <w:pPr>
        <w:adjustRightInd w:val="0"/>
        <w:snapToGrid w:val="0"/>
        <w:spacing w:line="440" w:lineRule="exact"/>
        <w:ind w:firstLineChars="200" w:firstLine="480"/>
        <w:rPr>
          <w:rFonts w:ascii="Times New Roman" w:hAnsi="Times New Roman"/>
          <w:sz w:val="24"/>
          <w:szCs w:val="24"/>
        </w:rPr>
      </w:pPr>
      <w:r>
        <w:rPr>
          <w:rFonts w:ascii="Times New Roman" w:hAnsi="Times New Roman" w:hint="eastAsia"/>
          <w:sz w:val="24"/>
          <w:szCs w:val="24"/>
        </w:rPr>
        <w:t>本项目</w:t>
      </w:r>
      <w:r>
        <w:rPr>
          <w:rFonts w:ascii="Times New Roman" w:hAnsi="Times New Roman"/>
          <w:sz w:val="24"/>
          <w:szCs w:val="24"/>
        </w:rPr>
        <w:t>脱盐水消耗量为</w:t>
      </w:r>
      <w:r>
        <w:rPr>
          <w:rFonts w:ascii="Times New Roman" w:hAnsi="Times New Roman"/>
          <w:sz w:val="24"/>
          <w:szCs w:val="24"/>
        </w:rPr>
        <w:t>43m</w:t>
      </w:r>
      <w:r>
        <w:rPr>
          <w:rFonts w:ascii="Times New Roman" w:hAnsi="Times New Roman"/>
          <w:sz w:val="24"/>
          <w:szCs w:val="24"/>
          <w:vertAlign w:val="superscript"/>
        </w:rPr>
        <w:t>3</w:t>
      </w:r>
      <w:r>
        <w:rPr>
          <w:rFonts w:ascii="Times New Roman" w:hAnsi="Times New Roman"/>
          <w:sz w:val="24"/>
          <w:szCs w:val="24"/>
        </w:rPr>
        <w:t>/h</w:t>
      </w:r>
      <w:r>
        <w:rPr>
          <w:rFonts w:ascii="Times New Roman" w:hAnsi="Times New Roman"/>
          <w:sz w:val="24"/>
          <w:szCs w:val="24"/>
        </w:rPr>
        <w:t>，</w:t>
      </w:r>
      <w:r>
        <w:rPr>
          <w:rFonts w:ascii="Times New Roman" w:hAnsi="Times New Roman" w:hint="eastAsia"/>
          <w:sz w:val="24"/>
          <w:szCs w:val="24"/>
        </w:rPr>
        <w:t>考虑后期的扩产，本项目新建</w:t>
      </w:r>
      <w:r>
        <w:rPr>
          <w:rFonts w:ascii="Times New Roman" w:hAnsi="Times New Roman"/>
          <w:sz w:val="24"/>
          <w:szCs w:val="24"/>
        </w:rPr>
        <w:t>规模</w:t>
      </w:r>
      <w:r>
        <w:rPr>
          <w:rFonts w:ascii="Times New Roman" w:hAnsi="Times New Roman"/>
          <w:sz w:val="24"/>
          <w:szCs w:val="24"/>
        </w:rPr>
        <w:t>100m</w:t>
      </w:r>
      <w:r>
        <w:rPr>
          <w:rFonts w:ascii="Times New Roman" w:hAnsi="Times New Roman"/>
          <w:sz w:val="24"/>
          <w:szCs w:val="24"/>
          <w:vertAlign w:val="superscript"/>
        </w:rPr>
        <w:t>3</w:t>
      </w:r>
      <w:r>
        <w:rPr>
          <w:rFonts w:ascii="Times New Roman" w:hAnsi="Times New Roman"/>
          <w:sz w:val="24"/>
          <w:szCs w:val="24"/>
        </w:rPr>
        <w:t>/h</w:t>
      </w:r>
      <w:r>
        <w:rPr>
          <w:rFonts w:ascii="Times New Roman" w:hAnsi="Times New Roman"/>
          <w:sz w:val="24"/>
          <w:szCs w:val="24"/>
        </w:rPr>
        <w:t>脱盐水系统，采用</w:t>
      </w:r>
      <w:r>
        <w:rPr>
          <w:rFonts w:ascii="Times New Roman" w:hAnsi="Times New Roman"/>
          <w:sz w:val="24"/>
          <w:szCs w:val="24"/>
        </w:rPr>
        <w:t>“</w:t>
      </w:r>
      <w:r>
        <w:rPr>
          <w:rFonts w:ascii="Times New Roman" w:hAnsi="Times New Roman"/>
          <w:sz w:val="24"/>
          <w:szCs w:val="24"/>
        </w:rPr>
        <w:t>多介质过滤器</w:t>
      </w:r>
      <w:r>
        <w:rPr>
          <w:rFonts w:ascii="Times New Roman" w:hAnsi="Times New Roman"/>
          <w:sz w:val="24"/>
          <w:szCs w:val="24"/>
        </w:rPr>
        <w:t>+</w:t>
      </w:r>
      <w:r>
        <w:rPr>
          <w:rFonts w:ascii="Times New Roman" w:hAnsi="Times New Roman"/>
          <w:sz w:val="24"/>
          <w:szCs w:val="24"/>
        </w:rPr>
        <w:t>反渗透膜</w:t>
      </w:r>
      <w:r>
        <w:rPr>
          <w:rFonts w:ascii="Times New Roman" w:hAnsi="Times New Roman"/>
          <w:sz w:val="24"/>
          <w:szCs w:val="24"/>
        </w:rPr>
        <w:t>+</w:t>
      </w:r>
      <w:r>
        <w:rPr>
          <w:rFonts w:ascii="Times New Roman" w:hAnsi="Times New Roman"/>
          <w:sz w:val="24"/>
          <w:szCs w:val="24"/>
        </w:rPr>
        <w:t>混床</w:t>
      </w:r>
      <w:r>
        <w:rPr>
          <w:rFonts w:ascii="Times New Roman" w:hAnsi="Times New Roman"/>
          <w:sz w:val="24"/>
          <w:szCs w:val="24"/>
        </w:rPr>
        <w:t>”</w:t>
      </w:r>
      <w:r>
        <w:rPr>
          <w:rFonts w:ascii="Times New Roman" w:hAnsi="Times New Roman"/>
          <w:sz w:val="24"/>
          <w:szCs w:val="24"/>
        </w:rPr>
        <w:t>技术除盐，</w:t>
      </w:r>
      <w:r>
        <w:rPr>
          <w:rFonts w:ascii="Times New Roman" w:hAnsi="Times New Roman" w:hint="eastAsia"/>
          <w:sz w:val="24"/>
          <w:szCs w:val="24"/>
        </w:rPr>
        <w:t>后期</w:t>
      </w:r>
      <w:r>
        <w:rPr>
          <w:rFonts w:ascii="Times New Roman" w:hAnsi="Times New Roman"/>
          <w:snapToGrid w:val="0"/>
          <w:kern w:val="0"/>
          <w:sz w:val="24"/>
          <w:szCs w:val="24"/>
        </w:rPr>
        <w:t>脱盐水系统富裕</w:t>
      </w:r>
      <w:r>
        <w:rPr>
          <w:rFonts w:ascii="Times New Roman" w:hAnsi="Times New Roman"/>
          <w:snapToGrid w:val="0"/>
          <w:kern w:val="0"/>
          <w:sz w:val="24"/>
          <w:szCs w:val="24"/>
        </w:rPr>
        <w:t>57m</w:t>
      </w:r>
      <w:r>
        <w:rPr>
          <w:rFonts w:ascii="Times New Roman" w:hAnsi="Times New Roman"/>
          <w:snapToGrid w:val="0"/>
          <w:kern w:val="0"/>
          <w:sz w:val="24"/>
          <w:szCs w:val="24"/>
          <w:vertAlign w:val="superscript"/>
        </w:rPr>
        <w:t>3</w:t>
      </w:r>
      <w:r>
        <w:rPr>
          <w:rFonts w:ascii="Times New Roman" w:hAnsi="Times New Roman"/>
          <w:snapToGrid w:val="0"/>
          <w:kern w:val="0"/>
          <w:sz w:val="24"/>
          <w:szCs w:val="24"/>
        </w:rPr>
        <w:t>/h</w:t>
      </w:r>
      <w:r>
        <w:rPr>
          <w:rFonts w:ascii="Times New Roman" w:hAnsi="Times New Roman"/>
          <w:sz w:val="24"/>
          <w:szCs w:val="24"/>
        </w:rPr>
        <w:t>。</w:t>
      </w:r>
    </w:p>
    <w:p w:rsidR="00525419" w:rsidRDefault="00EE1CF7">
      <w:pPr>
        <w:adjustRightInd w:val="0"/>
        <w:snapToGrid w:val="0"/>
        <w:spacing w:line="440" w:lineRule="exact"/>
        <w:ind w:firstLineChars="200" w:firstLine="480"/>
        <w:rPr>
          <w:rFonts w:ascii="Times New Roman" w:hAnsi="Times New Roman"/>
          <w:sz w:val="24"/>
        </w:rPr>
      </w:pPr>
      <w:r>
        <w:rPr>
          <w:rFonts w:ascii="Times New Roman" w:hAnsi="Times New Roman"/>
          <w:sz w:val="24"/>
        </w:rPr>
        <w:t>▲</w:t>
      </w:r>
      <w:r>
        <w:rPr>
          <w:rFonts w:ascii="Times New Roman" w:hAnsi="Times New Roman"/>
          <w:sz w:val="24"/>
        </w:rPr>
        <w:t>循环水</w:t>
      </w:r>
    </w:p>
    <w:p w:rsidR="00525419" w:rsidRDefault="00EE1CF7">
      <w:pPr>
        <w:spacing w:line="440" w:lineRule="exact"/>
        <w:ind w:firstLineChars="200" w:firstLine="480"/>
        <w:rPr>
          <w:rFonts w:ascii="Times New Roman" w:hAnsi="Times New Roman"/>
          <w:sz w:val="24"/>
          <w:szCs w:val="24"/>
        </w:rPr>
      </w:pPr>
      <w:r>
        <w:rPr>
          <w:rFonts w:ascii="Times New Roman" w:hAnsi="Times New Roman"/>
          <w:sz w:val="24"/>
        </w:rPr>
        <w:t>新疆美汇特石化产品有限公司厂区现工程建有闭路循环系统，循环热水自压回到凉水塔，经过冷却后循环使用。美汇特石化产品有限公司厂区现工程循环水系统</w:t>
      </w:r>
      <w:r>
        <w:rPr>
          <w:rFonts w:ascii="Times New Roman" w:hAnsi="Times New Roman"/>
          <w:snapToGrid w:val="0"/>
          <w:sz w:val="24"/>
          <w:szCs w:val="24"/>
        </w:rPr>
        <w:t>设计循环水泵循环水</w:t>
      </w:r>
      <w:r>
        <w:rPr>
          <w:rFonts w:ascii="Times New Roman" w:hAnsi="Times New Roman"/>
          <w:sz w:val="24"/>
        </w:rPr>
        <w:t>量</w:t>
      </w:r>
      <w:r>
        <w:rPr>
          <w:rFonts w:ascii="Times New Roman" w:hAnsi="Times New Roman"/>
          <w:sz w:val="24"/>
        </w:rPr>
        <w:t>4×1171m</w:t>
      </w:r>
      <w:r>
        <w:rPr>
          <w:rFonts w:ascii="Times New Roman" w:hAnsi="Times New Roman"/>
          <w:sz w:val="24"/>
          <w:vertAlign w:val="superscript"/>
        </w:rPr>
        <w:t>3</w:t>
      </w:r>
      <w:r>
        <w:rPr>
          <w:rFonts w:ascii="Times New Roman" w:hAnsi="Times New Roman"/>
          <w:sz w:val="24"/>
        </w:rPr>
        <w:t>/h</w:t>
      </w:r>
      <w:r>
        <w:rPr>
          <w:rFonts w:ascii="Times New Roman" w:hAnsi="Times New Roman"/>
          <w:sz w:val="24"/>
        </w:rPr>
        <w:t>，循环水池的循环水量</w:t>
      </w:r>
      <w:r>
        <w:rPr>
          <w:rFonts w:ascii="Times New Roman" w:hAnsi="Times New Roman"/>
          <w:sz w:val="24"/>
        </w:rPr>
        <w:t>1200m</w:t>
      </w:r>
      <w:r>
        <w:rPr>
          <w:rFonts w:ascii="Times New Roman" w:hAnsi="Times New Roman"/>
          <w:sz w:val="24"/>
          <w:vertAlign w:val="superscript"/>
        </w:rPr>
        <w:t>3</w:t>
      </w:r>
      <w:r>
        <w:rPr>
          <w:rFonts w:ascii="Times New Roman" w:hAnsi="Times New Roman"/>
          <w:sz w:val="24"/>
        </w:rPr>
        <w:t>/h</w:t>
      </w:r>
      <w:r>
        <w:rPr>
          <w:rFonts w:ascii="Times New Roman" w:hAnsi="Times New Roman"/>
          <w:sz w:val="24"/>
        </w:rPr>
        <w:t>。</w:t>
      </w:r>
    </w:p>
    <w:p w:rsidR="00525419" w:rsidRDefault="00EE1CF7">
      <w:pPr>
        <w:autoSpaceDE w:val="0"/>
        <w:autoSpaceDN w:val="0"/>
        <w:adjustRightInd w:val="0"/>
        <w:spacing w:line="440" w:lineRule="exact"/>
        <w:ind w:firstLineChars="200" w:firstLine="480"/>
        <w:jc w:val="left"/>
        <w:rPr>
          <w:rFonts w:ascii="Times New Roman" w:hAnsi="Times New Roman"/>
          <w:sz w:val="24"/>
          <w:szCs w:val="24"/>
        </w:rPr>
      </w:pPr>
      <w:r>
        <w:rPr>
          <w:rFonts w:ascii="Times New Roman" w:hAnsi="Times New Roman"/>
          <w:sz w:val="24"/>
        </w:rPr>
        <w:t>变更后本项目</w:t>
      </w:r>
      <w:r>
        <w:rPr>
          <w:rFonts w:ascii="Times New Roman" w:hAnsi="Times New Roman"/>
          <w:sz w:val="24"/>
          <w:szCs w:val="24"/>
        </w:rPr>
        <w:t>需循环水</w:t>
      </w:r>
      <w:r>
        <w:rPr>
          <w:rFonts w:ascii="Times New Roman" w:hAnsi="Times New Roman"/>
          <w:sz w:val="24"/>
          <w:szCs w:val="24"/>
        </w:rPr>
        <w:t>907m³/h</w:t>
      </w:r>
      <w:r>
        <w:rPr>
          <w:rFonts w:ascii="Times New Roman" w:hAnsi="Times New Roman"/>
          <w:sz w:val="24"/>
          <w:szCs w:val="24"/>
        </w:rPr>
        <w:t>。厂区现工程循环水系统无富裕量，</w:t>
      </w:r>
      <w:r>
        <w:rPr>
          <w:rFonts w:ascii="Times New Roman" w:hAnsi="Times New Roman" w:hint="eastAsia"/>
          <w:sz w:val="24"/>
          <w:szCs w:val="24"/>
        </w:rPr>
        <w:t>本项目</w:t>
      </w:r>
      <w:r>
        <w:rPr>
          <w:rFonts w:ascii="Times New Roman" w:hAnsi="Times New Roman"/>
          <w:sz w:val="24"/>
          <w:szCs w:val="24"/>
        </w:rPr>
        <w:t>对循环水系统进行扩建，</w:t>
      </w:r>
      <w:r>
        <w:rPr>
          <w:rFonts w:ascii="Times New Roman" w:hAnsi="Times New Roman"/>
          <w:snapToGrid w:val="0"/>
          <w:kern w:val="0"/>
          <w:sz w:val="24"/>
          <w:szCs w:val="24"/>
        </w:rPr>
        <w:t>需要扩建的循环水规模为：</w:t>
      </w:r>
      <w:r>
        <w:rPr>
          <w:rFonts w:ascii="Times New Roman" w:hAnsi="Times New Roman"/>
          <w:snapToGrid w:val="0"/>
          <w:kern w:val="0"/>
          <w:sz w:val="24"/>
          <w:szCs w:val="24"/>
        </w:rPr>
        <w:t>1000m</w:t>
      </w:r>
      <w:r>
        <w:rPr>
          <w:rFonts w:ascii="Times New Roman" w:hAnsi="Times New Roman"/>
          <w:snapToGrid w:val="0"/>
          <w:kern w:val="0"/>
          <w:sz w:val="24"/>
          <w:szCs w:val="24"/>
          <w:vertAlign w:val="superscript"/>
        </w:rPr>
        <w:t>3</w:t>
      </w:r>
      <w:r>
        <w:rPr>
          <w:rFonts w:ascii="Times New Roman" w:hAnsi="Times New Roman"/>
          <w:snapToGrid w:val="0"/>
          <w:kern w:val="0"/>
          <w:sz w:val="24"/>
          <w:szCs w:val="24"/>
        </w:rPr>
        <w:t>/h</w:t>
      </w:r>
      <w:r>
        <w:rPr>
          <w:rFonts w:ascii="Times New Roman" w:hAnsi="Times New Roman"/>
          <w:snapToGrid w:val="0"/>
          <w:kern w:val="0"/>
          <w:sz w:val="24"/>
          <w:szCs w:val="24"/>
        </w:rPr>
        <w:t>；硫磺回收联合装置自建</w:t>
      </w:r>
      <w:r>
        <w:rPr>
          <w:rFonts w:ascii="Times New Roman" w:hAnsi="Times New Roman"/>
          <w:snapToGrid w:val="0"/>
          <w:kern w:val="0"/>
          <w:sz w:val="24"/>
          <w:szCs w:val="24"/>
        </w:rPr>
        <w:t>500m</w:t>
      </w:r>
      <w:r>
        <w:rPr>
          <w:rFonts w:ascii="Times New Roman" w:hAnsi="Times New Roman"/>
          <w:snapToGrid w:val="0"/>
          <w:kern w:val="0"/>
          <w:sz w:val="24"/>
          <w:szCs w:val="24"/>
          <w:vertAlign w:val="superscript"/>
        </w:rPr>
        <w:t>3</w:t>
      </w:r>
      <w:r>
        <w:rPr>
          <w:rFonts w:ascii="Times New Roman" w:hAnsi="Times New Roman"/>
          <w:snapToGrid w:val="0"/>
          <w:kern w:val="0"/>
          <w:sz w:val="24"/>
          <w:szCs w:val="24"/>
        </w:rPr>
        <w:t>/h</w:t>
      </w:r>
      <w:r>
        <w:rPr>
          <w:rFonts w:ascii="Times New Roman" w:hAnsi="Times New Roman"/>
          <w:snapToGrid w:val="0"/>
          <w:kern w:val="0"/>
          <w:sz w:val="24"/>
          <w:szCs w:val="24"/>
        </w:rPr>
        <w:t>的循环水场。</w:t>
      </w:r>
    </w:p>
    <w:p w:rsidR="00525419" w:rsidRDefault="00EE1CF7">
      <w:pPr>
        <w:autoSpaceDE w:val="0"/>
        <w:autoSpaceDN w:val="0"/>
        <w:adjustRightInd w:val="0"/>
        <w:spacing w:line="440" w:lineRule="exact"/>
        <w:ind w:firstLineChars="200" w:firstLine="480"/>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消防水</w:t>
      </w:r>
    </w:p>
    <w:p w:rsidR="00525419" w:rsidRDefault="00EE1CF7">
      <w:pPr>
        <w:autoSpaceDE w:val="0"/>
        <w:autoSpaceDN w:val="0"/>
        <w:adjustRightInd w:val="0"/>
        <w:spacing w:line="440" w:lineRule="exact"/>
        <w:ind w:firstLineChars="200" w:firstLine="480"/>
        <w:jc w:val="left"/>
        <w:rPr>
          <w:rFonts w:ascii="Times New Roman" w:hAnsi="Times New Roman"/>
          <w:sz w:val="24"/>
          <w:szCs w:val="24"/>
        </w:rPr>
      </w:pPr>
      <w:r>
        <w:rPr>
          <w:rFonts w:ascii="Times New Roman" w:hAnsi="Times New Roman"/>
          <w:sz w:val="24"/>
          <w:szCs w:val="24"/>
        </w:rPr>
        <w:t>厂区现有消防系统设计流量</w:t>
      </w:r>
      <w:r>
        <w:rPr>
          <w:rFonts w:ascii="Times New Roman" w:hAnsi="Times New Roman"/>
          <w:sz w:val="24"/>
          <w:szCs w:val="24"/>
        </w:rPr>
        <w:t>334L/s</w:t>
      </w:r>
      <w:r>
        <w:rPr>
          <w:rFonts w:ascii="Times New Roman" w:hAnsi="Times New Roman"/>
          <w:sz w:val="24"/>
          <w:szCs w:val="24"/>
        </w:rPr>
        <w:t>，管网工作压力</w:t>
      </w:r>
      <w:r>
        <w:rPr>
          <w:rFonts w:ascii="Times New Roman" w:hAnsi="Times New Roman"/>
          <w:sz w:val="24"/>
          <w:szCs w:val="24"/>
        </w:rPr>
        <w:t>1.2MPa</w:t>
      </w:r>
      <w:r>
        <w:rPr>
          <w:rFonts w:ascii="Times New Roman" w:hAnsi="Times New Roman"/>
          <w:sz w:val="24"/>
          <w:szCs w:val="24"/>
        </w:rPr>
        <w:t>。本项目消防水流量</w:t>
      </w:r>
      <w:r>
        <w:rPr>
          <w:rFonts w:ascii="Times New Roman" w:hAnsi="Times New Roman"/>
          <w:sz w:val="24"/>
          <w:szCs w:val="24"/>
        </w:rPr>
        <w:t>300L/s</w:t>
      </w:r>
      <w:r>
        <w:rPr>
          <w:rFonts w:ascii="Times New Roman" w:hAnsi="Times New Roman"/>
          <w:sz w:val="24"/>
          <w:szCs w:val="24"/>
        </w:rPr>
        <w:t>，一次最大消防用水量为</w:t>
      </w:r>
      <w:r>
        <w:rPr>
          <w:rFonts w:ascii="Times New Roman" w:hAnsi="Times New Roman"/>
          <w:sz w:val="24"/>
          <w:szCs w:val="24"/>
        </w:rPr>
        <w:t>3240m</w:t>
      </w:r>
      <w:r>
        <w:rPr>
          <w:rFonts w:ascii="Times New Roman" w:hAnsi="Times New Roman"/>
          <w:sz w:val="24"/>
          <w:szCs w:val="24"/>
          <w:vertAlign w:val="superscript"/>
        </w:rPr>
        <w:t>3</w:t>
      </w:r>
      <w:r>
        <w:rPr>
          <w:rFonts w:ascii="Times New Roman" w:hAnsi="Times New Roman"/>
          <w:sz w:val="24"/>
          <w:szCs w:val="24"/>
        </w:rPr>
        <w:t>。</w:t>
      </w:r>
    </w:p>
    <w:p w:rsidR="00525419" w:rsidRDefault="00EE1CF7">
      <w:pPr>
        <w:autoSpaceDE w:val="0"/>
        <w:autoSpaceDN w:val="0"/>
        <w:adjustRightInd w:val="0"/>
        <w:spacing w:line="440" w:lineRule="exact"/>
        <w:ind w:firstLineChars="200" w:firstLine="480"/>
        <w:jc w:val="left"/>
        <w:rPr>
          <w:rFonts w:ascii="Times New Roman" w:hAnsi="Times New Roman"/>
          <w:sz w:val="24"/>
          <w:szCs w:val="24"/>
        </w:rPr>
      </w:pPr>
      <w:r>
        <w:rPr>
          <w:rFonts w:ascii="Times New Roman" w:hAnsi="Times New Roman"/>
          <w:sz w:val="24"/>
          <w:szCs w:val="24"/>
        </w:rPr>
        <w:t>厂区循环水场西侧原有</w:t>
      </w:r>
      <w:r>
        <w:rPr>
          <w:rFonts w:ascii="Times New Roman" w:hAnsi="Times New Roman"/>
          <w:sz w:val="24"/>
          <w:szCs w:val="24"/>
        </w:rPr>
        <w:t>4</w:t>
      </w:r>
      <w:r>
        <w:rPr>
          <w:rFonts w:ascii="Times New Roman" w:hAnsi="Times New Roman"/>
          <w:sz w:val="24"/>
          <w:szCs w:val="24"/>
        </w:rPr>
        <w:t>座</w:t>
      </w:r>
      <w:r>
        <w:rPr>
          <w:rFonts w:ascii="Times New Roman" w:hAnsi="Times New Roman"/>
          <w:sz w:val="24"/>
          <w:szCs w:val="24"/>
        </w:rPr>
        <w:t>2000m</w:t>
      </w:r>
      <w:r>
        <w:rPr>
          <w:rFonts w:ascii="Times New Roman" w:hAnsi="Times New Roman"/>
          <w:sz w:val="24"/>
          <w:szCs w:val="24"/>
          <w:vertAlign w:val="superscript"/>
        </w:rPr>
        <w:t>3</w:t>
      </w:r>
      <w:r>
        <w:rPr>
          <w:rFonts w:ascii="Times New Roman" w:hAnsi="Times New Roman"/>
          <w:sz w:val="24"/>
          <w:szCs w:val="24"/>
        </w:rPr>
        <w:t>消防水罐</w:t>
      </w:r>
      <w:r>
        <w:rPr>
          <w:rFonts w:ascii="Times New Roman" w:hAnsi="Times New Roman" w:hint="eastAsia"/>
          <w:sz w:val="24"/>
          <w:szCs w:val="24"/>
        </w:rPr>
        <w:t>，</w:t>
      </w:r>
      <w:r>
        <w:rPr>
          <w:rFonts w:ascii="Times New Roman" w:hAnsi="Times New Roman"/>
          <w:sz w:val="24"/>
          <w:szCs w:val="24"/>
        </w:rPr>
        <w:t>本次新建</w:t>
      </w:r>
      <w:r>
        <w:rPr>
          <w:rFonts w:ascii="Times New Roman" w:hAnsi="Times New Roman"/>
          <w:sz w:val="24"/>
          <w:szCs w:val="24"/>
        </w:rPr>
        <w:t>2</w:t>
      </w:r>
      <w:r>
        <w:rPr>
          <w:rFonts w:ascii="Times New Roman" w:hAnsi="Times New Roman"/>
          <w:sz w:val="24"/>
          <w:szCs w:val="24"/>
        </w:rPr>
        <w:t>座</w:t>
      </w:r>
      <w:r>
        <w:rPr>
          <w:rFonts w:ascii="Times New Roman" w:hAnsi="Times New Roman"/>
          <w:sz w:val="24"/>
          <w:szCs w:val="24"/>
        </w:rPr>
        <w:t>1000m</w:t>
      </w:r>
      <w:r>
        <w:rPr>
          <w:rFonts w:ascii="Times New Roman" w:hAnsi="Times New Roman"/>
          <w:sz w:val="24"/>
          <w:szCs w:val="24"/>
          <w:vertAlign w:val="superscript"/>
        </w:rPr>
        <w:t>3</w:t>
      </w:r>
      <w:r>
        <w:rPr>
          <w:rFonts w:ascii="Times New Roman" w:hAnsi="Times New Roman"/>
          <w:sz w:val="24"/>
          <w:szCs w:val="24"/>
        </w:rPr>
        <w:t>消防水罐，</w:t>
      </w:r>
      <w:r>
        <w:rPr>
          <w:rFonts w:ascii="Times New Roman" w:hAnsi="Times New Roman"/>
          <w:sz w:val="24"/>
          <w:szCs w:val="24"/>
        </w:rPr>
        <w:lastRenderedPageBreak/>
        <w:t>总储量为</w:t>
      </w:r>
      <w:r>
        <w:rPr>
          <w:rFonts w:ascii="Times New Roman" w:hAnsi="Times New Roman"/>
          <w:sz w:val="24"/>
          <w:szCs w:val="24"/>
        </w:rPr>
        <w:t>10000m</w:t>
      </w:r>
      <w:r>
        <w:rPr>
          <w:rFonts w:ascii="Times New Roman" w:hAnsi="Times New Roman"/>
          <w:sz w:val="24"/>
          <w:szCs w:val="24"/>
          <w:vertAlign w:val="superscript"/>
        </w:rPr>
        <w:t>3</w:t>
      </w:r>
      <w:r>
        <w:rPr>
          <w:rFonts w:ascii="Times New Roman" w:hAnsi="Times New Roman"/>
          <w:sz w:val="24"/>
          <w:szCs w:val="24"/>
        </w:rPr>
        <w:t>，消防水系统满足本项目需要。</w:t>
      </w:r>
    </w:p>
    <w:p w:rsidR="00525419" w:rsidRDefault="00EE1CF7">
      <w:pPr>
        <w:adjustRightInd w:val="0"/>
        <w:snapToGrid w:val="0"/>
        <w:spacing w:line="440" w:lineRule="exact"/>
        <w:ind w:firstLineChars="200" w:firstLine="480"/>
        <w:rPr>
          <w:rFonts w:ascii="Times New Roman" w:hAnsi="Times New Roman"/>
          <w:sz w:val="24"/>
        </w:rPr>
      </w:pPr>
      <w:r>
        <w:rPr>
          <w:rFonts w:ascii="Times New Roman" w:hAnsi="Times New Roman"/>
          <w:sz w:val="24"/>
        </w:rPr>
        <w:t>②</w:t>
      </w:r>
      <w:r>
        <w:rPr>
          <w:rFonts w:ascii="Times New Roman" w:hAnsi="Times New Roman"/>
          <w:sz w:val="24"/>
        </w:rPr>
        <w:t>排水</w:t>
      </w:r>
    </w:p>
    <w:p w:rsidR="00525419" w:rsidRDefault="00EE1CF7">
      <w:pPr>
        <w:adjustRightInd w:val="0"/>
        <w:snapToGrid w:val="0"/>
        <w:spacing w:line="440" w:lineRule="exact"/>
        <w:ind w:firstLineChars="200" w:firstLine="480"/>
        <w:rPr>
          <w:rFonts w:ascii="Times New Roman" w:hAnsi="Times New Roman"/>
          <w:sz w:val="24"/>
        </w:rPr>
      </w:pPr>
      <w:r>
        <w:rPr>
          <w:rFonts w:ascii="Times New Roman" w:hAnsi="Times New Roman"/>
          <w:sz w:val="24"/>
        </w:rPr>
        <w:t>本项目按水质类别可划分生产废水和生活污水等。</w:t>
      </w:r>
    </w:p>
    <w:p w:rsidR="00525419" w:rsidRDefault="00EE1CF7">
      <w:pPr>
        <w:adjustRightInd w:val="0"/>
        <w:snapToGrid w:val="0"/>
        <w:spacing w:line="440" w:lineRule="exact"/>
        <w:ind w:firstLineChars="200" w:firstLine="480"/>
        <w:rPr>
          <w:rFonts w:ascii="Times New Roman" w:hAnsi="Times New Roman"/>
          <w:sz w:val="24"/>
        </w:rPr>
      </w:pPr>
      <w:r>
        <w:rPr>
          <w:rFonts w:ascii="Times New Roman" w:hAnsi="Times New Roman"/>
          <w:sz w:val="24"/>
        </w:rPr>
        <w:t>▲</w:t>
      </w:r>
      <w:r>
        <w:rPr>
          <w:rFonts w:ascii="Times New Roman" w:hAnsi="Times New Roman"/>
          <w:sz w:val="24"/>
        </w:rPr>
        <w:t>生活污水排水</w:t>
      </w:r>
    </w:p>
    <w:p w:rsidR="00525419" w:rsidRDefault="00EE1CF7">
      <w:pPr>
        <w:adjustRightInd w:val="0"/>
        <w:snapToGrid w:val="0"/>
        <w:spacing w:line="440" w:lineRule="exact"/>
        <w:ind w:firstLineChars="200" w:firstLine="480"/>
        <w:rPr>
          <w:rFonts w:ascii="Times New Roman" w:hAnsi="Times New Roman"/>
          <w:sz w:val="24"/>
        </w:rPr>
      </w:pPr>
      <w:r>
        <w:rPr>
          <w:rFonts w:ascii="Times New Roman" w:hAnsi="Times New Roman"/>
          <w:sz w:val="24"/>
        </w:rPr>
        <w:t>生活污水指值班室、办公室、盥洗室及冲厕排放的污水，排放至新疆美汇特石化产品有限公司厂区现有的生活污水管网，经化粪池处理后，然后</w:t>
      </w:r>
      <w:r>
        <w:rPr>
          <w:rFonts w:ascii="Times New Roman" w:hAnsi="Times New Roman" w:hint="eastAsia"/>
          <w:sz w:val="24"/>
        </w:rPr>
        <w:t>拉运</w:t>
      </w:r>
      <w:r>
        <w:rPr>
          <w:rFonts w:ascii="Times New Roman" w:hAnsi="Times New Roman"/>
          <w:sz w:val="24"/>
        </w:rPr>
        <w:t>至位于厂区西侧的现有污水处理站进行处理。</w:t>
      </w:r>
    </w:p>
    <w:p w:rsidR="00525419" w:rsidRDefault="00EE1CF7">
      <w:pPr>
        <w:adjustRightInd w:val="0"/>
        <w:snapToGrid w:val="0"/>
        <w:spacing w:line="440" w:lineRule="exact"/>
        <w:ind w:firstLineChars="200" w:firstLine="480"/>
        <w:rPr>
          <w:rFonts w:ascii="Times New Roman" w:hAnsi="Times New Roman"/>
          <w:sz w:val="24"/>
        </w:rPr>
      </w:pPr>
      <w:r>
        <w:rPr>
          <w:rFonts w:ascii="Times New Roman" w:hAnsi="Times New Roman"/>
          <w:sz w:val="24"/>
        </w:rPr>
        <w:t>▲</w:t>
      </w:r>
      <w:r>
        <w:rPr>
          <w:rFonts w:ascii="Times New Roman" w:hAnsi="Times New Roman"/>
          <w:sz w:val="24"/>
        </w:rPr>
        <w:t>生产废水排水</w:t>
      </w:r>
    </w:p>
    <w:p w:rsidR="00525419" w:rsidRDefault="00EE1CF7">
      <w:pPr>
        <w:adjustRightInd w:val="0"/>
        <w:snapToGrid w:val="0"/>
        <w:spacing w:line="440" w:lineRule="exact"/>
        <w:ind w:firstLineChars="200" w:firstLine="480"/>
        <w:rPr>
          <w:rFonts w:ascii="Times New Roman" w:hAnsi="Times New Roman"/>
          <w:sz w:val="24"/>
        </w:rPr>
      </w:pPr>
      <w:r>
        <w:rPr>
          <w:rFonts w:ascii="Times New Roman" w:hAnsi="Times New Roman"/>
          <w:sz w:val="24"/>
        </w:rPr>
        <w:t>项目生产过程中有少量污水产生，主要为生产装置排放的工艺废水和罐区切水及少量冲洗地面废水</w:t>
      </w:r>
      <w:r>
        <w:rPr>
          <w:rFonts w:ascii="Times New Roman" w:hAnsi="Times New Roman"/>
          <w:sz w:val="24"/>
          <w:szCs w:val="24"/>
        </w:rPr>
        <w:t>（根据《石油石化环境保护技术》和《化工建设项目环境保护设计规范》的相关规定，一般不允许用水冲洗地面，通常用蘸有少量煤油的棉纱擦去油污或干拖把清洁地面，因此几乎没有冲洗地面水产生）</w:t>
      </w:r>
      <w:r>
        <w:rPr>
          <w:rFonts w:ascii="Times New Roman" w:hAnsi="Times New Roman"/>
          <w:sz w:val="24"/>
        </w:rPr>
        <w:t>。罐区切水属于含油废水，收集后直接排入依托的污水处理站进行处理；回流罐及高低压分离器排水属于含硫废水，收集后到硫磺回收装置区的酸性汽提装置处理。</w:t>
      </w:r>
    </w:p>
    <w:p w:rsidR="00525419" w:rsidRDefault="00EE1CF7">
      <w:pPr>
        <w:adjustRightInd w:val="0"/>
        <w:snapToGrid w:val="0"/>
        <w:spacing w:line="440" w:lineRule="exact"/>
        <w:ind w:firstLineChars="200" w:firstLine="480"/>
        <w:rPr>
          <w:rFonts w:ascii="Times New Roman" w:hAnsi="Times New Roman"/>
          <w:sz w:val="24"/>
        </w:rPr>
      </w:pPr>
      <w:r>
        <w:rPr>
          <w:rFonts w:ascii="Times New Roman" w:hAnsi="Times New Roman"/>
          <w:sz w:val="24"/>
        </w:rPr>
        <w:t>▲</w:t>
      </w:r>
      <w:r>
        <w:rPr>
          <w:rFonts w:ascii="Times New Roman" w:hAnsi="Times New Roman"/>
          <w:sz w:val="24"/>
        </w:rPr>
        <w:t>事故废水排放</w:t>
      </w:r>
    </w:p>
    <w:p w:rsidR="00525419" w:rsidRDefault="00EE1CF7">
      <w:pPr>
        <w:adjustRightInd w:val="0"/>
        <w:snapToGrid w:val="0"/>
        <w:spacing w:line="440" w:lineRule="exact"/>
        <w:ind w:firstLineChars="200" w:firstLine="480"/>
        <w:rPr>
          <w:rFonts w:ascii="Times New Roman" w:hAnsi="Times New Roman"/>
          <w:sz w:val="24"/>
          <w:szCs w:val="24"/>
        </w:rPr>
      </w:pPr>
      <w:r>
        <w:rPr>
          <w:rFonts w:ascii="Times New Roman" w:hAnsi="Times New Roman"/>
          <w:sz w:val="24"/>
          <w:szCs w:val="24"/>
        </w:rPr>
        <w:t>根据《水体防污染设计导则》和《化工建设项目环境保护设计规范》（</w:t>
      </w:r>
      <w:r>
        <w:rPr>
          <w:rFonts w:ascii="Times New Roman" w:hAnsi="Times New Roman"/>
          <w:sz w:val="24"/>
          <w:szCs w:val="24"/>
        </w:rPr>
        <w:t>GB50483-2009</w:t>
      </w:r>
      <w:r>
        <w:rPr>
          <w:rFonts w:ascii="Times New Roman" w:hAnsi="Times New Roman"/>
          <w:sz w:val="24"/>
          <w:szCs w:val="24"/>
        </w:rPr>
        <w:t>）</w:t>
      </w:r>
      <w:r>
        <w:rPr>
          <w:rFonts w:ascii="Times New Roman" w:hAnsi="Times New Roman"/>
          <w:sz w:val="24"/>
          <w:szCs w:val="24"/>
        </w:rPr>
        <w:t>6.6</w:t>
      </w:r>
      <w:r>
        <w:rPr>
          <w:rFonts w:ascii="Times New Roman" w:hAnsi="Times New Roman"/>
          <w:sz w:val="24"/>
          <w:szCs w:val="24"/>
        </w:rPr>
        <w:t>条的规定计算，本次最大事故污水量为</w:t>
      </w:r>
      <w:r>
        <w:rPr>
          <w:rFonts w:ascii="Times New Roman" w:hAnsi="Times New Roman"/>
          <w:sz w:val="24"/>
          <w:szCs w:val="24"/>
        </w:rPr>
        <w:t>3686.5m</w:t>
      </w:r>
      <w:r>
        <w:rPr>
          <w:rFonts w:ascii="Times New Roman" w:hAnsi="Times New Roman"/>
          <w:sz w:val="24"/>
          <w:szCs w:val="24"/>
          <w:vertAlign w:val="superscript"/>
        </w:rPr>
        <w:t>3</w:t>
      </w:r>
      <w:r>
        <w:rPr>
          <w:rFonts w:ascii="Times New Roman" w:hAnsi="Times New Roman"/>
          <w:sz w:val="24"/>
          <w:szCs w:val="24"/>
        </w:rPr>
        <w:t>，厂区原有一座有效容积为</w:t>
      </w:r>
      <w:r>
        <w:rPr>
          <w:rFonts w:ascii="Times New Roman" w:hAnsi="Times New Roman"/>
          <w:sz w:val="24"/>
          <w:szCs w:val="24"/>
        </w:rPr>
        <w:t>2×2600m</w:t>
      </w:r>
      <w:r>
        <w:rPr>
          <w:rFonts w:ascii="Times New Roman" w:hAnsi="Times New Roman"/>
          <w:sz w:val="24"/>
          <w:szCs w:val="24"/>
          <w:vertAlign w:val="superscript"/>
        </w:rPr>
        <w:t>3</w:t>
      </w:r>
      <w:r>
        <w:rPr>
          <w:rFonts w:ascii="Times New Roman" w:hAnsi="Times New Roman"/>
          <w:sz w:val="24"/>
          <w:szCs w:val="24"/>
        </w:rPr>
        <w:t>的事故水池，能满足本项目污水收集的要求，事故污水及消防水经装置围堰或储罐防火堤收集，经污水管线送入现有污水处理站处理。</w:t>
      </w:r>
    </w:p>
    <w:p w:rsidR="00525419" w:rsidRDefault="00EE1CF7">
      <w:pPr>
        <w:adjustRightInd w:val="0"/>
        <w:snapToGrid w:val="0"/>
        <w:spacing w:line="440" w:lineRule="exact"/>
        <w:ind w:firstLineChars="200" w:firstLine="480"/>
        <w:rPr>
          <w:rFonts w:ascii="Times New Roman" w:hAnsi="Times New Roman"/>
          <w:sz w:val="24"/>
        </w:rPr>
      </w:pPr>
      <w:r>
        <w:rPr>
          <w:rFonts w:ascii="Times New Roman" w:hAnsi="Times New Roman"/>
          <w:sz w:val="24"/>
        </w:rPr>
        <w:t>▲</w:t>
      </w:r>
      <w:r>
        <w:rPr>
          <w:rFonts w:ascii="Times New Roman" w:hAnsi="Times New Roman"/>
          <w:sz w:val="24"/>
        </w:rPr>
        <w:t>水平衡</w:t>
      </w:r>
    </w:p>
    <w:p w:rsidR="00525419" w:rsidRDefault="00EE1CF7">
      <w:pPr>
        <w:adjustRightInd w:val="0"/>
        <w:snapToGrid w:val="0"/>
        <w:spacing w:line="440" w:lineRule="exact"/>
        <w:ind w:firstLineChars="200" w:firstLine="480"/>
        <w:rPr>
          <w:rFonts w:ascii="Times New Roman" w:hAnsi="Times New Roman"/>
          <w:sz w:val="24"/>
          <w:szCs w:val="24"/>
        </w:rPr>
      </w:pPr>
      <w:r>
        <w:rPr>
          <w:rFonts w:ascii="Times New Roman" w:hAnsi="Times New Roman"/>
          <w:sz w:val="24"/>
          <w:szCs w:val="24"/>
        </w:rPr>
        <w:t>本次含硫污水送至</w:t>
      </w:r>
      <w:r>
        <w:rPr>
          <w:rFonts w:ascii="Times New Roman" w:hAnsi="Times New Roman"/>
          <w:sz w:val="24"/>
          <w:szCs w:val="24"/>
        </w:rPr>
        <w:t>1.5</w:t>
      </w:r>
      <w:r>
        <w:rPr>
          <w:rFonts w:ascii="Times New Roman" w:hAnsi="Times New Roman"/>
          <w:sz w:val="24"/>
          <w:szCs w:val="24"/>
        </w:rPr>
        <w:t>万</w:t>
      </w:r>
      <w:r>
        <w:rPr>
          <w:rFonts w:ascii="Times New Roman" w:hAnsi="Times New Roman"/>
          <w:sz w:val="24"/>
          <w:szCs w:val="24"/>
        </w:rPr>
        <w:t>t/a</w:t>
      </w:r>
      <w:r>
        <w:rPr>
          <w:rFonts w:ascii="Times New Roman" w:hAnsi="Times New Roman"/>
          <w:sz w:val="24"/>
          <w:szCs w:val="24"/>
        </w:rPr>
        <w:t>硫磺回收联合装置酸性水汽提单元，经处理后返回至</w:t>
      </w:r>
      <w:r>
        <w:rPr>
          <w:rFonts w:ascii="Times New Roman" w:hAnsi="Times New Roman" w:hint="eastAsia"/>
          <w:sz w:val="24"/>
        </w:rPr>
        <w:t>工艺</w:t>
      </w:r>
      <w:r>
        <w:rPr>
          <w:rFonts w:ascii="Times New Roman" w:hAnsi="Times New Roman"/>
          <w:sz w:val="24"/>
          <w:szCs w:val="24"/>
        </w:rPr>
        <w:t>注水。</w:t>
      </w:r>
    </w:p>
    <w:p w:rsidR="00525419" w:rsidRDefault="00EE1CF7">
      <w:pPr>
        <w:adjustRightInd w:val="0"/>
        <w:snapToGrid w:val="0"/>
        <w:spacing w:line="440" w:lineRule="exact"/>
        <w:ind w:firstLineChars="200" w:firstLine="480"/>
        <w:rPr>
          <w:rFonts w:ascii="Times New Roman" w:hAnsi="Times New Roman"/>
          <w:sz w:val="24"/>
          <w:szCs w:val="24"/>
        </w:rPr>
      </w:pPr>
      <w:r>
        <w:rPr>
          <w:rFonts w:ascii="Times New Roman" w:hAnsi="Times New Roman"/>
          <w:sz w:val="24"/>
          <w:szCs w:val="24"/>
        </w:rPr>
        <w:t>原厂区的污水处理站预处理单元无法满足全厂需要，通过增设气浮处理设备（涡凹气浮装置</w:t>
      </w:r>
      <w:r>
        <w:rPr>
          <w:rFonts w:ascii="Times New Roman" w:hAnsi="Times New Roman"/>
          <w:sz w:val="24"/>
          <w:szCs w:val="24"/>
        </w:rPr>
        <w:t>1</w:t>
      </w:r>
      <w:r>
        <w:rPr>
          <w:rFonts w:ascii="Times New Roman" w:hAnsi="Times New Roman"/>
          <w:sz w:val="24"/>
          <w:szCs w:val="24"/>
        </w:rPr>
        <w:t>套</w:t>
      </w:r>
      <w:r>
        <w:rPr>
          <w:rFonts w:ascii="Times New Roman" w:hAnsi="Times New Roman"/>
          <w:sz w:val="24"/>
          <w:szCs w:val="24"/>
        </w:rPr>
        <w:t>+</w:t>
      </w:r>
      <w:r>
        <w:rPr>
          <w:rFonts w:ascii="Times New Roman" w:hAnsi="Times New Roman"/>
          <w:sz w:val="24"/>
          <w:szCs w:val="24"/>
        </w:rPr>
        <w:t>溶气气浮</w:t>
      </w:r>
      <w:r>
        <w:rPr>
          <w:rFonts w:ascii="Times New Roman" w:hAnsi="Times New Roman"/>
          <w:sz w:val="24"/>
          <w:szCs w:val="24"/>
        </w:rPr>
        <w:t>1</w:t>
      </w:r>
      <w:r>
        <w:rPr>
          <w:rFonts w:ascii="Times New Roman" w:hAnsi="Times New Roman"/>
          <w:sz w:val="24"/>
          <w:szCs w:val="24"/>
        </w:rPr>
        <w:t>套），满足现在水质、水量的处理需要，同时可抵抗瞬时高负荷冲击，保障后续深度处理工艺的稳定运行。</w:t>
      </w:r>
    </w:p>
    <w:p w:rsidR="00525419" w:rsidRDefault="00EE1CF7">
      <w:pPr>
        <w:adjustRightInd w:val="0"/>
        <w:snapToGrid w:val="0"/>
        <w:spacing w:line="440" w:lineRule="exact"/>
        <w:ind w:firstLineChars="200" w:firstLine="480"/>
        <w:rPr>
          <w:rFonts w:ascii="Times New Roman" w:hAnsi="Times New Roman"/>
          <w:sz w:val="24"/>
        </w:rPr>
      </w:pPr>
      <w:r>
        <w:rPr>
          <w:rFonts w:ascii="Times New Roman" w:hAnsi="Times New Roman"/>
          <w:sz w:val="24"/>
        </w:rPr>
        <w:t>本项目水平衡见图</w:t>
      </w:r>
      <w:r>
        <w:rPr>
          <w:rFonts w:ascii="Times New Roman" w:hAnsi="Times New Roman"/>
          <w:sz w:val="24"/>
        </w:rPr>
        <w:t>3.3-1</w:t>
      </w:r>
      <w:r>
        <w:rPr>
          <w:rFonts w:ascii="Times New Roman" w:hAnsi="Times New Roman"/>
          <w:sz w:val="24"/>
        </w:rPr>
        <w:t>。</w:t>
      </w:r>
    </w:p>
    <w:p w:rsidR="00525419" w:rsidRDefault="00525419">
      <w:pPr>
        <w:adjustRightInd w:val="0"/>
        <w:snapToGrid w:val="0"/>
        <w:spacing w:line="440" w:lineRule="exact"/>
        <w:ind w:firstLineChars="200" w:firstLine="480"/>
        <w:rPr>
          <w:rFonts w:ascii="Times New Roman" w:hAnsi="Times New Roman"/>
          <w:sz w:val="24"/>
        </w:rPr>
      </w:pPr>
    </w:p>
    <w:p w:rsidR="00525419" w:rsidRDefault="00525419">
      <w:pPr>
        <w:adjustRightInd w:val="0"/>
        <w:snapToGrid w:val="0"/>
        <w:spacing w:line="440" w:lineRule="exact"/>
        <w:ind w:firstLineChars="200" w:firstLine="480"/>
        <w:rPr>
          <w:rFonts w:ascii="Times New Roman" w:hAnsi="Times New Roman"/>
          <w:sz w:val="24"/>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7D0E8A">
      <w:pPr>
        <w:rPr>
          <w:rFonts w:ascii="Times New Roman" w:hAnsi="Times New Roman"/>
        </w:rPr>
      </w:pPr>
      <w:r>
        <w:rPr>
          <w:rFonts w:ascii="Times New Roman" w:hAnsi="Times New Roman"/>
        </w:rPr>
        <w:lastRenderedPageBreak/>
        <w:pict>
          <v:group id="Group 1481" o:spid="_x0000_s1200" style="position:absolute;left:0;text-align:left;margin-left:-37.9pt;margin-top:14.7pt;width:496.7pt;height:236.8pt;z-index:251689472" coordorigin="1650,9720" coordsize="8475,4335">
            <v:shape id="Quad Arrow 1482" o:spid="_x0000_s1201" type="#_x0000_t202" style="position:absolute;left:4230;top:10215;width:1215;height:345">
              <v:textbox inset="1.42pt,.85pt,1.42pt,.85pt">
                <w:txbxContent>
                  <w:p w:rsidR="00EE1CF7" w:rsidRDefault="00EE1CF7">
                    <w:r>
                      <w:rPr>
                        <w:rFonts w:hint="eastAsia"/>
                      </w:rPr>
                      <w:t>脱盐水装置</w:t>
                    </w:r>
                  </w:p>
                </w:txbxContent>
              </v:textbox>
            </v:shape>
            <v:shape id="Quad Arrow 1483" o:spid="_x0000_s1202" type="#_x0000_t202" style="position:absolute;left:5820;top:10110;width:390;height:390" filled="f" stroked="f">
              <v:textbox inset="1.42pt,.85pt,1.42pt,.85pt">
                <w:txbxContent>
                  <w:p w:rsidR="00EE1CF7" w:rsidRDefault="00EE1CF7">
                    <w:r>
                      <w:rPr>
                        <w:rFonts w:hint="eastAsia"/>
                      </w:rPr>
                      <w:t>34</w:t>
                    </w:r>
                  </w:p>
                </w:txbxContent>
              </v:textbox>
            </v:shape>
            <v:shape id="Straight Connector 1484" o:spid="_x0000_s1203" type="#_x0000_t32" style="position:absolute;left:3165;top:10380;width:1065;height:0">
              <v:stroke endarrow="block"/>
            </v:shape>
            <v:shape id="Straight Connector 1485" o:spid="_x0000_s1204" type="#_x0000_t32" style="position:absolute;left:5445;top:10380;width:1065;height:0">
              <v:stroke endarrow="block"/>
            </v:shape>
            <v:shape id="Quad Arrow 1486" o:spid="_x0000_s1205" type="#_x0000_t202" style="position:absolute;left:6510;top:10215;width:1215;height:345">
              <v:textbox inset="1.42pt,.85pt,1.42pt,.85pt">
                <w:txbxContent>
                  <w:p w:rsidR="00EE1CF7" w:rsidRDefault="00EE1CF7">
                    <w:r>
                      <w:rPr>
                        <w:rFonts w:hint="eastAsia"/>
                      </w:rPr>
                      <w:t>生产装置</w:t>
                    </w:r>
                  </w:p>
                </w:txbxContent>
              </v:textbox>
            </v:shape>
            <v:shape id="Quad Arrow 1487" o:spid="_x0000_s1206" type="#_x0000_t202" style="position:absolute;left:3435;top:10110;width:585;height:390" filled="f" stroked="f">
              <v:textbox inset="1.42pt,.85pt,1.42pt,.85pt">
                <w:txbxContent>
                  <w:p w:rsidR="00EE1CF7" w:rsidRDefault="00EE1CF7">
                    <w:r>
                      <w:rPr>
                        <w:rFonts w:hint="eastAsia"/>
                      </w:rPr>
                      <w:t>43</w:t>
                    </w:r>
                  </w:p>
                </w:txbxContent>
              </v:textbox>
            </v:shape>
            <v:shape id="Quad Arrow 1488" o:spid="_x0000_s1207" type="#_x0000_t202" style="position:absolute;left:4230;top:11265;width:1215;height:345">
              <v:textbox inset="1.42pt,.85pt,1.42pt,.85pt">
                <w:txbxContent>
                  <w:p w:rsidR="00EE1CF7" w:rsidRDefault="00EE1CF7">
                    <w:r>
                      <w:rPr>
                        <w:rFonts w:hint="eastAsia"/>
                      </w:rPr>
                      <w:t>循环水系统</w:t>
                    </w:r>
                  </w:p>
                </w:txbxContent>
              </v:textbox>
            </v:shape>
            <v:shape id="Straight Connector 1489" o:spid="_x0000_s1208" type="#_x0000_t32" style="position:absolute;left:3165;top:11431;width:1065;height:1">
              <v:stroke endarrow="block"/>
            </v:shape>
            <v:line id="Line 1490" o:spid="_x0000_s1209" style="position:absolute" from="5115,11109" to="5115,11265"/>
            <v:shape id="Straight Connector 1491" o:spid="_x0000_s1210" type="#_x0000_t32" style="position:absolute;left:5115;top:11109;width:855;height:0">
              <v:stroke endarrow="block"/>
            </v:shape>
            <v:shape id="Quad Arrow 1492" o:spid="_x0000_s1211" type="#_x0000_t202" style="position:absolute;left:5970;top:10950;width:1590;height:390" filled="f" stroked="f">
              <v:textbox inset="1.42pt,.85pt,1.42pt,.85pt">
                <w:txbxContent>
                  <w:p w:rsidR="00EE1CF7" w:rsidRDefault="00EE1CF7">
                    <w:r>
                      <w:rPr>
                        <w:rFonts w:hint="eastAsia"/>
                      </w:rPr>
                      <w:t>风吹、蒸发损失</w:t>
                    </w:r>
                  </w:p>
                </w:txbxContent>
              </v:textbox>
            </v:shape>
            <v:shape id="Straight Connector 1493" o:spid="_x0000_s1212" type="#_x0000_t32" style="position:absolute;left:5445;top:11535;width:375;height:0"/>
            <v:shape id="Straight Connector 1494" o:spid="_x0000_s1213" type="#_x0000_t32" style="position:absolute;left:5820;top:11535;width:0;height:330"/>
            <v:shape id="Straight Connector 1495" o:spid="_x0000_s1214" type="#_x0000_t32" style="position:absolute;left:4500;top:11865;width:1320;height:0;flip:x"/>
            <v:shape id="Straight Connector 1496" o:spid="_x0000_s1215" type="#_x0000_t32" style="position:absolute;left:4500;top:11610;width:0;height:255;flip:y">
              <v:stroke endarrow="block"/>
            </v:shape>
            <v:shape id="Quad Arrow 1497" o:spid="_x0000_s1216" type="#_x0000_t202" style="position:absolute;left:4620;top:11640;width:675;height:264" filled="f" stroked="f">
              <v:textbox inset="1.42pt,.85pt,1.42pt,.85pt">
                <w:txbxContent>
                  <w:p w:rsidR="00EE1CF7" w:rsidRDefault="00EE1CF7">
                    <w:r>
                      <w:rPr>
                        <w:rFonts w:hint="eastAsia"/>
                      </w:rPr>
                      <w:t>907</w:t>
                    </w:r>
                  </w:p>
                </w:txbxContent>
              </v:textbox>
            </v:shape>
            <v:shape id="Quad Arrow 1498" o:spid="_x0000_s1217" type="#_x0000_t202" style="position:absolute;left:5430;top:10875;width:434;height:390" filled="f" stroked="f">
              <v:textbox inset="1.42pt,.85pt,1.42pt,.85pt">
                <w:txbxContent>
                  <w:p w:rsidR="00EE1CF7" w:rsidRDefault="00EE1CF7">
                    <w:r>
                      <w:rPr>
                        <w:rFonts w:hint="eastAsia"/>
                      </w:rPr>
                      <w:t>16.89</w:t>
                    </w:r>
                  </w:p>
                </w:txbxContent>
              </v:textbox>
            </v:shape>
            <v:shape id="Quad Arrow 1499" o:spid="_x0000_s1218" type="#_x0000_t202" style="position:absolute;left:4335;top:12255;width:1005;height:345">
              <v:textbox inset="1.42pt,.85pt,1.42pt,.85pt">
                <w:txbxContent>
                  <w:p w:rsidR="00EE1CF7" w:rsidRDefault="00EE1CF7">
                    <w:r>
                      <w:rPr>
                        <w:rFonts w:hint="eastAsia"/>
                      </w:rPr>
                      <w:t>生活用水</w:t>
                    </w:r>
                  </w:p>
                </w:txbxContent>
              </v:textbox>
            </v:shape>
            <v:shape id="Straight Connector 1500" o:spid="_x0000_s1219" type="#_x0000_t32" style="position:absolute;left:3165;top:12450;width:1170;height:1">
              <v:stroke endarrow="block"/>
            </v:shape>
            <v:shape id="Quad Arrow 1501" o:spid="_x0000_s1220" type="#_x0000_t202" style="position:absolute;left:3765;top:12210;width:390;height:390" filled="f" stroked="f">
              <v:textbox inset="1.42pt,.85pt,1.42pt,.85pt">
                <w:txbxContent>
                  <w:p w:rsidR="00EE1CF7" w:rsidRDefault="00EE1CF7">
                    <w:r>
                      <w:rPr>
                        <w:rFonts w:hint="eastAsia"/>
                      </w:rPr>
                      <w:t>0.3</w:t>
                    </w:r>
                  </w:p>
                </w:txbxContent>
              </v:textbox>
            </v:shape>
            <v:shape id="Straight Connector 1502" o:spid="_x0000_s1221" type="#_x0000_t32" style="position:absolute;left:5355;top:12420;width:2370;height:0">
              <v:stroke endarrow="block"/>
            </v:shape>
            <v:shape id="Straight Connector 1503" o:spid="_x0000_s1222" type="#_x0000_t32" style="position:absolute;left:4830;top:10560;width:0;height:240" stroked="f"/>
            <v:shape id="Straight Connector 1504" o:spid="_x0000_s1223" type="#_x0000_t32" style="position:absolute;left:4830;top:10800;width:3135;height:0" stroked="f"/>
            <v:shape id="Quad Arrow 1505" o:spid="_x0000_s1224" type="#_x0000_t202" style="position:absolute;left:7710;top:12255;width:1215;height:345">
              <v:textbox inset="1.42pt,.85pt,1.42pt,.85pt">
                <w:txbxContent>
                  <w:p w:rsidR="00EE1CF7" w:rsidRDefault="00EE1CF7">
                    <w:r>
                      <w:rPr>
                        <w:rFonts w:hint="eastAsia"/>
                      </w:rPr>
                      <w:t>污水处理站</w:t>
                    </w:r>
                  </w:p>
                </w:txbxContent>
              </v:textbox>
            </v:shape>
            <v:shape id="Straight Connector 1506" o:spid="_x0000_s1225" type="#_x0000_t32" style="position:absolute;left:7725;top:10380;width:810;height:0"/>
            <v:shape id="Straight Connector 1507" o:spid="_x0000_s1226" type="#_x0000_t32" style="position:absolute;left:8535;top:10380;width:0;height:1875">
              <v:stroke endarrow="block"/>
            </v:shape>
            <v:shape id="Quad Arrow 1508" o:spid="_x0000_s1227" type="#_x0000_t202" style="position:absolute;left:8355;top:11109;width:390;height:390" filled="f" stroked="f">
              <v:textbox inset="1.42pt,.85pt,1.42pt,.85pt">
                <w:txbxContent>
                  <w:p w:rsidR="00EE1CF7" w:rsidRDefault="00EE1CF7">
                    <w:r>
                      <w:rPr>
                        <w:rFonts w:hint="eastAsia"/>
                      </w:rPr>
                      <w:t>0.6</w:t>
                    </w:r>
                  </w:p>
                </w:txbxContent>
              </v:textbox>
            </v:shape>
            <v:shape id="Straight Connector 1509" o:spid="_x0000_s1228" type="#_x0000_t32" style="position:absolute;left:7965;top:10800;width:0;height:1410" stroked="f"/>
            <v:shape id="Quad Arrow 1510" o:spid="_x0000_s1229" type="#_x0000_t202" style="position:absolute;left:7800;top:11340;width:390;height:390" filled="f" stroked="f">
              <v:textbox inset="1.42pt,.85pt,1.42pt,.85pt">
                <w:txbxContent>
                  <w:p w:rsidR="00EE1CF7" w:rsidRDefault="00EE1CF7"/>
                </w:txbxContent>
              </v:textbox>
            </v:shape>
            <v:shape id="Quad Arrow 1511" o:spid="_x0000_s1230" type="#_x0000_t202" style="position:absolute;left:6375;top:12210;width:600;height:390" filled="f" stroked="f">
              <v:textbox inset="1.42pt,.85pt,1.42pt,.85pt">
                <w:txbxContent>
                  <w:p w:rsidR="00EE1CF7" w:rsidRDefault="00EE1CF7">
                    <w:r>
                      <w:rPr>
                        <w:rFonts w:hint="eastAsia"/>
                      </w:rPr>
                      <w:t>0.24</w:t>
                    </w:r>
                  </w:p>
                </w:txbxContent>
              </v:textbox>
            </v:shape>
            <v:shape id="Straight Connector 1512" o:spid="_x0000_s1231" type="#_x0000_t32" style="position:absolute;left:5355;top:12132;width:375;height:120;flip:y">
              <v:stroke dashstyle="dash" endarrow="block"/>
            </v:shape>
            <v:shape id="Quad Arrow 1513" o:spid="_x0000_s1232" type="#_x0000_t202" style="position:absolute;left:5775;top:11919;width:585;height:390" filled="f" stroked="f">
              <v:textbox inset="1.42pt,.85pt,1.42pt,.85pt">
                <w:txbxContent>
                  <w:p w:rsidR="00EE1CF7" w:rsidRDefault="00EE1CF7">
                    <w:r>
                      <w:rPr>
                        <w:rFonts w:hint="eastAsia"/>
                      </w:rPr>
                      <w:t>损失</w:t>
                    </w:r>
                  </w:p>
                </w:txbxContent>
              </v:textbox>
            </v:shape>
            <v:shape id="Quad Arrow 1514" o:spid="_x0000_s1233" type="#_x0000_t202" style="position:absolute;left:5235;top:12030;width:465;height:390" filled="f" stroked="f">
              <v:textbox inset="1.42pt,.85pt,1.42pt,.85pt">
                <w:txbxContent>
                  <w:p w:rsidR="00EE1CF7" w:rsidRDefault="00EE1CF7">
                    <w:r>
                      <w:rPr>
                        <w:rFonts w:hint="eastAsia"/>
                      </w:rPr>
                      <w:t>0.06</w:t>
                    </w:r>
                  </w:p>
                </w:txbxContent>
              </v:textbox>
            </v:shape>
            <v:shape id="Straight Connector 1515" o:spid="_x0000_s1234" type="#_x0000_t32" style="position:absolute;left:5445;top:11430;width:2115;height:0"/>
            <v:shape id="Straight Connector 1516" o:spid="_x0000_s1235" type="#_x0000_t32" style="position:absolute;left:7560;top:11430;width:0;height:435"/>
            <v:shape id="Straight Connector 1517" o:spid="_x0000_s1236" type="#_x0000_t32" style="position:absolute;left:7560;top:11865;width:240;height:0"/>
            <v:shape id="Straight Connector 1518" o:spid="_x0000_s1237" type="#_x0000_t32" style="position:absolute;left:7800;top:11865;width:0;height:345">
              <v:stroke endarrow="block"/>
            </v:shape>
            <v:shape id="Quad Arrow 1519" o:spid="_x0000_s1238" type="#_x0000_t202" style="position:absolute;left:6690;top:11250;width:555;height:390" filled="f" stroked="f">
              <v:textbox inset="1.42pt,.85pt,1.42pt,.85pt">
                <w:txbxContent>
                  <w:p w:rsidR="00EE1CF7" w:rsidRDefault="00EE1CF7">
                    <w:r>
                      <w:rPr>
                        <w:rFonts w:hint="eastAsia"/>
                      </w:rPr>
                      <w:t>3</w:t>
                    </w:r>
                  </w:p>
                </w:txbxContent>
              </v:textbox>
            </v:shape>
            <v:shape id="Quad Arrow 1520" o:spid="_x0000_s1239" type="#_x0000_t202" style="position:absolute;left:3315;top:11250;width:645;height:390" filled="f" stroked="f">
              <v:textbox inset="1.42pt,.85pt,1.42pt,.85pt">
                <w:txbxContent>
                  <w:p w:rsidR="00EE1CF7" w:rsidRDefault="00EE1CF7">
                    <w:r>
                      <w:rPr>
                        <w:rFonts w:hint="eastAsia"/>
                      </w:rPr>
                      <w:t>7.35</w:t>
                    </w:r>
                  </w:p>
                </w:txbxContent>
              </v:textbox>
            </v:shape>
            <v:shape id="Quad Arrow 1521" o:spid="_x0000_s1240" type="#_x0000_t202" style="position:absolute;left:7335;top:13590;width:1200;height:345">
              <v:textbox inset="1.42pt,.85pt,1.42pt,.85pt">
                <w:txbxContent>
                  <w:p w:rsidR="00EE1CF7" w:rsidRDefault="00EE1CF7">
                    <w:r>
                      <w:rPr>
                        <w:rFonts w:hint="eastAsia"/>
                      </w:rPr>
                      <w:t>酸性水汽提</w:t>
                    </w:r>
                  </w:p>
                </w:txbxContent>
              </v:textbox>
            </v:shape>
            <v:shape id="Quad Arrow 1522" o:spid="_x0000_s1241" type="#_x0000_t202" style="position:absolute;left:4335;top:12840;width:1005;height:345" filled="f" stroked="f">
              <v:textbox inset="1.42pt,.85pt,1.42pt,.85pt">
                <w:txbxContent>
                  <w:p w:rsidR="00EE1CF7" w:rsidRDefault="00EE1CF7"/>
                </w:txbxContent>
              </v:textbox>
            </v:shape>
            <v:shape id="Straight Connector 1523" o:spid="_x0000_s1242" type="#_x0000_t32" style="position:absolute;left:7920;top:12600;width:0;height:405;flip:y" stroked="f"/>
            <v:shape id="Straight Connector 1524" o:spid="_x0000_s1243" type="#_x0000_t32" style="position:absolute;left:5340;top:13005;width:2580;height:0" stroked="f"/>
            <v:shape id="Quad Arrow 1525" o:spid="_x0000_s1244" type="#_x0000_t202" style="position:absolute;left:6375;top:12795;width:764;height:390;mso-wrap-style:none" filled="f" stroked="f">
              <v:textbox inset="1.42pt,.85pt,1.42pt,.85pt">
                <w:txbxContent>
                  <w:p w:rsidR="00EE1CF7" w:rsidRDefault="00EE1CF7">
                    <w:r>
                      <w:rPr>
                        <w:rFonts w:hint="eastAsia"/>
                      </w:rPr>
                      <w:t>罐区切水</w:t>
                    </w:r>
                  </w:p>
                </w:txbxContent>
              </v:textbox>
            </v:shape>
            <v:shape id="Straight Connector 1526" o:spid="_x0000_s1245" type="#_x0000_t32" style="position:absolute;left:3165;top:10380;width:0;height:2070"/>
            <v:shape id="Straight Connector 1527" o:spid="_x0000_s1246" type="#_x0000_t32" style="position:absolute;left:2295;top:11430;width:870;height:2"/>
            <v:shape id="Quad Arrow 1528" o:spid="_x0000_s1247" type="#_x0000_t202" style="position:absolute;left:1650;top:11265;width:870;height:390" filled="f" stroked="f">
              <v:textbox inset="1.42pt,.85pt,1.42pt,.85pt">
                <w:txbxContent>
                  <w:p w:rsidR="00EE1CF7" w:rsidRDefault="00EE1CF7">
                    <w:r>
                      <w:rPr>
                        <w:rFonts w:hint="eastAsia"/>
                      </w:rPr>
                      <w:t>新鲜水</w:t>
                    </w:r>
                  </w:p>
                </w:txbxContent>
              </v:textbox>
            </v:shape>
            <v:shape id="Quad Arrow 1529" o:spid="_x0000_s1248" type="#_x0000_t202" style="position:absolute;left:2715;top:11220;width:428;height:390" filled="f" stroked="f">
              <v:textbox inset="1.42pt,.85pt,1.42pt,.85pt">
                <w:txbxContent>
                  <w:p w:rsidR="00EE1CF7" w:rsidRDefault="00EE1CF7">
                    <w:r>
                      <w:rPr>
                        <w:rFonts w:hint="eastAsia"/>
                      </w:rPr>
                      <w:t>50.65</w:t>
                    </w:r>
                  </w:p>
                </w:txbxContent>
              </v:textbox>
            </v:shape>
            <v:shape id="Straight Connector 1530" o:spid="_x0000_s1249" type="#_x0000_t32" style="position:absolute;left:8925;top:12450;width:480;height:0"/>
            <v:shape id="Straight Connector 1531" o:spid="_x0000_s1250" type="#_x0000_t32" style="position:absolute;left:9405;top:12450;width:0;height:885"/>
            <v:shape id="Straight Connector 1532" o:spid="_x0000_s1251" type="#_x0000_t32" style="position:absolute;left:7125;top:9930;width:0;height:285;flip:y"/>
            <v:shape id="Straight Connector 1533" o:spid="_x0000_s1252" type="#_x0000_t32" style="position:absolute;left:7125;top:9930;width:3000;height:0"/>
            <v:shape id="Straight Connector 1534" o:spid="_x0000_s1253" type="#_x0000_t32" style="position:absolute;left:10125;top:9930;width:0;height:3840"/>
            <v:shape id="Straight Connector 1535" o:spid="_x0000_s1254" type="#_x0000_t32" style="position:absolute;left:8535;top:13770;width:1590;height:0;flip:x">
              <v:stroke endarrow="block"/>
            </v:shape>
            <v:shape id="Quad Arrow 1536" o:spid="_x0000_s1255" type="#_x0000_t202" style="position:absolute;left:9000;top:9720;width:615;height:390" filled="f" stroked="f">
              <v:textbox inset="1.42pt,.85pt,1.42pt,.85pt">
                <w:txbxContent>
                  <w:p w:rsidR="00EE1CF7" w:rsidRDefault="00EE1CF7">
                    <w:r>
                      <w:rPr>
                        <w:rFonts w:hint="eastAsia"/>
                      </w:rPr>
                      <w:t>18</w:t>
                    </w:r>
                  </w:p>
                </w:txbxContent>
              </v:textbox>
            </v:shape>
            <v:shape id="Straight Connector 1537" o:spid="_x0000_s1256" type="#_x0000_t32" style="position:absolute;left:6765;top:13770;width:570;height:0;flip:x">
              <v:stroke endarrow="block"/>
            </v:shape>
            <v:shape id="Quad Arrow 1538" o:spid="_x0000_s1257" type="#_x0000_t202" style="position:absolute;left:5445;top:13665;width:1395;height:390" filled="f" stroked="f">
              <v:textbox inset="1.42pt,.85pt,1.42pt,.85pt">
                <w:txbxContent>
                  <w:p w:rsidR="00EE1CF7" w:rsidRDefault="00EE1CF7">
                    <w:r>
                      <w:rPr>
                        <w:rFonts w:hint="eastAsia"/>
                      </w:rPr>
                      <w:t xml:space="preserve">用于工艺注水　</w:t>
                    </w:r>
                  </w:p>
                </w:txbxContent>
              </v:textbox>
            </v:shape>
            <v:shape id="Straight Connector 1539" o:spid="_x0000_s1258" type="#_x0000_t32" style="position:absolute;left:3675;top:13335;width:5730;height:0;flip:x"/>
            <v:shape id="Straight Connector 1540" o:spid="_x0000_s1259" type="#_x0000_t32" style="position:absolute;left:3675;top:12600;width:0;height:735;flip:y"/>
            <v:shape id="未知 1541" o:spid="_x0000_s1260" style="position:absolute;left:3315;top:11919;width:360;height:681" coordsize="360,681" path="m360,681c180,563,,446,,333,,220,300,56,360,e" filled="f"/>
            <v:shape id="Straight Connector 1542" o:spid="_x0000_s1261" type="#_x0000_t32" style="position:absolute;left:3675;top:11919;width:660;height:0"/>
            <v:shape id="Straight Connector 1543" o:spid="_x0000_s1262" type="#_x0000_t32" style="position:absolute;left:4335;top:11655;width:0;height:264;flip:y">
              <v:stroke endarrow="block"/>
            </v:shape>
            <v:shape id="Straight Connector 1544" o:spid="_x0000_s1263" type="#_x0000_t32" style="position:absolute;left:2715;top:12915;width:960;height:15;flip:x" stroked="f"/>
            <v:shape id="Straight Connector 1545" o:spid="_x0000_s1264" type="#_x0000_t32" style="position:absolute;left:2715;top:11655;width:0;height:1275;flip:y" stroked="f"/>
            <v:shape id="Straight Connector 1546" o:spid="_x0000_s1265" type="#_x0000_t32" style="position:absolute;left:2715;top:10035;width:2280;height:0" stroked="f"/>
            <v:shape id="Straight Connector 1547" o:spid="_x0000_s1266" type="#_x0000_t32" style="position:absolute;left:4995;top:10035;width:0;height:180" stroked="f"/>
            <v:shape id="未知 1548" o:spid="_x0000_s1267" style="position:absolute;left:2355;top:10965;width:360;height:681" coordsize="360,681" path="m360,681c180,563,,446,,333,,220,300,56,360,e" filled="f" stroked="f"/>
            <v:shape id="Straight Connector 1549" o:spid="_x0000_s1268" type="#_x0000_t32" style="position:absolute;left:2715;top:10035;width:0;height:930;flip:y" stroked="f"/>
            <v:shape id="Quad Arrow 1550" o:spid="_x0000_s1269" type="#_x0000_t202" style="position:absolute;left:7920;top:13095;width:615;height:390" filled="f" stroked="f">
              <v:textbox inset="1.42pt,.85pt,1.42pt,.85pt">
                <w:txbxContent>
                  <w:p w:rsidR="00EE1CF7" w:rsidRDefault="00EE1CF7">
                    <w:r>
                      <w:rPr>
                        <w:rFonts w:hint="eastAsia"/>
                      </w:rPr>
                      <w:t>4.04</w:t>
                    </w:r>
                  </w:p>
                </w:txbxContent>
              </v:textbox>
            </v:shape>
            <v:shape id="Quad Arrow 1551" o:spid="_x0000_s1270" type="#_x0000_t202" style="position:absolute;left:3435;top:11742;width:615;height:390" filled="f" stroked="f">
              <v:textbox inset="1.42pt,.85pt,1.42pt,.85pt">
                <w:txbxContent>
                  <w:p w:rsidR="00EE1CF7" w:rsidRDefault="00EE1CF7">
                    <w:r>
                      <w:rPr>
                        <w:rFonts w:hint="eastAsia"/>
                      </w:rPr>
                      <w:t>4.04</w:t>
                    </w:r>
                  </w:p>
                </w:txbxContent>
              </v:textbox>
            </v:shape>
            <v:shape id="Quad Arrow 1552" o:spid="_x0000_s1271" type="#_x0000_t202" style="position:absolute;left:3615;top:9720;width:615;height:390" filled="f" stroked="f">
              <v:textbox inset="1.42pt,.85pt,1.42pt,.85pt">
                <w:txbxContent>
                  <w:p w:rsidR="00EE1CF7" w:rsidRDefault="00EE1CF7"/>
                </w:txbxContent>
              </v:textbox>
            </v:shape>
          </v:group>
        </w:pict>
      </w:r>
    </w:p>
    <w:p w:rsidR="00525419" w:rsidRDefault="00525419">
      <w:pPr>
        <w:rPr>
          <w:rFonts w:ascii="Times New Roman" w:hAnsi="Times New Roman"/>
        </w:rPr>
      </w:pPr>
    </w:p>
    <w:p w:rsidR="00525419" w:rsidRDefault="00525419">
      <w:pPr>
        <w:rPr>
          <w:rFonts w:ascii="Times New Roman" w:hAnsi="Times New Roman"/>
        </w:rPr>
      </w:pPr>
    </w:p>
    <w:p w:rsidR="00525419" w:rsidRDefault="007D0E8A">
      <w:pPr>
        <w:rPr>
          <w:rFonts w:ascii="Times New Roman" w:hAnsi="Times New Roman"/>
        </w:rPr>
      </w:pPr>
      <w:r>
        <w:rPr>
          <w:rFonts w:ascii="Times New Roman" w:hAnsi="Times New Roman"/>
          <w:sz w:val="24"/>
        </w:rPr>
        <w:pict>
          <v:shape id="_x0000_s1272" type="#_x0000_t202" style="position:absolute;left:0;text-align:left;margin-left:122.75pt;margin-top:11.8pt;width:29.35pt;height:25.65pt;z-index:251694592;mso-width-relative:page;mso-height-relative:page" filled="f" stroked="f" strokeweight="1.25pt">
            <v:textbox>
              <w:txbxContent>
                <w:p w:rsidR="00EE1CF7" w:rsidRDefault="00EE1CF7">
                  <w:r>
                    <w:rPr>
                      <w:rFonts w:hint="eastAsia"/>
                    </w:rPr>
                    <w:t>8.5</w:t>
                  </w:r>
                </w:p>
              </w:txbxContent>
            </v:textbox>
          </v:shape>
        </w:pict>
      </w:r>
    </w:p>
    <w:p w:rsidR="00525419" w:rsidRDefault="007D0E8A">
      <w:pPr>
        <w:jc w:val="center"/>
        <w:rPr>
          <w:rFonts w:ascii="Times New Roman" w:hAnsi="Times New Roman"/>
          <w:b/>
          <w:sz w:val="24"/>
          <w:szCs w:val="24"/>
        </w:rPr>
      </w:pPr>
      <w:r>
        <w:rPr>
          <w:rFonts w:ascii="Times New Roman" w:hAnsi="Times New Roman"/>
          <w:sz w:val="24"/>
        </w:rPr>
        <w:pict>
          <v:shape id="_x0000_s1273" type="#_x0000_t202" style="position:absolute;left:0;text-align:left;margin-left:77.8pt;margin-top:12.3pt;width:90.65pt;height:21.2pt;z-index:251693568;mso-width-relative:page;mso-height-relative:page" filled="f" strokeweight=".5pt">
            <v:textbox>
              <w:txbxContent>
                <w:p w:rsidR="00EE1CF7" w:rsidRDefault="00EE1CF7">
                  <w:r>
                    <w:rPr>
                      <w:rFonts w:hint="eastAsia"/>
                    </w:rPr>
                    <w:t>浓盐水处理装置</w:t>
                  </w:r>
                </w:p>
              </w:txbxContent>
            </v:textbox>
          </v:shape>
        </w:pict>
      </w:r>
      <w:r>
        <w:rPr>
          <w:rFonts w:ascii="Times New Roman" w:hAnsi="Times New Roman"/>
          <w:sz w:val="24"/>
        </w:rPr>
        <w:pict>
          <v:line id="_x0000_s1274" style="position:absolute;left:0;text-align:left;z-index:251695616;mso-width-relative:page;mso-height-relative:page" from="126.85pt,1.75pt" to="126.9pt,12pt" filled="t" strokeweight="1.25pt">
            <v:fill angle="90" type="gradient">
              <o:fill v:ext="view" type="gradientUnscaled"/>
            </v:fill>
            <v:stroke endarrow="block"/>
          </v:line>
        </w:pict>
      </w:r>
    </w:p>
    <w:p w:rsidR="00525419" w:rsidRDefault="007D0E8A">
      <w:pPr>
        <w:jc w:val="center"/>
        <w:rPr>
          <w:rFonts w:ascii="Times New Roman" w:hAnsi="Times New Roman"/>
          <w:b/>
          <w:sz w:val="24"/>
          <w:szCs w:val="24"/>
        </w:rPr>
      </w:pPr>
      <w:r>
        <w:rPr>
          <w:rFonts w:ascii="Times New Roman" w:hAnsi="Times New Roman"/>
          <w:sz w:val="24"/>
        </w:rPr>
        <w:pict>
          <v:shape id="_x0000_s1275" type="#_x0000_t202" style="position:absolute;left:0;text-align:left;margin-left:120.45pt;margin-top:15.55pt;width:36.25pt;height:25.65pt;z-index:251697664;mso-width-relative:page;mso-height-relative:page" filled="f" stroked="f" strokeweight="1.25pt">
            <v:textbox>
              <w:txbxContent>
                <w:p w:rsidR="00EE1CF7" w:rsidRDefault="00EE1CF7">
                  <w:r>
                    <w:rPr>
                      <w:rFonts w:hint="eastAsia"/>
                    </w:rPr>
                    <w:t>8.5</w:t>
                  </w:r>
                </w:p>
              </w:txbxContent>
            </v:textbox>
          </v:shape>
        </w:pict>
      </w:r>
    </w:p>
    <w:p w:rsidR="00525419" w:rsidRDefault="007D0E8A">
      <w:pPr>
        <w:jc w:val="center"/>
        <w:rPr>
          <w:rFonts w:ascii="Times New Roman" w:hAnsi="Times New Roman"/>
          <w:b/>
          <w:sz w:val="24"/>
          <w:szCs w:val="24"/>
        </w:rPr>
      </w:pPr>
      <w:r>
        <w:rPr>
          <w:rFonts w:ascii="Times New Roman" w:hAnsi="Times New Roman"/>
          <w:sz w:val="24"/>
        </w:rPr>
        <w:pict>
          <v:line id="_x0000_s1276" style="position:absolute;left:0;text-align:left;z-index:251696640;mso-width-relative:page;mso-height-relative:page" from="127.2pt,3.7pt" to="127.25pt,13.95pt" filled="t" strokeweight="1.25pt">
            <v:fill angle="90" type="gradient">
              <o:fill v:ext="view" type="gradientUnscaled"/>
            </v:fill>
            <v:stroke endarrow="block"/>
          </v:line>
        </w:pict>
      </w:r>
    </w:p>
    <w:p w:rsidR="00525419" w:rsidRDefault="00525419">
      <w:pPr>
        <w:jc w:val="center"/>
        <w:rPr>
          <w:rFonts w:ascii="Times New Roman" w:hAnsi="Times New Roman"/>
          <w:b/>
          <w:sz w:val="24"/>
          <w:szCs w:val="24"/>
        </w:rPr>
      </w:pPr>
    </w:p>
    <w:p w:rsidR="00525419" w:rsidRDefault="00525419">
      <w:pPr>
        <w:jc w:val="center"/>
        <w:rPr>
          <w:rFonts w:ascii="Times New Roman" w:hAnsi="Times New Roman"/>
          <w:b/>
          <w:sz w:val="24"/>
          <w:szCs w:val="24"/>
        </w:rPr>
      </w:pPr>
    </w:p>
    <w:p w:rsidR="00525419" w:rsidRDefault="00525419">
      <w:pPr>
        <w:jc w:val="center"/>
        <w:rPr>
          <w:rFonts w:ascii="Times New Roman" w:hAnsi="Times New Roman"/>
          <w:b/>
          <w:sz w:val="24"/>
          <w:szCs w:val="24"/>
        </w:rPr>
      </w:pPr>
    </w:p>
    <w:p w:rsidR="00525419" w:rsidRDefault="00525419">
      <w:pPr>
        <w:jc w:val="center"/>
        <w:rPr>
          <w:rFonts w:ascii="Times New Roman" w:hAnsi="Times New Roman"/>
          <w:b/>
          <w:sz w:val="24"/>
          <w:szCs w:val="24"/>
        </w:rPr>
      </w:pPr>
    </w:p>
    <w:p w:rsidR="00525419" w:rsidRDefault="007D0E8A">
      <w:pPr>
        <w:jc w:val="center"/>
        <w:rPr>
          <w:rFonts w:ascii="Times New Roman" w:hAnsi="Times New Roman"/>
          <w:b/>
          <w:sz w:val="24"/>
          <w:szCs w:val="24"/>
        </w:rPr>
      </w:pPr>
      <w:r>
        <w:rPr>
          <w:rFonts w:ascii="Times New Roman" w:hAnsi="Times New Roman"/>
          <w:sz w:val="24"/>
        </w:rPr>
        <w:pict>
          <v:shape id="_x0000_s1277" type="#_x0000_t202" style="position:absolute;left:0;text-align:left;margin-left:285.7pt;margin-top:7.4pt;width:34pt;height:21.65pt;z-index:251692544;mso-width-relative:page;mso-height-relative:page" filled="f" stroked="f" strokeweight="1.25pt">
            <v:textbox>
              <w:txbxContent>
                <w:p w:rsidR="00EE1CF7" w:rsidRDefault="00EE1CF7">
                  <w:r>
                    <w:rPr>
                      <w:rFonts w:hint="eastAsia"/>
                    </w:rPr>
                    <w:t>0.2</w:t>
                  </w:r>
                </w:p>
              </w:txbxContent>
            </v:textbox>
          </v:shape>
        </w:pict>
      </w:r>
      <w:r>
        <w:rPr>
          <w:rFonts w:ascii="Times New Roman" w:hAnsi="Times New Roman"/>
          <w:sz w:val="24"/>
        </w:rPr>
        <w:pict>
          <v:line id="_x0000_s1278" style="position:absolute;left:0;text-align:left;flip:y;z-index:251691520;mso-width-relative:page;mso-height-relative:page" from="328.4pt,.55pt" to="328.45pt,22.5pt" filled="t" strokeweight="1.25pt">
            <v:fill angle="90" type="gradient">
              <o:fill v:ext="view" type="gradientUnscaled"/>
            </v:fill>
            <v:stroke endarrow="block"/>
          </v:line>
        </w:pict>
      </w:r>
    </w:p>
    <w:p w:rsidR="00525419" w:rsidRDefault="007D0E8A">
      <w:pPr>
        <w:jc w:val="center"/>
        <w:rPr>
          <w:rFonts w:ascii="Times New Roman" w:hAnsi="Times New Roman"/>
          <w:b/>
          <w:sz w:val="24"/>
          <w:szCs w:val="24"/>
        </w:rPr>
      </w:pPr>
      <w:r>
        <w:rPr>
          <w:rFonts w:ascii="Times New Roman" w:hAnsi="Times New Roman"/>
          <w:sz w:val="24"/>
        </w:rPr>
        <w:pict>
          <v:line id="_x0000_s1279" style="position:absolute;left:0;text-align:left;z-index:251690496;mso-width-relative:page;mso-height-relative:page" from="273.65pt,6.2pt" to="329.6pt,6.25pt" filled="t">
            <v:fill angle="90" type="gradient">
              <o:fill v:ext="view" type="gradientUnscaled"/>
            </v:fill>
          </v:line>
        </w:pict>
      </w:r>
    </w:p>
    <w:p w:rsidR="00525419" w:rsidRDefault="00525419">
      <w:pPr>
        <w:jc w:val="center"/>
        <w:rPr>
          <w:rFonts w:ascii="Times New Roman" w:hAnsi="Times New Roman"/>
          <w:b/>
          <w:sz w:val="24"/>
          <w:szCs w:val="24"/>
        </w:rPr>
      </w:pPr>
    </w:p>
    <w:p w:rsidR="00525419" w:rsidRDefault="00525419">
      <w:pPr>
        <w:jc w:val="center"/>
        <w:rPr>
          <w:rFonts w:ascii="Times New Roman" w:hAnsi="Times New Roman"/>
          <w:b/>
          <w:sz w:val="24"/>
          <w:szCs w:val="24"/>
        </w:rPr>
      </w:pPr>
    </w:p>
    <w:p w:rsidR="00525419" w:rsidRDefault="00525419">
      <w:pPr>
        <w:jc w:val="center"/>
        <w:rPr>
          <w:rFonts w:ascii="Times New Roman" w:hAnsi="Times New Roman"/>
          <w:b/>
          <w:sz w:val="24"/>
          <w:szCs w:val="24"/>
        </w:rPr>
      </w:pPr>
    </w:p>
    <w:p w:rsidR="00525419" w:rsidRDefault="00525419">
      <w:pPr>
        <w:jc w:val="center"/>
        <w:rPr>
          <w:rFonts w:ascii="Times New Roman" w:hAnsi="Times New Roman"/>
          <w:b/>
          <w:sz w:val="24"/>
          <w:szCs w:val="24"/>
        </w:rPr>
      </w:pPr>
    </w:p>
    <w:p w:rsidR="00525419" w:rsidRDefault="00525419">
      <w:pPr>
        <w:jc w:val="center"/>
        <w:rPr>
          <w:rFonts w:ascii="Times New Roman" w:hAnsi="Times New Roman"/>
          <w:b/>
          <w:sz w:val="24"/>
          <w:szCs w:val="24"/>
        </w:rPr>
      </w:pPr>
    </w:p>
    <w:p w:rsidR="00525419" w:rsidRDefault="00525419">
      <w:pPr>
        <w:jc w:val="center"/>
        <w:rPr>
          <w:rFonts w:ascii="Times New Roman" w:hAnsi="Times New Roman"/>
          <w:b/>
          <w:sz w:val="24"/>
          <w:szCs w:val="24"/>
        </w:rPr>
      </w:pPr>
    </w:p>
    <w:p w:rsidR="00525419" w:rsidRDefault="00EE1CF7">
      <w:pPr>
        <w:jc w:val="center"/>
        <w:rPr>
          <w:rFonts w:ascii="Times New Roman" w:hAnsi="Times New Roman"/>
          <w:b/>
          <w:sz w:val="24"/>
          <w:szCs w:val="24"/>
        </w:rPr>
      </w:pPr>
      <w:r>
        <w:rPr>
          <w:rFonts w:ascii="Times New Roman" w:hAnsi="Times New Roman"/>
          <w:b/>
          <w:sz w:val="24"/>
          <w:szCs w:val="24"/>
        </w:rPr>
        <w:t>图</w:t>
      </w:r>
      <w:r>
        <w:rPr>
          <w:rFonts w:ascii="Times New Roman" w:hAnsi="Times New Roman"/>
          <w:b/>
          <w:sz w:val="24"/>
          <w:szCs w:val="24"/>
        </w:rPr>
        <w:t>3.3-1</w:t>
      </w:r>
      <w:r>
        <w:rPr>
          <w:rFonts w:ascii="Times New Roman" w:hAnsi="Times New Roman"/>
          <w:b/>
          <w:sz w:val="24"/>
          <w:szCs w:val="24"/>
        </w:rPr>
        <w:t xml:space="preserve">　　水平衡图　</w:t>
      </w:r>
      <w:r>
        <w:rPr>
          <w:rFonts w:ascii="Times New Roman" w:hAnsi="Times New Roman"/>
          <w:b/>
          <w:sz w:val="24"/>
          <w:szCs w:val="24"/>
        </w:rPr>
        <w:t xml:space="preserve"> </w:t>
      </w:r>
      <w:r>
        <w:rPr>
          <w:rFonts w:ascii="Times New Roman" w:hAnsi="Times New Roman"/>
          <w:b/>
          <w:sz w:val="24"/>
          <w:szCs w:val="24"/>
        </w:rPr>
        <w:t>单位：</w:t>
      </w:r>
      <w:r>
        <w:rPr>
          <w:rFonts w:ascii="Times New Roman" w:hAnsi="Times New Roman"/>
          <w:b/>
          <w:sz w:val="24"/>
          <w:szCs w:val="24"/>
        </w:rPr>
        <w:t>m</w:t>
      </w:r>
      <w:r>
        <w:rPr>
          <w:rFonts w:ascii="Times New Roman" w:hAnsi="Times New Roman"/>
          <w:b/>
          <w:sz w:val="24"/>
          <w:szCs w:val="24"/>
          <w:vertAlign w:val="superscript"/>
        </w:rPr>
        <w:t>3</w:t>
      </w:r>
      <w:r>
        <w:rPr>
          <w:rFonts w:ascii="Times New Roman" w:hAnsi="Times New Roman"/>
          <w:b/>
          <w:sz w:val="24"/>
          <w:szCs w:val="24"/>
        </w:rPr>
        <w:t>/h</w:t>
      </w:r>
    </w:p>
    <w:p w:rsidR="00525419" w:rsidRDefault="00525419">
      <w:pPr>
        <w:adjustRightInd w:val="0"/>
        <w:snapToGrid w:val="0"/>
        <w:spacing w:line="360" w:lineRule="auto"/>
        <w:ind w:firstLineChars="200" w:firstLine="480"/>
        <w:rPr>
          <w:rFonts w:ascii="Times New Roman" w:hAnsi="Times New Roman"/>
          <w:sz w:val="24"/>
        </w:rPr>
      </w:pP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）供电及电信</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①</w:t>
      </w:r>
      <w:r>
        <w:rPr>
          <w:rFonts w:ascii="Times New Roman" w:hAnsi="Times New Roman"/>
          <w:sz w:val="24"/>
        </w:rPr>
        <w:t>供电</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新疆美汇特石化产品有限公司厂区现建有的</w:t>
      </w:r>
      <w:r>
        <w:rPr>
          <w:rFonts w:ascii="Times New Roman" w:hAnsi="Times New Roman"/>
          <w:sz w:val="24"/>
        </w:rPr>
        <w:t>35kV</w:t>
      </w:r>
      <w:r>
        <w:rPr>
          <w:rFonts w:ascii="Times New Roman" w:hAnsi="Times New Roman"/>
          <w:sz w:val="24"/>
        </w:rPr>
        <w:t>变电站主变容量为</w:t>
      </w:r>
      <w:r>
        <w:rPr>
          <w:rFonts w:ascii="Times New Roman" w:hAnsi="Times New Roman"/>
          <w:sz w:val="24"/>
        </w:rPr>
        <w:t>12500kVA</w:t>
      </w:r>
      <w:r>
        <w:rPr>
          <w:rFonts w:ascii="Times New Roman" w:hAnsi="Times New Roman"/>
          <w:sz w:val="24"/>
        </w:rPr>
        <w:t>，满足新增装置供电需求。各个装置及配套公用工程供电由厂区低压配电室提供。变更后本项目总的用电负荷约为</w:t>
      </w:r>
      <w:r>
        <w:rPr>
          <w:rFonts w:ascii="Times New Roman" w:hAnsi="Times New Roman"/>
          <w:sz w:val="24"/>
        </w:rPr>
        <w:t>13450kW</w:t>
      </w:r>
      <w:r>
        <w:rPr>
          <w:rFonts w:ascii="Times New Roman" w:hAnsi="Times New Roman"/>
          <w:sz w:val="24"/>
        </w:rPr>
        <w:t>，年耗电量</w:t>
      </w:r>
      <w:r>
        <w:rPr>
          <w:rFonts w:ascii="Times New Roman" w:hAnsi="Times New Roman"/>
          <w:sz w:val="24"/>
        </w:rPr>
        <w:t>10760×10</w:t>
      </w:r>
      <w:r>
        <w:rPr>
          <w:rFonts w:ascii="Times New Roman" w:hAnsi="Times New Roman"/>
          <w:sz w:val="24"/>
          <w:vertAlign w:val="superscript"/>
        </w:rPr>
        <w:t>4</w:t>
      </w:r>
      <w:r>
        <w:rPr>
          <w:rFonts w:ascii="Times New Roman" w:hAnsi="Times New Roman"/>
          <w:sz w:val="24"/>
        </w:rPr>
        <w:t xml:space="preserve"> kWh</w:t>
      </w:r>
      <w:r>
        <w:rPr>
          <w:rFonts w:ascii="Times New Roman" w:hAnsi="Times New Roman"/>
          <w:sz w:val="24"/>
        </w:rPr>
        <w:t>。</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②</w:t>
      </w:r>
      <w:r>
        <w:rPr>
          <w:rFonts w:ascii="Times New Roman" w:hAnsi="Times New Roman"/>
          <w:sz w:val="24"/>
        </w:rPr>
        <w:t>电信</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本项目电信系统设有自动电话系统、生产调度电话系统、无线对讲电话、扩音对讲电话系统、火灾自动报警系统和电视监控系统。</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）供热（供汽）</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厂区原有供热热源有</w:t>
      </w:r>
      <w:r>
        <w:rPr>
          <w:rFonts w:ascii="Times New Roman" w:hAnsi="Times New Roman"/>
          <w:sz w:val="24"/>
        </w:rPr>
        <w:t>1</w:t>
      </w:r>
      <w:r>
        <w:rPr>
          <w:rFonts w:ascii="Times New Roman" w:hAnsi="Times New Roman"/>
          <w:sz w:val="24"/>
        </w:rPr>
        <w:t>处，容量为</w:t>
      </w:r>
      <w:r>
        <w:rPr>
          <w:rFonts w:ascii="Times New Roman" w:hAnsi="Times New Roman"/>
          <w:sz w:val="24"/>
        </w:rPr>
        <w:t>3</w:t>
      </w:r>
      <w:r>
        <w:rPr>
          <w:rFonts w:ascii="Times New Roman" w:hAnsi="Times New Roman"/>
          <w:sz w:val="24"/>
        </w:rPr>
        <w:t>台</w:t>
      </w:r>
      <w:r>
        <w:rPr>
          <w:rFonts w:ascii="Times New Roman" w:hAnsi="Times New Roman"/>
          <w:sz w:val="24"/>
        </w:rPr>
        <w:t>20t/h</w:t>
      </w:r>
      <w:r>
        <w:rPr>
          <w:rFonts w:ascii="Times New Roman" w:hAnsi="Times New Roman"/>
          <w:sz w:val="24"/>
        </w:rPr>
        <w:t>燃煤蒸汽锅炉，厂区现工程装置的蒸汽消耗量为</w:t>
      </w:r>
      <w:r>
        <w:rPr>
          <w:rFonts w:ascii="Times New Roman" w:hAnsi="Times New Roman"/>
          <w:sz w:val="24"/>
        </w:rPr>
        <w:t>6.375 t/h</w:t>
      </w:r>
      <w:r>
        <w:rPr>
          <w:rFonts w:ascii="Times New Roman" w:hAnsi="Times New Roman"/>
          <w:sz w:val="24"/>
        </w:rPr>
        <w:t>，本次装置消耗量为</w:t>
      </w:r>
      <w:r>
        <w:rPr>
          <w:rFonts w:ascii="Times New Roman" w:hAnsi="Times New Roman"/>
          <w:sz w:val="24"/>
        </w:rPr>
        <w:t>22.21t/h</w:t>
      </w:r>
      <w:r>
        <w:rPr>
          <w:rFonts w:ascii="Times New Roman" w:hAnsi="Times New Roman"/>
          <w:sz w:val="24"/>
        </w:rPr>
        <w:t>，装置自产蒸汽</w:t>
      </w:r>
      <w:r>
        <w:rPr>
          <w:rFonts w:ascii="Times New Roman" w:hAnsi="Times New Roman"/>
          <w:sz w:val="24"/>
        </w:rPr>
        <w:t>20.68t/h</w:t>
      </w:r>
      <w:r>
        <w:rPr>
          <w:rFonts w:ascii="Times New Roman" w:hAnsi="Times New Roman"/>
          <w:sz w:val="24"/>
        </w:rPr>
        <w:t>，需要厂区提供蒸汽</w:t>
      </w:r>
      <w:r>
        <w:rPr>
          <w:rFonts w:ascii="Times New Roman" w:hAnsi="Times New Roman"/>
          <w:sz w:val="24"/>
        </w:rPr>
        <w:t>1.53t/h</w:t>
      </w:r>
      <w:r>
        <w:rPr>
          <w:rFonts w:ascii="Times New Roman" w:hAnsi="Times New Roman"/>
          <w:sz w:val="24"/>
        </w:rPr>
        <w:t>，目前</w:t>
      </w:r>
      <w:r>
        <w:rPr>
          <w:rFonts w:ascii="Times New Roman" w:hAnsi="Times New Roman"/>
          <w:sz w:val="24"/>
        </w:rPr>
        <w:t>3</w:t>
      </w:r>
      <w:r>
        <w:rPr>
          <w:rFonts w:ascii="Times New Roman" w:hAnsi="Times New Roman"/>
          <w:sz w:val="24"/>
        </w:rPr>
        <w:t>台</w:t>
      </w:r>
      <w:r>
        <w:rPr>
          <w:rFonts w:ascii="Times New Roman" w:hAnsi="Times New Roman"/>
          <w:sz w:val="24"/>
        </w:rPr>
        <w:t>20t/h</w:t>
      </w:r>
      <w:r>
        <w:rPr>
          <w:rFonts w:ascii="Times New Roman" w:hAnsi="Times New Roman"/>
          <w:sz w:val="24"/>
        </w:rPr>
        <w:t>燃煤蒸汽锅炉可以满足生产要求。本项目热源由新疆美汇特石化产品有限公司现有低压蒸汽管网提供。</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w:t>
      </w:r>
      <w:bookmarkStart w:id="47" w:name="_Toc372654751"/>
      <w:bookmarkStart w:id="48" w:name="_Toc372658090"/>
      <w:bookmarkStart w:id="49" w:name="_Toc372920419"/>
      <w:bookmarkStart w:id="50" w:name="_Toc475517628"/>
      <w:r>
        <w:rPr>
          <w:rFonts w:ascii="Times New Roman" w:hAnsi="Times New Roman"/>
          <w:sz w:val="24"/>
        </w:rPr>
        <w:t>供风、供氮</w:t>
      </w:r>
      <w:bookmarkEnd w:id="47"/>
      <w:bookmarkEnd w:id="48"/>
      <w:bookmarkEnd w:id="49"/>
      <w:bookmarkEnd w:id="50"/>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rPr>
        <w:lastRenderedPageBreak/>
        <w:t>新疆美汇特石化产品有限公司厂区现</w:t>
      </w:r>
      <w:r>
        <w:rPr>
          <w:rFonts w:ascii="Times New Roman" w:hAnsi="Times New Roman" w:hint="eastAsia"/>
          <w:sz w:val="24"/>
        </w:rPr>
        <w:t>有</w:t>
      </w:r>
      <w:r>
        <w:rPr>
          <w:rFonts w:ascii="Times New Roman" w:hAnsi="Times New Roman"/>
          <w:sz w:val="24"/>
        </w:rPr>
        <w:t>空分空压站</w:t>
      </w:r>
      <w:r>
        <w:rPr>
          <w:rFonts w:ascii="Times New Roman" w:hAnsi="Times New Roman"/>
          <w:sz w:val="24"/>
          <w:szCs w:val="24"/>
        </w:rPr>
        <w:t>设计规模</w:t>
      </w:r>
      <w:r>
        <w:rPr>
          <w:rFonts w:ascii="Times New Roman" w:hAnsi="Times New Roman"/>
          <w:sz w:val="24"/>
          <w:szCs w:val="24"/>
        </w:rPr>
        <w:t>3×43m</w:t>
      </w:r>
      <w:r>
        <w:rPr>
          <w:rFonts w:ascii="Times New Roman" w:hAnsi="Times New Roman"/>
          <w:sz w:val="24"/>
          <w:szCs w:val="24"/>
          <w:vertAlign w:val="superscript"/>
        </w:rPr>
        <w:t>3</w:t>
      </w:r>
      <w:r>
        <w:rPr>
          <w:rFonts w:ascii="Times New Roman" w:hAnsi="Times New Roman"/>
          <w:sz w:val="24"/>
          <w:szCs w:val="24"/>
        </w:rPr>
        <w:t>/min</w:t>
      </w:r>
      <w:r>
        <w:rPr>
          <w:rFonts w:ascii="Times New Roman" w:hAnsi="Times New Roman"/>
          <w:sz w:val="24"/>
          <w:szCs w:val="24"/>
        </w:rPr>
        <w:t>（</w:t>
      </w:r>
      <w:r>
        <w:rPr>
          <w:rFonts w:ascii="Times New Roman" w:hAnsi="Times New Roman"/>
          <w:sz w:val="24"/>
          <w:szCs w:val="24"/>
        </w:rPr>
        <w:t>3×2580m</w:t>
      </w:r>
      <w:r>
        <w:rPr>
          <w:rFonts w:ascii="Times New Roman" w:hAnsi="Times New Roman"/>
          <w:sz w:val="24"/>
          <w:szCs w:val="24"/>
          <w:vertAlign w:val="superscript"/>
        </w:rPr>
        <w:t>3</w:t>
      </w:r>
      <w:r>
        <w:rPr>
          <w:rFonts w:ascii="Times New Roman" w:hAnsi="Times New Roman"/>
          <w:sz w:val="24"/>
          <w:szCs w:val="24"/>
        </w:rPr>
        <w:t>/h)</w:t>
      </w:r>
      <w:r>
        <w:rPr>
          <w:rFonts w:ascii="Times New Roman" w:hAnsi="Times New Roman"/>
          <w:sz w:val="24"/>
          <w:szCs w:val="24"/>
        </w:rPr>
        <w:t>。</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hint="eastAsia"/>
          <w:sz w:val="24"/>
        </w:rPr>
        <w:t>本项目</w:t>
      </w:r>
      <w:r>
        <w:rPr>
          <w:rFonts w:ascii="Times New Roman" w:hAnsi="Times New Roman"/>
          <w:sz w:val="24"/>
        </w:rPr>
        <w:t>新增</w:t>
      </w:r>
      <w:r>
        <w:rPr>
          <w:rFonts w:ascii="Times New Roman" w:hAnsi="Times New Roman" w:hint="eastAsia"/>
          <w:sz w:val="24"/>
        </w:rPr>
        <w:t>建设</w:t>
      </w:r>
      <w:r>
        <w:rPr>
          <w:rFonts w:ascii="Times New Roman" w:hAnsi="Times New Roman"/>
          <w:sz w:val="24"/>
        </w:rPr>
        <w:t>氮气站为</w:t>
      </w:r>
      <w:r>
        <w:rPr>
          <w:rFonts w:ascii="Times New Roman" w:hAnsi="Times New Roman"/>
          <w:sz w:val="24"/>
        </w:rPr>
        <w:t>1250 Nm</w:t>
      </w:r>
      <w:r>
        <w:rPr>
          <w:rFonts w:ascii="Times New Roman" w:hAnsi="Times New Roman"/>
          <w:sz w:val="24"/>
          <w:vertAlign w:val="superscript"/>
        </w:rPr>
        <w:t>3</w:t>
      </w:r>
      <w:r>
        <w:rPr>
          <w:rFonts w:ascii="Times New Roman" w:hAnsi="Times New Roman"/>
          <w:sz w:val="24"/>
        </w:rPr>
        <w:t>/h</w:t>
      </w:r>
      <w:r>
        <w:rPr>
          <w:rFonts w:ascii="Times New Roman" w:hAnsi="Times New Roman"/>
          <w:sz w:val="24"/>
        </w:rPr>
        <w:t>，需要净化风为：</w:t>
      </w:r>
      <w:r>
        <w:rPr>
          <w:rFonts w:ascii="Times New Roman" w:hAnsi="Times New Roman"/>
          <w:sz w:val="24"/>
        </w:rPr>
        <w:t>1250/60×3.5=72.9Nm</w:t>
      </w:r>
      <w:r>
        <w:rPr>
          <w:rFonts w:ascii="Times New Roman" w:hAnsi="Times New Roman"/>
          <w:sz w:val="24"/>
          <w:vertAlign w:val="superscript"/>
        </w:rPr>
        <w:t>3</w:t>
      </w:r>
      <w:r>
        <w:rPr>
          <w:rFonts w:ascii="Times New Roman" w:hAnsi="Times New Roman"/>
          <w:sz w:val="24"/>
        </w:rPr>
        <w:t>/min</w:t>
      </w:r>
      <w:r>
        <w:rPr>
          <w:rFonts w:ascii="Times New Roman" w:hAnsi="Times New Roman"/>
          <w:sz w:val="24"/>
        </w:rPr>
        <w:t>，于是空压站总耗气量为：</w:t>
      </w:r>
      <w:r>
        <w:rPr>
          <w:rFonts w:ascii="Times New Roman" w:hAnsi="Times New Roman"/>
          <w:sz w:val="24"/>
        </w:rPr>
        <w:t>72.9+42.228</w:t>
      </w:r>
      <w:r>
        <w:rPr>
          <w:rFonts w:ascii="Times New Roman" w:hAnsi="Times New Roman"/>
          <w:sz w:val="24"/>
        </w:rPr>
        <w:t>（非净化风量）</w:t>
      </w:r>
      <w:r>
        <w:rPr>
          <w:rFonts w:ascii="Times New Roman" w:hAnsi="Times New Roman"/>
          <w:sz w:val="24"/>
        </w:rPr>
        <w:t>=115.128Nm</w:t>
      </w:r>
      <w:r>
        <w:rPr>
          <w:rFonts w:ascii="Times New Roman" w:hAnsi="Times New Roman"/>
          <w:sz w:val="24"/>
          <w:vertAlign w:val="superscript"/>
        </w:rPr>
        <w:t>3</w:t>
      </w:r>
      <w:r>
        <w:rPr>
          <w:rFonts w:ascii="Times New Roman" w:hAnsi="Times New Roman"/>
          <w:sz w:val="24"/>
        </w:rPr>
        <w:t>/min</w:t>
      </w:r>
      <w:r>
        <w:rPr>
          <w:rFonts w:ascii="Times New Roman" w:hAnsi="Times New Roman" w:hint="eastAsia"/>
          <w:sz w:val="24"/>
        </w:rPr>
        <w:t>，</w:t>
      </w:r>
      <w:r>
        <w:rPr>
          <w:rFonts w:ascii="Times New Roman" w:hAnsi="Times New Roman"/>
          <w:sz w:val="24"/>
        </w:rPr>
        <w:t>故本项目新建一套</w:t>
      </w:r>
      <w:r>
        <w:rPr>
          <w:rFonts w:ascii="Times New Roman" w:hAnsi="Times New Roman"/>
          <w:sz w:val="24"/>
        </w:rPr>
        <w:t>150Nm</w:t>
      </w:r>
      <w:r>
        <w:rPr>
          <w:rFonts w:ascii="Times New Roman" w:hAnsi="Times New Roman"/>
          <w:sz w:val="24"/>
          <w:vertAlign w:val="superscript"/>
        </w:rPr>
        <w:t>3</w:t>
      </w:r>
      <w:r>
        <w:rPr>
          <w:rFonts w:ascii="Times New Roman" w:hAnsi="Times New Roman"/>
          <w:sz w:val="24"/>
        </w:rPr>
        <w:t>/min</w:t>
      </w:r>
      <w:r>
        <w:rPr>
          <w:rFonts w:ascii="Times New Roman" w:hAnsi="Times New Roman"/>
          <w:sz w:val="24"/>
        </w:rPr>
        <w:t>（</w:t>
      </w:r>
      <w:r>
        <w:rPr>
          <w:rFonts w:ascii="Times New Roman" w:hAnsi="Times New Roman"/>
          <w:sz w:val="24"/>
        </w:rPr>
        <w:t>9000Nm</w:t>
      </w:r>
      <w:r>
        <w:rPr>
          <w:rFonts w:ascii="Times New Roman" w:hAnsi="Times New Roman"/>
          <w:sz w:val="24"/>
          <w:vertAlign w:val="superscript"/>
        </w:rPr>
        <w:t>3</w:t>
      </w:r>
      <w:r>
        <w:rPr>
          <w:rFonts w:ascii="Times New Roman" w:hAnsi="Times New Roman"/>
          <w:sz w:val="24"/>
        </w:rPr>
        <w:t>/h</w:t>
      </w:r>
      <w:r>
        <w:rPr>
          <w:rFonts w:ascii="Times New Roman" w:hAnsi="Times New Roman"/>
          <w:sz w:val="24"/>
        </w:rPr>
        <w:t>）的净化空气装置。</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w:t>
      </w:r>
      <w:bookmarkStart w:id="51" w:name="_Toc475517629"/>
      <w:r>
        <w:rPr>
          <w:rFonts w:ascii="Times New Roman" w:hAnsi="Times New Roman"/>
          <w:sz w:val="24"/>
        </w:rPr>
        <w:t>火炬系统</w:t>
      </w:r>
      <w:bookmarkEnd w:id="51"/>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本项目新建火炬系统，高压火炬竖筒、低压火炬竖筒、酸性气火炬竖筒共用一座三边形变截面双曲线法兰螺栓连接的塔架集中布置，火炬总高为</w:t>
      </w:r>
      <w:r>
        <w:rPr>
          <w:rFonts w:ascii="Times New Roman" w:hAnsi="Times New Roman"/>
          <w:sz w:val="24"/>
        </w:rPr>
        <w:t>110m</w:t>
      </w:r>
      <w:r>
        <w:rPr>
          <w:rFonts w:ascii="Times New Roman" w:hAnsi="Times New Roman"/>
          <w:sz w:val="24"/>
        </w:rPr>
        <w:t>，塔架垂直高度</w:t>
      </w:r>
      <w:r>
        <w:rPr>
          <w:rFonts w:ascii="Times New Roman" w:hAnsi="Times New Roman"/>
          <w:sz w:val="24"/>
        </w:rPr>
        <w:t>105m</w:t>
      </w:r>
      <w:r>
        <w:rPr>
          <w:rFonts w:ascii="Times New Roman" w:hAnsi="Times New Roman"/>
          <w:sz w:val="24"/>
        </w:rPr>
        <w:t>，根开</w:t>
      </w:r>
      <w:r>
        <w:rPr>
          <w:rFonts w:ascii="Times New Roman" w:hAnsi="Times New Roman"/>
          <w:sz w:val="24"/>
        </w:rPr>
        <w:t>18m</w:t>
      </w:r>
      <w:r>
        <w:rPr>
          <w:rFonts w:ascii="Times New Roman" w:hAnsi="Times New Roman"/>
          <w:sz w:val="24"/>
        </w:rPr>
        <w:t>，采用热浸锌防腐。火矩接收气体为厂区生产装置在事故状态时所排放的可燃和不可燃气体。火炬气到达火炬界区后先进卧式分液罐分离火炬气中可能夹带的可燃液体，再进立式水封罐、通过分子封到达火炬头燃烧。火炬系统的点火系统共设置</w:t>
      </w:r>
      <w:r>
        <w:rPr>
          <w:rFonts w:ascii="Times New Roman" w:hAnsi="Times New Roman"/>
          <w:sz w:val="24"/>
        </w:rPr>
        <w:t xml:space="preserve"> 1 </w:t>
      </w:r>
      <w:r>
        <w:rPr>
          <w:rFonts w:ascii="Times New Roman" w:hAnsi="Times New Roman"/>
          <w:sz w:val="24"/>
        </w:rPr>
        <w:t>台防爆点火控制箱，可手动、自动、远程点火操作。并设手动</w:t>
      </w:r>
      <w:r>
        <w:rPr>
          <w:rFonts w:ascii="Times New Roman" w:hAnsi="Times New Roman"/>
          <w:sz w:val="24"/>
        </w:rPr>
        <w:t>/</w:t>
      </w:r>
      <w:r>
        <w:rPr>
          <w:rFonts w:ascii="Times New Roman" w:hAnsi="Times New Roman"/>
          <w:sz w:val="24"/>
        </w:rPr>
        <w:t>自动切换，点火信号硬接线（或通讯协议）至</w:t>
      </w:r>
      <w:r>
        <w:rPr>
          <w:rFonts w:ascii="Times New Roman" w:hAnsi="Times New Roman"/>
          <w:sz w:val="24"/>
        </w:rPr>
        <w:t>DCS</w:t>
      </w:r>
      <w:r>
        <w:rPr>
          <w:rFonts w:ascii="Times New Roman" w:hAnsi="Times New Roman"/>
          <w:sz w:val="24"/>
        </w:rPr>
        <w:t>机柜间。为了确保点火可靠，设置</w:t>
      </w:r>
      <w:r>
        <w:rPr>
          <w:rFonts w:ascii="Times New Roman" w:hAnsi="Times New Roman"/>
          <w:sz w:val="24"/>
        </w:rPr>
        <w:t>1</w:t>
      </w:r>
      <w:r>
        <w:rPr>
          <w:rFonts w:ascii="Times New Roman" w:hAnsi="Times New Roman"/>
          <w:sz w:val="24"/>
        </w:rPr>
        <w:t>套地面爆燃点火装置作为手动备用点火。</w:t>
      </w:r>
    </w:p>
    <w:p w:rsidR="00525419" w:rsidRDefault="00EE1CF7">
      <w:pPr>
        <w:adjustRightInd w:val="0"/>
        <w:snapToGrid w:val="0"/>
        <w:spacing w:line="360" w:lineRule="auto"/>
        <w:ind w:firstLineChars="200" w:firstLine="480"/>
        <w:rPr>
          <w:rFonts w:ascii="Times New Roman" w:hAnsi="Times New Roman"/>
          <w:sz w:val="24"/>
        </w:rPr>
      </w:pPr>
      <w:bookmarkStart w:id="52" w:name="_Toc372920421"/>
      <w:bookmarkStart w:id="53" w:name="_Toc475517630"/>
      <w:bookmarkStart w:id="54" w:name="_Toc372654754"/>
      <w:bookmarkStart w:id="55" w:name="_Toc372658093"/>
      <w:r>
        <w:rPr>
          <w:rFonts w:ascii="Times New Roman" w:hAnsi="Times New Roman"/>
          <w:sz w:val="24"/>
        </w:rPr>
        <w:t>（</w:t>
      </w:r>
      <w:r>
        <w:rPr>
          <w:rFonts w:ascii="Times New Roman" w:hAnsi="Times New Roman"/>
          <w:sz w:val="24"/>
        </w:rPr>
        <w:t>6</w:t>
      </w:r>
      <w:r>
        <w:rPr>
          <w:rFonts w:ascii="Times New Roman" w:hAnsi="Times New Roman"/>
          <w:sz w:val="24"/>
        </w:rPr>
        <w:t>）其他生产辅助设施</w:t>
      </w:r>
      <w:bookmarkEnd w:id="52"/>
      <w:bookmarkEnd w:id="53"/>
      <w:bookmarkEnd w:id="54"/>
      <w:bookmarkEnd w:id="55"/>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项目其他生产经营辅助设施，包括生产调度楼、宿舍楼、浴池、食堂、文体活动场地等，依托新疆美汇特石化产品有限公司厂区已建有设施。</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3.3.2.3</w:t>
      </w:r>
      <w:r>
        <w:rPr>
          <w:rFonts w:ascii="Times New Roman" w:hAnsi="Times New Roman" w:cs="Times New Roman"/>
          <w:kern w:val="44"/>
          <w:sz w:val="24"/>
          <w:szCs w:val="24"/>
        </w:rPr>
        <w:t>储运工程</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储运工程建设内容包括原料油、成品油储存和运输设施。煤焦油自装卸车单元经管道送至原料罐中储存，后利用供料泵经管道送至装置；液化气、柴油、石脑油、尾油等产品经管道自装置送至各自储罐储存，后利用装车泵经管道送至装车设施装汽车出厂。</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）油品贮存</w:t>
      </w:r>
    </w:p>
    <w:p w:rsidR="00525419" w:rsidRDefault="00EE1CF7">
      <w:pPr>
        <w:adjustRightInd w:val="0"/>
        <w:snapToGrid w:val="0"/>
        <w:spacing w:line="360" w:lineRule="auto"/>
        <w:ind w:firstLineChars="200" w:firstLine="480"/>
        <w:rPr>
          <w:rFonts w:ascii="Times New Roman" w:hAnsi="Times New Roman"/>
          <w:sz w:val="24"/>
          <w:lang w:val="zh-CN"/>
        </w:rPr>
      </w:pPr>
      <w:r>
        <w:rPr>
          <w:rFonts w:ascii="Times New Roman" w:hAnsi="Times New Roman" w:hint="eastAsia"/>
          <w:sz w:val="24"/>
        </w:rPr>
        <w:t>本项目</w:t>
      </w:r>
      <w:r>
        <w:rPr>
          <w:rFonts w:ascii="Times New Roman" w:hAnsi="Times New Roman"/>
          <w:sz w:val="24"/>
          <w:lang w:val="zh-CN"/>
        </w:rPr>
        <w:t>煤焦油储存利旧</w:t>
      </w:r>
      <w:r>
        <w:rPr>
          <w:rFonts w:ascii="Times New Roman" w:hAnsi="Times New Roman"/>
          <w:sz w:val="24"/>
          <w:lang w:val="zh-CN"/>
        </w:rPr>
        <w:t>3</w:t>
      </w:r>
      <w:r>
        <w:rPr>
          <w:rFonts w:ascii="Times New Roman" w:hAnsi="Times New Roman"/>
          <w:sz w:val="24"/>
          <w:lang w:val="zh-CN"/>
        </w:rPr>
        <w:t>座</w:t>
      </w:r>
      <w:r>
        <w:rPr>
          <w:rFonts w:ascii="Times New Roman" w:hAnsi="Times New Roman"/>
          <w:sz w:val="24"/>
          <w:lang w:val="zh-CN"/>
        </w:rPr>
        <w:t>10000m</w:t>
      </w:r>
      <w:r>
        <w:rPr>
          <w:rFonts w:ascii="Times New Roman" w:hAnsi="Times New Roman"/>
          <w:sz w:val="24"/>
          <w:vertAlign w:val="superscript"/>
          <w:lang w:val="zh-CN"/>
        </w:rPr>
        <w:t>3</w:t>
      </w:r>
      <w:r>
        <w:rPr>
          <w:rFonts w:ascii="Times New Roman" w:hAnsi="Times New Roman"/>
          <w:sz w:val="24"/>
          <w:lang w:val="zh-CN"/>
        </w:rPr>
        <w:t>储罐，精制尾油储存利旧</w:t>
      </w:r>
      <w:r>
        <w:rPr>
          <w:rFonts w:ascii="Times New Roman" w:hAnsi="Times New Roman"/>
          <w:sz w:val="24"/>
          <w:lang w:val="zh-CN"/>
        </w:rPr>
        <w:t>1</w:t>
      </w:r>
      <w:r>
        <w:rPr>
          <w:rFonts w:ascii="Times New Roman" w:hAnsi="Times New Roman"/>
          <w:sz w:val="24"/>
          <w:lang w:val="zh-CN"/>
        </w:rPr>
        <w:t>座</w:t>
      </w:r>
      <w:r>
        <w:rPr>
          <w:rFonts w:ascii="Times New Roman" w:hAnsi="Times New Roman"/>
          <w:sz w:val="24"/>
          <w:lang w:val="zh-CN"/>
        </w:rPr>
        <w:t>2000m</w:t>
      </w:r>
      <w:r>
        <w:rPr>
          <w:rFonts w:ascii="Times New Roman" w:hAnsi="Times New Roman"/>
          <w:sz w:val="24"/>
          <w:vertAlign w:val="superscript"/>
          <w:lang w:val="zh-CN"/>
        </w:rPr>
        <w:t>3</w:t>
      </w:r>
      <w:r>
        <w:rPr>
          <w:rFonts w:ascii="Times New Roman" w:hAnsi="Times New Roman"/>
          <w:sz w:val="24"/>
          <w:lang w:val="zh-CN"/>
        </w:rPr>
        <w:t>储罐，精制柴油储存利旧</w:t>
      </w:r>
      <w:r>
        <w:rPr>
          <w:rFonts w:ascii="Times New Roman" w:hAnsi="Times New Roman"/>
          <w:sz w:val="24"/>
          <w:lang w:val="zh-CN"/>
        </w:rPr>
        <w:t>3</w:t>
      </w:r>
      <w:r>
        <w:rPr>
          <w:rFonts w:ascii="Times New Roman" w:hAnsi="Times New Roman"/>
          <w:sz w:val="24"/>
          <w:lang w:val="zh-CN"/>
        </w:rPr>
        <w:t>座</w:t>
      </w:r>
      <w:r>
        <w:rPr>
          <w:rFonts w:ascii="Times New Roman" w:hAnsi="Times New Roman"/>
          <w:sz w:val="24"/>
          <w:lang w:val="zh-CN"/>
        </w:rPr>
        <w:t>5000m</w:t>
      </w:r>
      <w:r>
        <w:rPr>
          <w:rFonts w:ascii="Times New Roman" w:hAnsi="Times New Roman"/>
          <w:sz w:val="24"/>
          <w:vertAlign w:val="superscript"/>
          <w:lang w:val="zh-CN"/>
        </w:rPr>
        <w:t>3</w:t>
      </w:r>
      <w:r>
        <w:rPr>
          <w:rFonts w:ascii="Times New Roman" w:hAnsi="Times New Roman"/>
          <w:sz w:val="24"/>
          <w:lang w:val="zh-CN"/>
        </w:rPr>
        <w:t>储罐，石脑油储存利旧</w:t>
      </w:r>
      <w:r>
        <w:rPr>
          <w:rFonts w:ascii="Times New Roman" w:hAnsi="Times New Roman"/>
          <w:sz w:val="24"/>
          <w:lang w:val="zh-CN"/>
        </w:rPr>
        <w:t>1</w:t>
      </w:r>
      <w:r>
        <w:rPr>
          <w:rFonts w:ascii="Times New Roman" w:hAnsi="Times New Roman"/>
          <w:sz w:val="24"/>
          <w:lang w:val="zh-CN"/>
        </w:rPr>
        <w:t>座</w:t>
      </w:r>
      <w:r>
        <w:rPr>
          <w:rFonts w:ascii="Times New Roman" w:hAnsi="Times New Roman"/>
          <w:sz w:val="24"/>
          <w:lang w:val="zh-CN"/>
        </w:rPr>
        <w:t>5000m</w:t>
      </w:r>
      <w:r>
        <w:rPr>
          <w:rFonts w:ascii="Times New Roman" w:hAnsi="Times New Roman"/>
          <w:sz w:val="24"/>
          <w:vertAlign w:val="superscript"/>
          <w:lang w:val="zh-CN"/>
        </w:rPr>
        <w:t>3</w:t>
      </w:r>
      <w:r>
        <w:rPr>
          <w:rFonts w:ascii="Times New Roman" w:hAnsi="Times New Roman"/>
          <w:sz w:val="24"/>
          <w:lang w:val="zh-CN"/>
        </w:rPr>
        <w:t>储罐，液化石油气储存利旧</w:t>
      </w:r>
      <w:r>
        <w:rPr>
          <w:rFonts w:ascii="Times New Roman" w:hAnsi="Times New Roman"/>
          <w:sz w:val="24"/>
          <w:lang w:val="zh-CN"/>
        </w:rPr>
        <w:t>4</w:t>
      </w:r>
      <w:r>
        <w:rPr>
          <w:rFonts w:ascii="Times New Roman" w:hAnsi="Times New Roman"/>
          <w:sz w:val="24"/>
          <w:lang w:val="zh-CN"/>
        </w:rPr>
        <w:t>座</w:t>
      </w:r>
      <w:r>
        <w:rPr>
          <w:rFonts w:ascii="Times New Roman" w:hAnsi="Times New Roman"/>
          <w:sz w:val="24"/>
          <w:lang w:val="zh-CN"/>
        </w:rPr>
        <w:t>1000m</w:t>
      </w:r>
      <w:r>
        <w:rPr>
          <w:rFonts w:ascii="Times New Roman" w:hAnsi="Times New Roman"/>
          <w:sz w:val="24"/>
          <w:vertAlign w:val="superscript"/>
          <w:lang w:val="zh-CN"/>
        </w:rPr>
        <w:t>3</w:t>
      </w:r>
      <w:r>
        <w:rPr>
          <w:rFonts w:ascii="Times New Roman" w:hAnsi="Times New Roman"/>
          <w:sz w:val="24"/>
          <w:lang w:val="zh-CN"/>
        </w:rPr>
        <w:t>储罐，尾油储存利旧</w:t>
      </w:r>
      <w:r>
        <w:rPr>
          <w:rFonts w:ascii="Times New Roman" w:hAnsi="Times New Roman"/>
          <w:sz w:val="24"/>
          <w:lang w:val="zh-CN"/>
        </w:rPr>
        <w:t>2</w:t>
      </w:r>
      <w:r>
        <w:rPr>
          <w:rFonts w:ascii="Times New Roman" w:hAnsi="Times New Roman"/>
          <w:sz w:val="24"/>
          <w:lang w:val="zh-CN"/>
        </w:rPr>
        <w:t>座</w:t>
      </w:r>
      <w:r>
        <w:rPr>
          <w:rFonts w:ascii="Times New Roman" w:hAnsi="Times New Roman"/>
          <w:sz w:val="24"/>
          <w:lang w:val="zh-CN"/>
        </w:rPr>
        <w:t>10000m</w:t>
      </w:r>
      <w:r>
        <w:rPr>
          <w:rFonts w:ascii="Times New Roman" w:hAnsi="Times New Roman"/>
          <w:sz w:val="24"/>
          <w:vertAlign w:val="superscript"/>
          <w:lang w:val="zh-CN"/>
        </w:rPr>
        <w:t>3</w:t>
      </w:r>
      <w:r>
        <w:rPr>
          <w:rFonts w:ascii="Times New Roman" w:hAnsi="Times New Roman"/>
          <w:sz w:val="24"/>
          <w:lang w:val="zh-CN"/>
        </w:rPr>
        <w:t>尾油中间罐。</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本项目依托厂区储罐区各类储罐，其产品储存方式见表</w:t>
      </w:r>
      <w:r>
        <w:rPr>
          <w:rFonts w:ascii="Times New Roman" w:hAnsi="Times New Roman"/>
          <w:sz w:val="24"/>
        </w:rPr>
        <w:t>3.3-11</w:t>
      </w:r>
      <w:r>
        <w:rPr>
          <w:rFonts w:ascii="Times New Roman" w:hAnsi="Times New Roman"/>
          <w:sz w:val="24"/>
        </w:rPr>
        <w:t>。</w:t>
      </w:r>
    </w:p>
    <w:p w:rsidR="00525419" w:rsidRDefault="00525419">
      <w:pPr>
        <w:adjustRightInd w:val="0"/>
        <w:snapToGrid w:val="0"/>
        <w:jc w:val="center"/>
        <w:rPr>
          <w:rFonts w:ascii="Times New Roman" w:eastAsia="黑体" w:hAnsi="Times New Roman"/>
        </w:rPr>
      </w:pPr>
    </w:p>
    <w:p w:rsidR="00525419" w:rsidRDefault="00525419">
      <w:pPr>
        <w:adjustRightInd w:val="0"/>
        <w:snapToGrid w:val="0"/>
        <w:jc w:val="center"/>
        <w:rPr>
          <w:rFonts w:ascii="Times New Roman" w:eastAsia="黑体" w:hAnsi="Times New Roman"/>
        </w:rPr>
      </w:pPr>
    </w:p>
    <w:p w:rsidR="00525419" w:rsidRDefault="00EE1CF7">
      <w:pPr>
        <w:adjustRightInd w:val="0"/>
        <w:snapToGrid w:val="0"/>
        <w:jc w:val="center"/>
        <w:rPr>
          <w:rFonts w:ascii="Times New Roman" w:eastAsia="黑体" w:hAnsi="Times New Roman"/>
        </w:rPr>
      </w:pPr>
      <w:r>
        <w:rPr>
          <w:rFonts w:ascii="Times New Roman" w:eastAsia="黑体" w:hAnsi="Times New Roman"/>
        </w:rPr>
        <w:lastRenderedPageBreak/>
        <w:t>表</w:t>
      </w:r>
      <w:r>
        <w:rPr>
          <w:rFonts w:ascii="Times New Roman" w:eastAsia="黑体" w:hAnsi="Times New Roman"/>
        </w:rPr>
        <w:t xml:space="preserve">3.3-11    </w:t>
      </w:r>
      <w:r>
        <w:rPr>
          <w:rFonts w:ascii="Times New Roman" w:eastAsia="黑体" w:hAnsi="Times New Roman"/>
        </w:rPr>
        <w:t>产品周转量及存储量</w:t>
      </w:r>
    </w:p>
    <w:tbl>
      <w:tblPr>
        <w:tblW w:w="847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80"/>
        <w:gridCol w:w="806"/>
        <w:gridCol w:w="777"/>
        <w:gridCol w:w="653"/>
        <w:gridCol w:w="380"/>
        <w:gridCol w:w="695"/>
        <w:gridCol w:w="695"/>
        <w:gridCol w:w="631"/>
        <w:gridCol w:w="764"/>
        <w:gridCol w:w="571"/>
        <w:gridCol w:w="988"/>
        <w:gridCol w:w="1131"/>
      </w:tblGrid>
      <w:tr w:rsidR="00525419">
        <w:trPr>
          <w:cantSplit/>
          <w:trHeight w:val="465"/>
          <w:tblHeader/>
        </w:trPr>
        <w:tc>
          <w:tcPr>
            <w:tcW w:w="380"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号</w:t>
            </w:r>
          </w:p>
        </w:tc>
        <w:tc>
          <w:tcPr>
            <w:tcW w:w="806"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名称</w:t>
            </w:r>
          </w:p>
        </w:tc>
        <w:tc>
          <w:tcPr>
            <w:tcW w:w="777"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周转量</w:t>
            </w:r>
            <w:r>
              <w:rPr>
                <w:rFonts w:ascii="Times New Roman" w:hAnsi="Times New Roman"/>
              </w:rPr>
              <w:t>×10</w:t>
            </w:r>
            <w:r>
              <w:rPr>
                <w:rFonts w:ascii="Times New Roman" w:hAnsi="Times New Roman"/>
                <w:vertAlign w:val="superscript"/>
              </w:rPr>
              <w:t>4</w:t>
            </w:r>
            <w:r>
              <w:rPr>
                <w:rFonts w:ascii="Times New Roman" w:hAnsi="Times New Roman"/>
              </w:rPr>
              <w:t>t/a</w:t>
            </w:r>
          </w:p>
        </w:tc>
        <w:tc>
          <w:tcPr>
            <w:tcW w:w="653"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储存</w:t>
            </w:r>
          </w:p>
          <w:p w:rsidR="00525419" w:rsidRDefault="00EE1CF7">
            <w:pPr>
              <w:adjustRightInd w:val="0"/>
              <w:snapToGrid w:val="0"/>
              <w:jc w:val="center"/>
              <w:rPr>
                <w:rFonts w:ascii="Times New Roman" w:hAnsi="Times New Roman"/>
              </w:rPr>
            </w:pPr>
            <w:r>
              <w:rPr>
                <w:rFonts w:ascii="Times New Roman" w:hAnsi="Times New Roman"/>
              </w:rPr>
              <w:t>地点</w:t>
            </w:r>
          </w:p>
        </w:tc>
        <w:tc>
          <w:tcPr>
            <w:tcW w:w="380"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储罐</w:t>
            </w:r>
          </w:p>
          <w:p w:rsidR="00525419" w:rsidRDefault="00EE1CF7">
            <w:pPr>
              <w:adjustRightInd w:val="0"/>
              <w:snapToGrid w:val="0"/>
              <w:jc w:val="center"/>
              <w:rPr>
                <w:rFonts w:ascii="Times New Roman" w:hAnsi="Times New Roman"/>
              </w:rPr>
            </w:pPr>
            <w:r>
              <w:rPr>
                <w:rFonts w:ascii="Times New Roman" w:hAnsi="Times New Roman"/>
              </w:rPr>
              <w:t>数量</w:t>
            </w:r>
          </w:p>
        </w:tc>
        <w:tc>
          <w:tcPr>
            <w:tcW w:w="695"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储罐</w:t>
            </w:r>
          </w:p>
          <w:p w:rsidR="00525419" w:rsidRDefault="00EE1CF7">
            <w:pPr>
              <w:adjustRightInd w:val="0"/>
              <w:snapToGrid w:val="0"/>
              <w:jc w:val="center"/>
              <w:rPr>
                <w:rFonts w:ascii="Times New Roman" w:hAnsi="Times New Roman"/>
              </w:rPr>
            </w:pPr>
            <w:r>
              <w:rPr>
                <w:rFonts w:ascii="Times New Roman" w:hAnsi="Times New Roman"/>
              </w:rPr>
              <w:t>容积</w:t>
            </w:r>
            <w:r>
              <w:rPr>
                <w:rFonts w:ascii="Times New Roman" w:hAnsi="Times New Roman"/>
              </w:rPr>
              <w:t>m</w:t>
            </w:r>
            <w:r>
              <w:rPr>
                <w:rFonts w:ascii="Times New Roman" w:hAnsi="Times New Roman"/>
                <w:vertAlign w:val="superscript"/>
              </w:rPr>
              <w:t>3</w:t>
            </w:r>
          </w:p>
        </w:tc>
        <w:tc>
          <w:tcPr>
            <w:tcW w:w="695"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储罐有效</w:t>
            </w:r>
          </w:p>
          <w:p w:rsidR="00525419" w:rsidRDefault="00EE1CF7">
            <w:pPr>
              <w:adjustRightInd w:val="0"/>
              <w:snapToGrid w:val="0"/>
              <w:jc w:val="center"/>
              <w:rPr>
                <w:rFonts w:ascii="Times New Roman" w:hAnsi="Times New Roman"/>
              </w:rPr>
            </w:pPr>
            <w:r>
              <w:rPr>
                <w:rFonts w:ascii="Times New Roman" w:hAnsi="Times New Roman"/>
              </w:rPr>
              <w:t>容积</w:t>
            </w:r>
            <w:r>
              <w:rPr>
                <w:rFonts w:ascii="Times New Roman" w:hAnsi="Times New Roman"/>
              </w:rPr>
              <w:t>m</w:t>
            </w:r>
            <w:r>
              <w:rPr>
                <w:rFonts w:ascii="Times New Roman" w:hAnsi="Times New Roman"/>
                <w:vertAlign w:val="superscript"/>
              </w:rPr>
              <w:t>3</w:t>
            </w:r>
          </w:p>
        </w:tc>
        <w:tc>
          <w:tcPr>
            <w:tcW w:w="631"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储存方式</w:t>
            </w:r>
          </w:p>
        </w:tc>
        <w:tc>
          <w:tcPr>
            <w:tcW w:w="764"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储存量（</w:t>
            </w:r>
            <w:r>
              <w:rPr>
                <w:rFonts w:ascii="Times New Roman" w:hAnsi="Times New Roman"/>
              </w:rPr>
              <w:t>t</w:t>
            </w:r>
            <w:r>
              <w:rPr>
                <w:rFonts w:ascii="Times New Roman" w:hAnsi="Times New Roman"/>
              </w:rPr>
              <w:t>）</w:t>
            </w:r>
          </w:p>
        </w:tc>
        <w:tc>
          <w:tcPr>
            <w:tcW w:w="571"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储存天数</w:t>
            </w:r>
          </w:p>
        </w:tc>
        <w:tc>
          <w:tcPr>
            <w:tcW w:w="988"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备注</w:t>
            </w:r>
          </w:p>
        </w:tc>
        <w:tc>
          <w:tcPr>
            <w:tcW w:w="1131"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被征用</w:t>
            </w:r>
          </w:p>
          <w:p w:rsidR="00525419" w:rsidRDefault="00EE1CF7">
            <w:pPr>
              <w:adjustRightInd w:val="0"/>
              <w:snapToGrid w:val="0"/>
              <w:jc w:val="center"/>
              <w:rPr>
                <w:rFonts w:ascii="Times New Roman" w:hAnsi="Times New Roman"/>
              </w:rPr>
            </w:pPr>
            <w:r>
              <w:rPr>
                <w:rFonts w:ascii="Times New Roman" w:hAnsi="Times New Roman"/>
              </w:rPr>
              <w:t>储罐编号</w:t>
            </w:r>
          </w:p>
        </w:tc>
      </w:tr>
      <w:tr w:rsidR="00525419">
        <w:trPr>
          <w:cantSplit/>
          <w:trHeight w:val="465"/>
        </w:trPr>
        <w:tc>
          <w:tcPr>
            <w:tcW w:w="380"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1</w:t>
            </w:r>
          </w:p>
        </w:tc>
        <w:tc>
          <w:tcPr>
            <w:tcW w:w="806"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spacing w:val="4"/>
                <w:kern w:val="0"/>
              </w:rPr>
            </w:pPr>
            <w:r>
              <w:rPr>
                <w:rFonts w:ascii="Times New Roman" w:hAnsi="Times New Roman"/>
                <w:spacing w:val="4"/>
                <w:kern w:val="0"/>
              </w:rPr>
              <w:t>煤焦油</w:t>
            </w:r>
          </w:p>
        </w:tc>
        <w:tc>
          <w:tcPr>
            <w:tcW w:w="777" w:type="dxa"/>
            <w:tcBorders>
              <w:tl2br w:val="nil"/>
              <w:tr2bl w:val="nil"/>
            </w:tcBorders>
            <w:tcMar>
              <w:top w:w="57" w:type="dxa"/>
              <w:left w:w="85" w:type="dxa"/>
              <w:bottom w:w="57" w:type="dxa"/>
              <w:right w:w="85" w:type="dxa"/>
            </w:tcMar>
            <w:vAlign w:val="center"/>
          </w:tcPr>
          <w:p w:rsidR="00525419" w:rsidRDefault="00EE1CF7">
            <w:pPr>
              <w:jc w:val="center"/>
              <w:rPr>
                <w:rFonts w:ascii="Times New Roman" w:hAnsi="Times New Roman"/>
                <w:kern w:val="0"/>
              </w:rPr>
            </w:pPr>
            <w:r>
              <w:rPr>
                <w:rFonts w:ascii="Times New Roman" w:hAnsi="Times New Roman"/>
                <w:kern w:val="0"/>
              </w:rPr>
              <w:t>40</w:t>
            </w:r>
          </w:p>
        </w:tc>
        <w:tc>
          <w:tcPr>
            <w:tcW w:w="653" w:type="dxa"/>
            <w:tcBorders>
              <w:tl2br w:val="nil"/>
              <w:tr2bl w:val="nil"/>
            </w:tcBorders>
            <w:tcMar>
              <w:top w:w="57" w:type="dxa"/>
              <w:left w:w="85" w:type="dxa"/>
              <w:bottom w:w="57" w:type="dxa"/>
              <w:right w:w="85" w:type="dxa"/>
            </w:tcMar>
            <w:vAlign w:val="center"/>
          </w:tcPr>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rPr>
            </w:pPr>
            <w:r>
              <w:rPr>
                <w:rFonts w:ascii="Times New Roman" w:hAnsi="Times New Roman"/>
              </w:rPr>
              <w:t>煤焦油罐</w:t>
            </w:r>
          </w:p>
        </w:tc>
        <w:tc>
          <w:tcPr>
            <w:tcW w:w="380" w:type="dxa"/>
            <w:tcBorders>
              <w:tl2br w:val="nil"/>
              <w:tr2bl w:val="nil"/>
            </w:tcBorders>
            <w:tcMar>
              <w:top w:w="57" w:type="dxa"/>
              <w:left w:w="85" w:type="dxa"/>
              <w:bottom w:w="57" w:type="dxa"/>
              <w:right w:w="85" w:type="dxa"/>
            </w:tcMar>
            <w:vAlign w:val="center"/>
          </w:tcPr>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3</w:t>
            </w:r>
          </w:p>
        </w:tc>
        <w:tc>
          <w:tcPr>
            <w:tcW w:w="695" w:type="dxa"/>
            <w:tcBorders>
              <w:tl2br w:val="nil"/>
              <w:tr2bl w:val="nil"/>
            </w:tcBorders>
            <w:tcMar>
              <w:top w:w="57" w:type="dxa"/>
              <w:left w:w="85" w:type="dxa"/>
              <w:bottom w:w="57" w:type="dxa"/>
              <w:right w:w="85" w:type="dxa"/>
            </w:tcMar>
            <w:vAlign w:val="center"/>
          </w:tcPr>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10000</w:t>
            </w:r>
          </w:p>
        </w:tc>
        <w:tc>
          <w:tcPr>
            <w:tcW w:w="695" w:type="dxa"/>
            <w:tcBorders>
              <w:tl2br w:val="nil"/>
              <w:tr2bl w:val="nil"/>
            </w:tcBorders>
            <w:tcMar>
              <w:top w:w="57" w:type="dxa"/>
              <w:left w:w="85" w:type="dxa"/>
              <w:bottom w:w="57" w:type="dxa"/>
              <w:right w:w="85" w:type="dxa"/>
            </w:tcMar>
            <w:vAlign w:val="center"/>
          </w:tcPr>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30000</w:t>
            </w:r>
          </w:p>
        </w:tc>
        <w:tc>
          <w:tcPr>
            <w:tcW w:w="631" w:type="dxa"/>
            <w:tcBorders>
              <w:tl2br w:val="nil"/>
              <w:tr2bl w:val="nil"/>
            </w:tcBorders>
            <w:tcMar>
              <w:top w:w="57" w:type="dxa"/>
              <w:left w:w="85" w:type="dxa"/>
              <w:bottom w:w="57" w:type="dxa"/>
              <w:right w:w="85" w:type="dxa"/>
            </w:tcMar>
            <w:vAlign w:val="center"/>
          </w:tcPr>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拱顶罐</w:t>
            </w:r>
          </w:p>
        </w:tc>
        <w:tc>
          <w:tcPr>
            <w:tcW w:w="764" w:type="dxa"/>
            <w:tcBorders>
              <w:tl2br w:val="nil"/>
              <w:tr2bl w:val="nil"/>
            </w:tcBorders>
            <w:tcMar>
              <w:top w:w="57" w:type="dxa"/>
              <w:left w:w="85" w:type="dxa"/>
              <w:bottom w:w="57" w:type="dxa"/>
              <w:right w:w="85" w:type="dxa"/>
            </w:tcMar>
            <w:vAlign w:val="center"/>
          </w:tcPr>
          <w:p w:rsidR="00525419" w:rsidRDefault="00EE1CF7">
            <w:pPr>
              <w:adjustRightInd w:val="0"/>
              <w:snapToGrid w:val="0"/>
              <w:ind w:rightChars="33" w:right="69"/>
              <w:jc w:val="center"/>
              <w:rPr>
                <w:rFonts w:ascii="Times New Roman" w:hAnsi="Times New Roman"/>
              </w:rPr>
            </w:pPr>
            <w:r>
              <w:rPr>
                <w:rFonts w:ascii="Times New Roman" w:hAnsi="Times New Roman"/>
              </w:rPr>
              <w:t>16800</w:t>
            </w:r>
          </w:p>
        </w:tc>
        <w:tc>
          <w:tcPr>
            <w:tcW w:w="571"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14</w:t>
            </w:r>
          </w:p>
        </w:tc>
        <w:tc>
          <w:tcPr>
            <w:tcW w:w="988"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储罐</w:t>
            </w:r>
          </w:p>
          <w:p w:rsidR="00525419" w:rsidRDefault="00EE1CF7">
            <w:pPr>
              <w:adjustRightInd w:val="0"/>
              <w:snapToGrid w:val="0"/>
              <w:jc w:val="center"/>
              <w:rPr>
                <w:rFonts w:ascii="Times New Roman" w:hAnsi="Times New Roman"/>
              </w:rPr>
            </w:pPr>
            <w:r>
              <w:rPr>
                <w:rFonts w:ascii="Times New Roman" w:hAnsi="Times New Roman"/>
              </w:rPr>
              <w:t>利旧</w:t>
            </w:r>
          </w:p>
        </w:tc>
        <w:tc>
          <w:tcPr>
            <w:tcW w:w="1131"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101-103#</w:t>
            </w:r>
          </w:p>
        </w:tc>
      </w:tr>
      <w:tr w:rsidR="00525419">
        <w:trPr>
          <w:cantSplit/>
          <w:trHeight w:val="477"/>
        </w:trPr>
        <w:tc>
          <w:tcPr>
            <w:tcW w:w="380"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2</w:t>
            </w:r>
          </w:p>
        </w:tc>
        <w:tc>
          <w:tcPr>
            <w:tcW w:w="806" w:type="dxa"/>
            <w:tcBorders>
              <w:tl2br w:val="nil"/>
              <w:tr2bl w:val="nil"/>
            </w:tcBorders>
            <w:tcMar>
              <w:top w:w="57" w:type="dxa"/>
              <w:left w:w="85" w:type="dxa"/>
              <w:bottom w:w="57" w:type="dxa"/>
              <w:right w:w="85" w:type="dxa"/>
            </w:tcMar>
            <w:vAlign w:val="center"/>
          </w:tcPr>
          <w:p w:rsidR="00525419" w:rsidRDefault="00EE1CF7">
            <w:pPr>
              <w:snapToGrid w:val="0"/>
              <w:spacing w:line="240" w:lineRule="exact"/>
              <w:jc w:val="center"/>
              <w:rPr>
                <w:rFonts w:ascii="Times New Roman" w:hAnsi="Times New Roman"/>
                <w:spacing w:val="4"/>
                <w:kern w:val="0"/>
              </w:rPr>
            </w:pPr>
            <w:r>
              <w:rPr>
                <w:rFonts w:ascii="Times New Roman" w:hAnsi="Times New Roman"/>
                <w:spacing w:val="4"/>
                <w:kern w:val="0"/>
              </w:rPr>
              <w:t>液化石油气</w:t>
            </w:r>
          </w:p>
        </w:tc>
        <w:tc>
          <w:tcPr>
            <w:tcW w:w="777" w:type="dxa"/>
            <w:tcBorders>
              <w:tl2br w:val="nil"/>
              <w:tr2bl w:val="nil"/>
            </w:tcBorders>
            <w:tcMar>
              <w:top w:w="57" w:type="dxa"/>
              <w:left w:w="85" w:type="dxa"/>
              <w:bottom w:w="57" w:type="dxa"/>
              <w:right w:w="85" w:type="dxa"/>
            </w:tcMar>
            <w:vAlign w:val="center"/>
          </w:tcPr>
          <w:p w:rsidR="00525419" w:rsidRDefault="00EE1CF7">
            <w:pPr>
              <w:snapToGrid w:val="0"/>
              <w:spacing w:line="240" w:lineRule="exact"/>
              <w:jc w:val="center"/>
              <w:rPr>
                <w:rFonts w:ascii="Times New Roman" w:hAnsi="Times New Roman"/>
              </w:rPr>
            </w:pPr>
            <w:r>
              <w:rPr>
                <w:rFonts w:ascii="Times New Roman" w:hAnsi="Times New Roman"/>
              </w:rPr>
              <w:t>1.36</w:t>
            </w:r>
          </w:p>
        </w:tc>
        <w:tc>
          <w:tcPr>
            <w:tcW w:w="653" w:type="dxa"/>
            <w:tcBorders>
              <w:tl2br w:val="nil"/>
              <w:tr2bl w:val="nil"/>
            </w:tcBorders>
            <w:tcMar>
              <w:top w:w="57" w:type="dxa"/>
              <w:left w:w="85" w:type="dxa"/>
              <w:bottom w:w="57" w:type="dxa"/>
              <w:right w:w="85" w:type="dxa"/>
            </w:tcMar>
            <w:vAlign w:val="center"/>
          </w:tcPr>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液化</w:t>
            </w:r>
          </w:p>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气罐</w:t>
            </w:r>
          </w:p>
        </w:tc>
        <w:tc>
          <w:tcPr>
            <w:tcW w:w="380" w:type="dxa"/>
            <w:tcBorders>
              <w:tl2br w:val="nil"/>
              <w:tr2bl w:val="nil"/>
            </w:tcBorders>
            <w:tcMar>
              <w:top w:w="57" w:type="dxa"/>
              <w:left w:w="85" w:type="dxa"/>
              <w:bottom w:w="57" w:type="dxa"/>
              <w:right w:w="85" w:type="dxa"/>
            </w:tcMar>
            <w:vAlign w:val="center"/>
          </w:tcPr>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4</w:t>
            </w:r>
          </w:p>
        </w:tc>
        <w:tc>
          <w:tcPr>
            <w:tcW w:w="695" w:type="dxa"/>
            <w:tcBorders>
              <w:tl2br w:val="nil"/>
              <w:tr2bl w:val="nil"/>
            </w:tcBorders>
            <w:tcMar>
              <w:top w:w="57" w:type="dxa"/>
              <w:left w:w="85" w:type="dxa"/>
              <w:bottom w:w="57" w:type="dxa"/>
              <w:right w:w="85" w:type="dxa"/>
            </w:tcMar>
            <w:vAlign w:val="center"/>
          </w:tcPr>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1000</w:t>
            </w:r>
          </w:p>
        </w:tc>
        <w:tc>
          <w:tcPr>
            <w:tcW w:w="695" w:type="dxa"/>
            <w:tcBorders>
              <w:tl2br w:val="nil"/>
              <w:tr2bl w:val="nil"/>
            </w:tcBorders>
            <w:tcMar>
              <w:top w:w="57" w:type="dxa"/>
              <w:left w:w="85" w:type="dxa"/>
              <w:bottom w:w="57" w:type="dxa"/>
              <w:right w:w="85" w:type="dxa"/>
            </w:tcMar>
            <w:vAlign w:val="center"/>
          </w:tcPr>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3600</w:t>
            </w:r>
          </w:p>
        </w:tc>
        <w:tc>
          <w:tcPr>
            <w:tcW w:w="631" w:type="dxa"/>
            <w:tcBorders>
              <w:tl2br w:val="nil"/>
              <w:tr2bl w:val="nil"/>
            </w:tcBorders>
            <w:tcMar>
              <w:top w:w="57" w:type="dxa"/>
              <w:left w:w="85" w:type="dxa"/>
              <w:bottom w:w="57" w:type="dxa"/>
              <w:right w:w="85" w:type="dxa"/>
            </w:tcMar>
            <w:vAlign w:val="center"/>
          </w:tcPr>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球罐</w:t>
            </w:r>
          </w:p>
        </w:tc>
        <w:tc>
          <w:tcPr>
            <w:tcW w:w="764" w:type="dxa"/>
            <w:tcBorders>
              <w:tl2br w:val="nil"/>
              <w:tr2bl w:val="nil"/>
            </w:tcBorders>
            <w:tcMar>
              <w:top w:w="57" w:type="dxa"/>
              <w:left w:w="85" w:type="dxa"/>
              <w:bottom w:w="57" w:type="dxa"/>
              <w:right w:w="85" w:type="dxa"/>
            </w:tcMar>
            <w:vAlign w:val="center"/>
          </w:tcPr>
          <w:p w:rsidR="00525419" w:rsidRDefault="00EE1CF7">
            <w:pPr>
              <w:adjustRightInd w:val="0"/>
              <w:snapToGrid w:val="0"/>
              <w:ind w:rightChars="33" w:right="69"/>
              <w:jc w:val="center"/>
              <w:rPr>
                <w:rFonts w:ascii="Times New Roman" w:hAnsi="Times New Roman"/>
              </w:rPr>
            </w:pPr>
            <w:r>
              <w:rPr>
                <w:rFonts w:ascii="Times New Roman" w:hAnsi="Times New Roman"/>
              </w:rPr>
              <w:t>1980</w:t>
            </w:r>
          </w:p>
        </w:tc>
        <w:tc>
          <w:tcPr>
            <w:tcW w:w="571"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48</w:t>
            </w:r>
          </w:p>
        </w:tc>
        <w:tc>
          <w:tcPr>
            <w:tcW w:w="988"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储罐</w:t>
            </w:r>
          </w:p>
          <w:p w:rsidR="00525419" w:rsidRDefault="00EE1CF7">
            <w:pPr>
              <w:adjustRightInd w:val="0"/>
              <w:snapToGrid w:val="0"/>
              <w:jc w:val="center"/>
              <w:rPr>
                <w:rFonts w:ascii="Times New Roman" w:hAnsi="Times New Roman"/>
              </w:rPr>
            </w:pPr>
            <w:r>
              <w:rPr>
                <w:rFonts w:ascii="Times New Roman" w:hAnsi="Times New Roman"/>
              </w:rPr>
              <w:t>利旧</w:t>
            </w:r>
          </w:p>
        </w:tc>
        <w:tc>
          <w:tcPr>
            <w:tcW w:w="1131"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301-304#</w:t>
            </w:r>
          </w:p>
        </w:tc>
      </w:tr>
      <w:tr w:rsidR="00525419">
        <w:trPr>
          <w:cantSplit/>
          <w:trHeight w:val="174"/>
        </w:trPr>
        <w:tc>
          <w:tcPr>
            <w:tcW w:w="380"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3</w:t>
            </w:r>
          </w:p>
        </w:tc>
        <w:tc>
          <w:tcPr>
            <w:tcW w:w="806" w:type="dxa"/>
            <w:tcBorders>
              <w:tl2br w:val="nil"/>
              <w:tr2bl w:val="nil"/>
            </w:tcBorders>
            <w:tcMar>
              <w:top w:w="57" w:type="dxa"/>
              <w:left w:w="85" w:type="dxa"/>
              <w:bottom w:w="57" w:type="dxa"/>
              <w:right w:w="85" w:type="dxa"/>
            </w:tcMar>
            <w:vAlign w:val="center"/>
          </w:tcPr>
          <w:p w:rsidR="00525419" w:rsidRDefault="00EE1CF7">
            <w:pPr>
              <w:snapToGrid w:val="0"/>
              <w:spacing w:line="240" w:lineRule="exact"/>
              <w:jc w:val="center"/>
              <w:rPr>
                <w:rFonts w:ascii="Times New Roman" w:hAnsi="Times New Roman"/>
                <w:spacing w:val="4"/>
                <w:kern w:val="0"/>
              </w:rPr>
            </w:pPr>
            <w:r>
              <w:rPr>
                <w:rFonts w:ascii="Times New Roman" w:hAnsi="Times New Roman"/>
                <w:spacing w:val="4"/>
                <w:kern w:val="0"/>
              </w:rPr>
              <w:t>石脑油</w:t>
            </w:r>
          </w:p>
        </w:tc>
        <w:tc>
          <w:tcPr>
            <w:tcW w:w="777" w:type="dxa"/>
            <w:tcBorders>
              <w:tl2br w:val="nil"/>
              <w:tr2bl w:val="nil"/>
            </w:tcBorders>
            <w:tcMar>
              <w:top w:w="57" w:type="dxa"/>
              <w:left w:w="85" w:type="dxa"/>
              <w:bottom w:w="57" w:type="dxa"/>
              <w:right w:w="85" w:type="dxa"/>
            </w:tcMar>
            <w:vAlign w:val="center"/>
          </w:tcPr>
          <w:p w:rsidR="00525419" w:rsidRDefault="00EE1CF7">
            <w:pPr>
              <w:snapToGrid w:val="0"/>
              <w:spacing w:line="240" w:lineRule="exact"/>
              <w:jc w:val="center"/>
              <w:rPr>
                <w:rFonts w:ascii="Times New Roman" w:hAnsi="Times New Roman"/>
              </w:rPr>
            </w:pPr>
            <w:r>
              <w:rPr>
                <w:rFonts w:ascii="Times New Roman" w:hAnsi="Times New Roman" w:hint="eastAsia"/>
              </w:rPr>
              <w:t>15.8</w:t>
            </w:r>
          </w:p>
        </w:tc>
        <w:tc>
          <w:tcPr>
            <w:tcW w:w="653" w:type="dxa"/>
            <w:tcBorders>
              <w:tl2br w:val="nil"/>
              <w:tr2bl w:val="nil"/>
            </w:tcBorders>
            <w:tcMar>
              <w:top w:w="57" w:type="dxa"/>
              <w:left w:w="85" w:type="dxa"/>
              <w:bottom w:w="57" w:type="dxa"/>
              <w:right w:w="85" w:type="dxa"/>
            </w:tcMar>
            <w:vAlign w:val="center"/>
          </w:tcPr>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轻芳</w:t>
            </w:r>
          </w:p>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烃罐</w:t>
            </w:r>
          </w:p>
        </w:tc>
        <w:tc>
          <w:tcPr>
            <w:tcW w:w="380" w:type="dxa"/>
            <w:tcBorders>
              <w:tl2br w:val="nil"/>
              <w:tr2bl w:val="nil"/>
            </w:tcBorders>
            <w:tcMar>
              <w:top w:w="57" w:type="dxa"/>
              <w:left w:w="85" w:type="dxa"/>
              <w:bottom w:w="57" w:type="dxa"/>
              <w:right w:w="85" w:type="dxa"/>
            </w:tcMar>
            <w:vAlign w:val="center"/>
          </w:tcPr>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1</w:t>
            </w:r>
          </w:p>
        </w:tc>
        <w:tc>
          <w:tcPr>
            <w:tcW w:w="695" w:type="dxa"/>
            <w:tcBorders>
              <w:tl2br w:val="nil"/>
              <w:tr2bl w:val="nil"/>
            </w:tcBorders>
            <w:tcMar>
              <w:top w:w="57" w:type="dxa"/>
              <w:left w:w="85" w:type="dxa"/>
              <w:bottom w:w="57" w:type="dxa"/>
              <w:right w:w="85" w:type="dxa"/>
            </w:tcMar>
            <w:vAlign w:val="center"/>
          </w:tcPr>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5000</w:t>
            </w:r>
          </w:p>
        </w:tc>
        <w:tc>
          <w:tcPr>
            <w:tcW w:w="695" w:type="dxa"/>
            <w:tcBorders>
              <w:tl2br w:val="nil"/>
              <w:tr2bl w:val="nil"/>
            </w:tcBorders>
            <w:tcMar>
              <w:top w:w="57" w:type="dxa"/>
              <w:left w:w="85" w:type="dxa"/>
              <w:bottom w:w="57" w:type="dxa"/>
              <w:right w:w="85" w:type="dxa"/>
            </w:tcMar>
            <w:vAlign w:val="center"/>
          </w:tcPr>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5000</w:t>
            </w:r>
          </w:p>
        </w:tc>
        <w:tc>
          <w:tcPr>
            <w:tcW w:w="631" w:type="dxa"/>
            <w:tcBorders>
              <w:tl2br w:val="nil"/>
              <w:tr2bl w:val="nil"/>
            </w:tcBorders>
            <w:tcMar>
              <w:top w:w="57" w:type="dxa"/>
              <w:left w:w="85" w:type="dxa"/>
              <w:bottom w:w="57" w:type="dxa"/>
              <w:right w:w="85" w:type="dxa"/>
            </w:tcMar>
            <w:vAlign w:val="center"/>
          </w:tcPr>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内浮顶储罐（氮封）</w:t>
            </w:r>
          </w:p>
        </w:tc>
        <w:tc>
          <w:tcPr>
            <w:tcW w:w="764" w:type="dxa"/>
            <w:tcBorders>
              <w:tl2br w:val="nil"/>
              <w:tr2bl w:val="nil"/>
            </w:tcBorders>
            <w:tcMar>
              <w:top w:w="57" w:type="dxa"/>
              <w:left w:w="85" w:type="dxa"/>
              <w:bottom w:w="57" w:type="dxa"/>
              <w:right w:w="85" w:type="dxa"/>
            </w:tcMar>
            <w:vAlign w:val="center"/>
          </w:tcPr>
          <w:p w:rsidR="00525419" w:rsidRDefault="00EE1CF7">
            <w:pPr>
              <w:adjustRightInd w:val="0"/>
              <w:snapToGrid w:val="0"/>
              <w:ind w:rightChars="33" w:right="69"/>
              <w:jc w:val="center"/>
              <w:rPr>
                <w:rFonts w:ascii="Times New Roman" w:hAnsi="Times New Roman"/>
              </w:rPr>
            </w:pPr>
            <w:r>
              <w:rPr>
                <w:rFonts w:ascii="Times New Roman" w:hAnsi="Times New Roman"/>
              </w:rPr>
              <w:t>3800</w:t>
            </w:r>
          </w:p>
        </w:tc>
        <w:tc>
          <w:tcPr>
            <w:tcW w:w="571"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hint="eastAsia"/>
              </w:rPr>
              <w:t>8</w:t>
            </w:r>
          </w:p>
        </w:tc>
        <w:tc>
          <w:tcPr>
            <w:tcW w:w="988"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储罐</w:t>
            </w:r>
          </w:p>
          <w:p w:rsidR="00525419" w:rsidRDefault="00EE1CF7">
            <w:pPr>
              <w:adjustRightInd w:val="0"/>
              <w:snapToGrid w:val="0"/>
              <w:jc w:val="center"/>
              <w:rPr>
                <w:rFonts w:ascii="Times New Roman" w:hAnsi="Times New Roman"/>
              </w:rPr>
            </w:pPr>
            <w:r>
              <w:rPr>
                <w:rFonts w:ascii="Times New Roman" w:hAnsi="Times New Roman"/>
              </w:rPr>
              <w:t>利旧</w:t>
            </w:r>
          </w:p>
        </w:tc>
        <w:tc>
          <w:tcPr>
            <w:tcW w:w="1131"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205#</w:t>
            </w:r>
          </w:p>
        </w:tc>
      </w:tr>
      <w:tr w:rsidR="00525419">
        <w:trPr>
          <w:cantSplit/>
          <w:trHeight w:val="174"/>
        </w:trPr>
        <w:tc>
          <w:tcPr>
            <w:tcW w:w="380"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4</w:t>
            </w:r>
          </w:p>
        </w:tc>
        <w:tc>
          <w:tcPr>
            <w:tcW w:w="806" w:type="dxa"/>
            <w:tcBorders>
              <w:tl2br w:val="nil"/>
              <w:tr2bl w:val="nil"/>
            </w:tcBorders>
            <w:tcMar>
              <w:top w:w="57" w:type="dxa"/>
              <w:left w:w="85" w:type="dxa"/>
              <w:bottom w:w="57" w:type="dxa"/>
              <w:right w:w="85" w:type="dxa"/>
            </w:tcMar>
            <w:vAlign w:val="center"/>
          </w:tcPr>
          <w:p w:rsidR="00525419" w:rsidRDefault="00EE1CF7">
            <w:pPr>
              <w:snapToGrid w:val="0"/>
              <w:spacing w:line="240" w:lineRule="exact"/>
              <w:jc w:val="center"/>
              <w:rPr>
                <w:rFonts w:ascii="Times New Roman" w:hAnsi="Times New Roman"/>
                <w:spacing w:val="4"/>
                <w:kern w:val="0"/>
              </w:rPr>
            </w:pPr>
            <w:r>
              <w:rPr>
                <w:rFonts w:ascii="Times New Roman" w:hAnsi="Times New Roman"/>
                <w:spacing w:val="4"/>
                <w:kern w:val="0"/>
              </w:rPr>
              <w:t>精制</w:t>
            </w:r>
          </w:p>
          <w:p w:rsidR="00525419" w:rsidRDefault="00EE1CF7">
            <w:pPr>
              <w:snapToGrid w:val="0"/>
              <w:spacing w:line="240" w:lineRule="exact"/>
              <w:jc w:val="center"/>
              <w:rPr>
                <w:rFonts w:ascii="Times New Roman" w:hAnsi="Times New Roman"/>
                <w:spacing w:val="4"/>
                <w:kern w:val="0"/>
              </w:rPr>
            </w:pPr>
            <w:r>
              <w:rPr>
                <w:rFonts w:ascii="Times New Roman" w:hAnsi="Times New Roman"/>
                <w:spacing w:val="4"/>
                <w:kern w:val="0"/>
              </w:rPr>
              <w:t>柴油</w:t>
            </w:r>
          </w:p>
        </w:tc>
        <w:tc>
          <w:tcPr>
            <w:tcW w:w="777" w:type="dxa"/>
            <w:tcBorders>
              <w:tl2br w:val="nil"/>
              <w:tr2bl w:val="nil"/>
            </w:tcBorders>
            <w:tcMar>
              <w:top w:w="57" w:type="dxa"/>
              <w:left w:w="85" w:type="dxa"/>
              <w:bottom w:w="57" w:type="dxa"/>
              <w:right w:w="85" w:type="dxa"/>
            </w:tcMar>
            <w:vAlign w:val="center"/>
          </w:tcPr>
          <w:p w:rsidR="00525419" w:rsidRDefault="00EE1CF7">
            <w:pPr>
              <w:snapToGrid w:val="0"/>
              <w:spacing w:line="240" w:lineRule="exact"/>
              <w:jc w:val="center"/>
              <w:rPr>
                <w:rFonts w:ascii="Times New Roman" w:hAnsi="Times New Roman"/>
              </w:rPr>
            </w:pPr>
            <w:r>
              <w:rPr>
                <w:rFonts w:ascii="Times New Roman" w:hAnsi="Times New Roman" w:hint="eastAsia"/>
              </w:rPr>
              <w:t>26.71</w:t>
            </w:r>
          </w:p>
        </w:tc>
        <w:tc>
          <w:tcPr>
            <w:tcW w:w="653" w:type="dxa"/>
            <w:tcBorders>
              <w:tl2br w:val="nil"/>
              <w:tr2bl w:val="nil"/>
            </w:tcBorders>
            <w:tcMar>
              <w:top w:w="57" w:type="dxa"/>
              <w:left w:w="85" w:type="dxa"/>
              <w:bottom w:w="57" w:type="dxa"/>
              <w:right w:w="85" w:type="dxa"/>
            </w:tcMar>
            <w:vAlign w:val="center"/>
          </w:tcPr>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精制柴油罐</w:t>
            </w:r>
          </w:p>
        </w:tc>
        <w:tc>
          <w:tcPr>
            <w:tcW w:w="380" w:type="dxa"/>
            <w:tcBorders>
              <w:tl2br w:val="nil"/>
              <w:tr2bl w:val="nil"/>
            </w:tcBorders>
            <w:tcMar>
              <w:top w:w="57" w:type="dxa"/>
              <w:left w:w="85" w:type="dxa"/>
              <w:bottom w:w="57" w:type="dxa"/>
              <w:right w:w="85" w:type="dxa"/>
            </w:tcMar>
            <w:vAlign w:val="center"/>
          </w:tcPr>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3</w:t>
            </w:r>
          </w:p>
        </w:tc>
        <w:tc>
          <w:tcPr>
            <w:tcW w:w="695" w:type="dxa"/>
            <w:tcBorders>
              <w:tl2br w:val="nil"/>
              <w:tr2bl w:val="nil"/>
            </w:tcBorders>
            <w:tcMar>
              <w:top w:w="57" w:type="dxa"/>
              <w:left w:w="85" w:type="dxa"/>
              <w:bottom w:w="57" w:type="dxa"/>
              <w:right w:w="85" w:type="dxa"/>
            </w:tcMar>
            <w:vAlign w:val="center"/>
          </w:tcPr>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5000</w:t>
            </w:r>
          </w:p>
        </w:tc>
        <w:tc>
          <w:tcPr>
            <w:tcW w:w="695" w:type="dxa"/>
            <w:tcBorders>
              <w:tl2br w:val="nil"/>
              <w:tr2bl w:val="nil"/>
            </w:tcBorders>
            <w:tcMar>
              <w:top w:w="57" w:type="dxa"/>
              <w:left w:w="85" w:type="dxa"/>
              <w:bottom w:w="57" w:type="dxa"/>
              <w:right w:w="85" w:type="dxa"/>
            </w:tcMar>
            <w:vAlign w:val="center"/>
          </w:tcPr>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15000</w:t>
            </w:r>
          </w:p>
        </w:tc>
        <w:tc>
          <w:tcPr>
            <w:tcW w:w="631" w:type="dxa"/>
            <w:tcBorders>
              <w:tl2br w:val="nil"/>
              <w:tr2bl w:val="nil"/>
            </w:tcBorders>
            <w:tcMar>
              <w:top w:w="57" w:type="dxa"/>
              <w:left w:w="85" w:type="dxa"/>
              <w:bottom w:w="57" w:type="dxa"/>
              <w:right w:w="85" w:type="dxa"/>
            </w:tcMar>
            <w:vAlign w:val="center"/>
          </w:tcPr>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拱顶</w:t>
            </w:r>
          </w:p>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储罐</w:t>
            </w:r>
          </w:p>
        </w:tc>
        <w:tc>
          <w:tcPr>
            <w:tcW w:w="764" w:type="dxa"/>
            <w:tcBorders>
              <w:tl2br w:val="nil"/>
              <w:tr2bl w:val="nil"/>
            </w:tcBorders>
            <w:tcMar>
              <w:top w:w="57" w:type="dxa"/>
              <w:left w:w="85" w:type="dxa"/>
              <w:bottom w:w="57" w:type="dxa"/>
              <w:right w:w="85" w:type="dxa"/>
            </w:tcMar>
            <w:vAlign w:val="center"/>
          </w:tcPr>
          <w:p w:rsidR="00525419" w:rsidRDefault="00EE1CF7">
            <w:pPr>
              <w:adjustRightInd w:val="0"/>
              <w:snapToGrid w:val="0"/>
              <w:ind w:rightChars="33" w:right="69"/>
              <w:jc w:val="center"/>
              <w:rPr>
                <w:rFonts w:ascii="Times New Roman" w:hAnsi="Times New Roman"/>
              </w:rPr>
            </w:pPr>
            <w:r>
              <w:rPr>
                <w:rFonts w:ascii="Times New Roman" w:hAnsi="Times New Roman"/>
              </w:rPr>
              <w:t>12750</w:t>
            </w:r>
          </w:p>
        </w:tc>
        <w:tc>
          <w:tcPr>
            <w:tcW w:w="571"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hint="eastAsia"/>
              </w:rPr>
              <w:t>15.9</w:t>
            </w:r>
          </w:p>
        </w:tc>
        <w:tc>
          <w:tcPr>
            <w:tcW w:w="988" w:type="dxa"/>
            <w:tcBorders>
              <w:tl2br w:val="nil"/>
              <w:tr2bl w:val="nil"/>
            </w:tcBorders>
            <w:tcMar>
              <w:top w:w="57" w:type="dxa"/>
              <w:left w:w="85" w:type="dxa"/>
              <w:bottom w:w="57" w:type="dxa"/>
              <w:right w:w="85" w:type="dxa"/>
            </w:tcMar>
            <w:vAlign w:val="center"/>
          </w:tcPr>
          <w:p w:rsidR="00525419" w:rsidRDefault="00EE1CF7">
            <w:pPr>
              <w:jc w:val="center"/>
              <w:rPr>
                <w:rFonts w:ascii="Times New Roman" w:hAnsi="Times New Roman"/>
              </w:rPr>
            </w:pPr>
            <w:r>
              <w:rPr>
                <w:rFonts w:ascii="Times New Roman" w:hAnsi="Times New Roman"/>
              </w:rPr>
              <w:t>储罐</w:t>
            </w:r>
          </w:p>
          <w:p w:rsidR="00525419" w:rsidRDefault="00EE1CF7">
            <w:pPr>
              <w:jc w:val="center"/>
              <w:rPr>
                <w:rFonts w:ascii="Times New Roman" w:hAnsi="Times New Roman"/>
              </w:rPr>
            </w:pPr>
            <w:r>
              <w:rPr>
                <w:rFonts w:ascii="Times New Roman" w:hAnsi="Times New Roman"/>
              </w:rPr>
              <w:t>利旧</w:t>
            </w:r>
          </w:p>
        </w:tc>
        <w:tc>
          <w:tcPr>
            <w:tcW w:w="1131" w:type="dxa"/>
            <w:tcBorders>
              <w:tl2br w:val="nil"/>
              <w:tr2bl w:val="nil"/>
            </w:tcBorders>
            <w:tcMar>
              <w:top w:w="57" w:type="dxa"/>
              <w:left w:w="85" w:type="dxa"/>
              <w:bottom w:w="57" w:type="dxa"/>
              <w:right w:w="85" w:type="dxa"/>
            </w:tcMar>
            <w:vAlign w:val="center"/>
          </w:tcPr>
          <w:p w:rsidR="00525419" w:rsidRDefault="00EE1CF7">
            <w:pPr>
              <w:jc w:val="center"/>
              <w:rPr>
                <w:rFonts w:ascii="Times New Roman" w:hAnsi="Times New Roman"/>
              </w:rPr>
            </w:pPr>
            <w:r>
              <w:rPr>
                <w:rFonts w:ascii="Times New Roman" w:hAnsi="Times New Roman"/>
              </w:rPr>
              <w:t>206-208#</w:t>
            </w:r>
          </w:p>
        </w:tc>
      </w:tr>
      <w:tr w:rsidR="00525419">
        <w:trPr>
          <w:cantSplit/>
          <w:trHeight w:val="174"/>
        </w:trPr>
        <w:tc>
          <w:tcPr>
            <w:tcW w:w="380"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5</w:t>
            </w:r>
          </w:p>
        </w:tc>
        <w:tc>
          <w:tcPr>
            <w:tcW w:w="806" w:type="dxa"/>
            <w:tcBorders>
              <w:tl2br w:val="nil"/>
              <w:tr2bl w:val="nil"/>
            </w:tcBorders>
            <w:tcMar>
              <w:top w:w="57" w:type="dxa"/>
              <w:left w:w="85" w:type="dxa"/>
              <w:bottom w:w="57" w:type="dxa"/>
              <w:right w:w="85" w:type="dxa"/>
            </w:tcMar>
            <w:vAlign w:val="center"/>
          </w:tcPr>
          <w:p w:rsidR="00525419" w:rsidRDefault="00EE1CF7">
            <w:pPr>
              <w:snapToGrid w:val="0"/>
              <w:spacing w:line="240" w:lineRule="exact"/>
              <w:jc w:val="center"/>
              <w:rPr>
                <w:rFonts w:ascii="Times New Roman" w:hAnsi="Times New Roman"/>
                <w:spacing w:val="4"/>
                <w:kern w:val="0"/>
              </w:rPr>
            </w:pPr>
            <w:r>
              <w:rPr>
                <w:rFonts w:ascii="Times New Roman" w:hAnsi="Times New Roman"/>
                <w:spacing w:val="4"/>
                <w:kern w:val="0"/>
              </w:rPr>
              <w:t>精制</w:t>
            </w:r>
          </w:p>
          <w:p w:rsidR="00525419" w:rsidRDefault="00EE1CF7">
            <w:pPr>
              <w:snapToGrid w:val="0"/>
              <w:spacing w:line="240" w:lineRule="exact"/>
              <w:jc w:val="center"/>
              <w:rPr>
                <w:rFonts w:ascii="Times New Roman" w:hAnsi="Times New Roman"/>
                <w:spacing w:val="4"/>
                <w:kern w:val="0"/>
              </w:rPr>
            </w:pPr>
            <w:r>
              <w:rPr>
                <w:rFonts w:ascii="Times New Roman" w:hAnsi="Times New Roman"/>
                <w:spacing w:val="4"/>
                <w:kern w:val="0"/>
              </w:rPr>
              <w:t>尾油</w:t>
            </w:r>
          </w:p>
        </w:tc>
        <w:tc>
          <w:tcPr>
            <w:tcW w:w="777" w:type="dxa"/>
            <w:tcBorders>
              <w:tl2br w:val="nil"/>
              <w:tr2bl w:val="nil"/>
            </w:tcBorders>
            <w:tcMar>
              <w:top w:w="57" w:type="dxa"/>
              <w:left w:w="85" w:type="dxa"/>
              <w:bottom w:w="57" w:type="dxa"/>
              <w:right w:w="85" w:type="dxa"/>
            </w:tcMar>
            <w:vAlign w:val="center"/>
          </w:tcPr>
          <w:p w:rsidR="00525419" w:rsidRDefault="00EE1CF7">
            <w:pPr>
              <w:snapToGrid w:val="0"/>
              <w:spacing w:line="240" w:lineRule="exact"/>
              <w:jc w:val="center"/>
              <w:rPr>
                <w:rFonts w:ascii="Times New Roman" w:hAnsi="Times New Roman"/>
              </w:rPr>
            </w:pPr>
            <w:r>
              <w:rPr>
                <w:rFonts w:ascii="Times New Roman" w:hAnsi="Times New Roman"/>
              </w:rPr>
              <w:t>0.80</w:t>
            </w:r>
          </w:p>
        </w:tc>
        <w:tc>
          <w:tcPr>
            <w:tcW w:w="653" w:type="dxa"/>
            <w:tcBorders>
              <w:tl2br w:val="nil"/>
              <w:tr2bl w:val="nil"/>
            </w:tcBorders>
            <w:tcMar>
              <w:top w:w="57" w:type="dxa"/>
              <w:left w:w="85" w:type="dxa"/>
              <w:bottom w:w="57" w:type="dxa"/>
              <w:right w:w="85" w:type="dxa"/>
            </w:tcMar>
            <w:vAlign w:val="center"/>
          </w:tcPr>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精制尾油罐</w:t>
            </w:r>
          </w:p>
        </w:tc>
        <w:tc>
          <w:tcPr>
            <w:tcW w:w="380" w:type="dxa"/>
            <w:tcBorders>
              <w:tl2br w:val="nil"/>
              <w:tr2bl w:val="nil"/>
            </w:tcBorders>
            <w:tcMar>
              <w:top w:w="57" w:type="dxa"/>
              <w:left w:w="85" w:type="dxa"/>
              <w:bottom w:w="57" w:type="dxa"/>
              <w:right w:w="85" w:type="dxa"/>
            </w:tcMar>
            <w:vAlign w:val="center"/>
          </w:tcPr>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1</w:t>
            </w:r>
          </w:p>
        </w:tc>
        <w:tc>
          <w:tcPr>
            <w:tcW w:w="695" w:type="dxa"/>
            <w:tcBorders>
              <w:tl2br w:val="nil"/>
              <w:tr2bl w:val="nil"/>
            </w:tcBorders>
            <w:tcMar>
              <w:top w:w="57" w:type="dxa"/>
              <w:left w:w="85" w:type="dxa"/>
              <w:bottom w:w="57" w:type="dxa"/>
              <w:right w:w="85" w:type="dxa"/>
            </w:tcMar>
            <w:vAlign w:val="center"/>
          </w:tcPr>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2000</w:t>
            </w:r>
          </w:p>
        </w:tc>
        <w:tc>
          <w:tcPr>
            <w:tcW w:w="695" w:type="dxa"/>
            <w:tcBorders>
              <w:tl2br w:val="nil"/>
              <w:tr2bl w:val="nil"/>
            </w:tcBorders>
            <w:tcMar>
              <w:top w:w="57" w:type="dxa"/>
              <w:left w:w="85" w:type="dxa"/>
              <w:bottom w:w="57" w:type="dxa"/>
              <w:right w:w="85" w:type="dxa"/>
            </w:tcMar>
            <w:vAlign w:val="center"/>
          </w:tcPr>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2000</w:t>
            </w:r>
          </w:p>
        </w:tc>
        <w:tc>
          <w:tcPr>
            <w:tcW w:w="631" w:type="dxa"/>
            <w:tcBorders>
              <w:tl2br w:val="nil"/>
              <w:tr2bl w:val="nil"/>
            </w:tcBorders>
            <w:tcMar>
              <w:top w:w="57" w:type="dxa"/>
              <w:left w:w="85" w:type="dxa"/>
              <w:bottom w:w="57" w:type="dxa"/>
              <w:right w:w="85" w:type="dxa"/>
            </w:tcMar>
            <w:vAlign w:val="center"/>
          </w:tcPr>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拱顶</w:t>
            </w:r>
          </w:p>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储罐</w:t>
            </w:r>
          </w:p>
        </w:tc>
        <w:tc>
          <w:tcPr>
            <w:tcW w:w="764" w:type="dxa"/>
            <w:tcBorders>
              <w:tl2br w:val="nil"/>
              <w:tr2bl w:val="nil"/>
            </w:tcBorders>
            <w:tcMar>
              <w:top w:w="57" w:type="dxa"/>
              <w:left w:w="85" w:type="dxa"/>
              <w:bottom w:w="57" w:type="dxa"/>
              <w:right w:w="85" w:type="dxa"/>
            </w:tcMar>
            <w:vAlign w:val="center"/>
          </w:tcPr>
          <w:p w:rsidR="00525419" w:rsidRDefault="00EE1CF7">
            <w:pPr>
              <w:adjustRightInd w:val="0"/>
              <w:snapToGrid w:val="0"/>
              <w:ind w:rightChars="33" w:right="69"/>
              <w:jc w:val="center"/>
              <w:rPr>
                <w:rFonts w:ascii="Times New Roman" w:hAnsi="Times New Roman"/>
              </w:rPr>
            </w:pPr>
            <w:r>
              <w:rPr>
                <w:rFonts w:ascii="Times New Roman" w:hAnsi="Times New Roman"/>
              </w:rPr>
              <w:t>1800</w:t>
            </w:r>
          </w:p>
        </w:tc>
        <w:tc>
          <w:tcPr>
            <w:tcW w:w="571"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75</w:t>
            </w:r>
          </w:p>
        </w:tc>
        <w:tc>
          <w:tcPr>
            <w:tcW w:w="988" w:type="dxa"/>
            <w:tcBorders>
              <w:tl2br w:val="nil"/>
              <w:tr2bl w:val="nil"/>
            </w:tcBorders>
            <w:tcMar>
              <w:top w:w="57" w:type="dxa"/>
              <w:left w:w="85" w:type="dxa"/>
              <w:bottom w:w="57" w:type="dxa"/>
              <w:right w:w="85" w:type="dxa"/>
            </w:tcMar>
            <w:vAlign w:val="center"/>
          </w:tcPr>
          <w:p w:rsidR="00525419" w:rsidRDefault="00EE1CF7">
            <w:pPr>
              <w:jc w:val="center"/>
              <w:rPr>
                <w:rFonts w:ascii="Times New Roman" w:hAnsi="Times New Roman"/>
              </w:rPr>
            </w:pPr>
            <w:r>
              <w:rPr>
                <w:rFonts w:ascii="Times New Roman" w:hAnsi="Times New Roman"/>
              </w:rPr>
              <w:t>储罐</w:t>
            </w:r>
          </w:p>
          <w:p w:rsidR="00525419" w:rsidRDefault="00EE1CF7">
            <w:pPr>
              <w:jc w:val="center"/>
              <w:rPr>
                <w:rFonts w:ascii="Times New Roman" w:hAnsi="Times New Roman"/>
              </w:rPr>
            </w:pPr>
            <w:r>
              <w:rPr>
                <w:rFonts w:ascii="Times New Roman" w:hAnsi="Times New Roman"/>
              </w:rPr>
              <w:t>利旧</w:t>
            </w:r>
          </w:p>
        </w:tc>
        <w:tc>
          <w:tcPr>
            <w:tcW w:w="1131" w:type="dxa"/>
            <w:tcBorders>
              <w:tl2br w:val="nil"/>
              <w:tr2bl w:val="nil"/>
            </w:tcBorders>
            <w:tcMar>
              <w:top w:w="57" w:type="dxa"/>
              <w:left w:w="85" w:type="dxa"/>
              <w:bottom w:w="57" w:type="dxa"/>
              <w:right w:w="85" w:type="dxa"/>
            </w:tcMar>
            <w:vAlign w:val="center"/>
          </w:tcPr>
          <w:p w:rsidR="00525419" w:rsidRDefault="00EE1CF7">
            <w:pPr>
              <w:jc w:val="center"/>
              <w:rPr>
                <w:rFonts w:ascii="Times New Roman" w:hAnsi="Times New Roman"/>
              </w:rPr>
            </w:pPr>
            <w:r>
              <w:rPr>
                <w:rFonts w:ascii="Times New Roman" w:hAnsi="Times New Roman"/>
              </w:rPr>
              <w:t>19#</w:t>
            </w:r>
          </w:p>
        </w:tc>
      </w:tr>
      <w:tr w:rsidR="00525419">
        <w:trPr>
          <w:cantSplit/>
          <w:trHeight w:val="174"/>
        </w:trPr>
        <w:tc>
          <w:tcPr>
            <w:tcW w:w="380"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6</w:t>
            </w:r>
          </w:p>
        </w:tc>
        <w:tc>
          <w:tcPr>
            <w:tcW w:w="806" w:type="dxa"/>
            <w:tcBorders>
              <w:tl2br w:val="nil"/>
              <w:tr2bl w:val="nil"/>
            </w:tcBorders>
            <w:tcMar>
              <w:top w:w="57" w:type="dxa"/>
              <w:left w:w="85" w:type="dxa"/>
              <w:bottom w:w="57" w:type="dxa"/>
              <w:right w:w="85" w:type="dxa"/>
            </w:tcMar>
            <w:vAlign w:val="center"/>
          </w:tcPr>
          <w:p w:rsidR="00525419" w:rsidRDefault="00EE1CF7">
            <w:pPr>
              <w:snapToGrid w:val="0"/>
              <w:spacing w:line="240" w:lineRule="exact"/>
              <w:jc w:val="center"/>
              <w:rPr>
                <w:rFonts w:ascii="Times New Roman" w:hAnsi="Times New Roman"/>
                <w:spacing w:val="4"/>
                <w:kern w:val="0"/>
              </w:rPr>
            </w:pPr>
            <w:r>
              <w:rPr>
                <w:rFonts w:ascii="Times New Roman" w:hAnsi="Times New Roman"/>
                <w:spacing w:val="4"/>
                <w:kern w:val="0"/>
              </w:rPr>
              <w:t>尾油</w:t>
            </w:r>
          </w:p>
        </w:tc>
        <w:tc>
          <w:tcPr>
            <w:tcW w:w="777" w:type="dxa"/>
            <w:tcBorders>
              <w:tl2br w:val="nil"/>
              <w:tr2bl w:val="nil"/>
            </w:tcBorders>
            <w:tcMar>
              <w:top w:w="57" w:type="dxa"/>
              <w:left w:w="85" w:type="dxa"/>
              <w:bottom w:w="57" w:type="dxa"/>
              <w:right w:w="85" w:type="dxa"/>
            </w:tcMar>
            <w:vAlign w:val="center"/>
          </w:tcPr>
          <w:p w:rsidR="00525419" w:rsidRDefault="00EE1CF7">
            <w:pPr>
              <w:snapToGrid w:val="0"/>
              <w:spacing w:line="240" w:lineRule="exact"/>
              <w:jc w:val="center"/>
              <w:rPr>
                <w:rFonts w:ascii="Times New Roman" w:hAnsi="Times New Roman"/>
              </w:rPr>
            </w:pPr>
            <w:r>
              <w:rPr>
                <w:rFonts w:ascii="Times New Roman" w:hAnsi="Times New Roman"/>
              </w:rPr>
              <w:t>0.80</w:t>
            </w:r>
          </w:p>
        </w:tc>
        <w:tc>
          <w:tcPr>
            <w:tcW w:w="653" w:type="dxa"/>
            <w:tcBorders>
              <w:tl2br w:val="nil"/>
              <w:tr2bl w:val="nil"/>
            </w:tcBorders>
            <w:tcMar>
              <w:top w:w="57" w:type="dxa"/>
              <w:left w:w="85" w:type="dxa"/>
              <w:bottom w:w="57" w:type="dxa"/>
              <w:right w:w="85" w:type="dxa"/>
            </w:tcMar>
            <w:vAlign w:val="center"/>
          </w:tcPr>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spacing w:val="4"/>
                <w:kern w:val="0"/>
              </w:rPr>
              <w:t>尾油中间罐</w:t>
            </w:r>
          </w:p>
        </w:tc>
        <w:tc>
          <w:tcPr>
            <w:tcW w:w="380" w:type="dxa"/>
            <w:tcBorders>
              <w:tl2br w:val="nil"/>
              <w:tr2bl w:val="nil"/>
            </w:tcBorders>
            <w:tcMar>
              <w:top w:w="57" w:type="dxa"/>
              <w:left w:w="85" w:type="dxa"/>
              <w:bottom w:w="57" w:type="dxa"/>
              <w:right w:w="85" w:type="dxa"/>
            </w:tcMar>
            <w:vAlign w:val="center"/>
          </w:tcPr>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2</w:t>
            </w:r>
          </w:p>
        </w:tc>
        <w:tc>
          <w:tcPr>
            <w:tcW w:w="695" w:type="dxa"/>
            <w:tcBorders>
              <w:tl2br w:val="nil"/>
              <w:tr2bl w:val="nil"/>
            </w:tcBorders>
            <w:tcMar>
              <w:top w:w="57" w:type="dxa"/>
              <w:left w:w="85" w:type="dxa"/>
              <w:bottom w:w="57" w:type="dxa"/>
              <w:right w:w="85" w:type="dxa"/>
            </w:tcMar>
            <w:vAlign w:val="center"/>
          </w:tcPr>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10000</w:t>
            </w:r>
          </w:p>
        </w:tc>
        <w:tc>
          <w:tcPr>
            <w:tcW w:w="695" w:type="dxa"/>
            <w:tcBorders>
              <w:tl2br w:val="nil"/>
              <w:tr2bl w:val="nil"/>
            </w:tcBorders>
            <w:tcMar>
              <w:top w:w="57" w:type="dxa"/>
              <w:left w:w="85" w:type="dxa"/>
              <w:bottom w:w="57" w:type="dxa"/>
              <w:right w:w="85" w:type="dxa"/>
            </w:tcMar>
            <w:vAlign w:val="center"/>
          </w:tcPr>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20000</w:t>
            </w:r>
          </w:p>
        </w:tc>
        <w:tc>
          <w:tcPr>
            <w:tcW w:w="631" w:type="dxa"/>
            <w:tcBorders>
              <w:tl2br w:val="nil"/>
              <w:tr2bl w:val="nil"/>
            </w:tcBorders>
            <w:tcMar>
              <w:top w:w="57" w:type="dxa"/>
              <w:left w:w="85" w:type="dxa"/>
              <w:bottom w:w="57" w:type="dxa"/>
              <w:right w:w="85" w:type="dxa"/>
            </w:tcMar>
            <w:vAlign w:val="center"/>
          </w:tcPr>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拱顶</w:t>
            </w:r>
          </w:p>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lang w:val="zh-CN"/>
              </w:rPr>
              <w:t>储罐</w:t>
            </w:r>
          </w:p>
        </w:tc>
        <w:tc>
          <w:tcPr>
            <w:tcW w:w="764" w:type="dxa"/>
            <w:tcBorders>
              <w:tl2br w:val="nil"/>
              <w:tr2bl w:val="nil"/>
            </w:tcBorders>
            <w:tcMar>
              <w:top w:w="57" w:type="dxa"/>
              <w:left w:w="85" w:type="dxa"/>
              <w:bottom w:w="57" w:type="dxa"/>
              <w:right w:w="85" w:type="dxa"/>
            </w:tcMar>
            <w:vAlign w:val="center"/>
          </w:tcPr>
          <w:p w:rsidR="00525419" w:rsidRDefault="00EE1CF7">
            <w:pPr>
              <w:adjustRightInd w:val="0"/>
              <w:snapToGrid w:val="0"/>
              <w:ind w:rightChars="33" w:right="69"/>
              <w:jc w:val="center"/>
              <w:rPr>
                <w:rFonts w:ascii="Times New Roman" w:hAnsi="Times New Roman"/>
              </w:rPr>
            </w:pPr>
            <w:r>
              <w:rPr>
                <w:rFonts w:ascii="Times New Roman" w:hAnsi="Times New Roman"/>
              </w:rPr>
              <w:t>20000</w:t>
            </w:r>
          </w:p>
        </w:tc>
        <w:tc>
          <w:tcPr>
            <w:tcW w:w="571"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75</w:t>
            </w:r>
          </w:p>
        </w:tc>
        <w:tc>
          <w:tcPr>
            <w:tcW w:w="988" w:type="dxa"/>
            <w:tcBorders>
              <w:tl2br w:val="nil"/>
              <w:tr2bl w:val="nil"/>
            </w:tcBorders>
            <w:tcMar>
              <w:top w:w="57" w:type="dxa"/>
              <w:left w:w="85" w:type="dxa"/>
              <w:bottom w:w="57" w:type="dxa"/>
              <w:right w:w="85" w:type="dxa"/>
            </w:tcMar>
            <w:vAlign w:val="center"/>
          </w:tcPr>
          <w:p w:rsidR="00525419" w:rsidRDefault="00EE1CF7">
            <w:pPr>
              <w:jc w:val="center"/>
              <w:rPr>
                <w:rFonts w:ascii="Times New Roman" w:hAnsi="Times New Roman"/>
              </w:rPr>
            </w:pPr>
            <w:r>
              <w:rPr>
                <w:rFonts w:ascii="Times New Roman" w:hAnsi="Times New Roman"/>
              </w:rPr>
              <w:t>储罐</w:t>
            </w:r>
          </w:p>
          <w:p w:rsidR="00525419" w:rsidRDefault="00EE1CF7">
            <w:pPr>
              <w:jc w:val="center"/>
              <w:rPr>
                <w:rFonts w:ascii="Times New Roman" w:hAnsi="Times New Roman"/>
              </w:rPr>
            </w:pPr>
            <w:r>
              <w:rPr>
                <w:rFonts w:ascii="Times New Roman" w:hAnsi="Times New Roman"/>
              </w:rPr>
              <w:t>利旧</w:t>
            </w:r>
          </w:p>
        </w:tc>
        <w:tc>
          <w:tcPr>
            <w:tcW w:w="1131" w:type="dxa"/>
            <w:tcBorders>
              <w:tl2br w:val="nil"/>
              <w:tr2bl w:val="nil"/>
            </w:tcBorders>
            <w:tcMar>
              <w:top w:w="57" w:type="dxa"/>
              <w:left w:w="85" w:type="dxa"/>
              <w:bottom w:w="57" w:type="dxa"/>
              <w:right w:w="85" w:type="dxa"/>
            </w:tcMar>
            <w:vAlign w:val="center"/>
          </w:tcPr>
          <w:p w:rsidR="00525419" w:rsidRDefault="00EE1CF7">
            <w:pPr>
              <w:jc w:val="center"/>
              <w:rPr>
                <w:rFonts w:ascii="Times New Roman" w:hAnsi="Times New Roman"/>
              </w:rPr>
            </w:pPr>
            <w:r>
              <w:rPr>
                <w:rFonts w:ascii="Times New Roman" w:hAnsi="Times New Roman"/>
              </w:rPr>
              <w:t>111-112#</w:t>
            </w:r>
          </w:p>
        </w:tc>
      </w:tr>
    </w:tbl>
    <w:p w:rsidR="00525419" w:rsidRDefault="00525419">
      <w:pPr>
        <w:spacing w:line="360" w:lineRule="auto"/>
        <w:ind w:firstLineChars="200" w:firstLine="480"/>
        <w:rPr>
          <w:rFonts w:ascii="Times New Roman" w:hAnsi="Times New Roman"/>
          <w:sz w:val="24"/>
        </w:rPr>
      </w:pPr>
    </w:p>
    <w:p w:rsidR="00525419" w:rsidRDefault="00EE1CF7">
      <w:pPr>
        <w:adjustRightInd w:val="0"/>
        <w:snapToGrid w:val="0"/>
        <w:jc w:val="center"/>
        <w:rPr>
          <w:rFonts w:ascii="Times New Roman" w:eastAsia="黑体" w:hAnsi="Times New Roman"/>
        </w:rPr>
      </w:pPr>
      <w:r>
        <w:rPr>
          <w:rFonts w:ascii="Times New Roman" w:eastAsia="黑体" w:hAnsi="Times New Roman"/>
        </w:rPr>
        <w:t>表</w:t>
      </w:r>
      <w:r>
        <w:rPr>
          <w:rFonts w:ascii="Times New Roman" w:eastAsia="黑体" w:hAnsi="Times New Roman"/>
        </w:rPr>
        <w:t xml:space="preserve">3.3-12    </w:t>
      </w:r>
      <w:r>
        <w:rPr>
          <w:rFonts w:ascii="Times New Roman" w:eastAsia="黑体" w:hAnsi="Times New Roman"/>
        </w:rPr>
        <w:t>产品储存设施一览表</w:t>
      </w:r>
    </w:p>
    <w:tbl>
      <w:tblPr>
        <w:tblW w:w="84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80"/>
        <w:gridCol w:w="1130"/>
        <w:gridCol w:w="1174"/>
        <w:gridCol w:w="1429"/>
        <w:gridCol w:w="919"/>
        <w:gridCol w:w="745"/>
        <w:gridCol w:w="919"/>
        <w:gridCol w:w="1185"/>
        <w:gridCol w:w="611"/>
      </w:tblGrid>
      <w:tr w:rsidR="00525419">
        <w:trPr>
          <w:cantSplit/>
          <w:trHeight w:val="397"/>
          <w:tblHeader/>
          <w:jc w:val="center"/>
        </w:trPr>
        <w:tc>
          <w:tcPr>
            <w:tcW w:w="380"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序号</w:t>
            </w:r>
          </w:p>
        </w:tc>
        <w:tc>
          <w:tcPr>
            <w:tcW w:w="1130"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名称</w:t>
            </w:r>
          </w:p>
        </w:tc>
        <w:tc>
          <w:tcPr>
            <w:tcW w:w="1174"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储存地点</w:t>
            </w:r>
          </w:p>
        </w:tc>
        <w:tc>
          <w:tcPr>
            <w:tcW w:w="1429"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储存方式</w:t>
            </w:r>
          </w:p>
        </w:tc>
        <w:tc>
          <w:tcPr>
            <w:tcW w:w="919"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储量（</w:t>
            </w:r>
            <w:r>
              <w:rPr>
                <w:rFonts w:ascii="Times New Roman" w:hAnsi="Times New Roman"/>
              </w:rPr>
              <w:t>t</w:t>
            </w:r>
            <w:r>
              <w:rPr>
                <w:rFonts w:ascii="Times New Roman" w:hAnsi="Times New Roman"/>
              </w:rPr>
              <w:t>）</w:t>
            </w:r>
          </w:p>
        </w:tc>
        <w:tc>
          <w:tcPr>
            <w:tcW w:w="745"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周转天数</w:t>
            </w:r>
          </w:p>
        </w:tc>
        <w:tc>
          <w:tcPr>
            <w:tcW w:w="919" w:type="dxa"/>
            <w:tcBorders>
              <w:tl2br w:val="nil"/>
              <w:tr2bl w:val="nil"/>
            </w:tcBorders>
            <w:vAlign w:val="center"/>
          </w:tcPr>
          <w:p w:rsidR="00525419" w:rsidRDefault="00EE1CF7">
            <w:pPr>
              <w:adjustRightInd w:val="0"/>
              <w:snapToGrid w:val="0"/>
              <w:jc w:val="center"/>
              <w:rPr>
                <w:rFonts w:ascii="Times New Roman" w:hAnsi="Times New Roman"/>
              </w:rPr>
            </w:pPr>
            <w:r>
              <w:rPr>
                <w:rFonts w:ascii="Times New Roman" w:hAnsi="Times New Roman"/>
              </w:rPr>
              <w:t>储存温度（</w:t>
            </w:r>
            <w:r>
              <w:rPr>
                <w:rFonts w:ascii="Times New Roman" w:hAnsi="Times New Roman"/>
              </w:rPr>
              <w:t>℃</w:t>
            </w:r>
            <w:r>
              <w:rPr>
                <w:rFonts w:ascii="Times New Roman" w:hAnsi="Times New Roman"/>
              </w:rPr>
              <w:t>）</w:t>
            </w:r>
          </w:p>
        </w:tc>
        <w:tc>
          <w:tcPr>
            <w:tcW w:w="1185" w:type="dxa"/>
            <w:tcBorders>
              <w:tl2br w:val="nil"/>
              <w:tr2bl w:val="nil"/>
            </w:tcBorders>
            <w:vAlign w:val="center"/>
          </w:tcPr>
          <w:p w:rsidR="00525419" w:rsidRDefault="00EE1CF7">
            <w:pPr>
              <w:adjustRightInd w:val="0"/>
              <w:snapToGrid w:val="0"/>
              <w:jc w:val="center"/>
              <w:rPr>
                <w:rFonts w:ascii="Times New Roman" w:hAnsi="Times New Roman"/>
              </w:rPr>
            </w:pPr>
            <w:r>
              <w:rPr>
                <w:rFonts w:ascii="Times New Roman" w:hAnsi="Times New Roman"/>
              </w:rPr>
              <w:t>设计压力（</w:t>
            </w:r>
            <w:r>
              <w:rPr>
                <w:rFonts w:ascii="Times New Roman" w:hAnsi="Times New Roman"/>
              </w:rPr>
              <w:t>MPaG</w:t>
            </w:r>
            <w:r>
              <w:rPr>
                <w:rFonts w:ascii="Times New Roman" w:hAnsi="Times New Roman"/>
              </w:rPr>
              <w:t>）</w:t>
            </w:r>
          </w:p>
        </w:tc>
        <w:tc>
          <w:tcPr>
            <w:tcW w:w="611" w:type="dxa"/>
            <w:tcBorders>
              <w:tl2br w:val="nil"/>
              <w:tr2bl w:val="nil"/>
            </w:tcBorders>
            <w:vAlign w:val="center"/>
          </w:tcPr>
          <w:p w:rsidR="00525419" w:rsidRDefault="00EE1CF7">
            <w:pPr>
              <w:adjustRightInd w:val="0"/>
              <w:snapToGrid w:val="0"/>
              <w:jc w:val="center"/>
              <w:rPr>
                <w:rFonts w:ascii="Times New Roman" w:hAnsi="Times New Roman"/>
              </w:rPr>
            </w:pPr>
            <w:r>
              <w:rPr>
                <w:rFonts w:ascii="Times New Roman" w:hAnsi="Times New Roman"/>
              </w:rPr>
              <w:t>备注</w:t>
            </w:r>
          </w:p>
        </w:tc>
      </w:tr>
      <w:tr w:rsidR="00525419">
        <w:trPr>
          <w:cantSplit/>
          <w:trHeight w:val="397"/>
          <w:jc w:val="center"/>
        </w:trPr>
        <w:tc>
          <w:tcPr>
            <w:tcW w:w="380"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1</w:t>
            </w:r>
          </w:p>
        </w:tc>
        <w:tc>
          <w:tcPr>
            <w:tcW w:w="1130"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煤焦油</w:t>
            </w:r>
          </w:p>
        </w:tc>
        <w:tc>
          <w:tcPr>
            <w:tcW w:w="1174"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煤焦油</w:t>
            </w:r>
          </w:p>
          <w:p w:rsidR="00525419" w:rsidRDefault="00EE1CF7">
            <w:pPr>
              <w:adjustRightInd w:val="0"/>
              <w:snapToGrid w:val="0"/>
              <w:jc w:val="center"/>
              <w:rPr>
                <w:rFonts w:ascii="Times New Roman" w:hAnsi="Times New Roman"/>
              </w:rPr>
            </w:pPr>
            <w:r>
              <w:rPr>
                <w:rFonts w:ascii="Times New Roman" w:hAnsi="Times New Roman"/>
              </w:rPr>
              <w:t>罐组</w:t>
            </w:r>
          </w:p>
        </w:tc>
        <w:tc>
          <w:tcPr>
            <w:tcW w:w="1429"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vertAlign w:val="superscript"/>
              </w:rPr>
            </w:pPr>
            <w:r>
              <w:rPr>
                <w:rFonts w:ascii="Times New Roman" w:hAnsi="Times New Roman"/>
              </w:rPr>
              <w:t>3×10000m</w:t>
            </w:r>
            <w:r>
              <w:rPr>
                <w:rFonts w:ascii="Times New Roman" w:hAnsi="Times New Roman"/>
                <w:vertAlign w:val="superscript"/>
              </w:rPr>
              <w:t>3</w:t>
            </w:r>
          </w:p>
          <w:p w:rsidR="00525419" w:rsidRDefault="00EE1CF7">
            <w:pPr>
              <w:adjustRightInd w:val="0"/>
              <w:snapToGrid w:val="0"/>
              <w:jc w:val="center"/>
              <w:rPr>
                <w:rFonts w:ascii="Times New Roman" w:hAnsi="Times New Roman"/>
              </w:rPr>
            </w:pPr>
            <w:r>
              <w:rPr>
                <w:rFonts w:ascii="Times New Roman" w:hAnsi="Times New Roman"/>
              </w:rPr>
              <w:t>拱顶罐</w:t>
            </w:r>
          </w:p>
        </w:tc>
        <w:tc>
          <w:tcPr>
            <w:tcW w:w="919"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25200</w:t>
            </w:r>
          </w:p>
        </w:tc>
        <w:tc>
          <w:tcPr>
            <w:tcW w:w="745"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14</w:t>
            </w:r>
          </w:p>
        </w:tc>
        <w:tc>
          <w:tcPr>
            <w:tcW w:w="919" w:type="dxa"/>
            <w:tcBorders>
              <w:tl2br w:val="nil"/>
              <w:tr2bl w:val="nil"/>
            </w:tcBorders>
            <w:vAlign w:val="center"/>
          </w:tcPr>
          <w:p w:rsidR="00525419" w:rsidRDefault="00EE1CF7">
            <w:pPr>
              <w:adjustRightInd w:val="0"/>
              <w:snapToGrid w:val="0"/>
              <w:jc w:val="center"/>
              <w:rPr>
                <w:rFonts w:ascii="Times New Roman" w:hAnsi="Times New Roman"/>
              </w:rPr>
            </w:pPr>
            <w:r>
              <w:rPr>
                <w:rFonts w:ascii="Times New Roman" w:hAnsi="Times New Roman"/>
              </w:rPr>
              <w:t>60</w:t>
            </w:r>
          </w:p>
        </w:tc>
        <w:tc>
          <w:tcPr>
            <w:tcW w:w="1185" w:type="dxa"/>
            <w:tcBorders>
              <w:tl2br w:val="nil"/>
              <w:tr2bl w:val="nil"/>
            </w:tcBorders>
            <w:vAlign w:val="center"/>
          </w:tcPr>
          <w:p w:rsidR="00525419" w:rsidRDefault="00EE1CF7">
            <w:pPr>
              <w:adjustRightInd w:val="0"/>
              <w:snapToGrid w:val="0"/>
              <w:jc w:val="center"/>
              <w:rPr>
                <w:rFonts w:ascii="Times New Roman" w:hAnsi="Times New Roman"/>
              </w:rPr>
            </w:pPr>
            <w:r>
              <w:rPr>
                <w:rFonts w:ascii="Times New Roman" w:hAnsi="Times New Roman"/>
              </w:rPr>
              <w:t>常压</w:t>
            </w:r>
          </w:p>
        </w:tc>
        <w:tc>
          <w:tcPr>
            <w:tcW w:w="611" w:type="dxa"/>
            <w:tcBorders>
              <w:tl2br w:val="nil"/>
              <w:tr2bl w:val="nil"/>
            </w:tcBorders>
            <w:vAlign w:val="center"/>
          </w:tcPr>
          <w:p w:rsidR="00525419" w:rsidRDefault="00EE1CF7">
            <w:pPr>
              <w:adjustRightInd w:val="0"/>
              <w:snapToGrid w:val="0"/>
              <w:jc w:val="center"/>
              <w:rPr>
                <w:rFonts w:ascii="Times New Roman" w:hAnsi="Times New Roman"/>
              </w:rPr>
            </w:pPr>
            <w:r>
              <w:rPr>
                <w:rFonts w:ascii="Times New Roman" w:hAnsi="Times New Roman"/>
              </w:rPr>
              <w:t>利旧</w:t>
            </w:r>
          </w:p>
        </w:tc>
      </w:tr>
      <w:tr w:rsidR="00525419">
        <w:trPr>
          <w:cantSplit/>
          <w:trHeight w:val="397"/>
          <w:jc w:val="center"/>
        </w:trPr>
        <w:tc>
          <w:tcPr>
            <w:tcW w:w="380"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2</w:t>
            </w:r>
          </w:p>
        </w:tc>
        <w:tc>
          <w:tcPr>
            <w:tcW w:w="1130" w:type="dxa"/>
            <w:tcBorders>
              <w:tl2br w:val="nil"/>
              <w:tr2bl w:val="nil"/>
            </w:tcBorders>
            <w:tcMar>
              <w:top w:w="57" w:type="dxa"/>
              <w:left w:w="85" w:type="dxa"/>
              <w:bottom w:w="57" w:type="dxa"/>
              <w:right w:w="85" w:type="dxa"/>
            </w:tcMar>
            <w:vAlign w:val="center"/>
          </w:tcPr>
          <w:p w:rsidR="00525419" w:rsidRDefault="00EE1CF7">
            <w:pPr>
              <w:jc w:val="center"/>
              <w:rPr>
                <w:rFonts w:ascii="Times New Roman" w:hAnsi="Times New Roman"/>
                <w:szCs w:val="24"/>
              </w:rPr>
            </w:pPr>
            <w:r>
              <w:rPr>
                <w:rFonts w:ascii="Times New Roman" w:hAnsi="Times New Roman"/>
                <w:szCs w:val="24"/>
              </w:rPr>
              <w:t>液化石</w:t>
            </w:r>
          </w:p>
          <w:p w:rsidR="00525419" w:rsidRDefault="00EE1CF7">
            <w:pPr>
              <w:jc w:val="center"/>
              <w:rPr>
                <w:rFonts w:ascii="Times New Roman" w:hAnsi="Times New Roman"/>
                <w:szCs w:val="24"/>
              </w:rPr>
            </w:pPr>
            <w:r>
              <w:rPr>
                <w:rFonts w:ascii="Times New Roman" w:hAnsi="Times New Roman"/>
                <w:szCs w:val="24"/>
              </w:rPr>
              <w:t>油气</w:t>
            </w:r>
          </w:p>
        </w:tc>
        <w:tc>
          <w:tcPr>
            <w:tcW w:w="1174"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lang w:val="zh-CN"/>
              </w:rPr>
            </w:pPr>
            <w:r>
              <w:rPr>
                <w:rFonts w:ascii="Times New Roman" w:hAnsi="Times New Roman"/>
                <w:lang w:val="zh-CN"/>
              </w:rPr>
              <w:t>液化气</w:t>
            </w:r>
          </w:p>
          <w:p w:rsidR="00525419" w:rsidRDefault="00EE1CF7">
            <w:pPr>
              <w:adjustRightInd w:val="0"/>
              <w:snapToGrid w:val="0"/>
              <w:jc w:val="center"/>
              <w:rPr>
                <w:rFonts w:ascii="Times New Roman" w:hAnsi="Times New Roman"/>
                <w:lang w:val="zh-CN"/>
              </w:rPr>
            </w:pPr>
            <w:r>
              <w:rPr>
                <w:rFonts w:ascii="Times New Roman" w:hAnsi="Times New Roman"/>
                <w:lang w:val="zh-CN"/>
              </w:rPr>
              <w:t>罐组</w:t>
            </w:r>
          </w:p>
        </w:tc>
        <w:tc>
          <w:tcPr>
            <w:tcW w:w="1429"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vertAlign w:val="superscript"/>
                <w:lang w:val="zh-CN"/>
              </w:rPr>
            </w:pPr>
            <w:r>
              <w:rPr>
                <w:rFonts w:ascii="Times New Roman" w:hAnsi="Times New Roman"/>
                <w:lang w:val="zh-CN"/>
              </w:rPr>
              <w:t>4×1000m</w:t>
            </w:r>
            <w:r>
              <w:rPr>
                <w:rFonts w:ascii="Times New Roman" w:hAnsi="Times New Roman"/>
                <w:vertAlign w:val="superscript"/>
                <w:lang w:val="zh-CN"/>
              </w:rPr>
              <w:t>3</w:t>
            </w:r>
          </w:p>
          <w:p w:rsidR="00525419" w:rsidRDefault="00EE1CF7">
            <w:pPr>
              <w:adjustRightInd w:val="0"/>
              <w:snapToGrid w:val="0"/>
              <w:jc w:val="center"/>
              <w:rPr>
                <w:rFonts w:ascii="Times New Roman" w:hAnsi="Times New Roman"/>
                <w:lang w:val="zh-CN"/>
              </w:rPr>
            </w:pPr>
            <w:r>
              <w:rPr>
                <w:rFonts w:ascii="Times New Roman" w:hAnsi="Times New Roman"/>
                <w:lang w:val="zh-CN"/>
              </w:rPr>
              <w:t>球罐</w:t>
            </w:r>
          </w:p>
        </w:tc>
        <w:tc>
          <w:tcPr>
            <w:tcW w:w="919"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1980</w:t>
            </w:r>
          </w:p>
        </w:tc>
        <w:tc>
          <w:tcPr>
            <w:tcW w:w="745"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48</w:t>
            </w:r>
          </w:p>
        </w:tc>
        <w:tc>
          <w:tcPr>
            <w:tcW w:w="919"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环温</w:t>
            </w:r>
          </w:p>
        </w:tc>
        <w:tc>
          <w:tcPr>
            <w:tcW w:w="1185"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1.77</w:t>
            </w:r>
          </w:p>
        </w:tc>
        <w:tc>
          <w:tcPr>
            <w:tcW w:w="611"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利旧</w:t>
            </w:r>
          </w:p>
        </w:tc>
      </w:tr>
      <w:tr w:rsidR="00525419">
        <w:trPr>
          <w:cantSplit/>
          <w:trHeight w:val="397"/>
          <w:jc w:val="center"/>
        </w:trPr>
        <w:tc>
          <w:tcPr>
            <w:tcW w:w="380"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3</w:t>
            </w:r>
          </w:p>
        </w:tc>
        <w:tc>
          <w:tcPr>
            <w:tcW w:w="1130" w:type="dxa"/>
            <w:tcBorders>
              <w:tl2br w:val="nil"/>
              <w:tr2bl w:val="nil"/>
            </w:tcBorders>
            <w:tcMar>
              <w:top w:w="57" w:type="dxa"/>
              <w:left w:w="85" w:type="dxa"/>
              <w:bottom w:w="57" w:type="dxa"/>
              <w:right w:w="85" w:type="dxa"/>
            </w:tcMar>
            <w:vAlign w:val="center"/>
          </w:tcPr>
          <w:p w:rsidR="00525419" w:rsidRDefault="00EE1CF7">
            <w:pPr>
              <w:jc w:val="center"/>
              <w:rPr>
                <w:rFonts w:ascii="Times New Roman" w:hAnsi="Times New Roman"/>
                <w:szCs w:val="24"/>
              </w:rPr>
            </w:pPr>
            <w:r>
              <w:rPr>
                <w:rFonts w:ascii="Times New Roman" w:hAnsi="Times New Roman"/>
                <w:szCs w:val="24"/>
              </w:rPr>
              <w:t>石脑油</w:t>
            </w:r>
          </w:p>
        </w:tc>
        <w:tc>
          <w:tcPr>
            <w:tcW w:w="1174" w:type="dxa"/>
            <w:tcBorders>
              <w:tl2br w:val="nil"/>
              <w:tr2bl w:val="nil"/>
            </w:tcBorders>
            <w:tcMar>
              <w:top w:w="57" w:type="dxa"/>
              <w:left w:w="85" w:type="dxa"/>
              <w:bottom w:w="57" w:type="dxa"/>
              <w:right w:w="85" w:type="dxa"/>
            </w:tcMar>
            <w:vAlign w:val="center"/>
          </w:tcPr>
          <w:p w:rsidR="00525419" w:rsidRDefault="00EE1CF7">
            <w:pPr>
              <w:adjustRightInd w:val="0"/>
              <w:snapToGrid w:val="0"/>
              <w:rPr>
                <w:rFonts w:ascii="Times New Roman" w:hAnsi="Times New Roman"/>
              </w:rPr>
            </w:pPr>
            <w:r>
              <w:rPr>
                <w:rFonts w:ascii="Times New Roman" w:hAnsi="Times New Roman"/>
              </w:rPr>
              <w:t xml:space="preserve"> </w:t>
            </w:r>
            <w:r>
              <w:rPr>
                <w:rFonts w:ascii="Times New Roman" w:hAnsi="Times New Roman"/>
              </w:rPr>
              <w:t>石脑油</w:t>
            </w:r>
          </w:p>
          <w:p w:rsidR="00525419" w:rsidRDefault="00EE1CF7">
            <w:pPr>
              <w:adjustRightInd w:val="0"/>
              <w:snapToGrid w:val="0"/>
              <w:ind w:firstLineChars="100" w:firstLine="210"/>
              <w:rPr>
                <w:rFonts w:ascii="Times New Roman" w:hAnsi="Times New Roman"/>
                <w:lang w:val="zh-CN"/>
              </w:rPr>
            </w:pPr>
            <w:r>
              <w:rPr>
                <w:rFonts w:ascii="Times New Roman" w:hAnsi="Times New Roman"/>
              </w:rPr>
              <w:t>罐组</w:t>
            </w:r>
          </w:p>
        </w:tc>
        <w:tc>
          <w:tcPr>
            <w:tcW w:w="1429"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vertAlign w:val="superscript"/>
                <w:lang w:val="zh-CN"/>
              </w:rPr>
            </w:pPr>
            <w:r>
              <w:rPr>
                <w:rFonts w:ascii="Times New Roman" w:hAnsi="Times New Roman"/>
                <w:lang w:val="zh-CN"/>
              </w:rPr>
              <w:t>1×5000m</w:t>
            </w:r>
            <w:r>
              <w:rPr>
                <w:rFonts w:ascii="Times New Roman" w:hAnsi="Times New Roman"/>
                <w:vertAlign w:val="superscript"/>
                <w:lang w:val="zh-CN"/>
              </w:rPr>
              <w:t>3</w:t>
            </w:r>
          </w:p>
          <w:p w:rsidR="00525419" w:rsidRDefault="00EE1CF7">
            <w:pPr>
              <w:adjustRightInd w:val="0"/>
              <w:snapToGrid w:val="0"/>
              <w:jc w:val="center"/>
              <w:rPr>
                <w:rFonts w:ascii="Times New Roman" w:hAnsi="Times New Roman"/>
                <w:lang w:val="zh-CN"/>
              </w:rPr>
            </w:pPr>
            <w:r>
              <w:rPr>
                <w:rFonts w:ascii="Times New Roman" w:hAnsi="Times New Roman"/>
                <w:lang w:val="zh-CN"/>
              </w:rPr>
              <w:t>内浮顶罐</w:t>
            </w:r>
          </w:p>
        </w:tc>
        <w:tc>
          <w:tcPr>
            <w:tcW w:w="919"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3800</w:t>
            </w:r>
          </w:p>
        </w:tc>
        <w:tc>
          <w:tcPr>
            <w:tcW w:w="745"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hint="eastAsia"/>
              </w:rPr>
              <w:t>8</w:t>
            </w:r>
          </w:p>
        </w:tc>
        <w:tc>
          <w:tcPr>
            <w:tcW w:w="919"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环温</w:t>
            </w:r>
          </w:p>
        </w:tc>
        <w:tc>
          <w:tcPr>
            <w:tcW w:w="1185"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常压</w:t>
            </w:r>
          </w:p>
        </w:tc>
        <w:tc>
          <w:tcPr>
            <w:tcW w:w="611"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利旧</w:t>
            </w:r>
          </w:p>
        </w:tc>
      </w:tr>
      <w:tr w:rsidR="00525419">
        <w:trPr>
          <w:cantSplit/>
          <w:trHeight w:val="397"/>
          <w:jc w:val="center"/>
        </w:trPr>
        <w:tc>
          <w:tcPr>
            <w:tcW w:w="380"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4</w:t>
            </w:r>
          </w:p>
        </w:tc>
        <w:tc>
          <w:tcPr>
            <w:tcW w:w="1130" w:type="dxa"/>
            <w:tcBorders>
              <w:tl2br w:val="nil"/>
              <w:tr2bl w:val="nil"/>
            </w:tcBorders>
            <w:tcMar>
              <w:top w:w="57" w:type="dxa"/>
              <w:left w:w="85" w:type="dxa"/>
              <w:bottom w:w="57" w:type="dxa"/>
              <w:right w:w="85" w:type="dxa"/>
            </w:tcMar>
            <w:vAlign w:val="center"/>
          </w:tcPr>
          <w:p w:rsidR="00525419" w:rsidRDefault="00EE1CF7">
            <w:pPr>
              <w:jc w:val="center"/>
              <w:rPr>
                <w:rFonts w:ascii="Times New Roman" w:hAnsi="Times New Roman"/>
                <w:szCs w:val="24"/>
              </w:rPr>
            </w:pPr>
            <w:r>
              <w:rPr>
                <w:rFonts w:ascii="Times New Roman" w:hAnsi="Times New Roman"/>
                <w:szCs w:val="24"/>
              </w:rPr>
              <w:t>精制柴油</w:t>
            </w:r>
          </w:p>
        </w:tc>
        <w:tc>
          <w:tcPr>
            <w:tcW w:w="1174"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lang w:val="zh-CN"/>
              </w:rPr>
            </w:pPr>
            <w:r>
              <w:rPr>
                <w:rFonts w:ascii="Times New Roman" w:hAnsi="Times New Roman"/>
                <w:lang w:val="zh-CN"/>
              </w:rPr>
              <w:t>精制柴</w:t>
            </w:r>
          </w:p>
          <w:p w:rsidR="00525419" w:rsidRDefault="00EE1CF7">
            <w:pPr>
              <w:adjustRightInd w:val="0"/>
              <w:snapToGrid w:val="0"/>
              <w:jc w:val="center"/>
              <w:rPr>
                <w:rFonts w:ascii="Times New Roman" w:hAnsi="Times New Roman"/>
                <w:lang w:val="zh-CN"/>
              </w:rPr>
            </w:pPr>
            <w:r>
              <w:rPr>
                <w:rFonts w:ascii="Times New Roman" w:hAnsi="Times New Roman"/>
                <w:lang w:val="zh-CN"/>
              </w:rPr>
              <w:t>油罐组</w:t>
            </w:r>
          </w:p>
        </w:tc>
        <w:tc>
          <w:tcPr>
            <w:tcW w:w="1429"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vertAlign w:val="superscript"/>
              </w:rPr>
            </w:pPr>
            <w:r>
              <w:rPr>
                <w:rFonts w:ascii="Times New Roman" w:hAnsi="Times New Roman"/>
              </w:rPr>
              <w:t>3×5000m</w:t>
            </w:r>
            <w:r>
              <w:rPr>
                <w:rFonts w:ascii="Times New Roman" w:hAnsi="Times New Roman"/>
                <w:vertAlign w:val="superscript"/>
              </w:rPr>
              <w:t>3</w:t>
            </w:r>
          </w:p>
          <w:p w:rsidR="00525419" w:rsidRDefault="00EE1CF7">
            <w:pPr>
              <w:adjustRightInd w:val="0"/>
              <w:snapToGrid w:val="0"/>
              <w:jc w:val="center"/>
              <w:rPr>
                <w:rFonts w:ascii="Times New Roman" w:hAnsi="Times New Roman"/>
              </w:rPr>
            </w:pPr>
            <w:r>
              <w:rPr>
                <w:rFonts w:ascii="Times New Roman" w:hAnsi="Times New Roman"/>
              </w:rPr>
              <w:t>拱顶储罐</w:t>
            </w:r>
          </w:p>
        </w:tc>
        <w:tc>
          <w:tcPr>
            <w:tcW w:w="919"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12750</w:t>
            </w:r>
          </w:p>
        </w:tc>
        <w:tc>
          <w:tcPr>
            <w:tcW w:w="745"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hint="eastAsia"/>
              </w:rPr>
              <w:t>15.9</w:t>
            </w:r>
          </w:p>
        </w:tc>
        <w:tc>
          <w:tcPr>
            <w:tcW w:w="919"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环温</w:t>
            </w:r>
          </w:p>
        </w:tc>
        <w:tc>
          <w:tcPr>
            <w:tcW w:w="1185"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常压</w:t>
            </w:r>
          </w:p>
        </w:tc>
        <w:tc>
          <w:tcPr>
            <w:tcW w:w="611"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利旧</w:t>
            </w:r>
          </w:p>
        </w:tc>
      </w:tr>
      <w:tr w:rsidR="00525419">
        <w:trPr>
          <w:cantSplit/>
          <w:trHeight w:val="397"/>
          <w:jc w:val="center"/>
        </w:trPr>
        <w:tc>
          <w:tcPr>
            <w:tcW w:w="380"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5</w:t>
            </w:r>
          </w:p>
        </w:tc>
        <w:tc>
          <w:tcPr>
            <w:tcW w:w="1130" w:type="dxa"/>
            <w:tcBorders>
              <w:tl2br w:val="nil"/>
              <w:tr2bl w:val="nil"/>
            </w:tcBorders>
            <w:tcMar>
              <w:top w:w="57" w:type="dxa"/>
              <w:left w:w="85" w:type="dxa"/>
              <w:bottom w:w="57" w:type="dxa"/>
              <w:right w:w="85" w:type="dxa"/>
            </w:tcMar>
            <w:vAlign w:val="center"/>
          </w:tcPr>
          <w:p w:rsidR="00525419" w:rsidRDefault="00EE1CF7">
            <w:pPr>
              <w:jc w:val="center"/>
              <w:rPr>
                <w:rFonts w:ascii="Times New Roman" w:hAnsi="Times New Roman"/>
                <w:szCs w:val="24"/>
              </w:rPr>
            </w:pPr>
            <w:r>
              <w:rPr>
                <w:rFonts w:ascii="Times New Roman" w:hAnsi="Times New Roman"/>
                <w:szCs w:val="24"/>
              </w:rPr>
              <w:t>精制尾油</w:t>
            </w:r>
          </w:p>
        </w:tc>
        <w:tc>
          <w:tcPr>
            <w:tcW w:w="1174"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lang w:val="zh-CN"/>
              </w:rPr>
            </w:pPr>
            <w:r>
              <w:rPr>
                <w:rFonts w:ascii="Times New Roman" w:hAnsi="Times New Roman"/>
                <w:lang w:val="zh-CN"/>
              </w:rPr>
              <w:t>精制尾</w:t>
            </w:r>
          </w:p>
          <w:p w:rsidR="00525419" w:rsidRDefault="00EE1CF7">
            <w:pPr>
              <w:adjustRightInd w:val="0"/>
              <w:snapToGrid w:val="0"/>
              <w:jc w:val="center"/>
              <w:rPr>
                <w:rFonts w:ascii="Times New Roman" w:hAnsi="Times New Roman"/>
                <w:lang w:val="zh-CN"/>
              </w:rPr>
            </w:pPr>
            <w:r>
              <w:rPr>
                <w:rFonts w:ascii="Times New Roman" w:hAnsi="Times New Roman"/>
                <w:lang w:val="zh-CN"/>
              </w:rPr>
              <w:t>油组</w:t>
            </w:r>
          </w:p>
        </w:tc>
        <w:tc>
          <w:tcPr>
            <w:tcW w:w="1429"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vertAlign w:val="superscript"/>
              </w:rPr>
            </w:pPr>
            <w:r>
              <w:rPr>
                <w:rFonts w:ascii="Times New Roman" w:hAnsi="Times New Roman"/>
              </w:rPr>
              <w:t>1×2000m</w:t>
            </w:r>
            <w:r>
              <w:rPr>
                <w:rFonts w:ascii="Times New Roman" w:hAnsi="Times New Roman"/>
                <w:vertAlign w:val="superscript"/>
              </w:rPr>
              <w:t>3</w:t>
            </w:r>
          </w:p>
          <w:p w:rsidR="00525419" w:rsidRDefault="00EE1CF7">
            <w:pPr>
              <w:adjustRightInd w:val="0"/>
              <w:snapToGrid w:val="0"/>
              <w:jc w:val="center"/>
              <w:rPr>
                <w:rFonts w:ascii="Times New Roman" w:hAnsi="Times New Roman"/>
              </w:rPr>
            </w:pPr>
            <w:r>
              <w:rPr>
                <w:rFonts w:ascii="Times New Roman" w:hAnsi="Times New Roman"/>
              </w:rPr>
              <w:t>拱顶储罐</w:t>
            </w:r>
          </w:p>
        </w:tc>
        <w:tc>
          <w:tcPr>
            <w:tcW w:w="919"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1800</w:t>
            </w:r>
          </w:p>
        </w:tc>
        <w:tc>
          <w:tcPr>
            <w:tcW w:w="745"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75</w:t>
            </w:r>
          </w:p>
        </w:tc>
        <w:tc>
          <w:tcPr>
            <w:tcW w:w="919"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60</w:t>
            </w:r>
          </w:p>
        </w:tc>
        <w:tc>
          <w:tcPr>
            <w:tcW w:w="1185"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常压</w:t>
            </w:r>
          </w:p>
        </w:tc>
        <w:tc>
          <w:tcPr>
            <w:tcW w:w="611"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利旧</w:t>
            </w:r>
          </w:p>
        </w:tc>
      </w:tr>
      <w:tr w:rsidR="00525419">
        <w:trPr>
          <w:cantSplit/>
          <w:trHeight w:val="397"/>
          <w:jc w:val="center"/>
        </w:trPr>
        <w:tc>
          <w:tcPr>
            <w:tcW w:w="380"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6</w:t>
            </w:r>
          </w:p>
        </w:tc>
        <w:tc>
          <w:tcPr>
            <w:tcW w:w="1130" w:type="dxa"/>
            <w:tcBorders>
              <w:tl2br w:val="nil"/>
              <w:tr2bl w:val="nil"/>
            </w:tcBorders>
            <w:tcMar>
              <w:top w:w="57" w:type="dxa"/>
              <w:left w:w="85" w:type="dxa"/>
              <w:bottom w:w="57" w:type="dxa"/>
              <w:right w:w="85" w:type="dxa"/>
            </w:tcMar>
            <w:vAlign w:val="center"/>
          </w:tcPr>
          <w:p w:rsidR="00525419" w:rsidRDefault="00EE1CF7">
            <w:pPr>
              <w:jc w:val="center"/>
              <w:rPr>
                <w:rFonts w:ascii="Times New Roman" w:hAnsi="Times New Roman"/>
                <w:szCs w:val="24"/>
              </w:rPr>
            </w:pPr>
            <w:r>
              <w:rPr>
                <w:rFonts w:ascii="Times New Roman" w:hAnsi="Times New Roman"/>
                <w:szCs w:val="24"/>
              </w:rPr>
              <w:t>尾油</w:t>
            </w:r>
          </w:p>
        </w:tc>
        <w:tc>
          <w:tcPr>
            <w:tcW w:w="1174" w:type="dxa"/>
            <w:tcBorders>
              <w:tl2br w:val="nil"/>
              <w:tr2bl w:val="nil"/>
            </w:tcBorders>
            <w:tcMar>
              <w:top w:w="57" w:type="dxa"/>
              <w:left w:w="85" w:type="dxa"/>
              <w:bottom w:w="57" w:type="dxa"/>
              <w:right w:w="85" w:type="dxa"/>
            </w:tcMar>
            <w:vAlign w:val="center"/>
          </w:tcPr>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spacing w:val="4"/>
                <w:kern w:val="0"/>
              </w:rPr>
            </w:pPr>
            <w:r>
              <w:rPr>
                <w:rFonts w:ascii="Times New Roman" w:hAnsi="Times New Roman"/>
                <w:spacing w:val="4"/>
                <w:kern w:val="0"/>
              </w:rPr>
              <w:t>尾油中</w:t>
            </w:r>
          </w:p>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spacing w:val="4"/>
                <w:kern w:val="0"/>
              </w:rPr>
              <w:t>间罐</w:t>
            </w:r>
          </w:p>
        </w:tc>
        <w:tc>
          <w:tcPr>
            <w:tcW w:w="1429"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vertAlign w:val="superscript"/>
              </w:rPr>
            </w:pPr>
            <w:r>
              <w:rPr>
                <w:rFonts w:ascii="Times New Roman" w:hAnsi="Times New Roman"/>
              </w:rPr>
              <w:t>2×10000m</w:t>
            </w:r>
            <w:r>
              <w:rPr>
                <w:rFonts w:ascii="Times New Roman" w:hAnsi="Times New Roman"/>
                <w:vertAlign w:val="superscript"/>
              </w:rPr>
              <w:t>3</w:t>
            </w:r>
          </w:p>
          <w:p w:rsidR="00525419" w:rsidRDefault="00EE1CF7">
            <w:pPr>
              <w:adjustRightInd w:val="0"/>
              <w:snapToGrid w:val="0"/>
              <w:jc w:val="center"/>
              <w:rPr>
                <w:rFonts w:ascii="Times New Roman" w:hAnsi="Times New Roman"/>
              </w:rPr>
            </w:pPr>
            <w:r>
              <w:rPr>
                <w:rFonts w:ascii="Times New Roman" w:hAnsi="Times New Roman"/>
              </w:rPr>
              <w:t>拱顶储罐</w:t>
            </w:r>
          </w:p>
        </w:tc>
        <w:tc>
          <w:tcPr>
            <w:tcW w:w="919"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20000</w:t>
            </w:r>
          </w:p>
        </w:tc>
        <w:tc>
          <w:tcPr>
            <w:tcW w:w="745"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75</w:t>
            </w:r>
          </w:p>
        </w:tc>
        <w:tc>
          <w:tcPr>
            <w:tcW w:w="919"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60</w:t>
            </w:r>
          </w:p>
        </w:tc>
        <w:tc>
          <w:tcPr>
            <w:tcW w:w="1185"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常压</w:t>
            </w:r>
          </w:p>
        </w:tc>
        <w:tc>
          <w:tcPr>
            <w:tcW w:w="611"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利旧</w:t>
            </w:r>
          </w:p>
        </w:tc>
      </w:tr>
    </w:tbl>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）运输设施</w:t>
      </w:r>
    </w:p>
    <w:p w:rsidR="00525419" w:rsidRDefault="00EE1CF7">
      <w:pPr>
        <w:spacing w:line="360" w:lineRule="auto"/>
        <w:ind w:firstLineChars="200" w:firstLine="480"/>
        <w:rPr>
          <w:rFonts w:ascii="Times New Roman" w:eastAsia="黑体" w:hAnsi="Times New Roman"/>
        </w:rPr>
      </w:pPr>
      <w:r>
        <w:rPr>
          <w:rFonts w:ascii="Times New Roman" w:hAnsi="Times New Roman"/>
          <w:sz w:val="24"/>
        </w:rPr>
        <w:lastRenderedPageBreak/>
        <w:t>汽车装卸站负责原料油以及各产品油的装车和卸车。外来油品槽车通过卸车台的专用卸车泵加压后输送至储罐储存。油品装车采用密闭上装鹤管，每个装车鹤位单独设定量装车系统，油品槽车进出通过地磅计量。装车过程中产生的油品通过气相管接入油气回收装置处理，油品回收装置采用冷凝</w:t>
      </w:r>
      <w:r>
        <w:rPr>
          <w:rFonts w:ascii="Times New Roman" w:hAnsi="Times New Roman"/>
          <w:sz w:val="24"/>
        </w:rPr>
        <w:t>+</w:t>
      </w:r>
      <w:r>
        <w:rPr>
          <w:rFonts w:ascii="Times New Roman" w:hAnsi="Times New Roman"/>
          <w:sz w:val="24"/>
        </w:rPr>
        <w:t>吸附法油汽回收处理装置撬块。本项目厂区运输、装卸依托厂区现有设施。</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）工厂运输</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原、辅材料及产品均以公路汽车运输为主。运输主要依托社会运输力量，其中凡属于危险化学品的物料必须委托具有</w:t>
      </w:r>
      <w:r>
        <w:rPr>
          <w:rFonts w:ascii="Times New Roman" w:hAnsi="Times New Roman"/>
          <w:sz w:val="24"/>
        </w:rPr>
        <w:t>“</w:t>
      </w:r>
      <w:r>
        <w:rPr>
          <w:rFonts w:ascii="Times New Roman" w:hAnsi="Times New Roman"/>
          <w:sz w:val="24"/>
        </w:rPr>
        <w:t>危险化学品运输资质</w:t>
      </w:r>
      <w:r>
        <w:rPr>
          <w:rFonts w:ascii="Times New Roman" w:hAnsi="Times New Roman"/>
          <w:sz w:val="24"/>
        </w:rPr>
        <w:t>”</w:t>
      </w:r>
      <w:r>
        <w:rPr>
          <w:rFonts w:ascii="Times New Roman" w:hAnsi="Times New Roman"/>
          <w:sz w:val="24"/>
        </w:rPr>
        <w:t>的单位进行承运。</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项目主要原、辅材及产品运输、数量等指汽车运输物料，不包括装置、设备间管输物料，见表</w:t>
      </w:r>
      <w:r>
        <w:rPr>
          <w:rFonts w:ascii="Times New Roman" w:hAnsi="Times New Roman"/>
          <w:sz w:val="24"/>
        </w:rPr>
        <w:t>3.3-13</w:t>
      </w:r>
      <w:r>
        <w:rPr>
          <w:rFonts w:ascii="Times New Roman" w:hAnsi="Times New Roman"/>
          <w:sz w:val="24"/>
        </w:rPr>
        <w:t>。</w:t>
      </w:r>
    </w:p>
    <w:p w:rsidR="00525419" w:rsidRDefault="00EE1CF7">
      <w:pPr>
        <w:adjustRightInd w:val="0"/>
        <w:snapToGrid w:val="0"/>
        <w:spacing w:line="240" w:lineRule="atLeast"/>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3.3-13  </w:t>
      </w:r>
      <w:r>
        <w:rPr>
          <w:rFonts w:ascii="Times New Roman" w:eastAsia="黑体" w:hAnsi="Times New Roman"/>
          <w:szCs w:val="21"/>
        </w:rPr>
        <w:t>项目主要原、辅材及产品运输、数量表</w:t>
      </w:r>
    </w:p>
    <w:tbl>
      <w:tblPr>
        <w:tblW w:w="851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51"/>
        <w:gridCol w:w="2261"/>
        <w:gridCol w:w="1703"/>
        <w:gridCol w:w="1703"/>
        <w:gridCol w:w="1701"/>
      </w:tblGrid>
      <w:tr w:rsidR="00525419">
        <w:trPr>
          <w:trHeight w:val="177"/>
          <w:jc w:val="center"/>
        </w:trPr>
        <w:tc>
          <w:tcPr>
            <w:tcW w:w="1151"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序号</w:t>
            </w:r>
          </w:p>
        </w:tc>
        <w:tc>
          <w:tcPr>
            <w:tcW w:w="2261"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名称</w:t>
            </w:r>
          </w:p>
        </w:tc>
        <w:tc>
          <w:tcPr>
            <w:tcW w:w="1703"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物料形态</w:t>
            </w:r>
          </w:p>
        </w:tc>
        <w:tc>
          <w:tcPr>
            <w:tcW w:w="1703"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年运运输（</w:t>
            </w:r>
            <w:r>
              <w:rPr>
                <w:rFonts w:cs="Times New Roman"/>
                <w:color w:val="auto"/>
              </w:rPr>
              <w:t>t/a</w:t>
            </w:r>
            <w:r>
              <w:rPr>
                <w:rFonts w:cs="Times New Roman"/>
                <w:color w:val="auto"/>
              </w:rPr>
              <w:t>）</w:t>
            </w:r>
          </w:p>
        </w:tc>
        <w:tc>
          <w:tcPr>
            <w:tcW w:w="1701"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运输方式</w:t>
            </w:r>
          </w:p>
        </w:tc>
      </w:tr>
      <w:tr w:rsidR="00525419">
        <w:trPr>
          <w:trHeight w:val="186"/>
          <w:jc w:val="center"/>
        </w:trPr>
        <w:tc>
          <w:tcPr>
            <w:tcW w:w="1151"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一</w:t>
            </w:r>
          </w:p>
        </w:tc>
        <w:tc>
          <w:tcPr>
            <w:tcW w:w="2261"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运入</w:t>
            </w:r>
          </w:p>
        </w:tc>
        <w:tc>
          <w:tcPr>
            <w:tcW w:w="1703" w:type="dxa"/>
            <w:tcBorders>
              <w:tl2br w:val="nil"/>
              <w:tr2bl w:val="nil"/>
            </w:tcBorders>
            <w:vAlign w:val="center"/>
          </w:tcPr>
          <w:p w:rsidR="00525419" w:rsidRDefault="00525419">
            <w:pPr>
              <w:pStyle w:val="afffffffffffffffffffffffffffffffff9"/>
              <w:rPr>
                <w:rFonts w:cs="Times New Roman"/>
                <w:color w:val="auto"/>
              </w:rPr>
            </w:pPr>
          </w:p>
        </w:tc>
        <w:tc>
          <w:tcPr>
            <w:tcW w:w="1703" w:type="dxa"/>
            <w:tcBorders>
              <w:tl2br w:val="nil"/>
              <w:tr2bl w:val="nil"/>
            </w:tcBorders>
            <w:vAlign w:val="center"/>
          </w:tcPr>
          <w:p w:rsidR="00525419" w:rsidRDefault="00525419">
            <w:pPr>
              <w:pStyle w:val="afffffffffffffffffffffffffffffffff9"/>
              <w:rPr>
                <w:rFonts w:cs="Times New Roman"/>
                <w:color w:val="auto"/>
              </w:rPr>
            </w:pPr>
          </w:p>
        </w:tc>
        <w:tc>
          <w:tcPr>
            <w:tcW w:w="1701" w:type="dxa"/>
            <w:tcBorders>
              <w:tl2br w:val="nil"/>
              <w:tr2bl w:val="nil"/>
            </w:tcBorders>
            <w:vAlign w:val="center"/>
          </w:tcPr>
          <w:p w:rsidR="00525419" w:rsidRDefault="00525419">
            <w:pPr>
              <w:pStyle w:val="afffffffffffffffffffffffffffffffff9"/>
              <w:rPr>
                <w:rFonts w:cs="Times New Roman"/>
                <w:color w:val="auto"/>
              </w:rPr>
            </w:pPr>
          </w:p>
        </w:tc>
      </w:tr>
      <w:tr w:rsidR="00525419">
        <w:trPr>
          <w:trHeight w:val="176"/>
          <w:jc w:val="center"/>
        </w:trPr>
        <w:tc>
          <w:tcPr>
            <w:tcW w:w="1151"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1</w:t>
            </w:r>
          </w:p>
        </w:tc>
        <w:tc>
          <w:tcPr>
            <w:tcW w:w="2261"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煤焦油</w:t>
            </w:r>
          </w:p>
        </w:tc>
        <w:tc>
          <w:tcPr>
            <w:tcW w:w="1703"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液态</w:t>
            </w:r>
          </w:p>
        </w:tc>
        <w:tc>
          <w:tcPr>
            <w:tcW w:w="1703"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40×10</w:t>
            </w:r>
            <w:r>
              <w:rPr>
                <w:rFonts w:cs="Times New Roman"/>
                <w:color w:val="auto"/>
                <w:vertAlign w:val="superscript"/>
              </w:rPr>
              <w:t>4</w:t>
            </w:r>
          </w:p>
        </w:tc>
        <w:tc>
          <w:tcPr>
            <w:tcW w:w="1701"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汽运</w:t>
            </w:r>
          </w:p>
        </w:tc>
      </w:tr>
      <w:tr w:rsidR="00525419">
        <w:trPr>
          <w:trHeight w:val="180"/>
          <w:jc w:val="center"/>
        </w:trPr>
        <w:tc>
          <w:tcPr>
            <w:tcW w:w="1151"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二</w:t>
            </w:r>
          </w:p>
        </w:tc>
        <w:tc>
          <w:tcPr>
            <w:tcW w:w="2261"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运出</w:t>
            </w:r>
          </w:p>
        </w:tc>
        <w:tc>
          <w:tcPr>
            <w:tcW w:w="1703" w:type="dxa"/>
            <w:tcBorders>
              <w:tl2br w:val="nil"/>
              <w:tr2bl w:val="nil"/>
            </w:tcBorders>
            <w:vAlign w:val="center"/>
          </w:tcPr>
          <w:p w:rsidR="00525419" w:rsidRDefault="00525419">
            <w:pPr>
              <w:pStyle w:val="afffffffffffffffffffffffffffffffff9"/>
              <w:rPr>
                <w:rFonts w:cs="Times New Roman"/>
                <w:color w:val="auto"/>
              </w:rPr>
            </w:pPr>
          </w:p>
        </w:tc>
        <w:tc>
          <w:tcPr>
            <w:tcW w:w="1703" w:type="dxa"/>
            <w:tcBorders>
              <w:tl2br w:val="nil"/>
              <w:tr2bl w:val="nil"/>
            </w:tcBorders>
            <w:vAlign w:val="center"/>
          </w:tcPr>
          <w:p w:rsidR="00525419" w:rsidRDefault="00525419">
            <w:pPr>
              <w:pStyle w:val="afffffffffffffffffffffffffffffffff9"/>
              <w:rPr>
                <w:rFonts w:cs="Times New Roman"/>
                <w:color w:val="auto"/>
              </w:rPr>
            </w:pPr>
          </w:p>
        </w:tc>
        <w:tc>
          <w:tcPr>
            <w:tcW w:w="1701" w:type="dxa"/>
            <w:tcBorders>
              <w:tl2br w:val="nil"/>
              <w:tr2bl w:val="nil"/>
            </w:tcBorders>
            <w:vAlign w:val="center"/>
          </w:tcPr>
          <w:p w:rsidR="00525419" w:rsidRDefault="00525419">
            <w:pPr>
              <w:pStyle w:val="afffffffffffffffffffffffffffffffff9"/>
              <w:rPr>
                <w:rFonts w:cs="Times New Roman"/>
                <w:color w:val="auto"/>
              </w:rPr>
            </w:pPr>
          </w:p>
        </w:tc>
      </w:tr>
      <w:tr w:rsidR="00525419">
        <w:trPr>
          <w:trHeight w:val="170"/>
          <w:jc w:val="center"/>
        </w:trPr>
        <w:tc>
          <w:tcPr>
            <w:tcW w:w="1151"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1</w:t>
            </w:r>
          </w:p>
        </w:tc>
        <w:tc>
          <w:tcPr>
            <w:tcW w:w="2261"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液化气</w:t>
            </w:r>
          </w:p>
        </w:tc>
        <w:tc>
          <w:tcPr>
            <w:tcW w:w="1703"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液态</w:t>
            </w:r>
          </w:p>
        </w:tc>
        <w:tc>
          <w:tcPr>
            <w:tcW w:w="1703"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1.</w:t>
            </w:r>
            <w:r>
              <w:rPr>
                <w:rFonts w:cs="Times New Roman" w:hint="eastAsia"/>
                <w:color w:val="auto"/>
              </w:rPr>
              <w:t>3</w:t>
            </w:r>
            <w:r>
              <w:rPr>
                <w:rFonts w:cs="Times New Roman"/>
                <w:color w:val="auto"/>
              </w:rPr>
              <w:t>6×10</w:t>
            </w:r>
            <w:r>
              <w:rPr>
                <w:rFonts w:cs="Times New Roman"/>
                <w:color w:val="auto"/>
                <w:vertAlign w:val="superscript"/>
              </w:rPr>
              <w:t>4</w:t>
            </w:r>
          </w:p>
        </w:tc>
        <w:tc>
          <w:tcPr>
            <w:tcW w:w="1701"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汽运</w:t>
            </w:r>
          </w:p>
        </w:tc>
      </w:tr>
      <w:tr w:rsidR="00525419">
        <w:trPr>
          <w:trHeight w:val="162"/>
          <w:jc w:val="center"/>
        </w:trPr>
        <w:tc>
          <w:tcPr>
            <w:tcW w:w="1151" w:type="dxa"/>
            <w:tcBorders>
              <w:tl2br w:val="nil"/>
              <w:tr2bl w:val="nil"/>
            </w:tcBorders>
            <w:vAlign w:val="center"/>
          </w:tcPr>
          <w:p w:rsidR="00525419" w:rsidRDefault="00EE1CF7">
            <w:pPr>
              <w:adjustRightInd w:val="0"/>
              <w:snapToGrid w:val="0"/>
              <w:rPr>
                <w:rFonts w:ascii="Times New Roman" w:hAnsi="Times New Roman"/>
              </w:rPr>
            </w:pPr>
            <w:r>
              <w:rPr>
                <w:rFonts w:ascii="Times New Roman" w:hAnsi="Times New Roman"/>
              </w:rPr>
              <w:t>2</w:t>
            </w:r>
          </w:p>
        </w:tc>
        <w:tc>
          <w:tcPr>
            <w:tcW w:w="2261"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柴油</w:t>
            </w:r>
          </w:p>
        </w:tc>
        <w:tc>
          <w:tcPr>
            <w:tcW w:w="1703"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液态</w:t>
            </w:r>
          </w:p>
        </w:tc>
        <w:tc>
          <w:tcPr>
            <w:tcW w:w="1703" w:type="dxa"/>
            <w:tcBorders>
              <w:tl2br w:val="nil"/>
              <w:tr2bl w:val="nil"/>
            </w:tcBorders>
          </w:tcPr>
          <w:p w:rsidR="00525419" w:rsidRDefault="00EE1CF7">
            <w:pPr>
              <w:pStyle w:val="afffffffffffffffffffffffffffffffff9"/>
              <w:rPr>
                <w:rFonts w:cs="Times New Roman"/>
                <w:color w:val="auto"/>
              </w:rPr>
            </w:pPr>
            <w:r>
              <w:rPr>
                <w:rFonts w:cs="Times New Roman" w:hint="eastAsia"/>
                <w:color w:val="auto"/>
              </w:rPr>
              <w:t>26.7</w:t>
            </w:r>
            <w:r>
              <w:rPr>
                <w:rFonts w:cs="Times New Roman"/>
                <w:color w:val="auto"/>
              </w:rPr>
              <w:t>×10</w:t>
            </w:r>
            <w:r>
              <w:rPr>
                <w:rFonts w:cs="Times New Roman"/>
                <w:color w:val="auto"/>
                <w:vertAlign w:val="superscript"/>
              </w:rPr>
              <w:t>4</w:t>
            </w:r>
          </w:p>
        </w:tc>
        <w:tc>
          <w:tcPr>
            <w:tcW w:w="1701" w:type="dxa"/>
            <w:tcBorders>
              <w:tl2br w:val="nil"/>
              <w:tr2bl w:val="nil"/>
            </w:tcBorders>
          </w:tcPr>
          <w:p w:rsidR="00525419" w:rsidRDefault="00EE1CF7">
            <w:pPr>
              <w:pStyle w:val="afffffffffffffffffffffffffffffffff9"/>
              <w:rPr>
                <w:rFonts w:cs="Times New Roman"/>
                <w:color w:val="auto"/>
              </w:rPr>
            </w:pPr>
            <w:r>
              <w:rPr>
                <w:rFonts w:cs="Times New Roman"/>
                <w:color w:val="auto"/>
              </w:rPr>
              <w:t>汽运</w:t>
            </w:r>
          </w:p>
        </w:tc>
      </w:tr>
      <w:tr w:rsidR="00525419">
        <w:trPr>
          <w:trHeight w:val="187"/>
          <w:jc w:val="center"/>
        </w:trPr>
        <w:tc>
          <w:tcPr>
            <w:tcW w:w="1151" w:type="dxa"/>
            <w:tcBorders>
              <w:tl2br w:val="nil"/>
              <w:tr2bl w:val="nil"/>
            </w:tcBorders>
            <w:vAlign w:val="center"/>
          </w:tcPr>
          <w:p w:rsidR="00525419" w:rsidRDefault="00EE1CF7">
            <w:pPr>
              <w:adjustRightInd w:val="0"/>
              <w:snapToGrid w:val="0"/>
              <w:rPr>
                <w:rFonts w:ascii="Times New Roman" w:hAnsi="Times New Roman"/>
              </w:rPr>
            </w:pPr>
            <w:r>
              <w:rPr>
                <w:rFonts w:ascii="Times New Roman" w:hAnsi="Times New Roman"/>
              </w:rPr>
              <w:t>3</w:t>
            </w:r>
          </w:p>
        </w:tc>
        <w:tc>
          <w:tcPr>
            <w:tcW w:w="2261"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尾油</w:t>
            </w:r>
          </w:p>
        </w:tc>
        <w:tc>
          <w:tcPr>
            <w:tcW w:w="1703"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液态</w:t>
            </w:r>
          </w:p>
        </w:tc>
        <w:tc>
          <w:tcPr>
            <w:tcW w:w="1703" w:type="dxa"/>
            <w:tcBorders>
              <w:tl2br w:val="nil"/>
              <w:tr2bl w:val="nil"/>
            </w:tcBorders>
          </w:tcPr>
          <w:p w:rsidR="00525419" w:rsidRDefault="00EE1CF7">
            <w:pPr>
              <w:pStyle w:val="afffffffffffffffffffffffffffffffff9"/>
              <w:rPr>
                <w:rFonts w:cs="Times New Roman"/>
                <w:color w:val="auto"/>
              </w:rPr>
            </w:pPr>
            <w:r>
              <w:rPr>
                <w:rFonts w:cs="Times New Roman"/>
                <w:color w:val="auto"/>
              </w:rPr>
              <w:t>0.8×10</w:t>
            </w:r>
            <w:r>
              <w:rPr>
                <w:rFonts w:cs="Times New Roman"/>
                <w:color w:val="auto"/>
                <w:vertAlign w:val="superscript"/>
              </w:rPr>
              <w:t>4</w:t>
            </w:r>
          </w:p>
        </w:tc>
        <w:tc>
          <w:tcPr>
            <w:tcW w:w="1701" w:type="dxa"/>
            <w:tcBorders>
              <w:tl2br w:val="nil"/>
              <w:tr2bl w:val="nil"/>
            </w:tcBorders>
          </w:tcPr>
          <w:p w:rsidR="00525419" w:rsidRDefault="00EE1CF7">
            <w:pPr>
              <w:pStyle w:val="afffffffffffffffffffffffffffffffff9"/>
              <w:rPr>
                <w:rFonts w:cs="Times New Roman"/>
                <w:color w:val="auto"/>
              </w:rPr>
            </w:pPr>
            <w:r>
              <w:rPr>
                <w:rFonts w:cs="Times New Roman"/>
                <w:color w:val="auto"/>
              </w:rPr>
              <w:t>汽运</w:t>
            </w:r>
          </w:p>
        </w:tc>
      </w:tr>
      <w:tr w:rsidR="00525419">
        <w:trPr>
          <w:trHeight w:val="187"/>
          <w:jc w:val="center"/>
        </w:trPr>
        <w:tc>
          <w:tcPr>
            <w:tcW w:w="1151" w:type="dxa"/>
            <w:tcBorders>
              <w:tl2br w:val="nil"/>
              <w:tr2bl w:val="nil"/>
            </w:tcBorders>
            <w:vAlign w:val="center"/>
          </w:tcPr>
          <w:p w:rsidR="00525419" w:rsidRDefault="00EE1CF7">
            <w:pPr>
              <w:adjustRightInd w:val="0"/>
              <w:snapToGrid w:val="0"/>
              <w:rPr>
                <w:rFonts w:ascii="Times New Roman" w:hAnsi="Times New Roman"/>
              </w:rPr>
            </w:pPr>
            <w:r>
              <w:rPr>
                <w:rFonts w:ascii="Times New Roman" w:hAnsi="Times New Roman" w:hint="eastAsia"/>
              </w:rPr>
              <w:t>4</w:t>
            </w:r>
          </w:p>
        </w:tc>
        <w:tc>
          <w:tcPr>
            <w:tcW w:w="2261" w:type="dxa"/>
            <w:tcBorders>
              <w:tl2br w:val="nil"/>
              <w:tr2bl w:val="nil"/>
            </w:tcBorders>
            <w:vAlign w:val="center"/>
          </w:tcPr>
          <w:p w:rsidR="00525419" w:rsidRDefault="00EE1CF7">
            <w:pPr>
              <w:pStyle w:val="afffffffffffffffffffffffffffffffff9"/>
              <w:rPr>
                <w:rFonts w:cs="Times New Roman"/>
                <w:color w:val="auto"/>
              </w:rPr>
            </w:pPr>
            <w:r>
              <w:rPr>
                <w:rFonts w:cs="Times New Roman" w:hint="eastAsia"/>
                <w:color w:val="auto"/>
              </w:rPr>
              <w:t>石脑油</w:t>
            </w:r>
          </w:p>
        </w:tc>
        <w:tc>
          <w:tcPr>
            <w:tcW w:w="1703" w:type="dxa"/>
            <w:tcBorders>
              <w:tl2br w:val="nil"/>
              <w:tr2bl w:val="nil"/>
            </w:tcBorders>
            <w:vAlign w:val="center"/>
          </w:tcPr>
          <w:p w:rsidR="00525419" w:rsidRDefault="00EE1CF7">
            <w:pPr>
              <w:pStyle w:val="afffffffffffffffffffffffffffffffff9"/>
              <w:rPr>
                <w:rFonts w:cs="Times New Roman"/>
                <w:color w:val="auto"/>
              </w:rPr>
            </w:pPr>
            <w:r>
              <w:rPr>
                <w:rFonts w:cs="Times New Roman" w:hint="eastAsia"/>
                <w:color w:val="auto"/>
              </w:rPr>
              <w:t>液态</w:t>
            </w:r>
          </w:p>
        </w:tc>
        <w:tc>
          <w:tcPr>
            <w:tcW w:w="1703" w:type="dxa"/>
            <w:tcBorders>
              <w:tl2br w:val="nil"/>
              <w:tr2bl w:val="nil"/>
            </w:tcBorders>
          </w:tcPr>
          <w:p w:rsidR="00525419" w:rsidRDefault="00EE1CF7">
            <w:pPr>
              <w:pStyle w:val="afffffffffffffffffffffffffffffffff9"/>
              <w:rPr>
                <w:rFonts w:cs="Times New Roman"/>
                <w:color w:val="auto"/>
              </w:rPr>
            </w:pPr>
            <w:r>
              <w:rPr>
                <w:rFonts w:cs="Times New Roman" w:hint="eastAsia"/>
                <w:color w:val="auto"/>
              </w:rPr>
              <w:t>8</w:t>
            </w:r>
            <w:r>
              <w:rPr>
                <w:rFonts w:cs="Times New Roman"/>
                <w:color w:val="auto"/>
              </w:rPr>
              <w:t>×10</w:t>
            </w:r>
            <w:r>
              <w:rPr>
                <w:rFonts w:cs="Times New Roman"/>
                <w:color w:val="auto"/>
                <w:vertAlign w:val="superscript"/>
              </w:rPr>
              <w:t>4</w:t>
            </w:r>
          </w:p>
        </w:tc>
        <w:tc>
          <w:tcPr>
            <w:tcW w:w="1701" w:type="dxa"/>
            <w:tcBorders>
              <w:tl2br w:val="nil"/>
              <w:tr2bl w:val="nil"/>
            </w:tcBorders>
          </w:tcPr>
          <w:p w:rsidR="00525419" w:rsidRDefault="00EE1CF7">
            <w:pPr>
              <w:pStyle w:val="afffffffffffffffffffffffffffffffff9"/>
              <w:rPr>
                <w:rFonts w:cs="Times New Roman"/>
                <w:color w:val="auto"/>
              </w:rPr>
            </w:pPr>
            <w:r>
              <w:rPr>
                <w:rFonts w:cs="Times New Roman"/>
                <w:color w:val="auto"/>
              </w:rPr>
              <w:t>汽运</w:t>
            </w:r>
          </w:p>
        </w:tc>
      </w:tr>
    </w:tbl>
    <w:p w:rsidR="00525419" w:rsidRDefault="00525419">
      <w:pPr>
        <w:rPr>
          <w:rFonts w:ascii="Times New Roman" w:hAnsi="Times New Roman"/>
        </w:rPr>
      </w:pP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3.3.2.4</w:t>
      </w:r>
      <w:r>
        <w:rPr>
          <w:rFonts w:ascii="Times New Roman" w:hAnsi="Times New Roman" w:cs="Times New Roman"/>
          <w:kern w:val="44"/>
          <w:sz w:val="24"/>
          <w:szCs w:val="24"/>
        </w:rPr>
        <w:t>环保工程</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）油气回收处理设施</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根据现场勘查，现有工程汽车装卸站采取底部装载方式，挥发性有机物收集后</w:t>
      </w:r>
      <w:r>
        <w:rPr>
          <w:rFonts w:ascii="Times New Roman" w:hAnsi="Times New Roman" w:hint="eastAsia"/>
          <w:sz w:val="24"/>
        </w:rPr>
        <w:t>进入</w:t>
      </w:r>
      <w:r>
        <w:rPr>
          <w:rFonts w:ascii="Times New Roman" w:hAnsi="Times New Roman"/>
          <w:sz w:val="24"/>
        </w:rPr>
        <w:t>2000m</w:t>
      </w:r>
      <w:r>
        <w:rPr>
          <w:rFonts w:ascii="Times New Roman" w:hAnsi="Times New Roman"/>
          <w:sz w:val="24"/>
          <w:vertAlign w:val="superscript"/>
        </w:rPr>
        <w:t>3</w:t>
      </w:r>
      <w:r>
        <w:rPr>
          <w:rFonts w:ascii="Times New Roman" w:hAnsi="Times New Roman"/>
          <w:sz w:val="24"/>
        </w:rPr>
        <w:t>/h</w:t>
      </w:r>
      <w:r>
        <w:rPr>
          <w:rFonts w:ascii="Times New Roman" w:hAnsi="Times New Roman"/>
          <w:sz w:val="24"/>
        </w:rPr>
        <w:t>油气回收装置</w:t>
      </w:r>
      <w:r>
        <w:rPr>
          <w:rFonts w:ascii="Times New Roman" w:hAnsi="Times New Roman" w:hint="eastAsia"/>
          <w:sz w:val="24"/>
        </w:rPr>
        <w:t>，</w:t>
      </w:r>
      <w:r>
        <w:rPr>
          <w:rFonts w:ascii="Times New Roman" w:hAnsi="Times New Roman"/>
          <w:sz w:val="24"/>
        </w:rPr>
        <w:t>处理其装车过程中挥发的油气。</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浮顶罐浮盘与罐壁之间采用双封式高效密封方式，</w:t>
      </w:r>
      <w:r>
        <w:rPr>
          <w:rFonts w:ascii="Times New Roman" w:hAnsi="Times New Roman"/>
          <w:sz w:val="24"/>
        </w:rPr>
        <w:t>9#--10#</w:t>
      </w:r>
      <w:r>
        <w:rPr>
          <w:rFonts w:ascii="Times New Roman" w:hAnsi="Times New Roman"/>
          <w:sz w:val="24"/>
        </w:rPr>
        <w:t>直馏石脑油罐、</w:t>
      </w:r>
      <w:r>
        <w:rPr>
          <w:rFonts w:ascii="Times New Roman" w:hAnsi="Times New Roman"/>
          <w:sz w:val="24"/>
        </w:rPr>
        <w:t>23#--26#</w:t>
      </w:r>
      <w:r>
        <w:rPr>
          <w:rFonts w:ascii="Times New Roman" w:hAnsi="Times New Roman"/>
          <w:sz w:val="24"/>
        </w:rPr>
        <w:t>直馏石脑油罐罐顶安装密闭排气系统至</w:t>
      </w:r>
      <w:r>
        <w:rPr>
          <w:rFonts w:ascii="Times New Roman" w:hAnsi="Times New Roman"/>
          <w:sz w:val="24"/>
        </w:rPr>
        <w:t>400m</w:t>
      </w:r>
      <w:r>
        <w:rPr>
          <w:rFonts w:ascii="Times New Roman" w:hAnsi="Times New Roman"/>
          <w:sz w:val="24"/>
          <w:vertAlign w:val="superscript"/>
        </w:rPr>
        <w:t>3</w:t>
      </w:r>
      <w:r>
        <w:rPr>
          <w:rFonts w:ascii="Times New Roman" w:hAnsi="Times New Roman"/>
          <w:sz w:val="24"/>
        </w:rPr>
        <w:t>/h</w:t>
      </w:r>
      <w:r>
        <w:rPr>
          <w:rFonts w:ascii="Times New Roman" w:hAnsi="Times New Roman"/>
          <w:sz w:val="24"/>
        </w:rPr>
        <w:t>油气回收处理装置。</w:t>
      </w:r>
      <w:r>
        <w:rPr>
          <w:rFonts w:ascii="Times New Roman" w:hAnsi="Times New Roman"/>
          <w:sz w:val="24"/>
        </w:rPr>
        <w:t>201#-208#</w:t>
      </w:r>
      <w:r>
        <w:rPr>
          <w:rFonts w:ascii="Times New Roman" w:hAnsi="Times New Roman"/>
          <w:sz w:val="24"/>
        </w:rPr>
        <w:t>储罐罐顶安装密闭排气系统至</w:t>
      </w:r>
      <w:r>
        <w:rPr>
          <w:rFonts w:ascii="Times New Roman" w:hAnsi="Times New Roman"/>
          <w:sz w:val="24"/>
        </w:rPr>
        <w:t>900m</w:t>
      </w:r>
      <w:r>
        <w:rPr>
          <w:rFonts w:ascii="Times New Roman" w:hAnsi="Times New Roman"/>
          <w:sz w:val="24"/>
          <w:vertAlign w:val="superscript"/>
        </w:rPr>
        <w:t>3</w:t>
      </w:r>
      <w:r>
        <w:rPr>
          <w:rFonts w:ascii="Times New Roman" w:hAnsi="Times New Roman"/>
          <w:sz w:val="24"/>
        </w:rPr>
        <w:t>/h</w:t>
      </w:r>
      <w:r>
        <w:rPr>
          <w:rFonts w:ascii="Times New Roman" w:hAnsi="Times New Roman"/>
          <w:sz w:val="24"/>
        </w:rPr>
        <w:t>油气回收处理装置。</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现有工程设置</w:t>
      </w:r>
      <w:r>
        <w:rPr>
          <w:rFonts w:ascii="Times New Roman" w:hAnsi="Times New Roman"/>
          <w:sz w:val="24"/>
        </w:rPr>
        <w:t>3</w:t>
      </w:r>
      <w:r>
        <w:rPr>
          <w:rFonts w:ascii="Times New Roman" w:hAnsi="Times New Roman"/>
          <w:sz w:val="24"/>
        </w:rPr>
        <w:t>套油气回收处理装置，油气回收处理装置采用</w:t>
      </w:r>
      <w:r>
        <w:rPr>
          <w:rFonts w:ascii="Times New Roman" w:hAnsi="Times New Roman"/>
          <w:sz w:val="24"/>
        </w:rPr>
        <w:t>“</w:t>
      </w:r>
      <w:r>
        <w:rPr>
          <w:rFonts w:ascii="Times New Roman" w:hAnsi="Times New Roman"/>
          <w:sz w:val="24"/>
        </w:rPr>
        <w:t>冷凝</w:t>
      </w:r>
      <w:r>
        <w:rPr>
          <w:rFonts w:ascii="Times New Roman" w:hAnsi="Times New Roman"/>
          <w:sz w:val="24"/>
        </w:rPr>
        <w:t>+</w:t>
      </w:r>
      <w:r>
        <w:rPr>
          <w:rFonts w:ascii="Times New Roman" w:hAnsi="Times New Roman"/>
          <w:sz w:val="24"/>
        </w:rPr>
        <w:t>活性炭吸附法处理</w:t>
      </w:r>
      <w:r>
        <w:rPr>
          <w:rFonts w:ascii="Times New Roman" w:hAnsi="Times New Roman"/>
          <w:sz w:val="24"/>
        </w:rPr>
        <w:t>”</w:t>
      </w:r>
      <w:r>
        <w:rPr>
          <w:rFonts w:ascii="Times New Roman" w:hAnsi="Times New Roman"/>
          <w:sz w:val="24"/>
        </w:rPr>
        <w:t>工艺，处理完的废气分别经</w:t>
      </w:r>
      <w:r>
        <w:rPr>
          <w:rFonts w:ascii="Times New Roman" w:hAnsi="Times New Roman"/>
          <w:sz w:val="24"/>
        </w:rPr>
        <w:t>3</w:t>
      </w:r>
      <w:r>
        <w:rPr>
          <w:rFonts w:ascii="Times New Roman" w:hAnsi="Times New Roman"/>
          <w:sz w:val="24"/>
        </w:rPr>
        <w:t>个</w:t>
      </w:r>
      <w:r>
        <w:rPr>
          <w:rFonts w:ascii="Times New Roman" w:hAnsi="Times New Roman"/>
          <w:sz w:val="24"/>
        </w:rPr>
        <w:t>15m</w:t>
      </w:r>
      <w:r>
        <w:rPr>
          <w:rFonts w:ascii="Times New Roman" w:hAnsi="Times New Roman"/>
          <w:sz w:val="24"/>
        </w:rPr>
        <w:t>高排气筒排放。</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本项目油气处理依托厂区现有的冷凝</w:t>
      </w:r>
      <w:r>
        <w:rPr>
          <w:rFonts w:ascii="Times New Roman" w:hAnsi="Times New Roman"/>
          <w:sz w:val="24"/>
          <w:szCs w:val="24"/>
        </w:rPr>
        <w:t>+</w:t>
      </w:r>
      <w:r>
        <w:rPr>
          <w:rFonts w:ascii="Times New Roman" w:hAnsi="Times New Roman"/>
          <w:sz w:val="24"/>
          <w:szCs w:val="24"/>
        </w:rPr>
        <w:t>活性炭吸附法油气回收处理装置，由装卸鹤管和储罐油气回收系统集中收集后的油气经防爆风泵（后置）送入油气处理装置的冷凝单元先经冷凝处理，油气温度可冷凝至</w:t>
      </w:r>
      <w:r>
        <w:rPr>
          <w:rFonts w:ascii="Times New Roman" w:hAnsi="Times New Roman"/>
          <w:sz w:val="24"/>
          <w:szCs w:val="24"/>
        </w:rPr>
        <w:t>-70</w:t>
      </w:r>
      <w:r>
        <w:rPr>
          <w:rFonts w:ascii="Times New Roman" w:hAnsi="Times New Roman"/>
          <w:sz w:val="24"/>
          <w:szCs w:val="24"/>
        </w:rPr>
        <w:t>～</w:t>
      </w:r>
      <w:r>
        <w:rPr>
          <w:rFonts w:ascii="Times New Roman" w:hAnsi="Times New Roman"/>
          <w:sz w:val="24"/>
          <w:szCs w:val="24"/>
        </w:rPr>
        <w:t>-75℃</w:t>
      </w:r>
      <w:r>
        <w:rPr>
          <w:rFonts w:ascii="Times New Roman" w:hAnsi="Times New Roman"/>
          <w:sz w:val="24"/>
          <w:szCs w:val="24"/>
        </w:rPr>
        <w:t>，此时</w:t>
      </w:r>
      <w:r>
        <w:rPr>
          <w:rFonts w:ascii="Times New Roman" w:hAnsi="Times New Roman"/>
          <w:sz w:val="24"/>
          <w:szCs w:val="24"/>
        </w:rPr>
        <w:t>92%</w:t>
      </w:r>
      <w:r>
        <w:rPr>
          <w:rFonts w:ascii="Times New Roman" w:hAnsi="Times New Roman"/>
          <w:sz w:val="24"/>
          <w:szCs w:val="24"/>
        </w:rPr>
        <w:t>以上</w:t>
      </w:r>
      <w:r>
        <w:rPr>
          <w:rFonts w:ascii="Times New Roman" w:hAnsi="Times New Roman"/>
          <w:sz w:val="24"/>
          <w:szCs w:val="24"/>
        </w:rPr>
        <w:lastRenderedPageBreak/>
        <w:t>的物质被液化分离，液态油回收至储罐，分离后的低浓度油气和进气进行加热交换至近常温状态进入吸附单元两个吸附塔中的一个。每个吸附塔都装满了特殊的活性炭。在吸附过程中，油气吸附在活性炭的表面。一旦活性炭接近其设计吸附极限，炭床必须再生，以继续作为吸附剂发挥作用。油气回收系统通过使炭暴露在高真空（负压）下的方式实现炭的再生。高真空能产生足够大的解吸能量，破坏烃分子和活性炭颗粒间的分子水平粘合。一旦这种粘合被打破，碳氢化合物片断就会从活性炭颗粒中释放出来，并通过炭颗粒间的真空从炭床底部流出。这种再生的现象叫做</w:t>
      </w:r>
      <w:r>
        <w:rPr>
          <w:rFonts w:ascii="Times New Roman" w:hAnsi="Times New Roman"/>
          <w:sz w:val="24"/>
          <w:szCs w:val="24"/>
        </w:rPr>
        <w:t>“</w:t>
      </w:r>
      <w:r>
        <w:rPr>
          <w:rFonts w:ascii="Times New Roman" w:hAnsi="Times New Roman"/>
          <w:sz w:val="24"/>
          <w:szCs w:val="24"/>
        </w:rPr>
        <w:t>解吸</w:t>
      </w:r>
      <w:r>
        <w:rPr>
          <w:rFonts w:ascii="Times New Roman" w:hAnsi="Times New Roman"/>
          <w:sz w:val="24"/>
          <w:szCs w:val="24"/>
        </w:rPr>
        <w:t>”</w:t>
      </w:r>
      <w:r>
        <w:rPr>
          <w:rFonts w:ascii="Times New Roman" w:hAnsi="Times New Roman"/>
          <w:sz w:val="24"/>
          <w:szCs w:val="24"/>
        </w:rPr>
        <w:t>。活性炭中解吸出来的碳氢化合物蒸汽被送入吸收塔。在吸收塔（立式）中，浓缩碳氢化合物片断向上运动，穿过一层厚厚的特殊的质量转换至随机填料层。同时，油气回收装置中的轻油，流向吸收塔顶部，在这里被均匀分配，向下流过填料。填料为向下流动的轻油和向上运动的烃蒸气提供了足够大的接触表面积。这种接触使浓缩的气相碳氢化合物片断在液体轻油中溶解，这一步叫做</w:t>
      </w:r>
      <w:r>
        <w:rPr>
          <w:rFonts w:ascii="Times New Roman" w:hAnsi="Times New Roman"/>
          <w:sz w:val="24"/>
          <w:szCs w:val="24"/>
        </w:rPr>
        <w:t>“</w:t>
      </w:r>
      <w:r>
        <w:rPr>
          <w:rFonts w:ascii="Times New Roman" w:hAnsi="Times New Roman"/>
          <w:sz w:val="24"/>
          <w:szCs w:val="24"/>
        </w:rPr>
        <w:t>吸收</w:t>
      </w:r>
      <w:r>
        <w:rPr>
          <w:rFonts w:ascii="Times New Roman" w:hAnsi="Times New Roman"/>
          <w:sz w:val="24"/>
          <w:szCs w:val="24"/>
        </w:rPr>
        <w:t>”</w:t>
      </w:r>
      <w:r>
        <w:rPr>
          <w:rFonts w:ascii="Times New Roman" w:hAnsi="Times New Roman"/>
          <w:sz w:val="24"/>
          <w:szCs w:val="24"/>
        </w:rPr>
        <w:t>。液体轻油向下流入吸收塔底部，在这里油被收集到储罐。最终尾气达标通过</w:t>
      </w:r>
      <w:r>
        <w:rPr>
          <w:rFonts w:ascii="Times New Roman" w:hAnsi="Times New Roman"/>
          <w:sz w:val="24"/>
          <w:szCs w:val="24"/>
        </w:rPr>
        <w:t>15m</w:t>
      </w:r>
      <w:r>
        <w:rPr>
          <w:rFonts w:ascii="Times New Roman" w:hAnsi="Times New Roman"/>
          <w:sz w:val="24"/>
          <w:szCs w:val="24"/>
        </w:rPr>
        <w:t>高排气筒排放到大气中。</w:t>
      </w:r>
    </w:p>
    <w:p w:rsidR="00525419" w:rsidRDefault="007D0E8A">
      <w:pPr>
        <w:spacing w:line="360" w:lineRule="auto"/>
        <w:ind w:firstLine="200"/>
        <w:rPr>
          <w:rFonts w:ascii="Times New Roman" w:hAnsi="Times New Roman"/>
          <w:sz w:val="24"/>
          <w:szCs w:val="24"/>
        </w:rPr>
      </w:pPr>
      <w:r>
        <w:rPr>
          <w:rFonts w:ascii="Times New Roman" w:hAnsi="Times New Roman"/>
        </w:rPr>
        <w:pict>
          <v:group id="Group 1580" o:spid="_x0000_s1280" style="position:absolute;left:0;text-align:left;margin-left:24.15pt;margin-top:22.1pt;width:357.75pt;height:84.6pt;z-index:251652608" coordorigin="2430,3358" coordsize="7155,1692">
            <v:shape id="Straight Connector 1554" o:spid="_x0000_s1281" type="#_x0000_t32" style="position:absolute;left:7065;top:4285;width:705;height:15" o:connectortype="straight" o:preferrelative="t">
              <v:stroke endarrow="block" miterlimit="2"/>
            </v:shape>
            <v:shape id="Quad Arrow 1555" o:spid="_x0000_s1282" type="#_x0000_t202" style="position:absolute;left:7800;top:4075;width:735;height:405" o:preferrelative="t">
              <v:stroke miterlimit="2"/>
              <v:textbox inset="1.42pt,.85pt,1.42pt,.85pt">
                <w:txbxContent>
                  <w:p w:rsidR="00EE1CF7" w:rsidRDefault="00EE1CF7">
                    <w:r>
                      <w:rPr>
                        <w:rFonts w:hint="eastAsia"/>
                      </w:rPr>
                      <w:t>吸收塔</w:t>
                    </w:r>
                  </w:p>
                </w:txbxContent>
              </v:textbox>
            </v:shape>
            <v:shape id="Straight Connector 1556" o:spid="_x0000_s1283" type="#_x0000_t32" style="position:absolute;left:8190;top:4480;width:15;height:225" o:connectortype="straight" o:preferrelative="t">
              <v:stroke miterlimit="2"/>
            </v:shape>
            <v:shape id="Straight Connector 1557" o:spid="_x0000_s1284" type="#_x0000_t32" style="position:absolute;left:6765;top:4705;width:1440;height:0;flip:x" o:connectortype="straight" o:preferrelative="t">
              <v:stroke miterlimit="2"/>
            </v:shape>
            <v:shape id="Straight Connector 1558" o:spid="_x0000_s1285" type="#_x0000_t32" style="position:absolute;left:6765;top:4480;width:0;height:225;flip:y" o:connectortype="straight" o:preferrelative="t">
              <v:stroke endarrow="block" miterlimit="2"/>
            </v:shape>
            <v:shape id="Quad Arrow 1559" o:spid="_x0000_s1286" type="#_x0000_t202" style="position:absolute;left:2430;top:4105;width:750;height:405" o:preferrelative="t" stroked="f">
              <v:textbox>
                <w:txbxContent>
                  <w:p w:rsidR="00EE1CF7" w:rsidRDefault="00EE1CF7">
                    <w:r>
                      <w:rPr>
                        <w:rFonts w:hint="eastAsia"/>
                      </w:rPr>
                      <w:t>油气</w:t>
                    </w:r>
                  </w:p>
                </w:txbxContent>
              </v:textbox>
            </v:shape>
            <v:shape id="Quad Arrow 1560" o:spid="_x0000_s1287" type="#_x0000_t202" style="position:absolute;left:6285;top:4075;width:735;height:405" o:preferrelative="t">
              <v:stroke miterlimit="2"/>
              <v:textbox inset="1.42pt,.85pt,1.42pt,.85pt">
                <w:txbxContent>
                  <w:p w:rsidR="00EE1CF7" w:rsidRDefault="00EE1CF7">
                    <w:r>
                      <w:rPr>
                        <w:rFonts w:hint="eastAsia"/>
                      </w:rPr>
                      <w:t>吸附塔</w:t>
                    </w:r>
                  </w:p>
                </w:txbxContent>
              </v:textbox>
            </v:shape>
            <v:shape id="Straight Connector 1561" o:spid="_x0000_s1288" type="#_x0000_t32" style="position:absolute;left:3030;top:4285;width:510;height:15;flip:y" o:connectortype="straight" o:preferrelative="t">
              <v:stroke endarrow="block" miterlimit="2"/>
            </v:shape>
            <v:shape id="Quad Arrow 1562" o:spid="_x0000_s1289" type="#_x0000_t202" style="position:absolute;left:7020;top:3955;width:825;height:330" o:preferrelative="t" filled="f" stroked="f">
              <v:textbox inset="1.42pt,.85pt,1.42pt,.85pt">
                <w:txbxContent>
                  <w:p w:rsidR="00EE1CF7" w:rsidRDefault="00EE1CF7">
                    <w:pPr>
                      <w:rPr>
                        <w:sz w:val="18"/>
                        <w:szCs w:val="18"/>
                      </w:rPr>
                    </w:pPr>
                    <w:r>
                      <w:rPr>
                        <w:rFonts w:hint="eastAsia"/>
                        <w:sz w:val="18"/>
                        <w:szCs w:val="18"/>
                      </w:rPr>
                      <w:t>解吸油气</w:t>
                    </w:r>
                  </w:p>
                </w:txbxContent>
              </v:textbox>
            </v:shape>
            <v:shape id="Straight Connector 1563" o:spid="_x0000_s1290" type="#_x0000_t32" style="position:absolute;left:6675;top:3763;width:15;height:285;flip:y" o:connectortype="straight" o:preferrelative="t">
              <v:stroke dashstyle="dash" endarrow="block" miterlimit="2"/>
            </v:shape>
            <v:shape id="Quad Arrow 1564" o:spid="_x0000_s1291" type="#_x0000_t202" style="position:absolute;left:6210;top:3358;width:990;height:405" o:preferrelative="t" filled="f" stroked="f">
              <v:textbox>
                <w:txbxContent>
                  <w:p w:rsidR="00EE1CF7" w:rsidRDefault="00EE1CF7">
                    <w:r>
                      <w:rPr>
                        <w:rFonts w:hint="eastAsia"/>
                      </w:rPr>
                      <w:t>净化气</w:t>
                    </w:r>
                  </w:p>
                </w:txbxContent>
              </v:textbox>
            </v:shape>
            <v:shape id="Straight Connector 1565" o:spid="_x0000_s1292" type="#_x0000_t32" style="position:absolute;left:5880;top:4810;width:630;height:15;flip:y" o:connectortype="straight" o:preferrelative="t">
              <v:stroke miterlimit="2"/>
            </v:shape>
            <v:shape id="Straight Connector 1566" o:spid="_x0000_s1293" type="#_x0000_t32" style="position:absolute;left:6510;top:4480;width:0;height:345;flip:y" o:connectortype="straight" o:preferrelative="t">
              <v:stroke endarrow="block" miterlimit="2"/>
            </v:shape>
            <v:shape id="Quad Arrow 1567" o:spid="_x0000_s1294" type="#_x0000_t202" style="position:absolute;left:5295;top:4645;width:750;height:405" o:preferrelative="t" filled="f" stroked="f">
              <v:textbox>
                <w:txbxContent>
                  <w:p w:rsidR="00EE1CF7" w:rsidRDefault="00EE1CF7">
                    <w:r>
                      <w:rPr>
                        <w:rFonts w:hint="eastAsia"/>
                      </w:rPr>
                      <w:t>空气</w:t>
                    </w:r>
                  </w:p>
                </w:txbxContent>
              </v:textbox>
            </v:shape>
            <v:group id="Group 1568" o:spid="_x0000_s1295" style="position:absolute;left:8535;top:4045;width:1050;height:405" coordorigin="5940,2409" coordsize="1050,405">
              <v:shape id="Straight Connector 1569" o:spid="_x0000_s1296" type="#_x0000_t32" style="position:absolute;left:5940;top:2634;width:675;height:0" o:connectortype="straight" o:preferrelative="t">
                <v:stroke endarrow="block" miterlimit="2"/>
              </v:shape>
              <v:shape id="Quad Arrow 1570" o:spid="_x0000_s1297" type="#_x0000_t202" style="position:absolute;left:6525;top:2409;width:465;height:405" o:preferrelative="t" filled="f" stroked="f">
                <v:textbox>
                  <w:txbxContent>
                    <w:p w:rsidR="00EE1CF7" w:rsidRDefault="00EE1CF7">
                      <w:r>
                        <w:rPr>
                          <w:rFonts w:hint="eastAsia"/>
                        </w:rPr>
                        <w:t>油</w:t>
                      </w:r>
                    </w:p>
                  </w:txbxContent>
                </v:textbox>
              </v:shape>
            </v:group>
            <v:shape id="Quad Arrow 1571" o:spid="_x0000_s1298" type="#_x0000_t202" style="position:absolute;left:7200;top:4480;width:750;height:480" o:preferrelative="t" filled="f" stroked="f">
              <v:textbox>
                <w:txbxContent>
                  <w:p w:rsidR="00EE1CF7" w:rsidRDefault="00EE1CF7">
                    <w:pPr>
                      <w:rPr>
                        <w:sz w:val="18"/>
                        <w:szCs w:val="18"/>
                      </w:rPr>
                    </w:pPr>
                    <w:r>
                      <w:rPr>
                        <w:rFonts w:hint="eastAsia"/>
                        <w:sz w:val="18"/>
                        <w:szCs w:val="18"/>
                      </w:rPr>
                      <w:t>尾气</w:t>
                    </w:r>
                  </w:p>
                </w:txbxContent>
              </v:textbox>
            </v:shape>
            <v:shape id="Quad Arrow 1572" o:spid="_x0000_s1299" type="#_x0000_t202" style="position:absolute;left:3540;top:4120;width:1635;height:315" o:preferrelative="t">
              <v:stroke miterlimit="2"/>
              <v:textbox inset="1.42pt,.85pt,1.42pt,.85pt">
                <w:txbxContent>
                  <w:p w:rsidR="00EE1CF7" w:rsidRDefault="00EE1CF7">
                    <w:r>
                      <w:rPr>
                        <w:rFonts w:hint="eastAsia"/>
                      </w:rPr>
                      <w:t>冷凝汽液分离器</w:t>
                    </w:r>
                  </w:p>
                </w:txbxContent>
              </v:textbox>
            </v:shape>
            <v:shape id="Straight Connector 1573" o:spid="_x0000_s1300" type="#_x0000_t32" style="position:absolute;left:5175;top:4285;width:1110;height:0" o:connectortype="straight" o:preferrelative="t">
              <v:stroke endarrow="block" miterlimit="2"/>
            </v:shape>
            <v:shape id="Quad Arrow 1574" o:spid="_x0000_s1301" type="#_x0000_t202" style="position:absolute;left:5175;top:4015;width:1125;height:315" o:preferrelative="t" filled="f" stroked="f">
              <v:textbox inset="1.42pt,.85pt,1.42pt,.85pt">
                <w:txbxContent>
                  <w:p w:rsidR="00EE1CF7" w:rsidRDefault="00EE1CF7">
                    <w:pPr>
                      <w:rPr>
                        <w:sz w:val="18"/>
                        <w:szCs w:val="18"/>
                      </w:rPr>
                    </w:pPr>
                    <w:r>
                      <w:rPr>
                        <w:rFonts w:hint="eastAsia"/>
                        <w:sz w:val="18"/>
                        <w:szCs w:val="18"/>
                      </w:rPr>
                      <w:t>低浓度油气</w:t>
                    </w:r>
                  </w:p>
                </w:txbxContent>
              </v:textbox>
            </v:shape>
            <v:shape id="Straight Connector 1575" o:spid="_x0000_s1302" type="#_x0000_t32" style="position:absolute;left:4350;top:3763;width:15;height:357;flip:y" o:connectortype="straight" o:preferrelative="t">
              <v:stroke endarrow="block" miterlimit="2"/>
            </v:shape>
            <v:shape id="Quad Arrow 1579" o:spid="_x0000_s1303" type="#_x0000_t202" style="position:absolute;left:4110;top:3450;width:540;height:405" o:preferrelative="t" filled="f" stroked="f">
              <v:textbox>
                <w:txbxContent>
                  <w:p w:rsidR="00EE1CF7" w:rsidRDefault="00EE1CF7">
                    <w:r>
                      <w:rPr>
                        <w:rFonts w:hint="eastAsia"/>
                      </w:rPr>
                      <w:t>油</w:t>
                    </w:r>
                  </w:p>
                </w:txbxContent>
              </v:textbox>
            </v:shape>
          </v:group>
        </w:pict>
      </w:r>
      <w:r w:rsidR="00EE1CF7">
        <w:rPr>
          <w:rFonts w:ascii="Times New Roman" w:hAnsi="Times New Roman"/>
          <w:sz w:val="22"/>
        </w:rPr>
        <w:t xml:space="preserve">　　冷凝</w:t>
      </w:r>
      <w:r w:rsidR="00EE1CF7">
        <w:rPr>
          <w:rFonts w:ascii="Times New Roman" w:hAnsi="Times New Roman"/>
          <w:sz w:val="22"/>
        </w:rPr>
        <w:t>+</w:t>
      </w:r>
      <w:r w:rsidR="00EE1CF7">
        <w:rPr>
          <w:rFonts w:ascii="Times New Roman" w:hAnsi="Times New Roman"/>
          <w:sz w:val="24"/>
          <w:szCs w:val="24"/>
        </w:rPr>
        <w:t>吸附法回收油气的工艺流程见图</w:t>
      </w:r>
      <w:r w:rsidR="00EE1CF7">
        <w:rPr>
          <w:rFonts w:ascii="Times New Roman" w:hAnsi="Times New Roman"/>
          <w:sz w:val="24"/>
          <w:szCs w:val="24"/>
        </w:rPr>
        <w:t>3.3-2</w:t>
      </w:r>
      <w:r w:rsidR="00EE1CF7">
        <w:rPr>
          <w:rFonts w:ascii="Times New Roman" w:hAnsi="Times New Roman"/>
          <w:sz w:val="24"/>
          <w:szCs w:val="24"/>
        </w:rPr>
        <w:t>。</w:t>
      </w: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EE1CF7">
      <w:pPr>
        <w:rPr>
          <w:rFonts w:ascii="Times New Roman" w:hAnsi="Times New Roman"/>
          <w:b/>
          <w:sz w:val="24"/>
          <w:szCs w:val="24"/>
        </w:rPr>
      </w:pPr>
      <w:r>
        <w:rPr>
          <w:rFonts w:ascii="Times New Roman" w:hAnsi="Times New Roman"/>
          <w:b/>
          <w:sz w:val="24"/>
          <w:szCs w:val="24"/>
        </w:rPr>
        <w:t xml:space="preserve">　　　　　图</w:t>
      </w:r>
      <w:r>
        <w:rPr>
          <w:rFonts w:ascii="Times New Roman" w:hAnsi="Times New Roman"/>
          <w:b/>
          <w:sz w:val="24"/>
          <w:szCs w:val="24"/>
        </w:rPr>
        <w:t>3.3-2</w:t>
      </w:r>
      <w:r>
        <w:rPr>
          <w:rFonts w:ascii="Times New Roman" w:hAnsi="Times New Roman"/>
          <w:b/>
          <w:sz w:val="24"/>
          <w:szCs w:val="24"/>
        </w:rPr>
        <w:t xml:space="preserve">　　冷凝</w:t>
      </w:r>
      <w:r>
        <w:rPr>
          <w:rFonts w:ascii="Times New Roman" w:hAnsi="Times New Roman"/>
          <w:b/>
          <w:sz w:val="24"/>
          <w:szCs w:val="24"/>
        </w:rPr>
        <w:t>+</w:t>
      </w:r>
      <w:r>
        <w:rPr>
          <w:rFonts w:ascii="Times New Roman" w:hAnsi="Times New Roman"/>
          <w:b/>
          <w:sz w:val="24"/>
          <w:szCs w:val="24"/>
        </w:rPr>
        <w:t>吸附法回收油气的工艺流程图</w:t>
      </w:r>
    </w:p>
    <w:p w:rsidR="00525419" w:rsidRDefault="00EE1CF7">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）废水处理</w:t>
      </w:r>
    </w:p>
    <w:p w:rsidR="00525419" w:rsidRDefault="00EE1CF7">
      <w:pPr>
        <w:spacing w:line="360" w:lineRule="auto"/>
        <w:ind w:firstLine="200"/>
        <w:rPr>
          <w:rFonts w:ascii="Times New Roman" w:hAnsi="Times New Roman"/>
          <w:sz w:val="24"/>
          <w:szCs w:val="24"/>
        </w:rPr>
      </w:pPr>
      <w:r>
        <w:rPr>
          <w:rFonts w:ascii="Times New Roman" w:hAnsi="Times New Roman"/>
          <w:sz w:val="24"/>
          <w:szCs w:val="24"/>
        </w:rPr>
        <w:t xml:space="preserve">　废水处理依托现有污水处理站。现污水处理站处理规模为</w:t>
      </w:r>
      <w:r>
        <w:rPr>
          <w:rFonts w:ascii="Times New Roman" w:hAnsi="Times New Roman"/>
          <w:sz w:val="24"/>
          <w:szCs w:val="24"/>
        </w:rPr>
        <w:t>80m</w:t>
      </w:r>
      <w:r>
        <w:rPr>
          <w:rFonts w:ascii="Times New Roman" w:hAnsi="Times New Roman"/>
          <w:sz w:val="24"/>
          <w:szCs w:val="24"/>
          <w:vertAlign w:val="superscript"/>
        </w:rPr>
        <w:t>3</w:t>
      </w:r>
      <w:r>
        <w:rPr>
          <w:rFonts w:ascii="Times New Roman" w:hAnsi="Times New Roman"/>
          <w:sz w:val="24"/>
          <w:szCs w:val="24"/>
        </w:rPr>
        <w:t>/h</w:t>
      </w:r>
      <w:r>
        <w:rPr>
          <w:rFonts w:ascii="Times New Roman" w:hAnsi="Times New Roman"/>
          <w:sz w:val="24"/>
          <w:szCs w:val="24"/>
        </w:rPr>
        <w:t>，因现厂区污水处理站预处理单元规模不能满足厂区含油废水处理要求，在原有污水处理站处理规模基础上扩建气浮处理设备（涡凹气浮装置</w:t>
      </w:r>
      <w:r>
        <w:rPr>
          <w:rFonts w:ascii="Times New Roman" w:hAnsi="Times New Roman"/>
          <w:sz w:val="24"/>
          <w:szCs w:val="24"/>
        </w:rPr>
        <w:t>1</w:t>
      </w:r>
      <w:r>
        <w:rPr>
          <w:rFonts w:ascii="Times New Roman" w:hAnsi="Times New Roman"/>
          <w:sz w:val="24"/>
          <w:szCs w:val="24"/>
        </w:rPr>
        <w:t>套</w:t>
      </w:r>
      <w:r>
        <w:rPr>
          <w:rFonts w:ascii="Times New Roman" w:hAnsi="Times New Roman"/>
          <w:sz w:val="24"/>
          <w:szCs w:val="24"/>
        </w:rPr>
        <w:t>+</w:t>
      </w:r>
      <w:r>
        <w:rPr>
          <w:rFonts w:ascii="Times New Roman" w:hAnsi="Times New Roman"/>
          <w:sz w:val="24"/>
          <w:szCs w:val="24"/>
        </w:rPr>
        <w:t>溶气气浮</w:t>
      </w:r>
      <w:r>
        <w:rPr>
          <w:rFonts w:ascii="Times New Roman" w:hAnsi="Times New Roman"/>
          <w:sz w:val="24"/>
          <w:szCs w:val="24"/>
        </w:rPr>
        <w:t>1</w:t>
      </w:r>
      <w:r>
        <w:rPr>
          <w:rFonts w:ascii="Times New Roman" w:hAnsi="Times New Roman"/>
          <w:sz w:val="24"/>
          <w:szCs w:val="24"/>
        </w:rPr>
        <w:t>套），扩建后</w:t>
      </w:r>
      <w:r>
        <w:rPr>
          <w:rFonts w:ascii="Times New Roman" w:hAnsi="Times New Roman" w:hint="eastAsia"/>
          <w:sz w:val="24"/>
          <w:szCs w:val="24"/>
        </w:rPr>
        <w:t>污水处理站</w:t>
      </w:r>
      <w:r>
        <w:rPr>
          <w:rFonts w:ascii="Times New Roman" w:hAnsi="Times New Roman"/>
          <w:sz w:val="24"/>
          <w:szCs w:val="24"/>
        </w:rPr>
        <w:t>总处理规模不变，为</w:t>
      </w:r>
      <w:r>
        <w:rPr>
          <w:rFonts w:ascii="Times New Roman" w:hAnsi="Times New Roman"/>
          <w:sz w:val="24"/>
          <w:szCs w:val="24"/>
        </w:rPr>
        <w:t>80m</w:t>
      </w:r>
      <w:r>
        <w:rPr>
          <w:rFonts w:ascii="Times New Roman" w:hAnsi="Times New Roman"/>
          <w:sz w:val="24"/>
          <w:szCs w:val="24"/>
          <w:vertAlign w:val="superscript"/>
        </w:rPr>
        <w:t>3</w:t>
      </w:r>
      <w:r>
        <w:rPr>
          <w:rFonts w:ascii="Times New Roman" w:hAnsi="Times New Roman"/>
          <w:sz w:val="24"/>
          <w:szCs w:val="24"/>
        </w:rPr>
        <w:t>/h</w:t>
      </w:r>
      <w:r>
        <w:rPr>
          <w:rFonts w:ascii="Times New Roman" w:hAnsi="Times New Roman"/>
          <w:sz w:val="24"/>
          <w:szCs w:val="24"/>
        </w:rPr>
        <w:t>。</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新建酸性水汽</w:t>
      </w:r>
      <w:r>
        <w:rPr>
          <w:rFonts w:ascii="Times New Roman" w:hAnsi="Times New Roman" w:hint="eastAsia"/>
          <w:sz w:val="24"/>
          <w:szCs w:val="24"/>
        </w:rPr>
        <w:t>提</w:t>
      </w:r>
      <w:r>
        <w:rPr>
          <w:rFonts w:ascii="Times New Roman" w:hAnsi="Times New Roman"/>
          <w:sz w:val="24"/>
          <w:szCs w:val="24"/>
        </w:rPr>
        <w:t>装置，具体见后面内容。</w:t>
      </w:r>
    </w:p>
    <w:p w:rsidR="00525419" w:rsidRDefault="00EE1CF7">
      <w:pPr>
        <w:spacing w:line="360" w:lineRule="auto"/>
        <w:ind w:firstLine="20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3</w:t>
      </w:r>
      <w:r>
        <w:rPr>
          <w:rFonts w:ascii="Times New Roman" w:hAnsi="Times New Roman"/>
          <w:sz w:val="24"/>
          <w:szCs w:val="24"/>
        </w:rPr>
        <w:t>）硫磺回收装置</w:t>
      </w:r>
    </w:p>
    <w:p w:rsidR="00525419" w:rsidRDefault="00EE1CF7">
      <w:pPr>
        <w:spacing w:line="360" w:lineRule="auto"/>
        <w:ind w:firstLine="200"/>
        <w:rPr>
          <w:rFonts w:ascii="Times New Roman" w:hAnsi="Times New Roman"/>
          <w:sz w:val="24"/>
          <w:szCs w:val="24"/>
        </w:rPr>
      </w:pPr>
      <w:r>
        <w:rPr>
          <w:rFonts w:ascii="Times New Roman" w:hAnsi="Times New Roman"/>
          <w:sz w:val="24"/>
          <w:szCs w:val="24"/>
        </w:rPr>
        <w:t xml:space="preserve">　对厂区产生的酸性气进行处理，装置内容见后面章节内容。</w:t>
      </w:r>
    </w:p>
    <w:p w:rsidR="00525419" w:rsidRDefault="00EE1CF7">
      <w:pPr>
        <w:pStyle w:val="3a"/>
        <w:spacing w:beforeLines="50" w:before="156" w:after="156" w:line="360" w:lineRule="auto"/>
        <w:jc w:val="left"/>
        <w:rPr>
          <w:rFonts w:ascii="Times New Roman" w:eastAsia="华文楷体" w:hAnsi="Times New Roman"/>
        </w:rPr>
      </w:pPr>
      <w:r>
        <w:rPr>
          <w:rFonts w:ascii="Times New Roman" w:eastAsia="华文楷体" w:hAnsi="Times New Roman"/>
        </w:rPr>
        <w:lastRenderedPageBreak/>
        <w:t>3.3.3</w:t>
      </w:r>
      <w:r>
        <w:rPr>
          <w:rFonts w:ascii="Times New Roman" w:eastAsia="华文楷体" w:hAnsi="Times New Roman"/>
        </w:rPr>
        <w:t>主要物料及能源消耗</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3.3.3.1</w:t>
      </w:r>
      <w:r>
        <w:rPr>
          <w:rFonts w:ascii="Times New Roman" w:hAnsi="Times New Roman" w:cs="Times New Roman"/>
          <w:kern w:val="44"/>
          <w:sz w:val="24"/>
          <w:szCs w:val="24"/>
        </w:rPr>
        <w:t>主要原料、辅助材料品种与年需求量</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本项目的主要原料为煤焦油、天然气，</w:t>
      </w:r>
      <w:r>
        <w:rPr>
          <w:rFonts w:ascii="Times New Roman" w:hAnsi="Times New Roman"/>
          <w:sz w:val="24"/>
          <w:szCs w:val="24"/>
        </w:rPr>
        <w:t>辅助生产材料包括缓蚀剂、阻垢剂等</w:t>
      </w:r>
      <w:r>
        <w:rPr>
          <w:rFonts w:ascii="Times New Roman" w:hAnsi="Times New Roman"/>
          <w:sz w:val="24"/>
        </w:rPr>
        <w:t>。主要原料的组成、数量和来源见表</w:t>
      </w:r>
      <w:r>
        <w:rPr>
          <w:rFonts w:ascii="Times New Roman" w:hAnsi="Times New Roman"/>
          <w:sz w:val="24"/>
        </w:rPr>
        <w:t>3.3-14</w:t>
      </w:r>
      <w:r>
        <w:rPr>
          <w:rFonts w:ascii="Times New Roman" w:hAnsi="Times New Roman"/>
          <w:sz w:val="24"/>
        </w:rPr>
        <w:t>。主要原料规格见表</w:t>
      </w:r>
      <w:r>
        <w:rPr>
          <w:rFonts w:ascii="Times New Roman" w:hAnsi="Times New Roman"/>
          <w:sz w:val="24"/>
        </w:rPr>
        <w:t>3.3-15</w:t>
      </w:r>
      <w:r>
        <w:rPr>
          <w:rFonts w:ascii="Times New Roman" w:hAnsi="Times New Roman"/>
          <w:sz w:val="24"/>
        </w:rPr>
        <w:t>、</w:t>
      </w:r>
      <w:r>
        <w:rPr>
          <w:rFonts w:ascii="Times New Roman" w:hAnsi="Times New Roman"/>
          <w:sz w:val="24"/>
        </w:rPr>
        <w:t>3.3-16</w:t>
      </w:r>
      <w:r>
        <w:rPr>
          <w:rFonts w:ascii="Times New Roman" w:hAnsi="Times New Roman"/>
          <w:sz w:val="24"/>
        </w:rPr>
        <w:t>。</w:t>
      </w:r>
    </w:p>
    <w:p w:rsidR="00525419" w:rsidRDefault="00525419">
      <w:pPr>
        <w:spacing w:line="240" w:lineRule="atLeast"/>
        <w:jc w:val="center"/>
        <w:rPr>
          <w:rFonts w:ascii="Times New Roman" w:eastAsia="黑体" w:hAnsi="Times New Roman"/>
          <w:szCs w:val="21"/>
        </w:rPr>
      </w:pPr>
    </w:p>
    <w:p w:rsidR="00525419" w:rsidRDefault="00EE1CF7">
      <w:pPr>
        <w:spacing w:line="240" w:lineRule="atLeast"/>
        <w:jc w:val="center"/>
        <w:rPr>
          <w:rFonts w:ascii="Times New Roman" w:eastAsia="黑体" w:hAnsi="Times New Roman"/>
          <w:szCs w:val="21"/>
        </w:rPr>
      </w:pPr>
      <w:r>
        <w:rPr>
          <w:rFonts w:ascii="Times New Roman" w:eastAsia="黑体" w:hAnsi="Times New Roman"/>
          <w:szCs w:val="21"/>
        </w:rPr>
        <w:t>表</w:t>
      </w:r>
      <w:r>
        <w:rPr>
          <w:rFonts w:ascii="Times New Roman" w:hAnsi="Times New Roman"/>
          <w:szCs w:val="21"/>
        </w:rPr>
        <w:t>3.3-14</w:t>
      </w:r>
      <w:r>
        <w:rPr>
          <w:rFonts w:ascii="Times New Roman" w:eastAsia="黑体" w:hAnsi="Times New Roman"/>
          <w:szCs w:val="21"/>
        </w:rPr>
        <w:t xml:space="preserve">   </w:t>
      </w:r>
      <w:r>
        <w:rPr>
          <w:rFonts w:ascii="Times New Roman" w:eastAsia="黑体" w:hAnsi="Times New Roman"/>
          <w:szCs w:val="21"/>
        </w:rPr>
        <w:t>主要原辅料的组成、数量和来源</w:t>
      </w:r>
    </w:p>
    <w:tbl>
      <w:tblPr>
        <w:tblW w:w="851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97"/>
        <w:gridCol w:w="1299"/>
        <w:gridCol w:w="1299"/>
        <w:gridCol w:w="1299"/>
        <w:gridCol w:w="2165"/>
        <w:gridCol w:w="1160"/>
      </w:tblGrid>
      <w:tr w:rsidR="00525419">
        <w:tc>
          <w:tcPr>
            <w:tcW w:w="1297"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kern w:val="0"/>
                <w:szCs w:val="21"/>
              </w:rPr>
              <w:t>单元</w:t>
            </w:r>
          </w:p>
        </w:tc>
        <w:tc>
          <w:tcPr>
            <w:tcW w:w="1299"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kern w:val="0"/>
                <w:szCs w:val="21"/>
              </w:rPr>
              <w:t>原辅料名称</w:t>
            </w:r>
          </w:p>
        </w:tc>
        <w:tc>
          <w:tcPr>
            <w:tcW w:w="1299"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kern w:val="0"/>
                <w:szCs w:val="21"/>
              </w:rPr>
              <w:t>单位</w:t>
            </w:r>
          </w:p>
        </w:tc>
        <w:tc>
          <w:tcPr>
            <w:tcW w:w="1299"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kern w:val="0"/>
                <w:szCs w:val="21"/>
              </w:rPr>
              <w:t>数量</w:t>
            </w:r>
          </w:p>
        </w:tc>
        <w:tc>
          <w:tcPr>
            <w:tcW w:w="2165"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kern w:val="0"/>
                <w:szCs w:val="21"/>
              </w:rPr>
              <w:t>来源</w:t>
            </w:r>
          </w:p>
        </w:tc>
        <w:tc>
          <w:tcPr>
            <w:tcW w:w="1160"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kern w:val="0"/>
                <w:szCs w:val="21"/>
              </w:rPr>
              <w:t>形态</w:t>
            </w:r>
          </w:p>
        </w:tc>
      </w:tr>
      <w:tr w:rsidR="00525419">
        <w:trPr>
          <w:trHeight w:val="269"/>
        </w:trPr>
        <w:tc>
          <w:tcPr>
            <w:tcW w:w="1297"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kern w:val="0"/>
                <w:szCs w:val="21"/>
              </w:rPr>
              <w:t>1</w:t>
            </w:r>
          </w:p>
        </w:tc>
        <w:tc>
          <w:tcPr>
            <w:tcW w:w="1299"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kern w:val="0"/>
                <w:szCs w:val="21"/>
              </w:rPr>
              <w:t>煤焦油</w:t>
            </w:r>
          </w:p>
        </w:tc>
        <w:tc>
          <w:tcPr>
            <w:tcW w:w="1299"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kern w:val="0"/>
                <w:szCs w:val="21"/>
              </w:rPr>
              <w:t>万</w:t>
            </w:r>
            <w:r>
              <w:rPr>
                <w:rFonts w:ascii="Times New Roman" w:hAnsi="Times New Roman"/>
                <w:kern w:val="0"/>
                <w:szCs w:val="21"/>
              </w:rPr>
              <w:t>t/a</w:t>
            </w:r>
          </w:p>
        </w:tc>
        <w:tc>
          <w:tcPr>
            <w:tcW w:w="1299"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kern w:val="0"/>
                <w:szCs w:val="21"/>
              </w:rPr>
              <w:t>40</w:t>
            </w:r>
          </w:p>
        </w:tc>
        <w:tc>
          <w:tcPr>
            <w:tcW w:w="2165"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kern w:val="0"/>
                <w:szCs w:val="21"/>
              </w:rPr>
              <w:t>市场外购</w:t>
            </w:r>
          </w:p>
        </w:tc>
        <w:tc>
          <w:tcPr>
            <w:tcW w:w="1160"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kern w:val="0"/>
                <w:szCs w:val="21"/>
              </w:rPr>
              <w:t>液态</w:t>
            </w:r>
          </w:p>
        </w:tc>
      </w:tr>
      <w:tr w:rsidR="00525419">
        <w:trPr>
          <w:trHeight w:val="270"/>
        </w:trPr>
        <w:tc>
          <w:tcPr>
            <w:tcW w:w="1297"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kern w:val="0"/>
                <w:szCs w:val="21"/>
              </w:rPr>
              <w:t>2</w:t>
            </w:r>
          </w:p>
        </w:tc>
        <w:tc>
          <w:tcPr>
            <w:tcW w:w="1299"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rPr>
              <w:t>天然气</w:t>
            </w:r>
          </w:p>
        </w:tc>
        <w:tc>
          <w:tcPr>
            <w:tcW w:w="1299" w:type="dxa"/>
            <w:tcBorders>
              <w:tl2br w:val="nil"/>
              <w:tr2bl w:val="nil"/>
            </w:tcBorders>
          </w:tcPr>
          <w:p w:rsidR="00525419" w:rsidRDefault="00EE1CF7">
            <w:pPr>
              <w:rPr>
                <w:rFonts w:ascii="Times New Roman" w:hAnsi="Times New Roman"/>
              </w:rPr>
            </w:pPr>
            <w:r>
              <w:rPr>
                <w:rFonts w:ascii="Times New Roman" w:hAnsi="Times New Roman"/>
                <w:kern w:val="0"/>
                <w:szCs w:val="21"/>
              </w:rPr>
              <w:t>t/a</w:t>
            </w:r>
          </w:p>
        </w:tc>
        <w:tc>
          <w:tcPr>
            <w:tcW w:w="1299"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kern w:val="0"/>
                <w:szCs w:val="21"/>
              </w:rPr>
              <w:t>55432</w:t>
            </w:r>
          </w:p>
        </w:tc>
        <w:tc>
          <w:tcPr>
            <w:tcW w:w="2165"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kern w:val="0"/>
                <w:szCs w:val="21"/>
              </w:rPr>
              <w:t>中石油管线</w:t>
            </w:r>
          </w:p>
        </w:tc>
        <w:tc>
          <w:tcPr>
            <w:tcW w:w="1160"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kern w:val="0"/>
                <w:szCs w:val="21"/>
              </w:rPr>
              <w:t>气态</w:t>
            </w:r>
          </w:p>
        </w:tc>
      </w:tr>
      <w:tr w:rsidR="00525419">
        <w:tc>
          <w:tcPr>
            <w:tcW w:w="1297"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kern w:val="0"/>
                <w:szCs w:val="21"/>
              </w:rPr>
              <w:t>3</w:t>
            </w:r>
          </w:p>
        </w:tc>
        <w:tc>
          <w:tcPr>
            <w:tcW w:w="1299"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rPr>
              <w:t>缓蚀剂</w:t>
            </w:r>
          </w:p>
        </w:tc>
        <w:tc>
          <w:tcPr>
            <w:tcW w:w="1299" w:type="dxa"/>
            <w:tcBorders>
              <w:tl2br w:val="nil"/>
              <w:tr2bl w:val="nil"/>
            </w:tcBorders>
          </w:tcPr>
          <w:p w:rsidR="00525419" w:rsidRDefault="00EE1CF7">
            <w:pPr>
              <w:rPr>
                <w:rFonts w:ascii="Times New Roman" w:hAnsi="Times New Roman"/>
              </w:rPr>
            </w:pPr>
            <w:r>
              <w:rPr>
                <w:rFonts w:ascii="Times New Roman" w:hAnsi="Times New Roman"/>
                <w:kern w:val="0"/>
                <w:szCs w:val="21"/>
              </w:rPr>
              <w:t>t/a</w:t>
            </w:r>
          </w:p>
        </w:tc>
        <w:tc>
          <w:tcPr>
            <w:tcW w:w="1299"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kern w:val="0"/>
                <w:szCs w:val="21"/>
              </w:rPr>
              <w:t>30</w:t>
            </w:r>
          </w:p>
        </w:tc>
        <w:tc>
          <w:tcPr>
            <w:tcW w:w="2165"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kern w:val="0"/>
                <w:szCs w:val="21"/>
              </w:rPr>
              <w:t>市场外购</w:t>
            </w:r>
          </w:p>
        </w:tc>
        <w:tc>
          <w:tcPr>
            <w:tcW w:w="1160"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kern w:val="0"/>
                <w:szCs w:val="21"/>
              </w:rPr>
              <w:t>液态</w:t>
            </w:r>
          </w:p>
        </w:tc>
      </w:tr>
      <w:tr w:rsidR="00525419">
        <w:trPr>
          <w:trHeight w:val="262"/>
        </w:trPr>
        <w:tc>
          <w:tcPr>
            <w:tcW w:w="1297"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kern w:val="0"/>
                <w:szCs w:val="21"/>
              </w:rPr>
              <w:t>4</w:t>
            </w:r>
          </w:p>
        </w:tc>
        <w:tc>
          <w:tcPr>
            <w:tcW w:w="1299"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rPr>
              <w:t>阻垢剂</w:t>
            </w:r>
          </w:p>
        </w:tc>
        <w:tc>
          <w:tcPr>
            <w:tcW w:w="1299" w:type="dxa"/>
            <w:tcBorders>
              <w:tl2br w:val="nil"/>
              <w:tr2bl w:val="nil"/>
            </w:tcBorders>
          </w:tcPr>
          <w:p w:rsidR="00525419" w:rsidRDefault="00EE1CF7">
            <w:pPr>
              <w:rPr>
                <w:rFonts w:ascii="Times New Roman" w:hAnsi="Times New Roman"/>
              </w:rPr>
            </w:pPr>
            <w:r>
              <w:rPr>
                <w:rFonts w:ascii="Times New Roman" w:hAnsi="Times New Roman"/>
                <w:kern w:val="0"/>
                <w:szCs w:val="21"/>
              </w:rPr>
              <w:t>t/a</w:t>
            </w:r>
          </w:p>
        </w:tc>
        <w:tc>
          <w:tcPr>
            <w:tcW w:w="1299"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kern w:val="0"/>
                <w:szCs w:val="21"/>
              </w:rPr>
              <w:t>30</w:t>
            </w:r>
          </w:p>
        </w:tc>
        <w:tc>
          <w:tcPr>
            <w:tcW w:w="2165" w:type="dxa"/>
            <w:tcBorders>
              <w:tl2br w:val="nil"/>
              <w:tr2bl w:val="nil"/>
            </w:tcBorders>
          </w:tcPr>
          <w:p w:rsidR="00525419" w:rsidRDefault="00EE1CF7">
            <w:pPr>
              <w:rPr>
                <w:rFonts w:ascii="Times New Roman" w:hAnsi="Times New Roman"/>
              </w:rPr>
            </w:pPr>
            <w:r>
              <w:rPr>
                <w:rFonts w:ascii="Times New Roman" w:hAnsi="Times New Roman"/>
                <w:kern w:val="0"/>
                <w:szCs w:val="21"/>
              </w:rPr>
              <w:t>市场外购</w:t>
            </w:r>
          </w:p>
        </w:tc>
        <w:tc>
          <w:tcPr>
            <w:tcW w:w="1160"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kern w:val="0"/>
                <w:szCs w:val="21"/>
              </w:rPr>
              <w:t>液态</w:t>
            </w:r>
          </w:p>
        </w:tc>
      </w:tr>
      <w:tr w:rsidR="00525419">
        <w:trPr>
          <w:trHeight w:val="90"/>
        </w:trPr>
        <w:tc>
          <w:tcPr>
            <w:tcW w:w="1297"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kern w:val="0"/>
                <w:szCs w:val="21"/>
              </w:rPr>
              <w:t>5</w:t>
            </w:r>
          </w:p>
        </w:tc>
        <w:tc>
          <w:tcPr>
            <w:tcW w:w="1299" w:type="dxa"/>
            <w:tcBorders>
              <w:tl2br w:val="nil"/>
              <w:tr2bl w:val="nil"/>
            </w:tcBorders>
          </w:tcPr>
          <w:p w:rsidR="00525419" w:rsidRDefault="00EE1CF7">
            <w:pPr>
              <w:spacing w:line="240" w:lineRule="atLeast"/>
              <w:rPr>
                <w:rFonts w:ascii="Times New Roman" w:hAnsi="Times New Roman"/>
              </w:rPr>
            </w:pPr>
            <w:r>
              <w:rPr>
                <w:rFonts w:ascii="Times New Roman" w:hAnsi="Times New Roman"/>
                <w:kern w:val="0"/>
                <w:szCs w:val="21"/>
              </w:rPr>
              <w:t>硫化剂</w:t>
            </w:r>
          </w:p>
        </w:tc>
        <w:tc>
          <w:tcPr>
            <w:tcW w:w="1299" w:type="dxa"/>
            <w:tcBorders>
              <w:tl2br w:val="nil"/>
              <w:tr2bl w:val="nil"/>
            </w:tcBorders>
          </w:tcPr>
          <w:p w:rsidR="00525419" w:rsidRDefault="00EE1CF7">
            <w:pPr>
              <w:rPr>
                <w:rFonts w:ascii="Times New Roman" w:hAnsi="Times New Roman"/>
              </w:rPr>
            </w:pPr>
            <w:r>
              <w:rPr>
                <w:rFonts w:ascii="Times New Roman" w:hAnsi="Times New Roman"/>
                <w:kern w:val="0"/>
                <w:szCs w:val="21"/>
              </w:rPr>
              <w:t>t/a</w:t>
            </w:r>
          </w:p>
        </w:tc>
        <w:tc>
          <w:tcPr>
            <w:tcW w:w="1299"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kern w:val="0"/>
                <w:szCs w:val="21"/>
              </w:rPr>
              <w:t>20</w:t>
            </w:r>
          </w:p>
        </w:tc>
        <w:tc>
          <w:tcPr>
            <w:tcW w:w="2165" w:type="dxa"/>
            <w:tcBorders>
              <w:tl2br w:val="nil"/>
              <w:tr2bl w:val="nil"/>
            </w:tcBorders>
          </w:tcPr>
          <w:p w:rsidR="00525419" w:rsidRDefault="00EE1CF7">
            <w:pPr>
              <w:rPr>
                <w:rFonts w:ascii="Times New Roman" w:hAnsi="Times New Roman"/>
              </w:rPr>
            </w:pPr>
            <w:r>
              <w:rPr>
                <w:rFonts w:ascii="Times New Roman" w:hAnsi="Times New Roman"/>
                <w:kern w:val="0"/>
                <w:szCs w:val="21"/>
              </w:rPr>
              <w:t>市场外购</w:t>
            </w:r>
          </w:p>
        </w:tc>
        <w:tc>
          <w:tcPr>
            <w:tcW w:w="1160"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kern w:val="0"/>
                <w:szCs w:val="21"/>
              </w:rPr>
              <w:t>液态</w:t>
            </w:r>
          </w:p>
        </w:tc>
      </w:tr>
    </w:tbl>
    <w:p w:rsidR="00525419" w:rsidRDefault="00525419">
      <w:pPr>
        <w:jc w:val="center"/>
        <w:rPr>
          <w:rFonts w:ascii="Times New Roman" w:eastAsia="黑体" w:hAnsi="Times New Roman"/>
        </w:rPr>
      </w:pPr>
    </w:p>
    <w:p w:rsidR="00525419" w:rsidRDefault="00EE1CF7">
      <w:pPr>
        <w:spacing w:line="240" w:lineRule="atLeast"/>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3.3-15    </w:t>
      </w:r>
      <w:r>
        <w:rPr>
          <w:rFonts w:ascii="Times New Roman" w:eastAsia="黑体" w:hAnsi="Times New Roman"/>
          <w:szCs w:val="21"/>
        </w:rPr>
        <w:t>煤焦油性质</w:t>
      </w:r>
    </w:p>
    <w:tbl>
      <w:tblPr>
        <w:tblW w:w="84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492"/>
        <w:gridCol w:w="2179"/>
        <w:gridCol w:w="3768"/>
      </w:tblGrid>
      <w:tr w:rsidR="00525419">
        <w:trPr>
          <w:trHeight w:val="277"/>
          <w:jc w:val="center"/>
        </w:trPr>
        <w:tc>
          <w:tcPr>
            <w:tcW w:w="2492" w:type="dxa"/>
            <w:tcBorders>
              <w:tl2br w:val="nil"/>
              <w:tr2bl w:val="nil"/>
            </w:tcBorders>
            <w:tcMar>
              <w:left w:w="28" w:type="dxa"/>
              <w:right w:w="28" w:type="dxa"/>
            </w:tcMar>
            <w:vAlign w:val="center"/>
          </w:tcPr>
          <w:p w:rsidR="00525419" w:rsidRDefault="00EE1CF7">
            <w:pPr>
              <w:spacing w:line="240" w:lineRule="atLeast"/>
              <w:rPr>
                <w:rFonts w:ascii="Times New Roman" w:hAnsi="Times New Roman"/>
                <w:szCs w:val="21"/>
              </w:rPr>
            </w:pPr>
            <w:r>
              <w:rPr>
                <w:rFonts w:ascii="Times New Roman" w:hAnsi="Times New Roman"/>
                <w:szCs w:val="21"/>
              </w:rPr>
              <w:t>项目</w:t>
            </w:r>
          </w:p>
        </w:tc>
        <w:tc>
          <w:tcPr>
            <w:tcW w:w="217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数据</w:t>
            </w:r>
          </w:p>
        </w:tc>
        <w:tc>
          <w:tcPr>
            <w:tcW w:w="376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限定值</w:t>
            </w:r>
          </w:p>
        </w:tc>
      </w:tr>
      <w:tr w:rsidR="00525419">
        <w:trPr>
          <w:trHeight w:val="103"/>
          <w:jc w:val="center"/>
        </w:trPr>
        <w:tc>
          <w:tcPr>
            <w:tcW w:w="2492" w:type="dxa"/>
            <w:tcBorders>
              <w:tl2br w:val="nil"/>
              <w:tr2bl w:val="nil"/>
            </w:tcBorders>
            <w:tcMar>
              <w:left w:w="28" w:type="dxa"/>
              <w:right w:w="28" w:type="dxa"/>
            </w:tcMar>
            <w:vAlign w:val="center"/>
          </w:tcPr>
          <w:p w:rsidR="00525419" w:rsidRDefault="00EE1CF7">
            <w:pPr>
              <w:spacing w:line="240" w:lineRule="atLeast"/>
              <w:rPr>
                <w:rFonts w:ascii="Times New Roman" w:hAnsi="Times New Roman"/>
                <w:szCs w:val="21"/>
              </w:rPr>
            </w:pPr>
            <w:r>
              <w:rPr>
                <w:rFonts w:ascii="Times New Roman" w:hAnsi="Times New Roman"/>
                <w:szCs w:val="21"/>
              </w:rPr>
              <w:t>密度</w:t>
            </w:r>
            <w:r>
              <w:rPr>
                <w:rFonts w:ascii="Times New Roman" w:hAnsi="Times New Roman"/>
                <w:szCs w:val="21"/>
              </w:rPr>
              <w:t>(20℃)/g·cm</w:t>
            </w:r>
            <w:r>
              <w:rPr>
                <w:rFonts w:ascii="Times New Roman" w:hAnsi="Times New Roman"/>
                <w:szCs w:val="21"/>
                <w:vertAlign w:val="superscript"/>
              </w:rPr>
              <w:t>-3</w:t>
            </w:r>
          </w:p>
        </w:tc>
        <w:tc>
          <w:tcPr>
            <w:tcW w:w="217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0.9782</w:t>
            </w:r>
          </w:p>
        </w:tc>
        <w:tc>
          <w:tcPr>
            <w:tcW w:w="376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≯1.00</w:t>
            </w:r>
          </w:p>
        </w:tc>
      </w:tr>
      <w:tr w:rsidR="00525419">
        <w:trPr>
          <w:trHeight w:val="258"/>
          <w:jc w:val="center"/>
        </w:trPr>
        <w:tc>
          <w:tcPr>
            <w:tcW w:w="2492" w:type="dxa"/>
            <w:tcBorders>
              <w:tl2br w:val="nil"/>
              <w:tr2bl w:val="nil"/>
            </w:tcBorders>
            <w:tcMar>
              <w:left w:w="28" w:type="dxa"/>
              <w:right w:w="28" w:type="dxa"/>
            </w:tcMar>
            <w:vAlign w:val="center"/>
          </w:tcPr>
          <w:p w:rsidR="00525419" w:rsidRDefault="00EE1CF7">
            <w:pPr>
              <w:spacing w:line="240" w:lineRule="atLeast"/>
              <w:rPr>
                <w:rFonts w:ascii="Times New Roman" w:hAnsi="Times New Roman"/>
                <w:szCs w:val="21"/>
              </w:rPr>
            </w:pPr>
            <w:r>
              <w:rPr>
                <w:rFonts w:ascii="Times New Roman" w:hAnsi="Times New Roman"/>
                <w:szCs w:val="21"/>
              </w:rPr>
              <w:t>硫</w:t>
            </w:r>
            <w:r>
              <w:rPr>
                <w:rFonts w:ascii="Times New Roman" w:hAnsi="Times New Roman"/>
                <w:szCs w:val="21"/>
              </w:rPr>
              <w:t>/</w:t>
            </w:r>
            <w:r>
              <w:rPr>
                <w:rFonts w:ascii="Times New Roman" w:hAnsi="Times New Roman"/>
                <w:szCs w:val="21"/>
              </w:rPr>
              <w:sym w:font="Symbol" w:char="F06D"/>
            </w:r>
            <w:r>
              <w:rPr>
                <w:rFonts w:ascii="Times New Roman" w:hAnsi="Times New Roman"/>
                <w:szCs w:val="21"/>
              </w:rPr>
              <w:t>g·g</w:t>
            </w:r>
            <w:r>
              <w:rPr>
                <w:rFonts w:ascii="Times New Roman" w:hAnsi="Times New Roman"/>
                <w:szCs w:val="21"/>
                <w:vertAlign w:val="superscript"/>
              </w:rPr>
              <w:t>-1</w:t>
            </w:r>
          </w:p>
        </w:tc>
        <w:tc>
          <w:tcPr>
            <w:tcW w:w="217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2100</w:t>
            </w:r>
          </w:p>
        </w:tc>
        <w:tc>
          <w:tcPr>
            <w:tcW w:w="3768" w:type="dxa"/>
            <w:tcBorders>
              <w:tl2br w:val="nil"/>
              <w:tr2bl w:val="nil"/>
            </w:tcBorders>
            <w:vAlign w:val="center"/>
          </w:tcPr>
          <w:p w:rsidR="00525419" w:rsidRDefault="00525419">
            <w:pPr>
              <w:spacing w:line="240" w:lineRule="atLeast"/>
              <w:rPr>
                <w:rFonts w:ascii="Times New Roman" w:hAnsi="Times New Roman"/>
                <w:szCs w:val="21"/>
              </w:rPr>
            </w:pPr>
          </w:p>
        </w:tc>
      </w:tr>
      <w:tr w:rsidR="00525419">
        <w:trPr>
          <w:trHeight w:val="200"/>
          <w:jc w:val="center"/>
        </w:trPr>
        <w:tc>
          <w:tcPr>
            <w:tcW w:w="2492" w:type="dxa"/>
            <w:tcBorders>
              <w:tl2br w:val="nil"/>
              <w:tr2bl w:val="nil"/>
            </w:tcBorders>
            <w:tcMar>
              <w:left w:w="28" w:type="dxa"/>
              <w:right w:w="28" w:type="dxa"/>
            </w:tcMar>
            <w:vAlign w:val="center"/>
          </w:tcPr>
          <w:p w:rsidR="00525419" w:rsidRDefault="00EE1CF7">
            <w:pPr>
              <w:spacing w:line="240" w:lineRule="atLeast"/>
              <w:rPr>
                <w:rFonts w:ascii="Times New Roman" w:hAnsi="Times New Roman"/>
                <w:szCs w:val="21"/>
              </w:rPr>
            </w:pPr>
            <w:r>
              <w:rPr>
                <w:rFonts w:ascii="Times New Roman" w:hAnsi="Times New Roman"/>
                <w:szCs w:val="21"/>
              </w:rPr>
              <w:t>氮</w:t>
            </w:r>
            <w:r>
              <w:rPr>
                <w:rFonts w:ascii="Times New Roman" w:hAnsi="Times New Roman"/>
                <w:szCs w:val="21"/>
              </w:rPr>
              <w:t>/</w:t>
            </w:r>
            <w:r>
              <w:rPr>
                <w:rFonts w:ascii="Times New Roman" w:hAnsi="Times New Roman"/>
                <w:szCs w:val="21"/>
              </w:rPr>
              <w:sym w:font="Symbol" w:char="F06D"/>
            </w:r>
            <w:r>
              <w:rPr>
                <w:rFonts w:ascii="Times New Roman" w:hAnsi="Times New Roman"/>
                <w:szCs w:val="21"/>
              </w:rPr>
              <w:t>g·g</w:t>
            </w:r>
            <w:r>
              <w:rPr>
                <w:rFonts w:ascii="Times New Roman" w:hAnsi="Times New Roman"/>
                <w:szCs w:val="21"/>
                <w:vertAlign w:val="superscript"/>
              </w:rPr>
              <w:t>-1</w:t>
            </w:r>
          </w:p>
        </w:tc>
        <w:tc>
          <w:tcPr>
            <w:tcW w:w="217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6165</w:t>
            </w:r>
          </w:p>
        </w:tc>
        <w:tc>
          <w:tcPr>
            <w:tcW w:w="376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≯7500</w:t>
            </w:r>
          </w:p>
        </w:tc>
      </w:tr>
      <w:tr w:rsidR="00525419">
        <w:trPr>
          <w:trHeight w:val="290"/>
          <w:jc w:val="center"/>
        </w:trPr>
        <w:tc>
          <w:tcPr>
            <w:tcW w:w="2492" w:type="dxa"/>
            <w:tcBorders>
              <w:tl2br w:val="nil"/>
              <w:tr2bl w:val="nil"/>
            </w:tcBorders>
            <w:tcMar>
              <w:left w:w="28" w:type="dxa"/>
              <w:right w:w="28" w:type="dxa"/>
            </w:tcMar>
            <w:vAlign w:val="center"/>
          </w:tcPr>
          <w:p w:rsidR="00525419" w:rsidRDefault="00EE1CF7">
            <w:pPr>
              <w:spacing w:line="240" w:lineRule="atLeast"/>
              <w:rPr>
                <w:rFonts w:ascii="Times New Roman" w:hAnsi="Times New Roman"/>
                <w:szCs w:val="21"/>
              </w:rPr>
            </w:pPr>
            <w:r>
              <w:rPr>
                <w:rFonts w:ascii="Times New Roman" w:hAnsi="Times New Roman"/>
                <w:szCs w:val="21"/>
              </w:rPr>
              <w:t>凝点</w:t>
            </w:r>
            <w:r>
              <w:rPr>
                <w:rFonts w:ascii="Times New Roman" w:hAnsi="Times New Roman"/>
                <w:szCs w:val="21"/>
              </w:rPr>
              <w:t>/℃</w:t>
            </w:r>
          </w:p>
        </w:tc>
        <w:tc>
          <w:tcPr>
            <w:tcW w:w="2179" w:type="dxa"/>
            <w:tcBorders>
              <w:tl2br w:val="nil"/>
              <w:tr2bl w:val="nil"/>
            </w:tcBorders>
            <w:vAlign w:val="center"/>
          </w:tcPr>
          <w:p w:rsidR="00525419" w:rsidRDefault="00525419">
            <w:pPr>
              <w:spacing w:line="240" w:lineRule="atLeast"/>
              <w:rPr>
                <w:rFonts w:ascii="Times New Roman" w:hAnsi="Times New Roman"/>
                <w:szCs w:val="21"/>
              </w:rPr>
            </w:pPr>
          </w:p>
        </w:tc>
        <w:tc>
          <w:tcPr>
            <w:tcW w:w="3768" w:type="dxa"/>
            <w:tcBorders>
              <w:tl2br w:val="nil"/>
              <w:tr2bl w:val="nil"/>
            </w:tcBorders>
            <w:vAlign w:val="center"/>
          </w:tcPr>
          <w:p w:rsidR="00525419" w:rsidRDefault="00525419">
            <w:pPr>
              <w:spacing w:line="240" w:lineRule="atLeast"/>
              <w:rPr>
                <w:rFonts w:ascii="Times New Roman" w:hAnsi="Times New Roman"/>
                <w:szCs w:val="21"/>
              </w:rPr>
            </w:pPr>
          </w:p>
        </w:tc>
      </w:tr>
      <w:tr w:rsidR="00525419">
        <w:trPr>
          <w:trHeight w:val="238"/>
          <w:jc w:val="center"/>
        </w:trPr>
        <w:tc>
          <w:tcPr>
            <w:tcW w:w="2492" w:type="dxa"/>
            <w:tcBorders>
              <w:tl2br w:val="nil"/>
              <w:tr2bl w:val="nil"/>
            </w:tcBorders>
            <w:tcMar>
              <w:left w:w="28" w:type="dxa"/>
              <w:right w:w="28" w:type="dxa"/>
            </w:tcMar>
            <w:vAlign w:val="center"/>
          </w:tcPr>
          <w:p w:rsidR="00525419" w:rsidRDefault="00EE1CF7">
            <w:pPr>
              <w:spacing w:line="240" w:lineRule="atLeast"/>
              <w:rPr>
                <w:rFonts w:ascii="Times New Roman" w:hAnsi="Times New Roman"/>
                <w:szCs w:val="21"/>
              </w:rPr>
            </w:pPr>
            <w:r>
              <w:rPr>
                <w:rFonts w:ascii="Times New Roman" w:hAnsi="Times New Roman"/>
                <w:szCs w:val="21"/>
              </w:rPr>
              <w:t>粘度</w:t>
            </w:r>
            <w:r>
              <w:rPr>
                <w:rFonts w:ascii="Times New Roman" w:hAnsi="Times New Roman"/>
                <w:szCs w:val="21"/>
              </w:rPr>
              <w:t>(40℃)/mm</w:t>
            </w:r>
            <w:r>
              <w:rPr>
                <w:rFonts w:ascii="Times New Roman" w:hAnsi="Times New Roman"/>
                <w:szCs w:val="21"/>
                <w:vertAlign w:val="superscript"/>
              </w:rPr>
              <w:t>2</w:t>
            </w:r>
            <w:r>
              <w:rPr>
                <w:rFonts w:ascii="Times New Roman" w:hAnsi="Times New Roman"/>
                <w:szCs w:val="21"/>
              </w:rPr>
              <w:t>·s</w:t>
            </w:r>
            <w:r>
              <w:rPr>
                <w:rFonts w:ascii="Times New Roman" w:hAnsi="Times New Roman"/>
                <w:szCs w:val="21"/>
                <w:vertAlign w:val="superscript"/>
              </w:rPr>
              <w:t>-1</w:t>
            </w:r>
          </w:p>
        </w:tc>
        <w:tc>
          <w:tcPr>
            <w:tcW w:w="2179" w:type="dxa"/>
            <w:tcBorders>
              <w:tl2br w:val="nil"/>
              <w:tr2bl w:val="nil"/>
            </w:tcBorders>
            <w:vAlign w:val="center"/>
          </w:tcPr>
          <w:p w:rsidR="00525419" w:rsidRDefault="00525419">
            <w:pPr>
              <w:spacing w:line="240" w:lineRule="atLeast"/>
              <w:rPr>
                <w:rFonts w:ascii="Times New Roman" w:hAnsi="Times New Roman"/>
                <w:szCs w:val="21"/>
              </w:rPr>
            </w:pPr>
          </w:p>
        </w:tc>
        <w:tc>
          <w:tcPr>
            <w:tcW w:w="3768" w:type="dxa"/>
            <w:tcBorders>
              <w:tl2br w:val="nil"/>
              <w:tr2bl w:val="nil"/>
            </w:tcBorders>
            <w:vAlign w:val="center"/>
          </w:tcPr>
          <w:p w:rsidR="00525419" w:rsidRDefault="00525419">
            <w:pPr>
              <w:spacing w:line="240" w:lineRule="atLeast"/>
              <w:rPr>
                <w:rFonts w:ascii="Times New Roman" w:hAnsi="Times New Roman"/>
                <w:szCs w:val="21"/>
              </w:rPr>
            </w:pPr>
          </w:p>
        </w:tc>
      </w:tr>
      <w:tr w:rsidR="00525419">
        <w:trPr>
          <w:trHeight w:val="234"/>
          <w:jc w:val="center"/>
        </w:trPr>
        <w:tc>
          <w:tcPr>
            <w:tcW w:w="2492" w:type="dxa"/>
            <w:tcBorders>
              <w:tl2br w:val="nil"/>
              <w:tr2bl w:val="nil"/>
            </w:tcBorders>
            <w:tcMar>
              <w:left w:w="28" w:type="dxa"/>
              <w:right w:w="28" w:type="dxa"/>
            </w:tcMar>
            <w:vAlign w:val="center"/>
          </w:tcPr>
          <w:p w:rsidR="00525419" w:rsidRDefault="00EE1CF7">
            <w:pPr>
              <w:spacing w:line="240" w:lineRule="atLeast"/>
              <w:rPr>
                <w:rFonts w:ascii="Times New Roman" w:hAnsi="Times New Roman"/>
                <w:szCs w:val="21"/>
              </w:rPr>
            </w:pPr>
            <w:r>
              <w:rPr>
                <w:rFonts w:ascii="Times New Roman" w:hAnsi="Times New Roman"/>
                <w:szCs w:val="21"/>
              </w:rPr>
              <w:t>残炭</w:t>
            </w:r>
            <w:r>
              <w:rPr>
                <w:rFonts w:ascii="Times New Roman" w:hAnsi="Times New Roman"/>
                <w:szCs w:val="21"/>
              </w:rPr>
              <w:t>/%</w:t>
            </w:r>
          </w:p>
        </w:tc>
        <w:tc>
          <w:tcPr>
            <w:tcW w:w="2179" w:type="dxa"/>
            <w:tcBorders>
              <w:tl2br w:val="nil"/>
              <w:tr2bl w:val="nil"/>
            </w:tcBorders>
            <w:vAlign w:val="center"/>
          </w:tcPr>
          <w:p w:rsidR="00525419" w:rsidRDefault="00525419">
            <w:pPr>
              <w:spacing w:line="240" w:lineRule="atLeast"/>
              <w:rPr>
                <w:rFonts w:ascii="Times New Roman" w:hAnsi="Times New Roman"/>
                <w:szCs w:val="21"/>
              </w:rPr>
            </w:pPr>
          </w:p>
        </w:tc>
        <w:tc>
          <w:tcPr>
            <w:tcW w:w="376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≯1.00</w:t>
            </w:r>
          </w:p>
        </w:tc>
      </w:tr>
      <w:tr w:rsidR="00525419">
        <w:trPr>
          <w:trHeight w:val="182"/>
          <w:jc w:val="center"/>
        </w:trPr>
        <w:tc>
          <w:tcPr>
            <w:tcW w:w="2492" w:type="dxa"/>
            <w:tcBorders>
              <w:tl2br w:val="nil"/>
              <w:tr2bl w:val="nil"/>
            </w:tcBorders>
            <w:tcMar>
              <w:left w:w="28" w:type="dxa"/>
              <w:right w:w="28" w:type="dxa"/>
            </w:tcMar>
            <w:vAlign w:val="center"/>
          </w:tcPr>
          <w:p w:rsidR="00525419" w:rsidRDefault="00EE1CF7">
            <w:pPr>
              <w:spacing w:line="240" w:lineRule="atLeast"/>
              <w:rPr>
                <w:rFonts w:ascii="Times New Roman" w:hAnsi="Times New Roman"/>
                <w:szCs w:val="21"/>
              </w:rPr>
            </w:pPr>
            <w:r>
              <w:rPr>
                <w:rFonts w:ascii="Times New Roman" w:hAnsi="Times New Roman"/>
                <w:szCs w:val="21"/>
              </w:rPr>
              <w:t>水</w:t>
            </w:r>
            <w:r>
              <w:rPr>
                <w:rFonts w:ascii="Times New Roman" w:hAnsi="Times New Roman"/>
                <w:szCs w:val="21"/>
              </w:rPr>
              <w:t>/%</w:t>
            </w:r>
          </w:p>
        </w:tc>
        <w:tc>
          <w:tcPr>
            <w:tcW w:w="2179" w:type="dxa"/>
            <w:tcBorders>
              <w:tl2br w:val="nil"/>
              <w:tr2bl w:val="nil"/>
            </w:tcBorders>
            <w:vAlign w:val="center"/>
          </w:tcPr>
          <w:p w:rsidR="00525419" w:rsidRDefault="00525419">
            <w:pPr>
              <w:spacing w:line="240" w:lineRule="atLeast"/>
              <w:rPr>
                <w:rFonts w:ascii="Times New Roman" w:hAnsi="Times New Roman"/>
                <w:szCs w:val="21"/>
              </w:rPr>
            </w:pPr>
          </w:p>
        </w:tc>
        <w:tc>
          <w:tcPr>
            <w:tcW w:w="376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≯0.03</w:t>
            </w:r>
          </w:p>
        </w:tc>
      </w:tr>
      <w:tr w:rsidR="00525419">
        <w:trPr>
          <w:trHeight w:val="144"/>
          <w:jc w:val="center"/>
        </w:trPr>
        <w:tc>
          <w:tcPr>
            <w:tcW w:w="2492" w:type="dxa"/>
            <w:tcBorders>
              <w:tl2br w:val="nil"/>
              <w:tr2bl w:val="nil"/>
            </w:tcBorders>
            <w:tcMar>
              <w:left w:w="28" w:type="dxa"/>
              <w:right w:w="28" w:type="dxa"/>
            </w:tcMar>
            <w:vAlign w:val="center"/>
          </w:tcPr>
          <w:p w:rsidR="00525419" w:rsidRDefault="00EE1CF7">
            <w:pPr>
              <w:spacing w:line="240" w:lineRule="atLeast"/>
              <w:rPr>
                <w:rFonts w:ascii="Times New Roman" w:hAnsi="Times New Roman"/>
                <w:szCs w:val="21"/>
              </w:rPr>
            </w:pPr>
            <w:r>
              <w:rPr>
                <w:rFonts w:ascii="Times New Roman" w:hAnsi="Times New Roman"/>
                <w:szCs w:val="21"/>
              </w:rPr>
              <w:t>沉淀物</w:t>
            </w:r>
            <w:r>
              <w:rPr>
                <w:rFonts w:ascii="Times New Roman" w:hAnsi="Times New Roman"/>
                <w:szCs w:val="21"/>
              </w:rPr>
              <w:t>/%</w:t>
            </w:r>
          </w:p>
        </w:tc>
        <w:tc>
          <w:tcPr>
            <w:tcW w:w="217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0.01</w:t>
            </w:r>
          </w:p>
        </w:tc>
        <w:tc>
          <w:tcPr>
            <w:tcW w:w="376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≯0.03</w:t>
            </w:r>
          </w:p>
        </w:tc>
      </w:tr>
      <w:tr w:rsidR="00525419">
        <w:trPr>
          <w:trHeight w:val="106"/>
          <w:jc w:val="center"/>
        </w:trPr>
        <w:tc>
          <w:tcPr>
            <w:tcW w:w="2492" w:type="dxa"/>
            <w:tcBorders>
              <w:tl2br w:val="nil"/>
              <w:tr2bl w:val="nil"/>
            </w:tcBorders>
            <w:tcMar>
              <w:left w:w="28" w:type="dxa"/>
              <w:right w:w="28" w:type="dxa"/>
            </w:tcMar>
            <w:vAlign w:val="center"/>
          </w:tcPr>
          <w:p w:rsidR="00525419" w:rsidRDefault="00EE1CF7">
            <w:pPr>
              <w:spacing w:line="240" w:lineRule="atLeast"/>
              <w:rPr>
                <w:rFonts w:ascii="Times New Roman" w:hAnsi="Times New Roman"/>
                <w:szCs w:val="21"/>
              </w:rPr>
            </w:pPr>
            <w:r>
              <w:rPr>
                <w:rFonts w:ascii="Times New Roman" w:hAnsi="Times New Roman"/>
                <w:szCs w:val="21"/>
              </w:rPr>
              <w:t>机械杂质</w:t>
            </w:r>
            <w:r>
              <w:rPr>
                <w:rFonts w:ascii="Times New Roman" w:hAnsi="Times New Roman"/>
                <w:szCs w:val="21"/>
              </w:rPr>
              <w:t>/%</w:t>
            </w:r>
          </w:p>
        </w:tc>
        <w:tc>
          <w:tcPr>
            <w:tcW w:w="217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0.01</w:t>
            </w:r>
          </w:p>
        </w:tc>
        <w:tc>
          <w:tcPr>
            <w:tcW w:w="376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≯0.03</w:t>
            </w:r>
          </w:p>
        </w:tc>
      </w:tr>
      <w:tr w:rsidR="00525419">
        <w:trPr>
          <w:trHeight w:val="196"/>
          <w:jc w:val="center"/>
        </w:trPr>
        <w:tc>
          <w:tcPr>
            <w:tcW w:w="2492" w:type="dxa"/>
            <w:tcBorders>
              <w:tl2br w:val="nil"/>
              <w:tr2bl w:val="nil"/>
            </w:tcBorders>
            <w:tcMar>
              <w:left w:w="28" w:type="dxa"/>
              <w:right w:w="28" w:type="dxa"/>
            </w:tcMar>
            <w:vAlign w:val="center"/>
          </w:tcPr>
          <w:p w:rsidR="00525419" w:rsidRDefault="00EE1CF7">
            <w:pPr>
              <w:spacing w:line="240" w:lineRule="atLeast"/>
              <w:rPr>
                <w:rFonts w:ascii="Times New Roman" w:hAnsi="Times New Roman"/>
                <w:szCs w:val="21"/>
              </w:rPr>
            </w:pPr>
            <w:r>
              <w:rPr>
                <w:rFonts w:ascii="Times New Roman" w:hAnsi="Times New Roman"/>
                <w:szCs w:val="21"/>
              </w:rPr>
              <w:t>重金属</w:t>
            </w:r>
            <w:r>
              <w:rPr>
                <w:rFonts w:ascii="Times New Roman" w:hAnsi="Times New Roman"/>
                <w:szCs w:val="21"/>
              </w:rPr>
              <w:t>/</w:t>
            </w:r>
            <w:r>
              <w:rPr>
                <w:rFonts w:ascii="Times New Roman" w:hAnsi="Times New Roman"/>
                <w:szCs w:val="21"/>
              </w:rPr>
              <w:sym w:font="Symbol" w:char="F06D"/>
            </w:r>
            <w:r>
              <w:rPr>
                <w:rFonts w:ascii="Times New Roman" w:hAnsi="Times New Roman"/>
                <w:szCs w:val="21"/>
              </w:rPr>
              <w:t>g·g</w:t>
            </w:r>
            <w:r>
              <w:rPr>
                <w:rFonts w:ascii="Times New Roman" w:hAnsi="Times New Roman"/>
                <w:szCs w:val="21"/>
                <w:vertAlign w:val="superscript"/>
              </w:rPr>
              <w:t>-1</w:t>
            </w:r>
          </w:p>
        </w:tc>
        <w:tc>
          <w:tcPr>
            <w:tcW w:w="2179" w:type="dxa"/>
            <w:tcBorders>
              <w:tl2br w:val="nil"/>
              <w:tr2bl w:val="nil"/>
            </w:tcBorders>
            <w:vAlign w:val="center"/>
          </w:tcPr>
          <w:p w:rsidR="00525419" w:rsidRDefault="00525419">
            <w:pPr>
              <w:spacing w:line="240" w:lineRule="atLeast"/>
              <w:rPr>
                <w:rFonts w:ascii="Times New Roman" w:hAnsi="Times New Roman"/>
                <w:szCs w:val="21"/>
              </w:rPr>
            </w:pPr>
          </w:p>
        </w:tc>
        <w:tc>
          <w:tcPr>
            <w:tcW w:w="376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≯10.0</w:t>
            </w:r>
          </w:p>
        </w:tc>
      </w:tr>
      <w:tr w:rsidR="00525419">
        <w:trPr>
          <w:trHeight w:val="250"/>
          <w:jc w:val="center"/>
        </w:trPr>
        <w:tc>
          <w:tcPr>
            <w:tcW w:w="2492" w:type="dxa"/>
            <w:tcBorders>
              <w:tl2br w:val="nil"/>
              <w:tr2bl w:val="nil"/>
            </w:tcBorders>
            <w:tcMar>
              <w:left w:w="28" w:type="dxa"/>
              <w:right w:w="28" w:type="dxa"/>
            </w:tcMar>
            <w:vAlign w:val="center"/>
          </w:tcPr>
          <w:p w:rsidR="00525419" w:rsidRDefault="00EE1CF7">
            <w:pPr>
              <w:spacing w:line="240" w:lineRule="atLeast"/>
              <w:rPr>
                <w:rFonts w:ascii="Times New Roman" w:hAnsi="Times New Roman"/>
                <w:szCs w:val="21"/>
              </w:rPr>
            </w:pPr>
            <w:r>
              <w:rPr>
                <w:rFonts w:ascii="Times New Roman" w:hAnsi="Times New Roman"/>
                <w:szCs w:val="21"/>
              </w:rPr>
              <w:t>Ni/V</w:t>
            </w:r>
          </w:p>
        </w:tc>
        <w:tc>
          <w:tcPr>
            <w:tcW w:w="2179" w:type="dxa"/>
            <w:tcBorders>
              <w:tl2br w:val="nil"/>
              <w:tr2bl w:val="nil"/>
            </w:tcBorders>
            <w:vAlign w:val="center"/>
          </w:tcPr>
          <w:p w:rsidR="00525419" w:rsidRDefault="00525419">
            <w:pPr>
              <w:spacing w:line="240" w:lineRule="atLeast"/>
              <w:rPr>
                <w:rFonts w:ascii="Times New Roman" w:hAnsi="Times New Roman"/>
                <w:szCs w:val="21"/>
              </w:rPr>
            </w:pPr>
          </w:p>
        </w:tc>
        <w:tc>
          <w:tcPr>
            <w:tcW w:w="376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≯0.5</w:t>
            </w:r>
          </w:p>
        </w:tc>
      </w:tr>
      <w:tr w:rsidR="00525419">
        <w:trPr>
          <w:trHeight w:val="137"/>
          <w:jc w:val="center"/>
        </w:trPr>
        <w:tc>
          <w:tcPr>
            <w:tcW w:w="2492" w:type="dxa"/>
            <w:tcBorders>
              <w:tl2br w:val="nil"/>
              <w:tr2bl w:val="nil"/>
            </w:tcBorders>
            <w:tcMar>
              <w:left w:w="28" w:type="dxa"/>
              <w:right w:w="28" w:type="dxa"/>
            </w:tcMar>
            <w:vAlign w:val="center"/>
          </w:tcPr>
          <w:p w:rsidR="00525419" w:rsidRDefault="00EE1CF7">
            <w:pPr>
              <w:spacing w:line="240" w:lineRule="atLeast"/>
              <w:rPr>
                <w:rFonts w:ascii="Times New Roman" w:hAnsi="Times New Roman"/>
                <w:szCs w:val="21"/>
              </w:rPr>
            </w:pPr>
            <w:r>
              <w:rPr>
                <w:rFonts w:ascii="Times New Roman" w:hAnsi="Times New Roman"/>
                <w:bCs/>
                <w:szCs w:val="21"/>
              </w:rPr>
              <w:t>四组分</w:t>
            </w:r>
            <w:r>
              <w:rPr>
                <w:rFonts w:ascii="Times New Roman" w:hAnsi="Times New Roman"/>
                <w:bCs/>
                <w:szCs w:val="21"/>
              </w:rPr>
              <w:t>,%</w:t>
            </w:r>
          </w:p>
        </w:tc>
        <w:tc>
          <w:tcPr>
            <w:tcW w:w="2179" w:type="dxa"/>
            <w:tcBorders>
              <w:tl2br w:val="nil"/>
              <w:tr2bl w:val="nil"/>
            </w:tcBorders>
            <w:vAlign w:val="center"/>
          </w:tcPr>
          <w:p w:rsidR="00525419" w:rsidRDefault="00525419">
            <w:pPr>
              <w:spacing w:line="240" w:lineRule="atLeast"/>
              <w:rPr>
                <w:rFonts w:ascii="Times New Roman" w:hAnsi="Times New Roman"/>
                <w:szCs w:val="21"/>
              </w:rPr>
            </w:pPr>
          </w:p>
        </w:tc>
        <w:tc>
          <w:tcPr>
            <w:tcW w:w="3768" w:type="dxa"/>
            <w:tcBorders>
              <w:tl2br w:val="nil"/>
              <w:tr2bl w:val="nil"/>
            </w:tcBorders>
            <w:vAlign w:val="center"/>
          </w:tcPr>
          <w:p w:rsidR="00525419" w:rsidRDefault="00525419">
            <w:pPr>
              <w:spacing w:line="240" w:lineRule="atLeast"/>
              <w:rPr>
                <w:rFonts w:ascii="Times New Roman" w:hAnsi="Times New Roman"/>
                <w:szCs w:val="21"/>
              </w:rPr>
            </w:pPr>
          </w:p>
        </w:tc>
      </w:tr>
      <w:tr w:rsidR="00525419">
        <w:trPr>
          <w:trHeight w:val="162"/>
          <w:jc w:val="center"/>
        </w:trPr>
        <w:tc>
          <w:tcPr>
            <w:tcW w:w="2492" w:type="dxa"/>
            <w:tcBorders>
              <w:tl2br w:val="nil"/>
              <w:tr2bl w:val="nil"/>
            </w:tcBorders>
            <w:tcMar>
              <w:left w:w="28" w:type="dxa"/>
              <w:right w:w="28" w:type="dxa"/>
            </w:tcMar>
            <w:vAlign w:val="center"/>
          </w:tcPr>
          <w:p w:rsidR="00525419" w:rsidRDefault="00EE1CF7">
            <w:pPr>
              <w:spacing w:line="240" w:lineRule="atLeast"/>
              <w:rPr>
                <w:rFonts w:ascii="Times New Roman" w:hAnsi="Times New Roman"/>
                <w:szCs w:val="21"/>
              </w:rPr>
            </w:pPr>
            <w:r>
              <w:rPr>
                <w:rFonts w:ascii="Times New Roman" w:hAnsi="Times New Roman"/>
                <w:bCs/>
                <w:szCs w:val="21"/>
              </w:rPr>
              <w:t>饱和烃</w:t>
            </w:r>
          </w:p>
        </w:tc>
        <w:tc>
          <w:tcPr>
            <w:tcW w:w="217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bCs/>
                <w:szCs w:val="21"/>
              </w:rPr>
              <w:t xml:space="preserve">37.1 </w:t>
            </w:r>
          </w:p>
        </w:tc>
        <w:tc>
          <w:tcPr>
            <w:tcW w:w="3768" w:type="dxa"/>
            <w:tcBorders>
              <w:tl2br w:val="nil"/>
              <w:tr2bl w:val="nil"/>
            </w:tcBorders>
            <w:vAlign w:val="center"/>
          </w:tcPr>
          <w:p w:rsidR="00525419" w:rsidRDefault="00525419">
            <w:pPr>
              <w:spacing w:line="240" w:lineRule="atLeast"/>
              <w:rPr>
                <w:rFonts w:ascii="Times New Roman" w:hAnsi="Times New Roman"/>
                <w:szCs w:val="21"/>
              </w:rPr>
            </w:pPr>
          </w:p>
        </w:tc>
      </w:tr>
      <w:tr w:rsidR="00525419">
        <w:trPr>
          <w:trHeight w:val="150"/>
          <w:jc w:val="center"/>
        </w:trPr>
        <w:tc>
          <w:tcPr>
            <w:tcW w:w="2492" w:type="dxa"/>
            <w:tcBorders>
              <w:tl2br w:val="nil"/>
              <w:tr2bl w:val="nil"/>
            </w:tcBorders>
            <w:tcMar>
              <w:left w:w="28" w:type="dxa"/>
              <w:right w:w="28" w:type="dxa"/>
            </w:tcMar>
            <w:vAlign w:val="center"/>
          </w:tcPr>
          <w:p w:rsidR="00525419" w:rsidRDefault="00EE1CF7">
            <w:pPr>
              <w:spacing w:line="240" w:lineRule="atLeast"/>
              <w:rPr>
                <w:rFonts w:ascii="Times New Roman" w:hAnsi="Times New Roman"/>
                <w:szCs w:val="21"/>
              </w:rPr>
            </w:pPr>
            <w:r>
              <w:rPr>
                <w:rFonts w:ascii="Times New Roman" w:hAnsi="Times New Roman"/>
                <w:bCs/>
                <w:szCs w:val="21"/>
              </w:rPr>
              <w:t>芳烃</w:t>
            </w:r>
          </w:p>
        </w:tc>
        <w:tc>
          <w:tcPr>
            <w:tcW w:w="217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bCs/>
                <w:szCs w:val="21"/>
              </w:rPr>
              <w:t xml:space="preserve">21.1 </w:t>
            </w:r>
          </w:p>
        </w:tc>
        <w:tc>
          <w:tcPr>
            <w:tcW w:w="3768" w:type="dxa"/>
            <w:tcBorders>
              <w:tl2br w:val="nil"/>
              <w:tr2bl w:val="nil"/>
            </w:tcBorders>
            <w:vAlign w:val="center"/>
          </w:tcPr>
          <w:p w:rsidR="00525419" w:rsidRDefault="00525419">
            <w:pPr>
              <w:spacing w:line="240" w:lineRule="atLeast"/>
              <w:rPr>
                <w:rFonts w:ascii="Times New Roman" w:hAnsi="Times New Roman"/>
                <w:szCs w:val="21"/>
              </w:rPr>
            </w:pPr>
          </w:p>
        </w:tc>
      </w:tr>
      <w:tr w:rsidR="00525419">
        <w:trPr>
          <w:trHeight w:val="225"/>
          <w:jc w:val="center"/>
        </w:trPr>
        <w:tc>
          <w:tcPr>
            <w:tcW w:w="2492" w:type="dxa"/>
            <w:tcBorders>
              <w:tl2br w:val="nil"/>
              <w:tr2bl w:val="nil"/>
            </w:tcBorders>
            <w:tcMar>
              <w:left w:w="28" w:type="dxa"/>
              <w:right w:w="28" w:type="dxa"/>
            </w:tcMar>
            <w:vAlign w:val="center"/>
          </w:tcPr>
          <w:p w:rsidR="00525419" w:rsidRDefault="00EE1CF7">
            <w:pPr>
              <w:spacing w:line="240" w:lineRule="atLeast"/>
              <w:rPr>
                <w:rFonts w:ascii="Times New Roman" w:hAnsi="Times New Roman"/>
                <w:szCs w:val="21"/>
              </w:rPr>
            </w:pPr>
            <w:r>
              <w:rPr>
                <w:rFonts w:ascii="Times New Roman" w:hAnsi="Times New Roman"/>
                <w:bCs/>
                <w:szCs w:val="21"/>
              </w:rPr>
              <w:t>胶质</w:t>
            </w:r>
          </w:p>
        </w:tc>
        <w:tc>
          <w:tcPr>
            <w:tcW w:w="217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bCs/>
                <w:szCs w:val="21"/>
              </w:rPr>
              <w:t xml:space="preserve">34.6 </w:t>
            </w:r>
          </w:p>
        </w:tc>
        <w:tc>
          <w:tcPr>
            <w:tcW w:w="3768" w:type="dxa"/>
            <w:tcBorders>
              <w:tl2br w:val="nil"/>
              <w:tr2bl w:val="nil"/>
            </w:tcBorders>
            <w:vAlign w:val="center"/>
          </w:tcPr>
          <w:p w:rsidR="00525419" w:rsidRDefault="00525419">
            <w:pPr>
              <w:spacing w:line="240" w:lineRule="atLeast"/>
              <w:rPr>
                <w:rFonts w:ascii="Times New Roman" w:hAnsi="Times New Roman"/>
                <w:szCs w:val="21"/>
              </w:rPr>
            </w:pPr>
          </w:p>
        </w:tc>
      </w:tr>
      <w:tr w:rsidR="00525419">
        <w:trPr>
          <w:trHeight w:val="138"/>
          <w:jc w:val="center"/>
        </w:trPr>
        <w:tc>
          <w:tcPr>
            <w:tcW w:w="2492" w:type="dxa"/>
            <w:tcBorders>
              <w:tl2br w:val="nil"/>
              <w:tr2bl w:val="nil"/>
            </w:tcBorders>
            <w:tcMar>
              <w:left w:w="28" w:type="dxa"/>
              <w:right w:w="28" w:type="dxa"/>
            </w:tcMar>
            <w:vAlign w:val="center"/>
          </w:tcPr>
          <w:p w:rsidR="00525419" w:rsidRDefault="00EE1CF7">
            <w:pPr>
              <w:spacing w:line="240" w:lineRule="atLeast"/>
              <w:rPr>
                <w:rFonts w:ascii="Times New Roman" w:hAnsi="Times New Roman"/>
                <w:szCs w:val="21"/>
              </w:rPr>
            </w:pPr>
            <w:r>
              <w:rPr>
                <w:rFonts w:ascii="Times New Roman" w:hAnsi="Times New Roman"/>
                <w:bCs/>
                <w:szCs w:val="21"/>
              </w:rPr>
              <w:t>沥青质</w:t>
            </w:r>
          </w:p>
        </w:tc>
        <w:tc>
          <w:tcPr>
            <w:tcW w:w="217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bCs/>
                <w:szCs w:val="21"/>
              </w:rPr>
              <w:t xml:space="preserve">7.2 </w:t>
            </w:r>
          </w:p>
        </w:tc>
        <w:tc>
          <w:tcPr>
            <w:tcW w:w="3768" w:type="dxa"/>
            <w:tcBorders>
              <w:tl2br w:val="nil"/>
              <w:tr2bl w:val="nil"/>
            </w:tcBorders>
            <w:vAlign w:val="center"/>
          </w:tcPr>
          <w:p w:rsidR="00525419" w:rsidRDefault="00525419">
            <w:pPr>
              <w:spacing w:line="240" w:lineRule="atLeast"/>
              <w:rPr>
                <w:rFonts w:ascii="Times New Roman" w:hAnsi="Times New Roman"/>
                <w:szCs w:val="21"/>
              </w:rPr>
            </w:pPr>
          </w:p>
        </w:tc>
      </w:tr>
      <w:tr w:rsidR="00525419">
        <w:trPr>
          <w:trHeight w:val="125"/>
          <w:jc w:val="center"/>
        </w:trPr>
        <w:tc>
          <w:tcPr>
            <w:tcW w:w="2492" w:type="dxa"/>
            <w:tcBorders>
              <w:tl2br w:val="nil"/>
              <w:tr2bl w:val="nil"/>
            </w:tcBorders>
            <w:tcMar>
              <w:left w:w="28" w:type="dxa"/>
              <w:right w:w="28" w:type="dxa"/>
            </w:tcMar>
            <w:vAlign w:val="center"/>
          </w:tcPr>
          <w:p w:rsidR="00525419" w:rsidRDefault="00EE1CF7">
            <w:pPr>
              <w:spacing w:line="240" w:lineRule="atLeast"/>
              <w:rPr>
                <w:rFonts w:ascii="Times New Roman" w:hAnsi="Times New Roman"/>
                <w:szCs w:val="21"/>
              </w:rPr>
            </w:pPr>
            <w:r>
              <w:rPr>
                <w:rFonts w:ascii="Times New Roman" w:hAnsi="Times New Roman"/>
                <w:bCs/>
                <w:kern w:val="24"/>
                <w:szCs w:val="21"/>
              </w:rPr>
              <w:t>馏程</w:t>
            </w:r>
            <w:r>
              <w:rPr>
                <w:rFonts w:ascii="Times New Roman" w:hAnsi="Times New Roman"/>
                <w:bCs/>
                <w:kern w:val="24"/>
                <w:szCs w:val="21"/>
              </w:rPr>
              <w:t>(D86)/℃</w:t>
            </w:r>
          </w:p>
        </w:tc>
        <w:tc>
          <w:tcPr>
            <w:tcW w:w="2179" w:type="dxa"/>
            <w:tcBorders>
              <w:tl2br w:val="nil"/>
              <w:tr2bl w:val="nil"/>
            </w:tcBorders>
            <w:vAlign w:val="center"/>
          </w:tcPr>
          <w:p w:rsidR="00525419" w:rsidRDefault="00525419">
            <w:pPr>
              <w:spacing w:line="240" w:lineRule="atLeast"/>
              <w:rPr>
                <w:rFonts w:ascii="Times New Roman" w:hAnsi="Times New Roman"/>
                <w:szCs w:val="21"/>
              </w:rPr>
            </w:pPr>
          </w:p>
        </w:tc>
        <w:tc>
          <w:tcPr>
            <w:tcW w:w="3768" w:type="dxa"/>
            <w:tcBorders>
              <w:tl2br w:val="nil"/>
              <w:tr2bl w:val="nil"/>
            </w:tcBorders>
            <w:vAlign w:val="center"/>
          </w:tcPr>
          <w:p w:rsidR="00525419" w:rsidRDefault="00525419">
            <w:pPr>
              <w:spacing w:line="240" w:lineRule="atLeast"/>
              <w:rPr>
                <w:rFonts w:ascii="Times New Roman" w:hAnsi="Times New Roman"/>
                <w:szCs w:val="21"/>
              </w:rPr>
            </w:pPr>
          </w:p>
        </w:tc>
      </w:tr>
      <w:tr w:rsidR="00525419">
        <w:trPr>
          <w:trHeight w:val="112"/>
          <w:jc w:val="center"/>
        </w:trPr>
        <w:tc>
          <w:tcPr>
            <w:tcW w:w="2492" w:type="dxa"/>
            <w:tcBorders>
              <w:tl2br w:val="nil"/>
              <w:tr2bl w:val="nil"/>
            </w:tcBorders>
            <w:tcMar>
              <w:left w:w="28" w:type="dxa"/>
              <w:right w:w="28" w:type="dxa"/>
            </w:tcMar>
            <w:vAlign w:val="center"/>
          </w:tcPr>
          <w:p w:rsidR="00525419" w:rsidRDefault="00EE1CF7">
            <w:pPr>
              <w:widowControl/>
              <w:spacing w:line="240" w:lineRule="atLeast"/>
              <w:textAlignment w:val="center"/>
              <w:rPr>
                <w:rFonts w:ascii="Times New Roman" w:hAnsi="Times New Roman"/>
                <w:kern w:val="0"/>
                <w:szCs w:val="21"/>
              </w:rPr>
            </w:pPr>
            <w:r>
              <w:rPr>
                <w:rFonts w:ascii="Times New Roman" w:hAnsi="Times New Roman"/>
                <w:bCs/>
                <w:kern w:val="24"/>
                <w:szCs w:val="21"/>
              </w:rPr>
              <w:t>IBP/5%</w:t>
            </w:r>
          </w:p>
        </w:tc>
        <w:tc>
          <w:tcPr>
            <w:tcW w:w="2179" w:type="dxa"/>
            <w:tcBorders>
              <w:tl2br w:val="nil"/>
              <w:tr2bl w:val="nil"/>
            </w:tcBorders>
            <w:vAlign w:val="center"/>
          </w:tcPr>
          <w:p w:rsidR="00525419" w:rsidRDefault="00EE1CF7">
            <w:pPr>
              <w:widowControl/>
              <w:spacing w:line="240" w:lineRule="atLeast"/>
              <w:textAlignment w:val="center"/>
              <w:rPr>
                <w:rFonts w:ascii="Times New Roman" w:hAnsi="Times New Roman"/>
                <w:kern w:val="0"/>
                <w:szCs w:val="21"/>
              </w:rPr>
            </w:pPr>
            <w:r>
              <w:rPr>
                <w:rFonts w:ascii="Times New Roman" w:hAnsi="Times New Roman"/>
                <w:bCs/>
                <w:kern w:val="24"/>
                <w:szCs w:val="21"/>
              </w:rPr>
              <w:t>195/252</w:t>
            </w:r>
          </w:p>
        </w:tc>
        <w:tc>
          <w:tcPr>
            <w:tcW w:w="3768" w:type="dxa"/>
            <w:tcBorders>
              <w:tl2br w:val="nil"/>
              <w:tr2bl w:val="nil"/>
            </w:tcBorders>
            <w:vAlign w:val="center"/>
          </w:tcPr>
          <w:p w:rsidR="00525419" w:rsidRDefault="00525419">
            <w:pPr>
              <w:spacing w:line="240" w:lineRule="atLeast"/>
              <w:rPr>
                <w:rFonts w:ascii="Times New Roman" w:hAnsi="Times New Roman"/>
                <w:szCs w:val="21"/>
              </w:rPr>
            </w:pPr>
          </w:p>
        </w:tc>
      </w:tr>
      <w:tr w:rsidR="00525419">
        <w:trPr>
          <w:trHeight w:val="100"/>
          <w:jc w:val="center"/>
        </w:trPr>
        <w:tc>
          <w:tcPr>
            <w:tcW w:w="2492" w:type="dxa"/>
            <w:tcBorders>
              <w:tl2br w:val="nil"/>
              <w:tr2bl w:val="nil"/>
            </w:tcBorders>
            <w:tcMar>
              <w:left w:w="28" w:type="dxa"/>
              <w:right w:w="28" w:type="dxa"/>
            </w:tcMar>
            <w:vAlign w:val="center"/>
          </w:tcPr>
          <w:p w:rsidR="00525419" w:rsidRDefault="00EE1CF7">
            <w:pPr>
              <w:widowControl/>
              <w:spacing w:line="240" w:lineRule="atLeast"/>
              <w:textAlignment w:val="center"/>
              <w:rPr>
                <w:rFonts w:ascii="Times New Roman" w:hAnsi="Times New Roman"/>
                <w:kern w:val="0"/>
                <w:szCs w:val="21"/>
              </w:rPr>
            </w:pPr>
            <w:r>
              <w:rPr>
                <w:rFonts w:ascii="Times New Roman" w:hAnsi="Times New Roman"/>
                <w:bCs/>
                <w:kern w:val="24"/>
                <w:szCs w:val="21"/>
              </w:rPr>
              <w:t>10%/30%</w:t>
            </w:r>
          </w:p>
        </w:tc>
        <w:tc>
          <w:tcPr>
            <w:tcW w:w="2179" w:type="dxa"/>
            <w:tcBorders>
              <w:tl2br w:val="nil"/>
              <w:tr2bl w:val="nil"/>
            </w:tcBorders>
            <w:vAlign w:val="center"/>
          </w:tcPr>
          <w:p w:rsidR="00525419" w:rsidRDefault="00EE1CF7">
            <w:pPr>
              <w:widowControl/>
              <w:spacing w:line="240" w:lineRule="atLeast"/>
              <w:textAlignment w:val="center"/>
              <w:rPr>
                <w:rFonts w:ascii="Times New Roman" w:hAnsi="Times New Roman"/>
                <w:kern w:val="0"/>
                <w:szCs w:val="21"/>
              </w:rPr>
            </w:pPr>
            <w:r>
              <w:rPr>
                <w:rFonts w:ascii="Times New Roman" w:hAnsi="Times New Roman"/>
                <w:bCs/>
                <w:kern w:val="24"/>
                <w:szCs w:val="21"/>
              </w:rPr>
              <w:t>279/327</w:t>
            </w:r>
          </w:p>
        </w:tc>
        <w:tc>
          <w:tcPr>
            <w:tcW w:w="3768" w:type="dxa"/>
            <w:tcBorders>
              <w:tl2br w:val="nil"/>
              <w:tr2bl w:val="nil"/>
            </w:tcBorders>
            <w:vAlign w:val="center"/>
          </w:tcPr>
          <w:p w:rsidR="00525419" w:rsidRDefault="00525419">
            <w:pPr>
              <w:spacing w:line="240" w:lineRule="atLeast"/>
              <w:rPr>
                <w:rFonts w:ascii="Times New Roman" w:hAnsi="Times New Roman"/>
                <w:szCs w:val="21"/>
              </w:rPr>
            </w:pPr>
          </w:p>
        </w:tc>
      </w:tr>
      <w:tr w:rsidR="00525419">
        <w:trPr>
          <w:trHeight w:val="175"/>
          <w:jc w:val="center"/>
        </w:trPr>
        <w:tc>
          <w:tcPr>
            <w:tcW w:w="2492" w:type="dxa"/>
            <w:tcBorders>
              <w:tl2br w:val="nil"/>
              <w:tr2bl w:val="nil"/>
            </w:tcBorders>
            <w:tcMar>
              <w:left w:w="28" w:type="dxa"/>
              <w:right w:w="28" w:type="dxa"/>
            </w:tcMar>
            <w:vAlign w:val="center"/>
          </w:tcPr>
          <w:p w:rsidR="00525419" w:rsidRDefault="00EE1CF7">
            <w:pPr>
              <w:widowControl/>
              <w:spacing w:line="240" w:lineRule="atLeast"/>
              <w:textAlignment w:val="center"/>
              <w:rPr>
                <w:rFonts w:ascii="Times New Roman" w:hAnsi="Times New Roman"/>
                <w:kern w:val="0"/>
                <w:szCs w:val="21"/>
              </w:rPr>
            </w:pPr>
            <w:r>
              <w:rPr>
                <w:rFonts w:ascii="Times New Roman" w:hAnsi="Times New Roman"/>
                <w:bCs/>
                <w:kern w:val="24"/>
                <w:szCs w:val="21"/>
              </w:rPr>
              <w:t>50%/70%</w:t>
            </w:r>
          </w:p>
        </w:tc>
        <w:tc>
          <w:tcPr>
            <w:tcW w:w="2179" w:type="dxa"/>
            <w:tcBorders>
              <w:tl2br w:val="nil"/>
              <w:tr2bl w:val="nil"/>
            </w:tcBorders>
            <w:vAlign w:val="center"/>
          </w:tcPr>
          <w:p w:rsidR="00525419" w:rsidRDefault="00EE1CF7">
            <w:pPr>
              <w:widowControl/>
              <w:spacing w:line="240" w:lineRule="atLeast"/>
              <w:textAlignment w:val="center"/>
              <w:rPr>
                <w:rFonts w:ascii="Times New Roman" w:hAnsi="Times New Roman"/>
                <w:kern w:val="0"/>
                <w:szCs w:val="21"/>
              </w:rPr>
            </w:pPr>
            <w:r>
              <w:rPr>
                <w:rFonts w:ascii="Times New Roman" w:hAnsi="Times New Roman"/>
                <w:bCs/>
                <w:kern w:val="24"/>
                <w:szCs w:val="21"/>
              </w:rPr>
              <w:t>365/392</w:t>
            </w:r>
          </w:p>
        </w:tc>
        <w:tc>
          <w:tcPr>
            <w:tcW w:w="3768" w:type="dxa"/>
            <w:tcBorders>
              <w:tl2br w:val="nil"/>
              <w:tr2bl w:val="nil"/>
            </w:tcBorders>
            <w:vAlign w:val="center"/>
          </w:tcPr>
          <w:p w:rsidR="00525419" w:rsidRDefault="00525419">
            <w:pPr>
              <w:spacing w:line="240" w:lineRule="atLeast"/>
              <w:rPr>
                <w:rFonts w:ascii="Times New Roman" w:hAnsi="Times New Roman"/>
                <w:szCs w:val="21"/>
              </w:rPr>
            </w:pPr>
          </w:p>
        </w:tc>
      </w:tr>
      <w:tr w:rsidR="00525419">
        <w:trPr>
          <w:trHeight w:val="237"/>
          <w:jc w:val="center"/>
        </w:trPr>
        <w:tc>
          <w:tcPr>
            <w:tcW w:w="2492" w:type="dxa"/>
            <w:tcBorders>
              <w:tl2br w:val="nil"/>
              <w:tr2bl w:val="nil"/>
            </w:tcBorders>
            <w:tcMar>
              <w:left w:w="28" w:type="dxa"/>
              <w:right w:w="28" w:type="dxa"/>
            </w:tcMar>
            <w:vAlign w:val="center"/>
          </w:tcPr>
          <w:p w:rsidR="00525419" w:rsidRDefault="00EE1CF7">
            <w:pPr>
              <w:widowControl/>
              <w:spacing w:line="240" w:lineRule="atLeast"/>
              <w:textAlignment w:val="center"/>
              <w:rPr>
                <w:rFonts w:ascii="Times New Roman" w:hAnsi="Times New Roman"/>
                <w:kern w:val="0"/>
                <w:szCs w:val="21"/>
              </w:rPr>
            </w:pPr>
            <w:r>
              <w:rPr>
                <w:rFonts w:ascii="Times New Roman" w:hAnsi="Times New Roman"/>
                <w:bCs/>
                <w:kern w:val="24"/>
                <w:szCs w:val="21"/>
              </w:rPr>
              <w:t>80%/90%</w:t>
            </w:r>
          </w:p>
        </w:tc>
        <w:tc>
          <w:tcPr>
            <w:tcW w:w="2179" w:type="dxa"/>
            <w:tcBorders>
              <w:tl2br w:val="nil"/>
              <w:tr2bl w:val="nil"/>
            </w:tcBorders>
            <w:vAlign w:val="center"/>
          </w:tcPr>
          <w:p w:rsidR="00525419" w:rsidRDefault="00EE1CF7">
            <w:pPr>
              <w:widowControl/>
              <w:spacing w:line="240" w:lineRule="atLeast"/>
              <w:textAlignment w:val="center"/>
              <w:rPr>
                <w:rFonts w:ascii="Times New Roman" w:hAnsi="Times New Roman"/>
                <w:kern w:val="0"/>
                <w:szCs w:val="21"/>
              </w:rPr>
            </w:pPr>
            <w:r>
              <w:rPr>
                <w:rFonts w:ascii="Times New Roman" w:hAnsi="Times New Roman"/>
                <w:bCs/>
                <w:kern w:val="24"/>
                <w:szCs w:val="21"/>
              </w:rPr>
              <w:t>407/435</w:t>
            </w:r>
          </w:p>
        </w:tc>
        <w:tc>
          <w:tcPr>
            <w:tcW w:w="3768" w:type="dxa"/>
            <w:tcBorders>
              <w:tl2br w:val="nil"/>
              <w:tr2bl w:val="nil"/>
            </w:tcBorders>
            <w:vAlign w:val="center"/>
          </w:tcPr>
          <w:p w:rsidR="00525419" w:rsidRDefault="00525419">
            <w:pPr>
              <w:spacing w:line="240" w:lineRule="atLeast"/>
              <w:rPr>
                <w:rFonts w:ascii="Times New Roman" w:hAnsi="Times New Roman"/>
                <w:szCs w:val="21"/>
              </w:rPr>
            </w:pPr>
          </w:p>
        </w:tc>
      </w:tr>
      <w:tr w:rsidR="00525419">
        <w:trPr>
          <w:trHeight w:val="115"/>
          <w:jc w:val="center"/>
        </w:trPr>
        <w:tc>
          <w:tcPr>
            <w:tcW w:w="2492" w:type="dxa"/>
            <w:tcBorders>
              <w:tl2br w:val="nil"/>
              <w:tr2bl w:val="nil"/>
            </w:tcBorders>
            <w:tcMar>
              <w:left w:w="28" w:type="dxa"/>
              <w:right w:w="28" w:type="dxa"/>
            </w:tcMar>
            <w:vAlign w:val="center"/>
          </w:tcPr>
          <w:p w:rsidR="00525419" w:rsidRDefault="00EE1CF7">
            <w:pPr>
              <w:widowControl/>
              <w:spacing w:line="240" w:lineRule="atLeast"/>
              <w:textAlignment w:val="center"/>
              <w:rPr>
                <w:rFonts w:ascii="Times New Roman" w:hAnsi="Times New Roman"/>
                <w:kern w:val="0"/>
                <w:szCs w:val="21"/>
              </w:rPr>
            </w:pPr>
            <w:r>
              <w:rPr>
                <w:rFonts w:ascii="Times New Roman" w:hAnsi="Times New Roman"/>
                <w:bCs/>
                <w:kern w:val="24"/>
                <w:szCs w:val="21"/>
              </w:rPr>
              <w:t>95%/FBP</w:t>
            </w:r>
          </w:p>
        </w:tc>
        <w:tc>
          <w:tcPr>
            <w:tcW w:w="2179" w:type="dxa"/>
            <w:tcBorders>
              <w:tl2br w:val="nil"/>
              <w:tr2bl w:val="nil"/>
            </w:tcBorders>
            <w:vAlign w:val="center"/>
          </w:tcPr>
          <w:p w:rsidR="00525419" w:rsidRDefault="00EE1CF7">
            <w:pPr>
              <w:widowControl/>
              <w:spacing w:line="240" w:lineRule="atLeast"/>
              <w:textAlignment w:val="center"/>
              <w:rPr>
                <w:rFonts w:ascii="Times New Roman" w:hAnsi="Times New Roman"/>
                <w:kern w:val="0"/>
                <w:szCs w:val="21"/>
              </w:rPr>
            </w:pPr>
            <w:r>
              <w:rPr>
                <w:rFonts w:ascii="Times New Roman" w:hAnsi="Times New Roman"/>
                <w:bCs/>
                <w:kern w:val="24"/>
                <w:szCs w:val="21"/>
              </w:rPr>
              <w:t>471/-</w:t>
            </w:r>
          </w:p>
        </w:tc>
        <w:tc>
          <w:tcPr>
            <w:tcW w:w="3768" w:type="dxa"/>
            <w:tcBorders>
              <w:tl2br w:val="nil"/>
              <w:tr2bl w:val="nil"/>
            </w:tcBorders>
            <w:vAlign w:val="center"/>
          </w:tcPr>
          <w:p w:rsidR="00525419" w:rsidRDefault="00525419">
            <w:pPr>
              <w:spacing w:line="240" w:lineRule="atLeast"/>
              <w:rPr>
                <w:rFonts w:ascii="Times New Roman" w:hAnsi="Times New Roman"/>
                <w:szCs w:val="21"/>
              </w:rPr>
            </w:pPr>
          </w:p>
        </w:tc>
      </w:tr>
    </w:tbl>
    <w:p w:rsidR="00525419" w:rsidRDefault="00525419">
      <w:pPr>
        <w:jc w:val="center"/>
        <w:rPr>
          <w:rFonts w:ascii="Times New Roman" w:eastAsia="黑体" w:hAnsi="Times New Roman"/>
        </w:rPr>
      </w:pPr>
    </w:p>
    <w:p w:rsidR="00525419" w:rsidRDefault="00EE1CF7">
      <w:pPr>
        <w:jc w:val="center"/>
        <w:rPr>
          <w:rFonts w:ascii="Times New Roman" w:eastAsia="黑体" w:hAnsi="Times New Roman"/>
        </w:rPr>
      </w:pPr>
      <w:r>
        <w:rPr>
          <w:rFonts w:ascii="Times New Roman" w:eastAsia="黑体" w:hAnsi="Times New Roman"/>
        </w:rPr>
        <w:t>表</w:t>
      </w:r>
      <w:r>
        <w:rPr>
          <w:rFonts w:ascii="Times New Roman" w:eastAsia="黑体" w:hAnsi="Times New Roman"/>
        </w:rPr>
        <w:t xml:space="preserve">3.3-16    </w:t>
      </w:r>
      <w:r>
        <w:rPr>
          <w:rFonts w:ascii="Times New Roman" w:eastAsia="黑体" w:hAnsi="Times New Roman"/>
        </w:rPr>
        <w:t>天然气规格</w:t>
      </w:r>
    </w:p>
    <w:tbl>
      <w:tblPr>
        <w:tblW w:w="85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277"/>
        <w:gridCol w:w="3470"/>
        <w:gridCol w:w="2773"/>
      </w:tblGrid>
      <w:tr w:rsidR="00525419">
        <w:trPr>
          <w:trHeight w:val="153"/>
          <w:tblHeader/>
          <w:jc w:val="center"/>
        </w:trPr>
        <w:tc>
          <w:tcPr>
            <w:tcW w:w="2277"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t>序号</w:t>
            </w:r>
          </w:p>
        </w:tc>
        <w:tc>
          <w:tcPr>
            <w:tcW w:w="3470"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t>项目</w:t>
            </w:r>
          </w:p>
        </w:tc>
        <w:tc>
          <w:tcPr>
            <w:tcW w:w="2773"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t>含量</w:t>
            </w:r>
            <w:r>
              <w:rPr>
                <w:rFonts w:ascii="Times New Roman" w:hAnsi="Times New Roman"/>
                <w:szCs w:val="21"/>
              </w:rPr>
              <w:t>%</w:t>
            </w:r>
            <w:r>
              <w:rPr>
                <w:rFonts w:ascii="Times New Roman" w:hAnsi="Times New Roman"/>
                <w:szCs w:val="21"/>
              </w:rPr>
              <w:t>（体积）</w:t>
            </w:r>
          </w:p>
        </w:tc>
      </w:tr>
      <w:tr w:rsidR="00525419">
        <w:trPr>
          <w:trHeight w:val="65"/>
          <w:jc w:val="center"/>
        </w:trPr>
        <w:tc>
          <w:tcPr>
            <w:tcW w:w="2277"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lastRenderedPageBreak/>
              <w:t>1</w:t>
            </w:r>
          </w:p>
        </w:tc>
        <w:tc>
          <w:tcPr>
            <w:tcW w:w="3470"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t>CH</w:t>
            </w:r>
            <w:r>
              <w:rPr>
                <w:rFonts w:ascii="Times New Roman" w:hAnsi="Times New Roman"/>
                <w:szCs w:val="21"/>
                <w:vertAlign w:val="subscript"/>
              </w:rPr>
              <w:t>4</w:t>
            </w:r>
          </w:p>
        </w:tc>
        <w:tc>
          <w:tcPr>
            <w:tcW w:w="2773"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t>86.90</w:t>
            </w:r>
          </w:p>
        </w:tc>
      </w:tr>
      <w:tr w:rsidR="00525419">
        <w:trPr>
          <w:trHeight w:val="336"/>
          <w:jc w:val="center"/>
        </w:trPr>
        <w:tc>
          <w:tcPr>
            <w:tcW w:w="2277"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t>2</w:t>
            </w:r>
          </w:p>
        </w:tc>
        <w:tc>
          <w:tcPr>
            <w:tcW w:w="3470"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t>C</w:t>
            </w:r>
            <w:r>
              <w:rPr>
                <w:rFonts w:ascii="Times New Roman" w:hAnsi="Times New Roman"/>
                <w:szCs w:val="21"/>
                <w:vertAlign w:val="subscript"/>
              </w:rPr>
              <w:t>2</w:t>
            </w:r>
            <w:r>
              <w:rPr>
                <w:rFonts w:ascii="Times New Roman" w:hAnsi="Times New Roman"/>
                <w:szCs w:val="21"/>
              </w:rPr>
              <w:t>H</w:t>
            </w:r>
            <w:r>
              <w:rPr>
                <w:rFonts w:ascii="Times New Roman" w:hAnsi="Times New Roman"/>
                <w:szCs w:val="21"/>
                <w:vertAlign w:val="subscript"/>
              </w:rPr>
              <w:t>6</w:t>
            </w:r>
          </w:p>
        </w:tc>
        <w:tc>
          <w:tcPr>
            <w:tcW w:w="2773"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t>9.21</w:t>
            </w:r>
          </w:p>
        </w:tc>
      </w:tr>
      <w:tr w:rsidR="00525419">
        <w:trPr>
          <w:trHeight w:val="336"/>
          <w:jc w:val="center"/>
        </w:trPr>
        <w:tc>
          <w:tcPr>
            <w:tcW w:w="2277"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t>3</w:t>
            </w:r>
          </w:p>
        </w:tc>
        <w:tc>
          <w:tcPr>
            <w:tcW w:w="3470"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t>C</w:t>
            </w:r>
            <w:r>
              <w:rPr>
                <w:rFonts w:ascii="Times New Roman" w:hAnsi="Times New Roman"/>
                <w:szCs w:val="21"/>
                <w:vertAlign w:val="subscript"/>
              </w:rPr>
              <w:t>3</w:t>
            </w:r>
            <w:r>
              <w:rPr>
                <w:rFonts w:ascii="Times New Roman" w:hAnsi="Times New Roman"/>
                <w:szCs w:val="21"/>
              </w:rPr>
              <w:t>H</w:t>
            </w:r>
            <w:r>
              <w:rPr>
                <w:rFonts w:ascii="Times New Roman" w:hAnsi="Times New Roman"/>
                <w:szCs w:val="21"/>
                <w:vertAlign w:val="subscript"/>
              </w:rPr>
              <w:t>8</w:t>
            </w:r>
          </w:p>
        </w:tc>
        <w:tc>
          <w:tcPr>
            <w:tcW w:w="2773"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t>0.26</w:t>
            </w:r>
          </w:p>
        </w:tc>
      </w:tr>
      <w:tr w:rsidR="00525419">
        <w:trPr>
          <w:trHeight w:val="336"/>
          <w:jc w:val="center"/>
        </w:trPr>
        <w:tc>
          <w:tcPr>
            <w:tcW w:w="2277"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t>4</w:t>
            </w:r>
          </w:p>
        </w:tc>
        <w:tc>
          <w:tcPr>
            <w:tcW w:w="3470"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t>CO</w:t>
            </w:r>
            <w:r>
              <w:rPr>
                <w:rFonts w:ascii="Times New Roman" w:hAnsi="Times New Roman"/>
                <w:szCs w:val="21"/>
                <w:vertAlign w:val="subscript"/>
              </w:rPr>
              <w:t>2</w:t>
            </w:r>
          </w:p>
        </w:tc>
        <w:tc>
          <w:tcPr>
            <w:tcW w:w="2773"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t>0.23</w:t>
            </w:r>
          </w:p>
        </w:tc>
      </w:tr>
      <w:tr w:rsidR="00525419">
        <w:trPr>
          <w:trHeight w:val="336"/>
          <w:jc w:val="center"/>
        </w:trPr>
        <w:tc>
          <w:tcPr>
            <w:tcW w:w="2277"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t>5</w:t>
            </w:r>
          </w:p>
        </w:tc>
        <w:tc>
          <w:tcPr>
            <w:tcW w:w="3470"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t>N</w:t>
            </w:r>
            <w:r>
              <w:rPr>
                <w:rFonts w:ascii="Times New Roman" w:hAnsi="Times New Roman"/>
                <w:szCs w:val="21"/>
                <w:vertAlign w:val="subscript"/>
              </w:rPr>
              <w:t>2</w:t>
            </w:r>
          </w:p>
        </w:tc>
        <w:tc>
          <w:tcPr>
            <w:tcW w:w="2773"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t>3.4</w:t>
            </w:r>
          </w:p>
        </w:tc>
      </w:tr>
      <w:tr w:rsidR="00525419">
        <w:trPr>
          <w:trHeight w:val="336"/>
          <w:jc w:val="center"/>
        </w:trPr>
        <w:tc>
          <w:tcPr>
            <w:tcW w:w="2277"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t>6</w:t>
            </w:r>
          </w:p>
        </w:tc>
        <w:tc>
          <w:tcPr>
            <w:tcW w:w="3470"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t>总硫</w:t>
            </w:r>
          </w:p>
        </w:tc>
        <w:tc>
          <w:tcPr>
            <w:tcW w:w="2773"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t>4.3mg/Nm</w:t>
            </w:r>
            <w:r>
              <w:rPr>
                <w:rFonts w:ascii="Times New Roman" w:hAnsi="Times New Roman"/>
                <w:szCs w:val="21"/>
                <w:vertAlign w:val="superscript"/>
              </w:rPr>
              <w:t>3</w:t>
            </w:r>
          </w:p>
        </w:tc>
      </w:tr>
      <w:tr w:rsidR="00525419">
        <w:trPr>
          <w:trHeight w:val="242"/>
          <w:jc w:val="center"/>
        </w:trPr>
        <w:tc>
          <w:tcPr>
            <w:tcW w:w="2277"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t>7</w:t>
            </w:r>
          </w:p>
        </w:tc>
        <w:tc>
          <w:tcPr>
            <w:tcW w:w="3470"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t>硫化氢</w:t>
            </w:r>
          </w:p>
        </w:tc>
        <w:tc>
          <w:tcPr>
            <w:tcW w:w="2773"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t>0.27mg/Nm</w:t>
            </w:r>
            <w:r>
              <w:rPr>
                <w:rFonts w:ascii="Times New Roman" w:hAnsi="Times New Roman"/>
                <w:szCs w:val="21"/>
                <w:vertAlign w:val="superscript"/>
              </w:rPr>
              <w:t>3</w:t>
            </w:r>
          </w:p>
        </w:tc>
      </w:tr>
      <w:tr w:rsidR="00525419">
        <w:trPr>
          <w:trHeight w:val="336"/>
          <w:jc w:val="center"/>
        </w:trPr>
        <w:tc>
          <w:tcPr>
            <w:tcW w:w="2277"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t>8</w:t>
            </w:r>
          </w:p>
        </w:tc>
        <w:tc>
          <w:tcPr>
            <w:tcW w:w="3470"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O</w:t>
            </w:r>
          </w:p>
        </w:tc>
        <w:tc>
          <w:tcPr>
            <w:tcW w:w="2773"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t>压力露点</w:t>
            </w:r>
            <w:r>
              <w:rPr>
                <w:rFonts w:ascii="Times New Roman" w:hAnsi="Times New Roman"/>
                <w:szCs w:val="21"/>
              </w:rPr>
              <w:t>-39℃</w:t>
            </w:r>
          </w:p>
        </w:tc>
      </w:tr>
      <w:tr w:rsidR="00525419">
        <w:trPr>
          <w:trHeight w:val="65"/>
          <w:jc w:val="center"/>
        </w:trPr>
        <w:tc>
          <w:tcPr>
            <w:tcW w:w="2277"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t>9</w:t>
            </w:r>
          </w:p>
        </w:tc>
        <w:tc>
          <w:tcPr>
            <w:tcW w:w="3470"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t>温度，</w:t>
            </w:r>
            <w:r>
              <w:rPr>
                <w:rFonts w:ascii="Times New Roman" w:hAnsi="Times New Roman"/>
                <w:szCs w:val="21"/>
              </w:rPr>
              <w:t>℃</w:t>
            </w:r>
          </w:p>
        </w:tc>
        <w:tc>
          <w:tcPr>
            <w:tcW w:w="2773"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t>常温</w:t>
            </w:r>
          </w:p>
        </w:tc>
      </w:tr>
      <w:tr w:rsidR="00525419">
        <w:trPr>
          <w:trHeight w:val="197"/>
          <w:jc w:val="center"/>
        </w:trPr>
        <w:tc>
          <w:tcPr>
            <w:tcW w:w="2277"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t>10</w:t>
            </w:r>
          </w:p>
        </w:tc>
        <w:tc>
          <w:tcPr>
            <w:tcW w:w="3470"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t>压力，</w:t>
            </w:r>
            <w:r>
              <w:rPr>
                <w:rFonts w:ascii="Times New Roman" w:hAnsi="Times New Roman"/>
                <w:szCs w:val="21"/>
              </w:rPr>
              <w:t>MPa.G</w:t>
            </w:r>
          </w:p>
        </w:tc>
        <w:tc>
          <w:tcPr>
            <w:tcW w:w="2773" w:type="dxa"/>
            <w:tcBorders>
              <w:tl2br w:val="nil"/>
              <w:tr2bl w:val="nil"/>
            </w:tcBorders>
            <w:vAlign w:val="center"/>
          </w:tcPr>
          <w:p w:rsidR="00525419" w:rsidRDefault="00EE1CF7">
            <w:pPr>
              <w:adjustRightInd w:val="0"/>
              <w:snapToGrid w:val="0"/>
              <w:spacing w:line="240" w:lineRule="atLeast"/>
              <w:jc w:val="center"/>
              <w:rPr>
                <w:rFonts w:ascii="Times New Roman" w:hAnsi="Times New Roman"/>
                <w:szCs w:val="21"/>
              </w:rPr>
            </w:pPr>
            <w:r>
              <w:rPr>
                <w:rFonts w:ascii="Times New Roman" w:hAnsi="Times New Roman"/>
                <w:szCs w:val="21"/>
              </w:rPr>
              <w:t>0.5</w:t>
            </w:r>
          </w:p>
        </w:tc>
      </w:tr>
    </w:tbl>
    <w:p w:rsidR="00525419" w:rsidRDefault="00525419">
      <w:pPr>
        <w:jc w:val="center"/>
        <w:rPr>
          <w:rFonts w:ascii="Times New Roman" w:eastAsia="黑体" w:hAnsi="Times New Roman"/>
        </w:rPr>
      </w:pPr>
    </w:p>
    <w:p w:rsidR="00525419" w:rsidRDefault="00EE1CF7">
      <w:pPr>
        <w:pStyle w:val="4a"/>
        <w:widowControl/>
        <w:adjustRightInd w:val="0"/>
        <w:snapToGrid w:val="0"/>
        <w:spacing w:before="120" w:after="120" w:line="360" w:lineRule="auto"/>
        <w:jc w:val="left"/>
        <w:rPr>
          <w:rFonts w:ascii="Times New Roman" w:hAnsi="Times New Roman" w:cs="Times New Roman"/>
          <w:sz w:val="24"/>
        </w:rPr>
      </w:pPr>
      <w:r>
        <w:rPr>
          <w:rFonts w:ascii="Times New Roman" w:hAnsi="Times New Roman" w:cs="Times New Roman"/>
          <w:kern w:val="44"/>
          <w:sz w:val="24"/>
          <w:szCs w:val="24"/>
        </w:rPr>
        <w:t>3.3.3.3</w:t>
      </w:r>
      <w:r>
        <w:rPr>
          <w:rFonts w:ascii="Times New Roman" w:hAnsi="Times New Roman" w:cs="Times New Roman"/>
          <w:kern w:val="44"/>
          <w:sz w:val="24"/>
          <w:szCs w:val="24"/>
        </w:rPr>
        <w:t>动力耗量</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本项目动力消耗见表</w:t>
      </w:r>
      <w:r>
        <w:rPr>
          <w:rFonts w:ascii="Times New Roman" w:hAnsi="Times New Roman"/>
          <w:sz w:val="24"/>
        </w:rPr>
        <w:t>3.3-17</w:t>
      </w:r>
      <w:r>
        <w:rPr>
          <w:rFonts w:ascii="Times New Roman" w:hAnsi="Times New Roman"/>
          <w:sz w:val="24"/>
        </w:rPr>
        <w:t>。</w:t>
      </w:r>
    </w:p>
    <w:p w:rsidR="00525419" w:rsidRDefault="00EE1CF7">
      <w:pPr>
        <w:spacing w:line="240" w:lineRule="atLeast"/>
        <w:ind w:left="437"/>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pacing w:val="20"/>
          <w:szCs w:val="21"/>
        </w:rPr>
        <w:t>3.3-17</w:t>
      </w:r>
      <w:r>
        <w:rPr>
          <w:rFonts w:ascii="Times New Roman" w:eastAsia="黑体" w:hAnsi="Times New Roman"/>
          <w:szCs w:val="21"/>
        </w:rPr>
        <w:t xml:space="preserve">　项目装置公用工程消耗及能耗表</w:t>
      </w:r>
    </w:p>
    <w:tbl>
      <w:tblPr>
        <w:tblW w:w="8364" w:type="dxa"/>
        <w:tblInd w:w="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620"/>
        <w:gridCol w:w="1074"/>
        <w:gridCol w:w="850"/>
        <w:gridCol w:w="1134"/>
        <w:gridCol w:w="1134"/>
        <w:gridCol w:w="2552"/>
      </w:tblGrid>
      <w:tr w:rsidR="00525419">
        <w:trPr>
          <w:trHeight w:val="310"/>
          <w:tblHeader/>
        </w:trPr>
        <w:tc>
          <w:tcPr>
            <w:tcW w:w="1620"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项目</w:t>
            </w:r>
          </w:p>
        </w:tc>
        <w:tc>
          <w:tcPr>
            <w:tcW w:w="1924"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小时耗量</w:t>
            </w:r>
          </w:p>
        </w:tc>
        <w:tc>
          <w:tcPr>
            <w:tcW w:w="2268"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年耗量</w:t>
            </w:r>
          </w:p>
        </w:tc>
        <w:tc>
          <w:tcPr>
            <w:tcW w:w="2552"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备注</w:t>
            </w:r>
          </w:p>
        </w:tc>
      </w:tr>
      <w:tr w:rsidR="00525419">
        <w:trPr>
          <w:trHeight w:val="153"/>
        </w:trPr>
        <w:tc>
          <w:tcPr>
            <w:tcW w:w="1620" w:type="dxa"/>
            <w:vMerge/>
            <w:tcBorders>
              <w:tl2br w:val="nil"/>
              <w:tr2bl w:val="nil"/>
            </w:tcBorders>
            <w:vAlign w:val="center"/>
          </w:tcPr>
          <w:p w:rsidR="00525419" w:rsidRDefault="00525419">
            <w:pPr>
              <w:rPr>
                <w:rFonts w:ascii="Times New Roman" w:hAnsi="Times New Roman"/>
                <w:szCs w:val="21"/>
              </w:rPr>
            </w:pPr>
          </w:p>
        </w:tc>
        <w:tc>
          <w:tcPr>
            <w:tcW w:w="1074"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单位</w:t>
            </w:r>
          </w:p>
        </w:tc>
        <w:tc>
          <w:tcPr>
            <w:tcW w:w="85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数量</w:t>
            </w:r>
          </w:p>
        </w:tc>
        <w:tc>
          <w:tcPr>
            <w:tcW w:w="1134"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单位</w:t>
            </w:r>
          </w:p>
        </w:tc>
        <w:tc>
          <w:tcPr>
            <w:tcW w:w="1134"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数量</w:t>
            </w:r>
          </w:p>
        </w:tc>
        <w:tc>
          <w:tcPr>
            <w:tcW w:w="2552" w:type="dxa"/>
            <w:tcBorders>
              <w:tl2br w:val="nil"/>
              <w:tr2bl w:val="nil"/>
            </w:tcBorders>
            <w:vAlign w:val="center"/>
          </w:tcPr>
          <w:p w:rsidR="00525419" w:rsidRDefault="00525419">
            <w:pPr>
              <w:rPr>
                <w:rFonts w:ascii="Times New Roman" w:hAnsi="Times New Roman"/>
                <w:szCs w:val="21"/>
              </w:rPr>
            </w:pPr>
          </w:p>
        </w:tc>
      </w:tr>
      <w:tr w:rsidR="00525419">
        <w:trPr>
          <w:trHeight w:val="285"/>
        </w:trPr>
        <w:tc>
          <w:tcPr>
            <w:tcW w:w="1620" w:type="dxa"/>
            <w:tcBorders>
              <w:tl2br w:val="nil"/>
              <w:tr2bl w:val="nil"/>
            </w:tcBorders>
            <w:vAlign w:val="center"/>
          </w:tcPr>
          <w:p w:rsidR="00525419" w:rsidRDefault="00EE1CF7">
            <w:pPr>
              <w:rPr>
                <w:rFonts w:ascii="Times New Roman" w:hAnsi="Times New Roman"/>
                <w:szCs w:val="21"/>
              </w:rPr>
            </w:pPr>
            <w:bookmarkStart w:id="56" w:name="_Hlk419202251"/>
            <w:r>
              <w:rPr>
                <w:rFonts w:ascii="Times New Roman" w:hAnsi="Times New Roman"/>
                <w:szCs w:val="21"/>
              </w:rPr>
              <w:t>新鲜水</w:t>
            </w:r>
          </w:p>
        </w:tc>
        <w:tc>
          <w:tcPr>
            <w:tcW w:w="1074"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/h</w:t>
            </w:r>
          </w:p>
        </w:tc>
        <w:tc>
          <w:tcPr>
            <w:tcW w:w="850" w:type="dxa"/>
            <w:tcBorders>
              <w:tl2br w:val="nil"/>
              <w:tr2bl w:val="nil"/>
            </w:tcBorders>
            <w:vAlign w:val="center"/>
          </w:tcPr>
          <w:p w:rsidR="00525419" w:rsidRDefault="00EE1CF7">
            <w:pPr>
              <w:rPr>
                <w:rFonts w:ascii="Times New Roman" w:hAnsi="Times New Roman"/>
                <w:szCs w:val="21"/>
              </w:rPr>
            </w:pPr>
            <w:r>
              <w:rPr>
                <w:rFonts w:ascii="Times New Roman" w:hAnsi="Times New Roman" w:hint="eastAsia"/>
                <w:szCs w:val="21"/>
              </w:rPr>
              <w:t>50.65</w:t>
            </w:r>
          </w:p>
        </w:tc>
        <w:tc>
          <w:tcPr>
            <w:tcW w:w="1134"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10</w:t>
            </w:r>
            <w:r>
              <w:rPr>
                <w:rFonts w:ascii="Times New Roman" w:hAnsi="Times New Roman"/>
                <w:szCs w:val="21"/>
                <w:vertAlign w:val="superscript"/>
              </w:rPr>
              <w:t>4</w:t>
            </w:r>
            <w:r>
              <w:rPr>
                <w:rFonts w:ascii="Times New Roman" w:hAnsi="Times New Roman"/>
                <w:szCs w:val="21"/>
              </w:rPr>
              <w:t>t</w:t>
            </w:r>
          </w:p>
        </w:tc>
        <w:tc>
          <w:tcPr>
            <w:tcW w:w="1134" w:type="dxa"/>
            <w:tcBorders>
              <w:tl2br w:val="nil"/>
              <w:tr2bl w:val="nil"/>
            </w:tcBorders>
            <w:vAlign w:val="center"/>
          </w:tcPr>
          <w:p w:rsidR="00525419" w:rsidRDefault="00EE1CF7">
            <w:pPr>
              <w:rPr>
                <w:rFonts w:ascii="Times New Roman" w:hAnsi="Times New Roman"/>
                <w:szCs w:val="21"/>
              </w:rPr>
            </w:pPr>
            <w:r>
              <w:rPr>
                <w:rFonts w:ascii="Times New Roman" w:hAnsi="Times New Roman" w:hint="eastAsia"/>
                <w:szCs w:val="21"/>
              </w:rPr>
              <w:t>40.52</w:t>
            </w:r>
          </w:p>
        </w:tc>
        <w:tc>
          <w:tcPr>
            <w:tcW w:w="2552" w:type="dxa"/>
            <w:tcBorders>
              <w:tl2br w:val="nil"/>
              <w:tr2bl w:val="nil"/>
            </w:tcBorders>
            <w:vAlign w:val="center"/>
          </w:tcPr>
          <w:p w:rsidR="00525419" w:rsidRDefault="00525419">
            <w:pPr>
              <w:rPr>
                <w:rFonts w:ascii="Times New Roman" w:hAnsi="Times New Roman"/>
                <w:szCs w:val="21"/>
              </w:rPr>
            </w:pPr>
          </w:p>
        </w:tc>
      </w:tr>
      <w:tr w:rsidR="00525419">
        <w:trPr>
          <w:trHeight w:val="260"/>
        </w:trPr>
        <w:tc>
          <w:tcPr>
            <w:tcW w:w="162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电</w:t>
            </w:r>
          </w:p>
        </w:tc>
        <w:tc>
          <w:tcPr>
            <w:tcW w:w="1074"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KWh</w:t>
            </w:r>
          </w:p>
        </w:tc>
        <w:tc>
          <w:tcPr>
            <w:tcW w:w="850" w:type="dxa"/>
            <w:tcBorders>
              <w:tl2br w:val="nil"/>
              <w:tr2bl w:val="nil"/>
            </w:tcBorders>
            <w:vAlign w:val="center"/>
          </w:tcPr>
          <w:p w:rsidR="00525419" w:rsidRDefault="00525419">
            <w:pPr>
              <w:rPr>
                <w:rFonts w:ascii="Times New Roman" w:hAnsi="Times New Roman"/>
                <w:szCs w:val="21"/>
              </w:rPr>
            </w:pPr>
          </w:p>
        </w:tc>
        <w:tc>
          <w:tcPr>
            <w:tcW w:w="1134"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10</w:t>
            </w:r>
            <w:r>
              <w:rPr>
                <w:rFonts w:ascii="Times New Roman" w:hAnsi="Times New Roman"/>
                <w:szCs w:val="21"/>
                <w:vertAlign w:val="superscript"/>
              </w:rPr>
              <w:t>4</w:t>
            </w:r>
            <w:r>
              <w:rPr>
                <w:rFonts w:ascii="Times New Roman" w:hAnsi="Times New Roman"/>
                <w:szCs w:val="21"/>
              </w:rPr>
              <w:t>kWh</w:t>
            </w:r>
          </w:p>
        </w:tc>
        <w:tc>
          <w:tcPr>
            <w:tcW w:w="1134"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10760</w:t>
            </w:r>
          </w:p>
        </w:tc>
        <w:tc>
          <w:tcPr>
            <w:tcW w:w="2552" w:type="dxa"/>
            <w:tcBorders>
              <w:tl2br w:val="nil"/>
              <w:tr2bl w:val="nil"/>
            </w:tcBorders>
            <w:vAlign w:val="center"/>
          </w:tcPr>
          <w:p w:rsidR="00525419" w:rsidRDefault="00525419">
            <w:pPr>
              <w:rPr>
                <w:rFonts w:ascii="Times New Roman" w:hAnsi="Times New Roman"/>
                <w:szCs w:val="21"/>
              </w:rPr>
            </w:pPr>
          </w:p>
        </w:tc>
      </w:tr>
      <w:tr w:rsidR="00525419">
        <w:trPr>
          <w:trHeight w:val="237"/>
        </w:trPr>
        <w:tc>
          <w:tcPr>
            <w:tcW w:w="162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循环水</w:t>
            </w:r>
          </w:p>
        </w:tc>
        <w:tc>
          <w:tcPr>
            <w:tcW w:w="1074"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/h</w:t>
            </w:r>
          </w:p>
        </w:tc>
        <w:tc>
          <w:tcPr>
            <w:tcW w:w="85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907</w:t>
            </w:r>
          </w:p>
        </w:tc>
        <w:tc>
          <w:tcPr>
            <w:tcW w:w="1134"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10</w:t>
            </w:r>
            <w:r>
              <w:rPr>
                <w:rFonts w:ascii="Times New Roman" w:hAnsi="Times New Roman"/>
                <w:szCs w:val="21"/>
                <w:vertAlign w:val="superscript"/>
              </w:rPr>
              <w:t>4</w:t>
            </w:r>
            <w:r>
              <w:rPr>
                <w:rFonts w:ascii="Times New Roman" w:hAnsi="Times New Roman"/>
                <w:szCs w:val="21"/>
              </w:rPr>
              <w:t>t</w:t>
            </w:r>
          </w:p>
        </w:tc>
        <w:tc>
          <w:tcPr>
            <w:tcW w:w="1134"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725.6</w:t>
            </w:r>
          </w:p>
        </w:tc>
        <w:tc>
          <w:tcPr>
            <w:tcW w:w="2552" w:type="dxa"/>
            <w:tcBorders>
              <w:tl2br w:val="nil"/>
              <w:tr2bl w:val="nil"/>
            </w:tcBorders>
            <w:vAlign w:val="center"/>
          </w:tcPr>
          <w:p w:rsidR="00525419" w:rsidRDefault="00525419">
            <w:pPr>
              <w:rPr>
                <w:rFonts w:ascii="Times New Roman" w:hAnsi="Times New Roman"/>
                <w:szCs w:val="21"/>
              </w:rPr>
            </w:pPr>
          </w:p>
        </w:tc>
      </w:tr>
      <w:tr w:rsidR="00525419">
        <w:trPr>
          <w:trHeight w:val="240"/>
        </w:trPr>
        <w:tc>
          <w:tcPr>
            <w:tcW w:w="162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除盐水</w:t>
            </w:r>
          </w:p>
        </w:tc>
        <w:tc>
          <w:tcPr>
            <w:tcW w:w="1074"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/h</w:t>
            </w:r>
          </w:p>
        </w:tc>
        <w:tc>
          <w:tcPr>
            <w:tcW w:w="850" w:type="dxa"/>
            <w:tcBorders>
              <w:tl2br w:val="nil"/>
              <w:tr2bl w:val="nil"/>
            </w:tcBorders>
            <w:vAlign w:val="center"/>
          </w:tcPr>
          <w:p w:rsidR="00525419" w:rsidRDefault="00EE1CF7">
            <w:pPr>
              <w:rPr>
                <w:rFonts w:ascii="Times New Roman" w:hAnsi="Times New Roman"/>
                <w:szCs w:val="21"/>
              </w:rPr>
            </w:pPr>
            <w:r>
              <w:rPr>
                <w:rFonts w:ascii="Times New Roman" w:hAnsi="Times New Roman" w:hint="eastAsia"/>
                <w:szCs w:val="21"/>
              </w:rPr>
              <w:t>43</w:t>
            </w:r>
          </w:p>
        </w:tc>
        <w:tc>
          <w:tcPr>
            <w:tcW w:w="1134" w:type="dxa"/>
            <w:tcBorders>
              <w:tl2br w:val="nil"/>
              <w:tr2bl w:val="nil"/>
            </w:tcBorders>
            <w:vAlign w:val="center"/>
          </w:tcPr>
          <w:p w:rsidR="00525419" w:rsidRDefault="00EE1CF7">
            <w:pPr>
              <w:rPr>
                <w:rFonts w:ascii="Times New Roman" w:hAnsi="Times New Roman"/>
                <w:szCs w:val="21"/>
              </w:rPr>
            </w:pPr>
            <w:r>
              <w:rPr>
                <w:rFonts w:ascii="Times New Roman" w:hAnsi="Times New Roman" w:hint="eastAsia"/>
                <w:szCs w:val="21"/>
              </w:rPr>
              <w:t>34.4</w:t>
            </w:r>
          </w:p>
        </w:tc>
        <w:tc>
          <w:tcPr>
            <w:tcW w:w="1134" w:type="dxa"/>
            <w:tcBorders>
              <w:tl2br w:val="nil"/>
              <w:tr2bl w:val="nil"/>
            </w:tcBorders>
            <w:vAlign w:val="center"/>
          </w:tcPr>
          <w:p w:rsidR="00525419" w:rsidRDefault="00525419">
            <w:pPr>
              <w:rPr>
                <w:rFonts w:ascii="Times New Roman" w:hAnsi="Times New Roman"/>
                <w:szCs w:val="21"/>
              </w:rPr>
            </w:pPr>
          </w:p>
        </w:tc>
        <w:tc>
          <w:tcPr>
            <w:tcW w:w="2552" w:type="dxa"/>
            <w:tcBorders>
              <w:tl2br w:val="nil"/>
              <w:tr2bl w:val="nil"/>
            </w:tcBorders>
            <w:vAlign w:val="center"/>
          </w:tcPr>
          <w:p w:rsidR="00525419" w:rsidRDefault="00525419">
            <w:pPr>
              <w:rPr>
                <w:rFonts w:ascii="Times New Roman" w:hAnsi="Times New Roman"/>
                <w:szCs w:val="21"/>
              </w:rPr>
            </w:pPr>
          </w:p>
        </w:tc>
      </w:tr>
      <w:tr w:rsidR="00525419">
        <w:trPr>
          <w:trHeight w:val="224"/>
        </w:trPr>
        <w:tc>
          <w:tcPr>
            <w:tcW w:w="162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净化压缩空气</w:t>
            </w:r>
          </w:p>
        </w:tc>
        <w:tc>
          <w:tcPr>
            <w:tcW w:w="1074"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Nm³/h</w:t>
            </w:r>
          </w:p>
        </w:tc>
        <w:tc>
          <w:tcPr>
            <w:tcW w:w="85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6908</w:t>
            </w:r>
          </w:p>
        </w:tc>
        <w:tc>
          <w:tcPr>
            <w:tcW w:w="1134"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10</w:t>
            </w:r>
            <w:r>
              <w:rPr>
                <w:rFonts w:ascii="Times New Roman" w:hAnsi="Times New Roman"/>
                <w:szCs w:val="21"/>
                <w:vertAlign w:val="superscript"/>
              </w:rPr>
              <w:t>4</w:t>
            </w:r>
            <w:r>
              <w:rPr>
                <w:rFonts w:ascii="Times New Roman" w:hAnsi="Times New Roman"/>
                <w:szCs w:val="21"/>
              </w:rPr>
              <w:t>Nm³</w:t>
            </w:r>
          </w:p>
        </w:tc>
        <w:tc>
          <w:tcPr>
            <w:tcW w:w="1134"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5526.144</w:t>
            </w:r>
          </w:p>
        </w:tc>
        <w:tc>
          <w:tcPr>
            <w:tcW w:w="2552" w:type="dxa"/>
            <w:tcBorders>
              <w:tl2br w:val="nil"/>
              <w:tr2bl w:val="nil"/>
            </w:tcBorders>
            <w:vAlign w:val="center"/>
          </w:tcPr>
          <w:p w:rsidR="00525419" w:rsidRDefault="00525419">
            <w:pPr>
              <w:rPr>
                <w:rFonts w:ascii="Times New Roman" w:hAnsi="Times New Roman"/>
                <w:szCs w:val="21"/>
              </w:rPr>
            </w:pPr>
          </w:p>
        </w:tc>
      </w:tr>
      <w:tr w:rsidR="00525419">
        <w:trPr>
          <w:trHeight w:val="300"/>
        </w:trPr>
        <w:tc>
          <w:tcPr>
            <w:tcW w:w="162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氮气</w:t>
            </w:r>
          </w:p>
        </w:tc>
        <w:tc>
          <w:tcPr>
            <w:tcW w:w="1074"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Nm³/h</w:t>
            </w:r>
          </w:p>
        </w:tc>
        <w:tc>
          <w:tcPr>
            <w:tcW w:w="85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1250</w:t>
            </w:r>
          </w:p>
        </w:tc>
        <w:tc>
          <w:tcPr>
            <w:tcW w:w="1134"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10</w:t>
            </w:r>
            <w:r>
              <w:rPr>
                <w:rFonts w:ascii="Times New Roman" w:hAnsi="Times New Roman"/>
                <w:szCs w:val="21"/>
                <w:vertAlign w:val="superscript"/>
              </w:rPr>
              <w:t>4</w:t>
            </w:r>
            <w:r>
              <w:rPr>
                <w:rFonts w:ascii="Times New Roman" w:hAnsi="Times New Roman"/>
                <w:szCs w:val="21"/>
              </w:rPr>
              <w:t>Nm³</w:t>
            </w:r>
          </w:p>
        </w:tc>
        <w:tc>
          <w:tcPr>
            <w:tcW w:w="1134"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1000</w:t>
            </w:r>
          </w:p>
        </w:tc>
        <w:tc>
          <w:tcPr>
            <w:tcW w:w="2552" w:type="dxa"/>
            <w:tcBorders>
              <w:tl2br w:val="nil"/>
              <w:tr2bl w:val="nil"/>
            </w:tcBorders>
            <w:vAlign w:val="center"/>
          </w:tcPr>
          <w:p w:rsidR="00525419" w:rsidRDefault="00525419">
            <w:pPr>
              <w:rPr>
                <w:rFonts w:ascii="Times New Roman" w:hAnsi="Times New Roman"/>
                <w:szCs w:val="21"/>
              </w:rPr>
            </w:pPr>
          </w:p>
        </w:tc>
      </w:tr>
      <w:tr w:rsidR="00525419">
        <w:trPr>
          <w:trHeight w:val="241"/>
        </w:trPr>
        <w:tc>
          <w:tcPr>
            <w:tcW w:w="162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燃料气</w:t>
            </w:r>
          </w:p>
        </w:tc>
        <w:tc>
          <w:tcPr>
            <w:tcW w:w="1074"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Nm³/h</w:t>
            </w:r>
          </w:p>
        </w:tc>
        <w:tc>
          <w:tcPr>
            <w:tcW w:w="85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18415</w:t>
            </w:r>
          </w:p>
        </w:tc>
        <w:tc>
          <w:tcPr>
            <w:tcW w:w="1134"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10</w:t>
            </w:r>
            <w:r>
              <w:rPr>
                <w:rFonts w:ascii="Times New Roman" w:hAnsi="Times New Roman"/>
                <w:szCs w:val="21"/>
                <w:vertAlign w:val="superscript"/>
              </w:rPr>
              <w:t>4</w:t>
            </w:r>
            <w:r>
              <w:rPr>
                <w:rFonts w:ascii="Times New Roman" w:hAnsi="Times New Roman"/>
                <w:szCs w:val="21"/>
              </w:rPr>
              <w:t>t</w:t>
            </w:r>
          </w:p>
        </w:tc>
        <w:tc>
          <w:tcPr>
            <w:tcW w:w="1134"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4660</w:t>
            </w:r>
          </w:p>
        </w:tc>
        <w:tc>
          <w:tcPr>
            <w:tcW w:w="2552"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包括解吸气</w:t>
            </w:r>
          </w:p>
        </w:tc>
      </w:tr>
      <w:tr w:rsidR="00525419">
        <w:trPr>
          <w:trHeight w:val="226"/>
        </w:trPr>
        <w:tc>
          <w:tcPr>
            <w:tcW w:w="162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蒸汽</w:t>
            </w:r>
          </w:p>
        </w:tc>
        <w:tc>
          <w:tcPr>
            <w:tcW w:w="1074"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t/h</w:t>
            </w:r>
          </w:p>
        </w:tc>
        <w:tc>
          <w:tcPr>
            <w:tcW w:w="850" w:type="dxa"/>
            <w:tcBorders>
              <w:tl2br w:val="nil"/>
              <w:tr2bl w:val="nil"/>
            </w:tcBorders>
            <w:vAlign w:val="center"/>
          </w:tcPr>
          <w:p w:rsidR="00525419" w:rsidRDefault="00EE1CF7">
            <w:pPr>
              <w:rPr>
                <w:rFonts w:ascii="Times New Roman" w:hAnsi="Times New Roman"/>
                <w:szCs w:val="21"/>
              </w:rPr>
            </w:pPr>
            <w:r>
              <w:rPr>
                <w:rFonts w:ascii="Times New Roman" w:hAnsi="Times New Roman" w:hint="eastAsia"/>
                <w:szCs w:val="21"/>
              </w:rPr>
              <w:t>22.21</w:t>
            </w:r>
          </w:p>
        </w:tc>
        <w:tc>
          <w:tcPr>
            <w:tcW w:w="1134"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10</w:t>
            </w:r>
            <w:r>
              <w:rPr>
                <w:rFonts w:ascii="Times New Roman" w:hAnsi="Times New Roman"/>
                <w:szCs w:val="21"/>
                <w:vertAlign w:val="superscript"/>
              </w:rPr>
              <w:t>4</w:t>
            </w:r>
            <w:r>
              <w:rPr>
                <w:rFonts w:ascii="Times New Roman" w:hAnsi="Times New Roman"/>
                <w:szCs w:val="21"/>
              </w:rPr>
              <w:t>t</w:t>
            </w:r>
          </w:p>
        </w:tc>
        <w:tc>
          <w:tcPr>
            <w:tcW w:w="1134" w:type="dxa"/>
            <w:tcBorders>
              <w:tl2br w:val="nil"/>
              <w:tr2bl w:val="nil"/>
            </w:tcBorders>
            <w:vAlign w:val="center"/>
          </w:tcPr>
          <w:p w:rsidR="00525419" w:rsidRDefault="00EE1CF7">
            <w:pPr>
              <w:rPr>
                <w:rFonts w:ascii="Times New Roman" w:hAnsi="Times New Roman"/>
                <w:szCs w:val="21"/>
              </w:rPr>
            </w:pPr>
            <w:r>
              <w:rPr>
                <w:rFonts w:ascii="Times New Roman" w:hAnsi="Times New Roman" w:hint="eastAsia"/>
                <w:szCs w:val="21"/>
              </w:rPr>
              <w:t>17.768</w:t>
            </w:r>
          </w:p>
        </w:tc>
        <w:tc>
          <w:tcPr>
            <w:tcW w:w="2552" w:type="dxa"/>
            <w:tcBorders>
              <w:tl2br w:val="nil"/>
              <w:tr2bl w:val="nil"/>
            </w:tcBorders>
            <w:vAlign w:val="center"/>
          </w:tcPr>
          <w:p w:rsidR="00525419" w:rsidRDefault="00525419">
            <w:pPr>
              <w:rPr>
                <w:rFonts w:ascii="Times New Roman" w:hAnsi="Times New Roman"/>
                <w:szCs w:val="21"/>
              </w:rPr>
            </w:pPr>
          </w:p>
        </w:tc>
      </w:tr>
    </w:tbl>
    <w:bookmarkEnd w:id="56"/>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3.3.3.4</w:t>
      </w:r>
      <w:r>
        <w:rPr>
          <w:rFonts w:ascii="Times New Roman" w:hAnsi="Times New Roman" w:cs="Times New Roman"/>
          <w:kern w:val="44"/>
          <w:sz w:val="24"/>
          <w:szCs w:val="24"/>
        </w:rPr>
        <w:t>主要原料、辅助材料来源</w:t>
      </w:r>
    </w:p>
    <w:p w:rsidR="00525419" w:rsidRDefault="00EE1CF7">
      <w:pPr>
        <w:adjustRightInd w:val="0"/>
        <w:snapToGrid w:val="0"/>
        <w:spacing w:line="420" w:lineRule="exact"/>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）煤焦油</w:t>
      </w:r>
    </w:p>
    <w:p w:rsidR="00525419" w:rsidRDefault="00EE1CF7">
      <w:pPr>
        <w:adjustRightInd w:val="0"/>
        <w:snapToGrid w:val="0"/>
        <w:spacing w:line="420" w:lineRule="exact"/>
        <w:ind w:firstLineChars="200" w:firstLine="480"/>
        <w:rPr>
          <w:rFonts w:ascii="Times New Roman" w:hAnsi="Times New Roman"/>
          <w:sz w:val="24"/>
        </w:rPr>
      </w:pPr>
      <w:r>
        <w:rPr>
          <w:rFonts w:ascii="Times New Roman" w:hAnsi="Times New Roman"/>
          <w:sz w:val="24"/>
        </w:rPr>
        <w:t>煤焦油主要来源于外购。</w:t>
      </w:r>
    </w:p>
    <w:p w:rsidR="00525419" w:rsidRDefault="00EE1CF7">
      <w:pPr>
        <w:adjustRightInd w:val="0"/>
        <w:snapToGrid w:val="0"/>
        <w:spacing w:line="420" w:lineRule="exact"/>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）天然气</w:t>
      </w:r>
    </w:p>
    <w:p w:rsidR="00525419" w:rsidRDefault="00EE1CF7">
      <w:pPr>
        <w:adjustRightInd w:val="0"/>
        <w:snapToGrid w:val="0"/>
        <w:spacing w:line="420" w:lineRule="exact"/>
        <w:ind w:firstLineChars="200" w:firstLine="480"/>
        <w:rPr>
          <w:rFonts w:ascii="Times New Roman" w:hAnsi="Times New Roman"/>
          <w:sz w:val="24"/>
        </w:rPr>
      </w:pPr>
      <w:r>
        <w:rPr>
          <w:rFonts w:ascii="Times New Roman" w:hAnsi="Times New Roman"/>
          <w:sz w:val="24"/>
        </w:rPr>
        <w:t>天然气由鄯善县新捷燃气有限公司供应。</w:t>
      </w:r>
    </w:p>
    <w:p w:rsidR="00525419" w:rsidRDefault="00EE1CF7">
      <w:pPr>
        <w:spacing w:line="42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）其它原辅材料</w:t>
      </w:r>
    </w:p>
    <w:p w:rsidR="00525419" w:rsidRDefault="00EE1CF7">
      <w:pPr>
        <w:autoSpaceDE w:val="0"/>
        <w:autoSpaceDN w:val="0"/>
        <w:adjustRightInd w:val="0"/>
        <w:spacing w:line="420" w:lineRule="exact"/>
        <w:ind w:firstLineChars="200" w:firstLine="480"/>
        <w:rPr>
          <w:rFonts w:ascii="Times New Roman" w:hAnsi="Times New Roman"/>
          <w:sz w:val="24"/>
          <w:szCs w:val="24"/>
        </w:rPr>
      </w:pPr>
      <w:r>
        <w:rPr>
          <w:rFonts w:ascii="Times New Roman" w:hAnsi="Times New Roman"/>
          <w:sz w:val="24"/>
          <w:szCs w:val="24"/>
        </w:rPr>
        <w:t>其它所需原辅材料均可由国内市场采购，汽车运进厂内库房。</w:t>
      </w:r>
    </w:p>
    <w:p w:rsidR="00525419" w:rsidRDefault="00EE1CF7">
      <w:pPr>
        <w:pStyle w:val="3a"/>
        <w:spacing w:beforeLines="50" w:before="156" w:after="156" w:line="360" w:lineRule="auto"/>
        <w:jc w:val="left"/>
        <w:rPr>
          <w:rFonts w:ascii="Times New Roman" w:eastAsia="华文楷体" w:hAnsi="Times New Roman"/>
        </w:rPr>
      </w:pPr>
      <w:bookmarkStart w:id="57" w:name="_Toc404864575"/>
      <w:r>
        <w:rPr>
          <w:rFonts w:ascii="Times New Roman" w:eastAsia="华文楷体" w:hAnsi="Times New Roman"/>
        </w:rPr>
        <w:t>3.3.4</w:t>
      </w:r>
      <w:r>
        <w:rPr>
          <w:rFonts w:ascii="Times New Roman" w:eastAsia="华文楷体" w:hAnsi="Times New Roman"/>
        </w:rPr>
        <w:t>总平面布置</w:t>
      </w:r>
      <w:bookmarkEnd w:id="57"/>
    </w:p>
    <w:p w:rsidR="00525419" w:rsidRDefault="00EE1CF7">
      <w:pPr>
        <w:pStyle w:val="4a"/>
        <w:widowControl/>
        <w:adjustRightInd w:val="0"/>
        <w:snapToGrid w:val="0"/>
        <w:spacing w:before="0" w:after="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3.3.4.1</w:t>
      </w:r>
      <w:r>
        <w:rPr>
          <w:rFonts w:ascii="Times New Roman" w:hAnsi="Times New Roman" w:cs="Times New Roman"/>
          <w:kern w:val="44"/>
          <w:sz w:val="24"/>
          <w:szCs w:val="24"/>
        </w:rPr>
        <w:t>总平面布置方案</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hint="eastAsia"/>
          <w:sz w:val="24"/>
        </w:rPr>
        <w:t>本项目</w:t>
      </w:r>
      <w:r>
        <w:rPr>
          <w:rFonts w:ascii="Times New Roman" w:hAnsi="Times New Roman"/>
          <w:sz w:val="24"/>
        </w:rPr>
        <w:t>总平面布置按照厂区预留装置位置布置新建工艺装置区（包括煤焦油</w:t>
      </w:r>
      <w:r>
        <w:rPr>
          <w:rFonts w:ascii="Times New Roman" w:hAnsi="Times New Roman"/>
          <w:sz w:val="24"/>
        </w:rPr>
        <w:lastRenderedPageBreak/>
        <w:t>加氢</w:t>
      </w:r>
      <w:r>
        <w:rPr>
          <w:rFonts w:ascii="Times New Roman" w:hAnsi="Times New Roman" w:hint="eastAsia"/>
          <w:sz w:val="24"/>
        </w:rPr>
        <w:t>装置</w:t>
      </w:r>
      <w:r>
        <w:rPr>
          <w:rFonts w:ascii="Times New Roman" w:hAnsi="Times New Roman"/>
          <w:sz w:val="24"/>
        </w:rPr>
        <w:t>、</w:t>
      </w:r>
      <w:r>
        <w:rPr>
          <w:rFonts w:ascii="Times New Roman" w:hAnsi="Times New Roman"/>
          <w:sz w:val="24"/>
        </w:rPr>
        <w:t>25000Nm</w:t>
      </w:r>
      <w:r>
        <w:rPr>
          <w:rFonts w:ascii="Times New Roman" w:hAnsi="Times New Roman"/>
          <w:sz w:val="24"/>
          <w:vertAlign w:val="superscript"/>
        </w:rPr>
        <w:t>3</w:t>
      </w:r>
      <w:r>
        <w:rPr>
          <w:rFonts w:ascii="Times New Roman" w:hAnsi="Times New Roman"/>
          <w:sz w:val="24"/>
        </w:rPr>
        <w:t>/h</w:t>
      </w:r>
      <w:r>
        <w:rPr>
          <w:rFonts w:ascii="Times New Roman" w:hAnsi="Times New Roman"/>
          <w:sz w:val="24"/>
        </w:rPr>
        <w:t>天然气制氢装置、</w:t>
      </w:r>
      <w:r>
        <w:rPr>
          <w:rFonts w:ascii="Times New Roman" w:hAnsi="Times New Roman"/>
          <w:sz w:val="24"/>
        </w:rPr>
        <w:t>1.5</w:t>
      </w:r>
      <w:r>
        <w:rPr>
          <w:rFonts w:ascii="Times New Roman" w:hAnsi="Times New Roman"/>
          <w:sz w:val="24"/>
        </w:rPr>
        <w:t>万吨</w:t>
      </w:r>
      <w:r>
        <w:rPr>
          <w:rFonts w:ascii="Times New Roman" w:hAnsi="Times New Roman"/>
          <w:sz w:val="24"/>
        </w:rPr>
        <w:t>/</w:t>
      </w:r>
      <w:r>
        <w:rPr>
          <w:rFonts w:ascii="Times New Roman" w:hAnsi="Times New Roman"/>
          <w:sz w:val="24"/>
        </w:rPr>
        <w:t>年硫磺回收装置）及新增的公用工程及辅助设施（主要为</w:t>
      </w:r>
      <w:r>
        <w:rPr>
          <w:rFonts w:ascii="Times New Roman" w:hAnsi="Times New Roman" w:hint="eastAsia"/>
          <w:sz w:val="24"/>
        </w:rPr>
        <w:t>新增</w:t>
      </w:r>
      <w:r>
        <w:rPr>
          <w:rFonts w:ascii="Times New Roman" w:hAnsi="Times New Roman"/>
          <w:sz w:val="24"/>
        </w:rPr>
        <w:t>100t/h</w:t>
      </w:r>
      <w:r>
        <w:rPr>
          <w:rFonts w:ascii="Times New Roman" w:hAnsi="Times New Roman"/>
          <w:sz w:val="24"/>
        </w:rPr>
        <w:t>除盐水站、</w:t>
      </w:r>
      <w:r>
        <w:rPr>
          <w:rFonts w:ascii="Times New Roman" w:hAnsi="Times New Roman" w:hint="eastAsia"/>
          <w:sz w:val="24"/>
        </w:rPr>
        <w:t>新增</w:t>
      </w:r>
      <w:r>
        <w:rPr>
          <w:rFonts w:ascii="Times New Roman" w:hAnsi="Times New Roman"/>
          <w:sz w:val="24"/>
        </w:rPr>
        <w:t>气浮池、</w:t>
      </w:r>
      <w:r>
        <w:rPr>
          <w:rFonts w:ascii="Times New Roman" w:hAnsi="Times New Roman"/>
          <w:sz w:val="24"/>
        </w:rPr>
        <w:t>1500m</w:t>
      </w:r>
      <w:r>
        <w:rPr>
          <w:rFonts w:ascii="Times New Roman" w:hAnsi="Times New Roman"/>
          <w:sz w:val="24"/>
          <w:vertAlign w:val="superscript"/>
        </w:rPr>
        <w:t>3</w:t>
      </w:r>
      <w:r>
        <w:rPr>
          <w:rFonts w:ascii="Times New Roman" w:hAnsi="Times New Roman"/>
          <w:sz w:val="24"/>
        </w:rPr>
        <w:t>/h</w:t>
      </w:r>
      <w:r>
        <w:rPr>
          <w:rFonts w:ascii="Times New Roman" w:hAnsi="Times New Roman"/>
          <w:sz w:val="24"/>
        </w:rPr>
        <w:t>循环水场、变配电室、</w:t>
      </w:r>
      <w:r>
        <w:rPr>
          <w:rFonts w:ascii="Times New Roman" w:hAnsi="Times New Roman"/>
          <w:sz w:val="24"/>
        </w:rPr>
        <w:t>9000m</w:t>
      </w:r>
      <w:r>
        <w:rPr>
          <w:rFonts w:ascii="Times New Roman" w:hAnsi="Times New Roman"/>
          <w:sz w:val="24"/>
          <w:vertAlign w:val="superscript"/>
        </w:rPr>
        <w:t>3</w:t>
      </w:r>
      <w:r>
        <w:rPr>
          <w:rFonts w:ascii="Times New Roman" w:hAnsi="Times New Roman"/>
          <w:sz w:val="24"/>
        </w:rPr>
        <w:t>/h</w:t>
      </w:r>
      <w:r>
        <w:rPr>
          <w:rFonts w:ascii="Times New Roman" w:hAnsi="Times New Roman"/>
          <w:sz w:val="24"/>
        </w:rPr>
        <w:t>空压站）。</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厂区内的详细布置详见总平面布置图。</w:t>
      </w:r>
    </w:p>
    <w:p w:rsidR="00525419" w:rsidRDefault="00EE1CF7">
      <w:pPr>
        <w:pStyle w:val="4a"/>
        <w:widowControl/>
        <w:adjustRightInd w:val="0"/>
        <w:snapToGrid w:val="0"/>
        <w:spacing w:before="0" w:after="0" w:line="360" w:lineRule="auto"/>
        <w:jc w:val="left"/>
        <w:rPr>
          <w:rFonts w:ascii="Times New Roman" w:hAnsi="Times New Roman" w:cs="Times New Roman"/>
          <w:kern w:val="44"/>
          <w:sz w:val="24"/>
          <w:szCs w:val="24"/>
        </w:rPr>
      </w:pPr>
      <w:bookmarkStart w:id="58" w:name="_Toc406404420"/>
      <w:r>
        <w:rPr>
          <w:rFonts w:ascii="Times New Roman" w:hAnsi="Times New Roman" w:cs="Times New Roman"/>
          <w:kern w:val="44"/>
          <w:sz w:val="24"/>
          <w:szCs w:val="24"/>
        </w:rPr>
        <w:t>3.3.4.2</w:t>
      </w:r>
      <w:r>
        <w:rPr>
          <w:rFonts w:ascii="Times New Roman" w:hAnsi="Times New Roman" w:cs="Times New Roman"/>
          <w:kern w:val="44"/>
          <w:sz w:val="24"/>
          <w:szCs w:val="24"/>
        </w:rPr>
        <w:t>总平面布置合理性分析</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总图布置功能区明确，符合《工业企业设计卫生标准》、《工业企业总平面设计规范》、《石油化工企业厂区总平面布置设计规范》、《石油化工厂区竖向布置设计规范》和《石油化工储运系统罐区设计规范》的规定；</w:t>
      </w:r>
    </w:p>
    <w:p w:rsidR="00525419" w:rsidRDefault="00EE1CF7">
      <w:pPr>
        <w:adjustRightInd w:val="0"/>
        <w:snapToGrid w:val="0"/>
        <w:spacing w:line="42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整个厂区生产工艺装置相对集中、按生产工艺从南向北安排布局，布局紧凑，避免了中间转移过程造成的污染，同时实现了高噪音设备集中布局于厂区中心，减弱了对厂界外的环境影响；工艺装置位于储运设施的下风侧，符合《石油化工企业厂区总平面布置设计规范》对工艺装置布局的要求；</w:t>
      </w:r>
    </w:p>
    <w:p w:rsidR="00525419" w:rsidRDefault="00EE1CF7">
      <w:pPr>
        <w:adjustRightInd w:val="0"/>
        <w:snapToGrid w:val="0"/>
        <w:spacing w:line="42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）污水处理装置布置在厂区边缘地带，符合《化工企业安全卫生设计规定》和《石油化工企业厂区总平面布置设计规范》中的内容；</w:t>
      </w:r>
    </w:p>
    <w:p w:rsidR="00525419" w:rsidRDefault="00EE1CF7">
      <w:pPr>
        <w:adjustRightInd w:val="0"/>
        <w:snapToGrid w:val="0"/>
        <w:spacing w:line="42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4</w:t>
      </w:r>
      <w:r>
        <w:rPr>
          <w:rFonts w:ascii="Times New Roman" w:hAnsi="Times New Roman"/>
          <w:sz w:val="24"/>
          <w:szCs w:val="24"/>
        </w:rPr>
        <w:t>）各生产及辅助建筑均按其使用性质确定防火分区面积，防火分区的面积和各建筑物之间的防火间距要求均在《建筑设计防火规范》和《石油化工企业设计防火规范》规定的范围内；</w:t>
      </w:r>
    </w:p>
    <w:p w:rsidR="00525419" w:rsidRDefault="00EE1CF7">
      <w:pPr>
        <w:adjustRightInd w:val="0"/>
        <w:snapToGrid w:val="0"/>
        <w:spacing w:line="42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5</w:t>
      </w:r>
      <w:r>
        <w:rPr>
          <w:rFonts w:ascii="Times New Roman" w:hAnsi="Times New Roman"/>
          <w:sz w:val="24"/>
          <w:szCs w:val="24"/>
        </w:rPr>
        <w:t>）生产区的车间布置符合生产工艺流程，且考虑到物流顺畅，合理占地和足够的安全间距，符合《工业企业总平面设计规范》的规定及《石油化工企业厂区总平面布置设计规范》一般规定；</w:t>
      </w:r>
    </w:p>
    <w:p w:rsidR="00525419" w:rsidRDefault="00EE1CF7">
      <w:pPr>
        <w:adjustRightInd w:val="0"/>
        <w:snapToGrid w:val="0"/>
        <w:spacing w:line="42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6</w:t>
      </w:r>
      <w:r>
        <w:rPr>
          <w:rFonts w:ascii="Times New Roman" w:hAnsi="Times New Roman"/>
          <w:sz w:val="24"/>
          <w:szCs w:val="24"/>
        </w:rPr>
        <w:t>）工艺装置区和原料及产品罐区置在工厂生产管理区和人员集中场所全年最小频率风向的上风侧，减少了对生产管理区及生活辅助区的环境影响，符合《石油化工企业环境保护设计规范》中</w:t>
      </w:r>
      <w:r>
        <w:rPr>
          <w:rFonts w:ascii="Times New Roman" w:hAnsi="Times New Roman"/>
          <w:sz w:val="24"/>
          <w:szCs w:val="24"/>
        </w:rPr>
        <w:t xml:space="preserve">“4 </w:t>
      </w:r>
      <w:r>
        <w:rPr>
          <w:rFonts w:ascii="Times New Roman" w:hAnsi="Times New Roman"/>
          <w:sz w:val="24"/>
          <w:szCs w:val="24"/>
        </w:rPr>
        <w:t>厂址选择与总图布置</w:t>
      </w:r>
      <w:r>
        <w:rPr>
          <w:rFonts w:ascii="Times New Roman" w:hAnsi="Times New Roman"/>
          <w:sz w:val="24"/>
          <w:szCs w:val="24"/>
        </w:rPr>
        <w:t>”</w:t>
      </w:r>
      <w:r>
        <w:rPr>
          <w:rFonts w:ascii="Times New Roman" w:hAnsi="Times New Roman"/>
          <w:sz w:val="24"/>
          <w:szCs w:val="24"/>
        </w:rPr>
        <w:t>的要求</w:t>
      </w:r>
    </w:p>
    <w:p w:rsidR="00525419" w:rsidRDefault="00EE1CF7">
      <w:pPr>
        <w:adjustRightInd w:val="0"/>
        <w:snapToGrid w:val="0"/>
        <w:spacing w:line="42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7</w:t>
      </w:r>
      <w:r>
        <w:rPr>
          <w:rFonts w:ascii="Times New Roman" w:hAnsi="Times New Roman"/>
          <w:sz w:val="24"/>
          <w:szCs w:val="24"/>
        </w:rPr>
        <w:t>）从噪声预测评价结果表明：厂区厂界在</w:t>
      </w:r>
      <w:r>
        <w:rPr>
          <w:rFonts w:ascii="Times New Roman" w:hAnsi="Times New Roman" w:hint="eastAsia"/>
          <w:sz w:val="24"/>
          <w:szCs w:val="24"/>
        </w:rPr>
        <w:t>昼、夜</w:t>
      </w:r>
      <w:r>
        <w:rPr>
          <w:rFonts w:ascii="Times New Roman" w:hAnsi="Times New Roman"/>
          <w:sz w:val="24"/>
          <w:szCs w:val="24"/>
        </w:rPr>
        <w:t>间预测等效声值均小于</w:t>
      </w:r>
      <w:r>
        <w:rPr>
          <w:rFonts w:ascii="Times New Roman" w:hAnsi="Times New Roman"/>
          <w:sz w:val="24"/>
          <w:szCs w:val="24"/>
        </w:rPr>
        <w:t>65dB(A)</w:t>
      </w:r>
      <w:r>
        <w:rPr>
          <w:rFonts w:ascii="Times New Roman" w:hAnsi="Times New Roman"/>
          <w:sz w:val="24"/>
          <w:szCs w:val="24"/>
        </w:rPr>
        <w:t>，夜间小于</w:t>
      </w:r>
      <w:r>
        <w:rPr>
          <w:rFonts w:ascii="Times New Roman" w:hAnsi="Times New Roman"/>
          <w:sz w:val="24"/>
          <w:szCs w:val="24"/>
        </w:rPr>
        <w:t>55dB(A)</w:t>
      </w:r>
      <w:r>
        <w:rPr>
          <w:rFonts w:ascii="Times New Roman" w:hAnsi="Times New Roman"/>
          <w:sz w:val="24"/>
          <w:szCs w:val="24"/>
        </w:rPr>
        <w:t>，可达到规定的标准。</w:t>
      </w:r>
    </w:p>
    <w:p w:rsidR="00525419" w:rsidRDefault="00EE1CF7">
      <w:pPr>
        <w:adjustRightInd w:val="0"/>
        <w:snapToGrid w:val="0"/>
        <w:spacing w:line="420" w:lineRule="exact"/>
        <w:ind w:firstLineChars="200" w:firstLine="480"/>
        <w:rPr>
          <w:rFonts w:ascii="Times New Roman" w:hAnsi="Times New Roman"/>
          <w:sz w:val="24"/>
          <w:szCs w:val="24"/>
        </w:rPr>
      </w:pPr>
      <w:r>
        <w:rPr>
          <w:rFonts w:ascii="Times New Roman" w:hAnsi="Times New Roman"/>
          <w:sz w:val="24"/>
          <w:szCs w:val="24"/>
        </w:rPr>
        <w:t>综上所知，本项目所在区域环境符合环境功能区划要求，厂区的平面布置从环境保护角度考虑，较为合理。</w:t>
      </w:r>
    </w:p>
    <w:p w:rsidR="00525419" w:rsidRDefault="00EE1CF7">
      <w:pPr>
        <w:pStyle w:val="3a"/>
        <w:spacing w:beforeLines="50" w:before="156" w:after="156" w:line="360" w:lineRule="auto"/>
        <w:jc w:val="left"/>
        <w:rPr>
          <w:rFonts w:ascii="Times New Roman" w:eastAsia="华文楷体" w:hAnsi="Times New Roman"/>
        </w:rPr>
      </w:pPr>
      <w:r>
        <w:rPr>
          <w:rFonts w:ascii="Times New Roman" w:eastAsia="华文楷体" w:hAnsi="Times New Roman"/>
        </w:rPr>
        <w:t>3.3.5</w:t>
      </w:r>
      <w:r>
        <w:rPr>
          <w:rFonts w:ascii="Times New Roman" w:eastAsia="华文楷体" w:hAnsi="Times New Roman"/>
        </w:rPr>
        <w:t>工作制度及劳动定员</w:t>
      </w:r>
      <w:bookmarkEnd w:id="58"/>
    </w:p>
    <w:p w:rsidR="00525419" w:rsidRDefault="00EE1CF7">
      <w:pPr>
        <w:adjustRightInd w:val="0"/>
        <w:snapToGrid w:val="0"/>
        <w:spacing w:line="420" w:lineRule="exact"/>
        <w:ind w:firstLineChars="200" w:firstLine="480"/>
        <w:rPr>
          <w:rFonts w:ascii="Times New Roman" w:hAnsi="Times New Roman"/>
          <w:sz w:val="24"/>
        </w:rPr>
      </w:pPr>
      <w:r>
        <w:rPr>
          <w:rFonts w:ascii="Times New Roman" w:hAnsi="Times New Roman"/>
          <w:sz w:val="24"/>
        </w:rPr>
        <w:t>四班三倒连续运行工作制，变更后本项目劳动定员为</w:t>
      </w:r>
      <w:r>
        <w:rPr>
          <w:rFonts w:ascii="Times New Roman" w:hAnsi="Times New Roman"/>
          <w:sz w:val="24"/>
        </w:rPr>
        <w:t>90</w:t>
      </w:r>
      <w:r>
        <w:rPr>
          <w:rFonts w:ascii="Times New Roman" w:hAnsi="Times New Roman"/>
          <w:sz w:val="24"/>
        </w:rPr>
        <w:t>人。</w:t>
      </w:r>
    </w:p>
    <w:p w:rsidR="00525419" w:rsidRDefault="00EE1CF7">
      <w:pPr>
        <w:pStyle w:val="2a"/>
        <w:spacing w:beforeLines="50" w:before="156" w:after="156"/>
        <w:ind w:left="578" w:hanging="578"/>
        <w:rPr>
          <w:rFonts w:ascii="Times New Roman" w:eastAsia="楷体_GB2312" w:hAnsi="Times New Roman"/>
          <w:sz w:val="36"/>
        </w:rPr>
      </w:pPr>
      <w:bookmarkStart w:id="59" w:name="_Toc1085"/>
      <w:r>
        <w:rPr>
          <w:rFonts w:ascii="Times New Roman" w:eastAsia="楷体_GB2312" w:hAnsi="Times New Roman"/>
          <w:sz w:val="36"/>
        </w:rPr>
        <w:lastRenderedPageBreak/>
        <w:t>3.4</w:t>
      </w:r>
      <w:r>
        <w:rPr>
          <w:rFonts w:ascii="Times New Roman" w:eastAsia="楷体_GB2312" w:hAnsi="Times New Roman"/>
          <w:sz w:val="36"/>
        </w:rPr>
        <w:t>变更前后对比</w:t>
      </w:r>
      <w:bookmarkEnd w:id="59"/>
    </w:p>
    <w:p w:rsidR="00525419" w:rsidRDefault="00EE1CF7">
      <w:pPr>
        <w:pStyle w:val="3a"/>
        <w:spacing w:beforeLines="50" w:before="156" w:after="156" w:line="360" w:lineRule="auto"/>
        <w:jc w:val="left"/>
        <w:rPr>
          <w:rFonts w:ascii="Times New Roman" w:eastAsia="华文楷体" w:hAnsi="Times New Roman"/>
        </w:rPr>
      </w:pPr>
      <w:r>
        <w:rPr>
          <w:rFonts w:ascii="Times New Roman" w:eastAsia="华文楷体" w:hAnsi="Times New Roman"/>
        </w:rPr>
        <w:t>3.4.1</w:t>
      </w:r>
      <w:r>
        <w:rPr>
          <w:rFonts w:ascii="Times New Roman" w:eastAsia="华文楷体" w:hAnsi="Times New Roman"/>
        </w:rPr>
        <w:t>变更方案</w:t>
      </w:r>
    </w:p>
    <w:p w:rsidR="00525419" w:rsidRDefault="00EE1CF7">
      <w:pPr>
        <w:pStyle w:val="affffffffffff6"/>
        <w:spacing w:line="360" w:lineRule="auto"/>
        <w:rPr>
          <w:szCs w:val="24"/>
        </w:rPr>
        <w:sectPr w:rsidR="00525419">
          <w:pgSz w:w="11906" w:h="16838"/>
          <w:pgMar w:top="1440" w:right="1800" w:bottom="1440" w:left="1800" w:header="851" w:footer="992" w:gutter="0"/>
          <w:cols w:space="425"/>
          <w:docGrid w:type="lines" w:linePitch="312"/>
        </w:sectPr>
      </w:pPr>
      <w:r>
        <w:rPr>
          <w:szCs w:val="24"/>
        </w:rPr>
        <w:t>本次变更前后方案内容总结见表</w:t>
      </w:r>
      <w:r>
        <w:rPr>
          <w:szCs w:val="24"/>
        </w:rPr>
        <w:t>3.4-1</w:t>
      </w:r>
      <w:r>
        <w:rPr>
          <w:szCs w:val="24"/>
        </w:rPr>
        <w:t>。</w:t>
      </w:r>
    </w:p>
    <w:p w:rsidR="00525419" w:rsidRDefault="00EE1CF7">
      <w:pPr>
        <w:spacing w:line="240" w:lineRule="atLeast"/>
        <w:ind w:left="437"/>
        <w:jc w:val="center"/>
        <w:rPr>
          <w:rFonts w:ascii="Times New Roman" w:eastAsia="黑体" w:hAnsi="Times New Roman"/>
          <w:szCs w:val="21"/>
        </w:rPr>
      </w:pPr>
      <w:r>
        <w:rPr>
          <w:rFonts w:ascii="Times New Roman" w:eastAsia="黑体" w:hAnsi="Times New Roman"/>
          <w:szCs w:val="21"/>
        </w:rPr>
        <w:lastRenderedPageBreak/>
        <w:t>表</w:t>
      </w:r>
      <w:r>
        <w:rPr>
          <w:rFonts w:ascii="Times New Roman" w:eastAsia="黑体" w:hAnsi="Times New Roman"/>
          <w:szCs w:val="21"/>
        </w:rPr>
        <w:t xml:space="preserve">3.4-1   </w:t>
      </w:r>
      <w:r>
        <w:rPr>
          <w:rFonts w:ascii="Times New Roman" w:eastAsia="黑体" w:hAnsi="Times New Roman"/>
          <w:szCs w:val="21"/>
        </w:rPr>
        <w:t>本次变更方案一览表</w:t>
      </w:r>
    </w:p>
    <w:tbl>
      <w:tblPr>
        <w:tblW w:w="1417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98"/>
        <w:gridCol w:w="1250"/>
        <w:gridCol w:w="5383"/>
        <w:gridCol w:w="6240"/>
      </w:tblGrid>
      <w:tr w:rsidR="00525419">
        <w:tc>
          <w:tcPr>
            <w:tcW w:w="1298" w:type="dxa"/>
            <w:tcBorders>
              <w:top w:val="single" w:sz="12" w:space="0" w:color="auto"/>
            </w:tcBorders>
            <w:vAlign w:val="center"/>
          </w:tcPr>
          <w:p w:rsidR="00525419" w:rsidRDefault="00EE1CF7">
            <w:pPr>
              <w:jc w:val="center"/>
              <w:rPr>
                <w:rFonts w:ascii="Times New Roman" w:hAnsi="Times New Roman"/>
                <w:szCs w:val="21"/>
              </w:rPr>
            </w:pPr>
            <w:r>
              <w:rPr>
                <w:rFonts w:ascii="Times New Roman" w:hAnsi="Times New Roman"/>
                <w:szCs w:val="21"/>
              </w:rPr>
              <w:t>变更方案名称</w:t>
            </w:r>
          </w:p>
        </w:tc>
        <w:tc>
          <w:tcPr>
            <w:tcW w:w="6633" w:type="dxa"/>
            <w:gridSpan w:val="2"/>
            <w:tcBorders>
              <w:top w:val="single" w:sz="12" w:space="0" w:color="auto"/>
            </w:tcBorders>
            <w:vAlign w:val="center"/>
          </w:tcPr>
          <w:p w:rsidR="00525419" w:rsidRDefault="00EE1CF7">
            <w:pPr>
              <w:jc w:val="center"/>
              <w:rPr>
                <w:rFonts w:ascii="Times New Roman" w:hAnsi="Times New Roman"/>
                <w:szCs w:val="21"/>
              </w:rPr>
            </w:pPr>
            <w:r>
              <w:rPr>
                <w:rFonts w:ascii="Times New Roman" w:hAnsi="Times New Roman"/>
                <w:szCs w:val="21"/>
              </w:rPr>
              <w:t>变更前</w:t>
            </w:r>
          </w:p>
        </w:tc>
        <w:tc>
          <w:tcPr>
            <w:tcW w:w="6240" w:type="dxa"/>
            <w:tcBorders>
              <w:top w:val="single" w:sz="12" w:space="0" w:color="auto"/>
            </w:tcBorders>
            <w:vAlign w:val="center"/>
          </w:tcPr>
          <w:p w:rsidR="00525419" w:rsidRDefault="00EE1CF7">
            <w:pPr>
              <w:jc w:val="center"/>
              <w:rPr>
                <w:rFonts w:ascii="Times New Roman" w:hAnsi="Times New Roman"/>
                <w:szCs w:val="21"/>
              </w:rPr>
            </w:pPr>
            <w:r>
              <w:rPr>
                <w:rFonts w:ascii="Times New Roman" w:hAnsi="Times New Roman"/>
                <w:szCs w:val="21"/>
              </w:rPr>
              <w:t>变更后</w:t>
            </w:r>
          </w:p>
        </w:tc>
      </w:tr>
      <w:tr w:rsidR="00525419">
        <w:tc>
          <w:tcPr>
            <w:tcW w:w="1298" w:type="dxa"/>
            <w:vMerge w:val="restart"/>
            <w:vAlign w:val="center"/>
          </w:tcPr>
          <w:p w:rsidR="00525419" w:rsidRDefault="00EE1CF7">
            <w:pPr>
              <w:jc w:val="center"/>
              <w:rPr>
                <w:rFonts w:ascii="Times New Roman" w:hAnsi="Times New Roman"/>
                <w:szCs w:val="21"/>
              </w:rPr>
            </w:pPr>
            <w:r>
              <w:rPr>
                <w:rFonts w:ascii="Times New Roman" w:hAnsi="Times New Roman"/>
                <w:szCs w:val="21"/>
              </w:rPr>
              <w:t>主体工程生产规模</w:t>
            </w:r>
          </w:p>
        </w:tc>
        <w:tc>
          <w:tcPr>
            <w:tcW w:w="1250" w:type="dxa"/>
            <w:vMerge w:val="restart"/>
            <w:vAlign w:val="center"/>
          </w:tcPr>
          <w:p w:rsidR="00525419" w:rsidRDefault="00EE1CF7">
            <w:pPr>
              <w:jc w:val="center"/>
              <w:rPr>
                <w:rFonts w:ascii="Times New Roman" w:hAnsi="Times New Roman"/>
                <w:szCs w:val="21"/>
              </w:rPr>
            </w:pPr>
            <w:r>
              <w:rPr>
                <w:rFonts w:ascii="Times New Roman" w:hAnsi="Times New Roman"/>
                <w:szCs w:val="21"/>
              </w:rPr>
              <w:t>煤焦油加氢装置</w:t>
            </w:r>
          </w:p>
        </w:tc>
        <w:tc>
          <w:tcPr>
            <w:tcW w:w="5383" w:type="dxa"/>
            <w:vAlign w:val="center"/>
          </w:tcPr>
          <w:p w:rsidR="00525419" w:rsidRDefault="00EE1CF7">
            <w:pPr>
              <w:jc w:val="center"/>
              <w:rPr>
                <w:rFonts w:ascii="Times New Roman" w:hAnsi="Times New Roman"/>
                <w:szCs w:val="21"/>
              </w:rPr>
            </w:pPr>
            <w:r>
              <w:rPr>
                <w:rFonts w:ascii="Times New Roman" w:hAnsi="Times New Roman"/>
                <w:szCs w:val="24"/>
              </w:rPr>
              <w:t>煤焦油预处理单元：</w:t>
            </w:r>
            <w:r>
              <w:rPr>
                <w:rFonts w:ascii="Times New Roman" w:hAnsi="Times New Roman"/>
                <w:szCs w:val="24"/>
              </w:rPr>
              <w:t>20</w:t>
            </w:r>
            <w:r>
              <w:rPr>
                <w:rFonts w:ascii="Times New Roman" w:hAnsi="Times New Roman"/>
                <w:szCs w:val="24"/>
              </w:rPr>
              <w:t>万</w:t>
            </w:r>
            <w:r>
              <w:rPr>
                <w:rFonts w:ascii="Times New Roman" w:hAnsi="Times New Roman"/>
                <w:szCs w:val="24"/>
              </w:rPr>
              <w:t>t/a</w:t>
            </w:r>
            <w:r>
              <w:rPr>
                <w:rFonts w:ascii="Times New Roman" w:hAnsi="Times New Roman"/>
                <w:szCs w:val="24"/>
              </w:rPr>
              <w:t>（一期建成）</w:t>
            </w:r>
          </w:p>
        </w:tc>
        <w:tc>
          <w:tcPr>
            <w:tcW w:w="6240" w:type="dxa"/>
            <w:vMerge w:val="restart"/>
            <w:vAlign w:val="center"/>
          </w:tcPr>
          <w:p w:rsidR="00525419" w:rsidRDefault="00EE1CF7">
            <w:pPr>
              <w:spacing w:line="240" w:lineRule="atLeast"/>
              <w:ind w:left="437"/>
              <w:jc w:val="center"/>
              <w:rPr>
                <w:rFonts w:ascii="Times New Roman" w:hAnsi="Times New Roman"/>
                <w:szCs w:val="21"/>
              </w:rPr>
            </w:pPr>
            <w:r>
              <w:rPr>
                <w:rFonts w:ascii="Times New Roman" w:hAnsi="Times New Roman"/>
                <w:szCs w:val="24"/>
              </w:rPr>
              <w:t>煤焦油加氢装置：</w:t>
            </w:r>
            <w:r>
              <w:rPr>
                <w:rFonts w:ascii="Times New Roman" w:hAnsi="Times New Roman"/>
                <w:szCs w:val="24"/>
              </w:rPr>
              <w:t>40</w:t>
            </w:r>
            <w:r>
              <w:rPr>
                <w:rFonts w:ascii="Times New Roman" w:hAnsi="Times New Roman"/>
                <w:szCs w:val="24"/>
              </w:rPr>
              <w:t>万</w:t>
            </w:r>
            <w:r>
              <w:rPr>
                <w:rFonts w:ascii="Times New Roman" w:hAnsi="Times New Roman"/>
                <w:szCs w:val="24"/>
              </w:rPr>
              <w:t>t/a</w:t>
            </w:r>
            <w:r>
              <w:rPr>
                <w:rFonts w:ascii="Times New Roman" w:hAnsi="Times New Roman"/>
                <w:szCs w:val="24"/>
              </w:rPr>
              <w:t>，取消煤焦油预处理单元、芳烃制取单元</w:t>
            </w:r>
          </w:p>
        </w:tc>
      </w:tr>
      <w:tr w:rsidR="00525419">
        <w:tc>
          <w:tcPr>
            <w:tcW w:w="1298" w:type="dxa"/>
            <w:vMerge/>
            <w:vAlign w:val="center"/>
          </w:tcPr>
          <w:p w:rsidR="00525419" w:rsidRDefault="00525419">
            <w:pPr>
              <w:jc w:val="center"/>
              <w:rPr>
                <w:rFonts w:ascii="Times New Roman" w:hAnsi="Times New Roman"/>
                <w:szCs w:val="21"/>
              </w:rPr>
            </w:pPr>
          </w:p>
        </w:tc>
        <w:tc>
          <w:tcPr>
            <w:tcW w:w="1250" w:type="dxa"/>
            <w:vMerge/>
            <w:vAlign w:val="center"/>
          </w:tcPr>
          <w:p w:rsidR="00525419" w:rsidRDefault="00525419">
            <w:pPr>
              <w:jc w:val="center"/>
              <w:rPr>
                <w:rFonts w:ascii="Times New Roman" w:hAnsi="Times New Roman"/>
                <w:szCs w:val="21"/>
              </w:rPr>
            </w:pPr>
          </w:p>
        </w:tc>
        <w:tc>
          <w:tcPr>
            <w:tcW w:w="5383" w:type="dxa"/>
            <w:vAlign w:val="center"/>
          </w:tcPr>
          <w:p w:rsidR="00525419" w:rsidRDefault="00EE1CF7">
            <w:pPr>
              <w:jc w:val="center"/>
              <w:rPr>
                <w:rFonts w:ascii="Times New Roman" w:hAnsi="Times New Roman"/>
                <w:szCs w:val="21"/>
              </w:rPr>
            </w:pPr>
            <w:r>
              <w:rPr>
                <w:rFonts w:ascii="Times New Roman" w:hAnsi="Times New Roman"/>
                <w:szCs w:val="24"/>
              </w:rPr>
              <w:t>煤焦油加氢精制单元：</w:t>
            </w:r>
            <w:r>
              <w:rPr>
                <w:rFonts w:ascii="Times New Roman" w:hAnsi="Times New Roman"/>
                <w:szCs w:val="24"/>
              </w:rPr>
              <w:t>40</w:t>
            </w:r>
            <w:r>
              <w:rPr>
                <w:rFonts w:ascii="Times New Roman" w:hAnsi="Times New Roman"/>
                <w:szCs w:val="24"/>
              </w:rPr>
              <w:t>万</w:t>
            </w:r>
            <w:r>
              <w:rPr>
                <w:rFonts w:ascii="Times New Roman" w:hAnsi="Times New Roman"/>
                <w:szCs w:val="24"/>
              </w:rPr>
              <w:t>t/a</w:t>
            </w:r>
            <w:r>
              <w:rPr>
                <w:rFonts w:ascii="Times New Roman" w:hAnsi="Times New Roman"/>
                <w:szCs w:val="24"/>
              </w:rPr>
              <w:t>（一期建成）</w:t>
            </w:r>
          </w:p>
        </w:tc>
        <w:tc>
          <w:tcPr>
            <w:tcW w:w="6240" w:type="dxa"/>
            <w:vMerge/>
            <w:vAlign w:val="center"/>
          </w:tcPr>
          <w:p w:rsidR="00525419" w:rsidRDefault="00525419">
            <w:pPr>
              <w:jc w:val="center"/>
              <w:rPr>
                <w:rFonts w:ascii="Times New Roman" w:hAnsi="Times New Roman"/>
                <w:szCs w:val="21"/>
              </w:rPr>
            </w:pPr>
          </w:p>
        </w:tc>
      </w:tr>
      <w:tr w:rsidR="00525419">
        <w:tc>
          <w:tcPr>
            <w:tcW w:w="1298" w:type="dxa"/>
            <w:vMerge/>
            <w:vAlign w:val="center"/>
          </w:tcPr>
          <w:p w:rsidR="00525419" w:rsidRDefault="00525419">
            <w:pPr>
              <w:jc w:val="center"/>
              <w:rPr>
                <w:rFonts w:ascii="Times New Roman" w:hAnsi="Times New Roman"/>
                <w:szCs w:val="21"/>
              </w:rPr>
            </w:pPr>
          </w:p>
        </w:tc>
        <w:tc>
          <w:tcPr>
            <w:tcW w:w="1250" w:type="dxa"/>
            <w:vMerge/>
            <w:vAlign w:val="center"/>
          </w:tcPr>
          <w:p w:rsidR="00525419" w:rsidRDefault="00525419">
            <w:pPr>
              <w:jc w:val="center"/>
              <w:rPr>
                <w:rFonts w:ascii="Times New Roman" w:hAnsi="Times New Roman"/>
                <w:szCs w:val="21"/>
              </w:rPr>
            </w:pPr>
          </w:p>
        </w:tc>
        <w:tc>
          <w:tcPr>
            <w:tcW w:w="5383" w:type="dxa"/>
            <w:vAlign w:val="center"/>
          </w:tcPr>
          <w:p w:rsidR="00525419" w:rsidRDefault="00EE1CF7">
            <w:pPr>
              <w:jc w:val="center"/>
              <w:rPr>
                <w:rFonts w:ascii="Times New Roman" w:hAnsi="Times New Roman"/>
                <w:szCs w:val="21"/>
              </w:rPr>
            </w:pPr>
            <w:r>
              <w:rPr>
                <w:rFonts w:ascii="Times New Roman" w:hAnsi="Times New Roman"/>
                <w:szCs w:val="24"/>
              </w:rPr>
              <w:t>芳烃制取单元：</w:t>
            </w:r>
            <w:r>
              <w:rPr>
                <w:rFonts w:ascii="Times New Roman" w:hAnsi="Times New Roman"/>
                <w:szCs w:val="24"/>
              </w:rPr>
              <w:t>20</w:t>
            </w:r>
            <w:r>
              <w:rPr>
                <w:rFonts w:ascii="Times New Roman" w:hAnsi="Times New Roman"/>
                <w:szCs w:val="24"/>
              </w:rPr>
              <w:t>万</w:t>
            </w:r>
            <w:r>
              <w:rPr>
                <w:rFonts w:ascii="Times New Roman" w:hAnsi="Times New Roman"/>
                <w:szCs w:val="24"/>
              </w:rPr>
              <w:t>t/a</w:t>
            </w:r>
            <w:r>
              <w:rPr>
                <w:rFonts w:ascii="Times New Roman" w:hAnsi="Times New Roman"/>
                <w:szCs w:val="24"/>
              </w:rPr>
              <w:t>（二期建成）</w:t>
            </w:r>
          </w:p>
        </w:tc>
        <w:tc>
          <w:tcPr>
            <w:tcW w:w="6240" w:type="dxa"/>
            <w:vMerge/>
            <w:vAlign w:val="center"/>
          </w:tcPr>
          <w:p w:rsidR="00525419" w:rsidRDefault="00525419">
            <w:pPr>
              <w:jc w:val="center"/>
              <w:rPr>
                <w:rFonts w:ascii="Times New Roman" w:hAnsi="Times New Roman"/>
                <w:szCs w:val="21"/>
              </w:rPr>
            </w:pPr>
          </w:p>
        </w:tc>
      </w:tr>
      <w:tr w:rsidR="00525419">
        <w:tc>
          <w:tcPr>
            <w:tcW w:w="1298" w:type="dxa"/>
            <w:vMerge/>
            <w:vAlign w:val="center"/>
          </w:tcPr>
          <w:p w:rsidR="00525419" w:rsidRDefault="00525419">
            <w:pPr>
              <w:jc w:val="center"/>
              <w:rPr>
                <w:rFonts w:ascii="Times New Roman" w:hAnsi="Times New Roman"/>
                <w:szCs w:val="21"/>
              </w:rPr>
            </w:pPr>
          </w:p>
        </w:tc>
        <w:tc>
          <w:tcPr>
            <w:tcW w:w="1250" w:type="dxa"/>
            <w:vAlign w:val="center"/>
          </w:tcPr>
          <w:p w:rsidR="00525419" w:rsidRDefault="00EE1CF7">
            <w:pPr>
              <w:jc w:val="center"/>
              <w:rPr>
                <w:rFonts w:ascii="Times New Roman" w:hAnsi="Times New Roman"/>
                <w:szCs w:val="21"/>
              </w:rPr>
            </w:pPr>
            <w:r>
              <w:rPr>
                <w:rFonts w:ascii="Times New Roman" w:hAnsi="Times New Roman"/>
                <w:szCs w:val="24"/>
              </w:rPr>
              <w:t>天然气制氢装置</w:t>
            </w:r>
          </w:p>
        </w:tc>
        <w:tc>
          <w:tcPr>
            <w:tcW w:w="5383" w:type="dxa"/>
            <w:vAlign w:val="center"/>
          </w:tcPr>
          <w:p w:rsidR="00525419" w:rsidRDefault="00EE1CF7">
            <w:pPr>
              <w:jc w:val="center"/>
              <w:rPr>
                <w:rFonts w:ascii="Times New Roman" w:hAnsi="Times New Roman"/>
                <w:szCs w:val="24"/>
              </w:rPr>
            </w:pPr>
            <w:r>
              <w:rPr>
                <w:rFonts w:ascii="Times New Roman" w:hAnsi="Times New Roman"/>
                <w:szCs w:val="24"/>
              </w:rPr>
              <w:t>25000Nm³/h</w:t>
            </w:r>
            <w:r>
              <w:rPr>
                <w:rFonts w:ascii="Times New Roman" w:hAnsi="Times New Roman"/>
                <w:szCs w:val="24"/>
              </w:rPr>
              <w:t>（一期建成）</w:t>
            </w:r>
          </w:p>
        </w:tc>
        <w:tc>
          <w:tcPr>
            <w:tcW w:w="6240" w:type="dxa"/>
            <w:vAlign w:val="center"/>
          </w:tcPr>
          <w:p w:rsidR="00525419" w:rsidRDefault="00EE1CF7">
            <w:pPr>
              <w:jc w:val="center"/>
              <w:rPr>
                <w:rFonts w:ascii="Times New Roman" w:hAnsi="Times New Roman"/>
                <w:szCs w:val="21"/>
              </w:rPr>
            </w:pPr>
            <w:r>
              <w:rPr>
                <w:rFonts w:ascii="Times New Roman" w:hAnsi="Times New Roman"/>
                <w:szCs w:val="21"/>
              </w:rPr>
              <w:t>不变</w:t>
            </w:r>
          </w:p>
        </w:tc>
      </w:tr>
      <w:tr w:rsidR="00525419">
        <w:tc>
          <w:tcPr>
            <w:tcW w:w="1298" w:type="dxa"/>
            <w:vMerge/>
            <w:vAlign w:val="center"/>
          </w:tcPr>
          <w:p w:rsidR="00525419" w:rsidRDefault="00525419">
            <w:pPr>
              <w:jc w:val="center"/>
              <w:rPr>
                <w:rFonts w:ascii="Times New Roman" w:hAnsi="Times New Roman"/>
                <w:szCs w:val="21"/>
              </w:rPr>
            </w:pPr>
          </w:p>
        </w:tc>
        <w:tc>
          <w:tcPr>
            <w:tcW w:w="1250" w:type="dxa"/>
            <w:vMerge w:val="restart"/>
            <w:vAlign w:val="center"/>
          </w:tcPr>
          <w:p w:rsidR="00525419" w:rsidRDefault="00EE1CF7">
            <w:pPr>
              <w:jc w:val="center"/>
              <w:rPr>
                <w:rFonts w:ascii="Times New Roman" w:hAnsi="Times New Roman"/>
                <w:szCs w:val="21"/>
              </w:rPr>
            </w:pPr>
            <w:r>
              <w:rPr>
                <w:rFonts w:ascii="Times New Roman" w:hAnsi="Times New Roman"/>
                <w:szCs w:val="24"/>
              </w:rPr>
              <w:t>硫磺回收装置</w:t>
            </w:r>
          </w:p>
        </w:tc>
        <w:tc>
          <w:tcPr>
            <w:tcW w:w="5383" w:type="dxa"/>
            <w:vAlign w:val="center"/>
          </w:tcPr>
          <w:p w:rsidR="00525419" w:rsidRDefault="00EE1CF7">
            <w:pPr>
              <w:jc w:val="center"/>
              <w:rPr>
                <w:rFonts w:ascii="Times New Roman" w:hAnsi="Times New Roman"/>
                <w:szCs w:val="24"/>
              </w:rPr>
            </w:pPr>
            <w:r>
              <w:rPr>
                <w:rFonts w:ascii="Times New Roman" w:hAnsi="Times New Roman"/>
                <w:szCs w:val="24"/>
              </w:rPr>
              <w:t>酸性水汽提：</w:t>
            </w:r>
            <w:r>
              <w:rPr>
                <w:rFonts w:ascii="Times New Roman" w:hAnsi="Times New Roman"/>
                <w:szCs w:val="24"/>
              </w:rPr>
              <w:t>55t/h</w:t>
            </w:r>
            <w:r>
              <w:rPr>
                <w:rFonts w:ascii="Times New Roman" w:hAnsi="Times New Roman"/>
                <w:szCs w:val="24"/>
              </w:rPr>
              <w:t>（一期工程）</w:t>
            </w:r>
          </w:p>
        </w:tc>
        <w:tc>
          <w:tcPr>
            <w:tcW w:w="6240" w:type="dxa"/>
            <w:vMerge w:val="restart"/>
            <w:vAlign w:val="center"/>
          </w:tcPr>
          <w:p w:rsidR="00525419" w:rsidRDefault="00EE1CF7">
            <w:pPr>
              <w:jc w:val="center"/>
              <w:rPr>
                <w:rFonts w:ascii="Times New Roman" w:hAnsi="Times New Roman"/>
                <w:szCs w:val="21"/>
              </w:rPr>
            </w:pPr>
            <w:r>
              <w:rPr>
                <w:rFonts w:ascii="Times New Roman" w:hAnsi="Times New Roman"/>
                <w:szCs w:val="21"/>
              </w:rPr>
              <w:t>不变</w:t>
            </w:r>
          </w:p>
        </w:tc>
      </w:tr>
      <w:tr w:rsidR="00525419">
        <w:tc>
          <w:tcPr>
            <w:tcW w:w="1298" w:type="dxa"/>
            <w:vMerge/>
            <w:vAlign w:val="center"/>
          </w:tcPr>
          <w:p w:rsidR="00525419" w:rsidRDefault="00525419">
            <w:pPr>
              <w:jc w:val="center"/>
              <w:rPr>
                <w:rFonts w:ascii="Times New Roman" w:hAnsi="Times New Roman"/>
                <w:szCs w:val="21"/>
              </w:rPr>
            </w:pPr>
          </w:p>
        </w:tc>
        <w:tc>
          <w:tcPr>
            <w:tcW w:w="1250" w:type="dxa"/>
            <w:vMerge/>
            <w:vAlign w:val="center"/>
          </w:tcPr>
          <w:p w:rsidR="00525419" w:rsidRDefault="00525419">
            <w:pPr>
              <w:jc w:val="center"/>
              <w:rPr>
                <w:rFonts w:ascii="Times New Roman" w:hAnsi="Times New Roman"/>
                <w:szCs w:val="21"/>
              </w:rPr>
            </w:pPr>
          </w:p>
        </w:tc>
        <w:tc>
          <w:tcPr>
            <w:tcW w:w="5383" w:type="dxa"/>
            <w:vAlign w:val="center"/>
          </w:tcPr>
          <w:p w:rsidR="00525419" w:rsidRDefault="00EE1CF7">
            <w:pPr>
              <w:jc w:val="center"/>
              <w:rPr>
                <w:rFonts w:ascii="Times New Roman" w:hAnsi="Times New Roman"/>
                <w:szCs w:val="24"/>
              </w:rPr>
            </w:pPr>
            <w:r>
              <w:rPr>
                <w:rFonts w:ascii="Times New Roman" w:hAnsi="Times New Roman"/>
                <w:szCs w:val="24"/>
              </w:rPr>
              <w:t>溶剂回收：</w:t>
            </w:r>
            <w:r>
              <w:rPr>
                <w:rFonts w:ascii="Times New Roman" w:hAnsi="Times New Roman"/>
                <w:szCs w:val="24"/>
              </w:rPr>
              <w:t>40 t/h</w:t>
            </w:r>
            <w:r>
              <w:rPr>
                <w:rFonts w:ascii="Times New Roman" w:hAnsi="Times New Roman"/>
                <w:szCs w:val="24"/>
              </w:rPr>
              <w:t>（一期工程）</w:t>
            </w:r>
          </w:p>
        </w:tc>
        <w:tc>
          <w:tcPr>
            <w:tcW w:w="6240" w:type="dxa"/>
            <w:vMerge/>
            <w:vAlign w:val="center"/>
          </w:tcPr>
          <w:p w:rsidR="00525419" w:rsidRDefault="00525419">
            <w:pPr>
              <w:jc w:val="center"/>
              <w:rPr>
                <w:rFonts w:ascii="Times New Roman" w:hAnsi="Times New Roman"/>
                <w:szCs w:val="21"/>
              </w:rPr>
            </w:pPr>
          </w:p>
        </w:tc>
      </w:tr>
      <w:tr w:rsidR="00525419">
        <w:tc>
          <w:tcPr>
            <w:tcW w:w="1298" w:type="dxa"/>
            <w:vMerge/>
            <w:vAlign w:val="center"/>
          </w:tcPr>
          <w:p w:rsidR="00525419" w:rsidRDefault="00525419">
            <w:pPr>
              <w:jc w:val="center"/>
              <w:rPr>
                <w:rFonts w:ascii="Times New Roman" w:hAnsi="Times New Roman"/>
                <w:szCs w:val="21"/>
              </w:rPr>
            </w:pPr>
          </w:p>
        </w:tc>
        <w:tc>
          <w:tcPr>
            <w:tcW w:w="1250" w:type="dxa"/>
            <w:vMerge/>
            <w:vAlign w:val="center"/>
          </w:tcPr>
          <w:p w:rsidR="00525419" w:rsidRDefault="00525419">
            <w:pPr>
              <w:jc w:val="center"/>
              <w:rPr>
                <w:rFonts w:ascii="Times New Roman" w:hAnsi="Times New Roman"/>
                <w:szCs w:val="21"/>
              </w:rPr>
            </w:pPr>
          </w:p>
        </w:tc>
        <w:tc>
          <w:tcPr>
            <w:tcW w:w="5383" w:type="dxa"/>
            <w:vAlign w:val="center"/>
          </w:tcPr>
          <w:p w:rsidR="00525419" w:rsidRDefault="00EE1CF7">
            <w:pPr>
              <w:jc w:val="center"/>
              <w:rPr>
                <w:rFonts w:ascii="Times New Roman" w:hAnsi="Times New Roman"/>
                <w:szCs w:val="24"/>
              </w:rPr>
            </w:pPr>
            <w:r>
              <w:rPr>
                <w:rFonts w:ascii="Times New Roman" w:hAnsi="Times New Roman"/>
                <w:szCs w:val="24"/>
              </w:rPr>
              <w:t>硫磺回收：</w:t>
            </w:r>
            <w:r>
              <w:rPr>
                <w:rFonts w:ascii="Times New Roman" w:hAnsi="Times New Roman"/>
                <w:szCs w:val="24"/>
              </w:rPr>
              <w:t>1.5</w:t>
            </w:r>
            <w:r>
              <w:rPr>
                <w:rFonts w:ascii="Times New Roman" w:hAnsi="Times New Roman"/>
                <w:szCs w:val="24"/>
              </w:rPr>
              <w:t>万</w:t>
            </w:r>
            <w:r>
              <w:rPr>
                <w:rFonts w:ascii="Times New Roman" w:hAnsi="Times New Roman"/>
                <w:szCs w:val="24"/>
              </w:rPr>
              <w:t>t/a</w:t>
            </w:r>
            <w:r>
              <w:rPr>
                <w:rFonts w:ascii="Times New Roman" w:hAnsi="Times New Roman"/>
                <w:szCs w:val="24"/>
              </w:rPr>
              <w:t>（一期工程）</w:t>
            </w:r>
          </w:p>
        </w:tc>
        <w:tc>
          <w:tcPr>
            <w:tcW w:w="6240" w:type="dxa"/>
            <w:vMerge/>
            <w:vAlign w:val="center"/>
          </w:tcPr>
          <w:p w:rsidR="00525419" w:rsidRDefault="00525419">
            <w:pPr>
              <w:jc w:val="center"/>
              <w:rPr>
                <w:rFonts w:ascii="Times New Roman" w:hAnsi="Times New Roman"/>
                <w:szCs w:val="21"/>
              </w:rPr>
            </w:pPr>
          </w:p>
        </w:tc>
      </w:tr>
      <w:tr w:rsidR="00525419">
        <w:tc>
          <w:tcPr>
            <w:tcW w:w="1298" w:type="dxa"/>
            <w:vMerge w:val="restart"/>
            <w:vAlign w:val="center"/>
          </w:tcPr>
          <w:p w:rsidR="00525419" w:rsidRDefault="00EE1CF7">
            <w:pPr>
              <w:jc w:val="center"/>
              <w:rPr>
                <w:rFonts w:ascii="Times New Roman" w:hAnsi="Times New Roman"/>
                <w:szCs w:val="21"/>
              </w:rPr>
            </w:pPr>
            <w:r>
              <w:rPr>
                <w:rFonts w:ascii="Times New Roman" w:hAnsi="Times New Roman"/>
                <w:szCs w:val="21"/>
              </w:rPr>
              <w:t>辅助、公用工程</w:t>
            </w:r>
          </w:p>
        </w:tc>
        <w:tc>
          <w:tcPr>
            <w:tcW w:w="1250" w:type="dxa"/>
            <w:vAlign w:val="center"/>
          </w:tcPr>
          <w:p w:rsidR="00525419" w:rsidRDefault="00EE1CF7">
            <w:pPr>
              <w:jc w:val="center"/>
              <w:rPr>
                <w:rFonts w:ascii="Times New Roman" w:hAnsi="Times New Roman"/>
                <w:szCs w:val="21"/>
              </w:rPr>
            </w:pPr>
            <w:r>
              <w:rPr>
                <w:rFonts w:ascii="Times New Roman" w:hAnsi="Times New Roman"/>
                <w:szCs w:val="21"/>
              </w:rPr>
              <w:t>脱盐水</w:t>
            </w:r>
          </w:p>
        </w:tc>
        <w:tc>
          <w:tcPr>
            <w:tcW w:w="5383" w:type="dxa"/>
            <w:vAlign w:val="center"/>
          </w:tcPr>
          <w:p w:rsidR="00525419" w:rsidRDefault="00EE1CF7">
            <w:pPr>
              <w:jc w:val="center"/>
              <w:rPr>
                <w:rFonts w:ascii="Times New Roman" w:hAnsi="Times New Roman"/>
                <w:szCs w:val="21"/>
              </w:rPr>
            </w:pPr>
            <w:r>
              <w:rPr>
                <w:rFonts w:ascii="Times New Roman" w:hAnsi="Times New Roman"/>
                <w:szCs w:val="21"/>
              </w:rPr>
              <w:t>新建脱盐水站：扩建处理能力</w:t>
            </w:r>
            <w:r>
              <w:rPr>
                <w:rFonts w:ascii="Times New Roman" w:hAnsi="Times New Roman"/>
                <w:szCs w:val="21"/>
              </w:rPr>
              <w:t>60m</w:t>
            </w:r>
            <w:r>
              <w:rPr>
                <w:rFonts w:ascii="Times New Roman" w:hAnsi="Times New Roman"/>
                <w:szCs w:val="21"/>
                <w:vertAlign w:val="superscript"/>
              </w:rPr>
              <w:t>3</w:t>
            </w:r>
            <w:r>
              <w:rPr>
                <w:rFonts w:ascii="Times New Roman" w:hAnsi="Times New Roman"/>
                <w:szCs w:val="24"/>
              </w:rPr>
              <w:t>/</w:t>
            </w:r>
            <w:r>
              <w:rPr>
                <w:rFonts w:ascii="Times New Roman" w:hAnsi="Times New Roman"/>
                <w:szCs w:val="21"/>
              </w:rPr>
              <w:t>h</w:t>
            </w:r>
          </w:p>
        </w:tc>
        <w:tc>
          <w:tcPr>
            <w:tcW w:w="6240" w:type="dxa"/>
            <w:vAlign w:val="center"/>
          </w:tcPr>
          <w:p w:rsidR="00525419" w:rsidRDefault="00EE1CF7">
            <w:pPr>
              <w:jc w:val="center"/>
              <w:rPr>
                <w:rFonts w:ascii="Times New Roman" w:hAnsi="Times New Roman"/>
                <w:szCs w:val="21"/>
              </w:rPr>
            </w:pPr>
            <w:r>
              <w:rPr>
                <w:rFonts w:ascii="Times New Roman" w:hAnsi="Times New Roman"/>
                <w:szCs w:val="21"/>
              </w:rPr>
              <w:t>新建脱盐水站：处理能力</w:t>
            </w:r>
            <w:r>
              <w:rPr>
                <w:rFonts w:ascii="Times New Roman" w:hAnsi="Times New Roman"/>
                <w:szCs w:val="21"/>
              </w:rPr>
              <w:t>100m</w:t>
            </w:r>
            <w:r>
              <w:rPr>
                <w:rFonts w:ascii="Times New Roman" w:hAnsi="Times New Roman"/>
                <w:szCs w:val="21"/>
                <w:vertAlign w:val="superscript"/>
              </w:rPr>
              <w:t>3</w:t>
            </w:r>
            <w:r>
              <w:rPr>
                <w:rFonts w:ascii="Times New Roman" w:hAnsi="Times New Roman"/>
                <w:szCs w:val="24"/>
              </w:rPr>
              <w:t>/</w:t>
            </w:r>
            <w:r>
              <w:rPr>
                <w:rFonts w:ascii="Times New Roman" w:hAnsi="Times New Roman"/>
                <w:szCs w:val="21"/>
              </w:rPr>
              <w:t>h</w:t>
            </w:r>
          </w:p>
        </w:tc>
      </w:tr>
      <w:tr w:rsidR="00525419">
        <w:tc>
          <w:tcPr>
            <w:tcW w:w="1298" w:type="dxa"/>
            <w:vMerge/>
            <w:vAlign w:val="center"/>
          </w:tcPr>
          <w:p w:rsidR="00525419" w:rsidRDefault="00525419">
            <w:pPr>
              <w:jc w:val="center"/>
              <w:rPr>
                <w:rFonts w:ascii="Times New Roman" w:hAnsi="Times New Roman"/>
                <w:szCs w:val="21"/>
              </w:rPr>
            </w:pPr>
          </w:p>
        </w:tc>
        <w:tc>
          <w:tcPr>
            <w:tcW w:w="1250" w:type="dxa"/>
            <w:vAlign w:val="center"/>
          </w:tcPr>
          <w:p w:rsidR="00525419" w:rsidRDefault="00EE1CF7">
            <w:pPr>
              <w:jc w:val="center"/>
              <w:rPr>
                <w:rFonts w:ascii="Times New Roman" w:hAnsi="Times New Roman"/>
                <w:szCs w:val="21"/>
              </w:rPr>
            </w:pPr>
            <w:r>
              <w:rPr>
                <w:rFonts w:ascii="Times New Roman" w:hAnsi="Times New Roman"/>
                <w:szCs w:val="21"/>
              </w:rPr>
              <w:t>循环水</w:t>
            </w:r>
          </w:p>
        </w:tc>
        <w:tc>
          <w:tcPr>
            <w:tcW w:w="5383" w:type="dxa"/>
            <w:vAlign w:val="center"/>
          </w:tcPr>
          <w:p w:rsidR="00525419" w:rsidRDefault="00EE1CF7">
            <w:pPr>
              <w:jc w:val="center"/>
              <w:rPr>
                <w:rFonts w:ascii="Times New Roman" w:hAnsi="Times New Roman"/>
                <w:szCs w:val="21"/>
              </w:rPr>
            </w:pPr>
            <w:r>
              <w:rPr>
                <w:rFonts w:ascii="Times New Roman" w:hAnsi="Times New Roman"/>
                <w:szCs w:val="21"/>
              </w:rPr>
              <w:t>扩建能力</w:t>
            </w:r>
            <w:r>
              <w:rPr>
                <w:rFonts w:ascii="Times New Roman" w:hAnsi="Times New Roman"/>
                <w:szCs w:val="21"/>
              </w:rPr>
              <w:t>3000 m</w:t>
            </w:r>
            <w:r>
              <w:rPr>
                <w:rFonts w:ascii="Times New Roman" w:hAnsi="Times New Roman"/>
                <w:szCs w:val="21"/>
                <w:vertAlign w:val="superscript"/>
              </w:rPr>
              <w:t>3</w:t>
            </w:r>
            <w:r>
              <w:rPr>
                <w:rFonts w:ascii="Times New Roman" w:hAnsi="Times New Roman"/>
                <w:szCs w:val="24"/>
              </w:rPr>
              <w:t>/</w:t>
            </w:r>
            <w:r>
              <w:rPr>
                <w:rFonts w:ascii="Times New Roman" w:hAnsi="Times New Roman"/>
                <w:szCs w:val="21"/>
              </w:rPr>
              <w:t>h</w:t>
            </w:r>
            <w:r>
              <w:rPr>
                <w:rFonts w:ascii="Times New Roman" w:hAnsi="Times New Roman"/>
                <w:szCs w:val="21"/>
              </w:rPr>
              <w:t>：</w:t>
            </w:r>
            <w:r>
              <w:rPr>
                <w:rFonts w:ascii="Times New Roman" w:hAnsi="Times New Roman"/>
                <w:szCs w:val="21"/>
              </w:rPr>
              <w:t>2</w:t>
            </w:r>
            <w:r>
              <w:rPr>
                <w:rFonts w:ascii="Times New Roman" w:hAnsi="Times New Roman"/>
                <w:szCs w:val="21"/>
              </w:rPr>
              <w:t>座处理水量</w:t>
            </w:r>
            <w:r>
              <w:rPr>
                <w:rFonts w:ascii="Times New Roman" w:hAnsi="Times New Roman"/>
                <w:szCs w:val="21"/>
              </w:rPr>
              <w:t>1500m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的冷却塔</w:t>
            </w:r>
          </w:p>
        </w:tc>
        <w:tc>
          <w:tcPr>
            <w:tcW w:w="6240" w:type="dxa"/>
            <w:vAlign w:val="center"/>
          </w:tcPr>
          <w:p w:rsidR="00525419" w:rsidRDefault="00EE1CF7">
            <w:pPr>
              <w:jc w:val="center"/>
              <w:rPr>
                <w:rFonts w:ascii="Times New Roman" w:hAnsi="Times New Roman"/>
                <w:szCs w:val="21"/>
              </w:rPr>
            </w:pPr>
            <w:r>
              <w:rPr>
                <w:rFonts w:ascii="Times New Roman" w:hAnsi="Times New Roman"/>
              </w:rPr>
              <w:t>扩建循环水规模为</w:t>
            </w:r>
            <w:r>
              <w:rPr>
                <w:rFonts w:ascii="Times New Roman" w:hAnsi="Times New Roman"/>
              </w:rPr>
              <w:t>1000m</w:t>
            </w:r>
            <w:r>
              <w:rPr>
                <w:rFonts w:ascii="Times New Roman" w:hAnsi="Times New Roman"/>
                <w:vertAlign w:val="superscript"/>
              </w:rPr>
              <w:t>3</w:t>
            </w:r>
            <w:r>
              <w:rPr>
                <w:rFonts w:ascii="Times New Roman" w:hAnsi="Times New Roman"/>
              </w:rPr>
              <w:t>/h</w:t>
            </w:r>
            <w:r>
              <w:rPr>
                <w:rFonts w:ascii="Times New Roman" w:hAnsi="Times New Roman"/>
              </w:rPr>
              <w:t>，硫磺回收联合装置自建循环水</w:t>
            </w:r>
            <w:r>
              <w:rPr>
                <w:rFonts w:ascii="Times New Roman" w:hAnsi="Times New Roman" w:hint="eastAsia"/>
              </w:rPr>
              <w:t>规模</w:t>
            </w:r>
            <w:r>
              <w:rPr>
                <w:rFonts w:ascii="Times New Roman" w:hAnsi="Times New Roman" w:hint="eastAsia"/>
              </w:rPr>
              <w:t xml:space="preserve"> </w:t>
            </w:r>
            <w:r>
              <w:rPr>
                <w:rFonts w:ascii="Times New Roman" w:hAnsi="Times New Roman"/>
              </w:rPr>
              <w:t>500 m</w:t>
            </w:r>
            <w:r>
              <w:rPr>
                <w:rFonts w:ascii="Times New Roman" w:hAnsi="Times New Roman"/>
                <w:vertAlign w:val="superscript"/>
              </w:rPr>
              <w:t>3</w:t>
            </w:r>
            <w:r>
              <w:rPr>
                <w:rFonts w:ascii="Times New Roman" w:hAnsi="Times New Roman"/>
              </w:rPr>
              <w:t>/h</w:t>
            </w:r>
          </w:p>
        </w:tc>
      </w:tr>
      <w:tr w:rsidR="00525419">
        <w:tc>
          <w:tcPr>
            <w:tcW w:w="1298" w:type="dxa"/>
            <w:vMerge/>
            <w:vAlign w:val="center"/>
          </w:tcPr>
          <w:p w:rsidR="00525419" w:rsidRDefault="00525419">
            <w:pPr>
              <w:jc w:val="center"/>
              <w:rPr>
                <w:rFonts w:ascii="Times New Roman" w:hAnsi="Times New Roman"/>
                <w:szCs w:val="21"/>
              </w:rPr>
            </w:pPr>
          </w:p>
        </w:tc>
        <w:tc>
          <w:tcPr>
            <w:tcW w:w="1250" w:type="dxa"/>
            <w:vAlign w:val="center"/>
          </w:tcPr>
          <w:p w:rsidR="00525419" w:rsidRDefault="00EE1CF7">
            <w:pPr>
              <w:jc w:val="center"/>
              <w:rPr>
                <w:rFonts w:ascii="Times New Roman" w:hAnsi="Times New Roman"/>
                <w:szCs w:val="21"/>
              </w:rPr>
            </w:pPr>
            <w:r>
              <w:rPr>
                <w:rFonts w:ascii="Times New Roman" w:hAnsi="Times New Roman"/>
                <w:szCs w:val="21"/>
              </w:rPr>
              <w:t>消防水</w:t>
            </w:r>
          </w:p>
        </w:tc>
        <w:tc>
          <w:tcPr>
            <w:tcW w:w="5383" w:type="dxa"/>
            <w:vAlign w:val="center"/>
          </w:tcPr>
          <w:p w:rsidR="00525419" w:rsidRDefault="00EE1CF7">
            <w:pPr>
              <w:jc w:val="center"/>
              <w:rPr>
                <w:rFonts w:ascii="Times New Roman" w:hAnsi="Times New Roman"/>
                <w:szCs w:val="21"/>
              </w:rPr>
            </w:pPr>
            <w:r>
              <w:rPr>
                <w:rFonts w:ascii="Times New Roman" w:hAnsi="Times New Roman"/>
                <w:szCs w:val="21"/>
              </w:rPr>
              <w:t>/</w:t>
            </w:r>
          </w:p>
        </w:tc>
        <w:tc>
          <w:tcPr>
            <w:tcW w:w="6240" w:type="dxa"/>
            <w:vAlign w:val="center"/>
          </w:tcPr>
          <w:p w:rsidR="00525419" w:rsidRDefault="00EE1CF7">
            <w:pPr>
              <w:jc w:val="center"/>
              <w:rPr>
                <w:rFonts w:ascii="Times New Roman" w:hAnsi="Times New Roman"/>
                <w:szCs w:val="21"/>
              </w:rPr>
            </w:pPr>
            <w:r>
              <w:rPr>
                <w:rFonts w:ascii="Times New Roman" w:hAnsi="Times New Roman"/>
                <w:szCs w:val="21"/>
                <w:lang w:val="zh-CN"/>
              </w:rPr>
              <w:t>扩建</w:t>
            </w:r>
            <w:r>
              <w:rPr>
                <w:rFonts w:ascii="Times New Roman" w:hAnsi="Times New Roman"/>
                <w:szCs w:val="21"/>
                <w:lang w:val="zh-CN"/>
              </w:rPr>
              <w:t>1000m</w:t>
            </w:r>
            <w:r>
              <w:rPr>
                <w:rFonts w:ascii="Times New Roman" w:hAnsi="Times New Roman"/>
                <w:szCs w:val="21"/>
                <w:vertAlign w:val="superscript"/>
                <w:lang w:val="zh-CN"/>
              </w:rPr>
              <w:t>3</w:t>
            </w:r>
            <w:r>
              <w:rPr>
                <w:rFonts w:ascii="Times New Roman" w:hAnsi="Times New Roman"/>
                <w:szCs w:val="21"/>
                <w:lang w:val="zh-CN"/>
              </w:rPr>
              <w:t>消防水罐</w:t>
            </w:r>
            <w:r>
              <w:rPr>
                <w:rFonts w:ascii="Times New Roman" w:hAnsi="Times New Roman"/>
                <w:szCs w:val="21"/>
                <w:lang w:val="zh-CN"/>
              </w:rPr>
              <w:t>2</w:t>
            </w:r>
            <w:r>
              <w:rPr>
                <w:rFonts w:ascii="Times New Roman" w:hAnsi="Times New Roman"/>
                <w:szCs w:val="21"/>
                <w:lang w:val="zh-CN"/>
              </w:rPr>
              <w:t>个</w:t>
            </w:r>
          </w:p>
        </w:tc>
      </w:tr>
      <w:tr w:rsidR="00525419">
        <w:trPr>
          <w:trHeight w:val="90"/>
        </w:trPr>
        <w:tc>
          <w:tcPr>
            <w:tcW w:w="1298" w:type="dxa"/>
            <w:vMerge/>
            <w:vAlign w:val="center"/>
          </w:tcPr>
          <w:p w:rsidR="00525419" w:rsidRDefault="00525419">
            <w:pPr>
              <w:jc w:val="center"/>
              <w:rPr>
                <w:rFonts w:ascii="Times New Roman" w:hAnsi="Times New Roman"/>
                <w:szCs w:val="21"/>
              </w:rPr>
            </w:pPr>
          </w:p>
        </w:tc>
        <w:tc>
          <w:tcPr>
            <w:tcW w:w="1250" w:type="dxa"/>
            <w:vAlign w:val="center"/>
          </w:tcPr>
          <w:p w:rsidR="00525419" w:rsidRDefault="00EE1CF7">
            <w:pPr>
              <w:jc w:val="center"/>
              <w:rPr>
                <w:rFonts w:ascii="Times New Roman" w:hAnsi="Times New Roman"/>
                <w:szCs w:val="21"/>
              </w:rPr>
            </w:pPr>
            <w:r>
              <w:rPr>
                <w:rFonts w:ascii="Times New Roman" w:hAnsi="Times New Roman"/>
                <w:szCs w:val="21"/>
              </w:rPr>
              <w:t>污水处理装置</w:t>
            </w:r>
          </w:p>
        </w:tc>
        <w:tc>
          <w:tcPr>
            <w:tcW w:w="5383" w:type="dxa"/>
            <w:vAlign w:val="center"/>
          </w:tcPr>
          <w:p w:rsidR="00525419" w:rsidRDefault="00EE1CF7">
            <w:pPr>
              <w:jc w:val="center"/>
              <w:rPr>
                <w:rFonts w:ascii="Times New Roman" w:hAnsi="Times New Roman"/>
                <w:szCs w:val="21"/>
              </w:rPr>
            </w:pPr>
            <w:r>
              <w:rPr>
                <w:rFonts w:ascii="Times New Roman" w:hAnsi="Times New Roman"/>
                <w:szCs w:val="21"/>
              </w:rPr>
              <w:t>扩建处理能力</w:t>
            </w:r>
            <w:r>
              <w:rPr>
                <w:rFonts w:ascii="Times New Roman" w:hAnsi="Times New Roman"/>
                <w:szCs w:val="21"/>
              </w:rPr>
              <w:t>80m</w:t>
            </w:r>
            <w:r>
              <w:rPr>
                <w:rFonts w:ascii="Times New Roman" w:hAnsi="Times New Roman"/>
                <w:szCs w:val="21"/>
                <w:vertAlign w:val="superscript"/>
              </w:rPr>
              <w:t>3</w:t>
            </w:r>
            <w:r>
              <w:rPr>
                <w:rFonts w:ascii="Times New Roman" w:hAnsi="Times New Roman"/>
                <w:szCs w:val="24"/>
              </w:rPr>
              <w:t>/</w:t>
            </w:r>
            <w:r>
              <w:rPr>
                <w:rFonts w:ascii="Times New Roman" w:hAnsi="Times New Roman"/>
                <w:szCs w:val="21"/>
              </w:rPr>
              <w:t>h</w:t>
            </w:r>
            <w:r>
              <w:rPr>
                <w:rFonts w:ascii="Times New Roman" w:hAnsi="Times New Roman"/>
                <w:szCs w:val="21"/>
              </w:rPr>
              <w:t>，新建污水处理装置一座，采用格栅隔油</w:t>
            </w:r>
            <w:r>
              <w:rPr>
                <w:rFonts w:ascii="Times New Roman" w:hAnsi="Times New Roman"/>
                <w:szCs w:val="21"/>
              </w:rPr>
              <w:t>+</w:t>
            </w:r>
            <w:r>
              <w:rPr>
                <w:rFonts w:ascii="Times New Roman" w:hAnsi="Times New Roman"/>
                <w:szCs w:val="21"/>
              </w:rPr>
              <w:t>一、二级气浮</w:t>
            </w:r>
            <w:r>
              <w:rPr>
                <w:rFonts w:ascii="Times New Roman" w:hAnsi="Times New Roman"/>
                <w:szCs w:val="21"/>
              </w:rPr>
              <w:t>+A/O</w:t>
            </w:r>
            <w:r>
              <w:rPr>
                <w:rFonts w:ascii="Times New Roman" w:hAnsi="Times New Roman"/>
                <w:szCs w:val="21"/>
              </w:rPr>
              <w:t>生化</w:t>
            </w:r>
            <w:r>
              <w:rPr>
                <w:rFonts w:ascii="Times New Roman" w:hAnsi="Times New Roman"/>
                <w:szCs w:val="21"/>
              </w:rPr>
              <w:t>+</w:t>
            </w:r>
            <w:r>
              <w:rPr>
                <w:rFonts w:ascii="Times New Roman" w:hAnsi="Times New Roman"/>
                <w:szCs w:val="21"/>
              </w:rPr>
              <w:t>臭氧接触</w:t>
            </w:r>
            <w:r>
              <w:rPr>
                <w:rFonts w:ascii="Times New Roman" w:hAnsi="Times New Roman"/>
                <w:szCs w:val="21"/>
              </w:rPr>
              <w:t>+BAF</w:t>
            </w:r>
            <w:r>
              <w:rPr>
                <w:rFonts w:ascii="Times New Roman" w:hAnsi="Times New Roman"/>
                <w:szCs w:val="21"/>
              </w:rPr>
              <w:t>池</w:t>
            </w:r>
            <w:r>
              <w:rPr>
                <w:rFonts w:ascii="Times New Roman" w:hAnsi="Times New Roman"/>
                <w:szCs w:val="21"/>
              </w:rPr>
              <w:t>+</w:t>
            </w:r>
            <w:r>
              <w:rPr>
                <w:rFonts w:ascii="Times New Roman" w:hAnsi="Times New Roman"/>
                <w:szCs w:val="21"/>
              </w:rPr>
              <w:t>砂滤池</w:t>
            </w:r>
            <w:r>
              <w:rPr>
                <w:rFonts w:ascii="Times New Roman" w:hAnsi="Times New Roman"/>
                <w:szCs w:val="21"/>
              </w:rPr>
              <w:t>+</w:t>
            </w:r>
            <w:r>
              <w:rPr>
                <w:rFonts w:ascii="Times New Roman" w:hAnsi="Times New Roman"/>
                <w:szCs w:val="21"/>
              </w:rPr>
              <w:t>活性炭滤池</w:t>
            </w:r>
            <w:r>
              <w:rPr>
                <w:rFonts w:ascii="Times New Roman" w:hAnsi="Times New Roman"/>
                <w:szCs w:val="21"/>
              </w:rPr>
              <w:t>+</w:t>
            </w:r>
            <w:r>
              <w:rPr>
                <w:rFonts w:ascii="Times New Roman" w:hAnsi="Times New Roman"/>
                <w:szCs w:val="21"/>
              </w:rPr>
              <w:t>膜处理系统工艺。</w:t>
            </w:r>
          </w:p>
        </w:tc>
        <w:tc>
          <w:tcPr>
            <w:tcW w:w="6240" w:type="dxa"/>
            <w:vAlign w:val="center"/>
          </w:tcPr>
          <w:p w:rsidR="00525419" w:rsidRDefault="00EE1CF7">
            <w:pPr>
              <w:jc w:val="center"/>
              <w:rPr>
                <w:rFonts w:ascii="Times New Roman" w:hAnsi="Times New Roman"/>
                <w:szCs w:val="21"/>
                <w:lang w:val="zh-CN"/>
              </w:rPr>
            </w:pPr>
            <w:r>
              <w:rPr>
                <w:rFonts w:ascii="Times New Roman" w:hAnsi="Times New Roman"/>
                <w:szCs w:val="21"/>
              </w:rPr>
              <w:t>本次扩建内容为</w:t>
            </w:r>
            <w:r>
              <w:rPr>
                <w:rFonts w:ascii="Times New Roman" w:hAnsi="Times New Roman" w:hint="eastAsia"/>
                <w:szCs w:val="21"/>
              </w:rPr>
              <w:t>新增</w:t>
            </w:r>
            <w:r>
              <w:rPr>
                <w:rFonts w:ascii="Times New Roman" w:hAnsi="Times New Roman"/>
                <w:shd w:val="clear" w:color="auto" w:fill="FFFFFF"/>
              </w:rPr>
              <w:t>溶剂气浮</w:t>
            </w:r>
            <w:r>
              <w:rPr>
                <w:rFonts w:ascii="Times New Roman" w:hAnsi="Times New Roman" w:hint="eastAsia"/>
                <w:shd w:val="clear" w:color="auto" w:fill="FFFFFF"/>
              </w:rPr>
              <w:t>装置</w:t>
            </w:r>
            <w:r>
              <w:rPr>
                <w:rFonts w:ascii="Times New Roman" w:hAnsi="Times New Roman"/>
                <w:shd w:val="clear" w:color="auto" w:fill="FFFFFF"/>
              </w:rPr>
              <w:t>和涡凹气浮</w:t>
            </w:r>
            <w:r>
              <w:rPr>
                <w:rFonts w:ascii="Times New Roman" w:hAnsi="Times New Roman" w:hint="eastAsia"/>
                <w:shd w:val="clear" w:color="auto" w:fill="FFFFFF"/>
              </w:rPr>
              <w:t>装置</w:t>
            </w:r>
            <w:r>
              <w:rPr>
                <w:rFonts w:ascii="Times New Roman" w:hAnsi="Times New Roman"/>
                <w:shd w:val="clear" w:color="auto" w:fill="FFFFFF"/>
              </w:rPr>
              <w:t>，扩建后污水处理装置处理能力不变。</w:t>
            </w:r>
          </w:p>
        </w:tc>
      </w:tr>
      <w:tr w:rsidR="00525419">
        <w:tc>
          <w:tcPr>
            <w:tcW w:w="1298" w:type="dxa"/>
            <w:vMerge/>
            <w:vAlign w:val="center"/>
          </w:tcPr>
          <w:p w:rsidR="00525419" w:rsidRDefault="00525419">
            <w:pPr>
              <w:jc w:val="center"/>
              <w:rPr>
                <w:rFonts w:ascii="Times New Roman" w:hAnsi="Times New Roman"/>
                <w:szCs w:val="21"/>
              </w:rPr>
            </w:pPr>
          </w:p>
        </w:tc>
        <w:tc>
          <w:tcPr>
            <w:tcW w:w="1250" w:type="dxa"/>
            <w:vAlign w:val="center"/>
          </w:tcPr>
          <w:p w:rsidR="00525419" w:rsidRDefault="00EE1CF7">
            <w:pPr>
              <w:jc w:val="center"/>
              <w:rPr>
                <w:rFonts w:ascii="Times New Roman" w:hAnsi="Times New Roman"/>
                <w:szCs w:val="21"/>
              </w:rPr>
            </w:pPr>
            <w:r>
              <w:rPr>
                <w:rFonts w:ascii="Times New Roman" w:hAnsi="Times New Roman"/>
                <w:szCs w:val="21"/>
              </w:rPr>
              <w:t>供电</w:t>
            </w:r>
          </w:p>
        </w:tc>
        <w:tc>
          <w:tcPr>
            <w:tcW w:w="5383" w:type="dxa"/>
            <w:vAlign w:val="center"/>
          </w:tcPr>
          <w:p w:rsidR="00525419" w:rsidRDefault="00EE1CF7">
            <w:pPr>
              <w:spacing w:line="240" w:lineRule="atLeast"/>
              <w:rPr>
                <w:rFonts w:ascii="Times New Roman" w:hAnsi="Times New Roman"/>
                <w:szCs w:val="21"/>
              </w:rPr>
            </w:pPr>
            <w:r>
              <w:rPr>
                <w:rFonts w:ascii="Times New Roman" w:hAnsi="Times New Roman"/>
                <w:szCs w:val="21"/>
              </w:rPr>
              <w:t>新建一座</w:t>
            </w:r>
            <w:r>
              <w:rPr>
                <w:rFonts w:ascii="Times New Roman" w:hAnsi="Times New Roman"/>
                <w:szCs w:val="21"/>
              </w:rPr>
              <w:t>35/10kV</w:t>
            </w:r>
            <w:r>
              <w:rPr>
                <w:rFonts w:ascii="Times New Roman" w:hAnsi="Times New Roman"/>
                <w:szCs w:val="21"/>
              </w:rPr>
              <w:t>总变电站和</w:t>
            </w:r>
            <w:r>
              <w:rPr>
                <w:rFonts w:ascii="Times New Roman" w:hAnsi="Times New Roman"/>
                <w:szCs w:val="21"/>
              </w:rPr>
              <w:t>3</w:t>
            </w:r>
            <w:r>
              <w:rPr>
                <w:rFonts w:ascii="Times New Roman" w:hAnsi="Times New Roman"/>
                <w:szCs w:val="21"/>
              </w:rPr>
              <w:t>座</w:t>
            </w:r>
            <w:r>
              <w:rPr>
                <w:rFonts w:ascii="Times New Roman" w:hAnsi="Times New Roman"/>
                <w:szCs w:val="21"/>
              </w:rPr>
              <w:t>10kV</w:t>
            </w:r>
            <w:r>
              <w:rPr>
                <w:rFonts w:ascii="Times New Roman" w:hAnsi="Times New Roman"/>
                <w:szCs w:val="21"/>
              </w:rPr>
              <w:t>区域变配电室及</w:t>
            </w:r>
            <w:r>
              <w:rPr>
                <w:rFonts w:ascii="Times New Roman" w:hAnsi="Times New Roman"/>
                <w:szCs w:val="21"/>
              </w:rPr>
              <w:t>1</w:t>
            </w:r>
            <w:r>
              <w:rPr>
                <w:rFonts w:ascii="Times New Roman" w:hAnsi="Times New Roman"/>
                <w:szCs w:val="21"/>
              </w:rPr>
              <w:t>座低压配电室。</w:t>
            </w:r>
          </w:p>
        </w:tc>
        <w:tc>
          <w:tcPr>
            <w:tcW w:w="6240" w:type="dxa"/>
            <w:vAlign w:val="center"/>
          </w:tcPr>
          <w:p w:rsidR="00525419" w:rsidRDefault="00EE1CF7">
            <w:pPr>
              <w:jc w:val="center"/>
              <w:rPr>
                <w:rFonts w:ascii="Times New Roman" w:hAnsi="Times New Roman"/>
                <w:szCs w:val="21"/>
              </w:rPr>
            </w:pPr>
            <w:r>
              <w:rPr>
                <w:rFonts w:ascii="Times New Roman" w:hAnsi="Times New Roman"/>
                <w:szCs w:val="21"/>
              </w:rPr>
              <w:t>本项目新建一座</w:t>
            </w:r>
            <w:r>
              <w:rPr>
                <w:rFonts w:ascii="Times New Roman" w:hAnsi="Times New Roman"/>
                <w:szCs w:val="21"/>
              </w:rPr>
              <w:t>35kV</w:t>
            </w:r>
            <w:r>
              <w:rPr>
                <w:rFonts w:ascii="Times New Roman" w:hAnsi="Times New Roman"/>
                <w:szCs w:val="21"/>
              </w:rPr>
              <w:t>总变电站、</w:t>
            </w:r>
            <w:r>
              <w:rPr>
                <w:rFonts w:ascii="Times New Roman" w:hAnsi="Times New Roman"/>
                <w:szCs w:val="21"/>
              </w:rPr>
              <w:t>2</w:t>
            </w:r>
            <w:r>
              <w:rPr>
                <w:rFonts w:ascii="Times New Roman" w:hAnsi="Times New Roman"/>
                <w:szCs w:val="21"/>
              </w:rPr>
              <w:t>座配电室分别为加制氢单元配电室及硫磺回收单元配电室。</w:t>
            </w:r>
          </w:p>
        </w:tc>
      </w:tr>
      <w:tr w:rsidR="00525419">
        <w:trPr>
          <w:trHeight w:val="90"/>
        </w:trPr>
        <w:tc>
          <w:tcPr>
            <w:tcW w:w="1298" w:type="dxa"/>
            <w:vMerge/>
            <w:vAlign w:val="center"/>
          </w:tcPr>
          <w:p w:rsidR="00525419" w:rsidRDefault="00525419">
            <w:pPr>
              <w:jc w:val="center"/>
              <w:rPr>
                <w:rFonts w:ascii="Times New Roman" w:hAnsi="Times New Roman"/>
                <w:szCs w:val="21"/>
              </w:rPr>
            </w:pPr>
          </w:p>
        </w:tc>
        <w:tc>
          <w:tcPr>
            <w:tcW w:w="1250" w:type="dxa"/>
            <w:vAlign w:val="center"/>
          </w:tcPr>
          <w:p w:rsidR="00525419" w:rsidRDefault="00EE1CF7">
            <w:pPr>
              <w:jc w:val="center"/>
              <w:rPr>
                <w:rFonts w:ascii="Times New Roman" w:hAnsi="Times New Roman"/>
                <w:szCs w:val="21"/>
              </w:rPr>
            </w:pPr>
            <w:r>
              <w:rPr>
                <w:rFonts w:ascii="Times New Roman" w:hAnsi="Times New Roman"/>
                <w:szCs w:val="21"/>
              </w:rPr>
              <w:t>供风、供氮气</w:t>
            </w:r>
          </w:p>
        </w:tc>
        <w:tc>
          <w:tcPr>
            <w:tcW w:w="5383" w:type="dxa"/>
            <w:vAlign w:val="center"/>
          </w:tcPr>
          <w:p w:rsidR="00525419" w:rsidRDefault="00EE1CF7">
            <w:pPr>
              <w:jc w:val="center"/>
              <w:rPr>
                <w:rFonts w:ascii="Times New Roman" w:hAnsi="Times New Roman"/>
                <w:szCs w:val="21"/>
              </w:rPr>
            </w:pPr>
            <w:r>
              <w:rPr>
                <w:rFonts w:ascii="Times New Roman" w:hAnsi="Times New Roman"/>
                <w:szCs w:val="21"/>
              </w:rPr>
              <w:t>在厂区现空压站新增一台空压机，一套</w:t>
            </w:r>
            <w:r>
              <w:rPr>
                <w:rFonts w:ascii="Times New Roman" w:hAnsi="Times New Roman"/>
                <w:szCs w:val="21"/>
              </w:rPr>
              <w:t>3000Nm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空气净化设备和</w:t>
            </w:r>
            <w:r>
              <w:rPr>
                <w:rFonts w:ascii="Times New Roman" w:hAnsi="Times New Roman"/>
                <w:szCs w:val="21"/>
              </w:rPr>
              <w:t>500 Nm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提纯氮气吸附罐。</w:t>
            </w:r>
          </w:p>
        </w:tc>
        <w:tc>
          <w:tcPr>
            <w:tcW w:w="6240" w:type="dxa"/>
            <w:vAlign w:val="center"/>
          </w:tcPr>
          <w:p w:rsidR="00525419" w:rsidRDefault="00EE1CF7">
            <w:pPr>
              <w:jc w:val="center"/>
              <w:rPr>
                <w:rFonts w:ascii="Times New Roman" w:hAnsi="Times New Roman"/>
                <w:szCs w:val="21"/>
              </w:rPr>
            </w:pPr>
            <w:r>
              <w:rPr>
                <w:rFonts w:ascii="Times New Roman" w:hAnsi="Times New Roman"/>
                <w:szCs w:val="21"/>
              </w:rPr>
              <w:t>在厂区现空压站新增一台空压机，一套</w:t>
            </w:r>
            <w:r>
              <w:rPr>
                <w:rFonts w:ascii="Times New Roman" w:hAnsi="Times New Roman"/>
                <w:szCs w:val="21"/>
              </w:rPr>
              <w:t>9000Nm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空气净化设备和</w:t>
            </w:r>
            <w:r>
              <w:rPr>
                <w:rFonts w:ascii="Times New Roman" w:hAnsi="Times New Roman"/>
                <w:szCs w:val="21"/>
              </w:rPr>
              <w:t>1250 Nm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提纯氮气吸附罐</w:t>
            </w:r>
            <w:r>
              <w:rPr>
                <w:rFonts w:ascii="Times New Roman" w:hAnsi="Times New Roman" w:hint="eastAsia"/>
                <w:szCs w:val="21"/>
              </w:rPr>
              <w:t>，新增</w:t>
            </w:r>
            <w:r>
              <w:rPr>
                <w:rFonts w:ascii="Times New Roman" w:hAnsi="Times New Roman" w:hint="eastAsia"/>
                <w:szCs w:val="21"/>
              </w:rPr>
              <w:t>50m</w:t>
            </w:r>
            <w:r>
              <w:rPr>
                <w:rFonts w:ascii="Times New Roman" w:hAnsi="Times New Roman" w:hint="eastAsia"/>
                <w:szCs w:val="21"/>
                <w:vertAlign w:val="superscript"/>
              </w:rPr>
              <w:t>3</w:t>
            </w:r>
            <w:r>
              <w:rPr>
                <w:rFonts w:ascii="Times New Roman" w:hAnsi="Times New Roman" w:hint="eastAsia"/>
                <w:szCs w:val="21"/>
              </w:rPr>
              <w:t>液氮站</w:t>
            </w:r>
            <w:r>
              <w:rPr>
                <w:rFonts w:hint="eastAsia"/>
              </w:rPr>
              <w:t>。</w:t>
            </w:r>
          </w:p>
        </w:tc>
      </w:tr>
      <w:tr w:rsidR="00525419">
        <w:tc>
          <w:tcPr>
            <w:tcW w:w="1298" w:type="dxa"/>
            <w:vAlign w:val="center"/>
          </w:tcPr>
          <w:p w:rsidR="00525419" w:rsidRDefault="00EE1CF7">
            <w:pPr>
              <w:jc w:val="center"/>
              <w:rPr>
                <w:rFonts w:ascii="Times New Roman" w:hAnsi="Times New Roman"/>
                <w:szCs w:val="21"/>
              </w:rPr>
            </w:pPr>
            <w:r>
              <w:rPr>
                <w:rFonts w:ascii="Times New Roman" w:hAnsi="Times New Roman"/>
                <w:szCs w:val="21"/>
              </w:rPr>
              <w:t>储运工程</w:t>
            </w:r>
          </w:p>
        </w:tc>
        <w:tc>
          <w:tcPr>
            <w:tcW w:w="1250" w:type="dxa"/>
            <w:vAlign w:val="center"/>
          </w:tcPr>
          <w:p w:rsidR="00525419" w:rsidRDefault="00EE1CF7">
            <w:pPr>
              <w:jc w:val="center"/>
              <w:rPr>
                <w:rFonts w:ascii="Times New Roman" w:hAnsi="Times New Roman"/>
                <w:szCs w:val="21"/>
              </w:rPr>
            </w:pPr>
            <w:r>
              <w:rPr>
                <w:rFonts w:ascii="Times New Roman" w:hAnsi="Times New Roman"/>
                <w:szCs w:val="21"/>
              </w:rPr>
              <w:t>储罐区</w:t>
            </w:r>
          </w:p>
        </w:tc>
        <w:tc>
          <w:tcPr>
            <w:tcW w:w="5383" w:type="dxa"/>
            <w:vAlign w:val="center"/>
          </w:tcPr>
          <w:p w:rsidR="00525419" w:rsidRDefault="00EE1CF7">
            <w:pPr>
              <w:jc w:val="center"/>
              <w:rPr>
                <w:rFonts w:ascii="Times New Roman" w:hAnsi="Times New Roman"/>
                <w:szCs w:val="21"/>
              </w:rPr>
            </w:pPr>
            <w:r>
              <w:rPr>
                <w:rFonts w:ascii="Times New Roman" w:hAnsi="Times New Roman"/>
                <w:szCs w:val="21"/>
                <w:lang w:val="zh-CN"/>
              </w:rPr>
              <w:t>（部分利旧</w:t>
            </w:r>
            <w:r>
              <w:rPr>
                <w:rFonts w:ascii="Times New Roman" w:hAnsi="Times New Roman"/>
                <w:szCs w:val="21"/>
              </w:rPr>
              <w:t>+</w:t>
            </w:r>
            <w:r>
              <w:rPr>
                <w:rFonts w:ascii="Times New Roman" w:hAnsi="Times New Roman"/>
                <w:szCs w:val="21"/>
              </w:rPr>
              <w:t>新建</w:t>
            </w:r>
            <w:r>
              <w:rPr>
                <w:rFonts w:ascii="Times New Roman" w:hAnsi="Times New Roman"/>
                <w:szCs w:val="21"/>
                <w:lang w:val="zh-CN"/>
              </w:rPr>
              <w:t>）煤焦油储存利旧</w:t>
            </w:r>
            <w:r>
              <w:rPr>
                <w:rFonts w:ascii="Times New Roman" w:hAnsi="Times New Roman"/>
                <w:szCs w:val="21"/>
                <w:lang w:val="zh-CN"/>
              </w:rPr>
              <w:t>10000m</w:t>
            </w:r>
            <w:r>
              <w:rPr>
                <w:rFonts w:ascii="Times New Roman" w:hAnsi="Times New Roman"/>
                <w:szCs w:val="21"/>
                <w:vertAlign w:val="superscript"/>
                <w:lang w:val="zh-CN"/>
              </w:rPr>
              <w:t>3</w:t>
            </w:r>
            <w:r>
              <w:rPr>
                <w:rFonts w:ascii="Times New Roman" w:hAnsi="Times New Roman"/>
                <w:szCs w:val="21"/>
              </w:rPr>
              <w:t>储罐</w:t>
            </w:r>
            <w:r>
              <w:rPr>
                <w:rFonts w:ascii="Times New Roman" w:hAnsi="Times New Roman"/>
                <w:szCs w:val="21"/>
              </w:rPr>
              <w:t>2</w:t>
            </w:r>
            <w:r>
              <w:rPr>
                <w:rFonts w:ascii="Times New Roman" w:hAnsi="Times New Roman"/>
                <w:szCs w:val="21"/>
              </w:rPr>
              <w:t>座、</w:t>
            </w:r>
            <w:r>
              <w:rPr>
                <w:rFonts w:ascii="Times New Roman" w:hAnsi="Times New Roman"/>
                <w:kern w:val="0"/>
                <w:szCs w:val="21"/>
              </w:rPr>
              <w:t>柴油储存利旧</w:t>
            </w:r>
            <w:r>
              <w:rPr>
                <w:rFonts w:ascii="Times New Roman" w:hAnsi="Times New Roman"/>
                <w:kern w:val="0"/>
                <w:szCs w:val="21"/>
              </w:rPr>
              <w:t>10000m³</w:t>
            </w:r>
            <w:r>
              <w:rPr>
                <w:rFonts w:ascii="Times New Roman" w:hAnsi="Times New Roman"/>
                <w:szCs w:val="21"/>
              </w:rPr>
              <w:t>储罐</w:t>
            </w:r>
            <w:r>
              <w:rPr>
                <w:rFonts w:ascii="Times New Roman" w:hAnsi="Times New Roman"/>
                <w:szCs w:val="21"/>
              </w:rPr>
              <w:t>2</w:t>
            </w:r>
            <w:r>
              <w:rPr>
                <w:rFonts w:ascii="Times New Roman" w:hAnsi="Times New Roman"/>
                <w:szCs w:val="21"/>
              </w:rPr>
              <w:t>座、</w:t>
            </w:r>
            <w:r>
              <w:rPr>
                <w:rFonts w:ascii="Times New Roman" w:hAnsi="Times New Roman"/>
                <w:kern w:val="0"/>
                <w:szCs w:val="21"/>
              </w:rPr>
              <w:t>尾油储存利旧</w:t>
            </w:r>
            <w:r>
              <w:rPr>
                <w:rFonts w:ascii="Times New Roman" w:hAnsi="Times New Roman"/>
                <w:kern w:val="0"/>
                <w:szCs w:val="21"/>
              </w:rPr>
              <w:t>3000m³</w:t>
            </w:r>
            <w:r>
              <w:rPr>
                <w:rFonts w:ascii="Times New Roman" w:hAnsi="Times New Roman"/>
                <w:szCs w:val="21"/>
              </w:rPr>
              <w:t>储罐</w:t>
            </w:r>
            <w:r>
              <w:rPr>
                <w:rFonts w:ascii="Times New Roman" w:hAnsi="Times New Roman"/>
                <w:szCs w:val="21"/>
              </w:rPr>
              <w:t>2</w:t>
            </w:r>
            <w:r>
              <w:rPr>
                <w:rFonts w:ascii="Times New Roman" w:hAnsi="Times New Roman"/>
                <w:szCs w:val="21"/>
              </w:rPr>
              <w:t>座、</w:t>
            </w:r>
            <w:r>
              <w:rPr>
                <w:rFonts w:ascii="Times New Roman" w:hAnsi="Times New Roman"/>
                <w:kern w:val="0"/>
                <w:szCs w:val="21"/>
              </w:rPr>
              <w:t>苯储存新建</w:t>
            </w:r>
            <w:r>
              <w:rPr>
                <w:rFonts w:ascii="Times New Roman" w:hAnsi="Times New Roman"/>
                <w:kern w:val="0"/>
                <w:szCs w:val="21"/>
              </w:rPr>
              <w:t>500m³</w:t>
            </w:r>
            <w:r>
              <w:rPr>
                <w:rFonts w:ascii="Times New Roman" w:hAnsi="Times New Roman"/>
                <w:szCs w:val="21"/>
              </w:rPr>
              <w:t>储罐</w:t>
            </w:r>
            <w:r>
              <w:rPr>
                <w:rFonts w:ascii="Times New Roman" w:hAnsi="Times New Roman"/>
                <w:szCs w:val="21"/>
              </w:rPr>
              <w:t>2</w:t>
            </w:r>
            <w:r>
              <w:rPr>
                <w:rFonts w:ascii="Times New Roman" w:hAnsi="Times New Roman"/>
                <w:szCs w:val="21"/>
              </w:rPr>
              <w:t>座、</w:t>
            </w:r>
            <w:r>
              <w:rPr>
                <w:rFonts w:ascii="Times New Roman" w:hAnsi="Times New Roman"/>
                <w:kern w:val="0"/>
                <w:szCs w:val="21"/>
              </w:rPr>
              <w:t>轻芳烃储存利旧</w:t>
            </w:r>
            <w:r>
              <w:rPr>
                <w:rFonts w:ascii="Times New Roman" w:hAnsi="Times New Roman"/>
                <w:kern w:val="0"/>
                <w:szCs w:val="21"/>
              </w:rPr>
              <w:lastRenderedPageBreak/>
              <w:t>2000m³</w:t>
            </w:r>
            <w:r>
              <w:rPr>
                <w:rFonts w:ascii="Times New Roman" w:hAnsi="Times New Roman"/>
                <w:szCs w:val="21"/>
              </w:rPr>
              <w:t>储罐</w:t>
            </w:r>
            <w:r>
              <w:rPr>
                <w:rFonts w:ascii="Times New Roman" w:hAnsi="Times New Roman"/>
                <w:szCs w:val="21"/>
              </w:rPr>
              <w:t>2</w:t>
            </w:r>
            <w:r>
              <w:rPr>
                <w:rFonts w:ascii="Times New Roman" w:hAnsi="Times New Roman"/>
                <w:szCs w:val="21"/>
              </w:rPr>
              <w:t>座、</w:t>
            </w:r>
            <w:r>
              <w:rPr>
                <w:rFonts w:ascii="Times New Roman" w:hAnsi="Times New Roman"/>
                <w:kern w:val="0"/>
                <w:szCs w:val="21"/>
              </w:rPr>
              <w:t>汽油和</w:t>
            </w:r>
            <w:r>
              <w:rPr>
                <w:rFonts w:ascii="Times New Roman" w:hAnsi="Times New Roman"/>
                <w:szCs w:val="21"/>
              </w:rPr>
              <w:t>TAME</w:t>
            </w:r>
            <w:r>
              <w:rPr>
                <w:rFonts w:ascii="Times New Roman" w:hAnsi="Times New Roman"/>
                <w:kern w:val="0"/>
                <w:szCs w:val="21"/>
              </w:rPr>
              <w:t>储存新建</w:t>
            </w:r>
            <w:r>
              <w:rPr>
                <w:rFonts w:ascii="Times New Roman" w:hAnsi="Times New Roman"/>
                <w:kern w:val="0"/>
                <w:szCs w:val="21"/>
              </w:rPr>
              <w:t>2000m³</w:t>
            </w:r>
            <w:r>
              <w:rPr>
                <w:rFonts w:ascii="Times New Roman" w:hAnsi="Times New Roman"/>
                <w:szCs w:val="21"/>
              </w:rPr>
              <w:t>储罐</w:t>
            </w:r>
            <w:r>
              <w:rPr>
                <w:rFonts w:ascii="Times New Roman" w:hAnsi="Times New Roman"/>
                <w:szCs w:val="21"/>
              </w:rPr>
              <w:t>4</w:t>
            </w:r>
            <w:r>
              <w:rPr>
                <w:rFonts w:ascii="Times New Roman" w:hAnsi="Times New Roman"/>
                <w:szCs w:val="21"/>
              </w:rPr>
              <w:t>座、中间产品石脑油</w:t>
            </w:r>
            <w:r>
              <w:rPr>
                <w:rFonts w:ascii="Times New Roman" w:hAnsi="Times New Roman"/>
                <w:kern w:val="0"/>
                <w:szCs w:val="21"/>
              </w:rPr>
              <w:t>储存新建</w:t>
            </w:r>
            <w:r>
              <w:rPr>
                <w:rFonts w:ascii="Times New Roman" w:hAnsi="Times New Roman"/>
                <w:kern w:val="0"/>
                <w:szCs w:val="21"/>
              </w:rPr>
              <w:t>2000m³</w:t>
            </w:r>
            <w:r>
              <w:rPr>
                <w:rFonts w:ascii="Times New Roman" w:hAnsi="Times New Roman"/>
                <w:szCs w:val="21"/>
              </w:rPr>
              <w:t>储罐</w:t>
            </w:r>
            <w:r>
              <w:rPr>
                <w:rFonts w:ascii="Times New Roman" w:hAnsi="Times New Roman"/>
                <w:szCs w:val="21"/>
              </w:rPr>
              <w:t>2</w:t>
            </w:r>
            <w:r>
              <w:rPr>
                <w:rFonts w:ascii="Times New Roman" w:hAnsi="Times New Roman"/>
                <w:szCs w:val="21"/>
              </w:rPr>
              <w:t>座、</w:t>
            </w:r>
            <w:r>
              <w:rPr>
                <w:rFonts w:ascii="Times New Roman" w:hAnsi="Times New Roman"/>
                <w:kern w:val="0"/>
                <w:szCs w:val="21"/>
              </w:rPr>
              <w:t>液化气储存利旧</w:t>
            </w:r>
            <w:r>
              <w:rPr>
                <w:rFonts w:ascii="Times New Roman" w:hAnsi="Times New Roman"/>
                <w:kern w:val="0"/>
                <w:szCs w:val="21"/>
              </w:rPr>
              <w:t>1000m³</w:t>
            </w:r>
            <w:r>
              <w:rPr>
                <w:rFonts w:ascii="Times New Roman" w:hAnsi="Times New Roman"/>
                <w:szCs w:val="21"/>
              </w:rPr>
              <w:t>储罐</w:t>
            </w:r>
            <w:r>
              <w:rPr>
                <w:rFonts w:ascii="Times New Roman" w:hAnsi="Times New Roman"/>
                <w:szCs w:val="21"/>
              </w:rPr>
              <w:t>2</w:t>
            </w:r>
            <w:r>
              <w:rPr>
                <w:rFonts w:ascii="Times New Roman" w:hAnsi="Times New Roman"/>
                <w:szCs w:val="21"/>
              </w:rPr>
              <w:t>座和新建</w:t>
            </w:r>
            <w:r>
              <w:rPr>
                <w:rFonts w:ascii="Times New Roman" w:hAnsi="Times New Roman"/>
                <w:kern w:val="0"/>
                <w:szCs w:val="21"/>
              </w:rPr>
              <w:t>2000m³</w:t>
            </w:r>
            <w:r>
              <w:rPr>
                <w:rFonts w:ascii="Times New Roman" w:hAnsi="Times New Roman"/>
                <w:szCs w:val="21"/>
              </w:rPr>
              <w:t>储罐</w:t>
            </w:r>
            <w:r>
              <w:rPr>
                <w:rFonts w:ascii="Times New Roman" w:hAnsi="Times New Roman"/>
                <w:szCs w:val="21"/>
              </w:rPr>
              <w:t>2</w:t>
            </w:r>
            <w:r>
              <w:rPr>
                <w:rFonts w:ascii="Times New Roman" w:hAnsi="Times New Roman"/>
                <w:szCs w:val="21"/>
              </w:rPr>
              <w:t>座、</w:t>
            </w:r>
            <w:r>
              <w:rPr>
                <w:rFonts w:ascii="Times New Roman" w:hAnsi="Times New Roman"/>
                <w:szCs w:val="21"/>
                <w:lang w:val="zh-CN"/>
              </w:rPr>
              <w:t>轻油品</w:t>
            </w:r>
            <w:r>
              <w:rPr>
                <w:rFonts w:ascii="Times New Roman" w:hAnsi="Times New Roman"/>
                <w:kern w:val="0"/>
                <w:szCs w:val="21"/>
              </w:rPr>
              <w:t>储存利旧</w:t>
            </w:r>
            <w:r>
              <w:rPr>
                <w:rFonts w:ascii="Times New Roman" w:hAnsi="Times New Roman"/>
                <w:szCs w:val="21"/>
              </w:rPr>
              <w:t>2000</w:t>
            </w:r>
            <w:r>
              <w:rPr>
                <w:rFonts w:ascii="Times New Roman" w:hAnsi="Times New Roman"/>
                <w:szCs w:val="21"/>
                <w:lang w:val="zh-CN"/>
              </w:rPr>
              <w:t>m</w:t>
            </w:r>
            <w:r>
              <w:rPr>
                <w:rFonts w:ascii="Times New Roman" w:hAnsi="Times New Roman"/>
                <w:szCs w:val="21"/>
                <w:vertAlign w:val="superscript"/>
                <w:lang w:val="zh-CN"/>
              </w:rPr>
              <w:t>3</w:t>
            </w:r>
            <w:r>
              <w:rPr>
                <w:rFonts w:ascii="Times New Roman" w:hAnsi="Times New Roman"/>
                <w:szCs w:val="21"/>
              </w:rPr>
              <w:t>储罐</w:t>
            </w:r>
            <w:r>
              <w:rPr>
                <w:rFonts w:ascii="Times New Roman" w:hAnsi="Times New Roman"/>
                <w:szCs w:val="21"/>
              </w:rPr>
              <w:t>1</w:t>
            </w:r>
            <w:r>
              <w:rPr>
                <w:rFonts w:ascii="Times New Roman" w:hAnsi="Times New Roman"/>
                <w:szCs w:val="21"/>
              </w:rPr>
              <w:t>座、甲醇</w:t>
            </w:r>
            <w:r>
              <w:rPr>
                <w:rFonts w:ascii="Times New Roman" w:hAnsi="Times New Roman"/>
                <w:kern w:val="0"/>
                <w:szCs w:val="21"/>
              </w:rPr>
              <w:t>储存新建</w:t>
            </w:r>
            <w:r>
              <w:rPr>
                <w:rFonts w:ascii="Times New Roman" w:hAnsi="Times New Roman"/>
                <w:kern w:val="0"/>
                <w:szCs w:val="21"/>
              </w:rPr>
              <w:t>200m³</w:t>
            </w:r>
            <w:r>
              <w:rPr>
                <w:rFonts w:ascii="Times New Roman" w:hAnsi="Times New Roman"/>
                <w:szCs w:val="21"/>
              </w:rPr>
              <w:t>储罐</w:t>
            </w:r>
            <w:r>
              <w:rPr>
                <w:rFonts w:ascii="Times New Roman" w:hAnsi="Times New Roman"/>
                <w:szCs w:val="21"/>
              </w:rPr>
              <w:t>2</w:t>
            </w:r>
            <w:r>
              <w:rPr>
                <w:rFonts w:ascii="Times New Roman" w:hAnsi="Times New Roman"/>
                <w:szCs w:val="21"/>
              </w:rPr>
              <w:t>座。</w:t>
            </w:r>
          </w:p>
        </w:tc>
        <w:tc>
          <w:tcPr>
            <w:tcW w:w="6240" w:type="dxa"/>
            <w:vAlign w:val="center"/>
          </w:tcPr>
          <w:p w:rsidR="00525419" w:rsidRDefault="00525419">
            <w:pPr>
              <w:jc w:val="center"/>
              <w:rPr>
                <w:rFonts w:ascii="Times New Roman" w:hAnsi="Times New Roman"/>
                <w:szCs w:val="21"/>
                <w:lang w:val="zh-CN"/>
              </w:rPr>
            </w:pPr>
          </w:p>
          <w:p w:rsidR="00525419" w:rsidRDefault="00525419">
            <w:pPr>
              <w:jc w:val="center"/>
              <w:rPr>
                <w:rFonts w:ascii="Times New Roman" w:hAnsi="Times New Roman"/>
                <w:szCs w:val="21"/>
                <w:lang w:val="zh-CN"/>
              </w:rPr>
            </w:pPr>
          </w:p>
          <w:p w:rsidR="00525419" w:rsidRDefault="00EE1CF7">
            <w:pPr>
              <w:jc w:val="center"/>
              <w:rPr>
                <w:rFonts w:ascii="Times New Roman" w:hAnsi="Times New Roman"/>
                <w:szCs w:val="21"/>
              </w:rPr>
            </w:pPr>
            <w:r>
              <w:rPr>
                <w:rFonts w:ascii="Times New Roman" w:hAnsi="Times New Roman"/>
                <w:szCs w:val="21"/>
                <w:lang w:val="zh-CN"/>
              </w:rPr>
              <w:t>（全部依托）煤焦油储存利旧</w:t>
            </w:r>
            <w:r>
              <w:rPr>
                <w:rFonts w:ascii="Times New Roman" w:hAnsi="Times New Roman"/>
                <w:szCs w:val="21"/>
                <w:lang w:val="zh-CN"/>
              </w:rPr>
              <w:t>3</w:t>
            </w:r>
            <w:r>
              <w:rPr>
                <w:rFonts w:ascii="Times New Roman" w:hAnsi="Times New Roman"/>
                <w:szCs w:val="21"/>
                <w:lang w:val="zh-CN"/>
              </w:rPr>
              <w:t>座</w:t>
            </w:r>
            <w:r>
              <w:rPr>
                <w:rFonts w:ascii="Times New Roman" w:hAnsi="Times New Roman"/>
                <w:szCs w:val="21"/>
                <w:lang w:val="zh-CN"/>
              </w:rPr>
              <w:t>10000m</w:t>
            </w:r>
            <w:r>
              <w:rPr>
                <w:rFonts w:ascii="Times New Roman" w:hAnsi="Times New Roman"/>
                <w:szCs w:val="21"/>
                <w:vertAlign w:val="superscript"/>
                <w:lang w:val="zh-CN"/>
              </w:rPr>
              <w:t>3</w:t>
            </w:r>
            <w:r>
              <w:rPr>
                <w:rFonts w:ascii="Times New Roman" w:hAnsi="Times New Roman"/>
                <w:szCs w:val="21"/>
                <w:lang w:val="zh-CN"/>
              </w:rPr>
              <w:t>储罐，精制尾油储存利</w:t>
            </w:r>
            <w:r>
              <w:rPr>
                <w:rFonts w:ascii="Times New Roman" w:hAnsi="Times New Roman"/>
                <w:szCs w:val="21"/>
                <w:lang w:val="zh-CN"/>
              </w:rPr>
              <w:lastRenderedPageBreak/>
              <w:t>旧</w:t>
            </w:r>
            <w:r>
              <w:rPr>
                <w:rFonts w:ascii="Times New Roman" w:hAnsi="Times New Roman"/>
                <w:szCs w:val="21"/>
                <w:lang w:val="zh-CN"/>
              </w:rPr>
              <w:t>1</w:t>
            </w:r>
            <w:r>
              <w:rPr>
                <w:rFonts w:ascii="Times New Roman" w:hAnsi="Times New Roman"/>
                <w:szCs w:val="21"/>
                <w:lang w:val="zh-CN"/>
              </w:rPr>
              <w:t>座</w:t>
            </w:r>
            <w:r>
              <w:rPr>
                <w:rFonts w:ascii="Times New Roman" w:hAnsi="Times New Roman"/>
                <w:szCs w:val="21"/>
                <w:lang w:val="zh-CN"/>
              </w:rPr>
              <w:t>2000m</w:t>
            </w:r>
            <w:r>
              <w:rPr>
                <w:rFonts w:ascii="Times New Roman" w:hAnsi="Times New Roman"/>
                <w:szCs w:val="21"/>
                <w:vertAlign w:val="superscript"/>
                <w:lang w:val="zh-CN"/>
              </w:rPr>
              <w:t>3</w:t>
            </w:r>
            <w:r>
              <w:rPr>
                <w:rFonts w:ascii="Times New Roman" w:hAnsi="Times New Roman"/>
                <w:szCs w:val="21"/>
                <w:lang w:val="zh-CN"/>
              </w:rPr>
              <w:t>储罐，精制柴油储存利旧</w:t>
            </w:r>
            <w:r>
              <w:rPr>
                <w:rFonts w:ascii="Times New Roman" w:hAnsi="Times New Roman"/>
                <w:szCs w:val="21"/>
                <w:lang w:val="zh-CN"/>
              </w:rPr>
              <w:t>3</w:t>
            </w:r>
            <w:r>
              <w:rPr>
                <w:rFonts w:ascii="Times New Roman" w:hAnsi="Times New Roman"/>
                <w:szCs w:val="21"/>
                <w:lang w:val="zh-CN"/>
              </w:rPr>
              <w:t>座</w:t>
            </w:r>
            <w:r>
              <w:rPr>
                <w:rFonts w:ascii="Times New Roman" w:hAnsi="Times New Roman"/>
                <w:szCs w:val="21"/>
                <w:lang w:val="zh-CN"/>
              </w:rPr>
              <w:t>5000m</w:t>
            </w:r>
            <w:r>
              <w:rPr>
                <w:rFonts w:ascii="Times New Roman" w:hAnsi="Times New Roman"/>
                <w:szCs w:val="21"/>
                <w:vertAlign w:val="superscript"/>
                <w:lang w:val="zh-CN"/>
              </w:rPr>
              <w:t>3</w:t>
            </w:r>
            <w:r>
              <w:rPr>
                <w:rFonts w:ascii="Times New Roman" w:hAnsi="Times New Roman"/>
                <w:szCs w:val="21"/>
                <w:lang w:val="zh-CN"/>
              </w:rPr>
              <w:t>储罐，石脑油储存利旧</w:t>
            </w:r>
            <w:r>
              <w:rPr>
                <w:rFonts w:ascii="Times New Roman" w:hAnsi="Times New Roman"/>
                <w:szCs w:val="21"/>
                <w:lang w:val="zh-CN"/>
              </w:rPr>
              <w:t>1</w:t>
            </w:r>
            <w:r>
              <w:rPr>
                <w:rFonts w:ascii="Times New Roman" w:hAnsi="Times New Roman"/>
                <w:szCs w:val="21"/>
                <w:lang w:val="zh-CN"/>
              </w:rPr>
              <w:t>座</w:t>
            </w:r>
            <w:r>
              <w:rPr>
                <w:rFonts w:ascii="Times New Roman" w:hAnsi="Times New Roman"/>
                <w:szCs w:val="21"/>
                <w:lang w:val="zh-CN"/>
              </w:rPr>
              <w:t>5000m</w:t>
            </w:r>
            <w:r>
              <w:rPr>
                <w:rFonts w:ascii="Times New Roman" w:hAnsi="Times New Roman"/>
                <w:szCs w:val="21"/>
                <w:vertAlign w:val="superscript"/>
                <w:lang w:val="zh-CN"/>
              </w:rPr>
              <w:t>3</w:t>
            </w:r>
            <w:r>
              <w:rPr>
                <w:rFonts w:ascii="Times New Roman" w:hAnsi="Times New Roman"/>
                <w:szCs w:val="21"/>
                <w:lang w:val="zh-CN"/>
              </w:rPr>
              <w:t>储罐，液化石油气储存利旧</w:t>
            </w:r>
            <w:r>
              <w:rPr>
                <w:rFonts w:ascii="Times New Roman" w:hAnsi="Times New Roman"/>
                <w:szCs w:val="21"/>
                <w:lang w:val="zh-CN"/>
              </w:rPr>
              <w:t>4</w:t>
            </w:r>
            <w:r>
              <w:rPr>
                <w:rFonts w:ascii="Times New Roman" w:hAnsi="Times New Roman"/>
                <w:szCs w:val="21"/>
                <w:lang w:val="zh-CN"/>
              </w:rPr>
              <w:t>座</w:t>
            </w:r>
            <w:r>
              <w:rPr>
                <w:rFonts w:ascii="Times New Roman" w:hAnsi="Times New Roman"/>
                <w:szCs w:val="21"/>
                <w:lang w:val="zh-CN"/>
              </w:rPr>
              <w:t>1000m</w:t>
            </w:r>
            <w:r>
              <w:rPr>
                <w:rFonts w:ascii="Times New Roman" w:hAnsi="Times New Roman"/>
                <w:szCs w:val="21"/>
                <w:vertAlign w:val="superscript"/>
                <w:lang w:val="zh-CN"/>
              </w:rPr>
              <w:t>3</w:t>
            </w:r>
            <w:r>
              <w:rPr>
                <w:rFonts w:ascii="Times New Roman" w:hAnsi="Times New Roman"/>
                <w:szCs w:val="21"/>
                <w:lang w:val="zh-CN"/>
              </w:rPr>
              <w:t>储罐，尾油储存利旧</w:t>
            </w:r>
            <w:r>
              <w:rPr>
                <w:rFonts w:ascii="Times New Roman" w:hAnsi="Times New Roman"/>
                <w:szCs w:val="21"/>
                <w:lang w:val="zh-CN"/>
              </w:rPr>
              <w:t>2</w:t>
            </w:r>
            <w:r>
              <w:rPr>
                <w:rFonts w:ascii="Times New Roman" w:hAnsi="Times New Roman"/>
                <w:szCs w:val="21"/>
                <w:lang w:val="zh-CN"/>
              </w:rPr>
              <w:t>座</w:t>
            </w:r>
            <w:r>
              <w:rPr>
                <w:rFonts w:ascii="Times New Roman" w:hAnsi="Times New Roman"/>
                <w:szCs w:val="21"/>
                <w:lang w:val="zh-CN"/>
              </w:rPr>
              <w:t>10000m</w:t>
            </w:r>
            <w:r>
              <w:rPr>
                <w:rFonts w:ascii="Times New Roman" w:hAnsi="Times New Roman"/>
                <w:szCs w:val="21"/>
                <w:vertAlign w:val="superscript"/>
                <w:lang w:val="zh-CN"/>
              </w:rPr>
              <w:t>3</w:t>
            </w:r>
            <w:r>
              <w:rPr>
                <w:rFonts w:ascii="Times New Roman" w:hAnsi="Times New Roman"/>
                <w:szCs w:val="21"/>
                <w:lang w:val="zh-CN"/>
              </w:rPr>
              <w:t>尾油中间罐。</w:t>
            </w:r>
          </w:p>
        </w:tc>
      </w:tr>
      <w:tr w:rsidR="00525419">
        <w:tc>
          <w:tcPr>
            <w:tcW w:w="1298" w:type="dxa"/>
            <w:vMerge w:val="restart"/>
            <w:vAlign w:val="center"/>
          </w:tcPr>
          <w:p w:rsidR="00525419" w:rsidRDefault="00EE1CF7">
            <w:pPr>
              <w:jc w:val="center"/>
              <w:rPr>
                <w:rFonts w:ascii="Times New Roman" w:hAnsi="Times New Roman"/>
                <w:szCs w:val="21"/>
              </w:rPr>
            </w:pPr>
            <w:r>
              <w:rPr>
                <w:rFonts w:ascii="Times New Roman" w:hAnsi="Times New Roman"/>
                <w:szCs w:val="21"/>
              </w:rPr>
              <w:lastRenderedPageBreak/>
              <w:t>环保工程</w:t>
            </w:r>
          </w:p>
        </w:tc>
        <w:tc>
          <w:tcPr>
            <w:tcW w:w="1250" w:type="dxa"/>
            <w:vAlign w:val="center"/>
          </w:tcPr>
          <w:p w:rsidR="00525419" w:rsidRDefault="00EE1CF7">
            <w:pPr>
              <w:jc w:val="center"/>
              <w:rPr>
                <w:rFonts w:ascii="Times New Roman" w:hAnsi="Times New Roman"/>
                <w:szCs w:val="21"/>
              </w:rPr>
            </w:pPr>
            <w:r>
              <w:rPr>
                <w:rFonts w:ascii="Times New Roman" w:hAnsi="Times New Roman"/>
                <w:szCs w:val="21"/>
              </w:rPr>
              <w:t>污水</w:t>
            </w:r>
          </w:p>
          <w:p w:rsidR="00525419" w:rsidRDefault="00EE1CF7">
            <w:pPr>
              <w:jc w:val="center"/>
              <w:rPr>
                <w:rFonts w:ascii="Times New Roman" w:hAnsi="Times New Roman"/>
                <w:szCs w:val="21"/>
              </w:rPr>
            </w:pPr>
            <w:r>
              <w:rPr>
                <w:rFonts w:ascii="Times New Roman" w:hAnsi="Times New Roman"/>
                <w:szCs w:val="21"/>
              </w:rPr>
              <w:t>处理</w:t>
            </w:r>
          </w:p>
        </w:tc>
        <w:tc>
          <w:tcPr>
            <w:tcW w:w="5383" w:type="dxa"/>
            <w:vAlign w:val="center"/>
          </w:tcPr>
          <w:p w:rsidR="00525419" w:rsidRDefault="00EE1CF7">
            <w:pPr>
              <w:jc w:val="center"/>
              <w:rPr>
                <w:rFonts w:ascii="Times New Roman" w:hAnsi="Times New Roman"/>
                <w:szCs w:val="21"/>
              </w:rPr>
            </w:pPr>
            <w:r>
              <w:rPr>
                <w:rFonts w:ascii="Times New Roman" w:hAnsi="Times New Roman"/>
                <w:szCs w:val="21"/>
              </w:rPr>
              <w:t>扩建现厂区污水站（总处理能力达到</w:t>
            </w:r>
            <w:r>
              <w:rPr>
                <w:rFonts w:ascii="Times New Roman" w:hAnsi="Times New Roman"/>
                <w:szCs w:val="21"/>
              </w:rPr>
              <w:t>160m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）预处理单元和新建</w:t>
            </w:r>
            <w:r>
              <w:rPr>
                <w:rFonts w:ascii="Times New Roman" w:hAnsi="Times New Roman"/>
                <w:szCs w:val="21"/>
              </w:rPr>
              <w:t>55t/h</w:t>
            </w:r>
            <w:r>
              <w:rPr>
                <w:rFonts w:ascii="Times New Roman" w:hAnsi="Times New Roman"/>
                <w:szCs w:val="21"/>
              </w:rPr>
              <w:t>酸性水汽提装置。</w:t>
            </w:r>
          </w:p>
        </w:tc>
        <w:tc>
          <w:tcPr>
            <w:tcW w:w="6240" w:type="dxa"/>
            <w:vAlign w:val="center"/>
          </w:tcPr>
          <w:p w:rsidR="00525419" w:rsidRDefault="00EE1CF7">
            <w:pPr>
              <w:jc w:val="center"/>
              <w:rPr>
                <w:rFonts w:ascii="Times New Roman" w:hAnsi="Times New Roman"/>
                <w:szCs w:val="21"/>
              </w:rPr>
            </w:pPr>
            <w:r>
              <w:rPr>
                <w:rFonts w:ascii="Times New Roman" w:hAnsi="Times New Roman"/>
                <w:szCs w:val="21"/>
              </w:rPr>
              <w:t>本次扩建内容为</w:t>
            </w:r>
            <w:r>
              <w:rPr>
                <w:rFonts w:ascii="Times New Roman" w:hAnsi="Times New Roman"/>
              </w:rPr>
              <w:t>扩大</w:t>
            </w:r>
            <w:r>
              <w:rPr>
                <w:rFonts w:ascii="Times New Roman" w:hAnsi="Times New Roman"/>
                <w:shd w:val="clear" w:color="auto" w:fill="FFFFFF"/>
              </w:rPr>
              <w:t>溶剂气浮</w:t>
            </w:r>
            <w:r>
              <w:rPr>
                <w:rFonts w:ascii="Times New Roman" w:hAnsi="Times New Roman" w:hint="eastAsia"/>
                <w:shd w:val="clear" w:color="auto" w:fill="FFFFFF"/>
              </w:rPr>
              <w:t>装置</w:t>
            </w:r>
            <w:r>
              <w:rPr>
                <w:rFonts w:ascii="Times New Roman" w:hAnsi="Times New Roman"/>
                <w:shd w:val="clear" w:color="auto" w:fill="FFFFFF"/>
              </w:rPr>
              <w:t>和涡凹气浮</w:t>
            </w:r>
            <w:r>
              <w:rPr>
                <w:rFonts w:ascii="Times New Roman" w:hAnsi="Times New Roman" w:hint="eastAsia"/>
                <w:shd w:val="clear" w:color="auto" w:fill="FFFFFF"/>
              </w:rPr>
              <w:t>装置，同时</w:t>
            </w:r>
            <w:r>
              <w:rPr>
                <w:rFonts w:ascii="Times New Roman" w:hAnsi="Times New Roman"/>
                <w:szCs w:val="21"/>
              </w:rPr>
              <w:t>新建</w:t>
            </w:r>
            <w:r>
              <w:rPr>
                <w:rFonts w:ascii="Times New Roman" w:hAnsi="Times New Roman"/>
                <w:szCs w:val="21"/>
              </w:rPr>
              <w:t>55t/h</w:t>
            </w:r>
            <w:r>
              <w:rPr>
                <w:rFonts w:ascii="Times New Roman" w:hAnsi="Times New Roman"/>
                <w:szCs w:val="21"/>
              </w:rPr>
              <w:t>酸性水汽提装置。</w:t>
            </w:r>
          </w:p>
        </w:tc>
      </w:tr>
      <w:tr w:rsidR="00525419">
        <w:tc>
          <w:tcPr>
            <w:tcW w:w="1298" w:type="dxa"/>
            <w:vMerge/>
            <w:vAlign w:val="center"/>
          </w:tcPr>
          <w:p w:rsidR="00525419" w:rsidRDefault="00525419">
            <w:pPr>
              <w:jc w:val="center"/>
              <w:rPr>
                <w:rFonts w:ascii="Times New Roman" w:hAnsi="Times New Roman"/>
                <w:szCs w:val="21"/>
              </w:rPr>
            </w:pPr>
          </w:p>
        </w:tc>
        <w:tc>
          <w:tcPr>
            <w:tcW w:w="1250" w:type="dxa"/>
            <w:vAlign w:val="center"/>
          </w:tcPr>
          <w:p w:rsidR="00525419" w:rsidRDefault="00EE1CF7">
            <w:pPr>
              <w:jc w:val="center"/>
              <w:rPr>
                <w:rFonts w:ascii="Times New Roman" w:hAnsi="Times New Roman"/>
                <w:szCs w:val="21"/>
              </w:rPr>
            </w:pPr>
            <w:r>
              <w:rPr>
                <w:rFonts w:ascii="Times New Roman" w:hAnsi="Times New Roman"/>
                <w:szCs w:val="21"/>
              </w:rPr>
              <w:t>火炬装置</w:t>
            </w:r>
          </w:p>
        </w:tc>
        <w:tc>
          <w:tcPr>
            <w:tcW w:w="5383" w:type="dxa"/>
            <w:vAlign w:val="center"/>
          </w:tcPr>
          <w:p w:rsidR="00525419" w:rsidRDefault="00EE1CF7">
            <w:pPr>
              <w:jc w:val="center"/>
              <w:rPr>
                <w:rFonts w:ascii="Times New Roman" w:hAnsi="Times New Roman"/>
                <w:szCs w:val="21"/>
              </w:rPr>
            </w:pPr>
            <w:r>
              <w:rPr>
                <w:rFonts w:ascii="Times New Roman" w:hAnsi="Times New Roman"/>
                <w:szCs w:val="21"/>
              </w:rPr>
              <w:t>新建设火炬</w:t>
            </w:r>
            <w:r>
              <w:rPr>
                <w:rFonts w:ascii="Times New Roman" w:hAnsi="Times New Roman"/>
                <w:szCs w:val="21"/>
              </w:rPr>
              <w:t>1</w:t>
            </w:r>
            <w:r>
              <w:rPr>
                <w:rFonts w:ascii="Times New Roman" w:hAnsi="Times New Roman"/>
                <w:szCs w:val="21"/>
              </w:rPr>
              <w:t>座，火炬总高为</w:t>
            </w:r>
            <w:r>
              <w:rPr>
                <w:rFonts w:ascii="Times New Roman" w:hAnsi="Times New Roman"/>
                <w:szCs w:val="21"/>
              </w:rPr>
              <w:t>110m</w:t>
            </w:r>
            <w:r>
              <w:rPr>
                <w:rFonts w:ascii="Times New Roman" w:hAnsi="Times New Roman"/>
                <w:szCs w:val="21"/>
              </w:rPr>
              <w:t>。</w:t>
            </w:r>
          </w:p>
        </w:tc>
        <w:tc>
          <w:tcPr>
            <w:tcW w:w="6240" w:type="dxa"/>
            <w:vAlign w:val="center"/>
          </w:tcPr>
          <w:p w:rsidR="00525419" w:rsidRDefault="00EE1CF7">
            <w:pPr>
              <w:jc w:val="center"/>
              <w:rPr>
                <w:rFonts w:ascii="Times New Roman" w:hAnsi="Times New Roman"/>
                <w:szCs w:val="21"/>
              </w:rPr>
            </w:pPr>
            <w:r>
              <w:rPr>
                <w:rFonts w:ascii="Times New Roman" w:hAnsi="Times New Roman"/>
                <w:szCs w:val="21"/>
              </w:rPr>
              <w:t>不变</w:t>
            </w:r>
          </w:p>
        </w:tc>
      </w:tr>
      <w:tr w:rsidR="00525419">
        <w:tc>
          <w:tcPr>
            <w:tcW w:w="1298" w:type="dxa"/>
            <w:vMerge/>
            <w:vAlign w:val="center"/>
          </w:tcPr>
          <w:p w:rsidR="00525419" w:rsidRDefault="00525419">
            <w:pPr>
              <w:jc w:val="center"/>
              <w:rPr>
                <w:rFonts w:ascii="Times New Roman" w:hAnsi="Times New Roman"/>
                <w:szCs w:val="21"/>
              </w:rPr>
            </w:pPr>
          </w:p>
        </w:tc>
        <w:tc>
          <w:tcPr>
            <w:tcW w:w="1250" w:type="dxa"/>
            <w:vAlign w:val="center"/>
          </w:tcPr>
          <w:p w:rsidR="00525419" w:rsidRDefault="00EE1CF7">
            <w:pPr>
              <w:rPr>
                <w:rFonts w:ascii="Times New Roman" w:hAnsi="Times New Roman"/>
                <w:szCs w:val="21"/>
              </w:rPr>
            </w:pPr>
            <w:r>
              <w:rPr>
                <w:rFonts w:ascii="Times New Roman" w:hAnsi="Times New Roman"/>
                <w:szCs w:val="21"/>
              </w:rPr>
              <w:t>风险防范</w:t>
            </w:r>
          </w:p>
        </w:tc>
        <w:tc>
          <w:tcPr>
            <w:tcW w:w="5383" w:type="dxa"/>
            <w:vAlign w:val="center"/>
          </w:tcPr>
          <w:p w:rsidR="00525419" w:rsidRDefault="00EE1CF7">
            <w:pPr>
              <w:jc w:val="center"/>
              <w:rPr>
                <w:rFonts w:ascii="Times New Roman" w:hAnsi="Times New Roman"/>
                <w:szCs w:val="21"/>
              </w:rPr>
            </w:pPr>
            <w:r>
              <w:rPr>
                <w:rFonts w:ascii="Times New Roman" w:hAnsi="Times New Roman"/>
                <w:szCs w:val="21"/>
              </w:rPr>
              <w:t>新建事故池</w:t>
            </w:r>
            <w:r>
              <w:rPr>
                <w:rFonts w:ascii="Times New Roman" w:hAnsi="Times New Roman"/>
                <w:szCs w:val="21"/>
              </w:rPr>
              <w:t>1</w:t>
            </w:r>
            <w:r>
              <w:rPr>
                <w:rFonts w:ascii="Times New Roman" w:hAnsi="Times New Roman"/>
                <w:szCs w:val="21"/>
              </w:rPr>
              <w:t>座，容积为</w:t>
            </w:r>
            <w:r>
              <w:rPr>
                <w:rFonts w:ascii="Times New Roman" w:hAnsi="Times New Roman"/>
                <w:szCs w:val="21"/>
              </w:rPr>
              <w:t>4000m</w:t>
            </w:r>
            <w:r>
              <w:rPr>
                <w:rFonts w:ascii="Times New Roman" w:hAnsi="Times New Roman"/>
                <w:szCs w:val="21"/>
                <w:vertAlign w:val="superscript"/>
              </w:rPr>
              <w:t>3</w:t>
            </w:r>
            <w:r>
              <w:rPr>
                <w:rFonts w:ascii="Times New Roman" w:hAnsi="Times New Roman"/>
                <w:szCs w:val="21"/>
              </w:rPr>
              <w:t>。</w:t>
            </w:r>
          </w:p>
        </w:tc>
        <w:tc>
          <w:tcPr>
            <w:tcW w:w="6240" w:type="dxa"/>
            <w:vAlign w:val="center"/>
          </w:tcPr>
          <w:p w:rsidR="00525419" w:rsidRDefault="00EE1CF7">
            <w:pPr>
              <w:jc w:val="center"/>
              <w:rPr>
                <w:rFonts w:ascii="Times New Roman" w:hAnsi="Times New Roman"/>
                <w:szCs w:val="21"/>
              </w:rPr>
            </w:pPr>
            <w:r>
              <w:rPr>
                <w:rFonts w:ascii="Times New Roman" w:hAnsi="Times New Roman"/>
                <w:szCs w:val="21"/>
              </w:rPr>
              <w:t>依托现厂区</w:t>
            </w:r>
            <w:r>
              <w:rPr>
                <w:rFonts w:ascii="Times New Roman" w:hAnsi="Times New Roman"/>
                <w:szCs w:val="21"/>
              </w:rPr>
              <w:t>2</w:t>
            </w:r>
            <w:r>
              <w:rPr>
                <w:rFonts w:ascii="Times New Roman" w:hAnsi="Times New Roman"/>
                <w:szCs w:val="21"/>
              </w:rPr>
              <w:t>座</w:t>
            </w:r>
            <w:r>
              <w:rPr>
                <w:rFonts w:ascii="Times New Roman" w:hAnsi="Times New Roman"/>
                <w:szCs w:val="21"/>
              </w:rPr>
              <w:t>2600m</w:t>
            </w:r>
            <w:r>
              <w:rPr>
                <w:rFonts w:ascii="Times New Roman" w:hAnsi="Times New Roman"/>
                <w:szCs w:val="21"/>
                <w:vertAlign w:val="superscript"/>
              </w:rPr>
              <w:t>3</w:t>
            </w:r>
            <w:r>
              <w:rPr>
                <w:rFonts w:ascii="Times New Roman" w:hAnsi="Times New Roman"/>
                <w:szCs w:val="21"/>
              </w:rPr>
              <w:t>事故水池</w:t>
            </w:r>
          </w:p>
        </w:tc>
      </w:tr>
    </w:tbl>
    <w:p w:rsidR="00525419" w:rsidRDefault="00EE1CF7">
      <w:pPr>
        <w:pStyle w:val="3a"/>
        <w:spacing w:beforeLines="50" w:before="159" w:after="156" w:line="360" w:lineRule="auto"/>
        <w:jc w:val="left"/>
        <w:rPr>
          <w:rFonts w:ascii="Times New Roman" w:eastAsia="华文楷体" w:hAnsi="Times New Roman"/>
        </w:rPr>
      </w:pPr>
      <w:r>
        <w:rPr>
          <w:rFonts w:ascii="Times New Roman" w:eastAsia="华文楷体" w:hAnsi="Times New Roman"/>
        </w:rPr>
        <w:t>3.4.2</w:t>
      </w:r>
      <w:r>
        <w:rPr>
          <w:rFonts w:ascii="Times New Roman" w:eastAsia="华文楷体" w:hAnsi="Times New Roman"/>
        </w:rPr>
        <w:t>变更前后内容详细对比</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3.4.2.1</w:t>
      </w:r>
      <w:r>
        <w:rPr>
          <w:rFonts w:ascii="Times New Roman" w:hAnsi="Times New Roman" w:cs="Times New Roman"/>
          <w:kern w:val="44"/>
          <w:sz w:val="24"/>
          <w:szCs w:val="24"/>
        </w:rPr>
        <w:t>项目概况</w:t>
      </w:r>
    </w:p>
    <w:p w:rsidR="00525419" w:rsidRDefault="00EE1CF7">
      <w:pPr>
        <w:autoSpaceDE w:val="0"/>
        <w:autoSpaceDN w:val="0"/>
        <w:adjustRightInd w:val="0"/>
        <w:spacing w:line="360" w:lineRule="auto"/>
        <w:ind w:firstLineChars="200" w:firstLine="480"/>
        <w:rPr>
          <w:rFonts w:ascii="Times New Roman" w:hAnsi="Times New Roman"/>
          <w:sz w:val="24"/>
        </w:rPr>
      </w:pPr>
      <w:r>
        <w:rPr>
          <w:rFonts w:ascii="Times New Roman" w:hAnsi="Times New Roman"/>
          <w:sz w:val="24"/>
        </w:rPr>
        <w:t>项目变更前后的概况对比见表</w:t>
      </w:r>
      <w:r>
        <w:rPr>
          <w:rFonts w:ascii="Times New Roman" w:hAnsi="Times New Roman"/>
          <w:sz w:val="24"/>
        </w:rPr>
        <w:t>3.4-2</w:t>
      </w:r>
      <w:r>
        <w:rPr>
          <w:rFonts w:ascii="Times New Roman" w:hAnsi="Times New Roman"/>
          <w:sz w:val="24"/>
        </w:rPr>
        <w:t>。</w:t>
      </w:r>
    </w:p>
    <w:p w:rsidR="00525419" w:rsidRDefault="00EE1CF7">
      <w:pPr>
        <w:pStyle w:val="4a"/>
        <w:widowControl/>
        <w:adjustRightInd w:val="0"/>
        <w:snapToGrid w:val="0"/>
        <w:spacing w:before="120" w:after="120" w:line="360" w:lineRule="auto"/>
        <w:jc w:val="left"/>
        <w:rPr>
          <w:rFonts w:ascii="Times New Roman" w:hAnsi="Times New Roman" w:cs="Times New Roman"/>
          <w:sz w:val="26"/>
        </w:rPr>
      </w:pPr>
      <w:r>
        <w:rPr>
          <w:rFonts w:ascii="Times New Roman" w:hAnsi="Times New Roman" w:cs="Times New Roman"/>
          <w:sz w:val="26"/>
        </w:rPr>
        <w:t>3.4.2.2</w:t>
      </w:r>
      <w:r>
        <w:rPr>
          <w:rFonts w:ascii="Times New Roman" w:hAnsi="Times New Roman" w:cs="Times New Roman"/>
          <w:sz w:val="26"/>
        </w:rPr>
        <w:t>项目工程组成</w:t>
      </w:r>
    </w:p>
    <w:p w:rsidR="00525419" w:rsidRDefault="00EE1CF7">
      <w:pPr>
        <w:autoSpaceDE w:val="0"/>
        <w:autoSpaceDN w:val="0"/>
        <w:adjustRightInd w:val="0"/>
        <w:spacing w:line="360" w:lineRule="auto"/>
        <w:ind w:firstLineChars="200" w:firstLine="480"/>
        <w:rPr>
          <w:rFonts w:ascii="Times New Roman" w:hAnsi="Times New Roman"/>
          <w:sz w:val="24"/>
        </w:rPr>
      </w:pPr>
      <w:r>
        <w:rPr>
          <w:rFonts w:ascii="Times New Roman" w:hAnsi="Times New Roman"/>
          <w:sz w:val="24"/>
        </w:rPr>
        <w:t>项目变更前后工程组成详细内容对比一览见表</w:t>
      </w:r>
      <w:r>
        <w:rPr>
          <w:rFonts w:ascii="Times New Roman" w:hAnsi="Times New Roman"/>
          <w:sz w:val="24"/>
        </w:rPr>
        <w:t>3.4-3</w:t>
      </w:r>
      <w:r>
        <w:rPr>
          <w:rFonts w:ascii="Times New Roman" w:hAnsi="Times New Roman"/>
          <w:sz w:val="24"/>
        </w:rPr>
        <w:t>。</w:t>
      </w:r>
    </w:p>
    <w:p w:rsidR="00525419" w:rsidRDefault="00EE1CF7">
      <w:pPr>
        <w:spacing w:line="240" w:lineRule="atLeast"/>
        <w:ind w:left="437"/>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3.4-2    </w:t>
      </w:r>
      <w:r>
        <w:rPr>
          <w:rFonts w:ascii="Times New Roman" w:eastAsia="黑体" w:hAnsi="Times New Roman"/>
          <w:szCs w:val="21"/>
        </w:rPr>
        <w:t>变更前后项目概况内容</w:t>
      </w:r>
    </w:p>
    <w:tbl>
      <w:tblPr>
        <w:tblW w:w="141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231"/>
        <w:gridCol w:w="2110"/>
        <w:gridCol w:w="5245"/>
        <w:gridCol w:w="4585"/>
      </w:tblGrid>
      <w:tr w:rsidR="00525419">
        <w:trPr>
          <w:jc w:val="center"/>
        </w:trPr>
        <w:tc>
          <w:tcPr>
            <w:tcW w:w="2231" w:type="dxa"/>
            <w:tcBorders>
              <w:top w:val="single" w:sz="12" w:space="0" w:color="auto"/>
            </w:tcBorders>
            <w:vAlign w:val="center"/>
          </w:tcPr>
          <w:p w:rsidR="00525419" w:rsidRDefault="00EE1CF7">
            <w:pPr>
              <w:jc w:val="center"/>
              <w:rPr>
                <w:rFonts w:ascii="Times New Roman" w:hAnsi="Times New Roman"/>
                <w:szCs w:val="21"/>
              </w:rPr>
            </w:pPr>
            <w:r>
              <w:rPr>
                <w:rFonts w:ascii="Times New Roman" w:hAnsi="Times New Roman"/>
                <w:szCs w:val="21"/>
              </w:rPr>
              <w:t>项目</w:t>
            </w:r>
          </w:p>
        </w:tc>
        <w:tc>
          <w:tcPr>
            <w:tcW w:w="7355" w:type="dxa"/>
            <w:gridSpan w:val="2"/>
            <w:tcBorders>
              <w:top w:val="single" w:sz="12" w:space="0" w:color="auto"/>
            </w:tcBorders>
            <w:vAlign w:val="center"/>
          </w:tcPr>
          <w:p w:rsidR="00525419" w:rsidRDefault="00EE1CF7">
            <w:pPr>
              <w:jc w:val="center"/>
              <w:rPr>
                <w:rFonts w:ascii="Times New Roman" w:hAnsi="Times New Roman"/>
                <w:szCs w:val="21"/>
              </w:rPr>
            </w:pPr>
            <w:r>
              <w:rPr>
                <w:rFonts w:ascii="Times New Roman" w:hAnsi="Times New Roman"/>
                <w:szCs w:val="21"/>
              </w:rPr>
              <w:t>变更前</w:t>
            </w:r>
          </w:p>
        </w:tc>
        <w:tc>
          <w:tcPr>
            <w:tcW w:w="4585" w:type="dxa"/>
            <w:tcBorders>
              <w:top w:val="single" w:sz="12" w:space="0" w:color="auto"/>
            </w:tcBorders>
            <w:vAlign w:val="center"/>
          </w:tcPr>
          <w:p w:rsidR="00525419" w:rsidRDefault="00EE1CF7">
            <w:pPr>
              <w:jc w:val="center"/>
              <w:rPr>
                <w:rFonts w:ascii="Times New Roman" w:hAnsi="Times New Roman"/>
                <w:szCs w:val="21"/>
              </w:rPr>
            </w:pPr>
            <w:r>
              <w:rPr>
                <w:rFonts w:ascii="Times New Roman" w:hAnsi="Times New Roman"/>
                <w:szCs w:val="21"/>
              </w:rPr>
              <w:t>变更后</w:t>
            </w:r>
          </w:p>
        </w:tc>
      </w:tr>
      <w:tr w:rsidR="00525419">
        <w:trPr>
          <w:jc w:val="center"/>
        </w:trPr>
        <w:tc>
          <w:tcPr>
            <w:tcW w:w="2231" w:type="dxa"/>
            <w:vAlign w:val="center"/>
          </w:tcPr>
          <w:p w:rsidR="00525419" w:rsidRDefault="00EE1CF7">
            <w:pPr>
              <w:jc w:val="center"/>
              <w:rPr>
                <w:rFonts w:ascii="Times New Roman" w:hAnsi="Times New Roman"/>
                <w:szCs w:val="21"/>
              </w:rPr>
            </w:pPr>
            <w:r>
              <w:rPr>
                <w:rFonts w:ascii="Times New Roman" w:hAnsi="Times New Roman"/>
                <w:szCs w:val="21"/>
              </w:rPr>
              <w:t>项目名称</w:t>
            </w:r>
          </w:p>
        </w:tc>
        <w:tc>
          <w:tcPr>
            <w:tcW w:w="7355" w:type="dxa"/>
            <w:gridSpan w:val="2"/>
            <w:vAlign w:val="center"/>
          </w:tcPr>
          <w:p w:rsidR="00525419" w:rsidRDefault="00EE1CF7">
            <w:pPr>
              <w:jc w:val="center"/>
              <w:rPr>
                <w:rFonts w:ascii="Times New Roman" w:hAnsi="Times New Roman"/>
                <w:szCs w:val="21"/>
              </w:rPr>
            </w:pPr>
            <w:r>
              <w:rPr>
                <w:rFonts w:ascii="Times New Roman" w:hAnsi="Times New Roman"/>
                <w:szCs w:val="21"/>
              </w:rPr>
              <w:t>新疆美汇特石化产品有限公司</w:t>
            </w:r>
            <w:r>
              <w:rPr>
                <w:rFonts w:ascii="Times New Roman" w:hAnsi="Times New Roman"/>
                <w:szCs w:val="21"/>
              </w:rPr>
              <w:t>40</w:t>
            </w:r>
            <w:r>
              <w:rPr>
                <w:rFonts w:ascii="Times New Roman" w:hAnsi="Times New Roman"/>
                <w:szCs w:val="21"/>
              </w:rPr>
              <w:t>万吨</w:t>
            </w:r>
            <w:r>
              <w:rPr>
                <w:rFonts w:ascii="Times New Roman" w:hAnsi="Times New Roman"/>
                <w:szCs w:val="21"/>
              </w:rPr>
              <w:t>/</w:t>
            </w:r>
            <w:r>
              <w:rPr>
                <w:rFonts w:ascii="Times New Roman" w:hAnsi="Times New Roman"/>
                <w:szCs w:val="21"/>
              </w:rPr>
              <w:t>年煤焦油加氢及配套项目</w:t>
            </w:r>
          </w:p>
        </w:tc>
        <w:tc>
          <w:tcPr>
            <w:tcW w:w="4585" w:type="dxa"/>
            <w:vAlign w:val="center"/>
          </w:tcPr>
          <w:p w:rsidR="00525419" w:rsidRDefault="00EE1CF7">
            <w:pPr>
              <w:jc w:val="center"/>
              <w:rPr>
                <w:rFonts w:ascii="Times New Roman" w:hAnsi="Times New Roman"/>
                <w:szCs w:val="21"/>
              </w:rPr>
            </w:pPr>
            <w:r>
              <w:rPr>
                <w:rFonts w:ascii="Times New Roman" w:hAnsi="Times New Roman" w:hint="eastAsia"/>
                <w:szCs w:val="21"/>
              </w:rPr>
              <w:t>不变</w:t>
            </w:r>
          </w:p>
        </w:tc>
      </w:tr>
      <w:tr w:rsidR="00525419">
        <w:trPr>
          <w:jc w:val="center"/>
        </w:trPr>
        <w:tc>
          <w:tcPr>
            <w:tcW w:w="2231" w:type="dxa"/>
            <w:vAlign w:val="center"/>
          </w:tcPr>
          <w:p w:rsidR="00525419" w:rsidRDefault="00EE1CF7">
            <w:pPr>
              <w:jc w:val="center"/>
              <w:rPr>
                <w:rFonts w:ascii="Times New Roman" w:hAnsi="Times New Roman"/>
                <w:szCs w:val="21"/>
              </w:rPr>
            </w:pPr>
            <w:r>
              <w:rPr>
                <w:rFonts w:ascii="Times New Roman" w:hAnsi="Times New Roman"/>
                <w:szCs w:val="21"/>
              </w:rPr>
              <w:t>建设单位</w:t>
            </w:r>
          </w:p>
        </w:tc>
        <w:tc>
          <w:tcPr>
            <w:tcW w:w="7355" w:type="dxa"/>
            <w:gridSpan w:val="2"/>
            <w:vAlign w:val="center"/>
          </w:tcPr>
          <w:p w:rsidR="00525419" w:rsidRDefault="00EE1CF7">
            <w:pPr>
              <w:jc w:val="center"/>
              <w:rPr>
                <w:rFonts w:ascii="Times New Roman" w:hAnsi="Times New Roman"/>
                <w:szCs w:val="21"/>
              </w:rPr>
            </w:pPr>
            <w:r>
              <w:rPr>
                <w:rFonts w:ascii="Times New Roman" w:hAnsi="Times New Roman"/>
                <w:szCs w:val="21"/>
              </w:rPr>
              <w:t>新疆美汇特石化产品有限公司</w:t>
            </w:r>
          </w:p>
        </w:tc>
        <w:tc>
          <w:tcPr>
            <w:tcW w:w="4585" w:type="dxa"/>
            <w:vAlign w:val="center"/>
          </w:tcPr>
          <w:p w:rsidR="00525419" w:rsidRDefault="00EE1CF7">
            <w:pPr>
              <w:jc w:val="center"/>
              <w:rPr>
                <w:rFonts w:ascii="Times New Roman" w:hAnsi="Times New Roman"/>
                <w:szCs w:val="21"/>
              </w:rPr>
            </w:pPr>
            <w:r>
              <w:rPr>
                <w:rFonts w:ascii="Times New Roman" w:hAnsi="Times New Roman"/>
                <w:szCs w:val="21"/>
              </w:rPr>
              <w:t>不变</w:t>
            </w:r>
          </w:p>
        </w:tc>
      </w:tr>
      <w:tr w:rsidR="00525419">
        <w:trPr>
          <w:jc w:val="center"/>
        </w:trPr>
        <w:tc>
          <w:tcPr>
            <w:tcW w:w="2231" w:type="dxa"/>
            <w:vAlign w:val="center"/>
          </w:tcPr>
          <w:p w:rsidR="00525419" w:rsidRDefault="00EE1CF7">
            <w:pPr>
              <w:jc w:val="center"/>
              <w:rPr>
                <w:rFonts w:ascii="Times New Roman" w:hAnsi="Times New Roman"/>
                <w:szCs w:val="21"/>
              </w:rPr>
            </w:pPr>
            <w:r>
              <w:rPr>
                <w:rFonts w:ascii="Times New Roman" w:hAnsi="Times New Roman"/>
                <w:szCs w:val="21"/>
              </w:rPr>
              <w:t>项目选址</w:t>
            </w:r>
          </w:p>
        </w:tc>
        <w:tc>
          <w:tcPr>
            <w:tcW w:w="7355" w:type="dxa"/>
            <w:gridSpan w:val="2"/>
            <w:vAlign w:val="center"/>
          </w:tcPr>
          <w:p w:rsidR="00525419" w:rsidRDefault="00EE1CF7">
            <w:pPr>
              <w:jc w:val="center"/>
              <w:rPr>
                <w:rFonts w:ascii="Times New Roman" w:hAnsi="Times New Roman"/>
                <w:szCs w:val="21"/>
              </w:rPr>
            </w:pPr>
            <w:r>
              <w:rPr>
                <w:rFonts w:ascii="Times New Roman" w:hAnsi="Times New Roman"/>
                <w:szCs w:val="21"/>
              </w:rPr>
              <w:t>鄯善高新技术产业开发区（鄯善工业园区）石化产业园，厂址中心地理坐标为</w:t>
            </w:r>
            <w:r>
              <w:rPr>
                <w:rFonts w:ascii="Times New Roman" w:hAnsi="Times New Roman"/>
                <w:szCs w:val="21"/>
              </w:rPr>
              <w:t>E90°27'46.24"</w:t>
            </w:r>
            <w:r>
              <w:rPr>
                <w:rFonts w:ascii="Times New Roman" w:hAnsi="Times New Roman"/>
                <w:szCs w:val="21"/>
              </w:rPr>
              <w:t>，</w:t>
            </w:r>
            <w:r>
              <w:rPr>
                <w:rFonts w:ascii="Times New Roman" w:hAnsi="Times New Roman"/>
                <w:szCs w:val="21"/>
              </w:rPr>
              <w:t>N43°3'33.20"</w:t>
            </w:r>
          </w:p>
        </w:tc>
        <w:tc>
          <w:tcPr>
            <w:tcW w:w="4585" w:type="dxa"/>
            <w:vAlign w:val="center"/>
          </w:tcPr>
          <w:p w:rsidR="00525419" w:rsidRDefault="00EE1CF7">
            <w:pPr>
              <w:jc w:val="center"/>
              <w:rPr>
                <w:rFonts w:ascii="Times New Roman" w:hAnsi="Times New Roman"/>
                <w:szCs w:val="21"/>
              </w:rPr>
            </w:pPr>
            <w:r>
              <w:rPr>
                <w:rFonts w:ascii="Times New Roman" w:hAnsi="Times New Roman"/>
                <w:szCs w:val="21"/>
              </w:rPr>
              <w:t>不变</w:t>
            </w:r>
          </w:p>
        </w:tc>
      </w:tr>
      <w:tr w:rsidR="00525419">
        <w:trPr>
          <w:jc w:val="center"/>
        </w:trPr>
        <w:tc>
          <w:tcPr>
            <w:tcW w:w="2231" w:type="dxa"/>
            <w:vAlign w:val="center"/>
          </w:tcPr>
          <w:p w:rsidR="00525419" w:rsidRDefault="00EE1CF7">
            <w:pPr>
              <w:jc w:val="center"/>
              <w:rPr>
                <w:rFonts w:ascii="Times New Roman" w:hAnsi="Times New Roman"/>
                <w:szCs w:val="21"/>
              </w:rPr>
            </w:pPr>
            <w:r>
              <w:rPr>
                <w:rFonts w:ascii="Times New Roman" w:hAnsi="Times New Roman"/>
                <w:szCs w:val="21"/>
              </w:rPr>
              <w:lastRenderedPageBreak/>
              <w:t>建设性质</w:t>
            </w:r>
          </w:p>
        </w:tc>
        <w:tc>
          <w:tcPr>
            <w:tcW w:w="7355" w:type="dxa"/>
            <w:gridSpan w:val="2"/>
            <w:vAlign w:val="center"/>
          </w:tcPr>
          <w:p w:rsidR="00525419" w:rsidRDefault="00EE1CF7">
            <w:pPr>
              <w:jc w:val="center"/>
              <w:rPr>
                <w:rFonts w:ascii="Times New Roman" w:hAnsi="Times New Roman"/>
                <w:szCs w:val="21"/>
              </w:rPr>
            </w:pPr>
            <w:r>
              <w:rPr>
                <w:rFonts w:ascii="Times New Roman" w:hAnsi="Times New Roman"/>
                <w:szCs w:val="21"/>
              </w:rPr>
              <w:t>新建</w:t>
            </w:r>
          </w:p>
        </w:tc>
        <w:tc>
          <w:tcPr>
            <w:tcW w:w="4585" w:type="dxa"/>
            <w:vAlign w:val="center"/>
          </w:tcPr>
          <w:p w:rsidR="00525419" w:rsidRDefault="00EE1CF7">
            <w:pPr>
              <w:jc w:val="center"/>
              <w:rPr>
                <w:rFonts w:ascii="Times New Roman" w:hAnsi="Times New Roman"/>
                <w:szCs w:val="21"/>
              </w:rPr>
            </w:pPr>
            <w:r>
              <w:rPr>
                <w:rFonts w:ascii="Times New Roman" w:hAnsi="Times New Roman"/>
                <w:szCs w:val="21"/>
              </w:rPr>
              <w:t>不变</w:t>
            </w:r>
          </w:p>
        </w:tc>
      </w:tr>
      <w:tr w:rsidR="00525419">
        <w:trPr>
          <w:jc w:val="center"/>
        </w:trPr>
        <w:tc>
          <w:tcPr>
            <w:tcW w:w="2231" w:type="dxa"/>
            <w:vMerge w:val="restart"/>
            <w:vAlign w:val="center"/>
          </w:tcPr>
          <w:p w:rsidR="00525419" w:rsidRDefault="00EE1CF7">
            <w:pPr>
              <w:jc w:val="center"/>
              <w:rPr>
                <w:rFonts w:ascii="Times New Roman" w:hAnsi="Times New Roman"/>
                <w:szCs w:val="21"/>
              </w:rPr>
            </w:pPr>
            <w:r>
              <w:rPr>
                <w:rFonts w:ascii="Times New Roman" w:hAnsi="Times New Roman"/>
                <w:szCs w:val="21"/>
              </w:rPr>
              <w:t>建设规模</w:t>
            </w:r>
          </w:p>
        </w:tc>
        <w:tc>
          <w:tcPr>
            <w:tcW w:w="2110" w:type="dxa"/>
            <w:vMerge w:val="restart"/>
            <w:vAlign w:val="center"/>
          </w:tcPr>
          <w:p w:rsidR="00525419" w:rsidRDefault="00EE1CF7">
            <w:pPr>
              <w:jc w:val="center"/>
              <w:rPr>
                <w:rFonts w:ascii="Times New Roman" w:hAnsi="Times New Roman"/>
                <w:szCs w:val="21"/>
              </w:rPr>
            </w:pPr>
            <w:r>
              <w:rPr>
                <w:rFonts w:ascii="Times New Roman" w:hAnsi="Times New Roman"/>
                <w:szCs w:val="21"/>
              </w:rPr>
              <w:t>煤焦油加氢装置</w:t>
            </w:r>
          </w:p>
          <w:p w:rsidR="00525419" w:rsidRDefault="00525419">
            <w:pPr>
              <w:pStyle w:val="afb"/>
              <w:rPr>
                <w:sz w:val="21"/>
                <w:szCs w:val="21"/>
              </w:rPr>
            </w:pPr>
          </w:p>
        </w:tc>
        <w:tc>
          <w:tcPr>
            <w:tcW w:w="5245" w:type="dxa"/>
            <w:vAlign w:val="center"/>
          </w:tcPr>
          <w:p w:rsidR="00525419" w:rsidRDefault="00EE1CF7">
            <w:pPr>
              <w:jc w:val="center"/>
              <w:rPr>
                <w:rFonts w:ascii="Times New Roman" w:hAnsi="Times New Roman"/>
                <w:szCs w:val="21"/>
              </w:rPr>
            </w:pPr>
            <w:r>
              <w:rPr>
                <w:rFonts w:ascii="Times New Roman" w:hAnsi="Times New Roman"/>
                <w:szCs w:val="21"/>
              </w:rPr>
              <w:t>煤焦油预处理单元：</w:t>
            </w:r>
            <w:r>
              <w:rPr>
                <w:rFonts w:ascii="Times New Roman" w:hAnsi="Times New Roman"/>
                <w:szCs w:val="21"/>
              </w:rPr>
              <w:t>20</w:t>
            </w:r>
            <w:r>
              <w:rPr>
                <w:rFonts w:ascii="Times New Roman" w:hAnsi="Times New Roman"/>
                <w:szCs w:val="21"/>
              </w:rPr>
              <w:t>万</w:t>
            </w:r>
            <w:r>
              <w:rPr>
                <w:rFonts w:ascii="Times New Roman" w:hAnsi="Times New Roman"/>
                <w:szCs w:val="21"/>
              </w:rPr>
              <w:t>t/a</w:t>
            </w:r>
            <w:r>
              <w:rPr>
                <w:rFonts w:ascii="Times New Roman" w:hAnsi="Times New Roman"/>
                <w:szCs w:val="21"/>
              </w:rPr>
              <w:t>（一期建成）</w:t>
            </w:r>
          </w:p>
        </w:tc>
        <w:tc>
          <w:tcPr>
            <w:tcW w:w="4585" w:type="dxa"/>
            <w:vAlign w:val="center"/>
          </w:tcPr>
          <w:p w:rsidR="00525419" w:rsidRDefault="00EE1CF7">
            <w:pPr>
              <w:jc w:val="center"/>
              <w:rPr>
                <w:rFonts w:ascii="Times New Roman" w:hAnsi="Times New Roman"/>
                <w:szCs w:val="21"/>
              </w:rPr>
            </w:pPr>
            <w:r>
              <w:rPr>
                <w:rFonts w:ascii="Times New Roman" w:hAnsi="Times New Roman"/>
                <w:szCs w:val="21"/>
              </w:rPr>
              <w:t>取消</w:t>
            </w:r>
          </w:p>
        </w:tc>
      </w:tr>
      <w:tr w:rsidR="00525419">
        <w:trPr>
          <w:jc w:val="center"/>
        </w:trPr>
        <w:tc>
          <w:tcPr>
            <w:tcW w:w="2231" w:type="dxa"/>
            <w:vMerge/>
            <w:vAlign w:val="center"/>
          </w:tcPr>
          <w:p w:rsidR="00525419" w:rsidRDefault="00525419">
            <w:pPr>
              <w:jc w:val="center"/>
              <w:rPr>
                <w:rFonts w:ascii="Times New Roman" w:hAnsi="Times New Roman"/>
                <w:szCs w:val="21"/>
              </w:rPr>
            </w:pPr>
          </w:p>
        </w:tc>
        <w:tc>
          <w:tcPr>
            <w:tcW w:w="2110" w:type="dxa"/>
            <w:vMerge/>
            <w:vAlign w:val="center"/>
          </w:tcPr>
          <w:p w:rsidR="00525419" w:rsidRDefault="00525419">
            <w:pPr>
              <w:pStyle w:val="afb"/>
              <w:rPr>
                <w:sz w:val="21"/>
                <w:szCs w:val="21"/>
              </w:rPr>
            </w:pPr>
          </w:p>
        </w:tc>
        <w:tc>
          <w:tcPr>
            <w:tcW w:w="5245" w:type="dxa"/>
            <w:vAlign w:val="center"/>
          </w:tcPr>
          <w:p w:rsidR="00525419" w:rsidRDefault="00EE1CF7">
            <w:pPr>
              <w:jc w:val="center"/>
              <w:rPr>
                <w:rFonts w:ascii="Times New Roman" w:hAnsi="Times New Roman"/>
                <w:szCs w:val="21"/>
              </w:rPr>
            </w:pPr>
            <w:r>
              <w:rPr>
                <w:rFonts w:ascii="Times New Roman" w:hAnsi="Times New Roman"/>
                <w:szCs w:val="21"/>
              </w:rPr>
              <w:t>煤焦油加氢精制单元：</w:t>
            </w:r>
            <w:r>
              <w:rPr>
                <w:rFonts w:ascii="Times New Roman" w:hAnsi="Times New Roman"/>
                <w:szCs w:val="21"/>
              </w:rPr>
              <w:t>40</w:t>
            </w:r>
            <w:r>
              <w:rPr>
                <w:rFonts w:ascii="Times New Roman" w:hAnsi="Times New Roman"/>
                <w:szCs w:val="21"/>
              </w:rPr>
              <w:t>万</w:t>
            </w:r>
            <w:r>
              <w:rPr>
                <w:rFonts w:ascii="Times New Roman" w:hAnsi="Times New Roman"/>
                <w:szCs w:val="21"/>
              </w:rPr>
              <w:t>t/a</w:t>
            </w:r>
            <w:r>
              <w:rPr>
                <w:rFonts w:ascii="Times New Roman" w:hAnsi="Times New Roman"/>
                <w:szCs w:val="21"/>
              </w:rPr>
              <w:t>（一期建成）</w:t>
            </w:r>
          </w:p>
        </w:tc>
        <w:tc>
          <w:tcPr>
            <w:tcW w:w="4585" w:type="dxa"/>
            <w:vAlign w:val="center"/>
          </w:tcPr>
          <w:p w:rsidR="00525419" w:rsidRDefault="00EE1CF7">
            <w:pPr>
              <w:jc w:val="center"/>
              <w:rPr>
                <w:rFonts w:ascii="Times New Roman" w:hAnsi="Times New Roman"/>
                <w:szCs w:val="21"/>
              </w:rPr>
            </w:pPr>
            <w:r>
              <w:rPr>
                <w:rFonts w:ascii="Times New Roman" w:hAnsi="Times New Roman"/>
                <w:szCs w:val="21"/>
              </w:rPr>
              <w:t>不变</w:t>
            </w:r>
          </w:p>
        </w:tc>
      </w:tr>
      <w:tr w:rsidR="00525419">
        <w:trPr>
          <w:jc w:val="center"/>
        </w:trPr>
        <w:tc>
          <w:tcPr>
            <w:tcW w:w="2231" w:type="dxa"/>
            <w:vMerge/>
            <w:vAlign w:val="center"/>
          </w:tcPr>
          <w:p w:rsidR="00525419" w:rsidRDefault="00525419">
            <w:pPr>
              <w:jc w:val="center"/>
              <w:rPr>
                <w:rFonts w:ascii="Times New Roman" w:hAnsi="Times New Roman"/>
                <w:szCs w:val="21"/>
              </w:rPr>
            </w:pPr>
          </w:p>
        </w:tc>
        <w:tc>
          <w:tcPr>
            <w:tcW w:w="2110" w:type="dxa"/>
            <w:vMerge/>
            <w:vAlign w:val="center"/>
          </w:tcPr>
          <w:p w:rsidR="00525419" w:rsidRDefault="00525419">
            <w:pPr>
              <w:pStyle w:val="afb"/>
              <w:rPr>
                <w:sz w:val="21"/>
                <w:szCs w:val="21"/>
              </w:rPr>
            </w:pPr>
          </w:p>
        </w:tc>
        <w:tc>
          <w:tcPr>
            <w:tcW w:w="5245" w:type="dxa"/>
            <w:vAlign w:val="center"/>
          </w:tcPr>
          <w:p w:rsidR="00525419" w:rsidRDefault="00EE1CF7">
            <w:pPr>
              <w:jc w:val="center"/>
              <w:rPr>
                <w:rFonts w:ascii="Times New Roman" w:hAnsi="Times New Roman"/>
                <w:szCs w:val="21"/>
              </w:rPr>
            </w:pPr>
            <w:r>
              <w:rPr>
                <w:rFonts w:ascii="Times New Roman" w:hAnsi="Times New Roman"/>
                <w:szCs w:val="21"/>
              </w:rPr>
              <w:t>芳烃制取单元：</w:t>
            </w:r>
            <w:r>
              <w:rPr>
                <w:rFonts w:ascii="Times New Roman" w:hAnsi="Times New Roman"/>
                <w:szCs w:val="21"/>
              </w:rPr>
              <w:t>20</w:t>
            </w:r>
            <w:r>
              <w:rPr>
                <w:rFonts w:ascii="Times New Roman" w:hAnsi="Times New Roman"/>
                <w:szCs w:val="21"/>
              </w:rPr>
              <w:t>万</w:t>
            </w:r>
            <w:r>
              <w:rPr>
                <w:rFonts w:ascii="Times New Roman" w:hAnsi="Times New Roman"/>
                <w:szCs w:val="21"/>
              </w:rPr>
              <w:t>t/a</w:t>
            </w:r>
            <w:r>
              <w:rPr>
                <w:rFonts w:ascii="Times New Roman" w:hAnsi="Times New Roman"/>
                <w:szCs w:val="21"/>
              </w:rPr>
              <w:t>（二期建成）</w:t>
            </w:r>
          </w:p>
        </w:tc>
        <w:tc>
          <w:tcPr>
            <w:tcW w:w="4585" w:type="dxa"/>
            <w:vAlign w:val="center"/>
          </w:tcPr>
          <w:p w:rsidR="00525419" w:rsidRDefault="00EE1CF7">
            <w:pPr>
              <w:jc w:val="center"/>
              <w:rPr>
                <w:rFonts w:ascii="Times New Roman" w:hAnsi="Times New Roman"/>
                <w:szCs w:val="21"/>
              </w:rPr>
            </w:pPr>
            <w:r>
              <w:rPr>
                <w:rFonts w:ascii="Times New Roman" w:hAnsi="Times New Roman"/>
                <w:szCs w:val="21"/>
              </w:rPr>
              <w:t>取消</w:t>
            </w:r>
          </w:p>
        </w:tc>
      </w:tr>
      <w:tr w:rsidR="00525419">
        <w:trPr>
          <w:jc w:val="center"/>
        </w:trPr>
        <w:tc>
          <w:tcPr>
            <w:tcW w:w="2231" w:type="dxa"/>
            <w:vMerge/>
            <w:vAlign w:val="center"/>
          </w:tcPr>
          <w:p w:rsidR="00525419" w:rsidRDefault="00525419">
            <w:pPr>
              <w:jc w:val="center"/>
              <w:rPr>
                <w:rFonts w:ascii="Times New Roman" w:hAnsi="Times New Roman"/>
                <w:szCs w:val="21"/>
              </w:rPr>
            </w:pPr>
          </w:p>
        </w:tc>
        <w:tc>
          <w:tcPr>
            <w:tcW w:w="2110" w:type="dxa"/>
            <w:vAlign w:val="center"/>
          </w:tcPr>
          <w:p w:rsidR="00525419" w:rsidRDefault="00EE1CF7">
            <w:pPr>
              <w:pStyle w:val="afb"/>
              <w:rPr>
                <w:sz w:val="21"/>
                <w:szCs w:val="21"/>
              </w:rPr>
            </w:pPr>
            <w:r>
              <w:rPr>
                <w:sz w:val="21"/>
                <w:szCs w:val="21"/>
              </w:rPr>
              <w:t>天然气制氢装置</w:t>
            </w:r>
          </w:p>
        </w:tc>
        <w:tc>
          <w:tcPr>
            <w:tcW w:w="5245" w:type="dxa"/>
            <w:vAlign w:val="center"/>
          </w:tcPr>
          <w:p w:rsidR="00525419" w:rsidRDefault="00EE1CF7">
            <w:pPr>
              <w:jc w:val="center"/>
              <w:rPr>
                <w:rFonts w:ascii="Times New Roman" w:hAnsi="Times New Roman"/>
                <w:szCs w:val="21"/>
              </w:rPr>
            </w:pPr>
            <w:r>
              <w:rPr>
                <w:rFonts w:ascii="Times New Roman" w:hAnsi="Times New Roman"/>
                <w:szCs w:val="21"/>
              </w:rPr>
              <w:t>25000Nm³/h</w:t>
            </w:r>
            <w:r>
              <w:rPr>
                <w:rFonts w:ascii="Times New Roman" w:hAnsi="Times New Roman"/>
                <w:szCs w:val="21"/>
              </w:rPr>
              <w:t>（一期建成）</w:t>
            </w:r>
          </w:p>
        </w:tc>
        <w:tc>
          <w:tcPr>
            <w:tcW w:w="4585" w:type="dxa"/>
            <w:vAlign w:val="center"/>
          </w:tcPr>
          <w:p w:rsidR="00525419" w:rsidRDefault="00EE1CF7">
            <w:pPr>
              <w:jc w:val="center"/>
              <w:rPr>
                <w:rFonts w:ascii="Times New Roman" w:hAnsi="Times New Roman"/>
                <w:szCs w:val="21"/>
              </w:rPr>
            </w:pPr>
            <w:r>
              <w:rPr>
                <w:rFonts w:ascii="Times New Roman" w:hAnsi="Times New Roman"/>
                <w:szCs w:val="21"/>
              </w:rPr>
              <w:t>不变</w:t>
            </w:r>
          </w:p>
        </w:tc>
      </w:tr>
      <w:tr w:rsidR="00525419">
        <w:trPr>
          <w:trHeight w:val="347"/>
          <w:jc w:val="center"/>
        </w:trPr>
        <w:tc>
          <w:tcPr>
            <w:tcW w:w="2231" w:type="dxa"/>
            <w:vMerge/>
            <w:vAlign w:val="center"/>
          </w:tcPr>
          <w:p w:rsidR="00525419" w:rsidRDefault="00525419">
            <w:pPr>
              <w:jc w:val="center"/>
              <w:rPr>
                <w:rFonts w:ascii="Times New Roman" w:hAnsi="Times New Roman"/>
                <w:szCs w:val="21"/>
              </w:rPr>
            </w:pPr>
          </w:p>
        </w:tc>
        <w:tc>
          <w:tcPr>
            <w:tcW w:w="2110" w:type="dxa"/>
            <w:vMerge w:val="restart"/>
            <w:vAlign w:val="center"/>
          </w:tcPr>
          <w:p w:rsidR="00525419" w:rsidRDefault="00EE1CF7">
            <w:pPr>
              <w:pStyle w:val="afb"/>
              <w:rPr>
                <w:sz w:val="21"/>
                <w:szCs w:val="21"/>
              </w:rPr>
            </w:pPr>
            <w:r>
              <w:rPr>
                <w:sz w:val="21"/>
                <w:szCs w:val="21"/>
              </w:rPr>
              <w:t>硫磺回收装置</w:t>
            </w:r>
          </w:p>
        </w:tc>
        <w:tc>
          <w:tcPr>
            <w:tcW w:w="5245" w:type="dxa"/>
            <w:vAlign w:val="center"/>
          </w:tcPr>
          <w:p w:rsidR="00525419" w:rsidRDefault="00EE1CF7">
            <w:pPr>
              <w:jc w:val="center"/>
              <w:rPr>
                <w:rFonts w:ascii="Times New Roman" w:hAnsi="Times New Roman"/>
                <w:szCs w:val="21"/>
              </w:rPr>
            </w:pPr>
            <w:r>
              <w:rPr>
                <w:rFonts w:ascii="Times New Roman" w:hAnsi="Times New Roman"/>
                <w:szCs w:val="21"/>
              </w:rPr>
              <w:t>酸性水汽提：</w:t>
            </w:r>
            <w:r>
              <w:rPr>
                <w:rFonts w:ascii="Times New Roman" w:hAnsi="Times New Roman"/>
                <w:szCs w:val="21"/>
              </w:rPr>
              <w:t>55t/h</w:t>
            </w:r>
            <w:r>
              <w:rPr>
                <w:rFonts w:ascii="Times New Roman" w:hAnsi="Times New Roman"/>
                <w:szCs w:val="21"/>
              </w:rPr>
              <w:t>（一期工程）</w:t>
            </w:r>
          </w:p>
        </w:tc>
        <w:tc>
          <w:tcPr>
            <w:tcW w:w="4585" w:type="dxa"/>
            <w:vMerge w:val="restart"/>
            <w:vAlign w:val="center"/>
          </w:tcPr>
          <w:p w:rsidR="00525419" w:rsidRDefault="00EE1CF7">
            <w:pPr>
              <w:jc w:val="center"/>
              <w:rPr>
                <w:rFonts w:ascii="Times New Roman" w:hAnsi="Times New Roman"/>
                <w:szCs w:val="21"/>
              </w:rPr>
            </w:pPr>
            <w:r>
              <w:rPr>
                <w:rFonts w:ascii="Times New Roman" w:hAnsi="Times New Roman"/>
                <w:szCs w:val="21"/>
              </w:rPr>
              <w:t>不变</w:t>
            </w:r>
          </w:p>
        </w:tc>
      </w:tr>
      <w:tr w:rsidR="00525419">
        <w:trPr>
          <w:jc w:val="center"/>
        </w:trPr>
        <w:tc>
          <w:tcPr>
            <w:tcW w:w="2231" w:type="dxa"/>
            <w:vMerge/>
            <w:vAlign w:val="center"/>
          </w:tcPr>
          <w:p w:rsidR="00525419" w:rsidRDefault="00525419">
            <w:pPr>
              <w:jc w:val="center"/>
              <w:rPr>
                <w:rFonts w:ascii="Times New Roman" w:hAnsi="Times New Roman"/>
                <w:szCs w:val="21"/>
              </w:rPr>
            </w:pPr>
          </w:p>
        </w:tc>
        <w:tc>
          <w:tcPr>
            <w:tcW w:w="2110" w:type="dxa"/>
            <w:vMerge/>
            <w:vAlign w:val="center"/>
          </w:tcPr>
          <w:p w:rsidR="00525419" w:rsidRDefault="00525419">
            <w:pPr>
              <w:pStyle w:val="afb"/>
              <w:rPr>
                <w:sz w:val="21"/>
                <w:szCs w:val="21"/>
              </w:rPr>
            </w:pPr>
          </w:p>
        </w:tc>
        <w:tc>
          <w:tcPr>
            <w:tcW w:w="5245" w:type="dxa"/>
            <w:vAlign w:val="center"/>
          </w:tcPr>
          <w:p w:rsidR="00525419" w:rsidRDefault="00EE1CF7">
            <w:pPr>
              <w:jc w:val="center"/>
              <w:rPr>
                <w:rFonts w:ascii="Times New Roman" w:hAnsi="Times New Roman"/>
                <w:szCs w:val="21"/>
              </w:rPr>
            </w:pPr>
            <w:r>
              <w:rPr>
                <w:rFonts w:ascii="Times New Roman" w:hAnsi="Times New Roman"/>
                <w:szCs w:val="21"/>
              </w:rPr>
              <w:t>溶剂回收：</w:t>
            </w:r>
            <w:r>
              <w:rPr>
                <w:rFonts w:ascii="Times New Roman" w:hAnsi="Times New Roman"/>
                <w:szCs w:val="21"/>
              </w:rPr>
              <w:t>40 t/h</w:t>
            </w:r>
            <w:r>
              <w:rPr>
                <w:rFonts w:ascii="Times New Roman" w:hAnsi="Times New Roman"/>
                <w:szCs w:val="21"/>
              </w:rPr>
              <w:t>（一期工程）</w:t>
            </w:r>
          </w:p>
        </w:tc>
        <w:tc>
          <w:tcPr>
            <w:tcW w:w="4585" w:type="dxa"/>
            <w:vMerge/>
            <w:vAlign w:val="center"/>
          </w:tcPr>
          <w:p w:rsidR="00525419" w:rsidRDefault="00525419">
            <w:pPr>
              <w:jc w:val="center"/>
              <w:rPr>
                <w:rFonts w:ascii="Times New Roman" w:hAnsi="Times New Roman"/>
                <w:szCs w:val="21"/>
              </w:rPr>
            </w:pPr>
          </w:p>
        </w:tc>
      </w:tr>
      <w:tr w:rsidR="00525419">
        <w:trPr>
          <w:jc w:val="center"/>
        </w:trPr>
        <w:tc>
          <w:tcPr>
            <w:tcW w:w="2231" w:type="dxa"/>
            <w:vMerge/>
            <w:vAlign w:val="center"/>
          </w:tcPr>
          <w:p w:rsidR="00525419" w:rsidRDefault="00525419">
            <w:pPr>
              <w:jc w:val="center"/>
              <w:rPr>
                <w:rFonts w:ascii="Times New Roman" w:hAnsi="Times New Roman"/>
                <w:szCs w:val="21"/>
              </w:rPr>
            </w:pPr>
          </w:p>
        </w:tc>
        <w:tc>
          <w:tcPr>
            <w:tcW w:w="2110" w:type="dxa"/>
            <w:vMerge/>
            <w:vAlign w:val="center"/>
          </w:tcPr>
          <w:p w:rsidR="00525419" w:rsidRDefault="00525419">
            <w:pPr>
              <w:pStyle w:val="afb"/>
              <w:rPr>
                <w:sz w:val="21"/>
                <w:szCs w:val="21"/>
              </w:rPr>
            </w:pPr>
          </w:p>
        </w:tc>
        <w:tc>
          <w:tcPr>
            <w:tcW w:w="5245" w:type="dxa"/>
            <w:vAlign w:val="center"/>
          </w:tcPr>
          <w:p w:rsidR="00525419" w:rsidRDefault="00EE1CF7">
            <w:pPr>
              <w:jc w:val="center"/>
              <w:rPr>
                <w:rFonts w:ascii="Times New Roman" w:hAnsi="Times New Roman"/>
                <w:szCs w:val="21"/>
              </w:rPr>
            </w:pPr>
            <w:r>
              <w:rPr>
                <w:rFonts w:ascii="Times New Roman" w:hAnsi="Times New Roman"/>
                <w:szCs w:val="21"/>
              </w:rPr>
              <w:t>硫磺回收：</w:t>
            </w:r>
            <w:r>
              <w:rPr>
                <w:rFonts w:ascii="Times New Roman" w:hAnsi="Times New Roman"/>
                <w:szCs w:val="21"/>
              </w:rPr>
              <w:t>1.5</w:t>
            </w:r>
            <w:r>
              <w:rPr>
                <w:rFonts w:ascii="Times New Roman" w:hAnsi="Times New Roman"/>
                <w:szCs w:val="21"/>
              </w:rPr>
              <w:t>万</w:t>
            </w:r>
            <w:r>
              <w:rPr>
                <w:rFonts w:ascii="Times New Roman" w:hAnsi="Times New Roman"/>
                <w:szCs w:val="21"/>
              </w:rPr>
              <w:t>t/a</w:t>
            </w:r>
            <w:r>
              <w:rPr>
                <w:rFonts w:ascii="Times New Roman" w:hAnsi="Times New Roman"/>
                <w:szCs w:val="21"/>
              </w:rPr>
              <w:t>（一期工程）</w:t>
            </w:r>
          </w:p>
        </w:tc>
        <w:tc>
          <w:tcPr>
            <w:tcW w:w="4585" w:type="dxa"/>
            <w:vMerge/>
            <w:vAlign w:val="center"/>
          </w:tcPr>
          <w:p w:rsidR="00525419" w:rsidRDefault="00525419">
            <w:pPr>
              <w:jc w:val="center"/>
              <w:rPr>
                <w:rFonts w:ascii="Times New Roman" w:hAnsi="Times New Roman"/>
                <w:szCs w:val="21"/>
              </w:rPr>
            </w:pPr>
          </w:p>
        </w:tc>
      </w:tr>
      <w:tr w:rsidR="00525419">
        <w:trPr>
          <w:jc w:val="center"/>
        </w:trPr>
        <w:tc>
          <w:tcPr>
            <w:tcW w:w="2231" w:type="dxa"/>
            <w:vAlign w:val="center"/>
          </w:tcPr>
          <w:p w:rsidR="00525419" w:rsidRDefault="00EE1CF7">
            <w:pPr>
              <w:jc w:val="center"/>
              <w:rPr>
                <w:rFonts w:ascii="Times New Roman" w:hAnsi="Times New Roman"/>
                <w:szCs w:val="21"/>
              </w:rPr>
            </w:pPr>
            <w:r>
              <w:rPr>
                <w:rFonts w:ascii="Times New Roman" w:hAnsi="Times New Roman"/>
                <w:szCs w:val="21"/>
              </w:rPr>
              <w:t>总占地面积</w:t>
            </w:r>
          </w:p>
        </w:tc>
        <w:tc>
          <w:tcPr>
            <w:tcW w:w="7355" w:type="dxa"/>
            <w:gridSpan w:val="2"/>
            <w:vAlign w:val="center"/>
          </w:tcPr>
          <w:p w:rsidR="00525419" w:rsidRDefault="00EE1CF7">
            <w:pPr>
              <w:jc w:val="center"/>
              <w:rPr>
                <w:rFonts w:ascii="Times New Roman" w:hAnsi="Times New Roman"/>
                <w:szCs w:val="21"/>
              </w:rPr>
            </w:pPr>
            <w:r>
              <w:rPr>
                <w:rFonts w:ascii="Times New Roman" w:hAnsi="Times New Roman"/>
                <w:szCs w:val="21"/>
              </w:rPr>
              <w:t>28821m</w:t>
            </w:r>
            <w:r>
              <w:rPr>
                <w:rFonts w:ascii="Times New Roman" w:hAnsi="Times New Roman"/>
                <w:szCs w:val="21"/>
                <w:vertAlign w:val="superscript"/>
              </w:rPr>
              <w:t>2</w:t>
            </w:r>
          </w:p>
        </w:tc>
        <w:tc>
          <w:tcPr>
            <w:tcW w:w="4585" w:type="dxa"/>
            <w:vAlign w:val="center"/>
          </w:tcPr>
          <w:p w:rsidR="00525419" w:rsidRDefault="00EE1CF7">
            <w:pPr>
              <w:jc w:val="center"/>
              <w:rPr>
                <w:rFonts w:ascii="Times New Roman" w:hAnsi="Times New Roman"/>
                <w:szCs w:val="21"/>
              </w:rPr>
            </w:pPr>
            <w:r>
              <w:rPr>
                <w:rFonts w:ascii="Times New Roman" w:hAnsi="Times New Roman"/>
                <w:szCs w:val="21"/>
              </w:rPr>
              <w:t>25000m</w:t>
            </w:r>
            <w:r>
              <w:rPr>
                <w:rFonts w:ascii="Times New Roman" w:hAnsi="Times New Roman"/>
                <w:szCs w:val="21"/>
                <w:vertAlign w:val="superscript"/>
              </w:rPr>
              <w:t>2</w:t>
            </w:r>
          </w:p>
        </w:tc>
      </w:tr>
      <w:tr w:rsidR="00525419">
        <w:trPr>
          <w:jc w:val="center"/>
        </w:trPr>
        <w:tc>
          <w:tcPr>
            <w:tcW w:w="2231" w:type="dxa"/>
            <w:vAlign w:val="center"/>
          </w:tcPr>
          <w:p w:rsidR="00525419" w:rsidRDefault="00EE1CF7">
            <w:pPr>
              <w:jc w:val="center"/>
              <w:rPr>
                <w:rFonts w:ascii="Times New Roman" w:hAnsi="Times New Roman"/>
                <w:szCs w:val="21"/>
              </w:rPr>
            </w:pPr>
            <w:r>
              <w:rPr>
                <w:rFonts w:ascii="Times New Roman" w:hAnsi="Times New Roman"/>
                <w:szCs w:val="21"/>
              </w:rPr>
              <w:t>劳动定员</w:t>
            </w:r>
          </w:p>
        </w:tc>
        <w:tc>
          <w:tcPr>
            <w:tcW w:w="7355" w:type="dxa"/>
            <w:gridSpan w:val="2"/>
            <w:vAlign w:val="center"/>
          </w:tcPr>
          <w:p w:rsidR="00525419" w:rsidRDefault="00EE1CF7">
            <w:pPr>
              <w:jc w:val="center"/>
              <w:rPr>
                <w:rFonts w:ascii="Times New Roman" w:hAnsi="Times New Roman"/>
                <w:szCs w:val="21"/>
              </w:rPr>
            </w:pPr>
            <w:r>
              <w:rPr>
                <w:rFonts w:ascii="Times New Roman" w:hAnsi="Times New Roman"/>
                <w:szCs w:val="21"/>
              </w:rPr>
              <w:t>156</w:t>
            </w:r>
            <w:r>
              <w:rPr>
                <w:rFonts w:ascii="Times New Roman" w:hAnsi="Times New Roman"/>
                <w:szCs w:val="21"/>
              </w:rPr>
              <w:t>人</w:t>
            </w:r>
          </w:p>
        </w:tc>
        <w:tc>
          <w:tcPr>
            <w:tcW w:w="4585" w:type="dxa"/>
            <w:vAlign w:val="center"/>
          </w:tcPr>
          <w:p w:rsidR="00525419" w:rsidRDefault="00EE1CF7">
            <w:pPr>
              <w:jc w:val="center"/>
              <w:rPr>
                <w:rFonts w:ascii="Times New Roman" w:hAnsi="Times New Roman"/>
                <w:szCs w:val="21"/>
              </w:rPr>
            </w:pPr>
            <w:r>
              <w:rPr>
                <w:rFonts w:ascii="Times New Roman" w:hAnsi="Times New Roman"/>
                <w:szCs w:val="21"/>
              </w:rPr>
              <w:t>90</w:t>
            </w:r>
            <w:r>
              <w:rPr>
                <w:rFonts w:ascii="Times New Roman" w:hAnsi="Times New Roman"/>
                <w:szCs w:val="21"/>
              </w:rPr>
              <w:t>人</w:t>
            </w:r>
          </w:p>
        </w:tc>
      </w:tr>
      <w:tr w:rsidR="00525419">
        <w:trPr>
          <w:jc w:val="center"/>
        </w:trPr>
        <w:tc>
          <w:tcPr>
            <w:tcW w:w="2231" w:type="dxa"/>
            <w:vAlign w:val="center"/>
          </w:tcPr>
          <w:p w:rsidR="00525419" w:rsidRDefault="00EE1CF7">
            <w:pPr>
              <w:jc w:val="center"/>
              <w:rPr>
                <w:rFonts w:ascii="Times New Roman" w:hAnsi="Times New Roman"/>
                <w:szCs w:val="21"/>
              </w:rPr>
            </w:pPr>
            <w:r>
              <w:rPr>
                <w:rFonts w:ascii="Times New Roman" w:hAnsi="Times New Roman"/>
                <w:szCs w:val="21"/>
              </w:rPr>
              <w:t>工作制度</w:t>
            </w:r>
          </w:p>
        </w:tc>
        <w:tc>
          <w:tcPr>
            <w:tcW w:w="7355" w:type="dxa"/>
            <w:gridSpan w:val="2"/>
            <w:vAlign w:val="center"/>
          </w:tcPr>
          <w:p w:rsidR="00525419" w:rsidRDefault="00EE1CF7">
            <w:pPr>
              <w:jc w:val="center"/>
              <w:rPr>
                <w:rFonts w:ascii="Times New Roman" w:hAnsi="Times New Roman"/>
                <w:szCs w:val="21"/>
              </w:rPr>
            </w:pPr>
            <w:r>
              <w:rPr>
                <w:rFonts w:ascii="Times New Roman" w:hAnsi="Times New Roman"/>
                <w:szCs w:val="21"/>
              </w:rPr>
              <w:t>年操作</w:t>
            </w:r>
            <w:r>
              <w:rPr>
                <w:rFonts w:ascii="Times New Roman" w:hAnsi="Times New Roman"/>
                <w:szCs w:val="21"/>
              </w:rPr>
              <w:t>8000h</w:t>
            </w:r>
          </w:p>
        </w:tc>
        <w:tc>
          <w:tcPr>
            <w:tcW w:w="4585" w:type="dxa"/>
            <w:vAlign w:val="center"/>
          </w:tcPr>
          <w:p w:rsidR="00525419" w:rsidRDefault="00EE1CF7">
            <w:pPr>
              <w:jc w:val="center"/>
              <w:rPr>
                <w:rFonts w:ascii="Times New Roman" w:hAnsi="Times New Roman"/>
                <w:szCs w:val="21"/>
              </w:rPr>
            </w:pPr>
            <w:r>
              <w:rPr>
                <w:rFonts w:ascii="Times New Roman" w:hAnsi="Times New Roman"/>
                <w:szCs w:val="21"/>
              </w:rPr>
              <w:t>不变</w:t>
            </w:r>
          </w:p>
        </w:tc>
      </w:tr>
      <w:tr w:rsidR="00525419">
        <w:trPr>
          <w:jc w:val="center"/>
        </w:trPr>
        <w:tc>
          <w:tcPr>
            <w:tcW w:w="2231" w:type="dxa"/>
            <w:vAlign w:val="center"/>
          </w:tcPr>
          <w:p w:rsidR="00525419" w:rsidRDefault="00EE1CF7">
            <w:pPr>
              <w:jc w:val="center"/>
              <w:rPr>
                <w:rFonts w:ascii="Times New Roman" w:hAnsi="Times New Roman"/>
                <w:szCs w:val="21"/>
              </w:rPr>
            </w:pPr>
            <w:r>
              <w:rPr>
                <w:rFonts w:ascii="Times New Roman" w:hAnsi="Times New Roman"/>
                <w:szCs w:val="21"/>
              </w:rPr>
              <w:t>项目投资</w:t>
            </w:r>
          </w:p>
        </w:tc>
        <w:tc>
          <w:tcPr>
            <w:tcW w:w="7355" w:type="dxa"/>
            <w:gridSpan w:val="2"/>
            <w:vAlign w:val="center"/>
          </w:tcPr>
          <w:p w:rsidR="00525419" w:rsidRDefault="00EE1CF7">
            <w:pPr>
              <w:jc w:val="center"/>
              <w:rPr>
                <w:rFonts w:ascii="Times New Roman" w:hAnsi="Times New Roman"/>
                <w:szCs w:val="21"/>
              </w:rPr>
            </w:pPr>
            <w:r>
              <w:rPr>
                <w:rFonts w:ascii="Times New Roman" w:hAnsi="Times New Roman"/>
                <w:szCs w:val="21"/>
              </w:rPr>
              <w:t>116209</w:t>
            </w:r>
            <w:r>
              <w:rPr>
                <w:rFonts w:ascii="Times New Roman" w:hAnsi="Times New Roman"/>
                <w:szCs w:val="21"/>
              </w:rPr>
              <w:t>万元</w:t>
            </w:r>
          </w:p>
        </w:tc>
        <w:tc>
          <w:tcPr>
            <w:tcW w:w="4585" w:type="dxa"/>
            <w:vAlign w:val="center"/>
          </w:tcPr>
          <w:p w:rsidR="00525419" w:rsidRDefault="00EE1CF7">
            <w:pPr>
              <w:jc w:val="center"/>
              <w:rPr>
                <w:rFonts w:ascii="Times New Roman" w:hAnsi="Times New Roman"/>
                <w:szCs w:val="21"/>
              </w:rPr>
            </w:pPr>
            <w:r>
              <w:rPr>
                <w:rFonts w:ascii="Times New Roman" w:hAnsi="Times New Roman"/>
                <w:szCs w:val="21"/>
              </w:rPr>
              <w:t>76371</w:t>
            </w:r>
            <w:r>
              <w:rPr>
                <w:rFonts w:ascii="Times New Roman" w:hAnsi="Times New Roman"/>
                <w:szCs w:val="21"/>
              </w:rPr>
              <w:t>万元</w:t>
            </w:r>
          </w:p>
        </w:tc>
      </w:tr>
    </w:tbl>
    <w:p w:rsidR="00525419" w:rsidRDefault="00525419">
      <w:pPr>
        <w:pStyle w:val="afb"/>
      </w:pPr>
    </w:p>
    <w:p w:rsidR="00525419" w:rsidRDefault="00EE1CF7">
      <w:pPr>
        <w:spacing w:line="240" w:lineRule="atLeast"/>
        <w:ind w:left="437"/>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3.4-3    </w:t>
      </w:r>
      <w:r>
        <w:rPr>
          <w:rFonts w:ascii="Times New Roman" w:eastAsia="黑体" w:hAnsi="Times New Roman"/>
          <w:szCs w:val="21"/>
        </w:rPr>
        <w:t>建设内容变更一览表</w:t>
      </w:r>
    </w:p>
    <w:tbl>
      <w:tblPr>
        <w:tblW w:w="1417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98"/>
        <w:gridCol w:w="624"/>
        <w:gridCol w:w="1437"/>
        <w:gridCol w:w="4573"/>
        <w:gridCol w:w="6239"/>
      </w:tblGrid>
      <w:tr w:rsidR="00525419">
        <w:tc>
          <w:tcPr>
            <w:tcW w:w="1298" w:type="dxa"/>
            <w:tcBorders>
              <w:top w:val="single" w:sz="12" w:space="0" w:color="auto"/>
            </w:tcBorders>
            <w:vAlign w:val="center"/>
          </w:tcPr>
          <w:p w:rsidR="00525419" w:rsidRDefault="00EE1CF7">
            <w:pPr>
              <w:jc w:val="center"/>
              <w:rPr>
                <w:rFonts w:ascii="Times New Roman" w:hAnsi="Times New Roman"/>
                <w:szCs w:val="21"/>
              </w:rPr>
            </w:pPr>
            <w:r>
              <w:rPr>
                <w:rFonts w:ascii="Times New Roman" w:hAnsi="Times New Roman"/>
                <w:szCs w:val="21"/>
              </w:rPr>
              <w:t>变更方案名称</w:t>
            </w:r>
          </w:p>
        </w:tc>
        <w:tc>
          <w:tcPr>
            <w:tcW w:w="6634" w:type="dxa"/>
            <w:gridSpan w:val="3"/>
            <w:tcBorders>
              <w:top w:val="single" w:sz="12" w:space="0" w:color="auto"/>
            </w:tcBorders>
            <w:vAlign w:val="center"/>
          </w:tcPr>
          <w:p w:rsidR="00525419" w:rsidRDefault="00EE1CF7">
            <w:pPr>
              <w:jc w:val="center"/>
              <w:rPr>
                <w:rFonts w:ascii="Times New Roman" w:hAnsi="Times New Roman"/>
                <w:szCs w:val="21"/>
              </w:rPr>
            </w:pPr>
            <w:r>
              <w:rPr>
                <w:rFonts w:ascii="Times New Roman" w:hAnsi="Times New Roman"/>
                <w:szCs w:val="21"/>
              </w:rPr>
              <w:t>变更前建设内容</w:t>
            </w:r>
          </w:p>
        </w:tc>
        <w:tc>
          <w:tcPr>
            <w:tcW w:w="6239" w:type="dxa"/>
            <w:tcBorders>
              <w:top w:val="single" w:sz="12" w:space="0" w:color="auto"/>
            </w:tcBorders>
            <w:vAlign w:val="center"/>
          </w:tcPr>
          <w:p w:rsidR="00525419" w:rsidRDefault="00EE1CF7">
            <w:pPr>
              <w:jc w:val="center"/>
              <w:rPr>
                <w:rFonts w:ascii="Times New Roman" w:hAnsi="Times New Roman"/>
                <w:szCs w:val="21"/>
              </w:rPr>
            </w:pPr>
            <w:r>
              <w:rPr>
                <w:rFonts w:ascii="Times New Roman" w:hAnsi="Times New Roman"/>
                <w:szCs w:val="21"/>
              </w:rPr>
              <w:t>变更后建设内容</w:t>
            </w:r>
          </w:p>
        </w:tc>
      </w:tr>
      <w:tr w:rsidR="00525419">
        <w:tc>
          <w:tcPr>
            <w:tcW w:w="1298" w:type="dxa"/>
            <w:vMerge w:val="restart"/>
            <w:vAlign w:val="center"/>
          </w:tcPr>
          <w:p w:rsidR="00525419" w:rsidRDefault="00EE1CF7">
            <w:pPr>
              <w:jc w:val="center"/>
              <w:rPr>
                <w:rFonts w:ascii="Times New Roman" w:hAnsi="Times New Roman"/>
                <w:szCs w:val="21"/>
              </w:rPr>
            </w:pPr>
            <w:r>
              <w:rPr>
                <w:rFonts w:ascii="Times New Roman" w:hAnsi="Times New Roman"/>
                <w:szCs w:val="21"/>
              </w:rPr>
              <w:t>主体工程生产规模</w:t>
            </w:r>
          </w:p>
        </w:tc>
        <w:tc>
          <w:tcPr>
            <w:tcW w:w="2061" w:type="dxa"/>
            <w:gridSpan w:val="2"/>
            <w:vMerge w:val="restart"/>
            <w:vAlign w:val="center"/>
          </w:tcPr>
          <w:p w:rsidR="00525419" w:rsidRDefault="00EE1CF7">
            <w:pPr>
              <w:jc w:val="center"/>
              <w:rPr>
                <w:rFonts w:ascii="Times New Roman" w:hAnsi="Times New Roman"/>
                <w:szCs w:val="21"/>
              </w:rPr>
            </w:pPr>
            <w:r>
              <w:rPr>
                <w:rFonts w:ascii="Times New Roman" w:hAnsi="Times New Roman"/>
                <w:szCs w:val="21"/>
              </w:rPr>
              <w:t>煤焦油加氢装置</w:t>
            </w:r>
          </w:p>
        </w:tc>
        <w:tc>
          <w:tcPr>
            <w:tcW w:w="4573" w:type="dxa"/>
            <w:vAlign w:val="center"/>
          </w:tcPr>
          <w:p w:rsidR="00525419" w:rsidRDefault="00EE1CF7">
            <w:pPr>
              <w:jc w:val="center"/>
              <w:rPr>
                <w:rFonts w:ascii="Times New Roman" w:hAnsi="Times New Roman"/>
                <w:szCs w:val="21"/>
              </w:rPr>
            </w:pPr>
            <w:r>
              <w:rPr>
                <w:rFonts w:ascii="Times New Roman" w:hAnsi="Times New Roman"/>
                <w:szCs w:val="24"/>
              </w:rPr>
              <w:t>煤焦油预处理单元：</w:t>
            </w:r>
            <w:r>
              <w:rPr>
                <w:rFonts w:ascii="Times New Roman" w:hAnsi="Times New Roman"/>
                <w:szCs w:val="24"/>
              </w:rPr>
              <w:t>20</w:t>
            </w:r>
            <w:r>
              <w:rPr>
                <w:rFonts w:ascii="Times New Roman" w:hAnsi="Times New Roman"/>
                <w:szCs w:val="24"/>
              </w:rPr>
              <w:t>万</w:t>
            </w:r>
            <w:r>
              <w:rPr>
                <w:rFonts w:ascii="Times New Roman" w:hAnsi="Times New Roman"/>
                <w:szCs w:val="24"/>
              </w:rPr>
              <w:t>t/a</w:t>
            </w:r>
            <w:r>
              <w:rPr>
                <w:rFonts w:ascii="Times New Roman" w:hAnsi="Times New Roman"/>
                <w:szCs w:val="24"/>
              </w:rPr>
              <w:t>（一期建成）</w:t>
            </w:r>
          </w:p>
        </w:tc>
        <w:tc>
          <w:tcPr>
            <w:tcW w:w="6239" w:type="dxa"/>
            <w:vMerge w:val="restart"/>
            <w:vAlign w:val="center"/>
          </w:tcPr>
          <w:p w:rsidR="00525419" w:rsidRDefault="00EE1CF7">
            <w:pPr>
              <w:spacing w:line="240" w:lineRule="atLeast"/>
              <w:ind w:left="437"/>
              <w:jc w:val="center"/>
              <w:rPr>
                <w:rFonts w:ascii="Times New Roman" w:hAnsi="Times New Roman"/>
                <w:szCs w:val="21"/>
              </w:rPr>
            </w:pPr>
            <w:r>
              <w:rPr>
                <w:rFonts w:ascii="Times New Roman" w:hAnsi="Times New Roman"/>
                <w:szCs w:val="24"/>
              </w:rPr>
              <w:t>不再建设煤焦油预处理单元、芳烃制取单元</w:t>
            </w:r>
          </w:p>
        </w:tc>
      </w:tr>
      <w:tr w:rsidR="00525419">
        <w:tc>
          <w:tcPr>
            <w:tcW w:w="1298" w:type="dxa"/>
            <w:vMerge/>
            <w:vAlign w:val="center"/>
          </w:tcPr>
          <w:p w:rsidR="00525419" w:rsidRDefault="00525419">
            <w:pPr>
              <w:jc w:val="center"/>
              <w:rPr>
                <w:rFonts w:ascii="Times New Roman" w:hAnsi="Times New Roman"/>
                <w:szCs w:val="21"/>
              </w:rPr>
            </w:pPr>
          </w:p>
        </w:tc>
        <w:tc>
          <w:tcPr>
            <w:tcW w:w="2061" w:type="dxa"/>
            <w:gridSpan w:val="2"/>
            <w:vMerge/>
            <w:vAlign w:val="center"/>
          </w:tcPr>
          <w:p w:rsidR="00525419" w:rsidRDefault="00525419">
            <w:pPr>
              <w:jc w:val="center"/>
              <w:rPr>
                <w:rFonts w:ascii="Times New Roman" w:hAnsi="Times New Roman"/>
                <w:szCs w:val="21"/>
              </w:rPr>
            </w:pPr>
          </w:p>
        </w:tc>
        <w:tc>
          <w:tcPr>
            <w:tcW w:w="4573" w:type="dxa"/>
            <w:vAlign w:val="center"/>
          </w:tcPr>
          <w:p w:rsidR="00525419" w:rsidRDefault="00EE1CF7">
            <w:pPr>
              <w:jc w:val="center"/>
              <w:rPr>
                <w:rFonts w:ascii="Times New Roman" w:hAnsi="Times New Roman"/>
                <w:szCs w:val="21"/>
              </w:rPr>
            </w:pPr>
            <w:r>
              <w:rPr>
                <w:rFonts w:ascii="Times New Roman" w:hAnsi="Times New Roman"/>
                <w:szCs w:val="24"/>
              </w:rPr>
              <w:t>煤焦油加氢精制单元：</w:t>
            </w:r>
            <w:r>
              <w:rPr>
                <w:rFonts w:ascii="Times New Roman" w:hAnsi="Times New Roman"/>
                <w:szCs w:val="24"/>
              </w:rPr>
              <w:t>40</w:t>
            </w:r>
            <w:r>
              <w:rPr>
                <w:rFonts w:ascii="Times New Roman" w:hAnsi="Times New Roman"/>
                <w:szCs w:val="24"/>
              </w:rPr>
              <w:t>万</w:t>
            </w:r>
            <w:r>
              <w:rPr>
                <w:rFonts w:ascii="Times New Roman" w:hAnsi="Times New Roman"/>
                <w:szCs w:val="24"/>
              </w:rPr>
              <w:t>t/a</w:t>
            </w:r>
            <w:r>
              <w:rPr>
                <w:rFonts w:ascii="Times New Roman" w:hAnsi="Times New Roman"/>
                <w:szCs w:val="24"/>
              </w:rPr>
              <w:t>（一期建成）</w:t>
            </w:r>
          </w:p>
        </w:tc>
        <w:tc>
          <w:tcPr>
            <w:tcW w:w="6239" w:type="dxa"/>
            <w:vMerge/>
            <w:vAlign w:val="center"/>
          </w:tcPr>
          <w:p w:rsidR="00525419" w:rsidRDefault="00525419">
            <w:pPr>
              <w:jc w:val="center"/>
              <w:rPr>
                <w:rFonts w:ascii="Times New Roman" w:hAnsi="Times New Roman"/>
                <w:szCs w:val="21"/>
              </w:rPr>
            </w:pPr>
          </w:p>
        </w:tc>
      </w:tr>
      <w:tr w:rsidR="00525419">
        <w:tc>
          <w:tcPr>
            <w:tcW w:w="1298" w:type="dxa"/>
            <w:vMerge/>
            <w:vAlign w:val="center"/>
          </w:tcPr>
          <w:p w:rsidR="00525419" w:rsidRDefault="00525419">
            <w:pPr>
              <w:jc w:val="center"/>
              <w:rPr>
                <w:rFonts w:ascii="Times New Roman" w:hAnsi="Times New Roman"/>
                <w:szCs w:val="21"/>
              </w:rPr>
            </w:pPr>
          </w:p>
        </w:tc>
        <w:tc>
          <w:tcPr>
            <w:tcW w:w="2061" w:type="dxa"/>
            <w:gridSpan w:val="2"/>
            <w:vMerge/>
            <w:vAlign w:val="center"/>
          </w:tcPr>
          <w:p w:rsidR="00525419" w:rsidRDefault="00525419">
            <w:pPr>
              <w:jc w:val="center"/>
              <w:rPr>
                <w:rFonts w:ascii="Times New Roman" w:hAnsi="Times New Roman"/>
                <w:szCs w:val="21"/>
              </w:rPr>
            </w:pPr>
          </w:p>
        </w:tc>
        <w:tc>
          <w:tcPr>
            <w:tcW w:w="4573" w:type="dxa"/>
            <w:vAlign w:val="center"/>
          </w:tcPr>
          <w:p w:rsidR="00525419" w:rsidRDefault="00EE1CF7">
            <w:pPr>
              <w:jc w:val="center"/>
              <w:rPr>
                <w:rFonts w:ascii="Times New Roman" w:hAnsi="Times New Roman"/>
                <w:szCs w:val="21"/>
              </w:rPr>
            </w:pPr>
            <w:r>
              <w:rPr>
                <w:rFonts w:ascii="Times New Roman" w:hAnsi="Times New Roman"/>
                <w:szCs w:val="24"/>
              </w:rPr>
              <w:t>芳烃制取单元：</w:t>
            </w:r>
            <w:r>
              <w:rPr>
                <w:rFonts w:ascii="Times New Roman" w:hAnsi="Times New Roman"/>
                <w:szCs w:val="24"/>
              </w:rPr>
              <w:t>20</w:t>
            </w:r>
            <w:r>
              <w:rPr>
                <w:rFonts w:ascii="Times New Roman" w:hAnsi="Times New Roman"/>
                <w:szCs w:val="24"/>
              </w:rPr>
              <w:t>万</w:t>
            </w:r>
            <w:r>
              <w:rPr>
                <w:rFonts w:ascii="Times New Roman" w:hAnsi="Times New Roman"/>
                <w:szCs w:val="24"/>
              </w:rPr>
              <w:t>t/a</w:t>
            </w:r>
            <w:r>
              <w:rPr>
                <w:rFonts w:ascii="Times New Roman" w:hAnsi="Times New Roman"/>
                <w:szCs w:val="24"/>
              </w:rPr>
              <w:t>（二期建成）</w:t>
            </w:r>
          </w:p>
        </w:tc>
        <w:tc>
          <w:tcPr>
            <w:tcW w:w="6239" w:type="dxa"/>
            <w:vMerge/>
            <w:vAlign w:val="center"/>
          </w:tcPr>
          <w:p w:rsidR="00525419" w:rsidRDefault="00525419">
            <w:pPr>
              <w:jc w:val="center"/>
              <w:rPr>
                <w:rFonts w:ascii="Times New Roman" w:hAnsi="Times New Roman"/>
                <w:szCs w:val="21"/>
              </w:rPr>
            </w:pPr>
          </w:p>
        </w:tc>
      </w:tr>
      <w:tr w:rsidR="00525419">
        <w:tc>
          <w:tcPr>
            <w:tcW w:w="1298" w:type="dxa"/>
            <w:vMerge/>
            <w:vAlign w:val="center"/>
          </w:tcPr>
          <w:p w:rsidR="00525419" w:rsidRDefault="00525419">
            <w:pPr>
              <w:jc w:val="center"/>
              <w:rPr>
                <w:rFonts w:ascii="Times New Roman" w:hAnsi="Times New Roman"/>
                <w:szCs w:val="21"/>
              </w:rPr>
            </w:pPr>
          </w:p>
        </w:tc>
        <w:tc>
          <w:tcPr>
            <w:tcW w:w="2061" w:type="dxa"/>
            <w:gridSpan w:val="2"/>
            <w:vAlign w:val="center"/>
          </w:tcPr>
          <w:p w:rsidR="00525419" w:rsidRDefault="00EE1CF7">
            <w:pPr>
              <w:jc w:val="center"/>
              <w:rPr>
                <w:rFonts w:ascii="Times New Roman" w:hAnsi="Times New Roman"/>
                <w:szCs w:val="21"/>
              </w:rPr>
            </w:pPr>
            <w:r>
              <w:rPr>
                <w:rFonts w:ascii="Times New Roman" w:hAnsi="Times New Roman"/>
                <w:szCs w:val="24"/>
              </w:rPr>
              <w:t>天然气制氢装置</w:t>
            </w:r>
          </w:p>
        </w:tc>
        <w:tc>
          <w:tcPr>
            <w:tcW w:w="4573" w:type="dxa"/>
            <w:vAlign w:val="center"/>
          </w:tcPr>
          <w:p w:rsidR="00525419" w:rsidRDefault="00EE1CF7">
            <w:pPr>
              <w:jc w:val="center"/>
              <w:rPr>
                <w:rFonts w:ascii="Times New Roman" w:hAnsi="Times New Roman"/>
                <w:szCs w:val="24"/>
              </w:rPr>
            </w:pPr>
            <w:r>
              <w:rPr>
                <w:rFonts w:ascii="Times New Roman" w:hAnsi="Times New Roman"/>
                <w:szCs w:val="24"/>
              </w:rPr>
              <w:t>25000Nm³/h</w:t>
            </w:r>
            <w:r>
              <w:rPr>
                <w:rFonts w:ascii="Times New Roman" w:hAnsi="Times New Roman"/>
                <w:szCs w:val="24"/>
              </w:rPr>
              <w:t>（一期建成）</w:t>
            </w:r>
          </w:p>
        </w:tc>
        <w:tc>
          <w:tcPr>
            <w:tcW w:w="6239" w:type="dxa"/>
            <w:vAlign w:val="center"/>
          </w:tcPr>
          <w:p w:rsidR="00525419" w:rsidRDefault="00EE1CF7">
            <w:pPr>
              <w:jc w:val="center"/>
              <w:rPr>
                <w:rFonts w:ascii="Times New Roman" w:hAnsi="Times New Roman"/>
                <w:szCs w:val="21"/>
              </w:rPr>
            </w:pPr>
            <w:r>
              <w:rPr>
                <w:rFonts w:ascii="Times New Roman" w:hAnsi="Times New Roman"/>
                <w:szCs w:val="21"/>
              </w:rPr>
              <w:t>不变</w:t>
            </w:r>
          </w:p>
        </w:tc>
      </w:tr>
      <w:tr w:rsidR="00525419">
        <w:tc>
          <w:tcPr>
            <w:tcW w:w="1298" w:type="dxa"/>
            <w:vMerge/>
            <w:vAlign w:val="center"/>
          </w:tcPr>
          <w:p w:rsidR="00525419" w:rsidRDefault="00525419">
            <w:pPr>
              <w:jc w:val="center"/>
              <w:rPr>
                <w:rFonts w:ascii="Times New Roman" w:hAnsi="Times New Roman"/>
                <w:szCs w:val="21"/>
              </w:rPr>
            </w:pPr>
          </w:p>
        </w:tc>
        <w:tc>
          <w:tcPr>
            <w:tcW w:w="2061" w:type="dxa"/>
            <w:gridSpan w:val="2"/>
            <w:vMerge w:val="restart"/>
            <w:vAlign w:val="center"/>
          </w:tcPr>
          <w:p w:rsidR="00525419" w:rsidRDefault="00EE1CF7">
            <w:pPr>
              <w:jc w:val="center"/>
              <w:rPr>
                <w:rFonts w:ascii="Times New Roman" w:hAnsi="Times New Roman"/>
                <w:szCs w:val="21"/>
              </w:rPr>
            </w:pPr>
            <w:r>
              <w:rPr>
                <w:rFonts w:ascii="Times New Roman" w:hAnsi="Times New Roman"/>
                <w:szCs w:val="24"/>
              </w:rPr>
              <w:t>硫磺回收装置</w:t>
            </w:r>
          </w:p>
        </w:tc>
        <w:tc>
          <w:tcPr>
            <w:tcW w:w="4573" w:type="dxa"/>
            <w:vAlign w:val="center"/>
          </w:tcPr>
          <w:p w:rsidR="00525419" w:rsidRDefault="00EE1CF7">
            <w:pPr>
              <w:jc w:val="center"/>
              <w:rPr>
                <w:rFonts w:ascii="Times New Roman" w:hAnsi="Times New Roman"/>
                <w:szCs w:val="24"/>
              </w:rPr>
            </w:pPr>
            <w:r>
              <w:rPr>
                <w:rFonts w:ascii="Times New Roman" w:hAnsi="Times New Roman"/>
                <w:szCs w:val="24"/>
              </w:rPr>
              <w:t>酸性水汽提：</w:t>
            </w:r>
            <w:r>
              <w:rPr>
                <w:rFonts w:ascii="Times New Roman" w:hAnsi="Times New Roman"/>
                <w:szCs w:val="24"/>
              </w:rPr>
              <w:t>55t/h</w:t>
            </w:r>
            <w:r>
              <w:rPr>
                <w:rFonts w:ascii="Times New Roman" w:hAnsi="Times New Roman"/>
                <w:szCs w:val="24"/>
              </w:rPr>
              <w:t>（一期工程）</w:t>
            </w:r>
          </w:p>
        </w:tc>
        <w:tc>
          <w:tcPr>
            <w:tcW w:w="6239" w:type="dxa"/>
            <w:vMerge w:val="restart"/>
            <w:vAlign w:val="center"/>
          </w:tcPr>
          <w:p w:rsidR="00525419" w:rsidRDefault="00EE1CF7">
            <w:pPr>
              <w:jc w:val="center"/>
              <w:rPr>
                <w:rFonts w:ascii="Times New Roman" w:hAnsi="Times New Roman"/>
                <w:szCs w:val="21"/>
              </w:rPr>
            </w:pPr>
            <w:r>
              <w:rPr>
                <w:rFonts w:ascii="Times New Roman" w:hAnsi="Times New Roman"/>
                <w:szCs w:val="21"/>
              </w:rPr>
              <w:t>不变</w:t>
            </w:r>
          </w:p>
        </w:tc>
      </w:tr>
      <w:tr w:rsidR="00525419">
        <w:tc>
          <w:tcPr>
            <w:tcW w:w="1298" w:type="dxa"/>
            <w:vMerge/>
            <w:vAlign w:val="center"/>
          </w:tcPr>
          <w:p w:rsidR="00525419" w:rsidRDefault="00525419">
            <w:pPr>
              <w:jc w:val="center"/>
              <w:rPr>
                <w:rFonts w:ascii="Times New Roman" w:hAnsi="Times New Roman"/>
                <w:szCs w:val="21"/>
              </w:rPr>
            </w:pPr>
          </w:p>
        </w:tc>
        <w:tc>
          <w:tcPr>
            <w:tcW w:w="2061" w:type="dxa"/>
            <w:gridSpan w:val="2"/>
            <w:vMerge/>
            <w:vAlign w:val="center"/>
          </w:tcPr>
          <w:p w:rsidR="00525419" w:rsidRDefault="00525419">
            <w:pPr>
              <w:jc w:val="center"/>
              <w:rPr>
                <w:rFonts w:ascii="Times New Roman" w:hAnsi="Times New Roman"/>
                <w:szCs w:val="21"/>
              </w:rPr>
            </w:pPr>
          </w:p>
        </w:tc>
        <w:tc>
          <w:tcPr>
            <w:tcW w:w="4573" w:type="dxa"/>
            <w:vAlign w:val="center"/>
          </w:tcPr>
          <w:p w:rsidR="00525419" w:rsidRDefault="00EE1CF7">
            <w:pPr>
              <w:jc w:val="center"/>
              <w:rPr>
                <w:rFonts w:ascii="Times New Roman" w:hAnsi="Times New Roman"/>
                <w:szCs w:val="24"/>
              </w:rPr>
            </w:pPr>
            <w:r>
              <w:rPr>
                <w:rFonts w:ascii="Times New Roman" w:hAnsi="Times New Roman"/>
                <w:szCs w:val="24"/>
              </w:rPr>
              <w:t>溶剂回收：</w:t>
            </w:r>
            <w:r>
              <w:rPr>
                <w:rFonts w:ascii="Times New Roman" w:hAnsi="Times New Roman"/>
                <w:szCs w:val="24"/>
              </w:rPr>
              <w:t>40 t/h</w:t>
            </w:r>
            <w:r>
              <w:rPr>
                <w:rFonts w:ascii="Times New Roman" w:hAnsi="Times New Roman"/>
                <w:szCs w:val="24"/>
              </w:rPr>
              <w:t>（一期工程）</w:t>
            </w:r>
          </w:p>
        </w:tc>
        <w:tc>
          <w:tcPr>
            <w:tcW w:w="6239" w:type="dxa"/>
            <w:vMerge/>
            <w:vAlign w:val="center"/>
          </w:tcPr>
          <w:p w:rsidR="00525419" w:rsidRDefault="00525419">
            <w:pPr>
              <w:jc w:val="center"/>
              <w:rPr>
                <w:rFonts w:ascii="Times New Roman" w:hAnsi="Times New Roman"/>
                <w:szCs w:val="21"/>
              </w:rPr>
            </w:pPr>
          </w:p>
        </w:tc>
      </w:tr>
      <w:tr w:rsidR="00525419">
        <w:tc>
          <w:tcPr>
            <w:tcW w:w="1298" w:type="dxa"/>
            <w:vMerge/>
            <w:vAlign w:val="center"/>
          </w:tcPr>
          <w:p w:rsidR="00525419" w:rsidRDefault="00525419">
            <w:pPr>
              <w:jc w:val="center"/>
              <w:rPr>
                <w:rFonts w:ascii="Times New Roman" w:hAnsi="Times New Roman"/>
                <w:szCs w:val="21"/>
              </w:rPr>
            </w:pPr>
          </w:p>
        </w:tc>
        <w:tc>
          <w:tcPr>
            <w:tcW w:w="2061" w:type="dxa"/>
            <w:gridSpan w:val="2"/>
            <w:vMerge/>
            <w:vAlign w:val="center"/>
          </w:tcPr>
          <w:p w:rsidR="00525419" w:rsidRDefault="00525419">
            <w:pPr>
              <w:jc w:val="center"/>
              <w:rPr>
                <w:rFonts w:ascii="Times New Roman" w:hAnsi="Times New Roman"/>
                <w:szCs w:val="21"/>
              </w:rPr>
            </w:pPr>
          </w:p>
        </w:tc>
        <w:tc>
          <w:tcPr>
            <w:tcW w:w="4573" w:type="dxa"/>
            <w:vAlign w:val="center"/>
          </w:tcPr>
          <w:p w:rsidR="00525419" w:rsidRDefault="00EE1CF7">
            <w:pPr>
              <w:jc w:val="center"/>
              <w:rPr>
                <w:rFonts w:ascii="Times New Roman" w:hAnsi="Times New Roman"/>
                <w:szCs w:val="24"/>
              </w:rPr>
            </w:pPr>
            <w:r>
              <w:rPr>
                <w:rFonts w:ascii="Times New Roman" w:hAnsi="Times New Roman"/>
                <w:szCs w:val="24"/>
              </w:rPr>
              <w:t>硫磺回收：</w:t>
            </w:r>
            <w:r>
              <w:rPr>
                <w:rFonts w:ascii="Times New Roman" w:hAnsi="Times New Roman"/>
                <w:szCs w:val="24"/>
              </w:rPr>
              <w:t>1.5</w:t>
            </w:r>
            <w:r>
              <w:rPr>
                <w:rFonts w:ascii="Times New Roman" w:hAnsi="Times New Roman"/>
                <w:szCs w:val="24"/>
              </w:rPr>
              <w:t>万</w:t>
            </w:r>
            <w:r>
              <w:rPr>
                <w:rFonts w:ascii="Times New Roman" w:hAnsi="Times New Roman"/>
                <w:szCs w:val="24"/>
              </w:rPr>
              <w:t>t/a</w:t>
            </w:r>
            <w:r>
              <w:rPr>
                <w:rFonts w:ascii="Times New Roman" w:hAnsi="Times New Roman"/>
                <w:szCs w:val="24"/>
              </w:rPr>
              <w:t>（一期工程）</w:t>
            </w:r>
          </w:p>
        </w:tc>
        <w:tc>
          <w:tcPr>
            <w:tcW w:w="6239" w:type="dxa"/>
            <w:vMerge/>
            <w:vAlign w:val="center"/>
          </w:tcPr>
          <w:p w:rsidR="00525419" w:rsidRDefault="00525419">
            <w:pPr>
              <w:jc w:val="center"/>
              <w:rPr>
                <w:rFonts w:ascii="Times New Roman" w:hAnsi="Times New Roman"/>
                <w:szCs w:val="21"/>
              </w:rPr>
            </w:pPr>
          </w:p>
        </w:tc>
      </w:tr>
      <w:tr w:rsidR="00525419">
        <w:tc>
          <w:tcPr>
            <w:tcW w:w="1298" w:type="dxa"/>
            <w:vMerge w:val="restart"/>
            <w:vAlign w:val="center"/>
          </w:tcPr>
          <w:p w:rsidR="00525419" w:rsidRDefault="00EE1CF7">
            <w:pPr>
              <w:jc w:val="center"/>
              <w:rPr>
                <w:rFonts w:ascii="Times New Roman" w:hAnsi="Times New Roman"/>
                <w:szCs w:val="21"/>
              </w:rPr>
            </w:pPr>
            <w:r>
              <w:rPr>
                <w:rFonts w:ascii="Times New Roman" w:hAnsi="Times New Roman"/>
                <w:szCs w:val="21"/>
              </w:rPr>
              <w:t>辅助、公用</w:t>
            </w:r>
            <w:r>
              <w:rPr>
                <w:rFonts w:ascii="Times New Roman" w:hAnsi="Times New Roman"/>
                <w:szCs w:val="21"/>
              </w:rPr>
              <w:lastRenderedPageBreak/>
              <w:t>工程</w:t>
            </w:r>
          </w:p>
        </w:tc>
        <w:tc>
          <w:tcPr>
            <w:tcW w:w="624" w:type="dxa"/>
            <w:vMerge w:val="restart"/>
            <w:vAlign w:val="center"/>
          </w:tcPr>
          <w:p w:rsidR="00525419" w:rsidRDefault="00EE1CF7">
            <w:pPr>
              <w:jc w:val="center"/>
              <w:rPr>
                <w:rFonts w:ascii="Times New Roman" w:hAnsi="Times New Roman"/>
                <w:szCs w:val="21"/>
              </w:rPr>
            </w:pPr>
            <w:r>
              <w:rPr>
                <w:rFonts w:ascii="Times New Roman" w:hAnsi="Times New Roman"/>
                <w:szCs w:val="21"/>
              </w:rPr>
              <w:lastRenderedPageBreak/>
              <w:t>给</w:t>
            </w:r>
            <w:r>
              <w:rPr>
                <w:rFonts w:ascii="Times New Roman" w:hAnsi="Times New Roman"/>
                <w:szCs w:val="21"/>
              </w:rPr>
              <w:lastRenderedPageBreak/>
              <w:t>排水</w:t>
            </w:r>
          </w:p>
        </w:tc>
        <w:tc>
          <w:tcPr>
            <w:tcW w:w="1437" w:type="dxa"/>
            <w:vAlign w:val="center"/>
          </w:tcPr>
          <w:p w:rsidR="00525419" w:rsidRDefault="00EE1CF7">
            <w:pPr>
              <w:jc w:val="center"/>
              <w:rPr>
                <w:rFonts w:ascii="Times New Roman" w:hAnsi="Times New Roman"/>
                <w:szCs w:val="21"/>
              </w:rPr>
            </w:pPr>
            <w:r>
              <w:rPr>
                <w:rFonts w:ascii="Times New Roman" w:hAnsi="Times New Roman"/>
                <w:szCs w:val="21"/>
              </w:rPr>
              <w:lastRenderedPageBreak/>
              <w:t>水源</w:t>
            </w:r>
          </w:p>
        </w:tc>
        <w:tc>
          <w:tcPr>
            <w:tcW w:w="4573" w:type="dxa"/>
            <w:vAlign w:val="center"/>
          </w:tcPr>
          <w:p w:rsidR="00525419" w:rsidRDefault="00EE1CF7">
            <w:pPr>
              <w:jc w:val="center"/>
              <w:rPr>
                <w:rFonts w:ascii="Times New Roman" w:hAnsi="Times New Roman"/>
                <w:szCs w:val="21"/>
              </w:rPr>
            </w:pPr>
            <w:r>
              <w:rPr>
                <w:rFonts w:ascii="Times New Roman" w:hAnsi="Times New Roman"/>
                <w:szCs w:val="21"/>
              </w:rPr>
              <w:t>新鲜水供水来源为园区自来水。</w:t>
            </w:r>
          </w:p>
        </w:tc>
        <w:tc>
          <w:tcPr>
            <w:tcW w:w="6239" w:type="dxa"/>
            <w:vAlign w:val="center"/>
          </w:tcPr>
          <w:p w:rsidR="00525419" w:rsidRDefault="00EE1CF7">
            <w:pPr>
              <w:jc w:val="center"/>
              <w:rPr>
                <w:rFonts w:ascii="Times New Roman" w:hAnsi="Times New Roman"/>
                <w:szCs w:val="21"/>
              </w:rPr>
            </w:pPr>
            <w:r>
              <w:rPr>
                <w:rFonts w:ascii="Times New Roman" w:hAnsi="Times New Roman"/>
                <w:szCs w:val="21"/>
              </w:rPr>
              <w:t>不变</w:t>
            </w:r>
          </w:p>
        </w:tc>
      </w:tr>
      <w:tr w:rsidR="00525419">
        <w:tc>
          <w:tcPr>
            <w:tcW w:w="1298" w:type="dxa"/>
            <w:vMerge/>
            <w:vAlign w:val="center"/>
          </w:tcPr>
          <w:p w:rsidR="00525419" w:rsidRDefault="00525419">
            <w:pPr>
              <w:jc w:val="center"/>
              <w:rPr>
                <w:rFonts w:ascii="Times New Roman" w:hAnsi="Times New Roman"/>
                <w:szCs w:val="21"/>
              </w:rPr>
            </w:pPr>
          </w:p>
        </w:tc>
        <w:tc>
          <w:tcPr>
            <w:tcW w:w="624" w:type="dxa"/>
            <w:vMerge/>
            <w:vAlign w:val="center"/>
          </w:tcPr>
          <w:p w:rsidR="00525419" w:rsidRDefault="00525419">
            <w:pPr>
              <w:jc w:val="center"/>
              <w:rPr>
                <w:rFonts w:ascii="Times New Roman" w:hAnsi="Times New Roman"/>
                <w:szCs w:val="21"/>
              </w:rPr>
            </w:pPr>
          </w:p>
        </w:tc>
        <w:tc>
          <w:tcPr>
            <w:tcW w:w="1437" w:type="dxa"/>
            <w:vAlign w:val="center"/>
          </w:tcPr>
          <w:p w:rsidR="00525419" w:rsidRDefault="00EE1CF7">
            <w:pPr>
              <w:jc w:val="center"/>
              <w:rPr>
                <w:rFonts w:ascii="Times New Roman" w:hAnsi="Times New Roman"/>
                <w:szCs w:val="21"/>
              </w:rPr>
            </w:pPr>
            <w:r>
              <w:rPr>
                <w:rFonts w:ascii="Times New Roman" w:hAnsi="Times New Roman"/>
                <w:szCs w:val="21"/>
              </w:rPr>
              <w:t>脱盐水</w:t>
            </w:r>
          </w:p>
        </w:tc>
        <w:tc>
          <w:tcPr>
            <w:tcW w:w="4573" w:type="dxa"/>
            <w:vAlign w:val="center"/>
          </w:tcPr>
          <w:p w:rsidR="00525419" w:rsidRDefault="00EE1CF7">
            <w:pPr>
              <w:jc w:val="center"/>
              <w:rPr>
                <w:rFonts w:ascii="Times New Roman" w:hAnsi="Times New Roman"/>
                <w:szCs w:val="21"/>
              </w:rPr>
            </w:pPr>
            <w:r>
              <w:rPr>
                <w:rFonts w:ascii="Times New Roman" w:hAnsi="Times New Roman"/>
                <w:szCs w:val="21"/>
              </w:rPr>
              <w:t>新建脱盐水站：扩建处理能力</w:t>
            </w:r>
            <w:r>
              <w:rPr>
                <w:rFonts w:ascii="Times New Roman" w:hAnsi="Times New Roman"/>
                <w:szCs w:val="21"/>
              </w:rPr>
              <w:t>60m</w:t>
            </w:r>
            <w:r>
              <w:rPr>
                <w:rFonts w:ascii="Times New Roman" w:hAnsi="Times New Roman"/>
                <w:szCs w:val="21"/>
                <w:vertAlign w:val="superscript"/>
              </w:rPr>
              <w:t>3</w:t>
            </w:r>
            <w:r>
              <w:rPr>
                <w:rFonts w:ascii="Times New Roman" w:hAnsi="Times New Roman"/>
                <w:szCs w:val="21"/>
              </w:rPr>
              <w:t>/h</w:t>
            </w:r>
          </w:p>
        </w:tc>
        <w:tc>
          <w:tcPr>
            <w:tcW w:w="6239" w:type="dxa"/>
            <w:vAlign w:val="center"/>
          </w:tcPr>
          <w:p w:rsidR="00525419" w:rsidRDefault="00EE1CF7">
            <w:pPr>
              <w:jc w:val="center"/>
              <w:rPr>
                <w:rFonts w:ascii="Times New Roman" w:hAnsi="Times New Roman"/>
                <w:szCs w:val="21"/>
              </w:rPr>
            </w:pPr>
            <w:r>
              <w:rPr>
                <w:rFonts w:ascii="Times New Roman" w:hAnsi="Times New Roman"/>
                <w:szCs w:val="21"/>
              </w:rPr>
              <w:t>新建脱盐水站：</w:t>
            </w:r>
            <w:r>
              <w:rPr>
                <w:rFonts w:ascii="Times New Roman" w:hAnsi="Times New Roman" w:hint="eastAsia"/>
                <w:szCs w:val="21"/>
              </w:rPr>
              <w:t>设计</w:t>
            </w:r>
            <w:r>
              <w:rPr>
                <w:rFonts w:ascii="Times New Roman" w:hAnsi="Times New Roman"/>
                <w:szCs w:val="21"/>
              </w:rPr>
              <w:t>处理能力</w:t>
            </w:r>
            <w:r>
              <w:rPr>
                <w:rFonts w:ascii="Times New Roman" w:hAnsi="Times New Roman"/>
                <w:szCs w:val="21"/>
              </w:rPr>
              <w:t>100m</w:t>
            </w:r>
            <w:r>
              <w:rPr>
                <w:rFonts w:ascii="Times New Roman" w:hAnsi="Times New Roman"/>
                <w:szCs w:val="21"/>
                <w:vertAlign w:val="superscript"/>
              </w:rPr>
              <w:t>3</w:t>
            </w:r>
            <w:r>
              <w:rPr>
                <w:rFonts w:ascii="Times New Roman" w:hAnsi="Times New Roman"/>
                <w:szCs w:val="21"/>
              </w:rPr>
              <w:t>/h</w:t>
            </w:r>
          </w:p>
        </w:tc>
      </w:tr>
      <w:tr w:rsidR="00525419">
        <w:tc>
          <w:tcPr>
            <w:tcW w:w="1298" w:type="dxa"/>
            <w:vMerge/>
            <w:vAlign w:val="center"/>
          </w:tcPr>
          <w:p w:rsidR="00525419" w:rsidRDefault="00525419">
            <w:pPr>
              <w:jc w:val="center"/>
              <w:rPr>
                <w:rFonts w:ascii="Times New Roman" w:hAnsi="Times New Roman"/>
                <w:szCs w:val="21"/>
              </w:rPr>
            </w:pPr>
          </w:p>
        </w:tc>
        <w:tc>
          <w:tcPr>
            <w:tcW w:w="624" w:type="dxa"/>
            <w:vMerge/>
            <w:vAlign w:val="center"/>
          </w:tcPr>
          <w:p w:rsidR="00525419" w:rsidRDefault="00525419">
            <w:pPr>
              <w:jc w:val="center"/>
              <w:rPr>
                <w:rFonts w:ascii="Times New Roman" w:hAnsi="Times New Roman"/>
                <w:szCs w:val="21"/>
              </w:rPr>
            </w:pPr>
          </w:p>
        </w:tc>
        <w:tc>
          <w:tcPr>
            <w:tcW w:w="1437" w:type="dxa"/>
            <w:vAlign w:val="center"/>
          </w:tcPr>
          <w:p w:rsidR="00525419" w:rsidRDefault="00EE1CF7">
            <w:pPr>
              <w:jc w:val="center"/>
              <w:rPr>
                <w:rFonts w:ascii="Times New Roman" w:hAnsi="Times New Roman"/>
                <w:szCs w:val="21"/>
              </w:rPr>
            </w:pPr>
            <w:r>
              <w:rPr>
                <w:rFonts w:ascii="Times New Roman" w:hAnsi="Times New Roman"/>
                <w:szCs w:val="21"/>
              </w:rPr>
              <w:t>循环水</w:t>
            </w:r>
          </w:p>
        </w:tc>
        <w:tc>
          <w:tcPr>
            <w:tcW w:w="4573" w:type="dxa"/>
            <w:vAlign w:val="center"/>
          </w:tcPr>
          <w:p w:rsidR="00525419" w:rsidRDefault="00EE1CF7">
            <w:pPr>
              <w:jc w:val="center"/>
              <w:rPr>
                <w:rFonts w:ascii="Times New Roman" w:hAnsi="Times New Roman"/>
                <w:szCs w:val="21"/>
              </w:rPr>
            </w:pPr>
            <w:r>
              <w:rPr>
                <w:rFonts w:ascii="Times New Roman" w:hAnsi="Times New Roman"/>
                <w:szCs w:val="21"/>
              </w:rPr>
              <w:t>扩建能力</w:t>
            </w:r>
            <w:r>
              <w:rPr>
                <w:rFonts w:ascii="Times New Roman" w:hAnsi="Times New Roman"/>
                <w:szCs w:val="21"/>
              </w:rPr>
              <w:t>3000 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w:t>
            </w:r>
            <w:r>
              <w:rPr>
                <w:rFonts w:ascii="Times New Roman" w:hAnsi="Times New Roman"/>
                <w:szCs w:val="21"/>
              </w:rPr>
              <w:t>2</w:t>
            </w:r>
            <w:r>
              <w:rPr>
                <w:rFonts w:ascii="Times New Roman" w:hAnsi="Times New Roman"/>
                <w:szCs w:val="21"/>
              </w:rPr>
              <w:t>座处理水量</w:t>
            </w:r>
            <w:r>
              <w:rPr>
                <w:rFonts w:ascii="Times New Roman" w:hAnsi="Times New Roman"/>
                <w:szCs w:val="21"/>
              </w:rPr>
              <w:t>1500m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的冷却塔</w:t>
            </w:r>
          </w:p>
        </w:tc>
        <w:tc>
          <w:tcPr>
            <w:tcW w:w="6239" w:type="dxa"/>
            <w:vAlign w:val="center"/>
          </w:tcPr>
          <w:p w:rsidR="00525419" w:rsidRDefault="00EE1CF7">
            <w:pPr>
              <w:jc w:val="center"/>
              <w:rPr>
                <w:rFonts w:ascii="Times New Roman" w:hAnsi="Times New Roman"/>
                <w:szCs w:val="21"/>
              </w:rPr>
            </w:pPr>
            <w:r>
              <w:rPr>
                <w:rFonts w:ascii="Times New Roman" w:hAnsi="Times New Roman"/>
              </w:rPr>
              <w:t>扩建循环水规模为：</w:t>
            </w:r>
            <w:r>
              <w:rPr>
                <w:rFonts w:ascii="Times New Roman" w:hAnsi="Times New Roman"/>
              </w:rPr>
              <w:t>1000m</w:t>
            </w:r>
            <w:r>
              <w:rPr>
                <w:rFonts w:ascii="Times New Roman" w:hAnsi="Times New Roman"/>
                <w:vertAlign w:val="superscript"/>
              </w:rPr>
              <w:t>3</w:t>
            </w:r>
            <w:r>
              <w:rPr>
                <w:rFonts w:ascii="Times New Roman" w:hAnsi="Times New Roman"/>
              </w:rPr>
              <w:t>/h</w:t>
            </w:r>
            <w:r>
              <w:rPr>
                <w:rFonts w:ascii="Times New Roman" w:hAnsi="Times New Roman"/>
              </w:rPr>
              <w:t>，硫磺回收联合装置自建</w:t>
            </w:r>
            <w:r>
              <w:rPr>
                <w:rFonts w:ascii="Times New Roman" w:hAnsi="Times New Roman"/>
              </w:rPr>
              <w:t>500 m</w:t>
            </w:r>
            <w:r>
              <w:rPr>
                <w:rFonts w:ascii="Times New Roman" w:hAnsi="Times New Roman"/>
                <w:vertAlign w:val="superscript"/>
              </w:rPr>
              <w:t>3</w:t>
            </w:r>
            <w:r>
              <w:rPr>
                <w:rFonts w:ascii="Times New Roman" w:hAnsi="Times New Roman"/>
              </w:rPr>
              <w:t>/h</w:t>
            </w:r>
          </w:p>
        </w:tc>
      </w:tr>
      <w:tr w:rsidR="00525419">
        <w:tc>
          <w:tcPr>
            <w:tcW w:w="1298" w:type="dxa"/>
            <w:vMerge/>
            <w:vAlign w:val="center"/>
          </w:tcPr>
          <w:p w:rsidR="00525419" w:rsidRDefault="00525419">
            <w:pPr>
              <w:jc w:val="center"/>
              <w:rPr>
                <w:rFonts w:ascii="Times New Roman" w:hAnsi="Times New Roman"/>
                <w:szCs w:val="21"/>
              </w:rPr>
            </w:pPr>
          </w:p>
        </w:tc>
        <w:tc>
          <w:tcPr>
            <w:tcW w:w="624" w:type="dxa"/>
            <w:vMerge/>
            <w:vAlign w:val="center"/>
          </w:tcPr>
          <w:p w:rsidR="00525419" w:rsidRDefault="00525419">
            <w:pPr>
              <w:jc w:val="center"/>
              <w:rPr>
                <w:rFonts w:ascii="Times New Roman" w:hAnsi="Times New Roman"/>
                <w:szCs w:val="21"/>
              </w:rPr>
            </w:pPr>
          </w:p>
        </w:tc>
        <w:tc>
          <w:tcPr>
            <w:tcW w:w="1437" w:type="dxa"/>
            <w:vAlign w:val="center"/>
          </w:tcPr>
          <w:p w:rsidR="00525419" w:rsidRDefault="00EE1CF7">
            <w:pPr>
              <w:jc w:val="center"/>
              <w:rPr>
                <w:rFonts w:ascii="Times New Roman" w:hAnsi="Times New Roman"/>
                <w:szCs w:val="21"/>
              </w:rPr>
            </w:pPr>
            <w:r>
              <w:rPr>
                <w:rFonts w:ascii="Times New Roman" w:hAnsi="Times New Roman"/>
                <w:szCs w:val="21"/>
              </w:rPr>
              <w:t>消防水</w:t>
            </w:r>
          </w:p>
        </w:tc>
        <w:tc>
          <w:tcPr>
            <w:tcW w:w="4573" w:type="dxa"/>
            <w:vAlign w:val="center"/>
          </w:tcPr>
          <w:p w:rsidR="00525419" w:rsidRDefault="00EE1CF7">
            <w:pPr>
              <w:jc w:val="center"/>
              <w:rPr>
                <w:rFonts w:ascii="Times New Roman" w:hAnsi="Times New Roman"/>
                <w:szCs w:val="21"/>
              </w:rPr>
            </w:pPr>
            <w:r>
              <w:rPr>
                <w:rFonts w:ascii="Times New Roman" w:hAnsi="Times New Roman"/>
                <w:szCs w:val="21"/>
              </w:rPr>
              <w:t>/</w:t>
            </w:r>
          </w:p>
        </w:tc>
        <w:tc>
          <w:tcPr>
            <w:tcW w:w="6239" w:type="dxa"/>
            <w:vAlign w:val="center"/>
          </w:tcPr>
          <w:p w:rsidR="00525419" w:rsidRDefault="00EE1CF7">
            <w:pPr>
              <w:jc w:val="center"/>
              <w:rPr>
                <w:rFonts w:ascii="Times New Roman" w:hAnsi="Times New Roman"/>
                <w:szCs w:val="21"/>
              </w:rPr>
            </w:pPr>
            <w:r>
              <w:rPr>
                <w:rFonts w:ascii="Times New Roman" w:hAnsi="Times New Roman"/>
                <w:szCs w:val="21"/>
                <w:lang w:val="zh-CN"/>
              </w:rPr>
              <w:t>扩建</w:t>
            </w:r>
            <w:r>
              <w:rPr>
                <w:rFonts w:ascii="Times New Roman" w:hAnsi="Times New Roman"/>
                <w:szCs w:val="21"/>
                <w:lang w:val="zh-CN"/>
              </w:rPr>
              <w:t>1000m</w:t>
            </w:r>
            <w:r>
              <w:rPr>
                <w:rFonts w:ascii="Times New Roman" w:hAnsi="Times New Roman"/>
                <w:szCs w:val="21"/>
                <w:vertAlign w:val="superscript"/>
                <w:lang w:val="zh-CN"/>
              </w:rPr>
              <w:t>3</w:t>
            </w:r>
            <w:r>
              <w:rPr>
                <w:rFonts w:ascii="Times New Roman" w:hAnsi="Times New Roman"/>
                <w:szCs w:val="21"/>
                <w:lang w:val="zh-CN"/>
              </w:rPr>
              <w:t>消防水罐</w:t>
            </w:r>
            <w:r>
              <w:rPr>
                <w:rFonts w:ascii="Times New Roman" w:hAnsi="Times New Roman"/>
                <w:szCs w:val="21"/>
                <w:lang w:val="zh-CN"/>
              </w:rPr>
              <w:t>2</w:t>
            </w:r>
            <w:r>
              <w:rPr>
                <w:rFonts w:ascii="Times New Roman" w:hAnsi="Times New Roman"/>
                <w:szCs w:val="21"/>
                <w:lang w:val="zh-CN"/>
              </w:rPr>
              <w:t>个</w:t>
            </w:r>
          </w:p>
        </w:tc>
      </w:tr>
      <w:tr w:rsidR="00525419">
        <w:tc>
          <w:tcPr>
            <w:tcW w:w="1298" w:type="dxa"/>
            <w:vMerge/>
            <w:vAlign w:val="center"/>
          </w:tcPr>
          <w:p w:rsidR="00525419" w:rsidRDefault="00525419">
            <w:pPr>
              <w:jc w:val="center"/>
              <w:rPr>
                <w:rFonts w:ascii="Times New Roman" w:hAnsi="Times New Roman"/>
                <w:szCs w:val="21"/>
              </w:rPr>
            </w:pPr>
          </w:p>
        </w:tc>
        <w:tc>
          <w:tcPr>
            <w:tcW w:w="624" w:type="dxa"/>
            <w:vMerge/>
            <w:vAlign w:val="center"/>
          </w:tcPr>
          <w:p w:rsidR="00525419" w:rsidRDefault="00525419">
            <w:pPr>
              <w:jc w:val="center"/>
              <w:rPr>
                <w:rFonts w:ascii="Times New Roman" w:hAnsi="Times New Roman"/>
                <w:szCs w:val="21"/>
              </w:rPr>
            </w:pPr>
          </w:p>
        </w:tc>
        <w:tc>
          <w:tcPr>
            <w:tcW w:w="1437" w:type="dxa"/>
            <w:vAlign w:val="center"/>
          </w:tcPr>
          <w:p w:rsidR="00525419" w:rsidRDefault="00EE1CF7">
            <w:pPr>
              <w:jc w:val="center"/>
              <w:rPr>
                <w:rFonts w:ascii="Times New Roman" w:hAnsi="Times New Roman"/>
                <w:szCs w:val="21"/>
              </w:rPr>
            </w:pPr>
            <w:r>
              <w:rPr>
                <w:rFonts w:ascii="Times New Roman" w:hAnsi="Times New Roman"/>
                <w:szCs w:val="21"/>
              </w:rPr>
              <w:t>排水</w:t>
            </w:r>
          </w:p>
        </w:tc>
        <w:tc>
          <w:tcPr>
            <w:tcW w:w="4573" w:type="dxa"/>
            <w:vAlign w:val="center"/>
          </w:tcPr>
          <w:p w:rsidR="00525419" w:rsidRDefault="00EE1CF7">
            <w:pPr>
              <w:jc w:val="center"/>
              <w:rPr>
                <w:rFonts w:ascii="Times New Roman" w:hAnsi="Times New Roman"/>
                <w:szCs w:val="21"/>
              </w:rPr>
            </w:pPr>
            <w:r>
              <w:rPr>
                <w:rFonts w:ascii="Times New Roman" w:hAnsi="Times New Roman"/>
                <w:szCs w:val="21"/>
              </w:rPr>
              <w:t>生活污水排水、生产废水排水系统和雨水</w:t>
            </w:r>
            <w:r>
              <w:rPr>
                <w:rFonts w:ascii="Times New Roman" w:hAnsi="Times New Roman"/>
                <w:szCs w:val="21"/>
              </w:rPr>
              <w:t>(</w:t>
            </w:r>
            <w:r>
              <w:rPr>
                <w:rFonts w:ascii="Times New Roman" w:hAnsi="Times New Roman"/>
                <w:szCs w:val="21"/>
              </w:rPr>
              <w:t>清净废水</w:t>
            </w:r>
            <w:r>
              <w:rPr>
                <w:rFonts w:ascii="Times New Roman" w:hAnsi="Times New Roman"/>
                <w:szCs w:val="21"/>
              </w:rPr>
              <w:t>)</w:t>
            </w:r>
            <w:r>
              <w:rPr>
                <w:rFonts w:ascii="Times New Roman" w:hAnsi="Times New Roman"/>
                <w:szCs w:val="21"/>
              </w:rPr>
              <w:t>系统</w:t>
            </w:r>
          </w:p>
        </w:tc>
        <w:tc>
          <w:tcPr>
            <w:tcW w:w="6239" w:type="dxa"/>
            <w:vAlign w:val="center"/>
          </w:tcPr>
          <w:p w:rsidR="00525419" w:rsidRDefault="00EE1CF7">
            <w:pPr>
              <w:jc w:val="center"/>
              <w:rPr>
                <w:rFonts w:ascii="Times New Roman" w:hAnsi="Times New Roman"/>
                <w:szCs w:val="21"/>
                <w:lang w:val="zh-CN"/>
              </w:rPr>
            </w:pPr>
            <w:r>
              <w:rPr>
                <w:rFonts w:ascii="Times New Roman" w:hAnsi="Times New Roman"/>
                <w:szCs w:val="21"/>
                <w:lang w:val="zh-CN"/>
              </w:rPr>
              <w:t>不变</w:t>
            </w:r>
          </w:p>
        </w:tc>
      </w:tr>
      <w:tr w:rsidR="00525419">
        <w:tc>
          <w:tcPr>
            <w:tcW w:w="1298" w:type="dxa"/>
            <w:vMerge/>
            <w:vAlign w:val="center"/>
          </w:tcPr>
          <w:p w:rsidR="00525419" w:rsidRDefault="00525419">
            <w:pPr>
              <w:jc w:val="center"/>
              <w:rPr>
                <w:rFonts w:ascii="Times New Roman" w:hAnsi="Times New Roman"/>
                <w:szCs w:val="21"/>
              </w:rPr>
            </w:pPr>
          </w:p>
        </w:tc>
        <w:tc>
          <w:tcPr>
            <w:tcW w:w="624" w:type="dxa"/>
            <w:vMerge/>
            <w:vAlign w:val="center"/>
          </w:tcPr>
          <w:p w:rsidR="00525419" w:rsidRDefault="00525419">
            <w:pPr>
              <w:jc w:val="center"/>
              <w:rPr>
                <w:rFonts w:ascii="Times New Roman" w:hAnsi="Times New Roman"/>
                <w:szCs w:val="21"/>
              </w:rPr>
            </w:pPr>
          </w:p>
        </w:tc>
        <w:tc>
          <w:tcPr>
            <w:tcW w:w="1437" w:type="dxa"/>
            <w:vAlign w:val="center"/>
          </w:tcPr>
          <w:p w:rsidR="00525419" w:rsidRDefault="00EE1CF7">
            <w:pPr>
              <w:jc w:val="center"/>
              <w:rPr>
                <w:rFonts w:ascii="Times New Roman" w:hAnsi="Times New Roman"/>
                <w:szCs w:val="21"/>
              </w:rPr>
            </w:pPr>
            <w:r>
              <w:rPr>
                <w:rFonts w:ascii="Times New Roman" w:hAnsi="Times New Roman"/>
                <w:szCs w:val="21"/>
              </w:rPr>
              <w:t>污水处理装置</w:t>
            </w:r>
          </w:p>
        </w:tc>
        <w:tc>
          <w:tcPr>
            <w:tcW w:w="4573" w:type="dxa"/>
            <w:vAlign w:val="center"/>
          </w:tcPr>
          <w:p w:rsidR="00525419" w:rsidRDefault="00EE1CF7">
            <w:pPr>
              <w:jc w:val="center"/>
              <w:rPr>
                <w:rFonts w:ascii="Times New Roman" w:hAnsi="Times New Roman"/>
                <w:szCs w:val="21"/>
              </w:rPr>
            </w:pPr>
            <w:r>
              <w:rPr>
                <w:rFonts w:ascii="Times New Roman" w:hAnsi="Times New Roman"/>
                <w:szCs w:val="21"/>
              </w:rPr>
              <w:t>扩建处理能力</w:t>
            </w:r>
            <w:r>
              <w:rPr>
                <w:rFonts w:ascii="Times New Roman" w:hAnsi="Times New Roman"/>
                <w:szCs w:val="21"/>
              </w:rPr>
              <w:t>80m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，新建污水处理装置一座，采用格栅隔油</w:t>
            </w:r>
            <w:r>
              <w:rPr>
                <w:rFonts w:ascii="Times New Roman" w:hAnsi="Times New Roman"/>
                <w:szCs w:val="21"/>
              </w:rPr>
              <w:t>+</w:t>
            </w:r>
            <w:r>
              <w:rPr>
                <w:rFonts w:ascii="Times New Roman" w:hAnsi="Times New Roman"/>
                <w:szCs w:val="21"/>
              </w:rPr>
              <w:t>一、二级气浮</w:t>
            </w:r>
            <w:r>
              <w:rPr>
                <w:rFonts w:ascii="Times New Roman" w:hAnsi="Times New Roman"/>
                <w:szCs w:val="21"/>
              </w:rPr>
              <w:t>+A/O</w:t>
            </w:r>
            <w:r>
              <w:rPr>
                <w:rFonts w:ascii="Times New Roman" w:hAnsi="Times New Roman"/>
                <w:szCs w:val="21"/>
              </w:rPr>
              <w:t>生化</w:t>
            </w:r>
            <w:r>
              <w:rPr>
                <w:rFonts w:ascii="Times New Roman" w:hAnsi="Times New Roman"/>
                <w:szCs w:val="21"/>
              </w:rPr>
              <w:t>+</w:t>
            </w:r>
            <w:r>
              <w:rPr>
                <w:rFonts w:ascii="Times New Roman" w:hAnsi="Times New Roman"/>
                <w:szCs w:val="21"/>
              </w:rPr>
              <w:t>臭氧接触</w:t>
            </w:r>
            <w:r>
              <w:rPr>
                <w:rFonts w:ascii="Times New Roman" w:hAnsi="Times New Roman"/>
                <w:szCs w:val="21"/>
              </w:rPr>
              <w:t>+BAF</w:t>
            </w:r>
            <w:r>
              <w:rPr>
                <w:rFonts w:ascii="Times New Roman" w:hAnsi="Times New Roman"/>
                <w:szCs w:val="21"/>
              </w:rPr>
              <w:t>池</w:t>
            </w:r>
            <w:r>
              <w:rPr>
                <w:rFonts w:ascii="Times New Roman" w:hAnsi="Times New Roman"/>
                <w:szCs w:val="21"/>
              </w:rPr>
              <w:t>+</w:t>
            </w:r>
            <w:r>
              <w:rPr>
                <w:rFonts w:ascii="Times New Roman" w:hAnsi="Times New Roman"/>
                <w:szCs w:val="21"/>
              </w:rPr>
              <w:t>砂滤池</w:t>
            </w:r>
            <w:r>
              <w:rPr>
                <w:rFonts w:ascii="Times New Roman" w:hAnsi="Times New Roman"/>
                <w:szCs w:val="21"/>
              </w:rPr>
              <w:t>+</w:t>
            </w:r>
            <w:r>
              <w:rPr>
                <w:rFonts w:ascii="Times New Roman" w:hAnsi="Times New Roman"/>
                <w:szCs w:val="21"/>
              </w:rPr>
              <w:t>活性炭滤池</w:t>
            </w:r>
            <w:r>
              <w:rPr>
                <w:rFonts w:ascii="Times New Roman" w:hAnsi="Times New Roman"/>
                <w:szCs w:val="21"/>
              </w:rPr>
              <w:t>+</w:t>
            </w:r>
            <w:r>
              <w:rPr>
                <w:rFonts w:ascii="Times New Roman" w:hAnsi="Times New Roman"/>
                <w:szCs w:val="21"/>
              </w:rPr>
              <w:t>膜处理系统工艺。</w:t>
            </w:r>
          </w:p>
        </w:tc>
        <w:tc>
          <w:tcPr>
            <w:tcW w:w="6239" w:type="dxa"/>
            <w:vAlign w:val="center"/>
          </w:tcPr>
          <w:p w:rsidR="00525419" w:rsidRDefault="00EE1CF7">
            <w:pPr>
              <w:jc w:val="center"/>
              <w:rPr>
                <w:rFonts w:ascii="Times New Roman" w:hAnsi="Times New Roman"/>
                <w:szCs w:val="21"/>
                <w:lang w:val="zh-CN"/>
              </w:rPr>
            </w:pPr>
            <w:r>
              <w:rPr>
                <w:rFonts w:ascii="Times New Roman" w:hAnsi="Times New Roman"/>
                <w:szCs w:val="21"/>
              </w:rPr>
              <w:t>本次扩建内容为</w:t>
            </w:r>
            <w:r>
              <w:rPr>
                <w:rFonts w:ascii="Times New Roman" w:hAnsi="Times New Roman"/>
              </w:rPr>
              <w:t>扩大</w:t>
            </w:r>
            <w:r>
              <w:rPr>
                <w:rFonts w:ascii="Times New Roman" w:hAnsi="Times New Roman"/>
                <w:shd w:val="clear" w:color="auto" w:fill="FFFFFF"/>
              </w:rPr>
              <w:t>溶剂气浮</w:t>
            </w:r>
            <w:r>
              <w:rPr>
                <w:rFonts w:ascii="Times New Roman" w:hAnsi="Times New Roman" w:hint="eastAsia"/>
                <w:shd w:val="clear" w:color="auto" w:fill="FFFFFF"/>
              </w:rPr>
              <w:t>装置</w:t>
            </w:r>
            <w:r>
              <w:rPr>
                <w:rFonts w:ascii="Times New Roman" w:hAnsi="Times New Roman"/>
                <w:shd w:val="clear" w:color="auto" w:fill="FFFFFF"/>
              </w:rPr>
              <w:t>和涡凹气浮</w:t>
            </w:r>
            <w:r>
              <w:rPr>
                <w:rFonts w:ascii="Times New Roman" w:hAnsi="Times New Roman" w:hint="eastAsia"/>
                <w:shd w:val="clear" w:color="auto" w:fill="FFFFFF"/>
              </w:rPr>
              <w:t>装置</w:t>
            </w:r>
            <w:r>
              <w:rPr>
                <w:rFonts w:ascii="Times New Roman" w:hAnsi="Times New Roman"/>
                <w:shd w:val="clear" w:color="auto" w:fill="FFFFFF"/>
              </w:rPr>
              <w:t>。</w:t>
            </w:r>
          </w:p>
        </w:tc>
      </w:tr>
      <w:tr w:rsidR="00525419">
        <w:tc>
          <w:tcPr>
            <w:tcW w:w="1298" w:type="dxa"/>
            <w:vMerge/>
            <w:vAlign w:val="center"/>
          </w:tcPr>
          <w:p w:rsidR="00525419" w:rsidRDefault="00525419">
            <w:pPr>
              <w:jc w:val="center"/>
              <w:rPr>
                <w:rFonts w:ascii="Times New Roman" w:hAnsi="Times New Roman"/>
                <w:szCs w:val="21"/>
              </w:rPr>
            </w:pPr>
          </w:p>
        </w:tc>
        <w:tc>
          <w:tcPr>
            <w:tcW w:w="2061" w:type="dxa"/>
            <w:gridSpan w:val="2"/>
            <w:vAlign w:val="center"/>
          </w:tcPr>
          <w:p w:rsidR="00525419" w:rsidRDefault="00EE1CF7">
            <w:pPr>
              <w:jc w:val="center"/>
              <w:rPr>
                <w:rFonts w:ascii="Times New Roman" w:hAnsi="Times New Roman"/>
                <w:szCs w:val="21"/>
              </w:rPr>
            </w:pPr>
            <w:r>
              <w:rPr>
                <w:rFonts w:ascii="Times New Roman" w:hAnsi="Times New Roman"/>
                <w:szCs w:val="21"/>
              </w:rPr>
              <w:t>供电</w:t>
            </w:r>
          </w:p>
        </w:tc>
        <w:tc>
          <w:tcPr>
            <w:tcW w:w="4573" w:type="dxa"/>
            <w:vAlign w:val="center"/>
          </w:tcPr>
          <w:p w:rsidR="00525419" w:rsidRDefault="00EE1CF7">
            <w:pPr>
              <w:jc w:val="center"/>
              <w:rPr>
                <w:rFonts w:ascii="Times New Roman" w:hAnsi="Times New Roman"/>
                <w:szCs w:val="21"/>
              </w:rPr>
            </w:pPr>
            <w:r>
              <w:rPr>
                <w:rFonts w:ascii="Times New Roman" w:hAnsi="Times New Roman"/>
                <w:szCs w:val="21"/>
              </w:rPr>
              <w:t>新建一座</w:t>
            </w:r>
            <w:r>
              <w:rPr>
                <w:rFonts w:ascii="Times New Roman" w:hAnsi="Times New Roman"/>
                <w:szCs w:val="21"/>
              </w:rPr>
              <w:t>35/10kV</w:t>
            </w:r>
            <w:r>
              <w:rPr>
                <w:rFonts w:ascii="Times New Roman" w:hAnsi="Times New Roman"/>
                <w:szCs w:val="21"/>
              </w:rPr>
              <w:t>总变电站和</w:t>
            </w:r>
            <w:r>
              <w:rPr>
                <w:rFonts w:ascii="Times New Roman" w:hAnsi="Times New Roman"/>
                <w:szCs w:val="21"/>
              </w:rPr>
              <w:t>3</w:t>
            </w:r>
            <w:r>
              <w:rPr>
                <w:rFonts w:ascii="Times New Roman" w:hAnsi="Times New Roman"/>
                <w:szCs w:val="21"/>
              </w:rPr>
              <w:t>座</w:t>
            </w:r>
            <w:r>
              <w:rPr>
                <w:rFonts w:ascii="Times New Roman" w:hAnsi="Times New Roman"/>
                <w:szCs w:val="21"/>
              </w:rPr>
              <w:t>10kV</w:t>
            </w:r>
            <w:r>
              <w:rPr>
                <w:rFonts w:ascii="Times New Roman" w:hAnsi="Times New Roman"/>
                <w:szCs w:val="21"/>
              </w:rPr>
              <w:t>区域变配电室及</w:t>
            </w:r>
            <w:r>
              <w:rPr>
                <w:rFonts w:ascii="Times New Roman" w:hAnsi="Times New Roman"/>
                <w:szCs w:val="21"/>
              </w:rPr>
              <w:t>1</w:t>
            </w:r>
            <w:r>
              <w:rPr>
                <w:rFonts w:ascii="Times New Roman" w:hAnsi="Times New Roman"/>
                <w:szCs w:val="21"/>
              </w:rPr>
              <w:t>座低压配电室。</w:t>
            </w:r>
          </w:p>
        </w:tc>
        <w:tc>
          <w:tcPr>
            <w:tcW w:w="6239" w:type="dxa"/>
            <w:vAlign w:val="center"/>
          </w:tcPr>
          <w:p w:rsidR="00525419" w:rsidRDefault="00EE1CF7">
            <w:pPr>
              <w:jc w:val="center"/>
              <w:rPr>
                <w:rFonts w:ascii="Times New Roman" w:hAnsi="Times New Roman"/>
                <w:szCs w:val="21"/>
              </w:rPr>
            </w:pPr>
            <w:r>
              <w:rPr>
                <w:rFonts w:ascii="Times New Roman" w:hAnsi="Times New Roman"/>
                <w:szCs w:val="21"/>
              </w:rPr>
              <w:t>本项目新建一座</w:t>
            </w:r>
            <w:r>
              <w:rPr>
                <w:rFonts w:ascii="Times New Roman" w:hAnsi="Times New Roman"/>
                <w:szCs w:val="21"/>
              </w:rPr>
              <w:t>35kV</w:t>
            </w:r>
            <w:r>
              <w:rPr>
                <w:rFonts w:ascii="Times New Roman" w:hAnsi="Times New Roman"/>
                <w:szCs w:val="21"/>
              </w:rPr>
              <w:t>总变电站、</w:t>
            </w:r>
            <w:r>
              <w:rPr>
                <w:rFonts w:ascii="Times New Roman" w:hAnsi="Times New Roman"/>
                <w:szCs w:val="21"/>
              </w:rPr>
              <w:t>2</w:t>
            </w:r>
            <w:r>
              <w:rPr>
                <w:rFonts w:ascii="Times New Roman" w:hAnsi="Times New Roman"/>
                <w:szCs w:val="21"/>
              </w:rPr>
              <w:t>座配电室分别为加制氢单元配电室及硫磺回收单元配电室。</w:t>
            </w:r>
          </w:p>
        </w:tc>
      </w:tr>
      <w:tr w:rsidR="00525419">
        <w:tc>
          <w:tcPr>
            <w:tcW w:w="1298" w:type="dxa"/>
            <w:vMerge/>
            <w:vAlign w:val="center"/>
          </w:tcPr>
          <w:p w:rsidR="00525419" w:rsidRDefault="00525419">
            <w:pPr>
              <w:jc w:val="center"/>
              <w:rPr>
                <w:rFonts w:ascii="Times New Roman" w:hAnsi="Times New Roman"/>
                <w:szCs w:val="21"/>
              </w:rPr>
            </w:pPr>
          </w:p>
        </w:tc>
        <w:tc>
          <w:tcPr>
            <w:tcW w:w="2061" w:type="dxa"/>
            <w:gridSpan w:val="2"/>
            <w:vAlign w:val="center"/>
          </w:tcPr>
          <w:p w:rsidR="00525419" w:rsidRDefault="00EE1CF7">
            <w:pPr>
              <w:jc w:val="center"/>
              <w:rPr>
                <w:rFonts w:ascii="Times New Roman" w:hAnsi="Times New Roman"/>
                <w:szCs w:val="21"/>
              </w:rPr>
            </w:pPr>
            <w:r>
              <w:rPr>
                <w:rFonts w:ascii="Times New Roman" w:hAnsi="Times New Roman"/>
                <w:szCs w:val="21"/>
              </w:rPr>
              <w:t>供热</w:t>
            </w:r>
          </w:p>
        </w:tc>
        <w:tc>
          <w:tcPr>
            <w:tcW w:w="4573" w:type="dxa"/>
            <w:vAlign w:val="center"/>
          </w:tcPr>
          <w:p w:rsidR="00525419" w:rsidRDefault="00EE1CF7">
            <w:pPr>
              <w:jc w:val="center"/>
              <w:rPr>
                <w:rFonts w:ascii="Times New Roman" w:hAnsi="Times New Roman"/>
                <w:szCs w:val="21"/>
              </w:rPr>
            </w:pPr>
            <w:r>
              <w:rPr>
                <w:rFonts w:ascii="Times New Roman" w:hAnsi="Times New Roman"/>
                <w:szCs w:val="21"/>
              </w:rPr>
              <w:t>本项目热源由厂区现锅炉热源和装置自产蒸汽提供。</w:t>
            </w:r>
          </w:p>
        </w:tc>
        <w:tc>
          <w:tcPr>
            <w:tcW w:w="6239" w:type="dxa"/>
            <w:vAlign w:val="center"/>
          </w:tcPr>
          <w:p w:rsidR="00525419" w:rsidRDefault="00EE1CF7">
            <w:pPr>
              <w:jc w:val="center"/>
              <w:rPr>
                <w:rFonts w:ascii="Times New Roman" w:hAnsi="Times New Roman"/>
                <w:szCs w:val="21"/>
              </w:rPr>
            </w:pPr>
            <w:r>
              <w:rPr>
                <w:rFonts w:ascii="Times New Roman" w:hAnsi="Times New Roman"/>
                <w:szCs w:val="21"/>
              </w:rPr>
              <w:t>不变</w:t>
            </w:r>
          </w:p>
        </w:tc>
      </w:tr>
      <w:tr w:rsidR="00525419">
        <w:trPr>
          <w:trHeight w:val="90"/>
        </w:trPr>
        <w:tc>
          <w:tcPr>
            <w:tcW w:w="1298" w:type="dxa"/>
            <w:vMerge/>
            <w:vAlign w:val="center"/>
          </w:tcPr>
          <w:p w:rsidR="00525419" w:rsidRDefault="00525419">
            <w:pPr>
              <w:jc w:val="center"/>
              <w:rPr>
                <w:rFonts w:ascii="Times New Roman" w:hAnsi="Times New Roman"/>
                <w:szCs w:val="21"/>
              </w:rPr>
            </w:pPr>
          </w:p>
        </w:tc>
        <w:tc>
          <w:tcPr>
            <w:tcW w:w="2061" w:type="dxa"/>
            <w:gridSpan w:val="2"/>
            <w:vAlign w:val="center"/>
          </w:tcPr>
          <w:p w:rsidR="00525419" w:rsidRDefault="00EE1CF7">
            <w:pPr>
              <w:jc w:val="center"/>
              <w:rPr>
                <w:rFonts w:ascii="Times New Roman" w:hAnsi="Times New Roman"/>
                <w:szCs w:val="21"/>
              </w:rPr>
            </w:pPr>
            <w:r>
              <w:rPr>
                <w:rFonts w:ascii="Times New Roman" w:hAnsi="Times New Roman"/>
                <w:szCs w:val="21"/>
              </w:rPr>
              <w:t>供风、供氮气</w:t>
            </w:r>
          </w:p>
        </w:tc>
        <w:tc>
          <w:tcPr>
            <w:tcW w:w="4573" w:type="dxa"/>
            <w:vAlign w:val="center"/>
          </w:tcPr>
          <w:p w:rsidR="00525419" w:rsidRDefault="00EE1CF7">
            <w:pPr>
              <w:jc w:val="center"/>
              <w:rPr>
                <w:rFonts w:ascii="Times New Roman" w:hAnsi="Times New Roman"/>
                <w:szCs w:val="21"/>
              </w:rPr>
            </w:pPr>
            <w:r>
              <w:rPr>
                <w:rFonts w:ascii="Times New Roman" w:hAnsi="Times New Roman"/>
                <w:szCs w:val="21"/>
              </w:rPr>
              <w:t>在厂区现空压站新增一台空压机，一套</w:t>
            </w:r>
            <w:r>
              <w:rPr>
                <w:rFonts w:ascii="Times New Roman" w:hAnsi="Times New Roman"/>
                <w:szCs w:val="21"/>
              </w:rPr>
              <w:t>3000Nm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空气净化设备和</w:t>
            </w:r>
            <w:r>
              <w:rPr>
                <w:rFonts w:ascii="Times New Roman" w:hAnsi="Times New Roman"/>
                <w:szCs w:val="21"/>
              </w:rPr>
              <w:t>500 Nm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提纯氮气吸附罐。</w:t>
            </w:r>
          </w:p>
        </w:tc>
        <w:tc>
          <w:tcPr>
            <w:tcW w:w="6239" w:type="dxa"/>
            <w:vAlign w:val="center"/>
          </w:tcPr>
          <w:p w:rsidR="00525419" w:rsidRDefault="00EE1CF7">
            <w:pPr>
              <w:jc w:val="center"/>
              <w:rPr>
                <w:rFonts w:ascii="Times New Roman" w:hAnsi="Times New Roman"/>
                <w:szCs w:val="21"/>
                <w:lang w:val="zh-CN"/>
              </w:rPr>
            </w:pPr>
            <w:r>
              <w:rPr>
                <w:rFonts w:ascii="Times New Roman" w:hAnsi="Times New Roman"/>
                <w:szCs w:val="21"/>
              </w:rPr>
              <w:t>在厂区现空压站新增一台空压机，一套</w:t>
            </w:r>
            <w:r>
              <w:rPr>
                <w:rFonts w:ascii="Times New Roman" w:hAnsi="Times New Roman"/>
                <w:szCs w:val="21"/>
              </w:rPr>
              <w:t>9000Nm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空气净化设备和</w:t>
            </w:r>
            <w:r>
              <w:rPr>
                <w:rFonts w:ascii="Times New Roman" w:hAnsi="Times New Roman"/>
                <w:szCs w:val="21"/>
              </w:rPr>
              <w:t>1250 Nm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提纯氮气吸附罐</w:t>
            </w:r>
            <w:r>
              <w:rPr>
                <w:rFonts w:ascii="Times New Roman" w:hAnsi="Times New Roman" w:hint="eastAsia"/>
                <w:szCs w:val="21"/>
              </w:rPr>
              <w:t>，新增</w:t>
            </w:r>
            <w:r>
              <w:rPr>
                <w:rFonts w:ascii="Times New Roman" w:hAnsi="Times New Roman" w:hint="eastAsia"/>
                <w:szCs w:val="21"/>
              </w:rPr>
              <w:t>50m</w:t>
            </w:r>
            <w:r>
              <w:rPr>
                <w:rFonts w:ascii="Times New Roman" w:hAnsi="Times New Roman" w:hint="eastAsia"/>
                <w:szCs w:val="21"/>
                <w:vertAlign w:val="superscript"/>
              </w:rPr>
              <w:t>3</w:t>
            </w:r>
            <w:r>
              <w:rPr>
                <w:rFonts w:ascii="Times New Roman" w:hAnsi="Times New Roman" w:hint="eastAsia"/>
                <w:szCs w:val="21"/>
              </w:rPr>
              <w:t>液氮站</w:t>
            </w:r>
            <w:r>
              <w:rPr>
                <w:rFonts w:hint="eastAsia"/>
              </w:rPr>
              <w:t>。</w:t>
            </w:r>
          </w:p>
        </w:tc>
      </w:tr>
      <w:tr w:rsidR="00525419">
        <w:trPr>
          <w:trHeight w:val="430"/>
        </w:trPr>
        <w:tc>
          <w:tcPr>
            <w:tcW w:w="1298" w:type="dxa"/>
            <w:vMerge/>
            <w:vAlign w:val="center"/>
          </w:tcPr>
          <w:p w:rsidR="00525419" w:rsidRDefault="00525419">
            <w:pPr>
              <w:jc w:val="center"/>
              <w:rPr>
                <w:rFonts w:ascii="Times New Roman" w:hAnsi="Times New Roman"/>
                <w:szCs w:val="21"/>
              </w:rPr>
            </w:pPr>
          </w:p>
        </w:tc>
        <w:tc>
          <w:tcPr>
            <w:tcW w:w="2061" w:type="dxa"/>
            <w:gridSpan w:val="2"/>
            <w:vAlign w:val="center"/>
          </w:tcPr>
          <w:p w:rsidR="00525419" w:rsidRDefault="00EE1CF7">
            <w:pPr>
              <w:jc w:val="center"/>
              <w:rPr>
                <w:rFonts w:ascii="Times New Roman" w:hAnsi="Times New Roman"/>
                <w:szCs w:val="21"/>
              </w:rPr>
            </w:pPr>
            <w:r>
              <w:rPr>
                <w:rFonts w:ascii="Times New Roman" w:hAnsi="Times New Roman"/>
                <w:szCs w:val="21"/>
              </w:rPr>
              <w:t>检维修设施</w:t>
            </w:r>
          </w:p>
        </w:tc>
        <w:tc>
          <w:tcPr>
            <w:tcW w:w="4573" w:type="dxa"/>
            <w:vAlign w:val="center"/>
          </w:tcPr>
          <w:p w:rsidR="00525419" w:rsidRDefault="00EE1CF7">
            <w:pPr>
              <w:jc w:val="center"/>
              <w:rPr>
                <w:rFonts w:ascii="Times New Roman" w:hAnsi="Times New Roman"/>
                <w:szCs w:val="21"/>
              </w:rPr>
            </w:pPr>
            <w:r>
              <w:rPr>
                <w:rFonts w:ascii="Times New Roman" w:hAnsi="Times New Roman"/>
                <w:szCs w:val="21"/>
              </w:rPr>
              <w:t>依托现厂区</w:t>
            </w:r>
          </w:p>
        </w:tc>
        <w:tc>
          <w:tcPr>
            <w:tcW w:w="6239" w:type="dxa"/>
            <w:vAlign w:val="center"/>
          </w:tcPr>
          <w:p w:rsidR="00525419" w:rsidRDefault="00EE1CF7">
            <w:pPr>
              <w:jc w:val="center"/>
              <w:rPr>
                <w:rFonts w:ascii="Times New Roman" w:hAnsi="Times New Roman"/>
                <w:szCs w:val="21"/>
              </w:rPr>
            </w:pPr>
            <w:r>
              <w:rPr>
                <w:rFonts w:ascii="Times New Roman" w:hAnsi="Times New Roman"/>
                <w:szCs w:val="21"/>
              </w:rPr>
              <w:t>不变</w:t>
            </w:r>
          </w:p>
        </w:tc>
      </w:tr>
      <w:tr w:rsidR="00525419">
        <w:trPr>
          <w:trHeight w:val="477"/>
        </w:trPr>
        <w:tc>
          <w:tcPr>
            <w:tcW w:w="1298" w:type="dxa"/>
            <w:vMerge/>
            <w:vAlign w:val="center"/>
          </w:tcPr>
          <w:p w:rsidR="00525419" w:rsidRDefault="00525419">
            <w:pPr>
              <w:jc w:val="center"/>
              <w:rPr>
                <w:rFonts w:ascii="Times New Roman" w:hAnsi="Times New Roman"/>
                <w:szCs w:val="21"/>
              </w:rPr>
            </w:pPr>
          </w:p>
        </w:tc>
        <w:tc>
          <w:tcPr>
            <w:tcW w:w="2061" w:type="dxa"/>
            <w:gridSpan w:val="2"/>
            <w:vAlign w:val="center"/>
          </w:tcPr>
          <w:p w:rsidR="00525419" w:rsidRDefault="00EE1CF7">
            <w:pPr>
              <w:jc w:val="center"/>
              <w:rPr>
                <w:rFonts w:ascii="Times New Roman" w:hAnsi="Times New Roman"/>
                <w:szCs w:val="21"/>
              </w:rPr>
            </w:pPr>
            <w:r>
              <w:rPr>
                <w:rFonts w:ascii="Times New Roman" w:hAnsi="Times New Roman"/>
                <w:szCs w:val="21"/>
              </w:rPr>
              <w:t>中心化验室</w:t>
            </w:r>
          </w:p>
        </w:tc>
        <w:tc>
          <w:tcPr>
            <w:tcW w:w="4573" w:type="dxa"/>
            <w:vAlign w:val="center"/>
          </w:tcPr>
          <w:p w:rsidR="00525419" w:rsidRDefault="00EE1CF7">
            <w:pPr>
              <w:jc w:val="center"/>
              <w:rPr>
                <w:rFonts w:ascii="Times New Roman" w:hAnsi="Times New Roman"/>
                <w:szCs w:val="21"/>
              </w:rPr>
            </w:pPr>
            <w:r>
              <w:rPr>
                <w:rFonts w:ascii="Times New Roman" w:hAnsi="Times New Roman"/>
                <w:szCs w:val="21"/>
              </w:rPr>
              <w:t>依托现厂区</w:t>
            </w:r>
          </w:p>
        </w:tc>
        <w:tc>
          <w:tcPr>
            <w:tcW w:w="6239" w:type="dxa"/>
            <w:vAlign w:val="center"/>
          </w:tcPr>
          <w:p w:rsidR="00525419" w:rsidRDefault="00EE1CF7">
            <w:pPr>
              <w:jc w:val="center"/>
              <w:rPr>
                <w:rFonts w:ascii="Times New Roman" w:hAnsi="Times New Roman"/>
                <w:szCs w:val="21"/>
              </w:rPr>
            </w:pPr>
            <w:r>
              <w:rPr>
                <w:rFonts w:ascii="Times New Roman" w:hAnsi="Times New Roman"/>
                <w:szCs w:val="21"/>
              </w:rPr>
              <w:t>不变</w:t>
            </w:r>
          </w:p>
        </w:tc>
      </w:tr>
      <w:tr w:rsidR="00525419">
        <w:trPr>
          <w:trHeight w:val="477"/>
        </w:trPr>
        <w:tc>
          <w:tcPr>
            <w:tcW w:w="1298" w:type="dxa"/>
            <w:vMerge/>
            <w:vAlign w:val="center"/>
          </w:tcPr>
          <w:p w:rsidR="00525419" w:rsidRDefault="00525419">
            <w:pPr>
              <w:jc w:val="center"/>
              <w:rPr>
                <w:rFonts w:ascii="Times New Roman" w:hAnsi="Times New Roman"/>
                <w:szCs w:val="21"/>
              </w:rPr>
            </w:pPr>
          </w:p>
        </w:tc>
        <w:tc>
          <w:tcPr>
            <w:tcW w:w="2061" w:type="dxa"/>
            <w:gridSpan w:val="2"/>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行政及生活设施</w:t>
            </w:r>
          </w:p>
        </w:tc>
        <w:tc>
          <w:tcPr>
            <w:tcW w:w="4573" w:type="dxa"/>
            <w:vAlign w:val="center"/>
          </w:tcPr>
          <w:p w:rsidR="00525419" w:rsidRDefault="00EE1CF7">
            <w:pPr>
              <w:spacing w:line="240" w:lineRule="atLeast"/>
              <w:rPr>
                <w:rFonts w:ascii="Times New Roman" w:hAnsi="Times New Roman"/>
                <w:szCs w:val="21"/>
              </w:rPr>
            </w:pP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依托现厂区</w:t>
            </w:r>
          </w:p>
        </w:tc>
        <w:tc>
          <w:tcPr>
            <w:tcW w:w="6239" w:type="dxa"/>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不变</w:t>
            </w:r>
          </w:p>
        </w:tc>
      </w:tr>
      <w:tr w:rsidR="00525419">
        <w:trPr>
          <w:trHeight w:val="477"/>
        </w:trPr>
        <w:tc>
          <w:tcPr>
            <w:tcW w:w="1298" w:type="dxa"/>
            <w:vMerge/>
            <w:vAlign w:val="center"/>
          </w:tcPr>
          <w:p w:rsidR="00525419" w:rsidRDefault="00525419">
            <w:pPr>
              <w:jc w:val="center"/>
              <w:rPr>
                <w:rFonts w:ascii="Times New Roman" w:hAnsi="Times New Roman"/>
                <w:szCs w:val="21"/>
              </w:rPr>
            </w:pPr>
          </w:p>
        </w:tc>
        <w:tc>
          <w:tcPr>
            <w:tcW w:w="2061" w:type="dxa"/>
            <w:gridSpan w:val="2"/>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辅助生产设施</w:t>
            </w:r>
          </w:p>
        </w:tc>
        <w:tc>
          <w:tcPr>
            <w:tcW w:w="4573" w:type="dxa"/>
            <w:vAlign w:val="center"/>
          </w:tcPr>
          <w:p w:rsidR="00525419" w:rsidRDefault="00EE1CF7">
            <w:pPr>
              <w:spacing w:line="240" w:lineRule="atLeast"/>
              <w:rPr>
                <w:rFonts w:ascii="Times New Roman" w:hAnsi="Times New Roman"/>
                <w:szCs w:val="21"/>
              </w:rPr>
            </w:pPr>
            <w:r>
              <w:rPr>
                <w:rFonts w:ascii="Times New Roman" w:hAnsi="Times New Roman"/>
                <w:szCs w:val="21"/>
              </w:rPr>
              <w:t xml:space="preserve">                /</w:t>
            </w:r>
          </w:p>
        </w:tc>
        <w:tc>
          <w:tcPr>
            <w:tcW w:w="6239" w:type="dxa"/>
            <w:vAlign w:val="center"/>
          </w:tcPr>
          <w:p w:rsidR="00525419" w:rsidRDefault="00EE1CF7">
            <w:pPr>
              <w:spacing w:line="240" w:lineRule="atLeast"/>
              <w:jc w:val="center"/>
              <w:rPr>
                <w:rFonts w:ascii="Times New Roman" w:hAnsi="Times New Roman"/>
                <w:szCs w:val="21"/>
              </w:rPr>
            </w:pPr>
            <w:r>
              <w:rPr>
                <w:rFonts w:ascii="Times New Roman" w:hAnsi="Times New Roman"/>
                <w:lang w:val="zh-CN"/>
              </w:rPr>
              <w:t>新建加氢单元机柜间、</w:t>
            </w:r>
            <w:r>
              <w:rPr>
                <w:rFonts w:ascii="Times New Roman" w:hAnsi="Times New Roman"/>
              </w:rPr>
              <w:t>硫磺回收联合装置机柜间</w:t>
            </w:r>
          </w:p>
        </w:tc>
      </w:tr>
      <w:tr w:rsidR="00525419">
        <w:tc>
          <w:tcPr>
            <w:tcW w:w="1298" w:type="dxa"/>
            <w:vMerge w:val="restart"/>
            <w:vAlign w:val="center"/>
          </w:tcPr>
          <w:p w:rsidR="00525419" w:rsidRDefault="00EE1CF7">
            <w:pPr>
              <w:jc w:val="center"/>
              <w:rPr>
                <w:rFonts w:ascii="Times New Roman" w:hAnsi="Times New Roman"/>
                <w:szCs w:val="21"/>
              </w:rPr>
            </w:pPr>
            <w:r>
              <w:rPr>
                <w:rFonts w:ascii="Times New Roman" w:hAnsi="Times New Roman"/>
                <w:szCs w:val="21"/>
              </w:rPr>
              <w:t>储运工程</w:t>
            </w:r>
          </w:p>
        </w:tc>
        <w:tc>
          <w:tcPr>
            <w:tcW w:w="2061" w:type="dxa"/>
            <w:gridSpan w:val="2"/>
            <w:vAlign w:val="center"/>
          </w:tcPr>
          <w:p w:rsidR="00525419" w:rsidRDefault="00EE1CF7">
            <w:pPr>
              <w:jc w:val="center"/>
              <w:rPr>
                <w:rFonts w:ascii="Times New Roman" w:hAnsi="Times New Roman"/>
                <w:szCs w:val="21"/>
              </w:rPr>
            </w:pPr>
            <w:r>
              <w:rPr>
                <w:rFonts w:ascii="Times New Roman" w:hAnsi="Times New Roman"/>
                <w:szCs w:val="21"/>
              </w:rPr>
              <w:t>储罐区</w:t>
            </w:r>
          </w:p>
        </w:tc>
        <w:tc>
          <w:tcPr>
            <w:tcW w:w="4573" w:type="dxa"/>
            <w:vAlign w:val="center"/>
          </w:tcPr>
          <w:p w:rsidR="00525419" w:rsidRDefault="00EE1CF7">
            <w:pPr>
              <w:jc w:val="center"/>
              <w:rPr>
                <w:rFonts w:ascii="Times New Roman" w:hAnsi="Times New Roman"/>
                <w:szCs w:val="21"/>
              </w:rPr>
            </w:pPr>
            <w:r>
              <w:rPr>
                <w:rFonts w:ascii="Times New Roman" w:hAnsi="Times New Roman"/>
                <w:szCs w:val="21"/>
                <w:lang w:val="zh-CN"/>
              </w:rPr>
              <w:t>（部分利旧</w:t>
            </w:r>
            <w:r>
              <w:rPr>
                <w:rFonts w:ascii="Times New Roman" w:hAnsi="Times New Roman"/>
                <w:szCs w:val="21"/>
              </w:rPr>
              <w:t>+</w:t>
            </w:r>
            <w:r>
              <w:rPr>
                <w:rFonts w:ascii="Times New Roman" w:hAnsi="Times New Roman"/>
                <w:szCs w:val="21"/>
              </w:rPr>
              <w:t>新建</w:t>
            </w:r>
            <w:r>
              <w:rPr>
                <w:rFonts w:ascii="Times New Roman" w:hAnsi="Times New Roman"/>
                <w:szCs w:val="21"/>
                <w:lang w:val="zh-CN"/>
              </w:rPr>
              <w:t>）煤焦油储存利旧</w:t>
            </w:r>
            <w:r>
              <w:rPr>
                <w:rFonts w:ascii="Times New Roman" w:hAnsi="Times New Roman"/>
                <w:szCs w:val="21"/>
                <w:lang w:val="zh-CN"/>
              </w:rPr>
              <w:t>10000m</w:t>
            </w:r>
            <w:r>
              <w:rPr>
                <w:rFonts w:ascii="Times New Roman" w:hAnsi="Times New Roman"/>
                <w:szCs w:val="21"/>
                <w:vertAlign w:val="superscript"/>
                <w:lang w:val="zh-CN"/>
              </w:rPr>
              <w:t>3</w:t>
            </w:r>
            <w:r>
              <w:rPr>
                <w:rFonts w:ascii="Times New Roman" w:hAnsi="Times New Roman"/>
                <w:szCs w:val="21"/>
              </w:rPr>
              <w:t>储罐</w:t>
            </w:r>
            <w:r>
              <w:rPr>
                <w:rFonts w:ascii="Times New Roman" w:hAnsi="Times New Roman"/>
                <w:szCs w:val="21"/>
              </w:rPr>
              <w:t>2</w:t>
            </w:r>
            <w:r>
              <w:rPr>
                <w:rFonts w:ascii="Times New Roman" w:hAnsi="Times New Roman"/>
                <w:szCs w:val="21"/>
              </w:rPr>
              <w:t>座、</w:t>
            </w:r>
            <w:r>
              <w:rPr>
                <w:rFonts w:ascii="Times New Roman" w:hAnsi="Times New Roman"/>
                <w:kern w:val="0"/>
                <w:szCs w:val="21"/>
              </w:rPr>
              <w:t>柴油储存利旧</w:t>
            </w:r>
            <w:r>
              <w:rPr>
                <w:rFonts w:ascii="Times New Roman" w:hAnsi="Times New Roman"/>
                <w:kern w:val="0"/>
                <w:szCs w:val="21"/>
              </w:rPr>
              <w:t>10000m³</w:t>
            </w:r>
            <w:r>
              <w:rPr>
                <w:rFonts w:ascii="Times New Roman" w:hAnsi="Times New Roman"/>
                <w:szCs w:val="21"/>
              </w:rPr>
              <w:t>储罐</w:t>
            </w:r>
            <w:r>
              <w:rPr>
                <w:rFonts w:ascii="Times New Roman" w:hAnsi="Times New Roman"/>
                <w:szCs w:val="21"/>
              </w:rPr>
              <w:t>2</w:t>
            </w:r>
            <w:r>
              <w:rPr>
                <w:rFonts w:ascii="Times New Roman" w:hAnsi="Times New Roman"/>
                <w:szCs w:val="21"/>
              </w:rPr>
              <w:t>座、</w:t>
            </w:r>
            <w:r>
              <w:rPr>
                <w:rFonts w:ascii="Times New Roman" w:hAnsi="Times New Roman"/>
                <w:kern w:val="0"/>
                <w:szCs w:val="21"/>
              </w:rPr>
              <w:t>尾油</w:t>
            </w:r>
            <w:r>
              <w:rPr>
                <w:rFonts w:ascii="Times New Roman" w:hAnsi="Times New Roman"/>
                <w:kern w:val="0"/>
                <w:szCs w:val="21"/>
              </w:rPr>
              <w:lastRenderedPageBreak/>
              <w:t>储存利旧</w:t>
            </w:r>
            <w:r>
              <w:rPr>
                <w:rFonts w:ascii="Times New Roman" w:hAnsi="Times New Roman"/>
                <w:kern w:val="0"/>
                <w:szCs w:val="21"/>
              </w:rPr>
              <w:t>3000m³</w:t>
            </w:r>
            <w:r>
              <w:rPr>
                <w:rFonts w:ascii="Times New Roman" w:hAnsi="Times New Roman"/>
                <w:szCs w:val="21"/>
              </w:rPr>
              <w:t>储罐</w:t>
            </w:r>
            <w:r>
              <w:rPr>
                <w:rFonts w:ascii="Times New Roman" w:hAnsi="Times New Roman"/>
                <w:szCs w:val="21"/>
              </w:rPr>
              <w:t>2</w:t>
            </w:r>
            <w:r>
              <w:rPr>
                <w:rFonts w:ascii="Times New Roman" w:hAnsi="Times New Roman"/>
                <w:szCs w:val="21"/>
              </w:rPr>
              <w:t>座、</w:t>
            </w:r>
            <w:r>
              <w:rPr>
                <w:rFonts w:ascii="Times New Roman" w:hAnsi="Times New Roman"/>
                <w:kern w:val="0"/>
                <w:szCs w:val="21"/>
              </w:rPr>
              <w:t>苯储存新建</w:t>
            </w:r>
            <w:r>
              <w:rPr>
                <w:rFonts w:ascii="Times New Roman" w:hAnsi="Times New Roman"/>
                <w:kern w:val="0"/>
                <w:szCs w:val="21"/>
              </w:rPr>
              <w:t>500m³</w:t>
            </w:r>
            <w:r>
              <w:rPr>
                <w:rFonts w:ascii="Times New Roman" w:hAnsi="Times New Roman"/>
                <w:szCs w:val="21"/>
              </w:rPr>
              <w:t>储罐</w:t>
            </w:r>
            <w:r>
              <w:rPr>
                <w:rFonts w:ascii="Times New Roman" w:hAnsi="Times New Roman"/>
                <w:szCs w:val="21"/>
              </w:rPr>
              <w:t>2</w:t>
            </w:r>
            <w:r>
              <w:rPr>
                <w:rFonts w:ascii="Times New Roman" w:hAnsi="Times New Roman"/>
                <w:szCs w:val="21"/>
              </w:rPr>
              <w:t>座、</w:t>
            </w:r>
            <w:r>
              <w:rPr>
                <w:rFonts w:ascii="Times New Roman" w:hAnsi="Times New Roman"/>
                <w:kern w:val="0"/>
                <w:szCs w:val="21"/>
              </w:rPr>
              <w:t>轻芳烃储存利旧</w:t>
            </w:r>
            <w:r>
              <w:rPr>
                <w:rFonts w:ascii="Times New Roman" w:hAnsi="Times New Roman"/>
                <w:kern w:val="0"/>
                <w:szCs w:val="21"/>
              </w:rPr>
              <w:t>2000m³</w:t>
            </w:r>
            <w:r>
              <w:rPr>
                <w:rFonts w:ascii="Times New Roman" w:hAnsi="Times New Roman"/>
                <w:szCs w:val="21"/>
              </w:rPr>
              <w:t>储罐</w:t>
            </w:r>
            <w:r>
              <w:rPr>
                <w:rFonts w:ascii="Times New Roman" w:hAnsi="Times New Roman"/>
                <w:szCs w:val="21"/>
              </w:rPr>
              <w:t>2</w:t>
            </w:r>
            <w:r>
              <w:rPr>
                <w:rFonts w:ascii="Times New Roman" w:hAnsi="Times New Roman"/>
                <w:szCs w:val="21"/>
              </w:rPr>
              <w:t>座、</w:t>
            </w:r>
            <w:r>
              <w:rPr>
                <w:rFonts w:ascii="Times New Roman" w:hAnsi="Times New Roman"/>
                <w:kern w:val="0"/>
                <w:szCs w:val="21"/>
              </w:rPr>
              <w:t>汽油和</w:t>
            </w:r>
            <w:r>
              <w:rPr>
                <w:rFonts w:ascii="Times New Roman" w:hAnsi="Times New Roman"/>
                <w:szCs w:val="21"/>
              </w:rPr>
              <w:t>TAME</w:t>
            </w:r>
            <w:r>
              <w:rPr>
                <w:rFonts w:ascii="Times New Roman" w:hAnsi="Times New Roman"/>
                <w:kern w:val="0"/>
                <w:szCs w:val="21"/>
              </w:rPr>
              <w:t>储存新建</w:t>
            </w:r>
            <w:r>
              <w:rPr>
                <w:rFonts w:ascii="Times New Roman" w:hAnsi="Times New Roman"/>
                <w:kern w:val="0"/>
                <w:szCs w:val="21"/>
              </w:rPr>
              <w:t>2000m³</w:t>
            </w:r>
            <w:r>
              <w:rPr>
                <w:rFonts w:ascii="Times New Roman" w:hAnsi="Times New Roman"/>
                <w:szCs w:val="21"/>
              </w:rPr>
              <w:t>储罐</w:t>
            </w:r>
            <w:r>
              <w:rPr>
                <w:rFonts w:ascii="Times New Roman" w:hAnsi="Times New Roman"/>
                <w:szCs w:val="21"/>
              </w:rPr>
              <w:t>4</w:t>
            </w:r>
            <w:r>
              <w:rPr>
                <w:rFonts w:ascii="Times New Roman" w:hAnsi="Times New Roman"/>
                <w:szCs w:val="21"/>
              </w:rPr>
              <w:t>座、中间产品石脑油</w:t>
            </w:r>
            <w:r>
              <w:rPr>
                <w:rFonts w:ascii="Times New Roman" w:hAnsi="Times New Roman"/>
                <w:kern w:val="0"/>
                <w:szCs w:val="21"/>
              </w:rPr>
              <w:t>储存新建</w:t>
            </w:r>
            <w:r>
              <w:rPr>
                <w:rFonts w:ascii="Times New Roman" w:hAnsi="Times New Roman"/>
                <w:kern w:val="0"/>
                <w:szCs w:val="21"/>
              </w:rPr>
              <w:t>2000m³</w:t>
            </w:r>
            <w:r>
              <w:rPr>
                <w:rFonts w:ascii="Times New Roman" w:hAnsi="Times New Roman"/>
                <w:szCs w:val="21"/>
              </w:rPr>
              <w:t>储罐</w:t>
            </w:r>
            <w:r>
              <w:rPr>
                <w:rFonts w:ascii="Times New Roman" w:hAnsi="Times New Roman"/>
                <w:szCs w:val="21"/>
              </w:rPr>
              <w:t>2</w:t>
            </w:r>
            <w:r>
              <w:rPr>
                <w:rFonts w:ascii="Times New Roman" w:hAnsi="Times New Roman"/>
                <w:szCs w:val="21"/>
              </w:rPr>
              <w:t>座、</w:t>
            </w:r>
            <w:r>
              <w:rPr>
                <w:rFonts w:ascii="Times New Roman" w:hAnsi="Times New Roman"/>
                <w:kern w:val="0"/>
                <w:szCs w:val="21"/>
              </w:rPr>
              <w:t>液化气储存利旧</w:t>
            </w:r>
            <w:r>
              <w:rPr>
                <w:rFonts w:ascii="Times New Roman" w:hAnsi="Times New Roman"/>
                <w:kern w:val="0"/>
                <w:szCs w:val="21"/>
              </w:rPr>
              <w:t>1000m³</w:t>
            </w:r>
            <w:r>
              <w:rPr>
                <w:rFonts w:ascii="Times New Roman" w:hAnsi="Times New Roman"/>
                <w:szCs w:val="21"/>
              </w:rPr>
              <w:t>储罐</w:t>
            </w:r>
            <w:r>
              <w:rPr>
                <w:rFonts w:ascii="Times New Roman" w:hAnsi="Times New Roman"/>
                <w:szCs w:val="21"/>
              </w:rPr>
              <w:t>2</w:t>
            </w:r>
            <w:r>
              <w:rPr>
                <w:rFonts w:ascii="Times New Roman" w:hAnsi="Times New Roman"/>
                <w:szCs w:val="21"/>
              </w:rPr>
              <w:t>座和新建</w:t>
            </w:r>
            <w:r>
              <w:rPr>
                <w:rFonts w:ascii="Times New Roman" w:hAnsi="Times New Roman"/>
                <w:kern w:val="0"/>
                <w:szCs w:val="21"/>
              </w:rPr>
              <w:t>2000m³</w:t>
            </w:r>
            <w:r>
              <w:rPr>
                <w:rFonts w:ascii="Times New Roman" w:hAnsi="Times New Roman"/>
                <w:szCs w:val="21"/>
              </w:rPr>
              <w:t>储罐</w:t>
            </w:r>
            <w:r>
              <w:rPr>
                <w:rFonts w:ascii="Times New Roman" w:hAnsi="Times New Roman"/>
                <w:szCs w:val="21"/>
              </w:rPr>
              <w:t>2</w:t>
            </w:r>
            <w:r>
              <w:rPr>
                <w:rFonts w:ascii="Times New Roman" w:hAnsi="Times New Roman"/>
                <w:szCs w:val="21"/>
              </w:rPr>
              <w:t>座、</w:t>
            </w:r>
            <w:r>
              <w:rPr>
                <w:rFonts w:ascii="Times New Roman" w:hAnsi="Times New Roman"/>
                <w:szCs w:val="21"/>
                <w:lang w:val="zh-CN"/>
              </w:rPr>
              <w:t>轻油品</w:t>
            </w:r>
            <w:r>
              <w:rPr>
                <w:rFonts w:ascii="Times New Roman" w:hAnsi="Times New Roman"/>
                <w:kern w:val="0"/>
                <w:szCs w:val="21"/>
              </w:rPr>
              <w:t>储存利旧</w:t>
            </w:r>
            <w:r>
              <w:rPr>
                <w:rFonts w:ascii="Times New Roman" w:hAnsi="Times New Roman"/>
                <w:szCs w:val="21"/>
              </w:rPr>
              <w:t>2000</w:t>
            </w:r>
            <w:r>
              <w:rPr>
                <w:rFonts w:ascii="Times New Roman" w:hAnsi="Times New Roman"/>
                <w:szCs w:val="21"/>
                <w:lang w:val="zh-CN"/>
              </w:rPr>
              <w:t>m</w:t>
            </w:r>
            <w:r>
              <w:rPr>
                <w:rFonts w:ascii="Times New Roman" w:hAnsi="Times New Roman"/>
                <w:szCs w:val="21"/>
                <w:vertAlign w:val="superscript"/>
                <w:lang w:val="zh-CN"/>
              </w:rPr>
              <w:t>3</w:t>
            </w:r>
            <w:r>
              <w:rPr>
                <w:rFonts w:ascii="Times New Roman" w:hAnsi="Times New Roman"/>
                <w:szCs w:val="21"/>
              </w:rPr>
              <w:t>储罐</w:t>
            </w:r>
            <w:r>
              <w:rPr>
                <w:rFonts w:ascii="Times New Roman" w:hAnsi="Times New Roman"/>
                <w:szCs w:val="21"/>
              </w:rPr>
              <w:t>1</w:t>
            </w:r>
            <w:r>
              <w:rPr>
                <w:rFonts w:ascii="Times New Roman" w:hAnsi="Times New Roman"/>
                <w:szCs w:val="21"/>
              </w:rPr>
              <w:t>座、甲醇</w:t>
            </w:r>
            <w:r>
              <w:rPr>
                <w:rFonts w:ascii="Times New Roman" w:hAnsi="Times New Roman"/>
                <w:kern w:val="0"/>
                <w:szCs w:val="21"/>
              </w:rPr>
              <w:t>储存新建</w:t>
            </w:r>
            <w:r>
              <w:rPr>
                <w:rFonts w:ascii="Times New Roman" w:hAnsi="Times New Roman"/>
                <w:kern w:val="0"/>
                <w:szCs w:val="21"/>
              </w:rPr>
              <w:t>200m³</w:t>
            </w:r>
            <w:r>
              <w:rPr>
                <w:rFonts w:ascii="Times New Roman" w:hAnsi="Times New Roman"/>
                <w:szCs w:val="21"/>
              </w:rPr>
              <w:t>储罐</w:t>
            </w:r>
            <w:r>
              <w:rPr>
                <w:rFonts w:ascii="Times New Roman" w:hAnsi="Times New Roman"/>
                <w:szCs w:val="21"/>
              </w:rPr>
              <w:t>2</w:t>
            </w:r>
            <w:r>
              <w:rPr>
                <w:rFonts w:ascii="Times New Roman" w:hAnsi="Times New Roman"/>
                <w:szCs w:val="21"/>
              </w:rPr>
              <w:t>座。</w:t>
            </w:r>
          </w:p>
        </w:tc>
        <w:tc>
          <w:tcPr>
            <w:tcW w:w="6239" w:type="dxa"/>
            <w:vAlign w:val="center"/>
          </w:tcPr>
          <w:p w:rsidR="00525419" w:rsidRDefault="00EE1CF7">
            <w:pPr>
              <w:jc w:val="center"/>
              <w:rPr>
                <w:rFonts w:ascii="Times New Roman" w:hAnsi="Times New Roman"/>
                <w:szCs w:val="21"/>
              </w:rPr>
            </w:pPr>
            <w:r>
              <w:rPr>
                <w:rFonts w:ascii="Times New Roman" w:hAnsi="Times New Roman"/>
                <w:szCs w:val="21"/>
                <w:lang w:val="zh-CN"/>
              </w:rPr>
              <w:lastRenderedPageBreak/>
              <w:t>（全部利旧）煤焦油储存利旧</w:t>
            </w:r>
            <w:r>
              <w:rPr>
                <w:rFonts w:ascii="Times New Roman" w:hAnsi="Times New Roman"/>
                <w:szCs w:val="21"/>
                <w:lang w:val="zh-CN"/>
              </w:rPr>
              <w:t>3</w:t>
            </w:r>
            <w:r>
              <w:rPr>
                <w:rFonts w:ascii="Times New Roman" w:hAnsi="Times New Roman"/>
                <w:szCs w:val="21"/>
                <w:lang w:val="zh-CN"/>
              </w:rPr>
              <w:t>座</w:t>
            </w:r>
            <w:r>
              <w:rPr>
                <w:rFonts w:ascii="Times New Roman" w:hAnsi="Times New Roman"/>
                <w:szCs w:val="21"/>
                <w:lang w:val="zh-CN"/>
              </w:rPr>
              <w:t>10000m</w:t>
            </w:r>
            <w:r>
              <w:rPr>
                <w:rFonts w:ascii="Times New Roman" w:hAnsi="Times New Roman"/>
                <w:szCs w:val="21"/>
                <w:vertAlign w:val="superscript"/>
                <w:lang w:val="zh-CN"/>
              </w:rPr>
              <w:t>3</w:t>
            </w:r>
            <w:r>
              <w:rPr>
                <w:rFonts w:ascii="Times New Roman" w:hAnsi="Times New Roman"/>
                <w:szCs w:val="21"/>
                <w:lang w:val="zh-CN"/>
              </w:rPr>
              <w:t>储罐，精制尾油储存利旧</w:t>
            </w:r>
            <w:r>
              <w:rPr>
                <w:rFonts w:ascii="Times New Roman" w:hAnsi="Times New Roman"/>
                <w:szCs w:val="21"/>
                <w:lang w:val="zh-CN"/>
              </w:rPr>
              <w:t>1</w:t>
            </w:r>
            <w:r>
              <w:rPr>
                <w:rFonts w:ascii="Times New Roman" w:hAnsi="Times New Roman"/>
                <w:szCs w:val="21"/>
                <w:lang w:val="zh-CN"/>
              </w:rPr>
              <w:t>座</w:t>
            </w:r>
            <w:r>
              <w:rPr>
                <w:rFonts w:ascii="Times New Roman" w:hAnsi="Times New Roman"/>
                <w:szCs w:val="21"/>
                <w:lang w:val="zh-CN"/>
              </w:rPr>
              <w:t>2000m</w:t>
            </w:r>
            <w:r>
              <w:rPr>
                <w:rFonts w:ascii="Times New Roman" w:hAnsi="Times New Roman"/>
                <w:szCs w:val="21"/>
                <w:vertAlign w:val="superscript"/>
                <w:lang w:val="zh-CN"/>
              </w:rPr>
              <w:t>3</w:t>
            </w:r>
            <w:r>
              <w:rPr>
                <w:rFonts w:ascii="Times New Roman" w:hAnsi="Times New Roman"/>
                <w:szCs w:val="21"/>
                <w:lang w:val="zh-CN"/>
              </w:rPr>
              <w:t>储罐，精制柴油储存利旧</w:t>
            </w:r>
            <w:r>
              <w:rPr>
                <w:rFonts w:ascii="Times New Roman" w:hAnsi="Times New Roman"/>
                <w:szCs w:val="21"/>
                <w:lang w:val="zh-CN"/>
              </w:rPr>
              <w:t>3</w:t>
            </w:r>
            <w:r>
              <w:rPr>
                <w:rFonts w:ascii="Times New Roman" w:hAnsi="Times New Roman"/>
                <w:szCs w:val="21"/>
                <w:lang w:val="zh-CN"/>
              </w:rPr>
              <w:t>座</w:t>
            </w:r>
            <w:r>
              <w:rPr>
                <w:rFonts w:ascii="Times New Roman" w:hAnsi="Times New Roman"/>
                <w:szCs w:val="21"/>
                <w:lang w:val="zh-CN"/>
              </w:rPr>
              <w:t>5000m</w:t>
            </w:r>
            <w:r>
              <w:rPr>
                <w:rFonts w:ascii="Times New Roman" w:hAnsi="Times New Roman"/>
                <w:szCs w:val="21"/>
                <w:vertAlign w:val="superscript"/>
                <w:lang w:val="zh-CN"/>
              </w:rPr>
              <w:t>3</w:t>
            </w:r>
            <w:r>
              <w:rPr>
                <w:rFonts w:ascii="Times New Roman" w:hAnsi="Times New Roman"/>
                <w:szCs w:val="21"/>
                <w:lang w:val="zh-CN"/>
              </w:rPr>
              <w:t>储罐，石脑油</w:t>
            </w:r>
            <w:r>
              <w:rPr>
                <w:rFonts w:ascii="Times New Roman" w:hAnsi="Times New Roman"/>
                <w:szCs w:val="21"/>
                <w:lang w:val="zh-CN"/>
              </w:rPr>
              <w:lastRenderedPageBreak/>
              <w:t>储存利旧</w:t>
            </w:r>
            <w:r>
              <w:rPr>
                <w:rFonts w:ascii="Times New Roman" w:hAnsi="Times New Roman"/>
                <w:szCs w:val="21"/>
                <w:lang w:val="zh-CN"/>
              </w:rPr>
              <w:t>1</w:t>
            </w:r>
            <w:r>
              <w:rPr>
                <w:rFonts w:ascii="Times New Roman" w:hAnsi="Times New Roman"/>
                <w:szCs w:val="21"/>
                <w:lang w:val="zh-CN"/>
              </w:rPr>
              <w:t>座</w:t>
            </w:r>
            <w:r>
              <w:rPr>
                <w:rFonts w:ascii="Times New Roman" w:hAnsi="Times New Roman"/>
                <w:szCs w:val="21"/>
                <w:lang w:val="zh-CN"/>
              </w:rPr>
              <w:t>5000m</w:t>
            </w:r>
            <w:r>
              <w:rPr>
                <w:rFonts w:ascii="Times New Roman" w:hAnsi="Times New Roman"/>
                <w:szCs w:val="21"/>
                <w:vertAlign w:val="superscript"/>
                <w:lang w:val="zh-CN"/>
              </w:rPr>
              <w:t>3</w:t>
            </w:r>
            <w:r>
              <w:rPr>
                <w:rFonts w:ascii="Times New Roman" w:hAnsi="Times New Roman"/>
                <w:szCs w:val="21"/>
                <w:lang w:val="zh-CN"/>
              </w:rPr>
              <w:t>储罐，液化石油气储存利旧</w:t>
            </w:r>
            <w:r>
              <w:rPr>
                <w:rFonts w:ascii="Times New Roman" w:hAnsi="Times New Roman"/>
                <w:szCs w:val="21"/>
                <w:lang w:val="zh-CN"/>
              </w:rPr>
              <w:t>4</w:t>
            </w:r>
            <w:r>
              <w:rPr>
                <w:rFonts w:ascii="Times New Roman" w:hAnsi="Times New Roman"/>
                <w:szCs w:val="21"/>
                <w:lang w:val="zh-CN"/>
              </w:rPr>
              <w:t>座</w:t>
            </w:r>
            <w:r>
              <w:rPr>
                <w:rFonts w:ascii="Times New Roman" w:hAnsi="Times New Roman"/>
                <w:szCs w:val="21"/>
                <w:lang w:val="zh-CN"/>
              </w:rPr>
              <w:t>1000m</w:t>
            </w:r>
            <w:r>
              <w:rPr>
                <w:rFonts w:ascii="Times New Roman" w:hAnsi="Times New Roman"/>
                <w:szCs w:val="21"/>
                <w:vertAlign w:val="superscript"/>
                <w:lang w:val="zh-CN"/>
              </w:rPr>
              <w:t>3</w:t>
            </w:r>
            <w:r>
              <w:rPr>
                <w:rFonts w:ascii="Times New Roman" w:hAnsi="Times New Roman"/>
                <w:szCs w:val="21"/>
                <w:lang w:val="zh-CN"/>
              </w:rPr>
              <w:t>储罐，尾油储存利旧</w:t>
            </w:r>
            <w:r>
              <w:rPr>
                <w:rFonts w:ascii="Times New Roman" w:hAnsi="Times New Roman"/>
                <w:szCs w:val="21"/>
                <w:lang w:val="zh-CN"/>
              </w:rPr>
              <w:t>2</w:t>
            </w:r>
            <w:r>
              <w:rPr>
                <w:rFonts w:ascii="Times New Roman" w:hAnsi="Times New Roman"/>
                <w:szCs w:val="21"/>
                <w:lang w:val="zh-CN"/>
              </w:rPr>
              <w:t>座</w:t>
            </w:r>
            <w:r>
              <w:rPr>
                <w:rFonts w:ascii="Times New Roman" w:hAnsi="Times New Roman"/>
                <w:szCs w:val="21"/>
                <w:lang w:val="zh-CN"/>
              </w:rPr>
              <w:t>10000m</w:t>
            </w:r>
            <w:r>
              <w:rPr>
                <w:rFonts w:ascii="Times New Roman" w:hAnsi="Times New Roman"/>
                <w:szCs w:val="21"/>
                <w:vertAlign w:val="superscript"/>
                <w:lang w:val="zh-CN"/>
              </w:rPr>
              <w:t>3</w:t>
            </w:r>
            <w:r>
              <w:rPr>
                <w:rFonts w:ascii="Times New Roman" w:hAnsi="Times New Roman"/>
                <w:szCs w:val="21"/>
                <w:lang w:val="zh-CN"/>
              </w:rPr>
              <w:t>尾油中间罐。</w:t>
            </w:r>
          </w:p>
        </w:tc>
      </w:tr>
      <w:tr w:rsidR="00525419">
        <w:tc>
          <w:tcPr>
            <w:tcW w:w="1298" w:type="dxa"/>
            <w:vMerge/>
            <w:vAlign w:val="center"/>
          </w:tcPr>
          <w:p w:rsidR="00525419" w:rsidRDefault="00525419">
            <w:pPr>
              <w:jc w:val="center"/>
              <w:rPr>
                <w:rFonts w:ascii="Times New Roman" w:hAnsi="Times New Roman"/>
                <w:szCs w:val="21"/>
              </w:rPr>
            </w:pPr>
          </w:p>
        </w:tc>
        <w:tc>
          <w:tcPr>
            <w:tcW w:w="2061" w:type="dxa"/>
            <w:gridSpan w:val="2"/>
            <w:vAlign w:val="center"/>
          </w:tcPr>
          <w:p w:rsidR="00525419" w:rsidRDefault="00EE1CF7">
            <w:pPr>
              <w:jc w:val="center"/>
              <w:rPr>
                <w:rFonts w:ascii="Times New Roman" w:hAnsi="Times New Roman"/>
                <w:szCs w:val="21"/>
              </w:rPr>
            </w:pPr>
            <w:r>
              <w:rPr>
                <w:rFonts w:ascii="Times New Roman" w:hAnsi="Times New Roman"/>
                <w:szCs w:val="21"/>
              </w:rPr>
              <w:t>废料堆放区</w:t>
            </w:r>
          </w:p>
        </w:tc>
        <w:tc>
          <w:tcPr>
            <w:tcW w:w="4573" w:type="dxa"/>
            <w:vAlign w:val="center"/>
          </w:tcPr>
          <w:p w:rsidR="00525419" w:rsidRDefault="00EE1CF7">
            <w:pPr>
              <w:jc w:val="center"/>
              <w:rPr>
                <w:rFonts w:ascii="Times New Roman" w:hAnsi="Times New Roman"/>
                <w:szCs w:val="21"/>
                <w:lang w:val="zh-CN"/>
              </w:rPr>
            </w:pPr>
            <w:r>
              <w:rPr>
                <w:rFonts w:ascii="Times New Roman" w:hAnsi="Times New Roman"/>
                <w:szCs w:val="21"/>
              </w:rPr>
              <w:t>包括一般固废堆放场和危险固废暂储间，依托现厂区</w:t>
            </w:r>
          </w:p>
        </w:tc>
        <w:tc>
          <w:tcPr>
            <w:tcW w:w="6239" w:type="dxa"/>
            <w:vAlign w:val="center"/>
          </w:tcPr>
          <w:p w:rsidR="00525419" w:rsidRDefault="00EE1CF7">
            <w:pPr>
              <w:jc w:val="center"/>
              <w:rPr>
                <w:rFonts w:ascii="Times New Roman" w:hAnsi="Times New Roman"/>
                <w:szCs w:val="21"/>
                <w:lang w:val="zh-CN"/>
              </w:rPr>
            </w:pPr>
            <w:r>
              <w:rPr>
                <w:rFonts w:ascii="Times New Roman" w:hAnsi="Times New Roman"/>
                <w:szCs w:val="21"/>
                <w:lang w:val="zh-CN"/>
              </w:rPr>
              <w:t>不变</w:t>
            </w:r>
          </w:p>
        </w:tc>
      </w:tr>
      <w:tr w:rsidR="00525419">
        <w:tc>
          <w:tcPr>
            <w:tcW w:w="1298" w:type="dxa"/>
            <w:vMerge/>
            <w:vAlign w:val="center"/>
          </w:tcPr>
          <w:p w:rsidR="00525419" w:rsidRDefault="00525419">
            <w:pPr>
              <w:jc w:val="center"/>
              <w:rPr>
                <w:rFonts w:ascii="Times New Roman" w:hAnsi="Times New Roman"/>
                <w:szCs w:val="21"/>
              </w:rPr>
            </w:pPr>
          </w:p>
        </w:tc>
        <w:tc>
          <w:tcPr>
            <w:tcW w:w="2061" w:type="dxa"/>
            <w:gridSpan w:val="2"/>
            <w:vAlign w:val="center"/>
          </w:tcPr>
          <w:p w:rsidR="00525419" w:rsidRDefault="00EE1CF7">
            <w:pPr>
              <w:jc w:val="center"/>
              <w:rPr>
                <w:rFonts w:ascii="Times New Roman" w:hAnsi="Times New Roman"/>
                <w:szCs w:val="21"/>
              </w:rPr>
            </w:pPr>
            <w:r>
              <w:rPr>
                <w:rFonts w:ascii="Times New Roman" w:hAnsi="Times New Roman"/>
                <w:szCs w:val="21"/>
              </w:rPr>
              <w:t>运输工程</w:t>
            </w:r>
          </w:p>
        </w:tc>
        <w:tc>
          <w:tcPr>
            <w:tcW w:w="4573" w:type="dxa"/>
            <w:vAlign w:val="center"/>
          </w:tcPr>
          <w:p w:rsidR="00525419" w:rsidRDefault="00EE1CF7">
            <w:pPr>
              <w:jc w:val="center"/>
              <w:rPr>
                <w:rFonts w:ascii="Times New Roman" w:hAnsi="Times New Roman"/>
                <w:szCs w:val="21"/>
              </w:rPr>
            </w:pPr>
            <w:r>
              <w:rPr>
                <w:rFonts w:ascii="Times New Roman" w:hAnsi="Times New Roman"/>
                <w:szCs w:val="21"/>
              </w:rPr>
              <w:t>原料由供应商负责供应运入厂，出厂产品由专业公司运输。</w:t>
            </w:r>
            <w:r>
              <w:rPr>
                <w:rFonts w:ascii="Times New Roman" w:hAnsi="Times New Roman"/>
                <w:szCs w:val="21"/>
              </w:rPr>
              <w:t xml:space="preserve"> </w:t>
            </w:r>
            <w:r>
              <w:rPr>
                <w:rFonts w:ascii="Times New Roman" w:hAnsi="Times New Roman"/>
                <w:szCs w:val="21"/>
              </w:rPr>
              <w:t>厂内罐区物料由管道输送，其它由推车和叉车运输。</w:t>
            </w:r>
          </w:p>
        </w:tc>
        <w:tc>
          <w:tcPr>
            <w:tcW w:w="6239" w:type="dxa"/>
            <w:vAlign w:val="center"/>
          </w:tcPr>
          <w:p w:rsidR="00525419" w:rsidRDefault="00EE1CF7">
            <w:pPr>
              <w:jc w:val="center"/>
              <w:rPr>
                <w:rFonts w:ascii="Times New Roman" w:hAnsi="Times New Roman"/>
                <w:szCs w:val="21"/>
                <w:lang w:val="zh-CN"/>
              </w:rPr>
            </w:pPr>
            <w:r>
              <w:rPr>
                <w:rFonts w:ascii="Times New Roman" w:hAnsi="Times New Roman"/>
                <w:szCs w:val="21"/>
                <w:lang w:val="zh-CN"/>
              </w:rPr>
              <w:t>不变</w:t>
            </w:r>
          </w:p>
        </w:tc>
      </w:tr>
      <w:tr w:rsidR="00525419">
        <w:tc>
          <w:tcPr>
            <w:tcW w:w="1298" w:type="dxa"/>
            <w:vMerge w:val="restart"/>
            <w:vAlign w:val="center"/>
          </w:tcPr>
          <w:p w:rsidR="00525419" w:rsidRDefault="00525419">
            <w:pPr>
              <w:jc w:val="center"/>
              <w:rPr>
                <w:rFonts w:ascii="Times New Roman" w:hAnsi="Times New Roman"/>
                <w:szCs w:val="21"/>
              </w:rPr>
            </w:pPr>
          </w:p>
          <w:p w:rsidR="00525419" w:rsidRDefault="00525419">
            <w:pPr>
              <w:jc w:val="center"/>
              <w:rPr>
                <w:rFonts w:ascii="Times New Roman" w:hAnsi="Times New Roman"/>
                <w:szCs w:val="21"/>
              </w:rPr>
            </w:pPr>
          </w:p>
          <w:p w:rsidR="00525419" w:rsidRDefault="00525419">
            <w:pPr>
              <w:jc w:val="center"/>
              <w:rPr>
                <w:rFonts w:ascii="Times New Roman" w:hAnsi="Times New Roman"/>
                <w:szCs w:val="21"/>
              </w:rPr>
            </w:pPr>
          </w:p>
          <w:p w:rsidR="00525419" w:rsidRDefault="00525419">
            <w:pPr>
              <w:jc w:val="center"/>
              <w:rPr>
                <w:rFonts w:ascii="Times New Roman" w:hAnsi="Times New Roman"/>
                <w:szCs w:val="21"/>
              </w:rPr>
            </w:pPr>
          </w:p>
          <w:p w:rsidR="00525419" w:rsidRDefault="00EE1CF7">
            <w:pPr>
              <w:jc w:val="center"/>
              <w:rPr>
                <w:rFonts w:ascii="Times New Roman" w:hAnsi="Times New Roman"/>
                <w:szCs w:val="21"/>
              </w:rPr>
            </w:pPr>
            <w:r>
              <w:rPr>
                <w:rFonts w:ascii="Times New Roman" w:hAnsi="Times New Roman"/>
                <w:szCs w:val="21"/>
              </w:rPr>
              <w:t>环保工程</w:t>
            </w:r>
          </w:p>
        </w:tc>
        <w:tc>
          <w:tcPr>
            <w:tcW w:w="2061" w:type="dxa"/>
            <w:gridSpan w:val="2"/>
            <w:vAlign w:val="center"/>
          </w:tcPr>
          <w:p w:rsidR="00525419" w:rsidRDefault="00EE1CF7">
            <w:pPr>
              <w:jc w:val="center"/>
              <w:rPr>
                <w:rFonts w:ascii="Times New Roman" w:hAnsi="Times New Roman"/>
                <w:szCs w:val="21"/>
              </w:rPr>
            </w:pPr>
            <w:r>
              <w:rPr>
                <w:rFonts w:ascii="Times New Roman" w:hAnsi="Times New Roman"/>
                <w:szCs w:val="21"/>
              </w:rPr>
              <w:t>污水处理</w:t>
            </w:r>
          </w:p>
        </w:tc>
        <w:tc>
          <w:tcPr>
            <w:tcW w:w="4573" w:type="dxa"/>
            <w:vAlign w:val="center"/>
          </w:tcPr>
          <w:p w:rsidR="00525419" w:rsidRDefault="00EE1CF7">
            <w:pPr>
              <w:jc w:val="center"/>
              <w:rPr>
                <w:rFonts w:ascii="Times New Roman" w:hAnsi="Times New Roman"/>
                <w:szCs w:val="21"/>
              </w:rPr>
            </w:pPr>
            <w:r>
              <w:rPr>
                <w:rFonts w:ascii="Times New Roman" w:hAnsi="Times New Roman"/>
                <w:szCs w:val="21"/>
              </w:rPr>
              <w:t>扩建现厂区污水站（总处理能力达到</w:t>
            </w:r>
            <w:r>
              <w:rPr>
                <w:rFonts w:ascii="Times New Roman" w:hAnsi="Times New Roman"/>
                <w:szCs w:val="21"/>
              </w:rPr>
              <w:t>160m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）预处理单元、新建</w:t>
            </w:r>
            <w:r>
              <w:rPr>
                <w:rFonts w:ascii="Times New Roman" w:hAnsi="Times New Roman"/>
                <w:szCs w:val="21"/>
              </w:rPr>
              <w:t>55t/h</w:t>
            </w:r>
            <w:r>
              <w:rPr>
                <w:rFonts w:ascii="Times New Roman" w:hAnsi="Times New Roman"/>
                <w:szCs w:val="21"/>
              </w:rPr>
              <w:t>酸性水汽提装置。</w:t>
            </w:r>
          </w:p>
        </w:tc>
        <w:tc>
          <w:tcPr>
            <w:tcW w:w="6239" w:type="dxa"/>
            <w:vAlign w:val="center"/>
          </w:tcPr>
          <w:p w:rsidR="00525419" w:rsidRDefault="00EE1CF7">
            <w:pPr>
              <w:jc w:val="center"/>
              <w:rPr>
                <w:rFonts w:ascii="Times New Roman" w:hAnsi="Times New Roman"/>
                <w:szCs w:val="21"/>
              </w:rPr>
            </w:pPr>
            <w:r>
              <w:rPr>
                <w:rFonts w:ascii="Times New Roman" w:hAnsi="Times New Roman"/>
                <w:szCs w:val="21"/>
              </w:rPr>
              <w:t>本次扩建内容为</w:t>
            </w:r>
            <w:r>
              <w:rPr>
                <w:rFonts w:ascii="Times New Roman" w:hAnsi="Times New Roman"/>
              </w:rPr>
              <w:t>扩大</w:t>
            </w:r>
            <w:r>
              <w:rPr>
                <w:rFonts w:ascii="Times New Roman" w:hAnsi="Times New Roman"/>
                <w:shd w:val="clear" w:color="auto" w:fill="FFFFFF"/>
              </w:rPr>
              <w:t>溶剂气浮和涡凹气浮的容量、</w:t>
            </w:r>
            <w:r>
              <w:rPr>
                <w:rFonts w:ascii="Times New Roman" w:hAnsi="Times New Roman"/>
                <w:szCs w:val="21"/>
              </w:rPr>
              <w:t>新建</w:t>
            </w:r>
            <w:r>
              <w:rPr>
                <w:rFonts w:ascii="Times New Roman" w:hAnsi="Times New Roman"/>
                <w:szCs w:val="21"/>
              </w:rPr>
              <w:t>55t/h</w:t>
            </w:r>
            <w:r>
              <w:rPr>
                <w:rFonts w:ascii="Times New Roman" w:hAnsi="Times New Roman"/>
                <w:szCs w:val="21"/>
              </w:rPr>
              <w:t>酸性水汽提装置。</w:t>
            </w:r>
          </w:p>
        </w:tc>
      </w:tr>
      <w:tr w:rsidR="00525419">
        <w:tc>
          <w:tcPr>
            <w:tcW w:w="1298" w:type="dxa"/>
            <w:vMerge/>
            <w:vAlign w:val="center"/>
          </w:tcPr>
          <w:p w:rsidR="00525419" w:rsidRDefault="00525419">
            <w:pPr>
              <w:jc w:val="center"/>
              <w:rPr>
                <w:rFonts w:ascii="Times New Roman" w:hAnsi="Times New Roman"/>
                <w:szCs w:val="21"/>
              </w:rPr>
            </w:pPr>
          </w:p>
        </w:tc>
        <w:tc>
          <w:tcPr>
            <w:tcW w:w="2061" w:type="dxa"/>
            <w:gridSpan w:val="2"/>
            <w:vAlign w:val="center"/>
          </w:tcPr>
          <w:p w:rsidR="00525419" w:rsidRDefault="00EE1CF7">
            <w:pPr>
              <w:jc w:val="center"/>
              <w:rPr>
                <w:rFonts w:ascii="Times New Roman" w:hAnsi="Times New Roman"/>
                <w:szCs w:val="21"/>
              </w:rPr>
            </w:pPr>
            <w:r>
              <w:rPr>
                <w:rFonts w:ascii="Times New Roman" w:hAnsi="Times New Roman"/>
                <w:szCs w:val="21"/>
              </w:rPr>
              <w:t>火炬装置</w:t>
            </w:r>
          </w:p>
        </w:tc>
        <w:tc>
          <w:tcPr>
            <w:tcW w:w="4573" w:type="dxa"/>
            <w:vAlign w:val="center"/>
          </w:tcPr>
          <w:p w:rsidR="00525419" w:rsidRDefault="00EE1CF7">
            <w:pPr>
              <w:jc w:val="center"/>
              <w:rPr>
                <w:rFonts w:ascii="Times New Roman" w:hAnsi="Times New Roman"/>
                <w:szCs w:val="21"/>
              </w:rPr>
            </w:pPr>
            <w:r>
              <w:rPr>
                <w:rFonts w:ascii="Times New Roman" w:hAnsi="Times New Roman"/>
                <w:szCs w:val="21"/>
              </w:rPr>
              <w:t>新建设火炬</w:t>
            </w:r>
            <w:r>
              <w:rPr>
                <w:rFonts w:ascii="Times New Roman" w:hAnsi="Times New Roman"/>
                <w:szCs w:val="21"/>
              </w:rPr>
              <w:t>1</w:t>
            </w:r>
            <w:r>
              <w:rPr>
                <w:rFonts w:ascii="Times New Roman" w:hAnsi="Times New Roman"/>
                <w:szCs w:val="21"/>
              </w:rPr>
              <w:t>座，火炬总高为</w:t>
            </w:r>
            <w:r>
              <w:rPr>
                <w:rFonts w:ascii="Times New Roman" w:hAnsi="Times New Roman"/>
                <w:szCs w:val="21"/>
              </w:rPr>
              <w:t>110m</w:t>
            </w:r>
            <w:r>
              <w:rPr>
                <w:rFonts w:ascii="Times New Roman" w:hAnsi="Times New Roman"/>
                <w:szCs w:val="21"/>
              </w:rPr>
              <w:t>。</w:t>
            </w:r>
          </w:p>
        </w:tc>
        <w:tc>
          <w:tcPr>
            <w:tcW w:w="6239" w:type="dxa"/>
            <w:vAlign w:val="center"/>
          </w:tcPr>
          <w:p w:rsidR="00525419" w:rsidRDefault="00EE1CF7">
            <w:pPr>
              <w:jc w:val="center"/>
              <w:rPr>
                <w:rFonts w:ascii="Times New Roman" w:hAnsi="Times New Roman"/>
                <w:szCs w:val="21"/>
              </w:rPr>
            </w:pPr>
            <w:r>
              <w:rPr>
                <w:rFonts w:ascii="Times New Roman" w:hAnsi="Times New Roman"/>
                <w:szCs w:val="21"/>
              </w:rPr>
              <w:t>不变</w:t>
            </w:r>
          </w:p>
        </w:tc>
      </w:tr>
      <w:tr w:rsidR="00525419">
        <w:tc>
          <w:tcPr>
            <w:tcW w:w="1298" w:type="dxa"/>
            <w:vMerge/>
            <w:vAlign w:val="center"/>
          </w:tcPr>
          <w:p w:rsidR="00525419" w:rsidRDefault="00525419">
            <w:pPr>
              <w:jc w:val="center"/>
              <w:rPr>
                <w:rFonts w:ascii="Times New Roman" w:hAnsi="Times New Roman"/>
                <w:szCs w:val="21"/>
              </w:rPr>
            </w:pPr>
          </w:p>
        </w:tc>
        <w:tc>
          <w:tcPr>
            <w:tcW w:w="2061" w:type="dxa"/>
            <w:gridSpan w:val="2"/>
            <w:vAlign w:val="center"/>
          </w:tcPr>
          <w:p w:rsidR="00525419" w:rsidRDefault="00EE1CF7">
            <w:pPr>
              <w:jc w:val="center"/>
              <w:rPr>
                <w:rFonts w:ascii="Times New Roman" w:hAnsi="Times New Roman"/>
                <w:szCs w:val="21"/>
              </w:rPr>
            </w:pPr>
            <w:r>
              <w:rPr>
                <w:rFonts w:ascii="Times New Roman" w:hAnsi="Times New Roman"/>
                <w:szCs w:val="21"/>
              </w:rPr>
              <w:t>噪声处理</w:t>
            </w:r>
          </w:p>
        </w:tc>
        <w:tc>
          <w:tcPr>
            <w:tcW w:w="4573" w:type="dxa"/>
            <w:vAlign w:val="center"/>
          </w:tcPr>
          <w:p w:rsidR="00525419" w:rsidRDefault="00EE1CF7">
            <w:pPr>
              <w:jc w:val="center"/>
              <w:rPr>
                <w:rFonts w:ascii="Times New Roman" w:hAnsi="Times New Roman"/>
                <w:szCs w:val="21"/>
              </w:rPr>
            </w:pPr>
            <w:r>
              <w:rPr>
                <w:rFonts w:ascii="Times New Roman" w:hAnsi="Times New Roman"/>
                <w:szCs w:val="21"/>
              </w:rPr>
              <w:t>采用低噪声设备、减振、隔声、柔性连接、消音罩等。</w:t>
            </w:r>
          </w:p>
        </w:tc>
        <w:tc>
          <w:tcPr>
            <w:tcW w:w="6239" w:type="dxa"/>
            <w:vAlign w:val="center"/>
          </w:tcPr>
          <w:p w:rsidR="00525419" w:rsidRDefault="00EE1CF7">
            <w:pPr>
              <w:jc w:val="center"/>
              <w:rPr>
                <w:rFonts w:ascii="Times New Roman" w:hAnsi="Times New Roman"/>
                <w:szCs w:val="21"/>
              </w:rPr>
            </w:pPr>
            <w:r>
              <w:rPr>
                <w:rFonts w:ascii="Times New Roman" w:hAnsi="Times New Roman"/>
                <w:szCs w:val="21"/>
              </w:rPr>
              <w:t>不变</w:t>
            </w:r>
          </w:p>
        </w:tc>
      </w:tr>
      <w:tr w:rsidR="00525419">
        <w:tc>
          <w:tcPr>
            <w:tcW w:w="1298" w:type="dxa"/>
            <w:vMerge/>
            <w:vAlign w:val="center"/>
          </w:tcPr>
          <w:p w:rsidR="00525419" w:rsidRDefault="00525419">
            <w:pPr>
              <w:jc w:val="center"/>
              <w:rPr>
                <w:rFonts w:ascii="Times New Roman" w:hAnsi="Times New Roman"/>
                <w:szCs w:val="21"/>
              </w:rPr>
            </w:pPr>
          </w:p>
        </w:tc>
        <w:tc>
          <w:tcPr>
            <w:tcW w:w="2061" w:type="dxa"/>
            <w:gridSpan w:val="2"/>
            <w:vAlign w:val="center"/>
          </w:tcPr>
          <w:p w:rsidR="00525419" w:rsidRDefault="00EE1CF7">
            <w:pPr>
              <w:jc w:val="center"/>
              <w:rPr>
                <w:rFonts w:ascii="Times New Roman" w:hAnsi="Times New Roman"/>
                <w:szCs w:val="21"/>
              </w:rPr>
            </w:pPr>
            <w:r>
              <w:rPr>
                <w:rFonts w:ascii="Times New Roman" w:hAnsi="Times New Roman"/>
                <w:szCs w:val="21"/>
              </w:rPr>
              <w:t>固体废物治理</w:t>
            </w:r>
          </w:p>
        </w:tc>
        <w:tc>
          <w:tcPr>
            <w:tcW w:w="4573" w:type="dxa"/>
            <w:vAlign w:val="center"/>
          </w:tcPr>
          <w:p w:rsidR="00525419" w:rsidRDefault="00EE1CF7">
            <w:pPr>
              <w:jc w:val="center"/>
              <w:rPr>
                <w:rFonts w:ascii="Times New Roman" w:hAnsi="Times New Roman"/>
                <w:szCs w:val="21"/>
              </w:rPr>
            </w:pPr>
            <w:r>
              <w:rPr>
                <w:rFonts w:ascii="Times New Roman" w:hAnsi="Times New Roman"/>
                <w:szCs w:val="21"/>
              </w:rPr>
              <w:t>危险固废委托有资质单位处理或催化剂厂回收，一般固废充分利用和安全处理处置。</w:t>
            </w:r>
          </w:p>
        </w:tc>
        <w:tc>
          <w:tcPr>
            <w:tcW w:w="6239" w:type="dxa"/>
            <w:vAlign w:val="center"/>
          </w:tcPr>
          <w:p w:rsidR="00525419" w:rsidRDefault="00EE1CF7">
            <w:pPr>
              <w:jc w:val="center"/>
              <w:rPr>
                <w:rFonts w:ascii="Times New Roman" w:hAnsi="Times New Roman"/>
                <w:szCs w:val="21"/>
              </w:rPr>
            </w:pPr>
            <w:r>
              <w:rPr>
                <w:rFonts w:ascii="Times New Roman" w:hAnsi="Times New Roman"/>
                <w:szCs w:val="21"/>
              </w:rPr>
              <w:t>不变</w:t>
            </w:r>
          </w:p>
        </w:tc>
      </w:tr>
      <w:tr w:rsidR="00525419">
        <w:tc>
          <w:tcPr>
            <w:tcW w:w="1298" w:type="dxa"/>
            <w:vMerge/>
            <w:vAlign w:val="center"/>
          </w:tcPr>
          <w:p w:rsidR="00525419" w:rsidRDefault="00525419">
            <w:pPr>
              <w:jc w:val="center"/>
              <w:rPr>
                <w:rFonts w:ascii="Times New Roman" w:hAnsi="Times New Roman"/>
                <w:szCs w:val="21"/>
              </w:rPr>
            </w:pPr>
          </w:p>
        </w:tc>
        <w:tc>
          <w:tcPr>
            <w:tcW w:w="2061" w:type="dxa"/>
            <w:gridSpan w:val="2"/>
            <w:vAlign w:val="center"/>
          </w:tcPr>
          <w:p w:rsidR="00525419" w:rsidRDefault="00EE1CF7">
            <w:pPr>
              <w:ind w:firstLineChars="100" w:firstLine="210"/>
              <w:rPr>
                <w:rFonts w:ascii="Times New Roman" w:hAnsi="Times New Roman"/>
                <w:szCs w:val="21"/>
              </w:rPr>
            </w:pPr>
            <w:r>
              <w:rPr>
                <w:rFonts w:ascii="Times New Roman" w:hAnsi="Times New Roman"/>
                <w:szCs w:val="21"/>
              </w:rPr>
              <w:t>风险防范</w:t>
            </w:r>
          </w:p>
        </w:tc>
        <w:tc>
          <w:tcPr>
            <w:tcW w:w="4573" w:type="dxa"/>
            <w:vAlign w:val="center"/>
          </w:tcPr>
          <w:p w:rsidR="00525419" w:rsidRDefault="00EE1CF7">
            <w:pPr>
              <w:jc w:val="center"/>
              <w:rPr>
                <w:rFonts w:ascii="Times New Roman" w:hAnsi="Times New Roman"/>
                <w:szCs w:val="21"/>
              </w:rPr>
            </w:pPr>
            <w:r>
              <w:rPr>
                <w:rFonts w:ascii="Times New Roman" w:hAnsi="Times New Roman"/>
                <w:szCs w:val="21"/>
              </w:rPr>
              <w:t>新建事故池</w:t>
            </w:r>
            <w:r>
              <w:rPr>
                <w:rFonts w:ascii="Times New Roman" w:hAnsi="Times New Roman"/>
                <w:szCs w:val="21"/>
              </w:rPr>
              <w:t>1</w:t>
            </w:r>
            <w:r>
              <w:rPr>
                <w:rFonts w:ascii="Times New Roman" w:hAnsi="Times New Roman"/>
                <w:szCs w:val="21"/>
              </w:rPr>
              <w:t>座，容积为</w:t>
            </w:r>
            <w:r>
              <w:rPr>
                <w:rFonts w:ascii="Times New Roman" w:hAnsi="Times New Roman"/>
                <w:szCs w:val="21"/>
              </w:rPr>
              <w:t>4000m</w:t>
            </w:r>
            <w:r>
              <w:rPr>
                <w:rFonts w:ascii="Times New Roman" w:hAnsi="Times New Roman"/>
                <w:szCs w:val="21"/>
                <w:vertAlign w:val="superscript"/>
              </w:rPr>
              <w:t>3</w:t>
            </w:r>
            <w:r>
              <w:rPr>
                <w:rFonts w:ascii="Times New Roman" w:hAnsi="Times New Roman"/>
                <w:szCs w:val="21"/>
              </w:rPr>
              <w:t>。</w:t>
            </w:r>
          </w:p>
        </w:tc>
        <w:tc>
          <w:tcPr>
            <w:tcW w:w="6239" w:type="dxa"/>
            <w:vAlign w:val="center"/>
          </w:tcPr>
          <w:p w:rsidR="00525419" w:rsidRDefault="00EE1CF7">
            <w:pPr>
              <w:jc w:val="center"/>
              <w:rPr>
                <w:rFonts w:ascii="Times New Roman" w:hAnsi="Times New Roman"/>
                <w:szCs w:val="21"/>
              </w:rPr>
            </w:pPr>
            <w:r>
              <w:rPr>
                <w:rFonts w:ascii="Times New Roman" w:hAnsi="Times New Roman"/>
                <w:szCs w:val="21"/>
              </w:rPr>
              <w:t>依托现厂区</w:t>
            </w:r>
            <w:r>
              <w:rPr>
                <w:rFonts w:ascii="Times New Roman" w:hAnsi="Times New Roman"/>
                <w:szCs w:val="21"/>
              </w:rPr>
              <w:t>2</w:t>
            </w:r>
            <w:r>
              <w:rPr>
                <w:rFonts w:ascii="Times New Roman" w:hAnsi="Times New Roman"/>
                <w:szCs w:val="21"/>
              </w:rPr>
              <w:t>座</w:t>
            </w:r>
            <w:r>
              <w:rPr>
                <w:rFonts w:ascii="Times New Roman" w:hAnsi="Times New Roman"/>
                <w:szCs w:val="21"/>
              </w:rPr>
              <w:t>2600m</w:t>
            </w:r>
            <w:r>
              <w:rPr>
                <w:rFonts w:ascii="Times New Roman" w:hAnsi="Times New Roman"/>
                <w:szCs w:val="21"/>
                <w:vertAlign w:val="superscript"/>
              </w:rPr>
              <w:t>3</w:t>
            </w:r>
            <w:r>
              <w:rPr>
                <w:rFonts w:ascii="Times New Roman" w:hAnsi="Times New Roman"/>
                <w:szCs w:val="21"/>
              </w:rPr>
              <w:t>事故水池</w:t>
            </w:r>
          </w:p>
        </w:tc>
      </w:tr>
      <w:tr w:rsidR="00525419">
        <w:tc>
          <w:tcPr>
            <w:tcW w:w="1298" w:type="dxa"/>
            <w:vMerge/>
            <w:vAlign w:val="center"/>
          </w:tcPr>
          <w:p w:rsidR="00525419" w:rsidRDefault="00525419">
            <w:pPr>
              <w:jc w:val="center"/>
              <w:rPr>
                <w:rFonts w:ascii="Times New Roman" w:hAnsi="Times New Roman"/>
                <w:szCs w:val="21"/>
              </w:rPr>
            </w:pPr>
          </w:p>
        </w:tc>
        <w:tc>
          <w:tcPr>
            <w:tcW w:w="2061" w:type="dxa"/>
            <w:gridSpan w:val="2"/>
            <w:vAlign w:val="center"/>
          </w:tcPr>
          <w:p w:rsidR="00525419" w:rsidRDefault="00EE1CF7">
            <w:pPr>
              <w:ind w:firstLineChars="100" w:firstLine="210"/>
              <w:rPr>
                <w:rFonts w:ascii="Times New Roman" w:hAnsi="Times New Roman"/>
                <w:szCs w:val="21"/>
              </w:rPr>
            </w:pPr>
            <w:r>
              <w:rPr>
                <w:rFonts w:ascii="Times New Roman" w:hAnsi="Times New Roman"/>
                <w:szCs w:val="21"/>
              </w:rPr>
              <w:t>无组织废气</w:t>
            </w:r>
          </w:p>
        </w:tc>
        <w:tc>
          <w:tcPr>
            <w:tcW w:w="4573" w:type="dxa"/>
            <w:vAlign w:val="center"/>
          </w:tcPr>
          <w:p w:rsidR="00525419" w:rsidRDefault="00EE1CF7">
            <w:pPr>
              <w:jc w:val="center"/>
              <w:rPr>
                <w:rFonts w:ascii="Times New Roman" w:hAnsi="Times New Roman"/>
                <w:szCs w:val="21"/>
              </w:rPr>
            </w:pPr>
            <w:r>
              <w:rPr>
                <w:rFonts w:ascii="Times New Roman" w:hAnsi="Times New Roman"/>
                <w:szCs w:val="21"/>
              </w:rPr>
              <w:t>依托现厂区</w:t>
            </w:r>
            <w:r>
              <w:rPr>
                <w:rFonts w:ascii="Times New Roman" w:hAnsi="Times New Roman"/>
                <w:szCs w:val="21"/>
              </w:rPr>
              <w:t>400m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油气回收设施</w:t>
            </w:r>
          </w:p>
        </w:tc>
        <w:tc>
          <w:tcPr>
            <w:tcW w:w="6239" w:type="dxa"/>
            <w:vAlign w:val="center"/>
          </w:tcPr>
          <w:p w:rsidR="00525419" w:rsidRDefault="00EE1CF7">
            <w:pPr>
              <w:jc w:val="center"/>
              <w:rPr>
                <w:rFonts w:ascii="Times New Roman" w:hAnsi="Times New Roman"/>
                <w:szCs w:val="21"/>
              </w:rPr>
            </w:pPr>
            <w:r>
              <w:rPr>
                <w:rFonts w:ascii="Times New Roman" w:hAnsi="Times New Roman"/>
                <w:szCs w:val="21"/>
              </w:rPr>
              <w:t>不变</w:t>
            </w:r>
          </w:p>
        </w:tc>
      </w:tr>
      <w:tr w:rsidR="00525419">
        <w:tc>
          <w:tcPr>
            <w:tcW w:w="1298" w:type="dxa"/>
            <w:vMerge/>
            <w:vAlign w:val="center"/>
          </w:tcPr>
          <w:p w:rsidR="00525419" w:rsidRDefault="00525419">
            <w:pPr>
              <w:jc w:val="center"/>
              <w:rPr>
                <w:rFonts w:ascii="Times New Roman" w:hAnsi="Times New Roman"/>
                <w:szCs w:val="21"/>
              </w:rPr>
            </w:pPr>
          </w:p>
        </w:tc>
        <w:tc>
          <w:tcPr>
            <w:tcW w:w="2061" w:type="dxa"/>
            <w:gridSpan w:val="2"/>
            <w:vAlign w:val="center"/>
          </w:tcPr>
          <w:p w:rsidR="00525419" w:rsidRDefault="00EE1CF7">
            <w:pPr>
              <w:ind w:firstLineChars="200" w:firstLine="420"/>
              <w:rPr>
                <w:rFonts w:ascii="Times New Roman" w:hAnsi="Times New Roman"/>
                <w:szCs w:val="21"/>
              </w:rPr>
            </w:pPr>
            <w:r>
              <w:rPr>
                <w:rFonts w:ascii="Times New Roman" w:hAnsi="Times New Roman"/>
                <w:szCs w:val="21"/>
              </w:rPr>
              <w:t>其他</w:t>
            </w:r>
          </w:p>
        </w:tc>
        <w:tc>
          <w:tcPr>
            <w:tcW w:w="4573" w:type="dxa"/>
            <w:vAlign w:val="center"/>
          </w:tcPr>
          <w:p w:rsidR="00525419" w:rsidRDefault="00EE1CF7">
            <w:pPr>
              <w:jc w:val="center"/>
              <w:rPr>
                <w:rFonts w:ascii="Times New Roman" w:hAnsi="Times New Roman"/>
                <w:szCs w:val="21"/>
              </w:rPr>
            </w:pPr>
            <w:r>
              <w:rPr>
                <w:rFonts w:ascii="Times New Roman" w:hAnsi="Times New Roman"/>
                <w:szCs w:val="21"/>
              </w:rPr>
              <w:t>检修、维修；化验、行政及生活设施</w:t>
            </w:r>
          </w:p>
        </w:tc>
        <w:tc>
          <w:tcPr>
            <w:tcW w:w="6239" w:type="dxa"/>
            <w:vAlign w:val="center"/>
          </w:tcPr>
          <w:p w:rsidR="00525419" w:rsidRDefault="00EE1CF7">
            <w:pPr>
              <w:jc w:val="center"/>
              <w:rPr>
                <w:rFonts w:ascii="Times New Roman" w:hAnsi="Times New Roman"/>
                <w:szCs w:val="21"/>
              </w:rPr>
            </w:pPr>
            <w:r>
              <w:rPr>
                <w:rFonts w:ascii="Times New Roman" w:hAnsi="Times New Roman"/>
                <w:szCs w:val="21"/>
              </w:rPr>
              <w:t>不变</w:t>
            </w:r>
          </w:p>
        </w:tc>
      </w:tr>
    </w:tbl>
    <w:p w:rsidR="00525419" w:rsidRDefault="00525419">
      <w:pPr>
        <w:pStyle w:val="3a"/>
        <w:spacing w:beforeLines="50" w:before="159" w:after="156" w:line="360" w:lineRule="auto"/>
        <w:jc w:val="left"/>
        <w:rPr>
          <w:rFonts w:ascii="Times New Roman" w:eastAsia="华文楷体" w:hAnsi="Times New Roman"/>
        </w:rPr>
        <w:sectPr w:rsidR="00525419">
          <w:pgSz w:w="16838" w:h="11906" w:orient="landscape"/>
          <w:pgMar w:top="1803" w:right="1440" w:bottom="1803" w:left="1440" w:header="851" w:footer="992" w:gutter="0"/>
          <w:cols w:space="0"/>
          <w:docGrid w:type="lines" w:linePitch="319"/>
        </w:sectPr>
      </w:pPr>
    </w:p>
    <w:p w:rsidR="00525419" w:rsidRDefault="00EE1CF7">
      <w:pPr>
        <w:pStyle w:val="3a"/>
        <w:spacing w:beforeLines="50" w:before="159" w:after="156" w:line="360" w:lineRule="auto"/>
        <w:jc w:val="left"/>
        <w:rPr>
          <w:rFonts w:ascii="Times New Roman" w:eastAsia="华文楷体" w:hAnsi="Times New Roman"/>
        </w:rPr>
      </w:pPr>
      <w:r>
        <w:rPr>
          <w:rFonts w:ascii="Times New Roman" w:eastAsia="华文楷体" w:hAnsi="Times New Roman"/>
        </w:rPr>
        <w:lastRenderedPageBreak/>
        <w:t>3.4.3</w:t>
      </w:r>
      <w:r>
        <w:rPr>
          <w:rFonts w:ascii="Times New Roman" w:eastAsia="华文楷体" w:hAnsi="Times New Roman"/>
        </w:rPr>
        <w:t>变更前后工艺流程</w:t>
      </w:r>
    </w:p>
    <w:p w:rsidR="00525419" w:rsidRDefault="00EE1CF7">
      <w:pPr>
        <w:pStyle w:val="afb"/>
        <w:spacing w:line="360" w:lineRule="auto"/>
        <w:ind w:firstLineChars="200" w:firstLine="480"/>
        <w:rPr>
          <w:sz w:val="24"/>
        </w:rPr>
      </w:pPr>
      <w:r>
        <w:rPr>
          <w:rFonts w:hint="eastAsia"/>
          <w:sz w:val="24"/>
        </w:rPr>
        <w:t>本项目</w:t>
      </w:r>
      <w:r>
        <w:rPr>
          <w:sz w:val="24"/>
        </w:rPr>
        <w:t>天然气制氢装置、煤焦油加氢</w:t>
      </w:r>
      <w:r>
        <w:rPr>
          <w:rFonts w:hint="eastAsia"/>
          <w:sz w:val="24"/>
        </w:rPr>
        <w:t>装置</w:t>
      </w:r>
      <w:r>
        <w:rPr>
          <w:sz w:val="24"/>
        </w:rPr>
        <w:t>、硫磺回收装置工艺流程不变，取消了煤焦油预处理单元、芳烃制取装置，工艺流程变更前流程图见图</w:t>
      </w:r>
      <w:r>
        <w:rPr>
          <w:sz w:val="24"/>
        </w:rPr>
        <w:t>3.4-1</w:t>
      </w:r>
      <w:r>
        <w:rPr>
          <w:sz w:val="24"/>
        </w:rPr>
        <w:t>，变更后本项目工艺流程见图</w:t>
      </w:r>
      <w:r>
        <w:rPr>
          <w:sz w:val="24"/>
        </w:rPr>
        <w:t>3.5-1</w:t>
      </w:r>
      <w:r>
        <w:rPr>
          <w:sz w:val="24"/>
        </w:rPr>
        <w:t>。</w:t>
      </w:r>
    </w:p>
    <w:p w:rsidR="00525419" w:rsidRDefault="00EE1CF7">
      <w:pPr>
        <w:pStyle w:val="afb"/>
        <w:spacing w:line="360" w:lineRule="auto"/>
      </w:pPr>
      <w:r>
        <w:rPr>
          <w:noProof/>
        </w:rPr>
        <w:drawing>
          <wp:inline distT="0" distB="0" distL="114300" distR="114300">
            <wp:extent cx="5264150" cy="3761105"/>
            <wp:effectExtent l="0" t="0" r="12700" b="10795"/>
            <wp:docPr id="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0"/>
                    <pic:cNvPicPr>
                      <a:picLocks noChangeAspect="1"/>
                    </pic:cNvPicPr>
                  </pic:nvPicPr>
                  <pic:blipFill>
                    <a:blip r:embed="rId17"/>
                    <a:stretch>
                      <a:fillRect/>
                    </a:stretch>
                  </pic:blipFill>
                  <pic:spPr>
                    <a:xfrm>
                      <a:off x="0" y="0"/>
                      <a:ext cx="5264150" cy="3761105"/>
                    </a:xfrm>
                    <a:prstGeom prst="rect">
                      <a:avLst/>
                    </a:prstGeom>
                    <a:noFill/>
                    <a:ln>
                      <a:noFill/>
                    </a:ln>
                  </pic:spPr>
                </pic:pic>
              </a:graphicData>
            </a:graphic>
          </wp:inline>
        </w:drawing>
      </w:r>
    </w:p>
    <w:p w:rsidR="00525419" w:rsidRDefault="00EE1CF7">
      <w:pPr>
        <w:pStyle w:val="afb"/>
        <w:spacing w:line="360" w:lineRule="auto"/>
      </w:pPr>
      <w:r>
        <w:t xml:space="preserve">                 </w:t>
      </w:r>
      <w:r>
        <w:rPr>
          <w:b/>
          <w:bCs/>
          <w:sz w:val="24"/>
        </w:rPr>
        <w:t xml:space="preserve">    </w:t>
      </w:r>
      <w:r>
        <w:rPr>
          <w:b/>
          <w:sz w:val="24"/>
        </w:rPr>
        <w:t xml:space="preserve">   </w:t>
      </w:r>
      <w:r>
        <w:rPr>
          <w:b/>
          <w:sz w:val="24"/>
        </w:rPr>
        <w:t>图</w:t>
      </w:r>
      <w:r>
        <w:rPr>
          <w:b/>
          <w:sz w:val="24"/>
        </w:rPr>
        <w:t xml:space="preserve">3.4-1      </w:t>
      </w:r>
      <w:r>
        <w:rPr>
          <w:b/>
          <w:sz w:val="24"/>
        </w:rPr>
        <w:t>变更前工艺流程图</w:t>
      </w:r>
    </w:p>
    <w:p w:rsidR="00525419" w:rsidRDefault="00EE1CF7">
      <w:pPr>
        <w:pStyle w:val="afb"/>
        <w:spacing w:line="360" w:lineRule="auto"/>
        <w:ind w:firstLineChars="200" w:firstLine="480"/>
        <w:rPr>
          <w:sz w:val="24"/>
        </w:rPr>
      </w:pPr>
      <w:r>
        <w:rPr>
          <w:sz w:val="24"/>
        </w:rPr>
        <w:t>变更后本项目取消的煤焦油预处理单元、芳烃制取装置单元工艺流程如下：</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3.4.3.1</w:t>
      </w:r>
      <w:r>
        <w:rPr>
          <w:rFonts w:ascii="Times New Roman" w:hAnsi="Times New Roman" w:cs="Times New Roman"/>
          <w:sz w:val="24"/>
        </w:rPr>
        <w:t>变更后本项目</w:t>
      </w:r>
      <w:r>
        <w:rPr>
          <w:rFonts w:ascii="Times New Roman" w:hAnsi="Times New Roman" w:cs="Times New Roman"/>
          <w:kern w:val="44"/>
          <w:sz w:val="24"/>
          <w:szCs w:val="24"/>
        </w:rPr>
        <w:t>取消的煤焦油预处理单元工艺流程</w:t>
      </w:r>
    </w:p>
    <w:p w:rsidR="00525419" w:rsidRDefault="00EE1CF7">
      <w:pPr>
        <w:pStyle w:val="afffe"/>
        <w:adjustRightInd w:val="0"/>
        <w:spacing w:after="0" w:line="360" w:lineRule="auto"/>
        <w:ind w:firstLineChars="200" w:firstLine="480"/>
        <w:rPr>
          <w:sz w:val="24"/>
        </w:rPr>
      </w:pPr>
      <w:r>
        <w:rPr>
          <w:sz w:val="24"/>
        </w:rPr>
        <w:t>①</w:t>
      </w:r>
      <w:r>
        <w:rPr>
          <w:sz w:val="24"/>
        </w:rPr>
        <w:t>生产技术及反应原理</w:t>
      </w:r>
    </w:p>
    <w:p w:rsidR="00525419" w:rsidRDefault="00EE1CF7">
      <w:pPr>
        <w:autoSpaceDE w:val="0"/>
        <w:autoSpaceDN w:val="0"/>
        <w:adjustRightInd w:val="0"/>
        <w:spacing w:line="360" w:lineRule="auto"/>
        <w:ind w:firstLineChars="200" w:firstLine="480"/>
        <w:jc w:val="left"/>
        <w:rPr>
          <w:rFonts w:ascii="Times New Roman" w:hAnsi="Times New Roman"/>
          <w:sz w:val="24"/>
        </w:rPr>
      </w:pPr>
      <w:r>
        <w:rPr>
          <w:rFonts w:ascii="Times New Roman" w:hAnsi="Times New Roman"/>
          <w:sz w:val="24"/>
        </w:rPr>
        <w:t>煤焦油中有较高含量的杂质，本装置把一部分焦油先在相对温和条件下脱除一部分杂质和金属，既能减少整个装置的投资和运行成本，又能延长后续煤焦油加氢精制单元催化剂的寿命。</w:t>
      </w:r>
    </w:p>
    <w:p w:rsidR="00525419" w:rsidRDefault="00EE1CF7">
      <w:pPr>
        <w:autoSpaceDE w:val="0"/>
        <w:autoSpaceDN w:val="0"/>
        <w:adjustRightInd w:val="0"/>
        <w:spacing w:line="360" w:lineRule="auto"/>
        <w:ind w:firstLineChars="200" w:firstLine="480"/>
        <w:jc w:val="left"/>
        <w:rPr>
          <w:rFonts w:ascii="Times New Roman" w:hAnsi="Times New Roman"/>
          <w:sz w:val="24"/>
        </w:rPr>
      </w:pPr>
      <w:r>
        <w:rPr>
          <w:rFonts w:ascii="Times New Roman" w:hAnsi="Times New Roman"/>
          <w:sz w:val="24"/>
        </w:rPr>
        <w:t>本项目使用催化剂对</w:t>
      </w:r>
      <w:r>
        <w:rPr>
          <w:rFonts w:ascii="Times New Roman" w:hAnsi="Times New Roman"/>
          <w:sz w:val="24"/>
        </w:rPr>
        <w:t>127℃</w:t>
      </w:r>
      <w:r>
        <w:rPr>
          <w:rFonts w:ascii="Times New Roman" w:hAnsi="Times New Roman"/>
          <w:sz w:val="24"/>
        </w:rPr>
        <w:t>以上的煤焦油组分进行选择性加氢脱硫，其工艺特点是操作条件缓和、空速较高、不发生芳烃饱和和裂解反应；其结果是煤焦油脱硫率高，液收高，氢耗很低。</w:t>
      </w:r>
    </w:p>
    <w:p w:rsidR="00525419" w:rsidRDefault="00EE1CF7">
      <w:pPr>
        <w:autoSpaceDE w:val="0"/>
        <w:autoSpaceDN w:val="0"/>
        <w:adjustRightInd w:val="0"/>
        <w:spacing w:line="360" w:lineRule="auto"/>
        <w:ind w:firstLineChars="200" w:firstLine="480"/>
        <w:jc w:val="left"/>
        <w:rPr>
          <w:rFonts w:ascii="Times New Roman" w:hAnsi="Times New Roman"/>
          <w:sz w:val="24"/>
        </w:rPr>
      </w:pPr>
      <w:r>
        <w:rPr>
          <w:rFonts w:ascii="Times New Roman" w:hAnsi="Times New Roman"/>
          <w:sz w:val="24"/>
        </w:rPr>
        <w:lastRenderedPageBreak/>
        <w:t>变更前煤焦油预处理单元规模为</w:t>
      </w:r>
      <w:r>
        <w:rPr>
          <w:rFonts w:ascii="Times New Roman" w:hAnsi="Times New Roman"/>
          <w:sz w:val="24"/>
        </w:rPr>
        <w:t>20</w:t>
      </w:r>
      <w:r>
        <w:rPr>
          <w:rFonts w:ascii="Times New Roman" w:hAnsi="Times New Roman"/>
          <w:sz w:val="24"/>
        </w:rPr>
        <w:t>万吨</w:t>
      </w:r>
      <w:r>
        <w:rPr>
          <w:rFonts w:ascii="Times New Roman" w:hAnsi="Times New Roman"/>
          <w:sz w:val="24"/>
        </w:rPr>
        <w:t>/</w:t>
      </w:r>
      <w:r>
        <w:rPr>
          <w:rFonts w:ascii="Times New Roman" w:hAnsi="Times New Roman"/>
          <w:sz w:val="24"/>
        </w:rPr>
        <w:t>年。</w:t>
      </w:r>
    </w:p>
    <w:p w:rsidR="00525419" w:rsidRDefault="00EE1CF7">
      <w:pPr>
        <w:pStyle w:val="afffe"/>
        <w:adjustRightInd w:val="0"/>
        <w:spacing w:after="0" w:line="360" w:lineRule="auto"/>
        <w:ind w:firstLineChars="200" w:firstLine="480"/>
        <w:rPr>
          <w:sz w:val="24"/>
        </w:rPr>
      </w:pPr>
      <w:r>
        <w:rPr>
          <w:sz w:val="24"/>
        </w:rPr>
        <w:t>②</w:t>
      </w:r>
      <w:r>
        <w:rPr>
          <w:sz w:val="24"/>
        </w:rPr>
        <w:t>工艺流程简述</w:t>
      </w:r>
    </w:p>
    <w:p w:rsidR="00525419" w:rsidRDefault="00EE1CF7">
      <w:pPr>
        <w:pStyle w:val="afffe"/>
        <w:adjustRightInd w:val="0"/>
        <w:spacing w:after="0" w:line="360" w:lineRule="auto"/>
        <w:ind w:firstLineChars="200" w:firstLine="480"/>
        <w:rPr>
          <w:sz w:val="24"/>
        </w:rPr>
      </w:pPr>
      <w:r>
        <w:rPr>
          <w:sz w:val="24"/>
        </w:rPr>
        <w:t>▲</w:t>
      </w:r>
      <w:r>
        <w:rPr>
          <w:sz w:val="24"/>
        </w:rPr>
        <w:t>预加氢及预分馏部分</w:t>
      </w:r>
    </w:p>
    <w:p w:rsidR="00525419" w:rsidRDefault="00EE1CF7">
      <w:pPr>
        <w:pStyle w:val="afffe"/>
        <w:adjustRightInd w:val="0"/>
        <w:spacing w:after="0" w:line="360" w:lineRule="auto"/>
        <w:ind w:firstLineChars="200" w:firstLine="480"/>
        <w:rPr>
          <w:sz w:val="24"/>
        </w:rPr>
      </w:pPr>
      <w:r>
        <w:rPr>
          <w:sz w:val="24"/>
        </w:rPr>
        <w:t>自装置外来的煤焦油先进入到原料油过滤器，除去煤焦油中大于</w:t>
      </w:r>
      <w:r>
        <w:rPr>
          <w:sz w:val="24"/>
        </w:rPr>
        <w:t>25</w:t>
      </w:r>
      <w:r>
        <w:rPr>
          <w:sz w:val="24"/>
        </w:rPr>
        <w:t>微米的颗粒后进入原料油缓冲罐。然后通过预加氢进料泵从缓冲罐中抽取进料并经流量控制进入预加氢进料</w:t>
      </w:r>
      <w:r>
        <w:rPr>
          <w:sz w:val="24"/>
        </w:rPr>
        <w:t>/</w:t>
      </w:r>
      <w:r>
        <w:rPr>
          <w:sz w:val="24"/>
        </w:rPr>
        <w:t>预分馏塔底油换热器。与预分馏塔底油换热至</w:t>
      </w:r>
      <w:r>
        <w:rPr>
          <w:sz w:val="24"/>
        </w:rPr>
        <w:t>116℃</w:t>
      </w:r>
      <w:r>
        <w:rPr>
          <w:sz w:val="24"/>
        </w:rPr>
        <w:t>与氢气混合，然后进入预加氢进料</w:t>
      </w:r>
      <w:r>
        <w:rPr>
          <w:sz w:val="24"/>
        </w:rPr>
        <w:t>/</w:t>
      </w:r>
      <w:r>
        <w:rPr>
          <w:sz w:val="24"/>
        </w:rPr>
        <w:t>流出物换热器，换热至</w:t>
      </w:r>
      <w:r>
        <w:rPr>
          <w:sz w:val="24"/>
        </w:rPr>
        <w:t>145/183℃</w:t>
      </w:r>
      <w:r>
        <w:rPr>
          <w:sz w:val="24"/>
        </w:rPr>
        <w:t>进入预加氢进料预热器，与蒸汽换热至</w:t>
      </w:r>
      <w:r>
        <w:rPr>
          <w:sz w:val="24"/>
        </w:rPr>
        <w:t>150/200℃</w:t>
      </w:r>
      <w:r>
        <w:rPr>
          <w:sz w:val="24"/>
        </w:rPr>
        <w:t>进入预加氢反应器。</w:t>
      </w:r>
    </w:p>
    <w:p w:rsidR="00525419" w:rsidRDefault="00EE1CF7">
      <w:pPr>
        <w:pStyle w:val="afffe"/>
        <w:adjustRightInd w:val="0"/>
        <w:spacing w:after="0" w:line="360" w:lineRule="auto"/>
        <w:ind w:firstLineChars="200" w:firstLine="480"/>
        <w:rPr>
          <w:sz w:val="24"/>
        </w:rPr>
      </w:pPr>
      <w:r>
        <w:rPr>
          <w:sz w:val="24"/>
        </w:rPr>
        <w:t>预加氢反应流出物通过预加氢进料</w:t>
      </w:r>
      <w:r>
        <w:rPr>
          <w:sz w:val="24"/>
        </w:rPr>
        <w:t>/</w:t>
      </w:r>
      <w:r>
        <w:rPr>
          <w:sz w:val="24"/>
        </w:rPr>
        <w:t>流出物换热器与反应进料换热至</w:t>
      </w:r>
      <w:r>
        <w:rPr>
          <w:sz w:val="24"/>
        </w:rPr>
        <w:t>152℃</w:t>
      </w:r>
      <w:r>
        <w:rPr>
          <w:sz w:val="24"/>
        </w:rPr>
        <w:t>减压后进入预分馏塔。</w:t>
      </w:r>
    </w:p>
    <w:p w:rsidR="00525419" w:rsidRDefault="00EE1CF7">
      <w:pPr>
        <w:snapToGrid w:val="0"/>
        <w:spacing w:line="360" w:lineRule="auto"/>
        <w:ind w:firstLine="567"/>
        <w:rPr>
          <w:rFonts w:ascii="Times New Roman" w:hAnsi="Times New Roman"/>
          <w:sz w:val="24"/>
        </w:rPr>
      </w:pPr>
      <w:r>
        <w:rPr>
          <w:rFonts w:ascii="Times New Roman" w:hAnsi="Times New Roman"/>
          <w:sz w:val="24"/>
        </w:rPr>
        <w:t>塔顶油气经预分馏塔顶空冷器、冷凝冷却至</w:t>
      </w:r>
      <w:r>
        <w:rPr>
          <w:rFonts w:ascii="Times New Roman" w:hAnsi="Times New Roman"/>
          <w:sz w:val="24"/>
        </w:rPr>
        <w:t>50℃</w:t>
      </w:r>
      <w:r>
        <w:rPr>
          <w:rFonts w:ascii="Times New Roman" w:hAnsi="Times New Roman"/>
          <w:sz w:val="24"/>
        </w:rPr>
        <w:t>后进入预分馏塔顶回流罐中，进行油、气、水分离，闪蒸出的气体送出装置处理，油相经预分馏塔顶回流泵升压后作为塔顶回流。预分馏塔底采用蒸汽作为重沸热源，塔底重汽油经选择性加氢脱硫进料泵升压、预加氢进料</w:t>
      </w:r>
      <w:r>
        <w:rPr>
          <w:rFonts w:ascii="Times New Roman" w:hAnsi="Times New Roman"/>
          <w:sz w:val="24"/>
        </w:rPr>
        <w:t>/</w:t>
      </w:r>
      <w:r>
        <w:rPr>
          <w:rFonts w:ascii="Times New Roman" w:hAnsi="Times New Roman"/>
          <w:sz w:val="24"/>
        </w:rPr>
        <w:t>预分馏塔底油换热器换热后送至选择性加氢脱硫反应部分。精制轻油从</w:t>
      </w:r>
      <w:r>
        <w:rPr>
          <w:rFonts w:ascii="Times New Roman" w:hAnsi="Times New Roman"/>
          <w:sz w:val="24"/>
        </w:rPr>
        <w:t>7</w:t>
      </w:r>
      <w:r>
        <w:rPr>
          <w:rFonts w:ascii="Times New Roman" w:hAnsi="Times New Roman"/>
          <w:sz w:val="24"/>
        </w:rPr>
        <w:t>层塔盘抽出，经精制轻油冷却器冷却后，做为产品出装置界区。</w:t>
      </w:r>
    </w:p>
    <w:p w:rsidR="00525419" w:rsidRDefault="00EE1CF7">
      <w:pPr>
        <w:spacing w:line="360" w:lineRule="auto"/>
        <w:ind w:firstLineChars="200" w:firstLine="480"/>
        <w:rPr>
          <w:rFonts w:ascii="Times New Roman" w:hAnsi="Times New Roman"/>
          <w:sz w:val="24"/>
        </w:rPr>
      </w:pPr>
      <w:r>
        <w:rPr>
          <w:rFonts w:ascii="Times New Roman" w:hAnsi="Times New Roman"/>
          <w:sz w:val="24"/>
          <w:szCs w:val="24"/>
        </w:rPr>
        <w:t>▲</w:t>
      </w:r>
      <w:r>
        <w:rPr>
          <w:rFonts w:ascii="Times New Roman" w:hAnsi="Times New Roman"/>
          <w:sz w:val="24"/>
        </w:rPr>
        <w:t>选择性加氢脱硫反应部分</w:t>
      </w:r>
    </w:p>
    <w:p w:rsidR="00525419" w:rsidRDefault="00EE1CF7">
      <w:pPr>
        <w:snapToGrid w:val="0"/>
        <w:spacing w:line="360" w:lineRule="auto"/>
        <w:ind w:firstLine="567"/>
        <w:rPr>
          <w:rFonts w:ascii="Times New Roman" w:hAnsi="Times New Roman"/>
          <w:sz w:val="24"/>
        </w:rPr>
      </w:pPr>
      <w:r>
        <w:rPr>
          <w:rFonts w:ascii="Times New Roman" w:hAnsi="Times New Roman"/>
          <w:sz w:val="24"/>
        </w:rPr>
        <w:t>重煤焦油在流量和预分馏塔底液位串级控制下，经反应流出物</w:t>
      </w:r>
      <w:r>
        <w:rPr>
          <w:rFonts w:ascii="Times New Roman" w:hAnsi="Times New Roman"/>
          <w:sz w:val="24"/>
        </w:rPr>
        <w:t>/</w:t>
      </w:r>
      <w:r>
        <w:rPr>
          <w:rFonts w:ascii="Times New Roman" w:hAnsi="Times New Roman"/>
          <w:sz w:val="24"/>
        </w:rPr>
        <w:t>混合进料换热器与反应流出物换热至</w:t>
      </w:r>
      <w:r>
        <w:rPr>
          <w:rFonts w:ascii="Times New Roman" w:hAnsi="Times New Roman"/>
          <w:sz w:val="24"/>
        </w:rPr>
        <w:t>265/315℃</w:t>
      </w:r>
      <w:r>
        <w:rPr>
          <w:rFonts w:ascii="Times New Roman" w:hAnsi="Times New Roman"/>
          <w:sz w:val="24"/>
        </w:rPr>
        <w:t>，进入</w:t>
      </w:r>
      <w:r>
        <w:rPr>
          <w:rFonts w:ascii="Times New Roman" w:hAnsi="Times New Roman"/>
          <w:sz w:val="24"/>
        </w:rPr>
        <w:t>HDS</w:t>
      </w:r>
      <w:r>
        <w:rPr>
          <w:rFonts w:ascii="Times New Roman" w:hAnsi="Times New Roman"/>
          <w:sz w:val="24"/>
        </w:rPr>
        <w:t>第一反应器进行加氢精制脱硫反应。反应后流出物经反应进料加热炉加热至</w:t>
      </w:r>
      <w:r>
        <w:rPr>
          <w:rFonts w:ascii="Times New Roman" w:hAnsi="Times New Roman"/>
          <w:sz w:val="24"/>
        </w:rPr>
        <w:t>335/365℃</w:t>
      </w:r>
      <w:r>
        <w:rPr>
          <w:rFonts w:ascii="Times New Roman" w:hAnsi="Times New Roman"/>
          <w:sz w:val="24"/>
        </w:rPr>
        <w:t>，进入</w:t>
      </w:r>
      <w:r>
        <w:rPr>
          <w:rFonts w:ascii="Times New Roman" w:hAnsi="Times New Roman"/>
          <w:sz w:val="24"/>
        </w:rPr>
        <w:t>HDS</w:t>
      </w:r>
      <w:r>
        <w:rPr>
          <w:rFonts w:ascii="Times New Roman" w:hAnsi="Times New Roman"/>
          <w:sz w:val="24"/>
        </w:rPr>
        <w:t>第二反应器，进行深度加氢脱硫反应。</w:t>
      </w:r>
      <w:r>
        <w:rPr>
          <w:rFonts w:ascii="Times New Roman" w:hAnsi="Times New Roman"/>
          <w:sz w:val="24"/>
        </w:rPr>
        <w:t>HDS</w:t>
      </w:r>
      <w:r>
        <w:rPr>
          <w:rFonts w:ascii="Times New Roman" w:hAnsi="Times New Roman"/>
          <w:sz w:val="24"/>
        </w:rPr>
        <w:t>第二反应器的第二床层温度由冷油控制。</w:t>
      </w:r>
    </w:p>
    <w:p w:rsidR="00525419" w:rsidRDefault="00EE1CF7">
      <w:pPr>
        <w:snapToGrid w:val="0"/>
        <w:spacing w:line="360" w:lineRule="auto"/>
        <w:ind w:firstLine="567"/>
        <w:rPr>
          <w:rFonts w:ascii="Times New Roman" w:hAnsi="Times New Roman"/>
          <w:sz w:val="24"/>
        </w:rPr>
      </w:pPr>
      <w:r>
        <w:rPr>
          <w:rFonts w:ascii="Times New Roman" w:hAnsi="Times New Roman"/>
          <w:sz w:val="24"/>
        </w:rPr>
        <w:t>HDS</w:t>
      </w:r>
      <w:r>
        <w:rPr>
          <w:rFonts w:ascii="Times New Roman" w:hAnsi="Times New Roman"/>
          <w:sz w:val="24"/>
        </w:rPr>
        <w:t>第二反应器的反应流出物经反应流出物</w:t>
      </w:r>
      <w:r>
        <w:rPr>
          <w:rFonts w:ascii="Times New Roman" w:hAnsi="Times New Roman"/>
          <w:sz w:val="24"/>
        </w:rPr>
        <w:t>/</w:t>
      </w:r>
      <w:r>
        <w:rPr>
          <w:rFonts w:ascii="Times New Roman" w:hAnsi="Times New Roman"/>
          <w:sz w:val="24"/>
        </w:rPr>
        <w:t>混合进料换热器</w:t>
      </w:r>
      <w:r>
        <w:rPr>
          <w:rFonts w:ascii="Times New Roman" w:hAnsi="Times New Roman"/>
          <w:sz w:val="24"/>
        </w:rPr>
        <w:t>,</w:t>
      </w:r>
      <w:r>
        <w:rPr>
          <w:rFonts w:ascii="Times New Roman" w:hAnsi="Times New Roman"/>
          <w:sz w:val="24"/>
        </w:rPr>
        <w:t>反应流出物空冷器换热、冷却后进入分离器，进行气、油、水三相分离，分离器底部出来的低分油在流量、液位控制下进入汽提部分；含硫污水送出装置处理；顶部出来的循环氢经循环氢水冷器冷却至</w:t>
      </w:r>
      <w:r>
        <w:rPr>
          <w:rFonts w:ascii="Times New Roman" w:hAnsi="Times New Roman"/>
          <w:sz w:val="24"/>
        </w:rPr>
        <w:t>40℃</w:t>
      </w:r>
      <w:r>
        <w:rPr>
          <w:rFonts w:ascii="Times New Roman" w:hAnsi="Times New Roman"/>
          <w:sz w:val="24"/>
        </w:rPr>
        <w:t>，进入循环氢脱硫塔入口分液罐分液后再进入循环氢脱硫塔。</w:t>
      </w:r>
    </w:p>
    <w:p w:rsidR="00525419" w:rsidRDefault="00EE1CF7">
      <w:pPr>
        <w:snapToGrid w:val="0"/>
        <w:spacing w:line="360" w:lineRule="auto"/>
        <w:ind w:firstLine="567"/>
        <w:rPr>
          <w:rFonts w:ascii="Times New Roman" w:hAnsi="Times New Roman"/>
          <w:sz w:val="24"/>
        </w:rPr>
      </w:pPr>
      <w:r>
        <w:rPr>
          <w:rFonts w:ascii="Times New Roman" w:hAnsi="Times New Roman"/>
          <w:sz w:val="24"/>
        </w:rPr>
        <w:t>自装置外来的贫溶剂经贫溶剂加热器加热至</w:t>
      </w:r>
      <w:r>
        <w:rPr>
          <w:rFonts w:ascii="Times New Roman" w:hAnsi="Times New Roman"/>
          <w:sz w:val="24"/>
        </w:rPr>
        <w:t>50℃</w:t>
      </w:r>
      <w:r>
        <w:rPr>
          <w:rFonts w:ascii="Times New Roman" w:hAnsi="Times New Roman"/>
          <w:sz w:val="24"/>
        </w:rPr>
        <w:t>，在贫溶剂缓冲罐液位控制下进入由氮气气封的贫溶剂缓冲罐，贫溶剂经贫溶剂泵升压送至循环氢脱硫塔第</w:t>
      </w:r>
      <w:r>
        <w:rPr>
          <w:rFonts w:ascii="Times New Roman" w:hAnsi="Times New Roman"/>
          <w:sz w:val="24"/>
        </w:rPr>
        <w:t>1</w:t>
      </w:r>
      <w:r>
        <w:rPr>
          <w:rFonts w:ascii="Times New Roman" w:hAnsi="Times New Roman"/>
          <w:sz w:val="24"/>
        </w:rPr>
        <w:t>层塔盘</w:t>
      </w:r>
      <w:r>
        <w:rPr>
          <w:rFonts w:ascii="Times New Roman" w:hAnsi="Times New Roman"/>
          <w:sz w:val="24"/>
        </w:rPr>
        <w:t>(</w:t>
      </w:r>
      <w:r>
        <w:rPr>
          <w:rFonts w:ascii="Times New Roman" w:hAnsi="Times New Roman"/>
          <w:sz w:val="24"/>
        </w:rPr>
        <w:t>循环氢脱硫塔设有</w:t>
      </w:r>
      <w:r>
        <w:rPr>
          <w:rFonts w:ascii="Times New Roman" w:hAnsi="Times New Roman"/>
          <w:sz w:val="24"/>
        </w:rPr>
        <w:t>20</w:t>
      </w:r>
      <w:r>
        <w:rPr>
          <w:rFonts w:ascii="Times New Roman" w:hAnsi="Times New Roman"/>
          <w:sz w:val="24"/>
        </w:rPr>
        <w:t>层浮阀塔盘</w:t>
      </w:r>
      <w:r>
        <w:rPr>
          <w:rFonts w:ascii="Times New Roman" w:hAnsi="Times New Roman"/>
          <w:sz w:val="24"/>
        </w:rPr>
        <w:t>)</w:t>
      </w:r>
      <w:r>
        <w:rPr>
          <w:rFonts w:ascii="Times New Roman" w:hAnsi="Times New Roman"/>
          <w:sz w:val="24"/>
        </w:rPr>
        <w:t>，与自塔底上升的循环氢逆向接</w:t>
      </w:r>
      <w:r>
        <w:rPr>
          <w:rFonts w:ascii="Times New Roman" w:hAnsi="Times New Roman"/>
          <w:sz w:val="24"/>
        </w:rPr>
        <w:lastRenderedPageBreak/>
        <w:t>触，脱除循环氢中的硫化氢。</w:t>
      </w:r>
    </w:p>
    <w:p w:rsidR="00525419" w:rsidRDefault="00EE1CF7">
      <w:pPr>
        <w:snapToGrid w:val="0"/>
        <w:spacing w:line="360" w:lineRule="auto"/>
        <w:ind w:firstLine="567"/>
        <w:rPr>
          <w:rFonts w:ascii="Times New Roman" w:hAnsi="Times New Roman"/>
          <w:sz w:val="24"/>
        </w:rPr>
      </w:pPr>
      <w:r>
        <w:rPr>
          <w:rFonts w:ascii="Times New Roman" w:hAnsi="Times New Roman"/>
          <w:sz w:val="24"/>
        </w:rPr>
        <w:t>脱硫后循环氢与装置外来新氢混合，经循环氢压缩机入口分液罐分液后由循环氢压缩机升压后与重煤焦油混合作为混合进料。</w:t>
      </w:r>
    </w:p>
    <w:p w:rsidR="00525419" w:rsidRDefault="00EE1CF7">
      <w:pPr>
        <w:snapToGrid w:val="0"/>
        <w:spacing w:line="360" w:lineRule="auto"/>
        <w:ind w:firstLine="567"/>
        <w:rPr>
          <w:rFonts w:ascii="Times New Roman" w:hAnsi="Times New Roman"/>
          <w:sz w:val="24"/>
        </w:rPr>
      </w:pPr>
      <w:r>
        <w:rPr>
          <w:rFonts w:ascii="Times New Roman" w:hAnsi="Times New Roman"/>
          <w:sz w:val="24"/>
        </w:rPr>
        <w:t>为防止反应流出物在冷却过程中析出铵盐堵塞管道和设备，通过注水泵将除盐水注至反应流出物空冷器上游侧的管道中。</w:t>
      </w:r>
    </w:p>
    <w:p w:rsidR="00525419" w:rsidRDefault="00EE1CF7">
      <w:pPr>
        <w:spacing w:line="360" w:lineRule="auto"/>
        <w:ind w:firstLineChars="200" w:firstLine="480"/>
        <w:rPr>
          <w:rFonts w:ascii="Times New Roman" w:hAnsi="Times New Roman"/>
          <w:sz w:val="24"/>
        </w:rPr>
      </w:pPr>
      <w:r>
        <w:rPr>
          <w:rFonts w:ascii="Times New Roman" w:hAnsi="Times New Roman"/>
          <w:sz w:val="24"/>
          <w:szCs w:val="24"/>
        </w:rPr>
        <w:t>▲</w:t>
      </w:r>
      <w:r>
        <w:rPr>
          <w:rFonts w:ascii="Times New Roman" w:hAnsi="Times New Roman"/>
          <w:sz w:val="24"/>
        </w:rPr>
        <w:t>汽提部分</w:t>
      </w:r>
    </w:p>
    <w:p w:rsidR="00525419" w:rsidRDefault="00EE1CF7">
      <w:pPr>
        <w:snapToGrid w:val="0"/>
        <w:spacing w:line="360" w:lineRule="auto"/>
        <w:ind w:firstLine="567"/>
        <w:rPr>
          <w:rFonts w:ascii="Times New Roman" w:hAnsi="Times New Roman"/>
          <w:sz w:val="24"/>
        </w:rPr>
      </w:pPr>
      <w:r>
        <w:rPr>
          <w:rFonts w:ascii="Times New Roman" w:hAnsi="Times New Roman"/>
          <w:sz w:val="24"/>
        </w:rPr>
        <w:t>低分油经低分油</w:t>
      </w:r>
      <w:r>
        <w:rPr>
          <w:rFonts w:ascii="Times New Roman" w:hAnsi="Times New Roman"/>
          <w:sz w:val="24"/>
        </w:rPr>
        <w:t>/</w:t>
      </w:r>
      <w:r>
        <w:rPr>
          <w:rFonts w:ascii="Times New Roman" w:hAnsi="Times New Roman"/>
          <w:sz w:val="24"/>
        </w:rPr>
        <w:t>重煤焦油换热器换热后，进入汽提塔。塔顶油气经汽提塔顶空冷器、汽提塔顶后冷器冷凝冷却至</w:t>
      </w:r>
      <w:r>
        <w:rPr>
          <w:rFonts w:ascii="Times New Roman" w:hAnsi="Times New Roman"/>
          <w:sz w:val="24"/>
        </w:rPr>
        <w:t>40℃</w:t>
      </w:r>
      <w:r>
        <w:rPr>
          <w:rFonts w:ascii="Times New Roman" w:hAnsi="Times New Roman"/>
          <w:sz w:val="24"/>
        </w:rPr>
        <w:t>后进入汽提塔顶回流罐中，进行油、气、水分离，闪蒸出的气体送出装置处理，油相经汽提塔顶回流泵升压后作为塔顶回流。汽提塔底采用蒸汽作为重沸热源，塔底精制煤焦油经重煤焦油泵升压、低分油</w:t>
      </w:r>
      <w:r>
        <w:rPr>
          <w:rFonts w:ascii="Times New Roman" w:hAnsi="Times New Roman"/>
          <w:sz w:val="24"/>
        </w:rPr>
        <w:t>/</w:t>
      </w:r>
      <w:r>
        <w:rPr>
          <w:rFonts w:ascii="Times New Roman" w:hAnsi="Times New Roman"/>
          <w:sz w:val="24"/>
        </w:rPr>
        <w:t>重煤焦油换热器换热、重煤焦油空冷器、重煤焦油冷却器冷却后出装置界区。</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rPr>
        <w:t>煤焦油预处理</w:t>
      </w:r>
      <w:r>
        <w:rPr>
          <w:rFonts w:ascii="Times New Roman" w:hAnsi="Times New Roman"/>
          <w:sz w:val="24"/>
          <w:szCs w:val="24"/>
        </w:rPr>
        <w:t>生产工艺流程及主要产污环节见图</w:t>
      </w:r>
      <w:r>
        <w:rPr>
          <w:rFonts w:ascii="Times New Roman" w:hAnsi="Times New Roman"/>
          <w:sz w:val="24"/>
          <w:szCs w:val="24"/>
        </w:rPr>
        <w:t>3.4-2</w:t>
      </w:r>
      <w:r>
        <w:rPr>
          <w:rFonts w:ascii="Times New Roman" w:hAnsi="Times New Roman"/>
          <w:sz w:val="24"/>
          <w:szCs w:val="24"/>
        </w:rPr>
        <w:t>。</w:t>
      </w:r>
    </w:p>
    <w:p w:rsidR="00525419" w:rsidRDefault="007D0E8A">
      <w:pPr>
        <w:rPr>
          <w:rFonts w:ascii="Times New Roman" w:hAnsi="Times New Roman"/>
        </w:rPr>
      </w:pPr>
      <w:r>
        <w:rPr>
          <w:rFonts w:ascii="Times New Roman" w:hAnsi="Times New Roman"/>
        </w:rPr>
        <w:pict>
          <v:group id="Group 2740" o:spid="_x0000_s1304" style="position:absolute;left:0;text-align:left;margin-left:-18.6pt;margin-top:12.55pt;width:423.75pt;height:323.15pt;z-index:251653632" coordorigin="1428,6362" coordsize="8475,6463">
            <v:shape id="Quad Arrow 1730" o:spid="_x0000_s1305" type="#_x0000_t202" style="position:absolute;left:4473;top:9422;width:1200;height:404" o:preferrelative="t" filled="f" stroked="f">
              <v:textbox inset="1.42pt,.85pt,1.42pt,.85pt">
                <w:txbxContent>
                  <w:p w:rsidR="00EE1CF7" w:rsidRDefault="00EE1CF7">
                    <w:r>
                      <w:rPr>
                        <w:rFonts w:hint="eastAsia"/>
                      </w:rPr>
                      <w:t>S2</w:t>
                    </w:r>
                    <w:r>
                      <w:rPr>
                        <w:rFonts w:hint="eastAsia"/>
                      </w:rPr>
                      <w:t>废催化剂</w:t>
                    </w:r>
                  </w:p>
                </w:txbxContent>
              </v:textbox>
            </v:shape>
            <v:shape id="Quad Arrow 1731" o:spid="_x0000_s1306" type="#_x0000_t202" style="position:absolute;left:4398;top:7112;width:990;height:370" o:preferrelative="t" filled="f" stroked="f">
              <v:textbox inset="1.42pt,.85pt,1.42pt,.85pt">
                <w:txbxContent>
                  <w:p w:rsidR="00EE1CF7" w:rsidRDefault="00EE1CF7">
                    <w:r>
                      <w:rPr>
                        <w:rFonts w:hint="eastAsia"/>
                      </w:rPr>
                      <w:t>煤焦油</w:t>
                    </w:r>
                  </w:p>
                </w:txbxContent>
              </v:textbox>
            </v:shape>
            <v:shape id="Quad Arrow 1732" o:spid="_x0000_s1307" type="#_x0000_t202" style="position:absolute;left:8088;top:7170;width:1425;height:312" o:preferrelative="t">
              <v:stroke miterlimit="2"/>
              <v:textbox inset="1.42pt,.85pt,1.42pt,.85pt">
                <w:txbxContent>
                  <w:p w:rsidR="00EE1CF7" w:rsidRDefault="00EE1CF7">
                    <w:r>
                      <w:rPr>
                        <w:rFonts w:hint="eastAsia"/>
                      </w:rPr>
                      <w:t>预加氢反应器</w:t>
                    </w:r>
                  </w:p>
                </w:txbxContent>
              </v:textbox>
            </v:shape>
            <v:shape id="Quad Arrow 1733" o:spid="_x0000_s1308" type="#_x0000_t202" style="position:absolute;left:8298;top:8642;width:1035;height:312" o:preferrelative="t">
              <v:stroke miterlimit="2"/>
              <v:textbox inset="1.42pt,.85pt,1.42pt,.85pt">
                <w:txbxContent>
                  <w:p w:rsidR="00EE1CF7" w:rsidRDefault="00EE1CF7">
                    <w:r>
                      <w:rPr>
                        <w:rFonts w:hint="eastAsia"/>
                      </w:rPr>
                      <w:t>预分馏塔</w:t>
                    </w:r>
                  </w:p>
                </w:txbxContent>
              </v:textbox>
            </v:shape>
            <v:shape id="Quad Arrow 1734" o:spid="_x0000_s1309" type="#_x0000_t202" style="position:absolute;left:8298;top:6362;width:1170;height:362" o:preferrelative="t" filled="f" stroked="f">
              <v:textbox inset="1.42pt,.85pt,1.42pt,.85pt">
                <w:txbxContent>
                  <w:p w:rsidR="00EE1CF7" w:rsidRDefault="00EE1CF7">
                    <w:r>
                      <w:rPr>
                        <w:rFonts w:hint="eastAsia"/>
                      </w:rPr>
                      <w:t>S1</w:t>
                    </w:r>
                    <w:r>
                      <w:rPr>
                        <w:rFonts w:hint="eastAsia"/>
                      </w:rPr>
                      <w:t>废催化剂</w:t>
                    </w:r>
                  </w:p>
                </w:txbxContent>
              </v:textbox>
            </v:shape>
            <v:line id="Line 1735" o:spid="_x0000_s1310" style="position:absolute" from="8778,6674" to="8778,7142" o:preferrelative="t">
              <v:stroke dashstyle="dash" startarrow="block" miterlimit="2"/>
            </v:line>
            <v:shape id="Quad Arrow 1736" o:spid="_x0000_s1311" type="#_x0000_t202" style="position:absolute;left:6363;top:7803;width:1185;height:404" o:preferrelative="t" filled="f" stroked="f">
              <v:textbox inset="1.42pt,.85pt,1.42pt,.85pt">
                <w:txbxContent>
                  <w:p w:rsidR="00EE1CF7" w:rsidRDefault="00EE1CF7">
                    <w:r>
                      <w:rPr>
                        <w:rFonts w:hint="eastAsia"/>
                      </w:rPr>
                      <w:t>干气去脱硫</w:t>
                    </w:r>
                  </w:p>
                </w:txbxContent>
              </v:textbox>
            </v:shape>
            <v:shape id="Quad Arrow 1737" o:spid="_x0000_s1312" type="#_x0000_t202" style="position:absolute;left:6678;top:8642;width:705;height:312" o:preferrelative="t">
              <v:stroke miterlimit="2"/>
              <v:textbox inset="1.42pt,.85pt,1.42pt,.85pt">
                <w:txbxContent>
                  <w:p w:rsidR="00EE1CF7" w:rsidRDefault="00EE1CF7">
                    <w:r>
                      <w:rPr>
                        <w:rFonts w:hint="eastAsia"/>
                      </w:rPr>
                      <w:t>加热炉</w:t>
                    </w:r>
                  </w:p>
                </w:txbxContent>
              </v:textbox>
            </v:shape>
            <v:line id="Line 1738" o:spid="_x0000_s1313" style="position:absolute;flip:y" from="7038,8311" to="7038,8623" o:preferrelative="t">
              <v:stroke dashstyle="dash" endarrow="block" miterlimit="2"/>
            </v:line>
            <v:shape id="Quad Arrow 1739" o:spid="_x0000_s1314" type="#_x0000_t202" style="position:absolute;left:6603;top:8059;width:855;height:312" o:preferrelative="t" filled="f" stroked="f">
              <v:textbox inset="1.42pt,.85pt,1.42pt,.85pt">
                <w:txbxContent>
                  <w:p w:rsidR="00EE1CF7" w:rsidRDefault="00EE1CF7">
                    <w:r>
                      <w:rPr>
                        <w:rFonts w:hint="eastAsia"/>
                      </w:rPr>
                      <w:t>G1</w:t>
                    </w:r>
                    <w:r>
                      <w:rPr>
                        <w:rFonts w:hint="eastAsia"/>
                      </w:rPr>
                      <w:t>烟气</w:t>
                    </w:r>
                  </w:p>
                </w:txbxContent>
              </v:textbox>
            </v:shape>
            <v:shape id="Quad Arrow 1740" o:spid="_x0000_s1315" type="#_x0000_t202" style="position:absolute;left:8193;top:7482;width:1320;height:313" o:preferrelative="t" filled="f" stroked="f">
              <v:textbox inset="1.42pt,.85pt,1.42pt,.85pt">
                <w:txbxContent>
                  <w:p w:rsidR="00EE1CF7" w:rsidRDefault="00EE1CF7">
                    <w:r>
                      <w:rPr>
                        <w:rFonts w:hint="eastAsia"/>
                      </w:rPr>
                      <w:t>W1</w:t>
                    </w:r>
                    <w:r>
                      <w:rPr>
                        <w:rFonts w:hint="eastAsia"/>
                      </w:rPr>
                      <w:t>含硫废水</w:t>
                    </w:r>
                  </w:p>
                </w:txbxContent>
              </v:textbox>
            </v:shape>
            <v:shape id="Quad Arrow 1741" o:spid="_x0000_s1316" type="#_x0000_t202" style="position:absolute;left:4248;top:8642;width:1620;height:312" o:preferrelative="t">
              <v:stroke miterlimit="2"/>
              <v:textbox inset="1.42pt,.85pt,1.42pt,.85pt">
                <w:txbxContent>
                  <w:p w:rsidR="00EE1CF7" w:rsidRDefault="00EE1CF7">
                    <w:r>
                      <w:rPr>
                        <w:rFonts w:hint="eastAsia"/>
                      </w:rPr>
                      <w:t>HDS</w:t>
                    </w:r>
                    <w:r>
                      <w:rPr>
                        <w:rFonts w:hint="eastAsia"/>
                      </w:rPr>
                      <w:t>加氢反应器</w:t>
                    </w:r>
                  </w:p>
                </w:txbxContent>
              </v:textbox>
            </v:shape>
            <v:line id="Line 1742" o:spid="_x0000_s1317" style="position:absolute" from="8778,8954" to="8778,9497" o:preferrelative="t">
              <v:stroke endarrow="block" miterlimit="2"/>
            </v:line>
            <v:line id="Line 1743" o:spid="_x0000_s1318" style="position:absolute" from="5118,8954" to="5118,9422" o:preferrelative="t">
              <v:stroke dashstyle="dash" endarrow="block" miterlimit="2"/>
            </v:line>
            <v:shape id="Quad Arrow 1744" o:spid="_x0000_s1319" type="#_x0000_t202" style="position:absolute;left:2943;top:8642;width:720;height:312" o:preferrelative="t">
              <v:stroke miterlimit="2"/>
              <v:textbox inset="1.42pt,.85pt,1.42pt,.85pt">
                <w:txbxContent>
                  <w:p w:rsidR="00EE1CF7" w:rsidRDefault="00EE1CF7">
                    <w:r>
                      <w:rPr>
                        <w:rFonts w:hint="eastAsia"/>
                      </w:rPr>
                      <w:t>空冷器</w:t>
                    </w:r>
                  </w:p>
                </w:txbxContent>
              </v:textbox>
            </v:shape>
            <v:shape id="Quad Arrow 1745" o:spid="_x0000_s1320" type="#_x0000_t202" style="position:absolute;left:3723;top:9212;width:525;height:370" o:preferrelative="t" filled="f" stroked="f">
              <v:textbox inset="1.42pt,.85pt,1.42pt,.85pt">
                <w:txbxContent>
                  <w:p w:rsidR="00EE1CF7" w:rsidRDefault="00EE1CF7">
                    <w:r>
                      <w:rPr>
                        <w:rFonts w:hint="eastAsia"/>
                      </w:rPr>
                      <w:t>注水</w:t>
                    </w:r>
                  </w:p>
                </w:txbxContent>
              </v:textbox>
            </v:shape>
            <v:shape id="Straight Connector 1746" o:spid="_x0000_s1321" type="#_x0000_t32" style="position:absolute;left:5463;top:7306;width:705;height:0" o:connectortype="straight" o:preferrelative="t">
              <v:stroke endarrow="block" miterlimit="2"/>
            </v:shape>
            <v:shape id="Quad Arrow 1747" o:spid="_x0000_s1322" type="#_x0000_t202" style="position:absolute;left:6168;top:7170;width:1215;height:312" o:preferrelative="t">
              <v:stroke miterlimit="2"/>
              <v:textbox inset="1.42pt,.85pt,1.42pt,.85pt">
                <w:txbxContent>
                  <w:p w:rsidR="00EE1CF7" w:rsidRDefault="00EE1CF7">
                    <w:r>
                      <w:rPr>
                        <w:rFonts w:hint="eastAsia"/>
                      </w:rPr>
                      <w:t>氢气混合器</w:t>
                    </w:r>
                  </w:p>
                </w:txbxContent>
              </v:textbox>
            </v:shape>
            <v:shape id="Straight Connector 1748" o:spid="_x0000_s1323" type="#_x0000_t32" style="position:absolute;left:7383;top:7291;width:705;height:0" o:connectortype="straight" o:preferrelative="t">
              <v:stroke endarrow="block" miterlimit="2"/>
            </v:shape>
            <v:shape id="Straight Connector 1749" o:spid="_x0000_s1324" type="#_x0000_t32" style="position:absolute;left:9513;top:7306;width:390;height:0" o:connectortype="straight" o:preferrelative="t">
              <v:stroke miterlimit="2"/>
            </v:shape>
            <v:shape id="Straight Connector 1750" o:spid="_x0000_s1325" type="#_x0000_t32" style="position:absolute;left:9903;top:7306;width:0;height:1500" o:connectortype="straight" o:preferrelative="t">
              <v:stroke miterlimit="2"/>
            </v:shape>
            <v:shape id="Straight Connector 1751" o:spid="_x0000_s1326" type="#_x0000_t32" style="position:absolute;left:9333;top:8807;width:570;height:0;flip:x" o:connectortype="straight" o:preferrelative="t">
              <v:stroke endarrow="block" miterlimit="2"/>
            </v:shape>
            <v:shape id="Straight Connector 1752" o:spid="_x0000_s1327" type="#_x0000_t32" style="position:absolute;left:7383;top:8807;width:915;height:0;flip:x" o:connectortype="straight" o:preferrelative="t">
              <v:stroke endarrow="block" miterlimit="2"/>
            </v:shape>
            <v:shape id="Straight Connector 1753" o:spid="_x0000_s1328" type="#_x0000_t32" style="position:absolute;left:8778;top:8206;width:0;height:435;flip:y" o:connectortype="straight" o:preferrelative="t">
              <v:stroke endarrow="block" miterlimit="2"/>
            </v:shape>
            <v:shape id="Quad Arrow 1754" o:spid="_x0000_s1329" type="#_x0000_t202" style="position:absolute;left:8433;top:7895;width:795;height:312" o:preferrelative="t">
              <v:stroke miterlimit="2"/>
              <v:textbox inset="1.42pt,.85pt,1.42pt,.85pt">
                <w:txbxContent>
                  <w:p w:rsidR="00EE1CF7" w:rsidRDefault="00EE1CF7">
                    <w:r>
                      <w:rPr>
                        <w:rFonts w:hint="eastAsia"/>
                      </w:rPr>
                      <w:t>回流罐</w:t>
                    </w:r>
                  </w:p>
                </w:txbxContent>
              </v:textbox>
            </v:shape>
            <v:shape id="Straight Connector 1755" o:spid="_x0000_s1330" type="#_x0000_t32" style="position:absolute;left:8088;top:8086;width:345;height:15;flip:x" o:connectortype="straight" o:preferrelative="t">
              <v:stroke miterlimit="2"/>
            </v:shape>
            <v:shape id="Straight Connector 1756" o:spid="_x0000_s1331" type="#_x0000_t32" style="position:absolute;left:8088;top:8101;width:0;height:345" o:connectortype="straight" o:preferrelative="t">
              <v:stroke miterlimit="2"/>
            </v:shape>
            <v:shape id="Straight Connector 1757" o:spid="_x0000_s1332" type="#_x0000_t32" style="position:absolute;left:8088;top:8447;width:465;height:0" o:connectortype="straight" o:preferrelative="t">
              <v:stroke miterlimit="2"/>
            </v:shape>
            <v:shape id="Straight Connector 1758" o:spid="_x0000_s1333" type="#_x0000_t32" style="position:absolute;left:8553;top:8447;width:0;height:195" o:connectortype="straight" o:preferrelative="t">
              <v:stroke endarrow="block" miterlimit="2"/>
            </v:shape>
            <v:shape id="Quad Arrow 1759" o:spid="_x0000_s1334" type="#_x0000_t202" style="position:absolute;left:8553;top:8206;width:540;height:312" o:preferrelative="t" filled="f" stroked="f">
              <v:textbox inset="1.42pt,.85pt,1.42pt,.85pt">
                <w:txbxContent>
                  <w:p w:rsidR="00EE1CF7" w:rsidRDefault="00EE1CF7">
                    <w:r>
                      <w:rPr>
                        <w:rFonts w:hint="eastAsia"/>
                      </w:rPr>
                      <w:t>气相</w:t>
                    </w:r>
                  </w:p>
                </w:txbxContent>
              </v:textbox>
            </v:shape>
            <v:shape id="Straight Connector 1760" o:spid="_x0000_s1335" type="#_x0000_t32" style="position:absolute;left:7548;top:7996;width:885;height:0;flip:x" o:connectortype="straight" o:preferrelative="t">
              <v:stroke endarrow="block" miterlimit="2"/>
            </v:shape>
            <v:shape id="Quad Arrow 1761" o:spid="_x0000_s1336" type="#_x0000_t202" style="position:absolute;left:7593;top:8642;width:705;height:312" o:preferrelative="t" filled="f" stroked="f">
              <v:textbox inset="1.42pt,.85pt,1.42pt,.85pt">
                <w:txbxContent>
                  <w:p w:rsidR="00EE1CF7" w:rsidRDefault="00EE1CF7">
                    <w:pPr>
                      <w:rPr>
                        <w:sz w:val="18"/>
                        <w:szCs w:val="18"/>
                      </w:rPr>
                    </w:pPr>
                    <w:r>
                      <w:rPr>
                        <w:rFonts w:hint="eastAsia"/>
                        <w:sz w:val="18"/>
                        <w:szCs w:val="18"/>
                      </w:rPr>
                      <w:t>塔底油</w:t>
                    </w:r>
                  </w:p>
                </w:txbxContent>
              </v:textbox>
            </v:shape>
            <v:shape id="Straight Connector 1762" o:spid="_x0000_s1337" type="#_x0000_t32" style="position:absolute;left:8778;top:7682;width:0;height:213;flip:y" o:connectortype="straight" o:preferrelative="t">
              <v:stroke dashstyle="dash" endarrow="block" miterlimit="2"/>
            </v:shape>
            <v:shape id="Straight Connector 1763" o:spid="_x0000_s1338" type="#_x0000_t32" style="position:absolute;left:5868;top:8807;width:810;height:0;flip:x" o:connectortype="straight" o:preferrelative="t">
              <v:stroke endarrow="block" miterlimit="2"/>
            </v:shape>
            <v:shape id="Straight Connector 1764" o:spid="_x0000_s1339" type="#_x0000_t32" style="position:absolute;left:3663;top:8807;width:585;height:0;flip:x" o:connectortype="straight" o:preferrelative="t">
              <v:stroke endarrow="block" miterlimit="2"/>
            </v:shape>
            <v:shape id="Quad Arrow 1765" o:spid="_x0000_s1340" type="#_x0000_t202" style="position:absolute;left:8148;top:9497;width:1245;height:370" o:preferrelative="t" filled="f" stroked="f">
              <v:textbox inset="1.42pt,.85pt,1.42pt,.85pt">
                <w:txbxContent>
                  <w:p w:rsidR="00EE1CF7" w:rsidRDefault="00EE1CF7">
                    <w:pPr>
                      <w:rPr>
                        <w:b/>
                      </w:rPr>
                    </w:pPr>
                    <w:r>
                      <w:rPr>
                        <w:rFonts w:hint="eastAsia"/>
                      </w:rPr>
                      <w:t xml:space="preserve">　</w:t>
                    </w:r>
                    <w:r>
                      <w:rPr>
                        <w:rFonts w:hint="eastAsia"/>
                        <w:b/>
                      </w:rPr>
                      <w:t>精制轻油</w:t>
                    </w:r>
                  </w:p>
                </w:txbxContent>
              </v:textbox>
            </v:shape>
            <v:shape id="Straight Connector 1766" o:spid="_x0000_s1341" type="#_x0000_t32" style="position:absolute;left:3948;top:8807;width:0;height:405;flip:y" o:connectortype="straight" o:preferrelative="t">
              <v:stroke endarrow="block" miterlimit="2"/>
            </v:shape>
            <v:shape id="Straight Connector 1767" o:spid="_x0000_s1342" type="#_x0000_t32" style="position:absolute;left:2418;top:8807;width:525;height:0;flip:x" o:connectortype="straight" o:preferrelative="t">
              <v:stroke endarrow="block" miterlimit="2"/>
            </v:shape>
            <v:shape id="Quad Arrow 1768" o:spid="_x0000_s1343" type="#_x0000_t202" style="position:absolute;left:1698;top:8642;width:720;height:312" o:preferrelative="t">
              <v:stroke miterlimit="2"/>
              <v:textbox inset="1.42pt,.85pt,1.42pt,.85pt">
                <w:txbxContent>
                  <w:p w:rsidR="00EE1CF7" w:rsidRDefault="00EE1CF7">
                    <w:r>
                      <w:rPr>
                        <w:rFonts w:hint="eastAsia"/>
                      </w:rPr>
                      <w:t>分离器</w:t>
                    </w:r>
                  </w:p>
                </w:txbxContent>
              </v:textbox>
            </v:shape>
            <v:shape id="Straight Connector 1769" o:spid="_x0000_s1344" type="#_x0000_t32" style="position:absolute;left:2058;top:8206;width:0;height:435;flip:y" o:connectortype="straight" o:preferrelative="t">
              <v:stroke dashstyle="dash" endarrow="block" miterlimit="2"/>
            </v:shape>
            <v:shape id="Quad Arrow 1770" o:spid="_x0000_s1345" type="#_x0000_t202" style="position:absolute;left:1428;top:7895;width:1320;height:313" o:preferrelative="t" filled="f" stroked="f">
              <v:textbox inset="1.42pt,.85pt,1.42pt,.85pt">
                <w:txbxContent>
                  <w:p w:rsidR="00EE1CF7" w:rsidRDefault="00EE1CF7">
                    <w:r>
                      <w:rPr>
                        <w:rFonts w:hint="eastAsia"/>
                      </w:rPr>
                      <w:t>W2</w:t>
                    </w:r>
                    <w:r>
                      <w:rPr>
                        <w:rFonts w:hint="eastAsia"/>
                      </w:rPr>
                      <w:t>含硫废水</w:t>
                    </w:r>
                  </w:p>
                </w:txbxContent>
              </v:textbox>
            </v:shape>
            <v:shape id="Straight Connector 1771" o:spid="_x0000_s1346" type="#_x0000_t32" style="position:absolute;left:2253;top:8954;width:0;height:1218" o:connectortype="straight" o:preferrelative="t">
              <v:stroke miterlimit="2"/>
            </v:shape>
            <v:shape id="Straight Connector 1772" o:spid="_x0000_s1347" type="#_x0000_t32" style="position:absolute;left:2253;top:10172;width:1155;height:0" o:connectortype="straight" o:preferrelative="t">
              <v:stroke endarrow="block" miterlimit="2"/>
            </v:shape>
            <v:shape id="Quad Arrow 1773" o:spid="_x0000_s1348" type="#_x0000_t202" style="position:absolute;left:3408;top:10022;width:1425;height:312" o:preferrelative="t">
              <v:stroke miterlimit="2"/>
              <v:textbox inset="1.42pt,.85pt,1.42pt,.85pt">
                <w:txbxContent>
                  <w:p w:rsidR="00EE1CF7" w:rsidRDefault="00EE1CF7">
                    <w:r>
                      <w:rPr>
                        <w:rFonts w:hint="eastAsia"/>
                      </w:rPr>
                      <w:t>循环氢脱硫塔</w:t>
                    </w:r>
                  </w:p>
                </w:txbxContent>
              </v:textbox>
            </v:shape>
            <v:shape id="Straight Connector 1774" o:spid="_x0000_s1349" type="#_x0000_t32" style="position:absolute;left:4833;top:10172;width:3240;height:0" o:connectortype="straight" o:preferrelative="t">
              <v:stroke miterlimit="2"/>
            </v:shape>
            <v:shape id="Straight Connector 1775" o:spid="_x0000_s1350" type="#_x0000_t32" style="position:absolute;left:6768;top:6674;width:1;height:468" o:connectortype="straight" o:preferrelative="t">
              <v:stroke endarrow="block" miterlimit="2"/>
            </v:shape>
            <v:shape id="Quad Arrow 1776" o:spid="_x0000_s1351" type="#_x0000_t202" style="position:absolute;left:2583;top:9867;width:540;height:312" o:preferrelative="t" filled="f" stroked="f">
              <v:textbox inset="1.42pt,.85pt,1.42pt,.85pt">
                <w:txbxContent>
                  <w:p w:rsidR="00EE1CF7" w:rsidRDefault="00EE1CF7">
                    <w:r>
                      <w:rPr>
                        <w:rFonts w:hint="eastAsia"/>
                      </w:rPr>
                      <w:t>气相</w:t>
                    </w:r>
                  </w:p>
                </w:txbxContent>
              </v:textbox>
            </v:shape>
            <v:shape id="Quad Arrow 1777" o:spid="_x0000_s1352" type="#_x0000_t202" style="position:absolute;left:6588;top:10022;width:765;height:312" o:preferrelative="t" filled="f" stroked="f">
              <v:textbox inset="1.42pt,.85pt,1.42pt,.85pt">
                <w:txbxContent>
                  <w:p w:rsidR="00EE1CF7" w:rsidRDefault="00EE1CF7">
                    <w:r>
                      <w:rPr>
                        <w:rFonts w:hint="eastAsia"/>
                      </w:rPr>
                      <w:t>循环氢</w:t>
                    </w:r>
                  </w:p>
                </w:txbxContent>
              </v:textbox>
            </v:shape>
            <v:shape id="Straight Connector 1778" o:spid="_x0000_s1353" type="#_x0000_t32" style="position:absolute;left:1983;top:8954;width:0;height:2148" o:connectortype="straight" o:preferrelative="t">
              <v:stroke miterlimit="2"/>
            </v:shape>
            <v:shape id="Straight Connector 1779" o:spid="_x0000_s1354" type="#_x0000_t32" style="position:absolute;left:1983;top:11102;width:960;height:0" o:connectortype="straight" o:preferrelative="t">
              <v:stroke endarrow="block" miterlimit="2"/>
            </v:shape>
            <v:shape id="Quad Arrow 1780" o:spid="_x0000_s1355" type="#_x0000_t202" style="position:absolute;left:2058;top:10892;width:735;height:312" o:preferrelative="t" filled="f" stroked="f">
              <v:textbox inset="1.42pt,.85pt,1.42pt,.85pt">
                <w:txbxContent>
                  <w:p w:rsidR="00EE1CF7" w:rsidRDefault="00EE1CF7">
                    <w:r>
                      <w:rPr>
                        <w:rFonts w:hint="eastAsia"/>
                      </w:rPr>
                      <w:t>低分油</w:t>
                    </w:r>
                  </w:p>
                </w:txbxContent>
              </v:textbox>
            </v:shape>
            <v:shape id="Quad Arrow 1781" o:spid="_x0000_s1356" type="#_x0000_t202" style="position:absolute;left:2973;top:10967;width:720;height:312" o:preferrelative="t">
              <v:stroke miterlimit="2"/>
              <v:textbox inset="1.42pt,.85pt,1.42pt,.85pt">
                <w:txbxContent>
                  <w:p w:rsidR="00EE1CF7" w:rsidRDefault="00EE1CF7">
                    <w:r>
                      <w:rPr>
                        <w:rFonts w:hint="eastAsia"/>
                      </w:rPr>
                      <w:t>汽提塔</w:t>
                    </w:r>
                  </w:p>
                </w:txbxContent>
              </v:textbox>
            </v:shape>
            <v:shape id="Straight Connector 1782" o:spid="_x0000_s1357" type="#_x0000_t32" style="position:absolute;left:3348;top:11279;width:0;height:363" o:connectortype="straight" o:preferrelative="t">
              <v:stroke endarrow="block" miterlimit="2"/>
            </v:shape>
            <v:shape id="Quad Arrow 1783" o:spid="_x0000_s1358" type="#_x0000_t202" style="position:absolute;left:2973;top:11642;width:795;height:312" o:preferrelative="t">
              <v:stroke miterlimit="2"/>
              <v:textbox inset="1.42pt,.85pt,1.42pt,.85pt">
                <w:txbxContent>
                  <w:p w:rsidR="00EE1CF7" w:rsidRDefault="00EE1CF7">
                    <w:r>
                      <w:rPr>
                        <w:rFonts w:hint="eastAsia"/>
                      </w:rPr>
                      <w:t>回流罐</w:t>
                    </w:r>
                  </w:p>
                </w:txbxContent>
              </v:textbox>
            </v:shape>
            <v:shape id="Straight Connector 1784" o:spid="_x0000_s1359" type="#_x0000_t32" style="position:absolute;left:3768;top:11807;width:300;height:15" o:connectortype="straight" o:preferrelative="t">
              <v:stroke miterlimit="2"/>
            </v:shape>
            <v:shape id="Straight Connector 1785" o:spid="_x0000_s1360" type="#_x0000_t32" style="position:absolute;left:4068;top:11492;width:0;height:330;flip:y" o:connectortype="straight" o:preferrelative="t">
              <v:stroke miterlimit="2"/>
            </v:shape>
            <v:shape id="Straight Connector 1786" o:spid="_x0000_s1361" type="#_x0000_t32" style="position:absolute;left:3588;top:11492;width:480;height:0;flip:x" o:connectortype="straight" o:preferrelative="t">
              <v:stroke miterlimit="2"/>
            </v:shape>
            <v:shape id="Straight Connector 1787" o:spid="_x0000_s1362" type="#_x0000_t32" style="position:absolute;left:3588;top:11279;width:0;height:213;flip:y" o:connectortype="straight" o:preferrelative="t">
              <v:stroke endarrow="block" miterlimit="2"/>
            </v:shape>
            <v:shape id="Quad Arrow 1788" o:spid="_x0000_s1363" type="#_x0000_t202" style="position:absolute;left:3048;top:11330;width:540;height:312" o:preferrelative="t" filled="f" stroked="f">
              <v:textbox inset="1.42pt,.85pt,1.42pt,.85pt">
                <w:txbxContent>
                  <w:p w:rsidR="00EE1CF7" w:rsidRDefault="00EE1CF7">
                    <w:r>
                      <w:rPr>
                        <w:rFonts w:hint="eastAsia"/>
                      </w:rPr>
                      <w:t>气相</w:t>
                    </w:r>
                  </w:p>
                </w:txbxContent>
              </v:textbox>
            </v:shape>
            <v:shape id="Straight Connector 1789" o:spid="_x0000_s1364" type="#_x0000_t32" style="position:absolute;left:2418;top:11807;width:555;height:0;flip:x" o:connectortype="straight" o:preferrelative="t">
              <v:stroke miterlimit="2"/>
            </v:shape>
            <v:shape id="Quad Arrow 1790" o:spid="_x0000_s1365" type="#_x0000_t202" style="position:absolute;left:1938;top:12421;width:1185;height:404" o:preferrelative="t" filled="f" stroked="f">
              <v:textbox inset="1.42pt,.85pt,1.42pt,.85pt">
                <w:txbxContent>
                  <w:p w:rsidR="00EE1CF7" w:rsidRDefault="00EE1CF7">
                    <w:r>
                      <w:rPr>
                        <w:rFonts w:hint="eastAsia"/>
                      </w:rPr>
                      <w:t>干气去脱硫</w:t>
                    </w:r>
                  </w:p>
                </w:txbxContent>
              </v:textbox>
            </v:shape>
            <v:shape id="Straight Connector 1791" o:spid="_x0000_s1366" type="#_x0000_t32" style="position:absolute;left:2418;top:11807;width:0;height:615" o:connectortype="straight" o:preferrelative="t">
              <v:stroke endarrow="block" miterlimit="2"/>
            </v:shape>
            <v:shape id="Straight Connector 1792" o:spid="_x0000_s1367" type="#_x0000_t32" style="position:absolute;left:3588;top:11954;width:0;height:393" o:connectortype="straight" o:preferrelative="t">
              <v:stroke dashstyle="dash" endarrow="block" miterlimit="2"/>
            </v:shape>
            <v:shape id="Quad Arrow 1793" o:spid="_x0000_s1368" type="#_x0000_t202" style="position:absolute;left:2988;top:12256;width:1320;height:313" o:preferrelative="t" filled="f" stroked="f">
              <v:textbox inset="1.42pt,.85pt,1.42pt,.85pt">
                <w:txbxContent>
                  <w:p w:rsidR="00EE1CF7" w:rsidRDefault="00EE1CF7">
                    <w:r>
                      <w:rPr>
                        <w:rFonts w:hint="eastAsia"/>
                      </w:rPr>
                      <w:t>W3</w:t>
                    </w:r>
                    <w:r>
                      <w:rPr>
                        <w:rFonts w:hint="eastAsia"/>
                      </w:rPr>
                      <w:t>含硫废水</w:t>
                    </w:r>
                  </w:p>
                </w:txbxContent>
              </v:textbox>
            </v:shape>
            <v:shape id="Straight Connector 1794" o:spid="_x0000_s1369" type="#_x0000_t32" style="position:absolute;left:3708;top:11117;width:585;height:0" o:connectortype="straight" o:preferrelative="t">
              <v:stroke endarrow="block" miterlimit="2"/>
            </v:shape>
            <v:shape id="Quad Arrow 1795" o:spid="_x0000_s1370" type="#_x0000_t202" style="position:absolute;left:4353;top:10966;width:1320;height:313" o:preferrelative="t" filled="f" stroked="f">
              <v:textbox inset="1.42pt,.85pt,1.42pt,.85pt">
                <w:txbxContent>
                  <w:p w:rsidR="00EE1CF7" w:rsidRDefault="00EE1CF7">
                    <w:r>
                      <w:rPr>
                        <w:rFonts w:hint="eastAsia"/>
                      </w:rPr>
                      <w:t>精制煤焦油</w:t>
                    </w:r>
                  </w:p>
                </w:txbxContent>
              </v:textbox>
            </v:shape>
            <v:shape id="Straight Connector 1796" o:spid="_x0000_s1371" type="#_x0000_t32" style="position:absolute;left:4668;top:10334;width:0;height:288" o:connectortype="straight" o:preferrelative="t">
              <v:stroke startarrow="block" miterlimit="2"/>
            </v:shape>
            <v:shape id="Straight Connector 1797" o:spid="_x0000_s1372" type="#_x0000_t32" style="position:absolute;left:4683;top:10622;width:705;height:0;flip:x" o:connectortype="straight" o:preferrelative="t">
              <v:stroke miterlimit="2"/>
            </v:shape>
            <v:shape id="Quad Arrow 1798" o:spid="_x0000_s1373" type="#_x0000_t202" style="position:absolute;left:5448;top:10487;width:720;height:312" o:preferrelative="t">
              <v:stroke miterlimit="2"/>
              <v:textbox inset="1.42pt,.85pt,1.42pt,.85pt">
                <w:txbxContent>
                  <w:p w:rsidR="00EE1CF7" w:rsidRDefault="00EE1CF7">
                    <w:r>
                      <w:rPr>
                        <w:rFonts w:hint="eastAsia"/>
                      </w:rPr>
                      <w:t>缓冲罐</w:t>
                    </w:r>
                  </w:p>
                </w:txbxContent>
              </v:textbox>
            </v:shape>
            <v:shape id="Straight Connector 1799" o:spid="_x0000_s1374" type="#_x0000_t32" style="position:absolute;left:6168;top:10622;width:645;height:0;flip:x" o:connectortype="straight" o:preferrelative="t">
              <v:stroke endarrow="block" miterlimit="2"/>
            </v:shape>
            <v:shape id="Quad Arrow 1800" o:spid="_x0000_s1375" type="#_x0000_t202" style="position:absolute;left:6843;top:10487;width:1230;height:312" o:preferrelative="t" filled="f" stroked="f">
              <v:textbox inset="1.42pt,.85pt,1.42pt,.85pt">
                <w:txbxContent>
                  <w:p w:rsidR="00EE1CF7" w:rsidRDefault="00EE1CF7">
                    <w:r>
                      <w:rPr>
                        <w:rFonts w:hint="eastAsia"/>
                      </w:rPr>
                      <w:t>MDEA</w:t>
                    </w:r>
                    <w:r>
                      <w:rPr>
                        <w:rFonts w:hint="eastAsia"/>
                      </w:rPr>
                      <w:t>贫液</w:t>
                    </w:r>
                  </w:p>
                </w:txbxContent>
              </v:textbox>
            </v:shape>
            <v:shape id="Straight Connector 1801" o:spid="_x0000_s1376" type="#_x0000_t32" style="position:absolute;left:4383;top:9867;width:0;height:155" o:connectortype="straight" o:preferrelative="t">
              <v:stroke miterlimit="2"/>
            </v:shape>
            <v:shape id="Straight Connector 1802" o:spid="_x0000_s1377" type="#_x0000_t32" style="position:absolute;left:4383;top:9867;width:2205;height:0" o:connectortype="straight" o:preferrelative="t">
              <v:stroke endarrow="block" miterlimit="2"/>
            </v:shape>
            <v:shape id="Quad Arrow 1803" o:spid="_x0000_s1378" type="#_x0000_t202" style="position:absolute;left:4968;top:9710;width:1230;height:312" o:preferrelative="t" filled="f" stroked="f">
              <v:textbox inset="1.42pt,.85pt,1.42pt,.85pt">
                <w:txbxContent>
                  <w:p w:rsidR="00EE1CF7" w:rsidRDefault="00EE1CF7">
                    <w:r>
                      <w:rPr>
                        <w:rFonts w:hint="eastAsia"/>
                      </w:rPr>
                      <w:t>MDEA</w:t>
                    </w:r>
                    <w:r>
                      <w:rPr>
                        <w:rFonts w:hint="eastAsia"/>
                      </w:rPr>
                      <w:t>富液</w:t>
                    </w:r>
                  </w:p>
                </w:txbxContent>
              </v:textbox>
            </v:shape>
            <v:shape id="Quad Arrow 1804" o:spid="_x0000_s1379" type="#_x0000_t202" style="position:absolute;left:6588;top:9663;width:1560;height:404" o:preferrelative="t" filled="f" stroked="f">
              <v:textbox inset="1.42pt,.85pt,1.42pt,.85pt">
                <w:txbxContent>
                  <w:p w:rsidR="00EE1CF7" w:rsidRDefault="00EE1CF7">
                    <w:r>
                      <w:rPr>
                        <w:rFonts w:hint="eastAsia"/>
                      </w:rPr>
                      <w:t>去溶剂再生装置</w:t>
                    </w:r>
                  </w:p>
                </w:txbxContent>
              </v:textbox>
            </v:shape>
            <v:shape id="Straight Connector 1805" o:spid="_x0000_s1380" type="#_x0000_t32" style="position:absolute;left:6198;top:6674;width:570;height:0" o:connectortype="straight" o:preferrelative="t">
              <v:stroke miterlimit="2"/>
            </v:shape>
            <v:shape id="Quad Arrow 1806" o:spid="_x0000_s1381" type="#_x0000_t202" style="position:absolute;left:5583;top:6510;width:585;height:370" o:preferrelative="t" filled="f" stroked="f">
              <v:textbox inset="1.42pt,.85pt,1.42pt,.85pt">
                <w:txbxContent>
                  <w:p w:rsidR="00EE1CF7" w:rsidRDefault="00EE1CF7">
                    <w:r>
                      <w:rPr>
                        <w:rFonts w:hint="eastAsia"/>
                      </w:rPr>
                      <w:t>新氢</w:t>
                    </w:r>
                  </w:p>
                </w:txbxContent>
              </v:textbox>
            </v:shape>
            <v:shape id="Straight Connector 1807" o:spid="_x0000_s1382" type="#_x0000_t32" style="position:absolute;left:8073;top:8807;width:15;height:1365;flip:x y" o:connectortype="straight" o:preferrelative="t">
              <v:stroke endarrow="block" miterlimit="2"/>
            </v:shape>
            <v:shape id="Straight Connector 1808" o:spid="_x0000_s1383" type="#_x0000_t32" style="position:absolute;left:8088;top:10022;width:945;height:0;flip:x" o:connectortype="straight" o:preferrelative="t">
              <v:stroke endarrow="block" miterlimit="2"/>
            </v:shape>
            <v:shape id="Quad Arrow 1809" o:spid="_x0000_s1384" type="#_x0000_t202" style="position:absolute;left:9093;top:9867;width:585;height:370" o:preferrelative="t" filled="f" stroked="f">
              <v:textbox inset="1.42pt,.85pt,1.42pt,.85pt">
                <w:txbxContent>
                  <w:p w:rsidR="00EE1CF7" w:rsidRDefault="00EE1CF7">
                    <w:r>
                      <w:rPr>
                        <w:rFonts w:hint="eastAsia"/>
                      </w:rPr>
                      <w:t>新氢</w:t>
                    </w:r>
                  </w:p>
                </w:txbxContent>
              </v:textbox>
            </v:shape>
          </v:group>
        </w:pict>
      </w: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spacing w:line="360" w:lineRule="auto"/>
        <w:ind w:firstLineChars="200" w:firstLine="480"/>
        <w:rPr>
          <w:rFonts w:ascii="Times New Roman" w:hAnsi="Times New Roman"/>
          <w:sz w:val="24"/>
          <w:szCs w:val="24"/>
        </w:rPr>
      </w:pPr>
    </w:p>
    <w:p w:rsidR="00525419" w:rsidRDefault="00525419">
      <w:pPr>
        <w:spacing w:line="360" w:lineRule="auto"/>
        <w:ind w:firstLineChars="200" w:firstLine="480"/>
        <w:rPr>
          <w:rFonts w:ascii="Times New Roman" w:hAnsi="Times New Roman"/>
          <w:sz w:val="24"/>
          <w:szCs w:val="24"/>
        </w:rPr>
      </w:pPr>
    </w:p>
    <w:p w:rsidR="00525419" w:rsidRDefault="00525419">
      <w:pPr>
        <w:spacing w:line="360" w:lineRule="auto"/>
        <w:ind w:firstLineChars="200" w:firstLine="480"/>
        <w:rPr>
          <w:rFonts w:ascii="Times New Roman" w:hAnsi="Times New Roman"/>
          <w:sz w:val="24"/>
          <w:szCs w:val="24"/>
        </w:rPr>
      </w:pPr>
    </w:p>
    <w:p w:rsidR="00525419" w:rsidRDefault="00525419">
      <w:pPr>
        <w:spacing w:line="360" w:lineRule="auto"/>
        <w:ind w:firstLineChars="200" w:firstLine="480"/>
        <w:rPr>
          <w:rFonts w:ascii="Times New Roman" w:hAnsi="Times New Roman"/>
          <w:sz w:val="24"/>
          <w:szCs w:val="24"/>
        </w:rPr>
      </w:pPr>
    </w:p>
    <w:p w:rsidR="00525419" w:rsidRDefault="00525419">
      <w:pPr>
        <w:spacing w:line="360" w:lineRule="auto"/>
        <w:ind w:firstLineChars="200" w:firstLine="480"/>
        <w:rPr>
          <w:rFonts w:ascii="Times New Roman" w:hAnsi="Times New Roman"/>
          <w:sz w:val="24"/>
          <w:szCs w:val="24"/>
        </w:rPr>
      </w:pPr>
    </w:p>
    <w:p w:rsidR="00525419" w:rsidRDefault="00525419">
      <w:pPr>
        <w:spacing w:line="360" w:lineRule="auto"/>
        <w:ind w:firstLineChars="200" w:firstLine="480"/>
        <w:rPr>
          <w:rFonts w:ascii="Times New Roman" w:hAnsi="Times New Roman"/>
          <w:sz w:val="24"/>
          <w:szCs w:val="24"/>
        </w:rPr>
      </w:pPr>
    </w:p>
    <w:p w:rsidR="00525419" w:rsidRDefault="00525419">
      <w:pPr>
        <w:spacing w:line="360" w:lineRule="auto"/>
        <w:ind w:firstLineChars="200" w:firstLine="480"/>
        <w:rPr>
          <w:rFonts w:ascii="Times New Roman" w:hAnsi="Times New Roman"/>
          <w:sz w:val="24"/>
          <w:szCs w:val="24"/>
        </w:rPr>
      </w:pPr>
    </w:p>
    <w:p w:rsidR="00525419" w:rsidRDefault="00525419">
      <w:pPr>
        <w:pStyle w:val="afffe"/>
        <w:adjustRightInd w:val="0"/>
        <w:spacing w:after="0" w:line="360" w:lineRule="auto"/>
        <w:ind w:firstLineChars="200" w:firstLine="480"/>
        <w:rPr>
          <w:sz w:val="24"/>
        </w:rPr>
      </w:pPr>
    </w:p>
    <w:p w:rsidR="00525419" w:rsidRDefault="00EE1CF7">
      <w:pPr>
        <w:autoSpaceDE w:val="0"/>
        <w:autoSpaceDN w:val="0"/>
        <w:adjustRightInd w:val="0"/>
        <w:ind w:firstLineChars="650" w:firstLine="1365"/>
        <w:jc w:val="left"/>
        <w:rPr>
          <w:rFonts w:ascii="Times New Roman" w:eastAsia="黑体" w:hAnsi="Times New Roman"/>
          <w:kern w:val="0"/>
          <w:sz w:val="20"/>
          <w:szCs w:val="20"/>
        </w:rPr>
      </w:pPr>
      <w:r>
        <w:rPr>
          <w:rFonts w:ascii="Times New Roman" w:eastAsia="黑体" w:hAnsi="Times New Roman"/>
          <w:kern w:val="0"/>
          <w:szCs w:val="21"/>
        </w:rPr>
        <w:t>图例：</w:t>
      </w:r>
      <w:r>
        <w:rPr>
          <w:rFonts w:ascii="Times New Roman" w:eastAsia="黑体" w:hAnsi="Times New Roman"/>
          <w:kern w:val="0"/>
          <w:szCs w:val="21"/>
        </w:rPr>
        <w:t xml:space="preserve">G </w:t>
      </w:r>
      <w:r>
        <w:rPr>
          <w:rFonts w:ascii="Times New Roman" w:eastAsia="黑体" w:hAnsi="Times New Roman"/>
          <w:kern w:val="0"/>
          <w:szCs w:val="21"/>
        </w:rPr>
        <w:t>表示废气</w:t>
      </w:r>
      <w:r>
        <w:rPr>
          <w:rFonts w:ascii="Times New Roman" w:eastAsia="黑体" w:hAnsi="Times New Roman"/>
          <w:kern w:val="0"/>
          <w:szCs w:val="21"/>
        </w:rPr>
        <w:t xml:space="preserve"> S </w:t>
      </w:r>
      <w:r>
        <w:rPr>
          <w:rFonts w:ascii="Times New Roman" w:eastAsia="黑体" w:hAnsi="Times New Roman"/>
          <w:kern w:val="0"/>
          <w:szCs w:val="21"/>
        </w:rPr>
        <w:t>表示固废</w:t>
      </w:r>
      <w:r>
        <w:rPr>
          <w:rFonts w:ascii="Times New Roman" w:eastAsia="黑体" w:hAnsi="Times New Roman"/>
          <w:kern w:val="0"/>
          <w:szCs w:val="21"/>
        </w:rPr>
        <w:t xml:space="preserve"> W </w:t>
      </w:r>
      <w:r>
        <w:rPr>
          <w:rFonts w:ascii="Times New Roman" w:eastAsia="黑体" w:hAnsi="Times New Roman"/>
          <w:kern w:val="0"/>
          <w:szCs w:val="21"/>
        </w:rPr>
        <w:t>表示废水</w:t>
      </w:r>
    </w:p>
    <w:p w:rsidR="00525419" w:rsidRDefault="00EE1CF7">
      <w:pPr>
        <w:pStyle w:val="afb"/>
        <w:spacing w:line="360" w:lineRule="auto"/>
        <w:ind w:firstLineChars="300" w:firstLine="723"/>
        <w:rPr>
          <w:b/>
          <w:sz w:val="24"/>
        </w:rPr>
      </w:pPr>
      <w:r>
        <w:rPr>
          <w:b/>
          <w:sz w:val="24"/>
        </w:rPr>
        <w:t>图</w:t>
      </w:r>
      <w:r>
        <w:rPr>
          <w:b/>
          <w:sz w:val="24"/>
        </w:rPr>
        <w:t>3.4-2</w:t>
      </w:r>
      <w:r>
        <w:rPr>
          <w:b/>
          <w:sz w:val="24"/>
        </w:rPr>
        <w:t xml:space="preserve">　煤焦油预处理生产工艺流程及主要产污环节图</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lastRenderedPageBreak/>
        <w:t>3.4.3.2</w:t>
      </w:r>
      <w:r>
        <w:rPr>
          <w:rFonts w:ascii="Times New Roman" w:hAnsi="Times New Roman" w:cs="Times New Roman"/>
          <w:sz w:val="24"/>
        </w:rPr>
        <w:t>变更后本项目</w:t>
      </w:r>
      <w:r>
        <w:rPr>
          <w:rFonts w:ascii="Times New Roman" w:hAnsi="Times New Roman" w:cs="Times New Roman"/>
          <w:kern w:val="44"/>
          <w:sz w:val="24"/>
          <w:szCs w:val="24"/>
        </w:rPr>
        <w:t>取消的芳烃制取装置单元工艺流程</w:t>
      </w:r>
    </w:p>
    <w:p w:rsidR="00525419" w:rsidRDefault="00EE1CF7">
      <w:pPr>
        <w:pStyle w:val="afffe"/>
        <w:adjustRightInd w:val="0"/>
        <w:spacing w:after="0" w:line="460" w:lineRule="exact"/>
        <w:ind w:firstLineChars="200" w:firstLine="480"/>
        <w:rPr>
          <w:sz w:val="24"/>
        </w:rPr>
      </w:pPr>
      <w:r>
        <w:rPr>
          <w:sz w:val="24"/>
        </w:rPr>
        <w:t>①</w:t>
      </w:r>
      <w:r>
        <w:rPr>
          <w:sz w:val="24"/>
        </w:rPr>
        <w:t>生产技术及反应原理</w:t>
      </w:r>
    </w:p>
    <w:p w:rsidR="00525419" w:rsidRDefault="00EE1CF7">
      <w:pPr>
        <w:autoSpaceDE w:val="0"/>
        <w:autoSpaceDN w:val="0"/>
        <w:adjustRightInd w:val="0"/>
        <w:spacing w:line="460" w:lineRule="exact"/>
        <w:ind w:firstLineChars="200" w:firstLine="480"/>
        <w:rPr>
          <w:rFonts w:ascii="Times New Roman" w:hAnsi="Times New Roman"/>
          <w:sz w:val="24"/>
          <w:szCs w:val="24"/>
        </w:rPr>
      </w:pPr>
      <w:r>
        <w:rPr>
          <w:rFonts w:ascii="Times New Roman" w:hAnsi="Times New Roman"/>
          <w:sz w:val="24"/>
          <w:szCs w:val="24"/>
        </w:rPr>
        <w:t>芳烃制取单元的目的是将精制石脑油转化为高标号汽油、苯和轻芳烃。精制石脑油中的链烷烃和环烷烃在催化剂及氢环境中，发生链烷烃脱氢环化反应、异构化反应，环烷烃脱氢反应、脱氢异构化反应，在适当反应条件下最大限度的生成高标号汽油、苯和轻芳烃。</w:t>
      </w:r>
    </w:p>
    <w:p w:rsidR="00525419" w:rsidRDefault="00EE1CF7">
      <w:pPr>
        <w:autoSpaceDE w:val="0"/>
        <w:autoSpaceDN w:val="0"/>
        <w:adjustRightInd w:val="0"/>
        <w:spacing w:line="460" w:lineRule="exact"/>
        <w:ind w:firstLineChars="200" w:firstLine="480"/>
        <w:rPr>
          <w:rFonts w:ascii="Times New Roman" w:hAnsi="Times New Roman"/>
          <w:sz w:val="24"/>
          <w:szCs w:val="24"/>
        </w:rPr>
      </w:pPr>
      <w:r>
        <w:rPr>
          <w:rFonts w:ascii="Times New Roman" w:hAnsi="Times New Roman"/>
          <w:sz w:val="24"/>
          <w:szCs w:val="24"/>
        </w:rPr>
        <w:t>芳烃制取工艺有固定床半再生工艺、低压组合床工艺和连续再生工艺几种类型。连续再生工艺和组合床再生工艺均设置了催化剂再生系统，催化剂始终保持新鲜催化剂活性，芳烃制取反应可以在较低的压力和较低的氢油比下操作，但对于处理量较小的重整装置，固定床半再生工艺由于投资低、流程短、操作简单，并且我国已研究开发成功了一批具有先进水平的催化剂及有关配套技术，又积累了多年的半再生式工艺工程设计和操作经验，在高标号汽油、苯和轻芳烃满足要求的情况下，应优先选择固定床半再生工艺。本可行性研究报告采用固定床半再生重整工艺。</w:t>
      </w:r>
    </w:p>
    <w:p w:rsidR="00525419" w:rsidRDefault="00EE1CF7">
      <w:pPr>
        <w:autoSpaceDE w:val="0"/>
        <w:autoSpaceDN w:val="0"/>
        <w:adjustRightInd w:val="0"/>
        <w:spacing w:line="460" w:lineRule="exact"/>
        <w:ind w:firstLineChars="200" w:firstLine="480"/>
        <w:rPr>
          <w:rFonts w:ascii="Times New Roman" w:hAnsi="Times New Roman"/>
          <w:sz w:val="24"/>
          <w:szCs w:val="24"/>
        </w:rPr>
      </w:pPr>
      <w:r>
        <w:rPr>
          <w:rFonts w:ascii="Times New Roman" w:hAnsi="Times New Roman"/>
          <w:sz w:val="24"/>
        </w:rPr>
        <w:t>芳烃制取装置的重整单元规模为</w:t>
      </w:r>
      <w:r>
        <w:rPr>
          <w:rFonts w:ascii="Times New Roman" w:hAnsi="Times New Roman"/>
          <w:sz w:val="24"/>
        </w:rPr>
        <w:t>20</w:t>
      </w:r>
      <w:r>
        <w:rPr>
          <w:rFonts w:ascii="Times New Roman" w:hAnsi="Times New Roman"/>
          <w:sz w:val="24"/>
        </w:rPr>
        <w:t>万吨</w:t>
      </w:r>
      <w:r>
        <w:rPr>
          <w:rFonts w:ascii="Times New Roman" w:hAnsi="Times New Roman"/>
          <w:sz w:val="24"/>
        </w:rPr>
        <w:t>/</w:t>
      </w:r>
      <w:r>
        <w:rPr>
          <w:rFonts w:ascii="Times New Roman" w:hAnsi="Times New Roman"/>
          <w:sz w:val="24"/>
        </w:rPr>
        <w:t>年、醚化单元规模为</w:t>
      </w:r>
      <w:r>
        <w:rPr>
          <w:rFonts w:ascii="Times New Roman" w:hAnsi="Times New Roman"/>
          <w:sz w:val="24"/>
        </w:rPr>
        <w:t>5</w:t>
      </w:r>
      <w:r>
        <w:rPr>
          <w:rFonts w:ascii="Times New Roman" w:hAnsi="Times New Roman"/>
          <w:sz w:val="24"/>
        </w:rPr>
        <w:t>万吨</w:t>
      </w:r>
      <w:r>
        <w:rPr>
          <w:rFonts w:ascii="Times New Roman" w:hAnsi="Times New Roman"/>
          <w:sz w:val="24"/>
        </w:rPr>
        <w:t>/</w:t>
      </w:r>
      <w:r>
        <w:rPr>
          <w:rFonts w:ascii="Times New Roman" w:hAnsi="Times New Roman"/>
          <w:sz w:val="24"/>
        </w:rPr>
        <w:t>年。</w:t>
      </w:r>
    </w:p>
    <w:p w:rsidR="00525419" w:rsidRDefault="00EE1CF7">
      <w:pPr>
        <w:pStyle w:val="afffe"/>
        <w:adjustRightInd w:val="0"/>
        <w:spacing w:after="0" w:line="460" w:lineRule="exact"/>
        <w:ind w:firstLineChars="200" w:firstLine="480"/>
        <w:rPr>
          <w:sz w:val="24"/>
        </w:rPr>
      </w:pPr>
      <w:r>
        <w:rPr>
          <w:sz w:val="24"/>
        </w:rPr>
        <w:t>②</w:t>
      </w:r>
      <w:r>
        <w:rPr>
          <w:sz w:val="24"/>
        </w:rPr>
        <w:t>工艺流程简述</w:t>
      </w:r>
    </w:p>
    <w:p w:rsidR="00525419" w:rsidRDefault="00EE1CF7">
      <w:pPr>
        <w:adjustRightInd w:val="0"/>
        <w:snapToGrid w:val="0"/>
        <w:spacing w:line="46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预加氢部分</w:t>
      </w:r>
    </w:p>
    <w:p w:rsidR="00525419" w:rsidRDefault="00EE1CF7">
      <w:pPr>
        <w:adjustRightInd w:val="0"/>
        <w:snapToGrid w:val="0"/>
        <w:spacing w:line="460" w:lineRule="exact"/>
        <w:ind w:firstLineChars="200" w:firstLine="480"/>
        <w:rPr>
          <w:rFonts w:ascii="Times New Roman" w:hAnsi="Times New Roman"/>
          <w:sz w:val="24"/>
          <w:szCs w:val="24"/>
        </w:rPr>
      </w:pPr>
      <w:r>
        <w:rPr>
          <w:rFonts w:ascii="Times New Roman" w:hAnsi="Times New Roman"/>
          <w:sz w:val="24"/>
          <w:szCs w:val="24"/>
        </w:rPr>
        <w:t>由煤焦油加氢单元来的石脑油进入原料缓冲罐，经泵升压后与氢气混合并与预加氢反应产物换热，再经预加氢炉升温到反应所需温度，进入串联的预加氢反应器和脱氯反应器（一开一备）进行反应。反应产物与混氢后的原料换热，再经预加氢产物空冷器和预加氢产物后冷器冷凝冷却后至预加氢气液分离器进行气液分离，分离罐顶部氢气经预加氢循环氢压缩机升压后循环使用，消耗的氢气由</w:t>
      </w:r>
      <w:r>
        <w:rPr>
          <w:rFonts w:ascii="Times New Roman" w:hAnsi="Times New Roman"/>
          <w:sz w:val="24"/>
          <w:szCs w:val="24"/>
        </w:rPr>
        <w:t>PSA</w:t>
      </w:r>
      <w:r>
        <w:rPr>
          <w:rFonts w:ascii="Times New Roman" w:hAnsi="Times New Roman"/>
          <w:sz w:val="24"/>
          <w:szCs w:val="24"/>
        </w:rPr>
        <w:t>来的氢气补充，经预加氢压缩机升压后注入预加氢产物后冷器前管道，循环氢压缩机与补充氢压缩机共用一台电机。分离器底液体产物与分馏塔底油和汽提塔底油换热后进入汽提塔。汽提塔塔顶物流冷却后脱除溶解在油中的水、硫化氢、氨及</w:t>
      </w:r>
      <w:r>
        <w:rPr>
          <w:rFonts w:ascii="Times New Roman" w:hAnsi="Times New Roman"/>
          <w:sz w:val="24"/>
          <w:szCs w:val="24"/>
        </w:rPr>
        <w:t>C4</w:t>
      </w:r>
      <w:r>
        <w:rPr>
          <w:rFonts w:ascii="Times New Roman" w:hAnsi="Times New Roman"/>
          <w:sz w:val="24"/>
          <w:szCs w:val="24"/>
        </w:rPr>
        <w:t>以下轻烃，经汽提塔回流泵升压后，一部分作为含硫液化气出装置，另一部分作为汽提塔回流；汽提塔底物流与汽提塔进料换热后进入分馏塔。分馏塔顶轻油冷却后一部分经分馏塔回流泵升压后，一股作为回流，塔顶轻油另一部分经轻石脑油泵升压后，至重整部分稳定塔进料。分馏塔底精制石脑油一部分作为重整部分进料，经重整进料泵升压直接热进料至重整部分，精制石脑油同时设</w:t>
      </w:r>
      <w:r>
        <w:rPr>
          <w:rFonts w:ascii="Times New Roman" w:hAnsi="Times New Roman"/>
          <w:sz w:val="24"/>
          <w:szCs w:val="24"/>
        </w:rPr>
        <w:lastRenderedPageBreak/>
        <w:t>置另一旁路，在下游改质部分不开时单独进行石脑油精制处理。预加氢部分的精制石脑油经空冷器及水冷器冷却至</w:t>
      </w:r>
      <w:r>
        <w:rPr>
          <w:rFonts w:ascii="Times New Roman" w:hAnsi="Times New Roman"/>
          <w:sz w:val="24"/>
          <w:szCs w:val="24"/>
        </w:rPr>
        <w:t>40℃</w:t>
      </w:r>
      <w:r>
        <w:rPr>
          <w:rFonts w:ascii="Times New Roman" w:hAnsi="Times New Roman"/>
          <w:sz w:val="24"/>
          <w:szCs w:val="24"/>
        </w:rPr>
        <w:t>进罐区储存。汽提塔和石脑油分馏塔重沸器均由热载体供热。</w:t>
      </w:r>
    </w:p>
    <w:p w:rsidR="00525419" w:rsidRDefault="00EE1CF7">
      <w:pPr>
        <w:adjustRightInd w:val="0"/>
        <w:snapToGrid w:val="0"/>
        <w:spacing w:line="46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重整部分</w:t>
      </w:r>
    </w:p>
    <w:p w:rsidR="00525419" w:rsidRDefault="00EE1CF7">
      <w:pPr>
        <w:adjustRightInd w:val="0"/>
        <w:snapToGrid w:val="0"/>
        <w:spacing w:line="460" w:lineRule="exact"/>
        <w:ind w:firstLineChars="200" w:firstLine="480"/>
        <w:rPr>
          <w:rFonts w:ascii="Times New Roman" w:hAnsi="Times New Roman"/>
          <w:sz w:val="24"/>
          <w:szCs w:val="24"/>
        </w:rPr>
      </w:pPr>
      <w:r>
        <w:rPr>
          <w:rFonts w:ascii="Times New Roman" w:hAnsi="Times New Roman"/>
          <w:sz w:val="24"/>
          <w:szCs w:val="24"/>
        </w:rPr>
        <w:t>从预加氢部分来的精制石脑油与自重整循环氢压缩机升压后的部分循环氢（一段混氢）混合，依次通过重整进料换热器管程、第一重整加热炉、第一重整反应器、第二重整加热炉、第二重整反应器，然后与自循环氢压缩机升压后的另一部分循环氢（二段混氢）混合，再依次进入第三重整加热炉、第三重整反应器、第四重整加热炉、第四重整反应器。反应产物分成两路：一路经重整进料换热器壳程与重整进料换热，另一路经二段混氢换热器壳程与二段混氢换热，然后两路合并，经重整产物空冷器、重整产物后冷器冷凝冷却后进入重整气液分离器。</w:t>
      </w:r>
    </w:p>
    <w:p w:rsidR="00525419" w:rsidRDefault="00EE1CF7">
      <w:pPr>
        <w:adjustRightInd w:val="0"/>
        <w:snapToGrid w:val="0"/>
        <w:spacing w:line="460" w:lineRule="exact"/>
        <w:ind w:firstLineChars="200" w:firstLine="480"/>
        <w:rPr>
          <w:rFonts w:ascii="Times New Roman" w:hAnsi="Times New Roman"/>
          <w:sz w:val="24"/>
          <w:szCs w:val="24"/>
        </w:rPr>
      </w:pPr>
      <w:r>
        <w:rPr>
          <w:rFonts w:ascii="Times New Roman" w:hAnsi="Times New Roman"/>
          <w:sz w:val="24"/>
          <w:szCs w:val="24"/>
        </w:rPr>
        <w:t>从重整气液分离器顶分出的氢气分成两路，大部分经压缩机入口分液罐分液后进入循环氢压缩机进行升压、循环，重整产氢部分送至</w:t>
      </w:r>
      <w:r>
        <w:rPr>
          <w:rFonts w:ascii="Times New Roman" w:hAnsi="Times New Roman"/>
          <w:sz w:val="24"/>
          <w:szCs w:val="24"/>
        </w:rPr>
        <w:t>PSA</w:t>
      </w:r>
      <w:r>
        <w:rPr>
          <w:rFonts w:ascii="Times New Roman" w:hAnsi="Times New Roman"/>
          <w:sz w:val="24"/>
          <w:szCs w:val="24"/>
        </w:rPr>
        <w:t>提纯。重整气液分离器底部液相经稳定塔进料换热器与稳定塔塔底物流换热后进入稳定塔。稳定塔顶馏出物经冷凝冷却后，进入稳定塔回流罐。燃料气经压控后并入燃料气管网，液相经稳定塔回流泵升压后一部分至稳定塔顶作回流，另一部分作为液化石油气组分送至罐区。</w:t>
      </w:r>
      <w:r>
        <w:rPr>
          <w:rFonts w:ascii="Times New Roman" w:hAnsi="Times New Roman"/>
          <w:sz w:val="24"/>
          <w:szCs w:val="24"/>
        </w:rPr>
        <w:cr/>
        <w:t xml:space="preserve">    </w:t>
      </w:r>
      <w:r>
        <w:rPr>
          <w:rFonts w:ascii="Times New Roman" w:hAnsi="Times New Roman"/>
          <w:sz w:val="24"/>
          <w:szCs w:val="24"/>
        </w:rPr>
        <w:t>稳定塔底为高标号汽油先与稳定塔进料换热，再经冷却后送出装置。</w:t>
      </w:r>
      <w:r>
        <w:rPr>
          <w:rFonts w:ascii="Times New Roman" w:hAnsi="Times New Roman"/>
          <w:sz w:val="24"/>
          <w:szCs w:val="24"/>
        </w:rPr>
        <w:cr/>
        <w:t xml:space="preserve">    </w:t>
      </w:r>
      <w:r>
        <w:rPr>
          <w:rFonts w:ascii="Times New Roman" w:hAnsi="Times New Roman"/>
          <w:sz w:val="24"/>
          <w:szCs w:val="24"/>
        </w:rPr>
        <w:t>塔底重沸器由热载体供热。</w:t>
      </w:r>
    </w:p>
    <w:p w:rsidR="00525419" w:rsidRDefault="00EE1CF7">
      <w:pPr>
        <w:tabs>
          <w:tab w:val="left" w:pos="397"/>
        </w:tabs>
        <w:spacing w:line="460" w:lineRule="exact"/>
        <w:ind w:leftChars="228" w:left="479"/>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热载体系统</w:t>
      </w:r>
      <w:r>
        <w:rPr>
          <w:rFonts w:ascii="Times New Roman" w:hAnsi="Times New Roman"/>
          <w:sz w:val="24"/>
          <w:szCs w:val="24"/>
        </w:rPr>
        <w:cr/>
      </w:r>
      <w:r>
        <w:rPr>
          <w:rFonts w:ascii="Times New Roman" w:hAnsi="Times New Roman"/>
          <w:sz w:val="24"/>
          <w:szCs w:val="24"/>
        </w:rPr>
        <w:t>设置热载体系统的目的是为该装置</w:t>
      </w:r>
      <w:r>
        <w:rPr>
          <w:rFonts w:ascii="Times New Roman" w:hAnsi="Times New Roman"/>
          <w:sz w:val="24"/>
          <w:szCs w:val="24"/>
        </w:rPr>
        <w:t>3</w:t>
      </w:r>
      <w:r>
        <w:rPr>
          <w:rFonts w:ascii="Times New Roman" w:hAnsi="Times New Roman"/>
          <w:sz w:val="24"/>
          <w:szCs w:val="24"/>
        </w:rPr>
        <w:t>台塔的塔底重沸器提供热源，同时回收</w:t>
      </w:r>
    </w:p>
    <w:p w:rsidR="00525419" w:rsidRDefault="00EE1CF7">
      <w:pPr>
        <w:tabs>
          <w:tab w:val="left" w:pos="397"/>
        </w:tabs>
        <w:spacing w:line="460" w:lineRule="exact"/>
        <w:rPr>
          <w:rFonts w:ascii="Times New Roman" w:hAnsi="Times New Roman"/>
          <w:sz w:val="24"/>
          <w:szCs w:val="24"/>
        </w:rPr>
      </w:pPr>
      <w:r>
        <w:rPr>
          <w:rFonts w:ascii="Times New Roman" w:hAnsi="Times New Roman"/>
          <w:sz w:val="24"/>
          <w:szCs w:val="24"/>
        </w:rPr>
        <w:t>四台重整加热炉烟气的热量，提高重整加热炉效率。开工前将装置外来的热载体装入热载体罐。单元正常运行时，热载体由热载体泵自热载体罐抽出、加压后分成两路，一路通过重整加热炉对流段与烟气换热，剩余部分由热载体炉加热，两路合并后供三台重沸器使用，每台重沸器由所需加热温度控制热载体用量，在热载体管路上设热旁路调节流量平衡。供热后的低温位热载体循环回热载体罐，形成完整的热载体闭路循环系统。</w:t>
      </w:r>
      <w:r>
        <w:rPr>
          <w:rFonts w:ascii="Times New Roman" w:hAnsi="Times New Roman"/>
          <w:sz w:val="24"/>
          <w:szCs w:val="24"/>
        </w:rPr>
        <w:cr/>
      </w:r>
      <w:r>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rPr>
        <w:t>苯抽提部分</w:t>
      </w:r>
    </w:p>
    <w:p w:rsidR="00525419" w:rsidRDefault="00EE1CF7">
      <w:pPr>
        <w:tabs>
          <w:tab w:val="left" w:pos="397"/>
        </w:tabs>
        <w:spacing w:line="460" w:lineRule="exact"/>
        <w:ind w:firstLineChars="200" w:firstLine="48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抽提蒸馏部分</w:t>
      </w:r>
    </w:p>
    <w:p w:rsidR="00525419" w:rsidRDefault="00EE1CF7">
      <w:pPr>
        <w:tabs>
          <w:tab w:val="left" w:pos="397"/>
        </w:tabs>
        <w:spacing w:line="460" w:lineRule="exact"/>
        <w:ind w:firstLineChars="200" w:firstLine="480"/>
        <w:rPr>
          <w:rFonts w:ascii="Times New Roman" w:hAnsi="Times New Roman"/>
          <w:sz w:val="24"/>
          <w:szCs w:val="24"/>
        </w:rPr>
      </w:pPr>
      <w:r>
        <w:rPr>
          <w:rFonts w:ascii="Times New Roman" w:hAnsi="Times New Roman"/>
          <w:sz w:val="24"/>
          <w:szCs w:val="24"/>
        </w:rPr>
        <w:t>抽提蒸馏部分的作用是在溶剂（环丁砜和水）作用下，实现苯与非芳烃分离。</w:t>
      </w:r>
    </w:p>
    <w:p w:rsidR="00525419" w:rsidRDefault="00EE1CF7">
      <w:pPr>
        <w:tabs>
          <w:tab w:val="left" w:pos="397"/>
        </w:tabs>
        <w:spacing w:line="460" w:lineRule="exact"/>
        <w:ind w:firstLineChars="200" w:firstLine="480"/>
        <w:rPr>
          <w:rFonts w:ascii="Times New Roman" w:hAnsi="Times New Roman"/>
          <w:sz w:val="24"/>
          <w:szCs w:val="24"/>
        </w:rPr>
      </w:pPr>
      <w:r>
        <w:rPr>
          <w:rFonts w:ascii="Times New Roman" w:hAnsi="Times New Roman"/>
          <w:sz w:val="24"/>
          <w:szCs w:val="24"/>
        </w:rPr>
        <w:lastRenderedPageBreak/>
        <w:t>来自重整部分的</w:t>
      </w:r>
      <w:r>
        <w:rPr>
          <w:rFonts w:ascii="Times New Roman" w:hAnsi="Times New Roman"/>
          <w:sz w:val="24"/>
          <w:szCs w:val="24"/>
        </w:rPr>
        <w:t>C6</w:t>
      </w:r>
      <w:r>
        <w:rPr>
          <w:rFonts w:ascii="Times New Roman" w:hAnsi="Times New Roman"/>
          <w:sz w:val="24"/>
          <w:szCs w:val="24"/>
        </w:rPr>
        <w:t>馏分进入抽提蒸馏塔进料缓冲罐作为抽提蒸馏塔的原料。抽提蒸馏原料由抽提蒸馏塔进料泵抽出升压后在流量控制下，进入抽提蒸馏塔原料</w:t>
      </w:r>
      <w:r>
        <w:rPr>
          <w:rFonts w:ascii="Times New Roman" w:hAnsi="Times New Roman"/>
          <w:sz w:val="24"/>
          <w:szCs w:val="24"/>
        </w:rPr>
        <w:t>/</w:t>
      </w:r>
      <w:r>
        <w:rPr>
          <w:rFonts w:ascii="Times New Roman" w:hAnsi="Times New Roman"/>
          <w:sz w:val="24"/>
          <w:szCs w:val="24"/>
        </w:rPr>
        <w:t>贫溶剂换热器，与来自贫溶剂泵的贫溶剂换热，通过调节贫溶剂旁通量，控制换热后贫溶剂的总温降为</w:t>
      </w:r>
      <w:r>
        <w:rPr>
          <w:rFonts w:ascii="Times New Roman" w:hAnsi="Times New Roman"/>
          <w:sz w:val="24"/>
          <w:szCs w:val="24"/>
        </w:rPr>
        <w:t>43℃</w:t>
      </w:r>
      <w:r>
        <w:rPr>
          <w:rFonts w:ascii="Times New Roman" w:hAnsi="Times New Roman"/>
          <w:sz w:val="24"/>
          <w:szCs w:val="24"/>
        </w:rPr>
        <w:t>。换热后，抽提蒸馏原料大部汽化自第</w:t>
      </w:r>
      <w:r>
        <w:rPr>
          <w:rFonts w:ascii="Times New Roman" w:hAnsi="Times New Roman"/>
          <w:sz w:val="24"/>
          <w:szCs w:val="24"/>
        </w:rPr>
        <w:t>55</w:t>
      </w:r>
      <w:r>
        <w:rPr>
          <w:rFonts w:ascii="Times New Roman" w:hAnsi="Times New Roman"/>
          <w:sz w:val="24"/>
          <w:szCs w:val="24"/>
        </w:rPr>
        <w:t>块塔板进入抽提蒸馏塔。与抽提蒸馏原料换完热的贫溶剂由贫溶剂水冷器冷却后进入贫溶剂过滤器，滤去脏物后，自第</w:t>
      </w:r>
      <w:r>
        <w:rPr>
          <w:rFonts w:ascii="Times New Roman" w:hAnsi="Times New Roman"/>
          <w:sz w:val="24"/>
          <w:szCs w:val="24"/>
        </w:rPr>
        <w:t>14</w:t>
      </w:r>
      <w:r>
        <w:rPr>
          <w:rFonts w:ascii="Times New Roman" w:hAnsi="Times New Roman"/>
          <w:sz w:val="24"/>
          <w:szCs w:val="24"/>
        </w:rPr>
        <w:t>块塔板进入抽提蒸馏塔。调节贫溶剂的流量，维持设定的溶剂</w:t>
      </w:r>
      <w:r>
        <w:rPr>
          <w:rFonts w:ascii="Times New Roman" w:hAnsi="Times New Roman"/>
          <w:sz w:val="24"/>
          <w:szCs w:val="24"/>
        </w:rPr>
        <w:t>/</w:t>
      </w:r>
      <w:r>
        <w:rPr>
          <w:rFonts w:ascii="Times New Roman" w:hAnsi="Times New Roman"/>
          <w:sz w:val="24"/>
          <w:szCs w:val="24"/>
        </w:rPr>
        <w:t>原料比。贫溶剂入塔温度通过调节换热器的旁通量来控制。为了保证苯的回收率，需要调节贫溶剂的流量，维持设定的溶剂</w:t>
      </w:r>
      <w:r>
        <w:rPr>
          <w:rFonts w:ascii="Times New Roman" w:hAnsi="Times New Roman"/>
          <w:sz w:val="24"/>
          <w:szCs w:val="24"/>
        </w:rPr>
        <w:t>/</w:t>
      </w:r>
      <w:r>
        <w:rPr>
          <w:rFonts w:ascii="Times New Roman" w:hAnsi="Times New Roman"/>
          <w:sz w:val="24"/>
          <w:szCs w:val="24"/>
        </w:rPr>
        <w:t>原料比。</w:t>
      </w:r>
    </w:p>
    <w:p w:rsidR="00525419" w:rsidRDefault="00EE1CF7">
      <w:pPr>
        <w:tabs>
          <w:tab w:val="left" w:pos="397"/>
        </w:tabs>
        <w:spacing w:line="460" w:lineRule="exact"/>
        <w:ind w:firstLineChars="200" w:firstLine="480"/>
        <w:rPr>
          <w:rFonts w:ascii="Times New Roman" w:hAnsi="Times New Roman"/>
          <w:sz w:val="24"/>
          <w:szCs w:val="24"/>
        </w:rPr>
      </w:pPr>
      <w:r>
        <w:rPr>
          <w:rFonts w:ascii="Times New Roman" w:hAnsi="Times New Roman"/>
          <w:sz w:val="24"/>
          <w:szCs w:val="24"/>
        </w:rPr>
        <w:t>抽提蒸馏塔设有</w:t>
      </w:r>
      <w:r>
        <w:rPr>
          <w:rFonts w:ascii="Times New Roman" w:hAnsi="Times New Roman"/>
          <w:sz w:val="24"/>
          <w:szCs w:val="24"/>
        </w:rPr>
        <w:t>86</w:t>
      </w:r>
      <w:r>
        <w:rPr>
          <w:rFonts w:ascii="Times New Roman" w:hAnsi="Times New Roman"/>
          <w:sz w:val="24"/>
          <w:szCs w:val="24"/>
        </w:rPr>
        <w:t>块浮阀塔板。塔顶压力由压力控制器通过分程控制回流罐通氮气量与放空量进行调节。抽提蒸馏塔釜再沸器采用蒸汽作加热热源，塔内蒸发量通过控制加热蒸汽量来调节。加热蒸汽分成两股进行控制，主流股（约</w:t>
      </w:r>
      <w:r>
        <w:rPr>
          <w:rFonts w:ascii="Times New Roman" w:hAnsi="Times New Roman"/>
          <w:sz w:val="24"/>
          <w:szCs w:val="24"/>
        </w:rPr>
        <w:t>80%</w:t>
      </w:r>
      <w:r>
        <w:rPr>
          <w:rFonts w:ascii="Times New Roman" w:hAnsi="Times New Roman"/>
          <w:sz w:val="24"/>
          <w:szCs w:val="24"/>
        </w:rPr>
        <w:t>）由定流量控制，次流股流量（约</w:t>
      </w:r>
      <w:r>
        <w:rPr>
          <w:rFonts w:ascii="Times New Roman" w:hAnsi="Times New Roman"/>
          <w:sz w:val="24"/>
          <w:szCs w:val="24"/>
        </w:rPr>
        <w:t>20%</w:t>
      </w:r>
      <w:r>
        <w:rPr>
          <w:rFonts w:ascii="Times New Roman" w:hAnsi="Times New Roman"/>
          <w:sz w:val="24"/>
          <w:szCs w:val="24"/>
        </w:rPr>
        <w:t>）由第</w:t>
      </w:r>
      <w:r>
        <w:rPr>
          <w:rFonts w:ascii="Times New Roman" w:hAnsi="Times New Roman"/>
          <w:sz w:val="24"/>
          <w:szCs w:val="24"/>
        </w:rPr>
        <w:t>59</w:t>
      </w:r>
      <w:r>
        <w:rPr>
          <w:rFonts w:ascii="Times New Roman" w:hAnsi="Times New Roman"/>
          <w:sz w:val="24"/>
          <w:szCs w:val="24"/>
        </w:rPr>
        <w:t>块灵敏板温度与流量串级控制。调节再沸器蒸汽凝水量保持蒸汽凝水罐的液位恒定。在贫溶剂进料口以上设有溶剂回收段，通过顶部打入少量非芳烃回流以回收非芳烃蒸汽中的少量溶剂。塔顶蒸出的非芳烃蒸汽（</w:t>
      </w:r>
      <w:r>
        <w:rPr>
          <w:rFonts w:ascii="Times New Roman" w:hAnsi="Times New Roman"/>
          <w:sz w:val="24"/>
          <w:szCs w:val="24"/>
        </w:rPr>
        <w:t>88℃</w:t>
      </w:r>
      <w:r>
        <w:rPr>
          <w:rFonts w:ascii="Times New Roman" w:hAnsi="Times New Roman"/>
          <w:sz w:val="24"/>
          <w:szCs w:val="24"/>
        </w:rPr>
        <w:t>，</w:t>
      </w:r>
      <w:r>
        <w:rPr>
          <w:rFonts w:ascii="Times New Roman" w:hAnsi="Times New Roman"/>
          <w:sz w:val="24"/>
          <w:szCs w:val="24"/>
        </w:rPr>
        <w:t>60kPa</w:t>
      </w:r>
      <w:r>
        <w:rPr>
          <w:rFonts w:ascii="Times New Roman" w:hAnsi="Times New Roman"/>
          <w:sz w:val="24"/>
          <w:szCs w:val="24"/>
        </w:rPr>
        <w:t>（</w:t>
      </w:r>
      <w:r>
        <w:rPr>
          <w:rFonts w:ascii="Times New Roman" w:hAnsi="Times New Roman"/>
          <w:sz w:val="24"/>
          <w:szCs w:val="24"/>
        </w:rPr>
        <w:t>g</w:t>
      </w:r>
      <w:r>
        <w:rPr>
          <w:rFonts w:ascii="Times New Roman" w:hAnsi="Times New Roman"/>
          <w:sz w:val="24"/>
          <w:szCs w:val="24"/>
        </w:rPr>
        <w:t>））经抽提蒸馏塔空冷器冷凝，然后经水冷器冷却后，流入塔顶回流罐。回流罐水包水，经界位控制进入汽提水泵。回流罐的非芳烃经抽提蒸馏塔回流泵抽出升压后，一部分在流量控制下作为回流打入抽提蒸馏塔第</w:t>
      </w:r>
      <w:r>
        <w:rPr>
          <w:rFonts w:ascii="Times New Roman" w:hAnsi="Times New Roman"/>
          <w:sz w:val="24"/>
          <w:szCs w:val="24"/>
        </w:rPr>
        <w:t>1</w:t>
      </w:r>
      <w:r>
        <w:rPr>
          <w:rFonts w:ascii="Times New Roman" w:hAnsi="Times New Roman"/>
          <w:sz w:val="24"/>
          <w:szCs w:val="24"/>
        </w:rPr>
        <w:t>块塔板，另一部分作为非芳烃副产品，在回流罐液位与采出流量串级控制下送出装置。抽提蒸馏塔底富溶剂由富溶剂泵自塔釜抽出，由塔底液位和流量串级控制进入溶剂回收塔。</w:t>
      </w:r>
    </w:p>
    <w:p w:rsidR="00525419" w:rsidRDefault="00EE1CF7">
      <w:pPr>
        <w:tabs>
          <w:tab w:val="left" w:pos="397"/>
        </w:tabs>
        <w:spacing w:line="460" w:lineRule="exact"/>
        <w:ind w:firstLineChars="200" w:firstLine="48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溶剂回收部分</w:t>
      </w:r>
    </w:p>
    <w:p w:rsidR="00525419" w:rsidRDefault="00EE1CF7">
      <w:pPr>
        <w:tabs>
          <w:tab w:val="left" w:pos="397"/>
        </w:tabs>
        <w:spacing w:line="460" w:lineRule="exact"/>
        <w:ind w:firstLineChars="200" w:firstLine="480"/>
        <w:rPr>
          <w:rFonts w:ascii="Times New Roman" w:hAnsi="Times New Roman"/>
          <w:sz w:val="24"/>
          <w:szCs w:val="24"/>
        </w:rPr>
      </w:pPr>
      <w:r>
        <w:rPr>
          <w:rFonts w:ascii="Times New Roman" w:hAnsi="Times New Roman"/>
          <w:sz w:val="24"/>
          <w:szCs w:val="24"/>
        </w:rPr>
        <w:t>抽提蒸馏塔塔釜的富溶剂进入溶剂回收塔的第</w:t>
      </w:r>
      <w:r>
        <w:rPr>
          <w:rFonts w:ascii="Times New Roman" w:hAnsi="Times New Roman"/>
          <w:sz w:val="24"/>
          <w:szCs w:val="24"/>
        </w:rPr>
        <w:t>17</w:t>
      </w:r>
      <w:r>
        <w:rPr>
          <w:rFonts w:ascii="Times New Roman" w:hAnsi="Times New Roman"/>
          <w:sz w:val="24"/>
          <w:szCs w:val="24"/>
        </w:rPr>
        <w:t>块塔板，该塔共有</w:t>
      </w:r>
      <w:r>
        <w:rPr>
          <w:rFonts w:ascii="Times New Roman" w:hAnsi="Times New Roman"/>
          <w:sz w:val="24"/>
          <w:szCs w:val="24"/>
        </w:rPr>
        <w:t>32</w:t>
      </w:r>
      <w:r>
        <w:rPr>
          <w:rFonts w:ascii="Times New Roman" w:hAnsi="Times New Roman"/>
          <w:sz w:val="24"/>
          <w:szCs w:val="24"/>
        </w:rPr>
        <w:t>块浮阀塔板，在减压下操作，塔顶残压由压力控制器控制回收塔真空泵的抽气量及氮气补充量调节，塔底设有一个为插入式再沸器，采用蒸汽作为热源，加热量由重沸器气相温度与再沸器出口蒸汽凝水流量进行串级控制。经过减压蒸馏，苯以蒸汽形式从塔顶蒸出，经过塔顶水冷器冷凝冷却至</w:t>
      </w:r>
      <w:r>
        <w:rPr>
          <w:rFonts w:ascii="Times New Roman" w:hAnsi="Times New Roman"/>
          <w:sz w:val="24"/>
          <w:szCs w:val="24"/>
        </w:rPr>
        <w:t>40℃</w:t>
      </w:r>
      <w:r>
        <w:rPr>
          <w:rFonts w:ascii="Times New Roman" w:hAnsi="Times New Roman"/>
          <w:sz w:val="24"/>
          <w:szCs w:val="24"/>
        </w:rPr>
        <w:t>后进入回流罐。回流罐水包中水以及和的水包中水进汽提水泵，经流量控制进入汽提水换热器。回流罐中的苯一部分经过回流泵升压后在流量控制下打入回收塔顶作为回流，其余部分经过白土罐进料泵升压后由回流罐液位与流量串级控制送往白土罐换热器。塔釜贫溶剂由贫溶剂泵抽出升压，少部分去溶剂再生罐进行水汽提再生，与汽提蒸汽一起</w:t>
      </w:r>
      <w:r>
        <w:rPr>
          <w:rFonts w:ascii="Times New Roman" w:hAnsi="Times New Roman"/>
          <w:sz w:val="24"/>
          <w:szCs w:val="24"/>
        </w:rPr>
        <w:lastRenderedPageBreak/>
        <w:t>返回溶剂回收塔底部；绝大部分先去加热汽提水，然后用作苯蒸发塔加热器的加热热源，最后再加热抽提蒸馏塔进料。</w:t>
      </w:r>
    </w:p>
    <w:p w:rsidR="00525419" w:rsidRDefault="00EE1CF7">
      <w:pPr>
        <w:tabs>
          <w:tab w:val="left" w:pos="397"/>
        </w:tabs>
        <w:spacing w:line="460" w:lineRule="exact"/>
        <w:ind w:firstLineChars="200" w:firstLine="480"/>
        <w:rPr>
          <w:rFonts w:ascii="Times New Roman" w:hAnsi="Times New Roman"/>
          <w:sz w:val="24"/>
          <w:szCs w:val="24"/>
        </w:rPr>
      </w:pPr>
      <w:r>
        <w:rPr>
          <w:rFonts w:ascii="Times New Roman" w:hAnsi="Times New Roman"/>
          <w:sz w:val="24"/>
          <w:szCs w:val="24"/>
        </w:rPr>
        <w:t>溶剂再生罐与溶剂回收塔相连，操作压力由回收塔控制。溶剂再生罐底设有内插式加热器，采用</w:t>
      </w:r>
      <w:r>
        <w:rPr>
          <w:rFonts w:ascii="Times New Roman" w:hAnsi="Times New Roman"/>
          <w:sz w:val="24"/>
          <w:szCs w:val="24"/>
        </w:rPr>
        <w:t>2.2MPag</w:t>
      </w:r>
      <w:r>
        <w:rPr>
          <w:rFonts w:ascii="Times New Roman" w:hAnsi="Times New Roman"/>
          <w:sz w:val="24"/>
          <w:szCs w:val="24"/>
        </w:rPr>
        <w:t>蒸汽做加热热源，加热量由蒸汽凝水流量进行调节。自贫溶剂泵来的小股贫溶剂由再生罐液面和流量串级控制一定流量进入再生罐进行水汽提再生，汽提水在罐底部进入。罐顶蒸出的气相进入溶剂回收塔底。罐底残渣不定期排出。</w:t>
      </w:r>
    </w:p>
    <w:p w:rsidR="00525419" w:rsidRDefault="00EE1CF7">
      <w:pPr>
        <w:tabs>
          <w:tab w:val="left" w:pos="397"/>
        </w:tabs>
        <w:spacing w:line="460" w:lineRule="exact"/>
        <w:ind w:firstLineChars="200" w:firstLine="480"/>
        <w:rPr>
          <w:rFonts w:ascii="Times New Roman" w:hAnsi="Times New Roman"/>
          <w:sz w:val="24"/>
          <w:szCs w:val="24"/>
        </w:rPr>
      </w:pPr>
      <w:r>
        <w:rPr>
          <w:rFonts w:ascii="Times New Roman" w:hAnsi="Times New Roman"/>
          <w:sz w:val="24"/>
          <w:szCs w:val="24"/>
        </w:rPr>
        <w:t>当系统中贫溶剂的</w:t>
      </w:r>
      <w:r>
        <w:rPr>
          <w:rFonts w:ascii="Times New Roman" w:hAnsi="Times New Roman"/>
          <w:sz w:val="24"/>
          <w:szCs w:val="24"/>
        </w:rPr>
        <w:t>pH</w:t>
      </w:r>
      <w:r>
        <w:rPr>
          <w:rFonts w:ascii="Times New Roman" w:hAnsi="Times New Roman"/>
          <w:sz w:val="24"/>
          <w:szCs w:val="24"/>
        </w:rPr>
        <w:t>值下降时，可向贫溶剂管道中注入少量缓蚀剂（单乙醇胺），调节贫溶剂的</w:t>
      </w:r>
      <w:r>
        <w:rPr>
          <w:rFonts w:ascii="Times New Roman" w:hAnsi="Times New Roman"/>
          <w:sz w:val="24"/>
          <w:szCs w:val="24"/>
        </w:rPr>
        <w:t>pH</w:t>
      </w:r>
      <w:r>
        <w:rPr>
          <w:rFonts w:ascii="Times New Roman" w:hAnsi="Times New Roman"/>
          <w:sz w:val="24"/>
          <w:szCs w:val="24"/>
        </w:rPr>
        <w:t>值在</w:t>
      </w:r>
      <w:r>
        <w:rPr>
          <w:rFonts w:ascii="Times New Roman" w:hAnsi="Times New Roman"/>
          <w:sz w:val="24"/>
          <w:szCs w:val="24"/>
        </w:rPr>
        <w:t>5.0-7.0</w:t>
      </w:r>
      <w:r>
        <w:rPr>
          <w:rFonts w:ascii="Times New Roman" w:hAnsi="Times New Roman"/>
          <w:sz w:val="24"/>
          <w:szCs w:val="24"/>
        </w:rPr>
        <w:t>之间。</w:t>
      </w:r>
    </w:p>
    <w:p w:rsidR="00525419" w:rsidRDefault="00EE1CF7">
      <w:pPr>
        <w:tabs>
          <w:tab w:val="left" w:pos="397"/>
        </w:tabs>
        <w:spacing w:line="460" w:lineRule="exact"/>
        <w:ind w:firstLineChars="200" w:firstLine="480"/>
        <w:rPr>
          <w:rFonts w:ascii="Times New Roman" w:hAnsi="Times New Roman"/>
          <w:sz w:val="24"/>
          <w:szCs w:val="24"/>
        </w:rPr>
      </w:pPr>
      <w:r>
        <w:rPr>
          <w:rFonts w:ascii="Times New Roman" w:hAnsi="Times New Roman"/>
          <w:sz w:val="24"/>
          <w:szCs w:val="24"/>
        </w:rPr>
        <w:t>为防止溶剂起泡，需不定期向溶剂系统注入消泡剂。消泡剂用原料稀释。</w:t>
      </w:r>
    </w:p>
    <w:p w:rsidR="00525419" w:rsidRDefault="00EE1CF7">
      <w:pPr>
        <w:tabs>
          <w:tab w:val="left" w:pos="397"/>
        </w:tabs>
        <w:spacing w:line="460" w:lineRule="exact"/>
        <w:ind w:firstLineChars="200" w:firstLine="48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苯精制部分</w:t>
      </w:r>
    </w:p>
    <w:p w:rsidR="00525419" w:rsidRDefault="00EE1CF7">
      <w:pPr>
        <w:tabs>
          <w:tab w:val="left" w:pos="397"/>
        </w:tabs>
        <w:spacing w:line="460" w:lineRule="exact"/>
        <w:ind w:firstLineChars="200" w:firstLine="480"/>
        <w:rPr>
          <w:rFonts w:ascii="Times New Roman" w:hAnsi="Times New Roman"/>
          <w:sz w:val="24"/>
          <w:szCs w:val="24"/>
        </w:rPr>
      </w:pPr>
      <w:r>
        <w:rPr>
          <w:rFonts w:ascii="Times New Roman" w:hAnsi="Times New Roman"/>
          <w:sz w:val="24"/>
          <w:szCs w:val="24"/>
        </w:rPr>
        <w:t>经过抽提蒸馏和溶剂回收得到的苯产品中可能含有痕量的烯烃，会显著地影响到苯产品的酸洗比色指标。为了除去这些痕量杂质，苯产品需经白土处理。</w:t>
      </w:r>
    </w:p>
    <w:p w:rsidR="00525419" w:rsidRDefault="00EE1CF7">
      <w:pPr>
        <w:tabs>
          <w:tab w:val="left" w:pos="397"/>
        </w:tabs>
        <w:spacing w:line="460" w:lineRule="exact"/>
        <w:ind w:firstLineChars="200" w:firstLine="480"/>
        <w:rPr>
          <w:rFonts w:ascii="Times New Roman" w:hAnsi="Times New Roman"/>
          <w:sz w:val="24"/>
          <w:szCs w:val="24"/>
        </w:rPr>
      </w:pPr>
      <w:r>
        <w:rPr>
          <w:rFonts w:ascii="Times New Roman" w:hAnsi="Times New Roman"/>
          <w:sz w:val="24"/>
          <w:szCs w:val="24"/>
        </w:rPr>
        <w:t>▲PSA</w:t>
      </w:r>
      <w:r>
        <w:rPr>
          <w:rFonts w:ascii="Times New Roman" w:hAnsi="Times New Roman"/>
          <w:sz w:val="24"/>
          <w:szCs w:val="24"/>
        </w:rPr>
        <w:t>部分</w:t>
      </w:r>
      <w:r>
        <w:rPr>
          <w:rFonts w:ascii="Times New Roman" w:hAnsi="Times New Roman"/>
          <w:sz w:val="24"/>
          <w:szCs w:val="24"/>
        </w:rPr>
        <w:cr/>
        <w:t xml:space="preserve">    PSA</w:t>
      </w:r>
      <w:r>
        <w:rPr>
          <w:rFonts w:ascii="Times New Roman" w:hAnsi="Times New Roman"/>
          <w:sz w:val="24"/>
          <w:szCs w:val="24"/>
        </w:rPr>
        <w:t>部分主流程由</w:t>
      </w:r>
      <w:r>
        <w:rPr>
          <w:rFonts w:ascii="Times New Roman" w:hAnsi="Times New Roman"/>
          <w:sz w:val="24"/>
          <w:szCs w:val="24"/>
        </w:rPr>
        <w:t>8</w:t>
      </w:r>
      <w:r>
        <w:rPr>
          <w:rFonts w:ascii="Times New Roman" w:hAnsi="Times New Roman"/>
          <w:sz w:val="24"/>
          <w:szCs w:val="24"/>
        </w:rPr>
        <w:t>台吸附塔和</w:t>
      </w:r>
      <w:r>
        <w:rPr>
          <w:rFonts w:ascii="Times New Roman" w:hAnsi="Times New Roman"/>
          <w:sz w:val="24"/>
          <w:szCs w:val="24"/>
        </w:rPr>
        <w:t>3</w:t>
      </w:r>
      <w:r>
        <w:rPr>
          <w:rFonts w:ascii="Times New Roman" w:hAnsi="Times New Roman"/>
          <w:sz w:val="24"/>
          <w:szCs w:val="24"/>
        </w:rPr>
        <w:t>台缓冲罐组成。采用</w:t>
      </w:r>
      <w:r>
        <w:rPr>
          <w:rFonts w:ascii="Times New Roman" w:hAnsi="Times New Roman"/>
          <w:sz w:val="24"/>
          <w:szCs w:val="24"/>
        </w:rPr>
        <w:t>8-2-4 PSA</w:t>
      </w:r>
      <w:r>
        <w:rPr>
          <w:rFonts w:ascii="Times New Roman" w:hAnsi="Times New Roman"/>
          <w:sz w:val="24"/>
          <w:szCs w:val="24"/>
        </w:rPr>
        <w:t>工艺流程，即：八个吸附塔中有</w:t>
      </w:r>
      <w:r>
        <w:rPr>
          <w:rFonts w:ascii="Times New Roman" w:hAnsi="Times New Roman"/>
          <w:sz w:val="24"/>
          <w:szCs w:val="24"/>
        </w:rPr>
        <w:t>2</w:t>
      </w:r>
      <w:r>
        <w:rPr>
          <w:rFonts w:ascii="Times New Roman" w:hAnsi="Times New Roman"/>
          <w:sz w:val="24"/>
          <w:szCs w:val="24"/>
        </w:rPr>
        <w:t>个吸附塔始终处于进料吸附的状态。其吸附和再生工艺过程由吸附、连续四次均压降压、顺放、逆放、冲洗，连续四次均压升压和产品最终升压等步骤组成。</w:t>
      </w:r>
      <w:r>
        <w:rPr>
          <w:rFonts w:ascii="Times New Roman" w:hAnsi="Times New Roman"/>
          <w:sz w:val="24"/>
          <w:szCs w:val="24"/>
        </w:rPr>
        <w:cr/>
      </w:r>
      <w:r>
        <w:rPr>
          <w:rFonts w:ascii="Times New Roman" w:hAnsi="Times New Roman" w:hint="eastAsia"/>
          <w:sz w:val="24"/>
          <w:szCs w:val="24"/>
        </w:rPr>
        <w:t xml:space="preserve">  </w:t>
      </w:r>
      <w:r>
        <w:rPr>
          <w:rFonts w:ascii="Times New Roman" w:hAnsi="Times New Roman"/>
          <w:sz w:val="24"/>
          <w:szCs w:val="24"/>
        </w:rPr>
        <w:t>主流程过程简述如下：</w:t>
      </w:r>
      <w:r>
        <w:rPr>
          <w:rFonts w:ascii="Times New Roman" w:hAnsi="Times New Roman"/>
          <w:sz w:val="24"/>
          <w:szCs w:val="24"/>
        </w:rPr>
        <w:cr/>
      </w:r>
      <w:r>
        <w:rPr>
          <w:rFonts w:ascii="Times New Roman" w:hAnsi="Times New Roman"/>
          <w:sz w:val="24"/>
          <w:szCs w:val="24"/>
        </w:rPr>
        <w:t xml:space="preserve">　　</w:t>
      </w:r>
      <w:r>
        <w:rPr>
          <w:rFonts w:ascii="Times New Roman" w:hAnsi="Times New Roman"/>
          <w:sz w:val="24"/>
          <w:szCs w:val="24"/>
        </w:rPr>
        <w:t>1</w:t>
      </w:r>
      <w:r>
        <w:rPr>
          <w:rFonts w:ascii="Times New Roman" w:hAnsi="Times New Roman"/>
          <w:sz w:val="24"/>
          <w:szCs w:val="24"/>
        </w:rPr>
        <w:t>）吸附过程</w:t>
      </w:r>
      <w:r>
        <w:rPr>
          <w:rFonts w:ascii="Times New Roman" w:hAnsi="Times New Roman"/>
          <w:sz w:val="24"/>
          <w:szCs w:val="24"/>
        </w:rPr>
        <w:cr/>
      </w:r>
      <w:r>
        <w:rPr>
          <w:rFonts w:ascii="Times New Roman" w:hAnsi="Times New Roman"/>
          <w:sz w:val="24"/>
          <w:szCs w:val="24"/>
        </w:rPr>
        <w:t>自氢压缩机来的压力为</w:t>
      </w:r>
      <w:r>
        <w:rPr>
          <w:rFonts w:ascii="Times New Roman" w:hAnsi="Times New Roman"/>
          <w:sz w:val="24"/>
          <w:szCs w:val="24"/>
        </w:rPr>
        <w:t>2.5MPa</w:t>
      </w:r>
      <w:r>
        <w:rPr>
          <w:rFonts w:ascii="Times New Roman" w:hAnsi="Times New Roman"/>
          <w:sz w:val="24"/>
          <w:szCs w:val="24"/>
        </w:rPr>
        <w:t>（</w:t>
      </w:r>
      <w:r>
        <w:rPr>
          <w:rFonts w:ascii="Times New Roman" w:hAnsi="Times New Roman"/>
          <w:sz w:val="24"/>
          <w:szCs w:val="24"/>
        </w:rPr>
        <w:t>G</w:t>
      </w:r>
      <w:r>
        <w:rPr>
          <w:rFonts w:ascii="Times New Roman" w:hAnsi="Times New Roman"/>
          <w:sz w:val="24"/>
          <w:szCs w:val="24"/>
        </w:rPr>
        <w:t>），温度</w:t>
      </w:r>
      <w:r>
        <w:rPr>
          <w:rFonts w:ascii="Times New Roman" w:hAnsi="Times New Roman"/>
          <w:sz w:val="24"/>
          <w:szCs w:val="24"/>
        </w:rPr>
        <w:t>40℃</w:t>
      </w:r>
      <w:r>
        <w:rPr>
          <w:rFonts w:ascii="Times New Roman" w:hAnsi="Times New Roman"/>
          <w:sz w:val="24"/>
          <w:szCs w:val="24"/>
        </w:rPr>
        <w:t>的原料气自塔底进入正处于吸附状态的吸附塔（有</w:t>
      </w:r>
      <w:r>
        <w:rPr>
          <w:rFonts w:ascii="Times New Roman" w:hAnsi="Times New Roman"/>
          <w:sz w:val="24"/>
          <w:szCs w:val="24"/>
        </w:rPr>
        <w:t>2</w:t>
      </w:r>
      <w:r>
        <w:rPr>
          <w:rFonts w:ascii="Times New Roman" w:hAnsi="Times New Roman"/>
          <w:sz w:val="24"/>
          <w:szCs w:val="24"/>
        </w:rPr>
        <w:t>个吸附塔处于吸附状态）内。在多种吸附剂的依次选择吸附下，其中的</w:t>
      </w: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rPr>
        <w:t>、</w:t>
      </w:r>
      <w:r>
        <w:rPr>
          <w:rFonts w:ascii="Times New Roman" w:hAnsi="Times New Roman"/>
          <w:sz w:val="24"/>
          <w:szCs w:val="24"/>
        </w:rPr>
        <w:t>CH</w:t>
      </w:r>
      <w:r>
        <w:rPr>
          <w:rFonts w:ascii="Times New Roman" w:hAnsi="Times New Roman"/>
          <w:sz w:val="24"/>
          <w:szCs w:val="24"/>
          <w:vertAlign w:val="subscript"/>
        </w:rPr>
        <w:t>4</w:t>
      </w:r>
      <w:r>
        <w:rPr>
          <w:rFonts w:ascii="Times New Roman" w:hAnsi="Times New Roman"/>
          <w:sz w:val="24"/>
          <w:szCs w:val="24"/>
        </w:rPr>
        <w:t>和烃类等杂质被吸附下来，未被吸附的氢气作为产品从塔顶流出，经压力调节系统稳压后送至装置外，其中</w:t>
      </w:r>
      <w:r>
        <w:rPr>
          <w:rFonts w:ascii="Times New Roman" w:hAnsi="Times New Roman"/>
          <w:sz w:val="24"/>
          <w:szCs w:val="24"/>
        </w:rPr>
        <w:t>H2</w:t>
      </w:r>
      <w:r>
        <w:rPr>
          <w:rFonts w:ascii="Times New Roman" w:hAnsi="Times New Roman"/>
          <w:sz w:val="24"/>
          <w:szCs w:val="24"/>
        </w:rPr>
        <w:t>纯度大于</w:t>
      </w:r>
      <w:r>
        <w:rPr>
          <w:rFonts w:ascii="Times New Roman" w:hAnsi="Times New Roman"/>
          <w:sz w:val="24"/>
          <w:szCs w:val="24"/>
        </w:rPr>
        <w:t>99.9%</w:t>
      </w:r>
      <w:r>
        <w:rPr>
          <w:rFonts w:ascii="Times New Roman" w:hAnsi="Times New Roman"/>
          <w:sz w:val="24"/>
          <w:szCs w:val="24"/>
        </w:rPr>
        <w:t>，压力为</w:t>
      </w:r>
      <w:r>
        <w:rPr>
          <w:rFonts w:ascii="Times New Roman" w:hAnsi="Times New Roman"/>
          <w:sz w:val="24"/>
          <w:szCs w:val="24"/>
        </w:rPr>
        <w:t>2.4MPa(G)</w:t>
      </w:r>
      <w:r>
        <w:rPr>
          <w:rFonts w:ascii="Times New Roman" w:hAnsi="Times New Roman"/>
          <w:sz w:val="24"/>
          <w:szCs w:val="24"/>
        </w:rPr>
        <w:t>。当被吸附杂质的传质区前沿</w:t>
      </w:r>
      <w:r>
        <w:rPr>
          <w:rFonts w:ascii="Times New Roman" w:hAnsi="Times New Roman"/>
          <w:sz w:val="24"/>
          <w:szCs w:val="24"/>
        </w:rPr>
        <w:t>(</w:t>
      </w:r>
      <w:r>
        <w:rPr>
          <w:rFonts w:ascii="Times New Roman" w:hAnsi="Times New Roman"/>
          <w:sz w:val="24"/>
          <w:szCs w:val="24"/>
        </w:rPr>
        <w:t>称为吸附前沿</w:t>
      </w:r>
      <w:r>
        <w:rPr>
          <w:rFonts w:ascii="Times New Roman" w:hAnsi="Times New Roman"/>
          <w:sz w:val="24"/>
          <w:szCs w:val="24"/>
        </w:rPr>
        <w:t>)</w:t>
      </w:r>
      <w:r>
        <w:rPr>
          <w:rFonts w:ascii="Times New Roman" w:hAnsi="Times New Roman"/>
          <w:sz w:val="24"/>
          <w:szCs w:val="24"/>
        </w:rPr>
        <w:t>到达床层出口预留段某一位置时，关掉该吸附塔的原料气进料阀和产品气出口阀，停止吸附。吸附床开始转入再生过程。</w:t>
      </w:r>
      <w:r>
        <w:rPr>
          <w:rFonts w:ascii="Times New Roman" w:hAnsi="Times New Roman"/>
          <w:sz w:val="24"/>
          <w:szCs w:val="24"/>
        </w:rPr>
        <w:cr/>
      </w:r>
      <w:r>
        <w:rPr>
          <w:rFonts w:ascii="Times New Roman" w:hAnsi="Times New Roman"/>
          <w:sz w:val="24"/>
          <w:szCs w:val="24"/>
        </w:rPr>
        <w:t xml:space="preserve">　　</w:t>
      </w:r>
      <w:r>
        <w:rPr>
          <w:rFonts w:ascii="Times New Roman" w:hAnsi="Times New Roman"/>
          <w:sz w:val="24"/>
          <w:szCs w:val="24"/>
        </w:rPr>
        <w:t>2</w:t>
      </w:r>
      <w:r>
        <w:rPr>
          <w:rFonts w:ascii="Times New Roman" w:hAnsi="Times New Roman"/>
          <w:sz w:val="24"/>
          <w:szCs w:val="24"/>
        </w:rPr>
        <w:t>）均压降压过程</w:t>
      </w:r>
      <w:r>
        <w:rPr>
          <w:rFonts w:ascii="Times New Roman" w:hAnsi="Times New Roman"/>
          <w:sz w:val="24"/>
          <w:szCs w:val="24"/>
        </w:rPr>
        <w:cr/>
        <w:t xml:space="preserve">    </w:t>
      </w:r>
      <w:r>
        <w:rPr>
          <w:rFonts w:ascii="Times New Roman" w:hAnsi="Times New Roman"/>
          <w:sz w:val="24"/>
          <w:szCs w:val="24"/>
        </w:rPr>
        <w:t>这是在吸附过程结束后，顺着吸附方向将塔内的较高压力的氢气放入其它已完成再生的较低压力吸附塔的过程，该过程不仅是降压过程，更是回收床层死空</w:t>
      </w:r>
      <w:r>
        <w:rPr>
          <w:rFonts w:ascii="Times New Roman" w:hAnsi="Times New Roman"/>
          <w:sz w:val="24"/>
          <w:szCs w:val="24"/>
        </w:rPr>
        <w:lastRenderedPageBreak/>
        <w:t>间氢气的过程，本流程共包括了四次连续的均压降压过程，因而可保证氢气的充分回收。</w:t>
      </w:r>
      <w:r>
        <w:rPr>
          <w:rFonts w:ascii="Times New Roman" w:hAnsi="Times New Roman"/>
          <w:sz w:val="24"/>
          <w:szCs w:val="24"/>
        </w:rPr>
        <w:cr/>
      </w:r>
      <w:r>
        <w:rPr>
          <w:rFonts w:ascii="Times New Roman" w:hAnsi="Times New Roman"/>
          <w:sz w:val="24"/>
          <w:szCs w:val="24"/>
        </w:rPr>
        <w:t xml:space="preserve">　　</w:t>
      </w:r>
      <w:r>
        <w:rPr>
          <w:rFonts w:ascii="Times New Roman" w:hAnsi="Times New Roman"/>
          <w:sz w:val="24"/>
          <w:szCs w:val="24"/>
        </w:rPr>
        <w:t>3</w:t>
      </w:r>
      <w:r>
        <w:rPr>
          <w:rFonts w:ascii="Times New Roman" w:hAnsi="Times New Roman"/>
          <w:sz w:val="24"/>
          <w:szCs w:val="24"/>
        </w:rPr>
        <w:t>）顺放过程</w:t>
      </w:r>
      <w:r>
        <w:rPr>
          <w:rFonts w:ascii="Times New Roman" w:hAnsi="Times New Roman"/>
          <w:sz w:val="24"/>
          <w:szCs w:val="24"/>
        </w:rPr>
        <w:cr/>
      </w:r>
      <w:r>
        <w:rPr>
          <w:rFonts w:ascii="Times New Roman" w:hAnsi="Times New Roman"/>
          <w:sz w:val="24"/>
          <w:szCs w:val="24"/>
        </w:rPr>
        <w:t>在均压降压过程结束后，顺着吸附方向将吸附塔顶部的产品氢气迅速回收进顺放气罐，这部分氢气将用作吸附剂的再生气源。</w:t>
      </w:r>
      <w:r>
        <w:rPr>
          <w:rFonts w:ascii="Times New Roman" w:hAnsi="Times New Roman"/>
          <w:sz w:val="24"/>
          <w:szCs w:val="24"/>
        </w:rPr>
        <w:cr/>
      </w:r>
      <w:r>
        <w:rPr>
          <w:rFonts w:ascii="Times New Roman" w:hAnsi="Times New Roman"/>
          <w:sz w:val="24"/>
          <w:szCs w:val="24"/>
        </w:rPr>
        <w:t xml:space="preserve">　　</w:t>
      </w:r>
      <w:r>
        <w:rPr>
          <w:rFonts w:ascii="Times New Roman" w:hAnsi="Times New Roman"/>
          <w:sz w:val="24"/>
          <w:szCs w:val="24"/>
        </w:rPr>
        <w:t>4</w:t>
      </w:r>
      <w:r>
        <w:rPr>
          <w:rFonts w:ascii="Times New Roman" w:hAnsi="Times New Roman"/>
          <w:sz w:val="24"/>
          <w:szCs w:val="24"/>
        </w:rPr>
        <w:t>）逆放过程</w:t>
      </w:r>
      <w:r>
        <w:rPr>
          <w:rFonts w:ascii="Times New Roman" w:hAnsi="Times New Roman"/>
          <w:sz w:val="24"/>
          <w:szCs w:val="24"/>
        </w:rPr>
        <w:cr/>
      </w:r>
      <w:r>
        <w:rPr>
          <w:rFonts w:ascii="Times New Roman" w:hAnsi="Times New Roman"/>
          <w:sz w:val="24"/>
          <w:szCs w:val="24"/>
        </w:rPr>
        <w:t>在顺放过程结束后，吸附前沿已达到床层出口。这时，逆着吸附方向将吸附塔压力降至接近常压，此时被吸附的杂质开始从吸附剂中大量解吸出来，逆放解吸气经过自适应调节系统调节后平缓地放进逆放解吸气缓冲罐，然后再经稳压调节阀调节后送解吸气混合罐。</w:t>
      </w:r>
      <w:r>
        <w:rPr>
          <w:rFonts w:ascii="Times New Roman" w:hAnsi="Times New Roman"/>
          <w:sz w:val="24"/>
          <w:szCs w:val="24"/>
        </w:rPr>
        <w:cr/>
      </w:r>
      <w:r>
        <w:rPr>
          <w:rFonts w:ascii="Times New Roman" w:hAnsi="Times New Roman"/>
          <w:sz w:val="24"/>
          <w:szCs w:val="24"/>
        </w:rPr>
        <w:t xml:space="preserve">　　</w:t>
      </w:r>
      <w:r>
        <w:rPr>
          <w:rFonts w:ascii="Times New Roman" w:hAnsi="Times New Roman"/>
          <w:sz w:val="24"/>
          <w:szCs w:val="24"/>
        </w:rPr>
        <w:t>5</w:t>
      </w:r>
      <w:r>
        <w:rPr>
          <w:rFonts w:ascii="Times New Roman" w:hAnsi="Times New Roman"/>
          <w:sz w:val="24"/>
          <w:szCs w:val="24"/>
        </w:rPr>
        <w:t>）冲洗过程</w:t>
      </w:r>
      <w:r>
        <w:rPr>
          <w:rFonts w:ascii="Times New Roman" w:hAnsi="Times New Roman"/>
          <w:sz w:val="24"/>
          <w:szCs w:val="24"/>
        </w:rPr>
        <w:cr/>
      </w:r>
      <w:r>
        <w:rPr>
          <w:rFonts w:ascii="Times New Roman" w:hAnsi="Times New Roman"/>
          <w:sz w:val="24"/>
          <w:szCs w:val="24"/>
        </w:rPr>
        <w:t>逆放结束后，为使吸附剂得到彻底的再生，用顺放气罐中的氢气逆着吸附方向对吸附床层进行冲洗，进一步降低杂质组分的分压，使吸附剂得以彻底再生。冲洗解吸气进入解吸气混合罐，在解吸气混合罐中与逆放解吸气混合后再送至解吸气压缩机。</w:t>
      </w:r>
    </w:p>
    <w:p w:rsidR="00525419" w:rsidRDefault="00EE1CF7">
      <w:pPr>
        <w:tabs>
          <w:tab w:val="left" w:pos="397"/>
        </w:tabs>
        <w:spacing w:line="460" w:lineRule="exact"/>
        <w:ind w:firstLineChars="200" w:firstLine="48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）均压升压过程</w:t>
      </w:r>
    </w:p>
    <w:p w:rsidR="00525419" w:rsidRDefault="00EE1CF7">
      <w:pPr>
        <w:tabs>
          <w:tab w:val="left" w:pos="397"/>
        </w:tabs>
        <w:spacing w:line="460" w:lineRule="exact"/>
        <w:ind w:firstLineChars="200" w:firstLine="480"/>
        <w:rPr>
          <w:rFonts w:ascii="Times New Roman" w:hAnsi="Times New Roman"/>
          <w:sz w:val="24"/>
          <w:szCs w:val="24"/>
        </w:rPr>
      </w:pPr>
      <w:r>
        <w:rPr>
          <w:rFonts w:ascii="Times New Roman" w:hAnsi="Times New Roman"/>
          <w:sz w:val="24"/>
          <w:szCs w:val="24"/>
        </w:rPr>
        <w:t>在冲洗过程完成后，用来自其它吸附塔的较高压力氢气依次对该吸附塔进行升压，这一过程与均压降压过程相对应，不仅是升压过程，而且更是回收其它塔的床层死空间氢气的过程，本流程共包括了连续四次均压升压过程。</w:t>
      </w:r>
    </w:p>
    <w:p w:rsidR="00525419" w:rsidRDefault="00EE1CF7">
      <w:pPr>
        <w:tabs>
          <w:tab w:val="left" w:pos="397"/>
        </w:tabs>
        <w:spacing w:line="460" w:lineRule="exact"/>
        <w:ind w:firstLineChars="200" w:firstLine="48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）产品气升压过程</w:t>
      </w:r>
    </w:p>
    <w:p w:rsidR="00525419" w:rsidRDefault="00EE1CF7">
      <w:pPr>
        <w:tabs>
          <w:tab w:val="left" w:pos="397"/>
        </w:tabs>
        <w:spacing w:line="460" w:lineRule="exact"/>
        <w:ind w:firstLineChars="200" w:firstLine="480"/>
        <w:rPr>
          <w:rFonts w:ascii="Times New Roman" w:hAnsi="Times New Roman"/>
          <w:sz w:val="24"/>
          <w:szCs w:val="24"/>
        </w:rPr>
      </w:pPr>
      <w:r>
        <w:rPr>
          <w:rFonts w:ascii="Times New Roman" w:hAnsi="Times New Roman"/>
          <w:sz w:val="24"/>
          <w:szCs w:val="24"/>
        </w:rPr>
        <w:t>在四次均压升压过程完成后，为了使吸附塔可以平稳地切换至下一次吸附并保证产品纯度在这一过程中不发生波动，需要通过升压调节阀缓慢而平稳地用产品氢气将吸附塔压力升至吸附压力。</w:t>
      </w:r>
    </w:p>
    <w:p w:rsidR="00525419" w:rsidRDefault="00EE1CF7">
      <w:pPr>
        <w:tabs>
          <w:tab w:val="left" w:pos="397"/>
        </w:tabs>
        <w:spacing w:line="460" w:lineRule="exact"/>
        <w:ind w:firstLineChars="200" w:firstLine="480"/>
        <w:rPr>
          <w:rFonts w:ascii="Times New Roman" w:hAnsi="Times New Roman"/>
          <w:sz w:val="24"/>
          <w:szCs w:val="24"/>
        </w:rPr>
      </w:pPr>
      <w:r>
        <w:rPr>
          <w:rFonts w:ascii="Times New Roman" w:hAnsi="Times New Roman"/>
          <w:sz w:val="24"/>
          <w:szCs w:val="24"/>
        </w:rPr>
        <w:t>经这一过程后吸附塔便完成了一个完整的</w:t>
      </w:r>
      <w:r>
        <w:rPr>
          <w:rFonts w:ascii="Times New Roman" w:hAnsi="Times New Roman"/>
          <w:sz w:val="24"/>
          <w:szCs w:val="24"/>
        </w:rPr>
        <w:t>“</w:t>
      </w:r>
      <w:r>
        <w:rPr>
          <w:rFonts w:ascii="Times New Roman" w:hAnsi="Times New Roman"/>
          <w:sz w:val="24"/>
          <w:szCs w:val="24"/>
        </w:rPr>
        <w:t>吸附</w:t>
      </w:r>
      <w:r>
        <w:rPr>
          <w:rFonts w:ascii="Times New Roman" w:hAnsi="Times New Roman"/>
          <w:sz w:val="24"/>
          <w:szCs w:val="24"/>
        </w:rPr>
        <w:t>-</w:t>
      </w:r>
      <w:r>
        <w:rPr>
          <w:rFonts w:ascii="Times New Roman" w:hAnsi="Times New Roman"/>
          <w:sz w:val="24"/>
          <w:szCs w:val="24"/>
        </w:rPr>
        <w:t>再生</w:t>
      </w:r>
      <w:r>
        <w:rPr>
          <w:rFonts w:ascii="Times New Roman" w:hAnsi="Times New Roman"/>
          <w:sz w:val="24"/>
          <w:szCs w:val="24"/>
        </w:rPr>
        <w:t>”</w:t>
      </w:r>
      <w:r>
        <w:rPr>
          <w:rFonts w:ascii="Times New Roman" w:hAnsi="Times New Roman"/>
          <w:sz w:val="24"/>
          <w:szCs w:val="24"/>
        </w:rPr>
        <w:t>循环，又为下一次吸附做好了准备。</w:t>
      </w:r>
    </w:p>
    <w:p w:rsidR="00525419" w:rsidRDefault="00EE1CF7">
      <w:pPr>
        <w:tabs>
          <w:tab w:val="left" w:pos="397"/>
        </w:tabs>
        <w:spacing w:line="460" w:lineRule="exact"/>
        <w:ind w:firstLineChars="200" w:firstLine="480"/>
        <w:rPr>
          <w:rFonts w:ascii="Times New Roman" w:hAnsi="Times New Roman"/>
          <w:sz w:val="24"/>
          <w:szCs w:val="24"/>
        </w:rPr>
      </w:pPr>
      <w:r>
        <w:rPr>
          <w:rFonts w:ascii="Times New Roman" w:hAnsi="Times New Roman"/>
          <w:sz w:val="24"/>
          <w:szCs w:val="24"/>
        </w:rPr>
        <w:t>八个吸附塔交替进行以上的吸附、再生操作</w:t>
      </w:r>
      <w:r>
        <w:rPr>
          <w:rFonts w:ascii="Times New Roman" w:hAnsi="Times New Roman"/>
          <w:sz w:val="24"/>
          <w:szCs w:val="24"/>
        </w:rPr>
        <w:t>(</w:t>
      </w:r>
      <w:r>
        <w:rPr>
          <w:rFonts w:ascii="Times New Roman" w:hAnsi="Times New Roman"/>
          <w:sz w:val="24"/>
          <w:szCs w:val="24"/>
        </w:rPr>
        <w:t>有二个吸附塔处于吸附状态</w:t>
      </w:r>
      <w:r>
        <w:rPr>
          <w:rFonts w:ascii="Times New Roman" w:hAnsi="Times New Roman"/>
          <w:sz w:val="24"/>
          <w:szCs w:val="24"/>
        </w:rPr>
        <w:t>)</w:t>
      </w:r>
      <w:r>
        <w:rPr>
          <w:rFonts w:ascii="Times New Roman" w:hAnsi="Times New Roman"/>
          <w:sz w:val="24"/>
          <w:szCs w:val="24"/>
        </w:rPr>
        <w:t>即可实现气体的连续分离与提纯。</w:t>
      </w:r>
    </w:p>
    <w:p w:rsidR="00525419" w:rsidRDefault="00EE1CF7">
      <w:pPr>
        <w:spacing w:line="460" w:lineRule="exact"/>
        <w:ind w:firstLineChars="200" w:firstLine="480"/>
        <w:rPr>
          <w:rFonts w:ascii="Times New Roman" w:hAnsi="Times New Roman"/>
          <w:sz w:val="24"/>
          <w:szCs w:val="24"/>
        </w:rPr>
      </w:pPr>
      <w:r>
        <w:rPr>
          <w:rFonts w:ascii="Times New Roman" w:hAnsi="Times New Roman"/>
          <w:sz w:val="24"/>
          <w:szCs w:val="24"/>
        </w:rPr>
        <w:t>芳烃制取装置生产工艺流程及主要产污环节见图</w:t>
      </w:r>
      <w:r>
        <w:rPr>
          <w:rFonts w:ascii="Times New Roman" w:hAnsi="Times New Roman"/>
          <w:sz w:val="24"/>
          <w:szCs w:val="24"/>
        </w:rPr>
        <w:t>3.4-3</w:t>
      </w:r>
      <w:r>
        <w:rPr>
          <w:rFonts w:ascii="Times New Roman" w:hAnsi="Times New Roman"/>
          <w:sz w:val="24"/>
          <w:szCs w:val="24"/>
        </w:rPr>
        <w:t>。</w:t>
      </w:r>
    </w:p>
    <w:p w:rsidR="00525419" w:rsidRDefault="00525419">
      <w:pPr>
        <w:spacing w:line="460" w:lineRule="exact"/>
        <w:ind w:firstLineChars="200" w:firstLine="480"/>
        <w:rPr>
          <w:rFonts w:ascii="Times New Roman" w:hAnsi="Times New Roman"/>
          <w:sz w:val="24"/>
          <w:szCs w:val="24"/>
        </w:rPr>
      </w:pPr>
    </w:p>
    <w:p w:rsidR="00525419" w:rsidRDefault="00525419">
      <w:pPr>
        <w:spacing w:line="460" w:lineRule="exact"/>
        <w:ind w:firstLineChars="200" w:firstLine="480"/>
        <w:rPr>
          <w:rFonts w:ascii="Times New Roman" w:hAnsi="Times New Roman"/>
          <w:sz w:val="24"/>
          <w:szCs w:val="24"/>
        </w:rPr>
      </w:pPr>
    </w:p>
    <w:p w:rsidR="00525419" w:rsidRDefault="00525419">
      <w:pPr>
        <w:rPr>
          <w:rFonts w:ascii="Times New Roman" w:hAnsi="Times New Roman"/>
        </w:rPr>
      </w:pPr>
    </w:p>
    <w:p w:rsidR="00525419" w:rsidRDefault="007D0E8A">
      <w:pPr>
        <w:rPr>
          <w:rFonts w:ascii="Times New Roman" w:hAnsi="Times New Roman"/>
        </w:rPr>
      </w:pPr>
      <w:r>
        <w:rPr>
          <w:rFonts w:ascii="Times New Roman" w:hAnsi="Times New Roman"/>
        </w:rPr>
        <w:pict>
          <v:group id="Group 2201" o:spid="_x0000_s1385" style="position:absolute;left:0;text-align:left;margin-left:7.65pt;margin-top:3.4pt;width:438pt;height:519pt;z-index:251654656" coordorigin="1680,2576" coordsize="8760,10380">
            <v:shape id="Quad Arrow 2202" o:spid="_x0000_s1386" type="#_x0000_t202" style="position:absolute;left:1800;top:3504;width:720;height:309" o:preferrelative="t" filled="f" stroked="f">
              <v:textbox inset="1.42pt,.85pt,1.42pt,.85pt">
                <w:txbxContent>
                  <w:p w:rsidR="00EE1CF7" w:rsidRDefault="00EE1CF7">
                    <w:r>
                      <w:rPr>
                        <w:rFonts w:hint="eastAsia"/>
                      </w:rPr>
                      <w:t>石脑油</w:t>
                    </w:r>
                  </w:p>
                </w:txbxContent>
              </v:textbox>
            </v:shape>
            <v:shape id="Quad Arrow 2203" o:spid="_x0000_s1387" type="#_x0000_t202" style="position:absolute;left:3240;top:3504;width:717;height:312" o:preferrelative="t">
              <v:stroke miterlimit="2"/>
              <v:textbox inset="1.42pt,.85pt,1.42pt,.85pt">
                <w:txbxContent>
                  <w:p w:rsidR="00EE1CF7" w:rsidRDefault="00EE1CF7">
                    <w:r>
                      <w:rPr>
                        <w:rFonts w:hint="eastAsia"/>
                      </w:rPr>
                      <w:t>缓冲罐</w:t>
                    </w:r>
                  </w:p>
                </w:txbxContent>
              </v:textbox>
            </v:shape>
            <v:line id="Line 2204" o:spid="_x0000_s1388" style="position:absolute" from="2520,3660" to="3240,3660" o:preferrelative="t">
              <v:stroke endarrow="block" miterlimit="2"/>
            </v:line>
            <v:line id="Line 2205" o:spid="_x0000_s1389" style="position:absolute" from="3957,3660" to="4482,3660" o:preferrelative="t">
              <v:stroke endarrow="block" miterlimit="2"/>
            </v:line>
            <v:shape id="Quad Arrow 2206" o:spid="_x0000_s1390" type="#_x0000_t202" style="position:absolute;left:4485;top:3504;width:915;height:312" o:preferrelative="t">
              <v:stroke miterlimit="2"/>
              <v:textbox inset="1.42pt,.85pt,1.42pt,.85pt">
                <w:txbxContent>
                  <w:p w:rsidR="00EE1CF7" w:rsidRDefault="00EE1CF7">
                    <w:r>
                      <w:rPr>
                        <w:rFonts w:hint="eastAsia"/>
                      </w:rPr>
                      <w:t>预加氢炉</w:t>
                    </w:r>
                  </w:p>
                </w:txbxContent>
              </v:textbox>
            </v:shape>
            <v:shape id="Quad Arrow 2207" o:spid="_x0000_s1391" type="#_x0000_t202" style="position:absolute;left:5760;top:3504;width:1440;height:312" o:preferrelative="t">
              <v:stroke miterlimit="2"/>
              <v:textbox inset="1.42pt,.85pt,1.42pt,.85pt">
                <w:txbxContent>
                  <w:p w:rsidR="00EE1CF7" w:rsidRDefault="00EE1CF7">
                    <w:r>
                      <w:rPr>
                        <w:rFonts w:hint="eastAsia"/>
                      </w:rPr>
                      <w:t>预加氢反应器</w:t>
                    </w:r>
                  </w:p>
                </w:txbxContent>
              </v:textbox>
            </v:shape>
            <v:line id="Line 2208" o:spid="_x0000_s1392" style="position:absolute" from="5400,3660" to="5760,3660" o:preferrelative="t">
              <v:stroke endarrow="block" miterlimit="2"/>
            </v:line>
            <v:line id="Line 2209" o:spid="_x0000_s1393" style="position:absolute;flip:y" from="7200,3645" to="8790,3660" o:preferrelative="t">
              <v:stroke miterlimit="2"/>
            </v:line>
            <v:shape id="Quad Arrow 2210" o:spid="_x0000_s1394" type="#_x0000_t202" style="position:absolute;left:5790;top:4068;width:1080;height:327" o:preferrelative="t" filled="f" stroked="f">
              <v:textbox inset="1.42pt,.85pt,1.42pt,.85pt">
                <w:txbxContent>
                  <w:p w:rsidR="00EE1CF7" w:rsidRDefault="00EE1CF7">
                    <w:pPr>
                      <w:rPr>
                        <w:sz w:val="18"/>
                        <w:szCs w:val="18"/>
                      </w:rPr>
                    </w:pPr>
                    <w:r>
                      <w:rPr>
                        <w:rFonts w:hint="eastAsia"/>
                        <w:sz w:val="18"/>
                        <w:szCs w:val="18"/>
                      </w:rPr>
                      <w:t>S1</w:t>
                    </w:r>
                    <w:r>
                      <w:rPr>
                        <w:rFonts w:hint="eastAsia"/>
                        <w:sz w:val="18"/>
                        <w:szCs w:val="18"/>
                      </w:rPr>
                      <w:t>废催化剂</w:t>
                    </w:r>
                  </w:p>
                </w:txbxContent>
              </v:textbox>
            </v:shape>
            <v:line id="Line 2211" o:spid="_x0000_s1395" style="position:absolute" from="6300,3816" to="6300,4128" o:preferrelative="t">
              <v:stroke dashstyle="dash" endarrow="block" miterlimit="2"/>
            </v:line>
            <v:shape id="Quad Arrow 2212" o:spid="_x0000_s1396" type="#_x0000_t202" style="position:absolute;left:7950;top:5421;width:1185;height:312" o:preferrelative="t">
              <v:stroke miterlimit="2"/>
              <v:textbox inset="1.42pt,.85pt,1.42pt,.85pt">
                <w:txbxContent>
                  <w:p w:rsidR="00EE1CF7" w:rsidRDefault="00EE1CF7">
                    <w:r>
                      <w:rPr>
                        <w:rFonts w:hint="eastAsia"/>
                      </w:rPr>
                      <w:t>高压分离器</w:t>
                    </w:r>
                  </w:p>
                </w:txbxContent>
              </v:textbox>
            </v:shape>
            <v:line id="Line 2213" o:spid="_x0000_s1397" style="position:absolute" from="8790,3645" to="8790,5421" o:preferrelative="t">
              <v:stroke endarrow="block" miterlimit="2"/>
            </v:line>
            <v:shape id="Quad Arrow 2214" o:spid="_x0000_s1398" type="#_x0000_t202" style="position:absolute;left:8445;top:2996;width:840;height:312" o:preferrelative="t" filled="f" stroked="f">
              <v:textbox inset="1.42pt,.85pt,1.42pt,.85pt">
                <w:txbxContent>
                  <w:p w:rsidR="00EE1CF7" w:rsidRDefault="00EE1CF7">
                    <w:r>
                      <w:rPr>
                        <w:rFonts w:hint="eastAsia"/>
                      </w:rPr>
                      <w:t>循环氢</w:t>
                    </w:r>
                  </w:p>
                </w:txbxContent>
              </v:textbox>
            </v:shape>
            <v:shape id="Quad Arrow 2215" o:spid="_x0000_s1399" type="#_x0000_t202" style="position:absolute;left:4650;top:4128;width:720;height:327" o:preferrelative="t" filled="f" stroked="f">
              <v:textbox inset="1.42pt,.85pt,1.42pt,.85pt">
                <w:txbxContent>
                  <w:p w:rsidR="00EE1CF7" w:rsidRDefault="00EE1CF7">
                    <w:r>
                      <w:rPr>
                        <w:rFonts w:hint="eastAsia"/>
                        <w:sz w:val="18"/>
                        <w:szCs w:val="18"/>
                      </w:rPr>
                      <w:t>G1</w:t>
                    </w:r>
                    <w:r>
                      <w:rPr>
                        <w:rFonts w:hint="eastAsia"/>
                        <w:sz w:val="18"/>
                        <w:szCs w:val="18"/>
                      </w:rPr>
                      <w:t>烟气</w:t>
                    </w:r>
                  </w:p>
                </w:txbxContent>
              </v:textbox>
            </v:shape>
            <v:line id="Line 2216" o:spid="_x0000_s1400" style="position:absolute" from="4935,3816" to="4935,4128" o:preferrelative="t">
              <v:stroke dashstyle="dash" endarrow="block" miterlimit="2"/>
            </v:line>
            <v:line id="Line 2217" o:spid="_x0000_s1401" style="position:absolute" from="9165,5577" to="9525,5577" o:preferrelative="t">
              <v:stroke dashstyle="dash" endarrow="block" miterlimit="2"/>
            </v:line>
            <v:shape id="Quad Arrow 2218" o:spid="_x0000_s1402" type="#_x0000_t202" style="position:absolute;left:9525;top:5301;width:810;height:624" o:preferrelative="t" filled="f" stroked="f">
              <v:textbox inset="1.42pt,.85pt,1.42pt,.85pt">
                <w:txbxContent>
                  <w:p w:rsidR="00EE1CF7" w:rsidRDefault="00EE1CF7">
                    <w:pPr>
                      <w:spacing w:line="240" w:lineRule="atLeast"/>
                      <w:rPr>
                        <w:sz w:val="18"/>
                        <w:szCs w:val="18"/>
                      </w:rPr>
                    </w:pPr>
                    <w:r>
                      <w:rPr>
                        <w:rFonts w:hint="eastAsia"/>
                        <w:sz w:val="18"/>
                        <w:szCs w:val="18"/>
                      </w:rPr>
                      <w:t>W1</w:t>
                    </w:r>
                    <w:r>
                      <w:rPr>
                        <w:rFonts w:hint="eastAsia"/>
                        <w:sz w:val="18"/>
                        <w:szCs w:val="18"/>
                      </w:rPr>
                      <w:t>含硫</w:t>
                    </w:r>
                  </w:p>
                  <w:p w:rsidR="00EE1CF7" w:rsidRDefault="00EE1CF7">
                    <w:pPr>
                      <w:spacing w:line="240" w:lineRule="atLeast"/>
                      <w:rPr>
                        <w:sz w:val="18"/>
                        <w:szCs w:val="18"/>
                      </w:rPr>
                    </w:pPr>
                    <w:r>
                      <w:rPr>
                        <w:rFonts w:hint="eastAsia"/>
                        <w:sz w:val="18"/>
                        <w:szCs w:val="18"/>
                      </w:rPr>
                      <w:t xml:space="preserve">　污水</w:t>
                    </w:r>
                  </w:p>
                </w:txbxContent>
              </v:textbox>
            </v:shape>
            <v:line id="Line 2219" o:spid="_x0000_s1403" style="position:absolute;flip:x" from="7365,5607" to="7950,5607" o:preferrelative="t">
              <v:stroke endarrow="block" miterlimit="2"/>
            </v:line>
            <v:shape id="Quad Arrow 2220" o:spid="_x0000_s1404" type="#_x0000_t202" style="position:absolute;left:6645;top:5466;width:720;height:312" o:preferrelative="t">
              <v:stroke miterlimit="2"/>
              <v:textbox inset="1.42pt,.85pt,1.42pt,.85pt">
                <w:txbxContent>
                  <w:p w:rsidR="00EE1CF7" w:rsidRDefault="00EE1CF7">
                    <w:r>
                      <w:rPr>
                        <w:rFonts w:hint="eastAsia"/>
                      </w:rPr>
                      <w:t>脱硫塔</w:t>
                    </w:r>
                  </w:p>
                </w:txbxContent>
              </v:textbox>
            </v:shape>
            <v:shape id="Quad Arrow 2221" o:spid="_x0000_s1405" type="#_x0000_t202" style="position:absolute;left:6645;top:4827;width:720;height:312" o:preferrelative="t">
              <v:stroke miterlimit="2"/>
              <v:textbox inset="1.42pt,.85pt,1.42pt,.85pt">
                <w:txbxContent>
                  <w:p w:rsidR="00EE1CF7" w:rsidRDefault="00EE1CF7">
                    <w:r>
                      <w:rPr>
                        <w:rFonts w:hint="eastAsia"/>
                      </w:rPr>
                      <w:t>回流罐</w:t>
                    </w:r>
                  </w:p>
                </w:txbxContent>
              </v:textbox>
            </v:shape>
            <v:line id="Line 2222" o:spid="_x0000_s1406" style="position:absolute;flip:y" from="6825,5100" to="6825,5466" o:preferrelative="t">
              <v:stroke endarrow="block" miterlimit="2"/>
            </v:line>
            <v:line id="Line 2223" o:spid="_x0000_s1407" style="position:absolute;flip:x" from="6150,4983" to="6645,4983" o:preferrelative="t">
              <v:stroke endarrow="block" miterlimit="2"/>
            </v:line>
            <v:line id="Line 2224" o:spid="_x0000_s1408" style="position:absolute;flip:x" from="6105,5607" to="6645,5607" o:preferrelative="t">
              <v:stroke endarrow="block" miterlimit="2"/>
            </v:line>
            <v:shape id="Quad Arrow 2225" o:spid="_x0000_s1409" type="#_x0000_t202" style="position:absolute;left:5385;top:5451;width:720;height:312" o:preferrelative="t">
              <v:stroke miterlimit="2"/>
              <v:textbox inset="1.42pt,.85pt,1.42pt,.85pt">
                <w:txbxContent>
                  <w:p w:rsidR="00EE1CF7" w:rsidRDefault="00EE1CF7">
                    <w:r>
                      <w:rPr>
                        <w:rFonts w:hint="eastAsia"/>
                      </w:rPr>
                      <w:t>分馏塔</w:t>
                    </w:r>
                  </w:p>
                </w:txbxContent>
              </v:textbox>
            </v:shape>
            <v:line id="Line 2226" o:spid="_x0000_s1410" style="position:absolute;flip:y" from="7005,4586" to="7005,4827" o:preferrelative="t">
              <v:stroke dashstyle="dash" endarrow="block" miterlimit="2"/>
            </v:line>
            <v:line id="Line 2227" o:spid="_x0000_s1411" style="position:absolute;flip:x" from="4845,5607" to="5385,5607" o:preferrelative="t">
              <v:stroke endarrow="block" miterlimit="2"/>
            </v:line>
            <v:shape id="Quad Arrow 2228" o:spid="_x0000_s1412" type="#_x0000_t202" style="position:absolute;left:2505;top:5466;width:1260;height:312" o:preferrelative="t">
              <v:stroke miterlimit="2"/>
              <v:textbox inset="1.42pt,.85pt,1.42pt,.85pt">
                <w:txbxContent>
                  <w:p w:rsidR="00EE1CF7" w:rsidRDefault="00EE1CF7">
                    <w:r>
                      <w:rPr>
                        <w:rFonts w:hint="eastAsia"/>
                      </w:rPr>
                      <w:t>重整反应器</w:t>
                    </w:r>
                  </w:p>
                </w:txbxContent>
              </v:textbox>
            </v:shape>
            <v:shape id="Quad Arrow 2229" o:spid="_x0000_s1413" type="#_x0000_t202" style="position:absolute;left:2670;top:4827;width:1155;height:357" o:preferrelative="t" filled="f" stroked="f">
              <v:textbox inset="1.42pt,.85pt,1.42pt,.85pt">
                <w:txbxContent>
                  <w:p w:rsidR="00EE1CF7" w:rsidRDefault="00EE1CF7">
                    <w:pPr>
                      <w:rPr>
                        <w:sz w:val="18"/>
                        <w:szCs w:val="18"/>
                      </w:rPr>
                    </w:pPr>
                    <w:r>
                      <w:rPr>
                        <w:rFonts w:hint="eastAsia"/>
                        <w:sz w:val="18"/>
                        <w:szCs w:val="18"/>
                      </w:rPr>
                      <w:t>S3</w:t>
                    </w:r>
                    <w:r>
                      <w:rPr>
                        <w:rFonts w:hint="eastAsia"/>
                        <w:sz w:val="18"/>
                        <w:szCs w:val="18"/>
                      </w:rPr>
                      <w:t>废催化剂</w:t>
                    </w:r>
                  </w:p>
                </w:txbxContent>
              </v:textbox>
            </v:shape>
            <v:line id="Line 2230" o:spid="_x0000_s1414" style="position:absolute;flip:x" from="3765,5637" to="4125,5637" o:preferrelative="t">
              <v:stroke endarrow="block" miterlimit="2"/>
            </v:line>
            <v:shape id="Quad Arrow 2231" o:spid="_x0000_s1415" type="#_x0000_t202" style="position:absolute;left:2505;top:6549;width:1215;height:312" o:preferrelative="t">
              <v:stroke miterlimit="2"/>
              <v:textbox inset="1.42pt,.85pt,1.42pt,.85pt">
                <w:txbxContent>
                  <w:p w:rsidR="00EE1CF7" w:rsidRDefault="00EE1CF7">
                    <w:r>
                      <w:rPr>
                        <w:rFonts w:hint="eastAsia"/>
                      </w:rPr>
                      <w:t>气液分离器</w:t>
                    </w:r>
                  </w:p>
                </w:txbxContent>
              </v:textbox>
            </v:shape>
            <v:shape id="Quad Arrow 2232" o:spid="_x0000_s1416" type="#_x0000_t202" style="position:absolute;left:5835;top:6705;width:1800;height:312" o:preferrelative="t" filled="f" stroked="f">
              <v:textbox inset="1.42pt,.85pt,1.42pt,.85pt">
                <w:txbxContent>
                  <w:p w:rsidR="00EE1CF7" w:rsidRDefault="00EE1CF7">
                    <w:r>
                      <w:rPr>
                        <w:rFonts w:hint="eastAsia"/>
                      </w:rPr>
                      <w:t>干气去脱硫装置</w:t>
                    </w:r>
                  </w:p>
                </w:txbxContent>
              </v:textbox>
            </v:shape>
            <v:line id="Line 2233" o:spid="_x0000_s1417" style="position:absolute" from="3165,5778" to="3165,6558" o:preferrelative="t">
              <v:stroke endarrow="block" miterlimit="2"/>
            </v:line>
            <v:shape id="Quad Arrow 2234" o:spid="_x0000_s1418" type="#_x0000_t202" style="position:absolute;left:3750;top:7098;width:720;height:312" o:preferrelative="t">
              <v:stroke miterlimit="2"/>
              <v:textbox inset="1.42pt,.85pt,1.42pt,.85pt">
                <w:txbxContent>
                  <w:p w:rsidR="00EE1CF7" w:rsidRDefault="00EE1CF7">
                    <w:r>
                      <w:rPr>
                        <w:rFonts w:hint="eastAsia"/>
                      </w:rPr>
                      <w:t>回流罐</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35" o:spid="_x0000_s1419" type="#_x0000_t34" style="position:absolute;left:8260;top:3976;width:2215;height:675;rotation:270" o:connectortype="elbow" o:preferrelative="t" adj="10795">
              <v:stroke miterlimit="2"/>
            </v:shape>
            <v:shape id="Straight Connector 2236" o:spid="_x0000_s1420" type="#_x0000_t32" style="position:absolute;left:4170;top:3191;width:5535;height:0;flip:x" o:connectortype="straight" o:preferrelative="t">
              <v:stroke miterlimit="2"/>
            </v:shape>
            <v:shape id="Straight Connector 2237" o:spid="_x0000_s1421" type="#_x0000_t32" style="position:absolute;left:4170;top:3191;width:0;height:454" o:connectortype="straight" o:preferrelative="t">
              <v:stroke endarrow="block" miterlimit="2"/>
            </v:shape>
            <v:shape id="Straight Connector 2238" o:spid="_x0000_s1422" type="#_x0000_t32" style="position:absolute;left:7365;top:4983;width:195;height:0" o:connectortype="straight" o:preferrelative="t">
              <v:stroke miterlimit="2"/>
            </v:shape>
            <v:shape id="Straight Connector 2239" o:spid="_x0000_s1423" type="#_x0000_t32" style="position:absolute;left:7560;top:4983;width:0;height:318" o:connectortype="straight" o:preferrelative="t">
              <v:stroke miterlimit="2"/>
            </v:shape>
            <v:shape id="Straight Connector 2240" o:spid="_x0000_s1424" type="#_x0000_t32" style="position:absolute;left:7170;top:5301;width:390;height:0;flip:x" o:connectortype="straight" o:preferrelative="t">
              <v:stroke miterlimit="2"/>
            </v:shape>
            <v:shape id="Straight Connector 2241" o:spid="_x0000_s1425" type="#_x0000_t32" style="position:absolute;left:7170;top:5301;width:0;height:150" o:connectortype="straight" o:preferrelative="t">
              <v:stroke endarrow="block" miterlimit="2"/>
            </v:shape>
            <v:shape id="Quad Arrow 2242" o:spid="_x0000_s1426" type="#_x0000_t202" style="position:absolute;left:5430;top:4827;width:720;height:357" o:preferrelative="t" filled="f" stroked="f">
              <v:textbox inset="1.42pt,.85pt,1.42pt,.85pt">
                <w:txbxContent>
                  <w:p w:rsidR="00EE1CF7" w:rsidRDefault="00EE1CF7">
                    <w:r>
                      <w:rPr>
                        <w:rFonts w:hint="eastAsia"/>
                      </w:rPr>
                      <w:t>干气</w:t>
                    </w:r>
                  </w:p>
                </w:txbxContent>
              </v:textbox>
            </v:shape>
            <v:shape id="Quad Arrow 2243" o:spid="_x0000_s1427" type="#_x0000_t202" style="position:absolute;left:6465;top:4328;width:1170;height:318" o:preferrelative="t" filled="f" stroked="f">
              <v:textbox inset="1.42pt,.85pt,1.42pt,.85pt">
                <w:txbxContent>
                  <w:p w:rsidR="00EE1CF7" w:rsidRDefault="00EE1CF7">
                    <w:pPr>
                      <w:spacing w:line="240" w:lineRule="atLeast"/>
                      <w:rPr>
                        <w:sz w:val="18"/>
                        <w:szCs w:val="18"/>
                      </w:rPr>
                    </w:pPr>
                    <w:r>
                      <w:rPr>
                        <w:rFonts w:hint="eastAsia"/>
                        <w:sz w:val="18"/>
                        <w:szCs w:val="18"/>
                      </w:rPr>
                      <w:t>W2</w:t>
                    </w:r>
                    <w:r>
                      <w:rPr>
                        <w:rFonts w:hint="eastAsia"/>
                        <w:sz w:val="18"/>
                        <w:szCs w:val="18"/>
                      </w:rPr>
                      <w:t>含硫污水</w:t>
                    </w:r>
                  </w:p>
                </w:txbxContent>
              </v:textbox>
            </v:shape>
            <v:shape id="Quad Arrow 2244" o:spid="_x0000_s1428" type="#_x0000_t202" style="position:absolute;left:5400;top:6075;width:720;height:312" o:preferrelative="t">
              <v:stroke miterlimit="2"/>
              <v:textbox inset="1.42pt,.85pt,1.42pt,.85pt">
                <w:txbxContent>
                  <w:p w:rsidR="00EE1CF7" w:rsidRDefault="00EE1CF7">
                    <w:r>
                      <w:rPr>
                        <w:rFonts w:hint="eastAsia"/>
                      </w:rPr>
                      <w:t>回流罐</w:t>
                    </w:r>
                  </w:p>
                </w:txbxContent>
              </v:textbox>
            </v:shape>
            <v:shape id="Straight Connector 2245" o:spid="_x0000_s1429" type="#_x0000_t32" style="position:absolute;left:5790;top:5778;width:0;height:297" o:connectortype="straight" o:preferrelative="t">
              <v:stroke endarrow="block" miterlimit="2"/>
            </v:shape>
            <v:shape id="Straight Connector 2246" o:spid="_x0000_s1430" type="#_x0000_t32" style="position:absolute;left:5115;top:6231;width:315;height:0;flip:x" o:connectortype="straight" o:preferrelative="t">
              <v:stroke dashstyle="dash" miterlimit="2"/>
            </v:shape>
            <v:shape id="Straight Connector 2247" o:spid="_x0000_s1431" type="#_x0000_t32" style="position:absolute;left:6135;top:6231;width:225;height:0" o:connectortype="straight" o:preferrelative="t">
              <v:stroke miterlimit="2"/>
            </v:shape>
            <v:shape id="Straight Connector 2248" o:spid="_x0000_s1432" type="#_x0000_t32" style="position:absolute;left:6375;top:5925;width:0;height:306;flip:y" o:connectortype="straight" o:preferrelative="t">
              <v:stroke miterlimit="2"/>
            </v:shape>
            <v:shape id="Straight Connector 2249" o:spid="_x0000_s1433" type="#_x0000_t32" style="position:absolute;left:6015;top:5925;width:360;height:0;flip:x" o:connectortype="straight" o:preferrelative="t">
              <v:stroke miterlimit="2"/>
            </v:shape>
            <v:shape id="Straight Connector 2250" o:spid="_x0000_s1434" type="#_x0000_t32" style="position:absolute;left:6015;top:5778;width:0;height:147;flip:y" o:connectortype="straight" o:preferrelative="t">
              <v:stroke endarrow="block" miterlimit="2"/>
            </v:shape>
            <v:shape id="Straight Connector 2251" o:spid="_x0000_s1435" type="#_x0000_t32" style="position:absolute;left:6375;top:6075;width:630;height:0" o:connectortype="straight" o:preferrelative="t">
              <v:stroke miterlimit="2"/>
            </v:shape>
            <v:shape id="Straight Connector 2252" o:spid="_x0000_s1436" type="#_x0000_t32" style="position:absolute;left:5130;top:6231;width:0;height:312" o:connectortype="straight" o:preferrelative="t">
              <v:stroke dashstyle="dash" endarrow="block" miterlimit="2"/>
            </v:shape>
            <v:shape id="Quad Arrow 2253" o:spid="_x0000_s1437" type="#_x0000_t202" style="position:absolute;left:4725;top:6387;width:1170;height:318" o:preferrelative="t" filled="f" stroked="f">
              <v:textbox inset="1.42pt,.85pt,1.42pt,.85pt">
                <w:txbxContent>
                  <w:p w:rsidR="00EE1CF7" w:rsidRDefault="00EE1CF7">
                    <w:pPr>
                      <w:spacing w:line="240" w:lineRule="atLeast"/>
                      <w:rPr>
                        <w:sz w:val="18"/>
                        <w:szCs w:val="18"/>
                      </w:rPr>
                    </w:pPr>
                    <w:r>
                      <w:rPr>
                        <w:rFonts w:hint="eastAsia"/>
                        <w:sz w:val="18"/>
                        <w:szCs w:val="18"/>
                      </w:rPr>
                      <w:t>W3</w:t>
                    </w:r>
                    <w:r>
                      <w:rPr>
                        <w:rFonts w:hint="eastAsia"/>
                        <w:sz w:val="18"/>
                        <w:szCs w:val="18"/>
                      </w:rPr>
                      <w:t>含硫污水</w:t>
                    </w:r>
                  </w:p>
                </w:txbxContent>
              </v:textbox>
            </v:shape>
            <v:shape id="Quad Arrow 2254" o:spid="_x0000_s1438" type="#_x0000_t202" style="position:absolute;left:4125;top:5451;width:720;height:312" o:preferrelative="t">
              <v:stroke miterlimit="2"/>
              <v:textbox inset="1.42pt,.85pt,1.42pt,.85pt">
                <w:txbxContent>
                  <w:p w:rsidR="00EE1CF7" w:rsidRDefault="00EE1CF7">
                    <w:r>
                      <w:rPr>
                        <w:rFonts w:hint="eastAsia"/>
                      </w:rPr>
                      <w:t>重整炉</w:t>
                    </w:r>
                  </w:p>
                </w:txbxContent>
              </v:textbox>
            </v:shape>
            <v:shape id="Straight Connector 2255" o:spid="_x0000_s1439" type="#_x0000_t32" style="position:absolute;left:4488;top:5139;width:0;height:282;flip:y" o:connectortype="straight" o:preferrelative="t">
              <v:stroke dashstyle="dash" endarrow="block" miterlimit="2"/>
            </v:shape>
            <v:shape id="Quad Arrow 2256" o:spid="_x0000_s1440" type="#_x0000_t202" style="position:absolute;left:4170;top:4899;width:720;height:327" o:preferrelative="t" filled="f" stroked="f">
              <v:textbox inset="1.42pt,.85pt,1.42pt,.85pt">
                <w:txbxContent>
                  <w:p w:rsidR="00EE1CF7" w:rsidRDefault="00EE1CF7">
                    <w:r>
                      <w:rPr>
                        <w:rFonts w:hint="eastAsia"/>
                        <w:sz w:val="18"/>
                        <w:szCs w:val="18"/>
                      </w:rPr>
                      <w:t>G2</w:t>
                    </w:r>
                    <w:r>
                      <w:rPr>
                        <w:rFonts w:hint="eastAsia"/>
                        <w:sz w:val="18"/>
                        <w:szCs w:val="18"/>
                      </w:rPr>
                      <w:t>烟气</w:t>
                    </w:r>
                  </w:p>
                </w:txbxContent>
              </v:textbox>
            </v:shape>
            <v:shape id="Straight Connector 2257" o:spid="_x0000_s1441" type="#_x0000_t32" style="position:absolute;left:3270;top:5139;width:0;height:282;flip:y" o:connectortype="straight" o:preferrelative="t">
              <v:stroke dashstyle="dash" endarrow="block" miterlimit="2"/>
            </v:shape>
            <v:shape id="Straight Connector 2258" o:spid="_x0000_s1442" type="#_x0000_t32" style="position:absolute;left:3150;top:6861;width:0;height:590" o:connectortype="straight" o:preferrelative="t">
              <v:stroke endarrow="block" miterlimit="2"/>
            </v:shape>
            <v:shape id="Quad Arrow 2259" o:spid="_x0000_s1443" type="#_x0000_t202" style="position:absolute;left:2754;top:7488;width:966;height:335" o:preferrelative="t">
              <v:stroke miterlimit="2"/>
              <v:textbox inset="1.42pt,.85pt,1.42pt,.85pt">
                <w:txbxContent>
                  <w:p w:rsidR="00EE1CF7" w:rsidRDefault="00EE1CF7">
                    <w:r>
                      <w:rPr>
                        <w:rFonts w:hint="eastAsia"/>
                      </w:rPr>
                      <w:t>脱丁烷塔</w:t>
                    </w:r>
                  </w:p>
                </w:txbxContent>
              </v:textbox>
            </v:shape>
            <v:shape id="Straight Connector 2260" o:spid="_x0000_s1444" type="#_x0000_t32" style="position:absolute;left:3375;top:7241;width:0;height:210;flip:y" o:connectortype="straight" o:preferrelative="t">
              <v:stroke miterlimit="2"/>
            </v:shape>
            <v:shape id="Straight Connector 2261" o:spid="_x0000_s1445" type="#_x0000_t32" style="position:absolute;left:3375;top:7241;width:345;height:0" o:connectortype="straight" o:preferrelative="t">
              <v:stroke endarrow="block" miterlimit="2"/>
            </v:shape>
            <v:shape id="Straight Connector 2262" o:spid="_x0000_s1446" type="#_x0000_t32" style="position:absolute;left:4125;top:7406;width:15;height:231" o:connectortype="straight" o:preferrelative="t">
              <v:stroke miterlimit="2"/>
            </v:shape>
            <v:shape id="Straight Connector 2263" o:spid="_x0000_s1447" type="#_x0000_t32" style="position:absolute;left:3720;top:7628;width:405;height:1;flip:x" o:connectortype="straight" o:preferrelative="t">
              <v:stroke endarrow="block" miterlimit="2"/>
            </v:shape>
            <v:shape id="Straight Connector 2264" o:spid="_x0000_s1448" type="#_x0000_t32" style="position:absolute;left:4110;top:6861;width:15;height:237;flip:y" o:connectortype="straight" o:preferrelative="t">
              <v:stroke miterlimit="2"/>
            </v:shape>
            <v:shape id="Straight Connector 2265" o:spid="_x0000_s1449" type="#_x0000_t32" style="position:absolute;left:4125;top:6861;width:1635;height:0" o:connectortype="straight" o:preferrelative="t">
              <v:stroke endarrow="block" miterlimit="2"/>
            </v:shape>
            <v:shape id="Straight Connector 2266" o:spid="_x0000_s1450" type="#_x0000_t32" style="position:absolute;left:7005;top:6075;width:0;height:630" o:connectortype="straight" o:preferrelative="t">
              <v:stroke miterlimit="2"/>
            </v:shape>
            <v:shape id="Straight Connector 2267" o:spid="_x0000_s1451" type="#_x0000_t32" style="position:absolute;left:4110;top:6705;width:2895;height:0;flip:x" o:connectortype="straight" o:preferrelative="t">
              <v:stroke miterlimit="2"/>
            </v:shape>
            <v:shape id="Straight Connector 2268" o:spid="_x0000_s1452" type="#_x0000_t32" style="position:absolute;left:4095;top:6231;width:0;height:474;flip:y" o:connectortype="straight" o:preferrelative="t">
              <v:stroke miterlimit="2"/>
            </v:shape>
            <v:shape id="Straight Connector 2269" o:spid="_x0000_s1453" type="#_x0000_t32" style="position:absolute;left:3375;top:6231;width:735;height:1;flip:x" o:connectortype="straight" o:preferrelative="t">
              <v:stroke miterlimit="2"/>
            </v:shape>
            <v:shape id="未知 2270" o:spid="_x0000_s1454" style="position:absolute;left:2925;top:6075;width:450;height:156" coordsize="315,157" o:preferrelative="t" path="m315,157c288,78,262,,210,,158,,79,78,,156e" filled="f">
              <v:stroke miterlimit="2"/>
            </v:shape>
            <v:shape id="Straight Connector 2271" o:spid="_x0000_s1455" type="#_x0000_t32" style="position:absolute;left:2340;top:6231;width:585;height:0;flip:x" o:connectortype="straight" o:preferrelative="t">
              <v:stroke miterlimit="2"/>
            </v:shape>
            <v:shape id="Straight Connector 2272" o:spid="_x0000_s1456" type="#_x0000_t32" style="position:absolute;left:2340;top:6231;width:0;height:1398" o:connectortype="straight" o:preferrelative="t">
              <v:stroke miterlimit="2"/>
            </v:shape>
            <v:shape id="Straight Connector 2273" o:spid="_x0000_s1457" type="#_x0000_t32" style="position:absolute;left:2340;top:7629;width:420;height:0" o:connectortype="straight" o:preferrelative="t">
              <v:stroke endarrow="block" miterlimit="2"/>
            </v:shape>
            <v:shape id="Quad Arrow 2274" o:spid="_x0000_s1458" type="#_x0000_t202" style="position:absolute;left:2100;top:7017;width:570;height:309" o:preferrelative="t" filled="f" stroked="f">
              <v:textbox inset="1.42pt,.85pt,1.42pt,.85pt">
                <w:txbxContent>
                  <w:p w:rsidR="00EE1CF7" w:rsidRDefault="00EE1CF7">
                    <w:r>
                      <w:rPr>
                        <w:rFonts w:hint="eastAsia"/>
                      </w:rPr>
                      <w:t>轻油</w:t>
                    </w:r>
                  </w:p>
                </w:txbxContent>
              </v:textbox>
            </v:shape>
            <v:shape id="Straight Connector 2275" o:spid="_x0000_s1459" type="#_x0000_t32" style="position:absolute;left:2430;top:6705;width:90;height:0;flip:x" o:connectortype="straight" o:preferrelative="t">
              <v:stroke miterlimit="2"/>
            </v:shape>
            <v:shape id="未知 2276" o:spid="_x0000_s1460" style="position:absolute;left:2205;top:6588;width:225;height:132" coordsize="225,147" o:preferrelative="t" path="m225,147c198,73,172,,135,,98,,17,123,,147e" filled="f">
              <v:stroke miterlimit="2"/>
            </v:shape>
            <v:shape id="Straight Connector 2277" o:spid="_x0000_s1461" type="#_x0000_t32" style="position:absolute;left:1680;top:6705;width:525;height:0;flip:x" o:connectortype="straight" o:preferrelative="t">
              <v:stroke miterlimit="2"/>
            </v:shape>
            <v:shape id="Straight Connector 2278" o:spid="_x0000_s1462" type="#_x0000_t32" style="position:absolute;left:1680;top:2786;width:0;height:3919;flip:y" o:connectortype="straight" o:preferrelative="t">
              <v:stroke miterlimit="2"/>
            </v:shape>
            <v:shape id="Straight Connector 2279" o:spid="_x0000_s1463" type="#_x0000_t32" style="position:absolute;left:1680;top:2786;width:5955;height:0" o:connectortype="straight" o:preferrelative="t">
              <v:stroke miterlimit="2"/>
            </v:shape>
            <v:shape id="Straight Connector 2280" o:spid="_x0000_s1464" type="#_x0000_t32" style="position:absolute;left:7635;top:2786;width:0;height:405" o:connectortype="straight" o:preferrelative="t">
              <v:stroke endarrow="block" miterlimit="2"/>
            </v:shape>
            <v:shape id="Quad Arrow 2281" o:spid="_x0000_s1465" type="#_x0000_t202" style="position:absolute;left:4275;top:2576;width:570;height:312" o:preferrelative="t" filled="f" stroked="f">
              <v:textbox inset="1.42pt,.85pt,1.42pt,.85pt">
                <w:txbxContent>
                  <w:p w:rsidR="00EE1CF7" w:rsidRDefault="00EE1CF7">
                    <w:r>
                      <w:rPr>
                        <w:rFonts w:hint="eastAsia"/>
                      </w:rPr>
                      <w:t>氢气</w:t>
                    </w:r>
                  </w:p>
                </w:txbxContent>
              </v:textbox>
            </v:shape>
            <v:shape id="Quad Arrow 2282" o:spid="_x0000_s1466" type="#_x0000_t202" style="position:absolute;left:4860;top:8279;width:1080;height:327" o:preferrelative="t">
              <v:stroke miterlimit="2"/>
              <v:textbox inset="1.42pt,.85pt,1.42pt,.85pt">
                <w:txbxContent>
                  <w:p w:rsidR="00EE1CF7" w:rsidRDefault="00EE1CF7">
                    <w:r>
                      <w:rPr>
                        <w:rFonts w:hint="eastAsia"/>
                      </w:rPr>
                      <w:t>脱戊烷塔</w:t>
                    </w:r>
                  </w:p>
                </w:txbxContent>
              </v:textbox>
            </v:shape>
            <v:shape id="Quad Arrow 2283" o:spid="_x0000_s1467" type="#_x0000_t202" style="position:absolute;left:6105;top:7637;width:1080;height:327" o:preferrelative="t">
              <v:stroke miterlimit="2"/>
              <v:textbox inset="1.42pt,.85pt,1.42pt,.85pt">
                <w:txbxContent>
                  <w:p w:rsidR="00EE1CF7" w:rsidRDefault="00EE1CF7">
                    <w:r>
                      <w:rPr>
                        <w:rFonts w:hint="eastAsia"/>
                      </w:rPr>
                      <w:t>冷却回流</w:t>
                    </w:r>
                  </w:p>
                </w:txbxContent>
              </v:textbox>
            </v:shape>
            <v:shape id="Straight Connector 2284" o:spid="_x0000_s1468" type="#_x0000_t32" style="position:absolute;left:5760;top:7793;width:0;height:486;flip:y" o:connectortype="straight" o:preferrelative="t">
              <v:stroke miterlimit="2"/>
            </v:shape>
            <v:shape id="Straight Connector 2285" o:spid="_x0000_s1469" type="#_x0000_t32" style="position:absolute;left:5760;top:7793;width:345;height:0" o:connectortype="straight" o:preferrelative="t">
              <v:stroke endarrow="block" miterlimit="2"/>
            </v:shape>
            <v:shape id="Straight Connector 2286" o:spid="_x0000_s1470" type="#_x0000_t32" style="position:absolute;left:6825;top:7964;width:0;height:453" o:connectortype="straight" o:preferrelative="t">
              <v:stroke miterlimit="2"/>
            </v:shape>
            <v:shape id="Straight Connector 2287" o:spid="_x0000_s1471" type="#_x0000_t32" style="position:absolute;left:5940;top:8417;width:885;height:0;flip:x" o:connectortype="straight" o:preferrelative="t">
              <v:stroke endarrow="block" miterlimit="2"/>
            </v:shape>
            <v:shape id="Quad Arrow 2288" o:spid="_x0000_s1472" type="#_x0000_t202" style="position:absolute;left:6120;top:8228;width:540;height:345" o:preferrelative="t" filled="f" stroked="f">
              <v:fill opacity="64225f"/>
              <v:textbox inset="1.42pt,.85pt,1.42pt,.85pt">
                <w:txbxContent>
                  <w:p w:rsidR="00EE1CF7" w:rsidRDefault="00EE1CF7">
                    <w:r>
                      <w:rPr>
                        <w:rFonts w:hint="eastAsia"/>
                      </w:rPr>
                      <w:t>回流</w:t>
                    </w:r>
                  </w:p>
                </w:txbxContent>
              </v:textbox>
            </v:shape>
            <v:shape id="Straight Connector 2289" o:spid="_x0000_s1473" type="#_x0000_t32" style="position:absolute;left:7200;top:7796;width:360;height:0" o:connectortype="straight" o:preferrelative="t">
              <v:stroke dashstyle="dash" endarrow="block" miterlimit="2"/>
            </v:shape>
            <v:shape id="Quad Arrow 2290" o:spid="_x0000_s1474" type="#_x0000_t202" style="position:absolute;left:7560;top:7637;width:540;height:345" o:preferrelative="t" filled="f" strokecolor="white">
              <v:stroke miterlimit="2"/>
              <v:textbox inset="1.42pt,.85pt,1.42pt,.85pt">
                <w:txbxContent>
                  <w:p w:rsidR="00EE1CF7" w:rsidRDefault="00EE1CF7">
                    <w:r>
                      <w:rPr>
                        <w:rFonts w:hint="eastAsia"/>
                      </w:rPr>
                      <w:t>W3</w:t>
                    </w:r>
                  </w:p>
                </w:txbxContent>
              </v:textbox>
            </v:shape>
            <v:shape id="Straight Connector 2291" o:spid="_x0000_s1475" type="#_x0000_t32" style="position:absolute;left:5400;top:8606;width:0;height:591" o:connectortype="straight" o:preferrelative="t">
              <v:stroke endarrow="block" miterlimit="2"/>
            </v:shape>
            <v:shape id="Quad Arrow 2292" o:spid="_x0000_s1476" type="#_x0000_t202" style="position:absolute;left:4860;top:9197;width:1080;height:327" o:preferrelative="t">
              <v:stroke miterlimit="2"/>
              <v:textbox inset="1.42pt,.85pt,1.42pt,.85pt">
                <w:txbxContent>
                  <w:p w:rsidR="00EE1CF7" w:rsidRDefault="00EE1CF7">
                    <w:r>
                      <w:rPr>
                        <w:rFonts w:hint="eastAsia"/>
                      </w:rPr>
                      <w:t>脱</w:t>
                    </w:r>
                    <w:r>
                      <w:rPr>
                        <w:rFonts w:hint="eastAsia"/>
                      </w:rPr>
                      <w:t>C6</w:t>
                    </w:r>
                    <w:r>
                      <w:rPr>
                        <w:rFonts w:hint="eastAsia"/>
                      </w:rPr>
                      <w:t>塔</w:t>
                    </w:r>
                  </w:p>
                </w:txbxContent>
              </v:textbox>
            </v:shape>
            <v:shape id="Quad Arrow 2293" o:spid="_x0000_s1477" type="#_x0000_t202" style="position:absolute;left:6660;top:8870;width:1080;height:327" o:preferrelative="t">
              <v:stroke miterlimit="2"/>
              <v:textbox inset="1.42pt,.85pt,1.42pt,.85pt">
                <w:txbxContent>
                  <w:p w:rsidR="00EE1CF7" w:rsidRDefault="00EE1CF7">
                    <w:r>
                      <w:rPr>
                        <w:rFonts w:hint="eastAsia"/>
                      </w:rPr>
                      <w:t>冷却回流</w:t>
                    </w:r>
                  </w:p>
                </w:txbxContent>
              </v:textbox>
            </v:shape>
            <v:shape id="Straight Connector 2294" o:spid="_x0000_s1478" type="#_x0000_t32" style="position:absolute;left:5760;top:9041;width:0;height:156" o:connectortype="straight" o:preferrelative="t">
              <v:stroke miterlimit="2"/>
            </v:shape>
            <v:shape id="Straight Connector 2295" o:spid="_x0000_s1479" type="#_x0000_t32" style="position:absolute;left:5760;top:9041;width:900;height:0" o:connectortype="straight" o:preferrelative="t">
              <v:stroke endarrow="block" miterlimit="2"/>
            </v:shape>
            <v:shape id="Straight Connector 2296" o:spid="_x0000_s1480" type="#_x0000_t32" style="position:absolute;left:7110;top:9197;width:0;height:156" o:connectortype="straight" o:preferrelative="t">
              <v:stroke miterlimit="2"/>
            </v:shape>
            <v:shape id="Straight Connector 2297" o:spid="_x0000_s1481" type="#_x0000_t32" style="position:absolute;left:5940;top:9353;width:1170;height:0;flip:x" o:connectortype="straight" o:preferrelative="t">
              <v:stroke endarrow="block" miterlimit="2"/>
            </v:shape>
            <v:shape id="Quad Arrow 2298" o:spid="_x0000_s1482" type="#_x0000_t202" style="position:absolute;left:6285;top:9179;width:540;height:345" o:preferrelative="t" filled="f" stroked="f">
              <v:fill opacity="64225f"/>
              <v:textbox inset="1.42pt,.85pt,1.42pt,.85pt">
                <w:txbxContent>
                  <w:p w:rsidR="00EE1CF7" w:rsidRDefault="00EE1CF7">
                    <w:r>
                      <w:rPr>
                        <w:rFonts w:hint="eastAsia"/>
                      </w:rPr>
                      <w:t>回流</w:t>
                    </w:r>
                  </w:p>
                </w:txbxContent>
              </v:textbox>
            </v:shape>
            <v:shape id="Straight Connector 2299" o:spid="_x0000_s1483" type="#_x0000_t32" style="position:absolute;left:4320;top:9353;width:540;height:0;flip:x" o:connectortype="straight" o:preferrelative="t">
              <v:stroke endarrow="block" miterlimit="2"/>
            </v:shape>
            <v:shape id="Straight Connector 2300" o:spid="_x0000_s1484" type="#_x0000_t32" style="position:absolute;left:7110;top:9278;width:270;height:0" o:connectortype="straight" o:preferrelative="t">
              <v:stroke miterlimit="2"/>
            </v:shape>
            <v:shape id="Straight Connector 2301" o:spid="_x0000_s1485" type="#_x0000_t32" style="position:absolute;left:7380;top:9278;width:0;height:855" o:connectortype="straight" o:preferrelative="t">
              <v:stroke endarrow="block" miterlimit="2"/>
            </v:shape>
            <v:shape id="Quad Arrow 2302" o:spid="_x0000_s1486" type="#_x0000_t202" style="position:absolute;left:6810;top:10133;width:1260;height:327" o:preferrelative="t">
              <v:stroke miterlimit="2"/>
              <v:textbox inset="1.42pt,.85pt,1.42pt,.85pt">
                <w:txbxContent>
                  <w:p w:rsidR="00EE1CF7" w:rsidRDefault="00EE1CF7">
                    <w:r>
                      <w:rPr>
                        <w:rFonts w:hint="eastAsia"/>
                      </w:rPr>
                      <w:t>抽提蒸馏塔</w:t>
                    </w:r>
                  </w:p>
                </w:txbxContent>
              </v:textbox>
            </v:shape>
            <v:shape id="Quad Arrow 2303" o:spid="_x0000_s1487" type="#_x0000_t202" style="position:absolute;left:8235;top:9665;width:1080;height:327" o:preferrelative="t">
              <v:stroke miterlimit="2"/>
              <v:textbox inset="1.42pt,.85pt,1.42pt,.85pt">
                <w:txbxContent>
                  <w:p w:rsidR="00EE1CF7" w:rsidRDefault="00EE1CF7">
                    <w:r>
                      <w:rPr>
                        <w:rFonts w:hint="eastAsia"/>
                      </w:rPr>
                      <w:t>冷却回流</w:t>
                    </w:r>
                  </w:p>
                </w:txbxContent>
              </v:textbox>
            </v:shape>
            <v:shape id="Straight Connector 2304" o:spid="_x0000_s1488" type="#_x0000_t32" style="position:absolute;left:7740;top:9821;width:0;height:312;flip:y" o:connectortype="straight" o:preferrelative="t">
              <v:stroke miterlimit="2"/>
            </v:shape>
            <v:shape id="Straight Connector 2305" o:spid="_x0000_s1489" type="#_x0000_t32" style="position:absolute;left:7740;top:9821;width:495;height:0" o:connectortype="straight" o:preferrelative="t">
              <v:stroke endarrow="block" miterlimit="2"/>
            </v:shape>
            <v:shape id="Straight Connector 2306" o:spid="_x0000_s1490" type="#_x0000_t32" style="position:absolute;left:8790;top:9992;width:0;height:297" o:connectortype="straight" o:preferrelative="t">
              <v:stroke miterlimit="2"/>
            </v:shape>
            <v:shape id="Straight Connector 2307" o:spid="_x0000_s1491" type="#_x0000_t32" style="position:absolute;left:8055;top:10289;width:735;height:0;flip:x" o:connectortype="straight" o:preferrelative="t">
              <v:stroke endarrow="block" miterlimit="2"/>
            </v:shape>
            <v:shape id="Straight Connector 2308" o:spid="_x0000_s1492" type="#_x0000_t32" style="position:absolute;left:8805;top:10148;width:705;height:0" o:connectortype="straight" o:preferrelative="t">
              <v:stroke endarrow="block" miterlimit="2"/>
            </v:shape>
            <v:shape id="Quad Arrow 2309" o:spid="_x0000_s1493" type="#_x0000_t202" style="position:absolute;left:9540;top:9992;width:717;height:345" o:preferrelative="t" filled="f" strokecolor="white">
              <v:stroke miterlimit="2"/>
              <v:textbox inset="1.42pt,.85pt,1.42pt,.85pt">
                <w:txbxContent>
                  <w:p w:rsidR="00EE1CF7" w:rsidRDefault="00EE1CF7">
                    <w:pPr>
                      <w:rPr>
                        <w:b/>
                      </w:rPr>
                    </w:pPr>
                    <w:r>
                      <w:rPr>
                        <w:rFonts w:hint="eastAsia"/>
                        <w:b/>
                      </w:rPr>
                      <w:t>轻芳烃</w:t>
                    </w:r>
                  </w:p>
                </w:txbxContent>
              </v:textbox>
            </v:shape>
            <v:shape id="Straight Connector 2310" o:spid="_x0000_s1494" type="#_x0000_t32" style="position:absolute;left:7380;top:10460;width:0;height:297" o:connectortype="straight" o:preferrelative="t">
              <v:stroke endarrow="block" miterlimit="2"/>
            </v:shape>
            <v:shape id="Quad Arrow 2311" o:spid="_x0000_s1495" type="#_x0000_t202" style="position:absolute;left:6795;top:10757;width:1260;height:327" o:preferrelative="t">
              <v:stroke miterlimit="2"/>
              <v:textbox inset="1.42pt,.85pt,1.42pt,.85pt">
                <w:txbxContent>
                  <w:p w:rsidR="00EE1CF7" w:rsidRDefault="00EE1CF7">
                    <w:r>
                      <w:rPr>
                        <w:rFonts w:hint="eastAsia"/>
                      </w:rPr>
                      <w:t>溶剂回收塔</w:t>
                    </w:r>
                  </w:p>
                </w:txbxContent>
              </v:textbox>
            </v:shape>
            <v:shape id="Straight Connector 2312" o:spid="_x0000_s1496" type="#_x0000_t32" style="position:absolute;left:6255;top:10913;width:525;height:0;flip:x" o:connectortype="straight" o:preferrelative="t">
              <v:stroke miterlimit="2"/>
            </v:shape>
            <v:shape id="Straight Connector 2313" o:spid="_x0000_s1497" type="#_x0000_t32" style="position:absolute;left:6255;top:9821;width:0;height:1092;flip:y" o:connectortype="straight" o:preferrelative="t">
              <v:stroke miterlimit="2"/>
            </v:shape>
            <v:shape id="Straight Connector 2314" o:spid="_x0000_s1498" type="#_x0000_t32" style="position:absolute;left:6270;top:9821;width:1080;height:0" o:connectortype="straight" o:preferrelative="t">
              <v:stroke endarrow="block" miterlimit="2"/>
            </v:shape>
            <v:shape id="Quad Arrow 2315" o:spid="_x0000_s1499" type="#_x0000_t202" style="position:absolute;left:5940;top:10412;width:540;height:345" o:preferrelative="t" filled="f" stroked="f">
              <v:fill opacity="64225f"/>
              <v:textbox inset="1.42pt,.85pt,1.42pt,.85pt">
                <w:txbxContent>
                  <w:p w:rsidR="00EE1CF7" w:rsidRDefault="00EE1CF7">
                    <w:r>
                      <w:rPr>
                        <w:rFonts w:hint="eastAsia"/>
                      </w:rPr>
                      <w:t>溶剂</w:t>
                    </w:r>
                  </w:p>
                </w:txbxContent>
              </v:textbox>
            </v:shape>
            <v:shape id="Quad Arrow 2316" o:spid="_x0000_s1500" type="#_x0000_t202" style="position:absolute;left:8460;top:10460;width:1080;height:327" o:preferrelative="t">
              <v:stroke miterlimit="2"/>
              <v:textbox inset="1.42pt,.85pt,1.42pt,.85pt">
                <w:txbxContent>
                  <w:p w:rsidR="00EE1CF7" w:rsidRDefault="00EE1CF7">
                    <w:r>
                      <w:rPr>
                        <w:rFonts w:hint="eastAsia"/>
                      </w:rPr>
                      <w:t>冷却回流</w:t>
                    </w:r>
                  </w:p>
                </w:txbxContent>
              </v:textbox>
            </v:shape>
            <v:shape id="Straight Connector 2317" o:spid="_x0000_s1501" type="#_x0000_t32" style="position:absolute;left:7740;top:10634;width:0;height:123" o:connectortype="straight" o:preferrelative="t">
              <v:stroke miterlimit="2"/>
            </v:shape>
            <v:shape id="Straight Connector 2318" o:spid="_x0000_s1502" type="#_x0000_t32" style="position:absolute;left:7740;top:10634;width:720;height:0" o:connectortype="straight" o:preferrelative="t">
              <v:stroke endarrow="block" miterlimit="2"/>
            </v:shape>
            <v:shape id="Straight Connector 2319" o:spid="_x0000_s1503" type="#_x0000_t32" style="position:absolute;left:8970;top:10787;width:0;height:126" o:connectortype="straight" o:preferrelative="t">
              <v:stroke miterlimit="2"/>
            </v:shape>
            <v:shape id="Straight Connector 2320" o:spid="_x0000_s1504" type="#_x0000_t32" style="position:absolute;left:8055;top:10913;width:900;height:0;flip:x" o:connectortype="straight" o:preferrelative="t">
              <v:stroke endarrow="block" miterlimit="2"/>
            </v:shape>
            <v:shape id="Straight Connector 2321" o:spid="_x0000_s1505" type="#_x0000_t32" style="position:absolute;left:9315;top:10787;width:0;height:594" o:connectortype="straight" o:preferrelative="t">
              <v:stroke endarrow="block" miterlimit="2"/>
            </v:shape>
            <v:shape id="Quad Arrow 2322" o:spid="_x0000_s1506" type="#_x0000_t202" style="position:absolute;left:8970;top:11381;width:720;height:327" o:preferrelative="t">
              <v:stroke miterlimit="2"/>
              <v:textbox inset="1.42pt,.85pt,1.42pt,.85pt">
                <w:txbxContent>
                  <w:p w:rsidR="00EE1CF7" w:rsidRDefault="00EE1CF7">
                    <w:r>
                      <w:rPr>
                        <w:rFonts w:hint="eastAsia"/>
                      </w:rPr>
                      <w:t>白土塔</w:t>
                    </w:r>
                  </w:p>
                </w:txbxContent>
              </v:textbox>
            </v:shape>
            <v:shape id="Straight Connector 2323" o:spid="_x0000_s1507" type="#_x0000_t32" style="position:absolute;left:9690;top:11537;width:360;height:0" o:connectortype="straight" o:preferrelative="t">
              <v:stroke dashstyle="dash" endarrow="block" miterlimit="2"/>
            </v:shape>
            <v:shape id="Quad Arrow 2324" o:spid="_x0000_s1508" type="#_x0000_t202" style="position:absolute;left:10050;top:11381;width:390;height:345" o:preferrelative="t" filled="f" strokecolor="white">
              <v:stroke miterlimit="2"/>
              <v:textbox inset="1.42pt,.85pt,1.42pt,.85pt">
                <w:txbxContent>
                  <w:p w:rsidR="00EE1CF7" w:rsidRDefault="00EE1CF7">
                    <w:r>
                      <w:rPr>
                        <w:rFonts w:hint="eastAsia"/>
                      </w:rPr>
                      <w:t>S3</w:t>
                    </w:r>
                  </w:p>
                </w:txbxContent>
              </v:textbox>
            </v:shape>
            <v:shape id="Straight Connector 2325" o:spid="_x0000_s1509" type="#_x0000_t32" style="position:absolute;left:9315;top:11726;width:0;height:279" o:connectortype="straight" o:preferrelative="t">
              <v:stroke endarrow="block" miterlimit="2"/>
            </v:shape>
            <v:shape id="Quad Arrow 2326" o:spid="_x0000_s1510" type="#_x0000_t202" style="position:absolute;left:8955;top:12629;width:1080;height:327" o:preferrelative="t">
              <v:stroke miterlimit="2"/>
              <v:textbox inset="1.42pt,.85pt,1.42pt,.85pt">
                <w:txbxContent>
                  <w:p w:rsidR="00EE1CF7" w:rsidRDefault="00EE1CF7">
                    <w:r>
                      <w:rPr>
                        <w:rFonts w:hint="eastAsia"/>
                      </w:rPr>
                      <w:t>冷却回流</w:t>
                    </w:r>
                  </w:p>
                </w:txbxContent>
              </v:textbox>
            </v:shape>
            <v:shape id="Quad Arrow 2327" o:spid="_x0000_s1511" type="#_x0000_t202" style="position:absolute;left:8955;top:12005;width:945;height:327" o:preferrelative="t">
              <v:stroke miterlimit="2"/>
              <v:textbox inset="1.42pt,.85pt,1.42pt,.85pt">
                <w:txbxContent>
                  <w:p w:rsidR="00EE1CF7" w:rsidRDefault="00EE1CF7">
                    <w:r>
                      <w:rPr>
                        <w:rFonts w:hint="eastAsia"/>
                      </w:rPr>
                      <w:t>苯蒸发塔</w:t>
                    </w:r>
                  </w:p>
                </w:txbxContent>
              </v:textbox>
            </v:shape>
            <v:shape id="Straight Connector 2328" o:spid="_x0000_s1512" type="#_x0000_t32" style="position:absolute;left:9540;top:12332;width:0;height:297" o:connectortype="straight" o:preferrelative="t">
              <v:stroke endarrow="block" miterlimit="2"/>
            </v:shape>
            <v:shape id="Straight Connector 2329" o:spid="_x0000_s1513" type="#_x0000_t32" style="position:absolute;left:9180;top:12332;width:0;height:297;flip:y" o:connectortype="straight" o:preferrelative="t">
              <v:stroke endarrow="block" miterlimit="2"/>
            </v:shape>
            <v:shape id="Straight Connector 2330" o:spid="_x0000_s1514" type="#_x0000_t32" style="position:absolute;left:7920;top:12161;width:1035;height:0;flip:x" o:connectortype="straight" o:preferrelative="t">
              <v:stroke endarrow="block" miterlimit="2"/>
            </v:shape>
            <v:shape id="Quad Arrow 2331" o:spid="_x0000_s1515" type="#_x0000_t202" style="position:absolute;left:7605;top:12005;width:315;height:345" o:preferrelative="t" filled="f" strokecolor="white">
              <v:stroke miterlimit="2"/>
              <v:textbox inset="1.42pt,.85pt,1.42pt,.85pt">
                <w:txbxContent>
                  <w:p w:rsidR="00EE1CF7" w:rsidRDefault="00EE1CF7">
                    <w:pPr>
                      <w:rPr>
                        <w:b/>
                      </w:rPr>
                    </w:pPr>
                    <w:r>
                      <w:rPr>
                        <w:rFonts w:hint="eastAsia"/>
                        <w:b/>
                      </w:rPr>
                      <w:t>苯</w:t>
                    </w:r>
                  </w:p>
                </w:txbxContent>
              </v:textbox>
            </v:shape>
            <v:shape id="Straight Connector 2332" o:spid="_x0000_s1516" type="#_x0000_t32" style="position:absolute;left:4140;top:7533;width:540;height:0" o:connectortype="straight" o:preferrelative="t">
              <v:stroke endarrow="block" miterlimit="2"/>
            </v:shape>
            <v:shape id="Quad Arrow 2333" o:spid="_x0000_s1517" type="#_x0000_t202" style="position:absolute;left:4725;top:7356;width:720;height:357" o:preferrelative="t" filled="f" stroked="f">
              <v:textbox inset="1.42pt,.85pt,1.42pt,.85pt">
                <w:txbxContent>
                  <w:p w:rsidR="00EE1CF7" w:rsidRDefault="00EE1CF7">
                    <w:pPr>
                      <w:rPr>
                        <w:b/>
                      </w:rPr>
                    </w:pPr>
                    <w:r>
                      <w:rPr>
                        <w:rFonts w:hint="eastAsia"/>
                        <w:b/>
                      </w:rPr>
                      <w:t>液化气</w:t>
                    </w:r>
                  </w:p>
                </w:txbxContent>
              </v:textbox>
            </v:shape>
            <v:shape id="Straight Connector 2334" o:spid="_x0000_s1518" type="#_x0000_t32" style="position:absolute;left:3135;top:7823;width:0;height:594" o:connectortype="straight" o:preferrelative="t">
              <v:stroke miterlimit="2"/>
            </v:shape>
            <v:shape id="Straight Connector 2335" o:spid="_x0000_s1519" type="#_x0000_t32" style="position:absolute;left:3150;top:8417;width:1665;height:0" o:connectortype="straight" o:preferrelative="t">
              <v:stroke endarrow="block" miterlimit="2"/>
            </v:shape>
            <v:shape id="Straight Connector 2336" o:spid="_x0000_s1520" type="#_x0000_t32" style="position:absolute;left:6660;top:7410;width:0;height:227;flip:y" o:connectortype="straight" o:preferrelative="t">
              <v:stroke miterlimit="2"/>
            </v:shape>
            <v:shape id="Straight Connector 2337" o:spid="_x0000_s1521" type="#_x0000_t32" style="position:absolute;left:6660;top:7416;width:675;height:0" o:connectortype="straight" o:preferrelative="t">
              <v:stroke endarrow="block" miterlimit="2"/>
            </v:shape>
            <v:shape id="Quad Arrow 2338" o:spid="_x0000_s1522" type="#_x0000_t202" style="position:absolute;left:7380;top:7241;width:720;height:357" o:preferrelative="t" filled="f" stroked="f">
              <v:textbox inset="1.42pt,.85pt,1.42pt,.85pt">
                <w:txbxContent>
                  <w:p w:rsidR="00EE1CF7" w:rsidRDefault="00EE1CF7">
                    <w:r>
                      <w:rPr>
                        <w:rFonts w:hint="eastAsia"/>
                      </w:rPr>
                      <w:t>干气</w:t>
                    </w:r>
                  </w:p>
                </w:txbxContent>
              </v:textbox>
            </v:shape>
            <v:shape id="Quad Arrow 2339" o:spid="_x0000_s1523" type="#_x0000_t202" style="position:absolute;left:3705;top:9179;width:615;height:357" o:preferrelative="t" filled="f" stroked="f">
              <v:textbox inset="1.42pt,.85pt,1.42pt,.85pt">
                <w:txbxContent>
                  <w:p w:rsidR="00EE1CF7" w:rsidRDefault="00EE1CF7">
                    <w:pPr>
                      <w:rPr>
                        <w:b/>
                      </w:rPr>
                    </w:pPr>
                    <w:r>
                      <w:rPr>
                        <w:rFonts w:hint="eastAsia"/>
                        <w:b/>
                      </w:rPr>
                      <w:t>汽油</w:t>
                    </w:r>
                  </w:p>
                </w:txbxContent>
              </v:textbox>
            </v:shape>
            <v:shape id="Straight Connector 2340" o:spid="_x0000_s1524" type="#_x0000_t32" style="position:absolute;left:7755;top:9041;width:510;height:0" o:connectortype="straight" o:preferrelative="t">
              <v:stroke endarrow="block" miterlimit="2"/>
            </v:shape>
            <v:shape id="Quad Arrow 2341" o:spid="_x0000_s1525" type="#_x0000_t202" style="position:absolute;left:8235;top:8870;width:720;height:357" o:preferrelative="t" filled="f" stroked="f">
              <v:textbox inset="1.42pt,.85pt,1.42pt,.85pt">
                <w:txbxContent>
                  <w:p w:rsidR="00EE1CF7" w:rsidRDefault="00EE1CF7">
                    <w:r>
                      <w:rPr>
                        <w:rFonts w:hint="eastAsia"/>
                      </w:rPr>
                      <w:t>干气</w:t>
                    </w:r>
                  </w:p>
                </w:txbxContent>
              </v:textbox>
            </v:shape>
          </v:group>
        </w:pict>
      </w: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EE1CF7">
      <w:pPr>
        <w:jc w:val="center"/>
        <w:rPr>
          <w:rFonts w:ascii="Times New Roman" w:hAnsi="Times New Roman"/>
          <w:b/>
          <w:sz w:val="24"/>
          <w:szCs w:val="24"/>
        </w:rPr>
      </w:pPr>
      <w:r>
        <w:rPr>
          <w:rFonts w:ascii="Times New Roman" w:hAnsi="Times New Roman"/>
          <w:b/>
          <w:sz w:val="24"/>
          <w:szCs w:val="24"/>
        </w:rPr>
        <w:t>图</w:t>
      </w:r>
      <w:r>
        <w:rPr>
          <w:rFonts w:ascii="Times New Roman" w:hAnsi="Times New Roman"/>
          <w:b/>
          <w:sz w:val="24"/>
          <w:szCs w:val="24"/>
        </w:rPr>
        <w:t>3.4-3</w:t>
      </w:r>
      <w:r>
        <w:rPr>
          <w:rFonts w:ascii="Times New Roman" w:hAnsi="Times New Roman"/>
          <w:b/>
          <w:sz w:val="24"/>
          <w:szCs w:val="24"/>
        </w:rPr>
        <w:t xml:space="preserve">　芳烃制取装置生产工艺流程及主要产污环节图</w:t>
      </w:r>
    </w:p>
    <w:p w:rsidR="00525419" w:rsidRDefault="00EE1CF7">
      <w:pPr>
        <w:rPr>
          <w:rFonts w:ascii="Times New Roman" w:hAnsi="Times New Roman"/>
          <w:sz w:val="24"/>
          <w:szCs w:val="24"/>
        </w:rPr>
      </w:pPr>
      <w:r>
        <w:rPr>
          <w:rFonts w:ascii="Times New Roman" w:hAnsi="Times New Roman"/>
          <w:sz w:val="24"/>
          <w:szCs w:val="24"/>
        </w:rPr>
        <w:t xml:space="preserve">　　</w:t>
      </w:r>
    </w:p>
    <w:p w:rsidR="00525419" w:rsidRDefault="00EE1CF7">
      <w:pPr>
        <w:ind w:firstLineChars="200" w:firstLine="480"/>
        <w:rPr>
          <w:rFonts w:ascii="Times New Roman" w:hAnsi="Times New Roman"/>
        </w:rPr>
      </w:pPr>
      <w:r>
        <w:rPr>
          <w:rFonts w:ascii="Times New Roman" w:hAnsi="Times New Roman"/>
          <w:sz w:val="24"/>
          <w:szCs w:val="24"/>
        </w:rPr>
        <w:t>▲</w:t>
      </w:r>
      <w:r>
        <w:rPr>
          <w:rFonts w:ascii="Times New Roman" w:hAnsi="Times New Roman"/>
          <w:sz w:val="24"/>
          <w:szCs w:val="24"/>
        </w:rPr>
        <w:t>醚化部分</w:t>
      </w:r>
    </w:p>
    <w:p w:rsidR="00525419" w:rsidRDefault="00EE1CF7">
      <w:pPr>
        <w:tabs>
          <w:tab w:val="left" w:pos="397"/>
        </w:tabs>
        <w:spacing w:line="360" w:lineRule="auto"/>
        <w:ind w:firstLine="480"/>
        <w:rPr>
          <w:rFonts w:ascii="Times New Roman" w:hAnsi="Times New Roman"/>
          <w:sz w:val="24"/>
        </w:rPr>
      </w:pPr>
      <w:r>
        <w:rPr>
          <w:rFonts w:ascii="Times New Roman" w:hAnsi="Times New Roman"/>
          <w:sz w:val="24"/>
        </w:rPr>
        <w:t>为了提高汽油的辛烷值，对部分汽油产品进行醚化调入汽油产品中。</w:t>
      </w:r>
      <w:r>
        <w:rPr>
          <w:rFonts w:ascii="Times New Roman" w:hAnsi="Times New Roman"/>
          <w:sz w:val="24"/>
        </w:rPr>
        <w:t>TAME</w:t>
      </w:r>
      <w:r>
        <w:rPr>
          <w:rFonts w:ascii="Times New Roman" w:hAnsi="Times New Roman"/>
          <w:sz w:val="24"/>
        </w:rPr>
        <w:t>是在树脂催化剂作用下，由汽油中的</w:t>
      </w:r>
      <w:r>
        <w:rPr>
          <w:rFonts w:ascii="Times New Roman" w:hAnsi="Times New Roman"/>
          <w:sz w:val="24"/>
        </w:rPr>
        <w:t>2-</w:t>
      </w:r>
      <w:r>
        <w:rPr>
          <w:rFonts w:ascii="Times New Roman" w:hAnsi="Times New Roman"/>
          <w:sz w:val="24"/>
        </w:rPr>
        <w:t>甲基异丁烯与甲醇反应而得，其主要反应式如下：</w:t>
      </w:r>
    </w:p>
    <w:p w:rsidR="00525419" w:rsidRDefault="00525419">
      <w:pPr>
        <w:tabs>
          <w:tab w:val="left" w:pos="397"/>
        </w:tabs>
        <w:spacing w:line="360" w:lineRule="auto"/>
        <w:ind w:firstLine="480"/>
        <w:rPr>
          <w:rFonts w:ascii="Times New Roman" w:hAnsi="Times New Roman"/>
          <w:sz w:val="24"/>
        </w:rPr>
      </w:pPr>
    </w:p>
    <w:p w:rsidR="00525419" w:rsidRDefault="007D0E8A">
      <w:pPr>
        <w:tabs>
          <w:tab w:val="left" w:pos="397"/>
        </w:tabs>
        <w:spacing w:line="360" w:lineRule="auto"/>
        <w:ind w:firstLine="480"/>
        <w:rPr>
          <w:rFonts w:ascii="Times New Roman" w:hAnsi="Times New Roman"/>
          <w:sz w:val="24"/>
        </w:rPr>
      </w:pPr>
      <w:r>
        <w:rPr>
          <w:rFonts w:ascii="Times New Roman" w:hAnsi="Times New Roman"/>
        </w:rPr>
        <w:lastRenderedPageBreak/>
        <w:pict>
          <v:group id="Group 2342" o:spid="_x0000_s1526" style="position:absolute;left:0;text-align:left;margin-left:56.25pt;margin-top:-5.4pt;width:210pt;height:60.75pt;z-index:251655680" coordorigin="1965,3495" coordsize="4200,1215">
            <v:shape id="Quad Arrow 2343" o:spid="_x0000_s1527" type="#_x0000_t202" style="position:absolute;left:1965;top:3945;width:4200;height:420" o:preferrelative="t" filled="f" stroked="f">
              <v:textbox>
                <w:txbxContent>
                  <w:p w:rsidR="00EE1CF7" w:rsidRDefault="00EE1CF7">
                    <w:pPr>
                      <w:rPr>
                        <w:sz w:val="24"/>
                        <w:szCs w:val="24"/>
                      </w:rPr>
                    </w:pPr>
                    <w:r>
                      <w:rPr>
                        <w:rFonts w:hint="eastAsia"/>
                        <w:sz w:val="24"/>
                        <w:szCs w:val="24"/>
                      </w:rPr>
                      <w:t>CH</w:t>
                    </w:r>
                    <w:r>
                      <w:rPr>
                        <w:rFonts w:hint="eastAsia"/>
                        <w:sz w:val="24"/>
                        <w:szCs w:val="24"/>
                        <w:vertAlign w:val="subscript"/>
                      </w:rPr>
                      <w:t>2</w:t>
                    </w:r>
                    <w:r>
                      <w:rPr>
                        <w:rFonts w:hint="eastAsia"/>
                        <w:sz w:val="24"/>
                        <w:szCs w:val="24"/>
                      </w:rPr>
                      <w:t>=C-CH</w:t>
                    </w:r>
                    <w:r>
                      <w:rPr>
                        <w:rFonts w:hint="eastAsia"/>
                        <w:sz w:val="24"/>
                        <w:szCs w:val="24"/>
                        <w:vertAlign w:val="subscript"/>
                      </w:rPr>
                      <w:t>2</w:t>
                    </w:r>
                    <w:r>
                      <w:rPr>
                        <w:rFonts w:hint="eastAsia"/>
                        <w:sz w:val="24"/>
                        <w:szCs w:val="24"/>
                      </w:rPr>
                      <w:t>-CH</w:t>
                    </w:r>
                    <w:r>
                      <w:rPr>
                        <w:rFonts w:hint="eastAsia"/>
                        <w:sz w:val="24"/>
                        <w:szCs w:val="24"/>
                        <w:vertAlign w:val="subscript"/>
                      </w:rPr>
                      <w:t>3</w:t>
                    </w:r>
                    <w:r>
                      <w:rPr>
                        <w:rFonts w:hint="eastAsia"/>
                        <w:sz w:val="24"/>
                        <w:szCs w:val="24"/>
                      </w:rPr>
                      <w:t>+CH</w:t>
                    </w:r>
                    <w:r>
                      <w:rPr>
                        <w:rFonts w:hint="eastAsia"/>
                        <w:sz w:val="24"/>
                        <w:szCs w:val="24"/>
                        <w:vertAlign w:val="subscript"/>
                      </w:rPr>
                      <w:t>3</w:t>
                    </w:r>
                    <w:r>
                      <w:rPr>
                        <w:rFonts w:hint="eastAsia"/>
                        <w:sz w:val="24"/>
                        <w:szCs w:val="24"/>
                      </w:rPr>
                      <w:t>OH=CH</w:t>
                    </w:r>
                    <w:r>
                      <w:rPr>
                        <w:rFonts w:hint="eastAsia"/>
                        <w:sz w:val="24"/>
                        <w:szCs w:val="24"/>
                        <w:vertAlign w:val="subscript"/>
                      </w:rPr>
                      <w:t>3</w:t>
                    </w:r>
                    <w:r>
                      <w:rPr>
                        <w:rFonts w:hint="eastAsia"/>
                        <w:sz w:val="24"/>
                        <w:szCs w:val="24"/>
                      </w:rPr>
                      <w:t>-C-CH</w:t>
                    </w:r>
                    <w:r>
                      <w:rPr>
                        <w:rFonts w:hint="eastAsia"/>
                        <w:sz w:val="24"/>
                        <w:szCs w:val="24"/>
                        <w:vertAlign w:val="subscript"/>
                      </w:rPr>
                      <w:t>2</w:t>
                    </w:r>
                    <w:r>
                      <w:rPr>
                        <w:rFonts w:hint="eastAsia"/>
                        <w:sz w:val="24"/>
                        <w:szCs w:val="24"/>
                      </w:rPr>
                      <w:t>-CH</w:t>
                    </w:r>
                    <w:r>
                      <w:rPr>
                        <w:rFonts w:hint="eastAsia"/>
                        <w:sz w:val="24"/>
                        <w:szCs w:val="24"/>
                        <w:vertAlign w:val="subscript"/>
                      </w:rPr>
                      <w:t>3</w:t>
                    </w:r>
                  </w:p>
                </w:txbxContent>
              </v:textbox>
            </v:shape>
            <v:shape id="Straight Connector 2344" o:spid="_x0000_s1528" type="#_x0000_t32" style="position:absolute;left:2685;top:3900;width:1;height:210" o:connectortype="straight" o:preferrelative="t">
              <v:stroke miterlimit="2"/>
            </v:shape>
            <v:shape id="Quad Arrow 2345" o:spid="_x0000_s1529" type="#_x0000_t202" style="position:absolute;left:2400;top:3495;width:660;height:405" o:preferrelative="t" filled="f" stroked="f">
              <v:textbox>
                <w:txbxContent>
                  <w:p w:rsidR="00EE1CF7" w:rsidRDefault="00EE1CF7">
                    <w:r>
                      <w:rPr>
                        <w:rFonts w:hint="eastAsia"/>
                      </w:rPr>
                      <w:t>CH</w:t>
                    </w:r>
                    <w:r>
                      <w:rPr>
                        <w:rFonts w:hint="eastAsia"/>
                        <w:vertAlign w:val="subscript"/>
                      </w:rPr>
                      <w:t>3</w:t>
                    </w:r>
                  </w:p>
                </w:txbxContent>
              </v:textbox>
            </v:shape>
            <v:shape id="Straight Connector 2346" o:spid="_x0000_s1530" type="#_x0000_t32" style="position:absolute;left:5040;top:3900;width:1;height:210" o:connectortype="straight" o:preferrelative="t">
              <v:stroke miterlimit="2"/>
            </v:shape>
            <v:shape id="Straight Connector 2347" o:spid="_x0000_s1531" type="#_x0000_t32" style="position:absolute;left:5040;top:4245;width:1;height:210" o:connectortype="straight" o:preferrelative="t">
              <v:stroke miterlimit="2"/>
            </v:shape>
            <v:shape id="Quad Arrow 2348" o:spid="_x0000_s1532" type="#_x0000_t202" style="position:absolute;left:4740;top:4305;width:885;height:405" o:preferrelative="t" filled="f" stroked="f">
              <v:textbox>
                <w:txbxContent>
                  <w:p w:rsidR="00EE1CF7" w:rsidRDefault="00EE1CF7">
                    <w:r>
                      <w:rPr>
                        <w:rFonts w:hint="eastAsia"/>
                      </w:rPr>
                      <w:t>OCH</w:t>
                    </w:r>
                    <w:r>
                      <w:rPr>
                        <w:rFonts w:hint="eastAsia"/>
                        <w:vertAlign w:val="subscript"/>
                      </w:rPr>
                      <w:t>3</w:t>
                    </w:r>
                  </w:p>
                </w:txbxContent>
              </v:textbox>
            </v:shape>
            <v:shape id="Quad Arrow 2349" o:spid="_x0000_s1533" type="#_x0000_t202" style="position:absolute;left:4695;top:3555;width:660;height:405" o:preferrelative="t" filled="f" stroked="f">
              <v:textbox>
                <w:txbxContent>
                  <w:p w:rsidR="00EE1CF7" w:rsidRDefault="00EE1CF7">
                    <w:r>
                      <w:rPr>
                        <w:rFonts w:hint="eastAsia"/>
                      </w:rPr>
                      <w:t>CH</w:t>
                    </w:r>
                    <w:r>
                      <w:rPr>
                        <w:rFonts w:hint="eastAsia"/>
                        <w:vertAlign w:val="subscript"/>
                      </w:rPr>
                      <w:t>3</w:t>
                    </w:r>
                  </w:p>
                </w:txbxContent>
              </v:textbox>
            </v:shape>
          </v:group>
        </w:pict>
      </w:r>
    </w:p>
    <w:p w:rsidR="00525419" w:rsidRDefault="00525419">
      <w:pPr>
        <w:tabs>
          <w:tab w:val="left" w:pos="397"/>
        </w:tabs>
        <w:spacing w:line="360" w:lineRule="auto"/>
        <w:ind w:firstLine="480"/>
        <w:rPr>
          <w:rFonts w:ascii="Times New Roman" w:hAnsi="Times New Roman"/>
          <w:sz w:val="24"/>
        </w:rPr>
      </w:pPr>
    </w:p>
    <w:p w:rsidR="00525419" w:rsidRDefault="00EE1CF7">
      <w:pPr>
        <w:rPr>
          <w:rFonts w:ascii="Times New Roman" w:hAnsi="Times New Roman"/>
        </w:rPr>
      </w:pPr>
      <w:r>
        <w:rPr>
          <w:rFonts w:ascii="Times New Roman" w:hAnsi="Times New Roman"/>
        </w:rPr>
        <w:t xml:space="preserve">　　　　</w:t>
      </w:r>
      <w:r>
        <w:rPr>
          <w:rFonts w:ascii="Times New Roman" w:hAnsi="Times New Roman"/>
          <w:sz w:val="24"/>
          <w:szCs w:val="24"/>
        </w:rPr>
        <w:t>1</w:t>
      </w:r>
      <w:r>
        <w:rPr>
          <w:rFonts w:ascii="Times New Roman" w:hAnsi="Times New Roman"/>
          <w:sz w:val="24"/>
          <w:szCs w:val="24"/>
        </w:rPr>
        <w:t>）工艺流程说明</w:t>
      </w:r>
    </w:p>
    <w:p w:rsidR="00525419" w:rsidRDefault="00EE1CF7">
      <w:pPr>
        <w:tabs>
          <w:tab w:val="left" w:pos="397"/>
        </w:tabs>
        <w:spacing w:line="360" w:lineRule="auto"/>
        <w:rPr>
          <w:rFonts w:ascii="Times New Roman" w:hAnsi="Times New Roman"/>
          <w:sz w:val="24"/>
        </w:rPr>
      </w:pPr>
      <w:r>
        <w:rPr>
          <w:rFonts w:ascii="Times New Roman" w:hAnsi="Times New Roman"/>
          <w:sz w:val="24"/>
        </w:rPr>
        <w:t xml:space="preserve">　　从脱</w:t>
      </w:r>
      <w:r>
        <w:rPr>
          <w:rFonts w:ascii="Times New Roman" w:hAnsi="Times New Roman"/>
          <w:sz w:val="24"/>
        </w:rPr>
        <w:t>C6</w:t>
      </w:r>
      <w:r>
        <w:rPr>
          <w:rFonts w:ascii="Times New Roman" w:hAnsi="Times New Roman"/>
          <w:sz w:val="24"/>
        </w:rPr>
        <w:t>塔来的汽油与来自甲醇原料罐的甲醇，分别计量后送入混合器混合，经过进料预热器预热后进入原料净化</w:t>
      </w:r>
      <w:r>
        <w:rPr>
          <w:rFonts w:ascii="Times New Roman" w:hAnsi="Times New Roman"/>
          <w:sz w:val="24"/>
        </w:rPr>
        <w:t>-</w:t>
      </w:r>
      <w:r>
        <w:rPr>
          <w:rFonts w:ascii="Times New Roman" w:hAnsi="Times New Roman"/>
          <w:sz w:val="24"/>
        </w:rPr>
        <w:t>醚化反应器，反应器中装有大孔径磺酸阳离子交换树酯，该树酯既用作原料净化剂，又用作反应催化剂，原料中的异戊烯和甲醇在此反应生成</w:t>
      </w:r>
      <w:r>
        <w:rPr>
          <w:rFonts w:ascii="Times New Roman" w:hAnsi="Times New Roman"/>
          <w:sz w:val="24"/>
        </w:rPr>
        <w:t>TAME</w:t>
      </w:r>
      <w:r>
        <w:rPr>
          <w:rFonts w:ascii="Times New Roman" w:hAnsi="Times New Roman"/>
          <w:sz w:val="24"/>
        </w:rPr>
        <w:t>。由于此反应为放热反应，温度由上而下逐步升高，物料部分气化，以气液混相从反应器顶部流出进入催化精馏塔进料</w:t>
      </w:r>
      <w:r>
        <w:rPr>
          <w:rFonts w:ascii="Times New Roman" w:hAnsi="Times New Roman"/>
          <w:sz w:val="24"/>
        </w:rPr>
        <w:t>-</w:t>
      </w:r>
      <w:r>
        <w:rPr>
          <w:rFonts w:ascii="Times New Roman" w:hAnsi="Times New Roman"/>
          <w:sz w:val="24"/>
        </w:rPr>
        <w:t>产品换热器，与</w:t>
      </w:r>
      <w:r>
        <w:rPr>
          <w:rFonts w:ascii="Times New Roman" w:hAnsi="Times New Roman"/>
          <w:sz w:val="24"/>
        </w:rPr>
        <w:t>TAME</w:t>
      </w:r>
      <w:r>
        <w:rPr>
          <w:rFonts w:ascii="Times New Roman" w:hAnsi="Times New Roman"/>
          <w:sz w:val="24"/>
        </w:rPr>
        <w:t>产品换热至</w:t>
      </w:r>
      <w:r>
        <w:rPr>
          <w:rFonts w:ascii="Times New Roman" w:hAnsi="Times New Roman"/>
          <w:sz w:val="24"/>
        </w:rPr>
        <w:t>70℃</w:t>
      </w:r>
      <w:r>
        <w:rPr>
          <w:rFonts w:ascii="Times New Roman" w:hAnsi="Times New Roman"/>
          <w:sz w:val="24"/>
        </w:rPr>
        <w:t>后进入催化精馏塔。液相</w:t>
      </w:r>
      <w:r>
        <w:rPr>
          <w:rFonts w:ascii="Times New Roman" w:hAnsi="Times New Roman"/>
          <w:sz w:val="24"/>
        </w:rPr>
        <w:t>TAME</w:t>
      </w:r>
      <w:r>
        <w:rPr>
          <w:rFonts w:ascii="Times New Roman" w:hAnsi="Times New Roman"/>
          <w:sz w:val="24"/>
        </w:rPr>
        <w:t>从塔底流出，经</w:t>
      </w:r>
      <w:r>
        <w:rPr>
          <w:rFonts w:ascii="Times New Roman" w:hAnsi="Times New Roman"/>
          <w:sz w:val="24"/>
        </w:rPr>
        <w:t>TAME</w:t>
      </w:r>
      <w:r>
        <w:rPr>
          <w:rFonts w:ascii="Times New Roman" w:hAnsi="Times New Roman"/>
          <w:sz w:val="24"/>
        </w:rPr>
        <w:t>产品冷却器冷却至</w:t>
      </w:r>
      <w:r>
        <w:rPr>
          <w:rFonts w:ascii="Times New Roman" w:hAnsi="Times New Roman"/>
          <w:sz w:val="24"/>
        </w:rPr>
        <w:t>40℃</w:t>
      </w:r>
      <w:r>
        <w:rPr>
          <w:rFonts w:ascii="Times New Roman" w:hAnsi="Times New Roman"/>
          <w:sz w:val="24"/>
        </w:rPr>
        <w:t>后，送至罐区储存。未反应的甲醇和未反应的组分以共沸物从塔顶馏出，经催化精馏塔冷凝器冷凝后进入催化未反应的组分回流罐，由催化精馏塔回流泵抽出，冷凝液一部分送往塔顶作为回流，另一部分送入后醚化反应器进一步反应。后醚化反应器出口物料经萃取塔进料冷却器降温后，从下部进入甲醇萃取塔。</w:t>
      </w:r>
    </w:p>
    <w:p w:rsidR="00525419" w:rsidRDefault="00EE1CF7">
      <w:pPr>
        <w:spacing w:line="440" w:lineRule="exact"/>
        <w:ind w:firstLineChars="200" w:firstLine="480"/>
        <w:rPr>
          <w:rFonts w:ascii="Times New Roman" w:hAnsi="Times New Roman"/>
          <w:sz w:val="24"/>
        </w:rPr>
      </w:pPr>
      <w:r>
        <w:rPr>
          <w:rFonts w:ascii="Times New Roman" w:hAnsi="Times New Roman"/>
          <w:sz w:val="24"/>
        </w:rPr>
        <w:t>甲醇萃取塔作为未反应甲醇和后醚化产物的共沸物分离设备，用水作萃取剂进入萃取塔上部。在此甲醇为水所萃取。萃余液从塔顶排至与催化精馏塔塔底的醚化汽油混合后送出装置。萃取液为甲醇水溶液，从塔底用甲醇回收塔进料泵抽出，送至甲醇回收塔进料</w:t>
      </w:r>
      <w:r>
        <w:rPr>
          <w:rFonts w:ascii="Times New Roman" w:hAnsi="Times New Roman"/>
          <w:sz w:val="24"/>
        </w:rPr>
        <w:t>-</w:t>
      </w:r>
      <w:r>
        <w:rPr>
          <w:rFonts w:ascii="Times New Roman" w:hAnsi="Times New Roman"/>
          <w:sz w:val="24"/>
        </w:rPr>
        <w:t>萃取水换热器换热后进入甲醇回收塔。</w:t>
      </w:r>
    </w:p>
    <w:p w:rsidR="00525419" w:rsidRDefault="00EE1CF7">
      <w:pPr>
        <w:spacing w:line="440" w:lineRule="exact"/>
        <w:ind w:firstLineChars="200" w:firstLine="480"/>
        <w:rPr>
          <w:rFonts w:ascii="Times New Roman" w:hAnsi="Times New Roman"/>
          <w:sz w:val="24"/>
        </w:rPr>
      </w:pPr>
      <w:r>
        <w:rPr>
          <w:rFonts w:ascii="Times New Roman" w:hAnsi="Times New Roman"/>
          <w:sz w:val="24"/>
        </w:rPr>
        <w:t>在甲醇回收塔中甲醇从水溶液中解析出来从塔顶馏出，经甲醇回收塔冷凝器冷凝后进入甲醇回收塔回流罐，由甲醇回收塔回流泵抽出，一部分送往塔顶作为回流，另一部分在装置内循环使用或送至甲醇罐区。塔底流出的是含微量甲醇的水，由萃取水泵加压后先和甲醇回收塔进料换热，再经萃取水冷却器冷却后送入甲醇萃取塔顶部循环使用。</w:t>
      </w:r>
    </w:p>
    <w:p w:rsidR="00525419" w:rsidRDefault="00EE1CF7">
      <w:pPr>
        <w:spacing w:line="440" w:lineRule="exact"/>
        <w:ind w:firstLineChars="200" w:firstLine="480"/>
        <w:rPr>
          <w:rFonts w:ascii="Times New Roman" w:hAnsi="Times New Roman"/>
          <w:sz w:val="24"/>
        </w:rPr>
      </w:pPr>
      <w:r>
        <w:rPr>
          <w:rFonts w:ascii="Times New Roman" w:hAnsi="Times New Roman"/>
          <w:sz w:val="24"/>
        </w:rPr>
        <w:t>TAME</w:t>
      </w:r>
      <w:r>
        <w:rPr>
          <w:rFonts w:ascii="Times New Roman" w:hAnsi="Times New Roman"/>
          <w:sz w:val="24"/>
        </w:rPr>
        <w:t>醚化单元的工艺流程及产污环节见图</w:t>
      </w:r>
      <w:r>
        <w:rPr>
          <w:rFonts w:ascii="Times New Roman" w:hAnsi="Times New Roman"/>
          <w:sz w:val="24"/>
        </w:rPr>
        <w:t>3.4-4</w:t>
      </w:r>
      <w:r>
        <w:rPr>
          <w:rFonts w:ascii="Times New Roman" w:hAnsi="Times New Roman"/>
          <w:sz w:val="24"/>
        </w:rPr>
        <w:t>。</w:t>
      </w:r>
    </w:p>
    <w:p w:rsidR="00525419" w:rsidRDefault="00525419">
      <w:pPr>
        <w:spacing w:line="440" w:lineRule="exact"/>
        <w:ind w:firstLineChars="200" w:firstLine="480"/>
        <w:rPr>
          <w:rFonts w:ascii="Times New Roman" w:hAnsi="Times New Roman"/>
          <w:sz w:val="24"/>
        </w:rPr>
      </w:pPr>
    </w:p>
    <w:p w:rsidR="00525419" w:rsidRDefault="00525419">
      <w:pPr>
        <w:spacing w:line="440" w:lineRule="exact"/>
        <w:ind w:firstLineChars="200" w:firstLine="480"/>
        <w:rPr>
          <w:rFonts w:ascii="Times New Roman" w:hAnsi="Times New Roman"/>
          <w:sz w:val="24"/>
        </w:rPr>
      </w:pPr>
    </w:p>
    <w:p w:rsidR="00525419" w:rsidRDefault="00525419">
      <w:pPr>
        <w:spacing w:line="440" w:lineRule="exact"/>
        <w:ind w:firstLineChars="200" w:firstLine="480"/>
        <w:rPr>
          <w:rFonts w:ascii="Times New Roman" w:hAnsi="Times New Roman"/>
          <w:sz w:val="24"/>
        </w:rPr>
      </w:pPr>
    </w:p>
    <w:p w:rsidR="00525419" w:rsidRDefault="00525419">
      <w:pPr>
        <w:spacing w:line="440" w:lineRule="exact"/>
        <w:ind w:firstLineChars="200" w:firstLine="480"/>
        <w:rPr>
          <w:rFonts w:ascii="Times New Roman" w:hAnsi="Times New Roman"/>
          <w:sz w:val="24"/>
        </w:rPr>
      </w:pPr>
    </w:p>
    <w:p w:rsidR="00525419" w:rsidRDefault="00525419">
      <w:pPr>
        <w:spacing w:line="440" w:lineRule="exact"/>
        <w:ind w:firstLineChars="200" w:firstLine="480"/>
        <w:rPr>
          <w:rFonts w:ascii="Times New Roman" w:hAnsi="Times New Roman"/>
          <w:sz w:val="24"/>
        </w:rPr>
      </w:pPr>
    </w:p>
    <w:p w:rsidR="00525419" w:rsidRDefault="00525419">
      <w:pPr>
        <w:spacing w:line="440" w:lineRule="exact"/>
        <w:ind w:firstLineChars="200" w:firstLine="480"/>
        <w:rPr>
          <w:rFonts w:ascii="Times New Roman" w:hAnsi="Times New Roman"/>
          <w:sz w:val="24"/>
        </w:rPr>
      </w:pPr>
    </w:p>
    <w:p w:rsidR="00525419" w:rsidRDefault="00525419">
      <w:pPr>
        <w:spacing w:line="440" w:lineRule="exact"/>
        <w:ind w:firstLineChars="200" w:firstLine="480"/>
        <w:rPr>
          <w:rFonts w:ascii="Times New Roman" w:hAnsi="Times New Roman"/>
          <w:sz w:val="24"/>
        </w:rPr>
      </w:pPr>
    </w:p>
    <w:p w:rsidR="00525419" w:rsidRDefault="007D0E8A">
      <w:pPr>
        <w:spacing w:line="360" w:lineRule="auto"/>
        <w:ind w:firstLineChars="200" w:firstLine="482"/>
        <w:rPr>
          <w:rFonts w:ascii="Times New Roman" w:hAnsi="Times New Roman"/>
          <w:b/>
          <w:sz w:val="24"/>
        </w:rPr>
      </w:pPr>
      <w:r>
        <w:rPr>
          <w:rFonts w:ascii="Times New Roman" w:hAnsi="Times New Roman"/>
          <w:b/>
          <w:sz w:val="24"/>
        </w:rPr>
        <w:pict>
          <v:group id="Group 2350" o:spid="_x0000_s1534" style="position:absolute;left:0;text-align:left;margin-left:35.25pt;margin-top:9.8pt;width:369pt;height:145.95pt;z-index:251656704" coordorigin="2877,1904" coordsize="7380,2919">
            <v:shape id="Quad Arrow 2351" o:spid="_x0000_s1535" type="#_x0000_t202" style="position:absolute;left:5037;top:2465;width:1260;height:312" o:preferrelative="t">
              <v:stroke miterlimit="2"/>
              <v:textbox inset="1.42pt,.85pt,1.42pt,.85pt">
                <w:txbxContent>
                  <w:p w:rsidR="00EE1CF7" w:rsidRDefault="00EE1CF7">
                    <w:r>
                      <w:rPr>
                        <w:rFonts w:hint="eastAsia"/>
                      </w:rPr>
                      <w:t>醚化反应器</w:t>
                    </w:r>
                  </w:p>
                </w:txbxContent>
              </v:textbox>
            </v:shape>
            <v:shape id="Quad Arrow 2352" o:spid="_x0000_s1536" type="#_x0000_t202" style="position:absolute;left:3957;top:2465;width:540;height:309" o:preferrelative="t" filled="f" stroked="f">
              <v:textbox inset="1.42pt,.85pt,1.42pt,.85pt">
                <w:txbxContent>
                  <w:p w:rsidR="00EE1CF7" w:rsidRDefault="00EE1CF7">
                    <w:r>
                      <w:rPr>
                        <w:rFonts w:hint="eastAsia"/>
                      </w:rPr>
                      <w:t>汽油</w:t>
                    </w:r>
                  </w:p>
                </w:txbxContent>
              </v:textbox>
            </v:shape>
            <v:line id="Line 2353" o:spid="_x0000_s1537" style="position:absolute" from="4497,2621" to="5037,2621" o:preferrelative="t">
              <v:stroke endarrow="block" miterlimit="2"/>
            </v:line>
            <v:line id="Line 2354" o:spid="_x0000_s1538" style="position:absolute" from="3957,2933" to="4857,2933" o:preferrelative="t">
              <v:stroke miterlimit="2"/>
            </v:line>
            <v:line id="Line 2355" o:spid="_x0000_s1539" style="position:absolute;flip:y" from="4857,2621" to="4857,2933" o:preferrelative="t">
              <v:stroke endarrow="block" miterlimit="2"/>
            </v:line>
            <v:shape id="Quad Arrow 2356" o:spid="_x0000_s1540" type="#_x0000_t202" style="position:absolute;left:2877;top:2777;width:900;height:312" o:preferrelative="t" filled="f" stroked="f">
              <v:textbox inset="1.42pt,.85pt,1.42pt,.85pt">
                <w:txbxContent>
                  <w:p w:rsidR="00EE1CF7" w:rsidRDefault="00EE1CF7">
                    <w:r>
                      <w:rPr>
                        <w:rFonts w:hint="eastAsia"/>
                      </w:rPr>
                      <w:t>补充甲醇</w:t>
                    </w:r>
                  </w:p>
                </w:txbxContent>
              </v:textbox>
            </v:shape>
            <v:line id="Line 2357" o:spid="_x0000_s1541" style="position:absolute" from="6297,2621" to="6837,2621" o:preferrelative="t">
              <v:stroke endarrow="block" miterlimit="2"/>
            </v:line>
            <v:shape id="Quad Arrow 2358" o:spid="_x0000_s1542" type="#_x0000_t202" style="position:absolute;left:6837;top:2465;width:720;height:312" o:preferrelative="t">
              <v:stroke miterlimit="2"/>
              <v:textbox inset="1.42pt,.85pt,1.42pt,.85pt">
                <w:txbxContent>
                  <w:p w:rsidR="00EE1CF7" w:rsidRDefault="00EE1CF7">
                    <w:r>
                      <w:rPr>
                        <w:rFonts w:hint="eastAsia"/>
                      </w:rPr>
                      <w:t>精馏塔</w:t>
                    </w:r>
                  </w:p>
                </w:txbxContent>
              </v:textbox>
            </v:shape>
            <v:line id="Line 2359" o:spid="_x0000_s1543" style="position:absolute" from="4857,2933" to="7017,2933" o:preferrelative="t">
              <v:stroke miterlimit="2"/>
            </v:line>
            <v:line id="Line 2360" o:spid="_x0000_s1544" style="position:absolute;flip:y" from="7017,2777" to="7017,2933" o:preferrelative="t">
              <v:stroke endarrow="block" miterlimit="2"/>
            </v:line>
            <v:line id="Line 2361" o:spid="_x0000_s1545" style="position:absolute" from="7197,2309" to="7197,2465" o:preferrelative="t">
              <v:stroke miterlimit="2"/>
            </v:line>
            <v:line id="Line 2362" o:spid="_x0000_s1546" style="position:absolute" from="7197,2309" to="8097,2309" o:preferrelative="t">
              <v:stroke endarrow="block" miterlimit="2"/>
            </v:line>
            <v:shape id="Quad Arrow 2363" o:spid="_x0000_s1547" type="#_x0000_t202" style="position:absolute;left:8097;top:2153;width:1080;height:312" o:preferrelative="t">
              <v:stroke miterlimit="2"/>
              <v:textbox inset="1.42pt,.85pt,1.42pt,.85pt">
                <w:txbxContent>
                  <w:p w:rsidR="00EE1CF7" w:rsidRDefault="00EE1CF7">
                    <w:r>
                      <w:rPr>
                        <w:rFonts w:hint="eastAsia"/>
                      </w:rPr>
                      <w:t>冷却回流</w:t>
                    </w:r>
                  </w:p>
                </w:txbxContent>
              </v:textbox>
            </v:shape>
            <v:line id="Line 2364" o:spid="_x0000_s1548" style="position:absolute" from="8457,2465" to="8457,2621" o:preferrelative="t">
              <v:stroke miterlimit="2"/>
            </v:line>
            <v:line id="Line 2365" o:spid="_x0000_s1549" style="position:absolute;flip:x" from="7557,2621" to="8457,2621" o:preferrelative="t">
              <v:stroke endarrow="block" miterlimit="2"/>
            </v:line>
            <v:line id="Line 2366" o:spid="_x0000_s1550" style="position:absolute" from="7377,2777" to="7377,3089" o:preferrelative="t">
              <v:stroke endarrow="block" miterlimit="2"/>
            </v:line>
            <v:shape id="Quad Arrow 2367" o:spid="_x0000_s1551" type="#_x0000_t202" style="position:absolute;left:7107;top:2948;width:720;height:312" o:preferrelative="t" filled="f" stroked="f">
              <v:textbox inset="1.42pt,.85pt,1.42pt,.85pt">
                <w:txbxContent>
                  <w:p w:rsidR="00EE1CF7" w:rsidRDefault="00EE1CF7">
                    <w:pPr>
                      <w:rPr>
                        <w:b/>
                      </w:rPr>
                    </w:pPr>
                    <w:r>
                      <w:rPr>
                        <w:rFonts w:hint="eastAsia"/>
                        <w:b/>
                      </w:rPr>
                      <w:t>TAME</w:t>
                    </w:r>
                  </w:p>
                </w:txbxContent>
              </v:textbox>
            </v:shape>
            <v:line id="Line 2368" o:spid="_x0000_s1552" style="position:absolute" from="8097,2621" to="8097,2933" o:preferrelative="t">
              <v:stroke miterlimit="2"/>
            </v:line>
            <v:line id="Line 2369" o:spid="_x0000_s1553" style="position:absolute" from="8097,2933" to="8637,2933" o:preferrelative="t">
              <v:stroke endarrow="block" miterlimit="2"/>
            </v:line>
            <v:shape id="Quad Arrow 2370" o:spid="_x0000_s1554" type="#_x0000_t202" style="position:absolute;left:8967;top:3572;width:720;height:312" o:preferrelative="t">
              <v:stroke miterlimit="2"/>
              <v:textbox inset="1.42pt,.85pt,1.42pt,.85pt">
                <w:txbxContent>
                  <w:p w:rsidR="00EE1CF7" w:rsidRDefault="00EE1CF7">
                    <w:r>
                      <w:rPr>
                        <w:rFonts w:hint="eastAsia"/>
                      </w:rPr>
                      <w:t>萃取塔</w:t>
                    </w:r>
                  </w:p>
                </w:txbxContent>
              </v:textbox>
            </v:shape>
            <v:shape id="Quad Arrow 2371" o:spid="_x0000_s1555" type="#_x0000_t202" style="position:absolute;left:9537;top:3111;width:720;height:312" o:preferrelative="t" filled="f" stroked="f">
              <v:textbox inset="1.42pt,.85pt,1.42pt,.85pt">
                <w:txbxContent>
                  <w:p w:rsidR="00EE1CF7" w:rsidRDefault="00EE1CF7">
                    <w:r>
                      <w:rPr>
                        <w:rFonts w:hint="eastAsia"/>
                      </w:rPr>
                      <w:t>补充水</w:t>
                    </w:r>
                  </w:p>
                </w:txbxContent>
              </v:textbox>
            </v:shape>
            <v:shape id="Quad Arrow 2372" o:spid="_x0000_s1556" type="#_x0000_t202" style="position:absolute;left:7917;top:3423;width:900;height:312" o:preferrelative="t" filled="f" stroked="f">
              <v:textbox inset="1.42pt,.85pt,1.42pt,.85pt">
                <w:txbxContent>
                  <w:p w:rsidR="00EE1CF7" w:rsidRDefault="00EE1CF7">
                    <w:r>
                      <w:rPr>
                        <w:rFonts w:hint="eastAsia"/>
                      </w:rPr>
                      <w:t>萃余液</w:t>
                    </w:r>
                  </w:p>
                </w:txbxContent>
              </v:textbox>
            </v:shape>
            <v:line id="Line 2373" o:spid="_x0000_s1557" style="position:absolute" from="9450,3890" to="9450,4514" o:preferrelative="t">
              <v:stroke miterlimit="2"/>
            </v:line>
            <v:shape id="Quad Arrow 2374" o:spid="_x0000_s1558" type="#_x0000_t202" style="position:absolute;left:7830;top:4355;width:1260;height:312" o:preferrelative="t">
              <v:stroke miterlimit="2"/>
              <v:textbox inset="1.42pt,.85pt,1.42pt,.85pt">
                <w:txbxContent>
                  <w:p w:rsidR="00EE1CF7" w:rsidRDefault="00EE1CF7">
                    <w:r>
                      <w:rPr>
                        <w:rFonts w:hint="eastAsia"/>
                      </w:rPr>
                      <w:t>甲醇回收塔</w:t>
                    </w:r>
                  </w:p>
                </w:txbxContent>
              </v:textbox>
            </v:shape>
            <v:line id="Line 2375" o:spid="_x0000_s1559" style="position:absolute;flip:x" from="9090,4511" to="9450,4511" o:preferrelative="t">
              <v:stroke endarrow="block" miterlimit="2"/>
            </v:line>
            <v:shape id="Quad Arrow 2376" o:spid="_x0000_s1560" type="#_x0000_t202" style="position:absolute;left:9090;top:4043;width:900;height:312" o:preferrelative="t" filled="f" stroked="f">
              <v:textbox inset="1.42pt,.85pt,1.42pt,.85pt">
                <w:txbxContent>
                  <w:p w:rsidR="00EE1CF7" w:rsidRDefault="00EE1CF7">
                    <w:r>
                      <w:rPr>
                        <w:rFonts w:hint="eastAsia"/>
                      </w:rPr>
                      <w:t>萃取液</w:t>
                    </w:r>
                  </w:p>
                </w:txbxContent>
              </v:textbox>
            </v:shape>
            <v:line id="Line 2377" o:spid="_x0000_s1561" style="position:absolute" from="8550,4043" to="8550,4355" o:preferrelative="t">
              <v:stroke miterlimit="2"/>
            </v:line>
            <v:line id="Line 2378" o:spid="_x0000_s1562" style="position:absolute" from="8550,4043" to="9090,4043" o:preferrelative="t">
              <v:stroke miterlimit="2"/>
            </v:line>
            <v:line id="Line 2379" o:spid="_x0000_s1563" style="position:absolute;flip:y" from="9090,3887" to="9090,4043" o:preferrelative="t">
              <v:stroke endarrow="block" miterlimit="2"/>
            </v:line>
            <v:shape id="Quad Arrow 2380" o:spid="_x0000_s1564" type="#_x0000_t202" style="position:absolute;left:8370;top:3887;width:900;height:312" o:preferrelative="t" filled="f" stroked="f">
              <v:textbox inset="1.42pt,.85pt,1.42pt,.85pt">
                <w:txbxContent>
                  <w:p w:rsidR="00EE1CF7" w:rsidRDefault="00EE1CF7">
                    <w:r>
                      <w:rPr>
                        <w:rFonts w:hint="eastAsia"/>
                      </w:rPr>
                      <w:t>塔底水</w:t>
                    </w:r>
                  </w:p>
                </w:txbxContent>
              </v:textbox>
            </v:shape>
            <v:line id="Line 2381" o:spid="_x0000_s1565" style="position:absolute;flip:x" from="7470,4511" to="7830,4511" o:preferrelative="t">
              <v:stroke endarrow="block" miterlimit="2"/>
            </v:line>
            <v:shape id="Quad Arrow 2382" o:spid="_x0000_s1566" type="#_x0000_t202" style="position:absolute;left:6495;top:4355;width:975;height:312" o:preferrelative="t">
              <v:stroke miterlimit="2"/>
              <v:textbox inset="1.42pt,.85pt,1.42pt,.85pt">
                <w:txbxContent>
                  <w:p w:rsidR="00EE1CF7" w:rsidRDefault="00EE1CF7">
                    <w:r>
                      <w:rPr>
                        <w:rFonts w:hint="eastAsia"/>
                      </w:rPr>
                      <w:t>冷却回流</w:t>
                    </w:r>
                  </w:p>
                </w:txbxContent>
              </v:textbox>
            </v:shape>
            <v:line id="Line 2383" o:spid="_x0000_s1567" style="position:absolute" from="5970,4823" to="8190,4823" o:preferrelative="t">
              <v:stroke miterlimit="2"/>
            </v:line>
            <v:line id="Line 2384" o:spid="_x0000_s1568" style="position:absolute;flip:y" from="8190,4667" to="8190,4823" o:preferrelative="t">
              <v:stroke endarrow="block" miterlimit="2"/>
            </v:line>
            <v:line id="Line 2385" o:spid="_x0000_s1569" style="position:absolute;flip:x" from="4317,4667" to="5970,4667" o:preferrelative="t">
              <v:stroke miterlimit="2"/>
            </v:line>
            <v:line id="Line 2386" o:spid="_x0000_s1570" style="position:absolute;flip:y" from="4317,2948" to="4317,4667" o:preferrelative="t">
              <v:stroke endarrow="block" miterlimit="2"/>
            </v:line>
            <v:shape id="Quad Arrow 2387" o:spid="_x0000_s1571" type="#_x0000_t202" style="position:absolute;left:4752;top:4355;width:900;height:312" o:preferrelative="t" filled="f" stroked="f">
              <v:textbox inset="1.42pt,.85pt,1.42pt,.85pt">
                <w:txbxContent>
                  <w:p w:rsidR="00EE1CF7" w:rsidRDefault="00EE1CF7">
                    <w:r>
                      <w:rPr>
                        <w:rFonts w:hint="eastAsia"/>
                      </w:rPr>
                      <w:t>回收甲醇</w:t>
                    </w:r>
                  </w:p>
                </w:txbxContent>
              </v:textbox>
            </v:shape>
            <v:line id="Line 2388" o:spid="_x0000_s1572" style="position:absolute;flip:y" from="5652,2156" to="5652,2468" o:preferrelative="t">
              <v:stroke dashstyle="dash" endarrow="block" miterlimit="2"/>
            </v:line>
            <v:shape id="Quad Arrow 2389" o:spid="_x0000_s1573" type="#_x0000_t202" style="position:absolute;left:5487;top:1904;width:360;height:312" o:preferrelative="t" filled="f" stroked="f">
              <v:textbox inset="1.42pt,.85pt,1.42pt,.85pt">
                <w:txbxContent>
                  <w:p w:rsidR="00EE1CF7" w:rsidRDefault="00EE1CF7">
                    <w:r>
                      <w:rPr>
                        <w:rFonts w:hint="eastAsia"/>
                      </w:rPr>
                      <w:t>S1</w:t>
                    </w:r>
                  </w:p>
                </w:txbxContent>
              </v:textbox>
            </v:shape>
            <v:shape id="Quad Arrow 2390" o:spid="_x0000_s1574" type="#_x0000_t202" style="position:absolute;left:8637;top:2777;width:1260;height:312" o:preferrelative="t">
              <v:stroke miterlimit="2"/>
              <v:textbox inset="1.42pt,.85pt,1.42pt,.85pt">
                <w:txbxContent>
                  <w:p w:rsidR="00EE1CF7" w:rsidRDefault="00EE1CF7">
                    <w:r>
                      <w:rPr>
                        <w:rFonts w:hint="eastAsia"/>
                      </w:rPr>
                      <w:t>醚化反应器</w:t>
                    </w:r>
                  </w:p>
                </w:txbxContent>
              </v:textbox>
            </v:shape>
            <v:line id="Line 2391" o:spid="_x0000_s1575" style="position:absolute;flip:y" from="9537,2462" to="9537,2774" o:preferrelative="t">
              <v:stroke dashstyle="dash" endarrow="block" miterlimit="2"/>
            </v:line>
            <v:shape id="Quad Arrow 2392" o:spid="_x0000_s1576" type="#_x0000_t202" style="position:absolute;left:9327;top:2216;width:360;height:312" o:preferrelative="t" filled="f" stroked="f">
              <v:textbox inset="1.42pt,.85pt,1.42pt,.85pt">
                <w:txbxContent>
                  <w:p w:rsidR="00EE1CF7" w:rsidRDefault="00EE1CF7">
                    <w:r>
                      <w:rPr>
                        <w:rFonts w:hint="eastAsia"/>
                      </w:rPr>
                      <w:t>S2</w:t>
                    </w:r>
                  </w:p>
                </w:txbxContent>
              </v:textbox>
            </v:shape>
            <v:shape id="Straight Connector 2393" o:spid="_x0000_s1577" type="#_x0000_t32" style="position:absolute;left:9327;top:3089;width:0;height:483" o:connectortype="straight" o:preferrelative="t">
              <v:stroke endarrow="block" miterlimit="2"/>
            </v:shape>
            <v:shape id="Straight Connector 2394" o:spid="_x0000_s1578" type="#_x0000_t32" style="position:absolute;left:7377;top:3720;width:1590;height:15;flip:x" o:connectortype="straight" o:preferrelative="t">
              <v:stroke miterlimit="2"/>
            </v:shape>
            <v:shape id="Straight Connector 2395" o:spid="_x0000_s1579" type="#_x0000_t32" style="position:absolute;left:7377;top:3260;width:0;height:475;flip:y" o:connectortype="straight" o:preferrelative="t">
              <v:stroke endarrow="block" miterlimit="2"/>
            </v:shape>
            <v:shape id="Straight Connector 2396" o:spid="_x0000_s1580" type="#_x0000_t32" style="position:absolute;left:5970;top:4514;width:525;height:0;flip:x" o:connectortype="straight" o:preferrelative="t">
              <v:stroke miterlimit="2"/>
            </v:shape>
            <v:shape id="Straight Connector 2397" o:spid="_x0000_s1581" type="#_x0000_t32" style="position:absolute;left:5970;top:4514;width:0;height:309" o:connectortype="straight" o:preferrelative="t">
              <v:stroke miterlimit="2"/>
            </v:shape>
            <v:shape id="Straight Connector 2398" o:spid="_x0000_s1582" type="#_x0000_t32" style="position:absolute;left:9990;top:3423;width:0;height:312" o:connectortype="straight" o:preferrelative="t">
              <v:stroke miterlimit="2"/>
            </v:shape>
            <v:shape id="Straight Connector 2399" o:spid="_x0000_s1583" type="#_x0000_t32" style="position:absolute;left:9687;top:3735;width:303;height:0;flip:x" o:connectortype="straight" o:preferrelative="t">
              <v:stroke endarrow="block" miterlimit="2"/>
            </v:shape>
          </v:group>
        </w:pict>
      </w:r>
    </w:p>
    <w:p w:rsidR="00525419" w:rsidRDefault="00525419">
      <w:pPr>
        <w:spacing w:line="360" w:lineRule="auto"/>
        <w:ind w:firstLineChars="200" w:firstLine="480"/>
        <w:rPr>
          <w:rFonts w:ascii="Times New Roman" w:hAnsi="Times New Roman"/>
          <w:sz w:val="24"/>
        </w:rPr>
      </w:pPr>
    </w:p>
    <w:p w:rsidR="00525419" w:rsidRDefault="00525419">
      <w:pPr>
        <w:spacing w:line="360" w:lineRule="auto"/>
        <w:ind w:firstLineChars="200" w:firstLine="480"/>
        <w:rPr>
          <w:rFonts w:ascii="Times New Roman" w:hAnsi="Times New Roman"/>
          <w:sz w:val="24"/>
        </w:rPr>
      </w:pPr>
    </w:p>
    <w:p w:rsidR="00525419" w:rsidRDefault="00525419">
      <w:pPr>
        <w:spacing w:line="360" w:lineRule="auto"/>
        <w:ind w:firstLineChars="200" w:firstLine="480"/>
        <w:rPr>
          <w:rFonts w:ascii="Times New Roman" w:hAnsi="Times New Roman"/>
          <w:sz w:val="24"/>
        </w:rPr>
      </w:pPr>
    </w:p>
    <w:p w:rsidR="00525419" w:rsidRDefault="00525419">
      <w:pPr>
        <w:spacing w:line="360" w:lineRule="auto"/>
        <w:ind w:firstLineChars="200" w:firstLine="480"/>
        <w:rPr>
          <w:rFonts w:ascii="Times New Roman" w:hAnsi="Times New Roman"/>
          <w:sz w:val="24"/>
        </w:rPr>
      </w:pPr>
    </w:p>
    <w:p w:rsidR="00525419" w:rsidRDefault="00525419">
      <w:pPr>
        <w:spacing w:line="360" w:lineRule="auto"/>
        <w:ind w:firstLineChars="200" w:firstLine="480"/>
        <w:rPr>
          <w:rFonts w:ascii="Times New Roman" w:hAnsi="Times New Roman"/>
          <w:sz w:val="24"/>
        </w:rPr>
      </w:pPr>
    </w:p>
    <w:p w:rsidR="00525419" w:rsidRDefault="00525419">
      <w:pPr>
        <w:spacing w:line="360" w:lineRule="auto"/>
        <w:ind w:firstLineChars="200" w:firstLine="480"/>
        <w:rPr>
          <w:rFonts w:ascii="Times New Roman" w:hAnsi="Times New Roman"/>
          <w:sz w:val="24"/>
        </w:rPr>
      </w:pPr>
    </w:p>
    <w:p w:rsidR="00525419" w:rsidRDefault="00EE1CF7">
      <w:pPr>
        <w:spacing w:line="360" w:lineRule="auto"/>
        <w:ind w:firstLineChars="200" w:firstLine="482"/>
        <w:jc w:val="center"/>
        <w:rPr>
          <w:rFonts w:ascii="Times New Roman" w:hAnsi="Times New Roman"/>
          <w:b/>
          <w:sz w:val="24"/>
        </w:rPr>
      </w:pPr>
      <w:r>
        <w:rPr>
          <w:rFonts w:ascii="Times New Roman" w:hAnsi="Times New Roman"/>
          <w:b/>
          <w:sz w:val="24"/>
        </w:rPr>
        <w:t>图</w:t>
      </w:r>
      <w:r>
        <w:rPr>
          <w:rFonts w:ascii="Times New Roman" w:hAnsi="Times New Roman"/>
          <w:b/>
          <w:sz w:val="24"/>
        </w:rPr>
        <w:t>3.4-4 TAME</w:t>
      </w:r>
      <w:r>
        <w:rPr>
          <w:rFonts w:ascii="Times New Roman" w:hAnsi="Times New Roman"/>
          <w:b/>
          <w:sz w:val="24"/>
        </w:rPr>
        <w:t>醚化部分的工艺流程及产污环节图</w:t>
      </w:r>
    </w:p>
    <w:p w:rsidR="00525419" w:rsidRDefault="00EE1CF7">
      <w:pPr>
        <w:pStyle w:val="3a"/>
        <w:spacing w:beforeLines="50" w:before="159" w:after="156" w:line="360" w:lineRule="auto"/>
        <w:jc w:val="left"/>
        <w:rPr>
          <w:rFonts w:ascii="Times New Roman" w:eastAsia="华文楷体" w:hAnsi="Times New Roman"/>
        </w:rPr>
      </w:pPr>
      <w:r>
        <w:rPr>
          <w:rFonts w:ascii="Times New Roman" w:eastAsia="华文楷体" w:hAnsi="Times New Roman"/>
        </w:rPr>
        <w:t>3.4.4</w:t>
      </w:r>
      <w:r>
        <w:rPr>
          <w:rFonts w:ascii="Times New Roman" w:eastAsia="华文楷体" w:hAnsi="Times New Roman"/>
        </w:rPr>
        <w:t>变更前后物料平衡</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3.4.4.1</w:t>
      </w:r>
      <w:r>
        <w:rPr>
          <w:rFonts w:ascii="Times New Roman" w:hAnsi="Times New Roman" w:cs="Times New Roman"/>
          <w:kern w:val="44"/>
          <w:sz w:val="24"/>
          <w:szCs w:val="24"/>
        </w:rPr>
        <w:t>变更前物料平衡</w:t>
      </w:r>
    </w:p>
    <w:p w:rsidR="00525419" w:rsidRDefault="00EE1CF7">
      <w:pPr>
        <w:pStyle w:val="afffe"/>
        <w:adjustRightInd w:val="0"/>
        <w:spacing w:after="0" w:line="360" w:lineRule="auto"/>
        <w:ind w:firstLineChars="200" w:firstLine="480"/>
        <w:rPr>
          <w:sz w:val="24"/>
        </w:rPr>
      </w:pPr>
      <w:r>
        <w:rPr>
          <w:sz w:val="24"/>
        </w:rPr>
        <w:t>变更前物料平衡见表</w:t>
      </w:r>
      <w:r>
        <w:rPr>
          <w:sz w:val="24"/>
        </w:rPr>
        <w:t>3.4-7</w:t>
      </w:r>
      <w:r>
        <w:rPr>
          <w:sz w:val="24"/>
        </w:rPr>
        <w:t>。</w:t>
      </w:r>
    </w:p>
    <w:p w:rsidR="00525419" w:rsidRDefault="00EE1CF7">
      <w:pPr>
        <w:pStyle w:val="afffe"/>
        <w:adjustRightInd w:val="0"/>
        <w:spacing w:after="0" w:line="240" w:lineRule="atLeast"/>
        <w:ind w:firstLineChars="850" w:firstLine="1700"/>
        <w:rPr>
          <w:rFonts w:eastAsia="黑体"/>
          <w:szCs w:val="21"/>
        </w:rPr>
      </w:pPr>
      <w:r>
        <w:rPr>
          <w:rFonts w:eastAsia="黑体"/>
          <w:szCs w:val="21"/>
        </w:rPr>
        <w:t>表</w:t>
      </w:r>
      <w:r>
        <w:rPr>
          <w:rFonts w:eastAsia="黑体"/>
          <w:szCs w:val="21"/>
        </w:rPr>
        <w:t xml:space="preserve">3.4-7    </w:t>
      </w:r>
      <w:r>
        <w:rPr>
          <w:rFonts w:eastAsia="黑体"/>
          <w:szCs w:val="21"/>
        </w:rPr>
        <w:t>变更前物料平衡表</w:t>
      </w:r>
      <w:r>
        <w:rPr>
          <w:rFonts w:eastAsia="黑体"/>
          <w:szCs w:val="21"/>
        </w:rPr>
        <w:t xml:space="preserve">   </w:t>
      </w:r>
      <w:r>
        <w:rPr>
          <w:rFonts w:eastAsia="黑体"/>
          <w:szCs w:val="21"/>
        </w:rPr>
        <w:t>单位：万</w:t>
      </w:r>
      <w:r>
        <w:rPr>
          <w:rFonts w:eastAsia="黑体"/>
          <w:szCs w:val="21"/>
        </w:rPr>
        <w:t>t/a</w:t>
      </w:r>
    </w:p>
    <w:tbl>
      <w:tblPr>
        <w:tblW w:w="85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1"/>
        <w:gridCol w:w="1223"/>
        <w:gridCol w:w="1508"/>
        <w:gridCol w:w="1809"/>
        <w:gridCol w:w="1364"/>
        <w:gridCol w:w="1499"/>
      </w:tblGrid>
      <w:tr w:rsidR="00525419">
        <w:trPr>
          <w:cantSplit/>
          <w:trHeight w:val="335"/>
          <w:jc w:val="center"/>
        </w:trPr>
        <w:tc>
          <w:tcPr>
            <w:tcW w:w="2334" w:type="dxa"/>
            <w:gridSpan w:val="2"/>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投入</w:t>
            </w:r>
          </w:p>
        </w:tc>
        <w:tc>
          <w:tcPr>
            <w:tcW w:w="3317" w:type="dxa"/>
            <w:gridSpan w:val="2"/>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产出</w:t>
            </w:r>
          </w:p>
        </w:tc>
        <w:tc>
          <w:tcPr>
            <w:tcW w:w="2863" w:type="dxa"/>
            <w:gridSpan w:val="2"/>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流失</w:t>
            </w:r>
          </w:p>
        </w:tc>
      </w:tr>
      <w:tr w:rsidR="00525419">
        <w:trPr>
          <w:cantSplit/>
          <w:jc w:val="center"/>
        </w:trPr>
        <w:tc>
          <w:tcPr>
            <w:tcW w:w="1111"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物料名称</w:t>
            </w:r>
          </w:p>
        </w:tc>
        <w:tc>
          <w:tcPr>
            <w:tcW w:w="1223"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投入量</w:t>
            </w:r>
          </w:p>
        </w:tc>
        <w:tc>
          <w:tcPr>
            <w:tcW w:w="1508"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产品名称</w:t>
            </w:r>
          </w:p>
        </w:tc>
        <w:tc>
          <w:tcPr>
            <w:tcW w:w="180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产出量</w:t>
            </w:r>
          </w:p>
        </w:tc>
        <w:tc>
          <w:tcPr>
            <w:tcW w:w="1364"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流失物名称</w:t>
            </w:r>
          </w:p>
        </w:tc>
        <w:tc>
          <w:tcPr>
            <w:tcW w:w="149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流失量</w:t>
            </w:r>
          </w:p>
        </w:tc>
      </w:tr>
      <w:tr w:rsidR="00525419">
        <w:trPr>
          <w:cantSplit/>
          <w:trHeight w:val="300"/>
          <w:jc w:val="center"/>
        </w:trPr>
        <w:tc>
          <w:tcPr>
            <w:tcW w:w="1111"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煤焦油</w:t>
            </w:r>
          </w:p>
        </w:tc>
        <w:tc>
          <w:tcPr>
            <w:tcW w:w="1223"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45.16</w:t>
            </w:r>
          </w:p>
        </w:tc>
        <w:tc>
          <w:tcPr>
            <w:tcW w:w="1508"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低分气</w:t>
            </w:r>
          </w:p>
        </w:tc>
        <w:tc>
          <w:tcPr>
            <w:tcW w:w="1809"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0.84</w:t>
            </w:r>
          </w:p>
        </w:tc>
        <w:tc>
          <w:tcPr>
            <w:tcW w:w="1364"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富液</w:t>
            </w:r>
          </w:p>
        </w:tc>
        <w:tc>
          <w:tcPr>
            <w:tcW w:w="149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1.546</w:t>
            </w:r>
          </w:p>
        </w:tc>
      </w:tr>
      <w:tr w:rsidR="00525419">
        <w:trPr>
          <w:cantSplit/>
          <w:trHeight w:val="199"/>
          <w:jc w:val="center"/>
        </w:trPr>
        <w:tc>
          <w:tcPr>
            <w:tcW w:w="1111" w:type="dxa"/>
            <w:tcBorders>
              <w:tl2br w:val="nil"/>
              <w:tr2bl w:val="nil"/>
            </w:tcBorders>
            <w:vAlign w:val="center"/>
          </w:tcPr>
          <w:p w:rsidR="00525419" w:rsidRDefault="00EE1CF7">
            <w:pPr>
              <w:spacing w:line="240" w:lineRule="atLeast"/>
              <w:rPr>
                <w:rFonts w:ascii="Times New Roman" w:hAnsi="Times New Roman"/>
                <w:kern w:val="0"/>
                <w:szCs w:val="21"/>
              </w:rPr>
            </w:pPr>
            <w:r>
              <w:rPr>
                <w:rFonts w:ascii="Times New Roman" w:hAnsi="Times New Roman"/>
                <w:kern w:val="0"/>
                <w:szCs w:val="21"/>
              </w:rPr>
              <w:t>氢气</w:t>
            </w:r>
          </w:p>
        </w:tc>
        <w:tc>
          <w:tcPr>
            <w:tcW w:w="1223" w:type="dxa"/>
            <w:tcBorders>
              <w:tl2br w:val="nil"/>
              <w:tr2bl w:val="nil"/>
            </w:tcBorders>
            <w:vAlign w:val="center"/>
          </w:tcPr>
          <w:p w:rsidR="00525419" w:rsidRDefault="00EE1CF7">
            <w:pPr>
              <w:spacing w:line="240" w:lineRule="atLeast"/>
              <w:rPr>
                <w:rFonts w:ascii="Times New Roman" w:hAnsi="Times New Roman"/>
                <w:kern w:val="0"/>
                <w:szCs w:val="21"/>
              </w:rPr>
            </w:pPr>
            <w:r>
              <w:rPr>
                <w:rFonts w:ascii="Times New Roman" w:hAnsi="Times New Roman"/>
                <w:kern w:val="0"/>
                <w:szCs w:val="21"/>
              </w:rPr>
              <w:t>1.7</w:t>
            </w:r>
          </w:p>
        </w:tc>
        <w:tc>
          <w:tcPr>
            <w:tcW w:w="1508"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液化气</w:t>
            </w:r>
          </w:p>
        </w:tc>
        <w:tc>
          <w:tcPr>
            <w:tcW w:w="1809"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1.96</w:t>
            </w:r>
          </w:p>
        </w:tc>
        <w:tc>
          <w:tcPr>
            <w:tcW w:w="1364"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酸性水</w:t>
            </w:r>
          </w:p>
        </w:tc>
        <w:tc>
          <w:tcPr>
            <w:tcW w:w="149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15.4</w:t>
            </w:r>
          </w:p>
        </w:tc>
      </w:tr>
      <w:tr w:rsidR="00525419">
        <w:trPr>
          <w:cantSplit/>
          <w:trHeight w:val="313"/>
          <w:jc w:val="center"/>
        </w:trPr>
        <w:tc>
          <w:tcPr>
            <w:tcW w:w="1111"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除盐水</w:t>
            </w:r>
          </w:p>
        </w:tc>
        <w:tc>
          <w:tcPr>
            <w:tcW w:w="1223"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12.066</w:t>
            </w:r>
          </w:p>
        </w:tc>
        <w:tc>
          <w:tcPr>
            <w:tcW w:w="1508"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精制轻油</w:t>
            </w:r>
          </w:p>
        </w:tc>
        <w:tc>
          <w:tcPr>
            <w:tcW w:w="1809"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5.064</w:t>
            </w:r>
          </w:p>
        </w:tc>
        <w:tc>
          <w:tcPr>
            <w:tcW w:w="1364" w:type="dxa"/>
            <w:vMerge w:val="restart"/>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干气</w:t>
            </w:r>
          </w:p>
        </w:tc>
        <w:tc>
          <w:tcPr>
            <w:tcW w:w="1499" w:type="dxa"/>
            <w:vMerge w:val="restart"/>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2.446</w:t>
            </w:r>
          </w:p>
        </w:tc>
      </w:tr>
      <w:tr w:rsidR="00525419">
        <w:trPr>
          <w:cantSplit/>
          <w:trHeight w:val="123"/>
          <w:jc w:val="center"/>
        </w:trPr>
        <w:tc>
          <w:tcPr>
            <w:tcW w:w="1111" w:type="dxa"/>
            <w:tcBorders>
              <w:tl2br w:val="nil"/>
              <w:tr2bl w:val="nil"/>
            </w:tcBorders>
            <w:vAlign w:val="center"/>
          </w:tcPr>
          <w:p w:rsidR="00525419" w:rsidRDefault="00EE1CF7">
            <w:pPr>
              <w:spacing w:line="240" w:lineRule="atLeast"/>
              <w:rPr>
                <w:rFonts w:ascii="Times New Roman" w:hAnsi="Times New Roman"/>
                <w:kern w:val="0"/>
                <w:szCs w:val="21"/>
              </w:rPr>
            </w:pPr>
            <w:r>
              <w:rPr>
                <w:rFonts w:ascii="Times New Roman" w:hAnsi="Times New Roman"/>
                <w:kern w:val="0"/>
                <w:szCs w:val="21"/>
              </w:rPr>
              <w:t>甲醇</w:t>
            </w:r>
          </w:p>
        </w:tc>
        <w:tc>
          <w:tcPr>
            <w:tcW w:w="1223" w:type="dxa"/>
            <w:tcBorders>
              <w:tl2br w:val="nil"/>
              <w:tr2bl w:val="nil"/>
            </w:tcBorders>
            <w:vAlign w:val="center"/>
          </w:tcPr>
          <w:p w:rsidR="00525419" w:rsidRDefault="00EE1CF7">
            <w:pPr>
              <w:spacing w:line="240" w:lineRule="atLeast"/>
              <w:rPr>
                <w:rFonts w:ascii="Times New Roman" w:hAnsi="Times New Roman"/>
                <w:kern w:val="0"/>
                <w:szCs w:val="21"/>
              </w:rPr>
            </w:pPr>
            <w:r>
              <w:rPr>
                <w:rFonts w:ascii="Times New Roman" w:hAnsi="Times New Roman"/>
                <w:kern w:val="0"/>
                <w:szCs w:val="21"/>
              </w:rPr>
              <w:t>0.6</w:t>
            </w:r>
          </w:p>
        </w:tc>
        <w:tc>
          <w:tcPr>
            <w:tcW w:w="1508"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苯</w:t>
            </w:r>
          </w:p>
        </w:tc>
        <w:tc>
          <w:tcPr>
            <w:tcW w:w="1809"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1.08</w:t>
            </w:r>
          </w:p>
        </w:tc>
        <w:tc>
          <w:tcPr>
            <w:tcW w:w="1364" w:type="dxa"/>
            <w:vMerge/>
            <w:tcBorders>
              <w:tl2br w:val="nil"/>
              <w:tr2bl w:val="nil"/>
            </w:tcBorders>
            <w:vAlign w:val="center"/>
          </w:tcPr>
          <w:p w:rsidR="00525419" w:rsidRDefault="00525419">
            <w:pPr>
              <w:spacing w:line="240" w:lineRule="atLeast"/>
              <w:rPr>
                <w:rFonts w:ascii="Times New Roman" w:hAnsi="Times New Roman"/>
                <w:szCs w:val="21"/>
              </w:rPr>
            </w:pPr>
          </w:p>
        </w:tc>
        <w:tc>
          <w:tcPr>
            <w:tcW w:w="1499" w:type="dxa"/>
            <w:vMerge/>
            <w:tcBorders>
              <w:tl2br w:val="nil"/>
              <w:tr2bl w:val="nil"/>
            </w:tcBorders>
            <w:vAlign w:val="center"/>
          </w:tcPr>
          <w:p w:rsidR="00525419" w:rsidRDefault="00525419">
            <w:pPr>
              <w:spacing w:line="240" w:lineRule="atLeast"/>
              <w:rPr>
                <w:rFonts w:ascii="Times New Roman" w:hAnsi="Times New Roman"/>
                <w:szCs w:val="21"/>
              </w:rPr>
            </w:pPr>
          </w:p>
        </w:tc>
      </w:tr>
      <w:tr w:rsidR="00525419">
        <w:trPr>
          <w:cantSplit/>
          <w:trHeight w:val="260"/>
          <w:jc w:val="center"/>
        </w:trPr>
        <w:tc>
          <w:tcPr>
            <w:tcW w:w="1111" w:type="dxa"/>
            <w:tcBorders>
              <w:tl2br w:val="nil"/>
              <w:tr2bl w:val="nil"/>
            </w:tcBorders>
            <w:vAlign w:val="center"/>
          </w:tcPr>
          <w:p w:rsidR="00525419" w:rsidRDefault="00EE1CF7">
            <w:pPr>
              <w:spacing w:line="240" w:lineRule="atLeast"/>
              <w:rPr>
                <w:rFonts w:ascii="Times New Roman" w:hAnsi="Times New Roman"/>
                <w:kern w:val="0"/>
                <w:szCs w:val="21"/>
              </w:rPr>
            </w:pPr>
            <w:r>
              <w:rPr>
                <w:rFonts w:ascii="Times New Roman" w:hAnsi="Times New Roman"/>
                <w:kern w:val="0"/>
                <w:szCs w:val="21"/>
              </w:rPr>
              <w:t>贫液</w:t>
            </w:r>
          </w:p>
        </w:tc>
        <w:tc>
          <w:tcPr>
            <w:tcW w:w="1223" w:type="dxa"/>
            <w:tcBorders>
              <w:tl2br w:val="nil"/>
              <w:tr2bl w:val="nil"/>
            </w:tcBorders>
            <w:vAlign w:val="center"/>
          </w:tcPr>
          <w:p w:rsidR="00525419" w:rsidRDefault="00EE1CF7">
            <w:pPr>
              <w:spacing w:line="240" w:lineRule="atLeast"/>
              <w:rPr>
                <w:rFonts w:ascii="Times New Roman" w:hAnsi="Times New Roman"/>
                <w:kern w:val="0"/>
                <w:szCs w:val="21"/>
              </w:rPr>
            </w:pPr>
            <w:r>
              <w:rPr>
                <w:rFonts w:ascii="Times New Roman" w:hAnsi="Times New Roman"/>
                <w:kern w:val="0"/>
                <w:szCs w:val="21"/>
              </w:rPr>
              <w:t>1.54</w:t>
            </w:r>
          </w:p>
        </w:tc>
        <w:tc>
          <w:tcPr>
            <w:tcW w:w="1508"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轻芳烃</w:t>
            </w:r>
          </w:p>
        </w:tc>
        <w:tc>
          <w:tcPr>
            <w:tcW w:w="1809"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1.936</w:t>
            </w:r>
          </w:p>
        </w:tc>
        <w:tc>
          <w:tcPr>
            <w:tcW w:w="1364" w:type="dxa"/>
            <w:vMerge/>
            <w:tcBorders>
              <w:tl2br w:val="nil"/>
              <w:tr2bl w:val="nil"/>
            </w:tcBorders>
            <w:vAlign w:val="center"/>
          </w:tcPr>
          <w:p w:rsidR="00525419" w:rsidRDefault="00525419">
            <w:pPr>
              <w:spacing w:line="240" w:lineRule="atLeast"/>
              <w:rPr>
                <w:rFonts w:ascii="Times New Roman" w:hAnsi="Times New Roman"/>
                <w:szCs w:val="21"/>
              </w:rPr>
            </w:pPr>
          </w:p>
        </w:tc>
        <w:tc>
          <w:tcPr>
            <w:tcW w:w="1499" w:type="dxa"/>
            <w:vMerge/>
            <w:tcBorders>
              <w:tl2br w:val="nil"/>
              <w:tr2bl w:val="nil"/>
            </w:tcBorders>
            <w:vAlign w:val="center"/>
          </w:tcPr>
          <w:p w:rsidR="00525419" w:rsidRDefault="00525419">
            <w:pPr>
              <w:spacing w:line="240" w:lineRule="atLeast"/>
              <w:rPr>
                <w:rFonts w:ascii="Times New Roman" w:hAnsi="Times New Roman"/>
                <w:szCs w:val="21"/>
              </w:rPr>
            </w:pPr>
          </w:p>
        </w:tc>
      </w:tr>
      <w:tr w:rsidR="00525419">
        <w:trPr>
          <w:cantSplit/>
          <w:trHeight w:val="117"/>
          <w:jc w:val="center"/>
        </w:trPr>
        <w:tc>
          <w:tcPr>
            <w:tcW w:w="1111" w:type="dxa"/>
            <w:vMerge w:val="restart"/>
            <w:tcBorders>
              <w:tl2br w:val="nil"/>
              <w:tr2bl w:val="nil"/>
            </w:tcBorders>
            <w:vAlign w:val="center"/>
          </w:tcPr>
          <w:p w:rsidR="00525419" w:rsidRDefault="00525419">
            <w:pPr>
              <w:spacing w:line="240" w:lineRule="atLeast"/>
              <w:rPr>
                <w:rFonts w:ascii="Times New Roman" w:hAnsi="Times New Roman"/>
                <w:kern w:val="0"/>
                <w:szCs w:val="21"/>
              </w:rPr>
            </w:pPr>
          </w:p>
        </w:tc>
        <w:tc>
          <w:tcPr>
            <w:tcW w:w="1223" w:type="dxa"/>
            <w:vMerge w:val="restart"/>
            <w:tcBorders>
              <w:tl2br w:val="nil"/>
              <w:tr2bl w:val="nil"/>
            </w:tcBorders>
            <w:vAlign w:val="center"/>
          </w:tcPr>
          <w:p w:rsidR="00525419" w:rsidRDefault="00525419">
            <w:pPr>
              <w:spacing w:line="240" w:lineRule="atLeast"/>
              <w:rPr>
                <w:rFonts w:ascii="Times New Roman" w:hAnsi="Times New Roman"/>
                <w:kern w:val="0"/>
                <w:szCs w:val="21"/>
              </w:rPr>
            </w:pPr>
          </w:p>
        </w:tc>
        <w:tc>
          <w:tcPr>
            <w:tcW w:w="1508"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TAME</w:t>
            </w:r>
          </w:p>
        </w:tc>
        <w:tc>
          <w:tcPr>
            <w:tcW w:w="1809"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5.6</w:t>
            </w:r>
          </w:p>
        </w:tc>
        <w:tc>
          <w:tcPr>
            <w:tcW w:w="1364" w:type="dxa"/>
            <w:vMerge/>
            <w:tcBorders>
              <w:tl2br w:val="nil"/>
              <w:tr2bl w:val="nil"/>
            </w:tcBorders>
            <w:vAlign w:val="center"/>
          </w:tcPr>
          <w:p w:rsidR="00525419" w:rsidRDefault="00525419">
            <w:pPr>
              <w:spacing w:line="240" w:lineRule="atLeast"/>
              <w:rPr>
                <w:rFonts w:ascii="Times New Roman" w:hAnsi="Times New Roman"/>
                <w:szCs w:val="21"/>
              </w:rPr>
            </w:pPr>
          </w:p>
        </w:tc>
        <w:tc>
          <w:tcPr>
            <w:tcW w:w="1499" w:type="dxa"/>
            <w:vMerge/>
            <w:tcBorders>
              <w:tl2br w:val="nil"/>
              <w:tr2bl w:val="nil"/>
            </w:tcBorders>
            <w:vAlign w:val="center"/>
          </w:tcPr>
          <w:p w:rsidR="00525419" w:rsidRDefault="00525419">
            <w:pPr>
              <w:spacing w:line="240" w:lineRule="atLeast"/>
              <w:rPr>
                <w:rFonts w:ascii="Times New Roman" w:hAnsi="Times New Roman"/>
                <w:szCs w:val="21"/>
              </w:rPr>
            </w:pPr>
          </w:p>
        </w:tc>
      </w:tr>
      <w:tr w:rsidR="00525419">
        <w:trPr>
          <w:cantSplit/>
          <w:trHeight w:val="300"/>
          <w:jc w:val="center"/>
        </w:trPr>
        <w:tc>
          <w:tcPr>
            <w:tcW w:w="1111" w:type="dxa"/>
            <w:vMerge/>
            <w:tcBorders>
              <w:tl2br w:val="nil"/>
              <w:tr2bl w:val="nil"/>
            </w:tcBorders>
            <w:vAlign w:val="center"/>
          </w:tcPr>
          <w:p w:rsidR="00525419" w:rsidRDefault="00525419">
            <w:pPr>
              <w:spacing w:line="240" w:lineRule="atLeast"/>
              <w:rPr>
                <w:rFonts w:ascii="Times New Roman" w:hAnsi="Times New Roman"/>
                <w:kern w:val="0"/>
                <w:szCs w:val="21"/>
              </w:rPr>
            </w:pPr>
          </w:p>
        </w:tc>
        <w:tc>
          <w:tcPr>
            <w:tcW w:w="1223" w:type="dxa"/>
            <w:vMerge/>
            <w:tcBorders>
              <w:tl2br w:val="nil"/>
              <w:tr2bl w:val="nil"/>
            </w:tcBorders>
            <w:vAlign w:val="center"/>
          </w:tcPr>
          <w:p w:rsidR="00525419" w:rsidRDefault="00525419">
            <w:pPr>
              <w:spacing w:line="240" w:lineRule="atLeast"/>
              <w:rPr>
                <w:rFonts w:ascii="Times New Roman" w:hAnsi="Times New Roman"/>
                <w:kern w:val="0"/>
                <w:szCs w:val="21"/>
              </w:rPr>
            </w:pPr>
          </w:p>
        </w:tc>
        <w:tc>
          <w:tcPr>
            <w:tcW w:w="1508"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汽油</w:t>
            </w:r>
          </w:p>
        </w:tc>
        <w:tc>
          <w:tcPr>
            <w:tcW w:w="1809"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9.688</w:t>
            </w:r>
          </w:p>
        </w:tc>
        <w:tc>
          <w:tcPr>
            <w:tcW w:w="1364" w:type="dxa"/>
            <w:vMerge/>
            <w:tcBorders>
              <w:tl2br w:val="nil"/>
              <w:tr2bl w:val="nil"/>
            </w:tcBorders>
            <w:vAlign w:val="center"/>
          </w:tcPr>
          <w:p w:rsidR="00525419" w:rsidRDefault="00525419">
            <w:pPr>
              <w:spacing w:line="240" w:lineRule="atLeast"/>
              <w:rPr>
                <w:rFonts w:ascii="Times New Roman" w:hAnsi="Times New Roman"/>
                <w:szCs w:val="21"/>
              </w:rPr>
            </w:pPr>
          </w:p>
        </w:tc>
        <w:tc>
          <w:tcPr>
            <w:tcW w:w="1499" w:type="dxa"/>
            <w:vMerge/>
            <w:tcBorders>
              <w:tl2br w:val="nil"/>
              <w:tr2bl w:val="nil"/>
            </w:tcBorders>
            <w:vAlign w:val="center"/>
          </w:tcPr>
          <w:p w:rsidR="00525419" w:rsidRDefault="00525419">
            <w:pPr>
              <w:spacing w:line="240" w:lineRule="atLeast"/>
              <w:rPr>
                <w:rFonts w:ascii="Times New Roman" w:hAnsi="Times New Roman"/>
                <w:szCs w:val="21"/>
              </w:rPr>
            </w:pPr>
          </w:p>
        </w:tc>
      </w:tr>
      <w:tr w:rsidR="00525419">
        <w:trPr>
          <w:cantSplit/>
          <w:trHeight w:val="147"/>
          <w:jc w:val="center"/>
        </w:trPr>
        <w:tc>
          <w:tcPr>
            <w:tcW w:w="1111" w:type="dxa"/>
            <w:vMerge/>
            <w:tcBorders>
              <w:tl2br w:val="nil"/>
              <w:tr2bl w:val="nil"/>
            </w:tcBorders>
            <w:vAlign w:val="center"/>
          </w:tcPr>
          <w:p w:rsidR="00525419" w:rsidRDefault="00525419">
            <w:pPr>
              <w:spacing w:line="240" w:lineRule="atLeast"/>
              <w:rPr>
                <w:rFonts w:ascii="Times New Roman" w:hAnsi="Times New Roman"/>
                <w:kern w:val="0"/>
                <w:szCs w:val="21"/>
              </w:rPr>
            </w:pPr>
          </w:p>
        </w:tc>
        <w:tc>
          <w:tcPr>
            <w:tcW w:w="1223" w:type="dxa"/>
            <w:vMerge/>
            <w:tcBorders>
              <w:tl2br w:val="nil"/>
              <w:tr2bl w:val="nil"/>
            </w:tcBorders>
            <w:vAlign w:val="center"/>
          </w:tcPr>
          <w:p w:rsidR="00525419" w:rsidRDefault="00525419">
            <w:pPr>
              <w:spacing w:line="240" w:lineRule="atLeast"/>
              <w:rPr>
                <w:rFonts w:ascii="Times New Roman" w:hAnsi="Times New Roman"/>
                <w:kern w:val="0"/>
                <w:szCs w:val="21"/>
              </w:rPr>
            </w:pPr>
          </w:p>
        </w:tc>
        <w:tc>
          <w:tcPr>
            <w:tcW w:w="1508"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柴油</w:t>
            </w:r>
          </w:p>
        </w:tc>
        <w:tc>
          <w:tcPr>
            <w:tcW w:w="1809"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14.706</w:t>
            </w:r>
          </w:p>
        </w:tc>
        <w:tc>
          <w:tcPr>
            <w:tcW w:w="1364" w:type="dxa"/>
            <w:vMerge/>
            <w:tcBorders>
              <w:tl2br w:val="nil"/>
              <w:tr2bl w:val="nil"/>
            </w:tcBorders>
            <w:vAlign w:val="center"/>
          </w:tcPr>
          <w:p w:rsidR="00525419" w:rsidRDefault="00525419">
            <w:pPr>
              <w:spacing w:line="240" w:lineRule="atLeast"/>
              <w:rPr>
                <w:rFonts w:ascii="Times New Roman" w:hAnsi="Times New Roman"/>
                <w:szCs w:val="21"/>
              </w:rPr>
            </w:pPr>
          </w:p>
        </w:tc>
        <w:tc>
          <w:tcPr>
            <w:tcW w:w="1499" w:type="dxa"/>
            <w:vMerge/>
            <w:tcBorders>
              <w:tl2br w:val="nil"/>
              <w:tr2bl w:val="nil"/>
            </w:tcBorders>
            <w:vAlign w:val="center"/>
          </w:tcPr>
          <w:p w:rsidR="00525419" w:rsidRDefault="00525419">
            <w:pPr>
              <w:spacing w:line="240" w:lineRule="atLeast"/>
              <w:rPr>
                <w:rFonts w:ascii="Times New Roman" w:hAnsi="Times New Roman"/>
                <w:szCs w:val="21"/>
              </w:rPr>
            </w:pPr>
          </w:p>
        </w:tc>
      </w:tr>
      <w:tr w:rsidR="00525419">
        <w:trPr>
          <w:cantSplit/>
          <w:trHeight w:val="279"/>
          <w:jc w:val="center"/>
        </w:trPr>
        <w:tc>
          <w:tcPr>
            <w:tcW w:w="1111" w:type="dxa"/>
            <w:vMerge/>
            <w:tcBorders>
              <w:tl2br w:val="nil"/>
              <w:tr2bl w:val="nil"/>
            </w:tcBorders>
            <w:vAlign w:val="center"/>
          </w:tcPr>
          <w:p w:rsidR="00525419" w:rsidRDefault="00525419">
            <w:pPr>
              <w:spacing w:line="240" w:lineRule="atLeast"/>
              <w:rPr>
                <w:rFonts w:ascii="Times New Roman" w:hAnsi="Times New Roman"/>
                <w:kern w:val="0"/>
                <w:szCs w:val="21"/>
              </w:rPr>
            </w:pPr>
          </w:p>
        </w:tc>
        <w:tc>
          <w:tcPr>
            <w:tcW w:w="1223" w:type="dxa"/>
            <w:vMerge/>
            <w:tcBorders>
              <w:tl2br w:val="nil"/>
              <w:tr2bl w:val="nil"/>
            </w:tcBorders>
            <w:vAlign w:val="center"/>
          </w:tcPr>
          <w:p w:rsidR="00525419" w:rsidRDefault="00525419">
            <w:pPr>
              <w:spacing w:line="240" w:lineRule="atLeast"/>
              <w:rPr>
                <w:rFonts w:ascii="Times New Roman" w:hAnsi="Times New Roman"/>
                <w:kern w:val="0"/>
                <w:szCs w:val="21"/>
              </w:rPr>
            </w:pPr>
          </w:p>
        </w:tc>
        <w:tc>
          <w:tcPr>
            <w:tcW w:w="1508"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尾油</w:t>
            </w:r>
          </w:p>
        </w:tc>
        <w:tc>
          <w:tcPr>
            <w:tcW w:w="1809"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0.8</w:t>
            </w:r>
          </w:p>
        </w:tc>
        <w:tc>
          <w:tcPr>
            <w:tcW w:w="1364" w:type="dxa"/>
            <w:vMerge/>
            <w:tcBorders>
              <w:tl2br w:val="nil"/>
              <w:tr2bl w:val="nil"/>
            </w:tcBorders>
            <w:vAlign w:val="center"/>
          </w:tcPr>
          <w:p w:rsidR="00525419" w:rsidRDefault="00525419">
            <w:pPr>
              <w:spacing w:line="240" w:lineRule="atLeast"/>
              <w:rPr>
                <w:rFonts w:ascii="Times New Roman" w:hAnsi="Times New Roman"/>
                <w:szCs w:val="21"/>
              </w:rPr>
            </w:pPr>
          </w:p>
        </w:tc>
        <w:tc>
          <w:tcPr>
            <w:tcW w:w="1499" w:type="dxa"/>
            <w:vMerge/>
            <w:tcBorders>
              <w:tl2br w:val="nil"/>
              <w:tr2bl w:val="nil"/>
            </w:tcBorders>
            <w:vAlign w:val="center"/>
          </w:tcPr>
          <w:p w:rsidR="00525419" w:rsidRDefault="00525419">
            <w:pPr>
              <w:spacing w:line="240" w:lineRule="atLeast"/>
              <w:rPr>
                <w:rFonts w:ascii="Times New Roman" w:hAnsi="Times New Roman"/>
                <w:szCs w:val="21"/>
              </w:rPr>
            </w:pPr>
          </w:p>
        </w:tc>
      </w:tr>
      <w:tr w:rsidR="00525419">
        <w:trPr>
          <w:cantSplit/>
          <w:trHeight w:val="279"/>
          <w:jc w:val="center"/>
        </w:trPr>
        <w:tc>
          <w:tcPr>
            <w:tcW w:w="1111"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小计</w:t>
            </w:r>
          </w:p>
        </w:tc>
        <w:tc>
          <w:tcPr>
            <w:tcW w:w="1223"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61.066</w:t>
            </w:r>
          </w:p>
        </w:tc>
        <w:tc>
          <w:tcPr>
            <w:tcW w:w="1508"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小计</w:t>
            </w:r>
          </w:p>
        </w:tc>
        <w:tc>
          <w:tcPr>
            <w:tcW w:w="1809"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41.674</w:t>
            </w:r>
          </w:p>
        </w:tc>
        <w:tc>
          <w:tcPr>
            <w:tcW w:w="1364"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小计</w:t>
            </w:r>
          </w:p>
        </w:tc>
        <w:tc>
          <w:tcPr>
            <w:tcW w:w="149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19.392</w:t>
            </w:r>
          </w:p>
        </w:tc>
      </w:tr>
    </w:tbl>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3.4.4.2</w:t>
      </w:r>
      <w:r>
        <w:rPr>
          <w:rFonts w:ascii="Times New Roman" w:hAnsi="Times New Roman" w:cs="Times New Roman"/>
          <w:sz w:val="24"/>
        </w:rPr>
        <w:t>变更后本项目</w:t>
      </w:r>
      <w:r>
        <w:rPr>
          <w:rFonts w:ascii="Times New Roman" w:hAnsi="Times New Roman" w:cs="Times New Roman"/>
          <w:kern w:val="44"/>
          <w:sz w:val="24"/>
          <w:szCs w:val="24"/>
        </w:rPr>
        <w:t>物料平衡</w:t>
      </w:r>
    </w:p>
    <w:p w:rsidR="00525419" w:rsidRDefault="00EE1CF7">
      <w:pPr>
        <w:pStyle w:val="afffe"/>
        <w:adjustRightInd w:val="0"/>
        <w:spacing w:after="0" w:line="360" w:lineRule="auto"/>
        <w:ind w:firstLineChars="200" w:firstLine="480"/>
        <w:rPr>
          <w:sz w:val="24"/>
        </w:rPr>
      </w:pPr>
      <w:r>
        <w:rPr>
          <w:sz w:val="24"/>
        </w:rPr>
        <w:t>变更后本项目物料平衡见表</w:t>
      </w:r>
      <w:r>
        <w:rPr>
          <w:sz w:val="24"/>
        </w:rPr>
        <w:t>3.5-19</w:t>
      </w:r>
      <w:r>
        <w:rPr>
          <w:sz w:val="24"/>
        </w:rPr>
        <w:t>。</w:t>
      </w:r>
    </w:p>
    <w:p w:rsidR="00525419" w:rsidRDefault="00EE1CF7">
      <w:pPr>
        <w:pStyle w:val="3a"/>
        <w:spacing w:beforeLines="50" w:before="159" w:after="156" w:line="360" w:lineRule="auto"/>
        <w:jc w:val="left"/>
        <w:rPr>
          <w:rFonts w:ascii="Times New Roman" w:eastAsia="华文楷体" w:hAnsi="Times New Roman"/>
        </w:rPr>
      </w:pPr>
      <w:r>
        <w:rPr>
          <w:rFonts w:ascii="Times New Roman" w:eastAsia="华文楷体" w:hAnsi="Times New Roman"/>
        </w:rPr>
        <w:t>3.4.5</w:t>
      </w:r>
      <w:r>
        <w:rPr>
          <w:rFonts w:ascii="Times New Roman" w:eastAsia="华文楷体" w:hAnsi="Times New Roman"/>
        </w:rPr>
        <w:t>变更前后污染物排放情况</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3.4.5.1</w:t>
      </w:r>
      <w:r>
        <w:rPr>
          <w:rFonts w:ascii="Times New Roman" w:hAnsi="Times New Roman" w:cs="Times New Roman"/>
          <w:kern w:val="44"/>
          <w:sz w:val="24"/>
          <w:szCs w:val="24"/>
        </w:rPr>
        <w:t>变更前污染物排放情况</w:t>
      </w:r>
    </w:p>
    <w:p w:rsidR="00525419" w:rsidRDefault="00EE1CF7">
      <w:pPr>
        <w:pStyle w:val="afffff2"/>
        <w:rPr>
          <w:color w:val="auto"/>
          <w:kern w:val="2"/>
        </w:rPr>
      </w:pPr>
      <w:r>
        <w:rPr>
          <w:color w:val="auto"/>
          <w:kern w:val="2"/>
        </w:rPr>
        <w:t>变更前三废排放汇总见表</w:t>
      </w:r>
      <w:r>
        <w:rPr>
          <w:color w:val="auto"/>
          <w:kern w:val="2"/>
        </w:rPr>
        <w:t>3.4-8</w:t>
      </w:r>
      <w:r>
        <w:rPr>
          <w:color w:val="auto"/>
          <w:kern w:val="2"/>
        </w:rPr>
        <w:t>。</w:t>
      </w:r>
    </w:p>
    <w:p w:rsidR="00525419" w:rsidRDefault="00EE1CF7">
      <w:pPr>
        <w:spacing w:line="240" w:lineRule="atLeast"/>
        <w:ind w:firstLineChars="1300" w:firstLine="2730"/>
        <w:rPr>
          <w:rFonts w:ascii="Times New Roman" w:eastAsia="黑体" w:hAnsi="Times New Roman"/>
          <w:szCs w:val="21"/>
        </w:rPr>
      </w:pPr>
      <w:r>
        <w:rPr>
          <w:rFonts w:ascii="Times New Roman" w:eastAsia="黑体" w:hAnsi="Times New Roman"/>
          <w:szCs w:val="21"/>
        </w:rPr>
        <w:lastRenderedPageBreak/>
        <w:t>表</w:t>
      </w:r>
      <w:r>
        <w:rPr>
          <w:rFonts w:ascii="Times New Roman" w:eastAsia="黑体" w:hAnsi="Times New Roman"/>
          <w:szCs w:val="21"/>
        </w:rPr>
        <w:t>3.4-8</w:t>
      </w:r>
      <w:r>
        <w:rPr>
          <w:rFonts w:ascii="Times New Roman" w:eastAsia="黑体" w:hAnsi="Times New Roman"/>
          <w:szCs w:val="21"/>
        </w:rPr>
        <w:t xml:space="preserve">　　变更前三废排放汇总一览表</w:t>
      </w:r>
    </w:p>
    <w:tbl>
      <w:tblPr>
        <w:tblW w:w="8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44"/>
        <w:gridCol w:w="2606"/>
        <w:gridCol w:w="1714"/>
        <w:gridCol w:w="1620"/>
        <w:gridCol w:w="1455"/>
      </w:tblGrid>
      <w:tr w:rsidR="00525419">
        <w:trPr>
          <w:trHeight w:val="308"/>
          <w:tblHeader/>
          <w:jc w:val="center"/>
        </w:trPr>
        <w:tc>
          <w:tcPr>
            <w:tcW w:w="1244"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类别</w:t>
            </w:r>
          </w:p>
        </w:tc>
        <w:tc>
          <w:tcPr>
            <w:tcW w:w="2606"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项目</w:t>
            </w:r>
          </w:p>
        </w:tc>
        <w:tc>
          <w:tcPr>
            <w:tcW w:w="1714"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单位</w:t>
            </w:r>
          </w:p>
        </w:tc>
        <w:tc>
          <w:tcPr>
            <w:tcW w:w="1620"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产生量</w:t>
            </w:r>
          </w:p>
        </w:tc>
        <w:tc>
          <w:tcPr>
            <w:tcW w:w="1455"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排放量</w:t>
            </w:r>
          </w:p>
        </w:tc>
      </w:tr>
      <w:tr w:rsidR="00525419">
        <w:trPr>
          <w:cantSplit/>
          <w:trHeight w:val="265"/>
          <w:jc w:val="center"/>
        </w:trPr>
        <w:tc>
          <w:tcPr>
            <w:tcW w:w="1244" w:type="dxa"/>
            <w:vMerge w:val="restart"/>
            <w:tcBorders>
              <w:tl2br w:val="nil"/>
              <w:tr2bl w:val="nil"/>
            </w:tcBorders>
            <w:vAlign w:val="center"/>
          </w:tcPr>
          <w:p w:rsidR="00525419" w:rsidRDefault="00EE1CF7">
            <w:pPr>
              <w:pStyle w:val="afffe"/>
              <w:spacing w:after="0" w:line="240" w:lineRule="atLeast"/>
              <w:ind w:firstLineChars="0" w:firstLine="0"/>
              <w:rPr>
                <w:szCs w:val="21"/>
              </w:rPr>
            </w:pPr>
            <w:r>
              <w:rPr>
                <w:szCs w:val="21"/>
              </w:rPr>
              <w:t>废气</w:t>
            </w:r>
          </w:p>
        </w:tc>
        <w:tc>
          <w:tcPr>
            <w:tcW w:w="2606"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有组织废气排放量</w:t>
            </w:r>
          </w:p>
        </w:tc>
        <w:tc>
          <w:tcPr>
            <w:tcW w:w="1714"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万</w:t>
            </w:r>
            <w:r>
              <w:rPr>
                <w:szCs w:val="21"/>
              </w:rPr>
              <w:t>Nm</w:t>
            </w:r>
            <w:r>
              <w:rPr>
                <w:szCs w:val="21"/>
                <w:vertAlign w:val="superscript"/>
              </w:rPr>
              <w:t>3</w:t>
            </w:r>
            <w:r>
              <w:rPr>
                <w:szCs w:val="21"/>
              </w:rPr>
              <w:t>/a</w:t>
            </w:r>
          </w:p>
        </w:tc>
        <w:tc>
          <w:tcPr>
            <w:tcW w:w="1620"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116696</w:t>
            </w:r>
          </w:p>
        </w:tc>
        <w:tc>
          <w:tcPr>
            <w:tcW w:w="1455"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116696</w:t>
            </w:r>
          </w:p>
        </w:tc>
      </w:tr>
      <w:tr w:rsidR="00525419">
        <w:trPr>
          <w:cantSplit/>
          <w:trHeight w:hRule="exact" w:val="312"/>
          <w:jc w:val="center"/>
        </w:trPr>
        <w:tc>
          <w:tcPr>
            <w:tcW w:w="1244" w:type="dxa"/>
            <w:vMerge/>
            <w:tcBorders>
              <w:tl2br w:val="nil"/>
              <w:tr2bl w:val="nil"/>
            </w:tcBorders>
            <w:vAlign w:val="center"/>
          </w:tcPr>
          <w:p w:rsidR="00525419" w:rsidRDefault="00525419">
            <w:pPr>
              <w:pStyle w:val="afffe"/>
              <w:spacing w:after="0" w:line="240" w:lineRule="atLeast"/>
              <w:ind w:firstLineChars="0" w:firstLine="0"/>
              <w:rPr>
                <w:szCs w:val="21"/>
              </w:rPr>
            </w:pPr>
          </w:p>
        </w:tc>
        <w:tc>
          <w:tcPr>
            <w:tcW w:w="2606"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烟尘</w:t>
            </w:r>
          </w:p>
        </w:tc>
        <w:tc>
          <w:tcPr>
            <w:tcW w:w="1714"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t/a</w:t>
            </w:r>
          </w:p>
        </w:tc>
        <w:tc>
          <w:tcPr>
            <w:tcW w:w="1620"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10.71</w:t>
            </w:r>
          </w:p>
        </w:tc>
        <w:tc>
          <w:tcPr>
            <w:tcW w:w="1455"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10.71</w:t>
            </w:r>
          </w:p>
        </w:tc>
      </w:tr>
      <w:tr w:rsidR="00525419">
        <w:trPr>
          <w:cantSplit/>
          <w:trHeight w:hRule="exact" w:val="278"/>
          <w:jc w:val="center"/>
        </w:trPr>
        <w:tc>
          <w:tcPr>
            <w:tcW w:w="1244" w:type="dxa"/>
            <w:vMerge/>
            <w:tcBorders>
              <w:tl2br w:val="nil"/>
              <w:tr2bl w:val="nil"/>
            </w:tcBorders>
            <w:vAlign w:val="center"/>
          </w:tcPr>
          <w:p w:rsidR="00525419" w:rsidRDefault="00525419">
            <w:pPr>
              <w:pStyle w:val="afffe"/>
              <w:spacing w:after="0" w:line="240" w:lineRule="atLeast"/>
              <w:ind w:firstLineChars="0" w:firstLine="0"/>
              <w:rPr>
                <w:szCs w:val="21"/>
              </w:rPr>
            </w:pPr>
          </w:p>
        </w:tc>
        <w:tc>
          <w:tcPr>
            <w:tcW w:w="2606"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NO</w:t>
            </w:r>
            <w:r>
              <w:rPr>
                <w:szCs w:val="21"/>
                <w:vertAlign w:val="subscript"/>
              </w:rPr>
              <w:t>x</w:t>
            </w:r>
          </w:p>
        </w:tc>
        <w:tc>
          <w:tcPr>
            <w:tcW w:w="1714"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t/a</w:t>
            </w:r>
          </w:p>
        </w:tc>
        <w:tc>
          <w:tcPr>
            <w:tcW w:w="1620"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99.23</w:t>
            </w:r>
          </w:p>
        </w:tc>
        <w:tc>
          <w:tcPr>
            <w:tcW w:w="1455"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99.23</w:t>
            </w:r>
          </w:p>
        </w:tc>
      </w:tr>
      <w:tr w:rsidR="00525419">
        <w:trPr>
          <w:cantSplit/>
          <w:trHeight w:hRule="exact" w:val="314"/>
          <w:jc w:val="center"/>
        </w:trPr>
        <w:tc>
          <w:tcPr>
            <w:tcW w:w="1244" w:type="dxa"/>
            <w:vMerge/>
            <w:tcBorders>
              <w:tl2br w:val="nil"/>
              <w:tr2bl w:val="nil"/>
            </w:tcBorders>
            <w:vAlign w:val="center"/>
          </w:tcPr>
          <w:p w:rsidR="00525419" w:rsidRDefault="00525419">
            <w:pPr>
              <w:pStyle w:val="afffe"/>
              <w:spacing w:after="0" w:line="240" w:lineRule="atLeast"/>
              <w:ind w:firstLineChars="0" w:firstLine="0"/>
              <w:rPr>
                <w:szCs w:val="21"/>
              </w:rPr>
            </w:pPr>
          </w:p>
        </w:tc>
        <w:tc>
          <w:tcPr>
            <w:tcW w:w="2606"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SO</w:t>
            </w:r>
            <w:r>
              <w:rPr>
                <w:szCs w:val="21"/>
                <w:vertAlign w:val="subscript"/>
              </w:rPr>
              <w:t>2</w:t>
            </w:r>
          </w:p>
        </w:tc>
        <w:tc>
          <w:tcPr>
            <w:tcW w:w="1714"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t/a</w:t>
            </w:r>
          </w:p>
        </w:tc>
        <w:tc>
          <w:tcPr>
            <w:tcW w:w="1620"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30.758</w:t>
            </w:r>
          </w:p>
        </w:tc>
        <w:tc>
          <w:tcPr>
            <w:tcW w:w="1455"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30.758</w:t>
            </w:r>
          </w:p>
        </w:tc>
      </w:tr>
      <w:tr w:rsidR="00525419">
        <w:trPr>
          <w:cantSplit/>
          <w:trHeight w:val="205"/>
          <w:jc w:val="center"/>
        </w:trPr>
        <w:tc>
          <w:tcPr>
            <w:tcW w:w="1244" w:type="dxa"/>
            <w:vMerge/>
            <w:tcBorders>
              <w:tl2br w:val="nil"/>
              <w:tr2bl w:val="nil"/>
            </w:tcBorders>
            <w:vAlign w:val="center"/>
          </w:tcPr>
          <w:p w:rsidR="00525419" w:rsidRDefault="00525419">
            <w:pPr>
              <w:pStyle w:val="afffe"/>
              <w:spacing w:after="0" w:line="240" w:lineRule="atLeast"/>
              <w:ind w:firstLineChars="0" w:firstLine="0"/>
              <w:rPr>
                <w:szCs w:val="21"/>
              </w:rPr>
            </w:pPr>
          </w:p>
        </w:tc>
        <w:tc>
          <w:tcPr>
            <w:tcW w:w="2606"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VOCs</w:t>
            </w:r>
            <w:r>
              <w:rPr>
                <w:szCs w:val="21"/>
              </w:rPr>
              <w:t>（以非甲烷总烃计）</w:t>
            </w:r>
          </w:p>
        </w:tc>
        <w:tc>
          <w:tcPr>
            <w:tcW w:w="1714"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t/a</w:t>
            </w:r>
          </w:p>
        </w:tc>
        <w:tc>
          <w:tcPr>
            <w:tcW w:w="1620"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60.35</w:t>
            </w:r>
          </w:p>
        </w:tc>
        <w:tc>
          <w:tcPr>
            <w:tcW w:w="1455"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60.35</w:t>
            </w:r>
          </w:p>
        </w:tc>
      </w:tr>
      <w:tr w:rsidR="00525419">
        <w:trPr>
          <w:cantSplit/>
          <w:trHeight w:hRule="exact" w:val="278"/>
          <w:jc w:val="center"/>
        </w:trPr>
        <w:tc>
          <w:tcPr>
            <w:tcW w:w="1244" w:type="dxa"/>
            <w:vMerge w:val="restart"/>
            <w:tcBorders>
              <w:tl2br w:val="nil"/>
              <w:tr2bl w:val="nil"/>
            </w:tcBorders>
            <w:vAlign w:val="center"/>
          </w:tcPr>
          <w:p w:rsidR="00525419" w:rsidRDefault="00EE1CF7">
            <w:pPr>
              <w:pStyle w:val="afffe"/>
              <w:spacing w:after="0" w:line="240" w:lineRule="atLeast"/>
              <w:ind w:firstLineChars="0" w:firstLine="0"/>
              <w:rPr>
                <w:szCs w:val="21"/>
              </w:rPr>
            </w:pPr>
            <w:r>
              <w:rPr>
                <w:szCs w:val="21"/>
              </w:rPr>
              <w:t>废水</w:t>
            </w:r>
          </w:p>
        </w:tc>
        <w:tc>
          <w:tcPr>
            <w:tcW w:w="2606"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废水产生量</w:t>
            </w:r>
          </w:p>
        </w:tc>
        <w:tc>
          <w:tcPr>
            <w:tcW w:w="1714"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万</w:t>
            </w:r>
            <w:r>
              <w:rPr>
                <w:szCs w:val="21"/>
              </w:rPr>
              <w:t>m</w:t>
            </w:r>
            <w:r>
              <w:rPr>
                <w:szCs w:val="21"/>
                <w:vertAlign w:val="superscript"/>
              </w:rPr>
              <w:t>3</w:t>
            </w:r>
            <w:r>
              <w:rPr>
                <w:szCs w:val="21"/>
              </w:rPr>
              <w:t>/a</w:t>
            </w:r>
          </w:p>
        </w:tc>
        <w:tc>
          <w:tcPr>
            <w:tcW w:w="1620"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40.4</w:t>
            </w:r>
          </w:p>
        </w:tc>
        <w:tc>
          <w:tcPr>
            <w:tcW w:w="1455"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0</w:t>
            </w:r>
          </w:p>
        </w:tc>
      </w:tr>
      <w:tr w:rsidR="00525419">
        <w:trPr>
          <w:cantSplit/>
          <w:trHeight w:val="261"/>
          <w:jc w:val="center"/>
        </w:trPr>
        <w:tc>
          <w:tcPr>
            <w:tcW w:w="1244" w:type="dxa"/>
            <w:vMerge/>
            <w:tcBorders>
              <w:tl2br w:val="nil"/>
              <w:tr2bl w:val="nil"/>
            </w:tcBorders>
            <w:vAlign w:val="center"/>
          </w:tcPr>
          <w:p w:rsidR="00525419" w:rsidRDefault="00525419">
            <w:pPr>
              <w:pStyle w:val="afffe"/>
              <w:spacing w:after="0" w:line="240" w:lineRule="atLeast"/>
              <w:ind w:firstLineChars="0" w:firstLine="0"/>
              <w:rPr>
                <w:szCs w:val="21"/>
              </w:rPr>
            </w:pPr>
          </w:p>
        </w:tc>
        <w:tc>
          <w:tcPr>
            <w:tcW w:w="2606"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COD</w:t>
            </w:r>
          </w:p>
        </w:tc>
        <w:tc>
          <w:tcPr>
            <w:tcW w:w="1714"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t/a</w:t>
            </w:r>
          </w:p>
        </w:tc>
        <w:tc>
          <w:tcPr>
            <w:tcW w:w="1620"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5776</w:t>
            </w:r>
          </w:p>
        </w:tc>
        <w:tc>
          <w:tcPr>
            <w:tcW w:w="1455"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0</w:t>
            </w:r>
          </w:p>
        </w:tc>
      </w:tr>
      <w:tr w:rsidR="00525419">
        <w:trPr>
          <w:cantSplit/>
          <w:trHeight w:val="225"/>
          <w:jc w:val="center"/>
        </w:trPr>
        <w:tc>
          <w:tcPr>
            <w:tcW w:w="1244" w:type="dxa"/>
            <w:vMerge/>
            <w:tcBorders>
              <w:tl2br w:val="nil"/>
              <w:tr2bl w:val="nil"/>
            </w:tcBorders>
            <w:vAlign w:val="center"/>
          </w:tcPr>
          <w:p w:rsidR="00525419" w:rsidRDefault="00525419">
            <w:pPr>
              <w:pStyle w:val="afffe"/>
              <w:spacing w:after="0" w:line="240" w:lineRule="atLeast"/>
              <w:ind w:firstLineChars="0" w:firstLine="0"/>
              <w:rPr>
                <w:szCs w:val="21"/>
              </w:rPr>
            </w:pPr>
          </w:p>
        </w:tc>
        <w:tc>
          <w:tcPr>
            <w:tcW w:w="2606"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氨氮</w:t>
            </w:r>
          </w:p>
        </w:tc>
        <w:tc>
          <w:tcPr>
            <w:tcW w:w="1714"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t/a</w:t>
            </w:r>
          </w:p>
        </w:tc>
        <w:tc>
          <w:tcPr>
            <w:tcW w:w="1620"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616</w:t>
            </w:r>
          </w:p>
        </w:tc>
        <w:tc>
          <w:tcPr>
            <w:tcW w:w="1455"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0</w:t>
            </w:r>
          </w:p>
        </w:tc>
      </w:tr>
      <w:tr w:rsidR="00525419">
        <w:trPr>
          <w:cantSplit/>
          <w:trHeight w:val="181"/>
          <w:jc w:val="center"/>
        </w:trPr>
        <w:tc>
          <w:tcPr>
            <w:tcW w:w="1244" w:type="dxa"/>
            <w:vMerge/>
            <w:tcBorders>
              <w:tl2br w:val="nil"/>
              <w:tr2bl w:val="nil"/>
            </w:tcBorders>
            <w:vAlign w:val="center"/>
          </w:tcPr>
          <w:p w:rsidR="00525419" w:rsidRDefault="00525419">
            <w:pPr>
              <w:pStyle w:val="afffe"/>
              <w:spacing w:after="0" w:line="240" w:lineRule="atLeast"/>
              <w:ind w:firstLineChars="0" w:firstLine="0"/>
              <w:rPr>
                <w:szCs w:val="21"/>
              </w:rPr>
            </w:pPr>
          </w:p>
        </w:tc>
        <w:tc>
          <w:tcPr>
            <w:tcW w:w="2606"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石油类</w:t>
            </w:r>
          </w:p>
        </w:tc>
        <w:tc>
          <w:tcPr>
            <w:tcW w:w="1714"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t/a</w:t>
            </w:r>
          </w:p>
        </w:tc>
        <w:tc>
          <w:tcPr>
            <w:tcW w:w="1620"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82.4</w:t>
            </w:r>
          </w:p>
        </w:tc>
        <w:tc>
          <w:tcPr>
            <w:tcW w:w="1455"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0</w:t>
            </w:r>
          </w:p>
        </w:tc>
      </w:tr>
      <w:tr w:rsidR="00525419">
        <w:trPr>
          <w:cantSplit/>
          <w:trHeight w:val="174"/>
          <w:jc w:val="center"/>
        </w:trPr>
        <w:tc>
          <w:tcPr>
            <w:tcW w:w="1244" w:type="dxa"/>
            <w:vMerge w:val="restart"/>
            <w:tcBorders>
              <w:tl2br w:val="nil"/>
              <w:tr2bl w:val="nil"/>
            </w:tcBorders>
            <w:vAlign w:val="center"/>
          </w:tcPr>
          <w:p w:rsidR="00525419" w:rsidRDefault="00EE1CF7">
            <w:pPr>
              <w:pStyle w:val="afffe"/>
              <w:spacing w:after="0" w:line="240" w:lineRule="atLeast"/>
              <w:ind w:firstLineChars="0" w:firstLine="0"/>
              <w:rPr>
                <w:szCs w:val="21"/>
              </w:rPr>
            </w:pPr>
            <w:r>
              <w:rPr>
                <w:szCs w:val="21"/>
              </w:rPr>
              <w:t>固废</w:t>
            </w:r>
          </w:p>
        </w:tc>
        <w:tc>
          <w:tcPr>
            <w:tcW w:w="26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工业固体废物</w:t>
            </w:r>
          </w:p>
        </w:tc>
        <w:tc>
          <w:tcPr>
            <w:tcW w:w="1714"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t/a</w:t>
            </w:r>
          </w:p>
        </w:tc>
        <w:tc>
          <w:tcPr>
            <w:tcW w:w="1620"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147.124</w:t>
            </w:r>
          </w:p>
        </w:tc>
        <w:tc>
          <w:tcPr>
            <w:tcW w:w="1455"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0</w:t>
            </w:r>
          </w:p>
        </w:tc>
      </w:tr>
      <w:tr w:rsidR="00525419">
        <w:trPr>
          <w:cantSplit/>
          <w:trHeight w:hRule="exact" w:val="295"/>
          <w:jc w:val="center"/>
        </w:trPr>
        <w:tc>
          <w:tcPr>
            <w:tcW w:w="1244" w:type="dxa"/>
            <w:vMerge/>
            <w:tcBorders>
              <w:tl2br w:val="nil"/>
              <w:tr2bl w:val="nil"/>
            </w:tcBorders>
            <w:vAlign w:val="center"/>
          </w:tcPr>
          <w:p w:rsidR="00525419" w:rsidRDefault="00525419">
            <w:pPr>
              <w:pStyle w:val="afffe"/>
              <w:spacing w:after="0" w:line="240" w:lineRule="atLeast"/>
              <w:ind w:firstLineChars="0" w:firstLine="0"/>
              <w:rPr>
                <w:szCs w:val="21"/>
              </w:rPr>
            </w:pPr>
          </w:p>
        </w:tc>
        <w:tc>
          <w:tcPr>
            <w:tcW w:w="26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生活垃圾</w:t>
            </w:r>
          </w:p>
        </w:tc>
        <w:tc>
          <w:tcPr>
            <w:tcW w:w="1714"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t/a</w:t>
            </w:r>
          </w:p>
        </w:tc>
        <w:tc>
          <w:tcPr>
            <w:tcW w:w="1620"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28.5</w:t>
            </w:r>
          </w:p>
        </w:tc>
        <w:tc>
          <w:tcPr>
            <w:tcW w:w="1455" w:type="dxa"/>
            <w:tcBorders>
              <w:tl2br w:val="nil"/>
              <w:tr2bl w:val="nil"/>
            </w:tcBorders>
            <w:vAlign w:val="center"/>
          </w:tcPr>
          <w:p w:rsidR="00525419" w:rsidRDefault="00EE1CF7">
            <w:pPr>
              <w:pStyle w:val="afffe"/>
              <w:spacing w:after="0" w:line="240" w:lineRule="atLeast"/>
              <w:ind w:firstLineChars="0" w:firstLine="0"/>
              <w:rPr>
                <w:szCs w:val="21"/>
              </w:rPr>
            </w:pPr>
            <w:r>
              <w:rPr>
                <w:szCs w:val="21"/>
              </w:rPr>
              <w:t>28.5</w:t>
            </w:r>
          </w:p>
        </w:tc>
      </w:tr>
    </w:tbl>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3.4.5.2</w:t>
      </w:r>
      <w:r>
        <w:rPr>
          <w:rFonts w:ascii="Times New Roman" w:hAnsi="Times New Roman" w:cs="Times New Roman"/>
          <w:sz w:val="24"/>
        </w:rPr>
        <w:t>变更后本项目</w:t>
      </w:r>
      <w:r>
        <w:rPr>
          <w:rFonts w:ascii="Times New Roman" w:hAnsi="Times New Roman" w:cs="Times New Roman"/>
          <w:kern w:val="44"/>
          <w:sz w:val="24"/>
          <w:szCs w:val="24"/>
        </w:rPr>
        <w:t>污染物排放情况</w:t>
      </w:r>
    </w:p>
    <w:p w:rsidR="00525419" w:rsidRDefault="00EE1CF7">
      <w:pPr>
        <w:pStyle w:val="afffff2"/>
        <w:rPr>
          <w:color w:val="auto"/>
          <w:kern w:val="2"/>
        </w:rPr>
      </w:pPr>
      <w:r>
        <w:rPr>
          <w:color w:val="auto"/>
        </w:rPr>
        <w:t>变更后本项目</w:t>
      </w:r>
      <w:r>
        <w:rPr>
          <w:color w:val="auto"/>
          <w:kern w:val="2"/>
        </w:rPr>
        <w:t>三废排放汇总见表</w:t>
      </w:r>
      <w:r>
        <w:rPr>
          <w:color w:val="auto"/>
          <w:kern w:val="2"/>
        </w:rPr>
        <w:t>3.7-14</w:t>
      </w:r>
      <w:r>
        <w:rPr>
          <w:color w:val="auto"/>
          <w:kern w:val="2"/>
        </w:rPr>
        <w:t>。</w:t>
      </w:r>
    </w:p>
    <w:p w:rsidR="00525419" w:rsidRDefault="00EE1CF7">
      <w:pPr>
        <w:pStyle w:val="2a"/>
        <w:spacing w:beforeLines="50" w:before="159" w:after="159"/>
        <w:ind w:left="578" w:hanging="578"/>
        <w:rPr>
          <w:rFonts w:ascii="Times New Roman" w:eastAsia="楷体_GB2312" w:hAnsi="Times New Roman"/>
          <w:sz w:val="36"/>
        </w:rPr>
      </w:pPr>
      <w:bookmarkStart w:id="60" w:name="_Toc6515"/>
      <w:r>
        <w:rPr>
          <w:rFonts w:ascii="Times New Roman" w:eastAsia="楷体_GB2312" w:hAnsi="Times New Roman"/>
          <w:sz w:val="36"/>
        </w:rPr>
        <w:t>3.5</w:t>
      </w:r>
      <w:r>
        <w:rPr>
          <w:rFonts w:ascii="Times New Roman" w:eastAsia="楷体_GB2312" w:hAnsi="Times New Roman"/>
          <w:sz w:val="36"/>
        </w:rPr>
        <w:t>变更后本项目生产工艺</w:t>
      </w:r>
      <w:bookmarkEnd w:id="60"/>
    </w:p>
    <w:p w:rsidR="00525419" w:rsidRDefault="00EE1CF7">
      <w:pPr>
        <w:pStyle w:val="3a"/>
        <w:spacing w:beforeLines="50" w:before="159" w:after="156" w:line="360" w:lineRule="auto"/>
        <w:jc w:val="left"/>
        <w:rPr>
          <w:rFonts w:ascii="Times New Roman" w:eastAsia="华文楷体" w:hAnsi="Times New Roman"/>
        </w:rPr>
      </w:pPr>
      <w:r>
        <w:rPr>
          <w:rFonts w:ascii="Times New Roman" w:eastAsia="华文楷体" w:hAnsi="Times New Roman"/>
        </w:rPr>
        <w:t>3.5.1</w:t>
      </w:r>
      <w:r>
        <w:rPr>
          <w:rFonts w:ascii="Times New Roman" w:eastAsia="华文楷体" w:hAnsi="Times New Roman"/>
        </w:rPr>
        <w:t>工艺路线与生产方案</w:t>
      </w:r>
    </w:p>
    <w:p w:rsidR="00525419" w:rsidRDefault="00EE1CF7">
      <w:pPr>
        <w:pStyle w:val="afffe"/>
        <w:adjustRightInd w:val="0"/>
        <w:spacing w:after="0" w:line="360" w:lineRule="auto"/>
        <w:ind w:firstLineChars="0" w:firstLine="0"/>
        <w:rPr>
          <w:b/>
          <w:bCs/>
          <w:sz w:val="24"/>
        </w:rPr>
      </w:pPr>
      <w:r>
        <w:rPr>
          <w:b/>
          <w:bCs/>
          <w:sz w:val="24"/>
        </w:rPr>
        <w:t>3.5.1.1</w:t>
      </w:r>
      <w:r>
        <w:rPr>
          <w:b/>
          <w:bCs/>
          <w:sz w:val="24"/>
        </w:rPr>
        <w:t>工艺方案</w:t>
      </w:r>
    </w:p>
    <w:p w:rsidR="00525419" w:rsidRDefault="00EE1CF7">
      <w:pPr>
        <w:pStyle w:val="afffe"/>
        <w:adjustRightInd w:val="0"/>
        <w:spacing w:after="0" w:line="360" w:lineRule="auto"/>
        <w:ind w:firstLineChars="200" w:firstLine="480"/>
        <w:rPr>
          <w:sz w:val="24"/>
        </w:rPr>
      </w:pPr>
      <w:r>
        <w:rPr>
          <w:sz w:val="24"/>
        </w:rPr>
        <w:t>本项目的主要装置设置、技术路线和主要功能见表</w:t>
      </w:r>
      <w:r>
        <w:rPr>
          <w:sz w:val="24"/>
        </w:rPr>
        <w:t>3.5-1</w:t>
      </w:r>
      <w:r>
        <w:rPr>
          <w:sz w:val="24"/>
        </w:rPr>
        <w:t>。</w:t>
      </w:r>
    </w:p>
    <w:p w:rsidR="00525419" w:rsidRDefault="00EE1CF7">
      <w:pPr>
        <w:pStyle w:val="afffe"/>
        <w:adjustRightInd w:val="0"/>
        <w:spacing w:after="0"/>
        <w:ind w:firstLineChars="1200" w:firstLine="2400"/>
        <w:rPr>
          <w:rFonts w:eastAsia="黑体"/>
          <w:szCs w:val="21"/>
        </w:rPr>
      </w:pPr>
      <w:r>
        <w:rPr>
          <w:rFonts w:eastAsia="黑体"/>
          <w:szCs w:val="21"/>
        </w:rPr>
        <w:t>表</w:t>
      </w:r>
      <w:r>
        <w:rPr>
          <w:rFonts w:eastAsia="黑体"/>
          <w:szCs w:val="21"/>
        </w:rPr>
        <w:t>3.5-1</w:t>
      </w:r>
      <w:r>
        <w:rPr>
          <w:rFonts w:eastAsia="黑体"/>
          <w:szCs w:val="21"/>
        </w:rPr>
        <w:t xml:space="preserve">　　主要生产装置及工艺方案</w:t>
      </w:r>
    </w:p>
    <w:tbl>
      <w:tblPr>
        <w:tblW w:w="85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7"/>
        <w:gridCol w:w="530"/>
        <w:gridCol w:w="1192"/>
        <w:gridCol w:w="3807"/>
        <w:gridCol w:w="2447"/>
      </w:tblGrid>
      <w:tr w:rsidR="00525419">
        <w:trPr>
          <w:trHeight w:val="269"/>
          <w:jc w:val="center"/>
        </w:trPr>
        <w:tc>
          <w:tcPr>
            <w:tcW w:w="537" w:type="dxa"/>
            <w:tcBorders>
              <w:tl2br w:val="nil"/>
              <w:tr2bl w:val="nil"/>
            </w:tcBorders>
            <w:vAlign w:val="center"/>
          </w:tcPr>
          <w:p w:rsidR="00525419" w:rsidRDefault="00EE1CF7">
            <w:pPr>
              <w:rPr>
                <w:rFonts w:ascii="Times New Roman" w:hAnsi="Times New Roman"/>
              </w:rPr>
            </w:pPr>
            <w:r>
              <w:rPr>
                <w:rFonts w:ascii="Times New Roman" w:hAnsi="Times New Roman"/>
              </w:rPr>
              <w:t>序号</w:t>
            </w:r>
          </w:p>
        </w:tc>
        <w:tc>
          <w:tcPr>
            <w:tcW w:w="1722" w:type="dxa"/>
            <w:gridSpan w:val="2"/>
            <w:tcBorders>
              <w:tl2br w:val="nil"/>
              <w:tr2bl w:val="nil"/>
            </w:tcBorders>
            <w:vAlign w:val="center"/>
          </w:tcPr>
          <w:p w:rsidR="00525419" w:rsidRDefault="00EE1CF7">
            <w:pPr>
              <w:rPr>
                <w:rFonts w:ascii="Times New Roman" w:hAnsi="Times New Roman"/>
              </w:rPr>
            </w:pPr>
            <w:r>
              <w:rPr>
                <w:rFonts w:ascii="Times New Roman" w:hAnsi="Times New Roman"/>
              </w:rPr>
              <w:t>装置名称</w:t>
            </w:r>
          </w:p>
        </w:tc>
        <w:tc>
          <w:tcPr>
            <w:tcW w:w="3807" w:type="dxa"/>
            <w:tcBorders>
              <w:tl2br w:val="nil"/>
              <w:tr2bl w:val="nil"/>
            </w:tcBorders>
            <w:vAlign w:val="center"/>
          </w:tcPr>
          <w:p w:rsidR="00525419" w:rsidRDefault="00EE1CF7">
            <w:pPr>
              <w:rPr>
                <w:rFonts w:ascii="Times New Roman" w:hAnsi="Times New Roman"/>
              </w:rPr>
            </w:pPr>
            <w:r>
              <w:rPr>
                <w:rFonts w:ascii="Times New Roman" w:hAnsi="Times New Roman"/>
              </w:rPr>
              <w:t>工艺技术方案</w:t>
            </w:r>
          </w:p>
        </w:tc>
        <w:tc>
          <w:tcPr>
            <w:tcW w:w="2447" w:type="dxa"/>
            <w:tcBorders>
              <w:tl2br w:val="nil"/>
              <w:tr2bl w:val="nil"/>
            </w:tcBorders>
            <w:vAlign w:val="center"/>
          </w:tcPr>
          <w:p w:rsidR="00525419" w:rsidRDefault="00EE1CF7">
            <w:pPr>
              <w:rPr>
                <w:rFonts w:ascii="Times New Roman" w:hAnsi="Times New Roman"/>
              </w:rPr>
            </w:pPr>
            <w:r>
              <w:rPr>
                <w:rFonts w:ascii="Times New Roman" w:hAnsi="Times New Roman"/>
              </w:rPr>
              <w:t>主要功能</w:t>
            </w:r>
          </w:p>
        </w:tc>
      </w:tr>
      <w:tr w:rsidR="00525419">
        <w:trPr>
          <w:trHeight w:val="503"/>
          <w:jc w:val="center"/>
        </w:trPr>
        <w:tc>
          <w:tcPr>
            <w:tcW w:w="537" w:type="dxa"/>
            <w:tcBorders>
              <w:tl2br w:val="nil"/>
              <w:tr2bl w:val="nil"/>
            </w:tcBorders>
            <w:vAlign w:val="center"/>
          </w:tcPr>
          <w:p w:rsidR="00525419" w:rsidRDefault="00EE1CF7">
            <w:pPr>
              <w:rPr>
                <w:rFonts w:ascii="Times New Roman" w:hAnsi="Times New Roman"/>
              </w:rPr>
            </w:pPr>
            <w:r>
              <w:rPr>
                <w:rFonts w:ascii="Times New Roman" w:hAnsi="Times New Roman"/>
              </w:rPr>
              <w:t>1</w:t>
            </w:r>
          </w:p>
        </w:tc>
        <w:tc>
          <w:tcPr>
            <w:tcW w:w="1722" w:type="dxa"/>
            <w:gridSpan w:val="2"/>
            <w:tcBorders>
              <w:tl2br w:val="nil"/>
              <w:tr2bl w:val="nil"/>
            </w:tcBorders>
            <w:vAlign w:val="center"/>
          </w:tcPr>
          <w:p w:rsidR="00525419" w:rsidRDefault="00EE1CF7">
            <w:pPr>
              <w:rPr>
                <w:rFonts w:ascii="Times New Roman" w:hAnsi="Times New Roman"/>
              </w:rPr>
            </w:pPr>
            <w:r>
              <w:rPr>
                <w:rFonts w:ascii="Times New Roman" w:hAnsi="Times New Roman"/>
              </w:rPr>
              <w:t>煤焦油加氢</w:t>
            </w:r>
          </w:p>
        </w:tc>
        <w:tc>
          <w:tcPr>
            <w:tcW w:w="3807" w:type="dxa"/>
            <w:tcBorders>
              <w:tl2br w:val="nil"/>
              <w:tr2bl w:val="nil"/>
            </w:tcBorders>
            <w:vAlign w:val="center"/>
          </w:tcPr>
          <w:p w:rsidR="00525419" w:rsidRDefault="00EE1CF7">
            <w:pPr>
              <w:rPr>
                <w:rFonts w:ascii="Times New Roman" w:hAnsi="Times New Roman"/>
              </w:rPr>
            </w:pPr>
            <w:r>
              <w:rPr>
                <w:rFonts w:ascii="Times New Roman" w:hAnsi="Times New Roman"/>
              </w:rPr>
              <w:t>采用加氢精制</w:t>
            </w:r>
            <w:r>
              <w:rPr>
                <w:rFonts w:ascii="Times New Roman" w:hAnsi="Times New Roman"/>
              </w:rPr>
              <w:t>--</w:t>
            </w:r>
            <w:r>
              <w:rPr>
                <w:rFonts w:ascii="Times New Roman" w:hAnsi="Times New Roman"/>
              </w:rPr>
              <w:t>加氢提质</w:t>
            </w:r>
            <w:r>
              <w:rPr>
                <w:rFonts w:ascii="Times New Roman" w:hAnsi="Times New Roman"/>
              </w:rPr>
              <w:t>--</w:t>
            </w:r>
            <w:r>
              <w:rPr>
                <w:rFonts w:ascii="Times New Roman" w:hAnsi="Times New Roman"/>
              </w:rPr>
              <w:t>反应产物分离</w:t>
            </w:r>
          </w:p>
        </w:tc>
        <w:tc>
          <w:tcPr>
            <w:tcW w:w="2447" w:type="dxa"/>
            <w:tcBorders>
              <w:tl2br w:val="nil"/>
              <w:tr2bl w:val="nil"/>
            </w:tcBorders>
            <w:vAlign w:val="center"/>
          </w:tcPr>
          <w:p w:rsidR="00525419" w:rsidRDefault="00EE1CF7">
            <w:pPr>
              <w:rPr>
                <w:rFonts w:ascii="Times New Roman" w:hAnsi="Times New Roman"/>
              </w:rPr>
            </w:pPr>
            <w:r>
              <w:rPr>
                <w:rFonts w:ascii="Times New Roman" w:hAnsi="Times New Roman"/>
              </w:rPr>
              <w:t>生产石脑油、柴油、尾油</w:t>
            </w:r>
          </w:p>
        </w:tc>
      </w:tr>
      <w:tr w:rsidR="00525419">
        <w:trPr>
          <w:trHeight w:val="563"/>
          <w:jc w:val="center"/>
        </w:trPr>
        <w:tc>
          <w:tcPr>
            <w:tcW w:w="537" w:type="dxa"/>
            <w:tcBorders>
              <w:tl2br w:val="nil"/>
              <w:tr2bl w:val="nil"/>
            </w:tcBorders>
            <w:vAlign w:val="center"/>
          </w:tcPr>
          <w:p w:rsidR="00525419" w:rsidRDefault="00EE1CF7">
            <w:pPr>
              <w:rPr>
                <w:rFonts w:ascii="Times New Roman" w:hAnsi="Times New Roman"/>
              </w:rPr>
            </w:pPr>
            <w:r>
              <w:rPr>
                <w:rFonts w:ascii="Times New Roman" w:hAnsi="Times New Roman"/>
              </w:rPr>
              <w:t>2</w:t>
            </w:r>
          </w:p>
        </w:tc>
        <w:tc>
          <w:tcPr>
            <w:tcW w:w="1722" w:type="dxa"/>
            <w:gridSpan w:val="2"/>
            <w:tcBorders>
              <w:tl2br w:val="nil"/>
              <w:tr2bl w:val="nil"/>
            </w:tcBorders>
            <w:vAlign w:val="center"/>
          </w:tcPr>
          <w:p w:rsidR="00525419" w:rsidRDefault="00EE1CF7">
            <w:pPr>
              <w:rPr>
                <w:rFonts w:ascii="Times New Roman" w:hAnsi="Times New Roman"/>
              </w:rPr>
            </w:pPr>
            <w:r>
              <w:rPr>
                <w:rFonts w:ascii="Times New Roman" w:hAnsi="Times New Roman"/>
              </w:rPr>
              <w:t>制氢</w:t>
            </w:r>
          </w:p>
        </w:tc>
        <w:tc>
          <w:tcPr>
            <w:tcW w:w="3807" w:type="dxa"/>
            <w:tcBorders>
              <w:tl2br w:val="nil"/>
              <w:tr2bl w:val="nil"/>
            </w:tcBorders>
            <w:vAlign w:val="center"/>
          </w:tcPr>
          <w:p w:rsidR="00525419" w:rsidRDefault="00EE1CF7">
            <w:pPr>
              <w:rPr>
                <w:rFonts w:ascii="Times New Roman" w:hAnsi="Times New Roman"/>
              </w:rPr>
            </w:pPr>
            <w:r>
              <w:rPr>
                <w:rFonts w:ascii="Times New Roman" w:hAnsi="Times New Roman"/>
              </w:rPr>
              <w:t>造气工艺采用蒸汽转化技术。粗氢变为产品氢的加工工艺推荐采用变压吸附技术</w:t>
            </w:r>
          </w:p>
        </w:tc>
        <w:tc>
          <w:tcPr>
            <w:tcW w:w="2447" w:type="dxa"/>
            <w:tcBorders>
              <w:tl2br w:val="nil"/>
              <w:tr2bl w:val="nil"/>
            </w:tcBorders>
            <w:vAlign w:val="center"/>
          </w:tcPr>
          <w:p w:rsidR="00525419" w:rsidRDefault="00EE1CF7">
            <w:pPr>
              <w:rPr>
                <w:rFonts w:ascii="Times New Roman" w:hAnsi="Times New Roman"/>
              </w:rPr>
            </w:pPr>
            <w:r>
              <w:rPr>
                <w:rFonts w:ascii="Times New Roman" w:hAnsi="Times New Roman"/>
              </w:rPr>
              <w:t>制备氢气</w:t>
            </w:r>
          </w:p>
          <w:p w:rsidR="00525419" w:rsidRDefault="00525419">
            <w:pPr>
              <w:rPr>
                <w:rFonts w:ascii="Times New Roman" w:hAnsi="Times New Roman"/>
              </w:rPr>
            </w:pPr>
          </w:p>
        </w:tc>
      </w:tr>
      <w:tr w:rsidR="00525419">
        <w:trPr>
          <w:trHeight w:val="223"/>
          <w:jc w:val="center"/>
        </w:trPr>
        <w:tc>
          <w:tcPr>
            <w:tcW w:w="537" w:type="dxa"/>
            <w:tcBorders>
              <w:tl2br w:val="nil"/>
              <w:tr2bl w:val="nil"/>
            </w:tcBorders>
            <w:vAlign w:val="center"/>
          </w:tcPr>
          <w:p w:rsidR="00525419" w:rsidRDefault="00EE1CF7">
            <w:pPr>
              <w:rPr>
                <w:rFonts w:ascii="Times New Roman" w:hAnsi="Times New Roman"/>
              </w:rPr>
            </w:pPr>
            <w:r>
              <w:rPr>
                <w:rFonts w:ascii="Times New Roman" w:hAnsi="Times New Roman"/>
              </w:rPr>
              <w:t>3</w:t>
            </w:r>
          </w:p>
        </w:tc>
        <w:tc>
          <w:tcPr>
            <w:tcW w:w="530" w:type="dxa"/>
            <w:vMerge w:val="restart"/>
            <w:tcBorders>
              <w:tl2br w:val="nil"/>
              <w:tr2bl w:val="nil"/>
            </w:tcBorders>
            <w:vAlign w:val="center"/>
          </w:tcPr>
          <w:p w:rsidR="00525419" w:rsidRDefault="00EE1CF7">
            <w:pPr>
              <w:rPr>
                <w:rFonts w:ascii="Times New Roman" w:hAnsi="Times New Roman"/>
              </w:rPr>
            </w:pPr>
            <w:r>
              <w:rPr>
                <w:rFonts w:ascii="Times New Roman" w:hAnsi="Times New Roman"/>
              </w:rPr>
              <w:t>硫磺回收</w:t>
            </w:r>
          </w:p>
        </w:tc>
        <w:tc>
          <w:tcPr>
            <w:tcW w:w="1192" w:type="dxa"/>
            <w:tcBorders>
              <w:tl2br w:val="nil"/>
              <w:tr2bl w:val="nil"/>
            </w:tcBorders>
            <w:vAlign w:val="center"/>
          </w:tcPr>
          <w:p w:rsidR="00525419" w:rsidRDefault="00EE1CF7">
            <w:pPr>
              <w:rPr>
                <w:rFonts w:ascii="Times New Roman" w:hAnsi="Times New Roman"/>
              </w:rPr>
            </w:pPr>
            <w:r>
              <w:rPr>
                <w:rFonts w:ascii="Times New Roman" w:hAnsi="Times New Roman"/>
              </w:rPr>
              <w:t>酸性水汽提</w:t>
            </w:r>
          </w:p>
        </w:tc>
        <w:tc>
          <w:tcPr>
            <w:tcW w:w="3807" w:type="dxa"/>
            <w:tcBorders>
              <w:tl2br w:val="nil"/>
              <w:tr2bl w:val="nil"/>
            </w:tcBorders>
            <w:vAlign w:val="center"/>
          </w:tcPr>
          <w:p w:rsidR="00525419" w:rsidRDefault="00EE1CF7">
            <w:pPr>
              <w:spacing w:line="240" w:lineRule="atLeast"/>
              <w:rPr>
                <w:rFonts w:ascii="Times New Roman" w:hAnsi="Times New Roman"/>
              </w:rPr>
            </w:pPr>
            <w:r>
              <w:rPr>
                <w:rFonts w:ascii="Times New Roman" w:hAnsi="Times New Roman"/>
                <w:szCs w:val="21"/>
              </w:rPr>
              <w:t>采用单塔加压汽提</w:t>
            </w:r>
          </w:p>
        </w:tc>
        <w:tc>
          <w:tcPr>
            <w:tcW w:w="2447" w:type="dxa"/>
            <w:tcBorders>
              <w:tl2br w:val="nil"/>
              <w:tr2bl w:val="nil"/>
            </w:tcBorders>
            <w:vAlign w:val="center"/>
          </w:tcPr>
          <w:p w:rsidR="00525419" w:rsidRDefault="00EE1CF7">
            <w:pPr>
              <w:autoSpaceDE w:val="0"/>
              <w:autoSpaceDN w:val="0"/>
              <w:adjustRightInd w:val="0"/>
              <w:jc w:val="left"/>
              <w:rPr>
                <w:rFonts w:ascii="Times New Roman" w:hAnsi="Times New Roman"/>
                <w:kern w:val="0"/>
                <w:sz w:val="20"/>
                <w:szCs w:val="20"/>
              </w:rPr>
            </w:pPr>
            <w:r>
              <w:rPr>
                <w:rFonts w:ascii="Times New Roman" w:hAnsi="Times New Roman"/>
                <w:kern w:val="0"/>
                <w:szCs w:val="21"/>
              </w:rPr>
              <w:t>脱硫化氢</w:t>
            </w:r>
          </w:p>
        </w:tc>
      </w:tr>
      <w:tr w:rsidR="00525419">
        <w:trPr>
          <w:trHeight w:val="544"/>
          <w:jc w:val="center"/>
        </w:trPr>
        <w:tc>
          <w:tcPr>
            <w:tcW w:w="537" w:type="dxa"/>
            <w:tcBorders>
              <w:tl2br w:val="nil"/>
              <w:tr2bl w:val="nil"/>
            </w:tcBorders>
            <w:vAlign w:val="center"/>
          </w:tcPr>
          <w:p w:rsidR="00525419" w:rsidRDefault="00EE1CF7">
            <w:pPr>
              <w:rPr>
                <w:rFonts w:ascii="Times New Roman" w:hAnsi="Times New Roman"/>
              </w:rPr>
            </w:pPr>
            <w:r>
              <w:rPr>
                <w:rFonts w:ascii="Times New Roman" w:hAnsi="Times New Roman"/>
              </w:rPr>
              <w:t>4</w:t>
            </w:r>
          </w:p>
        </w:tc>
        <w:tc>
          <w:tcPr>
            <w:tcW w:w="530" w:type="dxa"/>
            <w:vMerge/>
            <w:tcBorders>
              <w:tl2br w:val="nil"/>
              <w:tr2bl w:val="nil"/>
            </w:tcBorders>
            <w:vAlign w:val="center"/>
          </w:tcPr>
          <w:p w:rsidR="00525419" w:rsidRDefault="00525419">
            <w:pPr>
              <w:rPr>
                <w:rFonts w:ascii="Times New Roman" w:hAnsi="Times New Roman"/>
              </w:rPr>
            </w:pPr>
          </w:p>
        </w:tc>
        <w:tc>
          <w:tcPr>
            <w:tcW w:w="1192" w:type="dxa"/>
            <w:tcBorders>
              <w:tl2br w:val="nil"/>
              <w:tr2bl w:val="nil"/>
            </w:tcBorders>
            <w:vAlign w:val="center"/>
          </w:tcPr>
          <w:p w:rsidR="00525419" w:rsidRDefault="00EE1CF7">
            <w:pPr>
              <w:rPr>
                <w:rFonts w:ascii="Times New Roman" w:hAnsi="Times New Roman"/>
              </w:rPr>
            </w:pPr>
            <w:r>
              <w:rPr>
                <w:rFonts w:ascii="Times New Roman" w:hAnsi="Times New Roman"/>
              </w:rPr>
              <w:t>硫磺回收</w:t>
            </w:r>
          </w:p>
        </w:tc>
        <w:tc>
          <w:tcPr>
            <w:tcW w:w="3807" w:type="dxa"/>
            <w:tcBorders>
              <w:tl2br w:val="nil"/>
              <w:tr2bl w:val="nil"/>
            </w:tcBorders>
            <w:vAlign w:val="center"/>
          </w:tcPr>
          <w:p w:rsidR="00525419" w:rsidRDefault="00EE1CF7">
            <w:pPr>
              <w:rPr>
                <w:rFonts w:ascii="Times New Roman" w:hAnsi="Times New Roman"/>
              </w:rPr>
            </w:pPr>
            <w:r>
              <w:rPr>
                <w:rFonts w:ascii="Times New Roman" w:hAnsi="Times New Roman"/>
                <w:szCs w:val="21"/>
              </w:rPr>
              <w:t>采用克劳斯制硫</w:t>
            </w:r>
            <w:r>
              <w:rPr>
                <w:rFonts w:ascii="Times New Roman" w:hAnsi="Times New Roman"/>
                <w:szCs w:val="21"/>
              </w:rPr>
              <w:t>+</w:t>
            </w:r>
            <w:r>
              <w:rPr>
                <w:rFonts w:ascii="Times New Roman" w:hAnsi="Times New Roman"/>
                <w:szCs w:val="21"/>
              </w:rPr>
              <w:t>加氢还原吸收</w:t>
            </w:r>
            <w:r>
              <w:rPr>
                <w:rFonts w:ascii="Times New Roman" w:hAnsi="Times New Roman"/>
                <w:szCs w:val="21"/>
              </w:rPr>
              <w:t>+</w:t>
            </w:r>
            <w:r>
              <w:rPr>
                <w:rFonts w:ascii="Times New Roman" w:hAnsi="Times New Roman"/>
                <w:szCs w:val="21"/>
              </w:rPr>
              <w:t>尾气焚烧工艺</w:t>
            </w:r>
          </w:p>
        </w:tc>
        <w:tc>
          <w:tcPr>
            <w:tcW w:w="2447" w:type="dxa"/>
            <w:tcBorders>
              <w:tl2br w:val="nil"/>
              <w:tr2bl w:val="nil"/>
            </w:tcBorders>
            <w:vAlign w:val="center"/>
          </w:tcPr>
          <w:p w:rsidR="00525419" w:rsidRDefault="00EE1CF7">
            <w:pPr>
              <w:rPr>
                <w:rFonts w:ascii="Times New Roman" w:hAnsi="Times New Roman"/>
              </w:rPr>
            </w:pPr>
            <w:r>
              <w:rPr>
                <w:rFonts w:ascii="Times New Roman" w:hAnsi="Times New Roman"/>
                <w:kern w:val="0"/>
                <w:szCs w:val="21"/>
              </w:rPr>
              <w:t>处理酸性气体，回收硫磺</w:t>
            </w:r>
          </w:p>
        </w:tc>
      </w:tr>
      <w:tr w:rsidR="00525419">
        <w:trPr>
          <w:trHeight w:val="184"/>
          <w:jc w:val="center"/>
        </w:trPr>
        <w:tc>
          <w:tcPr>
            <w:tcW w:w="537" w:type="dxa"/>
            <w:tcBorders>
              <w:tl2br w:val="nil"/>
              <w:tr2bl w:val="nil"/>
            </w:tcBorders>
            <w:vAlign w:val="center"/>
          </w:tcPr>
          <w:p w:rsidR="00525419" w:rsidRDefault="00EE1CF7">
            <w:pPr>
              <w:rPr>
                <w:rFonts w:ascii="Times New Roman" w:hAnsi="Times New Roman"/>
              </w:rPr>
            </w:pPr>
            <w:r>
              <w:rPr>
                <w:rFonts w:ascii="Times New Roman" w:hAnsi="Times New Roman"/>
              </w:rPr>
              <w:t>5</w:t>
            </w:r>
          </w:p>
        </w:tc>
        <w:tc>
          <w:tcPr>
            <w:tcW w:w="530" w:type="dxa"/>
            <w:vMerge/>
            <w:tcBorders>
              <w:tl2br w:val="nil"/>
              <w:tr2bl w:val="nil"/>
            </w:tcBorders>
            <w:vAlign w:val="center"/>
          </w:tcPr>
          <w:p w:rsidR="00525419" w:rsidRDefault="00525419">
            <w:pPr>
              <w:rPr>
                <w:rFonts w:ascii="Times New Roman" w:hAnsi="Times New Roman"/>
              </w:rPr>
            </w:pPr>
          </w:p>
        </w:tc>
        <w:tc>
          <w:tcPr>
            <w:tcW w:w="1192" w:type="dxa"/>
            <w:tcBorders>
              <w:tl2br w:val="nil"/>
              <w:tr2bl w:val="nil"/>
            </w:tcBorders>
            <w:vAlign w:val="center"/>
          </w:tcPr>
          <w:p w:rsidR="00525419" w:rsidRDefault="00EE1CF7">
            <w:pPr>
              <w:rPr>
                <w:rFonts w:ascii="Times New Roman" w:hAnsi="Times New Roman"/>
              </w:rPr>
            </w:pPr>
            <w:r>
              <w:rPr>
                <w:rFonts w:ascii="Times New Roman" w:hAnsi="Times New Roman"/>
              </w:rPr>
              <w:t>溶剂再生</w:t>
            </w:r>
          </w:p>
        </w:tc>
        <w:tc>
          <w:tcPr>
            <w:tcW w:w="3807"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采用常规汽提再生法</w:t>
            </w:r>
          </w:p>
        </w:tc>
        <w:tc>
          <w:tcPr>
            <w:tcW w:w="2447" w:type="dxa"/>
            <w:tcBorders>
              <w:tl2br w:val="nil"/>
              <w:tr2bl w:val="nil"/>
            </w:tcBorders>
            <w:vAlign w:val="center"/>
          </w:tcPr>
          <w:p w:rsidR="00525419" w:rsidRDefault="00525419">
            <w:pPr>
              <w:rPr>
                <w:rFonts w:ascii="Times New Roman" w:hAnsi="Times New Roman"/>
                <w:kern w:val="0"/>
                <w:szCs w:val="21"/>
              </w:rPr>
            </w:pPr>
          </w:p>
        </w:tc>
      </w:tr>
    </w:tbl>
    <w:p w:rsidR="00525419" w:rsidRDefault="00EE1CF7">
      <w:pPr>
        <w:pStyle w:val="afffe"/>
        <w:adjustRightInd w:val="0"/>
        <w:spacing w:before="31" w:after="31" w:line="360" w:lineRule="auto"/>
        <w:ind w:firstLineChars="0" w:firstLine="0"/>
        <w:rPr>
          <w:b/>
          <w:bCs/>
          <w:sz w:val="24"/>
        </w:rPr>
      </w:pPr>
      <w:r>
        <w:rPr>
          <w:b/>
          <w:bCs/>
          <w:sz w:val="24"/>
        </w:rPr>
        <w:t>3.5.1.2</w:t>
      </w:r>
      <w:r>
        <w:rPr>
          <w:b/>
          <w:bCs/>
          <w:sz w:val="24"/>
        </w:rPr>
        <w:t>总体工艺流程</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本项目总体工艺流程见图</w:t>
      </w:r>
      <w:r>
        <w:rPr>
          <w:rFonts w:ascii="Times New Roman" w:hAnsi="Times New Roman"/>
          <w:sz w:val="24"/>
          <w:szCs w:val="24"/>
        </w:rPr>
        <w:t>3.5-1</w:t>
      </w:r>
      <w:r>
        <w:rPr>
          <w:rFonts w:ascii="Times New Roman" w:hAnsi="Times New Roman"/>
          <w:sz w:val="24"/>
          <w:szCs w:val="24"/>
        </w:rPr>
        <w:t>。</w:t>
      </w:r>
    </w:p>
    <w:p w:rsidR="00525419" w:rsidRDefault="00525419">
      <w:pPr>
        <w:spacing w:line="360" w:lineRule="auto"/>
        <w:ind w:firstLineChars="200" w:firstLine="480"/>
        <w:rPr>
          <w:rFonts w:ascii="Times New Roman" w:hAnsi="Times New Roman"/>
          <w:sz w:val="24"/>
          <w:szCs w:val="24"/>
        </w:rPr>
      </w:pPr>
    </w:p>
    <w:p w:rsidR="00525419" w:rsidRDefault="00525419">
      <w:pPr>
        <w:spacing w:line="360" w:lineRule="auto"/>
        <w:ind w:firstLineChars="200" w:firstLine="480"/>
        <w:rPr>
          <w:rFonts w:ascii="Times New Roman" w:hAnsi="Times New Roman"/>
          <w:sz w:val="24"/>
          <w:szCs w:val="24"/>
        </w:rPr>
      </w:pPr>
    </w:p>
    <w:p w:rsidR="00525419" w:rsidRDefault="007D0E8A">
      <w:pPr>
        <w:rPr>
          <w:rFonts w:ascii="Times New Roman" w:hAnsi="Times New Roman"/>
        </w:rPr>
      </w:pPr>
      <w:r>
        <w:rPr>
          <w:rFonts w:ascii="Times New Roman" w:hAnsi="Times New Roman"/>
        </w:rPr>
        <w:pict>
          <v:group id="Group 2739" o:spid="_x0000_s1584" style="position:absolute;left:0;text-align:left;margin-left:-14.65pt;margin-top:6.9pt;width:410.85pt;height:317pt;z-index:251648512" coordorigin="1545,10024" coordsize="7980,6015">
            <v:shape id="Quad Arrow 1582" o:spid="_x0000_s1585" type="#_x0000_t202" style="position:absolute;left:5220;top:10999;width:1050;height:315">
              <v:textbox inset="1.42pt,.85pt,1.42pt,.85pt">
                <w:txbxContent>
                  <w:p w:rsidR="00EE1CF7" w:rsidRDefault="00EE1CF7">
                    <w:r>
                      <w:rPr>
                        <w:rFonts w:hint="eastAsia"/>
                      </w:rPr>
                      <w:t>气体脱硫</w:t>
                    </w:r>
                  </w:p>
                </w:txbxContent>
              </v:textbox>
            </v:shape>
            <v:shape id="Quad Arrow 1583" o:spid="_x0000_s1586" type="#_x0000_t202" style="position:absolute;left:1545;top:11014;width:1320;height:300" filled="f" stroked="f">
              <v:textbox inset="1.42pt,.85pt,1.42pt,.85pt">
                <w:txbxContent>
                  <w:p w:rsidR="00EE1CF7" w:rsidRDefault="00EE1CF7"/>
                </w:txbxContent>
              </v:textbox>
            </v:shape>
            <v:shape id="Quad Arrow 1584" o:spid="_x0000_s1587" type="#_x0000_t202" style="position:absolute;left:3267;top:10504;width:333;height:1410" filled="f" stroked="f">
              <v:textbox style="layout-flow:vertical-ideographic" inset="1.42pt,.85pt,1.42pt,.85pt">
                <w:txbxContent>
                  <w:p w:rsidR="00EE1CF7" w:rsidRDefault="00EE1CF7"/>
                </w:txbxContent>
              </v:textbox>
            </v:shape>
            <v:shape id="Straight Connector 1585" o:spid="_x0000_s1588" type="#_x0000_t32" style="position:absolute;left:2685;top:11164;width:582;height:0" stroked="f">
              <v:stroke endarrow="block"/>
            </v:shape>
            <v:shape id="Quad Arrow 1586" o:spid="_x0000_s1589" type="#_x0000_t202" style="position:absolute;left:3267;top:12724;width:333;height:1185">
              <v:textbox style="layout-flow:vertical-ideographic" inset="1.42pt,.85pt,1.42pt,.85pt">
                <w:txbxContent>
                  <w:p w:rsidR="00EE1CF7" w:rsidRDefault="00EE1CF7">
                    <w:r>
                      <w:rPr>
                        <w:rFonts w:hint="eastAsia"/>
                      </w:rPr>
                      <w:t>天然气制氢</w:t>
                    </w:r>
                  </w:p>
                </w:txbxContent>
              </v:textbox>
            </v:shape>
            <v:shape id="Straight Connector 1587" o:spid="_x0000_s1590" type="#_x0000_t32" style="position:absolute;left:2685;top:13534;width:582;height:0">
              <v:stroke endarrow="block"/>
            </v:shape>
            <v:shape id="Quad Arrow 1588" o:spid="_x0000_s1591" type="#_x0000_t202" style="position:absolute;left:1890;top:13384;width:795;height:300" filled="f" stroked="f">
              <v:textbox inset="1.42pt,.85pt,1.42pt,.85pt">
                <w:txbxContent>
                  <w:p w:rsidR="00EE1CF7" w:rsidRDefault="00EE1CF7">
                    <w:r>
                      <w:rPr>
                        <w:rFonts w:hint="eastAsia"/>
                      </w:rPr>
                      <w:t>天然气</w:t>
                    </w:r>
                  </w:p>
                </w:txbxContent>
              </v:textbox>
            </v:shape>
            <v:shape id="Quad Arrow 1589" o:spid="_x0000_s1592" type="#_x0000_t202" style="position:absolute;left:1890;top:12799;width:795;height:300" filled="f" stroked="f">
              <v:textbox inset="1.42pt,.85pt,1.42pt,.85pt">
                <w:txbxContent>
                  <w:p w:rsidR="00EE1CF7" w:rsidRDefault="00EE1CF7">
                    <w:r>
                      <w:rPr>
                        <w:rFonts w:hint="eastAsia"/>
                      </w:rPr>
                      <w:t>水蒸汽</w:t>
                    </w:r>
                  </w:p>
                </w:txbxContent>
              </v:textbox>
            </v:shape>
            <v:shape id="Straight Connector 1590" o:spid="_x0000_s1593" type="#_x0000_t32" style="position:absolute;left:2685;top:12979;width:582;height:15">
              <v:stroke endarrow="block"/>
            </v:shape>
            <v:shape id="Straight Connector 1591" o:spid="_x0000_s1594" type="#_x0000_t32" style="position:absolute;left:3375;top:11914;width:0;height:810;flip:y" stroked="f">
              <v:stroke endarrow="block"/>
            </v:shape>
            <v:shape id="Quad Arrow 1592" o:spid="_x0000_s1595" type="#_x0000_t202" style="position:absolute;left:3060;top:12169;width:540;height:300" filled="f" stroked="f">
              <v:textbox inset="1.42pt,.85pt,1.42pt,.85pt">
                <w:txbxContent>
                  <w:p w:rsidR="00EE1CF7" w:rsidRDefault="00EE1CF7"/>
                </w:txbxContent>
              </v:textbox>
            </v:shape>
            <v:shape id="Straight Connector 1593" o:spid="_x0000_s1596" type="#_x0000_t32" style="position:absolute;left:2685;top:11659;width:582;height:0" stroked="f">
              <v:stroke endarrow="block"/>
            </v:shape>
            <v:shape id="Quad Arrow 1594" o:spid="_x0000_s1597" type="#_x0000_t202" style="position:absolute;left:2040;top:11509;width:720;height:300" filled="f" stroked="f">
              <v:textbox inset="1.42pt,.85pt,1.42pt,.85pt">
                <w:txbxContent>
                  <w:p w:rsidR="00EE1CF7" w:rsidRDefault="00EE1CF7"/>
                </w:txbxContent>
              </v:textbox>
            </v:shape>
            <v:shape id="Straight Connector 1595" o:spid="_x0000_s1598" type="#_x0000_t32" style="position:absolute;left:3600;top:11164;width:1620;height:0" stroked="f">
              <v:stroke endarrow="block"/>
            </v:shape>
            <v:shape id="Quad Arrow 1596" o:spid="_x0000_s1599" type="#_x0000_t202" style="position:absolute;left:3960;top:10864;width:795;height:300" filled="f" stroked="f">
              <v:textbox inset="1.42pt,.85pt,1.42pt,.85pt">
                <w:txbxContent>
                  <w:p w:rsidR="00EE1CF7" w:rsidRDefault="00EE1CF7"/>
                </w:txbxContent>
              </v:textbox>
            </v:shape>
            <v:shape id="Straight Connector 1597" o:spid="_x0000_s1600" type="#_x0000_t32" style="position:absolute;left:3600;top:11509;width:450;height:0" stroked="f">
              <v:stroke endarrow="block"/>
            </v:shape>
            <v:shape id="Quad Arrow 1598" o:spid="_x0000_s1601" type="#_x0000_t202" style="position:absolute;left:4050;top:11359;width:1005;height:300" filled="f" stroked="f">
              <v:textbox inset="1.42pt,.85pt,1.42pt,.85pt">
                <w:txbxContent>
                  <w:p w:rsidR="00EE1CF7" w:rsidRDefault="00EE1CF7">
                    <w:pPr>
                      <w:rPr>
                        <w:b/>
                      </w:rPr>
                    </w:pPr>
                  </w:p>
                </w:txbxContent>
              </v:textbox>
            </v:shape>
            <v:shape id="Quad Arrow 1599" o:spid="_x0000_s1602" type="#_x0000_t202" style="position:absolute;left:5637;top:12274;width:333;height:1185">
              <v:textbox style="layout-flow:vertical-ideographic" inset="1.42pt,.85pt,1.42pt,.85pt">
                <w:txbxContent>
                  <w:p w:rsidR="00EE1CF7" w:rsidRDefault="00EE1CF7">
                    <w:r>
                      <w:rPr>
                        <w:rFonts w:hint="eastAsia"/>
                      </w:rPr>
                      <w:t>煤焦油加氢</w:t>
                    </w:r>
                  </w:p>
                </w:txbxContent>
              </v:textbox>
            </v:shape>
            <v:shape id="Straight Connector 1600" o:spid="_x0000_s1603" type="#_x0000_t32" style="position:absolute;left:3600;top:12994;width:2037;height:0">
              <v:stroke endarrow="block"/>
            </v:shape>
            <v:shape id="Quad Arrow 1601" o:spid="_x0000_s1604" type="#_x0000_t202" style="position:absolute;left:4395;top:12724;width:540;height:300" filled="f" stroked="f">
              <v:textbox inset="1.42pt,.85pt,1.42pt,.85pt">
                <w:txbxContent>
                  <w:p w:rsidR="00EE1CF7" w:rsidRDefault="00EE1CF7">
                    <w:r>
                      <w:rPr>
                        <w:rFonts w:hint="eastAsia"/>
                      </w:rPr>
                      <w:t>氢气</w:t>
                    </w:r>
                  </w:p>
                </w:txbxContent>
              </v:textbox>
            </v:shape>
            <v:shape id="Straight Connector 1602" o:spid="_x0000_s1605" type="#_x0000_t32" style="position:absolute;left:5055;top:13264;width:582;height:0" stroked="f">
              <v:stroke endarrow="block"/>
            </v:shape>
            <v:shape id="Quad Arrow 1603" o:spid="_x0000_s1606" type="#_x0000_t202" style="position:absolute;left:3825;top:13099;width:1320;height:300" filled="f" stroked="f">
              <v:textbox inset="1.42pt,.85pt,1.42pt,.85pt">
                <w:txbxContent>
                  <w:p w:rsidR="00EE1CF7" w:rsidRDefault="00EE1CF7">
                    <w:pPr>
                      <w:ind w:firstLineChars="200" w:firstLine="420"/>
                    </w:pPr>
                  </w:p>
                </w:txbxContent>
              </v:textbox>
            </v:shape>
            <v:shape id="Straight Connector 1604" o:spid="_x0000_s1607" type="#_x0000_t32" style="position:absolute;left:3600;top:11809;width:555;height:0" stroked="f"/>
            <v:shape id="Straight Connector 1605" o:spid="_x0000_s1608" type="#_x0000_t32" style="position:absolute;left:4155;top:11809;width:0;height:750" stroked="f"/>
            <v:shape id="Straight Connector 1606" o:spid="_x0000_s1609" type="#_x0000_t32" style="position:absolute;left:4155;top:12559;width:1482;height:0">
              <v:stroke endarrow="block"/>
            </v:shape>
            <v:shape id="Quad Arrow 1607" o:spid="_x0000_s1610" type="#_x0000_t202" style="position:absolute;left:4032;top:12349;width:1605;height:300" filled="f" stroked="f">
              <v:textbox inset="1.42pt,.85pt,1.42pt,.85pt">
                <w:txbxContent>
                  <w:p w:rsidR="00EE1CF7" w:rsidRDefault="00EE1CF7">
                    <w:pPr>
                      <w:ind w:firstLineChars="200" w:firstLine="420"/>
                    </w:pPr>
                    <w:r>
                      <w:rPr>
                        <w:rFonts w:hint="eastAsia"/>
                      </w:rPr>
                      <w:t>煤焦油</w:t>
                    </w:r>
                  </w:p>
                </w:txbxContent>
              </v:textbox>
            </v:shape>
            <v:shape id="Straight Connector 1608" o:spid="_x0000_s1611" type="#_x0000_t32" style="position:absolute;left:5730;top:11359;width:0;height:915;flip:y">
              <v:stroke endarrow="block"/>
            </v:shape>
            <v:shape id="Quad Arrow 1609" o:spid="_x0000_s1612" type="#_x0000_t202" style="position:absolute;left:5397;top:11674;width:333;height:495" filled="f" stroked="f">
              <v:textbox style="layout-flow:vertical-ideographic" inset="1.42pt,.85pt,1.42pt,.85pt">
                <w:txbxContent>
                  <w:p w:rsidR="00EE1CF7" w:rsidRDefault="00EE1CF7">
                    <w:r>
                      <w:rPr>
                        <w:rFonts w:hint="eastAsia"/>
                      </w:rPr>
                      <w:t>干气</w:t>
                    </w:r>
                  </w:p>
                </w:txbxContent>
              </v:textbox>
            </v:shape>
            <v:shape id="Straight Connector 1610" o:spid="_x0000_s1613" type="#_x0000_t32" style="position:absolute;left:5880;top:11359;width:15;height:915;flip:x y">
              <v:stroke endarrow="block"/>
            </v:shape>
            <v:shape id="Quad Arrow 1611" o:spid="_x0000_s1614" type="#_x0000_t202" style="position:absolute;left:5835;top:11509;width:333;height:735" filled="f" stroked="f">
              <v:textbox style="layout-flow:vertical-ideographic" inset="1.42pt,.85pt,1.42pt,.85pt">
                <w:txbxContent>
                  <w:p w:rsidR="00EE1CF7" w:rsidRDefault="00EE1CF7">
                    <w:r>
                      <w:rPr>
                        <w:rFonts w:hint="eastAsia"/>
                      </w:rPr>
                      <w:t>低分气</w:t>
                    </w:r>
                  </w:p>
                </w:txbxContent>
              </v:textbox>
            </v:shape>
            <v:shape id="Quad Arrow 1612" o:spid="_x0000_s1615" type="#_x0000_t202" style="position:absolute;left:7587;top:12904;width:333;height:1005" filled="f" stroked="f">
              <v:textbox style="layout-flow:vertical-ideographic" inset="1.42pt,.85pt,1.42pt,.85pt">
                <w:txbxContent>
                  <w:p w:rsidR="00EE1CF7" w:rsidRDefault="00EE1CF7">
                    <w:pPr>
                      <w:rPr>
                        <w:b/>
                        <w:bCs/>
                      </w:rPr>
                    </w:pPr>
                    <w:r>
                      <w:rPr>
                        <w:rFonts w:hint="eastAsia"/>
                        <w:b/>
                        <w:bCs/>
                      </w:rPr>
                      <w:t>石脑油</w:t>
                    </w:r>
                  </w:p>
                </w:txbxContent>
              </v:textbox>
            </v:shape>
            <v:shape id="Straight Connector 1613" o:spid="_x0000_s1616" type="#_x0000_t32" style="position:absolute;left:5970;top:13264;width:1617;height:0">
              <v:stroke endarrow="block"/>
            </v:shape>
            <v:shape id="Straight Connector 1614" o:spid="_x0000_s1617" type="#_x0000_t32" style="position:absolute;left:5970;top:12724;width:300;height:0"/>
            <v:shape id="Straight Connector 1615" o:spid="_x0000_s1618" type="#_x0000_t32" style="position:absolute;left:6270;top:11359;width:0;height:1365;flip:y">
              <v:stroke endarrow="block"/>
            </v:shape>
            <v:shape id="Straight Connector 1616" o:spid="_x0000_s1619" type="#_x0000_t32" style="position:absolute;left:7605;top:12334;width:0;height:555;flip:y" stroked="f"/>
            <v:shape id="Straight Connector 1617" o:spid="_x0000_s1620" type="#_x0000_t32" style="position:absolute;left:6285;top:12349;width:1317;height:1;flip:x" stroked="f"/>
            <v:shape id="Quad Arrow 1618" o:spid="_x0000_s1621" type="#_x0000_t202" style="position:absolute;left:6168;top:11614;width:333;height:735" filled="f" stroked="f">
              <v:textbox style="layout-flow:vertical-ideographic" inset="1.42pt,.85pt,1.42pt,.85pt">
                <w:txbxContent>
                  <w:p w:rsidR="00EE1CF7" w:rsidRDefault="00EE1CF7">
                    <w:r>
                      <w:rPr>
                        <w:rFonts w:hint="eastAsia"/>
                      </w:rPr>
                      <w:t>液化气</w:t>
                    </w:r>
                  </w:p>
                </w:txbxContent>
              </v:textbox>
            </v:shape>
            <v:shape id="Quad Arrow 1619" o:spid="_x0000_s1622" type="#_x0000_t202" style="position:absolute;left:6075;top:13024;width:795;height:300" filled="f" stroked="f">
              <v:textbox inset="1.42pt,.85pt,1.42pt,.85pt">
                <w:txbxContent>
                  <w:p w:rsidR="00EE1CF7" w:rsidRDefault="00EE1CF7"/>
                </w:txbxContent>
              </v:textbox>
            </v:shape>
            <v:shape id="Quad Arrow 1620" o:spid="_x0000_s1623" type="#_x0000_t202" style="position:absolute;left:5670;top:14374;width:333;height:1185">
              <v:textbox style="layout-flow:vertical-ideographic" inset="1.42pt,.85pt,1.42pt,.85pt">
                <w:txbxContent>
                  <w:p w:rsidR="00EE1CF7" w:rsidRDefault="00EE1CF7">
                    <w:r>
                      <w:rPr>
                        <w:rFonts w:hint="eastAsia"/>
                      </w:rPr>
                      <w:t>酸性水汽提</w:t>
                    </w:r>
                  </w:p>
                </w:txbxContent>
              </v:textbox>
            </v:shape>
            <v:shape id="Straight Connector 1621" o:spid="_x0000_s1624" type="#_x0000_t32" style="position:absolute;left:5805;top:13459;width:0;height:915">
              <v:stroke endarrow="block"/>
            </v:shape>
            <v:shape id="Quad Arrow 1622" o:spid="_x0000_s1625" type="#_x0000_t202" style="position:absolute;left:5637;top:13534;width:333;height:720" filled="f" stroked="f">
              <v:textbox style="layout-flow:vertical-ideographic" inset="1.42pt,.85pt,1.42pt,.85pt">
                <w:txbxContent>
                  <w:p w:rsidR="00EE1CF7" w:rsidRDefault="00EE1CF7">
                    <w:r>
                      <w:rPr>
                        <w:rFonts w:hint="eastAsia"/>
                      </w:rPr>
                      <w:t>酸性水</w:t>
                    </w:r>
                  </w:p>
                </w:txbxContent>
              </v:textbox>
            </v:shape>
            <v:shape id="Straight Connector 1623" o:spid="_x0000_s1626" type="#_x0000_t32" style="position:absolute;left:3540;top:11914;width:0;height:555" stroked="f"/>
            <v:shape id="Straight Connector 1624" o:spid="_x0000_s1627" type="#_x0000_t32" style="position:absolute;left:3540;top:12469;width:360;height:0" stroked="f"/>
            <v:shape id="Straight Connector 1625" o:spid="_x0000_s1628" type="#_x0000_t32" style="position:absolute;left:3900;top:12469;width:0;height:330" stroked="f"/>
            <v:shape id="未知 1626" o:spid="_x0000_s1629" style="position:absolute;left:3900;top:12799;width:255;height:735" coordsize="255,525" path="m,c127,39,255,78,255,165,255,252,127,388,,525e" filled="f" stroked="f"/>
            <v:shape id="Straight Connector 1627" o:spid="_x0000_s1630" type="#_x0000_t32" style="position:absolute;left:3900;top:13534;width:0;height:1275" stroked="f"/>
            <v:shape id="Straight Connector 1628" o:spid="_x0000_s1631" type="#_x0000_t32" style="position:absolute;left:3900;top:14809;width:1737;height:0" stroked="f">
              <v:stroke endarrow="block"/>
            </v:shape>
            <v:shape id="Quad Arrow 1629" o:spid="_x0000_s1632" type="#_x0000_t202" style="position:absolute;left:4500;top:14509;width:720;height:300" filled="f" stroked="f">
              <v:textbox inset="1.42pt,.85pt,1.42pt,.85pt">
                <w:txbxContent>
                  <w:p w:rsidR="00EE1CF7" w:rsidRDefault="00EE1CF7"/>
                </w:txbxContent>
              </v:textbox>
            </v:shape>
            <v:shape id="Straight Connector 1630" o:spid="_x0000_s1633" type="#_x0000_t32" style="position:absolute;left:5970;top:12904;width:690;height:0">
              <v:stroke endarrow="block"/>
            </v:shape>
            <v:shape id="Quad Arrow 1631" o:spid="_x0000_s1634" type="#_x0000_t202" style="position:absolute;left:6660;top:12724;width:585;height:300" filled="f" stroked="f">
              <v:textbox inset="1.42pt,.85pt,1.42pt,.85pt">
                <w:txbxContent>
                  <w:p w:rsidR="00EE1CF7" w:rsidRDefault="00EE1CF7">
                    <w:pPr>
                      <w:rPr>
                        <w:b/>
                      </w:rPr>
                    </w:pPr>
                    <w:r>
                      <w:rPr>
                        <w:rFonts w:hint="eastAsia"/>
                        <w:b/>
                      </w:rPr>
                      <w:t>柴油</w:t>
                    </w:r>
                  </w:p>
                </w:txbxContent>
              </v:textbox>
            </v:shape>
            <v:shape id="Straight Connector 1632" o:spid="_x0000_s1635" type="#_x0000_t32" style="position:absolute;left:5925;top:13459;width:0;height:225"/>
            <v:shape id="Straight Connector 1633" o:spid="_x0000_s1636" type="#_x0000_t32" style="position:absolute;left:5925;top:13684;width:690;height:0">
              <v:stroke endarrow="block"/>
            </v:shape>
            <v:shape id="Quad Arrow 1634" o:spid="_x0000_s1637" type="#_x0000_t202" style="position:absolute;left:6630;top:13534;width:585;height:300" filled="f" stroked="f">
              <v:textbox inset="1.42pt,.85pt,1.42pt,.85pt">
                <w:txbxContent>
                  <w:p w:rsidR="00EE1CF7" w:rsidRDefault="00EE1CF7">
                    <w:pPr>
                      <w:rPr>
                        <w:b/>
                      </w:rPr>
                    </w:pPr>
                    <w:r>
                      <w:rPr>
                        <w:rFonts w:hint="eastAsia"/>
                        <w:b/>
                      </w:rPr>
                      <w:t>尾油</w:t>
                    </w:r>
                  </w:p>
                </w:txbxContent>
              </v:textbox>
            </v:shape>
            <v:shape id="Straight Connector 1635" o:spid="_x0000_s1638" type="#_x0000_t32" style="position:absolute;left:7830;top:11314;width:0;height:1575;flip:y" stroked="f"/>
            <v:shape id="Straight Connector 1636" o:spid="_x0000_s1639" type="#_x0000_t32" style="position:absolute;left:6270;top:11314;width:1560;height:0;flip:x" stroked="f">
              <v:stroke endarrow="block"/>
            </v:shape>
            <v:shape id="Quad Arrow 1637" o:spid="_x0000_s1640" type="#_x0000_t202" style="position:absolute;left:7692;top:11809;width:333;height:495" filled="f" stroked="f">
              <v:textbox style="layout-flow:vertical-ideographic" inset="1.42pt,.85pt,1.42pt,.85pt">
                <w:txbxContent>
                  <w:p w:rsidR="00EE1CF7" w:rsidRDefault="00EE1CF7"/>
                </w:txbxContent>
              </v:textbox>
            </v:shape>
            <v:shape id="Quad Arrow 1638" o:spid="_x0000_s1641" type="#_x0000_t202" style="position:absolute;left:6870;top:10189;width:1050;height:315">
              <v:textbox inset="1.42pt,.85pt,1.42pt,.85pt">
                <w:txbxContent>
                  <w:p w:rsidR="00EE1CF7" w:rsidRDefault="00EE1CF7">
                    <w:r>
                      <w:rPr>
                        <w:rFonts w:hint="eastAsia"/>
                      </w:rPr>
                      <w:t>溶剂回收</w:t>
                    </w:r>
                  </w:p>
                </w:txbxContent>
              </v:textbox>
            </v:shape>
            <v:shape id="Straight Connector 1639" o:spid="_x0000_s1642" type="#_x0000_t32" style="position:absolute;left:5730;top:10384;width:0;height:615;flip:y"/>
            <v:shape id="Straight Connector 1640" o:spid="_x0000_s1643" type="#_x0000_t32" style="position:absolute;left:5730;top:10384;width:1140;height:0">
              <v:stroke endarrow="block"/>
            </v:shape>
            <v:shape id="Straight Connector 1641" o:spid="_x0000_s1644" type="#_x0000_t32" style="position:absolute;left:7245;top:10504;width:0;height:195"/>
            <v:shape id="Straight Connector 1642" o:spid="_x0000_s1645" type="#_x0000_t32" style="position:absolute;left:6003;top:10699;width:1242;height:0;flip:x"/>
            <v:shape id="Straight Connector 1643" o:spid="_x0000_s1646" type="#_x0000_t32" style="position:absolute;left:5985;top:10699;width:0;height:315">
              <v:stroke endarrow="block"/>
            </v:shape>
            <v:shape id="Quad Arrow 1644" o:spid="_x0000_s1647" type="#_x0000_t202" style="position:absolute;left:6003;top:10189;width:585;height:300" filled="f" stroked="f">
              <v:textbox inset="1.42pt,.85pt,1.42pt,.85pt">
                <w:txbxContent>
                  <w:p w:rsidR="00EE1CF7" w:rsidRDefault="00EE1CF7">
                    <w:r>
                      <w:rPr>
                        <w:rFonts w:hint="eastAsia"/>
                      </w:rPr>
                      <w:t>富液</w:t>
                    </w:r>
                  </w:p>
                </w:txbxContent>
              </v:textbox>
            </v:shape>
            <v:shape id="Quad Arrow 1645" o:spid="_x0000_s1648" type="#_x0000_t202" style="position:absolute;left:6408;top:10504;width:585;height:300" filled="f" stroked="f">
              <v:textbox inset="1.42pt,.85pt,1.42pt,.85pt">
                <w:txbxContent>
                  <w:p w:rsidR="00EE1CF7" w:rsidRDefault="00EE1CF7">
                    <w:r>
                      <w:rPr>
                        <w:rFonts w:hint="eastAsia"/>
                      </w:rPr>
                      <w:t>贫液</w:t>
                    </w:r>
                  </w:p>
                </w:txbxContent>
              </v:textbox>
            </v:shape>
            <v:shape id="Straight Connector 1646" o:spid="_x0000_s1649" type="#_x0000_t32" style="position:absolute;left:5397;top:10189;width:1;height:810">
              <v:stroke endarrow="block"/>
            </v:shape>
            <v:shape id="Straight Connector 1647" o:spid="_x0000_s1650" type="#_x0000_t32" style="position:absolute;left:4755;top:10189;width:642;height:0"/>
            <v:shape id="Quad Arrow 1648" o:spid="_x0000_s1651" type="#_x0000_t202" style="position:absolute;left:3210;top:10024;width:1725;height:300" filled="f" stroked="f">
              <v:textbox inset="1.42pt,.85pt,1.42pt,.85pt">
                <w:txbxContent>
                  <w:p w:rsidR="00EE1CF7" w:rsidRDefault="00EE1CF7">
                    <w:r>
                      <w:rPr>
                        <w:rFonts w:hint="eastAsia"/>
                      </w:rPr>
                      <w:t>厂区现工程干气</w:t>
                    </w:r>
                  </w:p>
                </w:txbxContent>
              </v:textbox>
            </v:shape>
            <v:shape id="Straight Connector 1649" o:spid="_x0000_s1652" type="#_x0000_t32" style="position:absolute;left:6168;top:10849;width:0;height:150"/>
            <v:shape id="Straight Connector 1650" o:spid="_x0000_s1653" type="#_x0000_t32" style="position:absolute;left:6168;top:10849;width:1152;height:15;flip:y">
              <v:stroke endarrow="block"/>
            </v:shape>
            <v:shape id="Quad Arrow 1651" o:spid="_x0000_s1654" type="#_x0000_t202" style="position:absolute;left:7320;top:10714;width:840;height:300" filled="f" stroked="f">
              <v:textbox inset="1.42pt,.85pt,1.42pt,.85pt">
                <w:txbxContent>
                  <w:p w:rsidR="00EE1CF7" w:rsidRDefault="00EE1CF7">
                    <w:pPr>
                      <w:rPr>
                        <w:b/>
                      </w:rPr>
                    </w:pPr>
                    <w:r>
                      <w:rPr>
                        <w:rFonts w:hint="eastAsia"/>
                        <w:b/>
                      </w:rPr>
                      <w:t>干气</w:t>
                    </w:r>
                  </w:p>
                </w:txbxContent>
              </v:textbox>
            </v:shape>
            <v:shape id="Straight Connector 1652" o:spid="_x0000_s1655" type="#_x0000_t32" style="position:absolute;left:6285;top:11164;width:930;height:0">
              <v:stroke endarrow="block"/>
            </v:shape>
            <v:shape id="Quad Arrow 1653" o:spid="_x0000_s1656" type="#_x0000_t202" style="position:absolute;left:7245;top:11014;width:840;height:300" filled="f" stroked="f">
              <v:textbox inset="1.42pt,.85pt,1.42pt,.85pt">
                <w:txbxContent>
                  <w:p w:rsidR="00EE1CF7" w:rsidRDefault="00EE1CF7">
                    <w:pPr>
                      <w:rPr>
                        <w:b/>
                      </w:rPr>
                    </w:pPr>
                    <w:r>
                      <w:rPr>
                        <w:rFonts w:hint="eastAsia"/>
                        <w:b/>
                      </w:rPr>
                      <w:t>液化气</w:t>
                    </w:r>
                  </w:p>
                </w:txbxContent>
              </v:textbox>
            </v:shape>
            <v:shape id="Straight Connector 1654" o:spid="_x0000_s1657" type="#_x0000_t32" style="position:absolute;left:5397;top:11329;width:0;height:255"/>
            <v:shape id="Straight Connector 1655" o:spid="_x0000_s1658" type="#_x0000_t32" style="position:absolute;left:5055;top:11599;width:343;height:0;flip:x"/>
            <v:shape id="Straight Connector 1656" o:spid="_x0000_s1659" type="#_x0000_t32" style="position:absolute;left:5055;top:11614;width:0;height:300">
              <v:stroke endarrow="block"/>
            </v:shape>
            <v:shape id="Quad Arrow 1657" o:spid="_x0000_s1660" type="#_x0000_t202" style="position:absolute;left:4635;top:11914;width:780;height:300" filled="f" stroked="f">
              <v:textbox inset="1.42pt,.85pt,1.42pt,.85pt">
                <w:txbxContent>
                  <w:p w:rsidR="00EE1CF7" w:rsidRDefault="00EE1CF7">
                    <w:pPr>
                      <w:rPr>
                        <w:b/>
                      </w:rPr>
                    </w:pPr>
                    <w:r>
                      <w:rPr>
                        <w:rFonts w:hint="eastAsia"/>
                        <w:b/>
                      </w:rPr>
                      <w:t>低分气</w:t>
                    </w:r>
                  </w:p>
                </w:txbxContent>
              </v:textbox>
            </v:shape>
            <v:shape id="Straight Connector 1658" o:spid="_x0000_s1661" type="#_x0000_t32" style="position:absolute;left:4425;top:15379;width:1242;height:0">
              <v:stroke endarrow="block"/>
            </v:shape>
            <v:shape id="Quad Arrow 1659" o:spid="_x0000_s1662" type="#_x0000_t202" style="position:absolute;left:2625;top:15244;width:1920;height:300" filled="f" stroked="f">
              <v:textbox inset="1.42pt,.85pt,1.42pt,.85pt">
                <w:txbxContent>
                  <w:p w:rsidR="00EE1CF7" w:rsidRDefault="00EE1CF7">
                    <w:r>
                      <w:rPr>
                        <w:rFonts w:hint="eastAsia"/>
                      </w:rPr>
                      <w:t>厂区现工程酸性水</w:t>
                    </w:r>
                  </w:p>
                </w:txbxContent>
              </v:textbox>
            </v:shape>
            <v:shape id="Quad Arrow 1660" o:spid="_x0000_s1663" type="#_x0000_t202" style="position:absolute;left:7245;top:14929;width:1050;height:315">
              <v:textbox inset="1.42pt,.85pt,1.42pt,.85pt">
                <w:txbxContent>
                  <w:p w:rsidR="00EE1CF7" w:rsidRDefault="00EE1CF7">
                    <w:r>
                      <w:rPr>
                        <w:rFonts w:hint="eastAsia"/>
                      </w:rPr>
                      <w:t>硫磺回收</w:t>
                    </w:r>
                  </w:p>
                </w:txbxContent>
              </v:textbox>
            </v:shape>
            <v:shape id="Straight Connector 1661" o:spid="_x0000_s1664" type="#_x0000_t32" style="position:absolute;left:6003;top:15124;width:1242;height:15">
              <v:stroke endarrow="block"/>
            </v:shape>
            <v:shape id="Quad Arrow 1662" o:spid="_x0000_s1665" type="#_x0000_t202" style="position:absolute;left:6270;top:14884;width:720;height:300" filled="f" stroked="f">
              <v:textbox inset="1.42pt,.85pt,1.42pt,.85pt">
                <w:txbxContent>
                  <w:p w:rsidR="00EE1CF7" w:rsidRDefault="00EE1CF7">
                    <w:r>
                      <w:rPr>
                        <w:rFonts w:hint="eastAsia"/>
                      </w:rPr>
                      <w:t>酸性气</w:t>
                    </w:r>
                  </w:p>
                </w:txbxContent>
              </v:textbox>
            </v:shape>
            <v:shape id="Straight Connector 1663" o:spid="_x0000_s1666" type="#_x0000_t32" style="position:absolute;left:7347;top:14809;width:0;height:120;flip:y"/>
            <v:shape id="Straight Connector 1664" o:spid="_x0000_s1667" type="#_x0000_t32" style="position:absolute;left:6003;top:14809;width:1344;height:0;flip:x">
              <v:stroke endarrow="block"/>
            </v:shape>
            <v:shape id="Quad Arrow 1665" o:spid="_x0000_s1668" type="#_x0000_t202" style="position:absolute;left:6408;top:14509;width:720;height:300" filled="f" stroked="f">
              <v:textbox inset="1.42pt,.85pt,1.42pt,.85pt">
                <w:txbxContent>
                  <w:p w:rsidR="00EE1CF7" w:rsidRDefault="00EE1CF7">
                    <w:r>
                      <w:rPr>
                        <w:rFonts w:hint="eastAsia"/>
                      </w:rPr>
                      <w:t>酸性水</w:t>
                    </w:r>
                  </w:p>
                </w:txbxContent>
              </v:textbox>
            </v:shape>
            <v:shape id="Straight Connector 1666" o:spid="_x0000_s1669" type="#_x0000_t32" style="position:absolute;left:5835;top:15559;width:0;height:315"/>
            <v:shape id="Straight Connector 1667" o:spid="_x0000_s1670" type="#_x0000_t32" style="position:absolute;left:5835;top:15874;width:825;height:0">
              <v:stroke endarrow="block"/>
            </v:shape>
            <v:shape id="Quad Arrow 1668" o:spid="_x0000_s1671" type="#_x0000_t202" style="position:absolute;left:6660;top:15739;width:795;height:300" filled="f" stroked="f">
              <v:textbox inset="1.42pt,.85pt,1.42pt,.85pt">
                <w:txbxContent>
                  <w:p w:rsidR="00EE1CF7" w:rsidRDefault="00EE1CF7">
                    <w:r>
                      <w:rPr>
                        <w:rFonts w:hint="eastAsia"/>
                      </w:rPr>
                      <w:t>净化水</w:t>
                    </w:r>
                  </w:p>
                </w:txbxContent>
              </v:textbox>
            </v:shape>
            <v:shape id="Straight Connector 1669" o:spid="_x0000_s1672" type="#_x0000_t32" style="position:absolute;left:7920;top:10384;width:1605;height:0"/>
            <v:shape id="Straight Connector 1670" o:spid="_x0000_s1673" type="#_x0000_t32" style="position:absolute;left:9525;top:10384;width:0;height:4125"/>
            <v:shape id="Straight Connector 1671" o:spid="_x0000_s1674" type="#_x0000_t32" style="position:absolute;left:8085;top:14521;width:1440;height:0;flip:x"/>
            <v:shape id="Straight Connector 1672" o:spid="_x0000_s1675" type="#_x0000_t32" style="position:absolute;left:8085;top:14521;width:0;height:423">
              <v:stroke endarrow="block"/>
            </v:shape>
            <v:shape id="Quad Arrow 1673" o:spid="_x0000_s1676" type="#_x0000_t202" style="position:absolute;left:8295;top:10084;width:720;height:300" filled="f" stroked="f">
              <v:textbox inset="1.42pt,.85pt,1.42pt,.85pt">
                <w:txbxContent>
                  <w:p w:rsidR="00EE1CF7" w:rsidRDefault="00EE1CF7">
                    <w:r>
                      <w:rPr>
                        <w:rFonts w:hint="eastAsia"/>
                      </w:rPr>
                      <w:t>酸性气</w:t>
                    </w:r>
                  </w:p>
                </w:txbxContent>
              </v:textbox>
            </v:shape>
            <v:shape id="Straight Connector 1674" o:spid="_x0000_s1677" type="#_x0000_t32" style="position:absolute;left:8295;top:15094;width:525;height:0">
              <v:stroke endarrow="block"/>
            </v:shape>
            <v:shape id="Quad Arrow 1675" o:spid="_x0000_s1678" type="#_x0000_t202" style="position:absolute;left:8820;top:14944;width:585;height:300" filled="f" stroked="f">
              <v:textbox inset="1.42pt,.85pt,1.42pt,.85pt">
                <w:txbxContent>
                  <w:p w:rsidR="00EE1CF7" w:rsidRDefault="00EE1CF7">
                    <w:pPr>
                      <w:rPr>
                        <w:b/>
                      </w:rPr>
                    </w:pPr>
                    <w:r>
                      <w:rPr>
                        <w:rFonts w:hint="eastAsia"/>
                        <w:b/>
                      </w:rPr>
                      <w:t>硫磺</w:t>
                    </w:r>
                  </w:p>
                </w:txbxContent>
              </v:textbox>
            </v:shape>
            <v:shape id="Straight Connector 1676" o:spid="_x0000_s1679" type="#_x0000_t32" style="position:absolute;left:8085;top:15244;width:0;height:405">
              <v:stroke endarrow="block"/>
            </v:shape>
            <v:shape id="Quad Arrow 1677" o:spid="_x0000_s1680" type="#_x0000_t202" style="position:absolute;left:7830;top:15634;width:543;height:300" filled="f" stroked="f">
              <v:textbox inset="1.42pt,.85pt,1.42pt,.85pt">
                <w:txbxContent>
                  <w:p w:rsidR="00EE1CF7" w:rsidRDefault="00EE1CF7">
                    <w:r>
                      <w:rPr>
                        <w:rFonts w:hint="eastAsia"/>
                      </w:rPr>
                      <w:t>尾气</w:t>
                    </w:r>
                  </w:p>
                </w:txbxContent>
              </v:textbox>
            </v:shape>
            <v:shape id="Straight Connector 1678" o:spid="_x0000_s1681" type="#_x0000_t32" style="position:absolute;left:7920;top:13024;width:453;height:0" stroked="f">
              <v:stroke endarrow="block"/>
            </v:shape>
            <v:shape id="Quad Arrow 1679" o:spid="_x0000_s1682" type="#_x0000_t202" style="position:absolute;left:8355;top:12889;width:1050;height:300" filled="f" stroked="f">
              <v:textbox inset="1.42pt,.85pt,1.42pt,.85pt">
                <w:txbxContent>
                  <w:p w:rsidR="00EE1CF7" w:rsidRDefault="00EE1CF7"/>
                </w:txbxContent>
              </v:textbox>
            </v:shape>
            <v:shape id="Straight Connector 1680" o:spid="_x0000_s1683" type="#_x0000_t32" style="position:absolute;left:7920;top:13384;width:435;height:0" stroked="f">
              <v:stroke endarrow="block"/>
            </v:shape>
            <v:shape id="Quad Arrow 1681" o:spid="_x0000_s1684" type="#_x0000_t202" style="position:absolute;left:8373;top:13264;width:330;height:300" filled="f" stroked="f">
              <v:textbox inset="1.42pt,.85pt,1.42pt,.85pt">
                <w:txbxContent>
                  <w:p w:rsidR="00EE1CF7" w:rsidRDefault="00EE1CF7">
                    <w:pPr>
                      <w:rPr>
                        <w:b/>
                      </w:rPr>
                    </w:pPr>
                  </w:p>
                </w:txbxContent>
              </v:textbox>
            </v:shape>
            <v:shape id="Straight Connector 1682" o:spid="_x0000_s1685" type="#_x0000_t32" style="position:absolute;left:7920;top:13759;width:453;height:0" stroked="f">
              <v:stroke endarrow="block"/>
            </v:shape>
            <v:shape id="Quad Arrow 1683" o:spid="_x0000_s1686" type="#_x0000_t202" style="position:absolute;left:8373;top:13609;width:837;height:300" filled="f" stroked="f">
              <v:textbox inset="1.42pt,.85pt,1.42pt,.85pt">
                <w:txbxContent>
                  <w:p w:rsidR="00EE1CF7" w:rsidRDefault="00EE1CF7">
                    <w:pPr>
                      <w:rPr>
                        <w:b/>
                      </w:rPr>
                    </w:pPr>
                  </w:p>
                </w:txbxContent>
              </v:textbox>
            </v:shape>
            <v:shape id="Straight Connector 1684" o:spid="_x0000_s1687" type="#_x0000_t32" style="position:absolute;left:7752;top:13909;width:0;height:240" stroked="f"/>
            <v:shape id="Straight Connector 1685" o:spid="_x0000_s1688" type="#_x0000_t32" style="position:absolute;left:7752;top:14149;width:603;height:0" stroked="f">
              <v:stroke endarrow="block"/>
            </v:shape>
            <v:shape id="Quad Arrow 1686" o:spid="_x0000_s1689" type="#_x0000_t202" style="position:absolute;left:8385;top:13999;width:600;height:300" filled="f" stroked="f">
              <v:textbox inset="1.42pt,.85pt,1.42pt,.85pt">
                <w:txbxContent>
                  <w:p w:rsidR="00EE1CF7" w:rsidRDefault="00EE1CF7">
                    <w:pPr>
                      <w:rPr>
                        <w:b/>
                      </w:rPr>
                    </w:pPr>
                  </w:p>
                </w:txbxContent>
              </v:textbox>
            </v:shape>
          </v:group>
        </w:pict>
      </w: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jc w:val="center"/>
        <w:rPr>
          <w:rFonts w:ascii="Times New Roman" w:hAnsi="Times New Roman"/>
          <w:b/>
          <w:sz w:val="24"/>
          <w:szCs w:val="24"/>
        </w:rPr>
      </w:pPr>
    </w:p>
    <w:p w:rsidR="00525419" w:rsidRDefault="00EE1CF7">
      <w:pPr>
        <w:jc w:val="center"/>
        <w:rPr>
          <w:rFonts w:ascii="Times New Roman" w:hAnsi="Times New Roman"/>
          <w:b/>
          <w:sz w:val="24"/>
          <w:szCs w:val="24"/>
        </w:rPr>
      </w:pPr>
      <w:r>
        <w:rPr>
          <w:rFonts w:ascii="Times New Roman" w:hAnsi="Times New Roman"/>
          <w:b/>
          <w:sz w:val="24"/>
          <w:szCs w:val="24"/>
        </w:rPr>
        <w:t>图</w:t>
      </w:r>
      <w:r>
        <w:rPr>
          <w:rFonts w:ascii="Times New Roman" w:hAnsi="Times New Roman"/>
          <w:b/>
          <w:sz w:val="24"/>
          <w:szCs w:val="24"/>
        </w:rPr>
        <w:t>3.5-1</w:t>
      </w:r>
      <w:r>
        <w:rPr>
          <w:rFonts w:ascii="Times New Roman" w:hAnsi="Times New Roman"/>
          <w:b/>
          <w:sz w:val="24"/>
          <w:szCs w:val="24"/>
        </w:rPr>
        <w:t xml:space="preserve">　总体工艺流程图</w:t>
      </w:r>
    </w:p>
    <w:p w:rsidR="00525419" w:rsidRDefault="00EE1CF7">
      <w:pPr>
        <w:pStyle w:val="3a"/>
        <w:spacing w:beforeLines="50" w:before="159" w:after="156" w:line="360" w:lineRule="auto"/>
        <w:jc w:val="left"/>
        <w:rPr>
          <w:rFonts w:ascii="Times New Roman" w:eastAsia="华文楷体" w:hAnsi="Times New Roman"/>
        </w:rPr>
      </w:pPr>
      <w:r>
        <w:rPr>
          <w:rFonts w:ascii="Times New Roman" w:eastAsia="华文楷体" w:hAnsi="Times New Roman"/>
        </w:rPr>
        <w:t>3.5.2</w:t>
      </w:r>
      <w:r>
        <w:rPr>
          <w:rFonts w:ascii="Times New Roman" w:eastAsia="华文楷体" w:hAnsi="Times New Roman"/>
        </w:rPr>
        <w:t>生产装置</w:t>
      </w:r>
    </w:p>
    <w:p w:rsidR="00525419" w:rsidRDefault="00EE1CF7">
      <w:pPr>
        <w:pStyle w:val="afffe"/>
        <w:adjustRightInd w:val="0"/>
        <w:snapToGrid w:val="0"/>
        <w:spacing w:after="0" w:line="360" w:lineRule="auto"/>
        <w:ind w:firstLineChars="0" w:firstLine="0"/>
        <w:rPr>
          <w:b/>
          <w:bCs/>
          <w:sz w:val="24"/>
        </w:rPr>
      </w:pPr>
      <w:r>
        <w:rPr>
          <w:b/>
          <w:bCs/>
          <w:sz w:val="24"/>
        </w:rPr>
        <w:t>3.5.2.1</w:t>
      </w:r>
      <w:r>
        <w:rPr>
          <w:b/>
          <w:bCs/>
          <w:sz w:val="24"/>
        </w:rPr>
        <w:t>天然气制氢装置</w:t>
      </w:r>
    </w:p>
    <w:p w:rsidR="00525419" w:rsidRDefault="00EE1CF7">
      <w:pPr>
        <w:pStyle w:val="afffe"/>
        <w:adjustRightInd w:val="0"/>
        <w:snapToGrid w:val="0"/>
        <w:spacing w:after="0" w:line="360" w:lineRule="auto"/>
        <w:ind w:firstLineChars="200" w:firstLine="480"/>
        <w:rPr>
          <w:sz w:val="24"/>
        </w:rPr>
      </w:pPr>
      <w:r>
        <w:rPr>
          <w:sz w:val="24"/>
        </w:rPr>
        <w:t>（</w:t>
      </w:r>
      <w:r>
        <w:rPr>
          <w:sz w:val="24"/>
        </w:rPr>
        <w:t>1</w:t>
      </w:r>
      <w:r>
        <w:rPr>
          <w:sz w:val="24"/>
        </w:rPr>
        <w:t>）生产技术及反应原理</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本装置主要利用天然气为煤焦油加氢提供氢气。本装置工艺技术方案采用天然气蒸汽转化工艺和变压吸附气体分离技术</w:t>
      </w:r>
      <w:r>
        <w:rPr>
          <w:rFonts w:ascii="Times New Roman" w:hAnsi="Times New Roman" w:hint="eastAsia"/>
          <w:sz w:val="24"/>
          <w:szCs w:val="24"/>
        </w:rPr>
        <w:t>，</w:t>
      </w:r>
      <w:r>
        <w:rPr>
          <w:rFonts w:ascii="Times New Roman" w:hAnsi="Times New Roman"/>
          <w:sz w:val="24"/>
          <w:szCs w:val="24"/>
        </w:rPr>
        <w:t>装置规模为</w:t>
      </w:r>
      <w:r>
        <w:rPr>
          <w:rFonts w:ascii="Times New Roman" w:hAnsi="Times New Roman"/>
          <w:sz w:val="24"/>
          <w:szCs w:val="24"/>
        </w:rPr>
        <w:t>25000Nm³/h</w:t>
      </w:r>
      <w:r>
        <w:rPr>
          <w:rFonts w:ascii="Times New Roman" w:hAnsi="Times New Roman"/>
          <w:sz w:val="24"/>
          <w:szCs w:val="24"/>
        </w:rPr>
        <w:t>。</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本装置天然气脱硫采用氧化锌脱硫及加氢脱硫，其过程方程式如下：</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主反应方程式如下：</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2FeO+CS</w:t>
      </w:r>
      <w:r>
        <w:rPr>
          <w:rFonts w:ascii="Times New Roman" w:hAnsi="Times New Roman"/>
          <w:sz w:val="24"/>
          <w:szCs w:val="24"/>
          <w:vertAlign w:val="subscript"/>
        </w:rPr>
        <w:t>2</w:t>
      </w:r>
      <w:r>
        <w:rPr>
          <w:rFonts w:ascii="Times New Roman" w:hAnsi="Times New Roman"/>
          <w:sz w:val="24"/>
          <w:szCs w:val="24"/>
        </w:rPr>
        <w:t>=2FeS+CO</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sz w:val="24"/>
          <w:szCs w:val="24"/>
        </w:rPr>
        <w:t>MoO</w:t>
      </w:r>
      <w:r>
        <w:rPr>
          <w:rFonts w:ascii="Times New Roman" w:hAnsi="Times New Roman"/>
          <w:sz w:val="24"/>
          <w:szCs w:val="24"/>
          <w:vertAlign w:val="subscript"/>
        </w:rPr>
        <w:t>2</w:t>
      </w:r>
      <w:r>
        <w:rPr>
          <w:rFonts w:ascii="Times New Roman" w:hAnsi="Times New Roman"/>
          <w:sz w:val="24"/>
          <w:szCs w:val="24"/>
        </w:rPr>
        <w:t>+CS</w:t>
      </w:r>
      <w:r>
        <w:rPr>
          <w:rFonts w:ascii="Times New Roman" w:hAnsi="Times New Roman"/>
          <w:sz w:val="24"/>
          <w:szCs w:val="24"/>
          <w:vertAlign w:val="subscript"/>
        </w:rPr>
        <w:t>2</w:t>
      </w:r>
      <w:r>
        <w:rPr>
          <w:rFonts w:ascii="Times New Roman" w:hAnsi="Times New Roman"/>
          <w:sz w:val="24"/>
          <w:szCs w:val="24"/>
        </w:rPr>
        <w:t>=MoS</w:t>
      </w:r>
      <w:r>
        <w:rPr>
          <w:rFonts w:ascii="Times New Roman" w:hAnsi="Times New Roman"/>
          <w:sz w:val="24"/>
          <w:szCs w:val="24"/>
          <w:vertAlign w:val="subscript"/>
        </w:rPr>
        <w:t>2</w:t>
      </w:r>
      <w:r>
        <w:rPr>
          <w:rFonts w:ascii="Times New Roman" w:hAnsi="Times New Roman"/>
          <w:sz w:val="24"/>
          <w:szCs w:val="24"/>
        </w:rPr>
        <w:t>+CO</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sz w:val="24"/>
          <w:szCs w:val="24"/>
        </w:rPr>
        <w:t>COS+H</w:t>
      </w:r>
      <w:r>
        <w:rPr>
          <w:rFonts w:ascii="Times New Roman" w:hAnsi="Times New Roman"/>
          <w:sz w:val="24"/>
          <w:szCs w:val="24"/>
          <w:vertAlign w:val="subscript"/>
        </w:rPr>
        <w:t>2</w:t>
      </w:r>
      <w:r>
        <w:rPr>
          <w:rFonts w:ascii="Times New Roman" w:hAnsi="Times New Roman"/>
          <w:sz w:val="24"/>
          <w:szCs w:val="24"/>
        </w:rPr>
        <w:t>= H</w:t>
      </w:r>
      <w:r>
        <w:rPr>
          <w:rFonts w:ascii="Times New Roman" w:hAnsi="Times New Roman"/>
          <w:sz w:val="24"/>
          <w:szCs w:val="24"/>
          <w:vertAlign w:val="subscript"/>
        </w:rPr>
        <w:t>2</w:t>
      </w:r>
      <w:r>
        <w:rPr>
          <w:rFonts w:ascii="Times New Roman" w:hAnsi="Times New Roman"/>
          <w:sz w:val="24"/>
          <w:szCs w:val="24"/>
        </w:rPr>
        <w:t xml:space="preserve">S +CO </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CS</w:t>
      </w:r>
      <w:r>
        <w:rPr>
          <w:rFonts w:ascii="Times New Roman" w:hAnsi="Times New Roman"/>
          <w:sz w:val="24"/>
          <w:szCs w:val="24"/>
          <w:vertAlign w:val="subscript"/>
        </w:rPr>
        <w:t>2</w:t>
      </w:r>
      <w:r>
        <w:rPr>
          <w:rFonts w:ascii="Times New Roman" w:hAnsi="Times New Roman"/>
          <w:sz w:val="24"/>
          <w:szCs w:val="24"/>
        </w:rPr>
        <w:t>+4H</w:t>
      </w:r>
      <w:r>
        <w:rPr>
          <w:rFonts w:ascii="Times New Roman" w:hAnsi="Times New Roman"/>
          <w:sz w:val="24"/>
          <w:szCs w:val="24"/>
          <w:vertAlign w:val="subscript"/>
        </w:rPr>
        <w:t>2</w:t>
      </w:r>
      <w:r>
        <w:rPr>
          <w:rFonts w:ascii="Times New Roman" w:hAnsi="Times New Roman"/>
          <w:sz w:val="24"/>
          <w:szCs w:val="24"/>
        </w:rPr>
        <w:t>=2H</w:t>
      </w:r>
      <w:r>
        <w:rPr>
          <w:rFonts w:ascii="Times New Roman" w:hAnsi="Times New Roman"/>
          <w:sz w:val="24"/>
          <w:szCs w:val="24"/>
          <w:vertAlign w:val="subscript"/>
        </w:rPr>
        <w:t>2</w:t>
      </w:r>
      <w:r>
        <w:rPr>
          <w:rFonts w:ascii="Times New Roman" w:hAnsi="Times New Roman"/>
          <w:sz w:val="24"/>
          <w:szCs w:val="24"/>
        </w:rPr>
        <w:t>S +CH</w:t>
      </w:r>
      <w:r>
        <w:rPr>
          <w:rFonts w:ascii="Times New Roman" w:hAnsi="Times New Roman"/>
          <w:sz w:val="24"/>
          <w:szCs w:val="24"/>
          <w:vertAlign w:val="subscript"/>
        </w:rPr>
        <w:t>4</w:t>
      </w:r>
      <w:r>
        <w:rPr>
          <w:rFonts w:ascii="Times New Roman" w:hAnsi="Times New Roman"/>
          <w:sz w:val="24"/>
          <w:szCs w:val="24"/>
        </w:rPr>
        <w:t>；</w:t>
      </w:r>
      <w:r>
        <w:rPr>
          <w:rFonts w:ascii="Times New Roman" w:hAnsi="Times New Roman"/>
          <w:sz w:val="24"/>
          <w:szCs w:val="24"/>
        </w:rPr>
        <w:t>RSH+H</w:t>
      </w:r>
      <w:r>
        <w:rPr>
          <w:rFonts w:ascii="Times New Roman" w:hAnsi="Times New Roman"/>
          <w:sz w:val="24"/>
          <w:szCs w:val="24"/>
          <w:vertAlign w:val="subscript"/>
        </w:rPr>
        <w:t>2</w:t>
      </w:r>
      <w:r>
        <w:rPr>
          <w:rFonts w:ascii="Times New Roman" w:hAnsi="Times New Roman"/>
          <w:sz w:val="24"/>
          <w:szCs w:val="24"/>
        </w:rPr>
        <w:t>=RH+H</w:t>
      </w:r>
      <w:r>
        <w:rPr>
          <w:rFonts w:ascii="Times New Roman" w:hAnsi="Times New Roman"/>
          <w:sz w:val="24"/>
          <w:szCs w:val="24"/>
          <w:vertAlign w:val="subscript"/>
        </w:rPr>
        <w:t>2</w:t>
      </w:r>
      <w:r>
        <w:rPr>
          <w:rFonts w:ascii="Times New Roman" w:hAnsi="Times New Roman"/>
          <w:sz w:val="24"/>
          <w:szCs w:val="24"/>
        </w:rPr>
        <w:t xml:space="preserve">S </w:t>
      </w:r>
      <w:r>
        <w:rPr>
          <w:rFonts w:ascii="Times New Roman" w:hAnsi="Times New Roman"/>
          <w:sz w:val="24"/>
          <w:szCs w:val="24"/>
        </w:rPr>
        <w:t>；</w:t>
      </w:r>
      <w:r>
        <w:rPr>
          <w:rFonts w:ascii="Times New Roman" w:hAnsi="Times New Roman"/>
          <w:sz w:val="24"/>
          <w:szCs w:val="24"/>
        </w:rPr>
        <w:t>C</w:t>
      </w:r>
      <w:r>
        <w:rPr>
          <w:rFonts w:ascii="Times New Roman" w:hAnsi="Times New Roman"/>
          <w:sz w:val="24"/>
          <w:szCs w:val="24"/>
          <w:vertAlign w:val="subscript"/>
        </w:rPr>
        <w:t>4</w:t>
      </w:r>
      <w:r>
        <w:rPr>
          <w:rFonts w:ascii="Times New Roman" w:hAnsi="Times New Roman"/>
          <w:sz w:val="24"/>
          <w:szCs w:val="24"/>
        </w:rPr>
        <w:t>H</w:t>
      </w:r>
      <w:r>
        <w:rPr>
          <w:rFonts w:ascii="Times New Roman" w:hAnsi="Times New Roman"/>
          <w:sz w:val="24"/>
          <w:szCs w:val="24"/>
          <w:vertAlign w:val="subscript"/>
        </w:rPr>
        <w:t>4</w:t>
      </w:r>
      <w:r>
        <w:rPr>
          <w:rFonts w:ascii="Times New Roman" w:hAnsi="Times New Roman"/>
          <w:sz w:val="24"/>
          <w:szCs w:val="24"/>
        </w:rPr>
        <w:t>S+H</w:t>
      </w:r>
      <w:r>
        <w:rPr>
          <w:rFonts w:ascii="Times New Roman" w:hAnsi="Times New Roman"/>
          <w:sz w:val="24"/>
          <w:szCs w:val="24"/>
          <w:vertAlign w:val="subscript"/>
        </w:rPr>
        <w:t>2</w:t>
      </w:r>
      <w:r>
        <w:rPr>
          <w:rFonts w:ascii="Times New Roman" w:hAnsi="Times New Roman"/>
          <w:sz w:val="24"/>
          <w:szCs w:val="24"/>
        </w:rPr>
        <w:t>=C</w:t>
      </w:r>
      <w:r>
        <w:rPr>
          <w:rFonts w:ascii="Times New Roman" w:hAnsi="Times New Roman"/>
          <w:sz w:val="24"/>
          <w:szCs w:val="24"/>
          <w:vertAlign w:val="subscript"/>
        </w:rPr>
        <w:t>4</w:t>
      </w:r>
      <w:r>
        <w:rPr>
          <w:rFonts w:ascii="Times New Roman" w:hAnsi="Times New Roman"/>
          <w:sz w:val="24"/>
          <w:szCs w:val="24"/>
        </w:rPr>
        <w:t>H</w:t>
      </w:r>
      <w:r>
        <w:rPr>
          <w:rFonts w:ascii="Times New Roman" w:hAnsi="Times New Roman"/>
          <w:sz w:val="24"/>
          <w:szCs w:val="24"/>
          <w:vertAlign w:val="subscript"/>
        </w:rPr>
        <w:t>10</w:t>
      </w: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 xml:space="preserve">S </w:t>
      </w:r>
    </w:p>
    <w:p w:rsidR="00525419" w:rsidRDefault="00EE1CF7">
      <w:pPr>
        <w:adjustRightInd w:val="0"/>
        <w:snapToGrid w:val="0"/>
        <w:spacing w:line="360" w:lineRule="auto"/>
        <w:ind w:firstLineChars="176" w:firstLine="422"/>
        <w:rPr>
          <w:rFonts w:ascii="Times New Roman" w:hAnsi="Times New Roman"/>
          <w:sz w:val="24"/>
          <w:szCs w:val="24"/>
        </w:rPr>
      </w:pPr>
      <w:r>
        <w:rPr>
          <w:rFonts w:ascii="Times New Roman" w:hAnsi="Times New Roman"/>
          <w:sz w:val="24"/>
          <w:szCs w:val="24"/>
        </w:rPr>
        <w:t>ZnO+H</w:t>
      </w:r>
      <w:r>
        <w:rPr>
          <w:rFonts w:ascii="Times New Roman" w:hAnsi="Times New Roman"/>
          <w:sz w:val="24"/>
          <w:szCs w:val="24"/>
          <w:vertAlign w:val="subscript"/>
        </w:rPr>
        <w:t>2</w:t>
      </w:r>
      <w:r>
        <w:rPr>
          <w:rFonts w:ascii="Times New Roman" w:hAnsi="Times New Roman"/>
          <w:sz w:val="24"/>
          <w:szCs w:val="24"/>
        </w:rPr>
        <w:t>S=ZnS+H</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rPr>
        <w:t>；</w:t>
      </w:r>
      <w:r>
        <w:rPr>
          <w:rFonts w:ascii="Times New Roman" w:hAnsi="Times New Roman"/>
          <w:sz w:val="24"/>
          <w:szCs w:val="24"/>
        </w:rPr>
        <w:t>2ZnO+CS</w:t>
      </w:r>
      <w:r>
        <w:rPr>
          <w:rFonts w:ascii="Times New Roman" w:hAnsi="Times New Roman"/>
          <w:sz w:val="24"/>
          <w:szCs w:val="24"/>
          <w:vertAlign w:val="subscript"/>
        </w:rPr>
        <w:t>2</w:t>
      </w:r>
      <w:r>
        <w:rPr>
          <w:rFonts w:ascii="Times New Roman" w:hAnsi="Times New Roman"/>
          <w:sz w:val="24"/>
          <w:szCs w:val="24"/>
        </w:rPr>
        <w:t>=2ZnS+CO</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sz w:val="24"/>
          <w:szCs w:val="24"/>
        </w:rPr>
        <w:t>ZnO+COS=ZnS+CO</w:t>
      </w:r>
      <w:r>
        <w:rPr>
          <w:rFonts w:ascii="Times New Roman" w:hAnsi="Times New Roman"/>
          <w:sz w:val="24"/>
          <w:szCs w:val="24"/>
          <w:vertAlign w:val="subscript"/>
        </w:rPr>
        <w:t>2</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副反应方程式如下：</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O</w:t>
      </w:r>
      <w:r>
        <w:rPr>
          <w:rFonts w:ascii="Times New Roman" w:hAnsi="Times New Roman"/>
          <w:sz w:val="24"/>
          <w:szCs w:val="24"/>
          <w:vertAlign w:val="subscript"/>
        </w:rPr>
        <w:t>2</w:t>
      </w:r>
      <w:r>
        <w:rPr>
          <w:rFonts w:ascii="Times New Roman" w:hAnsi="Times New Roman"/>
          <w:sz w:val="24"/>
          <w:szCs w:val="24"/>
        </w:rPr>
        <w:t>+2H</w:t>
      </w:r>
      <w:r>
        <w:rPr>
          <w:rFonts w:ascii="Times New Roman" w:hAnsi="Times New Roman"/>
          <w:sz w:val="24"/>
          <w:szCs w:val="24"/>
          <w:vertAlign w:val="subscript"/>
        </w:rPr>
        <w:t>2</w:t>
      </w:r>
      <w:r>
        <w:rPr>
          <w:rFonts w:ascii="Times New Roman" w:hAnsi="Times New Roman"/>
          <w:sz w:val="24"/>
          <w:szCs w:val="24"/>
        </w:rPr>
        <w:t>=2H</w:t>
      </w:r>
      <w:r>
        <w:rPr>
          <w:rFonts w:ascii="Times New Roman" w:hAnsi="Times New Roman"/>
          <w:sz w:val="24"/>
          <w:szCs w:val="24"/>
          <w:vertAlign w:val="subscript"/>
        </w:rPr>
        <w:t>2</w:t>
      </w:r>
      <w:r>
        <w:rPr>
          <w:rFonts w:ascii="Times New Roman" w:hAnsi="Times New Roman"/>
          <w:sz w:val="24"/>
          <w:szCs w:val="24"/>
        </w:rPr>
        <w:t xml:space="preserve">O </w:t>
      </w:r>
      <w:r>
        <w:rPr>
          <w:rFonts w:ascii="Times New Roman" w:hAnsi="Times New Roman"/>
          <w:sz w:val="24"/>
          <w:szCs w:val="24"/>
        </w:rPr>
        <w:t>；</w:t>
      </w:r>
      <w:r>
        <w:rPr>
          <w:rFonts w:ascii="Times New Roman" w:hAnsi="Times New Roman"/>
          <w:sz w:val="24"/>
          <w:szCs w:val="24"/>
        </w:rPr>
        <w:t>CO+3H</w:t>
      </w:r>
      <w:r>
        <w:rPr>
          <w:rFonts w:ascii="Times New Roman" w:hAnsi="Times New Roman"/>
          <w:sz w:val="24"/>
          <w:szCs w:val="24"/>
          <w:vertAlign w:val="subscript"/>
        </w:rPr>
        <w:t>2</w:t>
      </w:r>
      <w:r>
        <w:rPr>
          <w:rFonts w:ascii="Times New Roman" w:hAnsi="Times New Roman"/>
          <w:sz w:val="24"/>
          <w:szCs w:val="24"/>
        </w:rPr>
        <w:t>=CH</w:t>
      </w:r>
      <w:r>
        <w:rPr>
          <w:rFonts w:ascii="Times New Roman" w:hAnsi="Times New Roman"/>
          <w:sz w:val="24"/>
          <w:szCs w:val="24"/>
          <w:vertAlign w:val="subscript"/>
        </w:rPr>
        <w:t>4</w:t>
      </w: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 xml:space="preserve">O </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本装置造气采用天然气水蒸汽的转化工艺，其过程方程式如下：</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lastRenderedPageBreak/>
        <w:t>2H</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vertAlign w:val="subscript"/>
        </w:rPr>
        <w:t>2</w:t>
      </w: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rPr>
        <w:t>；</w:t>
      </w:r>
      <w:r>
        <w:rPr>
          <w:rFonts w:ascii="Times New Roman" w:hAnsi="Times New Roman"/>
          <w:sz w:val="24"/>
          <w:szCs w:val="24"/>
        </w:rPr>
        <w:t>2CH</w:t>
      </w:r>
      <w:r>
        <w:rPr>
          <w:rFonts w:ascii="Times New Roman" w:hAnsi="Times New Roman"/>
          <w:sz w:val="24"/>
          <w:szCs w:val="24"/>
          <w:vertAlign w:val="subscript"/>
        </w:rPr>
        <w:t>4</w:t>
      </w:r>
      <w:r>
        <w:rPr>
          <w:rFonts w:ascii="Times New Roman" w:hAnsi="Times New Roman"/>
          <w:sz w:val="24"/>
          <w:szCs w:val="24"/>
        </w:rPr>
        <w:t>+O</w:t>
      </w:r>
      <w:r>
        <w:rPr>
          <w:rFonts w:ascii="Times New Roman" w:hAnsi="Times New Roman"/>
          <w:sz w:val="24"/>
          <w:szCs w:val="24"/>
          <w:vertAlign w:val="subscript"/>
        </w:rPr>
        <w:t>2</w:t>
      </w:r>
      <w:r>
        <w:rPr>
          <w:rFonts w:ascii="Times New Roman" w:hAnsi="Times New Roman"/>
          <w:sz w:val="24"/>
          <w:szCs w:val="24"/>
        </w:rPr>
        <w:t>=2CO+4H</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sz w:val="24"/>
          <w:szCs w:val="24"/>
        </w:rPr>
        <w:t>CH</w:t>
      </w:r>
      <w:r>
        <w:rPr>
          <w:rFonts w:ascii="Times New Roman" w:hAnsi="Times New Roman"/>
          <w:sz w:val="24"/>
          <w:szCs w:val="24"/>
          <w:vertAlign w:val="subscript"/>
        </w:rPr>
        <w:t>4</w:t>
      </w: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O=CO+3H</w:t>
      </w:r>
      <w:r>
        <w:rPr>
          <w:rFonts w:ascii="Times New Roman" w:hAnsi="Times New Roman"/>
          <w:sz w:val="24"/>
          <w:szCs w:val="24"/>
          <w:vertAlign w:val="subscript"/>
        </w:rPr>
        <w:t>2</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CH</w:t>
      </w:r>
      <w:r>
        <w:rPr>
          <w:rFonts w:ascii="Times New Roman" w:hAnsi="Times New Roman"/>
          <w:sz w:val="24"/>
          <w:szCs w:val="24"/>
          <w:vertAlign w:val="subscript"/>
        </w:rPr>
        <w:t>4</w:t>
      </w:r>
      <w:r>
        <w:rPr>
          <w:rFonts w:ascii="Times New Roman" w:hAnsi="Times New Roman"/>
          <w:sz w:val="24"/>
          <w:szCs w:val="24"/>
        </w:rPr>
        <w:t>+CO</w:t>
      </w:r>
      <w:r>
        <w:rPr>
          <w:rFonts w:ascii="Times New Roman" w:hAnsi="Times New Roman"/>
          <w:sz w:val="24"/>
          <w:szCs w:val="24"/>
          <w:vertAlign w:val="subscript"/>
        </w:rPr>
        <w:t>2</w:t>
      </w:r>
      <w:r>
        <w:rPr>
          <w:rFonts w:ascii="Times New Roman" w:hAnsi="Times New Roman"/>
          <w:sz w:val="24"/>
          <w:szCs w:val="24"/>
        </w:rPr>
        <w:t>=2CO+2H</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sz w:val="24"/>
          <w:szCs w:val="24"/>
        </w:rPr>
        <w:t>CO+H</w:t>
      </w:r>
      <w:r>
        <w:rPr>
          <w:rFonts w:ascii="Times New Roman" w:hAnsi="Times New Roman"/>
          <w:sz w:val="24"/>
          <w:szCs w:val="24"/>
          <w:vertAlign w:val="subscript"/>
        </w:rPr>
        <w:t>2</w:t>
      </w:r>
      <w:r>
        <w:rPr>
          <w:rFonts w:ascii="Times New Roman" w:hAnsi="Times New Roman"/>
          <w:sz w:val="24"/>
          <w:szCs w:val="24"/>
        </w:rPr>
        <w:t>O=CO</w:t>
      </w:r>
      <w:r>
        <w:rPr>
          <w:rFonts w:ascii="Times New Roman" w:hAnsi="Times New Roman"/>
          <w:sz w:val="24"/>
          <w:szCs w:val="24"/>
          <w:vertAlign w:val="subscript"/>
        </w:rPr>
        <w:t>2</w:t>
      </w:r>
      <w:r>
        <w:rPr>
          <w:rFonts w:ascii="Times New Roman" w:hAnsi="Times New Roman"/>
          <w:sz w:val="24"/>
          <w:szCs w:val="24"/>
        </w:rPr>
        <w:t>+H</w:t>
      </w:r>
      <w:r>
        <w:rPr>
          <w:rFonts w:ascii="Times New Roman" w:hAnsi="Times New Roman"/>
          <w:sz w:val="24"/>
          <w:szCs w:val="24"/>
          <w:vertAlign w:val="subscript"/>
        </w:rPr>
        <w:t>2</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本装置变换采用中温变换技术，其过程方程式如下：</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变换</w:t>
      </w:r>
      <w:r>
        <w:rPr>
          <w:rFonts w:ascii="Times New Roman" w:hAnsi="Times New Roman"/>
          <w:sz w:val="24"/>
          <w:szCs w:val="24"/>
        </w:rPr>
        <w:t xml:space="preserve">      CO + H</w:t>
      </w:r>
      <w:r>
        <w:rPr>
          <w:rFonts w:ascii="Times New Roman" w:hAnsi="Times New Roman"/>
          <w:sz w:val="24"/>
          <w:szCs w:val="24"/>
          <w:vertAlign w:val="subscript"/>
        </w:rPr>
        <w:t>2</w:t>
      </w:r>
      <w:r>
        <w:rPr>
          <w:rFonts w:ascii="Times New Roman" w:hAnsi="Times New Roman"/>
          <w:sz w:val="24"/>
          <w:szCs w:val="24"/>
        </w:rPr>
        <w:t>O → CO</w:t>
      </w:r>
      <w:r>
        <w:rPr>
          <w:rFonts w:ascii="Times New Roman" w:hAnsi="Times New Roman"/>
          <w:sz w:val="24"/>
          <w:szCs w:val="24"/>
          <w:vertAlign w:val="subscript"/>
        </w:rPr>
        <w:t>2</w:t>
      </w:r>
      <w:r>
        <w:rPr>
          <w:rFonts w:ascii="Times New Roman" w:hAnsi="Times New Roman"/>
          <w:sz w:val="24"/>
          <w:szCs w:val="24"/>
        </w:rPr>
        <w:t xml:space="preserve"> + H</w:t>
      </w:r>
      <w:r>
        <w:rPr>
          <w:rFonts w:ascii="Times New Roman" w:hAnsi="Times New Roman"/>
          <w:sz w:val="24"/>
          <w:szCs w:val="24"/>
          <w:vertAlign w:val="subscript"/>
        </w:rPr>
        <w:t xml:space="preserve">2 </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总化学方程式如下：</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CH</w:t>
      </w:r>
      <w:r>
        <w:rPr>
          <w:rFonts w:ascii="Times New Roman" w:hAnsi="Times New Roman"/>
          <w:sz w:val="24"/>
          <w:szCs w:val="24"/>
          <w:vertAlign w:val="subscript"/>
        </w:rPr>
        <w:t>4</w:t>
      </w:r>
      <w:r>
        <w:rPr>
          <w:rFonts w:ascii="Times New Roman" w:hAnsi="Times New Roman"/>
          <w:sz w:val="24"/>
          <w:szCs w:val="24"/>
        </w:rPr>
        <w:t xml:space="preserve"> + 2H</w:t>
      </w:r>
      <w:r>
        <w:rPr>
          <w:rFonts w:ascii="Times New Roman" w:hAnsi="Times New Roman"/>
          <w:sz w:val="24"/>
          <w:szCs w:val="24"/>
          <w:vertAlign w:val="subscript"/>
        </w:rPr>
        <w:t>2</w:t>
      </w:r>
      <w:r>
        <w:rPr>
          <w:rFonts w:ascii="Times New Roman" w:hAnsi="Times New Roman"/>
          <w:sz w:val="24"/>
          <w:szCs w:val="24"/>
        </w:rPr>
        <w:t>O → CO</w:t>
      </w:r>
      <w:r>
        <w:rPr>
          <w:rFonts w:ascii="Times New Roman" w:hAnsi="Times New Roman"/>
          <w:sz w:val="24"/>
          <w:szCs w:val="24"/>
          <w:vertAlign w:val="subscript"/>
        </w:rPr>
        <w:t xml:space="preserve">2 </w:t>
      </w:r>
      <w:r>
        <w:rPr>
          <w:rFonts w:ascii="Times New Roman" w:hAnsi="Times New Roman"/>
          <w:sz w:val="24"/>
          <w:szCs w:val="24"/>
        </w:rPr>
        <w:t>+ 4H</w:t>
      </w:r>
      <w:r>
        <w:rPr>
          <w:rFonts w:ascii="Times New Roman" w:hAnsi="Times New Roman"/>
          <w:sz w:val="24"/>
          <w:szCs w:val="24"/>
          <w:vertAlign w:val="subscript"/>
        </w:rPr>
        <w:t>2</w:t>
      </w:r>
    </w:p>
    <w:p w:rsidR="00525419" w:rsidRDefault="00EE1CF7">
      <w:pPr>
        <w:pStyle w:val="afffe"/>
        <w:adjustRightInd w:val="0"/>
        <w:spacing w:after="0" w:line="360" w:lineRule="auto"/>
        <w:ind w:firstLineChars="200" w:firstLine="480"/>
        <w:rPr>
          <w:sz w:val="24"/>
        </w:rPr>
      </w:pPr>
      <w:r>
        <w:rPr>
          <w:sz w:val="24"/>
        </w:rPr>
        <w:t>（</w:t>
      </w:r>
      <w:r>
        <w:rPr>
          <w:sz w:val="24"/>
        </w:rPr>
        <w:t>2</w:t>
      </w:r>
      <w:r>
        <w:rPr>
          <w:sz w:val="24"/>
        </w:rPr>
        <w:t>）工艺流程简述</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装置由原料气压缩、加氢脱硫、蒸汽转化、中温变换、产汽系统、</w:t>
      </w:r>
      <w:r>
        <w:rPr>
          <w:rFonts w:ascii="Times New Roman" w:hAnsi="Times New Roman"/>
          <w:sz w:val="24"/>
          <w:szCs w:val="24"/>
        </w:rPr>
        <w:t>PSA</w:t>
      </w:r>
      <w:r>
        <w:rPr>
          <w:rFonts w:ascii="Times New Roman" w:hAnsi="Times New Roman"/>
          <w:sz w:val="24"/>
          <w:szCs w:val="24"/>
        </w:rPr>
        <w:t>氢气提纯部分等部分组成。</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原料气压缩</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来自装置外的天然气，与自</w:t>
      </w:r>
      <w:r>
        <w:rPr>
          <w:rFonts w:ascii="Times New Roman" w:hAnsi="Times New Roman"/>
          <w:sz w:val="24"/>
          <w:szCs w:val="24"/>
        </w:rPr>
        <w:t>PSA</w:t>
      </w:r>
      <w:r>
        <w:rPr>
          <w:rFonts w:ascii="Times New Roman" w:hAnsi="Times New Roman"/>
          <w:sz w:val="24"/>
          <w:szCs w:val="24"/>
        </w:rPr>
        <w:t>部分来的循环氢气混合并进入原料气缓冲罐后</w:t>
      </w:r>
      <w:r>
        <w:rPr>
          <w:rFonts w:ascii="Times New Roman" w:hAnsi="Times New Roman"/>
          <w:sz w:val="24"/>
          <w:szCs w:val="24"/>
        </w:rPr>
        <w:t xml:space="preserve">, </w:t>
      </w:r>
      <w:r>
        <w:rPr>
          <w:rFonts w:ascii="Times New Roman" w:hAnsi="Times New Roman"/>
          <w:sz w:val="24"/>
          <w:szCs w:val="24"/>
        </w:rPr>
        <w:t>经原料气压缩机加压，然后进入原料第一预热器，原料第二预热器预热至</w:t>
      </w:r>
      <w:r>
        <w:rPr>
          <w:rFonts w:ascii="Times New Roman" w:hAnsi="Times New Roman"/>
          <w:sz w:val="24"/>
          <w:szCs w:val="24"/>
        </w:rPr>
        <w:t>380℃</w:t>
      </w:r>
      <w:r>
        <w:rPr>
          <w:rFonts w:ascii="Times New Roman" w:hAnsi="Times New Roman"/>
          <w:sz w:val="24"/>
          <w:szCs w:val="24"/>
        </w:rPr>
        <w:t>进入脱硫部分。</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加氢脱硫部分</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进入加氢脱硫部分的原料，在加氢反应器中发生反应，使有机硫转化为无机硫。加氢反应器出口约为</w:t>
      </w:r>
      <w:r>
        <w:rPr>
          <w:rFonts w:ascii="Times New Roman" w:hAnsi="Times New Roman"/>
          <w:sz w:val="24"/>
          <w:szCs w:val="24"/>
        </w:rPr>
        <w:t>360℃</w:t>
      </w:r>
      <w:r>
        <w:rPr>
          <w:rFonts w:ascii="Times New Roman" w:hAnsi="Times New Roman"/>
          <w:sz w:val="24"/>
          <w:szCs w:val="24"/>
        </w:rPr>
        <w:t>的原料气进入氧化锌脱硫反应器脱除硫化氢。经过加氢脱硫处理后的气体进入转化部分。</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转化部分</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加氢脱硫处理后的气体先水碳比</w:t>
      </w:r>
      <w:r>
        <w:rPr>
          <w:rFonts w:ascii="Times New Roman" w:hAnsi="Times New Roman"/>
          <w:sz w:val="24"/>
          <w:szCs w:val="24"/>
        </w:rPr>
        <w:t>3.2</w:t>
      </w:r>
      <w:r>
        <w:rPr>
          <w:rFonts w:ascii="Times New Roman" w:hAnsi="Times New Roman"/>
          <w:sz w:val="24"/>
          <w:szCs w:val="24"/>
        </w:rPr>
        <w:t>与</w:t>
      </w:r>
      <w:r>
        <w:rPr>
          <w:rFonts w:ascii="Times New Roman" w:hAnsi="Times New Roman"/>
          <w:sz w:val="24"/>
          <w:szCs w:val="24"/>
        </w:rPr>
        <w:t>3.5MPa</w:t>
      </w:r>
      <w:r>
        <w:rPr>
          <w:rFonts w:ascii="Times New Roman" w:hAnsi="Times New Roman"/>
          <w:sz w:val="24"/>
          <w:szCs w:val="24"/>
        </w:rPr>
        <w:t>水蒸汽混合，再经</w:t>
      </w:r>
      <w:r>
        <w:rPr>
          <w:rFonts w:ascii="Times New Roman" w:hAnsi="Times New Roman" w:hint="eastAsia"/>
          <w:sz w:val="24"/>
          <w:szCs w:val="24"/>
        </w:rPr>
        <w:t>制氢转化炉</w:t>
      </w:r>
      <w:r>
        <w:rPr>
          <w:rFonts w:ascii="Times New Roman" w:hAnsi="Times New Roman"/>
          <w:sz w:val="24"/>
          <w:szCs w:val="24"/>
        </w:rPr>
        <w:t>对流段预热至</w:t>
      </w:r>
      <w:r>
        <w:rPr>
          <w:rFonts w:ascii="Times New Roman" w:hAnsi="Times New Roman"/>
          <w:sz w:val="24"/>
          <w:szCs w:val="24"/>
        </w:rPr>
        <w:t>600℃</w:t>
      </w:r>
      <w:r>
        <w:rPr>
          <w:rFonts w:ascii="Times New Roman" w:hAnsi="Times New Roman"/>
          <w:sz w:val="24"/>
          <w:szCs w:val="24"/>
        </w:rPr>
        <w:t>进入</w:t>
      </w:r>
      <w:r>
        <w:rPr>
          <w:rFonts w:ascii="Times New Roman" w:hAnsi="Times New Roman" w:hint="eastAsia"/>
          <w:sz w:val="24"/>
          <w:szCs w:val="24"/>
        </w:rPr>
        <w:t>制氢转化炉</w:t>
      </w:r>
      <w:r>
        <w:rPr>
          <w:rFonts w:ascii="Times New Roman" w:hAnsi="Times New Roman"/>
          <w:sz w:val="24"/>
          <w:szCs w:val="24"/>
        </w:rPr>
        <w:t>辐射段。在催化剂的作用下，发生烃类与水蒸汽的转化反应。整个反应过程是吸热的，所需热量由</w:t>
      </w:r>
      <w:r>
        <w:rPr>
          <w:rFonts w:ascii="Times New Roman" w:hAnsi="Times New Roman" w:hint="eastAsia"/>
          <w:sz w:val="24"/>
          <w:szCs w:val="24"/>
        </w:rPr>
        <w:t>制氢转化炉</w:t>
      </w:r>
      <w:r>
        <w:rPr>
          <w:rFonts w:ascii="Times New Roman" w:hAnsi="Times New Roman"/>
          <w:sz w:val="24"/>
          <w:szCs w:val="24"/>
        </w:rPr>
        <w:t>燃烧器提供，出转化炉约</w:t>
      </w:r>
      <w:r>
        <w:rPr>
          <w:rFonts w:ascii="Times New Roman" w:hAnsi="Times New Roman"/>
          <w:sz w:val="24"/>
          <w:szCs w:val="24"/>
        </w:rPr>
        <w:t>885℃</w:t>
      </w:r>
      <w:r>
        <w:rPr>
          <w:rFonts w:ascii="Times New Roman" w:hAnsi="Times New Roman"/>
          <w:sz w:val="24"/>
          <w:szCs w:val="24"/>
        </w:rPr>
        <w:t>高温转化气，经转化气</w:t>
      </w:r>
      <w:r>
        <w:rPr>
          <w:rFonts w:ascii="Times New Roman" w:hAnsi="Times New Roman"/>
          <w:bCs/>
          <w:sz w:val="24"/>
          <w:szCs w:val="24"/>
        </w:rPr>
        <w:t>蒸汽发生器发生中压蒸气后，温度降至</w:t>
      </w:r>
      <w:r>
        <w:rPr>
          <w:rFonts w:ascii="Times New Roman" w:hAnsi="Times New Roman"/>
          <w:bCs/>
          <w:sz w:val="24"/>
          <w:szCs w:val="24"/>
        </w:rPr>
        <w:t>340</w:t>
      </w:r>
      <w:r>
        <w:rPr>
          <w:rFonts w:ascii="Times New Roman" w:hAnsi="Times New Roman"/>
          <w:bCs/>
          <w:sz w:val="24"/>
          <w:szCs w:val="24"/>
        </w:rPr>
        <w:t>－</w:t>
      </w:r>
      <w:r>
        <w:rPr>
          <w:rFonts w:ascii="Times New Roman" w:hAnsi="Times New Roman"/>
          <w:bCs/>
          <w:sz w:val="24"/>
          <w:szCs w:val="24"/>
        </w:rPr>
        <w:t>360℃</w:t>
      </w:r>
      <w:r>
        <w:rPr>
          <w:rFonts w:ascii="Times New Roman" w:hAnsi="Times New Roman"/>
          <w:bCs/>
          <w:sz w:val="24"/>
          <w:szCs w:val="24"/>
        </w:rPr>
        <w:t>，进入中温变换部分。</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变换部分</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转化气进入中温变换反应器，在催化剂的作用下发生变换反应，将变换气中</w:t>
      </w:r>
      <w:r>
        <w:rPr>
          <w:rFonts w:ascii="Times New Roman" w:hAnsi="Times New Roman"/>
          <w:sz w:val="24"/>
          <w:szCs w:val="24"/>
        </w:rPr>
        <w:t>CO</w:t>
      </w:r>
      <w:r>
        <w:rPr>
          <w:rFonts w:ascii="Times New Roman" w:hAnsi="Times New Roman"/>
          <w:sz w:val="24"/>
          <w:szCs w:val="24"/>
        </w:rPr>
        <w:t>含量降至</w:t>
      </w:r>
      <w:r>
        <w:rPr>
          <w:rFonts w:ascii="Times New Roman" w:hAnsi="Times New Roman"/>
          <w:sz w:val="24"/>
          <w:szCs w:val="24"/>
        </w:rPr>
        <w:t>4%</w:t>
      </w:r>
      <w:r>
        <w:rPr>
          <w:rFonts w:ascii="Times New Roman" w:hAnsi="Times New Roman"/>
          <w:sz w:val="24"/>
          <w:szCs w:val="24"/>
        </w:rPr>
        <w:t>左右。变换气经</w:t>
      </w:r>
      <w:r>
        <w:rPr>
          <w:rFonts w:ascii="Times New Roman" w:hAnsi="Times New Roman"/>
          <w:bCs/>
          <w:sz w:val="24"/>
          <w:szCs w:val="24"/>
        </w:rPr>
        <w:t>锅炉给水第二预热器和锅炉给水第一预热器预热锅炉给水、除盐水预热器（预热除盐水）和除氧用蒸汽发生器发生蒸汽后，再通过空冷器和中变气水冷却器冷却后</w:t>
      </w:r>
      <w:r>
        <w:rPr>
          <w:rFonts w:ascii="Times New Roman" w:hAnsi="Times New Roman"/>
          <w:sz w:val="24"/>
          <w:szCs w:val="24"/>
        </w:rPr>
        <w:t>，变换气水冷却器冷却至</w:t>
      </w:r>
      <w:r>
        <w:rPr>
          <w:rFonts w:ascii="Times New Roman" w:hAnsi="Times New Roman"/>
          <w:sz w:val="24"/>
          <w:szCs w:val="24"/>
        </w:rPr>
        <w:t>40℃</w:t>
      </w:r>
      <w:r>
        <w:rPr>
          <w:rFonts w:ascii="Times New Roman" w:hAnsi="Times New Roman"/>
          <w:sz w:val="24"/>
          <w:szCs w:val="24"/>
        </w:rPr>
        <w:t>，并经分水后进入</w:t>
      </w:r>
      <w:r>
        <w:rPr>
          <w:rFonts w:ascii="Times New Roman" w:hAnsi="Times New Roman"/>
          <w:sz w:val="24"/>
          <w:szCs w:val="24"/>
        </w:rPr>
        <w:t>PSA</w:t>
      </w:r>
      <w:r>
        <w:rPr>
          <w:rFonts w:ascii="Times New Roman" w:hAnsi="Times New Roman"/>
          <w:sz w:val="24"/>
          <w:szCs w:val="24"/>
        </w:rPr>
        <w:t>部分。</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lastRenderedPageBreak/>
        <w:t>▲PSA</w:t>
      </w:r>
      <w:r>
        <w:rPr>
          <w:rFonts w:ascii="Times New Roman" w:hAnsi="Times New Roman"/>
          <w:sz w:val="24"/>
          <w:szCs w:val="24"/>
        </w:rPr>
        <w:t>部分</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经过冷却、分水后的变换气进入</w:t>
      </w:r>
      <w:r>
        <w:rPr>
          <w:rFonts w:ascii="Times New Roman" w:hAnsi="Times New Roman"/>
          <w:sz w:val="24"/>
          <w:szCs w:val="24"/>
        </w:rPr>
        <w:t>PSA</w:t>
      </w:r>
      <w:r>
        <w:rPr>
          <w:rFonts w:ascii="Times New Roman" w:hAnsi="Times New Roman"/>
          <w:sz w:val="24"/>
          <w:szCs w:val="24"/>
        </w:rPr>
        <w:t>吸附塔内，在吸附剂选择吸附的条件下，将含氢混合气中的</w:t>
      </w:r>
      <w:r>
        <w:rPr>
          <w:rFonts w:ascii="Times New Roman" w:hAnsi="Times New Roman"/>
          <w:sz w:val="24"/>
          <w:szCs w:val="24"/>
        </w:rPr>
        <w:t>CO</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sz w:val="24"/>
          <w:szCs w:val="24"/>
        </w:rPr>
        <w:t>CO</w:t>
      </w:r>
      <w:r>
        <w:rPr>
          <w:rFonts w:ascii="Times New Roman" w:hAnsi="Times New Roman"/>
          <w:sz w:val="24"/>
          <w:szCs w:val="24"/>
        </w:rPr>
        <w:t>、</w:t>
      </w:r>
      <w:r>
        <w:rPr>
          <w:rFonts w:ascii="Times New Roman" w:hAnsi="Times New Roman"/>
          <w:sz w:val="24"/>
          <w:szCs w:val="24"/>
        </w:rPr>
        <w:t>CH</w:t>
      </w:r>
      <w:r>
        <w:rPr>
          <w:rFonts w:ascii="Times New Roman" w:hAnsi="Times New Roman"/>
          <w:sz w:val="24"/>
          <w:szCs w:val="24"/>
          <w:vertAlign w:val="subscript"/>
        </w:rPr>
        <w:t>4</w:t>
      </w:r>
      <w:r>
        <w:rPr>
          <w:rFonts w:ascii="Times New Roman" w:hAnsi="Times New Roman"/>
          <w:sz w:val="24"/>
          <w:szCs w:val="24"/>
        </w:rPr>
        <w:t>等杂质吸附下来，未被吸附的氢气经产品缓冲塔稳压后送出界区，氢气纯度大于</w:t>
      </w:r>
      <w:r>
        <w:rPr>
          <w:rFonts w:ascii="Times New Roman" w:hAnsi="Times New Roman"/>
          <w:sz w:val="24"/>
          <w:szCs w:val="24"/>
        </w:rPr>
        <w:t>99.9%</w:t>
      </w:r>
      <w:r>
        <w:rPr>
          <w:rFonts w:ascii="Times New Roman" w:hAnsi="Times New Roman"/>
          <w:sz w:val="24"/>
          <w:szCs w:val="24"/>
        </w:rPr>
        <w:t>。</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从吸附塔再生阶段释放出来的解吸气经过缓冲罐稳定压力和组成后，作为主要燃料进入转化炉，转化炉的补充燃料为界区外管网的燃料气。</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工艺冷凝水回收系统</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在转化炉前配入的工艺蒸汽，一部分参与转化、变换反应生成了</w:t>
      </w: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sz w:val="24"/>
          <w:szCs w:val="24"/>
        </w:rPr>
        <w:t>CO</w:t>
      </w:r>
      <w:r>
        <w:rPr>
          <w:rFonts w:ascii="Times New Roman" w:hAnsi="Times New Roman"/>
          <w:sz w:val="24"/>
          <w:szCs w:val="24"/>
        </w:rPr>
        <w:t>、</w:t>
      </w:r>
      <w:r>
        <w:rPr>
          <w:rFonts w:ascii="Times New Roman" w:hAnsi="Times New Roman"/>
          <w:sz w:val="24"/>
          <w:szCs w:val="24"/>
        </w:rPr>
        <w:t>CO</w:t>
      </w:r>
      <w:r>
        <w:rPr>
          <w:rFonts w:ascii="Times New Roman" w:hAnsi="Times New Roman"/>
          <w:sz w:val="24"/>
          <w:szCs w:val="24"/>
          <w:vertAlign w:val="subscript"/>
        </w:rPr>
        <w:t xml:space="preserve">2 </w:t>
      </w:r>
      <w:r>
        <w:rPr>
          <w:rFonts w:ascii="Times New Roman" w:hAnsi="Times New Roman"/>
          <w:sz w:val="24"/>
          <w:szCs w:val="24"/>
        </w:rPr>
        <w:t>,</w:t>
      </w:r>
      <w:r>
        <w:rPr>
          <w:rFonts w:ascii="Times New Roman" w:hAnsi="Times New Roman"/>
          <w:sz w:val="24"/>
          <w:szCs w:val="24"/>
        </w:rPr>
        <w:t>另外一部分则在热交换过程中被冷凝，并在中变气分水罐中被分离出来。中变气第一分水罐、中变气第二分水罐和中变气第三分水罐分离的酸性水，混合后进入酸性水汽提塔，汽提冷凝水与除盐水进入除氧器处理用于装置余热锅炉用水。</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热回收及产汽系统</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脱盐水由装置外来，经中变气</w:t>
      </w:r>
      <w:r>
        <w:rPr>
          <w:rFonts w:ascii="Times New Roman" w:hAnsi="Times New Roman"/>
          <w:sz w:val="24"/>
          <w:szCs w:val="24"/>
        </w:rPr>
        <w:t>/</w:t>
      </w:r>
      <w:r>
        <w:rPr>
          <w:rFonts w:ascii="Times New Roman" w:hAnsi="Times New Roman"/>
          <w:sz w:val="24"/>
          <w:szCs w:val="24"/>
        </w:rPr>
        <w:t>脱盐水换热器后，与装置内回收的凝结水混合进入除氧器。除氧水经过锅炉给水泵升压后经过中变气</w:t>
      </w:r>
      <w:r>
        <w:rPr>
          <w:rFonts w:ascii="Times New Roman" w:hAnsi="Times New Roman"/>
          <w:sz w:val="24"/>
          <w:szCs w:val="24"/>
        </w:rPr>
        <w:t>/</w:t>
      </w:r>
      <w:r>
        <w:rPr>
          <w:rFonts w:ascii="Times New Roman" w:hAnsi="Times New Roman"/>
          <w:sz w:val="24"/>
          <w:szCs w:val="24"/>
        </w:rPr>
        <w:t>除氧水换热器加热后进入汽包。</w:t>
      </w:r>
    </w:p>
    <w:p w:rsidR="00525419" w:rsidRDefault="00EE1CF7">
      <w:pPr>
        <w:adjustRightInd w:val="0"/>
        <w:spacing w:line="360" w:lineRule="auto"/>
        <w:ind w:rightChars="178" w:right="374" w:firstLineChars="220" w:firstLine="528"/>
        <w:jc w:val="left"/>
        <w:textAlignment w:val="baseline"/>
        <w:rPr>
          <w:rFonts w:ascii="Times New Roman" w:hAnsi="Times New Roman"/>
          <w:bCs/>
          <w:sz w:val="24"/>
          <w:szCs w:val="24"/>
        </w:rPr>
      </w:pPr>
      <w:r>
        <w:rPr>
          <w:rFonts w:ascii="Times New Roman" w:hAnsi="Times New Roman"/>
          <w:bCs/>
          <w:sz w:val="24"/>
          <w:szCs w:val="24"/>
        </w:rPr>
        <w:t>来自中压锅炉给水泵的除氧水经过锅炉给水第一预热器、锅炉给水第二预热器预热至饱和温度后进入中压汽水分离器中。饱和水通过自然循环方式经转化炉对流段的蒸发段及转化气蒸汽发生器发生</w:t>
      </w:r>
      <w:r>
        <w:rPr>
          <w:rFonts w:ascii="Times New Roman" w:hAnsi="Times New Roman"/>
          <w:bCs/>
          <w:sz w:val="24"/>
          <w:szCs w:val="24"/>
        </w:rPr>
        <w:t>3.5MPa</w:t>
      </w:r>
      <w:r>
        <w:rPr>
          <w:rFonts w:ascii="Times New Roman" w:hAnsi="Times New Roman"/>
          <w:bCs/>
          <w:sz w:val="24"/>
          <w:szCs w:val="24"/>
        </w:rPr>
        <w:t>饱和蒸汽，再经过转化炉的对流段过热至</w:t>
      </w:r>
      <w:r>
        <w:rPr>
          <w:rFonts w:ascii="Times New Roman" w:hAnsi="Times New Roman"/>
          <w:bCs/>
          <w:sz w:val="24"/>
          <w:szCs w:val="24"/>
        </w:rPr>
        <w:t>450℃</w:t>
      </w:r>
      <w:r>
        <w:rPr>
          <w:rFonts w:ascii="Times New Roman" w:hAnsi="Times New Roman"/>
          <w:bCs/>
          <w:sz w:val="24"/>
          <w:szCs w:val="24"/>
        </w:rPr>
        <w:t>。该蒸汽一部分供造气装置自用，其余部分经减温减压至</w:t>
      </w:r>
      <w:r>
        <w:rPr>
          <w:rFonts w:ascii="Times New Roman" w:hAnsi="Times New Roman"/>
          <w:bCs/>
          <w:sz w:val="24"/>
          <w:szCs w:val="24"/>
        </w:rPr>
        <w:t>1.0MPa,250℃</w:t>
      </w:r>
      <w:r>
        <w:rPr>
          <w:rFonts w:ascii="Times New Roman" w:hAnsi="Times New Roman"/>
          <w:bCs/>
          <w:sz w:val="24"/>
          <w:szCs w:val="24"/>
        </w:rPr>
        <w:t>低压蒸汽出装置。</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制氢生产工艺流程及主要产污环节见图</w:t>
      </w:r>
      <w:r>
        <w:rPr>
          <w:rFonts w:ascii="Times New Roman" w:hAnsi="Times New Roman"/>
          <w:sz w:val="24"/>
          <w:szCs w:val="24"/>
        </w:rPr>
        <w:t>3.5-2</w:t>
      </w:r>
      <w:r>
        <w:rPr>
          <w:rFonts w:ascii="Times New Roman" w:hAnsi="Times New Roman"/>
          <w:sz w:val="24"/>
          <w:szCs w:val="24"/>
        </w:rPr>
        <w:t>。</w:t>
      </w:r>
    </w:p>
    <w:p w:rsidR="00525419" w:rsidRDefault="00525419">
      <w:pPr>
        <w:spacing w:line="360" w:lineRule="auto"/>
        <w:ind w:firstLineChars="200" w:firstLine="480"/>
        <w:rPr>
          <w:rFonts w:ascii="Times New Roman" w:hAnsi="Times New Roman"/>
          <w:sz w:val="24"/>
          <w:szCs w:val="24"/>
        </w:rPr>
      </w:pPr>
    </w:p>
    <w:p w:rsidR="00525419" w:rsidRDefault="00525419">
      <w:pPr>
        <w:spacing w:line="360" w:lineRule="auto"/>
        <w:ind w:firstLineChars="200" w:firstLine="480"/>
        <w:rPr>
          <w:rFonts w:ascii="Times New Roman" w:hAnsi="Times New Roman"/>
          <w:sz w:val="24"/>
          <w:szCs w:val="24"/>
        </w:rPr>
      </w:pPr>
    </w:p>
    <w:p w:rsidR="00525419" w:rsidRDefault="00525419">
      <w:pPr>
        <w:spacing w:line="360" w:lineRule="auto"/>
        <w:ind w:firstLineChars="200" w:firstLine="480"/>
        <w:rPr>
          <w:rFonts w:ascii="Times New Roman" w:hAnsi="Times New Roman"/>
          <w:sz w:val="24"/>
          <w:szCs w:val="24"/>
        </w:rPr>
      </w:pPr>
    </w:p>
    <w:p w:rsidR="00525419" w:rsidRDefault="00525419">
      <w:pPr>
        <w:spacing w:line="360" w:lineRule="auto"/>
        <w:ind w:firstLineChars="200" w:firstLine="480"/>
        <w:rPr>
          <w:rFonts w:ascii="Times New Roman" w:hAnsi="Times New Roman"/>
          <w:sz w:val="24"/>
          <w:szCs w:val="24"/>
        </w:rPr>
      </w:pPr>
    </w:p>
    <w:p w:rsidR="00525419" w:rsidRDefault="00525419">
      <w:pPr>
        <w:spacing w:line="360" w:lineRule="auto"/>
        <w:ind w:firstLineChars="200" w:firstLine="480"/>
        <w:rPr>
          <w:rFonts w:ascii="Times New Roman" w:hAnsi="Times New Roman"/>
          <w:sz w:val="24"/>
          <w:szCs w:val="24"/>
        </w:rPr>
      </w:pPr>
    </w:p>
    <w:p w:rsidR="00525419" w:rsidRDefault="00525419">
      <w:pPr>
        <w:spacing w:line="360" w:lineRule="auto"/>
        <w:ind w:firstLineChars="200" w:firstLine="480"/>
        <w:rPr>
          <w:rFonts w:ascii="Times New Roman" w:hAnsi="Times New Roman"/>
          <w:sz w:val="24"/>
          <w:szCs w:val="24"/>
        </w:rPr>
      </w:pPr>
    </w:p>
    <w:p w:rsidR="00525419" w:rsidRDefault="00525419">
      <w:pPr>
        <w:spacing w:line="360" w:lineRule="auto"/>
        <w:ind w:firstLineChars="200" w:firstLine="480"/>
        <w:rPr>
          <w:rFonts w:ascii="Times New Roman" w:hAnsi="Times New Roman"/>
          <w:sz w:val="24"/>
          <w:szCs w:val="24"/>
        </w:rPr>
      </w:pPr>
    </w:p>
    <w:p w:rsidR="00525419" w:rsidRDefault="007D0E8A">
      <w:pPr>
        <w:pStyle w:val="afb"/>
      </w:pPr>
      <w:r>
        <w:lastRenderedPageBreak/>
        <w:pict>
          <v:group id="Group 1687" o:spid="_x0000_s1690" style="position:absolute;left:0;text-align:left;margin-left:-7.4pt;margin-top:9.9pt;width:404.25pt;height:201.85pt;z-index:251639296" coordorigin="1770,10481" coordsize="8085,4037">
            <v:shape id="Quad Arrow 1688" o:spid="_x0000_s1691" type="#_x0000_t202" style="position:absolute;left:8010;top:14114;width:1200;height:404" o:preferrelative="t" filled="f" stroked="f">
              <v:textbox inset="1.42pt,.85pt,1.42pt,.85pt">
                <w:txbxContent>
                  <w:p w:rsidR="00EE1CF7" w:rsidRDefault="00EE1CF7">
                    <w:r>
                      <w:rPr>
                        <w:rFonts w:hint="eastAsia"/>
                      </w:rPr>
                      <w:t>S4</w:t>
                    </w:r>
                    <w:r>
                      <w:rPr>
                        <w:rFonts w:hint="eastAsia"/>
                      </w:rPr>
                      <w:t>废催化剂</w:t>
                    </w:r>
                  </w:p>
                </w:txbxContent>
              </v:textbox>
            </v:shape>
            <v:shape id="Quad Arrow 1689" o:spid="_x0000_s1692" type="#_x0000_t202" style="position:absolute;left:1770;top:11325;width:750;height:312" o:preferrelative="t" filled="f" stroked="f">
              <v:textbox inset="1.42pt,.85pt,1.42pt,.85pt">
                <w:txbxContent>
                  <w:p w:rsidR="00EE1CF7" w:rsidRDefault="00EE1CF7">
                    <w:r>
                      <w:rPr>
                        <w:rFonts w:hint="eastAsia"/>
                      </w:rPr>
                      <w:t>天然气</w:t>
                    </w:r>
                  </w:p>
                </w:txbxContent>
              </v:textbox>
            </v:shape>
            <v:shape id="Quad Arrow 1690" o:spid="_x0000_s1693" type="#_x0000_t202" style="position:absolute;left:3060;top:11325;width:1260;height:312" o:preferrelative="t">
              <v:stroke miterlimit="2"/>
              <v:textbox inset="1.42pt,.85pt,1.42pt,.85pt">
                <w:txbxContent>
                  <w:p w:rsidR="00EE1CF7" w:rsidRDefault="00EE1CF7">
                    <w:r>
                      <w:rPr>
                        <w:rFonts w:hint="eastAsia"/>
                      </w:rPr>
                      <w:t>加氢反应器</w:t>
                    </w:r>
                  </w:p>
                </w:txbxContent>
              </v:textbox>
            </v:shape>
            <v:line id="Line 1691" o:spid="_x0000_s1694" style="position:absolute" from="2520,11481" to="3060,11481" o:preferrelative="t">
              <v:stroke endarrow="block" miterlimit="2"/>
            </v:line>
            <v:line id="Line 1692" o:spid="_x0000_s1695" style="position:absolute" from="4320,11481" to="4860,11481" o:preferrelative="t">
              <v:stroke endarrow="block" miterlimit="2"/>
            </v:line>
            <v:shape id="Quad Arrow 1693" o:spid="_x0000_s1696" type="#_x0000_t202" style="position:absolute;left:4860;top:11325;width:1260;height:312" o:preferrelative="t">
              <v:stroke miterlimit="2"/>
              <v:textbox inset="1.42pt,.85pt,1.42pt,.85pt">
                <w:txbxContent>
                  <w:p w:rsidR="00EE1CF7" w:rsidRDefault="00EE1CF7">
                    <w:r>
                      <w:rPr>
                        <w:rFonts w:hint="eastAsia"/>
                      </w:rPr>
                      <w:t>脱硫反应器</w:t>
                    </w:r>
                  </w:p>
                </w:txbxContent>
              </v:textbox>
            </v:shape>
            <v:line id="Line 1694" o:spid="_x0000_s1697" style="position:absolute" from="3600,11637" to="3600,12105" o:preferrelative="t">
              <v:stroke dashstyle="dash" endarrow="block" miterlimit="2"/>
            </v:line>
            <v:shape id="Quad Arrow 1695" o:spid="_x0000_s1698" type="#_x0000_t202" style="position:absolute;left:2880;top:12105;width:1170;height:404" o:preferrelative="t" filled="f" stroked="f">
              <v:textbox inset="1.42pt,.85pt,1.42pt,.85pt">
                <w:txbxContent>
                  <w:p w:rsidR="00EE1CF7" w:rsidRDefault="00EE1CF7">
                    <w:r>
                      <w:rPr>
                        <w:rFonts w:hint="eastAsia"/>
                      </w:rPr>
                      <w:t>S1</w:t>
                    </w:r>
                    <w:r>
                      <w:rPr>
                        <w:rFonts w:hint="eastAsia"/>
                      </w:rPr>
                      <w:t>废催化剂</w:t>
                    </w:r>
                  </w:p>
                </w:txbxContent>
              </v:textbox>
            </v:shape>
            <v:line id="Line 1696" o:spid="_x0000_s1699" style="position:absolute" from="5400,11637" to="5400,12105" o:preferrelative="t">
              <v:stroke dashstyle="dash" endarrow="block" miterlimit="2"/>
            </v:line>
            <v:shape id="Quad Arrow 1697" o:spid="_x0000_s1700" type="#_x0000_t202" style="position:absolute;left:4350;top:12105;width:2310;height:404" o:preferrelative="t" filled="f" stroked="f">
              <v:textbox inset="1.42pt,.85pt,1.42pt,.85pt">
                <w:txbxContent>
                  <w:p w:rsidR="00EE1CF7" w:rsidRDefault="00EE1CF7">
                    <w:r>
                      <w:rPr>
                        <w:rFonts w:hint="eastAsia"/>
                      </w:rPr>
                      <w:t>S2</w:t>
                    </w:r>
                    <w:r>
                      <w:rPr>
                        <w:rFonts w:hint="eastAsia"/>
                      </w:rPr>
                      <w:t>废脱硫剂、废脱氯剂</w:t>
                    </w:r>
                  </w:p>
                </w:txbxContent>
              </v:textbox>
            </v:shape>
            <v:shape id="Quad Arrow 1698" o:spid="_x0000_s1701" type="#_x0000_t202" style="position:absolute;left:6855;top:11325;width:705;height:312" o:preferrelative="t">
              <v:stroke miterlimit="2"/>
              <v:textbox inset="1.42pt,.85pt,1.42pt,.85pt">
                <w:txbxContent>
                  <w:p w:rsidR="00EE1CF7" w:rsidRDefault="00EE1CF7">
                    <w:r>
                      <w:rPr>
                        <w:rFonts w:hint="eastAsia"/>
                      </w:rPr>
                      <w:t>转化炉</w:t>
                    </w:r>
                  </w:p>
                </w:txbxContent>
              </v:textbox>
            </v:shape>
            <v:line id="Line 1699" o:spid="_x0000_s1702" style="position:absolute" from="6120,11481" to="6840,11481" o:preferrelative="t">
              <v:stroke endarrow="block" miterlimit="2"/>
            </v:line>
            <v:line id="Line 1700" o:spid="_x0000_s1703" style="position:absolute;flip:y" from="7200,11013" to="7200,11325" o:preferrelative="t">
              <v:stroke dashstyle="dash" endarrow="block" miterlimit="2"/>
            </v:line>
            <v:shape id="Quad Arrow 1701" o:spid="_x0000_s1704" type="#_x0000_t202" style="position:absolute;left:6840;top:10701;width:795;height:312" o:preferrelative="t" filled="f" stroked="f">
              <v:textbox inset="1.42pt,.85pt,1.42pt,.85pt">
                <w:txbxContent>
                  <w:p w:rsidR="00EE1CF7" w:rsidRDefault="00EE1CF7">
                    <w:r>
                      <w:rPr>
                        <w:rFonts w:hint="eastAsia"/>
                      </w:rPr>
                      <w:t>G1</w:t>
                    </w:r>
                    <w:r>
                      <w:rPr>
                        <w:rFonts w:hint="eastAsia"/>
                      </w:rPr>
                      <w:t>烟气</w:t>
                    </w:r>
                  </w:p>
                </w:txbxContent>
              </v:textbox>
            </v:shape>
            <v:shape id="Quad Arrow 1702" o:spid="_x0000_s1705" type="#_x0000_t202" style="position:absolute;left:8100;top:11325;width:1440;height:312" o:preferrelative="t">
              <v:stroke miterlimit="2"/>
              <v:textbox inset="1.42pt,.85pt,1.42pt,.85pt">
                <w:txbxContent>
                  <w:p w:rsidR="00EE1CF7" w:rsidRDefault="00EE1CF7">
                    <w:r>
                      <w:rPr>
                        <w:rFonts w:hint="eastAsia"/>
                      </w:rPr>
                      <w:t>蒸汽发生器</w:t>
                    </w:r>
                  </w:p>
                </w:txbxContent>
              </v:textbox>
            </v:shape>
            <v:line id="Line 1703" o:spid="_x0000_s1706" style="position:absolute" from="7560,11481" to="8100,11481" o:preferrelative="t">
              <v:stroke endarrow="block" miterlimit="2"/>
            </v:line>
            <v:line id="Line 1704" o:spid="_x0000_s1707" style="position:absolute;flip:y" from="8640,10857" to="8640,11325" o:preferrelative="t">
              <v:stroke dashstyle="dash" endarrow="block" miterlimit="2"/>
            </v:line>
            <v:shape id="Quad Arrow 1705" o:spid="_x0000_s1708" type="#_x0000_t202" style="position:absolute;left:7740;top:10481;width:2115;height:468" o:preferrelative="t" filled="f" stroked="f">
              <v:textbox inset="1.42pt,.85pt,1.42pt,.85pt">
                <w:txbxContent>
                  <w:p w:rsidR="00EE1CF7" w:rsidRDefault="00EE1CF7">
                    <w:r>
                      <w:rPr>
                        <w:rFonts w:hint="eastAsia"/>
                      </w:rPr>
                      <w:t>W1</w:t>
                    </w:r>
                    <w:r>
                      <w:rPr>
                        <w:rFonts w:hint="eastAsia"/>
                      </w:rPr>
                      <w:t>连续扩容器排水</w:t>
                    </w:r>
                  </w:p>
                </w:txbxContent>
              </v:textbox>
            </v:shape>
            <v:shape id="Quad Arrow 1706" o:spid="_x0000_s1709" type="#_x0000_t202" style="position:absolute;left:7755;top:13334;width:1620;height:312" o:preferrelative="t">
              <v:stroke miterlimit="2"/>
              <v:textbox inset="1.42pt,.85pt,1.42pt,.85pt">
                <w:txbxContent>
                  <w:p w:rsidR="00EE1CF7" w:rsidRDefault="00EE1CF7">
                    <w:r>
                      <w:rPr>
                        <w:rFonts w:hint="eastAsia"/>
                      </w:rPr>
                      <w:t>中温变换反应器</w:t>
                    </w:r>
                  </w:p>
                </w:txbxContent>
              </v:textbox>
            </v:shape>
            <v:line id="Line 1707" o:spid="_x0000_s1710" style="position:absolute" from="8640,11637" to="8640,13334" o:preferrelative="t">
              <v:stroke endarrow="block" miterlimit="2"/>
            </v:line>
            <v:line id="Line 1708" o:spid="_x0000_s1711" style="position:absolute" from="7200,11637" to="7200,12105" o:preferrelative="t">
              <v:stroke dashstyle="dash" endarrow="block" miterlimit="2"/>
            </v:line>
            <v:shape id="Quad Arrow 1709" o:spid="_x0000_s1712" type="#_x0000_t202" style="position:absolute;left:6660;top:12041;width:1260;height:404" o:preferrelative="t" filled="f" stroked="f">
              <v:textbox inset="1.42pt,.85pt,1.42pt,.85pt">
                <w:txbxContent>
                  <w:p w:rsidR="00EE1CF7" w:rsidRDefault="00EE1CF7">
                    <w:r>
                      <w:rPr>
                        <w:rFonts w:hint="eastAsia"/>
                      </w:rPr>
                      <w:t>S3</w:t>
                    </w:r>
                    <w:r>
                      <w:rPr>
                        <w:rFonts w:hint="eastAsia"/>
                      </w:rPr>
                      <w:t>废催化剂</w:t>
                    </w:r>
                  </w:p>
                </w:txbxContent>
              </v:textbox>
            </v:shape>
            <v:line id="Line 1710" o:spid="_x0000_s1713" style="position:absolute" from="8475,13646" to="8475,14114" o:preferrelative="t">
              <v:stroke dashstyle="dash" endarrow="block" miterlimit="2"/>
            </v:line>
            <v:line id="Line 1711" o:spid="_x0000_s1714" style="position:absolute;flip:x" from="7215,13490" to="7755,13490" o:preferrelative="t">
              <v:stroke endarrow="block" miterlimit="2"/>
            </v:line>
            <v:shape id="Quad Arrow 1712" o:spid="_x0000_s1715" type="#_x0000_t202" style="position:absolute;left:6480;top:13334;width:720;height:312" o:preferrelative="t">
              <v:stroke miterlimit="2"/>
              <v:textbox inset="1.42pt,.85pt,1.42pt,.85pt">
                <w:txbxContent>
                  <w:p w:rsidR="00EE1CF7" w:rsidRDefault="00EE1CF7">
                    <w:r>
                      <w:rPr>
                        <w:rFonts w:hint="eastAsia"/>
                      </w:rPr>
                      <w:t>分水罐</w:t>
                    </w:r>
                  </w:p>
                </w:txbxContent>
              </v:textbox>
            </v:shape>
            <v:shape id="Quad Arrow 1713" o:spid="_x0000_s1716" type="#_x0000_t202" style="position:absolute;left:5640;top:12660;width:1200;height:300" o:preferrelative="t" filled="f" stroked="f">
              <v:textbox inset="1.42pt,.85pt,1.42pt,.85pt">
                <w:txbxContent>
                  <w:p w:rsidR="00EE1CF7" w:rsidRDefault="00EE1CF7">
                    <w:r>
                      <w:rPr>
                        <w:rFonts w:hint="eastAsia"/>
                      </w:rPr>
                      <w:t>凝结分离水</w:t>
                    </w:r>
                  </w:p>
                </w:txbxContent>
              </v:textbox>
            </v:shape>
            <v:shape id="Quad Arrow 1714" o:spid="_x0000_s1717" type="#_x0000_t202" style="position:absolute;left:5055;top:13334;width:720;height:312" o:preferrelative="t">
              <v:stroke miterlimit="2"/>
              <v:textbox inset="1.42pt,.85pt,1.42pt,.85pt">
                <w:txbxContent>
                  <w:p w:rsidR="00EE1CF7" w:rsidRDefault="00EE1CF7">
                    <w:r>
                      <w:rPr>
                        <w:rFonts w:hint="eastAsia"/>
                      </w:rPr>
                      <w:t>吸附塔</w:t>
                    </w:r>
                  </w:p>
                </w:txbxContent>
              </v:textbox>
            </v:shape>
            <v:line id="Line 1715" o:spid="_x0000_s1718" style="position:absolute;flip:x" from="5775,13490" to="6495,13490" o:preferrelative="t">
              <v:stroke endarrow="block" miterlimit="2"/>
            </v:line>
            <v:line id="Line 1716" o:spid="_x0000_s1719" style="position:absolute;flip:x" from="4335,13490" to="5055,13490" o:preferrelative="t">
              <v:stroke endarrow="block" miterlimit="2"/>
            </v:line>
            <v:shape id="Quad Arrow 1717" o:spid="_x0000_s1720" type="#_x0000_t202" style="position:absolute;left:3795;top:13334;width:540;height:312" o:preferrelative="t" filled="f" stroked="f">
              <v:textbox inset="1.42pt,.85pt,1.42pt,.85pt">
                <w:txbxContent>
                  <w:p w:rsidR="00EE1CF7" w:rsidRDefault="00EE1CF7">
                    <w:r>
                      <w:rPr>
                        <w:rFonts w:hint="eastAsia"/>
                      </w:rPr>
                      <w:t>氢气</w:t>
                    </w:r>
                  </w:p>
                </w:txbxContent>
              </v:textbox>
            </v:shape>
            <v:line id="Line 1718" o:spid="_x0000_s1721" style="position:absolute" from="5415,13646" to="5415,14114" o:preferrelative="t">
              <v:stroke endarrow="block" miterlimit="2"/>
            </v:line>
            <v:shape id="Quad Arrow 1719" o:spid="_x0000_s1722" type="#_x0000_t202" style="position:absolute;left:4440;top:14114;width:1980;height:312" o:preferrelative="t" filled="f" stroked="f">
              <v:textbox inset="1.42pt,.85pt,1.42pt,.85pt">
                <w:txbxContent>
                  <w:p w:rsidR="00EE1CF7" w:rsidRDefault="00EE1CF7">
                    <w:r>
                      <w:rPr>
                        <w:rFonts w:hint="eastAsia"/>
                      </w:rPr>
                      <w:t>脱附气作为燃料利用</w:t>
                    </w:r>
                  </w:p>
                </w:txbxContent>
              </v:textbox>
            </v:shape>
            <v:line id="Line 1720" o:spid="_x0000_s1723" style="position:absolute" from="5775,13646" to="6315,13802" o:preferrelative="t">
              <v:stroke dashstyle="dash" endarrow="block" miterlimit="2"/>
            </v:line>
            <v:shape id="Quad Arrow 1721" o:spid="_x0000_s1724" type="#_x0000_t202" style="position:absolute;left:6315;top:13691;width:1980;height:359" o:preferrelative="t" filled="f" stroked="f">
              <v:textbox inset="1.42pt,.85pt,1.42pt,.85pt">
                <w:txbxContent>
                  <w:p w:rsidR="00EE1CF7" w:rsidRDefault="00EE1CF7">
                    <w:r>
                      <w:rPr>
                        <w:rFonts w:hint="eastAsia"/>
                      </w:rPr>
                      <w:t>S5</w:t>
                    </w:r>
                    <w:r>
                      <w:rPr>
                        <w:rFonts w:hint="eastAsia"/>
                      </w:rPr>
                      <w:t>废吸附剂、废瓷球</w:t>
                    </w:r>
                  </w:p>
                </w:txbxContent>
              </v:textbox>
            </v:shape>
            <v:shape id="Straight Connector 1722" o:spid="_x0000_s1725" type="#_x0000_t32" style="position:absolute;left:6840;top:12809;width:0;height:525;flip:y" o:connectortype="straight" o:preferrelative="t">
              <v:stroke dashstyle="dash" miterlimit="2"/>
            </v:shape>
            <v:shape id="Straight Connector 1723" o:spid="_x0000_s1726" type="#_x0000_t32" style="position:absolute;left:5400;top:12839;width:1440;height:0;flip:x" o:connectortype="straight" o:preferrelative="t">
              <v:stroke dashstyle="dash" endarrow="block" miterlimit="2"/>
            </v:shape>
            <v:shape id="Quad Arrow 1724" o:spid="_x0000_s1727" type="#_x0000_t202" style="position:absolute;left:4605;top:12660;width:795;height:312" o:preferrelative="t">
              <v:stroke miterlimit="2"/>
              <v:textbox inset="1.42pt,.85pt,1.42pt,.85pt">
                <w:txbxContent>
                  <w:p w:rsidR="00EE1CF7" w:rsidRDefault="00EE1CF7">
                    <w:r>
                      <w:rPr>
                        <w:rFonts w:hint="eastAsia"/>
                      </w:rPr>
                      <w:t>汽提塔</w:t>
                    </w:r>
                  </w:p>
                </w:txbxContent>
              </v:textbox>
            </v:shape>
            <v:shape id="Straight Connector 1725" o:spid="_x0000_s1728" type="#_x0000_t32" style="position:absolute;left:5160;top:12509;width:0;height:151" o:connectortype="straight" o:preferrelative="t">
              <v:stroke miterlimit="2"/>
            </v:shape>
            <v:shape id="Straight Connector 1726" o:spid="_x0000_s1729" type="#_x0000_t32" style="position:absolute;left:5160;top:12509;width:3135;height:0" o:connectortype="straight" o:preferrelative="t">
              <v:stroke miterlimit="2"/>
            </v:shape>
            <v:shape id="Straight Connector 1727" o:spid="_x0000_s1730" type="#_x0000_t32" style="position:absolute;left:8295;top:11695;width:0;height:814;flip:y" o:connectortype="straight" o:preferrelative="t">
              <v:stroke endarrow="block" miterlimit="2"/>
            </v:shape>
            <v:shape id="Quad Arrow 1728" o:spid="_x0000_s1731" type="#_x0000_t202" style="position:absolute;left:7110;top:12290;width:990;height:370" o:preferrelative="t" filled="f" stroked="f">
              <v:textbox inset="1.42pt,.85pt,1.42pt,.85pt">
                <w:txbxContent>
                  <w:p w:rsidR="00EE1CF7" w:rsidRDefault="00EE1CF7">
                    <w:r>
                      <w:rPr>
                        <w:rFonts w:hint="eastAsia"/>
                      </w:rPr>
                      <w:t>净化水</w:t>
                    </w:r>
                  </w:p>
                </w:txbxContent>
              </v:textbox>
            </v:shape>
          </v:group>
        </w:pict>
      </w:r>
    </w:p>
    <w:p w:rsidR="00525419" w:rsidRDefault="00525419">
      <w:pPr>
        <w:pStyle w:val="afb"/>
      </w:pPr>
    </w:p>
    <w:p w:rsidR="00525419" w:rsidRDefault="00525419">
      <w:pPr>
        <w:pStyle w:val="afb"/>
      </w:pPr>
    </w:p>
    <w:p w:rsidR="00525419" w:rsidRDefault="00525419">
      <w:pPr>
        <w:pStyle w:val="afb"/>
      </w:pPr>
    </w:p>
    <w:p w:rsidR="00525419" w:rsidRDefault="00525419">
      <w:pPr>
        <w:pStyle w:val="afb"/>
      </w:pPr>
    </w:p>
    <w:p w:rsidR="00525419" w:rsidRDefault="00525419">
      <w:pPr>
        <w:pStyle w:val="afb"/>
      </w:pPr>
    </w:p>
    <w:p w:rsidR="00525419" w:rsidRDefault="00525419">
      <w:pPr>
        <w:pStyle w:val="afb"/>
      </w:pPr>
    </w:p>
    <w:p w:rsidR="00525419" w:rsidRDefault="00525419">
      <w:pPr>
        <w:pStyle w:val="afb"/>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autoSpaceDE w:val="0"/>
        <w:autoSpaceDN w:val="0"/>
        <w:adjustRightInd w:val="0"/>
        <w:ind w:firstLineChars="650" w:firstLine="1365"/>
        <w:jc w:val="left"/>
        <w:rPr>
          <w:rFonts w:ascii="Times New Roman" w:eastAsia="黑体" w:hAnsi="Times New Roman"/>
          <w:kern w:val="0"/>
          <w:szCs w:val="21"/>
        </w:rPr>
      </w:pPr>
    </w:p>
    <w:p w:rsidR="00525419" w:rsidRDefault="00EE1CF7">
      <w:pPr>
        <w:autoSpaceDE w:val="0"/>
        <w:autoSpaceDN w:val="0"/>
        <w:adjustRightInd w:val="0"/>
        <w:ind w:firstLineChars="650" w:firstLine="1365"/>
        <w:jc w:val="left"/>
        <w:rPr>
          <w:rFonts w:ascii="Times New Roman" w:eastAsia="黑体" w:hAnsi="Times New Roman"/>
          <w:kern w:val="0"/>
          <w:sz w:val="20"/>
          <w:szCs w:val="20"/>
        </w:rPr>
      </w:pPr>
      <w:r>
        <w:rPr>
          <w:rFonts w:ascii="Times New Roman" w:eastAsia="黑体" w:hAnsi="Times New Roman"/>
          <w:kern w:val="0"/>
          <w:szCs w:val="21"/>
        </w:rPr>
        <w:t>图例：</w:t>
      </w:r>
      <w:r>
        <w:rPr>
          <w:rFonts w:ascii="Times New Roman" w:eastAsia="黑体" w:hAnsi="Times New Roman"/>
          <w:kern w:val="0"/>
          <w:szCs w:val="21"/>
        </w:rPr>
        <w:t xml:space="preserve">G </w:t>
      </w:r>
      <w:r>
        <w:rPr>
          <w:rFonts w:ascii="Times New Roman" w:eastAsia="黑体" w:hAnsi="Times New Roman"/>
          <w:kern w:val="0"/>
          <w:szCs w:val="21"/>
        </w:rPr>
        <w:t>表示废气</w:t>
      </w:r>
      <w:r>
        <w:rPr>
          <w:rFonts w:ascii="Times New Roman" w:eastAsia="黑体" w:hAnsi="Times New Roman"/>
          <w:kern w:val="0"/>
          <w:szCs w:val="21"/>
        </w:rPr>
        <w:t xml:space="preserve"> S </w:t>
      </w:r>
      <w:r>
        <w:rPr>
          <w:rFonts w:ascii="Times New Roman" w:eastAsia="黑体" w:hAnsi="Times New Roman"/>
          <w:kern w:val="0"/>
          <w:szCs w:val="21"/>
        </w:rPr>
        <w:t>表示固废</w:t>
      </w:r>
      <w:r>
        <w:rPr>
          <w:rFonts w:ascii="Times New Roman" w:eastAsia="黑体" w:hAnsi="Times New Roman"/>
          <w:kern w:val="0"/>
          <w:szCs w:val="21"/>
        </w:rPr>
        <w:t xml:space="preserve"> W </w:t>
      </w:r>
      <w:r>
        <w:rPr>
          <w:rFonts w:ascii="Times New Roman" w:eastAsia="黑体" w:hAnsi="Times New Roman"/>
          <w:kern w:val="0"/>
          <w:szCs w:val="21"/>
        </w:rPr>
        <w:t>表示废水</w:t>
      </w:r>
    </w:p>
    <w:p w:rsidR="00525419" w:rsidRDefault="00525419">
      <w:pPr>
        <w:rPr>
          <w:rFonts w:ascii="Times New Roman" w:hAnsi="Times New Roman"/>
        </w:rPr>
      </w:pPr>
    </w:p>
    <w:p w:rsidR="00525419" w:rsidRDefault="00EE1CF7">
      <w:pPr>
        <w:ind w:firstLineChars="588" w:firstLine="1417"/>
        <w:rPr>
          <w:rFonts w:ascii="Times New Roman" w:hAnsi="Times New Roman"/>
          <w:b/>
          <w:sz w:val="24"/>
        </w:rPr>
      </w:pPr>
      <w:r>
        <w:rPr>
          <w:rFonts w:ascii="Times New Roman" w:hAnsi="Times New Roman"/>
          <w:b/>
          <w:sz w:val="24"/>
        </w:rPr>
        <w:t>图</w:t>
      </w:r>
      <w:r>
        <w:rPr>
          <w:rFonts w:ascii="Times New Roman" w:hAnsi="Times New Roman"/>
          <w:b/>
          <w:sz w:val="24"/>
        </w:rPr>
        <w:t xml:space="preserve">3.5-2 </w:t>
      </w:r>
      <w:r>
        <w:rPr>
          <w:rFonts w:ascii="Times New Roman" w:hAnsi="Times New Roman"/>
          <w:b/>
          <w:sz w:val="24"/>
        </w:rPr>
        <w:t>制氢生产工艺流程及主要产污环节图</w:t>
      </w:r>
    </w:p>
    <w:p w:rsidR="00525419" w:rsidRDefault="00EE1CF7">
      <w:pPr>
        <w:pStyle w:val="afffe"/>
        <w:adjustRightInd w:val="0"/>
        <w:spacing w:after="0" w:line="360" w:lineRule="auto"/>
        <w:ind w:firstLineChars="200" w:firstLine="480"/>
        <w:rPr>
          <w:sz w:val="24"/>
        </w:rPr>
      </w:pPr>
      <w:r>
        <w:rPr>
          <w:sz w:val="24"/>
        </w:rPr>
        <w:t>（</w:t>
      </w:r>
      <w:r>
        <w:rPr>
          <w:sz w:val="24"/>
        </w:rPr>
        <w:t>3</w:t>
      </w:r>
      <w:r>
        <w:rPr>
          <w:sz w:val="24"/>
        </w:rPr>
        <w:t>）物料平衡</w:t>
      </w:r>
    </w:p>
    <w:p w:rsidR="00525419" w:rsidRDefault="00EE1CF7">
      <w:pPr>
        <w:pStyle w:val="afffe"/>
        <w:adjustRightInd w:val="0"/>
        <w:spacing w:after="0" w:line="360" w:lineRule="auto"/>
        <w:ind w:firstLineChars="200" w:firstLine="480"/>
        <w:rPr>
          <w:sz w:val="24"/>
        </w:rPr>
      </w:pPr>
      <w:r>
        <w:rPr>
          <w:sz w:val="24"/>
        </w:rPr>
        <w:t>天然气制氢装置物料平衡见表</w:t>
      </w:r>
      <w:r>
        <w:rPr>
          <w:sz w:val="24"/>
        </w:rPr>
        <w:t>3.5-2</w:t>
      </w:r>
      <w:r>
        <w:rPr>
          <w:sz w:val="24"/>
        </w:rPr>
        <w:t>。</w:t>
      </w:r>
    </w:p>
    <w:p w:rsidR="00525419" w:rsidRDefault="00EE1CF7">
      <w:pPr>
        <w:pStyle w:val="afffe"/>
        <w:adjustRightInd w:val="0"/>
        <w:spacing w:after="0" w:line="240" w:lineRule="atLeast"/>
        <w:ind w:firstLineChars="1150" w:firstLine="2300"/>
        <w:rPr>
          <w:rFonts w:eastAsia="黑体"/>
          <w:szCs w:val="21"/>
        </w:rPr>
      </w:pPr>
      <w:r>
        <w:rPr>
          <w:rFonts w:eastAsia="黑体"/>
          <w:szCs w:val="21"/>
        </w:rPr>
        <w:t>表</w:t>
      </w:r>
      <w:r>
        <w:rPr>
          <w:rFonts w:eastAsia="黑体"/>
          <w:szCs w:val="21"/>
        </w:rPr>
        <w:t>3.5-2</w:t>
      </w:r>
      <w:r>
        <w:rPr>
          <w:rFonts w:eastAsia="黑体"/>
          <w:szCs w:val="21"/>
        </w:rPr>
        <w:t xml:space="preserve">　　物料平衡表　　　　单位：</w:t>
      </w:r>
      <w:r>
        <w:rPr>
          <w:rFonts w:eastAsia="黑体"/>
          <w:szCs w:val="21"/>
        </w:rPr>
        <w:t>kg/h</w:t>
      </w:r>
    </w:p>
    <w:tbl>
      <w:tblPr>
        <w:tblW w:w="85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57"/>
        <w:gridCol w:w="1264"/>
        <w:gridCol w:w="1592"/>
        <w:gridCol w:w="1053"/>
        <w:gridCol w:w="1713"/>
        <w:gridCol w:w="1635"/>
      </w:tblGrid>
      <w:tr w:rsidR="00525419">
        <w:trPr>
          <w:cantSplit/>
          <w:trHeight w:val="335"/>
          <w:jc w:val="center"/>
        </w:trPr>
        <w:tc>
          <w:tcPr>
            <w:tcW w:w="2521" w:type="dxa"/>
            <w:gridSpan w:val="2"/>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投入</w:t>
            </w:r>
          </w:p>
        </w:tc>
        <w:tc>
          <w:tcPr>
            <w:tcW w:w="2645" w:type="dxa"/>
            <w:gridSpan w:val="2"/>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产出</w:t>
            </w:r>
          </w:p>
        </w:tc>
        <w:tc>
          <w:tcPr>
            <w:tcW w:w="3348" w:type="dxa"/>
            <w:gridSpan w:val="2"/>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流失</w:t>
            </w:r>
          </w:p>
        </w:tc>
      </w:tr>
      <w:tr w:rsidR="00525419">
        <w:trPr>
          <w:cantSplit/>
          <w:jc w:val="center"/>
        </w:trPr>
        <w:tc>
          <w:tcPr>
            <w:tcW w:w="1257"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物料名称</w:t>
            </w:r>
          </w:p>
        </w:tc>
        <w:tc>
          <w:tcPr>
            <w:tcW w:w="1264"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投入量</w:t>
            </w:r>
          </w:p>
        </w:tc>
        <w:tc>
          <w:tcPr>
            <w:tcW w:w="159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产品名称</w:t>
            </w:r>
          </w:p>
        </w:tc>
        <w:tc>
          <w:tcPr>
            <w:tcW w:w="1053"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产出量</w:t>
            </w:r>
          </w:p>
        </w:tc>
        <w:tc>
          <w:tcPr>
            <w:tcW w:w="1713"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流失物名称</w:t>
            </w:r>
          </w:p>
        </w:tc>
        <w:tc>
          <w:tcPr>
            <w:tcW w:w="1635"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流失量</w:t>
            </w:r>
          </w:p>
        </w:tc>
      </w:tr>
      <w:tr w:rsidR="00525419">
        <w:trPr>
          <w:cantSplit/>
          <w:trHeight w:val="90"/>
          <w:jc w:val="center"/>
        </w:trPr>
        <w:tc>
          <w:tcPr>
            <w:tcW w:w="1257"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水蒸汽</w:t>
            </w:r>
          </w:p>
        </w:tc>
        <w:tc>
          <w:tcPr>
            <w:tcW w:w="1264"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25928</w:t>
            </w:r>
          </w:p>
        </w:tc>
        <w:tc>
          <w:tcPr>
            <w:tcW w:w="1592"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szCs w:val="21"/>
              </w:rPr>
              <w:t>工业氢</w:t>
            </w:r>
          </w:p>
        </w:tc>
        <w:tc>
          <w:tcPr>
            <w:tcW w:w="1053"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2248</w:t>
            </w:r>
          </w:p>
        </w:tc>
        <w:tc>
          <w:tcPr>
            <w:tcW w:w="1713"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冷凝水</w:t>
            </w:r>
          </w:p>
        </w:tc>
        <w:tc>
          <w:tcPr>
            <w:tcW w:w="1635"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14681</w:t>
            </w:r>
          </w:p>
        </w:tc>
      </w:tr>
      <w:tr w:rsidR="00525419">
        <w:trPr>
          <w:cantSplit/>
          <w:trHeight w:val="90"/>
          <w:jc w:val="center"/>
        </w:trPr>
        <w:tc>
          <w:tcPr>
            <w:tcW w:w="1257"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szCs w:val="21"/>
              </w:rPr>
              <w:t>天然气</w:t>
            </w:r>
          </w:p>
        </w:tc>
        <w:tc>
          <w:tcPr>
            <w:tcW w:w="1264"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kern w:val="0"/>
                <w:szCs w:val="21"/>
              </w:rPr>
              <w:t>6929</w:t>
            </w:r>
          </w:p>
        </w:tc>
        <w:tc>
          <w:tcPr>
            <w:tcW w:w="1592" w:type="dxa"/>
            <w:vMerge w:val="restart"/>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循环氢</w:t>
            </w:r>
          </w:p>
        </w:tc>
        <w:tc>
          <w:tcPr>
            <w:tcW w:w="1053" w:type="dxa"/>
            <w:vMerge w:val="restart"/>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kern w:val="0"/>
                <w:szCs w:val="21"/>
              </w:rPr>
              <w:t>54</w:t>
            </w:r>
          </w:p>
        </w:tc>
        <w:tc>
          <w:tcPr>
            <w:tcW w:w="1713" w:type="dxa"/>
            <w:vMerge w:val="restart"/>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脱附气</w:t>
            </w:r>
          </w:p>
        </w:tc>
        <w:tc>
          <w:tcPr>
            <w:tcW w:w="1635" w:type="dxa"/>
            <w:vMerge w:val="restart"/>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15928</w:t>
            </w:r>
          </w:p>
        </w:tc>
      </w:tr>
      <w:tr w:rsidR="00525419">
        <w:trPr>
          <w:cantSplit/>
          <w:trHeight w:val="295"/>
          <w:jc w:val="center"/>
        </w:trPr>
        <w:tc>
          <w:tcPr>
            <w:tcW w:w="1257"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szCs w:val="21"/>
              </w:rPr>
              <w:t>循环氢</w:t>
            </w:r>
          </w:p>
        </w:tc>
        <w:tc>
          <w:tcPr>
            <w:tcW w:w="1264"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54</w:t>
            </w:r>
          </w:p>
        </w:tc>
        <w:tc>
          <w:tcPr>
            <w:tcW w:w="1592"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053"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713"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635" w:type="dxa"/>
            <w:vMerge/>
            <w:tcBorders>
              <w:tl2br w:val="nil"/>
              <w:tr2bl w:val="nil"/>
            </w:tcBorders>
            <w:vAlign w:val="center"/>
          </w:tcPr>
          <w:p w:rsidR="00525419" w:rsidRDefault="00525419">
            <w:pPr>
              <w:spacing w:line="240" w:lineRule="atLeast"/>
              <w:jc w:val="center"/>
              <w:rPr>
                <w:rFonts w:ascii="Times New Roman" w:hAnsi="Times New Roman"/>
                <w:szCs w:val="21"/>
              </w:rPr>
            </w:pPr>
          </w:p>
        </w:tc>
      </w:tr>
      <w:tr w:rsidR="00525419">
        <w:trPr>
          <w:cantSplit/>
          <w:trHeight w:val="279"/>
          <w:jc w:val="center"/>
        </w:trPr>
        <w:tc>
          <w:tcPr>
            <w:tcW w:w="1257"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小计</w:t>
            </w:r>
          </w:p>
        </w:tc>
        <w:tc>
          <w:tcPr>
            <w:tcW w:w="1264"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32911</w:t>
            </w:r>
          </w:p>
        </w:tc>
        <w:tc>
          <w:tcPr>
            <w:tcW w:w="159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小计</w:t>
            </w:r>
          </w:p>
        </w:tc>
        <w:tc>
          <w:tcPr>
            <w:tcW w:w="1053"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2302</w:t>
            </w:r>
          </w:p>
        </w:tc>
        <w:tc>
          <w:tcPr>
            <w:tcW w:w="1713"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小计</w:t>
            </w:r>
          </w:p>
        </w:tc>
        <w:tc>
          <w:tcPr>
            <w:tcW w:w="1635"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30609</w:t>
            </w:r>
          </w:p>
        </w:tc>
      </w:tr>
    </w:tbl>
    <w:p w:rsidR="00525419" w:rsidRDefault="00525419">
      <w:pPr>
        <w:rPr>
          <w:rFonts w:ascii="Times New Roman" w:hAnsi="Times New Roman"/>
        </w:rPr>
      </w:pPr>
    </w:p>
    <w:p w:rsidR="00525419" w:rsidRDefault="00EE1CF7">
      <w:pPr>
        <w:pStyle w:val="afffe"/>
        <w:adjustRightInd w:val="0"/>
        <w:spacing w:before="31" w:after="31" w:line="360" w:lineRule="auto"/>
        <w:ind w:firstLineChars="200" w:firstLine="480"/>
        <w:rPr>
          <w:sz w:val="24"/>
        </w:rPr>
      </w:pPr>
      <w:r>
        <w:rPr>
          <w:sz w:val="24"/>
        </w:rPr>
        <w:t>（</w:t>
      </w:r>
      <w:r>
        <w:rPr>
          <w:sz w:val="24"/>
        </w:rPr>
        <w:t>4</w:t>
      </w:r>
      <w:r>
        <w:rPr>
          <w:sz w:val="24"/>
        </w:rPr>
        <w:t>）能耗消耗</w:t>
      </w:r>
    </w:p>
    <w:p w:rsidR="00525419" w:rsidRDefault="00EE1CF7">
      <w:pPr>
        <w:pStyle w:val="afffe"/>
        <w:adjustRightInd w:val="0"/>
        <w:spacing w:after="0" w:line="360" w:lineRule="auto"/>
        <w:ind w:firstLineChars="200" w:firstLine="480"/>
        <w:rPr>
          <w:sz w:val="24"/>
        </w:rPr>
      </w:pPr>
      <w:r>
        <w:rPr>
          <w:sz w:val="24"/>
        </w:rPr>
        <w:t>天然气制氢装置能源消耗指标见表</w:t>
      </w:r>
      <w:r>
        <w:rPr>
          <w:sz w:val="24"/>
        </w:rPr>
        <w:t>3.5-3</w:t>
      </w:r>
      <w:r>
        <w:rPr>
          <w:sz w:val="24"/>
        </w:rPr>
        <w:t>。</w:t>
      </w:r>
    </w:p>
    <w:p w:rsidR="00525419" w:rsidRDefault="00EE1CF7">
      <w:pPr>
        <w:snapToGrid w:val="0"/>
        <w:spacing w:line="240" w:lineRule="atLeast"/>
        <w:ind w:firstLineChars="200" w:firstLine="420"/>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3.5-3 </w:t>
      </w:r>
      <w:r>
        <w:rPr>
          <w:rFonts w:ascii="Times New Roman" w:eastAsia="黑体" w:hAnsi="Times New Roman"/>
          <w:szCs w:val="21"/>
        </w:rPr>
        <w:t xml:space="preserve">　天然气制氢装置消耗指标表</w:t>
      </w:r>
    </w:p>
    <w:tbl>
      <w:tblPr>
        <w:tblW w:w="85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65"/>
        <w:gridCol w:w="1691"/>
        <w:gridCol w:w="886"/>
        <w:gridCol w:w="1209"/>
        <w:gridCol w:w="3962"/>
      </w:tblGrid>
      <w:tr w:rsidR="00525419">
        <w:trPr>
          <w:trHeight w:val="219"/>
          <w:jc w:val="center"/>
        </w:trPr>
        <w:tc>
          <w:tcPr>
            <w:tcW w:w="765"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序号</w:t>
            </w:r>
          </w:p>
        </w:tc>
        <w:tc>
          <w:tcPr>
            <w:tcW w:w="1691"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名</w:t>
            </w:r>
            <w:r>
              <w:rPr>
                <w:rFonts w:ascii="Times New Roman" w:hAnsi="Times New Roman"/>
                <w:szCs w:val="21"/>
              </w:rPr>
              <w:t xml:space="preserve">  </w:t>
            </w:r>
            <w:r>
              <w:rPr>
                <w:rFonts w:ascii="Times New Roman" w:hAnsi="Times New Roman"/>
                <w:szCs w:val="21"/>
              </w:rPr>
              <w:t>称</w:t>
            </w:r>
          </w:p>
        </w:tc>
        <w:tc>
          <w:tcPr>
            <w:tcW w:w="886"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单</w:t>
            </w:r>
            <w:r>
              <w:rPr>
                <w:rFonts w:ascii="Times New Roman" w:hAnsi="Times New Roman"/>
                <w:szCs w:val="21"/>
              </w:rPr>
              <w:t xml:space="preserve">  </w:t>
            </w:r>
            <w:r>
              <w:rPr>
                <w:rFonts w:ascii="Times New Roman" w:hAnsi="Times New Roman"/>
                <w:szCs w:val="21"/>
              </w:rPr>
              <w:t>位</w:t>
            </w:r>
          </w:p>
        </w:tc>
        <w:tc>
          <w:tcPr>
            <w:tcW w:w="1209"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数量</w:t>
            </w:r>
          </w:p>
        </w:tc>
        <w:tc>
          <w:tcPr>
            <w:tcW w:w="3962"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备</w:t>
            </w:r>
            <w:r>
              <w:rPr>
                <w:rFonts w:ascii="Times New Roman" w:hAnsi="Times New Roman"/>
                <w:szCs w:val="21"/>
              </w:rPr>
              <w:t xml:space="preserve">   </w:t>
            </w:r>
            <w:r>
              <w:rPr>
                <w:rFonts w:ascii="Times New Roman" w:hAnsi="Times New Roman"/>
                <w:szCs w:val="21"/>
              </w:rPr>
              <w:t>注</w:t>
            </w:r>
          </w:p>
        </w:tc>
      </w:tr>
      <w:tr w:rsidR="00525419">
        <w:trPr>
          <w:trHeight w:val="168"/>
          <w:jc w:val="center"/>
        </w:trPr>
        <w:tc>
          <w:tcPr>
            <w:tcW w:w="765"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1</w:t>
            </w:r>
          </w:p>
        </w:tc>
        <w:tc>
          <w:tcPr>
            <w:tcW w:w="1691"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循环水</w:t>
            </w:r>
          </w:p>
        </w:tc>
        <w:tc>
          <w:tcPr>
            <w:tcW w:w="886"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t/h</w:t>
            </w:r>
          </w:p>
        </w:tc>
        <w:tc>
          <w:tcPr>
            <w:tcW w:w="1209"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187</w:t>
            </w:r>
          </w:p>
        </w:tc>
        <w:tc>
          <w:tcPr>
            <w:tcW w:w="3962" w:type="dxa"/>
            <w:tcBorders>
              <w:tl2br w:val="nil"/>
              <w:tr2bl w:val="nil"/>
            </w:tcBorders>
            <w:vAlign w:val="center"/>
          </w:tcPr>
          <w:p w:rsidR="00525419" w:rsidRDefault="00525419">
            <w:pPr>
              <w:widowControl/>
              <w:jc w:val="center"/>
              <w:rPr>
                <w:rFonts w:ascii="Times New Roman" w:hAnsi="Times New Roman"/>
                <w:szCs w:val="21"/>
              </w:rPr>
            </w:pPr>
          </w:p>
        </w:tc>
      </w:tr>
      <w:tr w:rsidR="00525419">
        <w:trPr>
          <w:trHeight w:val="283"/>
          <w:jc w:val="center"/>
        </w:trPr>
        <w:tc>
          <w:tcPr>
            <w:tcW w:w="765"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2</w:t>
            </w:r>
          </w:p>
        </w:tc>
        <w:tc>
          <w:tcPr>
            <w:tcW w:w="1691"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新鲜水</w:t>
            </w:r>
          </w:p>
        </w:tc>
        <w:tc>
          <w:tcPr>
            <w:tcW w:w="886"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t/h</w:t>
            </w:r>
          </w:p>
        </w:tc>
        <w:tc>
          <w:tcPr>
            <w:tcW w:w="1209"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3</w:t>
            </w:r>
          </w:p>
        </w:tc>
        <w:tc>
          <w:tcPr>
            <w:tcW w:w="3962"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间断</w:t>
            </w:r>
          </w:p>
        </w:tc>
      </w:tr>
      <w:tr w:rsidR="00525419">
        <w:trPr>
          <w:trHeight w:val="232"/>
          <w:jc w:val="center"/>
        </w:trPr>
        <w:tc>
          <w:tcPr>
            <w:tcW w:w="765"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3</w:t>
            </w:r>
          </w:p>
        </w:tc>
        <w:tc>
          <w:tcPr>
            <w:tcW w:w="1691"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除盐水</w:t>
            </w:r>
          </w:p>
        </w:tc>
        <w:tc>
          <w:tcPr>
            <w:tcW w:w="886"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t/h</w:t>
            </w:r>
          </w:p>
        </w:tc>
        <w:tc>
          <w:tcPr>
            <w:tcW w:w="1209"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20.1</w:t>
            </w:r>
          </w:p>
        </w:tc>
        <w:tc>
          <w:tcPr>
            <w:tcW w:w="3962" w:type="dxa"/>
            <w:tcBorders>
              <w:tl2br w:val="nil"/>
              <w:tr2bl w:val="nil"/>
            </w:tcBorders>
            <w:vAlign w:val="center"/>
          </w:tcPr>
          <w:p w:rsidR="00525419" w:rsidRDefault="00525419">
            <w:pPr>
              <w:widowControl/>
              <w:jc w:val="center"/>
              <w:rPr>
                <w:rFonts w:ascii="Times New Roman" w:hAnsi="Times New Roman"/>
                <w:szCs w:val="21"/>
              </w:rPr>
            </w:pPr>
          </w:p>
        </w:tc>
      </w:tr>
      <w:tr w:rsidR="00525419">
        <w:trPr>
          <w:trHeight w:val="245"/>
          <w:jc w:val="center"/>
        </w:trPr>
        <w:tc>
          <w:tcPr>
            <w:tcW w:w="765"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4</w:t>
            </w:r>
          </w:p>
        </w:tc>
        <w:tc>
          <w:tcPr>
            <w:tcW w:w="1691"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电</w:t>
            </w:r>
          </w:p>
        </w:tc>
        <w:tc>
          <w:tcPr>
            <w:tcW w:w="886"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kW</w:t>
            </w:r>
          </w:p>
        </w:tc>
        <w:tc>
          <w:tcPr>
            <w:tcW w:w="1209"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1583.2</w:t>
            </w:r>
          </w:p>
        </w:tc>
        <w:tc>
          <w:tcPr>
            <w:tcW w:w="3962" w:type="dxa"/>
            <w:tcBorders>
              <w:tl2br w:val="nil"/>
              <w:tr2bl w:val="nil"/>
            </w:tcBorders>
            <w:vAlign w:val="center"/>
          </w:tcPr>
          <w:p w:rsidR="00525419" w:rsidRDefault="00525419">
            <w:pPr>
              <w:widowControl/>
              <w:jc w:val="center"/>
              <w:rPr>
                <w:rFonts w:ascii="Times New Roman" w:hAnsi="Times New Roman"/>
                <w:szCs w:val="21"/>
              </w:rPr>
            </w:pPr>
          </w:p>
        </w:tc>
      </w:tr>
      <w:tr w:rsidR="00525419">
        <w:trPr>
          <w:trHeight w:val="300"/>
          <w:jc w:val="center"/>
        </w:trPr>
        <w:tc>
          <w:tcPr>
            <w:tcW w:w="765"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5</w:t>
            </w:r>
          </w:p>
        </w:tc>
        <w:tc>
          <w:tcPr>
            <w:tcW w:w="1691"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燃料气</w:t>
            </w:r>
          </w:p>
        </w:tc>
        <w:tc>
          <w:tcPr>
            <w:tcW w:w="886"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Nm</w:t>
            </w:r>
            <w:r>
              <w:rPr>
                <w:rFonts w:ascii="Times New Roman" w:hAnsi="Times New Roman"/>
                <w:szCs w:val="21"/>
                <w:vertAlign w:val="superscript"/>
              </w:rPr>
              <w:t>3</w:t>
            </w:r>
            <w:r>
              <w:rPr>
                <w:rFonts w:ascii="Times New Roman" w:hAnsi="Times New Roman"/>
                <w:szCs w:val="21"/>
              </w:rPr>
              <w:t>/h</w:t>
            </w:r>
          </w:p>
        </w:tc>
        <w:tc>
          <w:tcPr>
            <w:tcW w:w="1209"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993</w:t>
            </w:r>
          </w:p>
        </w:tc>
        <w:tc>
          <w:tcPr>
            <w:tcW w:w="3962"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补充</w:t>
            </w:r>
          </w:p>
        </w:tc>
      </w:tr>
      <w:tr w:rsidR="00525419">
        <w:trPr>
          <w:trHeight w:val="250"/>
          <w:jc w:val="center"/>
        </w:trPr>
        <w:tc>
          <w:tcPr>
            <w:tcW w:w="765" w:type="dxa"/>
            <w:vMerge w:val="restart"/>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6</w:t>
            </w:r>
          </w:p>
        </w:tc>
        <w:tc>
          <w:tcPr>
            <w:tcW w:w="1691" w:type="dxa"/>
            <w:vMerge w:val="restart"/>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蒸汽</w:t>
            </w:r>
          </w:p>
        </w:tc>
        <w:tc>
          <w:tcPr>
            <w:tcW w:w="886"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t/h</w:t>
            </w:r>
          </w:p>
        </w:tc>
        <w:tc>
          <w:tcPr>
            <w:tcW w:w="1209"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max10</w:t>
            </w:r>
          </w:p>
        </w:tc>
        <w:tc>
          <w:tcPr>
            <w:tcW w:w="3962"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间断，消防、伴热及吹扫（</w:t>
            </w:r>
            <w:r>
              <w:rPr>
                <w:rFonts w:ascii="Times New Roman" w:hAnsi="Times New Roman"/>
                <w:szCs w:val="21"/>
              </w:rPr>
              <w:t>1.0MPa</w:t>
            </w:r>
            <w:r>
              <w:rPr>
                <w:rFonts w:ascii="Times New Roman" w:hAnsi="Times New Roman"/>
                <w:szCs w:val="21"/>
              </w:rPr>
              <w:t>蒸汽）</w:t>
            </w:r>
          </w:p>
        </w:tc>
      </w:tr>
      <w:tr w:rsidR="00525419">
        <w:trPr>
          <w:trHeight w:val="131"/>
          <w:jc w:val="center"/>
        </w:trPr>
        <w:tc>
          <w:tcPr>
            <w:tcW w:w="765" w:type="dxa"/>
            <w:vMerge/>
            <w:tcBorders>
              <w:tl2br w:val="nil"/>
              <w:tr2bl w:val="nil"/>
            </w:tcBorders>
            <w:vAlign w:val="center"/>
          </w:tcPr>
          <w:p w:rsidR="00525419" w:rsidRDefault="00525419">
            <w:pPr>
              <w:widowControl/>
              <w:jc w:val="center"/>
              <w:rPr>
                <w:rFonts w:ascii="Times New Roman" w:hAnsi="Times New Roman"/>
                <w:szCs w:val="21"/>
              </w:rPr>
            </w:pPr>
          </w:p>
        </w:tc>
        <w:tc>
          <w:tcPr>
            <w:tcW w:w="1691" w:type="dxa"/>
            <w:vMerge/>
            <w:tcBorders>
              <w:tl2br w:val="nil"/>
              <w:tr2bl w:val="nil"/>
            </w:tcBorders>
            <w:vAlign w:val="center"/>
          </w:tcPr>
          <w:p w:rsidR="00525419" w:rsidRDefault="00525419">
            <w:pPr>
              <w:widowControl/>
              <w:jc w:val="center"/>
              <w:rPr>
                <w:rFonts w:ascii="Times New Roman" w:hAnsi="Times New Roman"/>
                <w:szCs w:val="21"/>
              </w:rPr>
            </w:pPr>
          </w:p>
        </w:tc>
        <w:tc>
          <w:tcPr>
            <w:tcW w:w="886"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t/h</w:t>
            </w:r>
          </w:p>
        </w:tc>
        <w:tc>
          <w:tcPr>
            <w:tcW w:w="1209"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-7.9</w:t>
            </w:r>
          </w:p>
        </w:tc>
        <w:tc>
          <w:tcPr>
            <w:tcW w:w="3962"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外输，连续（</w:t>
            </w:r>
            <w:r>
              <w:rPr>
                <w:rFonts w:ascii="Times New Roman" w:hAnsi="Times New Roman"/>
                <w:szCs w:val="21"/>
              </w:rPr>
              <w:t>3.5MPa</w:t>
            </w:r>
            <w:r>
              <w:rPr>
                <w:rFonts w:ascii="Times New Roman" w:hAnsi="Times New Roman"/>
                <w:szCs w:val="21"/>
              </w:rPr>
              <w:t>蒸汽）</w:t>
            </w:r>
          </w:p>
        </w:tc>
      </w:tr>
      <w:tr w:rsidR="00525419">
        <w:trPr>
          <w:trHeight w:val="176"/>
          <w:jc w:val="center"/>
        </w:trPr>
        <w:tc>
          <w:tcPr>
            <w:tcW w:w="765"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7</w:t>
            </w:r>
          </w:p>
        </w:tc>
        <w:tc>
          <w:tcPr>
            <w:tcW w:w="1691"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净化压缩空气</w:t>
            </w:r>
          </w:p>
        </w:tc>
        <w:tc>
          <w:tcPr>
            <w:tcW w:w="886"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Nm</w:t>
            </w:r>
            <w:r>
              <w:rPr>
                <w:rFonts w:ascii="Times New Roman" w:hAnsi="Times New Roman"/>
                <w:szCs w:val="21"/>
                <w:vertAlign w:val="superscript"/>
              </w:rPr>
              <w:t>3</w:t>
            </w:r>
            <w:r>
              <w:rPr>
                <w:rFonts w:ascii="Times New Roman" w:hAnsi="Times New Roman"/>
                <w:szCs w:val="21"/>
              </w:rPr>
              <w:t>/h</w:t>
            </w:r>
          </w:p>
        </w:tc>
        <w:tc>
          <w:tcPr>
            <w:tcW w:w="1209"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500</w:t>
            </w:r>
          </w:p>
        </w:tc>
        <w:tc>
          <w:tcPr>
            <w:tcW w:w="3962"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连续</w:t>
            </w:r>
          </w:p>
        </w:tc>
      </w:tr>
      <w:tr w:rsidR="00525419">
        <w:trPr>
          <w:trHeight w:val="277"/>
          <w:jc w:val="center"/>
        </w:trPr>
        <w:tc>
          <w:tcPr>
            <w:tcW w:w="765"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8</w:t>
            </w:r>
          </w:p>
        </w:tc>
        <w:tc>
          <w:tcPr>
            <w:tcW w:w="1691"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非净化压缩空气</w:t>
            </w:r>
          </w:p>
        </w:tc>
        <w:tc>
          <w:tcPr>
            <w:tcW w:w="886"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Nm</w:t>
            </w:r>
            <w:r>
              <w:rPr>
                <w:rFonts w:ascii="Times New Roman" w:hAnsi="Times New Roman"/>
                <w:szCs w:val="21"/>
                <w:vertAlign w:val="superscript"/>
              </w:rPr>
              <w:t>3</w:t>
            </w:r>
            <w:r>
              <w:rPr>
                <w:rFonts w:ascii="Times New Roman" w:hAnsi="Times New Roman"/>
                <w:szCs w:val="21"/>
              </w:rPr>
              <w:t>/h</w:t>
            </w:r>
          </w:p>
        </w:tc>
        <w:tc>
          <w:tcPr>
            <w:tcW w:w="1209"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600</w:t>
            </w:r>
          </w:p>
        </w:tc>
        <w:tc>
          <w:tcPr>
            <w:tcW w:w="3962"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间断</w:t>
            </w:r>
          </w:p>
        </w:tc>
      </w:tr>
      <w:tr w:rsidR="00525419">
        <w:trPr>
          <w:trHeight w:val="240"/>
          <w:jc w:val="center"/>
        </w:trPr>
        <w:tc>
          <w:tcPr>
            <w:tcW w:w="765"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lastRenderedPageBreak/>
              <w:t>9</w:t>
            </w:r>
          </w:p>
        </w:tc>
        <w:tc>
          <w:tcPr>
            <w:tcW w:w="1691"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氮气</w:t>
            </w:r>
          </w:p>
        </w:tc>
        <w:tc>
          <w:tcPr>
            <w:tcW w:w="886"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Nm</w:t>
            </w:r>
            <w:r>
              <w:rPr>
                <w:rFonts w:ascii="Times New Roman" w:hAnsi="Times New Roman"/>
                <w:szCs w:val="21"/>
                <w:vertAlign w:val="superscript"/>
              </w:rPr>
              <w:t>3</w:t>
            </w:r>
            <w:r>
              <w:rPr>
                <w:rFonts w:ascii="Times New Roman" w:hAnsi="Times New Roman"/>
                <w:szCs w:val="21"/>
              </w:rPr>
              <w:t>/h</w:t>
            </w:r>
          </w:p>
        </w:tc>
        <w:tc>
          <w:tcPr>
            <w:tcW w:w="1209"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600</w:t>
            </w:r>
          </w:p>
        </w:tc>
        <w:tc>
          <w:tcPr>
            <w:tcW w:w="3962"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间断</w:t>
            </w:r>
          </w:p>
        </w:tc>
      </w:tr>
    </w:tbl>
    <w:p w:rsidR="00525419" w:rsidRDefault="00EE1CF7">
      <w:pPr>
        <w:rPr>
          <w:rFonts w:ascii="Times New Roman" w:hAnsi="Times New Roman"/>
        </w:rPr>
      </w:pPr>
      <w:r>
        <w:rPr>
          <w:rFonts w:ascii="Times New Roman" w:hAnsi="Times New Roman"/>
        </w:rPr>
        <w:t xml:space="preserve">　</w:t>
      </w:r>
    </w:p>
    <w:p w:rsidR="00525419" w:rsidRDefault="00EE1CF7">
      <w:pPr>
        <w:pStyle w:val="afffe"/>
        <w:adjustRightInd w:val="0"/>
        <w:spacing w:after="0" w:line="360" w:lineRule="auto"/>
        <w:ind w:firstLineChars="200" w:firstLine="480"/>
        <w:rPr>
          <w:sz w:val="24"/>
        </w:rPr>
      </w:pPr>
      <w:r>
        <w:rPr>
          <w:sz w:val="24"/>
        </w:rPr>
        <w:t>（</w:t>
      </w:r>
      <w:r>
        <w:rPr>
          <w:sz w:val="24"/>
        </w:rPr>
        <w:t>5</w:t>
      </w:r>
      <w:r>
        <w:rPr>
          <w:sz w:val="24"/>
        </w:rPr>
        <w:t>）主要设备</w:t>
      </w:r>
    </w:p>
    <w:p w:rsidR="00525419" w:rsidRDefault="00EE1CF7">
      <w:pPr>
        <w:spacing w:line="360" w:lineRule="auto"/>
        <w:ind w:firstLine="200"/>
        <w:rPr>
          <w:rFonts w:ascii="Times New Roman" w:hAnsi="Times New Roman"/>
          <w:sz w:val="24"/>
        </w:rPr>
      </w:pPr>
      <w:r>
        <w:rPr>
          <w:rFonts w:ascii="Times New Roman" w:hAnsi="Times New Roman"/>
        </w:rPr>
        <w:t xml:space="preserve">　　</w:t>
      </w:r>
      <w:r>
        <w:rPr>
          <w:rFonts w:ascii="Times New Roman" w:hAnsi="Times New Roman"/>
          <w:sz w:val="24"/>
        </w:rPr>
        <w:t>天然气制氢装置主要设备见表</w:t>
      </w:r>
      <w:r>
        <w:rPr>
          <w:rFonts w:ascii="Times New Roman" w:hAnsi="Times New Roman"/>
          <w:sz w:val="24"/>
        </w:rPr>
        <w:t>3.5-4</w:t>
      </w:r>
      <w:r>
        <w:rPr>
          <w:rFonts w:ascii="Times New Roman" w:hAnsi="Times New Roman"/>
          <w:sz w:val="24"/>
        </w:rPr>
        <w:t>。</w:t>
      </w:r>
    </w:p>
    <w:p w:rsidR="00525419" w:rsidRDefault="00EE1CF7">
      <w:pPr>
        <w:rPr>
          <w:rFonts w:ascii="Times New Roman" w:eastAsia="黑体" w:hAnsi="Times New Roman"/>
          <w:szCs w:val="21"/>
        </w:rPr>
      </w:pPr>
      <w:r>
        <w:rPr>
          <w:rFonts w:ascii="Times New Roman" w:eastAsia="黑体" w:hAnsi="Times New Roman"/>
          <w:szCs w:val="21"/>
        </w:rPr>
        <w:t xml:space="preserve">　　　</w:t>
      </w:r>
      <w:r>
        <w:rPr>
          <w:rFonts w:ascii="Times New Roman" w:eastAsia="黑体" w:hAnsi="Times New Roman"/>
          <w:szCs w:val="21"/>
        </w:rPr>
        <w:t xml:space="preserve">               </w:t>
      </w:r>
      <w:r>
        <w:rPr>
          <w:rFonts w:ascii="Times New Roman" w:eastAsia="黑体" w:hAnsi="Times New Roman"/>
          <w:szCs w:val="21"/>
        </w:rPr>
        <w:t>表</w:t>
      </w:r>
      <w:r>
        <w:rPr>
          <w:rFonts w:ascii="Times New Roman" w:eastAsia="黑体" w:hAnsi="Times New Roman"/>
          <w:szCs w:val="21"/>
        </w:rPr>
        <w:t>3.5-4</w:t>
      </w:r>
      <w:r>
        <w:rPr>
          <w:rFonts w:ascii="Times New Roman" w:eastAsia="黑体" w:hAnsi="Times New Roman"/>
          <w:szCs w:val="21"/>
        </w:rPr>
        <w:t xml:space="preserve">　　天然气制氢装置主要设备一览表</w:t>
      </w:r>
    </w:p>
    <w:tbl>
      <w:tblPr>
        <w:tblW w:w="8513"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29" w:type="dxa"/>
          <w:bottom w:w="29" w:type="dxa"/>
        </w:tblCellMar>
        <w:tblLook w:val="04A0" w:firstRow="1" w:lastRow="0" w:firstColumn="1" w:lastColumn="0" w:noHBand="0" w:noVBand="1"/>
      </w:tblPr>
      <w:tblGrid>
        <w:gridCol w:w="726"/>
        <w:gridCol w:w="3042"/>
        <w:gridCol w:w="3830"/>
        <w:gridCol w:w="915"/>
      </w:tblGrid>
      <w:tr w:rsidR="00525419">
        <w:trPr>
          <w:trHeight w:val="270"/>
          <w:tblHeader/>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bCs/>
                <w:kern w:val="0"/>
                <w:szCs w:val="21"/>
              </w:rPr>
            </w:pPr>
            <w:r>
              <w:rPr>
                <w:rFonts w:ascii="Times New Roman" w:hAnsi="Times New Roman"/>
                <w:bCs/>
                <w:kern w:val="0"/>
                <w:szCs w:val="21"/>
              </w:rPr>
              <w:t>序号</w:t>
            </w:r>
          </w:p>
        </w:tc>
        <w:tc>
          <w:tcPr>
            <w:tcW w:w="3042" w:type="dxa"/>
            <w:tcBorders>
              <w:tl2br w:val="nil"/>
              <w:tr2bl w:val="nil"/>
            </w:tcBorders>
            <w:vAlign w:val="center"/>
          </w:tcPr>
          <w:p w:rsidR="00525419" w:rsidRDefault="00EE1CF7">
            <w:pPr>
              <w:widowControl/>
              <w:spacing w:line="240" w:lineRule="atLeast"/>
              <w:jc w:val="center"/>
              <w:rPr>
                <w:rFonts w:ascii="Times New Roman" w:hAnsi="Times New Roman"/>
                <w:bCs/>
                <w:kern w:val="0"/>
                <w:szCs w:val="21"/>
              </w:rPr>
            </w:pPr>
            <w:r>
              <w:rPr>
                <w:rFonts w:ascii="Times New Roman" w:hAnsi="Times New Roman"/>
                <w:bCs/>
                <w:kern w:val="0"/>
                <w:szCs w:val="21"/>
              </w:rPr>
              <w:t>设备名称</w:t>
            </w:r>
          </w:p>
        </w:tc>
        <w:tc>
          <w:tcPr>
            <w:tcW w:w="3830" w:type="dxa"/>
            <w:tcBorders>
              <w:tl2br w:val="nil"/>
              <w:tr2bl w:val="nil"/>
            </w:tcBorders>
            <w:vAlign w:val="center"/>
          </w:tcPr>
          <w:p w:rsidR="00525419" w:rsidRDefault="00EE1CF7">
            <w:pPr>
              <w:widowControl/>
              <w:spacing w:line="240" w:lineRule="atLeast"/>
              <w:jc w:val="center"/>
              <w:rPr>
                <w:rFonts w:ascii="Times New Roman" w:hAnsi="Times New Roman"/>
                <w:bCs/>
                <w:kern w:val="0"/>
                <w:szCs w:val="21"/>
              </w:rPr>
            </w:pPr>
            <w:r>
              <w:rPr>
                <w:rFonts w:ascii="Times New Roman" w:hAnsi="Times New Roman"/>
                <w:bCs/>
                <w:kern w:val="0"/>
                <w:szCs w:val="21"/>
              </w:rPr>
              <w:t>主要技术规格</w:t>
            </w:r>
          </w:p>
        </w:tc>
        <w:tc>
          <w:tcPr>
            <w:tcW w:w="915" w:type="dxa"/>
            <w:tcBorders>
              <w:tl2br w:val="nil"/>
              <w:tr2bl w:val="nil"/>
            </w:tcBorders>
            <w:vAlign w:val="center"/>
          </w:tcPr>
          <w:p w:rsidR="00525419" w:rsidRDefault="00EE1CF7">
            <w:pPr>
              <w:widowControl/>
              <w:spacing w:line="240" w:lineRule="atLeast"/>
              <w:jc w:val="center"/>
              <w:rPr>
                <w:rFonts w:ascii="Times New Roman" w:hAnsi="Times New Roman"/>
                <w:bCs/>
                <w:kern w:val="0"/>
                <w:szCs w:val="21"/>
              </w:rPr>
            </w:pPr>
            <w:r>
              <w:rPr>
                <w:rFonts w:ascii="Times New Roman" w:hAnsi="Times New Roman"/>
                <w:bCs/>
                <w:kern w:val="0"/>
                <w:szCs w:val="21"/>
              </w:rPr>
              <w:t>数量</w:t>
            </w:r>
          </w:p>
        </w:tc>
      </w:tr>
      <w:tr w:rsidR="00525419">
        <w:trPr>
          <w:trHeight w:val="231"/>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bCs/>
                <w:kern w:val="0"/>
                <w:szCs w:val="21"/>
              </w:rPr>
            </w:pPr>
            <w:r>
              <w:rPr>
                <w:rFonts w:ascii="Times New Roman" w:hAnsi="Times New Roman"/>
                <w:bCs/>
                <w:kern w:val="0"/>
                <w:szCs w:val="21"/>
              </w:rPr>
              <w:t>1</w:t>
            </w:r>
          </w:p>
        </w:tc>
        <w:tc>
          <w:tcPr>
            <w:tcW w:w="304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加氢反应器</w:t>
            </w:r>
          </w:p>
        </w:tc>
        <w:tc>
          <w:tcPr>
            <w:tcW w:w="38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φ1800×12894×32</w:t>
            </w:r>
          </w:p>
        </w:tc>
        <w:tc>
          <w:tcPr>
            <w:tcW w:w="915"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27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2</w:t>
            </w:r>
          </w:p>
        </w:tc>
        <w:tc>
          <w:tcPr>
            <w:tcW w:w="304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氧化锌脱硫反应器</w:t>
            </w:r>
          </w:p>
        </w:tc>
        <w:tc>
          <w:tcPr>
            <w:tcW w:w="38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φ1800×13394×32</w:t>
            </w:r>
          </w:p>
        </w:tc>
        <w:tc>
          <w:tcPr>
            <w:tcW w:w="915"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2</w:t>
            </w:r>
          </w:p>
        </w:tc>
      </w:tr>
      <w:tr w:rsidR="00525419">
        <w:trPr>
          <w:trHeight w:val="27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3</w:t>
            </w:r>
          </w:p>
        </w:tc>
        <w:tc>
          <w:tcPr>
            <w:tcW w:w="304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中温变换反应器</w:t>
            </w:r>
          </w:p>
        </w:tc>
        <w:tc>
          <w:tcPr>
            <w:tcW w:w="38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φ2800×12699×44</w:t>
            </w:r>
          </w:p>
        </w:tc>
        <w:tc>
          <w:tcPr>
            <w:tcW w:w="915"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27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bCs/>
                <w:kern w:val="0"/>
                <w:szCs w:val="21"/>
              </w:rPr>
            </w:pPr>
            <w:r>
              <w:rPr>
                <w:rFonts w:ascii="Times New Roman" w:hAnsi="Times New Roman"/>
                <w:bCs/>
                <w:kern w:val="0"/>
                <w:szCs w:val="21"/>
              </w:rPr>
              <w:t>4</w:t>
            </w:r>
          </w:p>
        </w:tc>
        <w:tc>
          <w:tcPr>
            <w:tcW w:w="304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转化气蒸汽发生器</w:t>
            </w:r>
          </w:p>
        </w:tc>
        <w:tc>
          <w:tcPr>
            <w:tcW w:w="38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A=233m</w:t>
            </w:r>
            <w:r>
              <w:rPr>
                <w:rFonts w:ascii="Times New Roman" w:hAnsi="Times New Roman"/>
                <w:szCs w:val="21"/>
                <w:vertAlign w:val="superscript"/>
              </w:rPr>
              <w:t>2</w:t>
            </w:r>
            <w:r>
              <w:rPr>
                <w:rFonts w:ascii="Times New Roman" w:hAnsi="Times New Roman"/>
                <w:szCs w:val="21"/>
              </w:rPr>
              <w:t>,</w:t>
            </w:r>
            <w:r>
              <w:rPr>
                <w:rFonts w:ascii="Times New Roman" w:hAnsi="Times New Roman"/>
                <w:szCs w:val="21"/>
              </w:rPr>
              <w:t>中心管</w:t>
            </w:r>
            <w:r>
              <w:rPr>
                <w:rFonts w:ascii="Times New Roman" w:hAnsi="Times New Roman"/>
                <w:szCs w:val="21"/>
              </w:rPr>
              <w:t>DN300</w:t>
            </w:r>
          </w:p>
        </w:tc>
        <w:tc>
          <w:tcPr>
            <w:tcW w:w="915"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27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5</w:t>
            </w:r>
          </w:p>
        </w:tc>
        <w:tc>
          <w:tcPr>
            <w:tcW w:w="304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锅炉给水第二预热器</w:t>
            </w:r>
          </w:p>
        </w:tc>
        <w:tc>
          <w:tcPr>
            <w:tcW w:w="38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BFU900-3.02/5.0-252-4.5/19-2/2</w:t>
            </w:r>
          </w:p>
        </w:tc>
        <w:tc>
          <w:tcPr>
            <w:tcW w:w="915"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2</w:t>
            </w:r>
          </w:p>
        </w:tc>
      </w:tr>
      <w:tr w:rsidR="00525419">
        <w:trPr>
          <w:trHeight w:val="27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6</w:t>
            </w:r>
          </w:p>
        </w:tc>
        <w:tc>
          <w:tcPr>
            <w:tcW w:w="304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锅炉给水第一预热器</w:t>
            </w:r>
          </w:p>
        </w:tc>
        <w:tc>
          <w:tcPr>
            <w:tcW w:w="38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BFU900-3.02/5.0-252-4.5/19-2/2</w:t>
            </w:r>
          </w:p>
        </w:tc>
        <w:tc>
          <w:tcPr>
            <w:tcW w:w="915"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27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7</w:t>
            </w:r>
          </w:p>
        </w:tc>
        <w:tc>
          <w:tcPr>
            <w:tcW w:w="304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中变气水冷器</w:t>
            </w:r>
          </w:p>
        </w:tc>
        <w:tc>
          <w:tcPr>
            <w:tcW w:w="38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BFU800-2.93/0.68-123-4.5/25-2/2</w:t>
            </w:r>
          </w:p>
        </w:tc>
        <w:tc>
          <w:tcPr>
            <w:tcW w:w="915"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27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8</w:t>
            </w:r>
          </w:p>
        </w:tc>
        <w:tc>
          <w:tcPr>
            <w:tcW w:w="304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除氧用蒸汽发生器</w:t>
            </w:r>
          </w:p>
        </w:tc>
        <w:tc>
          <w:tcPr>
            <w:tcW w:w="38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BIU800-2.94/0.35-167-6/25-2</w:t>
            </w:r>
          </w:p>
        </w:tc>
        <w:tc>
          <w:tcPr>
            <w:tcW w:w="915"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27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9</w:t>
            </w:r>
          </w:p>
        </w:tc>
        <w:tc>
          <w:tcPr>
            <w:tcW w:w="304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原料气第一预热器</w:t>
            </w:r>
          </w:p>
        </w:tc>
        <w:tc>
          <w:tcPr>
            <w:tcW w:w="38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BIU600-4.4/0.88-69-3/19-2I</w:t>
            </w:r>
          </w:p>
        </w:tc>
        <w:tc>
          <w:tcPr>
            <w:tcW w:w="915"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27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10</w:t>
            </w:r>
          </w:p>
        </w:tc>
        <w:tc>
          <w:tcPr>
            <w:tcW w:w="304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原料气第二预热器</w:t>
            </w:r>
          </w:p>
        </w:tc>
        <w:tc>
          <w:tcPr>
            <w:tcW w:w="38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BIU600-4.4/0.88-69-3/19-2I</w:t>
            </w:r>
          </w:p>
        </w:tc>
        <w:tc>
          <w:tcPr>
            <w:tcW w:w="915"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9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11</w:t>
            </w:r>
          </w:p>
        </w:tc>
        <w:tc>
          <w:tcPr>
            <w:tcW w:w="304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中变气空冷器</w:t>
            </w:r>
          </w:p>
        </w:tc>
        <w:tc>
          <w:tcPr>
            <w:tcW w:w="38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GP6×3-4-85-2.5S-23.4/LL-Iva</w:t>
            </w:r>
          </w:p>
        </w:tc>
        <w:tc>
          <w:tcPr>
            <w:tcW w:w="915"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27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12</w:t>
            </w:r>
          </w:p>
        </w:tc>
        <w:tc>
          <w:tcPr>
            <w:tcW w:w="304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原料气缓冲罐</w:t>
            </w:r>
          </w:p>
        </w:tc>
        <w:tc>
          <w:tcPr>
            <w:tcW w:w="38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φ1400×5085×10</w:t>
            </w:r>
          </w:p>
        </w:tc>
        <w:tc>
          <w:tcPr>
            <w:tcW w:w="915"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21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13</w:t>
            </w:r>
          </w:p>
        </w:tc>
        <w:tc>
          <w:tcPr>
            <w:tcW w:w="304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燃料气分液罐</w:t>
            </w:r>
          </w:p>
        </w:tc>
        <w:tc>
          <w:tcPr>
            <w:tcW w:w="38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φ800×3733×2</w:t>
            </w:r>
          </w:p>
        </w:tc>
        <w:tc>
          <w:tcPr>
            <w:tcW w:w="915"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27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bCs/>
                <w:kern w:val="0"/>
                <w:szCs w:val="21"/>
              </w:rPr>
            </w:pPr>
            <w:r>
              <w:rPr>
                <w:rFonts w:ascii="Times New Roman" w:hAnsi="Times New Roman"/>
                <w:bCs/>
                <w:kern w:val="0"/>
                <w:szCs w:val="21"/>
              </w:rPr>
              <w:t>14</w:t>
            </w:r>
          </w:p>
        </w:tc>
        <w:tc>
          <w:tcPr>
            <w:tcW w:w="304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中压汽水分离器</w:t>
            </w:r>
          </w:p>
        </w:tc>
        <w:tc>
          <w:tcPr>
            <w:tcW w:w="38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φ1800×10000</w:t>
            </w:r>
            <w:r>
              <w:rPr>
                <w:rFonts w:ascii="Times New Roman" w:hAnsi="Times New Roman"/>
                <w:szCs w:val="21"/>
              </w:rPr>
              <w:t>（</w:t>
            </w:r>
            <w:r>
              <w:rPr>
                <w:rFonts w:ascii="Times New Roman" w:hAnsi="Times New Roman"/>
                <w:szCs w:val="21"/>
              </w:rPr>
              <w:t>TL</w:t>
            </w:r>
            <w:r>
              <w:rPr>
                <w:rFonts w:ascii="Times New Roman" w:hAnsi="Times New Roman"/>
                <w:szCs w:val="21"/>
              </w:rPr>
              <w:t>）</w:t>
            </w:r>
          </w:p>
        </w:tc>
        <w:tc>
          <w:tcPr>
            <w:tcW w:w="915"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27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15</w:t>
            </w:r>
          </w:p>
        </w:tc>
        <w:tc>
          <w:tcPr>
            <w:tcW w:w="304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中变气第一分水罐</w:t>
            </w:r>
          </w:p>
        </w:tc>
        <w:tc>
          <w:tcPr>
            <w:tcW w:w="38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φ1400×5591×(14+2)</w:t>
            </w:r>
          </w:p>
        </w:tc>
        <w:tc>
          <w:tcPr>
            <w:tcW w:w="915"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27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16</w:t>
            </w:r>
          </w:p>
        </w:tc>
        <w:tc>
          <w:tcPr>
            <w:tcW w:w="304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中变气第二分水罐</w:t>
            </w:r>
          </w:p>
        </w:tc>
        <w:tc>
          <w:tcPr>
            <w:tcW w:w="38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φ1400×5591×(14+2)</w:t>
            </w:r>
          </w:p>
        </w:tc>
        <w:tc>
          <w:tcPr>
            <w:tcW w:w="915"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27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17</w:t>
            </w:r>
          </w:p>
        </w:tc>
        <w:tc>
          <w:tcPr>
            <w:tcW w:w="304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中变气第三分水罐</w:t>
            </w:r>
          </w:p>
        </w:tc>
        <w:tc>
          <w:tcPr>
            <w:tcW w:w="38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φ1400×5591×(14+2)</w:t>
            </w:r>
          </w:p>
        </w:tc>
        <w:tc>
          <w:tcPr>
            <w:tcW w:w="915"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27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18</w:t>
            </w:r>
          </w:p>
        </w:tc>
        <w:tc>
          <w:tcPr>
            <w:tcW w:w="304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除氧器</w:t>
            </w:r>
          </w:p>
        </w:tc>
        <w:tc>
          <w:tcPr>
            <w:tcW w:w="38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45t/h</w:t>
            </w:r>
          </w:p>
        </w:tc>
        <w:tc>
          <w:tcPr>
            <w:tcW w:w="915"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27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19</w:t>
            </w:r>
          </w:p>
        </w:tc>
        <w:tc>
          <w:tcPr>
            <w:tcW w:w="304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连续排污扩容器</w:t>
            </w:r>
          </w:p>
        </w:tc>
        <w:tc>
          <w:tcPr>
            <w:tcW w:w="38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φ600×3005×8</w:t>
            </w:r>
          </w:p>
        </w:tc>
        <w:tc>
          <w:tcPr>
            <w:tcW w:w="915"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27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20</w:t>
            </w:r>
          </w:p>
        </w:tc>
        <w:tc>
          <w:tcPr>
            <w:tcW w:w="304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定期排污扩容器</w:t>
            </w:r>
          </w:p>
        </w:tc>
        <w:tc>
          <w:tcPr>
            <w:tcW w:w="38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φ1200×2933×8</w:t>
            </w:r>
          </w:p>
        </w:tc>
        <w:tc>
          <w:tcPr>
            <w:tcW w:w="915"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27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21</w:t>
            </w:r>
          </w:p>
        </w:tc>
        <w:tc>
          <w:tcPr>
            <w:tcW w:w="304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溶解器</w:t>
            </w:r>
          </w:p>
        </w:tc>
        <w:tc>
          <w:tcPr>
            <w:tcW w:w="38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1100×800×1451.5</w:t>
            </w:r>
          </w:p>
        </w:tc>
        <w:tc>
          <w:tcPr>
            <w:tcW w:w="915"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27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22</w:t>
            </w:r>
          </w:p>
        </w:tc>
        <w:tc>
          <w:tcPr>
            <w:tcW w:w="304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蒸汽分水器</w:t>
            </w:r>
          </w:p>
        </w:tc>
        <w:tc>
          <w:tcPr>
            <w:tcW w:w="38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φ500×1708×8</w:t>
            </w:r>
          </w:p>
        </w:tc>
        <w:tc>
          <w:tcPr>
            <w:tcW w:w="915"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27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bCs/>
                <w:kern w:val="0"/>
                <w:szCs w:val="21"/>
              </w:rPr>
            </w:pPr>
            <w:r>
              <w:rPr>
                <w:rFonts w:ascii="Times New Roman" w:hAnsi="Times New Roman"/>
                <w:bCs/>
                <w:kern w:val="0"/>
                <w:szCs w:val="21"/>
              </w:rPr>
              <w:t>23</w:t>
            </w:r>
          </w:p>
        </w:tc>
        <w:tc>
          <w:tcPr>
            <w:tcW w:w="304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净化压缩空气缓冲罐</w:t>
            </w:r>
          </w:p>
        </w:tc>
        <w:tc>
          <w:tcPr>
            <w:tcW w:w="38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φ1400×4735×10</w:t>
            </w:r>
          </w:p>
        </w:tc>
        <w:tc>
          <w:tcPr>
            <w:tcW w:w="915"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27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24</w:t>
            </w:r>
          </w:p>
        </w:tc>
        <w:tc>
          <w:tcPr>
            <w:tcW w:w="304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凝结水缓冲罐</w:t>
            </w:r>
          </w:p>
        </w:tc>
        <w:tc>
          <w:tcPr>
            <w:tcW w:w="38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φ500×2212×12</w:t>
            </w:r>
          </w:p>
        </w:tc>
        <w:tc>
          <w:tcPr>
            <w:tcW w:w="915"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27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25</w:t>
            </w:r>
          </w:p>
        </w:tc>
        <w:tc>
          <w:tcPr>
            <w:tcW w:w="304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放空分液罐</w:t>
            </w:r>
          </w:p>
        </w:tc>
        <w:tc>
          <w:tcPr>
            <w:tcW w:w="38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φ1600×6683×8</w:t>
            </w:r>
          </w:p>
        </w:tc>
        <w:tc>
          <w:tcPr>
            <w:tcW w:w="915"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27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26</w:t>
            </w:r>
          </w:p>
        </w:tc>
        <w:tc>
          <w:tcPr>
            <w:tcW w:w="304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hint="eastAsia"/>
                <w:szCs w:val="21"/>
              </w:rPr>
              <w:t>制氢转化炉</w:t>
            </w:r>
          </w:p>
        </w:tc>
        <w:tc>
          <w:tcPr>
            <w:tcW w:w="38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含风机等辅助设备</w:t>
            </w:r>
          </w:p>
        </w:tc>
        <w:tc>
          <w:tcPr>
            <w:tcW w:w="915"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27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27</w:t>
            </w:r>
          </w:p>
        </w:tc>
        <w:tc>
          <w:tcPr>
            <w:tcW w:w="304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循环氢压缩机</w:t>
            </w:r>
          </w:p>
        </w:tc>
        <w:tc>
          <w:tcPr>
            <w:tcW w:w="38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流量</w:t>
            </w:r>
            <w:r>
              <w:rPr>
                <w:rFonts w:ascii="Times New Roman" w:hAnsi="Times New Roman"/>
                <w:szCs w:val="21"/>
              </w:rPr>
              <w:t>800nm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，轴功率</w:t>
            </w:r>
            <w:r>
              <w:rPr>
                <w:rFonts w:ascii="Times New Roman" w:hAnsi="Times New Roman"/>
                <w:szCs w:val="21"/>
              </w:rPr>
              <w:t>16.5KW</w:t>
            </w:r>
          </w:p>
        </w:tc>
        <w:tc>
          <w:tcPr>
            <w:tcW w:w="915"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2</w:t>
            </w:r>
          </w:p>
        </w:tc>
      </w:tr>
      <w:tr w:rsidR="00525419">
        <w:trPr>
          <w:trHeight w:val="27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28</w:t>
            </w:r>
          </w:p>
        </w:tc>
        <w:tc>
          <w:tcPr>
            <w:tcW w:w="304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开工压缩机</w:t>
            </w:r>
          </w:p>
        </w:tc>
        <w:tc>
          <w:tcPr>
            <w:tcW w:w="38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流量</w:t>
            </w:r>
            <w:r>
              <w:rPr>
                <w:rFonts w:ascii="Times New Roman" w:hAnsi="Times New Roman"/>
                <w:szCs w:val="21"/>
              </w:rPr>
              <w:t>800nm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，轴功率</w:t>
            </w:r>
            <w:r>
              <w:rPr>
                <w:rFonts w:ascii="Times New Roman" w:hAnsi="Times New Roman"/>
                <w:szCs w:val="21"/>
              </w:rPr>
              <w:t>16.5KW</w:t>
            </w:r>
          </w:p>
        </w:tc>
        <w:tc>
          <w:tcPr>
            <w:tcW w:w="915"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1</w:t>
            </w:r>
          </w:p>
        </w:tc>
      </w:tr>
      <w:tr w:rsidR="00525419">
        <w:trPr>
          <w:trHeight w:val="27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29</w:t>
            </w:r>
          </w:p>
        </w:tc>
        <w:tc>
          <w:tcPr>
            <w:tcW w:w="304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酸性水气体塔底泵</w:t>
            </w:r>
          </w:p>
        </w:tc>
        <w:tc>
          <w:tcPr>
            <w:tcW w:w="38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流量</w:t>
            </w:r>
            <w:r>
              <w:rPr>
                <w:rFonts w:ascii="Times New Roman" w:hAnsi="Times New Roman"/>
                <w:szCs w:val="21"/>
              </w:rPr>
              <w:t>42.4m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，轴功率</w:t>
            </w:r>
            <w:r>
              <w:rPr>
                <w:rFonts w:ascii="Times New Roman" w:hAnsi="Times New Roman"/>
                <w:szCs w:val="21"/>
              </w:rPr>
              <w:t>4.6KW</w:t>
            </w:r>
          </w:p>
        </w:tc>
        <w:tc>
          <w:tcPr>
            <w:tcW w:w="915"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2</w:t>
            </w:r>
          </w:p>
        </w:tc>
      </w:tr>
      <w:tr w:rsidR="00525419">
        <w:trPr>
          <w:trHeight w:val="27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lastRenderedPageBreak/>
              <w:t>30</w:t>
            </w:r>
          </w:p>
        </w:tc>
        <w:tc>
          <w:tcPr>
            <w:tcW w:w="304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锅炉给水泵</w:t>
            </w:r>
          </w:p>
        </w:tc>
        <w:tc>
          <w:tcPr>
            <w:tcW w:w="38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流量</w:t>
            </w:r>
            <w:r>
              <w:rPr>
                <w:rFonts w:ascii="Times New Roman" w:hAnsi="Times New Roman"/>
                <w:szCs w:val="21"/>
              </w:rPr>
              <w:t>43.6m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，轴功率</w:t>
            </w:r>
            <w:r>
              <w:rPr>
                <w:rFonts w:ascii="Times New Roman" w:hAnsi="Times New Roman"/>
                <w:szCs w:val="21"/>
              </w:rPr>
              <w:t>76KW</w:t>
            </w:r>
          </w:p>
        </w:tc>
        <w:tc>
          <w:tcPr>
            <w:tcW w:w="915"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2</w:t>
            </w:r>
          </w:p>
        </w:tc>
      </w:tr>
      <w:tr w:rsidR="00525419">
        <w:trPr>
          <w:trHeight w:val="282"/>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31</w:t>
            </w:r>
          </w:p>
        </w:tc>
        <w:tc>
          <w:tcPr>
            <w:tcW w:w="304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加药泵</w:t>
            </w:r>
          </w:p>
        </w:tc>
        <w:tc>
          <w:tcPr>
            <w:tcW w:w="38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流量</w:t>
            </w:r>
            <w:r>
              <w:rPr>
                <w:rFonts w:ascii="Times New Roman" w:hAnsi="Times New Roman"/>
                <w:szCs w:val="21"/>
              </w:rPr>
              <w:t>0.07m</w:t>
            </w:r>
            <w:r>
              <w:rPr>
                <w:rFonts w:ascii="Times New Roman" w:hAnsi="Times New Roman"/>
                <w:szCs w:val="21"/>
                <w:vertAlign w:val="superscript"/>
              </w:rPr>
              <w:t>3</w:t>
            </w:r>
            <w:r>
              <w:rPr>
                <w:rFonts w:ascii="Times New Roman" w:hAnsi="Times New Roman"/>
                <w:szCs w:val="21"/>
              </w:rPr>
              <w:t>/h</w:t>
            </w:r>
            <w:r>
              <w:rPr>
                <w:rFonts w:ascii="Times New Roman" w:hAnsi="Times New Roman"/>
                <w:szCs w:val="21"/>
              </w:rPr>
              <w:t>，轴功率</w:t>
            </w:r>
            <w:r>
              <w:rPr>
                <w:rFonts w:ascii="Times New Roman" w:hAnsi="Times New Roman"/>
                <w:szCs w:val="21"/>
              </w:rPr>
              <w:t>0.6KW</w:t>
            </w:r>
          </w:p>
        </w:tc>
        <w:tc>
          <w:tcPr>
            <w:tcW w:w="915"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1</w:t>
            </w:r>
          </w:p>
        </w:tc>
      </w:tr>
      <w:tr w:rsidR="00525419">
        <w:trPr>
          <w:trHeight w:val="27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32</w:t>
            </w:r>
          </w:p>
        </w:tc>
        <w:tc>
          <w:tcPr>
            <w:tcW w:w="304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汽提塔</w:t>
            </w:r>
          </w:p>
        </w:tc>
        <w:tc>
          <w:tcPr>
            <w:tcW w:w="38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Φ1200×11500</w:t>
            </w:r>
            <w:r>
              <w:rPr>
                <w:rFonts w:ascii="Times New Roman" w:hAnsi="Times New Roman"/>
                <w:szCs w:val="21"/>
              </w:rPr>
              <w:t>（</w:t>
            </w:r>
            <w:r>
              <w:rPr>
                <w:rFonts w:ascii="Times New Roman" w:hAnsi="Times New Roman"/>
                <w:szCs w:val="21"/>
              </w:rPr>
              <w:t>TL</w:t>
            </w:r>
            <w:r>
              <w:rPr>
                <w:rFonts w:ascii="Times New Roman" w:hAnsi="Times New Roman"/>
                <w:szCs w:val="21"/>
              </w:rPr>
              <w:t>）</w:t>
            </w:r>
          </w:p>
        </w:tc>
        <w:tc>
          <w:tcPr>
            <w:tcW w:w="915"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189"/>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33</w:t>
            </w:r>
          </w:p>
        </w:tc>
        <w:tc>
          <w:tcPr>
            <w:tcW w:w="3042"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吸附塔</w:t>
            </w:r>
          </w:p>
        </w:tc>
        <w:tc>
          <w:tcPr>
            <w:tcW w:w="3830"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φ2200×9500(T.L)</w:t>
            </w:r>
          </w:p>
        </w:tc>
        <w:tc>
          <w:tcPr>
            <w:tcW w:w="915"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10</w:t>
            </w:r>
          </w:p>
        </w:tc>
      </w:tr>
      <w:tr w:rsidR="00525419">
        <w:trPr>
          <w:trHeight w:val="27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34</w:t>
            </w:r>
          </w:p>
        </w:tc>
        <w:tc>
          <w:tcPr>
            <w:tcW w:w="3042"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顺放罐</w:t>
            </w:r>
          </w:p>
        </w:tc>
        <w:tc>
          <w:tcPr>
            <w:tcW w:w="3830"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φ3000×2000(T.L)</w:t>
            </w:r>
          </w:p>
        </w:tc>
        <w:tc>
          <w:tcPr>
            <w:tcW w:w="915"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27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bCs/>
                <w:kern w:val="0"/>
                <w:szCs w:val="21"/>
              </w:rPr>
            </w:pPr>
            <w:r>
              <w:rPr>
                <w:rFonts w:ascii="Times New Roman" w:hAnsi="Times New Roman"/>
                <w:bCs/>
                <w:kern w:val="0"/>
                <w:szCs w:val="21"/>
              </w:rPr>
              <w:t>35</w:t>
            </w:r>
          </w:p>
        </w:tc>
        <w:tc>
          <w:tcPr>
            <w:tcW w:w="3042"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解吸气缓冲罐</w:t>
            </w:r>
          </w:p>
        </w:tc>
        <w:tc>
          <w:tcPr>
            <w:tcW w:w="3830"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φ3000×2000(T.L)</w:t>
            </w:r>
          </w:p>
        </w:tc>
        <w:tc>
          <w:tcPr>
            <w:tcW w:w="915"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140"/>
        </w:trPr>
        <w:tc>
          <w:tcPr>
            <w:tcW w:w="72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36</w:t>
            </w:r>
          </w:p>
        </w:tc>
        <w:tc>
          <w:tcPr>
            <w:tcW w:w="3042"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解吸气混合罐</w:t>
            </w:r>
          </w:p>
        </w:tc>
        <w:tc>
          <w:tcPr>
            <w:tcW w:w="3830"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φ3000×2000(T.L)</w:t>
            </w:r>
          </w:p>
        </w:tc>
        <w:tc>
          <w:tcPr>
            <w:tcW w:w="915"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bl>
    <w:p w:rsidR="00525419" w:rsidRDefault="00EE1CF7">
      <w:pPr>
        <w:pStyle w:val="afffe"/>
        <w:adjustRightInd w:val="0"/>
        <w:spacing w:before="31" w:after="31" w:line="360" w:lineRule="auto"/>
        <w:ind w:firstLineChars="0" w:firstLine="0"/>
        <w:rPr>
          <w:b/>
          <w:bCs/>
          <w:sz w:val="24"/>
        </w:rPr>
      </w:pPr>
      <w:r>
        <w:rPr>
          <w:b/>
          <w:bCs/>
          <w:sz w:val="24"/>
        </w:rPr>
        <w:t>3.5.2.2</w:t>
      </w:r>
      <w:r>
        <w:rPr>
          <w:b/>
          <w:bCs/>
          <w:sz w:val="24"/>
        </w:rPr>
        <w:t>煤焦油加氢装置</w:t>
      </w:r>
    </w:p>
    <w:p w:rsidR="00525419" w:rsidRDefault="00EE1CF7">
      <w:pPr>
        <w:pStyle w:val="afffe"/>
        <w:adjustRightInd w:val="0"/>
        <w:spacing w:before="31" w:after="31" w:line="360" w:lineRule="auto"/>
        <w:ind w:firstLineChars="200" w:firstLine="480"/>
        <w:rPr>
          <w:sz w:val="24"/>
        </w:rPr>
      </w:pPr>
      <w:r>
        <w:rPr>
          <w:sz w:val="24"/>
        </w:rPr>
        <w:t>本装置煤焦油进入煤焦油加氢单元，在适宜的工艺流程和工艺条件下，加氢脱硫、脱氮，使高缩合度的芳烃进行加氢饱和、开环裂化，经加氢蒸馏后分离出石脑油、柴油和尾油，从而实现焦油完全轻质化的目的。</w:t>
      </w:r>
    </w:p>
    <w:p w:rsidR="00525419" w:rsidRDefault="00EE1CF7">
      <w:pPr>
        <w:pStyle w:val="afffe"/>
        <w:adjustRightInd w:val="0"/>
        <w:spacing w:after="0" w:line="360" w:lineRule="auto"/>
        <w:ind w:firstLineChars="200" w:firstLine="480"/>
        <w:rPr>
          <w:sz w:val="24"/>
        </w:rPr>
      </w:pPr>
      <w:r>
        <w:rPr>
          <w:sz w:val="24"/>
        </w:rPr>
        <w:t>（</w:t>
      </w:r>
      <w:r>
        <w:rPr>
          <w:sz w:val="24"/>
        </w:rPr>
        <w:t>1</w:t>
      </w:r>
      <w:r>
        <w:rPr>
          <w:sz w:val="24"/>
        </w:rPr>
        <w:t>）生产技术及反应原理</w:t>
      </w:r>
    </w:p>
    <w:p w:rsidR="00525419" w:rsidRDefault="00EE1CF7">
      <w:pPr>
        <w:autoSpaceDE w:val="0"/>
        <w:autoSpaceDN w:val="0"/>
        <w:adjustRightInd w:val="0"/>
        <w:spacing w:line="360" w:lineRule="auto"/>
        <w:ind w:firstLineChars="200" w:firstLine="480"/>
        <w:jc w:val="left"/>
        <w:rPr>
          <w:rFonts w:ascii="Times New Roman" w:hAnsi="Times New Roman"/>
          <w:sz w:val="24"/>
        </w:rPr>
      </w:pPr>
      <w:r>
        <w:rPr>
          <w:rFonts w:ascii="Times New Roman" w:hAnsi="Times New Roman"/>
          <w:sz w:val="24"/>
        </w:rPr>
        <w:t>目前，国内有多种煤焦油加氢工艺主要有加氢精制工艺</w:t>
      </w:r>
      <w:r>
        <w:rPr>
          <w:rFonts w:ascii="Times New Roman" w:hAnsi="Times New Roman"/>
          <w:sz w:val="24"/>
        </w:rPr>
        <w:tab/>
      </w:r>
      <w:r>
        <w:rPr>
          <w:rFonts w:ascii="Times New Roman" w:hAnsi="Times New Roman"/>
          <w:sz w:val="24"/>
        </w:rPr>
        <w:t>、馏分油加氢提质工艺、延迟焦化</w:t>
      </w:r>
      <w:r>
        <w:rPr>
          <w:rFonts w:ascii="Times New Roman" w:hAnsi="Times New Roman"/>
          <w:sz w:val="24"/>
        </w:rPr>
        <w:t>+</w:t>
      </w:r>
      <w:r>
        <w:rPr>
          <w:rFonts w:ascii="Times New Roman" w:hAnsi="Times New Roman"/>
          <w:sz w:val="24"/>
        </w:rPr>
        <w:t>加氢精制工艺、</w:t>
      </w:r>
      <w:r>
        <w:rPr>
          <w:rFonts w:ascii="Times New Roman" w:hAnsi="Times New Roman"/>
          <w:sz w:val="24"/>
          <w:szCs w:val="24"/>
        </w:rPr>
        <w:t>沸腾床或浆态床全馏分加氢</w:t>
      </w:r>
      <w:r>
        <w:rPr>
          <w:rFonts w:ascii="Times New Roman" w:hAnsi="Times New Roman"/>
          <w:sz w:val="24"/>
        </w:rPr>
        <w:t>，这</w:t>
      </w:r>
      <w:r>
        <w:rPr>
          <w:rFonts w:ascii="Times New Roman" w:hAnsi="Times New Roman"/>
          <w:sz w:val="24"/>
        </w:rPr>
        <w:t>4</w:t>
      </w:r>
      <w:r>
        <w:rPr>
          <w:rFonts w:ascii="Times New Roman" w:hAnsi="Times New Roman"/>
          <w:sz w:val="24"/>
        </w:rPr>
        <w:t>种工艺路线优缺点对比见表</w:t>
      </w:r>
      <w:r>
        <w:rPr>
          <w:rFonts w:ascii="Times New Roman" w:hAnsi="Times New Roman"/>
          <w:sz w:val="24"/>
        </w:rPr>
        <w:t>3.5-5</w:t>
      </w:r>
      <w:r>
        <w:rPr>
          <w:rFonts w:ascii="Times New Roman" w:hAnsi="Times New Roman"/>
          <w:sz w:val="24"/>
        </w:rPr>
        <w:t>。</w:t>
      </w:r>
    </w:p>
    <w:p w:rsidR="00525419" w:rsidRDefault="00EE1CF7">
      <w:pPr>
        <w:autoSpaceDE w:val="0"/>
        <w:autoSpaceDN w:val="0"/>
        <w:adjustRightInd w:val="0"/>
        <w:spacing w:line="240" w:lineRule="atLeast"/>
        <w:ind w:firstLineChars="200" w:firstLine="420"/>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3.5-5   </w:t>
      </w:r>
      <w:r>
        <w:rPr>
          <w:rFonts w:ascii="Times New Roman" w:eastAsia="黑体" w:hAnsi="Times New Roman"/>
          <w:szCs w:val="21"/>
        </w:rPr>
        <w:t>四种工艺路线优缺点对比表</w:t>
      </w:r>
    </w:p>
    <w:tbl>
      <w:tblPr>
        <w:tblW w:w="85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16"/>
        <w:gridCol w:w="888"/>
        <w:gridCol w:w="1143"/>
        <w:gridCol w:w="520"/>
        <w:gridCol w:w="639"/>
        <w:gridCol w:w="637"/>
        <w:gridCol w:w="639"/>
        <w:gridCol w:w="1377"/>
        <w:gridCol w:w="1652"/>
      </w:tblGrid>
      <w:tr w:rsidR="00525419">
        <w:trPr>
          <w:trHeight w:val="567"/>
        </w:trPr>
        <w:tc>
          <w:tcPr>
            <w:tcW w:w="1016" w:type="dxa"/>
            <w:tcBorders>
              <w:tl2br w:val="nil"/>
              <w:tr2bl w:val="nil"/>
            </w:tcBorders>
            <w:vAlign w:val="center"/>
          </w:tcPr>
          <w:p w:rsidR="00525419" w:rsidRDefault="00525419">
            <w:pPr>
              <w:widowControl/>
              <w:spacing w:line="240" w:lineRule="atLeast"/>
              <w:rPr>
                <w:rFonts w:ascii="Times New Roman" w:hAnsi="Times New Roman"/>
                <w:szCs w:val="21"/>
              </w:rPr>
            </w:pPr>
          </w:p>
        </w:tc>
        <w:tc>
          <w:tcPr>
            <w:tcW w:w="888"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可加工原料馏分</w:t>
            </w:r>
          </w:p>
        </w:tc>
        <w:tc>
          <w:tcPr>
            <w:tcW w:w="1143" w:type="dxa"/>
            <w:tcBorders>
              <w:tl2br w:val="nil"/>
              <w:tr2bl w:val="nil"/>
            </w:tcBorders>
            <w:vAlign w:val="center"/>
          </w:tcPr>
          <w:p w:rsidR="00525419" w:rsidRDefault="00EE1CF7">
            <w:pPr>
              <w:widowControl/>
              <w:spacing w:line="240" w:lineRule="atLeast"/>
              <w:rPr>
                <w:rFonts w:ascii="Times New Roman" w:hAnsi="Times New Roman"/>
                <w:spacing w:val="-20"/>
                <w:szCs w:val="21"/>
              </w:rPr>
            </w:pPr>
            <w:r>
              <w:rPr>
                <w:rFonts w:ascii="Times New Roman" w:hAnsi="Times New Roman"/>
                <w:spacing w:val="-20"/>
                <w:szCs w:val="21"/>
              </w:rPr>
              <w:t>C</w:t>
            </w:r>
            <w:r>
              <w:rPr>
                <w:rFonts w:ascii="Times New Roman" w:hAnsi="Times New Roman"/>
                <w:spacing w:val="-20"/>
                <w:szCs w:val="21"/>
                <w:vertAlign w:val="subscript"/>
              </w:rPr>
              <w:t>5</w:t>
            </w:r>
            <w:r>
              <w:rPr>
                <w:rFonts w:ascii="Times New Roman" w:hAnsi="Times New Roman"/>
                <w:spacing w:val="-20"/>
                <w:szCs w:val="21"/>
              </w:rPr>
              <w:t>以上液收</w:t>
            </w:r>
          </w:p>
          <w:p w:rsidR="00525419" w:rsidRDefault="00EE1CF7">
            <w:pPr>
              <w:widowControl/>
              <w:spacing w:line="240" w:lineRule="atLeast"/>
              <w:rPr>
                <w:rFonts w:ascii="Times New Roman" w:hAnsi="Times New Roman"/>
                <w:szCs w:val="21"/>
              </w:rPr>
            </w:pPr>
            <w:r>
              <w:rPr>
                <w:rFonts w:ascii="Times New Roman" w:hAnsi="Times New Roman"/>
                <w:spacing w:val="-20"/>
                <w:szCs w:val="21"/>
              </w:rPr>
              <w:t>（高温煤焦油且不含煤沥青）</w:t>
            </w:r>
          </w:p>
        </w:tc>
        <w:tc>
          <w:tcPr>
            <w:tcW w:w="520"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投资</w:t>
            </w:r>
          </w:p>
        </w:tc>
        <w:tc>
          <w:tcPr>
            <w:tcW w:w="639"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消耗成本</w:t>
            </w:r>
          </w:p>
        </w:tc>
        <w:tc>
          <w:tcPr>
            <w:tcW w:w="637"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产品质量</w:t>
            </w:r>
          </w:p>
        </w:tc>
        <w:tc>
          <w:tcPr>
            <w:tcW w:w="639"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经济效益</w:t>
            </w:r>
          </w:p>
        </w:tc>
        <w:tc>
          <w:tcPr>
            <w:tcW w:w="1377"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优点</w:t>
            </w:r>
          </w:p>
        </w:tc>
        <w:tc>
          <w:tcPr>
            <w:tcW w:w="1652"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缺点</w:t>
            </w:r>
          </w:p>
        </w:tc>
      </w:tr>
      <w:tr w:rsidR="00525419">
        <w:trPr>
          <w:trHeight w:val="567"/>
        </w:trPr>
        <w:tc>
          <w:tcPr>
            <w:tcW w:w="1016"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加氢精制</w:t>
            </w:r>
          </w:p>
        </w:tc>
        <w:tc>
          <w:tcPr>
            <w:tcW w:w="888"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w:t>
            </w:r>
            <w:r>
              <w:rPr>
                <w:rFonts w:ascii="Times New Roman" w:hAnsi="Times New Roman"/>
                <w:szCs w:val="21"/>
              </w:rPr>
              <w:t>350℃</w:t>
            </w:r>
          </w:p>
        </w:tc>
        <w:tc>
          <w:tcPr>
            <w:tcW w:w="1143"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w:t>
            </w:r>
            <w:r>
              <w:rPr>
                <w:rFonts w:ascii="Times New Roman" w:hAnsi="Times New Roman"/>
                <w:szCs w:val="21"/>
              </w:rPr>
              <w:t>50%</w:t>
            </w:r>
          </w:p>
        </w:tc>
        <w:tc>
          <w:tcPr>
            <w:tcW w:w="520"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低</w:t>
            </w:r>
          </w:p>
        </w:tc>
        <w:tc>
          <w:tcPr>
            <w:tcW w:w="639"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低</w:t>
            </w:r>
          </w:p>
        </w:tc>
        <w:tc>
          <w:tcPr>
            <w:tcW w:w="637"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较差</w:t>
            </w:r>
          </w:p>
        </w:tc>
        <w:tc>
          <w:tcPr>
            <w:tcW w:w="639"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低</w:t>
            </w:r>
          </w:p>
        </w:tc>
        <w:tc>
          <w:tcPr>
            <w:tcW w:w="1377"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流程简单，反应条件缓和，易操作，投资较低</w:t>
            </w:r>
          </w:p>
        </w:tc>
        <w:tc>
          <w:tcPr>
            <w:tcW w:w="1652"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产品收率低，且产品质量差，故而经济效益差，投资回收后，后期效益差</w:t>
            </w:r>
          </w:p>
        </w:tc>
      </w:tr>
      <w:tr w:rsidR="00525419">
        <w:trPr>
          <w:trHeight w:val="567"/>
        </w:trPr>
        <w:tc>
          <w:tcPr>
            <w:tcW w:w="1016"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馏分油加氢</w:t>
            </w:r>
          </w:p>
        </w:tc>
        <w:tc>
          <w:tcPr>
            <w:tcW w:w="888"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w:t>
            </w:r>
            <w:r>
              <w:rPr>
                <w:rFonts w:ascii="Times New Roman" w:hAnsi="Times New Roman"/>
                <w:szCs w:val="21"/>
              </w:rPr>
              <w:t>460℃</w:t>
            </w:r>
          </w:p>
        </w:tc>
        <w:tc>
          <w:tcPr>
            <w:tcW w:w="1143"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w:t>
            </w:r>
            <w:r>
              <w:rPr>
                <w:rFonts w:ascii="Times New Roman" w:hAnsi="Times New Roman"/>
                <w:szCs w:val="21"/>
              </w:rPr>
              <w:t>62%</w:t>
            </w:r>
          </w:p>
        </w:tc>
        <w:tc>
          <w:tcPr>
            <w:tcW w:w="520"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较高</w:t>
            </w:r>
          </w:p>
        </w:tc>
        <w:tc>
          <w:tcPr>
            <w:tcW w:w="639"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适中</w:t>
            </w:r>
          </w:p>
        </w:tc>
        <w:tc>
          <w:tcPr>
            <w:tcW w:w="637"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优良</w:t>
            </w:r>
          </w:p>
        </w:tc>
        <w:tc>
          <w:tcPr>
            <w:tcW w:w="639"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高</w:t>
            </w:r>
          </w:p>
        </w:tc>
        <w:tc>
          <w:tcPr>
            <w:tcW w:w="1377"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反应深度充分，产品收率较高，效益高，投资回收期短，后期效益好</w:t>
            </w:r>
          </w:p>
        </w:tc>
        <w:tc>
          <w:tcPr>
            <w:tcW w:w="1652"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投资相对较大，建设周期长</w:t>
            </w:r>
          </w:p>
        </w:tc>
      </w:tr>
      <w:tr w:rsidR="00525419">
        <w:trPr>
          <w:trHeight w:val="567"/>
        </w:trPr>
        <w:tc>
          <w:tcPr>
            <w:tcW w:w="1016"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延迟焦化</w:t>
            </w:r>
            <w:r>
              <w:rPr>
                <w:rFonts w:ascii="Times New Roman" w:hAnsi="Times New Roman"/>
                <w:szCs w:val="21"/>
              </w:rPr>
              <w:t>+</w:t>
            </w:r>
            <w:r>
              <w:rPr>
                <w:rFonts w:ascii="Times New Roman" w:hAnsi="Times New Roman"/>
                <w:szCs w:val="21"/>
              </w:rPr>
              <w:t>加氢精制</w:t>
            </w:r>
          </w:p>
        </w:tc>
        <w:tc>
          <w:tcPr>
            <w:tcW w:w="888"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全馏分</w:t>
            </w:r>
          </w:p>
        </w:tc>
        <w:tc>
          <w:tcPr>
            <w:tcW w:w="1143"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w:t>
            </w:r>
            <w:r>
              <w:rPr>
                <w:rFonts w:ascii="Times New Roman" w:hAnsi="Times New Roman"/>
                <w:szCs w:val="21"/>
              </w:rPr>
              <w:t>60%</w:t>
            </w:r>
          </w:p>
        </w:tc>
        <w:tc>
          <w:tcPr>
            <w:tcW w:w="520"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高</w:t>
            </w:r>
          </w:p>
        </w:tc>
        <w:tc>
          <w:tcPr>
            <w:tcW w:w="639"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高</w:t>
            </w:r>
          </w:p>
        </w:tc>
        <w:tc>
          <w:tcPr>
            <w:tcW w:w="637"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较差</w:t>
            </w:r>
          </w:p>
        </w:tc>
        <w:tc>
          <w:tcPr>
            <w:tcW w:w="639"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低</w:t>
            </w:r>
          </w:p>
        </w:tc>
        <w:tc>
          <w:tcPr>
            <w:tcW w:w="1377"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无沥青产出</w:t>
            </w:r>
          </w:p>
        </w:tc>
        <w:tc>
          <w:tcPr>
            <w:tcW w:w="1652"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液收低，产品质量差，石油焦不合格故难以销售，投资高，建设周期长，经济</w:t>
            </w:r>
            <w:r>
              <w:rPr>
                <w:rFonts w:ascii="Times New Roman" w:hAnsi="Times New Roman"/>
                <w:szCs w:val="21"/>
              </w:rPr>
              <w:lastRenderedPageBreak/>
              <w:t>效益差，投资回收期长，且后期效益差</w:t>
            </w:r>
          </w:p>
        </w:tc>
      </w:tr>
      <w:tr w:rsidR="00525419">
        <w:trPr>
          <w:trHeight w:val="567"/>
        </w:trPr>
        <w:tc>
          <w:tcPr>
            <w:tcW w:w="1016"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lastRenderedPageBreak/>
              <w:t>沸腾床或浆态床</w:t>
            </w:r>
          </w:p>
        </w:tc>
        <w:tc>
          <w:tcPr>
            <w:tcW w:w="888"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全馏分</w:t>
            </w:r>
          </w:p>
        </w:tc>
        <w:tc>
          <w:tcPr>
            <w:tcW w:w="1143"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w:t>
            </w:r>
            <w:r>
              <w:rPr>
                <w:rFonts w:ascii="Times New Roman" w:hAnsi="Times New Roman"/>
                <w:szCs w:val="21"/>
              </w:rPr>
              <w:t>100%</w:t>
            </w:r>
          </w:p>
        </w:tc>
        <w:tc>
          <w:tcPr>
            <w:tcW w:w="520"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高</w:t>
            </w:r>
          </w:p>
        </w:tc>
        <w:tc>
          <w:tcPr>
            <w:tcW w:w="639"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高</w:t>
            </w:r>
          </w:p>
        </w:tc>
        <w:tc>
          <w:tcPr>
            <w:tcW w:w="637"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优良</w:t>
            </w:r>
          </w:p>
        </w:tc>
        <w:tc>
          <w:tcPr>
            <w:tcW w:w="639"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低</w:t>
            </w:r>
          </w:p>
        </w:tc>
        <w:tc>
          <w:tcPr>
            <w:tcW w:w="1377"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无沥青产出</w:t>
            </w:r>
          </w:p>
        </w:tc>
        <w:tc>
          <w:tcPr>
            <w:tcW w:w="1652"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液收高，产品质量好，但投资高，建设周期长，国内技术不成熟</w:t>
            </w:r>
          </w:p>
        </w:tc>
      </w:tr>
    </w:tbl>
    <w:p w:rsidR="00525419" w:rsidRDefault="00525419">
      <w:pPr>
        <w:autoSpaceDE w:val="0"/>
        <w:autoSpaceDN w:val="0"/>
        <w:adjustRightInd w:val="0"/>
        <w:ind w:firstLineChars="200" w:firstLine="420"/>
        <w:jc w:val="left"/>
        <w:rPr>
          <w:rFonts w:ascii="Times New Roman" w:hAnsi="Times New Roman"/>
          <w:szCs w:val="21"/>
        </w:rPr>
      </w:pPr>
    </w:p>
    <w:p w:rsidR="00525419" w:rsidRDefault="00EE1CF7">
      <w:pPr>
        <w:autoSpaceDE w:val="0"/>
        <w:autoSpaceDN w:val="0"/>
        <w:adjustRightInd w:val="0"/>
        <w:spacing w:line="440" w:lineRule="exact"/>
        <w:ind w:firstLineChars="200" w:firstLine="480"/>
        <w:rPr>
          <w:rFonts w:ascii="Times New Roman" w:hAnsi="Times New Roman"/>
          <w:sz w:val="24"/>
        </w:rPr>
      </w:pPr>
      <w:r>
        <w:rPr>
          <w:rFonts w:ascii="Times New Roman" w:hAnsi="Times New Roman"/>
          <w:sz w:val="24"/>
        </w:rPr>
        <w:t>结合装置单元规模和已有工程经验，确定本装置单元工艺路线为</w:t>
      </w:r>
      <w:r>
        <w:rPr>
          <w:rFonts w:ascii="Times New Roman" w:hAnsi="Times New Roman"/>
          <w:sz w:val="24"/>
        </w:rPr>
        <w:t>“</w:t>
      </w:r>
      <w:r>
        <w:rPr>
          <w:rFonts w:ascii="Times New Roman" w:hAnsi="Times New Roman"/>
          <w:sz w:val="24"/>
        </w:rPr>
        <w:t>加氢精制</w:t>
      </w:r>
      <w:r>
        <w:rPr>
          <w:rFonts w:ascii="Times New Roman" w:hAnsi="Times New Roman"/>
          <w:sz w:val="24"/>
        </w:rPr>
        <w:t>--</w:t>
      </w:r>
      <w:r>
        <w:rPr>
          <w:rFonts w:ascii="Times New Roman" w:hAnsi="Times New Roman"/>
          <w:sz w:val="24"/>
        </w:rPr>
        <w:t>加氢提质</w:t>
      </w:r>
      <w:r>
        <w:rPr>
          <w:rFonts w:ascii="Times New Roman" w:hAnsi="Times New Roman"/>
          <w:sz w:val="24"/>
        </w:rPr>
        <w:t>--</w:t>
      </w:r>
      <w:r>
        <w:rPr>
          <w:rFonts w:ascii="Times New Roman" w:hAnsi="Times New Roman"/>
          <w:sz w:val="24"/>
        </w:rPr>
        <w:t>反应产物分离</w:t>
      </w:r>
      <w:r>
        <w:rPr>
          <w:rFonts w:ascii="Times New Roman" w:hAnsi="Times New Roman"/>
          <w:sz w:val="24"/>
        </w:rPr>
        <w:t>”</w:t>
      </w:r>
      <w:r>
        <w:rPr>
          <w:rFonts w:ascii="Times New Roman" w:hAnsi="Times New Roman"/>
          <w:sz w:val="24"/>
        </w:rPr>
        <w:t>，因此本装置单元选用第二种馏分油加氢工艺，煤焦油利用率高，产品性质优良。煤焦油加氢生产液体燃料，工艺流程相对简单、投资省、技术成熟、符合环保要求，综合各种因素，推荐采用安徽华东化工医药工程有限责任公司的煤焦油加氢技术。</w:t>
      </w:r>
    </w:p>
    <w:p w:rsidR="00525419" w:rsidRDefault="00EE1CF7">
      <w:pPr>
        <w:spacing w:line="440" w:lineRule="exact"/>
        <w:ind w:firstLineChars="200" w:firstLine="480"/>
        <w:rPr>
          <w:rFonts w:ascii="Times New Roman" w:hAnsi="Times New Roman"/>
          <w:sz w:val="24"/>
        </w:rPr>
      </w:pPr>
      <w:r>
        <w:rPr>
          <w:rFonts w:ascii="Times New Roman" w:hAnsi="Times New Roman"/>
          <w:sz w:val="24"/>
        </w:rPr>
        <w:t>该工艺过程的主要化学原理如下：</w:t>
      </w:r>
    </w:p>
    <w:p w:rsidR="00525419" w:rsidRDefault="00EE1CF7">
      <w:pPr>
        <w:spacing w:line="440" w:lineRule="exact"/>
        <w:ind w:firstLineChars="200" w:firstLine="480"/>
        <w:rPr>
          <w:rFonts w:ascii="Times New Roman" w:hAnsi="Times New Roman"/>
          <w:sz w:val="24"/>
        </w:rPr>
      </w:pPr>
      <w:r>
        <w:rPr>
          <w:rFonts w:ascii="Times New Roman" w:hAnsi="Times New Roman"/>
          <w:sz w:val="24"/>
        </w:rPr>
        <w:t>①</w:t>
      </w:r>
      <w:r>
        <w:rPr>
          <w:rFonts w:ascii="Times New Roman" w:hAnsi="Times New Roman"/>
          <w:sz w:val="24"/>
        </w:rPr>
        <w:t>加氢脱硫反应</w:t>
      </w:r>
    </w:p>
    <w:p w:rsidR="00525419" w:rsidRDefault="00EE1CF7">
      <w:pPr>
        <w:pStyle w:val="afffe"/>
        <w:adjustRightInd w:val="0"/>
        <w:snapToGrid w:val="0"/>
        <w:spacing w:after="0" w:line="440" w:lineRule="exact"/>
        <w:ind w:firstLineChars="200" w:firstLine="480"/>
        <w:rPr>
          <w:sz w:val="24"/>
        </w:rPr>
      </w:pPr>
      <w:r>
        <w:rPr>
          <w:sz w:val="24"/>
        </w:rPr>
        <w:t>在加氢精制条件下，馏分中的硫醇、硫醚、二硫化物、噻吩、苯并噻吩等转化成相应的烃和</w:t>
      </w:r>
      <w:r>
        <w:rPr>
          <w:sz w:val="24"/>
        </w:rPr>
        <w:t>H</w:t>
      </w:r>
      <w:r>
        <w:rPr>
          <w:sz w:val="24"/>
          <w:vertAlign w:val="subscript"/>
        </w:rPr>
        <w:t>2</w:t>
      </w:r>
      <w:r>
        <w:rPr>
          <w:sz w:val="24"/>
        </w:rPr>
        <w:t>S</w:t>
      </w:r>
      <w:r>
        <w:rPr>
          <w:sz w:val="24"/>
        </w:rPr>
        <w:t>，从而脱除硫杂原子。</w:t>
      </w:r>
    </w:p>
    <w:p w:rsidR="00525419" w:rsidRDefault="00EE1CF7">
      <w:pPr>
        <w:pStyle w:val="afffe"/>
        <w:adjustRightInd w:val="0"/>
        <w:snapToGrid w:val="0"/>
        <w:spacing w:after="0" w:line="360" w:lineRule="auto"/>
        <w:ind w:firstLineChars="200" w:firstLine="480"/>
        <w:rPr>
          <w:sz w:val="24"/>
        </w:rPr>
      </w:pPr>
      <w:r>
        <w:rPr>
          <w:sz w:val="24"/>
        </w:rPr>
        <w:t>RSH+H</w:t>
      </w:r>
      <w:r>
        <w:rPr>
          <w:sz w:val="24"/>
          <w:vertAlign w:val="subscript"/>
        </w:rPr>
        <w:t>2</w:t>
      </w:r>
      <w:r>
        <w:rPr>
          <w:sz w:val="24"/>
        </w:rPr>
        <w:t>→RH+H</w:t>
      </w:r>
      <w:r>
        <w:rPr>
          <w:sz w:val="24"/>
          <w:vertAlign w:val="subscript"/>
        </w:rPr>
        <w:t>2</w:t>
      </w:r>
      <w:r>
        <w:rPr>
          <w:sz w:val="24"/>
        </w:rPr>
        <w:t>S</w:t>
      </w:r>
      <w:r>
        <w:rPr>
          <w:sz w:val="24"/>
        </w:rPr>
        <w:t>；</w:t>
      </w:r>
      <w:r>
        <w:rPr>
          <w:sz w:val="24"/>
        </w:rPr>
        <w:t>R-S-R+2H</w:t>
      </w:r>
      <w:r>
        <w:rPr>
          <w:sz w:val="24"/>
          <w:vertAlign w:val="subscript"/>
        </w:rPr>
        <w:t>2</w:t>
      </w:r>
      <w:r>
        <w:rPr>
          <w:sz w:val="24"/>
        </w:rPr>
        <w:t>→2RH+H</w:t>
      </w:r>
      <w:r>
        <w:rPr>
          <w:sz w:val="24"/>
          <w:vertAlign w:val="subscript"/>
        </w:rPr>
        <w:t>2</w:t>
      </w:r>
      <w:r>
        <w:rPr>
          <w:sz w:val="24"/>
        </w:rPr>
        <w:t>S</w:t>
      </w:r>
      <w:r>
        <w:rPr>
          <w:sz w:val="24"/>
        </w:rPr>
        <w:t>；</w:t>
      </w:r>
      <w:r>
        <w:rPr>
          <w:sz w:val="24"/>
        </w:rPr>
        <w:t>(RS)</w:t>
      </w:r>
      <w:r>
        <w:rPr>
          <w:sz w:val="24"/>
          <w:vertAlign w:val="subscript"/>
        </w:rPr>
        <w:t>2</w:t>
      </w:r>
      <w:r>
        <w:rPr>
          <w:sz w:val="24"/>
        </w:rPr>
        <w:t>+3H</w:t>
      </w:r>
      <w:r>
        <w:rPr>
          <w:sz w:val="24"/>
          <w:vertAlign w:val="subscript"/>
        </w:rPr>
        <w:t>2</w:t>
      </w:r>
      <w:r>
        <w:rPr>
          <w:sz w:val="24"/>
        </w:rPr>
        <w:t>→2RH+2H</w:t>
      </w:r>
      <w:r>
        <w:rPr>
          <w:sz w:val="24"/>
          <w:vertAlign w:val="subscript"/>
        </w:rPr>
        <w:t>2</w:t>
      </w:r>
      <w:r>
        <w:rPr>
          <w:sz w:val="24"/>
        </w:rPr>
        <w:t>S</w:t>
      </w:r>
    </w:p>
    <w:p w:rsidR="00525419" w:rsidRDefault="00FE095A">
      <w:pPr>
        <w:pStyle w:val="afffe"/>
        <w:adjustRightInd w:val="0"/>
        <w:snapToGrid w:val="0"/>
        <w:spacing w:after="0" w:line="360" w:lineRule="auto"/>
        <w:ind w:firstLineChars="200" w:firstLine="480"/>
        <w:jc w:val="center"/>
        <w:rPr>
          <w:sz w:val="24"/>
        </w:rPr>
      </w:pPr>
      <w:r>
        <w:rPr>
          <w:sz w:val="24"/>
        </w:rPr>
        <w:pict>
          <v:shape id="_x0000_i1027" type="#_x0000_t75" style="width:69.75pt;height:36.75pt">
            <v:imagedata r:id="rId18" o:title="" croptop="7149f" cropleft="2158f" cropright="45326f"/>
          </v:shape>
        </w:pict>
      </w:r>
      <w:r>
        <w:rPr>
          <w:sz w:val="24"/>
        </w:rPr>
        <w:pict>
          <v:shape id="_x0000_i1028" type="#_x0000_t75" style="width:166.5pt;height:36.75pt">
            <v:imagedata r:id="rId19" o:title="" cropleft="2825f"/>
          </v:shape>
        </w:pict>
      </w:r>
    </w:p>
    <w:p w:rsidR="00525419" w:rsidRDefault="00FE095A">
      <w:pPr>
        <w:pStyle w:val="afffe"/>
        <w:adjustRightInd w:val="0"/>
        <w:snapToGrid w:val="0"/>
        <w:spacing w:after="0" w:line="360" w:lineRule="auto"/>
        <w:ind w:firstLineChars="200" w:firstLine="480"/>
        <w:jc w:val="center"/>
        <w:rPr>
          <w:sz w:val="24"/>
        </w:rPr>
      </w:pPr>
      <w:r>
        <w:rPr>
          <w:sz w:val="24"/>
        </w:rPr>
        <w:pict>
          <v:shape id="_x0000_i1029" type="#_x0000_t75" style="width:282.75pt;height:32.25pt">
            <v:imagedata r:id="rId20" o:title="" croptop="8307f"/>
          </v:shape>
        </w:pict>
      </w:r>
    </w:p>
    <w:p w:rsidR="00525419" w:rsidRDefault="00EE1CF7">
      <w:pPr>
        <w:spacing w:line="360" w:lineRule="auto"/>
        <w:ind w:firstLineChars="200" w:firstLine="480"/>
        <w:rPr>
          <w:rFonts w:ascii="Times New Roman" w:hAnsi="Times New Roman"/>
          <w:sz w:val="24"/>
        </w:rPr>
      </w:pPr>
      <w:r>
        <w:rPr>
          <w:rFonts w:ascii="Times New Roman" w:hAnsi="Times New Roman"/>
          <w:sz w:val="24"/>
        </w:rPr>
        <w:t>②</w:t>
      </w:r>
      <w:r>
        <w:rPr>
          <w:rFonts w:ascii="Times New Roman" w:hAnsi="Times New Roman"/>
          <w:sz w:val="24"/>
        </w:rPr>
        <w:t>加氢脱氮反应</w:t>
      </w:r>
    </w:p>
    <w:p w:rsidR="00525419" w:rsidRDefault="00EE1CF7">
      <w:pPr>
        <w:pStyle w:val="afffe"/>
        <w:adjustRightInd w:val="0"/>
        <w:snapToGrid w:val="0"/>
        <w:spacing w:after="0" w:line="360" w:lineRule="auto"/>
        <w:ind w:firstLineChars="200" w:firstLine="480"/>
        <w:jc w:val="left"/>
        <w:rPr>
          <w:sz w:val="24"/>
        </w:rPr>
      </w:pPr>
      <w:r>
        <w:rPr>
          <w:sz w:val="24"/>
        </w:rPr>
        <w:t>氮化物在氢作用下转化为</w:t>
      </w:r>
      <w:r>
        <w:rPr>
          <w:sz w:val="24"/>
        </w:rPr>
        <w:t>NH</w:t>
      </w:r>
      <w:r>
        <w:rPr>
          <w:sz w:val="24"/>
          <w:vertAlign w:val="subscript"/>
        </w:rPr>
        <w:t>3</w:t>
      </w:r>
      <w:r>
        <w:rPr>
          <w:sz w:val="24"/>
        </w:rPr>
        <w:t>和烃。</w:t>
      </w:r>
    </w:p>
    <w:p w:rsidR="00525419" w:rsidRDefault="00FE095A">
      <w:pPr>
        <w:pStyle w:val="afffe"/>
        <w:adjustRightInd w:val="0"/>
        <w:snapToGrid w:val="0"/>
        <w:spacing w:after="0" w:line="360" w:lineRule="auto"/>
        <w:ind w:firstLineChars="200" w:firstLine="480"/>
        <w:jc w:val="center"/>
        <w:rPr>
          <w:sz w:val="24"/>
        </w:rPr>
      </w:pPr>
      <w:r>
        <w:rPr>
          <w:sz w:val="24"/>
        </w:rPr>
        <w:pict>
          <v:shape id="_x0000_i1030" type="#_x0000_t75" style="width:336.75pt;height:156.75pt">
            <v:imagedata r:id="rId21" o:title=""/>
          </v:shape>
        </w:pict>
      </w:r>
    </w:p>
    <w:p w:rsidR="00525419" w:rsidRDefault="00525419">
      <w:pPr>
        <w:spacing w:line="360" w:lineRule="auto"/>
        <w:ind w:firstLineChars="200" w:firstLine="480"/>
        <w:rPr>
          <w:rFonts w:ascii="Times New Roman" w:hAnsi="Times New Roman"/>
          <w:sz w:val="24"/>
        </w:rPr>
      </w:pPr>
    </w:p>
    <w:p w:rsidR="00525419" w:rsidRDefault="00EE1CF7">
      <w:pPr>
        <w:spacing w:line="360" w:lineRule="auto"/>
        <w:ind w:firstLineChars="200" w:firstLine="480"/>
        <w:rPr>
          <w:rFonts w:ascii="Times New Roman" w:hAnsi="Times New Roman"/>
          <w:sz w:val="24"/>
        </w:rPr>
      </w:pPr>
      <w:r>
        <w:rPr>
          <w:rFonts w:ascii="Times New Roman" w:hAnsi="Times New Roman"/>
          <w:sz w:val="24"/>
        </w:rPr>
        <w:lastRenderedPageBreak/>
        <w:t>③</w:t>
      </w:r>
      <w:r>
        <w:rPr>
          <w:rFonts w:ascii="Times New Roman" w:hAnsi="Times New Roman"/>
          <w:sz w:val="24"/>
        </w:rPr>
        <w:t>加氢脱氧反应</w:t>
      </w:r>
    </w:p>
    <w:p w:rsidR="00525419" w:rsidRDefault="00EE1CF7">
      <w:pPr>
        <w:pStyle w:val="afffe"/>
        <w:adjustRightInd w:val="0"/>
        <w:snapToGrid w:val="0"/>
        <w:spacing w:after="0" w:line="360" w:lineRule="auto"/>
        <w:ind w:firstLineChars="200" w:firstLine="480"/>
        <w:rPr>
          <w:sz w:val="24"/>
        </w:rPr>
      </w:pPr>
      <w:r>
        <w:rPr>
          <w:sz w:val="24"/>
        </w:rPr>
        <w:t>馏分油中的含氧化合物主要包括环烷酸和酚类等，各种含氧化合物的加氢反应主要包括环系的加氢饱和及</w:t>
      </w:r>
      <w:r>
        <w:rPr>
          <w:sz w:val="24"/>
        </w:rPr>
        <w:t>C-O</w:t>
      </w:r>
      <w:r>
        <w:rPr>
          <w:sz w:val="24"/>
        </w:rPr>
        <w:t>键的氢解反应。</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④</w:t>
      </w:r>
      <w:r>
        <w:rPr>
          <w:rFonts w:ascii="Times New Roman" w:hAnsi="Times New Roman"/>
          <w:sz w:val="24"/>
        </w:rPr>
        <w:t>加氢脱金属反应</w:t>
      </w:r>
    </w:p>
    <w:p w:rsidR="00525419" w:rsidRDefault="00EE1CF7">
      <w:pPr>
        <w:pStyle w:val="afffe"/>
        <w:adjustRightInd w:val="0"/>
        <w:snapToGrid w:val="0"/>
        <w:spacing w:after="0" w:line="360" w:lineRule="auto"/>
        <w:ind w:firstLineChars="200" w:firstLine="480"/>
        <w:rPr>
          <w:sz w:val="24"/>
        </w:rPr>
      </w:pPr>
      <w:r>
        <w:rPr>
          <w:sz w:val="24"/>
        </w:rPr>
        <w:t>馏分油中的金属可分为卟啉化合物形式存在的金属和以非卟啉化合物形式存在的金属，在</w:t>
      </w:r>
      <w:r>
        <w:rPr>
          <w:sz w:val="24"/>
        </w:rPr>
        <w:t>H</w:t>
      </w:r>
      <w:r>
        <w:rPr>
          <w:sz w:val="24"/>
          <w:vertAlign w:val="subscript"/>
        </w:rPr>
        <w:t>2</w:t>
      </w:r>
      <w:r>
        <w:rPr>
          <w:sz w:val="24"/>
        </w:rPr>
        <w:t>/H</w:t>
      </w:r>
      <w:r>
        <w:rPr>
          <w:sz w:val="24"/>
          <w:vertAlign w:val="subscript"/>
        </w:rPr>
        <w:t>2</w:t>
      </w:r>
      <w:r>
        <w:rPr>
          <w:sz w:val="24"/>
        </w:rPr>
        <w:t>S</w:t>
      </w:r>
      <w:r>
        <w:rPr>
          <w:sz w:val="24"/>
        </w:rPr>
        <w:t>存在下，可使金属与氮的配位键削弱，反应生成金属硫化物、水等。</w:t>
      </w:r>
    </w:p>
    <w:p w:rsidR="00525419" w:rsidRDefault="00EE1CF7">
      <w:pPr>
        <w:pStyle w:val="afffe"/>
        <w:adjustRightInd w:val="0"/>
        <w:snapToGrid w:val="0"/>
        <w:spacing w:after="0" w:line="360" w:lineRule="auto"/>
        <w:ind w:firstLineChars="200" w:firstLine="480"/>
        <w:rPr>
          <w:sz w:val="24"/>
        </w:rPr>
      </w:pPr>
      <w:r>
        <w:rPr>
          <w:sz w:val="24"/>
        </w:rPr>
        <w:t>煤焦油加氢单元规模为</w:t>
      </w:r>
      <w:r>
        <w:rPr>
          <w:sz w:val="24"/>
        </w:rPr>
        <w:t>40</w:t>
      </w:r>
      <w:r>
        <w:rPr>
          <w:sz w:val="24"/>
        </w:rPr>
        <w:t>万吨</w:t>
      </w:r>
      <w:r>
        <w:rPr>
          <w:sz w:val="24"/>
        </w:rPr>
        <w:t>/</w:t>
      </w:r>
      <w:r>
        <w:rPr>
          <w:sz w:val="24"/>
        </w:rPr>
        <w:t>年。</w:t>
      </w:r>
    </w:p>
    <w:p w:rsidR="00525419" w:rsidRDefault="00EE1CF7">
      <w:pPr>
        <w:pStyle w:val="afffe"/>
        <w:adjustRightInd w:val="0"/>
        <w:spacing w:after="0" w:line="360" w:lineRule="auto"/>
        <w:ind w:firstLineChars="200" w:firstLine="480"/>
        <w:rPr>
          <w:sz w:val="24"/>
        </w:rPr>
      </w:pPr>
      <w:r>
        <w:rPr>
          <w:sz w:val="24"/>
        </w:rPr>
        <w:t>（</w:t>
      </w:r>
      <w:r>
        <w:rPr>
          <w:sz w:val="24"/>
        </w:rPr>
        <w:t>2</w:t>
      </w:r>
      <w:r>
        <w:rPr>
          <w:sz w:val="24"/>
        </w:rPr>
        <w:t>）工艺流程简述</w:t>
      </w:r>
    </w:p>
    <w:p w:rsidR="00525419" w:rsidRDefault="00EE1CF7">
      <w:pPr>
        <w:tabs>
          <w:tab w:val="left" w:pos="4900"/>
          <w:tab w:val="left" w:leader="middleDot" w:pos="8260"/>
        </w:tabs>
        <w:spacing w:line="360" w:lineRule="auto"/>
        <w:ind w:firstLineChars="200" w:firstLine="480"/>
        <w:rPr>
          <w:rFonts w:ascii="Times New Roman" w:hAnsi="Times New Roman"/>
          <w:sz w:val="24"/>
        </w:rPr>
      </w:pPr>
      <w:r>
        <w:rPr>
          <w:rFonts w:ascii="Times New Roman" w:hAnsi="Times New Roman"/>
          <w:sz w:val="24"/>
        </w:rPr>
        <w:t>煤焦油加氢单元主要包括加氢精制部分、加氢提质部分、脱硫部分。</w:t>
      </w:r>
    </w:p>
    <w:p w:rsidR="00525419" w:rsidRDefault="00EE1CF7">
      <w:pPr>
        <w:spacing w:line="360" w:lineRule="auto"/>
        <w:ind w:firstLineChars="200" w:firstLine="480"/>
        <w:rPr>
          <w:rFonts w:ascii="Times New Roman" w:hAnsi="Times New Roman"/>
          <w:sz w:val="24"/>
        </w:rPr>
      </w:pPr>
      <w:r>
        <w:rPr>
          <w:rFonts w:ascii="Times New Roman" w:hAnsi="Times New Roman"/>
          <w:sz w:val="24"/>
          <w:szCs w:val="24"/>
        </w:rPr>
        <w:t>▲</w:t>
      </w:r>
      <w:r>
        <w:rPr>
          <w:rFonts w:ascii="Times New Roman" w:hAnsi="Times New Roman"/>
          <w:sz w:val="24"/>
        </w:rPr>
        <w:t>加氢精制部分</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煤焦油与柴油换热后进一段原料油过滤器，经过滤器除去</w:t>
      </w:r>
      <w:r>
        <w:rPr>
          <w:rFonts w:ascii="Times New Roman" w:hAnsi="Times New Roman"/>
          <w:sz w:val="24"/>
          <w:szCs w:val="24"/>
        </w:rPr>
        <w:t>≥25</w:t>
      </w:r>
      <w:r>
        <w:rPr>
          <w:rFonts w:ascii="Times New Roman" w:hAnsi="Times New Roman"/>
          <w:sz w:val="24"/>
          <w:szCs w:val="24"/>
        </w:rPr>
        <w:sym w:font="Symbol" w:char="F06D"/>
      </w:r>
      <w:r>
        <w:rPr>
          <w:rFonts w:ascii="Times New Roman" w:hAnsi="Times New Roman"/>
          <w:sz w:val="24"/>
          <w:szCs w:val="24"/>
        </w:rPr>
        <w:t>m</w:t>
      </w:r>
      <w:r>
        <w:rPr>
          <w:rFonts w:ascii="Times New Roman" w:hAnsi="Times New Roman"/>
          <w:sz w:val="24"/>
          <w:szCs w:val="24"/>
        </w:rPr>
        <w:t>的固体颗粒后进入一段原料油缓冲罐，原料油经一段加氢进料泵加压后与部分混合氢混合，然后进入脱双烯反应器，脱双烯反应器流出物与一段反应流出物换热后与热混合氢混合，经加氢反应一段加热炉加热至反应温度，然后依次进入脱金属反应器、预精制反应器和第一段加氢裂化反应器进行脱硫、脱氮及芳烃饱和反应，反应器出来的反应流出物与预精制反应流出物、汽提塔底油换热后进入热高压分离器，热高分气分别与混合氢和冷低分油换热后进入热高压气空冷器冷却至</w:t>
      </w:r>
      <w:r>
        <w:rPr>
          <w:rFonts w:ascii="Times New Roman" w:hAnsi="Times New Roman"/>
          <w:sz w:val="24"/>
          <w:szCs w:val="24"/>
        </w:rPr>
        <w:t>50℃</w:t>
      </w:r>
      <w:r>
        <w:rPr>
          <w:rFonts w:ascii="Times New Roman" w:hAnsi="Times New Roman"/>
          <w:sz w:val="24"/>
          <w:szCs w:val="24"/>
        </w:rPr>
        <w:t>后进入冷高压分离器，自冷高压分离器出来的循环氢进入循环氢压缩机入口分液罐沉降分凝后，经循环氢压缩机压缩升压。压缩机出口气体分为三路：一路作为冷氢送至一段反应部分各反应器处，一路与新氢混合后作为混合氢至一段反应部分，另一路作为冷氢送至二段反应器处。循环氢压缩机入口分液罐顶设有流量控制的放空系统，用于反应副产的不凝性轻组分的排放，以保证循环氢浓度。</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为了防止铵盐结晶，在空冷前设置了注水系统。</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热高分油经减压后进入热低压分离器，热低分油与经换热后的冷低分油混合后送入脱硫化氢汽提塔，冷低分气至脱硫部分，脱硫化氢汽提塔采用过热蒸汽汽提，塔顶气体通过空冷器、水冷器冷凝冷却至</w:t>
      </w:r>
      <w:r>
        <w:rPr>
          <w:rFonts w:ascii="Times New Roman" w:hAnsi="Times New Roman"/>
          <w:sz w:val="24"/>
          <w:szCs w:val="24"/>
        </w:rPr>
        <w:t>40℃</w:t>
      </w:r>
      <w:r>
        <w:rPr>
          <w:rFonts w:ascii="Times New Roman" w:hAnsi="Times New Roman"/>
          <w:sz w:val="24"/>
          <w:szCs w:val="24"/>
        </w:rPr>
        <w:t>，进入脱硫化氢汽提塔顶回流罐。硫化氢汽提塔顶回流罐气体进入脱硫部分，液体则经脱硫化氢汽提塔顶回流泵升压后部分回流至硫化氢汽提塔顶，部分送往脱丁烷塔，罐底含硫污水送至含硫污水总管。送往脱丁烷塔粗精制石脑油先与脱丁烷塔底精制石脑油换热，再与</w:t>
      </w:r>
      <w:r>
        <w:rPr>
          <w:rFonts w:ascii="Times New Roman" w:hAnsi="Times New Roman"/>
          <w:sz w:val="24"/>
          <w:szCs w:val="24"/>
        </w:rPr>
        <w:lastRenderedPageBreak/>
        <w:t>尾油换热后进入脱丁烷塔。脱丁烷塔采用柴油作为重沸热源，塔顶气体通过空冷器、水冷器冷凝冷却至</w:t>
      </w:r>
      <w:r>
        <w:rPr>
          <w:rFonts w:ascii="Times New Roman" w:hAnsi="Times New Roman"/>
          <w:sz w:val="24"/>
          <w:szCs w:val="24"/>
        </w:rPr>
        <w:t>40℃</w:t>
      </w:r>
      <w:r>
        <w:rPr>
          <w:rFonts w:ascii="Times New Roman" w:hAnsi="Times New Roman"/>
          <w:sz w:val="24"/>
          <w:szCs w:val="24"/>
        </w:rPr>
        <w:t>，进入脱丁烷塔顶回流罐。脱丁烷塔顶回流罐气体进入脱硫部分，液体则经脱丁烷塔顶回流泵升压后部分回流至脱丁烷塔顶，另一部分送往脱硫部分，罐底含硫污水送至含硫污水总管。塔底精制石脑油与进料换热后，再经循环水冷却至</w:t>
      </w:r>
      <w:r>
        <w:rPr>
          <w:rFonts w:ascii="Times New Roman" w:hAnsi="Times New Roman"/>
          <w:sz w:val="24"/>
          <w:szCs w:val="24"/>
        </w:rPr>
        <w:t>40℃</w:t>
      </w:r>
      <w:r>
        <w:rPr>
          <w:rFonts w:ascii="Times New Roman" w:hAnsi="Times New Roman"/>
          <w:sz w:val="24"/>
          <w:szCs w:val="24"/>
        </w:rPr>
        <w:t>出装置。脱硫化氢汽提塔底油先经蒸汽发生器产生蒸汽，再去一段反应部分与反应流出物换热，最后经分馏塔进料加热炉加热至</w:t>
      </w:r>
      <w:r>
        <w:rPr>
          <w:rFonts w:ascii="Times New Roman" w:hAnsi="Times New Roman"/>
          <w:sz w:val="24"/>
          <w:szCs w:val="24"/>
        </w:rPr>
        <w:t>365℃</w:t>
      </w:r>
      <w:r>
        <w:rPr>
          <w:rFonts w:ascii="Times New Roman" w:hAnsi="Times New Roman"/>
          <w:sz w:val="24"/>
          <w:szCs w:val="24"/>
        </w:rPr>
        <w:t>后进入分馏塔，分馏塔顶采用分程控制。塔顶气体经空冷器冷器冷却至</w:t>
      </w:r>
      <w:r>
        <w:rPr>
          <w:rFonts w:ascii="Times New Roman" w:hAnsi="Times New Roman"/>
          <w:sz w:val="24"/>
          <w:szCs w:val="24"/>
        </w:rPr>
        <w:t>50℃</w:t>
      </w:r>
      <w:r>
        <w:rPr>
          <w:rFonts w:ascii="Times New Roman" w:hAnsi="Times New Roman"/>
          <w:sz w:val="24"/>
          <w:szCs w:val="24"/>
        </w:rPr>
        <w:t>，进入分馏塔顶回流罐。分馏塔顶回流罐液体经分馏塔顶回流泵加压后，一部分作为回流送至精制段分馏塔顶，另一部分经水冷器冷却至</w:t>
      </w:r>
      <w:r>
        <w:rPr>
          <w:rFonts w:ascii="Times New Roman" w:hAnsi="Times New Roman"/>
          <w:sz w:val="24"/>
          <w:szCs w:val="24"/>
        </w:rPr>
        <w:t>40℃</w:t>
      </w:r>
      <w:r>
        <w:rPr>
          <w:rFonts w:ascii="Times New Roman" w:hAnsi="Times New Roman"/>
          <w:sz w:val="24"/>
          <w:szCs w:val="24"/>
        </w:rPr>
        <w:t>送至装置外。分馏塔顶回流罐的冷凝液由分水包排出，经分馏塔顶冷凝水泵加压后送至注水罐。柴油产品由分馏塔中段采出，在柴油侧线汽提塔中经重沸器汽提，最终由产品泵抽出，分别与脱丁烷塔底重沸器、原料油</w:t>
      </w:r>
      <w:r>
        <w:rPr>
          <w:rFonts w:ascii="Times New Roman" w:hAnsi="Times New Roman"/>
          <w:sz w:val="24"/>
          <w:szCs w:val="24"/>
        </w:rPr>
        <w:t>/</w:t>
      </w:r>
      <w:r>
        <w:rPr>
          <w:rFonts w:ascii="Times New Roman" w:hAnsi="Times New Roman"/>
          <w:sz w:val="24"/>
          <w:szCs w:val="24"/>
        </w:rPr>
        <w:t>柴油换热器换热后，经空冷器冷却至</w:t>
      </w:r>
      <w:r>
        <w:rPr>
          <w:rFonts w:ascii="Times New Roman" w:hAnsi="Times New Roman"/>
          <w:sz w:val="24"/>
          <w:szCs w:val="24"/>
        </w:rPr>
        <w:t>50℃</w:t>
      </w:r>
      <w:r>
        <w:rPr>
          <w:rFonts w:ascii="Times New Roman" w:hAnsi="Times New Roman"/>
          <w:sz w:val="24"/>
          <w:szCs w:val="24"/>
        </w:rPr>
        <w:t>，作为产品送出装置。产品分馏塔底的尾油经尾油泵升压后先作为柴油侧线汽提塔的重沸热源，再与脱丁烷塔进料换热，最后经空冷器冷却至</w:t>
      </w:r>
      <w:r>
        <w:rPr>
          <w:rFonts w:ascii="Times New Roman" w:hAnsi="Times New Roman"/>
          <w:sz w:val="24"/>
          <w:szCs w:val="24"/>
        </w:rPr>
        <w:t>180℃</w:t>
      </w:r>
      <w:r>
        <w:rPr>
          <w:rFonts w:ascii="Times New Roman" w:hAnsi="Times New Roman"/>
          <w:sz w:val="24"/>
          <w:szCs w:val="24"/>
        </w:rPr>
        <w:t>后送往二段作为原料油。</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加氢提质部分</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分馏塔底油经过滤器除去</w:t>
      </w:r>
      <w:r>
        <w:rPr>
          <w:rFonts w:ascii="Times New Roman" w:hAnsi="Times New Roman"/>
          <w:sz w:val="24"/>
          <w:szCs w:val="24"/>
        </w:rPr>
        <w:t>≥25</w:t>
      </w:r>
      <w:r>
        <w:rPr>
          <w:rFonts w:ascii="Times New Roman" w:hAnsi="Times New Roman"/>
          <w:sz w:val="24"/>
          <w:szCs w:val="24"/>
        </w:rPr>
        <w:sym w:font="Symbol" w:char="F06D"/>
      </w:r>
      <w:r>
        <w:rPr>
          <w:rFonts w:ascii="Times New Roman" w:hAnsi="Times New Roman"/>
          <w:sz w:val="24"/>
          <w:szCs w:val="24"/>
        </w:rPr>
        <w:t>m</w:t>
      </w:r>
      <w:r>
        <w:rPr>
          <w:rFonts w:ascii="Times New Roman" w:hAnsi="Times New Roman"/>
          <w:sz w:val="24"/>
          <w:szCs w:val="24"/>
        </w:rPr>
        <w:t>的固体颗粒后进入二段原料油缓冲罐。二段原料油经二段加氢进料泵加压后与从加氢精制部分过来的新氢混合，混合后先与分馏塔底油换热，然后与加氢提质反应流出物换热后进入加氢反应二段加热炉，经炉加热至反应温度后进入二段加氢裂化反应器。反应器的各床层入口温度通过冷氢控制。加氢提质反应流出物与加氢提质原料油换热后进入热高压分离器。</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补充的新氢由装置外来，进入新氢压缩机入口分液罐，可通过新氢压缩机出口返回线调节阀，调节新氢压缩机出口压力。新氢经过新氢压缩机三级压缩升压后进入反应系统。</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脱硫</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自低压分离器来的低分气经低分气水冷器冷却后后进入脱硫前低分气分液罐，分液后的低分气自罐顶部进入低分气脱硫塔底部，与塔上部进入的贫胺液充分接触后，由塔顶部出来至脱硫后低分气分液罐分液后去</w:t>
      </w:r>
      <w:r>
        <w:rPr>
          <w:rFonts w:ascii="Times New Roman" w:hAnsi="Times New Roman"/>
          <w:sz w:val="24"/>
          <w:szCs w:val="24"/>
        </w:rPr>
        <w:t>PSA</w:t>
      </w:r>
      <w:r>
        <w:rPr>
          <w:rFonts w:ascii="Times New Roman" w:hAnsi="Times New Roman"/>
          <w:sz w:val="24"/>
          <w:szCs w:val="24"/>
        </w:rPr>
        <w:t>单元。自精制段和提质段的干气与装置外来的干气混合后进入脱硫前干气分液罐，分液后的干气</w:t>
      </w:r>
      <w:r>
        <w:rPr>
          <w:rFonts w:ascii="Times New Roman" w:hAnsi="Times New Roman"/>
          <w:sz w:val="24"/>
          <w:szCs w:val="24"/>
        </w:rPr>
        <w:lastRenderedPageBreak/>
        <w:t>自罐顶部进入干气脱硫塔底部，与塔上部进入的贫胺液充分接触后，由塔顶部出来至脱硫后干气分液罐分液后进入燃料气管网。自脱丁烷塔的脱丁烷塔顶液经水冷后进入液化气脱硫抽提塔底部，与塔上部进入的贫胺液充分接触后，由塔顶部出来至脱硫后液化气经液态烃聚结器和液化气冷却器冷却后送出装置。低分气脱硫塔、干气脱硫塔和液化气脱硫抽提塔底部的富液混合后至装置外溶剂再生单元。</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rPr>
        <w:t>煤焦油加氢</w:t>
      </w:r>
      <w:r>
        <w:rPr>
          <w:rFonts w:ascii="Times New Roman" w:hAnsi="Times New Roman"/>
          <w:sz w:val="24"/>
          <w:szCs w:val="24"/>
        </w:rPr>
        <w:t>生产工艺流程及主要产污环节见图</w:t>
      </w:r>
      <w:r>
        <w:rPr>
          <w:rFonts w:ascii="Times New Roman" w:hAnsi="Times New Roman"/>
          <w:sz w:val="24"/>
          <w:szCs w:val="24"/>
        </w:rPr>
        <w:t>3.5-3</w:t>
      </w:r>
      <w:r>
        <w:rPr>
          <w:rFonts w:ascii="Times New Roman" w:hAnsi="Times New Roman"/>
          <w:sz w:val="24"/>
          <w:szCs w:val="24"/>
        </w:rPr>
        <w:t>。</w:t>
      </w:r>
    </w:p>
    <w:p w:rsidR="00525419" w:rsidRDefault="00EE1CF7">
      <w:pPr>
        <w:pStyle w:val="afffe"/>
        <w:adjustRightInd w:val="0"/>
        <w:spacing w:after="0" w:line="360" w:lineRule="auto"/>
        <w:ind w:firstLineChars="200" w:firstLine="480"/>
        <w:rPr>
          <w:sz w:val="24"/>
        </w:rPr>
      </w:pPr>
      <w:r>
        <w:rPr>
          <w:sz w:val="24"/>
        </w:rPr>
        <w:t>（</w:t>
      </w:r>
      <w:r>
        <w:rPr>
          <w:sz w:val="24"/>
        </w:rPr>
        <w:t>3</w:t>
      </w:r>
      <w:r>
        <w:rPr>
          <w:sz w:val="24"/>
        </w:rPr>
        <w:t>）物料平衡</w:t>
      </w:r>
    </w:p>
    <w:p w:rsidR="00525419" w:rsidRDefault="00EE1CF7">
      <w:pPr>
        <w:pStyle w:val="afffe"/>
        <w:adjustRightInd w:val="0"/>
        <w:spacing w:after="0" w:line="360" w:lineRule="auto"/>
        <w:ind w:firstLineChars="200" w:firstLine="480"/>
        <w:rPr>
          <w:sz w:val="24"/>
        </w:rPr>
      </w:pPr>
      <w:r>
        <w:rPr>
          <w:sz w:val="24"/>
        </w:rPr>
        <w:t>煤焦油加氢装置物料平衡见表</w:t>
      </w:r>
      <w:r>
        <w:rPr>
          <w:sz w:val="24"/>
        </w:rPr>
        <w:t>3.5-6</w:t>
      </w:r>
      <w:r>
        <w:rPr>
          <w:sz w:val="24"/>
        </w:rPr>
        <w:t>。</w:t>
      </w:r>
    </w:p>
    <w:p w:rsidR="00525419" w:rsidRDefault="00EE1CF7">
      <w:pPr>
        <w:pStyle w:val="afffe"/>
        <w:adjustRightInd w:val="0"/>
        <w:spacing w:after="0" w:line="240" w:lineRule="atLeast"/>
        <w:ind w:firstLineChars="1100" w:firstLine="2200"/>
        <w:rPr>
          <w:sz w:val="24"/>
        </w:rPr>
      </w:pPr>
      <w:r>
        <w:rPr>
          <w:rFonts w:eastAsia="黑体"/>
          <w:szCs w:val="21"/>
        </w:rPr>
        <w:t>表</w:t>
      </w:r>
      <w:r>
        <w:rPr>
          <w:rFonts w:eastAsia="黑体"/>
          <w:szCs w:val="21"/>
        </w:rPr>
        <w:t>3.5-6</w:t>
      </w:r>
      <w:r>
        <w:rPr>
          <w:rFonts w:eastAsia="黑体"/>
          <w:szCs w:val="21"/>
        </w:rPr>
        <w:t xml:space="preserve">　</w:t>
      </w:r>
      <w:r>
        <w:rPr>
          <w:rFonts w:eastAsia="黑体"/>
          <w:szCs w:val="21"/>
        </w:rPr>
        <w:t xml:space="preserve">   </w:t>
      </w:r>
      <w:r>
        <w:rPr>
          <w:rFonts w:eastAsia="黑体"/>
          <w:szCs w:val="21"/>
        </w:rPr>
        <w:t>物料平衡表　　　单位：万</w:t>
      </w:r>
      <w:r>
        <w:rPr>
          <w:rFonts w:eastAsia="黑体"/>
          <w:szCs w:val="21"/>
        </w:rPr>
        <w:t>t/a</w:t>
      </w:r>
    </w:p>
    <w:tbl>
      <w:tblPr>
        <w:tblW w:w="85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94"/>
        <w:gridCol w:w="1034"/>
        <w:gridCol w:w="1330"/>
        <w:gridCol w:w="1034"/>
        <w:gridCol w:w="1921"/>
        <w:gridCol w:w="1200"/>
      </w:tblGrid>
      <w:tr w:rsidR="00525419">
        <w:trPr>
          <w:cantSplit/>
          <w:trHeight w:val="335"/>
          <w:jc w:val="center"/>
        </w:trPr>
        <w:tc>
          <w:tcPr>
            <w:tcW w:w="3028" w:type="dxa"/>
            <w:gridSpan w:val="2"/>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投入</w:t>
            </w:r>
          </w:p>
        </w:tc>
        <w:tc>
          <w:tcPr>
            <w:tcW w:w="2364" w:type="dxa"/>
            <w:gridSpan w:val="2"/>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产出</w:t>
            </w:r>
          </w:p>
        </w:tc>
        <w:tc>
          <w:tcPr>
            <w:tcW w:w="3121" w:type="dxa"/>
            <w:gridSpan w:val="2"/>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流失</w:t>
            </w:r>
          </w:p>
        </w:tc>
      </w:tr>
      <w:tr w:rsidR="00525419">
        <w:trPr>
          <w:cantSplit/>
          <w:trHeight w:val="90"/>
          <w:jc w:val="center"/>
        </w:trPr>
        <w:tc>
          <w:tcPr>
            <w:tcW w:w="1994"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物料名称</w:t>
            </w:r>
          </w:p>
        </w:tc>
        <w:tc>
          <w:tcPr>
            <w:tcW w:w="1034"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投入量</w:t>
            </w:r>
          </w:p>
        </w:tc>
        <w:tc>
          <w:tcPr>
            <w:tcW w:w="13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产品名称</w:t>
            </w:r>
          </w:p>
        </w:tc>
        <w:tc>
          <w:tcPr>
            <w:tcW w:w="1034"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产出量</w:t>
            </w:r>
          </w:p>
        </w:tc>
        <w:tc>
          <w:tcPr>
            <w:tcW w:w="192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流失物名称</w:t>
            </w:r>
          </w:p>
        </w:tc>
        <w:tc>
          <w:tcPr>
            <w:tcW w:w="120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流失量</w:t>
            </w:r>
          </w:p>
        </w:tc>
      </w:tr>
      <w:tr w:rsidR="00525419">
        <w:trPr>
          <w:cantSplit/>
          <w:trHeight w:val="221"/>
          <w:jc w:val="center"/>
        </w:trPr>
        <w:tc>
          <w:tcPr>
            <w:tcW w:w="1994"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szCs w:val="21"/>
              </w:rPr>
              <w:t>煤焦油</w:t>
            </w:r>
          </w:p>
        </w:tc>
        <w:tc>
          <w:tcPr>
            <w:tcW w:w="1034"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szCs w:val="21"/>
              </w:rPr>
              <w:t>40</w:t>
            </w:r>
          </w:p>
        </w:tc>
        <w:tc>
          <w:tcPr>
            <w:tcW w:w="1330"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szCs w:val="21"/>
              </w:rPr>
              <w:t>石脑油</w:t>
            </w:r>
          </w:p>
        </w:tc>
        <w:tc>
          <w:tcPr>
            <w:tcW w:w="1034"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hint="eastAsia"/>
                <w:kern w:val="0"/>
                <w:szCs w:val="21"/>
              </w:rPr>
              <w:t>8</w:t>
            </w:r>
          </w:p>
        </w:tc>
        <w:tc>
          <w:tcPr>
            <w:tcW w:w="192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废水</w:t>
            </w:r>
          </w:p>
        </w:tc>
        <w:tc>
          <w:tcPr>
            <w:tcW w:w="120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hint="eastAsia"/>
                <w:szCs w:val="21"/>
              </w:rPr>
              <w:t>14.326</w:t>
            </w:r>
          </w:p>
        </w:tc>
      </w:tr>
      <w:tr w:rsidR="00525419">
        <w:trPr>
          <w:cantSplit/>
          <w:trHeight w:val="159"/>
          <w:jc w:val="center"/>
        </w:trPr>
        <w:tc>
          <w:tcPr>
            <w:tcW w:w="1994"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szCs w:val="21"/>
              </w:rPr>
              <w:t>氢气</w:t>
            </w:r>
          </w:p>
        </w:tc>
        <w:tc>
          <w:tcPr>
            <w:tcW w:w="1034"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szCs w:val="21"/>
              </w:rPr>
              <w:t>1.67</w:t>
            </w:r>
          </w:p>
        </w:tc>
        <w:tc>
          <w:tcPr>
            <w:tcW w:w="13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柴油</w:t>
            </w:r>
          </w:p>
        </w:tc>
        <w:tc>
          <w:tcPr>
            <w:tcW w:w="1034"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hint="eastAsia"/>
                <w:szCs w:val="21"/>
              </w:rPr>
              <w:t>26.7</w:t>
            </w:r>
          </w:p>
        </w:tc>
        <w:tc>
          <w:tcPr>
            <w:tcW w:w="192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干气</w:t>
            </w:r>
          </w:p>
        </w:tc>
        <w:tc>
          <w:tcPr>
            <w:tcW w:w="120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hint="eastAsia"/>
                <w:szCs w:val="21"/>
              </w:rPr>
              <w:t>0.67</w:t>
            </w:r>
          </w:p>
        </w:tc>
      </w:tr>
      <w:tr w:rsidR="00525419">
        <w:trPr>
          <w:cantSplit/>
          <w:trHeight w:val="122"/>
          <w:jc w:val="center"/>
        </w:trPr>
        <w:tc>
          <w:tcPr>
            <w:tcW w:w="1994" w:type="dxa"/>
            <w:vMerge w:val="restart"/>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szCs w:val="21"/>
              </w:rPr>
              <w:t>除盐水</w:t>
            </w:r>
          </w:p>
        </w:tc>
        <w:tc>
          <w:tcPr>
            <w:tcW w:w="1034" w:type="dxa"/>
            <w:vMerge w:val="restart"/>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szCs w:val="21"/>
              </w:rPr>
              <w:t>11.106</w:t>
            </w:r>
          </w:p>
        </w:tc>
        <w:tc>
          <w:tcPr>
            <w:tcW w:w="1330" w:type="dxa"/>
            <w:vMerge w:val="restart"/>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尾油</w:t>
            </w:r>
          </w:p>
        </w:tc>
        <w:tc>
          <w:tcPr>
            <w:tcW w:w="1034" w:type="dxa"/>
            <w:vMerge w:val="restart"/>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0.8</w:t>
            </w:r>
          </w:p>
        </w:tc>
        <w:tc>
          <w:tcPr>
            <w:tcW w:w="192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低分气</w:t>
            </w:r>
          </w:p>
        </w:tc>
        <w:tc>
          <w:tcPr>
            <w:tcW w:w="120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hint="eastAsia"/>
                <w:szCs w:val="21"/>
              </w:rPr>
              <w:t>0.92</w:t>
            </w:r>
          </w:p>
        </w:tc>
      </w:tr>
      <w:tr w:rsidR="00525419">
        <w:trPr>
          <w:cantSplit/>
          <w:trHeight w:val="69"/>
          <w:jc w:val="center"/>
        </w:trPr>
        <w:tc>
          <w:tcPr>
            <w:tcW w:w="1994" w:type="dxa"/>
            <w:vMerge/>
            <w:tcBorders>
              <w:tl2br w:val="nil"/>
              <w:tr2bl w:val="nil"/>
            </w:tcBorders>
            <w:vAlign w:val="center"/>
          </w:tcPr>
          <w:p w:rsidR="00525419" w:rsidRDefault="00525419">
            <w:pPr>
              <w:widowControl/>
              <w:spacing w:line="240" w:lineRule="atLeast"/>
              <w:jc w:val="center"/>
              <w:rPr>
                <w:rFonts w:ascii="Times New Roman" w:hAnsi="Times New Roman"/>
                <w:kern w:val="0"/>
                <w:szCs w:val="21"/>
              </w:rPr>
            </w:pPr>
          </w:p>
        </w:tc>
        <w:tc>
          <w:tcPr>
            <w:tcW w:w="1034" w:type="dxa"/>
            <w:vMerge/>
            <w:tcBorders>
              <w:tl2br w:val="nil"/>
              <w:tr2bl w:val="nil"/>
            </w:tcBorders>
            <w:vAlign w:val="center"/>
          </w:tcPr>
          <w:p w:rsidR="00525419" w:rsidRDefault="00525419">
            <w:pPr>
              <w:widowControl/>
              <w:spacing w:line="240" w:lineRule="atLeast"/>
              <w:jc w:val="center"/>
              <w:rPr>
                <w:rFonts w:ascii="Times New Roman" w:hAnsi="Times New Roman"/>
                <w:kern w:val="0"/>
                <w:szCs w:val="21"/>
              </w:rPr>
            </w:pPr>
          </w:p>
        </w:tc>
        <w:tc>
          <w:tcPr>
            <w:tcW w:w="1330"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034"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92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液化石油气</w:t>
            </w:r>
          </w:p>
        </w:tc>
        <w:tc>
          <w:tcPr>
            <w:tcW w:w="120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1.36</w:t>
            </w:r>
          </w:p>
        </w:tc>
      </w:tr>
      <w:tr w:rsidR="00525419">
        <w:trPr>
          <w:cantSplit/>
          <w:trHeight w:val="279"/>
          <w:jc w:val="center"/>
        </w:trPr>
        <w:tc>
          <w:tcPr>
            <w:tcW w:w="1994"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小计</w:t>
            </w:r>
          </w:p>
        </w:tc>
        <w:tc>
          <w:tcPr>
            <w:tcW w:w="1034"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52.776</w:t>
            </w:r>
          </w:p>
        </w:tc>
        <w:tc>
          <w:tcPr>
            <w:tcW w:w="13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小计</w:t>
            </w:r>
          </w:p>
        </w:tc>
        <w:tc>
          <w:tcPr>
            <w:tcW w:w="1034"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hint="eastAsia"/>
                <w:szCs w:val="21"/>
              </w:rPr>
              <w:t>35.5</w:t>
            </w:r>
          </w:p>
        </w:tc>
        <w:tc>
          <w:tcPr>
            <w:tcW w:w="192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小计</w:t>
            </w:r>
          </w:p>
        </w:tc>
        <w:tc>
          <w:tcPr>
            <w:tcW w:w="120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hint="eastAsia"/>
                <w:szCs w:val="21"/>
              </w:rPr>
              <w:t>17.276</w:t>
            </w:r>
          </w:p>
        </w:tc>
      </w:tr>
    </w:tbl>
    <w:p w:rsidR="00525419" w:rsidRDefault="00EE1CF7">
      <w:pPr>
        <w:pStyle w:val="afffe"/>
        <w:numPr>
          <w:ilvl w:val="0"/>
          <w:numId w:val="121"/>
        </w:numPr>
        <w:adjustRightInd w:val="0"/>
        <w:spacing w:before="31" w:after="31" w:line="360" w:lineRule="auto"/>
        <w:ind w:firstLine="240"/>
        <w:rPr>
          <w:sz w:val="24"/>
        </w:rPr>
      </w:pPr>
      <w:r>
        <w:rPr>
          <w:sz w:val="24"/>
        </w:rPr>
        <w:t>能耗消耗</w:t>
      </w:r>
    </w:p>
    <w:p w:rsidR="00525419" w:rsidRDefault="00EE1CF7">
      <w:pPr>
        <w:pStyle w:val="afffe"/>
        <w:adjustRightInd w:val="0"/>
        <w:spacing w:before="31" w:after="31" w:line="360" w:lineRule="auto"/>
        <w:ind w:leftChars="100" w:left="210" w:firstLineChars="0" w:firstLine="0"/>
        <w:rPr>
          <w:sz w:val="24"/>
        </w:rPr>
      </w:pPr>
      <w:r>
        <w:rPr>
          <w:sz w:val="24"/>
        </w:rPr>
        <w:t>煤焦油加氢装置能源消耗指标见表</w:t>
      </w:r>
      <w:r>
        <w:rPr>
          <w:sz w:val="24"/>
        </w:rPr>
        <w:t>3.5-7</w:t>
      </w:r>
      <w:r>
        <w:rPr>
          <w:sz w:val="24"/>
        </w:rPr>
        <w:t>。</w:t>
      </w:r>
    </w:p>
    <w:p w:rsidR="00525419" w:rsidRDefault="00EE1CF7">
      <w:pPr>
        <w:pStyle w:val="afffe"/>
        <w:adjustRightInd w:val="0"/>
        <w:spacing w:after="0" w:line="360" w:lineRule="auto"/>
        <w:ind w:firstLineChars="1100" w:firstLine="2200"/>
        <w:rPr>
          <w:sz w:val="24"/>
        </w:rPr>
      </w:pPr>
      <w:r>
        <w:rPr>
          <w:rFonts w:eastAsia="黑体"/>
          <w:szCs w:val="21"/>
        </w:rPr>
        <w:t>表</w:t>
      </w:r>
      <w:r>
        <w:rPr>
          <w:rFonts w:eastAsia="黑体"/>
          <w:szCs w:val="21"/>
        </w:rPr>
        <w:t>3.5-7</w:t>
      </w:r>
      <w:r>
        <w:rPr>
          <w:rFonts w:eastAsia="黑体"/>
          <w:szCs w:val="21"/>
        </w:rPr>
        <w:t xml:space="preserve">　　煤焦油加氢装置消耗指标表</w:t>
      </w:r>
    </w:p>
    <w:tbl>
      <w:tblPr>
        <w:tblW w:w="83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35"/>
        <w:gridCol w:w="836"/>
        <w:gridCol w:w="1009"/>
        <w:gridCol w:w="966"/>
        <w:gridCol w:w="1319"/>
        <w:gridCol w:w="3383"/>
      </w:tblGrid>
      <w:tr w:rsidR="00525419">
        <w:trPr>
          <w:trHeight w:val="279"/>
          <w:jc w:val="center"/>
        </w:trPr>
        <w:tc>
          <w:tcPr>
            <w:tcW w:w="835"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序号</w:t>
            </w:r>
          </w:p>
        </w:tc>
        <w:tc>
          <w:tcPr>
            <w:tcW w:w="1845" w:type="dxa"/>
            <w:gridSpan w:val="2"/>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名称</w:t>
            </w:r>
          </w:p>
        </w:tc>
        <w:tc>
          <w:tcPr>
            <w:tcW w:w="966"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单位</w:t>
            </w:r>
          </w:p>
        </w:tc>
        <w:tc>
          <w:tcPr>
            <w:tcW w:w="1319"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数量</w:t>
            </w:r>
          </w:p>
        </w:tc>
        <w:tc>
          <w:tcPr>
            <w:tcW w:w="3383"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备注</w:t>
            </w:r>
          </w:p>
        </w:tc>
      </w:tr>
      <w:tr w:rsidR="00525419">
        <w:trPr>
          <w:trHeight w:val="255"/>
          <w:jc w:val="center"/>
        </w:trPr>
        <w:tc>
          <w:tcPr>
            <w:tcW w:w="835"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1</w:t>
            </w:r>
          </w:p>
        </w:tc>
        <w:tc>
          <w:tcPr>
            <w:tcW w:w="1845" w:type="dxa"/>
            <w:gridSpan w:val="2"/>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循环水</w:t>
            </w:r>
          </w:p>
        </w:tc>
        <w:tc>
          <w:tcPr>
            <w:tcW w:w="966"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t/h</w:t>
            </w:r>
          </w:p>
        </w:tc>
        <w:tc>
          <w:tcPr>
            <w:tcW w:w="1319"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920</w:t>
            </w:r>
          </w:p>
        </w:tc>
        <w:tc>
          <w:tcPr>
            <w:tcW w:w="3383" w:type="dxa"/>
            <w:tcBorders>
              <w:tl2br w:val="nil"/>
              <w:tr2bl w:val="nil"/>
            </w:tcBorders>
            <w:vAlign w:val="center"/>
          </w:tcPr>
          <w:p w:rsidR="00525419" w:rsidRDefault="00525419">
            <w:pPr>
              <w:widowControl/>
              <w:spacing w:line="240" w:lineRule="atLeast"/>
              <w:jc w:val="center"/>
              <w:rPr>
                <w:rFonts w:ascii="Times New Roman" w:hAnsi="Times New Roman"/>
                <w:szCs w:val="21"/>
              </w:rPr>
            </w:pPr>
          </w:p>
        </w:tc>
      </w:tr>
      <w:tr w:rsidR="00525419">
        <w:trPr>
          <w:trHeight w:val="203"/>
          <w:jc w:val="center"/>
        </w:trPr>
        <w:tc>
          <w:tcPr>
            <w:tcW w:w="835"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2</w:t>
            </w:r>
          </w:p>
        </w:tc>
        <w:tc>
          <w:tcPr>
            <w:tcW w:w="1845" w:type="dxa"/>
            <w:gridSpan w:val="2"/>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新鲜水</w:t>
            </w:r>
          </w:p>
        </w:tc>
        <w:tc>
          <w:tcPr>
            <w:tcW w:w="966"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t/h</w:t>
            </w:r>
          </w:p>
        </w:tc>
        <w:tc>
          <w:tcPr>
            <w:tcW w:w="1319"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3</w:t>
            </w:r>
          </w:p>
        </w:tc>
        <w:tc>
          <w:tcPr>
            <w:tcW w:w="3383"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间断</w:t>
            </w:r>
          </w:p>
        </w:tc>
      </w:tr>
      <w:tr w:rsidR="00525419">
        <w:trPr>
          <w:trHeight w:val="179"/>
          <w:jc w:val="center"/>
        </w:trPr>
        <w:tc>
          <w:tcPr>
            <w:tcW w:w="835"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3</w:t>
            </w:r>
          </w:p>
        </w:tc>
        <w:tc>
          <w:tcPr>
            <w:tcW w:w="1845" w:type="dxa"/>
            <w:gridSpan w:val="2"/>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除盐水</w:t>
            </w:r>
          </w:p>
        </w:tc>
        <w:tc>
          <w:tcPr>
            <w:tcW w:w="966"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t/h</w:t>
            </w:r>
          </w:p>
        </w:tc>
        <w:tc>
          <w:tcPr>
            <w:tcW w:w="1319"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hint="eastAsia"/>
                <w:szCs w:val="21"/>
              </w:rPr>
              <w:t>13.88</w:t>
            </w:r>
          </w:p>
        </w:tc>
        <w:tc>
          <w:tcPr>
            <w:tcW w:w="3383"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连续，注水和产汽</w:t>
            </w:r>
          </w:p>
        </w:tc>
      </w:tr>
      <w:tr w:rsidR="00525419">
        <w:trPr>
          <w:trHeight w:val="283"/>
          <w:jc w:val="center"/>
        </w:trPr>
        <w:tc>
          <w:tcPr>
            <w:tcW w:w="835"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4</w:t>
            </w:r>
          </w:p>
        </w:tc>
        <w:tc>
          <w:tcPr>
            <w:tcW w:w="1845" w:type="dxa"/>
            <w:gridSpan w:val="2"/>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含硫污水</w:t>
            </w:r>
          </w:p>
        </w:tc>
        <w:tc>
          <w:tcPr>
            <w:tcW w:w="966"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t/h</w:t>
            </w:r>
          </w:p>
        </w:tc>
        <w:tc>
          <w:tcPr>
            <w:tcW w:w="1319"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hint="eastAsia"/>
                <w:szCs w:val="21"/>
              </w:rPr>
              <w:t>17.9</w:t>
            </w:r>
          </w:p>
        </w:tc>
        <w:tc>
          <w:tcPr>
            <w:tcW w:w="3383"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连续，汽提后</w:t>
            </w:r>
            <w:r>
              <w:rPr>
                <w:rFonts w:ascii="Times New Roman" w:hAnsi="Times New Roman"/>
                <w:szCs w:val="21"/>
              </w:rPr>
              <w:t>50%</w:t>
            </w:r>
            <w:r>
              <w:rPr>
                <w:rFonts w:ascii="Times New Roman" w:hAnsi="Times New Roman"/>
                <w:szCs w:val="21"/>
              </w:rPr>
              <w:t>回注</w:t>
            </w:r>
          </w:p>
        </w:tc>
      </w:tr>
      <w:tr w:rsidR="00525419">
        <w:trPr>
          <w:trHeight w:val="402"/>
          <w:jc w:val="center"/>
        </w:trPr>
        <w:tc>
          <w:tcPr>
            <w:tcW w:w="835" w:type="dxa"/>
            <w:vMerge w:val="restart"/>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5</w:t>
            </w:r>
          </w:p>
        </w:tc>
        <w:tc>
          <w:tcPr>
            <w:tcW w:w="836" w:type="dxa"/>
            <w:vMerge w:val="restart"/>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电</w:t>
            </w:r>
          </w:p>
        </w:tc>
        <w:tc>
          <w:tcPr>
            <w:tcW w:w="1009"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10000V</w:t>
            </w:r>
          </w:p>
        </w:tc>
        <w:tc>
          <w:tcPr>
            <w:tcW w:w="966"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kW</w:t>
            </w:r>
          </w:p>
        </w:tc>
        <w:tc>
          <w:tcPr>
            <w:tcW w:w="1319"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500</w:t>
            </w:r>
          </w:p>
        </w:tc>
        <w:tc>
          <w:tcPr>
            <w:tcW w:w="3383" w:type="dxa"/>
            <w:tcBorders>
              <w:tl2br w:val="nil"/>
              <w:tr2bl w:val="nil"/>
            </w:tcBorders>
            <w:vAlign w:val="center"/>
          </w:tcPr>
          <w:p w:rsidR="00525419" w:rsidRDefault="00525419">
            <w:pPr>
              <w:widowControl/>
              <w:spacing w:line="240" w:lineRule="atLeast"/>
              <w:jc w:val="center"/>
              <w:rPr>
                <w:rFonts w:ascii="Times New Roman" w:hAnsi="Times New Roman"/>
                <w:szCs w:val="21"/>
              </w:rPr>
            </w:pPr>
          </w:p>
        </w:tc>
      </w:tr>
      <w:tr w:rsidR="00525419">
        <w:trPr>
          <w:trHeight w:val="175"/>
          <w:jc w:val="center"/>
        </w:trPr>
        <w:tc>
          <w:tcPr>
            <w:tcW w:w="835" w:type="dxa"/>
            <w:vMerge/>
            <w:tcBorders>
              <w:tl2br w:val="nil"/>
              <w:tr2bl w:val="nil"/>
            </w:tcBorders>
            <w:vAlign w:val="center"/>
          </w:tcPr>
          <w:p w:rsidR="00525419" w:rsidRDefault="00525419">
            <w:pPr>
              <w:widowControl/>
              <w:spacing w:line="240" w:lineRule="atLeast"/>
              <w:jc w:val="center"/>
              <w:rPr>
                <w:rFonts w:ascii="Times New Roman" w:hAnsi="Times New Roman"/>
                <w:szCs w:val="21"/>
              </w:rPr>
            </w:pPr>
          </w:p>
        </w:tc>
        <w:tc>
          <w:tcPr>
            <w:tcW w:w="836" w:type="dxa"/>
            <w:vMerge/>
            <w:tcBorders>
              <w:tl2br w:val="nil"/>
              <w:tr2bl w:val="nil"/>
            </w:tcBorders>
            <w:vAlign w:val="center"/>
          </w:tcPr>
          <w:p w:rsidR="00525419" w:rsidRDefault="00525419">
            <w:pPr>
              <w:widowControl/>
              <w:spacing w:line="240" w:lineRule="atLeast"/>
              <w:jc w:val="center"/>
              <w:rPr>
                <w:rFonts w:ascii="Times New Roman" w:hAnsi="Times New Roman"/>
                <w:szCs w:val="21"/>
              </w:rPr>
            </w:pPr>
          </w:p>
        </w:tc>
        <w:tc>
          <w:tcPr>
            <w:tcW w:w="1009"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380/V</w:t>
            </w:r>
          </w:p>
        </w:tc>
        <w:tc>
          <w:tcPr>
            <w:tcW w:w="966"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KW</w:t>
            </w:r>
          </w:p>
        </w:tc>
        <w:tc>
          <w:tcPr>
            <w:tcW w:w="1319"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1100</w:t>
            </w:r>
          </w:p>
        </w:tc>
        <w:tc>
          <w:tcPr>
            <w:tcW w:w="3383" w:type="dxa"/>
            <w:tcBorders>
              <w:tl2br w:val="nil"/>
              <w:tr2bl w:val="nil"/>
            </w:tcBorders>
            <w:vAlign w:val="center"/>
          </w:tcPr>
          <w:p w:rsidR="00525419" w:rsidRDefault="00525419">
            <w:pPr>
              <w:widowControl/>
              <w:spacing w:line="240" w:lineRule="atLeast"/>
              <w:jc w:val="center"/>
              <w:rPr>
                <w:rFonts w:ascii="Times New Roman" w:hAnsi="Times New Roman"/>
                <w:szCs w:val="21"/>
              </w:rPr>
            </w:pPr>
          </w:p>
        </w:tc>
      </w:tr>
      <w:tr w:rsidR="00525419">
        <w:trPr>
          <w:trHeight w:val="137"/>
          <w:jc w:val="center"/>
        </w:trPr>
        <w:tc>
          <w:tcPr>
            <w:tcW w:w="835" w:type="dxa"/>
            <w:vMerge/>
            <w:tcBorders>
              <w:tl2br w:val="nil"/>
              <w:tr2bl w:val="nil"/>
            </w:tcBorders>
            <w:vAlign w:val="center"/>
          </w:tcPr>
          <w:p w:rsidR="00525419" w:rsidRDefault="00525419">
            <w:pPr>
              <w:widowControl/>
              <w:spacing w:line="240" w:lineRule="atLeast"/>
              <w:jc w:val="center"/>
              <w:rPr>
                <w:rFonts w:ascii="Times New Roman" w:hAnsi="Times New Roman"/>
                <w:szCs w:val="21"/>
              </w:rPr>
            </w:pPr>
          </w:p>
        </w:tc>
        <w:tc>
          <w:tcPr>
            <w:tcW w:w="836" w:type="dxa"/>
            <w:vMerge/>
            <w:tcBorders>
              <w:tl2br w:val="nil"/>
              <w:tr2bl w:val="nil"/>
            </w:tcBorders>
            <w:vAlign w:val="center"/>
          </w:tcPr>
          <w:p w:rsidR="00525419" w:rsidRDefault="00525419">
            <w:pPr>
              <w:widowControl/>
              <w:spacing w:line="240" w:lineRule="atLeast"/>
              <w:jc w:val="center"/>
              <w:rPr>
                <w:rFonts w:ascii="Times New Roman" w:hAnsi="Times New Roman"/>
                <w:szCs w:val="21"/>
              </w:rPr>
            </w:pPr>
          </w:p>
        </w:tc>
        <w:tc>
          <w:tcPr>
            <w:tcW w:w="1009"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220V</w:t>
            </w:r>
          </w:p>
        </w:tc>
        <w:tc>
          <w:tcPr>
            <w:tcW w:w="966"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KW</w:t>
            </w:r>
          </w:p>
        </w:tc>
        <w:tc>
          <w:tcPr>
            <w:tcW w:w="1319"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40</w:t>
            </w:r>
          </w:p>
        </w:tc>
        <w:tc>
          <w:tcPr>
            <w:tcW w:w="3383" w:type="dxa"/>
            <w:tcBorders>
              <w:tl2br w:val="nil"/>
              <w:tr2bl w:val="nil"/>
            </w:tcBorders>
            <w:vAlign w:val="center"/>
          </w:tcPr>
          <w:p w:rsidR="00525419" w:rsidRDefault="00525419">
            <w:pPr>
              <w:widowControl/>
              <w:spacing w:line="240" w:lineRule="atLeast"/>
              <w:jc w:val="center"/>
              <w:rPr>
                <w:rFonts w:ascii="Times New Roman" w:hAnsi="Times New Roman"/>
                <w:szCs w:val="21"/>
              </w:rPr>
            </w:pPr>
          </w:p>
        </w:tc>
      </w:tr>
      <w:tr w:rsidR="00525419">
        <w:trPr>
          <w:trHeight w:val="241"/>
          <w:jc w:val="center"/>
        </w:trPr>
        <w:tc>
          <w:tcPr>
            <w:tcW w:w="835"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6</w:t>
            </w:r>
          </w:p>
        </w:tc>
        <w:tc>
          <w:tcPr>
            <w:tcW w:w="1845" w:type="dxa"/>
            <w:gridSpan w:val="2"/>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燃料气</w:t>
            </w:r>
          </w:p>
        </w:tc>
        <w:tc>
          <w:tcPr>
            <w:tcW w:w="966"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Nm</w:t>
            </w:r>
            <w:r>
              <w:rPr>
                <w:rFonts w:ascii="Times New Roman" w:hAnsi="Times New Roman"/>
                <w:szCs w:val="21"/>
                <w:vertAlign w:val="superscript"/>
              </w:rPr>
              <w:t>3</w:t>
            </w:r>
            <w:r>
              <w:rPr>
                <w:rFonts w:ascii="Times New Roman" w:hAnsi="Times New Roman"/>
                <w:szCs w:val="21"/>
              </w:rPr>
              <w:t>/h</w:t>
            </w:r>
          </w:p>
        </w:tc>
        <w:tc>
          <w:tcPr>
            <w:tcW w:w="1319"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2135</w:t>
            </w:r>
          </w:p>
        </w:tc>
        <w:tc>
          <w:tcPr>
            <w:tcW w:w="3383" w:type="dxa"/>
            <w:tcBorders>
              <w:tl2br w:val="nil"/>
              <w:tr2bl w:val="nil"/>
            </w:tcBorders>
            <w:vAlign w:val="center"/>
          </w:tcPr>
          <w:p w:rsidR="00525419" w:rsidRDefault="00525419">
            <w:pPr>
              <w:widowControl/>
              <w:spacing w:line="240" w:lineRule="atLeast"/>
              <w:jc w:val="center"/>
              <w:rPr>
                <w:rFonts w:ascii="Times New Roman" w:hAnsi="Times New Roman"/>
                <w:szCs w:val="21"/>
              </w:rPr>
            </w:pPr>
          </w:p>
        </w:tc>
      </w:tr>
      <w:tr w:rsidR="00525419">
        <w:trPr>
          <w:trHeight w:val="402"/>
          <w:jc w:val="center"/>
        </w:trPr>
        <w:tc>
          <w:tcPr>
            <w:tcW w:w="835" w:type="dxa"/>
            <w:vMerge w:val="restart"/>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7</w:t>
            </w:r>
          </w:p>
        </w:tc>
        <w:tc>
          <w:tcPr>
            <w:tcW w:w="1845" w:type="dxa"/>
            <w:gridSpan w:val="2"/>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1.0MPa</w:t>
            </w:r>
            <w:r>
              <w:rPr>
                <w:rFonts w:ascii="Times New Roman" w:hAnsi="Times New Roman"/>
                <w:szCs w:val="21"/>
              </w:rPr>
              <w:t>蒸汽</w:t>
            </w:r>
          </w:p>
        </w:tc>
        <w:tc>
          <w:tcPr>
            <w:tcW w:w="966"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t/h</w:t>
            </w:r>
          </w:p>
        </w:tc>
        <w:tc>
          <w:tcPr>
            <w:tcW w:w="1319"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3.5</w:t>
            </w:r>
          </w:p>
        </w:tc>
        <w:tc>
          <w:tcPr>
            <w:tcW w:w="3383" w:type="dxa"/>
            <w:tcBorders>
              <w:tl2br w:val="nil"/>
              <w:tr2bl w:val="nil"/>
            </w:tcBorders>
            <w:vAlign w:val="center"/>
          </w:tcPr>
          <w:p w:rsidR="00525419" w:rsidRDefault="00525419">
            <w:pPr>
              <w:widowControl/>
              <w:spacing w:line="240" w:lineRule="atLeast"/>
              <w:jc w:val="center"/>
              <w:rPr>
                <w:rFonts w:ascii="Times New Roman" w:hAnsi="Times New Roman"/>
                <w:szCs w:val="21"/>
              </w:rPr>
            </w:pPr>
          </w:p>
        </w:tc>
      </w:tr>
      <w:tr w:rsidR="00525419">
        <w:trPr>
          <w:trHeight w:val="209"/>
          <w:jc w:val="center"/>
        </w:trPr>
        <w:tc>
          <w:tcPr>
            <w:tcW w:w="835" w:type="dxa"/>
            <w:vMerge/>
            <w:tcBorders>
              <w:tl2br w:val="nil"/>
              <w:tr2bl w:val="nil"/>
            </w:tcBorders>
            <w:vAlign w:val="center"/>
          </w:tcPr>
          <w:p w:rsidR="00525419" w:rsidRDefault="00525419">
            <w:pPr>
              <w:widowControl/>
              <w:spacing w:line="240" w:lineRule="atLeast"/>
              <w:jc w:val="center"/>
              <w:rPr>
                <w:rFonts w:ascii="Times New Roman" w:hAnsi="Times New Roman"/>
                <w:szCs w:val="21"/>
              </w:rPr>
            </w:pPr>
          </w:p>
        </w:tc>
        <w:tc>
          <w:tcPr>
            <w:tcW w:w="1845" w:type="dxa"/>
            <w:gridSpan w:val="2"/>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0.4 MPa</w:t>
            </w:r>
            <w:r>
              <w:rPr>
                <w:rFonts w:ascii="Times New Roman" w:hAnsi="Times New Roman"/>
                <w:szCs w:val="21"/>
              </w:rPr>
              <w:t>蒸汽</w:t>
            </w:r>
          </w:p>
        </w:tc>
        <w:tc>
          <w:tcPr>
            <w:tcW w:w="966"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t/h</w:t>
            </w:r>
          </w:p>
        </w:tc>
        <w:tc>
          <w:tcPr>
            <w:tcW w:w="1319"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-5.5</w:t>
            </w:r>
          </w:p>
        </w:tc>
        <w:tc>
          <w:tcPr>
            <w:tcW w:w="3383" w:type="dxa"/>
            <w:tcBorders>
              <w:tl2br w:val="nil"/>
              <w:tr2bl w:val="nil"/>
            </w:tcBorders>
            <w:vAlign w:val="center"/>
          </w:tcPr>
          <w:p w:rsidR="00525419" w:rsidRDefault="00525419">
            <w:pPr>
              <w:widowControl/>
              <w:spacing w:line="240" w:lineRule="atLeast"/>
              <w:jc w:val="center"/>
              <w:rPr>
                <w:rFonts w:ascii="Times New Roman" w:hAnsi="Times New Roman"/>
                <w:szCs w:val="21"/>
              </w:rPr>
            </w:pPr>
          </w:p>
        </w:tc>
      </w:tr>
      <w:tr w:rsidR="00525419">
        <w:trPr>
          <w:trHeight w:val="402"/>
          <w:jc w:val="center"/>
        </w:trPr>
        <w:tc>
          <w:tcPr>
            <w:tcW w:w="835"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8</w:t>
            </w:r>
          </w:p>
        </w:tc>
        <w:tc>
          <w:tcPr>
            <w:tcW w:w="1845" w:type="dxa"/>
            <w:gridSpan w:val="2"/>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净化压缩空气</w:t>
            </w:r>
          </w:p>
        </w:tc>
        <w:tc>
          <w:tcPr>
            <w:tcW w:w="966"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Nm</w:t>
            </w:r>
            <w:r>
              <w:rPr>
                <w:rFonts w:ascii="Times New Roman" w:hAnsi="Times New Roman"/>
                <w:szCs w:val="21"/>
                <w:vertAlign w:val="superscript"/>
              </w:rPr>
              <w:t>3</w:t>
            </w:r>
            <w:r>
              <w:rPr>
                <w:rFonts w:ascii="Times New Roman" w:hAnsi="Times New Roman"/>
                <w:szCs w:val="21"/>
              </w:rPr>
              <w:t>/h</w:t>
            </w:r>
          </w:p>
        </w:tc>
        <w:tc>
          <w:tcPr>
            <w:tcW w:w="1319"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600</w:t>
            </w:r>
          </w:p>
        </w:tc>
        <w:tc>
          <w:tcPr>
            <w:tcW w:w="3383"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连续</w:t>
            </w:r>
          </w:p>
        </w:tc>
      </w:tr>
      <w:tr w:rsidR="00525419">
        <w:trPr>
          <w:trHeight w:val="402"/>
          <w:jc w:val="center"/>
        </w:trPr>
        <w:tc>
          <w:tcPr>
            <w:tcW w:w="835"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9</w:t>
            </w:r>
          </w:p>
        </w:tc>
        <w:tc>
          <w:tcPr>
            <w:tcW w:w="1845" w:type="dxa"/>
            <w:gridSpan w:val="2"/>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非净化压缩空气</w:t>
            </w:r>
          </w:p>
        </w:tc>
        <w:tc>
          <w:tcPr>
            <w:tcW w:w="966"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Nm</w:t>
            </w:r>
            <w:r>
              <w:rPr>
                <w:rFonts w:ascii="Times New Roman" w:hAnsi="Times New Roman"/>
                <w:szCs w:val="21"/>
                <w:vertAlign w:val="superscript"/>
              </w:rPr>
              <w:t>3</w:t>
            </w:r>
            <w:r>
              <w:rPr>
                <w:rFonts w:ascii="Times New Roman" w:hAnsi="Times New Roman"/>
                <w:szCs w:val="21"/>
              </w:rPr>
              <w:t>/h</w:t>
            </w:r>
          </w:p>
        </w:tc>
        <w:tc>
          <w:tcPr>
            <w:tcW w:w="1319"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w:t>
            </w:r>
          </w:p>
        </w:tc>
        <w:tc>
          <w:tcPr>
            <w:tcW w:w="3383"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间断，最大</w:t>
            </w:r>
            <w:r>
              <w:rPr>
                <w:rFonts w:ascii="Times New Roman" w:hAnsi="Times New Roman"/>
                <w:szCs w:val="21"/>
              </w:rPr>
              <w:t>2000Nm</w:t>
            </w:r>
            <w:r>
              <w:rPr>
                <w:rFonts w:ascii="Times New Roman" w:hAnsi="Times New Roman"/>
                <w:szCs w:val="21"/>
                <w:vertAlign w:val="superscript"/>
              </w:rPr>
              <w:t>3</w:t>
            </w:r>
            <w:r>
              <w:rPr>
                <w:rFonts w:ascii="Times New Roman" w:hAnsi="Times New Roman"/>
                <w:szCs w:val="21"/>
              </w:rPr>
              <w:t>/h</w:t>
            </w:r>
          </w:p>
        </w:tc>
      </w:tr>
      <w:tr w:rsidR="00525419">
        <w:trPr>
          <w:trHeight w:val="402"/>
          <w:jc w:val="center"/>
        </w:trPr>
        <w:tc>
          <w:tcPr>
            <w:tcW w:w="835"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10</w:t>
            </w:r>
          </w:p>
        </w:tc>
        <w:tc>
          <w:tcPr>
            <w:tcW w:w="1845" w:type="dxa"/>
            <w:gridSpan w:val="2"/>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氮气</w:t>
            </w:r>
          </w:p>
        </w:tc>
        <w:tc>
          <w:tcPr>
            <w:tcW w:w="966"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Nm</w:t>
            </w:r>
            <w:r>
              <w:rPr>
                <w:rFonts w:ascii="Times New Roman" w:hAnsi="Times New Roman"/>
                <w:szCs w:val="21"/>
                <w:vertAlign w:val="superscript"/>
              </w:rPr>
              <w:t>3</w:t>
            </w:r>
            <w:r>
              <w:rPr>
                <w:rFonts w:ascii="Times New Roman" w:hAnsi="Times New Roman"/>
                <w:szCs w:val="21"/>
              </w:rPr>
              <w:t>/h</w:t>
            </w:r>
          </w:p>
        </w:tc>
        <w:tc>
          <w:tcPr>
            <w:tcW w:w="1319"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300</w:t>
            </w:r>
          </w:p>
        </w:tc>
        <w:tc>
          <w:tcPr>
            <w:tcW w:w="3383"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连续，开工用最大</w:t>
            </w:r>
            <w:r>
              <w:rPr>
                <w:rFonts w:ascii="Times New Roman" w:hAnsi="Times New Roman"/>
                <w:szCs w:val="21"/>
              </w:rPr>
              <w:t>2000Nm</w:t>
            </w:r>
            <w:r>
              <w:rPr>
                <w:rFonts w:ascii="Times New Roman" w:hAnsi="Times New Roman"/>
                <w:szCs w:val="21"/>
                <w:vertAlign w:val="superscript"/>
              </w:rPr>
              <w:t>3</w:t>
            </w:r>
            <w:r>
              <w:rPr>
                <w:rFonts w:ascii="Times New Roman" w:hAnsi="Times New Roman"/>
                <w:szCs w:val="21"/>
              </w:rPr>
              <w:t>/</w:t>
            </w:r>
            <w:r>
              <w:rPr>
                <w:rFonts w:ascii="Times New Roman" w:hAnsi="Times New Roman"/>
                <w:szCs w:val="21"/>
              </w:rPr>
              <w:t>次</w:t>
            </w:r>
          </w:p>
        </w:tc>
      </w:tr>
    </w:tbl>
    <w:p w:rsidR="00525419" w:rsidRDefault="00EE1CF7">
      <w:pPr>
        <w:pStyle w:val="afffe"/>
        <w:numPr>
          <w:ilvl w:val="0"/>
          <w:numId w:val="121"/>
        </w:numPr>
        <w:adjustRightInd w:val="0"/>
        <w:spacing w:before="31" w:after="31" w:line="360" w:lineRule="auto"/>
        <w:ind w:firstLine="240"/>
        <w:rPr>
          <w:sz w:val="24"/>
        </w:rPr>
      </w:pPr>
      <w:r>
        <w:rPr>
          <w:sz w:val="24"/>
        </w:rPr>
        <w:t>主要设备</w:t>
      </w:r>
    </w:p>
    <w:p w:rsidR="00525419" w:rsidRDefault="00EE1CF7">
      <w:pPr>
        <w:pStyle w:val="afffe"/>
        <w:adjustRightInd w:val="0"/>
        <w:spacing w:before="31" w:after="31" w:line="360" w:lineRule="auto"/>
        <w:ind w:leftChars="100" w:left="210" w:firstLineChars="0" w:firstLine="0"/>
      </w:pPr>
      <w:r>
        <w:rPr>
          <w:sz w:val="24"/>
        </w:rPr>
        <w:lastRenderedPageBreak/>
        <w:t>煤焦油加氢装置主要设备见表</w:t>
      </w:r>
      <w:r>
        <w:rPr>
          <w:sz w:val="24"/>
        </w:rPr>
        <w:t>3.5-8</w:t>
      </w:r>
      <w:r>
        <w:rPr>
          <w:sz w:val="24"/>
        </w:rPr>
        <w:t>。</w:t>
      </w:r>
    </w:p>
    <w:p w:rsidR="00525419" w:rsidRDefault="00EE1CF7">
      <w:pPr>
        <w:rPr>
          <w:rFonts w:ascii="Times New Roman" w:eastAsia="黑体" w:hAnsi="Times New Roman"/>
        </w:rPr>
      </w:pPr>
      <w:r>
        <w:rPr>
          <w:rFonts w:ascii="Times New Roman" w:eastAsia="黑体" w:hAnsi="Times New Roman"/>
        </w:rPr>
        <w:t xml:space="preserve">　　　</w:t>
      </w:r>
      <w:r>
        <w:rPr>
          <w:rFonts w:ascii="Times New Roman" w:eastAsia="黑体" w:hAnsi="Times New Roman"/>
        </w:rPr>
        <w:t xml:space="preserve">          </w:t>
      </w:r>
      <w:r>
        <w:rPr>
          <w:rFonts w:ascii="Times New Roman" w:eastAsia="黑体" w:hAnsi="Times New Roman"/>
        </w:rPr>
        <w:t>表</w:t>
      </w:r>
      <w:r>
        <w:rPr>
          <w:rFonts w:ascii="Times New Roman" w:eastAsia="黑体" w:hAnsi="Times New Roman"/>
        </w:rPr>
        <w:t>3.5-8</w:t>
      </w:r>
      <w:r>
        <w:rPr>
          <w:rFonts w:ascii="Times New Roman" w:eastAsia="黑体" w:hAnsi="Times New Roman"/>
        </w:rPr>
        <w:t xml:space="preserve">　　煤焦油加氢装置主要设备</w:t>
      </w:r>
      <w:r>
        <w:rPr>
          <w:rFonts w:ascii="Times New Roman" w:eastAsia="黑体" w:hAnsi="Times New Roman"/>
          <w:szCs w:val="21"/>
        </w:rPr>
        <w:t>一览表</w:t>
      </w:r>
    </w:p>
    <w:tbl>
      <w:tblPr>
        <w:tblW w:w="8513"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29" w:type="dxa"/>
          <w:bottom w:w="29" w:type="dxa"/>
        </w:tblCellMar>
        <w:tblLook w:val="04A0" w:firstRow="1" w:lastRow="0" w:firstColumn="1" w:lastColumn="0" w:noHBand="0" w:noVBand="1"/>
      </w:tblPr>
      <w:tblGrid>
        <w:gridCol w:w="986"/>
        <w:gridCol w:w="3079"/>
        <w:gridCol w:w="3592"/>
        <w:gridCol w:w="856"/>
      </w:tblGrid>
      <w:tr w:rsidR="00525419">
        <w:trPr>
          <w:trHeight w:val="270"/>
          <w:tblHeader/>
        </w:trPr>
        <w:tc>
          <w:tcPr>
            <w:tcW w:w="986" w:type="dxa"/>
            <w:tcBorders>
              <w:tl2br w:val="nil"/>
              <w:tr2bl w:val="nil"/>
            </w:tcBorders>
            <w:vAlign w:val="center"/>
          </w:tcPr>
          <w:p w:rsidR="00525419" w:rsidRDefault="00EE1CF7">
            <w:pPr>
              <w:widowControl/>
              <w:spacing w:line="240" w:lineRule="atLeast"/>
              <w:jc w:val="center"/>
              <w:rPr>
                <w:rFonts w:ascii="Times New Roman" w:hAnsi="Times New Roman"/>
                <w:bCs/>
                <w:kern w:val="0"/>
                <w:szCs w:val="21"/>
              </w:rPr>
            </w:pPr>
            <w:r>
              <w:rPr>
                <w:rFonts w:ascii="Times New Roman" w:hAnsi="Times New Roman"/>
                <w:bCs/>
                <w:kern w:val="0"/>
                <w:szCs w:val="21"/>
              </w:rPr>
              <w:t>序号</w:t>
            </w:r>
          </w:p>
        </w:tc>
        <w:tc>
          <w:tcPr>
            <w:tcW w:w="3079" w:type="dxa"/>
            <w:tcBorders>
              <w:tl2br w:val="nil"/>
              <w:tr2bl w:val="nil"/>
            </w:tcBorders>
            <w:vAlign w:val="center"/>
          </w:tcPr>
          <w:p w:rsidR="00525419" w:rsidRDefault="00EE1CF7">
            <w:pPr>
              <w:widowControl/>
              <w:spacing w:line="240" w:lineRule="atLeast"/>
              <w:jc w:val="center"/>
              <w:rPr>
                <w:rFonts w:ascii="Times New Roman" w:hAnsi="Times New Roman"/>
                <w:bCs/>
                <w:kern w:val="0"/>
                <w:szCs w:val="21"/>
              </w:rPr>
            </w:pPr>
            <w:r>
              <w:rPr>
                <w:rFonts w:ascii="Times New Roman" w:hAnsi="Times New Roman"/>
                <w:bCs/>
                <w:kern w:val="0"/>
                <w:szCs w:val="21"/>
              </w:rPr>
              <w:t>设备名称</w:t>
            </w:r>
          </w:p>
        </w:tc>
        <w:tc>
          <w:tcPr>
            <w:tcW w:w="3592" w:type="dxa"/>
            <w:tcBorders>
              <w:tl2br w:val="nil"/>
              <w:tr2bl w:val="nil"/>
            </w:tcBorders>
            <w:vAlign w:val="center"/>
          </w:tcPr>
          <w:p w:rsidR="00525419" w:rsidRDefault="00EE1CF7">
            <w:pPr>
              <w:widowControl/>
              <w:spacing w:line="240" w:lineRule="atLeast"/>
              <w:jc w:val="center"/>
              <w:rPr>
                <w:rFonts w:ascii="Times New Roman" w:hAnsi="Times New Roman"/>
                <w:bCs/>
                <w:kern w:val="0"/>
                <w:szCs w:val="21"/>
              </w:rPr>
            </w:pPr>
            <w:r>
              <w:rPr>
                <w:rFonts w:ascii="Times New Roman" w:hAnsi="Times New Roman"/>
                <w:bCs/>
                <w:kern w:val="0"/>
                <w:szCs w:val="21"/>
              </w:rPr>
              <w:t>主要技术规格</w:t>
            </w:r>
          </w:p>
        </w:tc>
        <w:tc>
          <w:tcPr>
            <w:tcW w:w="856" w:type="dxa"/>
            <w:tcBorders>
              <w:tl2br w:val="nil"/>
              <w:tr2bl w:val="nil"/>
            </w:tcBorders>
            <w:vAlign w:val="center"/>
          </w:tcPr>
          <w:p w:rsidR="00525419" w:rsidRDefault="00EE1CF7">
            <w:pPr>
              <w:widowControl/>
              <w:spacing w:line="240" w:lineRule="atLeast"/>
              <w:jc w:val="center"/>
              <w:rPr>
                <w:rFonts w:ascii="Times New Roman" w:hAnsi="Times New Roman"/>
                <w:bCs/>
                <w:kern w:val="0"/>
                <w:szCs w:val="21"/>
              </w:rPr>
            </w:pPr>
            <w:r>
              <w:rPr>
                <w:rFonts w:ascii="Times New Roman" w:hAnsi="Times New Roman"/>
                <w:bCs/>
                <w:kern w:val="0"/>
                <w:szCs w:val="21"/>
              </w:rPr>
              <w:t>数量</w:t>
            </w:r>
          </w:p>
        </w:tc>
      </w:tr>
      <w:tr w:rsidR="00525419">
        <w:trPr>
          <w:trHeight w:val="270"/>
        </w:trPr>
        <w:tc>
          <w:tcPr>
            <w:tcW w:w="98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c>
          <w:tcPr>
            <w:tcW w:w="3079" w:type="dxa"/>
            <w:tcBorders>
              <w:tl2br w:val="nil"/>
              <w:tr2bl w:val="nil"/>
            </w:tcBorders>
            <w:vAlign w:val="center"/>
          </w:tcPr>
          <w:p w:rsidR="00525419" w:rsidRDefault="00EE1CF7">
            <w:pPr>
              <w:widowControl/>
              <w:adjustRightInd w:val="0"/>
              <w:spacing w:line="240" w:lineRule="atLeast"/>
              <w:jc w:val="center"/>
              <w:textAlignment w:val="baseline"/>
              <w:rPr>
                <w:rFonts w:ascii="Times New Roman" w:hAnsi="Times New Roman"/>
                <w:szCs w:val="21"/>
              </w:rPr>
            </w:pPr>
            <w:r>
              <w:rPr>
                <w:rFonts w:ascii="Times New Roman" w:hAnsi="Times New Roman"/>
                <w:szCs w:val="21"/>
              </w:rPr>
              <w:t>预精制反应器</w:t>
            </w:r>
          </w:p>
        </w:tc>
        <w:tc>
          <w:tcPr>
            <w:tcW w:w="3592" w:type="dxa"/>
            <w:tcBorders>
              <w:tl2br w:val="nil"/>
              <w:tr2bl w:val="nil"/>
            </w:tcBorders>
            <w:vAlign w:val="center"/>
          </w:tcPr>
          <w:p w:rsidR="00525419" w:rsidRDefault="00EE1CF7">
            <w:pPr>
              <w:widowControl/>
              <w:adjustRightInd w:val="0"/>
              <w:spacing w:line="240" w:lineRule="atLeast"/>
              <w:jc w:val="center"/>
              <w:textAlignment w:val="baseline"/>
              <w:rPr>
                <w:rFonts w:ascii="Times New Roman" w:hAnsi="Times New Roman"/>
                <w:szCs w:val="21"/>
              </w:rPr>
            </w:pPr>
            <w:r>
              <w:rPr>
                <w:rFonts w:ascii="Times New Roman" w:hAnsi="Times New Roman"/>
                <w:szCs w:val="21"/>
              </w:rPr>
              <w:t>Ф2400X38998X(142MIN+6.5)</w:t>
            </w:r>
          </w:p>
        </w:tc>
        <w:tc>
          <w:tcPr>
            <w:tcW w:w="856" w:type="dxa"/>
            <w:tcBorders>
              <w:tl2br w:val="nil"/>
              <w:tr2bl w:val="nil"/>
            </w:tcBorders>
            <w:vAlign w:val="center"/>
          </w:tcPr>
          <w:p w:rsidR="00525419" w:rsidRDefault="00EE1CF7">
            <w:pPr>
              <w:widowControl/>
              <w:adjustRightInd w:val="0"/>
              <w:spacing w:line="240" w:lineRule="atLeast"/>
              <w:jc w:val="center"/>
              <w:textAlignment w:val="baseline"/>
              <w:rPr>
                <w:rFonts w:ascii="Times New Roman" w:hAnsi="Times New Roman"/>
                <w:szCs w:val="21"/>
              </w:rPr>
            </w:pPr>
            <w:r>
              <w:rPr>
                <w:rFonts w:ascii="Times New Roman" w:hAnsi="Times New Roman"/>
                <w:szCs w:val="21"/>
              </w:rPr>
              <w:t>1</w:t>
            </w:r>
          </w:p>
        </w:tc>
      </w:tr>
      <w:tr w:rsidR="00525419">
        <w:trPr>
          <w:trHeight w:val="270"/>
        </w:trPr>
        <w:tc>
          <w:tcPr>
            <w:tcW w:w="98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2</w:t>
            </w:r>
          </w:p>
        </w:tc>
        <w:tc>
          <w:tcPr>
            <w:tcW w:w="3079" w:type="dxa"/>
            <w:tcBorders>
              <w:tl2br w:val="nil"/>
              <w:tr2bl w:val="nil"/>
            </w:tcBorders>
            <w:vAlign w:val="center"/>
          </w:tcPr>
          <w:p w:rsidR="00525419" w:rsidRDefault="00EE1CF7">
            <w:pPr>
              <w:widowControl/>
              <w:adjustRightInd w:val="0"/>
              <w:spacing w:line="240" w:lineRule="atLeast"/>
              <w:jc w:val="center"/>
              <w:textAlignment w:val="baseline"/>
              <w:rPr>
                <w:rFonts w:ascii="Times New Roman" w:hAnsi="Times New Roman"/>
                <w:szCs w:val="21"/>
              </w:rPr>
            </w:pPr>
            <w:r>
              <w:rPr>
                <w:rFonts w:ascii="Times New Roman" w:hAnsi="Times New Roman"/>
                <w:szCs w:val="21"/>
              </w:rPr>
              <w:t>一段加氢裂化反应器</w:t>
            </w:r>
          </w:p>
        </w:tc>
        <w:tc>
          <w:tcPr>
            <w:tcW w:w="3592" w:type="dxa"/>
            <w:tcBorders>
              <w:tl2br w:val="nil"/>
              <w:tr2bl w:val="nil"/>
            </w:tcBorders>
            <w:vAlign w:val="center"/>
          </w:tcPr>
          <w:p w:rsidR="00525419" w:rsidRDefault="00EE1CF7">
            <w:pPr>
              <w:widowControl/>
              <w:adjustRightInd w:val="0"/>
              <w:spacing w:line="240" w:lineRule="atLeast"/>
              <w:jc w:val="center"/>
              <w:textAlignment w:val="baseline"/>
              <w:rPr>
                <w:rFonts w:ascii="Times New Roman" w:hAnsi="Times New Roman"/>
                <w:szCs w:val="21"/>
              </w:rPr>
            </w:pPr>
            <w:r>
              <w:rPr>
                <w:rFonts w:ascii="Times New Roman" w:hAnsi="Times New Roman"/>
                <w:szCs w:val="21"/>
              </w:rPr>
              <w:t>Ф2400X19002X(142MIN+6.5)</w:t>
            </w:r>
          </w:p>
        </w:tc>
        <w:tc>
          <w:tcPr>
            <w:tcW w:w="856" w:type="dxa"/>
            <w:tcBorders>
              <w:tl2br w:val="nil"/>
              <w:tr2bl w:val="nil"/>
            </w:tcBorders>
            <w:vAlign w:val="center"/>
          </w:tcPr>
          <w:p w:rsidR="00525419" w:rsidRDefault="00EE1CF7">
            <w:pPr>
              <w:widowControl/>
              <w:adjustRightInd w:val="0"/>
              <w:spacing w:line="240" w:lineRule="atLeast"/>
              <w:jc w:val="center"/>
              <w:textAlignment w:val="baseline"/>
              <w:rPr>
                <w:rFonts w:ascii="Times New Roman" w:hAnsi="Times New Roman"/>
                <w:szCs w:val="21"/>
              </w:rPr>
            </w:pPr>
            <w:r>
              <w:rPr>
                <w:rFonts w:ascii="Times New Roman" w:hAnsi="Times New Roman"/>
                <w:szCs w:val="21"/>
              </w:rPr>
              <w:t>1</w:t>
            </w:r>
          </w:p>
        </w:tc>
      </w:tr>
      <w:tr w:rsidR="00525419">
        <w:trPr>
          <w:trHeight w:val="270"/>
        </w:trPr>
        <w:tc>
          <w:tcPr>
            <w:tcW w:w="98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3</w:t>
            </w:r>
          </w:p>
        </w:tc>
        <w:tc>
          <w:tcPr>
            <w:tcW w:w="3079" w:type="dxa"/>
            <w:tcBorders>
              <w:tl2br w:val="nil"/>
              <w:tr2bl w:val="nil"/>
            </w:tcBorders>
            <w:vAlign w:val="center"/>
          </w:tcPr>
          <w:p w:rsidR="00525419" w:rsidRDefault="00EE1CF7">
            <w:pPr>
              <w:widowControl/>
              <w:adjustRightInd w:val="0"/>
              <w:spacing w:line="240" w:lineRule="atLeast"/>
              <w:jc w:val="center"/>
              <w:textAlignment w:val="baseline"/>
              <w:rPr>
                <w:rFonts w:ascii="Times New Roman" w:hAnsi="Times New Roman"/>
                <w:szCs w:val="21"/>
              </w:rPr>
            </w:pPr>
            <w:r>
              <w:rPr>
                <w:rFonts w:ascii="Times New Roman" w:hAnsi="Times New Roman"/>
                <w:szCs w:val="21"/>
              </w:rPr>
              <w:t>二段加氢裂化反应器</w:t>
            </w:r>
          </w:p>
        </w:tc>
        <w:tc>
          <w:tcPr>
            <w:tcW w:w="3592" w:type="dxa"/>
            <w:tcBorders>
              <w:tl2br w:val="nil"/>
              <w:tr2bl w:val="nil"/>
            </w:tcBorders>
            <w:vAlign w:val="center"/>
          </w:tcPr>
          <w:p w:rsidR="00525419" w:rsidRDefault="00EE1CF7">
            <w:pPr>
              <w:adjustRightInd w:val="0"/>
              <w:spacing w:line="240" w:lineRule="atLeast"/>
              <w:jc w:val="center"/>
              <w:textAlignment w:val="baseline"/>
              <w:rPr>
                <w:rFonts w:ascii="Times New Roman" w:hAnsi="Times New Roman"/>
                <w:szCs w:val="21"/>
              </w:rPr>
            </w:pPr>
            <w:r>
              <w:rPr>
                <w:rFonts w:ascii="Times New Roman" w:hAnsi="Times New Roman"/>
                <w:szCs w:val="21"/>
              </w:rPr>
              <w:t>Ф1400X33754X(82MIN+6.5)</w:t>
            </w:r>
          </w:p>
        </w:tc>
        <w:tc>
          <w:tcPr>
            <w:tcW w:w="856" w:type="dxa"/>
            <w:tcBorders>
              <w:tl2br w:val="nil"/>
              <w:tr2bl w:val="nil"/>
            </w:tcBorders>
            <w:vAlign w:val="center"/>
          </w:tcPr>
          <w:p w:rsidR="00525419" w:rsidRDefault="00EE1CF7">
            <w:pPr>
              <w:widowControl/>
              <w:adjustRightInd w:val="0"/>
              <w:spacing w:line="240" w:lineRule="atLeast"/>
              <w:jc w:val="center"/>
              <w:textAlignment w:val="baseline"/>
              <w:rPr>
                <w:rFonts w:ascii="Times New Roman" w:hAnsi="Times New Roman"/>
                <w:szCs w:val="21"/>
              </w:rPr>
            </w:pPr>
            <w:r>
              <w:rPr>
                <w:rFonts w:ascii="Times New Roman" w:hAnsi="Times New Roman"/>
                <w:szCs w:val="21"/>
              </w:rPr>
              <w:t>1</w:t>
            </w:r>
          </w:p>
        </w:tc>
      </w:tr>
      <w:tr w:rsidR="00525419">
        <w:trPr>
          <w:trHeight w:val="270"/>
        </w:trPr>
        <w:tc>
          <w:tcPr>
            <w:tcW w:w="98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4</w:t>
            </w:r>
          </w:p>
        </w:tc>
        <w:tc>
          <w:tcPr>
            <w:tcW w:w="3079" w:type="dxa"/>
            <w:tcBorders>
              <w:tl2br w:val="nil"/>
              <w:tr2bl w:val="nil"/>
            </w:tcBorders>
            <w:vAlign w:val="center"/>
          </w:tcPr>
          <w:p w:rsidR="00525419" w:rsidRDefault="00EE1CF7">
            <w:pPr>
              <w:widowControl/>
              <w:adjustRightInd w:val="0"/>
              <w:spacing w:line="240" w:lineRule="atLeast"/>
              <w:jc w:val="center"/>
              <w:textAlignment w:val="baseline"/>
              <w:rPr>
                <w:rFonts w:ascii="Times New Roman" w:hAnsi="Times New Roman"/>
                <w:szCs w:val="21"/>
              </w:rPr>
            </w:pPr>
            <w:r>
              <w:rPr>
                <w:rFonts w:ascii="Times New Roman" w:hAnsi="Times New Roman"/>
                <w:szCs w:val="21"/>
              </w:rPr>
              <w:t>精制段脱硫化氢汽提塔</w:t>
            </w:r>
          </w:p>
        </w:tc>
        <w:tc>
          <w:tcPr>
            <w:tcW w:w="3592"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szCs w:val="21"/>
              </w:rPr>
              <w:t>Ф2000/∅1400X36087X16/12</w:t>
            </w:r>
          </w:p>
        </w:tc>
        <w:tc>
          <w:tcPr>
            <w:tcW w:w="85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270"/>
        </w:trPr>
        <w:tc>
          <w:tcPr>
            <w:tcW w:w="98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5</w:t>
            </w:r>
          </w:p>
        </w:tc>
        <w:tc>
          <w:tcPr>
            <w:tcW w:w="3079" w:type="dxa"/>
            <w:tcBorders>
              <w:tl2br w:val="nil"/>
              <w:tr2bl w:val="nil"/>
            </w:tcBorders>
            <w:vAlign w:val="center"/>
          </w:tcPr>
          <w:p w:rsidR="00525419" w:rsidRDefault="00EE1CF7">
            <w:pPr>
              <w:widowControl/>
              <w:adjustRightInd w:val="0"/>
              <w:spacing w:line="240" w:lineRule="atLeast"/>
              <w:jc w:val="center"/>
              <w:textAlignment w:val="baseline"/>
              <w:rPr>
                <w:rFonts w:ascii="Times New Roman" w:hAnsi="Times New Roman"/>
                <w:szCs w:val="21"/>
              </w:rPr>
            </w:pPr>
            <w:r>
              <w:rPr>
                <w:rFonts w:ascii="Times New Roman" w:hAnsi="Times New Roman"/>
                <w:szCs w:val="21"/>
              </w:rPr>
              <w:t>精制段分馏塔</w:t>
            </w:r>
          </w:p>
        </w:tc>
        <w:tc>
          <w:tcPr>
            <w:tcW w:w="3592"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szCs w:val="21"/>
              </w:rPr>
              <w:t>Ф2800X50552X14</w:t>
            </w:r>
          </w:p>
        </w:tc>
        <w:tc>
          <w:tcPr>
            <w:tcW w:w="85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270"/>
        </w:trPr>
        <w:tc>
          <w:tcPr>
            <w:tcW w:w="98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6</w:t>
            </w:r>
          </w:p>
        </w:tc>
        <w:tc>
          <w:tcPr>
            <w:tcW w:w="3079" w:type="dxa"/>
            <w:tcBorders>
              <w:tl2br w:val="nil"/>
              <w:tr2bl w:val="nil"/>
            </w:tcBorders>
            <w:vAlign w:val="center"/>
          </w:tcPr>
          <w:p w:rsidR="00525419" w:rsidRDefault="00EE1CF7">
            <w:pPr>
              <w:widowControl/>
              <w:adjustRightInd w:val="0"/>
              <w:spacing w:line="240" w:lineRule="atLeast"/>
              <w:jc w:val="center"/>
              <w:textAlignment w:val="baseline"/>
              <w:rPr>
                <w:rFonts w:ascii="Times New Roman" w:hAnsi="Times New Roman"/>
                <w:szCs w:val="21"/>
              </w:rPr>
            </w:pPr>
            <w:r>
              <w:rPr>
                <w:rFonts w:ascii="Times New Roman" w:hAnsi="Times New Roman"/>
                <w:szCs w:val="21"/>
              </w:rPr>
              <w:t>脱丁烷塔</w:t>
            </w:r>
          </w:p>
        </w:tc>
        <w:tc>
          <w:tcPr>
            <w:tcW w:w="3592"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szCs w:val="21"/>
              </w:rPr>
              <w:t>Ф1200X37888X14</w:t>
            </w:r>
          </w:p>
        </w:tc>
        <w:tc>
          <w:tcPr>
            <w:tcW w:w="85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270"/>
        </w:trPr>
        <w:tc>
          <w:tcPr>
            <w:tcW w:w="98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7</w:t>
            </w:r>
          </w:p>
        </w:tc>
        <w:tc>
          <w:tcPr>
            <w:tcW w:w="3079" w:type="dxa"/>
            <w:tcBorders>
              <w:tl2br w:val="nil"/>
              <w:tr2bl w:val="nil"/>
            </w:tcBorders>
            <w:vAlign w:val="center"/>
          </w:tcPr>
          <w:p w:rsidR="00525419" w:rsidRDefault="00EE1CF7">
            <w:pPr>
              <w:widowControl/>
              <w:adjustRightInd w:val="0"/>
              <w:spacing w:line="240" w:lineRule="atLeast"/>
              <w:jc w:val="center"/>
              <w:textAlignment w:val="baseline"/>
              <w:rPr>
                <w:rFonts w:ascii="Times New Roman" w:hAnsi="Times New Roman"/>
                <w:szCs w:val="21"/>
              </w:rPr>
            </w:pPr>
            <w:r>
              <w:rPr>
                <w:rFonts w:ascii="Times New Roman" w:hAnsi="Times New Roman"/>
                <w:szCs w:val="21"/>
              </w:rPr>
              <w:t>精制柴油侧线汽提塔</w:t>
            </w:r>
          </w:p>
        </w:tc>
        <w:tc>
          <w:tcPr>
            <w:tcW w:w="3592"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szCs w:val="21"/>
              </w:rPr>
              <w:t>Ф1100/1600×19460×10</w:t>
            </w:r>
          </w:p>
        </w:tc>
        <w:tc>
          <w:tcPr>
            <w:tcW w:w="85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270"/>
        </w:trPr>
        <w:tc>
          <w:tcPr>
            <w:tcW w:w="98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8</w:t>
            </w:r>
          </w:p>
        </w:tc>
        <w:tc>
          <w:tcPr>
            <w:tcW w:w="3079" w:type="dxa"/>
            <w:tcBorders>
              <w:tl2br w:val="nil"/>
              <w:tr2bl w:val="nil"/>
            </w:tcBorders>
            <w:vAlign w:val="center"/>
          </w:tcPr>
          <w:p w:rsidR="00525419" w:rsidRDefault="00EE1CF7">
            <w:pPr>
              <w:widowControl/>
              <w:adjustRightInd w:val="0"/>
              <w:spacing w:line="240" w:lineRule="atLeast"/>
              <w:jc w:val="center"/>
              <w:textAlignment w:val="baseline"/>
              <w:rPr>
                <w:rFonts w:ascii="Times New Roman" w:hAnsi="Times New Roman"/>
                <w:szCs w:val="21"/>
              </w:rPr>
            </w:pPr>
            <w:r>
              <w:rPr>
                <w:rFonts w:ascii="Times New Roman" w:hAnsi="Times New Roman"/>
                <w:szCs w:val="21"/>
              </w:rPr>
              <w:t>精制段氢气加热炉</w:t>
            </w:r>
          </w:p>
        </w:tc>
        <w:tc>
          <w:tcPr>
            <w:tcW w:w="3592" w:type="dxa"/>
            <w:tcBorders>
              <w:tl2br w:val="nil"/>
              <w:tr2bl w:val="nil"/>
            </w:tcBorders>
            <w:vAlign w:val="center"/>
          </w:tcPr>
          <w:p w:rsidR="00525419" w:rsidRDefault="00525419">
            <w:pPr>
              <w:widowControl/>
              <w:spacing w:line="240" w:lineRule="atLeast"/>
              <w:jc w:val="center"/>
              <w:rPr>
                <w:rFonts w:ascii="Times New Roman" w:hAnsi="Times New Roman"/>
                <w:kern w:val="0"/>
                <w:szCs w:val="21"/>
              </w:rPr>
            </w:pPr>
          </w:p>
        </w:tc>
        <w:tc>
          <w:tcPr>
            <w:tcW w:w="85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270"/>
        </w:trPr>
        <w:tc>
          <w:tcPr>
            <w:tcW w:w="98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9</w:t>
            </w:r>
          </w:p>
        </w:tc>
        <w:tc>
          <w:tcPr>
            <w:tcW w:w="3079" w:type="dxa"/>
            <w:tcBorders>
              <w:tl2br w:val="nil"/>
              <w:tr2bl w:val="nil"/>
            </w:tcBorders>
            <w:vAlign w:val="center"/>
          </w:tcPr>
          <w:p w:rsidR="00525419" w:rsidRDefault="00EE1CF7">
            <w:pPr>
              <w:widowControl/>
              <w:adjustRightInd w:val="0"/>
              <w:spacing w:line="240" w:lineRule="atLeast"/>
              <w:jc w:val="center"/>
              <w:textAlignment w:val="baseline"/>
              <w:rPr>
                <w:rFonts w:ascii="Times New Roman" w:hAnsi="Times New Roman"/>
                <w:szCs w:val="21"/>
              </w:rPr>
            </w:pPr>
            <w:r>
              <w:rPr>
                <w:rFonts w:ascii="Times New Roman" w:hAnsi="Times New Roman"/>
                <w:szCs w:val="21"/>
              </w:rPr>
              <w:t>精制段分馏塔底加热炉</w:t>
            </w:r>
          </w:p>
        </w:tc>
        <w:tc>
          <w:tcPr>
            <w:tcW w:w="3592" w:type="dxa"/>
            <w:tcBorders>
              <w:tl2br w:val="nil"/>
              <w:tr2bl w:val="nil"/>
            </w:tcBorders>
            <w:vAlign w:val="center"/>
          </w:tcPr>
          <w:p w:rsidR="00525419" w:rsidRDefault="00525419">
            <w:pPr>
              <w:widowControl/>
              <w:spacing w:line="240" w:lineRule="atLeast"/>
              <w:jc w:val="center"/>
              <w:rPr>
                <w:rFonts w:ascii="Times New Roman" w:hAnsi="Times New Roman"/>
                <w:kern w:val="0"/>
                <w:szCs w:val="21"/>
              </w:rPr>
            </w:pPr>
          </w:p>
        </w:tc>
        <w:tc>
          <w:tcPr>
            <w:tcW w:w="85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270"/>
        </w:trPr>
        <w:tc>
          <w:tcPr>
            <w:tcW w:w="98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10</w:t>
            </w:r>
          </w:p>
        </w:tc>
        <w:tc>
          <w:tcPr>
            <w:tcW w:w="3079" w:type="dxa"/>
            <w:tcBorders>
              <w:tl2br w:val="nil"/>
              <w:tr2bl w:val="nil"/>
            </w:tcBorders>
            <w:vAlign w:val="center"/>
          </w:tcPr>
          <w:p w:rsidR="00525419" w:rsidRDefault="00EE1CF7">
            <w:pPr>
              <w:widowControl/>
              <w:adjustRightInd w:val="0"/>
              <w:spacing w:line="240" w:lineRule="atLeast"/>
              <w:jc w:val="center"/>
              <w:textAlignment w:val="baseline"/>
              <w:rPr>
                <w:rFonts w:ascii="Times New Roman" w:hAnsi="Times New Roman"/>
                <w:szCs w:val="21"/>
              </w:rPr>
            </w:pPr>
            <w:r>
              <w:rPr>
                <w:rFonts w:ascii="Times New Roman" w:hAnsi="Times New Roman"/>
                <w:szCs w:val="21"/>
              </w:rPr>
              <w:t>二段裂化反应进料加热炉</w:t>
            </w:r>
          </w:p>
        </w:tc>
        <w:tc>
          <w:tcPr>
            <w:tcW w:w="3592" w:type="dxa"/>
            <w:tcBorders>
              <w:tl2br w:val="nil"/>
              <w:tr2bl w:val="nil"/>
            </w:tcBorders>
            <w:vAlign w:val="center"/>
          </w:tcPr>
          <w:p w:rsidR="00525419" w:rsidRDefault="00525419">
            <w:pPr>
              <w:widowControl/>
              <w:spacing w:line="240" w:lineRule="atLeast"/>
              <w:jc w:val="center"/>
              <w:rPr>
                <w:rFonts w:ascii="Times New Roman" w:hAnsi="Times New Roman"/>
                <w:kern w:val="0"/>
                <w:szCs w:val="21"/>
              </w:rPr>
            </w:pPr>
          </w:p>
        </w:tc>
        <w:tc>
          <w:tcPr>
            <w:tcW w:w="856"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bl>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sectPr w:rsidR="00525419">
          <w:pgSz w:w="11906" w:h="16838"/>
          <w:pgMar w:top="1440" w:right="1803" w:bottom="1440" w:left="1803" w:header="851" w:footer="992" w:gutter="0"/>
          <w:cols w:space="0"/>
          <w:docGrid w:type="lines" w:linePitch="319"/>
        </w:sectPr>
      </w:pPr>
    </w:p>
    <w:p w:rsidR="00525419" w:rsidRDefault="007D0E8A">
      <w:pPr>
        <w:rPr>
          <w:rFonts w:ascii="Times New Roman" w:hAnsi="Times New Roman"/>
        </w:rPr>
      </w:pPr>
      <w:r>
        <w:rPr>
          <w:rFonts w:ascii="Times New Roman" w:hAnsi="Times New Roman"/>
        </w:rPr>
        <w:lastRenderedPageBreak/>
        <w:pict>
          <v:group id="Group 1810" o:spid="_x0000_s1732" style="position:absolute;left:0;text-align:left;margin-left:11.75pt;margin-top:12.6pt;width:678pt;height:366.75pt;z-index:251640320" coordorigin="1275,1950" coordsize="13560,7335">
            <v:shape id="Quad Arrow 1811" o:spid="_x0000_s1733" type="#_x0000_t202" style="position:absolute;left:1395;top:2160;width:543;height:309" filled="f" stroked="f">
              <v:textbox inset="1.42pt,.85pt,1.42pt,.85pt">
                <w:txbxContent>
                  <w:p w:rsidR="00EE1CF7" w:rsidRDefault="00EE1CF7">
                    <w:r>
                      <w:rPr>
                        <w:rFonts w:hint="eastAsia"/>
                      </w:rPr>
                      <w:t>焦油</w:t>
                    </w:r>
                  </w:p>
                </w:txbxContent>
              </v:textbox>
            </v:shape>
            <v:line id="Line 1812" o:spid="_x0000_s1734" style="position:absolute" from="1845,2310" to="2385,2310">
              <v:stroke endarrow="block"/>
            </v:line>
            <v:shape id="Quad Arrow 1813" o:spid="_x0000_s1735" type="#_x0000_t202" style="position:absolute;left:4350;top:2160;width:810;height:315">
              <v:textbox inset="1.42pt,.85pt,1.42pt,.85pt">
                <w:txbxContent>
                  <w:p w:rsidR="00EE1CF7" w:rsidRDefault="00EE1CF7">
                    <w:r>
                      <w:rPr>
                        <w:rFonts w:hint="eastAsia"/>
                      </w:rPr>
                      <w:t>加热炉</w:t>
                    </w:r>
                  </w:p>
                </w:txbxContent>
              </v:textbox>
            </v:shape>
            <v:shape id="Quad Arrow 1814" o:spid="_x0000_s1736" type="#_x0000_t202" style="position:absolute;left:2385;top:2160;width:1425;height:312">
              <v:textbox inset="1.42pt,.85pt,1.42pt,.85pt">
                <w:txbxContent>
                  <w:p w:rsidR="00EE1CF7" w:rsidRDefault="00EE1CF7">
                    <w:r>
                      <w:rPr>
                        <w:rFonts w:hint="eastAsia"/>
                      </w:rPr>
                      <w:t>脱双烯反应器</w:t>
                    </w:r>
                  </w:p>
                </w:txbxContent>
              </v:textbox>
            </v:shape>
            <v:line id="Line 1815" o:spid="_x0000_s1737" style="position:absolute" from="3810,2310" to="4350,2310">
              <v:stroke endarrow="block"/>
            </v:line>
            <v:shape id="Quad Arrow 1816" o:spid="_x0000_s1738" type="#_x0000_t202" style="position:absolute;left:7665;top:2160;width:1755;height:312" filled="f" stroked="f">
              <v:textbox inset="1.42pt,.85pt,1.42pt,.85pt">
                <w:txbxContent>
                  <w:p w:rsidR="00EE1CF7" w:rsidRDefault="00EE1CF7"/>
                </w:txbxContent>
              </v:textbox>
            </v:shape>
            <v:line id="Line 1817" o:spid="_x0000_s1739" style="position:absolute" from="5160,2310" to="5700,2310">
              <v:stroke endarrow="block"/>
            </v:line>
            <v:shape id="Quad Arrow 1818" o:spid="_x0000_s1740" type="#_x0000_t202" style="position:absolute;left:5700;top:2157;width:1425;height:312">
              <v:textbox inset="1.42pt,.85pt,1.42pt,.85pt">
                <w:txbxContent>
                  <w:p w:rsidR="00EE1CF7" w:rsidRDefault="00EE1CF7">
                    <w:r>
                      <w:rPr>
                        <w:rFonts w:hint="eastAsia"/>
                      </w:rPr>
                      <w:t>脱金属反应器</w:t>
                    </w:r>
                  </w:p>
                </w:txbxContent>
              </v:textbox>
            </v:shape>
            <v:line id="Line 1819" o:spid="_x0000_s1741" style="position:absolute" from="7125,2310" to="7665,2310" stroked="f">
              <v:stroke endarrow="block"/>
            </v:line>
            <v:line id="Line 1820" o:spid="_x0000_s1742" style="position:absolute" from="9420,2310" to="9960,2310" stroked="f">
              <v:stroke endarrow="block"/>
            </v:line>
            <v:shape id="Quad Arrow 1821" o:spid="_x0000_s1743" type="#_x0000_t202" style="position:absolute;left:9960;top:2157;width:1620;height:312">
              <v:textbox inset="1.42pt,.85pt,1.42pt,.85pt">
                <w:txbxContent>
                  <w:p w:rsidR="00EE1CF7" w:rsidRDefault="00EE1CF7">
                    <w:r>
                      <w:rPr>
                        <w:rFonts w:hint="eastAsia"/>
                      </w:rPr>
                      <w:t>加氢精制反应器</w:t>
                    </w:r>
                  </w:p>
                </w:txbxContent>
              </v:textbox>
            </v:shape>
            <v:shape id="Quad Arrow 1822" o:spid="_x0000_s1744" type="#_x0000_t202" style="position:absolute;left:12090;top:2157;width:1335;height:312">
              <v:textbox inset="1.42pt,.85pt,1.42pt,.85pt">
                <w:txbxContent>
                  <w:p w:rsidR="00EE1CF7" w:rsidRDefault="00EE1CF7">
                    <w:r>
                      <w:rPr>
                        <w:rFonts w:hint="eastAsia"/>
                      </w:rPr>
                      <w:t>热高压分离器</w:t>
                    </w:r>
                  </w:p>
                </w:txbxContent>
              </v:textbox>
            </v:shape>
            <v:line id="Line 1823" o:spid="_x0000_s1745" style="position:absolute" from="11550,2310" to="12090,2310">
              <v:stroke endarrow="block"/>
            </v:line>
            <v:shape id="Straight Connector 1824" o:spid="_x0000_s1746" type="#_x0000_t32" style="position:absolute;left:11850;top:2475;width:615;height:510;flip:x">
              <v:stroke endarrow="block"/>
            </v:shape>
            <v:shape id="Straight Connector 1825" o:spid="_x0000_s1747" type="#_x0000_t32" style="position:absolute;left:12990;top:2475;width:0;height:1185">
              <v:stroke endarrow="block"/>
            </v:shape>
            <v:shape id="Quad Arrow 1826" o:spid="_x0000_s1748" type="#_x0000_t202" style="position:absolute;left:10800;top:2970;width:1470;height:309">
              <v:textbox inset="1.42pt,.85pt,1.42pt,.85pt">
                <w:txbxContent>
                  <w:p w:rsidR="00EE1CF7" w:rsidRDefault="00EE1CF7">
                    <w:r>
                      <w:rPr>
                        <w:rFonts w:hint="eastAsia"/>
                      </w:rPr>
                      <w:t>冷高压分离器</w:t>
                    </w:r>
                  </w:p>
                </w:txbxContent>
              </v:textbox>
            </v:shape>
            <v:shape id="Quad Arrow 1827" o:spid="_x0000_s1749" type="#_x0000_t202" style="position:absolute;left:11850;top:2568;width:855;height:312" filled="f" stroked="f">
              <v:textbox inset="1.42pt,.85pt,1.42pt,.85pt">
                <w:txbxContent>
                  <w:p w:rsidR="00EE1CF7" w:rsidRDefault="00EE1CF7">
                    <w:pPr>
                      <w:rPr>
                        <w:sz w:val="18"/>
                        <w:szCs w:val="18"/>
                      </w:rPr>
                    </w:pPr>
                    <w:r>
                      <w:rPr>
                        <w:rFonts w:hint="eastAsia"/>
                        <w:sz w:val="18"/>
                        <w:szCs w:val="18"/>
                      </w:rPr>
                      <w:t>热高分气</w:t>
                    </w:r>
                  </w:p>
                </w:txbxContent>
              </v:textbox>
            </v:shape>
            <v:shape id="Quad Arrow 1828" o:spid="_x0000_s1750" type="#_x0000_t202" style="position:absolute;left:12615;top:3150;width:810;height:312" filled="f" stroked="f">
              <v:textbox inset="1.42pt,.85pt,1.42pt,.85pt">
                <w:txbxContent>
                  <w:p w:rsidR="00EE1CF7" w:rsidRDefault="00EE1CF7">
                    <w:pPr>
                      <w:rPr>
                        <w:sz w:val="18"/>
                        <w:szCs w:val="18"/>
                      </w:rPr>
                    </w:pPr>
                    <w:r>
                      <w:rPr>
                        <w:rFonts w:hint="eastAsia"/>
                        <w:sz w:val="18"/>
                        <w:szCs w:val="18"/>
                      </w:rPr>
                      <w:t>热高分油</w:t>
                    </w:r>
                  </w:p>
                </w:txbxContent>
              </v:textbox>
            </v:shape>
            <v:shape id="Quad Arrow 1829" o:spid="_x0000_s1751" type="#_x0000_t202" style="position:absolute;left:12465;top:3660;width:1410;height:312">
              <v:textbox inset="1.42pt,.85pt,1.42pt,.85pt">
                <w:txbxContent>
                  <w:p w:rsidR="00EE1CF7" w:rsidRDefault="00EE1CF7">
                    <w:r>
                      <w:rPr>
                        <w:rFonts w:hint="eastAsia"/>
                      </w:rPr>
                      <w:t>热低压分离器</w:t>
                    </w:r>
                  </w:p>
                </w:txbxContent>
              </v:textbox>
            </v:shape>
            <v:shape id="Quad Arrow 1830" o:spid="_x0000_s1752" type="#_x0000_t202" style="position:absolute;left:10380;top:3675;width:1380;height:312">
              <v:textbox inset="1.42pt,.85pt,1.42pt,.85pt">
                <w:txbxContent>
                  <w:p w:rsidR="00EE1CF7" w:rsidRDefault="00EE1CF7">
                    <w:r>
                      <w:rPr>
                        <w:rFonts w:hint="eastAsia"/>
                      </w:rPr>
                      <w:t>冷低压分离器</w:t>
                    </w:r>
                  </w:p>
                </w:txbxContent>
              </v:textbox>
            </v:shape>
            <v:line id="Line 1831" o:spid="_x0000_s1753" style="position:absolute;flip:x" from="11760,3828" to="12450,3828">
              <v:stroke endarrow="block"/>
            </v:line>
            <v:shape id="Quad Arrow 1832" o:spid="_x0000_s1754" type="#_x0000_t202" style="position:absolute;left:10800;top:3279;width:870;height:312" filled="f" stroked="f">
              <v:textbox inset="1.42pt,.85pt,1.42pt,.85pt">
                <w:txbxContent>
                  <w:p w:rsidR="00EE1CF7" w:rsidRDefault="00EE1CF7">
                    <w:pPr>
                      <w:rPr>
                        <w:sz w:val="18"/>
                        <w:szCs w:val="18"/>
                      </w:rPr>
                    </w:pPr>
                    <w:r>
                      <w:rPr>
                        <w:rFonts w:hint="eastAsia"/>
                        <w:sz w:val="18"/>
                        <w:szCs w:val="18"/>
                      </w:rPr>
                      <w:t>冷高分油</w:t>
                    </w:r>
                  </w:p>
                </w:txbxContent>
              </v:textbox>
            </v:shape>
            <v:shape id="Straight Connector 1833" o:spid="_x0000_s1755" type="#_x0000_t32" style="position:absolute;left:11175;top:3279;width:15;height:396">
              <v:stroke endarrow="block"/>
            </v:shape>
            <v:shape id="Quad Arrow 1834" o:spid="_x0000_s1756" type="#_x0000_t202" style="position:absolute;left:11745;top:3591;width:870;height:312" filled="f" stroked="f">
              <v:textbox inset="1.42pt,.85pt,1.42pt,.85pt">
                <w:txbxContent>
                  <w:p w:rsidR="00EE1CF7" w:rsidRDefault="00EE1CF7">
                    <w:pPr>
                      <w:rPr>
                        <w:sz w:val="18"/>
                        <w:szCs w:val="18"/>
                      </w:rPr>
                    </w:pPr>
                    <w:r>
                      <w:rPr>
                        <w:rFonts w:hint="eastAsia"/>
                        <w:sz w:val="18"/>
                        <w:szCs w:val="18"/>
                      </w:rPr>
                      <w:t>热低分气</w:t>
                    </w:r>
                  </w:p>
                </w:txbxContent>
              </v:textbox>
            </v:shape>
            <v:shape id="Quad Arrow 1835" o:spid="_x0000_s1757" type="#_x0000_t202" style="position:absolute;left:11370;top:4590;width:1620;height:312">
              <v:textbox inset="1.42pt,.85pt,1.42pt,.85pt">
                <w:txbxContent>
                  <w:p w:rsidR="00EE1CF7" w:rsidRDefault="00EE1CF7">
                    <w:r>
                      <w:rPr>
                        <w:rFonts w:hint="eastAsia"/>
                      </w:rPr>
                      <w:t>脱硫化氢汽提塔</w:t>
                    </w:r>
                  </w:p>
                </w:txbxContent>
              </v:textbox>
            </v:shape>
            <v:shape id="Straight Connector 1836" o:spid="_x0000_s1758" type="#_x0000_t32" style="position:absolute;left:11175;top:3987;width:0;height:273"/>
            <v:shape id="Straight Connector 1837" o:spid="_x0000_s1759" type="#_x0000_t32" style="position:absolute;left:11190;top:4260;width:1800;height:0"/>
            <v:shape id="Straight Connector 1838" o:spid="_x0000_s1760" type="#_x0000_t32" style="position:absolute;left:12990;top:3987;width:0;height:273"/>
            <v:shape id="Straight Connector 1839" o:spid="_x0000_s1761" type="#_x0000_t32" style="position:absolute;left:12165;top:4260;width:15;height:330">
              <v:stroke endarrow="block"/>
            </v:shape>
            <v:shape id="Quad Arrow 1840" o:spid="_x0000_s1762" type="#_x0000_t202" style="position:absolute;left:12450;top:3987;width:870;height:312" filled="f" stroked="f">
              <v:textbox inset="1.42pt,.85pt,1.42pt,.85pt">
                <w:txbxContent>
                  <w:p w:rsidR="00EE1CF7" w:rsidRDefault="00EE1CF7">
                    <w:pPr>
                      <w:rPr>
                        <w:sz w:val="18"/>
                        <w:szCs w:val="18"/>
                      </w:rPr>
                    </w:pPr>
                    <w:r>
                      <w:rPr>
                        <w:rFonts w:hint="eastAsia"/>
                        <w:sz w:val="18"/>
                        <w:szCs w:val="18"/>
                      </w:rPr>
                      <w:t>热低分油</w:t>
                    </w:r>
                  </w:p>
                </w:txbxContent>
              </v:textbox>
            </v:shape>
            <v:shape id="Quad Arrow 1841" o:spid="_x0000_s1763" type="#_x0000_t202" style="position:absolute;left:11220;top:4065;width:870;height:312" filled="f" stroked="f">
              <v:textbox inset="1.42pt,.85pt,1.42pt,.85pt">
                <w:txbxContent>
                  <w:p w:rsidR="00EE1CF7" w:rsidRDefault="00EE1CF7">
                    <w:pPr>
                      <w:rPr>
                        <w:sz w:val="18"/>
                        <w:szCs w:val="18"/>
                      </w:rPr>
                    </w:pPr>
                    <w:r>
                      <w:rPr>
                        <w:rFonts w:hint="eastAsia"/>
                        <w:sz w:val="18"/>
                        <w:szCs w:val="18"/>
                      </w:rPr>
                      <w:t>冷低分油</w:t>
                    </w:r>
                  </w:p>
                </w:txbxContent>
              </v:textbox>
            </v:shape>
            <v:shape id="Quad Arrow 1842" o:spid="_x0000_s1764" type="#_x0000_t202" style="position:absolute;left:11850;top:4299;width:630;height:312" filled="f" stroked="f">
              <v:textbox inset="1.42pt,.85pt,1.42pt,.85pt">
                <w:txbxContent>
                  <w:p w:rsidR="00EE1CF7" w:rsidRDefault="00EE1CF7">
                    <w:pPr>
                      <w:rPr>
                        <w:sz w:val="18"/>
                        <w:szCs w:val="18"/>
                      </w:rPr>
                    </w:pPr>
                    <w:r>
                      <w:rPr>
                        <w:rFonts w:hint="eastAsia"/>
                        <w:sz w:val="18"/>
                        <w:szCs w:val="18"/>
                      </w:rPr>
                      <w:t>低分油</w:t>
                    </w:r>
                  </w:p>
                </w:txbxContent>
              </v:textbox>
            </v:shape>
            <v:shape id="Straight Connector 1843" o:spid="_x0000_s1765" type="#_x0000_t32" style="position:absolute;left:13515;top:4845;width:0;height:420"/>
            <v:shape id="Quad Arrow 1844" o:spid="_x0000_s1766" type="#_x0000_t202" style="position:absolute;left:13920;top:4863;width:405;height:312" filled="f" stroked="f">
              <v:textbox inset="1.42pt,.85pt,1.42pt,.85pt">
                <w:txbxContent>
                  <w:p w:rsidR="00EE1CF7" w:rsidRDefault="00EE1CF7">
                    <w:pPr>
                      <w:rPr>
                        <w:sz w:val="18"/>
                        <w:szCs w:val="18"/>
                      </w:rPr>
                    </w:pPr>
                    <w:r>
                      <w:rPr>
                        <w:rFonts w:hint="eastAsia"/>
                        <w:sz w:val="18"/>
                        <w:szCs w:val="18"/>
                      </w:rPr>
                      <w:t>W3</w:t>
                    </w:r>
                  </w:p>
                </w:txbxContent>
              </v:textbox>
            </v:shape>
            <v:shape id="Quad Arrow 1845" o:spid="_x0000_s1767" type="#_x0000_t202" style="position:absolute;left:14325;top:5145;width:510;height:312" filled="f" stroked="f">
              <v:textbox inset="1.42pt,.85pt,1.42pt,.85pt">
                <w:txbxContent>
                  <w:p w:rsidR="00EE1CF7" w:rsidRDefault="00EE1CF7">
                    <w:pPr>
                      <w:rPr>
                        <w:sz w:val="18"/>
                        <w:szCs w:val="18"/>
                      </w:rPr>
                    </w:pPr>
                    <w:r>
                      <w:rPr>
                        <w:rFonts w:hint="eastAsia"/>
                        <w:sz w:val="18"/>
                        <w:szCs w:val="18"/>
                      </w:rPr>
                      <w:t>干气</w:t>
                    </w:r>
                  </w:p>
                </w:txbxContent>
              </v:textbox>
            </v:shape>
            <v:shape id="Quad Arrow 1846" o:spid="_x0000_s1768" type="#_x0000_t202" style="position:absolute;left:12780;top:4221;width:720;height:312" filled="f" stroked="f">
              <v:textbox inset="1.42pt,.85pt,1.42pt,.85pt">
                <w:txbxContent>
                  <w:p w:rsidR="00EE1CF7" w:rsidRDefault="00EE1CF7">
                    <w:pPr>
                      <w:rPr>
                        <w:sz w:val="18"/>
                        <w:szCs w:val="18"/>
                      </w:rPr>
                    </w:pPr>
                    <w:r>
                      <w:rPr>
                        <w:rFonts w:hint="eastAsia"/>
                        <w:sz w:val="18"/>
                        <w:szCs w:val="18"/>
                      </w:rPr>
                      <w:t>塔顶气</w:t>
                    </w:r>
                  </w:p>
                </w:txbxContent>
              </v:textbox>
            </v:shape>
            <v:shape id="Quad Arrow 1847" o:spid="_x0000_s1769" type="#_x0000_t202" style="position:absolute;left:13515;top:4299;width:720;height:312">
              <v:textbox inset="1.42pt,.85pt,1.42pt,.85pt">
                <w:txbxContent>
                  <w:p w:rsidR="00EE1CF7" w:rsidRDefault="00EE1CF7">
                    <w:r>
                      <w:rPr>
                        <w:rFonts w:hint="eastAsia"/>
                      </w:rPr>
                      <w:t>回流罐</w:t>
                    </w:r>
                  </w:p>
                </w:txbxContent>
              </v:textbox>
            </v:shape>
            <v:shape id="Straight Connector 1848" o:spid="_x0000_s1770" type="#_x0000_t32" style="position:absolute;left:12618;top:4458;width:0;height:153"/>
            <v:shape id="Straight Connector 1849" o:spid="_x0000_s1771" type="#_x0000_t32" style="position:absolute;left:12618;top:4458;width:897;height:0">
              <v:stroke endarrow="block"/>
            </v:shape>
            <v:shape id="Straight Connector 1850" o:spid="_x0000_s1772" type="#_x0000_t32" style="position:absolute;left:13770;top:4611;width:0;height:225"/>
            <v:shape id="Straight Connector 1851" o:spid="_x0000_s1773" type="#_x0000_t32" style="position:absolute;left:12975;top:4836;width:795;height:0;flip:x">
              <v:stroke endarrow="block"/>
            </v:shape>
            <v:shape id="Straight Connector 1852" o:spid="_x0000_s1774" type="#_x0000_t32" style="position:absolute;left:4110;top:5175;width:0;height:786;flip:y"/>
            <v:shape id="未知 1853" o:spid="_x0000_s1775" style="position:absolute;left:13860;top:8434;width:308;height:591" coordsize="308,591" path="m,591c51,538,304,371,306,273,308,175,73,57,12,e" filled="f"/>
            <v:shape id="Straight Connector 1854" o:spid="_x0000_s1776" type="#_x0000_t32" style="position:absolute;left:11460;top:5437;width:1;height:185">
              <v:stroke dashstyle="dash"/>
            </v:shape>
            <v:shape id="Straight Connector 1855" o:spid="_x0000_s1777" type="#_x0000_t32" style="position:absolute;left:8550;top:4938;width:0;height:342"/>
            <v:shape id="Straight Connector 1856" o:spid="_x0000_s1778" type="#_x0000_t32" style="position:absolute;left:8550;top:5280;width:420;height:0">
              <v:stroke endarrow="block"/>
            </v:shape>
            <v:line id="Line 1857" o:spid="_x0000_s1779" style="position:absolute;flip:x" from="8685,4791" to="9225,4791">
              <v:stroke endarrow="block"/>
            </v:line>
            <v:line id="Line 1858" o:spid="_x0000_s1780" style="position:absolute;flip:y" from="9825,4308" to="9825,4620">
              <v:stroke dashstyle="dash" endarrow="block"/>
            </v:line>
            <v:shape id="Quad Arrow 1859" o:spid="_x0000_s1781" type="#_x0000_t202" style="position:absolute;left:9705;top:4086;width:360;height:312" filled="f" stroked="f">
              <v:textbox inset="1.42pt,.85pt,1.42pt,.85pt">
                <w:txbxContent>
                  <w:p w:rsidR="00EE1CF7" w:rsidRDefault="00EE1CF7">
                    <w:pPr>
                      <w:rPr>
                        <w:sz w:val="18"/>
                        <w:szCs w:val="18"/>
                      </w:rPr>
                    </w:pPr>
                    <w:r>
                      <w:rPr>
                        <w:rFonts w:hint="eastAsia"/>
                        <w:sz w:val="18"/>
                        <w:szCs w:val="18"/>
                      </w:rPr>
                      <w:t>G2</w:t>
                    </w:r>
                  </w:p>
                </w:txbxContent>
              </v:textbox>
            </v:shape>
            <v:shape id="Quad Arrow 1860" o:spid="_x0000_s1782" type="#_x0000_t202" style="position:absolute;left:5625;top:5811;width:1260;height:312">
              <v:textbox inset="1.42pt,.85pt,1.42pt,.85pt">
                <w:txbxContent>
                  <w:p w:rsidR="00EE1CF7" w:rsidRDefault="00EE1CF7">
                    <w:r>
                      <w:rPr>
                        <w:rFonts w:hint="eastAsia"/>
                      </w:rPr>
                      <w:t>裂化反应器</w:t>
                    </w:r>
                  </w:p>
                </w:txbxContent>
              </v:textbox>
            </v:shape>
            <v:line id="Line 1861" o:spid="_x0000_s1783" style="position:absolute;flip:x" from="4110,5961" to="5610,5961"/>
            <v:line id="Line 1862" o:spid="_x0000_s1784" style="position:absolute;flip:x" from="6885,5961" to="7785,5961">
              <v:stroke endarrow="block"/>
            </v:line>
            <v:shape id="Quad Arrow 1863" o:spid="_x0000_s1785" type="#_x0000_t202" style="position:absolute;left:6045;top:4686;width:720;height:312">
              <v:textbox inset="1.42pt,.85pt,1.42pt,.85pt">
                <w:txbxContent>
                  <w:p w:rsidR="00EE1CF7" w:rsidRDefault="00EE1CF7">
                    <w:r>
                      <w:rPr>
                        <w:rFonts w:hint="eastAsia"/>
                      </w:rPr>
                      <w:t>汽提塔</w:t>
                    </w:r>
                  </w:p>
                </w:txbxContent>
              </v:textbox>
            </v:shape>
            <v:shape id="Quad Arrow 1864" o:spid="_x0000_s1786" type="#_x0000_t202" style="position:absolute;left:6930;top:4683;width:720;height:312" filled="f" stroked="f">
              <v:textbox inset="1.42pt,.85pt,1.42pt,.85pt">
                <w:txbxContent>
                  <w:p w:rsidR="00EE1CF7" w:rsidRDefault="00EE1CF7">
                    <w:pPr>
                      <w:rPr>
                        <w:sz w:val="18"/>
                        <w:szCs w:val="18"/>
                      </w:rPr>
                    </w:pPr>
                    <w:r>
                      <w:rPr>
                        <w:rFonts w:hint="eastAsia"/>
                        <w:sz w:val="18"/>
                        <w:szCs w:val="18"/>
                      </w:rPr>
                      <w:t>侧线油</w:t>
                    </w:r>
                  </w:p>
                </w:txbxContent>
              </v:textbox>
            </v:shape>
            <v:shape id="Quad Arrow 1865" o:spid="_x0000_s1787" type="#_x0000_t202" style="position:absolute;left:9225;top:4626;width:1260;height:312">
              <v:textbox inset="1.42pt,.85pt,1.42pt,.85pt">
                <w:txbxContent>
                  <w:p w:rsidR="00EE1CF7" w:rsidRDefault="00EE1CF7">
                    <w:r>
                      <w:rPr>
                        <w:rFonts w:hint="eastAsia"/>
                      </w:rPr>
                      <w:t>进料加热炉</w:t>
                    </w:r>
                  </w:p>
                </w:txbxContent>
              </v:textbox>
            </v:shape>
            <v:shape id="Quad Arrow 1866" o:spid="_x0000_s1788" type="#_x0000_t202" style="position:absolute;left:7965;top:4626;width:720;height:312">
              <v:textbox inset="1.42pt,.85pt,1.42pt,.85pt">
                <w:txbxContent>
                  <w:p w:rsidR="00EE1CF7" w:rsidRDefault="00EE1CF7">
                    <w:r>
                      <w:rPr>
                        <w:rFonts w:hint="eastAsia"/>
                      </w:rPr>
                      <w:t>分馏塔</w:t>
                    </w:r>
                  </w:p>
                </w:txbxContent>
              </v:textbox>
            </v:shape>
            <v:shape id="Quad Arrow 1867" o:spid="_x0000_s1789" type="#_x0000_t202" style="position:absolute;left:6975;top:4086;width:720;height:312">
              <v:textbox inset="1.42pt,.85pt,1.42pt,.85pt">
                <w:txbxContent>
                  <w:p w:rsidR="00EE1CF7" w:rsidRDefault="00EE1CF7">
                    <w:r>
                      <w:rPr>
                        <w:rFonts w:hint="eastAsia"/>
                      </w:rPr>
                      <w:t>回流罐</w:t>
                    </w:r>
                  </w:p>
                </w:txbxContent>
              </v:textbox>
            </v:shape>
            <v:shape id="Straight Connector 1868" o:spid="_x0000_s1790" type="#_x0000_t32" style="position:absolute;left:8355;top:4236;width:0;height:384;flip:y"/>
            <v:shape id="Straight Connector 1869" o:spid="_x0000_s1791" type="#_x0000_t32" style="position:absolute;left:7710;top:4233;width:630;height:0;flip:x">
              <v:stroke endarrow="block"/>
            </v:shape>
            <v:shape id="Straight Connector 1870" o:spid="_x0000_s1792" type="#_x0000_t32" style="position:absolute;left:7410;top:4398;width:0;height:318"/>
            <v:shape id="Straight Connector 1871" o:spid="_x0000_s1793" type="#_x0000_t32" style="position:absolute;left:7410;top:4716;width:555;height:0">
              <v:stroke endarrow="block"/>
            </v:shape>
            <v:shape id="Straight Connector 1872" o:spid="_x0000_s1794" type="#_x0000_t32" style="position:absolute;left:6675;top:4549;width:720;height:0;flip:x"/>
            <v:shape id="Quad Arrow 1873" o:spid="_x0000_s1795" type="#_x0000_t202" style="position:absolute;left:5505;top:3924;width:750;height:297" filled="f" stroked="f">
              <v:textbox inset="1.42pt,.85pt,1.42pt,.85pt">
                <w:txbxContent>
                  <w:p w:rsidR="00EE1CF7" w:rsidRDefault="00EE1CF7">
                    <w:pPr>
                      <w:rPr>
                        <w:b/>
                      </w:rPr>
                    </w:pPr>
                    <w:r>
                      <w:rPr>
                        <w:rFonts w:hint="eastAsia"/>
                        <w:b/>
                      </w:rPr>
                      <w:t>石脑油</w:t>
                    </w:r>
                  </w:p>
                </w:txbxContent>
              </v:textbox>
            </v:shape>
            <v:shape id="Straight Connector 1874" o:spid="_x0000_s1796" type="#_x0000_t32" style="position:absolute;left:6765;top:4851;width:1200;height:0;flip:x">
              <v:stroke endarrow="block"/>
            </v:shape>
            <v:shape id="Straight Connector 1875" o:spid="_x0000_s1797" type="#_x0000_t32" style="position:absolute;left:6675;top:4086;width:0;height:463;flip:y"/>
            <v:shape id="Straight Connector 1876" o:spid="_x0000_s1798" type="#_x0000_t32" style="position:absolute;left:6225;top:4086;width:450;height:0;flip:x">
              <v:stroke endarrow="block"/>
            </v:shape>
            <v:shape id="Straight Connector 1877" o:spid="_x0000_s1799" type="#_x0000_t32" style="position:absolute;left:5610;top:4851;width:435;height:0;flip:x">
              <v:stroke endarrow="block"/>
            </v:shape>
            <v:shape id="Quad Arrow 1878" o:spid="_x0000_s1800" type="#_x0000_t202" style="position:absolute;left:5070;top:4686;width:555;height:279" filled="f" stroked="f">
              <v:textbox inset="1.42pt,.85pt,1.42pt,.85pt">
                <w:txbxContent>
                  <w:p w:rsidR="00EE1CF7" w:rsidRDefault="00EE1CF7">
                    <w:pPr>
                      <w:rPr>
                        <w:b/>
                      </w:rPr>
                    </w:pPr>
                    <w:r>
                      <w:rPr>
                        <w:rFonts w:hint="eastAsia"/>
                        <w:b/>
                      </w:rPr>
                      <w:t>柴油</w:t>
                    </w:r>
                  </w:p>
                </w:txbxContent>
              </v:textbox>
            </v:shape>
            <v:shape id="Quad Arrow 1879" o:spid="_x0000_s1801" type="#_x0000_t202" style="position:absolute;left:7875;top:5436;width:900;height:312" filled="f" stroked="f">
              <v:textbox inset="1.42pt,.85pt,1.42pt,.85pt">
                <w:txbxContent>
                  <w:p w:rsidR="00EE1CF7" w:rsidRDefault="00EE1CF7">
                    <w:pPr>
                      <w:rPr>
                        <w:sz w:val="18"/>
                        <w:szCs w:val="18"/>
                      </w:rPr>
                    </w:pPr>
                    <w:r>
                      <w:rPr>
                        <w:rFonts w:hint="eastAsia"/>
                        <w:sz w:val="18"/>
                        <w:szCs w:val="18"/>
                      </w:rPr>
                      <w:t>塔底尾油</w:t>
                    </w:r>
                  </w:p>
                </w:txbxContent>
              </v:textbox>
            </v:shape>
            <v:shape id="Quad Arrow 1880" o:spid="_x0000_s1802" type="#_x0000_t202" style="position:absolute;left:7785;top:5811;width:1260;height:312">
              <v:textbox inset="1.42pt,.85pt,1.42pt,.85pt">
                <w:txbxContent>
                  <w:p w:rsidR="00EE1CF7" w:rsidRDefault="00EE1CF7">
                    <w:r>
                      <w:rPr>
                        <w:rFonts w:hint="eastAsia"/>
                      </w:rPr>
                      <w:t>进料加热炉</w:t>
                    </w:r>
                  </w:p>
                </w:txbxContent>
              </v:textbox>
            </v:shape>
            <v:shape id="Straight Connector 1881" o:spid="_x0000_s1803" type="#_x0000_t32" style="position:absolute;left:8295;top:4938;width:0;height:873">
              <v:stroke endarrow="block"/>
            </v:shape>
            <v:shape id="Quad Arrow 1882" o:spid="_x0000_s1804" type="#_x0000_t202" style="position:absolute;left:7155;top:5175;width:543;height:309" filled="f" stroked="f">
              <v:textbox inset="1.42pt,.85pt,1.42pt,.85pt">
                <w:txbxContent>
                  <w:p w:rsidR="00EE1CF7" w:rsidRDefault="00EE1CF7">
                    <w:r>
                      <w:rPr>
                        <w:rFonts w:hint="eastAsia"/>
                      </w:rPr>
                      <w:t>新氢</w:t>
                    </w:r>
                  </w:p>
                </w:txbxContent>
              </v:textbox>
            </v:shape>
            <v:shape id="Straight Connector 1883" o:spid="_x0000_s1805" type="#_x0000_t32" style="position:absolute;left:6885;top:5436;width:1410;height:1">
              <v:stroke endarrow="block"/>
            </v:shape>
            <v:shape id="Quad Arrow 1884" o:spid="_x0000_s1806" type="#_x0000_t202" style="position:absolute;left:8970;top:5109;width:585;height:294" filled="f" stroked="f">
              <v:textbox inset="1.42pt,.85pt,1.42pt,.85pt">
                <w:txbxContent>
                  <w:p w:rsidR="00EE1CF7" w:rsidRDefault="00EE1CF7">
                    <w:pPr>
                      <w:rPr>
                        <w:b/>
                      </w:rPr>
                    </w:pPr>
                    <w:r>
                      <w:rPr>
                        <w:rFonts w:hint="eastAsia"/>
                        <w:b/>
                      </w:rPr>
                      <w:t>尾油</w:t>
                    </w:r>
                  </w:p>
                </w:txbxContent>
              </v:textbox>
            </v:shape>
            <v:line id="Line 1885" o:spid="_x0000_s1807" style="position:absolute;flip:y" from="8325,6138" to="8325,6450">
              <v:stroke dashstyle="dash" startarrow="block"/>
            </v:line>
            <v:shape id="Straight Connector 1886" o:spid="_x0000_s1808" type="#_x0000_t32" style="position:absolute;left:6225;top:6123;width:0;height:261">
              <v:stroke dashstyle="dash" endarrow="block"/>
            </v:shape>
            <v:shape id="Quad Arrow 1887" o:spid="_x0000_s1809" type="#_x0000_t202" style="position:absolute;left:6090;top:6291;width:360;height:312" filled="f" stroked="f">
              <v:textbox inset="1.42pt,.85pt,1.42pt,.85pt">
                <w:txbxContent>
                  <w:p w:rsidR="00EE1CF7" w:rsidRDefault="00EE1CF7">
                    <w:pPr>
                      <w:rPr>
                        <w:sz w:val="18"/>
                        <w:szCs w:val="18"/>
                      </w:rPr>
                    </w:pPr>
                    <w:r>
                      <w:rPr>
                        <w:rFonts w:hint="eastAsia"/>
                        <w:sz w:val="18"/>
                        <w:szCs w:val="18"/>
                      </w:rPr>
                      <w:t>S5</w:t>
                    </w:r>
                  </w:p>
                </w:txbxContent>
              </v:textbox>
            </v:shape>
            <v:shape id="Quad Arrow 1888" o:spid="_x0000_s1810" type="#_x0000_t202" style="position:absolute;left:10650;top:4626;width:720;height:312" filled="f" stroked="f">
              <v:textbox inset="1.42pt,.85pt,1.42pt,.85pt">
                <w:txbxContent>
                  <w:p w:rsidR="00EE1CF7" w:rsidRDefault="00EE1CF7">
                    <w:pPr>
                      <w:rPr>
                        <w:sz w:val="18"/>
                        <w:szCs w:val="18"/>
                      </w:rPr>
                    </w:pPr>
                    <w:r>
                      <w:rPr>
                        <w:rFonts w:hint="eastAsia"/>
                        <w:sz w:val="18"/>
                        <w:szCs w:val="18"/>
                      </w:rPr>
                      <w:t>塔底油</w:t>
                    </w:r>
                  </w:p>
                </w:txbxContent>
              </v:textbox>
            </v:shape>
            <v:shape id="Straight Connector 1889" o:spid="_x0000_s1811" type="#_x0000_t32" style="position:absolute;left:10485;top:4776;width:885;height:0;flip:x">
              <v:stroke endarrow="block"/>
            </v:shape>
            <v:shape id="Quad Arrow 1890" o:spid="_x0000_s1812" type="#_x0000_t202" style="position:absolute;left:11070;top:6540;width:750;height:297" filled="f" stroked="f">
              <v:textbox inset="1.42pt,.85pt,1.42pt,.85pt">
                <w:txbxContent>
                  <w:p w:rsidR="00EE1CF7" w:rsidRDefault="00EE1CF7">
                    <w:pPr>
                      <w:rPr>
                        <w:b/>
                      </w:rPr>
                    </w:pPr>
                    <w:r>
                      <w:rPr>
                        <w:rFonts w:hint="eastAsia"/>
                        <w:b/>
                      </w:rPr>
                      <w:t>石脑油</w:t>
                    </w:r>
                  </w:p>
                </w:txbxContent>
              </v:textbox>
            </v:shape>
            <v:shape id="Straight Connector 1891" o:spid="_x0000_s1813" type="#_x0000_t32" style="position:absolute;left:10605;top:5757;width:0;height:273"/>
            <v:shape id="Straight Connector 1892" o:spid="_x0000_s1814" type="#_x0000_t32" style="position:absolute;left:10605;top:5757;width:465;height:0">
              <v:stroke endarrow="block"/>
            </v:shape>
            <v:shape id="Quad Arrow 1893" o:spid="_x0000_s1815" type="#_x0000_t202" style="position:absolute;left:12735;top:6510;width:780;height:312" filled="f" stroked="f">
              <v:textbox inset="1.42pt,.85pt,1.42pt,.85pt">
                <w:txbxContent>
                  <w:p w:rsidR="00EE1CF7" w:rsidRDefault="00EE1CF7">
                    <w:pPr>
                      <w:rPr>
                        <w:b/>
                        <w:szCs w:val="21"/>
                      </w:rPr>
                    </w:pPr>
                    <w:r>
                      <w:rPr>
                        <w:rFonts w:hint="eastAsia"/>
                        <w:b/>
                        <w:szCs w:val="21"/>
                      </w:rPr>
                      <w:t>液化气</w:t>
                    </w:r>
                  </w:p>
                </w:txbxContent>
              </v:textbox>
            </v:shape>
            <v:shape id="Quad Arrow 1894" o:spid="_x0000_s1816" type="#_x0000_t202" style="position:absolute;left:9810;top:6030;width:945;height:312">
              <v:textbox inset="1.42pt,.85pt,1.42pt,.85pt">
                <w:txbxContent>
                  <w:p w:rsidR="00EE1CF7" w:rsidRDefault="00EE1CF7">
                    <w:r>
                      <w:rPr>
                        <w:rFonts w:hint="eastAsia"/>
                      </w:rPr>
                      <w:t>脱丁烷塔　塔</w:t>
                    </w:r>
                    <w:r>
                      <w:rPr>
                        <w:rFonts w:hint="eastAsia"/>
                      </w:rPr>
                      <w:t xml:space="preserve"> </w:t>
                    </w:r>
                  </w:p>
                </w:txbxContent>
              </v:textbox>
            </v:shape>
            <v:shape id="Quad Arrow 1895" o:spid="_x0000_s1817" type="#_x0000_t202" style="position:absolute;left:11100;top:5622;width:720;height:312">
              <v:textbox inset="1.42pt,.85pt,1.42pt,.85pt">
                <w:txbxContent>
                  <w:p w:rsidR="00EE1CF7" w:rsidRDefault="00EE1CF7">
                    <w:r>
                      <w:rPr>
                        <w:rFonts w:hint="eastAsia"/>
                      </w:rPr>
                      <w:t>回流罐</w:t>
                    </w:r>
                  </w:p>
                </w:txbxContent>
              </v:textbox>
            </v:shape>
            <v:shape id="Straight Connector 1896" o:spid="_x0000_s1818" type="#_x0000_t32" style="position:absolute;left:11460;top:5934;width:0;height:246"/>
            <v:shape id="Straight Connector 1897" o:spid="_x0000_s1819" type="#_x0000_t32" style="position:absolute;left:10755;top:6180;width:705;height:0;flip:x">
              <v:stroke endarrow="block"/>
            </v:shape>
            <v:shape id="Straight Connector 1898" o:spid="_x0000_s1820" type="#_x0000_t32" style="position:absolute;left:11460;top:6087;width:1023;height:3">
              <v:stroke endarrow="block"/>
            </v:shape>
            <v:shape id="Quad Arrow 1899" o:spid="_x0000_s1821" type="#_x0000_t202" style="position:absolute;left:11745;top:5961;width:720;height:312" filled="f" stroked="f">
              <v:textbox inset="1.42pt,.85pt,1.42pt,.85pt">
                <w:txbxContent>
                  <w:p w:rsidR="00EE1CF7" w:rsidRDefault="00EE1CF7">
                    <w:pPr>
                      <w:rPr>
                        <w:sz w:val="18"/>
                        <w:szCs w:val="18"/>
                      </w:rPr>
                    </w:pPr>
                    <w:r>
                      <w:rPr>
                        <w:rFonts w:hint="eastAsia"/>
                        <w:sz w:val="18"/>
                        <w:szCs w:val="18"/>
                      </w:rPr>
                      <w:t>液化气</w:t>
                    </w:r>
                  </w:p>
                </w:txbxContent>
              </v:textbox>
            </v:shape>
            <v:shape id="Quad Arrow 1900" o:spid="_x0000_s1822" type="#_x0000_t202" style="position:absolute;left:12483;top:5919;width:1440;height:312">
              <v:textbox inset="1.42pt,.85pt,1.42pt,.85pt">
                <w:txbxContent>
                  <w:p w:rsidR="00EE1CF7" w:rsidRDefault="00EE1CF7">
                    <w:r>
                      <w:rPr>
                        <w:rFonts w:hint="eastAsia"/>
                      </w:rPr>
                      <w:t>液化气脱硫塔</w:t>
                    </w:r>
                  </w:p>
                </w:txbxContent>
              </v:textbox>
            </v:shape>
            <v:shape id="Straight Connector 1901" o:spid="_x0000_s1823" type="#_x0000_t32" style="position:absolute;left:10290;top:6342;width:0;height:369"/>
            <v:shape id="Straight Connector 1902" o:spid="_x0000_s1824" type="#_x0000_t32" style="position:absolute;left:10290;top:6711;width:780;height:0">
              <v:stroke endarrow="block"/>
            </v:shape>
            <v:shape id="Straight Connector 1903" o:spid="_x0000_s1825" type="#_x0000_t32" style="position:absolute;left:13137;top:6243;width:0;height:276;flip:y">
              <v:stroke startarrow="block"/>
            </v:shape>
            <v:shape id="Straight Connector 1904" o:spid="_x0000_s1826" type="#_x0000_t32" style="position:absolute;left:6990;top:6858;width:1245;height:0"/>
            <v:shape id="Quad Arrow 1905" o:spid="_x0000_s1827" type="#_x0000_t202" style="position:absolute;left:13680;top:5445;width:510;height:312" filled="f" stroked="f">
              <v:textbox inset="1.42pt,.85pt,1.42pt,.85pt">
                <w:txbxContent>
                  <w:p w:rsidR="00EE1CF7" w:rsidRDefault="00EE1CF7">
                    <w:pPr>
                      <w:rPr>
                        <w:sz w:val="18"/>
                        <w:szCs w:val="18"/>
                      </w:rPr>
                    </w:pPr>
                    <w:r>
                      <w:rPr>
                        <w:rFonts w:hint="eastAsia"/>
                        <w:sz w:val="18"/>
                        <w:szCs w:val="18"/>
                      </w:rPr>
                      <w:t>干气</w:t>
                    </w:r>
                  </w:p>
                </w:txbxContent>
              </v:textbox>
            </v:shape>
            <v:shape id="Straight Connector 1906" o:spid="_x0000_s1828" type="#_x0000_t32" style="position:absolute;left:7620;top:6654;width:0;height:213;flip:y"/>
            <v:shape id="Straight Connector 1907" o:spid="_x0000_s1829" type="#_x0000_t32" style="position:absolute;left:11460;top:5430;width:495;height:0">
              <v:stroke dashstyle="dash" endarrow="block"/>
            </v:shape>
            <v:shape id="Quad Arrow 1908" o:spid="_x0000_s1830" type="#_x0000_t202" style="position:absolute;left:11955;top:5265;width:345;height:312" filled="f" stroked="f">
              <v:textbox inset="1.42pt,.85pt,1.42pt,.85pt">
                <w:txbxContent>
                  <w:p w:rsidR="00EE1CF7" w:rsidRDefault="00EE1CF7">
                    <w:pPr>
                      <w:rPr>
                        <w:sz w:val="18"/>
                        <w:szCs w:val="18"/>
                      </w:rPr>
                    </w:pPr>
                    <w:r>
                      <w:rPr>
                        <w:rFonts w:hint="eastAsia"/>
                        <w:sz w:val="18"/>
                        <w:szCs w:val="18"/>
                      </w:rPr>
                      <w:t>W5</w:t>
                    </w:r>
                  </w:p>
                </w:txbxContent>
              </v:textbox>
            </v:shape>
            <v:shape id="Quad Arrow 1909" o:spid="_x0000_s1831" type="#_x0000_t202" style="position:absolute;left:6420;top:8418;width:1260;height:312">
              <v:textbox inset="1.42pt,.85pt,1.42pt,.85pt">
                <w:txbxContent>
                  <w:p w:rsidR="00EE1CF7" w:rsidRDefault="00EE1CF7">
                    <w:r>
                      <w:rPr>
                        <w:rFonts w:hint="eastAsia"/>
                      </w:rPr>
                      <w:t>干气脱硫塔</w:t>
                    </w:r>
                  </w:p>
                </w:txbxContent>
              </v:textbox>
            </v:shape>
            <v:shape id="Quad Arrow 1910" o:spid="_x0000_s1832" type="#_x0000_t202" style="position:absolute;left:4080;top:8404;width:1575;height:312" filled="f" stroked="f">
              <v:textbox inset="1.42pt,.85pt,1.42pt,.85pt">
                <w:txbxContent>
                  <w:p w:rsidR="00EE1CF7" w:rsidRDefault="00EE1CF7">
                    <w:pPr>
                      <w:rPr>
                        <w:szCs w:val="21"/>
                      </w:rPr>
                    </w:pPr>
                    <w:r>
                      <w:rPr>
                        <w:rFonts w:hint="eastAsia"/>
                        <w:szCs w:val="21"/>
                      </w:rPr>
                      <w:t>去燃料气管网</w:t>
                    </w:r>
                  </w:p>
                </w:txbxContent>
              </v:textbox>
            </v:shape>
            <v:shape id="Quad Arrow 1911" o:spid="_x0000_s1833" type="#_x0000_t202" style="position:absolute;left:5535;top:8262;width:900;height:312" filled="f" stroked="f">
              <v:textbox inset="1.42pt,.85pt,1.42pt,.85pt">
                <w:txbxContent>
                  <w:p w:rsidR="00EE1CF7" w:rsidRDefault="00EE1CF7">
                    <w:pPr>
                      <w:rPr>
                        <w:sz w:val="18"/>
                        <w:szCs w:val="18"/>
                      </w:rPr>
                    </w:pPr>
                    <w:r>
                      <w:rPr>
                        <w:rFonts w:hint="eastAsia"/>
                        <w:sz w:val="18"/>
                        <w:szCs w:val="18"/>
                      </w:rPr>
                      <w:t>脱硫干气</w:t>
                    </w:r>
                  </w:p>
                </w:txbxContent>
              </v:textbox>
            </v:shape>
            <v:shape id="Quad Arrow 1912" o:spid="_x0000_s1834" type="#_x0000_t202" style="position:absolute;left:6615;top:7326;width:720;height:312">
              <v:textbox inset="1.42pt,.85pt,1.42pt,.85pt">
                <w:txbxContent>
                  <w:p w:rsidR="00EE1CF7" w:rsidRDefault="00EE1CF7">
                    <w:r>
                      <w:rPr>
                        <w:rFonts w:hint="eastAsia"/>
                      </w:rPr>
                      <w:t>闪蒸罐</w:t>
                    </w:r>
                  </w:p>
                </w:txbxContent>
              </v:textbox>
            </v:shape>
            <v:line id="Line 1913" o:spid="_x0000_s1835" style="position:absolute" from="5535,7482" to="6615,7482">
              <v:stroke endarrow="block"/>
            </v:line>
            <v:shape id="Quad Arrow 1914" o:spid="_x0000_s1836" type="#_x0000_t202" style="position:absolute;left:5370;top:7206;width:900;height:312" filled="f" stroked="f">
              <v:textbox inset="1.42pt,.85pt,1.42pt,.85pt">
                <w:txbxContent>
                  <w:p w:rsidR="00EE1CF7" w:rsidRDefault="00EE1CF7">
                    <w:pPr>
                      <w:rPr>
                        <w:sz w:val="18"/>
                        <w:szCs w:val="18"/>
                      </w:rPr>
                    </w:pPr>
                    <w:r>
                      <w:rPr>
                        <w:rFonts w:hint="eastAsia"/>
                        <w:sz w:val="18"/>
                        <w:szCs w:val="18"/>
                      </w:rPr>
                      <w:t>塔底富液</w:t>
                    </w:r>
                  </w:p>
                </w:txbxContent>
              </v:textbox>
            </v:shape>
            <v:line id="Line 1915" o:spid="_x0000_s1837" style="position:absolute" from="7335,7482" to="7875,7482">
              <v:stroke endarrow="block"/>
            </v:line>
            <v:shape id="Quad Arrow 1916" o:spid="_x0000_s1838" type="#_x0000_t202" style="position:absolute;left:7875;top:7326;width:720;height:312">
              <v:textbox inset="1.42pt,.85pt,1.42pt,.85pt">
                <w:txbxContent>
                  <w:p w:rsidR="00EE1CF7" w:rsidRDefault="00EE1CF7">
                    <w:r>
                      <w:rPr>
                        <w:rFonts w:hint="eastAsia"/>
                      </w:rPr>
                      <w:t>再生塔动保护用品</w:t>
                    </w:r>
                  </w:p>
                </w:txbxContent>
              </v:textbox>
            </v:shape>
            <v:shape id="Quad Arrow 1917" o:spid="_x0000_s1839" type="#_x0000_t202" style="position:absolute;left:7335;top:7236;width:540;height:312" filled="f" stroked="f">
              <v:textbox inset="1.42pt,.85pt,1.42pt,.85pt">
                <w:txbxContent>
                  <w:p w:rsidR="00EE1CF7" w:rsidRDefault="00EE1CF7">
                    <w:pPr>
                      <w:rPr>
                        <w:sz w:val="18"/>
                        <w:szCs w:val="18"/>
                      </w:rPr>
                    </w:pPr>
                    <w:r>
                      <w:rPr>
                        <w:rFonts w:hint="eastAsia"/>
                        <w:sz w:val="18"/>
                        <w:szCs w:val="18"/>
                      </w:rPr>
                      <w:t>胺液</w:t>
                    </w:r>
                  </w:p>
                </w:txbxContent>
              </v:textbox>
            </v:shape>
            <v:line id="Line 1918" o:spid="_x0000_s1840" style="position:absolute;flip:y" from="8235,6858" to="8235,7326"/>
            <v:line id="Line 1919" o:spid="_x0000_s1841" style="position:absolute;flip:y" from="6975,6858" to="6975,7326"/>
            <v:shape id="Quad Arrow 1920" o:spid="_x0000_s1842" type="#_x0000_t202" style="position:absolute;left:6735;top:6999;width:1080;height:312" filled="f" stroked="f">
              <v:textbox inset="1.42pt,.85pt,1.42pt,.85pt">
                <w:txbxContent>
                  <w:p w:rsidR="00EE1CF7" w:rsidRDefault="00EE1CF7">
                    <w:pPr>
                      <w:rPr>
                        <w:sz w:val="18"/>
                        <w:szCs w:val="18"/>
                      </w:rPr>
                    </w:pPr>
                    <w:r>
                      <w:rPr>
                        <w:rFonts w:hint="eastAsia"/>
                        <w:sz w:val="18"/>
                        <w:szCs w:val="18"/>
                      </w:rPr>
                      <w:t>闪蒸酸性气</w:t>
                    </w:r>
                  </w:p>
                </w:txbxContent>
              </v:textbox>
            </v:shape>
            <v:shape id="Quad Arrow 1921" o:spid="_x0000_s1843" type="#_x0000_t202" style="position:absolute;left:7800;top:6858;width:1080;height:312" filled="f" stroked="f">
              <v:textbox inset="1.42pt,.85pt,1.42pt,.85pt">
                <w:txbxContent>
                  <w:p w:rsidR="00EE1CF7" w:rsidRDefault="00EE1CF7">
                    <w:pPr>
                      <w:rPr>
                        <w:sz w:val="18"/>
                        <w:szCs w:val="18"/>
                      </w:rPr>
                    </w:pPr>
                    <w:r>
                      <w:rPr>
                        <w:rFonts w:hint="eastAsia"/>
                        <w:sz w:val="18"/>
                        <w:szCs w:val="18"/>
                      </w:rPr>
                      <w:t>塔顶酸性气</w:t>
                    </w:r>
                  </w:p>
                </w:txbxContent>
              </v:textbox>
            </v:shape>
            <v:shape id="Quad Arrow 1922" o:spid="_x0000_s1844" type="#_x0000_t202" style="position:absolute;left:8535;top:6480;width:1800;height:312" filled="f" stroked="f">
              <v:textbox inset="1.42pt,.85pt,1.42pt,.85pt">
                <w:txbxContent>
                  <w:p w:rsidR="00EE1CF7" w:rsidRDefault="00EE1CF7">
                    <w:pPr>
                      <w:rPr>
                        <w:szCs w:val="21"/>
                      </w:rPr>
                    </w:pPr>
                    <w:r>
                      <w:rPr>
                        <w:rFonts w:hint="eastAsia"/>
                        <w:szCs w:val="21"/>
                      </w:rPr>
                      <w:t>去硫磺回收单元</w:t>
                    </w:r>
                  </w:p>
                </w:txbxContent>
              </v:textbox>
            </v:shape>
            <v:line id="Line 1923" o:spid="_x0000_s1845" style="position:absolute" from="8595,7482" to="9135,7482">
              <v:stroke endarrow="block"/>
            </v:line>
            <v:shape id="Quad Arrow 1924" o:spid="_x0000_s1846" type="#_x0000_t202" style="position:absolute;left:9135;top:7326;width:540;height:312">
              <v:textbox inset="1.42pt,.85pt,1.42pt,.85pt">
                <w:txbxContent>
                  <w:p w:rsidR="00EE1CF7" w:rsidRDefault="00EE1CF7">
                    <w:r>
                      <w:rPr>
                        <w:rFonts w:hint="eastAsia"/>
                      </w:rPr>
                      <w:t>储罐</w:t>
                    </w:r>
                  </w:p>
                </w:txbxContent>
              </v:textbox>
            </v:shape>
            <v:shape id="Quad Arrow 1925" o:spid="_x0000_s1847" type="#_x0000_t202" style="position:absolute;left:8595;top:7221;width:900;height:312" filled="f" stroked="f">
              <v:textbox inset="1.42pt,.85pt,1.42pt,.85pt">
                <w:txbxContent>
                  <w:p w:rsidR="00EE1CF7" w:rsidRDefault="00EE1CF7">
                    <w:pPr>
                      <w:rPr>
                        <w:sz w:val="18"/>
                        <w:szCs w:val="18"/>
                      </w:rPr>
                    </w:pPr>
                    <w:r>
                      <w:rPr>
                        <w:rFonts w:hint="eastAsia"/>
                        <w:sz w:val="18"/>
                        <w:szCs w:val="18"/>
                      </w:rPr>
                      <w:t>贫胺液</w:t>
                    </w:r>
                  </w:p>
                </w:txbxContent>
              </v:textbox>
            </v:shape>
            <v:line id="Line 1926" o:spid="_x0000_s1848" style="position:absolute" from="9315,7638" to="9315,8574"/>
            <v:shape id="未知 1927" o:spid="_x0000_s1849" style="position:absolute;left:6924;top:7704;width:180;height:312;rotation:90" coordsize="180,312" path="m180,312c90,260,,208,,156,,104,90,52,180,e" filled="f"/>
            <v:shape id="Straight Connector 1928" o:spid="_x0000_s1850" type="#_x0000_t32" style="position:absolute;left:3105;top:7482;width:540;height:1">
              <v:stroke endarrow="block"/>
            </v:shape>
            <v:shape id="Quad Arrow 1929" o:spid="_x0000_s1851" type="#_x0000_t202" style="position:absolute;left:3645;top:7311;width:1515;height:312">
              <v:textbox inset="1.42pt,.85pt,1.42pt,.85pt">
                <w:txbxContent>
                  <w:p w:rsidR="00EE1CF7" w:rsidRDefault="00EE1CF7">
                    <w:r>
                      <w:rPr>
                        <w:rFonts w:hint="eastAsia"/>
                      </w:rPr>
                      <w:t>低分气脱硫塔</w:t>
                    </w:r>
                  </w:p>
                </w:txbxContent>
              </v:textbox>
            </v:shape>
            <v:shape id="Straight Connector 1930" o:spid="_x0000_s1852" type="#_x0000_t32" style="position:absolute;left:4425;top:6858;width:0;height:453;flip:y"/>
            <v:shape id="Straight Connector 1931" o:spid="_x0000_s1853" type="#_x0000_t32" style="position:absolute;left:4425;top:6858;width:1095;height:0">
              <v:stroke endarrow="block"/>
            </v:shape>
            <v:shape id="Quad Arrow 1932" o:spid="_x0000_s1854" type="#_x0000_t202" style="position:absolute;left:4485;top:6654;width:1050;height:312" filled="f" stroked="f">
              <v:textbox inset="1.42pt,.85pt,1.42pt,.85pt">
                <w:txbxContent>
                  <w:p w:rsidR="00EE1CF7" w:rsidRDefault="00EE1CF7">
                    <w:pPr>
                      <w:rPr>
                        <w:sz w:val="18"/>
                        <w:szCs w:val="18"/>
                      </w:rPr>
                    </w:pPr>
                    <w:r>
                      <w:rPr>
                        <w:rFonts w:hint="eastAsia"/>
                        <w:sz w:val="18"/>
                        <w:szCs w:val="18"/>
                      </w:rPr>
                      <w:t>脱硫低分气</w:t>
                    </w:r>
                  </w:p>
                </w:txbxContent>
              </v:textbox>
            </v:shape>
            <v:shape id="Quad Arrow 1933" o:spid="_x0000_s1855" type="#_x0000_t202" style="position:absolute;left:5520;top:6690;width:1260;height:312" filled="f" stroked="f">
              <v:textbox inset="1.42pt,.85pt,1.42pt,.85pt">
                <w:txbxContent>
                  <w:p w:rsidR="00EE1CF7" w:rsidRDefault="00EE1CF7">
                    <w:pPr>
                      <w:rPr>
                        <w:szCs w:val="21"/>
                      </w:rPr>
                    </w:pPr>
                    <w:r>
                      <w:rPr>
                        <w:rFonts w:hint="eastAsia"/>
                        <w:szCs w:val="21"/>
                      </w:rPr>
                      <w:t>去</w:t>
                    </w:r>
                    <w:r>
                      <w:rPr>
                        <w:rFonts w:hint="eastAsia"/>
                        <w:szCs w:val="21"/>
                      </w:rPr>
                      <w:t>PSA</w:t>
                    </w:r>
                    <w:r>
                      <w:rPr>
                        <w:rFonts w:hint="eastAsia"/>
                        <w:szCs w:val="21"/>
                      </w:rPr>
                      <w:t>单元</w:t>
                    </w:r>
                  </w:p>
                </w:txbxContent>
              </v:textbox>
            </v:shape>
            <v:shape id="Straight Connector 1934" o:spid="_x0000_s1856" type="#_x0000_t32" style="position:absolute;left:5220;top:7482;width:1395;height:0">
              <v:stroke endarrow="block"/>
            </v:shape>
            <v:shape id="Straight Connector 1935" o:spid="_x0000_s1857" type="#_x0000_t32" style="position:absolute;left:5370;top:8574;width:1035;height:0;flip:x">
              <v:stroke endarrow="block"/>
            </v:shape>
            <v:shape id="Straight Connector 1936" o:spid="_x0000_s1858" type="#_x0000_t32" style="position:absolute;left:3465;top:8106;width:1;height:924;flip:y"/>
            <v:shape id="Straight Connector 1937" o:spid="_x0000_s1859" type="#_x0000_t32" style="position:absolute;left:3465;top:8106;width:2250;height:0"/>
            <v:shape id="Straight Connector 1938" o:spid="_x0000_s1860" type="#_x0000_t32" style="position:absolute;left:5715;top:7482;width:0;height:624;flip:y">
              <v:stroke endarrow="block"/>
            </v:shape>
            <v:shape id="Straight Connector 1939" o:spid="_x0000_s1861" type="#_x0000_t32" style="position:absolute;left:7011;top:7623;width:0;height:795;flip:y">
              <v:stroke endarrow="block"/>
            </v:shape>
            <v:shape id="Quad Arrow 1940" o:spid="_x0000_s1862" type="#_x0000_t202" style="position:absolute;left:6720;top:8106;width:900;height:312" filled="f" stroked="f">
              <v:textbox inset="1.42pt,.85pt,1.42pt,.85pt">
                <w:txbxContent>
                  <w:p w:rsidR="00EE1CF7" w:rsidRDefault="00EE1CF7">
                    <w:pPr>
                      <w:rPr>
                        <w:sz w:val="18"/>
                        <w:szCs w:val="18"/>
                      </w:rPr>
                    </w:pPr>
                    <w:r>
                      <w:rPr>
                        <w:rFonts w:hint="eastAsia"/>
                        <w:sz w:val="18"/>
                        <w:szCs w:val="18"/>
                      </w:rPr>
                      <w:t>塔底富液</w:t>
                    </w:r>
                  </w:p>
                </w:txbxContent>
              </v:textbox>
            </v:shape>
            <v:shape id="Straight Connector 1941" o:spid="_x0000_s1863" type="#_x0000_t32" style="position:absolute;left:7680;top:8574;width:1620;height:0;flip:x">
              <v:stroke endarrow="block"/>
            </v:shape>
            <v:shape id="Straight Connector 1942" o:spid="_x0000_s1864" type="#_x0000_t32" style="position:absolute;left:7170;top:7950;width:2145;height:0;flip:x"/>
            <v:shape id="Straight Connector 1943" o:spid="_x0000_s1865" type="#_x0000_t32" style="position:absolute;left:5835;top:7950;width:1023;height:1;flip:x"/>
            <v:shape id="未知 1944" o:spid="_x0000_s1866" style="position:absolute;left:5589;top:7704;width:180;height:312;rotation:90" coordsize="180,312" path="m180,312c90,260,,208,,156,,104,90,52,180,e" filled="f"/>
            <v:shape id="Straight Connector 1945" o:spid="_x0000_s1867" type="#_x0000_t32" style="position:absolute;left:4410;top:7951;width:1110;height:0;flip:x"/>
            <v:shape id="Straight Connector 1946" o:spid="_x0000_s1868" type="#_x0000_t32" style="position:absolute;left:4395;top:7638;width:0;height:313;flip:y">
              <v:stroke endarrow="block"/>
            </v:shape>
            <v:shape id="Quad Arrow 1947" o:spid="_x0000_s1869" type="#_x0000_t202" style="position:absolute;left:7995;top:7794;width:1050;height:312" filled="f" stroked="f">
              <v:textbox inset="1.42pt,.85pt,1.42pt,.85pt">
                <w:txbxContent>
                  <w:p w:rsidR="00EE1CF7" w:rsidRDefault="00EE1CF7">
                    <w:pPr>
                      <w:rPr>
                        <w:sz w:val="18"/>
                        <w:szCs w:val="18"/>
                      </w:rPr>
                    </w:pPr>
                    <w:r>
                      <w:rPr>
                        <w:rFonts w:hint="eastAsia"/>
                        <w:sz w:val="18"/>
                        <w:szCs w:val="18"/>
                      </w:rPr>
                      <w:t>循环贫胺液</w:t>
                    </w:r>
                  </w:p>
                </w:txbxContent>
              </v:textbox>
            </v:shape>
            <v:shape id="Straight Connector 1948" o:spid="_x0000_s1870" type="#_x0000_t32" style="position:absolute;left:2085;top:3150;width:8715;height:0;flip:x"/>
            <v:shape id="Straight Connector 1949" o:spid="_x0000_s1871" type="#_x0000_t32" style="position:absolute;left:2085;top:2310;width:0;height:840;flip:y">
              <v:stroke endarrow="block"/>
            </v:shape>
            <v:shape id="Straight Connector 1950" o:spid="_x0000_s1872" type="#_x0000_t32" style="position:absolute;left:4050;top:2310;width:0;height:840;flip:y">
              <v:stroke endarrow="block"/>
            </v:shape>
            <v:shape id="Straight Connector 1951" o:spid="_x0000_s1873" type="#_x0000_t32" style="position:absolute;left:9705;top:2310;width:0;height:840;flip:y">
              <v:stroke endarrow="block"/>
            </v:shape>
            <v:shape id="Straight Connector 1952" o:spid="_x0000_s1874" type="#_x0000_t32" style="position:absolute;left:7410;top:3462;width:2580;height:0"/>
            <v:shape id="Straight Connector 1953" o:spid="_x0000_s1875" type="#_x0000_t32" style="position:absolute;left:9990;top:3150;width:0;height:312;flip:y">
              <v:stroke endarrow="block"/>
            </v:shape>
            <v:shape id="Quad Arrow 1954" o:spid="_x0000_s1876" type="#_x0000_t202" style="position:absolute;left:10065;top:2970;width:750;height:312" filled="f" stroked="f">
              <v:textbox inset="1.42pt,.85pt,1.42pt,.85pt">
                <w:txbxContent>
                  <w:p w:rsidR="00EE1CF7" w:rsidRDefault="00EE1CF7">
                    <w:r>
                      <w:rPr>
                        <w:rFonts w:hint="eastAsia"/>
                      </w:rPr>
                      <w:t>循环氢</w:t>
                    </w:r>
                  </w:p>
                </w:txbxContent>
              </v:textbox>
            </v:shape>
            <v:shape id="Quad Arrow 1955" o:spid="_x0000_s1877" type="#_x0000_t202" style="position:absolute;left:6885;top:3282;width:543;height:309" filled="f" stroked="f">
              <v:textbox inset="1.42pt,.85pt,1.42pt,.85pt">
                <w:txbxContent>
                  <w:p w:rsidR="00EE1CF7" w:rsidRDefault="00EE1CF7">
                    <w:r>
                      <w:rPr>
                        <w:rFonts w:hint="eastAsia"/>
                      </w:rPr>
                      <w:t>新氢</w:t>
                    </w:r>
                  </w:p>
                </w:txbxContent>
              </v:textbox>
            </v:shape>
            <v:shape id="Quad Arrow 1956" o:spid="_x0000_s1878" type="#_x0000_t202" style="position:absolute;left:3795;top:2658;width:555;height:312" filled="f" stroked="f">
              <v:textbox inset="1.42pt,.85pt,1.42pt,.85pt">
                <w:txbxContent>
                  <w:p w:rsidR="00EE1CF7" w:rsidRDefault="00EE1CF7">
                    <w:r>
                      <w:rPr>
                        <w:rFonts w:hint="eastAsia"/>
                      </w:rPr>
                      <w:t>混氢</w:t>
                    </w:r>
                  </w:p>
                </w:txbxContent>
              </v:textbox>
            </v:shape>
            <v:shape id="Quad Arrow 1957" o:spid="_x0000_s1879" type="#_x0000_t202" style="position:absolute;left:9435;top:2658;width:555;height:312" filled="f" stroked="f">
              <v:textbox inset="1.42pt,.85pt,1.42pt,.85pt">
                <w:txbxContent>
                  <w:p w:rsidR="00EE1CF7" w:rsidRDefault="00EE1CF7">
                    <w:r>
                      <w:rPr>
                        <w:rFonts w:hint="eastAsia"/>
                      </w:rPr>
                      <w:t>混氢</w:t>
                    </w:r>
                  </w:p>
                </w:txbxContent>
              </v:textbox>
            </v:shape>
            <v:shape id="Quad Arrow 1958" o:spid="_x0000_s1880" type="#_x0000_t202" style="position:absolute;left:1800;top:2658;width:555;height:312" filled="f" stroked="f">
              <v:textbox inset="1.42pt,.85pt,1.42pt,.85pt">
                <w:txbxContent>
                  <w:p w:rsidR="00EE1CF7" w:rsidRDefault="00EE1CF7">
                    <w:r>
                      <w:rPr>
                        <w:rFonts w:hint="eastAsia"/>
                      </w:rPr>
                      <w:t>混氢</w:t>
                    </w:r>
                  </w:p>
                </w:txbxContent>
              </v:textbox>
            </v:shape>
            <v:shape id="Straight Connector 1959" o:spid="_x0000_s1881" type="#_x0000_t32" style="position:absolute;left:1275;top:1950;width:10575;height:0"/>
            <v:shape id="Straight Connector 1960" o:spid="_x0000_s1882" type="#_x0000_t32" style="position:absolute;left:1275;top:1950;width:0;height:3225"/>
            <v:shape id="Straight Connector 1961" o:spid="_x0000_s1883" type="#_x0000_t32" style="position:absolute;left:1275;top:5175;width:2835;height:0"/>
            <v:shape id="Straight Connector 1962" o:spid="_x0000_s1884" type="#_x0000_t32" style="position:absolute;left:11853;top:1950;width:0;height:360">
              <v:stroke endarrow="block"/>
            </v:shape>
            <v:shape id="Straight Connector 1963" o:spid="_x0000_s1885" type="#_x0000_t32" style="position:absolute;left:4725;top:5145;width:3570;height:0;flip:x"/>
            <v:shape id="Straight Connector 1964" o:spid="_x0000_s1886" type="#_x0000_t32" style="position:absolute;left:4740;top:3675;width:15;height:1482;flip:y"/>
            <v:shape id="Straight Connector 1965" o:spid="_x0000_s1887" type="#_x0000_t32" style="position:absolute;left:1845;top:3675;width:2925;height:0;flip:x"/>
            <v:shape id="Straight Connector 1966" o:spid="_x0000_s1888" type="#_x0000_t32" style="position:absolute;left:1830;top:2310;width:0;height:1365;flip:y">
              <v:stroke endarrow="block"/>
            </v:shape>
            <v:shape id="Quad Arrow 1967" o:spid="_x0000_s1889" type="#_x0000_t202" style="position:absolute;left:3495;top:3441;width:1080;height:312" filled="f" stroked="f">
              <v:textbox inset="1.42pt,.85pt,1.42pt,.85pt">
                <w:txbxContent>
                  <w:p w:rsidR="00EE1CF7" w:rsidRDefault="00EE1CF7">
                    <w:pPr>
                      <w:rPr>
                        <w:sz w:val="18"/>
                        <w:szCs w:val="18"/>
                      </w:rPr>
                    </w:pPr>
                    <w:r>
                      <w:rPr>
                        <w:rFonts w:hint="eastAsia"/>
                        <w:sz w:val="18"/>
                        <w:szCs w:val="18"/>
                      </w:rPr>
                      <w:t>塔底循环油</w:t>
                    </w:r>
                  </w:p>
                </w:txbxContent>
              </v:textbox>
            </v:shape>
            <v:line id="Line 1968" o:spid="_x0000_s1890" style="position:absolute" from="4770,2484" to="4770,2796">
              <v:stroke dashstyle="dash" endarrow="block"/>
            </v:line>
            <v:shape id="Quad Arrow 1969" o:spid="_x0000_s1891" type="#_x0000_t202" style="position:absolute;left:4605;top:2691;width:360;height:312" filled="f" stroked="f">
              <v:textbox inset="1.42pt,.85pt,1.42pt,.85pt">
                <w:txbxContent>
                  <w:p w:rsidR="00EE1CF7" w:rsidRDefault="00EE1CF7">
                    <w:pPr>
                      <w:rPr>
                        <w:sz w:val="18"/>
                        <w:szCs w:val="18"/>
                      </w:rPr>
                    </w:pPr>
                    <w:r>
                      <w:rPr>
                        <w:rFonts w:hint="eastAsia"/>
                        <w:sz w:val="18"/>
                        <w:szCs w:val="18"/>
                      </w:rPr>
                      <w:t>G1</w:t>
                    </w:r>
                  </w:p>
                </w:txbxContent>
              </v:textbox>
            </v:shape>
            <v:line id="Line 1970" o:spid="_x0000_s1892" style="position:absolute" from="3060,2484" to="3060,2796">
              <v:stroke dashstyle="dash" endarrow="block"/>
            </v:line>
            <v:shape id="Quad Arrow 1971" o:spid="_x0000_s1893" type="#_x0000_t202" style="position:absolute;left:2910;top:2691;width:360;height:312" filled="f" stroked="f">
              <v:textbox inset="1.42pt,.85pt,1.42pt,.85pt">
                <w:txbxContent>
                  <w:p w:rsidR="00EE1CF7" w:rsidRDefault="00EE1CF7">
                    <w:pPr>
                      <w:rPr>
                        <w:sz w:val="18"/>
                        <w:szCs w:val="18"/>
                      </w:rPr>
                    </w:pPr>
                    <w:r>
                      <w:rPr>
                        <w:rFonts w:hint="eastAsia"/>
                        <w:sz w:val="18"/>
                        <w:szCs w:val="18"/>
                      </w:rPr>
                      <w:t>S1</w:t>
                    </w:r>
                  </w:p>
                </w:txbxContent>
              </v:textbox>
            </v:shape>
            <v:line id="Line 1972" o:spid="_x0000_s1894" style="position:absolute" from="6450,2484" to="6450,2796">
              <v:stroke dashstyle="dash" endarrow="block"/>
            </v:line>
            <v:shape id="Quad Arrow 1973" o:spid="_x0000_s1895" type="#_x0000_t202" style="position:absolute;left:6315;top:2691;width:360;height:312" filled="f" stroked="f">
              <v:textbox inset="1.42pt,.85pt,1.42pt,.85pt">
                <w:txbxContent>
                  <w:p w:rsidR="00EE1CF7" w:rsidRDefault="00EE1CF7">
                    <w:pPr>
                      <w:rPr>
                        <w:sz w:val="18"/>
                        <w:szCs w:val="18"/>
                      </w:rPr>
                    </w:pPr>
                    <w:r>
                      <w:rPr>
                        <w:rFonts w:hint="eastAsia"/>
                        <w:sz w:val="18"/>
                        <w:szCs w:val="18"/>
                      </w:rPr>
                      <w:t>S2</w:t>
                    </w:r>
                  </w:p>
                </w:txbxContent>
              </v:textbox>
            </v:shape>
            <v:line id="Line 1974" o:spid="_x0000_s1896" style="position:absolute" from="8550,2502" to="8550,2814" stroked="f">
              <v:stroke dashstyle="dash" endarrow="block"/>
            </v:line>
            <v:shape id="Quad Arrow 1975" o:spid="_x0000_s1897" type="#_x0000_t202" style="position:absolute;left:8400;top:2706;width:360;height:312" filled="f" stroked="f">
              <v:textbox inset="1.42pt,.85pt,1.42pt,.85pt">
                <w:txbxContent>
                  <w:p w:rsidR="00EE1CF7" w:rsidRDefault="00EE1CF7">
                    <w:pPr>
                      <w:rPr>
                        <w:sz w:val="18"/>
                        <w:szCs w:val="18"/>
                      </w:rPr>
                    </w:pPr>
                  </w:p>
                </w:txbxContent>
              </v:textbox>
            </v:shape>
            <v:line id="Line 1976" o:spid="_x0000_s1898" style="position:absolute" from="10845,2484" to="10845,2796">
              <v:stroke dashstyle="dash" endarrow="block"/>
            </v:line>
            <v:shape id="Quad Arrow 1977" o:spid="_x0000_s1899" type="#_x0000_t202" style="position:absolute;left:10710;top:2661;width:360;height:312" filled="f" stroked="f">
              <v:textbox inset="1.42pt,.85pt,1.42pt,.85pt">
                <w:txbxContent>
                  <w:p w:rsidR="00EE1CF7" w:rsidRDefault="00EE1CF7">
                    <w:pPr>
                      <w:rPr>
                        <w:sz w:val="18"/>
                        <w:szCs w:val="18"/>
                      </w:rPr>
                    </w:pPr>
                    <w:r>
                      <w:rPr>
                        <w:rFonts w:hint="eastAsia"/>
                        <w:sz w:val="18"/>
                        <w:szCs w:val="18"/>
                      </w:rPr>
                      <w:t>S4</w:t>
                    </w:r>
                  </w:p>
                </w:txbxContent>
              </v:textbox>
            </v:shape>
            <v:line id="Line 1978" o:spid="_x0000_s1900" style="position:absolute" from="11535,2670" to="11535,2982">
              <v:stroke dashstyle="dash" startarrow="block"/>
            </v:line>
            <v:shape id="Quad Arrow 1979" o:spid="_x0000_s1901" type="#_x0000_t202" style="position:absolute;left:11355;top:2478;width:360;height:312" filled="f" stroked="f">
              <v:textbox inset="1.42pt,.85pt,1.42pt,.85pt">
                <w:txbxContent>
                  <w:p w:rsidR="00EE1CF7" w:rsidRDefault="00EE1CF7">
                    <w:pPr>
                      <w:rPr>
                        <w:sz w:val="18"/>
                        <w:szCs w:val="18"/>
                      </w:rPr>
                    </w:pPr>
                    <w:r>
                      <w:rPr>
                        <w:rFonts w:hint="eastAsia"/>
                        <w:sz w:val="18"/>
                        <w:szCs w:val="18"/>
                      </w:rPr>
                      <w:t>W1</w:t>
                    </w:r>
                  </w:p>
                </w:txbxContent>
              </v:textbox>
            </v:shape>
            <v:line id="Line 1980" o:spid="_x0000_s1902" style="position:absolute" from="13545,3333" to="13545,3645">
              <v:stroke dashstyle="dash" startarrow="block"/>
            </v:line>
            <v:shape id="Quad Arrow 1981" o:spid="_x0000_s1903" type="#_x0000_t202" style="position:absolute;left:13425;top:3129;width:360;height:312" filled="f" stroked="f">
              <v:textbox inset="1.42pt,.85pt,1.42pt,.85pt">
                <w:txbxContent>
                  <w:p w:rsidR="00EE1CF7" w:rsidRDefault="00EE1CF7">
                    <w:pPr>
                      <w:rPr>
                        <w:sz w:val="18"/>
                        <w:szCs w:val="18"/>
                      </w:rPr>
                    </w:pPr>
                    <w:r>
                      <w:rPr>
                        <w:rFonts w:hint="eastAsia"/>
                        <w:sz w:val="18"/>
                        <w:szCs w:val="18"/>
                      </w:rPr>
                      <w:t>W2</w:t>
                    </w:r>
                  </w:p>
                </w:txbxContent>
              </v:textbox>
            </v:shape>
            <v:shape id="Straight Connector 1982" o:spid="_x0000_s1904" type="#_x0000_t32" style="position:absolute;left:10380;top:5265;width:3135;height:15;flip:x y"/>
            <v:shape id="Straight Connector 1983" o:spid="_x0000_s1905" type="#_x0000_t32" style="position:absolute;left:10380;top:5280;width:0;height:750">
              <v:stroke endarrow="block"/>
            </v:shape>
            <v:line id="Line 1984" o:spid="_x0000_s1906" style="position:absolute" from="14070,4626" to="14070,4938">
              <v:stroke dashstyle="dash" endarrow="block"/>
            </v:line>
            <v:line id="Line 1985" o:spid="_x0000_s1907" style="position:absolute" from="7320,3765" to="7320,4077">
              <v:stroke dashstyle="dash" startarrow="block"/>
            </v:line>
            <v:shape id="Quad Arrow 1986" o:spid="_x0000_s1908" type="#_x0000_t202" style="position:absolute;left:7155;top:3546;width:360;height:312" filled="f" stroked="f">
              <v:textbox inset="1.42pt,.85pt,1.42pt,.85pt">
                <w:txbxContent>
                  <w:p w:rsidR="00EE1CF7" w:rsidRDefault="00EE1CF7">
                    <w:pPr>
                      <w:rPr>
                        <w:sz w:val="18"/>
                        <w:szCs w:val="18"/>
                      </w:rPr>
                    </w:pPr>
                    <w:r>
                      <w:rPr>
                        <w:rFonts w:hint="eastAsia"/>
                        <w:sz w:val="18"/>
                        <w:szCs w:val="18"/>
                      </w:rPr>
                      <w:t>W4</w:t>
                    </w:r>
                  </w:p>
                </w:txbxContent>
              </v:textbox>
            </v:shape>
            <v:shape id="Quad Arrow 1987" o:spid="_x0000_s1909" type="#_x0000_t202" style="position:absolute;left:8190;top:6342;width:360;height:312" filled="f" stroked="f">
              <v:textbox inset="1.42pt,.85pt,1.42pt,.85pt">
                <w:txbxContent>
                  <w:p w:rsidR="00EE1CF7" w:rsidRDefault="00EE1CF7">
                    <w:pPr>
                      <w:rPr>
                        <w:sz w:val="18"/>
                        <w:szCs w:val="18"/>
                      </w:rPr>
                    </w:pPr>
                    <w:r>
                      <w:rPr>
                        <w:rFonts w:hint="eastAsia"/>
                        <w:sz w:val="18"/>
                        <w:szCs w:val="18"/>
                      </w:rPr>
                      <w:t>G2</w:t>
                    </w:r>
                  </w:p>
                </w:txbxContent>
              </v:textbox>
            </v:shape>
            <v:shape id="Straight Connector 1988" o:spid="_x0000_s1910" type="#_x0000_t32" style="position:absolute;left:14235;top:4458;width:345;height:0"/>
            <v:shape id="Straight Connector 1989" o:spid="_x0000_s1911" type="#_x0000_t32" style="position:absolute;left:14580;top:4458;width:0;height:4258"/>
            <v:shape id="Straight Connector 1990" o:spid="_x0000_s1912" type="#_x0000_t32" style="position:absolute;left:7695;top:8716;width:6885;height:14;flip:x y">
              <v:stroke endarrow="block"/>
            </v:shape>
            <v:shape id="Straight Connector 1991" o:spid="_x0000_s1913" type="#_x0000_t32" style="position:absolute;left:11820;top:5757;width:2760;height:0">
              <v:stroke endarrow="block"/>
            </v:shape>
            <v:shape id="Straight Connector 1992" o:spid="_x0000_s1914" type="#_x0000_t32" style="position:absolute;left:9315;top:8106;width:4185;height:0"/>
            <v:shape id="Straight Connector 1993" o:spid="_x0000_s1915" type="#_x0000_t32" style="position:absolute;left:13470;top:6231;width:45;height:1863;flip:x y">
              <v:stroke endarrow="block"/>
            </v:shape>
            <v:shape id="Quad Arrow 1994" o:spid="_x0000_s1916" type="#_x0000_t202" style="position:absolute;left:11415;top:7951;width:1050;height:312" filled="f" stroked="f">
              <v:textbox inset="1.42pt,.85pt,1.42pt,.85pt">
                <w:txbxContent>
                  <w:p w:rsidR="00EE1CF7" w:rsidRDefault="00EE1CF7">
                    <w:pPr>
                      <w:rPr>
                        <w:sz w:val="18"/>
                        <w:szCs w:val="18"/>
                      </w:rPr>
                    </w:pPr>
                    <w:r>
                      <w:rPr>
                        <w:rFonts w:hint="eastAsia"/>
                        <w:sz w:val="18"/>
                        <w:szCs w:val="18"/>
                      </w:rPr>
                      <w:t>循环贫胺液</w:t>
                    </w:r>
                  </w:p>
                </w:txbxContent>
              </v:textbox>
            </v:shape>
            <v:shape id="Straight Connector 1995" o:spid="_x0000_s1917" type="#_x0000_t32" style="position:absolute;left:3480;top:9015;width:10380;height:0"/>
            <v:shape id="Straight Connector 1996" o:spid="_x0000_s1918" type="#_x0000_t32" style="position:absolute;left:13860;top:6225;width:0;height:2217;flip:y"/>
            <v:shape id="Quad Arrow 1997" o:spid="_x0000_s1919" type="#_x0000_t202" style="position:absolute;left:11880;top:8775;width:900;height:312" filled="f" stroked="f">
              <v:textbox inset="1.42pt,.85pt,1.42pt,.85pt">
                <w:txbxContent>
                  <w:p w:rsidR="00EE1CF7" w:rsidRDefault="00EE1CF7">
                    <w:pPr>
                      <w:rPr>
                        <w:sz w:val="18"/>
                        <w:szCs w:val="18"/>
                      </w:rPr>
                    </w:pPr>
                    <w:r>
                      <w:rPr>
                        <w:rFonts w:hint="eastAsia"/>
                        <w:sz w:val="18"/>
                        <w:szCs w:val="18"/>
                      </w:rPr>
                      <w:t>塔底富液</w:t>
                    </w:r>
                  </w:p>
                </w:txbxContent>
              </v:textbox>
            </v:shape>
            <v:shape id="Straight Connector 1998" o:spid="_x0000_s1920" type="#_x0000_t32" style="position:absolute;left:7620;top:6645;width:930;height:0">
              <v:stroke endarrow="block"/>
            </v:shape>
            <v:shape id="Straight Connector 1999" o:spid="_x0000_s1921" type="#_x0000_t32" style="position:absolute;left:3105;top:7483;width:0;height:1646"/>
            <v:shape id="Straight Connector 2000" o:spid="_x0000_s1922" type="#_x0000_t32" style="position:absolute;left:3105;top:9129;width:11730;height:0"/>
            <v:shape id="Straight Connector 2001" o:spid="_x0000_s1923" type="#_x0000_t32" style="position:absolute;left:14835;top:4086;width:0;height:5043;flip:y"/>
            <v:shape id="Straight Connector 2002" o:spid="_x0000_s1924" type="#_x0000_t32" style="position:absolute;left:13320;top:4086;width:1515;height:0;flip:x"/>
            <v:shape id="未知 2003" o:spid="_x0000_s1925" style="position:absolute;left:10605;top:4086;width:3167;height:169" coordsize="3664,169" path="m3212,v226,62,452,125,,147c2760,169,994,137,497,135,,133,113,134,227,135e" filled="f"/>
            <v:shape id="Straight Connector 2004" o:spid="_x0000_s1926" type="#_x0000_t32" style="position:absolute;left:10710;top:3987;width:1;height:234;flip:x y"/>
            <v:shape id="Quad Arrow 2005" o:spid="_x0000_s1927" type="#_x0000_t202" style="position:absolute;left:14070;top:8973;width:690;height:312" filled="f" stroked="f">
              <v:textbox inset="1.42pt,.85pt,1.42pt,.85pt">
                <w:txbxContent>
                  <w:p w:rsidR="00EE1CF7" w:rsidRDefault="00EE1CF7">
                    <w:pPr>
                      <w:rPr>
                        <w:sz w:val="18"/>
                        <w:szCs w:val="18"/>
                      </w:rPr>
                    </w:pPr>
                    <w:r>
                      <w:rPr>
                        <w:rFonts w:hint="eastAsia"/>
                        <w:sz w:val="18"/>
                        <w:szCs w:val="18"/>
                      </w:rPr>
                      <w:t>低分气</w:t>
                    </w:r>
                  </w:p>
                </w:txbxContent>
              </v:textbox>
            </v:shape>
          </v:group>
        </w:pict>
      </w:r>
    </w:p>
    <w:p w:rsidR="00525419" w:rsidRDefault="007D0E8A">
      <w:pPr>
        <w:rPr>
          <w:rFonts w:ascii="Times New Roman" w:hAnsi="Times New Roman"/>
        </w:rPr>
      </w:pPr>
      <w:r>
        <w:pict>
          <v:line id="_x0000_s1928" style="position:absolute;left:0;text-align:left;z-index:251688448;mso-width-relative:page;mso-height-relative:page" from="305.8pt,15.65pt" to="445.8pt,15.7pt" filled="t">
            <v:fill angle="90" type="gradient">
              <o:fill v:ext="view" type="gradientUnscaled"/>
            </v:fill>
            <v:stroke endarrow="block"/>
          </v:line>
        </w:pict>
      </w: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EE1CF7">
      <w:pPr>
        <w:spacing w:line="360" w:lineRule="auto"/>
        <w:ind w:firstLineChars="200" w:firstLine="482"/>
        <w:jc w:val="center"/>
        <w:rPr>
          <w:rFonts w:ascii="Times New Roman" w:hAnsi="Times New Roman"/>
          <w:b/>
          <w:sz w:val="24"/>
          <w:szCs w:val="24"/>
        </w:rPr>
      </w:pPr>
      <w:r>
        <w:rPr>
          <w:rFonts w:ascii="Times New Roman" w:hAnsi="Times New Roman"/>
          <w:b/>
          <w:sz w:val="24"/>
          <w:szCs w:val="24"/>
        </w:rPr>
        <w:t>图</w:t>
      </w:r>
      <w:r>
        <w:rPr>
          <w:rFonts w:ascii="Times New Roman" w:hAnsi="Times New Roman"/>
          <w:b/>
          <w:sz w:val="24"/>
          <w:szCs w:val="24"/>
        </w:rPr>
        <w:t xml:space="preserve">3.5-3   </w:t>
      </w:r>
      <w:r>
        <w:rPr>
          <w:rFonts w:ascii="Times New Roman" w:hAnsi="Times New Roman"/>
          <w:b/>
          <w:sz w:val="24"/>
        </w:rPr>
        <w:t>煤焦油加氢装置</w:t>
      </w:r>
      <w:r>
        <w:rPr>
          <w:rFonts w:ascii="Times New Roman" w:hAnsi="Times New Roman"/>
          <w:b/>
          <w:sz w:val="24"/>
          <w:szCs w:val="24"/>
        </w:rPr>
        <w:t>生产工艺流程及主要产污环节图</w:t>
      </w:r>
    </w:p>
    <w:p w:rsidR="00525419" w:rsidRDefault="00525419">
      <w:pPr>
        <w:rPr>
          <w:rFonts w:ascii="Times New Roman" w:hAnsi="Times New Roman"/>
        </w:rPr>
        <w:sectPr w:rsidR="00525419">
          <w:pgSz w:w="16838" w:h="11906" w:orient="landscape"/>
          <w:pgMar w:top="1803" w:right="1440" w:bottom="1803" w:left="1440" w:header="851" w:footer="992" w:gutter="0"/>
          <w:cols w:space="0"/>
          <w:docGrid w:type="lines" w:linePitch="319"/>
        </w:sectPr>
      </w:pPr>
    </w:p>
    <w:p w:rsidR="00525419" w:rsidRDefault="00EE1CF7">
      <w:pPr>
        <w:pStyle w:val="afffe"/>
        <w:adjustRightInd w:val="0"/>
        <w:spacing w:after="0" w:line="360" w:lineRule="auto"/>
        <w:ind w:firstLine="241"/>
        <w:rPr>
          <w:b/>
          <w:bCs/>
          <w:sz w:val="24"/>
        </w:rPr>
      </w:pPr>
      <w:r>
        <w:rPr>
          <w:b/>
          <w:bCs/>
          <w:sz w:val="24"/>
        </w:rPr>
        <w:lastRenderedPageBreak/>
        <w:t>3.5.2.3</w:t>
      </w:r>
      <w:r>
        <w:rPr>
          <w:b/>
          <w:bCs/>
          <w:sz w:val="24"/>
        </w:rPr>
        <w:t>硫磺回收装置</w:t>
      </w:r>
    </w:p>
    <w:p w:rsidR="00525419" w:rsidRDefault="00EE1CF7">
      <w:pPr>
        <w:pStyle w:val="afffe"/>
        <w:adjustRightInd w:val="0"/>
        <w:spacing w:after="0" w:line="360" w:lineRule="auto"/>
        <w:ind w:firstLineChars="200" w:firstLine="480"/>
        <w:rPr>
          <w:sz w:val="24"/>
        </w:rPr>
      </w:pPr>
      <w:r>
        <w:rPr>
          <w:sz w:val="24"/>
        </w:rPr>
        <w:t>硫磺回收装置包括</w:t>
      </w:r>
      <w:r>
        <w:rPr>
          <w:sz w:val="24"/>
        </w:rPr>
        <w:t>55t/h</w:t>
      </w:r>
      <w:r>
        <w:rPr>
          <w:sz w:val="24"/>
        </w:rPr>
        <w:t>酸性水汽提、</w:t>
      </w:r>
      <w:r>
        <w:rPr>
          <w:sz w:val="24"/>
        </w:rPr>
        <w:t>40t/h</w:t>
      </w:r>
      <w:r>
        <w:rPr>
          <w:sz w:val="24"/>
        </w:rPr>
        <w:t>溶剂再生和</w:t>
      </w:r>
      <w:r>
        <w:rPr>
          <w:sz w:val="24"/>
        </w:rPr>
        <w:t>1.5</w:t>
      </w:r>
      <w:r>
        <w:rPr>
          <w:sz w:val="24"/>
        </w:rPr>
        <w:t>万吨</w:t>
      </w:r>
      <w:r>
        <w:rPr>
          <w:sz w:val="24"/>
        </w:rPr>
        <w:t>/</w:t>
      </w:r>
      <w:r>
        <w:rPr>
          <w:sz w:val="24"/>
        </w:rPr>
        <w:t>年硫磺回收单元。</w:t>
      </w:r>
    </w:p>
    <w:p w:rsidR="00525419" w:rsidRDefault="00EE1CF7">
      <w:pPr>
        <w:pStyle w:val="afffe"/>
        <w:adjustRightInd w:val="0"/>
        <w:spacing w:after="0" w:line="360" w:lineRule="auto"/>
        <w:ind w:firstLineChars="200" w:firstLine="482"/>
        <w:rPr>
          <w:b/>
          <w:bCs/>
          <w:sz w:val="24"/>
        </w:rPr>
      </w:pPr>
      <w:r>
        <w:rPr>
          <w:b/>
          <w:bCs/>
          <w:sz w:val="24"/>
        </w:rPr>
        <w:t>（</w:t>
      </w:r>
      <w:r>
        <w:rPr>
          <w:b/>
          <w:bCs/>
          <w:sz w:val="24"/>
        </w:rPr>
        <w:t>1</w:t>
      </w:r>
      <w:r>
        <w:rPr>
          <w:b/>
          <w:bCs/>
          <w:sz w:val="24"/>
        </w:rPr>
        <w:t>）酸性水汽提</w:t>
      </w:r>
    </w:p>
    <w:p w:rsidR="00525419" w:rsidRDefault="00EE1CF7">
      <w:pPr>
        <w:pStyle w:val="afffe"/>
        <w:adjustRightInd w:val="0"/>
        <w:spacing w:after="0" w:line="360" w:lineRule="auto"/>
        <w:ind w:firstLineChars="200" w:firstLine="480"/>
        <w:rPr>
          <w:sz w:val="24"/>
        </w:rPr>
      </w:pPr>
      <w:r>
        <w:rPr>
          <w:sz w:val="24"/>
        </w:rPr>
        <w:t>①</w:t>
      </w:r>
      <w:r>
        <w:rPr>
          <w:sz w:val="24"/>
        </w:rPr>
        <w:t>生产技术及反应原理</w:t>
      </w:r>
    </w:p>
    <w:p w:rsidR="00525419" w:rsidRDefault="00EE1CF7">
      <w:pPr>
        <w:snapToGrid w:val="0"/>
        <w:spacing w:line="360" w:lineRule="auto"/>
        <w:ind w:firstLineChars="200" w:firstLine="480"/>
        <w:rPr>
          <w:rFonts w:ascii="Times New Roman" w:hAnsi="Times New Roman"/>
          <w:sz w:val="24"/>
          <w:szCs w:val="24"/>
        </w:rPr>
      </w:pPr>
      <w:r>
        <w:rPr>
          <w:rFonts w:ascii="Times New Roman" w:hAnsi="Times New Roman"/>
          <w:sz w:val="24"/>
          <w:szCs w:val="24"/>
        </w:rPr>
        <w:t>酸性水汽提工艺主要有单塔加压侧线抽出汽提、单塔低压全吹出汽提、双塔加压汽提及双塔高低压汽提四种工艺流程。下面将国内普遍应用的单塔加压侧线抽出汽提、单塔低压全吹出汽提及双塔加压汽提三种工艺对比见表</w:t>
      </w:r>
      <w:r>
        <w:rPr>
          <w:rFonts w:ascii="Times New Roman" w:hAnsi="Times New Roman"/>
          <w:sz w:val="24"/>
          <w:szCs w:val="24"/>
        </w:rPr>
        <w:t>3.5-9</w:t>
      </w:r>
      <w:r>
        <w:rPr>
          <w:rFonts w:ascii="Times New Roman" w:hAnsi="Times New Roman"/>
          <w:sz w:val="24"/>
          <w:szCs w:val="24"/>
        </w:rPr>
        <w:t>。</w:t>
      </w:r>
    </w:p>
    <w:p w:rsidR="00525419" w:rsidRDefault="00EE1CF7">
      <w:pPr>
        <w:widowControl/>
        <w:spacing w:line="240" w:lineRule="atLeast"/>
        <w:ind w:firstLine="539"/>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3.5-9    </w:t>
      </w:r>
      <w:r>
        <w:rPr>
          <w:rFonts w:ascii="Times New Roman" w:eastAsia="黑体" w:hAnsi="Times New Roman"/>
          <w:szCs w:val="21"/>
        </w:rPr>
        <w:t>三种流程比较表</w:t>
      </w:r>
    </w:p>
    <w:tbl>
      <w:tblPr>
        <w:tblW w:w="8514"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855"/>
        <w:gridCol w:w="2635"/>
        <w:gridCol w:w="1664"/>
        <w:gridCol w:w="2360"/>
      </w:tblGrid>
      <w:tr w:rsidR="00525419">
        <w:trPr>
          <w:trHeight w:val="392"/>
          <w:jc w:val="center"/>
        </w:trPr>
        <w:tc>
          <w:tcPr>
            <w:tcW w:w="1855" w:type="dxa"/>
            <w:tcBorders>
              <w:tl2br w:val="nil"/>
              <w:tr2bl w:val="nil"/>
            </w:tcBorders>
            <w:vAlign w:val="center"/>
          </w:tcPr>
          <w:p w:rsidR="00525419" w:rsidRDefault="00EE1CF7">
            <w:pPr>
              <w:widowControl/>
              <w:spacing w:line="240" w:lineRule="atLeast"/>
              <w:jc w:val="center"/>
              <w:rPr>
                <w:rFonts w:ascii="Times New Roman" w:hAnsi="Times New Roman"/>
                <w:spacing w:val="10"/>
                <w:szCs w:val="21"/>
              </w:rPr>
            </w:pPr>
            <w:r>
              <w:rPr>
                <w:rFonts w:ascii="Times New Roman" w:hAnsi="Times New Roman"/>
                <w:spacing w:val="10"/>
                <w:szCs w:val="21"/>
              </w:rPr>
              <w:t>方案项目</w:t>
            </w:r>
          </w:p>
        </w:tc>
        <w:tc>
          <w:tcPr>
            <w:tcW w:w="2635" w:type="dxa"/>
            <w:tcBorders>
              <w:tl2br w:val="nil"/>
              <w:tr2bl w:val="nil"/>
            </w:tcBorders>
            <w:vAlign w:val="center"/>
          </w:tcPr>
          <w:p w:rsidR="00525419" w:rsidRDefault="00EE1CF7">
            <w:pPr>
              <w:widowControl/>
              <w:spacing w:line="240" w:lineRule="atLeast"/>
              <w:jc w:val="center"/>
              <w:rPr>
                <w:rFonts w:ascii="Times New Roman" w:hAnsi="Times New Roman"/>
                <w:spacing w:val="10"/>
                <w:szCs w:val="21"/>
              </w:rPr>
            </w:pPr>
            <w:r>
              <w:rPr>
                <w:rFonts w:ascii="Times New Roman" w:hAnsi="Times New Roman"/>
                <w:spacing w:val="10"/>
                <w:szCs w:val="21"/>
              </w:rPr>
              <w:t>单塔加压侧线抽出汽提</w:t>
            </w:r>
          </w:p>
        </w:tc>
        <w:tc>
          <w:tcPr>
            <w:tcW w:w="1664" w:type="dxa"/>
            <w:tcBorders>
              <w:tl2br w:val="nil"/>
              <w:tr2bl w:val="nil"/>
            </w:tcBorders>
            <w:vAlign w:val="center"/>
          </w:tcPr>
          <w:p w:rsidR="00525419" w:rsidRDefault="00EE1CF7">
            <w:pPr>
              <w:widowControl/>
              <w:autoSpaceDN w:val="0"/>
              <w:snapToGrid w:val="0"/>
              <w:spacing w:line="240" w:lineRule="atLeast"/>
              <w:jc w:val="center"/>
              <w:rPr>
                <w:rFonts w:ascii="Times New Roman" w:hAnsi="Times New Roman"/>
                <w:szCs w:val="21"/>
              </w:rPr>
            </w:pPr>
            <w:r>
              <w:rPr>
                <w:rFonts w:ascii="Times New Roman" w:hAnsi="Times New Roman"/>
                <w:szCs w:val="21"/>
              </w:rPr>
              <w:t>双塔加压汽提</w:t>
            </w:r>
          </w:p>
        </w:tc>
        <w:tc>
          <w:tcPr>
            <w:tcW w:w="2360"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单塔低压全吹出汽提</w:t>
            </w:r>
          </w:p>
        </w:tc>
      </w:tr>
      <w:tr w:rsidR="00525419">
        <w:trPr>
          <w:trHeight w:val="263"/>
          <w:jc w:val="center"/>
        </w:trPr>
        <w:tc>
          <w:tcPr>
            <w:tcW w:w="1855" w:type="dxa"/>
            <w:tcBorders>
              <w:tl2br w:val="nil"/>
              <w:tr2bl w:val="nil"/>
            </w:tcBorders>
            <w:vAlign w:val="center"/>
          </w:tcPr>
          <w:p w:rsidR="00525419" w:rsidRDefault="00EE1CF7">
            <w:pPr>
              <w:widowControl/>
              <w:spacing w:line="240" w:lineRule="atLeast"/>
              <w:jc w:val="center"/>
              <w:rPr>
                <w:rFonts w:ascii="Times New Roman" w:hAnsi="Times New Roman"/>
                <w:spacing w:val="10"/>
                <w:szCs w:val="21"/>
              </w:rPr>
            </w:pPr>
            <w:r>
              <w:rPr>
                <w:rFonts w:ascii="Times New Roman" w:hAnsi="Times New Roman"/>
                <w:spacing w:val="10"/>
                <w:szCs w:val="21"/>
              </w:rPr>
              <w:t>1</w:t>
            </w:r>
            <w:r>
              <w:rPr>
                <w:rFonts w:ascii="Times New Roman" w:hAnsi="Times New Roman"/>
                <w:spacing w:val="10"/>
                <w:szCs w:val="21"/>
              </w:rPr>
              <w:t>、技术可靠程度</w:t>
            </w:r>
          </w:p>
        </w:tc>
        <w:tc>
          <w:tcPr>
            <w:tcW w:w="2635" w:type="dxa"/>
            <w:tcBorders>
              <w:tl2br w:val="nil"/>
              <w:tr2bl w:val="nil"/>
            </w:tcBorders>
            <w:vAlign w:val="center"/>
          </w:tcPr>
          <w:p w:rsidR="00525419" w:rsidRDefault="00EE1CF7">
            <w:pPr>
              <w:widowControl/>
              <w:snapToGrid w:val="0"/>
              <w:spacing w:line="240" w:lineRule="atLeast"/>
              <w:jc w:val="center"/>
              <w:rPr>
                <w:rFonts w:ascii="Times New Roman" w:hAnsi="Times New Roman"/>
                <w:spacing w:val="10"/>
                <w:szCs w:val="21"/>
              </w:rPr>
            </w:pPr>
            <w:r>
              <w:rPr>
                <w:rFonts w:ascii="Times New Roman" w:hAnsi="Times New Roman"/>
                <w:spacing w:val="10"/>
                <w:szCs w:val="21"/>
              </w:rPr>
              <w:t>可靠</w:t>
            </w:r>
          </w:p>
        </w:tc>
        <w:tc>
          <w:tcPr>
            <w:tcW w:w="1664" w:type="dxa"/>
            <w:tcBorders>
              <w:tl2br w:val="nil"/>
              <w:tr2bl w:val="nil"/>
            </w:tcBorders>
            <w:vAlign w:val="center"/>
          </w:tcPr>
          <w:p w:rsidR="00525419" w:rsidRDefault="00EE1CF7">
            <w:pPr>
              <w:widowControl/>
              <w:spacing w:line="240" w:lineRule="atLeast"/>
              <w:jc w:val="center"/>
              <w:rPr>
                <w:rFonts w:ascii="Times New Roman" w:hAnsi="Times New Roman"/>
                <w:spacing w:val="10"/>
                <w:szCs w:val="21"/>
              </w:rPr>
            </w:pPr>
            <w:r>
              <w:rPr>
                <w:rFonts w:ascii="Times New Roman" w:hAnsi="Times New Roman"/>
                <w:spacing w:val="10"/>
                <w:szCs w:val="21"/>
              </w:rPr>
              <w:t>可靠</w:t>
            </w:r>
          </w:p>
        </w:tc>
        <w:tc>
          <w:tcPr>
            <w:tcW w:w="2360" w:type="dxa"/>
            <w:tcBorders>
              <w:tl2br w:val="nil"/>
              <w:tr2bl w:val="nil"/>
            </w:tcBorders>
            <w:vAlign w:val="center"/>
          </w:tcPr>
          <w:p w:rsidR="00525419" w:rsidRDefault="00EE1CF7">
            <w:pPr>
              <w:widowControl/>
              <w:spacing w:line="240" w:lineRule="atLeast"/>
              <w:jc w:val="center"/>
              <w:rPr>
                <w:rFonts w:ascii="Times New Roman" w:hAnsi="Times New Roman"/>
                <w:spacing w:val="10"/>
                <w:szCs w:val="21"/>
              </w:rPr>
            </w:pPr>
            <w:r>
              <w:rPr>
                <w:rFonts w:ascii="Times New Roman" w:hAnsi="Times New Roman"/>
                <w:spacing w:val="10"/>
                <w:szCs w:val="21"/>
              </w:rPr>
              <w:t>可靠</w:t>
            </w:r>
          </w:p>
        </w:tc>
      </w:tr>
      <w:tr w:rsidR="00525419">
        <w:trPr>
          <w:trHeight w:val="272"/>
          <w:jc w:val="center"/>
        </w:trPr>
        <w:tc>
          <w:tcPr>
            <w:tcW w:w="1855" w:type="dxa"/>
            <w:tcBorders>
              <w:tl2br w:val="nil"/>
              <w:tr2bl w:val="nil"/>
            </w:tcBorders>
            <w:vAlign w:val="center"/>
          </w:tcPr>
          <w:p w:rsidR="00525419" w:rsidRDefault="00EE1CF7">
            <w:pPr>
              <w:widowControl/>
              <w:spacing w:line="240" w:lineRule="atLeast"/>
              <w:jc w:val="center"/>
              <w:rPr>
                <w:rFonts w:ascii="Times New Roman" w:hAnsi="Times New Roman"/>
                <w:spacing w:val="10"/>
                <w:szCs w:val="21"/>
              </w:rPr>
            </w:pPr>
            <w:r>
              <w:rPr>
                <w:rFonts w:ascii="Times New Roman" w:hAnsi="Times New Roman"/>
                <w:spacing w:val="10"/>
                <w:szCs w:val="21"/>
              </w:rPr>
              <w:t>2</w:t>
            </w:r>
            <w:r>
              <w:rPr>
                <w:rFonts w:ascii="Times New Roman" w:hAnsi="Times New Roman"/>
                <w:spacing w:val="10"/>
                <w:szCs w:val="21"/>
              </w:rPr>
              <w:t>、工艺流程</w:t>
            </w:r>
          </w:p>
        </w:tc>
        <w:tc>
          <w:tcPr>
            <w:tcW w:w="2635" w:type="dxa"/>
            <w:tcBorders>
              <w:tl2br w:val="nil"/>
              <w:tr2bl w:val="nil"/>
            </w:tcBorders>
            <w:vAlign w:val="center"/>
          </w:tcPr>
          <w:p w:rsidR="00525419" w:rsidRDefault="00EE1CF7">
            <w:pPr>
              <w:widowControl/>
              <w:spacing w:line="240" w:lineRule="atLeast"/>
              <w:jc w:val="center"/>
              <w:rPr>
                <w:rFonts w:ascii="Times New Roman" w:hAnsi="Times New Roman"/>
                <w:spacing w:val="10"/>
                <w:szCs w:val="21"/>
              </w:rPr>
            </w:pPr>
            <w:r>
              <w:rPr>
                <w:rFonts w:ascii="Times New Roman" w:hAnsi="Times New Roman"/>
                <w:spacing w:val="10"/>
                <w:szCs w:val="21"/>
              </w:rPr>
              <w:t>较复杂</w:t>
            </w:r>
          </w:p>
        </w:tc>
        <w:tc>
          <w:tcPr>
            <w:tcW w:w="1664" w:type="dxa"/>
            <w:tcBorders>
              <w:tl2br w:val="nil"/>
              <w:tr2bl w:val="nil"/>
            </w:tcBorders>
            <w:vAlign w:val="center"/>
          </w:tcPr>
          <w:p w:rsidR="00525419" w:rsidRDefault="00EE1CF7">
            <w:pPr>
              <w:widowControl/>
              <w:snapToGrid w:val="0"/>
              <w:spacing w:line="240" w:lineRule="atLeast"/>
              <w:jc w:val="center"/>
              <w:rPr>
                <w:rFonts w:ascii="Times New Roman" w:hAnsi="Times New Roman"/>
                <w:spacing w:val="10"/>
                <w:szCs w:val="21"/>
              </w:rPr>
            </w:pPr>
            <w:r>
              <w:rPr>
                <w:rFonts w:ascii="Times New Roman" w:hAnsi="Times New Roman"/>
                <w:spacing w:val="10"/>
                <w:szCs w:val="21"/>
              </w:rPr>
              <w:t>复杂</w:t>
            </w:r>
          </w:p>
        </w:tc>
        <w:tc>
          <w:tcPr>
            <w:tcW w:w="2360" w:type="dxa"/>
            <w:tcBorders>
              <w:tl2br w:val="nil"/>
              <w:tr2bl w:val="nil"/>
            </w:tcBorders>
            <w:vAlign w:val="center"/>
          </w:tcPr>
          <w:p w:rsidR="00525419" w:rsidRDefault="00EE1CF7">
            <w:pPr>
              <w:widowControl/>
              <w:spacing w:line="240" w:lineRule="atLeast"/>
              <w:jc w:val="center"/>
              <w:rPr>
                <w:rFonts w:ascii="Times New Roman" w:hAnsi="Times New Roman"/>
                <w:spacing w:val="10"/>
                <w:szCs w:val="21"/>
              </w:rPr>
            </w:pPr>
            <w:r>
              <w:rPr>
                <w:rFonts w:ascii="Times New Roman" w:hAnsi="Times New Roman"/>
                <w:spacing w:val="10"/>
                <w:szCs w:val="21"/>
              </w:rPr>
              <w:t>简单</w:t>
            </w:r>
          </w:p>
        </w:tc>
      </w:tr>
      <w:tr w:rsidR="00525419">
        <w:trPr>
          <w:trHeight w:val="263"/>
          <w:jc w:val="center"/>
        </w:trPr>
        <w:tc>
          <w:tcPr>
            <w:tcW w:w="1855" w:type="dxa"/>
            <w:tcBorders>
              <w:tl2br w:val="nil"/>
              <w:tr2bl w:val="nil"/>
            </w:tcBorders>
            <w:vAlign w:val="center"/>
          </w:tcPr>
          <w:p w:rsidR="00525419" w:rsidRDefault="00EE1CF7">
            <w:pPr>
              <w:widowControl/>
              <w:spacing w:line="240" w:lineRule="atLeast"/>
              <w:jc w:val="center"/>
              <w:rPr>
                <w:rFonts w:ascii="Times New Roman" w:hAnsi="Times New Roman"/>
                <w:spacing w:val="10"/>
                <w:szCs w:val="21"/>
              </w:rPr>
            </w:pPr>
            <w:r>
              <w:rPr>
                <w:rFonts w:ascii="Times New Roman" w:hAnsi="Times New Roman"/>
                <w:spacing w:val="10"/>
                <w:szCs w:val="21"/>
              </w:rPr>
              <w:t>3</w:t>
            </w:r>
            <w:r>
              <w:rPr>
                <w:rFonts w:ascii="Times New Roman" w:hAnsi="Times New Roman"/>
                <w:spacing w:val="10"/>
                <w:szCs w:val="21"/>
              </w:rPr>
              <w:t>、回收液氨</w:t>
            </w:r>
          </w:p>
        </w:tc>
        <w:tc>
          <w:tcPr>
            <w:tcW w:w="2635" w:type="dxa"/>
            <w:tcBorders>
              <w:tl2br w:val="nil"/>
              <w:tr2bl w:val="nil"/>
            </w:tcBorders>
            <w:vAlign w:val="center"/>
          </w:tcPr>
          <w:p w:rsidR="00525419" w:rsidRDefault="00EE1CF7">
            <w:pPr>
              <w:widowControl/>
              <w:spacing w:line="240" w:lineRule="atLeast"/>
              <w:jc w:val="center"/>
              <w:rPr>
                <w:rFonts w:ascii="Times New Roman" w:hAnsi="Times New Roman"/>
                <w:spacing w:val="10"/>
                <w:szCs w:val="21"/>
              </w:rPr>
            </w:pPr>
            <w:r>
              <w:rPr>
                <w:rFonts w:ascii="Times New Roman" w:hAnsi="Times New Roman"/>
                <w:spacing w:val="10"/>
                <w:szCs w:val="21"/>
              </w:rPr>
              <w:t>回收</w:t>
            </w:r>
          </w:p>
        </w:tc>
        <w:tc>
          <w:tcPr>
            <w:tcW w:w="1664" w:type="dxa"/>
            <w:tcBorders>
              <w:tl2br w:val="nil"/>
              <w:tr2bl w:val="nil"/>
            </w:tcBorders>
            <w:vAlign w:val="center"/>
          </w:tcPr>
          <w:p w:rsidR="00525419" w:rsidRDefault="00EE1CF7">
            <w:pPr>
              <w:widowControl/>
              <w:spacing w:line="240" w:lineRule="atLeast"/>
              <w:jc w:val="center"/>
              <w:rPr>
                <w:rFonts w:ascii="Times New Roman" w:hAnsi="Times New Roman"/>
                <w:spacing w:val="10"/>
                <w:szCs w:val="21"/>
              </w:rPr>
            </w:pPr>
            <w:r>
              <w:rPr>
                <w:rFonts w:ascii="Times New Roman" w:hAnsi="Times New Roman"/>
                <w:spacing w:val="10"/>
                <w:szCs w:val="21"/>
              </w:rPr>
              <w:t>回收</w:t>
            </w:r>
          </w:p>
        </w:tc>
        <w:tc>
          <w:tcPr>
            <w:tcW w:w="2360" w:type="dxa"/>
            <w:tcBorders>
              <w:tl2br w:val="nil"/>
              <w:tr2bl w:val="nil"/>
            </w:tcBorders>
            <w:vAlign w:val="center"/>
          </w:tcPr>
          <w:p w:rsidR="00525419" w:rsidRDefault="00EE1CF7">
            <w:pPr>
              <w:widowControl/>
              <w:spacing w:line="240" w:lineRule="atLeast"/>
              <w:jc w:val="center"/>
              <w:rPr>
                <w:rFonts w:ascii="Times New Roman" w:hAnsi="Times New Roman"/>
                <w:spacing w:val="10"/>
                <w:szCs w:val="21"/>
              </w:rPr>
            </w:pPr>
            <w:r>
              <w:rPr>
                <w:rFonts w:ascii="Times New Roman" w:hAnsi="Times New Roman"/>
                <w:spacing w:val="10"/>
                <w:szCs w:val="21"/>
              </w:rPr>
              <w:t>不回收</w:t>
            </w:r>
          </w:p>
        </w:tc>
      </w:tr>
      <w:tr w:rsidR="00525419">
        <w:trPr>
          <w:trHeight w:val="263"/>
          <w:jc w:val="center"/>
        </w:trPr>
        <w:tc>
          <w:tcPr>
            <w:tcW w:w="1855" w:type="dxa"/>
            <w:tcBorders>
              <w:tl2br w:val="nil"/>
              <w:tr2bl w:val="nil"/>
            </w:tcBorders>
            <w:vAlign w:val="center"/>
          </w:tcPr>
          <w:p w:rsidR="00525419" w:rsidRDefault="00EE1CF7">
            <w:pPr>
              <w:widowControl/>
              <w:spacing w:line="240" w:lineRule="atLeast"/>
              <w:jc w:val="center"/>
              <w:rPr>
                <w:rFonts w:ascii="Times New Roman" w:hAnsi="Times New Roman"/>
                <w:spacing w:val="10"/>
                <w:szCs w:val="21"/>
              </w:rPr>
            </w:pPr>
            <w:r>
              <w:rPr>
                <w:rFonts w:ascii="Times New Roman" w:hAnsi="Times New Roman"/>
                <w:spacing w:val="10"/>
                <w:szCs w:val="21"/>
              </w:rPr>
              <w:t>4</w:t>
            </w:r>
            <w:r>
              <w:rPr>
                <w:rFonts w:ascii="Times New Roman" w:hAnsi="Times New Roman"/>
                <w:spacing w:val="10"/>
                <w:szCs w:val="21"/>
              </w:rPr>
              <w:t>、投资</w:t>
            </w:r>
          </w:p>
        </w:tc>
        <w:tc>
          <w:tcPr>
            <w:tcW w:w="2635" w:type="dxa"/>
            <w:tcBorders>
              <w:tl2br w:val="nil"/>
              <w:tr2bl w:val="nil"/>
            </w:tcBorders>
            <w:vAlign w:val="center"/>
          </w:tcPr>
          <w:p w:rsidR="00525419" w:rsidRDefault="00EE1CF7">
            <w:pPr>
              <w:widowControl/>
              <w:spacing w:line="240" w:lineRule="atLeast"/>
              <w:jc w:val="center"/>
              <w:rPr>
                <w:rFonts w:ascii="Times New Roman" w:hAnsi="Times New Roman"/>
                <w:spacing w:val="10"/>
                <w:szCs w:val="21"/>
              </w:rPr>
            </w:pPr>
            <w:r>
              <w:rPr>
                <w:rFonts w:ascii="Times New Roman" w:hAnsi="Times New Roman"/>
                <w:spacing w:val="10"/>
                <w:szCs w:val="21"/>
              </w:rPr>
              <w:t>较高</w:t>
            </w:r>
          </w:p>
        </w:tc>
        <w:tc>
          <w:tcPr>
            <w:tcW w:w="1664" w:type="dxa"/>
            <w:tcBorders>
              <w:tl2br w:val="nil"/>
              <w:tr2bl w:val="nil"/>
            </w:tcBorders>
            <w:vAlign w:val="center"/>
          </w:tcPr>
          <w:p w:rsidR="00525419" w:rsidRDefault="00EE1CF7">
            <w:pPr>
              <w:widowControl/>
              <w:spacing w:line="240" w:lineRule="atLeast"/>
              <w:jc w:val="center"/>
              <w:rPr>
                <w:rFonts w:ascii="Times New Roman" w:hAnsi="Times New Roman"/>
                <w:spacing w:val="10"/>
                <w:szCs w:val="21"/>
              </w:rPr>
            </w:pPr>
            <w:r>
              <w:rPr>
                <w:rFonts w:ascii="Times New Roman" w:hAnsi="Times New Roman"/>
                <w:spacing w:val="10"/>
                <w:szCs w:val="21"/>
              </w:rPr>
              <w:t>高</w:t>
            </w:r>
          </w:p>
        </w:tc>
        <w:tc>
          <w:tcPr>
            <w:tcW w:w="2360" w:type="dxa"/>
            <w:tcBorders>
              <w:tl2br w:val="nil"/>
              <w:tr2bl w:val="nil"/>
            </w:tcBorders>
            <w:vAlign w:val="center"/>
          </w:tcPr>
          <w:p w:rsidR="00525419" w:rsidRDefault="00EE1CF7">
            <w:pPr>
              <w:widowControl/>
              <w:spacing w:line="240" w:lineRule="atLeast"/>
              <w:jc w:val="center"/>
              <w:rPr>
                <w:rFonts w:ascii="Times New Roman" w:hAnsi="Times New Roman"/>
                <w:spacing w:val="10"/>
                <w:szCs w:val="21"/>
              </w:rPr>
            </w:pPr>
            <w:r>
              <w:rPr>
                <w:rFonts w:ascii="Times New Roman" w:hAnsi="Times New Roman"/>
                <w:spacing w:val="10"/>
                <w:szCs w:val="21"/>
              </w:rPr>
              <w:t>低</w:t>
            </w:r>
          </w:p>
        </w:tc>
      </w:tr>
      <w:tr w:rsidR="00525419">
        <w:trPr>
          <w:trHeight w:val="263"/>
          <w:jc w:val="center"/>
        </w:trPr>
        <w:tc>
          <w:tcPr>
            <w:tcW w:w="1855" w:type="dxa"/>
            <w:tcBorders>
              <w:tl2br w:val="nil"/>
              <w:tr2bl w:val="nil"/>
            </w:tcBorders>
            <w:vAlign w:val="center"/>
          </w:tcPr>
          <w:p w:rsidR="00525419" w:rsidRDefault="00EE1CF7">
            <w:pPr>
              <w:widowControl/>
              <w:spacing w:line="240" w:lineRule="atLeast"/>
              <w:jc w:val="center"/>
              <w:rPr>
                <w:rFonts w:ascii="Times New Roman" w:hAnsi="Times New Roman"/>
                <w:spacing w:val="10"/>
                <w:szCs w:val="21"/>
              </w:rPr>
            </w:pPr>
            <w:r>
              <w:rPr>
                <w:rFonts w:ascii="Times New Roman" w:hAnsi="Times New Roman"/>
                <w:spacing w:val="10"/>
                <w:szCs w:val="21"/>
              </w:rPr>
              <w:t>5</w:t>
            </w:r>
            <w:r>
              <w:rPr>
                <w:rFonts w:ascii="Times New Roman" w:hAnsi="Times New Roman"/>
                <w:spacing w:val="10"/>
                <w:szCs w:val="21"/>
              </w:rPr>
              <w:t>、占地面积</w:t>
            </w:r>
          </w:p>
        </w:tc>
        <w:tc>
          <w:tcPr>
            <w:tcW w:w="2635" w:type="dxa"/>
            <w:tcBorders>
              <w:tl2br w:val="nil"/>
              <w:tr2bl w:val="nil"/>
            </w:tcBorders>
            <w:vAlign w:val="center"/>
          </w:tcPr>
          <w:p w:rsidR="00525419" w:rsidRDefault="00EE1CF7">
            <w:pPr>
              <w:widowControl/>
              <w:spacing w:line="240" w:lineRule="atLeast"/>
              <w:jc w:val="center"/>
              <w:rPr>
                <w:rFonts w:ascii="Times New Roman" w:hAnsi="Times New Roman"/>
                <w:spacing w:val="10"/>
                <w:szCs w:val="21"/>
              </w:rPr>
            </w:pPr>
            <w:r>
              <w:rPr>
                <w:rFonts w:ascii="Times New Roman" w:hAnsi="Times New Roman"/>
                <w:spacing w:val="10"/>
                <w:szCs w:val="21"/>
              </w:rPr>
              <w:t>较大</w:t>
            </w:r>
          </w:p>
        </w:tc>
        <w:tc>
          <w:tcPr>
            <w:tcW w:w="1664" w:type="dxa"/>
            <w:tcBorders>
              <w:tl2br w:val="nil"/>
              <w:tr2bl w:val="nil"/>
            </w:tcBorders>
            <w:vAlign w:val="center"/>
          </w:tcPr>
          <w:p w:rsidR="00525419" w:rsidRDefault="00EE1CF7">
            <w:pPr>
              <w:widowControl/>
              <w:spacing w:line="240" w:lineRule="atLeast"/>
              <w:jc w:val="center"/>
              <w:rPr>
                <w:rFonts w:ascii="Times New Roman" w:hAnsi="Times New Roman"/>
                <w:spacing w:val="10"/>
                <w:szCs w:val="21"/>
              </w:rPr>
            </w:pPr>
            <w:r>
              <w:rPr>
                <w:rFonts w:ascii="Times New Roman" w:hAnsi="Times New Roman"/>
                <w:spacing w:val="10"/>
                <w:szCs w:val="21"/>
              </w:rPr>
              <w:t>大</w:t>
            </w:r>
          </w:p>
        </w:tc>
        <w:tc>
          <w:tcPr>
            <w:tcW w:w="2360" w:type="dxa"/>
            <w:tcBorders>
              <w:tl2br w:val="nil"/>
              <w:tr2bl w:val="nil"/>
            </w:tcBorders>
            <w:vAlign w:val="center"/>
          </w:tcPr>
          <w:p w:rsidR="00525419" w:rsidRDefault="00EE1CF7">
            <w:pPr>
              <w:widowControl/>
              <w:spacing w:line="240" w:lineRule="atLeast"/>
              <w:jc w:val="center"/>
              <w:rPr>
                <w:rFonts w:ascii="Times New Roman" w:hAnsi="Times New Roman"/>
                <w:spacing w:val="10"/>
                <w:szCs w:val="21"/>
              </w:rPr>
            </w:pPr>
            <w:r>
              <w:rPr>
                <w:rFonts w:ascii="Times New Roman" w:hAnsi="Times New Roman"/>
                <w:spacing w:val="10"/>
                <w:szCs w:val="21"/>
              </w:rPr>
              <w:t>小</w:t>
            </w:r>
          </w:p>
        </w:tc>
      </w:tr>
      <w:tr w:rsidR="00525419">
        <w:trPr>
          <w:trHeight w:val="210"/>
          <w:jc w:val="center"/>
        </w:trPr>
        <w:tc>
          <w:tcPr>
            <w:tcW w:w="1855" w:type="dxa"/>
            <w:tcBorders>
              <w:tl2br w:val="nil"/>
              <w:tr2bl w:val="nil"/>
            </w:tcBorders>
            <w:vAlign w:val="center"/>
          </w:tcPr>
          <w:p w:rsidR="00525419" w:rsidRDefault="00EE1CF7">
            <w:pPr>
              <w:widowControl/>
              <w:spacing w:line="240" w:lineRule="atLeast"/>
              <w:jc w:val="center"/>
              <w:rPr>
                <w:rFonts w:ascii="Times New Roman" w:hAnsi="Times New Roman"/>
                <w:spacing w:val="10"/>
                <w:szCs w:val="21"/>
              </w:rPr>
            </w:pPr>
            <w:r>
              <w:rPr>
                <w:rFonts w:ascii="Times New Roman" w:hAnsi="Times New Roman"/>
                <w:spacing w:val="10"/>
                <w:szCs w:val="21"/>
              </w:rPr>
              <w:t>6</w:t>
            </w:r>
            <w:r>
              <w:rPr>
                <w:rFonts w:ascii="Times New Roman" w:hAnsi="Times New Roman"/>
                <w:spacing w:val="10"/>
                <w:szCs w:val="21"/>
              </w:rPr>
              <w:t>、蒸汽单耗</w:t>
            </w:r>
          </w:p>
        </w:tc>
        <w:tc>
          <w:tcPr>
            <w:tcW w:w="2635" w:type="dxa"/>
            <w:tcBorders>
              <w:tl2br w:val="nil"/>
              <w:tr2bl w:val="nil"/>
            </w:tcBorders>
            <w:vAlign w:val="center"/>
          </w:tcPr>
          <w:p w:rsidR="00525419" w:rsidRDefault="00EE1CF7">
            <w:pPr>
              <w:widowControl/>
              <w:spacing w:line="240" w:lineRule="atLeast"/>
              <w:jc w:val="center"/>
              <w:rPr>
                <w:rFonts w:ascii="Times New Roman" w:hAnsi="Times New Roman"/>
                <w:spacing w:val="10"/>
                <w:szCs w:val="21"/>
              </w:rPr>
            </w:pPr>
            <w:r>
              <w:rPr>
                <w:rFonts w:ascii="Times New Roman" w:hAnsi="Times New Roman"/>
                <w:szCs w:val="21"/>
              </w:rPr>
              <w:t>160-200</w:t>
            </w:r>
            <w:r>
              <w:rPr>
                <w:rFonts w:ascii="Times New Roman" w:hAnsi="Times New Roman"/>
                <w:spacing w:val="10"/>
                <w:szCs w:val="21"/>
              </w:rPr>
              <w:t xml:space="preserve"> kg/t</w:t>
            </w:r>
          </w:p>
        </w:tc>
        <w:tc>
          <w:tcPr>
            <w:tcW w:w="1664" w:type="dxa"/>
            <w:tcBorders>
              <w:tl2br w:val="nil"/>
              <w:tr2bl w:val="nil"/>
            </w:tcBorders>
            <w:vAlign w:val="center"/>
          </w:tcPr>
          <w:p w:rsidR="00525419" w:rsidRDefault="00EE1CF7">
            <w:pPr>
              <w:widowControl/>
              <w:spacing w:line="240" w:lineRule="atLeast"/>
              <w:jc w:val="center"/>
              <w:rPr>
                <w:rFonts w:ascii="Times New Roman" w:hAnsi="Times New Roman"/>
                <w:spacing w:val="10"/>
                <w:szCs w:val="21"/>
              </w:rPr>
            </w:pPr>
            <w:r>
              <w:rPr>
                <w:rFonts w:ascii="Times New Roman" w:hAnsi="Times New Roman"/>
                <w:spacing w:val="10"/>
                <w:szCs w:val="21"/>
              </w:rPr>
              <w:t>250-280 kg/t</w:t>
            </w:r>
          </w:p>
        </w:tc>
        <w:tc>
          <w:tcPr>
            <w:tcW w:w="2360" w:type="dxa"/>
            <w:tcBorders>
              <w:tl2br w:val="nil"/>
              <w:tr2bl w:val="nil"/>
            </w:tcBorders>
            <w:vAlign w:val="center"/>
          </w:tcPr>
          <w:p w:rsidR="00525419" w:rsidRDefault="00EE1CF7">
            <w:pPr>
              <w:widowControl/>
              <w:spacing w:line="240" w:lineRule="atLeast"/>
              <w:jc w:val="center"/>
              <w:rPr>
                <w:rFonts w:ascii="Times New Roman" w:hAnsi="Times New Roman"/>
                <w:spacing w:val="10"/>
                <w:szCs w:val="21"/>
              </w:rPr>
            </w:pPr>
            <w:r>
              <w:rPr>
                <w:rFonts w:ascii="Times New Roman" w:hAnsi="Times New Roman"/>
                <w:szCs w:val="21"/>
              </w:rPr>
              <w:t>150-200</w:t>
            </w:r>
            <w:r>
              <w:rPr>
                <w:rFonts w:ascii="Times New Roman" w:hAnsi="Times New Roman"/>
                <w:spacing w:val="10"/>
                <w:szCs w:val="21"/>
              </w:rPr>
              <w:t xml:space="preserve"> kg/t</w:t>
            </w:r>
          </w:p>
        </w:tc>
      </w:tr>
      <w:tr w:rsidR="00525419">
        <w:trPr>
          <w:trHeight w:val="459"/>
          <w:jc w:val="center"/>
        </w:trPr>
        <w:tc>
          <w:tcPr>
            <w:tcW w:w="1855" w:type="dxa"/>
            <w:tcBorders>
              <w:tl2br w:val="nil"/>
              <w:tr2bl w:val="nil"/>
            </w:tcBorders>
            <w:vAlign w:val="center"/>
          </w:tcPr>
          <w:p w:rsidR="00525419" w:rsidRDefault="00EE1CF7">
            <w:pPr>
              <w:widowControl/>
              <w:spacing w:line="240" w:lineRule="atLeast"/>
              <w:jc w:val="center"/>
              <w:rPr>
                <w:rFonts w:ascii="Times New Roman" w:hAnsi="Times New Roman"/>
                <w:spacing w:val="10"/>
                <w:szCs w:val="21"/>
              </w:rPr>
            </w:pPr>
            <w:r>
              <w:rPr>
                <w:rFonts w:ascii="Times New Roman" w:hAnsi="Times New Roman"/>
                <w:spacing w:val="10"/>
                <w:szCs w:val="21"/>
              </w:rPr>
              <w:t>7</w:t>
            </w:r>
            <w:r>
              <w:rPr>
                <w:rFonts w:ascii="Times New Roman" w:hAnsi="Times New Roman"/>
                <w:spacing w:val="10"/>
                <w:szCs w:val="21"/>
              </w:rPr>
              <w:t>、酸性气质量</w:t>
            </w:r>
          </w:p>
        </w:tc>
        <w:tc>
          <w:tcPr>
            <w:tcW w:w="2635" w:type="dxa"/>
            <w:tcBorders>
              <w:tl2br w:val="nil"/>
              <w:tr2bl w:val="nil"/>
            </w:tcBorders>
            <w:vAlign w:val="center"/>
          </w:tcPr>
          <w:p w:rsidR="00525419" w:rsidRDefault="00EE1CF7">
            <w:pPr>
              <w:widowControl/>
              <w:spacing w:line="240" w:lineRule="atLeast"/>
              <w:jc w:val="center"/>
              <w:rPr>
                <w:rFonts w:ascii="Times New Roman" w:hAnsi="Times New Roman"/>
                <w:spacing w:val="10"/>
                <w:szCs w:val="21"/>
              </w:rPr>
            </w:pPr>
            <w:r>
              <w:rPr>
                <w:rFonts w:ascii="Times New Roman" w:hAnsi="Times New Roman"/>
                <w:spacing w:val="10"/>
                <w:szCs w:val="21"/>
              </w:rPr>
              <w:t>不含氨</w:t>
            </w:r>
          </w:p>
        </w:tc>
        <w:tc>
          <w:tcPr>
            <w:tcW w:w="1664" w:type="dxa"/>
            <w:tcBorders>
              <w:tl2br w:val="nil"/>
              <w:tr2bl w:val="nil"/>
            </w:tcBorders>
            <w:vAlign w:val="center"/>
          </w:tcPr>
          <w:p w:rsidR="00525419" w:rsidRDefault="00EE1CF7">
            <w:pPr>
              <w:widowControl/>
              <w:spacing w:line="240" w:lineRule="atLeast"/>
              <w:jc w:val="center"/>
              <w:rPr>
                <w:rFonts w:ascii="Times New Roman" w:hAnsi="Times New Roman"/>
                <w:spacing w:val="10"/>
                <w:szCs w:val="21"/>
              </w:rPr>
            </w:pPr>
            <w:r>
              <w:rPr>
                <w:rFonts w:ascii="Times New Roman" w:hAnsi="Times New Roman"/>
                <w:spacing w:val="10"/>
                <w:szCs w:val="21"/>
              </w:rPr>
              <w:t>不含氨</w:t>
            </w:r>
          </w:p>
        </w:tc>
        <w:tc>
          <w:tcPr>
            <w:tcW w:w="2360" w:type="dxa"/>
            <w:tcBorders>
              <w:tl2br w:val="nil"/>
              <w:tr2bl w:val="nil"/>
            </w:tcBorders>
            <w:vAlign w:val="center"/>
          </w:tcPr>
          <w:p w:rsidR="00525419" w:rsidRDefault="00EE1CF7">
            <w:pPr>
              <w:widowControl/>
              <w:spacing w:line="240" w:lineRule="atLeast"/>
              <w:jc w:val="center"/>
              <w:rPr>
                <w:rFonts w:ascii="Times New Roman" w:hAnsi="Times New Roman"/>
                <w:spacing w:val="10"/>
                <w:szCs w:val="21"/>
              </w:rPr>
            </w:pPr>
            <w:r>
              <w:rPr>
                <w:rFonts w:ascii="Times New Roman" w:hAnsi="Times New Roman"/>
                <w:spacing w:val="10"/>
                <w:szCs w:val="21"/>
              </w:rPr>
              <w:t>硫化氢和氨的混合物</w:t>
            </w:r>
          </w:p>
        </w:tc>
      </w:tr>
      <w:tr w:rsidR="00525419">
        <w:trPr>
          <w:trHeight w:val="263"/>
          <w:jc w:val="center"/>
        </w:trPr>
        <w:tc>
          <w:tcPr>
            <w:tcW w:w="1855" w:type="dxa"/>
            <w:tcBorders>
              <w:tl2br w:val="nil"/>
              <w:tr2bl w:val="nil"/>
            </w:tcBorders>
            <w:vAlign w:val="center"/>
          </w:tcPr>
          <w:p w:rsidR="00525419" w:rsidRDefault="00EE1CF7">
            <w:pPr>
              <w:widowControl/>
              <w:spacing w:line="240" w:lineRule="atLeast"/>
              <w:jc w:val="center"/>
              <w:rPr>
                <w:rFonts w:ascii="Times New Roman" w:hAnsi="Times New Roman"/>
                <w:spacing w:val="10"/>
                <w:szCs w:val="21"/>
              </w:rPr>
            </w:pPr>
            <w:r>
              <w:rPr>
                <w:rFonts w:ascii="Times New Roman" w:hAnsi="Times New Roman"/>
                <w:spacing w:val="10"/>
                <w:szCs w:val="21"/>
              </w:rPr>
              <w:t>8</w:t>
            </w:r>
            <w:r>
              <w:rPr>
                <w:rFonts w:ascii="Times New Roman" w:hAnsi="Times New Roman"/>
                <w:spacing w:val="10"/>
                <w:szCs w:val="21"/>
              </w:rPr>
              <w:t>、净化水质量</w:t>
            </w:r>
          </w:p>
        </w:tc>
        <w:tc>
          <w:tcPr>
            <w:tcW w:w="2635" w:type="dxa"/>
            <w:tcBorders>
              <w:tl2br w:val="nil"/>
              <w:tr2bl w:val="nil"/>
            </w:tcBorders>
            <w:vAlign w:val="center"/>
          </w:tcPr>
          <w:p w:rsidR="00525419" w:rsidRDefault="00EE1CF7">
            <w:pPr>
              <w:widowControl/>
              <w:spacing w:line="240" w:lineRule="atLeast"/>
              <w:jc w:val="center"/>
              <w:rPr>
                <w:rFonts w:ascii="Times New Roman" w:hAnsi="Times New Roman"/>
                <w:spacing w:val="10"/>
                <w:szCs w:val="21"/>
              </w:rPr>
            </w:pPr>
            <w:r>
              <w:rPr>
                <w:rFonts w:ascii="Times New Roman" w:hAnsi="Times New Roman"/>
                <w:spacing w:val="10"/>
                <w:szCs w:val="21"/>
              </w:rPr>
              <w:t>满足要求</w:t>
            </w:r>
          </w:p>
        </w:tc>
        <w:tc>
          <w:tcPr>
            <w:tcW w:w="1664" w:type="dxa"/>
            <w:tcBorders>
              <w:tl2br w:val="nil"/>
              <w:tr2bl w:val="nil"/>
            </w:tcBorders>
            <w:vAlign w:val="center"/>
          </w:tcPr>
          <w:p w:rsidR="00525419" w:rsidRDefault="00EE1CF7">
            <w:pPr>
              <w:widowControl/>
              <w:spacing w:line="240" w:lineRule="atLeast"/>
              <w:jc w:val="center"/>
              <w:rPr>
                <w:rFonts w:ascii="Times New Roman" w:hAnsi="Times New Roman"/>
                <w:spacing w:val="10"/>
                <w:szCs w:val="21"/>
              </w:rPr>
            </w:pPr>
            <w:r>
              <w:rPr>
                <w:rFonts w:ascii="Times New Roman" w:hAnsi="Times New Roman"/>
                <w:spacing w:val="10"/>
                <w:szCs w:val="21"/>
              </w:rPr>
              <w:t>满足要求</w:t>
            </w:r>
          </w:p>
        </w:tc>
        <w:tc>
          <w:tcPr>
            <w:tcW w:w="2360" w:type="dxa"/>
            <w:tcBorders>
              <w:tl2br w:val="nil"/>
              <w:tr2bl w:val="nil"/>
            </w:tcBorders>
            <w:vAlign w:val="center"/>
          </w:tcPr>
          <w:p w:rsidR="00525419" w:rsidRDefault="00EE1CF7">
            <w:pPr>
              <w:widowControl/>
              <w:spacing w:line="240" w:lineRule="atLeast"/>
              <w:jc w:val="center"/>
              <w:rPr>
                <w:rFonts w:ascii="Times New Roman" w:hAnsi="Times New Roman"/>
                <w:spacing w:val="10"/>
                <w:szCs w:val="21"/>
              </w:rPr>
            </w:pPr>
            <w:r>
              <w:rPr>
                <w:rFonts w:ascii="Times New Roman" w:hAnsi="Times New Roman"/>
                <w:spacing w:val="10"/>
                <w:szCs w:val="21"/>
              </w:rPr>
              <w:t>满足要求</w:t>
            </w:r>
          </w:p>
        </w:tc>
      </w:tr>
    </w:tbl>
    <w:p w:rsidR="00525419" w:rsidRDefault="00EE1CF7">
      <w:pPr>
        <w:snapToGrid w:val="0"/>
        <w:spacing w:line="420" w:lineRule="exact"/>
        <w:ind w:firstLineChars="200" w:firstLine="480"/>
        <w:rPr>
          <w:rFonts w:ascii="Times New Roman" w:hAnsi="Times New Roman"/>
          <w:sz w:val="24"/>
          <w:szCs w:val="24"/>
        </w:rPr>
      </w:pPr>
      <w:r>
        <w:rPr>
          <w:rFonts w:ascii="Times New Roman" w:hAnsi="Times New Roman"/>
          <w:sz w:val="24"/>
          <w:szCs w:val="24"/>
        </w:rPr>
        <w:t>针对本装置单元选择单塔低压全吹出汽提工艺，该工艺流程最简单，蒸汽耗量较低，硫磺回收装置仅需要设置烧氨火嘴，在</w:t>
      </w:r>
      <w:r>
        <w:rPr>
          <w:rFonts w:ascii="Times New Roman" w:hAnsi="Times New Roman"/>
          <w:sz w:val="24"/>
          <w:szCs w:val="24"/>
        </w:rPr>
        <w:t>1300℃</w:t>
      </w:r>
      <w:r>
        <w:rPr>
          <w:rFonts w:ascii="Times New Roman" w:hAnsi="Times New Roman"/>
          <w:sz w:val="24"/>
          <w:szCs w:val="24"/>
        </w:rPr>
        <w:t>以上的高温下，氨即可分解完全，较好的解决了炼厂富产氨无出路所带来的污染，而且投资及占地最省。该工艺已广泛用于国内炼油石化行业，形成了我国独特的污水汽提技术路线，是炼油化工冶金等行业处理含硫污水较为理想的工艺。</w:t>
      </w:r>
    </w:p>
    <w:p w:rsidR="00525419" w:rsidRDefault="00EE1CF7">
      <w:pPr>
        <w:pStyle w:val="afffe"/>
        <w:adjustRightInd w:val="0"/>
        <w:spacing w:after="0" w:line="420" w:lineRule="exact"/>
        <w:ind w:firstLineChars="200" w:firstLine="480"/>
        <w:rPr>
          <w:sz w:val="24"/>
        </w:rPr>
      </w:pPr>
      <w:r>
        <w:rPr>
          <w:sz w:val="24"/>
        </w:rPr>
        <w:t>②</w:t>
      </w:r>
      <w:r>
        <w:rPr>
          <w:sz w:val="24"/>
        </w:rPr>
        <w:t>工艺流程简述</w:t>
      </w:r>
    </w:p>
    <w:p w:rsidR="00525419" w:rsidRDefault="00EE1CF7">
      <w:pPr>
        <w:spacing w:line="420" w:lineRule="exact"/>
        <w:ind w:firstLineChars="200" w:firstLine="480"/>
        <w:rPr>
          <w:rFonts w:ascii="Times New Roman" w:hAnsi="Times New Roman"/>
          <w:sz w:val="24"/>
          <w:szCs w:val="24"/>
        </w:rPr>
      </w:pPr>
      <w:r>
        <w:rPr>
          <w:rFonts w:ascii="Times New Roman" w:hAnsi="Times New Roman"/>
          <w:sz w:val="24"/>
          <w:szCs w:val="24"/>
        </w:rPr>
        <w:t>酸性水自装置外来，进入原料水脱气罐，脱出的轻油气送至低压瓦斯管网。脱气后的酸性水进入原料水罐</w:t>
      </w:r>
      <w:r>
        <w:rPr>
          <w:rFonts w:ascii="Times New Roman" w:hAnsi="Times New Roman"/>
          <w:sz w:val="24"/>
          <w:szCs w:val="24"/>
        </w:rPr>
        <w:t>A</w:t>
      </w:r>
      <w:r>
        <w:rPr>
          <w:rFonts w:ascii="Times New Roman" w:hAnsi="Times New Roman"/>
          <w:sz w:val="24"/>
          <w:szCs w:val="24"/>
        </w:rPr>
        <w:t>沉降除油，脱出的轻污油间断自流至污油罐，经氮气压送至工厂污油罐区。除油后的酸性水进入原料水罐</w:t>
      </w:r>
      <w:r>
        <w:rPr>
          <w:rFonts w:ascii="Times New Roman" w:hAnsi="Times New Roman"/>
          <w:sz w:val="24"/>
          <w:szCs w:val="24"/>
        </w:rPr>
        <w:t>B</w:t>
      </w:r>
      <w:r>
        <w:rPr>
          <w:rFonts w:ascii="Times New Roman" w:hAnsi="Times New Roman"/>
          <w:sz w:val="24"/>
          <w:szCs w:val="24"/>
        </w:rPr>
        <w:t>，经原料水进料泵加压，再经原料水－净化水换热器与主汽提塔底净化水换热至</w:t>
      </w:r>
      <w:r>
        <w:rPr>
          <w:rFonts w:ascii="Times New Roman" w:hAnsi="Times New Roman"/>
          <w:sz w:val="24"/>
          <w:szCs w:val="24"/>
        </w:rPr>
        <w:t>100℃</w:t>
      </w:r>
      <w:r>
        <w:rPr>
          <w:rFonts w:ascii="Times New Roman" w:hAnsi="Times New Roman"/>
          <w:sz w:val="24"/>
          <w:szCs w:val="24"/>
        </w:rPr>
        <w:t>，进入主汽提塔上部。塔底用</w:t>
      </w:r>
      <w:r>
        <w:rPr>
          <w:rFonts w:ascii="Times New Roman" w:hAnsi="Times New Roman"/>
          <w:sz w:val="24"/>
          <w:szCs w:val="24"/>
        </w:rPr>
        <w:t>1.0MPa</w:t>
      </w:r>
      <w:r>
        <w:rPr>
          <w:rFonts w:ascii="Times New Roman" w:hAnsi="Times New Roman"/>
          <w:sz w:val="24"/>
          <w:szCs w:val="24"/>
        </w:rPr>
        <w:t>蒸汽通过重沸器间接加热汽提，冷凝后的凝结水送至系统管网。</w:t>
      </w:r>
    </w:p>
    <w:p w:rsidR="00525419" w:rsidRDefault="00EE1CF7">
      <w:pPr>
        <w:spacing w:line="420" w:lineRule="exact"/>
        <w:ind w:firstLineChars="200" w:firstLine="480"/>
        <w:rPr>
          <w:rFonts w:ascii="Times New Roman" w:hAnsi="Times New Roman"/>
          <w:sz w:val="24"/>
          <w:szCs w:val="24"/>
        </w:rPr>
      </w:pPr>
      <w:r>
        <w:rPr>
          <w:rFonts w:ascii="Times New Roman" w:hAnsi="Times New Roman"/>
          <w:sz w:val="24"/>
          <w:szCs w:val="24"/>
        </w:rPr>
        <w:t>汽提塔底净化水经原料水－净化水换热器与原料水换热后，通过净化水加压泵加压，经净化水冷却器冷却至</w:t>
      </w:r>
      <w:r>
        <w:rPr>
          <w:rFonts w:ascii="Times New Roman" w:hAnsi="Times New Roman"/>
          <w:sz w:val="24"/>
          <w:szCs w:val="24"/>
        </w:rPr>
        <w:t>40℃</w:t>
      </w:r>
      <w:r>
        <w:rPr>
          <w:rFonts w:ascii="Times New Roman" w:hAnsi="Times New Roman"/>
          <w:sz w:val="24"/>
          <w:szCs w:val="24"/>
        </w:rPr>
        <w:t>，一部分部分送至上游装置回用，剩余排至含油污水管网。</w:t>
      </w:r>
    </w:p>
    <w:p w:rsidR="00525419" w:rsidRDefault="00EE1CF7">
      <w:pPr>
        <w:spacing w:line="420" w:lineRule="exact"/>
        <w:ind w:firstLineChars="200" w:firstLine="480"/>
        <w:rPr>
          <w:rFonts w:ascii="Times New Roman" w:hAnsi="Times New Roman"/>
          <w:sz w:val="24"/>
          <w:szCs w:val="24"/>
        </w:rPr>
      </w:pPr>
      <w:r>
        <w:rPr>
          <w:rFonts w:ascii="Times New Roman" w:hAnsi="Times New Roman"/>
          <w:sz w:val="24"/>
          <w:szCs w:val="24"/>
        </w:rPr>
        <w:lastRenderedPageBreak/>
        <w:t>汽提塔顶酸性气经塔顶空冷器冷凝冷却至</w:t>
      </w:r>
      <w:r>
        <w:rPr>
          <w:rFonts w:ascii="Times New Roman" w:hAnsi="Times New Roman"/>
          <w:sz w:val="24"/>
          <w:szCs w:val="24"/>
        </w:rPr>
        <w:t>85℃</w:t>
      </w:r>
      <w:r>
        <w:rPr>
          <w:rFonts w:ascii="Times New Roman" w:hAnsi="Times New Roman"/>
          <w:sz w:val="24"/>
          <w:szCs w:val="24"/>
        </w:rPr>
        <w:t>后，进入塔顶回流罐，分凝后的酸性气送至硫磺回收单元回收硫磺；凝液经塔顶回流泵返塔作为回流。</w:t>
      </w:r>
    </w:p>
    <w:p w:rsidR="00525419" w:rsidRDefault="00EE1CF7">
      <w:pPr>
        <w:spacing w:line="420" w:lineRule="exact"/>
        <w:ind w:firstLineChars="200" w:firstLine="480"/>
        <w:rPr>
          <w:rFonts w:ascii="Times New Roman" w:hAnsi="Times New Roman"/>
          <w:sz w:val="24"/>
          <w:szCs w:val="24"/>
        </w:rPr>
      </w:pPr>
      <w:r>
        <w:rPr>
          <w:rFonts w:ascii="Times New Roman" w:hAnsi="Times New Roman"/>
          <w:sz w:val="24"/>
        </w:rPr>
        <w:t>酸性水汽提工艺流程及产污环节见图</w:t>
      </w:r>
      <w:r>
        <w:rPr>
          <w:rFonts w:ascii="Times New Roman" w:hAnsi="Times New Roman"/>
          <w:sz w:val="24"/>
        </w:rPr>
        <w:t>3.5-4</w:t>
      </w:r>
      <w:r>
        <w:rPr>
          <w:rFonts w:ascii="Times New Roman" w:hAnsi="Times New Roman"/>
          <w:sz w:val="24"/>
        </w:rPr>
        <w:t>。</w:t>
      </w:r>
    </w:p>
    <w:p w:rsidR="00525419" w:rsidRDefault="007D0E8A">
      <w:pPr>
        <w:spacing w:line="360" w:lineRule="auto"/>
        <w:ind w:firstLineChars="200" w:firstLine="480"/>
        <w:rPr>
          <w:rFonts w:ascii="Times New Roman" w:hAnsi="Times New Roman"/>
          <w:sz w:val="24"/>
          <w:szCs w:val="24"/>
        </w:rPr>
      </w:pPr>
      <w:r>
        <w:rPr>
          <w:rFonts w:ascii="Times New Roman" w:hAnsi="Times New Roman"/>
          <w:sz w:val="24"/>
          <w:szCs w:val="24"/>
        </w:rPr>
        <w:pict>
          <v:group id="Group 2006" o:spid="_x0000_s1929" style="position:absolute;left:0;text-align:left;margin-left:24.15pt;margin-top:9.45pt;width:342.75pt;height:76.05pt;z-index:251641344" coordorigin="2280,12816" coordsize="6855,1521">
            <v:shape id="Quad Arrow 2007" o:spid="_x0000_s1930" type="#_x0000_t202" style="position:absolute;left:4530;top:13470;width:900;height:312" o:preferrelative="t">
              <v:stroke miterlimit="2"/>
              <v:textbox inset="1.42pt,.85pt,1.42pt,.85pt">
                <w:txbxContent>
                  <w:p w:rsidR="00EE1CF7" w:rsidRDefault="00EE1CF7">
                    <w:r>
                      <w:rPr>
                        <w:rFonts w:hint="eastAsia"/>
                      </w:rPr>
                      <w:t>脱气罐</w:t>
                    </w:r>
                  </w:p>
                </w:txbxContent>
              </v:textbox>
            </v:shape>
            <v:shape id="Quad Arrow 2008" o:spid="_x0000_s1931" type="#_x0000_t202" style="position:absolute;left:2280;top:13455;width:1800;height:312" o:preferrelative="t" filled="f" stroked="f">
              <v:textbox inset="1.42pt,.85pt,1.42pt,.85pt">
                <w:txbxContent>
                  <w:p w:rsidR="00EE1CF7" w:rsidRDefault="00EE1CF7">
                    <w:r>
                      <w:rPr>
                        <w:rFonts w:hint="eastAsia"/>
                      </w:rPr>
                      <w:t>酸性水</w:t>
                    </w:r>
                    <w:r>
                      <w:rPr>
                        <w:rFonts w:hint="eastAsia"/>
                      </w:rPr>
                      <w:t>(</w:t>
                    </w:r>
                    <w:r>
                      <w:rPr>
                        <w:rFonts w:hint="eastAsia"/>
                      </w:rPr>
                      <w:t>含硫污水</w:t>
                    </w:r>
                    <w:r>
                      <w:rPr>
                        <w:rFonts w:hint="eastAsia"/>
                      </w:rPr>
                      <w:t>)</w:t>
                    </w:r>
                  </w:p>
                </w:txbxContent>
              </v:textbox>
            </v:shape>
            <v:line id="Line 2009" o:spid="_x0000_s1932" style="position:absolute" from="3990,13635" to="4530,13635" o:preferrelative="t">
              <v:stroke endarrow="block" miterlimit="2"/>
            </v:line>
            <v:line id="Line 2010" o:spid="_x0000_s1933" style="position:absolute;flip:y" from="4950,13143" to="4950,13455" o:preferrelative="t">
              <v:stroke dashstyle="dash" endarrow="block" miterlimit="2"/>
            </v:line>
            <v:shape id="Quad Arrow 2011" o:spid="_x0000_s1934" type="#_x0000_t202" style="position:absolute;left:4530;top:12831;width:975;height:312" o:preferrelative="t" filled="f" stroked="f">
              <v:textbox inset="1.42pt,.85pt,1.42pt,.85pt">
                <w:txbxContent>
                  <w:p w:rsidR="00EE1CF7" w:rsidRDefault="00EE1CF7">
                    <w:r>
                      <w:rPr>
                        <w:rFonts w:hint="eastAsia"/>
                      </w:rPr>
                      <w:t>燃料利用</w:t>
                    </w:r>
                  </w:p>
                </w:txbxContent>
              </v:textbox>
            </v:shape>
            <v:shape id="Quad Arrow 2012" o:spid="_x0000_s1935" type="#_x0000_t202" style="position:absolute;left:5790;top:13470;width:540;height:312" o:preferrelative="t">
              <v:stroke miterlimit="2"/>
              <v:textbox inset="1.42pt,.85pt,1.42pt,.85pt">
                <w:txbxContent>
                  <w:p w:rsidR="00EE1CF7" w:rsidRDefault="00EE1CF7">
                    <w:r>
                      <w:rPr>
                        <w:rFonts w:hint="eastAsia"/>
                      </w:rPr>
                      <w:t>水罐</w:t>
                    </w:r>
                  </w:p>
                </w:txbxContent>
              </v:textbox>
            </v:shape>
            <v:line id="Line 2013" o:spid="_x0000_s1936" style="position:absolute" from="5430,13635" to="5790,13635" o:preferrelative="t">
              <v:stroke endarrow="block" miterlimit="2"/>
            </v:line>
            <v:line id="Line 2014" o:spid="_x0000_s1937" style="position:absolute;flip:y" from="6015,12987" to="6015,13455" o:preferrelative="t">
              <v:stroke miterlimit="2"/>
            </v:line>
            <v:line id="Line 2015" o:spid="_x0000_s1938" style="position:absolute" from="6015,12987" to="6735,12987" o:preferrelative="t">
              <v:stroke endarrow="block" miterlimit="2"/>
            </v:line>
            <v:shape id="Quad Arrow 2016" o:spid="_x0000_s1939" type="#_x0000_t202" style="position:absolute;left:6735;top:12816;width:1440;height:312" o:preferrelative="t" filled="f" stroked="f">
              <v:textbox inset="1.42pt,.85pt,1.42pt,.85pt">
                <w:txbxContent>
                  <w:p w:rsidR="00EE1CF7" w:rsidRDefault="00EE1CF7">
                    <w:r>
                      <w:rPr>
                        <w:rFonts w:hint="eastAsia"/>
                      </w:rPr>
                      <w:t>污油至污油罐</w:t>
                    </w:r>
                  </w:p>
                </w:txbxContent>
              </v:textbox>
            </v:shape>
            <v:line id="Line 2017" o:spid="_x0000_s1940" style="position:absolute" from="6330,13635" to="6690,13635" o:preferrelative="t">
              <v:stroke endarrow="block" miterlimit="2"/>
            </v:line>
            <v:shape id="Quad Arrow 2018" o:spid="_x0000_s1941" type="#_x0000_t202" style="position:absolute;left:6735;top:13470;width:735;height:297" o:preferrelative="t">
              <v:stroke miterlimit="2"/>
              <v:textbox inset="1.42pt,.85pt,1.42pt,.85pt">
                <w:txbxContent>
                  <w:p w:rsidR="00EE1CF7" w:rsidRDefault="00EE1CF7">
                    <w:r>
                      <w:rPr>
                        <w:rFonts w:hint="eastAsia"/>
                      </w:rPr>
                      <w:t>汽提塔</w:t>
                    </w:r>
                  </w:p>
                </w:txbxContent>
              </v:textbox>
            </v:shape>
            <v:shape id="Quad Arrow 2019" o:spid="_x0000_s1942" type="#_x0000_t202" style="position:absolute;left:8175;top:13128;width:750;height:312" o:preferrelative="t">
              <v:stroke miterlimit="2"/>
              <v:textbox inset="1.42pt,.85pt,1.42pt,.85pt">
                <w:txbxContent>
                  <w:p w:rsidR="00EE1CF7" w:rsidRDefault="00EE1CF7">
                    <w:r>
                      <w:rPr>
                        <w:rFonts w:hint="eastAsia"/>
                      </w:rPr>
                      <w:t>回流罐</w:t>
                    </w:r>
                  </w:p>
                </w:txbxContent>
              </v:textbox>
            </v:shape>
            <v:line id="Line 2020" o:spid="_x0000_s1943" style="position:absolute;flip:y" from="7275,13308" to="7275,13464" o:preferrelative="t">
              <v:stroke miterlimit="2"/>
            </v:line>
            <v:line id="Line 2021" o:spid="_x0000_s1944" style="position:absolute" from="7275,13305" to="8175,13305" o:preferrelative="t">
              <v:stroke endarrow="block" miterlimit="2"/>
            </v:line>
            <v:line id="Line 2022" o:spid="_x0000_s1945" style="position:absolute" from="8370,13449" to="8370,13605" o:preferrelative="t">
              <v:stroke miterlimit="2"/>
            </v:line>
            <v:line id="Line 2023" o:spid="_x0000_s1946" style="position:absolute;flip:x" from="7470,13605" to="8370,13605" o:preferrelative="t">
              <v:stroke endarrow="block" miterlimit="2"/>
            </v:line>
            <v:line id="Line 2024" o:spid="_x0000_s1947" style="position:absolute" from="7170,13782" to="7170,14160" o:preferrelative="t">
              <v:stroke miterlimit="2"/>
            </v:line>
            <v:line id="Line 2025" o:spid="_x0000_s1948" style="position:absolute;flip:x" from="6450,14160" to="7170,14160" o:preferrelative="t">
              <v:stroke endarrow="block" miterlimit="2"/>
            </v:line>
            <v:shape id="Quad Arrow 2026" o:spid="_x0000_s1949" type="#_x0000_t202" style="position:absolute;left:3840;top:14025;width:2700;height:312" o:preferrelative="t" filled="f" stroked="f">
              <v:textbox inset="1.42pt,.85pt,1.42pt,.85pt">
                <w:txbxContent>
                  <w:p w:rsidR="00EE1CF7" w:rsidRDefault="00EE1CF7">
                    <w:r>
                      <w:rPr>
                        <w:rFonts w:hint="eastAsia"/>
                      </w:rPr>
                      <w:t>W1</w:t>
                    </w:r>
                    <w:r>
                      <w:rPr>
                        <w:rFonts w:hint="eastAsia"/>
                      </w:rPr>
                      <w:t>净化水去工艺注水</w:t>
                    </w:r>
                  </w:p>
                </w:txbxContent>
              </v:textbox>
            </v:shape>
            <v:line id="Line 2027" o:spid="_x0000_s1950" style="position:absolute" from="8565,13449" to="8565,14025" o:preferrelative="t">
              <v:stroke endarrow="block" miterlimit="2"/>
            </v:line>
            <v:shape id="Quad Arrow 2028" o:spid="_x0000_s1951" type="#_x0000_t202" style="position:absolute;left:8295;top:14025;width:840;height:312" o:preferrelative="t" filled="f" stroked="f">
              <v:textbox inset="1.42pt,.85pt,1.42pt,.85pt">
                <w:txbxContent>
                  <w:p w:rsidR="00EE1CF7" w:rsidRDefault="00EE1CF7">
                    <w:r>
                      <w:rPr>
                        <w:rFonts w:hint="eastAsia"/>
                      </w:rPr>
                      <w:t>酸性气</w:t>
                    </w:r>
                  </w:p>
                </w:txbxContent>
              </v:textbox>
            </v:shape>
          </v:group>
        </w:pict>
      </w:r>
    </w:p>
    <w:p w:rsidR="00525419" w:rsidRDefault="00525419">
      <w:pPr>
        <w:spacing w:line="360" w:lineRule="auto"/>
        <w:ind w:firstLineChars="200" w:firstLine="480"/>
        <w:rPr>
          <w:rFonts w:ascii="Times New Roman" w:hAnsi="Times New Roman"/>
          <w:sz w:val="24"/>
          <w:szCs w:val="24"/>
        </w:rPr>
      </w:pPr>
    </w:p>
    <w:p w:rsidR="00525419" w:rsidRDefault="00525419">
      <w:pPr>
        <w:spacing w:line="360" w:lineRule="auto"/>
        <w:ind w:firstLineChars="200" w:firstLine="480"/>
        <w:rPr>
          <w:rFonts w:ascii="Times New Roman" w:hAnsi="Times New Roman"/>
          <w:sz w:val="24"/>
          <w:szCs w:val="24"/>
        </w:rPr>
      </w:pPr>
    </w:p>
    <w:p w:rsidR="00525419" w:rsidRDefault="00525419">
      <w:pPr>
        <w:spacing w:line="360" w:lineRule="auto"/>
        <w:ind w:firstLineChars="200" w:firstLine="480"/>
        <w:rPr>
          <w:rFonts w:ascii="Times New Roman" w:hAnsi="Times New Roman"/>
          <w:sz w:val="24"/>
          <w:szCs w:val="24"/>
        </w:rPr>
      </w:pPr>
    </w:p>
    <w:p w:rsidR="00525419" w:rsidRDefault="00EE1CF7">
      <w:pPr>
        <w:spacing w:line="360" w:lineRule="auto"/>
        <w:ind w:firstLineChars="200" w:firstLine="482"/>
        <w:jc w:val="center"/>
        <w:rPr>
          <w:rFonts w:ascii="Times New Roman" w:hAnsi="Times New Roman"/>
          <w:b/>
          <w:sz w:val="24"/>
          <w:szCs w:val="24"/>
        </w:rPr>
      </w:pPr>
      <w:r>
        <w:rPr>
          <w:rFonts w:ascii="Times New Roman" w:hAnsi="Times New Roman"/>
          <w:b/>
          <w:sz w:val="24"/>
          <w:szCs w:val="24"/>
        </w:rPr>
        <w:t>图</w:t>
      </w:r>
      <w:r>
        <w:rPr>
          <w:rFonts w:ascii="Times New Roman" w:hAnsi="Times New Roman"/>
          <w:b/>
          <w:sz w:val="24"/>
          <w:szCs w:val="24"/>
        </w:rPr>
        <w:t>3.5-4</w:t>
      </w:r>
      <w:r>
        <w:rPr>
          <w:rFonts w:ascii="Times New Roman" w:hAnsi="Times New Roman"/>
          <w:b/>
          <w:sz w:val="24"/>
          <w:szCs w:val="24"/>
        </w:rPr>
        <w:t xml:space="preserve">　</w:t>
      </w:r>
      <w:r>
        <w:rPr>
          <w:rFonts w:ascii="Times New Roman" w:hAnsi="Times New Roman"/>
          <w:b/>
          <w:sz w:val="24"/>
        </w:rPr>
        <w:t>酸性水汽提工艺流程及产污环节图</w:t>
      </w:r>
    </w:p>
    <w:p w:rsidR="00525419" w:rsidRDefault="00EE1CF7">
      <w:pPr>
        <w:pStyle w:val="afffe"/>
        <w:adjustRightInd w:val="0"/>
        <w:spacing w:after="0" w:line="360" w:lineRule="auto"/>
        <w:ind w:firstLineChars="200" w:firstLine="480"/>
        <w:rPr>
          <w:sz w:val="24"/>
        </w:rPr>
      </w:pPr>
      <w:r>
        <w:rPr>
          <w:sz w:val="24"/>
        </w:rPr>
        <w:t>③</w:t>
      </w:r>
      <w:r>
        <w:rPr>
          <w:sz w:val="24"/>
        </w:rPr>
        <w:t>物料平衡</w:t>
      </w:r>
    </w:p>
    <w:p w:rsidR="00525419" w:rsidRDefault="00EE1CF7">
      <w:pPr>
        <w:pStyle w:val="afffe"/>
        <w:adjustRightInd w:val="0"/>
        <w:spacing w:after="0" w:line="360" w:lineRule="auto"/>
        <w:ind w:firstLineChars="200" w:firstLine="480"/>
        <w:rPr>
          <w:sz w:val="24"/>
        </w:rPr>
      </w:pPr>
      <w:r>
        <w:rPr>
          <w:sz w:val="24"/>
        </w:rPr>
        <w:t>酸性水汽提物料平衡见表</w:t>
      </w:r>
      <w:r>
        <w:rPr>
          <w:sz w:val="24"/>
        </w:rPr>
        <w:t>3.5-10</w:t>
      </w:r>
      <w:r>
        <w:rPr>
          <w:sz w:val="24"/>
        </w:rPr>
        <w:t>。</w:t>
      </w:r>
    </w:p>
    <w:p w:rsidR="00525419" w:rsidRDefault="00EE1CF7">
      <w:pPr>
        <w:autoSpaceDE w:val="0"/>
        <w:autoSpaceDN w:val="0"/>
        <w:adjustRightInd w:val="0"/>
        <w:spacing w:line="360" w:lineRule="auto"/>
        <w:ind w:right="1332" w:firstLineChars="200" w:firstLine="422"/>
        <w:jc w:val="center"/>
        <w:rPr>
          <w:rFonts w:ascii="Times New Roman" w:eastAsia="黑体" w:hAnsi="Times New Roman"/>
          <w:szCs w:val="21"/>
        </w:rPr>
      </w:pPr>
      <w:r>
        <w:rPr>
          <w:rFonts w:ascii="Times New Roman" w:hAnsi="Times New Roman"/>
          <w:b/>
          <w:bCs/>
          <w:szCs w:val="21"/>
        </w:rPr>
        <w:t xml:space="preserve">        </w:t>
      </w:r>
      <w:r>
        <w:rPr>
          <w:rFonts w:ascii="Times New Roman" w:eastAsia="黑体" w:hAnsi="Times New Roman"/>
          <w:szCs w:val="21"/>
        </w:rPr>
        <w:t xml:space="preserve">  </w:t>
      </w:r>
      <w:r>
        <w:rPr>
          <w:rFonts w:ascii="Times New Roman" w:eastAsia="黑体" w:hAnsi="Times New Roman"/>
          <w:szCs w:val="21"/>
        </w:rPr>
        <w:t>表</w:t>
      </w:r>
      <w:r>
        <w:rPr>
          <w:rFonts w:ascii="Times New Roman" w:eastAsia="黑体" w:hAnsi="Times New Roman"/>
          <w:szCs w:val="21"/>
        </w:rPr>
        <w:t xml:space="preserve">3.5-10   </w:t>
      </w:r>
      <w:r>
        <w:rPr>
          <w:rFonts w:ascii="Times New Roman" w:eastAsia="黑体" w:hAnsi="Times New Roman"/>
          <w:szCs w:val="21"/>
        </w:rPr>
        <w:t>酸性水汽提物料平衡表　　单位：万</w:t>
      </w:r>
      <w:r>
        <w:rPr>
          <w:rFonts w:ascii="Times New Roman" w:eastAsia="黑体" w:hAnsi="Times New Roman"/>
          <w:szCs w:val="21"/>
        </w:rPr>
        <w:t>t/a</w:t>
      </w:r>
    </w:p>
    <w:tbl>
      <w:tblPr>
        <w:tblW w:w="85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02"/>
        <w:gridCol w:w="1119"/>
        <w:gridCol w:w="1594"/>
        <w:gridCol w:w="1049"/>
        <w:gridCol w:w="1713"/>
        <w:gridCol w:w="1636"/>
      </w:tblGrid>
      <w:tr w:rsidR="00525419">
        <w:trPr>
          <w:cantSplit/>
          <w:trHeight w:val="335"/>
          <w:jc w:val="center"/>
        </w:trPr>
        <w:tc>
          <w:tcPr>
            <w:tcW w:w="2521" w:type="dxa"/>
            <w:gridSpan w:val="2"/>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投入</w:t>
            </w:r>
          </w:p>
        </w:tc>
        <w:tc>
          <w:tcPr>
            <w:tcW w:w="2643" w:type="dxa"/>
            <w:gridSpan w:val="2"/>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产出</w:t>
            </w:r>
          </w:p>
        </w:tc>
        <w:tc>
          <w:tcPr>
            <w:tcW w:w="3349" w:type="dxa"/>
            <w:gridSpan w:val="2"/>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流失</w:t>
            </w:r>
          </w:p>
        </w:tc>
      </w:tr>
      <w:tr w:rsidR="00525419">
        <w:trPr>
          <w:cantSplit/>
          <w:trHeight w:val="313"/>
          <w:jc w:val="center"/>
        </w:trPr>
        <w:tc>
          <w:tcPr>
            <w:tcW w:w="140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物料名称</w:t>
            </w:r>
          </w:p>
        </w:tc>
        <w:tc>
          <w:tcPr>
            <w:tcW w:w="1119"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投入量</w:t>
            </w:r>
          </w:p>
        </w:tc>
        <w:tc>
          <w:tcPr>
            <w:tcW w:w="1594"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产品名称</w:t>
            </w:r>
          </w:p>
        </w:tc>
        <w:tc>
          <w:tcPr>
            <w:tcW w:w="1049"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产出量</w:t>
            </w:r>
          </w:p>
        </w:tc>
        <w:tc>
          <w:tcPr>
            <w:tcW w:w="1713"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流失物名称</w:t>
            </w:r>
          </w:p>
        </w:tc>
        <w:tc>
          <w:tcPr>
            <w:tcW w:w="1636"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流失量</w:t>
            </w:r>
          </w:p>
        </w:tc>
      </w:tr>
      <w:tr w:rsidR="00525419">
        <w:trPr>
          <w:cantSplit/>
          <w:trHeight w:val="179"/>
          <w:jc w:val="center"/>
        </w:trPr>
        <w:tc>
          <w:tcPr>
            <w:tcW w:w="1402" w:type="dxa"/>
            <w:vMerge w:val="restart"/>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szCs w:val="21"/>
              </w:rPr>
              <w:t>酸性水</w:t>
            </w:r>
          </w:p>
        </w:tc>
        <w:tc>
          <w:tcPr>
            <w:tcW w:w="1119" w:type="dxa"/>
            <w:vMerge w:val="restart"/>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44</w:t>
            </w:r>
          </w:p>
        </w:tc>
        <w:tc>
          <w:tcPr>
            <w:tcW w:w="1594"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szCs w:val="21"/>
              </w:rPr>
              <w:t>酸性气</w:t>
            </w:r>
          </w:p>
        </w:tc>
        <w:tc>
          <w:tcPr>
            <w:tcW w:w="1049"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szCs w:val="21"/>
              </w:rPr>
              <w:t>1.24512</w:t>
            </w:r>
          </w:p>
        </w:tc>
        <w:tc>
          <w:tcPr>
            <w:tcW w:w="1713" w:type="dxa"/>
            <w:vMerge w:val="restart"/>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净化水</w:t>
            </w:r>
          </w:p>
        </w:tc>
        <w:tc>
          <w:tcPr>
            <w:tcW w:w="1636" w:type="dxa"/>
            <w:vMerge w:val="restart"/>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42.7390</w:t>
            </w:r>
          </w:p>
        </w:tc>
      </w:tr>
      <w:tr w:rsidR="00525419">
        <w:trPr>
          <w:cantSplit/>
          <w:trHeight w:val="249"/>
          <w:jc w:val="center"/>
        </w:trPr>
        <w:tc>
          <w:tcPr>
            <w:tcW w:w="1402" w:type="dxa"/>
            <w:vMerge/>
            <w:tcBorders>
              <w:tl2br w:val="nil"/>
              <w:tr2bl w:val="nil"/>
            </w:tcBorders>
            <w:vAlign w:val="center"/>
          </w:tcPr>
          <w:p w:rsidR="00525419" w:rsidRDefault="00525419">
            <w:pPr>
              <w:widowControl/>
              <w:spacing w:line="240" w:lineRule="atLeast"/>
              <w:jc w:val="center"/>
              <w:rPr>
                <w:rFonts w:ascii="Times New Roman" w:hAnsi="Times New Roman"/>
                <w:szCs w:val="21"/>
              </w:rPr>
            </w:pPr>
          </w:p>
        </w:tc>
        <w:tc>
          <w:tcPr>
            <w:tcW w:w="1119" w:type="dxa"/>
            <w:vMerge/>
            <w:tcBorders>
              <w:tl2br w:val="nil"/>
              <w:tr2bl w:val="nil"/>
            </w:tcBorders>
            <w:vAlign w:val="center"/>
          </w:tcPr>
          <w:p w:rsidR="00525419" w:rsidRDefault="00525419">
            <w:pPr>
              <w:widowControl/>
              <w:spacing w:line="240" w:lineRule="atLeast"/>
              <w:jc w:val="center"/>
              <w:rPr>
                <w:rFonts w:ascii="Times New Roman" w:hAnsi="Times New Roman"/>
                <w:kern w:val="0"/>
                <w:szCs w:val="21"/>
              </w:rPr>
            </w:pPr>
          </w:p>
        </w:tc>
        <w:tc>
          <w:tcPr>
            <w:tcW w:w="1594"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轻烃</w:t>
            </w:r>
          </w:p>
        </w:tc>
        <w:tc>
          <w:tcPr>
            <w:tcW w:w="1049"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kern w:val="0"/>
                <w:szCs w:val="21"/>
              </w:rPr>
              <w:t>0.0158</w:t>
            </w:r>
          </w:p>
        </w:tc>
        <w:tc>
          <w:tcPr>
            <w:tcW w:w="1713"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636" w:type="dxa"/>
            <w:vMerge/>
            <w:tcBorders>
              <w:tl2br w:val="nil"/>
              <w:tr2bl w:val="nil"/>
            </w:tcBorders>
            <w:vAlign w:val="center"/>
          </w:tcPr>
          <w:p w:rsidR="00525419" w:rsidRDefault="00525419">
            <w:pPr>
              <w:spacing w:line="240" w:lineRule="atLeast"/>
              <w:jc w:val="center"/>
              <w:rPr>
                <w:rFonts w:ascii="Times New Roman" w:hAnsi="Times New Roman"/>
                <w:szCs w:val="21"/>
              </w:rPr>
            </w:pPr>
          </w:p>
        </w:tc>
      </w:tr>
      <w:tr w:rsidR="00525419">
        <w:trPr>
          <w:cantSplit/>
          <w:trHeight w:val="279"/>
          <w:jc w:val="center"/>
        </w:trPr>
        <w:tc>
          <w:tcPr>
            <w:tcW w:w="140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小计</w:t>
            </w:r>
          </w:p>
        </w:tc>
        <w:tc>
          <w:tcPr>
            <w:tcW w:w="1119"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44</w:t>
            </w:r>
          </w:p>
        </w:tc>
        <w:tc>
          <w:tcPr>
            <w:tcW w:w="1594"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小计</w:t>
            </w:r>
          </w:p>
        </w:tc>
        <w:tc>
          <w:tcPr>
            <w:tcW w:w="1049"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1.26092</w:t>
            </w:r>
          </w:p>
        </w:tc>
        <w:tc>
          <w:tcPr>
            <w:tcW w:w="1713"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小计</w:t>
            </w:r>
          </w:p>
        </w:tc>
        <w:tc>
          <w:tcPr>
            <w:tcW w:w="1636"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42.7390</w:t>
            </w:r>
          </w:p>
        </w:tc>
      </w:tr>
    </w:tbl>
    <w:p w:rsidR="00525419" w:rsidRDefault="00EE1CF7">
      <w:pPr>
        <w:pStyle w:val="afffe"/>
        <w:adjustRightInd w:val="0"/>
        <w:spacing w:after="0" w:line="360" w:lineRule="auto"/>
        <w:ind w:firstLineChars="200" w:firstLine="480"/>
        <w:rPr>
          <w:sz w:val="24"/>
        </w:rPr>
      </w:pPr>
      <w:r>
        <w:rPr>
          <w:sz w:val="24"/>
        </w:rPr>
        <w:t>④</w:t>
      </w:r>
      <w:r>
        <w:rPr>
          <w:sz w:val="24"/>
        </w:rPr>
        <w:t>能耗消耗</w:t>
      </w:r>
    </w:p>
    <w:p w:rsidR="00525419" w:rsidRDefault="00EE1CF7">
      <w:pPr>
        <w:pStyle w:val="afffe"/>
        <w:adjustRightInd w:val="0"/>
        <w:spacing w:after="0" w:line="360" w:lineRule="auto"/>
        <w:ind w:firstLineChars="200" w:firstLine="480"/>
        <w:rPr>
          <w:sz w:val="24"/>
        </w:rPr>
      </w:pPr>
      <w:r>
        <w:rPr>
          <w:sz w:val="24"/>
        </w:rPr>
        <w:t>酸性水汽提能源消耗指标见表</w:t>
      </w:r>
      <w:r>
        <w:rPr>
          <w:sz w:val="24"/>
        </w:rPr>
        <w:t>3.5-11</w:t>
      </w:r>
      <w:r>
        <w:rPr>
          <w:sz w:val="24"/>
        </w:rPr>
        <w:t>。</w:t>
      </w:r>
    </w:p>
    <w:p w:rsidR="00525419" w:rsidRDefault="00EE1CF7">
      <w:pPr>
        <w:snapToGrid w:val="0"/>
        <w:spacing w:line="240" w:lineRule="atLeast"/>
        <w:ind w:firstLineChars="200" w:firstLine="420"/>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3.5-11</w:t>
      </w:r>
      <w:r>
        <w:rPr>
          <w:rFonts w:ascii="Times New Roman" w:eastAsia="黑体" w:hAnsi="Times New Roman"/>
          <w:szCs w:val="21"/>
        </w:rPr>
        <w:t xml:space="preserve">　</w:t>
      </w:r>
      <w:r>
        <w:rPr>
          <w:rFonts w:ascii="Times New Roman" w:eastAsia="黑体" w:hAnsi="Times New Roman"/>
          <w:szCs w:val="21"/>
        </w:rPr>
        <w:t xml:space="preserve">         </w:t>
      </w:r>
      <w:r>
        <w:rPr>
          <w:rFonts w:ascii="Times New Roman" w:eastAsia="黑体" w:hAnsi="Times New Roman"/>
          <w:szCs w:val="21"/>
        </w:rPr>
        <w:t>酸性水汽提消耗指标表</w:t>
      </w:r>
    </w:p>
    <w:tbl>
      <w:tblPr>
        <w:tblpPr w:leftFromText="180" w:rightFromText="180" w:vertAnchor="text" w:tblpY="1"/>
        <w:tblOverlap w:val="never"/>
        <w:tblW w:w="83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5"/>
        <w:gridCol w:w="1494"/>
        <w:gridCol w:w="1078"/>
        <w:gridCol w:w="1357"/>
        <w:gridCol w:w="722"/>
        <w:gridCol w:w="836"/>
        <w:gridCol w:w="1083"/>
        <w:gridCol w:w="1268"/>
      </w:tblGrid>
      <w:tr w:rsidR="00525419">
        <w:trPr>
          <w:cantSplit/>
          <w:trHeight w:val="401"/>
        </w:trPr>
        <w:tc>
          <w:tcPr>
            <w:tcW w:w="515" w:type="dxa"/>
            <w:vMerge w:val="restart"/>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序</w:t>
            </w:r>
          </w:p>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号</w:t>
            </w:r>
          </w:p>
        </w:tc>
        <w:tc>
          <w:tcPr>
            <w:tcW w:w="1494" w:type="dxa"/>
            <w:tcBorders>
              <w:tl2br w:val="nil"/>
              <w:tr2bl w:val="nil"/>
            </w:tcBorders>
          </w:tcPr>
          <w:p w:rsidR="00525419" w:rsidRDefault="00525419">
            <w:pPr>
              <w:autoSpaceDE w:val="0"/>
              <w:autoSpaceDN w:val="0"/>
              <w:spacing w:line="240" w:lineRule="atLeast"/>
              <w:jc w:val="center"/>
              <w:textAlignment w:val="bottom"/>
              <w:rPr>
                <w:rFonts w:ascii="Times New Roman" w:hAnsi="Times New Roman"/>
                <w:szCs w:val="21"/>
              </w:rPr>
            </w:pPr>
          </w:p>
        </w:tc>
        <w:tc>
          <w:tcPr>
            <w:tcW w:w="6344" w:type="dxa"/>
            <w:gridSpan w:val="6"/>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消耗量</w:t>
            </w:r>
          </w:p>
        </w:tc>
      </w:tr>
      <w:tr w:rsidR="00525419">
        <w:trPr>
          <w:cantSplit/>
        </w:trPr>
        <w:tc>
          <w:tcPr>
            <w:tcW w:w="515" w:type="dxa"/>
            <w:vMerge/>
            <w:tcBorders>
              <w:tl2br w:val="nil"/>
              <w:tr2bl w:val="nil"/>
            </w:tcBorders>
          </w:tcPr>
          <w:p w:rsidR="00525419" w:rsidRDefault="00525419">
            <w:pPr>
              <w:autoSpaceDE w:val="0"/>
              <w:autoSpaceDN w:val="0"/>
              <w:spacing w:line="240" w:lineRule="atLeast"/>
              <w:jc w:val="center"/>
              <w:textAlignment w:val="bottom"/>
              <w:rPr>
                <w:rFonts w:ascii="Times New Roman" w:hAnsi="Times New Roman"/>
                <w:szCs w:val="21"/>
              </w:rPr>
            </w:pPr>
          </w:p>
        </w:tc>
        <w:tc>
          <w:tcPr>
            <w:tcW w:w="1494" w:type="dxa"/>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项目</w:t>
            </w:r>
          </w:p>
        </w:tc>
        <w:tc>
          <w:tcPr>
            <w:tcW w:w="2435" w:type="dxa"/>
            <w:gridSpan w:val="2"/>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单位耗量</w:t>
            </w:r>
          </w:p>
        </w:tc>
        <w:tc>
          <w:tcPr>
            <w:tcW w:w="1558" w:type="dxa"/>
            <w:gridSpan w:val="2"/>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小时耗量</w:t>
            </w:r>
          </w:p>
        </w:tc>
        <w:tc>
          <w:tcPr>
            <w:tcW w:w="2351" w:type="dxa"/>
            <w:gridSpan w:val="2"/>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年耗量</w:t>
            </w:r>
          </w:p>
        </w:tc>
      </w:tr>
      <w:tr w:rsidR="00525419">
        <w:trPr>
          <w:cantSplit/>
        </w:trPr>
        <w:tc>
          <w:tcPr>
            <w:tcW w:w="515" w:type="dxa"/>
            <w:vMerge/>
            <w:tcBorders>
              <w:tl2br w:val="nil"/>
              <w:tr2bl w:val="nil"/>
            </w:tcBorders>
          </w:tcPr>
          <w:p w:rsidR="00525419" w:rsidRDefault="00525419">
            <w:pPr>
              <w:autoSpaceDE w:val="0"/>
              <w:autoSpaceDN w:val="0"/>
              <w:spacing w:line="240" w:lineRule="atLeast"/>
              <w:jc w:val="center"/>
              <w:textAlignment w:val="bottom"/>
              <w:rPr>
                <w:rFonts w:ascii="Times New Roman" w:hAnsi="Times New Roman"/>
                <w:szCs w:val="21"/>
              </w:rPr>
            </w:pPr>
          </w:p>
        </w:tc>
        <w:tc>
          <w:tcPr>
            <w:tcW w:w="1494" w:type="dxa"/>
            <w:tcBorders>
              <w:tl2br w:val="nil"/>
              <w:tr2bl w:val="nil"/>
            </w:tcBorders>
          </w:tcPr>
          <w:p w:rsidR="00525419" w:rsidRDefault="00525419">
            <w:pPr>
              <w:autoSpaceDE w:val="0"/>
              <w:autoSpaceDN w:val="0"/>
              <w:spacing w:line="240" w:lineRule="atLeast"/>
              <w:jc w:val="center"/>
              <w:textAlignment w:val="bottom"/>
              <w:rPr>
                <w:rFonts w:ascii="Times New Roman" w:hAnsi="Times New Roman"/>
                <w:szCs w:val="21"/>
              </w:rPr>
            </w:pPr>
          </w:p>
        </w:tc>
        <w:tc>
          <w:tcPr>
            <w:tcW w:w="1078" w:type="dxa"/>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单位</w:t>
            </w:r>
          </w:p>
        </w:tc>
        <w:tc>
          <w:tcPr>
            <w:tcW w:w="1357" w:type="dxa"/>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数量</w:t>
            </w:r>
          </w:p>
        </w:tc>
        <w:tc>
          <w:tcPr>
            <w:tcW w:w="722" w:type="dxa"/>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单位</w:t>
            </w:r>
          </w:p>
        </w:tc>
        <w:tc>
          <w:tcPr>
            <w:tcW w:w="836" w:type="dxa"/>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数量</w:t>
            </w:r>
          </w:p>
        </w:tc>
        <w:tc>
          <w:tcPr>
            <w:tcW w:w="1083" w:type="dxa"/>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单位</w:t>
            </w:r>
          </w:p>
        </w:tc>
        <w:tc>
          <w:tcPr>
            <w:tcW w:w="1268" w:type="dxa"/>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数量</w:t>
            </w:r>
          </w:p>
        </w:tc>
      </w:tr>
      <w:tr w:rsidR="00525419">
        <w:trPr>
          <w:cantSplit/>
        </w:trPr>
        <w:tc>
          <w:tcPr>
            <w:tcW w:w="515"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w:t>
            </w:r>
          </w:p>
        </w:tc>
        <w:tc>
          <w:tcPr>
            <w:tcW w:w="1494"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kern w:val="0"/>
                <w:szCs w:val="21"/>
              </w:rPr>
            </w:pPr>
            <w:r>
              <w:rPr>
                <w:rFonts w:ascii="Times New Roman" w:hAnsi="Times New Roman"/>
                <w:kern w:val="0"/>
                <w:szCs w:val="21"/>
              </w:rPr>
              <w:t>新鲜水</w:t>
            </w:r>
          </w:p>
        </w:tc>
        <w:tc>
          <w:tcPr>
            <w:tcW w:w="1078"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t/t</w:t>
            </w:r>
          </w:p>
        </w:tc>
        <w:tc>
          <w:tcPr>
            <w:tcW w:w="1357"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0.0036</w:t>
            </w:r>
          </w:p>
        </w:tc>
        <w:tc>
          <w:tcPr>
            <w:tcW w:w="722"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t/h</w:t>
            </w:r>
          </w:p>
        </w:tc>
        <w:tc>
          <w:tcPr>
            <w:tcW w:w="836"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0.2</w:t>
            </w:r>
          </w:p>
        </w:tc>
        <w:tc>
          <w:tcPr>
            <w:tcW w:w="1083"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10</w:t>
            </w:r>
            <w:r>
              <w:rPr>
                <w:rFonts w:ascii="Times New Roman" w:hAnsi="Times New Roman"/>
                <w:kern w:val="0"/>
                <w:szCs w:val="21"/>
                <w:vertAlign w:val="superscript"/>
              </w:rPr>
              <w:t>4</w:t>
            </w:r>
            <w:r>
              <w:rPr>
                <w:rFonts w:ascii="Times New Roman" w:hAnsi="Times New Roman"/>
                <w:kern w:val="0"/>
                <w:szCs w:val="21"/>
              </w:rPr>
              <w:t>t/a</w:t>
            </w:r>
          </w:p>
        </w:tc>
        <w:tc>
          <w:tcPr>
            <w:tcW w:w="1268"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0.16</w:t>
            </w:r>
          </w:p>
        </w:tc>
      </w:tr>
      <w:tr w:rsidR="00525419">
        <w:trPr>
          <w:cantSplit/>
        </w:trPr>
        <w:tc>
          <w:tcPr>
            <w:tcW w:w="515"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2</w:t>
            </w:r>
          </w:p>
        </w:tc>
        <w:tc>
          <w:tcPr>
            <w:tcW w:w="1494"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kern w:val="0"/>
                <w:szCs w:val="21"/>
              </w:rPr>
            </w:pPr>
            <w:r>
              <w:rPr>
                <w:rFonts w:ascii="Times New Roman" w:hAnsi="Times New Roman"/>
                <w:kern w:val="0"/>
                <w:szCs w:val="21"/>
              </w:rPr>
              <w:t>循环水</w:t>
            </w:r>
          </w:p>
        </w:tc>
        <w:tc>
          <w:tcPr>
            <w:tcW w:w="1078"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t/t</w:t>
            </w:r>
          </w:p>
        </w:tc>
        <w:tc>
          <w:tcPr>
            <w:tcW w:w="1357"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1.4545</w:t>
            </w:r>
          </w:p>
        </w:tc>
        <w:tc>
          <w:tcPr>
            <w:tcW w:w="722"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t/h</w:t>
            </w:r>
          </w:p>
        </w:tc>
        <w:tc>
          <w:tcPr>
            <w:tcW w:w="836"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80</w:t>
            </w:r>
          </w:p>
        </w:tc>
        <w:tc>
          <w:tcPr>
            <w:tcW w:w="1083"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10</w:t>
            </w:r>
            <w:r>
              <w:rPr>
                <w:rFonts w:ascii="Times New Roman" w:hAnsi="Times New Roman"/>
                <w:kern w:val="0"/>
                <w:szCs w:val="21"/>
                <w:vertAlign w:val="superscript"/>
              </w:rPr>
              <w:t>4</w:t>
            </w:r>
            <w:r>
              <w:rPr>
                <w:rFonts w:ascii="Times New Roman" w:hAnsi="Times New Roman"/>
                <w:kern w:val="0"/>
                <w:szCs w:val="21"/>
              </w:rPr>
              <w:t>t/a</w:t>
            </w:r>
          </w:p>
        </w:tc>
        <w:tc>
          <w:tcPr>
            <w:tcW w:w="1268"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64</w:t>
            </w:r>
          </w:p>
        </w:tc>
      </w:tr>
      <w:tr w:rsidR="00525419">
        <w:trPr>
          <w:cantSplit/>
        </w:trPr>
        <w:tc>
          <w:tcPr>
            <w:tcW w:w="515"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3</w:t>
            </w:r>
          </w:p>
        </w:tc>
        <w:tc>
          <w:tcPr>
            <w:tcW w:w="1494"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kern w:val="0"/>
                <w:szCs w:val="21"/>
              </w:rPr>
            </w:pPr>
            <w:r>
              <w:rPr>
                <w:rFonts w:ascii="Times New Roman" w:hAnsi="Times New Roman"/>
                <w:kern w:val="0"/>
                <w:szCs w:val="21"/>
              </w:rPr>
              <w:t>电</w:t>
            </w:r>
          </w:p>
        </w:tc>
        <w:tc>
          <w:tcPr>
            <w:tcW w:w="1078"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kwh/t</w:t>
            </w:r>
          </w:p>
        </w:tc>
        <w:tc>
          <w:tcPr>
            <w:tcW w:w="1357"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2.3091</w:t>
            </w:r>
          </w:p>
        </w:tc>
        <w:tc>
          <w:tcPr>
            <w:tcW w:w="722"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kwh/h</w:t>
            </w:r>
          </w:p>
        </w:tc>
        <w:tc>
          <w:tcPr>
            <w:tcW w:w="836"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127</w:t>
            </w:r>
          </w:p>
        </w:tc>
        <w:tc>
          <w:tcPr>
            <w:tcW w:w="1083"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10</w:t>
            </w:r>
            <w:r>
              <w:rPr>
                <w:rFonts w:ascii="Times New Roman" w:hAnsi="Times New Roman"/>
                <w:kern w:val="0"/>
                <w:szCs w:val="21"/>
                <w:vertAlign w:val="superscript"/>
              </w:rPr>
              <w:t>4</w:t>
            </w:r>
            <w:r>
              <w:rPr>
                <w:rFonts w:ascii="Times New Roman" w:hAnsi="Times New Roman"/>
                <w:kern w:val="0"/>
                <w:szCs w:val="21"/>
              </w:rPr>
              <w:t>kwh/a</w:t>
            </w:r>
          </w:p>
        </w:tc>
        <w:tc>
          <w:tcPr>
            <w:tcW w:w="1268"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101.6</w:t>
            </w:r>
          </w:p>
        </w:tc>
      </w:tr>
      <w:tr w:rsidR="00525419">
        <w:trPr>
          <w:cantSplit/>
        </w:trPr>
        <w:tc>
          <w:tcPr>
            <w:tcW w:w="515"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4</w:t>
            </w:r>
          </w:p>
        </w:tc>
        <w:tc>
          <w:tcPr>
            <w:tcW w:w="1494"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bCs/>
                <w:kern w:val="0"/>
                <w:szCs w:val="21"/>
              </w:rPr>
            </w:pPr>
            <w:r>
              <w:rPr>
                <w:rFonts w:ascii="Times New Roman" w:hAnsi="Times New Roman"/>
                <w:kern w:val="0"/>
                <w:szCs w:val="21"/>
              </w:rPr>
              <w:t>1.0MPa</w:t>
            </w:r>
            <w:r>
              <w:rPr>
                <w:rFonts w:ascii="Times New Roman" w:hAnsi="Times New Roman"/>
                <w:kern w:val="0"/>
                <w:szCs w:val="21"/>
              </w:rPr>
              <w:t>蒸汽</w:t>
            </w:r>
          </w:p>
        </w:tc>
        <w:tc>
          <w:tcPr>
            <w:tcW w:w="1078"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t/t</w:t>
            </w:r>
          </w:p>
        </w:tc>
        <w:tc>
          <w:tcPr>
            <w:tcW w:w="1357"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0.22</w:t>
            </w:r>
          </w:p>
        </w:tc>
        <w:tc>
          <w:tcPr>
            <w:tcW w:w="722"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t/h</w:t>
            </w:r>
          </w:p>
        </w:tc>
        <w:tc>
          <w:tcPr>
            <w:tcW w:w="836"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12.1</w:t>
            </w:r>
          </w:p>
        </w:tc>
        <w:tc>
          <w:tcPr>
            <w:tcW w:w="1083"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10</w:t>
            </w:r>
            <w:r>
              <w:rPr>
                <w:rFonts w:ascii="Times New Roman" w:hAnsi="Times New Roman"/>
                <w:kern w:val="0"/>
                <w:szCs w:val="21"/>
                <w:vertAlign w:val="superscript"/>
              </w:rPr>
              <w:t>4</w:t>
            </w:r>
            <w:r>
              <w:rPr>
                <w:rFonts w:ascii="Times New Roman" w:hAnsi="Times New Roman"/>
                <w:kern w:val="0"/>
                <w:szCs w:val="21"/>
              </w:rPr>
              <w:t>t/a</w:t>
            </w:r>
          </w:p>
        </w:tc>
        <w:tc>
          <w:tcPr>
            <w:tcW w:w="1268"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9.68</w:t>
            </w:r>
          </w:p>
        </w:tc>
      </w:tr>
      <w:tr w:rsidR="00525419">
        <w:trPr>
          <w:cantSplit/>
        </w:trPr>
        <w:tc>
          <w:tcPr>
            <w:tcW w:w="515"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5</w:t>
            </w:r>
          </w:p>
        </w:tc>
        <w:tc>
          <w:tcPr>
            <w:tcW w:w="1494"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kern w:val="0"/>
                <w:szCs w:val="21"/>
              </w:rPr>
            </w:pPr>
            <w:r>
              <w:rPr>
                <w:rFonts w:ascii="Times New Roman" w:hAnsi="Times New Roman"/>
                <w:kern w:val="0"/>
                <w:szCs w:val="21"/>
              </w:rPr>
              <w:t>净化压缩空气</w:t>
            </w:r>
          </w:p>
        </w:tc>
        <w:tc>
          <w:tcPr>
            <w:tcW w:w="1078"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m</w:t>
            </w:r>
            <w:r>
              <w:rPr>
                <w:rFonts w:ascii="Times New Roman" w:hAnsi="Times New Roman"/>
                <w:kern w:val="0"/>
                <w:szCs w:val="21"/>
                <w:vertAlign w:val="superscript"/>
              </w:rPr>
              <w:t>3</w:t>
            </w:r>
            <w:r>
              <w:rPr>
                <w:rFonts w:ascii="Times New Roman" w:hAnsi="Times New Roman"/>
                <w:kern w:val="0"/>
                <w:szCs w:val="21"/>
              </w:rPr>
              <w:t>n/t</w:t>
            </w:r>
          </w:p>
        </w:tc>
        <w:tc>
          <w:tcPr>
            <w:tcW w:w="1357"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1.6364</w:t>
            </w:r>
          </w:p>
        </w:tc>
        <w:tc>
          <w:tcPr>
            <w:tcW w:w="722"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m</w:t>
            </w:r>
            <w:r>
              <w:rPr>
                <w:rFonts w:ascii="Times New Roman" w:hAnsi="Times New Roman"/>
                <w:kern w:val="0"/>
                <w:szCs w:val="21"/>
                <w:vertAlign w:val="superscript"/>
              </w:rPr>
              <w:t>3</w:t>
            </w:r>
            <w:r>
              <w:rPr>
                <w:rFonts w:ascii="Times New Roman" w:hAnsi="Times New Roman"/>
                <w:kern w:val="0"/>
                <w:szCs w:val="21"/>
              </w:rPr>
              <w:t>n/h</w:t>
            </w:r>
          </w:p>
        </w:tc>
        <w:tc>
          <w:tcPr>
            <w:tcW w:w="836"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90</w:t>
            </w:r>
          </w:p>
        </w:tc>
        <w:tc>
          <w:tcPr>
            <w:tcW w:w="1083"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10</w:t>
            </w:r>
            <w:r>
              <w:rPr>
                <w:rFonts w:ascii="Times New Roman" w:hAnsi="Times New Roman"/>
                <w:kern w:val="0"/>
                <w:szCs w:val="21"/>
                <w:vertAlign w:val="superscript"/>
              </w:rPr>
              <w:t>4</w:t>
            </w:r>
            <w:r>
              <w:rPr>
                <w:rFonts w:ascii="Times New Roman" w:hAnsi="Times New Roman"/>
                <w:kern w:val="0"/>
                <w:szCs w:val="21"/>
              </w:rPr>
              <w:t>m</w:t>
            </w:r>
            <w:r>
              <w:rPr>
                <w:rFonts w:ascii="Times New Roman" w:hAnsi="Times New Roman"/>
                <w:kern w:val="0"/>
                <w:szCs w:val="21"/>
                <w:vertAlign w:val="superscript"/>
              </w:rPr>
              <w:t>3</w:t>
            </w:r>
            <w:r>
              <w:rPr>
                <w:rFonts w:ascii="Times New Roman" w:hAnsi="Times New Roman"/>
                <w:kern w:val="0"/>
                <w:szCs w:val="21"/>
              </w:rPr>
              <w:t>n/a</w:t>
            </w:r>
          </w:p>
        </w:tc>
        <w:tc>
          <w:tcPr>
            <w:tcW w:w="1268"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72</w:t>
            </w:r>
          </w:p>
        </w:tc>
      </w:tr>
      <w:tr w:rsidR="00525419">
        <w:trPr>
          <w:cantSplit/>
        </w:trPr>
        <w:tc>
          <w:tcPr>
            <w:tcW w:w="515"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6</w:t>
            </w:r>
          </w:p>
        </w:tc>
        <w:tc>
          <w:tcPr>
            <w:tcW w:w="1494" w:type="dxa"/>
            <w:tcBorders>
              <w:tl2br w:val="nil"/>
              <w:tr2bl w:val="nil"/>
            </w:tcBorders>
            <w:vAlign w:val="center"/>
          </w:tcPr>
          <w:p w:rsidR="00525419" w:rsidRDefault="00EE1CF7">
            <w:pPr>
              <w:widowControl/>
              <w:spacing w:line="240" w:lineRule="atLeast"/>
              <w:jc w:val="center"/>
              <w:textAlignment w:val="center"/>
              <w:rPr>
                <w:rFonts w:ascii="Times New Roman" w:hAnsi="Times New Roman"/>
                <w:kern w:val="0"/>
                <w:szCs w:val="21"/>
              </w:rPr>
            </w:pPr>
            <w:r>
              <w:rPr>
                <w:rFonts w:ascii="Times New Roman" w:hAnsi="Times New Roman"/>
                <w:kern w:val="0"/>
                <w:szCs w:val="21"/>
              </w:rPr>
              <w:t>0.4MPa</w:t>
            </w:r>
            <w:r>
              <w:rPr>
                <w:rFonts w:ascii="Times New Roman" w:hAnsi="Times New Roman"/>
                <w:kern w:val="0"/>
                <w:szCs w:val="21"/>
              </w:rPr>
              <w:t>蒸汽</w:t>
            </w:r>
          </w:p>
        </w:tc>
        <w:tc>
          <w:tcPr>
            <w:tcW w:w="1078"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t/t</w:t>
            </w:r>
          </w:p>
        </w:tc>
        <w:tc>
          <w:tcPr>
            <w:tcW w:w="1357"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-0.0142</w:t>
            </w:r>
          </w:p>
        </w:tc>
        <w:tc>
          <w:tcPr>
            <w:tcW w:w="722"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t/h</w:t>
            </w:r>
          </w:p>
        </w:tc>
        <w:tc>
          <w:tcPr>
            <w:tcW w:w="836" w:type="dxa"/>
            <w:tcBorders>
              <w:tl2br w:val="nil"/>
              <w:tr2bl w:val="nil"/>
            </w:tcBorders>
          </w:tcPr>
          <w:p w:rsidR="00525419" w:rsidRDefault="00EE1CF7">
            <w:pPr>
              <w:widowControl/>
              <w:spacing w:line="240" w:lineRule="atLeast"/>
              <w:jc w:val="center"/>
              <w:textAlignment w:val="top"/>
              <w:rPr>
                <w:rFonts w:ascii="Times New Roman" w:hAnsi="Times New Roman"/>
                <w:szCs w:val="21"/>
              </w:rPr>
            </w:pPr>
            <w:r>
              <w:rPr>
                <w:rFonts w:ascii="Times New Roman" w:hAnsi="Times New Roman"/>
                <w:kern w:val="0"/>
                <w:szCs w:val="21"/>
              </w:rPr>
              <w:t>-0.78</w:t>
            </w:r>
          </w:p>
        </w:tc>
        <w:tc>
          <w:tcPr>
            <w:tcW w:w="1083"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10</w:t>
            </w:r>
            <w:r>
              <w:rPr>
                <w:rFonts w:ascii="Times New Roman" w:hAnsi="Times New Roman"/>
                <w:kern w:val="0"/>
                <w:szCs w:val="21"/>
                <w:vertAlign w:val="superscript"/>
              </w:rPr>
              <w:t>4</w:t>
            </w:r>
            <w:r>
              <w:rPr>
                <w:rFonts w:ascii="Times New Roman" w:hAnsi="Times New Roman"/>
                <w:kern w:val="0"/>
                <w:szCs w:val="21"/>
              </w:rPr>
              <w:t>m</w:t>
            </w:r>
            <w:r>
              <w:rPr>
                <w:rFonts w:ascii="Times New Roman" w:hAnsi="Times New Roman"/>
                <w:kern w:val="0"/>
                <w:szCs w:val="21"/>
                <w:vertAlign w:val="superscript"/>
              </w:rPr>
              <w:t>3</w:t>
            </w:r>
            <w:r>
              <w:rPr>
                <w:rFonts w:ascii="Times New Roman" w:hAnsi="Times New Roman"/>
                <w:kern w:val="0"/>
                <w:szCs w:val="21"/>
              </w:rPr>
              <w:t>n/a</w:t>
            </w:r>
          </w:p>
        </w:tc>
        <w:tc>
          <w:tcPr>
            <w:tcW w:w="1268"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-0.624</w:t>
            </w:r>
          </w:p>
        </w:tc>
      </w:tr>
      <w:tr w:rsidR="00525419">
        <w:trPr>
          <w:cantSplit/>
        </w:trPr>
        <w:tc>
          <w:tcPr>
            <w:tcW w:w="515"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7</w:t>
            </w:r>
          </w:p>
        </w:tc>
        <w:tc>
          <w:tcPr>
            <w:tcW w:w="1494" w:type="dxa"/>
            <w:tcBorders>
              <w:tl2br w:val="nil"/>
              <w:tr2bl w:val="nil"/>
            </w:tcBorders>
          </w:tcPr>
          <w:p w:rsidR="00525419" w:rsidRDefault="00EE1CF7">
            <w:pPr>
              <w:widowControl/>
              <w:spacing w:line="240" w:lineRule="atLeast"/>
              <w:jc w:val="center"/>
              <w:textAlignment w:val="top"/>
              <w:rPr>
                <w:rFonts w:ascii="Times New Roman" w:hAnsi="Times New Roman"/>
                <w:szCs w:val="21"/>
              </w:rPr>
            </w:pPr>
            <w:r>
              <w:rPr>
                <w:rFonts w:ascii="Times New Roman" w:hAnsi="Times New Roman"/>
                <w:kern w:val="0"/>
                <w:szCs w:val="21"/>
              </w:rPr>
              <w:t>回收凝结水</w:t>
            </w:r>
          </w:p>
        </w:tc>
        <w:tc>
          <w:tcPr>
            <w:tcW w:w="1078" w:type="dxa"/>
            <w:tcBorders>
              <w:tl2br w:val="nil"/>
              <w:tr2bl w:val="nil"/>
            </w:tcBorders>
          </w:tcPr>
          <w:p w:rsidR="00525419" w:rsidRDefault="00EE1CF7">
            <w:pPr>
              <w:widowControl/>
              <w:spacing w:line="240" w:lineRule="atLeast"/>
              <w:jc w:val="center"/>
              <w:textAlignment w:val="top"/>
              <w:rPr>
                <w:rFonts w:ascii="Times New Roman" w:hAnsi="Times New Roman"/>
                <w:szCs w:val="21"/>
              </w:rPr>
            </w:pPr>
            <w:r>
              <w:rPr>
                <w:rFonts w:ascii="Times New Roman" w:hAnsi="Times New Roman"/>
                <w:kern w:val="0"/>
                <w:szCs w:val="21"/>
              </w:rPr>
              <w:t>t/t</w:t>
            </w:r>
          </w:p>
        </w:tc>
        <w:tc>
          <w:tcPr>
            <w:tcW w:w="1357"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-0.2058</w:t>
            </w:r>
          </w:p>
        </w:tc>
        <w:tc>
          <w:tcPr>
            <w:tcW w:w="722" w:type="dxa"/>
            <w:tcBorders>
              <w:tl2br w:val="nil"/>
              <w:tr2bl w:val="nil"/>
            </w:tcBorders>
          </w:tcPr>
          <w:p w:rsidR="00525419" w:rsidRDefault="00EE1CF7">
            <w:pPr>
              <w:widowControl/>
              <w:spacing w:line="240" w:lineRule="atLeast"/>
              <w:jc w:val="center"/>
              <w:textAlignment w:val="top"/>
              <w:rPr>
                <w:rFonts w:ascii="Times New Roman" w:hAnsi="Times New Roman"/>
                <w:szCs w:val="21"/>
              </w:rPr>
            </w:pPr>
            <w:r>
              <w:rPr>
                <w:rFonts w:ascii="Times New Roman" w:hAnsi="Times New Roman"/>
                <w:kern w:val="0"/>
                <w:szCs w:val="21"/>
              </w:rPr>
              <w:t>t/h</w:t>
            </w:r>
          </w:p>
        </w:tc>
        <w:tc>
          <w:tcPr>
            <w:tcW w:w="836" w:type="dxa"/>
            <w:tcBorders>
              <w:tl2br w:val="nil"/>
              <w:tr2bl w:val="nil"/>
            </w:tcBorders>
          </w:tcPr>
          <w:p w:rsidR="00525419" w:rsidRDefault="00EE1CF7">
            <w:pPr>
              <w:widowControl/>
              <w:spacing w:line="240" w:lineRule="atLeast"/>
              <w:jc w:val="center"/>
              <w:textAlignment w:val="top"/>
              <w:rPr>
                <w:rFonts w:ascii="Times New Roman" w:hAnsi="Times New Roman"/>
                <w:szCs w:val="21"/>
              </w:rPr>
            </w:pPr>
            <w:r>
              <w:rPr>
                <w:rFonts w:ascii="Times New Roman" w:hAnsi="Times New Roman"/>
                <w:kern w:val="0"/>
                <w:szCs w:val="21"/>
              </w:rPr>
              <w:t>-11.32</w:t>
            </w:r>
          </w:p>
        </w:tc>
        <w:tc>
          <w:tcPr>
            <w:tcW w:w="1083" w:type="dxa"/>
            <w:tcBorders>
              <w:tl2br w:val="nil"/>
              <w:tr2bl w:val="nil"/>
            </w:tcBorders>
          </w:tcPr>
          <w:p w:rsidR="00525419" w:rsidRDefault="00EE1CF7">
            <w:pPr>
              <w:widowControl/>
              <w:spacing w:line="240" w:lineRule="atLeast"/>
              <w:jc w:val="center"/>
              <w:textAlignment w:val="top"/>
              <w:rPr>
                <w:rFonts w:ascii="Times New Roman" w:hAnsi="Times New Roman"/>
                <w:szCs w:val="21"/>
              </w:rPr>
            </w:pPr>
            <w:r>
              <w:rPr>
                <w:rFonts w:ascii="Times New Roman" w:hAnsi="Times New Roman"/>
                <w:kern w:val="0"/>
                <w:szCs w:val="21"/>
              </w:rPr>
              <w:t>10</w:t>
            </w:r>
            <w:r>
              <w:rPr>
                <w:rFonts w:ascii="Times New Roman" w:hAnsi="Times New Roman"/>
                <w:kern w:val="0"/>
                <w:szCs w:val="21"/>
                <w:vertAlign w:val="superscript"/>
              </w:rPr>
              <w:t>4</w:t>
            </w:r>
            <w:r>
              <w:rPr>
                <w:rFonts w:ascii="Times New Roman" w:hAnsi="Times New Roman"/>
                <w:kern w:val="0"/>
                <w:szCs w:val="21"/>
              </w:rPr>
              <w:t>t/a</w:t>
            </w:r>
          </w:p>
        </w:tc>
        <w:tc>
          <w:tcPr>
            <w:tcW w:w="1268"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-9.056</w:t>
            </w:r>
          </w:p>
        </w:tc>
      </w:tr>
    </w:tbl>
    <w:p w:rsidR="00525419" w:rsidRDefault="00EE1CF7">
      <w:pPr>
        <w:pStyle w:val="afffe"/>
        <w:adjustRightInd w:val="0"/>
        <w:spacing w:before="31" w:after="31" w:line="360" w:lineRule="auto"/>
        <w:ind w:firstLineChars="200" w:firstLine="480"/>
        <w:rPr>
          <w:sz w:val="24"/>
        </w:rPr>
      </w:pPr>
      <w:r>
        <w:rPr>
          <w:sz w:val="24"/>
        </w:rPr>
        <w:t>⑤</w:t>
      </w:r>
      <w:r>
        <w:rPr>
          <w:sz w:val="24"/>
        </w:rPr>
        <w:t>主要设备</w:t>
      </w:r>
    </w:p>
    <w:p w:rsidR="00525419" w:rsidRDefault="00EE1CF7">
      <w:pPr>
        <w:pStyle w:val="afffe"/>
        <w:adjustRightInd w:val="0"/>
        <w:spacing w:before="31" w:after="31" w:line="360" w:lineRule="auto"/>
        <w:ind w:firstLineChars="200" w:firstLine="400"/>
      </w:pPr>
      <w:r>
        <w:t xml:space="preserve">　</w:t>
      </w:r>
      <w:r>
        <w:rPr>
          <w:sz w:val="24"/>
        </w:rPr>
        <w:t>酸性水汽提单元主要设备见表</w:t>
      </w:r>
      <w:r>
        <w:rPr>
          <w:sz w:val="24"/>
        </w:rPr>
        <w:t>3.5-12</w:t>
      </w:r>
      <w:r>
        <w:rPr>
          <w:sz w:val="24"/>
        </w:rPr>
        <w:t>。</w:t>
      </w:r>
    </w:p>
    <w:p w:rsidR="00525419" w:rsidRDefault="00EE1CF7">
      <w:pPr>
        <w:rPr>
          <w:rFonts w:ascii="Times New Roman" w:eastAsia="黑体" w:hAnsi="Times New Roman"/>
        </w:rPr>
      </w:pPr>
      <w:r>
        <w:rPr>
          <w:rFonts w:ascii="Times New Roman" w:eastAsia="黑体" w:hAnsi="Times New Roman"/>
        </w:rPr>
        <w:t xml:space="preserve">　　　</w:t>
      </w:r>
      <w:r>
        <w:rPr>
          <w:rFonts w:ascii="Times New Roman" w:eastAsia="黑体" w:hAnsi="Times New Roman"/>
        </w:rPr>
        <w:t xml:space="preserve">             </w:t>
      </w:r>
      <w:r>
        <w:rPr>
          <w:rFonts w:ascii="Times New Roman" w:eastAsia="黑体" w:hAnsi="Times New Roman"/>
        </w:rPr>
        <w:t>表</w:t>
      </w:r>
      <w:r>
        <w:rPr>
          <w:rFonts w:ascii="Times New Roman" w:eastAsia="黑体" w:hAnsi="Times New Roman"/>
        </w:rPr>
        <w:t>3.5-12</w:t>
      </w:r>
      <w:r>
        <w:rPr>
          <w:rFonts w:ascii="Times New Roman" w:eastAsia="黑体" w:hAnsi="Times New Roman"/>
        </w:rPr>
        <w:t xml:space="preserve">　</w:t>
      </w:r>
      <w:r>
        <w:rPr>
          <w:rFonts w:ascii="Times New Roman" w:eastAsia="黑体" w:hAnsi="Times New Roman"/>
        </w:rPr>
        <w:t xml:space="preserve">   </w:t>
      </w:r>
      <w:r>
        <w:rPr>
          <w:rFonts w:ascii="Times New Roman" w:eastAsia="黑体" w:hAnsi="Times New Roman"/>
        </w:rPr>
        <w:t>酸性水汽提单元主要设备</w:t>
      </w:r>
      <w:r>
        <w:rPr>
          <w:rFonts w:ascii="Times New Roman" w:eastAsia="黑体" w:hAnsi="Times New Roman"/>
          <w:szCs w:val="21"/>
        </w:rPr>
        <w:t>一览表</w:t>
      </w:r>
    </w:p>
    <w:tbl>
      <w:tblPr>
        <w:tblW w:w="8513"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29" w:type="dxa"/>
          <w:bottom w:w="29" w:type="dxa"/>
        </w:tblCellMar>
        <w:tblLook w:val="04A0" w:firstRow="1" w:lastRow="0" w:firstColumn="1" w:lastColumn="0" w:noHBand="0" w:noVBand="1"/>
      </w:tblPr>
      <w:tblGrid>
        <w:gridCol w:w="1441"/>
        <w:gridCol w:w="2359"/>
        <w:gridCol w:w="3563"/>
        <w:gridCol w:w="1150"/>
      </w:tblGrid>
      <w:tr w:rsidR="00525419">
        <w:trPr>
          <w:trHeight w:val="270"/>
          <w:tblHeader/>
        </w:trPr>
        <w:tc>
          <w:tcPr>
            <w:tcW w:w="1441" w:type="dxa"/>
            <w:tcBorders>
              <w:tl2br w:val="nil"/>
              <w:tr2bl w:val="nil"/>
            </w:tcBorders>
            <w:vAlign w:val="center"/>
          </w:tcPr>
          <w:p w:rsidR="00525419" w:rsidRDefault="00EE1CF7">
            <w:pPr>
              <w:widowControl/>
              <w:spacing w:line="240" w:lineRule="atLeast"/>
              <w:jc w:val="center"/>
              <w:rPr>
                <w:rFonts w:ascii="Times New Roman" w:hAnsi="Times New Roman"/>
                <w:bCs/>
                <w:kern w:val="0"/>
                <w:szCs w:val="21"/>
              </w:rPr>
            </w:pPr>
            <w:r>
              <w:rPr>
                <w:rFonts w:ascii="Times New Roman" w:hAnsi="Times New Roman"/>
                <w:bCs/>
                <w:kern w:val="0"/>
                <w:szCs w:val="21"/>
              </w:rPr>
              <w:t>序号</w:t>
            </w:r>
          </w:p>
        </w:tc>
        <w:tc>
          <w:tcPr>
            <w:tcW w:w="2359" w:type="dxa"/>
            <w:tcBorders>
              <w:tl2br w:val="nil"/>
              <w:tr2bl w:val="nil"/>
            </w:tcBorders>
            <w:vAlign w:val="center"/>
          </w:tcPr>
          <w:p w:rsidR="00525419" w:rsidRDefault="00EE1CF7">
            <w:pPr>
              <w:widowControl/>
              <w:spacing w:line="240" w:lineRule="atLeast"/>
              <w:jc w:val="center"/>
              <w:rPr>
                <w:rFonts w:ascii="Times New Roman" w:hAnsi="Times New Roman"/>
                <w:bCs/>
                <w:kern w:val="0"/>
                <w:szCs w:val="21"/>
              </w:rPr>
            </w:pPr>
            <w:r>
              <w:rPr>
                <w:rFonts w:ascii="Times New Roman" w:hAnsi="Times New Roman"/>
                <w:bCs/>
                <w:kern w:val="0"/>
                <w:szCs w:val="21"/>
              </w:rPr>
              <w:t>设备名称</w:t>
            </w:r>
          </w:p>
        </w:tc>
        <w:tc>
          <w:tcPr>
            <w:tcW w:w="3563" w:type="dxa"/>
            <w:tcBorders>
              <w:tl2br w:val="nil"/>
              <w:tr2bl w:val="nil"/>
            </w:tcBorders>
            <w:vAlign w:val="center"/>
          </w:tcPr>
          <w:p w:rsidR="00525419" w:rsidRDefault="00EE1CF7">
            <w:pPr>
              <w:widowControl/>
              <w:spacing w:line="240" w:lineRule="atLeast"/>
              <w:jc w:val="center"/>
              <w:rPr>
                <w:rFonts w:ascii="Times New Roman" w:hAnsi="Times New Roman"/>
                <w:bCs/>
                <w:kern w:val="0"/>
                <w:szCs w:val="21"/>
              </w:rPr>
            </w:pPr>
            <w:r>
              <w:rPr>
                <w:rFonts w:ascii="Times New Roman" w:hAnsi="Times New Roman"/>
                <w:bCs/>
                <w:kern w:val="0"/>
                <w:szCs w:val="21"/>
              </w:rPr>
              <w:t>主要技术规格</w:t>
            </w:r>
          </w:p>
        </w:tc>
        <w:tc>
          <w:tcPr>
            <w:tcW w:w="1150" w:type="dxa"/>
            <w:tcBorders>
              <w:tl2br w:val="nil"/>
              <w:tr2bl w:val="nil"/>
            </w:tcBorders>
            <w:vAlign w:val="center"/>
          </w:tcPr>
          <w:p w:rsidR="00525419" w:rsidRDefault="00EE1CF7">
            <w:pPr>
              <w:widowControl/>
              <w:spacing w:line="240" w:lineRule="atLeast"/>
              <w:jc w:val="center"/>
              <w:rPr>
                <w:rFonts w:ascii="Times New Roman" w:hAnsi="Times New Roman"/>
                <w:bCs/>
                <w:kern w:val="0"/>
                <w:szCs w:val="21"/>
              </w:rPr>
            </w:pPr>
            <w:r>
              <w:rPr>
                <w:rFonts w:ascii="Times New Roman" w:hAnsi="Times New Roman"/>
                <w:bCs/>
                <w:kern w:val="0"/>
                <w:szCs w:val="21"/>
              </w:rPr>
              <w:t>数量</w:t>
            </w:r>
          </w:p>
        </w:tc>
      </w:tr>
      <w:tr w:rsidR="00525419">
        <w:trPr>
          <w:trHeight w:val="270"/>
        </w:trPr>
        <w:tc>
          <w:tcPr>
            <w:tcW w:w="1441"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c>
          <w:tcPr>
            <w:tcW w:w="2359"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主汽提塔</w:t>
            </w:r>
          </w:p>
        </w:tc>
        <w:tc>
          <w:tcPr>
            <w:tcW w:w="3563" w:type="dxa"/>
            <w:tcBorders>
              <w:tl2br w:val="nil"/>
              <w:tr2bl w:val="nil"/>
            </w:tcBorders>
            <w:vAlign w:val="center"/>
          </w:tcPr>
          <w:p w:rsidR="00525419" w:rsidRDefault="00EE1CF7">
            <w:pPr>
              <w:spacing w:line="360" w:lineRule="exact"/>
              <w:jc w:val="center"/>
              <w:rPr>
                <w:rFonts w:ascii="Times New Roman" w:hAnsi="Times New Roman"/>
                <w:snapToGrid w:val="0"/>
                <w:kern w:val="0"/>
              </w:rPr>
            </w:pPr>
            <w:r>
              <w:rPr>
                <w:rFonts w:ascii="Times New Roman" w:hAnsi="Times New Roman"/>
                <w:snapToGrid w:val="0"/>
                <w:kern w:val="0"/>
              </w:rPr>
              <w:t>φ1600/2000×35475</w:t>
            </w:r>
          </w:p>
          <w:p w:rsidR="00525419" w:rsidRDefault="00EE1CF7">
            <w:pPr>
              <w:widowControl/>
              <w:spacing w:line="240" w:lineRule="atLeast"/>
              <w:jc w:val="center"/>
              <w:rPr>
                <w:rFonts w:ascii="Times New Roman" w:hAnsi="Times New Roman"/>
                <w:kern w:val="0"/>
                <w:szCs w:val="21"/>
              </w:rPr>
            </w:pPr>
            <w:r>
              <w:rPr>
                <w:rFonts w:ascii="Times New Roman" w:hAnsi="Times New Roman"/>
                <w:snapToGrid w:val="0"/>
                <w:kern w:val="0"/>
              </w:rPr>
              <w:lastRenderedPageBreak/>
              <w:t>×(3+10)/ (3+12)</w:t>
            </w:r>
          </w:p>
        </w:tc>
        <w:tc>
          <w:tcPr>
            <w:tcW w:w="1150"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lastRenderedPageBreak/>
              <w:t>1</w:t>
            </w:r>
          </w:p>
        </w:tc>
      </w:tr>
      <w:tr w:rsidR="00525419">
        <w:trPr>
          <w:trHeight w:val="90"/>
        </w:trPr>
        <w:tc>
          <w:tcPr>
            <w:tcW w:w="1441"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2</w:t>
            </w:r>
          </w:p>
        </w:tc>
        <w:tc>
          <w:tcPr>
            <w:tcW w:w="2359"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重沸器</w:t>
            </w:r>
          </w:p>
        </w:tc>
        <w:tc>
          <w:tcPr>
            <w:tcW w:w="3563"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rPr>
              <w:t>BJS800-2.5-215-6/19-2</w:t>
            </w:r>
          </w:p>
        </w:tc>
        <w:tc>
          <w:tcPr>
            <w:tcW w:w="1150"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1</w:t>
            </w:r>
          </w:p>
        </w:tc>
      </w:tr>
      <w:tr w:rsidR="00525419">
        <w:trPr>
          <w:trHeight w:val="165"/>
        </w:trPr>
        <w:tc>
          <w:tcPr>
            <w:tcW w:w="1441"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kern w:val="0"/>
                <w:szCs w:val="21"/>
              </w:rPr>
              <w:t>3</w:t>
            </w:r>
          </w:p>
        </w:tc>
        <w:tc>
          <w:tcPr>
            <w:tcW w:w="2359"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原料水</w:t>
            </w:r>
            <w:r>
              <w:rPr>
                <w:rFonts w:ascii="Times New Roman" w:hAnsi="Times New Roman"/>
                <w:szCs w:val="21"/>
              </w:rPr>
              <w:t>-</w:t>
            </w:r>
            <w:r>
              <w:rPr>
                <w:rFonts w:ascii="Times New Roman" w:hAnsi="Times New Roman"/>
                <w:szCs w:val="21"/>
              </w:rPr>
              <w:t>净化水换热器</w:t>
            </w:r>
          </w:p>
        </w:tc>
        <w:tc>
          <w:tcPr>
            <w:tcW w:w="3563"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rPr>
              <w:t>BES700-2.5-120-6/25-4</w:t>
            </w:r>
          </w:p>
        </w:tc>
        <w:tc>
          <w:tcPr>
            <w:tcW w:w="115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2</w:t>
            </w:r>
          </w:p>
        </w:tc>
      </w:tr>
      <w:tr w:rsidR="00525419">
        <w:trPr>
          <w:trHeight w:val="180"/>
        </w:trPr>
        <w:tc>
          <w:tcPr>
            <w:tcW w:w="1441"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kern w:val="0"/>
                <w:szCs w:val="21"/>
              </w:rPr>
              <w:t>4</w:t>
            </w:r>
          </w:p>
        </w:tc>
        <w:tc>
          <w:tcPr>
            <w:tcW w:w="2359"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rPr>
              <w:t>净化水冷却器</w:t>
            </w:r>
          </w:p>
        </w:tc>
        <w:tc>
          <w:tcPr>
            <w:tcW w:w="3563"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rPr>
              <w:t>BES600-2.5-85-6/25-4</w:t>
            </w:r>
          </w:p>
        </w:tc>
        <w:tc>
          <w:tcPr>
            <w:tcW w:w="115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2</w:t>
            </w:r>
          </w:p>
        </w:tc>
      </w:tr>
      <w:tr w:rsidR="00525419">
        <w:trPr>
          <w:trHeight w:val="210"/>
        </w:trPr>
        <w:tc>
          <w:tcPr>
            <w:tcW w:w="1441"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kern w:val="0"/>
                <w:szCs w:val="21"/>
              </w:rPr>
              <w:t>5</w:t>
            </w:r>
          </w:p>
        </w:tc>
        <w:tc>
          <w:tcPr>
            <w:tcW w:w="2359"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一级冷凝冷却器</w:t>
            </w:r>
          </w:p>
        </w:tc>
        <w:tc>
          <w:tcPr>
            <w:tcW w:w="3563" w:type="dxa"/>
            <w:vMerge w:val="restart"/>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snapToGrid w:val="0"/>
                <w:kern w:val="0"/>
              </w:rPr>
              <w:t>Φ1800/Φ2500/Φ2000×10442×16/20/12</w:t>
            </w:r>
          </w:p>
        </w:tc>
        <w:tc>
          <w:tcPr>
            <w:tcW w:w="115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1</w:t>
            </w:r>
          </w:p>
        </w:tc>
      </w:tr>
      <w:tr w:rsidR="00525419">
        <w:trPr>
          <w:trHeight w:val="152"/>
        </w:trPr>
        <w:tc>
          <w:tcPr>
            <w:tcW w:w="1441"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kern w:val="0"/>
                <w:szCs w:val="21"/>
              </w:rPr>
              <w:t>6</w:t>
            </w:r>
          </w:p>
        </w:tc>
        <w:tc>
          <w:tcPr>
            <w:tcW w:w="2359"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二级冷凝冷却器</w:t>
            </w:r>
          </w:p>
        </w:tc>
        <w:tc>
          <w:tcPr>
            <w:tcW w:w="3563" w:type="dxa"/>
            <w:vMerge/>
            <w:tcBorders>
              <w:tl2br w:val="nil"/>
              <w:tr2bl w:val="nil"/>
            </w:tcBorders>
            <w:vAlign w:val="center"/>
          </w:tcPr>
          <w:p w:rsidR="00525419" w:rsidRDefault="00525419">
            <w:pPr>
              <w:spacing w:line="240" w:lineRule="atLeast"/>
              <w:jc w:val="center"/>
              <w:rPr>
                <w:rFonts w:ascii="Times New Roman" w:hAnsi="Times New Roman"/>
                <w:kern w:val="0"/>
                <w:szCs w:val="21"/>
              </w:rPr>
            </w:pPr>
          </w:p>
        </w:tc>
        <w:tc>
          <w:tcPr>
            <w:tcW w:w="115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1</w:t>
            </w:r>
          </w:p>
        </w:tc>
      </w:tr>
      <w:tr w:rsidR="00525419">
        <w:trPr>
          <w:trHeight w:val="152"/>
        </w:trPr>
        <w:tc>
          <w:tcPr>
            <w:tcW w:w="1441"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kern w:val="0"/>
                <w:szCs w:val="21"/>
              </w:rPr>
              <w:t>7</w:t>
            </w:r>
          </w:p>
        </w:tc>
        <w:tc>
          <w:tcPr>
            <w:tcW w:w="2359"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三级冷凝冷却器</w:t>
            </w:r>
          </w:p>
        </w:tc>
        <w:tc>
          <w:tcPr>
            <w:tcW w:w="3563" w:type="dxa"/>
            <w:vMerge/>
            <w:tcBorders>
              <w:tl2br w:val="nil"/>
              <w:tr2bl w:val="nil"/>
            </w:tcBorders>
            <w:vAlign w:val="center"/>
          </w:tcPr>
          <w:p w:rsidR="00525419" w:rsidRDefault="00525419">
            <w:pPr>
              <w:spacing w:line="240" w:lineRule="atLeast"/>
              <w:jc w:val="center"/>
              <w:rPr>
                <w:rFonts w:ascii="Times New Roman" w:hAnsi="Times New Roman"/>
                <w:kern w:val="0"/>
                <w:szCs w:val="21"/>
              </w:rPr>
            </w:pPr>
          </w:p>
        </w:tc>
        <w:tc>
          <w:tcPr>
            <w:tcW w:w="115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1</w:t>
            </w:r>
          </w:p>
        </w:tc>
      </w:tr>
    </w:tbl>
    <w:p w:rsidR="00525419" w:rsidRDefault="00525419">
      <w:pPr>
        <w:pStyle w:val="afffe"/>
        <w:adjustRightInd w:val="0"/>
        <w:spacing w:after="0" w:line="360" w:lineRule="auto"/>
        <w:ind w:firstLineChars="0" w:firstLine="0"/>
        <w:rPr>
          <w:sz w:val="24"/>
        </w:rPr>
      </w:pPr>
    </w:p>
    <w:p w:rsidR="00525419" w:rsidRDefault="00EE1CF7">
      <w:pPr>
        <w:pStyle w:val="afffe"/>
        <w:adjustRightInd w:val="0"/>
        <w:spacing w:after="0" w:line="360" w:lineRule="auto"/>
        <w:ind w:firstLineChars="200" w:firstLine="482"/>
        <w:rPr>
          <w:b/>
          <w:bCs/>
          <w:sz w:val="24"/>
        </w:rPr>
      </w:pPr>
      <w:r>
        <w:rPr>
          <w:b/>
          <w:bCs/>
          <w:sz w:val="24"/>
        </w:rPr>
        <w:t>（</w:t>
      </w:r>
      <w:r>
        <w:rPr>
          <w:b/>
          <w:bCs/>
          <w:sz w:val="24"/>
        </w:rPr>
        <w:t>2</w:t>
      </w:r>
      <w:r>
        <w:rPr>
          <w:b/>
          <w:bCs/>
          <w:sz w:val="24"/>
        </w:rPr>
        <w:t>）溶剂再生部分</w:t>
      </w:r>
    </w:p>
    <w:p w:rsidR="00525419" w:rsidRDefault="00EE1CF7">
      <w:pPr>
        <w:pStyle w:val="afffe"/>
        <w:adjustRightInd w:val="0"/>
        <w:spacing w:after="0" w:line="360" w:lineRule="auto"/>
        <w:ind w:firstLineChars="200" w:firstLine="480"/>
        <w:rPr>
          <w:sz w:val="24"/>
        </w:rPr>
      </w:pPr>
      <w:r>
        <w:rPr>
          <w:sz w:val="24"/>
        </w:rPr>
        <w:t>①</w:t>
      </w:r>
      <w:r>
        <w:rPr>
          <w:sz w:val="24"/>
        </w:rPr>
        <w:t>生产技术及反应原理</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采用常规汽提再生法，再生塔底重沸器热源采用低压蒸汽。国内常用的脱硫溶剂有单乙醇胺（</w:t>
      </w:r>
      <w:r>
        <w:rPr>
          <w:rFonts w:ascii="Times New Roman" w:hAnsi="Times New Roman"/>
          <w:sz w:val="24"/>
          <w:szCs w:val="24"/>
        </w:rPr>
        <w:t>MEA</w:t>
      </w:r>
      <w:r>
        <w:rPr>
          <w:rFonts w:ascii="Times New Roman" w:hAnsi="Times New Roman"/>
          <w:sz w:val="24"/>
          <w:szCs w:val="24"/>
        </w:rPr>
        <w:t>）、二乙醇胺（</w:t>
      </w:r>
      <w:r>
        <w:rPr>
          <w:rFonts w:ascii="Times New Roman" w:hAnsi="Times New Roman"/>
          <w:sz w:val="24"/>
          <w:szCs w:val="24"/>
        </w:rPr>
        <w:t>DEA</w:t>
      </w:r>
      <w:r>
        <w:rPr>
          <w:rFonts w:ascii="Times New Roman" w:hAnsi="Times New Roman"/>
          <w:sz w:val="24"/>
          <w:szCs w:val="24"/>
        </w:rPr>
        <w:t>）、二乙丙醇胺（</w:t>
      </w:r>
      <w:r>
        <w:rPr>
          <w:rFonts w:ascii="Times New Roman" w:hAnsi="Times New Roman"/>
          <w:sz w:val="24"/>
          <w:szCs w:val="24"/>
        </w:rPr>
        <w:t>DIPA</w:t>
      </w:r>
      <w:r>
        <w:rPr>
          <w:rFonts w:ascii="Times New Roman" w:hAnsi="Times New Roman"/>
          <w:sz w:val="24"/>
          <w:szCs w:val="24"/>
        </w:rPr>
        <w:t>）、</w:t>
      </w:r>
      <w:r>
        <w:rPr>
          <w:rFonts w:ascii="Times New Roman" w:hAnsi="Times New Roman"/>
          <w:sz w:val="24"/>
          <w:szCs w:val="24"/>
        </w:rPr>
        <w:t>N</w:t>
      </w:r>
      <w:r>
        <w:rPr>
          <w:rFonts w:ascii="Times New Roman" w:hAnsi="Times New Roman"/>
          <w:sz w:val="24"/>
          <w:szCs w:val="24"/>
        </w:rPr>
        <w:t>－甲基二乙醇胺（</w:t>
      </w:r>
      <w:r>
        <w:rPr>
          <w:rFonts w:ascii="Times New Roman" w:hAnsi="Times New Roman"/>
          <w:sz w:val="24"/>
          <w:szCs w:val="24"/>
        </w:rPr>
        <w:t>MDEA</w:t>
      </w:r>
      <w:r>
        <w:rPr>
          <w:rFonts w:ascii="Times New Roman" w:hAnsi="Times New Roman"/>
          <w:sz w:val="24"/>
          <w:szCs w:val="24"/>
        </w:rPr>
        <w:t>）和复合型</w:t>
      </w:r>
      <w:r>
        <w:rPr>
          <w:rFonts w:ascii="Times New Roman" w:hAnsi="Times New Roman"/>
          <w:sz w:val="24"/>
          <w:szCs w:val="24"/>
        </w:rPr>
        <w:t>MDEA</w:t>
      </w:r>
      <w:r>
        <w:rPr>
          <w:rFonts w:ascii="Times New Roman" w:hAnsi="Times New Roman"/>
          <w:sz w:val="24"/>
          <w:szCs w:val="24"/>
        </w:rPr>
        <w:t>。采用复合型</w:t>
      </w:r>
      <w:r>
        <w:rPr>
          <w:rFonts w:ascii="Times New Roman" w:hAnsi="Times New Roman"/>
          <w:sz w:val="24"/>
          <w:szCs w:val="24"/>
        </w:rPr>
        <w:t>MDEA</w:t>
      </w:r>
      <w:r>
        <w:rPr>
          <w:rFonts w:ascii="Times New Roman" w:hAnsi="Times New Roman"/>
          <w:sz w:val="24"/>
          <w:szCs w:val="24"/>
        </w:rPr>
        <w:t>，复合型甲基二乙醇胺（</w:t>
      </w:r>
      <w:r>
        <w:rPr>
          <w:rFonts w:ascii="Times New Roman" w:hAnsi="Times New Roman"/>
          <w:sz w:val="24"/>
          <w:szCs w:val="24"/>
        </w:rPr>
        <w:t>MDEA</w:t>
      </w:r>
      <w:r>
        <w:rPr>
          <w:rFonts w:ascii="Times New Roman" w:hAnsi="Times New Roman"/>
          <w:sz w:val="24"/>
          <w:szCs w:val="24"/>
        </w:rPr>
        <w:t>）溶剂与传统的其他醇胺脱硫剂（</w:t>
      </w:r>
      <w:r>
        <w:rPr>
          <w:rFonts w:ascii="Times New Roman" w:hAnsi="Times New Roman"/>
          <w:sz w:val="24"/>
          <w:szCs w:val="24"/>
        </w:rPr>
        <w:t>MEA</w:t>
      </w:r>
      <w:r>
        <w:rPr>
          <w:rFonts w:ascii="Times New Roman" w:hAnsi="Times New Roman"/>
          <w:sz w:val="24"/>
          <w:szCs w:val="24"/>
        </w:rPr>
        <w:t>、</w:t>
      </w:r>
      <w:r>
        <w:rPr>
          <w:rFonts w:ascii="Times New Roman" w:hAnsi="Times New Roman"/>
          <w:sz w:val="24"/>
          <w:szCs w:val="24"/>
        </w:rPr>
        <w:t>DEA</w:t>
      </w:r>
      <w:r>
        <w:rPr>
          <w:rFonts w:ascii="Times New Roman" w:hAnsi="Times New Roman"/>
          <w:sz w:val="24"/>
          <w:szCs w:val="24"/>
        </w:rPr>
        <w:t>、</w:t>
      </w:r>
      <w:r>
        <w:rPr>
          <w:rFonts w:ascii="Times New Roman" w:hAnsi="Times New Roman"/>
          <w:sz w:val="24"/>
          <w:szCs w:val="24"/>
        </w:rPr>
        <w:t>DIPA</w:t>
      </w:r>
      <w:r>
        <w:rPr>
          <w:rFonts w:ascii="Times New Roman" w:hAnsi="Times New Roman"/>
          <w:sz w:val="24"/>
          <w:szCs w:val="24"/>
        </w:rPr>
        <w:t>）相比主要有以下特点：</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）对</w:t>
      </w: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S</w:t>
      </w:r>
      <w:r>
        <w:rPr>
          <w:rFonts w:ascii="Times New Roman" w:hAnsi="Times New Roman"/>
          <w:sz w:val="24"/>
          <w:szCs w:val="24"/>
        </w:rPr>
        <w:t>有较高的选择吸收性能，溶剂再生后酸性气中</w:t>
      </w: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S</w:t>
      </w:r>
      <w:r>
        <w:rPr>
          <w:rFonts w:ascii="Times New Roman" w:hAnsi="Times New Roman"/>
          <w:sz w:val="24"/>
          <w:szCs w:val="24"/>
        </w:rPr>
        <w:t>浓度可以达到</w:t>
      </w:r>
      <w:r>
        <w:rPr>
          <w:rFonts w:ascii="Times New Roman" w:hAnsi="Times New Roman"/>
          <w:sz w:val="24"/>
          <w:szCs w:val="24"/>
        </w:rPr>
        <w:t>70%</w:t>
      </w:r>
      <w:r>
        <w:rPr>
          <w:rFonts w:ascii="Times New Roman" w:hAnsi="Times New Roman"/>
          <w:sz w:val="24"/>
          <w:szCs w:val="24"/>
        </w:rPr>
        <w:t>（</w:t>
      </w:r>
      <w:r>
        <w:rPr>
          <w:rFonts w:ascii="Times New Roman" w:hAnsi="Times New Roman"/>
          <w:sz w:val="24"/>
          <w:szCs w:val="24"/>
        </w:rPr>
        <w:t>V</w:t>
      </w:r>
      <w:r>
        <w:rPr>
          <w:rFonts w:ascii="Times New Roman" w:hAnsi="Times New Roman"/>
          <w:sz w:val="24"/>
          <w:szCs w:val="24"/>
        </w:rPr>
        <w:t>）以上。</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）溶剂损失量小，其蒸汽压在几种醇胺中最低，而且化学性质稳定，溶剂降解物少。</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）碱性在几种醇胺中最低，故腐蚀性最轻。</w:t>
      </w:r>
      <w:r>
        <w:rPr>
          <w:rFonts w:ascii="Times New Roman" w:hAnsi="Times New Roman"/>
          <w:sz w:val="24"/>
          <w:szCs w:val="24"/>
        </w:rPr>
        <w:tab/>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）装置能耗低。与</w:t>
      </w: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S</w:t>
      </w:r>
      <w:r>
        <w:rPr>
          <w:rFonts w:ascii="Times New Roman" w:hAnsi="Times New Roman"/>
          <w:sz w:val="24"/>
          <w:szCs w:val="24"/>
        </w:rPr>
        <w:t>、</w:t>
      </w:r>
      <w:r>
        <w:rPr>
          <w:rFonts w:ascii="Times New Roman" w:hAnsi="Times New Roman"/>
          <w:sz w:val="24"/>
          <w:szCs w:val="24"/>
        </w:rPr>
        <w:t>CO</w:t>
      </w:r>
      <w:r>
        <w:rPr>
          <w:rFonts w:ascii="Times New Roman" w:hAnsi="Times New Roman"/>
          <w:sz w:val="24"/>
          <w:szCs w:val="24"/>
          <w:vertAlign w:val="subscript"/>
        </w:rPr>
        <w:t>2</w:t>
      </w:r>
      <w:r>
        <w:rPr>
          <w:rFonts w:ascii="Times New Roman" w:hAnsi="Times New Roman"/>
          <w:sz w:val="24"/>
          <w:szCs w:val="24"/>
        </w:rPr>
        <w:t>的反应热最小，同时使用浓度可达</w:t>
      </w:r>
      <w:r>
        <w:rPr>
          <w:rFonts w:ascii="Times New Roman" w:hAnsi="Times New Roman"/>
          <w:sz w:val="24"/>
          <w:szCs w:val="24"/>
        </w:rPr>
        <w:t>35</w:t>
      </w:r>
      <w:r>
        <w:rPr>
          <w:rFonts w:ascii="Times New Roman" w:hAnsi="Times New Roman"/>
          <w:sz w:val="24"/>
          <w:szCs w:val="24"/>
        </w:rPr>
        <w:t>～</w:t>
      </w:r>
      <w:r>
        <w:rPr>
          <w:rFonts w:ascii="Times New Roman" w:hAnsi="Times New Roman"/>
          <w:sz w:val="24"/>
          <w:szCs w:val="24"/>
        </w:rPr>
        <w:t>45%</w:t>
      </w:r>
      <w:r>
        <w:rPr>
          <w:rFonts w:ascii="Times New Roman" w:hAnsi="Times New Roman"/>
          <w:sz w:val="24"/>
          <w:szCs w:val="24"/>
        </w:rPr>
        <w:t>，溶剂循环量低，故再生需要的蒸汽量减少。</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）节省投资。因其对</w:t>
      </w: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S</w:t>
      </w:r>
      <w:r>
        <w:rPr>
          <w:rFonts w:ascii="Times New Roman" w:hAnsi="Times New Roman"/>
          <w:sz w:val="24"/>
          <w:szCs w:val="24"/>
        </w:rPr>
        <w:t>选择性吸收率高，溶剂循环量降低且使用浓度高，故减小了设备尺寸，节省投资。</w:t>
      </w:r>
    </w:p>
    <w:p w:rsidR="00525419" w:rsidRDefault="00EE1CF7">
      <w:pPr>
        <w:pStyle w:val="afffe"/>
        <w:adjustRightInd w:val="0"/>
        <w:spacing w:after="0" w:line="360" w:lineRule="auto"/>
        <w:ind w:firstLineChars="200" w:firstLine="480"/>
        <w:rPr>
          <w:sz w:val="24"/>
        </w:rPr>
      </w:pPr>
      <w:r>
        <w:rPr>
          <w:sz w:val="24"/>
        </w:rPr>
        <w:t>②</w:t>
      </w:r>
      <w:r>
        <w:rPr>
          <w:sz w:val="24"/>
        </w:rPr>
        <w:t>工艺流程简述</w:t>
      </w:r>
    </w:p>
    <w:p w:rsidR="00525419" w:rsidRDefault="00EE1CF7">
      <w:pPr>
        <w:pStyle w:val="afffe"/>
        <w:adjustRightInd w:val="0"/>
        <w:spacing w:after="0" w:line="360" w:lineRule="auto"/>
        <w:ind w:firstLineChars="200" w:firstLine="480"/>
        <w:rPr>
          <w:sz w:val="24"/>
        </w:rPr>
      </w:pPr>
      <w:r>
        <w:rPr>
          <w:sz w:val="24"/>
        </w:rPr>
        <w:t>自上游装置来的富液和自硫磺装置来的富液进入本装置界区后，经富液过滤器过滤后至贫富液一级换热器、贫富液二级换热器与贫液换热进入富液闪蒸罐后进入再生塔再生。闪蒸出大部分溶解烃，闪蒸烃与自酸性水汽提单元来的闪蒸烃经贫液洗去闪蒸出的部分硫化氢后，压控送至低瓦系统或火炬系统。塔底由再生</w:t>
      </w:r>
      <w:r>
        <w:rPr>
          <w:sz w:val="24"/>
        </w:rPr>
        <w:lastRenderedPageBreak/>
        <w:t>塔底重沸器供热，热源由</w:t>
      </w:r>
      <w:r>
        <w:rPr>
          <w:sz w:val="24"/>
        </w:rPr>
        <w:t>0.4MPa</w:t>
      </w:r>
      <w:r>
        <w:rPr>
          <w:sz w:val="24"/>
        </w:rPr>
        <w:t>蒸汽提供。再生塔底出来的贫液经再生塔底泵提升送与富液一级换热器、贫富液二级换热器冷却后，由再生贫液冷却器进一步冷却后进入溶剂储罐。溶剂储罐出来的贫液经再生贫液泵升压后分三路，一路送至贫液三级过滤器过滤后与硫磺单元抽出的半贫胺液进行混合后送出界区至上游各装置；另一路经流控送至富液闪蒸罐吸收段，另一路送至硫磺单元尾气吸收塔。</w:t>
      </w:r>
    </w:p>
    <w:p w:rsidR="00525419" w:rsidRDefault="00EE1CF7">
      <w:pPr>
        <w:pStyle w:val="afffe"/>
        <w:adjustRightInd w:val="0"/>
        <w:spacing w:after="0" w:line="360" w:lineRule="auto"/>
        <w:ind w:firstLineChars="200" w:firstLine="480"/>
        <w:rPr>
          <w:sz w:val="24"/>
        </w:rPr>
      </w:pPr>
      <w:r>
        <w:rPr>
          <w:sz w:val="24"/>
        </w:rPr>
        <w:t>再生塔顶酸性气经再生塔顶水冷器冷却后进入再生酸性气分液罐进行气液分离，酸性气送至酸性气管网进入硫磺回收单元。酸性气分液罐的酸性水经再生塔顶回流泵升压后返回溶剂再生塔上部作回流。</w:t>
      </w:r>
    </w:p>
    <w:p w:rsidR="00525419" w:rsidRDefault="00EE1CF7">
      <w:pPr>
        <w:pStyle w:val="afffe"/>
        <w:adjustRightInd w:val="0"/>
        <w:spacing w:after="0" w:line="360" w:lineRule="auto"/>
        <w:ind w:firstLineChars="200" w:firstLine="480"/>
        <w:rPr>
          <w:sz w:val="24"/>
        </w:rPr>
      </w:pPr>
      <w:r>
        <w:rPr>
          <w:sz w:val="24"/>
        </w:rPr>
        <w:t>溶剂再生工艺流程及产污环节见图</w:t>
      </w:r>
      <w:r>
        <w:rPr>
          <w:sz w:val="24"/>
        </w:rPr>
        <w:t>3.5-5</w:t>
      </w:r>
      <w:r>
        <w:rPr>
          <w:sz w:val="24"/>
        </w:rPr>
        <w:t>。</w:t>
      </w:r>
    </w:p>
    <w:p w:rsidR="00525419" w:rsidRDefault="007D0E8A">
      <w:pPr>
        <w:pStyle w:val="afffe"/>
        <w:adjustRightInd w:val="0"/>
        <w:spacing w:after="0" w:line="360" w:lineRule="auto"/>
        <w:ind w:firstLineChars="0" w:firstLine="0"/>
        <w:rPr>
          <w:sz w:val="24"/>
        </w:rPr>
      </w:pPr>
      <w:r>
        <w:rPr>
          <w:sz w:val="24"/>
        </w:rPr>
        <w:pict>
          <v:group id="Group 2029" o:spid="_x0000_s1952" style="position:absolute;left:0;text-align:left;margin-left:42.9pt;margin-top:7.05pt;width:285.75pt;height:60.3pt;z-index:251642368" coordorigin="2655,10452" coordsize="5715,1206">
            <v:shape id="Quad Arrow 2030" o:spid="_x0000_s1953" type="#_x0000_t202" style="position:absolute;left:3705;top:10911;width:750;height:312" o:preferrelative="t">
              <v:stroke miterlimit="2"/>
              <v:textbox inset="1.42pt,.85pt,1.42pt,.85pt">
                <w:txbxContent>
                  <w:p w:rsidR="00EE1CF7" w:rsidRDefault="00EE1CF7">
                    <w:r>
                      <w:rPr>
                        <w:rFonts w:hint="eastAsia"/>
                      </w:rPr>
                      <w:t>闪蒸罐</w:t>
                    </w:r>
                  </w:p>
                </w:txbxContent>
              </v:textbox>
            </v:shape>
            <v:shape id="Quad Arrow 2031" o:spid="_x0000_s1954" type="#_x0000_t202" style="position:absolute;left:2655;top:10911;width:570;height:312" o:preferrelative="t" filled="f" stroked="f">
              <v:textbox inset="1.42pt,.85pt,1.42pt,.85pt">
                <w:txbxContent>
                  <w:p w:rsidR="00EE1CF7" w:rsidRDefault="00EE1CF7">
                    <w:r>
                      <w:rPr>
                        <w:rFonts w:hint="eastAsia"/>
                      </w:rPr>
                      <w:t>富液</w:t>
                    </w:r>
                  </w:p>
                </w:txbxContent>
              </v:textbox>
            </v:shape>
            <v:line id="Line 2032" o:spid="_x0000_s1955" style="position:absolute" from="3165,11076" to="3705,11076" o:preferrelative="t">
              <v:stroke endarrow="block" miterlimit="2"/>
            </v:line>
            <v:shape id="Quad Arrow 2033" o:spid="_x0000_s1956" type="#_x0000_t202" style="position:absolute;left:5085;top:10911;width:765;height:312" o:preferrelative="t">
              <v:stroke miterlimit="2"/>
              <v:textbox inset="1.42pt,.85pt,1.42pt,.85pt">
                <w:txbxContent>
                  <w:p w:rsidR="00EE1CF7" w:rsidRDefault="00EE1CF7">
                    <w:r>
                      <w:rPr>
                        <w:rFonts w:hint="eastAsia"/>
                      </w:rPr>
                      <w:t xml:space="preserve">再生塔　</w:t>
                    </w:r>
                  </w:p>
                </w:txbxContent>
              </v:textbox>
            </v:shape>
            <v:line id="Line 2034" o:spid="_x0000_s1957" style="position:absolute" from="4455,11076" to="5085,11076" o:preferrelative="t">
              <v:stroke endarrow="block" miterlimit="2"/>
            </v:line>
            <v:line id="Line 2035" o:spid="_x0000_s1958" style="position:absolute" from="7320,10764" to="7680,10764" o:preferrelative="t">
              <v:stroke endarrow="block" miterlimit="2"/>
            </v:line>
            <v:shape id="Quad Arrow 2036" o:spid="_x0000_s1959" type="#_x0000_t202" style="position:absolute;left:6555;top:10608;width:750;height:312" o:preferrelative="t">
              <v:stroke miterlimit="2"/>
              <v:textbox inset="1.42pt,.85pt,1.42pt,.85pt">
                <w:txbxContent>
                  <w:p w:rsidR="00EE1CF7" w:rsidRDefault="00EE1CF7">
                    <w:r>
                      <w:rPr>
                        <w:rFonts w:hint="eastAsia"/>
                      </w:rPr>
                      <w:t>回流罐</w:t>
                    </w:r>
                  </w:p>
                </w:txbxContent>
              </v:textbox>
            </v:shape>
            <v:line id="Line 2037" o:spid="_x0000_s1960" style="position:absolute;flip:y" from="5670,10764" to="5670,10920" o:preferrelative="t">
              <v:stroke miterlimit="2"/>
            </v:line>
            <v:line id="Line 2038" o:spid="_x0000_s1961" style="position:absolute" from="5670,10764" to="6570,10764" o:preferrelative="t">
              <v:stroke endarrow="block" miterlimit="2"/>
            </v:line>
            <v:line id="Line 2039" o:spid="_x0000_s1962" style="position:absolute" from="6750,10920" to="6750,11076" o:preferrelative="t">
              <v:stroke miterlimit="2"/>
            </v:line>
            <v:line id="Line 2040" o:spid="_x0000_s1963" style="position:absolute;flip:x" from="5850,11076" to="6750,11076" o:preferrelative="t">
              <v:stroke endarrow="block" miterlimit="2"/>
            </v:line>
            <v:shape id="Quad Arrow 2041" o:spid="_x0000_s1964" type="#_x0000_t202" style="position:absolute;left:7680;top:10608;width:690;height:312" o:preferrelative="t" filled="f" stroked="f">
              <v:textbox inset="1.42pt,.85pt,1.42pt,.85pt">
                <w:txbxContent>
                  <w:p w:rsidR="00EE1CF7" w:rsidRDefault="00EE1CF7">
                    <w:r>
                      <w:rPr>
                        <w:rFonts w:hint="eastAsia"/>
                      </w:rPr>
                      <w:t>酸性气</w:t>
                    </w:r>
                  </w:p>
                </w:txbxContent>
              </v:textbox>
            </v:shape>
            <v:shape id="Straight Connector 2042" o:spid="_x0000_s1965" type="#_x0000_t32" style="position:absolute;left:5460;top:11466;width:840;height:0" o:connectortype="straight" o:preferrelative="t">
              <v:stroke endarrow="block" miterlimit="2"/>
            </v:shape>
            <v:shape id="Straight Connector 2043" o:spid="_x0000_s1966" type="#_x0000_t32" style="position:absolute;left:5460;top:11223;width:0;height:243" o:connectortype="straight" o:preferrelative="t">
              <v:stroke miterlimit="2"/>
            </v:shape>
            <v:shape id="Quad Arrow 2044" o:spid="_x0000_s1967" type="#_x0000_t202" style="position:absolute;left:6300;top:11346;width:570;height:312" o:preferrelative="t" filled="f" stroked="f">
              <v:textbox inset="1.42pt,.85pt,1.42pt,.85pt">
                <w:txbxContent>
                  <w:p w:rsidR="00EE1CF7" w:rsidRDefault="00EE1CF7">
                    <w:r>
                      <w:rPr>
                        <w:rFonts w:hint="eastAsia"/>
                      </w:rPr>
                      <w:t>贫液</w:t>
                    </w:r>
                  </w:p>
                </w:txbxContent>
              </v:textbox>
            </v:shape>
            <v:shape id="Straight Connector 2045" o:spid="_x0000_s1968" type="#_x0000_t32" style="position:absolute;left:4095;top:10608;width:15;height:312" o:connectortype="straight" o:preferrelative="t">
              <v:stroke miterlimit="2"/>
            </v:shape>
            <v:shape id="Straight Connector 2046" o:spid="_x0000_s1969" type="#_x0000_t32" style="position:absolute;left:4110;top:10608;width:495;height:0" o:connectortype="straight" o:preferrelative="t">
              <v:stroke endarrow="block" miterlimit="2"/>
            </v:shape>
            <v:shape id="Quad Arrow 2047" o:spid="_x0000_s1970" type="#_x0000_t202" style="position:absolute;left:4605;top:10452;width:570;height:312" o:preferrelative="t" filled="f" stroked="f">
              <v:textbox inset="1.42pt,.85pt,1.42pt,.85pt">
                <w:txbxContent>
                  <w:p w:rsidR="00EE1CF7" w:rsidRDefault="00EE1CF7">
                    <w:r>
                      <w:rPr>
                        <w:rFonts w:hint="eastAsia"/>
                      </w:rPr>
                      <w:t>轻烃</w:t>
                    </w:r>
                  </w:p>
                </w:txbxContent>
              </v:textbox>
            </v:shape>
          </v:group>
        </w:pict>
      </w:r>
    </w:p>
    <w:p w:rsidR="00525419" w:rsidRDefault="00525419">
      <w:pPr>
        <w:pStyle w:val="afffe"/>
        <w:adjustRightInd w:val="0"/>
        <w:spacing w:after="0" w:line="360" w:lineRule="auto"/>
        <w:ind w:firstLineChars="0" w:firstLine="0"/>
        <w:rPr>
          <w:sz w:val="24"/>
        </w:rPr>
      </w:pPr>
    </w:p>
    <w:p w:rsidR="00525419" w:rsidRDefault="00525419">
      <w:pPr>
        <w:pStyle w:val="afffe"/>
        <w:adjustRightInd w:val="0"/>
        <w:spacing w:after="0" w:line="360" w:lineRule="auto"/>
        <w:ind w:firstLineChars="0" w:firstLine="0"/>
        <w:rPr>
          <w:sz w:val="24"/>
        </w:rPr>
      </w:pPr>
    </w:p>
    <w:p w:rsidR="00525419" w:rsidRDefault="00EE1CF7">
      <w:pPr>
        <w:spacing w:line="360" w:lineRule="auto"/>
        <w:ind w:firstLineChars="200" w:firstLine="482"/>
        <w:jc w:val="center"/>
        <w:rPr>
          <w:rFonts w:ascii="Times New Roman" w:hAnsi="Times New Roman"/>
          <w:b/>
          <w:sz w:val="24"/>
          <w:szCs w:val="24"/>
        </w:rPr>
      </w:pPr>
      <w:r>
        <w:rPr>
          <w:rFonts w:ascii="Times New Roman" w:hAnsi="Times New Roman"/>
          <w:b/>
          <w:sz w:val="24"/>
          <w:szCs w:val="24"/>
        </w:rPr>
        <w:t>图</w:t>
      </w:r>
      <w:r>
        <w:rPr>
          <w:rFonts w:ascii="Times New Roman" w:hAnsi="Times New Roman"/>
          <w:b/>
          <w:sz w:val="24"/>
          <w:szCs w:val="24"/>
        </w:rPr>
        <w:t>3.5-5</w:t>
      </w:r>
      <w:r>
        <w:rPr>
          <w:rFonts w:ascii="Times New Roman" w:hAnsi="Times New Roman"/>
          <w:b/>
          <w:sz w:val="24"/>
          <w:szCs w:val="24"/>
        </w:rPr>
        <w:t xml:space="preserve">　　溶剂再生工艺流程及产污环节图</w:t>
      </w:r>
    </w:p>
    <w:p w:rsidR="00525419" w:rsidRDefault="00EE1CF7">
      <w:pPr>
        <w:pStyle w:val="afffe"/>
        <w:adjustRightInd w:val="0"/>
        <w:spacing w:after="0" w:line="360" w:lineRule="auto"/>
        <w:ind w:firstLineChars="200" w:firstLine="480"/>
        <w:rPr>
          <w:sz w:val="24"/>
        </w:rPr>
      </w:pPr>
      <w:r>
        <w:rPr>
          <w:sz w:val="24"/>
        </w:rPr>
        <w:t>③</w:t>
      </w:r>
      <w:r>
        <w:rPr>
          <w:sz w:val="24"/>
        </w:rPr>
        <w:t>物料平衡</w:t>
      </w:r>
    </w:p>
    <w:p w:rsidR="00525419" w:rsidRDefault="00EE1CF7">
      <w:pPr>
        <w:pStyle w:val="afffe"/>
        <w:adjustRightInd w:val="0"/>
        <w:spacing w:after="0" w:line="360" w:lineRule="auto"/>
        <w:ind w:firstLineChars="200" w:firstLine="480"/>
        <w:rPr>
          <w:sz w:val="24"/>
        </w:rPr>
      </w:pPr>
      <w:r>
        <w:rPr>
          <w:sz w:val="24"/>
        </w:rPr>
        <w:t>溶剂再生物料平衡见表</w:t>
      </w:r>
      <w:r>
        <w:rPr>
          <w:sz w:val="24"/>
        </w:rPr>
        <w:t>3.5-13</w:t>
      </w:r>
      <w:r>
        <w:rPr>
          <w:sz w:val="24"/>
        </w:rPr>
        <w:t>。</w:t>
      </w:r>
    </w:p>
    <w:p w:rsidR="00525419" w:rsidRDefault="00EE1CF7">
      <w:pPr>
        <w:autoSpaceDE w:val="0"/>
        <w:autoSpaceDN w:val="0"/>
        <w:adjustRightInd w:val="0"/>
        <w:spacing w:line="240" w:lineRule="atLeast"/>
        <w:ind w:right="1332" w:firstLineChars="200" w:firstLine="420"/>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3.5-13</w:t>
      </w:r>
      <w:r>
        <w:rPr>
          <w:rFonts w:ascii="Times New Roman" w:eastAsia="黑体" w:hAnsi="Times New Roman"/>
          <w:szCs w:val="21"/>
        </w:rPr>
        <w:t xml:space="preserve">　　溶剂再生物料平衡表　　单位：万</w:t>
      </w:r>
      <w:r>
        <w:rPr>
          <w:rFonts w:ascii="Times New Roman" w:eastAsia="黑体" w:hAnsi="Times New Roman"/>
          <w:szCs w:val="21"/>
        </w:rPr>
        <w:t>t/a</w:t>
      </w:r>
    </w:p>
    <w:tbl>
      <w:tblPr>
        <w:tblW w:w="85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53"/>
        <w:gridCol w:w="1161"/>
        <w:gridCol w:w="1654"/>
        <w:gridCol w:w="1092"/>
        <w:gridCol w:w="1780"/>
        <w:gridCol w:w="1373"/>
      </w:tblGrid>
      <w:tr w:rsidR="00525419">
        <w:trPr>
          <w:cantSplit/>
          <w:trHeight w:val="335"/>
          <w:jc w:val="center"/>
        </w:trPr>
        <w:tc>
          <w:tcPr>
            <w:tcW w:w="2614" w:type="dxa"/>
            <w:gridSpan w:val="2"/>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投入</w:t>
            </w:r>
          </w:p>
        </w:tc>
        <w:tc>
          <w:tcPr>
            <w:tcW w:w="2746" w:type="dxa"/>
            <w:gridSpan w:val="2"/>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产出</w:t>
            </w:r>
          </w:p>
        </w:tc>
        <w:tc>
          <w:tcPr>
            <w:tcW w:w="3153" w:type="dxa"/>
            <w:gridSpan w:val="2"/>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流失</w:t>
            </w:r>
          </w:p>
        </w:tc>
      </w:tr>
      <w:tr w:rsidR="00525419">
        <w:trPr>
          <w:cantSplit/>
          <w:trHeight w:val="313"/>
          <w:jc w:val="center"/>
        </w:trPr>
        <w:tc>
          <w:tcPr>
            <w:tcW w:w="1453"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物料名称</w:t>
            </w:r>
          </w:p>
        </w:tc>
        <w:tc>
          <w:tcPr>
            <w:tcW w:w="116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投入量</w:t>
            </w:r>
          </w:p>
        </w:tc>
        <w:tc>
          <w:tcPr>
            <w:tcW w:w="1654"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产品名称</w:t>
            </w:r>
          </w:p>
        </w:tc>
        <w:tc>
          <w:tcPr>
            <w:tcW w:w="109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产出量</w:t>
            </w:r>
          </w:p>
        </w:tc>
        <w:tc>
          <w:tcPr>
            <w:tcW w:w="178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流失物名称</w:t>
            </w:r>
          </w:p>
        </w:tc>
        <w:tc>
          <w:tcPr>
            <w:tcW w:w="1373"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流失量</w:t>
            </w:r>
          </w:p>
        </w:tc>
      </w:tr>
      <w:tr w:rsidR="00525419">
        <w:trPr>
          <w:cantSplit/>
          <w:trHeight w:val="179"/>
          <w:jc w:val="center"/>
        </w:trPr>
        <w:tc>
          <w:tcPr>
            <w:tcW w:w="1453" w:type="dxa"/>
            <w:vMerge w:val="restart"/>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szCs w:val="21"/>
              </w:rPr>
              <w:t>富液</w:t>
            </w:r>
          </w:p>
        </w:tc>
        <w:tc>
          <w:tcPr>
            <w:tcW w:w="1161" w:type="dxa"/>
            <w:vMerge w:val="restart"/>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kern w:val="0"/>
                <w:szCs w:val="21"/>
              </w:rPr>
              <w:t>32.6</w:t>
            </w:r>
          </w:p>
        </w:tc>
        <w:tc>
          <w:tcPr>
            <w:tcW w:w="1654"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szCs w:val="21"/>
              </w:rPr>
              <w:t>酸性气</w:t>
            </w:r>
          </w:p>
        </w:tc>
        <w:tc>
          <w:tcPr>
            <w:tcW w:w="1092" w:type="dxa"/>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szCs w:val="21"/>
              </w:rPr>
              <w:t>0.6</w:t>
            </w:r>
          </w:p>
        </w:tc>
        <w:tc>
          <w:tcPr>
            <w:tcW w:w="1780" w:type="dxa"/>
            <w:vMerge w:val="restart"/>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轻烃</w:t>
            </w:r>
          </w:p>
        </w:tc>
        <w:tc>
          <w:tcPr>
            <w:tcW w:w="1373" w:type="dxa"/>
            <w:vMerge w:val="restart"/>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极少</w:t>
            </w:r>
          </w:p>
        </w:tc>
      </w:tr>
      <w:tr w:rsidR="00525419">
        <w:trPr>
          <w:cantSplit/>
          <w:trHeight w:val="201"/>
          <w:jc w:val="center"/>
        </w:trPr>
        <w:tc>
          <w:tcPr>
            <w:tcW w:w="1453" w:type="dxa"/>
            <w:vMerge/>
            <w:tcBorders>
              <w:tl2br w:val="nil"/>
              <w:tr2bl w:val="nil"/>
            </w:tcBorders>
            <w:vAlign w:val="center"/>
          </w:tcPr>
          <w:p w:rsidR="00525419" w:rsidRDefault="00525419">
            <w:pPr>
              <w:widowControl/>
              <w:spacing w:line="240" w:lineRule="atLeast"/>
              <w:jc w:val="center"/>
              <w:rPr>
                <w:rFonts w:ascii="Times New Roman" w:hAnsi="Times New Roman"/>
                <w:szCs w:val="21"/>
              </w:rPr>
            </w:pPr>
          </w:p>
        </w:tc>
        <w:tc>
          <w:tcPr>
            <w:tcW w:w="1161" w:type="dxa"/>
            <w:vMerge/>
            <w:tcBorders>
              <w:tl2br w:val="nil"/>
              <w:tr2bl w:val="nil"/>
            </w:tcBorders>
            <w:vAlign w:val="center"/>
          </w:tcPr>
          <w:p w:rsidR="00525419" w:rsidRDefault="00525419">
            <w:pPr>
              <w:widowControl/>
              <w:spacing w:line="240" w:lineRule="atLeast"/>
              <w:jc w:val="center"/>
              <w:rPr>
                <w:rFonts w:ascii="Times New Roman" w:hAnsi="Times New Roman"/>
                <w:kern w:val="0"/>
                <w:szCs w:val="21"/>
              </w:rPr>
            </w:pPr>
          </w:p>
        </w:tc>
        <w:tc>
          <w:tcPr>
            <w:tcW w:w="1654"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贫液</w:t>
            </w:r>
          </w:p>
        </w:tc>
        <w:tc>
          <w:tcPr>
            <w:tcW w:w="109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kern w:val="0"/>
                <w:szCs w:val="21"/>
              </w:rPr>
              <w:t>32</w:t>
            </w:r>
          </w:p>
        </w:tc>
        <w:tc>
          <w:tcPr>
            <w:tcW w:w="1780"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373" w:type="dxa"/>
            <w:vMerge/>
            <w:tcBorders>
              <w:tl2br w:val="nil"/>
              <w:tr2bl w:val="nil"/>
            </w:tcBorders>
            <w:vAlign w:val="center"/>
          </w:tcPr>
          <w:p w:rsidR="00525419" w:rsidRDefault="00525419">
            <w:pPr>
              <w:spacing w:line="240" w:lineRule="atLeast"/>
              <w:jc w:val="center"/>
              <w:rPr>
                <w:rFonts w:ascii="Times New Roman" w:hAnsi="Times New Roman"/>
                <w:szCs w:val="21"/>
              </w:rPr>
            </w:pPr>
          </w:p>
        </w:tc>
      </w:tr>
      <w:tr w:rsidR="00525419">
        <w:trPr>
          <w:cantSplit/>
          <w:trHeight w:val="279"/>
          <w:jc w:val="center"/>
        </w:trPr>
        <w:tc>
          <w:tcPr>
            <w:tcW w:w="1453"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小计</w:t>
            </w:r>
          </w:p>
        </w:tc>
        <w:tc>
          <w:tcPr>
            <w:tcW w:w="116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32.6</w:t>
            </w:r>
          </w:p>
        </w:tc>
        <w:tc>
          <w:tcPr>
            <w:tcW w:w="1654"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小计</w:t>
            </w:r>
          </w:p>
        </w:tc>
        <w:tc>
          <w:tcPr>
            <w:tcW w:w="109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32.6</w:t>
            </w:r>
          </w:p>
        </w:tc>
        <w:tc>
          <w:tcPr>
            <w:tcW w:w="178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小计</w:t>
            </w:r>
          </w:p>
        </w:tc>
        <w:tc>
          <w:tcPr>
            <w:tcW w:w="1373"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w:t>
            </w:r>
          </w:p>
        </w:tc>
      </w:tr>
    </w:tbl>
    <w:p w:rsidR="00525419" w:rsidRDefault="00EE1CF7">
      <w:pPr>
        <w:pStyle w:val="afffe"/>
        <w:adjustRightInd w:val="0"/>
        <w:spacing w:after="0" w:line="360" w:lineRule="auto"/>
        <w:ind w:firstLineChars="200" w:firstLine="480"/>
        <w:rPr>
          <w:sz w:val="24"/>
        </w:rPr>
      </w:pPr>
      <w:r>
        <w:rPr>
          <w:sz w:val="24"/>
        </w:rPr>
        <w:t>④</w:t>
      </w:r>
      <w:r>
        <w:rPr>
          <w:sz w:val="24"/>
        </w:rPr>
        <w:t>能耗消耗</w:t>
      </w:r>
    </w:p>
    <w:p w:rsidR="00525419" w:rsidRDefault="00EE1CF7">
      <w:pPr>
        <w:pStyle w:val="afffe"/>
        <w:adjustRightInd w:val="0"/>
        <w:spacing w:after="0" w:line="360" w:lineRule="auto"/>
        <w:ind w:firstLineChars="200" w:firstLine="480"/>
        <w:rPr>
          <w:sz w:val="24"/>
        </w:rPr>
      </w:pPr>
      <w:r>
        <w:rPr>
          <w:sz w:val="24"/>
        </w:rPr>
        <w:t>溶剂再生能源消耗指标见表</w:t>
      </w:r>
      <w:r>
        <w:rPr>
          <w:sz w:val="24"/>
        </w:rPr>
        <w:t>3.5-14</w:t>
      </w:r>
      <w:r>
        <w:rPr>
          <w:sz w:val="24"/>
        </w:rPr>
        <w:t>。</w:t>
      </w:r>
    </w:p>
    <w:p w:rsidR="00525419" w:rsidRDefault="00EE1CF7">
      <w:pPr>
        <w:snapToGrid w:val="0"/>
        <w:spacing w:line="240" w:lineRule="atLeast"/>
        <w:ind w:firstLineChars="200" w:firstLine="420"/>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3.5-14</w:t>
      </w:r>
      <w:r>
        <w:rPr>
          <w:rFonts w:ascii="Times New Roman" w:eastAsia="黑体" w:hAnsi="Times New Roman"/>
          <w:szCs w:val="21"/>
        </w:rPr>
        <w:t xml:space="preserve">　溶剂再生单元消耗指标表</w:t>
      </w:r>
    </w:p>
    <w:tbl>
      <w:tblPr>
        <w:tblW w:w="83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1550"/>
        <w:gridCol w:w="956"/>
        <w:gridCol w:w="1016"/>
        <w:gridCol w:w="784"/>
        <w:gridCol w:w="911"/>
        <w:gridCol w:w="1180"/>
        <w:gridCol w:w="1389"/>
      </w:tblGrid>
      <w:tr w:rsidR="00525419">
        <w:trPr>
          <w:cantSplit/>
        </w:trPr>
        <w:tc>
          <w:tcPr>
            <w:tcW w:w="567" w:type="dxa"/>
            <w:vMerge w:val="restart"/>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序</w:t>
            </w:r>
          </w:p>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号</w:t>
            </w:r>
          </w:p>
        </w:tc>
        <w:tc>
          <w:tcPr>
            <w:tcW w:w="1550" w:type="dxa"/>
            <w:vMerge w:val="restart"/>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项目</w:t>
            </w:r>
          </w:p>
        </w:tc>
        <w:tc>
          <w:tcPr>
            <w:tcW w:w="6236" w:type="dxa"/>
            <w:gridSpan w:val="6"/>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消耗量</w:t>
            </w:r>
          </w:p>
        </w:tc>
      </w:tr>
      <w:tr w:rsidR="00525419">
        <w:trPr>
          <w:cantSplit/>
        </w:trPr>
        <w:tc>
          <w:tcPr>
            <w:tcW w:w="567" w:type="dxa"/>
            <w:vMerge/>
            <w:tcBorders>
              <w:tl2br w:val="nil"/>
              <w:tr2bl w:val="nil"/>
            </w:tcBorders>
          </w:tcPr>
          <w:p w:rsidR="00525419" w:rsidRDefault="00525419">
            <w:pPr>
              <w:autoSpaceDE w:val="0"/>
              <w:autoSpaceDN w:val="0"/>
              <w:spacing w:line="240" w:lineRule="atLeast"/>
              <w:jc w:val="center"/>
              <w:textAlignment w:val="bottom"/>
              <w:rPr>
                <w:rFonts w:ascii="Times New Roman" w:hAnsi="Times New Roman"/>
                <w:szCs w:val="21"/>
              </w:rPr>
            </w:pPr>
          </w:p>
        </w:tc>
        <w:tc>
          <w:tcPr>
            <w:tcW w:w="1550" w:type="dxa"/>
            <w:vMerge/>
            <w:tcBorders>
              <w:tl2br w:val="nil"/>
              <w:tr2bl w:val="nil"/>
            </w:tcBorders>
          </w:tcPr>
          <w:p w:rsidR="00525419" w:rsidRDefault="00525419">
            <w:pPr>
              <w:autoSpaceDE w:val="0"/>
              <w:autoSpaceDN w:val="0"/>
              <w:spacing w:line="240" w:lineRule="atLeast"/>
              <w:jc w:val="center"/>
              <w:textAlignment w:val="bottom"/>
              <w:rPr>
                <w:rFonts w:ascii="Times New Roman" w:hAnsi="Times New Roman"/>
                <w:szCs w:val="21"/>
              </w:rPr>
            </w:pPr>
          </w:p>
        </w:tc>
        <w:tc>
          <w:tcPr>
            <w:tcW w:w="1972" w:type="dxa"/>
            <w:gridSpan w:val="2"/>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单位耗量</w:t>
            </w:r>
          </w:p>
        </w:tc>
        <w:tc>
          <w:tcPr>
            <w:tcW w:w="1695" w:type="dxa"/>
            <w:gridSpan w:val="2"/>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小时耗量</w:t>
            </w:r>
          </w:p>
        </w:tc>
        <w:tc>
          <w:tcPr>
            <w:tcW w:w="2569" w:type="dxa"/>
            <w:gridSpan w:val="2"/>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年耗量</w:t>
            </w:r>
          </w:p>
        </w:tc>
      </w:tr>
      <w:tr w:rsidR="00525419">
        <w:trPr>
          <w:cantSplit/>
        </w:trPr>
        <w:tc>
          <w:tcPr>
            <w:tcW w:w="567" w:type="dxa"/>
            <w:vMerge/>
            <w:tcBorders>
              <w:tl2br w:val="nil"/>
              <w:tr2bl w:val="nil"/>
            </w:tcBorders>
          </w:tcPr>
          <w:p w:rsidR="00525419" w:rsidRDefault="00525419">
            <w:pPr>
              <w:autoSpaceDE w:val="0"/>
              <w:autoSpaceDN w:val="0"/>
              <w:spacing w:line="240" w:lineRule="atLeast"/>
              <w:jc w:val="center"/>
              <w:textAlignment w:val="bottom"/>
              <w:rPr>
                <w:rFonts w:ascii="Times New Roman" w:hAnsi="Times New Roman"/>
                <w:szCs w:val="21"/>
              </w:rPr>
            </w:pPr>
          </w:p>
        </w:tc>
        <w:tc>
          <w:tcPr>
            <w:tcW w:w="1550" w:type="dxa"/>
            <w:vMerge/>
            <w:tcBorders>
              <w:tl2br w:val="nil"/>
              <w:tr2bl w:val="nil"/>
            </w:tcBorders>
          </w:tcPr>
          <w:p w:rsidR="00525419" w:rsidRDefault="00525419">
            <w:pPr>
              <w:autoSpaceDE w:val="0"/>
              <w:autoSpaceDN w:val="0"/>
              <w:spacing w:line="240" w:lineRule="atLeast"/>
              <w:jc w:val="center"/>
              <w:textAlignment w:val="bottom"/>
              <w:rPr>
                <w:rFonts w:ascii="Times New Roman" w:hAnsi="Times New Roman"/>
                <w:szCs w:val="21"/>
              </w:rPr>
            </w:pPr>
          </w:p>
        </w:tc>
        <w:tc>
          <w:tcPr>
            <w:tcW w:w="956" w:type="dxa"/>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单位</w:t>
            </w:r>
          </w:p>
        </w:tc>
        <w:tc>
          <w:tcPr>
            <w:tcW w:w="1016" w:type="dxa"/>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数量</w:t>
            </w:r>
          </w:p>
        </w:tc>
        <w:tc>
          <w:tcPr>
            <w:tcW w:w="784" w:type="dxa"/>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单位</w:t>
            </w:r>
          </w:p>
        </w:tc>
        <w:tc>
          <w:tcPr>
            <w:tcW w:w="911" w:type="dxa"/>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数量</w:t>
            </w:r>
          </w:p>
        </w:tc>
        <w:tc>
          <w:tcPr>
            <w:tcW w:w="1180" w:type="dxa"/>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单位</w:t>
            </w:r>
          </w:p>
        </w:tc>
        <w:tc>
          <w:tcPr>
            <w:tcW w:w="1389" w:type="dxa"/>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数量</w:t>
            </w:r>
          </w:p>
        </w:tc>
      </w:tr>
      <w:tr w:rsidR="00525419">
        <w:trPr>
          <w:cantSplit/>
        </w:trPr>
        <w:tc>
          <w:tcPr>
            <w:tcW w:w="567"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w:t>
            </w:r>
          </w:p>
        </w:tc>
        <w:tc>
          <w:tcPr>
            <w:tcW w:w="1550"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kern w:val="0"/>
                <w:szCs w:val="21"/>
              </w:rPr>
            </w:pPr>
            <w:r>
              <w:rPr>
                <w:rFonts w:ascii="Times New Roman" w:hAnsi="Times New Roman"/>
                <w:kern w:val="0"/>
                <w:szCs w:val="21"/>
              </w:rPr>
              <w:t>新鲜水</w:t>
            </w:r>
          </w:p>
        </w:tc>
        <w:tc>
          <w:tcPr>
            <w:tcW w:w="956"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t/t</w:t>
            </w:r>
          </w:p>
        </w:tc>
        <w:tc>
          <w:tcPr>
            <w:tcW w:w="1016"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0.0038</w:t>
            </w:r>
          </w:p>
        </w:tc>
        <w:tc>
          <w:tcPr>
            <w:tcW w:w="784"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t/h</w:t>
            </w:r>
          </w:p>
        </w:tc>
        <w:tc>
          <w:tcPr>
            <w:tcW w:w="911"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0.15</w:t>
            </w:r>
          </w:p>
        </w:tc>
        <w:tc>
          <w:tcPr>
            <w:tcW w:w="1180"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10</w:t>
            </w:r>
            <w:r>
              <w:rPr>
                <w:rStyle w:val="font81"/>
                <w:rFonts w:ascii="Times New Roman" w:hAnsi="Times New Roman" w:cs="Times New Roman"/>
                <w:color w:val="auto"/>
                <w:sz w:val="21"/>
                <w:szCs w:val="21"/>
              </w:rPr>
              <w:t>4</w:t>
            </w:r>
            <w:r>
              <w:rPr>
                <w:rFonts w:ascii="Times New Roman" w:hAnsi="Times New Roman"/>
                <w:kern w:val="0"/>
                <w:szCs w:val="21"/>
              </w:rPr>
              <w:t>t/a</w:t>
            </w:r>
          </w:p>
        </w:tc>
        <w:tc>
          <w:tcPr>
            <w:tcW w:w="1389"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0.12</w:t>
            </w:r>
          </w:p>
        </w:tc>
      </w:tr>
      <w:tr w:rsidR="00525419">
        <w:trPr>
          <w:cantSplit/>
          <w:trHeight w:val="281"/>
        </w:trPr>
        <w:tc>
          <w:tcPr>
            <w:tcW w:w="567"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2</w:t>
            </w:r>
          </w:p>
        </w:tc>
        <w:tc>
          <w:tcPr>
            <w:tcW w:w="1550"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kern w:val="0"/>
                <w:szCs w:val="21"/>
              </w:rPr>
            </w:pPr>
            <w:r>
              <w:rPr>
                <w:rFonts w:ascii="Times New Roman" w:hAnsi="Times New Roman"/>
                <w:kern w:val="0"/>
                <w:szCs w:val="21"/>
              </w:rPr>
              <w:t>循环水</w:t>
            </w:r>
          </w:p>
        </w:tc>
        <w:tc>
          <w:tcPr>
            <w:tcW w:w="956"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t/t</w:t>
            </w:r>
          </w:p>
        </w:tc>
        <w:tc>
          <w:tcPr>
            <w:tcW w:w="1016"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2.25</w:t>
            </w:r>
          </w:p>
        </w:tc>
        <w:tc>
          <w:tcPr>
            <w:tcW w:w="784"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t/h</w:t>
            </w:r>
          </w:p>
        </w:tc>
        <w:tc>
          <w:tcPr>
            <w:tcW w:w="911"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90</w:t>
            </w:r>
          </w:p>
        </w:tc>
        <w:tc>
          <w:tcPr>
            <w:tcW w:w="1180"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10</w:t>
            </w:r>
            <w:r>
              <w:rPr>
                <w:rStyle w:val="font81"/>
                <w:rFonts w:ascii="Times New Roman" w:hAnsi="Times New Roman" w:cs="Times New Roman"/>
                <w:color w:val="auto"/>
                <w:sz w:val="21"/>
                <w:szCs w:val="21"/>
              </w:rPr>
              <w:t>4</w:t>
            </w:r>
            <w:r>
              <w:rPr>
                <w:rFonts w:ascii="Times New Roman" w:hAnsi="Times New Roman"/>
                <w:kern w:val="0"/>
                <w:szCs w:val="21"/>
              </w:rPr>
              <w:t>t/a</w:t>
            </w:r>
          </w:p>
        </w:tc>
        <w:tc>
          <w:tcPr>
            <w:tcW w:w="1389"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72</w:t>
            </w:r>
          </w:p>
        </w:tc>
      </w:tr>
      <w:tr w:rsidR="00525419">
        <w:trPr>
          <w:cantSplit/>
        </w:trPr>
        <w:tc>
          <w:tcPr>
            <w:tcW w:w="567"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3</w:t>
            </w:r>
          </w:p>
        </w:tc>
        <w:tc>
          <w:tcPr>
            <w:tcW w:w="1550"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kern w:val="0"/>
                <w:szCs w:val="21"/>
              </w:rPr>
            </w:pPr>
            <w:r>
              <w:rPr>
                <w:rFonts w:ascii="Times New Roman" w:hAnsi="Times New Roman"/>
                <w:kern w:val="0"/>
                <w:szCs w:val="21"/>
              </w:rPr>
              <w:t>电</w:t>
            </w:r>
          </w:p>
        </w:tc>
        <w:tc>
          <w:tcPr>
            <w:tcW w:w="956"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kwh/t</w:t>
            </w:r>
          </w:p>
        </w:tc>
        <w:tc>
          <w:tcPr>
            <w:tcW w:w="1016"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2.75</w:t>
            </w:r>
          </w:p>
        </w:tc>
        <w:tc>
          <w:tcPr>
            <w:tcW w:w="784"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kwh/h</w:t>
            </w:r>
          </w:p>
        </w:tc>
        <w:tc>
          <w:tcPr>
            <w:tcW w:w="911"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110</w:t>
            </w:r>
          </w:p>
        </w:tc>
        <w:tc>
          <w:tcPr>
            <w:tcW w:w="1180"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10</w:t>
            </w:r>
            <w:r>
              <w:rPr>
                <w:rStyle w:val="font81"/>
                <w:rFonts w:ascii="Times New Roman" w:hAnsi="Times New Roman" w:cs="Times New Roman"/>
                <w:color w:val="auto"/>
                <w:sz w:val="21"/>
                <w:szCs w:val="21"/>
              </w:rPr>
              <w:t>4</w:t>
            </w:r>
            <w:r>
              <w:rPr>
                <w:rFonts w:ascii="Times New Roman" w:hAnsi="Times New Roman"/>
                <w:kern w:val="0"/>
                <w:szCs w:val="21"/>
              </w:rPr>
              <w:t>kwh/a</w:t>
            </w:r>
          </w:p>
        </w:tc>
        <w:tc>
          <w:tcPr>
            <w:tcW w:w="1389"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88</w:t>
            </w:r>
          </w:p>
        </w:tc>
      </w:tr>
      <w:tr w:rsidR="00525419">
        <w:trPr>
          <w:cantSplit/>
        </w:trPr>
        <w:tc>
          <w:tcPr>
            <w:tcW w:w="567"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4</w:t>
            </w:r>
          </w:p>
        </w:tc>
        <w:tc>
          <w:tcPr>
            <w:tcW w:w="1550"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bCs/>
                <w:kern w:val="0"/>
                <w:szCs w:val="21"/>
              </w:rPr>
            </w:pPr>
            <w:r>
              <w:rPr>
                <w:rFonts w:ascii="Times New Roman" w:hAnsi="Times New Roman"/>
                <w:kern w:val="0"/>
                <w:szCs w:val="21"/>
              </w:rPr>
              <w:t>0.4MPa</w:t>
            </w:r>
            <w:r>
              <w:rPr>
                <w:rFonts w:ascii="Times New Roman" w:hAnsi="Times New Roman"/>
                <w:kern w:val="0"/>
                <w:szCs w:val="21"/>
              </w:rPr>
              <w:t>蒸汽</w:t>
            </w:r>
          </w:p>
        </w:tc>
        <w:tc>
          <w:tcPr>
            <w:tcW w:w="956"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t/t</w:t>
            </w:r>
          </w:p>
        </w:tc>
        <w:tc>
          <w:tcPr>
            <w:tcW w:w="1016"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0.21</w:t>
            </w:r>
          </w:p>
        </w:tc>
        <w:tc>
          <w:tcPr>
            <w:tcW w:w="784"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t/h</w:t>
            </w:r>
          </w:p>
        </w:tc>
        <w:tc>
          <w:tcPr>
            <w:tcW w:w="911"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8.4</w:t>
            </w:r>
          </w:p>
        </w:tc>
        <w:tc>
          <w:tcPr>
            <w:tcW w:w="1180"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10</w:t>
            </w:r>
            <w:r>
              <w:rPr>
                <w:rStyle w:val="font81"/>
                <w:rFonts w:ascii="Times New Roman" w:hAnsi="Times New Roman" w:cs="Times New Roman"/>
                <w:color w:val="auto"/>
                <w:sz w:val="21"/>
                <w:szCs w:val="21"/>
              </w:rPr>
              <w:t>4</w:t>
            </w:r>
            <w:r>
              <w:rPr>
                <w:rFonts w:ascii="Times New Roman" w:hAnsi="Times New Roman"/>
                <w:kern w:val="0"/>
                <w:szCs w:val="21"/>
              </w:rPr>
              <w:t>t/a</w:t>
            </w:r>
          </w:p>
        </w:tc>
        <w:tc>
          <w:tcPr>
            <w:tcW w:w="1389"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6.72</w:t>
            </w:r>
          </w:p>
        </w:tc>
      </w:tr>
      <w:tr w:rsidR="00525419">
        <w:trPr>
          <w:cantSplit/>
        </w:trPr>
        <w:tc>
          <w:tcPr>
            <w:tcW w:w="567"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5</w:t>
            </w:r>
          </w:p>
        </w:tc>
        <w:tc>
          <w:tcPr>
            <w:tcW w:w="1550"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kern w:val="0"/>
                <w:szCs w:val="21"/>
              </w:rPr>
            </w:pPr>
            <w:r>
              <w:rPr>
                <w:rFonts w:ascii="Times New Roman" w:hAnsi="Times New Roman"/>
                <w:kern w:val="0"/>
                <w:szCs w:val="21"/>
              </w:rPr>
              <w:t>净化压缩空气</w:t>
            </w:r>
          </w:p>
        </w:tc>
        <w:tc>
          <w:tcPr>
            <w:tcW w:w="956"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m</w:t>
            </w:r>
            <w:r>
              <w:rPr>
                <w:rStyle w:val="font81"/>
                <w:rFonts w:ascii="Times New Roman" w:hAnsi="Times New Roman" w:cs="Times New Roman"/>
                <w:color w:val="auto"/>
                <w:sz w:val="21"/>
                <w:szCs w:val="21"/>
              </w:rPr>
              <w:t>3</w:t>
            </w:r>
            <w:r>
              <w:rPr>
                <w:rFonts w:ascii="Times New Roman" w:hAnsi="Times New Roman"/>
                <w:kern w:val="0"/>
                <w:szCs w:val="21"/>
              </w:rPr>
              <w:t>n/t</w:t>
            </w:r>
          </w:p>
        </w:tc>
        <w:tc>
          <w:tcPr>
            <w:tcW w:w="1016"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1.5</w:t>
            </w:r>
          </w:p>
        </w:tc>
        <w:tc>
          <w:tcPr>
            <w:tcW w:w="784"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M</w:t>
            </w:r>
            <w:r>
              <w:rPr>
                <w:rStyle w:val="font81"/>
                <w:rFonts w:ascii="Times New Roman" w:hAnsi="Times New Roman" w:cs="Times New Roman"/>
                <w:color w:val="auto"/>
                <w:sz w:val="21"/>
                <w:szCs w:val="21"/>
              </w:rPr>
              <w:t>3</w:t>
            </w:r>
            <w:r>
              <w:rPr>
                <w:rFonts w:ascii="Times New Roman" w:hAnsi="Times New Roman"/>
                <w:kern w:val="0"/>
                <w:szCs w:val="21"/>
              </w:rPr>
              <w:t>n/h</w:t>
            </w:r>
          </w:p>
        </w:tc>
        <w:tc>
          <w:tcPr>
            <w:tcW w:w="911"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60</w:t>
            </w:r>
          </w:p>
        </w:tc>
        <w:tc>
          <w:tcPr>
            <w:tcW w:w="1180"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10</w:t>
            </w:r>
            <w:r>
              <w:rPr>
                <w:rStyle w:val="font81"/>
                <w:rFonts w:ascii="Times New Roman" w:hAnsi="Times New Roman" w:cs="Times New Roman"/>
                <w:color w:val="auto"/>
                <w:sz w:val="21"/>
                <w:szCs w:val="21"/>
              </w:rPr>
              <w:t>4</w:t>
            </w:r>
            <w:r>
              <w:rPr>
                <w:rFonts w:ascii="Times New Roman" w:hAnsi="Times New Roman"/>
                <w:kern w:val="0"/>
                <w:szCs w:val="21"/>
              </w:rPr>
              <w:t>m</w:t>
            </w:r>
            <w:r>
              <w:rPr>
                <w:rStyle w:val="font81"/>
                <w:rFonts w:ascii="Times New Roman" w:hAnsi="Times New Roman" w:cs="Times New Roman"/>
                <w:color w:val="auto"/>
                <w:sz w:val="21"/>
                <w:szCs w:val="21"/>
              </w:rPr>
              <w:t>3</w:t>
            </w:r>
            <w:r>
              <w:rPr>
                <w:rFonts w:ascii="Times New Roman" w:hAnsi="Times New Roman"/>
                <w:kern w:val="0"/>
                <w:szCs w:val="21"/>
              </w:rPr>
              <w:t>n/a</w:t>
            </w:r>
          </w:p>
        </w:tc>
        <w:tc>
          <w:tcPr>
            <w:tcW w:w="1389"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48</w:t>
            </w:r>
          </w:p>
        </w:tc>
      </w:tr>
      <w:tr w:rsidR="00525419">
        <w:trPr>
          <w:cantSplit/>
        </w:trPr>
        <w:tc>
          <w:tcPr>
            <w:tcW w:w="567"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6</w:t>
            </w:r>
          </w:p>
        </w:tc>
        <w:tc>
          <w:tcPr>
            <w:tcW w:w="1550"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kern w:val="0"/>
                <w:szCs w:val="21"/>
              </w:rPr>
            </w:pPr>
            <w:r>
              <w:rPr>
                <w:rFonts w:ascii="Times New Roman" w:hAnsi="Times New Roman"/>
                <w:kern w:val="0"/>
                <w:szCs w:val="21"/>
              </w:rPr>
              <w:t>氮气</w:t>
            </w:r>
          </w:p>
        </w:tc>
        <w:tc>
          <w:tcPr>
            <w:tcW w:w="956"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m</w:t>
            </w:r>
            <w:r>
              <w:rPr>
                <w:rStyle w:val="font81"/>
                <w:rFonts w:ascii="Times New Roman" w:hAnsi="Times New Roman" w:cs="Times New Roman"/>
                <w:color w:val="auto"/>
                <w:sz w:val="21"/>
                <w:szCs w:val="21"/>
              </w:rPr>
              <w:t>3</w:t>
            </w:r>
            <w:r>
              <w:rPr>
                <w:rFonts w:ascii="Times New Roman" w:hAnsi="Times New Roman"/>
                <w:kern w:val="0"/>
                <w:szCs w:val="21"/>
              </w:rPr>
              <w:t>n/t</w:t>
            </w:r>
          </w:p>
        </w:tc>
        <w:tc>
          <w:tcPr>
            <w:tcW w:w="1016"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0.25</w:t>
            </w:r>
          </w:p>
        </w:tc>
        <w:tc>
          <w:tcPr>
            <w:tcW w:w="784"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M</w:t>
            </w:r>
            <w:r>
              <w:rPr>
                <w:rStyle w:val="font81"/>
                <w:rFonts w:ascii="Times New Roman" w:hAnsi="Times New Roman" w:cs="Times New Roman"/>
                <w:color w:val="auto"/>
                <w:sz w:val="21"/>
                <w:szCs w:val="21"/>
              </w:rPr>
              <w:t>3</w:t>
            </w:r>
            <w:r>
              <w:rPr>
                <w:rFonts w:ascii="Times New Roman" w:hAnsi="Times New Roman"/>
                <w:kern w:val="0"/>
                <w:szCs w:val="21"/>
              </w:rPr>
              <w:t>n/h</w:t>
            </w:r>
          </w:p>
        </w:tc>
        <w:tc>
          <w:tcPr>
            <w:tcW w:w="911"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10</w:t>
            </w:r>
          </w:p>
        </w:tc>
        <w:tc>
          <w:tcPr>
            <w:tcW w:w="1180"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10</w:t>
            </w:r>
            <w:r>
              <w:rPr>
                <w:rStyle w:val="font81"/>
                <w:rFonts w:ascii="Times New Roman" w:hAnsi="Times New Roman" w:cs="Times New Roman"/>
                <w:color w:val="auto"/>
                <w:sz w:val="21"/>
                <w:szCs w:val="21"/>
              </w:rPr>
              <w:t>4</w:t>
            </w:r>
            <w:r>
              <w:rPr>
                <w:rFonts w:ascii="Times New Roman" w:hAnsi="Times New Roman"/>
                <w:kern w:val="0"/>
                <w:szCs w:val="21"/>
              </w:rPr>
              <w:t>m</w:t>
            </w:r>
            <w:r>
              <w:rPr>
                <w:rStyle w:val="font81"/>
                <w:rFonts w:ascii="Times New Roman" w:hAnsi="Times New Roman" w:cs="Times New Roman"/>
                <w:color w:val="auto"/>
                <w:sz w:val="21"/>
                <w:szCs w:val="21"/>
              </w:rPr>
              <w:t>3</w:t>
            </w:r>
            <w:r>
              <w:rPr>
                <w:rFonts w:ascii="Times New Roman" w:hAnsi="Times New Roman"/>
                <w:kern w:val="0"/>
                <w:szCs w:val="21"/>
              </w:rPr>
              <w:t>n/a</w:t>
            </w:r>
          </w:p>
        </w:tc>
        <w:tc>
          <w:tcPr>
            <w:tcW w:w="1389"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8</w:t>
            </w:r>
          </w:p>
        </w:tc>
      </w:tr>
      <w:tr w:rsidR="00525419">
        <w:trPr>
          <w:cantSplit/>
        </w:trPr>
        <w:tc>
          <w:tcPr>
            <w:tcW w:w="567"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lastRenderedPageBreak/>
              <w:t>7</w:t>
            </w:r>
          </w:p>
        </w:tc>
        <w:tc>
          <w:tcPr>
            <w:tcW w:w="1550"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bCs/>
                <w:kern w:val="0"/>
                <w:szCs w:val="21"/>
              </w:rPr>
            </w:pPr>
            <w:r>
              <w:rPr>
                <w:rFonts w:ascii="Times New Roman" w:hAnsi="Times New Roman"/>
                <w:kern w:val="0"/>
                <w:szCs w:val="21"/>
              </w:rPr>
              <w:t>凝结水</w:t>
            </w:r>
          </w:p>
        </w:tc>
        <w:tc>
          <w:tcPr>
            <w:tcW w:w="956"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t/t</w:t>
            </w:r>
          </w:p>
        </w:tc>
        <w:tc>
          <w:tcPr>
            <w:tcW w:w="1016"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-0.21</w:t>
            </w:r>
          </w:p>
        </w:tc>
        <w:tc>
          <w:tcPr>
            <w:tcW w:w="784"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t/h</w:t>
            </w:r>
          </w:p>
        </w:tc>
        <w:tc>
          <w:tcPr>
            <w:tcW w:w="911"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-8.4</w:t>
            </w:r>
          </w:p>
        </w:tc>
        <w:tc>
          <w:tcPr>
            <w:tcW w:w="1180"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10</w:t>
            </w:r>
            <w:r>
              <w:rPr>
                <w:rStyle w:val="font81"/>
                <w:rFonts w:ascii="Times New Roman" w:hAnsi="Times New Roman" w:cs="Times New Roman"/>
                <w:color w:val="auto"/>
                <w:sz w:val="21"/>
                <w:szCs w:val="21"/>
              </w:rPr>
              <w:t>4</w:t>
            </w:r>
            <w:r>
              <w:rPr>
                <w:rFonts w:ascii="Times New Roman" w:hAnsi="Times New Roman"/>
                <w:kern w:val="0"/>
                <w:szCs w:val="21"/>
              </w:rPr>
              <w:t>t/a</w:t>
            </w:r>
          </w:p>
        </w:tc>
        <w:tc>
          <w:tcPr>
            <w:tcW w:w="1389"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-6.72</w:t>
            </w:r>
          </w:p>
        </w:tc>
      </w:tr>
    </w:tbl>
    <w:p w:rsidR="00525419" w:rsidRDefault="00525419">
      <w:pPr>
        <w:pStyle w:val="afffe"/>
        <w:adjustRightInd w:val="0"/>
        <w:spacing w:after="0" w:line="360" w:lineRule="auto"/>
        <w:ind w:firstLineChars="0" w:firstLine="0"/>
        <w:rPr>
          <w:sz w:val="24"/>
        </w:rPr>
      </w:pPr>
    </w:p>
    <w:p w:rsidR="00525419" w:rsidRDefault="00EE1CF7">
      <w:pPr>
        <w:pStyle w:val="afffe"/>
        <w:adjustRightInd w:val="0"/>
        <w:spacing w:before="31" w:after="31" w:line="360" w:lineRule="auto"/>
        <w:ind w:firstLineChars="200" w:firstLine="480"/>
        <w:rPr>
          <w:sz w:val="24"/>
        </w:rPr>
      </w:pPr>
      <w:r>
        <w:rPr>
          <w:sz w:val="24"/>
        </w:rPr>
        <w:t>⑤</w:t>
      </w:r>
      <w:r>
        <w:rPr>
          <w:sz w:val="24"/>
        </w:rPr>
        <w:t>主要设备</w:t>
      </w:r>
    </w:p>
    <w:p w:rsidR="00525419" w:rsidRDefault="00EE1CF7">
      <w:pPr>
        <w:pStyle w:val="afffe"/>
        <w:adjustRightInd w:val="0"/>
        <w:spacing w:before="31" w:after="31" w:line="360" w:lineRule="auto"/>
        <w:ind w:firstLineChars="200" w:firstLine="400"/>
      </w:pPr>
      <w:r>
        <w:t xml:space="preserve">　</w:t>
      </w:r>
      <w:r>
        <w:rPr>
          <w:sz w:val="24"/>
        </w:rPr>
        <w:t>溶剂再生单元主要设备见表</w:t>
      </w:r>
      <w:r>
        <w:rPr>
          <w:sz w:val="24"/>
        </w:rPr>
        <w:t>3.5-15</w:t>
      </w:r>
      <w:r>
        <w:rPr>
          <w:sz w:val="24"/>
        </w:rPr>
        <w:t>。</w:t>
      </w:r>
    </w:p>
    <w:p w:rsidR="00525419" w:rsidRDefault="00EE1CF7">
      <w:pPr>
        <w:pStyle w:val="afffe"/>
        <w:adjustRightInd w:val="0"/>
        <w:spacing w:after="0" w:line="240" w:lineRule="atLeast"/>
        <w:ind w:firstLineChars="1100" w:firstLine="2310"/>
        <w:rPr>
          <w:rFonts w:eastAsia="黑体"/>
          <w:sz w:val="21"/>
          <w:szCs w:val="21"/>
        </w:rPr>
      </w:pPr>
      <w:r>
        <w:rPr>
          <w:rFonts w:eastAsia="黑体"/>
          <w:sz w:val="21"/>
          <w:szCs w:val="21"/>
        </w:rPr>
        <w:t>表</w:t>
      </w:r>
      <w:r>
        <w:rPr>
          <w:rFonts w:eastAsia="黑体"/>
          <w:sz w:val="21"/>
          <w:szCs w:val="21"/>
        </w:rPr>
        <w:t>3.5-15</w:t>
      </w:r>
      <w:r>
        <w:rPr>
          <w:rFonts w:eastAsia="黑体"/>
          <w:sz w:val="21"/>
          <w:szCs w:val="21"/>
        </w:rPr>
        <w:t xml:space="preserve">　溶剂再生单元主要设备一览表</w:t>
      </w:r>
    </w:p>
    <w:tbl>
      <w:tblPr>
        <w:tblW w:w="8513"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29" w:type="dxa"/>
          <w:bottom w:w="29" w:type="dxa"/>
        </w:tblCellMar>
        <w:tblLook w:val="04A0" w:firstRow="1" w:lastRow="0" w:firstColumn="1" w:lastColumn="0" w:noHBand="0" w:noVBand="1"/>
      </w:tblPr>
      <w:tblGrid>
        <w:gridCol w:w="1155"/>
        <w:gridCol w:w="2657"/>
        <w:gridCol w:w="3677"/>
        <w:gridCol w:w="1024"/>
      </w:tblGrid>
      <w:tr w:rsidR="00525419">
        <w:trPr>
          <w:trHeight w:val="270"/>
          <w:tblHeader/>
        </w:trPr>
        <w:tc>
          <w:tcPr>
            <w:tcW w:w="1155" w:type="dxa"/>
            <w:tcBorders>
              <w:tl2br w:val="nil"/>
              <w:tr2bl w:val="nil"/>
            </w:tcBorders>
            <w:vAlign w:val="center"/>
          </w:tcPr>
          <w:p w:rsidR="00525419" w:rsidRDefault="00EE1CF7">
            <w:pPr>
              <w:widowControl/>
              <w:spacing w:line="240" w:lineRule="atLeast"/>
              <w:jc w:val="center"/>
              <w:rPr>
                <w:rFonts w:ascii="Times New Roman" w:hAnsi="Times New Roman"/>
                <w:bCs/>
                <w:kern w:val="0"/>
                <w:szCs w:val="21"/>
              </w:rPr>
            </w:pPr>
            <w:r>
              <w:rPr>
                <w:rFonts w:ascii="Times New Roman" w:hAnsi="Times New Roman"/>
                <w:bCs/>
                <w:kern w:val="0"/>
                <w:szCs w:val="21"/>
              </w:rPr>
              <w:t>序号</w:t>
            </w:r>
          </w:p>
        </w:tc>
        <w:tc>
          <w:tcPr>
            <w:tcW w:w="2657" w:type="dxa"/>
            <w:tcBorders>
              <w:tl2br w:val="nil"/>
              <w:tr2bl w:val="nil"/>
            </w:tcBorders>
            <w:vAlign w:val="center"/>
          </w:tcPr>
          <w:p w:rsidR="00525419" w:rsidRDefault="00EE1CF7">
            <w:pPr>
              <w:widowControl/>
              <w:spacing w:line="240" w:lineRule="atLeast"/>
              <w:jc w:val="center"/>
              <w:rPr>
                <w:rFonts w:ascii="Times New Roman" w:hAnsi="Times New Roman"/>
                <w:bCs/>
                <w:kern w:val="0"/>
                <w:szCs w:val="21"/>
              </w:rPr>
            </w:pPr>
            <w:r>
              <w:rPr>
                <w:rFonts w:ascii="Times New Roman" w:hAnsi="Times New Roman"/>
                <w:bCs/>
                <w:kern w:val="0"/>
                <w:szCs w:val="21"/>
              </w:rPr>
              <w:t>设备名称</w:t>
            </w:r>
          </w:p>
        </w:tc>
        <w:tc>
          <w:tcPr>
            <w:tcW w:w="3677" w:type="dxa"/>
            <w:tcBorders>
              <w:tl2br w:val="nil"/>
              <w:tr2bl w:val="nil"/>
            </w:tcBorders>
            <w:vAlign w:val="center"/>
          </w:tcPr>
          <w:p w:rsidR="00525419" w:rsidRDefault="00EE1CF7">
            <w:pPr>
              <w:widowControl/>
              <w:spacing w:line="240" w:lineRule="atLeast"/>
              <w:jc w:val="center"/>
              <w:rPr>
                <w:rFonts w:ascii="Times New Roman" w:hAnsi="Times New Roman"/>
                <w:bCs/>
                <w:kern w:val="0"/>
                <w:szCs w:val="21"/>
              </w:rPr>
            </w:pPr>
            <w:r>
              <w:rPr>
                <w:rFonts w:ascii="Times New Roman" w:hAnsi="Times New Roman"/>
                <w:bCs/>
                <w:kern w:val="0"/>
                <w:szCs w:val="21"/>
              </w:rPr>
              <w:t>主要技术规格</w:t>
            </w:r>
          </w:p>
        </w:tc>
        <w:tc>
          <w:tcPr>
            <w:tcW w:w="1024" w:type="dxa"/>
            <w:tcBorders>
              <w:tl2br w:val="nil"/>
              <w:tr2bl w:val="nil"/>
            </w:tcBorders>
            <w:vAlign w:val="center"/>
          </w:tcPr>
          <w:p w:rsidR="00525419" w:rsidRDefault="00EE1CF7">
            <w:pPr>
              <w:widowControl/>
              <w:spacing w:line="240" w:lineRule="atLeast"/>
              <w:jc w:val="center"/>
              <w:rPr>
                <w:rFonts w:ascii="Times New Roman" w:hAnsi="Times New Roman"/>
                <w:bCs/>
                <w:kern w:val="0"/>
                <w:szCs w:val="21"/>
              </w:rPr>
            </w:pPr>
            <w:r>
              <w:rPr>
                <w:rFonts w:ascii="Times New Roman" w:hAnsi="Times New Roman"/>
                <w:bCs/>
                <w:kern w:val="0"/>
                <w:szCs w:val="21"/>
              </w:rPr>
              <w:t>数量</w:t>
            </w:r>
          </w:p>
        </w:tc>
      </w:tr>
      <w:tr w:rsidR="00525419">
        <w:trPr>
          <w:trHeight w:val="255"/>
        </w:trPr>
        <w:tc>
          <w:tcPr>
            <w:tcW w:w="1155"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kern w:val="0"/>
                <w:szCs w:val="21"/>
              </w:rPr>
              <w:t>1</w:t>
            </w:r>
          </w:p>
        </w:tc>
        <w:tc>
          <w:tcPr>
            <w:tcW w:w="2657"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kern w:val="0"/>
                <w:szCs w:val="21"/>
              </w:rPr>
              <w:t>溶剂再生塔</w:t>
            </w:r>
          </w:p>
        </w:tc>
        <w:tc>
          <w:tcPr>
            <w:tcW w:w="3677"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snapToGrid w:val="0"/>
                <w:kern w:val="0"/>
              </w:rPr>
              <w:t>φ1600×27125×(3+10)</w:t>
            </w:r>
          </w:p>
        </w:tc>
        <w:tc>
          <w:tcPr>
            <w:tcW w:w="1024" w:type="dxa"/>
            <w:tcBorders>
              <w:tl2br w:val="nil"/>
              <w:tr2bl w:val="nil"/>
            </w:tcBorders>
            <w:vAlign w:val="center"/>
          </w:tcPr>
          <w:p w:rsidR="00525419" w:rsidRDefault="00EE1CF7">
            <w:pPr>
              <w:spacing w:line="240" w:lineRule="atLeast"/>
              <w:jc w:val="center"/>
              <w:rPr>
                <w:rFonts w:ascii="Times New Roman" w:hAnsi="Times New Roman"/>
              </w:rPr>
            </w:pPr>
            <w:r>
              <w:rPr>
                <w:rFonts w:ascii="Times New Roman" w:hAnsi="Times New Roman"/>
              </w:rPr>
              <w:t>1</w:t>
            </w:r>
          </w:p>
        </w:tc>
      </w:tr>
      <w:tr w:rsidR="00525419">
        <w:trPr>
          <w:trHeight w:val="240"/>
        </w:trPr>
        <w:tc>
          <w:tcPr>
            <w:tcW w:w="1155"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kern w:val="0"/>
                <w:szCs w:val="21"/>
              </w:rPr>
              <w:t>2</w:t>
            </w:r>
          </w:p>
        </w:tc>
        <w:tc>
          <w:tcPr>
            <w:tcW w:w="2657" w:type="dxa"/>
            <w:tcBorders>
              <w:tl2br w:val="nil"/>
              <w:tr2bl w:val="nil"/>
            </w:tcBorders>
          </w:tcPr>
          <w:p w:rsidR="00525419" w:rsidRDefault="00EE1CF7">
            <w:pPr>
              <w:spacing w:line="240" w:lineRule="atLeast"/>
              <w:jc w:val="center"/>
              <w:rPr>
                <w:rFonts w:ascii="Times New Roman" w:hAnsi="Times New Roman"/>
                <w:kern w:val="0"/>
                <w:szCs w:val="21"/>
              </w:rPr>
            </w:pPr>
            <w:r>
              <w:rPr>
                <w:rFonts w:ascii="Times New Roman" w:hAnsi="Times New Roman"/>
                <w:kern w:val="0"/>
                <w:szCs w:val="21"/>
              </w:rPr>
              <w:t>富胺液闪蒸罐</w:t>
            </w:r>
          </w:p>
        </w:tc>
        <w:tc>
          <w:tcPr>
            <w:tcW w:w="3677"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snapToGrid w:val="0"/>
                <w:kern w:val="0"/>
              </w:rPr>
              <w:t>Φ600×Φ2200×7836×12/10</w:t>
            </w:r>
          </w:p>
        </w:tc>
        <w:tc>
          <w:tcPr>
            <w:tcW w:w="1024" w:type="dxa"/>
            <w:tcBorders>
              <w:tl2br w:val="nil"/>
              <w:tr2bl w:val="nil"/>
            </w:tcBorders>
            <w:vAlign w:val="center"/>
          </w:tcPr>
          <w:p w:rsidR="00525419" w:rsidRDefault="00EE1CF7">
            <w:pPr>
              <w:spacing w:line="240" w:lineRule="atLeast"/>
              <w:jc w:val="center"/>
              <w:rPr>
                <w:rFonts w:ascii="Times New Roman" w:hAnsi="Times New Roman"/>
              </w:rPr>
            </w:pPr>
            <w:r>
              <w:rPr>
                <w:rFonts w:ascii="Times New Roman" w:hAnsi="Times New Roman"/>
              </w:rPr>
              <w:t>1</w:t>
            </w:r>
          </w:p>
        </w:tc>
      </w:tr>
      <w:tr w:rsidR="00525419">
        <w:trPr>
          <w:trHeight w:val="240"/>
        </w:trPr>
        <w:tc>
          <w:tcPr>
            <w:tcW w:w="1155"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kern w:val="0"/>
                <w:szCs w:val="21"/>
              </w:rPr>
              <w:t>3</w:t>
            </w:r>
          </w:p>
        </w:tc>
        <w:tc>
          <w:tcPr>
            <w:tcW w:w="2657" w:type="dxa"/>
            <w:tcBorders>
              <w:tl2br w:val="nil"/>
              <w:tr2bl w:val="nil"/>
            </w:tcBorders>
          </w:tcPr>
          <w:p w:rsidR="00525419" w:rsidRDefault="00EE1CF7">
            <w:pPr>
              <w:spacing w:line="240" w:lineRule="atLeast"/>
              <w:jc w:val="center"/>
              <w:rPr>
                <w:rFonts w:ascii="Times New Roman" w:hAnsi="Times New Roman"/>
                <w:kern w:val="0"/>
                <w:szCs w:val="21"/>
              </w:rPr>
            </w:pPr>
            <w:r>
              <w:rPr>
                <w:rFonts w:ascii="Times New Roman" w:hAnsi="Times New Roman"/>
                <w:kern w:val="0"/>
                <w:szCs w:val="21"/>
              </w:rPr>
              <w:t>再生塔顶回流罐</w:t>
            </w:r>
          </w:p>
        </w:tc>
        <w:tc>
          <w:tcPr>
            <w:tcW w:w="3677"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snapToGrid w:val="0"/>
                <w:kern w:val="0"/>
              </w:rPr>
              <w:t>Φ1200×3785×10</w:t>
            </w:r>
          </w:p>
        </w:tc>
        <w:tc>
          <w:tcPr>
            <w:tcW w:w="1024" w:type="dxa"/>
            <w:tcBorders>
              <w:tl2br w:val="nil"/>
              <w:tr2bl w:val="nil"/>
            </w:tcBorders>
            <w:vAlign w:val="center"/>
          </w:tcPr>
          <w:p w:rsidR="00525419" w:rsidRDefault="00EE1CF7">
            <w:pPr>
              <w:spacing w:line="240" w:lineRule="atLeast"/>
              <w:jc w:val="center"/>
              <w:rPr>
                <w:rFonts w:ascii="Times New Roman" w:hAnsi="Times New Roman"/>
              </w:rPr>
            </w:pPr>
            <w:r>
              <w:rPr>
                <w:rFonts w:ascii="Times New Roman" w:hAnsi="Times New Roman"/>
              </w:rPr>
              <w:t>1</w:t>
            </w:r>
          </w:p>
        </w:tc>
      </w:tr>
      <w:tr w:rsidR="00525419">
        <w:trPr>
          <w:trHeight w:val="285"/>
        </w:trPr>
        <w:tc>
          <w:tcPr>
            <w:tcW w:w="1155"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kern w:val="0"/>
                <w:szCs w:val="21"/>
              </w:rPr>
              <w:t>4</w:t>
            </w:r>
          </w:p>
        </w:tc>
        <w:tc>
          <w:tcPr>
            <w:tcW w:w="2657" w:type="dxa"/>
            <w:tcBorders>
              <w:tl2br w:val="nil"/>
              <w:tr2bl w:val="nil"/>
            </w:tcBorders>
          </w:tcPr>
          <w:p w:rsidR="00525419" w:rsidRDefault="00EE1CF7">
            <w:pPr>
              <w:spacing w:line="240" w:lineRule="atLeast"/>
              <w:jc w:val="center"/>
              <w:rPr>
                <w:rFonts w:ascii="Times New Roman" w:hAnsi="Times New Roman"/>
                <w:kern w:val="0"/>
                <w:szCs w:val="21"/>
              </w:rPr>
            </w:pPr>
            <w:r>
              <w:rPr>
                <w:rFonts w:ascii="Times New Roman" w:hAnsi="Times New Roman"/>
                <w:kern w:val="0"/>
                <w:szCs w:val="21"/>
              </w:rPr>
              <w:t>重沸器</w:t>
            </w:r>
          </w:p>
        </w:tc>
        <w:tc>
          <w:tcPr>
            <w:tcW w:w="3677"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rPr>
              <w:t>BJS500-2.5-55-6/25-2</w:t>
            </w:r>
          </w:p>
        </w:tc>
        <w:tc>
          <w:tcPr>
            <w:tcW w:w="1024" w:type="dxa"/>
            <w:tcBorders>
              <w:tl2br w:val="nil"/>
              <w:tr2bl w:val="nil"/>
            </w:tcBorders>
            <w:vAlign w:val="center"/>
          </w:tcPr>
          <w:p w:rsidR="00525419" w:rsidRDefault="00EE1CF7">
            <w:pPr>
              <w:spacing w:line="240" w:lineRule="atLeast"/>
              <w:jc w:val="center"/>
              <w:rPr>
                <w:rFonts w:ascii="Times New Roman" w:hAnsi="Times New Roman"/>
              </w:rPr>
            </w:pPr>
            <w:r>
              <w:rPr>
                <w:rFonts w:ascii="Times New Roman" w:hAnsi="Times New Roman"/>
              </w:rPr>
              <w:t>1</w:t>
            </w:r>
          </w:p>
        </w:tc>
      </w:tr>
      <w:tr w:rsidR="00525419">
        <w:trPr>
          <w:trHeight w:val="31"/>
        </w:trPr>
        <w:tc>
          <w:tcPr>
            <w:tcW w:w="1155"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kern w:val="0"/>
                <w:szCs w:val="21"/>
              </w:rPr>
              <w:t>5</w:t>
            </w:r>
          </w:p>
        </w:tc>
        <w:tc>
          <w:tcPr>
            <w:tcW w:w="2657" w:type="dxa"/>
            <w:tcBorders>
              <w:tl2br w:val="nil"/>
              <w:tr2bl w:val="nil"/>
            </w:tcBorders>
          </w:tcPr>
          <w:p w:rsidR="00525419" w:rsidRDefault="00EE1CF7">
            <w:pPr>
              <w:spacing w:line="240" w:lineRule="atLeast"/>
              <w:jc w:val="center"/>
              <w:rPr>
                <w:rFonts w:ascii="Times New Roman" w:hAnsi="Times New Roman"/>
                <w:kern w:val="0"/>
                <w:szCs w:val="21"/>
              </w:rPr>
            </w:pPr>
            <w:r>
              <w:rPr>
                <w:rFonts w:ascii="Times New Roman" w:hAnsi="Times New Roman"/>
                <w:kern w:val="0"/>
                <w:szCs w:val="21"/>
              </w:rPr>
              <w:t>再生塔顶后冷器</w:t>
            </w:r>
          </w:p>
        </w:tc>
        <w:tc>
          <w:tcPr>
            <w:tcW w:w="3677"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rPr>
              <w:t>BJS500-2.5-55-6/25-2</w:t>
            </w:r>
          </w:p>
        </w:tc>
        <w:tc>
          <w:tcPr>
            <w:tcW w:w="1024" w:type="dxa"/>
            <w:tcBorders>
              <w:tl2br w:val="nil"/>
              <w:tr2bl w:val="nil"/>
            </w:tcBorders>
            <w:vAlign w:val="center"/>
          </w:tcPr>
          <w:p w:rsidR="00525419" w:rsidRDefault="00EE1CF7">
            <w:pPr>
              <w:spacing w:line="240" w:lineRule="atLeast"/>
              <w:jc w:val="center"/>
              <w:rPr>
                <w:rFonts w:ascii="Times New Roman" w:hAnsi="Times New Roman"/>
              </w:rPr>
            </w:pPr>
            <w:r>
              <w:rPr>
                <w:rFonts w:ascii="Times New Roman" w:hAnsi="Times New Roman"/>
              </w:rPr>
              <w:t>1</w:t>
            </w:r>
          </w:p>
        </w:tc>
      </w:tr>
    </w:tbl>
    <w:p w:rsidR="00525419" w:rsidRDefault="00EE1CF7">
      <w:pPr>
        <w:pStyle w:val="afffe"/>
        <w:adjustRightInd w:val="0"/>
        <w:spacing w:after="0" w:line="360" w:lineRule="auto"/>
        <w:ind w:firstLineChars="200" w:firstLine="482"/>
        <w:rPr>
          <w:b/>
          <w:bCs/>
          <w:sz w:val="24"/>
        </w:rPr>
      </w:pPr>
      <w:r>
        <w:rPr>
          <w:b/>
          <w:bCs/>
          <w:sz w:val="24"/>
        </w:rPr>
        <w:t>（</w:t>
      </w:r>
      <w:r>
        <w:rPr>
          <w:b/>
          <w:bCs/>
          <w:sz w:val="24"/>
        </w:rPr>
        <w:t>3</w:t>
      </w:r>
      <w:r>
        <w:rPr>
          <w:b/>
          <w:bCs/>
          <w:sz w:val="24"/>
        </w:rPr>
        <w:t>）硫磺回收</w:t>
      </w:r>
    </w:p>
    <w:p w:rsidR="00525419" w:rsidRDefault="00EE1CF7">
      <w:pPr>
        <w:pStyle w:val="afffff2"/>
        <w:ind w:firstLineChars="200" w:firstLine="480"/>
        <w:rPr>
          <w:color w:val="auto"/>
        </w:rPr>
      </w:pPr>
      <w:r>
        <w:rPr>
          <w:color w:val="auto"/>
        </w:rPr>
        <w:t>①</w:t>
      </w:r>
      <w:r>
        <w:rPr>
          <w:color w:val="auto"/>
        </w:rPr>
        <w:t>工艺技术及生产原理</w:t>
      </w:r>
    </w:p>
    <w:p w:rsidR="00525419" w:rsidRDefault="00EE1CF7">
      <w:pPr>
        <w:pStyle w:val="afffff2"/>
        <w:ind w:firstLineChars="200" w:firstLine="480"/>
        <w:rPr>
          <w:color w:val="auto"/>
        </w:rPr>
      </w:pPr>
      <w:r>
        <w:rPr>
          <w:color w:val="auto"/>
        </w:rPr>
        <w:t>硫磺回收装置单元采用部分燃烧法工艺</w:t>
      </w:r>
      <w:r>
        <w:rPr>
          <w:color w:val="auto"/>
        </w:rPr>
        <w:t>+</w:t>
      </w:r>
      <w:r>
        <w:rPr>
          <w:color w:val="auto"/>
        </w:rPr>
        <w:t>两级转化</w:t>
      </w:r>
      <w:r>
        <w:rPr>
          <w:color w:val="auto"/>
        </w:rPr>
        <w:t>Claus</w:t>
      </w:r>
      <w:r>
        <w:rPr>
          <w:color w:val="auto"/>
        </w:rPr>
        <w:t>硫磺回收工艺；两级</w:t>
      </w:r>
      <w:r>
        <w:rPr>
          <w:color w:val="auto"/>
        </w:rPr>
        <w:t>Claus</w:t>
      </w:r>
      <w:r>
        <w:rPr>
          <w:color w:val="auto"/>
        </w:rPr>
        <w:t>转化反应器过程气再热方式采用外掺和阀升温控制；</w:t>
      </w:r>
      <w:r>
        <w:rPr>
          <w:color w:val="auto"/>
        </w:rPr>
        <w:t>Claus</w:t>
      </w:r>
      <w:r>
        <w:rPr>
          <w:color w:val="auto"/>
        </w:rPr>
        <w:t>尾气处理方式采用氢气常规还原</w:t>
      </w:r>
      <w:r>
        <w:rPr>
          <w:color w:val="auto"/>
        </w:rPr>
        <w:t>+</w:t>
      </w:r>
      <w:r>
        <w:rPr>
          <w:color w:val="auto"/>
        </w:rPr>
        <w:t>胺液吸收尾气方式；尾气焚烧方式采用常规的热焚烧方式。液流脱气采用常规液硫循环脱气方式。</w:t>
      </w:r>
      <w:r>
        <w:rPr>
          <w:color w:val="auto"/>
        </w:rPr>
        <w:t>Claus</w:t>
      </w:r>
      <w:r>
        <w:rPr>
          <w:color w:val="auto"/>
        </w:rPr>
        <w:t>燃烧炉及尾气焚烧炉废热锅炉产</w:t>
      </w:r>
      <w:r>
        <w:rPr>
          <w:color w:val="auto"/>
        </w:rPr>
        <w:t>1.0MPa</w:t>
      </w:r>
      <w:r>
        <w:rPr>
          <w:color w:val="auto"/>
        </w:rPr>
        <w:t>低压蒸汽，一、二、三级冷凝器产</w:t>
      </w:r>
      <w:r>
        <w:rPr>
          <w:color w:val="auto"/>
        </w:rPr>
        <w:t>0.3MPa</w:t>
      </w:r>
      <w:r>
        <w:rPr>
          <w:color w:val="auto"/>
        </w:rPr>
        <w:t>低压蒸汽。</w:t>
      </w:r>
    </w:p>
    <w:p w:rsidR="00525419" w:rsidRDefault="00EE1CF7">
      <w:pPr>
        <w:spacing w:line="360" w:lineRule="auto"/>
        <w:ind w:firstLineChars="200" w:firstLine="480"/>
        <w:rPr>
          <w:rFonts w:ascii="Times New Roman" w:eastAsia="微软雅黑" w:hAnsi="Times New Roman"/>
          <w:sz w:val="24"/>
          <w:szCs w:val="24"/>
        </w:rPr>
      </w:pPr>
      <w:r>
        <w:rPr>
          <w:rFonts w:ascii="Times New Roman" w:hAnsi="Times New Roman"/>
          <w:snapToGrid w:val="0"/>
          <w:kern w:val="0"/>
          <w:sz w:val="24"/>
          <w:szCs w:val="24"/>
        </w:rPr>
        <w:t>克劳斯法制硫是利用酸性气中的硫化氢为原料，通过酸性气燃烧炉内的高温热反应和转化器内的低温催化反应，将硫化氢转化为单质硫的过程。其主要反应为：</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S+3/2O</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2</w:t>
      </w:r>
      <w:r>
        <w:rPr>
          <w:rFonts w:ascii="Times New Roman" w:hAnsi="Times New Roman"/>
          <w:sz w:val="24"/>
          <w:szCs w:val="24"/>
        </w:rPr>
        <w:t>+ H</w:t>
      </w:r>
      <w:r>
        <w:rPr>
          <w:rFonts w:ascii="Times New Roman" w:hAnsi="Times New Roman"/>
          <w:sz w:val="24"/>
          <w:szCs w:val="24"/>
          <w:vertAlign w:val="subscript"/>
        </w:rPr>
        <w:t>2</w:t>
      </w:r>
      <w:r>
        <w:rPr>
          <w:rFonts w:ascii="Times New Roman" w:hAnsi="Times New Roman"/>
          <w:sz w:val="24"/>
          <w:szCs w:val="24"/>
        </w:rPr>
        <w:t>O</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2H</w:t>
      </w:r>
      <w:r>
        <w:rPr>
          <w:rFonts w:ascii="Times New Roman" w:hAnsi="Times New Roman"/>
          <w:sz w:val="24"/>
          <w:szCs w:val="24"/>
          <w:vertAlign w:val="subscript"/>
        </w:rPr>
        <w:t>2</w:t>
      </w:r>
      <w:r>
        <w:rPr>
          <w:rFonts w:ascii="Times New Roman" w:hAnsi="Times New Roman"/>
          <w:sz w:val="24"/>
          <w:szCs w:val="24"/>
        </w:rPr>
        <w:t>S+SO</w:t>
      </w:r>
      <w:r>
        <w:rPr>
          <w:rFonts w:ascii="Times New Roman" w:hAnsi="Times New Roman"/>
          <w:sz w:val="24"/>
          <w:szCs w:val="24"/>
          <w:vertAlign w:val="subscript"/>
        </w:rPr>
        <w:t>2</w:t>
      </w:r>
      <w:r>
        <w:rPr>
          <w:rFonts w:ascii="Times New Roman" w:hAnsi="Times New Roman"/>
          <w:sz w:val="24"/>
          <w:szCs w:val="24"/>
        </w:rPr>
        <w:t>=3S+2 H</w:t>
      </w:r>
      <w:r>
        <w:rPr>
          <w:rFonts w:ascii="Times New Roman" w:hAnsi="Times New Roman"/>
          <w:sz w:val="24"/>
          <w:szCs w:val="24"/>
          <w:vertAlign w:val="subscript"/>
        </w:rPr>
        <w:t>2</w:t>
      </w:r>
      <w:r>
        <w:rPr>
          <w:rFonts w:ascii="Times New Roman" w:hAnsi="Times New Roman"/>
          <w:sz w:val="24"/>
          <w:szCs w:val="24"/>
        </w:rPr>
        <w:t>O</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总反应式为：</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S+1/2O</w:t>
      </w:r>
      <w:r>
        <w:rPr>
          <w:rFonts w:ascii="Times New Roman" w:hAnsi="Times New Roman"/>
          <w:sz w:val="24"/>
          <w:szCs w:val="24"/>
          <w:vertAlign w:val="subscript"/>
        </w:rPr>
        <w:t>2</w:t>
      </w:r>
      <w:r>
        <w:rPr>
          <w:rFonts w:ascii="Times New Roman" w:hAnsi="Times New Roman"/>
          <w:sz w:val="24"/>
          <w:szCs w:val="24"/>
        </w:rPr>
        <w:t>=1/2S</w:t>
      </w:r>
      <w:r>
        <w:rPr>
          <w:rFonts w:ascii="Times New Roman" w:hAnsi="Times New Roman"/>
          <w:sz w:val="24"/>
          <w:szCs w:val="24"/>
          <w:vertAlign w:val="subscript"/>
        </w:rPr>
        <w:t>2</w:t>
      </w:r>
      <w:r>
        <w:rPr>
          <w:rFonts w:ascii="Times New Roman" w:hAnsi="Times New Roman"/>
          <w:sz w:val="24"/>
          <w:szCs w:val="24"/>
        </w:rPr>
        <w:t>+ H</w:t>
      </w:r>
      <w:r>
        <w:rPr>
          <w:rFonts w:ascii="Times New Roman" w:hAnsi="Times New Roman"/>
          <w:sz w:val="24"/>
          <w:szCs w:val="24"/>
          <w:vertAlign w:val="subscript"/>
        </w:rPr>
        <w:t>2</w:t>
      </w:r>
      <w:r>
        <w:rPr>
          <w:rFonts w:ascii="Times New Roman" w:hAnsi="Times New Roman"/>
          <w:sz w:val="24"/>
          <w:szCs w:val="24"/>
        </w:rPr>
        <w:t xml:space="preserve">O   </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在酸性气燃烧炉的高温下，元素硫基本是以</w:t>
      </w:r>
      <w:r>
        <w:rPr>
          <w:rFonts w:ascii="Times New Roman" w:hAnsi="Times New Roman"/>
          <w:sz w:val="24"/>
          <w:szCs w:val="24"/>
        </w:rPr>
        <w:t>S</w:t>
      </w:r>
      <w:r>
        <w:rPr>
          <w:rFonts w:ascii="Times New Roman" w:hAnsi="Times New Roman"/>
          <w:sz w:val="24"/>
          <w:szCs w:val="24"/>
          <w:vertAlign w:val="subscript"/>
        </w:rPr>
        <w:t>2</w:t>
      </w:r>
      <w:r>
        <w:rPr>
          <w:rFonts w:ascii="Times New Roman" w:hAnsi="Times New Roman"/>
          <w:sz w:val="24"/>
          <w:szCs w:val="24"/>
        </w:rPr>
        <w:t>形态存在，随着温度的降低，</w:t>
      </w:r>
      <w:r>
        <w:rPr>
          <w:rFonts w:ascii="Times New Roman" w:hAnsi="Times New Roman"/>
          <w:sz w:val="24"/>
          <w:szCs w:val="24"/>
        </w:rPr>
        <w:t>S</w:t>
      </w:r>
      <w:r>
        <w:rPr>
          <w:rFonts w:ascii="Times New Roman" w:hAnsi="Times New Roman"/>
          <w:sz w:val="24"/>
          <w:szCs w:val="24"/>
          <w:vertAlign w:val="subscript"/>
        </w:rPr>
        <w:t>2</w:t>
      </w:r>
      <w:r>
        <w:rPr>
          <w:rFonts w:ascii="Times New Roman" w:hAnsi="Times New Roman"/>
          <w:sz w:val="24"/>
          <w:szCs w:val="24"/>
        </w:rPr>
        <w:t>可以变成</w:t>
      </w:r>
      <w:r>
        <w:rPr>
          <w:rFonts w:ascii="Times New Roman" w:hAnsi="Times New Roman"/>
          <w:sz w:val="24"/>
          <w:szCs w:val="24"/>
        </w:rPr>
        <w:t>S</w:t>
      </w:r>
      <w:r>
        <w:rPr>
          <w:rFonts w:ascii="Times New Roman" w:hAnsi="Times New Roman"/>
          <w:sz w:val="24"/>
          <w:szCs w:val="24"/>
          <w:vertAlign w:val="subscript"/>
        </w:rPr>
        <w:t>6</w:t>
      </w:r>
      <w:r>
        <w:rPr>
          <w:rFonts w:ascii="Times New Roman" w:hAnsi="Times New Roman"/>
          <w:sz w:val="24"/>
          <w:szCs w:val="24"/>
        </w:rPr>
        <w:t>、</w:t>
      </w:r>
      <w:r>
        <w:rPr>
          <w:rFonts w:ascii="Times New Roman" w:hAnsi="Times New Roman"/>
          <w:sz w:val="24"/>
          <w:szCs w:val="24"/>
        </w:rPr>
        <w:t>S</w:t>
      </w:r>
      <w:r>
        <w:rPr>
          <w:rFonts w:ascii="Times New Roman" w:hAnsi="Times New Roman"/>
          <w:sz w:val="24"/>
          <w:szCs w:val="24"/>
          <w:vertAlign w:val="subscript"/>
        </w:rPr>
        <w:t>8</w:t>
      </w:r>
      <w:r>
        <w:rPr>
          <w:rFonts w:ascii="Times New Roman" w:hAnsi="Times New Roman"/>
          <w:sz w:val="24"/>
          <w:szCs w:val="24"/>
        </w:rPr>
        <w:t>等形态的硫。生成的单质硫经冷凝后，回收得到硫磺。硫回收率可达</w:t>
      </w:r>
      <w:r>
        <w:rPr>
          <w:rFonts w:ascii="Times New Roman" w:hAnsi="Times New Roman"/>
          <w:sz w:val="24"/>
          <w:szCs w:val="24"/>
        </w:rPr>
        <w:t>98%</w:t>
      </w:r>
      <w:r>
        <w:rPr>
          <w:rFonts w:ascii="Times New Roman" w:hAnsi="Times New Roman"/>
          <w:sz w:val="24"/>
          <w:szCs w:val="24"/>
        </w:rPr>
        <w:t>以上。</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②</w:t>
      </w:r>
      <w:r>
        <w:rPr>
          <w:rFonts w:ascii="Times New Roman" w:hAnsi="Times New Roman"/>
          <w:sz w:val="24"/>
          <w:szCs w:val="24"/>
        </w:rPr>
        <w:t>工艺流程简述</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酸性气进入酸性气预热器预热，升温后进入脱硫酸性气分液罐，以分离出酸</w:t>
      </w:r>
      <w:r>
        <w:rPr>
          <w:rFonts w:ascii="Times New Roman" w:hAnsi="Times New Roman"/>
          <w:sz w:val="24"/>
          <w:szCs w:val="24"/>
        </w:rPr>
        <w:lastRenderedPageBreak/>
        <w:t>性气中的冷凝液和夹带的液体，分离出的液体进入酸性水排液罐，再由</w:t>
      </w:r>
      <w:r>
        <w:rPr>
          <w:rFonts w:ascii="Times New Roman" w:hAnsi="Times New Roman"/>
          <w:sz w:val="24"/>
          <w:szCs w:val="24"/>
        </w:rPr>
        <w:t>N</w:t>
      </w:r>
      <w:r>
        <w:rPr>
          <w:rFonts w:ascii="Times New Roman" w:hAnsi="Times New Roman"/>
          <w:sz w:val="24"/>
          <w:szCs w:val="24"/>
          <w:vertAlign w:val="subscript"/>
        </w:rPr>
        <w:t>2</w:t>
      </w:r>
      <w:r>
        <w:rPr>
          <w:rFonts w:ascii="Times New Roman" w:hAnsi="Times New Roman"/>
          <w:sz w:val="24"/>
          <w:szCs w:val="24"/>
        </w:rPr>
        <w:t>压至系统酸性水管网。</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在正常工况下，经分液后酸性气与空气鼓风机来的适量空气在主烧咀内混合进行燃烧反应，接着在主燃烧室内进一步达到平衡，生成的过程气经废热锅炉取热发生中压蒸汽后冷却，进入第一硫冷凝器被除氧水冷却，其中的硫蒸汽被冷凝、捕集分离。第一硫冷凝器出来的过程气与废热锅炉产生的中压蒸汽进行换热至合适温度后进入</w:t>
      </w:r>
      <w:r>
        <w:rPr>
          <w:rFonts w:ascii="Times New Roman" w:hAnsi="Times New Roman"/>
          <w:sz w:val="24"/>
          <w:szCs w:val="24"/>
        </w:rPr>
        <w:t xml:space="preserve"> Claus </w:t>
      </w:r>
      <w:r>
        <w:rPr>
          <w:rFonts w:ascii="Times New Roman" w:hAnsi="Times New Roman"/>
          <w:sz w:val="24"/>
          <w:szCs w:val="24"/>
        </w:rPr>
        <w:t>反应器，在催化剂作用下发生</w:t>
      </w:r>
      <w:r>
        <w:rPr>
          <w:rFonts w:ascii="Times New Roman" w:hAnsi="Times New Roman"/>
          <w:sz w:val="24"/>
          <w:szCs w:val="24"/>
        </w:rPr>
        <w:t xml:space="preserve"> Claus</w:t>
      </w:r>
      <w:r>
        <w:rPr>
          <w:rFonts w:ascii="Times New Roman" w:hAnsi="Times New Roman"/>
          <w:sz w:val="24"/>
          <w:szCs w:val="24"/>
        </w:rPr>
        <w:t>反应，过程气出反应器后进入第二硫冷凝器被除氧水冷却，其中的硫蒸汽被冷凝，捕集分离。第二硫冷凝器出来的过程气进入换热器换热至合适温度后进入</w:t>
      </w:r>
      <w:r>
        <w:rPr>
          <w:rFonts w:ascii="Times New Roman" w:hAnsi="Times New Roman"/>
          <w:sz w:val="24"/>
          <w:szCs w:val="24"/>
        </w:rPr>
        <w:t xml:space="preserve"> Claus </w:t>
      </w:r>
      <w:r>
        <w:rPr>
          <w:rFonts w:ascii="Times New Roman" w:hAnsi="Times New Roman"/>
          <w:sz w:val="24"/>
          <w:szCs w:val="24"/>
        </w:rPr>
        <w:t>反应器，在催化剂作用下发生</w:t>
      </w:r>
      <w:r>
        <w:rPr>
          <w:rFonts w:ascii="Times New Roman" w:hAnsi="Times New Roman"/>
          <w:sz w:val="24"/>
          <w:szCs w:val="24"/>
        </w:rPr>
        <w:t xml:space="preserve"> Claus</w:t>
      </w:r>
      <w:r>
        <w:rPr>
          <w:rFonts w:ascii="Times New Roman" w:hAnsi="Times New Roman"/>
          <w:sz w:val="24"/>
          <w:szCs w:val="24"/>
        </w:rPr>
        <w:t>反应，过程气出反应器后进入第三硫冷凝器被除氧水冷却，其中的硫蒸汽被冷凝，捕集分离。</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各个硫冷凝器分离出来的液硫经硫封罐后汇集到液硫池，液硫池中的液硫经过空气鼓泡器脱除</w:t>
      </w: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S</w:t>
      </w:r>
      <w:r>
        <w:rPr>
          <w:rFonts w:ascii="Times New Roman" w:hAnsi="Times New Roman"/>
          <w:sz w:val="24"/>
          <w:szCs w:val="24"/>
        </w:rPr>
        <w:t>，液硫经泵送至成型机成型固硫后出厂。</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经捕集硫雾后的</w:t>
      </w:r>
      <w:r>
        <w:rPr>
          <w:rFonts w:ascii="Times New Roman" w:hAnsi="Times New Roman"/>
          <w:sz w:val="24"/>
          <w:szCs w:val="24"/>
        </w:rPr>
        <w:t>CLAUS</w:t>
      </w:r>
      <w:r>
        <w:rPr>
          <w:rFonts w:ascii="Times New Roman" w:hAnsi="Times New Roman"/>
          <w:sz w:val="24"/>
          <w:szCs w:val="24"/>
        </w:rPr>
        <w:t>尾气进入尾气加热器，与尾气焚烧炉的高温烟气进行换热后</w:t>
      </w:r>
      <w:r>
        <w:rPr>
          <w:rFonts w:ascii="Times New Roman" w:hAnsi="Times New Roman"/>
          <w:sz w:val="24"/>
          <w:szCs w:val="24"/>
        </w:rPr>
        <w:sym w:font="Times New Roman" w:char="0000"/>
      </w:r>
      <w:r>
        <w:rPr>
          <w:rFonts w:ascii="Times New Roman" w:hAnsi="Times New Roman"/>
          <w:sz w:val="24"/>
          <w:szCs w:val="24"/>
        </w:rPr>
        <w:t>与外补氢气（外补氢气由工厂系统供给）进入加氢反应器。</w:t>
      </w:r>
      <w:r>
        <w:rPr>
          <w:rFonts w:ascii="Times New Roman" w:hAnsi="Times New Roman"/>
          <w:sz w:val="24"/>
          <w:szCs w:val="24"/>
        </w:rPr>
        <w:t>CLAUS</w:t>
      </w:r>
      <w:r>
        <w:rPr>
          <w:rFonts w:ascii="Times New Roman" w:hAnsi="Times New Roman"/>
          <w:sz w:val="24"/>
          <w:szCs w:val="24"/>
        </w:rPr>
        <w:t>尾气在加氢催化剂的作用下，</w:t>
      </w:r>
      <w:r>
        <w:rPr>
          <w:rFonts w:ascii="Times New Roman" w:hAnsi="Times New Roman"/>
          <w:sz w:val="24"/>
          <w:szCs w:val="24"/>
        </w:rPr>
        <w:t>SO</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sz w:val="24"/>
          <w:szCs w:val="24"/>
        </w:rPr>
        <w:t>COS</w:t>
      </w:r>
      <w:r>
        <w:rPr>
          <w:rFonts w:ascii="Times New Roman" w:hAnsi="Times New Roman"/>
          <w:sz w:val="24"/>
          <w:szCs w:val="24"/>
        </w:rPr>
        <w:t>、</w:t>
      </w:r>
      <w:r>
        <w:rPr>
          <w:rFonts w:ascii="Times New Roman" w:hAnsi="Times New Roman"/>
          <w:sz w:val="24"/>
          <w:szCs w:val="24"/>
        </w:rPr>
        <w:t>CS</w:t>
      </w:r>
      <w:r>
        <w:rPr>
          <w:rFonts w:ascii="Times New Roman" w:hAnsi="Times New Roman"/>
          <w:sz w:val="24"/>
          <w:szCs w:val="24"/>
          <w:vertAlign w:val="subscript"/>
        </w:rPr>
        <w:t>2</w:t>
      </w:r>
      <w:r>
        <w:rPr>
          <w:rFonts w:ascii="Times New Roman" w:hAnsi="Times New Roman"/>
          <w:sz w:val="24"/>
          <w:szCs w:val="24"/>
        </w:rPr>
        <w:t>及液硫、气态硫等均被转化为</w:t>
      </w: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S</w:t>
      </w:r>
      <w:r>
        <w:rPr>
          <w:rFonts w:ascii="Times New Roman" w:hAnsi="Times New Roman"/>
          <w:sz w:val="24"/>
          <w:szCs w:val="24"/>
        </w:rPr>
        <w:t>。加氢反应为放热反应，离开反应器后温度为</w:t>
      </w:r>
      <w:r>
        <w:rPr>
          <w:rFonts w:ascii="Times New Roman" w:hAnsi="Times New Roman"/>
          <w:sz w:val="24"/>
          <w:szCs w:val="24"/>
        </w:rPr>
        <w:t>335℃</w:t>
      </w:r>
      <w:r>
        <w:rPr>
          <w:rFonts w:ascii="Times New Roman" w:hAnsi="Times New Roman"/>
          <w:sz w:val="24"/>
          <w:szCs w:val="24"/>
        </w:rPr>
        <w:t>的过程气经尾气处理废热锅炉取热至</w:t>
      </w:r>
      <w:r>
        <w:rPr>
          <w:rFonts w:ascii="Times New Roman" w:hAnsi="Times New Roman"/>
          <w:sz w:val="24"/>
          <w:szCs w:val="24"/>
        </w:rPr>
        <w:t>170℃</w:t>
      </w:r>
      <w:r>
        <w:rPr>
          <w:rFonts w:ascii="Times New Roman" w:hAnsi="Times New Roman"/>
          <w:sz w:val="24"/>
          <w:szCs w:val="24"/>
        </w:rPr>
        <w:t>后进入急冷塔。</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尾气在急冷塔内利用循环急冷水来降温。</w:t>
      </w:r>
      <w:r>
        <w:rPr>
          <w:rFonts w:ascii="Times New Roman" w:hAnsi="Times New Roman"/>
          <w:sz w:val="24"/>
          <w:szCs w:val="24"/>
        </w:rPr>
        <w:t>65℃</w:t>
      </w:r>
      <w:r>
        <w:rPr>
          <w:rFonts w:ascii="Times New Roman" w:hAnsi="Times New Roman"/>
          <w:sz w:val="24"/>
          <w:szCs w:val="24"/>
        </w:rPr>
        <w:t>的急冷水自急冷塔底部流出，经急冷水泵加压，经急冷水空冷器、急冷水冷却器冷却至</w:t>
      </w:r>
      <w:r>
        <w:rPr>
          <w:rFonts w:ascii="Times New Roman" w:hAnsi="Times New Roman"/>
          <w:sz w:val="24"/>
          <w:szCs w:val="24"/>
        </w:rPr>
        <w:t>40℃</w:t>
      </w:r>
      <w:r>
        <w:rPr>
          <w:rFonts w:ascii="Times New Roman" w:hAnsi="Times New Roman"/>
          <w:sz w:val="24"/>
          <w:szCs w:val="24"/>
        </w:rPr>
        <w:t>后，循环回急冷塔顶。部分急冷水经急冷水过滤器过滤后返回急冷水泵入口。因尾气冷却后其中的水蒸汽被急冷水冷凝，产生的酸性水由急冷水泵送至酸性水汽提单元。为了防止酸性水对设备的腐蚀，需向急冷水中注氨，操作中根据</w:t>
      </w:r>
      <w:r>
        <w:rPr>
          <w:rFonts w:ascii="Times New Roman" w:hAnsi="Times New Roman"/>
          <w:sz w:val="24"/>
          <w:szCs w:val="24"/>
        </w:rPr>
        <w:t>pH</w:t>
      </w:r>
      <w:r>
        <w:rPr>
          <w:rFonts w:ascii="Times New Roman" w:hAnsi="Times New Roman"/>
          <w:sz w:val="24"/>
          <w:szCs w:val="24"/>
        </w:rPr>
        <w:t>值大小，确定注入的氨量。</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急冷后的尾气离开急冷塔顶进入尾气吸收塔，用</w:t>
      </w:r>
      <w:r>
        <w:rPr>
          <w:rFonts w:ascii="Times New Roman" w:hAnsi="Times New Roman"/>
          <w:sz w:val="24"/>
          <w:szCs w:val="24"/>
        </w:rPr>
        <w:t>30%</w:t>
      </w:r>
      <w:r>
        <w:rPr>
          <w:rFonts w:ascii="Times New Roman" w:hAnsi="Times New Roman"/>
          <w:sz w:val="24"/>
          <w:szCs w:val="24"/>
        </w:rPr>
        <w:t>甲基二乙醇胺溶液吸收尾气中的硫化氢，同时吸收部分二氧化碳。从塔顶出来的净化尾气进入尾气焚烧炉焚烧，尾气中残留的硫化氢及其它硫化物几乎完全转化为二氧化硫；塔底的富胺液送至溶剂再生单元，其中从脱硫塔的中上部抽出部分半贫胺液经泵增压后与溶剂再生的贫胺液混合后送至上游装置使用（保证混合后的贫胺液中硫化氢含</w:t>
      </w:r>
      <w:r>
        <w:rPr>
          <w:rFonts w:ascii="Times New Roman" w:hAnsi="Times New Roman"/>
          <w:sz w:val="24"/>
          <w:szCs w:val="24"/>
        </w:rPr>
        <w:lastRenderedPageBreak/>
        <w:t>量：</w:t>
      </w:r>
      <w:r>
        <w:rPr>
          <w:rFonts w:ascii="Times New Roman" w:hAnsi="Times New Roman"/>
          <w:sz w:val="24"/>
          <w:szCs w:val="24"/>
        </w:rPr>
        <w:t>≤1g/L</w:t>
      </w:r>
      <w:r>
        <w:rPr>
          <w:rFonts w:ascii="Times New Roman" w:hAnsi="Times New Roman"/>
          <w:sz w:val="24"/>
          <w:szCs w:val="24"/>
        </w:rPr>
        <w:t>）。焚烧后的烟气经尾气废热锅炉吸收热量后直接进入排气筒排放或现经过碱洗塔后排放。</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硫磺回收部分事故状态，酸性气经焚烧炉焚烧后经过碱洗后通过烟囱排空，或碱洗后通过火炬燃烧后排放。当硫磺回收装置尾气处理部分事故状态时，</w:t>
      </w:r>
      <w:r>
        <w:rPr>
          <w:rFonts w:ascii="Times New Roman" w:hAnsi="Times New Roman"/>
          <w:sz w:val="24"/>
          <w:szCs w:val="24"/>
        </w:rPr>
        <w:t>Claus</w:t>
      </w:r>
      <w:r>
        <w:rPr>
          <w:rFonts w:ascii="Times New Roman" w:hAnsi="Times New Roman"/>
          <w:sz w:val="24"/>
          <w:szCs w:val="24"/>
        </w:rPr>
        <w:t>尾气可通过跨线直接进入尾气焚烧炉焚烧后经过碱洗后通过烟囱排空。事故时酸性气或尾气烟气</w:t>
      </w:r>
      <w:r>
        <w:rPr>
          <w:rFonts w:ascii="Times New Roman" w:hAnsi="Times New Roman"/>
          <w:sz w:val="24"/>
          <w:szCs w:val="24"/>
        </w:rPr>
        <w:t>-</w:t>
      </w:r>
      <w:r>
        <w:rPr>
          <w:rFonts w:ascii="Times New Roman" w:hAnsi="Times New Roman"/>
          <w:sz w:val="24"/>
          <w:szCs w:val="24"/>
        </w:rPr>
        <w:t>净化气换热器，加热碱洗塔顶的净化气，换热后烟气温度降至</w:t>
      </w:r>
      <w:r>
        <w:rPr>
          <w:rFonts w:ascii="Times New Roman" w:hAnsi="Times New Roman"/>
          <w:sz w:val="24"/>
          <w:szCs w:val="24"/>
        </w:rPr>
        <w:t>110℃</w:t>
      </w:r>
      <w:r>
        <w:rPr>
          <w:rFonts w:ascii="Times New Roman" w:hAnsi="Times New Roman"/>
          <w:sz w:val="24"/>
          <w:szCs w:val="24"/>
        </w:rPr>
        <w:t>后进入碱洗塔入口。碱洗塔入口处有一段较长的烟道，除盐水通过喷嘴雾化后，与进口的烟气接触，使烟气中的水分达到饱和，同时温度急冷至约</w:t>
      </w:r>
      <w:r>
        <w:rPr>
          <w:rFonts w:ascii="Times New Roman" w:hAnsi="Times New Roman"/>
          <w:sz w:val="24"/>
          <w:szCs w:val="24"/>
        </w:rPr>
        <w:t>60℃</w:t>
      </w:r>
      <w:r>
        <w:rPr>
          <w:rFonts w:ascii="Times New Roman" w:hAnsi="Times New Roman"/>
          <w:sz w:val="24"/>
          <w:szCs w:val="24"/>
        </w:rPr>
        <w:t>。浓度为</w:t>
      </w:r>
      <w:r>
        <w:rPr>
          <w:rFonts w:ascii="Times New Roman" w:hAnsi="Times New Roman"/>
          <w:sz w:val="24"/>
          <w:szCs w:val="24"/>
        </w:rPr>
        <w:t>30%</w:t>
      </w:r>
      <w:r>
        <w:rPr>
          <w:rFonts w:ascii="Times New Roman" w:hAnsi="Times New Roman"/>
          <w:sz w:val="24"/>
          <w:szCs w:val="24"/>
        </w:rPr>
        <w:t>的氢氧化钠溶液作为吸收剂进入碱洗塔吸收</w:t>
      </w:r>
      <w:r>
        <w:rPr>
          <w:rFonts w:ascii="Times New Roman" w:hAnsi="Times New Roman"/>
          <w:sz w:val="24"/>
          <w:szCs w:val="24"/>
        </w:rPr>
        <w:t>SO</w:t>
      </w:r>
      <w:r>
        <w:rPr>
          <w:rFonts w:ascii="Times New Roman" w:hAnsi="Times New Roman"/>
          <w:sz w:val="24"/>
          <w:szCs w:val="24"/>
          <w:vertAlign w:val="subscript"/>
        </w:rPr>
        <w:t>2</w:t>
      </w:r>
      <w:r>
        <w:rPr>
          <w:rFonts w:ascii="Times New Roman" w:hAnsi="Times New Roman"/>
          <w:sz w:val="24"/>
          <w:szCs w:val="24"/>
        </w:rPr>
        <w:t>。为保持碱洗塔中吸收液的</w:t>
      </w:r>
      <w:r>
        <w:rPr>
          <w:rFonts w:ascii="Times New Roman" w:hAnsi="Times New Roman"/>
          <w:sz w:val="24"/>
          <w:szCs w:val="24"/>
        </w:rPr>
        <w:t>pH</w:t>
      </w:r>
      <w:r>
        <w:rPr>
          <w:rFonts w:ascii="Times New Roman" w:hAnsi="Times New Roman"/>
          <w:sz w:val="24"/>
          <w:szCs w:val="24"/>
        </w:rPr>
        <w:t>值，满足吸收</w:t>
      </w:r>
      <w:r>
        <w:rPr>
          <w:rFonts w:ascii="Times New Roman" w:hAnsi="Times New Roman"/>
          <w:sz w:val="24"/>
          <w:szCs w:val="24"/>
        </w:rPr>
        <w:t>SO</w:t>
      </w:r>
      <w:r>
        <w:rPr>
          <w:rFonts w:ascii="Times New Roman" w:hAnsi="Times New Roman"/>
          <w:sz w:val="24"/>
          <w:szCs w:val="24"/>
          <w:vertAlign w:val="subscript"/>
        </w:rPr>
        <w:t>2</w:t>
      </w:r>
      <w:r>
        <w:rPr>
          <w:rFonts w:ascii="Times New Roman" w:hAnsi="Times New Roman"/>
          <w:sz w:val="24"/>
          <w:szCs w:val="24"/>
        </w:rPr>
        <w:t>的要求，需连续不断的将氢氧化钠补充到脱硫塔底吸收液中。塔底循环泵管路上装有</w:t>
      </w:r>
      <w:r>
        <w:rPr>
          <w:rFonts w:ascii="Times New Roman" w:hAnsi="Times New Roman"/>
          <w:sz w:val="24"/>
          <w:szCs w:val="24"/>
        </w:rPr>
        <w:t>pH</w:t>
      </w:r>
      <w:r>
        <w:rPr>
          <w:rFonts w:ascii="Times New Roman" w:hAnsi="Times New Roman"/>
          <w:sz w:val="24"/>
          <w:szCs w:val="24"/>
        </w:rPr>
        <w:t>计，通过调节进入脱硫塔的碱液量，使</w:t>
      </w:r>
      <w:r>
        <w:rPr>
          <w:rFonts w:ascii="Times New Roman" w:hAnsi="Times New Roman"/>
          <w:sz w:val="24"/>
          <w:szCs w:val="24"/>
        </w:rPr>
        <w:t>pH</w:t>
      </w:r>
      <w:r>
        <w:rPr>
          <w:rFonts w:ascii="Times New Roman" w:hAnsi="Times New Roman"/>
          <w:sz w:val="24"/>
          <w:szCs w:val="24"/>
        </w:rPr>
        <w:t>值控制在</w:t>
      </w:r>
      <w:r>
        <w:rPr>
          <w:rFonts w:ascii="Times New Roman" w:hAnsi="Times New Roman"/>
          <w:sz w:val="24"/>
          <w:szCs w:val="24"/>
        </w:rPr>
        <w:t>7</w:t>
      </w:r>
      <w:r>
        <w:rPr>
          <w:rFonts w:ascii="Times New Roman" w:hAnsi="Times New Roman"/>
          <w:sz w:val="24"/>
          <w:szCs w:val="24"/>
        </w:rPr>
        <w:t>左右。烟气通过碱洗后经烟气－净化气换热器换热后温度升至</w:t>
      </w:r>
      <w:r>
        <w:rPr>
          <w:rFonts w:ascii="Times New Roman" w:hAnsi="Times New Roman"/>
          <w:sz w:val="24"/>
          <w:szCs w:val="24"/>
        </w:rPr>
        <w:t>200℃</w:t>
      </w:r>
      <w:r>
        <w:rPr>
          <w:rFonts w:ascii="Times New Roman" w:hAnsi="Times New Roman"/>
          <w:sz w:val="24"/>
          <w:szCs w:val="24"/>
        </w:rPr>
        <w:t>后排入硫磺回收装置烟囱或到火炬燃烧后排放。塔釜排出浓度为</w:t>
      </w:r>
      <w:r>
        <w:rPr>
          <w:rFonts w:ascii="Times New Roman" w:hAnsi="Times New Roman"/>
          <w:sz w:val="24"/>
          <w:szCs w:val="24"/>
        </w:rPr>
        <w:t>10%</w:t>
      </w:r>
      <w:r>
        <w:rPr>
          <w:rFonts w:ascii="Times New Roman" w:hAnsi="Times New Roman"/>
          <w:sz w:val="24"/>
          <w:szCs w:val="24"/>
        </w:rPr>
        <w:t>左右含盐脱硫废水经沉淀池循环利用。</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硫磺回收单元生产工艺流程及主要产污环节见图</w:t>
      </w:r>
      <w:r>
        <w:rPr>
          <w:rFonts w:ascii="Times New Roman" w:hAnsi="Times New Roman"/>
          <w:sz w:val="24"/>
          <w:szCs w:val="24"/>
        </w:rPr>
        <w:t>3.5-6</w:t>
      </w:r>
      <w:r>
        <w:rPr>
          <w:rFonts w:ascii="Times New Roman" w:hAnsi="Times New Roman"/>
          <w:sz w:val="24"/>
          <w:szCs w:val="24"/>
        </w:rPr>
        <w:t>。</w:t>
      </w:r>
    </w:p>
    <w:p w:rsidR="00525419" w:rsidRDefault="007D0E8A">
      <w:pPr>
        <w:rPr>
          <w:rFonts w:ascii="Times New Roman" w:hAnsi="Times New Roman"/>
        </w:rPr>
      </w:pPr>
      <w:r>
        <w:rPr>
          <w:rFonts w:ascii="Times New Roman" w:hAnsi="Times New Roman"/>
        </w:rPr>
        <w:pict>
          <v:group id="Group 2741" o:spid="_x0000_s1971" style="position:absolute;left:0;text-align:left;margin-left:9.75pt;margin-top:-.15pt;width:410.25pt;height:177.15pt;z-index:251649536" coordorigin="1992,2841" coordsize="8205,3543">
            <v:shape id="Quad Arrow 2049" o:spid="_x0000_s1972" type="#_x0000_t202" style="position:absolute;left:1992;top:3573;width:723;height:312" o:preferrelative="t" filled="f" stroked="f">
              <v:textbox inset="1.42pt,.85pt,1.42pt,.85pt">
                <w:txbxContent>
                  <w:p w:rsidR="00EE1CF7" w:rsidRDefault="00EE1CF7">
                    <w:r>
                      <w:rPr>
                        <w:rFonts w:hint="eastAsia"/>
                      </w:rPr>
                      <w:t>酸性气</w:t>
                    </w:r>
                  </w:p>
                </w:txbxContent>
              </v:textbox>
            </v:shape>
            <v:shape id="Quad Arrow 2050" o:spid="_x0000_s1973" type="#_x0000_t202" style="position:absolute;left:3492;top:3576;width:1080;height:312" o:preferrelative="t">
              <v:stroke miterlimit="2"/>
              <v:textbox inset="1.42pt,.85pt,1.42pt,.85pt">
                <w:txbxContent>
                  <w:p w:rsidR="00EE1CF7" w:rsidRDefault="00EE1CF7">
                    <w:r>
                      <w:rPr>
                        <w:rFonts w:hint="eastAsia"/>
                      </w:rPr>
                      <w:t>气液分离</w:t>
                    </w:r>
                  </w:p>
                </w:txbxContent>
              </v:textbox>
            </v:shape>
            <v:line id="Line 2051" o:spid="_x0000_s1974" style="position:absolute" from="2607,3732" to="3507,3732" o:preferrelative="t">
              <v:stroke endarrow="block" miterlimit="2"/>
            </v:line>
            <v:line id="Line 2052" o:spid="_x0000_s1975" style="position:absolute;flip:y" from="3987,3108" to="3987,3576" o:preferrelative="t">
              <v:stroke dashstyle="dash" endarrow="block" miterlimit="2"/>
            </v:line>
            <v:shape id="Quad Arrow 2053" o:spid="_x0000_s1976" type="#_x0000_t202" style="position:absolute;left:3537;top:2841;width:900;height:312" o:preferrelative="t" filled="f" stroked="f">
              <v:textbox inset="1.42pt,.85pt,1.42pt,.85pt">
                <w:txbxContent>
                  <w:p w:rsidR="00EE1CF7" w:rsidRDefault="00EE1CF7">
                    <w:r>
                      <w:rPr>
                        <w:rFonts w:hint="eastAsia"/>
                      </w:rPr>
                      <w:t>汽提装置</w:t>
                    </w:r>
                  </w:p>
                </w:txbxContent>
              </v:textbox>
            </v:shape>
            <v:line id="Line 2054" o:spid="_x0000_s1977" style="position:absolute" from="4572,3732" to="4932,3732" o:preferrelative="t">
              <v:stroke endarrow="block" miterlimit="2"/>
            </v:line>
            <v:shape id="Quad Arrow 2055" o:spid="_x0000_s1978" type="#_x0000_t202" style="position:absolute;left:4872;top:3576;width:540;height:312" o:preferrelative="t">
              <v:stroke miterlimit="2"/>
              <v:textbox inset="1.42pt,.85pt,1.42pt,.85pt">
                <w:txbxContent>
                  <w:p w:rsidR="00EE1CF7" w:rsidRDefault="00EE1CF7">
                    <w:r>
                      <w:rPr>
                        <w:rFonts w:hint="eastAsia"/>
                      </w:rPr>
                      <w:t>燃烧</w:t>
                    </w:r>
                  </w:p>
                </w:txbxContent>
              </v:textbox>
            </v:shape>
            <v:line id="Line 2056" o:spid="_x0000_s1979" style="position:absolute" from="4692,4200" to="5052,4200" o:preferrelative="t">
              <v:stroke miterlimit="2"/>
            </v:line>
            <v:line id="Line 2057" o:spid="_x0000_s1980" style="position:absolute;flip:y" from="5052,3888" to="5052,4200" o:preferrelative="t">
              <v:stroke endarrow="block" miterlimit="2"/>
            </v:line>
            <v:shape id="Quad Arrow 2058" o:spid="_x0000_s1981" type="#_x0000_t202" style="position:absolute;left:3972;top:4044;width:723;height:312" o:preferrelative="t" filled="f" stroked="f">
              <v:textbox inset="1.42pt,.85pt,1.42pt,.85pt">
                <w:txbxContent>
                  <w:p w:rsidR="00EE1CF7" w:rsidRDefault="00EE1CF7">
                    <w:r>
                      <w:rPr>
                        <w:rFonts w:hint="eastAsia"/>
                      </w:rPr>
                      <w:t>燃料气</w:t>
                    </w:r>
                  </w:p>
                </w:txbxContent>
              </v:textbox>
            </v:shape>
            <v:shape id="Quad Arrow 2059" o:spid="_x0000_s1982" type="#_x0000_t202" style="position:absolute;left:6132;top:3576;width:1080;height:312" o:preferrelative="t">
              <v:stroke miterlimit="2"/>
              <v:textbox inset="1.42pt,.85pt,1.42pt,.85pt">
                <w:txbxContent>
                  <w:p w:rsidR="00EE1CF7" w:rsidRDefault="00EE1CF7">
                    <w:r>
                      <w:rPr>
                        <w:rFonts w:hint="eastAsia"/>
                      </w:rPr>
                      <w:t>废热锅炉</w:t>
                    </w:r>
                  </w:p>
                </w:txbxContent>
              </v:textbox>
            </v:shape>
            <v:line id="Line 2060" o:spid="_x0000_s1983" style="position:absolute" from="5412,3732" to="6132,3732" o:preferrelative="t">
              <v:stroke endarrow="block" miterlimit="2"/>
            </v:line>
            <v:shape id="Quad Arrow 2061" o:spid="_x0000_s1984" type="#_x0000_t202" style="position:absolute;left:5412;top:3420;width:723;height:312" o:preferrelative="t" filled="f" stroked="f">
              <v:textbox inset="1.42pt,.85pt,1.42pt,.85pt">
                <w:txbxContent>
                  <w:p w:rsidR="00EE1CF7" w:rsidRDefault="00EE1CF7">
                    <w:r>
                      <w:rPr>
                        <w:rFonts w:hint="eastAsia"/>
                      </w:rPr>
                      <w:t>高温气</w:t>
                    </w:r>
                  </w:p>
                </w:txbxContent>
              </v:textbox>
            </v:shape>
            <v:shape id="Quad Arrow 2062" o:spid="_x0000_s1985" type="#_x0000_t202" style="position:absolute;left:7932;top:3576;width:1980;height:312" o:preferrelative="t">
              <v:stroke miterlimit="2"/>
              <v:textbox inset="1.42pt,.85pt,1.42pt,.85pt">
                <w:txbxContent>
                  <w:p w:rsidR="00EE1CF7" w:rsidRDefault="00EE1CF7">
                    <w:r>
                      <w:t>C</w:t>
                    </w:r>
                    <w:r>
                      <w:rPr>
                        <w:rFonts w:hint="eastAsia"/>
                      </w:rPr>
                      <w:t>laus</w:t>
                    </w:r>
                    <w:r>
                      <w:rPr>
                        <w:rFonts w:hint="eastAsia"/>
                      </w:rPr>
                      <w:t>一、二级反应</w:t>
                    </w:r>
                  </w:p>
                </w:txbxContent>
              </v:textbox>
            </v:shape>
            <v:line id="Line 2063" o:spid="_x0000_s1986" style="position:absolute" from="7212,3732" to="7932,3732" o:preferrelative="t">
              <v:stroke endarrow="block" miterlimit="2"/>
            </v:line>
            <v:shape id="Quad Arrow 2064" o:spid="_x0000_s1987" type="#_x0000_t202" style="position:absolute;left:8472;top:4512;width:1080;height:312" o:preferrelative="t">
              <v:stroke miterlimit="2"/>
              <v:textbox inset="1.42pt,.85pt,1.42pt,.85pt">
                <w:txbxContent>
                  <w:p w:rsidR="00EE1CF7" w:rsidRDefault="00EE1CF7">
                    <w:r>
                      <w:rPr>
                        <w:rFonts w:hint="eastAsia"/>
                      </w:rPr>
                      <w:t>冷却、除雾</w:t>
                    </w:r>
                  </w:p>
                </w:txbxContent>
              </v:textbox>
            </v:shape>
            <v:line id="Line 2065" o:spid="_x0000_s1988" style="position:absolute" from="9012,3888" to="9012,4512" o:preferrelative="t">
              <v:stroke endarrow="block" miterlimit="2"/>
            </v:line>
            <v:line id="Line 2066" o:spid="_x0000_s1989" style="position:absolute;flip:x" from="7932,4668" to="8472,4668" o:preferrelative="t">
              <v:stroke endarrow="block" miterlimit="2"/>
            </v:line>
            <v:shape id="Quad Arrow 2067" o:spid="_x0000_s1990" type="#_x0000_t202" style="position:absolute;left:8022;top:4356;width:723;height:312" o:preferrelative="t" filled="f" stroked="f">
              <v:textbox inset="1.42pt,.85pt,1.42pt,.85pt">
                <w:txbxContent>
                  <w:p w:rsidR="00EE1CF7" w:rsidRDefault="00EE1CF7">
                    <w:r>
                      <w:rPr>
                        <w:rFonts w:hint="eastAsia"/>
                      </w:rPr>
                      <w:t>硫液</w:t>
                    </w:r>
                  </w:p>
                </w:txbxContent>
              </v:textbox>
            </v:shape>
            <v:shape id="Quad Arrow 2068" o:spid="_x0000_s1991" type="#_x0000_t202" style="position:absolute;left:6987;top:4512;width:945;height:312" o:preferrelative="t">
              <v:stroke miterlimit="2"/>
              <v:textbox inset="1.42pt,.85pt,1.42pt,.85pt">
                <w:txbxContent>
                  <w:p w:rsidR="00EE1CF7" w:rsidRDefault="00EE1CF7">
                    <w:r>
                      <w:rPr>
                        <w:rFonts w:hint="eastAsia"/>
                      </w:rPr>
                      <w:t>循环脱气</w:t>
                    </w:r>
                  </w:p>
                </w:txbxContent>
              </v:textbox>
            </v:shape>
            <v:line id="Line 2069" o:spid="_x0000_s1992" style="position:absolute;flip:x" from="6672,4668" to="7032,4668" o:preferrelative="t">
              <v:stroke endarrow="block" miterlimit="2"/>
            </v:line>
            <v:shape id="Quad Arrow 2070" o:spid="_x0000_s1993" type="#_x0000_t202" style="position:absolute;left:6132;top:4512;width:723;height:312" o:preferrelative="t" filled="f" stroked="f">
              <v:textbox inset="1.42pt,.85pt,1.42pt,.85pt">
                <w:txbxContent>
                  <w:p w:rsidR="00EE1CF7" w:rsidRDefault="00EE1CF7">
                    <w:r>
                      <w:rPr>
                        <w:rFonts w:hint="eastAsia"/>
                      </w:rPr>
                      <w:t>硫磺</w:t>
                    </w:r>
                  </w:p>
                </w:txbxContent>
              </v:textbox>
            </v:shape>
            <v:shape id="Quad Arrow 2071" o:spid="_x0000_s1994" type="#_x0000_t202" style="position:absolute;left:8727;top:5292;width:540;height:312" o:preferrelative="t">
              <v:stroke miterlimit="2"/>
              <v:textbox inset="1.42pt,.85pt,1.42pt,.85pt">
                <w:txbxContent>
                  <w:p w:rsidR="00EE1CF7" w:rsidRDefault="00EE1CF7">
                    <w:r>
                      <w:rPr>
                        <w:rFonts w:hint="eastAsia"/>
                      </w:rPr>
                      <w:t>混氢</w:t>
                    </w:r>
                  </w:p>
                </w:txbxContent>
              </v:textbox>
            </v:shape>
            <v:line id="Line 2072" o:spid="_x0000_s1995" style="position:absolute" from="9012,4824" to="9012,5292" o:preferrelative="t">
              <v:stroke endarrow="block" miterlimit="2"/>
            </v:line>
            <v:line id="Line 2073" o:spid="_x0000_s1996" style="position:absolute;flip:y" from="9009,5604" to="9009,6072" o:preferrelative="t">
              <v:stroke dashstyle="dash" endarrow="block" miterlimit="2"/>
            </v:line>
            <v:shape id="Quad Arrow 2074" o:spid="_x0000_s1997" type="#_x0000_t202" style="position:absolute;left:8727;top:6072;width:540;height:312" o:preferrelative="t" filled="f" stroked="f">
              <v:textbox inset="1.42pt,.85pt,1.42pt,.85pt">
                <w:txbxContent>
                  <w:p w:rsidR="00EE1CF7" w:rsidRDefault="00EE1CF7">
                    <w:r>
                      <w:rPr>
                        <w:rFonts w:hint="eastAsia"/>
                      </w:rPr>
                      <w:t>氢气</w:t>
                    </w:r>
                  </w:p>
                </w:txbxContent>
              </v:textbox>
            </v:shape>
            <v:line id="Line 2075" o:spid="_x0000_s1998" style="position:absolute;flip:x" from="9237,5448" to="9417,5448" o:preferrelative="t">
              <v:stroke endarrow="block" miterlimit="2"/>
            </v:line>
            <v:shape id="Quad Arrow 2076" o:spid="_x0000_s1999" type="#_x0000_t202" style="position:absolute;left:9477;top:5292;width:720;height:312" o:preferrelative="t" filled="f" stroked="f">
              <v:textbox inset="1.42pt,.85pt,1.42pt,.85pt">
                <w:txbxContent>
                  <w:p w:rsidR="00EE1CF7" w:rsidRDefault="00EE1CF7">
                    <w:r>
                      <w:rPr>
                        <w:rFonts w:hint="eastAsia"/>
                      </w:rPr>
                      <w:t>电加热</w:t>
                    </w:r>
                  </w:p>
                </w:txbxContent>
              </v:textbox>
            </v:shape>
            <v:line id="Line 2077" o:spid="_x0000_s2000" style="position:absolute;flip:x" from="8157,5448" to="8697,5448" o:preferrelative="t">
              <v:stroke endarrow="block" miterlimit="2"/>
            </v:line>
            <v:shape id="Quad Arrow 2078" o:spid="_x0000_s2001" type="#_x0000_t202" style="position:absolute;left:7617;top:5292;width:540;height:312" o:preferrelative="t">
              <v:stroke miterlimit="2"/>
              <v:textbox inset="1.42pt,.85pt,1.42pt,.85pt">
                <w:txbxContent>
                  <w:p w:rsidR="00EE1CF7" w:rsidRDefault="00EE1CF7">
                    <w:r>
                      <w:rPr>
                        <w:rFonts w:hint="eastAsia"/>
                      </w:rPr>
                      <w:t>急冷</w:t>
                    </w:r>
                  </w:p>
                </w:txbxContent>
              </v:textbox>
            </v:shape>
            <v:line id="Line 2079" o:spid="_x0000_s2002" style="position:absolute" from="7887,5604" to="7887,6072" o:preferrelative="t">
              <v:stroke dashstyle="dash" endarrow="block" miterlimit="2"/>
            </v:line>
            <v:shape id="Quad Arrow 2080" o:spid="_x0000_s2003" type="#_x0000_t202" style="position:absolute;left:7392;top:6072;width:900;height:312" o:preferrelative="t" filled="f" stroked="f">
              <v:textbox inset="1.42pt,.85pt,1.42pt,.85pt">
                <w:txbxContent>
                  <w:p w:rsidR="00EE1CF7" w:rsidRDefault="00EE1CF7">
                    <w:r>
                      <w:rPr>
                        <w:rFonts w:hint="eastAsia"/>
                      </w:rPr>
                      <w:t>汽提装置</w:t>
                    </w:r>
                  </w:p>
                </w:txbxContent>
              </v:textbox>
            </v:shape>
            <v:line id="Line 2081" o:spid="_x0000_s2004" style="position:absolute;flip:x" from="7032,5448" to="7572,5448" o:preferrelative="t">
              <v:stroke endarrow="block" miterlimit="2"/>
            </v:line>
            <v:shape id="Quad Arrow 2082" o:spid="_x0000_s2005" type="#_x0000_t202" style="position:absolute;left:6492;top:5292;width:540;height:312" o:preferrelative="t">
              <v:stroke miterlimit="2"/>
              <v:textbox inset="1.42pt,.85pt,1.42pt,.85pt">
                <w:txbxContent>
                  <w:p w:rsidR="00EE1CF7" w:rsidRDefault="00EE1CF7">
                    <w:r>
                      <w:rPr>
                        <w:rFonts w:hint="eastAsia"/>
                      </w:rPr>
                      <w:t>吸收</w:t>
                    </w:r>
                  </w:p>
                </w:txbxContent>
              </v:textbox>
            </v:shape>
            <v:line id="Line 2083" o:spid="_x0000_s2006" style="position:absolute;flip:x" from="5052,5448" to="6492,5448" o:preferrelative="t">
              <v:stroke endarrow="block" miterlimit="2"/>
            </v:line>
            <v:shape id="Quad Arrow 2084" o:spid="_x0000_s2007" type="#_x0000_t202" style="position:absolute;left:4512;top:5292;width:540;height:312" o:preferrelative="t">
              <v:stroke miterlimit="2"/>
              <v:textbox inset="1.42pt,.85pt,1.42pt,.85pt">
                <w:txbxContent>
                  <w:p w:rsidR="00EE1CF7" w:rsidRDefault="00EE1CF7">
                    <w:r>
                      <w:rPr>
                        <w:rFonts w:hint="eastAsia"/>
                      </w:rPr>
                      <w:t>焚烧</w:t>
                    </w:r>
                  </w:p>
                </w:txbxContent>
              </v:textbox>
            </v:shape>
            <v:line id="Line 2085" o:spid="_x0000_s2008" style="position:absolute;flip:y" from="7212,4356" to="7212,4482" o:preferrelative="t">
              <v:stroke miterlimit="2"/>
            </v:line>
            <v:line id="Line 2086" o:spid="_x0000_s2009" style="position:absolute;flip:x" from="4872,4356" to="7212,4356" o:preferrelative="t">
              <v:stroke miterlimit="2"/>
            </v:line>
            <v:line id="Line 2087" o:spid="_x0000_s2010" style="position:absolute" from="4872,4356" to="4872,5292" o:preferrelative="t">
              <v:stroke endarrow="block" miterlimit="2"/>
            </v:line>
            <v:shape id="Quad Arrow 2088" o:spid="_x0000_s2011" type="#_x0000_t202" style="position:absolute;left:6132;top:4044;width:723;height:312" o:preferrelative="t" filled="f" stroked="f">
              <v:textbox inset="1.42pt,.85pt,1.42pt,.85pt">
                <w:txbxContent>
                  <w:p w:rsidR="00EE1CF7" w:rsidRDefault="00EE1CF7">
                    <w:r>
                      <w:rPr>
                        <w:rFonts w:hint="eastAsia"/>
                      </w:rPr>
                      <w:t>尾气</w:t>
                    </w:r>
                  </w:p>
                </w:txbxContent>
              </v:textbox>
            </v:shape>
            <v:shape id="Quad Arrow 2089" o:spid="_x0000_s2012" type="#_x0000_t202" style="position:absolute;left:5592;top:5136;width:723;height:312" o:preferrelative="t" filled="f" stroked="f">
              <v:textbox inset="1.42pt,.85pt,1.42pt,.85pt">
                <w:txbxContent>
                  <w:p w:rsidR="00EE1CF7" w:rsidRDefault="00EE1CF7">
                    <w:r>
                      <w:rPr>
                        <w:rFonts w:hint="eastAsia"/>
                      </w:rPr>
                      <w:t>尾气</w:t>
                    </w:r>
                  </w:p>
                </w:txbxContent>
              </v:textbox>
            </v:shape>
            <v:line id="Line 2090" o:spid="_x0000_s2013" style="position:absolute;flip:x" from="3972,5448" to="4512,5448" o:preferrelative="t">
              <v:stroke endarrow="block" miterlimit="2"/>
            </v:line>
            <v:shape id="Quad Arrow 2091" o:spid="_x0000_s2014" type="#_x0000_t202" style="position:absolute;left:2892;top:5292;width:1080;height:312" o:preferrelative="t">
              <v:stroke miterlimit="2"/>
              <v:textbox inset="1.42pt,.85pt,1.42pt,.85pt">
                <w:txbxContent>
                  <w:p w:rsidR="00EE1CF7" w:rsidRDefault="00EE1CF7">
                    <w:r>
                      <w:rPr>
                        <w:rFonts w:hint="eastAsia"/>
                      </w:rPr>
                      <w:t>废热锅炉</w:t>
                    </w:r>
                  </w:p>
                  <w:p w:rsidR="00EE1CF7" w:rsidRDefault="00EE1CF7"/>
                </w:txbxContent>
              </v:textbox>
            </v:shape>
            <v:shape id="Quad Arrow 2092" o:spid="_x0000_s2015" type="#_x0000_t202" style="position:absolute;left:3972;top:5136;width:723;height:312" o:preferrelative="t" filled="f" stroked="f">
              <v:textbox inset="1.42pt,.85pt,1.42pt,.85pt">
                <w:txbxContent>
                  <w:p w:rsidR="00EE1CF7" w:rsidRDefault="00EE1CF7">
                    <w:r>
                      <w:rPr>
                        <w:rFonts w:hint="eastAsia"/>
                      </w:rPr>
                      <w:t>烟气</w:t>
                    </w:r>
                  </w:p>
                </w:txbxContent>
              </v:textbox>
            </v:shape>
            <v:shape id="Quad Arrow 2094" o:spid="_x0000_s2016" type="#_x0000_t202" style="position:absolute;left:2892;top:6072;width:978;height:312" o:preferrelative="t" filled="f" stroked="f">
              <v:textbox inset="1.42pt,.85pt,1.42pt,.85pt">
                <w:txbxContent>
                  <w:p w:rsidR="00EE1CF7" w:rsidRDefault="00EE1CF7">
                    <w:r>
                      <w:rPr>
                        <w:rFonts w:hint="eastAsia"/>
                      </w:rPr>
                      <w:t>烟囱外排</w:t>
                    </w:r>
                  </w:p>
                </w:txbxContent>
              </v:textbox>
            </v:shape>
            <v:shape id="Quad Arrow 2095" o:spid="_x0000_s2017" type="#_x0000_t202" style="position:absolute;left:4497;top:4713;width:540;height:312" o:preferrelative="t" filled="f" stroked="f">
              <v:textbox inset="1.42pt,.85pt,1.42pt,.85pt">
                <w:txbxContent>
                  <w:p w:rsidR="00EE1CF7" w:rsidRDefault="00EE1CF7">
                    <w:pPr>
                      <w:rPr>
                        <w:color w:val="000000"/>
                      </w:rPr>
                    </w:pPr>
                    <w:r>
                      <w:rPr>
                        <w:rFonts w:hint="eastAsia"/>
                        <w:color w:val="000000"/>
                      </w:rPr>
                      <w:t>G1</w:t>
                    </w:r>
                  </w:p>
                </w:txbxContent>
              </v:textbox>
            </v:shape>
            <v:shape id="Quad Arrow 2096" o:spid="_x0000_s2018" type="#_x0000_t202" style="position:absolute;left:3777;top:3153;width:540;height:312" o:preferrelative="t" filled="f" stroked="f">
              <v:textbox inset="1.42pt,.85pt,1.42pt,.85pt">
                <w:txbxContent>
                  <w:p w:rsidR="00EE1CF7" w:rsidRDefault="00EE1CF7">
                    <w:pPr>
                      <w:rPr>
                        <w:color w:val="000000"/>
                      </w:rPr>
                    </w:pPr>
                    <w:r>
                      <w:rPr>
                        <w:rFonts w:hint="eastAsia"/>
                        <w:color w:val="000000"/>
                      </w:rPr>
                      <w:t>W1</w:t>
                    </w:r>
                  </w:p>
                </w:txbxContent>
              </v:textbox>
            </v:shape>
            <v:shape id="Quad Arrow 2097" o:spid="_x0000_s2019" type="#_x0000_t202" style="position:absolute;left:7677;top:5619;width:540;height:312" o:preferrelative="t" filled="f" stroked="f">
              <v:textbox inset="1.42pt,.85pt,1.42pt,.85pt">
                <w:txbxContent>
                  <w:p w:rsidR="00EE1CF7" w:rsidRDefault="00EE1CF7">
                    <w:pPr>
                      <w:rPr>
                        <w:color w:val="000000"/>
                      </w:rPr>
                    </w:pPr>
                    <w:r>
                      <w:rPr>
                        <w:rFonts w:hint="eastAsia"/>
                        <w:color w:val="000000"/>
                      </w:rPr>
                      <w:t>W3</w:t>
                    </w:r>
                  </w:p>
                </w:txbxContent>
              </v:textbox>
            </v:shape>
            <v:line id="Line 2098" o:spid="_x0000_s2020" style="position:absolute;flip:y" from="8970,3093" to="8970,3561" o:preferrelative="t">
              <v:stroke dashstyle="dash" endarrow="block" miterlimit="2"/>
            </v:line>
            <v:shape id="Quad Arrow 2099" o:spid="_x0000_s2021" type="#_x0000_t202" style="position:absolute;left:8817;top:2841;width:360;height:312" o:preferrelative="t" filled="f" stroked="f">
              <v:textbox inset="1.42pt,.85pt,1.42pt,.85pt">
                <w:txbxContent>
                  <w:p w:rsidR="00EE1CF7" w:rsidRDefault="00EE1CF7">
                    <w:pPr>
                      <w:rPr>
                        <w:color w:val="000000"/>
                      </w:rPr>
                    </w:pPr>
                    <w:r>
                      <w:rPr>
                        <w:rFonts w:hint="eastAsia"/>
                        <w:color w:val="000000"/>
                      </w:rPr>
                      <w:t>S1</w:t>
                    </w:r>
                  </w:p>
                </w:txbxContent>
              </v:textbox>
            </v:shape>
            <v:line id="Line 2100" o:spid="_x0000_s2022" style="position:absolute;flip:y" from="4626,4950" to="4626,5262" o:preferrelative="t">
              <v:stroke dashstyle="dash" endarrow="block" miterlimit="2"/>
            </v:line>
            <v:line id="Line 2101" o:spid="_x0000_s2023" style="position:absolute;flip:y" from="6657,3093" to="6657,3561" o:preferrelative="t">
              <v:stroke dashstyle="dash" endarrow="block" miterlimit="2"/>
            </v:line>
            <v:shape id="Quad Arrow 2102" o:spid="_x0000_s2024" type="#_x0000_t202" style="position:absolute;left:6477;top:2841;width:540;height:312" o:preferrelative="t" filled="f" stroked="f">
              <v:textbox inset="1.42pt,.85pt,1.42pt,.85pt">
                <w:txbxContent>
                  <w:p w:rsidR="00EE1CF7" w:rsidRDefault="00EE1CF7">
                    <w:pPr>
                      <w:rPr>
                        <w:color w:val="000000"/>
                      </w:rPr>
                    </w:pPr>
                    <w:r>
                      <w:rPr>
                        <w:rFonts w:hint="eastAsia"/>
                        <w:color w:val="000000"/>
                      </w:rPr>
                      <w:t>W2</w:t>
                    </w:r>
                  </w:p>
                </w:txbxContent>
              </v:textbox>
            </v:shape>
            <v:line id="Line 2103" o:spid="_x0000_s2025" style="position:absolute;flip:y" from="3417,4803" to="3417,5271" o:preferrelative="t">
              <v:stroke dashstyle="dash" endarrow="block" miterlimit="2"/>
            </v:line>
            <v:shape id="Quad Arrow 2104" o:spid="_x0000_s2026" type="#_x0000_t202" style="position:absolute;left:3222;top:4512;width:540;height:312" o:preferrelative="t" filled="f" stroked="f">
              <v:textbox inset="1.42pt,.85pt,1.42pt,.85pt">
                <w:txbxContent>
                  <w:p w:rsidR="00EE1CF7" w:rsidRDefault="00EE1CF7">
                    <w:pPr>
                      <w:rPr>
                        <w:color w:val="000000"/>
                      </w:rPr>
                    </w:pPr>
                    <w:r>
                      <w:rPr>
                        <w:rFonts w:hint="eastAsia"/>
                        <w:color w:val="000000"/>
                      </w:rPr>
                      <w:t>W4</w:t>
                    </w:r>
                  </w:p>
                </w:txbxContent>
              </v:textbox>
            </v:shape>
            <v:shape id="Straight Connector 2105" o:spid="_x0000_s2027" type="#_x0000_t32" style="position:absolute;left:3432;top:5604;width:0;height:468" o:connectortype="straight" o:preferrelative="t">
              <v:stroke endarrow="block" miterlimit="2"/>
            </v:shape>
          </v:group>
        </w:pict>
      </w: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EE1CF7">
      <w:pPr>
        <w:jc w:val="center"/>
        <w:rPr>
          <w:rFonts w:ascii="Times New Roman" w:hAnsi="Times New Roman"/>
          <w:b/>
          <w:sz w:val="24"/>
        </w:rPr>
      </w:pPr>
      <w:r>
        <w:rPr>
          <w:rFonts w:ascii="Times New Roman" w:hAnsi="Times New Roman"/>
          <w:b/>
          <w:sz w:val="24"/>
        </w:rPr>
        <w:t>图</w:t>
      </w:r>
      <w:r>
        <w:rPr>
          <w:rFonts w:ascii="Times New Roman" w:hAnsi="Times New Roman"/>
          <w:b/>
          <w:sz w:val="24"/>
        </w:rPr>
        <w:t xml:space="preserve">3.5-6    </w:t>
      </w:r>
      <w:r>
        <w:rPr>
          <w:rFonts w:ascii="Times New Roman" w:hAnsi="Times New Roman"/>
          <w:b/>
          <w:sz w:val="24"/>
        </w:rPr>
        <w:t>硫磺回收单元生产工艺流程及主要产污环节图</w:t>
      </w:r>
    </w:p>
    <w:p w:rsidR="00525419" w:rsidRDefault="00EE1CF7">
      <w:pPr>
        <w:pStyle w:val="afffe"/>
        <w:adjustRightInd w:val="0"/>
        <w:spacing w:after="0" w:line="360" w:lineRule="auto"/>
        <w:ind w:firstLineChars="200" w:firstLine="480"/>
        <w:rPr>
          <w:sz w:val="24"/>
        </w:rPr>
      </w:pPr>
      <w:r>
        <w:rPr>
          <w:sz w:val="24"/>
        </w:rPr>
        <w:t>③</w:t>
      </w:r>
      <w:r>
        <w:rPr>
          <w:sz w:val="24"/>
        </w:rPr>
        <w:t>物料平衡</w:t>
      </w:r>
    </w:p>
    <w:p w:rsidR="00525419" w:rsidRDefault="00EE1CF7">
      <w:pPr>
        <w:pStyle w:val="afffe"/>
        <w:adjustRightInd w:val="0"/>
        <w:spacing w:after="0" w:line="360" w:lineRule="auto"/>
        <w:ind w:firstLineChars="200" w:firstLine="480"/>
        <w:rPr>
          <w:sz w:val="24"/>
        </w:rPr>
      </w:pPr>
      <w:r>
        <w:rPr>
          <w:sz w:val="24"/>
        </w:rPr>
        <w:t>硫磺回收单元物料平衡见表</w:t>
      </w:r>
      <w:r>
        <w:rPr>
          <w:sz w:val="24"/>
        </w:rPr>
        <w:t>3.5-16</w:t>
      </w:r>
      <w:r>
        <w:rPr>
          <w:sz w:val="24"/>
        </w:rPr>
        <w:t>。</w:t>
      </w:r>
    </w:p>
    <w:p w:rsidR="00525419" w:rsidRDefault="00EE1CF7">
      <w:pPr>
        <w:pStyle w:val="afffe"/>
        <w:adjustRightInd w:val="0"/>
        <w:spacing w:after="0" w:line="240" w:lineRule="atLeast"/>
        <w:ind w:firstLineChars="750" w:firstLine="1575"/>
        <w:rPr>
          <w:rFonts w:eastAsia="黑体"/>
          <w:sz w:val="21"/>
          <w:szCs w:val="21"/>
        </w:rPr>
      </w:pPr>
      <w:r>
        <w:rPr>
          <w:rFonts w:eastAsia="黑体"/>
          <w:sz w:val="21"/>
          <w:szCs w:val="21"/>
        </w:rPr>
        <w:t>表</w:t>
      </w:r>
      <w:r>
        <w:rPr>
          <w:rFonts w:eastAsia="黑体"/>
          <w:sz w:val="21"/>
          <w:szCs w:val="21"/>
        </w:rPr>
        <w:t xml:space="preserve">3.5-16    </w:t>
      </w:r>
      <w:r>
        <w:rPr>
          <w:rFonts w:eastAsia="黑体"/>
          <w:sz w:val="21"/>
          <w:szCs w:val="21"/>
        </w:rPr>
        <w:t>硫磺回收单元物料平衡表</w:t>
      </w:r>
      <w:r>
        <w:rPr>
          <w:rFonts w:eastAsia="黑体"/>
          <w:sz w:val="21"/>
          <w:szCs w:val="21"/>
        </w:rPr>
        <w:t xml:space="preserve">   </w:t>
      </w:r>
      <w:r>
        <w:rPr>
          <w:rFonts w:eastAsia="黑体"/>
          <w:sz w:val="21"/>
          <w:szCs w:val="21"/>
        </w:rPr>
        <w:t>单位：万</w:t>
      </w:r>
      <w:r>
        <w:rPr>
          <w:rFonts w:eastAsia="黑体"/>
          <w:sz w:val="21"/>
          <w:szCs w:val="21"/>
        </w:rPr>
        <w:t>t/a</w:t>
      </w:r>
    </w:p>
    <w:tbl>
      <w:tblPr>
        <w:tblW w:w="85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54"/>
        <w:gridCol w:w="1267"/>
        <w:gridCol w:w="1592"/>
        <w:gridCol w:w="1053"/>
        <w:gridCol w:w="1713"/>
        <w:gridCol w:w="1635"/>
      </w:tblGrid>
      <w:tr w:rsidR="00525419">
        <w:trPr>
          <w:cantSplit/>
          <w:trHeight w:val="335"/>
          <w:jc w:val="center"/>
        </w:trPr>
        <w:tc>
          <w:tcPr>
            <w:tcW w:w="2521" w:type="dxa"/>
            <w:gridSpan w:val="2"/>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投入</w:t>
            </w:r>
          </w:p>
        </w:tc>
        <w:tc>
          <w:tcPr>
            <w:tcW w:w="2645" w:type="dxa"/>
            <w:gridSpan w:val="2"/>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产出</w:t>
            </w:r>
          </w:p>
        </w:tc>
        <w:tc>
          <w:tcPr>
            <w:tcW w:w="3348" w:type="dxa"/>
            <w:gridSpan w:val="2"/>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流失</w:t>
            </w:r>
          </w:p>
        </w:tc>
      </w:tr>
      <w:tr w:rsidR="00525419">
        <w:trPr>
          <w:cantSplit/>
          <w:jc w:val="center"/>
        </w:trPr>
        <w:tc>
          <w:tcPr>
            <w:tcW w:w="1254"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物料名称</w:t>
            </w:r>
          </w:p>
        </w:tc>
        <w:tc>
          <w:tcPr>
            <w:tcW w:w="1267"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投入量</w:t>
            </w:r>
          </w:p>
        </w:tc>
        <w:tc>
          <w:tcPr>
            <w:tcW w:w="159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产品名称</w:t>
            </w:r>
          </w:p>
        </w:tc>
        <w:tc>
          <w:tcPr>
            <w:tcW w:w="1053"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产出量</w:t>
            </w:r>
          </w:p>
        </w:tc>
        <w:tc>
          <w:tcPr>
            <w:tcW w:w="1713"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流失物名称</w:t>
            </w:r>
          </w:p>
        </w:tc>
        <w:tc>
          <w:tcPr>
            <w:tcW w:w="1635"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流失量</w:t>
            </w:r>
          </w:p>
        </w:tc>
      </w:tr>
      <w:tr w:rsidR="00525419">
        <w:trPr>
          <w:cantSplit/>
          <w:trHeight w:val="300"/>
          <w:jc w:val="center"/>
        </w:trPr>
        <w:tc>
          <w:tcPr>
            <w:tcW w:w="1254"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lastRenderedPageBreak/>
              <w:t>酸性气</w:t>
            </w:r>
          </w:p>
        </w:tc>
        <w:tc>
          <w:tcPr>
            <w:tcW w:w="1267"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1.8827</w:t>
            </w:r>
          </w:p>
        </w:tc>
        <w:tc>
          <w:tcPr>
            <w:tcW w:w="1592" w:type="dxa"/>
            <w:vMerge w:val="restart"/>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szCs w:val="21"/>
              </w:rPr>
              <w:t>硫磺</w:t>
            </w:r>
          </w:p>
        </w:tc>
        <w:tc>
          <w:tcPr>
            <w:tcW w:w="1053" w:type="dxa"/>
            <w:vMerge w:val="restart"/>
            <w:tcBorders>
              <w:tl2br w:val="nil"/>
              <w:tr2bl w:val="nil"/>
            </w:tcBorders>
            <w:vAlign w:val="center"/>
          </w:tcPr>
          <w:p w:rsidR="00525419" w:rsidRDefault="00EE1CF7">
            <w:pPr>
              <w:widowControl/>
              <w:spacing w:line="240" w:lineRule="atLeast"/>
              <w:jc w:val="center"/>
              <w:rPr>
                <w:rFonts w:ascii="Times New Roman" w:hAnsi="Times New Roman"/>
                <w:kern w:val="0"/>
                <w:szCs w:val="21"/>
              </w:rPr>
            </w:pPr>
            <w:r>
              <w:rPr>
                <w:rFonts w:ascii="Times New Roman" w:hAnsi="Times New Roman"/>
                <w:szCs w:val="21"/>
              </w:rPr>
              <w:t>1.0192</w:t>
            </w:r>
          </w:p>
        </w:tc>
        <w:tc>
          <w:tcPr>
            <w:tcW w:w="1713"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尾气</w:t>
            </w:r>
          </w:p>
        </w:tc>
        <w:tc>
          <w:tcPr>
            <w:tcW w:w="1635"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6.2974</w:t>
            </w:r>
          </w:p>
        </w:tc>
      </w:tr>
      <w:tr w:rsidR="00525419">
        <w:trPr>
          <w:cantSplit/>
          <w:trHeight w:val="199"/>
          <w:jc w:val="center"/>
        </w:trPr>
        <w:tc>
          <w:tcPr>
            <w:tcW w:w="1254"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燃烧空气</w:t>
            </w:r>
          </w:p>
        </w:tc>
        <w:tc>
          <w:tcPr>
            <w:tcW w:w="1267"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6.7030</w:t>
            </w:r>
          </w:p>
        </w:tc>
        <w:tc>
          <w:tcPr>
            <w:tcW w:w="1592"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053"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713"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kern w:val="0"/>
                <w:szCs w:val="21"/>
              </w:rPr>
              <w:t>半贫胺液</w:t>
            </w:r>
          </w:p>
        </w:tc>
        <w:tc>
          <w:tcPr>
            <w:tcW w:w="1635"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kern w:val="0"/>
                <w:szCs w:val="21"/>
              </w:rPr>
              <w:t>11.9440</w:t>
            </w:r>
          </w:p>
        </w:tc>
      </w:tr>
      <w:tr w:rsidR="00525419">
        <w:trPr>
          <w:cantSplit/>
          <w:trHeight w:val="270"/>
          <w:jc w:val="center"/>
        </w:trPr>
        <w:tc>
          <w:tcPr>
            <w:tcW w:w="1254"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燃料气</w:t>
            </w:r>
          </w:p>
        </w:tc>
        <w:tc>
          <w:tcPr>
            <w:tcW w:w="1267" w:type="dxa"/>
            <w:tcBorders>
              <w:tl2br w:val="nil"/>
              <w:tr2bl w:val="nil"/>
            </w:tcBorders>
            <w:vAlign w:val="center"/>
          </w:tcPr>
          <w:p w:rsidR="00525419" w:rsidRDefault="00EE1CF7">
            <w:pPr>
              <w:widowControl/>
              <w:spacing w:line="240" w:lineRule="atLeast"/>
              <w:jc w:val="center"/>
              <w:rPr>
                <w:rFonts w:ascii="Times New Roman" w:hAnsi="Times New Roman"/>
                <w:szCs w:val="21"/>
              </w:rPr>
            </w:pPr>
            <w:r>
              <w:rPr>
                <w:rFonts w:ascii="Times New Roman" w:hAnsi="Times New Roman"/>
                <w:szCs w:val="21"/>
              </w:rPr>
              <w:t>0.0718</w:t>
            </w:r>
          </w:p>
        </w:tc>
        <w:tc>
          <w:tcPr>
            <w:tcW w:w="1592"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053"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713"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kern w:val="0"/>
                <w:szCs w:val="21"/>
              </w:rPr>
              <w:t>富液</w:t>
            </w:r>
          </w:p>
        </w:tc>
        <w:tc>
          <w:tcPr>
            <w:tcW w:w="1635"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kern w:val="0"/>
                <w:szCs w:val="21"/>
              </w:rPr>
              <w:t>11.9838</w:t>
            </w:r>
          </w:p>
        </w:tc>
      </w:tr>
      <w:tr w:rsidR="00525419">
        <w:trPr>
          <w:cantSplit/>
          <w:trHeight w:val="241"/>
          <w:jc w:val="center"/>
        </w:trPr>
        <w:tc>
          <w:tcPr>
            <w:tcW w:w="1254"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kern w:val="0"/>
                <w:szCs w:val="21"/>
              </w:rPr>
              <w:t>贫液</w:t>
            </w:r>
          </w:p>
        </w:tc>
        <w:tc>
          <w:tcPr>
            <w:tcW w:w="1267"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kern w:val="0"/>
                <w:szCs w:val="21"/>
              </w:rPr>
              <w:t>23.8722</w:t>
            </w:r>
          </w:p>
        </w:tc>
        <w:tc>
          <w:tcPr>
            <w:tcW w:w="1592"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053"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713" w:type="dxa"/>
            <w:vMerge w:val="restart"/>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kern w:val="0"/>
                <w:szCs w:val="21"/>
              </w:rPr>
              <w:t>酸性水</w:t>
            </w:r>
          </w:p>
        </w:tc>
        <w:tc>
          <w:tcPr>
            <w:tcW w:w="1635" w:type="dxa"/>
            <w:vMerge w:val="restart"/>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kern w:val="0"/>
                <w:szCs w:val="21"/>
              </w:rPr>
              <w:t>1.2878</w:t>
            </w:r>
          </w:p>
        </w:tc>
      </w:tr>
      <w:tr w:rsidR="00525419">
        <w:trPr>
          <w:cantSplit/>
          <w:trHeight w:val="60"/>
          <w:jc w:val="center"/>
        </w:trPr>
        <w:tc>
          <w:tcPr>
            <w:tcW w:w="1254"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kern w:val="0"/>
                <w:szCs w:val="21"/>
              </w:rPr>
              <w:t>氢气</w:t>
            </w:r>
          </w:p>
        </w:tc>
        <w:tc>
          <w:tcPr>
            <w:tcW w:w="1267"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kern w:val="0"/>
                <w:szCs w:val="21"/>
              </w:rPr>
              <w:t>0.0024</w:t>
            </w:r>
          </w:p>
        </w:tc>
        <w:tc>
          <w:tcPr>
            <w:tcW w:w="1592"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053"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713"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635" w:type="dxa"/>
            <w:vMerge/>
            <w:tcBorders>
              <w:tl2br w:val="nil"/>
              <w:tr2bl w:val="nil"/>
            </w:tcBorders>
            <w:vAlign w:val="center"/>
          </w:tcPr>
          <w:p w:rsidR="00525419" w:rsidRDefault="00525419">
            <w:pPr>
              <w:spacing w:line="240" w:lineRule="atLeast"/>
              <w:jc w:val="center"/>
              <w:rPr>
                <w:rFonts w:ascii="Times New Roman" w:hAnsi="Times New Roman"/>
                <w:szCs w:val="21"/>
              </w:rPr>
            </w:pPr>
          </w:p>
        </w:tc>
      </w:tr>
      <w:tr w:rsidR="00525419">
        <w:trPr>
          <w:cantSplit/>
          <w:trHeight w:val="279"/>
          <w:jc w:val="center"/>
        </w:trPr>
        <w:tc>
          <w:tcPr>
            <w:tcW w:w="1254"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小计</w:t>
            </w:r>
          </w:p>
        </w:tc>
        <w:tc>
          <w:tcPr>
            <w:tcW w:w="1267"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kern w:val="0"/>
                <w:szCs w:val="21"/>
              </w:rPr>
              <w:t>32.5322</w:t>
            </w:r>
          </w:p>
        </w:tc>
        <w:tc>
          <w:tcPr>
            <w:tcW w:w="159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小计</w:t>
            </w:r>
          </w:p>
        </w:tc>
        <w:tc>
          <w:tcPr>
            <w:tcW w:w="1053"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1.425</w:t>
            </w:r>
          </w:p>
        </w:tc>
        <w:tc>
          <w:tcPr>
            <w:tcW w:w="1713"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小计</w:t>
            </w:r>
          </w:p>
        </w:tc>
        <w:tc>
          <w:tcPr>
            <w:tcW w:w="1635"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31.513</w:t>
            </w:r>
          </w:p>
        </w:tc>
      </w:tr>
    </w:tbl>
    <w:p w:rsidR="00525419" w:rsidRDefault="00525419">
      <w:pPr>
        <w:rPr>
          <w:rFonts w:ascii="Times New Roman" w:hAnsi="Times New Roman"/>
        </w:rPr>
      </w:pPr>
    </w:p>
    <w:p w:rsidR="00525419" w:rsidRDefault="00EE1CF7">
      <w:pPr>
        <w:pStyle w:val="afffe"/>
        <w:adjustRightInd w:val="0"/>
        <w:spacing w:after="0" w:line="360" w:lineRule="auto"/>
        <w:ind w:firstLineChars="200" w:firstLine="480"/>
        <w:rPr>
          <w:sz w:val="24"/>
        </w:rPr>
      </w:pPr>
      <w:r>
        <w:rPr>
          <w:sz w:val="24"/>
        </w:rPr>
        <w:t>④</w:t>
      </w:r>
      <w:r>
        <w:rPr>
          <w:sz w:val="24"/>
        </w:rPr>
        <w:t>能耗消耗</w:t>
      </w:r>
    </w:p>
    <w:p w:rsidR="00525419" w:rsidRDefault="00EE1CF7">
      <w:pPr>
        <w:pStyle w:val="afffe"/>
        <w:adjustRightInd w:val="0"/>
        <w:spacing w:after="0" w:line="360" w:lineRule="auto"/>
        <w:ind w:firstLineChars="200" w:firstLine="480"/>
        <w:rPr>
          <w:sz w:val="24"/>
        </w:rPr>
      </w:pPr>
      <w:r>
        <w:rPr>
          <w:sz w:val="24"/>
        </w:rPr>
        <w:t>硫磺回收装置能源消耗指标见表</w:t>
      </w:r>
      <w:r>
        <w:rPr>
          <w:sz w:val="24"/>
        </w:rPr>
        <w:t>3.5-17</w:t>
      </w:r>
      <w:r>
        <w:rPr>
          <w:sz w:val="24"/>
        </w:rPr>
        <w:t>。</w:t>
      </w:r>
    </w:p>
    <w:p w:rsidR="00525419" w:rsidRDefault="00EE1CF7">
      <w:pPr>
        <w:snapToGrid w:val="0"/>
        <w:spacing w:line="240" w:lineRule="atLeast"/>
        <w:ind w:firstLineChars="200" w:firstLine="420"/>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3.5-17     </w:t>
      </w:r>
      <w:r>
        <w:rPr>
          <w:rFonts w:ascii="Times New Roman" w:eastAsia="黑体" w:hAnsi="Times New Roman"/>
          <w:szCs w:val="21"/>
        </w:rPr>
        <w:t>硫磺回收单元消耗指标表</w:t>
      </w:r>
    </w:p>
    <w:tbl>
      <w:tblPr>
        <w:tblW w:w="83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8"/>
        <w:gridCol w:w="1551"/>
        <w:gridCol w:w="879"/>
        <w:gridCol w:w="1093"/>
        <w:gridCol w:w="784"/>
        <w:gridCol w:w="911"/>
        <w:gridCol w:w="1182"/>
        <w:gridCol w:w="1386"/>
      </w:tblGrid>
      <w:tr w:rsidR="00525419">
        <w:trPr>
          <w:cantSplit/>
          <w:jc w:val="center"/>
        </w:trPr>
        <w:tc>
          <w:tcPr>
            <w:tcW w:w="568" w:type="dxa"/>
            <w:vMerge w:val="restart"/>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序</w:t>
            </w:r>
          </w:p>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号</w:t>
            </w:r>
          </w:p>
        </w:tc>
        <w:tc>
          <w:tcPr>
            <w:tcW w:w="1551" w:type="dxa"/>
            <w:vMerge w:val="restart"/>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项目</w:t>
            </w:r>
          </w:p>
        </w:tc>
        <w:tc>
          <w:tcPr>
            <w:tcW w:w="6235" w:type="dxa"/>
            <w:gridSpan w:val="6"/>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消耗量</w:t>
            </w:r>
          </w:p>
        </w:tc>
      </w:tr>
      <w:tr w:rsidR="00525419">
        <w:trPr>
          <w:cantSplit/>
          <w:jc w:val="center"/>
        </w:trPr>
        <w:tc>
          <w:tcPr>
            <w:tcW w:w="568" w:type="dxa"/>
            <w:vMerge/>
            <w:tcBorders>
              <w:tl2br w:val="nil"/>
              <w:tr2bl w:val="nil"/>
            </w:tcBorders>
          </w:tcPr>
          <w:p w:rsidR="00525419" w:rsidRDefault="00525419">
            <w:pPr>
              <w:autoSpaceDE w:val="0"/>
              <w:autoSpaceDN w:val="0"/>
              <w:spacing w:line="240" w:lineRule="atLeast"/>
              <w:jc w:val="center"/>
              <w:textAlignment w:val="bottom"/>
              <w:rPr>
                <w:rFonts w:ascii="Times New Roman" w:hAnsi="Times New Roman"/>
                <w:szCs w:val="21"/>
              </w:rPr>
            </w:pPr>
          </w:p>
        </w:tc>
        <w:tc>
          <w:tcPr>
            <w:tcW w:w="1551" w:type="dxa"/>
            <w:vMerge/>
            <w:tcBorders>
              <w:tl2br w:val="nil"/>
              <w:tr2bl w:val="nil"/>
            </w:tcBorders>
          </w:tcPr>
          <w:p w:rsidR="00525419" w:rsidRDefault="00525419">
            <w:pPr>
              <w:autoSpaceDE w:val="0"/>
              <w:autoSpaceDN w:val="0"/>
              <w:spacing w:line="240" w:lineRule="atLeast"/>
              <w:jc w:val="center"/>
              <w:textAlignment w:val="bottom"/>
              <w:rPr>
                <w:rFonts w:ascii="Times New Roman" w:hAnsi="Times New Roman"/>
                <w:szCs w:val="21"/>
              </w:rPr>
            </w:pPr>
          </w:p>
        </w:tc>
        <w:tc>
          <w:tcPr>
            <w:tcW w:w="1972" w:type="dxa"/>
            <w:gridSpan w:val="2"/>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单位耗量</w:t>
            </w:r>
          </w:p>
        </w:tc>
        <w:tc>
          <w:tcPr>
            <w:tcW w:w="1695" w:type="dxa"/>
            <w:gridSpan w:val="2"/>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小时耗量</w:t>
            </w:r>
          </w:p>
        </w:tc>
        <w:tc>
          <w:tcPr>
            <w:tcW w:w="2568" w:type="dxa"/>
            <w:gridSpan w:val="2"/>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年耗量</w:t>
            </w:r>
          </w:p>
        </w:tc>
      </w:tr>
      <w:tr w:rsidR="00525419">
        <w:trPr>
          <w:cantSplit/>
          <w:jc w:val="center"/>
        </w:trPr>
        <w:tc>
          <w:tcPr>
            <w:tcW w:w="568" w:type="dxa"/>
            <w:vMerge/>
            <w:tcBorders>
              <w:tl2br w:val="nil"/>
              <w:tr2bl w:val="nil"/>
            </w:tcBorders>
          </w:tcPr>
          <w:p w:rsidR="00525419" w:rsidRDefault="00525419">
            <w:pPr>
              <w:autoSpaceDE w:val="0"/>
              <w:autoSpaceDN w:val="0"/>
              <w:spacing w:line="240" w:lineRule="atLeast"/>
              <w:jc w:val="center"/>
              <w:textAlignment w:val="bottom"/>
              <w:rPr>
                <w:rFonts w:ascii="Times New Roman" w:hAnsi="Times New Roman"/>
                <w:szCs w:val="21"/>
              </w:rPr>
            </w:pPr>
          </w:p>
        </w:tc>
        <w:tc>
          <w:tcPr>
            <w:tcW w:w="1551" w:type="dxa"/>
            <w:vMerge/>
            <w:tcBorders>
              <w:tl2br w:val="nil"/>
              <w:tr2bl w:val="nil"/>
            </w:tcBorders>
          </w:tcPr>
          <w:p w:rsidR="00525419" w:rsidRDefault="00525419">
            <w:pPr>
              <w:autoSpaceDE w:val="0"/>
              <w:autoSpaceDN w:val="0"/>
              <w:spacing w:line="240" w:lineRule="atLeast"/>
              <w:jc w:val="center"/>
              <w:textAlignment w:val="bottom"/>
              <w:rPr>
                <w:rFonts w:ascii="Times New Roman" w:hAnsi="Times New Roman"/>
                <w:szCs w:val="21"/>
              </w:rPr>
            </w:pPr>
          </w:p>
        </w:tc>
        <w:tc>
          <w:tcPr>
            <w:tcW w:w="879" w:type="dxa"/>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单位</w:t>
            </w:r>
          </w:p>
        </w:tc>
        <w:tc>
          <w:tcPr>
            <w:tcW w:w="1093" w:type="dxa"/>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数量</w:t>
            </w:r>
          </w:p>
        </w:tc>
        <w:tc>
          <w:tcPr>
            <w:tcW w:w="784" w:type="dxa"/>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单位</w:t>
            </w:r>
          </w:p>
        </w:tc>
        <w:tc>
          <w:tcPr>
            <w:tcW w:w="911" w:type="dxa"/>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数量</w:t>
            </w:r>
          </w:p>
        </w:tc>
        <w:tc>
          <w:tcPr>
            <w:tcW w:w="1182" w:type="dxa"/>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单位</w:t>
            </w:r>
          </w:p>
        </w:tc>
        <w:tc>
          <w:tcPr>
            <w:tcW w:w="1386" w:type="dxa"/>
            <w:tcBorders>
              <w:tl2br w:val="nil"/>
              <w:tr2bl w:val="nil"/>
            </w:tcBorders>
          </w:tcPr>
          <w:p w:rsidR="00525419" w:rsidRDefault="00EE1CF7">
            <w:pPr>
              <w:autoSpaceDE w:val="0"/>
              <w:autoSpaceDN w:val="0"/>
              <w:spacing w:line="240" w:lineRule="atLeast"/>
              <w:jc w:val="center"/>
              <w:textAlignment w:val="bottom"/>
              <w:rPr>
                <w:rFonts w:ascii="Times New Roman" w:hAnsi="Times New Roman"/>
                <w:szCs w:val="21"/>
              </w:rPr>
            </w:pPr>
            <w:r>
              <w:rPr>
                <w:rFonts w:ascii="Times New Roman" w:hAnsi="Times New Roman"/>
                <w:szCs w:val="21"/>
              </w:rPr>
              <w:t>数量</w:t>
            </w:r>
          </w:p>
        </w:tc>
      </w:tr>
      <w:tr w:rsidR="00525419">
        <w:trPr>
          <w:cantSplit/>
          <w:jc w:val="center"/>
        </w:trPr>
        <w:tc>
          <w:tcPr>
            <w:tcW w:w="568"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w:t>
            </w:r>
          </w:p>
        </w:tc>
        <w:tc>
          <w:tcPr>
            <w:tcW w:w="1551"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kern w:val="0"/>
                <w:szCs w:val="21"/>
              </w:rPr>
            </w:pPr>
            <w:r>
              <w:rPr>
                <w:rFonts w:ascii="Times New Roman" w:hAnsi="Times New Roman"/>
                <w:kern w:val="0"/>
                <w:szCs w:val="21"/>
              </w:rPr>
              <w:t>新鲜水</w:t>
            </w:r>
          </w:p>
        </w:tc>
        <w:tc>
          <w:tcPr>
            <w:tcW w:w="879"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t/t</w:t>
            </w:r>
          </w:p>
        </w:tc>
        <w:tc>
          <w:tcPr>
            <w:tcW w:w="1093"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0.7369</w:t>
            </w:r>
          </w:p>
        </w:tc>
        <w:tc>
          <w:tcPr>
            <w:tcW w:w="784"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t/h</w:t>
            </w:r>
          </w:p>
        </w:tc>
        <w:tc>
          <w:tcPr>
            <w:tcW w:w="911"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w:t>
            </w:r>
          </w:p>
        </w:tc>
        <w:tc>
          <w:tcPr>
            <w:tcW w:w="1182"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10</w:t>
            </w:r>
            <w:r>
              <w:rPr>
                <w:rFonts w:ascii="Times New Roman" w:hAnsi="Times New Roman"/>
                <w:kern w:val="0"/>
                <w:szCs w:val="21"/>
                <w:vertAlign w:val="superscript"/>
              </w:rPr>
              <w:t>4</w:t>
            </w:r>
            <w:r>
              <w:rPr>
                <w:rFonts w:ascii="Times New Roman" w:hAnsi="Times New Roman"/>
                <w:kern w:val="0"/>
                <w:szCs w:val="21"/>
              </w:rPr>
              <w:t>t/a</w:t>
            </w:r>
          </w:p>
        </w:tc>
        <w:tc>
          <w:tcPr>
            <w:tcW w:w="1386"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0.8</w:t>
            </w:r>
          </w:p>
        </w:tc>
      </w:tr>
      <w:tr w:rsidR="00525419">
        <w:trPr>
          <w:cantSplit/>
          <w:jc w:val="center"/>
        </w:trPr>
        <w:tc>
          <w:tcPr>
            <w:tcW w:w="568"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2</w:t>
            </w:r>
          </w:p>
        </w:tc>
        <w:tc>
          <w:tcPr>
            <w:tcW w:w="1551"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kern w:val="0"/>
                <w:szCs w:val="21"/>
              </w:rPr>
            </w:pPr>
            <w:r>
              <w:rPr>
                <w:rFonts w:ascii="Times New Roman" w:hAnsi="Times New Roman"/>
                <w:kern w:val="0"/>
                <w:szCs w:val="21"/>
              </w:rPr>
              <w:t>循环水</w:t>
            </w:r>
          </w:p>
        </w:tc>
        <w:tc>
          <w:tcPr>
            <w:tcW w:w="879"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t/t</w:t>
            </w:r>
          </w:p>
        </w:tc>
        <w:tc>
          <w:tcPr>
            <w:tcW w:w="1093"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68.6293</w:t>
            </w:r>
          </w:p>
        </w:tc>
        <w:tc>
          <w:tcPr>
            <w:tcW w:w="784"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t/h</w:t>
            </w:r>
          </w:p>
        </w:tc>
        <w:tc>
          <w:tcPr>
            <w:tcW w:w="911"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93.13</w:t>
            </w:r>
          </w:p>
        </w:tc>
        <w:tc>
          <w:tcPr>
            <w:tcW w:w="1182"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10</w:t>
            </w:r>
            <w:r>
              <w:rPr>
                <w:rFonts w:ascii="Times New Roman" w:hAnsi="Times New Roman"/>
                <w:kern w:val="0"/>
                <w:szCs w:val="21"/>
                <w:vertAlign w:val="superscript"/>
              </w:rPr>
              <w:t>4</w:t>
            </w:r>
            <w:r>
              <w:rPr>
                <w:rFonts w:ascii="Times New Roman" w:hAnsi="Times New Roman"/>
                <w:kern w:val="0"/>
                <w:szCs w:val="21"/>
              </w:rPr>
              <w:t>t/a</w:t>
            </w:r>
          </w:p>
        </w:tc>
        <w:tc>
          <w:tcPr>
            <w:tcW w:w="1386"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74.504</w:t>
            </w:r>
          </w:p>
        </w:tc>
      </w:tr>
      <w:tr w:rsidR="00525419">
        <w:trPr>
          <w:cantSplit/>
          <w:jc w:val="center"/>
        </w:trPr>
        <w:tc>
          <w:tcPr>
            <w:tcW w:w="568"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3</w:t>
            </w:r>
          </w:p>
        </w:tc>
        <w:tc>
          <w:tcPr>
            <w:tcW w:w="1551"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kern w:val="0"/>
                <w:szCs w:val="21"/>
              </w:rPr>
            </w:pPr>
            <w:r>
              <w:rPr>
                <w:rFonts w:ascii="Times New Roman" w:hAnsi="Times New Roman"/>
                <w:kern w:val="0"/>
                <w:szCs w:val="21"/>
              </w:rPr>
              <w:t>电</w:t>
            </w:r>
          </w:p>
        </w:tc>
        <w:tc>
          <w:tcPr>
            <w:tcW w:w="879"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kwh/t</w:t>
            </w:r>
          </w:p>
        </w:tc>
        <w:tc>
          <w:tcPr>
            <w:tcW w:w="1093"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162.1223</w:t>
            </w:r>
          </w:p>
        </w:tc>
        <w:tc>
          <w:tcPr>
            <w:tcW w:w="784"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kwh/h</w:t>
            </w:r>
          </w:p>
        </w:tc>
        <w:tc>
          <w:tcPr>
            <w:tcW w:w="911"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220</w:t>
            </w:r>
          </w:p>
        </w:tc>
        <w:tc>
          <w:tcPr>
            <w:tcW w:w="1182"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10</w:t>
            </w:r>
            <w:r>
              <w:rPr>
                <w:rFonts w:ascii="Times New Roman" w:hAnsi="Times New Roman"/>
                <w:kern w:val="0"/>
                <w:szCs w:val="21"/>
                <w:vertAlign w:val="superscript"/>
              </w:rPr>
              <w:t>4</w:t>
            </w:r>
            <w:r>
              <w:rPr>
                <w:rFonts w:ascii="Times New Roman" w:hAnsi="Times New Roman"/>
                <w:kern w:val="0"/>
                <w:szCs w:val="21"/>
              </w:rPr>
              <w:t>kwh/a</w:t>
            </w:r>
          </w:p>
        </w:tc>
        <w:tc>
          <w:tcPr>
            <w:tcW w:w="1386"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176</w:t>
            </w:r>
          </w:p>
        </w:tc>
      </w:tr>
      <w:tr w:rsidR="00525419">
        <w:trPr>
          <w:cantSplit/>
          <w:jc w:val="center"/>
        </w:trPr>
        <w:tc>
          <w:tcPr>
            <w:tcW w:w="568"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4</w:t>
            </w:r>
          </w:p>
        </w:tc>
        <w:tc>
          <w:tcPr>
            <w:tcW w:w="1551"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bCs/>
                <w:kern w:val="0"/>
                <w:szCs w:val="21"/>
              </w:rPr>
            </w:pPr>
            <w:r>
              <w:rPr>
                <w:rFonts w:ascii="Times New Roman" w:hAnsi="Times New Roman"/>
                <w:kern w:val="0"/>
                <w:szCs w:val="21"/>
              </w:rPr>
              <w:t>1.0MPA</w:t>
            </w:r>
            <w:r>
              <w:rPr>
                <w:rFonts w:ascii="Times New Roman" w:hAnsi="Times New Roman"/>
                <w:kern w:val="0"/>
                <w:szCs w:val="21"/>
              </w:rPr>
              <w:t>蒸汽</w:t>
            </w:r>
          </w:p>
        </w:tc>
        <w:tc>
          <w:tcPr>
            <w:tcW w:w="879"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t/t</w:t>
            </w:r>
          </w:p>
        </w:tc>
        <w:tc>
          <w:tcPr>
            <w:tcW w:w="1093"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-2.8666</w:t>
            </w:r>
          </w:p>
        </w:tc>
        <w:tc>
          <w:tcPr>
            <w:tcW w:w="784"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t/h</w:t>
            </w:r>
          </w:p>
        </w:tc>
        <w:tc>
          <w:tcPr>
            <w:tcW w:w="911"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-3.89</w:t>
            </w:r>
          </w:p>
        </w:tc>
        <w:tc>
          <w:tcPr>
            <w:tcW w:w="1182"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10</w:t>
            </w:r>
            <w:r>
              <w:rPr>
                <w:rFonts w:ascii="Times New Roman" w:hAnsi="Times New Roman"/>
                <w:kern w:val="0"/>
                <w:szCs w:val="21"/>
                <w:vertAlign w:val="superscript"/>
              </w:rPr>
              <w:t>4</w:t>
            </w:r>
            <w:r>
              <w:rPr>
                <w:rFonts w:ascii="Times New Roman" w:hAnsi="Times New Roman"/>
                <w:kern w:val="0"/>
                <w:szCs w:val="21"/>
              </w:rPr>
              <w:t>t/a</w:t>
            </w:r>
          </w:p>
        </w:tc>
        <w:tc>
          <w:tcPr>
            <w:tcW w:w="1386"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-3.112</w:t>
            </w:r>
          </w:p>
        </w:tc>
      </w:tr>
      <w:tr w:rsidR="00525419">
        <w:trPr>
          <w:cantSplit/>
          <w:jc w:val="center"/>
        </w:trPr>
        <w:tc>
          <w:tcPr>
            <w:tcW w:w="568"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5</w:t>
            </w:r>
          </w:p>
        </w:tc>
        <w:tc>
          <w:tcPr>
            <w:tcW w:w="1551"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kern w:val="0"/>
                <w:szCs w:val="21"/>
              </w:rPr>
            </w:pPr>
            <w:r>
              <w:rPr>
                <w:rFonts w:ascii="Times New Roman" w:hAnsi="Times New Roman"/>
                <w:kern w:val="0"/>
                <w:szCs w:val="21"/>
              </w:rPr>
              <w:t>0.4MPa</w:t>
            </w:r>
            <w:r>
              <w:rPr>
                <w:rFonts w:ascii="Times New Roman" w:hAnsi="Times New Roman"/>
                <w:kern w:val="0"/>
                <w:szCs w:val="21"/>
              </w:rPr>
              <w:t>蒸汽</w:t>
            </w:r>
          </w:p>
        </w:tc>
        <w:tc>
          <w:tcPr>
            <w:tcW w:w="879"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t/t</w:t>
            </w:r>
          </w:p>
        </w:tc>
        <w:tc>
          <w:tcPr>
            <w:tcW w:w="1093"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-0.5969</w:t>
            </w:r>
          </w:p>
        </w:tc>
        <w:tc>
          <w:tcPr>
            <w:tcW w:w="784"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t/h</w:t>
            </w:r>
          </w:p>
        </w:tc>
        <w:tc>
          <w:tcPr>
            <w:tcW w:w="911"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-0.81</w:t>
            </w:r>
          </w:p>
        </w:tc>
        <w:tc>
          <w:tcPr>
            <w:tcW w:w="1182"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10</w:t>
            </w:r>
            <w:r>
              <w:rPr>
                <w:rFonts w:ascii="Times New Roman" w:hAnsi="Times New Roman"/>
                <w:kern w:val="0"/>
                <w:szCs w:val="21"/>
                <w:vertAlign w:val="superscript"/>
              </w:rPr>
              <w:t>4</w:t>
            </w:r>
            <w:r>
              <w:rPr>
                <w:rFonts w:ascii="Times New Roman" w:hAnsi="Times New Roman"/>
                <w:kern w:val="0"/>
                <w:szCs w:val="21"/>
              </w:rPr>
              <w:t>t/a</w:t>
            </w:r>
          </w:p>
        </w:tc>
        <w:tc>
          <w:tcPr>
            <w:tcW w:w="1386"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-0.648</w:t>
            </w:r>
          </w:p>
        </w:tc>
      </w:tr>
      <w:tr w:rsidR="00525419">
        <w:trPr>
          <w:cantSplit/>
          <w:jc w:val="center"/>
        </w:trPr>
        <w:tc>
          <w:tcPr>
            <w:tcW w:w="568"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6</w:t>
            </w:r>
          </w:p>
        </w:tc>
        <w:tc>
          <w:tcPr>
            <w:tcW w:w="1551"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kern w:val="0"/>
                <w:szCs w:val="21"/>
              </w:rPr>
            </w:pPr>
            <w:r>
              <w:rPr>
                <w:rFonts w:ascii="Times New Roman" w:hAnsi="Times New Roman"/>
                <w:kern w:val="0"/>
                <w:szCs w:val="21"/>
              </w:rPr>
              <w:t>净化压缩空气</w:t>
            </w:r>
          </w:p>
        </w:tc>
        <w:tc>
          <w:tcPr>
            <w:tcW w:w="879"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m</w:t>
            </w:r>
            <w:r>
              <w:rPr>
                <w:rFonts w:ascii="Times New Roman" w:hAnsi="Times New Roman"/>
                <w:kern w:val="0"/>
                <w:szCs w:val="21"/>
                <w:vertAlign w:val="superscript"/>
              </w:rPr>
              <w:t>3</w:t>
            </w:r>
            <w:r>
              <w:rPr>
                <w:rFonts w:ascii="Times New Roman" w:hAnsi="Times New Roman"/>
                <w:kern w:val="0"/>
                <w:szCs w:val="21"/>
              </w:rPr>
              <w:t>n/t</w:t>
            </w:r>
          </w:p>
        </w:tc>
        <w:tc>
          <w:tcPr>
            <w:tcW w:w="1093"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51.5844</w:t>
            </w:r>
          </w:p>
        </w:tc>
        <w:tc>
          <w:tcPr>
            <w:tcW w:w="784"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M</w:t>
            </w:r>
            <w:r>
              <w:rPr>
                <w:rFonts w:ascii="Times New Roman" w:hAnsi="Times New Roman"/>
                <w:kern w:val="0"/>
                <w:szCs w:val="21"/>
                <w:vertAlign w:val="superscript"/>
              </w:rPr>
              <w:t>3</w:t>
            </w:r>
            <w:r>
              <w:rPr>
                <w:rFonts w:ascii="Times New Roman" w:hAnsi="Times New Roman"/>
                <w:kern w:val="0"/>
                <w:szCs w:val="21"/>
              </w:rPr>
              <w:t>n/h</w:t>
            </w:r>
          </w:p>
        </w:tc>
        <w:tc>
          <w:tcPr>
            <w:tcW w:w="911"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70</w:t>
            </w:r>
          </w:p>
        </w:tc>
        <w:tc>
          <w:tcPr>
            <w:tcW w:w="1182"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10</w:t>
            </w:r>
            <w:r>
              <w:rPr>
                <w:rFonts w:ascii="Times New Roman" w:hAnsi="Times New Roman"/>
                <w:kern w:val="0"/>
                <w:szCs w:val="21"/>
                <w:vertAlign w:val="superscript"/>
              </w:rPr>
              <w:t>4</w:t>
            </w:r>
            <w:r>
              <w:rPr>
                <w:rFonts w:ascii="Times New Roman" w:hAnsi="Times New Roman"/>
                <w:kern w:val="0"/>
                <w:szCs w:val="21"/>
              </w:rPr>
              <w:t>m</w:t>
            </w:r>
            <w:r>
              <w:rPr>
                <w:rFonts w:ascii="Times New Roman" w:hAnsi="Times New Roman"/>
                <w:kern w:val="0"/>
                <w:szCs w:val="21"/>
                <w:vertAlign w:val="superscript"/>
              </w:rPr>
              <w:t>3</w:t>
            </w:r>
            <w:r>
              <w:rPr>
                <w:rFonts w:ascii="Times New Roman" w:hAnsi="Times New Roman"/>
                <w:kern w:val="0"/>
                <w:szCs w:val="21"/>
              </w:rPr>
              <w:t>n/a</w:t>
            </w:r>
          </w:p>
        </w:tc>
        <w:tc>
          <w:tcPr>
            <w:tcW w:w="1386"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56</w:t>
            </w:r>
          </w:p>
        </w:tc>
      </w:tr>
      <w:tr w:rsidR="00525419">
        <w:trPr>
          <w:cantSplit/>
          <w:jc w:val="center"/>
        </w:trPr>
        <w:tc>
          <w:tcPr>
            <w:tcW w:w="568"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7</w:t>
            </w:r>
          </w:p>
        </w:tc>
        <w:tc>
          <w:tcPr>
            <w:tcW w:w="1551"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kern w:val="0"/>
                <w:szCs w:val="21"/>
              </w:rPr>
            </w:pPr>
            <w:r>
              <w:rPr>
                <w:rFonts w:ascii="Times New Roman" w:hAnsi="Times New Roman"/>
                <w:kern w:val="0"/>
                <w:szCs w:val="21"/>
              </w:rPr>
              <w:t>氮气</w:t>
            </w:r>
          </w:p>
        </w:tc>
        <w:tc>
          <w:tcPr>
            <w:tcW w:w="879"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kern w:val="0"/>
                <w:szCs w:val="21"/>
              </w:rPr>
            </w:pPr>
            <w:r>
              <w:rPr>
                <w:rFonts w:ascii="Times New Roman" w:hAnsi="Times New Roman"/>
                <w:kern w:val="0"/>
                <w:szCs w:val="21"/>
              </w:rPr>
              <w:t>m</w:t>
            </w:r>
            <w:r>
              <w:rPr>
                <w:rFonts w:ascii="Times New Roman" w:hAnsi="Times New Roman"/>
                <w:kern w:val="0"/>
                <w:szCs w:val="21"/>
                <w:vertAlign w:val="superscript"/>
              </w:rPr>
              <w:t>3</w:t>
            </w:r>
            <w:r>
              <w:rPr>
                <w:rFonts w:ascii="Times New Roman" w:hAnsi="Times New Roman"/>
                <w:kern w:val="0"/>
                <w:szCs w:val="21"/>
              </w:rPr>
              <w:t>n/t</w:t>
            </w:r>
          </w:p>
        </w:tc>
        <w:tc>
          <w:tcPr>
            <w:tcW w:w="1093"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58.9536</w:t>
            </w:r>
          </w:p>
        </w:tc>
        <w:tc>
          <w:tcPr>
            <w:tcW w:w="784"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M</w:t>
            </w:r>
            <w:r>
              <w:rPr>
                <w:rFonts w:ascii="Times New Roman" w:hAnsi="Times New Roman"/>
                <w:kern w:val="0"/>
                <w:szCs w:val="21"/>
                <w:vertAlign w:val="superscript"/>
              </w:rPr>
              <w:t>3</w:t>
            </w:r>
            <w:r>
              <w:rPr>
                <w:rFonts w:ascii="Times New Roman" w:hAnsi="Times New Roman"/>
                <w:kern w:val="0"/>
                <w:szCs w:val="21"/>
              </w:rPr>
              <w:t>n/h</w:t>
            </w:r>
          </w:p>
        </w:tc>
        <w:tc>
          <w:tcPr>
            <w:tcW w:w="911"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80</w:t>
            </w:r>
          </w:p>
        </w:tc>
        <w:tc>
          <w:tcPr>
            <w:tcW w:w="1182"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10</w:t>
            </w:r>
            <w:r>
              <w:rPr>
                <w:rFonts w:ascii="Times New Roman" w:hAnsi="Times New Roman"/>
                <w:kern w:val="0"/>
                <w:szCs w:val="21"/>
                <w:vertAlign w:val="superscript"/>
              </w:rPr>
              <w:t>4</w:t>
            </w:r>
            <w:r>
              <w:rPr>
                <w:rFonts w:ascii="Times New Roman" w:hAnsi="Times New Roman"/>
                <w:kern w:val="0"/>
                <w:szCs w:val="21"/>
              </w:rPr>
              <w:t>m</w:t>
            </w:r>
            <w:r>
              <w:rPr>
                <w:rFonts w:ascii="Times New Roman" w:hAnsi="Times New Roman"/>
                <w:kern w:val="0"/>
                <w:szCs w:val="21"/>
                <w:vertAlign w:val="superscript"/>
              </w:rPr>
              <w:t>3</w:t>
            </w:r>
            <w:r>
              <w:rPr>
                <w:rFonts w:ascii="Times New Roman" w:hAnsi="Times New Roman"/>
                <w:kern w:val="0"/>
                <w:szCs w:val="21"/>
              </w:rPr>
              <w:t>n/a</w:t>
            </w:r>
          </w:p>
        </w:tc>
        <w:tc>
          <w:tcPr>
            <w:tcW w:w="1386"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64</w:t>
            </w:r>
          </w:p>
        </w:tc>
      </w:tr>
      <w:tr w:rsidR="00525419">
        <w:trPr>
          <w:cantSplit/>
          <w:jc w:val="center"/>
        </w:trPr>
        <w:tc>
          <w:tcPr>
            <w:tcW w:w="568"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8</w:t>
            </w:r>
          </w:p>
        </w:tc>
        <w:tc>
          <w:tcPr>
            <w:tcW w:w="1551"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kern w:val="0"/>
                <w:szCs w:val="21"/>
              </w:rPr>
            </w:pPr>
            <w:r>
              <w:rPr>
                <w:rFonts w:ascii="Times New Roman" w:hAnsi="Times New Roman"/>
                <w:kern w:val="0"/>
                <w:szCs w:val="21"/>
              </w:rPr>
              <w:t>凝结水</w:t>
            </w:r>
          </w:p>
        </w:tc>
        <w:tc>
          <w:tcPr>
            <w:tcW w:w="879"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t/t</w:t>
            </w:r>
          </w:p>
        </w:tc>
        <w:tc>
          <w:tcPr>
            <w:tcW w:w="1093"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-1.1054</w:t>
            </w:r>
          </w:p>
        </w:tc>
        <w:tc>
          <w:tcPr>
            <w:tcW w:w="784"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t/h</w:t>
            </w:r>
          </w:p>
        </w:tc>
        <w:tc>
          <w:tcPr>
            <w:tcW w:w="911"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-1.5</w:t>
            </w:r>
          </w:p>
        </w:tc>
        <w:tc>
          <w:tcPr>
            <w:tcW w:w="1182"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10</w:t>
            </w:r>
            <w:r>
              <w:rPr>
                <w:rFonts w:ascii="Times New Roman" w:hAnsi="Times New Roman"/>
                <w:kern w:val="0"/>
                <w:szCs w:val="21"/>
                <w:vertAlign w:val="superscript"/>
              </w:rPr>
              <w:t>4</w:t>
            </w:r>
            <w:r>
              <w:rPr>
                <w:rFonts w:ascii="Times New Roman" w:hAnsi="Times New Roman"/>
                <w:kern w:val="0"/>
                <w:szCs w:val="21"/>
              </w:rPr>
              <w:t>t/a</w:t>
            </w:r>
          </w:p>
        </w:tc>
        <w:tc>
          <w:tcPr>
            <w:tcW w:w="1386"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-1.2</w:t>
            </w:r>
          </w:p>
        </w:tc>
      </w:tr>
      <w:tr w:rsidR="00525419">
        <w:trPr>
          <w:cantSplit/>
          <w:jc w:val="center"/>
        </w:trPr>
        <w:tc>
          <w:tcPr>
            <w:tcW w:w="568"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9</w:t>
            </w:r>
          </w:p>
        </w:tc>
        <w:tc>
          <w:tcPr>
            <w:tcW w:w="1551"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kern w:val="0"/>
                <w:szCs w:val="21"/>
              </w:rPr>
            </w:pPr>
            <w:r>
              <w:rPr>
                <w:rFonts w:ascii="Times New Roman" w:hAnsi="Times New Roman"/>
                <w:kern w:val="0"/>
                <w:szCs w:val="21"/>
              </w:rPr>
              <w:t>燃料气</w:t>
            </w:r>
          </w:p>
        </w:tc>
        <w:tc>
          <w:tcPr>
            <w:tcW w:w="879"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kern w:val="0"/>
                <w:szCs w:val="21"/>
              </w:rPr>
            </w:pPr>
            <w:r>
              <w:rPr>
                <w:rFonts w:ascii="Times New Roman" w:hAnsi="Times New Roman"/>
                <w:kern w:val="0"/>
                <w:szCs w:val="21"/>
              </w:rPr>
              <w:t>t/t</w:t>
            </w:r>
          </w:p>
        </w:tc>
        <w:tc>
          <w:tcPr>
            <w:tcW w:w="1093"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kern w:val="0"/>
                <w:szCs w:val="21"/>
              </w:rPr>
            </w:pPr>
            <w:r>
              <w:rPr>
                <w:rFonts w:ascii="Times New Roman" w:hAnsi="Times New Roman"/>
                <w:kern w:val="0"/>
                <w:szCs w:val="21"/>
              </w:rPr>
              <w:t>0.0656</w:t>
            </w:r>
          </w:p>
        </w:tc>
        <w:tc>
          <w:tcPr>
            <w:tcW w:w="784"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kern w:val="0"/>
                <w:szCs w:val="21"/>
              </w:rPr>
            </w:pPr>
            <w:r>
              <w:rPr>
                <w:rFonts w:ascii="Times New Roman" w:hAnsi="Times New Roman"/>
                <w:kern w:val="0"/>
                <w:szCs w:val="21"/>
              </w:rPr>
              <w:t>t/h</w:t>
            </w:r>
          </w:p>
        </w:tc>
        <w:tc>
          <w:tcPr>
            <w:tcW w:w="911"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kern w:val="0"/>
                <w:szCs w:val="21"/>
              </w:rPr>
            </w:pPr>
            <w:r>
              <w:rPr>
                <w:rFonts w:ascii="Times New Roman" w:hAnsi="Times New Roman"/>
                <w:kern w:val="0"/>
                <w:szCs w:val="21"/>
              </w:rPr>
              <w:t>0.089</w:t>
            </w:r>
          </w:p>
        </w:tc>
        <w:tc>
          <w:tcPr>
            <w:tcW w:w="1182"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kern w:val="0"/>
                <w:szCs w:val="21"/>
              </w:rPr>
            </w:pPr>
            <w:r>
              <w:rPr>
                <w:rFonts w:ascii="Times New Roman" w:hAnsi="Times New Roman"/>
                <w:kern w:val="0"/>
                <w:szCs w:val="21"/>
              </w:rPr>
              <w:t>10</w:t>
            </w:r>
            <w:r>
              <w:rPr>
                <w:rFonts w:ascii="Times New Roman" w:hAnsi="Times New Roman"/>
                <w:kern w:val="0"/>
                <w:szCs w:val="21"/>
                <w:vertAlign w:val="superscript"/>
              </w:rPr>
              <w:t>4</w:t>
            </w:r>
            <w:r>
              <w:rPr>
                <w:rFonts w:ascii="Times New Roman" w:hAnsi="Times New Roman"/>
                <w:kern w:val="0"/>
                <w:szCs w:val="21"/>
              </w:rPr>
              <w:t>t/a</w:t>
            </w:r>
          </w:p>
        </w:tc>
        <w:tc>
          <w:tcPr>
            <w:tcW w:w="1386"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kern w:val="0"/>
                <w:szCs w:val="21"/>
              </w:rPr>
            </w:pPr>
            <w:r>
              <w:rPr>
                <w:rFonts w:ascii="Times New Roman" w:hAnsi="Times New Roman"/>
                <w:kern w:val="0"/>
                <w:szCs w:val="21"/>
              </w:rPr>
              <w:t>0.0712</w:t>
            </w:r>
          </w:p>
        </w:tc>
      </w:tr>
      <w:tr w:rsidR="00525419">
        <w:trPr>
          <w:cantSplit/>
          <w:jc w:val="center"/>
        </w:trPr>
        <w:tc>
          <w:tcPr>
            <w:tcW w:w="568"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szCs w:val="21"/>
              </w:rPr>
            </w:pPr>
            <w:r>
              <w:rPr>
                <w:rFonts w:ascii="Times New Roman" w:hAnsi="Times New Roman"/>
                <w:kern w:val="0"/>
                <w:szCs w:val="21"/>
              </w:rPr>
              <w:t>10</w:t>
            </w:r>
          </w:p>
        </w:tc>
        <w:tc>
          <w:tcPr>
            <w:tcW w:w="1551" w:type="dxa"/>
            <w:tcBorders>
              <w:tl2br w:val="nil"/>
              <w:tr2bl w:val="nil"/>
            </w:tcBorders>
            <w:vAlign w:val="center"/>
          </w:tcPr>
          <w:p w:rsidR="00525419" w:rsidRDefault="00EE1CF7">
            <w:pPr>
              <w:widowControl/>
              <w:spacing w:line="240" w:lineRule="atLeast"/>
              <w:jc w:val="center"/>
              <w:textAlignment w:val="center"/>
              <w:rPr>
                <w:rFonts w:ascii="Times New Roman" w:hAnsi="Times New Roman"/>
                <w:kern w:val="0"/>
                <w:szCs w:val="21"/>
              </w:rPr>
            </w:pPr>
            <w:r>
              <w:rPr>
                <w:rFonts w:ascii="Times New Roman" w:hAnsi="Times New Roman"/>
                <w:kern w:val="0"/>
                <w:szCs w:val="21"/>
              </w:rPr>
              <w:t>除氧水</w:t>
            </w:r>
          </w:p>
        </w:tc>
        <w:tc>
          <w:tcPr>
            <w:tcW w:w="879"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kern w:val="0"/>
                <w:szCs w:val="21"/>
              </w:rPr>
            </w:pPr>
            <w:r>
              <w:rPr>
                <w:rFonts w:ascii="Times New Roman" w:hAnsi="Times New Roman"/>
                <w:kern w:val="0"/>
                <w:szCs w:val="21"/>
              </w:rPr>
              <w:t>t/t</w:t>
            </w:r>
          </w:p>
        </w:tc>
        <w:tc>
          <w:tcPr>
            <w:tcW w:w="1093"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kern w:val="0"/>
                <w:szCs w:val="21"/>
              </w:rPr>
            </w:pPr>
            <w:r>
              <w:rPr>
                <w:rFonts w:ascii="Times New Roman" w:hAnsi="Times New Roman"/>
                <w:kern w:val="0"/>
                <w:szCs w:val="21"/>
              </w:rPr>
              <w:t>4.8268</w:t>
            </w:r>
          </w:p>
        </w:tc>
        <w:tc>
          <w:tcPr>
            <w:tcW w:w="784"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kern w:val="0"/>
                <w:szCs w:val="21"/>
              </w:rPr>
            </w:pPr>
            <w:r>
              <w:rPr>
                <w:rFonts w:ascii="Times New Roman" w:hAnsi="Times New Roman"/>
                <w:kern w:val="0"/>
                <w:szCs w:val="21"/>
              </w:rPr>
              <w:t>t/h</w:t>
            </w:r>
          </w:p>
        </w:tc>
        <w:tc>
          <w:tcPr>
            <w:tcW w:w="911"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kern w:val="0"/>
                <w:szCs w:val="21"/>
              </w:rPr>
            </w:pPr>
            <w:r>
              <w:rPr>
                <w:rFonts w:ascii="Times New Roman" w:hAnsi="Times New Roman"/>
                <w:kern w:val="0"/>
                <w:szCs w:val="21"/>
              </w:rPr>
              <w:t>6.55</w:t>
            </w:r>
          </w:p>
        </w:tc>
        <w:tc>
          <w:tcPr>
            <w:tcW w:w="1182"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kern w:val="0"/>
                <w:szCs w:val="21"/>
              </w:rPr>
            </w:pPr>
            <w:r>
              <w:rPr>
                <w:rFonts w:ascii="Times New Roman" w:hAnsi="Times New Roman"/>
                <w:kern w:val="0"/>
                <w:szCs w:val="21"/>
              </w:rPr>
              <w:t>10</w:t>
            </w:r>
            <w:r>
              <w:rPr>
                <w:rFonts w:ascii="Times New Roman" w:hAnsi="Times New Roman"/>
                <w:kern w:val="0"/>
                <w:szCs w:val="21"/>
                <w:vertAlign w:val="superscript"/>
              </w:rPr>
              <w:t>4</w:t>
            </w:r>
            <w:r>
              <w:rPr>
                <w:rFonts w:ascii="Times New Roman" w:hAnsi="Times New Roman"/>
                <w:kern w:val="0"/>
                <w:szCs w:val="21"/>
              </w:rPr>
              <w:t>t/a</w:t>
            </w:r>
          </w:p>
        </w:tc>
        <w:tc>
          <w:tcPr>
            <w:tcW w:w="1386" w:type="dxa"/>
            <w:tcBorders>
              <w:tl2br w:val="nil"/>
              <w:tr2bl w:val="nil"/>
            </w:tcBorders>
            <w:vAlign w:val="bottom"/>
          </w:tcPr>
          <w:p w:rsidR="00525419" w:rsidRDefault="00EE1CF7">
            <w:pPr>
              <w:widowControl/>
              <w:spacing w:line="240" w:lineRule="atLeast"/>
              <w:jc w:val="center"/>
              <w:textAlignment w:val="bottom"/>
              <w:rPr>
                <w:rFonts w:ascii="Times New Roman" w:hAnsi="Times New Roman"/>
                <w:kern w:val="0"/>
                <w:szCs w:val="21"/>
              </w:rPr>
            </w:pPr>
            <w:r>
              <w:rPr>
                <w:rFonts w:ascii="Times New Roman" w:hAnsi="Times New Roman"/>
                <w:kern w:val="0"/>
                <w:szCs w:val="21"/>
              </w:rPr>
              <w:t>5.24</w:t>
            </w:r>
          </w:p>
        </w:tc>
      </w:tr>
    </w:tbl>
    <w:p w:rsidR="00525419" w:rsidRDefault="00525419">
      <w:pPr>
        <w:snapToGrid w:val="0"/>
        <w:spacing w:line="240" w:lineRule="atLeast"/>
        <w:ind w:firstLineChars="200" w:firstLine="420"/>
        <w:jc w:val="center"/>
        <w:rPr>
          <w:rFonts w:ascii="Times New Roman" w:eastAsia="黑体" w:hAnsi="Times New Roman"/>
          <w:szCs w:val="21"/>
        </w:rPr>
      </w:pPr>
    </w:p>
    <w:p w:rsidR="00525419" w:rsidRDefault="00EE1CF7">
      <w:pPr>
        <w:pStyle w:val="afffe"/>
        <w:adjustRightInd w:val="0"/>
        <w:spacing w:before="31" w:after="31" w:line="360" w:lineRule="auto"/>
        <w:ind w:firstLineChars="200" w:firstLine="480"/>
        <w:rPr>
          <w:sz w:val="24"/>
        </w:rPr>
      </w:pPr>
      <w:r>
        <w:rPr>
          <w:sz w:val="24"/>
        </w:rPr>
        <w:t>⑤</w:t>
      </w:r>
      <w:r>
        <w:rPr>
          <w:sz w:val="24"/>
        </w:rPr>
        <w:t>主要设备</w:t>
      </w:r>
    </w:p>
    <w:p w:rsidR="00525419" w:rsidRDefault="00EE1CF7">
      <w:pPr>
        <w:pStyle w:val="afffe"/>
        <w:adjustRightInd w:val="0"/>
        <w:spacing w:before="31" w:after="31" w:line="360" w:lineRule="auto"/>
        <w:ind w:firstLineChars="200" w:firstLine="400"/>
      </w:pPr>
      <w:r>
        <w:t xml:space="preserve">　</w:t>
      </w:r>
      <w:r>
        <w:rPr>
          <w:sz w:val="24"/>
        </w:rPr>
        <w:t>硫磺回收单元主要设备见表</w:t>
      </w:r>
      <w:r>
        <w:rPr>
          <w:sz w:val="24"/>
        </w:rPr>
        <w:t>3.5-18</w:t>
      </w:r>
      <w:r>
        <w:rPr>
          <w:sz w:val="24"/>
        </w:rPr>
        <w:t>。</w:t>
      </w:r>
    </w:p>
    <w:p w:rsidR="00525419" w:rsidRDefault="00EE1CF7">
      <w:pPr>
        <w:snapToGrid w:val="0"/>
        <w:spacing w:line="240" w:lineRule="atLeast"/>
        <w:ind w:firstLineChars="1000" w:firstLine="2100"/>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3.5-18</w:t>
      </w:r>
      <w:r>
        <w:rPr>
          <w:rFonts w:ascii="Times New Roman" w:eastAsia="黑体" w:hAnsi="Times New Roman"/>
          <w:szCs w:val="21"/>
        </w:rPr>
        <w:t xml:space="preserve">　　硫磺回收单元主要设备一览表</w:t>
      </w:r>
    </w:p>
    <w:tbl>
      <w:tblPr>
        <w:tblW w:w="8513"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29" w:type="dxa"/>
          <w:bottom w:w="29" w:type="dxa"/>
        </w:tblCellMar>
        <w:tblLook w:val="04A0" w:firstRow="1" w:lastRow="0" w:firstColumn="1" w:lastColumn="0" w:noHBand="0" w:noVBand="1"/>
      </w:tblPr>
      <w:tblGrid>
        <w:gridCol w:w="1327"/>
        <w:gridCol w:w="1826"/>
        <w:gridCol w:w="4164"/>
        <w:gridCol w:w="1196"/>
      </w:tblGrid>
      <w:tr w:rsidR="00525419">
        <w:trPr>
          <w:trHeight w:val="270"/>
          <w:tblHeader/>
        </w:trPr>
        <w:tc>
          <w:tcPr>
            <w:tcW w:w="1327" w:type="dxa"/>
            <w:tcBorders>
              <w:tl2br w:val="nil"/>
              <w:tr2bl w:val="nil"/>
            </w:tcBorders>
            <w:vAlign w:val="center"/>
          </w:tcPr>
          <w:p w:rsidR="00525419" w:rsidRDefault="00EE1CF7">
            <w:pPr>
              <w:widowControl/>
              <w:spacing w:line="240" w:lineRule="atLeast"/>
              <w:jc w:val="center"/>
              <w:rPr>
                <w:rFonts w:ascii="Times New Roman" w:hAnsi="Times New Roman"/>
                <w:bCs/>
                <w:kern w:val="0"/>
                <w:szCs w:val="21"/>
              </w:rPr>
            </w:pPr>
            <w:r>
              <w:rPr>
                <w:rFonts w:ascii="Times New Roman" w:hAnsi="Times New Roman"/>
                <w:bCs/>
                <w:kern w:val="0"/>
                <w:szCs w:val="21"/>
              </w:rPr>
              <w:t>序号</w:t>
            </w:r>
          </w:p>
        </w:tc>
        <w:tc>
          <w:tcPr>
            <w:tcW w:w="1826" w:type="dxa"/>
            <w:tcBorders>
              <w:tl2br w:val="nil"/>
              <w:tr2bl w:val="nil"/>
            </w:tcBorders>
            <w:vAlign w:val="center"/>
          </w:tcPr>
          <w:p w:rsidR="00525419" w:rsidRDefault="00EE1CF7">
            <w:pPr>
              <w:widowControl/>
              <w:spacing w:line="240" w:lineRule="atLeast"/>
              <w:jc w:val="center"/>
              <w:rPr>
                <w:rFonts w:ascii="Times New Roman" w:hAnsi="Times New Roman"/>
                <w:bCs/>
                <w:kern w:val="0"/>
                <w:szCs w:val="21"/>
              </w:rPr>
            </w:pPr>
            <w:r>
              <w:rPr>
                <w:rFonts w:ascii="Times New Roman" w:hAnsi="Times New Roman"/>
                <w:bCs/>
                <w:kern w:val="0"/>
                <w:szCs w:val="21"/>
              </w:rPr>
              <w:t>设备名称</w:t>
            </w:r>
          </w:p>
        </w:tc>
        <w:tc>
          <w:tcPr>
            <w:tcW w:w="4164" w:type="dxa"/>
            <w:tcBorders>
              <w:tl2br w:val="nil"/>
              <w:tr2bl w:val="nil"/>
            </w:tcBorders>
            <w:vAlign w:val="center"/>
          </w:tcPr>
          <w:p w:rsidR="00525419" w:rsidRDefault="00EE1CF7">
            <w:pPr>
              <w:widowControl/>
              <w:spacing w:line="240" w:lineRule="atLeast"/>
              <w:jc w:val="center"/>
              <w:rPr>
                <w:rFonts w:ascii="Times New Roman" w:hAnsi="Times New Roman"/>
                <w:bCs/>
                <w:kern w:val="0"/>
                <w:szCs w:val="21"/>
              </w:rPr>
            </w:pPr>
            <w:r>
              <w:rPr>
                <w:rFonts w:ascii="Times New Roman" w:hAnsi="Times New Roman"/>
                <w:bCs/>
                <w:kern w:val="0"/>
                <w:szCs w:val="21"/>
              </w:rPr>
              <w:t>主要技术规格</w:t>
            </w:r>
          </w:p>
        </w:tc>
        <w:tc>
          <w:tcPr>
            <w:tcW w:w="1196" w:type="dxa"/>
            <w:tcBorders>
              <w:tl2br w:val="nil"/>
              <w:tr2bl w:val="nil"/>
            </w:tcBorders>
            <w:vAlign w:val="center"/>
          </w:tcPr>
          <w:p w:rsidR="00525419" w:rsidRDefault="00EE1CF7">
            <w:pPr>
              <w:widowControl/>
              <w:spacing w:line="240" w:lineRule="atLeast"/>
              <w:jc w:val="center"/>
              <w:rPr>
                <w:rFonts w:ascii="Times New Roman" w:hAnsi="Times New Roman"/>
                <w:bCs/>
                <w:kern w:val="0"/>
                <w:szCs w:val="21"/>
              </w:rPr>
            </w:pPr>
            <w:r>
              <w:rPr>
                <w:rFonts w:ascii="Times New Roman" w:hAnsi="Times New Roman"/>
                <w:bCs/>
                <w:kern w:val="0"/>
                <w:szCs w:val="21"/>
              </w:rPr>
              <w:t>数量</w:t>
            </w:r>
          </w:p>
        </w:tc>
      </w:tr>
      <w:tr w:rsidR="00525419">
        <w:trPr>
          <w:trHeight w:val="225"/>
        </w:trPr>
        <w:tc>
          <w:tcPr>
            <w:tcW w:w="1327"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kern w:val="0"/>
                <w:szCs w:val="21"/>
              </w:rPr>
              <w:t>1</w:t>
            </w:r>
          </w:p>
        </w:tc>
        <w:tc>
          <w:tcPr>
            <w:tcW w:w="1826"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尾气急冷塔</w:t>
            </w:r>
          </w:p>
        </w:tc>
        <w:tc>
          <w:tcPr>
            <w:tcW w:w="4164"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snapToGrid w:val="0"/>
                <w:kern w:val="0"/>
                <w:szCs w:val="21"/>
              </w:rPr>
              <w:t>φ1600×19275×(3+10)</w:t>
            </w:r>
          </w:p>
        </w:tc>
        <w:tc>
          <w:tcPr>
            <w:tcW w:w="1196"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1</w:t>
            </w:r>
          </w:p>
        </w:tc>
      </w:tr>
      <w:tr w:rsidR="00525419">
        <w:trPr>
          <w:trHeight w:val="270"/>
        </w:trPr>
        <w:tc>
          <w:tcPr>
            <w:tcW w:w="1327"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kern w:val="0"/>
                <w:szCs w:val="21"/>
              </w:rPr>
              <w:t>2</w:t>
            </w:r>
          </w:p>
        </w:tc>
        <w:tc>
          <w:tcPr>
            <w:tcW w:w="1826"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尾气吸收塔</w:t>
            </w:r>
          </w:p>
        </w:tc>
        <w:tc>
          <w:tcPr>
            <w:tcW w:w="4164"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snapToGrid w:val="0"/>
                <w:kern w:val="0"/>
                <w:szCs w:val="21"/>
              </w:rPr>
              <w:t>φ1400×27525×(3+10)</w:t>
            </w:r>
          </w:p>
        </w:tc>
        <w:tc>
          <w:tcPr>
            <w:tcW w:w="1196"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1</w:t>
            </w:r>
          </w:p>
        </w:tc>
      </w:tr>
      <w:tr w:rsidR="00525419">
        <w:trPr>
          <w:trHeight w:val="195"/>
        </w:trPr>
        <w:tc>
          <w:tcPr>
            <w:tcW w:w="1327"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kern w:val="0"/>
                <w:szCs w:val="21"/>
              </w:rPr>
              <w:t>3</w:t>
            </w:r>
          </w:p>
        </w:tc>
        <w:tc>
          <w:tcPr>
            <w:tcW w:w="1826"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制硫燃烧炉</w:t>
            </w:r>
          </w:p>
        </w:tc>
        <w:tc>
          <w:tcPr>
            <w:tcW w:w="4164"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snapToGrid w:val="0"/>
                <w:spacing w:val="-10"/>
                <w:kern w:val="0"/>
                <w:szCs w:val="21"/>
              </w:rPr>
              <w:t>Ф2600/(</w:t>
            </w:r>
            <w:r>
              <w:rPr>
                <w:rFonts w:ascii="Times New Roman" w:hAnsi="Times New Roman"/>
                <w:snapToGrid w:val="0"/>
                <w:spacing w:val="-10"/>
                <w:kern w:val="0"/>
                <w:szCs w:val="21"/>
              </w:rPr>
              <w:t>衬后</w:t>
            </w:r>
            <w:r>
              <w:rPr>
                <w:rFonts w:ascii="Times New Roman" w:hAnsi="Times New Roman"/>
                <w:snapToGrid w:val="0"/>
                <w:spacing w:val="-10"/>
                <w:kern w:val="0"/>
                <w:szCs w:val="21"/>
              </w:rPr>
              <w:t>Ф1800)×10855×16</w:t>
            </w:r>
          </w:p>
        </w:tc>
        <w:tc>
          <w:tcPr>
            <w:tcW w:w="1196"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1</w:t>
            </w:r>
          </w:p>
        </w:tc>
      </w:tr>
      <w:tr w:rsidR="00525419">
        <w:trPr>
          <w:trHeight w:val="195"/>
        </w:trPr>
        <w:tc>
          <w:tcPr>
            <w:tcW w:w="1327"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kern w:val="0"/>
                <w:szCs w:val="21"/>
              </w:rPr>
              <w:t>4</w:t>
            </w:r>
          </w:p>
        </w:tc>
        <w:tc>
          <w:tcPr>
            <w:tcW w:w="1826"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制硫余热锅炉</w:t>
            </w:r>
          </w:p>
        </w:tc>
        <w:tc>
          <w:tcPr>
            <w:tcW w:w="4164" w:type="dxa"/>
            <w:tcBorders>
              <w:tl2br w:val="nil"/>
              <w:tr2bl w:val="nil"/>
            </w:tcBorders>
            <w:vAlign w:val="center"/>
          </w:tcPr>
          <w:p w:rsidR="00525419" w:rsidRDefault="00EE1CF7">
            <w:pPr>
              <w:adjustRightInd w:val="0"/>
              <w:snapToGrid w:val="0"/>
              <w:spacing w:line="380" w:lineRule="exact"/>
              <w:jc w:val="center"/>
              <w:rPr>
                <w:rFonts w:ascii="Times New Roman" w:hAnsi="Times New Roman"/>
                <w:szCs w:val="21"/>
              </w:rPr>
            </w:pPr>
            <w:r>
              <w:rPr>
                <w:rFonts w:ascii="Times New Roman" w:hAnsi="Times New Roman"/>
                <w:szCs w:val="21"/>
              </w:rPr>
              <w:t>汽包：</w:t>
            </w:r>
            <w:r>
              <w:rPr>
                <w:rFonts w:ascii="Times New Roman" w:hAnsi="Times New Roman"/>
                <w:szCs w:val="21"/>
              </w:rPr>
              <w:t>Φ1200×5963×14</w:t>
            </w:r>
          </w:p>
          <w:p w:rsidR="00525419" w:rsidRDefault="00EE1CF7">
            <w:pPr>
              <w:spacing w:line="240" w:lineRule="atLeast"/>
              <w:jc w:val="center"/>
              <w:rPr>
                <w:rFonts w:ascii="Times New Roman" w:hAnsi="Times New Roman"/>
                <w:snapToGrid w:val="0"/>
                <w:spacing w:val="-10"/>
                <w:kern w:val="0"/>
                <w:szCs w:val="21"/>
              </w:rPr>
            </w:pPr>
            <w:r>
              <w:rPr>
                <w:rFonts w:ascii="Times New Roman" w:hAnsi="Times New Roman"/>
                <w:szCs w:val="21"/>
              </w:rPr>
              <w:t>锅筒：</w:t>
            </w:r>
            <w:r>
              <w:rPr>
                <w:rFonts w:ascii="Times New Roman" w:hAnsi="Times New Roman"/>
                <w:szCs w:val="21"/>
              </w:rPr>
              <w:t>Φ2600/Φ1600/Φ1800×7594×16/20</w:t>
            </w:r>
          </w:p>
        </w:tc>
        <w:tc>
          <w:tcPr>
            <w:tcW w:w="1196"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1</w:t>
            </w:r>
          </w:p>
        </w:tc>
      </w:tr>
      <w:tr w:rsidR="00525419">
        <w:trPr>
          <w:trHeight w:val="225"/>
        </w:trPr>
        <w:tc>
          <w:tcPr>
            <w:tcW w:w="1327"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kern w:val="0"/>
                <w:szCs w:val="21"/>
              </w:rPr>
              <w:t>5</w:t>
            </w:r>
          </w:p>
        </w:tc>
        <w:tc>
          <w:tcPr>
            <w:tcW w:w="1826"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尾气焚烧炉</w:t>
            </w:r>
          </w:p>
        </w:tc>
        <w:tc>
          <w:tcPr>
            <w:tcW w:w="4164"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snapToGrid w:val="0"/>
                <w:spacing w:val="-10"/>
                <w:kern w:val="0"/>
                <w:szCs w:val="21"/>
              </w:rPr>
              <w:t>Ф2200/(</w:t>
            </w:r>
            <w:r>
              <w:rPr>
                <w:rFonts w:ascii="Times New Roman" w:hAnsi="Times New Roman"/>
                <w:snapToGrid w:val="0"/>
                <w:spacing w:val="-10"/>
                <w:kern w:val="0"/>
                <w:szCs w:val="21"/>
              </w:rPr>
              <w:t>衬后</w:t>
            </w:r>
            <w:r>
              <w:rPr>
                <w:rFonts w:ascii="Times New Roman" w:hAnsi="Times New Roman"/>
                <w:snapToGrid w:val="0"/>
                <w:spacing w:val="-10"/>
                <w:kern w:val="0"/>
                <w:szCs w:val="21"/>
              </w:rPr>
              <w:t>Ф1800)×6500(</w:t>
            </w:r>
            <w:r>
              <w:rPr>
                <w:rFonts w:ascii="Times New Roman" w:hAnsi="Times New Roman"/>
                <w:snapToGrid w:val="0"/>
                <w:spacing w:val="-10"/>
                <w:kern w:val="0"/>
                <w:szCs w:val="21"/>
              </w:rPr>
              <w:t>切线</w:t>
            </w:r>
            <w:r>
              <w:rPr>
                <w:rFonts w:ascii="Times New Roman" w:hAnsi="Times New Roman"/>
                <w:snapToGrid w:val="0"/>
                <w:spacing w:val="-10"/>
                <w:kern w:val="0"/>
                <w:szCs w:val="21"/>
              </w:rPr>
              <w:t>)×16</w:t>
            </w:r>
          </w:p>
        </w:tc>
        <w:tc>
          <w:tcPr>
            <w:tcW w:w="1196"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1</w:t>
            </w:r>
          </w:p>
        </w:tc>
      </w:tr>
      <w:tr w:rsidR="00525419">
        <w:trPr>
          <w:trHeight w:val="150"/>
        </w:trPr>
        <w:tc>
          <w:tcPr>
            <w:tcW w:w="1327"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kern w:val="0"/>
                <w:szCs w:val="21"/>
              </w:rPr>
              <w:t>6</w:t>
            </w:r>
          </w:p>
        </w:tc>
        <w:tc>
          <w:tcPr>
            <w:tcW w:w="1826"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加氢反应器</w:t>
            </w:r>
          </w:p>
        </w:tc>
        <w:tc>
          <w:tcPr>
            <w:tcW w:w="4164" w:type="dxa"/>
            <w:tcBorders>
              <w:tl2br w:val="nil"/>
              <w:tr2bl w:val="nil"/>
            </w:tcBorders>
            <w:vAlign w:val="center"/>
          </w:tcPr>
          <w:p w:rsidR="00525419" w:rsidRDefault="00EE1CF7">
            <w:pPr>
              <w:spacing w:line="240" w:lineRule="atLeast"/>
              <w:jc w:val="center"/>
              <w:rPr>
                <w:rFonts w:ascii="Times New Roman" w:hAnsi="Times New Roman"/>
                <w:kern w:val="0"/>
                <w:szCs w:val="21"/>
              </w:rPr>
            </w:pPr>
            <w:r>
              <w:rPr>
                <w:rFonts w:ascii="Times New Roman" w:hAnsi="Times New Roman"/>
                <w:snapToGrid w:val="0"/>
                <w:kern w:val="0"/>
                <w:szCs w:val="21"/>
              </w:rPr>
              <w:t>Φ2100×6158×14</w:t>
            </w:r>
          </w:p>
        </w:tc>
        <w:tc>
          <w:tcPr>
            <w:tcW w:w="1196"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1</w:t>
            </w:r>
          </w:p>
        </w:tc>
      </w:tr>
    </w:tbl>
    <w:p w:rsidR="00525419" w:rsidRDefault="00EE1CF7">
      <w:pPr>
        <w:spacing w:line="360" w:lineRule="auto"/>
        <w:ind w:firstLineChars="200" w:firstLine="480"/>
        <w:rPr>
          <w:rFonts w:ascii="Times New Roman" w:hAnsi="Times New Roman"/>
          <w:sz w:val="24"/>
        </w:rPr>
      </w:pPr>
      <w:r>
        <w:rPr>
          <w:rFonts w:ascii="Times New Roman" w:hAnsi="Times New Roman"/>
          <w:sz w:val="24"/>
        </w:rPr>
        <w:t>硫磺回收装置生产工艺流程及主要产污环节见图</w:t>
      </w:r>
      <w:r>
        <w:rPr>
          <w:rFonts w:ascii="Times New Roman" w:hAnsi="Times New Roman"/>
          <w:sz w:val="24"/>
        </w:rPr>
        <w:t>3.5-7</w:t>
      </w:r>
      <w:r>
        <w:rPr>
          <w:rFonts w:ascii="Times New Roman" w:hAnsi="Times New Roman"/>
          <w:sz w:val="24"/>
        </w:rPr>
        <w:t>。</w:t>
      </w:r>
    </w:p>
    <w:p w:rsidR="00525419" w:rsidRDefault="00525419">
      <w:pPr>
        <w:spacing w:line="360" w:lineRule="auto"/>
        <w:ind w:firstLineChars="200" w:firstLine="480"/>
        <w:rPr>
          <w:rFonts w:ascii="Times New Roman" w:hAnsi="Times New Roman"/>
          <w:sz w:val="24"/>
        </w:rPr>
      </w:pPr>
    </w:p>
    <w:p w:rsidR="00525419" w:rsidRDefault="00525419">
      <w:pPr>
        <w:pStyle w:val="afb"/>
        <w:rPr>
          <w:sz w:val="24"/>
        </w:rPr>
      </w:pPr>
    </w:p>
    <w:p w:rsidR="00525419" w:rsidRDefault="00525419">
      <w:pPr>
        <w:pStyle w:val="afb"/>
        <w:rPr>
          <w:sz w:val="24"/>
        </w:rPr>
      </w:pPr>
    </w:p>
    <w:p w:rsidR="00525419" w:rsidRDefault="007D0E8A">
      <w:pPr>
        <w:rPr>
          <w:rFonts w:ascii="Times New Roman" w:hAnsi="Times New Roman"/>
        </w:rPr>
      </w:pPr>
      <w:r>
        <w:rPr>
          <w:rFonts w:ascii="Times New Roman" w:hAnsi="Times New Roman"/>
        </w:rPr>
        <w:pict>
          <v:group id="Group 2744" o:spid="_x0000_s2028" style="position:absolute;left:0;text-align:left;margin-left:9pt;margin-top:.25pt;width:391.05pt;height:273.95pt;z-index:251651584" coordorigin="1977,8813" coordsize="7821,5479">
            <v:shape id="Quad Arrow 2108" o:spid="_x0000_s2029" type="#_x0000_t202" style="position:absolute;left:4137;top:9593;width:900;height:312" o:preferrelative="t">
              <v:stroke miterlimit="2"/>
              <v:textbox inset="1.42pt,.85pt,1.42pt,.85pt">
                <w:txbxContent>
                  <w:p w:rsidR="00EE1CF7" w:rsidRDefault="00EE1CF7">
                    <w:r>
                      <w:rPr>
                        <w:rFonts w:hint="eastAsia"/>
                      </w:rPr>
                      <w:t>脱气罐</w:t>
                    </w:r>
                  </w:p>
                </w:txbxContent>
              </v:textbox>
            </v:shape>
            <v:shape id="Quad Arrow 2109" o:spid="_x0000_s2030" type="#_x0000_t202" style="position:absolute;left:1977;top:9593;width:1800;height:312" o:preferrelative="t" filled="f" stroked="f">
              <v:textbox inset="1.42pt,.85pt,1.42pt,.85pt">
                <w:txbxContent>
                  <w:p w:rsidR="00EE1CF7" w:rsidRDefault="00EE1CF7">
                    <w:r>
                      <w:rPr>
                        <w:rFonts w:hint="eastAsia"/>
                      </w:rPr>
                      <w:t>酸性水</w:t>
                    </w:r>
                    <w:r>
                      <w:rPr>
                        <w:rFonts w:hint="eastAsia"/>
                      </w:rPr>
                      <w:t>(</w:t>
                    </w:r>
                    <w:r>
                      <w:rPr>
                        <w:rFonts w:hint="eastAsia"/>
                      </w:rPr>
                      <w:t>含硫污水</w:t>
                    </w:r>
                    <w:r>
                      <w:rPr>
                        <w:rFonts w:hint="eastAsia"/>
                      </w:rPr>
                      <w:t>)</w:t>
                    </w:r>
                  </w:p>
                </w:txbxContent>
              </v:textbox>
            </v:shape>
            <v:line id="Line 2110" o:spid="_x0000_s2031" style="position:absolute" from="3597,9749" to="4137,9749" o:preferrelative="t">
              <v:stroke endarrow="block" miterlimit="2"/>
            </v:line>
            <v:line id="Line 2111" o:spid="_x0000_s2032" style="position:absolute;flip:y" from="4542,9281" to="4542,9593" o:preferrelative="t">
              <v:stroke dashstyle="dash" endarrow="block" miterlimit="2"/>
            </v:line>
            <v:shape id="Quad Arrow 2112" o:spid="_x0000_s2033" type="#_x0000_t202" style="position:absolute;left:3447;top:8969;width:2160;height:312" o:preferrelative="t" filled="f" stroked="f">
              <v:textbox inset="1.42pt,.85pt,1.42pt,.85pt">
                <w:txbxContent>
                  <w:p w:rsidR="00EE1CF7" w:rsidRDefault="00EE1CF7">
                    <w:r>
                      <w:rPr>
                        <w:rFonts w:hint="eastAsia"/>
                      </w:rPr>
                      <w:t>轻油气制氢或燃料利用</w:t>
                    </w:r>
                  </w:p>
                </w:txbxContent>
              </v:textbox>
            </v:shape>
            <v:shape id="Quad Arrow 2113" o:spid="_x0000_s2034" type="#_x0000_t202" style="position:absolute;left:5397;top:9593;width:540;height:312" o:preferrelative="t">
              <v:stroke miterlimit="2"/>
              <v:textbox inset="1.42pt,.85pt,1.42pt,.85pt">
                <w:txbxContent>
                  <w:p w:rsidR="00EE1CF7" w:rsidRDefault="00EE1CF7">
                    <w:r>
                      <w:rPr>
                        <w:rFonts w:hint="eastAsia"/>
                      </w:rPr>
                      <w:t>水罐</w:t>
                    </w:r>
                  </w:p>
                </w:txbxContent>
              </v:textbox>
            </v:shape>
            <v:line id="Line 2114" o:spid="_x0000_s2035" style="position:absolute" from="5037,9749" to="5397,9749" o:preferrelative="t">
              <v:stroke endarrow="block" miterlimit="2"/>
            </v:line>
            <v:line id="Line 2115" o:spid="_x0000_s2036" style="position:absolute;flip:y" from="5682,9125" to="5682,9593" o:preferrelative="t">
              <v:stroke miterlimit="2"/>
            </v:line>
            <v:line id="Line 2116" o:spid="_x0000_s2037" style="position:absolute" from="5682,9125" to="6402,9125" o:preferrelative="t">
              <v:stroke endarrow="block" miterlimit="2"/>
            </v:line>
            <v:shape id="Quad Arrow 2117" o:spid="_x0000_s2038" type="#_x0000_t202" style="position:absolute;left:6477;top:8969;width:1440;height:312" o:preferrelative="t" filled="f" stroked="f">
              <v:textbox inset="1.42pt,.85pt,1.42pt,.85pt">
                <w:txbxContent>
                  <w:p w:rsidR="00EE1CF7" w:rsidRDefault="00EE1CF7">
                    <w:r>
                      <w:rPr>
                        <w:rFonts w:hint="eastAsia"/>
                      </w:rPr>
                      <w:t>污油至污油罐</w:t>
                    </w:r>
                  </w:p>
                </w:txbxContent>
              </v:textbox>
            </v:shape>
            <v:line id="Line 2118" o:spid="_x0000_s2039" style="position:absolute" from="5937,9749" to="6297,9749" o:preferrelative="t">
              <v:stroke endarrow="block" miterlimit="2"/>
            </v:line>
            <v:shape id="Quad Arrow 2119" o:spid="_x0000_s2040" type="#_x0000_t202" style="position:absolute;left:6297;top:9593;width:900;height:312" o:preferrelative="t">
              <v:stroke miterlimit="2"/>
              <v:textbox inset="1.42pt,.85pt,1.42pt,.85pt">
                <w:txbxContent>
                  <w:p w:rsidR="00EE1CF7" w:rsidRDefault="00EE1CF7">
                    <w:r>
                      <w:rPr>
                        <w:rFonts w:hint="eastAsia"/>
                      </w:rPr>
                      <w:t>汽提塔</w:t>
                    </w:r>
                  </w:p>
                </w:txbxContent>
              </v:textbox>
            </v:shape>
            <v:shape id="Quad Arrow 2120" o:spid="_x0000_s2041" type="#_x0000_t202" style="position:absolute;left:7737;top:9281;width:900;height:312" o:preferrelative="t">
              <v:stroke miterlimit="2"/>
              <v:textbox inset="1.42pt,.85pt,1.42pt,.85pt">
                <w:txbxContent>
                  <w:p w:rsidR="00EE1CF7" w:rsidRDefault="00EE1CF7">
                    <w:r>
                      <w:rPr>
                        <w:rFonts w:hint="eastAsia"/>
                      </w:rPr>
                      <w:t>回流罐</w:t>
                    </w:r>
                  </w:p>
                </w:txbxContent>
              </v:textbox>
            </v:shape>
            <v:line id="Line 2121" o:spid="_x0000_s2042" style="position:absolute;flip:y" from="6837,9437" to="6837,9593" o:preferrelative="t">
              <v:stroke miterlimit="2"/>
            </v:line>
            <v:line id="Line 2122" o:spid="_x0000_s2043" style="position:absolute" from="6837,9437" to="7737,9437" o:preferrelative="t">
              <v:stroke endarrow="block" miterlimit="2"/>
            </v:line>
            <v:line id="Line 2123" o:spid="_x0000_s2044" style="position:absolute" from="8097,9593" to="8097,9749" o:preferrelative="t">
              <v:stroke miterlimit="2"/>
            </v:line>
            <v:line id="Line 2124" o:spid="_x0000_s2045" style="position:absolute;flip:x" from="7197,9749" to="8097,9749" o:preferrelative="t">
              <v:stroke endarrow="block" miterlimit="2"/>
            </v:line>
            <v:line id="Line 2125" o:spid="_x0000_s2046" style="position:absolute" from="6732,9905" to="6732,10061" o:preferrelative="t">
              <v:stroke miterlimit="2"/>
            </v:line>
            <v:line id="Line 2126" o:spid="_x0000_s2047" style="position:absolute;flip:x" from="6012,10061" to="6732,10061" o:preferrelative="t">
              <v:stroke endarrow="block" miterlimit="2"/>
            </v:line>
            <v:shape id="Quad Arrow 2127" o:spid="_x0000_s3072" type="#_x0000_t202" style="position:absolute;left:3417;top:9905;width:2700;height:312" o:preferrelative="t" filled="f" stroked="f">
              <v:textbox inset="1.42pt,.85pt,1.42pt,.85pt">
                <w:txbxContent>
                  <w:p w:rsidR="00EE1CF7" w:rsidRDefault="00EE1CF7">
                    <w:r>
                      <w:rPr>
                        <w:rFonts w:hint="eastAsia"/>
                      </w:rPr>
                      <w:t>W1</w:t>
                    </w:r>
                    <w:r>
                      <w:rPr>
                        <w:rFonts w:hint="eastAsia"/>
                      </w:rPr>
                      <w:t>净化水去工艺注水</w:t>
                    </w:r>
                  </w:p>
                </w:txbxContent>
              </v:textbox>
            </v:shape>
            <v:line id="Line 2128" o:spid="_x0000_s3073" style="position:absolute" from="8277,9593" to="8277,10373" o:preferrelative="t">
              <v:stroke endarrow="block" miterlimit="2"/>
            </v:line>
            <v:shape id="Quad Arrow 2129" o:spid="_x0000_s3074" type="#_x0000_t202" style="position:absolute;left:7917;top:10373;width:900;height:312" o:preferrelative="t">
              <v:stroke miterlimit="2"/>
              <v:textbox inset="1.42pt,.85pt,1.42pt,.85pt">
                <w:txbxContent>
                  <w:p w:rsidR="00EE1CF7" w:rsidRDefault="00EE1CF7">
                    <w:r>
                      <w:rPr>
                        <w:rFonts w:hint="eastAsia"/>
                      </w:rPr>
                      <w:t>分液罐</w:t>
                    </w:r>
                  </w:p>
                </w:txbxContent>
              </v:textbox>
            </v:shape>
            <v:line id="Line 2130" o:spid="_x0000_s3075" style="position:absolute" from="8817,10529" to="9357,10529" o:preferrelative="t">
              <v:stroke dashstyle="dash" miterlimit="2"/>
            </v:line>
            <v:line id="Line 2131" o:spid="_x0000_s3076" style="position:absolute;flip:y" from="9357,8813" to="9357,10529" o:preferrelative="t">
              <v:stroke dashstyle="dash" miterlimit="2"/>
            </v:line>
            <v:line id="Line 2132" o:spid="_x0000_s3077" style="position:absolute;flip:x" from="2697,8813" to="9357,8813" o:preferrelative="t">
              <v:stroke dashstyle="dash" miterlimit="2"/>
            </v:line>
            <v:line id="Line 2133" o:spid="_x0000_s3078" style="position:absolute" from="2697,8813" to="2697,9593" o:preferrelative="t">
              <v:stroke dashstyle="dash" endarrow="block" miterlimit="2"/>
            </v:line>
            <v:shape id="Quad Arrow 2134" o:spid="_x0000_s3079" type="#_x0000_t202" style="position:absolute;left:3312;top:10439;width:720;height:312" o:preferrelative="t" filled="f" stroked="f">
              <v:textbox inset="1.42pt,.85pt,1.42pt,.85pt">
                <w:txbxContent>
                  <w:p w:rsidR="00EE1CF7" w:rsidRDefault="00EE1CF7">
                    <w:r>
                      <w:rPr>
                        <w:rFonts w:hint="eastAsia"/>
                      </w:rPr>
                      <w:t>富溶剂</w:t>
                    </w:r>
                  </w:p>
                </w:txbxContent>
              </v:textbox>
            </v:shape>
            <v:shape id="Quad Arrow 2135" o:spid="_x0000_s3080" type="#_x0000_t202" style="position:absolute;left:4317;top:10433;width:900;height:312" o:preferrelative="t">
              <v:stroke miterlimit="2"/>
              <v:textbox inset="1.42pt,.85pt,1.42pt,.85pt">
                <w:txbxContent>
                  <w:p w:rsidR="00EE1CF7" w:rsidRDefault="00EE1CF7">
                    <w:r>
                      <w:rPr>
                        <w:rFonts w:hint="eastAsia"/>
                      </w:rPr>
                      <w:t>闪蒸罐</w:t>
                    </w:r>
                  </w:p>
                </w:txbxContent>
              </v:textbox>
            </v:shape>
            <v:line id="Line 2136" o:spid="_x0000_s3081" style="position:absolute" from="3957,10595" to="4317,10595" o:preferrelative="t">
              <v:stroke endarrow="block" miterlimit="2"/>
            </v:line>
            <v:shape id="Quad Arrow 2137" o:spid="_x0000_s3082" type="#_x0000_t202" style="position:absolute;left:5577;top:10454;width:900;height:312" o:preferrelative="t">
              <v:stroke miterlimit="2"/>
              <v:textbox inset="1.42pt,.85pt,1.42pt,.85pt">
                <w:txbxContent>
                  <w:p w:rsidR="00EE1CF7" w:rsidRDefault="00EE1CF7">
                    <w:r>
                      <w:rPr>
                        <w:rFonts w:hint="eastAsia"/>
                      </w:rPr>
                      <w:t>再生塔</w:t>
                    </w:r>
                  </w:p>
                </w:txbxContent>
              </v:textbox>
            </v:shape>
            <v:line id="Line 2138" o:spid="_x0000_s3083" style="position:absolute" from="5217,10604" to="5577,10604" o:preferrelative="t">
              <v:stroke endarrow="block" miterlimit="2"/>
            </v:line>
            <v:shape id="Quad Arrow 2139" o:spid="_x0000_s3084" type="#_x0000_t202" style="position:absolute;left:6837;top:10448;width:900;height:312" o:preferrelative="t">
              <v:stroke miterlimit="2"/>
              <v:textbox inset="1.42pt,.85pt,1.42pt,.85pt">
                <w:txbxContent>
                  <w:p w:rsidR="00EE1CF7" w:rsidRDefault="00EE1CF7">
                    <w:r>
                      <w:rPr>
                        <w:rFonts w:hint="eastAsia"/>
                      </w:rPr>
                      <w:t>回流罐</w:t>
                    </w:r>
                  </w:p>
                </w:txbxContent>
              </v:textbox>
            </v:shape>
            <v:line id="Line 2140" o:spid="_x0000_s3085" style="position:absolute" from="6477,10604" to="6837,10604" o:preferrelative="t">
              <v:stroke endarrow="block" miterlimit="2"/>
            </v:line>
            <v:line id="Line 2141" o:spid="_x0000_s3086" style="position:absolute" from="7197,10760" to="7197,11072" o:preferrelative="t">
              <v:stroke miterlimit="2"/>
            </v:line>
            <v:line id="Line 2142" o:spid="_x0000_s3087" style="position:absolute;flip:x" from="6117,11063" to="7197,11063" o:preferrelative="t">
              <v:stroke miterlimit="2"/>
            </v:line>
            <v:line id="Line 2143" o:spid="_x0000_s3088" style="position:absolute;flip:y" from="6117,10760" to="6117,11072" o:preferrelative="t">
              <v:stroke endarrow="block" miterlimit="2"/>
            </v:line>
            <v:line id="Line 2144" o:spid="_x0000_s3089" style="position:absolute;flip:y" from="6297,10262" to="6297,10418" o:preferrelative="t">
              <v:stroke miterlimit="2"/>
            </v:line>
            <v:line id="Line 2145" o:spid="_x0000_s3090" style="position:absolute" from="6297,10247" to="6837,10247" o:preferrelative="t">
              <v:stroke endarrow="block" miterlimit="2"/>
            </v:line>
            <v:shape id="Quad Arrow 2146" o:spid="_x0000_s3091" type="#_x0000_t202" style="position:absolute;left:6477;top:10001;width:1800;height:312" o:preferrelative="t" filled="f" stroked="f">
              <v:textbox inset="1.42pt,.85pt,1.42pt,.85pt">
                <w:txbxContent>
                  <w:p w:rsidR="00EE1CF7" w:rsidRDefault="00EE1CF7">
                    <w:r>
                      <w:rPr>
                        <w:rFonts w:hint="eastAsia"/>
                      </w:rPr>
                      <w:t>贫溶剂装置利用</w:t>
                    </w:r>
                  </w:p>
                </w:txbxContent>
              </v:textbox>
            </v:shape>
            <v:line id="Line 2147" o:spid="_x0000_s3092" style="position:absolute" from="7377,10820" to="7377,11288" o:preferrelative="t">
              <v:stroke miterlimit="2"/>
            </v:line>
            <v:line id="Line 2148" o:spid="_x0000_s3093" style="position:absolute" from="7377,11309" to="8097,11309" o:preferrelative="t">
              <v:stroke miterlimit="2"/>
            </v:line>
            <v:line id="Line 2149" o:spid="_x0000_s3094" style="position:absolute;flip:y" from="8097,10685" to="8097,11309" o:preferrelative="t">
              <v:stroke endarrow="block" miterlimit="2"/>
            </v:line>
            <v:line id="Line 2150" o:spid="_x0000_s3095" style="position:absolute" from="4677,10745" to="4677,11465" o:preferrelative="t">
              <v:stroke miterlimit="2"/>
            </v:line>
            <v:line id="Line 2151" o:spid="_x0000_s3096" style="position:absolute" from="4677,11465" to="7737,11465" o:preferrelative="t">
              <v:stroke miterlimit="2"/>
            </v:line>
            <v:line id="Line 2152" o:spid="_x0000_s3097" style="position:absolute;flip:y" from="7737,11309" to="7737,11465" o:preferrelative="t">
              <v:stroke endarrow="block" miterlimit="2"/>
            </v:line>
            <v:shape id="Quad Arrow 2153" o:spid="_x0000_s3098" type="#_x0000_t202" style="position:absolute;left:7917;top:11621;width:900;height:312" o:preferrelative="t">
              <v:stroke miterlimit="2"/>
              <v:textbox inset="1.42pt,.85pt,1.42pt,.85pt">
                <w:txbxContent>
                  <w:p w:rsidR="00EE1CF7" w:rsidRDefault="00EE1CF7">
                    <w:r>
                      <w:rPr>
                        <w:rFonts w:hint="eastAsia"/>
                      </w:rPr>
                      <w:t>燃烧炉</w:t>
                    </w:r>
                  </w:p>
                </w:txbxContent>
              </v:textbox>
            </v:shape>
            <v:line id="Line 2154" o:spid="_x0000_s3099" style="position:absolute" from="8277,10685" to="8277,11621" o:preferrelative="t">
              <v:stroke endarrow="block" miterlimit="2"/>
            </v:line>
            <v:line id="Line 2155" o:spid="_x0000_s3100" style="position:absolute;flip:x" from="7557,11777" to="7917,11777" o:preferrelative="t">
              <v:stroke endarrow="block" miterlimit="2"/>
            </v:line>
            <v:shape id="Quad Arrow 2156" o:spid="_x0000_s3101" type="#_x0000_t202" style="position:absolute;left:6477;top:11621;width:1080;height:312" o:preferrelative="t">
              <v:stroke miterlimit="2"/>
              <v:textbox inset="1.42pt,.85pt,1.42pt,.85pt">
                <w:txbxContent>
                  <w:p w:rsidR="00EE1CF7" w:rsidRDefault="00EE1CF7">
                    <w:r>
                      <w:rPr>
                        <w:rFonts w:hint="eastAsia"/>
                      </w:rPr>
                      <w:t>余热锅炉</w:t>
                    </w:r>
                  </w:p>
                </w:txbxContent>
              </v:textbox>
            </v:shape>
            <v:line id="Line 2157" o:spid="_x0000_s3102" style="position:absolute" from="7017,11933" to="7017,12245" o:preferrelative="t">
              <v:stroke dashstyle="dash" endarrow="block" miterlimit="2"/>
            </v:line>
            <v:shape id="Quad Arrow 2158" o:spid="_x0000_s3103" type="#_x0000_t202" style="position:absolute;left:6477;top:12089;width:1260;height:312" o:preferrelative="t" filled="f" stroked="f">
              <v:textbox inset="1.42pt,.85pt,1.42pt,.85pt">
                <w:txbxContent>
                  <w:p w:rsidR="00EE1CF7" w:rsidRDefault="00EE1CF7">
                    <w:r>
                      <w:rPr>
                        <w:rFonts w:hint="eastAsia"/>
                      </w:rPr>
                      <w:t>W2</w:t>
                    </w:r>
                    <w:r>
                      <w:rPr>
                        <w:rFonts w:hint="eastAsia"/>
                      </w:rPr>
                      <w:t>锅炉排水</w:t>
                    </w:r>
                  </w:p>
                </w:txbxContent>
              </v:textbox>
            </v:shape>
            <v:line id="Line 2159" o:spid="_x0000_s3104" style="position:absolute;flip:x" from="6102,11777" to="6462,11777" o:preferrelative="t">
              <v:stroke endarrow="block" miterlimit="2"/>
            </v:line>
            <v:shape id="Quad Arrow 2160" o:spid="_x0000_s3105" type="#_x0000_t202" style="position:absolute;left:5217;top:11621;width:900;height:312" o:preferrelative="t">
              <v:stroke miterlimit="2"/>
              <v:textbox inset="1.42pt,.85pt,1.42pt,.85pt">
                <w:txbxContent>
                  <w:p w:rsidR="00EE1CF7" w:rsidRDefault="00EE1CF7">
                    <w:r>
                      <w:rPr>
                        <w:rFonts w:hint="eastAsia"/>
                      </w:rPr>
                      <w:t>冷凝器</w:t>
                    </w:r>
                  </w:p>
                </w:txbxContent>
              </v:textbox>
            </v:shape>
            <v:line id="Line 2161" o:spid="_x0000_s3106" style="position:absolute;flip:x" from="4857,11777" to="5217,11777" o:preferrelative="t">
              <v:stroke endarrow="block" miterlimit="2"/>
            </v:line>
            <v:shape id="Quad Arrow 2162" o:spid="_x0000_s3107" type="#_x0000_t202" style="position:absolute;left:3957;top:11621;width:900;height:312" o:preferrelative="t">
              <v:stroke miterlimit="2"/>
              <v:textbox inset="1.42pt,.85pt,1.42pt,.85pt">
                <w:txbxContent>
                  <w:p w:rsidR="00EE1CF7" w:rsidRDefault="00EE1CF7">
                    <w:r>
                      <w:rPr>
                        <w:rFonts w:hint="eastAsia"/>
                      </w:rPr>
                      <w:t>反应器</w:t>
                    </w:r>
                  </w:p>
                </w:txbxContent>
              </v:textbox>
            </v:shape>
            <v:shape id="Quad Arrow 2163" o:spid="_x0000_s3108" type="#_x0000_t202" style="position:absolute;left:2697;top:11621;width:900;height:312" o:preferrelative="t">
              <v:stroke miterlimit="2"/>
              <v:textbox inset="1.42pt,.85pt,1.42pt,.85pt">
                <w:txbxContent>
                  <w:p w:rsidR="00EE1CF7" w:rsidRDefault="00EE1CF7">
                    <w:r>
                      <w:rPr>
                        <w:rFonts w:hint="eastAsia"/>
                      </w:rPr>
                      <w:t>冷凝器</w:t>
                    </w:r>
                  </w:p>
                </w:txbxContent>
              </v:textbox>
            </v:shape>
            <v:line id="Line 2164" o:spid="_x0000_s3109" style="position:absolute;flip:x" from="3597,11777" to="3957,11777" o:preferrelative="t">
              <v:stroke endarrow="block" miterlimit="2"/>
            </v:line>
            <v:line id="Line 2165" o:spid="_x0000_s3110" style="position:absolute" from="4404,11933" to="4404,12245" o:preferrelative="t">
              <v:stroke dashstyle="dash" endarrow="block" miterlimit="2"/>
            </v:line>
            <v:shape id="Quad Arrow 2166" o:spid="_x0000_s3111" type="#_x0000_t202" style="position:absolute;left:3777;top:12245;width:1260;height:312" o:preferrelative="t" filled="f" stroked="f">
              <v:textbox inset="1.42pt,.85pt,1.42pt,.85pt">
                <w:txbxContent>
                  <w:p w:rsidR="00EE1CF7" w:rsidRDefault="00EE1CF7">
                    <w:r>
                      <w:rPr>
                        <w:rFonts w:hint="eastAsia"/>
                      </w:rPr>
                      <w:t>S1</w:t>
                    </w:r>
                    <w:r>
                      <w:rPr>
                        <w:rFonts w:hint="eastAsia"/>
                      </w:rPr>
                      <w:t>废催化剂</w:t>
                    </w:r>
                  </w:p>
                </w:txbxContent>
              </v:textbox>
            </v:shape>
            <v:line id="Line 2167" o:spid="_x0000_s3112" style="position:absolute" from="3057,11933" to="3057,12869" o:preferrelative="t">
              <v:stroke endarrow="block" miterlimit="2"/>
            </v:line>
            <v:shape id="Quad Arrow 2168" o:spid="_x0000_s3113" type="#_x0000_t202" style="position:absolute;left:2607;top:12869;width:1170;height:312" o:preferrelative="t">
              <v:stroke miterlimit="2"/>
              <v:textbox inset="1.42pt,.85pt,1.42pt,.85pt">
                <w:txbxContent>
                  <w:p w:rsidR="00EE1CF7" w:rsidRDefault="00EE1CF7">
                    <w:r>
                      <w:rPr>
                        <w:rFonts w:hint="eastAsia"/>
                      </w:rPr>
                      <w:t>加氢反应器</w:t>
                    </w:r>
                  </w:p>
                </w:txbxContent>
              </v:textbox>
            </v:shape>
            <v:line id="Line 2169" o:spid="_x0000_s3114" style="position:absolute" from="3054,13181" to="3054,13493" o:preferrelative="t">
              <v:stroke dashstyle="dash" endarrow="block" miterlimit="2"/>
            </v:line>
            <v:shape id="Quad Arrow 2170" o:spid="_x0000_s3115" type="#_x0000_t202" style="position:absolute;left:2697;top:13337;width:1260;height:312" o:preferrelative="t" filled="f" stroked="f">
              <v:textbox inset="1.42pt,.85pt,1.42pt,.85pt">
                <w:txbxContent>
                  <w:p w:rsidR="00EE1CF7" w:rsidRDefault="00EE1CF7">
                    <w:r>
                      <w:rPr>
                        <w:rFonts w:hint="eastAsia"/>
                      </w:rPr>
                      <w:t>S2</w:t>
                    </w:r>
                    <w:r>
                      <w:rPr>
                        <w:rFonts w:hint="eastAsia"/>
                      </w:rPr>
                      <w:t>废催化剂</w:t>
                    </w:r>
                  </w:p>
                </w:txbxContent>
              </v:textbox>
            </v:shape>
            <v:shape id="Quad Arrow 2171" o:spid="_x0000_s3116" type="#_x0000_t202" style="position:absolute;left:4317;top:12869;width:720;height:312" o:preferrelative="t">
              <v:stroke miterlimit="2"/>
              <v:textbox inset="1.42pt,.85pt,1.42pt,.85pt">
                <w:txbxContent>
                  <w:p w:rsidR="00EE1CF7" w:rsidRDefault="00EE1CF7">
                    <w:r>
                      <w:rPr>
                        <w:rFonts w:hint="eastAsia"/>
                      </w:rPr>
                      <w:t>急冷塔</w:t>
                    </w:r>
                  </w:p>
                </w:txbxContent>
              </v:textbox>
            </v:shape>
            <v:line id="Line 2172" o:spid="_x0000_s3117" style="position:absolute" from="3777,13025" to="4317,13025" o:preferrelative="t">
              <v:stroke endarrow="block" miterlimit="2"/>
            </v:line>
            <v:line id="Line 2173" o:spid="_x0000_s3118" style="position:absolute" from="5037,13025" to="9177,13025" o:preferrelative="t">
              <v:stroke dashstyle="dash" miterlimit="2"/>
            </v:line>
            <v:line id="Line 2174" o:spid="_x0000_s3119" style="position:absolute;flip:y" from="9177,10529" to="9177,13025" o:preferrelative="t">
              <v:stroke dashstyle="dash" endarrow="block" miterlimit="2"/>
            </v:line>
            <v:shape id="Quad Arrow 2175" o:spid="_x0000_s3120" type="#_x0000_t202" style="position:absolute;left:4317;top:13559;width:720;height:312" o:preferrelative="t">
              <v:stroke miterlimit="2"/>
              <v:textbox inset="1.42pt,.85pt,1.42pt,.85pt">
                <w:txbxContent>
                  <w:p w:rsidR="00EE1CF7" w:rsidRDefault="00EE1CF7">
                    <w:r>
                      <w:rPr>
                        <w:rFonts w:hint="eastAsia"/>
                      </w:rPr>
                      <w:t>吸收塔</w:t>
                    </w:r>
                  </w:p>
                </w:txbxContent>
              </v:textbox>
            </v:shape>
            <v:line id="Line 2176" o:spid="_x0000_s3121" style="position:absolute" from="4677,13181" to="4677,13493" o:preferrelative="t">
              <v:stroke endarrow="block" miterlimit="2"/>
            </v:line>
            <v:line id="Line 2177" o:spid="_x0000_s3122" style="position:absolute;flip:x" from="2157,13745" to="4317,13745" o:preferrelative="t">
              <v:stroke miterlimit="2"/>
            </v:line>
            <v:line id="Line 2178" o:spid="_x0000_s3123" style="position:absolute;flip:y" from="2157,11213" to="2157,13709" o:preferrelative="t">
              <v:stroke miterlimit="2"/>
            </v:line>
            <v:line id="Line 2179" o:spid="_x0000_s3124" style="position:absolute" from="2157,11219" to="3597,11219" o:preferrelative="t">
              <v:stroke miterlimit="2"/>
            </v:line>
            <v:line id="Line 2180" o:spid="_x0000_s3125" style="position:absolute;flip:y" from="3597,10730" to="3597,11198" o:preferrelative="t">
              <v:stroke endarrow="block" miterlimit="2"/>
            </v:line>
            <v:shape id="Quad Arrow 2181" o:spid="_x0000_s3126" type="#_x0000_t202" style="position:absolute;left:5397;top:12401;width:900;height:312" o:preferrelative="t">
              <v:stroke miterlimit="2"/>
              <v:textbox inset="1.42pt,.85pt,1.42pt,.85pt">
                <w:txbxContent>
                  <w:p w:rsidR="00EE1CF7" w:rsidRDefault="00EE1CF7">
                    <w:r>
                      <w:rPr>
                        <w:rFonts w:hint="eastAsia"/>
                      </w:rPr>
                      <w:t>液硫池</w:t>
                    </w:r>
                  </w:p>
                </w:txbxContent>
              </v:textbox>
            </v:shape>
            <v:line id="Line 2182" o:spid="_x0000_s3127" style="position:absolute" from="3417,11933" to="3417,12557" o:preferrelative="t">
              <v:stroke miterlimit="2"/>
            </v:line>
            <v:line id="Line 2183" o:spid="_x0000_s3128" style="position:absolute" from="3417,12557" to="5397,12557" o:preferrelative="t">
              <v:stroke endarrow="block" miterlimit="2"/>
            </v:line>
            <v:line id="Line 2184" o:spid="_x0000_s3129" style="position:absolute" from="5757,11933" to="5757,12401" o:preferrelative="t">
              <v:stroke endarrow="block" miterlimit="2"/>
            </v:line>
            <v:line id="Line 2185" o:spid="_x0000_s3130" style="position:absolute" from="6297,12557" to="7377,12557" o:preferrelative="t">
              <v:stroke endarrow="block" miterlimit="2"/>
            </v:line>
            <v:shape id="Quad Arrow 2186" o:spid="_x0000_s3131" type="#_x0000_t202" style="position:absolute;left:7377;top:12401;width:720;height:312" o:preferrelative="t" filled="f" stroked="f">
              <v:textbox inset="1.42pt,.85pt,1.42pt,.85pt">
                <w:txbxContent>
                  <w:p w:rsidR="00EE1CF7" w:rsidRDefault="00EE1CF7">
                    <w:r>
                      <w:rPr>
                        <w:rFonts w:hint="eastAsia"/>
                      </w:rPr>
                      <w:t>硫磺</w:t>
                    </w:r>
                  </w:p>
                </w:txbxContent>
              </v:textbox>
            </v:shape>
            <v:shape id="Quad Arrow 2187" o:spid="_x0000_s3132" type="#_x0000_t202" style="position:absolute;left:5577;top:13649;width:720;height:312" o:preferrelative="t">
              <v:stroke miterlimit="2"/>
              <v:textbox inset="1.42pt,.85pt,1.42pt,.85pt">
                <w:txbxContent>
                  <w:p w:rsidR="00EE1CF7" w:rsidRDefault="00EE1CF7">
                    <w:r>
                      <w:rPr>
                        <w:rFonts w:hint="eastAsia"/>
                      </w:rPr>
                      <w:t>焚烧炉</w:t>
                    </w:r>
                  </w:p>
                </w:txbxContent>
              </v:textbox>
            </v:shape>
            <v:line id="Line 2188" o:spid="_x0000_s3133" style="position:absolute" from="5037,13730" to="5577,13730" o:preferrelative="t">
              <v:stroke endarrow="block" miterlimit="2"/>
            </v:line>
            <v:line id="Line 2189" o:spid="_x0000_s3134" style="position:absolute" from="5937,12713" to="5937,13649" o:preferrelative="t">
              <v:stroke endarrow="block" miterlimit="2"/>
            </v:line>
            <v:shape id="Quad Arrow 2190" o:spid="_x0000_s3135" type="#_x0000_t202" style="position:absolute;left:5397;top:13181;width:1440;height:312" o:preferrelative="t" filled="f" stroked="f">
              <v:textbox inset="1.42pt,.85pt,1.42pt,.85pt">
                <w:txbxContent>
                  <w:p w:rsidR="00EE1CF7" w:rsidRDefault="00EE1CF7">
                    <w:r>
                      <w:rPr>
                        <w:rFonts w:hint="eastAsia"/>
                      </w:rPr>
                      <w:t>循环脱气尾气</w:t>
                    </w:r>
                  </w:p>
                </w:txbxContent>
              </v:textbox>
            </v:shape>
            <v:shape id="Quad Arrow 2191" o:spid="_x0000_s3136" type="#_x0000_t202" style="position:absolute;left:6837;top:13649;width:1080;height:312" o:preferrelative="t">
              <v:stroke miterlimit="2"/>
              <v:textbox inset="1.42pt,.85pt,1.42pt,.85pt">
                <w:txbxContent>
                  <w:p w:rsidR="00EE1CF7" w:rsidRDefault="00EE1CF7">
                    <w:r>
                      <w:rPr>
                        <w:rFonts w:hint="eastAsia"/>
                      </w:rPr>
                      <w:t>余热锅炉</w:t>
                    </w:r>
                  </w:p>
                </w:txbxContent>
              </v:textbox>
            </v:shape>
            <v:line id="Line 2192" o:spid="_x0000_s3137" style="position:absolute" from="6297,13805" to="6837,13805" o:preferrelative="t">
              <v:stroke endarrow="block" miterlimit="2"/>
            </v:line>
            <v:line id="Line 2193" o:spid="_x0000_s3138" style="position:absolute" from="7377,13337" to="7377,13649" o:preferrelative="t">
              <v:stroke dashstyle="dash" startarrow="block" miterlimit="2"/>
            </v:line>
            <v:shape id="Quad Arrow 2194" o:spid="_x0000_s3139" type="#_x0000_t202" style="position:absolute;left:7017;top:13025;width:1260;height:312" o:preferrelative="t" filled="f" stroked="f">
              <v:textbox inset="1.42pt,.85pt,1.42pt,.85pt">
                <w:txbxContent>
                  <w:p w:rsidR="00EE1CF7" w:rsidRDefault="00EE1CF7">
                    <w:r>
                      <w:rPr>
                        <w:rFonts w:hint="eastAsia"/>
                      </w:rPr>
                      <w:t>W2</w:t>
                    </w:r>
                    <w:r>
                      <w:rPr>
                        <w:rFonts w:hint="eastAsia"/>
                      </w:rPr>
                      <w:t>锅炉排水</w:t>
                    </w:r>
                  </w:p>
                </w:txbxContent>
              </v:textbox>
            </v:shape>
            <v:line id="Line 2195" o:spid="_x0000_s3140" style="position:absolute" from="7917,13805" to="8457,13805" o:preferrelative="t">
              <v:stroke dashstyle="dash" endarrow="block" miterlimit="2"/>
            </v:line>
            <v:shape id="Quad Arrow 2196" o:spid="_x0000_s3141" type="#_x0000_t202" style="position:absolute;left:8538;top:13649;width:1260;height:312" o:preferrelative="t" filled="f" stroked="f">
              <v:textbox inset="1.42pt,.85pt,1.42pt,.85pt">
                <w:txbxContent>
                  <w:p w:rsidR="00EE1CF7" w:rsidRDefault="00EE1CF7">
                    <w:r>
                      <w:rPr>
                        <w:rFonts w:hint="eastAsia"/>
                      </w:rPr>
                      <w:t>G1</w:t>
                    </w:r>
                    <w:r>
                      <w:rPr>
                        <w:rFonts w:hint="eastAsia"/>
                      </w:rPr>
                      <w:t>烟气排放</w:t>
                    </w:r>
                  </w:p>
                </w:txbxContent>
              </v:textbox>
            </v:shape>
            <v:shape id="Straight Connector 2197" o:spid="_x0000_s3142" type="#_x0000_t32" style="position:absolute;left:7377;top:13961;width:0;height:331" o:connectortype="straight" o:preferrelative="t">
              <v:stroke endarrow="block" miterlimit="2"/>
            </v:shape>
          </v:group>
        </w:pict>
      </w: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jc w:val="center"/>
        <w:rPr>
          <w:rFonts w:ascii="Times New Roman" w:hAnsi="Times New Roman"/>
          <w:b/>
          <w:sz w:val="24"/>
        </w:rPr>
      </w:pPr>
    </w:p>
    <w:p w:rsidR="00525419" w:rsidRDefault="00525419">
      <w:pPr>
        <w:jc w:val="center"/>
        <w:rPr>
          <w:rFonts w:ascii="Times New Roman" w:hAnsi="Times New Roman"/>
          <w:b/>
          <w:sz w:val="24"/>
        </w:rPr>
      </w:pPr>
    </w:p>
    <w:p w:rsidR="00525419" w:rsidRDefault="00525419">
      <w:pPr>
        <w:jc w:val="center"/>
        <w:rPr>
          <w:rFonts w:ascii="Times New Roman" w:hAnsi="Times New Roman"/>
          <w:b/>
          <w:sz w:val="24"/>
        </w:rPr>
      </w:pPr>
    </w:p>
    <w:p w:rsidR="00525419" w:rsidRDefault="00525419">
      <w:pPr>
        <w:jc w:val="center"/>
        <w:rPr>
          <w:rFonts w:ascii="Times New Roman" w:hAnsi="Times New Roman"/>
          <w:b/>
          <w:sz w:val="24"/>
        </w:rPr>
      </w:pPr>
    </w:p>
    <w:p w:rsidR="00525419" w:rsidRDefault="007D0E8A">
      <w:pPr>
        <w:jc w:val="center"/>
        <w:rPr>
          <w:rFonts w:ascii="Times New Roman" w:hAnsi="Times New Roman"/>
          <w:b/>
          <w:sz w:val="24"/>
        </w:rPr>
      </w:pPr>
      <w:r>
        <w:rPr>
          <w:rFonts w:ascii="Times New Roman" w:hAnsi="Times New Roman"/>
        </w:rPr>
        <w:pict>
          <v:shape id="Quad Arrow 2742" o:spid="_x0000_s3143" type="#_x0000_t202" style="position:absolute;left:0;text-align:left;margin-left:270pt;margin-top:9pt;width:27pt;height:15.6pt;z-index:251650560;mso-width-relative:page;mso-height-relative:page" o:preferrelative="t" filled="f" stroked="f">
            <v:textbox inset="1.42pt,.85pt,1.42pt,.85pt">
              <w:txbxContent>
                <w:p w:rsidR="00EE1CF7" w:rsidRDefault="00EE1CF7">
                  <w:r>
                    <w:rPr>
                      <w:rFonts w:hint="eastAsia"/>
                    </w:rPr>
                    <w:t>大气</w:t>
                  </w:r>
                </w:p>
              </w:txbxContent>
            </v:textbox>
          </v:shape>
        </w:pict>
      </w:r>
    </w:p>
    <w:p w:rsidR="00525419" w:rsidRDefault="00525419">
      <w:pPr>
        <w:jc w:val="center"/>
        <w:rPr>
          <w:rFonts w:ascii="Times New Roman" w:hAnsi="Times New Roman"/>
          <w:b/>
          <w:sz w:val="24"/>
        </w:rPr>
      </w:pPr>
    </w:p>
    <w:p w:rsidR="00525419" w:rsidRDefault="00EE1CF7">
      <w:pPr>
        <w:jc w:val="center"/>
        <w:rPr>
          <w:rFonts w:ascii="Times New Roman" w:hAnsi="Times New Roman"/>
          <w:b/>
          <w:sz w:val="24"/>
        </w:rPr>
      </w:pPr>
      <w:r>
        <w:rPr>
          <w:rFonts w:ascii="Times New Roman" w:hAnsi="Times New Roman"/>
          <w:b/>
          <w:sz w:val="24"/>
        </w:rPr>
        <w:t>图</w:t>
      </w:r>
      <w:r>
        <w:rPr>
          <w:rFonts w:ascii="Times New Roman" w:hAnsi="Times New Roman"/>
          <w:b/>
          <w:sz w:val="24"/>
        </w:rPr>
        <w:t xml:space="preserve">3.5-7   </w:t>
      </w:r>
      <w:r>
        <w:rPr>
          <w:rFonts w:ascii="Times New Roman" w:hAnsi="Times New Roman"/>
          <w:b/>
          <w:sz w:val="24"/>
        </w:rPr>
        <w:t>硫磺回收装置生产工艺流程及主要产污环节图</w:t>
      </w:r>
    </w:p>
    <w:p w:rsidR="00525419" w:rsidRDefault="00EE1CF7">
      <w:pPr>
        <w:pStyle w:val="3a"/>
        <w:spacing w:beforeLines="50" w:before="159" w:after="156" w:line="360" w:lineRule="auto"/>
        <w:jc w:val="left"/>
        <w:rPr>
          <w:rFonts w:ascii="Times New Roman" w:eastAsia="华文楷体" w:hAnsi="Times New Roman"/>
        </w:rPr>
      </w:pPr>
      <w:r>
        <w:rPr>
          <w:rFonts w:ascii="Times New Roman" w:eastAsia="华文楷体" w:hAnsi="Times New Roman"/>
        </w:rPr>
        <w:t>3.5.3</w:t>
      </w:r>
      <w:r>
        <w:rPr>
          <w:rFonts w:ascii="Times New Roman" w:eastAsia="华文楷体" w:hAnsi="Times New Roman"/>
        </w:rPr>
        <w:t>平衡分析</w:t>
      </w:r>
    </w:p>
    <w:p w:rsidR="00525419" w:rsidRDefault="00EE1CF7">
      <w:pPr>
        <w:pStyle w:val="afffe"/>
        <w:adjustRightInd w:val="0"/>
        <w:spacing w:after="0" w:line="360" w:lineRule="auto"/>
        <w:ind w:firstLineChars="200" w:firstLine="480"/>
        <w:rPr>
          <w:sz w:val="24"/>
        </w:rPr>
      </w:pPr>
      <w:r>
        <w:rPr>
          <w:sz w:val="24"/>
        </w:rPr>
        <w:t>（</w:t>
      </w:r>
      <w:r>
        <w:rPr>
          <w:sz w:val="24"/>
        </w:rPr>
        <w:t>1</w:t>
      </w:r>
      <w:r>
        <w:rPr>
          <w:sz w:val="24"/>
        </w:rPr>
        <w:t>）物料平衡</w:t>
      </w:r>
    </w:p>
    <w:p w:rsidR="00525419" w:rsidRDefault="00EE1CF7">
      <w:pPr>
        <w:pStyle w:val="afffe"/>
        <w:adjustRightInd w:val="0"/>
        <w:spacing w:after="0" w:line="360" w:lineRule="auto"/>
        <w:ind w:firstLineChars="200" w:firstLine="480"/>
        <w:rPr>
          <w:sz w:val="24"/>
        </w:rPr>
      </w:pPr>
      <w:r>
        <w:rPr>
          <w:sz w:val="24"/>
        </w:rPr>
        <w:t>变更后本项目物料平衡见表</w:t>
      </w:r>
      <w:r>
        <w:rPr>
          <w:sz w:val="24"/>
        </w:rPr>
        <w:t>3.5-19</w:t>
      </w:r>
      <w:r>
        <w:rPr>
          <w:sz w:val="24"/>
        </w:rPr>
        <w:t>。</w:t>
      </w:r>
    </w:p>
    <w:p w:rsidR="00525419" w:rsidRDefault="00EE1CF7">
      <w:pPr>
        <w:pStyle w:val="afffe"/>
        <w:adjustRightInd w:val="0"/>
        <w:spacing w:after="0" w:line="240" w:lineRule="atLeast"/>
        <w:ind w:firstLineChars="1050" w:firstLine="2100"/>
        <w:rPr>
          <w:rFonts w:eastAsia="黑体"/>
          <w:szCs w:val="21"/>
        </w:rPr>
      </w:pPr>
      <w:r>
        <w:rPr>
          <w:rFonts w:eastAsia="黑体"/>
          <w:szCs w:val="21"/>
        </w:rPr>
        <w:t>表</w:t>
      </w:r>
      <w:r>
        <w:rPr>
          <w:rFonts w:eastAsia="黑体"/>
          <w:szCs w:val="21"/>
        </w:rPr>
        <w:t xml:space="preserve">3.5-19     </w:t>
      </w:r>
      <w:r>
        <w:rPr>
          <w:rFonts w:eastAsia="黑体"/>
          <w:szCs w:val="21"/>
        </w:rPr>
        <w:t>本项目物料平衡表</w:t>
      </w:r>
      <w:r>
        <w:rPr>
          <w:rFonts w:eastAsia="黑体"/>
          <w:szCs w:val="21"/>
        </w:rPr>
        <w:t xml:space="preserve">   </w:t>
      </w:r>
      <w:r>
        <w:rPr>
          <w:rFonts w:eastAsia="黑体"/>
          <w:szCs w:val="21"/>
        </w:rPr>
        <w:t>单位：万</w:t>
      </w:r>
      <w:r>
        <w:rPr>
          <w:rFonts w:eastAsia="黑体"/>
          <w:szCs w:val="21"/>
        </w:rPr>
        <w:t>t/a</w:t>
      </w:r>
    </w:p>
    <w:tbl>
      <w:tblPr>
        <w:tblW w:w="85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09"/>
        <w:gridCol w:w="1224"/>
        <w:gridCol w:w="1507"/>
        <w:gridCol w:w="1809"/>
        <w:gridCol w:w="1364"/>
        <w:gridCol w:w="1500"/>
      </w:tblGrid>
      <w:tr w:rsidR="00525419">
        <w:trPr>
          <w:cantSplit/>
          <w:trHeight w:val="335"/>
          <w:jc w:val="center"/>
        </w:trPr>
        <w:tc>
          <w:tcPr>
            <w:tcW w:w="2333" w:type="dxa"/>
            <w:gridSpan w:val="2"/>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投入</w:t>
            </w:r>
          </w:p>
        </w:tc>
        <w:tc>
          <w:tcPr>
            <w:tcW w:w="3316" w:type="dxa"/>
            <w:gridSpan w:val="2"/>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产出</w:t>
            </w:r>
          </w:p>
        </w:tc>
        <w:tc>
          <w:tcPr>
            <w:tcW w:w="2864" w:type="dxa"/>
            <w:gridSpan w:val="2"/>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流失</w:t>
            </w:r>
          </w:p>
        </w:tc>
      </w:tr>
      <w:tr w:rsidR="00525419">
        <w:trPr>
          <w:cantSplit/>
          <w:jc w:val="center"/>
        </w:trPr>
        <w:tc>
          <w:tcPr>
            <w:tcW w:w="110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物料名称</w:t>
            </w:r>
          </w:p>
        </w:tc>
        <w:tc>
          <w:tcPr>
            <w:tcW w:w="1224"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投入量</w:t>
            </w:r>
          </w:p>
        </w:tc>
        <w:tc>
          <w:tcPr>
            <w:tcW w:w="1507"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产品名称</w:t>
            </w:r>
          </w:p>
        </w:tc>
        <w:tc>
          <w:tcPr>
            <w:tcW w:w="180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产出量</w:t>
            </w:r>
          </w:p>
        </w:tc>
        <w:tc>
          <w:tcPr>
            <w:tcW w:w="1364"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流失物名称</w:t>
            </w:r>
          </w:p>
        </w:tc>
        <w:tc>
          <w:tcPr>
            <w:tcW w:w="150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流失量</w:t>
            </w:r>
          </w:p>
        </w:tc>
      </w:tr>
      <w:tr w:rsidR="00525419">
        <w:trPr>
          <w:cantSplit/>
          <w:trHeight w:val="90"/>
          <w:jc w:val="center"/>
        </w:trPr>
        <w:tc>
          <w:tcPr>
            <w:tcW w:w="1109"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煤焦油</w:t>
            </w:r>
          </w:p>
        </w:tc>
        <w:tc>
          <w:tcPr>
            <w:tcW w:w="1224"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40</w:t>
            </w:r>
          </w:p>
        </w:tc>
        <w:tc>
          <w:tcPr>
            <w:tcW w:w="1507"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低分气</w:t>
            </w:r>
          </w:p>
        </w:tc>
        <w:tc>
          <w:tcPr>
            <w:tcW w:w="1809"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hint="eastAsia"/>
                <w:kern w:val="0"/>
                <w:szCs w:val="21"/>
              </w:rPr>
              <w:t>0.92</w:t>
            </w:r>
          </w:p>
        </w:tc>
        <w:tc>
          <w:tcPr>
            <w:tcW w:w="1364" w:type="dxa"/>
            <w:vMerge w:val="restart"/>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酸性水</w:t>
            </w:r>
          </w:p>
        </w:tc>
        <w:tc>
          <w:tcPr>
            <w:tcW w:w="1500" w:type="dxa"/>
            <w:vMerge w:val="restart"/>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14.</w:t>
            </w:r>
            <w:r>
              <w:rPr>
                <w:rFonts w:ascii="Times New Roman" w:hAnsi="Times New Roman" w:hint="eastAsia"/>
                <w:szCs w:val="21"/>
              </w:rPr>
              <w:t>326</w:t>
            </w:r>
          </w:p>
        </w:tc>
      </w:tr>
      <w:tr w:rsidR="00525419">
        <w:trPr>
          <w:cantSplit/>
          <w:trHeight w:val="199"/>
          <w:jc w:val="center"/>
        </w:trPr>
        <w:tc>
          <w:tcPr>
            <w:tcW w:w="1109" w:type="dxa"/>
            <w:tcBorders>
              <w:tl2br w:val="nil"/>
              <w:tr2bl w:val="nil"/>
            </w:tcBorders>
            <w:vAlign w:val="center"/>
          </w:tcPr>
          <w:p w:rsidR="00525419" w:rsidRDefault="00EE1CF7">
            <w:pPr>
              <w:spacing w:line="240" w:lineRule="atLeast"/>
              <w:rPr>
                <w:rFonts w:ascii="Times New Roman" w:hAnsi="Times New Roman"/>
                <w:kern w:val="0"/>
                <w:szCs w:val="21"/>
              </w:rPr>
            </w:pPr>
            <w:r>
              <w:rPr>
                <w:rFonts w:ascii="Times New Roman" w:hAnsi="Times New Roman"/>
                <w:kern w:val="0"/>
                <w:szCs w:val="21"/>
              </w:rPr>
              <w:t>氢气</w:t>
            </w:r>
          </w:p>
        </w:tc>
        <w:tc>
          <w:tcPr>
            <w:tcW w:w="1224" w:type="dxa"/>
            <w:tcBorders>
              <w:tl2br w:val="nil"/>
              <w:tr2bl w:val="nil"/>
            </w:tcBorders>
            <w:vAlign w:val="center"/>
          </w:tcPr>
          <w:p w:rsidR="00525419" w:rsidRDefault="00EE1CF7">
            <w:pPr>
              <w:spacing w:line="240" w:lineRule="atLeast"/>
              <w:rPr>
                <w:rFonts w:ascii="Times New Roman" w:hAnsi="Times New Roman"/>
                <w:kern w:val="0"/>
                <w:szCs w:val="21"/>
              </w:rPr>
            </w:pPr>
            <w:r>
              <w:rPr>
                <w:rFonts w:ascii="Times New Roman" w:hAnsi="Times New Roman"/>
                <w:kern w:val="0"/>
                <w:szCs w:val="21"/>
              </w:rPr>
              <w:t>1.67</w:t>
            </w:r>
          </w:p>
        </w:tc>
        <w:tc>
          <w:tcPr>
            <w:tcW w:w="1507"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液化气</w:t>
            </w:r>
          </w:p>
        </w:tc>
        <w:tc>
          <w:tcPr>
            <w:tcW w:w="1809"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1.36</w:t>
            </w:r>
          </w:p>
        </w:tc>
        <w:tc>
          <w:tcPr>
            <w:tcW w:w="1364" w:type="dxa"/>
            <w:vMerge/>
            <w:tcBorders>
              <w:tl2br w:val="nil"/>
              <w:tr2bl w:val="nil"/>
            </w:tcBorders>
            <w:vAlign w:val="center"/>
          </w:tcPr>
          <w:p w:rsidR="00525419" w:rsidRDefault="00525419">
            <w:pPr>
              <w:spacing w:line="240" w:lineRule="atLeast"/>
              <w:rPr>
                <w:rFonts w:ascii="Times New Roman" w:hAnsi="Times New Roman"/>
                <w:szCs w:val="21"/>
              </w:rPr>
            </w:pPr>
          </w:p>
        </w:tc>
        <w:tc>
          <w:tcPr>
            <w:tcW w:w="1500" w:type="dxa"/>
            <w:vMerge/>
            <w:tcBorders>
              <w:tl2br w:val="nil"/>
              <w:tr2bl w:val="nil"/>
            </w:tcBorders>
            <w:vAlign w:val="center"/>
          </w:tcPr>
          <w:p w:rsidR="00525419" w:rsidRDefault="00525419">
            <w:pPr>
              <w:spacing w:line="240" w:lineRule="atLeast"/>
              <w:rPr>
                <w:rFonts w:ascii="Times New Roman" w:hAnsi="Times New Roman"/>
                <w:szCs w:val="21"/>
              </w:rPr>
            </w:pPr>
          </w:p>
        </w:tc>
      </w:tr>
      <w:tr w:rsidR="00525419">
        <w:trPr>
          <w:cantSplit/>
          <w:trHeight w:val="203"/>
          <w:jc w:val="center"/>
        </w:trPr>
        <w:tc>
          <w:tcPr>
            <w:tcW w:w="1109" w:type="dxa"/>
            <w:vMerge w:val="restart"/>
            <w:tcBorders>
              <w:tl2br w:val="nil"/>
              <w:tr2bl w:val="nil"/>
            </w:tcBorders>
            <w:vAlign w:val="center"/>
          </w:tcPr>
          <w:p w:rsidR="00525419" w:rsidRDefault="00EE1CF7">
            <w:pPr>
              <w:spacing w:line="240" w:lineRule="atLeast"/>
              <w:rPr>
                <w:rFonts w:ascii="Times New Roman" w:hAnsi="Times New Roman"/>
                <w:kern w:val="0"/>
                <w:szCs w:val="21"/>
              </w:rPr>
            </w:pPr>
            <w:r>
              <w:rPr>
                <w:rFonts w:ascii="Times New Roman" w:hAnsi="Times New Roman"/>
                <w:kern w:val="0"/>
                <w:szCs w:val="21"/>
              </w:rPr>
              <w:t>除盐水</w:t>
            </w:r>
          </w:p>
        </w:tc>
        <w:tc>
          <w:tcPr>
            <w:tcW w:w="1224" w:type="dxa"/>
            <w:vMerge w:val="restart"/>
            <w:tcBorders>
              <w:tl2br w:val="nil"/>
              <w:tr2bl w:val="nil"/>
            </w:tcBorders>
            <w:vAlign w:val="center"/>
          </w:tcPr>
          <w:p w:rsidR="00525419" w:rsidRDefault="00EE1CF7">
            <w:pPr>
              <w:spacing w:line="240" w:lineRule="atLeast"/>
              <w:rPr>
                <w:rFonts w:ascii="Times New Roman" w:hAnsi="Times New Roman"/>
                <w:kern w:val="0"/>
                <w:szCs w:val="21"/>
              </w:rPr>
            </w:pPr>
            <w:r>
              <w:rPr>
                <w:rFonts w:ascii="Times New Roman" w:hAnsi="Times New Roman"/>
                <w:kern w:val="0"/>
                <w:szCs w:val="21"/>
              </w:rPr>
              <w:t>11.106</w:t>
            </w:r>
          </w:p>
        </w:tc>
        <w:tc>
          <w:tcPr>
            <w:tcW w:w="1507"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柴油</w:t>
            </w:r>
          </w:p>
        </w:tc>
        <w:tc>
          <w:tcPr>
            <w:tcW w:w="1809"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hint="eastAsia"/>
                <w:kern w:val="0"/>
                <w:szCs w:val="21"/>
              </w:rPr>
              <w:t>26.7</w:t>
            </w:r>
          </w:p>
        </w:tc>
        <w:tc>
          <w:tcPr>
            <w:tcW w:w="1364" w:type="dxa"/>
            <w:vMerge w:val="restart"/>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干气</w:t>
            </w:r>
          </w:p>
        </w:tc>
        <w:tc>
          <w:tcPr>
            <w:tcW w:w="1500" w:type="dxa"/>
            <w:vMerge w:val="restart"/>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0.6</w:t>
            </w:r>
            <w:r>
              <w:rPr>
                <w:rFonts w:ascii="Times New Roman" w:hAnsi="Times New Roman" w:hint="eastAsia"/>
                <w:szCs w:val="21"/>
              </w:rPr>
              <w:t>7</w:t>
            </w:r>
          </w:p>
        </w:tc>
      </w:tr>
      <w:tr w:rsidR="00525419">
        <w:trPr>
          <w:cantSplit/>
          <w:trHeight w:val="123"/>
          <w:jc w:val="center"/>
        </w:trPr>
        <w:tc>
          <w:tcPr>
            <w:tcW w:w="1109" w:type="dxa"/>
            <w:vMerge/>
            <w:tcBorders>
              <w:tl2br w:val="nil"/>
              <w:tr2bl w:val="nil"/>
            </w:tcBorders>
            <w:vAlign w:val="center"/>
          </w:tcPr>
          <w:p w:rsidR="00525419" w:rsidRDefault="00525419">
            <w:pPr>
              <w:spacing w:line="240" w:lineRule="atLeast"/>
              <w:rPr>
                <w:rFonts w:ascii="Times New Roman" w:hAnsi="Times New Roman"/>
                <w:kern w:val="0"/>
                <w:szCs w:val="21"/>
              </w:rPr>
            </w:pPr>
          </w:p>
        </w:tc>
        <w:tc>
          <w:tcPr>
            <w:tcW w:w="1224" w:type="dxa"/>
            <w:vMerge/>
            <w:tcBorders>
              <w:tl2br w:val="nil"/>
              <w:tr2bl w:val="nil"/>
            </w:tcBorders>
            <w:vAlign w:val="center"/>
          </w:tcPr>
          <w:p w:rsidR="00525419" w:rsidRDefault="00525419">
            <w:pPr>
              <w:spacing w:line="240" w:lineRule="atLeast"/>
              <w:rPr>
                <w:rFonts w:ascii="Times New Roman" w:hAnsi="Times New Roman"/>
                <w:kern w:val="0"/>
                <w:szCs w:val="21"/>
              </w:rPr>
            </w:pPr>
          </w:p>
        </w:tc>
        <w:tc>
          <w:tcPr>
            <w:tcW w:w="1507"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尾油</w:t>
            </w:r>
          </w:p>
        </w:tc>
        <w:tc>
          <w:tcPr>
            <w:tcW w:w="1809"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0.8</w:t>
            </w:r>
          </w:p>
        </w:tc>
        <w:tc>
          <w:tcPr>
            <w:tcW w:w="1364" w:type="dxa"/>
            <w:vMerge/>
            <w:tcBorders>
              <w:tl2br w:val="nil"/>
              <w:tr2bl w:val="nil"/>
            </w:tcBorders>
            <w:vAlign w:val="center"/>
          </w:tcPr>
          <w:p w:rsidR="00525419" w:rsidRDefault="00525419">
            <w:pPr>
              <w:spacing w:line="240" w:lineRule="atLeast"/>
              <w:rPr>
                <w:rFonts w:ascii="Times New Roman" w:hAnsi="Times New Roman"/>
                <w:szCs w:val="21"/>
              </w:rPr>
            </w:pPr>
          </w:p>
        </w:tc>
        <w:tc>
          <w:tcPr>
            <w:tcW w:w="1500" w:type="dxa"/>
            <w:vMerge/>
            <w:tcBorders>
              <w:tl2br w:val="nil"/>
              <w:tr2bl w:val="nil"/>
            </w:tcBorders>
            <w:vAlign w:val="center"/>
          </w:tcPr>
          <w:p w:rsidR="00525419" w:rsidRDefault="00525419">
            <w:pPr>
              <w:spacing w:line="240" w:lineRule="atLeast"/>
              <w:rPr>
                <w:rFonts w:ascii="Times New Roman" w:hAnsi="Times New Roman"/>
                <w:szCs w:val="21"/>
              </w:rPr>
            </w:pPr>
          </w:p>
        </w:tc>
      </w:tr>
      <w:tr w:rsidR="00525419">
        <w:trPr>
          <w:cantSplit/>
          <w:trHeight w:val="90"/>
          <w:jc w:val="center"/>
        </w:trPr>
        <w:tc>
          <w:tcPr>
            <w:tcW w:w="1109" w:type="dxa"/>
            <w:vMerge/>
            <w:tcBorders>
              <w:tl2br w:val="nil"/>
              <w:tr2bl w:val="nil"/>
            </w:tcBorders>
            <w:vAlign w:val="center"/>
          </w:tcPr>
          <w:p w:rsidR="00525419" w:rsidRDefault="00525419">
            <w:pPr>
              <w:spacing w:line="240" w:lineRule="atLeast"/>
              <w:rPr>
                <w:rFonts w:ascii="Times New Roman" w:hAnsi="Times New Roman"/>
                <w:kern w:val="0"/>
                <w:szCs w:val="21"/>
              </w:rPr>
            </w:pPr>
          </w:p>
        </w:tc>
        <w:tc>
          <w:tcPr>
            <w:tcW w:w="1224" w:type="dxa"/>
            <w:vMerge/>
            <w:tcBorders>
              <w:tl2br w:val="nil"/>
              <w:tr2bl w:val="nil"/>
            </w:tcBorders>
            <w:vAlign w:val="center"/>
          </w:tcPr>
          <w:p w:rsidR="00525419" w:rsidRDefault="00525419">
            <w:pPr>
              <w:spacing w:line="240" w:lineRule="atLeast"/>
              <w:rPr>
                <w:rFonts w:ascii="Times New Roman" w:hAnsi="Times New Roman"/>
                <w:kern w:val="0"/>
                <w:szCs w:val="21"/>
              </w:rPr>
            </w:pPr>
          </w:p>
        </w:tc>
        <w:tc>
          <w:tcPr>
            <w:tcW w:w="1507"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石脑油</w:t>
            </w:r>
          </w:p>
        </w:tc>
        <w:tc>
          <w:tcPr>
            <w:tcW w:w="1809"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hint="eastAsia"/>
                <w:kern w:val="0"/>
                <w:szCs w:val="21"/>
              </w:rPr>
              <w:t>8</w:t>
            </w:r>
          </w:p>
        </w:tc>
        <w:tc>
          <w:tcPr>
            <w:tcW w:w="1364" w:type="dxa"/>
            <w:vMerge/>
            <w:tcBorders>
              <w:tl2br w:val="nil"/>
              <w:tr2bl w:val="nil"/>
            </w:tcBorders>
            <w:vAlign w:val="center"/>
          </w:tcPr>
          <w:p w:rsidR="00525419" w:rsidRDefault="00525419">
            <w:pPr>
              <w:spacing w:line="240" w:lineRule="atLeast"/>
              <w:rPr>
                <w:rFonts w:ascii="Times New Roman" w:hAnsi="Times New Roman"/>
                <w:szCs w:val="21"/>
              </w:rPr>
            </w:pPr>
          </w:p>
        </w:tc>
        <w:tc>
          <w:tcPr>
            <w:tcW w:w="1500" w:type="dxa"/>
            <w:vMerge/>
            <w:tcBorders>
              <w:tl2br w:val="nil"/>
              <w:tr2bl w:val="nil"/>
            </w:tcBorders>
            <w:vAlign w:val="center"/>
          </w:tcPr>
          <w:p w:rsidR="00525419" w:rsidRDefault="00525419">
            <w:pPr>
              <w:spacing w:line="240" w:lineRule="atLeast"/>
              <w:rPr>
                <w:rFonts w:ascii="Times New Roman" w:hAnsi="Times New Roman"/>
                <w:szCs w:val="21"/>
              </w:rPr>
            </w:pPr>
          </w:p>
        </w:tc>
      </w:tr>
      <w:tr w:rsidR="00525419">
        <w:trPr>
          <w:cantSplit/>
          <w:trHeight w:val="279"/>
          <w:jc w:val="center"/>
        </w:trPr>
        <w:tc>
          <w:tcPr>
            <w:tcW w:w="1109"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小计</w:t>
            </w:r>
          </w:p>
        </w:tc>
        <w:tc>
          <w:tcPr>
            <w:tcW w:w="1224"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52.776</w:t>
            </w:r>
          </w:p>
        </w:tc>
        <w:tc>
          <w:tcPr>
            <w:tcW w:w="1507"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小计</w:t>
            </w:r>
          </w:p>
        </w:tc>
        <w:tc>
          <w:tcPr>
            <w:tcW w:w="1809"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hint="eastAsia"/>
                <w:kern w:val="0"/>
                <w:szCs w:val="21"/>
              </w:rPr>
              <w:t>37.78</w:t>
            </w:r>
          </w:p>
        </w:tc>
        <w:tc>
          <w:tcPr>
            <w:tcW w:w="1364"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小计</w:t>
            </w:r>
          </w:p>
        </w:tc>
        <w:tc>
          <w:tcPr>
            <w:tcW w:w="1500"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hint="eastAsia"/>
                <w:szCs w:val="21"/>
              </w:rPr>
              <w:t>14.996</w:t>
            </w:r>
          </w:p>
        </w:tc>
      </w:tr>
    </w:tbl>
    <w:p w:rsidR="00525419" w:rsidRDefault="00EE1CF7">
      <w:pPr>
        <w:pStyle w:val="afffe"/>
        <w:adjustRightInd w:val="0"/>
        <w:spacing w:after="0" w:line="360" w:lineRule="auto"/>
        <w:ind w:firstLineChars="200" w:firstLine="480"/>
        <w:rPr>
          <w:sz w:val="24"/>
        </w:rPr>
      </w:pPr>
      <w:r>
        <w:rPr>
          <w:sz w:val="24"/>
        </w:rPr>
        <w:t>（</w:t>
      </w:r>
      <w:r>
        <w:rPr>
          <w:sz w:val="24"/>
        </w:rPr>
        <w:t>2</w:t>
      </w:r>
      <w:r>
        <w:rPr>
          <w:sz w:val="24"/>
        </w:rPr>
        <w:t>）燃料气平衡</w:t>
      </w:r>
    </w:p>
    <w:p w:rsidR="00525419" w:rsidRDefault="00EE1CF7">
      <w:pPr>
        <w:pStyle w:val="afffe"/>
        <w:adjustRightInd w:val="0"/>
        <w:spacing w:after="0" w:line="360" w:lineRule="auto"/>
        <w:ind w:firstLineChars="200" w:firstLine="480"/>
        <w:rPr>
          <w:sz w:val="24"/>
        </w:rPr>
      </w:pPr>
      <w:r>
        <w:rPr>
          <w:sz w:val="24"/>
        </w:rPr>
        <w:t>本项目燃料气平衡见表</w:t>
      </w:r>
      <w:r>
        <w:rPr>
          <w:sz w:val="24"/>
        </w:rPr>
        <w:t>3.5-20</w:t>
      </w:r>
      <w:r>
        <w:rPr>
          <w:sz w:val="24"/>
        </w:rPr>
        <w:t>。</w:t>
      </w:r>
    </w:p>
    <w:p w:rsidR="00525419" w:rsidRDefault="00EE1CF7">
      <w:pPr>
        <w:pStyle w:val="afffe"/>
        <w:adjustRightInd w:val="0"/>
        <w:spacing w:after="0" w:line="240" w:lineRule="atLeast"/>
        <w:ind w:firstLineChars="1150" w:firstLine="2300"/>
        <w:rPr>
          <w:rFonts w:eastAsia="黑体"/>
          <w:szCs w:val="21"/>
        </w:rPr>
      </w:pPr>
      <w:r>
        <w:rPr>
          <w:rFonts w:eastAsia="黑体"/>
          <w:szCs w:val="21"/>
        </w:rPr>
        <w:t>表</w:t>
      </w:r>
      <w:r>
        <w:rPr>
          <w:rFonts w:eastAsia="黑体"/>
          <w:szCs w:val="21"/>
        </w:rPr>
        <w:t>3.5-20</w:t>
      </w:r>
      <w:r>
        <w:rPr>
          <w:rFonts w:eastAsia="黑体"/>
          <w:szCs w:val="21"/>
        </w:rPr>
        <w:t xml:space="preserve">　　本项目燃料气平衡表</w:t>
      </w:r>
      <w:r>
        <w:rPr>
          <w:rFonts w:eastAsia="黑体"/>
          <w:szCs w:val="21"/>
        </w:rPr>
        <w:t xml:space="preserve">   </w:t>
      </w:r>
    </w:p>
    <w:tbl>
      <w:tblPr>
        <w:tblW w:w="85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166"/>
        <w:gridCol w:w="1778"/>
        <w:gridCol w:w="1887"/>
        <w:gridCol w:w="1372"/>
        <w:gridCol w:w="1310"/>
      </w:tblGrid>
      <w:tr w:rsidR="00525419">
        <w:trPr>
          <w:trHeight w:val="301"/>
          <w:jc w:val="center"/>
        </w:trPr>
        <w:tc>
          <w:tcPr>
            <w:tcW w:w="2166" w:type="dxa"/>
            <w:tcBorders>
              <w:tl2br w:val="nil"/>
              <w:tr2bl w:val="nil"/>
            </w:tcBorders>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单元名称</w:t>
            </w:r>
          </w:p>
        </w:tc>
        <w:tc>
          <w:tcPr>
            <w:tcW w:w="1778" w:type="dxa"/>
            <w:tcBorders>
              <w:tl2br w:val="nil"/>
              <w:tr2bl w:val="nil"/>
            </w:tcBorders>
            <w:vAlign w:val="center"/>
          </w:tcPr>
          <w:p w:rsidR="00525419" w:rsidRDefault="00EE1CF7">
            <w:pPr>
              <w:widowControl/>
              <w:jc w:val="center"/>
              <w:rPr>
                <w:rFonts w:ascii="Times New Roman" w:hAnsi="Times New Roman"/>
                <w:kern w:val="0"/>
                <w:szCs w:val="21"/>
              </w:rPr>
            </w:pPr>
            <w:r>
              <w:rPr>
                <w:rFonts w:ascii="Times New Roman" w:hAnsi="Times New Roman"/>
                <w:szCs w:val="21"/>
              </w:rPr>
              <w:t>加热设备名称</w:t>
            </w:r>
          </w:p>
        </w:tc>
        <w:tc>
          <w:tcPr>
            <w:tcW w:w="1887" w:type="dxa"/>
            <w:tcBorders>
              <w:tl2br w:val="nil"/>
              <w:tr2bl w:val="nil"/>
            </w:tcBorders>
            <w:vAlign w:val="center"/>
          </w:tcPr>
          <w:p w:rsidR="00525419" w:rsidRDefault="00EE1CF7">
            <w:pPr>
              <w:widowControl/>
              <w:jc w:val="center"/>
              <w:rPr>
                <w:rFonts w:ascii="Times New Roman" w:hAnsi="Times New Roman"/>
                <w:kern w:val="0"/>
                <w:szCs w:val="21"/>
              </w:rPr>
            </w:pPr>
            <w:r>
              <w:rPr>
                <w:rFonts w:ascii="Times New Roman" w:hAnsi="Times New Roman"/>
              </w:rPr>
              <w:t>燃料气用量</w:t>
            </w:r>
            <w:r>
              <w:rPr>
                <w:rFonts w:ascii="Times New Roman" w:hAnsi="Times New Roman"/>
              </w:rPr>
              <w:t>Nm</w:t>
            </w:r>
            <w:r>
              <w:rPr>
                <w:rFonts w:ascii="Times New Roman" w:hAnsi="Times New Roman"/>
                <w:vertAlign w:val="superscript"/>
              </w:rPr>
              <w:t>3</w:t>
            </w:r>
            <w:r>
              <w:rPr>
                <w:rFonts w:ascii="Times New Roman" w:hAnsi="Times New Roman"/>
              </w:rPr>
              <w:t>/h</w:t>
            </w:r>
          </w:p>
        </w:tc>
        <w:tc>
          <w:tcPr>
            <w:tcW w:w="1372" w:type="dxa"/>
            <w:tcBorders>
              <w:tl2br w:val="nil"/>
              <w:tr2bl w:val="nil"/>
            </w:tcBorders>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燃料供应</w:t>
            </w:r>
          </w:p>
        </w:tc>
        <w:tc>
          <w:tcPr>
            <w:tcW w:w="1310" w:type="dxa"/>
            <w:tcBorders>
              <w:tl2br w:val="nil"/>
              <w:tr2bl w:val="nil"/>
            </w:tcBorders>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供应量</w:t>
            </w:r>
            <w:r>
              <w:rPr>
                <w:rFonts w:ascii="Times New Roman" w:hAnsi="Times New Roman"/>
              </w:rPr>
              <w:t>Nm</w:t>
            </w:r>
            <w:r>
              <w:rPr>
                <w:rFonts w:ascii="Times New Roman" w:hAnsi="Times New Roman"/>
                <w:vertAlign w:val="superscript"/>
              </w:rPr>
              <w:t>3</w:t>
            </w:r>
            <w:r>
              <w:rPr>
                <w:rFonts w:ascii="Times New Roman" w:hAnsi="Times New Roman"/>
              </w:rPr>
              <w:t>/h</w:t>
            </w:r>
          </w:p>
        </w:tc>
      </w:tr>
      <w:tr w:rsidR="00525419">
        <w:trPr>
          <w:trHeight w:val="89"/>
          <w:jc w:val="center"/>
        </w:trPr>
        <w:tc>
          <w:tcPr>
            <w:tcW w:w="2166" w:type="dxa"/>
            <w:vMerge w:val="restart"/>
            <w:tcBorders>
              <w:tl2br w:val="nil"/>
              <w:tr2bl w:val="nil"/>
            </w:tcBorders>
            <w:vAlign w:val="center"/>
          </w:tcPr>
          <w:p w:rsidR="00525419" w:rsidRDefault="00EE1CF7">
            <w:pPr>
              <w:widowControl/>
              <w:jc w:val="center"/>
              <w:rPr>
                <w:rFonts w:ascii="Times New Roman" w:hAnsi="Times New Roman"/>
                <w:kern w:val="0"/>
                <w:szCs w:val="21"/>
              </w:rPr>
            </w:pPr>
            <w:r>
              <w:rPr>
                <w:rFonts w:ascii="Times New Roman" w:hAnsi="Times New Roman"/>
              </w:rPr>
              <w:lastRenderedPageBreak/>
              <w:t>煤焦油加氢单元</w:t>
            </w:r>
          </w:p>
        </w:tc>
        <w:tc>
          <w:tcPr>
            <w:tcW w:w="1778" w:type="dxa"/>
            <w:vMerge w:val="restart"/>
            <w:tcBorders>
              <w:tl2br w:val="nil"/>
              <w:tr2bl w:val="nil"/>
            </w:tcBorders>
            <w:vAlign w:val="center"/>
          </w:tcPr>
          <w:p w:rsidR="00525419" w:rsidRDefault="00EE1CF7">
            <w:pPr>
              <w:widowControl/>
              <w:jc w:val="center"/>
              <w:rPr>
                <w:rFonts w:ascii="Times New Roman" w:hAnsi="Times New Roman"/>
                <w:kern w:val="0"/>
                <w:szCs w:val="21"/>
              </w:rPr>
            </w:pPr>
            <w:r>
              <w:rPr>
                <w:rFonts w:ascii="Times New Roman" w:hAnsi="Times New Roman" w:hint="eastAsia"/>
                <w:kern w:val="0"/>
                <w:szCs w:val="21"/>
              </w:rPr>
              <w:t>加氢反应一段加热炉</w:t>
            </w:r>
          </w:p>
        </w:tc>
        <w:tc>
          <w:tcPr>
            <w:tcW w:w="1887" w:type="dxa"/>
            <w:vMerge w:val="restart"/>
            <w:tcBorders>
              <w:tl2br w:val="nil"/>
              <w:tr2bl w:val="nil"/>
            </w:tcBorders>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750</w:t>
            </w:r>
          </w:p>
        </w:tc>
        <w:tc>
          <w:tcPr>
            <w:tcW w:w="1372" w:type="dxa"/>
            <w:tcBorders>
              <w:tl2br w:val="nil"/>
              <w:tr2bl w:val="nil"/>
            </w:tcBorders>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脱硫干气</w:t>
            </w:r>
          </w:p>
        </w:tc>
        <w:tc>
          <w:tcPr>
            <w:tcW w:w="1310" w:type="dxa"/>
            <w:tcBorders>
              <w:tl2br w:val="nil"/>
              <w:tr2bl w:val="nil"/>
            </w:tcBorders>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2718</w:t>
            </w:r>
          </w:p>
        </w:tc>
      </w:tr>
      <w:tr w:rsidR="00525419">
        <w:trPr>
          <w:trHeight w:val="319"/>
          <w:jc w:val="center"/>
        </w:trPr>
        <w:tc>
          <w:tcPr>
            <w:tcW w:w="2166" w:type="dxa"/>
            <w:vMerge/>
            <w:tcBorders>
              <w:tl2br w:val="nil"/>
              <w:tr2bl w:val="nil"/>
            </w:tcBorders>
            <w:vAlign w:val="center"/>
          </w:tcPr>
          <w:p w:rsidR="00525419" w:rsidRDefault="00525419">
            <w:pPr>
              <w:widowControl/>
              <w:jc w:val="center"/>
              <w:rPr>
                <w:rFonts w:ascii="Times New Roman" w:hAnsi="Times New Roman"/>
                <w:kern w:val="0"/>
                <w:szCs w:val="21"/>
              </w:rPr>
            </w:pPr>
          </w:p>
        </w:tc>
        <w:tc>
          <w:tcPr>
            <w:tcW w:w="1778" w:type="dxa"/>
            <w:vMerge/>
            <w:tcBorders>
              <w:tl2br w:val="nil"/>
              <w:tr2bl w:val="nil"/>
            </w:tcBorders>
            <w:vAlign w:val="center"/>
          </w:tcPr>
          <w:p w:rsidR="00525419" w:rsidRDefault="00525419">
            <w:pPr>
              <w:widowControl/>
              <w:jc w:val="center"/>
              <w:rPr>
                <w:rFonts w:ascii="Times New Roman" w:hAnsi="Times New Roman"/>
                <w:kern w:val="0"/>
                <w:szCs w:val="21"/>
              </w:rPr>
            </w:pPr>
          </w:p>
        </w:tc>
        <w:tc>
          <w:tcPr>
            <w:tcW w:w="1887" w:type="dxa"/>
            <w:vMerge/>
            <w:tcBorders>
              <w:tl2br w:val="nil"/>
              <w:tr2bl w:val="nil"/>
            </w:tcBorders>
            <w:vAlign w:val="center"/>
          </w:tcPr>
          <w:p w:rsidR="00525419" w:rsidRDefault="00525419">
            <w:pPr>
              <w:widowControl/>
              <w:jc w:val="center"/>
              <w:rPr>
                <w:rFonts w:ascii="Times New Roman" w:hAnsi="Times New Roman"/>
                <w:kern w:val="0"/>
                <w:szCs w:val="21"/>
              </w:rPr>
            </w:pPr>
          </w:p>
        </w:tc>
        <w:tc>
          <w:tcPr>
            <w:tcW w:w="1372" w:type="dxa"/>
            <w:vMerge w:val="restart"/>
            <w:tcBorders>
              <w:tl2br w:val="nil"/>
              <w:tr2bl w:val="nil"/>
            </w:tcBorders>
            <w:vAlign w:val="center"/>
          </w:tcPr>
          <w:p w:rsidR="00525419" w:rsidRDefault="00525419">
            <w:pPr>
              <w:widowControl/>
              <w:jc w:val="center"/>
              <w:rPr>
                <w:rFonts w:ascii="Times New Roman" w:hAnsi="Times New Roman"/>
                <w:kern w:val="0"/>
                <w:szCs w:val="21"/>
              </w:rPr>
            </w:pPr>
          </w:p>
          <w:p w:rsidR="00525419" w:rsidRDefault="00EE1CF7">
            <w:pPr>
              <w:widowControl/>
              <w:jc w:val="center"/>
              <w:rPr>
                <w:rFonts w:ascii="Times New Roman" w:hAnsi="Times New Roman"/>
                <w:kern w:val="0"/>
                <w:szCs w:val="21"/>
              </w:rPr>
            </w:pPr>
            <w:r>
              <w:rPr>
                <w:rFonts w:ascii="Times New Roman" w:hAnsi="Times New Roman"/>
                <w:kern w:val="0"/>
                <w:szCs w:val="21"/>
              </w:rPr>
              <w:t>外购燃料气</w:t>
            </w:r>
          </w:p>
        </w:tc>
        <w:tc>
          <w:tcPr>
            <w:tcW w:w="1310" w:type="dxa"/>
            <w:vMerge w:val="restart"/>
            <w:tcBorders>
              <w:tl2br w:val="nil"/>
              <w:tr2bl w:val="nil"/>
            </w:tcBorders>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529</w:t>
            </w:r>
          </w:p>
        </w:tc>
      </w:tr>
      <w:tr w:rsidR="00525419">
        <w:trPr>
          <w:trHeight w:val="180"/>
          <w:jc w:val="center"/>
        </w:trPr>
        <w:tc>
          <w:tcPr>
            <w:tcW w:w="2166" w:type="dxa"/>
            <w:vMerge/>
            <w:tcBorders>
              <w:tl2br w:val="nil"/>
              <w:tr2bl w:val="nil"/>
            </w:tcBorders>
            <w:vAlign w:val="center"/>
          </w:tcPr>
          <w:p w:rsidR="00525419" w:rsidRDefault="00525419">
            <w:pPr>
              <w:widowControl/>
              <w:jc w:val="center"/>
              <w:rPr>
                <w:rFonts w:ascii="Times New Roman" w:hAnsi="Times New Roman"/>
              </w:rPr>
            </w:pPr>
          </w:p>
        </w:tc>
        <w:tc>
          <w:tcPr>
            <w:tcW w:w="1778" w:type="dxa"/>
            <w:tcBorders>
              <w:tl2br w:val="nil"/>
              <w:tr2bl w:val="nil"/>
            </w:tcBorders>
            <w:vAlign w:val="center"/>
          </w:tcPr>
          <w:p w:rsidR="00525419" w:rsidRDefault="00EE1CF7">
            <w:pPr>
              <w:widowControl/>
              <w:jc w:val="center"/>
              <w:rPr>
                <w:rFonts w:ascii="Times New Roman" w:hAnsi="Times New Roman"/>
                <w:kern w:val="0"/>
                <w:szCs w:val="21"/>
              </w:rPr>
            </w:pPr>
            <w:r>
              <w:rPr>
                <w:rFonts w:ascii="Times New Roman" w:hAnsi="Times New Roman" w:hint="eastAsia"/>
                <w:kern w:val="0"/>
                <w:szCs w:val="21"/>
              </w:rPr>
              <w:t>加氢反应二段加热炉</w:t>
            </w:r>
          </w:p>
        </w:tc>
        <w:tc>
          <w:tcPr>
            <w:tcW w:w="1887" w:type="dxa"/>
            <w:tcBorders>
              <w:tl2br w:val="nil"/>
              <w:tr2bl w:val="nil"/>
            </w:tcBorders>
            <w:vAlign w:val="center"/>
          </w:tcPr>
          <w:p w:rsidR="00525419" w:rsidRDefault="00EE1CF7">
            <w:pPr>
              <w:jc w:val="center"/>
              <w:rPr>
                <w:rFonts w:ascii="Times New Roman" w:hAnsi="Times New Roman"/>
                <w:kern w:val="0"/>
                <w:szCs w:val="21"/>
              </w:rPr>
            </w:pPr>
            <w:r>
              <w:rPr>
                <w:rFonts w:ascii="Times New Roman" w:hAnsi="Times New Roman"/>
                <w:kern w:val="0"/>
                <w:szCs w:val="21"/>
              </w:rPr>
              <w:t>406</w:t>
            </w:r>
          </w:p>
        </w:tc>
        <w:tc>
          <w:tcPr>
            <w:tcW w:w="1372" w:type="dxa"/>
            <w:vMerge/>
            <w:tcBorders>
              <w:tl2br w:val="nil"/>
              <w:tr2bl w:val="nil"/>
            </w:tcBorders>
            <w:vAlign w:val="center"/>
          </w:tcPr>
          <w:p w:rsidR="00525419" w:rsidRDefault="00525419">
            <w:pPr>
              <w:widowControl/>
              <w:jc w:val="center"/>
              <w:rPr>
                <w:rFonts w:ascii="Times New Roman" w:hAnsi="Times New Roman"/>
                <w:kern w:val="0"/>
                <w:szCs w:val="21"/>
              </w:rPr>
            </w:pPr>
          </w:p>
        </w:tc>
        <w:tc>
          <w:tcPr>
            <w:tcW w:w="1310" w:type="dxa"/>
            <w:vMerge/>
            <w:tcBorders>
              <w:tl2br w:val="nil"/>
              <w:tr2bl w:val="nil"/>
            </w:tcBorders>
            <w:vAlign w:val="center"/>
          </w:tcPr>
          <w:p w:rsidR="00525419" w:rsidRDefault="00525419">
            <w:pPr>
              <w:widowControl/>
              <w:jc w:val="center"/>
              <w:rPr>
                <w:rFonts w:ascii="Times New Roman" w:hAnsi="Times New Roman"/>
                <w:kern w:val="0"/>
                <w:szCs w:val="21"/>
              </w:rPr>
            </w:pPr>
          </w:p>
        </w:tc>
      </w:tr>
      <w:tr w:rsidR="00525419">
        <w:trPr>
          <w:trHeight w:val="120"/>
          <w:jc w:val="center"/>
        </w:trPr>
        <w:tc>
          <w:tcPr>
            <w:tcW w:w="2166" w:type="dxa"/>
            <w:vMerge/>
            <w:tcBorders>
              <w:tl2br w:val="nil"/>
              <w:tr2bl w:val="nil"/>
            </w:tcBorders>
            <w:vAlign w:val="center"/>
          </w:tcPr>
          <w:p w:rsidR="00525419" w:rsidRDefault="00525419">
            <w:pPr>
              <w:widowControl/>
              <w:jc w:val="center"/>
              <w:rPr>
                <w:rFonts w:ascii="Times New Roman" w:hAnsi="Times New Roman"/>
              </w:rPr>
            </w:pPr>
          </w:p>
        </w:tc>
        <w:tc>
          <w:tcPr>
            <w:tcW w:w="1778" w:type="dxa"/>
            <w:tcBorders>
              <w:tl2br w:val="nil"/>
              <w:tr2bl w:val="nil"/>
            </w:tcBorders>
            <w:vAlign w:val="center"/>
          </w:tcPr>
          <w:p w:rsidR="00525419" w:rsidRDefault="00EE1CF7">
            <w:pPr>
              <w:widowControl/>
              <w:jc w:val="center"/>
              <w:rPr>
                <w:rFonts w:ascii="Times New Roman" w:hAnsi="Times New Roman"/>
                <w:kern w:val="0"/>
                <w:szCs w:val="21"/>
              </w:rPr>
            </w:pPr>
            <w:r>
              <w:rPr>
                <w:rFonts w:ascii="Times New Roman" w:hAnsi="Times New Roman" w:hint="eastAsia"/>
                <w:kern w:val="0"/>
                <w:szCs w:val="21"/>
              </w:rPr>
              <w:t>加氢分馏加热炉</w:t>
            </w:r>
          </w:p>
        </w:tc>
        <w:tc>
          <w:tcPr>
            <w:tcW w:w="1887" w:type="dxa"/>
            <w:tcBorders>
              <w:tl2br w:val="nil"/>
              <w:tr2bl w:val="nil"/>
            </w:tcBorders>
            <w:vAlign w:val="center"/>
          </w:tcPr>
          <w:p w:rsidR="00525419" w:rsidRDefault="00EE1CF7">
            <w:pPr>
              <w:jc w:val="center"/>
              <w:rPr>
                <w:rFonts w:ascii="Times New Roman" w:hAnsi="Times New Roman"/>
                <w:kern w:val="0"/>
                <w:szCs w:val="21"/>
              </w:rPr>
            </w:pPr>
            <w:r>
              <w:rPr>
                <w:rFonts w:ascii="Times New Roman" w:hAnsi="Times New Roman"/>
                <w:kern w:val="0"/>
                <w:szCs w:val="21"/>
              </w:rPr>
              <w:t>979</w:t>
            </w:r>
          </w:p>
        </w:tc>
        <w:tc>
          <w:tcPr>
            <w:tcW w:w="1372" w:type="dxa"/>
            <w:vMerge/>
            <w:tcBorders>
              <w:tl2br w:val="nil"/>
              <w:tr2bl w:val="nil"/>
            </w:tcBorders>
            <w:vAlign w:val="center"/>
          </w:tcPr>
          <w:p w:rsidR="00525419" w:rsidRDefault="00525419">
            <w:pPr>
              <w:widowControl/>
              <w:jc w:val="center"/>
              <w:rPr>
                <w:rFonts w:ascii="Times New Roman" w:hAnsi="Times New Roman"/>
                <w:kern w:val="0"/>
                <w:szCs w:val="21"/>
              </w:rPr>
            </w:pPr>
          </w:p>
        </w:tc>
        <w:tc>
          <w:tcPr>
            <w:tcW w:w="1310" w:type="dxa"/>
            <w:vMerge/>
            <w:tcBorders>
              <w:tl2br w:val="nil"/>
              <w:tr2bl w:val="nil"/>
            </w:tcBorders>
            <w:vAlign w:val="center"/>
          </w:tcPr>
          <w:p w:rsidR="00525419" w:rsidRDefault="00525419">
            <w:pPr>
              <w:widowControl/>
              <w:jc w:val="center"/>
              <w:rPr>
                <w:rFonts w:ascii="Times New Roman" w:hAnsi="Times New Roman"/>
                <w:kern w:val="0"/>
                <w:szCs w:val="21"/>
              </w:rPr>
            </w:pPr>
          </w:p>
        </w:tc>
      </w:tr>
      <w:tr w:rsidR="00525419">
        <w:trPr>
          <w:trHeight w:val="157"/>
          <w:jc w:val="center"/>
        </w:trPr>
        <w:tc>
          <w:tcPr>
            <w:tcW w:w="2166" w:type="dxa"/>
            <w:tcBorders>
              <w:tl2br w:val="nil"/>
              <w:tr2bl w:val="nil"/>
            </w:tcBorders>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天然气制氢</w:t>
            </w:r>
          </w:p>
        </w:tc>
        <w:tc>
          <w:tcPr>
            <w:tcW w:w="1778" w:type="dxa"/>
            <w:tcBorders>
              <w:tl2br w:val="nil"/>
              <w:tr2bl w:val="nil"/>
            </w:tcBorders>
            <w:vAlign w:val="center"/>
          </w:tcPr>
          <w:p w:rsidR="00525419" w:rsidRDefault="00EE1CF7">
            <w:pPr>
              <w:widowControl/>
              <w:jc w:val="center"/>
              <w:rPr>
                <w:rFonts w:ascii="Times New Roman" w:hAnsi="Times New Roman"/>
                <w:kern w:val="0"/>
                <w:szCs w:val="21"/>
              </w:rPr>
            </w:pPr>
            <w:r>
              <w:rPr>
                <w:rFonts w:ascii="Times New Roman" w:hAnsi="Times New Roman" w:hint="eastAsia"/>
                <w:kern w:val="0"/>
                <w:szCs w:val="21"/>
              </w:rPr>
              <w:t>制氢转化炉</w:t>
            </w:r>
          </w:p>
        </w:tc>
        <w:tc>
          <w:tcPr>
            <w:tcW w:w="1887" w:type="dxa"/>
            <w:tcBorders>
              <w:tl2br w:val="nil"/>
              <w:tr2bl w:val="nil"/>
            </w:tcBorders>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12471+993</w:t>
            </w:r>
          </w:p>
        </w:tc>
        <w:tc>
          <w:tcPr>
            <w:tcW w:w="1372" w:type="dxa"/>
            <w:tcBorders>
              <w:tl2br w:val="nil"/>
              <w:tr2bl w:val="nil"/>
            </w:tcBorders>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制氢解吸气</w:t>
            </w:r>
          </w:p>
        </w:tc>
        <w:tc>
          <w:tcPr>
            <w:tcW w:w="1310" w:type="dxa"/>
            <w:tcBorders>
              <w:tl2br w:val="nil"/>
              <w:tr2bl w:val="nil"/>
            </w:tcBorders>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12471</w:t>
            </w:r>
          </w:p>
        </w:tc>
      </w:tr>
      <w:tr w:rsidR="00525419">
        <w:trPr>
          <w:trHeight w:val="60"/>
          <w:jc w:val="center"/>
        </w:trPr>
        <w:tc>
          <w:tcPr>
            <w:tcW w:w="2166" w:type="dxa"/>
            <w:tcBorders>
              <w:tl2br w:val="nil"/>
              <w:tr2bl w:val="nil"/>
            </w:tcBorders>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硫磺回收</w:t>
            </w:r>
          </w:p>
        </w:tc>
        <w:tc>
          <w:tcPr>
            <w:tcW w:w="1778" w:type="dxa"/>
            <w:tcBorders>
              <w:tl2br w:val="nil"/>
              <w:tr2bl w:val="nil"/>
            </w:tcBorders>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焚烧炉</w:t>
            </w:r>
          </w:p>
        </w:tc>
        <w:tc>
          <w:tcPr>
            <w:tcW w:w="1887" w:type="dxa"/>
            <w:tcBorders>
              <w:tl2br w:val="nil"/>
              <w:tr2bl w:val="nil"/>
            </w:tcBorders>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119</w:t>
            </w:r>
          </w:p>
        </w:tc>
        <w:tc>
          <w:tcPr>
            <w:tcW w:w="1372" w:type="dxa"/>
            <w:tcBorders>
              <w:tl2br w:val="nil"/>
              <w:tr2bl w:val="nil"/>
            </w:tcBorders>
            <w:vAlign w:val="center"/>
          </w:tcPr>
          <w:p w:rsidR="00525419" w:rsidRDefault="00525419">
            <w:pPr>
              <w:widowControl/>
              <w:jc w:val="center"/>
              <w:rPr>
                <w:rFonts w:ascii="Times New Roman" w:hAnsi="Times New Roman"/>
                <w:kern w:val="0"/>
                <w:szCs w:val="21"/>
              </w:rPr>
            </w:pPr>
          </w:p>
        </w:tc>
        <w:tc>
          <w:tcPr>
            <w:tcW w:w="1310" w:type="dxa"/>
            <w:tcBorders>
              <w:tl2br w:val="nil"/>
              <w:tr2bl w:val="nil"/>
            </w:tcBorders>
            <w:vAlign w:val="center"/>
          </w:tcPr>
          <w:p w:rsidR="00525419" w:rsidRDefault="00525419">
            <w:pPr>
              <w:widowControl/>
              <w:jc w:val="center"/>
              <w:rPr>
                <w:rFonts w:ascii="Times New Roman" w:hAnsi="Times New Roman"/>
                <w:kern w:val="0"/>
                <w:szCs w:val="21"/>
              </w:rPr>
            </w:pPr>
          </w:p>
        </w:tc>
      </w:tr>
      <w:tr w:rsidR="00525419">
        <w:trPr>
          <w:trHeight w:val="301"/>
          <w:jc w:val="center"/>
        </w:trPr>
        <w:tc>
          <w:tcPr>
            <w:tcW w:w="2166" w:type="dxa"/>
            <w:tcBorders>
              <w:tl2br w:val="nil"/>
              <w:tr2bl w:val="nil"/>
            </w:tcBorders>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共计</w:t>
            </w:r>
          </w:p>
        </w:tc>
        <w:tc>
          <w:tcPr>
            <w:tcW w:w="1778" w:type="dxa"/>
            <w:tcBorders>
              <w:tl2br w:val="nil"/>
              <w:tr2bl w:val="nil"/>
            </w:tcBorders>
            <w:vAlign w:val="center"/>
          </w:tcPr>
          <w:p w:rsidR="00525419" w:rsidRDefault="00525419">
            <w:pPr>
              <w:widowControl/>
              <w:jc w:val="center"/>
              <w:rPr>
                <w:rFonts w:ascii="Times New Roman" w:hAnsi="Times New Roman"/>
                <w:kern w:val="0"/>
                <w:szCs w:val="21"/>
              </w:rPr>
            </w:pPr>
          </w:p>
        </w:tc>
        <w:tc>
          <w:tcPr>
            <w:tcW w:w="1887" w:type="dxa"/>
            <w:tcBorders>
              <w:tl2br w:val="nil"/>
              <w:tr2bl w:val="nil"/>
            </w:tcBorders>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15718</w:t>
            </w:r>
          </w:p>
        </w:tc>
        <w:tc>
          <w:tcPr>
            <w:tcW w:w="1372" w:type="dxa"/>
            <w:tcBorders>
              <w:tl2br w:val="nil"/>
              <w:tr2bl w:val="nil"/>
            </w:tcBorders>
            <w:vAlign w:val="center"/>
          </w:tcPr>
          <w:p w:rsidR="00525419" w:rsidRDefault="00525419">
            <w:pPr>
              <w:widowControl/>
              <w:jc w:val="center"/>
              <w:rPr>
                <w:rFonts w:ascii="Times New Roman" w:hAnsi="Times New Roman"/>
                <w:kern w:val="0"/>
                <w:szCs w:val="21"/>
              </w:rPr>
            </w:pPr>
          </w:p>
        </w:tc>
        <w:tc>
          <w:tcPr>
            <w:tcW w:w="1310" w:type="dxa"/>
            <w:tcBorders>
              <w:tl2br w:val="nil"/>
              <w:tr2bl w:val="nil"/>
            </w:tcBorders>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15718</w:t>
            </w:r>
          </w:p>
        </w:tc>
      </w:tr>
    </w:tbl>
    <w:p w:rsidR="00525419" w:rsidRDefault="00EE1CF7">
      <w:pPr>
        <w:pStyle w:val="afffe"/>
        <w:adjustRightInd w:val="0"/>
        <w:spacing w:after="0" w:line="360" w:lineRule="auto"/>
        <w:ind w:firstLineChars="200" w:firstLine="480"/>
        <w:rPr>
          <w:sz w:val="24"/>
        </w:rPr>
      </w:pPr>
      <w:r>
        <w:rPr>
          <w:sz w:val="24"/>
        </w:rPr>
        <w:t>（</w:t>
      </w:r>
      <w:r>
        <w:rPr>
          <w:sz w:val="24"/>
        </w:rPr>
        <w:t>3</w:t>
      </w:r>
      <w:r>
        <w:rPr>
          <w:sz w:val="24"/>
        </w:rPr>
        <w:t>）氢气平衡</w:t>
      </w:r>
    </w:p>
    <w:p w:rsidR="00525419" w:rsidRDefault="00EE1CF7">
      <w:pPr>
        <w:pStyle w:val="afffe"/>
        <w:adjustRightInd w:val="0"/>
        <w:spacing w:after="0" w:line="360" w:lineRule="auto"/>
        <w:ind w:firstLineChars="200" w:firstLine="480"/>
        <w:rPr>
          <w:sz w:val="24"/>
        </w:rPr>
      </w:pPr>
      <w:r>
        <w:rPr>
          <w:sz w:val="24"/>
        </w:rPr>
        <w:t>本项目氢气平衡见表</w:t>
      </w:r>
      <w:r>
        <w:rPr>
          <w:sz w:val="24"/>
        </w:rPr>
        <w:t>3.5-21</w:t>
      </w:r>
      <w:r>
        <w:rPr>
          <w:sz w:val="24"/>
        </w:rPr>
        <w:t>。</w:t>
      </w:r>
    </w:p>
    <w:p w:rsidR="00525419" w:rsidRDefault="00EE1CF7">
      <w:pPr>
        <w:pStyle w:val="afffe"/>
        <w:adjustRightInd w:val="0"/>
        <w:spacing w:after="0" w:line="240" w:lineRule="atLeast"/>
        <w:ind w:firstLineChars="1100" w:firstLine="2200"/>
        <w:rPr>
          <w:rFonts w:eastAsia="黑体"/>
          <w:szCs w:val="21"/>
        </w:rPr>
      </w:pPr>
      <w:r>
        <w:rPr>
          <w:rFonts w:eastAsia="黑体"/>
          <w:szCs w:val="21"/>
        </w:rPr>
        <w:t>表</w:t>
      </w:r>
      <w:r>
        <w:rPr>
          <w:rFonts w:eastAsia="黑体"/>
          <w:szCs w:val="21"/>
        </w:rPr>
        <w:t xml:space="preserve">3.5-21     </w:t>
      </w:r>
      <w:r>
        <w:rPr>
          <w:rFonts w:eastAsia="黑体"/>
          <w:szCs w:val="21"/>
        </w:rPr>
        <w:t>本项目氢气平衡表</w:t>
      </w:r>
    </w:p>
    <w:tbl>
      <w:tblPr>
        <w:tblW w:w="85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3"/>
        <w:gridCol w:w="1838"/>
        <w:gridCol w:w="981"/>
        <w:gridCol w:w="991"/>
        <w:gridCol w:w="1833"/>
        <w:gridCol w:w="971"/>
        <w:gridCol w:w="1197"/>
      </w:tblGrid>
      <w:tr w:rsidR="00525419">
        <w:trPr>
          <w:cantSplit/>
          <w:trHeight w:val="377"/>
        </w:trPr>
        <w:tc>
          <w:tcPr>
            <w:tcW w:w="703" w:type="dxa"/>
            <w:vMerge w:val="restart"/>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序号</w:t>
            </w:r>
          </w:p>
        </w:tc>
        <w:tc>
          <w:tcPr>
            <w:tcW w:w="3810" w:type="dxa"/>
            <w:gridSpan w:val="3"/>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产氢</w:t>
            </w:r>
          </w:p>
        </w:tc>
        <w:tc>
          <w:tcPr>
            <w:tcW w:w="4001" w:type="dxa"/>
            <w:gridSpan w:val="3"/>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耗氢</w:t>
            </w:r>
          </w:p>
        </w:tc>
      </w:tr>
      <w:tr w:rsidR="00525419">
        <w:trPr>
          <w:cantSplit/>
          <w:trHeight w:val="377"/>
        </w:trPr>
        <w:tc>
          <w:tcPr>
            <w:tcW w:w="703" w:type="dxa"/>
            <w:vMerge/>
            <w:tcBorders>
              <w:tl2br w:val="nil"/>
              <w:tr2bl w:val="nil"/>
            </w:tcBorders>
            <w:vAlign w:val="center"/>
          </w:tcPr>
          <w:p w:rsidR="00525419" w:rsidRDefault="00525419">
            <w:pPr>
              <w:pStyle w:val="affffffffd"/>
              <w:spacing w:line="240" w:lineRule="atLeast"/>
              <w:ind w:firstLineChars="0"/>
              <w:jc w:val="both"/>
              <w:rPr>
                <w:sz w:val="21"/>
                <w:szCs w:val="21"/>
              </w:rPr>
            </w:pPr>
          </w:p>
        </w:tc>
        <w:tc>
          <w:tcPr>
            <w:tcW w:w="1838"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装置</w:t>
            </w:r>
          </w:p>
        </w:tc>
        <w:tc>
          <w:tcPr>
            <w:tcW w:w="981"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单位</w:t>
            </w:r>
          </w:p>
        </w:tc>
        <w:tc>
          <w:tcPr>
            <w:tcW w:w="991"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数量</w:t>
            </w:r>
            <w:r>
              <w:rPr>
                <w:rFonts w:cs="Times New Roman"/>
                <w:color w:val="auto"/>
                <w:vertAlign w:val="superscript"/>
              </w:rPr>
              <w:t>[1]</w:t>
            </w:r>
          </w:p>
        </w:tc>
        <w:tc>
          <w:tcPr>
            <w:tcW w:w="1833"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装置</w:t>
            </w:r>
          </w:p>
        </w:tc>
        <w:tc>
          <w:tcPr>
            <w:tcW w:w="971"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单位</w:t>
            </w:r>
          </w:p>
        </w:tc>
        <w:tc>
          <w:tcPr>
            <w:tcW w:w="1197"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数量</w:t>
            </w:r>
            <w:r>
              <w:rPr>
                <w:rFonts w:cs="Times New Roman"/>
                <w:color w:val="auto"/>
                <w:vertAlign w:val="superscript"/>
              </w:rPr>
              <w:t>[1]</w:t>
            </w:r>
          </w:p>
        </w:tc>
      </w:tr>
      <w:tr w:rsidR="00525419">
        <w:trPr>
          <w:cantSplit/>
          <w:trHeight w:val="377"/>
        </w:trPr>
        <w:tc>
          <w:tcPr>
            <w:tcW w:w="703"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1</w:t>
            </w:r>
          </w:p>
        </w:tc>
        <w:tc>
          <w:tcPr>
            <w:tcW w:w="1838"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天然气制氢装置</w:t>
            </w:r>
          </w:p>
        </w:tc>
        <w:tc>
          <w:tcPr>
            <w:tcW w:w="981"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Nm</w:t>
            </w:r>
            <w:r>
              <w:rPr>
                <w:sz w:val="21"/>
                <w:szCs w:val="21"/>
                <w:vertAlign w:val="superscript"/>
              </w:rPr>
              <w:t>3</w:t>
            </w:r>
            <w:r>
              <w:rPr>
                <w:sz w:val="21"/>
                <w:szCs w:val="21"/>
              </w:rPr>
              <w:t>/h</w:t>
            </w:r>
          </w:p>
        </w:tc>
        <w:tc>
          <w:tcPr>
            <w:tcW w:w="991"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25000</w:t>
            </w:r>
          </w:p>
        </w:tc>
        <w:tc>
          <w:tcPr>
            <w:tcW w:w="1833"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煤焦油加氢单元</w:t>
            </w:r>
          </w:p>
        </w:tc>
        <w:tc>
          <w:tcPr>
            <w:tcW w:w="971"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Nm</w:t>
            </w:r>
            <w:r>
              <w:rPr>
                <w:sz w:val="21"/>
                <w:szCs w:val="21"/>
                <w:vertAlign w:val="superscript"/>
              </w:rPr>
              <w:t>3</w:t>
            </w:r>
            <w:r>
              <w:rPr>
                <w:sz w:val="21"/>
                <w:szCs w:val="21"/>
              </w:rPr>
              <w:t>/h</w:t>
            </w:r>
          </w:p>
        </w:tc>
        <w:tc>
          <w:tcPr>
            <w:tcW w:w="1197"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21629</w:t>
            </w:r>
          </w:p>
        </w:tc>
      </w:tr>
      <w:tr w:rsidR="00525419">
        <w:trPr>
          <w:cantSplit/>
          <w:trHeight w:val="377"/>
        </w:trPr>
        <w:tc>
          <w:tcPr>
            <w:tcW w:w="703" w:type="dxa"/>
            <w:tcBorders>
              <w:tl2br w:val="nil"/>
              <w:tr2bl w:val="nil"/>
            </w:tcBorders>
            <w:vAlign w:val="center"/>
          </w:tcPr>
          <w:p w:rsidR="00525419" w:rsidRDefault="00EE1CF7">
            <w:pPr>
              <w:pStyle w:val="afffffffffffffffffffffffffffffffff9"/>
              <w:tabs>
                <w:tab w:val="left" w:pos="628"/>
                <w:tab w:val="left" w:pos="1727"/>
                <w:tab w:val="left" w:pos="1884"/>
              </w:tabs>
              <w:rPr>
                <w:rFonts w:cs="Times New Roman"/>
                <w:color w:val="auto"/>
              </w:rPr>
            </w:pPr>
            <w:r>
              <w:rPr>
                <w:rFonts w:cs="Times New Roman"/>
                <w:color w:val="auto"/>
              </w:rPr>
              <w:t>2</w:t>
            </w:r>
          </w:p>
        </w:tc>
        <w:tc>
          <w:tcPr>
            <w:tcW w:w="1838"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低分气</w:t>
            </w:r>
            <w:r>
              <w:rPr>
                <w:sz w:val="21"/>
                <w:szCs w:val="21"/>
              </w:rPr>
              <w:t>PSA</w:t>
            </w:r>
            <w:r>
              <w:rPr>
                <w:sz w:val="21"/>
                <w:szCs w:val="21"/>
              </w:rPr>
              <w:t>单元</w:t>
            </w:r>
          </w:p>
        </w:tc>
        <w:tc>
          <w:tcPr>
            <w:tcW w:w="981"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Nm</w:t>
            </w:r>
            <w:r>
              <w:rPr>
                <w:sz w:val="21"/>
                <w:szCs w:val="21"/>
                <w:vertAlign w:val="superscript"/>
              </w:rPr>
              <w:t>3</w:t>
            </w:r>
            <w:r>
              <w:rPr>
                <w:sz w:val="21"/>
                <w:szCs w:val="21"/>
              </w:rPr>
              <w:t>/h</w:t>
            </w:r>
          </w:p>
        </w:tc>
        <w:tc>
          <w:tcPr>
            <w:tcW w:w="991"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800</w:t>
            </w:r>
          </w:p>
        </w:tc>
        <w:tc>
          <w:tcPr>
            <w:tcW w:w="1833"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硫磺回收</w:t>
            </w:r>
          </w:p>
        </w:tc>
        <w:tc>
          <w:tcPr>
            <w:tcW w:w="971"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Nm</w:t>
            </w:r>
            <w:r>
              <w:rPr>
                <w:sz w:val="21"/>
                <w:szCs w:val="21"/>
                <w:vertAlign w:val="superscript"/>
              </w:rPr>
              <w:t>3</w:t>
            </w:r>
            <w:r>
              <w:rPr>
                <w:sz w:val="21"/>
                <w:szCs w:val="21"/>
              </w:rPr>
              <w:t>/h</w:t>
            </w:r>
          </w:p>
        </w:tc>
        <w:tc>
          <w:tcPr>
            <w:tcW w:w="1197"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3</w:t>
            </w:r>
          </w:p>
        </w:tc>
      </w:tr>
      <w:tr w:rsidR="00525419">
        <w:trPr>
          <w:cantSplit/>
          <w:trHeight w:val="377"/>
        </w:trPr>
        <w:tc>
          <w:tcPr>
            <w:tcW w:w="703"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合计</w:t>
            </w:r>
          </w:p>
        </w:tc>
        <w:tc>
          <w:tcPr>
            <w:tcW w:w="1838" w:type="dxa"/>
            <w:tcBorders>
              <w:tl2br w:val="nil"/>
              <w:tr2bl w:val="nil"/>
            </w:tcBorders>
            <w:vAlign w:val="center"/>
          </w:tcPr>
          <w:p w:rsidR="00525419" w:rsidRDefault="00525419">
            <w:pPr>
              <w:pStyle w:val="affffffffd"/>
              <w:spacing w:line="240" w:lineRule="atLeast"/>
              <w:ind w:firstLineChars="0"/>
              <w:jc w:val="both"/>
              <w:rPr>
                <w:sz w:val="21"/>
                <w:szCs w:val="21"/>
              </w:rPr>
            </w:pPr>
          </w:p>
        </w:tc>
        <w:tc>
          <w:tcPr>
            <w:tcW w:w="981" w:type="dxa"/>
            <w:tcBorders>
              <w:tl2br w:val="nil"/>
              <w:tr2bl w:val="nil"/>
            </w:tcBorders>
            <w:vAlign w:val="center"/>
          </w:tcPr>
          <w:p w:rsidR="00525419" w:rsidRDefault="00525419">
            <w:pPr>
              <w:pStyle w:val="affffffffd"/>
              <w:spacing w:line="240" w:lineRule="atLeast"/>
              <w:ind w:firstLineChars="0"/>
              <w:jc w:val="both"/>
              <w:rPr>
                <w:sz w:val="21"/>
                <w:szCs w:val="21"/>
              </w:rPr>
            </w:pPr>
          </w:p>
        </w:tc>
        <w:tc>
          <w:tcPr>
            <w:tcW w:w="991"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25800</w:t>
            </w:r>
          </w:p>
        </w:tc>
        <w:tc>
          <w:tcPr>
            <w:tcW w:w="1833" w:type="dxa"/>
            <w:tcBorders>
              <w:tl2br w:val="nil"/>
              <w:tr2bl w:val="nil"/>
            </w:tcBorders>
            <w:vAlign w:val="center"/>
          </w:tcPr>
          <w:p w:rsidR="00525419" w:rsidRDefault="00525419">
            <w:pPr>
              <w:pStyle w:val="affffffffd"/>
              <w:spacing w:line="240" w:lineRule="atLeast"/>
              <w:ind w:firstLineChars="0"/>
              <w:jc w:val="both"/>
              <w:rPr>
                <w:sz w:val="21"/>
                <w:szCs w:val="21"/>
              </w:rPr>
            </w:pPr>
          </w:p>
        </w:tc>
        <w:tc>
          <w:tcPr>
            <w:tcW w:w="971" w:type="dxa"/>
            <w:tcBorders>
              <w:tl2br w:val="nil"/>
              <w:tr2bl w:val="nil"/>
            </w:tcBorders>
            <w:vAlign w:val="center"/>
          </w:tcPr>
          <w:p w:rsidR="00525419" w:rsidRDefault="00525419">
            <w:pPr>
              <w:pStyle w:val="affffffffd"/>
              <w:spacing w:line="240" w:lineRule="atLeast"/>
              <w:ind w:firstLineChars="0"/>
              <w:jc w:val="both"/>
              <w:rPr>
                <w:sz w:val="21"/>
                <w:szCs w:val="21"/>
              </w:rPr>
            </w:pPr>
          </w:p>
        </w:tc>
        <w:tc>
          <w:tcPr>
            <w:tcW w:w="1197"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21632</w:t>
            </w:r>
          </w:p>
        </w:tc>
      </w:tr>
    </w:tbl>
    <w:p w:rsidR="00525419" w:rsidRDefault="00EE1CF7">
      <w:pPr>
        <w:pStyle w:val="afffe"/>
        <w:adjustRightInd w:val="0"/>
        <w:spacing w:after="0" w:line="360" w:lineRule="auto"/>
        <w:ind w:firstLineChars="350" w:firstLine="700"/>
        <w:rPr>
          <w:rFonts w:eastAsia="黑体"/>
          <w:szCs w:val="21"/>
        </w:rPr>
      </w:pPr>
      <w:r>
        <w:t>注</w:t>
      </w:r>
      <w:r>
        <w:t>[1]</w:t>
      </w:r>
      <w:r>
        <w:t>：氢气的数量均以纯氢</w:t>
      </w:r>
    </w:p>
    <w:p w:rsidR="00525419" w:rsidRDefault="00EE1CF7">
      <w:pPr>
        <w:pStyle w:val="afffe"/>
        <w:adjustRightInd w:val="0"/>
        <w:spacing w:after="0" w:line="360" w:lineRule="auto"/>
        <w:ind w:firstLineChars="200" w:firstLine="480"/>
        <w:rPr>
          <w:sz w:val="24"/>
        </w:rPr>
      </w:pPr>
      <w:r>
        <w:rPr>
          <w:sz w:val="24"/>
        </w:rPr>
        <w:t>（</w:t>
      </w:r>
      <w:r>
        <w:rPr>
          <w:sz w:val="24"/>
        </w:rPr>
        <w:t>4</w:t>
      </w:r>
      <w:r>
        <w:rPr>
          <w:sz w:val="24"/>
        </w:rPr>
        <w:t>）硫平衡</w:t>
      </w:r>
    </w:p>
    <w:p w:rsidR="00525419" w:rsidRDefault="00EE1CF7">
      <w:pPr>
        <w:autoSpaceDE w:val="0"/>
        <w:autoSpaceDN w:val="0"/>
        <w:adjustRightInd w:val="0"/>
        <w:spacing w:line="360" w:lineRule="auto"/>
        <w:ind w:firstLineChars="200" w:firstLine="480"/>
        <w:rPr>
          <w:rFonts w:ascii="Times New Roman" w:hAnsi="Times New Roman"/>
          <w:sz w:val="24"/>
        </w:rPr>
      </w:pPr>
      <w:r>
        <w:rPr>
          <w:rFonts w:ascii="Times New Roman" w:hAnsi="Times New Roman"/>
          <w:sz w:val="24"/>
        </w:rPr>
        <w:t>本项目硫平衡见表</w:t>
      </w:r>
      <w:r>
        <w:rPr>
          <w:rFonts w:ascii="Times New Roman" w:hAnsi="Times New Roman"/>
          <w:sz w:val="24"/>
        </w:rPr>
        <w:t>3.5-22</w:t>
      </w:r>
      <w:r>
        <w:rPr>
          <w:rFonts w:ascii="Times New Roman" w:hAnsi="Times New Roman"/>
          <w:sz w:val="24"/>
        </w:rPr>
        <w:t>。</w:t>
      </w:r>
    </w:p>
    <w:p w:rsidR="00525419" w:rsidRDefault="00EE1CF7" w:rsidP="00EE1CF7">
      <w:pPr>
        <w:ind w:firstLineChars="897" w:firstLine="1884"/>
        <w:rPr>
          <w:rFonts w:ascii="Times New Roman" w:eastAsia="黑体" w:hAnsi="Times New Roman"/>
          <w:szCs w:val="21"/>
        </w:rPr>
      </w:pPr>
      <w:r>
        <w:rPr>
          <w:rFonts w:ascii="Times New Roman" w:eastAsia="黑体" w:hAnsi="Times New Roman"/>
        </w:rPr>
        <w:t>表</w:t>
      </w:r>
      <w:r>
        <w:rPr>
          <w:rFonts w:ascii="Times New Roman" w:eastAsia="黑体" w:hAnsi="Times New Roman"/>
        </w:rPr>
        <w:t xml:space="preserve">3.5-22          </w:t>
      </w:r>
      <w:r>
        <w:rPr>
          <w:rFonts w:ascii="Times New Roman" w:eastAsia="黑体" w:hAnsi="Times New Roman"/>
        </w:rPr>
        <w:t>硫平衡表</w:t>
      </w:r>
      <w:r>
        <w:rPr>
          <w:rFonts w:ascii="Times New Roman" w:eastAsia="黑体" w:hAnsi="Times New Roman"/>
        </w:rPr>
        <w:t xml:space="preserve">           </w:t>
      </w:r>
      <w:r>
        <w:rPr>
          <w:rFonts w:ascii="Times New Roman" w:eastAsia="黑体" w:hAnsi="Times New Roman"/>
        </w:rPr>
        <w:t>单位：</w:t>
      </w:r>
      <w:r>
        <w:rPr>
          <w:rFonts w:ascii="Times New Roman" w:eastAsia="黑体" w:hAnsi="Times New Roman"/>
        </w:rPr>
        <w:t>t/a</w:t>
      </w:r>
    </w:p>
    <w:tbl>
      <w:tblPr>
        <w:tblW w:w="8237" w:type="dxa"/>
        <w:tblInd w:w="9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08"/>
        <w:gridCol w:w="1133"/>
        <w:gridCol w:w="934"/>
        <w:gridCol w:w="1260"/>
        <w:gridCol w:w="1634"/>
        <w:gridCol w:w="1276"/>
        <w:gridCol w:w="992"/>
      </w:tblGrid>
      <w:tr w:rsidR="00525419">
        <w:trPr>
          <w:trHeight w:val="282"/>
        </w:trPr>
        <w:tc>
          <w:tcPr>
            <w:tcW w:w="4335" w:type="dxa"/>
            <w:gridSpan w:val="4"/>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投入</w:t>
            </w:r>
          </w:p>
        </w:tc>
        <w:tc>
          <w:tcPr>
            <w:tcW w:w="3902" w:type="dxa"/>
            <w:gridSpan w:val="3"/>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产出</w:t>
            </w:r>
          </w:p>
        </w:tc>
      </w:tr>
      <w:tr w:rsidR="00525419">
        <w:trPr>
          <w:trHeight w:val="345"/>
        </w:trPr>
        <w:tc>
          <w:tcPr>
            <w:tcW w:w="1008"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名称</w:t>
            </w:r>
          </w:p>
        </w:tc>
        <w:tc>
          <w:tcPr>
            <w:tcW w:w="1133"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用量</w:t>
            </w:r>
          </w:p>
        </w:tc>
        <w:tc>
          <w:tcPr>
            <w:tcW w:w="934"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含硫率</w:t>
            </w:r>
            <w:r>
              <w:rPr>
                <w:rFonts w:ascii="Times New Roman" w:hAnsi="Times New Roman"/>
                <w:kern w:val="0"/>
                <w:szCs w:val="21"/>
              </w:rPr>
              <w:t>%</w:t>
            </w:r>
          </w:p>
        </w:tc>
        <w:tc>
          <w:tcPr>
            <w:tcW w:w="1260"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snapToGrid w:val="0"/>
                <w:szCs w:val="21"/>
              </w:rPr>
              <w:t>硫总量</w:t>
            </w:r>
          </w:p>
        </w:tc>
        <w:tc>
          <w:tcPr>
            <w:tcW w:w="1634"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物料名称</w:t>
            </w:r>
          </w:p>
        </w:tc>
        <w:tc>
          <w:tcPr>
            <w:tcW w:w="1276"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含硫率</w:t>
            </w:r>
            <w:r>
              <w:rPr>
                <w:rFonts w:ascii="Times New Roman" w:hAnsi="Times New Roman"/>
                <w:kern w:val="0"/>
                <w:szCs w:val="21"/>
              </w:rPr>
              <w:t>%</w:t>
            </w:r>
          </w:p>
        </w:tc>
        <w:tc>
          <w:tcPr>
            <w:tcW w:w="992"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snapToGrid w:val="0"/>
                <w:szCs w:val="21"/>
              </w:rPr>
              <w:t>硫总量</w:t>
            </w:r>
            <w:r>
              <w:rPr>
                <w:rFonts w:ascii="Times New Roman" w:hAnsi="Times New Roman"/>
                <w:snapToGrid w:val="0"/>
                <w:szCs w:val="21"/>
              </w:rPr>
              <w:t xml:space="preserve"> </w:t>
            </w:r>
          </w:p>
        </w:tc>
      </w:tr>
      <w:tr w:rsidR="00525419">
        <w:trPr>
          <w:trHeight w:val="235"/>
        </w:trPr>
        <w:tc>
          <w:tcPr>
            <w:tcW w:w="1008"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焦油</w:t>
            </w:r>
          </w:p>
        </w:tc>
        <w:tc>
          <w:tcPr>
            <w:tcW w:w="1133"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40</w:t>
            </w:r>
            <w:r>
              <w:rPr>
                <w:rFonts w:ascii="Times New Roman" w:hAnsi="Times New Roman"/>
                <w:kern w:val="0"/>
                <w:szCs w:val="21"/>
              </w:rPr>
              <w:t>万</w:t>
            </w:r>
            <w:r>
              <w:rPr>
                <w:rFonts w:ascii="Times New Roman" w:hAnsi="Times New Roman"/>
                <w:kern w:val="0"/>
                <w:szCs w:val="21"/>
              </w:rPr>
              <w:t xml:space="preserve"> </w:t>
            </w:r>
          </w:p>
        </w:tc>
        <w:tc>
          <w:tcPr>
            <w:tcW w:w="934"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0.21</w:t>
            </w:r>
          </w:p>
        </w:tc>
        <w:tc>
          <w:tcPr>
            <w:tcW w:w="1260"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840</w:t>
            </w:r>
          </w:p>
        </w:tc>
        <w:tc>
          <w:tcPr>
            <w:tcW w:w="1634" w:type="dxa"/>
            <w:tcBorders>
              <w:tl2br w:val="nil"/>
              <w:tr2bl w:val="nil"/>
            </w:tcBorders>
            <w:vAlign w:val="center"/>
          </w:tcPr>
          <w:p w:rsidR="00525419" w:rsidRDefault="00EE1CF7">
            <w:pPr>
              <w:pStyle w:val="Default"/>
              <w:rPr>
                <w:rFonts w:ascii="Times New Roman"/>
                <w:color w:val="auto"/>
                <w:sz w:val="21"/>
                <w:szCs w:val="21"/>
              </w:rPr>
            </w:pPr>
            <w:r>
              <w:rPr>
                <w:rFonts w:ascii="Times New Roman"/>
                <w:color w:val="auto"/>
                <w:sz w:val="21"/>
                <w:szCs w:val="21"/>
              </w:rPr>
              <w:t>硫磺</w:t>
            </w:r>
          </w:p>
        </w:tc>
        <w:tc>
          <w:tcPr>
            <w:tcW w:w="1276"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99.95</w:t>
            </w:r>
          </w:p>
        </w:tc>
        <w:tc>
          <w:tcPr>
            <w:tcW w:w="992"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101</w:t>
            </w:r>
            <w:r>
              <w:rPr>
                <w:rFonts w:ascii="Times New Roman" w:hAnsi="Times New Roman" w:hint="eastAsia"/>
                <w:kern w:val="0"/>
                <w:szCs w:val="21"/>
              </w:rPr>
              <w:t>92</w:t>
            </w:r>
          </w:p>
        </w:tc>
      </w:tr>
      <w:tr w:rsidR="00525419">
        <w:trPr>
          <w:trHeight w:val="360"/>
        </w:trPr>
        <w:tc>
          <w:tcPr>
            <w:tcW w:w="1008" w:type="dxa"/>
            <w:vMerge w:val="restart"/>
            <w:tcBorders>
              <w:tl2br w:val="nil"/>
              <w:tr2bl w:val="nil"/>
            </w:tcBorders>
            <w:vAlign w:val="center"/>
          </w:tcPr>
          <w:p w:rsidR="00525419" w:rsidRDefault="00EE1CF7">
            <w:pPr>
              <w:spacing w:line="240" w:lineRule="exact"/>
              <w:rPr>
                <w:rFonts w:ascii="Times New Roman" w:hAnsi="Times New Roman"/>
                <w:kern w:val="0"/>
                <w:szCs w:val="21"/>
              </w:rPr>
            </w:pPr>
            <w:r>
              <w:rPr>
                <w:rFonts w:ascii="Times New Roman" w:hAnsi="Times New Roman"/>
                <w:kern w:val="0"/>
                <w:szCs w:val="21"/>
              </w:rPr>
              <w:t>厂区现有装置酸性水</w:t>
            </w:r>
          </w:p>
        </w:tc>
        <w:tc>
          <w:tcPr>
            <w:tcW w:w="1133" w:type="dxa"/>
            <w:vMerge w:val="restart"/>
            <w:tcBorders>
              <w:tl2br w:val="nil"/>
              <w:tr2bl w:val="nil"/>
            </w:tcBorders>
            <w:vAlign w:val="center"/>
          </w:tcPr>
          <w:p w:rsidR="00525419" w:rsidRDefault="00EE1CF7">
            <w:pPr>
              <w:spacing w:line="240" w:lineRule="atLeast"/>
              <w:rPr>
                <w:rFonts w:ascii="Times New Roman" w:hAnsi="Times New Roman"/>
                <w:kern w:val="0"/>
                <w:szCs w:val="21"/>
              </w:rPr>
            </w:pPr>
            <w:r>
              <w:rPr>
                <w:rFonts w:ascii="Times New Roman" w:hAnsi="Times New Roman" w:hint="eastAsia"/>
                <w:kern w:val="0"/>
                <w:szCs w:val="21"/>
              </w:rPr>
              <w:t>14.362</w:t>
            </w:r>
            <w:r>
              <w:rPr>
                <w:rFonts w:ascii="Times New Roman" w:hAnsi="Times New Roman"/>
                <w:kern w:val="0"/>
                <w:szCs w:val="21"/>
              </w:rPr>
              <w:t>万</w:t>
            </w:r>
          </w:p>
        </w:tc>
        <w:tc>
          <w:tcPr>
            <w:tcW w:w="934" w:type="dxa"/>
            <w:vMerge w:val="restart"/>
            <w:tcBorders>
              <w:tl2br w:val="nil"/>
              <w:tr2bl w:val="nil"/>
            </w:tcBorders>
            <w:vAlign w:val="center"/>
          </w:tcPr>
          <w:p w:rsidR="00525419" w:rsidRDefault="00EE1CF7">
            <w:pPr>
              <w:spacing w:line="240" w:lineRule="atLeast"/>
              <w:rPr>
                <w:rFonts w:ascii="Times New Roman" w:hAnsi="Times New Roman"/>
                <w:kern w:val="0"/>
                <w:szCs w:val="21"/>
              </w:rPr>
            </w:pPr>
            <w:r>
              <w:rPr>
                <w:rFonts w:ascii="Times New Roman" w:hAnsi="Times New Roman"/>
                <w:kern w:val="0"/>
                <w:szCs w:val="21"/>
              </w:rPr>
              <w:t>/</w:t>
            </w:r>
          </w:p>
        </w:tc>
        <w:tc>
          <w:tcPr>
            <w:tcW w:w="1260" w:type="dxa"/>
            <w:vMerge w:val="restart"/>
            <w:tcBorders>
              <w:tl2br w:val="nil"/>
              <w:tr2bl w:val="nil"/>
            </w:tcBorders>
            <w:vAlign w:val="center"/>
          </w:tcPr>
          <w:p w:rsidR="00525419" w:rsidRDefault="00EE1CF7">
            <w:pPr>
              <w:spacing w:line="240" w:lineRule="atLeast"/>
              <w:rPr>
                <w:rFonts w:ascii="Times New Roman" w:hAnsi="Times New Roman"/>
                <w:kern w:val="0"/>
                <w:szCs w:val="21"/>
              </w:rPr>
            </w:pPr>
            <w:r>
              <w:rPr>
                <w:rFonts w:ascii="Times New Roman" w:hAnsi="Times New Roman"/>
                <w:kern w:val="0"/>
                <w:szCs w:val="21"/>
              </w:rPr>
              <w:t>900</w:t>
            </w:r>
          </w:p>
        </w:tc>
        <w:tc>
          <w:tcPr>
            <w:tcW w:w="1634" w:type="dxa"/>
            <w:tcBorders>
              <w:tl2br w:val="nil"/>
              <w:tr2bl w:val="nil"/>
            </w:tcBorders>
            <w:vAlign w:val="center"/>
          </w:tcPr>
          <w:p w:rsidR="00525419" w:rsidRDefault="00EE1CF7">
            <w:pPr>
              <w:spacing w:line="240" w:lineRule="atLeast"/>
              <w:rPr>
                <w:rFonts w:ascii="Times New Roman" w:hAnsi="Times New Roman"/>
                <w:kern w:val="0"/>
                <w:szCs w:val="21"/>
              </w:rPr>
            </w:pPr>
            <w:r>
              <w:rPr>
                <w:rFonts w:ascii="Times New Roman" w:hAnsi="Times New Roman"/>
                <w:kern w:val="0"/>
                <w:szCs w:val="21"/>
              </w:rPr>
              <w:t>产品带走硫</w:t>
            </w:r>
          </w:p>
        </w:tc>
        <w:tc>
          <w:tcPr>
            <w:tcW w:w="1276" w:type="dxa"/>
            <w:tcBorders>
              <w:tl2br w:val="nil"/>
              <w:tr2bl w:val="nil"/>
            </w:tcBorders>
            <w:vAlign w:val="center"/>
          </w:tcPr>
          <w:p w:rsidR="00525419" w:rsidRDefault="00EE1CF7">
            <w:pPr>
              <w:spacing w:line="240" w:lineRule="atLeast"/>
              <w:rPr>
                <w:rFonts w:ascii="Times New Roman" w:hAnsi="Times New Roman"/>
                <w:kern w:val="0"/>
                <w:szCs w:val="21"/>
              </w:rPr>
            </w:pPr>
            <w:r>
              <w:rPr>
                <w:rFonts w:ascii="Times New Roman" w:hAnsi="Times New Roman"/>
                <w:kern w:val="0"/>
                <w:szCs w:val="21"/>
              </w:rPr>
              <w:t>/</w:t>
            </w:r>
          </w:p>
        </w:tc>
        <w:tc>
          <w:tcPr>
            <w:tcW w:w="992" w:type="dxa"/>
            <w:tcBorders>
              <w:tl2br w:val="nil"/>
              <w:tr2bl w:val="nil"/>
            </w:tcBorders>
            <w:vAlign w:val="center"/>
          </w:tcPr>
          <w:p w:rsidR="00525419" w:rsidRDefault="00EE1CF7">
            <w:pPr>
              <w:spacing w:line="240" w:lineRule="atLeast"/>
              <w:rPr>
                <w:rFonts w:ascii="Times New Roman" w:hAnsi="Times New Roman"/>
                <w:kern w:val="0"/>
                <w:szCs w:val="21"/>
              </w:rPr>
            </w:pPr>
            <w:r>
              <w:rPr>
                <w:rFonts w:ascii="Times New Roman" w:hAnsi="Times New Roman"/>
                <w:kern w:val="0"/>
                <w:szCs w:val="21"/>
              </w:rPr>
              <w:t xml:space="preserve">极少　</w:t>
            </w:r>
          </w:p>
        </w:tc>
      </w:tr>
      <w:tr w:rsidR="00525419">
        <w:trPr>
          <w:trHeight w:val="615"/>
        </w:trPr>
        <w:tc>
          <w:tcPr>
            <w:tcW w:w="1008" w:type="dxa"/>
            <w:vMerge/>
            <w:tcBorders>
              <w:tl2br w:val="nil"/>
              <w:tr2bl w:val="nil"/>
            </w:tcBorders>
            <w:vAlign w:val="center"/>
          </w:tcPr>
          <w:p w:rsidR="00525419" w:rsidRDefault="00525419">
            <w:pPr>
              <w:spacing w:line="240" w:lineRule="exact"/>
              <w:rPr>
                <w:rFonts w:ascii="Times New Roman" w:hAnsi="Times New Roman"/>
                <w:kern w:val="0"/>
                <w:szCs w:val="21"/>
              </w:rPr>
            </w:pPr>
          </w:p>
        </w:tc>
        <w:tc>
          <w:tcPr>
            <w:tcW w:w="1133" w:type="dxa"/>
            <w:vMerge/>
            <w:tcBorders>
              <w:tl2br w:val="nil"/>
              <w:tr2bl w:val="nil"/>
            </w:tcBorders>
            <w:vAlign w:val="center"/>
          </w:tcPr>
          <w:p w:rsidR="00525419" w:rsidRDefault="00525419">
            <w:pPr>
              <w:spacing w:line="240" w:lineRule="atLeast"/>
              <w:rPr>
                <w:rFonts w:ascii="Times New Roman" w:hAnsi="Times New Roman"/>
                <w:kern w:val="0"/>
                <w:szCs w:val="21"/>
              </w:rPr>
            </w:pPr>
          </w:p>
        </w:tc>
        <w:tc>
          <w:tcPr>
            <w:tcW w:w="934" w:type="dxa"/>
            <w:vMerge/>
            <w:tcBorders>
              <w:tl2br w:val="nil"/>
              <w:tr2bl w:val="nil"/>
            </w:tcBorders>
            <w:vAlign w:val="center"/>
          </w:tcPr>
          <w:p w:rsidR="00525419" w:rsidRDefault="00525419">
            <w:pPr>
              <w:spacing w:line="240" w:lineRule="atLeast"/>
              <w:rPr>
                <w:rFonts w:ascii="Times New Roman" w:hAnsi="Times New Roman"/>
                <w:kern w:val="0"/>
                <w:szCs w:val="21"/>
              </w:rPr>
            </w:pPr>
          </w:p>
        </w:tc>
        <w:tc>
          <w:tcPr>
            <w:tcW w:w="1260" w:type="dxa"/>
            <w:vMerge/>
            <w:tcBorders>
              <w:tl2br w:val="nil"/>
              <w:tr2bl w:val="nil"/>
            </w:tcBorders>
            <w:vAlign w:val="center"/>
          </w:tcPr>
          <w:p w:rsidR="00525419" w:rsidRDefault="00525419">
            <w:pPr>
              <w:spacing w:line="240" w:lineRule="atLeast"/>
              <w:rPr>
                <w:rFonts w:ascii="Times New Roman" w:hAnsi="Times New Roman"/>
                <w:kern w:val="0"/>
                <w:szCs w:val="21"/>
              </w:rPr>
            </w:pPr>
          </w:p>
        </w:tc>
        <w:tc>
          <w:tcPr>
            <w:tcW w:w="1634" w:type="dxa"/>
            <w:vMerge w:val="restart"/>
            <w:tcBorders>
              <w:tl2br w:val="nil"/>
              <w:tr2bl w:val="nil"/>
            </w:tcBorders>
            <w:vAlign w:val="center"/>
          </w:tcPr>
          <w:p w:rsidR="00525419" w:rsidRDefault="00EE1CF7">
            <w:pPr>
              <w:spacing w:line="240" w:lineRule="atLeast"/>
              <w:rPr>
                <w:rFonts w:ascii="Times New Roman" w:hAnsi="Times New Roman"/>
                <w:kern w:val="0"/>
                <w:szCs w:val="21"/>
              </w:rPr>
            </w:pPr>
            <w:r>
              <w:rPr>
                <w:rFonts w:ascii="Times New Roman" w:hAnsi="Times New Roman"/>
                <w:kern w:val="0"/>
                <w:szCs w:val="21"/>
              </w:rPr>
              <w:t>废水带走硫</w:t>
            </w:r>
          </w:p>
        </w:tc>
        <w:tc>
          <w:tcPr>
            <w:tcW w:w="1276" w:type="dxa"/>
            <w:vMerge w:val="restart"/>
            <w:tcBorders>
              <w:tl2br w:val="nil"/>
              <w:tr2bl w:val="nil"/>
            </w:tcBorders>
            <w:vAlign w:val="center"/>
          </w:tcPr>
          <w:p w:rsidR="00525419" w:rsidRDefault="00EE1CF7">
            <w:pPr>
              <w:spacing w:line="240" w:lineRule="atLeast"/>
              <w:rPr>
                <w:rFonts w:ascii="Times New Roman" w:hAnsi="Times New Roman"/>
                <w:kern w:val="0"/>
                <w:szCs w:val="21"/>
              </w:rPr>
            </w:pPr>
            <w:r>
              <w:rPr>
                <w:rFonts w:ascii="Times New Roman" w:hAnsi="Times New Roman"/>
                <w:kern w:val="0"/>
                <w:szCs w:val="21"/>
              </w:rPr>
              <w:t>/</w:t>
            </w:r>
          </w:p>
        </w:tc>
        <w:tc>
          <w:tcPr>
            <w:tcW w:w="992" w:type="dxa"/>
            <w:vMerge w:val="restart"/>
            <w:tcBorders>
              <w:tl2br w:val="nil"/>
              <w:tr2bl w:val="nil"/>
            </w:tcBorders>
            <w:vAlign w:val="center"/>
          </w:tcPr>
          <w:p w:rsidR="00525419" w:rsidRDefault="00EE1CF7">
            <w:pPr>
              <w:spacing w:line="240" w:lineRule="atLeast"/>
              <w:rPr>
                <w:rFonts w:ascii="Times New Roman" w:hAnsi="Times New Roman"/>
                <w:kern w:val="0"/>
                <w:szCs w:val="21"/>
              </w:rPr>
            </w:pPr>
            <w:r>
              <w:rPr>
                <w:rFonts w:ascii="Times New Roman" w:hAnsi="Times New Roman" w:hint="eastAsia"/>
                <w:kern w:val="0"/>
                <w:szCs w:val="21"/>
              </w:rPr>
              <w:t>4</w:t>
            </w:r>
          </w:p>
        </w:tc>
      </w:tr>
      <w:tr w:rsidR="00525419">
        <w:trPr>
          <w:trHeight w:val="240"/>
        </w:trPr>
        <w:tc>
          <w:tcPr>
            <w:tcW w:w="1008" w:type="dxa"/>
            <w:tcBorders>
              <w:tl2br w:val="nil"/>
              <w:tr2bl w:val="nil"/>
            </w:tcBorders>
            <w:vAlign w:val="center"/>
          </w:tcPr>
          <w:p w:rsidR="00525419" w:rsidRDefault="00EE1CF7">
            <w:pPr>
              <w:spacing w:line="240" w:lineRule="exact"/>
              <w:rPr>
                <w:rFonts w:ascii="Times New Roman" w:hAnsi="Times New Roman"/>
                <w:kern w:val="0"/>
                <w:szCs w:val="21"/>
              </w:rPr>
            </w:pPr>
            <w:r>
              <w:rPr>
                <w:rFonts w:ascii="Times New Roman" w:hAnsi="Times New Roman"/>
                <w:kern w:val="0"/>
                <w:szCs w:val="21"/>
              </w:rPr>
              <w:t>厂区现有装置干气脱硫酸性气</w:t>
            </w:r>
          </w:p>
        </w:tc>
        <w:tc>
          <w:tcPr>
            <w:tcW w:w="1133" w:type="dxa"/>
            <w:tcBorders>
              <w:tl2br w:val="nil"/>
              <w:tr2bl w:val="nil"/>
            </w:tcBorders>
            <w:vAlign w:val="center"/>
          </w:tcPr>
          <w:p w:rsidR="00525419" w:rsidRDefault="00EE1CF7">
            <w:pPr>
              <w:spacing w:line="240" w:lineRule="atLeast"/>
              <w:rPr>
                <w:rFonts w:ascii="Times New Roman" w:hAnsi="Times New Roman"/>
                <w:kern w:val="0"/>
                <w:szCs w:val="21"/>
              </w:rPr>
            </w:pPr>
            <w:r>
              <w:rPr>
                <w:rFonts w:ascii="Times New Roman" w:hAnsi="Times New Roman"/>
                <w:kern w:val="0"/>
                <w:szCs w:val="21"/>
              </w:rPr>
              <w:t>0.44</w:t>
            </w:r>
            <w:r>
              <w:rPr>
                <w:rFonts w:ascii="Times New Roman" w:hAnsi="Times New Roman"/>
                <w:kern w:val="0"/>
                <w:szCs w:val="21"/>
              </w:rPr>
              <w:t>万</w:t>
            </w:r>
          </w:p>
        </w:tc>
        <w:tc>
          <w:tcPr>
            <w:tcW w:w="934" w:type="dxa"/>
            <w:tcBorders>
              <w:tl2br w:val="nil"/>
              <w:tr2bl w:val="nil"/>
            </w:tcBorders>
            <w:vAlign w:val="center"/>
          </w:tcPr>
          <w:p w:rsidR="00525419" w:rsidRDefault="00EE1CF7">
            <w:pPr>
              <w:spacing w:line="240" w:lineRule="atLeast"/>
              <w:rPr>
                <w:rFonts w:ascii="Times New Roman" w:hAnsi="Times New Roman"/>
                <w:kern w:val="0"/>
                <w:szCs w:val="21"/>
              </w:rPr>
            </w:pPr>
            <w:r>
              <w:rPr>
                <w:rFonts w:ascii="Times New Roman" w:hAnsi="Times New Roman"/>
                <w:kern w:val="0"/>
                <w:szCs w:val="21"/>
              </w:rPr>
              <w:t>/</w:t>
            </w:r>
          </w:p>
        </w:tc>
        <w:tc>
          <w:tcPr>
            <w:tcW w:w="1260" w:type="dxa"/>
            <w:tcBorders>
              <w:tl2br w:val="nil"/>
              <w:tr2bl w:val="nil"/>
            </w:tcBorders>
            <w:vAlign w:val="center"/>
          </w:tcPr>
          <w:p w:rsidR="00525419" w:rsidRDefault="00EE1CF7">
            <w:pPr>
              <w:spacing w:line="240" w:lineRule="atLeast"/>
              <w:rPr>
                <w:rFonts w:ascii="Times New Roman" w:hAnsi="Times New Roman"/>
                <w:kern w:val="0"/>
                <w:szCs w:val="21"/>
              </w:rPr>
            </w:pPr>
            <w:r>
              <w:rPr>
                <w:rFonts w:ascii="Times New Roman" w:hAnsi="Times New Roman"/>
                <w:kern w:val="0"/>
                <w:szCs w:val="21"/>
              </w:rPr>
              <w:t>8456</w:t>
            </w:r>
          </w:p>
        </w:tc>
        <w:tc>
          <w:tcPr>
            <w:tcW w:w="1634" w:type="dxa"/>
            <w:vMerge/>
            <w:tcBorders>
              <w:tl2br w:val="nil"/>
              <w:tr2bl w:val="nil"/>
            </w:tcBorders>
            <w:vAlign w:val="center"/>
          </w:tcPr>
          <w:p w:rsidR="00525419" w:rsidRDefault="00525419">
            <w:pPr>
              <w:spacing w:line="240" w:lineRule="atLeast"/>
              <w:rPr>
                <w:rFonts w:ascii="Times New Roman" w:hAnsi="Times New Roman"/>
                <w:kern w:val="0"/>
                <w:szCs w:val="21"/>
              </w:rPr>
            </w:pPr>
          </w:p>
        </w:tc>
        <w:tc>
          <w:tcPr>
            <w:tcW w:w="1276" w:type="dxa"/>
            <w:vMerge/>
            <w:tcBorders>
              <w:tl2br w:val="nil"/>
              <w:tr2bl w:val="nil"/>
            </w:tcBorders>
            <w:vAlign w:val="center"/>
          </w:tcPr>
          <w:p w:rsidR="00525419" w:rsidRDefault="00525419">
            <w:pPr>
              <w:spacing w:line="240" w:lineRule="atLeast"/>
              <w:rPr>
                <w:rFonts w:ascii="Times New Roman" w:hAnsi="Times New Roman"/>
                <w:kern w:val="0"/>
                <w:szCs w:val="21"/>
              </w:rPr>
            </w:pPr>
          </w:p>
        </w:tc>
        <w:tc>
          <w:tcPr>
            <w:tcW w:w="992" w:type="dxa"/>
            <w:vMerge/>
            <w:tcBorders>
              <w:tl2br w:val="nil"/>
              <w:tr2bl w:val="nil"/>
            </w:tcBorders>
            <w:vAlign w:val="center"/>
          </w:tcPr>
          <w:p w:rsidR="00525419" w:rsidRDefault="00525419">
            <w:pPr>
              <w:spacing w:line="240" w:lineRule="atLeast"/>
              <w:rPr>
                <w:rFonts w:ascii="Times New Roman" w:hAnsi="Times New Roman"/>
                <w:kern w:val="0"/>
                <w:szCs w:val="21"/>
              </w:rPr>
            </w:pPr>
          </w:p>
        </w:tc>
      </w:tr>
      <w:tr w:rsidR="00525419">
        <w:trPr>
          <w:trHeight w:val="315"/>
        </w:trPr>
        <w:tc>
          <w:tcPr>
            <w:tcW w:w="1008"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小计</w:t>
            </w:r>
          </w:p>
        </w:tc>
        <w:tc>
          <w:tcPr>
            <w:tcW w:w="1133"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hint="eastAsia"/>
                <w:kern w:val="0"/>
                <w:szCs w:val="21"/>
              </w:rPr>
              <w:t>54.766</w:t>
            </w:r>
            <w:r>
              <w:rPr>
                <w:rFonts w:ascii="Times New Roman" w:hAnsi="Times New Roman"/>
                <w:kern w:val="0"/>
                <w:szCs w:val="21"/>
              </w:rPr>
              <w:t>万</w:t>
            </w:r>
          </w:p>
        </w:tc>
        <w:tc>
          <w:tcPr>
            <w:tcW w:w="934" w:type="dxa"/>
            <w:tcBorders>
              <w:tl2br w:val="nil"/>
              <w:tr2bl w:val="nil"/>
            </w:tcBorders>
            <w:vAlign w:val="center"/>
          </w:tcPr>
          <w:p w:rsidR="00525419" w:rsidRDefault="00525419">
            <w:pPr>
              <w:widowControl/>
              <w:spacing w:line="240" w:lineRule="atLeast"/>
              <w:rPr>
                <w:rFonts w:ascii="Times New Roman" w:hAnsi="Times New Roman"/>
                <w:kern w:val="0"/>
                <w:szCs w:val="21"/>
              </w:rPr>
            </w:pPr>
          </w:p>
        </w:tc>
        <w:tc>
          <w:tcPr>
            <w:tcW w:w="1260"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10196</w:t>
            </w:r>
          </w:p>
        </w:tc>
        <w:tc>
          <w:tcPr>
            <w:tcW w:w="1634"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小计</w:t>
            </w:r>
          </w:p>
        </w:tc>
        <w:tc>
          <w:tcPr>
            <w:tcW w:w="1276" w:type="dxa"/>
            <w:tcBorders>
              <w:tl2br w:val="nil"/>
              <w:tr2bl w:val="nil"/>
            </w:tcBorders>
            <w:vAlign w:val="center"/>
          </w:tcPr>
          <w:p w:rsidR="00525419" w:rsidRDefault="00525419">
            <w:pPr>
              <w:widowControl/>
              <w:spacing w:line="240" w:lineRule="atLeast"/>
              <w:rPr>
                <w:rFonts w:ascii="Times New Roman" w:hAnsi="Times New Roman"/>
                <w:kern w:val="0"/>
                <w:szCs w:val="21"/>
              </w:rPr>
            </w:pPr>
          </w:p>
        </w:tc>
        <w:tc>
          <w:tcPr>
            <w:tcW w:w="992" w:type="dxa"/>
            <w:tcBorders>
              <w:tl2br w:val="nil"/>
              <w:tr2bl w:val="nil"/>
            </w:tcBorders>
            <w:vAlign w:val="center"/>
          </w:tcPr>
          <w:p w:rsidR="00525419" w:rsidRDefault="00EE1CF7">
            <w:pPr>
              <w:widowControl/>
              <w:spacing w:line="240" w:lineRule="atLeast"/>
              <w:rPr>
                <w:rFonts w:ascii="Times New Roman" w:hAnsi="Times New Roman"/>
                <w:kern w:val="0"/>
                <w:szCs w:val="21"/>
              </w:rPr>
            </w:pPr>
            <w:r>
              <w:rPr>
                <w:rFonts w:ascii="Times New Roman" w:hAnsi="Times New Roman"/>
                <w:kern w:val="0"/>
                <w:szCs w:val="21"/>
              </w:rPr>
              <w:t>10196</w:t>
            </w:r>
          </w:p>
        </w:tc>
      </w:tr>
    </w:tbl>
    <w:p w:rsidR="00525419" w:rsidRDefault="00EE1CF7">
      <w:pPr>
        <w:rPr>
          <w:rFonts w:ascii="Times New Roman" w:hAnsi="Times New Roman"/>
        </w:rPr>
      </w:pPr>
      <w:r>
        <w:rPr>
          <w:rFonts w:ascii="Times New Roman" w:hAnsi="Times New Roman"/>
        </w:rPr>
        <w:t xml:space="preserve">　　</w:t>
      </w:r>
    </w:p>
    <w:p w:rsidR="00525419" w:rsidRDefault="00EE1CF7">
      <w:pPr>
        <w:pStyle w:val="afffe"/>
        <w:adjustRightInd w:val="0"/>
        <w:spacing w:after="0" w:line="360" w:lineRule="auto"/>
        <w:ind w:firstLineChars="0" w:firstLine="0"/>
        <w:rPr>
          <w:sz w:val="24"/>
        </w:rPr>
      </w:pPr>
      <w:r>
        <w:rPr>
          <w:sz w:val="24"/>
        </w:rPr>
        <w:t xml:space="preserve">　　（</w:t>
      </w:r>
      <w:r>
        <w:rPr>
          <w:sz w:val="24"/>
        </w:rPr>
        <w:t>5</w:t>
      </w:r>
      <w:r>
        <w:rPr>
          <w:sz w:val="24"/>
        </w:rPr>
        <w:t>）蒸汽平衡</w:t>
      </w:r>
    </w:p>
    <w:p w:rsidR="00525419" w:rsidRDefault="00EE1CF7">
      <w:pPr>
        <w:pStyle w:val="afffe"/>
        <w:adjustRightInd w:val="0"/>
        <w:spacing w:after="0" w:line="360" w:lineRule="auto"/>
        <w:ind w:firstLineChars="200" w:firstLine="480"/>
        <w:rPr>
          <w:sz w:val="24"/>
        </w:rPr>
      </w:pPr>
      <w:r>
        <w:rPr>
          <w:sz w:val="24"/>
        </w:rPr>
        <w:t>本项目蒸汽平衡见表</w:t>
      </w:r>
      <w:r>
        <w:rPr>
          <w:sz w:val="24"/>
        </w:rPr>
        <w:t>3.5-23</w:t>
      </w:r>
      <w:r>
        <w:rPr>
          <w:sz w:val="24"/>
        </w:rPr>
        <w:t>。</w:t>
      </w:r>
    </w:p>
    <w:p w:rsidR="00525419" w:rsidRDefault="00EE1CF7">
      <w:pPr>
        <w:pStyle w:val="afffe"/>
        <w:adjustRightInd w:val="0"/>
        <w:spacing w:after="0" w:line="240" w:lineRule="atLeast"/>
        <w:ind w:firstLineChars="900" w:firstLine="1800"/>
        <w:rPr>
          <w:rFonts w:eastAsia="黑体"/>
          <w:szCs w:val="21"/>
        </w:rPr>
      </w:pPr>
      <w:r>
        <w:rPr>
          <w:rFonts w:eastAsia="黑体"/>
          <w:szCs w:val="21"/>
        </w:rPr>
        <w:t>表</w:t>
      </w:r>
      <w:r>
        <w:rPr>
          <w:rFonts w:eastAsia="黑体"/>
          <w:szCs w:val="21"/>
        </w:rPr>
        <w:t xml:space="preserve">3.5-23      </w:t>
      </w:r>
      <w:r>
        <w:rPr>
          <w:rFonts w:eastAsia="黑体"/>
          <w:szCs w:val="21"/>
        </w:rPr>
        <w:t>本项目蒸汽平衡表</w:t>
      </w:r>
    </w:p>
    <w:tbl>
      <w:tblPr>
        <w:tblW w:w="85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40"/>
        <w:gridCol w:w="2204"/>
        <w:gridCol w:w="678"/>
        <w:gridCol w:w="893"/>
        <w:gridCol w:w="2221"/>
        <w:gridCol w:w="743"/>
        <w:gridCol w:w="1135"/>
      </w:tblGrid>
      <w:tr w:rsidR="00525419">
        <w:trPr>
          <w:cantSplit/>
          <w:trHeight w:val="337"/>
        </w:trPr>
        <w:tc>
          <w:tcPr>
            <w:tcW w:w="640" w:type="dxa"/>
            <w:vMerge w:val="restart"/>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序号</w:t>
            </w:r>
          </w:p>
        </w:tc>
        <w:tc>
          <w:tcPr>
            <w:tcW w:w="3775" w:type="dxa"/>
            <w:gridSpan w:val="3"/>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产汽</w:t>
            </w:r>
          </w:p>
        </w:tc>
        <w:tc>
          <w:tcPr>
            <w:tcW w:w="4099" w:type="dxa"/>
            <w:gridSpan w:val="3"/>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耗氢</w:t>
            </w:r>
          </w:p>
        </w:tc>
      </w:tr>
      <w:tr w:rsidR="00525419">
        <w:trPr>
          <w:cantSplit/>
          <w:trHeight w:val="377"/>
        </w:trPr>
        <w:tc>
          <w:tcPr>
            <w:tcW w:w="640" w:type="dxa"/>
            <w:vMerge/>
            <w:tcBorders>
              <w:tl2br w:val="nil"/>
              <w:tr2bl w:val="nil"/>
            </w:tcBorders>
            <w:vAlign w:val="center"/>
          </w:tcPr>
          <w:p w:rsidR="00525419" w:rsidRDefault="00525419">
            <w:pPr>
              <w:pStyle w:val="affffffffd"/>
              <w:spacing w:line="240" w:lineRule="atLeast"/>
              <w:ind w:firstLineChars="0"/>
              <w:jc w:val="both"/>
              <w:rPr>
                <w:sz w:val="21"/>
                <w:szCs w:val="21"/>
              </w:rPr>
            </w:pPr>
          </w:p>
        </w:tc>
        <w:tc>
          <w:tcPr>
            <w:tcW w:w="2204"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装置</w:t>
            </w:r>
          </w:p>
        </w:tc>
        <w:tc>
          <w:tcPr>
            <w:tcW w:w="678"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单位</w:t>
            </w:r>
          </w:p>
        </w:tc>
        <w:tc>
          <w:tcPr>
            <w:tcW w:w="893"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数量</w:t>
            </w:r>
          </w:p>
        </w:tc>
        <w:tc>
          <w:tcPr>
            <w:tcW w:w="2221"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装置</w:t>
            </w:r>
          </w:p>
        </w:tc>
        <w:tc>
          <w:tcPr>
            <w:tcW w:w="743"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单位</w:t>
            </w:r>
          </w:p>
        </w:tc>
        <w:tc>
          <w:tcPr>
            <w:tcW w:w="1135"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数量</w:t>
            </w:r>
          </w:p>
        </w:tc>
      </w:tr>
      <w:tr w:rsidR="00525419">
        <w:trPr>
          <w:cantSplit/>
          <w:trHeight w:val="237"/>
        </w:trPr>
        <w:tc>
          <w:tcPr>
            <w:tcW w:w="640"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lastRenderedPageBreak/>
              <w:t>1</w:t>
            </w:r>
          </w:p>
        </w:tc>
        <w:tc>
          <w:tcPr>
            <w:tcW w:w="2204"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天然气制氢装置</w:t>
            </w:r>
          </w:p>
        </w:tc>
        <w:tc>
          <w:tcPr>
            <w:tcW w:w="678"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t/h</w:t>
            </w:r>
          </w:p>
        </w:tc>
        <w:tc>
          <w:tcPr>
            <w:tcW w:w="893"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7.9</w:t>
            </w:r>
          </w:p>
        </w:tc>
        <w:tc>
          <w:tcPr>
            <w:tcW w:w="2221"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天然气制氢装置</w:t>
            </w:r>
          </w:p>
        </w:tc>
        <w:tc>
          <w:tcPr>
            <w:tcW w:w="743" w:type="dxa"/>
            <w:tcBorders>
              <w:tl2br w:val="nil"/>
              <w:tr2bl w:val="nil"/>
            </w:tcBorders>
          </w:tcPr>
          <w:p w:rsidR="00525419" w:rsidRDefault="00EE1CF7">
            <w:pPr>
              <w:spacing w:line="240" w:lineRule="atLeast"/>
              <w:rPr>
                <w:rFonts w:ascii="Times New Roman" w:hAnsi="Times New Roman"/>
              </w:rPr>
            </w:pPr>
            <w:r>
              <w:rPr>
                <w:rFonts w:ascii="Times New Roman" w:hAnsi="Times New Roman"/>
                <w:szCs w:val="21"/>
              </w:rPr>
              <w:t>t/h</w:t>
            </w:r>
          </w:p>
        </w:tc>
        <w:tc>
          <w:tcPr>
            <w:tcW w:w="1135"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w:t>
            </w:r>
          </w:p>
        </w:tc>
      </w:tr>
      <w:tr w:rsidR="00525419">
        <w:trPr>
          <w:cantSplit/>
          <w:trHeight w:val="288"/>
        </w:trPr>
        <w:tc>
          <w:tcPr>
            <w:tcW w:w="640"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2</w:t>
            </w:r>
          </w:p>
        </w:tc>
        <w:tc>
          <w:tcPr>
            <w:tcW w:w="2204"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煤焦油加氢单元</w:t>
            </w:r>
          </w:p>
        </w:tc>
        <w:tc>
          <w:tcPr>
            <w:tcW w:w="678" w:type="dxa"/>
            <w:tcBorders>
              <w:tl2br w:val="nil"/>
              <w:tr2bl w:val="nil"/>
            </w:tcBorders>
          </w:tcPr>
          <w:p w:rsidR="00525419" w:rsidRDefault="00EE1CF7">
            <w:pPr>
              <w:spacing w:line="240" w:lineRule="atLeast"/>
              <w:rPr>
                <w:rFonts w:ascii="Times New Roman" w:hAnsi="Times New Roman"/>
              </w:rPr>
            </w:pPr>
            <w:r>
              <w:rPr>
                <w:rFonts w:ascii="Times New Roman" w:hAnsi="Times New Roman"/>
                <w:szCs w:val="21"/>
              </w:rPr>
              <w:t>t/h</w:t>
            </w:r>
          </w:p>
        </w:tc>
        <w:tc>
          <w:tcPr>
            <w:tcW w:w="893"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5.5</w:t>
            </w:r>
          </w:p>
        </w:tc>
        <w:tc>
          <w:tcPr>
            <w:tcW w:w="2221"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煤焦油加氢单元</w:t>
            </w:r>
          </w:p>
        </w:tc>
        <w:tc>
          <w:tcPr>
            <w:tcW w:w="743" w:type="dxa"/>
            <w:tcBorders>
              <w:tl2br w:val="nil"/>
              <w:tr2bl w:val="nil"/>
            </w:tcBorders>
          </w:tcPr>
          <w:p w:rsidR="00525419" w:rsidRDefault="00EE1CF7">
            <w:pPr>
              <w:spacing w:line="240" w:lineRule="atLeast"/>
              <w:rPr>
                <w:rFonts w:ascii="Times New Roman" w:hAnsi="Times New Roman"/>
              </w:rPr>
            </w:pPr>
            <w:r>
              <w:rPr>
                <w:rFonts w:ascii="Times New Roman" w:hAnsi="Times New Roman"/>
                <w:szCs w:val="21"/>
              </w:rPr>
              <w:t>t/h</w:t>
            </w:r>
          </w:p>
        </w:tc>
        <w:tc>
          <w:tcPr>
            <w:tcW w:w="1135"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3.5</w:t>
            </w:r>
          </w:p>
        </w:tc>
      </w:tr>
      <w:tr w:rsidR="00525419">
        <w:trPr>
          <w:cantSplit/>
          <w:trHeight w:val="288"/>
        </w:trPr>
        <w:tc>
          <w:tcPr>
            <w:tcW w:w="640"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3</w:t>
            </w:r>
          </w:p>
        </w:tc>
        <w:tc>
          <w:tcPr>
            <w:tcW w:w="2204"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酸性水汽提</w:t>
            </w:r>
          </w:p>
        </w:tc>
        <w:tc>
          <w:tcPr>
            <w:tcW w:w="678" w:type="dxa"/>
            <w:tcBorders>
              <w:tl2br w:val="nil"/>
              <w:tr2bl w:val="nil"/>
            </w:tcBorders>
          </w:tcPr>
          <w:p w:rsidR="00525419" w:rsidRDefault="00EE1CF7">
            <w:pPr>
              <w:spacing w:line="240" w:lineRule="atLeast"/>
              <w:rPr>
                <w:rFonts w:ascii="Times New Roman" w:hAnsi="Times New Roman"/>
              </w:rPr>
            </w:pPr>
            <w:r>
              <w:rPr>
                <w:rFonts w:ascii="Times New Roman" w:hAnsi="Times New Roman"/>
                <w:szCs w:val="21"/>
              </w:rPr>
              <w:t>t/h</w:t>
            </w:r>
          </w:p>
        </w:tc>
        <w:tc>
          <w:tcPr>
            <w:tcW w:w="893"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0.78</w:t>
            </w:r>
          </w:p>
        </w:tc>
        <w:tc>
          <w:tcPr>
            <w:tcW w:w="2221"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酸性水汽提</w:t>
            </w:r>
          </w:p>
        </w:tc>
        <w:tc>
          <w:tcPr>
            <w:tcW w:w="743" w:type="dxa"/>
            <w:tcBorders>
              <w:tl2br w:val="nil"/>
              <w:tr2bl w:val="nil"/>
            </w:tcBorders>
          </w:tcPr>
          <w:p w:rsidR="00525419" w:rsidRDefault="00EE1CF7">
            <w:pPr>
              <w:spacing w:line="240" w:lineRule="atLeast"/>
              <w:rPr>
                <w:rFonts w:ascii="Times New Roman" w:hAnsi="Times New Roman"/>
              </w:rPr>
            </w:pPr>
            <w:r>
              <w:rPr>
                <w:rFonts w:ascii="Times New Roman" w:hAnsi="Times New Roman"/>
                <w:szCs w:val="21"/>
              </w:rPr>
              <w:t>t/h</w:t>
            </w:r>
          </w:p>
        </w:tc>
        <w:tc>
          <w:tcPr>
            <w:tcW w:w="1135"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12.1</w:t>
            </w:r>
          </w:p>
        </w:tc>
      </w:tr>
      <w:tr w:rsidR="00525419">
        <w:trPr>
          <w:cantSplit/>
          <w:trHeight w:val="221"/>
        </w:trPr>
        <w:tc>
          <w:tcPr>
            <w:tcW w:w="640"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4</w:t>
            </w:r>
          </w:p>
        </w:tc>
        <w:tc>
          <w:tcPr>
            <w:tcW w:w="2204"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溶剂再生单元</w:t>
            </w:r>
          </w:p>
        </w:tc>
        <w:tc>
          <w:tcPr>
            <w:tcW w:w="678" w:type="dxa"/>
            <w:tcBorders>
              <w:tl2br w:val="nil"/>
              <w:tr2bl w:val="nil"/>
            </w:tcBorders>
          </w:tcPr>
          <w:p w:rsidR="00525419" w:rsidRDefault="00EE1CF7">
            <w:pPr>
              <w:spacing w:line="240" w:lineRule="atLeast"/>
              <w:rPr>
                <w:rFonts w:ascii="Times New Roman" w:hAnsi="Times New Roman"/>
              </w:rPr>
            </w:pPr>
            <w:r>
              <w:rPr>
                <w:rFonts w:ascii="Times New Roman" w:hAnsi="Times New Roman"/>
                <w:szCs w:val="21"/>
              </w:rPr>
              <w:t>t/h</w:t>
            </w:r>
          </w:p>
        </w:tc>
        <w:tc>
          <w:tcPr>
            <w:tcW w:w="893"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w:t>
            </w:r>
          </w:p>
        </w:tc>
        <w:tc>
          <w:tcPr>
            <w:tcW w:w="2221"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溶剂再生单元</w:t>
            </w:r>
          </w:p>
        </w:tc>
        <w:tc>
          <w:tcPr>
            <w:tcW w:w="743" w:type="dxa"/>
            <w:tcBorders>
              <w:tl2br w:val="nil"/>
              <w:tr2bl w:val="nil"/>
            </w:tcBorders>
          </w:tcPr>
          <w:p w:rsidR="00525419" w:rsidRDefault="00EE1CF7">
            <w:pPr>
              <w:spacing w:line="240" w:lineRule="atLeast"/>
              <w:rPr>
                <w:rFonts w:ascii="Times New Roman" w:hAnsi="Times New Roman"/>
              </w:rPr>
            </w:pPr>
            <w:r>
              <w:rPr>
                <w:rFonts w:ascii="Times New Roman" w:hAnsi="Times New Roman"/>
                <w:szCs w:val="21"/>
              </w:rPr>
              <w:t>t/h</w:t>
            </w:r>
          </w:p>
        </w:tc>
        <w:tc>
          <w:tcPr>
            <w:tcW w:w="1135"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0.21</w:t>
            </w:r>
          </w:p>
        </w:tc>
      </w:tr>
      <w:tr w:rsidR="00525419">
        <w:trPr>
          <w:cantSplit/>
          <w:trHeight w:val="244"/>
        </w:trPr>
        <w:tc>
          <w:tcPr>
            <w:tcW w:w="640"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5</w:t>
            </w:r>
          </w:p>
        </w:tc>
        <w:tc>
          <w:tcPr>
            <w:tcW w:w="2204"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硫磺回收单元</w:t>
            </w:r>
          </w:p>
        </w:tc>
        <w:tc>
          <w:tcPr>
            <w:tcW w:w="678" w:type="dxa"/>
            <w:tcBorders>
              <w:tl2br w:val="nil"/>
              <w:tr2bl w:val="nil"/>
            </w:tcBorders>
          </w:tcPr>
          <w:p w:rsidR="00525419" w:rsidRDefault="00EE1CF7">
            <w:pPr>
              <w:spacing w:line="240" w:lineRule="atLeast"/>
              <w:rPr>
                <w:rFonts w:ascii="Times New Roman" w:hAnsi="Times New Roman"/>
              </w:rPr>
            </w:pPr>
            <w:r>
              <w:rPr>
                <w:rFonts w:ascii="Times New Roman" w:hAnsi="Times New Roman"/>
                <w:szCs w:val="21"/>
              </w:rPr>
              <w:t>t/h</w:t>
            </w:r>
          </w:p>
        </w:tc>
        <w:tc>
          <w:tcPr>
            <w:tcW w:w="893"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4.7</w:t>
            </w:r>
          </w:p>
        </w:tc>
        <w:tc>
          <w:tcPr>
            <w:tcW w:w="2221"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硫磺回收单元</w:t>
            </w:r>
          </w:p>
        </w:tc>
        <w:tc>
          <w:tcPr>
            <w:tcW w:w="743" w:type="dxa"/>
            <w:tcBorders>
              <w:tl2br w:val="nil"/>
              <w:tr2bl w:val="nil"/>
            </w:tcBorders>
          </w:tcPr>
          <w:p w:rsidR="00525419" w:rsidRDefault="00EE1CF7">
            <w:pPr>
              <w:spacing w:line="240" w:lineRule="atLeast"/>
              <w:rPr>
                <w:rFonts w:ascii="Times New Roman" w:hAnsi="Times New Roman"/>
              </w:rPr>
            </w:pPr>
            <w:r>
              <w:rPr>
                <w:rFonts w:ascii="Times New Roman" w:hAnsi="Times New Roman"/>
                <w:szCs w:val="21"/>
              </w:rPr>
              <w:t>t/h</w:t>
            </w:r>
          </w:p>
        </w:tc>
        <w:tc>
          <w:tcPr>
            <w:tcW w:w="1135"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w:t>
            </w:r>
          </w:p>
        </w:tc>
      </w:tr>
      <w:tr w:rsidR="00525419">
        <w:trPr>
          <w:cantSplit/>
          <w:trHeight w:val="212"/>
        </w:trPr>
        <w:tc>
          <w:tcPr>
            <w:tcW w:w="640"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6</w:t>
            </w:r>
          </w:p>
        </w:tc>
        <w:tc>
          <w:tcPr>
            <w:tcW w:w="2204"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厂区锅炉</w:t>
            </w:r>
          </w:p>
        </w:tc>
        <w:tc>
          <w:tcPr>
            <w:tcW w:w="678"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t/h</w:t>
            </w:r>
          </w:p>
        </w:tc>
        <w:tc>
          <w:tcPr>
            <w:tcW w:w="893"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40.6</w:t>
            </w:r>
          </w:p>
        </w:tc>
        <w:tc>
          <w:tcPr>
            <w:tcW w:w="2221" w:type="dxa"/>
            <w:tcBorders>
              <w:tl2br w:val="nil"/>
              <w:tr2bl w:val="nil"/>
            </w:tcBorders>
            <w:vAlign w:val="center"/>
          </w:tcPr>
          <w:p w:rsidR="00525419" w:rsidRDefault="00525419">
            <w:pPr>
              <w:pStyle w:val="affffffffd"/>
              <w:spacing w:line="240" w:lineRule="atLeast"/>
              <w:ind w:firstLineChars="0"/>
              <w:jc w:val="both"/>
              <w:rPr>
                <w:sz w:val="21"/>
                <w:szCs w:val="21"/>
              </w:rPr>
            </w:pPr>
          </w:p>
        </w:tc>
        <w:tc>
          <w:tcPr>
            <w:tcW w:w="743" w:type="dxa"/>
            <w:tcBorders>
              <w:tl2br w:val="nil"/>
              <w:tr2bl w:val="nil"/>
            </w:tcBorders>
          </w:tcPr>
          <w:p w:rsidR="00525419" w:rsidRDefault="00525419">
            <w:pPr>
              <w:spacing w:line="240" w:lineRule="atLeast"/>
              <w:rPr>
                <w:rFonts w:ascii="Times New Roman" w:hAnsi="Times New Roman"/>
                <w:szCs w:val="21"/>
              </w:rPr>
            </w:pPr>
          </w:p>
        </w:tc>
        <w:tc>
          <w:tcPr>
            <w:tcW w:w="1135" w:type="dxa"/>
            <w:tcBorders>
              <w:tl2br w:val="nil"/>
              <w:tr2bl w:val="nil"/>
            </w:tcBorders>
            <w:vAlign w:val="center"/>
          </w:tcPr>
          <w:p w:rsidR="00525419" w:rsidRDefault="00525419">
            <w:pPr>
              <w:pStyle w:val="affffffffd"/>
              <w:spacing w:line="240" w:lineRule="atLeast"/>
              <w:ind w:firstLineChars="0"/>
              <w:jc w:val="both"/>
              <w:rPr>
                <w:sz w:val="21"/>
                <w:szCs w:val="21"/>
              </w:rPr>
            </w:pPr>
          </w:p>
        </w:tc>
      </w:tr>
      <w:tr w:rsidR="00525419">
        <w:trPr>
          <w:cantSplit/>
          <w:trHeight w:val="377"/>
        </w:trPr>
        <w:tc>
          <w:tcPr>
            <w:tcW w:w="640" w:type="dxa"/>
            <w:tcBorders>
              <w:tl2br w:val="nil"/>
              <w:tr2bl w:val="nil"/>
            </w:tcBorders>
            <w:vAlign w:val="center"/>
          </w:tcPr>
          <w:p w:rsidR="00525419" w:rsidRDefault="00EE1CF7">
            <w:pPr>
              <w:pStyle w:val="afffffffffffffffffffffffffffffffff9"/>
              <w:rPr>
                <w:rFonts w:cs="Times New Roman"/>
                <w:color w:val="auto"/>
              </w:rPr>
            </w:pPr>
            <w:r>
              <w:rPr>
                <w:rFonts w:cs="Times New Roman"/>
                <w:color w:val="auto"/>
              </w:rPr>
              <w:t>合计</w:t>
            </w:r>
          </w:p>
        </w:tc>
        <w:tc>
          <w:tcPr>
            <w:tcW w:w="2204" w:type="dxa"/>
            <w:tcBorders>
              <w:tl2br w:val="nil"/>
              <w:tr2bl w:val="nil"/>
            </w:tcBorders>
            <w:vAlign w:val="center"/>
          </w:tcPr>
          <w:p w:rsidR="00525419" w:rsidRDefault="00525419">
            <w:pPr>
              <w:pStyle w:val="affffffffd"/>
              <w:spacing w:line="240" w:lineRule="atLeast"/>
              <w:ind w:firstLineChars="0"/>
              <w:jc w:val="both"/>
              <w:rPr>
                <w:sz w:val="21"/>
                <w:szCs w:val="21"/>
              </w:rPr>
            </w:pPr>
          </w:p>
        </w:tc>
        <w:tc>
          <w:tcPr>
            <w:tcW w:w="678"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t/h</w:t>
            </w:r>
          </w:p>
        </w:tc>
        <w:tc>
          <w:tcPr>
            <w:tcW w:w="893"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59.48</w:t>
            </w:r>
          </w:p>
        </w:tc>
        <w:tc>
          <w:tcPr>
            <w:tcW w:w="2221" w:type="dxa"/>
            <w:tcBorders>
              <w:tl2br w:val="nil"/>
              <w:tr2bl w:val="nil"/>
            </w:tcBorders>
            <w:vAlign w:val="center"/>
          </w:tcPr>
          <w:p w:rsidR="00525419" w:rsidRDefault="00525419">
            <w:pPr>
              <w:pStyle w:val="affffffffd"/>
              <w:spacing w:line="240" w:lineRule="atLeast"/>
              <w:ind w:firstLineChars="0"/>
              <w:jc w:val="both"/>
              <w:rPr>
                <w:sz w:val="21"/>
                <w:szCs w:val="21"/>
              </w:rPr>
            </w:pPr>
          </w:p>
        </w:tc>
        <w:tc>
          <w:tcPr>
            <w:tcW w:w="743" w:type="dxa"/>
            <w:tcBorders>
              <w:tl2br w:val="nil"/>
              <w:tr2bl w:val="nil"/>
            </w:tcBorders>
          </w:tcPr>
          <w:p w:rsidR="00525419" w:rsidRDefault="00EE1CF7">
            <w:pPr>
              <w:spacing w:line="240" w:lineRule="atLeast"/>
              <w:rPr>
                <w:rFonts w:ascii="Times New Roman" w:hAnsi="Times New Roman"/>
              </w:rPr>
            </w:pPr>
            <w:r>
              <w:rPr>
                <w:rFonts w:ascii="Times New Roman" w:hAnsi="Times New Roman"/>
                <w:szCs w:val="21"/>
              </w:rPr>
              <w:t>t/h</w:t>
            </w:r>
          </w:p>
        </w:tc>
        <w:tc>
          <w:tcPr>
            <w:tcW w:w="1135" w:type="dxa"/>
            <w:tcBorders>
              <w:tl2br w:val="nil"/>
              <w:tr2bl w:val="nil"/>
            </w:tcBorders>
            <w:vAlign w:val="center"/>
          </w:tcPr>
          <w:p w:rsidR="00525419" w:rsidRDefault="00EE1CF7">
            <w:pPr>
              <w:pStyle w:val="affffffffd"/>
              <w:spacing w:line="240" w:lineRule="atLeast"/>
              <w:ind w:firstLineChars="0"/>
              <w:jc w:val="both"/>
              <w:rPr>
                <w:sz w:val="21"/>
                <w:szCs w:val="21"/>
              </w:rPr>
            </w:pPr>
            <w:r>
              <w:rPr>
                <w:sz w:val="21"/>
                <w:szCs w:val="21"/>
              </w:rPr>
              <w:t>15.81</w:t>
            </w:r>
          </w:p>
        </w:tc>
      </w:tr>
    </w:tbl>
    <w:p w:rsidR="00525419" w:rsidRDefault="00EE1CF7">
      <w:pPr>
        <w:pStyle w:val="2a"/>
        <w:spacing w:beforeLines="50" w:before="159" w:after="159"/>
        <w:ind w:left="578" w:hanging="578"/>
        <w:rPr>
          <w:rFonts w:ascii="Times New Roman" w:eastAsia="楷体_GB2312" w:hAnsi="Times New Roman"/>
          <w:sz w:val="36"/>
        </w:rPr>
      </w:pPr>
      <w:bookmarkStart w:id="61" w:name="_Toc29396"/>
      <w:r>
        <w:rPr>
          <w:rFonts w:ascii="Times New Roman" w:eastAsia="楷体_GB2312" w:hAnsi="Times New Roman"/>
          <w:sz w:val="36"/>
        </w:rPr>
        <w:t>3.6</w:t>
      </w:r>
      <w:r>
        <w:rPr>
          <w:rFonts w:ascii="Times New Roman" w:eastAsia="楷体_GB2312" w:hAnsi="Times New Roman"/>
          <w:sz w:val="36"/>
        </w:rPr>
        <w:t>变更后影响因素分析</w:t>
      </w:r>
      <w:bookmarkEnd w:id="61"/>
    </w:p>
    <w:p w:rsidR="00525419" w:rsidRDefault="00EE1CF7">
      <w:pPr>
        <w:pStyle w:val="3a"/>
        <w:spacing w:beforeLines="50" w:before="159" w:after="156" w:line="360" w:lineRule="auto"/>
        <w:jc w:val="left"/>
        <w:rPr>
          <w:rFonts w:ascii="Times New Roman" w:eastAsia="华文楷体" w:hAnsi="Times New Roman"/>
        </w:rPr>
      </w:pPr>
      <w:r>
        <w:rPr>
          <w:rFonts w:ascii="Times New Roman" w:eastAsia="华文楷体" w:hAnsi="Times New Roman"/>
        </w:rPr>
        <w:t>3.6.1</w:t>
      </w:r>
      <w:r>
        <w:rPr>
          <w:rFonts w:ascii="Times New Roman" w:eastAsia="华文楷体" w:hAnsi="Times New Roman"/>
        </w:rPr>
        <w:t>建设期影响因素分析</w:t>
      </w:r>
    </w:p>
    <w:p w:rsidR="00525419" w:rsidRDefault="00EE1CF7">
      <w:pPr>
        <w:spacing w:line="360" w:lineRule="auto"/>
        <w:rPr>
          <w:rFonts w:ascii="Times New Roman" w:hAnsi="Times New Roman"/>
          <w:sz w:val="24"/>
        </w:rPr>
      </w:pPr>
      <w:r>
        <w:rPr>
          <w:rFonts w:ascii="Times New Roman" w:hAnsi="Times New Roman"/>
        </w:rPr>
        <w:t xml:space="preserve"> </w:t>
      </w:r>
      <w:r>
        <w:rPr>
          <w:rFonts w:ascii="Times New Roman" w:hAnsi="Times New Roman"/>
          <w:sz w:val="24"/>
        </w:rPr>
        <w:t xml:space="preserve">   </w:t>
      </w:r>
      <w:r>
        <w:rPr>
          <w:rFonts w:ascii="Times New Roman" w:hAnsi="Times New Roman" w:hint="eastAsia"/>
          <w:sz w:val="24"/>
        </w:rPr>
        <w:t>本项目</w:t>
      </w:r>
      <w:r>
        <w:rPr>
          <w:rFonts w:ascii="Times New Roman" w:hAnsi="Times New Roman"/>
          <w:sz w:val="24"/>
        </w:rPr>
        <w:t>内容目前均已建成，根据现场勘查，目前项目区不存在施工</w:t>
      </w:r>
      <w:r>
        <w:rPr>
          <w:rFonts w:ascii="Times New Roman" w:hAnsi="Times New Roman" w:hint="eastAsia"/>
          <w:sz w:val="24"/>
        </w:rPr>
        <w:t>期</w:t>
      </w:r>
      <w:r>
        <w:rPr>
          <w:rFonts w:ascii="Times New Roman" w:hAnsi="Times New Roman"/>
          <w:sz w:val="24"/>
        </w:rPr>
        <w:t>遗留环境污染问题。</w:t>
      </w:r>
    </w:p>
    <w:p w:rsidR="00525419" w:rsidRDefault="00EE1CF7">
      <w:pPr>
        <w:pStyle w:val="3a"/>
        <w:spacing w:beforeLines="50" w:before="159" w:after="156" w:line="360" w:lineRule="auto"/>
        <w:jc w:val="left"/>
        <w:rPr>
          <w:rFonts w:ascii="Times New Roman" w:eastAsia="华文楷体" w:hAnsi="Times New Roman"/>
        </w:rPr>
      </w:pPr>
      <w:r>
        <w:rPr>
          <w:rFonts w:ascii="Times New Roman" w:eastAsia="华文楷体" w:hAnsi="Times New Roman"/>
        </w:rPr>
        <w:t>3.6.2</w:t>
      </w:r>
      <w:r>
        <w:rPr>
          <w:rFonts w:ascii="Times New Roman" w:eastAsia="华文楷体" w:hAnsi="Times New Roman"/>
        </w:rPr>
        <w:t>运营期影响因素分析</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3.6.2.1</w:t>
      </w:r>
      <w:r>
        <w:rPr>
          <w:rFonts w:ascii="Times New Roman" w:hAnsi="Times New Roman" w:cs="Times New Roman"/>
          <w:kern w:val="44"/>
          <w:sz w:val="24"/>
          <w:szCs w:val="24"/>
        </w:rPr>
        <w:t>生产装置</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根据各装置产污环节，本项目生产装置影响因素分析如下：</w:t>
      </w:r>
    </w:p>
    <w:p w:rsidR="00525419" w:rsidRDefault="00EE1CF7">
      <w:pPr>
        <w:spacing w:line="360" w:lineRule="auto"/>
        <w:ind w:firstLineChars="200" w:firstLine="482"/>
        <w:rPr>
          <w:rFonts w:ascii="Times New Roman" w:hAnsi="Times New Roman"/>
          <w:b/>
          <w:sz w:val="24"/>
        </w:rPr>
      </w:pPr>
      <w:r>
        <w:rPr>
          <w:rFonts w:ascii="Times New Roman" w:hAnsi="Times New Roman"/>
          <w:b/>
          <w:sz w:val="24"/>
        </w:rPr>
        <w:t>（</w:t>
      </w:r>
      <w:r>
        <w:rPr>
          <w:rFonts w:ascii="Times New Roman" w:hAnsi="Times New Roman"/>
          <w:b/>
          <w:sz w:val="24"/>
        </w:rPr>
        <w:t>1</w:t>
      </w:r>
      <w:r>
        <w:rPr>
          <w:rFonts w:ascii="Times New Roman" w:hAnsi="Times New Roman"/>
          <w:b/>
          <w:sz w:val="24"/>
        </w:rPr>
        <w:t>）天然气制氢装置</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①</w:t>
      </w:r>
      <w:r>
        <w:rPr>
          <w:rFonts w:ascii="Times New Roman" w:hAnsi="Times New Roman"/>
          <w:sz w:val="24"/>
        </w:rPr>
        <w:t>废气</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天然气制氢生产排放的废气主要来自于</w:t>
      </w:r>
      <w:r>
        <w:rPr>
          <w:rFonts w:ascii="Times New Roman" w:hAnsi="Times New Roman" w:hint="eastAsia"/>
          <w:sz w:val="24"/>
        </w:rPr>
        <w:t>制氢转化炉</w:t>
      </w:r>
      <w:r>
        <w:rPr>
          <w:rFonts w:ascii="Times New Roman" w:hAnsi="Times New Roman"/>
          <w:sz w:val="24"/>
        </w:rPr>
        <w:t>燃烧烟气（</w:t>
      </w:r>
      <w:r>
        <w:rPr>
          <w:rFonts w:ascii="Times New Roman" w:hAnsi="Times New Roman"/>
          <w:sz w:val="24"/>
        </w:rPr>
        <w:t>G1</w:t>
      </w:r>
      <w:r>
        <w:rPr>
          <w:rFonts w:ascii="Times New Roman" w:hAnsi="Times New Roman"/>
          <w:sz w:val="24"/>
        </w:rPr>
        <w:t>）。</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②</w:t>
      </w:r>
      <w:r>
        <w:rPr>
          <w:rFonts w:ascii="Times New Roman" w:hAnsi="Times New Roman"/>
          <w:sz w:val="24"/>
        </w:rPr>
        <w:t>废水</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本装置主要废水污染源为转化工序的连续扩容器排水</w:t>
      </w:r>
      <w:r>
        <w:rPr>
          <w:rFonts w:ascii="Times New Roman" w:hAnsi="Times New Roman"/>
          <w:sz w:val="24"/>
        </w:rPr>
        <w:t>(W1)</w:t>
      </w:r>
      <w:r>
        <w:rPr>
          <w:rFonts w:ascii="Times New Roman" w:hAnsi="Times New Roman"/>
          <w:sz w:val="24"/>
        </w:rPr>
        <w:t>和分水罐分离水经装置内汽提塔处理用于余热锅炉补水。</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③</w:t>
      </w:r>
      <w:r>
        <w:rPr>
          <w:rFonts w:ascii="Times New Roman" w:hAnsi="Times New Roman"/>
          <w:sz w:val="24"/>
        </w:rPr>
        <w:t>固体废物</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天然气脱硫产生的废氧化锌脱硫剂和废脱氯剂、废加氢催化剂，转化工段的废转化催化剂及变换废催化剂，变压吸附塔产生的废吸附剂和废瓷球。</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④</w:t>
      </w:r>
      <w:r>
        <w:rPr>
          <w:rFonts w:ascii="Times New Roman" w:hAnsi="Times New Roman"/>
          <w:sz w:val="24"/>
        </w:rPr>
        <w:t>噪声</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本装置噪声主要来自各种大功率机泵（泵、空冷器等）、压缩机和蒸汽放空噪声等。</w:t>
      </w:r>
    </w:p>
    <w:p w:rsidR="00525419" w:rsidRDefault="00EE1CF7">
      <w:pPr>
        <w:spacing w:line="360" w:lineRule="auto"/>
        <w:ind w:firstLineChars="200" w:firstLine="482"/>
        <w:rPr>
          <w:rFonts w:ascii="Times New Roman" w:hAnsi="Times New Roman"/>
          <w:b/>
          <w:sz w:val="24"/>
        </w:rPr>
      </w:pPr>
      <w:r>
        <w:rPr>
          <w:rFonts w:ascii="Times New Roman" w:hAnsi="Times New Roman"/>
          <w:b/>
          <w:sz w:val="24"/>
        </w:rPr>
        <w:t>（</w:t>
      </w:r>
      <w:r>
        <w:rPr>
          <w:rFonts w:ascii="Times New Roman" w:hAnsi="Times New Roman"/>
          <w:b/>
          <w:sz w:val="24"/>
        </w:rPr>
        <w:t>2</w:t>
      </w:r>
      <w:r>
        <w:rPr>
          <w:rFonts w:ascii="Times New Roman" w:hAnsi="Times New Roman"/>
          <w:b/>
          <w:sz w:val="24"/>
        </w:rPr>
        <w:t>）煤焦油加氢装置</w:t>
      </w:r>
    </w:p>
    <w:p w:rsidR="00525419" w:rsidRDefault="00EE1CF7">
      <w:pPr>
        <w:pStyle w:val="afffff2"/>
        <w:ind w:firstLineChars="0" w:firstLine="0"/>
        <w:rPr>
          <w:color w:val="auto"/>
        </w:rPr>
      </w:pPr>
      <w:r>
        <w:rPr>
          <w:color w:val="auto"/>
          <w:szCs w:val="28"/>
        </w:rPr>
        <w:t xml:space="preserve">　</w:t>
      </w:r>
      <w:r>
        <w:rPr>
          <w:color w:val="auto"/>
          <w:szCs w:val="28"/>
        </w:rPr>
        <w:t xml:space="preserve">  </w:t>
      </w:r>
      <w:r>
        <w:rPr>
          <w:color w:val="auto"/>
        </w:rPr>
        <w:t>①</w:t>
      </w:r>
      <w:r>
        <w:rPr>
          <w:color w:val="auto"/>
        </w:rPr>
        <w:t>废气</w:t>
      </w:r>
    </w:p>
    <w:p w:rsidR="00525419" w:rsidRDefault="00EE1CF7">
      <w:pPr>
        <w:spacing w:line="360" w:lineRule="auto"/>
        <w:ind w:firstLineChars="200" w:firstLine="480"/>
        <w:rPr>
          <w:rFonts w:ascii="Times New Roman" w:hAnsi="Times New Roman"/>
          <w:sz w:val="24"/>
        </w:rPr>
      </w:pPr>
      <w:r>
        <w:rPr>
          <w:rFonts w:ascii="Times New Roman" w:hAnsi="Times New Roman"/>
          <w:sz w:val="24"/>
        </w:rPr>
        <w:lastRenderedPageBreak/>
        <w:t>来自</w:t>
      </w:r>
      <w:r>
        <w:rPr>
          <w:rFonts w:ascii="Times New Roman" w:hAnsi="Times New Roman" w:hint="eastAsia"/>
          <w:sz w:val="24"/>
        </w:rPr>
        <w:t>加氢反应一段</w:t>
      </w:r>
      <w:r>
        <w:rPr>
          <w:rFonts w:ascii="Times New Roman" w:hAnsi="Times New Roman"/>
          <w:sz w:val="24"/>
        </w:rPr>
        <w:t>加热炉烟气（</w:t>
      </w:r>
      <w:r>
        <w:rPr>
          <w:rFonts w:ascii="Times New Roman" w:hAnsi="Times New Roman"/>
          <w:sz w:val="24"/>
        </w:rPr>
        <w:t>G1</w:t>
      </w:r>
      <w:r>
        <w:rPr>
          <w:rFonts w:ascii="Times New Roman" w:hAnsi="Times New Roman"/>
          <w:sz w:val="24"/>
        </w:rPr>
        <w:t>）、</w:t>
      </w:r>
      <w:r>
        <w:rPr>
          <w:rFonts w:ascii="Times New Roman" w:hAnsi="Times New Roman" w:hint="eastAsia"/>
          <w:sz w:val="24"/>
        </w:rPr>
        <w:t>加氢</w:t>
      </w:r>
      <w:r>
        <w:rPr>
          <w:rFonts w:ascii="Times New Roman" w:hAnsi="Times New Roman"/>
          <w:sz w:val="24"/>
        </w:rPr>
        <w:t>分馏塔底加热炉烟气（</w:t>
      </w:r>
      <w:r>
        <w:rPr>
          <w:rFonts w:ascii="Times New Roman" w:hAnsi="Times New Roman"/>
          <w:sz w:val="24"/>
        </w:rPr>
        <w:t>G2</w:t>
      </w:r>
      <w:r>
        <w:rPr>
          <w:rFonts w:ascii="Times New Roman" w:hAnsi="Times New Roman"/>
          <w:sz w:val="24"/>
        </w:rPr>
        <w:t>）和</w:t>
      </w:r>
      <w:r>
        <w:rPr>
          <w:rFonts w:ascii="Times New Roman" w:hAnsi="Times New Roman" w:hint="eastAsia"/>
          <w:sz w:val="24"/>
        </w:rPr>
        <w:t>加氢反应二段</w:t>
      </w:r>
      <w:r>
        <w:rPr>
          <w:rFonts w:ascii="Times New Roman" w:hAnsi="Times New Roman"/>
          <w:sz w:val="24"/>
        </w:rPr>
        <w:t>加热炉烟气（</w:t>
      </w:r>
      <w:r>
        <w:rPr>
          <w:rFonts w:ascii="Times New Roman" w:hAnsi="Times New Roman"/>
          <w:sz w:val="24"/>
        </w:rPr>
        <w:t>G3</w:t>
      </w:r>
      <w:r>
        <w:rPr>
          <w:rFonts w:ascii="Times New Roman" w:hAnsi="Times New Roman"/>
          <w:sz w:val="24"/>
        </w:rPr>
        <w:t>）。</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②</w:t>
      </w:r>
      <w:r>
        <w:rPr>
          <w:rFonts w:ascii="Times New Roman" w:hAnsi="Times New Roman"/>
          <w:sz w:val="24"/>
        </w:rPr>
        <w:t>废水</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本装置主要废水污染源为回流罐、高压及低压分离器含硫污水（</w:t>
      </w:r>
      <w:r>
        <w:rPr>
          <w:rFonts w:ascii="Times New Roman" w:hAnsi="Times New Roman"/>
          <w:sz w:val="24"/>
        </w:rPr>
        <w:t>W1-W5</w:t>
      </w:r>
      <w:r>
        <w:rPr>
          <w:rFonts w:ascii="Times New Roman" w:hAnsi="Times New Roman"/>
          <w:sz w:val="24"/>
        </w:rPr>
        <w:t>）。</w:t>
      </w:r>
    </w:p>
    <w:p w:rsidR="00525419" w:rsidRDefault="00EE1CF7">
      <w:pPr>
        <w:pStyle w:val="afffff2"/>
        <w:rPr>
          <w:color w:val="auto"/>
        </w:rPr>
      </w:pPr>
      <w:r>
        <w:rPr>
          <w:color w:val="auto"/>
        </w:rPr>
        <w:t>③</w:t>
      </w:r>
      <w:r>
        <w:rPr>
          <w:color w:val="auto"/>
        </w:rPr>
        <w:t>固体废物</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本装置产生的加氢精制反应器、裂化反应器产生的废催化剂、废保护剂、废瓷球等。</w:t>
      </w:r>
    </w:p>
    <w:p w:rsidR="00525419" w:rsidRDefault="00EE1CF7">
      <w:pPr>
        <w:pStyle w:val="afffff2"/>
        <w:ind w:firstLineChars="200" w:firstLine="480"/>
        <w:rPr>
          <w:color w:val="auto"/>
          <w:szCs w:val="28"/>
        </w:rPr>
      </w:pPr>
      <w:r>
        <w:rPr>
          <w:color w:val="auto"/>
          <w:szCs w:val="28"/>
        </w:rPr>
        <w:t>④</w:t>
      </w:r>
      <w:r>
        <w:rPr>
          <w:color w:val="auto"/>
          <w:szCs w:val="28"/>
        </w:rPr>
        <w:t>噪声</w:t>
      </w:r>
    </w:p>
    <w:p w:rsidR="00525419" w:rsidRDefault="00EE1CF7">
      <w:pPr>
        <w:pStyle w:val="afffff2"/>
        <w:ind w:firstLineChars="200" w:firstLine="480"/>
        <w:rPr>
          <w:color w:val="auto"/>
          <w:szCs w:val="28"/>
        </w:rPr>
      </w:pPr>
      <w:r>
        <w:rPr>
          <w:color w:val="auto"/>
          <w:szCs w:val="28"/>
        </w:rPr>
        <w:t>本装置噪声主要来自加热炉、泵、空冷器、压缩机等。</w:t>
      </w:r>
    </w:p>
    <w:p w:rsidR="00525419" w:rsidRDefault="00EE1CF7">
      <w:pPr>
        <w:pStyle w:val="afffff2"/>
        <w:ind w:firstLineChars="200" w:firstLine="482"/>
        <w:rPr>
          <w:color w:val="auto"/>
        </w:rPr>
      </w:pPr>
      <w:r>
        <w:rPr>
          <w:b/>
          <w:snapToGrid/>
          <w:color w:val="auto"/>
          <w:kern w:val="2"/>
          <w:szCs w:val="22"/>
        </w:rPr>
        <w:t>（</w:t>
      </w:r>
      <w:r>
        <w:rPr>
          <w:b/>
          <w:snapToGrid/>
          <w:color w:val="auto"/>
          <w:kern w:val="2"/>
          <w:szCs w:val="22"/>
        </w:rPr>
        <w:t>3</w:t>
      </w:r>
      <w:r>
        <w:rPr>
          <w:b/>
          <w:snapToGrid/>
          <w:color w:val="auto"/>
          <w:kern w:val="2"/>
          <w:szCs w:val="22"/>
        </w:rPr>
        <w:t>）硫磺回收装置</w:t>
      </w:r>
    </w:p>
    <w:p w:rsidR="00525419" w:rsidRDefault="00EE1CF7">
      <w:pPr>
        <w:pStyle w:val="afffff2"/>
        <w:ind w:firstLineChars="250" w:firstLine="600"/>
        <w:rPr>
          <w:color w:val="auto"/>
        </w:rPr>
      </w:pPr>
      <w:r>
        <w:rPr>
          <w:color w:val="auto"/>
        </w:rPr>
        <w:t>①</w:t>
      </w:r>
      <w:r>
        <w:rPr>
          <w:color w:val="auto"/>
        </w:rPr>
        <w:t>废气</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本装置主要废气污染源为焚烧炉烟气</w:t>
      </w:r>
      <w:r>
        <w:rPr>
          <w:rFonts w:ascii="Times New Roman" w:hAnsi="Times New Roman"/>
          <w:sz w:val="24"/>
        </w:rPr>
        <w:t>(G1)</w:t>
      </w:r>
      <w:r>
        <w:rPr>
          <w:rFonts w:ascii="Times New Roman" w:hAnsi="Times New Roman"/>
          <w:sz w:val="24"/>
        </w:rPr>
        <w:t>，烟气通过</w:t>
      </w:r>
      <w:r>
        <w:rPr>
          <w:rFonts w:ascii="Times New Roman" w:hAnsi="Times New Roman"/>
          <w:sz w:val="24"/>
        </w:rPr>
        <w:t>80m</w:t>
      </w:r>
      <w:r>
        <w:rPr>
          <w:rFonts w:ascii="Times New Roman" w:hAnsi="Times New Roman"/>
          <w:sz w:val="24"/>
        </w:rPr>
        <w:t>高烟囱排放到大气中。</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②</w:t>
      </w:r>
      <w:r>
        <w:rPr>
          <w:rFonts w:ascii="Times New Roman" w:hAnsi="Times New Roman"/>
          <w:sz w:val="24"/>
        </w:rPr>
        <w:t>废水</w:t>
      </w:r>
    </w:p>
    <w:p w:rsidR="00525419" w:rsidRDefault="00EE1CF7">
      <w:pPr>
        <w:pStyle w:val="afffff2"/>
        <w:rPr>
          <w:color w:val="auto"/>
        </w:rPr>
      </w:pPr>
      <w:r>
        <w:rPr>
          <w:color w:val="auto"/>
        </w:rPr>
        <w:t>本装置主要废水污染源为酸性气气液分离产生的酸性水</w:t>
      </w:r>
      <w:r>
        <w:rPr>
          <w:color w:val="auto"/>
        </w:rPr>
        <w:t>(W1)</w:t>
      </w:r>
      <w:r>
        <w:rPr>
          <w:color w:val="auto"/>
        </w:rPr>
        <w:t>、废热锅炉排放的清净水</w:t>
      </w:r>
      <w:r>
        <w:rPr>
          <w:color w:val="auto"/>
        </w:rPr>
        <w:t>(W2</w:t>
      </w:r>
      <w:r>
        <w:rPr>
          <w:color w:val="auto"/>
        </w:rPr>
        <w:t>、</w:t>
      </w:r>
      <w:r>
        <w:rPr>
          <w:color w:val="auto"/>
        </w:rPr>
        <w:t>W3)</w:t>
      </w:r>
      <w:r>
        <w:rPr>
          <w:color w:val="auto"/>
        </w:rPr>
        <w:t>。</w:t>
      </w:r>
    </w:p>
    <w:p w:rsidR="00525419" w:rsidRDefault="00EE1CF7">
      <w:pPr>
        <w:pStyle w:val="afffff2"/>
        <w:rPr>
          <w:color w:val="auto"/>
        </w:rPr>
      </w:pPr>
      <w:r>
        <w:rPr>
          <w:color w:val="auto"/>
        </w:rPr>
        <w:t>③</w:t>
      </w:r>
      <w:r>
        <w:rPr>
          <w:color w:val="auto"/>
        </w:rPr>
        <w:t>固体废物</w:t>
      </w:r>
    </w:p>
    <w:p w:rsidR="00525419" w:rsidRDefault="00EE1CF7">
      <w:pPr>
        <w:pStyle w:val="afffff2"/>
        <w:rPr>
          <w:color w:val="auto"/>
        </w:rPr>
      </w:pPr>
      <w:r>
        <w:rPr>
          <w:color w:val="auto"/>
          <w:szCs w:val="21"/>
        </w:rPr>
        <w:t>本装置的主要固体废弃物为</w:t>
      </w:r>
      <w:r>
        <w:rPr>
          <w:color w:val="auto"/>
          <w:szCs w:val="21"/>
        </w:rPr>
        <w:t>Claus</w:t>
      </w:r>
      <w:r>
        <w:rPr>
          <w:color w:val="auto"/>
          <w:szCs w:val="21"/>
        </w:rPr>
        <w:t>反应废催化剂（</w:t>
      </w:r>
      <w:r>
        <w:rPr>
          <w:color w:val="auto"/>
          <w:szCs w:val="21"/>
        </w:rPr>
        <w:t>S1</w:t>
      </w:r>
      <w:r>
        <w:rPr>
          <w:color w:val="auto"/>
          <w:szCs w:val="21"/>
        </w:rPr>
        <w:t>）和加氢反应器产生的</w:t>
      </w:r>
      <w:r>
        <w:rPr>
          <w:color w:val="auto"/>
        </w:rPr>
        <w:t>加氢废催化剂（</w:t>
      </w:r>
      <w:r>
        <w:rPr>
          <w:color w:val="auto"/>
        </w:rPr>
        <w:t>S2</w:t>
      </w:r>
      <w:r>
        <w:rPr>
          <w:color w:val="auto"/>
        </w:rPr>
        <w:t>）等。</w:t>
      </w:r>
    </w:p>
    <w:p w:rsidR="00525419" w:rsidRDefault="00EE1CF7">
      <w:pPr>
        <w:pStyle w:val="afffff2"/>
        <w:rPr>
          <w:color w:val="auto"/>
          <w:szCs w:val="21"/>
        </w:rPr>
      </w:pPr>
      <w:r>
        <w:rPr>
          <w:color w:val="auto"/>
          <w:szCs w:val="21"/>
        </w:rPr>
        <w:t>④</w:t>
      </w:r>
      <w:r>
        <w:rPr>
          <w:color w:val="auto"/>
          <w:szCs w:val="21"/>
        </w:rPr>
        <w:t>噪声</w:t>
      </w:r>
    </w:p>
    <w:p w:rsidR="00525419" w:rsidRDefault="00EE1CF7">
      <w:pPr>
        <w:pStyle w:val="afffff2"/>
        <w:rPr>
          <w:color w:val="auto"/>
          <w:szCs w:val="21"/>
        </w:rPr>
      </w:pPr>
      <w:r>
        <w:rPr>
          <w:color w:val="auto"/>
          <w:szCs w:val="21"/>
        </w:rPr>
        <w:t>本装置噪声源主要来自机泵、风机等设备。</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3.6.2.2</w:t>
      </w:r>
      <w:r>
        <w:rPr>
          <w:rFonts w:ascii="Times New Roman" w:hAnsi="Times New Roman" w:cs="Times New Roman"/>
          <w:kern w:val="44"/>
          <w:sz w:val="24"/>
          <w:szCs w:val="24"/>
        </w:rPr>
        <w:t>公用工程及辅助设施</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本项目公用及辅助设施部分依托现厂区，依托工程影响因素及污染物排放情况已经进行了评价与核算，本次评价只就新增加设施进行分析。</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）废气</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公用工程及辅助设施的废气污染分为有组织和无组织排放源。</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有组织排放源主要是火炬燃烧烟气。无组织排放的废气主要是污水处理系统废气。现厂区污水调节池等有恶臭气体散发</w:t>
      </w:r>
      <w:r>
        <w:rPr>
          <w:rFonts w:ascii="Times New Roman" w:hAnsi="Times New Roman" w:hint="eastAsia"/>
          <w:sz w:val="24"/>
        </w:rPr>
        <w:t>的设施，采用</w:t>
      </w:r>
      <w:r>
        <w:rPr>
          <w:rFonts w:ascii="Times New Roman" w:hAnsi="Times New Roman"/>
          <w:sz w:val="24"/>
        </w:rPr>
        <w:t>加盖封闭结构，设置抽</w:t>
      </w:r>
      <w:r>
        <w:rPr>
          <w:rFonts w:ascii="Times New Roman" w:hAnsi="Times New Roman"/>
          <w:sz w:val="24"/>
        </w:rPr>
        <w:lastRenderedPageBreak/>
        <w:t>气管道，将恶臭气体收集到生物滤床处理后排放。</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）废水</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公用工程及辅助设施的废水污染主要是循环水系统排污（</w:t>
      </w:r>
      <w:r>
        <w:rPr>
          <w:rFonts w:ascii="Times New Roman" w:hAnsi="Times New Roman"/>
          <w:sz w:val="24"/>
          <w:szCs w:val="24"/>
        </w:rPr>
        <w:t>3/h</w:t>
      </w:r>
      <w:r>
        <w:rPr>
          <w:rFonts w:ascii="Times New Roman" w:hAnsi="Times New Roman"/>
          <w:sz w:val="24"/>
          <w:szCs w:val="24"/>
        </w:rPr>
        <w:t>）、脱盐水站排放的浓盐水（</w:t>
      </w:r>
      <w:r>
        <w:rPr>
          <w:rFonts w:ascii="Times New Roman" w:hAnsi="Times New Roman"/>
          <w:sz w:val="24"/>
          <w:szCs w:val="24"/>
        </w:rPr>
        <w:t>8.5t/h</w:t>
      </w:r>
      <w:r>
        <w:rPr>
          <w:rFonts w:ascii="Times New Roman" w:hAnsi="Times New Roman"/>
          <w:sz w:val="24"/>
          <w:szCs w:val="24"/>
        </w:rPr>
        <w:t>）及生活污水（</w:t>
      </w:r>
      <w:r>
        <w:rPr>
          <w:rFonts w:ascii="Times New Roman" w:hAnsi="Times New Roman"/>
          <w:sz w:val="24"/>
          <w:szCs w:val="24"/>
        </w:rPr>
        <w:t>0.24t/h</w:t>
      </w:r>
      <w:r>
        <w:rPr>
          <w:rFonts w:ascii="Times New Roman" w:hAnsi="Times New Roman"/>
          <w:sz w:val="24"/>
          <w:szCs w:val="24"/>
        </w:rPr>
        <w:t>）。</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）固体废物</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公用工程及辅助设施的固废主要有污水处理站气浮单元新增浮渣（</w:t>
      </w:r>
      <w:r>
        <w:rPr>
          <w:rFonts w:ascii="Times New Roman" w:hAnsi="Times New Roman"/>
          <w:sz w:val="24"/>
        </w:rPr>
        <w:t>11.8</w:t>
      </w:r>
      <w:r>
        <w:rPr>
          <w:rFonts w:ascii="Times New Roman" w:hAnsi="Times New Roman"/>
          <w:szCs w:val="21"/>
        </w:rPr>
        <w:t>t/a</w:t>
      </w:r>
      <w:r>
        <w:rPr>
          <w:rFonts w:ascii="Times New Roman" w:hAnsi="Times New Roman"/>
          <w:szCs w:val="21"/>
        </w:rPr>
        <w:t>）</w:t>
      </w:r>
      <w:r>
        <w:rPr>
          <w:rFonts w:ascii="Times New Roman" w:hAnsi="Times New Roman"/>
          <w:sz w:val="24"/>
        </w:rPr>
        <w:t>和生活垃圾（</w:t>
      </w:r>
      <w:r>
        <w:rPr>
          <w:rFonts w:ascii="Times New Roman" w:hAnsi="Times New Roman"/>
          <w:sz w:val="24"/>
        </w:rPr>
        <w:t>30</w:t>
      </w:r>
      <w:r>
        <w:rPr>
          <w:rFonts w:ascii="Times New Roman" w:hAnsi="Times New Roman"/>
          <w:szCs w:val="21"/>
        </w:rPr>
        <w:t>t/a</w:t>
      </w:r>
      <w:r>
        <w:rPr>
          <w:rFonts w:ascii="Times New Roman" w:hAnsi="Times New Roman"/>
          <w:szCs w:val="21"/>
        </w:rPr>
        <w:t>）</w:t>
      </w:r>
      <w:r>
        <w:rPr>
          <w:rFonts w:ascii="Times New Roman" w:hAnsi="Times New Roman"/>
          <w:sz w:val="24"/>
        </w:rPr>
        <w:t>等。</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）噪声</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公用工程辅助设施噪声源主要来自空压压缩机、风机，机泵，火炬各类放空气等，噪声值为</w:t>
      </w:r>
      <w:r>
        <w:rPr>
          <w:rFonts w:ascii="Times New Roman" w:hAnsi="Times New Roman"/>
          <w:sz w:val="24"/>
        </w:rPr>
        <w:t>85-105dB(A)</w:t>
      </w:r>
      <w:r>
        <w:rPr>
          <w:rFonts w:ascii="Times New Roman" w:hAnsi="Times New Roman"/>
          <w:sz w:val="24"/>
        </w:rPr>
        <w:t>。</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3.6.2.3</w:t>
      </w:r>
      <w:r>
        <w:rPr>
          <w:rFonts w:ascii="Times New Roman" w:hAnsi="Times New Roman" w:cs="Times New Roman"/>
          <w:kern w:val="44"/>
          <w:sz w:val="24"/>
          <w:szCs w:val="24"/>
        </w:rPr>
        <w:t>储运工程</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）废气</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储运工程排放废气主要来自罐区油品储运的大、小呼吸等无组织排放挥发损失和油的装车和卸车无组织排放挥发损失，主要污染物为烃类。油品储罐采用浮顶罐和拱顶罐，罐顶采用氮封，设呼吸阀和安全阀。采用密闭装车和冷凝</w:t>
      </w:r>
      <w:r>
        <w:rPr>
          <w:rFonts w:ascii="Times New Roman" w:hAnsi="Times New Roman"/>
          <w:sz w:val="24"/>
          <w:szCs w:val="24"/>
        </w:rPr>
        <w:t>+</w:t>
      </w:r>
      <w:r>
        <w:rPr>
          <w:rFonts w:ascii="Times New Roman" w:hAnsi="Times New Roman"/>
          <w:sz w:val="24"/>
          <w:szCs w:val="24"/>
        </w:rPr>
        <w:t>吸附法</w:t>
      </w:r>
      <w:r>
        <w:rPr>
          <w:rFonts w:ascii="Times New Roman" w:hAnsi="Times New Roman" w:hint="eastAsia"/>
          <w:sz w:val="24"/>
          <w:szCs w:val="24"/>
        </w:rPr>
        <w:t>进行</w:t>
      </w:r>
      <w:r>
        <w:rPr>
          <w:rFonts w:ascii="Times New Roman" w:hAnsi="Times New Roman"/>
          <w:sz w:val="24"/>
          <w:szCs w:val="24"/>
        </w:rPr>
        <w:t>油汽回收。</w:t>
      </w:r>
    </w:p>
    <w:p w:rsidR="00525419" w:rsidRDefault="00EE1CF7">
      <w:pPr>
        <w:spacing w:line="360" w:lineRule="auto"/>
        <w:ind w:firstLine="20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2</w:t>
      </w:r>
      <w:r>
        <w:rPr>
          <w:rFonts w:ascii="Times New Roman" w:hAnsi="Times New Roman"/>
          <w:sz w:val="24"/>
          <w:szCs w:val="24"/>
        </w:rPr>
        <w:t>）废水</w:t>
      </w:r>
    </w:p>
    <w:p w:rsidR="00525419" w:rsidRDefault="00EE1CF7">
      <w:pPr>
        <w:spacing w:line="360" w:lineRule="auto"/>
        <w:ind w:firstLine="200"/>
        <w:rPr>
          <w:rFonts w:ascii="Times New Roman" w:hAnsi="Times New Roman"/>
          <w:sz w:val="24"/>
          <w:szCs w:val="24"/>
        </w:rPr>
      </w:pPr>
      <w:r>
        <w:rPr>
          <w:rFonts w:ascii="Times New Roman" w:hAnsi="Times New Roman"/>
          <w:sz w:val="24"/>
          <w:szCs w:val="24"/>
        </w:rPr>
        <w:t xml:space="preserve">　储运工程废水排放源主要有罐区切水排水、罐冲洗排水、油品装卸区地面冲洗排水、机泵及计量等处排水，特点是瞬时量大、水质变化幅度大。现对罐延长冲洗同期</w:t>
      </w:r>
      <w:r>
        <w:rPr>
          <w:rFonts w:ascii="Times New Roman" w:hAnsi="Times New Roman"/>
          <w:sz w:val="24"/>
          <w:szCs w:val="24"/>
        </w:rPr>
        <w:t>(</w:t>
      </w:r>
      <w:r>
        <w:rPr>
          <w:rFonts w:ascii="Times New Roman" w:hAnsi="Times New Roman"/>
          <w:sz w:val="24"/>
          <w:szCs w:val="24"/>
        </w:rPr>
        <w:t>大型罐已经提高到</w:t>
      </w:r>
      <w:r>
        <w:rPr>
          <w:rFonts w:ascii="Times New Roman" w:hAnsi="Times New Roman"/>
          <w:sz w:val="24"/>
          <w:szCs w:val="24"/>
        </w:rPr>
        <w:t>8-10</w:t>
      </w:r>
      <w:r>
        <w:rPr>
          <w:rFonts w:ascii="Times New Roman" w:hAnsi="Times New Roman"/>
          <w:sz w:val="24"/>
          <w:szCs w:val="24"/>
        </w:rPr>
        <w:t>年冲洗一次</w:t>
      </w:r>
      <w:r>
        <w:rPr>
          <w:rFonts w:ascii="Times New Roman" w:hAnsi="Times New Roman"/>
          <w:sz w:val="24"/>
          <w:szCs w:val="24"/>
        </w:rPr>
        <w:t>)</w:t>
      </w:r>
      <w:r>
        <w:rPr>
          <w:rFonts w:ascii="Times New Roman" w:hAnsi="Times New Roman"/>
          <w:sz w:val="24"/>
          <w:szCs w:val="24"/>
        </w:rPr>
        <w:t>和自动化清洗技术，冲洗废水产生量极少；根据节水要求和化工企业环境保护要求，地面清洗用干拖把清洁，减少了废水的排放，因此储运工程废水主要排放源为罐区切水排水，主要污染物为</w:t>
      </w:r>
      <w:r>
        <w:rPr>
          <w:rFonts w:ascii="Times New Roman" w:hAnsi="Times New Roman"/>
          <w:sz w:val="24"/>
          <w:szCs w:val="24"/>
        </w:rPr>
        <w:t>COD</w:t>
      </w:r>
      <w:r>
        <w:rPr>
          <w:rFonts w:ascii="Times New Roman" w:hAnsi="Times New Roman"/>
          <w:sz w:val="24"/>
          <w:szCs w:val="24"/>
        </w:rPr>
        <w:t>和石油类。</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）固体废物</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固体废物主要是清罐产生的油泥（</w:t>
      </w:r>
      <w:r>
        <w:rPr>
          <w:rFonts w:ascii="Times New Roman" w:hAnsi="Times New Roman"/>
          <w:sz w:val="24"/>
          <w:szCs w:val="24"/>
        </w:rPr>
        <w:t>15t/a</w:t>
      </w:r>
      <w:r>
        <w:rPr>
          <w:rFonts w:ascii="Times New Roman" w:hAnsi="Times New Roman"/>
          <w:sz w:val="24"/>
          <w:szCs w:val="24"/>
        </w:rPr>
        <w:t>）。</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4</w:t>
      </w:r>
      <w:r>
        <w:rPr>
          <w:rFonts w:ascii="Times New Roman" w:hAnsi="Times New Roman"/>
          <w:sz w:val="24"/>
          <w:szCs w:val="24"/>
        </w:rPr>
        <w:t>）噪声</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噪声主要来自电机和机泵，其一般是选择低噪声设备和隔声等控制措施。</w:t>
      </w:r>
    </w:p>
    <w:p w:rsidR="00525419" w:rsidRDefault="00EE1CF7">
      <w:pPr>
        <w:pStyle w:val="2a"/>
        <w:spacing w:beforeLines="50" w:before="159" w:after="159"/>
        <w:ind w:left="578" w:hanging="578"/>
        <w:rPr>
          <w:rFonts w:ascii="Times New Roman" w:eastAsia="楷体_GB2312" w:hAnsi="Times New Roman"/>
          <w:sz w:val="36"/>
        </w:rPr>
      </w:pPr>
      <w:bookmarkStart w:id="62" w:name="_Toc15187"/>
      <w:r>
        <w:rPr>
          <w:rFonts w:ascii="Times New Roman" w:eastAsia="楷体_GB2312" w:hAnsi="Times New Roman"/>
          <w:sz w:val="36"/>
        </w:rPr>
        <w:lastRenderedPageBreak/>
        <w:t>3.7</w:t>
      </w:r>
      <w:r>
        <w:rPr>
          <w:rFonts w:ascii="Times New Roman" w:eastAsia="楷体_GB2312" w:hAnsi="Times New Roman"/>
          <w:sz w:val="36"/>
        </w:rPr>
        <w:t>变更后污染源源强核算</w:t>
      </w:r>
      <w:bookmarkEnd w:id="62"/>
    </w:p>
    <w:p w:rsidR="00525419" w:rsidRDefault="00EE1CF7">
      <w:pPr>
        <w:pStyle w:val="3a"/>
        <w:spacing w:beforeLines="50" w:before="159" w:after="156" w:line="360" w:lineRule="auto"/>
        <w:jc w:val="left"/>
        <w:rPr>
          <w:rFonts w:ascii="Times New Roman" w:eastAsia="华文楷体" w:hAnsi="Times New Roman"/>
        </w:rPr>
      </w:pPr>
      <w:r>
        <w:rPr>
          <w:rFonts w:ascii="Times New Roman" w:eastAsia="华文楷体" w:hAnsi="Times New Roman"/>
        </w:rPr>
        <w:t>3.7.1</w:t>
      </w:r>
      <w:r>
        <w:rPr>
          <w:rFonts w:ascii="Times New Roman" w:eastAsia="华文楷体" w:hAnsi="Times New Roman"/>
        </w:rPr>
        <w:t>废气</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3.7.1.1</w:t>
      </w:r>
      <w:r>
        <w:rPr>
          <w:rFonts w:ascii="Times New Roman" w:hAnsi="Times New Roman" w:cs="Times New Roman"/>
          <w:kern w:val="44"/>
          <w:sz w:val="24"/>
          <w:szCs w:val="24"/>
        </w:rPr>
        <w:t>天然气制氢装置</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项目有组织废气排放源主要为</w:t>
      </w:r>
      <w:r>
        <w:rPr>
          <w:rFonts w:ascii="Times New Roman" w:hAnsi="Times New Roman" w:hint="eastAsia"/>
          <w:sz w:val="24"/>
          <w:szCs w:val="24"/>
        </w:rPr>
        <w:t>制氢转化炉</w:t>
      </w:r>
      <w:r>
        <w:rPr>
          <w:rFonts w:ascii="Times New Roman" w:hAnsi="Times New Roman"/>
          <w:sz w:val="24"/>
          <w:szCs w:val="24"/>
        </w:rPr>
        <w:t>烟气，主要污染物有</w:t>
      </w:r>
      <w:r>
        <w:rPr>
          <w:rFonts w:ascii="Times New Roman" w:hAnsi="Times New Roman"/>
          <w:sz w:val="24"/>
          <w:szCs w:val="24"/>
        </w:rPr>
        <w:t>SO</w:t>
      </w:r>
      <w:r>
        <w:rPr>
          <w:rFonts w:ascii="Times New Roman" w:hAnsi="Times New Roman"/>
          <w:sz w:val="24"/>
          <w:szCs w:val="24"/>
          <w:vertAlign w:val="subscript"/>
        </w:rPr>
        <w:t>2</w:t>
      </w:r>
      <w:r>
        <w:rPr>
          <w:rFonts w:ascii="Times New Roman" w:hAnsi="Times New Roman"/>
          <w:sz w:val="24"/>
          <w:szCs w:val="24"/>
          <w:vertAlign w:val="subscript"/>
        </w:rPr>
        <w:t>、</w:t>
      </w:r>
      <w:r>
        <w:rPr>
          <w:rFonts w:ascii="Times New Roman" w:hAnsi="Times New Roman"/>
          <w:sz w:val="24"/>
          <w:szCs w:val="24"/>
        </w:rPr>
        <w:t>NOx</w:t>
      </w:r>
      <w:r>
        <w:rPr>
          <w:rFonts w:ascii="Times New Roman" w:hAnsi="Times New Roman"/>
          <w:sz w:val="24"/>
          <w:szCs w:val="24"/>
        </w:rPr>
        <w:t>、烟尘。燃料气为解吸气和补充燃料气。烟气量根据燃料用量的</w:t>
      </w:r>
      <w:r>
        <w:rPr>
          <w:rFonts w:ascii="Times New Roman" w:hAnsi="Times New Roman"/>
          <w:sz w:val="24"/>
          <w:szCs w:val="24"/>
        </w:rPr>
        <w:t>5</w:t>
      </w:r>
      <w:r>
        <w:rPr>
          <w:rFonts w:ascii="Times New Roman" w:hAnsi="Times New Roman"/>
          <w:sz w:val="24"/>
          <w:szCs w:val="24"/>
        </w:rPr>
        <w:t>倍类比来核算；烟尘按照《大气可吸入颗粒物一次源排放清单编制技术指南（试行）》中</w:t>
      </w:r>
      <w:r>
        <w:rPr>
          <w:rFonts w:ascii="Times New Roman" w:hAnsi="Times New Roman"/>
          <w:sz w:val="24"/>
          <w:szCs w:val="24"/>
        </w:rPr>
        <w:t>PM</w:t>
      </w:r>
      <w:r>
        <w:rPr>
          <w:rFonts w:ascii="Times New Roman" w:hAnsi="Times New Roman"/>
          <w:sz w:val="24"/>
          <w:szCs w:val="24"/>
          <w:vertAlign w:val="subscript"/>
        </w:rPr>
        <w:t>10</w:t>
      </w:r>
      <w:r>
        <w:rPr>
          <w:rFonts w:ascii="Times New Roman" w:hAnsi="Times New Roman"/>
          <w:sz w:val="24"/>
          <w:szCs w:val="24"/>
        </w:rPr>
        <w:t xml:space="preserve"> </w:t>
      </w:r>
      <w:r>
        <w:rPr>
          <w:rFonts w:ascii="Times New Roman" w:hAnsi="Times New Roman"/>
          <w:sz w:val="24"/>
          <w:szCs w:val="24"/>
        </w:rPr>
        <w:t>产生系数（</w:t>
      </w:r>
      <w:r>
        <w:rPr>
          <w:rFonts w:ascii="Times New Roman" w:hAnsi="Times New Roman"/>
          <w:sz w:val="24"/>
          <w:szCs w:val="24"/>
        </w:rPr>
        <w:t>0.03g/m</w:t>
      </w:r>
      <w:r>
        <w:rPr>
          <w:rFonts w:ascii="Times New Roman" w:hAnsi="Times New Roman"/>
          <w:sz w:val="24"/>
          <w:szCs w:val="24"/>
          <w:vertAlign w:val="superscript"/>
        </w:rPr>
        <w:t>3</w:t>
      </w:r>
      <w:r>
        <w:rPr>
          <w:rFonts w:ascii="Times New Roman" w:hAnsi="Times New Roman"/>
          <w:sz w:val="24"/>
          <w:szCs w:val="24"/>
        </w:rPr>
        <w:t>燃料）进行核算；氧氧化和和二氧化硫采用《第一次全国污染源普查手册》中排污系数（</w:t>
      </w:r>
      <w:r>
        <w:rPr>
          <w:rFonts w:ascii="Times New Roman" w:hAnsi="Times New Roman"/>
          <w:sz w:val="24"/>
          <w:szCs w:val="24"/>
        </w:rPr>
        <w:t>NOx</w:t>
      </w:r>
      <w:r>
        <w:rPr>
          <w:rFonts w:ascii="Times New Roman" w:hAnsi="Times New Roman"/>
          <w:sz w:val="24"/>
          <w:szCs w:val="24"/>
        </w:rPr>
        <w:t>：</w:t>
      </w:r>
      <w:r>
        <w:rPr>
          <w:rFonts w:ascii="Times New Roman" w:hAnsi="Times New Roman"/>
          <w:kern w:val="0"/>
          <w:sz w:val="24"/>
          <w:szCs w:val="24"/>
        </w:rPr>
        <w:t>18.71 kg/10</w:t>
      </w:r>
      <w:r>
        <w:rPr>
          <w:rFonts w:ascii="Times New Roman" w:hAnsi="Times New Roman"/>
          <w:kern w:val="0"/>
          <w:sz w:val="24"/>
          <w:szCs w:val="24"/>
          <w:vertAlign w:val="superscript"/>
        </w:rPr>
        <w:t>4</w:t>
      </w:r>
      <w:r>
        <w:rPr>
          <w:rFonts w:ascii="Times New Roman" w:hAnsi="Times New Roman"/>
          <w:kern w:val="0"/>
          <w:sz w:val="24"/>
          <w:szCs w:val="24"/>
        </w:rPr>
        <w:t>m</w:t>
      </w:r>
      <w:r>
        <w:rPr>
          <w:rFonts w:ascii="Times New Roman" w:hAnsi="Times New Roman"/>
          <w:kern w:val="0"/>
          <w:sz w:val="24"/>
          <w:szCs w:val="24"/>
          <w:vertAlign w:val="superscript"/>
        </w:rPr>
        <w:t>3</w:t>
      </w:r>
      <w:r>
        <w:rPr>
          <w:rFonts w:ascii="Times New Roman" w:hAnsi="Times New Roman"/>
          <w:sz w:val="24"/>
          <w:szCs w:val="24"/>
        </w:rPr>
        <w:t>；</w:t>
      </w:r>
      <w:r>
        <w:rPr>
          <w:rFonts w:ascii="Times New Roman" w:hAnsi="Times New Roman"/>
          <w:sz w:val="24"/>
          <w:szCs w:val="24"/>
        </w:rPr>
        <w:t>SO</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kern w:val="0"/>
          <w:sz w:val="24"/>
          <w:szCs w:val="24"/>
        </w:rPr>
        <w:t xml:space="preserve"> 0.02S kg/10</w:t>
      </w:r>
      <w:r>
        <w:rPr>
          <w:rFonts w:ascii="Times New Roman" w:hAnsi="Times New Roman"/>
          <w:kern w:val="0"/>
          <w:sz w:val="24"/>
          <w:szCs w:val="24"/>
          <w:vertAlign w:val="superscript"/>
        </w:rPr>
        <w:t>4</w:t>
      </w:r>
      <w:r>
        <w:rPr>
          <w:rFonts w:ascii="Times New Roman" w:hAnsi="Times New Roman"/>
          <w:kern w:val="0"/>
          <w:sz w:val="24"/>
          <w:szCs w:val="24"/>
        </w:rPr>
        <w:t>m</w:t>
      </w:r>
      <w:r>
        <w:rPr>
          <w:rFonts w:ascii="Times New Roman" w:hAnsi="Times New Roman"/>
          <w:kern w:val="0"/>
          <w:sz w:val="24"/>
          <w:szCs w:val="24"/>
          <w:vertAlign w:val="superscript"/>
        </w:rPr>
        <w:t>3</w:t>
      </w:r>
      <w:r>
        <w:rPr>
          <w:rFonts w:ascii="Times New Roman" w:hAnsi="Times New Roman"/>
          <w:kern w:val="0"/>
          <w:sz w:val="24"/>
          <w:szCs w:val="24"/>
        </w:rPr>
        <w:t>)</w:t>
      </w:r>
      <w:r>
        <w:rPr>
          <w:rFonts w:ascii="Times New Roman" w:hAnsi="Times New Roman"/>
          <w:sz w:val="24"/>
          <w:szCs w:val="24"/>
        </w:rPr>
        <w:t xml:space="preserve">　进行源强的核算。本项目</w:t>
      </w:r>
      <w:r>
        <w:rPr>
          <w:rFonts w:ascii="Times New Roman" w:hAnsi="Times New Roman" w:hint="eastAsia"/>
          <w:sz w:val="24"/>
          <w:szCs w:val="24"/>
        </w:rPr>
        <w:t>制氢转化炉</w:t>
      </w:r>
      <w:r>
        <w:rPr>
          <w:rFonts w:ascii="Times New Roman" w:hAnsi="Times New Roman"/>
          <w:sz w:val="24"/>
          <w:szCs w:val="24"/>
        </w:rPr>
        <w:t>燃料为本装置产生的解吸气用量</w:t>
      </w:r>
      <w:r>
        <w:rPr>
          <w:rFonts w:ascii="Times New Roman" w:hAnsi="Times New Roman"/>
          <w:sz w:val="24"/>
          <w:szCs w:val="24"/>
        </w:rPr>
        <w:t>12471Nm</w:t>
      </w:r>
      <w:r>
        <w:rPr>
          <w:rFonts w:ascii="Times New Roman" w:hAnsi="Times New Roman"/>
          <w:sz w:val="24"/>
          <w:szCs w:val="24"/>
          <w:vertAlign w:val="superscript"/>
        </w:rPr>
        <w:t>3</w:t>
      </w:r>
      <w:r>
        <w:rPr>
          <w:rFonts w:ascii="Times New Roman" w:hAnsi="Times New Roman"/>
          <w:sz w:val="24"/>
          <w:szCs w:val="24"/>
        </w:rPr>
        <w:t>/h</w:t>
      </w:r>
      <w:r>
        <w:rPr>
          <w:rFonts w:ascii="Times New Roman" w:hAnsi="Times New Roman"/>
          <w:sz w:val="24"/>
          <w:szCs w:val="24"/>
        </w:rPr>
        <w:t>和补充燃料气用量</w:t>
      </w:r>
      <w:r>
        <w:rPr>
          <w:rFonts w:ascii="Times New Roman" w:hAnsi="Times New Roman"/>
          <w:sz w:val="24"/>
          <w:szCs w:val="24"/>
        </w:rPr>
        <w:t>993Nm</w:t>
      </w:r>
      <w:r>
        <w:rPr>
          <w:rFonts w:ascii="Times New Roman" w:hAnsi="Times New Roman"/>
          <w:sz w:val="24"/>
          <w:szCs w:val="24"/>
          <w:vertAlign w:val="superscript"/>
        </w:rPr>
        <w:t>3</w:t>
      </w:r>
      <w:r>
        <w:rPr>
          <w:rFonts w:ascii="Times New Roman" w:hAnsi="Times New Roman"/>
          <w:sz w:val="24"/>
          <w:szCs w:val="24"/>
        </w:rPr>
        <w:t>/h</w:t>
      </w:r>
      <w:r>
        <w:rPr>
          <w:rFonts w:ascii="Times New Roman" w:hAnsi="Times New Roman"/>
          <w:sz w:val="24"/>
          <w:szCs w:val="24"/>
        </w:rPr>
        <w:t>。</w:t>
      </w:r>
    </w:p>
    <w:p w:rsidR="00525419" w:rsidRDefault="00EE1CF7">
      <w:pPr>
        <w:adjustRightInd w:val="0"/>
        <w:snapToGrid w:val="0"/>
        <w:spacing w:line="360" w:lineRule="auto"/>
        <w:ind w:firstLine="200"/>
        <w:rPr>
          <w:rFonts w:ascii="Times New Roman" w:hAnsi="Times New Roman"/>
          <w:sz w:val="24"/>
          <w:szCs w:val="24"/>
        </w:rPr>
      </w:pPr>
      <w:r>
        <w:rPr>
          <w:rFonts w:ascii="Times New Roman" w:hAnsi="Times New Roman"/>
          <w:sz w:val="24"/>
          <w:szCs w:val="24"/>
        </w:rPr>
        <w:t xml:space="preserve">　</w:t>
      </w:r>
      <w:r>
        <w:rPr>
          <w:rFonts w:ascii="Times New Roman" w:hAnsi="Times New Roman" w:hint="eastAsia"/>
          <w:sz w:val="24"/>
          <w:szCs w:val="24"/>
        </w:rPr>
        <w:t>制氢转化炉</w:t>
      </w:r>
      <w:r>
        <w:rPr>
          <w:rFonts w:ascii="Times New Roman" w:hAnsi="Times New Roman"/>
          <w:sz w:val="24"/>
          <w:szCs w:val="24"/>
        </w:rPr>
        <w:t>烟尘的产生量＝</w:t>
      </w:r>
      <w:r>
        <w:rPr>
          <w:rFonts w:ascii="Times New Roman" w:hAnsi="Times New Roman"/>
          <w:sz w:val="24"/>
          <w:szCs w:val="24"/>
        </w:rPr>
        <w:t>13464×0.03</w:t>
      </w:r>
      <w:r>
        <w:rPr>
          <w:rFonts w:ascii="Times New Roman" w:hAnsi="Times New Roman"/>
          <w:sz w:val="24"/>
          <w:szCs w:val="24"/>
        </w:rPr>
        <w:t>＝</w:t>
      </w:r>
      <w:r>
        <w:rPr>
          <w:rFonts w:ascii="Times New Roman" w:hAnsi="Times New Roman"/>
          <w:sz w:val="24"/>
          <w:szCs w:val="24"/>
        </w:rPr>
        <w:t>0.404kg/h</w:t>
      </w:r>
      <w:r>
        <w:rPr>
          <w:rFonts w:ascii="Times New Roman" w:hAnsi="Times New Roman"/>
          <w:sz w:val="24"/>
          <w:szCs w:val="24"/>
        </w:rPr>
        <w:t>；</w:t>
      </w:r>
      <w:r>
        <w:rPr>
          <w:rFonts w:ascii="Times New Roman" w:hAnsi="Times New Roman"/>
          <w:sz w:val="24"/>
          <w:szCs w:val="24"/>
        </w:rPr>
        <w:t>Gso</w:t>
      </w:r>
      <w:r>
        <w:rPr>
          <w:rFonts w:ascii="Times New Roman" w:hAnsi="Times New Roman"/>
          <w:sz w:val="24"/>
          <w:szCs w:val="24"/>
          <w:vertAlign w:val="subscript"/>
        </w:rPr>
        <w:t>2</w:t>
      </w:r>
      <w:r>
        <w:rPr>
          <w:rFonts w:ascii="Times New Roman" w:hAnsi="Times New Roman"/>
          <w:sz w:val="24"/>
          <w:szCs w:val="24"/>
        </w:rPr>
        <w:t>=13464×0.02×20×(32/34) =0.507kg/h</w:t>
      </w:r>
      <w:r>
        <w:rPr>
          <w:rFonts w:ascii="Times New Roman" w:hAnsi="Times New Roman"/>
          <w:sz w:val="24"/>
          <w:szCs w:val="24"/>
        </w:rPr>
        <w:t>；</w:t>
      </w:r>
      <w:r>
        <w:rPr>
          <w:rFonts w:ascii="Times New Roman" w:hAnsi="Times New Roman"/>
          <w:sz w:val="24"/>
          <w:szCs w:val="24"/>
        </w:rPr>
        <w:t>G</w:t>
      </w:r>
      <w:r>
        <w:rPr>
          <w:rFonts w:ascii="Times New Roman" w:hAnsi="Times New Roman"/>
          <w:sz w:val="24"/>
          <w:szCs w:val="24"/>
          <w:vertAlign w:val="subscript"/>
        </w:rPr>
        <w:t>NOx</w:t>
      </w:r>
      <w:r>
        <w:rPr>
          <w:rFonts w:ascii="Times New Roman" w:hAnsi="Times New Roman"/>
          <w:sz w:val="24"/>
          <w:szCs w:val="24"/>
        </w:rPr>
        <w:t>=12471×</w:t>
      </w:r>
      <w:r>
        <w:rPr>
          <w:rFonts w:ascii="Times New Roman" w:hAnsi="Times New Roman"/>
          <w:sz w:val="24"/>
          <w:szCs w:val="24"/>
        </w:rPr>
        <w:t>（</w:t>
      </w:r>
      <w:r>
        <w:rPr>
          <w:rFonts w:ascii="Times New Roman" w:hAnsi="Times New Roman"/>
          <w:sz w:val="24"/>
          <w:szCs w:val="24"/>
        </w:rPr>
        <w:t>18.71/4</w:t>
      </w:r>
      <w:r>
        <w:rPr>
          <w:rFonts w:ascii="Times New Roman" w:hAnsi="Times New Roman"/>
          <w:sz w:val="24"/>
          <w:szCs w:val="24"/>
        </w:rPr>
        <w:t>）</w:t>
      </w:r>
      <w:r>
        <w:rPr>
          <w:rFonts w:ascii="Times New Roman" w:hAnsi="Times New Roman"/>
          <w:sz w:val="24"/>
          <w:szCs w:val="24"/>
        </w:rPr>
        <w:t>/10000+993×</w:t>
      </w:r>
      <w:r>
        <w:rPr>
          <w:rFonts w:ascii="Times New Roman" w:hAnsi="Times New Roman"/>
          <w:sz w:val="24"/>
          <w:szCs w:val="24"/>
        </w:rPr>
        <w:t>（</w:t>
      </w:r>
      <w:r>
        <w:rPr>
          <w:rFonts w:ascii="Times New Roman" w:hAnsi="Times New Roman"/>
          <w:sz w:val="24"/>
          <w:szCs w:val="24"/>
        </w:rPr>
        <w:t>18.71/2</w:t>
      </w:r>
      <w:r>
        <w:rPr>
          <w:rFonts w:ascii="Times New Roman" w:hAnsi="Times New Roman"/>
          <w:sz w:val="24"/>
          <w:szCs w:val="24"/>
        </w:rPr>
        <w:t>）</w:t>
      </w:r>
      <w:r>
        <w:rPr>
          <w:rFonts w:ascii="Times New Roman" w:hAnsi="Times New Roman"/>
          <w:sz w:val="24"/>
          <w:szCs w:val="24"/>
        </w:rPr>
        <w:t>/10000=6.76kg/h</w:t>
      </w:r>
      <w:r>
        <w:rPr>
          <w:rFonts w:ascii="Times New Roman" w:hAnsi="Times New Roman"/>
          <w:sz w:val="24"/>
          <w:szCs w:val="24"/>
        </w:rPr>
        <w:t>。</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废气污染源源强核算结果见表</w:t>
      </w:r>
      <w:r>
        <w:rPr>
          <w:rFonts w:ascii="Times New Roman" w:hAnsi="Times New Roman"/>
          <w:sz w:val="24"/>
          <w:szCs w:val="24"/>
        </w:rPr>
        <w:t>3.7-1</w:t>
      </w:r>
      <w:r>
        <w:rPr>
          <w:rFonts w:ascii="Times New Roman" w:hAnsi="Times New Roman"/>
          <w:sz w:val="24"/>
          <w:szCs w:val="24"/>
        </w:rPr>
        <w:t>。</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3.7.1.2</w:t>
      </w:r>
      <w:r>
        <w:rPr>
          <w:rFonts w:ascii="Times New Roman" w:hAnsi="Times New Roman" w:cs="Times New Roman"/>
          <w:kern w:val="44"/>
          <w:sz w:val="24"/>
          <w:szCs w:val="24"/>
        </w:rPr>
        <w:t>煤焦油加氢装置</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项目有组织废气排放源主要为加热炉烟气，主要污染物有</w:t>
      </w:r>
      <w:r>
        <w:rPr>
          <w:rFonts w:ascii="Times New Roman" w:hAnsi="Times New Roman"/>
          <w:sz w:val="24"/>
          <w:szCs w:val="24"/>
        </w:rPr>
        <w:t>SO</w:t>
      </w:r>
      <w:r>
        <w:rPr>
          <w:rFonts w:ascii="Times New Roman" w:hAnsi="Times New Roman"/>
          <w:sz w:val="24"/>
          <w:szCs w:val="24"/>
          <w:vertAlign w:val="subscript"/>
        </w:rPr>
        <w:t>2</w:t>
      </w:r>
      <w:r>
        <w:rPr>
          <w:rFonts w:ascii="Times New Roman" w:hAnsi="Times New Roman"/>
          <w:sz w:val="24"/>
          <w:szCs w:val="24"/>
          <w:vertAlign w:val="subscript"/>
        </w:rPr>
        <w:t>、</w:t>
      </w:r>
      <w:r>
        <w:rPr>
          <w:rFonts w:ascii="Times New Roman" w:hAnsi="Times New Roman"/>
          <w:sz w:val="24"/>
          <w:szCs w:val="24"/>
        </w:rPr>
        <w:t>NOx</w:t>
      </w:r>
      <w:r>
        <w:rPr>
          <w:rFonts w:ascii="Times New Roman" w:hAnsi="Times New Roman"/>
          <w:sz w:val="24"/>
          <w:szCs w:val="24"/>
        </w:rPr>
        <w:t>、烟尘。燃料气为脱硫干气。烟气量根据燃料用量的</w:t>
      </w:r>
      <w:r>
        <w:rPr>
          <w:rFonts w:ascii="Times New Roman" w:hAnsi="Times New Roman"/>
          <w:sz w:val="24"/>
          <w:szCs w:val="24"/>
        </w:rPr>
        <w:t>13</w:t>
      </w:r>
      <w:r>
        <w:rPr>
          <w:rFonts w:ascii="Times New Roman" w:hAnsi="Times New Roman"/>
          <w:sz w:val="24"/>
          <w:szCs w:val="24"/>
        </w:rPr>
        <w:t>倍类比来核算；烟尘按照《大气可吸入颗粒物一次源排放清单编制技术指南（试行）》中</w:t>
      </w:r>
      <w:r>
        <w:rPr>
          <w:rFonts w:ascii="Times New Roman" w:hAnsi="Times New Roman"/>
          <w:sz w:val="24"/>
          <w:szCs w:val="24"/>
        </w:rPr>
        <w:t>PM</w:t>
      </w:r>
      <w:r>
        <w:rPr>
          <w:rFonts w:ascii="Times New Roman" w:hAnsi="Times New Roman"/>
          <w:sz w:val="24"/>
          <w:szCs w:val="24"/>
          <w:vertAlign w:val="subscript"/>
        </w:rPr>
        <w:t xml:space="preserve">10 </w:t>
      </w:r>
      <w:r>
        <w:rPr>
          <w:rFonts w:ascii="Times New Roman" w:hAnsi="Times New Roman"/>
          <w:sz w:val="24"/>
          <w:szCs w:val="24"/>
        </w:rPr>
        <w:t>产生系数（</w:t>
      </w:r>
      <w:r>
        <w:rPr>
          <w:rFonts w:ascii="Times New Roman" w:hAnsi="Times New Roman"/>
          <w:sz w:val="24"/>
          <w:szCs w:val="24"/>
        </w:rPr>
        <w:t>0.03g/m</w:t>
      </w:r>
      <w:r>
        <w:rPr>
          <w:rFonts w:ascii="Times New Roman" w:hAnsi="Times New Roman"/>
          <w:sz w:val="24"/>
          <w:szCs w:val="24"/>
          <w:vertAlign w:val="superscript"/>
        </w:rPr>
        <w:t>3</w:t>
      </w:r>
      <w:r>
        <w:rPr>
          <w:rFonts w:ascii="Times New Roman" w:hAnsi="Times New Roman"/>
          <w:sz w:val="24"/>
          <w:szCs w:val="24"/>
        </w:rPr>
        <w:t>燃料）进行核算；氧氧化和和二氧化硫采用《第一次全国污染源普查手册》中排污系数（</w:t>
      </w:r>
      <w:r>
        <w:rPr>
          <w:rFonts w:ascii="Times New Roman" w:hAnsi="Times New Roman"/>
          <w:sz w:val="24"/>
          <w:szCs w:val="24"/>
        </w:rPr>
        <w:t>NOx</w:t>
      </w:r>
      <w:r>
        <w:rPr>
          <w:rFonts w:ascii="Times New Roman" w:hAnsi="Times New Roman"/>
          <w:sz w:val="24"/>
          <w:szCs w:val="24"/>
        </w:rPr>
        <w:t>：</w:t>
      </w:r>
      <w:r>
        <w:rPr>
          <w:rFonts w:ascii="Times New Roman" w:hAnsi="Times New Roman"/>
          <w:kern w:val="0"/>
          <w:sz w:val="24"/>
          <w:szCs w:val="24"/>
        </w:rPr>
        <w:t>18.71 kg/10</w:t>
      </w:r>
      <w:r>
        <w:rPr>
          <w:rFonts w:ascii="Times New Roman" w:hAnsi="Times New Roman"/>
          <w:kern w:val="0"/>
          <w:sz w:val="24"/>
          <w:szCs w:val="24"/>
          <w:vertAlign w:val="superscript"/>
        </w:rPr>
        <w:t>4</w:t>
      </w:r>
      <w:r>
        <w:rPr>
          <w:rFonts w:ascii="Times New Roman" w:hAnsi="Times New Roman"/>
          <w:kern w:val="0"/>
          <w:sz w:val="24"/>
          <w:szCs w:val="24"/>
        </w:rPr>
        <w:t>m</w:t>
      </w:r>
      <w:r>
        <w:rPr>
          <w:rFonts w:ascii="Times New Roman" w:hAnsi="Times New Roman"/>
          <w:kern w:val="0"/>
          <w:sz w:val="24"/>
          <w:szCs w:val="24"/>
          <w:vertAlign w:val="superscript"/>
        </w:rPr>
        <w:t>3</w:t>
      </w:r>
      <w:r>
        <w:rPr>
          <w:rFonts w:ascii="Times New Roman" w:hAnsi="Times New Roman"/>
          <w:sz w:val="24"/>
          <w:szCs w:val="24"/>
        </w:rPr>
        <w:t>；</w:t>
      </w:r>
      <w:r>
        <w:rPr>
          <w:rFonts w:ascii="Times New Roman" w:hAnsi="Times New Roman"/>
          <w:sz w:val="24"/>
          <w:szCs w:val="24"/>
        </w:rPr>
        <w:t>SO</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kern w:val="0"/>
          <w:sz w:val="24"/>
          <w:szCs w:val="24"/>
        </w:rPr>
        <w:t xml:space="preserve"> 0.02S kg/10</w:t>
      </w:r>
      <w:r>
        <w:rPr>
          <w:rFonts w:ascii="Times New Roman" w:hAnsi="Times New Roman"/>
          <w:kern w:val="0"/>
          <w:sz w:val="24"/>
          <w:szCs w:val="24"/>
          <w:vertAlign w:val="superscript"/>
        </w:rPr>
        <w:t>4</w:t>
      </w:r>
      <w:r>
        <w:rPr>
          <w:rFonts w:ascii="Times New Roman" w:hAnsi="Times New Roman"/>
          <w:kern w:val="0"/>
          <w:sz w:val="24"/>
          <w:szCs w:val="24"/>
        </w:rPr>
        <w:t>m</w:t>
      </w:r>
      <w:r>
        <w:rPr>
          <w:rFonts w:ascii="Times New Roman" w:hAnsi="Times New Roman"/>
          <w:kern w:val="0"/>
          <w:sz w:val="24"/>
          <w:szCs w:val="24"/>
          <w:vertAlign w:val="superscript"/>
        </w:rPr>
        <w:t>3</w:t>
      </w:r>
      <w:r>
        <w:rPr>
          <w:rFonts w:ascii="Times New Roman" w:hAnsi="Times New Roman"/>
          <w:kern w:val="0"/>
          <w:sz w:val="24"/>
          <w:szCs w:val="24"/>
        </w:rPr>
        <w:t>)</w:t>
      </w:r>
      <w:r>
        <w:rPr>
          <w:rFonts w:ascii="Times New Roman" w:hAnsi="Times New Roman"/>
          <w:sz w:val="24"/>
          <w:szCs w:val="24"/>
        </w:rPr>
        <w:t xml:space="preserve">　进行源强的核算。本项目</w:t>
      </w:r>
      <w:r>
        <w:rPr>
          <w:rFonts w:ascii="Times New Roman" w:hAnsi="Times New Roman" w:hint="eastAsia"/>
          <w:sz w:val="24"/>
          <w:szCs w:val="24"/>
        </w:rPr>
        <w:t>加氢反应一、二段加热炉</w:t>
      </w:r>
      <w:r>
        <w:rPr>
          <w:rFonts w:ascii="Times New Roman" w:hAnsi="Times New Roman"/>
          <w:sz w:val="24"/>
          <w:szCs w:val="24"/>
        </w:rPr>
        <w:t>燃料气用量共</w:t>
      </w:r>
      <w:r>
        <w:rPr>
          <w:rFonts w:ascii="Times New Roman" w:hAnsi="Times New Roman"/>
          <w:sz w:val="24"/>
          <w:szCs w:val="24"/>
        </w:rPr>
        <w:t>1156m</w:t>
      </w:r>
      <w:r>
        <w:rPr>
          <w:rFonts w:ascii="Times New Roman" w:hAnsi="Times New Roman"/>
          <w:sz w:val="24"/>
          <w:szCs w:val="24"/>
          <w:vertAlign w:val="superscript"/>
        </w:rPr>
        <w:t>3</w:t>
      </w:r>
      <w:r>
        <w:rPr>
          <w:rFonts w:ascii="Times New Roman" w:hAnsi="Times New Roman"/>
          <w:sz w:val="24"/>
          <w:szCs w:val="24"/>
        </w:rPr>
        <w:t>/h</w:t>
      </w:r>
      <w:r>
        <w:rPr>
          <w:rFonts w:ascii="Times New Roman" w:hAnsi="Times New Roman"/>
          <w:sz w:val="24"/>
          <w:szCs w:val="24"/>
        </w:rPr>
        <w:t>、</w:t>
      </w:r>
      <w:r>
        <w:rPr>
          <w:rFonts w:ascii="Times New Roman" w:hAnsi="Times New Roman" w:hint="eastAsia"/>
          <w:sz w:val="24"/>
          <w:szCs w:val="24"/>
        </w:rPr>
        <w:t>加氢分馏加热炉</w:t>
      </w:r>
      <w:r>
        <w:rPr>
          <w:rFonts w:ascii="Times New Roman" w:hAnsi="Times New Roman"/>
          <w:sz w:val="24"/>
          <w:szCs w:val="24"/>
        </w:rPr>
        <w:t>燃料气用量为</w:t>
      </w:r>
      <w:r>
        <w:rPr>
          <w:rFonts w:ascii="Times New Roman" w:hAnsi="Times New Roman"/>
          <w:sz w:val="24"/>
          <w:szCs w:val="24"/>
        </w:rPr>
        <w:t>979 m</w:t>
      </w:r>
      <w:r>
        <w:rPr>
          <w:rFonts w:ascii="Times New Roman" w:hAnsi="Times New Roman"/>
          <w:sz w:val="24"/>
          <w:szCs w:val="24"/>
          <w:vertAlign w:val="superscript"/>
        </w:rPr>
        <w:t>3</w:t>
      </w:r>
      <w:r>
        <w:rPr>
          <w:rFonts w:ascii="Times New Roman" w:hAnsi="Times New Roman"/>
          <w:sz w:val="24"/>
          <w:szCs w:val="24"/>
        </w:rPr>
        <w:t>/h</w:t>
      </w:r>
      <w:r>
        <w:rPr>
          <w:rFonts w:ascii="Times New Roman" w:hAnsi="Times New Roman"/>
          <w:sz w:val="24"/>
          <w:szCs w:val="24"/>
        </w:rPr>
        <w:t>。</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加氢反应一、二段加热炉</w:t>
      </w:r>
      <w:r>
        <w:rPr>
          <w:rFonts w:ascii="Times New Roman" w:hAnsi="Times New Roman"/>
          <w:sz w:val="24"/>
          <w:szCs w:val="24"/>
        </w:rPr>
        <w:t>烟尘的产生量＝</w:t>
      </w:r>
      <w:r>
        <w:rPr>
          <w:rFonts w:ascii="Times New Roman" w:hAnsi="Times New Roman"/>
          <w:sz w:val="24"/>
          <w:szCs w:val="24"/>
        </w:rPr>
        <w:t>1156×0.03</w:t>
      </w:r>
      <w:r>
        <w:rPr>
          <w:rFonts w:ascii="Times New Roman" w:hAnsi="Times New Roman"/>
          <w:sz w:val="24"/>
          <w:szCs w:val="24"/>
        </w:rPr>
        <w:t>＝</w:t>
      </w:r>
      <w:r>
        <w:rPr>
          <w:rFonts w:ascii="Times New Roman" w:hAnsi="Times New Roman"/>
          <w:sz w:val="24"/>
          <w:szCs w:val="24"/>
        </w:rPr>
        <w:t>0.03468kg/h</w:t>
      </w:r>
      <w:r>
        <w:rPr>
          <w:rFonts w:ascii="Times New Roman" w:hAnsi="Times New Roman"/>
          <w:sz w:val="24"/>
          <w:szCs w:val="24"/>
        </w:rPr>
        <w:t>；</w:t>
      </w:r>
      <w:r>
        <w:rPr>
          <w:rFonts w:ascii="Times New Roman" w:hAnsi="Times New Roman"/>
          <w:sz w:val="24"/>
          <w:szCs w:val="24"/>
        </w:rPr>
        <w:t>Gso</w:t>
      </w:r>
      <w:r>
        <w:rPr>
          <w:rFonts w:ascii="Times New Roman" w:hAnsi="Times New Roman"/>
          <w:sz w:val="24"/>
          <w:szCs w:val="24"/>
          <w:vertAlign w:val="subscript"/>
        </w:rPr>
        <w:t>2</w:t>
      </w:r>
      <w:r>
        <w:rPr>
          <w:rFonts w:ascii="Times New Roman" w:hAnsi="Times New Roman"/>
          <w:sz w:val="24"/>
          <w:szCs w:val="24"/>
        </w:rPr>
        <w:t>=1156×0.02×20×(32/34) =0.04352kg/h</w:t>
      </w:r>
      <w:r>
        <w:rPr>
          <w:rFonts w:ascii="Times New Roman" w:hAnsi="Times New Roman"/>
          <w:sz w:val="24"/>
          <w:szCs w:val="24"/>
        </w:rPr>
        <w:t>；</w:t>
      </w:r>
      <w:r>
        <w:rPr>
          <w:rFonts w:ascii="Times New Roman" w:hAnsi="Times New Roman"/>
          <w:sz w:val="24"/>
          <w:szCs w:val="24"/>
        </w:rPr>
        <w:t>G</w:t>
      </w:r>
      <w:r>
        <w:rPr>
          <w:rFonts w:ascii="Times New Roman" w:hAnsi="Times New Roman"/>
          <w:sz w:val="24"/>
          <w:szCs w:val="24"/>
          <w:vertAlign w:val="subscript"/>
        </w:rPr>
        <w:t>NOx</w:t>
      </w:r>
      <w:r>
        <w:rPr>
          <w:rFonts w:ascii="Times New Roman" w:hAnsi="Times New Roman"/>
          <w:sz w:val="24"/>
          <w:szCs w:val="24"/>
        </w:rPr>
        <w:t>=1156×18.71/10000=2.163kg/h</w:t>
      </w:r>
      <w:r>
        <w:rPr>
          <w:rFonts w:ascii="Times New Roman" w:hAnsi="Times New Roman"/>
          <w:sz w:val="24"/>
          <w:szCs w:val="24"/>
        </w:rPr>
        <w:t>。</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加氢分馏加热炉</w:t>
      </w:r>
      <w:r>
        <w:rPr>
          <w:rFonts w:ascii="Times New Roman" w:hAnsi="Times New Roman"/>
          <w:sz w:val="24"/>
          <w:szCs w:val="24"/>
        </w:rPr>
        <w:t>烟尘的产生量＝</w:t>
      </w:r>
      <w:r>
        <w:rPr>
          <w:rFonts w:ascii="Times New Roman" w:hAnsi="Times New Roman"/>
          <w:sz w:val="24"/>
          <w:szCs w:val="24"/>
        </w:rPr>
        <w:t>979×0.03</w:t>
      </w:r>
      <w:r>
        <w:rPr>
          <w:rFonts w:ascii="Times New Roman" w:hAnsi="Times New Roman"/>
          <w:sz w:val="24"/>
          <w:szCs w:val="24"/>
        </w:rPr>
        <w:t>＝</w:t>
      </w:r>
      <w:r>
        <w:rPr>
          <w:rFonts w:ascii="Times New Roman" w:hAnsi="Times New Roman"/>
          <w:sz w:val="24"/>
          <w:szCs w:val="24"/>
        </w:rPr>
        <w:t>0.02937kg/h</w:t>
      </w:r>
      <w:r>
        <w:rPr>
          <w:rFonts w:ascii="Times New Roman" w:hAnsi="Times New Roman"/>
          <w:sz w:val="24"/>
          <w:szCs w:val="24"/>
        </w:rPr>
        <w:t>；</w:t>
      </w:r>
      <w:r>
        <w:rPr>
          <w:rFonts w:ascii="Times New Roman" w:hAnsi="Times New Roman"/>
          <w:sz w:val="24"/>
          <w:szCs w:val="24"/>
        </w:rPr>
        <w:t>Gso</w:t>
      </w:r>
      <w:r>
        <w:rPr>
          <w:rFonts w:ascii="Times New Roman" w:hAnsi="Times New Roman"/>
          <w:sz w:val="24"/>
          <w:szCs w:val="24"/>
          <w:vertAlign w:val="subscript"/>
        </w:rPr>
        <w:t>2</w:t>
      </w:r>
      <w:r>
        <w:rPr>
          <w:rFonts w:ascii="Times New Roman" w:hAnsi="Times New Roman"/>
          <w:sz w:val="24"/>
          <w:szCs w:val="24"/>
        </w:rPr>
        <w:t>=979×0.02×20×(32/34) =0.0369kg/h</w:t>
      </w:r>
      <w:r>
        <w:rPr>
          <w:rFonts w:ascii="Times New Roman" w:hAnsi="Times New Roman"/>
          <w:sz w:val="24"/>
          <w:szCs w:val="24"/>
        </w:rPr>
        <w:t>；</w:t>
      </w:r>
      <w:r>
        <w:rPr>
          <w:rFonts w:ascii="Times New Roman" w:hAnsi="Times New Roman"/>
          <w:sz w:val="24"/>
          <w:szCs w:val="24"/>
        </w:rPr>
        <w:t>G</w:t>
      </w:r>
      <w:r>
        <w:rPr>
          <w:rFonts w:ascii="Times New Roman" w:hAnsi="Times New Roman"/>
          <w:sz w:val="24"/>
          <w:szCs w:val="24"/>
          <w:vertAlign w:val="subscript"/>
        </w:rPr>
        <w:t>NOx</w:t>
      </w:r>
      <w:r>
        <w:rPr>
          <w:rFonts w:ascii="Times New Roman" w:hAnsi="Times New Roman"/>
          <w:sz w:val="24"/>
          <w:szCs w:val="24"/>
        </w:rPr>
        <w:t>=979×18.71/10000=1.83kg/h</w:t>
      </w:r>
      <w:r>
        <w:rPr>
          <w:rFonts w:ascii="Times New Roman" w:hAnsi="Times New Roman"/>
          <w:sz w:val="24"/>
          <w:szCs w:val="24"/>
        </w:rPr>
        <w:t>。</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废气污染源源强核算结果见表</w:t>
      </w:r>
      <w:r>
        <w:rPr>
          <w:rFonts w:ascii="Times New Roman" w:hAnsi="Times New Roman"/>
          <w:sz w:val="24"/>
          <w:szCs w:val="24"/>
        </w:rPr>
        <w:t>3.7-2</w:t>
      </w:r>
      <w:r>
        <w:rPr>
          <w:rFonts w:ascii="Times New Roman" w:hAnsi="Times New Roman"/>
          <w:sz w:val="24"/>
          <w:szCs w:val="24"/>
        </w:rPr>
        <w:t>。</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lastRenderedPageBreak/>
        <w:t>3.7.1.3</w:t>
      </w:r>
      <w:r>
        <w:rPr>
          <w:rFonts w:ascii="Times New Roman" w:hAnsi="Times New Roman" w:cs="Times New Roman"/>
          <w:kern w:val="44"/>
          <w:sz w:val="24"/>
          <w:szCs w:val="24"/>
        </w:rPr>
        <w:t>硫磺回收装置</w:t>
      </w:r>
    </w:p>
    <w:p w:rsidR="00525419" w:rsidRDefault="00EE1CF7">
      <w:pPr>
        <w:autoSpaceDE w:val="0"/>
        <w:autoSpaceDN w:val="0"/>
        <w:adjustRightInd w:val="0"/>
        <w:spacing w:line="360" w:lineRule="auto"/>
        <w:ind w:firstLineChars="226" w:firstLine="542"/>
        <w:rPr>
          <w:rFonts w:ascii="Times New Roman" w:hAnsi="Times New Roman"/>
          <w:kern w:val="0"/>
          <w:sz w:val="24"/>
          <w:szCs w:val="24"/>
        </w:rPr>
      </w:pPr>
      <w:r>
        <w:rPr>
          <w:rFonts w:ascii="Times New Roman" w:hAnsi="Times New Roman"/>
          <w:sz w:val="24"/>
          <w:szCs w:val="24"/>
        </w:rPr>
        <w:t>从硫磺回收装置尾气吸收塔塔顶出来的净化尾气进入尾气焚烧炉，通过助燃料气焚烧，其烟气经</w:t>
      </w:r>
      <w:r>
        <w:rPr>
          <w:rFonts w:ascii="Times New Roman" w:hAnsi="Times New Roman"/>
          <w:sz w:val="24"/>
          <w:szCs w:val="24"/>
        </w:rPr>
        <w:t>80m</w:t>
      </w:r>
      <w:r>
        <w:rPr>
          <w:rFonts w:ascii="Times New Roman" w:hAnsi="Times New Roman"/>
          <w:sz w:val="24"/>
          <w:szCs w:val="24"/>
        </w:rPr>
        <w:t>高烟囱排放。本项目净化尾气产生量为</w:t>
      </w:r>
      <w:r>
        <w:rPr>
          <w:rFonts w:ascii="Times New Roman" w:hAnsi="Times New Roman"/>
          <w:sz w:val="24"/>
          <w:szCs w:val="24"/>
        </w:rPr>
        <w:t>7871.7kg/h(8029 m</w:t>
      </w:r>
      <w:r>
        <w:rPr>
          <w:rFonts w:ascii="Times New Roman" w:hAnsi="Times New Roman"/>
          <w:sz w:val="24"/>
          <w:szCs w:val="24"/>
          <w:vertAlign w:val="superscript"/>
        </w:rPr>
        <w:t>3</w:t>
      </w:r>
      <w:r>
        <w:rPr>
          <w:rFonts w:ascii="Times New Roman" w:hAnsi="Times New Roman"/>
          <w:sz w:val="24"/>
          <w:szCs w:val="24"/>
        </w:rPr>
        <w:t>/h)</w:t>
      </w:r>
      <w:r>
        <w:rPr>
          <w:rFonts w:ascii="Times New Roman" w:hAnsi="Times New Roman"/>
          <w:sz w:val="24"/>
          <w:szCs w:val="24"/>
        </w:rPr>
        <w:t>，含硫量为</w:t>
      </w:r>
      <w:r>
        <w:rPr>
          <w:rFonts w:ascii="Times New Roman" w:hAnsi="Times New Roman"/>
          <w:sz w:val="24"/>
          <w:szCs w:val="24"/>
        </w:rPr>
        <w:t>3.8kg</w:t>
      </w:r>
      <w:r>
        <w:rPr>
          <w:rFonts w:ascii="Times New Roman" w:hAnsi="Times New Roman"/>
          <w:sz w:val="24"/>
          <w:szCs w:val="24"/>
        </w:rPr>
        <w:t>；燃料气用量为</w:t>
      </w:r>
      <w:r>
        <w:rPr>
          <w:rFonts w:ascii="Times New Roman" w:hAnsi="Times New Roman"/>
          <w:sz w:val="24"/>
          <w:szCs w:val="24"/>
        </w:rPr>
        <w:t>89kg/h(119m</w:t>
      </w:r>
      <w:r>
        <w:rPr>
          <w:rFonts w:ascii="Times New Roman" w:hAnsi="Times New Roman"/>
          <w:sz w:val="24"/>
          <w:szCs w:val="24"/>
          <w:vertAlign w:val="superscript"/>
        </w:rPr>
        <w:t>3</w:t>
      </w:r>
      <w:r>
        <w:rPr>
          <w:rFonts w:ascii="Times New Roman" w:hAnsi="Times New Roman"/>
          <w:sz w:val="24"/>
          <w:szCs w:val="24"/>
        </w:rPr>
        <w:t>/h)</w:t>
      </w:r>
      <w:r>
        <w:rPr>
          <w:rFonts w:ascii="Times New Roman" w:hAnsi="Times New Roman"/>
          <w:sz w:val="24"/>
          <w:szCs w:val="24"/>
        </w:rPr>
        <w:t>。根据相关资料类比分析，焚烧炉烟气污染物排放情况见表</w:t>
      </w:r>
      <w:r>
        <w:rPr>
          <w:rFonts w:ascii="Times New Roman" w:hAnsi="Times New Roman"/>
          <w:sz w:val="24"/>
          <w:szCs w:val="24"/>
        </w:rPr>
        <w:t>3.7-3</w:t>
      </w:r>
      <w:r>
        <w:rPr>
          <w:rFonts w:ascii="Times New Roman" w:hAnsi="Times New Roman"/>
          <w:sz w:val="24"/>
          <w:szCs w:val="24"/>
        </w:rPr>
        <w:t>。</w:t>
      </w: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sectPr w:rsidR="00525419">
          <w:pgSz w:w="11906" w:h="16838"/>
          <w:pgMar w:top="1440" w:right="1803" w:bottom="1440" w:left="1803" w:header="851" w:footer="992" w:gutter="0"/>
          <w:cols w:space="0"/>
          <w:docGrid w:type="lines" w:linePitch="319"/>
        </w:sectPr>
      </w:pPr>
    </w:p>
    <w:p w:rsidR="00525419" w:rsidRDefault="00EE1CF7">
      <w:pPr>
        <w:jc w:val="center"/>
        <w:rPr>
          <w:rFonts w:ascii="Times New Roman" w:eastAsia="黑体" w:hAnsi="Times New Roman"/>
          <w:szCs w:val="21"/>
        </w:rPr>
      </w:pPr>
      <w:r>
        <w:rPr>
          <w:rFonts w:ascii="Times New Roman" w:eastAsia="黑体" w:hAnsi="Times New Roman"/>
          <w:szCs w:val="21"/>
        </w:rPr>
        <w:lastRenderedPageBreak/>
        <w:t>表</w:t>
      </w:r>
      <w:r>
        <w:rPr>
          <w:rFonts w:ascii="Times New Roman" w:eastAsia="黑体" w:hAnsi="Times New Roman"/>
          <w:szCs w:val="21"/>
        </w:rPr>
        <w:t>3.7-1</w:t>
      </w:r>
      <w:r>
        <w:rPr>
          <w:rFonts w:ascii="Times New Roman" w:eastAsia="黑体" w:hAnsi="Times New Roman"/>
          <w:szCs w:val="21"/>
        </w:rPr>
        <w:t xml:space="preserve">　　天然气制氢装置废气污染源源强核算结果及相关参数一览表</w:t>
      </w:r>
    </w:p>
    <w:tbl>
      <w:tblPr>
        <w:tblW w:w="140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992"/>
        <w:gridCol w:w="1062"/>
        <w:gridCol w:w="989"/>
        <w:gridCol w:w="926"/>
        <w:gridCol w:w="1134"/>
        <w:gridCol w:w="709"/>
        <w:gridCol w:w="1134"/>
        <w:gridCol w:w="992"/>
        <w:gridCol w:w="850"/>
        <w:gridCol w:w="709"/>
        <w:gridCol w:w="851"/>
        <w:gridCol w:w="713"/>
        <w:gridCol w:w="878"/>
      </w:tblGrid>
      <w:tr w:rsidR="00525419">
        <w:trPr>
          <w:trHeight w:val="173"/>
        </w:trPr>
        <w:tc>
          <w:tcPr>
            <w:tcW w:w="959" w:type="dxa"/>
            <w:vMerge w:val="restart"/>
            <w:tcBorders>
              <w:tl2br w:val="nil"/>
              <w:tr2bl w:val="nil"/>
            </w:tcBorders>
          </w:tcPr>
          <w:p w:rsidR="00525419" w:rsidRDefault="00EE1CF7">
            <w:pPr>
              <w:rPr>
                <w:rFonts w:ascii="Times New Roman" w:hAnsi="Times New Roman"/>
              </w:rPr>
            </w:pPr>
            <w:r>
              <w:rPr>
                <w:rFonts w:ascii="Times New Roman" w:hAnsi="Times New Roman"/>
              </w:rPr>
              <w:t>排放源</w:t>
            </w:r>
          </w:p>
        </w:tc>
        <w:tc>
          <w:tcPr>
            <w:tcW w:w="1134" w:type="dxa"/>
            <w:vMerge w:val="restart"/>
            <w:tcBorders>
              <w:tl2br w:val="nil"/>
              <w:tr2bl w:val="nil"/>
            </w:tcBorders>
          </w:tcPr>
          <w:p w:rsidR="00525419" w:rsidRDefault="00EE1CF7">
            <w:pPr>
              <w:rPr>
                <w:rFonts w:ascii="Times New Roman" w:hAnsi="Times New Roman"/>
              </w:rPr>
            </w:pPr>
            <w:r>
              <w:rPr>
                <w:rFonts w:ascii="Times New Roman" w:hAnsi="Times New Roman"/>
              </w:rPr>
              <w:t>污染物</w:t>
            </w:r>
          </w:p>
        </w:tc>
        <w:tc>
          <w:tcPr>
            <w:tcW w:w="3969" w:type="dxa"/>
            <w:gridSpan w:val="4"/>
            <w:tcBorders>
              <w:tl2br w:val="nil"/>
              <w:tr2bl w:val="nil"/>
            </w:tcBorders>
          </w:tcPr>
          <w:p w:rsidR="00525419" w:rsidRDefault="00EE1CF7">
            <w:pPr>
              <w:rPr>
                <w:rFonts w:ascii="Times New Roman" w:hAnsi="Times New Roman"/>
              </w:rPr>
            </w:pPr>
            <w:r>
              <w:rPr>
                <w:rFonts w:ascii="Times New Roman" w:hAnsi="Times New Roman"/>
              </w:rPr>
              <w:t>污染物产生</w:t>
            </w:r>
          </w:p>
        </w:tc>
        <w:tc>
          <w:tcPr>
            <w:tcW w:w="1843" w:type="dxa"/>
            <w:gridSpan w:val="2"/>
            <w:tcBorders>
              <w:tl2br w:val="nil"/>
              <w:tr2bl w:val="nil"/>
            </w:tcBorders>
          </w:tcPr>
          <w:p w:rsidR="00525419" w:rsidRDefault="00EE1CF7">
            <w:pPr>
              <w:rPr>
                <w:rFonts w:ascii="Times New Roman" w:hAnsi="Times New Roman"/>
              </w:rPr>
            </w:pPr>
            <w:r>
              <w:rPr>
                <w:rFonts w:ascii="Times New Roman" w:hAnsi="Times New Roman"/>
              </w:rPr>
              <w:t>治理措施</w:t>
            </w:r>
          </w:p>
        </w:tc>
        <w:tc>
          <w:tcPr>
            <w:tcW w:w="2976" w:type="dxa"/>
            <w:gridSpan w:val="3"/>
            <w:tcBorders>
              <w:tl2br w:val="nil"/>
              <w:tr2bl w:val="nil"/>
            </w:tcBorders>
          </w:tcPr>
          <w:p w:rsidR="00525419" w:rsidRDefault="00EE1CF7">
            <w:pPr>
              <w:rPr>
                <w:rFonts w:ascii="Times New Roman" w:hAnsi="Times New Roman"/>
              </w:rPr>
            </w:pPr>
            <w:r>
              <w:rPr>
                <w:rFonts w:ascii="Times New Roman" w:hAnsi="Times New Roman"/>
              </w:rPr>
              <w:t>污染物排放</w:t>
            </w:r>
          </w:p>
        </w:tc>
        <w:tc>
          <w:tcPr>
            <w:tcW w:w="2273" w:type="dxa"/>
            <w:gridSpan w:val="3"/>
            <w:tcBorders>
              <w:tl2br w:val="nil"/>
              <w:tr2bl w:val="nil"/>
            </w:tcBorders>
          </w:tcPr>
          <w:p w:rsidR="00525419" w:rsidRDefault="00EE1CF7">
            <w:pPr>
              <w:rPr>
                <w:rFonts w:ascii="Times New Roman" w:hAnsi="Times New Roman"/>
              </w:rPr>
            </w:pPr>
            <w:r>
              <w:rPr>
                <w:rFonts w:ascii="Times New Roman" w:hAnsi="Times New Roman"/>
              </w:rPr>
              <w:t>排放参数</w:t>
            </w:r>
          </w:p>
        </w:tc>
        <w:tc>
          <w:tcPr>
            <w:tcW w:w="878" w:type="dxa"/>
            <w:vMerge w:val="restart"/>
            <w:tcBorders>
              <w:tl2br w:val="nil"/>
              <w:tr2bl w:val="nil"/>
            </w:tcBorders>
          </w:tcPr>
          <w:p w:rsidR="00525419" w:rsidRDefault="00EE1CF7">
            <w:pPr>
              <w:rPr>
                <w:rFonts w:ascii="Times New Roman" w:hAnsi="Times New Roman"/>
              </w:rPr>
            </w:pPr>
            <w:r>
              <w:rPr>
                <w:rFonts w:ascii="Times New Roman" w:hAnsi="Times New Roman"/>
              </w:rPr>
              <w:t>排放时间（</w:t>
            </w:r>
            <w:r>
              <w:rPr>
                <w:rFonts w:ascii="Times New Roman" w:hAnsi="Times New Roman"/>
              </w:rPr>
              <w:t>h)</w:t>
            </w:r>
            <w:r>
              <w:rPr>
                <w:rFonts w:ascii="Times New Roman" w:hAnsi="Times New Roman"/>
              </w:rPr>
              <w:t>及去向</w:t>
            </w:r>
          </w:p>
        </w:tc>
      </w:tr>
      <w:tr w:rsidR="00525419">
        <w:trPr>
          <w:trHeight w:val="889"/>
        </w:trPr>
        <w:tc>
          <w:tcPr>
            <w:tcW w:w="959" w:type="dxa"/>
            <w:vMerge/>
            <w:tcBorders>
              <w:tl2br w:val="nil"/>
              <w:tr2bl w:val="nil"/>
            </w:tcBorders>
          </w:tcPr>
          <w:p w:rsidR="00525419" w:rsidRDefault="00525419">
            <w:pPr>
              <w:rPr>
                <w:rFonts w:ascii="Times New Roman" w:hAnsi="Times New Roman"/>
              </w:rPr>
            </w:pPr>
          </w:p>
        </w:tc>
        <w:tc>
          <w:tcPr>
            <w:tcW w:w="1134" w:type="dxa"/>
            <w:vMerge/>
            <w:tcBorders>
              <w:tl2br w:val="nil"/>
              <w:tr2bl w:val="nil"/>
            </w:tcBorders>
          </w:tcPr>
          <w:p w:rsidR="00525419" w:rsidRDefault="00525419">
            <w:pPr>
              <w:rPr>
                <w:rFonts w:ascii="Times New Roman" w:hAnsi="Times New Roman"/>
              </w:rPr>
            </w:pPr>
          </w:p>
        </w:tc>
        <w:tc>
          <w:tcPr>
            <w:tcW w:w="992" w:type="dxa"/>
            <w:tcBorders>
              <w:tl2br w:val="nil"/>
              <w:tr2bl w:val="nil"/>
            </w:tcBorders>
          </w:tcPr>
          <w:p w:rsidR="00525419" w:rsidRDefault="00EE1CF7">
            <w:pPr>
              <w:rPr>
                <w:rFonts w:ascii="Times New Roman" w:hAnsi="Times New Roman"/>
              </w:rPr>
            </w:pPr>
            <w:r>
              <w:rPr>
                <w:rFonts w:ascii="Times New Roman" w:hAnsi="Times New Roman"/>
              </w:rPr>
              <w:t>核算方法</w:t>
            </w:r>
          </w:p>
        </w:tc>
        <w:tc>
          <w:tcPr>
            <w:tcW w:w="1062" w:type="dxa"/>
            <w:tcBorders>
              <w:tl2br w:val="nil"/>
              <w:tr2bl w:val="nil"/>
            </w:tcBorders>
          </w:tcPr>
          <w:p w:rsidR="00525419" w:rsidRDefault="00EE1CF7">
            <w:pPr>
              <w:rPr>
                <w:rFonts w:ascii="Times New Roman" w:hAnsi="Times New Roman"/>
              </w:rPr>
            </w:pPr>
            <w:r>
              <w:rPr>
                <w:rFonts w:ascii="Times New Roman" w:hAnsi="Times New Roman"/>
              </w:rPr>
              <w:t>废气量</w:t>
            </w:r>
            <w:r>
              <w:rPr>
                <w:rFonts w:ascii="Times New Roman" w:hAnsi="Times New Roman"/>
              </w:rPr>
              <w:t>Nm</w:t>
            </w:r>
            <w:r>
              <w:rPr>
                <w:rFonts w:ascii="Times New Roman" w:hAnsi="Times New Roman"/>
                <w:vertAlign w:val="superscript"/>
              </w:rPr>
              <w:t>3</w:t>
            </w:r>
            <w:r>
              <w:rPr>
                <w:rFonts w:ascii="Times New Roman" w:hAnsi="Times New Roman"/>
              </w:rPr>
              <w:t>/h</w:t>
            </w:r>
          </w:p>
        </w:tc>
        <w:tc>
          <w:tcPr>
            <w:tcW w:w="989" w:type="dxa"/>
            <w:tcBorders>
              <w:tl2br w:val="nil"/>
              <w:tr2bl w:val="nil"/>
            </w:tcBorders>
          </w:tcPr>
          <w:p w:rsidR="00525419" w:rsidRDefault="00EE1CF7">
            <w:pPr>
              <w:rPr>
                <w:rFonts w:ascii="Times New Roman" w:hAnsi="Times New Roman"/>
              </w:rPr>
            </w:pPr>
            <w:r>
              <w:rPr>
                <w:rFonts w:ascii="Times New Roman" w:hAnsi="Times New Roman"/>
              </w:rPr>
              <w:t>浓度</w:t>
            </w:r>
            <w:r>
              <w:rPr>
                <w:rFonts w:ascii="Times New Roman" w:hAnsi="Times New Roman"/>
              </w:rPr>
              <w:t>mg/Nm</w:t>
            </w:r>
            <w:r>
              <w:rPr>
                <w:rFonts w:ascii="Times New Roman" w:hAnsi="Times New Roman"/>
                <w:vertAlign w:val="superscript"/>
              </w:rPr>
              <w:t>3</w:t>
            </w:r>
          </w:p>
        </w:tc>
        <w:tc>
          <w:tcPr>
            <w:tcW w:w="926" w:type="dxa"/>
            <w:tcBorders>
              <w:tl2br w:val="nil"/>
              <w:tr2bl w:val="nil"/>
            </w:tcBorders>
          </w:tcPr>
          <w:p w:rsidR="00525419" w:rsidRDefault="00EE1CF7">
            <w:pPr>
              <w:rPr>
                <w:rFonts w:ascii="Times New Roman" w:hAnsi="Times New Roman"/>
              </w:rPr>
            </w:pPr>
            <w:r>
              <w:rPr>
                <w:rFonts w:ascii="Times New Roman" w:hAnsi="Times New Roman"/>
              </w:rPr>
              <w:t>产生量</w:t>
            </w:r>
            <w:r>
              <w:rPr>
                <w:rFonts w:ascii="Times New Roman" w:hAnsi="Times New Roman"/>
                <w:sz w:val="24"/>
              </w:rPr>
              <w:t>kg/h</w:t>
            </w:r>
          </w:p>
        </w:tc>
        <w:tc>
          <w:tcPr>
            <w:tcW w:w="1134" w:type="dxa"/>
            <w:tcBorders>
              <w:tl2br w:val="nil"/>
              <w:tr2bl w:val="nil"/>
            </w:tcBorders>
          </w:tcPr>
          <w:p w:rsidR="00525419" w:rsidRDefault="00EE1CF7">
            <w:pPr>
              <w:rPr>
                <w:rFonts w:ascii="Times New Roman" w:hAnsi="Times New Roman"/>
              </w:rPr>
            </w:pPr>
            <w:r>
              <w:rPr>
                <w:rFonts w:ascii="Times New Roman" w:hAnsi="Times New Roman"/>
              </w:rPr>
              <w:t>工艺</w:t>
            </w:r>
          </w:p>
        </w:tc>
        <w:tc>
          <w:tcPr>
            <w:tcW w:w="709" w:type="dxa"/>
            <w:tcBorders>
              <w:tl2br w:val="nil"/>
              <w:tr2bl w:val="nil"/>
            </w:tcBorders>
          </w:tcPr>
          <w:p w:rsidR="00525419" w:rsidRDefault="00EE1CF7">
            <w:pPr>
              <w:rPr>
                <w:rFonts w:ascii="Times New Roman" w:hAnsi="Times New Roman"/>
              </w:rPr>
            </w:pPr>
            <w:r>
              <w:rPr>
                <w:rFonts w:ascii="Times New Roman" w:hAnsi="Times New Roman"/>
              </w:rPr>
              <w:t>效率（</w:t>
            </w:r>
            <w:r>
              <w:rPr>
                <w:rFonts w:ascii="Times New Roman" w:hAnsi="Times New Roman"/>
              </w:rPr>
              <w:t>%</w:t>
            </w:r>
            <w:r>
              <w:rPr>
                <w:rFonts w:ascii="Times New Roman" w:hAnsi="Times New Roman"/>
              </w:rPr>
              <w:t>）</w:t>
            </w:r>
          </w:p>
        </w:tc>
        <w:tc>
          <w:tcPr>
            <w:tcW w:w="1134" w:type="dxa"/>
            <w:tcBorders>
              <w:tl2br w:val="nil"/>
              <w:tr2bl w:val="nil"/>
            </w:tcBorders>
          </w:tcPr>
          <w:p w:rsidR="00525419" w:rsidRDefault="00EE1CF7">
            <w:pPr>
              <w:rPr>
                <w:rFonts w:ascii="Times New Roman" w:hAnsi="Times New Roman"/>
              </w:rPr>
            </w:pPr>
            <w:r>
              <w:rPr>
                <w:rFonts w:ascii="Times New Roman" w:hAnsi="Times New Roman"/>
              </w:rPr>
              <w:t>废气量</w:t>
            </w:r>
            <w:r>
              <w:rPr>
                <w:rFonts w:ascii="Times New Roman" w:hAnsi="Times New Roman"/>
              </w:rPr>
              <w:t>Nm</w:t>
            </w:r>
            <w:r>
              <w:rPr>
                <w:rFonts w:ascii="Times New Roman" w:hAnsi="Times New Roman"/>
                <w:vertAlign w:val="superscript"/>
              </w:rPr>
              <w:t>3</w:t>
            </w:r>
            <w:r>
              <w:rPr>
                <w:rFonts w:ascii="Times New Roman" w:hAnsi="Times New Roman"/>
              </w:rPr>
              <w:t>/h</w:t>
            </w:r>
          </w:p>
        </w:tc>
        <w:tc>
          <w:tcPr>
            <w:tcW w:w="992" w:type="dxa"/>
            <w:tcBorders>
              <w:tl2br w:val="nil"/>
              <w:tr2bl w:val="nil"/>
            </w:tcBorders>
          </w:tcPr>
          <w:p w:rsidR="00525419" w:rsidRDefault="00EE1CF7">
            <w:pPr>
              <w:rPr>
                <w:rFonts w:ascii="Times New Roman" w:hAnsi="Times New Roman"/>
              </w:rPr>
            </w:pPr>
            <w:r>
              <w:rPr>
                <w:rFonts w:ascii="Times New Roman" w:hAnsi="Times New Roman"/>
              </w:rPr>
              <w:t>浓度</w:t>
            </w:r>
            <w:r>
              <w:rPr>
                <w:rFonts w:ascii="Times New Roman" w:hAnsi="Times New Roman"/>
              </w:rPr>
              <w:t>mg/Nm</w:t>
            </w:r>
            <w:r>
              <w:rPr>
                <w:rFonts w:ascii="Times New Roman" w:hAnsi="Times New Roman"/>
                <w:vertAlign w:val="superscript"/>
              </w:rPr>
              <w:t>3</w:t>
            </w:r>
          </w:p>
        </w:tc>
        <w:tc>
          <w:tcPr>
            <w:tcW w:w="850" w:type="dxa"/>
            <w:tcBorders>
              <w:tl2br w:val="nil"/>
              <w:tr2bl w:val="nil"/>
            </w:tcBorders>
          </w:tcPr>
          <w:p w:rsidR="00525419" w:rsidRDefault="00EE1CF7">
            <w:pPr>
              <w:rPr>
                <w:rFonts w:ascii="Times New Roman" w:hAnsi="Times New Roman"/>
              </w:rPr>
            </w:pPr>
            <w:r>
              <w:rPr>
                <w:rFonts w:ascii="Times New Roman" w:hAnsi="Times New Roman"/>
              </w:rPr>
              <w:t>排放量</w:t>
            </w:r>
            <w:r>
              <w:rPr>
                <w:rFonts w:ascii="Times New Roman" w:hAnsi="Times New Roman"/>
                <w:sz w:val="24"/>
              </w:rPr>
              <w:t>kg/h</w:t>
            </w:r>
          </w:p>
        </w:tc>
        <w:tc>
          <w:tcPr>
            <w:tcW w:w="709" w:type="dxa"/>
            <w:tcBorders>
              <w:tl2br w:val="nil"/>
              <w:tr2bl w:val="nil"/>
            </w:tcBorders>
          </w:tcPr>
          <w:p w:rsidR="00525419" w:rsidRDefault="00EE1CF7">
            <w:pPr>
              <w:rPr>
                <w:rFonts w:ascii="Times New Roman" w:hAnsi="Times New Roman"/>
              </w:rPr>
            </w:pPr>
            <w:r>
              <w:rPr>
                <w:rFonts w:ascii="Times New Roman" w:hAnsi="Times New Roman"/>
              </w:rPr>
              <w:t>高度</w:t>
            </w:r>
            <w:r>
              <w:rPr>
                <w:rFonts w:ascii="Times New Roman" w:hAnsi="Times New Roman"/>
              </w:rPr>
              <w:t>(m)</w:t>
            </w:r>
          </w:p>
        </w:tc>
        <w:tc>
          <w:tcPr>
            <w:tcW w:w="851" w:type="dxa"/>
            <w:tcBorders>
              <w:tl2br w:val="nil"/>
              <w:tr2bl w:val="nil"/>
            </w:tcBorders>
          </w:tcPr>
          <w:p w:rsidR="00525419" w:rsidRDefault="00EE1CF7">
            <w:pPr>
              <w:rPr>
                <w:rFonts w:ascii="Times New Roman" w:hAnsi="Times New Roman"/>
              </w:rPr>
            </w:pPr>
            <w:r>
              <w:rPr>
                <w:rFonts w:ascii="Times New Roman" w:hAnsi="Times New Roman"/>
              </w:rPr>
              <w:t>内径</w:t>
            </w:r>
            <w:r>
              <w:rPr>
                <w:rFonts w:ascii="Times New Roman" w:hAnsi="Times New Roman"/>
              </w:rPr>
              <w:t>(m)</w:t>
            </w:r>
          </w:p>
        </w:tc>
        <w:tc>
          <w:tcPr>
            <w:tcW w:w="713" w:type="dxa"/>
            <w:tcBorders>
              <w:tl2br w:val="nil"/>
              <w:tr2bl w:val="nil"/>
            </w:tcBorders>
          </w:tcPr>
          <w:p w:rsidR="00525419" w:rsidRDefault="00EE1CF7">
            <w:pPr>
              <w:rPr>
                <w:rFonts w:ascii="Times New Roman" w:hAnsi="Times New Roman"/>
              </w:rPr>
            </w:pPr>
            <w:r>
              <w:rPr>
                <w:rFonts w:ascii="Times New Roman" w:hAnsi="Times New Roman"/>
              </w:rPr>
              <w:t>温度</w:t>
            </w:r>
            <w:r>
              <w:rPr>
                <w:rFonts w:ascii="Times New Roman" w:hAnsi="Times New Roman"/>
                <w:kern w:val="0"/>
                <w:szCs w:val="21"/>
              </w:rPr>
              <w:t>℃</w:t>
            </w:r>
          </w:p>
        </w:tc>
        <w:tc>
          <w:tcPr>
            <w:tcW w:w="878" w:type="dxa"/>
            <w:vMerge/>
            <w:tcBorders>
              <w:tl2br w:val="nil"/>
              <w:tr2bl w:val="nil"/>
            </w:tcBorders>
          </w:tcPr>
          <w:p w:rsidR="00525419" w:rsidRDefault="00525419">
            <w:pPr>
              <w:rPr>
                <w:rFonts w:ascii="Times New Roman" w:hAnsi="Times New Roman"/>
              </w:rPr>
            </w:pPr>
          </w:p>
        </w:tc>
      </w:tr>
      <w:tr w:rsidR="00525419">
        <w:trPr>
          <w:trHeight w:val="294"/>
        </w:trPr>
        <w:tc>
          <w:tcPr>
            <w:tcW w:w="959" w:type="dxa"/>
            <w:vMerge w:val="restart"/>
            <w:tcBorders>
              <w:tl2br w:val="nil"/>
              <w:tr2bl w:val="nil"/>
            </w:tcBorders>
          </w:tcPr>
          <w:p w:rsidR="00525419" w:rsidRDefault="00EE1CF7">
            <w:pPr>
              <w:rPr>
                <w:rFonts w:ascii="Times New Roman" w:hAnsi="Times New Roman"/>
              </w:rPr>
            </w:pPr>
            <w:r>
              <w:rPr>
                <w:rFonts w:ascii="Times New Roman" w:hAnsi="Times New Roman" w:hint="eastAsia"/>
              </w:rPr>
              <w:t>制氢转化炉</w:t>
            </w:r>
            <w:r>
              <w:rPr>
                <w:rFonts w:ascii="Times New Roman" w:hAnsi="Times New Roman"/>
              </w:rPr>
              <w:t>烟囱</w:t>
            </w:r>
          </w:p>
        </w:tc>
        <w:tc>
          <w:tcPr>
            <w:tcW w:w="1134" w:type="dxa"/>
            <w:tcBorders>
              <w:tl2br w:val="nil"/>
              <w:tr2bl w:val="nil"/>
            </w:tcBorders>
          </w:tcPr>
          <w:p w:rsidR="00525419" w:rsidRDefault="00EE1CF7">
            <w:pPr>
              <w:rPr>
                <w:rFonts w:ascii="Times New Roman" w:hAnsi="Times New Roman"/>
              </w:rPr>
            </w:pPr>
            <w:r>
              <w:rPr>
                <w:rFonts w:ascii="Times New Roman" w:hAnsi="Times New Roman"/>
              </w:rPr>
              <w:t>颗粒物</w:t>
            </w:r>
          </w:p>
        </w:tc>
        <w:tc>
          <w:tcPr>
            <w:tcW w:w="992" w:type="dxa"/>
            <w:tcBorders>
              <w:tl2br w:val="nil"/>
              <w:tr2bl w:val="nil"/>
            </w:tcBorders>
          </w:tcPr>
          <w:p w:rsidR="00525419" w:rsidRDefault="00EE1CF7">
            <w:pPr>
              <w:rPr>
                <w:rFonts w:ascii="Times New Roman" w:hAnsi="Times New Roman"/>
              </w:rPr>
            </w:pPr>
            <w:r>
              <w:rPr>
                <w:rFonts w:ascii="Times New Roman" w:hAnsi="Times New Roman"/>
              </w:rPr>
              <w:t>系数法</w:t>
            </w:r>
          </w:p>
        </w:tc>
        <w:tc>
          <w:tcPr>
            <w:tcW w:w="1062" w:type="dxa"/>
            <w:vMerge w:val="restart"/>
            <w:tcBorders>
              <w:tl2br w:val="nil"/>
              <w:tr2bl w:val="nil"/>
            </w:tcBorders>
          </w:tcPr>
          <w:p w:rsidR="00525419" w:rsidRDefault="00EE1CF7">
            <w:pPr>
              <w:rPr>
                <w:rFonts w:ascii="Times New Roman" w:hAnsi="Times New Roman"/>
              </w:rPr>
            </w:pPr>
            <w:r>
              <w:rPr>
                <w:rFonts w:ascii="Times New Roman" w:hAnsi="Times New Roman"/>
                <w:szCs w:val="21"/>
              </w:rPr>
              <w:t>67320</w:t>
            </w:r>
          </w:p>
        </w:tc>
        <w:tc>
          <w:tcPr>
            <w:tcW w:w="989" w:type="dxa"/>
            <w:tcBorders>
              <w:tl2br w:val="nil"/>
              <w:tr2bl w:val="nil"/>
            </w:tcBorders>
          </w:tcPr>
          <w:p w:rsidR="00525419" w:rsidRDefault="00EE1CF7">
            <w:pPr>
              <w:rPr>
                <w:rFonts w:ascii="Times New Roman" w:hAnsi="Times New Roman"/>
              </w:rPr>
            </w:pPr>
            <w:r>
              <w:rPr>
                <w:rFonts w:ascii="Times New Roman" w:hAnsi="Times New Roman"/>
              </w:rPr>
              <w:t>6</w:t>
            </w:r>
          </w:p>
        </w:tc>
        <w:tc>
          <w:tcPr>
            <w:tcW w:w="926" w:type="dxa"/>
            <w:tcBorders>
              <w:tl2br w:val="nil"/>
              <w:tr2bl w:val="nil"/>
            </w:tcBorders>
          </w:tcPr>
          <w:p w:rsidR="00525419" w:rsidRDefault="00EE1CF7">
            <w:pPr>
              <w:rPr>
                <w:rFonts w:ascii="Times New Roman" w:hAnsi="Times New Roman"/>
              </w:rPr>
            </w:pPr>
            <w:r>
              <w:rPr>
                <w:rFonts w:ascii="Times New Roman" w:hAnsi="Times New Roman"/>
              </w:rPr>
              <w:t>0.404</w:t>
            </w:r>
          </w:p>
        </w:tc>
        <w:tc>
          <w:tcPr>
            <w:tcW w:w="1134" w:type="dxa"/>
            <w:tcBorders>
              <w:tl2br w:val="nil"/>
              <w:tr2bl w:val="nil"/>
            </w:tcBorders>
          </w:tcPr>
          <w:p w:rsidR="00525419" w:rsidRDefault="00EE1CF7">
            <w:pPr>
              <w:rPr>
                <w:rFonts w:ascii="Times New Roman" w:hAnsi="Times New Roman"/>
              </w:rPr>
            </w:pPr>
            <w:r>
              <w:rPr>
                <w:rFonts w:ascii="Times New Roman" w:hAnsi="Times New Roman"/>
              </w:rPr>
              <w:t>/</w:t>
            </w:r>
          </w:p>
        </w:tc>
        <w:tc>
          <w:tcPr>
            <w:tcW w:w="709" w:type="dxa"/>
            <w:tcBorders>
              <w:tl2br w:val="nil"/>
              <w:tr2bl w:val="nil"/>
            </w:tcBorders>
          </w:tcPr>
          <w:p w:rsidR="00525419" w:rsidRDefault="00EE1CF7">
            <w:pPr>
              <w:rPr>
                <w:rFonts w:ascii="Times New Roman" w:hAnsi="Times New Roman"/>
              </w:rPr>
            </w:pPr>
            <w:r>
              <w:rPr>
                <w:rFonts w:ascii="Times New Roman" w:hAnsi="Times New Roman"/>
              </w:rPr>
              <w:t>/</w:t>
            </w:r>
          </w:p>
        </w:tc>
        <w:tc>
          <w:tcPr>
            <w:tcW w:w="1134" w:type="dxa"/>
            <w:vMerge w:val="restart"/>
            <w:tcBorders>
              <w:tl2br w:val="nil"/>
              <w:tr2bl w:val="nil"/>
            </w:tcBorders>
          </w:tcPr>
          <w:p w:rsidR="00525419" w:rsidRDefault="00EE1CF7">
            <w:pPr>
              <w:rPr>
                <w:rFonts w:ascii="Times New Roman" w:hAnsi="Times New Roman"/>
              </w:rPr>
            </w:pPr>
            <w:r>
              <w:rPr>
                <w:rFonts w:ascii="Times New Roman" w:hAnsi="Times New Roman"/>
                <w:szCs w:val="21"/>
              </w:rPr>
              <w:t>67320</w:t>
            </w:r>
          </w:p>
        </w:tc>
        <w:tc>
          <w:tcPr>
            <w:tcW w:w="992" w:type="dxa"/>
            <w:tcBorders>
              <w:tl2br w:val="nil"/>
              <w:tr2bl w:val="nil"/>
            </w:tcBorders>
          </w:tcPr>
          <w:p w:rsidR="00525419" w:rsidRDefault="00EE1CF7">
            <w:pPr>
              <w:rPr>
                <w:rFonts w:ascii="Times New Roman" w:hAnsi="Times New Roman"/>
              </w:rPr>
            </w:pPr>
            <w:r>
              <w:rPr>
                <w:rFonts w:ascii="Times New Roman" w:hAnsi="Times New Roman"/>
              </w:rPr>
              <w:t>6</w:t>
            </w:r>
          </w:p>
        </w:tc>
        <w:tc>
          <w:tcPr>
            <w:tcW w:w="850" w:type="dxa"/>
            <w:tcBorders>
              <w:tl2br w:val="nil"/>
              <w:tr2bl w:val="nil"/>
            </w:tcBorders>
          </w:tcPr>
          <w:p w:rsidR="00525419" w:rsidRDefault="00EE1CF7">
            <w:pPr>
              <w:rPr>
                <w:rFonts w:ascii="Times New Roman" w:hAnsi="Times New Roman"/>
              </w:rPr>
            </w:pPr>
            <w:r>
              <w:rPr>
                <w:rFonts w:ascii="Times New Roman" w:hAnsi="Times New Roman"/>
              </w:rPr>
              <w:t>0.404</w:t>
            </w:r>
          </w:p>
        </w:tc>
        <w:tc>
          <w:tcPr>
            <w:tcW w:w="709" w:type="dxa"/>
            <w:vMerge w:val="restart"/>
            <w:tcBorders>
              <w:tl2br w:val="nil"/>
              <w:tr2bl w:val="nil"/>
            </w:tcBorders>
          </w:tcPr>
          <w:p w:rsidR="00525419" w:rsidRDefault="00EE1CF7">
            <w:pPr>
              <w:rPr>
                <w:rFonts w:ascii="Times New Roman" w:hAnsi="Times New Roman"/>
              </w:rPr>
            </w:pPr>
            <w:r>
              <w:rPr>
                <w:rFonts w:ascii="Times New Roman" w:hAnsi="Times New Roman"/>
              </w:rPr>
              <w:t>66</w:t>
            </w:r>
          </w:p>
        </w:tc>
        <w:tc>
          <w:tcPr>
            <w:tcW w:w="851" w:type="dxa"/>
            <w:vMerge w:val="restart"/>
            <w:tcBorders>
              <w:tl2br w:val="nil"/>
              <w:tr2bl w:val="nil"/>
            </w:tcBorders>
          </w:tcPr>
          <w:p w:rsidR="00525419" w:rsidRDefault="00EE1CF7">
            <w:pPr>
              <w:rPr>
                <w:rFonts w:ascii="Times New Roman" w:hAnsi="Times New Roman"/>
              </w:rPr>
            </w:pPr>
            <w:r>
              <w:rPr>
                <w:rFonts w:ascii="Times New Roman" w:hAnsi="Times New Roman" w:hint="eastAsia"/>
              </w:rPr>
              <w:t>3.0</w:t>
            </w:r>
          </w:p>
        </w:tc>
        <w:tc>
          <w:tcPr>
            <w:tcW w:w="713" w:type="dxa"/>
            <w:vMerge w:val="restart"/>
            <w:tcBorders>
              <w:tl2br w:val="nil"/>
              <w:tr2bl w:val="nil"/>
            </w:tcBorders>
          </w:tcPr>
          <w:p w:rsidR="00525419" w:rsidRDefault="00EE1CF7">
            <w:pPr>
              <w:rPr>
                <w:rFonts w:ascii="Times New Roman" w:hAnsi="Times New Roman"/>
              </w:rPr>
            </w:pPr>
            <w:r>
              <w:rPr>
                <w:rFonts w:ascii="Times New Roman" w:hAnsi="Times New Roman"/>
              </w:rPr>
              <w:t>175</w:t>
            </w:r>
          </w:p>
        </w:tc>
        <w:tc>
          <w:tcPr>
            <w:tcW w:w="878" w:type="dxa"/>
            <w:vMerge w:val="restart"/>
            <w:tcBorders>
              <w:tl2br w:val="nil"/>
              <w:tr2bl w:val="nil"/>
            </w:tcBorders>
          </w:tcPr>
          <w:p w:rsidR="00525419" w:rsidRDefault="00EE1CF7">
            <w:pPr>
              <w:rPr>
                <w:rFonts w:ascii="Times New Roman" w:hAnsi="Times New Roman"/>
              </w:rPr>
            </w:pPr>
            <w:r>
              <w:rPr>
                <w:rFonts w:ascii="Times New Roman" w:hAnsi="Times New Roman"/>
              </w:rPr>
              <w:t>8000</w:t>
            </w:r>
            <w:r>
              <w:rPr>
                <w:rFonts w:ascii="Times New Roman" w:hAnsi="Times New Roman"/>
              </w:rPr>
              <w:t>，大气</w:t>
            </w:r>
          </w:p>
        </w:tc>
      </w:tr>
      <w:tr w:rsidR="00525419">
        <w:trPr>
          <w:trHeight w:val="241"/>
        </w:trPr>
        <w:tc>
          <w:tcPr>
            <w:tcW w:w="959" w:type="dxa"/>
            <w:vMerge/>
            <w:tcBorders>
              <w:tl2br w:val="nil"/>
              <w:tr2bl w:val="nil"/>
            </w:tcBorders>
          </w:tcPr>
          <w:p w:rsidR="00525419" w:rsidRDefault="00525419">
            <w:pPr>
              <w:rPr>
                <w:rFonts w:ascii="Times New Roman" w:hAnsi="Times New Roman"/>
              </w:rPr>
            </w:pPr>
          </w:p>
        </w:tc>
        <w:tc>
          <w:tcPr>
            <w:tcW w:w="1134" w:type="dxa"/>
            <w:tcBorders>
              <w:tl2br w:val="nil"/>
              <w:tr2bl w:val="nil"/>
            </w:tcBorders>
          </w:tcPr>
          <w:p w:rsidR="00525419" w:rsidRDefault="00EE1CF7">
            <w:pPr>
              <w:rPr>
                <w:rFonts w:ascii="Times New Roman" w:hAnsi="Times New Roman"/>
              </w:rPr>
            </w:pPr>
            <w:r>
              <w:rPr>
                <w:rFonts w:ascii="Times New Roman" w:hAnsi="Times New Roman"/>
              </w:rPr>
              <w:t>二氧化硫</w:t>
            </w:r>
          </w:p>
        </w:tc>
        <w:tc>
          <w:tcPr>
            <w:tcW w:w="992" w:type="dxa"/>
            <w:tcBorders>
              <w:tl2br w:val="nil"/>
              <w:tr2bl w:val="nil"/>
            </w:tcBorders>
          </w:tcPr>
          <w:p w:rsidR="00525419" w:rsidRDefault="00EE1CF7">
            <w:pPr>
              <w:rPr>
                <w:rFonts w:ascii="Times New Roman" w:hAnsi="Times New Roman"/>
              </w:rPr>
            </w:pPr>
            <w:r>
              <w:rPr>
                <w:rFonts w:ascii="Times New Roman" w:hAnsi="Times New Roman"/>
              </w:rPr>
              <w:t>系数法</w:t>
            </w:r>
          </w:p>
        </w:tc>
        <w:tc>
          <w:tcPr>
            <w:tcW w:w="1062" w:type="dxa"/>
            <w:vMerge/>
            <w:tcBorders>
              <w:tl2br w:val="nil"/>
              <w:tr2bl w:val="nil"/>
            </w:tcBorders>
          </w:tcPr>
          <w:p w:rsidR="00525419" w:rsidRDefault="00525419">
            <w:pPr>
              <w:rPr>
                <w:rFonts w:ascii="Times New Roman" w:hAnsi="Times New Roman"/>
              </w:rPr>
            </w:pPr>
          </w:p>
        </w:tc>
        <w:tc>
          <w:tcPr>
            <w:tcW w:w="989" w:type="dxa"/>
            <w:tcBorders>
              <w:tl2br w:val="nil"/>
              <w:tr2bl w:val="nil"/>
            </w:tcBorders>
          </w:tcPr>
          <w:p w:rsidR="00525419" w:rsidRDefault="00EE1CF7">
            <w:pPr>
              <w:rPr>
                <w:rFonts w:ascii="Times New Roman" w:hAnsi="Times New Roman"/>
              </w:rPr>
            </w:pPr>
            <w:r>
              <w:rPr>
                <w:rFonts w:ascii="Times New Roman" w:hAnsi="Times New Roman"/>
              </w:rPr>
              <w:t>7.54</w:t>
            </w:r>
          </w:p>
        </w:tc>
        <w:tc>
          <w:tcPr>
            <w:tcW w:w="926" w:type="dxa"/>
            <w:tcBorders>
              <w:tl2br w:val="nil"/>
              <w:tr2bl w:val="nil"/>
            </w:tcBorders>
          </w:tcPr>
          <w:p w:rsidR="00525419" w:rsidRDefault="00EE1CF7">
            <w:pPr>
              <w:rPr>
                <w:rFonts w:ascii="Times New Roman" w:hAnsi="Times New Roman"/>
              </w:rPr>
            </w:pPr>
            <w:r>
              <w:rPr>
                <w:rFonts w:ascii="Times New Roman" w:hAnsi="Times New Roman"/>
              </w:rPr>
              <w:t>0.507</w:t>
            </w:r>
          </w:p>
        </w:tc>
        <w:tc>
          <w:tcPr>
            <w:tcW w:w="1134" w:type="dxa"/>
            <w:tcBorders>
              <w:tl2br w:val="nil"/>
              <w:tr2bl w:val="nil"/>
            </w:tcBorders>
          </w:tcPr>
          <w:p w:rsidR="00525419" w:rsidRDefault="00EE1CF7">
            <w:pPr>
              <w:rPr>
                <w:rFonts w:ascii="Times New Roman" w:hAnsi="Times New Roman"/>
              </w:rPr>
            </w:pPr>
            <w:r>
              <w:rPr>
                <w:rFonts w:ascii="Times New Roman" w:hAnsi="Times New Roman"/>
              </w:rPr>
              <w:t>/</w:t>
            </w:r>
          </w:p>
        </w:tc>
        <w:tc>
          <w:tcPr>
            <w:tcW w:w="709" w:type="dxa"/>
            <w:tcBorders>
              <w:tl2br w:val="nil"/>
              <w:tr2bl w:val="nil"/>
            </w:tcBorders>
          </w:tcPr>
          <w:p w:rsidR="00525419" w:rsidRDefault="00EE1CF7">
            <w:pPr>
              <w:rPr>
                <w:rFonts w:ascii="Times New Roman" w:hAnsi="Times New Roman"/>
              </w:rPr>
            </w:pPr>
            <w:r>
              <w:rPr>
                <w:rFonts w:ascii="Times New Roman" w:hAnsi="Times New Roman"/>
              </w:rPr>
              <w:t>/</w:t>
            </w:r>
          </w:p>
        </w:tc>
        <w:tc>
          <w:tcPr>
            <w:tcW w:w="1134" w:type="dxa"/>
            <w:vMerge/>
            <w:tcBorders>
              <w:tl2br w:val="nil"/>
              <w:tr2bl w:val="nil"/>
            </w:tcBorders>
          </w:tcPr>
          <w:p w:rsidR="00525419" w:rsidRDefault="00525419">
            <w:pPr>
              <w:rPr>
                <w:rFonts w:ascii="Times New Roman" w:hAnsi="Times New Roman"/>
              </w:rPr>
            </w:pPr>
          </w:p>
        </w:tc>
        <w:tc>
          <w:tcPr>
            <w:tcW w:w="992" w:type="dxa"/>
            <w:tcBorders>
              <w:tl2br w:val="nil"/>
              <w:tr2bl w:val="nil"/>
            </w:tcBorders>
          </w:tcPr>
          <w:p w:rsidR="00525419" w:rsidRDefault="00EE1CF7">
            <w:pPr>
              <w:rPr>
                <w:rFonts w:ascii="Times New Roman" w:hAnsi="Times New Roman"/>
              </w:rPr>
            </w:pPr>
            <w:r>
              <w:rPr>
                <w:rFonts w:ascii="Times New Roman" w:hAnsi="Times New Roman"/>
              </w:rPr>
              <w:t>7.54</w:t>
            </w:r>
          </w:p>
        </w:tc>
        <w:tc>
          <w:tcPr>
            <w:tcW w:w="850" w:type="dxa"/>
            <w:tcBorders>
              <w:tl2br w:val="nil"/>
              <w:tr2bl w:val="nil"/>
            </w:tcBorders>
          </w:tcPr>
          <w:p w:rsidR="00525419" w:rsidRDefault="00EE1CF7">
            <w:pPr>
              <w:rPr>
                <w:rFonts w:ascii="Times New Roman" w:hAnsi="Times New Roman"/>
              </w:rPr>
            </w:pPr>
            <w:r>
              <w:rPr>
                <w:rFonts w:ascii="Times New Roman" w:hAnsi="Times New Roman"/>
              </w:rPr>
              <w:t>0.507</w:t>
            </w:r>
          </w:p>
        </w:tc>
        <w:tc>
          <w:tcPr>
            <w:tcW w:w="709" w:type="dxa"/>
            <w:vMerge/>
            <w:tcBorders>
              <w:tl2br w:val="nil"/>
              <w:tr2bl w:val="nil"/>
            </w:tcBorders>
          </w:tcPr>
          <w:p w:rsidR="00525419" w:rsidRDefault="00525419">
            <w:pPr>
              <w:rPr>
                <w:rFonts w:ascii="Times New Roman" w:hAnsi="Times New Roman"/>
              </w:rPr>
            </w:pPr>
          </w:p>
        </w:tc>
        <w:tc>
          <w:tcPr>
            <w:tcW w:w="851" w:type="dxa"/>
            <w:vMerge/>
            <w:tcBorders>
              <w:tl2br w:val="nil"/>
              <w:tr2bl w:val="nil"/>
            </w:tcBorders>
          </w:tcPr>
          <w:p w:rsidR="00525419" w:rsidRDefault="00525419">
            <w:pPr>
              <w:rPr>
                <w:rFonts w:ascii="Times New Roman" w:hAnsi="Times New Roman"/>
              </w:rPr>
            </w:pPr>
          </w:p>
        </w:tc>
        <w:tc>
          <w:tcPr>
            <w:tcW w:w="713" w:type="dxa"/>
            <w:vMerge/>
            <w:tcBorders>
              <w:tl2br w:val="nil"/>
              <w:tr2bl w:val="nil"/>
            </w:tcBorders>
          </w:tcPr>
          <w:p w:rsidR="00525419" w:rsidRDefault="00525419">
            <w:pPr>
              <w:rPr>
                <w:rFonts w:ascii="Times New Roman" w:hAnsi="Times New Roman"/>
              </w:rPr>
            </w:pPr>
          </w:p>
        </w:tc>
        <w:tc>
          <w:tcPr>
            <w:tcW w:w="878" w:type="dxa"/>
            <w:vMerge/>
            <w:tcBorders>
              <w:tl2br w:val="nil"/>
              <w:tr2bl w:val="nil"/>
            </w:tcBorders>
          </w:tcPr>
          <w:p w:rsidR="00525419" w:rsidRDefault="00525419">
            <w:pPr>
              <w:rPr>
                <w:rFonts w:ascii="Times New Roman" w:hAnsi="Times New Roman"/>
              </w:rPr>
            </w:pPr>
          </w:p>
        </w:tc>
      </w:tr>
      <w:tr w:rsidR="00525419">
        <w:trPr>
          <w:trHeight w:val="217"/>
        </w:trPr>
        <w:tc>
          <w:tcPr>
            <w:tcW w:w="959" w:type="dxa"/>
            <w:vMerge/>
            <w:tcBorders>
              <w:tl2br w:val="nil"/>
              <w:tr2bl w:val="nil"/>
            </w:tcBorders>
          </w:tcPr>
          <w:p w:rsidR="00525419" w:rsidRDefault="00525419">
            <w:pPr>
              <w:rPr>
                <w:rFonts w:ascii="Times New Roman" w:hAnsi="Times New Roman"/>
              </w:rPr>
            </w:pPr>
          </w:p>
        </w:tc>
        <w:tc>
          <w:tcPr>
            <w:tcW w:w="1134" w:type="dxa"/>
            <w:tcBorders>
              <w:tl2br w:val="nil"/>
              <w:tr2bl w:val="nil"/>
            </w:tcBorders>
          </w:tcPr>
          <w:p w:rsidR="00525419" w:rsidRDefault="00EE1CF7">
            <w:pPr>
              <w:rPr>
                <w:rFonts w:ascii="Times New Roman" w:hAnsi="Times New Roman"/>
              </w:rPr>
            </w:pPr>
            <w:r>
              <w:rPr>
                <w:rFonts w:ascii="Times New Roman" w:hAnsi="Times New Roman"/>
              </w:rPr>
              <w:t>氮氧化物</w:t>
            </w:r>
          </w:p>
        </w:tc>
        <w:tc>
          <w:tcPr>
            <w:tcW w:w="992" w:type="dxa"/>
            <w:tcBorders>
              <w:tl2br w:val="nil"/>
              <w:tr2bl w:val="nil"/>
            </w:tcBorders>
          </w:tcPr>
          <w:p w:rsidR="00525419" w:rsidRDefault="00EE1CF7">
            <w:pPr>
              <w:rPr>
                <w:rFonts w:ascii="Times New Roman" w:hAnsi="Times New Roman"/>
              </w:rPr>
            </w:pPr>
            <w:r>
              <w:rPr>
                <w:rFonts w:ascii="Times New Roman" w:hAnsi="Times New Roman"/>
              </w:rPr>
              <w:t>系数法</w:t>
            </w:r>
          </w:p>
        </w:tc>
        <w:tc>
          <w:tcPr>
            <w:tcW w:w="1062" w:type="dxa"/>
            <w:vMerge/>
            <w:tcBorders>
              <w:tl2br w:val="nil"/>
              <w:tr2bl w:val="nil"/>
            </w:tcBorders>
          </w:tcPr>
          <w:p w:rsidR="00525419" w:rsidRDefault="00525419">
            <w:pPr>
              <w:rPr>
                <w:rFonts w:ascii="Times New Roman" w:hAnsi="Times New Roman"/>
              </w:rPr>
            </w:pPr>
          </w:p>
        </w:tc>
        <w:tc>
          <w:tcPr>
            <w:tcW w:w="989" w:type="dxa"/>
            <w:tcBorders>
              <w:tl2br w:val="nil"/>
              <w:tr2bl w:val="nil"/>
            </w:tcBorders>
          </w:tcPr>
          <w:p w:rsidR="00525419" w:rsidRDefault="00EE1CF7">
            <w:pPr>
              <w:rPr>
                <w:rFonts w:ascii="Times New Roman" w:hAnsi="Times New Roman"/>
              </w:rPr>
            </w:pPr>
            <w:r>
              <w:rPr>
                <w:rFonts w:ascii="Times New Roman" w:hAnsi="Times New Roman"/>
              </w:rPr>
              <w:t>100.42</w:t>
            </w:r>
          </w:p>
        </w:tc>
        <w:tc>
          <w:tcPr>
            <w:tcW w:w="926" w:type="dxa"/>
            <w:tcBorders>
              <w:tl2br w:val="nil"/>
              <w:tr2bl w:val="nil"/>
            </w:tcBorders>
          </w:tcPr>
          <w:p w:rsidR="00525419" w:rsidRDefault="00EE1CF7">
            <w:pPr>
              <w:rPr>
                <w:rFonts w:ascii="Times New Roman" w:hAnsi="Times New Roman"/>
              </w:rPr>
            </w:pPr>
            <w:r>
              <w:rPr>
                <w:rFonts w:ascii="Times New Roman" w:hAnsi="Times New Roman"/>
              </w:rPr>
              <w:t>6.76</w:t>
            </w:r>
          </w:p>
        </w:tc>
        <w:tc>
          <w:tcPr>
            <w:tcW w:w="1134" w:type="dxa"/>
            <w:tcBorders>
              <w:tl2br w:val="nil"/>
              <w:tr2bl w:val="nil"/>
            </w:tcBorders>
          </w:tcPr>
          <w:p w:rsidR="00525419" w:rsidRDefault="00EE1CF7">
            <w:pPr>
              <w:rPr>
                <w:rFonts w:ascii="Times New Roman" w:hAnsi="Times New Roman"/>
              </w:rPr>
            </w:pPr>
            <w:r>
              <w:rPr>
                <w:rFonts w:ascii="Times New Roman" w:hAnsi="Times New Roman"/>
              </w:rPr>
              <w:t>低氮燃烧</w:t>
            </w:r>
          </w:p>
        </w:tc>
        <w:tc>
          <w:tcPr>
            <w:tcW w:w="709" w:type="dxa"/>
            <w:tcBorders>
              <w:tl2br w:val="nil"/>
              <w:tr2bl w:val="nil"/>
            </w:tcBorders>
          </w:tcPr>
          <w:p w:rsidR="00525419" w:rsidRDefault="00EE1CF7">
            <w:pPr>
              <w:rPr>
                <w:rFonts w:ascii="Times New Roman" w:hAnsi="Times New Roman"/>
              </w:rPr>
            </w:pPr>
            <w:r>
              <w:rPr>
                <w:rFonts w:ascii="Times New Roman" w:hAnsi="Times New Roman"/>
              </w:rPr>
              <w:t>40</w:t>
            </w:r>
          </w:p>
        </w:tc>
        <w:tc>
          <w:tcPr>
            <w:tcW w:w="1134" w:type="dxa"/>
            <w:vMerge/>
            <w:tcBorders>
              <w:tl2br w:val="nil"/>
              <w:tr2bl w:val="nil"/>
            </w:tcBorders>
          </w:tcPr>
          <w:p w:rsidR="00525419" w:rsidRDefault="00525419">
            <w:pPr>
              <w:rPr>
                <w:rFonts w:ascii="Times New Roman" w:hAnsi="Times New Roman"/>
              </w:rPr>
            </w:pPr>
          </w:p>
        </w:tc>
        <w:tc>
          <w:tcPr>
            <w:tcW w:w="992" w:type="dxa"/>
            <w:tcBorders>
              <w:tl2br w:val="nil"/>
              <w:tr2bl w:val="nil"/>
            </w:tcBorders>
          </w:tcPr>
          <w:p w:rsidR="00525419" w:rsidRDefault="00EE1CF7">
            <w:pPr>
              <w:rPr>
                <w:rFonts w:ascii="Times New Roman" w:hAnsi="Times New Roman"/>
              </w:rPr>
            </w:pPr>
            <w:r>
              <w:rPr>
                <w:rFonts w:ascii="Times New Roman" w:hAnsi="Times New Roman"/>
              </w:rPr>
              <w:t>100.42</w:t>
            </w:r>
          </w:p>
        </w:tc>
        <w:tc>
          <w:tcPr>
            <w:tcW w:w="850" w:type="dxa"/>
            <w:tcBorders>
              <w:tl2br w:val="nil"/>
              <w:tr2bl w:val="nil"/>
            </w:tcBorders>
          </w:tcPr>
          <w:p w:rsidR="00525419" w:rsidRDefault="00EE1CF7">
            <w:pPr>
              <w:rPr>
                <w:rFonts w:ascii="Times New Roman" w:hAnsi="Times New Roman"/>
              </w:rPr>
            </w:pPr>
            <w:r>
              <w:rPr>
                <w:rFonts w:ascii="Times New Roman" w:hAnsi="Times New Roman"/>
              </w:rPr>
              <w:t>6.76</w:t>
            </w:r>
          </w:p>
        </w:tc>
        <w:tc>
          <w:tcPr>
            <w:tcW w:w="709" w:type="dxa"/>
            <w:vMerge/>
            <w:tcBorders>
              <w:tl2br w:val="nil"/>
              <w:tr2bl w:val="nil"/>
            </w:tcBorders>
          </w:tcPr>
          <w:p w:rsidR="00525419" w:rsidRDefault="00525419">
            <w:pPr>
              <w:rPr>
                <w:rFonts w:ascii="Times New Roman" w:hAnsi="Times New Roman"/>
              </w:rPr>
            </w:pPr>
          </w:p>
        </w:tc>
        <w:tc>
          <w:tcPr>
            <w:tcW w:w="851" w:type="dxa"/>
            <w:vMerge/>
            <w:tcBorders>
              <w:tl2br w:val="nil"/>
              <w:tr2bl w:val="nil"/>
            </w:tcBorders>
          </w:tcPr>
          <w:p w:rsidR="00525419" w:rsidRDefault="00525419">
            <w:pPr>
              <w:rPr>
                <w:rFonts w:ascii="Times New Roman" w:hAnsi="Times New Roman"/>
              </w:rPr>
            </w:pPr>
          </w:p>
        </w:tc>
        <w:tc>
          <w:tcPr>
            <w:tcW w:w="713" w:type="dxa"/>
            <w:vMerge/>
            <w:tcBorders>
              <w:tl2br w:val="nil"/>
              <w:tr2bl w:val="nil"/>
            </w:tcBorders>
          </w:tcPr>
          <w:p w:rsidR="00525419" w:rsidRDefault="00525419">
            <w:pPr>
              <w:rPr>
                <w:rFonts w:ascii="Times New Roman" w:hAnsi="Times New Roman"/>
              </w:rPr>
            </w:pPr>
          </w:p>
        </w:tc>
        <w:tc>
          <w:tcPr>
            <w:tcW w:w="878" w:type="dxa"/>
            <w:vMerge/>
            <w:tcBorders>
              <w:tl2br w:val="nil"/>
              <w:tr2bl w:val="nil"/>
            </w:tcBorders>
          </w:tcPr>
          <w:p w:rsidR="00525419" w:rsidRDefault="00525419">
            <w:pPr>
              <w:rPr>
                <w:rFonts w:ascii="Times New Roman" w:hAnsi="Times New Roman"/>
              </w:rPr>
            </w:pPr>
          </w:p>
        </w:tc>
      </w:tr>
    </w:tbl>
    <w:p w:rsidR="00525419" w:rsidRDefault="00525419">
      <w:pPr>
        <w:rPr>
          <w:rFonts w:ascii="Times New Roman" w:hAnsi="Times New Roman"/>
        </w:rPr>
      </w:pPr>
    </w:p>
    <w:p w:rsidR="00525419" w:rsidRDefault="00EE1CF7">
      <w:pPr>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3.7-2</w:t>
      </w:r>
      <w:r>
        <w:rPr>
          <w:rFonts w:ascii="Times New Roman" w:eastAsia="黑体" w:hAnsi="Times New Roman"/>
          <w:szCs w:val="21"/>
        </w:rPr>
        <w:t xml:space="preserve">　煤焦油加氢单元废气污染源源强核算结果及相关参数一览表</w:t>
      </w:r>
    </w:p>
    <w:tbl>
      <w:tblPr>
        <w:tblW w:w="14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42"/>
        <w:gridCol w:w="1157"/>
        <w:gridCol w:w="859"/>
        <w:gridCol w:w="929"/>
        <w:gridCol w:w="1140"/>
        <w:gridCol w:w="995"/>
        <w:gridCol w:w="1087"/>
        <w:gridCol w:w="747"/>
        <w:gridCol w:w="1016"/>
        <w:gridCol w:w="1125"/>
        <w:gridCol w:w="996"/>
        <w:gridCol w:w="695"/>
        <w:gridCol w:w="662"/>
        <w:gridCol w:w="630"/>
        <w:gridCol w:w="720"/>
      </w:tblGrid>
      <w:tr w:rsidR="00525419">
        <w:trPr>
          <w:trHeight w:val="187"/>
        </w:trPr>
        <w:tc>
          <w:tcPr>
            <w:tcW w:w="1242" w:type="dxa"/>
            <w:vMerge w:val="restart"/>
            <w:tcBorders>
              <w:tl2br w:val="nil"/>
              <w:tr2bl w:val="nil"/>
            </w:tcBorders>
          </w:tcPr>
          <w:p w:rsidR="00525419" w:rsidRDefault="00EE1CF7">
            <w:pPr>
              <w:rPr>
                <w:rFonts w:ascii="Times New Roman" w:hAnsi="Times New Roman"/>
              </w:rPr>
            </w:pPr>
            <w:r>
              <w:rPr>
                <w:rFonts w:ascii="Times New Roman" w:hAnsi="Times New Roman"/>
              </w:rPr>
              <w:t>排放源</w:t>
            </w:r>
          </w:p>
        </w:tc>
        <w:tc>
          <w:tcPr>
            <w:tcW w:w="1157" w:type="dxa"/>
            <w:vMerge w:val="restart"/>
            <w:tcBorders>
              <w:tl2br w:val="nil"/>
              <w:tr2bl w:val="nil"/>
            </w:tcBorders>
          </w:tcPr>
          <w:p w:rsidR="00525419" w:rsidRDefault="00EE1CF7">
            <w:pPr>
              <w:rPr>
                <w:rFonts w:ascii="Times New Roman" w:hAnsi="Times New Roman"/>
              </w:rPr>
            </w:pPr>
            <w:r>
              <w:rPr>
                <w:rFonts w:ascii="Times New Roman" w:hAnsi="Times New Roman"/>
              </w:rPr>
              <w:t>污染物</w:t>
            </w:r>
          </w:p>
        </w:tc>
        <w:tc>
          <w:tcPr>
            <w:tcW w:w="3923" w:type="dxa"/>
            <w:gridSpan w:val="4"/>
            <w:tcBorders>
              <w:tl2br w:val="nil"/>
              <w:tr2bl w:val="nil"/>
            </w:tcBorders>
          </w:tcPr>
          <w:p w:rsidR="00525419" w:rsidRDefault="00EE1CF7">
            <w:pPr>
              <w:rPr>
                <w:rFonts w:ascii="Times New Roman" w:hAnsi="Times New Roman"/>
              </w:rPr>
            </w:pPr>
            <w:r>
              <w:rPr>
                <w:rFonts w:ascii="Times New Roman" w:hAnsi="Times New Roman"/>
              </w:rPr>
              <w:t>污染物产生</w:t>
            </w:r>
          </w:p>
        </w:tc>
        <w:tc>
          <w:tcPr>
            <w:tcW w:w="1834" w:type="dxa"/>
            <w:gridSpan w:val="2"/>
            <w:tcBorders>
              <w:tl2br w:val="nil"/>
              <w:tr2bl w:val="nil"/>
            </w:tcBorders>
          </w:tcPr>
          <w:p w:rsidR="00525419" w:rsidRDefault="00EE1CF7">
            <w:pPr>
              <w:rPr>
                <w:rFonts w:ascii="Times New Roman" w:hAnsi="Times New Roman"/>
              </w:rPr>
            </w:pPr>
            <w:r>
              <w:rPr>
                <w:rFonts w:ascii="Times New Roman" w:hAnsi="Times New Roman"/>
              </w:rPr>
              <w:t>治理措施</w:t>
            </w:r>
          </w:p>
        </w:tc>
        <w:tc>
          <w:tcPr>
            <w:tcW w:w="3137" w:type="dxa"/>
            <w:gridSpan w:val="3"/>
            <w:tcBorders>
              <w:tl2br w:val="nil"/>
              <w:tr2bl w:val="nil"/>
            </w:tcBorders>
          </w:tcPr>
          <w:p w:rsidR="00525419" w:rsidRDefault="00EE1CF7">
            <w:pPr>
              <w:rPr>
                <w:rFonts w:ascii="Times New Roman" w:hAnsi="Times New Roman"/>
              </w:rPr>
            </w:pPr>
            <w:r>
              <w:rPr>
                <w:rFonts w:ascii="Times New Roman" w:hAnsi="Times New Roman"/>
              </w:rPr>
              <w:t>污染物排放</w:t>
            </w:r>
          </w:p>
        </w:tc>
        <w:tc>
          <w:tcPr>
            <w:tcW w:w="1987" w:type="dxa"/>
            <w:gridSpan w:val="3"/>
            <w:tcBorders>
              <w:tl2br w:val="nil"/>
              <w:tr2bl w:val="nil"/>
            </w:tcBorders>
          </w:tcPr>
          <w:p w:rsidR="00525419" w:rsidRDefault="00EE1CF7">
            <w:pPr>
              <w:rPr>
                <w:rFonts w:ascii="Times New Roman" w:hAnsi="Times New Roman"/>
              </w:rPr>
            </w:pPr>
            <w:r>
              <w:rPr>
                <w:rFonts w:ascii="Times New Roman" w:hAnsi="Times New Roman"/>
              </w:rPr>
              <w:t>排放参数</w:t>
            </w:r>
          </w:p>
        </w:tc>
        <w:tc>
          <w:tcPr>
            <w:tcW w:w="720" w:type="dxa"/>
            <w:vMerge w:val="restart"/>
            <w:tcBorders>
              <w:tl2br w:val="nil"/>
              <w:tr2bl w:val="nil"/>
            </w:tcBorders>
          </w:tcPr>
          <w:p w:rsidR="00525419" w:rsidRDefault="00EE1CF7">
            <w:pPr>
              <w:rPr>
                <w:rFonts w:ascii="Times New Roman" w:hAnsi="Times New Roman"/>
              </w:rPr>
            </w:pPr>
            <w:r>
              <w:rPr>
                <w:rFonts w:ascii="Times New Roman" w:hAnsi="Times New Roman"/>
              </w:rPr>
              <w:t>排放时间（</w:t>
            </w:r>
            <w:r>
              <w:rPr>
                <w:rFonts w:ascii="Times New Roman" w:hAnsi="Times New Roman"/>
              </w:rPr>
              <w:t>h)</w:t>
            </w:r>
            <w:r>
              <w:rPr>
                <w:rFonts w:ascii="Times New Roman" w:hAnsi="Times New Roman"/>
              </w:rPr>
              <w:t>及去向</w:t>
            </w:r>
          </w:p>
        </w:tc>
      </w:tr>
      <w:tr w:rsidR="00525419">
        <w:trPr>
          <w:trHeight w:val="208"/>
        </w:trPr>
        <w:tc>
          <w:tcPr>
            <w:tcW w:w="1242" w:type="dxa"/>
            <w:vMerge/>
            <w:tcBorders>
              <w:tl2br w:val="nil"/>
              <w:tr2bl w:val="nil"/>
            </w:tcBorders>
          </w:tcPr>
          <w:p w:rsidR="00525419" w:rsidRDefault="00525419">
            <w:pPr>
              <w:rPr>
                <w:rFonts w:ascii="Times New Roman" w:hAnsi="Times New Roman"/>
              </w:rPr>
            </w:pPr>
          </w:p>
        </w:tc>
        <w:tc>
          <w:tcPr>
            <w:tcW w:w="1157" w:type="dxa"/>
            <w:vMerge/>
            <w:tcBorders>
              <w:tl2br w:val="nil"/>
              <w:tr2bl w:val="nil"/>
            </w:tcBorders>
          </w:tcPr>
          <w:p w:rsidR="00525419" w:rsidRDefault="00525419">
            <w:pPr>
              <w:rPr>
                <w:rFonts w:ascii="Times New Roman" w:hAnsi="Times New Roman"/>
              </w:rPr>
            </w:pPr>
          </w:p>
        </w:tc>
        <w:tc>
          <w:tcPr>
            <w:tcW w:w="859" w:type="dxa"/>
            <w:tcBorders>
              <w:tl2br w:val="nil"/>
              <w:tr2bl w:val="nil"/>
            </w:tcBorders>
          </w:tcPr>
          <w:p w:rsidR="00525419" w:rsidRDefault="00EE1CF7">
            <w:pPr>
              <w:rPr>
                <w:rFonts w:ascii="Times New Roman" w:hAnsi="Times New Roman"/>
              </w:rPr>
            </w:pPr>
            <w:r>
              <w:rPr>
                <w:rFonts w:ascii="Times New Roman" w:hAnsi="Times New Roman"/>
              </w:rPr>
              <w:t>核算方法</w:t>
            </w:r>
          </w:p>
        </w:tc>
        <w:tc>
          <w:tcPr>
            <w:tcW w:w="929" w:type="dxa"/>
            <w:tcBorders>
              <w:tl2br w:val="nil"/>
              <w:tr2bl w:val="nil"/>
            </w:tcBorders>
          </w:tcPr>
          <w:p w:rsidR="00525419" w:rsidRDefault="00EE1CF7">
            <w:pPr>
              <w:rPr>
                <w:rFonts w:ascii="Times New Roman" w:hAnsi="Times New Roman"/>
              </w:rPr>
            </w:pPr>
            <w:r>
              <w:rPr>
                <w:rFonts w:ascii="Times New Roman" w:hAnsi="Times New Roman"/>
              </w:rPr>
              <w:t>废气量（</w:t>
            </w:r>
            <w:r>
              <w:rPr>
                <w:rFonts w:ascii="Times New Roman" w:hAnsi="Times New Roman"/>
              </w:rPr>
              <w:t>Nm</w:t>
            </w:r>
            <w:r>
              <w:rPr>
                <w:rFonts w:ascii="Times New Roman" w:hAnsi="Times New Roman"/>
                <w:vertAlign w:val="superscript"/>
              </w:rPr>
              <w:t>3</w:t>
            </w:r>
            <w:r>
              <w:rPr>
                <w:rFonts w:ascii="Times New Roman" w:hAnsi="Times New Roman"/>
              </w:rPr>
              <w:t>/h)</w:t>
            </w:r>
          </w:p>
        </w:tc>
        <w:tc>
          <w:tcPr>
            <w:tcW w:w="1140" w:type="dxa"/>
            <w:tcBorders>
              <w:tl2br w:val="nil"/>
              <w:tr2bl w:val="nil"/>
            </w:tcBorders>
          </w:tcPr>
          <w:p w:rsidR="00525419" w:rsidRDefault="00EE1CF7">
            <w:pPr>
              <w:rPr>
                <w:rFonts w:ascii="Times New Roman" w:hAnsi="Times New Roman"/>
              </w:rPr>
            </w:pPr>
            <w:r>
              <w:rPr>
                <w:rFonts w:ascii="Times New Roman" w:hAnsi="Times New Roman"/>
              </w:rPr>
              <w:t>浓度</w:t>
            </w:r>
            <w:r>
              <w:rPr>
                <w:rFonts w:ascii="Times New Roman" w:hAnsi="Times New Roman"/>
              </w:rPr>
              <w:t>(mg/Nm</w:t>
            </w:r>
            <w:r>
              <w:rPr>
                <w:rFonts w:ascii="Times New Roman" w:hAnsi="Times New Roman"/>
                <w:vertAlign w:val="superscript"/>
              </w:rPr>
              <w:t>3</w:t>
            </w:r>
            <w:r>
              <w:rPr>
                <w:rFonts w:ascii="Times New Roman" w:hAnsi="Times New Roman"/>
              </w:rPr>
              <w:t>)</w:t>
            </w:r>
          </w:p>
        </w:tc>
        <w:tc>
          <w:tcPr>
            <w:tcW w:w="995" w:type="dxa"/>
            <w:tcBorders>
              <w:tl2br w:val="nil"/>
              <w:tr2bl w:val="nil"/>
            </w:tcBorders>
          </w:tcPr>
          <w:p w:rsidR="00525419" w:rsidRDefault="00EE1CF7">
            <w:pPr>
              <w:rPr>
                <w:rFonts w:ascii="Times New Roman" w:hAnsi="Times New Roman"/>
              </w:rPr>
            </w:pPr>
            <w:r>
              <w:rPr>
                <w:rFonts w:ascii="Times New Roman" w:hAnsi="Times New Roman"/>
              </w:rPr>
              <w:t>产生量</w:t>
            </w:r>
            <w:r>
              <w:rPr>
                <w:rFonts w:ascii="Times New Roman" w:hAnsi="Times New Roman"/>
              </w:rPr>
              <w:t>(</w:t>
            </w:r>
            <w:r>
              <w:rPr>
                <w:rFonts w:ascii="Times New Roman" w:hAnsi="Times New Roman"/>
                <w:sz w:val="24"/>
              </w:rPr>
              <w:t>kg/h)</w:t>
            </w:r>
          </w:p>
        </w:tc>
        <w:tc>
          <w:tcPr>
            <w:tcW w:w="1087" w:type="dxa"/>
            <w:tcBorders>
              <w:tl2br w:val="nil"/>
              <w:tr2bl w:val="nil"/>
            </w:tcBorders>
          </w:tcPr>
          <w:p w:rsidR="00525419" w:rsidRDefault="00EE1CF7">
            <w:pPr>
              <w:rPr>
                <w:rFonts w:ascii="Times New Roman" w:hAnsi="Times New Roman"/>
              </w:rPr>
            </w:pPr>
            <w:r>
              <w:rPr>
                <w:rFonts w:ascii="Times New Roman" w:hAnsi="Times New Roman"/>
              </w:rPr>
              <w:t>工艺</w:t>
            </w:r>
          </w:p>
        </w:tc>
        <w:tc>
          <w:tcPr>
            <w:tcW w:w="747" w:type="dxa"/>
            <w:tcBorders>
              <w:tl2br w:val="nil"/>
              <w:tr2bl w:val="nil"/>
            </w:tcBorders>
          </w:tcPr>
          <w:p w:rsidR="00525419" w:rsidRDefault="00EE1CF7">
            <w:pPr>
              <w:rPr>
                <w:rFonts w:ascii="Times New Roman" w:hAnsi="Times New Roman"/>
              </w:rPr>
            </w:pPr>
            <w:r>
              <w:rPr>
                <w:rFonts w:ascii="Times New Roman" w:hAnsi="Times New Roman"/>
              </w:rPr>
              <w:t>效率（</w:t>
            </w:r>
            <w:r>
              <w:rPr>
                <w:rFonts w:ascii="Times New Roman" w:hAnsi="Times New Roman"/>
              </w:rPr>
              <w:t>%</w:t>
            </w:r>
            <w:r>
              <w:rPr>
                <w:rFonts w:ascii="Times New Roman" w:hAnsi="Times New Roman"/>
              </w:rPr>
              <w:t>）</w:t>
            </w:r>
          </w:p>
        </w:tc>
        <w:tc>
          <w:tcPr>
            <w:tcW w:w="1016" w:type="dxa"/>
            <w:tcBorders>
              <w:tl2br w:val="nil"/>
              <w:tr2bl w:val="nil"/>
            </w:tcBorders>
          </w:tcPr>
          <w:p w:rsidR="00525419" w:rsidRDefault="00EE1CF7">
            <w:pPr>
              <w:rPr>
                <w:rFonts w:ascii="Times New Roman" w:hAnsi="Times New Roman"/>
              </w:rPr>
            </w:pPr>
            <w:r>
              <w:rPr>
                <w:rFonts w:ascii="Times New Roman" w:hAnsi="Times New Roman"/>
              </w:rPr>
              <w:t>废气量（</w:t>
            </w:r>
            <w:r>
              <w:rPr>
                <w:rFonts w:ascii="Times New Roman" w:hAnsi="Times New Roman"/>
              </w:rPr>
              <w:t>Nm</w:t>
            </w:r>
            <w:r>
              <w:rPr>
                <w:rFonts w:ascii="Times New Roman" w:hAnsi="Times New Roman"/>
                <w:vertAlign w:val="superscript"/>
              </w:rPr>
              <w:t>3</w:t>
            </w:r>
            <w:r>
              <w:rPr>
                <w:rFonts w:ascii="Times New Roman" w:hAnsi="Times New Roman"/>
              </w:rPr>
              <w:t>/h)</w:t>
            </w:r>
          </w:p>
        </w:tc>
        <w:tc>
          <w:tcPr>
            <w:tcW w:w="1125" w:type="dxa"/>
            <w:tcBorders>
              <w:tl2br w:val="nil"/>
              <w:tr2bl w:val="nil"/>
            </w:tcBorders>
          </w:tcPr>
          <w:p w:rsidR="00525419" w:rsidRDefault="00EE1CF7">
            <w:pPr>
              <w:rPr>
                <w:rFonts w:ascii="Times New Roman" w:hAnsi="Times New Roman"/>
              </w:rPr>
            </w:pPr>
            <w:r>
              <w:rPr>
                <w:rFonts w:ascii="Times New Roman" w:hAnsi="Times New Roman"/>
              </w:rPr>
              <w:t>浓度</w:t>
            </w:r>
            <w:r>
              <w:rPr>
                <w:rFonts w:ascii="Times New Roman" w:hAnsi="Times New Roman"/>
              </w:rPr>
              <w:t>(mg/Nm</w:t>
            </w:r>
            <w:r>
              <w:rPr>
                <w:rFonts w:ascii="Times New Roman" w:hAnsi="Times New Roman"/>
                <w:vertAlign w:val="superscript"/>
              </w:rPr>
              <w:t>3</w:t>
            </w:r>
            <w:r>
              <w:rPr>
                <w:rFonts w:ascii="Times New Roman" w:hAnsi="Times New Roman"/>
              </w:rPr>
              <w:t>)</w:t>
            </w:r>
          </w:p>
        </w:tc>
        <w:tc>
          <w:tcPr>
            <w:tcW w:w="996" w:type="dxa"/>
            <w:tcBorders>
              <w:tl2br w:val="nil"/>
              <w:tr2bl w:val="nil"/>
            </w:tcBorders>
          </w:tcPr>
          <w:p w:rsidR="00525419" w:rsidRDefault="00EE1CF7">
            <w:pPr>
              <w:rPr>
                <w:rFonts w:ascii="Times New Roman" w:hAnsi="Times New Roman"/>
              </w:rPr>
            </w:pPr>
            <w:r>
              <w:rPr>
                <w:rFonts w:ascii="Times New Roman" w:hAnsi="Times New Roman"/>
              </w:rPr>
              <w:t>排放量</w:t>
            </w:r>
            <w:r>
              <w:rPr>
                <w:rFonts w:ascii="Times New Roman" w:hAnsi="Times New Roman"/>
              </w:rPr>
              <w:t>(</w:t>
            </w:r>
            <w:r>
              <w:rPr>
                <w:rFonts w:ascii="Times New Roman" w:hAnsi="Times New Roman"/>
                <w:sz w:val="24"/>
              </w:rPr>
              <w:t>kg/h)</w:t>
            </w:r>
          </w:p>
        </w:tc>
        <w:tc>
          <w:tcPr>
            <w:tcW w:w="695" w:type="dxa"/>
            <w:tcBorders>
              <w:tl2br w:val="nil"/>
              <w:tr2bl w:val="nil"/>
            </w:tcBorders>
          </w:tcPr>
          <w:p w:rsidR="00525419" w:rsidRDefault="00EE1CF7">
            <w:pPr>
              <w:rPr>
                <w:rFonts w:ascii="Times New Roman" w:hAnsi="Times New Roman"/>
              </w:rPr>
            </w:pPr>
            <w:r>
              <w:rPr>
                <w:rFonts w:ascii="Times New Roman" w:hAnsi="Times New Roman"/>
              </w:rPr>
              <w:t>高度</w:t>
            </w:r>
            <w:r>
              <w:rPr>
                <w:rFonts w:ascii="Times New Roman" w:hAnsi="Times New Roman"/>
              </w:rPr>
              <w:t>(m)</w:t>
            </w:r>
          </w:p>
        </w:tc>
        <w:tc>
          <w:tcPr>
            <w:tcW w:w="662" w:type="dxa"/>
            <w:tcBorders>
              <w:tl2br w:val="nil"/>
              <w:tr2bl w:val="nil"/>
            </w:tcBorders>
          </w:tcPr>
          <w:p w:rsidR="00525419" w:rsidRDefault="00EE1CF7">
            <w:pPr>
              <w:rPr>
                <w:rFonts w:ascii="Times New Roman" w:hAnsi="Times New Roman"/>
              </w:rPr>
            </w:pPr>
            <w:r>
              <w:rPr>
                <w:rFonts w:ascii="Times New Roman" w:hAnsi="Times New Roman"/>
              </w:rPr>
              <w:t>内径</w:t>
            </w:r>
            <w:r>
              <w:rPr>
                <w:rFonts w:ascii="Times New Roman" w:hAnsi="Times New Roman"/>
              </w:rPr>
              <w:t>(m)</w:t>
            </w:r>
          </w:p>
        </w:tc>
        <w:tc>
          <w:tcPr>
            <w:tcW w:w="630" w:type="dxa"/>
            <w:tcBorders>
              <w:tl2br w:val="nil"/>
              <w:tr2bl w:val="nil"/>
            </w:tcBorders>
          </w:tcPr>
          <w:p w:rsidR="00525419" w:rsidRDefault="00EE1CF7">
            <w:pPr>
              <w:rPr>
                <w:rFonts w:ascii="Times New Roman" w:hAnsi="Times New Roman"/>
              </w:rPr>
            </w:pPr>
            <w:r>
              <w:rPr>
                <w:rFonts w:ascii="Times New Roman" w:hAnsi="Times New Roman"/>
              </w:rPr>
              <w:t>温度</w:t>
            </w:r>
            <w:r>
              <w:rPr>
                <w:rFonts w:ascii="Times New Roman" w:hAnsi="Times New Roman"/>
                <w:kern w:val="0"/>
                <w:szCs w:val="21"/>
              </w:rPr>
              <w:t>（</w:t>
            </w:r>
            <w:r>
              <w:rPr>
                <w:rFonts w:ascii="Times New Roman" w:hAnsi="Times New Roman"/>
                <w:kern w:val="0"/>
                <w:szCs w:val="21"/>
              </w:rPr>
              <w:t>℃</w:t>
            </w:r>
            <w:r>
              <w:rPr>
                <w:rFonts w:ascii="Times New Roman" w:hAnsi="Times New Roman"/>
                <w:kern w:val="0"/>
                <w:szCs w:val="21"/>
              </w:rPr>
              <w:t>）</w:t>
            </w:r>
          </w:p>
        </w:tc>
        <w:tc>
          <w:tcPr>
            <w:tcW w:w="720" w:type="dxa"/>
            <w:vMerge/>
            <w:tcBorders>
              <w:tl2br w:val="nil"/>
              <w:tr2bl w:val="nil"/>
            </w:tcBorders>
          </w:tcPr>
          <w:p w:rsidR="00525419" w:rsidRDefault="00525419">
            <w:pPr>
              <w:rPr>
                <w:rFonts w:ascii="Times New Roman" w:hAnsi="Times New Roman"/>
              </w:rPr>
            </w:pPr>
          </w:p>
        </w:tc>
      </w:tr>
      <w:tr w:rsidR="00525419">
        <w:trPr>
          <w:trHeight w:val="390"/>
        </w:trPr>
        <w:tc>
          <w:tcPr>
            <w:tcW w:w="1242" w:type="dxa"/>
            <w:vMerge w:val="restart"/>
            <w:tcBorders>
              <w:tl2br w:val="nil"/>
              <w:tr2bl w:val="nil"/>
            </w:tcBorders>
          </w:tcPr>
          <w:p w:rsidR="00525419" w:rsidRDefault="00EE1CF7">
            <w:pPr>
              <w:rPr>
                <w:rFonts w:ascii="Times New Roman" w:hAnsi="Times New Roman"/>
              </w:rPr>
            </w:pPr>
            <w:r>
              <w:rPr>
                <w:rFonts w:ascii="Times New Roman" w:hAnsi="Times New Roman" w:hint="eastAsia"/>
              </w:rPr>
              <w:t>加氢反应一、二段加热炉</w:t>
            </w:r>
            <w:r>
              <w:rPr>
                <w:rFonts w:ascii="Times New Roman" w:hAnsi="Times New Roman"/>
              </w:rPr>
              <w:t>烟囱</w:t>
            </w:r>
          </w:p>
        </w:tc>
        <w:tc>
          <w:tcPr>
            <w:tcW w:w="1157" w:type="dxa"/>
            <w:tcBorders>
              <w:tl2br w:val="nil"/>
              <w:tr2bl w:val="nil"/>
            </w:tcBorders>
          </w:tcPr>
          <w:p w:rsidR="00525419" w:rsidRDefault="00EE1CF7">
            <w:pPr>
              <w:rPr>
                <w:rFonts w:ascii="Times New Roman" w:hAnsi="Times New Roman"/>
              </w:rPr>
            </w:pPr>
            <w:r>
              <w:rPr>
                <w:rFonts w:ascii="Times New Roman" w:hAnsi="Times New Roman"/>
              </w:rPr>
              <w:t>颗粒物</w:t>
            </w:r>
          </w:p>
        </w:tc>
        <w:tc>
          <w:tcPr>
            <w:tcW w:w="859" w:type="dxa"/>
            <w:tcBorders>
              <w:tl2br w:val="nil"/>
              <w:tr2bl w:val="nil"/>
            </w:tcBorders>
          </w:tcPr>
          <w:p w:rsidR="00525419" w:rsidRDefault="00EE1CF7">
            <w:pPr>
              <w:rPr>
                <w:rFonts w:ascii="Times New Roman" w:hAnsi="Times New Roman"/>
              </w:rPr>
            </w:pPr>
            <w:r>
              <w:rPr>
                <w:rFonts w:ascii="Times New Roman" w:hAnsi="Times New Roman"/>
              </w:rPr>
              <w:t>系数法</w:t>
            </w:r>
          </w:p>
        </w:tc>
        <w:tc>
          <w:tcPr>
            <w:tcW w:w="929" w:type="dxa"/>
            <w:vMerge w:val="restart"/>
            <w:tcBorders>
              <w:tl2br w:val="nil"/>
              <w:tr2bl w:val="nil"/>
            </w:tcBorders>
          </w:tcPr>
          <w:p w:rsidR="00525419" w:rsidRDefault="00EE1CF7">
            <w:pPr>
              <w:rPr>
                <w:rFonts w:ascii="Times New Roman" w:hAnsi="Times New Roman"/>
              </w:rPr>
            </w:pPr>
            <w:r>
              <w:rPr>
                <w:rFonts w:ascii="Times New Roman" w:hAnsi="Times New Roman"/>
              </w:rPr>
              <w:t>15028</w:t>
            </w:r>
          </w:p>
        </w:tc>
        <w:tc>
          <w:tcPr>
            <w:tcW w:w="1140" w:type="dxa"/>
            <w:tcBorders>
              <w:tl2br w:val="nil"/>
              <w:tr2bl w:val="nil"/>
            </w:tcBorders>
          </w:tcPr>
          <w:p w:rsidR="00525419" w:rsidRDefault="00EE1CF7">
            <w:pPr>
              <w:rPr>
                <w:rFonts w:ascii="Times New Roman" w:hAnsi="Times New Roman"/>
              </w:rPr>
            </w:pPr>
            <w:r>
              <w:rPr>
                <w:rFonts w:ascii="Times New Roman" w:hAnsi="Times New Roman"/>
              </w:rPr>
              <w:t>2.30</w:t>
            </w:r>
          </w:p>
        </w:tc>
        <w:tc>
          <w:tcPr>
            <w:tcW w:w="995" w:type="dxa"/>
            <w:tcBorders>
              <w:tl2br w:val="nil"/>
              <w:tr2bl w:val="nil"/>
            </w:tcBorders>
          </w:tcPr>
          <w:p w:rsidR="00525419" w:rsidRDefault="00EE1CF7">
            <w:pPr>
              <w:rPr>
                <w:rFonts w:ascii="Times New Roman" w:hAnsi="Times New Roman"/>
              </w:rPr>
            </w:pPr>
            <w:r>
              <w:rPr>
                <w:rFonts w:ascii="Times New Roman" w:hAnsi="Times New Roman"/>
              </w:rPr>
              <w:t>0.03468</w:t>
            </w:r>
          </w:p>
        </w:tc>
        <w:tc>
          <w:tcPr>
            <w:tcW w:w="1087" w:type="dxa"/>
            <w:tcBorders>
              <w:tl2br w:val="nil"/>
              <w:tr2bl w:val="nil"/>
            </w:tcBorders>
          </w:tcPr>
          <w:p w:rsidR="00525419" w:rsidRDefault="00EE1CF7">
            <w:pPr>
              <w:rPr>
                <w:rFonts w:ascii="Times New Roman" w:hAnsi="Times New Roman"/>
              </w:rPr>
            </w:pPr>
            <w:r>
              <w:rPr>
                <w:rFonts w:ascii="Times New Roman" w:hAnsi="Times New Roman"/>
              </w:rPr>
              <w:t>/</w:t>
            </w:r>
          </w:p>
        </w:tc>
        <w:tc>
          <w:tcPr>
            <w:tcW w:w="747" w:type="dxa"/>
            <w:tcBorders>
              <w:tl2br w:val="nil"/>
              <w:tr2bl w:val="nil"/>
            </w:tcBorders>
          </w:tcPr>
          <w:p w:rsidR="00525419" w:rsidRDefault="00EE1CF7">
            <w:pPr>
              <w:rPr>
                <w:rFonts w:ascii="Times New Roman" w:hAnsi="Times New Roman"/>
              </w:rPr>
            </w:pPr>
            <w:r>
              <w:rPr>
                <w:rFonts w:ascii="Times New Roman" w:hAnsi="Times New Roman"/>
              </w:rPr>
              <w:t>/</w:t>
            </w:r>
          </w:p>
        </w:tc>
        <w:tc>
          <w:tcPr>
            <w:tcW w:w="1016" w:type="dxa"/>
            <w:vMerge w:val="restart"/>
            <w:tcBorders>
              <w:tl2br w:val="nil"/>
              <w:tr2bl w:val="nil"/>
            </w:tcBorders>
          </w:tcPr>
          <w:p w:rsidR="00525419" w:rsidRDefault="00EE1CF7">
            <w:pPr>
              <w:rPr>
                <w:rFonts w:ascii="Times New Roman" w:hAnsi="Times New Roman"/>
              </w:rPr>
            </w:pPr>
            <w:r>
              <w:rPr>
                <w:rFonts w:ascii="Times New Roman" w:hAnsi="Times New Roman"/>
              </w:rPr>
              <w:t>15028</w:t>
            </w:r>
          </w:p>
        </w:tc>
        <w:tc>
          <w:tcPr>
            <w:tcW w:w="1125" w:type="dxa"/>
            <w:tcBorders>
              <w:tl2br w:val="nil"/>
              <w:tr2bl w:val="nil"/>
            </w:tcBorders>
          </w:tcPr>
          <w:p w:rsidR="00525419" w:rsidRDefault="00EE1CF7">
            <w:pPr>
              <w:rPr>
                <w:rFonts w:ascii="Times New Roman" w:hAnsi="Times New Roman"/>
              </w:rPr>
            </w:pPr>
            <w:r>
              <w:rPr>
                <w:rFonts w:ascii="Times New Roman" w:hAnsi="Times New Roman"/>
              </w:rPr>
              <w:t>2.30</w:t>
            </w:r>
          </w:p>
        </w:tc>
        <w:tc>
          <w:tcPr>
            <w:tcW w:w="996" w:type="dxa"/>
            <w:tcBorders>
              <w:tl2br w:val="nil"/>
              <w:tr2bl w:val="nil"/>
            </w:tcBorders>
          </w:tcPr>
          <w:p w:rsidR="00525419" w:rsidRDefault="00EE1CF7">
            <w:pPr>
              <w:rPr>
                <w:rFonts w:ascii="Times New Roman" w:hAnsi="Times New Roman"/>
              </w:rPr>
            </w:pPr>
            <w:r>
              <w:rPr>
                <w:rFonts w:ascii="Times New Roman" w:hAnsi="Times New Roman"/>
              </w:rPr>
              <w:t>0.03468</w:t>
            </w:r>
          </w:p>
        </w:tc>
        <w:tc>
          <w:tcPr>
            <w:tcW w:w="695" w:type="dxa"/>
            <w:vMerge w:val="restart"/>
            <w:tcBorders>
              <w:tl2br w:val="nil"/>
              <w:tr2bl w:val="nil"/>
            </w:tcBorders>
          </w:tcPr>
          <w:p w:rsidR="00525419" w:rsidRDefault="00EE1CF7">
            <w:pPr>
              <w:rPr>
                <w:rFonts w:ascii="Times New Roman" w:hAnsi="Times New Roman"/>
              </w:rPr>
            </w:pPr>
            <w:r>
              <w:rPr>
                <w:rFonts w:ascii="Times New Roman" w:hAnsi="Times New Roman"/>
              </w:rPr>
              <w:t>25</w:t>
            </w:r>
          </w:p>
        </w:tc>
        <w:tc>
          <w:tcPr>
            <w:tcW w:w="662" w:type="dxa"/>
            <w:vMerge w:val="restart"/>
            <w:tcBorders>
              <w:tl2br w:val="nil"/>
              <w:tr2bl w:val="nil"/>
            </w:tcBorders>
          </w:tcPr>
          <w:p w:rsidR="00525419" w:rsidRDefault="00EE1CF7">
            <w:pPr>
              <w:rPr>
                <w:rFonts w:ascii="Times New Roman" w:hAnsi="Times New Roman"/>
              </w:rPr>
            </w:pPr>
            <w:r>
              <w:rPr>
                <w:rFonts w:ascii="Times New Roman" w:hAnsi="Times New Roman" w:hint="eastAsia"/>
              </w:rPr>
              <w:t>1.7</w:t>
            </w:r>
          </w:p>
        </w:tc>
        <w:tc>
          <w:tcPr>
            <w:tcW w:w="630" w:type="dxa"/>
            <w:vMerge w:val="restart"/>
            <w:tcBorders>
              <w:tl2br w:val="nil"/>
              <w:tr2bl w:val="nil"/>
            </w:tcBorders>
          </w:tcPr>
          <w:p w:rsidR="00525419" w:rsidRDefault="00EE1CF7">
            <w:pPr>
              <w:rPr>
                <w:rFonts w:ascii="Times New Roman" w:hAnsi="Times New Roman"/>
              </w:rPr>
            </w:pPr>
            <w:r>
              <w:rPr>
                <w:rFonts w:ascii="Times New Roman" w:hAnsi="Times New Roman"/>
              </w:rPr>
              <w:t>150</w:t>
            </w:r>
          </w:p>
        </w:tc>
        <w:tc>
          <w:tcPr>
            <w:tcW w:w="720" w:type="dxa"/>
            <w:vMerge w:val="restart"/>
            <w:tcBorders>
              <w:tl2br w:val="nil"/>
              <w:tr2bl w:val="nil"/>
            </w:tcBorders>
          </w:tcPr>
          <w:p w:rsidR="00525419" w:rsidRDefault="00EE1CF7">
            <w:pPr>
              <w:rPr>
                <w:rFonts w:ascii="Times New Roman" w:hAnsi="Times New Roman"/>
              </w:rPr>
            </w:pPr>
            <w:r>
              <w:rPr>
                <w:rFonts w:ascii="Times New Roman" w:hAnsi="Times New Roman"/>
              </w:rPr>
              <w:t>8000</w:t>
            </w:r>
            <w:r>
              <w:rPr>
                <w:rFonts w:ascii="Times New Roman" w:hAnsi="Times New Roman"/>
              </w:rPr>
              <w:t>，大气</w:t>
            </w:r>
          </w:p>
        </w:tc>
      </w:tr>
      <w:tr w:rsidR="00525419">
        <w:trPr>
          <w:trHeight w:val="262"/>
        </w:trPr>
        <w:tc>
          <w:tcPr>
            <w:tcW w:w="1242" w:type="dxa"/>
            <w:vMerge/>
            <w:tcBorders>
              <w:tl2br w:val="nil"/>
              <w:tr2bl w:val="nil"/>
            </w:tcBorders>
          </w:tcPr>
          <w:p w:rsidR="00525419" w:rsidRDefault="00525419">
            <w:pPr>
              <w:rPr>
                <w:rFonts w:ascii="Times New Roman" w:hAnsi="Times New Roman"/>
              </w:rPr>
            </w:pPr>
          </w:p>
        </w:tc>
        <w:tc>
          <w:tcPr>
            <w:tcW w:w="1157" w:type="dxa"/>
            <w:tcBorders>
              <w:tl2br w:val="nil"/>
              <w:tr2bl w:val="nil"/>
            </w:tcBorders>
          </w:tcPr>
          <w:p w:rsidR="00525419" w:rsidRDefault="00EE1CF7">
            <w:pPr>
              <w:rPr>
                <w:rFonts w:ascii="Times New Roman" w:hAnsi="Times New Roman"/>
              </w:rPr>
            </w:pPr>
            <w:r>
              <w:rPr>
                <w:rFonts w:ascii="Times New Roman" w:hAnsi="Times New Roman"/>
              </w:rPr>
              <w:t>二氧化硫</w:t>
            </w:r>
          </w:p>
        </w:tc>
        <w:tc>
          <w:tcPr>
            <w:tcW w:w="859" w:type="dxa"/>
            <w:tcBorders>
              <w:tl2br w:val="nil"/>
              <w:tr2bl w:val="nil"/>
            </w:tcBorders>
          </w:tcPr>
          <w:p w:rsidR="00525419" w:rsidRDefault="00EE1CF7">
            <w:pPr>
              <w:rPr>
                <w:rFonts w:ascii="Times New Roman" w:hAnsi="Times New Roman"/>
              </w:rPr>
            </w:pPr>
            <w:r>
              <w:rPr>
                <w:rFonts w:ascii="Times New Roman" w:hAnsi="Times New Roman"/>
              </w:rPr>
              <w:t>系数法</w:t>
            </w:r>
          </w:p>
        </w:tc>
        <w:tc>
          <w:tcPr>
            <w:tcW w:w="929" w:type="dxa"/>
            <w:vMerge/>
            <w:tcBorders>
              <w:tl2br w:val="nil"/>
              <w:tr2bl w:val="nil"/>
            </w:tcBorders>
          </w:tcPr>
          <w:p w:rsidR="00525419" w:rsidRDefault="00525419">
            <w:pPr>
              <w:rPr>
                <w:rFonts w:ascii="Times New Roman" w:hAnsi="Times New Roman"/>
              </w:rPr>
            </w:pPr>
          </w:p>
        </w:tc>
        <w:tc>
          <w:tcPr>
            <w:tcW w:w="1140" w:type="dxa"/>
            <w:tcBorders>
              <w:tl2br w:val="nil"/>
              <w:tr2bl w:val="nil"/>
            </w:tcBorders>
          </w:tcPr>
          <w:p w:rsidR="00525419" w:rsidRDefault="00EE1CF7">
            <w:pPr>
              <w:rPr>
                <w:rFonts w:ascii="Times New Roman" w:hAnsi="Times New Roman"/>
              </w:rPr>
            </w:pPr>
            <w:r>
              <w:rPr>
                <w:rFonts w:ascii="Times New Roman" w:hAnsi="Times New Roman"/>
              </w:rPr>
              <w:t>2.88</w:t>
            </w:r>
          </w:p>
        </w:tc>
        <w:tc>
          <w:tcPr>
            <w:tcW w:w="995" w:type="dxa"/>
            <w:tcBorders>
              <w:tl2br w:val="nil"/>
              <w:tr2bl w:val="nil"/>
            </w:tcBorders>
          </w:tcPr>
          <w:p w:rsidR="00525419" w:rsidRDefault="00EE1CF7">
            <w:pPr>
              <w:rPr>
                <w:rFonts w:ascii="Times New Roman" w:hAnsi="Times New Roman"/>
              </w:rPr>
            </w:pPr>
            <w:r>
              <w:rPr>
                <w:rFonts w:ascii="Times New Roman" w:hAnsi="Times New Roman"/>
              </w:rPr>
              <w:t>0.04352</w:t>
            </w:r>
          </w:p>
        </w:tc>
        <w:tc>
          <w:tcPr>
            <w:tcW w:w="1087" w:type="dxa"/>
            <w:tcBorders>
              <w:tl2br w:val="nil"/>
              <w:tr2bl w:val="nil"/>
            </w:tcBorders>
          </w:tcPr>
          <w:p w:rsidR="00525419" w:rsidRDefault="00EE1CF7">
            <w:pPr>
              <w:rPr>
                <w:rFonts w:ascii="Times New Roman" w:hAnsi="Times New Roman"/>
              </w:rPr>
            </w:pPr>
            <w:r>
              <w:rPr>
                <w:rFonts w:ascii="Times New Roman" w:hAnsi="Times New Roman"/>
              </w:rPr>
              <w:t>/</w:t>
            </w:r>
          </w:p>
        </w:tc>
        <w:tc>
          <w:tcPr>
            <w:tcW w:w="747" w:type="dxa"/>
            <w:tcBorders>
              <w:tl2br w:val="nil"/>
              <w:tr2bl w:val="nil"/>
            </w:tcBorders>
          </w:tcPr>
          <w:p w:rsidR="00525419" w:rsidRDefault="00EE1CF7">
            <w:pPr>
              <w:rPr>
                <w:rFonts w:ascii="Times New Roman" w:hAnsi="Times New Roman"/>
              </w:rPr>
            </w:pPr>
            <w:r>
              <w:rPr>
                <w:rFonts w:ascii="Times New Roman" w:hAnsi="Times New Roman"/>
              </w:rPr>
              <w:t>/</w:t>
            </w:r>
          </w:p>
        </w:tc>
        <w:tc>
          <w:tcPr>
            <w:tcW w:w="1016" w:type="dxa"/>
            <w:vMerge/>
            <w:tcBorders>
              <w:tl2br w:val="nil"/>
              <w:tr2bl w:val="nil"/>
            </w:tcBorders>
          </w:tcPr>
          <w:p w:rsidR="00525419" w:rsidRDefault="00525419">
            <w:pPr>
              <w:rPr>
                <w:rFonts w:ascii="Times New Roman" w:hAnsi="Times New Roman"/>
              </w:rPr>
            </w:pPr>
          </w:p>
        </w:tc>
        <w:tc>
          <w:tcPr>
            <w:tcW w:w="1125" w:type="dxa"/>
            <w:tcBorders>
              <w:tl2br w:val="nil"/>
              <w:tr2bl w:val="nil"/>
            </w:tcBorders>
          </w:tcPr>
          <w:p w:rsidR="00525419" w:rsidRDefault="00EE1CF7">
            <w:pPr>
              <w:rPr>
                <w:rFonts w:ascii="Times New Roman" w:hAnsi="Times New Roman"/>
              </w:rPr>
            </w:pPr>
            <w:r>
              <w:rPr>
                <w:rFonts w:ascii="Times New Roman" w:hAnsi="Times New Roman"/>
              </w:rPr>
              <w:t>2.88</w:t>
            </w:r>
          </w:p>
        </w:tc>
        <w:tc>
          <w:tcPr>
            <w:tcW w:w="996" w:type="dxa"/>
            <w:tcBorders>
              <w:tl2br w:val="nil"/>
              <w:tr2bl w:val="nil"/>
            </w:tcBorders>
          </w:tcPr>
          <w:p w:rsidR="00525419" w:rsidRDefault="00EE1CF7">
            <w:pPr>
              <w:rPr>
                <w:rFonts w:ascii="Times New Roman" w:hAnsi="Times New Roman"/>
              </w:rPr>
            </w:pPr>
            <w:r>
              <w:rPr>
                <w:rFonts w:ascii="Times New Roman" w:hAnsi="Times New Roman"/>
              </w:rPr>
              <w:t>0.04352</w:t>
            </w:r>
          </w:p>
        </w:tc>
        <w:tc>
          <w:tcPr>
            <w:tcW w:w="695" w:type="dxa"/>
            <w:vMerge/>
            <w:tcBorders>
              <w:tl2br w:val="nil"/>
              <w:tr2bl w:val="nil"/>
            </w:tcBorders>
          </w:tcPr>
          <w:p w:rsidR="00525419" w:rsidRDefault="00525419">
            <w:pPr>
              <w:rPr>
                <w:rFonts w:ascii="Times New Roman" w:hAnsi="Times New Roman"/>
              </w:rPr>
            </w:pPr>
          </w:p>
        </w:tc>
        <w:tc>
          <w:tcPr>
            <w:tcW w:w="662" w:type="dxa"/>
            <w:vMerge/>
            <w:tcBorders>
              <w:tl2br w:val="nil"/>
              <w:tr2bl w:val="nil"/>
            </w:tcBorders>
          </w:tcPr>
          <w:p w:rsidR="00525419" w:rsidRDefault="00525419">
            <w:pPr>
              <w:rPr>
                <w:rFonts w:ascii="Times New Roman" w:hAnsi="Times New Roman"/>
              </w:rPr>
            </w:pPr>
          </w:p>
        </w:tc>
        <w:tc>
          <w:tcPr>
            <w:tcW w:w="630" w:type="dxa"/>
            <w:vMerge/>
            <w:tcBorders>
              <w:tl2br w:val="nil"/>
              <w:tr2bl w:val="nil"/>
            </w:tcBorders>
          </w:tcPr>
          <w:p w:rsidR="00525419" w:rsidRDefault="00525419">
            <w:pPr>
              <w:rPr>
                <w:rFonts w:ascii="Times New Roman" w:hAnsi="Times New Roman"/>
              </w:rPr>
            </w:pPr>
          </w:p>
        </w:tc>
        <w:tc>
          <w:tcPr>
            <w:tcW w:w="720" w:type="dxa"/>
            <w:vMerge/>
            <w:tcBorders>
              <w:tl2br w:val="nil"/>
              <w:tr2bl w:val="nil"/>
            </w:tcBorders>
          </w:tcPr>
          <w:p w:rsidR="00525419" w:rsidRDefault="00525419">
            <w:pPr>
              <w:rPr>
                <w:rFonts w:ascii="Times New Roman" w:hAnsi="Times New Roman"/>
              </w:rPr>
            </w:pPr>
          </w:p>
        </w:tc>
      </w:tr>
      <w:tr w:rsidR="00525419">
        <w:trPr>
          <w:trHeight w:val="101"/>
        </w:trPr>
        <w:tc>
          <w:tcPr>
            <w:tcW w:w="1242" w:type="dxa"/>
            <w:vMerge/>
            <w:tcBorders>
              <w:tl2br w:val="nil"/>
              <w:tr2bl w:val="nil"/>
            </w:tcBorders>
          </w:tcPr>
          <w:p w:rsidR="00525419" w:rsidRDefault="00525419">
            <w:pPr>
              <w:rPr>
                <w:rFonts w:ascii="Times New Roman" w:hAnsi="Times New Roman"/>
              </w:rPr>
            </w:pPr>
          </w:p>
        </w:tc>
        <w:tc>
          <w:tcPr>
            <w:tcW w:w="1157" w:type="dxa"/>
            <w:tcBorders>
              <w:tl2br w:val="nil"/>
              <w:tr2bl w:val="nil"/>
            </w:tcBorders>
          </w:tcPr>
          <w:p w:rsidR="00525419" w:rsidRDefault="00EE1CF7">
            <w:pPr>
              <w:rPr>
                <w:rFonts w:ascii="Times New Roman" w:hAnsi="Times New Roman"/>
              </w:rPr>
            </w:pPr>
            <w:r>
              <w:rPr>
                <w:rFonts w:ascii="Times New Roman" w:hAnsi="Times New Roman"/>
              </w:rPr>
              <w:t>氮氧化物</w:t>
            </w:r>
          </w:p>
        </w:tc>
        <w:tc>
          <w:tcPr>
            <w:tcW w:w="859" w:type="dxa"/>
            <w:tcBorders>
              <w:tl2br w:val="nil"/>
              <w:tr2bl w:val="nil"/>
            </w:tcBorders>
          </w:tcPr>
          <w:p w:rsidR="00525419" w:rsidRDefault="00EE1CF7">
            <w:pPr>
              <w:rPr>
                <w:rFonts w:ascii="Times New Roman" w:hAnsi="Times New Roman"/>
              </w:rPr>
            </w:pPr>
            <w:r>
              <w:rPr>
                <w:rFonts w:ascii="Times New Roman" w:hAnsi="Times New Roman"/>
              </w:rPr>
              <w:t>系数法</w:t>
            </w:r>
          </w:p>
        </w:tc>
        <w:tc>
          <w:tcPr>
            <w:tcW w:w="929" w:type="dxa"/>
            <w:vMerge/>
            <w:tcBorders>
              <w:tl2br w:val="nil"/>
              <w:tr2bl w:val="nil"/>
            </w:tcBorders>
          </w:tcPr>
          <w:p w:rsidR="00525419" w:rsidRDefault="00525419">
            <w:pPr>
              <w:rPr>
                <w:rFonts w:ascii="Times New Roman" w:hAnsi="Times New Roman"/>
              </w:rPr>
            </w:pPr>
          </w:p>
        </w:tc>
        <w:tc>
          <w:tcPr>
            <w:tcW w:w="1140" w:type="dxa"/>
            <w:tcBorders>
              <w:tl2br w:val="nil"/>
              <w:tr2bl w:val="nil"/>
            </w:tcBorders>
          </w:tcPr>
          <w:p w:rsidR="00525419" w:rsidRDefault="00EE1CF7">
            <w:pPr>
              <w:rPr>
                <w:rFonts w:ascii="Times New Roman" w:hAnsi="Times New Roman"/>
              </w:rPr>
            </w:pPr>
            <w:r>
              <w:rPr>
                <w:rFonts w:ascii="Times New Roman" w:hAnsi="Times New Roman"/>
              </w:rPr>
              <w:t>86.34</w:t>
            </w:r>
          </w:p>
        </w:tc>
        <w:tc>
          <w:tcPr>
            <w:tcW w:w="995" w:type="dxa"/>
            <w:tcBorders>
              <w:tl2br w:val="nil"/>
              <w:tr2bl w:val="nil"/>
            </w:tcBorders>
          </w:tcPr>
          <w:p w:rsidR="00525419" w:rsidRDefault="00EE1CF7">
            <w:pPr>
              <w:rPr>
                <w:rFonts w:ascii="Times New Roman" w:hAnsi="Times New Roman"/>
              </w:rPr>
            </w:pPr>
            <w:r>
              <w:rPr>
                <w:rFonts w:ascii="Times New Roman" w:hAnsi="Times New Roman"/>
              </w:rPr>
              <w:t>1.2978</w:t>
            </w:r>
          </w:p>
        </w:tc>
        <w:tc>
          <w:tcPr>
            <w:tcW w:w="1087" w:type="dxa"/>
            <w:tcBorders>
              <w:tl2br w:val="nil"/>
              <w:tr2bl w:val="nil"/>
            </w:tcBorders>
          </w:tcPr>
          <w:p w:rsidR="00525419" w:rsidRDefault="00EE1CF7">
            <w:pPr>
              <w:rPr>
                <w:rFonts w:ascii="Times New Roman" w:hAnsi="Times New Roman"/>
              </w:rPr>
            </w:pPr>
            <w:r>
              <w:rPr>
                <w:rFonts w:ascii="Times New Roman" w:hAnsi="Times New Roman"/>
              </w:rPr>
              <w:t>低氮燃烧</w:t>
            </w:r>
          </w:p>
        </w:tc>
        <w:tc>
          <w:tcPr>
            <w:tcW w:w="747" w:type="dxa"/>
            <w:tcBorders>
              <w:tl2br w:val="nil"/>
              <w:tr2bl w:val="nil"/>
            </w:tcBorders>
          </w:tcPr>
          <w:p w:rsidR="00525419" w:rsidRDefault="00EE1CF7">
            <w:pPr>
              <w:rPr>
                <w:rFonts w:ascii="Times New Roman" w:hAnsi="Times New Roman"/>
              </w:rPr>
            </w:pPr>
            <w:r>
              <w:rPr>
                <w:rFonts w:ascii="Times New Roman" w:hAnsi="Times New Roman"/>
              </w:rPr>
              <w:t>40</w:t>
            </w:r>
          </w:p>
        </w:tc>
        <w:tc>
          <w:tcPr>
            <w:tcW w:w="1016" w:type="dxa"/>
            <w:vMerge/>
            <w:tcBorders>
              <w:tl2br w:val="nil"/>
              <w:tr2bl w:val="nil"/>
            </w:tcBorders>
          </w:tcPr>
          <w:p w:rsidR="00525419" w:rsidRDefault="00525419">
            <w:pPr>
              <w:rPr>
                <w:rFonts w:ascii="Times New Roman" w:hAnsi="Times New Roman"/>
              </w:rPr>
            </w:pPr>
          </w:p>
        </w:tc>
        <w:tc>
          <w:tcPr>
            <w:tcW w:w="1125" w:type="dxa"/>
            <w:tcBorders>
              <w:tl2br w:val="nil"/>
              <w:tr2bl w:val="nil"/>
            </w:tcBorders>
          </w:tcPr>
          <w:p w:rsidR="00525419" w:rsidRDefault="00EE1CF7">
            <w:pPr>
              <w:rPr>
                <w:rFonts w:ascii="Times New Roman" w:hAnsi="Times New Roman"/>
              </w:rPr>
            </w:pPr>
            <w:r>
              <w:rPr>
                <w:rFonts w:ascii="Times New Roman" w:hAnsi="Times New Roman"/>
              </w:rPr>
              <w:t>86.34</w:t>
            </w:r>
          </w:p>
        </w:tc>
        <w:tc>
          <w:tcPr>
            <w:tcW w:w="996" w:type="dxa"/>
            <w:tcBorders>
              <w:tl2br w:val="nil"/>
              <w:tr2bl w:val="nil"/>
            </w:tcBorders>
          </w:tcPr>
          <w:p w:rsidR="00525419" w:rsidRDefault="00EE1CF7">
            <w:pPr>
              <w:rPr>
                <w:rFonts w:ascii="Times New Roman" w:hAnsi="Times New Roman"/>
              </w:rPr>
            </w:pPr>
            <w:r>
              <w:rPr>
                <w:rFonts w:ascii="Times New Roman" w:hAnsi="Times New Roman"/>
              </w:rPr>
              <w:t>1.2978</w:t>
            </w:r>
          </w:p>
        </w:tc>
        <w:tc>
          <w:tcPr>
            <w:tcW w:w="695" w:type="dxa"/>
            <w:vMerge/>
            <w:tcBorders>
              <w:tl2br w:val="nil"/>
              <w:tr2bl w:val="nil"/>
            </w:tcBorders>
          </w:tcPr>
          <w:p w:rsidR="00525419" w:rsidRDefault="00525419">
            <w:pPr>
              <w:rPr>
                <w:rFonts w:ascii="Times New Roman" w:hAnsi="Times New Roman"/>
              </w:rPr>
            </w:pPr>
          </w:p>
        </w:tc>
        <w:tc>
          <w:tcPr>
            <w:tcW w:w="662" w:type="dxa"/>
            <w:vMerge/>
            <w:tcBorders>
              <w:tl2br w:val="nil"/>
              <w:tr2bl w:val="nil"/>
            </w:tcBorders>
          </w:tcPr>
          <w:p w:rsidR="00525419" w:rsidRDefault="00525419">
            <w:pPr>
              <w:rPr>
                <w:rFonts w:ascii="Times New Roman" w:hAnsi="Times New Roman"/>
              </w:rPr>
            </w:pPr>
          </w:p>
        </w:tc>
        <w:tc>
          <w:tcPr>
            <w:tcW w:w="630" w:type="dxa"/>
            <w:vMerge/>
            <w:tcBorders>
              <w:tl2br w:val="nil"/>
              <w:tr2bl w:val="nil"/>
            </w:tcBorders>
          </w:tcPr>
          <w:p w:rsidR="00525419" w:rsidRDefault="00525419">
            <w:pPr>
              <w:rPr>
                <w:rFonts w:ascii="Times New Roman" w:hAnsi="Times New Roman"/>
              </w:rPr>
            </w:pPr>
          </w:p>
        </w:tc>
        <w:tc>
          <w:tcPr>
            <w:tcW w:w="720" w:type="dxa"/>
            <w:vMerge/>
            <w:tcBorders>
              <w:tl2br w:val="nil"/>
              <w:tr2bl w:val="nil"/>
            </w:tcBorders>
          </w:tcPr>
          <w:p w:rsidR="00525419" w:rsidRDefault="00525419">
            <w:pPr>
              <w:rPr>
                <w:rFonts w:ascii="Times New Roman" w:hAnsi="Times New Roman"/>
              </w:rPr>
            </w:pPr>
          </w:p>
        </w:tc>
      </w:tr>
      <w:tr w:rsidR="00525419">
        <w:trPr>
          <w:trHeight w:val="360"/>
        </w:trPr>
        <w:tc>
          <w:tcPr>
            <w:tcW w:w="1242" w:type="dxa"/>
            <w:vMerge w:val="restart"/>
            <w:tcBorders>
              <w:tl2br w:val="nil"/>
              <w:tr2bl w:val="nil"/>
            </w:tcBorders>
          </w:tcPr>
          <w:p w:rsidR="00525419" w:rsidRDefault="00EE1CF7">
            <w:pPr>
              <w:rPr>
                <w:rFonts w:ascii="Times New Roman" w:hAnsi="Times New Roman"/>
              </w:rPr>
            </w:pPr>
            <w:r>
              <w:rPr>
                <w:rFonts w:ascii="Times New Roman" w:hAnsi="Times New Roman" w:hint="eastAsia"/>
              </w:rPr>
              <w:t>加氢分馏加热炉</w:t>
            </w:r>
          </w:p>
        </w:tc>
        <w:tc>
          <w:tcPr>
            <w:tcW w:w="1157" w:type="dxa"/>
            <w:tcBorders>
              <w:tl2br w:val="nil"/>
              <w:tr2bl w:val="nil"/>
            </w:tcBorders>
          </w:tcPr>
          <w:p w:rsidR="00525419" w:rsidRDefault="00EE1CF7">
            <w:pPr>
              <w:rPr>
                <w:rFonts w:ascii="Times New Roman" w:hAnsi="Times New Roman"/>
              </w:rPr>
            </w:pPr>
            <w:r>
              <w:rPr>
                <w:rFonts w:ascii="Times New Roman" w:hAnsi="Times New Roman"/>
              </w:rPr>
              <w:t>颗粒物</w:t>
            </w:r>
          </w:p>
        </w:tc>
        <w:tc>
          <w:tcPr>
            <w:tcW w:w="859" w:type="dxa"/>
            <w:tcBorders>
              <w:tl2br w:val="nil"/>
              <w:tr2bl w:val="nil"/>
            </w:tcBorders>
          </w:tcPr>
          <w:p w:rsidR="00525419" w:rsidRDefault="00EE1CF7">
            <w:pPr>
              <w:rPr>
                <w:rFonts w:ascii="Times New Roman" w:hAnsi="Times New Roman"/>
              </w:rPr>
            </w:pPr>
            <w:r>
              <w:rPr>
                <w:rFonts w:ascii="Times New Roman" w:hAnsi="Times New Roman"/>
              </w:rPr>
              <w:t>系数法</w:t>
            </w:r>
          </w:p>
        </w:tc>
        <w:tc>
          <w:tcPr>
            <w:tcW w:w="929" w:type="dxa"/>
            <w:vMerge w:val="restart"/>
            <w:tcBorders>
              <w:tl2br w:val="nil"/>
              <w:tr2bl w:val="nil"/>
            </w:tcBorders>
          </w:tcPr>
          <w:p w:rsidR="00525419" w:rsidRDefault="00EE1CF7">
            <w:pPr>
              <w:rPr>
                <w:rFonts w:ascii="Times New Roman" w:hAnsi="Times New Roman"/>
              </w:rPr>
            </w:pPr>
            <w:r>
              <w:rPr>
                <w:rFonts w:ascii="Times New Roman" w:hAnsi="Times New Roman"/>
              </w:rPr>
              <w:t>12727</w:t>
            </w:r>
          </w:p>
        </w:tc>
        <w:tc>
          <w:tcPr>
            <w:tcW w:w="1140" w:type="dxa"/>
            <w:tcBorders>
              <w:tl2br w:val="nil"/>
              <w:tr2bl w:val="nil"/>
            </w:tcBorders>
          </w:tcPr>
          <w:p w:rsidR="00525419" w:rsidRDefault="00EE1CF7">
            <w:pPr>
              <w:rPr>
                <w:rFonts w:ascii="Times New Roman" w:hAnsi="Times New Roman"/>
              </w:rPr>
            </w:pPr>
            <w:r>
              <w:rPr>
                <w:rFonts w:ascii="Times New Roman" w:hAnsi="Times New Roman"/>
              </w:rPr>
              <w:t>2.30</w:t>
            </w:r>
          </w:p>
        </w:tc>
        <w:tc>
          <w:tcPr>
            <w:tcW w:w="995" w:type="dxa"/>
            <w:tcBorders>
              <w:tl2br w:val="nil"/>
              <w:tr2bl w:val="nil"/>
            </w:tcBorders>
          </w:tcPr>
          <w:p w:rsidR="00525419" w:rsidRDefault="00EE1CF7">
            <w:pPr>
              <w:rPr>
                <w:rFonts w:ascii="Times New Roman" w:hAnsi="Times New Roman"/>
              </w:rPr>
            </w:pPr>
            <w:r>
              <w:rPr>
                <w:rFonts w:ascii="Times New Roman" w:hAnsi="Times New Roman"/>
              </w:rPr>
              <w:t>0.02937</w:t>
            </w:r>
          </w:p>
        </w:tc>
        <w:tc>
          <w:tcPr>
            <w:tcW w:w="1087" w:type="dxa"/>
            <w:tcBorders>
              <w:tl2br w:val="nil"/>
              <w:tr2bl w:val="nil"/>
            </w:tcBorders>
          </w:tcPr>
          <w:p w:rsidR="00525419" w:rsidRDefault="00EE1CF7">
            <w:pPr>
              <w:rPr>
                <w:rFonts w:ascii="Times New Roman" w:hAnsi="Times New Roman"/>
              </w:rPr>
            </w:pPr>
            <w:r>
              <w:rPr>
                <w:rFonts w:ascii="Times New Roman" w:hAnsi="Times New Roman"/>
              </w:rPr>
              <w:t>/</w:t>
            </w:r>
          </w:p>
        </w:tc>
        <w:tc>
          <w:tcPr>
            <w:tcW w:w="747" w:type="dxa"/>
            <w:tcBorders>
              <w:tl2br w:val="nil"/>
              <w:tr2bl w:val="nil"/>
            </w:tcBorders>
          </w:tcPr>
          <w:p w:rsidR="00525419" w:rsidRDefault="00EE1CF7">
            <w:pPr>
              <w:rPr>
                <w:rFonts w:ascii="Times New Roman" w:hAnsi="Times New Roman"/>
              </w:rPr>
            </w:pPr>
            <w:r>
              <w:rPr>
                <w:rFonts w:ascii="Times New Roman" w:hAnsi="Times New Roman"/>
              </w:rPr>
              <w:t>/</w:t>
            </w:r>
          </w:p>
        </w:tc>
        <w:tc>
          <w:tcPr>
            <w:tcW w:w="1016" w:type="dxa"/>
            <w:vMerge w:val="restart"/>
            <w:tcBorders>
              <w:tl2br w:val="nil"/>
              <w:tr2bl w:val="nil"/>
            </w:tcBorders>
          </w:tcPr>
          <w:p w:rsidR="00525419" w:rsidRDefault="00EE1CF7">
            <w:pPr>
              <w:rPr>
                <w:rFonts w:ascii="Times New Roman" w:hAnsi="Times New Roman"/>
              </w:rPr>
            </w:pPr>
            <w:r>
              <w:rPr>
                <w:rFonts w:ascii="Times New Roman" w:hAnsi="Times New Roman"/>
              </w:rPr>
              <w:t>12727</w:t>
            </w:r>
          </w:p>
        </w:tc>
        <w:tc>
          <w:tcPr>
            <w:tcW w:w="1125" w:type="dxa"/>
            <w:tcBorders>
              <w:tl2br w:val="nil"/>
              <w:tr2bl w:val="nil"/>
            </w:tcBorders>
          </w:tcPr>
          <w:p w:rsidR="00525419" w:rsidRDefault="00EE1CF7">
            <w:pPr>
              <w:rPr>
                <w:rFonts w:ascii="Times New Roman" w:hAnsi="Times New Roman"/>
              </w:rPr>
            </w:pPr>
            <w:r>
              <w:rPr>
                <w:rFonts w:ascii="Times New Roman" w:hAnsi="Times New Roman"/>
              </w:rPr>
              <w:t>2.27</w:t>
            </w:r>
          </w:p>
        </w:tc>
        <w:tc>
          <w:tcPr>
            <w:tcW w:w="996" w:type="dxa"/>
            <w:tcBorders>
              <w:tl2br w:val="nil"/>
              <w:tr2bl w:val="nil"/>
            </w:tcBorders>
          </w:tcPr>
          <w:p w:rsidR="00525419" w:rsidRDefault="00EE1CF7">
            <w:pPr>
              <w:rPr>
                <w:rFonts w:ascii="Times New Roman" w:hAnsi="Times New Roman"/>
              </w:rPr>
            </w:pPr>
            <w:r>
              <w:rPr>
                <w:rFonts w:ascii="Times New Roman" w:hAnsi="Times New Roman"/>
              </w:rPr>
              <w:t>0.018</w:t>
            </w:r>
          </w:p>
        </w:tc>
        <w:tc>
          <w:tcPr>
            <w:tcW w:w="695" w:type="dxa"/>
            <w:vMerge w:val="restart"/>
            <w:tcBorders>
              <w:tl2br w:val="nil"/>
              <w:tr2bl w:val="nil"/>
            </w:tcBorders>
          </w:tcPr>
          <w:p w:rsidR="00525419" w:rsidRDefault="00EE1CF7">
            <w:pPr>
              <w:rPr>
                <w:rFonts w:ascii="Times New Roman" w:hAnsi="Times New Roman"/>
              </w:rPr>
            </w:pPr>
            <w:r>
              <w:rPr>
                <w:rFonts w:ascii="Times New Roman" w:hAnsi="Times New Roman"/>
              </w:rPr>
              <w:t>50</w:t>
            </w:r>
          </w:p>
        </w:tc>
        <w:tc>
          <w:tcPr>
            <w:tcW w:w="662" w:type="dxa"/>
            <w:vMerge w:val="restart"/>
            <w:tcBorders>
              <w:tl2br w:val="nil"/>
              <w:tr2bl w:val="nil"/>
            </w:tcBorders>
          </w:tcPr>
          <w:p w:rsidR="00525419" w:rsidRDefault="00EE1CF7">
            <w:pPr>
              <w:rPr>
                <w:rFonts w:ascii="Times New Roman" w:hAnsi="Times New Roman"/>
              </w:rPr>
            </w:pPr>
            <w:r>
              <w:rPr>
                <w:rFonts w:ascii="Times New Roman" w:hAnsi="Times New Roman" w:hint="eastAsia"/>
              </w:rPr>
              <w:t>1.9</w:t>
            </w:r>
          </w:p>
        </w:tc>
        <w:tc>
          <w:tcPr>
            <w:tcW w:w="630" w:type="dxa"/>
            <w:vMerge w:val="restart"/>
            <w:tcBorders>
              <w:tl2br w:val="nil"/>
              <w:tr2bl w:val="nil"/>
            </w:tcBorders>
          </w:tcPr>
          <w:p w:rsidR="00525419" w:rsidRDefault="00EE1CF7">
            <w:pPr>
              <w:rPr>
                <w:rFonts w:ascii="Times New Roman" w:hAnsi="Times New Roman"/>
              </w:rPr>
            </w:pPr>
            <w:r>
              <w:rPr>
                <w:rFonts w:ascii="Times New Roman" w:hAnsi="Times New Roman"/>
              </w:rPr>
              <w:t>150</w:t>
            </w:r>
          </w:p>
        </w:tc>
        <w:tc>
          <w:tcPr>
            <w:tcW w:w="720" w:type="dxa"/>
            <w:vMerge/>
            <w:tcBorders>
              <w:tl2br w:val="nil"/>
              <w:tr2bl w:val="nil"/>
            </w:tcBorders>
          </w:tcPr>
          <w:p w:rsidR="00525419" w:rsidRDefault="00525419">
            <w:pPr>
              <w:rPr>
                <w:rFonts w:ascii="Times New Roman" w:hAnsi="Times New Roman"/>
              </w:rPr>
            </w:pPr>
          </w:p>
        </w:tc>
      </w:tr>
      <w:tr w:rsidR="00525419">
        <w:trPr>
          <w:trHeight w:val="451"/>
        </w:trPr>
        <w:tc>
          <w:tcPr>
            <w:tcW w:w="1242" w:type="dxa"/>
            <w:vMerge/>
            <w:tcBorders>
              <w:tl2br w:val="nil"/>
              <w:tr2bl w:val="nil"/>
            </w:tcBorders>
          </w:tcPr>
          <w:p w:rsidR="00525419" w:rsidRDefault="00525419">
            <w:pPr>
              <w:rPr>
                <w:rFonts w:ascii="Times New Roman" w:hAnsi="Times New Roman"/>
              </w:rPr>
            </w:pPr>
          </w:p>
        </w:tc>
        <w:tc>
          <w:tcPr>
            <w:tcW w:w="1157" w:type="dxa"/>
            <w:tcBorders>
              <w:tl2br w:val="nil"/>
              <w:tr2bl w:val="nil"/>
            </w:tcBorders>
          </w:tcPr>
          <w:p w:rsidR="00525419" w:rsidRDefault="00EE1CF7">
            <w:pPr>
              <w:rPr>
                <w:rFonts w:ascii="Times New Roman" w:hAnsi="Times New Roman"/>
              </w:rPr>
            </w:pPr>
            <w:r>
              <w:rPr>
                <w:rFonts w:ascii="Times New Roman" w:hAnsi="Times New Roman"/>
              </w:rPr>
              <w:t>二氧化硫</w:t>
            </w:r>
          </w:p>
        </w:tc>
        <w:tc>
          <w:tcPr>
            <w:tcW w:w="859" w:type="dxa"/>
            <w:tcBorders>
              <w:tl2br w:val="nil"/>
              <w:tr2bl w:val="nil"/>
            </w:tcBorders>
          </w:tcPr>
          <w:p w:rsidR="00525419" w:rsidRDefault="00EE1CF7">
            <w:pPr>
              <w:rPr>
                <w:rFonts w:ascii="Times New Roman" w:hAnsi="Times New Roman"/>
              </w:rPr>
            </w:pPr>
            <w:r>
              <w:rPr>
                <w:rFonts w:ascii="Times New Roman" w:hAnsi="Times New Roman"/>
              </w:rPr>
              <w:t>系数法</w:t>
            </w:r>
          </w:p>
        </w:tc>
        <w:tc>
          <w:tcPr>
            <w:tcW w:w="929" w:type="dxa"/>
            <w:vMerge/>
            <w:tcBorders>
              <w:tl2br w:val="nil"/>
              <w:tr2bl w:val="nil"/>
            </w:tcBorders>
          </w:tcPr>
          <w:p w:rsidR="00525419" w:rsidRDefault="00525419">
            <w:pPr>
              <w:rPr>
                <w:rFonts w:ascii="Times New Roman" w:hAnsi="Times New Roman"/>
              </w:rPr>
            </w:pPr>
          </w:p>
        </w:tc>
        <w:tc>
          <w:tcPr>
            <w:tcW w:w="1140" w:type="dxa"/>
            <w:tcBorders>
              <w:tl2br w:val="nil"/>
              <w:tr2bl w:val="nil"/>
            </w:tcBorders>
          </w:tcPr>
          <w:p w:rsidR="00525419" w:rsidRDefault="00EE1CF7">
            <w:pPr>
              <w:rPr>
                <w:rFonts w:ascii="Times New Roman" w:hAnsi="Times New Roman"/>
              </w:rPr>
            </w:pPr>
            <w:r>
              <w:rPr>
                <w:rFonts w:ascii="Times New Roman" w:hAnsi="Times New Roman"/>
              </w:rPr>
              <w:t>2.88</w:t>
            </w:r>
          </w:p>
        </w:tc>
        <w:tc>
          <w:tcPr>
            <w:tcW w:w="995" w:type="dxa"/>
            <w:tcBorders>
              <w:tl2br w:val="nil"/>
              <w:tr2bl w:val="nil"/>
            </w:tcBorders>
          </w:tcPr>
          <w:p w:rsidR="00525419" w:rsidRDefault="00EE1CF7">
            <w:pPr>
              <w:rPr>
                <w:rFonts w:ascii="Times New Roman" w:hAnsi="Times New Roman"/>
              </w:rPr>
            </w:pPr>
            <w:r>
              <w:rPr>
                <w:rFonts w:ascii="Times New Roman" w:hAnsi="Times New Roman"/>
              </w:rPr>
              <w:t>0.0369</w:t>
            </w:r>
          </w:p>
        </w:tc>
        <w:tc>
          <w:tcPr>
            <w:tcW w:w="1087" w:type="dxa"/>
            <w:tcBorders>
              <w:tl2br w:val="nil"/>
              <w:tr2bl w:val="nil"/>
            </w:tcBorders>
          </w:tcPr>
          <w:p w:rsidR="00525419" w:rsidRDefault="00EE1CF7">
            <w:pPr>
              <w:rPr>
                <w:rFonts w:ascii="Times New Roman" w:hAnsi="Times New Roman"/>
              </w:rPr>
            </w:pPr>
            <w:r>
              <w:rPr>
                <w:rFonts w:ascii="Times New Roman" w:hAnsi="Times New Roman"/>
              </w:rPr>
              <w:t>/</w:t>
            </w:r>
          </w:p>
        </w:tc>
        <w:tc>
          <w:tcPr>
            <w:tcW w:w="747" w:type="dxa"/>
            <w:tcBorders>
              <w:tl2br w:val="nil"/>
              <w:tr2bl w:val="nil"/>
            </w:tcBorders>
          </w:tcPr>
          <w:p w:rsidR="00525419" w:rsidRDefault="00EE1CF7">
            <w:pPr>
              <w:rPr>
                <w:rFonts w:ascii="Times New Roman" w:hAnsi="Times New Roman"/>
              </w:rPr>
            </w:pPr>
            <w:r>
              <w:rPr>
                <w:rFonts w:ascii="Times New Roman" w:hAnsi="Times New Roman"/>
              </w:rPr>
              <w:t>/</w:t>
            </w:r>
          </w:p>
        </w:tc>
        <w:tc>
          <w:tcPr>
            <w:tcW w:w="1016" w:type="dxa"/>
            <w:vMerge/>
            <w:tcBorders>
              <w:tl2br w:val="nil"/>
              <w:tr2bl w:val="nil"/>
            </w:tcBorders>
          </w:tcPr>
          <w:p w:rsidR="00525419" w:rsidRDefault="00525419">
            <w:pPr>
              <w:rPr>
                <w:rFonts w:ascii="Times New Roman" w:hAnsi="Times New Roman"/>
              </w:rPr>
            </w:pPr>
          </w:p>
        </w:tc>
        <w:tc>
          <w:tcPr>
            <w:tcW w:w="1125" w:type="dxa"/>
            <w:tcBorders>
              <w:tl2br w:val="nil"/>
              <w:tr2bl w:val="nil"/>
            </w:tcBorders>
          </w:tcPr>
          <w:p w:rsidR="00525419" w:rsidRDefault="00EE1CF7">
            <w:pPr>
              <w:rPr>
                <w:rFonts w:ascii="Times New Roman" w:hAnsi="Times New Roman"/>
              </w:rPr>
            </w:pPr>
            <w:r>
              <w:rPr>
                <w:rFonts w:ascii="Times New Roman" w:hAnsi="Times New Roman"/>
              </w:rPr>
              <w:t>2.88</w:t>
            </w:r>
          </w:p>
        </w:tc>
        <w:tc>
          <w:tcPr>
            <w:tcW w:w="996" w:type="dxa"/>
            <w:tcBorders>
              <w:tl2br w:val="nil"/>
              <w:tr2bl w:val="nil"/>
            </w:tcBorders>
          </w:tcPr>
          <w:p w:rsidR="00525419" w:rsidRDefault="00EE1CF7">
            <w:pPr>
              <w:rPr>
                <w:rFonts w:ascii="Times New Roman" w:hAnsi="Times New Roman"/>
              </w:rPr>
            </w:pPr>
            <w:r>
              <w:rPr>
                <w:rFonts w:ascii="Times New Roman" w:hAnsi="Times New Roman"/>
              </w:rPr>
              <w:t>0.0369</w:t>
            </w:r>
          </w:p>
        </w:tc>
        <w:tc>
          <w:tcPr>
            <w:tcW w:w="695" w:type="dxa"/>
            <w:vMerge/>
            <w:tcBorders>
              <w:tl2br w:val="nil"/>
              <w:tr2bl w:val="nil"/>
            </w:tcBorders>
          </w:tcPr>
          <w:p w:rsidR="00525419" w:rsidRDefault="00525419">
            <w:pPr>
              <w:rPr>
                <w:rFonts w:ascii="Times New Roman" w:hAnsi="Times New Roman"/>
              </w:rPr>
            </w:pPr>
          </w:p>
        </w:tc>
        <w:tc>
          <w:tcPr>
            <w:tcW w:w="662" w:type="dxa"/>
            <w:vMerge/>
            <w:tcBorders>
              <w:tl2br w:val="nil"/>
              <w:tr2bl w:val="nil"/>
            </w:tcBorders>
          </w:tcPr>
          <w:p w:rsidR="00525419" w:rsidRDefault="00525419">
            <w:pPr>
              <w:rPr>
                <w:rFonts w:ascii="Times New Roman" w:hAnsi="Times New Roman"/>
              </w:rPr>
            </w:pPr>
          </w:p>
        </w:tc>
        <w:tc>
          <w:tcPr>
            <w:tcW w:w="630" w:type="dxa"/>
            <w:vMerge/>
            <w:tcBorders>
              <w:tl2br w:val="nil"/>
              <w:tr2bl w:val="nil"/>
            </w:tcBorders>
          </w:tcPr>
          <w:p w:rsidR="00525419" w:rsidRDefault="00525419">
            <w:pPr>
              <w:rPr>
                <w:rFonts w:ascii="Times New Roman" w:hAnsi="Times New Roman"/>
              </w:rPr>
            </w:pPr>
          </w:p>
        </w:tc>
        <w:tc>
          <w:tcPr>
            <w:tcW w:w="720" w:type="dxa"/>
            <w:vMerge/>
            <w:tcBorders>
              <w:tl2br w:val="nil"/>
              <w:tr2bl w:val="nil"/>
            </w:tcBorders>
          </w:tcPr>
          <w:p w:rsidR="00525419" w:rsidRDefault="00525419">
            <w:pPr>
              <w:rPr>
                <w:rFonts w:ascii="Times New Roman" w:hAnsi="Times New Roman"/>
              </w:rPr>
            </w:pPr>
          </w:p>
        </w:tc>
      </w:tr>
      <w:tr w:rsidR="00525419">
        <w:trPr>
          <w:trHeight w:val="216"/>
        </w:trPr>
        <w:tc>
          <w:tcPr>
            <w:tcW w:w="1242" w:type="dxa"/>
            <w:vMerge/>
            <w:tcBorders>
              <w:tl2br w:val="nil"/>
              <w:tr2bl w:val="nil"/>
            </w:tcBorders>
          </w:tcPr>
          <w:p w:rsidR="00525419" w:rsidRDefault="00525419">
            <w:pPr>
              <w:rPr>
                <w:rFonts w:ascii="Times New Roman" w:hAnsi="Times New Roman"/>
              </w:rPr>
            </w:pPr>
          </w:p>
        </w:tc>
        <w:tc>
          <w:tcPr>
            <w:tcW w:w="1157" w:type="dxa"/>
            <w:tcBorders>
              <w:tl2br w:val="nil"/>
              <w:tr2bl w:val="nil"/>
            </w:tcBorders>
          </w:tcPr>
          <w:p w:rsidR="00525419" w:rsidRDefault="00EE1CF7">
            <w:pPr>
              <w:rPr>
                <w:rFonts w:ascii="Times New Roman" w:hAnsi="Times New Roman"/>
              </w:rPr>
            </w:pPr>
            <w:r>
              <w:rPr>
                <w:rFonts w:ascii="Times New Roman" w:hAnsi="Times New Roman"/>
              </w:rPr>
              <w:t>氮氧化物</w:t>
            </w:r>
          </w:p>
        </w:tc>
        <w:tc>
          <w:tcPr>
            <w:tcW w:w="859" w:type="dxa"/>
            <w:tcBorders>
              <w:tl2br w:val="nil"/>
              <w:tr2bl w:val="nil"/>
            </w:tcBorders>
          </w:tcPr>
          <w:p w:rsidR="00525419" w:rsidRDefault="00EE1CF7">
            <w:pPr>
              <w:rPr>
                <w:rFonts w:ascii="Times New Roman" w:hAnsi="Times New Roman"/>
              </w:rPr>
            </w:pPr>
            <w:r>
              <w:rPr>
                <w:rFonts w:ascii="Times New Roman" w:hAnsi="Times New Roman"/>
              </w:rPr>
              <w:t>系数法</w:t>
            </w:r>
          </w:p>
        </w:tc>
        <w:tc>
          <w:tcPr>
            <w:tcW w:w="929" w:type="dxa"/>
            <w:vMerge/>
            <w:tcBorders>
              <w:tl2br w:val="nil"/>
              <w:tr2bl w:val="nil"/>
            </w:tcBorders>
          </w:tcPr>
          <w:p w:rsidR="00525419" w:rsidRDefault="00525419">
            <w:pPr>
              <w:rPr>
                <w:rFonts w:ascii="Times New Roman" w:hAnsi="Times New Roman"/>
              </w:rPr>
            </w:pPr>
          </w:p>
        </w:tc>
        <w:tc>
          <w:tcPr>
            <w:tcW w:w="1140" w:type="dxa"/>
            <w:tcBorders>
              <w:tl2br w:val="nil"/>
              <w:tr2bl w:val="nil"/>
            </w:tcBorders>
          </w:tcPr>
          <w:p w:rsidR="00525419" w:rsidRDefault="00EE1CF7">
            <w:pPr>
              <w:rPr>
                <w:rFonts w:ascii="Times New Roman" w:hAnsi="Times New Roman"/>
              </w:rPr>
            </w:pPr>
            <w:r>
              <w:rPr>
                <w:rFonts w:ascii="Times New Roman" w:hAnsi="Times New Roman"/>
              </w:rPr>
              <w:t>86.34</w:t>
            </w:r>
          </w:p>
        </w:tc>
        <w:tc>
          <w:tcPr>
            <w:tcW w:w="995" w:type="dxa"/>
            <w:tcBorders>
              <w:tl2br w:val="nil"/>
              <w:tr2bl w:val="nil"/>
            </w:tcBorders>
          </w:tcPr>
          <w:p w:rsidR="00525419" w:rsidRDefault="00EE1CF7">
            <w:pPr>
              <w:rPr>
                <w:rFonts w:ascii="Times New Roman" w:hAnsi="Times New Roman"/>
              </w:rPr>
            </w:pPr>
            <w:r>
              <w:rPr>
                <w:rFonts w:ascii="Times New Roman" w:hAnsi="Times New Roman"/>
              </w:rPr>
              <w:t>1.098</w:t>
            </w:r>
          </w:p>
        </w:tc>
        <w:tc>
          <w:tcPr>
            <w:tcW w:w="1087" w:type="dxa"/>
            <w:tcBorders>
              <w:tl2br w:val="nil"/>
              <w:tr2bl w:val="nil"/>
            </w:tcBorders>
          </w:tcPr>
          <w:p w:rsidR="00525419" w:rsidRDefault="00EE1CF7">
            <w:pPr>
              <w:rPr>
                <w:rFonts w:ascii="Times New Roman" w:hAnsi="Times New Roman"/>
              </w:rPr>
            </w:pPr>
            <w:r>
              <w:rPr>
                <w:rFonts w:ascii="Times New Roman" w:hAnsi="Times New Roman"/>
              </w:rPr>
              <w:t>低氮燃烧</w:t>
            </w:r>
          </w:p>
        </w:tc>
        <w:tc>
          <w:tcPr>
            <w:tcW w:w="747" w:type="dxa"/>
            <w:tcBorders>
              <w:tl2br w:val="nil"/>
              <w:tr2bl w:val="nil"/>
            </w:tcBorders>
          </w:tcPr>
          <w:p w:rsidR="00525419" w:rsidRDefault="00EE1CF7">
            <w:pPr>
              <w:rPr>
                <w:rFonts w:ascii="Times New Roman" w:hAnsi="Times New Roman"/>
              </w:rPr>
            </w:pPr>
            <w:r>
              <w:rPr>
                <w:rFonts w:ascii="Times New Roman" w:hAnsi="Times New Roman"/>
              </w:rPr>
              <w:t>40</w:t>
            </w:r>
          </w:p>
        </w:tc>
        <w:tc>
          <w:tcPr>
            <w:tcW w:w="1016" w:type="dxa"/>
            <w:vMerge/>
            <w:tcBorders>
              <w:tl2br w:val="nil"/>
              <w:tr2bl w:val="nil"/>
            </w:tcBorders>
          </w:tcPr>
          <w:p w:rsidR="00525419" w:rsidRDefault="00525419">
            <w:pPr>
              <w:rPr>
                <w:rFonts w:ascii="Times New Roman" w:hAnsi="Times New Roman"/>
              </w:rPr>
            </w:pPr>
          </w:p>
        </w:tc>
        <w:tc>
          <w:tcPr>
            <w:tcW w:w="1125" w:type="dxa"/>
            <w:tcBorders>
              <w:tl2br w:val="nil"/>
              <w:tr2bl w:val="nil"/>
            </w:tcBorders>
          </w:tcPr>
          <w:p w:rsidR="00525419" w:rsidRDefault="00EE1CF7">
            <w:pPr>
              <w:rPr>
                <w:rFonts w:ascii="Times New Roman" w:hAnsi="Times New Roman"/>
              </w:rPr>
            </w:pPr>
            <w:r>
              <w:rPr>
                <w:rFonts w:ascii="Times New Roman" w:hAnsi="Times New Roman"/>
              </w:rPr>
              <w:t>86.34</w:t>
            </w:r>
          </w:p>
        </w:tc>
        <w:tc>
          <w:tcPr>
            <w:tcW w:w="996" w:type="dxa"/>
            <w:tcBorders>
              <w:tl2br w:val="nil"/>
              <w:tr2bl w:val="nil"/>
            </w:tcBorders>
          </w:tcPr>
          <w:p w:rsidR="00525419" w:rsidRDefault="00EE1CF7">
            <w:pPr>
              <w:rPr>
                <w:rFonts w:ascii="Times New Roman" w:hAnsi="Times New Roman"/>
              </w:rPr>
            </w:pPr>
            <w:r>
              <w:rPr>
                <w:rFonts w:ascii="Times New Roman" w:hAnsi="Times New Roman"/>
              </w:rPr>
              <w:t>1.098</w:t>
            </w:r>
          </w:p>
        </w:tc>
        <w:tc>
          <w:tcPr>
            <w:tcW w:w="695" w:type="dxa"/>
            <w:vMerge/>
            <w:tcBorders>
              <w:tl2br w:val="nil"/>
              <w:tr2bl w:val="nil"/>
            </w:tcBorders>
          </w:tcPr>
          <w:p w:rsidR="00525419" w:rsidRDefault="00525419">
            <w:pPr>
              <w:rPr>
                <w:rFonts w:ascii="Times New Roman" w:hAnsi="Times New Roman"/>
              </w:rPr>
            </w:pPr>
          </w:p>
        </w:tc>
        <w:tc>
          <w:tcPr>
            <w:tcW w:w="662" w:type="dxa"/>
            <w:vMerge/>
            <w:tcBorders>
              <w:tl2br w:val="nil"/>
              <w:tr2bl w:val="nil"/>
            </w:tcBorders>
          </w:tcPr>
          <w:p w:rsidR="00525419" w:rsidRDefault="00525419">
            <w:pPr>
              <w:rPr>
                <w:rFonts w:ascii="Times New Roman" w:hAnsi="Times New Roman"/>
              </w:rPr>
            </w:pPr>
          </w:p>
        </w:tc>
        <w:tc>
          <w:tcPr>
            <w:tcW w:w="630" w:type="dxa"/>
            <w:vMerge/>
            <w:tcBorders>
              <w:tl2br w:val="nil"/>
              <w:tr2bl w:val="nil"/>
            </w:tcBorders>
          </w:tcPr>
          <w:p w:rsidR="00525419" w:rsidRDefault="00525419">
            <w:pPr>
              <w:rPr>
                <w:rFonts w:ascii="Times New Roman" w:hAnsi="Times New Roman"/>
              </w:rPr>
            </w:pPr>
          </w:p>
        </w:tc>
        <w:tc>
          <w:tcPr>
            <w:tcW w:w="720" w:type="dxa"/>
            <w:vMerge/>
            <w:tcBorders>
              <w:tl2br w:val="nil"/>
              <w:tr2bl w:val="nil"/>
            </w:tcBorders>
          </w:tcPr>
          <w:p w:rsidR="00525419" w:rsidRDefault="00525419">
            <w:pPr>
              <w:rPr>
                <w:rFonts w:ascii="Times New Roman" w:hAnsi="Times New Roman"/>
              </w:rPr>
            </w:pPr>
          </w:p>
        </w:tc>
      </w:tr>
    </w:tbl>
    <w:p w:rsidR="00525419" w:rsidRDefault="00525419">
      <w:pPr>
        <w:rPr>
          <w:rFonts w:ascii="Times New Roman" w:hAnsi="Times New Roman"/>
        </w:rPr>
      </w:pPr>
    </w:p>
    <w:p w:rsidR="00525419" w:rsidRDefault="00525419">
      <w:pPr>
        <w:jc w:val="center"/>
        <w:rPr>
          <w:rFonts w:ascii="Times New Roman" w:eastAsia="黑体" w:hAnsi="Times New Roman"/>
          <w:szCs w:val="21"/>
        </w:rPr>
      </w:pPr>
    </w:p>
    <w:p w:rsidR="00525419" w:rsidRDefault="00525419">
      <w:pPr>
        <w:jc w:val="center"/>
        <w:rPr>
          <w:rFonts w:ascii="Times New Roman" w:eastAsia="黑体" w:hAnsi="Times New Roman"/>
          <w:szCs w:val="21"/>
        </w:rPr>
      </w:pPr>
    </w:p>
    <w:p w:rsidR="00525419" w:rsidRDefault="00EE1CF7">
      <w:pPr>
        <w:jc w:val="center"/>
        <w:rPr>
          <w:rFonts w:ascii="Times New Roman" w:eastAsia="黑体" w:hAnsi="Times New Roman"/>
          <w:szCs w:val="21"/>
        </w:rPr>
      </w:pPr>
      <w:r>
        <w:rPr>
          <w:rFonts w:ascii="Times New Roman" w:eastAsia="黑体" w:hAnsi="Times New Roman"/>
          <w:szCs w:val="21"/>
        </w:rPr>
        <w:lastRenderedPageBreak/>
        <w:t>表</w:t>
      </w:r>
      <w:r>
        <w:rPr>
          <w:rFonts w:ascii="Times New Roman" w:eastAsia="黑体" w:hAnsi="Times New Roman"/>
          <w:szCs w:val="21"/>
        </w:rPr>
        <w:t>3.7-3</w:t>
      </w:r>
      <w:r>
        <w:rPr>
          <w:rFonts w:ascii="Times New Roman" w:eastAsia="黑体" w:hAnsi="Times New Roman"/>
          <w:szCs w:val="21"/>
        </w:rPr>
        <w:t xml:space="preserve">　　硫磺回收废气污染源源强核算结果及相关参数一览表</w:t>
      </w:r>
    </w:p>
    <w:tbl>
      <w:tblPr>
        <w:tblW w:w="140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850"/>
        <w:gridCol w:w="993"/>
        <w:gridCol w:w="1134"/>
        <w:gridCol w:w="992"/>
        <w:gridCol w:w="1134"/>
        <w:gridCol w:w="709"/>
        <w:gridCol w:w="992"/>
        <w:gridCol w:w="992"/>
        <w:gridCol w:w="992"/>
        <w:gridCol w:w="709"/>
        <w:gridCol w:w="709"/>
        <w:gridCol w:w="869"/>
        <w:gridCol w:w="879"/>
      </w:tblGrid>
      <w:tr w:rsidR="00525419">
        <w:trPr>
          <w:trHeight w:val="186"/>
        </w:trPr>
        <w:tc>
          <w:tcPr>
            <w:tcW w:w="959" w:type="dxa"/>
            <w:vMerge w:val="restart"/>
            <w:tcBorders>
              <w:tl2br w:val="nil"/>
              <w:tr2bl w:val="nil"/>
            </w:tcBorders>
          </w:tcPr>
          <w:p w:rsidR="00525419" w:rsidRDefault="00EE1CF7">
            <w:pPr>
              <w:rPr>
                <w:rFonts w:ascii="Times New Roman" w:hAnsi="Times New Roman"/>
              </w:rPr>
            </w:pPr>
            <w:r>
              <w:rPr>
                <w:rFonts w:ascii="Times New Roman" w:hAnsi="Times New Roman"/>
              </w:rPr>
              <w:t>排放源</w:t>
            </w:r>
          </w:p>
        </w:tc>
        <w:tc>
          <w:tcPr>
            <w:tcW w:w="1134" w:type="dxa"/>
            <w:vMerge w:val="restart"/>
            <w:tcBorders>
              <w:tl2br w:val="nil"/>
              <w:tr2bl w:val="nil"/>
            </w:tcBorders>
          </w:tcPr>
          <w:p w:rsidR="00525419" w:rsidRDefault="00EE1CF7">
            <w:pPr>
              <w:rPr>
                <w:rFonts w:ascii="Times New Roman" w:hAnsi="Times New Roman"/>
              </w:rPr>
            </w:pPr>
            <w:r>
              <w:rPr>
                <w:rFonts w:ascii="Times New Roman" w:hAnsi="Times New Roman"/>
              </w:rPr>
              <w:t>污染物</w:t>
            </w:r>
          </w:p>
        </w:tc>
        <w:tc>
          <w:tcPr>
            <w:tcW w:w="3969" w:type="dxa"/>
            <w:gridSpan w:val="4"/>
            <w:tcBorders>
              <w:tl2br w:val="nil"/>
              <w:tr2bl w:val="nil"/>
            </w:tcBorders>
          </w:tcPr>
          <w:p w:rsidR="00525419" w:rsidRDefault="00EE1CF7">
            <w:pPr>
              <w:rPr>
                <w:rFonts w:ascii="Times New Roman" w:hAnsi="Times New Roman"/>
              </w:rPr>
            </w:pPr>
            <w:r>
              <w:rPr>
                <w:rFonts w:ascii="Times New Roman" w:hAnsi="Times New Roman"/>
              </w:rPr>
              <w:t>污染物产生</w:t>
            </w:r>
          </w:p>
        </w:tc>
        <w:tc>
          <w:tcPr>
            <w:tcW w:w="1843" w:type="dxa"/>
            <w:gridSpan w:val="2"/>
            <w:tcBorders>
              <w:tl2br w:val="nil"/>
              <w:tr2bl w:val="nil"/>
            </w:tcBorders>
          </w:tcPr>
          <w:p w:rsidR="00525419" w:rsidRDefault="00EE1CF7">
            <w:pPr>
              <w:rPr>
                <w:rFonts w:ascii="Times New Roman" w:hAnsi="Times New Roman"/>
              </w:rPr>
            </w:pPr>
            <w:r>
              <w:rPr>
                <w:rFonts w:ascii="Times New Roman" w:hAnsi="Times New Roman"/>
              </w:rPr>
              <w:t>治理措施</w:t>
            </w:r>
          </w:p>
        </w:tc>
        <w:tc>
          <w:tcPr>
            <w:tcW w:w="2976" w:type="dxa"/>
            <w:gridSpan w:val="3"/>
            <w:tcBorders>
              <w:tl2br w:val="nil"/>
              <w:tr2bl w:val="nil"/>
            </w:tcBorders>
          </w:tcPr>
          <w:p w:rsidR="00525419" w:rsidRDefault="00EE1CF7">
            <w:pPr>
              <w:rPr>
                <w:rFonts w:ascii="Times New Roman" w:hAnsi="Times New Roman"/>
              </w:rPr>
            </w:pPr>
            <w:r>
              <w:rPr>
                <w:rFonts w:ascii="Times New Roman" w:hAnsi="Times New Roman"/>
              </w:rPr>
              <w:t>污染物排放</w:t>
            </w:r>
          </w:p>
        </w:tc>
        <w:tc>
          <w:tcPr>
            <w:tcW w:w="2287" w:type="dxa"/>
            <w:gridSpan w:val="3"/>
            <w:tcBorders>
              <w:tl2br w:val="nil"/>
              <w:tr2bl w:val="nil"/>
            </w:tcBorders>
          </w:tcPr>
          <w:p w:rsidR="00525419" w:rsidRDefault="00EE1CF7">
            <w:pPr>
              <w:rPr>
                <w:rFonts w:ascii="Times New Roman" w:hAnsi="Times New Roman"/>
              </w:rPr>
            </w:pPr>
            <w:r>
              <w:rPr>
                <w:rFonts w:ascii="Times New Roman" w:hAnsi="Times New Roman"/>
              </w:rPr>
              <w:t>排放参数</w:t>
            </w:r>
          </w:p>
        </w:tc>
        <w:tc>
          <w:tcPr>
            <w:tcW w:w="879" w:type="dxa"/>
            <w:vMerge w:val="restart"/>
            <w:tcBorders>
              <w:tl2br w:val="nil"/>
              <w:tr2bl w:val="nil"/>
            </w:tcBorders>
          </w:tcPr>
          <w:p w:rsidR="00525419" w:rsidRDefault="00EE1CF7">
            <w:pPr>
              <w:rPr>
                <w:rFonts w:ascii="Times New Roman" w:hAnsi="Times New Roman"/>
              </w:rPr>
            </w:pPr>
            <w:r>
              <w:rPr>
                <w:rFonts w:ascii="Times New Roman" w:hAnsi="Times New Roman"/>
              </w:rPr>
              <w:t>排放时间（</w:t>
            </w:r>
            <w:r>
              <w:rPr>
                <w:rFonts w:ascii="Times New Roman" w:hAnsi="Times New Roman"/>
              </w:rPr>
              <w:t>h)</w:t>
            </w:r>
            <w:r>
              <w:rPr>
                <w:rFonts w:ascii="Times New Roman" w:hAnsi="Times New Roman"/>
              </w:rPr>
              <w:t>及去向</w:t>
            </w:r>
          </w:p>
        </w:tc>
      </w:tr>
      <w:tr w:rsidR="00525419">
        <w:trPr>
          <w:trHeight w:val="207"/>
        </w:trPr>
        <w:tc>
          <w:tcPr>
            <w:tcW w:w="959" w:type="dxa"/>
            <w:vMerge/>
            <w:tcBorders>
              <w:tl2br w:val="nil"/>
              <w:tr2bl w:val="nil"/>
            </w:tcBorders>
          </w:tcPr>
          <w:p w:rsidR="00525419" w:rsidRDefault="00525419">
            <w:pPr>
              <w:rPr>
                <w:rFonts w:ascii="Times New Roman" w:hAnsi="Times New Roman"/>
              </w:rPr>
            </w:pPr>
          </w:p>
        </w:tc>
        <w:tc>
          <w:tcPr>
            <w:tcW w:w="1134" w:type="dxa"/>
            <w:vMerge/>
            <w:tcBorders>
              <w:tl2br w:val="nil"/>
              <w:tr2bl w:val="nil"/>
            </w:tcBorders>
          </w:tcPr>
          <w:p w:rsidR="00525419" w:rsidRDefault="00525419">
            <w:pPr>
              <w:rPr>
                <w:rFonts w:ascii="Times New Roman" w:hAnsi="Times New Roman"/>
              </w:rPr>
            </w:pPr>
          </w:p>
        </w:tc>
        <w:tc>
          <w:tcPr>
            <w:tcW w:w="850" w:type="dxa"/>
            <w:tcBorders>
              <w:tl2br w:val="nil"/>
              <w:tr2bl w:val="nil"/>
            </w:tcBorders>
          </w:tcPr>
          <w:p w:rsidR="00525419" w:rsidRDefault="00EE1CF7">
            <w:pPr>
              <w:rPr>
                <w:rFonts w:ascii="Times New Roman" w:hAnsi="Times New Roman"/>
              </w:rPr>
            </w:pPr>
            <w:r>
              <w:rPr>
                <w:rFonts w:ascii="Times New Roman" w:hAnsi="Times New Roman"/>
              </w:rPr>
              <w:t>核算方法</w:t>
            </w:r>
          </w:p>
        </w:tc>
        <w:tc>
          <w:tcPr>
            <w:tcW w:w="993" w:type="dxa"/>
            <w:tcBorders>
              <w:tl2br w:val="nil"/>
              <w:tr2bl w:val="nil"/>
            </w:tcBorders>
          </w:tcPr>
          <w:p w:rsidR="00525419" w:rsidRDefault="00EE1CF7">
            <w:pPr>
              <w:rPr>
                <w:rFonts w:ascii="Times New Roman" w:hAnsi="Times New Roman"/>
              </w:rPr>
            </w:pPr>
            <w:r>
              <w:rPr>
                <w:rFonts w:ascii="Times New Roman" w:hAnsi="Times New Roman"/>
              </w:rPr>
              <w:t>废气量</w:t>
            </w:r>
            <w:r>
              <w:rPr>
                <w:rFonts w:ascii="Times New Roman" w:hAnsi="Times New Roman"/>
              </w:rPr>
              <w:t>Nm</w:t>
            </w:r>
            <w:r>
              <w:rPr>
                <w:rFonts w:ascii="Times New Roman" w:hAnsi="Times New Roman"/>
                <w:vertAlign w:val="superscript"/>
              </w:rPr>
              <w:t>3</w:t>
            </w:r>
            <w:r>
              <w:rPr>
                <w:rFonts w:ascii="Times New Roman" w:hAnsi="Times New Roman"/>
              </w:rPr>
              <w:t>/h</w:t>
            </w:r>
          </w:p>
        </w:tc>
        <w:tc>
          <w:tcPr>
            <w:tcW w:w="1134" w:type="dxa"/>
            <w:tcBorders>
              <w:tl2br w:val="nil"/>
              <w:tr2bl w:val="nil"/>
            </w:tcBorders>
          </w:tcPr>
          <w:p w:rsidR="00525419" w:rsidRDefault="00EE1CF7">
            <w:pPr>
              <w:rPr>
                <w:rFonts w:ascii="Times New Roman" w:hAnsi="Times New Roman"/>
              </w:rPr>
            </w:pPr>
            <w:r>
              <w:rPr>
                <w:rFonts w:ascii="Times New Roman" w:hAnsi="Times New Roman"/>
              </w:rPr>
              <w:t>浓度</w:t>
            </w:r>
            <w:r>
              <w:rPr>
                <w:rFonts w:ascii="Times New Roman" w:hAnsi="Times New Roman"/>
              </w:rPr>
              <w:t>mg/Nm</w:t>
            </w:r>
            <w:r>
              <w:rPr>
                <w:rFonts w:ascii="Times New Roman" w:hAnsi="Times New Roman"/>
                <w:vertAlign w:val="superscript"/>
              </w:rPr>
              <w:t>3</w:t>
            </w:r>
          </w:p>
        </w:tc>
        <w:tc>
          <w:tcPr>
            <w:tcW w:w="992" w:type="dxa"/>
            <w:tcBorders>
              <w:tl2br w:val="nil"/>
              <w:tr2bl w:val="nil"/>
            </w:tcBorders>
          </w:tcPr>
          <w:p w:rsidR="00525419" w:rsidRDefault="00EE1CF7">
            <w:pPr>
              <w:rPr>
                <w:rFonts w:ascii="Times New Roman" w:hAnsi="Times New Roman"/>
              </w:rPr>
            </w:pPr>
            <w:r>
              <w:rPr>
                <w:rFonts w:ascii="Times New Roman" w:hAnsi="Times New Roman"/>
              </w:rPr>
              <w:t>产生量</w:t>
            </w:r>
            <w:r>
              <w:rPr>
                <w:rFonts w:ascii="Times New Roman" w:hAnsi="Times New Roman"/>
                <w:sz w:val="24"/>
              </w:rPr>
              <w:t>kg/h</w:t>
            </w:r>
          </w:p>
        </w:tc>
        <w:tc>
          <w:tcPr>
            <w:tcW w:w="1134" w:type="dxa"/>
            <w:tcBorders>
              <w:tl2br w:val="nil"/>
              <w:tr2bl w:val="nil"/>
            </w:tcBorders>
          </w:tcPr>
          <w:p w:rsidR="00525419" w:rsidRDefault="00EE1CF7">
            <w:pPr>
              <w:rPr>
                <w:rFonts w:ascii="Times New Roman" w:hAnsi="Times New Roman"/>
              </w:rPr>
            </w:pPr>
            <w:r>
              <w:rPr>
                <w:rFonts w:ascii="Times New Roman" w:hAnsi="Times New Roman"/>
              </w:rPr>
              <w:t>工艺</w:t>
            </w:r>
          </w:p>
        </w:tc>
        <w:tc>
          <w:tcPr>
            <w:tcW w:w="709" w:type="dxa"/>
            <w:tcBorders>
              <w:tl2br w:val="nil"/>
              <w:tr2bl w:val="nil"/>
            </w:tcBorders>
          </w:tcPr>
          <w:p w:rsidR="00525419" w:rsidRDefault="00EE1CF7">
            <w:pPr>
              <w:rPr>
                <w:rFonts w:ascii="Times New Roman" w:hAnsi="Times New Roman"/>
              </w:rPr>
            </w:pPr>
            <w:r>
              <w:rPr>
                <w:rFonts w:ascii="Times New Roman" w:hAnsi="Times New Roman"/>
              </w:rPr>
              <w:t>效率（</w:t>
            </w:r>
            <w:r>
              <w:rPr>
                <w:rFonts w:ascii="Times New Roman" w:hAnsi="Times New Roman"/>
              </w:rPr>
              <w:t>%</w:t>
            </w:r>
            <w:r>
              <w:rPr>
                <w:rFonts w:ascii="Times New Roman" w:hAnsi="Times New Roman"/>
              </w:rPr>
              <w:t>）</w:t>
            </w:r>
          </w:p>
        </w:tc>
        <w:tc>
          <w:tcPr>
            <w:tcW w:w="992" w:type="dxa"/>
            <w:tcBorders>
              <w:tl2br w:val="nil"/>
              <w:tr2bl w:val="nil"/>
            </w:tcBorders>
          </w:tcPr>
          <w:p w:rsidR="00525419" w:rsidRDefault="00EE1CF7">
            <w:pPr>
              <w:rPr>
                <w:rFonts w:ascii="Times New Roman" w:hAnsi="Times New Roman"/>
              </w:rPr>
            </w:pPr>
            <w:r>
              <w:rPr>
                <w:rFonts w:ascii="Times New Roman" w:hAnsi="Times New Roman"/>
              </w:rPr>
              <w:t>废气量</w:t>
            </w:r>
            <w:r>
              <w:rPr>
                <w:rFonts w:ascii="Times New Roman" w:hAnsi="Times New Roman"/>
              </w:rPr>
              <w:t>Nm</w:t>
            </w:r>
            <w:r>
              <w:rPr>
                <w:rFonts w:ascii="Times New Roman" w:hAnsi="Times New Roman"/>
                <w:vertAlign w:val="superscript"/>
              </w:rPr>
              <w:t>3</w:t>
            </w:r>
            <w:r>
              <w:rPr>
                <w:rFonts w:ascii="Times New Roman" w:hAnsi="Times New Roman"/>
              </w:rPr>
              <w:t>/h</w:t>
            </w:r>
          </w:p>
        </w:tc>
        <w:tc>
          <w:tcPr>
            <w:tcW w:w="992" w:type="dxa"/>
            <w:tcBorders>
              <w:tl2br w:val="nil"/>
              <w:tr2bl w:val="nil"/>
            </w:tcBorders>
          </w:tcPr>
          <w:p w:rsidR="00525419" w:rsidRDefault="00EE1CF7">
            <w:pPr>
              <w:rPr>
                <w:rFonts w:ascii="Times New Roman" w:hAnsi="Times New Roman"/>
              </w:rPr>
            </w:pPr>
            <w:r>
              <w:rPr>
                <w:rFonts w:ascii="Times New Roman" w:hAnsi="Times New Roman"/>
              </w:rPr>
              <w:t>浓度</w:t>
            </w:r>
            <w:r>
              <w:rPr>
                <w:rFonts w:ascii="Times New Roman" w:hAnsi="Times New Roman"/>
              </w:rPr>
              <w:t>mg/Nm</w:t>
            </w:r>
            <w:r>
              <w:rPr>
                <w:rFonts w:ascii="Times New Roman" w:hAnsi="Times New Roman"/>
                <w:vertAlign w:val="superscript"/>
              </w:rPr>
              <w:t>3</w:t>
            </w:r>
          </w:p>
        </w:tc>
        <w:tc>
          <w:tcPr>
            <w:tcW w:w="992" w:type="dxa"/>
            <w:tcBorders>
              <w:tl2br w:val="nil"/>
              <w:tr2bl w:val="nil"/>
            </w:tcBorders>
          </w:tcPr>
          <w:p w:rsidR="00525419" w:rsidRDefault="00EE1CF7">
            <w:pPr>
              <w:rPr>
                <w:rFonts w:ascii="Times New Roman" w:hAnsi="Times New Roman"/>
              </w:rPr>
            </w:pPr>
            <w:r>
              <w:rPr>
                <w:rFonts w:ascii="Times New Roman" w:hAnsi="Times New Roman"/>
              </w:rPr>
              <w:t>排放量</w:t>
            </w:r>
            <w:r>
              <w:rPr>
                <w:rFonts w:ascii="Times New Roman" w:hAnsi="Times New Roman"/>
                <w:sz w:val="24"/>
              </w:rPr>
              <w:t>kg/h</w:t>
            </w:r>
          </w:p>
        </w:tc>
        <w:tc>
          <w:tcPr>
            <w:tcW w:w="709" w:type="dxa"/>
            <w:tcBorders>
              <w:tl2br w:val="nil"/>
              <w:tr2bl w:val="nil"/>
            </w:tcBorders>
          </w:tcPr>
          <w:p w:rsidR="00525419" w:rsidRDefault="00EE1CF7">
            <w:pPr>
              <w:rPr>
                <w:rFonts w:ascii="Times New Roman" w:hAnsi="Times New Roman"/>
              </w:rPr>
            </w:pPr>
            <w:r>
              <w:rPr>
                <w:rFonts w:ascii="Times New Roman" w:hAnsi="Times New Roman"/>
              </w:rPr>
              <w:t>高度</w:t>
            </w:r>
            <w:r>
              <w:rPr>
                <w:rFonts w:ascii="Times New Roman" w:hAnsi="Times New Roman"/>
              </w:rPr>
              <w:t>(m)</w:t>
            </w:r>
          </w:p>
        </w:tc>
        <w:tc>
          <w:tcPr>
            <w:tcW w:w="709" w:type="dxa"/>
            <w:tcBorders>
              <w:tl2br w:val="nil"/>
              <w:tr2bl w:val="nil"/>
            </w:tcBorders>
          </w:tcPr>
          <w:p w:rsidR="00525419" w:rsidRDefault="00EE1CF7">
            <w:pPr>
              <w:rPr>
                <w:rFonts w:ascii="Times New Roman" w:hAnsi="Times New Roman"/>
              </w:rPr>
            </w:pPr>
            <w:r>
              <w:rPr>
                <w:rFonts w:ascii="Times New Roman" w:hAnsi="Times New Roman"/>
              </w:rPr>
              <w:t>内径</w:t>
            </w:r>
            <w:r>
              <w:rPr>
                <w:rFonts w:ascii="Times New Roman" w:hAnsi="Times New Roman"/>
              </w:rPr>
              <w:t>(m)</w:t>
            </w:r>
          </w:p>
        </w:tc>
        <w:tc>
          <w:tcPr>
            <w:tcW w:w="869" w:type="dxa"/>
            <w:tcBorders>
              <w:tl2br w:val="nil"/>
              <w:tr2bl w:val="nil"/>
            </w:tcBorders>
          </w:tcPr>
          <w:p w:rsidR="00525419" w:rsidRDefault="00EE1CF7">
            <w:pPr>
              <w:rPr>
                <w:rFonts w:ascii="Times New Roman" w:hAnsi="Times New Roman"/>
              </w:rPr>
            </w:pPr>
            <w:r>
              <w:rPr>
                <w:rFonts w:ascii="Times New Roman" w:hAnsi="Times New Roman"/>
              </w:rPr>
              <w:t>温度</w:t>
            </w:r>
            <w:r>
              <w:rPr>
                <w:rFonts w:ascii="Times New Roman" w:hAnsi="Times New Roman"/>
                <w:kern w:val="0"/>
                <w:szCs w:val="21"/>
              </w:rPr>
              <w:t>（</w:t>
            </w:r>
            <w:r>
              <w:rPr>
                <w:rFonts w:ascii="Times New Roman" w:hAnsi="Times New Roman"/>
                <w:kern w:val="0"/>
                <w:szCs w:val="21"/>
              </w:rPr>
              <w:t>℃</w:t>
            </w:r>
            <w:r>
              <w:rPr>
                <w:rFonts w:ascii="Times New Roman" w:hAnsi="Times New Roman"/>
                <w:kern w:val="0"/>
                <w:szCs w:val="21"/>
              </w:rPr>
              <w:t>）</w:t>
            </w:r>
          </w:p>
        </w:tc>
        <w:tc>
          <w:tcPr>
            <w:tcW w:w="879" w:type="dxa"/>
            <w:vMerge/>
            <w:tcBorders>
              <w:tl2br w:val="nil"/>
              <w:tr2bl w:val="nil"/>
            </w:tcBorders>
          </w:tcPr>
          <w:p w:rsidR="00525419" w:rsidRDefault="00525419">
            <w:pPr>
              <w:rPr>
                <w:rFonts w:ascii="Times New Roman" w:hAnsi="Times New Roman"/>
              </w:rPr>
            </w:pPr>
          </w:p>
        </w:tc>
      </w:tr>
      <w:tr w:rsidR="00525419">
        <w:trPr>
          <w:trHeight w:val="158"/>
        </w:trPr>
        <w:tc>
          <w:tcPr>
            <w:tcW w:w="959" w:type="dxa"/>
            <w:vMerge w:val="restart"/>
            <w:tcBorders>
              <w:tl2br w:val="nil"/>
              <w:tr2bl w:val="nil"/>
            </w:tcBorders>
          </w:tcPr>
          <w:p w:rsidR="00525419" w:rsidRDefault="00EE1CF7">
            <w:pPr>
              <w:rPr>
                <w:rFonts w:ascii="Times New Roman" w:hAnsi="Times New Roman"/>
              </w:rPr>
            </w:pPr>
            <w:r>
              <w:rPr>
                <w:rFonts w:ascii="Times New Roman" w:hAnsi="Times New Roman" w:hint="eastAsia"/>
              </w:rPr>
              <w:t>硫磺回收尾气焚烧炉</w:t>
            </w:r>
            <w:r>
              <w:rPr>
                <w:rFonts w:ascii="Times New Roman" w:hAnsi="Times New Roman"/>
              </w:rPr>
              <w:t>烟囱</w:t>
            </w:r>
          </w:p>
        </w:tc>
        <w:tc>
          <w:tcPr>
            <w:tcW w:w="1134" w:type="dxa"/>
            <w:tcBorders>
              <w:tl2br w:val="nil"/>
              <w:tr2bl w:val="nil"/>
            </w:tcBorders>
          </w:tcPr>
          <w:p w:rsidR="00525419" w:rsidRDefault="00EE1CF7">
            <w:pPr>
              <w:rPr>
                <w:rFonts w:ascii="Times New Roman" w:hAnsi="Times New Roman"/>
              </w:rPr>
            </w:pPr>
            <w:r>
              <w:rPr>
                <w:rFonts w:ascii="Times New Roman" w:hAnsi="Times New Roman"/>
              </w:rPr>
              <w:t>颗粒物</w:t>
            </w:r>
          </w:p>
        </w:tc>
        <w:tc>
          <w:tcPr>
            <w:tcW w:w="850" w:type="dxa"/>
            <w:tcBorders>
              <w:tl2br w:val="nil"/>
              <w:tr2bl w:val="nil"/>
            </w:tcBorders>
          </w:tcPr>
          <w:p w:rsidR="00525419" w:rsidRDefault="00EE1CF7">
            <w:pPr>
              <w:rPr>
                <w:rFonts w:ascii="Times New Roman" w:hAnsi="Times New Roman"/>
              </w:rPr>
            </w:pPr>
            <w:r>
              <w:rPr>
                <w:rFonts w:ascii="Times New Roman" w:hAnsi="Times New Roman"/>
              </w:rPr>
              <w:t>系数法</w:t>
            </w:r>
          </w:p>
        </w:tc>
        <w:tc>
          <w:tcPr>
            <w:tcW w:w="993" w:type="dxa"/>
            <w:vMerge w:val="restart"/>
            <w:tcBorders>
              <w:tl2br w:val="nil"/>
              <w:tr2bl w:val="nil"/>
            </w:tcBorders>
          </w:tcPr>
          <w:p w:rsidR="00525419" w:rsidRDefault="00EE1CF7">
            <w:pPr>
              <w:rPr>
                <w:rFonts w:ascii="Times New Roman" w:hAnsi="Times New Roman"/>
              </w:rPr>
            </w:pPr>
            <w:r>
              <w:rPr>
                <w:rFonts w:ascii="Times New Roman" w:hAnsi="Times New Roman"/>
              </w:rPr>
              <w:t>15734</w:t>
            </w:r>
          </w:p>
        </w:tc>
        <w:tc>
          <w:tcPr>
            <w:tcW w:w="1134" w:type="dxa"/>
            <w:tcBorders>
              <w:tl2br w:val="nil"/>
              <w:tr2bl w:val="nil"/>
            </w:tcBorders>
          </w:tcPr>
          <w:p w:rsidR="00525419" w:rsidRDefault="00EE1CF7">
            <w:pPr>
              <w:rPr>
                <w:rFonts w:ascii="Times New Roman" w:hAnsi="Times New Roman"/>
              </w:rPr>
            </w:pPr>
            <w:r>
              <w:rPr>
                <w:rFonts w:ascii="Times New Roman" w:hAnsi="Times New Roman"/>
              </w:rPr>
              <w:t>50</w:t>
            </w:r>
          </w:p>
        </w:tc>
        <w:tc>
          <w:tcPr>
            <w:tcW w:w="992" w:type="dxa"/>
            <w:tcBorders>
              <w:tl2br w:val="nil"/>
              <w:tr2bl w:val="nil"/>
            </w:tcBorders>
          </w:tcPr>
          <w:p w:rsidR="00525419" w:rsidRDefault="00EE1CF7">
            <w:pPr>
              <w:rPr>
                <w:rFonts w:ascii="Times New Roman" w:hAnsi="Times New Roman"/>
              </w:rPr>
            </w:pPr>
            <w:r>
              <w:rPr>
                <w:rFonts w:ascii="Times New Roman" w:hAnsi="Times New Roman"/>
              </w:rPr>
              <w:t>0.79</w:t>
            </w:r>
          </w:p>
        </w:tc>
        <w:tc>
          <w:tcPr>
            <w:tcW w:w="1134" w:type="dxa"/>
            <w:tcBorders>
              <w:tl2br w:val="nil"/>
              <w:tr2bl w:val="nil"/>
            </w:tcBorders>
          </w:tcPr>
          <w:p w:rsidR="00525419" w:rsidRDefault="00EE1CF7">
            <w:pPr>
              <w:rPr>
                <w:rFonts w:ascii="Times New Roman" w:hAnsi="Times New Roman"/>
              </w:rPr>
            </w:pPr>
            <w:r>
              <w:rPr>
                <w:rFonts w:ascii="Times New Roman" w:hAnsi="Times New Roman"/>
              </w:rPr>
              <w:t>/</w:t>
            </w:r>
          </w:p>
        </w:tc>
        <w:tc>
          <w:tcPr>
            <w:tcW w:w="709" w:type="dxa"/>
            <w:tcBorders>
              <w:tl2br w:val="nil"/>
              <w:tr2bl w:val="nil"/>
            </w:tcBorders>
          </w:tcPr>
          <w:p w:rsidR="00525419" w:rsidRDefault="00EE1CF7">
            <w:pPr>
              <w:rPr>
                <w:rFonts w:ascii="Times New Roman" w:hAnsi="Times New Roman"/>
              </w:rPr>
            </w:pPr>
            <w:r>
              <w:rPr>
                <w:rFonts w:ascii="Times New Roman" w:hAnsi="Times New Roman"/>
              </w:rPr>
              <w:t>/</w:t>
            </w:r>
          </w:p>
        </w:tc>
        <w:tc>
          <w:tcPr>
            <w:tcW w:w="992" w:type="dxa"/>
            <w:vMerge w:val="restart"/>
            <w:tcBorders>
              <w:tl2br w:val="nil"/>
              <w:tr2bl w:val="nil"/>
            </w:tcBorders>
          </w:tcPr>
          <w:p w:rsidR="00525419" w:rsidRDefault="00EE1CF7">
            <w:pPr>
              <w:rPr>
                <w:rFonts w:ascii="Times New Roman" w:hAnsi="Times New Roman"/>
              </w:rPr>
            </w:pPr>
            <w:r>
              <w:rPr>
                <w:rFonts w:ascii="Times New Roman" w:hAnsi="Times New Roman"/>
              </w:rPr>
              <w:t>15734</w:t>
            </w:r>
          </w:p>
        </w:tc>
        <w:tc>
          <w:tcPr>
            <w:tcW w:w="992" w:type="dxa"/>
            <w:tcBorders>
              <w:tl2br w:val="nil"/>
              <w:tr2bl w:val="nil"/>
            </w:tcBorders>
          </w:tcPr>
          <w:p w:rsidR="00525419" w:rsidRDefault="00EE1CF7">
            <w:pPr>
              <w:rPr>
                <w:rFonts w:ascii="Times New Roman" w:hAnsi="Times New Roman"/>
              </w:rPr>
            </w:pPr>
            <w:r>
              <w:rPr>
                <w:rFonts w:ascii="Times New Roman" w:hAnsi="Times New Roman"/>
              </w:rPr>
              <w:t>50</w:t>
            </w:r>
          </w:p>
        </w:tc>
        <w:tc>
          <w:tcPr>
            <w:tcW w:w="992" w:type="dxa"/>
            <w:tcBorders>
              <w:tl2br w:val="nil"/>
              <w:tr2bl w:val="nil"/>
            </w:tcBorders>
          </w:tcPr>
          <w:p w:rsidR="00525419" w:rsidRDefault="00EE1CF7">
            <w:pPr>
              <w:rPr>
                <w:rFonts w:ascii="Times New Roman" w:hAnsi="Times New Roman"/>
              </w:rPr>
            </w:pPr>
            <w:r>
              <w:rPr>
                <w:rFonts w:ascii="Times New Roman" w:hAnsi="Times New Roman"/>
              </w:rPr>
              <w:t>0.79</w:t>
            </w:r>
          </w:p>
        </w:tc>
        <w:tc>
          <w:tcPr>
            <w:tcW w:w="709" w:type="dxa"/>
            <w:vMerge w:val="restart"/>
            <w:tcBorders>
              <w:tl2br w:val="nil"/>
              <w:tr2bl w:val="nil"/>
            </w:tcBorders>
          </w:tcPr>
          <w:p w:rsidR="00525419" w:rsidRDefault="00EE1CF7">
            <w:pPr>
              <w:rPr>
                <w:rFonts w:ascii="Times New Roman" w:hAnsi="Times New Roman"/>
              </w:rPr>
            </w:pPr>
            <w:r>
              <w:rPr>
                <w:rFonts w:ascii="Times New Roman" w:hAnsi="Times New Roman"/>
              </w:rPr>
              <w:t>80</w:t>
            </w:r>
          </w:p>
        </w:tc>
        <w:tc>
          <w:tcPr>
            <w:tcW w:w="709" w:type="dxa"/>
            <w:vMerge w:val="restart"/>
            <w:tcBorders>
              <w:tl2br w:val="nil"/>
              <w:tr2bl w:val="nil"/>
            </w:tcBorders>
          </w:tcPr>
          <w:p w:rsidR="00525419" w:rsidRDefault="00EE1CF7">
            <w:pPr>
              <w:rPr>
                <w:rFonts w:ascii="Times New Roman" w:hAnsi="Times New Roman"/>
              </w:rPr>
            </w:pPr>
            <w:r>
              <w:rPr>
                <w:rFonts w:ascii="Times New Roman" w:hAnsi="Times New Roman" w:hint="eastAsia"/>
              </w:rPr>
              <w:t>0.6</w:t>
            </w:r>
          </w:p>
        </w:tc>
        <w:tc>
          <w:tcPr>
            <w:tcW w:w="869" w:type="dxa"/>
            <w:vMerge w:val="restart"/>
            <w:tcBorders>
              <w:tl2br w:val="nil"/>
              <w:tr2bl w:val="nil"/>
            </w:tcBorders>
          </w:tcPr>
          <w:p w:rsidR="00525419" w:rsidRDefault="00EE1CF7">
            <w:pPr>
              <w:rPr>
                <w:rFonts w:ascii="Times New Roman" w:hAnsi="Times New Roman"/>
              </w:rPr>
            </w:pPr>
            <w:r>
              <w:rPr>
                <w:rFonts w:ascii="Times New Roman" w:hAnsi="Times New Roman"/>
              </w:rPr>
              <w:t>150</w:t>
            </w:r>
          </w:p>
        </w:tc>
        <w:tc>
          <w:tcPr>
            <w:tcW w:w="879" w:type="dxa"/>
            <w:vMerge w:val="restart"/>
            <w:tcBorders>
              <w:tl2br w:val="nil"/>
              <w:tr2bl w:val="nil"/>
            </w:tcBorders>
          </w:tcPr>
          <w:p w:rsidR="00525419" w:rsidRDefault="00EE1CF7">
            <w:pPr>
              <w:rPr>
                <w:rFonts w:ascii="Times New Roman" w:hAnsi="Times New Roman"/>
              </w:rPr>
            </w:pPr>
            <w:r>
              <w:rPr>
                <w:rFonts w:ascii="Times New Roman" w:hAnsi="Times New Roman"/>
              </w:rPr>
              <w:t>8000</w:t>
            </w:r>
            <w:r>
              <w:rPr>
                <w:rFonts w:ascii="Times New Roman" w:hAnsi="Times New Roman"/>
              </w:rPr>
              <w:t>，大气</w:t>
            </w:r>
          </w:p>
        </w:tc>
      </w:tr>
      <w:tr w:rsidR="00525419">
        <w:trPr>
          <w:trHeight w:val="260"/>
        </w:trPr>
        <w:tc>
          <w:tcPr>
            <w:tcW w:w="959" w:type="dxa"/>
            <w:vMerge/>
            <w:tcBorders>
              <w:tl2br w:val="nil"/>
              <w:tr2bl w:val="nil"/>
            </w:tcBorders>
          </w:tcPr>
          <w:p w:rsidR="00525419" w:rsidRDefault="00525419">
            <w:pPr>
              <w:rPr>
                <w:rFonts w:ascii="Times New Roman" w:hAnsi="Times New Roman"/>
              </w:rPr>
            </w:pPr>
          </w:p>
        </w:tc>
        <w:tc>
          <w:tcPr>
            <w:tcW w:w="1134" w:type="dxa"/>
            <w:tcBorders>
              <w:tl2br w:val="nil"/>
              <w:tr2bl w:val="nil"/>
            </w:tcBorders>
          </w:tcPr>
          <w:p w:rsidR="00525419" w:rsidRDefault="00EE1CF7">
            <w:pPr>
              <w:rPr>
                <w:rFonts w:ascii="Times New Roman" w:hAnsi="Times New Roman"/>
              </w:rPr>
            </w:pPr>
            <w:r>
              <w:rPr>
                <w:rFonts w:ascii="Times New Roman" w:hAnsi="Times New Roman"/>
              </w:rPr>
              <w:t>二氧化硫</w:t>
            </w:r>
          </w:p>
        </w:tc>
        <w:tc>
          <w:tcPr>
            <w:tcW w:w="850" w:type="dxa"/>
            <w:tcBorders>
              <w:tl2br w:val="nil"/>
              <w:tr2bl w:val="nil"/>
            </w:tcBorders>
          </w:tcPr>
          <w:p w:rsidR="00525419" w:rsidRDefault="00EE1CF7">
            <w:pPr>
              <w:rPr>
                <w:rFonts w:ascii="Times New Roman" w:hAnsi="Times New Roman"/>
              </w:rPr>
            </w:pPr>
            <w:r>
              <w:rPr>
                <w:rFonts w:ascii="Times New Roman" w:hAnsi="Times New Roman"/>
              </w:rPr>
              <w:t>系数法</w:t>
            </w:r>
          </w:p>
        </w:tc>
        <w:tc>
          <w:tcPr>
            <w:tcW w:w="993" w:type="dxa"/>
            <w:vMerge/>
            <w:tcBorders>
              <w:tl2br w:val="nil"/>
              <w:tr2bl w:val="nil"/>
            </w:tcBorders>
          </w:tcPr>
          <w:p w:rsidR="00525419" w:rsidRDefault="00525419">
            <w:pPr>
              <w:rPr>
                <w:rFonts w:ascii="Times New Roman" w:hAnsi="Times New Roman"/>
              </w:rPr>
            </w:pPr>
          </w:p>
        </w:tc>
        <w:tc>
          <w:tcPr>
            <w:tcW w:w="1134" w:type="dxa"/>
            <w:tcBorders>
              <w:tl2br w:val="nil"/>
              <w:tr2bl w:val="nil"/>
            </w:tcBorders>
          </w:tcPr>
          <w:p w:rsidR="00525419" w:rsidRDefault="00EE1CF7">
            <w:pPr>
              <w:rPr>
                <w:rFonts w:ascii="Times New Roman" w:hAnsi="Times New Roman"/>
              </w:rPr>
            </w:pPr>
            <w:r>
              <w:rPr>
                <w:rFonts w:ascii="Times New Roman" w:hAnsi="Times New Roman"/>
              </w:rPr>
              <w:t>200</w:t>
            </w:r>
          </w:p>
        </w:tc>
        <w:tc>
          <w:tcPr>
            <w:tcW w:w="992" w:type="dxa"/>
            <w:tcBorders>
              <w:tl2br w:val="nil"/>
              <w:tr2bl w:val="nil"/>
            </w:tcBorders>
          </w:tcPr>
          <w:p w:rsidR="00525419" w:rsidRDefault="00EE1CF7">
            <w:pPr>
              <w:rPr>
                <w:rFonts w:ascii="Times New Roman" w:hAnsi="Times New Roman"/>
              </w:rPr>
            </w:pPr>
            <w:r>
              <w:rPr>
                <w:rFonts w:ascii="Times New Roman" w:hAnsi="Times New Roman"/>
              </w:rPr>
              <w:t>3.156</w:t>
            </w:r>
          </w:p>
        </w:tc>
        <w:tc>
          <w:tcPr>
            <w:tcW w:w="1134" w:type="dxa"/>
            <w:tcBorders>
              <w:tl2br w:val="nil"/>
              <w:tr2bl w:val="nil"/>
            </w:tcBorders>
          </w:tcPr>
          <w:p w:rsidR="00525419" w:rsidRDefault="00EE1CF7">
            <w:pPr>
              <w:rPr>
                <w:rFonts w:ascii="Times New Roman" w:hAnsi="Times New Roman"/>
              </w:rPr>
            </w:pPr>
            <w:r>
              <w:rPr>
                <w:rFonts w:ascii="Times New Roman" w:hAnsi="Times New Roman"/>
              </w:rPr>
              <w:t>脱硫</w:t>
            </w:r>
          </w:p>
        </w:tc>
        <w:tc>
          <w:tcPr>
            <w:tcW w:w="709" w:type="dxa"/>
            <w:tcBorders>
              <w:tl2br w:val="nil"/>
              <w:tr2bl w:val="nil"/>
            </w:tcBorders>
          </w:tcPr>
          <w:p w:rsidR="00525419" w:rsidRDefault="00EE1CF7">
            <w:pPr>
              <w:rPr>
                <w:rFonts w:ascii="Times New Roman" w:hAnsi="Times New Roman"/>
              </w:rPr>
            </w:pPr>
            <w:r>
              <w:rPr>
                <w:rFonts w:ascii="Times New Roman" w:hAnsi="Times New Roman"/>
              </w:rPr>
              <w:t>70</w:t>
            </w:r>
          </w:p>
        </w:tc>
        <w:tc>
          <w:tcPr>
            <w:tcW w:w="992" w:type="dxa"/>
            <w:vMerge/>
            <w:tcBorders>
              <w:tl2br w:val="nil"/>
              <w:tr2bl w:val="nil"/>
            </w:tcBorders>
          </w:tcPr>
          <w:p w:rsidR="00525419" w:rsidRDefault="00525419">
            <w:pPr>
              <w:rPr>
                <w:rFonts w:ascii="Times New Roman" w:hAnsi="Times New Roman"/>
              </w:rPr>
            </w:pPr>
          </w:p>
        </w:tc>
        <w:tc>
          <w:tcPr>
            <w:tcW w:w="992" w:type="dxa"/>
            <w:tcBorders>
              <w:tl2br w:val="nil"/>
              <w:tr2bl w:val="nil"/>
            </w:tcBorders>
          </w:tcPr>
          <w:p w:rsidR="00525419" w:rsidRDefault="00EE1CF7">
            <w:pPr>
              <w:rPr>
                <w:rFonts w:ascii="Times New Roman" w:hAnsi="Times New Roman"/>
              </w:rPr>
            </w:pPr>
            <w:r>
              <w:rPr>
                <w:rFonts w:ascii="Times New Roman" w:hAnsi="Times New Roman"/>
              </w:rPr>
              <w:t>200</w:t>
            </w:r>
          </w:p>
        </w:tc>
        <w:tc>
          <w:tcPr>
            <w:tcW w:w="992" w:type="dxa"/>
            <w:tcBorders>
              <w:tl2br w:val="nil"/>
              <w:tr2bl w:val="nil"/>
            </w:tcBorders>
          </w:tcPr>
          <w:p w:rsidR="00525419" w:rsidRDefault="00EE1CF7">
            <w:pPr>
              <w:rPr>
                <w:rFonts w:ascii="Times New Roman" w:hAnsi="Times New Roman"/>
              </w:rPr>
            </w:pPr>
            <w:r>
              <w:rPr>
                <w:rFonts w:ascii="Times New Roman" w:hAnsi="Times New Roman"/>
              </w:rPr>
              <w:t>3.156</w:t>
            </w:r>
          </w:p>
        </w:tc>
        <w:tc>
          <w:tcPr>
            <w:tcW w:w="709" w:type="dxa"/>
            <w:vMerge/>
            <w:tcBorders>
              <w:tl2br w:val="nil"/>
              <w:tr2bl w:val="nil"/>
            </w:tcBorders>
          </w:tcPr>
          <w:p w:rsidR="00525419" w:rsidRDefault="00525419">
            <w:pPr>
              <w:rPr>
                <w:rFonts w:ascii="Times New Roman" w:hAnsi="Times New Roman"/>
              </w:rPr>
            </w:pPr>
          </w:p>
        </w:tc>
        <w:tc>
          <w:tcPr>
            <w:tcW w:w="709" w:type="dxa"/>
            <w:vMerge/>
            <w:tcBorders>
              <w:tl2br w:val="nil"/>
              <w:tr2bl w:val="nil"/>
            </w:tcBorders>
          </w:tcPr>
          <w:p w:rsidR="00525419" w:rsidRDefault="00525419">
            <w:pPr>
              <w:rPr>
                <w:rFonts w:ascii="Times New Roman" w:hAnsi="Times New Roman"/>
              </w:rPr>
            </w:pPr>
          </w:p>
        </w:tc>
        <w:tc>
          <w:tcPr>
            <w:tcW w:w="869" w:type="dxa"/>
            <w:vMerge/>
            <w:tcBorders>
              <w:tl2br w:val="nil"/>
              <w:tr2bl w:val="nil"/>
            </w:tcBorders>
          </w:tcPr>
          <w:p w:rsidR="00525419" w:rsidRDefault="00525419">
            <w:pPr>
              <w:rPr>
                <w:rFonts w:ascii="Times New Roman" w:hAnsi="Times New Roman"/>
              </w:rPr>
            </w:pPr>
          </w:p>
        </w:tc>
        <w:tc>
          <w:tcPr>
            <w:tcW w:w="879" w:type="dxa"/>
            <w:vMerge/>
            <w:tcBorders>
              <w:tl2br w:val="nil"/>
              <w:tr2bl w:val="nil"/>
            </w:tcBorders>
          </w:tcPr>
          <w:p w:rsidR="00525419" w:rsidRDefault="00525419">
            <w:pPr>
              <w:rPr>
                <w:rFonts w:ascii="Times New Roman" w:hAnsi="Times New Roman"/>
              </w:rPr>
            </w:pPr>
          </w:p>
        </w:tc>
      </w:tr>
      <w:tr w:rsidR="00525419">
        <w:trPr>
          <w:trHeight w:val="234"/>
        </w:trPr>
        <w:tc>
          <w:tcPr>
            <w:tcW w:w="959" w:type="dxa"/>
            <w:vMerge/>
            <w:tcBorders>
              <w:tl2br w:val="nil"/>
              <w:tr2bl w:val="nil"/>
            </w:tcBorders>
          </w:tcPr>
          <w:p w:rsidR="00525419" w:rsidRDefault="00525419">
            <w:pPr>
              <w:rPr>
                <w:rFonts w:ascii="Times New Roman" w:hAnsi="Times New Roman"/>
              </w:rPr>
            </w:pPr>
          </w:p>
        </w:tc>
        <w:tc>
          <w:tcPr>
            <w:tcW w:w="1134" w:type="dxa"/>
            <w:tcBorders>
              <w:tl2br w:val="nil"/>
              <w:tr2bl w:val="nil"/>
            </w:tcBorders>
          </w:tcPr>
          <w:p w:rsidR="00525419" w:rsidRDefault="00EE1CF7">
            <w:pPr>
              <w:rPr>
                <w:rFonts w:ascii="Times New Roman" w:hAnsi="Times New Roman"/>
              </w:rPr>
            </w:pPr>
            <w:r>
              <w:rPr>
                <w:rFonts w:ascii="Times New Roman" w:hAnsi="Times New Roman"/>
              </w:rPr>
              <w:t>氮氧化物</w:t>
            </w:r>
          </w:p>
        </w:tc>
        <w:tc>
          <w:tcPr>
            <w:tcW w:w="850" w:type="dxa"/>
            <w:tcBorders>
              <w:tl2br w:val="nil"/>
              <w:tr2bl w:val="nil"/>
            </w:tcBorders>
          </w:tcPr>
          <w:p w:rsidR="00525419" w:rsidRDefault="00EE1CF7">
            <w:pPr>
              <w:rPr>
                <w:rFonts w:ascii="Times New Roman" w:hAnsi="Times New Roman"/>
              </w:rPr>
            </w:pPr>
            <w:r>
              <w:rPr>
                <w:rFonts w:ascii="Times New Roman" w:hAnsi="Times New Roman"/>
              </w:rPr>
              <w:t>系数法</w:t>
            </w:r>
          </w:p>
        </w:tc>
        <w:tc>
          <w:tcPr>
            <w:tcW w:w="993" w:type="dxa"/>
            <w:vMerge/>
            <w:tcBorders>
              <w:tl2br w:val="nil"/>
              <w:tr2bl w:val="nil"/>
            </w:tcBorders>
          </w:tcPr>
          <w:p w:rsidR="00525419" w:rsidRDefault="00525419">
            <w:pPr>
              <w:rPr>
                <w:rFonts w:ascii="Times New Roman" w:hAnsi="Times New Roman"/>
              </w:rPr>
            </w:pPr>
          </w:p>
        </w:tc>
        <w:tc>
          <w:tcPr>
            <w:tcW w:w="1134" w:type="dxa"/>
            <w:tcBorders>
              <w:tl2br w:val="nil"/>
              <w:tr2bl w:val="nil"/>
            </w:tcBorders>
          </w:tcPr>
          <w:p w:rsidR="00525419" w:rsidRDefault="00EE1CF7">
            <w:pPr>
              <w:rPr>
                <w:rFonts w:ascii="Times New Roman" w:hAnsi="Times New Roman"/>
              </w:rPr>
            </w:pPr>
            <w:r>
              <w:rPr>
                <w:rFonts w:ascii="Times New Roman" w:hAnsi="Times New Roman"/>
              </w:rPr>
              <w:t>14</w:t>
            </w:r>
          </w:p>
        </w:tc>
        <w:tc>
          <w:tcPr>
            <w:tcW w:w="992" w:type="dxa"/>
            <w:tcBorders>
              <w:tl2br w:val="nil"/>
              <w:tr2bl w:val="nil"/>
            </w:tcBorders>
          </w:tcPr>
          <w:p w:rsidR="00525419" w:rsidRDefault="00EE1CF7">
            <w:pPr>
              <w:rPr>
                <w:rFonts w:ascii="Times New Roman" w:hAnsi="Times New Roman"/>
              </w:rPr>
            </w:pPr>
            <w:r>
              <w:rPr>
                <w:rFonts w:ascii="Times New Roman" w:hAnsi="Times New Roman"/>
              </w:rPr>
              <w:t>0.22</w:t>
            </w:r>
          </w:p>
        </w:tc>
        <w:tc>
          <w:tcPr>
            <w:tcW w:w="1134" w:type="dxa"/>
            <w:tcBorders>
              <w:tl2br w:val="nil"/>
              <w:tr2bl w:val="nil"/>
            </w:tcBorders>
          </w:tcPr>
          <w:p w:rsidR="00525419" w:rsidRDefault="00EE1CF7">
            <w:pPr>
              <w:rPr>
                <w:rFonts w:ascii="Times New Roman" w:hAnsi="Times New Roman"/>
              </w:rPr>
            </w:pPr>
            <w:r>
              <w:rPr>
                <w:rFonts w:ascii="Times New Roman" w:hAnsi="Times New Roman"/>
              </w:rPr>
              <w:t>低氮燃烧</w:t>
            </w:r>
          </w:p>
        </w:tc>
        <w:tc>
          <w:tcPr>
            <w:tcW w:w="709" w:type="dxa"/>
            <w:tcBorders>
              <w:tl2br w:val="nil"/>
              <w:tr2bl w:val="nil"/>
            </w:tcBorders>
          </w:tcPr>
          <w:p w:rsidR="00525419" w:rsidRDefault="00EE1CF7">
            <w:pPr>
              <w:rPr>
                <w:rFonts w:ascii="Times New Roman" w:hAnsi="Times New Roman"/>
              </w:rPr>
            </w:pPr>
            <w:r>
              <w:rPr>
                <w:rFonts w:ascii="Times New Roman" w:hAnsi="Times New Roman"/>
              </w:rPr>
              <w:t>40</w:t>
            </w:r>
          </w:p>
        </w:tc>
        <w:tc>
          <w:tcPr>
            <w:tcW w:w="992" w:type="dxa"/>
            <w:vMerge/>
            <w:tcBorders>
              <w:tl2br w:val="nil"/>
              <w:tr2bl w:val="nil"/>
            </w:tcBorders>
          </w:tcPr>
          <w:p w:rsidR="00525419" w:rsidRDefault="00525419">
            <w:pPr>
              <w:rPr>
                <w:rFonts w:ascii="Times New Roman" w:hAnsi="Times New Roman"/>
              </w:rPr>
            </w:pPr>
          </w:p>
        </w:tc>
        <w:tc>
          <w:tcPr>
            <w:tcW w:w="992" w:type="dxa"/>
            <w:tcBorders>
              <w:tl2br w:val="nil"/>
              <w:tr2bl w:val="nil"/>
            </w:tcBorders>
          </w:tcPr>
          <w:p w:rsidR="00525419" w:rsidRDefault="00EE1CF7">
            <w:pPr>
              <w:rPr>
                <w:rFonts w:ascii="Times New Roman" w:hAnsi="Times New Roman"/>
              </w:rPr>
            </w:pPr>
            <w:r>
              <w:rPr>
                <w:rFonts w:ascii="Times New Roman" w:hAnsi="Times New Roman"/>
              </w:rPr>
              <w:t>14</w:t>
            </w:r>
          </w:p>
        </w:tc>
        <w:tc>
          <w:tcPr>
            <w:tcW w:w="992" w:type="dxa"/>
            <w:tcBorders>
              <w:tl2br w:val="nil"/>
              <w:tr2bl w:val="nil"/>
            </w:tcBorders>
          </w:tcPr>
          <w:p w:rsidR="00525419" w:rsidRDefault="00EE1CF7">
            <w:pPr>
              <w:rPr>
                <w:rFonts w:ascii="Times New Roman" w:hAnsi="Times New Roman"/>
              </w:rPr>
            </w:pPr>
            <w:r>
              <w:rPr>
                <w:rFonts w:ascii="Times New Roman" w:hAnsi="Times New Roman"/>
              </w:rPr>
              <w:t>0.22</w:t>
            </w:r>
          </w:p>
        </w:tc>
        <w:tc>
          <w:tcPr>
            <w:tcW w:w="709" w:type="dxa"/>
            <w:vMerge/>
            <w:tcBorders>
              <w:tl2br w:val="nil"/>
              <w:tr2bl w:val="nil"/>
            </w:tcBorders>
          </w:tcPr>
          <w:p w:rsidR="00525419" w:rsidRDefault="00525419">
            <w:pPr>
              <w:rPr>
                <w:rFonts w:ascii="Times New Roman" w:hAnsi="Times New Roman"/>
              </w:rPr>
            </w:pPr>
          </w:p>
        </w:tc>
        <w:tc>
          <w:tcPr>
            <w:tcW w:w="709" w:type="dxa"/>
            <w:vMerge/>
            <w:tcBorders>
              <w:tl2br w:val="nil"/>
              <w:tr2bl w:val="nil"/>
            </w:tcBorders>
          </w:tcPr>
          <w:p w:rsidR="00525419" w:rsidRDefault="00525419">
            <w:pPr>
              <w:rPr>
                <w:rFonts w:ascii="Times New Roman" w:hAnsi="Times New Roman"/>
              </w:rPr>
            </w:pPr>
          </w:p>
        </w:tc>
        <w:tc>
          <w:tcPr>
            <w:tcW w:w="869" w:type="dxa"/>
            <w:vMerge/>
            <w:tcBorders>
              <w:tl2br w:val="nil"/>
              <w:tr2bl w:val="nil"/>
            </w:tcBorders>
          </w:tcPr>
          <w:p w:rsidR="00525419" w:rsidRDefault="00525419">
            <w:pPr>
              <w:rPr>
                <w:rFonts w:ascii="Times New Roman" w:hAnsi="Times New Roman"/>
              </w:rPr>
            </w:pPr>
          </w:p>
        </w:tc>
        <w:tc>
          <w:tcPr>
            <w:tcW w:w="879" w:type="dxa"/>
            <w:vMerge/>
            <w:tcBorders>
              <w:tl2br w:val="nil"/>
              <w:tr2bl w:val="nil"/>
            </w:tcBorders>
          </w:tcPr>
          <w:p w:rsidR="00525419" w:rsidRDefault="00525419">
            <w:pPr>
              <w:rPr>
                <w:rFonts w:ascii="Times New Roman" w:hAnsi="Times New Roman"/>
              </w:rPr>
            </w:pPr>
          </w:p>
        </w:tc>
      </w:tr>
    </w:tbl>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sectPr w:rsidR="00525419">
          <w:pgSz w:w="16838" w:h="11906" w:orient="landscape"/>
          <w:pgMar w:top="1803" w:right="1440" w:bottom="1803" w:left="1440" w:header="851" w:footer="992" w:gutter="0"/>
          <w:cols w:space="0"/>
          <w:docGrid w:type="lines" w:linePitch="319"/>
        </w:sectPr>
      </w:pP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lastRenderedPageBreak/>
        <w:t>3.7.1.4</w:t>
      </w:r>
      <w:r>
        <w:rPr>
          <w:rFonts w:ascii="Times New Roman" w:hAnsi="Times New Roman" w:cs="Times New Roman"/>
          <w:sz w:val="24"/>
        </w:rPr>
        <w:t>非正常工况废气</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化工装置非正常工况下废气排放主要有三种情况：一是当发生突发性的停电、停水或事故而造成装置停车或局部停车，装置需进行放空；二是装置正常开、停车时需排放置换气体和放空气体；三是由于装置运行不稳定，为避免某些设备压力过高而造成事故，设备通过预设的安全阀或爆破膜泄压。非正常工况排放的废气全部进入火炬系统燃烧后高空排放，火炬系统是石化、氮肥及煤气化企业常用的可燃工艺废气终端燃烧处理安全环保设备，运行稳定、可靠。在上述装置工艺及环保设施出现不正常运行时，装置含烃废气均可导入火炬系统燃烧处理，不会对周围环境产生不利影响。</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当硫磺回收装置事故状态时，酸性气直接送到碱液吸收塔处理后尾气火炬焚烧，</w:t>
      </w:r>
      <w:r>
        <w:rPr>
          <w:rFonts w:ascii="Times New Roman" w:hAnsi="Times New Roman"/>
          <w:sz w:val="24"/>
        </w:rPr>
        <w:t xml:space="preserve"> </w:t>
      </w:r>
      <w:r>
        <w:rPr>
          <w:rFonts w:ascii="Times New Roman" w:hAnsi="Times New Roman"/>
          <w:sz w:val="24"/>
        </w:rPr>
        <w:t>根据相关资料类比分析，尾气燃烧烟气污染物排放情况见表</w:t>
      </w:r>
      <w:r>
        <w:rPr>
          <w:rFonts w:ascii="Times New Roman" w:hAnsi="Times New Roman"/>
          <w:sz w:val="24"/>
        </w:rPr>
        <w:t>3.7-4</w:t>
      </w:r>
      <w:r>
        <w:rPr>
          <w:rFonts w:ascii="Times New Roman" w:hAnsi="Times New Roman"/>
          <w:sz w:val="24"/>
        </w:rPr>
        <w:t>。</w:t>
      </w:r>
    </w:p>
    <w:p w:rsidR="00525419" w:rsidRDefault="00EE1CF7">
      <w:pPr>
        <w:autoSpaceDE w:val="0"/>
        <w:autoSpaceDN w:val="0"/>
        <w:adjustRightInd w:val="0"/>
        <w:spacing w:line="240" w:lineRule="atLeast"/>
        <w:ind w:firstLineChars="250" w:firstLine="525"/>
        <w:jc w:val="center"/>
        <w:rPr>
          <w:rFonts w:ascii="Times New Roman" w:eastAsia="黑体" w:hAnsi="Times New Roman"/>
          <w:szCs w:val="21"/>
        </w:rPr>
      </w:pPr>
      <w:r>
        <w:rPr>
          <w:rFonts w:ascii="Times New Roman" w:eastAsia="黑体" w:hAnsi="Times New Roman"/>
          <w:kern w:val="0"/>
          <w:szCs w:val="21"/>
        </w:rPr>
        <w:t>表</w:t>
      </w:r>
      <w:r>
        <w:rPr>
          <w:rFonts w:ascii="Times New Roman" w:eastAsia="黑体" w:hAnsi="Times New Roman"/>
          <w:kern w:val="0"/>
          <w:szCs w:val="21"/>
        </w:rPr>
        <w:t xml:space="preserve">3.7-4    </w:t>
      </w:r>
      <w:r>
        <w:rPr>
          <w:rFonts w:ascii="Times New Roman" w:eastAsia="黑体" w:hAnsi="Times New Roman"/>
          <w:szCs w:val="21"/>
        </w:rPr>
        <w:t>尾气燃烧烟气污染物排放情况</w:t>
      </w:r>
    </w:p>
    <w:tbl>
      <w:tblPr>
        <w:tblStyle w:val="affff0"/>
        <w:tblW w:w="851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067"/>
        <w:gridCol w:w="3054"/>
        <w:gridCol w:w="1717"/>
        <w:gridCol w:w="2676"/>
      </w:tblGrid>
      <w:tr w:rsidR="00525419">
        <w:trPr>
          <w:trHeight w:val="253"/>
        </w:trPr>
        <w:tc>
          <w:tcPr>
            <w:tcW w:w="1067" w:type="dxa"/>
            <w:vMerge w:val="restart"/>
            <w:tcBorders>
              <w:tl2br w:val="nil"/>
              <w:tr2bl w:val="nil"/>
            </w:tcBorders>
          </w:tcPr>
          <w:p w:rsidR="00525419" w:rsidRDefault="00EE1CF7">
            <w:pPr>
              <w:autoSpaceDE w:val="0"/>
              <w:autoSpaceDN w:val="0"/>
              <w:adjustRightInd w:val="0"/>
              <w:spacing w:line="240" w:lineRule="atLeast"/>
              <w:rPr>
                <w:rFonts w:ascii="Times New Roman" w:hAnsi="Times New Roman"/>
                <w:kern w:val="0"/>
                <w:szCs w:val="21"/>
              </w:rPr>
            </w:pPr>
            <w:r>
              <w:rPr>
                <w:rFonts w:ascii="Times New Roman" w:hAnsi="Times New Roman"/>
                <w:kern w:val="0"/>
                <w:szCs w:val="21"/>
              </w:rPr>
              <w:t>项目</w:t>
            </w:r>
          </w:p>
        </w:tc>
        <w:tc>
          <w:tcPr>
            <w:tcW w:w="7447" w:type="dxa"/>
            <w:gridSpan w:val="3"/>
            <w:tcBorders>
              <w:tl2br w:val="nil"/>
              <w:tr2bl w:val="nil"/>
            </w:tcBorders>
          </w:tcPr>
          <w:p w:rsidR="00525419" w:rsidRDefault="00EE1CF7">
            <w:pPr>
              <w:autoSpaceDE w:val="0"/>
              <w:autoSpaceDN w:val="0"/>
              <w:adjustRightInd w:val="0"/>
              <w:spacing w:line="240" w:lineRule="atLeast"/>
              <w:rPr>
                <w:rFonts w:ascii="Times New Roman" w:hAnsi="Times New Roman"/>
                <w:kern w:val="0"/>
                <w:szCs w:val="21"/>
              </w:rPr>
            </w:pPr>
            <w:r>
              <w:rPr>
                <w:rFonts w:ascii="Times New Roman" w:hAnsi="Times New Roman"/>
                <w:kern w:val="0"/>
                <w:szCs w:val="21"/>
              </w:rPr>
              <w:t>排放情况</w:t>
            </w:r>
          </w:p>
        </w:tc>
      </w:tr>
      <w:tr w:rsidR="00525419">
        <w:trPr>
          <w:trHeight w:val="285"/>
        </w:trPr>
        <w:tc>
          <w:tcPr>
            <w:tcW w:w="1067" w:type="dxa"/>
            <w:vMerge/>
            <w:tcBorders>
              <w:tl2br w:val="nil"/>
              <w:tr2bl w:val="nil"/>
            </w:tcBorders>
          </w:tcPr>
          <w:p w:rsidR="00525419" w:rsidRDefault="00525419">
            <w:pPr>
              <w:autoSpaceDE w:val="0"/>
              <w:autoSpaceDN w:val="0"/>
              <w:adjustRightInd w:val="0"/>
              <w:spacing w:line="240" w:lineRule="atLeast"/>
              <w:rPr>
                <w:rFonts w:ascii="Times New Roman" w:hAnsi="Times New Roman"/>
                <w:kern w:val="0"/>
                <w:szCs w:val="21"/>
              </w:rPr>
            </w:pPr>
          </w:p>
        </w:tc>
        <w:tc>
          <w:tcPr>
            <w:tcW w:w="3054" w:type="dxa"/>
            <w:tcBorders>
              <w:tl2br w:val="nil"/>
              <w:tr2bl w:val="nil"/>
            </w:tcBorders>
          </w:tcPr>
          <w:p w:rsidR="00525419" w:rsidRDefault="00EE1CF7">
            <w:pPr>
              <w:pStyle w:val="ad"/>
              <w:spacing w:line="240" w:lineRule="atLeast"/>
              <w:ind w:left="0" w:firstLine="0"/>
              <w:rPr>
                <w:rFonts w:ascii="Times New Roman" w:eastAsia="宋体"/>
                <w:sz w:val="21"/>
                <w:szCs w:val="21"/>
              </w:rPr>
            </w:pPr>
            <w:r>
              <w:rPr>
                <w:rFonts w:ascii="Times New Roman" w:eastAsia="宋体"/>
                <w:sz w:val="21"/>
                <w:szCs w:val="21"/>
              </w:rPr>
              <w:t>速率</w:t>
            </w:r>
            <w:r>
              <w:rPr>
                <w:rFonts w:ascii="Times New Roman" w:eastAsia="宋体"/>
                <w:sz w:val="21"/>
                <w:szCs w:val="21"/>
              </w:rPr>
              <w:t>(kg/h)</w:t>
            </w:r>
          </w:p>
        </w:tc>
        <w:tc>
          <w:tcPr>
            <w:tcW w:w="1717" w:type="dxa"/>
            <w:tcBorders>
              <w:tl2br w:val="nil"/>
              <w:tr2bl w:val="nil"/>
            </w:tcBorders>
          </w:tcPr>
          <w:p w:rsidR="00525419" w:rsidRDefault="00EE1CF7">
            <w:pPr>
              <w:pStyle w:val="ad"/>
              <w:spacing w:line="240" w:lineRule="atLeast"/>
              <w:ind w:left="0" w:firstLine="0"/>
              <w:rPr>
                <w:rFonts w:ascii="Times New Roman" w:eastAsia="宋体"/>
                <w:sz w:val="21"/>
                <w:szCs w:val="21"/>
              </w:rPr>
            </w:pPr>
            <w:r>
              <w:rPr>
                <w:rFonts w:ascii="Times New Roman" w:eastAsia="宋体"/>
                <w:sz w:val="21"/>
                <w:szCs w:val="21"/>
              </w:rPr>
              <w:t>浓度</w:t>
            </w:r>
            <w:r>
              <w:rPr>
                <w:rFonts w:ascii="Times New Roman" w:eastAsia="宋体"/>
                <w:sz w:val="21"/>
                <w:szCs w:val="21"/>
              </w:rPr>
              <w:t>mg/m</w:t>
            </w:r>
            <w:r>
              <w:rPr>
                <w:rFonts w:ascii="Times New Roman" w:eastAsia="宋体"/>
                <w:sz w:val="21"/>
                <w:szCs w:val="21"/>
                <w:vertAlign w:val="superscript"/>
              </w:rPr>
              <w:t>3</w:t>
            </w:r>
          </w:p>
        </w:tc>
        <w:tc>
          <w:tcPr>
            <w:tcW w:w="2676" w:type="dxa"/>
            <w:tcBorders>
              <w:tl2br w:val="nil"/>
              <w:tr2bl w:val="nil"/>
            </w:tcBorders>
          </w:tcPr>
          <w:p w:rsidR="00525419" w:rsidRDefault="00EE1CF7">
            <w:pPr>
              <w:pStyle w:val="ad"/>
              <w:spacing w:line="240" w:lineRule="atLeast"/>
              <w:ind w:left="0" w:firstLine="0"/>
              <w:rPr>
                <w:rFonts w:ascii="Times New Roman" w:eastAsia="宋体"/>
                <w:sz w:val="21"/>
                <w:szCs w:val="21"/>
              </w:rPr>
            </w:pPr>
            <w:r>
              <w:rPr>
                <w:rFonts w:ascii="Times New Roman" w:eastAsia="宋体"/>
                <w:sz w:val="21"/>
                <w:szCs w:val="21"/>
              </w:rPr>
              <w:t>排放量</w:t>
            </w:r>
            <w:r>
              <w:rPr>
                <w:rFonts w:ascii="Times New Roman" w:eastAsia="宋体"/>
                <w:sz w:val="21"/>
                <w:szCs w:val="21"/>
              </w:rPr>
              <w:t>(t/a)</w:t>
            </w:r>
          </w:p>
        </w:tc>
      </w:tr>
      <w:tr w:rsidR="00525419">
        <w:tc>
          <w:tcPr>
            <w:tcW w:w="1067" w:type="dxa"/>
            <w:tcBorders>
              <w:tl2br w:val="nil"/>
              <w:tr2bl w:val="nil"/>
            </w:tcBorders>
          </w:tcPr>
          <w:p w:rsidR="00525419" w:rsidRDefault="00EE1CF7">
            <w:pPr>
              <w:autoSpaceDE w:val="0"/>
              <w:autoSpaceDN w:val="0"/>
              <w:adjustRightInd w:val="0"/>
              <w:spacing w:line="240" w:lineRule="atLeast"/>
              <w:rPr>
                <w:rFonts w:ascii="Times New Roman" w:hAnsi="Times New Roman"/>
                <w:kern w:val="0"/>
                <w:szCs w:val="21"/>
              </w:rPr>
            </w:pPr>
            <w:r>
              <w:rPr>
                <w:rFonts w:ascii="Times New Roman" w:hAnsi="Times New Roman"/>
                <w:kern w:val="0"/>
                <w:szCs w:val="21"/>
              </w:rPr>
              <w:t>废气</w:t>
            </w:r>
          </w:p>
        </w:tc>
        <w:tc>
          <w:tcPr>
            <w:tcW w:w="3054" w:type="dxa"/>
            <w:tcBorders>
              <w:tl2br w:val="nil"/>
              <w:tr2bl w:val="nil"/>
            </w:tcBorders>
          </w:tcPr>
          <w:p w:rsidR="00525419" w:rsidRDefault="00EE1CF7">
            <w:pPr>
              <w:autoSpaceDE w:val="0"/>
              <w:autoSpaceDN w:val="0"/>
              <w:adjustRightInd w:val="0"/>
              <w:spacing w:line="240" w:lineRule="atLeast"/>
              <w:rPr>
                <w:rFonts w:ascii="Times New Roman" w:hAnsi="Times New Roman"/>
                <w:kern w:val="0"/>
                <w:szCs w:val="21"/>
              </w:rPr>
            </w:pPr>
            <w:r>
              <w:rPr>
                <w:rFonts w:ascii="Times New Roman" w:hAnsi="Times New Roman"/>
                <w:kern w:val="0"/>
                <w:szCs w:val="21"/>
              </w:rPr>
              <w:t>90000m</w:t>
            </w:r>
            <w:r>
              <w:rPr>
                <w:rFonts w:ascii="Times New Roman" w:hAnsi="Times New Roman"/>
                <w:kern w:val="0"/>
                <w:szCs w:val="21"/>
                <w:vertAlign w:val="superscript"/>
              </w:rPr>
              <w:t>3</w:t>
            </w:r>
            <w:r>
              <w:rPr>
                <w:rFonts w:ascii="Times New Roman" w:hAnsi="Times New Roman"/>
                <w:kern w:val="0"/>
                <w:szCs w:val="21"/>
              </w:rPr>
              <w:t>/h</w:t>
            </w:r>
          </w:p>
        </w:tc>
        <w:tc>
          <w:tcPr>
            <w:tcW w:w="1717" w:type="dxa"/>
            <w:tcBorders>
              <w:tl2br w:val="nil"/>
              <w:tr2bl w:val="nil"/>
            </w:tcBorders>
          </w:tcPr>
          <w:p w:rsidR="00525419" w:rsidRDefault="00EE1CF7">
            <w:pPr>
              <w:autoSpaceDE w:val="0"/>
              <w:autoSpaceDN w:val="0"/>
              <w:adjustRightInd w:val="0"/>
              <w:spacing w:line="240" w:lineRule="atLeast"/>
              <w:rPr>
                <w:rFonts w:ascii="Times New Roman" w:hAnsi="Times New Roman"/>
                <w:kern w:val="0"/>
                <w:szCs w:val="21"/>
              </w:rPr>
            </w:pPr>
            <w:r>
              <w:rPr>
                <w:rFonts w:ascii="Times New Roman" w:hAnsi="Times New Roman"/>
                <w:kern w:val="0"/>
                <w:szCs w:val="21"/>
              </w:rPr>
              <w:t>/</w:t>
            </w:r>
          </w:p>
        </w:tc>
        <w:tc>
          <w:tcPr>
            <w:tcW w:w="2676" w:type="dxa"/>
            <w:tcBorders>
              <w:tl2br w:val="nil"/>
              <w:tr2bl w:val="nil"/>
            </w:tcBorders>
          </w:tcPr>
          <w:p w:rsidR="00525419" w:rsidRDefault="00EE1CF7">
            <w:pPr>
              <w:autoSpaceDE w:val="0"/>
              <w:autoSpaceDN w:val="0"/>
              <w:adjustRightInd w:val="0"/>
              <w:spacing w:line="240" w:lineRule="atLeast"/>
              <w:rPr>
                <w:rFonts w:ascii="Times New Roman" w:hAnsi="Times New Roman"/>
                <w:kern w:val="0"/>
                <w:szCs w:val="21"/>
              </w:rPr>
            </w:pPr>
            <w:r>
              <w:rPr>
                <w:rFonts w:ascii="Times New Roman" w:hAnsi="Times New Roman"/>
                <w:kern w:val="0"/>
                <w:szCs w:val="21"/>
              </w:rPr>
              <w:t>/</w:t>
            </w:r>
          </w:p>
        </w:tc>
      </w:tr>
      <w:tr w:rsidR="00525419">
        <w:trPr>
          <w:trHeight w:val="272"/>
        </w:trPr>
        <w:tc>
          <w:tcPr>
            <w:tcW w:w="1067" w:type="dxa"/>
            <w:tcBorders>
              <w:tl2br w:val="nil"/>
              <w:tr2bl w:val="nil"/>
            </w:tcBorders>
          </w:tcPr>
          <w:p w:rsidR="00525419" w:rsidRDefault="00EE1CF7">
            <w:pPr>
              <w:autoSpaceDE w:val="0"/>
              <w:autoSpaceDN w:val="0"/>
              <w:adjustRightInd w:val="0"/>
              <w:spacing w:line="240" w:lineRule="atLeast"/>
              <w:rPr>
                <w:rFonts w:ascii="Times New Roman" w:hAnsi="Times New Roman"/>
                <w:kern w:val="0"/>
                <w:szCs w:val="21"/>
              </w:rPr>
            </w:pPr>
            <w:r>
              <w:rPr>
                <w:rFonts w:ascii="Times New Roman" w:hAnsi="Times New Roman"/>
                <w:kern w:val="0"/>
                <w:szCs w:val="21"/>
              </w:rPr>
              <w:t>SO</w:t>
            </w:r>
            <w:r>
              <w:rPr>
                <w:rFonts w:ascii="Times New Roman" w:hAnsi="Times New Roman"/>
                <w:kern w:val="0"/>
                <w:szCs w:val="21"/>
                <w:vertAlign w:val="subscript"/>
              </w:rPr>
              <w:t>2</w:t>
            </w:r>
          </w:p>
        </w:tc>
        <w:tc>
          <w:tcPr>
            <w:tcW w:w="3054" w:type="dxa"/>
            <w:tcBorders>
              <w:tl2br w:val="nil"/>
              <w:tr2bl w:val="nil"/>
            </w:tcBorders>
          </w:tcPr>
          <w:p w:rsidR="00525419" w:rsidRDefault="00EE1CF7">
            <w:pPr>
              <w:autoSpaceDE w:val="0"/>
              <w:autoSpaceDN w:val="0"/>
              <w:adjustRightInd w:val="0"/>
              <w:spacing w:line="240" w:lineRule="atLeast"/>
              <w:rPr>
                <w:rFonts w:ascii="Times New Roman" w:hAnsi="Times New Roman"/>
                <w:kern w:val="0"/>
                <w:szCs w:val="21"/>
              </w:rPr>
            </w:pPr>
            <w:r>
              <w:rPr>
                <w:rFonts w:ascii="Times New Roman" w:hAnsi="Times New Roman"/>
                <w:kern w:val="0"/>
                <w:szCs w:val="21"/>
              </w:rPr>
              <w:t>19.08</w:t>
            </w:r>
          </w:p>
        </w:tc>
        <w:tc>
          <w:tcPr>
            <w:tcW w:w="1717" w:type="dxa"/>
            <w:tcBorders>
              <w:tl2br w:val="nil"/>
              <w:tr2bl w:val="nil"/>
            </w:tcBorders>
          </w:tcPr>
          <w:p w:rsidR="00525419" w:rsidRDefault="00EE1CF7">
            <w:pPr>
              <w:autoSpaceDE w:val="0"/>
              <w:autoSpaceDN w:val="0"/>
              <w:adjustRightInd w:val="0"/>
              <w:spacing w:line="240" w:lineRule="atLeast"/>
              <w:rPr>
                <w:rFonts w:ascii="Times New Roman" w:hAnsi="Times New Roman"/>
                <w:kern w:val="0"/>
                <w:szCs w:val="21"/>
              </w:rPr>
            </w:pPr>
            <w:r>
              <w:rPr>
                <w:rFonts w:ascii="Times New Roman" w:hAnsi="Times New Roman"/>
                <w:kern w:val="0"/>
                <w:szCs w:val="21"/>
              </w:rPr>
              <w:t>212</w:t>
            </w:r>
          </w:p>
        </w:tc>
        <w:tc>
          <w:tcPr>
            <w:tcW w:w="2676" w:type="dxa"/>
            <w:tcBorders>
              <w:tl2br w:val="nil"/>
              <w:tr2bl w:val="nil"/>
            </w:tcBorders>
          </w:tcPr>
          <w:p w:rsidR="00525419" w:rsidRDefault="00EE1CF7">
            <w:pPr>
              <w:autoSpaceDE w:val="0"/>
              <w:autoSpaceDN w:val="0"/>
              <w:adjustRightInd w:val="0"/>
              <w:spacing w:line="240" w:lineRule="atLeast"/>
              <w:rPr>
                <w:rFonts w:ascii="Times New Roman" w:hAnsi="Times New Roman"/>
                <w:kern w:val="0"/>
                <w:szCs w:val="21"/>
              </w:rPr>
            </w:pPr>
            <w:r>
              <w:rPr>
                <w:rFonts w:ascii="Times New Roman" w:hAnsi="Times New Roman"/>
                <w:kern w:val="0"/>
                <w:szCs w:val="21"/>
              </w:rPr>
              <w:t>/</w:t>
            </w:r>
          </w:p>
        </w:tc>
      </w:tr>
      <w:tr w:rsidR="00525419">
        <w:tc>
          <w:tcPr>
            <w:tcW w:w="1067" w:type="dxa"/>
            <w:tcBorders>
              <w:tl2br w:val="nil"/>
              <w:tr2bl w:val="nil"/>
            </w:tcBorders>
          </w:tcPr>
          <w:p w:rsidR="00525419" w:rsidRDefault="00EE1CF7">
            <w:pPr>
              <w:autoSpaceDE w:val="0"/>
              <w:autoSpaceDN w:val="0"/>
              <w:adjustRightInd w:val="0"/>
              <w:spacing w:line="240" w:lineRule="atLeast"/>
              <w:rPr>
                <w:rFonts w:ascii="Times New Roman" w:hAnsi="Times New Roman"/>
                <w:kern w:val="0"/>
                <w:szCs w:val="21"/>
              </w:rPr>
            </w:pPr>
            <w:r>
              <w:rPr>
                <w:rFonts w:ascii="Times New Roman" w:hAnsi="Times New Roman"/>
                <w:kern w:val="0"/>
                <w:szCs w:val="21"/>
              </w:rPr>
              <w:t>NOx</w:t>
            </w:r>
          </w:p>
        </w:tc>
        <w:tc>
          <w:tcPr>
            <w:tcW w:w="3054" w:type="dxa"/>
            <w:tcBorders>
              <w:tl2br w:val="nil"/>
              <w:tr2bl w:val="nil"/>
            </w:tcBorders>
          </w:tcPr>
          <w:p w:rsidR="00525419" w:rsidRDefault="00EE1CF7">
            <w:pPr>
              <w:autoSpaceDE w:val="0"/>
              <w:autoSpaceDN w:val="0"/>
              <w:adjustRightInd w:val="0"/>
              <w:spacing w:line="240" w:lineRule="atLeast"/>
              <w:rPr>
                <w:rFonts w:ascii="Times New Roman" w:hAnsi="Times New Roman"/>
                <w:kern w:val="0"/>
                <w:szCs w:val="21"/>
              </w:rPr>
            </w:pPr>
            <w:r>
              <w:rPr>
                <w:rFonts w:ascii="Times New Roman" w:hAnsi="Times New Roman"/>
                <w:kern w:val="0"/>
                <w:szCs w:val="21"/>
              </w:rPr>
              <w:t>9</w:t>
            </w:r>
          </w:p>
        </w:tc>
        <w:tc>
          <w:tcPr>
            <w:tcW w:w="1717" w:type="dxa"/>
            <w:tcBorders>
              <w:tl2br w:val="nil"/>
              <w:tr2bl w:val="nil"/>
            </w:tcBorders>
          </w:tcPr>
          <w:p w:rsidR="00525419" w:rsidRDefault="00EE1CF7">
            <w:pPr>
              <w:autoSpaceDE w:val="0"/>
              <w:autoSpaceDN w:val="0"/>
              <w:adjustRightInd w:val="0"/>
              <w:spacing w:line="240" w:lineRule="atLeast"/>
              <w:rPr>
                <w:rFonts w:ascii="Times New Roman" w:hAnsi="Times New Roman"/>
                <w:kern w:val="0"/>
                <w:szCs w:val="21"/>
              </w:rPr>
            </w:pPr>
            <w:r>
              <w:rPr>
                <w:rFonts w:ascii="Times New Roman" w:hAnsi="Times New Roman"/>
                <w:kern w:val="0"/>
                <w:szCs w:val="21"/>
              </w:rPr>
              <w:t>100</w:t>
            </w:r>
          </w:p>
        </w:tc>
        <w:tc>
          <w:tcPr>
            <w:tcW w:w="2676" w:type="dxa"/>
            <w:tcBorders>
              <w:tl2br w:val="nil"/>
              <w:tr2bl w:val="nil"/>
            </w:tcBorders>
          </w:tcPr>
          <w:p w:rsidR="00525419" w:rsidRDefault="00EE1CF7">
            <w:pPr>
              <w:autoSpaceDE w:val="0"/>
              <w:autoSpaceDN w:val="0"/>
              <w:adjustRightInd w:val="0"/>
              <w:spacing w:line="240" w:lineRule="atLeast"/>
              <w:rPr>
                <w:rFonts w:ascii="Times New Roman" w:hAnsi="Times New Roman"/>
                <w:kern w:val="0"/>
                <w:szCs w:val="21"/>
              </w:rPr>
            </w:pPr>
            <w:r>
              <w:rPr>
                <w:rFonts w:ascii="Times New Roman" w:hAnsi="Times New Roman"/>
                <w:kern w:val="0"/>
                <w:szCs w:val="21"/>
              </w:rPr>
              <w:t>/</w:t>
            </w:r>
          </w:p>
        </w:tc>
      </w:tr>
      <w:tr w:rsidR="00525419">
        <w:tc>
          <w:tcPr>
            <w:tcW w:w="1067" w:type="dxa"/>
            <w:tcBorders>
              <w:tl2br w:val="nil"/>
              <w:tr2bl w:val="nil"/>
            </w:tcBorders>
          </w:tcPr>
          <w:p w:rsidR="00525419" w:rsidRDefault="00EE1CF7">
            <w:pPr>
              <w:autoSpaceDE w:val="0"/>
              <w:autoSpaceDN w:val="0"/>
              <w:adjustRightInd w:val="0"/>
              <w:spacing w:line="240" w:lineRule="atLeast"/>
              <w:rPr>
                <w:rFonts w:ascii="Times New Roman" w:hAnsi="Times New Roman"/>
                <w:kern w:val="0"/>
                <w:szCs w:val="21"/>
              </w:rPr>
            </w:pPr>
            <w:r>
              <w:rPr>
                <w:rFonts w:ascii="Times New Roman" w:hAnsi="Times New Roman"/>
                <w:kern w:val="0"/>
                <w:szCs w:val="21"/>
              </w:rPr>
              <w:t>烟尘</w:t>
            </w:r>
          </w:p>
        </w:tc>
        <w:tc>
          <w:tcPr>
            <w:tcW w:w="3054" w:type="dxa"/>
            <w:tcBorders>
              <w:tl2br w:val="nil"/>
              <w:tr2bl w:val="nil"/>
            </w:tcBorders>
          </w:tcPr>
          <w:p w:rsidR="00525419" w:rsidRDefault="00EE1CF7">
            <w:pPr>
              <w:autoSpaceDE w:val="0"/>
              <w:autoSpaceDN w:val="0"/>
              <w:adjustRightInd w:val="0"/>
              <w:spacing w:line="240" w:lineRule="atLeast"/>
              <w:rPr>
                <w:rFonts w:ascii="Times New Roman" w:hAnsi="Times New Roman"/>
                <w:kern w:val="0"/>
                <w:szCs w:val="21"/>
              </w:rPr>
            </w:pPr>
            <w:r>
              <w:rPr>
                <w:rFonts w:ascii="Times New Roman" w:hAnsi="Times New Roman"/>
                <w:kern w:val="0"/>
                <w:szCs w:val="21"/>
              </w:rPr>
              <w:t>4.5</w:t>
            </w:r>
          </w:p>
        </w:tc>
        <w:tc>
          <w:tcPr>
            <w:tcW w:w="1717" w:type="dxa"/>
            <w:tcBorders>
              <w:tl2br w:val="nil"/>
              <w:tr2bl w:val="nil"/>
            </w:tcBorders>
          </w:tcPr>
          <w:p w:rsidR="00525419" w:rsidRDefault="00EE1CF7">
            <w:pPr>
              <w:autoSpaceDE w:val="0"/>
              <w:autoSpaceDN w:val="0"/>
              <w:adjustRightInd w:val="0"/>
              <w:spacing w:line="240" w:lineRule="atLeast"/>
              <w:rPr>
                <w:rFonts w:ascii="Times New Roman" w:hAnsi="Times New Roman"/>
                <w:kern w:val="0"/>
                <w:szCs w:val="21"/>
              </w:rPr>
            </w:pPr>
            <w:r>
              <w:rPr>
                <w:rFonts w:ascii="Times New Roman" w:hAnsi="Times New Roman"/>
                <w:kern w:val="0"/>
                <w:szCs w:val="21"/>
              </w:rPr>
              <w:t>50</w:t>
            </w:r>
          </w:p>
        </w:tc>
        <w:tc>
          <w:tcPr>
            <w:tcW w:w="2676" w:type="dxa"/>
            <w:tcBorders>
              <w:tl2br w:val="nil"/>
              <w:tr2bl w:val="nil"/>
            </w:tcBorders>
          </w:tcPr>
          <w:p w:rsidR="00525419" w:rsidRDefault="00EE1CF7">
            <w:pPr>
              <w:autoSpaceDE w:val="0"/>
              <w:autoSpaceDN w:val="0"/>
              <w:adjustRightInd w:val="0"/>
              <w:spacing w:line="240" w:lineRule="atLeast"/>
              <w:rPr>
                <w:rFonts w:ascii="Times New Roman" w:hAnsi="Times New Roman"/>
                <w:kern w:val="0"/>
                <w:szCs w:val="21"/>
              </w:rPr>
            </w:pPr>
            <w:r>
              <w:rPr>
                <w:rFonts w:ascii="Times New Roman" w:hAnsi="Times New Roman"/>
                <w:kern w:val="0"/>
                <w:szCs w:val="21"/>
              </w:rPr>
              <w:t>/</w:t>
            </w:r>
          </w:p>
        </w:tc>
      </w:tr>
    </w:tbl>
    <w:p w:rsidR="00525419" w:rsidRDefault="00525419">
      <w:pPr>
        <w:rPr>
          <w:rFonts w:ascii="Times New Roman" w:hAnsi="Times New Roman"/>
          <w:sz w:val="26"/>
          <w:szCs w:val="26"/>
        </w:rPr>
      </w:pPr>
    </w:p>
    <w:p w:rsidR="00525419" w:rsidRDefault="00EE1CF7">
      <w:pPr>
        <w:pStyle w:val="3a"/>
        <w:spacing w:beforeLines="50" w:before="159" w:after="156" w:line="360" w:lineRule="auto"/>
        <w:jc w:val="left"/>
        <w:rPr>
          <w:rFonts w:ascii="Times New Roman" w:eastAsia="华文楷体" w:hAnsi="Times New Roman"/>
        </w:rPr>
      </w:pPr>
      <w:r>
        <w:rPr>
          <w:rFonts w:ascii="Times New Roman" w:eastAsia="华文楷体" w:hAnsi="Times New Roman"/>
        </w:rPr>
        <w:t>3.7.2</w:t>
      </w:r>
      <w:r>
        <w:rPr>
          <w:rFonts w:ascii="Times New Roman" w:eastAsia="华文楷体" w:hAnsi="Times New Roman"/>
        </w:rPr>
        <w:t>废水</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3.7.2.1</w:t>
      </w:r>
      <w:r>
        <w:rPr>
          <w:rFonts w:ascii="Times New Roman" w:hAnsi="Times New Roman" w:cs="Times New Roman"/>
          <w:kern w:val="44"/>
          <w:sz w:val="24"/>
          <w:szCs w:val="24"/>
        </w:rPr>
        <w:t>天然气制氢装置</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生产废水主要有扩容排污器排放的废水。根据类比核算，本项目废水污染源源强核算结果见表</w:t>
      </w:r>
      <w:r>
        <w:rPr>
          <w:rFonts w:ascii="Times New Roman" w:hAnsi="Times New Roman"/>
          <w:sz w:val="24"/>
          <w:szCs w:val="24"/>
        </w:rPr>
        <w:t>3.7-5</w:t>
      </w:r>
      <w:r>
        <w:rPr>
          <w:rFonts w:ascii="Times New Roman" w:hAnsi="Times New Roman"/>
          <w:sz w:val="24"/>
          <w:szCs w:val="24"/>
        </w:rPr>
        <w:t>。</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3.7.2.2</w:t>
      </w:r>
      <w:r>
        <w:rPr>
          <w:rFonts w:ascii="Times New Roman" w:hAnsi="Times New Roman" w:cs="Times New Roman"/>
          <w:kern w:val="44"/>
          <w:sz w:val="24"/>
          <w:szCs w:val="24"/>
        </w:rPr>
        <w:t>煤焦油加氢装置</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生产工艺废水主要有回流罐和高低压分离排放的含硫废水。根据类比及物料核算，本项目废水污染源源强核算结果见</w:t>
      </w:r>
      <w:r>
        <w:rPr>
          <w:rFonts w:ascii="Times New Roman" w:hAnsi="Times New Roman"/>
          <w:sz w:val="24"/>
          <w:szCs w:val="24"/>
        </w:rPr>
        <w:t>3.7-6</w:t>
      </w:r>
      <w:r>
        <w:rPr>
          <w:rFonts w:ascii="Times New Roman" w:hAnsi="Times New Roman"/>
          <w:sz w:val="24"/>
          <w:szCs w:val="24"/>
        </w:rPr>
        <w:t>。</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3.7.2.3</w:t>
      </w:r>
      <w:r>
        <w:rPr>
          <w:rFonts w:ascii="Times New Roman" w:hAnsi="Times New Roman" w:cs="Times New Roman"/>
          <w:kern w:val="44"/>
          <w:sz w:val="24"/>
          <w:szCs w:val="24"/>
        </w:rPr>
        <w:t>硫磺回收装置</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烟气经脱硫塔排出的脱硫废水经沉淀处理后循环利用，不排放。</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lastRenderedPageBreak/>
        <w:t>3.7.2.4</w:t>
      </w:r>
      <w:r>
        <w:rPr>
          <w:rFonts w:ascii="Times New Roman" w:hAnsi="Times New Roman" w:cs="Times New Roman"/>
          <w:kern w:val="44"/>
          <w:sz w:val="24"/>
          <w:szCs w:val="24"/>
        </w:rPr>
        <w:t>公用辅助工程</w:t>
      </w:r>
    </w:p>
    <w:p w:rsidR="00525419" w:rsidRDefault="00EE1CF7">
      <w:pPr>
        <w:spacing w:line="360" w:lineRule="auto"/>
        <w:ind w:firstLineChars="225" w:firstLine="540"/>
        <w:rPr>
          <w:rFonts w:ascii="Times New Roman" w:hAnsi="Times New Roman"/>
          <w:sz w:val="24"/>
        </w:rPr>
      </w:pPr>
      <w:r>
        <w:rPr>
          <w:rFonts w:ascii="Times New Roman" w:hAnsi="Times New Roman"/>
          <w:sz w:val="24"/>
          <w:szCs w:val="24"/>
        </w:rPr>
        <w:t>公用工程及辅助设施的废水污染主要是循环水系统排污（</w:t>
      </w:r>
      <w:r>
        <w:rPr>
          <w:rFonts w:ascii="Times New Roman" w:hAnsi="Times New Roman"/>
          <w:sz w:val="24"/>
          <w:szCs w:val="24"/>
        </w:rPr>
        <w:t>3t/h</w:t>
      </w:r>
      <w:r>
        <w:rPr>
          <w:rFonts w:ascii="Times New Roman" w:hAnsi="Times New Roman"/>
          <w:sz w:val="24"/>
          <w:szCs w:val="24"/>
        </w:rPr>
        <w:t>）、脱盐水站产生的含盐废水（</w:t>
      </w:r>
      <w:r>
        <w:rPr>
          <w:rFonts w:ascii="Times New Roman" w:hAnsi="Times New Roman"/>
          <w:sz w:val="24"/>
          <w:szCs w:val="24"/>
        </w:rPr>
        <w:t>8.5t/h</w:t>
      </w:r>
      <w:r>
        <w:rPr>
          <w:rFonts w:ascii="Times New Roman" w:hAnsi="Times New Roman"/>
          <w:sz w:val="24"/>
          <w:szCs w:val="24"/>
        </w:rPr>
        <w:t>）及生活污水（</w:t>
      </w:r>
      <w:r>
        <w:rPr>
          <w:rFonts w:ascii="Times New Roman" w:hAnsi="Times New Roman"/>
          <w:sz w:val="24"/>
          <w:szCs w:val="24"/>
        </w:rPr>
        <w:t>0.24t/h</w:t>
      </w:r>
      <w:r>
        <w:rPr>
          <w:rFonts w:ascii="Times New Roman" w:hAnsi="Times New Roman"/>
          <w:sz w:val="24"/>
          <w:szCs w:val="24"/>
        </w:rPr>
        <w:t>）。</w:t>
      </w:r>
      <w:r>
        <w:rPr>
          <w:rFonts w:ascii="Times New Roman" w:hAnsi="Times New Roman"/>
          <w:sz w:val="24"/>
        </w:rPr>
        <w:t>废水产生情况见表</w:t>
      </w:r>
      <w:r>
        <w:rPr>
          <w:rFonts w:ascii="Times New Roman" w:hAnsi="Times New Roman"/>
          <w:sz w:val="24"/>
        </w:rPr>
        <w:t>3.7-7</w:t>
      </w:r>
      <w:r>
        <w:rPr>
          <w:rFonts w:ascii="Times New Roman" w:hAnsi="Times New Roman"/>
          <w:sz w:val="24"/>
        </w:rPr>
        <w:t>。</w:t>
      </w:r>
    </w:p>
    <w:p w:rsidR="00525419" w:rsidRDefault="00EE1CF7">
      <w:pPr>
        <w:spacing w:line="240" w:lineRule="atLeast"/>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3.7-7     </w:t>
      </w:r>
      <w:r>
        <w:rPr>
          <w:rFonts w:ascii="Times New Roman" w:eastAsia="黑体" w:hAnsi="Times New Roman"/>
          <w:szCs w:val="21"/>
        </w:rPr>
        <w:t>公用工程辅助设施排放废水</w:t>
      </w:r>
    </w:p>
    <w:tbl>
      <w:tblPr>
        <w:tblW w:w="85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10"/>
        <w:gridCol w:w="1401"/>
        <w:gridCol w:w="1242"/>
        <w:gridCol w:w="657"/>
        <w:gridCol w:w="1281"/>
        <w:gridCol w:w="1092"/>
        <w:gridCol w:w="1530"/>
      </w:tblGrid>
      <w:tr w:rsidR="00525419">
        <w:trPr>
          <w:trHeight w:val="670"/>
          <w:jc w:val="center"/>
        </w:trPr>
        <w:tc>
          <w:tcPr>
            <w:tcW w:w="1310"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装置</w:t>
            </w:r>
          </w:p>
          <w:p w:rsidR="00525419" w:rsidRDefault="00EE1CF7">
            <w:pPr>
              <w:jc w:val="center"/>
              <w:rPr>
                <w:rFonts w:ascii="Times New Roman" w:hAnsi="Times New Roman"/>
                <w:szCs w:val="21"/>
              </w:rPr>
            </w:pPr>
            <w:r>
              <w:rPr>
                <w:rFonts w:ascii="Times New Roman" w:hAnsi="Times New Roman"/>
                <w:szCs w:val="21"/>
              </w:rPr>
              <w:t>设施</w:t>
            </w:r>
          </w:p>
        </w:tc>
        <w:tc>
          <w:tcPr>
            <w:tcW w:w="1401"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污染源</w:t>
            </w:r>
          </w:p>
        </w:tc>
        <w:tc>
          <w:tcPr>
            <w:tcW w:w="1242"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污水</w:t>
            </w:r>
          </w:p>
          <w:p w:rsidR="00525419" w:rsidRDefault="00EE1CF7">
            <w:pPr>
              <w:jc w:val="center"/>
              <w:rPr>
                <w:rFonts w:ascii="Times New Roman" w:hAnsi="Times New Roman"/>
                <w:szCs w:val="21"/>
              </w:rPr>
            </w:pPr>
            <w:r>
              <w:rPr>
                <w:rFonts w:ascii="Times New Roman" w:hAnsi="Times New Roman"/>
                <w:szCs w:val="21"/>
              </w:rPr>
              <w:t>类型</w:t>
            </w:r>
          </w:p>
        </w:tc>
        <w:tc>
          <w:tcPr>
            <w:tcW w:w="657"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排放</w:t>
            </w:r>
          </w:p>
          <w:p w:rsidR="00525419" w:rsidRDefault="00EE1CF7">
            <w:pPr>
              <w:jc w:val="center"/>
              <w:rPr>
                <w:rFonts w:ascii="Times New Roman" w:hAnsi="Times New Roman"/>
                <w:szCs w:val="21"/>
              </w:rPr>
            </w:pPr>
            <w:r>
              <w:rPr>
                <w:rFonts w:ascii="Times New Roman" w:hAnsi="Times New Roman"/>
                <w:szCs w:val="21"/>
              </w:rPr>
              <w:t>规律</w:t>
            </w:r>
          </w:p>
        </w:tc>
        <w:tc>
          <w:tcPr>
            <w:tcW w:w="1281"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排放量</w:t>
            </w:r>
            <w:r>
              <w:rPr>
                <w:rFonts w:ascii="Times New Roman" w:hAnsi="Times New Roman"/>
                <w:szCs w:val="21"/>
              </w:rPr>
              <w:t>(t/h)</w:t>
            </w:r>
          </w:p>
        </w:tc>
        <w:tc>
          <w:tcPr>
            <w:tcW w:w="1092"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水质</w:t>
            </w:r>
          </w:p>
          <w:p w:rsidR="00525419" w:rsidRDefault="00EE1CF7">
            <w:pPr>
              <w:jc w:val="center"/>
              <w:rPr>
                <w:rFonts w:ascii="Times New Roman" w:hAnsi="Times New Roman"/>
                <w:szCs w:val="21"/>
              </w:rPr>
            </w:pPr>
            <w:r>
              <w:rPr>
                <w:rFonts w:ascii="Times New Roman" w:hAnsi="Times New Roman"/>
                <w:szCs w:val="21"/>
              </w:rPr>
              <w:t>(mg/L)</w:t>
            </w:r>
          </w:p>
        </w:tc>
        <w:tc>
          <w:tcPr>
            <w:tcW w:w="1530"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排放去向</w:t>
            </w:r>
          </w:p>
        </w:tc>
      </w:tr>
      <w:tr w:rsidR="00525419">
        <w:trPr>
          <w:trHeight w:val="670"/>
          <w:jc w:val="center"/>
        </w:trPr>
        <w:tc>
          <w:tcPr>
            <w:tcW w:w="1310"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脱盐水装置</w:t>
            </w:r>
          </w:p>
        </w:tc>
        <w:tc>
          <w:tcPr>
            <w:tcW w:w="1401"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浓盐水</w:t>
            </w:r>
          </w:p>
        </w:tc>
        <w:tc>
          <w:tcPr>
            <w:tcW w:w="1242"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清净下水</w:t>
            </w:r>
          </w:p>
        </w:tc>
        <w:tc>
          <w:tcPr>
            <w:tcW w:w="657"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连续</w:t>
            </w:r>
          </w:p>
        </w:tc>
        <w:tc>
          <w:tcPr>
            <w:tcW w:w="128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8.5</w:t>
            </w:r>
          </w:p>
        </w:tc>
        <w:tc>
          <w:tcPr>
            <w:tcW w:w="1092"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COD:60</w:t>
            </w:r>
          </w:p>
          <w:p w:rsidR="00525419" w:rsidRDefault="00EE1CF7">
            <w:pPr>
              <w:jc w:val="center"/>
              <w:rPr>
                <w:rFonts w:ascii="Times New Roman" w:hAnsi="Times New Roman"/>
                <w:szCs w:val="21"/>
              </w:rPr>
            </w:pPr>
            <w:r>
              <w:rPr>
                <w:rFonts w:ascii="Times New Roman" w:hAnsi="Times New Roman"/>
                <w:szCs w:val="21"/>
              </w:rPr>
              <w:t>TDS:1500</w:t>
            </w:r>
          </w:p>
        </w:tc>
        <w:tc>
          <w:tcPr>
            <w:tcW w:w="1530"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浓盐水处理</w:t>
            </w:r>
          </w:p>
          <w:p w:rsidR="00525419" w:rsidRDefault="00EE1CF7">
            <w:pPr>
              <w:jc w:val="center"/>
              <w:rPr>
                <w:rFonts w:ascii="Times New Roman" w:hAnsi="Times New Roman"/>
                <w:szCs w:val="21"/>
              </w:rPr>
            </w:pPr>
            <w:r>
              <w:rPr>
                <w:rFonts w:ascii="Times New Roman" w:hAnsi="Times New Roman"/>
                <w:szCs w:val="21"/>
              </w:rPr>
              <w:t>装置</w:t>
            </w:r>
          </w:p>
        </w:tc>
      </w:tr>
      <w:tr w:rsidR="00525419">
        <w:trPr>
          <w:trHeight w:val="704"/>
          <w:jc w:val="center"/>
        </w:trPr>
        <w:tc>
          <w:tcPr>
            <w:tcW w:w="1310"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循环水系统</w:t>
            </w:r>
          </w:p>
        </w:tc>
        <w:tc>
          <w:tcPr>
            <w:tcW w:w="140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循环水排污</w:t>
            </w:r>
          </w:p>
        </w:tc>
        <w:tc>
          <w:tcPr>
            <w:tcW w:w="1242"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清净下水</w:t>
            </w:r>
          </w:p>
        </w:tc>
        <w:tc>
          <w:tcPr>
            <w:tcW w:w="657"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连续</w:t>
            </w:r>
          </w:p>
        </w:tc>
        <w:tc>
          <w:tcPr>
            <w:tcW w:w="128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3</w:t>
            </w:r>
          </w:p>
        </w:tc>
        <w:tc>
          <w:tcPr>
            <w:tcW w:w="1092"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COD:60</w:t>
            </w:r>
          </w:p>
          <w:p w:rsidR="00525419" w:rsidRDefault="00EE1CF7">
            <w:pPr>
              <w:rPr>
                <w:rFonts w:ascii="Times New Roman" w:hAnsi="Times New Roman"/>
                <w:szCs w:val="21"/>
              </w:rPr>
            </w:pPr>
            <w:r>
              <w:rPr>
                <w:rFonts w:ascii="Times New Roman" w:hAnsi="Times New Roman"/>
                <w:szCs w:val="21"/>
              </w:rPr>
              <w:t>TDS:1500</w:t>
            </w:r>
          </w:p>
        </w:tc>
        <w:tc>
          <w:tcPr>
            <w:tcW w:w="153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污水处理站</w:t>
            </w:r>
          </w:p>
        </w:tc>
      </w:tr>
      <w:tr w:rsidR="00525419">
        <w:trPr>
          <w:trHeight w:val="630"/>
          <w:jc w:val="center"/>
        </w:trPr>
        <w:tc>
          <w:tcPr>
            <w:tcW w:w="1310"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生活场所</w:t>
            </w:r>
          </w:p>
        </w:tc>
        <w:tc>
          <w:tcPr>
            <w:tcW w:w="140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生活排污</w:t>
            </w:r>
          </w:p>
        </w:tc>
        <w:tc>
          <w:tcPr>
            <w:tcW w:w="1242"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生活污水</w:t>
            </w:r>
          </w:p>
        </w:tc>
        <w:tc>
          <w:tcPr>
            <w:tcW w:w="657"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连续</w:t>
            </w:r>
          </w:p>
        </w:tc>
        <w:tc>
          <w:tcPr>
            <w:tcW w:w="1281"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0.24</w:t>
            </w:r>
          </w:p>
        </w:tc>
        <w:tc>
          <w:tcPr>
            <w:tcW w:w="1092"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COD:300</w:t>
            </w:r>
          </w:p>
          <w:p w:rsidR="00525419" w:rsidRDefault="00EE1CF7">
            <w:pPr>
              <w:rPr>
                <w:rFonts w:ascii="Times New Roman" w:hAnsi="Times New Roman"/>
                <w:szCs w:val="21"/>
              </w:rPr>
            </w:pPr>
            <w:r>
              <w:rPr>
                <w:rFonts w:ascii="Times New Roman" w:hAnsi="Times New Roman"/>
                <w:szCs w:val="21"/>
              </w:rPr>
              <w:t>BOD:150</w:t>
            </w:r>
          </w:p>
          <w:p w:rsidR="00525419" w:rsidRDefault="00EE1CF7">
            <w:pPr>
              <w:rPr>
                <w:rFonts w:ascii="Times New Roman" w:hAnsi="Times New Roman"/>
                <w:szCs w:val="21"/>
              </w:rPr>
            </w:pPr>
            <w:r>
              <w:rPr>
                <w:rFonts w:ascii="Times New Roman" w:hAnsi="Times New Roman"/>
                <w:szCs w:val="21"/>
              </w:rPr>
              <w:t xml:space="preserve"> SS:100</w:t>
            </w:r>
          </w:p>
          <w:p w:rsidR="00525419" w:rsidRDefault="00EE1CF7">
            <w:pPr>
              <w:rPr>
                <w:rFonts w:ascii="Times New Roman" w:hAnsi="Times New Roman"/>
                <w:szCs w:val="21"/>
              </w:rPr>
            </w:pPr>
            <w:r>
              <w:rPr>
                <w:rFonts w:ascii="Times New Roman" w:hAnsi="Times New Roman" w:hint="eastAsia"/>
                <w:szCs w:val="21"/>
              </w:rPr>
              <w:t>氨氮：</w:t>
            </w:r>
            <w:r>
              <w:rPr>
                <w:rFonts w:ascii="Times New Roman" w:hAnsi="Times New Roman" w:hint="eastAsia"/>
                <w:szCs w:val="21"/>
              </w:rPr>
              <w:t>25</w:t>
            </w:r>
          </w:p>
        </w:tc>
        <w:tc>
          <w:tcPr>
            <w:tcW w:w="153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污水处理站</w:t>
            </w:r>
          </w:p>
        </w:tc>
      </w:tr>
    </w:tbl>
    <w:p w:rsidR="00525419" w:rsidRDefault="00525419">
      <w:pPr>
        <w:rPr>
          <w:rFonts w:ascii="Times New Roman" w:hAnsi="Times New Roman"/>
        </w:rPr>
      </w:pP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3.7.2.5</w:t>
      </w:r>
      <w:r>
        <w:rPr>
          <w:rFonts w:ascii="Times New Roman" w:hAnsi="Times New Roman" w:cs="Times New Roman"/>
          <w:kern w:val="44"/>
          <w:sz w:val="24"/>
          <w:szCs w:val="24"/>
        </w:rPr>
        <w:t>储运工程</w:t>
      </w:r>
    </w:p>
    <w:p w:rsidR="00525419" w:rsidRDefault="00EE1CF7">
      <w:pPr>
        <w:spacing w:line="360" w:lineRule="auto"/>
        <w:ind w:firstLineChars="225" w:firstLine="540"/>
        <w:rPr>
          <w:rFonts w:ascii="Times New Roman" w:hAnsi="Times New Roman"/>
          <w:sz w:val="24"/>
          <w:szCs w:val="24"/>
        </w:rPr>
      </w:pPr>
      <w:r>
        <w:rPr>
          <w:rFonts w:ascii="Times New Roman" w:hAnsi="Times New Roman"/>
          <w:sz w:val="24"/>
          <w:szCs w:val="24"/>
        </w:rPr>
        <w:t>储运工程废水主要排放源为罐区切水排水，根据类比分析，废水产生情况见表</w:t>
      </w:r>
      <w:r>
        <w:rPr>
          <w:rFonts w:ascii="Times New Roman" w:hAnsi="Times New Roman"/>
          <w:sz w:val="24"/>
          <w:szCs w:val="24"/>
        </w:rPr>
        <w:t>3.7-8</w:t>
      </w:r>
      <w:r>
        <w:rPr>
          <w:rFonts w:ascii="Times New Roman" w:hAnsi="Times New Roman"/>
          <w:sz w:val="24"/>
          <w:szCs w:val="24"/>
        </w:rPr>
        <w:t>。</w:t>
      </w:r>
    </w:p>
    <w:p w:rsidR="00525419" w:rsidRDefault="00EE1CF7">
      <w:pPr>
        <w:ind w:firstLineChars="1000" w:firstLine="2100"/>
        <w:rPr>
          <w:rFonts w:ascii="Times New Roman" w:eastAsia="黑体" w:hAnsi="Times New Roman"/>
        </w:rPr>
      </w:pPr>
      <w:r>
        <w:rPr>
          <w:rFonts w:ascii="Times New Roman" w:eastAsia="黑体" w:hAnsi="Times New Roman"/>
        </w:rPr>
        <w:t>表</w:t>
      </w:r>
      <w:r>
        <w:rPr>
          <w:rFonts w:ascii="Times New Roman" w:eastAsia="黑体" w:hAnsi="Times New Roman"/>
        </w:rPr>
        <w:t xml:space="preserve">3.7-8     </w:t>
      </w:r>
      <w:r>
        <w:rPr>
          <w:rFonts w:ascii="Times New Roman" w:eastAsia="黑体" w:hAnsi="Times New Roman"/>
        </w:rPr>
        <w:t>储运工程废水产生情况一览表</w:t>
      </w:r>
    </w:p>
    <w:tbl>
      <w:tblPr>
        <w:tblW w:w="81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26"/>
        <w:gridCol w:w="1372"/>
        <w:gridCol w:w="827"/>
        <w:gridCol w:w="1607"/>
        <w:gridCol w:w="1911"/>
        <w:gridCol w:w="1646"/>
      </w:tblGrid>
      <w:tr w:rsidR="00525419">
        <w:trPr>
          <w:trHeight w:val="317"/>
          <w:jc w:val="center"/>
        </w:trPr>
        <w:tc>
          <w:tcPr>
            <w:tcW w:w="826"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装置</w:t>
            </w:r>
          </w:p>
          <w:p w:rsidR="00525419" w:rsidRDefault="00EE1CF7">
            <w:pPr>
              <w:jc w:val="center"/>
              <w:rPr>
                <w:rFonts w:ascii="Times New Roman" w:hAnsi="Times New Roman"/>
                <w:szCs w:val="21"/>
              </w:rPr>
            </w:pPr>
            <w:r>
              <w:rPr>
                <w:rFonts w:ascii="Times New Roman" w:hAnsi="Times New Roman"/>
                <w:szCs w:val="21"/>
              </w:rPr>
              <w:t>设施</w:t>
            </w:r>
          </w:p>
        </w:tc>
        <w:tc>
          <w:tcPr>
            <w:tcW w:w="1372"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污水</w:t>
            </w:r>
          </w:p>
          <w:p w:rsidR="00525419" w:rsidRDefault="00EE1CF7">
            <w:pPr>
              <w:jc w:val="center"/>
              <w:rPr>
                <w:rFonts w:ascii="Times New Roman" w:hAnsi="Times New Roman"/>
                <w:szCs w:val="21"/>
              </w:rPr>
            </w:pPr>
            <w:r>
              <w:rPr>
                <w:rFonts w:ascii="Times New Roman" w:hAnsi="Times New Roman"/>
                <w:szCs w:val="21"/>
              </w:rPr>
              <w:t>类型</w:t>
            </w:r>
          </w:p>
        </w:tc>
        <w:tc>
          <w:tcPr>
            <w:tcW w:w="827"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排放</w:t>
            </w:r>
          </w:p>
          <w:p w:rsidR="00525419" w:rsidRDefault="00EE1CF7">
            <w:pPr>
              <w:jc w:val="center"/>
              <w:rPr>
                <w:rFonts w:ascii="Times New Roman" w:hAnsi="Times New Roman"/>
                <w:szCs w:val="21"/>
              </w:rPr>
            </w:pPr>
            <w:r>
              <w:rPr>
                <w:rFonts w:ascii="Times New Roman" w:hAnsi="Times New Roman"/>
                <w:szCs w:val="21"/>
              </w:rPr>
              <w:t>规律</w:t>
            </w:r>
          </w:p>
        </w:tc>
        <w:tc>
          <w:tcPr>
            <w:tcW w:w="1607"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排放量</w:t>
            </w:r>
            <w:r>
              <w:rPr>
                <w:rFonts w:ascii="Times New Roman" w:hAnsi="Times New Roman"/>
                <w:szCs w:val="21"/>
              </w:rPr>
              <w:t>(t/h)</w:t>
            </w:r>
          </w:p>
          <w:p w:rsidR="00525419" w:rsidRDefault="00EE1CF7">
            <w:pPr>
              <w:jc w:val="center"/>
              <w:rPr>
                <w:rFonts w:ascii="Times New Roman" w:hAnsi="Times New Roman"/>
                <w:szCs w:val="21"/>
              </w:rPr>
            </w:pPr>
            <w:r>
              <w:rPr>
                <w:rFonts w:ascii="Times New Roman" w:hAnsi="Times New Roman"/>
                <w:szCs w:val="21"/>
              </w:rPr>
              <w:t>正常</w:t>
            </w:r>
          </w:p>
        </w:tc>
        <w:tc>
          <w:tcPr>
            <w:tcW w:w="1911"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污染物组成</w:t>
            </w:r>
          </w:p>
          <w:p w:rsidR="00525419" w:rsidRDefault="00EE1CF7">
            <w:pPr>
              <w:jc w:val="center"/>
              <w:rPr>
                <w:rFonts w:ascii="Times New Roman" w:hAnsi="Times New Roman"/>
                <w:szCs w:val="21"/>
              </w:rPr>
            </w:pPr>
            <w:r>
              <w:rPr>
                <w:rFonts w:ascii="Times New Roman" w:hAnsi="Times New Roman"/>
                <w:szCs w:val="21"/>
              </w:rPr>
              <w:t>(mg/L)</w:t>
            </w:r>
          </w:p>
        </w:tc>
        <w:tc>
          <w:tcPr>
            <w:tcW w:w="1646"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排放去向</w:t>
            </w:r>
          </w:p>
        </w:tc>
      </w:tr>
      <w:tr w:rsidR="00525419">
        <w:trPr>
          <w:trHeight w:val="392"/>
          <w:jc w:val="center"/>
        </w:trPr>
        <w:tc>
          <w:tcPr>
            <w:tcW w:w="826"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罐区</w:t>
            </w:r>
          </w:p>
        </w:tc>
        <w:tc>
          <w:tcPr>
            <w:tcW w:w="1372"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切水清洗</w:t>
            </w:r>
          </w:p>
        </w:tc>
        <w:tc>
          <w:tcPr>
            <w:tcW w:w="827"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间断</w:t>
            </w:r>
          </w:p>
        </w:tc>
        <w:tc>
          <w:tcPr>
            <w:tcW w:w="1607"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0.2</w:t>
            </w:r>
          </w:p>
        </w:tc>
        <w:tc>
          <w:tcPr>
            <w:tcW w:w="1911"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COD:500</w:t>
            </w:r>
            <w:r>
              <w:rPr>
                <w:rFonts w:ascii="Times New Roman" w:hAnsi="Times New Roman"/>
                <w:sz w:val="24"/>
              </w:rPr>
              <w:t>-</w:t>
            </w:r>
            <w:r>
              <w:rPr>
                <w:rFonts w:ascii="Times New Roman" w:hAnsi="Times New Roman"/>
                <w:szCs w:val="21"/>
              </w:rPr>
              <w:t>1000</w:t>
            </w:r>
          </w:p>
          <w:p w:rsidR="00525419" w:rsidRDefault="00EE1CF7">
            <w:pPr>
              <w:jc w:val="center"/>
              <w:rPr>
                <w:rFonts w:ascii="Times New Roman" w:hAnsi="Times New Roman"/>
                <w:szCs w:val="21"/>
              </w:rPr>
            </w:pPr>
            <w:r>
              <w:rPr>
                <w:rFonts w:ascii="Times New Roman" w:hAnsi="Times New Roman"/>
                <w:szCs w:val="21"/>
              </w:rPr>
              <w:t>油类</w:t>
            </w:r>
            <w:r>
              <w:rPr>
                <w:rFonts w:ascii="Times New Roman" w:hAnsi="Times New Roman"/>
                <w:szCs w:val="21"/>
              </w:rPr>
              <w:t>:500</w:t>
            </w:r>
            <w:r>
              <w:rPr>
                <w:rFonts w:ascii="Times New Roman" w:hAnsi="Times New Roman"/>
                <w:sz w:val="24"/>
              </w:rPr>
              <w:t>-</w:t>
            </w:r>
            <w:r>
              <w:rPr>
                <w:rFonts w:ascii="Times New Roman" w:hAnsi="Times New Roman"/>
                <w:szCs w:val="21"/>
              </w:rPr>
              <w:t>800</w:t>
            </w:r>
          </w:p>
        </w:tc>
        <w:tc>
          <w:tcPr>
            <w:tcW w:w="1646"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污水处理站</w:t>
            </w:r>
          </w:p>
        </w:tc>
      </w:tr>
    </w:tbl>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sectPr w:rsidR="00525419">
          <w:pgSz w:w="11906" w:h="16838"/>
          <w:pgMar w:top="1440" w:right="1803" w:bottom="1440" w:left="1803" w:header="851" w:footer="992" w:gutter="0"/>
          <w:cols w:space="0"/>
          <w:docGrid w:type="lines" w:linePitch="319"/>
        </w:sectPr>
      </w:pPr>
    </w:p>
    <w:p w:rsidR="00525419" w:rsidRDefault="00EE1CF7">
      <w:pPr>
        <w:jc w:val="center"/>
        <w:rPr>
          <w:rFonts w:ascii="Times New Roman" w:eastAsia="黑体" w:hAnsi="Times New Roman"/>
          <w:sz w:val="22"/>
        </w:rPr>
      </w:pPr>
      <w:r>
        <w:rPr>
          <w:rFonts w:ascii="Times New Roman" w:eastAsia="黑体" w:hAnsi="Times New Roman"/>
          <w:sz w:val="22"/>
        </w:rPr>
        <w:lastRenderedPageBreak/>
        <w:t>表</w:t>
      </w:r>
      <w:r>
        <w:rPr>
          <w:rFonts w:ascii="Times New Roman" w:eastAsia="黑体" w:hAnsi="Times New Roman"/>
          <w:sz w:val="22"/>
        </w:rPr>
        <w:t>3.7-5</w:t>
      </w:r>
      <w:r>
        <w:rPr>
          <w:rFonts w:ascii="Times New Roman" w:eastAsia="黑体" w:hAnsi="Times New Roman"/>
          <w:sz w:val="22"/>
        </w:rPr>
        <w:t xml:space="preserve">　天然制氢装置废水污染源源强核算结果及相关参数一览表</w:t>
      </w:r>
    </w:p>
    <w:tbl>
      <w:tblPr>
        <w:tblW w:w="1404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05"/>
        <w:gridCol w:w="864"/>
        <w:gridCol w:w="1121"/>
        <w:gridCol w:w="1541"/>
        <w:gridCol w:w="1729"/>
        <w:gridCol w:w="1774"/>
        <w:gridCol w:w="1822"/>
        <w:gridCol w:w="705"/>
        <w:gridCol w:w="1674"/>
        <w:gridCol w:w="1614"/>
      </w:tblGrid>
      <w:tr w:rsidR="00525419">
        <w:trPr>
          <w:trHeight w:val="232"/>
        </w:trPr>
        <w:tc>
          <w:tcPr>
            <w:tcW w:w="1205" w:type="dxa"/>
            <w:vMerge w:val="restart"/>
            <w:tcBorders>
              <w:tl2br w:val="nil"/>
              <w:tr2bl w:val="nil"/>
            </w:tcBorders>
          </w:tcPr>
          <w:p w:rsidR="00525419" w:rsidRDefault="00EE1CF7">
            <w:pPr>
              <w:jc w:val="center"/>
              <w:rPr>
                <w:rFonts w:ascii="Times New Roman" w:hAnsi="Times New Roman"/>
              </w:rPr>
            </w:pPr>
            <w:r>
              <w:rPr>
                <w:rFonts w:ascii="Times New Roman" w:hAnsi="Times New Roman"/>
              </w:rPr>
              <w:t>废水名称</w:t>
            </w:r>
          </w:p>
        </w:tc>
        <w:tc>
          <w:tcPr>
            <w:tcW w:w="864" w:type="dxa"/>
            <w:vMerge w:val="restart"/>
            <w:tcBorders>
              <w:tl2br w:val="nil"/>
              <w:tr2bl w:val="nil"/>
            </w:tcBorders>
          </w:tcPr>
          <w:p w:rsidR="00525419" w:rsidRDefault="00EE1CF7">
            <w:pPr>
              <w:jc w:val="center"/>
              <w:rPr>
                <w:rFonts w:ascii="Times New Roman" w:hAnsi="Times New Roman"/>
              </w:rPr>
            </w:pPr>
            <w:r>
              <w:rPr>
                <w:rFonts w:ascii="Times New Roman" w:hAnsi="Times New Roman"/>
              </w:rPr>
              <w:t>污染物</w:t>
            </w:r>
          </w:p>
        </w:tc>
        <w:tc>
          <w:tcPr>
            <w:tcW w:w="6165" w:type="dxa"/>
            <w:gridSpan w:val="4"/>
            <w:tcBorders>
              <w:tl2br w:val="nil"/>
              <w:tr2bl w:val="nil"/>
            </w:tcBorders>
          </w:tcPr>
          <w:p w:rsidR="00525419" w:rsidRDefault="00EE1CF7">
            <w:pPr>
              <w:jc w:val="center"/>
              <w:rPr>
                <w:rFonts w:ascii="Times New Roman" w:hAnsi="Times New Roman"/>
              </w:rPr>
            </w:pPr>
            <w:r>
              <w:rPr>
                <w:rFonts w:ascii="Times New Roman" w:hAnsi="Times New Roman"/>
              </w:rPr>
              <w:t>产生情况</w:t>
            </w:r>
          </w:p>
        </w:tc>
        <w:tc>
          <w:tcPr>
            <w:tcW w:w="4201" w:type="dxa"/>
            <w:gridSpan w:val="3"/>
            <w:tcBorders>
              <w:tl2br w:val="nil"/>
              <w:tr2bl w:val="nil"/>
            </w:tcBorders>
          </w:tcPr>
          <w:p w:rsidR="00525419" w:rsidRDefault="00EE1CF7">
            <w:pPr>
              <w:jc w:val="center"/>
              <w:rPr>
                <w:rFonts w:ascii="Times New Roman" w:hAnsi="Times New Roman"/>
              </w:rPr>
            </w:pPr>
            <w:r>
              <w:rPr>
                <w:rFonts w:ascii="Times New Roman" w:hAnsi="Times New Roman"/>
              </w:rPr>
              <w:t>治理设施</w:t>
            </w:r>
          </w:p>
        </w:tc>
        <w:tc>
          <w:tcPr>
            <w:tcW w:w="1614" w:type="dxa"/>
            <w:vMerge w:val="restart"/>
            <w:tcBorders>
              <w:tl2br w:val="nil"/>
              <w:tr2bl w:val="nil"/>
            </w:tcBorders>
          </w:tcPr>
          <w:p w:rsidR="00525419" w:rsidRDefault="00EE1CF7">
            <w:pPr>
              <w:jc w:val="center"/>
              <w:rPr>
                <w:rFonts w:ascii="Times New Roman" w:hAnsi="Times New Roman"/>
              </w:rPr>
            </w:pPr>
            <w:r>
              <w:rPr>
                <w:rFonts w:ascii="Times New Roman" w:hAnsi="Times New Roman"/>
              </w:rPr>
              <w:t>污染物排放情况</w:t>
            </w:r>
          </w:p>
        </w:tc>
      </w:tr>
      <w:tr w:rsidR="00525419">
        <w:trPr>
          <w:trHeight w:val="343"/>
        </w:trPr>
        <w:tc>
          <w:tcPr>
            <w:tcW w:w="1205" w:type="dxa"/>
            <w:vMerge/>
            <w:tcBorders>
              <w:tl2br w:val="nil"/>
              <w:tr2bl w:val="nil"/>
            </w:tcBorders>
          </w:tcPr>
          <w:p w:rsidR="00525419" w:rsidRDefault="00525419">
            <w:pPr>
              <w:jc w:val="center"/>
              <w:rPr>
                <w:rFonts w:ascii="Times New Roman" w:hAnsi="Times New Roman"/>
              </w:rPr>
            </w:pPr>
          </w:p>
        </w:tc>
        <w:tc>
          <w:tcPr>
            <w:tcW w:w="864" w:type="dxa"/>
            <w:vMerge/>
            <w:tcBorders>
              <w:tl2br w:val="nil"/>
              <w:tr2bl w:val="nil"/>
            </w:tcBorders>
          </w:tcPr>
          <w:p w:rsidR="00525419" w:rsidRDefault="00525419">
            <w:pPr>
              <w:jc w:val="center"/>
              <w:rPr>
                <w:rFonts w:ascii="Times New Roman" w:hAnsi="Times New Roman"/>
              </w:rPr>
            </w:pPr>
          </w:p>
        </w:tc>
        <w:tc>
          <w:tcPr>
            <w:tcW w:w="1121" w:type="dxa"/>
            <w:tcBorders>
              <w:tl2br w:val="nil"/>
              <w:tr2bl w:val="nil"/>
            </w:tcBorders>
          </w:tcPr>
          <w:p w:rsidR="00525419" w:rsidRDefault="00EE1CF7">
            <w:pPr>
              <w:jc w:val="center"/>
              <w:rPr>
                <w:rFonts w:ascii="Times New Roman" w:hAnsi="Times New Roman"/>
              </w:rPr>
            </w:pPr>
            <w:r>
              <w:rPr>
                <w:rFonts w:ascii="Times New Roman" w:hAnsi="Times New Roman"/>
              </w:rPr>
              <w:t>核算方法</w:t>
            </w:r>
          </w:p>
        </w:tc>
        <w:tc>
          <w:tcPr>
            <w:tcW w:w="1541" w:type="dxa"/>
            <w:tcBorders>
              <w:tl2br w:val="nil"/>
              <w:tr2bl w:val="nil"/>
            </w:tcBorders>
          </w:tcPr>
          <w:p w:rsidR="00525419" w:rsidRDefault="00EE1CF7">
            <w:pPr>
              <w:jc w:val="center"/>
              <w:rPr>
                <w:rFonts w:ascii="Times New Roman" w:hAnsi="Times New Roman"/>
              </w:rPr>
            </w:pPr>
            <w:r>
              <w:rPr>
                <w:rFonts w:ascii="Times New Roman" w:hAnsi="Times New Roman"/>
              </w:rPr>
              <w:t>废水量</w:t>
            </w:r>
            <w:r>
              <w:rPr>
                <w:rFonts w:ascii="Times New Roman" w:hAnsi="Times New Roman"/>
              </w:rPr>
              <w:t>(m</w:t>
            </w:r>
            <w:r>
              <w:rPr>
                <w:rFonts w:ascii="Times New Roman" w:hAnsi="Times New Roman"/>
                <w:vertAlign w:val="superscript"/>
              </w:rPr>
              <w:t>3</w:t>
            </w:r>
            <w:r>
              <w:rPr>
                <w:rFonts w:ascii="Times New Roman" w:hAnsi="Times New Roman"/>
              </w:rPr>
              <w:t>/h)</w:t>
            </w:r>
          </w:p>
        </w:tc>
        <w:tc>
          <w:tcPr>
            <w:tcW w:w="1729" w:type="dxa"/>
            <w:tcBorders>
              <w:tl2br w:val="nil"/>
              <w:tr2bl w:val="nil"/>
            </w:tcBorders>
          </w:tcPr>
          <w:p w:rsidR="00525419" w:rsidRDefault="00EE1CF7">
            <w:pPr>
              <w:jc w:val="center"/>
              <w:rPr>
                <w:rFonts w:ascii="Times New Roman" w:hAnsi="Times New Roman"/>
              </w:rPr>
            </w:pPr>
            <w:r>
              <w:rPr>
                <w:rFonts w:ascii="Times New Roman" w:hAnsi="Times New Roman"/>
              </w:rPr>
              <w:t>最大浓度</w:t>
            </w:r>
            <w:r>
              <w:rPr>
                <w:rFonts w:ascii="Times New Roman" w:hAnsi="Times New Roman"/>
                <w:kern w:val="0"/>
                <w:szCs w:val="21"/>
              </w:rPr>
              <w:t>（</w:t>
            </w:r>
            <w:r>
              <w:rPr>
                <w:rFonts w:ascii="Times New Roman" w:hAnsi="Times New Roman"/>
                <w:kern w:val="0"/>
                <w:szCs w:val="21"/>
              </w:rPr>
              <w:t>mg/L</w:t>
            </w:r>
            <w:r>
              <w:rPr>
                <w:rFonts w:ascii="Times New Roman" w:hAnsi="Times New Roman"/>
                <w:kern w:val="0"/>
                <w:szCs w:val="21"/>
              </w:rPr>
              <w:t>）</w:t>
            </w:r>
          </w:p>
        </w:tc>
        <w:tc>
          <w:tcPr>
            <w:tcW w:w="1774" w:type="dxa"/>
            <w:tcBorders>
              <w:tl2br w:val="nil"/>
              <w:tr2bl w:val="nil"/>
            </w:tcBorders>
          </w:tcPr>
          <w:p w:rsidR="00525419" w:rsidRDefault="00EE1CF7">
            <w:pPr>
              <w:jc w:val="center"/>
              <w:rPr>
                <w:rFonts w:ascii="Times New Roman" w:hAnsi="Times New Roman"/>
              </w:rPr>
            </w:pPr>
            <w:r>
              <w:rPr>
                <w:rFonts w:ascii="Times New Roman" w:hAnsi="Times New Roman"/>
              </w:rPr>
              <w:t>产生量</w:t>
            </w:r>
            <w:r>
              <w:rPr>
                <w:rFonts w:ascii="Times New Roman" w:hAnsi="Times New Roman"/>
              </w:rPr>
              <w:t>(</w:t>
            </w:r>
            <w:r>
              <w:rPr>
                <w:rFonts w:ascii="Times New Roman" w:hAnsi="Times New Roman"/>
                <w:sz w:val="24"/>
              </w:rPr>
              <w:t>kg/h)</w:t>
            </w:r>
          </w:p>
        </w:tc>
        <w:tc>
          <w:tcPr>
            <w:tcW w:w="1822" w:type="dxa"/>
            <w:tcBorders>
              <w:tl2br w:val="nil"/>
              <w:tr2bl w:val="nil"/>
            </w:tcBorders>
          </w:tcPr>
          <w:p w:rsidR="00525419" w:rsidRDefault="00EE1CF7">
            <w:pPr>
              <w:jc w:val="center"/>
              <w:rPr>
                <w:rFonts w:ascii="Times New Roman" w:hAnsi="Times New Roman"/>
              </w:rPr>
            </w:pPr>
            <w:r>
              <w:rPr>
                <w:rFonts w:ascii="Times New Roman" w:hAnsi="Times New Roman"/>
              </w:rPr>
              <w:t>工艺</w:t>
            </w:r>
          </w:p>
        </w:tc>
        <w:tc>
          <w:tcPr>
            <w:tcW w:w="705" w:type="dxa"/>
            <w:tcBorders>
              <w:tl2br w:val="nil"/>
              <w:tr2bl w:val="nil"/>
            </w:tcBorders>
          </w:tcPr>
          <w:p w:rsidR="00525419" w:rsidRDefault="00EE1CF7">
            <w:pPr>
              <w:jc w:val="center"/>
              <w:rPr>
                <w:rFonts w:ascii="Times New Roman" w:hAnsi="Times New Roman"/>
              </w:rPr>
            </w:pPr>
            <w:r>
              <w:rPr>
                <w:rFonts w:ascii="Times New Roman" w:hAnsi="Times New Roman"/>
              </w:rPr>
              <w:t>效率</w:t>
            </w:r>
          </w:p>
        </w:tc>
        <w:tc>
          <w:tcPr>
            <w:tcW w:w="1674" w:type="dxa"/>
            <w:tcBorders>
              <w:tl2br w:val="nil"/>
              <w:tr2bl w:val="nil"/>
            </w:tcBorders>
          </w:tcPr>
          <w:p w:rsidR="00525419" w:rsidRDefault="00EE1CF7">
            <w:pPr>
              <w:jc w:val="center"/>
              <w:rPr>
                <w:rFonts w:ascii="Times New Roman" w:hAnsi="Times New Roman"/>
              </w:rPr>
            </w:pPr>
            <w:r>
              <w:rPr>
                <w:rFonts w:ascii="Times New Roman" w:hAnsi="Times New Roman"/>
              </w:rPr>
              <w:t>废水回用比例</w:t>
            </w:r>
          </w:p>
        </w:tc>
        <w:tc>
          <w:tcPr>
            <w:tcW w:w="1614" w:type="dxa"/>
            <w:vMerge/>
            <w:tcBorders>
              <w:tl2br w:val="nil"/>
              <w:tr2bl w:val="nil"/>
            </w:tcBorders>
          </w:tcPr>
          <w:p w:rsidR="00525419" w:rsidRDefault="00525419">
            <w:pPr>
              <w:jc w:val="center"/>
              <w:rPr>
                <w:rFonts w:ascii="Times New Roman" w:hAnsi="Times New Roman"/>
              </w:rPr>
            </w:pPr>
          </w:p>
        </w:tc>
      </w:tr>
      <w:tr w:rsidR="00525419">
        <w:trPr>
          <w:trHeight w:val="451"/>
        </w:trPr>
        <w:tc>
          <w:tcPr>
            <w:tcW w:w="1205" w:type="dxa"/>
            <w:tcBorders>
              <w:tl2br w:val="nil"/>
              <w:tr2bl w:val="nil"/>
            </w:tcBorders>
          </w:tcPr>
          <w:p w:rsidR="00525419" w:rsidRDefault="00EE1CF7">
            <w:pPr>
              <w:jc w:val="center"/>
              <w:rPr>
                <w:rFonts w:ascii="Times New Roman" w:hAnsi="Times New Roman"/>
              </w:rPr>
            </w:pPr>
            <w:r>
              <w:rPr>
                <w:rFonts w:ascii="Times New Roman" w:hAnsi="Times New Roman"/>
              </w:rPr>
              <w:t>连续扩容器排水</w:t>
            </w:r>
          </w:p>
        </w:tc>
        <w:tc>
          <w:tcPr>
            <w:tcW w:w="864" w:type="dxa"/>
            <w:tcBorders>
              <w:tl2br w:val="nil"/>
              <w:tr2bl w:val="nil"/>
            </w:tcBorders>
          </w:tcPr>
          <w:p w:rsidR="00525419" w:rsidRDefault="00EE1CF7">
            <w:pPr>
              <w:jc w:val="center"/>
              <w:rPr>
                <w:rFonts w:ascii="Times New Roman" w:hAnsi="Times New Roman"/>
              </w:rPr>
            </w:pPr>
            <w:r>
              <w:rPr>
                <w:rFonts w:ascii="Times New Roman" w:hAnsi="Times New Roman"/>
                <w:szCs w:val="21"/>
              </w:rPr>
              <w:t>COD</w:t>
            </w:r>
          </w:p>
        </w:tc>
        <w:tc>
          <w:tcPr>
            <w:tcW w:w="1121" w:type="dxa"/>
            <w:tcBorders>
              <w:tl2br w:val="nil"/>
              <w:tr2bl w:val="nil"/>
            </w:tcBorders>
          </w:tcPr>
          <w:p w:rsidR="00525419" w:rsidRDefault="00EE1CF7">
            <w:pPr>
              <w:jc w:val="center"/>
              <w:rPr>
                <w:rFonts w:ascii="Times New Roman" w:hAnsi="Times New Roman"/>
              </w:rPr>
            </w:pPr>
            <w:r>
              <w:rPr>
                <w:rFonts w:ascii="Times New Roman" w:hAnsi="Times New Roman"/>
              </w:rPr>
              <w:t>类比</w:t>
            </w:r>
          </w:p>
        </w:tc>
        <w:tc>
          <w:tcPr>
            <w:tcW w:w="1541" w:type="dxa"/>
            <w:tcBorders>
              <w:tl2br w:val="nil"/>
              <w:tr2bl w:val="nil"/>
            </w:tcBorders>
          </w:tcPr>
          <w:p w:rsidR="00525419" w:rsidRDefault="00EE1CF7">
            <w:pPr>
              <w:jc w:val="center"/>
              <w:rPr>
                <w:rFonts w:ascii="Times New Roman" w:hAnsi="Times New Roman"/>
              </w:rPr>
            </w:pPr>
            <w:r>
              <w:rPr>
                <w:rFonts w:ascii="Times New Roman" w:hAnsi="Times New Roman" w:hint="eastAsia"/>
              </w:rPr>
              <w:t>0.4</w:t>
            </w:r>
          </w:p>
        </w:tc>
        <w:tc>
          <w:tcPr>
            <w:tcW w:w="1729" w:type="dxa"/>
            <w:tcBorders>
              <w:tl2br w:val="nil"/>
              <w:tr2bl w:val="nil"/>
            </w:tcBorders>
          </w:tcPr>
          <w:p w:rsidR="00525419" w:rsidRDefault="00EE1CF7">
            <w:pPr>
              <w:jc w:val="center"/>
              <w:rPr>
                <w:rFonts w:ascii="Times New Roman" w:hAnsi="Times New Roman"/>
              </w:rPr>
            </w:pPr>
            <w:r>
              <w:rPr>
                <w:rFonts w:ascii="Times New Roman" w:hAnsi="Times New Roman"/>
              </w:rPr>
              <w:t>≤60</w:t>
            </w:r>
          </w:p>
        </w:tc>
        <w:tc>
          <w:tcPr>
            <w:tcW w:w="1774" w:type="dxa"/>
            <w:tcBorders>
              <w:tl2br w:val="nil"/>
              <w:tr2bl w:val="nil"/>
            </w:tcBorders>
          </w:tcPr>
          <w:p w:rsidR="00525419" w:rsidRDefault="00EE1CF7">
            <w:pPr>
              <w:jc w:val="center"/>
              <w:rPr>
                <w:rFonts w:ascii="Times New Roman" w:hAnsi="Times New Roman"/>
              </w:rPr>
            </w:pPr>
            <w:r>
              <w:rPr>
                <w:rFonts w:ascii="Times New Roman" w:hAnsi="Times New Roman" w:hint="eastAsia"/>
              </w:rPr>
              <w:t>0.024</w:t>
            </w:r>
          </w:p>
        </w:tc>
        <w:tc>
          <w:tcPr>
            <w:tcW w:w="1822" w:type="dxa"/>
            <w:tcBorders>
              <w:tl2br w:val="nil"/>
              <w:tr2bl w:val="nil"/>
            </w:tcBorders>
          </w:tcPr>
          <w:p w:rsidR="00525419" w:rsidRDefault="00EE1CF7">
            <w:pPr>
              <w:jc w:val="center"/>
              <w:rPr>
                <w:rFonts w:ascii="Times New Roman" w:hAnsi="Times New Roman"/>
              </w:rPr>
            </w:pPr>
            <w:r>
              <w:rPr>
                <w:rFonts w:ascii="Times New Roman" w:hAnsi="Times New Roman"/>
              </w:rPr>
              <w:t>污水处理站</w:t>
            </w:r>
          </w:p>
        </w:tc>
        <w:tc>
          <w:tcPr>
            <w:tcW w:w="705" w:type="dxa"/>
            <w:tcBorders>
              <w:tl2br w:val="nil"/>
              <w:tr2bl w:val="nil"/>
            </w:tcBorders>
          </w:tcPr>
          <w:p w:rsidR="00525419" w:rsidRDefault="00EE1CF7">
            <w:pPr>
              <w:jc w:val="center"/>
              <w:rPr>
                <w:rFonts w:ascii="Times New Roman" w:hAnsi="Times New Roman"/>
              </w:rPr>
            </w:pPr>
            <w:r>
              <w:rPr>
                <w:rFonts w:ascii="Times New Roman" w:hAnsi="Times New Roman"/>
              </w:rPr>
              <w:t>/</w:t>
            </w:r>
          </w:p>
        </w:tc>
        <w:tc>
          <w:tcPr>
            <w:tcW w:w="1674" w:type="dxa"/>
            <w:tcBorders>
              <w:tl2br w:val="nil"/>
              <w:tr2bl w:val="nil"/>
            </w:tcBorders>
          </w:tcPr>
          <w:p w:rsidR="00525419" w:rsidRDefault="00EE1CF7">
            <w:pPr>
              <w:jc w:val="center"/>
              <w:rPr>
                <w:rFonts w:ascii="Times New Roman" w:hAnsi="Times New Roman"/>
              </w:rPr>
            </w:pPr>
            <w:r>
              <w:rPr>
                <w:rFonts w:ascii="Times New Roman" w:hAnsi="Times New Roman"/>
              </w:rPr>
              <w:t>全部回用厂区</w:t>
            </w:r>
          </w:p>
        </w:tc>
        <w:tc>
          <w:tcPr>
            <w:tcW w:w="1614" w:type="dxa"/>
            <w:tcBorders>
              <w:tl2br w:val="nil"/>
              <w:tr2bl w:val="nil"/>
            </w:tcBorders>
          </w:tcPr>
          <w:p w:rsidR="00525419" w:rsidRDefault="00EE1CF7">
            <w:pPr>
              <w:jc w:val="center"/>
              <w:rPr>
                <w:rFonts w:ascii="Times New Roman" w:hAnsi="Times New Roman"/>
              </w:rPr>
            </w:pPr>
            <w:r>
              <w:rPr>
                <w:rFonts w:ascii="Times New Roman" w:hAnsi="Times New Roman"/>
              </w:rPr>
              <w:t>不排放</w:t>
            </w:r>
          </w:p>
        </w:tc>
      </w:tr>
    </w:tbl>
    <w:p w:rsidR="00525419" w:rsidRDefault="00525419">
      <w:pPr>
        <w:rPr>
          <w:rFonts w:ascii="Times New Roman" w:hAnsi="Times New Roman"/>
        </w:rPr>
      </w:pPr>
    </w:p>
    <w:p w:rsidR="00525419" w:rsidRDefault="00EE1CF7">
      <w:pPr>
        <w:jc w:val="center"/>
        <w:rPr>
          <w:rFonts w:ascii="Times New Roman" w:eastAsia="黑体" w:hAnsi="Times New Roman"/>
          <w:sz w:val="22"/>
        </w:rPr>
      </w:pPr>
      <w:r>
        <w:rPr>
          <w:rFonts w:ascii="Times New Roman" w:eastAsia="黑体" w:hAnsi="Times New Roman"/>
          <w:sz w:val="22"/>
        </w:rPr>
        <w:t>表</w:t>
      </w:r>
      <w:r>
        <w:rPr>
          <w:rFonts w:ascii="Times New Roman" w:eastAsia="黑体" w:hAnsi="Times New Roman"/>
          <w:sz w:val="22"/>
        </w:rPr>
        <w:t>3.7-6</w:t>
      </w:r>
      <w:r>
        <w:rPr>
          <w:rFonts w:ascii="Times New Roman" w:eastAsia="黑体" w:hAnsi="Times New Roman"/>
          <w:sz w:val="22"/>
        </w:rPr>
        <w:t xml:space="preserve">　煤焦油加氢单元废水污染源源强核算结果及相关参数一览表</w:t>
      </w:r>
    </w:p>
    <w:tbl>
      <w:tblPr>
        <w:tblW w:w="1407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07"/>
        <w:gridCol w:w="1219"/>
        <w:gridCol w:w="1118"/>
        <w:gridCol w:w="1388"/>
        <w:gridCol w:w="1541"/>
        <w:gridCol w:w="1579"/>
        <w:gridCol w:w="1540"/>
        <w:gridCol w:w="1191"/>
        <w:gridCol w:w="1678"/>
        <w:gridCol w:w="1617"/>
      </w:tblGrid>
      <w:tr w:rsidR="00525419">
        <w:trPr>
          <w:trHeight w:val="250"/>
          <w:jc w:val="center"/>
        </w:trPr>
        <w:tc>
          <w:tcPr>
            <w:tcW w:w="1207" w:type="dxa"/>
            <w:vMerge w:val="restart"/>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废水名称</w:t>
            </w:r>
          </w:p>
        </w:tc>
        <w:tc>
          <w:tcPr>
            <w:tcW w:w="1219" w:type="dxa"/>
            <w:vMerge w:val="restart"/>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污染物</w:t>
            </w:r>
          </w:p>
        </w:tc>
        <w:tc>
          <w:tcPr>
            <w:tcW w:w="5626" w:type="dxa"/>
            <w:gridSpan w:val="4"/>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产生情况</w:t>
            </w:r>
          </w:p>
        </w:tc>
        <w:tc>
          <w:tcPr>
            <w:tcW w:w="4409" w:type="dxa"/>
            <w:gridSpan w:val="3"/>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治理设施</w:t>
            </w:r>
          </w:p>
        </w:tc>
        <w:tc>
          <w:tcPr>
            <w:tcW w:w="1617" w:type="dxa"/>
            <w:vMerge w:val="restart"/>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污染物排放</w:t>
            </w:r>
          </w:p>
          <w:p w:rsidR="00525419" w:rsidRDefault="00EE1CF7">
            <w:pPr>
              <w:jc w:val="center"/>
              <w:rPr>
                <w:rFonts w:ascii="Times New Roman" w:hAnsi="Times New Roman"/>
                <w:szCs w:val="21"/>
              </w:rPr>
            </w:pPr>
            <w:r>
              <w:rPr>
                <w:rFonts w:ascii="Times New Roman" w:hAnsi="Times New Roman"/>
                <w:szCs w:val="21"/>
              </w:rPr>
              <w:t>情况</w:t>
            </w:r>
          </w:p>
        </w:tc>
      </w:tr>
      <w:tr w:rsidR="00525419">
        <w:trPr>
          <w:trHeight w:val="702"/>
          <w:jc w:val="center"/>
        </w:trPr>
        <w:tc>
          <w:tcPr>
            <w:tcW w:w="1207" w:type="dxa"/>
            <w:vMerge/>
            <w:tcBorders>
              <w:tl2br w:val="nil"/>
              <w:tr2bl w:val="nil"/>
            </w:tcBorders>
            <w:vAlign w:val="center"/>
          </w:tcPr>
          <w:p w:rsidR="00525419" w:rsidRDefault="00525419">
            <w:pPr>
              <w:jc w:val="center"/>
              <w:rPr>
                <w:rFonts w:ascii="Times New Roman" w:hAnsi="Times New Roman"/>
                <w:szCs w:val="21"/>
              </w:rPr>
            </w:pPr>
          </w:p>
        </w:tc>
        <w:tc>
          <w:tcPr>
            <w:tcW w:w="1219" w:type="dxa"/>
            <w:vMerge/>
            <w:tcBorders>
              <w:tl2br w:val="nil"/>
              <w:tr2bl w:val="nil"/>
            </w:tcBorders>
            <w:vAlign w:val="center"/>
          </w:tcPr>
          <w:p w:rsidR="00525419" w:rsidRDefault="00525419">
            <w:pPr>
              <w:jc w:val="center"/>
              <w:rPr>
                <w:rFonts w:ascii="Times New Roman" w:hAnsi="Times New Roman"/>
                <w:szCs w:val="21"/>
              </w:rPr>
            </w:pPr>
          </w:p>
        </w:tc>
        <w:tc>
          <w:tcPr>
            <w:tcW w:w="1118"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核算方法</w:t>
            </w:r>
          </w:p>
        </w:tc>
        <w:tc>
          <w:tcPr>
            <w:tcW w:w="1388"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废水量</w:t>
            </w: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/h)</w:t>
            </w:r>
          </w:p>
        </w:tc>
        <w:tc>
          <w:tcPr>
            <w:tcW w:w="1541"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最大浓度</w:t>
            </w:r>
            <w:r>
              <w:rPr>
                <w:rFonts w:ascii="Times New Roman" w:hAnsi="Times New Roman"/>
                <w:kern w:val="0"/>
                <w:szCs w:val="21"/>
              </w:rPr>
              <w:t>（</w:t>
            </w:r>
            <w:r>
              <w:rPr>
                <w:rFonts w:ascii="Times New Roman" w:hAnsi="Times New Roman"/>
                <w:kern w:val="0"/>
                <w:szCs w:val="21"/>
              </w:rPr>
              <w:t>mg/L</w:t>
            </w:r>
            <w:r>
              <w:rPr>
                <w:rFonts w:ascii="Times New Roman" w:hAnsi="Times New Roman"/>
                <w:kern w:val="0"/>
                <w:szCs w:val="21"/>
              </w:rPr>
              <w:t>）</w:t>
            </w:r>
          </w:p>
        </w:tc>
        <w:tc>
          <w:tcPr>
            <w:tcW w:w="1579"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产生量</w:t>
            </w:r>
            <w:r>
              <w:rPr>
                <w:rFonts w:ascii="Times New Roman" w:hAnsi="Times New Roman"/>
                <w:szCs w:val="21"/>
              </w:rPr>
              <w:t>(kg/h)</w:t>
            </w:r>
          </w:p>
        </w:tc>
        <w:tc>
          <w:tcPr>
            <w:tcW w:w="1540"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工艺</w:t>
            </w:r>
          </w:p>
        </w:tc>
        <w:tc>
          <w:tcPr>
            <w:tcW w:w="1191"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效率</w:t>
            </w:r>
          </w:p>
        </w:tc>
        <w:tc>
          <w:tcPr>
            <w:tcW w:w="1678"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废水回用比例</w:t>
            </w:r>
          </w:p>
        </w:tc>
        <w:tc>
          <w:tcPr>
            <w:tcW w:w="1617" w:type="dxa"/>
            <w:vMerge/>
            <w:tcBorders>
              <w:tl2br w:val="nil"/>
              <w:tr2bl w:val="nil"/>
            </w:tcBorders>
            <w:vAlign w:val="center"/>
          </w:tcPr>
          <w:p w:rsidR="00525419" w:rsidRDefault="00525419">
            <w:pPr>
              <w:jc w:val="center"/>
              <w:rPr>
                <w:rFonts w:ascii="Times New Roman" w:hAnsi="Times New Roman"/>
                <w:szCs w:val="21"/>
              </w:rPr>
            </w:pPr>
          </w:p>
        </w:tc>
      </w:tr>
      <w:tr w:rsidR="00525419">
        <w:trPr>
          <w:trHeight w:val="66"/>
          <w:jc w:val="center"/>
        </w:trPr>
        <w:tc>
          <w:tcPr>
            <w:tcW w:w="1207" w:type="dxa"/>
            <w:vMerge w:val="restart"/>
            <w:tcBorders>
              <w:tl2br w:val="nil"/>
              <w:tr2bl w:val="nil"/>
            </w:tcBorders>
            <w:vAlign w:val="center"/>
          </w:tcPr>
          <w:p w:rsidR="00525419" w:rsidRDefault="00EE1CF7">
            <w:pPr>
              <w:jc w:val="center"/>
              <w:rPr>
                <w:rFonts w:ascii="Times New Roman" w:hAnsi="Times New Roman"/>
                <w:szCs w:val="21"/>
              </w:rPr>
            </w:pPr>
            <w:r>
              <w:rPr>
                <w:rFonts w:ascii="Times New Roman" w:hAnsi="Times New Roman"/>
              </w:rPr>
              <w:t>回流罐和高低压分离排放的含硫废水</w:t>
            </w:r>
          </w:p>
        </w:tc>
        <w:tc>
          <w:tcPr>
            <w:tcW w:w="1219" w:type="dxa"/>
            <w:tcBorders>
              <w:tl2br w:val="nil"/>
              <w:tr2bl w:val="nil"/>
            </w:tcBorders>
            <w:vAlign w:val="center"/>
          </w:tcPr>
          <w:p w:rsidR="00525419" w:rsidRDefault="00EE1CF7">
            <w:pPr>
              <w:adjustRightInd w:val="0"/>
              <w:snapToGrid w:val="0"/>
              <w:jc w:val="center"/>
              <w:rPr>
                <w:rFonts w:ascii="Times New Roman" w:hAnsi="Times New Roman"/>
                <w:szCs w:val="21"/>
              </w:rPr>
            </w:pPr>
            <w:r>
              <w:rPr>
                <w:rFonts w:ascii="Times New Roman" w:hAnsi="Times New Roman"/>
                <w:szCs w:val="21"/>
              </w:rPr>
              <w:t>COD</w:t>
            </w:r>
          </w:p>
        </w:tc>
        <w:tc>
          <w:tcPr>
            <w:tcW w:w="1118" w:type="dxa"/>
            <w:vMerge w:val="restart"/>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物料衡算</w:t>
            </w:r>
          </w:p>
        </w:tc>
        <w:tc>
          <w:tcPr>
            <w:tcW w:w="1388" w:type="dxa"/>
            <w:vMerge w:val="restart"/>
            <w:tcBorders>
              <w:tl2br w:val="nil"/>
              <w:tr2bl w:val="nil"/>
            </w:tcBorders>
            <w:vAlign w:val="center"/>
          </w:tcPr>
          <w:p w:rsidR="00525419" w:rsidRDefault="00EE1CF7">
            <w:pPr>
              <w:jc w:val="center"/>
              <w:rPr>
                <w:rFonts w:ascii="Times New Roman" w:hAnsi="Times New Roman"/>
                <w:szCs w:val="21"/>
              </w:rPr>
            </w:pPr>
            <w:r>
              <w:rPr>
                <w:rFonts w:ascii="Times New Roman" w:hAnsi="Times New Roman" w:hint="eastAsia"/>
                <w:szCs w:val="21"/>
              </w:rPr>
              <w:t>18</w:t>
            </w:r>
          </w:p>
        </w:tc>
        <w:tc>
          <w:tcPr>
            <w:tcW w:w="1541" w:type="dxa"/>
            <w:tcBorders>
              <w:tl2br w:val="nil"/>
              <w:tr2bl w:val="nil"/>
            </w:tcBorders>
            <w:vAlign w:val="center"/>
          </w:tcPr>
          <w:p w:rsidR="00525419" w:rsidRDefault="00EE1CF7">
            <w:pPr>
              <w:snapToGrid w:val="0"/>
              <w:jc w:val="center"/>
              <w:rPr>
                <w:rFonts w:ascii="Times New Roman" w:hAnsi="Times New Roman"/>
                <w:szCs w:val="21"/>
              </w:rPr>
            </w:pPr>
            <w:r>
              <w:rPr>
                <w:rFonts w:ascii="Times New Roman" w:hAnsi="Times New Roman"/>
                <w:szCs w:val="21"/>
              </w:rPr>
              <w:t>≤40000</w:t>
            </w:r>
          </w:p>
        </w:tc>
        <w:tc>
          <w:tcPr>
            <w:tcW w:w="1579" w:type="dxa"/>
            <w:tcBorders>
              <w:tl2br w:val="nil"/>
              <w:tr2bl w:val="nil"/>
            </w:tcBorders>
            <w:vAlign w:val="center"/>
          </w:tcPr>
          <w:p w:rsidR="00525419" w:rsidRDefault="00EE1CF7">
            <w:pPr>
              <w:widowControl/>
              <w:jc w:val="center"/>
              <w:textAlignment w:val="center"/>
              <w:rPr>
                <w:rFonts w:ascii="Times New Roman" w:hAnsi="Times New Roman"/>
                <w:szCs w:val="21"/>
              </w:rPr>
            </w:pPr>
            <w:r>
              <w:rPr>
                <w:rFonts w:ascii="Times New Roman" w:hAnsi="Times New Roman" w:hint="eastAsia"/>
                <w:szCs w:val="21"/>
              </w:rPr>
              <w:t>720</w:t>
            </w:r>
          </w:p>
        </w:tc>
        <w:tc>
          <w:tcPr>
            <w:tcW w:w="1540" w:type="dxa"/>
            <w:vMerge w:val="restart"/>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酸性水汽提</w:t>
            </w:r>
          </w:p>
        </w:tc>
        <w:tc>
          <w:tcPr>
            <w:tcW w:w="1191" w:type="dxa"/>
            <w:vMerge w:val="restart"/>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w:t>
            </w:r>
          </w:p>
          <w:p w:rsidR="00525419" w:rsidRDefault="00525419">
            <w:pPr>
              <w:jc w:val="center"/>
              <w:rPr>
                <w:rFonts w:ascii="Times New Roman" w:hAnsi="Times New Roman"/>
                <w:szCs w:val="21"/>
              </w:rPr>
            </w:pPr>
          </w:p>
        </w:tc>
        <w:tc>
          <w:tcPr>
            <w:tcW w:w="1678" w:type="dxa"/>
            <w:vMerge w:val="restart"/>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全部用于</w:t>
            </w:r>
            <w:r>
              <w:rPr>
                <w:rFonts w:ascii="Times New Roman" w:hAnsi="Times New Roman" w:hint="eastAsia"/>
                <w:szCs w:val="21"/>
              </w:rPr>
              <w:t>工艺</w:t>
            </w:r>
            <w:r>
              <w:rPr>
                <w:rFonts w:ascii="Times New Roman" w:hAnsi="Times New Roman"/>
                <w:szCs w:val="21"/>
              </w:rPr>
              <w:t>注水</w:t>
            </w:r>
          </w:p>
          <w:p w:rsidR="00525419" w:rsidRDefault="00525419">
            <w:pPr>
              <w:jc w:val="center"/>
              <w:rPr>
                <w:rFonts w:ascii="Times New Roman" w:hAnsi="Times New Roman"/>
                <w:szCs w:val="21"/>
              </w:rPr>
            </w:pPr>
          </w:p>
        </w:tc>
        <w:tc>
          <w:tcPr>
            <w:tcW w:w="1617" w:type="dxa"/>
            <w:vMerge w:val="restart"/>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不排放</w:t>
            </w:r>
          </w:p>
        </w:tc>
      </w:tr>
      <w:tr w:rsidR="00525419">
        <w:trPr>
          <w:trHeight w:val="284"/>
          <w:jc w:val="center"/>
        </w:trPr>
        <w:tc>
          <w:tcPr>
            <w:tcW w:w="1207" w:type="dxa"/>
            <w:vMerge/>
            <w:tcBorders>
              <w:tl2br w:val="nil"/>
              <w:tr2bl w:val="nil"/>
            </w:tcBorders>
            <w:vAlign w:val="center"/>
          </w:tcPr>
          <w:p w:rsidR="00525419" w:rsidRDefault="00525419">
            <w:pPr>
              <w:jc w:val="center"/>
              <w:rPr>
                <w:rFonts w:ascii="Times New Roman" w:hAnsi="Times New Roman"/>
                <w:szCs w:val="21"/>
              </w:rPr>
            </w:pPr>
          </w:p>
        </w:tc>
        <w:tc>
          <w:tcPr>
            <w:tcW w:w="1219" w:type="dxa"/>
            <w:tcBorders>
              <w:tl2br w:val="nil"/>
              <w:tr2bl w:val="nil"/>
            </w:tcBorders>
            <w:vAlign w:val="center"/>
          </w:tcPr>
          <w:p w:rsidR="00525419" w:rsidRDefault="00EE1CF7">
            <w:pPr>
              <w:adjustRightInd w:val="0"/>
              <w:snapToGrid w:val="0"/>
              <w:jc w:val="center"/>
              <w:rPr>
                <w:rFonts w:ascii="Times New Roman" w:hAnsi="Times New Roman"/>
                <w:kern w:val="0"/>
                <w:szCs w:val="21"/>
              </w:rPr>
            </w:pPr>
            <w:r>
              <w:rPr>
                <w:rFonts w:ascii="Times New Roman" w:hAnsi="Times New Roman"/>
                <w:szCs w:val="21"/>
              </w:rPr>
              <w:t>氨氮</w:t>
            </w:r>
          </w:p>
        </w:tc>
        <w:tc>
          <w:tcPr>
            <w:tcW w:w="1118" w:type="dxa"/>
            <w:vMerge/>
            <w:tcBorders>
              <w:tl2br w:val="nil"/>
              <w:tr2bl w:val="nil"/>
            </w:tcBorders>
            <w:vAlign w:val="center"/>
          </w:tcPr>
          <w:p w:rsidR="00525419" w:rsidRDefault="00525419">
            <w:pPr>
              <w:jc w:val="center"/>
              <w:rPr>
                <w:rFonts w:ascii="Times New Roman" w:hAnsi="Times New Roman"/>
                <w:szCs w:val="21"/>
              </w:rPr>
            </w:pPr>
          </w:p>
        </w:tc>
        <w:tc>
          <w:tcPr>
            <w:tcW w:w="1388" w:type="dxa"/>
            <w:vMerge/>
            <w:tcBorders>
              <w:tl2br w:val="nil"/>
              <w:tr2bl w:val="nil"/>
            </w:tcBorders>
            <w:vAlign w:val="center"/>
          </w:tcPr>
          <w:p w:rsidR="00525419" w:rsidRDefault="00525419">
            <w:pPr>
              <w:jc w:val="center"/>
              <w:rPr>
                <w:rFonts w:ascii="Times New Roman" w:hAnsi="Times New Roman"/>
                <w:szCs w:val="21"/>
              </w:rPr>
            </w:pPr>
          </w:p>
        </w:tc>
        <w:tc>
          <w:tcPr>
            <w:tcW w:w="1541" w:type="dxa"/>
            <w:tcBorders>
              <w:tl2br w:val="nil"/>
              <w:tr2bl w:val="nil"/>
            </w:tcBorders>
            <w:vAlign w:val="center"/>
          </w:tcPr>
          <w:p w:rsidR="00525419" w:rsidRDefault="00EE1CF7">
            <w:pPr>
              <w:snapToGrid w:val="0"/>
              <w:jc w:val="center"/>
              <w:rPr>
                <w:rFonts w:ascii="Times New Roman" w:hAnsi="Times New Roman"/>
                <w:szCs w:val="21"/>
              </w:rPr>
            </w:pPr>
            <w:r>
              <w:rPr>
                <w:rFonts w:ascii="Times New Roman" w:hAnsi="Times New Roman"/>
                <w:szCs w:val="21"/>
              </w:rPr>
              <w:t>≤4000</w:t>
            </w:r>
          </w:p>
        </w:tc>
        <w:tc>
          <w:tcPr>
            <w:tcW w:w="1579" w:type="dxa"/>
            <w:tcBorders>
              <w:tl2br w:val="nil"/>
              <w:tr2bl w:val="nil"/>
            </w:tcBorders>
            <w:vAlign w:val="center"/>
          </w:tcPr>
          <w:p w:rsidR="00525419" w:rsidRDefault="00EE1CF7">
            <w:pPr>
              <w:widowControl/>
              <w:jc w:val="center"/>
              <w:textAlignment w:val="center"/>
              <w:rPr>
                <w:rFonts w:ascii="Times New Roman" w:hAnsi="Times New Roman"/>
                <w:szCs w:val="21"/>
              </w:rPr>
            </w:pPr>
            <w:r>
              <w:rPr>
                <w:rFonts w:ascii="Times New Roman" w:hAnsi="Times New Roman" w:hint="eastAsia"/>
                <w:szCs w:val="21"/>
              </w:rPr>
              <w:t>72</w:t>
            </w:r>
          </w:p>
        </w:tc>
        <w:tc>
          <w:tcPr>
            <w:tcW w:w="1540" w:type="dxa"/>
            <w:vMerge/>
            <w:tcBorders>
              <w:tl2br w:val="nil"/>
              <w:tr2bl w:val="nil"/>
            </w:tcBorders>
            <w:vAlign w:val="center"/>
          </w:tcPr>
          <w:p w:rsidR="00525419" w:rsidRDefault="00525419">
            <w:pPr>
              <w:rPr>
                <w:rFonts w:ascii="Times New Roman" w:hAnsi="Times New Roman"/>
                <w:szCs w:val="21"/>
              </w:rPr>
            </w:pPr>
          </w:p>
        </w:tc>
        <w:tc>
          <w:tcPr>
            <w:tcW w:w="1191" w:type="dxa"/>
            <w:vMerge/>
            <w:tcBorders>
              <w:tl2br w:val="nil"/>
              <w:tr2bl w:val="nil"/>
            </w:tcBorders>
            <w:vAlign w:val="center"/>
          </w:tcPr>
          <w:p w:rsidR="00525419" w:rsidRDefault="00525419">
            <w:pPr>
              <w:rPr>
                <w:rFonts w:ascii="Times New Roman" w:hAnsi="Times New Roman"/>
                <w:szCs w:val="21"/>
              </w:rPr>
            </w:pPr>
          </w:p>
        </w:tc>
        <w:tc>
          <w:tcPr>
            <w:tcW w:w="1678" w:type="dxa"/>
            <w:vMerge/>
            <w:tcBorders>
              <w:tl2br w:val="nil"/>
              <w:tr2bl w:val="nil"/>
            </w:tcBorders>
            <w:vAlign w:val="center"/>
          </w:tcPr>
          <w:p w:rsidR="00525419" w:rsidRDefault="00525419">
            <w:pPr>
              <w:rPr>
                <w:rFonts w:ascii="Times New Roman" w:hAnsi="Times New Roman"/>
                <w:szCs w:val="21"/>
              </w:rPr>
            </w:pPr>
          </w:p>
        </w:tc>
        <w:tc>
          <w:tcPr>
            <w:tcW w:w="1617" w:type="dxa"/>
            <w:vMerge/>
            <w:tcBorders>
              <w:tl2br w:val="nil"/>
              <w:tr2bl w:val="nil"/>
            </w:tcBorders>
            <w:vAlign w:val="center"/>
          </w:tcPr>
          <w:p w:rsidR="00525419" w:rsidRDefault="00525419">
            <w:pPr>
              <w:rPr>
                <w:rFonts w:ascii="Times New Roman" w:hAnsi="Times New Roman"/>
                <w:szCs w:val="21"/>
              </w:rPr>
            </w:pPr>
          </w:p>
        </w:tc>
      </w:tr>
      <w:tr w:rsidR="00525419">
        <w:trPr>
          <w:trHeight w:val="213"/>
          <w:jc w:val="center"/>
        </w:trPr>
        <w:tc>
          <w:tcPr>
            <w:tcW w:w="1207" w:type="dxa"/>
            <w:vMerge/>
            <w:tcBorders>
              <w:tl2br w:val="nil"/>
              <w:tr2bl w:val="nil"/>
            </w:tcBorders>
            <w:vAlign w:val="center"/>
          </w:tcPr>
          <w:p w:rsidR="00525419" w:rsidRDefault="00525419">
            <w:pPr>
              <w:jc w:val="center"/>
              <w:rPr>
                <w:rFonts w:ascii="Times New Roman" w:hAnsi="Times New Roman"/>
                <w:szCs w:val="21"/>
              </w:rPr>
            </w:pPr>
          </w:p>
        </w:tc>
        <w:tc>
          <w:tcPr>
            <w:tcW w:w="1219" w:type="dxa"/>
            <w:tcBorders>
              <w:tl2br w:val="nil"/>
              <w:tr2bl w:val="nil"/>
            </w:tcBorders>
            <w:vAlign w:val="center"/>
          </w:tcPr>
          <w:p w:rsidR="00525419" w:rsidRDefault="00EE1CF7">
            <w:pPr>
              <w:adjustRightInd w:val="0"/>
              <w:snapToGrid w:val="0"/>
              <w:jc w:val="center"/>
              <w:rPr>
                <w:rFonts w:ascii="Times New Roman" w:hAnsi="Times New Roman"/>
                <w:szCs w:val="21"/>
              </w:rPr>
            </w:pPr>
            <w:r>
              <w:rPr>
                <w:rFonts w:ascii="Times New Roman" w:hAnsi="Times New Roman"/>
                <w:szCs w:val="21"/>
              </w:rPr>
              <w:t>石油类</w:t>
            </w:r>
          </w:p>
        </w:tc>
        <w:tc>
          <w:tcPr>
            <w:tcW w:w="1118" w:type="dxa"/>
            <w:vMerge/>
            <w:tcBorders>
              <w:tl2br w:val="nil"/>
              <w:tr2bl w:val="nil"/>
            </w:tcBorders>
            <w:vAlign w:val="center"/>
          </w:tcPr>
          <w:p w:rsidR="00525419" w:rsidRDefault="00525419">
            <w:pPr>
              <w:jc w:val="center"/>
              <w:rPr>
                <w:rFonts w:ascii="Times New Roman" w:hAnsi="Times New Roman"/>
                <w:szCs w:val="21"/>
              </w:rPr>
            </w:pPr>
          </w:p>
        </w:tc>
        <w:tc>
          <w:tcPr>
            <w:tcW w:w="1388" w:type="dxa"/>
            <w:vMerge/>
            <w:tcBorders>
              <w:tl2br w:val="nil"/>
              <w:tr2bl w:val="nil"/>
            </w:tcBorders>
            <w:vAlign w:val="center"/>
          </w:tcPr>
          <w:p w:rsidR="00525419" w:rsidRDefault="00525419">
            <w:pPr>
              <w:jc w:val="center"/>
              <w:rPr>
                <w:rFonts w:ascii="Times New Roman" w:hAnsi="Times New Roman"/>
                <w:szCs w:val="21"/>
              </w:rPr>
            </w:pPr>
          </w:p>
        </w:tc>
        <w:tc>
          <w:tcPr>
            <w:tcW w:w="1541" w:type="dxa"/>
            <w:tcBorders>
              <w:tl2br w:val="nil"/>
              <w:tr2bl w:val="nil"/>
            </w:tcBorders>
            <w:vAlign w:val="center"/>
          </w:tcPr>
          <w:p w:rsidR="00525419" w:rsidRDefault="00EE1CF7">
            <w:pPr>
              <w:snapToGrid w:val="0"/>
              <w:jc w:val="center"/>
              <w:rPr>
                <w:rFonts w:ascii="Times New Roman" w:hAnsi="Times New Roman"/>
                <w:szCs w:val="21"/>
              </w:rPr>
            </w:pPr>
            <w:r>
              <w:rPr>
                <w:rFonts w:ascii="Times New Roman" w:hAnsi="Times New Roman"/>
                <w:szCs w:val="21"/>
              </w:rPr>
              <w:t>≤500</w:t>
            </w:r>
          </w:p>
        </w:tc>
        <w:tc>
          <w:tcPr>
            <w:tcW w:w="1579" w:type="dxa"/>
            <w:tcBorders>
              <w:tl2br w:val="nil"/>
              <w:tr2bl w:val="nil"/>
            </w:tcBorders>
            <w:vAlign w:val="center"/>
          </w:tcPr>
          <w:p w:rsidR="00525419" w:rsidRDefault="00EE1CF7">
            <w:pPr>
              <w:widowControl/>
              <w:jc w:val="center"/>
              <w:textAlignment w:val="center"/>
              <w:rPr>
                <w:rFonts w:ascii="Times New Roman" w:hAnsi="Times New Roman"/>
                <w:szCs w:val="21"/>
              </w:rPr>
            </w:pPr>
            <w:r>
              <w:rPr>
                <w:rFonts w:ascii="Times New Roman" w:hAnsi="Times New Roman" w:hint="eastAsia"/>
                <w:szCs w:val="21"/>
              </w:rPr>
              <w:t>9</w:t>
            </w:r>
          </w:p>
        </w:tc>
        <w:tc>
          <w:tcPr>
            <w:tcW w:w="1540" w:type="dxa"/>
            <w:vMerge/>
            <w:tcBorders>
              <w:tl2br w:val="nil"/>
              <w:tr2bl w:val="nil"/>
            </w:tcBorders>
            <w:vAlign w:val="center"/>
          </w:tcPr>
          <w:p w:rsidR="00525419" w:rsidRDefault="00525419">
            <w:pPr>
              <w:rPr>
                <w:rFonts w:ascii="Times New Roman" w:hAnsi="Times New Roman"/>
                <w:szCs w:val="21"/>
              </w:rPr>
            </w:pPr>
          </w:p>
        </w:tc>
        <w:tc>
          <w:tcPr>
            <w:tcW w:w="1191" w:type="dxa"/>
            <w:vMerge/>
            <w:tcBorders>
              <w:tl2br w:val="nil"/>
              <w:tr2bl w:val="nil"/>
            </w:tcBorders>
            <w:vAlign w:val="center"/>
          </w:tcPr>
          <w:p w:rsidR="00525419" w:rsidRDefault="00525419">
            <w:pPr>
              <w:rPr>
                <w:rFonts w:ascii="Times New Roman" w:hAnsi="Times New Roman"/>
                <w:szCs w:val="21"/>
              </w:rPr>
            </w:pPr>
          </w:p>
        </w:tc>
        <w:tc>
          <w:tcPr>
            <w:tcW w:w="1678" w:type="dxa"/>
            <w:vMerge/>
            <w:tcBorders>
              <w:tl2br w:val="nil"/>
              <w:tr2bl w:val="nil"/>
            </w:tcBorders>
            <w:vAlign w:val="center"/>
          </w:tcPr>
          <w:p w:rsidR="00525419" w:rsidRDefault="00525419">
            <w:pPr>
              <w:rPr>
                <w:rFonts w:ascii="Times New Roman" w:hAnsi="Times New Roman"/>
                <w:szCs w:val="21"/>
              </w:rPr>
            </w:pPr>
          </w:p>
        </w:tc>
        <w:tc>
          <w:tcPr>
            <w:tcW w:w="1617" w:type="dxa"/>
            <w:vMerge/>
            <w:tcBorders>
              <w:tl2br w:val="nil"/>
              <w:tr2bl w:val="nil"/>
            </w:tcBorders>
            <w:vAlign w:val="center"/>
          </w:tcPr>
          <w:p w:rsidR="00525419" w:rsidRDefault="00525419">
            <w:pPr>
              <w:rPr>
                <w:rFonts w:ascii="Times New Roman" w:hAnsi="Times New Roman"/>
                <w:szCs w:val="21"/>
              </w:rPr>
            </w:pPr>
          </w:p>
        </w:tc>
      </w:tr>
      <w:tr w:rsidR="00525419">
        <w:trPr>
          <w:trHeight w:val="70"/>
          <w:jc w:val="center"/>
        </w:trPr>
        <w:tc>
          <w:tcPr>
            <w:tcW w:w="1207" w:type="dxa"/>
            <w:vMerge/>
            <w:tcBorders>
              <w:tl2br w:val="nil"/>
              <w:tr2bl w:val="nil"/>
            </w:tcBorders>
            <w:vAlign w:val="center"/>
          </w:tcPr>
          <w:p w:rsidR="00525419" w:rsidRDefault="00525419">
            <w:pPr>
              <w:jc w:val="center"/>
              <w:rPr>
                <w:rFonts w:ascii="Times New Roman" w:hAnsi="Times New Roman"/>
                <w:szCs w:val="21"/>
              </w:rPr>
            </w:pPr>
          </w:p>
        </w:tc>
        <w:tc>
          <w:tcPr>
            <w:tcW w:w="1219" w:type="dxa"/>
            <w:tcBorders>
              <w:tl2br w:val="nil"/>
              <w:tr2bl w:val="nil"/>
            </w:tcBorders>
            <w:vAlign w:val="center"/>
          </w:tcPr>
          <w:p w:rsidR="00525419" w:rsidRDefault="00EE1CF7">
            <w:pPr>
              <w:adjustRightInd w:val="0"/>
              <w:snapToGrid w:val="0"/>
              <w:jc w:val="center"/>
              <w:rPr>
                <w:rFonts w:ascii="Times New Roman" w:hAnsi="Times New Roman"/>
                <w:szCs w:val="21"/>
              </w:rPr>
            </w:pPr>
            <w:r>
              <w:rPr>
                <w:rFonts w:ascii="Times New Roman" w:hAnsi="Times New Roman"/>
                <w:szCs w:val="21"/>
              </w:rPr>
              <w:t>硫化物</w:t>
            </w:r>
          </w:p>
        </w:tc>
        <w:tc>
          <w:tcPr>
            <w:tcW w:w="1118" w:type="dxa"/>
            <w:vMerge/>
            <w:tcBorders>
              <w:tl2br w:val="nil"/>
              <w:tr2bl w:val="nil"/>
            </w:tcBorders>
            <w:vAlign w:val="center"/>
          </w:tcPr>
          <w:p w:rsidR="00525419" w:rsidRDefault="00525419">
            <w:pPr>
              <w:jc w:val="center"/>
              <w:rPr>
                <w:rFonts w:ascii="Times New Roman" w:hAnsi="Times New Roman"/>
                <w:szCs w:val="21"/>
              </w:rPr>
            </w:pPr>
          </w:p>
        </w:tc>
        <w:tc>
          <w:tcPr>
            <w:tcW w:w="1388" w:type="dxa"/>
            <w:vMerge/>
            <w:tcBorders>
              <w:tl2br w:val="nil"/>
              <w:tr2bl w:val="nil"/>
            </w:tcBorders>
            <w:vAlign w:val="center"/>
          </w:tcPr>
          <w:p w:rsidR="00525419" w:rsidRDefault="00525419">
            <w:pPr>
              <w:jc w:val="center"/>
              <w:rPr>
                <w:rFonts w:ascii="Times New Roman" w:hAnsi="Times New Roman"/>
                <w:szCs w:val="21"/>
              </w:rPr>
            </w:pPr>
          </w:p>
        </w:tc>
        <w:tc>
          <w:tcPr>
            <w:tcW w:w="1541" w:type="dxa"/>
            <w:tcBorders>
              <w:tl2br w:val="nil"/>
              <w:tr2bl w:val="nil"/>
            </w:tcBorders>
            <w:vAlign w:val="center"/>
          </w:tcPr>
          <w:p w:rsidR="00525419" w:rsidRDefault="00EE1CF7">
            <w:pPr>
              <w:snapToGrid w:val="0"/>
              <w:jc w:val="center"/>
              <w:rPr>
                <w:rFonts w:ascii="Times New Roman" w:hAnsi="Times New Roman"/>
                <w:szCs w:val="21"/>
              </w:rPr>
            </w:pPr>
            <w:r>
              <w:rPr>
                <w:rFonts w:ascii="Times New Roman" w:hAnsi="Times New Roman"/>
                <w:szCs w:val="21"/>
              </w:rPr>
              <w:t>≤8000</w:t>
            </w:r>
          </w:p>
        </w:tc>
        <w:tc>
          <w:tcPr>
            <w:tcW w:w="1579" w:type="dxa"/>
            <w:tcBorders>
              <w:tl2br w:val="nil"/>
              <w:tr2bl w:val="nil"/>
            </w:tcBorders>
            <w:vAlign w:val="center"/>
          </w:tcPr>
          <w:p w:rsidR="00525419" w:rsidRDefault="00EE1CF7">
            <w:pPr>
              <w:widowControl/>
              <w:jc w:val="center"/>
              <w:textAlignment w:val="center"/>
              <w:rPr>
                <w:rFonts w:ascii="Times New Roman" w:hAnsi="Times New Roman"/>
                <w:szCs w:val="21"/>
              </w:rPr>
            </w:pPr>
            <w:r>
              <w:rPr>
                <w:rFonts w:ascii="Times New Roman" w:hAnsi="Times New Roman" w:hint="eastAsia"/>
                <w:szCs w:val="21"/>
              </w:rPr>
              <w:t>144</w:t>
            </w:r>
          </w:p>
        </w:tc>
        <w:tc>
          <w:tcPr>
            <w:tcW w:w="1540" w:type="dxa"/>
            <w:vMerge/>
            <w:tcBorders>
              <w:tl2br w:val="nil"/>
              <w:tr2bl w:val="nil"/>
            </w:tcBorders>
            <w:vAlign w:val="center"/>
          </w:tcPr>
          <w:p w:rsidR="00525419" w:rsidRDefault="00525419">
            <w:pPr>
              <w:rPr>
                <w:rFonts w:ascii="Times New Roman" w:hAnsi="Times New Roman"/>
                <w:szCs w:val="21"/>
              </w:rPr>
            </w:pPr>
          </w:p>
        </w:tc>
        <w:tc>
          <w:tcPr>
            <w:tcW w:w="1191" w:type="dxa"/>
            <w:vMerge/>
            <w:tcBorders>
              <w:tl2br w:val="nil"/>
              <w:tr2bl w:val="nil"/>
            </w:tcBorders>
            <w:vAlign w:val="center"/>
          </w:tcPr>
          <w:p w:rsidR="00525419" w:rsidRDefault="00525419">
            <w:pPr>
              <w:rPr>
                <w:rFonts w:ascii="Times New Roman" w:hAnsi="Times New Roman"/>
                <w:szCs w:val="21"/>
              </w:rPr>
            </w:pPr>
          </w:p>
        </w:tc>
        <w:tc>
          <w:tcPr>
            <w:tcW w:w="1678" w:type="dxa"/>
            <w:vMerge/>
            <w:tcBorders>
              <w:tl2br w:val="nil"/>
              <w:tr2bl w:val="nil"/>
            </w:tcBorders>
            <w:vAlign w:val="center"/>
          </w:tcPr>
          <w:p w:rsidR="00525419" w:rsidRDefault="00525419">
            <w:pPr>
              <w:rPr>
                <w:rFonts w:ascii="Times New Roman" w:hAnsi="Times New Roman"/>
                <w:szCs w:val="21"/>
              </w:rPr>
            </w:pPr>
          </w:p>
        </w:tc>
        <w:tc>
          <w:tcPr>
            <w:tcW w:w="1617" w:type="dxa"/>
            <w:vMerge/>
            <w:tcBorders>
              <w:tl2br w:val="nil"/>
              <w:tr2bl w:val="nil"/>
            </w:tcBorders>
            <w:vAlign w:val="center"/>
          </w:tcPr>
          <w:p w:rsidR="00525419" w:rsidRDefault="00525419">
            <w:pPr>
              <w:rPr>
                <w:rFonts w:ascii="Times New Roman" w:hAnsi="Times New Roman"/>
                <w:szCs w:val="21"/>
              </w:rPr>
            </w:pPr>
          </w:p>
        </w:tc>
      </w:tr>
    </w:tbl>
    <w:p w:rsidR="00525419" w:rsidRDefault="00EE1CF7">
      <w:pPr>
        <w:rPr>
          <w:rFonts w:ascii="Times New Roman" w:hAnsi="Times New Roman"/>
        </w:rPr>
      </w:pPr>
      <w:r>
        <w:rPr>
          <w:rFonts w:ascii="Times New Roman" w:hAnsi="Times New Roman"/>
        </w:rPr>
        <w:t xml:space="preserve">      </w:t>
      </w:r>
    </w:p>
    <w:p w:rsidR="00525419" w:rsidRDefault="00525419">
      <w:pPr>
        <w:pStyle w:val="2e"/>
      </w:pPr>
    </w:p>
    <w:p w:rsidR="00525419" w:rsidRDefault="00EE1CF7">
      <w:pPr>
        <w:rPr>
          <w:rFonts w:ascii="Times New Roman" w:eastAsia="黑体" w:hAnsi="Times New Roman"/>
          <w:sz w:val="22"/>
        </w:rPr>
      </w:pPr>
      <w:r>
        <w:rPr>
          <w:rFonts w:ascii="Times New Roman" w:eastAsia="黑体" w:hAnsi="Times New Roman"/>
          <w:sz w:val="22"/>
        </w:rPr>
        <w:t xml:space="preserve"> </w:t>
      </w:r>
    </w:p>
    <w:p w:rsidR="00525419" w:rsidRDefault="00EE1CF7">
      <w:pPr>
        <w:rPr>
          <w:rFonts w:ascii="Times New Roman" w:eastAsia="华文楷体" w:hAnsi="Times New Roman"/>
          <w:bCs/>
          <w:kern w:val="0"/>
          <w:sz w:val="32"/>
          <w:szCs w:val="32"/>
        </w:rPr>
        <w:sectPr w:rsidR="00525419">
          <w:pgSz w:w="16838" w:h="11906" w:orient="landscape"/>
          <w:pgMar w:top="1803" w:right="1440" w:bottom="1803" w:left="1440" w:header="851" w:footer="992" w:gutter="0"/>
          <w:cols w:space="0"/>
          <w:docGrid w:type="lines" w:linePitch="319"/>
        </w:sectPr>
      </w:pPr>
      <w:r>
        <w:rPr>
          <w:rFonts w:ascii="Times New Roman" w:eastAsia="华文楷体" w:hAnsi="Times New Roman"/>
          <w:bCs/>
          <w:kern w:val="0"/>
          <w:sz w:val="32"/>
          <w:szCs w:val="32"/>
        </w:rPr>
        <w:br w:type="page"/>
      </w:r>
    </w:p>
    <w:p w:rsidR="00525419" w:rsidRDefault="00EE1CF7">
      <w:pPr>
        <w:pStyle w:val="3a"/>
        <w:spacing w:beforeLines="50" w:before="156" w:after="156" w:line="360" w:lineRule="auto"/>
        <w:jc w:val="left"/>
        <w:rPr>
          <w:rFonts w:ascii="Times New Roman" w:eastAsia="华文楷体" w:hAnsi="Times New Roman"/>
        </w:rPr>
      </w:pPr>
      <w:r>
        <w:rPr>
          <w:rFonts w:ascii="Times New Roman" w:eastAsia="华文楷体" w:hAnsi="Times New Roman"/>
        </w:rPr>
        <w:lastRenderedPageBreak/>
        <w:t>3.7.3</w:t>
      </w:r>
      <w:r>
        <w:rPr>
          <w:rFonts w:ascii="Times New Roman" w:eastAsia="华文楷体" w:hAnsi="Times New Roman"/>
        </w:rPr>
        <w:t>固体废物</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3.7.3.1</w:t>
      </w:r>
      <w:r>
        <w:rPr>
          <w:rFonts w:ascii="Times New Roman" w:hAnsi="Times New Roman" w:cs="Times New Roman"/>
          <w:kern w:val="44"/>
          <w:sz w:val="24"/>
          <w:szCs w:val="24"/>
        </w:rPr>
        <w:t>天然气制氢装置</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本装置固体废物污染源源强核算结果见表</w:t>
      </w:r>
      <w:r>
        <w:rPr>
          <w:rFonts w:ascii="Times New Roman" w:hAnsi="Times New Roman"/>
          <w:sz w:val="24"/>
        </w:rPr>
        <w:t>3.7-9</w:t>
      </w:r>
      <w:r>
        <w:rPr>
          <w:rFonts w:ascii="Times New Roman" w:hAnsi="Times New Roman"/>
          <w:sz w:val="24"/>
        </w:rPr>
        <w:t>。</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3.7.3.2</w:t>
      </w:r>
      <w:r>
        <w:rPr>
          <w:rFonts w:ascii="Times New Roman" w:hAnsi="Times New Roman" w:cs="Times New Roman"/>
          <w:kern w:val="44"/>
          <w:sz w:val="24"/>
          <w:szCs w:val="24"/>
        </w:rPr>
        <w:t>煤焦油加氢装置</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本</w:t>
      </w:r>
      <w:r>
        <w:rPr>
          <w:rFonts w:ascii="Times New Roman" w:hAnsi="Times New Roman" w:hint="eastAsia"/>
          <w:sz w:val="24"/>
        </w:rPr>
        <w:t>装置</w:t>
      </w:r>
      <w:r>
        <w:rPr>
          <w:rFonts w:ascii="Times New Roman" w:hAnsi="Times New Roman"/>
          <w:sz w:val="24"/>
        </w:rPr>
        <w:t>固体废物污染源源强核算结果见表</w:t>
      </w:r>
      <w:r>
        <w:rPr>
          <w:rFonts w:ascii="Times New Roman" w:hAnsi="Times New Roman"/>
          <w:sz w:val="24"/>
        </w:rPr>
        <w:t>3.7-10</w:t>
      </w:r>
      <w:r>
        <w:rPr>
          <w:rFonts w:ascii="Times New Roman" w:hAnsi="Times New Roman"/>
          <w:sz w:val="24"/>
        </w:rPr>
        <w:t>。</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3.7.3.3</w:t>
      </w:r>
      <w:r>
        <w:rPr>
          <w:rFonts w:ascii="Times New Roman" w:hAnsi="Times New Roman" w:cs="Times New Roman"/>
          <w:kern w:val="44"/>
          <w:sz w:val="24"/>
          <w:szCs w:val="24"/>
        </w:rPr>
        <w:t>硫磺回收装置</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本装置固体废物污染源源强核算结果见表</w:t>
      </w:r>
      <w:r>
        <w:rPr>
          <w:rFonts w:ascii="Times New Roman" w:hAnsi="Times New Roman"/>
          <w:sz w:val="24"/>
        </w:rPr>
        <w:t>3.7-11</w:t>
      </w:r>
      <w:r>
        <w:rPr>
          <w:rFonts w:ascii="Times New Roman" w:hAnsi="Times New Roman"/>
          <w:sz w:val="24"/>
        </w:rPr>
        <w:t>。</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3.7.3.4</w:t>
      </w:r>
      <w:r>
        <w:rPr>
          <w:rFonts w:ascii="Times New Roman" w:hAnsi="Times New Roman" w:cs="Times New Roman"/>
          <w:kern w:val="44"/>
          <w:sz w:val="24"/>
          <w:szCs w:val="24"/>
        </w:rPr>
        <w:t>公用辅助工程</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公用工程及辅助设施的固废主要有污水处理站气浮单元新增浮渣、生活垃圾等。公用工程辅助设施固废排放情况见表</w:t>
      </w:r>
      <w:r>
        <w:rPr>
          <w:rFonts w:ascii="Times New Roman" w:hAnsi="Times New Roman"/>
          <w:sz w:val="24"/>
        </w:rPr>
        <w:t>3.7-12</w:t>
      </w:r>
      <w:r>
        <w:rPr>
          <w:rFonts w:ascii="Times New Roman" w:hAnsi="Times New Roman"/>
          <w:sz w:val="24"/>
        </w:rPr>
        <w:t>。</w:t>
      </w:r>
    </w:p>
    <w:p w:rsidR="00525419" w:rsidRDefault="00EE1CF7">
      <w:pPr>
        <w:spacing w:line="240" w:lineRule="atLeast"/>
        <w:ind w:firstLineChars="200" w:firstLine="420"/>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3.7-12        </w:t>
      </w:r>
      <w:r>
        <w:rPr>
          <w:rFonts w:ascii="Times New Roman" w:eastAsia="黑体" w:hAnsi="Times New Roman"/>
          <w:szCs w:val="21"/>
        </w:rPr>
        <w:t>公用工程辅助设施固废排放</w:t>
      </w:r>
    </w:p>
    <w:tbl>
      <w:tblPr>
        <w:tblW w:w="851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6"/>
        <w:gridCol w:w="1205"/>
        <w:gridCol w:w="1117"/>
        <w:gridCol w:w="776"/>
        <w:gridCol w:w="1033"/>
        <w:gridCol w:w="776"/>
        <w:gridCol w:w="1084"/>
        <w:gridCol w:w="981"/>
      </w:tblGrid>
      <w:tr w:rsidR="00525419">
        <w:trPr>
          <w:trHeight w:val="451"/>
          <w:jc w:val="center"/>
        </w:trPr>
        <w:tc>
          <w:tcPr>
            <w:tcW w:w="1546"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装置</w:t>
            </w:r>
          </w:p>
          <w:p w:rsidR="00525419" w:rsidRDefault="00EE1CF7">
            <w:pPr>
              <w:jc w:val="center"/>
              <w:rPr>
                <w:rFonts w:ascii="Times New Roman" w:hAnsi="Times New Roman"/>
                <w:szCs w:val="21"/>
              </w:rPr>
            </w:pPr>
            <w:r>
              <w:rPr>
                <w:rFonts w:ascii="Times New Roman" w:hAnsi="Times New Roman"/>
                <w:szCs w:val="21"/>
              </w:rPr>
              <w:t>设施</w:t>
            </w:r>
          </w:p>
        </w:tc>
        <w:tc>
          <w:tcPr>
            <w:tcW w:w="1205"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产生源</w:t>
            </w:r>
          </w:p>
        </w:tc>
        <w:tc>
          <w:tcPr>
            <w:tcW w:w="1117"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名称</w:t>
            </w:r>
          </w:p>
        </w:tc>
        <w:tc>
          <w:tcPr>
            <w:tcW w:w="776"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排放</w:t>
            </w:r>
          </w:p>
          <w:p w:rsidR="00525419" w:rsidRDefault="00EE1CF7">
            <w:pPr>
              <w:jc w:val="center"/>
              <w:rPr>
                <w:rFonts w:ascii="Times New Roman" w:hAnsi="Times New Roman"/>
                <w:szCs w:val="21"/>
              </w:rPr>
            </w:pPr>
            <w:r>
              <w:rPr>
                <w:rFonts w:ascii="Times New Roman" w:hAnsi="Times New Roman"/>
                <w:szCs w:val="21"/>
              </w:rPr>
              <w:t>规律</w:t>
            </w:r>
          </w:p>
        </w:tc>
        <w:tc>
          <w:tcPr>
            <w:tcW w:w="1033" w:type="dxa"/>
            <w:tcBorders>
              <w:tl2br w:val="nil"/>
              <w:tr2bl w:val="nil"/>
            </w:tcBorders>
          </w:tcPr>
          <w:p w:rsidR="00525419" w:rsidRDefault="00EE1CF7">
            <w:pPr>
              <w:jc w:val="center"/>
              <w:rPr>
                <w:rFonts w:ascii="Times New Roman" w:hAnsi="Times New Roman"/>
                <w:szCs w:val="21"/>
              </w:rPr>
            </w:pPr>
            <w:r>
              <w:rPr>
                <w:rFonts w:ascii="Times New Roman" w:hAnsi="Times New Roman"/>
                <w:szCs w:val="21"/>
              </w:rPr>
              <w:t>排放量</w:t>
            </w:r>
          </w:p>
          <w:p w:rsidR="00525419" w:rsidRDefault="00EE1CF7">
            <w:pPr>
              <w:jc w:val="center"/>
              <w:rPr>
                <w:rFonts w:ascii="Times New Roman" w:hAnsi="Times New Roman"/>
                <w:szCs w:val="21"/>
              </w:rPr>
            </w:pPr>
            <w:r>
              <w:rPr>
                <w:rFonts w:ascii="Times New Roman" w:hAnsi="Times New Roman"/>
                <w:szCs w:val="21"/>
              </w:rPr>
              <w:t>(t/a)</w:t>
            </w:r>
          </w:p>
        </w:tc>
        <w:tc>
          <w:tcPr>
            <w:tcW w:w="776"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状态</w:t>
            </w:r>
          </w:p>
        </w:tc>
        <w:tc>
          <w:tcPr>
            <w:tcW w:w="1084"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组成</w:t>
            </w:r>
          </w:p>
        </w:tc>
        <w:tc>
          <w:tcPr>
            <w:tcW w:w="981"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处理</w:t>
            </w:r>
          </w:p>
          <w:p w:rsidR="00525419" w:rsidRDefault="00EE1CF7">
            <w:pPr>
              <w:jc w:val="center"/>
              <w:rPr>
                <w:rFonts w:ascii="Times New Roman" w:hAnsi="Times New Roman"/>
                <w:szCs w:val="21"/>
              </w:rPr>
            </w:pPr>
            <w:r>
              <w:rPr>
                <w:rFonts w:ascii="Times New Roman" w:hAnsi="Times New Roman"/>
                <w:szCs w:val="21"/>
              </w:rPr>
              <w:t>处置</w:t>
            </w:r>
          </w:p>
        </w:tc>
      </w:tr>
      <w:tr w:rsidR="00525419">
        <w:trPr>
          <w:trHeight w:val="214"/>
          <w:jc w:val="center"/>
        </w:trPr>
        <w:tc>
          <w:tcPr>
            <w:tcW w:w="1546"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污水处理站</w:t>
            </w:r>
          </w:p>
        </w:tc>
        <w:tc>
          <w:tcPr>
            <w:tcW w:w="1205"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气浮单元</w:t>
            </w:r>
          </w:p>
        </w:tc>
        <w:tc>
          <w:tcPr>
            <w:tcW w:w="1117"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浮渣</w:t>
            </w:r>
          </w:p>
        </w:tc>
        <w:tc>
          <w:tcPr>
            <w:tcW w:w="776"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连续</w:t>
            </w:r>
          </w:p>
        </w:tc>
        <w:tc>
          <w:tcPr>
            <w:tcW w:w="1033"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11.8</w:t>
            </w:r>
          </w:p>
        </w:tc>
        <w:tc>
          <w:tcPr>
            <w:tcW w:w="776"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液体</w:t>
            </w:r>
          </w:p>
        </w:tc>
        <w:tc>
          <w:tcPr>
            <w:tcW w:w="1084"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危险废物</w:t>
            </w:r>
          </w:p>
        </w:tc>
        <w:tc>
          <w:tcPr>
            <w:tcW w:w="981" w:type="dxa"/>
            <w:tcBorders>
              <w:tl2br w:val="nil"/>
              <w:tr2bl w:val="nil"/>
            </w:tcBorders>
          </w:tcPr>
          <w:p w:rsidR="00525419" w:rsidRDefault="00EE1CF7">
            <w:pPr>
              <w:rPr>
                <w:rFonts w:ascii="Times New Roman" w:hAnsi="Times New Roman"/>
              </w:rPr>
            </w:pPr>
            <w:r>
              <w:rPr>
                <w:rFonts w:ascii="Times New Roman" w:hAnsi="Times New Roman"/>
                <w:szCs w:val="21"/>
              </w:rPr>
              <w:t>送有资质单位处置</w:t>
            </w:r>
          </w:p>
        </w:tc>
      </w:tr>
      <w:tr w:rsidR="00525419">
        <w:trPr>
          <w:trHeight w:val="341"/>
          <w:jc w:val="center"/>
        </w:trPr>
        <w:tc>
          <w:tcPr>
            <w:tcW w:w="1546"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生活垃圾</w:t>
            </w:r>
          </w:p>
        </w:tc>
        <w:tc>
          <w:tcPr>
            <w:tcW w:w="1205"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生活区</w:t>
            </w:r>
          </w:p>
        </w:tc>
        <w:tc>
          <w:tcPr>
            <w:tcW w:w="1117"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生活垃圾</w:t>
            </w:r>
          </w:p>
        </w:tc>
        <w:tc>
          <w:tcPr>
            <w:tcW w:w="776"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连续</w:t>
            </w:r>
          </w:p>
        </w:tc>
        <w:tc>
          <w:tcPr>
            <w:tcW w:w="1033"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30</w:t>
            </w:r>
          </w:p>
        </w:tc>
        <w:tc>
          <w:tcPr>
            <w:tcW w:w="776"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固体</w:t>
            </w:r>
          </w:p>
        </w:tc>
        <w:tc>
          <w:tcPr>
            <w:tcW w:w="1084"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生活垃圾</w:t>
            </w:r>
          </w:p>
        </w:tc>
        <w:tc>
          <w:tcPr>
            <w:tcW w:w="981"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环卫部门填埋</w:t>
            </w:r>
          </w:p>
        </w:tc>
      </w:tr>
    </w:tbl>
    <w:p w:rsidR="00525419" w:rsidRDefault="00525419">
      <w:pPr>
        <w:rPr>
          <w:rFonts w:ascii="Times New Roman" w:hAnsi="Times New Roman"/>
        </w:rPr>
      </w:pP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3.7.3.5</w:t>
      </w:r>
      <w:r>
        <w:rPr>
          <w:rFonts w:ascii="Times New Roman" w:hAnsi="Times New Roman" w:cs="Times New Roman"/>
          <w:kern w:val="44"/>
          <w:sz w:val="24"/>
          <w:szCs w:val="24"/>
        </w:rPr>
        <w:t>储运工程</w:t>
      </w:r>
    </w:p>
    <w:p w:rsidR="00525419" w:rsidRDefault="00EE1CF7">
      <w:pPr>
        <w:pStyle w:val="afffff2"/>
        <w:ind w:firstLineChars="200" w:firstLine="480"/>
        <w:rPr>
          <w:color w:val="auto"/>
        </w:rPr>
      </w:pPr>
      <w:r>
        <w:rPr>
          <w:color w:val="auto"/>
        </w:rPr>
        <w:t>固废主要有储罐罐底油泥，固体废物排放情况见表</w:t>
      </w:r>
      <w:r>
        <w:rPr>
          <w:color w:val="auto"/>
        </w:rPr>
        <w:t>3.7-13</w:t>
      </w:r>
      <w:r>
        <w:rPr>
          <w:color w:val="auto"/>
        </w:rPr>
        <w:t>。</w:t>
      </w:r>
    </w:p>
    <w:p w:rsidR="00525419" w:rsidRDefault="00EE1CF7">
      <w:pPr>
        <w:spacing w:line="240" w:lineRule="atLeast"/>
        <w:jc w:val="center"/>
        <w:rPr>
          <w:rFonts w:ascii="Times New Roman" w:hAnsi="Times New Roman"/>
        </w:rPr>
      </w:pPr>
      <w:r>
        <w:rPr>
          <w:rFonts w:ascii="Times New Roman" w:eastAsia="黑体" w:hAnsi="Times New Roman"/>
        </w:rPr>
        <w:t>表</w:t>
      </w:r>
      <w:r>
        <w:rPr>
          <w:rFonts w:ascii="Times New Roman" w:eastAsia="黑体" w:hAnsi="Times New Roman"/>
        </w:rPr>
        <w:t xml:space="preserve">3.7-13     </w:t>
      </w:r>
      <w:r>
        <w:rPr>
          <w:rFonts w:ascii="Times New Roman" w:eastAsia="黑体" w:hAnsi="Times New Roman"/>
        </w:rPr>
        <w:t>储运工程固体废水产生情况一览表</w:t>
      </w:r>
    </w:p>
    <w:tbl>
      <w:tblPr>
        <w:tblW w:w="8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20"/>
        <w:gridCol w:w="1728"/>
        <w:gridCol w:w="1639"/>
        <w:gridCol w:w="1436"/>
        <w:gridCol w:w="1222"/>
        <w:gridCol w:w="1237"/>
      </w:tblGrid>
      <w:tr w:rsidR="00525419">
        <w:trPr>
          <w:trHeight w:val="328"/>
        </w:trPr>
        <w:tc>
          <w:tcPr>
            <w:tcW w:w="1320" w:type="dxa"/>
            <w:tcBorders>
              <w:tl2br w:val="nil"/>
              <w:tr2bl w:val="nil"/>
            </w:tcBorders>
          </w:tcPr>
          <w:p w:rsidR="00525419" w:rsidRDefault="00EE1CF7">
            <w:pPr>
              <w:jc w:val="center"/>
              <w:rPr>
                <w:rFonts w:ascii="Times New Roman" w:hAnsi="Times New Roman"/>
                <w:szCs w:val="21"/>
              </w:rPr>
            </w:pPr>
            <w:r>
              <w:rPr>
                <w:rFonts w:ascii="Times New Roman" w:hAnsi="Times New Roman"/>
                <w:szCs w:val="21"/>
              </w:rPr>
              <w:t>固废名称</w:t>
            </w:r>
          </w:p>
        </w:tc>
        <w:tc>
          <w:tcPr>
            <w:tcW w:w="1728" w:type="dxa"/>
            <w:tcBorders>
              <w:tl2br w:val="nil"/>
              <w:tr2bl w:val="nil"/>
            </w:tcBorders>
          </w:tcPr>
          <w:p w:rsidR="00525419" w:rsidRDefault="00EE1CF7">
            <w:pPr>
              <w:jc w:val="center"/>
              <w:rPr>
                <w:rFonts w:ascii="Times New Roman" w:hAnsi="Times New Roman"/>
                <w:szCs w:val="21"/>
              </w:rPr>
            </w:pPr>
            <w:r>
              <w:rPr>
                <w:rFonts w:ascii="Times New Roman" w:hAnsi="Times New Roman"/>
                <w:szCs w:val="21"/>
              </w:rPr>
              <w:t>排放量</w:t>
            </w:r>
            <w:r>
              <w:rPr>
                <w:rFonts w:ascii="Times New Roman" w:hAnsi="Times New Roman"/>
                <w:szCs w:val="21"/>
              </w:rPr>
              <w:t>(t/a)</w:t>
            </w:r>
          </w:p>
        </w:tc>
        <w:tc>
          <w:tcPr>
            <w:tcW w:w="1639" w:type="dxa"/>
            <w:tcBorders>
              <w:tl2br w:val="nil"/>
              <w:tr2bl w:val="nil"/>
            </w:tcBorders>
          </w:tcPr>
          <w:p w:rsidR="00525419" w:rsidRDefault="00EE1CF7">
            <w:pPr>
              <w:jc w:val="center"/>
              <w:rPr>
                <w:rFonts w:ascii="Times New Roman" w:hAnsi="Times New Roman"/>
                <w:szCs w:val="21"/>
              </w:rPr>
            </w:pPr>
            <w:r>
              <w:rPr>
                <w:rFonts w:ascii="Times New Roman" w:hAnsi="Times New Roman"/>
                <w:szCs w:val="21"/>
              </w:rPr>
              <w:t>主要组成</w:t>
            </w:r>
          </w:p>
        </w:tc>
        <w:tc>
          <w:tcPr>
            <w:tcW w:w="1436" w:type="dxa"/>
            <w:tcBorders>
              <w:tl2br w:val="nil"/>
              <w:tr2bl w:val="nil"/>
            </w:tcBorders>
          </w:tcPr>
          <w:p w:rsidR="00525419" w:rsidRDefault="00EE1CF7">
            <w:pPr>
              <w:jc w:val="center"/>
              <w:rPr>
                <w:rFonts w:ascii="Times New Roman" w:hAnsi="Times New Roman"/>
                <w:szCs w:val="21"/>
              </w:rPr>
            </w:pPr>
            <w:r>
              <w:rPr>
                <w:rFonts w:ascii="Times New Roman" w:hAnsi="Times New Roman"/>
                <w:szCs w:val="21"/>
              </w:rPr>
              <w:t>分类及编号</w:t>
            </w:r>
          </w:p>
        </w:tc>
        <w:tc>
          <w:tcPr>
            <w:tcW w:w="1222" w:type="dxa"/>
            <w:tcBorders>
              <w:tl2br w:val="nil"/>
              <w:tr2bl w:val="nil"/>
            </w:tcBorders>
          </w:tcPr>
          <w:p w:rsidR="00525419" w:rsidRDefault="00EE1CF7">
            <w:pPr>
              <w:jc w:val="center"/>
              <w:rPr>
                <w:rFonts w:ascii="Times New Roman" w:hAnsi="Times New Roman"/>
                <w:szCs w:val="21"/>
              </w:rPr>
            </w:pPr>
            <w:r>
              <w:rPr>
                <w:rFonts w:ascii="Times New Roman" w:hAnsi="Times New Roman"/>
                <w:szCs w:val="21"/>
              </w:rPr>
              <w:t>排放规律</w:t>
            </w:r>
          </w:p>
        </w:tc>
        <w:tc>
          <w:tcPr>
            <w:tcW w:w="1237" w:type="dxa"/>
            <w:tcBorders>
              <w:tl2br w:val="nil"/>
              <w:tr2bl w:val="nil"/>
            </w:tcBorders>
          </w:tcPr>
          <w:p w:rsidR="00525419" w:rsidRDefault="00EE1CF7">
            <w:pPr>
              <w:jc w:val="center"/>
              <w:rPr>
                <w:rFonts w:ascii="Times New Roman" w:hAnsi="Times New Roman"/>
                <w:szCs w:val="21"/>
              </w:rPr>
            </w:pPr>
            <w:r>
              <w:rPr>
                <w:rFonts w:ascii="Times New Roman" w:hAnsi="Times New Roman"/>
                <w:szCs w:val="21"/>
              </w:rPr>
              <w:t>排放去向</w:t>
            </w:r>
          </w:p>
        </w:tc>
      </w:tr>
      <w:tr w:rsidR="00525419">
        <w:trPr>
          <w:trHeight w:val="210"/>
        </w:trPr>
        <w:tc>
          <w:tcPr>
            <w:tcW w:w="1320" w:type="dxa"/>
            <w:tcBorders>
              <w:tl2br w:val="nil"/>
              <w:tr2bl w:val="nil"/>
            </w:tcBorders>
          </w:tcPr>
          <w:p w:rsidR="00525419" w:rsidRDefault="00EE1CF7">
            <w:pPr>
              <w:jc w:val="center"/>
              <w:rPr>
                <w:rFonts w:ascii="Times New Roman" w:hAnsi="Times New Roman"/>
                <w:szCs w:val="21"/>
              </w:rPr>
            </w:pPr>
            <w:r>
              <w:rPr>
                <w:rFonts w:ascii="Times New Roman" w:hAnsi="Times New Roman"/>
                <w:szCs w:val="21"/>
              </w:rPr>
              <w:t>油泥</w:t>
            </w:r>
          </w:p>
        </w:tc>
        <w:tc>
          <w:tcPr>
            <w:tcW w:w="1728" w:type="dxa"/>
            <w:tcBorders>
              <w:tl2br w:val="nil"/>
              <w:tr2bl w:val="nil"/>
            </w:tcBorders>
          </w:tcPr>
          <w:p w:rsidR="00525419" w:rsidRDefault="00EE1CF7">
            <w:pPr>
              <w:jc w:val="center"/>
              <w:rPr>
                <w:rFonts w:ascii="Times New Roman" w:hAnsi="Times New Roman"/>
                <w:szCs w:val="21"/>
              </w:rPr>
            </w:pPr>
            <w:r>
              <w:rPr>
                <w:rFonts w:ascii="Times New Roman" w:hAnsi="Times New Roman"/>
                <w:szCs w:val="21"/>
              </w:rPr>
              <w:t>15</w:t>
            </w:r>
          </w:p>
        </w:tc>
        <w:tc>
          <w:tcPr>
            <w:tcW w:w="1639" w:type="dxa"/>
            <w:tcBorders>
              <w:tl2br w:val="nil"/>
              <w:tr2bl w:val="nil"/>
            </w:tcBorders>
          </w:tcPr>
          <w:p w:rsidR="00525419" w:rsidRDefault="00EE1CF7">
            <w:pPr>
              <w:jc w:val="center"/>
              <w:rPr>
                <w:rFonts w:ascii="Times New Roman" w:hAnsi="Times New Roman"/>
                <w:szCs w:val="21"/>
              </w:rPr>
            </w:pPr>
            <w:r>
              <w:rPr>
                <w:rFonts w:ascii="Times New Roman" w:hAnsi="Times New Roman"/>
                <w:szCs w:val="21"/>
              </w:rPr>
              <w:t>油泥沉积物</w:t>
            </w:r>
          </w:p>
        </w:tc>
        <w:tc>
          <w:tcPr>
            <w:tcW w:w="1436" w:type="dxa"/>
            <w:tcBorders>
              <w:tl2br w:val="nil"/>
              <w:tr2bl w:val="nil"/>
            </w:tcBorders>
          </w:tcPr>
          <w:p w:rsidR="00525419" w:rsidRDefault="00EE1CF7">
            <w:pPr>
              <w:jc w:val="center"/>
              <w:rPr>
                <w:rFonts w:ascii="Times New Roman" w:hAnsi="Times New Roman"/>
                <w:szCs w:val="21"/>
              </w:rPr>
            </w:pPr>
            <w:r>
              <w:rPr>
                <w:rFonts w:ascii="Times New Roman" w:hAnsi="Times New Roman"/>
                <w:szCs w:val="21"/>
              </w:rPr>
              <w:t>HW08</w:t>
            </w:r>
            <w:r>
              <w:rPr>
                <w:rFonts w:ascii="Times New Roman" w:hAnsi="Times New Roman"/>
                <w:szCs w:val="21"/>
              </w:rPr>
              <w:t>，</w:t>
            </w:r>
            <w:r>
              <w:rPr>
                <w:rFonts w:ascii="Times New Roman" w:hAnsi="Times New Roman"/>
                <w:szCs w:val="21"/>
              </w:rPr>
              <w:t>251-002-08</w:t>
            </w:r>
          </w:p>
        </w:tc>
        <w:tc>
          <w:tcPr>
            <w:tcW w:w="1222" w:type="dxa"/>
            <w:tcBorders>
              <w:tl2br w:val="nil"/>
              <w:tr2bl w:val="nil"/>
            </w:tcBorders>
          </w:tcPr>
          <w:p w:rsidR="00525419" w:rsidRDefault="00EE1CF7">
            <w:pPr>
              <w:jc w:val="center"/>
              <w:rPr>
                <w:rFonts w:ascii="Times New Roman" w:hAnsi="Times New Roman"/>
                <w:szCs w:val="21"/>
              </w:rPr>
            </w:pPr>
            <w:r>
              <w:rPr>
                <w:rFonts w:ascii="Times New Roman" w:hAnsi="Times New Roman"/>
                <w:szCs w:val="21"/>
              </w:rPr>
              <w:t>间断</w:t>
            </w:r>
          </w:p>
        </w:tc>
        <w:tc>
          <w:tcPr>
            <w:tcW w:w="1237" w:type="dxa"/>
            <w:tcBorders>
              <w:tl2br w:val="nil"/>
              <w:tr2bl w:val="nil"/>
            </w:tcBorders>
          </w:tcPr>
          <w:p w:rsidR="00525419" w:rsidRDefault="00EE1CF7">
            <w:pPr>
              <w:jc w:val="center"/>
              <w:rPr>
                <w:rFonts w:ascii="Times New Roman" w:hAnsi="Times New Roman"/>
                <w:szCs w:val="21"/>
              </w:rPr>
            </w:pPr>
            <w:r>
              <w:rPr>
                <w:rFonts w:ascii="Times New Roman" w:hAnsi="Times New Roman"/>
                <w:szCs w:val="21"/>
              </w:rPr>
              <w:t>送有资质单位处置</w:t>
            </w:r>
          </w:p>
        </w:tc>
      </w:tr>
    </w:tbl>
    <w:p w:rsidR="00525419" w:rsidRDefault="00525419">
      <w:pPr>
        <w:rPr>
          <w:rFonts w:ascii="Times New Roman" w:hAnsi="Times New Roman"/>
        </w:rPr>
        <w:sectPr w:rsidR="00525419">
          <w:pgSz w:w="11906" w:h="16838"/>
          <w:pgMar w:top="1440" w:right="1797" w:bottom="1440" w:left="1797" w:header="851" w:footer="992" w:gutter="0"/>
          <w:cols w:space="425"/>
          <w:docGrid w:type="lines" w:linePitch="312"/>
        </w:sectPr>
      </w:pPr>
    </w:p>
    <w:p w:rsidR="00525419" w:rsidRDefault="00EE1CF7">
      <w:pPr>
        <w:spacing w:line="240" w:lineRule="atLeast"/>
        <w:ind w:firstLineChars="200" w:firstLine="420"/>
        <w:jc w:val="center"/>
        <w:rPr>
          <w:rFonts w:ascii="Times New Roman" w:eastAsia="黑体" w:hAnsi="Times New Roman"/>
          <w:szCs w:val="21"/>
        </w:rPr>
      </w:pPr>
      <w:r>
        <w:rPr>
          <w:rFonts w:ascii="Times New Roman" w:eastAsia="黑体" w:hAnsi="Times New Roman"/>
          <w:szCs w:val="21"/>
        </w:rPr>
        <w:lastRenderedPageBreak/>
        <w:t>表</w:t>
      </w:r>
      <w:r>
        <w:rPr>
          <w:rFonts w:ascii="Times New Roman" w:eastAsia="黑体" w:hAnsi="Times New Roman"/>
          <w:szCs w:val="21"/>
        </w:rPr>
        <w:t>3.7-9</w:t>
      </w:r>
      <w:r>
        <w:rPr>
          <w:rFonts w:ascii="Times New Roman" w:eastAsia="黑体" w:hAnsi="Times New Roman"/>
          <w:szCs w:val="21"/>
        </w:rPr>
        <w:t xml:space="preserve">　　天然气制氢固体废物污染源源强核算结果及相关参数一览表</w:t>
      </w:r>
    </w:p>
    <w:tbl>
      <w:tblPr>
        <w:tblW w:w="141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00"/>
        <w:gridCol w:w="1128"/>
        <w:gridCol w:w="1179"/>
        <w:gridCol w:w="1749"/>
        <w:gridCol w:w="1477"/>
        <w:gridCol w:w="150"/>
        <w:gridCol w:w="1536"/>
        <w:gridCol w:w="1205"/>
        <w:gridCol w:w="1270"/>
        <w:gridCol w:w="782"/>
        <w:gridCol w:w="1225"/>
        <w:gridCol w:w="1064"/>
      </w:tblGrid>
      <w:tr w:rsidR="00525419">
        <w:trPr>
          <w:trHeight w:val="218"/>
          <w:jc w:val="center"/>
        </w:trPr>
        <w:tc>
          <w:tcPr>
            <w:tcW w:w="1400" w:type="dxa"/>
            <w:vMerge w:val="restart"/>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设备名称</w:t>
            </w:r>
          </w:p>
        </w:tc>
        <w:tc>
          <w:tcPr>
            <w:tcW w:w="1128" w:type="dxa"/>
            <w:vMerge w:val="restart"/>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固废名称</w:t>
            </w:r>
          </w:p>
        </w:tc>
        <w:tc>
          <w:tcPr>
            <w:tcW w:w="4405" w:type="dxa"/>
            <w:gridSpan w:val="3"/>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固体废物属性</w:t>
            </w:r>
          </w:p>
        </w:tc>
        <w:tc>
          <w:tcPr>
            <w:tcW w:w="1686" w:type="dxa"/>
            <w:gridSpan w:val="2"/>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形态及主要成分</w:t>
            </w:r>
          </w:p>
        </w:tc>
        <w:tc>
          <w:tcPr>
            <w:tcW w:w="2475" w:type="dxa"/>
            <w:gridSpan w:val="2"/>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产生量</w:t>
            </w:r>
          </w:p>
        </w:tc>
        <w:tc>
          <w:tcPr>
            <w:tcW w:w="2007" w:type="dxa"/>
            <w:gridSpan w:val="2"/>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处置措施</w:t>
            </w:r>
          </w:p>
        </w:tc>
        <w:tc>
          <w:tcPr>
            <w:tcW w:w="1064"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最终去向</w:t>
            </w:r>
          </w:p>
        </w:tc>
      </w:tr>
      <w:tr w:rsidR="00525419">
        <w:trPr>
          <w:trHeight w:val="403"/>
          <w:jc w:val="center"/>
        </w:trPr>
        <w:tc>
          <w:tcPr>
            <w:tcW w:w="1400" w:type="dxa"/>
            <w:vMerge/>
            <w:tcBorders>
              <w:tl2br w:val="nil"/>
              <w:tr2bl w:val="nil"/>
            </w:tcBorders>
            <w:vAlign w:val="center"/>
          </w:tcPr>
          <w:p w:rsidR="00525419" w:rsidRDefault="00525419">
            <w:pPr>
              <w:spacing w:line="240" w:lineRule="exact"/>
              <w:rPr>
                <w:rFonts w:ascii="Times New Roman" w:hAnsi="Times New Roman"/>
                <w:szCs w:val="21"/>
              </w:rPr>
            </w:pPr>
          </w:p>
        </w:tc>
        <w:tc>
          <w:tcPr>
            <w:tcW w:w="1128" w:type="dxa"/>
            <w:vMerge/>
            <w:tcBorders>
              <w:tl2br w:val="nil"/>
              <w:tr2bl w:val="nil"/>
            </w:tcBorders>
            <w:vAlign w:val="center"/>
          </w:tcPr>
          <w:p w:rsidR="00525419" w:rsidRDefault="00525419">
            <w:pPr>
              <w:spacing w:line="240" w:lineRule="exact"/>
              <w:rPr>
                <w:rFonts w:ascii="Times New Roman" w:hAnsi="Times New Roman"/>
                <w:szCs w:val="21"/>
              </w:rPr>
            </w:pPr>
          </w:p>
        </w:tc>
        <w:tc>
          <w:tcPr>
            <w:tcW w:w="1179"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属性</w:t>
            </w:r>
          </w:p>
        </w:tc>
        <w:tc>
          <w:tcPr>
            <w:tcW w:w="1749"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危险废物类别</w:t>
            </w:r>
          </w:p>
        </w:tc>
        <w:tc>
          <w:tcPr>
            <w:tcW w:w="1627" w:type="dxa"/>
            <w:gridSpan w:val="2"/>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危险代码</w:t>
            </w:r>
          </w:p>
        </w:tc>
        <w:tc>
          <w:tcPr>
            <w:tcW w:w="1536" w:type="dxa"/>
            <w:tcBorders>
              <w:tl2br w:val="nil"/>
              <w:tr2bl w:val="nil"/>
            </w:tcBorders>
            <w:vAlign w:val="center"/>
          </w:tcPr>
          <w:p w:rsidR="00525419" w:rsidRDefault="00525419">
            <w:pPr>
              <w:spacing w:line="240" w:lineRule="exact"/>
              <w:rPr>
                <w:rFonts w:ascii="Times New Roman" w:hAnsi="Times New Roman"/>
                <w:szCs w:val="21"/>
              </w:rPr>
            </w:pPr>
          </w:p>
        </w:tc>
        <w:tc>
          <w:tcPr>
            <w:tcW w:w="1205"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核算方法</w:t>
            </w:r>
          </w:p>
        </w:tc>
        <w:tc>
          <w:tcPr>
            <w:tcW w:w="1270"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产生量</w:t>
            </w:r>
            <w:r>
              <w:rPr>
                <w:rFonts w:ascii="Times New Roman" w:hAnsi="Times New Roman"/>
                <w:szCs w:val="21"/>
              </w:rPr>
              <w:t>(t/a)</w:t>
            </w:r>
          </w:p>
        </w:tc>
        <w:tc>
          <w:tcPr>
            <w:tcW w:w="782"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工艺</w:t>
            </w:r>
          </w:p>
        </w:tc>
        <w:tc>
          <w:tcPr>
            <w:tcW w:w="1225"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处置量</w:t>
            </w:r>
          </w:p>
        </w:tc>
        <w:tc>
          <w:tcPr>
            <w:tcW w:w="1064" w:type="dxa"/>
            <w:tcBorders>
              <w:tl2br w:val="nil"/>
              <w:tr2bl w:val="nil"/>
            </w:tcBorders>
            <w:vAlign w:val="center"/>
          </w:tcPr>
          <w:p w:rsidR="00525419" w:rsidRDefault="00525419">
            <w:pPr>
              <w:spacing w:line="240" w:lineRule="exact"/>
              <w:rPr>
                <w:rFonts w:ascii="Times New Roman" w:hAnsi="Times New Roman"/>
                <w:szCs w:val="21"/>
              </w:rPr>
            </w:pPr>
          </w:p>
        </w:tc>
      </w:tr>
      <w:tr w:rsidR="00525419">
        <w:trPr>
          <w:trHeight w:val="331"/>
          <w:jc w:val="center"/>
        </w:trPr>
        <w:tc>
          <w:tcPr>
            <w:tcW w:w="1400"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加氢反应器</w:t>
            </w:r>
          </w:p>
        </w:tc>
        <w:tc>
          <w:tcPr>
            <w:tcW w:w="1128"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 xml:space="preserve">废加氢催化剂　</w:t>
            </w:r>
          </w:p>
        </w:tc>
        <w:tc>
          <w:tcPr>
            <w:tcW w:w="1179"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危险废物</w:t>
            </w:r>
          </w:p>
        </w:tc>
        <w:tc>
          <w:tcPr>
            <w:tcW w:w="1749"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HW46</w:t>
            </w:r>
            <w:r>
              <w:rPr>
                <w:rFonts w:ascii="Times New Roman" w:hAnsi="Times New Roman"/>
                <w:szCs w:val="21"/>
              </w:rPr>
              <w:t>含镍废物</w:t>
            </w:r>
          </w:p>
        </w:tc>
        <w:tc>
          <w:tcPr>
            <w:tcW w:w="1627" w:type="dxa"/>
            <w:gridSpan w:val="2"/>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900-037-46</w:t>
            </w:r>
          </w:p>
        </w:tc>
        <w:tc>
          <w:tcPr>
            <w:tcW w:w="1536"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Mo</w:t>
            </w:r>
            <w:r>
              <w:rPr>
                <w:rFonts w:ascii="Times New Roman" w:hAnsi="Times New Roman"/>
                <w:szCs w:val="21"/>
              </w:rPr>
              <w:t>、</w:t>
            </w:r>
            <w:r>
              <w:rPr>
                <w:rFonts w:ascii="Times New Roman" w:hAnsi="Times New Roman"/>
                <w:szCs w:val="21"/>
              </w:rPr>
              <w:t>Ni</w:t>
            </w:r>
            <w:r>
              <w:rPr>
                <w:rFonts w:ascii="Times New Roman" w:hAnsi="Times New Roman"/>
                <w:szCs w:val="21"/>
              </w:rPr>
              <w:t>金属的氧化物</w:t>
            </w:r>
          </w:p>
        </w:tc>
        <w:tc>
          <w:tcPr>
            <w:tcW w:w="1205"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类比</w:t>
            </w:r>
          </w:p>
        </w:tc>
        <w:tc>
          <w:tcPr>
            <w:tcW w:w="1270"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4.41</w:t>
            </w:r>
          </w:p>
        </w:tc>
        <w:tc>
          <w:tcPr>
            <w:tcW w:w="782" w:type="dxa"/>
            <w:vMerge w:val="restart"/>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危险废物库暂存</w:t>
            </w:r>
          </w:p>
        </w:tc>
        <w:tc>
          <w:tcPr>
            <w:tcW w:w="1225"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4.41</w:t>
            </w:r>
          </w:p>
        </w:tc>
        <w:tc>
          <w:tcPr>
            <w:tcW w:w="1064" w:type="dxa"/>
            <w:vMerge w:val="restart"/>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暂存后交由有资质的单位进行处置</w:t>
            </w:r>
          </w:p>
        </w:tc>
      </w:tr>
      <w:tr w:rsidR="00525419">
        <w:trPr>
          <w:trHeight w:val="344"/>
          <w:jc w:val="center"/>
        </w:trPr>
        <w:tc>
          <w:tcPr>
            <w:tcW w:w="1400" w:type="dxa"/>
            <w:vMerge w:val="restart"/>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氧化锌脱硫反应器</w:t>
            </w:r>
          </w:p>
        </w:tc>
        <w:tc>
          <w:tcPr>
            <w:tcW w:w="1128"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废脱氯剂</w:t>
            </w:r>
          </w:p>
        </w:tc>
        <w:tc>
          <w:tcPr>
            <w:tcW w:w="1179" w:type="dxa"/>
            <w:vMerge w:val="restart"/>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危险废物</w:t>
            </w:r>
          </w:p>
        </w:tc>
        <w:tc>
          <w:tcPr>
            <w:tcW w:w="1749"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HW23</w:t>
            </w:r>
            <w:r>
              <w:rPr>
                <w:rFonts w:ascii="Times New Roman" w:hAnsi="Times New Roman"/>
                <w:szCs w:val="21"/>
              </w:rPr>
              <w:t>含锌废物</w:t>
            </w:r>
          </w:p>
        </w:tc>
        <w:tc>
          <w:tcPr>
            <w:tcW w:w="1627" w:type="dxa"/>
            <w:gridSpan w:val="2"/>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900-021-23</w:t>
            </w:r>
          </w:p>
        </w:tc>
        <w:tc>
          <w:tcPr>
            <w:tcW w:w="1536"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ZnO</w:t>
            </w:r>
          </w:p>
        </w:tc>
        <w:tc>
          <w:tcPr>
            <w:tcW w:w="1205" w:type="dxa"/>
            <w:vMerge w:val="restart"/>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类比</w:t>
            </w:r>
          </w:p>
        </w:tc>
        <w:tc>
          <w:tcPr>
            <w:tcW w:w="1270"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3.44</w:t>
            </w:r>
          </w:p>
        </w:tc>
        <w:tc>
          <w:tcPr>
            <w:tcW w:w="782" w:type="dxa"/>
            <w:vMerge/>
            <w:tcBorders>
              <w:tl2br w:val="nil"/>
              <w:tr2bl w:val="nil"/>
            </w:tcBorders>
            <w:vAlign w:val="center"/>
          </w:tcPr>
          <w:p w:rsidR="00525419" w:rsidRDefault="00525419">
            <w:pPr>
              <w:spacing w:line="240" w:lineRule="exact"/>
              <w:rPr>
                <w:rFonts w:ascii="Times New Roman" w:hAnsi="Times New Roman"/>
                <w:szCs w:val="21"/>
              </w:rPr>
            </w:pPr>
          </w:p>
        </w:tc>
        <w:tc>
          <w:tcPr>
            <w:tcW w:w="1225"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3.44</w:t>
            </w:r>
          </w:p>
        </w:tc>
        <w:tc>
          <w:tcPr>
            <w:tcW w:w="1064" w:type="dxa"/>
            <w:vMerge/>
            <w:tcBorders>
              <w:tl2br w:val="nil"/>
              <w:tr2bl w:val="nil"/>
            </w:tcBorders>
            <w:vAlign w:val="center"/>
          </w:tcPr>
          <w:p w:rsidR="00525419" w:rsidRDefault="00525419">
            <w:pPr>
              <w:spacing w:line="240" w:lineRule="exact"/>
              <w:rPr>
                <w:rFonts w:ascii="Times New Roman" w:hAnsi="Times New Roman"/>
                <w:szCs w:val="21"/>
              </w:rPr>
            </w:pPr>
          </w:p>
        </w:tc>
      </w:tr>
      <w:tr w:rsidR="00525419">
        <w:trPr>
          <w:trHeight w:val="413"/>
          <w:jc w:val="center"/>
        </w:trPr>
        <w:tc>
          <w:tcPr>
            <w:tcW w:w="1400" w:type="dxa"/>
            <w:vMerge/>
            <w:tcBorders>
              <w:tl2br w:val="nil"/>
              <w:tr2bl w:val="nil"/>
            </w:tcBorders>
            <w:vAlign w:val="center"/>
          </w:tcPr>
          <w:p w:rsidR="00525419" w:rsidRDefault="00525419">
            <w:pPr>
              <w:spacing w:line="240" w:lineRule="exact"/>
              <w:rPr>
                <w:rFonts w:ascii="Times New Roman" w:hAnsi="Times New Roman"/>
                <w:szCs w:val="21"/>
              </w:rPr>
            </w:pPr>
          </w:p>
        </w:tc>
        <w:tc>
          <w:tcPr>
            <w:tcW w:w="1128"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废脱硫剂</w:t>
            </w:r>
          </w:p>
        </w:tc>
        <w:tc>
          <w:tcPr>
            <w:tcW w:w="1179" w:type="dxa"/>
            <w:vMerge/>
            <w:tcBorders>
              <w:tl2br w:val="nil"/>
              <w:tr2bl w:val="nil"/>
            </w:tcBorders>
            <w:vAlign w:val="center"/>
          </w:tcPr>
          <w:p w:rsidR="00525419" w:rsidRDefault="00525419">
            <w:pPr>
              <w:spacing w:line="240" w:lineRule="exact"/>
              <w:rPr>
                <w:rFonts w:ascii="Times New Roman" w:hAnsi="Times New Roman"/>
                <w:szCs w:val="21"/>
              </w:rPr>
            </w:pPr>
          </w:p>
        </w:tc>
        <w:tc>
          <w:tcPr>
            <w:tcW w:w="1749"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HW23</w:t>
            </w:r>
            <w:r>
              <w:rPr>
                <w:rFonts w:ascii="Times New Roman" w:hAnsi="Times New Roman"/>
                <w:szCs w:val="21"/>
              </w:rPr>
              <w:t>含锌废物</w:t>
            </w:r>
          </w:p>
        </w:tc>
        <w:tc>
          <w:tcPr>
            <w:tcW w:w="1627" w:type="dxa"/>
            <w:gridSpan w:val="2"/>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900-021-23</w:t>
            </w:r>
          </w:p>
        </w:tc>
        <w:tc>
          <w:tcPr>
            <w:tcW w:w="1536"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ZnO</w:t>
            </w:r>
          </w:p>
        </w:tc>
        <w:tc>
          <w:tcPr>
            <w:tcW w:w="1205" w:type="dxa"/>
            <w:vMerge/>
            <w:tcBorders>
              <w:tl2br w:val="nil"/>
              <w:tr2bl w:val="nil"/>
            </w:tcBorders>
            <w:vAlign w:val="center"/>
          </w:tcPr>
          <w:p w:rsidR="00525419" w:rsidRDefault="00525419">
            <w:pPr>
              <w:spacing w:line="240" w:lineRule="exact"/>
              <w:rPr>
                <w:rFonts w:ascii="Times New Roman" w:hAnsi="Times New Roman"/>
                <w:szCs w:val="21"/>
              </w:rPr>
            </w:pPr>
          </w:p>
        </w:tc>
        <w:tc>
          <w:tcPr>
            <w:tcW w:w="1270"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18.2</w:t>
            </w:r>
          </w:p>
        </w:tc>
        <w:tc>
          <w:tcPr>
            <w:tcW w:w="782" w:type="dxa"/>
            <w:vMerge/>
            <w:tcBorders>
              <w:tl2br w:val="nil"/>
              <w:tr2bl w:val="nil"/>
            </w:tcBorders>
            <w:vAlign w:val="center"/>
          </w:tcPr>
          <w:p w:rsidR="00525419" w:rsidRDefault="00525419">
            <w:pPr>
              <w:spacing w:line="240" w:lineRule="exact"/>
              <w:rPr>
                <w:rFonts w:ascii="Times New Roman" w:hAnsi="Times New Roman"/>
                <w:szCs w:val="21"/>
              </w:rPr>
            </w:pPr>
          </w:p>
        </w:tc>
        <w:tc>
          <w:tcPr>
            <w:tcW w:w="1225"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18.2</w:t>
            </w:r>
          </w:p>
        </w:tc>
        <w:tc>
          <w:tcPr>
            <w:tcW w:w="1064" w:type="dxa"/>
            <w:vMerge/>
            <w:tcBorders>
              <w:tl2br w:val="nil"/>
              <w:tr2bl w:val="nil"/>
            </w:tcBorders>
            <w:vAlign w:val="center"/>
          </w:tcPr>
          <w:p w:rsidR="00525419" w:rsidRDefault="00525419">
            <w:pPr>
              <w:spacing w:line="240" w:lineRule="exact"/>
              <w:rPr>
                <w:rFonts w:ascii="Times New Roman" w:hAnsi="Times New Roman"/>
                <w:szCs w:val="21"/>
              </w:rPr>
            </w:pPr>
          </w:p>
        </w:tc>
      </w:tr>
      <w:tr w:rsidR="00525419">
        <w:trPr>
          <w:trHeight w:val="494"/>
          <w:jc w:val="center"/>
        </w:trPr>
        <w:tc>
          <w:tcPr>
            <w:tcW w:w="1400"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hint="eastAsia"/>
                <w:szCs w:val="21"/>
              </w:rPr>
              <w:t>制氢转化炉</w:t>
            </w:r>
          </w:p>
        </w:tc>
        <w:tc>
          <w:tcPr>
            <w:tcW w:w="1128"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废转化催化剂</w:t>
            </w:r>
          </w:p>
        </w:tc>
        <w:tc>
          <w:tcPr>
            <w:tcW w:w="1179"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危险废物</w:t>
            </w:r>
          </w:p>
        </w:tc>
        <w:tc>
          <w:tcPr>
            <w:tcW w:w="1749" w:type="dxa"/>
            <w:tcBorders>
              <w:tl2br w:val="nil"/>
              <w:tr2bl w:val="nil"/>
            </w:tcBorders>
            <w:vAlign w:val="center"/>
          </w:tcPr>
          <w:p w:rsidR="00525419" w:rsidRDefault="00EE1CF7">
            <w:pPr>
              <w:spacing w:line="240" w:lineRule="exact"/>
              <w:rPr>
                <w:rFonts w:ascii="Times New Roman" w:hAnsi="Times New Roman"/>
                <w:kern w:val="0"/>
                <w:szCs w:val="21"/>
              </w:rPr>
            </w:pPr>
            <w:r>
              <w:rPr>
                <w:rFonts w:ascii="Times New Roman" w:hAnsi="Times New Roman"/>
                <w:kern w:val="0"/>
                <w:szCs w:val="21"/>
              </w:rPr>
              <w:t>HW46</w:t>
            </w:r>
            <w:r>
              <w:rPr>
                <w:rFonts w:ascii="Times New Roman" w:hAnsi="Times New Roman"/>
                <w:szCs w:val="21"/>
              </w:rPr>
              <w:t>含镍废物</w:t>
            </w:r>
          </w:p>
        </w:tc>
        <w:tc>
          <w:tcPr>
            <w:tcW w:w="1627" w:type="dxa"/>
            <w:gridSpan w:val="2"/>
            <w:tcBorders>
              <w:tl2br w:val="nil"/>
              <w:tr2bl w:val="nil"/>
            </w:tcBorders>
            <w:vAlign w:val="center"/>
          </w:tcPr>
          <w:p w:rsidR="00525419" w:rsidRDefault="00EE1CF7">
            <w:pPr>
              <w:spacing w:line="240" w:lineRule="exact"/>
              <w:rPr>
                <w:rFonts w:ascii="Times New Roman" w:hAnsi="Times New Roman"/>
                <w:kern w:val="0"/>
                <w:szCs w:val="21"/>
              </w:rPr>
            </w:pPr>
            <w:r>
              <w:rPr>
                <w:rFonts w:ascii="Times New Roman" w:hAnsi="Times New Roman"/>
                <w:kern w:val="0"/>
                <w:szCs w:val="21"/>
              </w:rPr>
              <w:t>900-037-46</w:t>
            </w:r>
          </w:p>
        </w:tc>
        <w:tc>
          <w:tcPr>
            <w:tcW w:w="1536"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Ni</w:t>
            </w:r>
            <w:r>
              <w:rPr>
                <w:rFonts w:ascii="Times New Roman" w:hAnsi="Times New Roman"/>
                <w:szCs w:val="21"/>
              </w:rPr>
              <w:t>金属的氧化物</w:t>
            </w:r>
          </w:p>
        </w:tc>
        <w:tc>
          <w:tcPr>
            <w:tcW w:w="1205" w:type="dxa"/>
            <w:tcBorders>
              <w:tl2br w:val="nil"/>
              <w:tr2bl w:val="nil"/>
            </w:tcBorders>
            <w:vAlign w:val="center"/>
          </w:tcPr>
          <w:p w:rsidR="00525419" w:rsidRDefault="00525419">
            <w:pPr>
              <w:spacing w:line="240" w:lineRule="exact"/>
              <w:rPr>
                <w:rFonts w:ascii="Times New Roman" w:hAnsi="Times New Roman"/>
                <w:szCs w:val="21"/>
              </w:rPr>
            </w:pPr>
          </w:p>
        </w:tc>
        <w:tc>
          <w:tcPr>
            <w:tcW w:w="1270"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4.27</w:t>
            </w:r>
          </w:p>
        </w:tc>
        <w:tc>
          <w:tcPr>
            <w:tcW w:w="782" w:type="dxa"/>
            <w:vMerge/>
            <w:tcBorders>
              <w:tl2br w:val="nil"/>
              <w:tr2bl w:val="nil"/>
            </w:tcBorders>
            <w:vAlign w:val="center"/>
          </w:tcPr>
          <w:p w:rsidR="00525419" w:rsidRDefault="00525419">
            <w:pPr>
              <w:spacing w:line="240" w:lineRule="exact"/>
              <w:rPr>
                <w:rFonts w:ascii="Times New Roman" w:hAnsi="Times New Roman"/>
                <w:szCs w:val="21"/>
              </w:rPr>
            </w:pPr>
          </w:p>
        </w:tc>
        <w:tc>
          <w:tcPr>
            <w:tcW w:w="1225"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4.27</w:t>
            </w:r>
          </w:p>
        </w:tc>
        <w:tc>
          <w:tcPr>
            <w:tcW w:w="1064" w:type="dxa"/>
            <w:vMerge/>
            <w:tcBorders>
              <w:tl2br w:val="nil"/>
              <w:tr2bl w:val="nil"/>
            </w:tcBorders>
            <w:vAlign w:val="center"/>
          </w:tcPr>
          <w:p w:rsidR="00525419" w:rsidRDefault="00525419">
            <w:pPr>
              <w:spacing w:line="240" w:lineRule="exact"/>
              <w:rPr>
                <w:rFonts w:ascii="Times New Roman" w:hAnsi="Times New Roman"/>
                <w:szCs w:val="21"/>
              </w:rPr>
            </w:pPr>
          </w:p>
        </w:tc>
      </w:tr>
      <w:tr w:rsidR="00525419">
        <w:trPr>
          <w:trHeight w:val="427"/>
          <w:jc w:val="center"/>
        </w:trPr>
        <w:tc>
          <w:tcPr>
            <w:tcW w:w="1400"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中温变换反应器</w:t>
            </w:r>
          </w:p>
        </w:tc>
        <w:tc>
          <w:tcPr>
            <w:tcW w:w="1128"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废中变催化剂</w:t>
            </w:r>
          </w:p>
        </w:tc>
        <w:tc>
          <w:tcPr>
            <w:tcW w:w="1179"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危险废物</w:t>
            </w:r>
          </w:p>
        </w:tc>
        <w:tc>
          <w:tcPr>
            <w:tcW w:w="1749"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HW06</w:t>
            </w:r>
            <w:r>
              <w:rPr>
                <w:rFonts w:ascii="Times New Roman" w:hAnsi="Times New Roman"/>
                <w:szCs w:val="21"/>
              </w:rPr>
              <w:t>有机溶剂废物</w:t>
            </w:r>
          </w:p>
        </w:tc>
        <w:tc>
          <w:tcPr>
            <w:tcW w:w="1627" w:type="dxa"/>
            <w:gridSpan w:val="2"/>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261-005-06</w:t>
            </w:r>
          </w:p>
        </w:tc>
        <w:tc>
          <w:tcPr>
            <w:tcW w:w="1536"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Fe</w:t>
            </w:r>
            <w:r>
              <w:rPr>
                <w:rFonts w:ascii="Times New Roman" w:hAnsi="Times New Roman"/>
                <w:szCs w:val="21"/>
                <w:vertAlign w:val="subscript"/>
              </w:rPr>
              <w:t>3</w:t>
            </w:r>
            <w:r>
              <w:rPr>
                <w:rFonts w:ascii="Times New Roman" w:hAnsi="Times New Roman"/>
                <w:szCs w:val="21"/>
              </w:rPr>
              <w:t>O</w:t>
            </w:r>
            <w:r>
              <w:rPr>
                <w:rFonts w:ascii="Times New Roman" w:hAnsi="Times New Roman"/>
                <w:szCs w:val="21"/>
                <w:vertAlign w:val="subscript"/>
              </w:rPr>
              <w:t>4</w:t>
            </w:r>
          </w:p>
        </w:tc>
        <w:tc>
          <w:tcPr>
            <w:tcW w:w="1205"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类比</w:t>
            </w:r>
          </w:p>
        </w:tc>
        <w:tc>
          <w:tcPr>
            <w:tcW w:w="1270"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14.37</w:t>
            </w:r>
          </w:p>
        </w:tc>
        <w:tc>
          <w:tcPr>
            <w:tcW w:w="782" w:type="dxa"/>
            <w:vMerge/>
            <w:tcBorders>
              <w:tl2br w:val="nil"/>
              <w:tr2bl w:val="nil"/>
            </w:tcBorders>
            <w:vAlign w:val="center"/>
          </w:tcPr>
          <w:p w:rsidR="00525419" w:rsidRDefault="00525419">
            <w:pPr>
              <w:spacing w:line="240" w:lineRule="exact"/>
              <w:rPr>
                <w:rFonts w:ascii="Times New Roman" w:hAnsi="Times New Roman"/>
                <w:szCs w:val="21"/>
              </w:rPr>
            </w:pPr>
          </w:p>
        </w:tc>
        <w:tc>
          <w:tcPr>
            <w:tcW w:w="1225"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14.37</w:t>
            </w:r>
          </w:p>
        </w:tc>
        <w:tc>
          <w:tcPr>
            <w:tcW w:w="1064" w:type="dxa"/>
            <w:vMerge/>
            <w:tcBorders>
              <w:tl2br w:val="nil"/>
              <w:tr2bl w:val="nil"/>
            </w:tcBorders>
            <w:vAlign w:val="center"/>
          </w:tcPr>
          <w:p w:rsidR="00525419" w:rsidRDefault="00525419">
            <w:pPr>
              <w:spacing w:line="240" w:lineRule="exact"/>
              <w:rPr>
                <w:rFonts w:ascii="Times New Roman" w:hAnsi="Times New Roman"/>
                <w:szCs w:val="21"/>
              </w:rPr>
            </w:pPr>
          </w:p>
        </w:tc>
      </w:tr>
      <w:tr w:rsidR="00525419">
        <w:trPr>
          <w:trHeight w:val="501"/>
          <w:jc w:val="center"/>
        </w:trPr>
        <w:tc>
          <w:tcPr>
            <w:tcW w:w="1400"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PSA</w:t>
            </w:r>
            <w:r>
              <w:rPr>
                <w:rFonts w:ascii="Times New Roman" w:hAnsi="Times New Roman"/>
                <w:szCs w:val="21"/>
              </w:rPr>
              <w:t>吸附塔</w:t>
            </w:r>
          </w:p>
        </w:tc>
        <w:tc>
          <w:tcPr>
            <w:tcW w:w="1128"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废吸附剂</w:t>
            </w:r>
          </w:p>
        </w:tc>
        <w:tc>
          <w:tcPr>
            <w:tcW w:w="1179"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一般固废</w:t>
            </w:r>
          </w:p>
        </w:tc>
        <w:tc>
          <w:tcPr>
            <w:tcW w:w="1749"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w:t>
            </w:r>
          </w:p>
        </w:tc>
        <w:tc>
          <w:tcPr>
            <w:tcW w:w="1627" w:type="dxa"/>
            <w:gridSpan w:val="2"/>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w:t>
            </w:r>
          </w:p>
        </w:tc>
        <w:tc>
          <w:tcPr>
            <w:tcW w:w="1536"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bCs/>
                <w:szCs w:val="21"/>
              </w:rPr>
              <w:t>Al</w:t>
            </w:r>
            <w:r>
              <w:rPr>
                <w:rFonts w:ascii="Times New Roman" w:hAnsi="Times New Roman"/>
                <w:bCs/>
                <w:szCs w:val="21"/>
                <w:vertAlign w:val="subscript"/>
              </w:rPr>
              <w:t>2</w:t>
            </w:r>
            <w:r>
              <w:rPr>
                <w:rFonts w:ascii="Times New Roman" w:hAnsi="Times New Roman"/>
                <w:bCs/>
                <w:szCs w:val="21"/>
              </w:rPr>
              <w:t>O</w:t>
            </w:r>
            <w:r>
              <w:rPr>
                <w:rFonts w:ascii="Times New Roman" w:hAnsi="Times New Roman"/>
                <w:bCs/>
                <w:szCs w:val="21"/>
                <w:vertAlign w:val="subscript"/>
              </w:rPr>
              <w:t>3</w:t>
            </w:r>
            <w:r>
              <w:rPr>
                <w:rFonts w:ascii="Times New Roman" w:hAnsi="Times New Roman"/>
                <w:bCs/>
                <w:szCs w:val="21"/>
              </w:rPr>
              <w:t>，</w:t>
            </w:r>
            <w:r>
              <w:rPr>
                <w:rFonts w:ascii="Times New Roman" w:hAnsi="Times New Roman"/>
                <w:bCs/>
                <w:szCs w:val="21"/>
              </w:rPr>
              <w:t>SiO</w:t>
            </w:r>
            <w:r>
              <w:rPr>
                <w:rFonts w:ascii="Times New Roman" w:hAnsi="Times New Roman"/>
                <w:bCs/>
                <w:szCs w:val="21"/>
                <w:vertAlign w:val="subscript"/>
              </w:rPr>
              <w:t>2</w:t>
            </w:r>
          </w:p>
        </w:tc>
        <w:tc>
          <w:tcPr>
            <w:tcW w:w="1205" w:type="dxa"/>
            <w:tcBorders>
              <w:tl2br w:val="nil"/>
              <w:tr2bl w:val="nil"/>
            </w:tcBorders>
            <w:vAlign w:val="center"/>
          </w:tcPr>
          <w:p w:rsidR="00525419" w:rsidRDefault="00525419">
            <w:pPr>
              <w:spacing w:line="240" w:lineRule="exact"/>
              <w:rPr>
                <w:rFonts w:ascii="Times New Roman" w:hAnsi="Times New Roman"/>
                <w:szCs w:val="21"/>
              </w:rPr>
            </w:pPr>
          </w:p>
        </w:tc>
        <w:tc>
          <w:tcPr>
            <w:tcW w:w="1270"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21.03</w:t>
            </w:r>
          </w:p>
        </w:tc>
        <w:tc>
          <w:tcPr>
            <w:tcW w:w="782" w:type="dxa"/>
            <w:tcBorders>
              <w:tl2br w:val="nil"/>
              <w:tr2bl w:val="nil"/>
            </w:tcBorders>
            <w:vAlign w:val="center"/>
          </w:tcPr>
          <w:p w:rsidR="00525419" w:rsidRDefault="00525419">
            <w:pPr>
              <w:spacing w:line="240" w:lineRule="exact"/>
              <w:rPr>
                <w:rFonts w:ascii="Times New Roman" w:hAnsi="Times New Roman"/>
                <w:szCs w:val="21"/>
              </w:rPr>
            </w:pPr>
          </w:p>
        </w:tc>
        <w:tc>
          <w:tcPr>
            <w:tcW w:w="1225"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21.03</w:t>
            </w:r>
          </w:p>
        </w:tc>
        <w:tc>
          <w:tcPr>
            <w:tcW w:w="1064"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厂家回收</w:t>
            </w:r>
          </w:p>
        </w:tc>
      </w:tr>
    </w:tbl>
    <w:p w:rsidR="00525419" w:rsidRDefault="00EE1CF7">
      <w:pPr>
        <w:jc w:val="center"/>
        <w:rPr>
          <w:rFonts w:ascii="Times New Roman" w:eastAsia="黑体" w:hAnsi="Times New Roman"/>
          <w:sz w:val="22"/>
        </w:rPr>
      </w:pPr>
      <w:r>
        <w:rPr>
          <w:rFonts w:ascii="Times New Roman" w:eastAsia="黑体" w:hAnsi="Times New Roman"/>
          <w:sz w:val="22"/>
        </w:rPr>
        <w:t>表</w:t>
      </w:r>
      <w:r>
        <w:rPr>
          <w:rFonts w:ascii="Times New Roman" w:eastAsia="黑体" w:hAnsi="Times New Roman"/>
          <w:sz w:val="22"/>
        </w:rPr>
        <w:t xml:space="preserve">3.7-10  </w:t>
      </w:r>
      <w:r>
        <w:rPr>
          <w:rFonts w:ascii="Times New Roman" w:eastAsia="黑体" w:hAnsi="Times New Roman"/>
          <w:sz w:val="22"/>
        </w:rPr>
        <w:t>煤焦油加氢单元固体废物污染源源强核算结果及相关参数一览表</w:t>
      </w:r>
    </w:p>
    <w:tbl>
      <w:tblPr>
        <w:tblW w:w="141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68"/>
        <w:gridCol w:w="1230"/>
        <w:gridCol w:w="1613"/>
        <w:gridCol w:w="1899"/>
        <w:gridCol w:w="1318"/>
        <w:gridCol w:w="1607"/>
        <w:gridCol w:w="1168"/>
        <w:gridCol w:w="1315"/>
        <w:gridCol w:w="876"/>
        <w:gridCol w:w="1307"/>
        <w:gridCol w:w="1064"/>
      </w:tblGrid>
      <w:tr w:rsidR="00525419">
        <w:trPr>
          <w:trHeight w:val="578"/>
          <w:jc w:val="center"/>
        </w:trPr>
        <w:tc>
          <w:tcPr>
            <w:tcW w:w="768" w:type="dxa"/>
            <w:vMerge w:val="restart"/>
            <w:tcBorders>
              <w:tl2br w:val="nil"/>
              <w:tr2bl w:val="nil"/>
            </w:tcBorders>
            <w:vAlign w:val="center"/>
          </w:tcPr>
          <w:p w:rsidR="00525419" w:rsidRDefault="00EE1CF7">
            <w:pPr>
              <w:rPr>
                <w:rFonts w:ascii="Times New Roman" w:hAnsi="Times New Roman"/>
              </w:rPr>
            </w:pPr>
            <w:r>
              <w:rPr>
                <w:rFonts w:ascii="Times New Roman" w:hAnsi="Times New Roman"/>
              </w:rPr>
              <w:t>设备名称</w:t>
            </w:r>
          </w:p>
        </w:tc>
        <w:tc>
          <w:tcPr>
            <w:tcW w:w="1230" w:type="dxa"/>
            <w:vMerge w:val="restart"/>
            <w:tcBorders>
              <w:tl2br w:val="nil"/>
              <w:tr2bl w:val="nil"/>
            </w:tcBorders>
            <w:vAlign w:val="center"/>
          </w:tcPr>
          <w:p w:rsidR="00525419" w:rsidRDefault="00EE1CF7">
            <w:pPr>
              <w:rPr>
                <w:rFonts w:ascii="Times New Roman" w:hAnsi="Times New Roman"/>
              </w:rPr>
            </w:pPr>
            <w:r>
              <w:rPr>
                <w:rFonts w:ascii="Times New Roman" w:hAnsi="Times New Roman"/>
                <w:szCs w:val="21"/>
              </w:rPr>
              <w:t>固废名称</w:t>
            </w:r>
          </w:p>
        </w:tc>
        <w:tc>
          <w:tcPr>
            <w:tcW w:w="4830" w:type="dxa"/>
            <w:gridSpan w:val="3"/>
            <w:tcBorders>
              <w:tl2br w:val="nil"/>
              <w:tr2bl w:val="nil"/>
            </w:tcBorders>
            <w:vAlign w:val="center"/>
          </w:tcPr>
          <w:p w:rsidR="00525419" w:rsidRDefault="00EE1CF7">
            <w:pPr>
              <w:rPr>
                <w:rFonts w:ascii="Times New Roman" w:hAnsi="Times New Roman"/>
              </w:rPr>
            </w:pPr>
            <w:r>
              <w:rPr>
                <w:rFonts w:ascii="Times New Roman" w:hAnsi="Times New Roman"/>
              </w:rPr>
              <w:t>固体废物属性</w:t>
            </w:r>
          </w:p>
        </w:tc>
        <w:tc>
          <w:tcPr>
            <w:tcW w:w="1607" w:type="dxa"/>
            <w:vMerge w:val="restart"/>
            <w:tcBorders>
              <w:tl2br w:val="nil"/>
              <w:tr2bl w:val="nil"/>
            </w:tcBorders>
            <w:vAlign w:val="center"/>
          </w:tcPr>
          <w:p w:rsidR="00525419" w:rsidRDefault="00EE1CF7">
            <w:pPr>
              <w:rPr>
                <w:rFonts w:ascii="Times New Roman" w:hAnsi="Times New Roman"/>
              </w:rPr>
            </w:pPr>
            <w:r>
              <w:rPr>
                <w:rFonts w:ascii="Times New Roman" w:hAnsi="Times New Roman"/>
              </w:rPr>
              <w:t>形态及主要成分</w:t>
            </w:r>
          </w:p>
        </w:tc>
        <w:tc>
          <w:tcPr>
            <w:tcW w:w="2483" w:type="dxa"/>
            <w:gridSpan w:val="2"/>
            <w:tcBorders>
              <w:tl2br w:val="nil"/>
              <w:tr2bl w:val="nil"/>
            </w:tcBorders>
            <w:vAlign w:val="center"/>
          </w:tcPr>
          <w:p w:rsidR="00525419" w:rsidRDefault="00EE1CF7">
            <w:pPr>
              <w:rPr>
                <w:rFonts w:ascii="Times New Roman" w:hAnsi="Times New Roman"/>
              </w:rPr>
            </w:pPr>
            <w:r>
              <w:rPr>
                <w:rFonts w:ascii="Times New Roman" w:hAnsi="Times New Roman"/>
              </w:rPr>
              <w:t>产生量</w:t>
            </w:r>
          </w:p>
        </w:tc>
        <w:tc>
          <w:tcPr>
            <w:tcW w:w="2183" w:type="dxa"/>
            <w:gridSpan w:val="2"/>
            <w:tcBorders>
              <w:tl2br w:val="nil"/>
              <w:tr2bl w:val="nil"/>
            </w:tcBorders>
            <w:vAlign w:val="center"/>
          </w:tcPr>
          <w:p w:rsidR="00525419" w:rsidRDefault="00EE1CF7">
            <w:pPr>
              <w:rPr>
                <w:rFonts w:ascii="Times New Roman" w:hAnsi="Times New Roman"/>
              </w:rPr>
            </w:pPr>
            <w:r>
              <w:rPr>
                <w:rFonts w:ascii="Times New Roman" w:hAnsi="Times New Roman"/>
              </w:rPr>
              <w:t>处置措施</w:t>
            </w:r>
          </w:p>
        </w:tc>
        <w:tc>
          <w:tcPr>
            <w:tcW w:w="1064" w:type="dxa"/>
            <w:vMerge w:val="restart"/>
            <w:tcBorders>
              <w:tl2br w:val="nil"/>
              <w:tr2bl w:val="nil"/>
            </w:tcBorders>
            <w:vAlign w:val="center"/>
          </w:tcPr>
          <w:p w:rsidR="00525419" w:rsidRDefault="00EE1CF7">
            <w:pPr>
              <w:rPr>
                <w:rFonts w:ascii="Times New Roman" w:hAnsi="Times New Roman"/>
              </w:rPr>
            </w:pPr>
            <w:r>
              <w:rPr>
                <w:rFonts w:ascii="Times New Roman" w:hAnsi="Times New Roman"/>
              </w:rPr>
              <w:t>最终去向</w:t>
            </w:r>
          </w:p>
        </w:tc>
      </w:tr>
      <w:tr w:rsidR="00525419">
        <w:trPr>
          <w:trHeight w:val="213"/>
          <w:jc w:val="center"/>
        </w:trPr>
        <w:tc>
          <w:tcPr>
            <w:tcW w:w="768" w:type="dxa"/>
            <w:vMerge/>
            <w:tcBorders>
              <w:tl2br w:val="nil"/>
              <w:tr2bl w:val="nil"/>
            </w:tcBorders>
            <w:vAlign w:val="center"/>
          </w:tcPr>
          <w:p w:rsidR="00525419" w:rsidRDefault="00525419">
            <w:pPr>
              <w:rPr>
                <w:rFonts w:ascii="Times New Roman" w:hAnsi="Times New Roman"/>
              </w:rPr>
            </w:pPr>
          </w:p>
        </w:tc>
        <w:tc>
          <w:tcPr>
            <w:tcW w:w="1230" w:type="dxa"/>
            <w:vMerge/>
            <w:tcBorders>
              <w:tl2br w:val="nil"/>
              <w:tr2bl w:val="nil"/>
            </w:tcBorders>
            <w:vAlign w:val="center"/>
          </w:tcPr>
          <w:p w:rsidR="00525419" w:rsidRDefault="00525419">
            <w:pPr>
              <w:rPr>
                <w:rFonts w:ascii="Times New Roman" w:hAnsi="Times New Roman"/>
              </w:rPr>
            </w:pPr>
          </w:p>
        </w:tc>
        <w:tc>
          <w:tcPr>
            <w:tcW w:w="1613" w:type="dxa"/>
            <w:tcBorders>
              <w:tl2br w:val="nil"/>
              <w:tr2bl w:val="nil"/>
            </w:tcBorders>
            <w:vAlign w:val="center"/>
          </w:tcPr>
          <w:p w:rsidR="00525419" w:rsidRDefault="00EE1CF7">
            <w:pPr>
              <w:rPr>
                <w:rFonts w:ascii="Times New Roman" w:hAnsi="Times New Roman"/>
              </w:rPr>
            </w:pPr>
            <w:r>
              <w:rPr>
                <w:rFonts w:ascii="Times New Roman" w:hAnsi="Times New Roman"/>
              </w:rPr>
              <w:t>属性</w:t>
            </w:r>
          </w:p>
        </w:tc>
        <w:tc>
          <w:tcPr>
            <w:tcW w:w="1899" w:type="dxa"/>
            <w:tcBorders>
              <w:tl2br w:val="nil"/>
              <w:tr2bl w:val="nil"/>
            </w:tcBorders>
            <w:vAlign w:val="center"/>
          </w:tcPr>
          <w:p w:rsidR="00525419" w:rsidRDefault="00EE1CF7">
            <w:pPr>
              <w:rPr>
                <w:rFonts w:ascii="Times New Roman" w:hAnsi="Times New Roman"/>
              </w:rPr>
            </w:pPr>
            <w:r>
              <w:rPr>
                <w:rFonts w:ascii="Times New Roman" w:hAnsi="Times New Roman"/>
              </w:rPr>
              <w:t>危险废物类别</w:t>
            </w:r>
          </w:p>
        </w:tc>
        <w:tc>
          <w:tcPr>
            <w:tcW w:w="1318" w:type="dxa"/>
            <w:tcBorders>
              <w:tl2br w:val="nil"/>
              <w:tr2bl w:val="nil"/>
            </w:tcBorders>
            <w:vAlign w:val="center"/>
          </w:tcPr>
          <w:p w:rsidR="00525419" w:rsidRDefault="00EE1CF7">
            <w:pPr>
              <w:rPr>
                <w:rFonts w:ascii="Times New Roman" w:hAnsi="Times New Roman"/>
              </w:rPr>
            </w:pPr>
            <w:r>
              <w:rPr>
                <w:rFonts w:ascii="Times New Roman" w:hAnsi="Times New Roman"/>
              </w:rPr>
              <w:t>危险代码</w:t>
            </w:r>
          </w:p>
        </w:tc>
        <w:tc>
          <w:tcPr>
            <w:tcW w:w="1607" w:type="dxa"/>
            <w:vMerge/>
            <w:tcBorders>
              <w:tl2br w:val="nil"/>
              <w:tr2bl w:val="nil"/>
            </w:tcBorders>
            <w:vAlign w:val="center"/>
          </w:tcPr>
          <w:p w:rsidR="00525419" w:rsidRDefault="00525419">
            <w:pPr>
              <w:rPr>
                <w:rFonts w:ascii="Times New Roman" w:hAnsi="Times New Roman"/>
              </w:rPr>
            </w:pPr>
          </w:p>
        </w:tc>
        <w:tc>
          <w:tcPr>
            <w:tcW w:w="1168" w:type="dxa"/>
            <w:tcBorders>
              <w:tl2br w:val="nil"/>
              <w:tr2bl w:val="nil"/>
            </w:tcBorders>
            <w:vAlign w:val="center"/>
          </w:tcPr>
          <w:p w:rsidR="00525419" w:rsidRDefault="00EE1CF7">
            <w:pPr>
              <w:rPr>
                <w:rFonts w:ascii="Times New Roman" w:hAnsi="Times New Roman"/>
              </w:rPr>
            </w:pPr>
            <w:r>
              <w:rPr>
                <w:rFonts w:ascii="Times New Roman" w:hAnsi="Times New Roman"/>
              </w:rPr>
              <w:t>核算方法</w:t>
            </w:r>
          </w:p>
        </w:tc>
        <w:tc>
          <w:tcPr>
            <w:tcW w:w="1315" w:type="dxa"/>
            <w:tcBorders>
              <w:tl2br w:val="nil"/>
              <w:tr2bl w:val="nil"/>
            </w:tcBorders>
            <w:vAlign w:val="center"/>
          </w:tcPr>
          <w:p w:rsidR="00525419" w:rsidRDefault="00EE1CF7">
            <w:pPr>
              <w:rPr>
                <w:rFonts w:ascii="Times New Roman" w:hAnsi="Times New Roman"/>
              </w:rPr>
            </w:pPr>
            <w:r>
              <w:rPr>
                <w:rFonts w:ascii="Times New Roman" w:hAnsi="Times New Roman"/>
              </w:rPr>
              <w:t>产生量</w:t>
            </w:r>
            <w:r>
              <w:rPr>
                <w:rFonts w:ascii="Times New Roman" w:hAnsi="Times New Roman"/>
              </w:rPr>
              <w:t>(t/a)</w:t>
            </w:r>
          </w:p>
        </w:tc>
        <w:tc>
          <w:tcPr>
            <w:tcW w:w="876" w:type="dxa"/>
            <w:tcBorders>
              <w:tl2br w:val="nil"/>
              <w:tr2bl w:val="nil"/>
            </w:tcBorders>
            <w:vAlign w:val="center"/>
          </w:tcPr>
          <w:p w:rsidR="00525419" w:rsidRDefault="00EE1CF7">
            <w:pPr>
              <w:rPr>
                <w:rFonts w:ascii="Times New Roman" w:hAnsi="Times New Roman"/>
              </w:rPr>
            </w:pPr>
            <w:r>
              <w:rPr>
                <w:rFonts w:ascii="Times New Roman" w:hAnsi="Times New Roman"/>
              </w:rPr>
              <w:t>工艺</w:t>
            </w:r>
          </w:p>
        </w:tc>
        <w:tc>
          <w:tcPr>
            <w:tcW w:w="1307" w:type="dxa"/>
            <w:tcBorders>
              <w:tl2br w:val="nil"/>
              <w:tr2bl w:val="nil"/>
            </w:tcBorders>
            <w:vAlign w:val="center"/>
          </w:tcPr>
          <w:p w:rsidR="00525419" w:rsidRDefault="00EE1CF7">
            <w:pPr>
              <w:rPr>
                <w:rFonts w:ascii="Times New Roman" w:hAnsi="Times New Roman"/>
              </w:rPr>
            </w:pPr>
            <w:r>
              <w:rPr>
                <w:rFonts w:ascii="Times New Roman" w:hAnsi="Times New Roman"/>
              </w:rPr>
              <w:t>处置量</w:t>
            </w:r>
            <w:r>
              <w:rPr>
                <w:rFonts w:ascii="Times New Roman" w:hAnsi="Times New Roman"/>
              </w:rPr>
              <w:t>(t/a)</w:t>
            </w:r>
          </w:p>
        </w:tc>
        <w:tc>
          <w:tcPr>
            <w:tcW w:w="1064" w:type="dxa"/>
            <w:vMerge/>
            <w:tcBorders>
              <w:tl2br w:val="nil"/>
              <w:tr2bl w:val="nil"/>
            </w:tcBorders>
            <w:vAlign w:val="center"/>
          </w:tcPr>
          <w:p w:rsidR="00525419" w:rsidRDefault="00525419">
            <w:pPr>
              <w:rPr>
                <w:rFonts w:ascii="Times New Roman" w:hAnsi="Times New Roman"/>
              </w:rPr>
            </w:pPr>
          </w:p>
        </w:tc>
      </w:tr>
      <w:tr w:rsidR="00525419">
        <w:trPr>
          <w:trHeight w:val="274"/>
          <w:jc w:val="center"/>
        </w:trPr>
        <w:tc>
          <w:tcPr>
            <w:tcW w:w="768" w:type="dxa"/>
            <w:vMerge w:val="restart"/>
            <w:tcBorders>
              <w:tl2br w:val="nil"/>
              <w:tr2bl w:val="nil"/>
            </w:tcBorders>
            <w:vAlign w:val="center"/>
          </w:tcPr>
          <w:p w:rsidR="00525419" w:rsidRDefault="00EE1CF7">
            <w:pPr>
              <w:rPr>
                <w:rFonts w:ascii="Times New Roman" w:hAnsi="Times New Roman"/>
              </w:rPr>
            </w:pPr>
            <w:r>
              <w:rPr>
                <w:rFonts w:ascii="Times New Roman" w:hAnsi="Times New Roman"/>
              </w:rPr>
              <w:t>脱双稀反应器</w:t>
            </w:r>
          </w:p>
        </w:tc>
        <w:tc>
          <w:tcPr>
            <w:tcW w:w="1230" w:type="dxa"/>
            <w:tcBorders>
              <w:tl2br w:val="nil"/>
              <w:tr2bl w:val="nil"/>
            </w:tcBorders>
            <w:vAlign w:val="center"/>
          </w:tcPr>
          <w:p w:rsidR="00525419" w:rsidRDefault="00EE1CF7">
            <w:pPr>
              <w:rPr>
                <w:rFonts w:ascii="Times New Roman" w:hAnsi="Times New Roman"/>
              </w:rPr>
            </w:pPr>
            <w:r>
              <w:rPr>
                <w:rFonts w:ascii="Times New Roman" w:hAnsi="Times New Roman"/>
                <w:szCs w:val="21"/>
              </w:rPr>
              <w:t>废催化剂</w:t>
            </w:r>
          </w:p>
        </w:tc>
        <w:tc>
          <w:tcPr>
            <w:tcW w:w="1613" w:type="dxa"/>
            <w:vMerge w:val="restart"/>
            <w:tcBorders>
              <w:tl2br w:val="nil"/>
              <w:tr2bl w:val="nil"/>
            </w:tcBorders>
            <w:vAlign w:val="center"/>
          </w:tcPr>
          <w:p w:rsidR="00525419" w:rsidRDefault="00EE1CF7">
            <w:pPr>
              <w:rPr>
                <w:rFonts w:ascii="Times New Roman" w:hAnsi="Times New Roman"/>
              </w:rPr>
            </w:pPr>
            <w:r>
              <w:rPr>
                <w:rFonts w:ascii="Times New Roman" w:hAnsi="Times New Roman"/>
              </w:rPr>
              <w:t>危险废物</w:t>
            </w:r>
          </w:p>
        </w:tc>
        <w:tc>
          <w:tcPr>
            <w:tcW w:w="1899" w:type="dxa"/>
            <w:vMerge w:val="restart"/>
            <w:tcBorders>
              <w:tl2br w:val="nil"/>
              <w:tr2bl w:val="nil"/>
            </w:tcBorders>
            <w:vAlign w:val="center"/>
          </w:tcPr>
          <w:p w:rsidR="00525419" w:rsidRDefault="00EE1CF7">
            <w:pPr>
              <w:rPr>
                <w:rFonts w:ascii="Times New Roman" w:hAnsi="Times New Roman"/>
              </w:rPr>
            </w:pPr>
            <w:r>
              <w:rPr>
                <w:rFonts w:ascii="Times New Roman" w:hAnsi="Times New Roman"/>
              </w:rPr>
              <w:t>HW50</w:t>
            </w:r>
            <w:r>
              <w:rPr>
                <w:rFonts w:ascii="Times New Roman" w:hAnsi="Times New Roman"/>
                <w:szCs w:val="21"/>
              </w:rPr>
              <w:t>废催化剂</w:t>
            </w:r>
          </w:p>
        </w:tc>
        <w:tc>
          <w:tcPr>
            <w:tcW w:w="1318" w:type="dxa"/>
            <w:vMerge w:val="restart"/>
            <w:tcBorders>
              <w:tl2br w:val="nil"/>
              <w:tr2bl w:val="nil"/>
            </w:tcBorders>
            <w:vAlign w:val="center"/>
          </w:tcPr>
          <w:p w:rsidR="00525419" w:rsidRDefault="00EE1CF7">
            <w:pPr>
              <w:rPr>
                <w:rFonts w:ascii="Times New Roman" w:hAnsi="Times New Roman"/>
              </w:rPr>
            </w:pPr>
            <w:r>
              <w:rPr>
                <w:rFonts w:ascii="Times New Roman" w:hAnsi="Times New Roman"/>
              </w:rPr>
              <w:t>251-018-50</w:t>
            </w:r>
          </w:p>
        </w:tc>
        <w:tc>
          <w:tcPr>
            <w:tcW w:w="1607" w:type="dxa"/>
            <w:vMerge w:val="restart"/>
            <w:tcBorders>
              <w:tl2br w:val="nil"/>
              <w:tr2bl w:val="nil"/>
            </w:tcBorders>
            <w:vAlign w:val="center"/>
          </w:tcPr>
          <w:p w:rsidR="00525419" w:rsidRDefault="00EE1CF7">
            <w:pPr>
              <w:rPr>
                <w:rFonts w:ascii="Times New Roman" w:hAnsi="Times New Roman"/>
              </w:rPr>
            </w:pPr>
            <w:r>
              <w:rPr>
                <w:rFonts w:ascii="Times New Roman" w:hAnsi="Times New Roman"/>
                <w:szCs w:val="21"/>
              </w:rPr>
              <w:t>含</w:t>
            </w:r>
            <w:r>
              <w:rPr>
                <w:rFonts w:ascii="Times New Roman" w:hAnsi="Times New Roman"/>
                <w:szCs w:val="21"/>
              </w:rPr>
              <w:t>Co/Mo/Ni</w:t>
            </w:r>
            <w:r>
              <w:rPr>
                <w:rFonts w:ascii="Times New Roman" w:hAnsi="Times New Roman"/>
                <w:szCs w:val="21"/>
              </w:rPr>
              <w:t>金属的氧化物</w:t>
            </w:r>
          </w:p>
        </w:tc>
        <w:tc>
          <w:tcPr>
            <w:tcW w:w="1168" w:type="dxa"/>
            <w:vMerge w:val="restart"/>
            <w:tcBorders>
              <w:tl2br w:val="nil"/>
              <w:tr2bl w:val="nil"/>
            </w:tcBorders>
            <w:vAlign w:val="center"/>
          </w:tcPr>
          <w:p w:rsidR="00525419" w:rsidRDefault="00EE1CF7">
            <w:pPr>
              <w:rPr>
                <w:rFonts w:ascii="Times New Roman" w:hAnsi="Times New Roman"/>
              </w:rPr>
            </w:pPr>
            <w:r>
              <w:rPr>
                <w:rFonts w:ascii="Times New Roman" w:hAnsi="Times New Roman"/>
              </w:rPr>
              <w:t>类比</w:t>
            </w:r>
          </w:p>
        </w:tc>
        <w:tc>
          <w:tcPr>
            <w:tcW w:w="1315" w:type="dxa"/>
            <w:tcBorders>
              <w:tl2br w:val="nil"/>
              <w:tr2bl w:val="nil"/>
            </w:tcBorders>
            <w:vAlign w:val="center"/>
          </w:tcPr>
          <w:p w:rsidR="00525419" w:rsidRDefault="00EE1CF7">
            <w:pPr>
              <w:rPr>
                <w:rFonts w:ascii="Times New Roman" w:hAnsi="Times New Roman"/>
              </w:rPr>
            </w:pPr>
            <w:r>
              <w:rPr>
                <w:rFonts w:ascii="Times New Roman" w:hAnsi="Times New Roman"/>
              </w:rPr>
              <w:t>2.35</w:t>
            </w:r>
          </w:p>
        </w:tc>
        <w:tc>
          <w:tcPr>
            <w:tcW w:w="876" w:type="dxa"/>
            <w:tcBorders>
              <w:tl2br w:val="nil"/>
              <w:tr2bl w:val="nil"/>
            </w:tcBorders>
            <w:vAlign w:val="center"/>
          </w:tcPr>
          <w:p w:rsidR="00525419" w:rsidRDefault="00EE1CF7">
            <w:pPr>
              <w:rPr>
                <w:rFonts w:ascii="Times New Roman" w:hAnsi="Times New Roman"/>
              </w:rPr>
            </w:pPr>
            <w:r>
              <w:rPr>
                <w:rFonts w:ascii="Times New Roman" w:hAnsi="Times New Roman"/>
                <w:sz w:val="22"/>
              </w:rPr>
              <w:t>暂存</w:t>
            </w:r>
          </w:p>
        </w:tc>
        <w:tc>
          <w:tcPr>
            <w:tcW w:w="1307" w:type="dxa"/>
            <w:tcBorders>
              <w:tl2br w:val="nil"/>
              <w:tr2bl w:val="nil"/>
            </w:tcBorders>
            <w:vAlign w:val="center"/>
          </w:tcPr>
          <w:p w:rsidR="00525419" w:rsidRDefault="00EE1CF7">
            <w:pPr>
              <w:rPr>
                <w:rFonts w:ascii="Times New Roman" w:hAnsi="Times New Roman"/>
              </w:rPr>
            </w:pPr>
            <w:r>
              <w:rPr>
                <w:rFonts w:ascii="Times New Roman" w:hAnsi="Times New Roman"/>
              </w:rPr>
              <w:t>2.35</w:t>
            </w:r>
          </w:p>
        </w:tc>
        <w:tc>
          <w:tcPr>
            <w:tcW w:w="1064" w:type="dxa"/>
            <w:vMerge w:val="restart"/>
            <w:tcBorders>
              <w:tl2br w:val="nil"/>
              <w:tr2bl w:val="nil"/>
            </w:tcBorders>
            <w:vAlign w:val="center"/>
          </w:tcPr>
          <w:p w:rsidR="00525419" w:rsidRDefault="00EE1CF7">
            <w:pPr>
              <w:rPr>
                <w:rFonts w:ascii="Times New Roman" w:hAnsi="Times New Roman"/>
              </w:rPr>
            </w:pPr>
            <w:r>
              <w:rPr>
                <w:rFonts w:ascii="Times New Roman" w:hAnsi="Times New Roman"/>
                <w:szCs w:val="21"/>
              </w:rPr>
              <w:t>暂存后交由有资质的单位进行处置</w:t>
            </w:r>
          </w:p>
        </w:tc>
      </w:tr>
      <w:tr w:rsidR="00525419">
        <w:trPr>
          <w:trHeight w:val="157"/>
          <w:jc w:val="center"/>
        </w:trPr>
        <w:tc>
          <w:tcPr>
            <w:tcW w:w="768" w:type="dxa"/>
            <w:vMerge/>
            <w:tcBorders>
              <w:tl2br w:val="nil"/>
              <w:tr2bl w:val="nil"/>
            </w:tcBorders>
            <w:vAlign w:val="center"/>
          </w:tcPr>
          <w:p w:rsidR="00525419" w:rsidRDefault="00525419">
            <w:pPr>
              <w:rPr>
                <w:rFonts w:ascii="Times New Roman" w:hAnsi="Times New Roman"/>
              </w:rPr>
            </w:pPr>
          </w:p>
        </w:tc>
        <w:tc>
          <w:tcPr>
            <w:tcW w:w="1230" w:type="dxa"/>
            <w:tcBorders>
              <w:tl2br w:val="nil"/>
              <w:tr2bl w:val="nil"/>
            </w:tcBorders>
            <w:vAlign w:val="center"/>
          </w:tcPr>
          <w:p w:rsidR="00525419" w:rsidRDefault="00EE1CF7">
            <w:pPr>
              <w:rPr>
                <w:rFonts w:ascii="Times New Roman" w:hAnsi="Times New Roman"/>
              </w:rPr>
            </w:pPr>
            <w:r>
              <w:rPr>
                <w:rFonts w:ascii="Times New Roman" w:hAnsi="Times New Roman"/>
                <w:szCs w:val="21"/>
              </w:rPr>
              <w:t>废保护剂</w:t>
            </w:r>
          </w:p>
        </w:tc>
        <w:tc>
          <w:tcPr>
            <w:tcW w:w="1613" w:type="dxa"/>
            <w:vMerge/>
            <w:tcBorders>
              <w:tl2br w:val="nil"/>
              <w:tr2bl w:val="nil"/>
            </w:tcBorders>
            <w:vAlign w:val="center"/>
          </w:tcPr>
          <w:p w:rsidR="00525419" w:rsidRDefault="00525419">
            <w:pPr>
              <w:rPr>
                <w:rFonts w:ascii="Times New Roman" w:hAnsi="Times New Roman"/>
              </w:rPr>
            </w:pPr>
          </w:p>
        </w:tc>
        <w:tc>
          <w:tcPr>
            <w:tcW w:w="1899" w:type="dxa"/>
            <w:vMerge/>
            <w:tcBorders>
              <w:tl2br w:val="nil"/>
              <w:tr2bl w:val="nil"/>
            </w:tcBorders>
            <w:vAlign w:val="center"/>
          </w:tcPr>
          <w:p w:rsidR="00525419" w:rsidRDefault="00525419">
            <w:pPr>
              <w:rPr>
                <w:rFonts w:ascii="Times New Roman" w:hAnsi="Times New Roman"/>
              </w:rPr>
            </w:pPr>
          </w:p>
        </w:tc>
        <w:tc>
          <w:tcPr>
            <w:tcW w:w="1318" w:type="dxa"/>
            <w:vMerge/>
            <w:tcBorders>
              <w:tl2br w:val="nil"/>
              <w:tr2bl w:val="nil"/>
            </w:tcBorders>
            <w:vAlign w:val="center"/>
          </w:tcPr>
          <w:p w:rsidR="00525419" w:rsidRDefault="00525419">
            <w:pPr>
              <w:rPr>
                <w:rFonts w:ascii="Times New Roman" w:hAnsi="Times New Roman"/>
              </w:rPr>
            </w:pPr>
          </w:p>
        </w:tc>
        <w:tc>
          <w:tcPr>
            <w:tcW w:w="1607" w:type="dxa"/>
            <w:vMerge/>
            <w:tcBorders>
              <w:tl2br w:val="nil"/>
              <w:tr2bl w:val="nil"/>
            </w:tcBorders>
            <w:vAlign w:val="center"/>
          </w:tcPr>
          <w:p w:rsidR="00525419" w:rsidRDefault="00525419">
            <w:pPr>
              <w:rPr>
                <w:rFonts w:ascii="Times New Roman" w:hAnsi="Times New Roman"/>
              </w:rPr>
            </w:pPr>
          </w:p>
        </w:tc>
        <w:tc>
          <w:tcPr>
            <w:tcW w:w="1168" w:type="dxa"/>
            <w:vMerge/>
            <w:tcBorders>
              <w:tl2br w:val="nil"/>
              <w:tr2bl w:val="nil"/>
            </w:tcBorders>
            <w:vAlign w:val="center"/>
          </w:tcPr>
          <w:p w:rsidR="00525419" w:rsidRDefault="00525419">
            <w:pPr>
              <w:rPr>
                <w:rFonts w:ascii="Times New Roman" w:hAnsi="Times New Roman"/>
              </w:rPr>
            </w:pPr>
          </w:p>
        </w:tc>
        <w:tc>
          <w:tcPr>
            <w:tcW w:w="1315" w:type="dxa"/>
            <w:tcBorders>
              <w:tl2br w:val="nil"/>
              <w:tr2bl w:val="nil"/>
            </w:tcBorders>
            <w:vAlign w:val="center"/>
          </w:tcPr>
          <w:p w:rsidR="00525419" w:rsidRDefault="00EE1CF7">
            <w:pPr>
              <w:rPr>
                <w:rFonts w:ascii="Times New Roman" w:hAnsi="Times New Roman"/>
              </w:rPr>
            </w:pPr>
            <w:r>
              <w:rPr>
                <w:rFonts w:ascii="Times New Roman" w:hAnsi="Times New Roman"/>
              </w:rPr>
              <w:t>0.72</w:t>
            </w:r>
          </w:p>
        </w:tc>
        <w:tc>
          <w:tcPr>
            <w:tcW w:w="876" w:type="dxa"/>
            <w:tcBorders>
              <w:tl2br w:val="nil"/>
              <w:tr2bl w:val="nil"/>
            </w:tcBorders>
            <w:vAlign w:val="center"/>
          </w:tcPr>
          <w:p w:rsidR="00525419" w:rsidRDefault="00EE1CF7">
            <w:pPr>
              <w:rPr>
                <w:rFonts w:ascii="Times New Roman" w:hAnsi="Times New Roman"/>
              </w:rPr>
            </w:pPr>
            <w:r>
              <w:rPr>
                <w:rFonts w:ascii="Times New Roman" w:hAnsi="Times New Roman"/>
                <w:sz w:val="22"/>
              </w:rPr>
              <w:t>暂存</w:t>
            </w:r>
          </w:p>
        </w:tc>
        <w:tc>
          <w:tcPr>
            <w:tcW w:w="1307" w:type="dxa"/>
            <w:tcBorders>
              <w:tl2br w:val="nil"/>
              <w:tr2bl w:val="nil"/>
            </w:tcBorders>
            <w:vAlign w:val="center"/>
          </w:tcPr>
          <w:p w:rsidR="00525419" w:rsidRDefault="00EE1CF7">
            <w:pPr>
              <w:rPr>
                <w:rFonts w:ascii="Times New Roman" w:hAnsi="Times New Roman"/>
              </w:rPr>
            </w:pPr>
            <w:r>
              <w:rPr>
                <w:rFonts w:ascii="Times New Roman" w:hAnsi="Times New Roman"/>
              </w:rPr>
              <w:t>0.72</w:t>
            </w:r>
          </w:p>
        </w:tc>
        <w:tc>
          <w:tcPr>
            <w:tcW w:w="1064" w:type="dxa"/>
            <w:vMerge/>
            <w:tcBorders>
              <w:tl2br w:val="nil"/>
              <w:tr2bl w:val="nil"/>
            </w:tcBorders>
            <w:vAlign w:val="center"/>
          </w:tcPr>
          <w:p w:rsidR="00525419" w:rsidRDefault="00525419">
            <w:pPr>
              <w:rPr>
                <w:rFonts w:ascii="Times New Roman" w:hAnsi="Times New Roman"/>
              </w:rPr>
            </w:pPr>
          </w:p>
        </w:tc>
      </w:tr>
      <w:tr w:rsidR="00525419">
        <w:trPr>
          <w:trHeight w:val="247"/>
          <w:jc w:val="center"/>
        </w:trPr>
        <w:tc>
          <w:tcPr>
            <w:tcW w:w="768" w:type="dxa"/>
            <w:vMerge/>
            <w:tcBorders>
              <w:tl2br w:val="nil"/>
              <w:tr2bl w:val="nil"/>
            </w:tcBorders>
            <w:vAlign w:val="center"/>
          </w:tcPr>
          <w:p w:rsidR="00525419" w:rsidRDefault="00525419">
            <w:pPr>
              <w:rPr>
                <w:rFonts w:ascii="Times New Roman" w:hAnsi="Times New Roman"/>
              </w:rPr>
            </w:pPr>
          </w:p>
        </w:tc>
        <w:tc>
          <w:tcPr>
            <w:tcW w:w="1230" w:type="dxa"/>
            <w:tcBorders>
              <w:tl2br w:val="nil"/>
              <w:tr2bl w:val="nil"/>
            </w:tcBorders>
            <w:vAlign w:val="center"/>
          </w:tcPr>
          <w:p w:rsidR="00525419" w:rsidRDefault="00EE1CF7">
            <w:pPr>
              <w:rPr>
                <w:rFonts w:ascii="Times New Roman" w:hAnsi="Times New Roman"/>
              </w:rPr>
            </w:pPr>
            <w:r>
              <w:rPr>
                <w:rFonts w:ascii="Times New Roman" w:hAnsi="Times New Roman"/>
              </w:rPr>
              <w:t>废瓷球</w:t>
            </w:r>
          </w:p>
        </w:tc>
        <w:tc>
          <w:tcPr>
            <w:tcW w:w="1613" w:type="dxa"/>
            <w:tcBorders>
              <w:tl2br w:val="nil"/>
              <w:tr2bl w:val="nil"/>
            </w:tcBorders>
            <w:vAlign w:val="center"/>
          </w:tcPr>
          <w:p w:rsidR="00525419" w:rsidRDefault="00EE1CF7">
            <w:pPr>
              <w:rPr>
                <w:rFonts w:ascii="Times New Roman" w:hAnsi="Times New Roman"/>
              </w:rPr>
            </w:pPr>
            <w:r>
              <w:rPr>
                <w:rFonts w:ascii="Times New Roman" w:hAnsi="Times New Roman"/>
              </w:rPr>
              <w:t>一般固废</w:t>
            </w:r>
          </w:p>
        </w:tc>
        <w:tc>
          <w:tcPr>
            <w:tcW w:w="1899" w:type="dxa"/>
            <w:tcBorders>
              <w:tl2br w:val="nil"/>
              <w:tr2bl w:val="nil"/>
            </w:tcBorders>
            <w:vAlign w:val="center"/>
          </w:tcPr>
          <w:p w:rsidR="00525419" w:rsidRDefault="00EE1CF7">
            <w:pPr>
              <w:rPr>
                <w:rFonts w:ascii="Times New Roman" w:hAnsi="Times New Roman"/>
              </w:rPr>
            </w:pPr>
            <w:r>
              <w:rPr>
                <w:rFonts w:ascii="Times New Roman" w:hAnsi="Times New Roman"/>
              </w:rPr>
              <w:t>/</w:t>
            </w:r>
          </w:p>
        </w:tc>
        <w:tc>
          <w:tcPr>
            <w:tcW w:w="1318" w:type="dxa"/>
            <w:tcBorders>
              <w:tl2br w:val="nil"/>
              <w:tr2bl w:val="nil"/>
            </w:tcBorders>
            <w:vAlign w:val="center"/>
          </w:tcPr>
          <w:p w:rsidR="00525419" w:rsidRDefault="00EE1CF7">
            <w:pPr>
              <w:rPr>
                <w:rFonts w:ascii="Times New Roman" w:hAnsi="Times New Roman"/>
              </w:rPr>
            </w:pPr>
            <w:r>
              <w:rPr>
                <w:rFonts w:ascii="Times New Roman" w:hAnsi="Times New Roman"/>
              </w:rPr>
              <w:t>/</w:t>
            </w:r>
          </w:p>
        </w:tc>
        <w:tc>
          <w:tcPr>
            <w:tcW w:w="1607" w:type="dxa"/>
            <w:tcBorders>
              <w:tl2br w:val="nil"/>
              <w:tr2bl w:val="nil"/>
            </w:tcBorders>
            <w:vAlign w:val="center"/>
          </w:tcPr>
          <w:p w:rsidR="00525419" w:rsidRDefault="00EE1CF7">
            <w:pPr>
              <w:rPr>
                <w:rFonts w:ascii="Times New Roman" w:hAnsi="Times New Roman"/>
              </w:rPr>
            </w:pPr>
            <w:r>
              <w:rPr>
                <w:rFonts w:ascii="Times New Roman" w:hAnsi="Times New Roman"/>
              </w:rPr>
              <w:t>Al</w:t>
            </w:r>
            <w:r>
              <w:rPr>
                <w:rFonts w:ascii="Times New Roman" w:hAnsi="Times New Roman"/>
                <w:vertAlign w:val="subscript"/>
              </w:rPr>
              <w:t>2</w:t>
            </w:r>
            <w:r>
              <w:rPr>
                <w:rFonts w:ascii="Times New Roman" w:hAnsi="Times New Roman"/>
              </w:rPr>
              <w:t>O</w:t>
            </w:r>
            <w:r>
              <w:rPr>
                <w:rFonts w:ascii="Times New Roman" w:hAnsi="Times New Roman"/>
                <w:vertAlign w:val="subscript"/>
              </w:rPr>
              <w:t>3</w:t>
            </w:r>
          </w:p>
        </w:tc>
        <w:tc>
          <w:tcPr>
            <w:tcW w:w="1168" w:type="dxa"/>
            <w:tcBorders>
              <w:tl2br w:val="nil"/>
              <w:tr2bl w:val="nil"/>
            </w:tcBorders>
            <w:vAlign w:val="center"/>
          </w:tcPr>
          <w:p w:rsidR="00525419" w:rsidRDefault="00EE1CF7">
            <w:pPr>
              <w:rPr>
                <w:rFonts w:ascii="Times New Roman" w:hAnsi="Times New Roman"/>
              </w:rPr>
            </w:pPr>
            <w:r>
              <w:rPr>
                <w:rFonts w:ascii="Times New Roman" w:hAnsi="Times New Roman"/>
              </w:rPr>
              <w:t>类比</w:t>
            </w:r>
          </w:p>
        </w:tc>
        <w:tc>
          <w:tcPr>
            <w:tcW w:w="1315" w:type="dxa"/>
            <w:tcBorders>
              <w:tl2br w:val="nil"/>
              <w:tr2bl w:val="nil"/>
            </w:tcBorders>
            <w:vAlign w:val="center"/>
          </w:tcPr>
          <w:p w:rsidR="00525419" w:rsidRDefault="00EE1CF7">
            <w:pPr>
              <w:rPr>
                <w:rFonts w:ascii="Times New Roman" w:hAnsi="Times New Roman"/>
              </w:rPr>
            </w:pPr>
            <w:r>
              <w:rPr>
                <w:rFonts w:ascii="Times New Roman" w:hAnsi="Times New Roman"/>
              </w:rPr>
              <w:t>0.15</w:t>
            </w:r>
          </w:p>
        </w:tc>
        <w:tc>
          <w:tcPr>
            <w:tcW w:w="876" w:type="dxa"/>
            <w:tcBorders>
              <w:tl2br w:val="nil"/>
              <w:tr2bl w:val="nil"/>
            </w:tcBorders>
            <w:vAlign w:val="center"/>
          </w:tcPr>
          <w:p w:rsidR="00525419" w:rsidRDefault="00EE1CF7">
            <w:pPr>
              <w:rPr>
                <w:rFonts w:ascii="Times New Roman" w:hAnsi="Times New Roman"/>
              </w:rPr>
            </w:pPr>
            <w:r>
              <w:rPr>
                <w:rFonts w:ascii="Times New Roman" w:hAnsi="Times New Roman"/>
                <w:sz w:val="22"/>
              </w:rPr>
              <w:t>暂存</w:t>
            </w:r>
          </w:p>
        </w:tc>
        <w:tc>
          <w:tcPr>
            <w:tcW w:w="1307" w:type="dxa"/>
            <w:tcBorders>
              <w:tl2br w:val="nil"/>
              <w:tr2bl w:val="nil"/>
            </w:tcBorders>
            <w:vAlign w:val="center"/>
          </w:tcPr>
          <w:p w:rsidR="00525419" w:rsidRDefault="00EE1CF7">
            <w:pPr>
              <w:rPr>
                <w:rFonts w:ascii="Times New Roman" w:hAnsi="Times New Roman"/>
              </w:rPr>
            </w:pPr>
            <w:r>
              <w:rPr>
                <w:rFonts w:ascii="Times New Roman" w:hAnsi="Times New Roman"/>
              </w:rPr>
              <w:t>0.15</w:t>
            </w:r>
          </w:p>
        </w:tc>
        <w:tc>
          <w:tcPr>
            <w:tcW w:w="1064" w:type="dxa"/>
            <w:tcBorders>
              <w:tl2br w:val="nil"/>
              <w:tr2bl w:val="nil"/>
            </w:tcBorders>
            <w:vAlign w:val="center"/>
          </w:tcPr>
          <w:p w:rsidR="00525419" w:rsidRDefault="00EE1CF7">
            <w:pPr>
              <w:rPr>
                <w:rFonts w:ascii="Times New Roman" w:hAnsi="Times New Roman"/>
              </w:rPr>
            </w:pPr>
            <w:r>
              <w:rPr>
                <w:rFonts w:ascii="Times New Roman" w:hAnsi="Times New Roman"/>
              </w:rPr>
              <w:t>厂家回收</w:t>
            </w:r>
          </w:p>
        </w:tc>
      </w:tr>
      <w:tr w:rsidR="00525419">
        <w:trPr>
          <w:trHeight w:val="223"/>
          <w:jc w:val="center"/>
        </w:trPr>
        <w:tc>
          <w:tcPr>
            <w:tcW w:w="768" w:type="dxa"/>
            <w:vMerge w:val="restart"/>
            <w:tcBorders>
              <w:tl2br w:val="nil"/>
              <w:tr2bl w:val="nil"/>
            </w:tcBorders>
            <w:vAlign w:val="center"/>
          </w:tcPr>
          <w:p w:rsidR="00525419" w:rsidRDefault="00EE1CF7">
            <w:pPr>
              <w:rPr>
                <w:rFonts w:ascii="Times New Roman" w:hAnsi="Times New Roman"/>
              </w:rPr>
            </w:pPr>
            <w:r>
              <w:rPr>
                <w:rFonts w:ascii="Times New Roman" w:hAnsi="Times New Roman"/>
              </w:rPr>
              <w:t>脱金属反应器</w:t>
            </w:r>
          </w:p>
        </w:tc>
        <w:tc>
          <w:tcPr>
            <w:tcW w:w="1230" w:type="dxa"/>
            <w:tcBorders>
              <w:tl2br w:val="nil"/>
              <w:tr2bl w:val="nil"/>
            </w:tcBorders>
            <w:vAlign w:val="center"/>
          </w:tcPr>
          <w:p w:rsidR="00525419" w:rsidRDefault="00EE1CF7">
            <w:pPr>
              <w:rPr>
                <w:rFonts w:ascii="Times New Roman" w:hAnsi="Times New Roman"/>
              </w:rPr>
            </w:pPr>
            <w:r>
              <w:rPr>
                <w:rFonts w:ascii="Times New Roman" w:hAnsi="Times New Roman"/>
                <w:szCs w:val="21"/>
              </w:rPr>
              <w:t>废催化剂</w:t>
            </w:r>
          </w:p>
        </w:tc>
        <w:tc>
          <w:tcPr>
            <w:tcW w:w="1613" w:type="dxa"/>
            <w:vMerge w:val="restart"/>
            <w:tcBorders>
              <w:tl2br w:val="nil"/>
              <w:tr2bl w:val="nil"/>
            </w:tcBorders>
            <w:vAlign w:val="center"/>
          </w:tcPr>
          <w:p w:rsidR="00525419" w:rsidRDefault="00EE1CF7">
            <w:pPr>
              <w:rPr>
                <w:rFonts w:ascii="Times New Roman" w:hAnsi="Times New Roman"/>
              </w:rPr>
            </w:pPr>
            <w:r>
              <w:rPr>
                <w:rFonts w:ascii="Times New Roman" w:hAnsi="Times New Roman"/>
              </w:rPr>
              <w:t>危险废物</w:t>
            </w:r>
          </w:p>
        </w:tc>
        <w:tc>
          <w:tcPr>
            <w:tcW w:w="1899" w:type="dxa"/>
            <w:vMerge w:val="restart"/>
            <w:tcBorders>
              <w:tl2br w:val="nil"/>
              <w:tr2bl w:val="nil"/>
            </w:tcBorders>
            <w:vAlign w:val="center"/>
          </w:tcPr>
          <w:p w:rsidR="00525419" w:rsidRDefault="00EE1CF7">
            <w:pPr>
              <w:rPr>
                <w:rFonts w:ascii="Times New Roman" w:hAnsi="Times New Roman"/>
              </w:rPr>
            </w:pPr>
            <w:r>
              <w:rPr>
                <w:rFonts w:ascii="Times New Roman" w:hAnsi="Times New Roman"/>
              </w:rPr>
              <w:t>HW50</w:t>
            </w:r>
            <w:r>
              <w:rPr>
                <w:rFonts w:ascii="Times New Roman" w:hAnsi="Times New Roman"/>
                <w:szCs w:val="21"/>
              </w:rPr>
              <w:t>废催化剂</w:t>
            </w:r>
          </w:p>
        </w:tc>
        <w:tc>
          <w:tcPr>
            <w:tcW w:w="1318" w:type="dxa"/>
            <w:vMerge w:val="restart"/>
            <w:tcBorders>
              <w:tl2br w:val="nil"/>
              <w:tr2bl w:val="nil"/>
            </w:tcBorders>
            <w:vAlign w:val="center"/>
          </w:tcPr>
          <w:p w:rsidR="00525419" w:rsidRDefault="00EE1CF7">
            <w:pPr>
              <w:rPr>
                <w:rFonts w:ascii="Times New Roman" w:hAnsi="Times New Roman"/>
              </w:rPr>
            </w:pPr>
            <w:r>
              <w:rPr>
                <w:rFonts w:ascii="Times New Roman" w:hAnsi="Times New Roman"/>
              </w:rPr>
              <w:t>251-018-50</w:t>
            </w:r>
          </w:p>
        </w:tc>
        <w:tc>
          <w:tcPr>
            <w:tcW w:w="1607" w:type="dxa"/>
            <w:vMerge w:val="restart"/>
            <w:tcBorders>
              <w:tl2br w:val="nil"/>
              <w:tr2bl w:val="nil"/>
            </w:tcBorders>
            <w:vAlign w:val="center"/>
          </w:tcPr>
          <w:p w:rsidR="00525419" w:rsidRDefault="00EE1CF7">
            <w:pPr>
              <w:rPr>
                <w:rFonts w:ascii="Times New Roman" w:hAnsi="Times New Roman"/>
              </w:rPr>
            </w:pPr>
            <w:r>
              <w:rPr>
                <w:rFonts w:ascii="Times New Roman" w:hAnsi="Times New Roman"/>
                <w:szCs w:val="21"/>
              </w:rPr>
              <w:t>含</w:t>
            </w:r>
            <w:r>
              <w:rPr>
                <w:rFonts w:ascii="Times New Roman" w:hAnsi="Times New Roman"/>
                <w:szCs w:val="21"/>
              </w:rPr>
              <w:t>Co/Mo/Ni</w:t>
            </w:r>
            <w:r>
              <w:rPr>
                <w:rFonts w:ascii="Times New Roman" w:hAnsi="Times New Roman"/>
                <w:szCs w:val="21"/>
              </w:rPr>
              <w:t>金属的氧化物</w:t>
            </w:r>
          </w:p>
        </w:tc>
        <w:tc>
          <w:tcPr>
            <w:tcW w:w="1168" w:type="dxa"/>
            <w:vMerge w:val="restart"/>
            <w:tcBorders>
              <w:tl2br w:val="nil"/>
              <w:tr2bl w:val="nil"/>
            </w:tcBorders>
            <w:vAlign w:val="center"/>
          </w:tcPr>
          <w:p w:rsidR="00525419" w:rsidRDefault="00EE1CF7">
            <w:pPr>
              <w:rPr>
                <w:rFonts w:ascii="Times New Roman" w:hAnsi="Times New Roman"/>
              </w:rPr>
            </w:pPr>
            <w:r>
              <w:rPr>
                <w:rFonts w:ascii="Times New Roman" w:hAnsi="Times New Roman"/>
              </w:rPr>
              <w:t>类比</w:t>
            </w:r>
          </w:p>
        </w:tc>
        <w:tc>
          <w:tcPr>
            <w:tcW w:w="1315" w:type="dxa"/>
            <w:tcBorders>
              <w:tl2br w:val="nil"/>
              <w:tr2bl w:val="nil"/>
            </w:tcBorders>
            <w:vAlign w:val="center"/>
          </w:tcPr>
          <w:p w:rsidR="00525419" w:rsidRDefault="00EE1CF7">
            <w:pPr>
              <w:rPr>
                <w:rFonts w:ascii="Times New Roman" w:hAnsi="Times New Roman"/>
              </w:rPr>
            </w:pPr>
            <w:r>
              <w:rPr>
                <w:rFonts w:ascii="Times New Roman" w:hAnsi="Times New Roman"/>
              </w:rPr>
              <w:t>2.08</w:t>
            </w:r>
          </w:p>
        </w:tc>
        <w:tc>
          <w:tcPr>
            <w:tcW w:w="876" w:type="dxa"/>
            <w:tcBorders>
              <w:tl2br w:val="nil"/>
              <w:tr2bl w:val="nil"/>
            </w:tcBorders>
            <w:vAlign w:val="center"/>
          </w:tcPr>
          <w:p w:rsidR="00525419" w:rsidRDefault="00EE1CF7">
            <w:pPr>
              <w:rPr>
                <w:rFonts w:ascii="Times New Roman" w:hAnsi="Times New Roman"/>
                <w:sz w:val="22"/>
              </w:rPr>
            </w:pPr>
            <w:r>
              <w:rPr>
                <w:rFonts w:ascii="Times New Roman" w:hAnsi="Times New Roman"/>
                <w:sz w:val="22"/>
              </w:rPr>
              <w:t>暂存</w:t>
            </w:r>
          </w:p>
        </w:tc>
        <w:tc>
          <w:tcPr>
            <w:tcW w:w="1307" w:type="dxa"/>
            <w:tcBorders>
              <w:tl2br w:val="nil"/>
              <w:tr2bl w:val="nil"/>
            </w:tcBorders>
            <w:vAlign w:val="center"/>
          </w:tcPr>
          <w:p w:rsidR="00525419" w:rsidRDefault="00EE1CF7">
            <w:pPr>
              <w:rPr>
                <w:rFonts w:ascii="Times New Roman" w:hAnsi="Times New Roman"/>
              </w:rPr>
            </w:pPr>
            <w:r>
              <w:rPr>
                <w:rFonts w:ascii="Times New Roman" w:hAnsi="Times New Roman"/>
              </w:rPr>
              <w:t>2.08</w:t>
            </w:r>
          </w:p>
        </w:tc>
        <w:tc>
          <w:tcPr>
            <w:tcW w:w="1064" w:type="dxa"/>
            <w:vMerge w:val="restart"/>
            <w:tcBorders>
              <w:tl2br w:val="nil"/>
              <w:tr2bl w:val="nil"/>
            </w:tcBorders>
            <w:vAlign w:val="center"/>
          </w:tcPr>
          <w:p w:rsidR="00525419" w:rsidRDefault="00EE1CF7">
            <w:pPr>
              <w:rPr>
                <w:rFonts w:ascii="Times New Roman" w:hAnsi="Times New Roman"/>
              </w:rPr>
            </w:pPr>
            <w:r>
              <w:rPr>
                <w:rFonts w:ascii="Times New Roman" w:hAnsi="Times New Roman"/>
                <w:szCs w:val="21"/>
              </w:rPr>
              <w:t>暂存后交由有资质的单位进行处置</w:t>
            </w:r>
          </w:p>
        </w:tc>
      </w:tr>
      <w:tr w:rsidR="00525419">
        <w:trPr>
          <w:trHeight w:val="90"/>
          <w:jc w:val="center"/>
        </w:trPr>
        <w:tc>
          <w:tcPr>
            <w:tcW w:w="768" w:type="dxa"/>
            <w:vMerge/>
            <w:tcBorders>
              <w:tl2br w:val="nil"/>
              <w:tr2bl w:val="nil"/>
            </w:tcBorders>
            <w:vAlign w:val="center"/>
          </w:tcPr>
          <w:p w:rsidR="00525419" w:rsidRDefault="00525419">
            <w:pPr>
              <w:rPr>
                <w:rFonts w:ascii="Times New Roman" w:hAnsi="Times New Roman"/>
              </w:rPr>
            </w:pPr>
          </w:p>
        </w:tc>
        <w:tc>
          <w:tcPr>
            <w:tcW w:w="1230" w:type="dxa"/>
            <w:tcBorders>
              <w:tl2br w:val="nil"/>
              <w:tr2bl w:val="nil"/>
            </w:tcBorders>
            <w:vAlign w:val="center"/>
          </w:tcPr>
          <w:p w:rsidR="00525419" w:rsidRDefault="00EE1CF7">
            <w:pPr>
              <w:rPr>
                <w:rFonts w:ascii="Times New Roman" w:hAnsi="Times New Roman"/>
              </w:rPr>
            </w:pPr>
            <w:r>
              <w:rPr>
                <w:rFonts w:ascii="Times New Roman" w:hAnsi="Times New Roman"/>
                <w:szCs w:val="21"/>
              </w:rPr>
              <w:t>废保护剂</w:t>
            </w:r>
          </w:p>
        </w:tc>
        <w:tc>
          <w:tcPr>
            <w:tcW w:w="1613" w:type="dxa"/>
            <w:vMerge/>
            <w:tcBorders>
              <w:tl2br w:val="nil"/>
              <w:tr2bl w:val="nil"/>
            </w:tcBorders>
            <w:vAlign w:val="center"/>
          </w:tcPr>
          <w:p w:rsidR="00525419" w:rsidRDefault="00525419">
            <w:pPr>
              <w:rPr>
                <w:rFonts w:ascii="Times New Roman" w:hAnsi="Times New Roman"/>
              </w:rPr>
            </w:pPr>
          </w:p>
        </w:tc>
        <w:tc>
          <w:tcPr>
            <w:tcW w:w="1899" w:type="dxa"/>
            <w:vMerge/>
            <w:tcBorders>
              <w:tl2br w:val="nil"/>
              <w:tr2bl w:val="nil"/>
            </w:tcBorders>
            <w:vAlign w:val="center"/>
          </w:tcPr>
          <w:p w:rsidR="00525419" w:rsidRDefault="00525419">
            <w:pPr>
              <w:rPr>
                <w:rFonts w:ascii="Times New Roman" w:hAnsi="Times New Roman"/>
              </w:rPr>
            </w:pPr>
          </w:p>
        </w:tc>
        <w:tc>
          <w:tcPr>
            <w:tcW w:w="1318" w:type="dxa"/>
            <w:vMerge/>
            <w:tcBorders>
              <w:tl2br w:val="nil"/>
              <w:tr2bl w:val="nil"/>
            </w:tcBorders>
            <w:vAlign w:val="center"/>
          </w:tcPr>
          <w:p w:rsidR="00525419" w:rsidRDefault="00525419">
            <w:pPr>
              <w:rPr>
                <w:rFonts w:ascii="Times New Roman" w:hAnsi="Times New Roman"/>
              </w:rPr>
            </w:pPr>
          </w:p>
        </w:tc>
        <w:tc>
          <w:tcPr>
            <w:tcW w:w="1607" w:type="dxa"/>
            <w:vMerge/>
            <w:tcBorders>
              <w:tl2br w:val="nil"/>
              <w:tr2bl w:val="nil"/>
            </w:tcBorders>
            <w:vAlign w:val="center"/>
          </w:tcPr>
          <w:p w:rsidR="00525419" w:rsidRDefault="00525419">
            <w:pPr>
              <w:rPr>
                <w:rFonts w:ascii="Times New Roman" w:hAnsi="Times New Roman"/>
              </w:rPr>
            </w:pPr>
          </w:p>
        </w:tc>
        <w:tc>
          <w:tcPr>
            <w:tcW w:w="1168" w:type="dxa"/>
            <w:vMerge/>
            <w:tcBorders>
              <w:tl2br w:val="nil"/>
              <w:tr2bl w:val="nil"/>
            </w:tcBorders>
            <w:vAlign w:val="center"/>
          </w:tcPr>
          <w:p w:rsidR="00525419" w:rsidRDefault="00525419">
            <w:pPr>
              <w:rPr>
                <w:rFonts w:ascii="Times New Roman" w:hAnsi="Times New Roman"/>
              </w:rPr>
            </w:pPr>
          </w:p>
        </w:tc>
        <w:tc>
          <w:tcPr>
            <w:tcW w:w="1315" w:type="dxa"/>
            <w:tcBorders>
              <w:tl2br w:val="nil"/>
              <w:tr2bl w:val="nil"/>
            </w:tcBorders>
            <w:vAlign w:val="center"/>
          </w:tcPr>
          <w:p w:rsidR="00525419" w:rsidRDefault="00EE1CF7">
            <w:pPr>
              <w:rPr>
                <w:rFonts w:ascii="Times New Roman" w:hAnsi="Times New Roman"/>
              </w:rPr>
            </w:pPr>
            <w:r>
              <w:rPr>
                <w:rFonts w:ascii="Times New Roman" w:hAnsi="Times New Roman"/>
              </w:rPr>
              <w:t>1.80</w:t>
            </w:r>
          </w:p>
        </w:tc>
        <w:tc>
          <w:tcPr>
            <w:tcW w:w="876" w:type="dxa"/>
            <w:tcBorders>
              <w:tl2br w:val="nil"/>
              <w:tr2bl w:val="nil"/>
            </w:tcBorders>
            <w:vAlign w:val="center"/>
          </w:tcPr>
          <w:p w:rsidR="00525419" w:rsidRDefault="00EE1CF7">
            <w:pPr>
              <w:rPr>
                <w:rFonts w:ascii="Times New Roman" w:hAnsi="Times New Roman"/>
                <w:sz w:val="22"/>
              </w:rPr>
            </w:pPr>
            <w:r>
              <w:rPr>
                <w:rFonts w:ascii="Times New Roman" w:hAnsi="Times New Roman"/>
                <w:sz w:val="22"/>
              </w:rPr>
              <w:t>暂存</w:t>
            </w:r>
          </w:p>
        </w:tc>
        <w:tc>
          <w:tcPr>
            <w:tcW w:w="1307" w:type="dxa"/>
            <w:tcBorders>
              <w:tl2br w:val="nil"/>
              <w:tr2bl w:val="nil"/>
            </w:tcBorders>
            <w:vAlign w:val="center"/>
          </w:tcPr>
          <w:p w:rsidR="00525419" w:rsidRDefault="00EE1CF7">
            <w:pPr>
              <w:rPr>
                <w:rFonts w:ascii="Times New Roman" w:hAnsi="Times New Roman"/>
              </w:rPr>
            </w:pPr>
            <w:r>
              <w:rPr>
                <w:rFonts w:ascii="Times New Roman" w:hAnsi="Times New Roman"/>
              </w:rPr>
              <w:t>1.80</w:t>
            </w:r>
          </w:p>
        </w:tc>
        <w:tc>
          <w:tcPr>
            <w:tcW w:w="1064" w:type="dxa"/>
            <w:vMerge/>
            <w:tcBorders>
              <w:tl2br w:val="nil"/>
              <w:tr2bl w:val="nil"/>
            </w:tcBorders>
            <w:vAlign w:val="center"/>
          </w:tcPr>
          <w:p w:rsidR="00525419" w:rsidRDefault="00525419">
            <w:pPr>
              <w:rPr>
                <w:rFonts w:ascii="Times New Roman" w:hAnsi="Times New Roman"/>
              </w:rPr>
            </w:pPr>
          </w:p>
        </w:tc>
      </w:tr>
      <w:tr w:rsidR="00525419">
        <w:trPr>
          <w:trHeight w:val="290"/>
          <w:jc w:val="center"/>
        </w:trPr>
        <w:tc>
          <w:tcPr>
            <w:tcW w:w="768" w:type="dxa"/>
            <w:vMerge/>
            <w:tcBorders>
              <w:tl2br w:val="nil"/>
              <w:tr2bl w:val="nil"/>
            </w:tcBorders>
            <w:vAlign w:val="center"/>
          </w:tcPr>
          <w:p w:rsidR="00525419" w:rsidRDefault="00525419">
            <w:pPr>
              <w:rPr>
                <w:rFonts w:ascii="Times New Roman" w:hAnsi="Times New Roman"/>
              </w:rPr>
            </w:pPr>
          </w:p>
        </w:tc>
        <w:tc>
          <w:tcPr>
            <w:tcW w:w="1230" w:type="dxa"/>
            <w:tcBorders>
              <w:tl2br w:val="nil"/>
              <w:tr2bl w:val="nil"/>
            </w:tcBorders>
            <w:vAlign w:val="center"/>
          </w:tcPr>
          <w:p w:rsidR="00525419" w:rsidRDefault="00EE1CF7">
            <w:pPr>
              <w:rPr>
                <w:rFonts w:ascii="Times New Roman" w:hAnsi="Times New Roman"/>
              </w:rPr>
            </w:pPr>
            <w:r>
              <w:rPr>
                <w:rFonts w:ascii="Times New Roman" w:hAnsi="Times New Roman"/>
              </w:rPr>
              <w:t>废瓷球</w:t>
            </w:r>
          </w:p>
        </w:tc>
        <w:tc>
          <w:tcPr>
            <w:tcW w:w="1613" w:type="dxa"/>
            <w:tcBorders>
              <w:tl2br w:val="nil"/>
              <w:tr2bl w:val="nil"/>
            </w:tcBorders>
            <w:vAlign w:val="center"/>
          </w:tcPr>
          <w:p w:rsidR="00525419" w:rsidRDefault="00EE1CF7">
            <w:pPr>
              <w:rPr>
                <w:rFonts w:ascii="Times New Roman" w:hAnsi="Times New Roman"/>
              </w:rPr>
            </w:pPr>
            <w:r>
              <w:rPr>
                <w:rFonts w:ascii="Times New Roman" w:hAnsi="Times New Roman"/>
              </w:rPr>
              <w:t>一般固废</w:t>
            </w:r>
          </w:p>
        </w:tc>
        <w:tc>
          <w:tcPr>
            <w:tcW w:w="1899" w:type="dxa"/>
            <w:tcBorders>
              <w:tl2br w:val="nil"/>
              <w:tr2bl w:val="nil"/>
            </w:tcBorders>
            <w:vAlign w:val="center"/>
          </w:tcPr>
          <w:p w:rsidR="00525419" w:rsidRDefault="00EE1CF7">
            <w:pPr>
              <w:rPr>
                <w:rFonts w:ascii="Times New Roman" w:hAnsi="Times New Roman"/>
              </w:rPr>
            </w:pPr>
            <w:r>
              <w:rPr>
                <w:rFonts w:ascii="Times New Roman" w:hAnsi="Times New Roman"/>
              </w:rPr>
              <w:t>/</w:t>
            </w:r>
          </w:p>
        </w:tc>
        <w:tc>
          <w:tcPr>
            <w:tcW w:w="1318" w:type="dxa"/>
            <w:tcBorders>
              <w:tl2br w:val="nil"/>
              <w:tr2bl w:val="nil"/>
            </w:tcBorders>
            <w:vAlign w:val="center"/>
          </w:tcPr>
          <w:p w:rsidR="00525419" w:rsidRDefault="00EE1CF7">
            <w:pPr>
              <w:rPr>
                <w:rFonts w:ascii="Times New Roman" w:hAnsi="Times New Roman"/>
              </w:rPr>
            </w:pPr>
            <w:r>
              <w:rPr>
                <w:rFonts w:ascii="Times New Roman" w:hAnsi="Times New Roman"/>
              </w:rPr>
              <w:t>/</w:t>
            </w:r>
          </w:p>
        </w:tc>
        <w:tc>
          <w:tcPr>
            <w:tcW w:w="1607" w:type="dxa"/>
            <w:tcBorders>
              <w:tl2br w:val="nil"/>
              <w:tr2bl w:val="nil"/>
            </w:tcBorders>
            <w:vAlign w:val="center"/>
          </w:tcPr>
          <w:p w:rsidR="00525419" w:rsidRDefault="00EE1CF7">
            <w:pPr>
              <w:rPr>
                <w:rFonts w:ascii="Times New Roman" w:hAnsi="Times New Roman"/>
              </w:rPr>
            </w:pPr>
            <w:r>
              <w:rPr>
                <w:rFonts w:ascii="Times New Roman" w:hAnsi="Times New Roman"/>
              </w:rPr>
              <w:t>Al</w:t>
            </w:r>
            <w:r>
              <w:rPr>
                <w:rFonts w:ascii="Times New Roman" w:hAnsi="Times New Roman"/>
                <w:vertAlign w:val="subscript"/>
              </w:rPr>
              <w:t>2</w:t>
            </w:r>
            <w:r>
              <w:rPr>
                <w:rFonts w:ascii="Times New Roman" w:hAnsi="Times New Roman"/>
              </w:rPr>
              <w:t>O</w:t>
            </w:r>
            <w:r>
              <w:rPr>
                <w:rFonts w:ascii="Times New Roman" w:hAnsi="Times New Roman"/>
                <w:vertAlign w:val="subscript"/>
              </w:rPr>
              <w:t>3</w:t>
            </w:r>
          </w:p>
        </w:tc>
        <w:tc>
          <w:tcPr>
            <w:tcW w:w="1168" w:type="dxa"/>
            <w:tcBorders>
              <w:tl2br w:val="nil"/>
              <w:tr2bl w:val="nil"/>
            </w:tcBorders>
            <w:vAlign w:val="center"/>
          </w:tcPr>
          <w:p w:rsidR="00525419" w:rsidRDefault="00EE1CF7">
            <w:pPr>
              <w:rPr>
                <w:rFonts w:ascii="Times New Roman" w:hAnsi="Times New Roman"/>
              </w:rPr>
            </w:pPr>
            <w:r>
              <w:rPr>
                <w:rFonts w:ascii="Times New Roman" w:hAnsi="Times New Roman"/>
              </w:rPr>
              <w:t>类比</w:t>
            </w:r>
          </w:p>
        </w:tc>
        <w:tc>
          <w:tcPr>
            <w:tcW w:w="1315" w:type="dxa"/>
            <w:tcBorders>
              <w:tl2br w:val="nil"/>
              <w:tr2bl w:val="nil"/>
            </w:tcBorders>
            <w:vAlign w:val="center"/>
          </w:tcPr>
          <w:p w:rsidR="00525419" w:rsidRDefault="00EE1CF7">
            <w:pPr>
              <w:rPr>
                <w:rFonts w:ascii="Times New Roman" w:hAnsi="Times New Roman"/>
              </w:rPr>
            </w:pPr>
            <w:r>
              <w:rPr>
                <w:rFonts w:ascii="Times New Roman" w:hAnsi="Times New Roman"/>
              </w:rPr>
              <w:t>0.34</w:t>
            </w:r>
          </w:p>
        </w:tc>
        <w:tc>
          <w:tcPr>
            <w:tcW w:w="876" w:type="dxa"/>
            <w:tcBorders>
              <w:tl2br w:val="nil"/>
              <w:tr2bl w:val="nil"/>
            </w:tcBorders>
            <w:vAlign w:val="center"/>
          </w:tcPr>
          <w:p w:rsidR="00525419" w:rsidRDefault="00EE1CF7">
            <w:pPr>
              <w:rPr>
                <w:rFonts w:ascii="Times New Roman" w:hAnsi="Times New Roman"/>
                <w:sz w:val="22"/>
              </w:rPr>
            </w:pPr>
            <w:r>
              <w:rPr>
                <w:rFonts w:ascii="Times New Roman" w:hAnsi="Times New Roman"/>
                <w:sz w:val="22"/>
              </w:rPr>
              <w:t>暂存</w:t>
            </w:r>
          </w:p>
        </w:tc>
        <w:tc>
          <w:tcPr>
            <w:tcW w:w="1307" w:type="dxa"/>
            <w:tcBorders>
              <w:tl2br w:val="nil"/>
              <w:tr2bl w:val="nil"/>
            </w:tcBorders>
            <w:vAlign w:val="center"/>
          </w:tcPr>
          <w:p w:rsidR="00525419" w:rsidRDefault="00EE1CF7">
            <w:pPr>
              <w:rPr>
                <w:rFonts w:ascii="Times New Roman" w:hAnsi="Times New Roman"/>
              </w:rPr>
            </w:pPr>
            <w:r>
              <w:rPr>
                <w:rFonts w:ascii="Times New Roman" w:hAnsi="Times New Roman"/>
              </w:rPr>
              <w:t>0.34</w:t>
            </w:r>
          </w:p>
        </w:tc>
        <w:tc>
          <w:tcPr>
            <w:tcW w:w="1064" w:type="dxa"/>
            <w:tcBorders>
              <w:tl2br w:val="nil"/>
              <w:tr2bl w:val="nil"/>
            </w:tcBorders>
            <w:vAlign w:val="center"/>
          </w:tcPr>
          <w:p w:rsidR="00525419" w:rsidRDefault="00EE1CF7">
            <w:pPr>
              <w:rPr>
                <w:rFonts w:ascii="Times New Roman" w:hAnsi="Times New Roman"/>
              </w:rPr>
            </w:pPr>
            <w:r>
              <w:rPr>
                <w:rFonts w:ascii="Times New Roman" w:hAnsi="Times New Roman"/>
              </w:rPr>
              <w:t>厂家回收</w:t>
            </w:r>
          </w:p>
        </w:tc>
      </w:tr>
      <w:tr w:rsidR="00525419">
        <w:trPr>
          <w:trHeight w:val="90"/>
          <w:jc w:val="center"/>
        </w:trPr>
        <w:tc>
          <w:tcPr>
            <w:tcW w:w="768" w:type="dxa"/>
            <w:vMerge w:val="restart"/>
            <w:tcBorders>
              <w:tl2br w:val="nil"/>
              <w:tr2bl w:val="nil"/>
            </w:tcBorders>
            <w:vAlign w:val="center"/>
          </w:tcPr>
          <w:p w:rsidR="00525419" w:rsidRDefault="00EE1CF7">
            <w:pPr>
              <w:rPr>
                <w:rFonts w:ascii="Times New Roman" w:hAnsi="Times New Roman"/>
              </w:rPr>
            </w:pPr>
            <w:r>
              <w:rPr>
                <w:rFonts w:ascii="Times New Roman" w:hAnsi="Times New Roman"/>
                <w:szCs w:val="21"/>
              </w:rPr>
              <w:t>加氢精制反应器</w:t>
            </w:r>
          </w:p>
        </w:tc>
        <w:tc>
          <w:tcPr>
            <w:tcW w:w="1230" w:type="dxa"/>
            <w:tcBorders>
              <w:tl2br w:val="nil"/>
              <w:tr2bl w:val="nil"/>
            </w:tcBorders>
            <w:vAlign w:val="center"/>
          </w:tcPr>
          <w:p w:rsidR="00525419" w:rsidRDefault="00EE1CF7">
            <w:pPr>
              <w:rPr>
                <w:rFonts w:ascii="Times New Roman" w:hAnsi="Times New Roman"/>
              </w:rPr>
            </w:pPr>
            <w:r>
              <w:rPr>
                <w:rFonts w:ascii="Times New Roman" w:hAnsi="Times New Roman"/>
                <w:szCs w:val="21"/>
              </w:rPr>
              <w:t>废催化剂</w:t>
            </w:r>
          </w:p>
        </w:tc>
        <w:tc>
          <w:tcPr>
            <w:tcW w:w="1613" w:type="dxa"/>
            <w:tcBorders>
              <w:tl2br w:val="nil"/>
              <w:tr2bl w:val="nil"/>
            </w:tcBorders>
            <w:vAlign w:val="center"/>
          </w:tcPr>
          <w:p w:rsidR="00525419" w:rsidRDefault="00EE1CF7">
            <w:pPr>
              <w:rPr>
                <w:rFonts w:ascii="Times New Roman" w:hAnsi="Times New Roman"/>
              </w:rPr>
            </w:pPr>
            <w:r>
              <w:rPr>
                <w:rFonts w:ascii="Times New Roman" w:hAnsi="Times New Roman"/>
              </w:rPr>
              <w:t>危险废物</w:t>
            </w:r>
          </w:p>
        </w:tc>
        <w:tc>
          <w:tcPr>
            <w:tcW w:w="1899" w:type="dxa"/>
            <w:tcBorders>
              <w:tl2br w:val="nil"/>
              <w:tr2bl w:val="nil"/>
            </w:tcBorders>
            <w:vAlign w:val="center"/>
          </w:tcPr>
          <w:p w:rsidR="00525419" w:rsidRDefault="00EE1CF7">
            <w:pPr>
              <w:rPr>
                <w:rFonts w:ascii="Times New Roman" w:hAnsi="Times New Roman"/>
              </w:rPr>
            </w:pPr>
            <w:r>
              <w:rPr>
                <w:rFonts w:ascii="Times New Roman" w:hAnsi="Times New Roman"/>
              </w:rPr>
              <w:t>HW50</w:t>
            </w:r>
            <w:r>
              <w:rPr>
                <w:rFonts w:ascii="Times New Roman" w:hAnsi="Times New Roman"/>
                <w:szCs w:val="21"/>
              </w:rPr>
              <w:t>废催化剂</w:t>
            </w:r>
          </w:p>
        </w:tc>
        <w:tc>
          <w:tcPr>
            <w:tcW w:w="1318" w:type="dxa"/>
            <w:tcBorders>
              <w:tl2br w:val="nil"/>
              <w:tr2bl w:val="nil"/>
            </w:tcBorders>
            <w:vAlign w:val="center"/>
          </w:tcPr>
          <w:p w:rsidR="00525419" w:rsidRDefault="00EE1CF7">
            <w:pPr>
              <w:rPr>
                <w:rFonts w:ascii="Times New Roman" w:hAnsi="Times New Roman"/>
              </w:rPr>
            </w:pPr>
            <w:r>
              <w:rPr>
                <w:rFonts w:ascii="Times New Roman" w:hAnsi="Times New Roman"/>
              </w:rPr>
              <w:t>251-018-50</w:t>
            </w:r>
          </w:p>
        </w:tc>
        <w:tc>
          <w:tcPr>
            <w:tcW w:w="1607" w:type="dxa"/>
            <w:tcBorders>
              <w:tl2br w:val="nil"/>
              <w:tr2bl w:val="nil"/>
            </w:tcBorders>
            <w:vAlign w:val="center"/>
          </w:tcPr>
          <w:p w:rsidR="00525419" w:rsidRDefault="00EE1CF7">
            <w:pPr>
              <w:autoSpaceDE w:val="0"/>
              <w:autoSpaceDN w:val="0"/>
              <w:adjustRightInd w:val="0"/>
              <w:ind w:leftChars="-50" w:left="-105" w:rightChars="-50" w:right="-105"/>
              <w:jc w:val="center"/>
              <w:rPr>
                <w:rFonts w:ascii="Times New Roman" w:hAnsi="Times New Roman"/>
                <w:kern w:val="0"/>
                <w:szCs w:val="21"/>
              </w:rPr>
            </w:pPr>
            <w:r>
              <w:rPr>
                <w:rFonts w:ascii="Times New Roman" w:hAnsi="Times New Roman"/>
                <w:szCs w:val="21"/>
              </w:rPr>
              <w:t>含</w:t>
            </w:r>
            <w:r>
              <w:rPr>
                <w:rFonts w:ascii="Times New Roman" w:hAnsi="Times New Roman"/>
                <w:szCs w:val="21"/>
              </w:rPr>
              <w:t>Co/Mo/Ni</w:t>
            </w:r>
            <w:r>
              <w:rPr>
                <w:rFonts w:ascii="Times New Roman" w:hAnsi="Times New Roman"/>
                <w:szCs w:val="21"/>
              </w:rPr>
              <w:t>金属的氧化物</w:t>
            </w:r>
          </w:p>
        </w:tc>
        <w:tc>
          <w:tcPr>
            <w:tcW w:w="1168" w:type="dxa"/>
            <w:tcBorders>
              <w:tl2br w:val="nil"/>
              <w:tr2bl w:val="nil"/>
            </w:tcBorders>
            <w:vAlign w:val="center"/>
          </w:tcPr>
          <w:p w:rsidR="00525419" w:rsidRDefault="00EE1CF7">
            <w:pPr>
              <w:rPr>
                <w:rFonts w:ascii="Times New Roman" w:hAnsi="Times New Roman"/>
              </w:rPr>
            </w:pPr>
            <w:r>
              <w:rPr>
                <w:rFonts w:ascii="Times New Roman" w:hAnsi="Times New Roman"/>
              </w:rPr>
              <w:t>类比</w:t>
            </w:r>
          </w:p>
        </w:tc>
        <w:tc>
          <w:tcPr>
            <w:tcW w:w="1315" w:type="dxa"/>
            <w:tcBorders>
              <w:tl2br w:val="nil"/>
              <w:tr2bl w:val="nil"/>
            </w:tcBorders>
            <w:vAlign w:val="center"/>
          </w:tcPr>
          <w:p w:rsidR="00525419" w:rsidRDefault="00EE1CF7">
            <w:pPr>
              <w:rPr>
                <w:rFonts w:ascii="Times New Roman" w:hAnsi="Times New Roman"/>
              </w:rPr>
            </w:pPr>
            <w:r>
              <w:rPr>
                <w:rFonts w:ascii="Times New Roman" w:hAnsi="Times New Roman"/>
              </w:rPr>
              <w:t>4.92</w:t>
            </w:r>
          </w:p>
        </w:tc>
        <w:tc>
          <w:tcPr>
            <w:tcW w:w="876" w:type="dxa"/>
            <w:tcBorders>
              <w:tl2br w:val="nil"/>
              <w:tr2bl w:val="nil"/>
            </w:tcBorders>
            <w:vAlign w:val="center"/>
          </w:tcPr>
          <w:p w:rsidR="00525419" w:rsidRDefault="00EE1CF7">
            <w:pPr>
              <w:rPr>
                <w:rFonts w:ascii="Times New Roman" w:hAnsi="Times New Roman"/>
              </w:rPr>
            </w:pPr>
            <w:r>
              <w:rPr>
                <w:rFonts w:ascii="Times New Roman" w:hAnsi="Times New Roman"/>
                <w:sz w:val="22"/>
              </w:rPr>
              <w:t>暂存</w:t>
            </w:r>
          </w:p>
        </w:tc>
        <w:tc>
          <w:tcPr>
            <w:tcW w:w="1307" w:type="dxa"/>
            <w:tcBorders>
              <w:tl2br w:val="nil"/>
              <w:tr2bl w:val="nil"/>
            </w:tcBorders>
            <w:vAlign w:val="center"/>
          </w:tcPr>
          <w:p w:rsidR="00525419" w:rsidRDefault="00EE1CF7">
            <w:pPr>
              <w:rPr>
                <w:rFonts w:ascii="Times New Roman" w:hAnsi="Times New Roman"/>
              </w:rPr>
            </w:pPr>
            <w:r>
              <w:rPr>
                <w:rFonts w:ascii="Times New Roman" w:hAnsi="Times New Roman"/>
              </w:rPr>
              <w:t>4.92</w:t>
            </w:r>
          </w:p>
        </w:tc>
        <w:tc>
          <w:tcPr>
            <w:tcW w:w="1064" w:type="dxa"/>
            <w:tcBorders>
              <w:tl2br w:val="nil"/>
              <w:tr2bl w:val="nil"/>
            </w:tcBorders>
            <w:vAlign w:val="center"/>
          </w:tcPr>
          <w:p w:rsidR="00525419" w:rsidRDefault="00EE1CF7">
            <w:pPr>
              <w:rPr>
                <w:rFonts w:ascii="Times New Roman" w:hAnsi="Times New Roman"/>
              </w:rPr>
            </w:pPr>
            <w:r>
              <w:rPr>
                <w:rFonts w:ascii="Times New Roman" w:hAnsi="Times New Roman"/>
                <w:szCs w:val="21"/>
              </w:rPr>
              <w:t>暂存后交由有资质的单位进行处置</w:t>
            </w:r>
          </w:p>
        </w:tc>
      </w:tr>
      <w:tr w:rsidR="00525419">
        <w:trPr>
          <w:trHeight w:val="477"/>
          <w:jc w:val="center"/>
        </w:trPr>
        <w:tc>
          <w:tcPr>
            <w:tcW w:w="768" w:type="dxa"/>
            <w:vMerge/>
            <w:tcBorders>
              <w:tl2br w:val="nil"/>
              <w:tr2bl w:val="nil"/>
            </w:tcBorders>
            <w:vAlign w:val="center"/>
          </w:tcPr>
          <w:p w:rsidR="00525419" w:rsidRDefault="00525419">
            <w:pPr>
              <w:rPr>
                <w:rFonts w:ascii="Times New Roman" w:hAnsi="Times New Roman"/>
                <w:szCs w:val="21"/>
              </w:rPr>
            </w:pPr>
          </w:p>
        </w:tc>
        <w:tc>
          <w:tcPr>
            <w:tcW w:w="1230" w:type="dxa"/>
            <w:tcBorders>
              <w:tl2br w:val="nil"/>
              <w:tr2bl w:val="nil"/>
            </w:tcBorders>
            <w:vAlign w:val="center"/>
          </w:tcPr>
          <w:p w:rsidR="00525419" w:rsidRDefault="00EE1CF7">
            <w:pPr>
              <w:rPr>
                <w:rFonts w:ascii="Times New Roman" w:hAnsi="Times New Roman"/>
              </w:rPr>
            </w:pPr>
            <w:r>
              <w:rPr>
                <w:rFonts w:ascii="Times New Roman" w:hAnsi="Times New Roman"/>
              </w:rPr>
              <w:t>废瓷球</w:t>
            </w:r>
          </w:p>
        </w:tc>
        <w:tc>
          <w:tcPr>
            <w:tcW w:w="1613" w:type="dxa"/>
            <w:tcBorders>
              <w:tl2br w:val="nil"/>
              <w:tr2bl w:val="nil"/>
            </w:tcBorders>
            <w:vAlign w:val="center"/>
          </w:tcPr>
          <w:p w:rsidR="00525419" w:rsidRDefault="00EE1CF7">
            <w:pPr>
              <w:rPr>
                <w:rFonts w:ascii="Times New Roman" w:hAnsi="Times New Roman"/>
              </w:rPr>
            </w:pPr>
            <w:r>
              <w:rPr>
                <w:rFonts w:ascii="Times New Roman" w:hAnsi="Times New Roman"/>
              </w:rPr>
              <w:t>一般固废</w:t>
            </w:r>
          </w:p>
        </w:tc>
        <w:tc>
          <w:tcPr>
            <w:tcW w:w="1899" w:type="dxa"/>
            <w:tcBorders>
              <w:tl2br w:val="nil"/>
              <w:tr2bl w:val="nil"/>
            </w:tcBorders>
            <w:vAlign w:val="center"/>
          </w:tcPr>
          <w:p w:rsidR="00525419" w:rsidRDefault="00EE1CF7">
            <w:pPr>
              <w:rPr>
                <w:rFonts w:ascii="Times New Roman" w:hAnsi="Times New Roman"/>
              </w:rPr>
            </w:pPr>
            <w:r>
              <w:rPr>
                <w:rFonts w:ascii="Times New Roman" w:hAnsi="Times New Roman"/>
              </w:rPr>
              <w:t>/</w:t>
            </w:r>
          </w:p>
        </w:tc>
        <w:tc>
          <w:tcPr>
            <w:tcW w:w="1318" w:type="dxa"/>
            <w:tcBorders>
              <w:tl2br w:val="nil"/>
              <w:tr2bl w:val="nil"/>
            </w:tcBorders>
            <w:vAlign w:val="center"/>
          </w:tcPr>
          <w:p w:rsidR="00525419" w:rsidRDefault="00EE1CF7">
            <w:pPr>
              <w:rPr>
                <w:rFonts w:ascii="Times New Roman" w:hAnsi="Times New Roman"/>
              </w:rPr>
            </w:pPr>
            <w:r>
              <w:rPr>
                <w:rFonts w:ascii="Times New Roman" w:hAnsi="Times New Roman"/>
              </w:rPr>
              <w:t>/</w:t>
            </w:r>
          </w:p>
        </w:tc>
        <w:tc>
          <w:tcPr>
            <w:tcW w:w="1607" w:type="dxa"/>
            <w:tcBorders>
              <w:tl2br w:val="nil"/>
              <w:tr2bl w:val="nil"/>
            </w:tcBorders>
            <w:vAlign w:val="center"/>
          </w:tcPr>
          <w:p w:rsidR="00525419" w:rsidRDefault="00EE1CF7">
            <w:pPr>
              <w:rPr>
                <w:rFonts w:ascii="Times New Roman" w:hAnsi="Times New Roman"/>
              </w:rPr>
            </w:pPr>
            <w:r>
              <w:rPr>
                <w:rFonts w:ascii="Times New Roman" w:hAnsi="Times New Roman"/>
              </w:rPr>
              <w:t>Al</w:t>
            </w:r>
            <w:r>
              <w:rPr>
                <w:rFonts w:ascii="Times New Roman" w:hAnsi="Times New Roman"/>
                <w:vertAlign w:val="subscript"/>
              </w:rPr>
              <w:t>2</w:t>
            </w:r>
            <w:r>
              <w:rPr>
                <w:rFonts w:ascii="Times New Roman" w:hAnsi="Times New Roman"/>
              </w:rPr>
              <w:t>O</w:t>
            </w:r>
            <w:r>
              <w:rPr>
                <w:rFonts w:ascii="Times New Roman" w:hAnsi="Times New Roman"/>
                <w:vertAlign w:val="subscript"/>
              </w:rPr>
              <w:t>3</w:t>
            </w:r>
          </w:p>
        </w:tc>
        <w:tc>
          <w:tcPr>
            <w:tcW w:w="1168" w:type="dxa"/>
            <w:tcBorders>
              <w:tl2br w:val="nil"/>
              <w:tr2bl w:val="nil"/>
            </w:tcBorders>
            <w:vAlign w:val="center"/>
          </w:tcPr>
          <w:p w:rsidR="00525419" w:rsidRDefault="00EE1CF7">
            <w:pPr>
              <w:rPr>
                <w:rFonts w:ascii="Times New Roman" w:hAnsi="Times New Roman"/>
              </w:rPr>
            </w:pPr>
            <w:r>
              <w:rPr>
                <w:rFonts w:ascii="Times New Roman" w:hAnsi="Times New Roman"/>
              </w:rPr>
              <w:t>类比</w:t>
            </w:r>
          </w:p>
        </w:tc>
        <w:tc>
          <w:tcPr>
            <w:tcW w:w="1315" w:type="dxa"/>
            <w:tcBorders>
              <w:tl2br w:val="nil"/>
              <w:tr2bl w:val="nil"/>
            </w:tcBorders>
            <w:vAlign w:val="center"/>
          </w:tcPr>
          <w:p w:rsidR="00525419" w:rsidRDefault="00EE1CF7">
            <w:pPr>
              <w:rPr>
                <w:rFonts w:ascii="Times New Roman" w:hAnsi="Times New Roman"/>
              </w:rPr>
            </w:pPr>
            <w:r>
              <w:rPr>
                <w:rFonts w:ascii="Times New Roman" w:hAnsi="Times New Roman"/>
              </w:rPr>
              <w:t>0.36</w:t>
            </w:r>
          </w:p>
        </w:tc>
        <w:tc>
          <w:tcPr>
            <w:tcW w:w="876" w:type="dxa"/>
            <w:tcBorders>
              <w:tl2br w:val="nil"/>
              <w:tr2bl w:val="nil"/>
            </w:tcBorders>
            <w:vAlign w:val="center"/>
          </w:tcPr>
          <w:p w:rsidR="00525419" w:rsidRDefault="00EE1CF7">
            <w:pPr>
              <w:rPr>
                <w:rFonts w:ascii="Times New Roman" w:hAnsi="Times New Roman"/>
                <w:sz w:val="22"/>
              </w:rPr>
            </w:pPr>
            <w:r>
              <w:rPr>
                <w:rFonts w:ascii="Times New Roman" w:hAnsi="Times New Roman"/>
                <w:sz w:val="22"/>
              </w:rPr>
              <w:t>暂存</w:t>
            </w:r>
          </w:p>
        </w:tc>
        <w:tc>
          <w:tcPr>
            <w:tcW w:w="1307" w:type="dxa"/>
            <w:tcBorders>
              <w:tl2br w:val="nil"/>
              <w:tr2bl w:val="nil"/>
            </w:tcBorders>
            <w:vAlign w:val="center"/>
          </w:tcPr>
          <w:p w:rsidR="00525419" w:rsidRDefault="00EE1CF7">
            <w:pPr>
              <w:rPr>
                <w:rFonts w:ascii="Times New Roman" w:hAnsi="Times New Roman"/>
              </w:rPr>
            </w:pPr>
            <w:r>
              <w:rPr>
                <w:rFonts w:ascii="Times New Roman" w:hAnsi="Times New Roman"/>
              </w:rPr>
              <w:t>0.36</w:t>
            </w:r>
          </w:p>
        </w:tc>
        <w:tc>
          <w:tcPr>
            <w:tcW w:w="1064" w:type="dxa"/>
            <w:tcBorders>
              <w:tl2br w:val="nil"/>
              <w:tr2bl w:val="nil"/>
            </w:tcBorders>
            <w:vAlign w:val="center"/>
          </w:tcPr>
          <w:p w:rsidR="00525419" w:rsidRDefault="00EE1CF7">
            <w:pPr>
              <w:rPr>
                <w:rFonts w:ascii="Times New Roman" w:hAnsi="Times New Roman"/>
              </w:rPr>
            </w:pPr>
            <w:r>
              <w:rPr>
                <w:rFonts w:ascii="Times New Roman" w:hAnsi="Times New Roman"/>
                <w:szCs w:val="21"/>
              </w:rPr>
              <w:t>厂家回收</w:t>
            </w:r>
          </w:p>
        </w:tc>
      </w:tr>
      <w:tr w:rsidR="00525419">
        <w:trPr>
          <w:trHeight w:val="266"/>
          <w:jc w:val="center"/>
        </w:trPr>
        <w:tc>
          <w:tcPr>
            <w:tcW w:w="768"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裂化反应器</w:t>
            </w:r>
          </w:p>
        </w:tc>
        <w:tc>
          <w:tcPr>
            <w:tcW w:w="1230" w:type="dxa"/>
            <w:tcBorders>
              <w:tl2br w:val="nil"/>
              <w:tr2bl w:val="nil"/>
            </w:tcBorders>
            <w:vAlign w:val="center"/>
          </w:tcPr>
          <w:p w:rsidR="00525419" w:rsidRDefault="00EE1CF7">
            <w:pPr>
              <w:rPr>
                <w:rFonts w:ascii="Times New Roman" w:hAnsi="Times New Roman"/>
                <w:sz w:val="22"/>
              </w:rPr>
            </w:pPr>
            <w:r>
              <w:rPr>
                <w:rFonts w:ascii="Times New Roman" w:hAnsi="Times New Roman"/>
                <w:szCs w:val="21"/>
              </w:rPr>
              <w:t>废催化剂</w:t>
            </w:r>
          </w:p>
        </w:tc>
        <w:tc>
          <w:tcPr>
            <w:tcW w:w="1613" w:type="dxa"/>
            <w:tcBorders>
              <w:tl2br w:val="nil"/>
              <w:tr2bl w:val="nil"/>
            </w:tcBorders>
            <w:vAlign w:val="center"/>
          </w:tcPr>
          <w:p w:rsidR="00525419" w:rsidRDefault="00EE1CF7">
            <w:pPr>
              <w:rPr>
                <w:rFonts w:ascii="Times New Roman" w:hAnsi="Times New Roman"/>
              </w:rPr>
            </w:pPr>
            <w:r>
              <w:rPr>
                <w:rFonts w:ascii="Times New Roman" w:hAnsi="Times New Roman"/>
              </w:rPr>
              <w:t>危险废物</w:t>
            </w:r>
          </w:p>
        </w:tc>
        <w:tc>
          <w:tcPr>
            <w:tcW w:w="1899" w:type="dxa"/>
            <w:tcBorders>
              <w:tl2br w:val="nil"/>
              <w:tr2bl w:val="nil"/>
            </w:tcBorders>
            <w:vAlign w:val="center"/>
          </w:tcPr>
          <w:p w:rsidR="00525419" w:rsidRDefault="00EE1CF7">
            <w:pPr>
              <w:rPr>
                <w:rFonts w:ascii="Times New Roman" w:hAnsi="Times New Roman"/>
              </w:rPr>
            </w:pPr>
            <w:r>
              <w:rPr>
                <w:rFonts w:ascii="Times New Roman" w:hAnsi="Times New Roman"/>
              </w:rPr>
              <w:t>HW50</w:t>
            </w:r>
            <w:r>
              <w:rPr>
                <w:rFonts w:ascii="Times New Roman" w:hAnsi="Times New Roman"/>
                <w:szCs w:val="21"/>
              </w:rPr>
              <w:t>废催化剂</w:t>
            </w:r>
          </w:p>
        </w:tc>
        <w:tc>
          <w:tcPr>
            <w:tcW w:w="1318" w:type="dxa"/>
            <w:tcBorders>
              <w:tl2br w:val="nil"/>
              <w:tr2bl w:val="nil"/>
            </w:tcBorders>
            <w:vAlign w:val="center"/>
          </w:tcPr>
          <w:p w:rsidR="00525419" w:rsidRDefault="00EE1CF7">
            <w:pPr>
              <w:rPr>
                <w:rFonts w:ascii="Times New Roman" w:hAnsi="Times New Roman"/>
              </w:rPr>
            </w:pPr>
            <w:r>
              <w:rPr>
                <w:rFonts w:ascii="Times New Roman" w:hAnsi="Times New Roman"/>
              </w:rPr>
              <w:t>251-018-50</w:t>
            </w:r>
          </w:p>
        </w:tc>
        <w:tc>
          <w:tcPr>
            <w:tcW w:w="1607" w:type="dxa"/>
            <w:tcBorders>
              <w:tl2br w:val="nil"/>
              <w:tr2bl w:val="nil"/>
            </w:tcBorders>
            <w:vAlign w:val="center"/>
          </w:tcPr>
          <w:p w:rsidR="00525419" w:rsidRDefault="00EE1CF7">
            <w:pPr>
              <w:rPr>
                <w:rFonts w:ascii="Times New Roman" w:hAnsi="Times New Roman"/>
              </w:rPr>
            </w:pPr>
            <w:r>
              <w:rPr>
                <w:rFonts w:ascii="Times New Roman" w:hAnsi="Times New Roman"/>
                <w:szCs w:val="21"/>
              </w:rPr>
              <w:t>含</w:t>
            </w:r>
            <w:r>
              <w:rPr>
                <w:rFonts w:ascii="Times New Roman" w:hAnsi="Times New Roman"/>
                <w:szCs w:val="21"/>
              </w:rPr>
              <w:t>Co/Mo/Ni</w:t>
            </w:r>
            <w:r>
              <w:rPr>
                <w:rFonts w:ascii="Times New Roman" w:hAnsi="Times New Roman"/>
                <w:szCs w:val="21"/>
              </w:rPr>
              <w:t>金属的氧化物</w:t>
            </w:r>
          </w:p>
        </w:tc>
        <w:tc>
          <w:tcPr>
            <w:tcW w:w="1168" w:type="dxa"/>
            <w:tcBorders>
              <w:tl2br w:val="nil"/>
              <w:tr2bl w:val="nil"/>
            </w:tcBorders>
            <w:vAlign w:val="center"/>
          </w:tcPr>
          <w:p w:rsidR="00525419" w:rsidRDefault="00EE1CF7">
            <w:pPr>
              <w:rPr>
                <w:rFonts w:ascii="Times New Roman" w:hAnsi="Times New Roman"/>
              </w:rPr>
            </w:pPr>
            <w:r>
              <w:rPr>
                <w:rFonts w:ascii="Times New Roman" w:hAnsi="Times New Roman"/>
              </w:rPr>
              <w:t>类比</w:t>
            </w:r>
          </w:p>
        </w:tc>
        <w:tc>
          <w:tcPr>
            <w:tcW w:w="1315" w:type="dxa"/>
            <w:tcBorders>
              <w:tl2br w:val="nil"/>
              <w:tr2bl w:val="nil"/>
            </w:tcBorders>
            <w:vAlign w:val="center"/>
          </w:tcPr>
          <w:p w:rsidR="00525419" w:rsidRDefault="00EE1CF7">
            <w:pPr>
              <w:rPr>
                <w:rFonts w:ascii="Times New Roman" w:hAnsi="Times New Roman"/>
              </w:rPr>
            </w:pPr>
            <w:r>
              <w:rPr>
                <w:rFonts w:ascii="Times New Roman" w:hAnsi="Times New Roman"/>
              </w:rPr>
              <w:t>2.49</w:t>
            </w:r>
          </w:p>
        </w:tc>
        <w:tc>
          <w:tcPr>
            <w:tcW w:w="876" w:type="dxa"/>
            <w:tcBorders>
              <w:tl2br w:val="nil"/>
              <w:tr2bl w:val="nil"/>
            </w:tcBorders>
            <w:vAlign w:val="center"/>
          </w:tcPr>
          <w:p w:rsidR="00525419" w:rsidRDefault="00EE1CF7">
            <w:pPr>
              <w:rPr>
                <w:rFonts w:ascii="Times New Roman" w:hAnsi="Times New Roman"/>
              </w:rPr>
            </w:pPr>
            <w:r>
              <w:rPr>
                <w:rFonts w:ascii="Times New Roman" w:hAnsi="Times New Roman"/>
                <w:sz w:val="22"/>
              </w:rPr>
              <w:t>暂存</w:t>
            </w:r>
          </w:p>
        </w:tc>
        <w:tc>
          <w:tcPr>
            <w:tcW w:w="1307" w:type="dxa"/>
            <w:tcBorders>
              <w:tl2br w:val="nil"/>
              <w:tr2bl w:val="nil"/>
            </w:tcBorders>
            <w:vAlign w:val="center"/>
          </w:tcPr>
          <w:p w:rsidR="00525419" w:rsidRDefault="00EE1CF7">
            <w:pPr>
              <w:rPr>
                <w:rFonts w:ascii="Times New Roman" w:hAnsi="Times New Roman"/>
              </w:rPr>
            </w:pPr>
            <w:r>
              <w:rPr>
                <w:rFonts w:ascii="Times New Roman" w:hAnsi="Times New Roman"/>
              </w:rPr>
              <w:t>2.49</w:t>
            </w:r>
          </w:p>
        </w:tc>
        <w:tc>
          <w:tcPr>
            <w:tcW w:w="1064" w:type="dxa"/>
            <w:tcBorders>
              <w:tl2br w:val="nil"/>
              <w:tr2bl w:val="nil"/>
            </w:tcBorders>
            <w:vAlign w:val="center"/>
          </w:tcPr>
          <w:p w:rsidR="00525419" w:rsidRDefault="00EE1CF7">
            <w:pPr>
              <w:rPr>
                <w:rFonts w:ascii="Times New Roman" w:hAnsi="Times New Roman"/>
              </w:rPr>
            </w:pPr>
            <w:r>
              <w:rPr>
                <w:rFonts w:ascii="Times New Roman" w:hAnsi="Times New Roman"/>
                <w:szCs w:val="21"/>
              </w:rPr>
              <w:t>暂存后交由有资质的单位进行处置</w:t>
            </w:r>
          </w:p>
        </w:tc>
      </w:tr>
      <w:tr w:rsidR="00525419">
        <w:trPr>
          <w:trHeight w:val="400"/>
          <w:jc w:val="center"/>
        </w:trPr>
        <w:tc>
          <w:tcPr>
            <w:tcW w:w="768" w:type="dxa"/>
            <w:vMerge/>
            <w:tcBorders>
              <w:tl2br w:val="nil"/>
              <w:tr2bl w:val="nil"/>
            </w:tcBorders>
            <w:vAlign w:val="center"/>
          </w:tcPr>
          <w:p w:rsidR="00525419" w:rsidRDefault="00525419">
            <w:pPr>
              <w:rPr>
                <w:rFonts w:ascii="Times New Roman" w:hAnsi="Times New Roman"/>
                <w:szCs w:val="21"/>
              </w:rPr>
            </w:pPr>
          </w:p>
        </w:tc>
        <w:tc>
          <w:tcPr>
            <w:tcW w:w="123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废瓷球</w:t>
            </w:r>
          </w:p>
        </w:tc>
        <w:tc>
          <w:tcPr>
            <w:tcW w:w="1613" w:type="dxa"/>
            <w:tcBorders>
              <w:tl2br w:val="nil"/>
              <w:tr2bl w:val="nil"/>
            </w:tcBorders>
            <w:vAlign w:val="center"/>
          </w:tcPr>
          <w:p w:rsidR="00525419" w:rsidRDefault="00EE1CF7">
            <w:pPr>
              <w:rPr>
                <w:rFonts w:ascii="Times New Roman" w:hAnsi="Times New Roman"/>
              </w:rPr>
            </w:pPr>
            <w:r>
              <w:rPr>
                <w:rFonts w:ascii="Times New Roman" w:hAnsi="Times New Roman"/>
              </w:rPr>
              <w:t>一般固废</w:t>
            </w:r>
          </w:p>
        </w:tc>
        <w:tc>
          <w:tcPr>
            <w:tcW w:w="1899" w:type="dxa"/>
            <w:tcBorders>
              <w:tl2br w:val="nil"/>
              <w:tr2bl w:val="nil"/>
            </w:tcBorders>
            <w:vAlign w:val="center"/>
          </w:tcPr>
          <w:p w:rsidR="00525419" w:rsidRDefault="00EE1CF7">
            <w:pPr>
              <w:rPr>
                <w:rFonts w:ascii="Times New Roman" w:hAnsi="Times New Roman"/>
                <w:sz w:val="22"/>
              </w:rPr>
            </w:pPr>
            <w:r>
              <w:rPr>
                <w:rFonts w:ascii="Times New Roman" w:hAnsi="Times New Roman"/>
                <w:sz w:val="22"/>
              </w:rPr>
              <w:t>/</w:t>
            </w:r>
          </w:p>
        </w:tc>
        <w:tc>
          <w:tcPr>
            <w:tcW w:w="1318" w:type="dxa"/>
            <w:tcBorders>
              <w:tl2br w:val="nil"/>
              <w:tr2bl w:val="nil"/>
            </w:tcBorders>
            <w:vAlign w:val="center"/>
          </w:tcPr>
          <w:p w:rsidR="00525419" w:rsidRDefault="00EE1CF7">
            <w:pPr>
              <w:rPr>
                <w:rFonts w:ascii="Times New Roman" w:hAnsi="Times New Roman"/>
                <w:sz w:val="22"/>
              </w:rPr>
            </w:pPr>
            <w:r>
              <w:rPr>
                <w:rFonts w:ascii="Times New Roman" w:hAnsi="Times New Roman"/>
                <w:sz w:val="22"/>
              </w:rPr>
              <w:t>/</w:t>
            </w:r>
          </w:p>
        </w:tc>
        <w:tc>
          <w:tcPr>
            <w:tcW w:w="1607"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Al</w:t>
            </w:r>
            <w:r>
              <w:rPr>
                <w:rFonts w:ascii="Times New Roman" w:hAnsi="Times New Roman"/>
                <w:szCs w:val="21"/>
                <w:vertAlign w:val="subscript"/>
              </w:rPr>
              <w:t>2</w:t>
            </w:r>
            <w:r>
              <w:rPr>
                <w:rFonts w:ascii="Times New Roman" w:hAnsi="Times New Roman"/>
                <w:szCs w:val="21"/>
              </w:rPr>
              <w:t>O</w:t>
            </w:r>
            <w:r>
              <w:rPr>
                <w:rFonts w:ascii="Times New Roman" w:hAnsi="Times New Roman"/>
                <w:szCs w:val="21"/>
                <w:vertAlign w:val="subscript"/>
              </w:rPr>
              <w:t>3</w:t>
            </w:r>
            <w:r>
              <w:rPr>
                <w:rFonts w:ascii="Times New Roman" w:hAnsi="Times New Roman"/>
                <w:szCs w:val="21"/>
              </w:rPr>
              <w:t>、</w:t>
            </w:r>
            <w:r>
              <w:rPr>
                <w:rFonts w:ascii="Times New Roman" w:hAnsi="Times New Roman"/>
                <w:szCs w:val="21"/>
              </w:rPr>
              <w:t>SiO</w:t>
            </w:r>
            <w:r>
              <w:rPr>
                <w:rFonts w:ascii="Times New Roman" w:hAnsi="Times New Roman"/>
                <w:szCs w:val="21"/>
                <w:vertAlign w:val="subscript"/>
              </w:rPr>
              <w:t>2</w:t>
            </w:r>
          </w:p>
        </w:tc>
        <w:tc>
          <w:tcPr>
            <w:tcW w:w="1168" w:type="dxa"/>
            <w:tcBorders>
              <w:tl2br w:val="nil"/>
              <w:tr2bl w:val="nil"/>
            </w:tcBorders>
            <w:vAlign w:val="center"/>
          </w:tcPr>
          <w:p w:rsidR="00525419" w:rsidRDefault="00EE1CF7">
            <w:pPr>
              <w:rPr>
                <w:rFonts w:ascii="Times New Roman" w:hAnsi="Times New Roman"/>
              </w:rPr>
            </w:pPr>
            <w:r>
              <w:rPr>
                <w:rFonts w:ascii="Times New Roman" w:hAnsi="Times New Roman"/>
              </w:rPr>
              <w:t>类比</w:t>
            </w:r>
          </w:p>
        </w:tc>
        <w:tc>
          <w:tcPr>
            <w:tcW w:w="1315" w:type="dxa"/>
            <w:tcBorders>
              <w:tl2br w:val="nil"/>
              <w:tr2bl w:val="nil"/>
            </w:tcBorders>
            <w:vAlign w:val="center"/>
          </w:tcPr>
          <w:p w:rsidR="00525419" w:rsidRDefault="00EE1CF7">
            <w:pPr>
              <w:rPr>
                <w:rFonts w:ascii="Times New Roman" w:hAnsi="Times New Roman"/>
              </w:rPr>
            </w:pPr>
            <w:r>
              <w:rPr>
                <w:rFonts w:ascii="Times New Roman" w:hAnsi="Times New Roman"/>
              </w:rPr>
              <w:t>0.19</w:t>
            </w:r>
          </w:p>
        </w:tc>
        <w:tc>
          <w:tcPr>
            <w:tcW w:w="876" w:type="dxa"/>
            <w:tcBorders>
              <w:tl2br w:val="nil"/>
              <w:tr2bl w:val="nil"/>
            </w:tcBorders>
            <w:vAlign w:val="center"/>
          </w:tcPr>
          <w:p w:rsidR="00525419" w:rsidRDefault="00EE1CF7">
            <w:pPr>
              <w:rPr>
                <w:rFonts w:ascii="Times New Roman" w:hAnsi="Times New Roman"/>
              </w:rPr>
            </w:pPr>
            <w:r>
              <w:rPr>
                <w:rFonts w:ascii="Times New Roman" w:hAnsi="Times New Roman"/>
              </w:rPr>
              <w:t>暂存</w:t>
            </w:r>
          </w:p>
        </w:tc>
        <w:tc>
          <w:tcPr>
            <w:tcW w:w="1307" w:type="dxa"/>
            <w:tcBorders>
              <w:tl2br w:val="nil"/>
              <w:tr2bl w:val="nil"/>
            </w:tcBorders>
            <w:vAlign w:val="center"/>
          </w:tcPr>
          <w:p w:rsidR="00525419" w:rsidRDefault="00EE1CF7">
            <w:pPr>
              <w:rPr>
                <w:rFonts w:ascii="Times New Roman" w:hAnsi="Times New Roman"/>
              </w:rPr>
            </w:pPr>
            <w:r>
              <w:rPr>
                <w:rFonts w:ascii="Times New Roman" w:hAnsi="Times New Roman"/>
              </w:rPr>
              <w:t>0.19</w:t>
            </w:r>
          </w:p>
        </w:tc>
        <w:tc>
          <w:tcPr>
            <w:tcW w:w="1064" w:type="dxa"/>
            <w:tcBorders>
              <w:tl2br w:val="nil"/>
              <w:tr2bl w:val="nil"/>
            </w:tcBorders>
            <w:vAlign w:val="center"/>
          </w:tcPr>
          <w:p w:rsidR="00525419" w:rsidRDefault="00EE1CF7">
            <w:pPr>
              <w:rPr>
                <w:rFonts w:ascii="Times New Roman" w:hAnsi="Times New Roman"/>
              </w:rPr>
            </w:pPr>
            <w:r>
              <w:rPr>
                <w:rFonts w:ascii="Times New Roman" w:hAnsi="Times New Roman"/>
                <w:szCs w:val="21"/>
              </w:rPr>
              <w:t>厂家回收</w:t>
            </w:r>
          </w:p>
        </w:tc>
      </w:tr>
    </w:tbl>
    <w:p w:rsidR="00525419" w:rsidRDefault="00525419">
      <w:pPr>
        <w:rPr>
          <w:rFonts w:ascii="Times New Roman" w:hAnsi="Times New Roman"/>
        </w:rPr>
      </w:pPr>
    </w:p>
    <w:p w:rsidR="00525419" w:rsidRDefault="00EE1CF7">
      <w:pPr>
        <w:jc w:val="center"/>
        <w:rPr>
          <w:rFonts w:ascii="Times New Roman" w:eastAsia="黑体" w:hAnsi="Times New Roman"/>
          <w:sz w:val="22"/>
        </w:rPr>
      </w:pPr>
      <w:r>
        <w:rPr>
          <w:rFonts w:ascii="Times New Roman" w:eastAsia="黑体" w:hAnsi="Times New Roman"/>
          <w:sz w:val="22"/>
        </w:rPr>
        <w:t>表</w:t>
      </w:r>
      <w:r>
        <w:rPr>
          <w:rFonts w:ascii="Times New Roman" w:eastAsia="黑体" w:hAnsi="Times New Roman"/>
          <w:sz w:val="22"/>
        </w:rPr>
        <w:t>3.7-11</w:t>
      </w:r>
      <w:r>
        <w:rPr>
          <w:rFonts w:ascii="Times New Roman" w:eastAsia="黑体" w:hAnsi="Times New Roman"/>
          <w:sz w:val="22"/>
        </w:rPr>
        <w:t xml:space="preserve">　　硫磺回收固体废物污染源源强核算结果及相关参数一览表</w:t>
      </w:r>
    </w:p>
    <w:tbl>
      <w:tblPr>
        <w:tblW w:w="1416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32"/>
        <w:gridCol w:w="1853"/>
        <w:gridCol w:w="1418"/>
        <w:gridCol w:w="1559"/>
        <w:gridCol w:w="1701"/>
        <w:gridCol w:w="1417"/>
        <w:gridCol w:w="1134"/>
        <w:gridCol w:w="1418"/>
        <w:gridCol w:w="567"/>
        <w:gridCol w:w="832"/>
        <w:gridCol w:w="1037"/>
      </w:tblGrid>
      <w:tr w:rsidR="00525419">
        <w:trPr>
          <w:trHeight w:val="524"/>
        </w:trPr>
        <w:tc>
          <w:tcPr>
            <w:tcW w:w="1232" w:type="dxa"/>
            <w:vMerge w:val="restart"/>
            <w:tcBorders>
              <w:tl2br w:val="nil"/>
              <w:tr2bl w:val="nil"/>
            </w:tcBorders>
          </w:tcPr>
          <w:p w:rsidR="00525419" w:rsidRDefault="00EE1CF7">
            <w:pPr>
              <w:spacing w:line="240" w:lineRule="atLeast"/>
              <w:rPr>
                <w:rFonts w:ascii="Times New Roman" w:hAnsi="Times New Roman"/>
              </w:rPr>
            </w:pPr>
            <w:r>
              <w:rPr>
                <w:rFonts w:ascii="Times New Roman" w:hAnsi="Times New Roman"/>
              </w:rPr>
              <w:t>设备名称</w:t>
            </w:r>
          </w:p>
        </w:tc>
        <w:tc>
          <w:tcPr>
            <w:tcW w:w="1853" w:type="dxa"/>
            <w:vMerge w:val="restart"/>
            <w:tcBorders>
              <w:tl2br w:val="nil"/>
              <w:tr2bl w:val="nil"/>
            </w:tcBorders>
          </w:tcPr>
          <w:p w:rsidR="00525419" w:rsidRDefault="00EE1CF7">
            <w:pPr>
              <w:spacing w:line="240" w:lineRule="atLeast"/>
              <w:rPr>
                <w:rFonts w:ascii="Times New Roman" w:hAnsi="Times New Roman"/>
              </w:rPr>
            </w:pPr>
            <w:r>
              <w:rPr>
                <w:rFonts w:ascii="Times New Roman" w:hAnsi="Times New Roman"/>
                <w:szCs w:val="21"/>
              </w:rPr>
              <w:t>固废名称</w:t>
            </w:r>
          </w:p>
        </w:tc>
        <w:tc>
          <w:tcPr>
            <w:tcW w:w="4678" w:type="dxa"/>
            <w:gridSpan w:val="3"/>
            <w:tcBorders>
              <w:tl2br w:val="nil"/>
              <w:tr2bl w:val="nil"/>
            </w:tcBorders>
          </w:tcPr>
          <w:p w:rsidR="00525419" w:rsidRDefault="00EE1CF7">
            <w:pPr>
              <w:spacing w:line="240" w:lineRule="atLeast"/>
              <w:rPr>
                <w:rFonts w:ascii="Times New Roman" w:hAnsi="Times New Roman"/>
              </w:rPr>
            </w:pPr>
            <w:r>
              <w:rPr>
                <w:rFonts w:ascii="Times New Roman" w:hAnsi="Times New Roman"/>
              </w:rPr>
              <w:t>固体废物属性</w:t>
            </w:r>
          </w:p>
        </w:tc>
        <w:tc>
          <w:tcPr>
            <w:tcW w:w="1417" w:type="dxa"/>
            <w:vMerge w:val="restart"/>
            <w:tcBorders>
              <w:tl2br w:val="nil"/>
              <w:tr2bl w:val="nil"/>
            </w:tcBorders>
          </w:tcPr>
          <w:p w:rsidR="00525419" w:rsidRDefault="00EE1CF7">
            <w:pPr>
              <w:spacing w:line="240" w:lineRule="atLeast"/>
              <w:rPr>
                <w:rFonts w:ascii="Times New Roman" w:hAnsi="Times New Roman"/>
              </w:rPr>
            </w:pPr>
            <w:r>
              <w:rPr>
                <w:rFonts w:ascii="Times New Roman" w:hAnsi="Times New Roman"/>
              </w:rPr>
              <w:t>形态及主要成分</w:t>
            </w:r>
          </w:p>
        </w:tc>
        <w:tc>
          <w:tcPr>
            <w:tcW w:w="2552" w:type="dxa"/>
            <w:gridSpan w:val="2"/>
            <w:tcBorders>
              <w:tl2br w:val="nil"/>
              <w:tr2bl w:val="nil"/>
            </w:tcBorders>
          </w:tcPr>
          <w:p w:rsidR="00525419" w:rsidRDefault="00EE1CF7">
            <w:pPr>
              <w:spacing w:line="240" w:lineRule="atLeast"/>
              <w:rPr>
                <w:rFonts w:ascii="Times New Roman" w:hAnsi="Times New Roman"/>
              </w:rPr>
            </w:pPr>
            <w:r>
              <w:rPr>
                <w:rFonts w:ascii="Times New Roman" w:hAnsi="Times New Roman"/>
              </w:rPr>
              <w:t>产生量</w:t>
            </w:r>
          </w:p>
        </w:tc>
        <w:tc>
          <w:tcPr>
            <w:tcW w:w="1399" w:type="dxa"/>
            <w:gridSpan w:val="2"/>
            <w:tcBorders>
              <w:tl2br w:val="nil"/>
              <w:tr2bl w:val="nil"/>
            </w:tcBorders>
          </w:tcPr>
          <w:p w:rsidR="00525419" w:rsidRDefault="00EE1CF7">
            <w:pPr>
              <w:spacing w:line="240" w:lineRule="atLeast"/>
              <w:rPr>
                <w:rFonts w:ascii="Times New Roman" w:hAnsi="Times New Roman"/>
              </w:rPr>
            </w:pPr>
            <w:r>
              <w:rPr>
                <w:rFonts w:ascii="Times New Roman" w:hAnsi="Times New Roman"/>
              </w:rPr>
              <w:t>处置措施</w:t>
            </w:r>
          </w:p>
        </w:tc>
        <w:tc>
          <w:tcPr>
            <w:tcW w:w="1037" w:type="dxa"/>
            <w:vMerge w:val="restart"/>
            <w:tcBorders>
              <w:tl2br w:val="nil"/>
              <w:tr2bl w:val="nil"/>
            </w:tcBorders>
          </w:tcPr>
          <w:p w:rsidR="00525419" w:rsidRDefault="00EE1CF7">
            <w:pPr>
              <w:spacing w:line="240" w:lineRule="atLeast"/>
              <w:rPr>
                <w:rFonts w:ascii="Times New Roman" w:hAnsi="Times New Roman"/>
              </w:rPr>
            </w:pPr>
            <w:r>
              <w:rPr>
                <w:rFonts w:ascii="Times New Roman" w:hAnsi="Times New Roman"/>
              </w:rPr>
              <w:t>最终去向</w:t>
            </w:r>
          </w:p>
        </w:tc>
      </w:tr>
      <w:tr w:rsidR="00525419">
        <w:trPr>
          <w:trHeight w:val="362"/>
        </w:trPr>
        <w:tc>
          <w:tcPr>
            <w:tcW w:w="1232" w:type="dxa"/>
            <w:vMerge/>
            <w:tcBorders>
              <w:tl2br w:val="nil"/>
              <w:tr2bl w:val="nil"/>
            </w:tcBorders>
          </w:tcPr>
          <w:p w:rsidR="00525419" w:rsidRDefault="00525419">
            <w:pPr>
              <w:spacing w:line="240" w:lineRule="atLeast"/>
              <w:rPr>
                <w:rFonts w:ascii="Times New Roman" w:hAnsi="Times New Roman"/>
              </w:rPr>
            </w:pPr>
          </w:p>
        </w:tc>
        <w:tc>
          <w:tcPr>
            <w:tcW w:w="1853" w:type="dxa"/>
            <w:vMerge/>
            <w:tcBorders>
              <w:tl2br w:val="nil"/>
              <w:tr2bl w:val="nil"/>
            </w:tcBorders>
          </w:tcPr>
          <w:p w:rsidR="00525419" w:rsidRDefault="00525419">
            <w:pPr>
              <w:spacing w:line="240" w:lineRule="atLeast"/>
              <w:rPr>
                <w:rFonts w:ascii="Times New Roman" w:hAnsi="Times New Roman"/>
              </w:rPr>
            </w:pPr>
          </w:p>
        </w:tc>
        <w:tc>
          <w:tcPr>
            <w:tcW w:w="1418" w:type="dxa"/>
            <w:tcBorders>
              <w:tl2br w:val="nil"/>
              <w:tr2bl w:val="nil"/>
            </w:tcBorders>
          </w:tcPr>
          <w:p w:rsidR="00525419" w:rsidRDefault="00EE1CF7">
            <w:pPr>
              <w:spacing w:line="240" w:lineRule="atLeast"/>
              <w:rPr>
                <w:rFonts w:ascii="Times New Roman" w:hAnsi="Times New Roman"/>
              </w:rPr>
            </w:pPr>
            <w:r>
              <w:rPr>
                <w:rFonts w:ascii="Times New Roman" w:hAnsi="Times New Roman"/>
              </w:rPr>
              <w:t>属性</w:t>
            </w:r>
          </w:p>
        </w:tc>
        <w:tc>
          <w:tcPr>
            <w:tcW w:w="1559" w:type="dxa"/>
            <w:tcBorders>
              <w:tl2br w:val="nil"/>
              <w:tr2bl w:val="nil"/>
            </w:tcBorders>
          </w:tcPr>
          <w:p w:rsidR="00525419" w:rsidRDefault="00EE1CF7">
            <w:pPr>
              <w:spacing w:line="240" w:lineRule="atLeast"/>
              <w:rPr>
                <w:rFonts w:ascii="Times New Roman" w:hAnsi="Times New Roman"/>
              </w:rPr>
            </w:pPr>
            <w:r>
              <w:rPr>
                <w:rFonts w:ascii="Times New Roman" w:hAnsi="Times New Roman"/>
              </w:rPr>
              <w:t>危险废物类别</w:t>
            </w:r>
          </w:p>
        </w:tc>
        <w:tc>
          <w:tcPr>
            <w:tcW w:w="1701" w:type="dxa"/>
            <w:tcBorders>
              <w:tl2br w:val="nil"/>
              <w:tr2bl w:val="nil"/>
            </w:tcBorders>
          </w:tcPr>
          <w:p w:rsidR="00525419" w:rsidRDefault="00EE1CF7">
            <w:pPr>
              <w:spacing w:line="240" w:lineRule="atLeast"/>
              <w:rPr>
                <w:rFonts w:ascii="Times New Roman" w:hAnsi="Times New Roman"/>
              </w:rPr>
            </w:pPr>
            <w:r>
              <w:rPr>
                <w:rFonts w:ascii="Times New Roman" w:hAnsi="Times New Roman"/>
              </w:rPr>
              <w:t>危险代码</w:t>
            </w:r>
          </w:p>
        </w:tc>
        <w:tc>
          <w:tcPr>
            <w:tcW w:w="1417" w:type="dxa"/>
            <w:vMerge/>
            <w:tcBorders>
              <w:tl2br w:val="nil"/>
              <w:tr2bl w:val="nil"/>
            </w:tcBorders>
          </w:tcPr>
          <w:p w:rsidR="00525419" w:rsidRDefault="00525419">
            <w:pPr>
              <w:spacing w:line="240" w:lineRule="atLeast"/>
              <w:rPr>
                <w:rFonts w:ascii="Times New Roman" w:hAnsi="Times New Roman"/>
              </w:rPr>
            </w:pPr>
          </w:p>
        </w:tc>
        <w:tc>
          <w:tcPr>
            <w:tcW w:w="1134" w:type="dxa"/>
            <w:tcBorders>
              <w:tl2br w:val="nil"/>
              <w:tr2bl w:val="nil"/>
            </w:tcBorders>
          </w:tcPr>
          <w:p w:rsidR="00525419" w:rsidRDefault="00EE1CF7">
            <w:pPr>
              <w:spacing w:line="240" w:lineRule="atLeast"/>
              <w:rPr>
                <w:rFonts w:ascii="Times New Roman" w:hAnsi="Times New Roman"/>
              </w:rPr>
            </w:pPr>
            <w:r>
              <w:rPr>
                <w:rFonts w:ascii="Times New Roman" w:hAnsi="Times New Roman"/>
              </w:rPr>
              <w:t>核算方法</w:t>
            </w:r>
          </w:p>
        </w:tc>
        <w:tc>
          <w:tcPr>
            <w:tcW w:w="1418" w:type="dxa"/>
            <w:tcBorders>
              <w:tl2br w:val="nil"/>
              <w:tr2bl w:val="nil"/>
            </w:tcBorders>
          </w:tcPr>
          <w:p w:rsidR="00525419" w:rsidRDefault="00EE1CF7">
            <w:pPr>
              <w:spacing w:line="240" w:lineRule="atLeast"/>
              <w:rPr>
                <w:rFonts w:ascii="Times New Roman" w:hAnsi="Times New Roman"/>
              </w:rPr>
            </w:pPr>
            <w:r>
              <w:rPr>
                <w:rFonts w:ascii="Times New Roman" w:hAnsi="Times New Roman"/>
              </w:rPr>
              <w:t>产生量</w:t>
            </w:r>
            <w:r>
              <w:rPr>
                <w:rFonts w:ascii="Times New Roman" w:hAnsi="Times New Roman"/>
              </w:rPr>
              <w:t>(t/a)</w:t>
            </w:r>
          </w:p>
        </w:tc>
        <w:tc>
          <w:tcPr>
            <w:tcW w:w="567" w:type="dxa"/>
            <w:tcBorders>
              <w:tl2br w:val="nil"/>
              <w:tr2bl w:val="nil"/>
            </w:tcBorders>
          </w:tcPr>
          <w:p w:rsidR="00525419" w:rsidRDefault="00EE1CF7">
            <w:pPr>
              <w:spacing w:line="240" w:lineRule="atLeast"/>
              <w:rPr>
                <w:rFonts w:ascii="Times New Roman" w:hAnsi="Times New Roman"/>
              </w:rPr>
            </w:pPr>
            <w:r>
              <w:rPr>
                <w:rFonts w:ascii="Times New Roman" w:hAnsi="Times New Roman"/>
              </w:rPr>
              <w:t>工艺</w:t>
            </w:r>
          </w:p>
        </w:tc>
        <w:tc>
          <w:tcPr>
            <w:tcW w:w="832" w:type="dxa"/>
            <w:tcBorders>
              <w:tl2br w:val="nil"/>
              <w:tr2bl w:val="nil"/>
            </w:tcBorders>
          </w:tcPr>
          <w:p w:rsidR="00525419" w:rsidRDefault="00EE1CF7">
            <w:pPr>
              <w:spacing w:line="240" w:lineRule="atLeast"/>
              <w:rPr>
                <w:rFonts w:ascii="Times New Roman" w:hAnsi="Times New Roman"/>
              </w:rPr>
            </w:pPr>
            <w:r>
              <w:rPr>
                <w:rFonts w:ascii="Times New Roman" w:hAnsi="Times New Roman"/>
              </w:rPr>
              <w:t>处置量</w:t>
            </w:r>
          </w:p>
        </w:tc>
        <w:tc>
          <w:tcPr>
            <w:tcW w:w="1037" w:type="dxa"/>
            <w:vMerge/>
            <w:tcBorders>
              <w:tl2br w:val="nil"/>
              <w:tr2bl w:val="nil"/>
            </w:tcBorders>
          </w:tcPr>
          <w:p w:rsidR="00525419" w:rsidRDefault="00525419">
            <w:pPr>
              <w:spacing w:line="240" w:lineRule="atLeast"/>
              <w:rPr>
                <w:rFonts w:ascii="Times New Roman" w:hAnsi="Times New Roman"/>
              </w:rPr>
            </w:pPr>
          </w:p>
        </w:tc>
      </w:tr>
      <w:tr w:rsidR="00525419">
        <w:trPr>
          <w:trHeight w:val="297"/>
        </w:trPr>
        <w:tc>
          <w:tcPr>
            <w:tcW w:w="1232" w:type="dxa"/>
            <w:tcBorders>
              <w:tl2br w:val="nil"/>
              <w:tr2bl w:val="nil"/>
            </w:tcBorders>
          </w:tcPr>
          <w:p w:rsidR="00525419" w:rsidRDefault="00EE1CF7">
            <w:pPr>
              <w:spacing w:line="240" w:lineRule="atLeast"/>
              <w:rPr>
                <w:rFonts w:ascii="Times New Roman" w:hAnsi="Times New Roman"/>
              </w:rPr>
            </w:pPr>
            <w:r>
              <w:rPr>
                <w:rFonts w:ascii="Times New Roman" w:hAnsi="Times New Roman"/>
                <w:kern w:val="0"/>
                <w:szCs w:val="21"/>
              </w:rPr>
              <w:t>Claus</w:t>
            </w:r>
            <w:r>
              <w:rPr>
                <w:rFonts w:ascii="Times New Roman" w:hAnsi="Times New Roman"/>
                <w:kern w:val="0"/>
                <w:szCs w:val="21"/>
              </w:rPr>
              <w:t>反应器</w:t>
            </w:r>
          </w:p>
        </w:tc>
        <w:tc>
          <w:tcPr>
            <w:tcW w:w="1853" w:type="dxa"/>
            <w:tcBorders>
              <w:tl2br w:val="nil"/>
              <w:tr2bl w:val="nil"/>
            </w:tcBorders>
          </w:tcPr>
          <w:p w:rsidR="00525419" w:rsidRDefault="00EE1CF7">
            <w:pPr>
              <w:spacing w:line="240" w:lineRule="atLeast"/>
              <w:rPr>
                <w:rFonts w:ascii="Times New Roman" w:hAnsi="Times New Roman"/>
              </w:rPr>
            </w:pPr>
            <w:r>
              <w:rPr>
                <w:rFonts w:ascii="Times New Roman" w:hAnsi="Times New Roman"/>
                <w:szCs w:val="21"/>
              </w:rPr>
              <w:t>废</w:t>
            </w:r>
            <w:r>
              <w:rPr>
                <w:rFonts w:ascii="Times New Roman" w:hAnsi="Times New Roman"/>
              </w:rPr>
              <w:t>克劳斯催化剂</w:t>
            </w:r>
          </w:p>
        </w:tc>
        <w:tc>
          <w:tcPr>
            <w:tcW w:w="1418" w:type="dxa"/>
            <w:tcBorders>
              <w:tl2br w:val="nil"/>
              <w:tr2bl w:val="nil"/>
            </w:tcBorders>
          </w:tcPr>
          <w:p w:rsidR="00525419" w:rsidRDefault="00EE1CF7">
            <w:pPr>
              <w:spacing w:line="240" w:lineRule="atLeast"/>
              <w:rPr>
                <w:rFonts w:ascii="Times New Roman" w:hAnsi="Times New Roman"/>
              </w:rPr>
            </w:pPr>
            <w:r>
              <w:rPr>
                <w:rFonts w:ascii="Times New Roman" w:hAnsi="Times New Roman"/>
              </w:rPr>
              <w:t>危险废物</w:t>
            </w:r>
          </w:p>
        </w:tc>
        <w:tc>
          <w:tcPr>
            <w:tcW w:w="1559" w:type="dxa"/>
            <w:tcBorders>
              <w:tl2br w:val="nil"/>
              <w:tr2bl w:val="nil"/>
            </w:tcBorders>
          </w:tcPr>
          <w:p w:rsidR="00525419" w:rsidRDefault="00EE1CF7">
            <w:pPr>
              <w:spacing w:line="240" w:lineRule="atLeast"/>
              <w:rPr>
                <w:rFonts w:ascii="Times New Roman" w:hAnsi="Times New Roman"/>
              </w:rPr>
            </w:pPr>
            <w:r>
              <w:rPr>
                <w:rFonts w:ascii="Times New Roman" w:eastAsia="TimesNewRomanPSMT" w:hAnsi="Times New Roman"/>
                <w:sz w:val="22"/>
              </w:rPr>
              <w:t>HW</w:t>
            </w:r>
            <w:r>
              <w:rPr>
                <w:rFonts w:ascii="Times New Roman" w:hAnsi="Times New Roman"/>
                <w:sz w:val="22"/>
              </w:rPr>
              <w:t>08</w:t>
            </w:r>
            <w:r>
              <w:rPr>
                <w:rFonts w:ascii="Times New Roman" w:hAnsi="Times New Roman"/>
                <w:sz w:val="22"/>
              </w:rPr>
              <w:t>废矿物油与含矿物</w:t>
            </w:r>
            <w:r>
              <w:rPr>
                <w:rFonts w:ascii="Times New Roman" w:hAnsi="Times New Roman"/>
                <w:sz w:val="22"/>
              </w:rPr>
              <w:br/>
            </w:r>
            <w:r>
              <w:rPr>
                <w:rFonts w:ascii="Times New Roman" w:hAnsi="Times New Roman"/>
                <w:sz w:val="22"/>
              </w:rPr>
              <w:t>油废物</w:t>
            </w:r>
          </w:p>
        </w:tc>
        <w:tc>
          <w:tcPr>
            <w:tcW w:w="1701" w:type="dxa"/>
            <w:tcBorders>
              <w:tl2br w:val="nil"/>
              <w:tr2bl w:val="nil"/>
            </w:tcBorders>
          </w:tcPr>
          <w:p w:rsidR="00525419" w:rsidRDefault="00EE1CF7">
            <w:pPr>
              <w:spacing w:line="240" w:lineRule="atLeast"/>
              <w:rPr>
                <w:rFonts w:ascii="Times New Roman" w:hAnsi="Times New Roman"/>
              </w:rPr>
            </w:pPr>
            <w:r>
              <w:rPr>
                <w:rFonts w:ascii="Times New Roman" w:hAnsi="Times New Roman"/>
                <w:sz w:val="22"/>
              </w:rPr>
              <w:t>251</w:t>
            </w:r>
            <w:r>
              <w:rPr>
                <w:rFonts w:ascii="Times New Roman" w:eastAsia="TimesNewRomanPSMT" w:hAnsi="Times New Roman"/>
                <w:sz w:val="22"/>
              </w:rPr>
              <w:t>-0</w:t>
            </w:r>
            <w:r>
              <w:rPr>
                <w:rFonts w:ascii="Times New Roman" w:hAnsi="Times New Roman"/>
                <w:sz w:val="22"/>
              </w:rPr>
              <w:t>12</w:t>
            </w:r>
            <w:r>
              <w:rPr>
                <w:rFonts w:ascii="Times New Roman" w:eastAsia="TimesNewRomanPSMT" w:hAnsi="Times New Roman"/>
                <w:sz w:val="22"/>
              </w:rPr>
              <w:t>-</w:t>
            </w:r>
            <w:r>
              <w:rPr>
                <w:rFonts w:ascii="Times New Roman" w:hAnsi="Times New Roman"/>
                <w:sz w:val="22"/>
              </w:rPr>
              <w:t>08</w:t>
            </w:r>
          </w:p>
        </w:tc>
        <w:tc>
          <w:tcPr>
            <w:tcW w:w="1417" w:type="dxa"/>
            <w:tcBorders>
              <w:tl2br w:val="nil"/>
              <w:tr2bl w:val="nil"/>
            </w:tcBorders>
          </w:tcPr>
          <w:p w:rsidR="00525419" w:rsidRDefault="00EE1CF7">
            <w:pPr>
              <w:autoSpaceDE w:val="0"/>
              <w:autoSpaceDN w:val="0"/>
              <w:adjustRightInd w:val="0"/>
              <w:spacing w:line="260" w:lineRule="exact"/>
              <w:ind w:leftChars="-50" w:left="-105" w:rightChars="-50" w:right="-105"/>
              <w:jc w:val="center"/>
              <w:rPr>
                <w:rFonts w:ascii="Times New Roman" w:hAnsi="Times New Roman"/>
                <w:kern w:val="0"/>
                <w:szCs w:val="21"/>
              </w:rPr>
            </w:pPr>
            <w:r>
              <w:rPr>
                <w:rFonts w:ascii="Times New Roman" w:hAnsi="Times New Roman"/>
              </w:rPr>
              <w:t>Al</w:t>
            </w:r>
            <w:r>
              <w:rPr>
                <w:rFonts w:ascii="Times New Roman" w:hAnsi="Times New Roman"/>
                <w:vertAlign w:val="subscript"/>
              </w:rPr>
              <w:t>2</w:t>
            </w:r>
            <w:r>
              <w:rPr>
                <w:rFonts w:ascii="Times New Roman" w:hAnsi="Times New Roman"/>
              </w:rPr>
              <w:t>O</w:t>
            </w:r>
            <w:r>
              <w:rPr>
                <w:rFonts w:ascii="Times New Roman" w:hAnsi="Times New Roman"/>
                <w:vertAlign w:val="subscript"/>
              </w:rPr>
              <w:t>3</w:t>
            </w:r>
            <w:r>
              <w:rPr>
                <w:rFonts w:ascii="Times New Roman" w:hAnsi="Times New Roman"/>
              </w:rPr>
              <w:t>浸渍活性氧化铝</w:t>
            </w:r>
          </w:p>
        </w:tc>
        <w:tc>
          <w:tcPr>
            <w:tcW w:w="1134" w:type="dxa"/>
            <w:tcBorders>
              <w:tl2br w:val="nil"/>
              <w:tr2bl w:val="nil"/>
            </w:tcBorders>
          </w:tcPr>
          <w:p w:rsidR="00525419" w:rsidRDefault="00EE1CF7">
            <w:pPr>
              <w:spacing w:line="240" w:lineRule="atLeast"/>
              <w:rPr>
                <w:rFonts w:ascii="Times New Roman" w:hAnsi="Times New Roman"/>
              </w:rPr>
            </w:pPr>
            <w:r>
              <w:rPr>
                <w:rFonts w:ascii="Times New Roman" w:hAnsi="Times New Roman"/>
              </w:rPr>
              <w:t>类比</w:t>
            </w:r>
          </w:p>
        </w:tc>
        <w:tc>
          <w:tcPr>
            <w:tcW w:w="1418" w:type="dxa"/>
            <w:tcBorders>
              <w:tl2br w:val="nil"/>
              <w:tr2bl w:val="nil"/>
            </w:tcBorders>
          </w:tcPr>
          <w:p w:rsidR="00525419" w:rsidRDefault="00EE1CF7">
            <w:pPr>
              <w:spacing w:line="240" w:lineRule="atLeast"/>
              <w:rPr>
                <w:rFonts w:ascii="Times New Roman" w:hAnsi="Times New Roman"/>
              </w:rPr>
            </w:pPr>
            <w:r>
              <w:rPr>
                <w:rFonts w:ascii="Times New Roman" w:hAnsi="Times New Roman"/>
              </w:rPr>
              <w:t>4.26</w:t>
            </w:r>
          </w:p>
        </w:tc>
        <w:tc>
          <w:tcPr>
            <w:tcW w:w="567" w:type="dxa"/>
            <w:vMerge w:val="restart"/>
            <w:tcBorders>
              <w:tl2br w:val="nil"/>
              <w:tr2bl w:val="nil"/>
            </w:tcBorders>
          </w:tcPr>
          <w:p w:rsidR="00525419" w:rsidRDefault="00EE1CF7">
            <w:pPr>
              <w:spacing w:line="240" w:lineRule="atLeast"/>
              <w:rPr>
                <w:rFonts w:ascii="Times New Roman" w:hAnsi="Times New Roman"/>
              </w:rPr>
            </w:pPr>
            <w:r>
              <w:rPr>
                <w:rFonts w:ascii="Times New Roman" w:hAnsi="Times New Roman"/>
                <w:sz w:val="22"/>
              </w:rPr>
              <w:t>暂存</w:t>
            </w:r>
          </w:p>
        </w:tc>
        <w:tc>
          <w:tcPr>
            <w:tcW w:w="832" w:type="dxa"/>
            <w:tcBorders>
              <w:tl2br w:val="nil"/>
              <w:tr2bl w:val="nil"/>
            </w:tcBorders>
          </w:tcPr>
          <w:p w:rsidR="00525419" w:rsidRDefault="00EE1CF7">
            <w:pPr>
              <w:spacing w:line="240" w:lineRule="atLeast"/>
              <w:rPr>
                <w:rFonts w:ascii="Times New Roman" w:hAnsi="Times New Roman"/>
              </w:rPr>
            </w:pPr>
            <w:r>
              <w:rPr>
                <w:rFonts w:ascii="Times New Roman" w:hAnsi="Times New Roman"/>
              </w:rPr>
              <w:t>4.26</w:t>
            </w:r>
          </w:p>
        </w:tc>
        <w:tc>
          <w:tcPr>
            <w:tcW w:w="1037" w:type="dxa"/>
            <w:vMerge w:val="restart"/>
            <w:tcBorders>
              <w:tl2br w:val="nil"/>
              <w:tr2bl w:val="nil"/>
            </w:tcBorders>
          </w:tcPr>
          <w:p w:rsidR="00525419" w:rsidRDefault="00EE1CF7">
            <w:pPr>
              <w:spacing w:line="240" w:lineRule="atLeast"/>
              <w:rPr>
                <w:rFonts w:ascii="Times New Roman" w:hAnsi="Times New Roman"/>
              </w:rPr>
            </w:pPr>
            <w:r>
              <w:rPr>
                <w:rFonts w:ascii="Times New Roman" w:hAnsi="Times New Roman"/>
                <w:szCs w:val="21"/>
              </w:rPr>
              <w:t>暂存后交由有资质的单位进行处置</w:t>
            </w:r>
          </w:p>
        </w:tc>
      </w:tr>
      <w:tr w:rsidR="00525419">
        <w:trPr>
          <w:trHeight w:val="534"/>
        </w:trPr>
        <w:tc>
          <w:tcPr>
            <w:tcW w:w="1232" w:type="dxa"/>
            <w:vMerge w:val="restart"/>
            <w:tcBorders>
              <w:tl2br w:val="nil"/>
              <w:tr2bl w:val="nil"/>
            </w:tcBorders>
          </w:tcPr>
          <w:p w:rsidR="00525419" w:rsidRDefault="00EE1CF7">
            <w:pPr>
              <w:spacing w:line="240" w:lineRule="atLeast"/>
              <w:rPr>
                <w:rFonts w:ascii="Times New Roman" w:hAnsi="Times New Roman"/>
              </w:rPr>
            </w:pPr>
            <w:r>
              <w:rPr>
                <w:rFonts w:ascii="Times New Roman" w:hAnsi="Times New Roman"/>
                <w:kern w:val="0"/>
                <w:szCs w:val="21"/>
              </w:rPr>
              <w:t>加氢反应器</w:t>
            </w:r>
          </w:p>
        </w:tc>
        <w:tc>
          <w:tcPr>
            <w:tcW w:w="1853" w:type="dxa"/>
            <w:tcBorders>
              <w:tl2br w:val="nil"/>
              <w:tr2bl w:val="nil"/>
            </w:tcBorders>
          </w:tcPr>
          <w:p w:rsidR="00525419" w:rsidRDefault="00EE1CF7">
            <w:pPr>
              <w:spacing w:line="240" w:lineRule="atLeast"/>
              <w:rPr>
                <w:rFonts w:ascii="Times New Roman" w:hAnsi="Times New Roman"/>
              </w:rPr>
            </w:pPr>
            <w:r>
              <w:rPr>
                <w:rFonts w:ascii="Times New Roman" w:hAnsi="Times New Roman"/>
                <w:szCs w:val="21"/>
              </w:rPr>
              <w:t>废催化剂</w:t>
            </w:r>
          </w:p>
        </w:tc>
        <w:tc>
          <w:tcPr>
            <w:tcW w:w="1418" w:type="dxa"/>
            <w:tcBorders>
              <w:tl2br w:val="nil"/>
              <w:tr2bl w:val="nil"/>
            </w:tcBorders>
          </w:tcPr>
          <w:p w:rsidR="00525419" w:rsidRDefault="00EE1CF7">
            <w:pPr>
              <w:spacing w:line="240" w:lineRule="atLeast"/>
              <w:rPr>
                <w:rFonts w:ascii="Times New Roman" w:hAnsi="Times New Roman"/>
              </w:rPr>
            </w:pPr>
            <w:r>
              <w:rPr>
                <w:rFonts w:ascii="Times New Roman" w:hAnsi="Times New Roman"/>
              </w:rPr>
              <w:t>危险废物</w:t>
            </w:r>
          </w:p>
        </w:tc>
        <w:tc>
          <w:tcPr>
            <w:tcW w:w="1559" w:type="dxa"/>
            <w:tcBorders>
              <w:tl2br w:val="nil"/>
              <w:tr2bl w:val="nil"/>
            </w:tcBorders>
          </w:tcPr>
          <w:p w:rsidR="00525419" w:rsidRDefault="00EE1CF7">
            <w:pPr>
              <w:spacing w:line="240" w:lineRule="atLeast"/>
              <w:rPr>
                <w:rFonts w:ascii="Times New Roman" w:hAnsi="Times New Roman"/>
              </w:rPr>
            </w:pPr>
            <w:r>
              <w:rPr>
                <w:rFonts w:ascii="Times New Roman" w:eastAsia="TimesNewRomanPSMT" w:hAnsi="Times New Roman"/>
                <w:sz w:val="22"/>
              </w:rPr>
              <w:t>HW</w:t>
            </w:r>
            <w:r>
              <w:rPr>
                <w:rFonts w:ascii="Times New Roman" w:hAnsi="Times New Roman"/>
                <w:sz w:val="22"/>
              </w:rPr>
              <w:t>50</w:t>
            </w:r>
            <w:r>
              <w:rPr>
                <w:rFonts w:ascii="Times New Roman" w:hAnsi="Times New Roman"/>
                <w:sz w:val="22"/>
              </w:rPr>
              <w:t>废催化剂</w:t>
            </w:r>
          </w:p>
        </w:tc>
        <w:tc>
          <w:tcPr>
            <w:tcW w:w="1701" w:type="dxa"/>
            <w:tcBorders>
              <w:tl2br w:val="nil"/>
              <w:tr2bl w:val="nil"/>
            </w:tcBorders>
          </w:tcPr>
          <w:p w:rsidR="00525419" w:rsidRDefault="00EE1CF7">
            <w:pPr>
              <w:spacing w:line="240" w:lineRule="atLeast"/>
              <w:rPr>
                <w:rFonts w:ascii="Times New Roman" w:hAnsi="Times New Roman"/>
              </w:rPr>
            </w:pPr>
            <w:r>
              <w:rPr>
                <w:rFonts w:ascii="Times New Roman" w:eastAsia="TimesNewRomanPSMT" w:hAnsi="Times New Roman"/>
                <w:sz w:val="22"/>
              </w:rPr>
              <w:t>251-018-50</w:t>
            </w:r>
          </w:p>
        </w:tc>
        <w:tc>
          <w:tcPr>
            <w:tcW w:w="1417" w:type="dxa"/>
            <w:tcBorders>
              <w:tl2br w:val="nil"/>
              <w:tr2bl w:val="nil"/>
            </w:tcBorders>
          </w:tcPr>
          <w:p w:rsidR="00525419" w:rsidRDefault="00EE1CF7">
            <w:pPr>
              <w:autoSpaceDE w:val="0"/>
              <w:autoSpaceDN w:val="0"/>
              <w:adjustRightInd w:val="0"/>
              <w:spacing w:line="260" w:lineRule="exact"/>
              <w:ind w:leftChars="-50" w:left="-105" w:rightChars="-50" w:right="-105" w:firstLineChars="100" w:firstLine="210"/>
              <w:rPr>
                <w:rFonts w:ascii="Times New Roman" w:hAnsi="Times New Roman"/>
                <w:kern w:val="0"/>
                <w:szCs w:val="21"/>
              </w:rPr>
            </w:pPr>
            <w:r>
              <w:rPr>
                <w:rFonts w:ascii="Times New Roman" w:hAnsi="Times New Roman"/>
                <w:kern w:val="0"/>
                <w:szCs w:val="21"/>
              </w:rPr>
              <w:t>CoO</w:t>
            </w:r>
            <w:r>
              <w:rPr>
                <w:rFonts w:ascii="Times New Roman" w:hAnsi="Times New Roman"/>
                <w:kern w:val="0"/>
                <w:szCs w:val="21"/>
              </w:rPr>
              <w:t>、</w:t>
            </w:r>
          </w:p>
          <w:p w:rsidR="00525419" w:rsidRDefault="00EE1CF7">
            <w:pPr>
              <w:spacing w:line="240" w:lineRule="atLeast"/>
              <w:rPr>
                <w:rFonts w:ascii="Times New Roman" w:hAnsi="Times New Roman"/>
              </w:rPr>
            </w:pPr>
            <w:r>
              <w:rPr>
                <w:rFonts w:ascii="Times New Roman" w:hAnsi="Times New Roman"/>
                <w:kern w:val="0"/>
                <w:szCs w:val="21"/>
              </w:rPr>
              <w:t>MoO</w:t>
            </w:r>
            <w:r>
              <w:rPr>
                <w:rFonts w:ascii="Times New Roman" w:hAnsi="Times New Roman"/>
                <w:kern w:val="0"/>
                <w:szCs w:val="21"/>
                <w:vertAlign w:val="subscript"/>
              </w:rPr>
              <w:t>3</w:t>
            </w:r>
          </w:p>
        </w:tc>
        <w:tc>
          <w:tcPr>
            <w:tcW w:w="1134" w:type="dxa"/>
            <w:tcBorders>
              <w:tl2br w:val="nil"/>
              <w:tr2bl w:val="nil"/>
            </w:tcBorders>
          </w:tcPr>
          <w:p w:rsidR="00525419" w:rsidRDefault="00EE1CF7">
            <w:pPr>
              <w:spacing w:line="240" w:lineRule="atLeast"/>
              <w:rPr>
                <w:rFonts w:ascii="Times New Roman" w:hAnsi="Times New Roman"/>
              </w:rPr>
            </w:pPr>
            <w:r>
              <w:rPr>
                <w:rFonts w:ascii="Times New Roman" w:hAnsi="Times New Roman"/>
              </w:rPr>
              <w:t>类比</w:t>
            </w:r>
          </w:p>
        </w:tc>
        <w:tc>
          <w:tcPr>
            <w:tcW w:w="1418" w:type="dxa"/>
            <w:tcBorders>
              <w:tl2br w:val="nil"/>
              <w:tr2bl w:val="nil"/>
            </w:tcBorders>
          </w:tcPr>
          <w:p w:rsidR="00525419" w:rsidRDefault="00EE1CF7">
            <w:pPr>
              <w:spacing w:line="240" w:lineRule="atLeast"/>
              <w:rPr>
                <w:rFonts w:ascii="Times New Roman" w:hAnsi="Times New Roman"/>
              </w:rPr>
            </w:pPr>
            <w:r>
              <w:rPr>
                <w:rFonts w:ascii="Times New Roman" w:hAnsi="Times New Roman"/>
              </w:rPr>
              <w:t>1.65</w:t>
            </w:r>
          </w:p>
        </w:tc>
        <w:tc>
          <w:tcPr>
            <w:tcW w:w="567" w:type="dxa"/>
            <w:vMerge/>
            <w:tcBorders>
              <w:tl2br w:val="nil"/>
              <w:tr2bl w:val="nil"/>
            </w:tcBorders>
          </w:tcPr>
          <w:p w:rsidR="00525419" w:rsidRDefault="00525419">
            <w:pPr>
              <w:spacing w:line="240" w:lineRule="atLeast"/>
              <w:rPr>
                <w:rFonts w:ascii="Times New Roman" w:hAnsi="Times New Roman"/>
              </w:rPr>
            </w:pPr>
          </w:p>
        </w:tc>
        <w:tc>
          <w:tcPr>
            <w:tcW w:w="832" w:type="dxa"/>
            <w:tcBorders>
              <w:tl2br w:val="nil"/>
              <w:tr2bl w:val="nil"/>
            </w:tcBorders>
          </w:tcPr>
          <w:p w:rsidR="00525419" w:rsidRDefault="00EE1CF7">
            <w:pPr>
              <w:spacing w:line="240" w:lineRule="atLeast"/>
              <w:rPr>
                <w:rFonts w:ascii="Times New Roman" w:hAnsi="Times New Roman"/>
              </w:rPr>
            </w:pPr>
            <w:r>
              <w:rPr>
                <w:rFonts w:ascii="Times New Roman" w:hAnsi="Times New Roman"/>
              </w:rPr>
              <w:t>1.65</w:t>
            </w:r>
          </w:p>
        </w:tc>
        <w:tc>
          <w:tcPr>
            <w:tcW w:w="1037" w:type="dxa"/>
            <w:vMerge/>
            <w:tcBorders>
              <w:tl2br w:val="nil"/>
              <w:tr2bl w:val="nil"/>
            </w:tcBorders>
          </w:tcPr>
          <w:p w:rsidR="00525419" w:rsidRDefault="00525419">
            <w:pPr>
              <w:spacing w:line="240" w:lineRule="atLeast"/>
              <w:rPr>
                <w:rFonts w:ascii="Times New Roman" w:hAnsi="Times New Roman"/>
              </w:rPr>
            </w:pPr>
          </w:p>
        </w:tc>
      </w:tr>
      <w:tr w:rsidR="00525419">
        <w:trPr>
          <w:trHeight w:val="343"/>
        </w:trPr>
        <w:tc>
          <w:tcPr>
            <w:tcW w:w="1232" w:type="dxa"/>
            <w:vMerge/>
            <w:tcBorders>
              <w:tl2br w:val="nil"/>
              <w:tr2bl w:val="nil"/>
            </w:tcBorders>
          </w:tcPr>
          <w:p w:rsidR="00525419" w:rsidRDefault="00525419">
            <w:pPr>
              <w:spacing w:line="240" w:lineRule="atLeast"/>
              <w:rPr>
                <w:rFonts w:ascii="Times New Roman" w:hAnsi="Times New Roman"/>
                <w:kern w:val="0"/>
                <w:szCs w:val="21"/>
              </w:rPr>
            </w:pPr>
          </w:p>
        </w:tc>
        <w:tc>
          <w:tcPr>
            <w:tcW w:w="1853"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废瓷球</w:t>
            </w:r>
          </w:p>
        </w:tc>
        <w:tc>
          <w:tcPr>
            <w:tcW w:w="1418" w:type="dxa"/>
            <w:tcBorders>
              <w:tl2br w:val="nil"/>
              <w:tr2bl w:val="nil"/>
            </w:tcBorders>
          </w:tcPr>
          <w:p w:rsidR="00525419" w:rsidRDefault="00EE1CF7">
            <w:pPr>
              <w:spacing w:line="240" w:lineRule="atLeast"/>
              <w:rPr>
                <w:rFonts w:ascii="Times New Roman" w:hAnsi="Times New Roman"/>
              </w:rPr>
            </w:pPr>
            <w:r>
              <w:rPr>
                <w:rFonts w:ascii="Times New Roman" w:hAnsi="Times New Roman"/>
              </w:rPr>
              <w:t>一般固物</w:t>
            </w:r>
          </w:p>
        </w:tc>
        <w:tc>
          <w:tcPr>
            <w:tcW w:w="1559" w:type="dxa"/>
            <w:tcBorders>
              <w:tl2br w:val="nil"/>
              <w:tr2bl w:val="nil"/>
            </w:tcBorders>
          </w:tcPr>
          <w:p w:rsidR="00525419" w:rsidRDefault="00EE1CF7">
            <w:pPr>
              <w:spacing w:line="240" w:lineRule="atLeast"/>
              <w:rPr>
                <w:rFonts w:ascii="Times New Roman" w:eastAsia="TimesNewRomanPSMT" w:hAnsi="Times New Roman"/>
                <w:sz w:val="22"/>
              </w:rPr>
            </w:pPr>
            <w:r>
              <w:rPr>
                <w:rFonts w:ascii="Times New Roman" w:eastAsia="TimesNewRomanPSMT" w:hAnsi="Times New Roman"/>
                <w:sz w:val="22"/>
              </w:rPr>
              <w:t>/</w:t>
            </w:r>
          </w:p>
        </w:tc>
        <w:tc>
          <w:tcPr>
            <w:tcW w:w="1701" w:type="dxa"/>
            <w:tcBorders>
              <w:tl2br w:val="nil"/>
              <w:tr2bl w:val="nil"/>
            </w:tcBorders>
          </w:tcPr>
          <w:p w:rsidR="00525419" w:rsidRDefault="00EE1CF7">
            <w:pPr>
              <w:spacing w:line="240" w:lineRule="atLeast"/>
              <w:rPr>
                <w:rFonts w:ascii="Times New Roman" w:eastAsia="TimesNewRomanPSMT" w:hAnsi="Times New Roman"/>
                <w:sz w:val="22"/>
              </w:rPr>
            </w:pPr>
            <w:r>
              <w:rPr>
                <w:rFonts w:ascii="Times New Roman" w:eastAsia="TimesNewRomanPSMT" w:hAnsi="Times New Roman"/>
                <w:sz w:val="22"/>
              </w:rPr>
              <w:t>/</w:t>
            </w:r>
          </w:p>
        </w:tc>
        <w:tc>
          <w:tcPr>
            <w:tcW w:w="1417"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rPr>
              <w:t>Al</w:t>
            </w:r>
            <w:r>
              <w:rPr>
                <w:rFonts w:ascii="Times New Roman" w:hAnsi="Times New Roman"/>
                <w:vertAlign w:val="subscript"/>
              </w:rPr>
              <w:t>2</w:t>
            </w:r>
            <w:r>
              <w:rPr>
                <w:rFonts w:ascii="Times New Roman" w:hAnsi="Times New Roman"/>
              </w:rPr>
              <w:t>O</w:t>
            </w:r>
            <w:r>
              <w:rPr>
                <w:rFonts w:ascii="Times New Roman" w:hAnsi="Times New Roman"/>
                <w:vertAlign w:val="subscript"/>
              </w:rPr>
              <w:t>3</w:t>
            </w:r>
          </w:p>
        </w:tc>
        <w:tc>
          <w:tcPr>
            <w:tcW w:w="1134" w:type="dxa"/>
            <w:tcBorders>
              <w:tl2br w:val="nil"/>
              <w:tr2bl w:val="nil"/>
            </w:tcBorders>
          </w:tcPr>
          <w:p w:rsidR="00525419" w:rsidRDefault="00EE1CF7">
            <w:pPr>
              <w:spacing w:line="240" w:lineRule="atLeast"/>
              <w:rPr>
                <w:rFonts w:ascii="Times New Roman" w:hAnsi="Times New Roman"/>
              </w:rPr>
            </w:pPr>
            <w:r>
              <w:rPr>
                <w:rFonts w:ascii="Times New Roman" w:hAnsi="Times New Roman"/>
              </w:rPr>
              <w:t>类比</w:t>
            </w:r>
          </w:p>
        </w:tc>
        <w:tc>
          <w:tcPr>
            <w:tcW w:w="1418" w:type="dxa"/>
            <w:tcBorders>
              <w:tl2br w:val="nil"/>
              <w:tr2bl w:val="nil"/>
            </w:tcBorders>
          </w:tcPr>
          <w:p w:rsidR="00525419" w:rsidRDefault="00EE1CF7">
            <w:pPr>
              <w:spacing w:line="240" w:lineRule="atLeast"/>
              <w:rPr>
                <w:rFonts w:ascii="Times New Roman" w:hAnsi="Times New Roman"/>
              </w:rPr>
            </w:pPr>
            <w:r>
              <w:rPr>
                <w:rFonts w:ascii="Times New Roman" w:hAnsi="Times New Roman"/>
              </w:rPr>
              <w:t>1.01</w:t>
            </w:r>
          </w:p>
        </w:tc>
        <w:tc>
          <w:tcPr>
            <w:tcW w:w="567" w:type="dxa"/>
            <w:tcBorders>
              <w:tl2br w:val="nil"/>
              <w:tr2bl w:val="nil"/>
            </w:tcBorders>
          </w:tcPr>
          <w:p w:rsidR="00525419" w:rsidRDefault="00EE1CF7">
            <w:pPr>
              <w:spacing w:line="240" w:lineRule="atLeast"/>
              <w:rPr>
                <w:rFonts w:ascii="Times New Roman" w:hAnsi="Times New Roman"/>
              </w:rPr>
            </w:pPr>
            <w:r>
              <w:rPr>
                <w:rFonts w:ascii="Times New Roman" w:hAnsi="Times New Roman"/>
                <w:sz w:val="22"/>
              </w:rPr>
              <w:t>暂存</w:t>
            </w:r>
          </w:p>
        </w:tc>
        <w:tc>
          <w:tcPr>
            <w:tcW w:w="832" w:type="dxa"/>
            <w:tcBorders>
              <w:tl2br w:val="nil"/>
              <w:tr2bl w:val="nil"/>
            </w:tcBorders>
          </w:tcPr>
          <w:p w:rsidR="00525419" w:rsidRDefault="00EE1CF7">
            <w:pPr>
              <w:spacing w:line="240" w:lineRule="atLeast"/>
              <w:rPr>
                <w:rFonts w:ascii="Times New Roman" w:hAnsi="Times New Roman"/>
              </w:rPr>
            </w:pPr>
            <w:r>
              <w:rPr>
                <w:rFonts w:ascii="Times New Roman" w:hAnsi="Times New Roman"/>
              </w:rPr>
              <w:t>1.01</w:t>
            </w:r>
          </w:p>
        </w:tc>
        <w:tc>
          <w:tcPr>
            <w:tcW w:w="1037"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rPr>
              <w:t>厂家回收</w:t>
            </w:r>
          </w:p>
        </w:tc>
      </w:tr>
      <w:tr w:rsidR="00525419">
        <w:trPr>
          <w:trHeight w:val="492"/>
        </w:trPr>
        <w:tc>
          <w:tcPr>
            <w:tcW w:w="1232"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kern w:val="0"/>
                <w:szCs w:val="21"/>
              </w:rPr>
              <w:lastRenderedPageBreak/>
              <w:t>汽提塔</w:t>
            </w:r>
          </w:p>
        </w:tc>
        <w:tc>
          <w:tcPr>
            <w:tcW w:w="1853"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废脱硫剂</w:t>
            </w:r>
          </w:p>
        </w:tc>
        <w:tc>
          <w:tcPr>
            <w:tcW w:w="1418" w:type="dxa"/>
            <w:tcBorders>
              <w:tl2br w:val="nil"/>
              <w:tr2bl w:val="nil"/>
            </w:tcBorders>
          </w:tcPr>
          <w:p w:rsidR="00525419" w:rsidRDefault="00EE1CF7">
            <w:pPr>
              <w:spacing w:line="240" w:lineRule="atLeast"/>
              <w:rPr>
                <w:rFonts w:ascii="Times New Roman" w:hAnsi="Times New Roman"/>
              </w:rPr>
            </w:pPr>
            <w:r>
              <w:rPr>
                <w:rFonts w:ascii="Times New Roman" w:hAnsi="Times New Roman"/>
              </w:rPr>
              <w:t>危险废物</w:t>
            </w:r>
          </w:p>
        </w:tc>
        <w:tc>
          <w:tcPr>
            <w:tcW w:w="1559" w:type="dxa"/>
            <w:vMerge w:val="restart"/>
            <w:tcBorders>
              <w:tl2br w:val="nil"/>
              <w:tr2bl w:val="nil"/>
            </w:tcBorders>
          </w:tcPr>
          <w:p w:rsidR="00525419" w:rsidRDefault="00EE1CF7">
            <w:pPr>
              <w:spacing w:line="240" w:lineRule="atLeast"/>
              <w:rPr>
                <w:rFonts w:ascii="Times New Roman" w:hAnsi="Times New Roman"/>
              </w:rPr>
            </w:pPr>
            <w:r>
              <w:rPr>
                <w:rFonts w:ascii="Times New Roman" w:eastAsia="TimesNewRomanPSMT" w:hAnsi="Times New Roman"/>
                <w:sz w:val="22"/>
              </w:rPr>
              <w:t>HW</w:t>
            </w:r>
            <w:r>
              <w:rPr>
                <w:rFonts w:ascii="Times New Roman" w:hAnsi="Times New Roman"/>
                <w:sz w:val="22"/>
              </w:rPr>
              <w:t>08</w:t>
            </w:r>
            <w:r>
              <w:rPr>
                <w:rFonts w:ascii="Times New Roman" w:hAnsi="Times New Roman"/>
                <w:sz w:val="22"/>
              </w:rPr>
              <w:t>废矿物油与含矿物</w:t>
            </w:r>
            <w:r>
              <w:rPr>
                <w:rFonts w:ascii="Times New Roman" w:hAnsi="Times New Roman"/>
                <w:sz w:val="22"/>
              </w:rPr>
              <w:br/>
            </w:r>
            <w:r>
              <w:rPr>
                <w:rFonts w:ascii="Times New Roman" w:hAnsi="Times New Roman"/>
                <w:sz w:val="22"/>
              </w:rPr>
              <w:t>油废物</w:t>
            </w:r>
          </w:p>
        </w:tc>
        <w:tc>
          <w:tcPr>
            <w:tcW w:w="1701" w:type="dxa"/>
            <w:vMerge w:val="restart"/>
            <w:tcBorders>
              <w:tl2br w:val="nil"/>
              <w:tr2bl w:val="nil"/>
            </w:tcBorders>
          </w:tcPr>
          <w:p w:rsidR="00525419" w:rsidRDefault="00EE1CF7">
            <w:pPr>
              <w:spacing w:line="240" w:lineRule="atLeast"/>
              <w:rPr>
                <w:rFonts w:ascii="Times New Roman" w:hAnsi="Times New Roman"/>
              </w:rPr>
            </w:pPr>
            <w:r>
              <w:rPr>
                <w:rFonts w:ascii="Times New Roman" w:hAnsi="Times New Roman"/>
                <w:sz w:val="22"/>
              </w:rPr>
              <w:t>251</w:t>
            </w:r>
            <w:r>
              <w:rPr>
                <w:rFonts w:ascii="Times New Roman" w:eastAsia="TimesNewRomanPSMT" w:hAnsi="Times New Roman"/>
                <w:sz w:val="22"/>
              </w:rPr>
              <w:t>-0</w:t>
            </w:r>
            <w:r>
              <w:rPr>
                <w:rFonts w:ascii="Times New Roman" w:hAnsi="Times New Roman"/>
                <w:sz w:val="22"/>
              </w:rPr>
              <w:t>12</w:t>
            </w:r>
            <w:r>
              <w:rPr>
                <w:rFonts w:ascii="Times New Roman" w:eastAsia="TimesNewRomanPSMT" w:hAnsi="Times New Roman"/>
                <w:sz w:val="22"/>
              </w:rPr>
              <w:t>-</w:t>
            </w:r>
            <w:r>
              <w:rPr>
                <w:rFonts w:ascii="Times New Roman" w:hAnsi="Times New Roman"/>
                <w:sz w:val="22"/>
              </w:rPr>
              <w:t>08</w:t>
            </w:r>
          </w:p>
        </w:tc>
        <w:tc>
          <w:tcPr>
            <w:tcW w:w="1417" w:type="dxa"/>
            <w:vMerge w:val="restart"/>
            <w:tcBorders>
              <w:tl2br w:val="nil"/>
              <w:tr2bl w:val="nil"/>
            </w:tcBorders>
          </w:tcPr>
          <w:p w:rsidR="00525419" w:rsidRDefault="00EE1CF7">
            <w:pPr>
              <w:autoSpaceDE w:val="0"/>
              <w:autoSpaceDN w:val="0"/>
              <w:adjustRightInd w:val="0"/>
              <w:spacing w:line="260" w:lineRule="exact"/>
              <w:ind w:leftChars="-50" w:left="-105" w:rightChars="-50" w:right="-105"/>
              <w:jc w:val="center"/>
              <w:rPr>
                <w:rFonts w:ascii="Times New Roman" w:hAnsi="Times New Roman"/>
                <w:kern w:val="0"/>
                <w:szCs w:val="21"/>
              </w:rPr>
            </w:pPr>
            <w:r>
              <w:rPr>
                <w:rFonts w:ascii="Times New Roman" w:hAnsi="Times New Roman"/>
              </w:rPr>
              <w:t>Al</w:t>
            </w:r>
            <w:r>
              <w:rPr>
                <w:rFonts w:ascii="Times New Roman" w:hAnsi="Times New Roman"/>
                <w:vertAlign w:val="subscript"/>
              </w:rPr>
              <w:t>2</w:t>
            </w:r>
            <w:r>
              <w:rPr>
                <w:rFonts w:ascii="Times New Roman" w:hAnsi="Times New Roman"/>
              </w:rPr>
              <w:t>O</w:t>
            </w:r>
            <w:r>
              <w:rPr>
                <w:rFonts w:ascii="Times New Roman" w:hAnsi="Times New Roman"/>
                <w:vertAlign w:val="subscript"/>
              </w:rPr>
              <w:t>3</w:t>
            </w:r>
            <w:r>
              <w:rPr>
                <w:rFonts w:ascii="Times New Roman" w:hAnsi="Times New Roman"/>
              </w:rPr>
              <w:t>浸渍活性氧化铝</w:t>
            </w:r>
          </w:p>
        </w:tc>
        <w:tc>
          <w:tcPr>
            <w:tcW w:w="1134" w:type="dxa"/>
            <w:tcBorders>
              <w:tl2br w:val="nil"/>
              <w:tr2bl w:val="nil"/>
            </w:tcBorders>
          </w:tcPr>
          <w:p w:rsidR="00525419" w:rsidRDefault="00EE1CF7">
            <w:pPr>
              <w:spacing w:line="240" w:lineRule="atLeast"/>
              <w:rPr>
                <w:rFonts w:ascii="Times New Roman" w:hAnsi="Times New Roman"/>
              </w:rPr>
            </w:pPr>
            <w:r>
              <w:rPr>
                <w:rFonts w:ascii="Times New Roman" w:hAnsi="Times New Roman"/>
              </w:rPr>
              <w:t>类比</w:t>
            </w:r>
          </w:p>
        </w:tc>
        <w:tc>
          <w:tcPr>
            <w:tcW w:w="1418" w:type="dxa"/>
            <w:tcBorders>
              <w:tl2br w:val="nil"/>
              <w:tr2bl w:val="nil"/>
            </w:tcBorders>
          </w:tcPr>
          <w:p w:rsidR="00525419" w:rsidRDefault="00EE1CF7">
            <w:pPr>
              <w:spacing w:line="240" w:lineRule="atLeast"/>
              <w:rPr>
                <w:rFonts w:ascii="Times New Roman" w:hAnsi="Times New Roman"/>
              </w:rPr>
            </w:pPr>
            <w:r>
              <w:rPr>
                <w:rFonts w:ascii="Times New Roman" w:hAnsi="Times New Roman"/>
              </w:rPr>
              <w:t>0.74</w:t>
            </w:r>
          </w:p>
        </w:tc>
        <w:tc>
          <w:tcPr>
            <w:tcW w:w="567" w:type="dxa"/>
            <w:tcBorders>
              <w:tl2br w:val="nil"/>
              <w:tr2bl w:val="nil"/>
            </w:tcBorders>
          </w:tcPr>
          <w:p w:rsidR="00525419" w:rsidRDefault="00EE1CF7">
            <w:pPr>
              <w:spacing w:line="240" w:lineRule="atLeast"/>
              <w:rPr>
                <w:rFonts w:ascii="Times New Roman" w:hAnsi="Times New Roman"/>
              </w:rPr>
            </w:pPr>
            <w:r>
              <w:rPr>
                <w:rFonts w:ascii="Times New Roman" w:hAnsi="Times New Roman"/>
                <w:sz w:val="22"/>
              </w:rPr>
              <w:t>暂存</w:t>
            </w:r>
          </w:p>
        </w:tc>
        <w:tc>
          <w:tcPr>
            <w:tcW w:w="832" w:type="dxa"/>
            <w:tcBorders>
              <w:tl2br w:val="nil"/>
              <w:tr2bl w:val="nil"/>
            </w:tcBorders>
          </w:tcPr>
          <w:p w:rsidR="00525419" w:rsidRDefault="00EE1CF7">
            <w:pPr>
              <w:spacing w:line="240" w:lineRule="atLeast"/>
              <w:rPr>
                <w:rFonts w:ascii="Times New Roman" w:hAnsi="Times New Roman"/>
              </w:rPr>
            </w:pPr>
            <w:r>
              <w:rPr>
                <w:rFonts w:ascii="Times New Roman" w:hAnsi="Times New Roman"/>
              </w:rPr>
              <w:t>0.74</w:t>
            </w:r>
          </w:p>
        </w:tc>
        <w:tc>
          <w:tcPr>
            <w:tcW w:w="1037" w:type="dxa"/>
            <w:vMerge w:val="restart"/>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szCs w:val="21"/>
              </w:rPr>
              <w:t>暂存后交由有资质的单位进行处置</w:t>
            </w:r>
          </w:p>
        </w:tc>
      </w:tr>
      <w:tr w:rsidR="00525419">
        <w:trPr>
          <w:trHeight w:val="611"/>
        </w:trPr>
        <w:tc>
          <w:tcPr>
            <w:tcW w:w="1232" w:type="dxa"/>
            <w:tcBorders>
              <w:tl2br w:val="nil"/>
              <w:tr2bl w:val="nil"/>
            </w:tcBorders>
          </w:tcPr>
          <w:p w:rsidR="00525419" w:rsidRDefault="00EE1CF7">
            <w:pPr>
              <w:spacing w:line="240" w:lineRule="atLeast"/>
              <w:rPr>
                <w:rFonts w:ascii="Times New Roman" w:hAnsi="Times New Roman"/>
                <w:kern w:val="0"/>
                <w:szCs w:val="21"/>
              </w:rPr>
            </w:pPr>
            <w:r>
              <w:rPr>
                <w:rFonts w:ascii="Times New Roman" w:hAnsi="Times New Roman"/>
                <w:kern w:val="0"/>
                <w:szCs w:val="21"/>
              </w:rPr>
              <w:t>溶剂再生器</w:t>
            </w:r>
          </w:p>
        </w:tc>
        <w:tc>
          <w:tcPr>
            <w:tcW w:w="1853"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废活性炭</w:t>
            </w:r>
          </w:p>
        </w:tc>
        <w:tc>
          <w:tcPr>
            <w:tcW w:w="1418" w:type="dxa"/>
            <w:tcBorders>
              <w:tl2br w:val="nil"/>
              <w:tr2bl w:val="nil"/>
            </w:tcBorders>
          </w:tcPr>
          <w:p w:rsidR="00525419" w:rsidRDefault="00EE1CF7">
            <w:pPr>
              <w:spacing w:line="240" w:lineRule="atLeast"/>
              <w:rPr>
                <w:rFonts w:ascii="Times New Roman" w:hAnsi="Times New Roman"/>
              </w:rPr>
            </w:pPr>
            <w:r>
              <w:rPr>
                <w:rFonts w:ascii="Times New Roman" w:hAnsi="Times New Roman"/>
              </w:rPr>
              <w:t>危险废物</w:t>
            </w:r>
          </w:p>
        </w:tc>
        <w:tc>
          <w:tcPr>
            <w:tcW w:w="1559" w:type="dxa"/>
            <w:vMerge/>
            <w:tcBorders>
              <w:tl2br w:val="nil"/>
              <w:tr2bl w:val="nil"/>
            </w:tcBorders>
          </w:tcPr>
          <w:p w:rsidR="00525419" w:rsidRDefault="00525419">
            <w:pPr>
              <w:spacing w:line="240" w:lineRule="atLeast"/>
              <w:rPr>
                <w:rFonts w:ascii="Times New Roman" w:eastAsia="TimesNewRomanPSMT" w:hAnsi="Times New Roman"/>
                <w:sz w:val="22"/>
              </w:rPr>
            </w:pPr>
          </w:p>
        </w:tc>
        <w:tc>
          <w:tcPr>
            <w:tcW w:w="1701" w:type="dxa"/>
            <w:vMerge/>
            <w:tcBorders>
              <w:tl2br w:val="nil"/>
              <w:tr2bl w:val="nil"/>
            </w:tcBorders>
          </w:tcPr>
          <w:p w:rsidR="00525419" w:rsidRDefault="00525419">
            <w:pPr>
              <w:spacing w:line="240" w:lineRule="atLeast"/>
              <w:rPr>
                <w:rFonts w:ascii="Times New Roman" w:eastAsia="TimesNewRomanPSMT" w:hAnsi="Times New Roman"/>
                <w:sz w:val="22"/>
              </w:rPr>
            </w:pPr>
          </w:p>
        </w:tc>
        <w:tc>
          <w:tcPr>
            <w:tcW w:w="1417" w:type="dxa"/>
            <w:vMerge/>
            <w:tcBorders>
              <w:tl2br w:val="nil"/>
              <w:tr2bl w:val="nil"/>
            </w:tcBorders>
          </w:tcPr>
          <w:p w:rsidR="00525419" w:rsidRDefault="00525419">
            <w:pPr>
              <w:autoSpaceDE w:val="0"/>
              <w:autoSpaceDN w:val="0"/>
              <w:adjustRightInd w:val="0"/>
              <w:spacing w:line="260" w:lineRule="exact"/>
              <w:ind w:leftChars="-50" w:left="-105" w:rightChars="-50" w:right="-105"/>
              <w:jc w:val="center"/>
              <w:rPr>
                <w:rFonts w:ascii="Times New Roman" w:hAnsi="Times New Roman"/>
                <w:kern w:val="0"/>
                <w:szCs w:val="21"/>
              </w:rPr>
            </w:pPr>
          </w:p>
        </w:tc>
        <w:tc>
          <w:tcPr>
            <w:tcW w:w="1134" w:type="dxa"/>
            <w:tcBorders>
              <w:tl2br w:val="nil"/>
              <w:tr2bl w:val="nil"/>
            </w:tcBorders>
          </w:tcPr>
          <w:p w:rsidR="00525419" w:rsidRDefault="00EE1CF7">
            <w:pPr>
              <w:spacing w:line="240" w:lineRule="atLeast"/>
              <w:rPr>
                <w:rFonts w:ascii="Times New Roman" w:hAnsi="Times New Roman"/>
              </w:rPr>
            </w:pPr>
            <w:r>
              <w:rPr>
                <w:rFonts w:ascii="Times New Roman" w:hAnsi="Times New Roman"/>
              </w:rPr>
              <w:t>类比</w:t>
            </w:r>
          </w:p>
        </w:tc>
        <w:tc>
          <w:tcPr>
            <w:tcW w:w="1418" w:type="dxa"/>
            <w:tcBorders>
              <w:tl2br w:val="nil"/>
              <w:tr2bl w:val="nil"/>
            </w:tcBorders>
          </w:tcPr>
          <w:p w:rsidR="00525419" w:rsidRDefault="00EE1CF7">
            <w:pPr>
              <w:spacing w:line="240" w:lineRule="atLeast"/>
              <w:rPr>
                <w:rFonts w:ascii="Times New Roman" w:hAnsi="Times New Roman"/>
              </w:rPr>
            </w:pPr>
            <w:r>
              <w:rPr>
                <w:rFonts w:ascii="Times New Roman" w:hAnsi="Times New Roman"/>
              </w:rPr>
              <w:t>1</w:t>
            </w:r>
          </w:p>
        </w:tc>
        <w:tc>
          <w:tcPr>
            <w:tcW w:w="567" w:type="dxa"/>
            <w:tcBorders>
              <w:tl2br w:val="nil"/>
              <w:tr2bl w:val="nil"/>
            </w:tcBorders>
          </w:tcPr>
          <w:p w:rsidR="00525419" w:rsidRDefault="00EE1CF7">
            <w:pPr>
              <w:spacing w:line="240" w:lineRule="atLeast"/>
              <w:rPr>
                <w:rFonts w:ascii="Times New Roman" w:hAnsi="Times New Roman"/>
              </w:rPr>
            </w:pPr>
            <w:r>
              <w:rPr>
                <w:rFonts w:ascii="Times New Roman" w:hAnsi="Times New Roman"/>
                <w:sz w:val="22"/>
              </w:rPr>
              <w:t>暂存</w:t>
            </w:r>
          </w:p>
        </w:tc>
        <w:tc>
          <w:tcPr>
            <w:tcW w:w="832" w:type="dxa"/>
            <w:tcBorders>
              <w:tl2br w:val="nil"/>
              <w:tr2bl w:val="nil"/>
            </w:tcBorders>
          </w:tcPr>
          <w:p w:rsidR="00525419" w:rsidRDefault="00EE1CF7">
            <w:pPr>
              <w:spacing w:line="240" w:lineRule="atLeast"/>
              <w:rPr>
                <w:rFonts w:ascii="Times New Roman" w:hAnsi="Times New Roman"/>
              </w:rPr>
            </w:pPr>
            <w:r>
              <w:rPr>
                <w:rFonts w:ascii="Times New Roman" w:hAnsi="Times New Roman"/>
              </w:rPr>
              <w:t>1</w:t>
            </w:r>
          </w:p>
        </w:tc>
        <w:tc>
          <w:tcPr>
            <w:tcW w:w="1037" w:type="dxa"/>
            <w:vMerge/>
            <w:tcBorders>
              <w:tl2br w:val="nil"/>
              <w:tr2bl w:val="nil"/>
            </w:tcBorders>
          </w:tcPr>
          <w:p w:rsidR="00525419" w:rsidRDefault="00525419">
            <w:pPr>
              <w:spacing w:line="240" w:lineRule="atLeast"/>
              <w:rPr>
                <w:rFonts w:ascii="Times New Roman" w:hAnsi="Times New Roman"/>
                <w:kern w:val="0"/>
                <w:szCs w:val="21"/>
              </w:rPr>
            </w:pPr>
          </w:p>
        </w:tc>
      </w:tr>
    </w:tbl>
    <w:p w:rsidR="00525419" w:rsidRDefault="00525419">
      <w:pPr>
        <w:pStyle w:val="3a"/>
        <w:spacing w:beforeLines="50" w:before="159" w:after="156" w:line="360" w:lineRule="auto"/>
        <w:jc w:val="left"/>
        <w:rPr>
          <w:rFonts w:ascii="Times New Roman" w:eastAsia="华文楷体" w:hAnsi="Times New Roman"/>
        </w:rPr>
        <w:sectPr w:rsidR="00525419">
          <w:pgSz w:w="16838" w:h="11906" w:orient="landscape"/>
          <w:pgMar w:top="1803" w:right="1440" w:bottom="1803" w:left="1440" w:header="851" w:footer="992" w:gutter="0"/>
          <w:cols w:space="0"/>
          <w:docGrid w:type="lines" w:linePitch="319"/>
        </w:sectPr>
      </w:pPr>
    </w:p>
    <w:p w:rsidR="00525419" w:rsidRDefault="00EE1CF7">
      <w:pPr>
        <w:pStyle w:val="3a"/>
        <w:spacing w:beforeLines="50" w:before="159" w:after="156" w:line="360" w:lineRule="auto"/>
        <w:jc w:val="left"/>
        <w:rPr>
          <w:rFonts w:ascii="Times New Roman" w:eastAsia="华文楷体" w:hAnsi="Times New Roman"/>
        </w:rPr>
      </w:pPr>
      <w:r>
        <w:rPr>
          <w:rFonts w:ascii="Times New Roman" w:eastAsia="华文楷体" w:hAnsi="Times New Roman"/>
        </w:rPr>
        <w:lastRenderedPageBreak/>
        <w:t>3.7.4</w:t>
      </w:r>
      <w:r>
        <w:rPr>
          <w:rFonts w:ascii="Times New Roman" w:eastAsia="华文楷体" w:hAnsi="Times New Roman"/>
        </w:rPr>
        <w:t>噪声</w:t>
      </w:r>
    </w:p>
    <w:p w:rsidR="00525419" w:rsidRDefault="00EE1CF7">
      <w:pPr>
        <w:spacing w:line="360" w:lineRule="auto"/>
        <w:ind w:firstLineChars="200" w:firstLine="480"/>
        <w:rPr>
          <w:rFonts w:ascii="Times New Roman" w:eastAsia="黑体" w:hAnsi="Times New Roman"/>
          <w:szCs w:val="21"/>
        </w:rPr>
      </w:pPr>
      <w:r>
        <w:rPr>
          <w:rFonts w:ascii="Times New Roman" w:hAnsi="Times New Roman"/>
          <w:sz w:val="24"/>
          <w:szCs w:val="24"/>
        </w:rPr>
        <w:t>本项目噪声污染源源强核算结果见表</w:t>
      </w:r>
      <w:r>
        <w:rPr>
          <w:rFonts w:ascii="Times New Roman" w:hAnsi="Times New Roman"/>
          <w:sz w:val="24"/>
          <w:szCs w:val="24"/>
        </w:rPr>
        <w:t>3.7-14</w:t>
      </w:r>
      <w:r>
        <w:rPr>
          <w:rFonts w:ascii="Times New Roman" w:hAnsi="Times New Roman"/>
          <w:sz w:val="24"/>
          <w:szCs w:val="24"/>
        </w:rPr>
        <w:t>。</w:t>
      </w:r>
    </w:p>
    <w:p w:rsidR="00525419" w:rsidRDefault="00EE1CF7">
      <w:pPr>
        <w:spacing w:line="240" w:lineRule="atLeast"/>
        <w:ind w:firstLineChars="500" w:firstLine="1050"/>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3.7-14</w:t>
      </w:r>
      <w:r>
        <w:rPr>
          <w:rFonts w:ascii="Times New Roman" w:eastAsia="黑体" w:hAnsi="Times New Roman"/>
          <w:szCs w:val="21"/>
        </w:rPr>
        <w:t xml:space="preserve">　　噪声污染源源强核算结果及相关参数一览表</w:t>
      </w:r>
    </w:p>
    <w:tbl>
      <w:tblPr>
        <w:tblW w:w="85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55"/>
        <w:gridCol w:w="1075"/>
        <w:gridCol w:w="900"/>
        <w:gridCol w:w="818"/>
        <w:gridCol w:w="1053"/>
        <w:gridCol w:w="1912"/>
        <w:gridCol w:w="1051"/>
        <w:gridCol w:w="1249"/>
      </w:tblGrid>
      <w:tr w:rsidR="00525419">
        <w:trPr>
          <w:trHeight w:val="209"/>
        </w:trPr>
        <w:tc>
          <w:tcPr>
            <w:tcW w:w="455" w:type="dxa"/>
            <w:vMerge w:val="restart"/>
            <w:tcBorders>
              <w:tl2br w:val="nil"/>
              <w:tr2bl w:val="nil"/>
            </w:tcBorders>
          </w:tcPr>
          <w:p w:rsidR="00525419" w:rsidRDefault="00EE1CF7">
            <w:pPr>
              <w:rPr>
                <w:rFonts w:ascii="Times New Roman" w:hAnsi="Times New Roman"/>
              </w:rPr>
            </w:pPr>
            <w:r>
              <w:rPr>
                <w:rFonts w:ascii="Times New Roman" w:hAnsi="Times New Roman"/>
              </w:rPr>
              <w:t>序号</w:t>
            </w:r>
          </w:p>
        </w:tc>
        <w:tc>
          <w:tcPr>
            <w:tcW w:w="1075" w:type="dxa"/>
            <w:vMerge w:val="restart"/>
            <w:tcBorders>
              <w:tl2br w:val="nil"/>
              <w:tr2bl w:val="nil"/>
            </w:tcBorders>
          </w:tcPr>
          <w:p w:rsidR="00525419" w:rsidRDefault="00EE1CF7">
            <w:pPr>
              <w:rPr>
                <w:rFonts w:ascii="Times New Roman" w:hAnsi="Times New Roman"/>
              </w:rPr>
            </w:pPr>
            <w:r>
              <w:rPr>
                <w:rFonts w:ascii="Times New Roman" w:hAnsi="Times New Roman"/>
              </w:rPr>
              <w:t>噪声源</w:t>
            </w:r>
          </w:p>
        </w:tc>
        <w:tc>
          <w:tcPr>
            <w:tcW w:w="900" w:type="dxa"/>
            <w:vMerge w:val="restart"/>
            <w:tcBorders>
              <w:tl2br w:val="nil"/>
              <w:tr2bl w:val="nil"/>
            </w:tcBorders>
          </w:tcPr>
          <w:p w:rsidR="00525419" w:rsidRDefault="00EE1CF7">
            <w:pPr>
              <w:rPr>
                <w:rFonts w:ascii="Times New Roman" w:hAnsi="Times New Roman"/>
              </w:rPr>
            </w:pPr>
            <w:r>
              <w:rPr>
                <w:rFonts w:ascii="Times New Roman" w:hAnsi="Times New Roman"/>
              </w:rPr>
              <w:t>声源类型（偶发、频发）</w:t>
            </w:r>
          </w:p>
        </w:tc>
        <w:tc>
          <w:tcPr>
            <w:tcW w:w="1871" w:type="dxa"/>
            <w:gridSpan w:val="2"/>
            <w:tcBorders>
              <w:tl2br w:val="nil"/>
              <w:tr2bl w:val="nil"/>
            </w:tcBorders>
          </w:tcPr>
          <w:p w:rsidR="00525419" w:rsidRDefault="00EE1CF7">
            <w:pPr>
              <w:rPr>
                <w:rFonts w:ascii="Times New Roman" w:hAnsi="Times New Roman"/>
              </w:rPr>
            </w:pPr>
            <w:r>
              <w:rPr>
                <w:rFonts w:ascii="Times New Roman" w:hAnsi="Times New Roman"/>
              </w:rPr>
              <w:t>噪声产生量</w:t>
            </w:r>
          </w:p>
        </w:tc>
        <w:tc>
          <w:tcPr>
            <w:tcW w:w="2963" w:type="dxa"/>
            <w:gridSpan w:val="2"/>
            <w:tcBorders>
              <w:tl2br w:val="nil"/>
              <w:tr2bl w:val="nil"/>
            </w:tcBorders>
          </w:tcPr>
          <w:p w:rsidR="00525419" w:rsidRDefault="00EE1CF7">
            <w:pPr>
              <w:rPr>
                <w:rFonts w:ascii="Times New Roman" w:hAnsi="Times New Roman"/>
              </w:rPr>
            </w:pPr>
            <w:r>
              <w:rPr>
                <w:rFonts w:ascii="Times New Roman" w:hAnsi="Times New Roman"/>
              </w:rPr>
              <w:t>降噪措施</w:t>
            </w:r>
          </w:p>
        </w:tc>
        <w:tc>
          <w:tcPr>
            <w:tcW w:w="1249" w:type="dxa"/>
            <w:tcBorders>
              <w:tl2br w:val="nil"/>
              <w:tr2bl w:val="nil"/>
            </w:tcBorders>
          </w:tcPr>
          <w:p w:rsidR="00525419" w:rsidRDefault="00EE1CF7">
            <w:pPr>
              <w:rPr>
                <w:rFonts w:ascii="Times New Roman" w:hAnsi="Times New Roman"/>
              </w:rPr>
            </w:pPr>
            <w:r>
              <w:rPr>
                <w:rFonts w:ascii="Times New Roman" w:hAnsi="Times New Roman"/>
              </w:rPr>
              <w:t>噪声排放量</w:t>
            </w:r>
          </w:p>
        </w:tc>
      </w:tr>
      <w:tr w:rsidR="00525419">
        <w:trPr>
          <w:trHeight w:val="310"/>
        </w:trPr>
        <w:tc>
          <w:tcPr>
            <w:tcW w:w="455" w:type="dxa"/>
            <w:vMerge/>
            <w:tcBorders>
              <w:tl2br w:val="nil"/>
              <w:tr2bl w:val="nil"/>
            </w:tcBorders>
          </w:tcPr>
          <w:p w:rsidR="00525419" w:rsidRDefault="00525419">
            <w:pPr>
              <w:rPr>
                <w:rFonts w:ascii="Times New Roman" w:hAnsi="Times New Roman"/>
              </w:rPr>
            </w:pPr>
          </w:p>
        </w:tc>
        <w:tc>
          <w:tcPr>
            <w:tcW w:w="1075" w:type="dxa"/>
            <w:vMerge/>
            <w:tcBorders>
              <w:tl2br w:val="nil"/>
              <w:tr2bl w:val="nil"/>
            </w:tcBorders>
          </w:tcPr>
          <w:p w:rsidR="00525419" w:rsidRDefault="00525419">
            <w:pPr>
              <w:rPr>
                <w:rFonts w:ascii="Times New Roman" w:hAnsi="Times New Roman"/>
              </w:rPr>
            </w:pPr>
          </w:p>
        </w:tc>
        <w:tc>
          <w:tcPr>
            <w:tcW w:w="900" w:type="dxa"/>
            <w:vMerge/>
            <w:tcBorders>
              <w:tl2br w:val="nil"/>
              <w:tr2bl w:val="nil"/>
            </w:tcBorders>
          </w:tcPr>
          <w:p w:rsidR="00525419" w:rsidRDefault="00525419">
            <w:pPr>
              <w:rPr>
                <w:rFonts w:ascii="Times New Roman" w:hAnsi="Times New Roman"/>
              </w:rPr>
            </w:pPr>
          </w:p>
        </w:tc>
        <w:tc>
          <w:tcPr>
            <w:tcW w:w="818" w:type="dxa"/>
            <w:tcBorders>
              <w:tl2br w:val="nil"/>
              <w:tr2bl w:val="nil"/>
            </w:tcBorders>
          </w:tcPr>
          <w:p w:rsidR="00525419" w:rsidRDefault="00EE1CF7">
            <w:pPr>
              <w:rPr>
                <w:rFonts w:ascii="Times New Roman" w:hAnsi="Times New Roman"/>
              </w:rPr>
            </w:pPr>
            <w:r>
              <w:rPr>
                <w:rFonts w:ascii="Times New Roman" w:hAnsi="Times New Roman"/>
              </w:rPr>
              <w:t>核算方法</w:t>
            </w:r>
          </w:p>
        </w:tc>
        <w:tc>
          <w:tcPr>
            <w:tcW w:w="1053" w:type="dxa"/>
            <w:tcBorders>
              <w:tl2br w:val="nil"/>
              <w:tr2bl w:val="nil"/>
            </w:tcBorders>
          </w:tcPr>
          <w:p w:rsidR="00525419" w:rsidRDefault="00EE1CF7">
            <w:pPr>
              <w:rPr>
                <w:rFonts w:ascii="Times New Roman" w:hAnsi="Times New Roman"/>
              </w:rPr>
            </w:pPr>
            <w:r>
              <w:rPr>
                <w:rFonts w:ascii="Times New Roman" w:hAnsi="Times New Roman"/>
              </w:rPr>
              <w:t>声源表达量</w:t>
            </w:r>
            <w:r>
              <w:rPr>
                <w:rFonts w:ascii="Times New Roman" w:hAnsi="Times New Roman"/>
                <w:szCs w:val="21"/>
              </w:rPr>
              <w:t>dB(A)</w:t>
            </w:r>
          </w:p>
        </w:tc>
        <w:tc>
          <w:tcPr>
            <w:tcW w:w="1912" w:type="dxa"/>
            <w:tcBorders>
              <w:tl2br w:val="nil"/>
              <w:tr2bl w:val="nil"/>
            </w:tcBorders>
          </w:tcPr>
          <w:p w:rsidR="00525419" w:rsidRDefault="00EE1CF7">
            <w:pPr>
              <w:rPr>
                <w:rFonts w:ascii="Times New Roman" w:hAnsi="Times New Roman"/>
              </w:rPr>
            </w:pPr>
            <w:r>
              <w:rPr>
                <w:rFonts w:ascii="Times New Roman" w:hAnsi="Times New Roman"/>
              </w:rPr>
              <w:t>工艺</w:t>
            </w:r>
          </w:p>
        </w:tc>
        <w:tc>
          <w:tcPr>
            <w:tcW w:w="1051" w:type="dxa"/>
            <w:tcBorders>
              <w:tl2br w:val="nil"/>
              <w:tr2bl w:val="nil"/>
            </w:tcBorders>
          </w:tcPr>
          <w:p w:rsidR="00525419" w:rsidRDefault="00EE1CF7">
            <w:pPr>
              <w:rPr>
                <w:rFonts w:ascii="Times New Roman" w:hAnsi="Times New Roman"/>
              </w:rPr>
            </w:pPr>
            <w:r>
              <w:rPr>
                <w:rFonts w:ascii="Times New Roman" w:hAnsi="Times New Roman"/>
              </w:rPr>
              <w:t>降噪效果</w:t>
            </w:r>
            <w:r>
              <w:rPr>
                <w:rFonts w:ascii="Times New Roman" w:hAnsi="Times New Roman"/>
                <w:szCs w:val="21"/>
              </w:rPr>
              <w:t>dB(A)</w:t>
            </w:r>
          </w:p>
        </w:tc>
        <w:tc>
          <w:tcPr>
            <w:tcW w:w="1249" w:type="dxa"/>
            <w:tcBorders>
              <w:tl2br w:val="nil"/>
              <w:tr2bl w:val="nil"/>
            </w:tcBorders>
          </w:tcPr>
          <w:p w:rsidR="00525419" w:rsidRDefault="00EE1CF7">
            <w:pPr>
              <w:rPr>
                <w:rFonts w:ascii="Times New Roman" w:hAnsi="Times New Roman"/>
              </w:rPr>
            </w:pPr>
            <w:r>
              <w:rPr>
                <w:rFonts w:ascii="Times New Roman" w:hAnsi="Times New Roman"/>
              </w:rPr>
              <w:t>声源表达量</w:t>
            </w:r>
            <w:r>
              <w:rPr>
                <w:rFonts w:ascii="Times New Roman" w:hAnsi="Times New Roman"/>
                <w:szCs w:val="21"/>
              </w:rPr>
              <w:t>dB(A)</w:t>
            </w:r>
          </w:p>
        </w:tc>
      </w:tr>
      <w:tr w:rsidR="00525419">
        <w:trPr>
          <w:trHeight w:val="261"/>
        </w:trPr>
        <w:tc>
          <w:tcPr>
            <w:tcW w:w="455" w:type="dxa"/>
            <w:tcBorders>
              <w:tl2br w:val="nil"/>
              <w:tr2bl w:val="nil"/>
            </w:tcBorders>
          </w:tcPr>
          <w:p w:rsidR="00525419" w:rsidRDefault="00EE1CF7">
            <w:pPr>
              <w:rPr>
                <w:rFonts w:ascii="Times New Roman" w:hAnsi="Times New Roman"/>
              </w:rPr>
            </w:pPr>
            <w:r>
              <w:rPr>
                <w:rFonts w:ascii="Times New Roman" w:hAnsi="Times New Roman"/>
              </w:rPr>
              <w:t>1</w:t>
            </w:r>
          </w:p>
        </w:tc>
        <w:tc>
          <w:tcPr>
            <w:tcW w:w="1075" w:type="dxa"/>
            <w:tcBorders>
              <w:tl2br w:val="nil"/>
              <w:tr2bl w:val="nil"/>
            </w:tcBorders>
          </w:tcPr>
          <w:p w:rsidR="00525419" w:rsidRDefault="00EE1CF7">
            <w:pPr>
              <w:rPr>
                <w:rFonts w:ascii="Times New Roman" w:hAnsi="Times New Roman"/>
              </w:rPr>
            </w:pPr>
            <w:r>
              <w:rPr>
                <w:rFonts w:ascii="Times New Roman" w:hAnsi="Times New Roman" w:hint="eastAsia"/>
              </w:rPr>
              <w:t>制氢转化炉</w:t>
            </w:r>
          </w:p>
        </w:tc>
        <w:tc>
          <w:tcPr>
            <w:tcW w:w="900" w:type="dxa"/>
            <w:tcBorders>
              <w:tl2br w:val="nil"/>
              <w:tr2bl w:val="nil"/>
            </w:tcBorders>
          </w:tcPr>
          <w:p w:rsidR="00525419" w:rsidRDefault="00EE1CF7">
            <w:pPr>
              <w:rPr>
                <w:rFonts w:ascii="Times New Roman" w:hAnsi="Times New Roman"/>
              </w:rPr>
            </w:pPr>
            <w:r>
              <w:rPr>
                <w:rFonts w:ascii="Times New Roman" w:hAnsi="Times New Roman"/>
              </w:rPr>
              <w:t>频发</w:t>
            </w:r>
          </w:p>
        </w:tc>
        <w:tc>
          <w:tcPr>
            <w:tcW w:w="818" w:type="dxa"/>
            <w:tcBorders>
              <w:tl2br w:val="nil"/>
              <w:tr2bl w:val="nil"/>
            </w:tcBorders>
          </w:tcPr>
          <w:p w:rsidR="00525419" w:rsidRDefault="00EE1CF7">
            <w:pPr>
              <w:rPr>
                <w:rFonts w:ascii="Times New Roman" w:hAnsi="Times New Roman"/>
              </w:rPr>
            </w:pPr>
            <w:r>
              <w:rPr>
                <w:rFonts w:ascii="Times New Roman" w:hAnsi="Times New Roman"/>
              </w:rPr>
              <w:t>类比</w:t>
            </w:r>
          </w:p>
        </w:tc>
        <w:tc>
          <w:tcPr>
            <w:tcW w:w="1053" w:type="dxa"/>
            <w:tcBorders>
              <w:tl2br w:val="nil"/>
              <w:tr2bl w:val="nil"/>
            </w:tcBorders>
          </w:tcPr>
          <w:p w:rsidR="00525419" w:rsidRDefault="00EE1CF7">
            <w:pPr>
              <w:rPr>
                <w:rFonts w:ascii="Times New Roman" w:hAnsi="Times New Roman"/>
              </w:rPr>
            </w:pPr>
            <w:r>
              <w:rPr>
                <w:rFonts w:ascii="Times New Roman" w:hAnsi="Times New Roman"/>
              </w:rPr>
              <w:t>90-100</w:t>
            </w:r>
          </w:p>
        </w:tc>
        <w:tc>
          <w:tcPr>
            <w:tcW w:w="1912" w:type="dxa"/>
            <w:tcBorders>
              <w:tl2br w:val="nil"/>
              <w:tr2bl w:val="nil"/>
            </w:tcBorders>
          </w:tcPr>
          <w:p w:rsidR="00525419" w:rsidRDefault="00EE1CF7">
            <w:pPr>
              <w:rPr>
                <w:rFonts w:ascii="Times New Roman" w:hAnsi="Times New Roman"/>
              </w:rPr>
            </w:pPr>
            <w:r>
              <w:rPr>
                <w:rFonts w:ascii="Times New Roman" w:hAnsi="Times New Roman"/>
              </w:rPr>
              <w:t>减振及</w:t>
            </w:r>
            <w:r>
              <w:rPr>
                <w:rFonts w:ascii="Times New Roman" w:hAnsi="Times New Roman"/>
                <w:kern w:val="0"/>
                <w:szCs w:val="21"/>
              </w:rPr>
              <w:t>低噪声火嘴</w:t>
            </w:r>
          </w:p>
        </w:tc>
        <w:tc>
          <w:tcPr>
            <w:tcW w:w="1051" w:type="dxa"/>
            <w:tcBorders>
              <w:tl2br w:val="nil"/>
              <w:tr2bl w:val="nil"/>
            </w:tcBorders>
          </w:tcPr>
          <w:p w:rsidR="00525419" w:rsidRDefault="00EE1CF7">
            <w:pPr>
              <w:rPr>
                <w:rFonts w:ascii="Times New Roman" w:hAnsi="Times New Roman"/>
              </w:rPr>
            </w:pPr>
            <w:r>
              <w:rPr>
                <w:rFonts w:ascii="Times New Roman" w:hAnsi="Times New Roman"/>
              </w:rPr>
              <w:t>15</w:t>
            </w:r>
          </w:p>
        </w:tc>
        <w:tc>
          <w:tcPr>
            <w:tcW w:w="1249" w:type="dxa"/>
            <w:tcBorders>
              <w:tl2br w:val="nil"/>
              <w:tr2bl w:val="nil"/>
            </w:tcBorders>
          </w:tcPr>
          <w:p w:rsidR="00525419" w:rsidRDefault="00EE1CF7">
            <w:pPr>
              <w:rPr>
                <w:rFonts w:ascii="Times New Roman" w:hAnsi="Times New Roman"/>
              </w:rPr>
            </w:pPr>
            <w:r>
              <w:rPr>
                <w:rFonts w:ascii="Times New Roman" w:hAnsi="Times New Roman"/>
                <w:kern w:val="0"/>
                <w:szCs w:val="21"/>
              </w:rPr>
              <w:t>＜</w:t>
            </w:r>
            <w:r>
              <w:rPr>
                <w:rFonts w:ascii="Times New Roman" w:hAnsi="Times New Roman"/>
                <w:kern w:val="0"/>
                <w:szCs w:val="21"/>
              </w:rPr>
              <w:t>85</w:t>
            </w:r>
          </w:p>
        </w:tc>
      </w:tr>
      <w:tr w:rsidR="00525419">
        <w:trPr>
          <w:trHeight w:val="301"/>
        </w:trPr>
        <w:tc>
          <w:tcPr>
            <w:tcW w:w="455" w:type="dxa"/>
            <w:tcBorders>
              <w:tl2br w:val="nil"/>
              <w:tr2bl w:val="nil"/>
            </w:tcBorders>
          </w:tcPr>
          <w:p w:rsidR="00525419" w:rsidRDefault="00EE1CF7">
            <w:pPr>
              <w:rPr>
                <w:rFonts w:ascii="Times New Roman" w:hAnsi="Times New Roman"/>
              </w:rPr>
            </w:pPr>
            <w:r>
              <w:rPr>
                <w:rFonts w:ascii="Times New Roman" w:hAnsi="Times New Roman"/>
              </w:rPr>
              <w:t>2</w:t>
            </w:r>
          </w:p>
        </w:tc>
        <w:tc>
          <w:tcPr>
            <w:tcW w:w="1075" w:type="dxa"/>
            <w:tcBorders>
              <w:tl2br w:val="nil"/>
              <w:tr2bl w:val="nil"/>
            </w:tcBorders>
          </w:tcPr>
          <w:p w:rsidR="00525419" w:rsidRDefault="00EE1CF7">
            <w:pPr>
              <w:rPr>
                <w:rFonts w:ascii="Times New Roman" w:hAnsi="Times New Roman"/>
              </w:rPr>
            </w:pPr>
            <w:r>
              <w:rPr>
                <w:rFonts w:ascii="Times New Roman" w:hAnsi="Times New Roman"/>
              </w:rPr>
              <w:t>空冷器</w:t>
            </w:r>
          </w:p>
        </w:tc>
        <w:tc>
          <w:tcPr>
            <w:tcW w:w="900" w:type="dxa"/>
            <w:tcBorders>
              <w:tl2br w:val="nil"/>
              <w:tr2bl w:val="nil"/>
            </w:tcBorders>
          </w:tcPr>
          <w:p w:rsidR="00525419" w:rsidRDefault="00EE1CF7">
            <w:pPr>
              <w:rPr>
                <w:rFonts w:ascii="Times New Roman" w:hAnsi="Times New Roman"/>
              </w:rPr>
            </w:pPr>
            <w:r>
              <w:rPr>
                <w:rFonts w:ascii="Times New Roman" w:hAnsi="Times New Roman"/>
              </w:rPr>
              <w:t>频发</w:t>
            </w:r>
          </w:p>
        </w:tc>
        <w:tc>
          <w:tcPr>
            <w:tcW w:w="818" w:type="dxa"/>
            <w:tcBorders>
              <w:tl2br w:val="nil"/>
              <w:tr2bl w:val="nil"/>
            </w:tcBorders>
          </w:tcPr>
          <w:p w:rsidR="00525419" w:rsidRDefault="00EE1CF7">
            <w:pPr>
              <w:rPr>
                <w:rFonts w:ascii="Times New Roman" w:hAnsi="Times New Roman"/>
              </w:rPr>
            </w:pPr>
            <w:r>
              <w:rPr>
                <w:rFonts w:ascii="Times New Roman" w:hAnsi="Times New Roman"/>
              </w:rPr>
              <w:t>类比</w:t>
            </w:r>
          </w:p>
        </w:tc>
        <w:tc>
          <w:tcPr>
            <w:tcW w:w="1053" w:type="dxa"/>
            <w:tcBorders>
              <w:tl2br w:val="nil"/>
              <w:tr2bl w:val="nil"/>
            </w:tcBorders>
          </w:tcPr>
          <w:p w:rsidR="00525419" w:rsidRDefault="00EE1CF7">
            <w:pPr>
              <w:rPr>
                <w:rFonts w:ascii="Times New Roman" w:hAnsi="Times New Roman"/>
              </w:rPr>
            </w:pPr>
            <w:r>
              <w:rPr>
                <w:rFonts w:ascii="Times New Roman" w:hAnsi="Times New Roman"/>
              </w:rPr>
              <w:t>85-95</w:t>
            </w:r>
          </w:p>
        </w:tc>
        <w:tc>
          <w:tcPr>
            <w:tcW w:w="1912" w:type="dxa"/>
            <w:tcBorders>
              <w:tl2br w:val="nil"/>
              <w:tr2bl w:val="nil"/>
            </w:tcBorders>
          </w:tcPr>
          <w:p w:rsidR="00525419" w:rsidRDefault="00EE1CF7">
            <w:pPr>
              <w:rPr>
                <w:rFonts w:ascii="Times New Roman" w:hAnsi="Times New Roman"/>
              </w:rPr>
            </w:pPr>
            <w:r>
              <w:rPr>
                <w:rFonts w:ascii="Times New Roman" w:hAnsi="Times New Roman"/>
                <w:szCs w:val="21"/>
              </w:rPr>
              <w:t>消声器</w:t>
            </w:r>
          </w:p>
        </w:tc>
        <w:tc>
          <w:tcPr>
            <w:tcW w:w="1051" w:type="dxa"/>
            <w:tcBorders>
              <w:tl2br w:val="nil"/>
              <w:tr2bl w:val="nil"/>
            </w:tcBorders>
          </w:tcPr>
          <w:p w:rsidR="00525419" w:rsidRDefault="00EE1CF7">
            <w:pPr>
              <w:rPr>
                <w:rFonts w:ascii="Times New Roman" w:hAnsi="Times New Roman"/>
              </w:rPr>
            </w:pPr>
            <w:r>
              <w:rPr>
                <w:rFonts w:ascii="Times New Roman" w:hAnsi="Times New Roman"/>
              </w:rPr>
              <w:t>10</w:t>
            </w:r>
          </w:p>
        </w:tc>
        <w:tc>
          <w:tcPr>
            <w:tcW w:w="1249" w:type="dxa"/>
            <w:tcBorders>
              <w:tl2br w:val="nil"/>
              <w:tr2bl w:val="nil"/>
            </w:tcBorders>
          </w:tcPr>
          <w:p w:rsidR="00525419" w:rsidRDefault="00EE1CF7">
            <w:pPr>
              <w:rPr>
                <w:rFonts w:ascii="Times New Roman" w:hAnsi="Times New Roman"/>
              </w:rPr>
            </w:pPr>
            <w:r>
              <w:rPr>
                <w:rFonts w:ascii="Times New Roman" w:hAnsi="Times New Roman"/>
                <w:kern w:val="0"/>
                <w:szCs w:val="21"/>
              </w:rPr>
              <w:t>＜</w:t>
            </w:r>
            <w:r>
              <w:rPr>
                <w:rFonts w:ascii="Times New Roman" w:hAnsi="Times New Roman"/>
                <w:kern w:val="0"/>
                <w:szCs w:val="21"/>
              </w:rPr>
              <w:t>85</w:t>
            </w:r>
          </w:p>
        </w:tc>
      </w:tr>
      <w:tr w:rsidR="00525419">
        <w:trPr>
          <w:trHeight w:val="468"/>
        </w:trPr>
        <w:tc>
          <w:tcPr>
            <w:tcW w:w="455" w:type="dxa"/>
            <w:tcBorders>
              <w:tl2br w:val="nil"/>
              <w:tr2bl w:val="nil"/>
            </w:tcBorders>
          </w:tcPr>
          <w:p w:rsidR="00525419" w:rsidRDefault="00EE1CF7">
            <w:pPr>
              <w:rPr>
                <w:rFonts w:ascii="Times New Roman" w:hAnsi="Times New Roman"/>
              </w:rPr>
            </w:pPr>
            <w:r>
              <w:rPr>
                <w:rFonts w:ascii="Times New Roman" w:hAnsi="Times New Roman"/>
              </w:rPr>
              <w:t>3</w:t>
            </w:r>
          </w:p>
        </w:tc>
        <w:tc>
          <w:tcPr>
            <w:tcW w:w="1075" w:type="dxa"/>
            <w:tcBorders>
              <w:tl2br w:val="nil"/>
              <w:tr2bl w:val="nil"/>
            </w:tcBorders>
          </w:tcPr>
          <w:p w:rsidR="00525419" w:rsidRDefault="00EE1CF7">
            <w:pPr>
              <w:rPr>
                <w:rFonts w:ascii="Times New Roman" w:hAnsi="Times New Roman"/>
              </w:rPr>
            </w:pPr>
            <w:r>
              <w:rPr>
                <w:rFonts w:ascii="Times New Roman" w:hAnsi="Times New Roman"/>
                <w:szCs w:val="21"/>
              </w:rPr>
              <w:t>机泵</w:t>
            </w:r>
          </w:p>
        </w:tc>
        <w:tc>
          <w:tcPr>
            <w:tcW w:w="900" w:type="dxa"/>
            <w:tcBorders>
              <w:tl2br w:val="nil"/>
              <w:tr2bl w:val="nil"/>
            </w:tcBorders>
          </w:tcPr>
          <w:p w:rsidR="00525419" w:rsidRDefault="00EE1CF7">
            <w:pPr>
              <w:rPr>
                <w:rFonts w:ascii="Times New Roman" w:hAnsi="Times New Roman"/>
              </w:rPr>
            </w:pPr>
            <w:r>
              <w:rPr>
                <w:rFonts w:ascii="Times New Roman" w:hAnsi="Times New Roman"/>
              </w:rPr>
              <w:t>频发</w:t>
            </w:r>
          </w:p>
        </w:tc>
        <w:tc>
          <w:tcPr>
            <w:tcW w:w="818" w:type="dxa"/>
            <w:tcBorders>
              <w:tl2br w:val="nil"/>
              <w:tr2bl w:val="nil"/>
            </w:tcBorders>
          </w:tcPr>
          <w:p w:rsidR="00525419" w:rsidRDefault="00EE1CF7">
            <w:pPr>
              <w:rPr>
                <w:rFonts w:ascii="Times New Roman" w:hAnsi="Times New Roman"/>
              </w:rPr>
            </w:pPr>
            <w:r>
              <w:rPr>
                <w:rFonts w:ascii="Times New Roman" w:hAnsi="Times New Roman"/>
              </w:rPr>
              <w:t>类比</w:t>
            </w:r>
          </w:p>
        </w:tc>
        <w:tc>
          <w:tcPr>
            <w:tcW w:w="1053" w:type="dxa"/>
            <w:tcBorders>
              <w:tl2br w:val="nil"/>
              <w:tr2bl w:val="nil"/>
            </w:tcBorders>
          </w:tcPr>
          <w:p w:rsidR="00525419" w:rsidRDefault="00EE1CF7">
            <w:pPr>
              <w:rPr>
                <w:rFonts w:ascii="Times New Roman" w:hAnsi="Times New Roman"/>
              </w:rPr>
            </w:pPr>
            <w:r>
              <w:rPr>
                <w:rFonts w:ascii="Times New Roman" w:hAnsi="Times New Roman"/>
              </w:rPr>
              <w:t>85-95</w:t>
            </w:r>
          </w:p>
        </w:tc>
        <w:tc>
          <w:tcPr>
            <w:tcW w:w="1912" w:type="dxa"/>
            <w:tcBorders>
              <w:tl2br w:val="nil"/>
              <w:tr2bl w:val="nil"/>
            </w:tcBorders>
          </w:tcPr>
          <w:p w:rsidR="00525419" w:rsidRDefault="00EE1CF7">
            <w:pPr>
              <w:rPr>
                <w:rFonts w:ascii="Times New Roman" w:hAnsi="Times New Roman"/>
              </w:rPr>
            </w:pPr>
            <w:r>
              <w:rPr>
                <w:rFonts w:ascii="Times New Roman" w:hAnsi="Times New Roman"/>
                <w:szCs w:val="21"/>
              </w:rPr>
              <w:t>减振、隔声罩</w:t>
            </w:r>
          </w:p>
        </w:tc>
        <w:tc>
          <w:tcPr>
            <w:tcW w:w="1051" w:type="dxa"/>
            <w:tcBorders>
              <w:tl2br w:val="nil"/>
              <w:tr2bl w:val="nil"/>
            </w:tcBorders>
          </w:tcPr>
          <w:p w:rsidR="00525419" w:rsidRDefault="00EE1CF7">
            <w:pPr>
              <w:rPr>
                <w:rFonts w:ascii="Times New Roman" w:hAnsi="Times New Roman"/>
              </w:rPr>
            </w:pPr>
            <w:r>
              <w:rPr>
                <w:rFonts w:ascii="Times New Roman" w:hAnsi="Times New Roman"/>
              </w:rPr>
              <w:t>15</w:t>
            </w:r>
          </w:p>
        </w:tc>
        <w:tc>
          <w:tcPr>
            <w:tcW w:w="1249" w:type="dxa"/>
            <w:tcBorders>
              <w:tl2br w:val="nil"/>
              <w:tr2bl w:val="nil"/>
            </w:tcBorders>
          </w:tcPr>
          <w:p w:rsidR="00525419" w:rsidRDefault="00EE1CF7">
            <w:pPr>
              <w:rPr>
                <w:rFonts w:ascii="Times New Roman" w:hAnsi="Times New Roman"/>
              </w:rPr>
            </w:pPr>
            <w:r>
              <w:rPr>
                <w:rFonts w:ascii="Times New Roman" w:hAnsi="Times New Roman"/>
                <w:kern w:val="0"/>
                <w:szCs w:val="21"/>
              </w:rPr>
              <w:t>＜</w:t>
            </w:r>
            <w:r>
              <w:rPr>
                <w:rFonts w:ascii="Times New Roman" w:hAnsi="Times New Roman"/>
                <w:kern w:val="0"/>
                <w:szCs w:val="21"/>
              </w:rPr>
              <w:t>85</w:t>
            </w:r>
          </w:p>
        </w:tc>
      </w:tr>
      <w:tr w:rsidR="00525419">
        <w:trPr>
          <w:trHeight w:val="270"/>
        </w:trPr>
        <w:tc>
          <w:tcPr>
            <w:tcW w:w="455" w:type="dxa"/>
            <w:tcBorders>
              <w:tl2br w:val="nil"/>
              <w:tr2bl w:val="nil"/>
            </w:tcBorders>
          </w:tcPr>
          <w:p w:rsidR="00525419" w:rsidRDefault="00EE1CF7">
            <w:pPr>
              <w:rPr>
                <w:rFonts w:ascii="Times New Roman" w:hAnsi="Times New Roman"/>
              </w:rPr>
            </w:pPr>
            <w:r>
              <w:rPr>
                <w:rFonts w:ascii="Times New Roman" w:hAnsi="Times New Roman"/>
              </w:rPr>
              <w:t>4</w:t>
            </w:r>
          </w:p>
        </w:tc>
        <w:tc>
          <w:tcPr>
            <w:tcW w:w="1075" w:type="dxa"/>
            <w:tcBorders>
              <w:tl2br w:val="nil"/>
              <w:tr2bl w:val="nil"/>
            </w:tcBorders>
          </w:tcPr>
          <w:p w:rsidR="00525419" w:rsidRDefault="00EE1CF7">
            <w:pPr>
              <w:rPr>
                <w:rFonts w:ascii="Times New Roman" w:hAnsi="Times New Roman"/>
              </w:rPr>
            </w:pPr>
            <w:r>
              <w:rPr>
                <w:rFonts w:ascii="Times New Roman" w:hAnsi="Times New Roman" w:hint="eastAsia"/>
              </w:rPr>
              <w:t>各种</w:t>
            </w:r>
            <w:r>
              <w:rPr>
                <w:rFonts w:ascii="Times New Roman" w:hAnsi="Times New Roman"/>
              </w:rPr>
              <w:t>加热炉</w:t>
            </w:r>
          </w:p>
        </w:tc>
        <w:tc>
          <w:tcPr>
            <w:tcW w:w="900" w:type="dxa"/>
            <w:tcBorders>
              <w:tl2br w:val="nil"/>
              <w:tr2bl w:val="nil"/>
            </w:tcBorders>
          </w:tcPr>
          <w:p w:rsidR="00525419" w:rsidRDefault="00EE1CF7">
            <w:pPr>
              <w:rPr>
                <w:rFonts w:ascii="Times New Roman" w:hAnsi="Times New Roman"/>
              </w:rPr>
            </w:pPr>
            <w:r>
              <w:rPr>
                <w:rFonts w:ascii="Times New Roman" w:hAnsi="Times New Roman"/>
              </w:rPr>
              <w:t>频发</w:t>
            </w:r>
          </w:p>
        </w:tc>
        <w:tc>
          <w:tcPr>
            <w:tcW w:w="818" w:type="dxa"/>
            <w:tcBorders>
              <w:tl2br w:val="nil"/>
              <w:tr2bl w:val="nil"/>
            </w:tcBorders>
          </w:tcPr>
          <w:p w:rsidR="00525419" w:rsidRDefault="00EE1CF7">
            <w:pPr>
              <w:rPr>
                <w:rFonts w:ascii="Times New Roman" w:hAnsi="Times New Roman"/>
              </w:rPr>
            </w:pPr>
            <w:r>
              <w:rPr>
                <w:rFonts w:ascii="Times New Roman" w:hAnsi="Times New Roman"/>
              </w:rPr>
              <w:t>类比</w:t>
            </w:r>
          </w:p>
        </w:tc>
        <w:tc>
          <w:tcPr>
            <w:tcW w:w="1053" w:type="dxa"/>
            <w:tcBorders>
              <w:tl2br w:val="nil"/>
              <w:tr2bl w:val="nil"/>
            </w:tcBorders>
          </w:tcPr>
          <w:p w:rsidR="00525419" w:rsidRDefault="00EE1CF7">
            <w:pPr>
              <w:rPr>
                <w:rFonts w:ascii="Times New Roman" w:hAnsi="Times New Roman"/>
              </w:rPr>
            </w:pPr>
            <w:r>
              <w:rPr>
                <w:rFonts w:ascii="Times New Roman" w:hAnsi="Times New Roman"/>
              </w:rPr>
              <w:t>90-100</w:t>
            </w:r>
          </w:p>
        </w:tc>
        <w:tc>
          <w:tcPr>
            <w:tcW w:w="1912" w:type="dxa"/>
            <w:tcBorders>
              <w:tl2br w:val="nil"/>
              <w:tr2bl w:val="nil"/>
            </w:tcBorders>
          </w:tcPr>
          <w:p w:rsidR="00525419" w:rsidRDefault="00EE1CF7">
            <w:pPr>
              <w:rPr>
                <w:rFonts w:ascii="Times New Roman" w:hAnsi="Times New Roman"/>
              </w:rPr>
            </w:pPr>
            <w:r>
              <w:rPr>
                <w:rFonts w:ascii="Times New Roman" w:hAnsi="Times New Roman"/>
              </w:rPr>
              <w:t>减振及</w:t>
            </w:r>
            <w:r>
              <w:rPr>
                <w:rFonts w:ascii="Times New Roman" w:hAnsi="Times New Roman"/>
                <w:kern w:val="0"/>
                <w:szCs w:val="21"/>
              </w:rPr>
              <w:t>低噪声火嘴</w:t>
            </w:r>
          </w:p>
        </w:tc>
        <w:tc>
          <w:tcPr>
            <w:tcW w:w="1051" w:type="dxa"/>
            <w:tcBorders>
              <w:tl2br w:val="nil"/>
              <w:tr2bl w:val="nil"/>
            </w:tcBorders>
          </w:tcPr>
          <w:p w:rsidR="00525419" w:rsidRDefault="00EE1CF7">
            <w:pPr>
              <w:rPr>
                <w:rFonts w:ascii="Times New Roman" w:hAnsi="Times New Roman"/>
              </w:rPr>
            </w:pPr>
            <w:r>
              <w:rPr>
                <w:rFonts w:ascii="Times New Roman" w:hAnsi="Times New Roman"/>
              </w:rPr>
              <w:t>15</w:t>
            </w:r>
          </w:p>
        </w:tc>
        <w:tc>
          <w:tcPr>
            <w:tcW w:w="1249" w:type="dxa"/>
            <w:tcBorders>
              <w:tl2br w:val="nil"/>
              <w:tr2bl w:val="nil"/>
            </w:tcBorders>
          </w:tcPr>
          <w:p w:rsidR="00525419" w:rsidRDefault="00EE1CF7">
            <w:pPr>
              <w:rPr>
                <w:rFonts w:ascii="Times New Roman" w:hAnsi="Times New Roman"/>
              </w:rPr>
            </w:pPr>
            <w:r>
              <w:rPr>
                <w:rFonts w:ascii="Times New Roman" w:hAnsi="Times New Roman"/>
                <w:kern w:val="0"/>
                <w:szCs w:val="21"/>
              </w:rPr>
              <w:t>＜</w:t>
            </w:r>
            <w:r>
              <w:rPr>
                <w:rFonts w:ascii="Times New Roman" w:hAnsi="Times New Roman"/>
                <w:kern w:val="0"/>
                <w:szCs w:val="21"/>
              </w:rPr>
              <w:t>85</w:t>
            </w:r>
          </w:p>
        </w:tc>
      </w:tr>
      <w:tr w:rsidR="00525419">
        <w:trPr>
          <w:trHeight w:val="555"/>
        </w:trPr>
        <w:tc>
          <w:tcPr>
            <w:tcW w:w="455" w:type="dxa"/>
            <w:tcBorders>
              <w:tl2br w:val="nil"/>
              <w:tr2bl w:val="nil"/>
            </w:tcBorders>
          </w:tcPr>
          <w:p w:rsidR="00525419" w:rsidRDefault="00EE1CF7">
            <w:pPr>
              <w:rPr>
                <w:rFonts w:ascii="Times New Roman" w:hAnsi="Times New Roman"/>
              </w:rPr>
            </w:pPr>
            <w:r>
              <w:rPr>
                <w:rFonts w:ascii="Times New Roman" w:hAnsi="Times New Roman"/>
              </w:rPr>
              <w:t>5</w:t>
            </w:r>
          </w:p>
        </w:tc>
        <w:tc>
          <w:tcPr>
            <w:tcW w:w="1075" w:type="dxa"/>
            <w:tcBorders>
              <w:tl2br w:val="nil"/>
              <w:tr2bl w:val="nil"/>
            </w:tcBorders>
          </w:tcPr>
          <w:p w:rsidR="00525419" w:rsidRDefault="00EE1CF7">
            <w:pPr>
              <w:rPr>
                <w:rFonts w:ascii="Times New Roman" w:hAnsi="Times New Roman"/>
                <w:szCs w:val="21"/>
              </w:rPr>
            </w:pPr>
            <w:r>
              <w:rPr>
                <w:rFonts w:ascii="Times New Roman" w:hAnsi="Times New Roman"/>
                <w:kern w:val="0"/>
                <w:szCs w:val="21"/>
              </w:rPr>
              <w:t>压缩机</w:t>
            </w:r>
          </w:p>
        </w:tc>
        <w:tc>
          <w:tcPr>
            <w:tcW w:w="900" w:type="dxa"/>
            <w:tcBorders>
              <w:tl2br w:val="nil"/>
              <w:tr2bl w:val="nil"/>
            </w:tcBorders>
          </w:tcPr>
          <w:p w:rsidR="00525419" w:rsidRDefault="00EE1CF7">
            <w:pPr>
              <w:rPr>
                <w:rFonts w:ascii="Times New Roman" w:hAnsi="Times New Roman"/>
              </w:rPr>
            </w:pPr>
            <w:r>
              <w:rPr>
                <w:rFonts w:ascii="Times New Roman" w:hAnsi="Times New Roman"/>
              </w:rPr>
              <w:t>频发</w:t>
            </w:r>
          </w:p>
        </w:tc>
        <w:tc>
          <w:tcPr>
            <w:tcW w:w="818" w:type="dxa"/>
            <w:tcBorders>
              <w:tl2br w:val="nil"/>
              <w:tr2bl w:val="nil"/>
            </w:tcBorders>
          </w:tcPr>
          <w:p w:rsidR="00525419" w:rsidRDefault="00EE1CF7">
            <w:pPr>
              <w:rPr>
                <w:rFonts w:ascii="Times New Roman" w:hAnsi="Times New Roman"/>
              </w:rPr>
            </w:pPr>
            <w:r>
              <w:rPr>
                <w:rFonts w:ascii="Times New Roman" w:hAnsi="Times New Roman"/>
              </w:rPr>
              <w:t>类比</w:t>
            </w:r>
          </w:p>
        </w:tc>
        <w:tc>
          <w:tcPr>
            <w:tcW w:w="1053" w:type="dxa"/>
            <w:tcBorders>
              <w:tl2br w:val="nil"/>
              <w:tr2bl w:val="nil"/>
            </w:tcBorders>
          </w:tcPr>
          <w:p w:rsidR="00525419" w:rsidRDefault="00EE1CF7">
            <w:pPr>
              <w:rPr>
                <w:rFonts w:ascii="Times New Roman" w:hAnsi="Times New Roman"/>
              </w:rPr>
            </w:pPr>
            <w:r>
              <w:rPr>
                <w:rFonts w:ascii="Times New Roman" w:hAnsi="Times New Roman"/>
                <w:kern w:val="0"/>
                <w:szCs w:val="21"/>
              </w:rPr>
              <w:t>95</w:t>
            </w:r>
          </w:p>
        </w:tc>
        <w:tc>
          <w:tcPr>
            <w:tcW w:w="1912" w:type="dxa"/>
            <w:tcBorders>
              <w:tl2br w:val="nil"/>
              <w:tr2bl w:val="nil"/>
            </w:tcBorders>
          </w:tcPr>
          <w:p w:rsidR="00525419" w:rsidRDefault="00EE1CF7">
            <w:pPr>
              <w:rPr>
                <w:rFonts w:ascii="Times New Roman" w:hAnsi="Times New Roman"/>
                <w:szCs w:val="21"/>
              </w:rPr>
            </w:pPr>
            <w:r>
              <w:rPr>
                <w:rFonts w:ascii="Times New Roman" w:hAnsi="Times New Roman"/>
                <w:kern w:val="0"/>
                <w:szCs w:val="21"/>
              </w:rPr>
              <w:t>减震、</w:t>
            </w:r>
            <w:r>
              <w:rPr>
                <w:rFonts w:ascii="Times New Roman" w:hAnsi="Times New Roman"/>
                <w:szCs w:val="21"/>
              </w:rPr>
              <w:t>消声</w:t>
            </w:r>
          </w:p>
        </w:tc>
        <w:tc>
          <w:tcPr>
            <w:tcW w:w="1051" w:type="dxa"/>
            <w:tcBorders>
              <w:tl2br w:val="nil"/>
              <w:tr2bl w:val="nil"/>
            </w:tcBorders>
          </w:tcPr>
          <w:p w:rsidR="00525419" w:rsidRDefault="00EE1CF7">
            <w:pPr>
              <w:rPr>
                <w:rFonts w:ascii="Times New Roman" w:hAnsi="Times New Roman"/>
              </w:rPr>
            </w:pPr>
            <w:r>
              <w:rPr>
                <w:rFonts w:ascii="Times New Roman" w:hAnsi="Times New Roman"/>
              </w:rPr>
              <w:t>10</w:t>
            </w:r>
          </w:p>
        </w:tc>
        <w:tc>
          <w:tcPr>
            <w:tcW w:w="1249" w:type="dxa"/>
            <w:tcBorders>
              <w:tl2br w:val="nil"/>
              <w:tr2bl w:val="nil"/>
            </w:tcBorders>
          </w:tcPr>
          <w:p w:rsidR="00525419" w:rsidRDefault="00EE1CF7">
            <w:pPr>
              <w:rPr>
                <w:rFonts w:ascii="Times New Roman" w:hAnsi="Times New Roman"/>
                <w:kern w:val="0"/>
                <w:szCs w:val="21"/>
              </w:rPr>
            </w:pPr>
            <w:r>
              <w:rPr>
                <w:rFonts w:ascii="Times New Roman" w:hAnsi="Times New Roman"/>
                <w:kern w:val="0"/>
                <w:szCs w:val="21"/>
              </w:rPr>
              <w:t>＜</w:t>
            </w:r>
            <w:r>
              <w:rPr>
                <w:rFonts w:ascii="Times New Roman" w:hAnsi="Times New Roman"/>
                <w:kern w:val="0"/>
                <w:szCs w:val="21"/>
              </w:rPr>
              <w:t>85</w:t>
            </w:r>
          </w:p>
        </w:tc>
      </w:tr>
      <w:tr w:rsidR="00525419">
        <w:trPr>
          <w:trHeight w:val="270"/>
        </w:trPr>
        <w:tc>
          <w:tcPr>
            <w:tcW w:w="455" w:type="dxa"/>
            <w:tcBorders>
              <w:tl2br w:val="nil"/>
              <w:tr2bl w:val="nil"/>
            </w:tcBorders>
          </w:tcPr>
          <w:p w:rsidR="00525419" w:rsidRDefault="00EE1CF7">
            <w:pPr>
              <w:rPr>
                <w:rFonts w:ascii="Times New Roman" w:hAnsi="Times New Roman"/>
              </w:rPr>
            </w:pPr>
            <w:r>
              <w:rPr>
                <w:rFonts w:ascii="Times New Roman" w:hAnsi="Times New Roman"/>
              </w:rPr>
              <w:t>6</w:t>
            </w:r>
          </w:p>
        </w:tc>
        <w:tc>
          <w:tcPr>
            <w:tcW w:w="1075" w:type="dxa"/>
            <w:tcBorders>
              <w:tl2br w:val="nil"/>
              <w:tr2bl w:val="nil"/>
            </w:tcBorders>
          </w:tcPr>
          <w:p w:rsidR="00525419" w:rsidRDefault="00EE1CF7">
            <w:pPr>
              <w:rPr>
                <w:rFonts w:ascii="Times New Roman" w:hAnsi="Times New Roman"/>
                <w:szCs w:val="21"/>
              </w:rPr>
            </w:pPr>
            <w:r>
              <w:rPr>
                <w:rFonts w:ascii="Times New Roman" w:hAnsi="Times New Roman"/>
                <w:kern w:val="0"/>
                <w:szCs w:val="21"/>
              </w:rPr>
              <w:t>风机</w:t>
            </w:r>
          </w:p>
        </w:tc>
        <w:tc>
          <w:tcPr>
            <w:tcW w:w="900" w:type="dxa"/>
            <w:tcBorders>
              <w:tl2br w:val="nil"/>
              <w:tr2bl w:val="nil"/>
            </w:tcBorders>
          </w:tcPr>
          <w:p w:rsidR="00525419" w:rsidRDefault="00EE1CF7">
            <w:pPr>
              <w:rPr>
                <w:rFonts w:ascii="Times New Roman" w:hAnsi="Times New Roman"/>
              </w:rPr>
            </w:pPr>
            <w:r>
              <w:rPr>
                <w:rFonts w:ascii="Times New Roman" w:hAnsi="Times New Roman"/>
              </w:rPr>
              <w:t>频发</w:t>
            </w:r>
          </w:p>
        </w:tc>
        <w:tc>
          <w:tcPr>
            <w:tcW w:w="818" w:type="dxa"/>
            <w:tcBorders>
              <w:tl2br w:val="nil"/>
              <w:tr2bl w:val="nil"/>
            </w:tcBorders>
          </w:tcPr>
          <w:p w:rsidR="00525419" w:rsidRDefault="00EE1CF7">
            <w:pPr>
              <w:rPr>
                <w:rFonts w:ascii="Times New Roman" w:hAnsi="Times New Roman"/>
              </w:rPr>
            </w:pPr>
            <w:r>
              <w:rPr>
                <w:rFonts w:ascii="Times New Roman" w:hAnsi="Times New Roman"/>
              </w:rPr>
              <w:t>类比</w:t>
            </w:r>
          </w:p>
        </w:tc>
        <w:tc>
          <w:tcPr>
            <w:tcW w:w="1053" w:type="dxa"/>
            <w:tcBorders>
              <w:tl2br w:val="nil"/>
              <w:tr2bl w:val="nil"/>
            </w:tcBorders>
          </w:tcPr>
          <w:p w:rsidR="00525419" w:rsidRDefault="00EE1CF7">
            <w:pPr>
              <w:rPr>
                <w:rFonts w:ascii="Times New Roman" w:hAnsi="Times New Roman"/>
              </w:rPr>
            </w:pPr>
            <w:r>
              <w:rPr>
                <w:rFonts w:ascii="Times New Roman" w:hAnsi="Times New Roman"/>
                <w:kern w:val="0"/>
                <w:sz w:val="20"/>
                <w:szCs w:val="21"/>
              </w:rPr>
              <w:t>100</w:t>
            </w:r>
          </w:p>
        </w:tc>
        <w:tc>
          <w:tcPr>
            <w:tcW w:w="1912" w:type="dxa"/>
            <w:tcBorders>
              <w:tl2br w:val="nil"/>
              <w:tr2bl w:val="nil"/>
            </w:tcBorders>
          </w:tcPr>
          <w:p w:rsidR="00525419" w:rsidRDefault="00EE1CF7">
            <w:pPr>
              <w:rPr>
                <w:rFonts w:ascii="Times New Roman" w:hAnsi="Times New Roman"/>
                <w:szCs w:val="21"/>
              </w:rPr>
            </w:pPr>
            <w:r>
              <w:rPr>
                <w:rFonts w:ascii="Times New Roman" w:hAnsi="Times New Roman"/>
                <w:kern w:val="0"/>
                <w:szCs w:val="21"/>
              </w:rPr>
              <w:t>减震、隔音</w:t>
            </w:r>
          </w:p>
        </w:tc>
        <w:tc>
          <w:tcPr>
            <w:tcW w:w="1051" w:type="dxa"/>
            <w:tcBorders>
              <w:tl2br w:val="nil"/>
              <w:tr2bl w:val="nil"/>
            </w:tcBorders>
          </w:tcPr>
          <w:p w:rsidR="00525419" w:rsidRDefault="00EE1CF7">
            <w:pPr>
              <w:rPr>
                <w:rFonts w:ascii="Times New Roman" w:hAnsi="Times New Roman"/>
              </w:rPr>
            </w:pPr>
            <w:r>
              <w:rPr>
                <w:rFonts w:ascii="Times New Roman" w:hAnsi="Times New Roman"/>
              </w:rPr>
              <w:t>15</w:t>
            </w:r>
          </w:p>
        </w:tc>
        <w:tc>
          <w:tcPr>
            <w:tcW w:w="1249" w:type="dxa"/>
            <w:tcBorders>
              <w:tl2br w:val="nil"/>
              <w:tr2bl w:val="nil"/>
            </w:tcBorders>
          </w:tcPr>
          <w:p w:rsidR="00525419" w:rsidRDefault="00EE1CF7">
            <w:pPr>
              <w:rPr>
                <w:rFonts w:ascii="Times New Roman" w:hAnsi="Times New Roman"/>
              </w:rPr>
            </w:pPr>
            <w:r>
              <w:rPr>
                <w:rFonts w:ascii="Times New Roman" w:hAnsi="Times New Roman"/>
                <w:kern w:val="0"/>
                <w:szCs w:val="21"/>
              </w:rPr>
              <w:t>＜</w:t>
            </w:r>
            <w:r>
              <w:rPr>
                <w:rFonts w:ascii="Times New Roman" w:hAnsi="Times New Roman"/>
                <w:kern w:val="0"/>
                <w:szCs w:val="21"/>
              </w:rPr>
              <w:t>85</w:t>
            </w:r>
          </w:p>
        </w:tc>
      </w:tr>
      <w:tr w:rsidR="00525419">
        <w:trPr>
          <w:trHeight w:val="225"/>
        </w:trPr>
        <w:tc>
          <w:tcPr>
            <w:tcW w:w="455" w:type="dxa"/>
            <w:tcBorders>
              <w:tl2br w:val="nil"/>
              <w:tr2bl w:val="nil"/>
            </w:tcBorders>
          </w:tcPr>
          <w:p w:rsidR="00525419" w:rsidRDefault="00EE1CF7">
            <w:pPr>
              <w:rPr>
                <w:rFonts w:ascii="Times New Roman" w:hAnsi="Times New Roman"/>
              </w:rPr>
            </w:pPr>
            <w:r>
              <w:rPr>
                <w:rFonts w:ascii="Times New Roman" w:hAnsi="Times New Roman"/>
              </w:rPr>
              <w:t>7</w:t>
            </w:r>
          </w:p>
        </w:tc>
        <w:tc>
          <w:tcPr>
            <w:tcW w:w="1075" w:type="dxa"/>
            <w:tcBorders>
              <w:tl2br w:val="nil"/>
              <w:tr2bl w:val="nil"/>
            </w:tcBorders>
          </w:tcPr>
          <w:p w:rsidR="00525419" w:rsidRDefault="00EE1CF7">
            <w:pPr>
              <w:rPr>
                <w:rFonts w:ascii="Times New Roman" w:hAnsi="Times New Roman"/>
                <w:szCs w:val="21"/>
              </w:rPr>
            </w:pPr>
            <w:r>
              <w:rPr>
                <w:rFonts w:ascii="Times New Roman" w:hAnsi="Times New Roman"/>
                <w:kern w:val="0"/>
                <w:szCs w:val="21"/>
              </w:rPr>
              <w:t>引风机</w:t>
            </w:r>
          </w:p>
        </w:tc>
        <w:tc>
          <w:tcPr>
            <w:tcW w:w="900" w:type="dxa"/>
            <w:tcBorders>
              <w:tl2br w:val="nil"/>
              <w:tr2bl w:val="nil"/>
            </w:tcBorders>
          </w:tcPr>
          <w:p w:rsidR="00525419" w:rsidRDefault="00EE1CF7">
            <w:pPr>
              <w:rPr>
                <w:rFonts w:ascii="Times New Roman" w:hAnsi="Times New Roman"/>
              </w:rPr>
            </w:pPr>
            <w:r>
              <w:rPr>
                <w:rFonts w:ascii="Times New Roman" w:hAnsi="Times New Roman"/>
              </w:rPr>
              <w:t>频发</w:t>
            </w:r>
          </w:p>
        </w:tc>
        <w:tc>
          <w:tcPr>
            <w:tcW w:w="818" w:type="dxa"/>
            <w:tcBorders>
              <w:tl2br w:val="nil"/>
              <w:tr2bl w:val="nil"/>
            </w:tcBorders>
          </w:tcPr>
          <w:p w:rsidR="00525419" w:rsidRDefault="00EE1CF7">
            <w:pPr>
              <w:rPr>
                <w:rFonts w:ascii="Times New Roman" w:hAnsi="Times New Roman"/>
              </w:rPr>
            </w:pPr>
            <w:r>
              <w:rPr>
                <w:rFonts w:ascii="Times New Roman" w:hAnsi="Times New Roman"/>
              </w:rPr>
              <w:t>类比</w:t>
            </w:r>
          </w:p>
        </w:tc>
        <w:tc>
          <w:tcPr>
            <w:tcW w:w="1053" w:type="dxa"/>
            <w:tcBorders>
              <w:tl2br w:val="nil"/>
              <w:tr2bl w:val="nil"/>
            </w:tcBorders>
          </w:tcPr>
          <w:p w:rsidR="00525419" w:rsidRDefault="00EE1CF7">
            <w:pPr>
              <w:rPr>
                <w:rFonts w:ascii="Times New Roman" w:hAnsi="Times New Roman"/>
              </w:rPr>
            </w:pPr>
            <w:r>
              <w:rPr>
                <w:rFonts w:ascii="Times New Roman" w:hAnsi="Times New Roman"/>
                <w:kern w:val="0"/>
                <w:szCs w:val="21"/>
              </w:rPr>
              <w:t>100</w:t>
            </w:r>
          </w:p>
        </w:tc>
        <w:tc>
          <w:tcPr>
            <w:tcW w:w="1912" w:type="dxa"/>
            <w:tcBorders>
              <w:tl2br w:val="nil"/>
              <w:tr2bl w:val="nil"/>
            </w:tcBorders>
          </w:tcPr>
          <w:p w:rsidR="00525419" w:rsidRDefault="00EE1CF7">
            <w:pPr>
              <w:rPr>
                <w:rFonts w:ascii="Times New Roman" w:hAnsi="Times New Roman"/>
                <w:szCs w:val="21"/>
              </w:rPr>
            </w:pPr>
            <w:r>
              <w:rPr>
                <w:rFonts w:ascii="Times New Roman" w:hAnsi="Times New Roman"/>
                <w:kern w:val="0"/>
                <w:szCs w:val="21"/>
              </w:rPr>
              <w:t>减震、</w:t>
            </w:r>
            <w:r>
              <w:rPr>
                <w:rFonts w:ascii="Times New Roman" w:hAnsi="Times New Roman"/>
                <w:szCs w:val="21"/>
              </w:rPr>
              <w:t>消声、</w:t>
            </w:r>
            <w:r>
              <w:rPr>
                <w:rFonts w:ascii="Times New Roman" w:hAnsi="Times New Roman"/>
                <w:kern w:val="0"/>
                <w:szCs w:val="21"/>
              </w:rPr>
              <w:t>减震、隔音</w:t>
            </w:r>
          </w:p>
        </w:tc>
        <w:tc>
          <w:tcPr>
            <w:tcW w:w="1051" w:type="dxa"/>
            <w:tcBorders>
              <w:tl2br w:val="nil"/>
              <w:tr2bl w:val="nil"/>
            </w:tcBorders>
          </w:tcPr>
          <w:p w:rsidR="00525419" w:rsidRDefault="00EE1CF7">
            <w:pPr>
              <w:rPr>
                <w:rFonts w:ascii="Times New Roman" w:hAnsi="Times New Roman"/>
              </w:rPr>
            </w:pPr>
            <w:r>
              <w:rPr>
                <w:rFonts w:ascii="Times New Roman" w:hAnsi="Times New Roman"/>
              </w:rPr>
              <w:t>15</w:t>
            </w:r>
          </w:p>
        </w:tc>
        <w:tc>
          <w:tcPr>
            <w:tcW w:w="1249" w:type="dxa"/>
            <w:tcBorders>
              <w:tl2br w:val="nil"/>
              <w:tr2bl w:val="nil"/>
            </w:tcBorders>
          </w:tcPr>
          <w:p w:rsidR="00525419" w:rsidRDefault="00EE1CF7">
            <w:pPr>
              <w:rPr>
                <w:rFonts w:ascii="Times New Roman" w:hAnsi="Times New Roman"/>
                <w:kern w:val="0"/>
                <w:szCs w:val="21"/>
              </w:rPr>
            </w:pPr>
            <w:r>
              <w:rPr>
                <w:rFonts w:ascii="Times New Roman" w:hAnsi="Times New Roman"/>
                <w:kern w:val="0"/>
                <w:szCs w:val="21"/>
              </w:rPr>
              <w:t>＜</w:t>
            </w:r>
            <w:r>
              <w:rPr>
                <w:rFonts w:ascii="Times New Roman" w:hAnsi="Times New Roman"/>
                <w:kern w:val="0"/>
                <w:szCs w:val="21"/>
              </w:rPr>
              <w:t>85</w:t>
            </w:r>
          </w:p>
        </w:tc>
      </w:tr>
    </w:tbl>
    <w:p w:rsidR="00525419" w:rsidRDefault="00EE1CF7">
      <w:pPr>
        <w:pStyle w:val="3a"/>
        <w:spacing w:beforeLines="50" w:before="159" w:after="156" w:line="360" w:lineRule="auto"/>
        <w:jc w:val="left"/>
        <w:rPr>
          <w:rFonts w:ascii="Times New Roman" w:eastAsia="华文楷体" w:hAnsi="Times New Roman"/>
        </w:rPr>
      </w:pPr>
      <w:r>
        <w:rPr>
          <w:rFonts w:ascii="Times New Roman" w:eastAsia="华文楷体" w:hAnsi="Times New Roman"/>
        </w:rPr>
        <w:t>3.7.5 VOCs</w:t>
      </w:r>
      <w:r>
        <w:rPr>
          <w:rFonts w:ascii="Times New Roman" w:eastAsia="华文楷体" w:hAnsi="Times New Roman"/>
        </w:rPr>
        <w:t>排放核算</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项目废气无组织排放源主要包括在正常生产情况下，由于设备、法兰等接口密封处的允许泄漏率而产生的有害气体泄漏排放、储运系统大小呼吸产生的排放等，主要污染物为</w:t>
      </w:r>
      <w:r>
        <w:rPr>
          <w:rFonts w:ascii="Times New Roman" w:hAnsi="Times New Roman"/>
          <w:sz w:val="24"/>
        </w:rPr>
        <w:t>VOCs</w:t>
      </w:r>
      <w:r>
        <w:rPr>
          <w:rFonts w:ascii="Times New Roman" w:hAnsi="Times New Roman"/>
          <w:sz w:val="24"/>
        </w:rPr>
        <w:t>（以非甲烷总烃计）。</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设备动静密封点泄漏</w:t>
      </w:r>
      <w:r>
        <w:rPr>
          <w:rFonts w:ascii="Times New Roman" w:hAnsi="Times New Roman"/>
          <w:sz w:val="24"/>
        </w:rPr>
        <w:t>VOCs</w:t>
      </w:r>
      <w:r>
        <w:rPr>
          <w:rFonts w:ascii="Times New Roman" w:hAnsi="Times New Roman"/>
          <w:sz w:val="24"/>
        </w:rPr>
        <w:t>的产生量参考《石化行业</w:t>
      </w:r>
      <w:r>
        <w:rPr>
          <w:rFonts w:ascii="Times New Roman" w:hAnsi="Times New Roman"/>
          <w:sz w:val="24"/>
        </w:rPr>
        <w:t>VOC</w:t>
      </w:r>
      <w:r>
        <w:rPr>
          <w:rFonts w:ascii="Times New Roman" w:hAnsi="Times New Roman"/>
          <w:sz w:val="24"/>
        </w:rPr>
        <w:t>污染源排查工作指南》中设备动静密封点泄漏平均排放系数法（</w:t>
      </w:r>
      <w:r>
        <w:rPr>
          <w:rFonts w:ascii="Times New Roman" w:hAnsi="Times New Roman"/>
          <w:sz w:val="24"/>
        </w:rPr>
        <w:t>0.00025kg/h</w:t>
      </w:r>
      <w:r>
        <w:rPr>
          <w:rFonts w:ascii="Times New Roman" w:hAnsi="Times New Roman"/>
          <w:sz w:val="24"/>
        </w:rPr>
        <w:t>）进行核算，本项目设备少于</w:t>
      </w:r>
      <w:r>
        <w:rPr>
          <w:rFonts w:ascii="Times New Roman" w:hAnsi="Times New Roman"/>
          <w:sz w:val="24"/>
        </w:rPr>
        <w:t>10000</w:t>
      </w:r>
      <w:r>
        <w:rPr>
          <w:rFonts w:ascii="Times New Roman" w:hAnsi="Times New Roman"/>
          <w:sz w:val="24"/>
        </w:rPr>
        <w:t>个，则</w:t>
      </w:r>
      <w:r>
        <w:rPr>
          <w:rFonts w:ascii="Times New Roman" w:hAnsi="Times New Roman"/>
          <w:sz w:val="24"/>
        </w:rPr>
        <w:t>VOCs</w:t>
      </w:r>
      <w:r>
        <w:rPr>
          <w:rFonts w:ascii="Times New Roman" w:hAnsi="Times New Roman"/>
          <w:sz w:val="24"/>
        </w:rPr>
        <w:t>的排放量为</w:t>
      </w:r>
      <w:r>
        <w:rPr>
          <w:rFonts w:ascii="Times New Roman" w:hAnsi="Times New Roman"/>
          <w:sz w:val="24"/>
        </w:rPr>
        <w:t>2.5</w:t>
      </w:r>
      <w:r>
        <w:rPr>
          <w:rFonts w:ascii="Times New Roman" w:hAnsi="Times New Roman"/>
          <w:sz w:val="24"/>
          <w:szCs w:val="24"/>
        </w:rPr>
        <w:t>t/a</w:t>
      </w:r>
      <w:r>
        <w:rPr>
          <w:rFonts w:ascii="Times New Roman" w:hAnsi="Times New Roman"/>
          <w:sz w:val="24"/>
          <w:szCs w:val="24"/>
        </w:rPr>
        <w:t>。</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厂区</w:t>
      </w:r>
      <w:r>
        <w:rPr>
          <w:rFonts w:ascii="Times New Roman" w:hAnsi="Times New Roman" w:hint="eastAsia"/>
          <w:sz w:val="24"/>
        </w:rPr>
        <w:t>现有工程</w:t>
      </w:r>
      <w:r>
        <w:rPr>
          <w:rFonts w:ascii="Times New Roman" w:hAnsi="Times New Roman"/>
          <w:sz w:val="24"/>
        </w:rPr>
        <w:t>装卸区设有</w:t>
      </w:r>
      <w:r>
        <w:rPr>
          <w:rFonts w:ascii="Times New Roman" w:hAnsi="Times New Roman"/>
          <w:sz w:val="24"/>
        </w:rPr>
        <w:t>1</w:t>
      </w:r>
      <w:r>
        <w:rPr>
          <w:rFonts w:ascii="Times New Roman" w:hAnsi="Times New Roman"/>
          <w:sz w:val="24"/>
        </w:rPr>
        <w:t>套油气回收装置，本项目装卸过程</w:t>
      </w:r>
      <w:r>
        <w:rPr>
          <w:rFonts w:ascii="Times New Roman" w:hAnsi="Times New Roman"/>
          <w:sz w:val="24"/>
        </w:rPr>
        <w:t>VOCs</w:t>
      </w:r>
      <w:r>
        <w:rPr>
          <w:rFonts w:ascii="Times New Roman" w:hAnsi="Times New Roman"/>
          <w:sz w:val="24"/>
        </w:rPr>
        <w:t>的排放量采用《石化行业</w:t>
      </w:r>
      <w:r>
        <w:rPr>
          <w:rFonts w:ascii="Times New Roman" w:hAnsi="Times New Roman"/>
          <w:sz w:val="24"/>
        </w:rPr>
        <w:t>VOC</w:t>
      </w:r>
      <w:r>
        <w:rPr>
          <w:rFonts w:ascii="Times New Roman" w:hAnsi="Times New Roman"/>
          <w:sz w:val="24"/>
        </w:rPr>
        <w:t>污染源排查工作指南》中有机液体装卸挥发损失中的系数法进行核算，则装卸区</w:t>
      </w:r>
      <w:r>
        <w:rPr>
          <w:rFonts w:ascii="Times New Roman" w:hAnsi="Times New Roman"/>
          <w:sz w:val="24"/>
        </w:rPr>
        <w:t>VOCs</w:t>
      </w:r>
      <w:r>
        <w:rPr>
          <w:rFonts w:ascii="Times New Roman" w:hAnsi="Times New Roman"/>
          <w:sz w:val="24"/>
        </w:rPr>
        <w:t>的排放量为</w:t>
      </w:r>
      <w:r>
        <w:rPr>
          <w:rFonts w:ascii="Times New Roman" w:hAnsi="Times New Roman"/>
          <w:sz w:val="24"/>
        </w:rPr>
        <w:t>19.22</w:t>
      </w:r>
      <w:r>
        <w:rPr>
          <w:rFonts w:ascii="Times New Roman" w:hAnsi="Times New Roman"/>
          <w:sz w:val="24"/>
          <w:szCs w:val="24"/>
        </w:rPr>
        <w:t>t/a</w:t>
      </w:r>
      <w:r>
        <w:rPr>
          <w:rFonts w:ascii="Times New Roman" w:hAnsi="Times New Roman"/>
          <w:sz w:val="24"/>
          <w:szCs w:val="24"/>
        </w:rPr>
        <w:t>。</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本项目废水处理</w:t>
      </w:r>
      <w:r>
        <w:rPr>
          <w:rFonts w:ascii="Times New Roman" w:hAnsi="Times New Roman"/>
          <w:sz w:val="24"/>
        </w:rPr>
        <w:t>VOCs</w:t>
      </w:r>
      <w:r>
        <w:rPr>
          <w:rFonts w:ascii="Times New Roman" w:hAnsi="Times New Roman"/>
          <w:sz w:val="24"/>
        </w:rPr>
        <w:t>的排放量采用《石油化工行业</w:t>
      </w:r>
      <w:r>
        <w:rPr>
          <w:rFonts w:ascii="Times New Roman" w:hAnsi="Times New Roman"/>
          <w:sz w:val="24"/>
        </w:rPr>
        <w:t>VOCs</w:t>
      </w:r>
      <w:r>
        <w:rPr>
          <w:rFonts w:ascii="Times New Roman" w:hAnsi="Times New Roman"/>
          <w:sz w:val="24"/>
        </w:rPr>
        <w:t>排放量计算办法》中废水集输、储存、处理处置过程散逸排放系数法（</w:t>
      </w:r>
      <w:r>
        <w:rPr>
          <w:rFonts w:ascii="Times New Roman" w:hAnsi="Times New Roman"/>
          <w:sz w:val="24"/>
        </w:rPr>
        <w:t>0.005kg/m</w:t>
      </w:r>
      <w:r>
        <w:rPr>
          <w:rFonts w:ascii="Times New Roman" w:hAnsi="Times New Roman"/>
          <w:sz w:val="24"/>
          <w:vertAlign w:val="superscript"/>
        </w:rPr>
        <w:t>3</w:t>
      </w:r>
      <w:r>
        <w:rPr>
          <w:rFonts w:ascii="Times New Roman" w:hAnsi="Times New Roman"/>
          <w:sz w:val="24"/>
        </w:rPr>
        <w:t>废水处理量）进行核算，本项目新增处理废水量</w:t>
      </w:r>
      <w:r>
        <w:rPr>
          <w:rFonts w:ascii="Times New Roman" w:hAnsi="Times New Roman" w:hint="eastAsia"/>
          <w:sz w:val="24"/>
        </w:rPr>
        <w:t>32320</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/a</w:t>
      </w:r>
      <w:r>
        <w:rPr>
          <w:rFonts w:ascii="Times New Roman" w:hAnsi="Times New Roman"/>
          <w:sz w:val="24"/>
        </w:rPr>
        <w:t>（</w:t>
      </w:r>
      <w:r>
        <w:rPr>
          <w:rFonts w:ascii="Times New Roman" w:hAnsi="Times New Roman" w:hint="eastAsia"/>
          <w:sz w:val="24"/>
        </w:rPr>
        <w:t>4.04</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/h</w:t>
      </w:r>
      <w:r>
        <w:rPr>
          <w:rFonts w:ascii="Times New Roman" w:hAnsi="Times New Roman"/>
          <w:sz w:val="24"/>
        </w:rPr>
        <w:t>），则废水处理</w:t>
      </w:r>
      <w:r>
        <w:rPr>
          <w:rFonts w:ascii="Times New Roman" w:hAnsi="Times New Roman"/>
          <w:sz w:val="24"/>
        </w:rPr>
        <w:t>VOCs</w:t>
      </w:r>
      <w:r>
        <w:rPr>
          <w:rFonts w:ascii="Times New Roman" w:hAnsi="Times New Roman"/>
          <w:sz w:val="24"/>
        </w:rPr>
        <w:t>的排放量为</w:t>
      </w:r>
      <w:r>
        <w:rPr>
          <w:rFonts w:ascii="Times New Roman" w:hAnsi="Times New Roman" w:hint="eastAsia"/>
          <w:sz w:val="24"/>
        </w:rPr>
        <w:t>0.16</w:t>
      </w:r>
      <w:r>
        <w:rPr>
          <w:rFonts w:ascii="Times New Roman" w:hAnsi="Times New Roman"/>
          <w:sz w:val="24"/>
          <w:szCs w:val="24"/>
        </w:rPr>
        <w:t>t/a</w:t>
      </w:r>
      <w:r>
        <w:rPr>
          <w:rFonts w:ascii="Times New Roman" w:hAnsi="Times New Roman"/>
          <w:sz w:val="24"/>
          <w:szCs w:val="24"/>
        </w:rPr>
        <w:t>。</w:t>
      </w:r>
    </w:p>
    <w:p w:rsidR="00525419" w:rsidRDefault="00EE1CF7">
      <w:pPr>
        <w:autoSpaceDE w:val="0"/>
        <w:autoSpaceDN w:val="0"/>
        <w:adjustRightInd w:val="0"/>
        <w:spacing w:line="360" w:lineRule="auto"/>
        <w:ind w:firstLineChars="200" w:firstLine="480"/>
        <w:rPr>
          <w:rFonts w:ascii="Times New Roman" w:hAnsi="Times New Roman"/>
          <w:bCs/>
          <w:caps/>
          <w:sz w:val="24"/>
          <w:szCs w:val="24"/>
        </w:rPr>
      </w:pPr>
      <w:r>
        <w:rPr>
          <w:rFonts w:ascii="Times New Roman" w:hAnsi="Times New Roman"/>
          <w:sz w:val="24"/>
        </w:rPr>
        <w:lastRenderedPageBreak/>
        <w:t>本项目新增循环水量</w:t>
      </w:r>
      <w:r>
        <w:rPr>
          <w:rFonts w:ascii="Times New Roman" w:hAnsi="Times New Roman"/>
          <w:sz w:val="24"/>
        </w:rPr>
        <w:t>907m</w:t>
      </w:r>
      <w:r>
        <w:rPr>
          <w:rFonts w:ascii="Times New Roman" w:hAnsi="Times New Roman"/>
          <w:sz w:val="24"/>
          <w:vertAlign w:val="superscript"/>
        </w:rPr>
        <w:t>3</w:t>
      </w:r>
      <w:r>
        <w:rPr>
          <w:rFonts w:ascii="Times New Roman" w:hAnsi="Times New Roman"/>
          <w:sz w:val="24"/>
        </w:rPr>
        <w:t>/h</w:t>
      </w:r>
      <w:r>
        <w:rPr>
          <w:rFonts w:ascii="Times New Roman" w:hAnsi="Times New Roman"/>
          <w:sz w:val="24"/>
        </w:rPr>
        <w:t>，</w:t>
      </w:r>
      <w:r>
        <w:rPr>
          <w:rFonts w:ascii="Times New Roman" w:hAnsi="Times New Roman"/>
          <w:bCs/>
          <w:caps/>
          <w:sz w:val="24"/>
          <w:szCs w:val="24"/>
        </w:rPr>
        <w:t>取排放系数为</w:t>
      </w:r>
      <w:r>
        <w:rPr>
          <w:rFonts w:ascii="Times New Roman" w:hAnsi="Times New Roman"/>
          <w:bCs/>
          <w:caps/>
          <w:sz w:val="24"/>
          <w:szCs w:val="24"/>
        </w:rPr>
        <w:t>7.19×10</w:t>
      </w:r>
      <w:r>
        <w:rPr>
          <w:rFonts w:ascii="Times New Roman" w:hAnsi="Times New Roman"/>
          <w:bCs/>
          <w:caps/>
          <w:sz w:val="24"/>
          <w:szCs w:val="24"/>
          <w:vertAlign w:val="superscript"/>
        </w:rPr>
        <w:t>-4</w:t>
      </w:r>
      <w:r>
        <w:rPr>
          <w:rFonts w:ascii="Times New Roman" w:hAnsi="Times New Roman"/>
          <w:sz w:val="24"/>
        </w:rPr>
        <w:t xml:space="preserve"> kg/m</w:t>
      </w:r>
      <w:r>
        <w:rPr>
          <w:rFonts w:ascii="Times New Roman" w:hAnsi="Times New Roman"/>
          <w:sz w:val="24"/>
          <w:vertAlign w:val="superscript"/>
        </w:rPr>
        <w:t>3</w:t>
      </w:r>
      <w:r>
        <w:rPr>
          <w:rFonts w:ascii="Times New Roman" w:hAnsi="Times New Roman"/>
          <w:sz w:val="24"/>
        </w:rPr>
        <w:t>循环水量进行核算，则</w:t>
      </w:r>
      <w:r>
        <w:rPr>
          <w:rFonts w:ascii="Times New Roman" w:hAnsi="Times New Roman"/>
          <w:sz w:val="24"/>
          <w:szCs w:val="24"/>
        </w:rPr>
        <w:t>循环水冷却塔的汽提作用和风吹逸散的</w:t>
      </w:r>
      <w:r>
        <w:rPr>
          <w:rFonts w:ascii="Times New Roman" w:hAnsi="Times New Roman"/>
          <w:sz w:val="24"/>
          <w:szCs w:val="24"/>
        </w:rPr>
        <w:t>VOCs</w:t>
      </w:r>
      <w:r>
        <w:rPr>
          <w:rFonts w:ascii="Times New Roman" w:hAnsi="Times New Roman"/>
          <w:sz w:val="24"/>
          <w:szCs w:val="24"/>
        </w:rPr>
        <w:t>量为</w:t>
      </w:r>
      <w:r>
        <w:rPr>
          <w:rFonts w:ascii="Times New Roman" w:hAnsi="Times New Roman"/>
          <w:sz w:val="24"/>
          <w:szCs w:val="24"/>
        </w:rPr>
        <w:t>5.2 t/a</w:t>
      </w:r>
      <w:r>
        <w:rPr>
          <w:rFonts w:ascii="Times New Roman" w:hAnsi="Times New Roman"/>
          <w:sz w:val="24"/>
          <w:szCs w:val="24"/>
        </w:rPr>
        <w:t>。</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燃烧烟气排放的</w:t>
      </w:r>
      <w:r>
        <w:rPr>
          <w:rFonts w:ascii="Times New Roman" w:hAnsi="Times New Roman"/>
          <w:sz w:val="24"/>
          <w:szCs w:val="24"/>
        </w:rPr>
        <w:t>VOCs</w:t>
      </w:r>
      <w:r>
        <w:rPr>
          <w:rFonts w:ascii="Times New Roman" w:hAnsi="Times New Roman"/>
          <w:sz w:val="24"/>
          <w:szCs w:val="24"/>
        </w:rPr>
        <w:t>主要来自工艺装置加热炉烟气，以烟气中</w:t>
      </w:r>
      <w:r>
        <w:rPr>
          <w:rFonts w:ascii="Times New Roman" w:hAnsi="Times New Roman"/>
          <w:sz w:val="24"/>
          <w:szCs w:val="24"/>
        </w:rPr>
        <w:t>VOCs</w:t>
      </w:r>
      <w:r>
        <w:rPr>
          <w:rFonts w:ascii="Times New Roman" w:hAnsi="Times New Roman"/>
          <w:sz w:val="24"/>
          <w:szCs w:val="24"/>
        </w:rPr>
        <w:t>浓度</w:t>
      </w:r>
      <w:r>
        <w:rPr>
          <w:rFonts w:ascii="Times New Roman" w:hAnsi="Times New Roman"/>
          <w:sz w:val="24"/>
          <w:szCs w:val="24"/>
        </w:rPr>
        <w:t>10mg/m</w:t>
      </w:r>
      <w:r>
        <w:rPr>
          <w:rFonts w:ascii="Times New Roman" w:hAnsi="Times New Roman"/>
          <w:sz w:val="24"/>
          <w:szCs w:val="24"/>
          <w:vertAlign w:val="superscript"/>
        </w:rPr>
        <w:t>3</w:t>
      </w:r>
      <w:r>
        <w:rPr>
          <w:rFonts w:ascii="Times New Roman" w:hAnsi="Times New Roman"/>
          <w:sz w:val="24"/>
          <w:szCs w:val="24"/>
        </w:rPr>
        <w:t>进行核算，则</w:t>
      </w:r>
      <w:r>
        <w:rPr>
          <w:rFonts w:ascii="Times New Roman" w:hAnsi="Times New Roman"/>
          <w:sz w:val="24"/>
        </w:rPr>
        <w:t>VOCs</w:t>
      </w:r>
      <w:r>
        <w:rPr>
          <w:rFonts w:ascii="Times New Roman" w:hAnsi="Times New Roman"/>
          <w:sz w:val="24"/>
        </w:rPr>
        <w:t>的排放量为</w:t>
      </w:r>
      <w:r>
        <w:rPr>
          <w:rFonts w:ascii="Times New Roman" w:hAnsi="Times New Roman"/>
          <w:sz w:val="24"/>
        </w:rPr>
        <w:t>11.67</w:t>
      </w:r>
      <w:r>
        <w:rPr>
          <w:rFonts w:ascii="Times New Roman" w:hAnsi="Times New Roman"/>
          <w:sz w:val="24"/>
          <w:szCs w:val="24"/>
        </w:rPr>
        <w:t>t/a</w:t>
      </w:r>
      <w:r>
        <w:rPr>
          <w:rFonts w:ascii="Times New Roman" w:hAnsi="Times New Roman"/>
          <w:sz w:val="24"/>
          <w:szCs w:val="24"/>
        </w:rPr>
        <w:t>。</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rPr>
        <w:t>厂区现有工程设置针对储罐区设置有</w:t>
      </w:r>
      <w:r>
        <w:rPr>
          <w:rFonts w:ascii="Times New Roman" w:hAnsi="Times New Roman" w:hint="eastAsia"/>
          <w:sz w:val="24"/>
        </w:rPr>
        <w:t>2</w:t>
      </w:r>
      <w:r>
        <w:rPr>
          <w:rFonts w:ascii="Times New Roman" w:hAnsi="Times New Roman" w:hint="eastAsia"/>
          <w:sz w:val="24"/>
        </w:rPr>
        <w:t>套油气回收装置，其中利旧柴油罐</w:t>
      </w:r>
      <w:r>
        <w:rPr>
          <w:rFonts w:ascii="Times New Roman" w:hAnsi="Times New Roman"/>
          <w:sz w:val="24"/>
        </w:rPr>
        <w:t>罐顶安装密闭排气系统</w:t>
      </w:r>
      <w:r>
        <w:rPr>
          <w:rFonts w:ascii="Times New Roman" w:hAnsi="Times New Roman" w:hint="eastAsia"/>
          <w:sz w:val="24"/>
        </w:rPr>
        <w:t>，其他</w:t>
      </w:r>
      <w:r>
        <w:rPr>
          <w:rFonts w:ascii="Times New Roman" w:hAnsi="Times New Roman"/>
          <w:sz w:val="24"/>
        </w:rPr>
        <w:t>储罐大小呼吸</w:t>
      </w:r>
      <w:r>
        <w:rPr>
          <w:rFonts w:ascii="Times New Roman" w:hAnsi="Times New Roman"/>
          <w:sz w:val="24"/>
        </w:rPr>
        <w:t>VOCs</w:t>
      </w:r>
      <w:r>
        <w:rPr>
          <w:rFonts w:ascii="Times New Roman" w:hAnsi="Times New Roman"/>
          <w:sz w:val="24"/>
        </w:rPr>
        <w:t>的排放量采用《石化行业</w:t>
      </w:r>
      <w:r>
        <w:rPr>
          <w:rFonts w:ascii="Times New Roman" w:hAnsi="Times New Roman"/>
          <w:sz w:val="24"/>
        </w:rPr>
        <w:t>VOC</w:t>
      </w:r>
      <w:r>
        <w:rPr>
          <w:rFonts w:ascii="Times New Roman" w:hAnsi="Times New Roman"/>
          <w:sz w:val="24"/>
        </w:rPr>
        <w:t>污染源排查工作指南》中有机液体储存与调和挥发损失中的公式计算，其罐基础参数见表</w:t>
      </w:r>
      <w:r>
        <w:rPr>
          <w:rFonts w:ascii="Times New Roman" w:hAnsi="Times New Roman" w:hint="eastAsia"/>
          <w:sz w:val="24"/>
        </w:rPr>
        <w:t>3.3-11</w:t>
      </w:r>
      <w:r>
        <w:rPr>
          <w:rFonts w:ascii="Times New Roman" w:hAnsi="Times New Roman"/>
          <w:sz w:val="24"/>
        </w:rPr>
        <w:t>，经计算</w:t>
      </w:r>
      <w:r>
        <w:rPr>
          <w:rFonts w:ascii="Times New Roman" w:hAnsi="Times New Roman"/>
          <w:sz w:val="24"/>
        </w:rPr>
        <w:t>VOCs</w:t>
      </w:r>
      <w:r>
        <w:rPr>
          <w:rFonts w:ascii="Times New Roman" w:hAnsi="Times New Roman"/>
          <w:sz w:val="24"/>
        </w:rPr>
        <w:t>的排放量为</w:t>
      </w:r>
      <w:r>
        <w:rPr>
          <w:rFonts w:ascii="Times New Roman" w:hAnsi="Times New Roman"/>
          <w:sz w:val="24"/>
        </w:rPr>
        <w:t>14.72</w:t>
      </w:r>
      <w:r>
        <w:rPr>
          <w:rFonts w:ascii="Times New Roman" w:hAnsi="Times New Roman"/>
          <w:sz w:val="24"/>
          <w:szCs w:val="24"/>
        </w:rPr>
        <w:t xml:space="preserve"> t/a</w:t>
      </w:r>
      <w:r>
        <w:rPr>
          <w:rFonts w:ascii="Times New Roman" w:hAnsi="Times New Roman"/>
          <w:sz w:val="24"/>
          <w:szCs w:val="24"/>
        </w:rPr>
        <w:t>。</w:t>
      </w:r>
    </w:p>
    <w:p w:rsidR="00525419" w:rsidRDefault="00EE1CF7">
      <w:pPr>
        <w:pStyle w:val="3a"/>
        <w:spacing w:beforeLines="50" w:before="159" w:after="156" w:line="360" w:lineRule="auto"/>
        <w:jc w:val="left"/>
        <w:rPr>
          <w:rFonts w:ascii="Times New Roman" w:eastAsia="华文楷体" w:hAnsi="Times New Roman"/>
        </w:rPr>
      </w:pPr>
      <w:r>
        <w:rPr>
          <w:rFonts w:ascii="Times New Roman" w:eastAsia="华文楷体" w:hAnsi="Times New Roman"/>
        </w:rPr>
        <w:t>3.7.6“</w:t>
      </w:r>
      <w:r>
        <w:rPr>
          <w:rFonts w:ascii="Times New Roman" w:eastAsia="华文楷体" w:hAnsi="Times New Roman"/>
        </w:rPr>
        <w:t>三废</w:t>
      </w:r>
      <w:r>
        <w:rPr>
          <w:rFonts w:ascii="Times New Roman" w:eastAsia="华文楷体" w:hAnsi="Times New Roman"/>
        </w:rPr>
        <w:t>”</w:t>
      </w:r>
      <w:r>
        <w:rPr>
          <w:rFonts w:ascii="Times New Roman" w:eastAsia="华文楷体" w:hAnsi="Times New Roman"/>
        </w:rPr>
        <w:t>汇总</w:t>
      </w:r>
    </w:p>
    <w:p w:rsidR="00525419" w:rsidRDefault="00EE1CF7">
      <w:pPr>
        <w:pStyle w:val="afffff2"/>
        <w:rPr>
          <w:color w:val="auto"/>
          <w:kern w:val="2"/>
        </w:rPr>
      </w:pPr>
      <w:r>
        <w:rPr>
          <w:color w:val="auto"/>
          <w:kern w:val="2"/>
        </w:rPr>
        <w:t>本项目三废排放汇总见表</w:t>
      </w:r>
      <w:r>
        <w:rPr>
          <w:color w:val="auto"/>
          <w:kern w:val="2"/>
        </w:rPr>
        <w:t>3.7-15</w:t>
      </w:r>
      <w:r>
        <w:rPr>
          <w:color w:val="auto"/>
          <w:kern w:val="2"/>
        </w:rPr>
        <w:t>。</w:t>
      </w:r>
    </w:p>
    <w:p w:rsidR="00525419" w:rsidRDefault="00EE1CF7">
      <w:pPr>
        <w:spacing w:line="240" w:lineRule="atLeast"/>
        <w:ind w:firstLineChars="1300" w:firstLine="2730"/>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3.7-15</w:t>
      </w:r>
      <w:r>
        <w:rPr>
          <w:rFonts w:ascii="Times New Roman" w:eastAsia="黑体" w:hAnsi="Times New Roman"/>
          <w:szCs w:val="21"/>
        </w:rPr>
        <w:t xml:space="preserve">　　本项目三废排放汇总一览表</w:t>
      </w:r>
    </w:p>
    <w:tbl>
      <w:tblPr>
        <w:tblW w:w="8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44"/>
        <w:gridCol w:w="2606"/>
        <w:gridCol w:w="1714"/>
        <w:gridCol w:w="1620"/>
        <w:gridCol w:w="1455"/>
      </w:tblGrid>
      <w:tr w:rsidR="00525419">
        <w:trPr>
          <w:trHeight w:val="308"/>
          <w:tblHeader/>
          <w:jc w:val="center"/>
        </w:trPr>
        <w:tc>
          <w:tcPr>
            <w:tcW w:w="1244"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类别</w:t>
            </w:r>
          </w:p>
        </w:tc>
        <w:tc>
          <w:tcPr>
            <w:tcW w:w="2606"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项目</w:t>
            </w:r>
          </w:p>
        </w:tc>
        <w:tc>
          <w:tcPr>
            <w:tcW w:w="1714"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单位</w:t>
            </w:r>
          </w:p>
        </w:tc>
        <w:tc>
          <w:tcPr>
            <w:tcW w:w="1620"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产生量</w:t>
            </w:r>
          </w:p>
        </w:tc>
        <w:tc>
          <w:tcPr>
            <w:tcW w:w="1455"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排放量</w:t>
            </w:r>
          </w:p>
        </w:tc>
      </w:tr>
      <w:tr w:rsidR="00525419">
        <w:trPr>
          <w:cantSplit/>
          <w:trHeight w:val="90"/>
          <w:jc w:val="center"/>
        </w:trPr>
        <w:tc>
          <w:tcPr>
            <w:tcW w:w="1244" w:type="dxa"/>
            <w:vMerge w:val="restart"/>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废气</w:t>
            </w:r>
          </w:p>
        </w:tc>
        <w:tc>
          <w:tcPr>
            <w:tcW w:w="2606"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有组织废气排放量</w:t>
            </w:r>
          </w:p>
        </w:tc>
        <w:tc>
          <w:tcPr>
            <w:tcW w:w="1714"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万</w:t>
            </w:r>
            <w:r>
              <w:rPr>
                <w:sz w:val="21"/>
                <w:szCs w:val="21"/>
              </w:rPr>
              <w:t>Nm</w:t>
            </w:r>
            <w:r>
              <w:rPr>
                <w:sz w:val="21"/>
                <w:szCs w:val="21"/>
                <w:vertAlign w:val="superscript"/>
              </w:rPr>
              <w:t>3</w:t>
            </w:r>
            <w:r>
              <w:rPr>
                <w:sz w:val="21"/>
                <w:szCs w:val="21"/>
              </w:rPr>
              <w:t>/a</w:t>
            </w:r>
          </w:p>
        </w:tc>
        <w:tc>
          <w:tcPr>
            <w:tcW w:w="1620"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88647</w:t>
            </w:r>
          </w:p>
        </w:tc>
        <w:tc>
          <w:tcPr>
            <w:tcW w:w="1455"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88647</w:t>
            </w:r>
          </w:p>
        </w:tc>
      </w:tr>
      <w:tr w:rsidR="00525419">
        <w:trPr>
          <w:cantSplit/>
          <w:trHeight w:hRule="exact" w:val="312"/>
          <w:jc w:val="center"/>
        </w:trPr>
        <w:tc>
          <w:tcPr>
            <w:tcW w:w="1244" w:type="dxa"/>
            <w:vMerge/>
            <w:tcBorders>
              <w:tl2br w:val="nil"/>
              <w:tr2bl w:val="nil"/>
            </w:tcBorders>
            <w:vAlign w:val="center"/>
          </w:tcPr>
          <w:p w:rsidR="00525419" w:rsidRDefault="00525419">
            <w:pPr>
              <w:pStyle w:val="afffe"/>
              <w:spacing w:after="0" w:line="240" w:lineRule="atLeast"/>
              <w:ind w:firstLineChars="0" w:firstLine="0"/>
              <w:rPr>
                <w:sz w:val="21"/>
                <w:szCs w:val="21"/>
              </w:rPr>
            </w:pPr>
          </w:p>
        </w:tc>
        <w:tc>
          <w:tcPr>
            <w:tcW w:w="2606"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烟尘</w:t>
            </w:r>
          </w:p>
        </w:tc>
        <w:tc>
          <w:tcPr>
            <w:tcW w:w="1714"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t/a</w:t>
            </w:r>
          </w:p>
        </w:tc>
        <w:tc>
          <w:tcPr>
            <w:tcW w:w="1620"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10.04</w:t>
            </w:r>
          </w:p>
        </w:tc>
        <w:tc>
          <w:tcPr>
            <w:tcW w:w="1455"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10.04</w:t>
            </w:r>
          </w:p>
        </w:tc>
      </w:tr>
      <w:tr w:rsidR="00525419">
        <w:trPr>
          <w:cantSplit/>
          <w:trHeight w:hRule="exact" w:val="278"/>
          <w:jc w:val="center"/>
        </w:trPr>
        <w:tc>
          <w:tcPr>
            <w:tcW w:w="1244" w:type="dxa"/>
            <w:vMerge/>
            <w:tcBorders>
              <w:tl2br w:val="nil"/>
              <w:tr2bl w:val="nil"/>
            </w:tcBorders>
            <w:vAlign w:val="center"/>
          </w:tcPr>
          <w:p w:rsidR="00525419" w:rsidRDefault="00525419">
            <w:pPr>
              <w:pStyle w:val="afffe"/>
              <w:spacing w:after="0" w:line="240" w:lineRule="atLeast"/>
              <w:ind w:firstLineChars="0" w:firstLine="0"/>
              <w:rPr>
                <w:sz w:val="21"/>
                <w:szCs w:val="21"/>
              </w:rPr>
            </w:pPr>
          </w:p>
        </w:tc>
        <w:tc>
          <w:tcPr>
            <w:tcW w:w="2606"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NO</w:t>
            </w:r>
            <w:r>
              <w:rPr>
                <w:sz w:val="21"/>
                <w:szCs w:val="21"/>
                <w:vertAlign w:val="subscript"/>
              </w:rPr>
              <w:t>x</w:t>
            </w:r>
          </w:p>
        </w:tc>
        <w:tc>
          <w:tcPr>
            <w:tcW w:w="1714"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t/a</w:t>
            </w:r>
          </w:p>
        </w:tc>
        <w:tc>
          <w:tcPr>
            <w:tcW w:w="1620"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75.02</w:t>
            </w:r>
          </w:p>
        </w:tc>
        <w:tc>
          <w:tcPr>
            <w:tcW w:w="1455"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75.02</w:t>
            </w:r>
          </w:p>
        </w:tc>
      </w:tr>
      <w:tr w:rsidR="00525419">
        <w:trPr>
          <w:cantSplit/>
          <w:trHeight w:hRule="exact" w:val="314"/>
          <w:jc w:val="center"/>
        </w:trPr>
        <w:tc>
          <w:tcPr>
            <w:tcW w:w="1244" w:type="dxa"/>
            <w:vMerge/>
            <w:tcBorders>
              <w:tl2br w:val="nil"/>
              <w:tr2bl w:val="nil"/>
            </w:tcBorders>
            <w:vAlign w:val="center"/>
          </w:tcPr>
          <w:p w:rsidR="00525419" w:rsidRDefault="00525419">
            <w:pPr>
              <w:pStyle w:val="afffe"/>
              <w:spacing w:after="0" w:line="240" w:lineRule="atLeast"/>
              <w:ind w:firstLineChars="0" w:firstLine="0"/>
              <w:rPr>
                <w:sz w:val="21"/>
                <w:szCs w:val="21"/>
              </w:rPr>
            </w:pPr>
          </w:p>
        </w:tc>
        <w:tc>
          <w:tcPr>
            <w:tcW w:w="2606"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SO</w:t>
            </w:r>
            <w:r>
              <w:rPr>
                <w:sz w:val="21"/>
                <w:szCs w:val="21"/>
                <w:vertAlign w:val="subscript"/>
              </w:rPr>
              <w:t>2</w:t>
            </w:r>
          </w:p>
        </w:tc>
        <w:tc>
          <w:tcPr>
            <w:tcW w:w="1714"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t/a</w:t>
            </w:r>
          </w:p>
        </w:tc>
        <w:tc>
          <w:tcPr>
            <w:tcW w:w="1620"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29.87</w:t>
            </w:r>
          </w:p>
        </w:tc>
        <w:tc>
          <w:tcPr>
            <w:tcW w:w="1455"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29.87</w:t>
            </w:r>
          </w:p>
        </w:tc>
      </w:tr>
      <w:tr w:rsidR="00525419">
        <w:trPr>
          <w:cantSplit/>
          <w:trHeight w:val="205"/>
          <w:jc w:val="center"/>
        </w:trPr>
        <w:tc>
          <w:tcPr>
            <w:tcW w:w="1244" w:type="dxa"/>
            <w:vMerge/>
            <w:tcBorders>
              <w:tl2br w:val="nil"/>
              <w:tr2bl w:val="nil"/>
            </w:tcBorders>
            <w:vAlign w:val="center"/>
          </w:tcPr>
          <w:p w:rsidR="00525419" w:rsidRDefault="00525419">
            <w:pPr>
              <w:pStyle w:val="afffe"/>
              <w:spacing w:after="0" w:line="240" w:lineRule="atLeast"/>
              <w:ind w:firstLineChars="0" w:firstLine="0"/>
              <w:rPr>
                <w:sz w:val="21"/>
                <w:szCs w:val="21"/>
              </w:rPr>
            </w:pPr>
          </w:p>
        </w:tc>
        <w:tc>
          <w:tcPr>
            <w:tcW w:w="2606"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VOCs</w:t>
            </w:r>
            <w:r>
              <w:rPr>
                <w:sz w:val="21"/>
                <w:szCs w:val="21"/>
              </w:rPr>
              <w:t>（以非甲烷总烃计）</w:t>
            </w:r>
          </w:p>
        </w:tc>
        <w:tc>
          <w:tcPr>
            <w:tcW w:w="1714" w:type="dxa"/>
            <w:tcBorders>
              <w:tl2br w:val="nil"/>
              <w:tr2bl w:val="nil"/>
            </w:tcBorders>
          </w:tcPr>
          <w:p w:rsidR="00525419" w:rsidRDefault="00EE1CF7">
            <w:pPr>
              <w:spacing w:line="240" w:lineRule="atLeast"/>
              <w:rPr>
                <w:rFonts w:ascii="Times New Roman" w:hAnsi="Times New Roman"/>
                <w:szCs w:val="21"/>
              </w:rPr>
            </w:pPr>
            <w:r>
              <w:rPr>
                <w:rFonts w:ascii="Times New Roman" w:hAnsi="Times New Roman"/>
                <w:szCs w:val="21"/>
              </w:rPr>
              <w:t>t/a</w:t>
            </w:r>
          </w:p>
        </w:tc>
        <w:tc>
          <w:tcPr>
            <w:tcW w:w="1620" w:type="dxa"/>
            <w:tcBorders>
              <w:tl2br w:val="nil"/>
              <w:tr2bl w:val="nil"/>
            </w:tcBorders>
            <w:vAlign w:val="center"/>
          </w:tcPr>
          <w:p w:rsidR="00525419" w:rsidRDefault="00EE1CF7">
            <w:pPr>
              <w:pStyle w:val="afffe"/>
              <w:spacing w:after="0" w:line="240" w:lineRule="atLeast"/>
              <w:ind w:firstLineChars="0" w:firstLine="0"/>
              <w:rPr>
                <w:sz w:val="21"/>
                <w:szCs w:val="21"/>
              </w:rPr>
            </w:pPr>
            <w:r>
              <w:rPr>
                <w:rFonts w:hint="eastAsia"/>
                <w:sz w:val="21"/>
                <w:szCs w:val="21"/>
              </w:rPr>
              <w:t>53.47</w:t>
            </w:r>
          </w:p>
        </w:tc>
        <w:tc>
          <w:tcPr>
            <w:tcW w:w="1455" w:type="dxa"/>
            <w:tcBorders>
              <w:tl2br w:val="nil"/>
              <w:tr2bl w:val="nil"/>
            </w:tcBorders>
            <w:vAlign w:val="center"/>
          </w:tcPr>
          <w:p w:rsidR="00525419" w:rsidRDefault="00EE1CF7">
            <w:pPr>
              <w:pStyle w:val="afffe"/>
              <w:spacing w:after="0" w:line="240" w:lineRule="atLeast"/>
              <w:ind w:firstLineChars="0" w:firstLine="0"/>
              <w:rPr>
                <w:sz w:val="21"/>
                <w:szCs w:val="21"/>
              </w:rPr>
            </w:pPr>
            <w:r>
              <w:rPr>
                <w:rFonts w:hint="eastAsia"/>
                <w:sz w:val="21"/>
                <w:szCs w:val="21"/>
              </w:rPr>
              <w:t>53.47</w:t>
            </w:r>
          </w:p>
        </w:tc>
      </w:tr>
      <w:tr w:rsidR="00525419">
        <w:trPr>
          <w:cantSplit/>
          <w:trHeight w:hRule="exact" w:val="278"/>
          <w:jc w:val="center"/>
        </w:trPr>
        <w:tc>
          <w:tcPr>
            <w:tcW w:w="1244" w:type="dxa"/>
            <w:vMerge w:val="restart"/>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废水</w:t>
            </w:r>
          </w:p>
        </w:tc>
        <w:tc>
          <w:tcPr>
            <w:tcW w:w="2606"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废水产生量</w:t>
            </w:r>
          </w:p>
        </w:tc>
        <w:tc>
          <w:tcPr>
            <w:tcW w:w="1714"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万</w:t>
            </w:r>
            <w:r>
              <w:rPr>
                <w:sz w:val="21"/>
                <w:szCs w:val="21"/>
              </w:rPr>
              <w:t>m</w:t>
            </w:r>
            <w:r>
              <w:rPr>
                <w:sz w:val="21"/>
                <w:szCs w:val="21"/>
                <w:vertAlign w:val="superscript"/>
              </w:rPr>
              <w:t>3</w:t>
            </w:r>
            <w:r>
              <w:rPr>
                <w:sz w:val="21"/>
                <w:szCs w:val="21"/>
              </w:rPr>
              <w:t>/a</w:t>
            </w:r>
          </w:p>
        </w:tc>
        <w:tc>
          <w:tcPr>
            <w:tcW w:w="1620" w:type="dxa"/>
            <w:tcBorders>
              <w:tl2br w:val="nil"/>
              <w:tr2bl w:val="nil"/>
            </w:tcBorders>
            <w:vAlign w:val="center"/>
          </w:tcPr>
          <w:p w:rsidR="00525419" w:rsidRDefault="00EE1CF7">
            <w:pPr>
              <w:pStyle w:val="afffe"/>
              <w:spacing w:after="0" w:line="240" w:lineRule="atLeast"/>
              <w:ind w:firstLineChars="0" w:firstLine="0"/>
              <w:rPr>
                <w:sz w:val="21"/>
                <w:szCs w:val="21"/>
              </w:rPr>
            </w:pPr>
            <w:r>
              <w:rPr>
                <w:rFonts w:hint="eastAsia"/>
                <w:sz w:val="21"/>
                <w:szCs w:val="21"/>
              </w:rPr>
              <w:t>24.272</w:t>
            </w:r>
          </w:p>
        </w:tc>
        <w:tc>
          <w:tcPr>
            <w:tcW w:w="1455"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0</w:t>
            </w:r>
          </w:p>
        </w:tc>
      </w:tr>
      <w:tr w:rsidR="00525419">
        <w:trPr>
          <w:cantSplit/>
          <w:trHeight w:val="90"/>
          <w:jc w:val="center"/>
        </w:trPr>
        <w:tc>
          <w:tcPr>
            <w:tcW w:w="1244" w:type="dxa"/>
            <w:vMerge/>
            <w:tcBorders>
              <w:tl2br w:val="nil"/>
              <w:tr2bl w:val="nil"/>
            </w:tcBorders>
            <w:vAlign w:val="center"/>
          </w:tcPr>
          <w:p w:rsidR="00525419" w:rsidRDefault="00525419">
            <w:pPr>
              <w:pStyle w:val="afffe"/>
              <w:spacing w:after="0" w:line="240" w:lineRule="atLeast"/>
              <w:ind w:firstLineChars="0" w:firstLine="0"/>
              <w:rPr>
                <w:sz w:val="21"/>
                <w:szCs w:val="21"/>
              </w:rPr>
            </w:pPr>
          </w:p>
        </w:tc>
        <w:tc>
          <w:tcPr>
            <w:tcW w:w="2606"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COD</w:t>
            </w:r>
          </w:p>
        </w:tc>
        <w:tc>
          <w:tcPr>
            <w:tcW w:w="1714"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t/a</w:t>
            </w:r>
          </w:p>
        </w:tc>
        <w:tc>
          <w:tcPr>
            <w:tcW w:w="1620" w:type="dxa"/>
            <w:tcBorders>
              <w:tl2br w:val="nil"/>
              <w:tr2bl w:val="nil"/>
            </w:tcBorders>
            <w:vAlign w:val="center"/>
          </w:tcPr>
          <w:p w:rsidR="00525419" w:rsidRDefault="00EE1CF7">
            <w:pPr>
              <w:pStyle w:val="afffe"/>
              <w:spacing w:after="0" w:line="240" w:lineRule="atLeast"/>
              <w:ind w:firstLineChars="0" w:firstLine="0"/>
              <w:rPr>
                <w:sz w:val="21"/>
                <w:szCs w:val="21"/>
              </w:rPr>
            </w:pPr>
            <w:r>
              <w:rPr>
                <w:rFonts w:hint="eastAsia"/>
                <w:sz w:val="21"/>
                <w:szCs w:val="21"/>
              </w:rPr>
              <w:t>5767</w:t>
            </w:r>
          </w:p>
        </w:tc>
        <w:tc>
          <w:tcPr>
            <w:tcW w:w="1455"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0</w:t>
            </w:r>
          </w:p>
        </w:tc>
      </w:tr>
      <w:tr w:rsidR="00525419">
        <w:trPr>
          <w:cantSplit/>
          <w:trHeight w:val="225"/>
          <w:jc w:val="center"/>
        </w:trPr>
        <w:tc>
          <w:tcPr>
            <w:tcW w:w="1244" w:type="dxa"/>
            <w:vMerge/>
            <w:tcBorders>
              <w:tl2br w:val="nil"/>
              <w:tr2bl w:val="nil"/>
            </w:tcBorders>
            <w:vAlign w:val="center"/>
          </w:tcPr>
          <w:p w:rsidR="00525419" w:rsidRDefault="00525419">
            <w:pPr>
              <w:pStyle w:val="afffe"/>
              <w:spacing w:after="0" w:line="240" w:lineRule="atLeast"/>
              <w:ind w:firstLineChars="0" w:firstLine="0"/>
              <w:rPr>
                <w:sz w:val="21"/>
                <w:szCs w:val="21"/>
              </w:rPr>
            </w:pPr>
          </w:p>
        </w:tc>
        <w:tc>
          <w:tcPr>
            <w:tcW w:w="2606"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氨氮</w:t>
            </w:r>
          </w:p>
        </w:tc>
        <w:tc>
          <w:tcPr>
            <w:tcW w:w="1714"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t/a</w:t>
            </w:r>
          </w:p>
        </w:tc>
        <w:tc>
          <w:tcPr>
            <w:tcW w:w="1620" w:type="dxa"/>
            <w:tcBorders>
              <w:tl2br w:val="nil"/>
              <w:tr2bl w:val="nil"/>
            </w:tcBorders>
            <w:vAlign w:val="center"/>
          </w:tcPr>
          <w:p w:rsidR="00525419" w:rsidRDefault="00EE1CF7">
            <w:pPr>
              <w:pStyle w:val="afffe"/>
              <w:spacing w:after="0" w:line="240" w:lineRule="atLeast"/>
              <w:ind w:firstLineChars="0" w:firstLine="0"/>
              <w:rPr>
                <w:sz w:val="21"/>
                <w:szCs w:val="21"/>
              </w:rPr>
            </w:pPr>
            <w:r>
              <w:rPr>
                <w:rFonts w:hint="eastAsia"/>
                <w:sz w:val="21"/>
                <w:szCs w:val="21"/>
              </w:rPr>
              <w:t>576</w:t>
            </w:r>
          </w:p>
        </w:tc>
        <w:tc>
          <w:tcPr>
            <w:tcW w:w="1455"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0</w:t>
            </w:r>
          </w:p>
        </w:tc>
      </w:tr>
      <w:tr w:rsidR="00525419">
        <w:trPr>
          <w:cantSplit/>
          <w:trHeight w:val="324"/>
          <w:jc w:val="center"/>
        </w:trPr>
        <w:tc>
          <w:tcPr>
            <w:tcW w:w="1244" w:type="dxa"/>
            <w:vMerge/>
            <w:tcBorders>
              <w:tl2br w:val="nil"/>
              <w:tr2bl w:val="nil"/>
            </w:tcBorders>
            <w:vAlign w:val="center"/>
          </w:tcPr>
          <w:p w:rsidR="00525419" w:rsidRDefault="00525419">
            <w:pPr>
              <w:pStyle w:val="afffe"/>
              <w:spacing w:after="0" w:line="240" w:lineRule="atLeast"/>
              <w:ind w:firstLineChars="0" w:firstLine="0"/>
              <w:rPr>
                <w:sz w:val="21"/>
                <w:szCs w:val="21"/>
              </w:rPr>
            </w:pPr>
          </w:p>
        </w:tc>
        <w:tc>
          <w:tcPr>
            <w:tcW w:w="2606"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石油类</w:t>
            </w:r>
          </w:p>
        </w:tc>
        <w:tc>
          <w:tcPr>
            <w:tcW w:w="1714"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t/a</w:t>
            </w:r>
          </w:p>
        </w:tc>
        <w:tc>
          <w:tcPr>
            <w:tcW w:w="1620" w:type="dxa"/>
            <w:tcBorders>
              <w:tl2br w:val="nil"/>
              <w:tr2bl w:val="nil"/>
            </w:tcBorders>
            <w:vAlign w:val="center"/>
          </w:tcPr>
          <w:p w:rsidR="00525419" w:rsidRDefault="00EE1CF7">
            <w:pPr>
              <w:pStyle w:val="afffe"/>
              <w:spacing w:after="0" w:line="240" w:lineRule="atLeast"/>
              <w:ind w:firstLineChars="0" w:firstLine="0"/>
              <w:rPr>
                <w:sz w:val="21"/>
                <w:szCs w:val="21"/>
              </w:rPr>
            </w:pPr>
            <w:r>
              <w:rPr>
                <w:rFonts w:hint="eastAsia"/>
                <w:sz w:val="21"/>
                <w:szCs w:val="21"/>
              </w:rPr>
              <w:t>73.28</w:t>
            </w:r>
          </w:p>
        </w:tc>
        <w:tc>
          <w:tcPr>
            <w:tcW w:w="1455"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0</w:t>
            </w:r>
          </w:p>
        </w:tc>
      </w:tr>
      <w:tr w:rsidR="00525419">
        <w:trPr>
          <w:cantSplit/>
          <w:trHeight w:val="174"/>
          <w:jc w:val="center"/>
        </w:trPr>
        <w:tc>
          <w:tcPr>
            <w:tcW w:w="1244" w:type="dxa"/>
            <w:vMerge w:val="restart"/>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固废</w:t>
            </w:r>
          </w:p>
        </w:tc>
        <w:tc>
          <w:tcPr>
            <w:tcW w:w="26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危险废物</w:t>
            </w:r>
          </w:p>
        </w:tc>
        <w:tc>
          <w:tcPr>
            <w:tcW w:w="1714"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t/a</w:t>
            </w:r>
          </w:p>
        </w:tc>
        <w:tc>
          <w:tcPr>
            <w:tcW w:w="1620"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96.8</w:t>
            </w:r>
          </w:p>
        </w:tc>
        <w:tc>
          <w:tcPr>
            <w:tcW w:w="1455"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0</w:t>
            </w:r>
          </w:p>
        </w:tc>
      </w:tr>
      <w:tr w:rsidR="00525419">
        <w:trPr>
          <w:cantSplit/>
          <w:trHeight w:val="174"/>
          <w:jc w:val="center"/>
        </w:trPr>
        <w:tc>
          <w:tcPr>
            <w:tcW w:w="1244" w:type="dxa"/>
            <w:vMerge/>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w:t>
            </w:r>
          </w:p>
        </w:tc>
        <w:tc>
          <w:tcPr>
            <w:tcW w:w="26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一般工业固体废物</w:t>
            </w:r>
          </w:p>
        </w:tc>
        <w:tc>
          <w:tcPr>
            <w:tcW w:w="1714"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t/a</w:t>
            </w:r>
          </w:p>
        </w:tc>
        <w:tc>
          <w:tcPr>
            <w:tcW w:w="1620"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23.804</w:t>
            </w:r>
          </w:p>
        </w:tc>
        <w:tc>
          <w:tcPr>
            <w:tcW w:w="1455"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0</w:t>
            </w:r>
          </w:p>
        </w:tc>
      </w:tr>
      <w:tr w:rsidR="00525419">
        <w:trPr>
          <w:cantSplit/>
          <w:trHeight w:hRule="exact" w:val="295"/>
          <w:jc w:val="center"/>
        </w:trPr>
        <w:tc>
          <w:tcPr>
            <w:tcW w:w="1244" w:type="dxa"/>
            <w:vMerge/>
            <w:tcBorders>
              <w:tl2br w:val="nil"/>
              <w:tr2bl w:val="nil"/>
            </w:tcBorders>
            <w:vAlign w:val="center"/>
          </w:tcPr>
          <w:p w:rsidR="00525419" w:rsidRDefault="00525419">
            <w:pPr>
              <w:pStyle w:val="afffe"/>
              <w:spacing w:after="0" w:line="240" w:lineRule="atLeast"/>
              <w:ind w:firstLineChars="0" w:firstLine="0"/>
              <w:rPr>
                <w:sz w:val="21"/>
                <w:szCs w:val="21"/>
              </w:rPr>
            </w:pPr>
          </w:p>
        </w:tc>
        <w:tc>
          <w:tcPr>
            <w:tcW w:w="2606"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生活垃圾</w:t>
            </w:r>
          </w:p>
        </w:tc>
        <w:tc>
          <w:tcPr>
            <w:tcW w:w="1714"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t/a</w:t>
            </w:r>
          </w:p>
        </w:tc>
        <w:tc>
          <w:tcPr>
            <w:tcW w:w="1620"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30</w:t>
            </w:r>
          </w:p>
        </w:tc>
        <w:tc>
          <w:tcPr>
            <w:tcW w:w="1455"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30</w:t>
            </w:r>
          </w:p>
        </w:tc>
      </w:tr>
    </w:tbl>
    <w:p w:rsidR="00525419" w:rsidRDefault="00525419">
      <w:pPr>
        <w:spacing w:line="240" w:lineRule="atLeast"/>
        <w:ind w:firstLineChars="1300" w:firstLine="2730"/>
        <w:rPr>
          <w:rFonts w:ascii="Times New Roman" w:eastAsia="黑体" w:hAnsi="Times New Roman"/>
          <w:szCs w:val="21"/>
        </w:rPr>
      </w:pPr>
    </w:p>
    <w:p w:rsidR="00525419" w:rsidRDefault="00EE1CF7">
      <w:pPr>
        <w:pStyle w:val="3a"/>
        <w:spacing w:beforeLines="50" w:before="159" w:after="156" w:line="360" w:lineRule="auto"/>
        <w:jc w:val="left"/>
        <w:rPr>
          <w:rFonts w:ascii="Times New Roman" w:eastAsia="华文楷体" w:hAnsi="Times New Roman"/>
        </w:rPr>
      </w:pPr>
      <w:bookmarkStart w:id="63" w:name="_Toc335315146"/>
      <w:bookmarkStart w:id="64" w:name="_Toc388894021"/>
      <w:bookmarkStart w:id="65" w:name="_Toc354837493"/>
      <w:bookmarkStart w:id="66" w:name="_Toc484775638"/>
      <w:bookmarkStart w:id="67" w:name="_Toc330205284"/>
      <w:bookmarkStart w:id="68" w:name="_Toc330205285"/>
      <w:r>
        <w:rPr>
          <w:rFonts w:ascii="Times New Roman" w:eastAsia="华文楷体" w:hAnsi="Times New Roman"/>
        </w:rPr>
        <w:t>3.7.7“</w:t>
      </w:r>
      <w:r>
        <w:rPr>
          <w:rFonts w:ascii="Times New Roman" w:eastAsia="华文楷体" w:hAnsi="Times New Roman"/>
        </w:rPr>
        <w:t>三本账</w:t>
      </w:r>
      <w:r>
        <w:rPr>
          <w:rFonts w:ascii="Times New Roman" w:eastAsia="华文楷体" w:hAnsi="Times New Roman"/>
        </w:rPr>
        <w:t>”</w:t>
      </w:r>
      <w:r>
        <w:rPr>
          <w:rFonts w:ascii="Times New Roman" w:eastAsia="华文楷体" w:hAnsi="Times New Roman"/>
        </w:rPr>
        <w:t>核算</w:t>
      </w:r>
    </w:p>
    <w:p w:rsidR="00525419" w:rsidRDefault="00EE1CF7">
      <w:pPr>
        <w:pStyle w:val="afffe"/>
        <w:spacing w:after="0" w:line="360" w:lineRule="auto"/>
        <w:ind w:firstLineChars="200" w:firstLine="480"/>
        <w:rPr>
          <w:sz w:val="24"/>
        </w:rPr>
      </w:pPr>
      <w:r>
        <w:rPr>
          <w:sz w:val="24"/>
        </w:rPr>
        <w:t>根据工程污染源分析，对厂区的主要污染物</w:t>
      </w:r>
      <w:r>
        <w:rPr>
          <w:sz w:val="24"/>
        </w:rPr>
        <w:t>“</w:t>
      </w:r>
      <w:r>
        <w:rPr>
          <w:sz w:val="24"/>
        </w:rPr>
        <w:t>三本帐</w:t>
      </w:r>
      <w:r>
        <w:rPr>
          <w:sz w:val="24"/>
        </w:rPr>
        <w:t>”</w:t>
      </w:r>
      <w:r>
        <w:rPr>
          <w:sz w:val="24"/>
        </w:rPr>
        <w:t>作出统计分析，见表</w:t>
      </w:r>
      <w:r>
        <w:rPr>
          <w:sz w:val="24"/>
        </w:rPr>
        <w:t>3.7-16</w:t>
      </w:r>
      <w:r>
        <w:rPr>
          <w:sz w:val="24"/>
        </w:rPr>
        <w:t>。</w:t>
      </w:r>
    </w:p>
    <w:p w:rsidR="00525419" w:rsidRDefault="00EE1CF7">
      <w:pPr>
        <w:spacing w:line="240" w:lineRule="atLeast"/>
        <w:ind w:firstLineChars="600" w:firstLine="1260"/>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3.7-16</w:t>
      </w:r>
      <w:r>
        <w:rPr>
          <w:rFonts w:ascii="Times New Roman" w:eastAsia="黑体" w:hAnsi="Times New Roman"/>
          <w:szCs w:val="21"/>
        </w:rPr>
        <w:t xml:space="preserve">　　　　　　厂区主要污染物</w:t>
      </w:r>
      <w:r>
        <w:rPr>
          <w:rFonts w:ascii="Times New Roman" w:eastAsia="黑体" w:hAnsi="Times New Roman"/>
          <w:szCs w:val="21"/>
        </w:rPr>
        <w:t>“</w:t>
      </w:r>
      <w:r>
        <w:rPr>
          <w:rFonts w:ascii="Times New Roman" w:eastAsia="黑体" w:hAnsi="Times New Roman"/>
          <w:szCs w:val="21"/>
        </w:rPr>
        <w:t>三本帐</w:t>
      </w:r>
      <w:r>
        <w:rPr>
          <w:rFonts w:ascii="Times New Roman" w:eastAsia="黑体" w:hAnsi="Times New Roman"/>
          <w:szCs w:val="21"/>
        </w:rPr>
        <w:t>”</w:t>
      </w:r>
      <w:r>
        <w:rPr>
          <w:rFonts w:ascii="Times New Roman" w:eastAsia="黑体" w:hAnsi="Times New Roman"/>
          <w:szCs w:val="21"/>
        </w:rPr>
        <w:t>统计　　单位：</w:t>
      </w:r>
      <w:r>
        <w:rPr>
          <w:rFonts w:ascii="Times New Roman" w:eastAsia="黑体" w:hAnsi="Times New Roman"/>
          <w:szCs w:val="21"/>
        </w:rPr>
        <w:t>t/a</w:t>
      </w:r>
    </w:p>
    <w:tbl>
      <w:tblPr>
        <w:tblW w:w="85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91"/>
        <w:gridCol w:w="1135"/>
        <w:gridCol w:w="1130"/>
        <w:gridCol w:w="1101"/>
        <w:gridCol w:w="1157"/>
        <w:gridCol w:w="1769"/>
        <w:gridCol w:w="1430"/>
      </w:tblGrid>
      <w:tr w:rsidR="00525419">
        <w:trPr>
          <w:trHeight w:hRule="exact" w:val="691"/>
          <w:tblHeader/>
          <w:jc w:val="center"/>
        </w:trPr>
        <w:tc>
          <w:tcPr>
            <w:tcW w:w="791"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类别</w:t>
            </w:r>
          </w:p>
        </w:tc>
        <w:tc>
          <w:tcPr>
            <w:tcW w:w="1135"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项目</w:t>
            </w:r>
          </w:p>
        </w:tc>
        <w:tc>
          <w:tcPr>
            <w:tcW w:w="1130"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现有工程排放量</w:t>
            </w:r>
          </w:p>
        </w:tc>
        <w:tc>
          <w:tcPr>
            <w:tcW w:w="1101"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本项目</w:t>
            </w:r>
          </w:p>
        </w:tc>
        <w:tc>
          <w:tcPr>
            <w:tcW w:w="1157"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w:t>
            </w:r>
            <w:r>
              <w:rPr>
                <w:sz w:val="21"/>
                <w:szCs w:val="21"/>
              </w:rPr>
              <w:t>以新带老</w:t>
            </w:r>
            <w:r>
              <w:rPr>
                <w:sz w:val="21"/>
                <w:szCs w:val="21"/>
              </w:rPr>
              <w:t>”</w:t>
            </w:r>
            <w:r>
              <w:rPr>
                <w:sz w:val="21"/>
                <w:szCs w:val="21"/>
              </w:rPr>
              <w:t>削减量</w:t>
            </w:r>
          </w:p>
        </w:tc>
        <w:tc>
          <w:tcPr>
            <w:tcW w:w="1769"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本项目完成后总排放量</w:t>
            </w:r>
          </w:p>
        </w:tc>
        <w:tc>
          <w:tcPr>
            <w:tcW w:w="1430"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增减量变化</w:t>
            </w:r>
          </w:p>
        </w:tc>
      </w:tr>
      <w:tr w:rsidR="00525419">
        <w:trPr>
          <w:cantSplit/>
          <w:trHeight w:val="168"/>
          <w:jc w:val="center"/>
        </w:trPr>
        <w:tc>
          <w:tcPr>
            <w:tcW w:w="791" w:type="dxa"/>
            <w:vMerge w:val="restart"/>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废气</w:t>
            </w:r>
          </w:p>
        </w:tc>
        <w:tc>
          <w:tcPr>
            <w:tcW w:w="1135" w:type="dxa"/>
            <w:tcBorders>
              <w:tl2br w:val="nil"/>
              <w:tr2bl w:val="nil"/>
            </w:tcBorders>
            <w:vAlign w:val="center"/>
          </w:tcPr>
          <w:p w:rsidR="00525419" w:rsidRDefault="00EE1CF7">
            <w:pPr>
              <w:pStyle w:val="afffff1"/>
              <w:spacing w:line="240" w:lineRule="atLeast"/>
              <w:jc w:val="both"/>
            </w:pPr>
            <w:r>
              <w:t>烟尘</w:t>
            </w:r>
          </w:p>
        </w:tc>
        <w:tc>
          <w:tcPr>
            <w:tcW w:w="1130" w:type="dxa"/>
            <w:tcBorders>
              <w:tl2br w:val="nil"/>
              <w:tr2bl w:val="nil"/>
            </w:tcBorders>
            <w:vAlign w:val="center"/>
          </w:tcPr>
          <w:p w:rsidR="00525419" w:rsidRDefault="00EE1CF7">
            <w:pPr>
              <w:widowControl/>
              <w:spacing w:line="240" w:lineRule="atLeast"/>
              <w:textAlignment w:val="center"/>
              <w:rPr>
                <w:rFonts w:ascii="Times New Roman" w:hAnsi="Times New Roman"/>
                <w:kern w:val="0"/>
                <w:szCs w:val="21"/>
              </w:rPr>
            </w:pPr>
            <w:r>
              <w:rPr>
                <w:rFonts w:ascii="Times New Roman" w:hAnsi="Times New Roman"/>
                <w:kern w:val="0"/>
                <w:szCs w:val="21"/>
              </w:rPr>
              <w:t>4.64</w:t>
            </w:r>
          </w:p>
        </w:tc>
        <w:tc>
          <w:tcPr>
            <w:tcW w:w="1101"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10.04</w:t>
            </w:r>
          </w:p>
        </w:tc>
        <w:tc>
          <w:tcPr>
            <w:tcW w:w="1157"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0</w:t>
            </w:r>
          </w:p>
        </w:tc>
        <w:tc>
          <w:tcPr>
            <w:tcW w:w="1769"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14.68</w:t>
            </w:r>
          </w:p>
        </w:tc>
        <w:tc>
          <w:tcPr>
            <w:tcW w:w="1430"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+10.04</w:t>
            </w:r>
          </w:p>
        </w:tc>
      </w:tr>
      <w:tr w:rsidR="00525419">
        <w:trPr>
          <w:cantSplit/>
          <w:trHeight w:val="90"/>
          <w:jc w:val="center"/>
        </w:trPr>
        <w:tc>
          <w:tcPr>
            <w:tcW w:w="791" w:type="dxa"/>
            <w:vMerge/>
            <w:tcBorders>
              <w:tl2br w:val="nil"/>
              <w:tr2bl w:val="nil"/>
            </w:tcBorders>
            <w:vAlign w:val="center"/>
          </w:tcPr>
          <w:p w:rsidR="00525419" w:rsidRDefault="00525419">
            <w:pPr>
              <w:pStyle w:val="afffe"/>
              <w:spacing w:after="0" w:line="240" w:lineRule="atLeast"/>
              <w:ind w:firstLineChars="0" w:firstLine="0"/>
              <w:rPr>
                <w:sz w:val="21"/>
                <w:szCs w:val="21"/>
              </w:rPr>
            </w:pPr>
          </w:p>
        </w:tc>
        <w:tc>
          <w:tcPr>
            <w:tcW w:w="1135" w:type="dxa"/>
            <w:tcBorders>
              <w:tl2br w:val="nil"/>
              <w:tr2bl w:val="nil"/>
            </w:tcBorders>
            <w:vAlign w:val="center"/>
          </w:tcPr>
          <w:p w:rsidR="00525419" w:rsidRDefault="00EE1CF7">
            <w:pPr>
              <w:pStyle w:val="afffff1"/>
              <w:spacing w:line="240" w:lineRule="atLeast"/>
              <w:jc w:val="both"/>
            </w:pPr>
            <w:r>
              <w:t>SO</w:t>
            </w:r>
            <w:r>
              <w:rPr>
                <w:vertAlign w:val="subscript"/>
              </w:rPr>
              <w:t>2</w:t>
            </w:r>
          </w:p>
        </w:tc>
        <w:tc>
          <w:tcPr>
            <w:tcW w:w="1130" w:type="dxa"/>
            <w:tcBorders>
              <w:tl2br w:val="nil"/>
              <w:tr2bl w:val="nil"/>
            </w:tcBorders>
            <w:vAlign w:val="center"/>
          </w:tcPr>
          <w:p w:rsidR="00525419" w:rsidRDefault="00EE1CF7">
            <w:pPr>
              <w:widowControl/>
              <w:spacing w:line="240" w:lineRule="atLeast"/>
              <w:textAlignment w:val="center"/>
              <w:rPr>
                <w:rFonts w:ascii="Times New Roman" w:hAnsi="Times New Roman"/>
                <w:kern w:val="0"/>
                <w:szCs w:val="21"/>
              </w:rPr>
            </w:pPr>
            <w:r>
              <w:rPr>
                <w:rFonts w:ascii="Times New Roman" w:hAnsi="Times New Roman"/>
                <w:kern w:val="0"/>
                <w:szCs w:val="21"/>
              </w:rPr>
              <w:t>5.76</w:t>
            </w:r>
          </w:p>
        </w:tc>
        <w:tc>
          <w:tcPr>
            <w:tcW w:w="1101"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29.87</w:t>
            </w:r>
          </w:p>
        </w:tc>
        <w:tc>
          <w:tcPr>
            <w:tcW w:w="1157"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0</w:t>
            </w:r>
          </w:p>
        </w:tc>
        <w:tc>
          <w:tcPr>
            <w:tcW w:w="1769"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35.63</w:t>
            </w:r>
          </w:p>
        </w:tc>
        <w:tc>
          <w:tcPr>
            <w:tcW w:w="1430"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+29.87</w:t>
            </w:r>
          </w:p>
        </w:tc>
      </w:tr>
      <w:tr w:rsidR="00525419">
        <w:trPr>
          <w:cantSplit/>
          <w:trHeight w:val="350"/>
          <w:jc w:val="center"/>
        </w:trPr>
        <w:tc>
          <w:tcPr>
            <w:tcW w:w="791" w:type="dxa"/>
            <w:vMerge/>
            <w:tcBorders>
              <w:tl2br w:val="nil"/>
              <w:tr2bl w:val="nil"/>
            </w:tcBorders>
            <w:vAlign w:val="center"/>
          </w:tcPr>
          <w:p w:rsidR="00525419" w:rsidRDefault="00525419">
            <w:pPr>
              <w:pStyle w:val="afffe"/>
              <w:spacing w:after="0" w:line="240" w:lineRule="atLeast"/>
              <w:ind w:firstLineChars="0" w:firstLine="0"/>
              <w:rPr>
                <w:sz w:val="21"/>
                <w:szCs w:val="21"/>
              </w:rPr>
            </w:pPr>
          </w:p>
        </w:tc>
        <w:tc>
          <w:tcPr>
            <w:tcW w:w="1135" w:type="dxa"/>
            <w:tcBorders>
              <w:tl2br w:val="nil"/>
              <w:tr2bl w:val="nil"/>
            </w:tcBorders>
            <w:vAlign w:val="center"/>
          </w:tcPr>
          <w:p w:rsidR="00525419" w:rsidRDefault="00EE1CF7">
            <w:pPr>
              <w:pStyle w:val="afffff1"/>
              <w:spacing w:line="240" w:lineRule="atLeast"/>
              <w:jc w:val="both"/>
            </w:pPr>
            <w:r>
              <w:t>NO</w:t>
            </w:r>
            <w:r>
              <w:rPr>
                <w:vertAlign w:val="subscript"/>
              </w:rPr>
              <w:t>x</w:t>
            </w:r>
          </w:p>
        </w:tc>
        <w:tc>
          <w:tcPr>
            <w:tcW w:w="1130" w:type="dxa"/>
            <w:tcBorders>
              <w:tl2br w:val="nil"/>
              <w:tr2bl w:val="nil"/>
            </w:tcBorders>
            <w:vAlign w:val="center"/>
          </w:tcPr>
          <w:p w:rsidR="00525419" w:rsidRDefault="00EE1CF7">
            <w:pPr>
              <w:widowControl/>
              <w:spacing w:line="240" w:lineRule="atLeast"/>
              <w:textAlignment w:val="center"/>
              <w:rPr>
                <w:rFonts w:ascii="Times New Roman" w:hAnsi="Times New Roman"/>
                <w:kern w:val="0"/>
                <w:szCs w:val="21"/>
              </w:rPr>
            </w:pPr>
            <w:r>
              <w:rPr>
                <w:rFonts w:ascii="Times New Roman" w:hAnsi="Times New Roman"/>
                <w:kern w:val="0"/>
                <w:szCs w:val="21"/>
              </w:rPr>
              <w:t>32.32</w:t>
            </w:r>
          </w:p>
        </w:tc>
        <w:tc>
          <w:tcPr>
            <w:tcW w:w="1101"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75.02</w:t>
            </w:r>
          </w:p>
        </w:tc>
        <w:tc>
          <w:tcPr>
            <w:tcW w:w="1157"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0</w:t>
            </w:r>
          </w:p>
        </w:tc>
        <w:tc>
          <w:tcPr>
            <w:tcW w:w="1769"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107.34</w:t>
            </w:r>
          </w:p>
        </w:tc>
        <w:tc>
          <w:tcPr>
            <w:tcW w:w="1430"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+75.02</w:t>
            </w:r>
          </w:p>
        </w:tc>
      </w:tr>
      <w:tr w:rsidR="00525419">
        <w:trPr>
          <w:cantSplit/>
          <w:trHeight w:val="158"/>
          <w:jc w:val="center"/>
        </w:trPr>
        <w:tc>
          <w:tcPr>
            <w:tcW w:w="791" w:type="dxa"/>
            <w:vMerge/>
            <w:tcBorders>
              <w:tl2br w:val="nil"/>
              <w:tr2bl w:val="nil"/>
            </w:tcBorders>
            <w:vAlign w:val="center"/>
          </w:tcPr>
          <w:p w:rsidR="00525419" w:rsidRDefault="00525419">
            <w:pPr>
              <w:pStyle w:val="afffe"/>
              <w:spacing w:after="0" w:line="240" w:lineRule="atLeast"/>
              <w:ind w:firstLineChars="0" w:firstLine="0"/>
              <w:rPr>
                <w:sz w:val="21"/>
                <w:szCs w:val="21"/>
              </w:rPr>
            </w:pPr>
          </w:p>
        </w:tc>
        <w:tc>
          <w:tcPr>
            <w:tcW w:w="1135" w:type="dxa"/>
            <w:tcBorders>
              <w:tl2br w:val="nil"/>
              <w:tr2bl w:val="nil"/>
            </w:tcBorders>
            <w:vAlign w:val="center"/>
          </w:tcPr>
          <w:p w:rsidR="00525419" w:rsidRDefault="00EE1CF7">
            <w:pPr>
              <w:pStyle w:val="afffff1"/>
              <w:spacing w:line="240" w:lineRule="atLeast"/>
              <w:jc w:val="both"/>
            </w:pPr>
            <w:r>
              <w:t>VOCs</w:t>
            </w:r>
          </w:p>
        </w:tc>
        <w:tc>
          <w:tcPr>
            <w:tcW w:w="1130" w:type="dxa"/>
            <w:tcBorders>
              <w:tl2br w:val="nil"/>
              <w:tr2bl w:val="nil"/>
            </w:tcBorders>
            <w:vAlign w:val="center"/>
          </w:tcPr>
          <w:p w:rsidR="00525419" w:rsidRDefault="00EE1CF7">
            <w:pPr>
              <w:spacing w:line="240" w:lineRule="atLeast"/>
              <w:textAlignment w:val="center"/>
              <w:rPr>
                <w:rFonts w:ascii="Times New Roman" w:hAnsi="Times New Roman"/>
                <w:kern w:val="0"/>
                <w:szCs w:val="21"/>
              </w:rPr>
            </w:pPr>
            <w:r>
              <w:rPr>
                <w:rFonts w:ascii="Times New Roman" w:hAnsi="Times New Roman"/>
                <w:kern w:val="0"/>
                <w:szCs w:val="21"/>
              </w:rPr>
              <w:t>182.8014</w:t>
            </w:r>
          </w:p>
        </w:tc>
        <w:tc>
          <w:tcPr>
            <w:tcW w:w="1101" w:type="dxa"/>
            <w:tcBorders>
              <w:tl2br w:val="nil"/>
              <w:tr2bl w:val="nil"/>
            </w:tcBorders>
            <w:vAlign w:val="center"/>
          </w:tcPr>
          <w:p w:rsidR="00525419" w:rsidRDefault="00EE1CF7">
            <w:pPr>
              <w:pStyle w:val="afffe"/>
              <w:spacing w:after="0" w:line="240" w:lineRule="atLeast"/>
              <w:ind w:firstLineChars="0" w:firstLine="0"/>
              <w:rPr>
                <w:sz w:val="21"/>
                <w:szCs w:val="21"/>
              </w:rPr>
            </w:pPr>
            <w:r>
              <w:rPr>
                <w:rFonts w:hint="eastAsia"/>
                <w:sz w:val="21"/>
                <w:szCs w:val="21"/>
              </w:rPr>
              <w:t>53.47</w:t>
            </w:r>
          </w:p>
        </w:tc>
        <w:tc>
          <w:tcPr>
            <w:tcW w:w="1157" w:type="dxa"/>
            <w:tcBorders>
              <w:tl2br w:val="nil"/>
              <w:tr2bl w:val="nil"/>
            </w:tcBorders>
            <w:vAlign w:val="center"/>
          </w:tcPr>
          <w:p w:rsidR="00525419" w:rsidRDefault="00EE1CF7">
            <w:pPr>
              <w:pStyle w:val="afffe"/>
              <w:spacing w:after="0" w:line="240" w:lineRule="atLeast"/>
              <w:ind w:firstLineChars="0" w:firstLine="0"/>
              <w:rPr>
                <w:sz w:val="21"/>
                <w:szCs w:val="21"/>
              </w:rPr>
            </w:pPr>
            <w:r>
              <w:rPr>
                <w:rFonts w:hint="eastAsia"/>
                <w:sz w:val="21"/>
                <w:szCs w:val="21"/>
              </w:rPr>
              <w:t>0</w:t>
            </w:r>
          </w:p>
        </w:tc>
        <w:tc>
          <w:tcPr>
            <w:tcW w:w="1769" w:type="dxa"/>
            <w:tcBorders>
              <w:tl2br w:val="nil"/>
              <w:tr2bl w:val="nil"/>
            </w:tcBorders>
            <w:vAlign w:val="center"/>
          </w:tcPr>
          <w:p w:rsidR="00525419" w:rsidRDefault="00EE1CF7">
            <w:pPr>
              <w:pStyle w:val="afffe"/>
              <w:spacing w:after="0" w:line="240" w:lineRule="atLeast"/>
              <w:ind w:firstLineChars="0" w:firstLine="0"/>
              <w:rPr>
                <w:sz w:val="21"/>
                <w:szCs w:val="21"/>
              </w:rPr>
            </w:pPr>
            <w:r>
              <w:rPr>
                <w:rFonts w:hint="eastAsia"/>
                <w:sz w:val="21"/>
                <w:szCs w:val="21"/>
              </w:rPr>
              <w:t>236.7414</w:t>
            </w:r>
          </w:p>
        </w:tc>
        <w:tc>
          <w:tcPr>
            <w:tcW w:w="1430" w:type="dxa"/>
            <w:tcBorders>
              <w:tl2br w:val="nil"/>
              <w:tr2bl w:val="nil"/>
            </w:tcBorders>
            <w:vAlign w:val="center"/>
          </w:tcPr>
          <w:p w:rsidR="00525419" w:rsidRDefault="00EE1CF7">
            <w:pPr>
              <w:pStyle w:val="afffe"/>
              <w:spacing w:after="0" w:line="240" w:lineRule="atLeast"/>
              <w:ind w:firstLineChars="0" w:firstLine="0"/>
              <w:rPr>
                <w:sz w:val="21"/>
                <w:szCs w:val="21"/>
              </w:rPr>
            </w:pPr>
            <w:r>
              <w:rPr>
                <w:rFonts w:hint="eastAsia"/>
                <w:sz w:val="21"/>
                <w:szCs w:val="21"/>
              </w:rPr>
              <w:t>+53.47</w:t>
            </w:r>
          </w:p>
        </w:tc>
      </w:tr>
      <w:tr w:rsidR="00525419">
        <w:trPr>
          <w:cantSplit/>
          <w:trHeight w:val="248"/>
          <w:jc w:val="center"/>
        </w:trPr>
        <w:tc>
          <w:tcPr>
            <w:tcW w:w="791" w:type="dxa"/>
            <w:vMerge w:val="restart"/>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废水</w:t>
            </w:r>
          </w:p>
        </w:tc>
        <w:tc>
          <w:tcPr>
            <w:tcW w:w="1135"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COD</w:t>
            </w:r>
          </w:p>
        </w:tc>
        <w:tc>
          <w:tcPr>
            <w:tcW w:w="1130"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0</w:t>
            </w:r>
          </w:p>
        </w:tc>
        <w:tc>
          <w:tcPr>
            <w:tcW w:w="1101"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w:t>
            </w:r>
          </w:p>
        </w:tc>
        <w:tc>
          <w:tcPr>
            <w:tcW w:w="1157"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0</w:t>
            </w:r>
          </w:p>
        </w:tc>
        <w:tc>
          <w:tcPr>
            <w:tcW w:w="1769"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0</w:t>
            </w:r>
          </w:p>
        </w:tc>
        <w:tc>
          <w:tcPr>
            <w:tcW w:w="1430"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0</w:t>
            </w:r>
          </w:p>
        </w:tc>
      </w:tr>
      <w:tr w:rsidR="00525419">
        <w:trPr>
          <w:cantSplit/>
          <w:trHeight w:hRule="exact" w:val="371"/>
          <w:jc w:val="center"/>
        </w:trPr>
        <w:tc>
          <w:tcPr>
            <w:tcW w:w="791" w:type="dxa"/>
            <w:vMerge/>
            <w:tcBorders>
              <w:tl2br w:val="nil"/>
              <w:tr2bl w:val="nil"/>
            </w:tcBorders>
            <w:vAlign w:val="center"/>
          </w:tcPr>
          <w:p w:rsidR="00525419" w:rsidRDefault="00525419">
            <w:pPr>
              <w:pStyle w:val="afffe"/>
              <w:spacing w:after="0" w:line="240" w:lineRule="atLeast"/>
              <w:ind w:firstLineChars="0" w:firstLine="0"/>
              <w:rPr>
                <w:sz w:val="21"/>
                <w:szCs w:val="21"/>
              </w:rPr>
            </w:pPr>
          </w:p>
        </w:tc>
        <w:tc>
          <w:tcPr>
            <w:tcW w:w="1135"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氨氮</w:t>
            </w:r>
          </w:p>
        </w:tc>
        <w:tc>
          <w:tcPr>
            <w:tcW w:w="1130"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0</w:t>
            </w:r>
          </w:p>
        </w:tc>
        <w:tc>
          <w:tcPr>
            <w:tcW w:w="1101"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w:t>
            </w:r>
          </w:p>
        </w:tc>
        <w:tc>
          <w:tcPr>
            <w:tcW w:w="1157"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0</w:t>
            </w:r>
          </w:p>
        </w:tc>
        <w:tc>
          <w:tcPr>
            <w:tcW w:w="1769"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0</w:t>
            </w:r>
          </w:p>
        </w:tc>
        <w:tc>
          <w:tcPr>
            <w:tcW w:w="1430"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0</w:t>
            </w:r>
          </w:p>
        </w:tc>
      </w:tr>
      <w:tr w:rsidR="00525419">
        <w:trPr>
          <w:cantSplit/>
          <w:trHeight w:hRule="exact" w:val="304"/>
          <w:jc w:val="center"/>
        </w:trPr>
        <w:tc>
          <w:tcPr>
            <w:tcW w:w="791" w:type="dxa"/>
            <w:vMerge/>
            <w:tcBorders>
              <w:tl2br w:val="nil"/>
              <w:tr2bl w:val="nil"/>
            </w:tcBorders>
            <w:vAlign w:val="center"/>
          </w:tcPr>
          <w:p w:rsidR="00525419" w:rsidRDefault="00525419">
            <w:pPr>
              <w:pStyle w:val="afffe"/>
              <w:spacing w:after="0" w:line="240" w:lineRule="atLeast"/>
              <w:ind w:firstLineChars="0" w:firstLine="0"/>
              <w:rPr>
                <w:sz w:val="21"/>
                <w:szCs w:val="21"/>
              </w:rPr>
            </w:pPr>
          </w:p>
        </w:tc>
        <w:tc>
          <w:tcPr>
            <w:tcW w:w="1135"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石油类</w:t>
            </w:r>
          </w:p>
        </w:tc>
        <w:tc>
          <w:tcPr>
            <w:tcW w:w="1130"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0</w:t>
            </w:r>
          </w:p>
        </w:tc>
        <w:tc>
          <w:tcPr>
            <w:tcW w:w="1101" w:type="dxa"/>
            <w:tcBorders>
              <w:tl2br w:val="nil"/>
              <w:tr2bl w:val="nil"/>
            </w:tcBorders>
            <w:vAlign w:val="center"/>
          </w:tcPr>
          <w:p w:rsidR="00525419" w:rsidRDefault="00EE1CF7">
            <w:pPr>
              <w:spacing w:line="240" w:lineRule="atLeast"/>
              <w:rPr>
                <w:rFonts w:ascii="Times New Roman" w:hAnsi="Times New Roman"/>
                <w:szCs w:val="21"/>
              </w:rPr>
            </w:pPr>
            <w:r>
              <w:rPr>
                <w:rFonts w:ascii="Times New Roman" w:hAnsi="Times New Roman"/>
                <w:szCs w:val="21"/>
              </w:rPr>
              <w:t>0</w:t>
            </w:r>
          </w:p>
        </w:tc>
        <w:tc>
          <w:tcPr>
            <w:tcW w:w="1157"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0</w:t>
            </w:r>
          </w:p>
        </w:tc>
        <w:tc>
          <w:tcPr>
            <w:tcW w:w="1769"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0</w:t>
            </w:r>
          </w:p>
        </w:tc>
        <w:tc>
          <w:tcPr>
            <w:tcW w:w="1430"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0</w:t>
            </w:r>
          </w:p>
        </w:tc>
      </w:tr>
      <w:tr w:rsidR="00525419">
        <w:trPr>
          <w:cantSplit/>
          <w:trHeight w:hRule="exact" w:val="283"/>
          <w:jc w:val="center"/>
        </w:trPr>
        <w:tc>
          <w:tcPr>
            <w:tcW w:w="791"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固废</w:t>
            </w:r>
          </w:p>
        </w:tc>
        <w:tc>
          <w:tcPr>
            <w:tcW w:w="1135"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固体废物</w:t>
            </w:r>
          </w:p>
        </w:tc>
        <w:tc>
          <w:tcPr>
            <w:tcW w:w="1130"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0</w:t>
            </w:r>
          </w:p>
        </w:tc>
        <w:tc>
          <w:tcPr>
            <w:tcW w:w="1101"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0</w:t>
            </w:r>
          </w:p>
        </w:tc>
        <w:tc>
          <w:tcPr>
            <w:tcW w:w="1157"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0</w:t>
            </w:r>
          </w:p>
        </w:tc>
        <w:tc>
          <w:tcPr>
            <w:tcW w:w="1769"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0</w:t>
            </w:r>
          </w:p>
        </w:tc>
        <w:tc>
          <w:tcPr>
            <w:tcW w:w="1430" w:type="dxa"/>
            <w:tcBorders>
              <w:tl2br w:val="nil"/>
              <w:tr2bl w:val="nil"/>
            </w:tcBorders>
            <w:vAlign w:val="center"/>
          </w:tcPr>
          <w:p w:rsidR="00525419" w:rsidRDefault="00EE1CF7">
            <w:pPr>
              <w:pStyle w:val="afffe"/>
              <w:spacing w:after="0" w:line="240" w:lineRule="atLeast"/>
              <w:ind w:firstLineChars="0" w:firstLine="0"/>
              <w:rPr>
                <w:sz w:val="21"/>
                <w:szCs w:val="21"/>
              </w:rPr>
            </w:pPr>
            <w:r>
              <w:rPr>
                <w:sz w:val="21"/>
                <w:szCs w:val="21"/>
              </w:rPr>
              <w:t>0</w:t>
            </w:r>
          </w:p>
        </w:tc>
      </w:tr>
    </w:tbl>
    <w:p w:rsidR="00525419" w:rsidRDefault="00EE1CF7">
      <w:pPr>
        <w:pStyle w:val="2a"/>
        <w:spacing w:beforeLines="50" w:before="159" w:after="159"/>
        <w:ind w:left="578" w:hanging="578"/>
        <w:rPr>
          <w:rFonts w:ascii="Times New Roman" w:eastAsia="楷体_GB2312" w:hAnsi="Times New Roman"/>
          <w:sz w:val="36"/>
        </w:rPr>
      </w:pPr>
      <w:bookmarkStart w:id="69" w:name="_Toc17628"/>
      <w:r>
        <w:rPr>
          <w:rFonts w:ascii="Times New Roman" w:eastAsia="楷体_GB2312" w:hAnsi="Times New Roman"/>
          <w:sz w:val="36"/>
        </w:rPr>
        <w:t>3.8</w:t>
      </w:r>
      <w:r>
        <w:rPr>
          <w:rFonts w:ascii="Times New Roman" w:eastAsia="楷体_GB2312" w:hAnsi="Times New Roman"/>
          <w:sz w:val="36"/>
        </w:rPr>
        <w:t>清洁生产分析</w:t>
      </w:r>
      <w:bookmarkEnd w:id="69"/>
    </w:p>
    <w:p w:rsidR="00525419" w:rsidRDefault="00EE1CF7">
      <w:pPr>
        <w:pStyle w:val="3a"/>
        <w:spacing w:beforeLines="50" w:before="159" w:after="156" w:line="360" w:lineRule="auto"/>
        <w:jc w:val="left"/>
        <w:rPr>
          <w:rFonts w:ascii="Times New Roman" w:eastAsia="华文楷体" w:hAnsi="Times New Roman"/>
        </w:rPr>
      </w:pPr>
      <w:r>
        <w:rPr>
          <w:rFonts w:ascii="Times New Roman" w:eastAsia="华文楷体" w:hAnsi="Times New Roman"/>
        </w:rPr>
        <w:t>3.8.1</w:t>
      </w:r>
      <w:r>
        <w:rPr>
          <w:rFonts w:ascii="Times New Roman" w:eastAsia="华文楷体" w:hAnsi="Times New Roman"/>
        </w:rPr>
        <w:t>清洁生产概述</w:t>
      </w:r>
    </w:p>
    <w:p w:rsidR="00525419" w:rsidRDefault="00EE1CF7">
      <w:pPr>
        <w:autoSpaceDE w:val="0"/>
        <w:autoSpaceDN w:val="0"/>
        <w:adjustRightInd w:val="0"/>
        <w:spacing w:line="360" w:lineRule="auto"/>
        <w:ind w:firstLine="480"/>
        <w:rPr>
          <w:rFonts w:ascii="Times New Roman" w:hAnsi="Times New Roman"/>
          <w:sz w:val="24"/>
        </w:rPr>
      </w:pPr>
      <w:r>
        <w:rPr>
          <w:rFonts w:ascii="Times New Roman" w:hAnsi="Times New Roman"/>
          <w:sz w:val="24"/>
          <w:lang w:val="zh-CN"/>
        </w:rPr>
        <w:t>清洁生产是将综合预防污染的环境策略持续应用于生产过程和产品中，以减少生产活动对人类环境的污染。就生产过程而言，清洁生产应最大限度地利用资源和能源，通过循环利用、重复使用，使原材料最大限度地转换为产品。节约能源、降低原材料消耗、减少污染物的产生量和排放量，应贯穿于生产产品的整个周期。其目的是保护环境，提高企业的经济效率。</w:t>
      </w:r>
    </w:p>
    <w:p w:rsidR="00525419" w:rsidRDefault="00EE1CF7">
      <w:pPr>
        <w:autoSpaceDE w:val="0"/>
        <w:autoSpaceDN w:val="0"/>
        <w:adjustRightInd w:val="0"/>
        <w:spacing w:line="360" w:lineRule="auto"/>
        <w:ind w:firstLine="480"/>
        <w:rPr>
          <w:rFonts w:ascii="Times New Roman" w:hAnsi="Times New Roman"/>
          <w:sz w:val="24"/>
        </w:rPr>
      </w:pPr>
      <w:r>
        <w:rPr>
          <w:rFonts w:ascii="Times New Roman" w:hAnsi="Times New Roman"/>
          <w:sz w:val="24"/>
          <w:lang w:val="zh-CN"/>
        </w:rPr>
        <w:t>本项目的清洁生产分析，将从生产工艺及装备指标、资源能源指标、废物回收利用指标和环境管理四个方面论述拟建生产线的清洁生产水平。</w:t>
      </w:r>
    </w:p>
    <w:p w:rsidR="00525419" w:rsidRDefault="00EE1CF7">
      <w:pPr>
        <w:pStyle w:val="3a"/>
        <w:spacing w:beforeLines="50" w:before="159" w:after="156" w:line="360" w:lineRule="auto"/>
        <w:jc w:val="left"/>
        <w:rPr>
          <w:rFonts w:ascii="Times New Roman" w:eastAsia="华文楷体" w:hAnsi="Times New Roman"/>
        </w:rPr>
      </w:pPr>
      <w:r>
        <w:rPr>
          <w:rFonts w:ascii="Times New Roman" w:eastAsia="华文楷体" w:hAnsi="Times New Roman"/>
        </w:rPr>
        <w:t>3.8.2</w:t>
      </w:r>
      <w:r>
        <w:rPr>
          <w:rFonts w:ascii="Times New Roman" w:eastAsia="华文楷体" w:hAnsi="Times New Roman"/>
        </w:rPr>
        <w:t>清洁生产评价体系</w:t>
      </w:r>
    </w:p>
    <w:p w:rsidR="00525419" w:rsidRDefault="00EE1CF7">
      <w:pPr>
        <w:autoSpaceDE w:val="0"/>
        <w:autoSpaceDN w:val="0"/>
        <w:adjustRightInd w:val="0"/>
        <w:spacing w:line="360" w:lineRule="auto"/>
        <w:ind w:firstLineChars="200" w:firstLine="480"/>
        <w:rPr>
          <w:rFonts w:ascii="Times New Roman" w:hAnsi="Times New Roman"/>
          <w:kern w:val="0"/>
          <w:sz w:val="24"/>
          <w:szCs w:val="20"/>
        </w:rPr>
      </w:pPr>
      <w:r>
        <w:rPr>
          <w:rFonts w:ascii="Times New Roman" w:hAnsi="Times New Roman"/>
          <w:kern w:val="0"/>
          <w:sz w:val="24"/>
          <w:szCs w:val="20"/>
        </w:rPr>
        <w:t>由于本项目属于煤焦油加工行业，不适宜采用《清洁生产标准</w:t>
      </w:r>
      <w:r>
        <w:rPr>
          <w:rFonts w:ascii="Times New Roman" w:hAnsi="Times New Roman"/>
          <w:kern w:val="0"/>
          <w:sz w:val="24"/>
          <w:szCs w:val="20"/>
        </w:rPr>
        <w:t xml:space="preserve"> </w:t>
      </w:r>
      <w:r>
        <w:rPr>
          <w:rFonts w:ascii="Times New Roman" w:hAnsi="Times New Roman"/>
          <w:kern w:val="0"/>
          <w:sz w:val="24"/>
          <w:szCs w:val="20"/>
        </w:rPr>
        <w:t>炼焦行业》（</w:t>
      </w:r>
      <w:r>
        <w:rPr>
          <w:rFonts w:ascii="Times New Roman" w:hAnsi="Times New Roman"/>
          <w:kern w:val="0"/>
          <w:sz w:val="24"/>
          <w:szCs w:val="20"/>
        </w:rPr>
        <w:t>HJT/126-2003</w:t>
      </w:r>
      <w:r>
        <w:rPr>
          <w:rFonts w:ascii="Times New Roman" w:hAnsi="Times New Roman"/>
          <w:kern w:val="0"/>
          <w:sz w:val="24"/>
          <w:szCs w:val="20"/>
        </w:rPr>
        <w:t>）进行清洁生产水平分析。目前相关部门亦未发布煤焦油加工行业相关清洁生产标准，因此评价根据国家环境保护局颁发的《清洁生产审计指南》和</w:t>
      </w:r>
      <w:r>
        <w:rPr>
          <w:rFonts w:ascii="Times New Roman" w:hAnsi="Times New Roman"/>
          <w:kern w:val="0"/>
          <w:sz w:val="24"/>
          <w:szCs w:val="20"/>
        </w:rPr>
        <w:t>HJ/T425-2008</w:t>
      </w:r>
      <w:r>
        <w:rPr>
          <w:rFonts w:ascii="Times New Roman" w:hAnsi="Times New Roman"/>
          <w:kern w:val="0"/>
          <w:sz w:val="24"/>
          <w:szCs w:val="20"/>
        </w:rPr>
        <w:t>《清洁生产标准</w:t>
      </w:r>
      <w:r>
        <w:rPr>
          <w:rFonts w:ascii="Times New Roman" w:hAnsi="Times New Roman"/>
          <w:kern w:val="0"/>
          <w:sz w:val="24"/>
          <w:szCs w:val="20"/>
        </w:rPr>
        <w:t xml:space="preserve"> </w:t>
      </w:r>
      <w:r>
        <w:rPr>
          <w:rFonts w:ascii="Times New Roman" w:hAnsi="Times New Roman"/>
          <w:kern w:val="0"/>
          <w:sz w:val="24"/>
          <w:szCs w:val="20"/>
        </w:rPr>
        <w:t>制订技术导则》的要求，对该项目的生产工艺与装备要求、资源能源利用指标、产品指标、污染物产生指标（末端治理前）、废物回收利用指标等方面进行分析，论述本项目清洁生产水平。</w:t>
      </w:r>
    </w:p>
    <w:p w:rsidR="00525419" w:rsidRDefault="00EE1CF7">
      <w:pPr>
        <w:pStyle w:val="3a"/>
        <w:spacing w:beforeLines="50" w:before="159" w:after="156" w:line="360" w:lineRule="auto"/>
        <w:jc w:val="left"/>
        <w:rPr>
          <w:rFonts w:ascii="Times New Roman" w:eastAsia="华文楷体" w:hAnsi="Times New Roman"/>
        </w:rPr>
      </w:pPr>
      <w:r>
        <w:rPr>
          <w:rFonts w:ascii="Times New Roman" w:eastAsia="华文楷体" w:hAnsi="Times New Roman"/>
        </w:rPr>
        <w:t>3.8.3</w:t>
      </w:r>
      <w:r>
        <w:rPr>
          <w:rFonts w:ascii="Times New Roman" w:eastAsia="华文楷体" w:hAnsi="Times New Roman"/>
        </w:rPr>
        <w:t>本项目清洁生产分析</w:t>
      </w:r>
    </w:p>
    <w:p w:rsidR="00525419" w:rsidRDefault="00EE1CF7">
      <w:pPr>
        <w:widowControl/>
        <w:spacing w:line="360" w:lineRule="auto"/>
        <w:jc w:val="left"/>
        <w:rPr>
          <w:rFonts w:ascii="Times New Roman" w:hAnsi="Times New Roman"/>
          <w:b/>
          <w:bCs/>
          <w:kern w:val="0"/>
          <w:sz w:val="24"/>
          <w:szCs w:val="20"/>
        </w:rPr>
      </w:pPr>
      <w:r>
        <w:rPr>
          <w:rFonts w:ascii="Times New Roman" w:hAnsi="Times New Roman"/>
          <w:b/>
          <w:bCs/>
          <w:kern w:val="0"/>
          <w:sz w:val="24"/>
          <w:szCs w:val="20"/>
        </w:rPr>
        <w:t>3.8.3.1</w:t>
      </w:r>
      <w:r>
        <w:rPr>
          <w:rFonts w:ascii="Times New Roman" w:hAnsi="Times New Roman"/>
          <w:b/>
          <w:bCs/>
          <w:kern w:val="0"/>
          <w:sz w:val="24"/>
          <w:szCs w:val="20"/>
        </w:rPr>
        <w:t>生产工艺与装备要求</w:t>
      </w:r>
    </w:p>
    <w:p w:rsidR="00525419" w:rsidRDefault="00EE1CF7">
      <w:pPr>
        <w:autoSpaceDE w:val="0"/>
        <w:autoSpaceDN w:val="0"/>
        <w:adjustRightInd w:val="0"/>
        <w:spacing w:line="360" w:lineRule="auto"/>
        <w:ind w:firstLineChars="200" w:firstLine="482"/>
        <w:rPr>
          <w:rFonts w:ascii="Times New Roman" w:hAnsi="Times New Roman"/>
          <w:b/>
          <w:bCs/>
          <w:sz w:val="24"/>
          <w:szCs w:val="20"/>
        </w:rPr>
      </w:pPr>
      <w:r>
        <w:rPr>
          <w:rFonts w:ascii="Times New Roman" w:hAnsi="Times New Roman"/>
          <w:b/>
          <w:bCs/>
          <w:sz w:val="24"/>
          <w:szCs w:val="20"/>
        </w:rPr>
        <w:t>（</w:t>
      </w:r>
      <w:r>
        <w:rPr>
          <w:rFonts w:ascii="Times New Roman" w:hAnsi="Times New Roman"/>
          <w:b/>
          <w:bCs/>
          <w:sz w:val="24"/>
          <w:szCs w:val="20"/>
        </w:rPr>
        <w:t>1</w:t>
      </w:r>
      <w:r>
        <w:rPr>
          <w:rFonts w:ascii="Times New Roman" w:hAnsi="Times New Roman"/>
          <w:b/>
          <w:bCs/>
          <w:sz w:val="24"/>
          <w:szCs w:val="20"/>
        </w:rPr>
        <w:t>）制氢技术</w:t>
      </w:r>
    </w:p>
    <w:p w:rsidR="00525419" w:rsidRDefault="00EE1CF7">
      <w:pPr>
        <w:autoSpaceDE w:val="0"/>
        <w:autoSpaceDN w:val="0"/>
        <w:adjustRightInd w:val="0"/>
        <w:spacing w:line="360" w:lineRule="auto"/>
        <w:ind w:firstLineChars="200" w:firstLine="480"/>
        <w:rPr>
          <w:rFonts w:ascii="Times New Roman" w:hAnsi="Times New Roman"/>
          <w:kern w:val="0"/>
          <w:sz w:val="24"/>
          <w:szCs w:val="20"/>
        </w:rPr>
      </w:pPr>
      <w:r>
        <w:rPr>
          <w:rFonts w:ascii="Times New Roman" w:hAnsi="Times New Roman"/>
          <w:kern w:val="0"/>
          <w:sz w:val="24"/>
          <w:szCs w:val="20"/>
        </w:rPr>
        <w:t>根据原料及工艺路线的不同，目前氢气主要有以下几种方法获得：电解水法；</w:t>
      </w:r>
      <w:r>
        <w:rPr>
          <w:rFonts w:ascii="Times New Roman" w:hAnsi="Times New Roman"/>
          <w:kern w:val="0"/>
          <w:sz w:val="24"/>
          <w:szCs w:val="20"/>
        </w:rPr>
        <w:lastRenderedPageBreak/>
        <w:t>烃类水蒸气转化法；甲醇裂解制氢；石油炼制与石油化工过程中的各种副产氢提纯。从工艺技术方案、工艺操作参数、工艺操作难易程度、公用工程消耗、自控水平等方面比较如下，具体见</w:t>
      </w:r>
      <w:r>
        <w:rPr>
          <w:rFonts w:ascii="Times New Roman" w:hAnsi="Times New Roman"/>
          <w:kern w:val="0"/>
          <w:sz w:val="24"/>
          <w:szCs w:val="20"/>
        </w:rPr>
        <w:t>3.8-1</w:t>
      </w:r>
      <w:r>
        <w:rPr>
          <w:rFonts w:ascii="Times New Roman" w:hAnsi="Times New Roman"/>
          <w:kern w:val="0"/>
          <w:sz w:val="24"/>
          <w:szCs w:val="20"/>
        </w:rPr>
        <w:t>。</w:t>
      </w:r>
    </w:p>
    <w:p w:rsidR="00525419" w:rsidRDefault="00EE1CF7">
      <w:pPr>
        <w:pStyle w:val="ae"/>
        <w:keepNext/>
        <w:adjustRightInd w:val="0"/>
        <w:snapToGrid w:val="0"/>
        <w:spacing w:line="360" w:lineRule="auto"/>
        <w:ind w:firstLineChars="1300" w:firstLine="2730"/>
        <w:rPr>
          <w:rFonts w:ascii="Times New Roman" w:hAnsi="Times New Roman"/>
          <w:sz w:val="21"/>
          <w:szCs w:val="21"/>
        </w:rPr>
      </w:pPr>
      <w:r>
        <w:rPr>
          <w:rFonts w:ascii="Times New Roman" w:hAnsi="Times New Roman"/>
          <w:sz w:val="21"/>
          <w:szCs w:val="21"/>
        </w:rPr>
        <w:t>表</w:t>
      </w:r>
      <w:r>
        <w:rPr>
          <w:rFonts w:ascii="Times New Roman" w:hAnsi="Times New Roman"/>
          <w:sz w:val="21"/>
          <w:szCs w:val="21"/>
        </w:rPr>
        <w:t xml:space="preserve">3.8-1     </w:t>
      </w:r>
      <w:r>
        <w:rPr>
          <w:rFonts w:ascii="Times New Roman" w:hAnsi="Times New Roman"/>
          <w:sz w:val="21"/>
          <w:szCs w:val="21"/>
        </w:rPr>
        <w:t>制氢工艺对照表</w:t>
      </w:r>
    </w:p>
    <w:tbl>
      <w:tblPr>
        <w:tblW w:w="85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95"/>
        <w:gridCol w:w="1864"/>
        <w:gridCol w:w="1864"/>
        <w:gridCol w:w="1864"/>
        <w:gridCol w:w="1726"/>
      </w:tblGrid>
      <w:tr w:rsidR="00525419">
        <w:trPr>
          <w:trHeight w:val="397"/>
          <w:tblHeader/>
          <w:jc w:val="center"/>
        </w:trPr>
        <w:tc>
          <w:tcPr>
            <w:tcW w:w="1195" w:type="dxa"/>
            <w:tcBorders>
              <w:tl2br w:val="nil"/>
              <w:tr2bl w:val="nil"/>
            </w:tcBorders>
            <w:vAlign w:val="center"/>
          </w:tcPr>
          <w:p w:rsidR="00525419" w:rsidRDefault="00525419">
            <w:pPr>
              <w:adjustRightInd w:val="0"/>
              <w:snapToGrid w:val="0"/>
              <w:jc w:val="center"/>
              <w:rPr>
                <w:rFonts w:ascii="Times New Roman" w:hAnsi="Times New Roman"/>
                <w:b/>
                <w:kern w:val="0"/>
              </w:rPr>
            </w:pPr>
          </w:p>
        </w:tc>
        <w:tc>
          <w:tcPr>
            <w:tcW w:w="1864"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焦炉煤气制氢</w:t>
            </w:r>
          </w:p>
        </w:tc>
        <w:tc>
          <w:tcPr>
            <w:tcW w:w="1864"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天然气法</w:t>
            </w:r>
          </w:p>
        </w:tc>
        <w:tc>
          <w:tcPr>
            <w:tcW w:w="1864"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甲醇裂解法</w:t>
            </w:r>
          </w:p>
        </w:tc>
        <w:tc>
          <w:tcPr>
            <w:tcW w:w="1726"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电解水法</w:t>
            </w:r>
          </w:p>
        </w:tc>
      </w:tr>
      <w:tr w:rsidR="00525419">
        <w:trPr>
          <w:trHeight w:val="397"/>
          <w:jc w:val="center"/>
        </w:trPr>
        <w:tc>
          <w:tcPr>
            <w:tcW w:w="1195"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适用规模</w:t>
            </w:r>
          </w:p>
        </w:tc>
        <w:tc>
          <w:tcPr>
            <w:tcW w:w="1864"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1000-25000</w:t>
            </w:r>
            <w:r>
              <w:rPr>
                <w:rFonts w:ascii="Times New Roman" w:hAnsi="Times New Roman"/>
              </w:rPr>
              <w:t xml:space="preserve"> Nm</w:t>
            </w:r>
            <w:r>
              <w:rPr>
                <w:rFonts w:ascii="Times New Roman" w:hAnsi="Times New Roman"/>
                <w:vertAlign w:val="superscript"/>
              </w:rPr>
              <w:t>3</w:t>
            </w:r>
            <w:r>
              <w:rPr>
                <w:rFonts w:ascii="Times New Roman" w:hAnsi="Times New Roman"/>
              </w:rPr>
              <w:t>/h</w:t>
            </w:r>
          </w:p>
        </w:tc>
        <w:tc>
          <w:tcPr>
            <w:tcW w:w="1864"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50-200000</w:t>
            </w:r>
            <w:r>
              <w:rPr>
                <w:rFonts w:ascii="Times New Roman" w:hAnsi="Times New Roman"/>
              </w:rPr>
              <w:t xml:space="preserve"> Nm</w:t>
            </w:r>
            <w:r>
              <w:rPr>
                <w:rFonts w:ascii="Times New Roman" w:hAnsi="Times New Roman"/>
                <w:vertAlign w:val="superscript"/>
              </w:rPr>
              <w:t>3</w:t>
            </w:r>
            <w:r>
              <w:rPr>
                <w:rFonts w:ascii="Times New Roman" w:hAnsi="Times New Roman"/>
              </w:rPr>
              <w:t>/h</w:t>
            </w:r>
          </w:p>
        </w:tc>
        <w:tc>
          <w:tcPr>
            <w:tcW w:w="1864"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200-100000</w:t>
            </w:r>
            <w:r>
              <w:rPr>
                <w:rFonts w:ascii="Times New Roman" w:hAnsi="Times New Roman"/>
              </w:rPr>
              <w:t xml:space="preserve"> Nm</w:t>
            </w:r>
            <w:r>
              <w:rPr>
                <w:rFonts w:ascii="Times New Roman" w:hAnsi="Times New Roman"/>
                <w:vertAlign w:val="superscript"/>
              </w:rPr>
              <w:t>3</w:t>
            </w:r>
            <w:r>
              <w:rPr>
                <w:rFonts w:ascii="Times New Roman" w:hAnsi="Times New Roman"/>
              </w:rPr>
              <w:t>/h</w:t>
            </w:r>
          </w:p>
        </w:tc>
        <w:tc>
          <w:tcPr>
            <w:tcW w:w="1726"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2-300</w:t>
            </w:r>
            <w:r>
              <w:rPr>
                <w:rFonts w:ascii="Times New Roman" w:hAnsi="Times New Roman"/>
              </w:rPr>
              <w:t xml:space="preserve"> Nm</w:t>
            </w:r>
            <w:r>
              <w:rPr>
                <w:rFonts w:ascii="Times New Roman" w:hAnsi="Times New Roman"/>
                <w:vertAlign w:val="superscript"/>
              </w:rPr>
              <w:t>3</w:t>
            </w:r>
            <w:r>
              <w:rPr>
                <w:rFonts w:ascii="Times New Roman" w:hAnsi="Times New Roman"/>
              </w:rPr>
              <w:t>/h</w:t>
            </w:r>
          </w:p>
        </w:tc>
      </w:tr>
      <w:tr w:rsidR="00525419">
        <w:trPr>
          <w:trHeight w:val="397"/>
          <w:jc w:val="center"/>
        </w:trPr>
        <w:tc>
          <w:tcPr>
            <w:tcW w:w="1195"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氢气纯度</w:t>
            </w:r>
          </w:p>
        </w:tc>
        <w:tc>
          <w:tcPr>
            <w:tcW w:w="1864"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&gt;99.99%</w:t>
            </w:r>
          </w:p>
        </w:tc>
        <w:tc>
          <w:tcPr>
            <w:tcW w:w="1864"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99.99%</w:t>
            </w:r>
          </w:p>
        </w:tc>
        <w:tc>
          <w:tcPr>
            <w:tcW w:w="1864"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99.99%</w:t>
            </w:r>
          </w:p>
        </w:tc>
        <w:tc>
          <w:tcPr>
            <w:tcW w:w="1726"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99.99%</w:t>
            </w:r>
          </w:p>
        </w:tc>
      </w:tr>
      <w:tr w:rsidR="00525419">
        <w:trPr>
          <w:trHeight w:val="397"/>
          <w:jc w:val="center"/>
        </w:trPr>
        <w:tc>
          <w:tcPr>
            <w:tcW w:w="1195"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一次性投资</w:t>
            </w:r>
          </w:p>
        </w:tc>
        <w:tc>
          <w:tcPr>
            <w:tcW w:w="1864"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1.3</w:t>
            </w:r>
            <w:r>
              <w:rPr>
                <w:rFonts w:ascii="Times New Roman" w:hAnsi="Times New Roman"/>
                <w:kern w:val="0"/>
              </w:rPr>
              <w:t>亿元</w:t>
            </w:r>
            <w:r>
              <w:rPr>
                <w:rFonts w:ascii="Times New Roman" w:hAnsi="Times New Roman"/>
                <w:kern w:val="0"/>
              </w:rPr>
              <w:t>(20000 Nm</w:t>
            </w:r>
            <w:r>
              <w:rPr>
                <w:rFonts w:ascii="Times New Roman" w:hAnsi="Times New Roman"/>
                <w:kern w:val="0"/>
                <w:vertAlign w:val="superscript"/>
              </w:rPr>
              <w:t>3</w:t>
            </w:r>
            <w:r>
              <w:rPr>
                <w:rFonts w:ascii="Times New Roman" w:hAnsi="Times New Roman"/>
                <w:kern w:val="0"/>
              </w:rPr>
              <w:t>/h)</w:t>
            </w:r>
          </w:p>
        </w:tc>
        <w:tc>
          <w:tcPr>
            <w:tcW w:w="1864"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1.1</w:t>
            </w:r>
            <w:r>
              <w:rPr>
                <w:rFonts w:ascii="Times New Roman" w:hAnsi="Times New Roman"/>
                <w:kern w:val="0"/>
              </w:rPr>
              <w:t>亿元</w:t>
            </w:r>
            <w:r>
              <w:rPr>
                <w:rFonts w:ascii="Times New Roman" w:hAnsi="Times New Roman"/>
                <w:kern w:val="0"/>
              </w:rPr>
              <w:t>(20000 Nm</w:t>
            </w:r>
            <w:r>
              <w:rPr>
                <w:rFonts w:ascii="Times New Roman" w:hAnsi="Times New Roman"/>
                <w:kern w:val="0"/>
                <w:vertAlign w:val="superscript"/>
              </w:rPr>
              <w:t>3</w:t>
            </w:r>
            <w:r>
              <w:rPr>
                <w:rFonts w:ascii="Times New Roman" w:hAnsi="Times New Roman"/>
                <w:kern w:val="0"/>
              </w:rPr>
              <w:t>/h)</w:t>
            </w:r>
          </w:p>
        </w:tc>
        <w:tc>
          <w:tcPr>
            <w:tcW w:w="1864"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5000</w:t>
            </w:r>
            <w:r>
              <w:rPr>
                <w:rFonts w:ascii="Times New Roman" w:hAnsi="Times New Roman"/>
                <w:kern w:val="0"/>
              </w:rPr>
              <w:t>万元</w:t>
            </w:r>
            <w:r>
              <w:rPr>
                <w:rFonts w:ascii="Times New Roman" w:hAnsi="Times New Roman"/>
                <w:kern w:val="0"/>
              </w:rPr>
              <w:t>(20000 Nm</w:t>
            </w:r>
            <w:r>
              <w:rPr>
                <w:rFonts w:ascii="Times New Roman" w:hAnsi="Times New Roman"/>
                <w:kern w:val="0"/>
                <w:vertAlign w:val="superscript"/>
              </w:rPr>
              <w:t>3</w:t>
            </w:r>
            <w:r>
              <w:rPr>
                <w:rFonts w:ascii="Times New Roman" w:hAnsi="Times New Roman"/>
                <w:kern w:val="0"/>
              </w:rPr>
              <w:t>/h)</w:t>
            </w:r>
          </w:p>
        </w:tc>
        <w:tc>
          <w:tcPr>
            <w:tcW w:w="1726"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w:t>
            </w:r>
          </w:p>
        </w:tc>
      </w:tr>
      <w:tr w:rsidR="00525419">
        <w:trPr>
          <w:trHeight w:val="397"/>
          <w:jc w:val="center"/>
        </w:trPr>
        <w:tc>
          <w:tcPr>
            <w:tcW w:w="1195"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生产成本</w:t>
            </w:r>
          </w:p>
        </w:tc>
        <w:tc>
          <w:tcPr>
            <w:tcW w:w="1864"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1.2</w:t>
            </w:r>
            <w:r>
              <w:rPr>
                <w:rFonts w:ascii="Times New Roman" w:hAnsi="Times New Roman"/>
                <w:kern w:val="0"/>
              </w:rPr>
              <w:t>元</w:t>
            </w:r>
            <w:r>
              <w:rPr>
                <w:rFonts w:ascii="Times New Roman" w:hAnsi="Times New Roman"/>
                <w:kern w:val="0"/>
              </w:rPr>
              <w:t>/Nm³</w:t>
            </w:r>
          </w:p>
        </w:tc>
        <w:tc>
          <w:tcPr>
            <w:tcW w:w="1864"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1.88</w:t>
            </w:r>
            <w:r>
              <w:rPr>
                <w:rFonts w:ascii="Times New Roman" w:hAnsi="Times New Roman"/>
                <w:kern w:val="0"/>
              </w:rPr>
              <w:t>元</w:t>
            </w:r>
            <w:r>
              <w:rPr>
                <w:rFonts w:ascii="Times New Roman" w:hAnsi="Times New Roman"/>
                <w:kern w:val="0"/>
              </w:rPr>
              <w:t>/ Nm</w:t>
            </w:r>
            <w:r>
              <w:rPr>
                <w:rFonts w:ascii="Times New Roman" w:hAnsi="Times New Roman"/>
                <w:kern w:val="0"/>
                <w:vertAlign w:val="superscript"/>
              </w:rPr>
              <w:t>3</w:t>
            </w:r>
          </w:p>
        </w:tc>
        <w:tc>
          <w:tcPr>
            <w:tcW w:w="1864"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1.51</w:t>
            </w:r>
            <w:r>
              <w:rPr>
                <w:rFonts w:ascii="Times New Roman" w:hAnsi="Times New Roman"/>
                <w:kern w:val="0"/>
              </w:rPr>
              <w:t>元</w:t>
            </w:r>
            <w:r>
              <w:rPr>
                <w:rFonts w:ascii="Times New Roman" w:hAnsi="Times New Roman"/>
                <w:kern w:val="0"/>
              </w:rPr>
              <w:t>/ Nm</w:t>
            </w:r>
            <w:r>
              <w:rPr>
                <w:rFonts w:ascii="Times New Roman" w:hAnsi="Times New Roman"/>
                <w:kern w:val="0"/>
                <w:vertAlign w:val="superscript"/>
              </w:rPr>
              <w:t>3</w:t>
            </w:r>
          </w:p>
        </w:tc>
        <w:tc>
          <w:tcPr>
            <w:tcW w:w="1726"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5-6</w:t>
            </w:r>
            <w:r>
              <w:rPr>
                <w:rFonts w:ascii="Times New Roman" w:hAnsi="Times New Roman"/>
                <w:kern w:val="0"/>
              </w:rPr>
              <w:t>元</w:t>
            </w:r>
            <w:r>
              <w:rPr>
                <w:rFonts w:ascii="Times New Roman" w:hAnsi="Times New Roman"/>
                <w:kern w:val="0"/>
              </w:rPr>
              <w:t>/ Nm</w:t>
            </w:r>
            <w:r>
              <w:rPr>
                <w:rFonts w:ascii="Times New Roman" w:hAnsi="Times New Roman"/>
                <w:kern w:val="0"/>
                <w:vertAlign w:val="superscript"/>
              </w:rPr>
              <w:t>3</w:t>
            </w:r>
          </w:p>
        </w:tc>
      </w:tr>
      <w:tr w:rsidR="00525419">
        <w:trPr>
          <w:trHeight w:val="397"/>
          <w:jc w:val="center"/>
        </w:trPr>
        <w:tc>
          <w:tcPr>
            <w:tcW w:w="1195"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能耗</w:t>
            </w:r>
          </w:p>
        </w:tc>
        <w:tc>
          <w:tcPr>
            <w:tcW w:w="1864"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低</w:t>
            </w:r>
          </w:p>
        </w:tc>
        <w:tc>
          <w:tcPr>
            <w:tcW w:w="1864"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低</w:t>
            </w:r>
          </w:p>
        </w:tc>
        <w:tc>
          <w:tcPr>
            <w:tcW w:w="1864"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低</w:t>
            </w:r>
          </w:p>
        </w:tc>
        <w:tc>
          <w:tcPr>
            <w:tcW w:w="1726"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高</w:t>
            </w:r>
          </w:p>
        </w:tc>
      </w:tr>
      <w:tr w:rsidR="00525419">
        <w:trPr>
          <w:trHeight w:val="397"/>
          <w:jc w:val="center"/>
        </w:trPr>
        <w:tc>
          <w:tcPr>
            <w:tcW w:w="1195"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生产稳定性</w:t>
            </w:r>
          </w:p>
        </w:tc>
        <w:tc>
          <w:tcPr>
            <w:tcW w:w="1864"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气源稳定可靠，生产稳定性强</w:t>
            </w:r>
          </w:p>
        </w:tc>
        <w:tc>
          <w:tcPr>
            <w:tcW w:w="1864"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气源稳定可靠，生产稳定性强</w:t>
            </w:r>
          </w:p>
        </w:tc>
        <w:tc>
          <w:tcPr>
            <w:tcW w:w="1864"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流程短，原料可靠，稳定性强</w:t>
            </w:r>
          </w:p>
        </w:tc>
        <w:tc>
          <w:tcPr>
            <w:tcW w:w="1726"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流程短，原料可靠，稳定性强</w:t>
            </w:r>
          </w:p>
        </w:tc>
      </w:tr>
      <w:tr w:rsidR="00525419">
        <w:trPr>
          <w:trHeight w:val="397"/>
          <w:jc w:val="center"/>
        </w:trPr>
        <w:tc>
          <w:tcPr>
            <w:tcW w:w="1195"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建设期</w:t>
            </w:r>
          </w:p>
        </w:tc>
        <w:tc>
          <w:tcPr>
            <w:tcW w:w="1864"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1</w:t>
            </w:r>
            <w:r>
              <w:rPr>
                <w:rFonts w:ascii="Times New Roman" w:hAnsi="Times New Roman"/>
                <w:kern w:val="0"/>
              </w:rPr>
              <w:t>年</w:t>
            </w:r>
          </w:p>
        </w:tc>
        <w:tc>
          <w:tcPr>
            <w:tcW w:w="1864"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1.2</w:t>
            </w:r>
            <w:r>
              <w:rPr>
                <w:rFonts w:ascii="Times New Roman" w:hAnsi="Times New Roman"/>
                <w:kern w:val="0"/>
              </w:rPr>
              <w:t>年</w:t>
            </w:r>
          </w:p>
        </w:tc>
        <w:tc>
          <w:tcPr>
            <w:tcW w:w="1864"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6-7</w:t>
            </w:r>
            <w:r>
              <w:rPr>
                <w:rFonts w:ascii="Times New Roman" w:hAnsi="Times New Roman"/>
                <w:kern w:val="0"/>
              </w:rPr>
              <w:t>个月</w:t>
            </w:r>
          </w:p>
        </w:tc>
        <w:tc>
          <w:tcPr>
            <w:tcW w:w="1726" w:type="dxa"/>
            <w:tcBorders>
              <w:tl2br w:val="nil"/>
              <w:tr2bl w:val="nil"/>
            </w:tcBorders>
            <w:vAlign w:val="center"/>
          </w:tcPr>
          <w:p w:rsidR="00525419" w:rsidRDefault="00EE1CF7">
            <w:pPr>
              <w:adjustRightInd w:val="0"/>
              <w:snapToGrid w:val="0"/>
              <w:jc w:val="center"/>
              <w:rPr>
                <w:rFonts w:ascii="Times New Roman" w:hAnsi="Times New Roman"/>
                <w:kern w:val="0"/>
              </w:rPr>
            </w:pPr>
            <w:r>
              <w:rPr>
                <w:rFonts w:ascii="Times New Roman" w:hAnsi="Times New Roman"/>
                <w:kern w:val="0"/>
              </w:rPr>
              <w:t>6</w:t>
            </w:r>
            <w:r>
              <w:rPr>
                <w:rFonts w:ascii="Times New Roman" w:hAnsi="Times New Roman"/>
                <w:kern w:val="0"/>
              </w:rPr>
              <w:t>个月</w:t>
            </w:r>
          </w:p>
        </w:tc>
      </w:tr>
    </w:tbl>
    <w:p w:rsidR="00525419" w:rsidRDefault="00EE1CF7">
      <w:pPr>
        <w:autoSpaceDE w:val="0"/>
        <w:autoSpaceDN w:val="0"/>
        <w:adjustRightInd w:val="0"/>
        <w:spacing w:line="360" w:lineRule="auto"/>
        <w:ind w:firstLineChars="200" w:firstLine="480"/>
        <w:rPr>
          <w:rFonts w:ascii="Times New Roman" w:hAnsi="Times New Roman"/>
          <w:sz w:val="24"/>
          <w:szCs w:val="20"/>
        </w:rPr>
      </w:pPr>
      <w:r>
        <w:rPr>
          <w:rFonts w:ascii="Times New Roman" w:hAnsi="Times New Roman"/>
          <w:sz w:val="24"/>
          <w:szCs w:val="20"/>
        </w:rPr>
        <w:t>综合各种因素，本项目选用天然气转化制氢工艺，工艺已是国内成熟、通用的生产技术。</w:t>
      </w:r>
    </w:p>
    <w:p w:rsidR="00525419" w:rsidRDefault="00EE1CF7">
      <w:pPr>
        <w:autoSpaceDE w:val="0"/>
        <w:autoSpaceDN w:val="0"/>
        <w:adjustRightInd w:val="0"/>
        <w:spacing w:line="360" w:lineRule="auto"/>
        <w:rPr>
          <w:rFonts w:ascii="Times New Roman" w:hAnsi="Times New Roman"/>
          <w:b/>
          <w:bCs/>
          <w:sz w:val="24"/>
          <w:szCs w:val="20"/>
        </w:rPr>
      </w:pPr>
      <w:r>
        <w:rPr>
          <w:rFonts w:ascii="Times New Roman" w:hAnsi="Times New Roman"/>
          <w:b/>
          <w:bCs/>
          <w:sz w:val="28"/>
          <w:szCs w:val="28"/>
        </w:rPr>
        <w:t xml:space="preserve">   </w:t>
      </w:r>
      <w:r>
        <w:rPr>
          <w:rFonts w:ascii="Times New Roman" w:hAnsi="Times New Roman"/>
          <w:b/>
          <w:bCs/>
          <w:sz w:val="24"/>
          <w:szCs w:val="20"/>
        </w:rPr>
        <w:t>（</w:t>
      </w:r>
      <w:r>
        <w:rPr>
          <w:rFonts w:ascii="Times New Roman" w:hAnsi="Times New Roman"/>
          <w:b/>
          <w:bCs/>
          <w:sz w:val="24"/>
          <w:szCs w:val="20"/>
        </w:rPr>
        <w:t>2</w:t>
      </w:r>
      <w:r>
        <w:rPr>
          <w:rFonts w:ascii="Times New Roman" w:hAnsi="Times New Roman"/>
          <w:b/>
          <w:bCs/>
          <w:sz w:val="24"/>
          <w:szCs w:val="20"/>
        </w:rPr>
        <w:t>）粗氢气提纯</w:t>
      </w:r>
    </w:p>
    <w:p w:rsidR="00525419" w:rsidRDefault="00EE1CF7">
      <w:pPr>
        <w:autoSpaceDE w:val="0"/>
        <w:autoSpaceDN w:val="0"/>
        <w:adjustRightInd w:val="0"/>
        <w:spacing w:line="360" w:lineRule="auto"/>
        <w:ind w:firstLineChars="200" w:firstLine="480"/>
        <w:rPr>
          <w:rFonts w:ascii="Times New Roman" w:hAnsi="Times New Roman"/>
          <w:sz w:val="24"/>
          <w:szCs w:val="20"/>
        </w:rPr>
      </w:pPr>
      <w:r>
        <w:rPr>
          <w:rFonts w:ascii="Times New Roman" w:hAnsi="Times New Roman"/>
          <w:sz w:val="24"/>
          <w:szCs w:val="20"/>
        </w:rPr>
        <w:t>粗氢气提纯方式主要分为常规工艺和</w:t>
      </w:r>
      <w:r>
        <w:rPr>
          <w:rFonts w:ascii="Times New Roman" w:hAnsi="Times New Roman"/>
          <w:sz w:val="24"/>
          <w:szCs w:val="20"/>
        </w:rPr>
        <w:t>PSA</w:t>
      </w:r>
      <w:r>
        <w:rPr>
          <w:rFonts w:ascii="Times New Roman" w:hAnsi="Times New Roman"/>
          <w:sz w:val="24"/>
          <w:szCs w:val="20"/>
        </w:rPr>
        <w:t>工艺两种。近年来随着</w:t>
      </w:r>
      <w:r>
        <w:rPr>
          <w:rFonts w:ascii="Times New Roman" w:hAnsi="Times New Roman"/>
          <w:sz w:val="24"/>
          <w:szCs w:val="20"/>
        </w:rPr>
        <w:t>PSA</w:t>
      </w:r>
      <w:r>
        <w:rPr>
          <w:rFonts w:ascii="Times New Roman" w:hAnsi="Times New Roman"/>
          <w:sz w:val="24"/>
          <w:szCs w:val="20"/>
        </w:rPr>
        <w:t>技术的进步（多床多次均压，吸附剂性能的改进等），使氢气的回收率高达</w:t>
      </w:r>
      <w:r>
        <w:rPr>
          <w:rFonts w:ascii="Times New Roman" w:hAnsi="Times New Roman"/>
          <w:sz w:val="24"/>
          <w:szCs w:val="20"/>
        </w:rPr>
        <w:t>89</w:t>
      </w:r>
      <w:r>
        <w:rPr>
          <w:rFonts w:ascii="Times New Roman" w:hAnsi="Times New Roman"/>
          <w:sz w:val="24"/>
          <w:szCs w:val="20"/>
        </w:rPr>
        <w:t>～</w:t>
      </w:r>
      <w:r>
        <w:rPr>
          <w:rFonts w:ascii="Times New Roman" w:hAnsi="Times New Roman"/>
          <w:sz w:val="24"/>
          <w:szCs w:val="20"/>
        </w:rPr>
        <w:t>90%</w:t>
      </w:r>
      <w:r>
        <w:rPr>
          <w:rFonts w:ascii="Times New Roman" w:hAnsi="Times New Roman"/>
          <w:sz w:val="24"/>
          <w:szCs w:val="20"/>
        </w:rPr>
        <w:t>，加之近几年</w:t>
      </w:r>
      <w:r>
        <w:rPr>
          <w:rFonts w:ascii="Times New Roman" w:hAnsi="Times New Roman"/>
          <w:sz w:val="24"/>
          <w:szCs w:val="20"/>
        </w:rPr>
        <w:t>PSA</w:t>
      </w:r>
      <w:r>
        <w:rPr>
          <w:rFonts w:ascii="Times New Roman" w:hAnsi="Times New Roman"/>
          <w:sz w:val="24"/>
          <w:szCs w:val="20"/>
        </w:rPr>
        <w:t>技术的国产化，极大地降低了</w:t>
      </w:r>
      <w:r>
        <w:rPr>
          <w:rFonts w:ascii="Times New Roman" w:hAnsi="Times New Roman"/>
          <w:sz w:val="24"/>
          <w:szCs w:val="20"/>
        </w:rPr>
        <w:t>PSA</w:t>
      </w:r>
      <w:r>
        <w:rPr>
          <w:rFonts w:ascii="Times New Roman" w:hAnsi="Times New Roman"/>
          <w:sz w:val="24"/>
          <w:szCs w:val="20"/>
        </w:rPr>
        <w:t>的投资，从而有效地降低了该工艺的氢气生产成本，使该技术在新建制氢装置中占主导地位。</w:t>
      </w:r>
      <w:r>
        <w:rPr>
          <w:rFonts w:ascii="Times New Roman" w:hAnsi="Times New Roman"/>
          <w:sz w:val="24"/>
          <w:szCs w:val="20"/>
        </w:rPr>
        <w:t>PSA</w:t>
      </w:r>
      <w:r>
        <w:rPr>
          <w:rFonts w:ascii="Times New Roman" w:hAnsi="Times New Roman"/>
          <w:sz w:val="24"/>
          <w:szCs w:val="20"/>
        </w:rPr>
        <w:t>法的原料成本高于常规法，但加工成本却低于常规法。由于本装置的原料气的价格和燃料气的价格一样，考虑到</w:t>
      </w:r>
      <w:r>
        <w:rPr>
          <w:rFonts w:ascii="Times New Roman" w:hAnsi="Times New Roman"/>
          <w:sz w:val="24"/>
          <w:szCs w:val="20"/>
        </w:rPr>
        <w:t>PSA</w:t>
      </w:r>
      <w:r>
        <w:rPr>
          <w:rFonts w:ascii="Times New Roman" w:hAnsi="Times New Roman"/>
          <w:sz w:val="24"/>
          <w:szCs w:val="20"/>
        </w:rPr>
        <w:t>净化法工艺简单，操作灵活可靠以及纯度高对加氢装置带来的诸多好处，装置选用</w:t>
      </w:r>
      <w:r>
        <w:rPr>
          <w:rFonts w:ascii="Times New Roman" w:hAnsi="Times New Roman"/>
          <w:sz w:val="24"/>
          <w:szCs w:val="20"/>
        </w:rPr>
        <w:t>PSA</w:t>
      </w:r>
      <w:r>
        <w:rPr>
          <w:rFonts w:ascii="Times New Roman" w:hAnsi="Times New Roman"/>
          <w:sz w:val="24"/>
          <w:szCs w:val="20"/>
        </w:rPr>
        <w:t>法。</w:t>
      </w:r>
    </w:p>
    <w:p w:rsidR="00525419" w:rsidRDefault="00EE1CF7">
      <w:pPr>
        <w:autoSpaceDE w:val="0"/>
        <w:autoSpaceDN w:val="0"/>
        <w:adjustRightInd w:val="0"/>
        <w:spacing w:line="360" w:lineRule="auto"/>
        <w:ind w:firstLineChars="200" w:firstLine="482"/>
        <w:rPr>
          <w:rFonts w:ascii="Times New Roman" w:hAnsi="Times New Roman"/>
          <w:b/>
          <w:bCs/>
          <w:sz w:val="24"/>
          <w:szCs w:val="20"/>
        </w:rPr>
      </w:pPr>
      <w:r>
        <w:rPr>
          <w:rFonts w:ascii="Times New Roman" w:hAnsi="Times New Roman"/>
          <w:b/>
          <w:bCs/>
          <w:sz w:val="24"/>
          <w:szCs w:val="20"/>
        </w:rPr>
        <w:t>（</w:t>
      </w:r>
      <w:r>
        <w:rPr>
          <w:rFonts w:ascii="Times New Roman" w:hAnsi="Times New Roman"/>
          <w:b/>
          <w:bCs/>
          <w:sz w:val="24"/>
          <w:szCs w:val="20"/>
        </w:rPr>
        <w:t>3</w:t>
      </w:r>
      <w:r>
        <w:rPr>
          <w:rFonts w:ascii="Times New Roman" w:hAnsi="Times New Roman"/>
          <w:b/>
          <w:bCs/>
          <w:sz w:val="24"/>
          <w:szCs w:val="20"/>
        </w:rPr>
        <w:t>）煤焦油加氢装置</w:t>
      </w:r>
    </w:p>
    <w:p w:rsidR="00525419" w:rsidRDefault="00EE1CF7">
      <w:pPr>
        <w:autoSpaceDE w:val="0"/>
        <w:autoSpaceDN w:val="0"/>
        <w:adjustRightInd w:val="0"/>
        <w:spacing w:line="360" w:lineRule="auto"/>
        <w:ind w:firstLineChars="200" w:firstLine="480"/>
        <w:jc w:val="left"/>
        <w:rPr>
          <w:rFonts w:ascii="Times New Roman" w:hAnsi="Times New Roman"/>
          <w:sz w:val="24"/>
        </w:rPr>
      </w:pPr>
      <w:r>
        <w:rPr>
          <w:rFonts w:ascii="Times New Roman" w:hAnsi="Times New Roman"/>
          <w:sz w:val="24"/>
        </w:rPr>
        <w:t>目前，国内有多种煤焦油加氢工艺主要有加氢精制工艺</w:t>
      </w:r>
      <w:r>
        <w:rPr>
          <w:rFonts w:ascii="Times New Roman" w:hAnsi="Times New Roman"/>
          <w:sz w:val="24"/>
        </w:rPr>
        <w:tab/>
      </w:r>
      <w:r>
        <w:rPr>
          <w:rFonts w:ascii="Times New Roman" w:hAnsi="Times New Roman"/>
          <w:sz w:val="24"/>
        </w:rPr>
        <w:t>、馏分油加氢提质工艺、延迟焦化</w:t>
      </w:r>
      <w:r>
        <w:rPr>
          <w:rFonts w:ascii="Times New Roman" w:hAnsi="Times New Roman"/>
          <w:sz w:val="24"/>
        </w:rPr>
        <w:t>+</w:t>
      </w:r>
      <w:r>
        <w:rPr>
          <w:rFonts w:ascii="Times New Roman" w:hAnsi="Times New Roman"/>
          <w:sz w:val="24"/>
        </w:rPr>
        <w:t>加氢精制工艺、</w:t>
      </w:r>
      <w:r>
        <w:rPr>
          <w:rFonts w:ascii="Times New Roman" w:hAnsi="Times New Roman"/>
          <w:sz w:val="24"/>
          <w:szCs w:val="24"/>
        </w:rPr>
        <w:t>沸腾床或浆态床全馏分加氢</w:t>
      </w:r>
      <w:r>
        <w:rPr>
          <w:rFonts w:ascii="Times New Roman" w:hAnsi="Times New Roman"/>
          <w:sz w:val="24"/>
        </w:rPr>
        <w:t>，这</w:t>
      </w:r>
      <w:r>
        <w:rPr>
          <w:rFonts w:ascii="Times New Roman" w:hAnsi="Times New Roman"/>
          <w:sz w:val="24"/>
        </w:rPr>
        <w:t>4</w:t>
      </w:r>
      <w:r>
        <w:rPr>
          <w:rFonts w:ascii="Times New Roman" w:hAnsi="Times New Roman"/>
          <w:sz w:val="24"/>
        </w:rPr>
        <w:t>种工艺路线优缺点对比见表</w:t>
      </w:r>
      <w:r>
        <w:rPr>
          <w:rFonts w:ascii="Times New Roman" w:hAnsi="Times New Roman"/>
          <w:sz w:val="24"/>
        </w:rPr>
        <w:t>3.</w:t>
      </w:r>
      <w:r>
        <w:rPr>
          <w:rFonts w:ascii="Times New Roman" w:hAnsi="Times New Roman" w:hint="eastAsia"/>
          <w:sz w:val="24"/>
        </w:rPr>
        <w:t>8</w:t>
      </w:r>
      <w:r>
        <w:rPr>
          <w:rFonts w:ascii="Times New Roman" w:hAnsi="Times New Roman"/>
          <w:sz w:val="24"/>
        </w:rPr>
        <w:t>-</w:t>
      </w:r>
      <w:r>
        <w:rPr>
          <w:rFonts w:ascii="Times New Roman" w:hAnsi="Times New Roman" w:hint="eastAsia"/>
          <w:sz w:val="24"/>
        </w:rPr>
        <w:t>2</w:t>
      </w:r>
      <w:r>
        <w:rPr>
          <w:rFonts w:ascii="Times New Roman" w:hAnsi="Times New Roman"/>
          <w:sz w:val="24"/>
        </w:rPr>
        <w:t>。</w:t>
      </w:r>
    </w:p>
    <w:p w:rsidR="00525419" w:rsidRDefault="00EE1CF7">
      <w:pPr>
        <w:autoSpaceDE w:val="0"/>
        <w:autoSpaceDN w:val="0"/>
        <w:adjustRightInd w:val="0"/>
        <w:spacing w:line="240" w:lineRule="atLeast"/>
        <w:ind w:firstLineChars="200" w:firstLine="420"/>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3.</w:t>
      </w:r>
      <w:r>
        <w:rPr>
          <w:rFonts w:ascii="Times New Roman" w:eastAsia="黑体" w:hAnsi="Times New Roman" w:hint="eastAsia"/>
          <w:szCs w:val="21"/>
        </w:rPr>
        <w:t>8</w:t>
      </w:r>
      <w:r>
        <w:rPr>
          <w:rFonts w:ascii="Times New Roman" w:eastAsia="黑体" w:hAnsi="Times New Roman"/>
          <w:szCs w:val="21"/>
        </w:rPr>
        <w:t>-</w:t>
      </w:r>
      <w:r>
        <w:rPr>
          <w:rFonts w:ascii="Times New Roman" w:eastAsia="黑体" w:hAnsi="Times New Roman" w:hint="eastAsia"/>
          <w:szCs w:val="21"/>
        </w:rPr>
        <w:t>2</w:t>
      </w:r>
      <w:r>
        <w:rPr>
          <w:rFonts w:ascii="Times New Roman" w:eastAsia="黑体" w:hAnsi="Times New Roman"/>
          <w:szCs w:val="21"/>
        </w:rPr>
        <w:t xml:space="preserve">  </w:t>
      </w:r>
      <w:r>
        <w:rPr>
          <w:rFonts w:ascii="Times New Roman" w:eastAsia="黑体" w:hAnsi="Times New Roman"/>
          <w:szCs w:val="21"/>
        </w:rPr>
        <w:t>四种工艺路线优缺点对比表</w:t>
      </w:r>
    </w:p>
    <w:tbl>
      <w:tblPr>
        <w:tblW w:w="85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16"/>
        <w:gridCol w:w="888"/>
        <w:gridCol w:w="1143"/>
        <w:gridCol w:w="520"/>
        <w:gridCol w:w="639"/>
        <w:gridCol w:w="637"/>
        <w:gridCol w:w="639"/>
        <w:gridCol w:w="1377"/>
        <w:gridCol w:w="1652"/>
      </w:tblGrid>
      <w:tr w:rsidR="00525419">
        <w:trPr>
          <w:trHeight w:val="567"/>
        </w:trPr>
        <w:tc>
          <w:tcPr>
            <w:tcW w:w="1016" w:type="dxa"/>
            <w:tcBorders>
              <w:tl2br w:val="nil"/>
              <w:tr2bl w:val="nil"/>
            </w:tcBorders>
            <w:vAlign w:val="center"/>
          </w:tcPr>
          <w:p w:rsidR="00525419" w:rsidRDefault="00525419">
            <w:pPr>
              <w:widowControl/>
              <w:spacing w:line="240" w:lineRule="atLeast"/>
              <w:rPr>
                <w:rFonts w:ascii="Times New Roman" w:hAnsi="Times New Roman"/>
                <w:szCs w:val="21"/>
              </w:rPr>
            </w:pPr>
          </w:p>
        </w:tc>
        <w:tc>
          <w:tcPr>
            <w:tcW w:w="888"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可加工原料馏分</w:t>
            </w:r>
          </w:p>
        </w:tc>
        <w:tc>
          <w:tcPr>
            <w:tcW w:w="1143" w:type="dxa"/>
            <w:tcBorders>
              <w:tl2br w:val="nil"/>
              <w:tr2bl w:val="nil"/>
            </w:tcBorders>
            <w:vAlign w:val="center"/>
          </w:tcPr>
          <w:p w:rsidR="00525419" w:rsidRDefault="00EE1CF7">
            <w:pPr>
              <w:widowControl/>
              <w:spacing w:line="240" w:lineRule="atLeast"/>
              <w:rPr>
                <w:rFonts w:ascii="Times New Roman" w:hAnsi="Times New Roman"/>
                <w:spacing w:val="-20"/>
                <w:szCs w:val="21"/>
              </w:rPr>
            </w:pPr>
            <w:r>
              <w:rPr>
                <w:rFonts w:ascii="Times New Roman" w:hAnsi="Times New Roman"/>
                <w:spacing w:val="-20"/>
                <w:szCs w:val="21"/>
              </w:rPr>
              <w:t>C</w:t>
            </w:r>
            <w:r>
              <w:rPr>
                <w:rFonts w:ascii="Times New Roman" w:hAnsi="Times New Roman"/>
                <w:spacing w:val="-20"/>
                <w:szCs w:val="21"/>
                <w:vertAlign w:val="subscript"/>
              </w:rPr>
              <w:t>5</w:t>
            </w:r>
            <w:r>
              <w:rPr>
                <w:rFonts w:ascii="Times New Roman" w:hAnsi="Times New Roman"/>
                <w:spacing w:val="-20"/>
                <w:szCs w:val="21"/>
              </w:rPr>
              <w:t>以上液收</w:t>
            </w:r>
          </w:p>
          <w:p w:rsidR="00525419" w:rsidRDefault="00EE1CF7">
            <w:pPr>
              <w:widowControl/>
              <w:spacing w:line="240" w:lineRule="atLeast"/>
              <w:rPr>
                <w:rFonts w:ascii="Times New Roman" w:hAnsi="Times New Roman"/>
                <w:szCs w:val="21"/>
              </w:rPr>
            </w:pPr>
            <w:r>
              <w:rPr>
                <w:rFonts w:ascii="Times New Roman" w:hAnsi="Times New Roman"/>
                <w:spacing w:val="-20"/>
                <w:szCs w:val="21"/>
              </w:rPr>
              <w:t>（高温煤焦油且不含煤沥青）</w:t>
            </w:r>
          </w:p>
        </w:tc>
        <w:tc>
          <w:tcPr>
            <w:tcW w:w="520"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投资</w:t>
            </w:r>
          </w:p>
        </w:tc>
        <w:tc>
          <w:tcPr>
            <w:tcW w:w="639"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消耗成本</w:t>
            </w:r>
          </w:p>
        </w:tc>
        <w:tc>
          <w:tcPr>
            <w:tcW w:w="637"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产品质量</w:t>
            </w:r>
          </w:p>
        </w:tc>
        <w:tc>
          <w:tcPr>
            <w:tcW w:w="639"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经济效益</w:t>
            </w:r>
          </w:p>
        </w:tc>
        <w:tc>
          <w:tcPr>
            <w:tcW w:w="1377"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优点</w:t>
            </w:r>
          </w:p>
        </w:tc>
        <w:tc>
          <w:tcPr>
            <w:tcW w:w="1652"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缺点</w:t>
            </w:r>
          </w:p>
        </w:tc>
      </w:tr>
      <w:tr w:rsidR="00525419">
        <w:trPr>
          <w:trHeight w:val="567"/>
        </w:trPr>
        <w:tc>
          <w:tcPr>
            <w:tcW w:w="1016"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lastRenderedPageBreak/>
              <w:t>加氢精制</w:t>
            </w:r>
          </w:p>
        </w:tc>
        <w:tc>
          <w:tcPr>
            <w:tcW w:w="888"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w:t>
            </w:r>
            <w:r>
              <w:rPr>
                <w:rFonts w:ascii="Times New Roman" w:hAnsi="Times New Roman"/>
                <w:szCs w:val="21"/>
              </w:rPr>
              <w:t>350℃</w:t>
            </w:r>
          </w:p>
        </w:tc>
        <w:tc>
          <w:tcPr>
            <w:tcW w:w="1143"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w:t>
            </w:r>
            <w:r>
              <w:rPr>
                <w:rFonts w:ascii="Times New Roman" w:hAnsi="Times New Roman"/>
                <w:szCs w:val="21"/>
              </w:rPr>
              <w:t>50%</w:t>
            </w:r>
          </w:p>
        </w:tc>
        <w:tc>
          <w:tcPr>
            <w:tcW w:w="520"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低</w:t>
            </w:r>
          </w:p>
        </w:tc>
        <w:tc>
          <w:tcPr>
            <w:tcW w:w="639"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低</w:t>
            </w:r>
          </w:p>
        </w:tc>
        <w:tc>
          <w:tcPr>
            <w:tcW w:w="637"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较差</w:t>
            </w:r>
          </w:p>
        </w:tc>
        <w:tc>
          <w:tcPr>
            <w:tcW w:w="639"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低</w:t>
            </w:r>
          </w:p>
        </w:tc>
        <w:tc>
          <w:tcPr>
            <w:tcW w:w="1377"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流程简单，反应条件缓和，易操作，投资较低</w:t>
            </w:r>
          </w:p>
        </w:tc>
        <w:tc>
          <w:tcPr>
            <w:tcW w:w="1652"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产品收率低，且产品质量差，故而经济效益差，投资回收后，后期效益差</w:t>
            </w:r>
          </w:p>
        </w:tc>
      </w:tr>
      <w:tr w:rsidR="00525419">
        <w:trPr>
          <w:trHeight w:val="567"/>
        </w:trPr>
        <w:tc>
          <w:tcPr>
            <w:tcW w:w="1016"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馏分油加氢</w:t>
            </w:r>
          </w:p>
        </w:tc>
        <w:tc>
          <w:tcPr>
            <w:tcW w:w="888"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w:t>
            </w:r>
            <w:r>
              <w:rPr>
                <w:rFonts w:ascii="Times New Roman" w:hAnsi="Times New Roman"/>
                <w:szCs w:val="21"/>
              </w:rPr>
              <w:t>460℃</w:t>
            </w:r>
          </w:p>
        </w:tc>
        <w:tc>
          <w:tcPr>
            <w:tcW w:w="1143"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w:t>
            </w:r>
            <w:r>
              <w:rPr>
                <w:rFonts w:ascii="Times New Roman" w:hAnsi="Times New Roman"/>
                <w:szCs w:val="21"/>
              </w:rPr>
              <w:t>62%</w:t>
            </w:r>
          </w:p>
        </w:tc>
        <w:tc>
          <w:tcPr>
            <w:tcW w:w="520"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较高</w:t>
            </w:r>
          </w:p>
        </w:tc>
        <w:tc>
          <w:tcPr>
            <w:tcW w:w="639"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适中</w:t>
            </w:r>
          </w:p>
        </w:tc>
        <w:tc>
          <w:tcPr>
            <w:tcW w:w="637"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优良</w:t>
            </w:r>
          </w:p>
        </w:tc>
        <w:tc>
          <w:tcPr>
            <w:tcW w:w="639"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高</w:t>
            </w:r>
          </w:p>
        </w:tc>
        <w:tc>
          <w:tcPr>
            <w:tcW w:w="1377"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反应深度充分，产品收率较高，效益高，投资回收期短，后期效益好</w:t>
            </w:r>
          </w:p>
        </w:tc>
        <w:tc>
          <w:tcPr>
            <w:tcW w:w="1652"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投资相对较大，建设周期长</w:t>
            </w:r>
          </w:p>
        </w:tc>
      </w:tr>
      <w:tr w:rsidR="00525419">
        <w:trPr>
          <w:trHeight w:val="567"/>
        </w:trPr>
        <w:tc>
          <w:tcPr>
            <w:tcW w:w="1016"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延迟焦化</w:t>
            </w:r>
            <w:r>
              <w:rPr>
                <w:rFonts w:ascii="Times New Roman" w:hAnsi="Times New Roman"/>
                <w:szCs w:val="21"/>
              </w:rPr>
              <w:t>+</w:t>
            </w:r>
            <w:r>
              <w:rPr>
                <w:rFonts w:ascii="Times New Roman" w:hAnsi="Times New Roman"/>
                <w:szCs w:val="21"/>
              </w:rPr>
              <w:t>加氢精制</w:t>
            </w:r>
          </w:p>
        </w:tc>
        <w:tc>
          <w:tcPr>
            <w:tcW w:w="888"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全馏分</w:t>
            </w:r>
          </w:p>
        </w:tc>
        <w:tc>
          <w:tcPr>
            <w:tcW w:w="1143"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w:t>
            </w:r>
            <w:r>
              <w:rPr>
                <w:rFonts w:ascii="Times New Roman" w:hAnsi="Times New Roman"/>
                <w:szCs w:val="21"/>
              </w:rPr>
              <w:t>60%</w:t>
            </w:r>
          </w:p>
        </w:tc>
        <w:tc>
          <w:tcPr>
            <w:tcW w:w="520"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高</w:t>
            </w:r>
          </w:p>
        </w:tc>
        <w:tc>
          <w:tcPr>
            <w:tcW w:w="639"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高</w:t>
            </w:r>
          </w:p>
        </w:tc>
        <w:tc>
          <w:tcPr>
            <w:tcW w:w="637"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较差</w:t>
            </w:r>
          </w:p>
        </w:tc>
        <w:tc>
          <w:tcPr>
            <w:tcW w:w="639"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低</w:t>
            </w:r>
          </w:p>
        </w:tc>
        <w:tc>
          <w:tcPr>
            <w:tcW w:w="1377"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无沥青产出</w:t>
            </w:r>
          </w:p>
        </w:tc>
        <w:tc>
          <w:tcPr>
            <w:tcW w:w="1652"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液收低，产品质量差，石油焦不合格故难以销售，投资高，建设周期长，经济效益差，投资回收期长，且后期效益差</w:t>
            </w:r>
          </w:p>
        </w:tc>
      </w:tr>
      <w:tr w:rsidR="00525419">
        <w:trPr>
          <w:trHeight w:val="567"/>
        </w:trPr>
        <w:tc>
          <w:tcPr>
            <w:tcW w:w="1016"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沸腾床或浆态床</w:t>
            </w:r>
          </w:p>
        </w:tc>
        <w:tc>
          <w:tcPr>
            <w:tcW w:w="888"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全馏分</w:t>
            </w:r>
          </w:p>
        </w:tc>
        <w:tc>
          <w:tcPr>
            <w:tcW w:w="1143"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w:t>
            </w:r>
            <w:r>
              <w:rPr>
                <w:rFonts w:ascii="Times New Roman" w:hAnsi="Times New Roman"/>
                <w:szCs w:val="21"/>
              </w:rPr>
              <w:t>100%</w:t>
            </w:r>
          </w:p>
        </w:tc>
        <w:tc>
          <w:tcPr>
            <w:tcW w:w="520"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高</w:t>
            </w:r>
          </w:p>
        </w:tc>
        <w:tc>
          <w:tcPr>
            <w:tcW w:w="639"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高</w:t>
            </w:r>
          </w:p>
        </w:tc>
        <w:tc>
          <w:tcPr>
            <w:tcW w:w="637"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优良</w:t>
            </w:r>
          </w:p>
        </w:tc>
        <w:tc>
          <w:tcPr>
            <w:tcW w:w="639"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低</w:t>
            </w:r>
          </w:p>
        </w:tc>
        <w:tc>
          <w:tcPr>
            <w:tcW w:w="1377"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无沥青产出</w:t>
            </w:r>
          </w:p>
        </w:tc>
        <w:tc>
          <w:tcPr>
            <w:tcW w:w="1652" w:type="dxa"/>
            <w:tcBorders>
              <w:tl2br w:val="nil"/>
              <w:tr2bl w:val="nil"/>
            </w:tcBorders>
            <w:vAlign w:val="center"/>
          </w:tcPr>
          <w:p w:rsidR="00525419" w:rsidRDefault="00EE1CF7">
            <w:pPr>
              <w:widowControl/>
              <w:spacing w:line="240" w:lineRule="atLeast"/>
              <w:rPr>
                <w:rFonts w:ascii="Times New Roman" w:hAnsi="Times New Roman"/>
                <w:szCs w:val="21"/>
              </w:rPr>
            </w:pPr>
            <w:r>
              <w:rPr>
                <w:rFonts w:ascii="Times New Roman" w:hAnsi="Times New Roman"/>
                <w:szCs w:val="21"/>
              </w:rPr>
              <w:t>液收高，产品质量好，但投资高，建设周期长，国内技术不成熟</w:t>
            </w:r>
          </w:p>
        </w:tc>
      </w:tr>
    </w:tbl>
    <w:p w:rsidR="00525419" w:rsidRDefault="00525419">
      <w:pPr>
        <w:autoSpaceDE w:val="0"/>
        <w:autoSpaceDN w:val="0"/>
        <w:adjustRightInd w:val="0"/>
        <w:ind w:firstLineChars="200" w:firstLine="420"/>
        <w:jc w:val="left"/>
        <w:rPr>
          <w:rFonts w:ascii="Times New Roman" w:hAnsi="Times New Roman"/>
          <w:szCs w:val="21"/>
        </w:rPr>
      </w:pPr>
    </w:p>
    <w:p w:rsidR="00525419" w:rsidRDefault="00EE1CF7">
      <w:pPr>
        <w:autoSpaceDE w:val="0"/>
        <w:autoSpaceDN w:val="0"/>
        <w:adjustRightInd w:val="0"/>
        <w:spacing w:line="440" w:lineRule="exact"/>
        <w:ind w:firstLineChars="200" w:firstLine="480"/>
        <w:rPr>
          <w:rFonts w:ascii="Times New Roman" w:hAnsi="Times New Roman"/>
          <w:sz w:val="24"/>
        </w:rPr>
      </w:pPr>
      <w:r>
        <w:rPr>
          <w:rFonts w:ascii="Times New Roman" w:hAnsi="Times New Roman"/>
          <w:sz w:val="24"/>
        </w:rPr>
        <w:t>结合装置单元规模和已有工程经验，确定本装置单元工艺路线为</w:t>
      </w:r>
      <w:r>
        <w:rPr>
          <w:rFonts w:ascii="Times New Roman" w:hAnsi="Times New Roman"/>
          <w:sz w:val="24"/>
        </w:rPr>
        <w:t>“</w:t>
      </w:r>
      <w:r>
        <w:rPr>
          <w:rFonts w:ascii="Times New Roman" w:hAnsi="Times New Roman"/>
          <w:sz w:val="24"/>
        </w:rPr>
        <w:t>加氢精制</w:t>
      </w:r>
      <w:r>
        <w:rPr>
          <w:rFonts w:ascii="Times New Roman" w:hAnsi="Times New Roman"/>
          <w:sz w:val="24"/>
        </w:rPr>
        <w:t>--</w:t>
      </w:r>
      <w:r>
        <w:rPr>
          <w:rFonts w:ascii="Times New Roman" w:hAnsi="Times New Roman"/>
          <w:sz w:val="24"/>
        </w:rPr>
        <w:t>加氢提质</w:t>
      </w:r>
      <w:r>
        <w:rPr>
          <w:rFonts w:ascii="Times New Roman" w:hAnsi="Times New Roman"/>
          <w:sz w:val="24"/>
        </w:rPr>
        <w:t>--</w:t>
      </w:r>
      <w:r>
        <w:rPr>
          <w:rFonts w:ascii="Times New Roman" w:hAnsi="Times New Roman"/>
          <w:sz w:val="24"/>
        </w:rPr>
        <w:t>反应产物分离</w:t>
      </w:r>
      <w:r>
        <w:rPr>
          <w:rFonts w:ascii="Times New Roman" w:hAnsi="Times New Roman"/>
          <w:sz w:val="24"/>
        </w:rPr>
        <w:t>”</w:t>
      </w:r>
      <w:r>
        <w:rPr>
          <w:rFonts w:ascii="Times New Roman" w:hAnsi="Times New Roman"/>
          <w:sz w:val="24"/>
        </w:rPr>
        <w:t>，因此本装置单元选用第二种馏分油加氢工艺，煤焦油利用率高，产品性质优良。煤焦油加氢生产液体燃料，工艺流程相对简单、投资省、技术成熟、符合环保要求，综合各种因素，推荐采用安徽华东化工医药工程有限责任公司的煤焦油加氢技术。</w:t>
      </w:r>
    </w:p>
    <w:p w:rsidR="00525419" w:rsidRDefault="00EE1CF7">
      <w:pPr>
        <w:pStyle w:val="B1"/>
        <w:ind w:firstLine="480"/>
        <w:rPr>
          <w:rFonts w:cs="Times New Roman"/>
        </w:rPr>
      </w:pPr>
      <w:r>
        <w:rPr>
          <w:rFonts w:cs="Times New Roman"/>
        </w:rPr>
        <w:t>综合考虑，本项目整个生产工艺与装备水平属于国内先进水平，符合清洁生产的要求。</w:t>
      </w:r>
    </w:p>
    <w:p w:rsidR="00525419" w:rsidRDefault="00EE1CF7">
      <w:pPr>
        <w:widowControl/>
        <w:spacing w:line="360" w:lineRule="auto"/>
        <w:jc w:val="left"/>
        <w:rPr>
          <w:rFonts w:ascii="Times New Roman" w:hAnsi="Times New Roman"/>
          <w:b/>
          <w:bCs/>
          <w:kern w:val="0"/>
          <w:sz w:val="24"/>
          <w:szCs w:val="20"/>
        </w:rPr>
      </w:pPr>
      <w:r>
        <w:rPr>
          <w:rFonts w:ascii="Times New Roman" w:hAnsi="Times New Roman"/>
          <w:b/>
          <w:bCs/>
          <w:kern w:val="0"/>
          <w:sz w:val="24"/>
          <w:szCs w:val="20"/>
        </w:rPr>
        <w:t>3.8.3.2</w:t>
      </w:r>
      <w:r>
        <w:rPr>
          <w:rFonts w:ascii="Times New Roman" w:hAnsi="Times New Roman"/>
          <w:b/>
          <w:bCs/>
          <w:kern w:val="0"/>
          <w:sz w:val="24"/>
          <w:szCs w:val="20"/>
        </w:rPr>
        <w:t>资源、能源利用指标</w:t>
      </w:r>
    </w:p>
    <w:p w:rsidR="00525419" w:rsidRDefault="00EE1CF7">
      <w:pPr>
        <w:autoSpaceDE w:val="0"/>
        <w:autoSpaceDN w:val="0"/>
        <w:adjustRightInd w:val="0"/>
        <w:spacing w:line="360" w:lineRule="auto"/>
        <w:ind w:firstLineChars="200" w:firstLine="480"/>
        <w:rPr>
          <w:rFonts w:ascii="Times New Roman" w:hAnsi="Times New Roman"/>
          <w:kern w:val="0"/>
          <w:sz w:val="24"/>
          <w:szCs w:val="20"/>
        </w:rPr>
      </w:pPr>
      <w:r>
        <w:rPr>
          <w:rFonts w:ascii="Times New Roman" w:hAnsi="Times New Roman"/>
          <w:kern w:val="0"/>
          <w:sz w:val="24"/>
          <w:szCs w:val="20"/>
        </w:rPr>
        <w:t>与生产工艺和设备清洁生产水平相对应，项目资源、能源利用指标先进性主要体现在加氢精制工段，包括以下几点：</w:t>
      </w:r>
    </w:p>
    <w:p w:rsidR="00525419" w:rsidRDefault="00EE1CF7">
      <w:pPr>
        <w:autoSpaceDE w:val="0"/>
        <w:autoSpaceDN w:val="0"/>
        <w:adjustRightInd w:val="0"/>
        <w:spacing w:line="360" w:lineRule="auto"/>
        <w:ind w:firstLineChars="200" w:firstLine="480"/>
        <w:rPr>
          <w:rFonts w:ascii="Times New Roman" w:hAnsi="Times New Roman"/>
          <w:kern w:val="0"/>
          <w:sz w:val="24"/>
          <w:szCs w:val="20"/>
        </w:rPr>
      </w:pPr>
      <w:r>
        <w:rPr>
          <w:rFonts w:ascii="Times New Roman" w:hAnsi="Times New Roman"/>
          <w:kern w:val="0"/>
          <w:sz w:val="24"/>
          <w:szCs w:val="20"/>
        </w:rPr>
        <w:t>（</w:t>
      </w:r>
      <w:r>
        <w:rPr>
          <w:rFonts w:ascii="Times New Roman" w:hAnsi="Times New Roman"/>
          <w:kern w:val="0"/>
          <w:sz w:val="24"/>
          <w:szCs w:val="20"/>
        </w:rPr>
        <w:t>1</w:t>
      </w:r>
      <w:r>
        <w:rPr>
          <w:rFonts w:ascii="Times New Roman" w:hAnsi="Times New Roman"/>
          <w:kern w:val="0"/>
          <w:sz w:val="24"/>
          <w:szCs w:val="20"/>
        </w:rPr>
        <w:t>）在加氢精制工段、分馏分解工段充分中间产品自身带有的热，工艺采用其与原料换热流程，既加热了原料又冷却了产品，降低了整个工程的能耗；</w:t>
      </w:r>
    </w:p>
    <w:p w:rsidR="00525419" w:rsidRDefault="00EE1CF7">
      <w:pPr>
        <w:autoSpaceDE w:val="0"/>
        <w:autoSpaceDN w:val="0"/>
        <w:adjustRightInd w:val="0"/>
        <w:spacing w:line="360" w:lineRule="auto"/>
        <w:ind w:firstLineChars="200" w:firstLine="480"/>
        <w:rPr>
          <w:rFonts w:ascii="Times New Roman" w:hAnsi="Times New Roman"/>
          <w:kern w:val="0"/>
          <w:sz w:val="24"/>
          <w:szCs w:val="20"/>
        </w:rPr>
      </w:pPr>
      <w:r>
        <w:rPr>
          <w:rFonts w:ascii="Times New Roman" w:hAnsi="Times New Roman"/>
          <w:kern w:val="0"/>
          <w:sz w:val="24"/>
          <w:szCs w:val="20"/>
        </w:rPr>
        <w:lastRenderedPageBreak/>
        <w:t>（</w:t>
      </w:r>
      <w:r>
        <w:rPr>
          <w:rFonts w:ascii="Times New Roman" w:hAnsi="Times New Roman"/>
          <w:kern w:val="0"/>
          <w:sz w:val="24"/>
          <w:szCs w:val="20"/>
        </w:rPr>
        <w:t>2</w:t>
      </w:r>
      <w:r>
        <w:rPr>
          <w:rFonts w:ascii="Times New Roman" w:hAnsi="Times New Roman"/>
          <w:kern w:val="0"/>
          <w:sz w:val="24"/>
          <w:szCs w:val="20"/>
        </w:rPr>
        <w:t>）充分利用释放物料的物化性质，使其尽可能的被利用，工段释放的制氢系统解吸气、高压分离器高分气以及分馏塔顶、稳定塔顶回流罐闪蒸油气，由于其中所含的可燃气体较多，将其返回焦炉煤气管网作为燃料回用，做到物尽其用；</w:t>
      </w:r>
    </w:p>
    <w:p w:rsidR="00525419" w:rsidRDefault="00EE1CF7">
      <w:pPr>
        <w:autoSpaceDE w:val="0"/>
        <w:autoSpaceDN w:val="0"/>
        <w:adjustRightInd w:val="0"/>
        <w:spacing w:line="360" w:lineRule="auto"/>
        <w:ind w:firstLineChars="200" w:firstLine="480"/>
        <w:rPr>
          <w:rFonts w:ascii="Times New Roman" w:hAnsi="Times New Roman"/>
          <w:kern w:val="0"/>
          <w:sz w:val="24"/>
          <w:szCs w:val="20"/>
        </w:rPr>
      </w:pPr>
      <w:r>
        <w:rPr>
          <w:rFonts w:ascii="Times New Roman" w:hAnsi="Times New Roman"/>
          <w:kern w:val="0"/>
          <w:sz w:val="24"/>
          <w:szCs w:val="20"/>
        </w:rPr>
        <w:t>（</w:t>
      </w:r>
      <w:r>
        <w:rPr>
          <w:rFonts w:ascii="Times New Roman" w:hAnsi="Times New Roman"/>
          <w:kern w:val="0"/>
          <w:sz w:val="24"/>
          <w:szCs w:val="20"/>
        </w:rPr>
        <w:t>3</w:t>
      </w:r>
      <w:r>
        <w:rPr>
          <w:rFonts w:ascii="Times New Roman" w:hAnsi="Times New Roman"/>
          <w:kern w:val="0"/>
          <w:sz w:val="24"/>
          <w:szCs w:val="20"/>
        </w:rPr>
        <w:t>）项目加氢工艺过程中产生的含硫废水，采用酸性水汽提工艺进行处理，处理后的含硫废水进行</w:t>
      </w:r>
      <w:r>
        <w:rPr>
          <w:rFonts w:ascii="Times New Roman" w:hAnsi="Times New Roman" w:hint="eastAsia"/>
          <w:kern w:val="0"/>
          <w:sz w:val="24"/>
          <w:szCs w:val="20"/>
        </w:rPr>
        <w:t>工艺</w:t>
      </w:r>
      <w:r>
        <w:rPr>
          <w:rFonts w:ascii="Times New Roman" w:hAnsi="Times New Roman"/>
          <w:kern w:val="0"/>
          <w:sz w:val="24"/>
          <w:szCs w:val="20"/>
        </w:rPr>
        <w:t>回注，不外排。</w:t>
      </w:r>
    </w:p>
    <w:p w:rsidR="00525419" w:rsidRDefault="00EE1CF7">
      <w:pPr>
        <w:autoSpaceDE w:val="0"/>
        <w:autoSpaceDN w:val="0"/>
        <w:adjustRightInd w:val="0"/>
        <w:spacing w:line="360" w:lineRule="auto"/>
        <w:ind w:firstLineChars="200" w:firstLine="480"/>
        <w:rPr>
          <w:rFonts w:ascii="Times New Roman" w:hAnsi="Times New Roman"/>
          <w:kern w:val="0"/>
          <w:sz w:val="24"/>
          <w:szCs w:val="20"/>
        </w:rPr>
      </w:pPr>
      <w:r>
        <w:rPr>
          <w:rFonts w:ascii="Times New Roman" w:hAnsi="Times New Roman"/>
          <w:kern w:val="0"/>
          <w:sz w:val="24"/>
          <w:szCs w:val="20"/>
        </w:rPr>
        <w:t>（</w:t>
      </w:r>
      <w:r>
        <w:rPr>
          <w:rFonts w:ascii="Times New Roman" w:hAnsi="Times New Roman"/>
          <w:kern w:val="0"/>
          <w:sz w:val="24"/>
          <w:szCs w:val="20"/>
        </w:rPr>
        <w:t>4</w:t>
      </w:r>
      <w:r>
        <w:rPr>
          <w:rFonts w:ascii="Times New Roman" w:hAnsi="Times New Roman"/>
          <w:kern w:val="0"/>
          <w:sz w:val="24"/>
          <w:szCs w:val="20"/>
        </w:rPr>
        <w:t>）本项目加氢精制工段不消耗蒸汽等能源，而是充分利用中间物料换热，做到热尽物流。对同等规模常规煤焦油加工企业，减少了锅炉吨位及蒸汽耗量。</w:t>
      </w:r>
    </w:p>
    <w:p w:rsidR="00525419" w:rsidRDefault="00EE1CF7">
      <w:pPr>
        <w:autoSpaceDE w:val="0"/>
        <w:autoSpaceDN w:val="0"/>
        <w:adjustRightInd w:val="0"/>
        <w:spacing w:line="360" w:lineRule="auto"/>
        <w:ind w:firstLineChars="200" w:firstLine="480"/>
        <w:rPr>
          <w:rFonts w:ascii="Times New Roman" w:hAnsi="Times New Roman"/>
          <w:kern w:val="0"/>
          <w:sz w:val="24"/>
          <w:szCs w:val="20"/>
        </w:rPr>
      </w:pPr>
      <w:r>
        <w:rPr>
          <w:rFonts w:ascii="Times New Roman" w:hAnsi="Times New Roman"/>
          <w:kern w:val="0"/>
          <w:sz w:val="24"/>
          <w:szCs w:val="20"/>
        </w:rPr>
        <w:t>综上所述，本项目资源、能源利用指标可达到国内同行业清洁生产先进水平。</w:t>
      </w:r>
    </w:p>
    <w:p w:rsidR="00525419" w:rsidRDefault="00EE1CF7">
      <w:pPr>
        <w:widowControl/>
        <w:spacing w:line="360" w:lineRule="auto"/>
        <w:jc w:val="left"/>
        <w:rPr>
          <w:rFonts w:ascii="Times New Roman" w:hAnsi="Times New Roman"/>
          <w:b/>
          <w:bCs/>
          <w:kern w:val="0"/>
          <w:sz w:val="24"/>
          <w:szCs w:val="20"/>
        </w:rPr>
      </w:pPr>
      <w:r>
        <w:rPr>
          <w:rFonts w:ascii="Times New Roman" w:hAnsi="Times New Roman"/>
          <w:b/>
          <w:bCs/>
          <w:kern w:val="0"/>
          <w:sz w:val="24"/>
          <w:szCs w:val="20"/>
        </w:rPr>
        <w:t>3.8.3.3</w:t>
      </w:r>
      <w:r>
        <w:rPr>
          <w:rFonts w:ascii="Times New Roman" w:hAnsi="Times New Roman"/>
          <w:b/>
          <w:bCs/>
          <w:kern w:val="0"/>
          <w:sz w:val="24"/>
          <w:szCs w:val="20"/>
        </w:rPr>
        <w:t>污染物产生指标</w:t>
      </w:r>
    </w:p>
    <w:p w:rsidR="00525419" w:rsidRDefault="00EE1CF7">
      <w:pPr>
        <w:autoSpaceDE w:val="0"/>
        <w:autoSpaceDN w:val="0"/>
        <w:adjustRightInd w:val="0"/>
        <w:spacing w:line="360" w:lineRule="auto"/>
        <w:ind w:firstLineChars="200" w:firstLine="480"/>
        <w:rPr>
          <w:rFonts w:ascii="Times New Roman" w:hAnsi="Times New Roman"/>
          <w:kern w:val="0"/>
          <w:sz w:val="24"/>
          <w:szCs w:val="20"/>
        </w:rPr>
      </w:pPr>
      <w:r>
        <w:rPr>
          <w:rFonts w:ascii="Times New Roman" w:hAnsi="Times New Roman"/>
          <w:kern w:val="0"/>
          <w:sz w:val="24"/>
          <w:szCs w:val="20"/>
        </w:rPr>
        <w:t>本项目污染物产生指标（末端治理前）见表</w:t>
      </w:r>
      <w:r>
        <w:rPr>
          <w:rFonts w:ascii="Times New Roman" w:hAnsi="Times New Roman"/>
          <w:kern w:val="0"/>
          <w:sz w:val="24"/>
          <w:szCs w:val="20"/>
        </w:rPr>
        <w:t>3.8-3</w:t>
      </w:r>
      <w:r>
        <w:rPr>
          <w:rFonts w:ascii="Times New Roman" w:hAnsi="Times New Roman"/>
          <w:kern w:val="0"/>
          <w:sz w:val="24"/>
          <w:szCs w:val="20"/>
        </w:rPr>
        <w:t>。</w:t>
      </w:r>
    </w:p>
    <w:p w:rsidR="00525419" w:rsidRDefault="00525419">
      <w:pPr>
        <w:pStyle w:val="ae"/>
        <w:keepNext/>
        <w:adjustRightInd w:val="0"/>
        <w:snapToGrid w:val="0"/>
        <w:ind w:firstLineChars="500" w:firstLine="1050"/>
        <w:rPr>
          <w:rFonts w:ascii="Times New Roman" w:hAnsi="Times New Roman"/>
          <w:sz w:val="21"/>
          <w:szCs w:val="21"/>
        </w:rPr>
      </w:pPr>
    </w:p>
    <w:p w:rsidR="00525419" w:rsidRDefault="00EE1CF7">
      <w:pPr>
        <w:pStyle w:val="ae"/>
        <w:keepNext/>
        <w:adjustRightInd w:val="0"/>
        <w:snapToGrid w:val="0"/>
        <w:ind w:firstLineChars="500" w:firstLine="1050"/>
        <w:rPr>
          <w:rFonts w:ascii="Times New Roman" w:hAnsi="Times New Roman"/>
          <w:sz w:val="21"/>
          <w:szCs w:val="21"/>
        </w:rPr>
      </w:pPr>
      <w:r>
        <w:rPr>
          <w:rFonts w:ascii="Times New Roman" w:hAnsi="Times New Roman"/>
          <w:sz w:val="21"/>
          <w:szCs w:val="21"/>
        </w:rPr>
        <w:t>表</w:t>
      </w:r>
      <w:r>
        <w:rPr>
          <w:rFonts w:ascii="Times New Roman" w:hAnsi="Times New Roman"/>
          <w:sz w:val="21"/>
          <w:szCs w:val="21"/>
        </w:rPr>
        <w:t xml:space="preserve">3.8-3    </w:t>
      </w:r>
      <w:r>
        <w:rPr>
          <w:rFonts w:ascii="Times New Roman" w:hAnsi="Times New Roman"/>
          <w:sz w:val="21"/>
          <w:szCs w:val="21"/>
        </w:rPr>
        <w:t>项目污染物产生指标（末端治理前）表（以单位总产品计）</w:t>
      </w:r>
    </w:p>
    <w:tbl>
      <w:tblPr>
        <w:tblW w:w="85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59"/>
        <w:gridCol w:w="2289"/>
        <w:gridCol w:w="2495"/>
        <w:gridCol w:w="2673"/>
      </w:tblGrid>
      <w:tr w:rsidR="00525419">
        <w:trPr>
          <w:jc w:val="center"/>
        </w:trPr>
        <w:tc>
          <w:tcPr>
            <w:tcW w:w="1059" w:type="dxa"/>
            <w:tcBorders>
              <w:tl2br w:val="nil"/>
              <w:tr2bl w:val="nil"/>
            </w:tcBorders>
            <w:shd w:val="clear" w:color="auto" w:fill="auto"/>
            <w:vAlign w:val="center"/>
          </w:tcPr>
          <w:p w:rsidR="00525419" w:rsidRDefault="00EE1CF7">
            <w:pPr>
              <w:spacing w:line="360" w:lineRule="exact"/>
              <w:jc w:val="center"/>
              <w:rPr>
                <w:rFonts w:ascii="Times New Roman" w:hAnsi="Times New Roman"/>
                <w:b/>
                <w:bCs/>
                <w:szCs w:val="21"/>
              </w:rPr>
            </w:pPr>
            <w:r>
              <w:rPr>
                <w:rFonts w:ascii="Times New Roman" w:hAnsi="Times New Roman"/>
                <w:b/>
                <w:bCs/>
                <w:szCs w:val="21"/>
              </w:rPr>
              <w:t>序号</w:t>
            </w:r>
          </w:p>
        </w:tc>
        <w:tc>
          <w:tcPr>
            <w:tcW w:w="2289" w:type="dxa"/>
            <w:tcBorders>
              <w:tl2br w:val="nil"/>
              <w:tr2bl w:val="nil"/>
            </w:tcBorders>
            <w:shd w:val="clear" w:color="auto" w:fill="auto"/>
            <w:vAlign w:val="center"/>
          </w:tcPr>
          <w:p w:rsidR="00525419" w:rsidRDefault="00EE1CF7">
            <w:pPr>
              <w:spacing w:line="360" w:lineRule="exact"/>
              <w:jc w:val="center"/>
              <w:rPr>
                <w:rFonts w:ascii="Times New Roman" w:hAnsi="Times New Roman"/>
                <w:b/>
                <w:bCs/>
                <w:szCs w:val="21"/>
              </w:rPr>
            </w:pPr>
            <w:r>
              <w:rPr>
                <w:rFonts w:ascii="Times New Roman" w:hAnsi="Times New Roman"/>
                <w:b/>
                <w:bCs/>
                <w:szCs w:val="21"/>
              </w:rPr>
              <w:t>类别</w:t>
            </w:r>
          </w:p>
        </w:tc>
        <w:tc>
          <w:tcPr>
            <w:tcW w:w="2495" w:type="dxa"/>
            <w:tcBorders>
              <w:tl2br w:val="nil"/>
              <w:tr2bl w:val="nil"/>
            </w:tcBorders>
            <w:shd w:val="clear" w:color="auto" w:fill="auto"/>
            <w:vAlign w:val="center"/>
          </w:tcPr>
          <w:p w:rsidR="00525419" w:rsidRDefault="00EE1CF7">
            <w:pPr>
              <w:spacing w:line="360" w:lineRule="exact"/>
              <w:jc w:val="center"/>
              <w:rPr>
                <w:rFonts w:ascii="Times New Roman" w:hAnsi="Times New Roman"/>
                <w:b/>
                <w:bCs/>
                <w:szCs w:val="21"/>
              </w:rPr>
            </w:pPr>
            <w:r>
              <w:rPr>
                <w:rFonts w:ascii="Times New Roman" w:hAnsi="Times New Roman"/>
                <w:b/>
                <w:bCs/>
                <w:szCs w:val="21"/>
              </w:rPr>
              <w:t>名称</w:t>
            </w:r>
          </w:p>
        </w:tc>
        <w:tc>
          <w:tcPr>
            <w:tcW w:w="2673" w:type="dxa"/>
            <w:tcBorders>
              <w:tl2br w:val="nil"/>
              <w:tr2bl w:val="nil"/>
            </w:tcBorders>
            <w:shd w:val="clear" w:color="auto" w:fill="auto"/>
            <w:vAlign w:val="center"/>
          </w:tcPr>
          <w:p w:rsidR="00525419" w:rsidRDefault="00EE1CF7">
            <w:pPr>
              <w:spacing w:line="360" w:lineRule="exact"/>
              <w:jc w:val="center"/>
              <w:rPr>
                <w:rFonts w:ascii="Times New Roman" w:hAnsi="Times New Roman"/>
                <w:b/>
                <w:bCs/>
                <w:szCs w:val="21"/>
              </w:rPr>
            </w:pPr>
            <w:r>
              <w:rPr>
                <w:rFonts w:ascii="Times New Roman" w:hAnsi="Times New Roman"/>
                <w:b/>
                <w:bCs/>
                <w:szCs w:val="21"/>
              </w:rPr>
              <w:t>产生指标（</w:t>
            </w:r>
            <w:r>
              <w:rPr>
                <w:rFonts w:ascii="Times New Roman" w:hAnsi="Times New Roman"/>
                <w:b/>
                <w:bCs/>
                <w:szCs w:val="21"/>
              </w:rPr>
              <w:t>kg/t</w:t>
            </w:r>
            <w:r>
              <w:rPr>
                <w:rFonts w:ascii="Times New Roman" w:hAnsi="Times New Roman"/>
                <w:b/>
                <w:bCs/>
                <w:szCs w:val="21"/>
              </w:rPr>
              <w:t>）</w:t>
            </w:r>
          </w:p>
        </w:tc>
      </w:tr>
      <w:tr w:rsidR="00525419">
        <w:trPr>
          <w:jc w:val="center"/>
        </w:trPr>
        <w:tc>
          <w:tcPr>
            <w:tcW w:w="1059" w:type="dxa"/>
            <w:vMerge w:val="restart"/>
            <w:tcBorders>
              <w:tl2br w:val="nil"/>
              <w:tr2bl w:val="nil"/>
            </w:tcBorders>
            <w:shd w:val="clear" w:color="auto" w:fill="auto"/>
            <w:vAlign w:val="center"/>
          </w:tcPr>
          <w:p w:rsidR="00525419" w:rsidRDefault="00EE1CF7">
            <w:pPr>
              <w:spacing w:line="360" w:lineRule="exact"/>
              <w:jc w:val="center"/>
              <w:rPr>
                <w:rFonts w:ascii="Times New Roman" w:hAnsi="Times New Roman"/>
                <w:szCs w:val="21"/>
              </w:rPr>
            </w:pPr>
            <w:r>
              <w:rPr>
                <w:rFonts w:ascii="Times New Roman" w:hAnsi="Times New Roman"/>
                <w:szCs w:val="21"/>
              </w:rPr>
              <w:t>1</w:t>
            </w:r>
          </w:p>
        </w:tc>
        <w:tc>
          <w:tcPr>
            <w:tcW w:w="2289" w:type="dxa"/>
            <w:vMerge w:val="restart"/>
            <w:tcBorders>
              <w:tl2br w:val="nil"/>
              <w:tr2bl w:val="nil"/>
            </w:tcBorders>
            <w:shd w:val="clear" w:color="auto" w:fill="auto"/>
            <w:vAlign w:val="center"/>
          </w:tcPr>
          <w:p w:rsidR="00525419" w:rsidRDefault="00EE1CF7">
            <w:pPr>
              <w:spacing w:line="360" w:lineRule="exact"/>
              <w:jc w:val="center"/>
              <w:rPr>
                <w:rFonts w:ascii="Times New Roman" w:hAnsi="Times New Roman"/>
                <w:szCs w:val="21"/>
              </w:rPr>
            </w:pPr>
            <w:r>
              <w:rPr>
                <w:rFonts w:ascii="Times New Roman" w:hAnsi="Times New Roman"/>
                <w:szCs w:val="21"/>
              </w:rPr>
              <w:t>废气污染物</w:t>
            </w:r>
          </w:p>
        </w:tc>
        <w:tc>
          <w:tcPr>
            <w:tcW w:w="2495" w:type="dxa"/>
            <w:tcBorders>
              <w:tl2br w:val="nil"/>
              <w:tr2bl w:val="nil"/>
            </w:tcBorders>
            <w:shd w:val="clear" w:color="auto" w:fill="auto"/>
            <w:vAlign w:val="center"/>
          </w:tcPr>
          <w:p w:rsidR="00525419" w:rsidRDefault="00EE1CF7">
            <w:pPr>
              <w:spacing w:line="360" w:lineRule="exact"/>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2673" w:type="dxa"/>
            <w:tcBorders>
              <w:tl2br w:val="nil"/>
              <w:tr2bl w:val="nil"/>
            </w:tcBorders>
            <w:shd w:val="clear" w:color="auto" w:fill="auto"/>
            <w:vAlign w:val="center"/>
          </w:tcPr>
          <w:p w:rsidR="00525419" w:rsidRDefault="00EE1CF7">
            <w:pPr>
              <w:spacing w:line="360" w:lineRule="exact"/>
              <w:jc w:val="center"/>
              <w:rPr>
                <w:rFonts w:ascii="Times New Roman" w:hAnsi="Times New Roman"/>
                <w:szCs w:val="21"/>
              </w:rPr>
            </w:pPr>
            <w:r>
              <w:rPr>
                <w:rFonts w:ascii="Times New Roman" w:hAnsi="Times New Roman"/>
                <w:szCs w:val="21"/>
              </w:rPr>
              <w:t>0.08</w:t>
            </w:r>
          </w:p>
        </w:tc>
      </w:tr>
      <w:tr w:rsidR="00525419">
        <w:trPr>
          <w:jc w:val="center"/>
        </w:trPr>
        <w:tc>
          <w:tcPr>
            <w:tcW w:w="1059" w:type="dxa"/>
            <w:vMerge/>
            <w:tcBorders>
              <w:tl2br w:val="nil"/>
              <w:tr2bl w:val="nil"/>
            </w:tcBorders>
            <w:shd w:val="clear" w:color="auto" w:fill="auto"/>
            <w:vAlign w:val="center"/>
          </w:tcPr>
          <w:p w:rsidR="00525419" w:rsidRDefault="00525419">
            <w:pPr>
              <w:spacing w:line="360" w:lineRule="exact"/>
              <w:jc w:val="center"/>
              <w:rPr>
                <w:rFonts w:ascii="Times New Roman" w:hAnsi="Times New Roman"/>
                <w:szCs w:val="21"/>
              </w:rPr>
            </w:pPr>
          </w:p>
        </w:tc>
        <w:tc>
          <w:tcPr>
            <w:tcW w:w="2289" w:type="dxa"/>
            <w:vMerge/>
            <w:tcBorders>
              <w:tl2br w:val="nil"/>
              <w:tr2bl w:val="nil"/>
            </w:tcBorders>
            <w:shd w:val="clear" w:color="auto" w:fill="auto"/>
            <w:vAlign w:val="center"/>
          </w:tcPr>
          <w:p w:rsidR="00525419" w:rsidRDefault="00525419">
            <w:pPr>
              <w:spacing w:line="360" w:lineRule="exact"/>
              <w:jc w:val="center"/>
              <w:rPr>
                <w:rFonts w:ascii="Times New Roman" w:hAnsi="Times New Roman"/>
                <w:szCs w:val="21"/>
              </w:rPr>
            </w:pPr>
          </w:p>
        </w:tc>
        <w:tc>
          <w:tcPr>
            <w:tcW w:w="2495" w:type="dxa"/>
            <w:tcBorders>
              <w:tl2br w:val="nil"/>
              <w:tr2bl w:val="nil"/>
            </w:tcBorders>
            <w:shd w:val="clear" w:color="auto" w:fill="auto"/>
            <w:vAlign w:val="center"/>
          </w:tcPr>
          <w:p w:rsidR="00525419" w:rsidRDefault="00EE1CF7">
            <w:pPr>
              <w:spacing w:line="360" w:lineRule="exact"/>
              <w:jc w:val="center"/>
              <w:rPr>
                <w:rFonts w:ascii="Times New Roman" w:hAnsi="Times New Roman"/>
                <w:szCs w:val="21"/>
              </w:rPr>
            </w:pPr>
            <w:r>
              <w:rPr>
                <w:rFonts w:ascii="Times New Roman" w:hAnsi="Times New Roman"/>
                <w:szCs w:val="21"/>
              </w:rPr>
              <w:t>NOx</w:t>
            </w:r>
          </w:p>
        </w:tc>
        <w:tc>
          <w:tcPr>
            <w:tcW w:w="2673" w:type="dxa"/>
            <w:tcBorders>
              <w:tl2br w:val="nil"/>
              <w:tr2bl w:val="nil"/>
            </w:tcBorders>
            <w:shd w:val="clear" w:color="auto" w:fill="auto"/>
            <w:vAlign w:val="center"/>
          </w:tcPr>
          <w:p w:rsidR="00525419" w:rsidRDefault="00EE1CF7">
            <w:pPr>
              <w:spacing w:line="360" w:lineRule="exact"/>
              <w:jc w:val="center"/>
              <w:rPr>
                <w:rFonts w:ascii="Times New Roman" w:hAnsi="Times New Roman"/>
                <w:szCs w:val="21"/>
              </w:rPr>
            </w:pPr>
            <w:r>
              <w:rPr>
                <w:rFonts w:ascii="Times New Roman" w:hAnsi="Times New Roman"/>
                <w:szCs w:val="21"/>
              </w:rPr>
              <w:t>0.26</w:t>
            </w:r>
          </w:p>
        </w:tc>
      </w:tr>
      <w:tr w:rsidR="00525419">
        <w:trPr>
          <w:trHeight w:val="90"/>
          <w:jc w:val="center"/>
        </w:trPr>
        <w:tc>
          <w:tcPr>
            <w:tcW w:w="1059" w:type="dxa"/>
            <w:vMerge/>
            <w:tcBorders>
              <w:tl2br w:val="nil"/>
              <w:tr2bl w:val="nil"/>
            </w:tcBorders>
            <w:shd w:val="clear" w:color="auto" w:fill="auto"/>
            <w:vAlign w:val="center"/>
          </w:tcPr>
          <w:p w:rsidR="00525419" w:rsidRDefault="00525419">
            <w:pPr>
              <w:spacing w:line="360" w:lineRule="exact"/>
              <w:jc w:val="center"/>
              <w:rPr>
                <w:rFonts w:ascii="Times New Roman" w:hAnsi="Times New Roman"/>
                <w:szCs w:val="21"/>
              </w:rPr>
            </w:pPr>
          </w:p>
        </w:tc>
        <w:tc>
          <w:tcPr>
            <w:tcW w:w="2289" w:type="dxa"/>
            <w:vMerge/>
            <w:tcBorders>
              <w:tl2br w:val="nil"/>
              <w:tr2bl w:val="nil"/>
            </w:tcBorders>
            <w:shd w:val="clear" w:color="auto" w:fill="auto"/>
            <w:vAlign w:val="center"/>
          </w:tcPr>
          <w:p w:rsidR="00525419" w:rsidRDefault="00525419">
            <w:pPr>
              <w:spacing w:line="360" w:lineRule="exact"/>
              <w:jc w:val="center"/>
              <w:rPr>
                <w:rFonts w:ascii="Times New Roman" w:hAnsi="Times New Roman"/>
                <w:szCs w:val="21"/>
              </w:rPr>
            </w:pPr>
          </w:p>
        </w:tc>
        <w:tc>
          <w:tcPr>
            <w:tcW w:w="2495" w:type="dxa"/>
            <w:tcBorders>
              <w:tl2br w:val="nil"/>
              <w:tr2bl w:val="nil"/>
            </w:tcBorders>
            <w:shd w:val="clear" w:color="auto" w:fill="auto"/>
            <w:vAlign w:val="center"/>
          </w:tcPr>
          <w:p w:rsidR="00525419" w:rsidRDefault="00EE1CF7">
            <w:pPr>
              <w:spacing w:line="360" w:lineRule="exact"/>
              <w:jc w:val="center"/>
              <w:rPr>
                <w:rFonts w:ascii="Times New Roman" w:hAnsi="Times New Roman"/>
                <w:szCs w:val="21"/>
              </w:rPr>
            </w:pPr>
            <w:r>
              <w:rPr>
                <w:rFonts w:ascii="Times New Roman" w:hAnsi="Times New Roman"/>
                <w:szCs w:val="21"/>
              </w:rPr>
              <w:t>烟尘</w:t>
            </w:r>
          </w:p>
        </w:tc>
        <w:tc>
          <w:tcPr>
            <w:tcW w:w="2673" w:type="dxa"/>
            <w:tcBorders>
              <w:tl2br w:val="nil"/>
              <w:tr2bl w:val="nil"/>
            </w:tcBorders>
            <w:shd w:val="clear" w:color="auto" w:fill="auto"/>
            <w:vAlign w:val="center"/>
          </w:tcPr>
          <w:p w:rsidR="00525419" w:rsidRDefault="00EE1CF7">
            <w:pPr>
              <w:spacing w:line="360" w:lineRule="exact"/>
              <w:jc w:val="center"/>
              <w:rPr>
                <w:rFonts w:ascii="Times New Roman" w:hAnsi="Times New Roman"/>
                <w:szCs w:val="21"/>
              </w:rPr>
            </w:pPr>
            <w:r>
              <w:rPr>
                <w:rFonts w:ascii="Times New Roman" w:hAnsi="Times New Roman"/>
                <w:szCs w:val="21"/>
              </w:rPr>
              <w:t>0.03</w:t>
            </w:r>
          </w:p>
        </w:tc>
      </w:tr>
      <w:tr w:rsidR="00525419">
        <w:trPr>
          <w:jc w:val="center"/>
        </w:trPr>
        <w:tc>
          <w:tcPr>
            <w:tcW w:w="1059" w:type="dxa"/>
            <w:vMerge/>
            <w:tcBorders>
              <w:tl2br w:val="nil"/>
              <w:tr2bl w:val="nil"/>
            </w:tcBorders>
            <w:shd w:val="clear" w:color="auto" w:fill="auto"/>
            <w:vAlign w:val="center"/>
          </w:tcPr>
          <w:p w:rsidR="00525419" w:rsidRDefault="00525419">
            <w:pPr>
              <w:spacing w:line="360" w:lineRule="exact"/>
              <w:jc w:val="center"/>
              <w:rPr>
                <w:rFonts w:ascii="Times New Roman" w:hAnsi="Times New Roman"/>
                <w:szCs w:val="21"/>
              </w:rPr>
            </w:pPr>
          </w:p>
        </w:tc>
        <w:tc>
          <w:tcPr>
            <w:tcW w:w="2289" w:type="dxa"/>
            <w:vMerge/>
            <w:tcBorders>
              <w:tl2br w:val="nil"/>
              <w:tr2bl w:val="nil"/>
            </w:tcBorders>
            <w:shd w:val="clear" w:color="auto" w:fill="auto"/>
            <w:vAlign w:val="center"/>
          </w:tcPr>
          <w:p w:rsidR="00525419" w:rsidRDefault="00525419">
            <w:pPr>
              <w:spacing w:line="360" w:lineRule="exact"/>
              <w:jc w:val="center"/>
              <w:rPr>
                <w:rFonts w:ascii="Times New Roman" w:hAnsi="Times New Roman"/>
                <w:szCs w:val="21"/>
              </w:rPr>
            </w:pPr>
          </w:p>
        </w:tc>
        <w:tc>
          <w:tcPr>
            <w:tcW w:w="2495" w:type="dxa"/>
            <w:tcBorders>
              <w:tl2br w:val="nil"/>
              <w:tr2bl w:val="nil"/>
            </w:tcBorders>
            <w:shd w:val="clear" w:color="auto" w:fill="auto"/>
            <w:vAlign w:val="center"/>
          </w:tcPr>
          <w:p w:rsidR="00525419" w:rsidRDefault="00EE1CF7">
            <w:pPr>
              <w:spacing w:line="360" w:lineRule="exact"/>
              <w:jc w:val="center"/>
              <w:rPr>
                <w:rFonts w:ascii="Times New Roman" w:hAnsi="Times New Roman"/>
                <w:szCs w:val="21"/>
              </w:rPr>
            </w:pPr>
            <w:r>
              <w:rPr>
                <w:rFonts w:ascii="Times New Roman" w:hAnsi="Times New Roman"/>
                <w:szCs w:val="21"/>
              </w:rPr>
              <w:t>非甲烷总烃</w:t>
            </w:r>
          </w:p>
        </w:tc>
        <w:tc>
          <w:tcPr>
            <w:tcW w:w="2673" w:type="dxa"/>
            <w:tcBorders>
              <w:tl2br w:val="nil"/>
              <w:tr2bl w:val="nil"/>
            </w:tcBorders>
            <w:shd w:val="clear" w:color="auto" w:fill="auto"/>
            <w:vAlign w:val="center"/>
          </w:tcPr>
          <w:p w:rsidR="00525419" w:rsidRDefault="00EE1CF7">
            <w:pPr>
              <w:spacing w:line="360" w:lineRule="exact"/>
              <w:jc w:val="center"/>
              <w:rPr>
                <w:rFonts w:ascii="Times New Roman" w:hAnsi="Times New Roman"/>
                <w:szCs w:val="21"/>
              </w:rPr>
            </w:pPr>
            <w:r>
              <w:rPr>
                <w:rFonts w:ascii="Times New Roman" w:hAnsi="Times New Roman"/>
                <w:szCs w:val="21"/>
              </w:rPr>
              <w:t>0.1</w:t>
            </w:r>
          </w:p>
        </w:tc>
      </w:tr>
      <w:tr w:rsidR="00525419">
        <w:trPr>
          <w:trHeight w:val="337"/>
          <w:jc w:val="center"/>
        </w:trPr>
        <w:tc>
          <w:tcPr>
            <w:tcW w:w="1059" w:type="dxa"/>
            <w:vMerge w:val="restart"/>
            <w:tcBorders>
              <w:tl2br w:val="nil"/>
              <w:tr2bl w:val="nil"/>
            </w:tcBorders>
            <w:shd w:val="clear" w:color="auto" w:fill="auto"/>
            <w:vAlign w:val="center"/>
          </w:tcPr>
          <w:p w:rsidR="00525419" w:rsidRDefault="00EE1CF7">
            <w:pPr>
              <w:spacing w:line="360" w:lineRule="exact"/>
              <w:jc w:val="center"/>
              <w:rPr>
                <w:rFonts w:ascii="Times New Roman" w:hAnsi="Times New Roman"/>
                <w:szCs w:val="21"/>
              </w:rPr>
            </w:pPr>
            <w:r>
              <w:rPr>
                <w:rFonts w:ascii="Times New Roman" w:hAnsi="Times New Roman"/>
                <w:szCs w:val="21"/>
              </w:rPr>
              <w:t>2</w:t>
            </w:r>
          </w:p>
        </w:tc>
        <w:tc>
          <w:tcPr>
            <w:tcW w:w="2289" w:type="dxa"/>
            <w:vMerge w:val="restart"/>
            <w:tcBorders>
              <w:tl2br w:val="nil"/>
              <w:tr2bl w:val="nil"/>
            </w:tcBorders>
            <w:shd w:val="clear" w:color="auto" w:fill="auto"/>
            <w:vAlign w:val="center"/>
          </w:tcPr>
          <w:p w:rsidR="00525419" w:rsidRDefault="00EE1CF7">
            <w:pPr>
              <w:spacing w:line="360" w:lineRule="exact"/>
              <w:jc w:val="center"/>
              <w:rPr>
                <w:rFonts w:ascii="Times New Roman" w:hAnsi="Times New Roman"/>
                <w:szCs w:val="21"/>
              </w:rPr>
            </w:pPr>
            <w:r>
              <w:rPr>
                <w:rFonts w:ascii="Times New Roman" w:hAnsi="Times New Roman"/>
                <w:szCs w:val="21"/>
              </w:rPr>
              <w:t>废水污染物</w:t>
            </w:r>
          </w:p>
        </w:tc>
        <w:tc>
          <w:tcPr>
            <w:tcW w:w="2495" w:type="dxa"/>
            <w:tcBorders>
              <w:tl2br w:val="nil"/>
              <w:tr2bl w:val="nil"/>
            </w:tcBorders>
            <w:shd w:val="clear" w:color="auto" w:fill="auto"/>
            <w:vAlign w:val="center"/>
          </w:tcPr>
          <w:p w:rsidR="00525419" w:rsidRDefault="00EE1CF7">
            <w:pPr>
              <w:spacing w:line="360" w:lineRule="exact"/>
              <w:jc w:val="center"/>
              <w:rPr>
                <w:rFonts w:ascii="Times New Roman" w:hAnsi="Times New Roman"/>
                <w:szCs w:val="21"/>
              </w:rPr>
            </w:pPr>
            <w:r>
              <w:rPr>
                <w:rFonts w:ascii="Times New Roman" w:hAnsi="Times New Roman"/>
                <w:szCs w:val="21"/>
              </w:rPr>
              <w:t>COD</w:t>
            </w:r>
          </w:p>
        </w:tc>
        <w:tc>
          <w:tcPr>
            <w:tcW w:w="2673" w:type="dxa"/>
            <w:tcBorders>
              <w:tl2br w:val="nil"/>
              <w:tr2bl w:val="nil"/>
            </w:tcBorders>
            <w:shd w:val="clear" w:color="auto" w:fill="auto"/>
            <w:vAlign w:val="center"/>
          </w:tcPr>
          <w:p w:rsidR="00525419" w:rsidRDefault="00EE1CF7">
            <w:pPr>
              <w:spacing w:line="360" w:lineRule="exact"/>
              <w:jc w:val="center"/>
              <w:rPr>
                <w:rFonts w:ascii="Times New Roman" w:hAnsi="Times New Roman"/>
                <w:szCs w:val="21"/>
              </w:rPr>
            </w:pPr>
            <w:r>
              <w:rPr>
                <w:rFonts w:ascii="Times New Roman" w:hAnsi="Times New Roman"/>
                <w:szCs w:val="21"/>
              </w:rPr>
              <w:t>15.2</w:t>
            </w:r>
          </w:p>
        </w:tc>
      </w:tr>
      <w:tr w:rsidR="00525419">
        <w:trPr>
          <w:jc w:val="center"/>
        </w:trPr>
        <w:tc>
          <w:tcPr>
            <w:tcW w:w="1059" w:type="dxa"/>
            <w:vMerge/>
            <w:tcBorders>
              <w:tl2br w:val="nil"/>
              <w:tr2bl w:val="nil"/>
            </w:tcBorders>
            <w:shd w:val="clear" w:color="auto" w:fill="auto"/>
            <w:vAlign w:val="center"/>
          </w:tcPr>
          <w:p w:rsidR="00525419" w:rsidRDefault="00525419">
            <w:pPr>
              <w:spacing w:line="360" w:lineRule="exact"/>
              <w:jc w:val="center"/>
              <w:rPr>
                <w:rFonts w:ascii="Times New Roman" w:hAnsi="Times New Roman"/>
                <w:szCs w:val="21"/>
              </w:rPr>
            </w:pPr>
          </w:p>
        </w:tc>
        <w:tc>
          <w:tcPr>
            <w:tcW w:w="2289" w:type="dxa"/>
            <w:vMerge/>
            <w:tcBorders>
              <w:tl2br w:val="nil"/>
              <w:tr2bl w:val="nil"/>
            </w:tcBorders>
            <w:shd w:val="clear" w:color="auto" w:fill="auto"/>
            <w:vAlign w:val="center"/>
          </w:tcPr>
          <w:p w:rsidR="00525419" w:rsidRDefault="00525419">
            <w:pPr>
              <w:spacing w:line="360" w:lineRule="exact"/>
              <w:jc w:val="center"/>
              <w:rPr>
                <w:rFonts w:ascii="Times New Roman" w:hAnsi="Times New Roman"/>
                <w:szCs w:val="21"/>
              </w:rPr>
            </w:pPr>
          </w:p>
        </w:tc>
        <w:tc>
          <w:tcPr>
            <w:tcW w:w="2495" w:type="dxa"/>
            <w:tcBorders>
              <w:tl2br w:val="nil"/>
              <w:tr2bl w:val="nil"/>
            </w:tcBorders>
            <w:shd w:val="clear" w:color="auto" w:fill="auto"/>
            <w:vAlign w:val="center"/>
          </w:tcPr>
          <w:p w:rsidR="00525419" w:rsidRDefault="00EE1CF7">
            <w:pPr>
              <w:spacing w:line="360" w:lineRule="exact"/>
              <w:jc w:val="center"/>
              <w:rPr>
                <w:rFonts w:ascii="Times New Roman" w:hAnsi="Times New Roman"/>
                <w:szCs w:val="21"/>
              </w:rPr>
            </w:pPr>
            <w:r>
              <w:rPr>
                <w:rFonts w:ascii="Times New Roman" w:hAnsi="Times New Roman"/>
                <w:szCs w:val="21"/>
              </w:rPr>
              <w:t>氨氮</w:t>
            </w:r>
          </w:p>
        </w:tc>
        <w:tc>
          <w:tcPr>
            <w:tcW w:w="2673" w:type="dxa"/>
            <w:tcBorders>
              <w:tl2br w:val="nil"/>
              <w:tr2bl w:val="nil"/>
            </w:tcBorders>
            <w:shd w:val="clear" w:color="auto" w:fill="auto"/>
            <w:vAlign w:val="center"/>
          </w:tcPr>
          <w:p w:rsidR="00525419" w:rsidRDefault="00EE1CF7">
            <w:pPr>
              <w:spacing w:line="360" w:lineRule="exact"/>
              <w:jc w:val="center"/>
              <w:rPr>
                <w:rFonts w:ascii="Times New Roman" w:hAnsi="Times New Roman"/>
                <w:szCs w:val="21"/>
              </w:rPr>
            </w:pPr>
            <w:r>
              <w:rPr>
                <w:rFonts w:ascii="Times New Roman" w:hAnsi="Times New Roman"/>
                <w:szCs w:val="21"/>
              </w:rPr>
              <w:t>1.62</w:t>
            </w:r>
          </w:p>
        </w:tc>
      </w:tr>
      <w:tr w:rsidR="00525419">
        <w:trPr>
          <w:trHeight w:val="457"/>
          <w:jc w:val="center"/>
        </w:trPr>
        <w:tc>
          <w:tcPr>
            <w:tcW w:w="1059" w:type="dxa"/>
            <w:vMerge/>
            <w:tcBorders>
              <w:tl2br w:val="nil"/>
              <w:tr2bl w:val="nil"/>
            </w:tcBorders>
            <w:shd w:val="clear" w:color="auto" w:fill="auto"/>
            <w:vAlign w:val="center"/>
          </w:tcPr>
          <w:p w:rsidR="00525419" w:rsidRDefault="00525419">
            <w:pPr>
              <w:spacing w:line="360" w:lineRule="exact"/>
              <w:jc w:val="center"/>
              <w:rPr>
                <w:rFonts w:ascii="Times New Roman" w:hAnsi="Times New Roman"/>
                <w:szCs w:val="21"/>
              </w:rPr>
            </w:pPr>
          </w:p>
        </w:tc>
        <w:tc>
          <w:tcPr>
            <w:tcW w:w="2289" w:type="dxa"/>
            <w:vMerge/>
            <w:tcBorders>
              <w:tl2br w:val="nil"/>
              <w:tr2bl w:val="nil"/>
            </w:tcBorders>
            <w:shd w:val="clear" w:color="auto" w:fill="auto"/>
            <w:vAlign w:val="center"/>
          </w:tcPr>
          <w:p w:rsidR="00525419" w:rsidRDefault="00525419">
            <w:pPr>
              <w:spacing w:line="360" w:lineRule="exact"/>
              <w:jc w:val="center"/>
              <w:rPr>
                <w:rFonts w:ascii="Times New Roman" w:hAnsi="Times New Roman"/>
                <w:szCs w:val="21"/>
              </w:rPr>
            </w:pPr>
          </w:p>
        </w:tc>
        <w:tc>
          <w:tcPr>
            <w:tcW w:w="2495" w:type="dxa"/>
            <w:tcBorders>
              <w:tl2br w:val="nil"/>
              <w:tr2bl w:val="nil"/>
            </w:tcBorders>
            <w:shd w:val="clear" w:color="auto" w:fill="auto"/>
            <w:vAlign w:val="center"/>
          </w:tcPr>
          <w:p w:rsidR="00525419" w:rsidRDefault="00EE1CF7">
            <w:pPr>
              <w:spacing w:line="360" w:lineRule="exact"/>
              <w:jc w:val="center"/>
              <w:rPr>
                <w:rFonts w:ascii="Times New Roman" w:hAnsi="Times New Roman"/>
                <w:szCs w:val="21"/>
              </w:rPr>
            </w:pPr>
            <w:r>
              <w:rPr>
                <w:rFonts w:ascii="Times New Roman" w:hAnsi="Times New Roman"/>
                <w:szCs w:val="21"/>
              </w:rPr>
              <w:t>石油类</w:t>
            </w:r>
          </w:p>
        </w:tc>
        <w:tc>
          <w:tcPr>
            <w:tcW w:w="2673" w:type="dxa"/>
            <w:tcBorders>
              <w:tl2br w:val="nil"/>
              <w:tr2bl w:val="nil"/>
            </w:tcBorders>
            <w:shd w:val="clear" w:color="auto" w:fill="auto"/>
            <w:vAlign w:val="center"/>
          </w:tcPr>
          <w:p w:rsidR="00525419" w:rsidRDefault="00EE1CF7">
            <w:pPr>
              <w:spacing w:line="360" w:lineRule="exact"/>
              <w:jc w:val="center"/>
              <w:rPr>
                <w:rFonts w:ascii="Times New Roman" w:hAnsi="Times New Roman"/>
                <w:szCs w:val="21"/>
              </w:rPr>
            </w:pPr>
            <w:r>
              <w:rPr>
                <w:rFonts w:ascii="Times New Roman" w:hAnsi="Times New Roman"/>
                <w:szCs w:val="21"/>
              </w:rPr>
              <w:t>0.22</w:t>
            </w:r>
          </w:p>
        </w:tc>
      </w:tr>
    </w:tbl>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从表</w:t>
      </w:r>
      <w:r>
        <w:rPr>
          <w:rFonts w:ascii="Times New Roman" w:hAnsi="Times New Roman"/>
          <w:sz w:val="24"/>
          <w:szCs w:val="24"/>
        </w:rPr>
        <w:t>3.8-3</w:t>
      </w:r>
      <w:r>
        <w:rPr>
          <w:rFonts w:ascii="Times New Roman" w:hAnsi="Times New Roman"/>
          <w:sz w:val="24"/>
          <w:szCs w:val="24"/>
        </w:rPr>
        <w:t>看出，项目废气污染物产生指标最大为</w:t>
      </w:r>
      <w:r>
        <w:rPr>
          <w:rFonts w:ascii="Times New Roman" w:hAnsi="Times New Roman"/>
          <w:sz w:val="24"/>
          <w:szCs w:val="24"/>
        </w:rPr>
        <w:t>0.26kg/t</w:t>
      </w:r>
      <w:r>
        <w:rPr>
          <w:rFonts w:ascii="Times New Roman" w:hAnsi="Times New Roman"/>
          <w:sz w:val="24"/>
          <w:szCs w:val="24"/>
        </w:rPr>
        <w:t>，废水污染物产生指标最大为</w:t>
      </w:r>
      <w:r>
        <w:rPr>
          <w:rFonts w:ascii="Times New Roman" w:hAnsi="Times New Roman"/>
          <w:sz w:val="24"/>
          <w:szCs w:val="24"/>
        </w:rPr>
        <w:t>15.2kg/t</w:t>
      </w:r>
      <w:r>
        <w:rPr>
          <w:rFonts w:ascii="Times New Roman" w:hAnsi="Times New Roman"/>
          <w:sz w:val="24"/>
          <w:szCs w:val="24"/>
        </w:rPr>
        <w:t>，</w:t>
      </w:r>
      <w:r>
        <w:rPr>
          <w:rFonts w:ascii="Times New Roman" w:hAnsi="Times New Roman" w:hint="eastAsia"/>
          <w:sz w:val="24"/>
          <w:szCs w:val="24"/>
        </w:rPr>
        <w:t>本项目</w:t>
      </w:r>
      <w:r>
        <w:rPr>
          <w:rFonts w:ascii="Times New Roman" w:hAnsi="Times New Roman"/>
          <w:sz w:val="24"/>
          <w:szCs w:val="24"/>
        </w:rPr>
        <w:t>污染物产生指标值均较低，参与工艺流程的原辅材料利用效率很高，末端治理前产生的污染物较少。因此，本项目污染物产生指标（末端治理前）可达到国内同行业清洁生产先进水平。</w:t>
      </w:r>
    </w:p>
    <w:p w:rsidR="00525419" w:rsidRDefault="00EE1CF7">
      <w:pPr>
        <w:widowControl/>
        <w:spacing w:line="360" w:lineRule="auto"/>
        <w:jc w:val="left"/>
        <w:rPr>
          <w:rFonts w:ascii="Times New Roman" w:hAnsi="Times New Roman"/>
          <w:b/>
          <w:bCs/>
          <w:kern w:val="0"/>
          <w:sz w:val="24"/>
          <w:szCs w:val="20"/>
        </w:rPr>
      </w:pPr>
      <w:r>
        <w:rPr>
          <w:rFonts w:ascii="Times New Roman" w:hAnsi="Times New Roman"/>
          <w:b/>
          <w:bCs/>
          <w:kern w:val="0"/>
          <w:sz w:val="24"/>
          <w:szCs w:val="20"/>
        </w:rPr>
        <w:t>3.8.3.4</w:t>
      </w:r>
      <w:r>
        <w:rPr>
          <w:rFonts w:ascii="Times New Roman" w:hAnsi="Times New Roman"/>
          <w:b/>
          <w:bCs/>
          <w:kern w:val="0"/>
          <w:sz w:val="24"/>
          <w:szCs w:val="20"/>
        </w:rPr>
        <w:t>产品指标</w:t>
      </w:r>
    </w:p>
    <w:p w:rsidR="00525419" w:rsidRDefault="00EE1CF7">
      <w:pPr>
        <w:autoSpaceDE w:val="0"/>
        <w:autoSpaceDN w:val="0"/>
        <w:adjustRightInd w:val="0"/>
        <w:spacing w:line="360" w:lineRule="auto"/>
        <w:ind w:firstLineChars="200" w:firstLine="480"/>
        <w:rPr>
          <w:rFonts w:ascii="Times New Roman" w:hAnsi="Times New Roman"/>
          <w:kern w:val="0"/>
          <w:sz w:val="24"/>
          <w:szCs w:val="24"/>
        </w:rPr>
      </w:pPr>
      <w:r>
        <w:rPr>
          <w:rFonts w:ascii="Times New Roman" w:hAnsi="Times New Roman"/>
          <w:sz w:val="24"/>
          <w:szCs w:val="24"/>
        </w:rPr>
        <w:t>项目生产主产品为柴油、石脑油等清洁燃料，</w:t>
      </w:r>
      <w:r>
        <w:rPr>
          <w:rFonts w:ascii="Times New Roman" w:hAnsi="Times New Roman"/>
          <w:kern w:val="0"/>
          <w:sz w:val="24"/>
          <w:szCs w:val="24"/>
        </w:rPr>
        <w:t>能够较彻底地脱除煤焦油中的硫、氮、氧等杂原子，降低其烯烃和芳烃含量，因此加氢产品的硫、氮、烯烃和芳烃含量低，产品质量好，</w:t>
      </w:r>
      <w:r>
        <w:rPr>
          <w:rFonts w:ascii="Times New Roman" w:hAnsi="Times New Roman"/>
          <w:sz w:val="24"/>
          <w:szCs w:val="24"/>
        </w:rPr>
        <w:t>相对于常规煤焦油生产燃料油产品而言，具有烷烃、环烷烃含量高，热值高、燃烧充分，燃烧排放污染物少等优势，是一种清洁燃料。</w:t>
      </w:r>
    </w:p>
    <w:p w:rsidR="00525419" w:rsidRDefault="00EE1CF7">
      <w:pPr>
        <w:autoSpaceDE w:val="0"/>
        <w:autoSpaceDN w:val="0"/>
        <w:adjustRightInd w:val="0"/>
        <w:spacing w:line="360" w:lineRule="auto"/>
        <w:ind w:firstLineChars="200" w:firstLine="480"/>
        <w:rPr>
          <w:rFonts w:ascii="Times New Roman" w:hAnsi="Times New Roman"/>
          <w:kern w:val="0"/>
          <w:sz w:val="24"/>
          <w:szCs w:val="20"/>
        </w:rPr>
      </w:pPr>
      <w:r>
        <w:rPr>
          <w:rFonts w:ascii="Times New Roman" w:hAnsi="Times New Roman"/>
          <w:sz w:val="24"/>
          <w:szCs w:val="24"/>
        </w:rPr>
        <w:t>项目产品指标达到了国内同行业清洁生产先进水平。</w:t>
      </w:r>
    </w:p>
    <w:p w:rsidR="00525419" w:rsidRDefault="00EE1CF7">
      <w:pPr>
        <w:spacing w:line="360" w:lineRule="auto"/>
        <w:rPr>
          <w:rFonts w:ascii="Times New Roman" w:hAnsi="Times New Roman"/>
          <w:b/>
          <w:bCs/>
          <w:sz w:val="24"/>
          <w:szCs w:val="24"/>
        </w:rPr>
      </w:pPr>
      <w:r>
        <w:rPr>
          <w:rFonts w:ascii="Times New Roman" w:hAnsi="Times New Roman"/>
          <w:b/>
          <w:bCs/>
          <w:sz w:val="24"/>
          <w:szCs w:val="24"/>
        </w:rPr>
        <w:lastRenderedPageBreak/>
        <w:t>3.8.3.5</w:t>
      </w:r>
      <w:r>
        <w:rPr>
          <w:rFonts w:ascii="Times New Roman" w:hAnsi="Times New Roman"/>
          <w:b/>
          <w:bCs/>
          <w:sz w:val="24"/>
          <w:szCs w:val="24"/>
        </w:rPr>
        <w:t>废物回收利用指标</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项目全厂废物回收利用情况如下：</w:t>
      </w:r>
    </w:p>
    <w:p w:rsidR="00525419" w:rsidRDefault="00EE1CF7">
      <w:pPr>
        <w:numPr>
          <w:ilvl w:val="0"/>
          <w:numId w:val="122"/>
        </w:numPr>
        <w:spacing w:line="360" w:lineRule="auto"/>
        <w:ind w:firstLineChars="200" w:firstLine="480"/>
        <w:rPr>
          <w:rFonts w:ascii="Times New Roman" w:hAnsi="Times New Roman"/>
          <w:sz w:val="24"/>
        </w:rPr>
      </w:pPr>
      <w:r>
        <w:rPr>
          <w:rFonts w:ascii="Times New Roman" w:hAnsi="Times New Roman"/>
          <w:sz w:val="24"/>
        </w:rPr>
        <w:t>厂区产生的酸性污水经汽提装置处理后用于本装置注水用水；</w:t>
      </w:r>
      <w:r>
        <w:rPr>
          <w:rFonts w:ascii="Times New Roman" w:hAnsi="Times New Roman" w:hint="eastAsia"/>
          <w:kern w:val="0"/>
          <w:sz w:val="24"/>
          <w:szCs w:val="24"/>
        </w:rPr>
        <w:t>脱盐水站产生含盐废水</w:t>
      </w:r>
      <w:r>
        <w:rPr>
          <w:rFonts w:ascii="Times New Roman" w:hAnsi="Times New Roman"/>
          <w:sz w:val="24"/>
        </w:rPr>
        <w:t>进入浓盐水处理装置处理后作为循环水回用；含油污水、生活污水及其它废水到依托厂区污水处理装置处理后达到《循环冷却水用再生水水质标准》（</w:t>
      </w:r>
      <w:r>
        <w:rPr>
          <w:rFonts w:ascii="Times New Roman" w:hAnsi="Times New Roman"/>
          <w:sz w:val="24"/>
        </w:rPr>
        <w:t>HJ/T3923-2007</w:t>
      </w:r>
      <w:r>
        <w:rPr>
          <w:rFonts w:ascii="Times New Roman" w:hAnsi="Times New Roman"/>
          <w:sz w:val="24"/>
        </w:rPr>
        <w:t>）用于厂区循环冷却补水，不外排。</w:t>
      </w:r>
    </w:p>
    <w:p w:rsidR="00525419" w:rsidRDefault="00EE1CF7">
      <w:pPr>
        <w:numPr>
          <w:ilvl w:val="0"/>
          <w:numId w:val="122"/>
        </w:numPr>
        <w:spacing w:line="360" w:lineRule="auto"/>
        <w:ind w:firstLineChars="200" w:firstLine="480"/>
        <w:rPr>
          <w:rFonts w:ascii="Times New Roman" w:hAnsi="Times New Roman"/>
          <w:sz w:val="24"/>
          <w:szCs w:val="24"/>
        </w:rPr>
      </w:pPr>
      <w:r>
        <w:rPr>
          <w:rFonts w:ascii="Times New Roman" w:hAnsi="Times New Roman"/>
          <w:sz w:val="24"/>
          <w:szCs w:val="24"/>
        </w:rPr>
        <w:t>制氢工段释放的解吸气用于</w:t>
      </w:r>
      <w:r>
        <w:rPr>
          <w:rFonts w:ascii="Times New Roman" w:hAnsi="Times New Roman" w:hint="eastAsia"/>
          <w:sz w:val="24"/>
          <w:szCs w:val="24"/>
        </w:rPr>
        <w:t>制氢转化炉</w:t>
      </w:r>
      <w:r>
        <w:rPr>
          <w:rFonts w:ascii="Times New Roman" w:hAnsi="Times New Roman"/>
          <w:sz w:val="24"/>
          <w:szCs w:val="24"/>
        </w:rPr>
        <w:t>燃料，加氢工段产生的</w:t>
      </w:r>
      <w:r>
        <w:rPr>
          <w:rFonts w:ascii="Times New Roman" w:hAnsi="Times New Roman" w:hint="eastAsia"/>
          <w:sz w:val="24"/>
          <w:szCs w:val="24"/>
        </w:rPr>
        <w:t>脱硫</w:t>
      </w:r>
      <w:r>
        <w:rPr>
          <w:rFonts w:ascii="Times New Roman" w:hAnsi="Times New Roman"/>
          <w:sz w:val="24"/>
          <w:szCs w:val="24"/>
        </w:rPr>
        <w:t>干气用于工艺原料，亦不向外界排放。</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综上所述，</w:t>
      </w:r>
      <w:r>
        <w:rPr>
          <w:rFonts w:ascii="Times New Roman" w:hAnsi="Times New Roman" w:hint="eastAsia"/>
          <w:sz w:val="24"/>
          <w:szCs w:val="24"/>
        </w:rPr>
        <w:t>本项目</w:t>
      </w:r>
      <w:r>
        <w:rPr>
          <w:rFonts w:ascii="Times New Roman" w:hAnsi="Times New Roman"/>
          <w:sz w:val="24"/>
          <w:szCs w:val="24"/>
        </w:rPr>
        <w:t>全厂废水处理后全部回用，同时最大限度地实现工艺废气的回收利用，在废物回收利用指标相对常规煤焦油企业有较大的优势，指标可以达到清洁生产先进水平。</w:t>
      </w:r>
    </w:p>
    <w:p w:rsidR="00525419" w:rsidRDefault="00EE1CF7">
      <w:pPr>
        <w:spacing w:line="360" w:lineRule="auto"/>
        <w:rPr>
          <w:rFonts w:ascii="Times New Roman" w:hAnsi="Times New Roman"/>
          <w:b/>
          <w:bCs/>
          <w:sz w:val="24"/>
          <w:szCs w:val="24"/>
        </w:rPr>
      </w:pPr>
      <w:r>
        <w:rPr>
          <w:rFonts w:ascii="Times New Roman" w:hAnsi="Times New Roman"/>
          <w:b/>
          <w:bCs/>
          <w:sz w:val="24"/>
          <w:szCs w:val="24"/>
        </w:rPr>
        <w:t>3.8.3.6</w:t>
      </w:r>
      <w:r>
        <w:rPr>
          <w:rFonts w:ascii="Times New Roman" w:hAnsi="Times New Roman"/>
          <w:b/>
          <w:bCs/>
          <w:sz w:val="24"/>
          <w:szCs w:val="24"/>
        </w:rPr>
        <w:t>环境管理相关要求</w:t>
      </w:r>
    </w:p>
    <w:p w:rsidR="00525419" w:rsidRDefault="00EE1CF7">
      <w:pPr>
        <w:widowControl/>
        <w:spacing w:line="360" w:lineRule="auto"/>
        <w:ind w:firstLineChars="200" w:firstLine="480"/>
        <w:rPr>
          <w:rFonts w:ascii="Times New Roman" w:hAnsi="Times New Roman"/>
          <w:kern w:val="0"/>
          <w:sz w:val="24"/>
          <w:szCs w:val="24"/>
        </w:rPr>
      </w:pPr>
      <w:r>
        <w:rPr>
          <w:rFonts w:ascii="Times New Roman" w:hAnsi="Times New Roman"/>
          <w:kern w:val="0"/>
          <w:sz w:val="24"/>
          <w:szCs w:val="24"/>
        </w:rPr>
        <w:t>本项目建设在环境管理方面提出以下定性要求：</w:t>
      </w:r>
    </w:p>
    <w:p w:rsidR="00525419" w:rsidRDefault="00EE1CF7">
      <w:pPr>
        <w:widowControl/>
        <w:spacing w:line="360" w:lineRule="auto"/>
        <w:ind w:firstLineChars="150" w:firstLine="36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）有环保规章、管理机构和有效的环境检测手段；</w:t>
      </w:r>
    </w:p>
    <w:p w:rsidR="00525419" w:rsidRDefault="00EE1CF7">
      <w:pPr>
        <w:widowControl/>
        <w:spacing w:line="360" w:lineRule="auto"/>
        <w:ind w:firstLineChars="150" w:firstLine="36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2</w:t>
      </w:r>
      <w:r>
        <w:rPr>
          <w:rFonts w:ascii="Times New Roman" w:hAnsi="Times New Roman"/>
          <w:kern w:val="0"/>
          <w:sz w:val="24"/>
          <w:szCs w:val="24"/>
        </w:rPr>
        <w:t>）对污染物排放实行定期监测和污染物排放口规范管理；</w:t>
      </w:r>
    </w:p>
    <w:p w:rsidR="00525419" w:rsidRDefault="00EE1CF7">
      <w:pPr>
        <w:widowControl/>
        <w:spacing w:line="360" w:lineRule="auto"/>
        <w:ind w:firstLineChars="150" w:firstLine="36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3</w:t>
      </w:r>
      <w:r>
        <w:rPr>
          <w:rFonts w:ascii="Times New Roman" w:hAnsi="Times New Roman"/>
          <w:kern w:val="0"/>
          <w:sz w:val="24"/>
          <w:szCs w:val="24"/>
        </w:rPr>
        <w:t>）对各生产单位的环保状况实行月份、年度考核；</w:t>
      </w:r>
    </w:p>
    <w:p w:rsidR="00525419" w:rsidRDefault="00EE1CF7">
      <w:pPr>
        <w:spacing w:line="360" w:lineRule="auto"/>
        <w:ind w:firstLineChars="150" w:firstLine="36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4</w:t>
      </w:r>
      <w:r>
        <w:rPr>
          <w:rFonts w:ascii="Times New Roman" w:hAnsi="Times New Roman"/>
          <w:kern w:val="0"/>
          <w:sz w:val="24"/>
          <w:szCs w:val="24"/>
        </w:rPr>
        <w:t>）对污染物排放实行总量限制控制和年度考核；</w:t>
      </w:r>
    </w:p>
    <w:p w:rsidR="00525419" w:rsidRDefault="00EE1CF7">
      <w:pPr>
        <w:spacing w:line="360" w:lineRule="auto"/>
        <w:ind w:firstLineChars="150" w:firstLine="360"/>
        <w:rPr>
          <w:rFonts w:ascii="Times New Roman" w:hAnsi="Times New Roman"/>
          <w:sz w:val="24"/>
          <w:szCs w:val="24"/>
        </w:rPr>
      </w:pPr>
      <w:r>
        <w:rPr>
          <w:rFonts w:ascii="Times New Roman" w:hAnsi="Times New Roman"/>
          <w:kern w:val="0"/>
          <w:sz w:val="24"/>
          <w:szCs w:val="24"/>
        </w:rPr>
        <w:t>（</w:t>
      </w:r>
      <w:r>
        <w:rPr>
          <w:rFonts w:ascii="Times New Roman" w:hAnsi="Times New Roman"/>
          <w:kern w:val="0"/>
          <w:sz w:val="24"/>
          <w:szCs w:val="24"/>
        </w:rPr>
        <w:t>5</w:t>
      </w:r>
      <w:r>
        <w:rPr>
          <w:rFonts w:ascii="Times New Roman" w:hAnsi="Times New Roman"/>
          <w:kern w:val="0"/>
          <w:sz w:val="24"/>
          <w:szCs w:val="24"/>
        </w:rPr>
        <w:t>）</w:t>
      </w:r>
      <w:r>
        <w:rPr>
          <w:rFonts w:ascii="Times New Roman" w:hAnsi="Times New Roman"/>
          <w:sz w:val="24"/>
          <w:szCs w:val="24"/>
        </w:rPr>
        <w:t>有日常管理措施和中长期、远期环境管理目标。</w:t>
      </w:r>
    </w:p>
    <w:p w:rsidR="00525419" w:rsidRDefault="00EE1CF7">
      <w:pPr>
        <w:spacing w:line="360" w:lineRule="auto"/>
        <w:rPr>
          <w:rFonts w:ascii="Times New Roman" w:hAnsi="Times New Roman"/>
          <w:b/>
          <w:bCs/>
          <w:sz w:val="24"/>
          <w:szCs w:val="24"/>
        </w:rPr>
      </w:pPr>
      <w:r>
        <w:rPr>
          <w:rFonts w:ascii="Times New Roman" w:hAnsi="Times New Roman"/>
          <w:b/>
          <w:bCs/>
          <w:sz w:val="24"/>
          <w:szCs w:val="24"/>
        </w:rPr>
        <w:t>3.8.3.7</w:t>
      </w:r>
      <w:r>
        <w:rPr>
          <w:rFonts w:ascii="Times New Roman" w:hAnsi="Times New Roman"/>
          <w:b/>
          <w:bCs/>
          <w:sz w:val="24"/>
          <w:szCs w:val="24"/>
        </w:rPr>
        <w:t>与同类企业指标对比分析</w:t>
      </w:r>
    </w:p>
    <w:p w:rsidR="00525419" w:rsidRDefault="00EE1CF7">
      <w:pPr>
        <w:spacing w:line="360" w:lineRule="auto"/>
        <w:ind w:firstLineChars="150" w:firstLine="360"/>
        <w:rPr>
          <w:rFonts w:ascii="Times New Roman" w:hAnsi="Times New Roman"/>
          <w:sz w:val="24"/>
          <w:szCs w:val="24"/>
        </w:rPr>
      </w:pPr>
      <w:r>
        <w:rPr>
          <w:rFonts w:ascii="Times New Roman" w:hAnsi="Times New Roman"/>
          <w:sz w:val="24"/>
          <w:szCs w:val="24"/>
        </w:rPr>
        <w:t>为进一步分析本项目清洁生产水平，本次评价与国内及疆内同类企业相关工艺指标进行对比，具体指标对比见表</w:t>
      </w:r>
      <w:r>
        <w:rPr>
          <w:rFonts w:ascii="Times New Roman" w:hAnsi="Times New Roman"/>
          <w:sz w:val="24"/>
          <w:szCs w:val="24"/>
        </w:rPr>
        <w:t>3.8-4</w:t>
      </w:r>
      <w:r>
        <w:rPr>
          <w:rFonts w:ascii="Times New Roman" w:hAnsi="Times New Roman"/>
          <w:sz w:val="24"/>
          <w:szCs w:val="24"/>
        </w:rPr>
        <w:t>。</w:t>
      </w:r>
    </w:p>
    <w:p w:rsidR="00525419" w:rsidRDefault="00525419">
      <w:pPr>
        <w:pStyle w:val="ae"/>
        <w:keepNext/>
        <w:adjustRightInd w:val="0"/>
        <w:snapToGrid w:val="0"/>
        <w:ind w:firstLineChars="1200" w:firstLine="2520"/>
        <w:rPr>
          <w:rFonts w:ascii="Times New Roman" w:hAnsi="Times New Roman"/>
          <w:sz w:val="21"/>
          <w:szCs w:val="21"/>
        </w:rPr>
      </w:pPr>
    </w:p>
    <w:p w:rsidR="00525419" w:rsidRDefault="00EE1CF7">
      <w:pPr>
        <w:pStyle w:val="ae"/>
        <w:keepNext/>
        <w:adjustRightInd w:val="0"/>
        <w:snapToGrid w:val="0"/>
        <w:ind w:firstLineChars="1200" w:firstLine="2520"/>
        <w:rPr>
          <w:rFonts w:ascii="Times New Roman" w:hAnsi="Times New Roman"/>
          <w:sz w:val="21"/>
          <w:szCs w:val="21"/>
        </w:rPr>
      </w:pPr>
      <w:r>
        <w:rPr>
          <w:rFonts w:ascii="Times New Roman" w:hAnsi="Times New Roman"/>
          <w:sz w:val="21"/>
          <w:szCs w:val="21"/>
        </w:rPr>
        <w:t>表</w:t>
      </w:r>
      <w:r>
        <w:rPr>
          <w:rFonts w:ascii="Times New Roman" w:hAnsi="Times New Roman"/>
          <w:sz w:val="21"/>
          <w:szCs w:val="21"/>
        </w:rPr>
        <w:t xml:space="preserve">3.8-4    </w:t>
      </w:r>
      <w:r>
        <w:rPr>
          <w:rFonts w:ascii="Times New Roman" w:hAnsi="Times New Roman"/>
          <w:sz w:val="21"/>
          <w:szCs w:val="21"/>
        </w:rPr>
        <w:t>清洁生产指标对比一览表</w:t>
      </w:r>
    </w:p>
    <w:tbl>
      <w:tblPr>
        <w:tblStyle w:val="affff0"/>
        <w:tblW w:w="8516"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182"/>
        <w:gridCol w:w="945"/>
        <w:gridCol w:w="2128"/>
        <w:gridCol w:w="2132"/>
        <w:gridCol w:w="2129"/>
      </w:tblGrid>
      <w:tr w:rsidR="00525419">
        <w:trPr>
          <w:jc w:val="center"/>
        </w:trPr>
        <w:tc>
          <w:tcPr>
            <w:tcW w:w="2127" w:type="dxa"/>
            <w:gridSpan w:val="2"/>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 xml:space="preserve">          </w:t>
            </w:r>
            <w:r>
              <w:rPr>
                <w:rFonts w:ascii="Times New Roman" w:hAnsi="Times New Roman"/>
                <w:szCs w:val="21"/>
              </w:rPr>
              <w:t>企业名称</w:t>
            </w:r>
          </w:p>
          <w:p w:rsidR="00525419" w:rsidRDefault="00EE1CF7">
            <w:pPr>
              <w:rPr>
                <w:rFonts w:ascii="Times New Roman" w:hAnsi="Times New Roman"/>
                <w:szCs w:val="21"/>
              </w:rPr>
            </w:pPr>
            <w:r>
              <w:rPr>
                <w:rFonts w:ascii="Times New Roman" w:hAnsi="Times New Roman"/>
                <w:szCs w:val="21"/>
              </w:rPr>
              <w:t>指标</w:t>
            </w:r>
          </w:p>
        </w:tc>
        <w:tc>
          <w:tcPr>
            <w:tcW w:w="2128"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新疆阜康</w:t>
            </w:r>
            <w:r>
              <w:rPr>
                <w:rFonts w:ascii="Times New Roman" w:hAnsi="Times New Roman"/>
                <w:szCs w:val="21"/>
              </w:rPr>
              <w:t>20</w:t>
            </w:r>
            <w:r>
              <w:rPr>
                <w:rFonts w:ascii="Times New Roman" w:hAnsi="Times New Roman"/>
                <w:szCs w:val="21"/>
              </w:rPr>
              <w:t>万吨</w:t>
            </w:r>
            <w:r>
              <w:rPr>
                <w:rFonts w:ascii="Times New Roman" w:hAnsi="Times New Roman"/>
                <w:szCs w:val="21"/>
              </w:rPr>
              <w:t>/</w:t>
            </w:r>
            <w:r>
              <w:rPr>
                <w:rFonts w:ascii="Times New Roman" w:hAnsi="Times New Roman"/>
                <w:szCs w:val="21"/>
              </w:rPr>
              <w:t>年煤焦油制备清洁燃料油工业示范工程</w:t>
            </w:r>
          </w:p>
        </w:tc>
        <w:tc>
          <w:tcPr>
            <w:tcW w:w="2132"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30</w:t>
            </w:r>
            <w:r>
              <w:rPr>
                <w:rFonts w:ascii="Times New Roman" w:hAnsi="Times New Roman"/>
                <w:szCs w:val="21"/>
              </w:rPr>
              <w:t>万吨</w:t>
            </w:r>
            <w:r>
              <w:rPr>
                <w:rFonts w:ascii="Times New Roman" w:hAnsi="Times New Roman"/>
                <w:szCs w:val="21"/>
              </w:rPr>
              <w:t>/</w:t>
            </w:r>
            <w:r>
              <w:rPr>
                <w:rFonts w:ascii="Times New Roman" w:hAnsi="Times New Roman"/>
                <w:szCs w:val="21"/>
              </w:rPr>
              <w:t>年焦油加氢</w:t>
            </w:r>
          </w:p>
        </w:tc>
        <w:tc>
          <w:tcPr>
            <w:tcW w:w="2129"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本项目</w:t>
            </w:r>
            <w:r>
              <w:rPr>
                <w:rFonts w:ascii="Times New Roman" w:hAnsi="Times New Roman"/>
                <w:szCs w:val="21"/>
              </w:rPr>
              <w:t>40</w:t>
            </w:r>
            <w:r>
              <w:rPr>
                <w:rFonts w:ascii="Times New Roman" w:hAnsi="Times New Roman"/>
                <w:szCs w:val="21"/>
              </w:rPr>
              <w:t>万吨</w:t>
            </w:r>
            <w:r>
              <w:rPr>
                <w:rFonts w:ascii="Times New Roman" w:hAnsi="Times New Roman"/>
                <w:szCs w:val="21"/>
              </w:rPr>
              <w:t>/</w:t>
            </w:r>
            <w:r>
              <w:rPr>
                <w:rFonts w:ascii="Times New Roman" w:hAnsi="Times New Roman"/>
                <w:szCs w:val="21"/>
              </w:rPr>
              <w:t>年焦油加氢</w:t>
            </w:r>
          </w:p>
        </w:tc>
      </w:tr>
      <w:tr w:rsidR="00525419">
        <w:trPr>
          <w:jc w:val="center"/>
        </w:trPr>
        <w:tc>
          <w:tcPr>
            <w:tcW w:w="2127" w:type="dxa"/>
            <w:gridSpan w:val="2"/>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原料煤焦油</w:t>
            </w:r>
          </w:p>
        </w:tc>
        <w:tc>
          <w:tcPr>
            <w:tcW w:w="2128"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20</w:t>
            </w:r>
            <w:r>
              <w:rPr>
                <w:rFonts w:ascii="Times New Roman" w:hAnsi="Times New Roman"/>
                <w:szCs w:val="21"/>
              </w:rPr>
              <w:t>万</w:t>
            </w:r>
            <w:r>
              <w:rPr>
                <w:rFonts w:ascii="Times New Roman" w:hAnsi="Times New Roman"/>
                <w:szCs w:val="21"/>
              </w:rPr>
              <w:t>t/a</w:t>
            </w:r>
          </w:p>
        </w:tc>
        <w:tc>
          <w:tcPr>
            <w:tcW w:w="2132"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30</w:t>
            </w:r>
            <w:r>
              <w:rPr>
                <w:rFonts w:ascii="Times New Roman" w:hAnsi="Times New Roman"/>
                <w:szCs w:val="21"/>
              </w:rPr>
              <w:t>万</w:t>
            </w:r>
            <w:r>
              <w:rPr>
                <w:rFonts w:ascii="Times New Roman" w:hAnsi="Times New Roman"/>
                <w:szCs w:val="21"/>
              </w:rPr>
              <w:t>t/a</w:t>
            </w:r>
          </w:p>
        </w:tc>
        <w:tc>
          <w:tcPr>
            <w:tcW w:w="2129"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40</w:t>
            </w:r>
            <w:r>
              <w:rPr>
                <w:rFonts w:ascii="Times New Roman" w:hAnsi="Times New Roman"/>
                <w:szCs w:val="21"/>
              </w:rPr>
              <w:t>万</w:t>
            </w:r>
            <w:r>
              <w:rPr>
                <w:rFonts w:ascii="Times New Roman" w:hAnsi="Times New Roman"/>
                <w:szCs w:val="21"/>
              </w:rPr>
              <w:t>t/a</w:t>
            </w:r>
          </w:p>
        </w:tc>
      </w:tr>
      <w:tr w:rsidR="00525419">
        <w:trPr>
          <w:jc w:val="center"/>
        </w:trPr>
        <w:tc>
          <w:tcPr>
            <w:tcW w:w="2127" w:type="dxa"/>
            <w:gridSpan w:val="2"/>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水耗</w:t>
            </w:r>
          </w:p>
        </w:tc>
        <w:tc>
          <w:tcPr>
            <w:tcW w:w="2128"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27.8945×10</w:t>
            </w:r>
            <w:r>
              <w:rPr>
                <w:rFonts w:ascii="Times New Roman" w:hAnsi="Times New Roman"/>
                <w:szCs w:val="21"/>
                <w:vertAlign w:val="superscript"/>
              </w:rPr>
              <w:t>4</w:t>
            </w: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/a</w:t>
            </w:r>
          </w:p>
        </w:tc>
        <w:tc>
          <w:tcPr>
            <w:tcW w:w="2132"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39.405×10</w:t>
            </w:r>
            <w:r>
              <w:rPr>
                <w:rFonts w:ascii="Times New Roman" w:hAnsi="Times New Roman"/>
                <w:szCs w:val="21"/>
                <w:vertAlign w:val="superscript"/>
              </w:rPr>
              <w:t>4</w:t>
            </w: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/a</w:t>
            </w:r>
          </w:p>
        </w:tc>
        <w:tc>
          <w:tcPr>
            <w:tcW w:w="2129"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44.56×10</w:t>
            </w:r>
            <w:r>
              <w:rPr>
                <w:rFonts w:ascii="Times New Roman" w:hAnsi="Times New Roman"/>
                <w:szCs w:val="21"/>
                <w:vertAlign w:val="superscript"/>
              </w:rPr>
              <w:t>4</w:t>
            </w: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/a</w:t>
            </w:r>
          </w:p>
        </w:tc>
      </w:tr>
      <w:tr w:rsidR="00525419">
        <w:trPr>
          <w:jc w:val="center"/>
        </w:trPr>
        <w:tc>
          <w:tcPr>
            <w:tcW w:w="2127" w:type="dxa"/>
            <w:gridSpan w:val="2"/>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电耗</w:t>
            </w:r>
          </w:p>
        </w:tc>
        <w:tc>
          <w:tcPr>
            <w:tcW w:w="2128"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2476.584×10</w:t>
            </w:r>
            <w:r>
              <w:rPr>
                <w:rFonts w:ascii="Times New Roman" w:hAnsi="Times New Roman"/>
                <w:szCs w:val="21"/>
                <w:vertAlign w:val="superscript"/>
              </w:rPr>
              <w:t>4</w:t>
            </w:r>
            <w:r>
              <w:rPr>
                <w:rFonts w:ascii="Times New Roman" w:hAnsi="Times New Roman"/>
                <w:szCs w:val="21"/>
              </w:rPr>
              <w:t>kW·h/a</w:t>
            </w:r>
          </w:p>
        </w:tc>
        <w:tc>
          <w:tcPr>
            <w:tcW w:w="2132"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7870.6×10</w:t>
            </w:r>
            <w:r>
              <w:rPr>
                <w:rFonts w:ascii="Times New Roman" w:hAnsi="Times New Roman"/>
                <w:szCs w:val="21"/>
                <w:vertAlign w:val="superscript"/>
              </w:rPr>
              <w:t>4</w:t>
            </w:r>
            <w:r>
              <w:rPr>
                <w:rFonts w:ascii="Times New Roman" w:hAnsi="Times New Roman"/>
                <w:szCs w:val="21"/>
              </w:rPr>
              <w:t>kW·h/a</w:t>
            </w:r>
          </w:p>
        </w:tc>
        <w:tc>
          <w:tcPr>
            <w:tcW w:w="2129"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10760×10</w:t>
            </w:r>
            <w:r>
              <w:rPr>
                <w:rFonts w:ascii="Times New Roman" w:hAnsi="Times New Roman"/>
                <w:szCs w:val="21"/>
                <w:vertAlign w:val="superscript"/>
              </w:rPr>
              <w:t>4</w:t>
            </w:r>
            <w:r>
              <w:rPr>
                <w:rFonts w:ascii="Times New Roman" w:hAnsi="Times New Roman"/>
                <w:szCs w:val="21"/>
              </w:rPr>
              <w:t>kW·h/a</w:t>
            </w:r>
          </w:p>
        </w:tc>
      </w:tr>
      <w:tr w:rsidR="00525419">
        <w:trPr>
          <w:jc w:val="center"/>
        </w:trPr>
        <w:tc>
          <w:tcPr>
            <w:tcW w:w="1182" w:type="dxa"/>
            <w:vMerge w:val="restart"/>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污染物排放情况</w:t>
            </w:r>
          </w:p>
          <w:p w:rsidR="00525419" w:rsidRDefault="00EE1CF7">
            <w:pPr>
              <w:jc w:val="center"/>
              <w:rPr>
                <w:rFonts w:ascii="Times New Roman" w:hAnsi="Times New Roman"/>
                <w:szCs w:val="21"/>
              </w:rPr>
            </w:pPr>
            <w:r>
              <w:rPr>
                <w:rFonts w:ascii="Times New Roman" w:hAnsi="Times New Roman"/>
                <w:szCs w:val="21"/>
              </w:rPr>
              <w:t>t/a</w:t>
            </w:r>
          </w:p>
        </w:tc>
        <w:tc>
          <w:tcPr>
            <w:tcW w:w="945"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2128"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9.18</w:t>
            </w:r>
          </w:p>
        </w:tc>
        <w:tc>
          <w:tcPr>
            <w:tcW w:w="2132"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11.322</w:t>
            </w:r>
          </w:p>
        </w:tc>
        <w:tc>
          <w:tcPr>
            <w:tcW w:w="2129"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29.87</w:t>
            </w:r>
          </w:p>
        </w:tc>
      </w:tr>
      <w:tr w:rsidR="00525419">
        <w:trPr>
          <w:jc w:val="center"/>
        </w:trPr>
        <w:tc>
          <w:tcPr>
            <w:tcW w:w="1182" w:type="dxa"/>
            <w:vMerge/>
            <w:tcBorders>
              <w:tl2br w:val="nil"/>
              <w:tr2bl w:val="nil"/>
            </w:tcBorders>
            <w:vAlign w:val="center"/>
          </w:tcPr>
          <w:p w:rsidR="00525419" w:rsidRDefault="00525419">
            <w:pPr>
              <w:jc w:val="center"/>
              <w:rPr>
                <w:rFonts w:ascii="Times New Roman" w:hAnsi="Times New Roman"/>
                <w:szCs w:val="21"/>
              </w:rPr>
            </w:pPr>
          </w:p>
        </w:tc>
        <w:tc>
          <w:tcPr>
            <w:tcW w:w="945"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2128"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9.52</w:t>
            </w:r>
          </w:p>
        </w:tc>
        <w:tc>
          <w:tcPr>
            <w:tcW w:w="2132"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10.854</w:t>
            </w:r>
          </w:p>
        </w:tc>
        <w:tc>
          <w:tcPr>
            <w:tcW w:w="2129"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75.02</w:t>
            </w:r>
          </w:p>
        </w:tc>
      </w:tr>
      <w:tr w:rsidR="00525419">
        <w:trPr>
          <w:trHeight w:val="296"/>
          <w:jc w:val="center"/>
        </w:trPr>
        <w:tc>
          <w:tcPr>
            <w:tcW w:w="1182" w:type="dxa"/>
            <w:vMerge/>
            <w:tcBorders>
              <w:tl2br w:val="nil"/>
              <w:tr2bl w:val="nil"/>
            </w:tcBorders>
            <w:vAlign w:val="center"/>
          </w:tcPr>
          <w:p w:rsidR="00525419" w:rsidRDefault="00525419">
            <w:pPr>
              <w:jc w:val="center"/>
              <w:rPr>
                <w:rFonts w:ascii="Times New Roman" w:hAnsi="Times New Roman"/>
                <w:szCs w:val="21"/>
              </w:rPr>
            </w:pPr>
          </w:p>
        </w:tc>
        <w:tc>
          <w:tcPr>
            <w:tcW w:w="945"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COD</w:t>
            </w:r>
          </w:p>
        </w:tc>
        <w:tc>
          <w:tcPr>
            <w:tcW w:w="2128"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0</w:t>
            </w:r>
          </w:p>
        </w:tc>
        <w:tc>
          <w:tcPr>
            <w:tcW w:w="2132"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8.415</w:t>
            </w:r>
          </w:p>
        </w:tc>
        <w:tc>
          <w:tcPr>
            <w:tcW w:w="2129"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0</w:t>
            </w:r>
          </w:p>
        </w:tc>
      </w:tr>
      <w:tr w:rsidR="00525419">
        <w:trPr>
          <w:jc w:val="center"/>
        </w:trPr>
        <w:tc>
          <w:tcPr>
            <w:tcW w:w="1182" w:type="dxa"/>
            <w:vMerge/>
            <w:tcBorders>
              <w:tl2br w:val="nil"/>
              <w:tr2bl w:val="nil"/>
            </w:tcBorders>
            <w:vAlign w:val="center"/>
          </w:tcPr>
          <w:p w:rsidR="00525419" w:rsidRDefault="00525419">
            <w:pPr>
              <w:jc w:val="center"/>
              <w:rPr>
                <w:rFonts w:ascii="Times New Roman" w:hAnsi="Times New Roman"/>
                <w:szCs w:val="21"/>
              </w:rPr>
            </w:pPr>
          </w:p>
        </w:tc>
        <w:tc>
          <w:tcPr>
            <w:tcW w:w="945"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NH</w:t>
            </w:r>
            <w:r>
              <w:rPr>
                <w:rFonts w:ascii="Times New Roman" w:hAnsi="Times New Roman"/>
                <w:szCs w:val="21"/>
                <w:vertAlign w:val="subscript"/>
              </w:rPr>
              <w:t>3</w:t>
            </w:r>
            <w:r>
              <w:rPr>
                <w:rFonts w:ascii="Times New Roman" w:hAnsi="Times New Roman"/>
                <w:szCs w:val="21"/>
              </w:rPr>
              <w:t>-N</w:t>
            </w:r>
          </w:p>
        </w:tc>
        <w:tc>
          <w:tcPr>
            <w:tcW w:w="2128"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0</w:t>
            </w:r>
          </w:p>
        </w:tc>
        <w:tc>
          <w:tcPr>
            <w:tcW w:w="2132"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0.39</w:t>
            </w:r>
          </w:p>
        </w:tc>
        <w:tc>
          <w:tcPr>
            <w:tcW w:w="2129"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0</w:t>
            </w:r>
          </w:p>
        </w:tc>
      </w:tr>
    </w:tbl>
    <w:p w:rsidR="00525419" w:rsidRDefault="00EE1CF7">
      <w:pPr>
        <w:spacing w:line="360" w:lineRule="auto"/>
        <w:rPr>
          <w:rFonts w:ascii="Times New Roman" w:hAnsi="Times New Roman"/>
          <w:sz w:val="24"/>
          <w:szCs w:val="24"/>
        </w:rPr>
      </w:pPr>
      <w:r>
        <w:rPr>
          <w:rFonts w:ascii="Times New Roman" w:hAnsi="Times New Roman"/>
          <w:b/>
          <w:szCs w:val="21"/>
        </w:rPr>
        <w:lastRenderedPageBreak/>
        <w:t xml:space="preserve">   </w:t>
      </w:r>
      <w:r>
        <w:rPr>
          <w:rFonts w:ascii="Times New Roman" w:hAnsi="Times New Roman"/>
          <w:sz w:val="24"/>
          <w:szCs w:val="24"/>
        </w:rPr>
        <w:t xml:space="preserve"> </w:t>
      </w:r>
      <w:r>
        <w:rPr>
          <w:rFonts w:ascii="Times New Roman" w:hAnsi="Times New Roman"/>
          <w:sz w:val="24"/>
          <w:szCs w:val="24"/>
        </w:rPr>
        <w:t>由以上指标对比分析，本项目水耗、电耗与同类企业存在差异，主要原因为国内煤焦油加氢企业产品不同，工艺有差异，污染物排放情况基本处于同类企业平均水平。</w:t>
      </w:r>
    </w:p>
    <w:p w:rsidR="00525419" w:rsidRDefault="00EE1CF7">
      <w:pPr>
        <w:spacing w:line="360" w:lineRule="auto"/>
        <w:rPr>
          <w:rFonts w:ascii="Times New Roman" w:hAnsi="Times New Roman"/>
          <w:b/>
          <w:bCs/>
          <w:sz w:val="24"/>
          <w:szCs w:val="24"/>
        </w:rPr>
      </w:pPr>
      <w:r>
        <w:rPr>
          <w:rFonts w:ascii="Times New Roman" w:hAnsi="Times New Roman"/>
          <w:b/>
          <w:bCs/>
          <w:sz w:val="24"/>
          <w:szCs w:val="24"/>
        </w:rPr>
        <w:t>3.8.3.8</w:t>
      </w:r>
      <w:r>
        <w:rPr>
          <w:rFonts w:ascii="Times New Roman" w:hAnsi="Times New Roman"/>
          <w:b/>
          <w:bCs/>
          <w:sz w:val="24"/>
          <w:szCs w:val="24"/>
        </w:rPr>
        <w:t>清洁生产水平分析</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由以上各指标分析可以看出，</w:t>
      </w:r>
      <w:r>
        <w:rPr>
          <w:rFonts w:ascii="Times New Roman" w:hAnsi="Times New Roman" w:hint="eastAsia"/>
          <w:sz w:val="24"/>
          <w:szCs w:val="24"/>
        </w:rPr>
        <w:t>本项目</w:t>
      </w:r>
      <w:r>
        <w:rPr>
          <w:rFonts w:ascii="Times New Roman" w:hAnsi="Times New Roman"/>
          <w:sz w:val="24"/>
          <w:szCs w:val="24"/>
        </w:rPr>
        <w:t>具有较高的清洁生产水平，可达到国内清洁生产先进水平。</w:t>
      </w:r>
    </w:p>
    <w:p w:rsidR="00525419" w:rsidRDefault="00EE1CF7">
      <w:pPr>
        <w:pStyle w:val="3a"/>
        <w:spacing w:beforeLines="50" w:before="159" w:after="156" w:line="360" w:lineRule="auto"/>
        <w:jc w:val="left"/>
        <w:rPr>
          <w:rFonts w:ascii="Times New Roman" w:eastAsia="华文楷体" w:hAnsi="Times New Roman"/>
        </w:rPr>
      </w:pPr>
      <w:r>
        <w:rPr>
          <w:rFonts w:ascii="Times New Roman" w:eastAsia="华文楷体" w:hAnsi="Times New Roman"/>
        </w:rPr>
        <w:t>3.8.4</w:t>
      </w:r>
      <w:r>
        <w:rPr>
          <w:rFonts w:ascii="Times New Roman" w:eastAsia="华文楷体" w:hAnsi="Times New Roman"/>
        </w:rPr>
        <w:t>持续推进清洁生产的建议</w:t>
      </w:r>
    </w:p>
    <w:p w:rsidR="00525419" w:rsidRDefault="00EE1CF7">
      <w:pPr>
        <w:spacing w:line="360" w:lineRule="auto"/>
        <w:rPr>
          <w:rFonts w:ascii="Times New Roman" w:hAnsi="Times New Roman"/>
          <w:b/>
          <w:bCs/>
          <w:sz w:val="24"/>
          <w:szCs w:val="24"/>
        </w:rPr>
      </w:pPr>
      <w:r>
        <w:rPr>
          <w:rFonts w:ascii="Times New Roman" w:hAnsi="Times New Roman"/>
          <w:b/>
          <w:bCs/>
          <w:sz w:val="24"/>
          <w:szCs w:val="24"/>
        </w:rPr>
        <w:t>3.8.4.1</w:t>
      </w:r>
      <w:r>
        <w:rPr>
          <w:rFonts w:ascii="Times New Roman" w:hAnsi="Times New Roman"/>
          <w:b/>
          <w:kern w:val="0"/>
          <w:sz w:val="24"/>
          <w:szCs w:val="24"/>
        </w:rPr>
        <w:t>清洁生产的组织管理建议</w:t>
      </w:r>
    </w:p>
    <w:p w:rsidR="00525419" w:rsidRDefault="00EE1CF7">
      <w:pPr>
        <w:spacing w:line="360" w:lineRule="auto"/>
        <w:ind w:firstLineChars="200" w:firstLine="482"/>
        <w:rPr>
          <w:rFonts w:ascii="Times New Roman" w:hAnsi="Times New Roman"/>
          <w:b/>
          <w:bCs/>
          <w:sz w:val="24"/>
          <w:szCs w:val="24"/>
        </w:rPr>
      </w:pPr>
      <w:r>
        <w:rPr>
          <w:rFonts w:ascii="Times New Roman" w:hAnsi="Times New Roman"/>
          <w:b/>
          <w:bCs/>
          <w:sz w:val="24"/>
          <w:szCs w:val="24"/>
        </w:rPr>
        <w:t>（</w:t>
      </w:r>
      <w:r>
        <w:rPr>
          <w:rFonts w:ascii="Times New Roman" w:hAnsi="Times New Roman"/>
          <w:b/>
          <w:bCs/>
          <w:sz w:val="24"/>
          <w:szCs w:val="24"/>
        </w:rPr>
        <w:t>1</w:t>
      </w:r>
      <w:r>
        <w:rPr>
          <w:rFonts w:ascii="Times New Roman" w:hAnsi="Times New Roman"/>
          <w:b/>
          <w:bCs/>
          <w:sz w:val="24"/>
          <w:szCs w:val="24"/>
        </w:rPr>
        <w:t>）持续清洁生产的必要性</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持续清洁生产的必要性见表</w:t>
      </w:r>
      <w:r>
        <w:rPr>
          <w:rFonts w:ascii="Times New Roman" w:hAnsi="Times New Roman"/>
          <w:sz w:val="24"/>
          <w:szCs w:val="24"/>
        </w:rPr>
        <w:t>3.8-5</w:t>
      </w:r>
      <w:r>
        <w:rPr>
          <w:rFonts w:ascii="Times New Roman" w:hAnsi="Times New Roman"/>
          <w:sz w:val="24"/>
          <w:szCs w:val="24"/>
        </w:rPr>
        <w:t>。</w:t>
      </w:r>
      <w:r>
        <w:rPr>
          <w:rFonts w:ascii="Times New Roman" w:hAnsi="Times New Roman"/>
          <w:sz w:val="24"/>
          <w:szCs w:val="24"/>
        </w:rPr>
        <w:t xml:space="preserve">  </w:t>
      </w:r>
    </w:p>
    <w:p w:rsidR="00525419" w:rsidRDefault="00EE1CF7">
      <w:pPr>
        <w:pStyle w:val="ae"/>
        <w:keepNext/>
        <w:adjustRightInd w:val="0"/>
        <w:snapToGrid w:val="0"/>
        <w:ind w:firstLineChars="1200" w:firstLine="2520"/>
        <w:rPr>
          <w:rFonts w:ascii="Times New Roman" w:hAnsi="Times New Roman"/>
          <w:sz w:val="21"/>
          <w:szCs w:val="21"/>
        </w:rPr>
      </w:pPr>
      <w:r>
        <w:rPr>
          <w:rFonts w:ascii="Times New Roman" w:hAnsi="Times New Roman"/>
          <w:sz w:val="21"/>
          <w:szCs w:val="21"/>
        </w:rPr>
        <w:t>表</w:t>
      </w:r>
      <w:r>
        <w:rPr>
          <w:rFonts w:ascii="Times New Roman" w:hAnsi="Times New Roman"/>
          <w:sz w:val="21"/>
          <w:szCs w:val="21"/>
        </w:rPr>
        <w:t xml:space="preserve">3.8-5     </w:t>
      </w:r>
      <w:r>
        <w:rPr>
          <w:rFonts w:ascii="Times New Roman" w:hAnsi="Times New Roman"/>
          <w:sz w:val="21"/>
          <w:szCs w:val="21"/>
        </w:rPr>
        <w:t>企业实行持续清洁生产的必要性分析</w:t>
      </w:r>
    </w:p>
    <w:tbl>
      <w:tblPr>
        <w:tblW w:w="8516"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500"/>
        <w:gridCol w:w="8016"/>
      </w:tblGrid>
      <w:tr w:rsidR="00525419">
        <w:trPr>
          <w:jc w:val="center"/>
        </w:trPr>
        <w:tc>
          <w:tcPr>
            <w:tcW w:w="500" w:type="dxa"/>
            <w:tcBorders>
              <w:tl2br w:val="nil"/>
              <w:tr2bl w:val="nil"/>
            </w:tcBorders>
            <w:shd w:val="clear" w:color="auto" w:fill="auto"/>
            <w:vAlign w:val="center"/>
          </w:tcPr>
          <w:p w:rsidR="00525419" w:rsidRDefault="00EE1CF7">
            <w:pPr>
              <w:spacing w:line="320" w:lineRule="exact"/>
              <w:jc w:val="center"/>
              <w:rPr>
                <w:rFonts w:ascii="Times New Roman" w:hAnsi="Times New Roman"/>
                <w:szCs w:val="21"/>
              </w:rPr>
            </w:pPr>
            <w:r>
              <w:rPr>
                <w:rFonts w:ascii="Times New Roman" w:hAnsi="Times New Roman"/>
                <w:szCs w:val="21"/>
              </w:rPr>
              <w:t>序号</w:t>
            </w:r>
          </w:p>
        </w:tc>
        <w:tc>
          <w:tcPr>
            <w:tcW w:w="8016" w:type="dxa"/>
            <w:tcBorders>
              <w:tl2br w:val="nil"/>
              <w:tr2bl w:val="nil"/>
            </w:tcBorders>
            <w:shd w:val="clear" w:color="auto" w:fill="auto"/>
            <w:vAlign w:val="center"/>
          </w:tcPr>
          <w:p w:rsidR="00525419" w:rsidRDefault="00EE1CF7">
            <w:pPr>
              <w:spacing w:line="320" w:lineRule="exact"/>
              <w:jc w:val="center"/>
              <w:rPr>
                <w:rFonts w:ascii="Times New Roman" w:hAnsi="Times New Roman"/>
                <w:szCs w:val="21"/>
              </w:rPr>
            </w:pPr>
            <w:r>
              <w:rPr>
                <w:rFonts w:ascii="Times New Roman" w:hAnsi="Times New Roman"/>
                <w:szCs w:val="21"/>
              </w:rPr>
              <w:t>企业实行清洁生产的必要性</w:t>
            </w:r>
          </w:p>
        </w:tc>
      </w:tr>
      <w:tr w:rsidR="00525419">
        <w:trPr>
          <w:jc w:val="center"/>
        </w:trPr>
        <w:tc>
          <w:tcPr>
            <w:tcW w:w="500" w:type="dxa"/>
            <w:tcBorders>
              <w:tl2br w:val="nil"/>
              <w:tr2bl w:val="nil"/>
            </w:tcBorders>
            <w:shd w:val="clear" w:color="auto" w:fill="auto"/>
            <w:vAlign w:val="center"/>
          </w:tcPr>
          <w:p w:rsidR="00525419" w:rsidRDefault="00EE1CF7">
            <w:pPr>
              <w:spacing w:line="320" w:lineRule="exact"/>
              <w:jc w:val="center"/>
              <w:rPr>
                <w:rFonts w:ascii="Times New Roman" w:hAnsi="Times New Roman"/>
                <w:szCs w:val="21"/>
              </w:rPr>
            </w:pPr>
            <w:r>
              <w:rPr>
                <w:rFonts w:ascii="Times New Roman" w:hAnsi="Times New Roman"/>
                <w:szCs w:val="21"/>
              </w:rPr>
              <w:t>1</w:t>
            </w:r>
          </w:p>
        </w:tc>
        <w:tc>
          <w:tcPr>
            <w:tcW w:w="8016" w:type="dxa"/>
            <w:tcBorders>
              <w:tl2br w:val="nil"/>
              <w:tr2bl w:val="nil"/>
            </w:tcBorders>
            <w:shd w:val="clear" w:color="auto" w:fill="auto"/>
            <w:vAlign w:val="center"/>
          </w:tcPr>
          <w:p w:rsidR="00525419" w:rsidRDefault="00EE1CF7">
            <w:pPr>
              <w:spacing w:line="320" w:lineRule="exact"/>
              <w:jc w:val="center"/>
              <w:rPr>
                <w:rFonts w:ascii="Times New Roman" w:hAnsi="Times New Roman"/>
                <w:szCs w:val="21"/>
              </w:rPr>
            </w:pPr>
            <w:r>
              <w:rPr>
                <w:rFonts w:ascii="Times New Roman" w:hAnsi="Times New Roman"/>
                <w:szCs w:val="21"/>
              </w:rPr>
              <w:t>为了最大限度地节约资源，减少排污，企业应该有领导、有组织。有计划的按照《工业企业清洁生产手册》上推荐的清洁生产内容开展清洁生产工作</w:t>
            </w:r>
          </w:p>
        </w:tc>
      </w:tr>
      <w:tr w:rsidR="00525419">
        <w:trPr>
          <w:jc w:val="center"/>
        </w:trPr>
        <w:tc>
          <w:tcPr>
            <w:tcW w:w="500" w:type="dxa"/>
            <w:tcBorders>
              <w:tl2br w:val="nil"/>
              <w:tr2bl w:val="nil"/>
            </w:tcBorders>
            <w:shd w:val="clear" w:color="auto" w:fill="auto"/>
            <w:vAlign w:val="center"/>
          </w:tcPr>
          <w:p w:rsidR="00525419" w:rsidRDefault="00EE1CF7">
            <w:pPr>
              <w:spacing w:line="320" w:lineRule="exact"/>
              <w:jc w:val="center"/>
              <w:rPr>
                <w:rFonts w:ascii="Times New Roman" w:hAnsi="Times New Roman"/>
                <w:szCs w:val="21"/>
              </w:rPr>
            </w:pPr>
            <w:r>
              <w:rPr>
                <w:rFonts w:ascii="Times New Roman" w:hAnsi="Times New Roman"/>
                <w:szCs w:val="21"/>
              </w:rPr>
              <w:t>2</w:t>
            </w:r>
          </w:p>
        </w:tc>
        <w:tc>
          <w:tcPr>
            <w:tcW w:w="8016" w:type="dxa"/>
            <w:tcBorders>
              <w:tl2br w:val="nil"/>
              <w:tr2bl w:val="nil"/>
            </w:tcBorders>
            <w:shd w:val="clear" w:color="auto" w:fill="auto"/>
            <w:vAlign w:val="center"/>
          </w:tcPr>
          <w:p w:rsidR="00525419" w:rsidRDefault="00EE1CF7">
            <w:pPr>
              <w:spacing w:line="320" w:lineRule="exact"/>
              <w:jc w:val="center"/>
              <w:rPr>
                <w:rFonts w:ascii="Times New Roman" w:hAnsi="Times New Roman"/>
                <w:szCs w:val="21"/>
              </w:rPr>
            </w:pPr>
            <w:r>
              <w:rPr>
                <w:rFonts w:ascii="Times New Roman" w:hAnsi="Times New Roman"/>
                <w:szCs w:val="21"/>
              </w:rPr>
              <w:t>评价清洁生产分析中所产生的清洁生产方案中，有从经济上，技术上分析目前实施有困难的，随着企业经济及技术实力的增强，应给以实施</w:t>
            </w:r>
          </w:p>
        </w:tc>
      </w:tr>
      <w:tr w:rsidR="00525419">
        <w:trPr>
          <w:jc w:val="center"/>
        </w:trPr>
        <w:tc>
          <w:tcPr>
            <w:tcW w:w="500" w:type="dxa"/>
            <w:tcBorders>
              <w:tl2br w:val="nil"/>
              <w:tr2bl w:val="nil"/>
            </w:tcBorders>
            <w:shd w:val="clear" w:color="auto" w:fill="auto"/>
            <w:vAlign w:val="center"/>
          </w:tcPr>
          <w:p w:rsidR="00525419" w:rsidRDefault="00EE1CF7">
            <w:pPr>
              <w:spacing w:line="320" w:lineRule="exact"/>
              <w:jc w:val="center"/>
              <w:rPr>
                <w:rFonts w:ascii="Times New Roman" w:hAnsi="Times New Roman"/>
                <w:szCs w:val="21"/>
              </w:rPr>
            </w:pPr>
            <w:r>
              <w:rPr>
                <w:rFonts w:ascii="Times New Roman" w:hAnsi="Times New Roman"/>
                <w:szCs w:val="21"/>
              </w:rPr>
              <w:t>3</w:t>
            </w:r>
          </w:p>
        </w:tc>
        <w:tc>
          <w:tcPr>
            <w:tcW w:w="8016" w:type="dxa"/>
            <w:tcBorders>
              <w:tl2br w:val="nil"/>
              <w:tr2bl w:val="nil"/>
            </w:tcBorders>
            <w:shd w:val="clear" w:color="auto" w:fill="auto"/>
            <w:vAlign w:val="center"/>
          </w:tcPr>
          <w:p w:rsidR="00525419" w:rsidRDefault="00EE1CF7">
            <w:pPr>
              <w:spacing w:line="320" w:lineRule="exact"/>
              <w:jc w:val="center"/>
              <w:rPr>
                <w:rFonts w:ascii="Times New Roman" w:hAnsi="Times New Roman"/>
                <w:szCs w:val="21"/>
              </w:rPr>
            </w:pPr>
            <w:r>
              <w:rPr>
                <w:rFonts w:ascii="Times New Roman" w:hAnsi="Times New Roman"/>
                <w:szCs w:val="21"/>
              </w:rPr>
              <w:t>企业在发展过程中会不断出现新问题，需要一个不断的清洁生产过程，本项目本身属于高新技术的研发，针对企业在每一个新的发展阶段出现的问题都能发现和解决，并不断减少企业资源消耗和废物排放，进一步提高企业生产水平。</w:t>
            </w:r>
          </w:p>
        </w:tc>
      </w:tr>
    </w:tbl>
    <w:p w:rsidR="00525419" w:rsidRDefault="00EE1CF7">
      <w:pPr>
        <w:spacing w:line="360" w:lineRule="auto"/>
        <w:ind w:firstLineChars="200" w:firstLine="482"/>
        <w:rPr>
          <w:rFonts w:ascii="Times New Roman" w:hAnsi="Times New Roman"/>
          <w:b/>
          <w:bCs/>
          <w:sz w:val="24"/>
          <w:szCs w:val="24"/>
        </w:rPr>
      </w:pPr>
      <w:r>
        <w:rPr>
          <w:rFonts w:ascii="Times New Roman" w:hAnsi="Times New Roman"/>
          <w:b/>
          <w:bCs/>
          <w:sz w:val="24"/>
          <w:szCs w:val="24"/>
        </w:rPr>
        <w:t>（</w:t>
      </w:r>
      <w:r>
        <w:rPr>
          <w:rFonts w:ascii="Times New Roman" w:hAnsi="Times New Roman"/>
          <w:b/>
          <w:bCs/>
          <w:sz w:val="24"/>
          <w:szCs w:val="24"/>
        </w:rPr>
        <w:t>2</w:t>
      </w:r>
      <w:r>
        <w:rPr>
          <w:rFonts w:ascii="Times New Roman" w:hAnsi="Times New Roman"/>
          <w:b/>
          <w:bCs/>
          <w:sz w:val="24"/>
          <w:szCs w:val="24"/>
        </w:rPr>
        <w:t>）建立和完善清洁生产组织</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清洁生产是一个动态的、相对的概念，是一个连续的过程，因此需要建立一个清洁生产组织。</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①</w:t>
      </w:r>
      <w:r>
        <w:rPr>
          <w:rFonts w:ascii="Times New Roman" w:hAnsi="Times New Roman"/>
          <w:sz w:val="24"/>
        </w:rPr>
        <w:t>清洁生产组织</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评价建议建设单位单独设立清洁生产办公室，由公司领导直接领导，且需专人负责，并需具备以下能力：熟练掌握厂内有关清洁生产的知识、熟悉企业的环保情况，了解企业的生产技术和工艺过程，具有较强的工作协调能力和较强的工作责任心和敬业精神。</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②</w:t>
      </w:r>
      <w:r>
        <w:rPr>
          <w:rFonts w:ascii="Times New Roman" w:hAnsi="Times New Roman"/>
          <w:sz w:val="24"/>
        </w:rPr>
        <w:t>任务</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组织收集不断提出清洁生产方案</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为下一轮清洁生产分析做准备</w:t>
      </w:r>
    </w:p>
    <w:p w:rsidR="00525419" w:rsidRDefault="00EE1CF7">
      <w:pPr>
        <w:spacing w:line="360" w:lineRule="auto"/>
        <w:ind w:firstLineChars="200" w:firstLine="480"/>
        <w:rPr>
          <w:rFonts w:ascii="Times New Roman" w:hAnsi="Times New Roman"/>
          <w:sz w:val="24"/>
        </w:rPr>
      </w:pPr>
      <w:r>
        <w:rPr>
          <w:rFonts w:ascii="Times New Roman" w:hAnsi="Times New Roman"/>
          <w:sz w:val="24"/>
        </w:rPr>
        <w:lastRenderedPageBreak/>
        <w:t>经常性组织对职工的清洁生产教育和培训</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负责清洁生产活动的日常管理</w:t>
      </w:r>
    </w:p>
    <w:p w:rsidR="00525419" w:rsidRDefault="00EE1CF7">
      <w:pPr>
        <w:spacing w:line="360" w:lineRule="auto"/>
        <w:ind w:firstLineChars="200" w:firstLine="482"/>
        <w:rPr>
          <w:rFonts w:ascii="Times New Roman" w:hAnsi="Times New Roman"/>
          <w:b/>
          <w:bCs/>
          <w:sz w:val="24"/>
          <w:szCs w:val="24"/>
        </w:rPr>
      </w:pPr>
      <w:r>
        <w:rPr>
          <w:rFonts w:ascii="Times New Roman" w:hAnsi="Times New Roman"/>
          <w:b/>
          <w:bCs/>
          <w:sz w:val="24"/>
          <w:szCs w:val="24"/>
        </w:rPr>
        <w:t>（</w:t>
      </w:r>
      <w:r>
        <w:rPr>
          <w:rFonts w:ascii="Times New Roman" w:hAnsi="Times New Roman"/>
          <w:b/>
          <w:bCs/>
          <w:sz w:val="24"/>
          <w:szCs w:val="24"/>
        </w:rPr>
        <w:t>3</w:t>
      </w:r>
      <w:r>
        <w:rPr>
          <w:rFonts w:ascii="Times New Roman" w:hAnsi="Times New Roman"/>
          <w:b/>
          <w:bCs/>
          <w:sz w:val="24"/>
          <w:szCs w:val="24"/>
        </w:rPr>
        <w:t>）建立和完善清洁生产管理制度</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清洁生产管理制度包括把清洁生产成果纳入企业的日常管理轨道、建立和完善清洁生产奖励机制、保证稳定的清洁生产资金来源。</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①</w:t>
      </w:r>
      <w:r>
        <w:rPr>
          <w:rFonts w:ascii="Times New Roman" w:hAnsi="Times New Roman"/>
          <w:sz w:val="24"/>
        </w:rPr>
        <w:t>把清洁生产成果纳入企业的日常管理</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把清洁生产成果纳入企业的日常管理，是巩固清洁生产成效的重要手段，特别是把清洁生产分析产生的无投资或低投资的方案及时纳入企业的日常管理轨道。</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②</w:t>
      </w:r>
      <w:r>
        <w:rPr>
          <w:rFonts w:ascii="Times New Roman" w:hAnsi="Times New Roman"/>
          <w:sz w:val="24"/>
        </w:rPr>
        <w:t>建立和完善清洁生产奖励机制</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与清洁生产相协调，建立清洁生产奖励激励机制，以调动全体职工参与清洁生产的积极性。</w:t>
      </w:r>
    </w:p>
    <w:p w:rsidR="00525419" w:rsidRDefault="00EE1CF7">
      <w:pPr>
        <w:spacing w:line="360" w:lineRule="auto"/>
        <w:ind w:firstLineChars="150" w:firstLine="361"/>
        <w:rPr>
          <w:rFonts w:ascii="Times New Roman" w:hAnsi="Times New Roman"/>
          <w:b/>
          <w:bCs/>
          <w:sz w:val="24"/>
        </w:rPr>
      </w:pPr>
      <w:r>
        <w:rPr>
          <w:rFonts w:ascii="Times New Roman" w:hAnsi="Times New Roman"/>
          <w:b/>
          <w:bCs/>
          <w:sz w:val="24"/>
        </w:rPr>
        <w:t>（</w:t>
      </w:r>
      <w:r>
        <w:rPr>
          <w:rFonts w:ascii="Times New Roman" w:hAnsi="Times New Roman"/>
          <w:b/>
          <w:bCs/>
          <w:sz w:val="24"/>
        </w:rPr>
        <w:t>4</w:t>
      </w:r>
      <w:r>
        <w:rPr>
          <w:rFonts w:ascii="Times New Roman" w:hAnsi="Times New Roman"/>
          <w:b/>
          <w:bCs/>
          <w:sz w:val="24"/>
        </w:rPr>
        <w:t>）搞好职工培训工作</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清洁生产措施能否顺利落实，清洁生产目标能否达到与企业的职工素质有很大的关系。评价建议企业应加强对职工关于清洁生产方面的培训和教育，同时也要对各级干部、工程技术人员、车间班组长进行培训，并把清洁生产的目标分配到每一个人，以利于清洁生产目标的实现。</w:t>
      </w:r>
    </w:p>
    <w:p w:rsidR="00525419" w:rsidRDefault="00EE1CF7">
      <w:pPr>
        <w:spacing w:line="360" w:lineRule="auto"/>
        <w:ind w:firstLineChars="150" w:firstLine="361"/>
        <w:rPr>
          <w:rFonts w:ascii="Times New Roman" w:hAnsi="Times New Roman"/>
          <w:b/>
          <w:bCs/>
          <w:sz w:val="24"/>
        </w:rPr>
      </w:pPr>
      <w:r>
        <w:rPr>
          <w:rFonts w:ascii="Times New Roman" w:hAnsi="Times New Roman"/>
          <w:b/>
          <w:bCs/>
          <w:sz w:val="24"/>
        </w:rPr>
        <w:t>（</w:t>
      </w:r>
      <w:r>
        <w:rPr>
          <w:rFonts w:ascii="Times New Roman" w:hAnsi="Times New Roman"/>
          <w:b/>
          <w:bCs/>
          <w:sz w:val="24"/>
        </w:rPr>
        <w:t>5</w:t>
      </w:r>
      <w:r>
        <w:rPr>
          <w:rFonts w:ascii="Times New Roman" w:hAnsi="Times New Roman"/>
          <w:b/>
          <w:bCs/>
          <w:sz w:val="24"/>
        </w:rPr>
        <w:t>）制定持续清洁生产计划</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清洁生产并非一朝一夕的事，需要制定清洁生产计划，使清洁生产在企业中有组织、有计划的进行下去，评价建议企业执行以下清洁生产计划，见表</w:t>
      </w:r>
      <w:r>
        <w:rPr>
          <w:rFonts w:ascii="Times New Roman" w:hAnsi="Times New Roman"/>
          <w:sz w:val="24"/>
        </w:rPr>
        <w:t>3.8-6</w:t>
      </w:r>
      <w:r>
        <w:rPr>
          <w:rFonts w:ascii="Times New Roman" w:hAnsi="Times New Roman"/>
          <w:sz w:val="24"/>
        </w:rPr>
        <w:t>。</w:t>
      </w:r>
    </w:p>
    <w:p w:rsidR="00525419" w:rsidRDefault="00EE1CF7">
      <w:pPr>
        <w:pStyle w:val="2ffd"/>
        <w:ind w:firstLine="422"/>
        <w:rPr>
          <w:b/>
          <w:sz w:val="21"/>
          <w:szCs w:val="21"/>
        </w:rPr>
      </w:pPr>
      <w:r>
        <w:rPr>
          <w:b/>
          <w:sz w:val="21"/>
          <w:szCs w:val="21"/>
        </w:rPr>
        <w:t>表</w:t>
      </w:r>
      <w:r>
        <w:rPr>
          <w:b/>
          <w:sz w:val="21"/>
          <w:szCs w:val="21"/>
        </w:rPr>
        <w:t xml:space="preserve">3.8-6    </w:t>
      </w:r>
      <w:r>
        <w:rPr>
          <w:b/>
          <w:sz w:val="21"/>
          <w:szCs w:val="21"/>
        </w:rPr>
        <w:t>评价建议企业执行清洁生产计划一览表</w:t>
      </w:r>
    </w:p>
    <w:tbl>
      <w:tblPr>
        <w:tblW w:w="847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805"/>
        <w:gridCol w:w="6670"/>
      </w:tblGrid>
      <w:tr w:rsidR="00525419">
        <w:trPr>
          <w:jc w:val="center"/>
        </w:trPr>
        <w:tc>
          <w:tcPr>
            <w:tcW w:w="1805" w:type="dxa"/>
            <w:tcBorders>
              <w:tl2br w:val="nil"/>
              <w:tr2bl w:val="nil"/>
            </w:tcBorders>
            <w:shd w:val="clear" w:color="auto" w:fill="auto"/>
            <w:tcMar>
              <w:left w:w="0" w:type="dxa"/>
              <w:right w:w="0" w:type="dxa"/>
            </w:tcMar>
            <w:vAlign w:val="center"/>
          </w:tcPr>
          <w:p w:rsidR="00525419" w:rsidRDefault="00EE1CF7">
            <w:pPr>
              <w:spacing w:line="360" w:lineRule="exact"/>
              <w:jc w:val="center"/>
              <w:rPr>
                <w:rFonts w:ascii="Times New Roman" w:hAnsi="Times New Roman"/>
                <w:szCs w:val="21"/>
              </w:rPr>
            </w:pPr>
            <w:r>
              <w:rPr>
                <w:rFonts w:ascii="Times New Roman" w:hAnsi="Times New Roman"/>
                <w:szCs w:val="21"/>
              </w:rPr>
              <w:t>项目</w:t>
            </w:r>
          </w:p>
        </w:tc>
        <w:tc>
          <w:tcPr>
            <w:tcW w:w="6670" w:type="dxa"/>
            <w:tcBorders>
              <w:tl2br w:val="nil"/>
              <w:tr2bl w:val="nil"/>
            </w:tcBorders>
            <w:shd w:val="clear" w:color="auto" w:fill="auto"/>
            <w:tcMar>
              <w:left w:w="0" w:type="dxa"/>
              <w:right w:w="0" w:type="dxa"/>
            </w:tcMar>
            <w:vAlign w:val="center"/>
          </w:tcPr>
          <w:p w:rsidR="00525419" w:rsidRDefault="00EE1CF7">
            <w:pPr>
              <w:spacing w:line="360" w:lineRule="exact"/>
              <w:jc w:val="center"/>
              <w:rPr>
                <w:rFonts w:ascii="Times New Roman" w:hAnsi="Times New Roman"/>
                <w:szCs w:val="21"/>
              </w:rPr>
            </w:pPr>
            <w:r>
              <w:rPr>
                <w:rFonts w:ascii="Times New Roman" w:hAnsi="Times New Roman"/>
                <w:szCs w:val="21"/>
              </w:rPr>
              <w:t>内容</w:t>
            </w:r>
          </w:p>
        </w:tc>
      </w:tr>
      <w:tr w:rsidR="00525419">
        <w:trPr>
          <w:jc w:val="center"/>
        </w:trPr>
        <w:tc>
          <w:tcPr>
            <w:tcW w:w="1805" w:type="dxa"/>
            <w:tcBorders>
              <w:tl2br w:val="nil"/>
              <w:tr2bl w:val="nil"/>
            </w:tcBorders>
            <w:shd w:val="clear" w:color="auto" w:fill="auto"/>
            <w:tcMar>
              <w:left w:w="0" w:type="dxa"/>
              <w:right w:w="0" w:type="dxa"/>
            </w:tcMar>
            <w:vAlign w:val="center"/>
          </w:tcPr>
          <w:p w:rsidR="00525419" w:rsidRDefault="00EE1CF7">
            <w:pPr>
              <w:spacing w:line="360" w:lineRule="exact"/>
              <w:jc w:val="center"/>
              <w:rPr>
                <w:rFonts w:ascii="Times New Roman" w:hAnsi="Times New Roman"/>
                <w:szCs w:val="21"/>
              </w:rPr>
            </w:pPr>
            <w:r>
              <w:rPr>
                <w:rFonts w:ascii="Times New Roman" w:hAnsi="Times New Roman"/>
                <w:szCs w:val="21"/>
              </w:rPr>
              <w:t>组建清洁生产组织</w:t>
            </w:r>
          </w:p>
        </w:tc>
        <w:tc>
          <w:tcPr>
            <w:tcW w:w="6670" w:type="dxa"/>
            <w:tcBorders>
              <w:tl2br w:val="nil"/>
              <w:tr2bl w:val="nil"/>
            </w:tcBorders>
            <w:shd w:val="clear" w:color="auto" w:fill="auto"/>
            <w:tcMar>
              <w:left w:w="0" w:type="dxa"/>
              <w:right w:w="0" w:type="dxa"/>
            </w:tcMar>
            <w:vAlign w:val="center"/>
          </w:tcPr>
          <w:p w:rsidR="00525419" w:rsidRDefault="00EE1CF7">
            <w:pPr>
              <w:spacing w:line="360" w:lineRule="exact"/>
              <w:rPr>
                <w:rFonts w:ascii="Times New Roman" w:hAnsi="Times New Roman"/>
                <w:szCs w:val="21"/>
              </w:rPr>
            </w:pPr>
            <w:r>
              <w:rPr>
                <w:rFonts w:ascii="Times New Roman" w:hAnsi="Times New Roman"/>
                <w:szCs w:val="21"/>
              </w:rPr>
              <w:t>组建清洁生产领导小组，新技术研究与开发小组，开展清洁生产分析工作</w:t>
            </w:r>
          </w:p>
        </w:tc>
      </w:tr>
      <w:tr w:rsidR="00525419">
        <w:trPr>
          <w:jc w:val="center"/>
        </w:trPr>
        <w:tc>
          <w:tcPr>
            <w:tcW w:w="1805" w:type="dxa"/>
            <w:tcBorders>
              <w:tl2br w:val="nil"/>
              <w:tr2bl w:val="nil"/>
            </w:tcBorders>
            <w:shd w:val="clear" w:color="auto" w:fill="auto"/>
            <w:tcMar>
              <w:left w:w="0" w:type="dxa"/>
              <w:right w:w="0" w:type="dxa"/>
            </w:tcMar>
            <w:vAlign w:val="center"/>
          </w:tcPr>
          <w:p w:rsidR="00525419" w:rsidRDefault="00EE1CF7">
            <w:pPr>
              <w:spacing w:line="360" w:lineRule="exact"/>
              <w:jc w:val="center"/>
              <w:rPr>
                <w:rFonts w:ascii="Times New Roman" w:hAnsi="Times New Roman"/>
                <w:szCs w:val="21"/>
              </w:rPr>
            </w:pPr>
            <w:r>
              <w:rPr>
                <w:rFonts w:ascii="Times New Roman" w:hAnsi="Times New Roman"/>
                <w:szCs w:val="21"/>
              </w:rPr>
              <w:t>清洁生产方案实施</w:t>
            </w:r>
          </w:p>
        </w:tc>
        <w:tc>
          <w:tcPr>
            <w:tcW w:w="6670" w:type="dxa"/>
            <w:tcBorders>
              <w:tl2br w:val="nil"/>
              <w:tr2bl w:val="nil"/>
            </w:tcBorders>
            <w:shd w:val="clear" w:color="auto" w:fill="auto"/>
            <w:tcMar>
              <w:left w:w="0" w:type="dxa"/>
              <w:right w:w="0" w:type="dxa"/>
            </w:tcMar>
            <w:vAlign w:val="center"/>
          </w:tcPr>
          <w:p w:rsidR="00525419" w:rsidRDefault="00EE1CF7">
            <w:pPr>
              <w:spacing w:line="360" w:lineRule="exact"/>
              <w:rPr>
                <w:rFonts w:ascii="Times New Roman" w:hAnsi="Times New Roman"/>
                <w:szCs w:val="21"/>
              </w:rPr>
            </w:pPr>
            <w:r>
              <w:rPr>
                <w:rFonts w:ascii="Times New Roman" w:hAnsi="Times New Roman"/>
                <w:szCs w:val="21"/>
              </w:rPr>
              <w:t>在各车间推行清洁生产</w:t>
            </w:r>
          </w:p>
        </w:tc>
      </w:tr>
      <w:tr w:rsidR="00525419">
        <w:trPr>
          <w:jc w:val="center"/>
        </w:trPr>
        <w:tc>
          <w:tcPr>
            <w:tcW w:w="1805" w:type="dxa"/>
            <w:tcBorders>
              <w:tl2br w:val="nil"/>
              <w:tr2bl w:val="nil"/>
            </w:tcBorders>
            <w:shd w:val="clear" w:color="auto" w:fill="auto"/>
            <w:tcMar>
              <w:left w:w="0" w:type="dxa"/>
              <w:right w:w="0" w:type="dxa"/>
            </w:tcMar>
            <w:vAlign w:val="center"/>
          </w:tcPr>
          <w:p w:rsidR="00525419" w:rsidRDefault="00EE1CF7">
            <w:pPr>
              <w:spacing w:line="360" w:lineRule="exact"/>
              <w:jc w:val="center"/>
              <w:rPr>
                <w:rFonts w:ascii="Times New Roman" w:hAnsi="Times New Roman"/>
                <w:szCs w:val="21"/>
              </w:rPr>
            </w:pPr>
            <w:r>
              <w:rPr>
                <w:rFonts w:ascii="Times New Roman" w:hAnsi="Times New Roman"/>
                <w:szCs w:val="21"/>
              </w:rPr>
              <w:t>新技术研究与开发</w:t>
            </w:r>
          </w:p>
        </w:tc>
        <w:tc>
          <w:tcPr>
            <w:tcW w:w="6670" w:type="dxa"/>
            <w:tcBorders>
              <w:tl2br w:val="nil"/>
              <w:tr2bl w:val="nil"/>
            </w:tcBorders>
            <w:shd w:val="clear" w:color="auto" w:fill="auto"/>
            <w:tcMar>
              <w:left w:w="0" w:type="dxa"/>
              <w:right w:w="0" w:type="dxa"/>
            </w:tcMar>
            <w:vAlign w:val="center"/>
          </w:tcPr>
          <w:p w:rsidR="00525419" w:rsidRDefault="00EE1CF7">
            <w:pPr>
              <w:spacing w:line="360" w:lineRule="exact"/>
              <w:rPr>
                <w:rFonts w:ascii="Times New Roman" w:hAnsi="Times New Roman"/>
                <w:szCs w:val="21"/>
              </w:rPr>
            </w:pPr>
            <w:r>
              <w:rPr>
                <w:rFonts w:ascii="Times New Roman" w:hAnsi="Times New Roman"/>
                <w:szCs w:val="21"/>
              </w:rPr>
              <w:t>有用元素高效率提取技术、原材料回收技术、废水循环利用技术、控制废气扩散技术</w:t>
            </w:r>
          </w:p>
        </w:tc>
      </w:tr>
      <w:tr w:rsidR="00525419">
        <w:trPr>
          <w:jc w:val="center"/>
        </w:trPr>
        <w:tc>
          <w:tcPr>
            <w:tcW w:w="1805" w:type="dxa"/>
            <w:tcBorders>
              <w:tl2br w:val="nil"/>
              <w:tr2bl w:val="nil"/>
            </w:tcBorders>
            <w:shd w:val="clear" w:color="auto" w:fill="auto"/>
            <w:tcMar>
              <w:left w:w="0" w:type="dxa"/>
              <w:right w:w="0" w:type="dxa"/>
            </w:tcMar>
            <w:vAlign w:val="center"/>
          </w:tcPr>
          <w:p w:rsidR="00525419" w:rsidRDefault="00EE1CF7">
            <w:pPr>
              <w:spacing w:line="360" w:lineRule="exact"/>
              <w:jc w:val="center"/>
              <w:rPr>
                <w:rFonts w:ascii="Times New Roman" w:hAnsi="Times New Roman"/>
                <w:szCs w:val="21"/>
              </w:rPr>
            </w:pPr>
            <w:r>
              <w:rPr>
                <w:rFonts w:ascii="Times New Roman" w:hAnsi="Times New Roman"/>
                <w:szCs w:val="21"/>
              </w:rPr>
              <w:t>清洁生产培训</w:t>
            </w:r>
          </w:p>
        </w:tc>
        <w:tc>
          <w:tcPr>
            <w:tcW w:w="6670" w:type="dxa"/>
            <w:tcBorders>
              <w:tl2br w:val="nil"/>
              <w:tr2bl w:val="nil"/>
            </w:tcBorders>
            <w:shd w:val="clear" w:color="auto" w:fill="auto"/>
            <w:tcMar>
              <w:left w:w="0" w:type="dxa"/>
              <w:right w:w="0" w:type="dxa"/>
            </w:tcMar>
            <w:vAlign w:val="center"/>
          </w:tcPr>
          <w:p w:rsidR="00525419" w:rsidRDefault="00EE1CF7">
            <w:pPr>
              <w:spacing w:line="360" w:lineRule="exact"/>
              <w:rPr>
                <w:rFonts w:ascii="Times New Roman" w:hAnsi="Times New Roman"/>
                <w:szCs w:val="21"/>
              </w:rPr>
            </w:pPr>
            <w:r>
              <w:rPr>
                <w:rFonts w:ascii="Times New Roman" w:hAnsi="Times New Roman"/>
                <w:szCs w:val="21"/>
              </w:rPr>
              <w:t>对公司级干部、中层干部、工程技术人员、车间班组长进行清洁生产知识培训</w:t>
            </w:r>
          </w:p>
        </w:tc>
      </w:tr>
    </w:tbl>
    <w:p w:rsidR="00525419" w:rsidRDefault="00EE1CF7">
      <w:pPr>
        <w:spacing w:line="360" w:lineRule="auto"/>
        <w:rPr>
          <w:rFonts w:ascii="Times New Roman" w:hAnsi="Times New Roman"/>
          <w:b/>
          <w:bCs/>
          <w:sz w:val="24"/>
          <w:szCs w:val="24"/>
        </w:rPr>
      </w:pPr>
      <w:r>
        <w:rPr>
          <w:rFonts w:ascii="Times New Roman" w:hAnsi="Times New Roman"/>
          <w:b/>
          <w:bCs/>
          <w:sz w:val="24"/>
          <w:szCs w:val="24"/>
        </w:rPr>
        <w:t>3.8.4.2</w:t>
      </w:r>
      <w:r>
        <w:rPr>
          <w:rFonts w:ascii="Times New Roman" w:hAnsi="Times New Roman"/>
          <w:b/>
          <w:bCs/>
          <w:sz w:val="24"/>
          <w:szCs w:val="24"/>
        </w:rPr>
        <w:t>强化生产管理建议</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本项目在生产运营过程中，还需在以下方面强化生产管理：</w:t>
      </w:r>
    </w:p>
    <w:p w:rsidR="00525419" w:rsidRDefault="00EE1CF7">
      <w:pPr>
        <w:spacing w:line="360" w:lineRule="auto"/>
        <w:ind w:firstLineChars="150" w:firstLine="36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）加强原材料及产品管理：本项目多种原材料及产品如果管理不严，不仅</w:t>
      </w:r>
      <w:r>
        <w:rPr>
          <w:rFonts w:ascii="Times New Roman" w:hAnsi="Times New Roman"/>
          <w:sz w:val="24"/>
        </w:rPr>
        <w:lastRenderedPageBreak/>
        <w:t>会受损失，还会污染环境。因此，企业应避免材料的随意堆放或发生泄漏现象；</w:t>
      </w:r>
    </w:p>
    <w:p w:rsidR="00525419" w:rsidRDefault="00EE1CF7">
      <w:pPr>
        <w:spacing w:line="360" w:lineRule="auto"/>
        <w:ind w:firstLineChars="150" w:firstLine="360"/>
        <w:rPr>
          <w:rFonts w:ascii="Times New Roman" w:hAnsi="Times New Roman"/>
          <w:iCs/>
          <w:sz w:val="24"/>
        </w:rPr>
      </w:pPr>
      <w:r>
        <w:rPr>
          <w:rFonts w:ascii="Times New Roman" w:hAnsi="Times New Roman"/>
          <w:sz w:val="24"/>
        </w:rPr>
        <w:t>（</w:t>
      </w:r>
      <w:r>
        <w:rPr>
          <w:rFonts w:ascii="Times New Roman" w:hAnsi="Times New Roman"/>
          <w:sz w:val="24"/>
        </w:rPr>
        <w:t>2</w:t>
      </w:r>
      <w:r>
        <w:rPr>
          <w:rFonts w:ascii="Times New Roman" w:hAnsi="Times New Roman"/>
          <w:sz w:val="24"/>
        </w:rPr>
        <w:t>）生产</w:t>
      </w:r>
      <w:r>
        <w:rPr>
          <w:rFonts w:ascii="Times New Roman" w:hAnsi="Times New Roman"/>
          <w:iCs/>
          <w:sz w:val="24"/>
        </w:rPr>
        <w:t>过程加强环境管理，节能降耗，提高资源的综合利用率。在生产过程中应当严格工艺纪律，减少污染物的产生。企业可以实施严格的工艺操作纪律和巡回检查制度，从源头杜绝污染现象的发生。对污染物的产生进行例行监测，有效控制污染物排放，使跑、冒、滴、漏等各种非正常情况排放的污染物得到控制。生产装置工艺每个工序有明确的环保指标（如电耗、物耗），同时加大生产设备环保措施的改善力度。各种人流、物流包括人的活动区域、物品堆存区域等有明显标识；</w:t>
      </w:r>
    </w:p>
    <w:p w:rsidR="00525419" w:rsidRDefault="00EE1CF7">
      <w:pPr>
        <w:spacing w:line="360" w:lineRule="auto"/>
        <w:ind w:firstLineChars="150" w:firstLine="36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）设备、仪表维修：生产过程控制设备、仪表出现故障，会造成严重后果。因此，企业必须配备维修队伍，负责设备和控制仪表经常处于正常运行状态；</w:t>
      </w:r>
    </w:p>
    <w:p w:rsidR="00525419" w:rsidRDefault="00EE1CF7">
      <w:pPr>
        <w:spacing w:line="360" w:lineRule="auto"/>
        <w:ind w:firstLineChars="150" w:firstLine="36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操作环境：本项目在生产过程中，废气污染物及噪声排放会危及操作人员的身体健康，必须为操作人员创造必要的工作条件和良好的操作环境。恶劣的工作环境会导致操作人员不按规定的误操作，使工艺参数控制不严或机器设备、仪表损害频繁，同样也会影响原材料消耗和产品的收率。</w:t>
      </w:r>
    </w:p>
    <w:p w:rsidR="00525419" w:rsidRDefault="00EE1CF7">
      <w:pPr>
        <w:spacing w:line="360" w:lineRule="auto"/>
        <w:ind w:firstLineChars="150" w:firstLine="360"/>
        <w:rPr>
          <w:rFonts w:ascii="Times New Roman" w:hAnsi="Times New Roman"/>
          <w:iCs/>
          <w:sz w:val="24"/>
        </w:rPr>
      </w:pPr>
      <w:r>
        <w:rPr>
          <w:rFonts w:ascii="Times New Roman" w:hAnsi="Times New Roman"/>
          <w:iCs/>
          <w:sz w:val="24"/>
        </w:rPr>
        <w:t>（</w:t>
      </w:r>
      <w:r>
        <w:rPr>
          <w:rFonts w:ascii="Times New Roman" w:hAnsi="Times New Roman"/>
          <w:iCs/>
          <w:sz w:val="24"/>
        </w:rPr>
        <w:t>5</w:t>
      </w:r>
      <w:r>
        <w:rPr>
          <w:rFonts w:ascii="Times New Roman" w:hAnsi="Times New Roman"/>
          <w:iCs/>
          <w:sz w:val="24"/>
        </w:rPr>
        <w:t>）企业应关注相关生产技术的发展动态，在自身条件允许的情况下，优化生产工艺设备，降低生产成本，提高产品质量和品种。</w:t>
      </w:r>
    </w:p>
    <w:p w:rsidR="00525419" w:rsidRDefault="00EE1CF7">
      <w:pPr>
        <w:pStyle w:val="3a"/>
        <w:spacing w:beforeLines="50" w:before="159" w:after="156" w:line="360" w:lineRule="auto"/>
        <w:jc w:val="left"/>
        <w:rPr>
          <w:rFonts w:ascii="Times New Roman" w:eastAsia="华文楷体" w:hAnsi="Times New Roman"/>
        </w:rPr>
      </w:pPr>
      <w:r>
        <w:rPr>
          <w:rFonts w:ascii="Times New Roman" w:eastAsia="华文楷体" w:hAnsi="Times New Roman"/>
        </w:rPr>
        <w:t>3.8.5</w:t>
      </w:r>
      <w:r>
        <w:rPr>
          <w:rFonts w:ascii="Times New Roman" w:eastAsia="华文楷体" w:hAnsi="Times New Roman"/>
        </w:rPr>
        <w:t>小结</w:t>
      </w:r>
    </w:p>
    <w:p w:rsidR="00525419" w:rsidRDefault="00EE1CF7">
      <w:pPr>
        <w:spacing w:line="360" w:lineRule="auto"/>
        <w:ind w:firstLineChars="225" w:firstLine="540"/>
        <w:rPr>
          <w:rFonts w:ascii="Times New Roman" w:hAnsi="Times New Roman"/>
          <w:sz w:val="24"/>
          <w:szCs w:val="24"/>
        </w:rPr>
      </w:pPr>
      <w:r>
        <w:rPr>
          <w:rFonts w:ascii="Times New Roman" w:hAnsi="Times New Roman"/>
          <w:sz w:val="24"/>
          <w:szCs w:val="24"/>
        </w:rPr>
        <w:t>综上所述，</w:t>
      </w:r>
      <w:r>
        <w:rPr>
          <w:rFonts w:ascii="Times New Roman" w:hAnsi="Times New Roman" w:hint="eastAsia"/>
          <w:sz w:val="24"/>
          <w:szCs w:val="24"/>
        </w:rPr>
        <w:t>本项目</w:t>
      </w:r>
      <w:r>
        <w:rPr>
          <w:rFonts w:ascii="Times New Roman" w:hAnsi="Times New Roman"/>
          <w:sz w:val="24"/>
          <w:szCs w:val="24"/>
        </w:rPr>
        <w:t>在设计中采用了先进的生产工艺技术，项目生产从源头上控制了污染，原材料、能源利用率和水的循环利用率较高，对各污染源均采取了先进有效的治理措施，生产清洁的产品。在整个生产过程直至到产品完成的过程中，完全符合清洁生产的要求，其综合清洁生产水平在国内同类型企业处于先进水平。</w:t>
      </w:r>
    </w:p>
    <w:p w:rsidR="00525419" w:rsidRDefault="00EE1CF7">
      <w:pPr>
        <w:pStyle w:val="2a"/>
        <w:spacing w:beforeLines="50" w:before="159" w:after="159"/>
        <w:ind w:left="578" w:hanging="578"/>
        <w:rPr>
          <w:rFonts w:ascii="Times New Roman" w:eastAsia="楷体_GB2312" w:hAnsi="Times New Roman"/>
          <w:sz w:val="36"/>
        </w:rPr>
      </w:pPr>
      <w:bookmarkStart w:id="70" w:name="_Toc7266"/>
      <w:r>
        <w:rPr>
          <w:rFonts w:ascii="Times New Roman" w:eastAsia="楷体_GB2312" w:hAnsi="Times New Roman"/>
          <w:sz w:val="36"/>
        </w:rPr>
        <w:t>3.9</w:t>
      </w:r>
      <w:r>
        <w:rPr>
          <w:rFonts w:ascii="Times New Roman" w:eastAsia="楷体_GB2312" w:hAnsi="Times New Roman"/>
          <w:sz w:val="36"/>
        </w:rPr>
        <w:t>总量控制</w:t>
      </w:r>
      <w:bookmarkEnd w:id="70"/>
    </w:p>
    <w:p w:rsidR="00525419" w:rsidRDefault="00EE1CF7">
      <w:pPr>
        <w:pStyle w:val="3a"/>
        <w:spacing w:beforeLines="50" w:before="159" w:after="156" w:line="360" w:lineRule="auto"/>
        <w:jc w:val="left"/>
        <w:rPr>
          <w:rFonts w:ascii="Times New Roman" w:eastAsia="华文楷体" w:hAnsi="Times New Roman"/>
        </w:rPr>
      </w:pPr>
      <w:r>
        <w:rPr>
          <w:rFonts w:ascii="Times New Roman" w:eastAsia="华文楷体" w:hAnsi="Times New Roman"/>
        </w:rPr>
        <w:t>3.9.1</w:t>
      </w:r>
      <w:r>
        <w:rPr>
          <w:rFonts w:ascii="Times New Roman" w:eastAsia="华文楷体" w:hAnsi="Times New Roman"/>
        </w:rPr>
        <w:t>总量控制因子</w:t>
      </w:r>
    </w:p>
    <w:p w:rsidR="00525419" w:rsidRDefault="00EE1CF7">
      <w:pPr>
        <w:autoSpaceDE w:val="0"/>
        <w:autoSpaceDN w:val="0"/>
        <w:adjustRightInd w:val="0"/>
        <w:snapToGrid w:val="0"/>
        <w:spacing w:line="500" w:lineRule="exact"/>
        <w:ind w:firstLine="480"/>
        <w:rPr>
          <w:rFonts w:ascii="Times New Roman" w:hAnsi="Times New Roman"/>
          <w:kern w:val="0"/>
          <w:sz w:val="24"/>
          <w:szCs w:val="24"/>
        </w:rPr>
      </w:pPr>
      <w:r>
        <w:rPr>
          <w:rFonts w:ascii="Times New Roman" w:hAnsi="Times New Roman"/>
          <w:sz w:val="24"/>
          <w:szCs w:val="24"/>
        </w:rPr>
        <w:t>根据《</w:t>
      </w:r>
      <w:r>
        <w:rPr>
          <w:rFonts w:ascii="Times New Roman" w:hAnsi="Times New Roman"/>
          <w:kern w:val="0"/>
          <w:sz w:val="24"/>
          <w:szCs w:val="24"/>
        </w:rPr>
        <w:t>“</w:t>
      </w:r>
      <w:r>
        <w:rPr>
          <w:rFonts w:ascii="Times New Roman" w:hAnsi="Times New Roman"/>
          <w:kern w:val="0"/>
          <w:sz w:val="24"/>
          <w:szCs w:val="24"/>
        </w:rPr>
        <w:t>十三五</w:t>
      </w:r>
      <w:r>
        <w:rPr>
          <w:rFonts w:ascii="Times New Roman" w:hAnsi="Times New Roman"/>
          <w:kern w:val="0"/>
          <w:sz w:val="24"/>
          <w:szCs w:val="24"/>
        </w:rPr>
        <w:t>”</w:t>
      </w:r>
      <w:r>
        <w:rPr>
          <w:rFonts w:ascii="Times New Roman" w:hAnsi="Times New Roman"/>
          <w:kern w:val="0"/>
          <w:sz w:val="24"/>
          <w:szCs w:val="24"/>
        </w:rPr>
        <w:t>期间全国主要污染物排放总量控制计划</w:t>
      </w:r>
      <w:r>
        <w:rPr>
          <w:rFonts w:ascii="Times New Roman" w:hAnsi="Times New Roman"/>
          <w:sz w:val="24"/>
          <w:szCs w:val="24"/>
        </w:rPr>
        <w:t>》，</w:t>
      </w:r>
      <w:r>
        <w:rPr>
          <w:rFonts w:ascii="Times New Roman" w:hAnsi="Times New Roman"/>
          <w:kern w:val="0"/>
          <w:sz w:val="24"/>
          <w:szCs w:val="24"/>
        </w:rPr>
        <w:t>确定</w:t>
      </w:r>
      <w:r>
        <w:rPr>
          <w:rFonts w:ascii="Times New Roman" w:hAnsi="Times New Roman"/>
          <w:kern w:val="0"/>
          <w:sz w:val="24"/>
          <w:szCs w:val="24"/>
        </w:rPr>
        <w:t>SO</w:t>
      </w:r>
      <w:r>
        <w:rPr>
          <w:rFonts w:ascii="Times New Roman" w:hAnsi="Times New Roman"/>
          <w:kern w:val="0"/>
          <w:sz w:val="24"/>
          <w:szCs w:val="24"/>
          <w:vertAlign w:val="subscript"/>
        </w:rPr>
        <w:t>2</w:t>
      </w:r>
      <w:r>
        <w:rPr>
          <w:rFonts w:ascii="Times New Roman" w:hAnsi="Times New Roman"/>
          <w:kern w:val="0"/>
          <w:sz w:val="24"/>
          <w:szCs w:val="24"/>
        </w:rPr>
        <w:t>、</w:t>
      </w:r>
      <w:r>
        <w:rPr>
          <w:rFonts w:ascii="Times New Roman" w:hAnsi="Times New Roman"/>
          <w:kern w:val="0"/>
          <w:sz w:val="24"/>
          <w:szCs w:val="24"/>
        </w:rPr>
        <w:t>NO</w:t>
      </w:r>
      <w:r>
        <w:rPr>
          <w:rFonts w:ascii="Times New Roman" w:hAnsi="Times New Roman"/>
          <w:kern w:val="0"/>
          <w:sz w:val="24"/>
          <w:szCs w:val="24"/>
          <w:vertAlign w:val="subscript"/>
        </w:rPr>
        <w:t>x</w:t>
      </w:r>
      <w:r>
        <w:rPr>
          <w:rFonts w:ascii="Times New Roman" w:hAnsi="Times New Roman"/>
          <w:kern w:val="0"/>
          <w:sz w:val="24"/>
          <w:szCs w:val="24"/>
        </w:rPr>
        <w:t>和</w:t>
      </w:r>
      <w:r>
        <w:rPr>
          <w:rFonts w:ascii="Times New Roman" w:hAnsi="Times New Roman"/>
          <w:kern w:val="0"/>
          <w:sz w:val="24"/>
          <w:szCs w:val="24"/>
        </w:rPr>
        <w:t>COD</w:t>
      </w:r>
      <w:r>
        <w:rPr>
          <w:rFonts w:ascii="Times New Roman" w:hAnsi="Times New Roman"/>
          <w:kern w:val="0"/>
          <w:sz w:val="24"/>
          <w:szCs w:val="24"/>
        </w:rPr>
        <w:t>、氨氮、挥发性有机物作为污染物总量控制的指标，</w:t>
      </w:r>
      <w:r>
        <w:rPr>
          <w:rFonts w:ascii="Times New Roman" w:hAnsi="Times New Roman"/>
          <w:sz w:val="24"/>
        </w:rPr>
        <w:t>本项目废水经污水</w:t>
      </w:r>
      <w:r>
        <w:rPr>
          <w:rFonts w:ascii="Times New Roman" w:hAnsi="Times New Roman"/>
          <w:sz w:val="24"/>
        </w:rPr>
        <w:lastRenderedPageBreak/>
        <w:t>处理站处理后循环使用</w:t>
      </w:r>
      <w:r>
        <w:rPr>
          <w:rFonts w:ascii="Times New Roman" w:hAnsi="Times New Roman"/>
          <w:kern w:val="0"/>
          <w:sz w:val="24"/>
          <w:szCs w:val="24"/>
        </w:rPr>
        <w:t>，故本次仅确定大气污染物</w:t>
      </w:r>
      <w:r>
        <w:rPr>
          <w:rFonts w:ascii="Times New Roman" w:hAnsi="Times New Roman"/>
          <w:kern w:val="0"/>
          <w:sz w:val="24"/>
          <w:szCs w:val="24"/>
        </w:rPr>
        <w:t>SO</w:t>
      </w:r>
      <w:r>
        <w:rPr>
          <w:rFonts w:ascii="Times New Roman" w:hAnsi="Times New Roman"/>
          <w:kern w:val="0"/>
          <w:sz w:val="24"/>
          <w:szCs w:val="24"/>
          <w:vertAlign w:val="subscript"/>
        </w:rPr>
        <w:t>2</w:t>
      </w:r>
      <w:r>
        <w:rPr>
          <w:rFonts w:ascii="Times New Roman" w:hAnsi="Times New Roman"/>
          <w:kern w:val="0"/>
          <w:sz w:val="24"/>
          <w:szCs w:val="24"/>
        </w:rPr>
        <w:t>、</w:t>
      </w:r>
      <w:r>
        <w:rPr>
          <w:rFonts w:ascii="Times New Roman" w:hAnsi="Times New Roman"/>
          <w:kern w:val="0"/>
          <w:sz w:val="24"/>
          <w:szCs w:val="24"/>
        </w:rPr>
        <w:t>NO</w:t>
      </w:r>
      <w:r>
        <w:rPr>
          <w:rFonts w:ascii="Times New Roman" w:hAnsi="Times New Roman"/>
          <w:kern w:val="0"/>
          <w:sz w:val="24"/>
          <w:szCs w:val="24"/>
          <w:vertAlign w:val="subscript"/>
        </w:rPr>
        <w:t>x</w:t>
      </w:r>
      <w:r>
        <w:rPr>
          <w:rFonts w:ascii="Times New Roman" w:hAnsi="Times New Roman"/>
          <w:kern w:val="0"/>
          <w:sz w:val="24"/>
          <w:szCs w:val="24"/>
        </w:rPr>
        <w:t>、挥发性有机物总量控制指标。</w:t>
      </w:r>
    </w:p>
    <w:p w:rsidR="00525419" w:rsidRDefault="00EE1CF7">
      <w:pPr>
        <w:pStyle w:val="3a"/>
        <w:spacing w:beforeLines="50" w:before="159" w:after="156" w:line="360" w:lineRule="auto"/>
        <w:jc w:val="left"/>
        <w:rPr>
          <w:rFonts w:ascii="Times New Roman" w:eastAsia="华文楷体" w:hAnsi="Times New Roman"/>
        </w:rPr>
      </w:pPr>
      <w:r>
        <w:rPr>
          <w:rFonts w:ascii="Times New Roman" w:eastAsia="华文楷体" w:hAnsi="Times New Roman"/>
        </w:rPr>
        <w:t>3.9.2</w:t>
      </w:r>
      <w:r>
        <w:rPr>
          <w:rFonts w:ascii="Times New Roman" w:eastAsia="华文楷体" w:hAnsi="Times New Roman"/>
        </w:rPr>
        <w:t>污染物排放总量控制指标及来源</w:t>
      </w:r>
    </w:p>
    <w:p w:rsidR="00525419" w:rsidRDefault="00EE1CF7">
      <w:pPr>
        <w:spacing w:line="360" w:lineRule="auto"/>
        <w:ind w:firstLineChars="200" w:firstLine="480"/>
        <w:rPr>
          <w:rFonts w:ascii="Times New Roman" w:hAnsi="Times New Roman"/>
          <w:sz w:val="24"/>
        </w:rPr>
      </w:pPr>
      <w:r>
        <w:rPr>
          <w:rFonts w:ascii="Times New Roman" w:hAnsi="Times New Roman"/>
          <w:sz w:val="24"/>
          <w:szCs w:val="24"/>
        </w:rPr>
        <w:t>根据《新疆美汇特石化产品有限公司</w:t>
      </w:r>
      <w:r>
        <w:rPr>
          <w:rFonts w:ascii="Times New Roman" w:hAnsi="Times New Roman"/>
          <w:sz w:val="24"/>
          <w:szCs w:val="24"/>
        </w:rPr>
        <w:t>40</w:t>
      </w:r>
      <w:r>
        <w:rPr>
          <w:rFonts w:ascii="Times New Roman" w:hAnsi="Times New Roman"/>
          <w:sz w:val="24"/>
          <w:szCs w:val="24"/>
        </w:rPr>
        <w:t>万吨</w:t>
      </w:r>
      <w:r>
        <w:rPr>
          <w:rFonts w:ascii="Times New Roman" w:hAnsi="Times New Roman"/>
          <w:sz w:val="24"/>
          <w:szCs w:val="24"/>
        </w:rPr>
        <w:t>/</w:t>
      </w:r>
      <w:r>
        <w:rPr>
          <w:rFonts w:ascii="Times New Roman" w:hAnsi="Times New Roman"/>
          <w:sz w:val="24"/>
          <w:szCs w:val="24"/>
        </w:rPr>
        <w:t>年煤焦油加氢及配套项目环境影响报告书》中总量相关内容，核定总量控制二氧</w:t>
      </w:r>
      <w:r>
        <w:rPr>
          <w:rFonts w:ascii="Times New Roman" w:hAnsi="Times New Roman"/>
          <w:sz w:val="24"/>
        </w:rPr>
        <w:t>化硫</w:t>
      </w:r>
      <w:r>
        <w:rPr>
          <w:rFonts w:ascii="Times New Roman" w:hAnsi="Times New Roman"/>
          <w:sz w:val="24"/>
        </w:rPr>
        <w:t>30.758t/a</w:t>
      </w:r>
      <w:r>
        <w:rPr>
          <w:rFonts w:ascii="Times New Roman" w:hAnsi="Times New Roman"/>
          <w:sz w:val="24"/>
        </w:rPr>
        <w:t>，氮氧化物</w:t>
      </w:r>
      <w:r>
        <w:rPr>
          <w:rFonts w:ascii="Times New Roman" w:hAnsi="Times New Roman"/>
          <w:sz w:val="24"/>
        </w:rPr>
        <w:t>99.23t/a</w:t>
      </w:r>
      <w:r>
        <w:rPr>
          <w:rFonts w:ascii="Times New Roman" w:hAnsi="Times New Roman"/>
          <w:sz w:val="24"/>
        </w:rPr>
        <w:t>，</w:t>
      </w:r>
      <w:r>
        <w:rPr>
          <w:rFonts w:ascii="Times New Roman" w:hAnsi="Times New Roman"/>
          <w:sz w:val="24"/>
        </w:rPr>
        <w:t>VOCs60.35t/a</w:t>
      </w:r>
      <w:r>
        <w:rPr>
          <w:rFonts w:ascii="Times New Roman" w:hAnsi="Times New Roman"/>
          <w:sz w:val="24"/>
        </w:rPr>
        <w:t>，变更后项目二氧化硫排放量为</w:t>
      </w:r>
      <w:r>
        <w:rPr>
          <w:rFonts w:ascii="Times New Roman" w:hAnsi="Times New Roman"/>
          <w:sz w:val="24"/>
        </w:rPr>
        <w:t>29.87t/a</w:t>
      </w:r>
      <w:r>
        <w:rPr>
          <w:rFonts w:ascii="Times New Roman" w:hAnsi="Times New Roman"/>
          <w:sz w:val="24"/>
        </w:rPr>
        <w:t>，氮氧化物排放量</w:t>
      </w:r>
      <w:r>
        <w:rPr>
          <w:rFonts w:ascii="Times New Roman" w:hAnsi="Times New Roman"/>
          <w:sz w:val="24"/>
        </w:rPr>
        <w:t>75.02t/a</w:t>
      </w:r>
      <w:r>
        <w:rPr>
          <w:rFonts w:ascii="Times New Roman" w:hAnsi="Times New Roman"/>
          <w:sz w:val="24"/>
        </w:rPr>
        <w:t>，</w:t>
      </w:r>
      <w:r>
        <w:rPr>
          <w:rFonts w:ascii="Times New Roman" w:hAnsi="Times New Roman"/>
          <w:sz w:val="24"/>
        </w:rPr>
        <w:t>VOCs</w:t>
      </w:r>
      <w:r>
        <w:rPr>
          <w:rFonts w:ascii="Times New Roman" w:hAnsi="Times New Roman"/>
          <w:sz w:val="24"/>
        </w:rPr>
        <w:t>排放量为</w:t>
      </w:r>
      <w:r>
        <w:rPr>
          <w:rFonts w:ascii="Times New Roman" w:hAnsi="Times New Roman"/>
          <w:sz w:val="24"/>
        </w:rPr>
        <w:t>54.47t/a</w:t>
      </w:r>
      <w:r>
        <w:rPr>
          <w:rFonts w:ascii="Times New Roman" w:hAnsi="Times New Roman"/>
          <w:sz w:val="24"/>
        </w:rPr>
        <w:t>，满足变更前项目总量控制指标。</w:t>
      </w:r>
    </w:p>
    <w:p w:rsidR="00525419" w:rsidRDefault="00EE1CF7">
      <w:pPr>
        <w:spacing w:line="360" w:lineRule="auto"/>
        <w:ind w:firstLineChars="200" w:firstLine="480"/>
        <w:rPr>
          <w:rFonts w:ascii="Times New Roman" w:hAnsi="Times New Roman"/>
          <w:sz w:val="24"/>
        </w:rPr>
      </w:pPr>
      <w:r>
        <w:rPr>
          <w:rFonts w:ascii="Times New Roman" w:hAnsi="Times New Roman"/>
          <w:sz w:val="24"/>
          <w:szCs w:val="24"/>
        </w:rPr>
        <w:t>根据《新疆美汇特石化产品有限公司</w:t>
      </w:r>
      <w:r>
        <w:rPr>
          <w:rFonts w:ascii="Times New Roman" w:hAnsi="Times New Roman"/>
          <w:sz w:val="24"/>
          <w:szCs w:val="24"/>
        </w:rPr>
        <w:t>140</w:t>
      </w:r>
      <w:r>
        <w:rPr>
          <w:rFonts w:ascii="Times New Roman" w:hAnsi="Times New Roman"/>
          <w:sz w:val="24"/>
          <w:szCs w:val="24"/>
        </w:rPr>
        <w:t>万吨</w:t>
      </w:r>
      <w:r>
        <w:rPr>
          <w:rFonts w:ascii="Times New Roman" w:hAnsi="Times New Roman"/>
          <w:sz w:val="24"/>
          <w:szCs w:val="24"/>
        </w:rPr>
        <w:t>/</w:t>
      </w:r>
      <w:r>
        <w:rPr>
          <w:rFonts w:ascii="Times New Roman" w:hAnsi="Times New Roman"/>
          <w:sz w:val="24"/>
          <w:szCs w:val="24"/>
        </w:rPr>
        <w:t>年高等级道路沥青及改性沥青改扩建项目总量指标的批复》新环总量函（</w:t>
      </w:r>
      <w:r>
        <w:rPr>
          <w:rFonts w:ascii="Times New Roman" w:hAnsi="Times New Roman"/>
          <w:sz w:val="24"/>
          <w:szCs w:val="24"/>
        </w:rPr>
        <w:t>2012</w:t>
      </w:r>
      <w:r>
        <w:rPr>
          <w:rFonts w:ascii="Times New Roman" w:hAnsi="Times New Roman"/>
          <w:sz w:val="24"/>
          <w:szCs w:val="24"/>
        </w:rPr>
        <w:t>）</w:t>
      </w:r>
      <w:r>
        <w:rPr>
          <w:rFonts w:ascii="Times New Roman" w:hAnsi="Times New Roman"/>
          <w:sz w:val="24"/>
          <w:szCs w:val="24"/>
        </w:rPr>
        <w:t>1298</w:t>
      </w:r>
      <w:r>
        <w:rPr>
          <w:rFonts w:ascii="Times New Roman" w:hAnsi="Times New Roman"/>
          <w:sz w:val="24"/>
          <w:szCs w:val="24"/>
        </w:rPr>
        <w:t>号文，美汇特已取得总量指标</w:t>
      </w:r>
      <w:r>
        <w:rPr>
          <w:rFonts w:ascii="Times New Roman" w:hAnsi="Times New Roman"/>
          <w:sz w:val="24"/>
          <w:szCs w:val="24"/>
        </w:rPr>
        <w:t>SO</w:t>
      </w:r>
      <w:r>
        <w:rPr>
          <w:rFonts w:ascii="Times New Roman" w:hAnsi="Times New Roman"/>
          <w:sz w:val="24"/>
          <w:szCs w:val="24"/>
          <w:vertAlign w:val="subscript"/>
        </w:rPr>
        <w:t>2</w:t>
      </w:r>
      <w:r>
        <w:rPr>
          <w:rFonts w:ascii="Times New Roman" w:hAnsi="Times New Roman"/>
          <w:sz w:val="24"/>
          <w:szCs w:val="24"/>
        </w:rPr>
        <w:t>412.03t/a</w:t>
      </w:r>
      <w:r>
        <w:rPr>
          <w:rFonts w:ascii="Times New Roman" w:hAnsi="Times New Roman"/>
          <w:sz w:val="24"/>
          <w:szCs w:val="24"/>
        </w:rPr>
        <w:t>、</w:t>
      </w:r>
      <w:r>
        <w:rPr>
          <w:rFonts w:ascii="Times New Roman" w:hAnsi="Times New Roman"/>
          <w:sz w:val="24"/>
          <w:szCs w:val="24"/>
        </w:rPr>
        <w:t>NOx589.03t/a</w:t>
      </w:r>
      <w:r>
        <w:rPr>
          <w:rFonts w:ascii="Times New Roman" w:hAnsi="Times New Roman"/>
          <w:sz w:val="24"/>
          <w:szCs w:val="24"/>
        </w:rPr>
        <w:t>，排污许可证</w:t>
      </w:r>
      <w:r>
        <w:rPr>
          <w:rFonts w:ascii="Times New Roman" w:hAnsi="Times New Roman"/>
          <w:sz w:val="24"/>
          <w:szCs w:val="24"/>
        </w:rPr>
        <w:t>VOCs</w:t>
      </w:r>
      <w:r>
        <w:rPr>
          <w:rFonts w:ascii="Times New Roman" w:hAnsi="Times New Roman"/>
          <w:sz w:val="24"/>
          <w:szCs w:val="24"/>
        </w:rPr>
        <w:t>核定排放量为</w:t>
      </w:r>
      <w:r>
        <w:rPr>
          <w:rFonts w:ascii="Times New Roman" w:hAnsi="Times New Roman"/>
          <w:sz w:val="24"/>
          <w:szCs w:val="24"/>
        </w:rPr>
        <w:t>415.3069t/a</w:t>
      </w:r>
      <w:r>
        <w:rPr>
          <w:rFonts w:ascii="Times New Roman" w:hAnsi="Times New Roman"/>
          <w:sz w:val="24"/>
          <w:szCs w:val="24"/>
        </w:rPr>
        <w:t>。变更后整个</w:t>
      </w:r>
      <w:r>
        <w:rPr>
          <w:rFonts w:ascii="Times New Roman" w:hAnsi="Times New Roman"/>
          <w:sz w:val="24"/>
        </w:rPr>
        <w:t>厂区二氧化硫排放量</w:t>
      </w:r>
      <w:r>
        <w:rPr>
          <w:rFonts w:ascii="Times New Roman" w:hAnsi="Times New Roman"/>
          <w:sz w:val="24"/>
        </w:rPr>
        <w:t>35.63t/a</w:t>
      </w:r>
      <w:r>
        <w:rPr>
          <w:rFonts w:ascii="Times New Roman" w:hAnsi="Times New Roman"/>
          <w:sz w:val="24"/>
        </w:rPr>
        <w:t>，氮氧化物</w:t>
      </w:r>
      <w:r>
        <w:rPr>
          <w:rFonts w:ascii="Times New Roman" w:hAnsi="Times New Roman"/>
          <w:sz w:val="24"/>
        </w:rPr>
        <w:t>139.78t/a</w:t>
      </w:r>
      <w:r>
        <w:rPr>
          <w:rFonts w:ascii="Times New Roman" w:hAnsi="Times New Roman"/>
          <w:sz w:val="24"/>
        </w:rPr>
        <w:t>，</w:t>
      </w:r>
      <w:r>
        <w:rPr>
          <w:rFonts w:ascii="Times New Roman" w:hAnsi="Times New Roman"/>
          <w:sz w:val="24"/>
          <w:szCs w:val="24"/>
        </w:rPr>
        <w:t>VOCs</w:t>
      </w:r>
      <w:r>
        <w:rPr>
          <w:rFonts w:ascii="Times New Roman" w:hAnsi="Times New Roman"/>
          <w:sz w:val="24"/>
          <w:szCs w:val="24"/>
        </w:rPr>
        <w:t>排放量为</w:t>
      </w:r>
      <w:r>
        <w:rPr>
          <w:rFonts w:ascii="Times New Roman" w:hAnsi="Times New Roman" w:hint="eastAsia"/>
          <w:sz w:val="24"/>
          <w:szCs w:val="24"/>
        </w:rPr>
        <w:t>236.7414</w:t>
      </w:r>
      <w:r>
        <w:rPr>
          <w:rFonts w:ascii="Times New Roman" w:hAnsi="Times New Roman"/>
          <w:sz w:val="24"/>
          <w:szCs w:val="24"/>
        </w:rPr>
        <w:t>t/a</w:t>
      </w:r>
      <w:r>
        <w:rPr>
          <w:rFonts w:ascii="Times New Roman" w:hAnsi="Times New Roman"/>
          <w:sz w:val="24"/>
          <w:szCs w:val="24"/>
        </w:rPr>
        <w:t>，</w:t>
      </w:r>
      <w:r>
        <w:rPr>
          <w:rFonts w:ascii="Times New Roman" w:hAnsi="Times New Roman"/>
          <w:sz w:val="24"/>
        </w:rPr>
        <w:t>总量指标由厂区富裕量调配。</w:t>
      </w:r>
    </w:p>
    <w:p w:rsidR="00525419" w:rsidRDefault="00525419">
      <w:pPr>
        <w:spacing w:line="360" w:lineRule="auto"/>
        <w:ind w:firstLineChars="200" w:firstLine="480"/>
        <w:rPr>
          <w:rFonts w:ascii="Times New Roman" w:hAnsi="Times New Roman"/>
          <w:sz w:val="24"/>
          <w:szCs w:val="24"/>
        </w:rPr>
      </w:pPr>
    </w:p>
    <w:p w:rsidR="00525419" w:rsidRDefault="00525419">
      <w:pPr>
        <w:spacing w:line="360" w:lineRule="auto"/>
        <w:ind w:firstLineChars="200" w:firstLine="480"/>
        <w:rPr>
          <w:rFonts w:ascii="Times New Roman" w:hAnsi="Times New Roman"/>
          <w:sz w:val="24"/>
        </w:rPr>
      </w:pPr>
    </w:p>
    <w:p w:rsidR="00525419" w:rsidRDefault="00525419">
      <w:pPr>
        <w:spacing w:line="360" w:lineRule="auto"/>
        <w:ind w:firstLineChars="200" w:firstLine="480"/>
        <w:rPr>
          <w:rFonts w:ascii="Times New Roman" w:hAnsi="Times New Roman"/>
          <w:sz w:val="24"/>
        </w:rPr>
      </w:pPr>
    </w:p>
    <w:p w:rsidR="00525419" w:rsidRDefault="00525419">
      <w:pPr>
        <w:spacing w:line="360" w:lineRule="auto"/>
        <w:ind w:firstLineChars="200" w:firstLine="480"/>
        <w:rPr>
          <w:rFonts w:ascii="Times New Roman" w:hAnsi="Times New Roman"/>
          <w:sz w:val="24"/>
        </w:rPr>
      </w:pPr>
    </w:p>
    <w:p w:rsidR="00525419" w:rsidRDefault="00525419">
      <w:pPr>
        <w:autoSpaceDE w:val="0"/>
        <w:autoSpaceDN w:val="0"/>
        <w:adjustRightInd w:val="0"/>
        <w:spacing w:line="360" w:lineRule="auto"/>
        <w:ind w:firstLineChars="200" w:firstLine="480"/>
        <w:rPr>
          <w:rFonts w:ascii="Times New Roman" w:hAnsi="Times New Roman"/>
          <w:kern w:val="0"/>
          <w:sz w:val="24"/>
          <w:szCs w:val="20"/>
        </w:rPr>
      </w:pPr>
    </w:p>
    <w:p w:rsidR="00525419" w:rsidRDefault="00525419">
      <w:pPr>
        <w:autoSpaceDE w:val="0"/>
        <w:autoSpaceDN w:val="0"/>
        <w:adjustRightInd w:val="0"/>
        <w:spacing w:line="360" w:lineRule="auto"/>
        <w:ind w:firstLineChars="200" w:firstLine="480"/>
        <w:rPr>
          <w:rFonts w:ascii="Times New Roman" w:hAnsi="Times New Roman"/>
          <w:kern w:val="0"/>
          <w:sz w:val="24"/>
          <w:szCs w:val="20"/>
        </w:rPr>
      </w:pPr>
    </w:p>
    <w:p w:rsidR="00525419" w:rsidRDefault="00EE1CF7">
      <w:pPr>
        <w:autoSpaceDE w:val="0"/>
        <w:autoSpaceDN w:val="0"/>
        <w:adjustRightInd w:val="0"/>
        <w:spacing w:line="360" w:lineRule="auto"/>
        <w:ind w:firstLineChars="200" w:firstLine="480"/>
        <w:rPr>
          <w:rFonts w:ascii="Times New Roman" w:hAnsi="Times New Roman"/>
          <w:kern w:val="0"/>
          <w:sz w:val="24"/>
          <w:szCs w:val="20"/>
        </w:rPr>
      </w:pPr>
      <w:r>
        <w:rPr>
          <w:rFonts w:ascii="Times New Roman" w:hAnsi="Times New Roman"/>
          <w:kern w:val="0"/>
          <w:sz w:val="24"/>
          <w:szCs w:val="20"/>
        </w:rPr>
        <w:br w:type="page"/>
      </w:r>
    </w:p>
    <w:p w:rsidR="00525419" w:rsidRDefault="00EE1CF7">
      <w:pPr>
        <w:pStyle w:val="1a"/>
        <w:spacing w:before="120" w:after="0" w:line="360" w:lineRule="auto"/>
        <w:jc w:val="center"/>
        <w:rPr>
          <w:rFonts w:ascii="Times New Roman" w:eastAsia="楷体_GB2312" w:hAnsi="Times New Roman"/>
        </w:rPr>
      </w:pPr>
      <w:bookmarkStart w:id="71" w:name="_Toc8673"/>
      <w:r>
        <w:rPr>
          <w:rFonts w:ascii="Times New Roman" w:eastAsia="楷体_GB2312" w:hAnsi="Times New Roman"/>
        </w:rPr>
        <w:lastRenderedPageBreak/>
        <w:t>4</w:t>
      </w:r>
      <w:r>
        <w:rPr>
          <w:rFonts w:ascii="Times New Roman" w:eastAsia="楷体_GB2312" w:hAnsi="Times New Roman"/>
        </w:rPr>
        <w:t>环境现状调查与评价</w:t>
      </w:r>
      <w:bookmarkEnd w:id="71"/>
    </w:p>
    <w:p w:rsidR="00525419" w:rsidRDefault="00EE1CF7">
      <w:pPr>
        <w:pStyle w:val="2a"/>
        <w:spacing w:beforeLines="50" w:before="159" w:after="159"/>
        <w:ind w:left="578" w:hanging="578"/>
        <w:rPr>
          <w:rFonts w:ascii="Times New Roman" w:eastAsia="楷体_GB2312" w:hAnsi="Times New Roman"/>
          <w:sz w:val="36"/>
        </w:rPr>
      </w:pPr>
      <w:bookmarkStart w:id="72" w:name="_Toc29661"/>
      <w:r>
        <w:rPr>
          <w:rFonts w:ascii="Times New Roman" w:eastAsia="楷体_GB2312" w:hAnsi="Times New Roman"/>
          <w:sz w:val="36"/>
        </w:rPr>
        <w:t xml:space="preserve">4.1 </w:t>
      </w:r>
      <w:r>
        <w:rPr>
          <w:rFonts w:ascii="Times New Roman" w:eastAsia="楷体_GB2312" w:hAnsi="Times New Roman"/>
          <w:sz w:val="36"/>
        </w:rPr>
        <w:t>自然环境现状调查</w:t>
      </w:r>
      <w:bookmarkEnd w:id="63"/>
      <w:bookmarkEnd w:id="64"/>
      <w:bookmarkEnd w:id="65"/>
      <w:bookmarkEnd w:id="66"/>
      <w:bookmarkEnd w:id="67"/>
      <w:bookmarkEnd w:id="72"/>
    </w:p>
    <w:p w:rsidR="00525419" w:rsidRDefault="00EE1CF7">
      <w:pPr>
        <w:pStyle w:val="3a"/>
        <w:spacing w:beforeLines="50" w:before="159" w:after="156" w:line="360" w:lineRule="auto"/>
        <w:jc w:val="left"/>
        <w:rPr>
          <w:rFonts w:ascii="Times New Roman" w:eastAsia="华文楷体" w:hAnsi="Times New Roman"/>
        </w:rPr>
      </w:pPr>
      <w:r>
        <w:rPr>
          <w:rFonts w:ascii="Times New Roman" w:eastAsia="华文楷体" w:hAnsi="Times New Roman"/>
        </w:rPr>
        <w:t>4.1.1</w:t>
      </w:r>
      <w:r>
        <w:rPr>
          <w:rFonts w:ascii="Times New Roman" w:eastAsia="华文楷体" w:hAnsi="Times New Roman"/>
        </w:rPr>
        <w:t>地理位置</w:t>
      </w:r>
      <w:bookmarkEnd w:id="68"/>
    </w:p>
    <w:p w:rsidR="00525419" w:rsidRDefault="00EE1CF7">
      <w:pPr>
        <w:pStyle w:val="a2"/>
        <w:spacing w:line="360" w:lineRule="auto"/>
        <w:ind w:firstLine="480"/>
        <w:jc w:val="both"/>
        <w:rPr>
          <w:rFonts w:eastAsia="宋体"/>
          <w:sz w:val="24"/>
          <w:szCs w:val="24"/>
        </w:rPr>
      </w:pPr>
      <w:bookmarkStart w:id="73" w:name="OLE_LINK11"/>
      <w:bookmarkStart w:id="74" w:name="OLE_LINK12"/>
      <w:r>
        <w:rPr>
          <w:rFonts w:eastAsia="宋体"/>
          <w:sz w:val="24"/>
          <w:szCs w:val="24"/>
        </w:rPr>
        <w:t>鄯善县位于新疆维吾尔自治区天山东段博格达山南麓的吐鲁番盆地东部，西距吐鲁番</w:t>
      </w:r>
      <w:r>
        <w:rPr>
          <w:rFonts w:eastAsia="宋体"/>
          <w:sz w:val="24"/>
          <w:szCs w:val="24"/>
        </w:rPr>
        <w:t>90km</w:t>
      </w:r>
      <w:r>
        <w:rPr>
          <w:rFonts w:eastAsia="宋体"/>
          <w:sz w:val="24"/>
          <w:szCs w:val="24"/>
        </w:rPr>
        <w:t>，距乌鲁木齐</w:t>
      </w:r>
      <w:r>
        <w:rPr>
          <w:rFonts w:eastAsia="宋体"/>
          <w:sz w:val="24"/>
          <w:szCs w:val="24"/>
        </w:rPr>
        <w:t>280km</w:t>
      </w:r>
      <w:r>
        <w:rPr>
          <w:rFonts w:eastAsia="宋体"/>
          <w:sz w:val="24"/>
          <w:szCs w:val="24"/>
        </w:rPr>
        <w:t>，其地理位置为：北纬</w:t>
      </w:r>
      <w:r>
        <w:rPr>
          <w:rFonts w:eastAsia="宋体"/>
          <w:sz w:val="24"/>
          <w:szCs w:val="24"/>
        </w:rPr>
        <w:t>41°12´</w:t>
      </w:r>
      <w:r>
        <w:rPr>
          <w:rFonts w:eastAsia="宋体"/>
          <w:sz w:val="24"/>
          <w:szCs w:val="24"/>
        </w:rPr>
        <w:t>～</w:t>
      </w:r>
      <w:r>
        <w:rPr>
          <w:rFonts w:eastAsia="宋体"/>
          <w:sz w:val="24"/>
          <w:szCs w:val="24"/>
        </w:rPr>
        <w:t>43°33´</w:t>
      </w:r>
      <w:r>
        <w:rPr>
          <w:rFonts w:eastAsia="宋体"/>
          <w:sz w:val="24"/>
          <w:szCs w:val="24"/>
        </w:rPr>
        <w:t>、东经</w:t>
      </w:r>
      <w:r>
        <w:rPr>
          <w:rFonts w:eastAsia="宋体"/>
          <w:sz w:val="24"/>
          <w:szCs w:val="24"/>
        </w:rPr>
        <w:t>89°30´</w:t>
      </w:r>
      <w:r>
        <w:rPr>
          <w:rFonts w:eastAsia="宋体"/>
          <w:sz w:val="24"/>
          <w:szCs w:val="24"/>
        </w:rPr>
        <w:t>～</w:t>
      </w:r>
      <w:r>
        <w:rPr>
          <w:rFonts w:eastAsia="宋体"/>
          <w:sz w:val="24"/>
          <w:szCs w:val="24"/>
        </w:rPr>
        <w:t>91°54´</w:t>
      </w:r>
      <w:r>
        <w:rPr>
          <w:rFonts w:eastAsia="宋体"/>
          <w:sz w:val="24"/>
          <w:szCs w:val="24"/>
        </w:rPr>
        <w:t>，北与木垒县、奇台县为邻，东经七克台镇连接哈密市七角井乡，西部吐峪沟苏贝希村与吐鲁番市胜金乡接壤，南部经南湖戈壁至觉罗塔格与若羌县、尉犁县为界。全县辖</w:t>
      </w:r>
      <w:r>
        <w:rPr>
          <w:rFonts w:eastAsia="宋体"/>
          <w:sz w:val="24"/>
          <w:szCs w:val="24"/>
        </w:rPr>
        <w:t>5</w:t>
      </w:r>
      <w:r>
        <w:rPr>
          <w:rFonts w:eastAsia="宋体"/>
          <w:sz w:val="24"/>
          <w:szCs w:val="24"/>
        </w:rPr>
        <w:t>乡</w:t>
      </w:r>
      <w:r>
        <w:rPr>
          <w:rFonts w:eastAsia="宋体"/>
          <w:sz w:val="24"/>
          <w:szCs w:val="24"/>
        </w:rPr>
        <w:t>5</w:t>
      </w:r>
      <w:r>
        <w:rPr>
          <w:rFonts w:eastAsia="宋体"/>
          <w:sz w:val="24"/>
          <w:szCs w:val="24"/>
        </w:rPr>
        <w:t>镇</w:t>
      </w:r>
      <w:r>
        <w:rPr>
          <w:rFonts w:eastAsia="宋体"/>
          <w:sz w:val="24"/>
          <w:szCs w:val="24"/>
        </w:rPr>
        <w:t>1</w:t>
      </w:r>
      <w:r>
        <w:rPr>
          <w:rFonts w:eastAsia="宋体"/>
          <w:sz w:val="24"/>
          <w:szCs w:val="24"/>
        </w:rPr>
        <w:t>场，总面积</w:t>
      </w:r>
      <w:r>
        <w:rPr>
          <w:rFonts w:eastAsia="宋体"/>
          <w:sz w:val="24"/>
          <w:szCs w:val="24"/>
        </w:rPr>
        <w:t>39800km</w:t>
      </w:r>
      <w:r>
        <w:rPr>
          <w:rFonts w:eastAsia="宋体"/>
          <w:sz w:val="24"/>
          <w:szCs w:val="24"/>
          <w:vertAlign w:val="superscript"/>
        </w:rPr>
        <w:t>2</w:t>
      </w:r>
      <w:r>
        <w:rPr>
          <w:rFonts w:eastAsia="宋体"/>
          <w:sz w:val="24"/>
          <w:szCs w:val="24"/>
        </w:rPr>
        <w:t>。</w:t>
      </w:r>
    </w:p>
    <w:bookmarkEnd w:id="73"/>
    <w:bookmarkEnd w:id="74"/>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新疆鄯善高新技术产业开发区（鄯善工业园区）规划范围西至吐哈西路，东至化金路，北至天山路（鄯木公路联络线），南至兰新铁路二线，南北长约</w:t>
      </w:r>
      <w:r>
        <w:rPr>
          <w:rFonts w:ascii="Times New Roman" w:hAnsi="Times New Roman"/>
          <w:sz w:val="24"/>
          <w:szCs w:val="24"/>
        </w:rPr>
        <w:t>14km</w:t>
      </w:r>
      <w:r>
        <w:rPr>
          <w:rFonts w:ascii="Times New Roman" w:hAnsi="Times New Roman"/>
          <w:sz w:val="24"/>
          <w:szCs w:val="24"/>
        </w:rPr>
        <w:t>，东西长约</w:t>
      </w:r>
      <w:r>
        <w:rPr>
          <w:rFonts w:ascii="Times New Roman" w:hAnsi="Times New Roman"/>
          <w:sz w:val="24"/>
          <w:szCs w:val="24"/>
        </w:rPr>
        <w:t>20km</w:t>
      </w:r>
      <w:r>
        <w:rPr>
          <w:rFonts w:ascii="Times New Roman" w:hAnsi="Times New Roman"/>
          <w:sz w:val="24"/>
          <w:szCs w:val="24"/>
        </w:rPr>
        <w:t>，总面积约为</w:t>
      </w:r>
      <w:r>
        <w:rPr>
          <w:rFonts w:ascii="Times New Roman" w:hAnsi="Times New Roman"/>
          <w:sz w:val="24"/>
          <w:szCs w:val="24"/>
        </w:rPr>
        <w:t>131.56km</w:t>
      </w:r>
      <w:r>
        <w:rPr>
          <w:rFonts w:ascii="Times New Roman" w:hAnsi="Times New Roman"/>
          <w:sz w:val="24"/>
          <w:szCs w:val="24"/>
          <w:vertAlign w:val="superscript"/>
        </w:rPr>
        <w:t>2</w:t>
      </w:r>
      <w:r>
        <w:rPr>
          <w:rFonts w:ascii="Times New Roman" w:hAnsi="Times New Roman"/>
          <w:sz w:val="24"/>
          <w:szCs w:val="24"/>
        </w:rPr>
        <w:t>。到</w:t>
      </w:r>
      <w:r>
        <w:rPr>
          <w:rFonts w:ascii="Times New Roman" w:hAnsi="Times New Roman"/>
          <w:sz w:val="24"/>
          <w:szCs w:val="24"/>
        </w:rPr>
        <w:t>2030</w:t>
      </w:r>
      <w:r>
        <w:rPr>
          <w:rFonts w:ascii="Times New Roman" w:hAnsi="Times New Roman"/>
          <w:sz w:val="24"/>
          <w:szCs w:val="24"/>
        </w:rPr>
        <w:t>年，规划建设用地总面积约</w:t>
      </w:r>
      <w:r>
        <w:rPr>
          <w:rFonts w:ascii="Times New Roman" w:hAnsi="Times New Roman"/>
          <w:sz w:val="24"/>
          <w:szCs w:val="24"/>
        </w:rPr>
        <w:t>64.72 km</w:t>
      </w:r>
      <w:r>
        <w:rPr>
          <w:rFonts w:ascii="Times New Roman" w:hAnsi="Times New Roman"/>
          <w:sz w:val="24"/>
          <w:szCs w:val="24"/>
          <w:vertAlign w:val="superscript"/>
        </w:rPr>
        <w:t>2</w:t>
      </w:r>
      <w:r>
        <w:rPr>
          <w:rFonts w:ascii="Times New Roman" w:hAnsi="Times New Roman"/>
          <w:sz w:val="24"/>
          <w:szCs w:val="24"/>
        </w:rPr>
        <w:t>。</w:t>
      </w:r>
    </w:p>
    <w:p w:rsidR="00525419" w:rsidRDefault="00EE1CF7">
      <w:pPr>
        <w:spacing w:line="360" w:lineRule="auto"/>
        <w:ind w:firstLineChars="200" w:firstLine="480"/>
        <w:rPr>
          <w:rFonts w:ascii="Times New Roman" w:hAnsi="Times New Roman"/>
          <w:snapToGrid w:val="0"/>
          <w:kern w:val="0"/>
          <w:sz w:val="24"/>
          <w:szCs w:val="24"/>
        </w:rPr>
      </w:pPr>
      <w:r>
        <w:rPr>
          <w:rFonts w:ascii="Times New Roman" w:hAnsi="Times New Roman"/>
          <w:sz w:val="24"/>
          <w:szCs w:val="24"/>
        </w:rPr>
        <w:t>本项目位于鄯善高新技术产业开发区（鄯善工业园区）石化产业园，厂址中心地理坐标为</w:t>
      </w:r>
      <w:r>
        <w:rPr>
          <w:rFonts w:ascii="Times New Roman" w:hAnsi="Times New Roman"/>
          <w:sz w:val="24"/>
          <w:szCs w:val="24"/>
        </w:rPr>
        <w:t>E90°27'46.24"</w:t>
      </w:r>
      <w:r>
        <w:rPr>
          <w:rFonts w:ascii="Times New Roman" w:hAnsi="Times New Roman"/>
          <w:sz w:val="24"/>
          <w:szCs w:val="24"/>
        </w:rPr>
        <w:t>，</w:t>
      </w:r>
      <w:r>
        <w:rPr>
          <w:rFonts w:ascii="Times New Roman" w:hAnsi="Times New Roman"/>
          <w:sz w:val="24"/>
          <w:szCs w:val="24"/>
        </w:rPr>
        <w:t>N43°3'33.20"</w:t>
      </w:r>
      <w:r>
        <w:rPr>
          <w:rFonts w:ascii="Times New Roman" w:hAnsi="Times New Roman"/>
          <w:sz w:val="24"/>
          <w:szCs w:val="24"/>
        </w:rPr>
        <w:t>。</w:t>
      </w:r>
      <w:r>
        <w:rPr>
          <w:rFonts w:ascii="Times New Roman" w:hAnsi="Times New Roman" w:hint="eastAsia"/>
          <w:snapToGrid w:val="0"/>
          <w:kern w:val="0"/>
          <w:sz w:val="24"/>
          <w:szCs w:val="24"/>
        </w:rPr>
        <w:t>本项目</w:t>
      </w:r>
      <w:r>
        <w:rPr>
          <w:rFonts w:ascii="Times New Roman" w:hAnsi="Times New Roman"/>
          <w:snapToGrid w:val="0"/>
          <w:kern w:val="0"/>
          <w:sz w:val="24"/>
          <w:szCs w:val="24"/>
        </w:rPr>
        <w:t>东侧</w:t>
      </w:r>
      <w:r>
        <w:rPr>
          <w:rFonts w:ascii="Times New Roman" w:hAnsi="Times New Roman" w:hint="eastAsia"/>
          <w:snapToGrid w:val="0"/>
          <w:kern w:val="0"/>
          <w:sz w:val="24"/>
          <w:szCs w:val="24"/>
        </w:rPr>
        <w:t>70m</w:t>
      </w:r>
      <w:r>
        <w:rPr>
          <w:rFonts w:ascii="Times New Roman" w:hAnsi="Times New Roman"/>
          <w:snapToGrid w:val="0"/>
          <w:kern w:val="0"/>
          <w:sz w:val="24"/>
          <w:szCs w:val="24"/>
        </w:rPr>
        <w:t>为</w:t>
      </w:r>
      <w:r>
        <w:rPr>
          <w:rFonts w:ascii="Times New Roman" w:hAnsi="Times New Roman" w:hint="eastAsia"/>
          <w:snapToGrid w:val="0"/>
          <w:kern w:val="0"/>
          <w:sz w:val="24"/>
          <w:szCs w:val="24"/>
        </w:rPr>
        <w:t>久</w:t>
      </w:r>
      <w:r>
        <w:rPr>
          <w:rFonts w:ascii="Times New Roman" w:hAnsi="Times New Roman"/>
          <w:snapToGrid w:val="0"/>
          <w:kern w:val="0"/>
          <w:sz w:val="24"/>
          <w:szCs w:val="24"/>
        </w:rPr>
        <w:t>隆源公司装置区，南侧为化工园区的道路，西侧</w:t>
      </w:r>
      <w:r>
        <w:rPr>
          <w:rFonts w:ascii="Times New Roman" w:hAnsi="Times New Roman" w:hint="eastAsia"/>
          <w:snapToGrid w:val="0"/>
          <w:kern w:val="0"/>
          <w:sz w:val="24"/>
          <w:szCs w:val="24"/>
        </w:rPr>
        <w:t>为空地，北侧为</w:t>
      </w:r>
      <w:r>
        <w:rPr>
          <w:rFonts w:ascii="Times New Roman" w:hAnsi="Times New Roman" w:hint="eastAsia"/>
          <w:snapToGrid w:val="0"/>
          <w:kern w:val="0"/>
          <w:sz w:val="24"/>
          <w:szCs w:val="24"/>
        </w:rPr>
        <w:t>450m</w:t>
      </w:r>
      <w:r>
        <w:rPr>
          <w:rFonts w:ascii="Times New Roman" w:hAnsi="Times New Roman" w:hint="eastAsia"/>
          <w:snapToGrid w:val="0"/>
          <w:kern w:val="0"/>
          <w:sz w:val="24"/>
          <w:szCs w:val="24"/>
        </w:rPr>
        <w:t>为吐哈油田甲醇厂</w:t>
      </w:r>
      <w:r>
        <w:rPr>
          <w:rFonts w:ascii="Times New Roman" w:hAnsi="Times New Roman"/>
          <w:snapToGrid w:val="0"/>
          <w:kern w:val="0"/>
          <w:sz w:val="24"/>
          <w:szCs w:val="24"/>
        </w:rPr>
        <w:t>。项目地理位置见图</w:t>
      </w:r>
      <w:r>
        <w:rPr>
          <w:rFonts w:ascii="Times New Roman" w:hAnsi="Times New Roman"/>
          <w:snapToGrid w:val="0"/>
          <w:kern w:val="0"/>
          <w:sz w:val="24"/>
          <w:szCs w:val="24"/>
        </w:rPr>
        <w:t>4.1-1</w:t>
      </w:r>
      <w:r>
        <w:rPr>
          <w:rFonts w:ascii="Times New Roman" w:hAnsi="Times New Roman" w:hint="eastAsia"/>
          <w:snapToGrid w:val="0"/>
          <w:kern w:val="0"/>
          <w:sz w:val="24"/>
          <w:szCs w:val="24"/>
        </w:rPr>
        <w:t>，</w:t>
      </w:r>
      <w:r>
        <w:rPr>
          <w:rFonts w:ascii="Times New Roman" w:hAnsi="Times New Roman"/>
          <w:snapToGrid w:val="0"/>
          <w:kern w:val="0"/>
          <w:sz w:val="24"/>
          <w:szCs w:val="24"/>
        </w:rPr>
        <w:t>所在园区示意位置见图</w:t>
      </w:r>
      <w:r>
        <w:rPr>
          <w:rFonts w:ascii="Times New Roman" w:hAnsi="Times New Roman"/>
          <w:snapToGrid w:val="0"/>
          <w:kern w:val="0"/>
          <w:sz w:val="24"/>
          <w:szCs w:val="24"/>
        </w:rPr>
        <w:t>4.1-2</w:t>
      </w:r>
      <w:r>
        <w:rPr>
          <w:rFonts w:ascii="Times New Roman" w:hAnsi="Times New Roman"/>
          <w:snapToGrid w:val="0"/>
          <w:kern w:val="0"/>
          <w:sz w:val="24"/>
          <w:szCs w:val="24"/>
        </w:rPr>
        <w:t>。</w:t>
      </w:r>
    </w:p>
    <w:p w:rsidR="00525419" w:rsidRDefault="00EE1CF7">
      <w:pPr>
        <w:pStyle w:val="3a"/>
        <w:spacing w:beforeLines="50" w:before="159" w:after="156" w:line="360" w:lineRule="auto"/>
        <w:jc w:val="left"/>
        <w:rPr>
          <w:rFonts w:ascii="Times New Roman" w:eastAsia="华文楷体" w:hAnsi="Times New Roman"/>
        </w:rPr>
      </w:pPr>
      <w:r>
        <w:rPr>
          <w:rFonts w:ascii="Times New Roman" w:eastAsia="华文楷体" w:hAnsi="Times New Roman"/>
        </w:rPr>
        <w:t>4.1.2</w:t>
      </w:r>
      <w:r>
        <w:rPr>
          <w:rFonts w:ascii="Times New Roman" w:eastAsia="华文楷体" w:hAnsi="Times New Roman"/>
        </w:rPr>
        <w:t>地形地貌</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鄯善高新技术产业开发区（鄯善工业园区）位于火焰山以北，吐哈盆地的北侧，属天山系古老的山麓倾斜淤积平原，坎尔其河冲洪积扇西侧中部，地形开阔，全境海拔</w:t>
      </w:r>
      <w:r>
        <w:rPr>
          <w:rFonts w:ascii="Times New Roman" w:hAnsi="Times New Roman"/>
          <w:sz w:val="24"/>
          <w:szCs w:val="24"/>
        </w:rPr>
        <w:t>700</w:t>
      </w:r>
      <w:r>
        <w:rPr>
          <w:rFonts w:ascii="Times New Roman" w:hAnsi="Times New Roman"/>
          <w:sz w:val="24"/>
          <w:szCs w:val="24"/>
        </w:rPr>
        <w:t>～</w:t>
      </w:r>
      <w:r>
        <w:rPr>
          <w:rFonts w:ascii="Times New Roman" w:hAnsi="Times New Roman"/>
          <w:sz w:val="24"/>
          <w:szCs w:val="24"/>
        </w:rPr>
        <w:t>800m</w:t>
      </w:r>
      <w:r>
        <w:rPr>
          <w:rFonts w:ascii="Times New Roman" w:hAnsi="Times New Roman"/>
          <w:sz w:val="24"/>
          <w:szCs w:val="24"/>
        </w:rPr>
        <w:t>之间，地势西北高东南低，坡降为</w:t>
      </w:r>
      <w:r>
        <w:rPr>
          <w:rFonts w:ascii="Times New Roman" w:hAnsi="Times New Roman"/>
          <w:sz w:val="24"/>
          <w:szCs w:val="24"/>
        </w:rPr>
        <w:t>29‰</w:t>
      </w:r>
      <w:r>
        <w:rPr>
          <w:rFonts w:ascii="Times New Roman" w:hAnsi="Times New Roman"/>
          <w:sz w:val="24"/>
          <w:szCs w:val="24"/>
        </w:rPr>
        <w:t>左右，东西向坡降约为</w:t>
      </w:r>
      <w:r>
        <w:rPr>
          <w:rFonts w:ascii="Times New Roman" w:hAnsi="Times New Roman"/>
          <w:sz w:val="24"/>
          <w:szCs w:val="24"/>
        </w:rPr>
        <w:t>3‰</w:t>
      </w:r>
      <w:r>
        <w:rPr>
          <w:rFonts w:ascii="Times New Roman" w:hAnsi="Times New Roman"/>
          <w:sz w:val="24"/>
          <w:szCs w:val="24"/>
        </w:rPr>
        <w:t>左右。镇域所在的冲洪积扇宽广无垠，属干燥地貌或堆积地貌。北靠博格达山，海拔最高</w:t>
      </w:r>
      <w:r>
        <w:rPr>
          <w:rFonts w:ascii="Times New Roman" w:hAnsi="Times New Roman"/>
          <w:sz w:val="24"/>
          <w:szCs w:val="24"/>
        </w:rPr>
        <w:t>3483m</w:t>
      </w:r>
      <w:r>
        <w:rPr>
          <w:rFonts w:ascii="Times New Roman" w:hAnsi="Times New Roman"/>
          <w:sz w:val="24"/>
          <w:szCs w:val="24"/>
        </w:rPr>
        <w:t>，向西南至鄯善县城，地势降至海拔</w:t>
      </w:r>
      <w:r>
        <w:rPr>
          <w:rFonts w:ascii="Times New Roman" w:hAnsi="Times New Roman"/>
          <w:sz w:val="24"/>
          <w:szCs w:val="24"/>
        </w:rPr>
        <w:t>400m</w:t>
      </w:r>
      <w:r>
        <w:rPr>
          <w:rFonts w:ascii="Times New Roman" w:hAnsi="Times New Roman"/>
          <w:sz w:val="24"/>
          <w:szCs w:val="24"/>
        </w:rPr>
        <w:t>以下。</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本项目</w:t>
      </w:r>
      <w:r>
        <w:rPr>
          <w:rFonts w:ascii="Times New Roman" w:hAnsi="Times New Roman" w:hint="eastAsia"/>
          <w:sz w:val="24"/>
          <w:szCs w:val="24"/>
        </w:rPr>
        <w:t>周围</w:t>
      </w:r>
      <w:r>
        <w:rPr>
          <w:rFonts w:ascii="Times New Roman" w:hAnsi="Times New Roman"/>
          <w:sz w:val="24"/>
          <w:szCs w:val="24"/>
        </w:rPr>
        <w:t>地势平坦，海拔</w:t>
      </w:r>
      <w:r>
        <w:rPr>
          <w:rFonts w:ascii="Times New Roman" w:hAnsi="Times New Roman"/>
          <w:sz w:val="24"/>
          <w:szCs w:val="24"/>
        </w:rPr>
        <w:t>670m</w:t>
      </w:r>
      <w:r>
        <w:rPr>
          <w:rFonts w:ascii="Times New Roman" w:hAnsi="Times New Roman"/>
          <w:sz w:val="24"/>
          <w:szCs w:val="24"/>
        </w:rPr>
        <w:t>。</w:t>
      </w:r>
    </w:p>
    <w:p w:rsidR="00525419" w:rsidRDefault="00525419">
      <w:pPr>
        <w:spacing w:line="360" w:lineRule="auto"/>
        <w:ind w:firstLineChars="200" w:firstLine="480"/>
        <w:rPr>
          <w:rFonts w:ascii="Times New Roman" w:hAnsi="Times New Roman"/>
          <w:sz w:val="24"/>
          <w:szCs w:val="24"/>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sectPr w:rsidR="00525419">
          <w:pgSz w:w="11906" w:h="16838"/>
          <w:pgMar w:top="1440" w:right="1803" w:bottom="1440" w:left="1803" w:header="851" w:footer="992" w:gutter="0"/>
          <w:cols w:space="0"/>
          <w:docGrid w:type="lines" w:linePitch="319"/>
        </w:sect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EE1CF7">
      <w:pPr>
        <w:jc w:val="center"/>
        <w:rPr>
          <w:rFonts w:ascii="Times New Roman" w:hAnsi="Times New Roman"/>
        </w:rPr>
      </w:pPr>
      <w:r>
        <w:rPr>
          <w:rFonts w:ascii="Times New Roman" w:hAnsi="Times New Roman"/>
          <w:b/>
          <w:sz w:val="24"/>
          <w:szCs w:val="24"/>
        </w:rPr>
        <w:t>图</w:t>
      </w:r>
      <w:r>
        <w:rPr>
          <w:rFonts w:ascii="Times New Roman" w:hAnsi="Times New Roman"/>
          <w:b/>
          <w:sz w:val="24"/>
          <w:szCs w:val="24"/>
        </w:rPr>
        <w:t>4.1-1</w:t>
      </w:r>
      <w:r>
        <w:rPr>
          <w:rFonts w:ascii="Times New Roman" w:hAnsi="Times New Roman"/>
          <w:b/>
          <w:sz w:val="24"/>
          <w:szCs w:val="24"/>
        </w:rPr>
        <w:t xml:space="preserve">　　项目地理位置示意图</w:t>
      </w: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EE1CF7">
      <w:pPr>
        <w:jc w:val="center"/>
        <w:rPr>
          <w:rFonts w:ascii="Times New Roman" w:hAnsi="Times New Roman"/>
          <w:b/>
          <w:sz w:val="24"/>
          <w:szCs w:val="24"/>
        </w:rPr>
      </w:pPr>
      <w:r>
        <w:rPr>
          <w:rFonts w:ascii="Times New Roman" w:hAnsi="Times New Roman"/>
          <w:b/>
          <w:sz w:val="24"/>
          <w:szCs w:val="24"/>
        </w:rPr>
        <w:t>图</w:t>
      </w:r>
      <w:r>
        <w:rPr>
          <w:rFonts w:ascii="Times New Roman" w:hAnsi="Times New Roman"/>
          <w:b/>
          <w:sz w:val="24"/>
          <w:szCs w:val="24"/>
        </w:rPr>
        <w:t>4.1-2</w:t>
      </w:r>
      <w:r>
        <w:rPr>
          <w:rFonts w:ascii="Times New Roman" w:hAnsi="Times New Roman"/>
          <w:b/>
          <w:sz w:val="24"/>
          <w:szCs w:val="24"/>
        </w:rPr>
        <w:t xml:space="preserve">　　　项目所在园区位置示意图</w:t>
      </w:r>
    </w:p>
    <w:p w:rsidR="00525419" w:rsidRDefault="00525419">
      <w:pPr>
        <w:rPr>
          <w:rFonts w:ascii="Times New Roman" w:hAnsi="Times New Roman"/>
        </w:rPr>
        <w:sectPr w:rsidR="00525419">
          <w:pgSz w:w="16838" w:h="11906" w:orient="landscape"/>
          <w:pgMar w:top="1803" w:right="1440" w:bottom="1803" w:left="1440" w:header="851" w:footer="992" w:gutter="0"/>
          <w:cols w:space="0"/>
          <w:docGrid w:type="lines" w:linePitch="319"/>
        </w:sectPr>
      </w:pPr>
    </w:p>
    <w:p w:rsidR="00525419" w:rsidRDefault="00EE1CF7">
      <w:pPr>
        <w:pStyle w:val="3a"/>
        <w:spacing w:beforeLines="50" w:before="159" w:after="156" w:line="360" w:lineRule="auto"/>
        <w:jc w:val="left"/>
        <w:rPr>
          <w:rFonts w:ascii="Times New Roman" w:eastAsia="华文楷体" w:hAnsi="Times New Roman"/>
        </w:rPr>
      </w:pPr>
      <w:bookmarkStart w:id="75" w:name="_Toc344107011"/>
      <w:r>
        <w:rPr>
          <w:rFonts w:ascii="Times New Roman" w:eastAsia="华文楷体" w:hAnsi="Times New Roman"/>
        </w:rPr>
        <w:lastRenderedPageBreak/>
        <w:t>4.1.3</w:t>
      </w:r>
      <w:r>
        <w:rPr>
          <w:rFonts w:ascii="Times New Roman" w:eastAsia="华文楷体" w:hAnsi="Times New Roman"/>
        </w:rPr>
        <w:t>地质条件</w:t>
      </w:r>
      <w:bookmarkEnd w:id="75"/>
    </w:p>
    <w:p w:rsidR="00525419" w:rsidRDefault="00EE1CF7">
      <w:pPr>
        <w:spacing w:line="360" w:lineRule="auto"/>
        <w:ind w:firstLineChars="200" w:firstLine="480"/>
        <w:rPr>
          <w:rFonts w:ascii="Times New Roman" w:hAnsi="Times New Roman"/>
          <w:sz w:val="24"/>
        </w:rPr>
      </w:pPr>
      <w:r>
        <w:rPr>
          <w:rFonts w:ascii="Times New Roman" w:hAnsi="Times New Roman"/>
          <w:sz w:val="24"/>
          <w:szCs w:val="24"/>
        </w:rPr>
        <w:t>鄯善高新技术产业开发区（鄯善工业园区）</w:t>
      </w:r>
      <w:r>
        <w:rPr>
          <w:rFonts w:ascii="Times New Roman" w:hAnsi="Times New Roman"/>
          <w:sz w:val="24"/>
        </w:rPr>
        <w:t>地表为第四系堆积层覆盖，出露地层主要有新生界沉积岩。地质年代为新生代第四纪淤积平原，以第四系上更新</w:t>
      </w:r>
      <w:r>
        <w:rPr>
          <w:rFonts w:ascii="Times New Roman" w:hAnsi="Times New Roman"/>
          <w:sz w:val="24"/>
        </w:rPr>
        <w:t>-</w:t>
      </w:r>
      <w:r>
        <w:rPr>
          <w:rFonts w:ascii="Times New Roman" w:hAnsi="Times New Roman"/>
          <w:sz w:val="24"/>
        </w:rPr>
        <w:t>全新统冲积、洪积及湖积的松散地层为主。地质条件为密集型的砂砾戈壁。南部火焰山丘陵地带分布有侏罗系、白垩系及第三纪地层，面积不大，岩性为杂色砂岩、砾岩、泥岩、砂质泥岩、泥岩与砂岩互层、泥岩与砾岩互层等，侏罗系下统为含煤层。在该区域内，第四系对地下水的形成分布至关重要，第四系沉积物由北向南，由山前向盆地中心分布，在成因上呈现洪积</w:t>
      </w:r>
      <w:r>
        <w:rPr>
          <w:rFonts w:ascii="Times New Roman" w:hAnsi="Times New Roman"/>
          <w:sz w:val="24"/>
        </w:rPr>
        <w:t>——</w:t>
      </w:r>
      <w:r>
        <w:rPr>
          <w:rFonts w:ascii="Times New Roman" w:hAnsi="Times New Roman"/>
          <w:sz w:val="24"/>
        </w:rPr>
        <w:t>冲洪积；在岩性上为卵砾石</w:t>
      </w:r>
      <w:r>
        <w:rPr>
          <w:rFonts w:ascii="Times New Roman" w:hAnsi="Times New Roman"/>
          <w:sz w:val="24"/>
        </w:rPr>
        <w:t>——</w:t>
      </w:r>
      <w:r>
        <w:rPr>
          <w:rFonts w:ascii="Times New Roman" w:hAnsi="Times New Roman"/>
          <w:sz w:val="24"/>
        </w:rPr>
        <w:t>砂砾石</w:t>
      </w:r>
      <w:r>
        <w:rPr>
          <w:rFonts w:ascii="Times New Roman" w:hAnsi="Times New Roman"/>
          <w:sz w:val="24"/>
        </w:rPr>
        <w:t>——</w:t>
      </w:r>
      <w:r>
        <w:rPr>
          <w:rFonts w:ascii="Times New Roman" w:hAnsi="Times New Roman"/>
          <w:sz w:val="24"/>
        </w:rPr>
        <w:t>各种砂层类土层，地貌形态表现为山前倾斜砾质平原。在广大的砾质平原区，地层单一，结构松散，厚度较大，最大堆积厚度可达</w:t>
      </w:r>
      <w:r>
        <w:rPr>
          <w:rFonts w:ascii="Times New Roman" w:hAnsi="Times New Roman"/>
          <w:sz w:val="24"/>
        </w:rPr>
        <w:t>600</w:t>
      </w:r>
      <w:r>
        <w:rPr>
          <w:rFonts w:ascii="Times New Roman" w:hAnsi="Times New Roman"/>
          <w:sz w:val="24"/>
        </w:rPr>
        <w:t>－</w:t>
      </w:r>
      <w:r>
        <w:rPr>
          <w:rFonts w:ascii="Times New Roman" w:hAnsi="Times New Roman"/>
          <w:sz w:val="24"/>
        </w:rPr>
        <w:t>700m</w:t>
      </w:r>
      <w:r>
        <w:rPr>
          <w:rFonts w:ascii="Times New Roman" w:hAnsi="Times New Roman"/>
          <w:sz w:val="24"/>
        </w:rPr>
        <w:t>。主要分布地层有：</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(1)</w:t>
      </w:r>
      <w:r>
        <w:rPr>
          <w:rFonts w:ascii="Times New Roman" w:hAnsi="Times New Roman"/>
          <w:sz w:val="24"/>
        </w:rPr>
        <w:t>上更新统冲洪积层：分布于广大戈壁平原，是区域内面积最广的地层，岩性主要为灰黑色、灰褐色砂土和砾石混杂，砾石成分为砂岩、凝灰岩、闪长岩、花岗岩、泥岩等。砾石呈次棱角状，分选差。</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全新统冲洪积层：呈东西向分布在冲洪积扇前缘的绿洲地段，岩性为黄褐色、棕黄色及浅黄色亚砂土、亚粘土。下部为亚砂土及亚粘土和砂砾石互层。</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(3)</w:t>
      </w:r>
      <w:r>
        <w:rPr>
          <w:rFonts w:ascii="Times New Roman" w:hAnsi="Times New Roman"/>
          <w:sz w:val="24"/>
        </w:rPr>
        <w:t>全新统冲积层：分布在北部坎儿其河河床中，在本区出露面积很小。岩性由卵石、砾石及砂土组成，砾径粗大，磨圆度及分选性较好。砾石成分以砂岩、变质岩、凝灰岩为主。</w:t>
      </w:r>
    </w:p>
    <w:p w:rsidR="00525419" w:rsidRDefault="00EE1CF7">
      <w:pPr>
        <w:spacing w:line="360" w:lineRule="auto"/>
        <w:ind w:firstLineChars="196" w:firstLine="470"/>
        <w:rPr>
          <w:rFonts w:ascii="Times New Roman" w:hAnsi="Times New Roman"/>
          <w:sz w:val="24"/>
        </w:rPr>
      </w:pPr>
      <w:r>
        <w:rPr>
          <w:rFonts w:ascii="Times New Roman" w:hAnsi="Times New Roman"/>
          <w:sz w:val="24"/>
        </w:rPr>
        <w:t>镇区地质构造为：北部基岩区褶皱发育，南部火焰山系由侏罗系、白垩组成北东东</w:t>
      </w:r>
      <w:r>
        <w:rPr>
          <w:rFonts w:ascii="Times New Roman" w:hAnsi="Times New Roman"/>
          <w:sz w:val="24"/>
        </w:rPr>
        <w:t>——</w:t>
      </w:r>
      <w:r>
        <w:rPr>
          <w:rFonts w:ascii="Times New Roman" w:hAnsi="Times New Roman"/>
          <w:sz w:val="24"/>
        </w:rPr>
        <w:t>南西西向的长轴背斜、向斜。构造应力场为北向压应力，且北部压应力大于南部。因此断层面产状多向北倾，断层性质为逆断层。由于区内第四系发育，分布广，所以大多数断层为隐伏断层，区域性断层走向为东</w:t>
      </w:r>
      <w:r>
        <w:rPr>
          <w:rFonts w:ascii="Times New Roman" w:hAnsi="Times New Roman"/>
          <w:sz w:val="24"/>
        </w:rPr>
        <w:t>——</w:t>
      </w:r>
      <w:r>
        <w:rPr>
          <w:rFonts w:ascii="Times New Roman" w:hAnsi="Times New Roman"/>
          <w:sz w:val="24"/>
        </w:rPr>
        <w:t>西向。地震烈度按</w:t>
      </w:r>
      <w:r>
        <w:rPr>
          <w:rFonts w:ascii="Times New Roman" w:hAnsi="Times New Roman"/>
          <w:sz w:val="24"/>
        </w:rPr>
        <w:t>8</w:t>
      </w:r>
      <w:r>
        <w:rPr>
          <w:rFonts w:ascii="Times New Roman" w:hAnsi="Times New Roman"/>
          <w:sz w:val="24"/>
        </w:rPr>
        <w:t>度设防。</w:t>
      </w:r>
    </w:p>
    <w:p w:rsidR="00525419" w:rsidRDefault="00EE1CF7">
      <w:pPr>
        <w:spacing w:line="360" w:lineRule="auto"/>
        <w:ind w:firstLineChars="200" w:firstLine="480"/>
        <w:rPr>
          <w:rFonts w:ascii="Times New Roman" w:hAnsi="Times New Roman"/>
          <w:snapToGrid w:val="0"/>
          <w:kern w:val="0"/>
          <w:sz w:val="24"/>
        </w:rPr>
      </w:pPr>
      <w:r>
        <w:rPr>
          <w:rFonts w:ascii="Times New Roman" w:hAnsi="Times New Roman"/>
          <w:snapToGrid w:val="0"/>
          <w:kern w:val="0"/>
          <w:sz w:val="24"/>
        </w:rPr>
        <w:t>项目厂址由山地的戈壁砾石组成，土质强烈积盐，地质年代为新生代第四纪淤积平原。</w:t>
      </w:r>
    </w:p>
    <w:p w:rsidR="00525419" w:rsidRDefault="00EE1CF7">
      <w:pPr>
        <w:pStyle w:val="3a"/>
        <w:spacing w:beforeLines="50" w:before="159" w:after="156" w:line="360" w:lineRule="auto"/>
        <w:jc w:val="left"/>
        <w:rPr>
          <w:rFonts w:ascii="Times New Roman" w:eastAsia="华文楷体" w:hAnsi="Times New Roman"/>
        </w:rPr>
      </w:pPr>
      <w:r>
        <w:rPr>
          <w:rFonts w:ascii="Times New Roman" w:eastAsia="华文楷体" w:hAnsi="Times New Roman"/>
        </w:rPr>
        <w:lastRenderedPageBreak/>
        <w:t>4.1.4</w:t>
      </w:r>
      <w:r>
        <w:rPr>
          <w:rFonts w:ascii="Times New Roman" w:eastAsia="华文楷体" w:hAnsi="Times New Roman"/>
        </w:rPr>
        <w:t>气候特征</w:t>
      </w:r>
    </w:p>
    <w:p w:rsidR="00525419" w:rsidRDefault="00EE1CF7">
      <w:pPr>
        <w:spacing w:line="500" w:lineRule="exact"/>
        <w:ind w:left="-3" w:firstLineChars="200" w:firstLine="480"/>
        <w:rPr>
          <w:rFonts w:ascii="Times New Roman" w:hAnsi="Times New Roman"/>
          <w:snapToGrid w:val="0"/>
          <w:kern w:val="0"/>
          <w:sz w:val="24"/>
        </w:rPr>
      </w:pPr>
      <w:r>
        <w:rPr>
          <w:rFonts w:ascii="Times New Roman" w:hAnsi="Times New Roman"/>
          <w:snapToGrid w:val="0"/>
          <w:kern w:val="0"/>
          <w:sz w:val="24"/>
        </w:rPr>
        <w:t>鄯善县地处亚洲腹部，属于暖温带大陆性干旱气候区。由于本区远离海洋，地貌复杂，形成了独特的气候。主要气候特征是：四季分明，冬寒夏炎，降雨稀少，蒸发强烈，气候干燥，光照充足，无霜期长，昼夜温差大，大风和风沙是当地较为严重的灾害天气。多年平均风速</w:t>
      </w:r>
      <w:r>
        <w:rPr>
          <w:rFonts w:ascii="Times New Roman" w:hAnsi="Times New Roman"/>
          <w:snapToGrid w:val="0"/>
          <w:kern w:val="0"/>
          <w:sz w:val="24"/>
        </w:rPr>
        <w:t>2.21m/s</w:t>
      </w:r>
      <w:r>
        <w:rPr>
          <w:rFonts w:ascii="Times New Roman" w:hAnsi="Times New Roman"/>
          <w:snapToGrid w:val="0"/>
          <w:kern w:val="0"/>
          <w:sz w:val="24"/>
        </w:rPr>
        <w:t>，</w:t>
      </w:r>
      <w:r>
        <w:rPr>
          <w:rFonts w:ascii="Times New Roman" w:hAnsi="Times New Roman"/>
          <w:snapToGrid w:val="0"/>
          <w:kern w:val="0"/>
          <w:sz w:val="24"/>
        </w:rPr>
        <w:t>3-8</w:t>
      </w:r>
      <w:r>
        <w:rPr>
          <w:rFonts w:ascii="Times New Roman" w:hAnsi="Times New Roman"/>
          <w:snapToGrid w:val="0"/>
          <w:kern w:val="0"/>
          <w:sz w:val="24"/>
        </w:rPr>
        <w:t>月为大风季节，春季多为持续性大风，夏季多为阵性大风。主导风向为东风，次主导风向为东北风。</w:t>
      </w:r>
    </w:p>
    <w:p w:rsidR="00525419" w:rsidRDefault="00EE1CF7">
      <w:pPr>
        <w:spacing w:line="360" w:lineRule="auto"/>
        <w:ind w:firstLineChars="200" w:firstLine="480"/>
        <w:rPr>
          <w:rFonts w:ascii="Times New Roman" w:hAnsi="Times New Roman"/>
          <w:spacing w:val="10"/>
          <w:sz w:val="24"/>
        </w:rPr>
      </w:pPr>
      <w:r>
        <w:rPr>
          <w:rFonts w:ascii="Times New Roman" w:hAnsi="Times New Roman"/>
          <w:snapToGrid w:val="0"/>
          <w:kern w:val="0"/>
          <w:sz w:val="24"/>
        </w:rPr>
        <w:t>据气象部门多年统计资料，鄯善县</w:t>
      </w:r>
      <w:r>
        <w:rPr>
          <w:rFonts w:ascii="Times New Roman" w:hAnsi="Times New Roman"/>
          <w:spacing w:val="10"/>
          <w:sz w:val="24"/>
        </w:rPr>
        <w:t>主要气象特征见表</w:t>
      </w:r>
      <w:r>
        <w:rPr>
          <w:rFonts w:ascii="Times New Roman" w:hAnsi="Times New Roman"/>
          <w:spacing w:val="10"/>
          <w:sz w:val="24"/>
        </w:rPr>
        <w:t>4.1-1</w:t>
      </w:r>
      <w:r>
        <w:rPr>
          <w:rFonts w:ascii="Times New Roman" w:hAnsi="Times New Roman"/>
          <w:spacing w:val="10"/>
          <w:sz w:val="24"/>
        </w:rPr>
        <w:t>。</w:t>
      </w:r>
    </w:p>
    <w:p w:rsidR="00525419" w:rsidRDefault="00EE1CF7">
      <w:pPr>
        <w:spacing w:line="240" w:lineRule="atLeast"/>
        <w:ind w:firstLineChars="200" w:firstLine="460"/>
        <w:jc w:val="center"/>
        <w:rPr>
          <w:rFonts w:ascii="Times New Roman" w:eastAsia="黑体" w:hAnsi="Times New Roman"/>
          <w:szCs w:val="21"/>
        </w:rPr>
      </w:pPr>
      <w:r>
        <w:rPr>
          <w:rFonts w:ascii="Times New Roman" w:eastAsia="黑体" w:hAnsi="Times New Roman"/>
          <w:spacing w:val="10"/>
          <w:szCs w:val="21"/>
        </w:rPr>
        <w:t>表</w:t>
      </w:r>
      <w:r>
        <w:rPr>
          <w:rFonts w:ascii="Times New Roman" w:eastAsia="黑体" w:hAnsi="Times New Roman"/>
          <w:spacing w:val="10"/>
          <w:szCs w:val="21"/>
        </w:rPr>
        <w:t xml:space="preserve">4.1-1   </w:t>
      </w:r>
      <w:r>
        <w:rPr>
          <w:rFonts w:ascii="Times New Roman" w:eastAsia="黑体" w:hAnsi="Times New Roman"/>
          <w:szCs w:val="21"/>
        </w:rPr>
        <w:t>主要气象特征表</w:t>
      </w:r>
    </w:p>
    <w:tbl>
      <w:tblPr>
        <w:tblW w:w="85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518"/>
        <w:gridCol w:w="1701"/>
        <w:gridCol w:w="2693"/>
        <w:gridCol w:w="1610"/>
      </w:tblGrid>
      <w:tr w:rsidR="00525419">
        <w:tc>
          <w:tcPr>
            <w:tcW w:w="2518" w:type="dxa"/>
            <w:tcBorders>
              <w:tl2br w:val="nil"/>
              <w:tr2bl w:val="nil"/>
            </w:tcBorders>
          </w:tcPr>
          <w:p w:rsidR="00525419" w:rsidRDefault="00EE1CF7">
            <w:pPr>
              <w:spacing w:line="240" w:lineRule="atLeast"/>
              <w:rPr>
                <w:rFonts w:ascii="Times New Roman" w:hAnsi="Times New Roman"/>
                <w:spacing w:val="10"/>
                <w:szCs w:val="21"/>
              </w:rPr>
            </w:pPr>
            <w:r>
              <w:rPr>
                <w:rFonts w:ascii="Times New Roman" w:hAnsi="Times New Roman"/>
                <w:spacing w:val="10"/>
                <w:szCs w:val="21"/>
              </w:rPr>
              <w:tab/>
            </w:r>
            <w:r>
              <w:rPr>
                <w:rFonts w:ascii="Times New Roman" w:hAnsi="Times New Roman"/>
                <w:snapToGrid w:val="0"/>
                <w:kern w:val="0"/>
                <w:szCs w:val="21"/>
              </w:rPr>
              <w:t>多年平均气温</w:t>
            </w:r>
          </w:p>
        </w:tc>
        <w:tc>
          <w:tcPr>
            <w:tcW w:w="1701" w:type="dxa"/>
            <w:tcBorders>
              <w:tl2br w:val="nil"/>
              <w:tr2bl w:val="nil"/>
            </w:tcBorders>
          </w:tcPr>
          <w:p w:rsidR="00525419" w:rsidRDefault="00EE1CF7">
            <w:pPr>
              <w:spacing w:line="240" w:lineRule="atLeast"/>
              <w:rPr>
                <w:rFonts w:ascii="Times New Roman" w:hAnsi="Times New Roman"/>
                <w:spacing w:val="10"/>
                <w:szCs w:val="21"/>
              </w:rPr>
            </w:pPr>
            <w:r>
              <w:rPr>
                <w:rFonts w:ascii="Times New Roman" w:hAnsi="Times New Roman"/>
                <w:snapToGrid w:val="0"/>
                <w:kern w:val="0"/>
                <w:szCs w:val="21"/>
              </w:rPr>
              <w:t>12.8℃</w:t>
            </w:r>
          </w:p>
        </w:tc>
        <w:tc>
          <w:tcPr>
            <w:tcW w:w="2693" w:type="dxa"/>
            <w:tcBorders>
              <w:tl2br w:val="nil"/>
              <w:tr2bl w:val="nil"/>
            </w:tcBorders>
          </w:tcPr>
          <w:p w:rsidR="00525419" w:rsidRDefault="00EE1CF7">
            <w:pPr>
              <w:spacing w:line="240" w:lineRule="atLeast"/>
              <w:rPr>
                <w:rFonts w:ascii="Times New Roman" w:hAnsi="Times New Roman"/>
                <w:spacing w:val="10"/>
                <w:szCs w:val="21"/>
              </w:rPr>
            </w:pPr>
            <w:r>
              <w:rPr>
                <w:rFonts w:ascii="Times New Roman" w:hAnsi="Times New Roman"/>
                <w:snapToGrid w:val="0"/>
                <w:kern w:val="0"/>
                <w:szCs w:val="21"/>
              </w:rPr>
              <w:t>年最大积雪厚度</w:t>
            </w:r>
            <w:r>
              <w:rPr>
                <w:rFonts w:ascii="Times New Roman" w:hAnsi="Times New Roman"/>
                <w:snapToGrid w:val="0"/>
                <w:kern w:val="0"/>
                <w:szCs w:val="21"/>
              </w:rPr>
              <w:t xml:space="preserve">  </w:t>
            </w:r>
          </w:p>
        </w:tc>
        <w:tc>
          <w:tcPr>
            <w:tcW w:w="1610" w:type="dxa"/>
            <w:tcBorders>
              <w:tl2br w:val="nil"/>
              <w:tr2bl w:val="nil"/>
            </w:tcBorders>
          </w:tcPr>
          <w:p w:rsidR="00525419" w:rsidRDefault="00EE1CF7">
            <w:pPr>
              <w:spacing w:line="240" w:lineRule="atLeast"/>
              <w:rPr>
                <w:rFonts w:ascii="Times New Roman" w:hAnsi="Times New Roman"/>
                <w:spacing w:val="10"/>
                <w:szCs w:val="21"/>
              </w:rPr>
            </w:pPr>
            <w:r>
              <w:rPr>
                <w:rFonts w:ascii="Times New Roman" w:hAnsi="Times New Roman"/>
                <w:snapToGrid w:val="0"/>
                <w:kern w:val="0"/>
                <w:szCs w:val="21"/>
              </w:rPr>
              <w:t>180 mm</w:t>
            </w:r>
          </w:p>
        </w:tc>
      </w:tr>
      <w:tr w:rsidR="00525419">
        <w:tc>
          <w:tcPr>
            <w:tcW w:w="2518" w:type="dxa"/>
            <w:tcBorders>
              <w:tl2br w:val="nil"/>
              <w:tr2bl w:val="nil"/>
            </w:tcBorders>
          </w:tcPr>
          <w:p w:rsidR="00525419" w:rsidRDefault="00EE1CF7">
            <w:pPr>
              <w:spacing w:line="240" w:lineRule="atLeast"/>
              <w:rPr>
                <w:rFonts w:ascii="Times New Roman" w:hAnsi="Times New Roman"/>
                <w:spacing w:val="10"/>
                <w:szCs w:val="21"/>
              </w:rPr>
            </w:pPr>
            <w:r>
              <w:rPr>
                <w:rFonts w:ascii="Times New Roman" w:hAnsi="Times New Roman"/>
                <w:snapToGrid w:val="0"/>
                <w:kern w:val="0"/>
                <w:szCs w:val="21"/>
              </w:rPr>
              <w:t>1</w:t>
            </w:r>
            <w:r>
              <w:rPr>
                <w:rFonts w:ascii="Times New Roman" w:hAnsi="Times New Roman"/>
                <w:snapToGrid w:val="0"/>
                <w:kern w:val="0"/>
                <w:szCs w:val="21"/>
              </w:rPr>
              <w:t>月份平均气温</w:t>
            </w:r>
            <w:r>
              <w:rPr>
                <w:rFonts w:ascii="Times New Roman" w:hAnsi="Times New Roman"/>
                <w:snapToGrid w:val="0"/>
                <w:kern w:val="0"/>
                <w:szCs w:val="21"/>
              </w:rPr>
              <w:t xml:space="preserve">  </w:t>
            </w:r>
          </w:p>
        </w:tc>
        <w:tc>
          <w:tcPr>
            <w:tcW w:w="1701" w:type="dxa"/>
            <w:tcBorders>
              <w:tl2br w:val="nil"/>
              <w:tr2bl w:val="nil"/>
            </w:tcBorders>
          </w:tcPr>
          <w:p w:rsidR="00525419" w:rsidRDefault="00EE1CF7">
            <w:pPr>
              <w:spacing w:line="240" w:lineRule="atLeast"/>
              <w:rPr>
                <w:rFonts w:ascii="Times New Roman" w:hAnsi="Times New Roman"/>
                <w:spacing w:val="10"/>
                <w:szCs w:val="21"/>
              </w:rPr>
            </w:pPr>
            <w:r>
              <w:rPr>
                <w:rFonts w:ascii="Times New Roman" w:hAnsi="Times New Roman"/>
                <w:snapToGrid w:val="0"/>
                <w:kern w:val="0"/>
                <w:szCs w:val="21"/>
              </w:rPr>
              <w:t>－</w:t>
            </w:r>
            <w:r>
              <w:rPr>
                <w:rFonts w:ascii="Times New Roman" w:hAnsi="Times New Roman"/>
                <w:snapToGrid w:val="0"/>
                <w:kern w:val="0"/>
                <w:szCs w:val="21"/>
              </w:rPr>
              <w:t>8.5℃</w:t>
            </w:r>
          </w:p>
        </w:tc>
        <w:tc>
          <w:tcPr>
            <w:tcW w:w="2693" w:type="dxa"/>
            <w:tcBorders>
              <w:tl2br w:val="nil"/>
              <w:tr2bl w:val="nil"/>
            </w:tcBorders>
          </w:tcPr>
          <w:p w:rsidR="00525419" w:rsidRDefault="00EE1CF7">
            <w:pPr>
              <w:spacing w:line="240" w:lineRule="atLeast"/>
              <w:rPr>
                <w:rFonts w:ascii="Times New Roman" w:hAnsi="Times New Roman"/>
                <w:spacing w:val="10"/>
                <w:szCs w:val="21"/>
              </w:rPr>
            </w:pPr>
            <w:r>
              <w:rPr>
                <w:rFonts w:ascii="Times New Roman" w:hAnsi="Times New Roman"/>
                <w:snapToGrid w:val="0"/>
                <w:kern w:val="0"/>
                <w:szCs w:val="21"/>
              </w:rPr>
              <w:t>年最高相对湿度</w:t>
            </w:r>
            <w:r>
              <w:rPr>
                <w:rFonts w:ascii="Times New Roman" w:hAnsi="Times New Roman"/>
                <w:snapToGrid w:val="0"/>
                <w:kern w:val="0"/>
                <w:szCs w:val="21"/>
              </w:rPr>
              <w:t xml:space="preserve">  </w:t>
            </w:r>
          </w:p>
        </w:tc>
        <w:tc>
          <w:tcPr>
            <w:tcW w:w="1610" w:type="dxa"/>
            <w:tcBorders>
              <w:tl2br w:val="nil"/>
              <w:tr2bl w:val="nil"/>
            </w:tcBorders>
          </w:tcPr>
          <w:p w:rsidR="00525419" w:rsidRDefault="00EE1CF7">
            <w:pPr>
              <w:spacing w:line="240" w:lineRule="atLeast"/>
              <w:rPr>
                <w:rFonts w:ascii="Times New Roman" w:hAnsi="Times New Roman"/>
                <w:spacing w:val="10"/>
                <w:szCs w:val="21"/>
              </w:rPr>
            </w:pPr>
            <w:r>
              <w:rPr>
                <w:rFonts w:ascii="Times New Roman" w:hAnsi="Times New Roman"/>
                <w:snapToGrid w:val="0"/>
                <w:kern w:val="0"/>
                <w:szCs w:val="21"/>
              </w:rPr>
              <w:t>61%</w:t>
            </w:r>
          </w:p>
        </w:tc>
      </w:tr>
      <w:tr w:rsidR="00525419">
        <w:tc>
          <w:tcPr>
            <w:tcW w:w="2518" w:type="dxa"/>
            <w:tcBorders>
              <w:tl2br w:val="nil"/>
              <w:tr2bl w:val="nil"/>
            </w:tcBorders>
          </w:tcPr>
          <w:p w:rsidR="00525419" w:rsidRDefault="00EE1CF7">
            <w:pPr>
              <w:spacing w:line="240" w:lineRule="atLeast"/>
              <w:rPr>
                <w:rFonts w:ascii="Times New Roman" w:hAnsi="Times New Roman"/>
                <w:spacing w:val="10"/>
                <w:szCs w:val="21"/>
              </w:rPr>
            </w:pPr>
            <w:r>
              <w:rPr>
                <w:rFonts w:ascii="Times New Roman" w:hAnsi="Times New Roman"/>
                <w:snapToGrid w:val="0"/>
                <w:kern w:val="0"/>
                <w:szCs w:val="21"/>
              </w:rPr>
              <w:t>7</w:t>
            </w:r>
            <w:r>
              <w:rPr>
                <w:rFonts w:ascii="Times New Roman" w:hAnsi="Times New Roman"/>
                <w:snapToGrid w:val="0"/>
                <w:kern w:val="0"/>
                <w:szCs w:val="21"/>
              </w:rPr>
              <w:t>月份平均气温</w:t>
            </w:r>
            <w:r>
              <w:rPr>
                <w:rFonts w:ascii="Times New Roman" w:hAnsi="Times New Roman"/>
                <w:snapToGrid w:val="0"/>
                <w:kern w:val="0"/>
                <w:szCs w:val="21"/>
              </w:rPr>
              <w:t xml:space="preserve">   </w:t>
            </w:r>
          </w:p>
        </w:tc>
        <w:tc>
          <w:tcPr>
            <w:tcW w:w="1701" w:type="dxa"/>
            <w:tcBorders>
              <w:tl2br w:val="nil"/>
              <w:tr2bl w:val="nil"/>
            </w:tcBorders>
          </w:tcPr>
          <w:p w:rsidR="00525419" w:rsidRDefault="00EE1CF7">
            <w:pPr>
              <w:spacing w:line="240" w:lineRule="atLeast"/>
              <w:rPr>
                <w:rFonts w:ascii="Times New Roman" w:hAnsi="Times New Roman"/>
                <w:spacing w:val="10"/>
                <w:szCs w:val="21"/>
              </w:rPr>
            </w:pPr>
            <w:r>
              <w:rPr>
                <w:rFonts w:ascii="Times New Roman" w:hAnsi="Times New Roman"/>
                <w:snapToGrid w:val="0"/>
                <w:kern w:val="0"/>
                <w:szCs w:val="21"/>
              </w:rPr>
              <w:t>28.9℃</w:t>
            </w:r>
          </w:p>
        </w:tc>
        <w:tc>
          <w:tcPr>
            <w:tcW w:w="2693" w:type="dxa"/>
            <w:tcBorders>
              <w:tl2br w:val="nil"/>
              <w:tr2bl w:val="nil"/>
            </w:tcBorders>
          </w:tcPr>
          <w:p w:rsidR="00525419" w:rsidRDefault="00EE1CF7">
            <w:pPr>
              <w:spacing w:line="240" w:lineRule="atLeast"/>
              <w:rPr>
                <w:rFonts w:ascii="Times New Roman" w:hAnsi="Times New Roman"/>
                <w:spacing w:val="10"/>
                <w:szCs w:val="21"/>
              </w:rPr>
            </w:pPr>
            <w:r>
              <w:rPr>
                <w:rFonts w:ascii="Times New Roman" w:hAnsi="Times New Roman"/>
                <w:snapToGrid w:val="0"/>
                <w:kern w:val="0"/>
                <w:szCs w:val="21"/>
              </w:rPr>
              <w:t>年均相对湿度</w:t>
            </w:r>
          </w:p>
        </w:tc>
        <w:tc>
          <w:tcPr>
            <w:tcW w:w="1610" w:type="dxa"/>
            <w:tcBorders>
              <w:tl2br w:val="nil"/>
              <w:tr2bl w:val="nil"/>
            </w:tcBorders>
          </w:tcPr>
          <w:p w:rsidR="00525419" w:rsidRDefault="00EE1CF7">
            <w:pPr>
              <w:spacing w:line="240" w:lineRule="atLeast"/>
              <w:rPr>
                <w:rFonts w:ascii="Times New Roman" w:hAnsi="Times New Roman"/>
                <w:spacing w:val="10"/>
                <w:szCs w:val="21"/>
              </w:rPr>
            </w:pPr>
            <w:r>
              <w:rPr>
                <w:rFonts w:ascii="Times New Roman" w:hAnsi="Times New Roman"/>
                <w:snapToGrid w:val="0"/>
                <w:kern w:val="0"/>
                <w:szCs w:val="21"/>
              </w:rPr>
              <w:t>43%</w:t>
            </w:r>
          </w:p>
        </w:tc>
      </w:tr>
      <w:tr w:rsidR="00525419">
        <w:tc>
          <w:tcPr>
            <w:tcW w:w="2518" w:type="dxa"/>
            <w:tcBorders>
              <w:tl2br w:val="nil"/>
              <w:tr2bl w:val="nil"/>
            </w:tcBorders>
          </w:tcPr>
          <w:p w:rsidR="00525419" w:rsidRDefault="00EE1CF7">
            <w:pPr>
              <w:spacing w:line="240" w:lineRule="atLeast"/>
              <w:rPr>
                <w:rFonts w:ascii="Times New Roman" w:hAnsi="Times New Roman"/>
                <w:spacing w:val="10"/>
                <w:szCs w:val="21"/>
              </w:rPr>
            </w:pPr>
            <w:r>
              <w:rPr>
                <w:rFonts w:ascii="Times New Roman" w:hAnsi="Times New Roman"/>
                <w:snapToGrid w:val="0"/>
                <w:kern w:val="0"/>
                <w:szCs w:val="21"/>
              </w:rPr>
              <w:t>极端最高气温</w:t>
            </w:r>
            <w:r>
              <w:rPr>
                <w:rFonts w:ascii="Times New Roman" w:hAnsi="Times New Roman"/>
                <w:snapToGrid w:val="0"/>
                <w:kern w:val="0"/>
                <w:szCs w:val="21"/>
              </w:rPr>
              <w:t xml:space="preserve">    </w:t>
            </w:r>
          </w:p>
        </w:tc>
        <w:tc>
          <w:tcPr>
            <w:tcW w:w="1701" w:type="dxa"/>
            <w:tcBorders>
              <w:tl2br w:val="nil"/>
              <w:tr2bl w:val="nil"/>
            </w:tcBorders>
          </w:tcPr>
          <w:p w:rsidR="00525419" w:rsidRDefault="00EE1CF7">
            <w:pPr>
              <w:spacing w:line="240" w:lineRule="atLeast"/>
              <w:rPr>
                <w:rFonts w:ascii="Times New Roman" w:hAnsi="Times New Roman"/>
                <w:spacing w:val="10"/>
                <w:sz w:val="24"/>
                <w:szCs w:val="24"/>
              </w:rPr>
            </w:pPr>
            <w:r>
              <w:rPr>
                <w:rFonts w:ascii="Times New Roman" w:hAnsi="Times New Roman"/>
                <w:snapToGrid w:val="0"/>
                <w:kern w:val="0"/>
                <w:szCs w:val="21"/>
              </w:rPr>
              <w:t>44.8℃</w:t>
            </w:r>
          </w:p>
        </w:tc>
        <w:tc>
          <w:tcPr>
            <w:tcW w:w="2693" w:type="dxa"/>
            <w:tcBorders>
              <w:tl2br w:val="nil"/>
              <w:tr2bl w:val="nil"/>
            </w:tcBorders>
          </w:tcPr>
          <w:p w:rsidR="00525419" w:rsidRDefault="00EE1CF7">
            <w:pPr>
              <w:spacing w:line="240" w:lineRule="atLeast"/>
              <w:rPr>
                <w:rFonts w:ascii="Times New Roman" w:hAnsi="Times New Roman"/>
                <w:spacing w:val="10"/>
                <w:szCs w:val="21"/>
              </w:rPr>
            </w:pPr>
            <w:r>
              <w:rPr>
                <w:rFonts w:ascii="Times New Roman" w:hAnsi="Times New Roman"/>
                <w:snapToGrid w:val="0"/>
                <w:kern w:val="0"/>
                <w:szCs w:val="21"/>
              </w:rPr>
              <w:t>年主导风向东风频率</w:t>
            </w:r>
            <w:r>
              <w:rPr>
                <w:rFonts w:ascii="Times New Roman" w:hAnsi="Times New Roman"/>
                <w:snapToGrid w:val="0"/>
                <w:kern w:val="0"/>
                <w:szCs w:val="21"/>
              </w:rPr>
              <w:t xml:space="preserve">  </w:t>
            </w:r>
          </w:p>
        </w:tc>
        <w:tc>
          <w:tcPr>
            <w:tcW w:w="1610" w:type="dxa"/>
            <w:tcBorders>
              <w:tl2br w:val="nil"/>
              <w:tr2bl w:val="nil"/>
            </w:tcBorders>
          </w:tcPr>
          <w:p w:rsidR="00525419" w:rsidRDefault="00EE1CF7">
            <w:pPr>
              <w:spacing w:line="240" w:lineRule="atLeast"/>
              <w:rPr>
                <w:rFonts w:ascii="Times New Roman" w:hAnsi="Times New Roman"/>
                <w:spacing w:val="10"/>
                <w:szCs w:val="21"/>
              </w:rPr>
            </w:pPr>
            <w:r>
              <w:rPr>
                <w:rFonts w:ascii="Times New Roman" w:hAnsi="Times New Roman"/>
                <w:snapToGrid w:val="0"/>
                <w:kern w:val="0"/>
                <w:szCs w:val="21"/>
              </w:rPr>
              <w:t>12%</w:t>
            </w:r>
          </w:p>
        </w:tc>
      </w:tr>
      <w:tr w:rsidR="00525419">
        <w:tc>
          <w:tcPr>
            <w:tcW w:w="2518" w:type="dxa"/>
            <w:tcBorders>
              <w:tl2br w:val="nil"/>
              <w:tr2bl w:val="nil"/>
            </w:tcBorders>
          </w:tcPr>
          <w:p w:rsidR="00525419" w:rsidRDefault="00EE1CF7">
            <w:pPr>
              <w:spacing w:line="240" w:lineRule="atLeast"/>
              <w:rPr>
                <w:rFonts w:ascii="Times New Roman" w:hAnsi="Times New Roman"/>
                <w:spacing w:val="10"/>
                <w:szCs w:val="21"/>
              </w:rPr>
            </w:pPr>
            <w:r>
              <w:rPr>
                <w:rFonts w:ascii="Times New Roman" w:hAnsi="Times New Roman"/>
                <w:snapToGrid w:val="0"/>
                <w:kern w:val="0"/>
                <w:szCs w:val="21"/>
              </w:rPr>
              <w:t>极端最低气温</w:t>
            </w:r>
            <w:r>
              <w:rPr>
                <w:rFonts w:ascii="Times New Roman" w:hAnsi="Times New Roman"/>
                <w:snapToGrid w:val="0"/>
                <w:kern w:val="0"/>
                <w:szCs w:val="21"/>
              </w:rPr>
              <w:t xml:space="preserve">   </w:t>
            </w:r>
          </w:p>
        </w:tc>
        <w:tc>
          <w:tcPr>
            <w:tcW w:w="1701" w:type="dxa"/>
            <w:tcBorders>
              <w:tl2br w:val="nil"/>
              <w:tr2bl w:val="nil"/>
            </w:tcBorders>
          </w:tcPr>
          <w:p w:rsidR="00525419" w:rsidRDefault="00EE1CF7">
            <w:pPr>
              <w:spacing w:line="240" w:lineRule="atLeast"/>
              <w:rPr>
                <w:rFonts w:ascii="Times New Roman" w:hAnsi="Times New Roman"/>
                <w:spacing w:val="10"/>
                <w:szCs w:val="21"/>
              </w:rPr>
            </w:pPr>
            <w:r>
              <w:rPr>
                <w:rFonts w:ascii="Times New Roman" w:hAnsi="Times New Roman"/>
                <w:snapToGrid w:val="0"/>
                <w:kern w:val="0"/>
                <w:szCs w:val="21"/>
              </w:rPr>
              <w:t>－</w:t>
            </w:r>
            <w:r>
              <w:rPr>
                <w:rFonts w:ascii="Times New Roman" w:hAnsi="Times New Roman"/>
                <w:snapToGrid w:val="0"/>
                <w:kern w:val="0"/>
                <w:szCs w:val="21"/>
              </w:rPr>
              <w:t>28.7℃</w:t>
            </w:r>
          </w:p>
        </w:tc>
        <w:tc>
          <w:tcPr>
            <w:tcW w:w="2693" w:type="dxa"/>
            <w:tcBorders>
              <w:tl2br w:val="nil"/>
              <w:tr2bl w:val="nil"/>
            </w:tcBorders>
          </w:tcPr>
          <w:p w:rsidR="00525419" w:rsidRDefault="00EE1CF7">
            <w:pPr>
              <w:spacing w:line="240" w:lineRule="atLeast"/>
              <w:rPr>
                <w:rFonts w:ascii="Times New Roman" w:hAnsi="Times New Roman"/>
                <w:spacing w:val="10"/>
                <w:szCs w:val="21"/>
              </w:rPr>
            </w:pPr>
            <w:r>
              <w:rPr>
                <w:rFonts w:ascii="Times New Roman" w:hAnsi="Times New Roman"/>
                <w:snapToGrid w:val="0"/>
                <w:kern w:val="0"/>
                <w:szCs w:val="21"/>
              </w:rPr>
              <w:t>年静风频率</w:t>
            </w:r>
            <w:r>
              <w:rPr>
                <w:rFonts w:ascii="Times New Roman" w:hAnsi="Times New Roman"/>
                <w:snapToGrid w:val="0"/>
                <w:kern w:val="0"/>
                <w:szCs w:val="21"/>
              </w:rPr>
              <w:t xml:space="preserve">  </w:t>
            </w:r>
          </w:p>
        </w:tc>
        <w:tc>
          <w:tcPr>
            <w:tcW w:w="1610" w:type="dxa"/>
            <w:tcBorders>
              <w:tl2br w:val="nil"/>
              <w:tr2bl w:val="nil"/>
            </w:tcBorders>
          </w:tcPr>
          <w:p w:rsidR="00525419" w:rsidRDefault="00EE1CF7">
            <w:pPr>
              <w:spacing w:line="240" w:lineRule="atLeast"/>
              <w:rPr>
                <w:rFonts w:ascii="Times New Roman" w:hAnsi="Times New Roman"/>
                <w:spacing w:val="10"/>
                <w:szCs w:val="21"/>
              </w:rPr>
            </w:pPr>
            <w:r>
              <w:rPr>
                <w:rFonts w:ascii="Times New Roman" w:hAnsi="Times New Roman"/>
                <w:snapToGrid w:val="0"/>
                <w:kern w:val="0"/>
                <w:szCs w:val="21"/>
              </w:rPr>
              <w:t>41%</w:t>
            </w:r>
          </w:p>
        </w:tc>
      </w:tr>
      <w:tr w:rsidR="00525419">
        <w:tc>
          <w:tcPr>
            <w:tcW w:w="2518" w:type="dxa"/>
            <w:tcBorders>
              <w:tl2br w:val="nil"/>
              <w:tr2bl w:val="nil"/>
            </w:tcBorders>
          </w:tcPr>
          <w:p w:rsidR="00525419" w:rsidRDefault="00EE1CF7">
            <w:pPr>
              <w:spacing w:line="240" w:lineRule="atLeast"/>
              <w:rPr>
                <w:rFonts w:ascii="Times New Roman" w:hAnsi="Times New Roman"/>
                <w:spacing w:val="10"/>
                <w:szCs w:val="21"/>
              </w:rPr>
            </w:pPr>
            <w:r>
              <w:rPr>
                <w:rFonts w:ascii="Times New Roman" w:hAnsi="Times New Roman"/>
                <w:snapToGrid w:val="0"/>
                <w:kern w:val="0"/>
                <w:szCs w:val="21"/>
              </w:rPr>
              <w:t>年降雨量</w:t>
            </w:r>
            <w:r>
              <w:rPr>
                <w:rFonts w:ascii="Times New Roman" w:hAnsi="Times New Roman"/>
                <w:snapToGrid w:val="0"/>
                <w:kern w:val="0"/>
                <w:szCs w:val="21"/>
              </w:rPr>
              <w:t xml:space="preserve">     </w:t>
            </w:r>
          </w:p>
        </w:tc>
        <w:tc>
          <w:tcPr>
            <w:tcW w:w="1701" w:type="dxa"/>
            <w:tcBorders>
              <w:tl2br w:val="nil"/>
              <w:tr2bl w:val="nil"/>
            </w:tcBorders>
          </w:tcPr>
          <w:p w:rsidR="00525419" w:rsidRDefault="00EE1CF7">
            <w:pPr>
              <w:spacing w:line="240" w:lineRule="atLeast"/>
              <w:rPr>
                <w:rFonts w:ascii="Times New Roman" w:hAnsi="Times New Roman"/>
                <w:spacing w:val="10"/>
                <w:szCs w:val="21"/>
              </w:rPr>
            </w:pPr>
            <w:r>
              <w:rPr>
                <w:rFonts w:ascii="Times New Roman" w:hAnsi="Times New Roman"/>
                <w:snapToGrid w:val="0"/>
                <w:kern w:val="0"/>
                <w:szCs w:val="21"/>
              </w:rPr>
              <w:t>26.2mm</w:t>
            </w:r>
          </w:p>
        </w:tc>
        <w:tc>
          <w:tcPr>
            <w:tcW w:w="2693" w:type="dxa"/>
            <w:tcBorders>
              <w:tl2br w:val="nil"/>
              <w:tr2bl w:val="nil"/>
            </w:tcBorders>
          </w:tcPr>
          <w:p w:rsidR="00525419" w:rsidRDefault="00EE1CF7">
            <w:pPr>
              <w:spacing w:line="240" w:lineRule="atLeast"/>
              <w:rPr>
                <w:rFonts w:ascii="Times New Roman" w:hAnsi="Times New Roman"/>
                <w:spacing w:val="10"/>
                <w:szCs w:val="21"/>
              </w:rPr>
            </w:pPr>
            <w:r>
              <w:rPr>
                <w:rFonts w:ascii="Times New Roman" w:hAnsi="Times New Roman"/>
                <w:snapToGrid w:val="0"/>
                <w:kern w:val="0"/>
                <w:szCs w:val="21"/>
              </w:rPr>
              <w:t>历年风速</w:t>
            </w:r>
            <w:r>
              <w:rPr>
                <w:rFonts w:ascii="Times New Roman" w:hAnsi="Times New Roman"/>
                <w:snapToGrid w:val="0"/>
                <w:kern w:val="0"/>
                <w:szCs w:val="21"/>
              </w:rPr>
              <w:t>8</w:t>
            </w:r>
            <w:r>
              <w:rPr>
                <w:rFonts w:ascii="Times New Roman" w:hAnsi="Times New Roman"/>
                <w:snapToGrid w:val="0"/>
                <w:kern w:val="0"/>
                <w:szCs w:val="21"/>
              </w:rPr>
              <w:t>级以上大风次数</w:t>
            </w:r>
          </w:p>
        </w:tc>
        <w:tc>
          <w:tcPr>
            <w:tcW w:w="1610" w:type="dxa"/>
            <w:tcBorders>
              <w:tl2br w:val="nil"/>
              <w:tr2bl w:val="nil"/>
            </w:tcBorders>
          </w:tcPr>
          <w:p w:rsidR="00525419" w:rsidRDefault="00EE1CF7">
            <w:pPr>
              <w:spacing w:line="240" w:lineRule="atLeast"/>
              <w:rPr>
                <w:rFonts w:ascii="Times New Roman" w:hAnsi="Times New Roman"/>
                <w:spacing w:val="10"/>
                <w:szCs w:val="21"/>
              </w:rPr>
            </w:pPr>
            <w:r>
              <w:rPr>
                <w:rFonts w:ascii="Times New Roman" w:hAnsi="Times New Roman"/>
                <w:snapToGrid w:val="0"/>
                <w:kern w:val="0"/>
                <w:szCs w:val="21"/>
              </w:rPr>
              <w:t>23</w:t>
            </w:r>
            <w:r>
              <w:rPr>
                <w:rFonts w:ascii="Times New Roman" w:hAnsi="Times New Roman"/>
                <w:snapToGrid w:val="0"/>
                <w:kern w:val="0"/>
                <w:szCs w:val="21"/>
              </w:rPr>
              <w:t>次</w:t>
            </w:r>
          </w:p>
        </w:tc>
      </w:tr>
      <w:tr w:rsidR="00525419">
        <w:tc>
          <w:tcPr>
            <w:tcW w:w="2518" w:type="dxa"/>
            <w:tcBorders>
              <w:tl2br w:val="nil"/>
              <w:tr2bl w:val="nil"/>
            </w:tcBorders>
          </w:tcPr>
          <w:p w:rsidR="00525419" w:rsidRDefault="00EE1CF7">
            <w:pPr>
              <w:spacing w:line="240" w:lineRule="atLeast"/>
              <w:rPr>
                <w:rFonts w:ascii="Times New Roman" w:hAnsi="Times New Roman"/>
                <w:spacing w:val="10"/>
                <w:szCs w:val="21"/>
              </w:rPr>
            </w:pPr>
            <w:r>
              <w:rPr>
                <w:rFonts w:ascii="Times New Roman" w:hAnsi="Times New Roman"/>
                <w:snapToGrid w:val="0"/>
                <w:kern w:val="0"/>
                <w:szCs w:val="21"/>
              </w:rPr>
              <w:t>年蒸发量</w:t>
            </w:r>
            <w:r>
              <w:rPr>
                <w:rFonts w:ascii="Times New Roman" w:hAnsi="Times New Roman"/>
                <w:snapToGrid w:val="0"/>
                <w:kern w:val="0"/>
                <w:szCs w:val="21"/>
              </w:rPr>
              <w:t xml:space="preserve">   </w:t>
            </w:r>
          </w:p>
        </w:tc>
        <w:tc>
          <w:tcPr>
            <w:tcW w:w="1701" w:type="dxa"/>
            <w:tcBorders>
              <w:tl2br w:val="nil"/>
              <w:tr2bl w:val="nil"/>
            </w:tcBorders>
          </w:tcPr>
          <w:p w:rsidR="00525419" w:rsidRDefault="00EE1CF7">
            <w:pPr>
              <w:spacing w:line="240" w:lineRule="atLeast"/>
              <w:rPr>
                <w:rFonts w:ascii="Times New Roman" w:hAnsi="Times New Roman"/>
                <w:spacing w:val="10"/>
                <w:szCs w:val="21"/>
              </w:rPr>
            </w:pPr>
            <w:r>
              <w:rPr>
                <w:rFonts w:ascii="Times New Roman" w:hAnsi="Times New Roman"/>
                <w:snapToGrid w:val="0"/>
                <w:kern w:val="0"/>
                <w:szCs w:val="21"/>
              </w:rPr>
              <w:t>2625.3mm</w:t>
            </w:r>
          </w:p>
        </w:tc>
        <w:tc>
          <w:tcPr>
            <w:tcW w:w="2693" w:type="dxa"/>
            <w:tcBorders>
              <w:tl2br w:val="nil"/>
              <w:tr2bl w:val="nil"/>
            </w:tcBorders>
          </w:tcPr>
          <w:p w:rsidR="00525419" w:rsidRDefault="00EE1CF7">
            <w:pPr>
              <w:spacing w:line="240" w:lineRule="atLeast"/>
              <w:rPr>
                <w:rFonts w:ascii="Times New Roman" w:hAnsi="Times New Roman"/>
                <w:spacing w:val="10"/>
                <w:szCs w:val="21"/>
              </w:rPr>
            </w:pPr>
            <w:r>
              <w:rPr>
                <w:rFonts w:ascii="Times New Roman" w:hAnsi="Times New Roman"/>
                <w:snapToGrid w:val="0"/>
                <w:kern w:val="0"/>
                <w:szCs w:val="21"/>
              </w:rPr>
              <w:t>最大风速</w:t>
            </w:r>
            <w:r>
              <w:rPr>
                <w:rFonts w:ascii="Times New Roman" w:hAnsi="Times New Roman"/>
                <w:snapToGrid w:val="0"/>
                <w:kern w:val="0"/>
                <w:szCs w:val="21"/>
              </w:rPr>
              <w:t xml:space="preserve">   </w:t>
            </w:r>
          </w:p>
        </w:tc>
        <w:tc>
          <w:tcPr>
            <w:tcW w:w="1610" w:type="dxa"/>
            <w:tcBorders>
              <w:tl2br w:val="nil"/>
              <w:tr2bl w:val="nil"/>
            </w:tcBorders>
          </w:tcPr>
          <w:p w:rsidR="00525419" w:rsidRDefault="00EE1CF7">
            <w:pPr>
              <w:spacing w:line="240" w:lineRule="atLeast"/>
              <w:rPr>
                <w:rFonts w:ascii="Times New Roman" w:hAnsi="Times New Roman"/>
                <w:spacing w:val="10"/>
                <w:szCs w:val="21"/>
              </w:rPr>
            </w:pPr>
            <w:r>
              <w:rPr>
                <w:rFonts w:ascii="Times New Roman" w:hAnsi="Times New Roman"/>
                <w:snapToGrid w:val="0"/>
                <w:kern w:val="0"/>
                <w:szCs w:val="21"/>
              </w:rPr>
              <w:t>20m/s</w:t>
            </w:r>
          </w:p>
        </w:tc>
      </w:tr>
      <w:tr w:rsidR="00525419">
        <w:trPr>
          <w:trHeight w:val="311"/>
        </w:trPr>
        <w:tc>
          <w:tcPr>
            <w:tcW w:w="2518" w:type="dxa"/>
            <w:tcBorders>
              <w:tl2br w:val="nil"/>
              <w:tr2bl w:val="nil"/>
            </w:tcBorders>
          </w:tcPr>
          <w:p w:rsidR="00525419" w:rsidRDefault="00EE1CF7">
            <w:pPr>
              <w:spacing w:line="240" w:lineRule="atLeast"/>
              <w:rPr>
                <w:rFonts w:ascii="Times New Roman" w:hAnsi="Times New Roman"/>
                <w:spacing w:val="10"/>
                <w:szCs w:val="21"/>
              </w:rPr>
            </w:pPr>
            <w:r>
              <w:rPr>
                <w:rFonts w:ascii="Times New Roman" w:hAnsi="Times New Roman"/>
                <w:snapToGrid w:val="0"/>
                <w:kern w:val="0"/>
                <w:szCs w:val="21"/>
              </w:rPr>
              <w:t>年日照时数为</w:t>
            </w:r>
            <w:r>
              <w:rPr>
                <w:rFonts w:ascii="Times New Roman" w:hAnsi="Times New Roman"/>
                <w:snapToGrid w:val="0"/>
                <w:kern w:val="0"/>
                <w:szCs w:val="21"/>
              </w:rPr>
              <w:t xml:space="preserve">  </w:t>
            </w:r>
          </w:p>
        </w:tc>
        <w:tc>
          <w:tcPr>
            <w:tcW w:w="1701" w:type="dxa"/>
            <w:tcBorders>
              <w:tl2br w:val="nil"/>
              <w:tr2bl w:val="nil"/>
            </w:tcBorders>
          </w:tcPr>
          <w:p w:rsidR="00525419" w:rsidRDefault="00EE1CF7">
            <w:pPr>
              <w:spacing w:line="240" w:lineRule="atLeast"/>
              <w:rPr>
                <w:rFonts w:ascii="Times New Roman" w:hAnsi="Times New Roman"/>
                <w:spacing w:val="10"/>
                <w:szCs w:val="21"/>
              </w:rPr>
            </w:pPr>
            <w:r>
              <w:rPr>
                <w:rFonts w:ascii="Times New Roman" w:hAnsi="Times New Roman"/>
                <w:snapToGrid w:val="0"/>
                <w:kern w:val="0"/>
                <w:szCs w:val="21"/>
              </w:rPr>
              <w:t>3060.2h</w:t>
            </w:r>
          </w:p>
        </w:tc>
        <w:tc>
          <w:tcPr>
            <w:tcW w:w="2693" w:type="dxa"/>
            <w:tcBorders>
              <w:tl2br w:val="nil"/>
              <w:tr2bl w:val="nil"/>
            </w:tcBorders>
          </w:tcPr>
          <w:p w:rsidR="00525419" w:rsidRDefault="00EE1CF7">
            <w:pPr>
              <w:spacing w:line="240" w:lineRule="atLeast"/>
              <w:rPr>
                <w:rFonts w:ascii="Times New Roman" w:hAnsi="Times New Roman"/>
                <w:spacing w:val="10"/>
                <w:szCs w:val="21"/>
              </w:rPr>
            </w:pPr>
            <w:r>
              <w:rPr>
                <w:rFonts w:ascii="Times New Roman" w:hAnsi="Times New Roman"/>
                <w:snapToGrid w:val="0"/>
                <w:kern w:val="0"/>
                <w:szCs w:val="21"/>
              </w:rPr>
              <w:t>多年平均风速</w:t>
            </w:r>
          </w:p>
        </w:tc>
        <w:tc>
          <w:tcPr>
            <w:tcW w:w="1610" w:type="dxa"/>
            <w:tcBorders>
              <w:tl2br w:val="nil"/>
              <w:tr2bl w:val="nil"/>
            </w:tcBorders>
          </w:tcPr>
          <w:p w:rsidR="00525419" w:rsidRDefault="00EE1CF7">
            <w:pPr>
              <w:spacing w:line="240" w:lineRule="atLeast"/>
              <w:rPr>
                <w:rFonts w:ascii="Times New Roman" w:hAnsi="Times New Roman"/>
                <w:spacing w:val="10"/>
                <w:szCs w:val="21"/>
              </w:rPr>
            </w:pPr>
            <w:r>
              <w:rPr>
                <w:rFonts w:ascii="Times New Roman" w:hAnsi="Times New Roman"/>
                <w:snapToGrid w:val="0"/>
                <w:kern w:val="0"/>
                <w:szCs w:val="21"/>
              </w:rPr>
              <w:t>2.2m/s</w:t>
            </w:r>
          </w:p>
        </w:tc>
      </w:tr>
      <w:tr w:rsidR="00525419">
        <w:trPr>
          <w:trHeight w:val="360"/>
        </w:trPr>
        <w:tc>
          <w:tcPr>
            <w:tcW w:w="2518" w:type="dxa"/>
            <w:tcBorders>
              <w:tl2br w:val="nil"/>
              <w:tr2bl w:val="nil"/>
            </w:tcBorders>
          </w:tcPr>
          <w:p w:rsidR="00525419" w:rsidRDefault="00EE1CF7">
            <w:pPr>
              <w:spacing w:line="240" w:lineRule="atLeast"/>
              <w:rPr>
                <w:rFonts w:ascii="Times New Roman" w:hAnsi="Times New Roman"/>
                <w:snapToGrid w:val="0"/>
                <w:kern w:val="0"/>
                <w:szCs w:val="21"/>
              </w:rPr>
            </w:pPr>
            <w:r>
              <w:rPr>
                <w:rFonts w:ascii="Times New Roman" w:hAnsi="Times New Roman"/>
                <w:snapToGrid w:val="0"/>
                <w:kern w:val="0"/>
                <w:szCs w:val="21"/>
              </w:rPr>
              <w:t>极端最大风速</w:t>
            </w:r>
            <w:r>
              <w:rPr>
                <w:rFonts w:ascii="Times New Roman" w:hAnsi="Times New Roman"/>
                <w:snapToGrid w:val="0"/>
                <w:kern w:val="0"/>
                <w:szCs w:val="21"/>
              </w:rPr>
              <w:t xml:space="preserve">  </w:t>
            </w:r>
          </w:p>
        </w:tc>
        <w:tc>
          <w:tcPr>
            <w:tcW w:w="1701" w:type="dxa"/>
            <w:tcBorders>
              <w:tl2br w:val="nil"/>
              <w:tr2bl w:val="nil"/>
            </w:tcBorders>
          </w:tcPr>
          <w:p w:rsidR="00525419" w:rsidRDefault="00EE1CF7">
            <w:pPr>
              <w:spacing w:line="240" w:lineRule="atLeast"/>
              <w:rPr>
                <w:rFonts w:ascii="Times New Roman" w:hAnsi="Times New Roman"/>
                <w:snapToGrid w:val="0"/>
                <w:kern w:val="0"/>
                <w:szCs w:val="21"/>
              </w:rPr>
            </w:pPr>
            <w:r>
              <w:rPr>
                <w:rFonts w:ascii="Times New Roman" w:hAnsi="Times New Roman"/>
                <w:snapToGrid w:val="0"/>
                <w:kern w:val="0"/>
                <w:szCs w:val="21"/>
              </w:rPr>
              <w:t>34m/s</w:t>
            </w:r>
          </w:p>
        </w:tc>
        <w:tc>
          <w:tcPr>
            <w:tcW w:w="2693" w:type="dxa"/>
            <w:tcBorders>
              <w:tl2br w:val="nil"/>
              <w:tr2bl w:val="nil"/>
            </w:tcBorders>
          </w:tcPr>
          <w:p w:rsidR="00525419" w:rsidRDefault="00EE1CF7">
            <w:pPr>
              <w:spacing w:line="240" w:lineRule="atLeast"/>
              <w:rPr>
                <w:rFonts w:ascii="Times New Roman" w:hAnsi="Times New Roman"/>
                <w:snapToGrid w:val="0"/>
                <w:kern w:val="0"/>
                <w:szCs w:val="21"/>
              </w:rPr>
            </w:pPr>
            <w:r>
              <w:rPr>
                <w:rFonts w:ascii="Times New Roman" w:hAnsi="Times New Roman"/>
                <w:snapToGrid w:val="0"/>
                <w:kern w:val="0"/>
                <w:szCs w:val="21"/>
              </w:rPr>
              <w:t>历年最多大风日数为</w:t>
            </w:r>
            <w:r>
              <w:rPr>
                <w:rFonts w:ascii="Times New Roman" w:hAnsi="Times New Roman"/>
                <w:snapToGrid w:val="0"/>
                <w:kern w:val="0"/>
                <w:szCs w:val="21"/>
              </w:rPr>
              <w:t xml:space="preserve">   </w:t>
            </w:r>
          </w:p>
        </w:tc>
        <w:tc>
          <w:tcPr>
            <w:tcW w:w="1610" w:type="dxa"/>
            <w:tcBorders>
              <w:tl2br w:val="nil"/>
              <w:tr2bl w:val="nil"/>
            </w:tcBorders>
          </w:tcPr>
          <w:p w:rsidR="00525419" w:rsidRDefault="00EE1CF7">
            <w:pPr>
              <w:spacing w:line="240" w:lineRule="atLeast"/>
              <w:rPr>
                <w:rFonts w:ascii="Times New Roman" w:hAnsi="Times New Roman"/>
                <w:snapToGrid w:val="0"/>
                <w:kern w:val="0"/>
                <w:szCs w:val="21"/>
              </w:rPr>
            </w:pPr>
            <w:r>
              <w:rPr>
                <w:rFonts w:ascii="Times New Roman" w:hAnsi="Times New Roman"/>
                <w:snapToGrid w:val="0"/>
                <w:kern w:val="0"/>
                <w:szCs w:val="21"/>
              </w:rPr>
              <w:t>60</w:t>
            </w:r>
            <w:r>
              <w:rPr>
                <w:rFonts w:ascii="Times New Roman" w:hAnsi="Times New Roman"/>
                <w:snapToGrid w:val="0"/>
                <w:kern w:val="0"/>
                <w:szCs w:val="21"/>
              </w:rPr>
              <w:t>天</w:t>
            </w:r>
          </w:p>
        </w:tc>
      </w:tr>
      <w:tr w:rsidR="00525419">
        <w:trPr>
          <w:trHeight w:val="305"/>
        </w:trPr>
        <w:tc>
          <w:tcPr>
            <w:tcW w:w="2518" w:type="dxa"/>
            <w:tcBorders>
              <w:tl2br w:val="nil"/>
              <w:tr2bl w:val="nil"/>
            </w:tcBorders>
          </w:tcPr>
          <w:p w:rsidR="00525419" w:rsidRDefault="00EE1CF7">
            <w:pPr>
              <w:spacing w:line="240" w:lineRule="atLeast"/>
              <w:rPr>
                <w:rFonts w:ascii="Times New Roman" w:hAnsi="Times New Roman"/>
                <w:snapToGrid w:val="0"/>
                <w:kern w:val="0"/>
                <w:szCs w:val="21"/>
              </w:rPr>
            </w:pPr>
            <w:r>
              <w:rPr>
                <w:rFonts w:ascii="Times New Roman" w:hAnsi="Times New Roman"/>
                <w:snapToGrid w:val="0"/>
                <w:kern w:val="0"/>
                <w:szCs w:val="21"/>
              </w:rPr>
              <w:t>历年年平均沙尘暴日数</w:t>
            </w:r>
            <w:r>
              <w:rPr>
                <w:rFonts w:ascii="Times New Roman" w:hAnsi="Times New Roman"/>
                <w:snapToGrid w:val="0"/>
                <w:kern w:val="0"/>
                <w:szCs w:val="21"/>
              </w:rPr>
              <w:t xml:space="preserve">  </w:t>
            </w:r>
          </w:p>
        </w:tc>
        <w:tc>
          <w:tcPr>
            <w:tcW w:w="1701" w:type="dxa"/>
            <w:tcBorders>
              <w:tl2br w:val="nil"/>
              <w:tr2bl w:val="nil"/>
            </w:tcBorders>
          </w:tcPr>
          <w:p w:rsidR="00525419" w:rsidRDefault="00EE1CF7">
            <w:pPr>
              <w:spacing w:line="240" w:lineRule="atLeast"/>
              <w:rPr>
                <w:rFonts w:ascii="Times New Roman" w:hAnsi="Times New Roman"/>
                <w:snapToGrid w:val="0"/>
                <w:kern w:val="0"/>
                <w:szCs w:val="21"/>
              </w:rPr>
            </w:pPr>
            <w:r>
              <w:rPr>
                <w:rFonts w:ascii="Times New Roman" w:hAnsi="Times New Roman"/>
                <w:snapToGrid w:val="0"/>
                <w:kern w:val="0"/>
                <w:szCs w:val="21"/>
              </w:rPr>
              <w:t>4.6</w:t>
            </w:r>
            <w:r>
              <w:rPr>
                <w:rFonts w:ascii="Times New Roman" w:hAnsi="Times New Roman"/>
                <w:snapToGrid w:val="0"/>
                <w:kern w:val="0"/>
                <w:szCs w:val="21"/>
              </w:rPr>
              <w:t>天</w:t>
            </w:r>
          </w:p>
        </w:tc>
        <w:tc>
          <w:tcPr>
            <w:tcW w:w="2693" w:type="dxa"/>
            <w:tcBorders>
              <w:tl2br w:val="nil"/>
              <w:tr2bl w:val="nil"/>
            </w:tcBorders>
          </w:tcPr>
          <w:p w:rsidR="00525419" w:rsidRDefault="00EE1CF7">
            <w:pPr>
              <w:spacing w:line="240" w:lineRule="atLeast"/>
              <w:rPr>
                <w:rFonts w:ascii="Times New Roman" w:hAnsi="Times New Roman"/>
                <w:snapToGrid w:val="0"/>
                <w:kern w:val="0"/>
                <w:szCs w:val="21"/>
              </w:rPr>
            </w:pPr>
            <w:r>
              <w:rPr>
                <w:rFonts w:ascii="Times New Roman" w:hAnsi="Times New Roman"/>
                <w:snapToGrid w:val="0"/>
                <w:kern w:val="0"/>
                <w:szCs w:val="21"/>
              </w:rPr>
              <w:t>10℃</w:t>
            </w:r>
            <w:r>
              <w:rPr>
                <w:rFonts w:ascii="Times New Roman" w:hAnsi="Times New Roman"/>
                <w:snapToGrid w:val="0"/>
                <w:kern w:val="0"/>
                <w:szCs w:val="21"/>
              </w:rPr>
              <w:t>以上积温</w:t>
            </w:r>
            <w:r>
              <w:rPr>
                <w:rFonts w:ascii="Times New Roman" w:hAnsi="Times New Roman"/>
                <w:snapToGrid w:val="0"/>
                <w:kern w:val="0"/>
                <w:szCs w:val="21"/>
              </w:rPr>
              <w:t xml:space="preserve">   </w:t>
            </w:r>
          </w:p>
        </w:tc>
        <w:tc>
          <w:tcPr>
            <w:tcW w:w="1610" w:type="dxa"/>
            <w:tcBorders>
              <w:tl2br w:val="nil"/>
              <w:tr2bl w:val="nil"/>
            </w:tcBorders>
          </w:tcPr>
          <w:p w:rsidR="00525419" w:rsidRDefault="00EE1CF7">
            <w:pPr>
              <w:spacing w:line="240" w:lineRule="atLeast"/>
              <w:rPr>
                <w:rFonts w:ascii="Times New Roman" w:hAnsi="Times New Roman"/>
                <w:snapToGrid w:val="0"/>
                <w:kern w:val="0"/>
                <w:szCs w:val="21"/>
              </w:rPr>
            </w:pPr>
            <w:r>
              <w:rPr>
                <w:rFonts w:ascii="Times New Roman" w:hAnsi="Times New Roman"/>
                <w:snapToGrid w:val="0"/>
                <w:kern w:val="0"/>
                <w:szCs w:val="21"/>
              </w:rPr>
              <w:t>4525.5℃</w:t>
            </w:r>
          </w:p>
        </w:tc>
      </w:tr>
      <w:tr w:rsidR="00525419">
        <w:trPr>
          <w:trHeight w:val="90"/>
        </w:trPr>
        <w:tc>
          <w:tcPr>
            <w:tcW w:w="2518" w:type="dxa"/>
            <w:tcBorders>
              <w:tl2br w:val="nil"/>
              <w:tr2bl w:val="nil"/>
            </w:tcBorders>
          </w:tcPr>
          <w:p w:rsidR="00525419" w:rsidRDefault="00EE1CF7">
            <w:pPr>
              <w:spacing w:line="240" w:lineRule="atLeast"/>
              <w:rPr>
                <w:rFonts w:ascii="Times New Roman" w:hAnsi="Times New Roman"/>
                <w:snapToGrid w:val="0"/>
                <w:kern w:val="0"/>
                <w:szCs w:val="21"/>
              </w:rPr>
            </w:pPr>
            <w:r>
              <w:rPr>
                <w:rFonts w:ascii="Times New Roman" w:hAnsi="Times New Roman"/>
                <w:snapToGrid w:val="0"/>
                <w:kern w:val="0"/>
                <w:szCs w:val="21"/>
              </w:rPr>
              <w:t>年平均无霜期</w:t>
            </w:r>
            <w:r>
              <w:rPr>
                <w:rFonts w:ascii="Times New Roman" w:hAnsi="Times New Roman"/>
                <w:snapToGrid w:val="0"/>
                <w:kern w:val="0"/>
                <w:szCs w:val="21"/>
              </w:rPr>
              <w:t xml:space="preserve">  </w:t>
            </w:r>
          </w:p>
        </w:tc>
        <w:tc>
          <w:tcPr>
            <w:tcW w:w="1701" w:type="dxa"/>
            <w:tcBorders>
              <w:tl2br w:val="nil"/>
              <w:tr2bl w:val="nil"/>
            </w:tcBorders>
          </w:tcPr>
          <w:p w:rsidR="00525419" w:rsidRDefault="00EE1CF7">
            <w:pPr>
              <w:spacing w:line="240" w:lineRule="atLeast"/>
              <w:rPr>
                <w:rFonts w:ascii="Times New Roman" w:hAnsi="Times New Roman"/>
                <w:snapToGrid w:val="0"/>
                <w:kern w:val="0"/>
                <w:szCs w:val="21"/>
              </w:rPr>
            </w:pPr>
            <w:r>
              <w:rPr>
                <w:rFonts w:ascii="Times New Roman" w:hAnsi="Times New Roman"/>
                <w:snapToGrid w:val="0"/>
                <w:kern w:val="0"/>
                <w:szCs w:val="21"/>
              </w:rPr>
              <w:t>195</w:t>
            </w:r>
            <w:r>
              <w:rPr>
                <w:rFonts w:ascii="Times New Roman" w:hAnsi="Times New Roman"/>
                <w:snapToGrid w:val="0"/>
                <w:kern w:val="0"/>
                <w:szCs w:val="21"/>
              </w:rPr>
              <w:t>天</w:t>
            </w:r>
          </w:p>
        </w:tc>
        <w:tc>
          <w:tcPr>
            <w:tcW w:w="2693" w:type="dxa"/>
            <w:tcBorders>
              <w:tl2br w:val="nil"/>
              <w:tr2bl w:val="nil"/>
            </w:tcBorders>
          </w:tcPr>
          <w:p w:rsidR="00525419" w:rsidRDefault="00EE1CF7">
            <w:pPr>
              <w:spacing w:line="240" w:lineRule="atLeast"/>
              <w:rPr>
                <w:rFonts w:ascii="Times New Roman" w:hAnsi="Times New Roman"/>
                <w:snapToGrid w:val="0"/>
                <w:kern w:val="0"/>
                <w:szCs w:val="21"/>
              </w:rPr>
            </w:pPr>
            <w:r>
              <w:rPr>
                <w:rFonts w:ascii="Times New Roman" w:hAnsi="Times New Roman"/>
                <w:snapToGrid w:val="0"/>
                <w:kern w:val="0"/>
                <w:szCs w:val="21"/>
              </w:rPr>
              <w:t>年平均雷暴天数</w:t>
            </w:r>
            <w:r>
              <w:rPr>
                <w:rFonts w:ascii="Times New Roman" w:hAnsi="Times New Roman"/>
                <w:snapToGrid w:val="0"/>
                <w:kern w:val="0"/>
                <w:szCs w:val="21"/>
              </w:rPr>
              <w:t xml:space="preserve">     </w:t>
            </w:r>
          </w:p>
        </w:tc>
        <w:tc>
          <w:tcPr>
            <w:tcW w:w="1610" w:type="dxa"/>
            <w:tcBorders>
              <w:tl2br w:val="nil"/>
              <w:tr2bl w:val="nil"/>
            </w:tcBorders>
          </w:tcPr>
          <w:p w:rsidR="00525419" w:rsidRDefault="00EE1CF7">
            <w:pPr>
              <w:spacing w:line="240" w:lineRule="atLeast"/>
              <w:rPr>
                <w:rFonts w:ascii="Times New Roman" w:hAnsi="Times New Roman"/>
                <w:snapToGrid w:val="0"/>
                <w:kern w:val="0"/>
                <w:szCs w:val="21"/>
              </w:rPr>
            </w:pPr>
            <w:r>
              <w:rPr>
                <w:rFonts w:ascii="Times New Roman" w:hAnsi="Times New Roman"/>
                <w:snapToGrid w:val="0"/>
                <w:kern w:val="0"/>
                <w:szCs w:val="21"/>
              </w:rPr>
              <w:t>5.8</w:t>
            </w:r>
            <w:r>
              <w:rPr>
                <w:rFonts w:ascii="Times New Roman" w:hAnsi="Times New Roman"/>
                <w:snapToGrid w:val="0"/>
                <w:kern w:val="0"/>
                <w:szCs w:val="21"/>
              </w:rPr>
              <w:t>天</w:t>
            </w:r>
          </w:p>
        </w:tc>
      </w:tr>
      <w:tr w:rsidR="00525419">
        <w:trPr>
          <w:trHeight w:val="218"/>
        </w:trPr>
        <w:tc>
          <w:tcPr>
            <w:tcW w:w="2518" w:type="dxa"/>
            <w:tcBorders>
              <w:tl2br w:val="nil"/>
              <w:tr2bl w:val="nil"/>
            </w:tcBorders>
          </w:tcPr>
          <w:p w:rsidR="00525419" w:rsidRDefault="00EE1CF7">
            <w:pPr>
              <w:spacing w:line="240" w:lineRule="atLeast"/>
              <w:rPr>
                <w:rFonts w:ascii="Times New Roman" w:hAnsi="Times New Roman"/>
                <w:snapToGrid w:val="0"/>
                <w:kern w:val="0"/>
                <w:szCs w:val="21"/>
              </w:rPr>
            </w:pPr>
            <w:r>
              <w:rPr>
                <w:rFonts w:ascii="Times New Roman" w:hAnsi="Times New Roman"/>
                <w:snapToGrid w:val="0"/>
                <w:kern w:val="0"/>
                <w:szCs w:val="21"/>
              </w:rPr>
              <w:t>最大冻土深度</w:t>
            </w:r>
            <w:r>
              <w:rPr>
                <w:rFonts w:ascii="Times New Roman" w:hAnsi="Times New Roman"/>
                <w:snapToGrid w:val="0"/>
                <w:kern w:val="0"/>
                <w:szCs w:val="21"/>
              </w:rPr>
              <w:t xml:space="preserve">    </w:t>
            </w:r>
          </w:p>
        </w:tc>
        <w:tc>
          <w:tcPr>
            <w:tcW w:w="1701" w:type="dxa"/>
            <w:tcBorders>
              <w:tl2br w:val="nil"/>
              <w:tr2bl w:val="nil"/>
            </w:tcBorders>
          </w:tcPr>
          <w:p w:rsidR="00525419" w:rsidRDefault="00EE1CF7">
            <w:pPr>
              <w:spacing w:line="240" w:lineRule="atLeast"/>
              <w:rPr>
                <w:rFonts w:ascii="Times New Roman" w:hAnsi="Times New Roman"/>
                <w:snapToGrid w:val="0"/>
                <w:kern w:val="0"/>
                <w:szCs w:val="21"/>
              </w:rPr>
            </w:pPr>
            <w:r>
              <w:rPr>
                <w:rFonts w:ascii="Times New Roman" w:hAnsi="Times New Roman"/>
                <w:snapToGrid w:val="0"/>
                <w:kern w:val="0"/>
                <w:szCs w:val="21"/>
              </w:rPr>
              <w:t>1.17m</w:t>
            </w:r>
          </w:p>
        </w:tc>
        <w:tc>
          <w:tcPr>
            <w:tcW w:w="2693" w:type="dxa"/>
            <w:tcBorders>
              <w:tl2br w:val="nil"/>
              <w:tr2bl w:val="nil"/>
            </w:tcBorders>
          </w:tcPr>
          <w:p w:rsidR="00525419" w:rsidRDefault="00525419">
            <w:pPr>
              <w:spacing w:line="240" w:lineRule="atLeast"/>
              <w:rPr>
                <w:rFonts w:ascii="Times New Roman" w:hAnsi="Times New Roman"/>
                <w:snapToGrid w:val="0"/>
                <w:kern w:val="0"/>
                <w:szCs w:val="21"/>
              </w:rPr>
            </w:pPr>
          </w:p>
        </w:tc>
        <w:tc>
          <w:tcPr>
            <w:tcW w:w="1610" w:type="dxa"/>
            <w:tcBorders>
              <w:tl2br w:val="nil"/>
              <w:tr2bl w:val="nil"/>
            </w:tcBorders>
          </w:tcPr>
          <w:p w:rsidR="00525419" w:rsidRDefault="00525419">
            <w:pPr>
              <w:spacing w:line="240" w:lineRule="atLeast"/>
              <w:rPr>
                <w:rFonts w:ascii="Times New Roman" w:hAnsi="Times New Roman"/>
                <w:snapToGrid w:val="0"/>
                <w:kern w:val="0"/>
                <w:szCs w:val="21"/>
              </w:rPr>
            </w:pPr>
          </w:p>
        </w:tc>
      </w:tr>
    </w:tbl>
    <w:p w:rsidR="00525419" w:rsidRDefault="00EE1CF7">
      <w:pPr>
        <w:spacing w:line="500" w:lineRule="exact"/>
        <w:ind w:left="-3" w:firstLineChars="200" w:firstLine="480"/>
        <w:rPr>
          <w:rFonts w:ascii="Times New Roman" w:hAnsi="Times New Roman"/>
          <w:snapToGrid w:val="0"/>
          <w:kern w:val="0"/>
          <w:sz w:val="24"/>
        </w:rPr>
      </w:pPr>
      <w:r>
        <w:rPr>
          <w:rFonts w:ascii="Times New Roman" w:hAnsi="Times New Roman"/>
          <w:snapToGrid w:val="0"/>
          <w:kern w:val="0"/>
          <w:sz w:val="24"/>
        </w:rPr>
        <w:t>新疆鄯善高新技术产业开发区（鄯善工业园区）常年风速</w:t>
      </w:r>
      <w:r>
        <w:rPr>
          <w:rFonts w:ascii="Times New Roman" w:hAnsi="Times New Roman"/>
          <w:snapToGrid w:val="0"/>
          <w:kern w:val="0"/>
          <w:sz w:val="24"/>
        </w:rPr>
        <w:t>4.8m/s</w:t>
      </w:r>
      <w:r>
        <w:rPr>
          <w:rFonts w:ascii="Times New Roman" w:hAnsi="Times New Roman"/>
          <w:snapToGrid w:val="0"/>
          <w:kern w:val="0"/>
          <w:sz w:val="24"/>
        </w:rPr>
        <w:t>，风速的月季分布是</w:t>
      </w:r>
      <w:r>
        <w:rPr>
          <w:rFonts w:ascii="Times New Roman" w:hAnsi="Times New Roman"/>
          <w:snapToGrid w:val="0"/>
          <w:kern w:val="0"/>
          <w:sz w:val="24"/>
        </w:rPr>
        <w:t>3</w:t>
      </w:r>
      <w:r>
        <w:rPr>
          <w:rFonts w:ascii="Times New Roman" w:hAnsi="Times New Roman"/>
          <w:snapToGrid w:val="0"/>
          <w:kern w:val="0"/>
          <w:sz w:val="24"/>
        </w:rPr>
        <w:t>～</w:t>
      </w:r>
      <w:r>
        <w:rPr>
          <w:rFonts w:ascii="Times New Roman" w:hAnsi="Times New Roman"/>
          <w:snapToGrid w:val="0"/>
          <w:kern w:val="0"/>
          <w:sz w:val="24"/>
        </w:rPr>
        <w:t>8</w:t>
      </w:r>
      <w:r>
        <w:rPr>
          <w:rFonts w:ascii="Times New Roman" w:hAnsi="Times New Roman"/>
          <w:snapToGrid w:val="0"/>
          <w:kern w:val="0"/>
          <w:sz w:val="24"/>
        </w:rPr>
        <w:t>月为大风季节，春季多持续性大风，夏季多阵性大风，风力强平均风速也大，定时最大风速</w:t>
      </w:r>
      <w:r>
        <w:rPr>
          <w:rFonts w:ascii="Times New Roman" w:hAnsi="Times New Roman"/>
          <w:snapToGrid w:val="0"/>
          <w:kern w:val="0"/>
          <w:sz w:val="24"/>
        </w:rPr>
        <w:t>10m/s</w:t>
      </w:r>
      <w:r>
        <w:rPr>
          <w:rFonts w:ascii="Times New Roman" w:hAnsi="Times New Roman"/>
          <w:snapToGrid w:val="0"/>
          <w:kern w:val="0"/>
          <w:sz w:val="24"/>
        </w:rPr>
        <w:t>，风向为北风，最多风向为东北风，占全年总和的</w:t>
      </w:r>
      <w:r>
        <w:rPr>
          <w:rFonts w:ascii="Times New Roman" w:hAnsi="Times New Roman"/>
          <w:snapToGrid w:val="0"/>
          <w:kern w:val="0"/>
          <w:sz w:val="24"/>
        </w:rPr>
        <w:t>37%</w:t>
      </w:r>
      <w:r>
        <w:rPr>
          <w:rFonts w:ascii="Times New Roman" w:hAnsi="Times New Roman"/>
          <w:snapToGrid w:val="0"/>
          <w:kern w:val="0"/>
          <w:sz w:val="24"/>
        </w:rPr>
        <w:t>，最少风向为西北风，占全年各风向总和的</w:t>
      </w:r>
      <w:r>
        <w:rPr>
          <w:rFonts w:ascii="Times New Roman" w:hAnsi="Times New Roman"/>
          <w:snapToGrid w:val="0"/>
          <w:kern w:val="0"/>
          <w:sz w:val="24"/>
        </w:rPr>
        <w:t>1%</w:t>
      </w:r>
      <w:r>
        <w:rPr>
          <w:rFonts w:ascii="Times New Roman" w:hAnsi="Times New Roman"/>
          <w:snapToGrid w:val="0"/>
          <w:kern w:val="0"/>
          <w:sz w:val="24"/>
        </w:rPr>
        <w:t>～</w:t>
      </w:r>
      <w:r>
        <w:rPr>
          <w:rFonts w:ascii="Times New Roman" w:hAnsi="Times New Roman"/>
          <w:snapToGrid w:val="0"/>
          <w:kern w:val="0"/>
          <w:sz w:val="24"/>
        </w:rPr>
        <w:t>2%</w:t>
      </w:r>
      <w:r>
        <w:rPr>
          <w:rFonts w:ascii="Times New Roman" w:hAnsi="Times New Roman"/>
          <w:snapToGrid w:val="0"/>
          <w:kern w:val="0"/>
          <w:sz w:val="24"/>
        </w:rPr>
        <w:t>。该区年平均气温</w:t>
      </w:r>
      <w:r>
        <w:rPr>
          <w:rFonts w:ascii="Times New Roman" w:hAnsi="Times New Roman"/>
          <w:snapToGrid w:val="0"/>
          <w:kern w:val="0"/>
          <w:sz w:val="24"/>
        </w:rPr>
        <w:t>11.3℃</w:t>
      </w:r>
      <w:r>
        <w:rPr>
          <w:rFonts w:ascii="Times New Roman" w:hAnsi="Times New Roman"/>
          <w:snapToGrid w:val="0"/>
          <w:kern w:val="0"/>
          <w:sz w:val="24"/>
        </w:rPr>
        <w:t>，历年最高气温达</w:t>
      </w:r>
      <w:r>
        <w:rPr>
          <w:rFonts w:ascii="Times New Roman" w:hAnsi="Times New Roman"/>
          <w:snapToGrid w:val="0"/>
          <w:kern w:val="0"/>
          <w:sz w:val="24"/>
        </w:rPr>
        <w:t>44℃</w:t>
      </w:r>
      <w:r>
        <w:rPr>
          <w:rFonts w:ascii="Times New Roman" w:hAnsi="Times New Roman"/>
          <w:snapToGrid w:val="0"/>
          <w:kern w:val="0"/>
          <w:sz w:val="24"/>
        </w:rPr>
        <w:t>，最低气温</w:t>
      </w:r>
      <w:r>
        <w:rPr>
          <w:rFonts w:ascii="Times New Roman" w:hAnsi="Times New Roman"/>
          <w:snapToGrid w:val="0"/>
          <w:kern w:val="0"/>
          <w:sz w:val="24"/>
        </w:rPr>
        <w:t>-28℃</w:t>
      </w:r>
      <w:r>
        <w:rPr>
          <w:rFonts w:ascii="Times New Roman" w:hAnsi="Times New Roman"/>
          <w:snapToGrid w:val="0"/>
          <w:kern w:val="0"/>
          <w:sz w:val="24"/>
        </w:rPr>
        <w:t>，最低月平均气温</w:t>
      </w:r>
      <w:r>
        <w:rPr>
          <w:rFonts w:ascii="Times New Roman" w:hAnsi="Times New Roman"/>
          <w:snapToGrid w:val="0"/>
          <w:kern w:val="0"/>
          <w:sz w:val="24"/>
        </w:rPr>
        <w:t>-11.2℃</w:t>
      </w:r>
      <w:r>
        <w:rPr>
          <w:rFonts w:ascii="Times New Roman" w:hAnsi="Times New Roman"/>
          <w:snapToGrid w:val="0"/>
          <w:kern w:val="0"/>
          <w:sz w:val="24"/>
        </w:rPr>
        <w:t>，负温期在</w:t>
      </w:r>
      <w:r>
        <w:rPr>
          <w:rFonts w:ascii="Times New Roman" w:hAnsi="Times New Roman"/>
          <w:snapToGrid w:val="0"/>
          <w:kern w:val="0"/>
          <w:sz w:val="24"/>
        </w:rPr>
        <w:t>12</w:t>
      </w:r>
      <w:r>
        <w:rPr>
          <w:rFonts w:ascii="Times New Roman" w:hAnsi="Times New Roman"/>
          <w:snapToGrid w:val="0"/>
          <w:kern w:val="0"/>
          <w:sz w:val="24"/>
        </w:rPr>
        <w:t>末至</w:t>
      </w:r>
      <w:r>
        <w:rPr>
          <w:rFonts w:ascii="Times New Roman" w:hAnsi="Times New Roman"/>
          <w:snapToGrid w:val="0"/>
          <w:kern w:val="0"/>
          <w:sz w:val="24"/>
        </w:rPr>
        <w:t>2</w:t>
      </w:r>
      <w:r>
        <w:rPr>
          <w:rFonts w:ascii="Times New Roman" w:hAnsi="Times New Roman"/>
          <w:snapToGrid w:val="0"/>
          <w:kern w:val="0"/>
          <w:sz w:val="24"/>
        </w:rPr>
        <w:t>月份。新疆鄯善高新技术产业开发区（鄯善工业园区）属典型的大陆性干旱气候，年降水稀少，季节差异大，降水变化率大，全年降水日数不多。年平均降水量</w:t>
      </w:r>
      <w:r>
        <w:rPr>
          <w:rFonts w:ascii="Times New Roman" w:hAnsi="Times New Roman"/>
          <w:snapToGrid w:val="0"/>
          <w:kern w:val="0"/>
          <w:sz w:val="24"/>
        </w:rPr>
        <w:t>25.3mm</w:t>
      </w:r>
      <w:r>
        <w:rPr>
          <w:rFonts w:ascii="Times New Roman" w:hAnsi="Times New Roman"/>
          <w:snapToGrid w:val="0"/>
          <w:kern w:val="0"/>
          <w:sz w:val="24"/>
        </w:rPr>
        <w:t>，年降水日数为</w:t>
      </w:r>
      <w:r>
        <w:rPr>
          <w:rFonts w:ascii="Times New Roman" w:hAnsi="Times New Roman"/>
          <w:snapToGrid w:val="0"/>
          <w:kern w:val="0"/>
          <w:sz w:val="24"/>
        </w:rPr>
        <w:t>21.7</w:t>
      </w:r>
      <w:r>
        <w:rPr>
          <w:rFonts w:ascii="Times New Roman" w:hAnsi="Times New Roman"/>
          <w:snapToGrid w:val="0"/>
          <w:kern w:val="0"/>
          <w:sz w:val="24"/>
        </w:rPr>
        <w:t>天，年平均降雪量为</w:t>
      </w:r>
      <w:r>
        <w:rPr>
          <w:rFonts w:ascii="Times New Roman" w:hAnsi="Times New Roman"/>
          <w:snapToGrid w:val="0"/>
          <w:kern w:val="0"/>
          <w:sz w:val="24"/>
        </w:rPr>
        <w:t>3.0mm</w:t>
      </w:r>
      <w:r>
        <w:rPr>
          <w:rFonts w:ascii="Times New Roman" w:hAnsi="Times New Roman"/>
          <w:snapToGrid w:val="0"/>
          <w:kern w:val="0"/>
          <w:sz w:val="24"/>
        </w:rPr>
        <w:t>，占全年降水量的</w:t>
      </w:r>
      <w:r>
        <w:rPr>
          <w:rFonts w:ascii="Times New Roman" w:hAnsi="Times New Roman"/>
          <w:snapToGrid w:val="0"/>
          <w:kern w:val="0"/>
          <w:sz w:val="24"/>
        </w:rPr>
        <w:t>12%</w:t>
      </w:r>
      <w:r>
        <w:rPr>
          <w:rFonts w:ascii="Times New Roman" w:hAnsi="Times New Roman"/>
          <w:snapToGrid w:val="0"/>
          <w:kern w:val="0"/>
          <w:sz w:val="24"/>
        </w:rPr>
        <w:t>，最大积雪深度</w:t>
      </w:r>
      <w:r>
        <w:rPr>
          <w:rFonts w:ascii="Times New Roman" w:hAnsi="Times New Roman"/>
          <w:snapToGrid w:val="0"/>
          <w:kern w:val="0"/>
          <w:sz w:val="24"/>
        </w:rPr>
        <w:t>18cm</w:t>
      </w:r>
      <w:r>
        <w:rPr>
          <w:rFonts w:ascii="Times New Roman" w:hAnsi="Times New Roman"/>
          <w:snapToGrid w:val="0"/>
          <w:kern w:val="0"/>
          <w:sz w:val="24"/>
        </w:rPr>
        <w:t>。新疆鄯善高新技术产业开发区（鄯善工业园区）年蒸发量</w:t>
      </w:r>
      <w:r>
        <w:rPr>
          <w:rFonts w:ascii="Times New Roman" w:hAnsi="Times New Roman"/>
          <w:snapToGrid w:val="0"/>
          <w:kern w:val="0"/>
          <w:sz w:val="24"/>
        </w:rPr>
        <w:t>2727mm</w:t>
      </w:r>
      <w:r>
        <w:rPr>
          <w:rFonts w:ascii="Times New Roman" w:hAnsi="Times New Roman"/>
          <w:snapToGrid w:val="0"/>
          <w:kern w:val="0"/>
          <w:sz w:val="24"/>
        </w:rPr>
        <w:t>，全年蒸发量最高月份是</w:t>
      </w:r>
      <w:r>
        <w:rPr>
          <w:rFonts w:ascii="Times New Roman" w:hAnsi="Times New Roman"/>
          <w:snapToGrid w:val="0"/>
          <w:kern w:val="0"/>
          <w:sz w:val="24"/>
        </w:rPr>
        <w:t>7</w:t>
      </w:r>
      <w:r>
        <w:rPr>
          <w:rFonts w:ascii="Times New Roman" w:hAnsi="Times New Roman"/>
          <w:snapToGrid w:val="0"/>
          <w:kern w:val="0"/>
          <w:sz w:val="24"/>
        </w:rPr>
        <w:t>月，为</w:t>
      </w:r>
      <w:r>
        <w:rPr>
          <w:rFonts w:ascii="Times New Roman" w:hAnsi="Times New Roman"/>
          <w:snapToGrid w:val="0"/>
          <w:kern w:val="0"/>
          <w:sz w:val="24"/>
        </w:rPr>
        <w:t>431.6mm</w:t>
      </w:r>
      <w:r>
        <w:rPr>
          <w:rFonts w:ascii="Times New Roman" w:hAnsi="Times New Roman"/>
          <w:snapToGrid w:val="0"/>
          <w:kern w:val="0"/>
          <w:sz w:val="24"/>
        </w:rPr>
        <w:t>，最低月份是</w:t>
      </w:r>
      <w:r>
        <w:rPr>
          <w:rFonts w:ascii="Times New Roman" w:hAnsi="Times New Roman"/>
          <w:snapToGrid w:val="0"/>
          <w:kern w:val="0"/>
          <w:sz w:val="24"/>
        </w:rPr>
        <w:t>1</w:t>
      </w:r>
      <w:r>
        <w:rPr>
          <w:rFonts w:ascii="Times New Roman" w:hAnsi="Times New Roman"/>
          <w:snapToGrid w:val="0"/>
          <w:kern w:val="0"/>
          <w:sz w:val="24"/>
        </w:rPr>
        <w:t>月，为</w:t>
      </w:r>
      <w:r>
        <w:rPr>
          <w:rFonts w:ascii="Times New Roman" w:hAnsi="Times New Roman"/>
          <w:snapToGrid w:val="0"/>
          <w:kern w:val="0"/>
          <w:sz w:val="24"/>
        </w:rPr>
        <w:t>23.3mm</w:t>
      </w:r>
      <w:r>
        <w:rPr>
          <w:rFonts w:ascii="Times New Roman" w:hAnsi="Times New Roman"/>
          <w:snapToGrid w:val="0"/>
          <w:kern w:val="0"/>
          <w:sz w:val="24"/>
        </w:rPr>
        <w:t>，蒸发量是降水量的</w:t>
      </w:r>
      <w:r>
        <w:rPr>
          <w:rFonts w:ascii="Times New Roman" w:hAnsi="Times New Roman"/>
          <w:snapToGrid w:val="0"/>
          <w:kern w:val="0"/>
          <w:sz w:val="24"/>
        </w:rPr>
        <w:t>110</w:t>
      </w:r>
      <w:r>
        <w:rPr>
          <w:rFonts w:ascii="Times New Roman" w:hAnsi="Times New Roman"/>
          <w:snapToGrid w:val="0"/>
          <w:kern w:val="0"/>
          <w:sz w:val="24"/>
        </w:rPr>
        <w:t>～</w:t>
      </w:r>
      <w:r>
        <w:rPr>
          <w:rFonts w:ascii="Times New Roman" w:hAnsi="Times New Roman"/>
          <w:snapToGrid w:val="0"/>
          <w:kern w:val="0"/>
          <w:sz w:val="24"/>
        </w:rPr>
        <w:t>180</w:t>
      </w:r>
      <w:r>
        <w:rPr>
          <w:rFonts w:ascii="Times New Roman" w:hAnsi="Times New Roman"/>
          <w:snapToGrid w:val="0"/>
          <w:kern w:val="0"/>
          <w:sz w:val="24"/>
        </w:rPr>
        <w:t>倍。年平均日照时间为</w:t>
      </w:r>
      <w:r>
        <w:rPr>
          <w:rFonts w:ascii="Times New Roman" w:hAnsi="Times New Roman"/>
          <w:snapToGrid w:val="0"/>
          <w:kern w:val="0"/>
          <w:sz w:val="24"/>
        </w:rPr>
        <w:t>3122.4h</w:t>
      </w:r>
      <w:r>
        <w:rPr>
          <w:rFonts w:ascii="Times New Roman" w:hAnsi="Times New Roman"/>
          <w:snapToGrid w:val="0"/>
          <w:kern w:val="0"/>
          <w:sz w:val="24"/>
        </w:rPr>
        <w:t>。</w:t>
      </w:r>
      <w:r>
        <w:rPr>
          <w:rFonts w:ascii="Times New Roman" w:hAnsi="Times New Roman"/>
          <w:snapToGrid w:val="0"/>
          <w:kern w:val="0"/>
          <w:sz w:val="24"/>
        </w:rPr>
        <w:lastRenderedPageBreak/>
        <w:t>最大冻土深度</w:t>
      </w:r>
      <w:r>
        <w:rPr>
          <w:rFonts w:ascii="Times New Roman" w:hAnsi="Times New Roman"/>
          <w:snapToGrid w:val="0"/>
          <w:kern w:val="0"/>
          <w:sz w:val="24"/>
        </w:rPr>
        <w:t>1.17m</w:t>
      </w:r>
      <w:r>
        <w:rPr>
          <w:rFonts w:ascii="Times New Roman" w:hAnsi="Times New Roman"/>
          <w:snapToGrid w:val="0"/>
          <w:kern w:val="0"/>
          <w:sz w:val="24"/>
        </w:rPr>
        <w:t>。</w:t>
      </w:r>
    </w:p>
    <w:p w:rsidR="00525419" w:rsidRDefault="00EE1CF7">
      <w:pPr>
        <w:pStyle w:val="3a"/>
        <w:spacing w:beforeLines="50" w:before="159" w:after="156" w:line="360" w:lineRule="auto"/>
        <w:jc w:val="left"/>
        <w:rPr>
          <w:rFonts w:ascii="Times New Roman" w:eastAsia="华文楷体" w:hAnsi="Times New Roman"/>
        </w:rPr>
      </w:pPr>
      <w:r>
        <w:rPr>
          <w:rFonts w:ascii="Times New Roman" w:eastAsia="华文楷体" w:hAnsi="Times New Roman"/>
        </w:rPr>
        <w:t>4.1.5</w:t>
      </w:r>
      <w:r>
        <w:rPr>
          <w:rFonts w:ascii="Times New Roman" w:eastAsia="华文楷体" w:hAnsi="Times New Roman"/>
        </w:rPr>
        <w:t>水文及水文地质</w:t>
      </w:r>
    </w:p>
    <w:p w:rsidR="00525419" w:rsidRDefault="00EE1CF7">
      <w:pPr>
        <w:pStyle w:val="a2"/>
        <w:spacing w:line="360" w:lineRule="auto"/>
        <w:ind w:firstLine="480"/>
        <w:jc w:val="both"/>
        <w:rPr>
          <w:rFonts w:eastAsia="宋体"/>
          <w:sz w:val="24"/>
          <w:szCs w:val="24"/>
        </w:rPr>
      </w:pPr>
      <w:r>
        <w:rPr>
          <w:rFonts w:eastAsia="宋体"/>
          <w:sz w:val="24"/>
          <w:szCs w:val="24"/>
        </w:rPr>
        <w:t>（</w:t>
      </w:r>
      <w:r>
        <w:rPr>
          <w:rFonts w:eastAsia="宋体"/>
          <w:sz w:val="24"/>
          <w:szCs w:val="24"/>
        </w:rPr>
        <w:t>1</w:t>
      </w:r>
      <w:r>
        <w:rPr>
          <w:rFonts w:eastAsia="宋体"/>
          <w:sz w:val="24"/>
          <w:szCs w:val="24"/>
        </w:rPr>
        <w:t>）地表水</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坎儿其水渠在园区以东</w:t>
      </w:r>
      <w:r>
        <w:rPr>
          <w:rFonts w:ascii="Times New Roman" w:hAnsi="Times New Roman"/>
          <w:sz w:val="24"/>
          <w:szCs w:val="24"/>
        </w:rPr>
        <w:t>2.7km</w:t>
      </w:r>
      <w:r>
        <w:rPr>
          <w:rFonts w:ascii="Times New Roman" w:hAnsi="Times New Roman"/>
          <w:sz w:val="24"/>
          <w:szCs w:val="24"/>
        </w:rPr>
        <w:t>，由北向南流过。该水渠属小型季节性河流，坎儿其水渠流域面积为</w:t>
      </w:r>
      <w:r>
        <w:rPr>
          <w:rFonts w:ascii="Times New Roman" w:hAnsi="Times New Roman"/>
          <w:sz w:val="24"/>
          <w:szCs w:val="24"/>
        </w:rPr>
        <w:t>599km</w:t>
      </w:r>
      <w:r>
        <w:rPr>
          <w:rFonts w:ascii="Times New Roman" w:hAnsi="Times New Roman"/>
          <w:sz w:val="24"/>
          <w:szCs w:val="24"/>
          <w:vertAlign w:val="superscript"/>
        </w:rPr>
        <w:t>2</w:t>
      </w:r>
      <w:r>
        <w:rPr>
          <w:rFonts w:ascii="Times New Roman" w:hAnsi="Times New Roman"/>
          <w:sz w:val="24"/>
          <w:szCs w:val="24"/>
        </w:rPr>
        <w:t>，河流主要靠山区的降水和冰雪消融补给。这样的补给来源，确定了该河流具有流量小，洪枯悬殊，水量不稳的特点。</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目前坎儿其水渠出口已经建成坎儿其水库，该水库建设的主要目的：一是保证园区的用水，二是灌溉及滞洪等作用，该水库距园区约</w:t>
      </w:r>
      <w:r>
        <w:rPr>
          <w:rFonts w:ascii="Times New Roman" w:hAnsi="Times New Roman"/>
          <w:sz w:val="24"/>
          <w:szCs w:val="24"/>
        </w:rPr>
        <w:t>13km</w:t>
      </w:r>
      <w:r>
        <w:rPr>
          <w:rFonts w:ascii="Times New Roman" w:hAnsi="Times New Roman"/>
          <w:sz w:val="24"/>
          <w:szCs w:val="24"/>
        </w:rPr>
        <w:t>。目前坎儿其水库总库容</w:t>
      </w:r>
      <w:r>
        <w:rPr>
          <w:rFonts w:ascii="Times New Roman" w:hAnsi="Times New Roman"/>
          <w:sz w:val="24"/>
          <w:szCs w:val="24"/>
        </w:rPr>
        <w:t>1180×10</w:t>
      </w:r>
      <w:r>
        <w:rPr>
          <w:rFonts w:ascii="Times New Roman" w:hAnsi="Times New Roman"/>
          <w:sz w:val="24"/>
          <w:szCs w:val="24"/>
          <w:vertAlign w:val="superscript"/>
        </w:rPr>
        <w:t>4</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，调节库容</w:t>
      </w:r>
      <w:r>
        <w:rPr>
          <w:rFonts w:ascii="Times New Roman" w:hAnsi="Times New Roman"/>
          <w:sz w:val="24"/>
          <w:szCs w:val="24"/>
        </w:rPr>
        <w:t>920×10</w:t>
      </w:r>
      <w:r>
        <w:rPr>
          <w:rFonts w:ascii="Times New Roman" w:hAnsi="Times New Roman"/>
          <w:sz w:val="24"/>
          <w:szCs w:val="24"/>
          <w:vertAlign w:val="superscript"/>
        </w:rPr>
        <w:t>4</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，该水库主要向下游灌区供水</w:t>
      </w:r>
      <w:r>
        <w:rPr>
          <w:rFonts w:ascii="Times New Roman" w:hAnsi="Times New Roman"/>
          <w:sz w:val="24"/>
          <w:szCs w:val="24"/>
        </w:rPr>
        <w:t>1320×10</w:t>
      </w:r>
      <w:r>
        <w:rPr>
          <w:rFonts w:ascii="Times New Roman" w:hAnsi="Times New Roman"/>
          <w:sz w:val="24"/>
          <w:szCs w:val="24"/>
          <w:vertAlign w:val="superscript"/>
        </w:rPr>
        <w:t>4</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，向石油和铁路系统各供水</w:t>
      </w:r>
      <w:r>
        <w:rPr>
          <w:rFonts w:ascii="Times New Roman" w:hAnsi="Times New Roman"/>
          <w:sz w:val="24"/>
          <w:szCs w:val="24"/>
        </w:rPr>
        <w:t>300×10</w:t>
      </w:r>
      <w:r>
        <w:rPr>
          <w:rFonts w:ascii="Times New Roman" w:hAnsi="Times New Roman"/>
          <w:sz w:val="24"/>
          <w:szCs w:val="24"/>
          <w:vertAlign w:val="superscript"/>
        </w:rPr>
        <w:t>4</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，向园区供水</w:t>
      </w:r>
      <w:r>
        <w:rPr>
          <w:rFonts w:ascii="Times New Roman" w:hAnsi="Times New Roman"/>
          <w:sz w:val="24"/>
          <w:szCs w:val="24"/>
        </w:rPr>
        <w:t>150×10</w:t>
      </w:r>
      <w:r>
        <w:rPr>
          <w:rFonts w:ascii="Times New Roman" w:hAnsi="Times New Roman"/>
          <w:sz w:val="24"/>
          <w:szCs w:val="24"/>
          <w:vertAlign w:val="superscript"/>
        </w:rPr>
        <w:t>4</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2013</w:t>
      </w:r>
      <w:r>
        <w:rPr>
          <w:rFonts w:ascii="Times New Roman" w:hAnsi="Times New Roman"/>
          <w:sz w:val="24"/>
          <w:szCs w:val="24"/>
        </w:rPr>
        <w:t>年</w:t>
      </w:r>
      <w:r>
        <w:rPr>
          <w:rFonts w:ascii="Times New Roman" w:hAnsi="Times New Roman"/>
          <w:sz w:val="24"/>
          <w:szCs w:val="24"/>
        </w:rPr>
        <w:t>6</w:t>
      </w:r>
      <w:r>
        <w:rPr>
          <w:rFonts w:ascii="Times New Roman" w:hAnsi="Times New Roman"/>
          <w:sz w:val="24"/>
          <w:szCs w:val="24"/>
        </w:rPr>
        <w:t>月，鄯善县工业园区管委会委托中国水利水电研究院编制园区水资源论证规划，依据鄯善县</w:t>
      </w:r>
      <w:r>
        <w:rPr>
          <w:rFonts w:ascii="Times New Roman" w:hAnsi="Times New Roman"/>
          <w:sz w:val="24"/>
          <w:szCs w:val="24"/>
        </w:rPr>
        <w:t>“</w:t>
      </w:r>
      <w:r>
        <w:rPr>
          <w:rFonts w:ascii="Times New Roman" w:hAnsi="Times New Roman"/>
          <w:sz w:val="24"/>
          <w:szCs w:val="24"/>
        </w:rPr>
        <w:t>四库联网工程</w:t>
      </w:r>
      <w:r>
        <w:rPr>
          <w:rFonts w:ascii="Times New Roman" w:hAnsi="Times New Roman"/>
          <w:sz w:val="24"/>
          <w:szCs w:val="24"/>
        </w:rPr>
        <w:t>”</w:t>
      </w:r>
      <w:r>
        <w:rPr>
          <w:rFonts w:ascii="Times New Roman" w:hAnsi="Times New Roman"/>
          <w:sz w:val="24"/>
          <w:szCs w:val="24"/>
        </w:rPr>
        <w:t>规划，预计该工程</w:t>
      </w:r>
      <w:r>
        <w:rPr>
          <w:rFonts w:ascii="Times New Roman" w:hAnsi="Times New Roman"/>
          <w:sz w:val="24"/>
          <w:szCs w:val="24"/>
        </w:rPr>
        <w:t>2015</w:t>
      </w:r>
      <w:r>
        <w:rPr>
          <w:rFonts w:ascii="Times New Roman" w:hAnsi="Times New Roman"/>
          <w:sz w:val="24"/>
          <w:szCs w:val="24"/>
        </w:rPr>
        <w:t>年初完成后可向园区供水</w:t>
      </w:r>
      <w:r>
        <w:rPr>
          <w:rFonts w:ascii="Times New Roman" w:hAnsi="Times New Roman"/>
          <w:sz w:val="24"/>
          <w:szCs w:val="24"/>
        </w:rPr>
        <w:t>3000×10</w:t>
      </w:r>
      <w:r>
        <w:rPr>
          <w:rFonts w:ascii="Times New Roman" w:hAnsi="Times New Roman"/>
          <w:sz w:val="24"/>
          <w:szCs w:val="24"/>
          <w:vertAlign w:val="superscript"/>
        </w:rPr>
        <w:t>4</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/a</w:t>
      </w:r>
      <w:r>
        <w:rPr>
          <w:rFonts w:ascii="Times New Roman" w:hAnsi="Times New Roman"/>
          <w:sz w:val="24"/>
          <w:szCs w:val="24"/>
        </w:rPr>
        <w:t>，目前园区用水量为</w:t>
      </w:r>
      <w:r>
        <w:rPr>
          <w:rFonts w:ascii="Times New Roman" w:hAnsi="Times New Roman"/>
          <w:sz w:val="24"/>
          <w:szCs w:val="24"/>
        </w:rPr>
        <w:t>1480×10</w:t>
      </w:r>
      <w:r>
        <w:rPr>
          <w:rFonts w:ascii="Times New Roman" w:hAnsi="Times New Roman"/>
          <w:sz w:val="24"/>
          <w:szCs w:val="24"/>
          <w:vertAlign w:val="superscript"/>
        </w:rPr>
        <w:t>4</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/a</w:t>
      </w:r>
      <w:r>
        <w:rPr>
          <w:rFonts w:ascii="Times New Roman" w:hAnsi="Times New Roman"/>
          <w:sz w:val="24"/>
          <w:szCs w:val="24"/>
        </w:rPr>
        <w:t>，尚余</w:t>
      </w:r>
      <w:r>
        <w:rPr>
          <w:rFonts w:ascii="Times New Roman" w:hAnsi="Times New Roman"/>
          <w:sz w:val="24"/>
          <w:szCs w:val="24"/>
        </w:rPr>
        <w:t>1520×10</w:t>
      </w:r>
      <w:r>
        <w:rPr>
          <w:rFonts w:ascii="Times New Roman" w:hAnsi="Times New Roman"/>
          <w:sz w:val="24"/>
          <w:szCs w:val="24"/>
          <w:vertAlign w:val="superscript"/>
        </w:rPr>
        <w:t>4</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/a</w:t>
      </w:r>
      <w:r>
        <w:rPr>
          <w:rFonts w:ascii="Times New Roman" w:hAnsi="Times New Roman"/>
          <w:sz w:val="24"/>
          <w:szCs w:val="24"/>
        </w:rPr>
        <w:t>。</w:t>
      </w:r>
    </w:p>
    <w:p w:rsidR="00525419" w:rsidRDefault="00EE1CF7">
      <w:pPr>
        <w:pStyle w:val="a2"/>
        <w:spacing w:line="360" w:lineRule="auto"/>
        <w:ind w:firstLine="480"/>
        <w:jc w:val="both"/>
        <w:rPr>
          <w:rFonts w:eastAsia="宋体"/>
          <w:sz w:val="24"/>
          <w:szCs w:val="24"/>
        </w:rPr>
      </w:pPr>
      <w:r>
        <w:rPr>
          <w:rFonts w:eastAsia="宋体"/>
          <w:sz w:val="24"/>
          <w:szCs w:val="24"/>
        </w:rPr>
        <w:t>（</w:t>
      </w:r>
      <w:r>
        <w:rPr>
          <w:rFonts w:eastAsia="宋体"/>
          <w:sz w:val="24"/>
          <w:szCs w:val="24"/>
        </w:rPr>
        <w:t>2</w:t>
      </w:r>
      <w:r>
        <w:rPr>
          <w:rFonts w:eastAsia="宋体"/>
          <w:sz w:val="24"/>
          <w:szCs w:val="24"/>
        </w:rPr>
        <w:t>）地下水</w:t>
      </w:r>
    </w:p>
    <w:p w:rsidR="00525419" w:rsidRDefault="00EE1CF7" w:rsidP="00EE1CF7">
      <w:pPr>
        <w:pStyle w:val="afff8"/>
        <w:spacing w:before="0" w:beforeAutospacing="0" w:after="0" w:afterAutospacing="0" w:line="360" w:lineRule="auto"/>
        <w:ind w:firstLineChars="227" w:firstLine="545"/>
        <w:jc w:val="both"/>
        <w:rPr>
          <w:rFonts w:ascii="Times New Roman" w:eastAsia="宋体"/>
          <w:color w:val="auto"/>
        </w:rPr>
      </w:pPr>
      <w:r>
        <w:rPr>
          <w:rFonts w:ascii="Times New Roman" w:eastAsia="宋体"/>
          <w:color w:val="auto"/>
          <w:szCs w:val="24"/>
        </w:rPr>
        <w:t>鄯善县位于天山褶皱带东段的山间断陷盆地内，北纬天山博格达山脉接触，南为火焰山隆起。鄯善石化工业园区即处于博格达山前洪积扇中上部。</w:t>
      </w:r>
      <w:r>
        <w:rPr>
          <w:rFonts w:ascii="Times New Roman" w:eastAsia="宋体"/>
          <w:color w:val="auto"/>
        </w:rPr>
        <w:t>园区下游地下水埋藏较深，其平均埋深为</w:t>
      </w:r>
      <w:r>
        <w:rPr>
          <w:rFonts w:ascii="Times New Roman" w:eastAsia="宋体"/>
          <w:color w:val="auto"/>
        </w:rPr>
        <w:t>30m</w:t>
      </w:r>
      <w:r>
        <w:rPr>
          <w:rFonts w:ascii="Times New Roman" w:eastAsia="宋体"/>
          <w:color w:val="auto"/>
        </w:rPr>
        <w:t>左右。地下水的形成、补给、径流与排泄在本区反映为：北部山区降水洪流及冰雪消融是地下水主要补给源，而平原区大气降水对地下水的形成和补给无重要意义。地下水补给项中，包括柯柯亚河、坎尔其河在山前戈壁砾石带形成渗漏补给、河床潜流和侧向补给，以及暴雨洪流补给，其中柯柯亚河、坎尔其河对区内地下水补给占主导地位。地下水的排泄方式主要为人工开采、泉水排泄、潜水蒸发及侧向排泄。由于受丘陵断块隆起影响，地下水由北东向南西方向运动，流速缓慢。</w:t>
      </w:r>
    </w:p>
    <w:p w:rsidR="00525419" w:rsidRDefault="00EE1CF7" w:rsidP="00EE1CF7">
      <w:pPr>
        <w:pStyle w:val="afff8"/>
        <w:spacing w:before="0" w:beforeAutospacing="0" w:after="0" w:afterAutospacing="0" w:line="360" w:lineRule="auto"/>
        <w:ind w:firstLineChars="227" w:firstLine="545"/>
        <w:jc w:val="both"/>
        <w:rPr>
          <w:rFonts w:ascii="Times New Roman" w:eastAsia="宋体"/>
          <w:color w:val="auto"/>
          <w:szCs w:val="24"/>
        </w:rPr>
      </w:pPr>
      <w:r>
        <w:rPr>
          <w:rFonts w:ascii="Times New Roman" w:eastAsia="宋体"/>
          <w:color w:val="auto"/>
          <w:szCs w:val="24"/>
        </w:rPr>
        <w:t>受地形地貌地质构造的影响，区域地下水主要富存于盆地第四系中，区域内地下水主要为第四系松散岩类孔隙水。第三系碎屑岩类透水性和储水性均差，构成区域的相对隔水层。第四系松散岩类孔隙水主要分布在山前倾斜平原，是区内主要的地下水类型。含水层层主要由上更新统洪积</w:t>
      </w:r>
      <w:r>
        <w:rPr>
          <w:rFonts w:ascii="Times New Roman" w:eastAsia="宋体"/>
          <w:color w:val="auto"/>
          <w:szCs w:val="24"/>
        </w:rPr>
        <w:t>(Q3p1)</w:t>
      </w:r>
      <w:r>
        <w:rPr>
          <w:rFonts w:ascii="Times New Roman" w:eastAsia="宋体"/>
          <w:color w:val="auto"/>
          <w:szCs w:val="24"/>
        </w:rPr>
        <w:t>和全新统冲洪积</w:t>
      </w:r>
      <w:r>
        <w:rPr>
          <w:rFonts w:ascii="Times New Roman" w:eastAsia="宋体"/>
          <w:color w:val="auto"/>
          <w:szCs w:val="24"/>
        </w:rPr>
        <w:lastRenderedPageBreak/>
        <w:t>(Q3ap1)</w:t>
      </w:r>
      <w:r>
        <w:rPr>
          <w:rFonts w:ascii="Times New Roman" w:eastAsia="宋体"/>
          <w:color w:val="auto"/>
          <w:szCs w:val="24"/>
        </w:rPr>
        <w:t>卵砾石、砂砾石及砂层构成，结构较单一，局部地段夹有</w:t>
      </w:r>
      <w:r>
        <w:rPr>
          <w:rFonts w:ascii="Times New Roman" w:eastAsia="宋体"/>
          <w:color w:val="auto"/>
          <w:szCs w:val="24"/>
        </w:rPr>
        <w:t>0.5</w:t>
      </w:r>
      <w:r>
        <w:rPr>
          <w:rFonts w:ascii="Times New Roman" w:eastAsia="宋体"/>
          <w:color w:val="auto"/>
          <w:szCs w:val="24"/>
        </w:rPr>
        <w:t>～</w:t>
      </w:r>
      <w:r>
        <w:rPr>
          <w:rFonts w:ascii="Times New Roman" w:eastAsia="宋体"/>
          <w:color w:val="auto"/>
          <w:szCs w:val="24"/>
        </w:rPr>
        <w:t>5m</w:t>
      </w:r>
      <w:r>
        <w:rPr>
          <w:rFonts w:ascii="Times New Roman" w:eastAsia="宋体"/>
          <w:color w:val="auto"/>
          <w:szCs w:val="24"/>
        </w:rPr>
        <w:t>厚得粘土透镜体，盆地沉积中的在鄯善火车站带，第四系厚度可达</w:t>
      </w:r>
      <w:r>
        <w:rPr>
          <w:rFonts w:ascii="Times New Roman" w:eastAsia="宋体"/>
          <w:color w:val="auto"/>
          <w:szCs w:val="24"/>
        </w:rPr>
        <w:t>700m</w:t>
      </w:r>
      <w:r>
        <w:rPr>
          <w:rFonts w:ascii="Times New Roman" w:eastAsia="宋体"/>
          <w:color w:val="auto"/>
          <w:szCs w:val="24"/>
        </w:rPr>
        <w:t>，向南厚度逐渐降低，受红山嘴及火焰山隆起的影响第四系厚度变薄一般在</w:t>
      </w:r>
      <w:r>
        <w:rPr>
          <w:rFonts w:ascii="Times New Roman" w:eastAsia="宋体"/>
          <w:color w:val="auto"/>
          <w:szCs w:val="24"/>
        </w:rPr>
        <w:t>30</w:t>
      </w:r>
      <w:r>
        <w:rPr>
          <w:rFonts w:ascii="Times New Roman" w:eastAsia="宋体"/>
          <w:color w:val="auto"/>
          <w:szCs w:val="24"/>
        </w:rPr>
        <w:t>～</w:t>
      </w:r>
      <w:r>
        <w:rPr>
          <w:rFonts w:ascii="Times New Roman" w:eastAsia="宋体"/>
          <w:color w:val="auto"/>
          <w:szCs w:val="24"/>
        </w:rPr>
        <w:t>60m</w:t>
      </w:r>
      <w:r>
        <w:rPr>
          <w:rFonts w:ascii="Times New Roman" w:eastAsia="宋体"/>
          <w:color w:val="auto"/>
          <w:szCs w:val="24"/>
        </w:rPr>
        <w:t>，在红山嘴隆起以北第四系沉积厚度较大。地下水水位埋藏深度在</w:t>
      </w:r>
      <w:r>
        <w:rPr>
          <w:rFonts w:ascii="Times New Roman" w:eastAsia="宋体"/>
          <w:color w:val="auto"/>
          <w:szCs w:val="24"/>
        </w:rPr>
        <w:t>50</w:t>
      </w:r>
      <w:r>
        <w:rPr>
          <w:rFonts w:ascii="Times New Roman" w:eastAsia="宋体"/>
          <w:color w:val="auto"/>
          <w:szCs w:val="24"/>
        </w:rPr>
        <w:t>～</w:t>
      </w:r>
      <w:r>
        <w:rPr>
          <w:rFonts w:ascii="Times New Roman" w:eastAsia="宋体"/>
          <w:color w:val="auto"/>
          <w:szCs w:val="24"/>
        </w:rPr>
        <w:t>230m</w:t>
      </w:r>
      <w:r>
        <w:rPr>
          <w:rFonts w:ascii="Times New Roman" w:eastAsia="宋体"/>
          <w:color w:val="auto"/>
          <w:szCs w:val="24"/>
        </w:rPr>
        <w:t>，为巨大的地下水储库，在红山嘴隆起以南至火焰山隆起以北，两隆之间，第四系一般在</w:t>
      </w:r>
      <w:r>
        <w:rPr>
          <w:rFonts w:ascii="Times New Roman" w:eastAsia="宋体"/>
          <w:color w:val="auto"/>
          <w:szCs w:val="24"/>
        </w:rPr>
        <w:t>80</w:t>
      </w:r>
      <w:r>
        <w:rPr>
          <w:rFonts w:ascii="Times New Roman" w:eastAsia="宋体"/>
          <w:color w:val="auto"/>
          <w:szCs w:val="24"/>
        </w:rPr>
        <w:t>～</w:t>
      </w:r>
      <w:r>
        <w:rPr>
          <w:rFonts w:ascii="Times New Roman" w:eastAsia="宋体"/>
          <w:color w:val="auto"/>
          <w:szCs w:val="24"/>
        </w:rPr>
        <w:t>150m</w:t>
      </w:r>
      <w:r>
        <w:rPr>
          <w:rFonts w:ascii="Times New Roman" w:eastAsia="宋体"/>
          <w:color w:val="auto"/>
          <w:szCs w:val="24"/>
        </w:rPr>
        <w:t>，饱水带厚度在</w:t>
      </w:r>
      <w:r>
        <w:rPr>
          <w:rFonts w:ascii="Times New Roman" w:eastAsia="宋体"/>
          <w:color w:val="auto"/>
          <w:szCs w:val="24"/>
        </w:rPr>
        <w:t>40</w:t>
      </w:r>
      <w:r>
        <w:rPr>
          <w:rFonts w:ascii="Times New Roman" w:eastAsia="宋体"/>
          <w:color w:val="auto"/>
          <w:szCs w:val="24"/>
        </w:rPr>
        <w:t>～</w:t>
      </w:r>
      <w:r>
        <w:rPr>
          <w:rFonts w:ascii="Times New Roman" w:eastAsia="宋体"/>
          <w:color w:val="auto"/>
          <w:szCs w:val="24"/>
        </w:rPr>
        <w:t>80m</w:t>
      </w:r>
      <w:r>
        <w:rPr>
          <w:rFonts w:ascii="Times New Roman" w:eastAsia="宋体"/>
          <w:color w:val="auto"/>
          <w:szCs w:val="24"/>
        </w:rPr>
        <w:t>。盆地内地下水主要接受大气降水、暴雨洪流流入、渗、河谷潜流侧向补给、河渠入渗补给及田间灌溉入渗补给，地下水总体由北向南径流，主要排泄方式为地下水开采、坎尔井开采、泉水溢出、植物蒸腾及潜水蒸发。</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园区所在区域地下水的形成、补给、迳流与排泄情况为：北部山区降水洪流及冰雪消融是地表产流的最主要水源，也是盆地内地下水主要补给源，这对区内地下水的形成、分布具有重要的意义，而平原区大气降水对地下水的形成，补给无关紧要。由于受西北部大地构造格局的影响，区域地下水受坎尔其河影响较大，主要处于坎尔其河流域的水系统单元内。据钻探资料分析，区域内地层结构由厚度不等，粒径较大的松散砂砾石层组成，且有砂、亚砂、亚粘土互层沉积，具有强烈的透水性，为地下水的迳流和储存创造了条件。受自然地理环境影响，该区域地下水补给源主要为砾质平原与山区接触带附近，地下水的补给主要为山区季节性地表水和临时洪流的入渗补给，河床地下潜流的迳流补给及山区地下水的侧向补给，大气降水对当地地下水基本上没有补给作用。但总的补给水源则来源于山区降水和融雪水，这是形成地下水的主要来源。平水期地表水在砾质平原内渗失殆尽，地表水对地下水的入渗补给作用强烈，洪水期在砾质平原区大量入渗补给地下水，水量丰富。地下水基本由北向南迳流通过，向南埋深逐渐变浅。</w:t>
      </w:r>
    </w:p>
    <w:p w:rsidR="00525419" w:rsidRDefault="00EE1CF7">
      <w:pPr>
        <w:pStyle w:val="a2"/>
        <w:spacing w:line="360" w:lineRule="auto"/>
        <w:ind w:firstLine="480"/>
        <w:jc w:val="both"/>
        <w:rPr>
          <w:rFonts w:eastAsia="宋体"/>
          <w:sz w:val="24"/>
          <w:szCs w:val="24"/>
        </w:rPr>
      </w:pPr>
      <w:r>
        <w:rPr>
          <w:rFonts w:eastAsia="宋体"/>
          <w:sz w:val="24"/>
          <w:szCs w:val="24"/>
        </w:rPr>
        <w:t>镇区所在区域位于博格达山冲洪积扇中部，地下水埋藏较深，约为</w:t>
      </w:r>
      <w:r>
        <w:rPr>
          <w:rFonts w:eastAsia="宋体"/>
          <w:sz w:val="24"/>
          <w:szCs w:val="24"/>
        </w:rPr>
        <w:t>100</w:t>
      </w:r>
      <w:r>
        <w:rPr>
          <w:rFonts w:eastAsia="宋体"/>
          <w:sz w:val="24"/>
          <w:szCs w:val="24"/>
        </w:rPr>
        <w:t>ｍ以上，为</w:t>
      </w:r>
      <w:r>
        <w:rPr>
          <w:rFonts w:eastAsia="宋体"/>
          <w:sz w:val="24"/>
          <w:szCs w:val="24"/>
        </w:rPr>
        <w:t>HCO</w:t>
      </w:r>
      <w:r>
        <w:rPr>
          <w:rFonts w:eastAsia="宋体"/>
          <w:sz w:val="24"/>
          <w:szCs w:val="24"/>
          <w:vertAlign w:val="subscript"/>
        </w:rPr>
        <w:t>3</w:t>
      </w:r>
      <w:r>
        <w:rPr>
          <w:rFonts w:eastAsia="宋体"/>
          <w:sz w:val="24"/>
          <w:szCs w:val="24"/>
          <w:vertAlign w:val="superscript"/>
        </w:rPr>
        <w:t>-</w:t>
      </w:r>
      <w:r>
        <w:rPr>
          <w:rFonts w:eastAsia="宋体"/>
          <w:sz w:val="24"/>
          <w:szCs w:val="24"/>
        </w:rPr>
        <w:t>•SO</w:t>
      </w:r>
      <w:r>
        <w:rPr>
          <w:rFonts w:eastAsia="宋体"/>
          <w:sz w:val="24"/>
          <w:szCs w:val="24"/>
          <w:vertAlign w:val="subscript"/>
        </w:rPr>
        <w:t>4</w:t>
      </w:r>
      <w:r>
        <w:rPr>
          <w:rFonts w:eastAsia="宋体"/>
          <w:sz w:val="24"/>
          <w:szCs w:val="24"/>
          <w:vertAlign w:val="superscript"/>
        </w:rPr>
        <w:t>2-</w:t>
      </w:r>
      <w:r>
        <w:rPr>
          <w:rFonts w:eastAsia="宋体"/>
          <w:sz w:val="24"/>
          <w:szCs w:val="24"/>
        </w:rPr>
        <w:t>-Ca•Na</w:t>
      </w:r>
      <w:r>
        <w:rPr>
          <w:rFonts w:eastAsia="宋体"/>
          <w:sz w:val="24"/>
          <w:szCs w:val="24"/>
        </w:rPr>
        <w:t>型水。地下水含水层主要为单一的卵砾石含水层，夹杂有少量的砂砾石和粘土层，渗透性较好。勘探资料，潜水含水层结构松散，透水性强，迳流、交替条件良好，含水层厚度大，一般在</w:t>
      </w:r>
      <w:r>
        <w:rPr>
          <w:rFonts w:eastAsia="宋体"/>
          <w:sz w:val="24"/>
          <w:szCs w:val="24"/>
        </w:rPr>
        <w:t>50m</w:t>
      </w:r>
      <w:r>
        <w:rPr>
          <w:rFonts w:eastAsia="宋体"/>
          <w:sz w:val="24"/>
          <w:szCs w:val="24"/>
        </w:rPr>
        <w:t>以上，贮藏条件较好，渗透系数为</w:t>
      </w:r>
      <w:r>
        <w:rPr>
          <w:rFonts w:eastAsia="宋体"/>
          <w:sz w:val="24"/>
          <w:szCs w:val="24"/>
        </w:rPr>
        <w:t>5-56m/d</w:t>
      </w:r>
      <w:r>
        <w:rPr>
          <w:rFonts w:eastAsia="宋体"/>
          <w:sz w:val="24"/>
          <w:szCs w:val="24"/>
        </w:rPr>
        <w:t>，单井涌水量</w:t>
      </w:r>
      <w:r>
        <w:rPr>
          <w:rFonts w:eastAsia="宋体"/>
          <w:sz w:val="24"/>
          <w:szCs w:val="24"/>
        </w:rPr>
        <w:t>1350m</w:t>
      </w:r>
      <w:r>
        <w:rPr>
          <w:rFonts w:eastAsia="宋体"/>
          <w:sz w:val="24"/>
          <w:szCs w:val="24"/>
          <w:vertAlign w:val="superscript"/>
        </w:rPr>
        <w:t>3</w:t>
      </w:r>
      <w:r>
        <w:rPr>
          <w:rFonts w:eastAsia="宋体"/>
          <w:sz w:val="24"/>
          <w:szCs w:val="24"/>
        </w:rPr>
        <w:t>/d</w:t>
      </w:r>
      <w:r>
        <w:rPr>
          <w:rFonts w:eastAsia="宋体"/>
          <w:sz w:val="24"/>
          <w:szCs w:val="24"/>
        </w:rPr>
        <w:t>。</w:t>
      </w:r>
    </w:p>
    <w:p w:rsidR="00525419" w:rsidRDefault="00EE1CF7">
      <w:pPr>
        <w:pStyle w:val="3a"/>
        <w:spacing w:beforeLines="50" w:before="159" w:after="156" w:line="360" w:lineRule="auto"/>
        <w:jc w:val="left"/>
        <w:rPr>
          <w:rFonts w:ascii="Times New Roman" w:eastAsia="华文楷体" w:hAnsi="Times New Roman"/>
        </w:rPr>
      </w:pPr>
      <w:r>
        <w:rPr>
          <w:rFonts w:ascii="Times New Roman" w:eastAsia="华文楷体" w:hAnsi="Times New Roman"/>
        </w:rPr>
        <w:lastRenderedPageBreak/>
        <w:t>4.1.6</w:t>
      </w:r>
      <w:r>
        <w:rPr>
          <w:rFonts w:ascii="Times New Roman" w:eastAsia="华文楷体" w:hAnsi="Times New Roman"/>
        </w:rPr>
        <w:t>厂址区域生态环境现状</w:t>
      </w:r>
    </w:p>
    <w:p w:rsidR="00525419" w:rsidRDefault="00EE1CF7">
      <w:pPr>
        <w:spacing w:line="360" w:lineRule="auto"/>
        <w:ind w:firstLineChars="200" w:firstLine="480"/>
        <w:rPr>
          <w:rFonts w:ascii="Times New Roman" w:hAnsi="Times New Roman"/>
          <w:snapToGrid w:val="0"/>
          <w:kern w:val="0"/>
          <w:sz w:val="24"/>
        </w:rPr>
      </w:pPr>
      <w:r>
        <w:rPr>
          <w:rFonts w:ascii="Times New Roman" w:hAnsi="Times New Roman" w:hint="eastAsia"/>
          <w:snapToGrid w:val="0"/>
          <w:kern w:val="0"/>
          <w:sz w:val="24"/>
        </w:rPr>
        <w:t>（</w:t>
      </w:r>
      <w:r>
        <w:rPr>
          <w:rFonts w:ascii="Times New Roman" w:hAnsi="Times New Roman" w:hint="eastAsia"/>
          <w:snapToGrid w:val="0"/>
          <w:kern w:val="0"/>
          <w:sz w:val="24"/>
        </w:rPr>
        <w:t>1</w:t>
      </w:r>
      <w:r>
        <w:rPr>
          <w:rFonts w:ascii="Times New Roman" w:hAnsi="Times New Roman" w:hint="eastAsia"/>
          <w:snapToGrid w:val="0"/>
          <w:kern w:val="0"/>
          <w:sz w:val="24"/>
        </w:rPr>
        <w:t>）土壤</w:t>
      </w:r>
    </w:p>
    <w:p w:rsidR="00525419" w:rsidRDefault="00EE1CF7">
      <w:pPr>
        <w:spacing w:line="360" w:lineRule="auto"/>
        <w:ind w:firstLineChars="200" w:firstLine="480"/>
        <w:rPr>
          <w:rFonts w:ascii="Times New Roman" w:hAnsi="Times New Roman"/>
          <w:snapToGrid w:val="0"/>
          <w:kern w:val="0"/>
          <w:sz w:val="24"/>
        </w:rPr>
      </w:pPr>
      <w:r>
        <w:rPr>
          <w:rFonts w:ascii="Times New Roman" w:hAnsi="Times New Roman"/>
          <w:snapToGrid w:val="0"/>
          <w:kern w:val="0"/>
          <w:sz w:val="24"/>
        </w:rPr>
        <w:t>全县土壤有</w:t>
      </w:r>
      <w:r>
        <w:rPr>
          <w:rFonts w:ascii="Times New Roman" w:hAnsi="Times New Roman"/>
          <w:snapToGrid w:val="0"/>
          <w:kern w:val="0"/>
          <w:sz w:val="24"/>
        </w:rPr>
        <w:t>6</w:t>
      </w:r>
      <w:r>
        <w:rPr>
          <w:rFonts w:ascii="Times New Roman" w:hAnsi="Times New Roman"/>
          <w:snapToGrid w:val="0"/>
          <w:kern w:val="0"/>
          <w:sz w:val="24"/>
        </w:rPr>
        <w:t>个土类，</w:t>
      </w:r>
      <w:r>
        <w:rPr>
          <w:rFonts w:ascii="Times New Roman" w:hAnsi="Times New Roman"/>
          <w:snapToGrid w:val="0"/>
          <w:kern w:val="0"/>
          <w:sz w:val="24"/>
        </w:rPr>
        <w:t>12</w:t>
      </w:r>
      <w:r>
        <w:rPr>
          <w:rFonts w:ascii="Times New Roman" w:hAnsi="Times New Roman"/>
          <w:snapToGrid w:val="0"/>
          <w:kern w:val="0"/>
          <w:sz w:val="24"/>
        </w:rPr>
        <w:t>个亚类，</w:t>
      </w:r>
      <w:r>
        <w:rPr>
          <w:rFonts w:ascii="Times New Roman" w:hAnsi="Times New Roman"/>
          <w:snapToGrid w:val="0"/>
          <w:kern w:val="0"/>
          <w:sz w:val="24"/>
        </w:rPr>
        <w:t>8</w:t>
      </w:r>
      <w:r>
        <w:rPr>
          <w:rFonts w:ascii="Times New Roman" w:hAnsi="Times New Roman"/>
          <w:snapToGrid w:val="0"/>
          <w:kern w:val="0"/>
          <w:sz w:val="24"/>
        </w:rPr>
        <w:t>个土属，</w:t>
      </w:r>
      <w:r>
        <w:rPr>
          <w:rFonts w:ascii="Times New Roman" w:hAnsi="Times New Roman"/>
          <w:snapToGrid w:val="0"/>
          <w:kern w:val="0"/>
          <w:sz w:val="24"/>
        </w:rPr>
        <w:t>23</w:t>
      </w:r>
      <w:r>
        <w:rPr>
          <w:rFonts w:ascii="Times New Roman" w:hAnsi="Times New Roman"/>
          <w:snapToGrid w:val="0"/>
          <w:kern w:val="0"/>
          <w:sz w:val="24"/>
        </w:rPr>
        <w:t>个土种，</w:t>
      </w:r>
      <w:r>
        <w:rPr>
          <w:rFonts w:ascii="Times New Roman" w:hAnsi="Times New Roman"/>
          <w:snapToGrid w:val="0"/>
          <w:kern w:val="0"/>
          <w:sz w:val="24"/>
        </w:rPr>
        <w:t>37</w:t>
      </w:r>
      <w:r>
        <w:rPr>
          <w:rFonts w:ascii="Times New Roman" w:hAnsi="Times New Roman"/>
          <w:snapToGrid w:val="0"/>
          <w:kern w:val="0"/>
          <w:sz w:val="24"/>
        </w:rPr>
        <w:t>个变种。在干燥气候、内陆河流、荒漠之别以及人工灌溉的条件下，平原地区主要是山前冲积</w:t>
      </w:r>
      <w:r>
        <w:rPr>
          <w:rFonts w:ascii="Times New Roman" w:hAnsi="Times New Roman"/>
          <w:snapToGrid w:val="0"/>
          <w:kern w:val="0"/>
          <w:sz w:val="24"/>
        </w:rPr>
        <w:t>—</w:t>
      </w:r>
      <w:r>
        <w:rPr>
          <w:rFonts w:ascii="Times New Roman" w:hAnsi="Times New Roman"/>
          <w:snapToGrid w:val="0"/>
          <w:kern w:val="0"/>
          <w:sz w:val="24"/>
        </w:rPr>
        <w:t>洪积物上发育和形成的棕色荒漠土与局部盐土。在这两种自然土壤上又形成了灌耕土、灌淤土、潮土和风沙土。</w:t>
      </w:r>
    </w:p>
    <w:p w:rsidR="00525419" w:rsidRDefault="00EE1CF7">
      <w:pPr>
        <w:spacing w:line="460" w:lineRule="exact"/>
        <w:ind w:firstLineChars="200" w:firstLine="480"/>
        <w:rPr>
          <w:rFonts w:ascii="Times New Roman" w:hAnsi="Times New Roman"/>
          <w:snapToGrid w:val="0"/>
          <w:kern w:val="0"/>
          <w:sz w:val="24"/>
        </w:rPr>
      </w:pPr>
      <w:r>
        <w:rPr>
          <w:rFonts w:ascii="Times New Roman" w:hAnsi="Times New Roman"/>
          <w:sz w:val="24"/>
          <w:szCs w:val="24"/>
        </w:rPr>
        <w:t>鄯善石化工业园</w:t>
      </w:r>
      <w:r>
        <w:rPr>
          <w:rFonts w:ascii="Times New Roman" w:hAnsi="Times New Roman"/>
          <w:snapToGrid w:val="0"/>
          <w:kern w:val="0"/>
          <w:sz w:val="24"/>
        </w:rPr>
        <w:t>区地处山前冲积扇缘地带，生态环境状况总体交叉，自然生态环境比较脆弱，表土层主要以砾质戈壁为主，含有石灰、石膏和易溶性盐类。土壤中普遍有盐盘的存在，属石膏盐盘棕漠土。根据外部形态表征观察，盐盘可分为砾石盐盘、粘质土盐盘、砂砾盐盘三个类型。</w:t>
      </w:r>
    </w:p>
    <w:p w:rsidR="00525419" w:rsidRDefault="00EE1CF7">
      <w:pPr>
        <w:spacing w:line="460" w:lineRule="exact"/>
        <w:ind w:firstLineChars="200" w:firstLine="480"/>
        <w:rPr>
          <w:rFonts w:ascii="Times New Roman" w:hAnsi="Times New Roman"/>
          <w:snapToGrid w:val="0"/>
          <w:kern w:val="0"/>
          <w:sz w:val="24"/>
        </w:rPr>
      </w:pPr>
      <w:r>
        <w:rPr>
          <w:rFonts w:ascii="Times New Roman" w:hAnsi="Times New Roman"/>
          <w:snapToGrid w:val="0"/>
          <w:kern w:val="0"/>
          <w:sz w:val="24"/>
        </w:rPr>
        <w:t>（</w:t>
      </w:r>
      <w:r>
        <w:rPr>
          <w:rFonts w:ascii="Times New Roman" w:hAnsi="Times New Roman"/>
          <w:snapToGrid w:val="0"/>
          <w:kern w:val="0"/>
          <w:sz w:val="24"/>
        </w:rPr>
        <w:t>2</w:t>
      </w:r>
      <w:r>
        <w:rPr>
          <w:rFonts w:ascii="Times New Roman" w:hAnsi="Times New Roman"/>
          <w:snapToGrid w:val="0"/>
          <w:kern w:val="0"/>
          <w:sz w:val="24"/>
        </w:rPr>
        <w:t>）植被</w:t>
      </w:r>
    </w:p>
    <w:p w:rsidR="00525419" w:rsidRDefault="00EE1CF7">
      <w:pPr>
        <w:spacing w:line="460" w:lineRule="exact"/>
        <w:ind w:firstLineChars="200" w:firstLine="480"/>
        <w:rPr>
          <w:rFonts w:ascii="Times New Roman" w:hAnsi="Times New Roman"/>
          <w:snapToGrid w:val="0"/>
          <w:kern w:val="0"/>
          <w:sz w:val="24"/>
        </w:rPr>
      </w:pPr>
      <w:r>
        <w:rPr>
          <w:rFonts w:ascii="Times New Roman" w:hAnsi="Times New Roman"/>
          <w:snapToGrid w:val="0"/>
          <w:kern w:val="0"/>
          <w:sz w:val="24"/>
        </w:rPr>
        <w:t>鄯善县总的植被特征是：植物种类稀少，绝大多数为荒漠植被，盖度极低，相当面积区域甚至寸草不生，人工植被依赖灌溉生存，山前倾斜平原多为砾石戈壁，只是在局部冲沟有荒漠植被分布。</w:t>
      </w:r>
    </w:p>
    <w:p w:rsidR="00525419" w:rsidRDefault="00EE1CF7">
      <w:pPr>
        <w:spacing w:line="460" w:lineRule="exact"/>
        <w:ind w:firstLineChars="200" w:firstLine="480"/>
        <w:rPr>
          <w:rFonts w:ascii="Times New Roman" w:hAnsi="Times New Roman"/>
          <w:snapToGrid w:val="0"/>
          <w:kern w:val="0"/>
          <w:sz w:val="24"/>
        </w:rPr>
      </w:pPr>
      <w:r>
        <w:rPr>
          <w:rFonts w:ascii="Times New Roman" w:hAnsi="Times New Roman"/>
          <w:snapToGrid w:val="0"/>
          <w:kern w:val="0"/>
          <w:sz w:val="24"/>
        </w:rPr>
        <w:t>鄯善县植被稀少，野生动物很少。在天山一带的鸟类有雪鸡、呱喇鸡、野鸽等。兽类有豹、熊、大头羊、野兔、野猪、黄羊、狼等</w:t>
      </w:r>
      <w:r>
        <w:rPr>
          <w:rFonts w:ascii="Times New Roman" w:hAnsi="Times New Roman" w:hint="eastAsia"/>
          <w:snapToGrid w:val="0"/>
          <w:kern w:val="0"/>
          <w:sz w:val="24"/>
        </w:rPr>
        <w:t>，</w:t>
      </w:r>
      <w:r>
        <w:rPr>
          <w:rFonts w:ascii="Times New Roman" w:hAnsi="Times New Roman"/>
          <w:snapToGrid w:val="0"/>
          <w:kern w:val="0"/>
          <w:sz w:val="24"/>
        </w:rPr>
        <w:t>在觉罗塔克山一带也有野骆驼活动。山区有党参、贝母、麻黄、甘草等要用植物，平原常见有骆驼刺、芦苇、苦豆子、老鼠瓜、胖姑娘、盐蒿等。植物生态十分特殊，根深，也退化，叶茎外包有蜡质，能适应沙漠气候。</w:t>
      </w:r>
    </w:p>
    <w:p w:rsidR="00525419" w:rsidRDefault="00EE1CF7">
      <w:pPr>
        <w:spacing w:line="460" w:lineRule="exact"/>
        <w:ind w:firstLineChars="200" w:firstLine="480"/>
        <w:rPr>
          <w:rFonts w:ascii="Times New Roman" w:hAnsi="Times New Roman"/>
          <w:snapToGrid w:val="0"/>
          <w:kern w:val="0"/>
          <w:sz w:val="24"/>
        </w:rPr>
      </w:pPr>
      <w:r>
        <w:rPr>
          <w:rFonts w:ascii="Times New Roman" w:hAnsi="Times New Roman"/>
          <w:snapToGrid w:val="0"/>
          <w:kern w:val="0"/>
          <w:sz w:val="24"/>
        </w:rPr>
        <w:t>山区森林稀少，仅柯柯亚上游个别阴坡</w:t>
      </w:r>
      <w:r>
        <w:rPr>
          <w:rFonts w:ascii="Times New Roman" w:hAnsi="Times New Roman"/>
          <w:snapToGrid w:val="0"/>
          <w:kern w:val="0"/>
          <w:sz w:val="24"/>
        </w:rPr>
        <w:t>—</w:t>
      </w:r>
      <w:r>
        <w:rPr>
          <w:rFonts w:ascii="Times New Roman" w:hAnsi="Times New Roman"/>
          <w:snapToGrid w:val="0"/>
          <w:kern w:val="0"/>
          <w:sz w:val="24"/>
        </w:rPr>
        <w:t>稍尔乌塔山一带有成片天然林，荒漠植被主要在迪坎乡、达浪坎乡、吐峪沟乡、七克台镇及北部山区前沿冲击扇。山区主要树种有针叶云杉、毛柳、桦树、苦杨、花楸等。平原地区主要树种为新疆杨、钻天杨、榆树、沙枣等。荒漠植被以骆驼刺、红柳为主，并伴生有芦苇、白刺、胖姑娘等。</w:t>
      </w:r>
    </w:p>
    <w:p w:rsidR="00525419" w:rsidRDefault="00EE1CF7">
      <w:pPr>
        <w:spacing w:line="460" w:lineRule="exact"/>
        <w:ind w:firstLineChars="200" w:firstLine="480"/>
        <w:rPr>
          <w:rFonts w:ascii="Times New Roman" w:hAnsi="Times New Roman"/>
          <w:snapToGrid w:val="0"/>
          <w:kern w:val="0"/>
          <w:sz w:val="24"/>
        </w:rPr>
      </w:pPr>
      <w:r>
        <w:rPr>
          <w:rFonts w:ascii="Times New Roman" w:hAnsi="Times New Roman"/>
          <w:snapToGrid w:val="0"/>
          <w:kern w:val="0"/>
          <w:sz w:val="24"/>
        </w:rPr>
        <w:t>（</w:t>
      </w:r>
      <w:r>
        <w:rPr>
          <w:rFonts w:ascii="Times New Roman" w:hAnsi="Times New Roman"/>
          <w:snapToGrid w:val="0"/>
          <w:kern w:val="0"/>
          <w:sz w:val="24"/>
        </w:rPr>
        <w:t>3</w:t>
      </w:r>
      <w:r>
        <w:rPr>
          <w:rFonts w:ascii="Times New Roman" w:hAnsi="Times New Roman"/>
          <w:snapToGrid w:val="0"/>
          <w:kern w:val="0"/>
          <w:sz w:val="24"/>
        </w:rPr>
        <w:t>）林业</w:t>
      </w:r>
    </w:p>
    <w:p w:rsidR="00525419" w:rsidRDefault="00EE1CF7">
      <w:pPr>
        <w:spacing w:line="460" w:lineRule="exact"/>
        <w:ind w:firstLineChars="200" w:firstLine="480"/>
        <w:rPr>
          <w:rFonts w:ascii="Times New Roman" w:hAnsi="Times New Roman"/>
          <w:snapToGrid w:val="0"/>
          <w:kern w:val="0"/>
          <w:sz w:val="24"/>
        </w:rPr>
      </w:pPr>
      <w:r>
        <w:rPr>
          <w:rFonts w:ascii="Times New Roman" w:hAnsi="Times New Roman"/>
          <w:snapToGrid w:val="0"/>
          <w:kern w:val="0"/>
          <w:sz w:val="24"/>
        </w:rPr>
        <w:t>目前鄯善县有林地面积</w:t>
      </w:r>
      <w:r>
        <w:rPr>
          <w:rFonts w:ascii="Times New Roman" w:hAnsi="Times New Roman"/>
          <w:snapToGrid w:val="0"/>
          <w:kern w:val="0"/>
          <w:sz w:val="24"/>
        </w:rPr>
        <w:t>46968.75hm</w:t>
      </w:r>
      <w:r>
        <w:rPr>
          <w:rFonts w:ascii="Times New Roman" w:hAnsi="Times New Roman"/>
          <w:snapToGrid w:val="0"/>
          <w:kern w:val="0"/>
          <w:sz w:val="24"/>
          <w:vertAlign w:val="superscript"/>
        </w:rPr>
        <w:t>2</w:t>
      </w:r>
      <w:r>
        <w:rPr>
          <w:rFonts w:ascii="Times New Roman" w:hAnsi="Times New Roman"/>
          <w:snapToGrid w:val="0"/>
          <w:kern w:val="0"/>
          <w:sz w:val="24"/>
        </w:rPr>
        <w:t>。其中有林地</w:t>
      </w:r>
      <w:r>
        <w:rPr>
          <w:rFonts w:ascii="Times New Roman" w:hAnsi="Times New Roman"/>
          <w:snapToGrid w:val="0"/>
          <w:kern w:val="0"/>
          <w:sz w:val="24"/>
        </w:rPr>
        <w:t>3087.16hm</w:t>
      </w:r>
      <w:r>
        <w:rPr>
          <w:rFonts w:ascii="Times New Roman" w:hAnsi="Times New Roman"/>
          <w:snapToGrid w:val="0"/>
          <w:kern w:val="0"/>
          <w:sz w:val="24"/>
          <w:vertAlign w:val="superscript"/>
        </w:rPr>
        <w:t>2</w:t>
      </w:r>
      <w:r>
        <w:rPr>
          <w:rFonts w:ascii="Times New Roman" w:hAnsi="Times New Roman"/>
          <w:snapToGrid w:val="0"/>
          <w:kern w:val="0"/>
          <w:sz w:val="24"/>
        </w:rPr>
        <w:t>，疏林地</w:t>
      </w:r>
      <w:r>
        <w:rPr>
          <w:rFonts w:ascii="Times New Roman" w:hAnsi="Times New Roman"/>
          <w:snapToGrid w:val="0"/>
          <w:kern w:val="0"/>
          <w:sz w:val="24"/>
        </w:rPr>
        <w:t>81hm</w:t>
      </w:r>
      <w:r>
        <w:rPr>
          <w:rFonts w:ascii="Times New Roman" w:hAnsi="Times New Roman"/>
          <w:snapToGrid w:val="0"/>
          <w:kern w:val="0"/>
          <w:sz w:val="24"/>
          <w:vertAlign w:val="superscript"/>
        </w:rPr>
        <w:t>2</w:t>
      </w:r>
      <w:r>
        <w:rPr>
          <w:rFonts w:ascii="Times New Roman" w:hAnsi="Times New Roman"/>
          <w:snapToGrid w:val="0"/>
          <w:kern w:val="0"/>
          <w:sz w:val="24"/>
        </w:rPr>
        <w:t>，灌木林地</w:t>
      </w:r>
      <w:r>
        <w:rPr>
          <w:rFonts w:ascii="Times New Roman" w:hAnsi="Times New Roman"/>
          <w:snapToGrid w:val="0"/>
          <w:kern w:val="0"/>
          <w:sz w:val="24"/>
        </w:rPr>
        <w:t>31785.2hm</w:t>
      </w:r>
      <w:r>
        <w:rPr>
          <w:rFonts w:ascii="Times New Roman" w:hAnsi="Times New Roman"/>
          <w:snapToGrid w:val="0"/>
          <w:kern w:val="0"/>
          <w:sz w:val="24"/>
          <w:vertAlign w:val="superscript"/>
        </w:rPr>
        <w:t>2</w:t>
      </w:r>
      <w:r>
        <w:rPr>
          <w:rFonts w:ascii="Times New Roman" w:hAnsi="Times New Roman"/>
          <w:snapToGrid w:val="0"/>
          <w:kern w:val="0"/>
          <w:sz w:val="24"/>
        </w:rPr>
        <w:t>，未成林地</w:t>
      </w:r>
      <w:r>
        <w:rPr>
          <w:rFonts w:ascii="Times New Roman" w:hAnsi="Times New Roman"/>
          <w:snapToGrid w:val="0"/>
          <w:kern w:val="0"/>
          <w:sz w:val="24"/>
        </w:rPr>
        <w:t>254.3hm</w:t>
      </w:r>
      <w:r>
        <w:rPr>
          <w:rFonts w:ascii="Times New Roman" w:hAnsi="Times New Roman"/>
          <w:snapToGrid w:val="0"/>
          <w:kern w:val="0"/>
          <w:sz w:val="24"/>
          <w:vertAlign w:val="superscript"/>
        </w:rPr>
        <w:t>2</w:t>
      </w:r>
      <w:r>
        <w:rPr>
          <w:rFonts w:ascii="Times New Roman" w:hAnsi="Times New Roman"/>
          <w:snapToGrid w:val="0"/>
          <w:kern w:val="0"/>
          <w:sz w:val="24"/>
        </w:rPr>
        <w:t>，宜林地</w:t>
      </w:r>
      <w:r>
        <w:rPr>
          <w:rFonts w:ascii="Times New Roman" w:hAnsi="Times New Roman"/>
          <w:snapToGrid w:val="0"/>
          <w:kern w:val="0"/>
          <w:sz w:val="24"/>
        </w:rPr>
        <w:t>5046.5hm</w:t>
      </w:r>
      <w:r>
        <w:rPr>
          <w:rFonts w:ascii="Times New Roman" w:hAnsi="Times New Roman"/>
          <w:snapToGrid w:val="0"/>
          <w:kern w:val="0"/>
          <w:sz w:val="24"/>
          <w:vertAlign w:val="superscript"/>
        </w:rPr>
        <w:t>2</w:t>
      </w:r>
      <w:r>
        <w:rPr>
          <w:rFonts w:ascii="Times New Roman" w:hAnsi="Times New Roman"/>
          <w:snapToGrid w:val="0"/>
          <w:kern w:val="0"/>
          <w:sz w:val="24"/>
        </w:rPr>
        <w:t>，苗圃地</w:t>
      </w:r>
      <w:r>
        <w:rPr>
          <w:rFonts w:ascii="Times New Roman" w:hAnsi="Times New Roman"/>
          <w:snapToGrid w:val="0"/>
          <w:kern w:val="0"/>
          <w:sz w:val="24"/>
        </w:rPr>
        <w:t>15.3hm</w:t>
      </w:r>
      <w:r>
        <w:rPr>
          <w:rFonts w:ascii="Times New Roman" w:hAnsi="Times New Roman"/>
          <w:snapToGrid w:val="0"/>
          <w:kern w:val="0"/>
          <w:sz w:val="24"/>
          <w:vertAlign w:val="superscript"/>
        </w:rPr>
        <w:t>2</w:t>
      </w:r>
      <w:r>
        <w:rPr>
          <w:rFonts w:ascii="Times New Roman" w:hAnsi="Times New Roman"/>
          <w:snapToGrid w:val="0"/>
          <w:kern w:val="0"/>
          <w:sz w:val="24"/>
        </w:rPr>
        <w:t>，沙生灌丛</w:t>
      </w:r>
      <w:r>
        <w:rPr>
          <w:rFonts w:ascii="Times New Roman" w:hAnsi="Times New Roman"/>
          <w:snapToGrid w:val="0"/>
          <w:kern w:val="0"/>
          <w:sz w:val="24"/>
        </w:rPr>
        <w:t>6726.3hm</w:t>
      </w:r>
      <w:r>
        <w:rPr>
          <w:rFonts w:ascii="Times New Roman" w:hAnsi="Times New Roman"/>
          <w:snapToGrid w:val="0"/>
          <w:kern w:val="0"/>
          <w:sz w:val="24"/>
          <w:vertAlign w:val="superscript"/>
        </w:rPr>
        <w:t>2</w:t>
      </w:r>
      <w:r>
        <w:rPr>
          <w:rFonts w:ascii="Times New Roman" w:hAnsi="Times New Roman"/>
          <w:snapToGrid w:val="0"/>
          <w:kern w:val="0"/>
          <w:sz w:val="24"/>
        </w:rPr>
        <w:t>。全县森林覆盖率</w:t>
      </w:r>
      <w:r>
        <w:rPr>
          <w:rFonts w:ascii="Times New Roman" w:hAnsi="Times New Roman"/>
          <w:snapToGrid w:val="0"/>
          <w:kern w:val="0"/>
          <w:sz w:val="24"/>
        </w:rPr>
        <w:t>1.18%</w:t>
      </w:r>
      <w:r>
        <w:rPr>
          <w:rFonts w:ascii="Times New Roman" w:hAnsi="Times New Roman"/>
          <w:snapToGrid w:val="0"/>
          <w:kern w:val="0"/>
          <w:sz w:val="24"/>
        </w:rPr>
        <w:t>，绿洲覆盖率</w:t>
      </w:r>
      <w:r>
        <w:rPr>
          <w:rFonts w:ascii="Times New Roman" w:hAnsi="Times New Roman"/>
          <w:snapToGrid w:val="0"/>
          <w:kern w:val="0"/>
          <w:sz w:val="24"/>
        </w:rPr>
        <w:t>4.8%</w:t>
      </w:r>
      <w:r>
        <w:rPr>
          <w:rFonts w:ascii="Times New Roman" w:hAnsi="Times New Roman"/>
          <w:snapToGrid w:val="0"/>
          <w:kern w:val="0"/>
          <w:sz w:val="24"/>
        </w:rPr>
        <w:t>。</w:t>
      </w:r>
    </w:p>
    <w:p w:rsidR="00525419" w:rsidRDefault="00EE1CF7">
      <w:pPr>
        <w:spacing w:line="460" w:lineRule="exact"/>
        <w:ind w:firstLineChars="200" w:firstLine="480"/>
        <w:rPr>
          <w:rFonts w:ascii="Times New Roman" w:hAnsi="Times New Roman"/>
          <w:snapToGrid w:val="0"/>
          <w:kern w:val="0"/>
          <w:sz w:val="24"/>
        </w:rPr>
      </w:pPr>
      <w:r>
        <w:rPr>
          <w:rFonts w:ascii="Times New Roman" w:hAnsi="Times New Roman"/>
          <w:snapToGrid w:val="0"/>
          <w:kern w:val="0"/>
          <w:sz w:val="24"/>
        </w:rPr>
        <w:t>项目区所在火车站镇林业用地面积</w:t>
      </w:r>
      <w:r>
        <w:rPr>
          <w:rFonts w:ascii="Times New Roman" w:hAnsi="Times New Roman"/>
          <w:snapToGrid w:val="0"/>
          <w:kern w:val="0"/>
          <w:sz w:val="24"/>
        </w:rPr>
        <w:t>19.01hm</w:t>
      </w:r>
      <w:r>
        <w:rPr>
          <w:rFonts w:ascii="Times New Roman" w:hAnsi="Times New Roman"/>
          <w:snapToGrid w:val="0"/>
          <w:kern w:val="0"/>
          <w:sz w:val="24"/>
          <w:vertAlign w:val="superscript"/>
        </w:rPr>
        <w:t>2</w:t>
      </w:r>
      <w:r>
        <w:rPr>
          <w:rFonts w:ascii="Times New Roman" w:hAnsi="Times New Roman"/>
          <w:snapToGrid w:val="0"/>
          <w:kern w:val="0"/>
          <w:sz w:val="24"/>
        </w:rPr>
        <w:t>，占全县重点公益林的</w:t>
      </w:r>
      <w:r>
        <w:rPr>
          <w:rFonts w:ascii="Times New Roman" w:hAnsi="Times New Roman"/>
          <w:snapToGrid w:val="0"/>
          <w:kern w:val="0"/>
          <w:sz w:val="24"/>
        </w:rPr>
        <w:t>0.05%</w:t>
      </w:r>
      <w:r>
        <w:rPr>
          <w:rFonts w:ascii="Times New Roman" w:hAnsi="Times New Roman"/>
          <w:snapToGrid w:val="0"/>
          <w:kern w:val="0"/>
          <w:sz w:val="24"/>
        </w:rPr>
        <w:t>，</w:t>
      </w:r>
      <w:r>
        <w:rPr>
          <w:rFonts w:ascii="Times New Roman" w:hAnsi="Times New Roman"/>
          <w:snapToGrid w:val="0"/>
          <w:kern w:val="0"/>
          <w:sz w:val="24"/>
        </w:rPr>
        <w:lastRenderedPageBreak/>
        <w:t>占火车站镇公益林的</w:t>
      </w:r>
      <w:r>
        <w:rPr>
          <w:rFonts w:ascii="Times New Roman" w:hAnsi="Times New Roman"/>
          <w:snapToGrid w:val="0"/>
          <w:kern w:val="0"/>
          <w:sz w:val="24"/>
        </w:rPr>
        <w:t>100%</w:t>
      </w:r>
      <w:r>
        <w:rPr>
          <w:rFonts w:ascii="Times New Roman" w:hAnsi="Times New Roman"/>
          <w:snapToGrid w:val="0"/>
          <w:kern w:val="0"/>
          <w:sz w:val="24"/>
        </w:rPr>
        <w:t>。</w:t>
      </w:r>
    </w:p>
    <w:p w:rsidR="00525419" w:rsidRDefault="00EE1CF7">
      <w:pPr>
        <w:pStyle w:val="2a"/>
        <w:spacing w:beforeLines="50" w:before="159" w:after="159"/>
        <w:ind w:left="578" w:hanging="578"/>
        <w:rPr>
          <w:rFonts w:ascii="Times New Roman" w:eastAsia="楷体_GB2312" w:hAnsi="Times New Roman"/>
          <w:sz w:val="36"/>
        </w:rPr>
      </w:pPr>
      <w:bookmarkStart w:id="76" w:name="_Toc619"/>
      <w:bookmarkStart w:id="77" w:name="_Toc484775641"/>
      <w:bookmarkStart w:id="78" w:name="_Toc484775639"/>
      <w:r>
        <w:rPr>
          <w:rFonts w:ascii="Times New Roman" w:eastAsia="楷体_GB2312" w:hAnsi="Times New Roman"/>
          <w:sz w:val="36"/>
        </w:rPr>
        <w:t>4.2</w:t>
      </w:r>
      <w:r>
        <w:rPr>
          <w:rFonts w:ascii="Times New Roman" w:eastAsia="楷体_GB2312" w:hAnsi="Times New Roman"/>
          <w:sz w:val="36"/>
        </w:rPr>
        <w:t>鄯善高新技术产业开发区（鄯善工业园区）概况</w:t>
      </w:r>
      <w:bookmarkEnd w:id="76"/>
      <w:bookmarkEnd w:id="77"/>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《新疆鄯善化工产业园区规划环境影响报告书》</w:t>
      </w:r>
      <w:r>
        <w:rPr>
          <w:rFonts w:ascii="Times New Roman" w:hAnsi="Times New Roman"/>
          <w:sz w:val="24"/>
          <w:szCs w:val="24"/>
        </w:rPr>
        <w:t xml:space="preserve"> </w:t>
      </w:r>
      <w:r>
        <w:rPr>
          <w:rFonts w:ascii="Times New Roman" w:hAnsi="Times New Roman"/>
          <w:sz w:val="24"/>
          <w:szCs w:val="24"/>
        </w:rPr>
        <w:t>已于</w:t>
      </w:r>
      <w:r>
        <w:rPr>
          <w:rFonts w:ascii="Times New Roman" w:hAnsi="Times New Roman"/>
          <w:sz w:val="24"/>
          <w:szCs w:val="24"/>
        </w:rPr>
        <w:t>2007</w:t>
      </w:r>
      <w:r>
        <w:rPr>
          <w:rFonts w:ascii="Times New Roman" w:hAnsi="Times New Roman"/>
          <w:sz w:val="24"/>
          <w:szCs w:val="24"/>
        </w:rPr>
        <w:t>年</w:t>
      </w:r>
      <w:r>
        <w:rPr>
          <w:rFonts w:ascii="Times New Roman" w:hAnsi="Times New Roman"/>
          <w:sz w:val="24"/>
          <w:szCs w:val="24"/>
        </w:rPr>
        <w:t>4</w:t>
      </w:r>
      <w:r>
        <w:rPr>
          <w:rFonts w:ascii="Times New Roman" w:hAnsi="Times New Roman"/>
          <w:sz w:val="24"/>
          <w:szCs w:val="24"/>
        </w:rPr>
        <w:t>月</w:t>
      </w:r>
      <w:r>
        <w:rPr>
          <w:rFonts w:ascii="Times New Roman" w:hAnsi="Times New Roman" w:hint="eastAsia"/>
          <w:sz w:val="24"/>
          <w:szCs w:val="24"/>
        </w:rPr>
        <w:t>取得</w:t>
      </w:r>
      <w:r>
        <w:rPr>
          <w:rFonts w:ascii="Times New Roman" w:hAnsi="Times New Roman"/>
          <w:sz w:val="24"/>
          <w:szCs w:val="24"/>
        </w:rPr>
        <w:t>新疆维吾尔自治区环境保护厅批复同意，批复文件为新疆维吾尔自治区</w:t>
      </w:r>
      <w:r>
        <w:rPr>
          <w:rFonts w:ascii="Times New Roman" w:hAnsi="Times New Roman" w:hint="eastAsia"/>
          <w:sz w:val="24"/>
          <w:szCs w:val="24"/>
        </w:rPr>
        <w:t>环境保护厅</w:t>
      </w:r>
      <w:r>
        <w:rPr>
          <w:rFonts w:ascii="Times New Roman" w:hAnsi="Times New Roman"/>
          <w:sz w:val="24"/>
          <w:szCs w:val="24"/>
        </w:rPr>
        <w:t>关于</w:t>
      </w:r>
      <w:r>
        <w:rPr>
          <w:rFonts w:ascii="Times New Roman" w:hAnsi="Times New Roman"/>
          <w:sz w:val="24"/>
          <w:szCs w:val="24"/>
        </w:rPr>
        <w:t>“</w:t>
      </w:r>
      <w:r>
        <w:rPr>
          <w:rFonts w:ascii="Times New Roman" w:hAnsi="Times New Roman"/>
          <w:sz w:val="24"/>
          <w:szCs w:val="24"/>
        </w:rPr>
        <w:t>新疆鄯善化工产业园区规划环境影响报告书</w:t>
      </w:r>
      <w:r>
        <w:rPr>
          <w:rFonts w:ascii="Times New Roman" w:hAnsi="Times New Roman"/>
          <w:sz w:val="24"/>
          <w:szCs w:val="24"/>
        </w:rPr>
        <w:t>”</w:t>
      </w:r>
      <w:r>
        <w:rPr>
          <w:rFonts w:ascii="Times New Roman" w:hAnsi="Times New Roman"/>
          <w:sz w:val="24"/>
          <w:szCs w:val="24"/>
        </w:rPr>
        <w:t>的审查意见（新环监函</w:t>
      </w:r>
      <w:r>
        <w:rPr>
          <w:rFonts w:ascii="Times New Roman" w:hAnsi="Times New Roman"/>
          <w:sz w:val="24"/>
          <w:szCs w:val="24"/>
        </w:rPr>
        <w:t>[2007]145</w:t>
      </w:r>
      <w:r>
        <w:rPr>
          <w:rFonts w:ascii="Times New Roman" w:hAnsi="Times New Roman"/>
          <w:sz w:val="24"/>
          <w:szCs w:val="24"/>
        </w:rPr>
        <w:t>号）。</w:t>
      </w:r>
      <w:r>
        <w:rPr>
          <w:rFonts w:ascii="Times New Roman" w:hAnsi="Times New Roman"/>
          <w:sz w:val="24"/>
          <w:szCs w:val="24"/>
        </w:rPr>
        <w:t xml:space="preserve"> </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2016</w:t>
      </w:r>
      <w:r>
        <w:rPr>
          <w:rFonts w:ascii="Times New Roman" w:hAnsi="Times New Roman"/>
          <w:sz w:val="24"/>
          <w:szCs w:val="24"/>
        </w:rPr>
        <w:t>年</w:t>
      </w:r>
      <w:r>
        <w:rPr>
          <w:rFonts w:ascii="Times New Roman" w:hAnsi="Times New Roman"/>
          <w:sz w:val="24"/>
          <w:szCs w:val="24"/>
        </w:rPr>
        <w:t>7</w:t>
      </w:r>
      <w:r>
        <w:rPr>
          <w:rFonts w:ascii="Times New Roman" w:hAnsi="Times New Roman"/>
          <w:sz w:val="24"/>
          <w:szCs w:val="24"/>
        </w:rPr>
        <w:t>月，</w:t>
      </w:r>
      <w:r>
        <w:rPr>
          <w:rFonts w:ascii="Times New Roman" w:hAnsi="Times New Roman"/>
          <w:sz w:val="24"/>
          <w:szCs w:val="24"/>
        </w:rPr>
        <w:t xml:space="preserve"> </w:t>
      </w:r>
      <w:r>
        <w:rPr>
          <w:rFonts w:ascii="Times New Roman" w:hAnsi="Times New Roman"/>
          <w:sz w:val="24"/>
          <w:szCs w:val="24"/>
        </w:rPr>
        <w:t>鄯善工业园区管理委员会对园区规划进行了修编，《新疆鄯善高新技术产业园区（鄯善工业园区）总体规划（</w:t>
      </w:r>
      <w:r>
        <w:rPr>
          <w:rFonts w:ascii="Times New Roman" w:hAnsi="Times New Roman"/>
          <w:sz w:val="24"/>
          <w:szCs w:val="24"/>
        </w:rPr>
        <w:t>2015-2030</w:t>
      </w:r>
      <w:r>
        <w:rPr>
          <w:rFonts w:ascii="Times New Roman" w:hAnsi="Times New Roman"/>
          <w:sz w:val="24"/>
          <w:szCs w:val="24"/>
        </w:rPr>
        <w:t>）环境影响报告书》</w:t>
      </w:r>
      <w:r>
        <w:rPr>
          <w:rFonts w:ascii="Times New Roman" w:hAnsi="Times New Roman"/>
          <w:sz w:val="24"/>
          <w:szCs w:val="24"/>
        </w:rPr>
        <w:t xml:space="preserve"> </w:t>
      </w:r>
      <w:r>
        <w:rPr>
          <w:rFonts w:ascii="Times New Roman" w:hAnsi="Times New Roman"/>
          <w:sz w:val="24"/>
          <w:szCs w:val="24"/>
        </w:rPr>
        <w:t>经新疆维吾尔自治区环境保护厅批复同意</w:t>
      </w:r>
      <w:r>
        <w:rPr>
          <w:rFonts w:ascii="Times New Roman" w:hAnsi="Times New Roman" w:hint="eastAsia"/>
          <w:sz w:val="24"/>
          <w:szCs w:val="24"/>
        </w:rPr>
        <w:t>，</w:t>
      </w:r>
      <w:r>
        <w:rPr>
          <w:rFonts w:ascii="Times New Roman" w:hAnsi="Times New Roman"/>
          <w:sz w:val="24"/>
          <w:szCs w:val="24"/>
        </w:rPr>
        <w:t>批复文件为新疆维吾尔自治区环境保护厅关于</w:t>
      </w:r>
      <w:r>
        <w:rPr>
          <w:rFonts w:ascii="Times New Roman" w:hAnsi="Times New Roman"/>
          <w:sz w:val="24"/>
          <w:szCs w:val="24"/>
        </w:rPr>
        <w:t>“</w:t>
      </w:r>
      <w:r>
        <w:rPr>
          <w:rFonts w:ascii="Times New Roman" w:hAnsi="Times New Roman"/>
          <w:sz w:val="24"/>
          <w:szCs w:val="24"/>
        </w:rPr>
        <w:t>新疆鄯善高新技术产业园区（鄯善工业园区）总体规划（</w:t>
      </w:r>
      <w:r>
        <w:rPr>
          <w:rFonts w:ascii="Times New Roman" w:hAnsi="Times New Roman"/>
          <w:sz w:val="24"/>
          <w:szCs w:val="24"/>
        </w:rPr>
        <w:t xml:space="preserve"> 2015-2030</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环境影响报告书</w:t>
      </w:r>
      <w:r>
        <w:rPr>
          <w:rFonts w:ascii="Times New Roman" w:hAnsi="Times New Roman"/>
          <w:sz w:val="24"/>
          <w:szCs w:val="24"/>
        </w:rPr>
        <w:t>”</w:t>
      </w:r>
      <w:r>
        <w:rPr>
          <w:rFonts w:ascii="Times New Roman" w:hAnsi="Times New Roman"/>
          <w:sz w:val="24"/>
          <w:szCs w:val="24"/>
        </w:rPr>
        <w:t>的审查意见（新环函</w:t>
      </w:r>
      <w:r>
        <w:rPr>
          <w:rFonts w:ascii="Times New Roman" w:hAnsi="Times New Roman"/>
          <w:sz w:val="24"/>
          <w:szCs w:val="24"/>
        </w:rPr>
        <w:t xml:space="preserve">[2016]1006 </w:t>
      </w:r>
      <w:r>
        <w:rPr>
          <w:rFonts w:ascii="Times New Roman" w:hAnsi="Times New Roman"/>
          <w:sz w:val="24"/>
          <w:szCs w:val="24"/>
        </w:rPr>
        <w:t>号）。</w:t>
      </w:r>
      <w:r>
        <w:rPr>
          <w:rFonts w:ascii="Times New Roman" w:hAnsi="Times New Roman"/>
          <w:sz w:val="24"/>
          <w:szCs w:val="24"/>
        </w:rPr>
        <w:t xml:space="preserve"> </w:t>
      </w:r>
    </w:p>
    <w:p w:rsidR="00525419" w:rsidRDefault="00EE1CF7">
      <w:pPr>
        <w:pStyle w:val="3a"/>
        <w:spacing w:beforeLines="50" w:before="159" w:after="156" w:line="360" w:lineRule="auto"/>
        <w:jc w:val="left"/>
        <w:rPr>
          <w:rFonts w:ascii="Times New Roman" w:eastAsia="华文楷体" w:hAnsi="Times New Roman"/>
        </w:rPr>
      </w:pPr>
      <w:r>
        <w:rPr>
          <w:rFonts w:ascii="Times New Roman" w:eastAsia="华文楷体" w:hAnsi="Times New Roman"/>
        </w:rPr>
        <w:t>4.2.1</w:t>
      </w:r>
      <w:r>
        <w:rPr>
          <w:rFonts w:ascii="Times New Roman" w:eastAsia="华文楷体" w:hAnsi="Times New Roman"/>
        </w:rPr>
        <w:t>规划范围</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园区规划范围西至吐哈西路，东至化金路，北至天山路（鄯木公路联络线），南至兰新铁路二线，南北长约</w:t>
      </w:r>
      <w:r>
        <w:rPr>
          <w:rFonts w:ascii="Times New Roman" w:hAnsi="Times New Roman"/>
          <w:sz w:val="24"/>
        </w:rPr>
        <w:t>14km</w:t>
      </w:r>
      <w:r>
        <w:rPr>
          <w:rFonts w:ascii="Times New Roman" w:hAnsi="Times New Roman"/>
          <w:sz w:val="24"/>
        </w:rPr>
        <w:t>，东西长约</w:t>
      </w:r>
      <w:r>
        <w:rPr>
          <w:rFonts w:ascii="Times New Roman" w:hAnsi="Times New Roman"/>
          <w:sz w:val="24"/>
        </w:rPr>
        <w:t>20km</w:t>
      </w:r>
      <w:r>
        <w:rPr>
          <w:rFonts w:ascii="Times New Roman" w:hAnsi="Times New Roman"/>
          <w:sz w:val="24"/>
        </w:rPr>
        <w:t>，总面积约为</w:t>
      </w:r>
      <w:r>
        <w:rPr>
          <w:rFonts w:ascii="Times New Roman" w:hAnsi="Times New Roman"/>
          <w:sz w:val="24"/>
        </w:rPr>
        <w:t>131.56km</w:t>
      </w:r>
      <w:r>
        <w:rPr>
          <w:rFonts w:ascii="Times New Roman" w:hAnsi="Times New Roman"/>
          <w:sz w:val="24"/>
          <w:vertAlign w:val="superscript"/>
        </w:rPr>
        <w:t>2</w:t>
      </w:r>
      <w:r>
        <w:rPr>
          <w:rFonts w:ascii="Times New Roman" w:hAnsi="Times New Roman"/>
          <w:sz w:val="24"/>
        </w:rPr>
        <w:t>。到</w:t>
      </w:r>
      <w:r>
        <w:rPr>
          <w:rFonts w:ascii="Times New Roman" w:hAnsi="Times New Roman"/>
          <w:sz w:val="24"/>
        </w:rPr>
        <w:t>2030</w:t>
      </w:r>
      <w:r>
        <w:rPr>
          <w:rFonts w:ascii="Times New Roman" w:hAnsi="Times New Roman"/>
          <w:sz w:val="24"/>
        </w:rPr>
        <w:t>年，规划建设用地总面积约</w:t>
      </w:r>
      <w:r>
        <w:rPr>
          <w:rFonts w:ascii="Times New Roman" w:hAnsi="Times New Roman"/>
          <w:sz w:val="24"/>
        </w:rPr>
        <w:t>64.72 km</w:t>
      </w:r>
      <w:r>
        <w:rPr>
          <w:rFonts w:ascii="Times New Roman" w:hAnsi="Times New Roman"/>
          <w:sz w:val="24"/>
          <w:vertAlign w:val="superscript"/>
        </w:rPr>
        <w:t>2</w:t>
      </w:r>
      <w:r>
        <w:rPr>
          <w:rFonts w:ascii="Times New Roman" w:hAnsi="Times New Roman"/>
          <w:sz w:val="24"/>
        </w:rPr>
        <w:t>。园区规划范围见图</w:t>
      </w:r>
      <w:r>
        <w:rPr>
          <w:rFonts w:ascii="Times New Roman" w:hAnsi="Times New Roman"/>
          <w:sz w:val="24"/>
        </w:rPr>
        <w:t>4.2-1</w:t>
      </w:r>
      <w:r>
        <w:rPr>
          <w:rFonts w:ascii="Times New Roman" w:hAnsi="Times New Roman"/>
          <w:sz w:val="24"/>
        </w:rPr>
        <w:t>。</w:t>
      </w:r>
    </w:p>
    <w:p w:rsidR="00525419" w:rsidRDefault="00EE1CF7">
      <w:pPr>
        <w:pStyle w:val="3a"/>
        <w:spacing w:beforeLines="50" w:before="159" w:after="156" w:line="360" w:lineRule="auto"/>
        <w:jc w:val="left"/>
        <w:rPr>
          <w:rFonts w:ascii="Times New Roman" w:eastAsia="华文楷体" w:hAnsi="Times New Roman"/>
        </w:rPr>
      </w:pPr>
      <w:r>
        <w:rPr>
          <w:rFonts w:ascii="Times New Roman" w:eastAsia="华文楷体" w:hAnsi="Times New Roman"/>
        </w:rPr>
        <w:t>4.2.2</w:t>
      </w:r>
      <w:r>
        <w:rPr>
          <w:rFonts w:ascii="Times New Roman" w:eastAsia="华文楷体" w:hAnsi="Times New Roman"/>
        </w:rPr>
        <w:t>产业发展规划</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4.2.2.1</w:t>
      </w:r>
      <w:r>
        <w:rPr>
          <w:rFonts w:ascii="Times New Roman" w:hAnsi="Times New Roman" w:cs="Times New Roman"/>
          <w:kern w:val="44"/>
          <w:sz w:val="24"/>
          <w:szCs w:val="24"/>
        </w:rPr>
        <w:t>主导产业选择</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选择石油天然气化工、有色金属制造业和装备制造业为主导产业。</w:t>
      </w:r>
    </w:p>
    <w:p w:rsidR="00525419" w:rsidRDefault="00525419">
      <w:pPr>
        <w:rPr>
          <w:rFonts w:ascii="Times New Roman" w:hAnsi="Times New Roman"/>
        </w:rPr>
        <w:sectPr w:rsidR="00525419">
          <w:pgSz w:w="11906" w:h="16838"/>
          <w:pgMar w:top="1440" w:right="1803" w:bottom="1440" w:left="1803" w:header="851" w:footer="992" w:gutter="0"/>
          <w:cols w:space="0"/>
          <w:docGrid w:type="lines" w:linePitch="319"/>
        </w:sectPr>
      </w:pPr>
    </w:p>
    <w:p w:rsidR="00525419" w:rsidRDefault="007D0E8A">
      <w:pPr>
        <w:rPr>
          <w:rFonts w:ascii="Times New Roman" w:hAnsi="Times New Roman"/>
        </w:rPr>
      </w:pPr>
      <w:r>
        <w:rPr>
          <w:rFonts w:ascii="Times New Roman" w:hAnsi="Times New Roman"/>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3150" type="#_x0000_t61" style="position:absolute;left:0;text-align:left;margin-left:208.1pt;margin-top:82.65pt;width:94.75pt;height:23.25pt;z-index:251670016;mso-width-relative:page;mso-height-relative:page" adj="-16835,-3345" strokecolor="red" strokeweight=".5pt">
            <v:fill opacity="0"/>
            <v:textbox>
              <w:txbxContent>
                <w:p w:rsidR="00EE1CF7" w:rsidRDefault="00EE1CF7">
                  <w:pPr>
                    <w:jc w:val="center"/>
                    <w:rPr>
                      <w:b/>
                      <w:color w:val="FF0000"/>
                    </w:rPr>
                  </w:pPr>
                  <w:r>
                    <w:rPr>
                      <w:rFonts w:hint="eastAsia"/>
                      <w:b/>
                      <w:color w:val="FF0000"/>
                    </w:rPr>
                    <w:t>鄯善工业园区</w:t>
                  </w:r>
                </w:p>
              </w:txbxContent>
            </v:textbox>
            <o:callout v:ext="edit" minusx="t" minusy="t"/>
          </v:shape>
        </w:pict>
      </w:r>
    </w:p>
    <w:p w:rsidR="00525419" w:rsidRDefault="00EE1CF7">
      <w:pPr>
        <w:jc w:val="center"/>
        <w:rPr>
          <w:rFonts w:ascii="Times New Roman" w:hAnsi="Times New Roman"/>
          <w:b/>
          <w:sz w:val="24"/>
          <w:szCs w:val="24"/>
        </w:rPr>
      </w:pPr>
      <w:r>
        <w:rPr>
          <w:rFonts w:ascii="Times New Roman" w:hAnsi="Times New Roman"/>
          <w:b/>
          <w:sz w:val="24"/>
          <w:szCs w:val="24"/>
        </w:rPr>
        <w:t>图</w:t>
      </w:r>
      <w:r>
        <w:rPr>
          <w:rFonts w:ascii="Times New Roman" w:hAnsi="Times New Roman"/>
          <w:b/>
          <w:sz w:val="24"/>
          <w:szCs w:val="24"/>
        </w:rPr>
        <w:t>4.2-1</w:t>
      </w:r>
      <w:r>
        <w:rPr>
          <w:rFonts w:ascii="Times New Roman" w:hAnsi="Times New Roman"/>
          <w:b/>
          <w:sz w:val="24"/>
          <w:szCs w:val="24"/>
        </w:rPr>
        <w:t xml:space="preserve">　　　园区规划范围图</w:t>
      </w:r>
    </w:p>
    <w:p w:rsidR="00525419" w:rsidRDefault="00525419">
      <w:pPr>
        <w:rPr>
          <w:rFonts w:ascii="Times New Roman" w:hAnsi="Times New Roman"/>
        </w:rPr>
        <w:sectPr w:rsidR="00525419">
          <w:pgSz w:w="16838" w:h="11906" w:orient="landscape"/>
          <w:pgMar w:top="1803" w:right="1440" w:bottom="1803" w:left="1440" w:header="851" w:footer="992" w:gutter="0"/>
          <w:cols w:space="0"/>
          <w:docGrid w:type="lines" w:linePitch="319"/>
        </w:sectPr>
      </w:pP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lastRenderedPageBreak/>
        <w:t>4.2.2.2</w:t>
      </w:r>
      <w:r>
        <w:rPr>
          <w:rFonts w:ascii="Times New Roman" w:hAnsi="Times New Roman" w:cs="Times New Roman"/>
          <w:kern w:val="44"/>
          <w:sz w:val="24"/>
          <w:szCs w:val="24"/>
        </w:rPr>
        <w:t>产业发展引导</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）石油天然气化工</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①</w:t>
      </w:r>
      <w:r>
        <w:rPr>
          <w:rFonts w:ascii="Times New Roman" w:hAnsi="Times New Roman"/>
          <w:sz w:val="24"/>
        </w:rPr>
        <w:t>以环保、节水、低碳为前提，以市场化为主导，以沥青、燃料油、溶剂油及微晶蜡等为主，适度发展石油化工产业；</w:t>
      </w:r>
      <w:r>
        <w:rPr>
          <w:rFonts w:ascii="Times New Roman" w:hAnsi="Times New Roman"/>
          <w:sz w:val="24"/>
        </w:rPr>
        <w:fldChar w:fldCharType="begin"/>
      </w:r>
      <w:r>
        <w:rPr>
          <w:rFonts w:ascii="Times New Roman" w:hAnsi="Times New Roman"/>
          <w:sz w:val="24"/>
        </w:rPr>
        <w:instrText>= 2 \* GB3</w:instrText>
      </w:r>
      <w:r>
        <w:rPr>
          <w:rFonts w:ascii="Times New Roman" w:hAnsi="Times New Roman"/>
          <w:sz w:val="24"/>
        </w:rPr>
        <w:fldChar w:fldCharType="separate"/>
      </w:r>
      <w:r>
        <w:rPr>
          <w:rFonts w:ascii="Times New Roman" w:hAnsi="Times New Roman"/>
          <w:sz w:val="24"/>
        </w:rPr>
        <w:t>②</w:t>
      </w:r>
      <w:r>
        <w:rPr>
          <w:rFonts w:ascii="Times New Roman" w:hAnsi="Times New Roman"/>
          <w:sz w:val="24"/>
        </w:rPr>
        <w:fldChar w:fldCharType="end"/>
      </w:r>
      <w:r>
        <w:rPr>
          <w:rFonts w:ascii="Times New Roman" w:hAnsi="Times New Roman"/>
          <w:sz w:val="24"/>
        </w:rPr>
        <w:t>依托优势要素，积极发展天然气下游产业，延伸产业链，向精细化、深加工方向发展；以现状天然气化工产品为基础，以甲醇和顺酐为原料发展精细化工，提高产品附加值。</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）无机盐化工</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促进上下游一体化发展，提高无机盐化工产品的深加工能力和附加值，积极构建无机盐化工与煤炭工业的循环产业体系。</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）有色金属加工业</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在电解铝产业现状基础上，尽量向上、下游延伸产业链，结合多种有色金属生产，重点加强对铝合金材料、航空及高铁材料的研发制造，实现从冶炼到加工制成品的产业体系。</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）装备制造业</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借</w:t>
      </w:r>
      <w:r>
        <w:rPr>
          <w:rFonts w:ascii="Times New Roman" w:hAnsi="Times New Roman"/>
          <w:sz w:val="24"/>
        </w:rPr>
        <w:t>“</w:t>
      </w:r>
      <w:r>
        <w:rPr>
          <w:rFonts w:ascii="Times New Roman" w:hAnsi="Times New Roman"/>
          <w:sz w:val="24"/>
        </w:rPr>
        <w:t>后发优势</w:t>
      </w:r>
      <w:r>
        <w:rPr>
          <w:rFonts w:ascii="Times New Roman" w:hAnsi="Times New Roman"/>
          <w:sz w:val="24"/>
        </w:rPr>
        <w:t>”</w:t>
      </w:r>
      <w:r>
        <w:rPr>
          <w:rFonts w:ascii="Times New Roman" w:hAnsi="Times New Roman"/>
          <w:sz w:val="24"/>
        </w:rPr>
        <w:t>，走</w:t>
      </w:r>
      <w:r>
        <w:rPr>
          <w:rFonts w:ascii="Times New Roman" w:hAnsi="Times New Roman"/>
          <w:sz w:val="24"/>
        </w:rPr>
        <w:t>“</w:t>
      </w:r>
      <w:r>
        <w:rPr>
          <w:rFonts w:ascii="Times New Roman" w:hAnsi="Times New Roman"/>
          <w:sz w:val="24"/>
        </w:rPr>
        <w:t>本地化</w:t>
      </w:r>
      <w:r>
        <w:rPr>
          <w:rFonts w:ascii="Times New Roman" w:hAnsi="Times New Roman"/>
          <w:sz w:val="24"/>
        </w:rPr>
        <w:t>”</w:t>
      </w:r>
      <w:r>
        <w:rPr>
          <w:rFonts w:ascii="Times New Roman" w:hAnsi="Times New Roman"/>
          <w:sz w:val="24"/>
        </w:rPr>
        <w:t>道路，以满足地方需求为起步，大力发展</w:t>
      </w:r>
      <w:r>
        <w:rPr>
          <w:rFonts w:ascii="Times New Roman" w:hAnsi="Times New Roman"/>
          <w:sz w:val="24"/>
        </w:rPr>
        <w:t>“</w:t>
      </w:r>
      <w:r>
        <w:rPr>
          <w:rFonts w:ascii="Times New Roman" w:hAnsi="Times New Roman"/>
          <w:sz w:val="24"/>
        </w:rPr>
        <w:t>石油机械加工、矿山装备制造、环保设备</w:t>
      </w:r>
      <w:r>
        <w:rPr>
          <w:rFonts w:ascii="Times New Roman" w:hAnsi="Times New Roman"/>
          <w:sz w:val="24"/>
        </w:rPr>
        <w:t>”</w:t>
      </w:r>
      <w:r>
        <w:rPr>
          <w:rFonts w:ascii="Times New Roman" w:hAnsi="Times New Roman"/>
          <w:sz w:val="24"/>
        </w:rPr>
        <w:t>等制造业，鼓励发展</w:t>
      </w:r>
      <w:r>
        <w:rPr>
          <w:rFonts w:ascii="Times New Roman" w:hAnsi="Times New Roman"/>
          <w:sz w:val="24"/>
        </w:rPr>
        <w:t>“</w:t>
      </w:r>
      <w:r>
        <w:rPr>
          <w:rFonts w:ascii="Times New Roman" w:hAnsi="Times New Roman"/>
          <w:sz w:val="24"/>
        </w:rPr>
        <w:t>黑色及有色金属炼轧成套设备、现代农业机械设备</w:t>
      </w:r>
      <w:r>
        <w:rPr>
          <w:rFonts w:ascii="Times New Roman" w:hAnsi="Times New Roman"/>
          <w:sz w:val="24"/>
        </w:rPr>
        <w:t>”</w:t>
      </w:r>
      <w:r>
        <w:rPr>
          <w:rFonts w:ascii="Times New Roman" w:hAnsi="Times New Roman"/>
          <w:sz w:val="24"/>
        </w:rPr>
        <w:t>。</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）现代服务业</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重点发展以现代铁路物流、职教培训、研发中试、信息咨询以及商务商贸为主的生产性服务业，支撑东疆能源中枢地位和先进制造业的发展。配套相应的生活服务及休闲娱乐设施，满足生活服务需求。</w:t>
      </w:r>
    </w:p>
    <w:p w:rsidR="00525419" w:rsidRDefault="00EE1CF7">
      <w:pPr>
        <w:pStyle w:val="3a"/>
        <w:spacing w:beforeLines="50" w:before="159" w:after="156" w:line="360" w:lineRule="auto"/>
        <w:jc w:val="left"/>
        <w:rPr>
          <w:rFonts w:ascii="Times New Roman" w:eastAsia="华文楷体" w:hAnsi="Times New Roman"/>
        </w:rPr>
      </w:pPr>
      <w:r>
        <w:rPr>
          <w:rFonts w:ascii="Times New Roman" w:eastAsia="华文楷体" w:hAnsi="Times New Roman"/>
        </w:rPr>
        <w:t>4.2.3</w:t>
      </w:r>
      <w:r>
        <w:rPr>
          <w:rFonts w:ascii="Times New Roman" w:eastAsia="华文楷体" w:hAnsi="Times New Roman"/>
        </w:rPr>
        <w:t>空间布局规划</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4.2.3.1</w:t>
      </w:r>
      <w:r>
        <w:rPr>
          <w:rFonts w:ascii="Times New Roman" w:hAnsi="Times New Roman" w:cs="Times New Roman"/>
          <w:kern w:val="44"/>
          <w:sz w:val="24"/>
          <w:szCs w:val="24"/>
        </w:rPr>
        <w:t>空间结构</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规划园区形成</w:t>
      </w:r>
      <w:r>
        <w:rPr>
          <w:rFonts w:ascii="Times New Roman" w:hAnsi="Times New Roman"/>
          <w:sz w:val="24"/>
        </w:rPr>
        <w:t>“</w:t>
      </w:r>
      <w:r>
        <w:rPr>
          <w:rFonts w:ascii="Times New Roman" w:hAnsi="Times New Roman"/>
          <w:sz w:val="24"/>
        </w:rPr>
        <w:t>一体两翼、</w:t>
      </w:r>
      <w:r>
        <w:rPr>
          <w:rFonts w:ascii="Times New Roman" w:hAnsi="Times New Roman"/>
          <w:sz w:val="24"/>
        </w:rPr>
        <w:t>3+1</w:t>
      </w:r>
      <w:r>
        <w:rPr>
          <w:rFonts w:ascii="Times New Roman" w:hAnsi="Times New Roman"/>
          <w:sz w:val="24"/>
        </w:rPr>
        <w:t>产业园</w:t>
      </w:r>
      <w:r>
        <w:rPr>
          <w:rFonts w:ascii="Times New Roman" w:hAnsi="Times New Roman"/>
          <w:sz w:val="24"/>
        </w:rPr>
        <w:t>”</w:t>
      </w:r>
      <w:r>
        <w:rPr>
          <w:rFonts w:ascii="Times New Roman" w:hAnsi="Times New Roman"/>
          <w:sz w:val="24"/>
        </w:rPr>
        <w:t>的空间结构。</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一体</w:t>
      </w:r>
      <w:r>
        <w:rPr>
          <w:rFonts w:ascii="Times New Roman" w:hAnsi="Times New Roman"/>
          <w:sz w:val="24"/>
        </w:rPr>
        <w:t>”</w:t>
      </w:r>
      <w:r>
        <w:rPr>
          <w:rFonts w:ascii="Times New Roman" w:hAnsi="Times New Roman"/>
          <w:sz w:val="24"/>
        </w:rPr>
        <w:t>是指以火车站现状镇区为基础，依托高铁站点形成的综合产业园，是园区服务核心和生活基地，承载新型制造业，打造</w:t>
      </w:r>
      <w:r>
        <w:rPr>
          <w:rFonts w:ascii="Times New Roman" w:hAnsi="Times New Roman"/>
          <w:sz w:val="24"/>
        </w:rPr>
        <w:t>“</w:t>
      </w:r>
      <w:r>
        <w:rPr>
          <w:rFonts w:ascii="Times New Roman" w:hAnsi="Times New Roman"/>
          <w:sz w:val="24"/>
        </w:rPr>
        <w:t>援疆产业园区</w:t>
      </w:r>
      <w:r>
        <w:rPr>
          <w:rFonts w:ascii="Times New Roman" w:hAnsi="Times New Roman"/>
          <w:sz w:val="24"/>
        </w:rPr>
        <w:t>”</w:t>
      </w:r>
      <w:r>
        <w:rPr>
          <w:rFonts w:ascii="Times New Roman" w:hAnsi="Times New Roman"/>
          <w:sz w:val="24"/>
        </w:rPr>
        <w:t>，鼓励引入科教研发、中试职能，是园区高产业附加值的综合性产业园。</w:t>
      </w:r>
    </w:p>
    <w:p w:rsidR="00525419" w:rsidRDefault="00EE1CF7">
      <w:pPr>
        <w:spacing w:line="360" w:lineRule="auto"/>
        <w:ind w:firstLineChars="200" w:firstLine="480"/>
        <w:rPr>
          <w:rFonts w:ascii="Times New Roman" w:hAnsi="Times New Roman"/>
          <w:sz w:val="24"/>
        </w:rPr>
      </w:pPr>
      <w:r>
        <w:rPr>
          <w:rFonts w:ascii="Times New Roman" w:hAnsi="Times New Roman"/>
          <w:sz w:val="24"/>
        </w:rPr>
        <w:lastRenderedPageBreak/>
        <w:t xml:space="preserve"> “</w:t>
      </w:r>
      <w:r>
        <w:rPr>
          <w:rFonts w:ascii="Times New Roman" w:hAnsi="Times New Roman"/>
          <w:sz w:val="24"/>
        </w:rPr>
        <w:t>两翼</w:t>
      </w:r>
      <w:r>
        <w:rPr>
          <w:rFonts w:ascii="Times New Roman" w:hAnsi="Times New Roman"/>
          <w:sz w:val="24"/>
        </w:rPr>
        <w:t>”</w:t>
      </w:r>
      <w:r>
        <w:rPr>
          <w:rFonts w:ascii="Times New Roman" w:hAnsi="Times New Roman"/>
          <w:sz w:val="24"/>
        </w:rPr>
        <w:t>是指综合产业园的东、西两翼。西翼发展石油天然气化工产业和商贸物流产业。东翼发展有色金属生产及精深加工产业。</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“3+1”</w:t>
      </w:r>
      <w:r>
        <w:rPr>
          <w:rFonts w:ascii="Times New Roman" w:hAnsi="Times New Roman"/>
          <w:sz w:val="24"/>
        </w:rPr>
        <w:t>产业园指三大产业园和一个物流园，即综合产业园、石化产业园、有色金属产业园和综合物流园。</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①</w:t>
      </w:r>
      <w:r>
        <w:rPr>
          <w:rFonts w:ascii="Times New Roman" w:hAnsi="Times New Roman"/>
          <w:sz w:val="24"/>
        </w:rPr>
        <w:t>综合产业园：以新型制造业、科教研发、职业培训以及配套生活服务为主要职能的综合性产业园，占地总面积约为</w:t>
      </w:r>
      <w:r>
        <w:rPr>
          <w:rFonts w:ascii="Times New Roman" w:hAnsi="Times New Roman"/>
          <w:sz w:val="24"/>
        </w:rPr>
        <w:t>29.0km</w:t>
      </w:r>
      <w:r>
        <w:rPr>
          <w:rFonts w:ascii="Times New Roman" w:hAnsi="Times New Roman"/>
          <w:sz w:val="24"/>
          <w:vertAlign w:val="superscript"/>
        </w:rPr>
        <w:t>2</w:t>
      </w:r>
      <w:r>
        <w:rPr>
          <w:rFonts w:ascii="Times New Roman" w:hAnsi="Times New Roman"/>
          <w:sz w:val="24"/>
        </w:rPr>
        <w:t>。</w:t>
      </w:r>
    </w:p>
    <w:p w:rsidR="00525419" w:rsidRDefault="00EE1CF7">
      <w:pPr>
        <w:spacing w:line="360" w:lineRule="auto"/>
        <w:ind w:firstLineChars="200" w:firstLine="480"/>
        <w:rPr>
          <w:rFonts w:ascii="Times New Roman" w:hAnsi="Times New Roman"/>
          <w:sz w:val="24"/>
        </w:rPr>
      </w:pPr>
      <w:r>
        <w:rPr>
          <w:rFonts w:ascii="Times New Roman" w:hAnsi="Times New Roman"/>
          <w:sz w:val="24"/>
        </w:rPr>
        <w:fldChar w:fldCharType="begin"/>
      </w:r>
      <w:r>
        <w:rPr>
          <w:rFonts w:ascii="Times New Roman" w:hAnsi="Times New Roman"/>
          <w:sz w:val="24"/>
        </w:rPr>
        <w:instrText>= 2 \* GB3</w:instrText>
      </w:r>
      <w:r>
        <w:rPr>
          <w:rFonts w:ascii="Times New Roman" w:hAnsi="Times New Roman"/>
          <w:sz w:val="24"/>
        </w:rPr>
        <w:fldChar w:fldCharType="separate"/>
      </w:r>
      <w:r>
        <w:rPr>
          <w:rFonts w:ascii="Times New Roman" w:hAnsi="Times New Roman"/>
          <w:sz w:val="24"/>
        </w:rPr>
        <w:t>②</w:t>
      </w:r>
      <w:r>
        <w:rPr>
          <w:rFonts w:ascii="Times New Roman" w:hAnsi="Times New Roman"/>
          <w:sz w:val="24"/>
        </w:rPr>
        <w:fldChar w:fldCharType="end"/>
      </w:r>
      <w:r>
        <w:rPr>
          <w:rFonts w:ascii="Times New Roman" w:hAnsi="Times New Roman"/>
          <w:sz w:val="24"/>
        </w:rPr>
        <w:t>石化产业园：以石油天然气下游精细化工为主要职能的产业园，占地总面积约为</w:t>
      </w:r>
      <w:r>
        <w:rPr>
          <w:rFonts w:ascii="Times New Roman" w:hAnsi="Times New Roman"/>
          <w:sz w:val="24"/>
        </w:rPr>
        <w:t>5.5 km</w:t>
      </w:r>
      <w:r>
        <w:rPr>
          <w:rFonts w:ascii="Times New Roman" w:hAnsi="Times New Roman"/>
          <w:sz w:val="24"/>
          <w:vertAlign w:val="superscript"/>
        </w:rPr>
        <w:t>2</w:t>
      </w:r>
      <w:r>
        <w:rPr>
          <w:rFonts w:ascii="Times New Roman" w:hAnsi="Times New Roman"/>
          <w:sz w:val="24"/>
        </w:rPr>
        <w:t>。</w:t>
      </w:r>
    </w:p>
    <w:p w:rsidR="00525419" w:rsidRDefault="00EE1CF7">
      <w:pPr>
        <w:spacing w:line="360" w:lineRule="auto"/>
        <w:ind w:firstLineChars="200" w:firstLine="480"/>
        <w:rPr>
          <w:rFonts w:ascii="Times New Roman" w:hAnsi="Times New Roman"/>
          <w:sz w:val="24"/>
        </w:rPr>
      </w:pPr>
      <w:r>
        <w:rPr>
          <w:rFonts w:ascii="Times New Roman" w:hAnsi="Times New Roman"/>
          <w:sz w:val="24"/>
        </w:rPr>
        <w:fldChar w:fldCharType="begin"/>
      </w:r>
      <w:r>
        <w:rPr>
          <w:rFonts w:ascii="Times New Roman" w:hAnsi="Times New Roman"/>
          <w:sz w:val="24"/>
        </w:rPr>
        <w:instrText>= 3 \* GB3</w:instrText>
      </w:r>
      <w:r>
        <w:rPr>
          <w:rFonts w:ascii="Times New Roman" w:hAnsi="Times New Roman"/>
          <w:sz w:val="24"/>
        </w:rPr>
        <w:fldChar w:fldCharType="separate"/>
      </w:r>
      <w:r>
        <w:rPr>
          <w:rFonts w:ascii="Times New Roman" w:hAnsi="Times New Roman"/>
          <w:sz w:val="24"/>
        </w:rPr>
        <w:t>③</w:t>
      </w:r>
      <w:r>
        <w:rPr>
          <w:rFonts w:ascii="Times New Roman" w:hAnsi="Times New Roman"/>
          <w:sz w:val="24"/>
        </w:rPr>
        <w:fldChar w:fldCharType="end"/>
      </w:r>
      <w:r>
        <w:rPr>
          <w:rFonts w:ascii="Times New Roman" w:hAnsi="Times New Roman"/>
          <w:sz w:val="24"/>
        </w:rPr>
        <w:t>有色金属产业园：集有色金属生产、精深加工、物流集散运输功能于一体的产业园，占地总面积约为</w:t>
      </w:r>
      <w:r>
        <w:rPr>
          <w:rFonts w:ascii="Times New Roman" w:hAnsi="Times New Roman"/>
          <w:sz w:val="24"/>
        </w:rPr>
        <w:t>11.9 km</w:t>
      </w:r>
      <w:r>
        <w:rPr>
          <w:rFonts w:ascii="Times New Roman" w:hAnsi="Times New Roman"/>
          <w:sz w:val="24"/>
          <w:vertAlign w:val="superscript"/>
        </w:rPr>
        <w:t>2</w:t>
      </w:r>
      <w:r>
        <w:rPr>
          <w:rFonts w:ascii="Times New Roman" w:hAnsi="Times New Roman"/>
          <w:sz w:val="24"/>
        </w:rPr>
        <w:t>。</w:t>
      </w:r>
    </w:p>
    <w:p w:rsidR="00525419" w:rsidRDefault="00EE1CF7">
      <w:pPr>
        <w:spacing w:line="360" w:lineRule="auto"/>
        <w:ind w:firstLineChars="200" w:firstLine="480"/>
        <w:rPr>
          <w:rFonts w:ascii="Times New Roman" w:hAnsi="Times New Roman"/>
          <w:sz w:val="24"/>
        </w:rPr>
      </w:pPr>
      <w:r>
        <w:rPr>
          <w:rFonts w:ascii="Times New Roman" w:hAnsi="Times New Roman"/>
          <w:sz w:val="24"/>
        </w:rPr>
        <w:fldChar w:fldCharType="begin"/>
      </w:r>
      <w:r>
        <w:rPr>
          <w:rFonts w:ascii="Times New Roman" w:hAnsi="Times New Roman"/>
          <w:sz w:val="24"/>
        </w:rPr>
        <w:instrText>= 4 \* GB3</w:instrText>
      </w:r>
      <w:r>
        <w:rPr>
          <w:rFonts w:ascii="Times New Roman" w:hAnsi="Times New Roman"/>
          <w:sz w:val="24"/>
        </w:rPr>
        <w:fldChar w:fldCharType="separate"/>
      </w:r>
      <w:r>
        <w:rPr>
          <w:rFonts w:ascii="Times New Roman" w:hAnsi="Times New Roman"/>
          <w:sz w:val="24"/>
        </w:rPr>
        <w:t>④</w:t>
      </w:r>
      <w:r>
        <w:rPr>
          <w:rFonts w:ascii="Times New Roman" w:hAnsi="Times New Roman"/>
          <w:sz w:val="24"/>
        </w:rPr>
        <w:fldChar w:fldCharType="end"/>
      </w:r>
      <w:r>
        <w:rPr>
          <w:rFonts w:ascii="Times New Roman" w:hAnsi="Times New Roman"/>
          <w:sz w:val="24"/>
        </w:rPr>
        <w:t>综合物流园：具备公路联运条件的物流贸易基地，服务于鄯善县及周边区域，占地总面积约为</w:t>
      </w:r>
      <w:r>
        <w:rPr>
          <w:rFonts w:ascii="Times New Roman" w:hAnsi="Times New Roman"/>
          <w:sz w:val="24"/>
        </w:rPr>
        <w:t>17.8 km</w:t>
      </w:r>
      <w:r>
        <w:rPr>
          <w:rFonts w:ascii="Times New Roman" w:hAnsi="Times New Roman"/>
          <w:sz w:val="24"/>
          <w:vertAlign w:val="superscript"/>
        </w:rPr>
        <w:t>2</w:t>
      </w:r>
      <w:r>
        <w:rPr>
          <w:rFonts w:ascii="Times New Roman" w:hAnsi="Times New Roman"/>
          <w:sz w:val="24"/>
        </w:rPr>
        <w:t>。</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园区空间结构规划见图</w:t>
      </w:r>
      <w:r>
        <w:rPr>
          <w:rFonts w:ascii="Times New Roman" w:hAnsi="Times New Roman"/>
          <w:sz w:val="24"/>
        </w:rPr>
        <w:t>4.2-2</w:t>
      </w:r>
      <w:r>
        <w:rPr>
          <w:rFonts w:ascii="Times New Roman" w:hAnsi="Times New Roman"/>
          <w:sz w:val="24"/>
        </w:rPr>
        <w:t>。</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4.2.3.2</w:t>
      </w:r>
      <w:r>
        <w:rPr>
          <w:rFonts w:ascii="Times New Roman" w:hAnsi="Times New Roman" w:cs="Times New Roman"/>
          <w:kern w:val="44"/>
          <w:sz w:val="24"/>
          <w:szCs w:val="24"/>
        </w:rPr>
        <w:t>功能分区</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）综合产业园分为生活配套服务组团、精细化工组团以及两个新型制造业组团，共</w:t>
      </w:r>
      <w:r>
        <w:rPr>
          <w:rFonts w:ascii="Times New Roman" w:hAnsi="Times New Roman"/>
          <w:sz w:val="24"/>
        </w:rPr>
        <w:t>4</w:t>
      </w:r>
      <w:r>
        <w:rPr>
          <w:rFonts w:ascii="Times New Roman" w:hAnsi="Times New Roman"/>
          <w:sz w:val="24"/>
        </w:rPr>
        <w:t>个组团。</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）石化产业园依托采油区，以现有化工企业为基础，打造精细化工组团。</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）有色金属产业园划分为有色金属产业组团，金属精深加工组团、中铝物流组团共</w:t>
      </w:r>
      <w:r>
        <w:rPr>
          <w:rFonts w:ascii="Times New Roman" w:hAnsi="Times New Roman"/>
          <w:sz w:val="24"/>
        </w:rPr>
        <w:t>3</w:t>
      </w:r>
      <w:r>
        <w:rPr>
          <w:rFonts w:ascii="Times New Roman" w:hAnsi="Times New Roman"/>
          <w:sz w:val="24"/>
        </w:rPr>
        <w:t>个组团。</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）综合物流园划分为煤炭物流组团、综合物流组团、石油储备组团共</w:t>
      </w:r>
      <w:r>
        <w:rPr>
          <w:rFonts w:ascii="Times New Roman" w:hAnsi="Times New Roman"/>
          <w:sz w:val="24"/>
        </w:rPr>
        <w:t>3</w:t>
      </w:r>
      <w:r>
        <w:rPr>
          <w:rFonts w:ascii="Times New Roman" w:hAnsi="Times New Roman"/>
          <w:sz w:val="24"/>
        </w:rPr>
        <w:t>个组团。</w:t>
      </w:r>
    </w:p>
    <w:p w:rsidR="00525419" w:rsidRDefault="00EE1CF7">
      <w:pPr>
        <w:spacing w:line="360" w:lineRule="auto"/>
        <w:ind w:firstLineChars="200" w:firstLine="420"/>
        <w:rPr>
          <w:rFonts w:ascii="Times New Roman" w:hAnsi="Times New Roman"/>
        </w:rPr>
      </w:pPr>
      <w:r>
        <w:rPr>
          <w:rFonts w:ascii="Times New Roman" w:hAnsi="Times New Roman"/>
        </w:rPr>
        <w:t xml:space="preserve">　</w:t>
      </w:r>
      <w:r>
        <w:rPr>
          <w:rFonts w:ascii="Times New Roman" w:hAnsi="Times New Roman"/>
          <w:sz w:val="24"/>
        </w:rPr>
        <w:t>园区功能布局见图</w:t>
      </w:r>
      <w:r>
        <w:rPr>
          <w:rFonts w:ascii="Times New Roman" w:hAnsi="Times New Roman"/>
          <w:sz w:val="24"/>
        </w:rPr>
        <w:t>4.2-3</w:t>
      </w:r>
      <w:r>
        <w:rPr>
          <w:rFonts w:ascii="Times New Roman" w:hAnsi="Times New Roman"/>
          <w:sz w:val="24"/>
        </w:rPr>
        <w:t>，近期建设用地规划见图</w:t>
      </w:r>
      <w:r>
        <w:rPr>
          <w:rFonts w:ascii="Times New Roman" w:hAnsi="Times New Roman"/>
          <w:sz w:val="24"/>
        </w:rPr>
        <w:t>4.2-4</w:t>
      </w:r>
      <w:r>
        <w:rPr>
          <w:rFonts w:ascii="Times New Roman" w:hAnsi="Times New Roman"/>
          <w:sz w:val="24"/>
        </w:rPr>
        <w:t>。</w:t>
      </w: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sectPr w:rsidR="00525419">
          <w:pgSz w:w="11906" w:h="16838"/>
          <w:pgMar w:top="1440" w:right="1803" w:bottom="1440" w:left="1803" w:header="851" w:footer="992" w:gutter="0"/>
          <w:cols w:space="0"/>
          <w:docGrid w:type="lines" w:linePitch="319"/>
        </w:sectPr>
      </w:pPr>
    </w:p>
    <w:p w:rsidR="00525419" w:rsidRDefault="00525419">
      <w:pPr>
        <w:rPr>
          <w:rFonts w:ascii="Times New Roman" w:hAnsi="Times New Roman"/>
        </w:rPr>
      </w:pPr>
    </w:p>
    <w:p w:rsidR="00525419" w:rsidRDefault="00EE1CF7">
      <w:pPr>
        <w:jc w:val="center"/>
        <w:rPr>
          <w:rFonts w:ascii="Times New Roman" w:hAnsi="Times New Roman"/>
          <w:b/>
          <w:sz w:val="24"/>
          <w:szCs w:val="24"/>
        </w:rPr>
      </w:pPr>
      <w:r>
        <w:rPr>
          <w:rFonts w:ascii="Times New Roman" w:hAnsi="Times New Roman"/>
          <w:b/>
          <w:sz w:val="24"/>
          <w:szCs w:val="24"/>
        </w:rPr>
        <w:t>图</w:t>
      </w:r>
      <w:r>
        <w:rPr>
          <w:rFonts w:ascii="Times New Roman" w:hAnsi="Times New Roman"/>
          <w:b/>
          <w:sz w:val="24"/>
          <w:szCs w:val="24"/>
        </w:rPr>
        <w:t>4.2-2</w:t>
      </w:r>
      <w:r>
        <w:rPr>
          <w:rFonts w:ascii="Times New Roman" w:hAnsi="Times New Roman"/>
          <w:b/>
          <w:sz w:val="24"/>
          <w:szCs w:val="24"/>
        </w:rPr>
        <w:t xml:space="preserve">　　园区空间结构规划</w:t>
      </w:r>
    </w:p>
    <w:p w:rsidR="00525419" w:rsidRDefault="00525419">
      <w:pPr>
        <w:rPr>
          <w:rFonts w:ascii="Times New Roman" w:hAnsi="Times New Roman"/>
        </w:rPr>
      </w:pPr>
    </w:p>
    <w:p w:rsidR="00525419" w:rsidRDefault="00525419">
      <w:pPr>
        <w:rPr>
          <w:rFonts w:ascii="Times New Roman" w:hAnsi="Times New Roman"/>
        </w:rPr>
      </w:pPr>
    </w:p>
    <w:p w:rsidR="00525419" w:rsidRDefault="00EE1CF7">
      <w:pPr>
        <w:jc w:val="center"/>
        <w:rPr>
          <w:rFonts w:ascii="Times New Roman" w:hAnsi="Times New Roman"/>
          <w:b/>
          <w:sz w:val="24"/>
          <w:szCs w:val="24"/>
        </w:rPr>
      </w:pPr>
      <w:r>
        <w:rPr>
          <w:rFonts w:ascii="Times New Roman" w:hAnsi="Times New Roman"/>
          <w:b/>
          <w:sz w:val="24"/>
          <w:szCs w:val="24"/>
        </w:rPr>
        <w:t>图</w:t>
      </w:r>
      <w:r>
        <w:rPr>
          <w:rFonts w:ascii="Times New Roman" w:hAnsi="Times New Roman"/>
          <w:b/>
          <w:sz w:val="24"/>
          <w:szCs w:val="24"/>
        </w:rPr>
        <w:t>4.2-3</w:t>
      </w:r>
      <w:r>
        <w:rPr>
          <w:rFonts w:ascii="Times New Roman" w:hAnsi="Times New Roman"/>
          <w:b/>
          <w:sz w:val="24"/>
          <w:szCs w:val="24"/>
        </w:rPr>
        <w:t xml:space="preserve">　　园区功能分区图</w:t>
      </w:r>
    </w:p>
    <w:p w:rsidR="00525419" w:rsidRDefault="00525419">
      <w:pPr>
        <w:rPr>
          <w:rFonts w:ascii="Times New Roman" w:hAnsi="Times New Roman"/>
        </w:rPr>
      </w:pPr>
    </w:p>
    <w:p w:rsidR="00525419" w:rsidRDefault="00EE1CF7">
      <w:pPr>
        <w:jc w:val="center"/>
        <w:rPr>
          <w:rFonts w:ascii="Times New Roman" w:hAnsi="Times New Roman"/>
          <w:b/>
          <w:sz w:val="24"/>
          <w:szCs w:val="24"/>
        </w:rPr>
      </w:pPr>
      <w:r>
        <w:rPr>
          <w:rFonts w:ascii="Times New Roman" w:hAnsi="Times New Roman"/>
          <w:b/>
          <w:sz w:val="24"/>
          <w:szCs w:val="24"/>
        </w:rPr>
        <w:t>图</w:t>
      </w:r>
      <w:r>
        <w:rPr>
          <w:rFonts w:ascii="Times New Roman" w:hAnsi="Times New Roman"/>
          <w:b/>
          <w:sz w:val="24"/>
          <w:szCs w:val="24"/>
        </w:rPr>
        <w:t>4.2-4</w:t>
      </w:r>
      <w:r>
        <w:rPr>
          <w:rFonts w:ascii="Times New Roman" w:hAnsi="Times New Roman"/>
          <w:b/>
          <w:sz w:val="24"/>
          <w:szCs w:val="24"/>
        </w:rPr>
        <w:t xml:space="preserve">　　近期建设用地规划图</w:t>
      </w:r>
    </w:p>
    <w:p w:rsidR="00525419" w:rsidRDefault="00525419">
      <w:pPr>
        <w:rPr>
          <w:rFonts w:ascii="Times New Roman" w:hAnsi="Times New Roman"/>
        </w:rPr>
        <w:sectPr w:rsidR="00525419">
          <w:pgSz w:w="16838" w:h="11906" w:orient="landscape"/>
          <w:pgMar w:top="1803" w:right="1440" w:bottom="1803" w:left="1440" w:header="851" w:footer="992" w:gutter="0"/>
          <w:cols w:space="0"/>
          <w:docGrid w:type="lines" w:linePitch="319"/>
        </w:sectPr>
      </w:pPr>
    </w:p>
    <w:p w:rsidR="00525419" w:rsidRDefault="00EE1CF7">
      <w:pPr>
        <w:pStyle w:val="3a"/>
        <w:spacing w:beforeLines="50" w:before="156" w:after="156" w:line="360" w:lineRule="auto"/>
        <w:jc w:val="left"/>
        <w:rPr>
          <w:rFonts w:ascii="Times New Roman" w:eastAsia="华文楷体" w:hAnsi="Times New Roman"/>
        </w:rPr>
      </w:pPr>
      <w:r>
        <w:rPr>
          <w:rFonts w:ascii="Times New Roman" w:eastAsia="华文楷体" w:hAnsi="Times New Roman"/>
        </w:rPr>
        <w:lastRenderedPageBreak/>
        <w:t>4.2.4</w:t>
      </w:r>
      <w:r>
        <w:rPr>
          <w:rFonts w:ascii="Times New Roman" w:eastAsia="华文楷体" w:hAnsi="Times New Roman"/>
        </w:rPr>
        <w:t>园区基础条件依托情况</w:t>
      </w:r>
    </w:p>
    <w:p w:rsidR="00525419" w:rsidRDefault="00EE1CF7">
      <w:pPr>
        <w:spacing w:line="360" w:lineRule="auto"/>
        <w:ind w:left="-3" w:firstLineChars="200" w:firstLine="480"/>
        <w:rPr>
          <w:rFonts w:ascii="Times New Roman" w:hAnsi="Times New Roman"/>
          <w:snapToGrid w:val="0"/>
          <w:kern w:val="0"/>
          <w:sz w:val="24"/>
        </w:rPr>
      </w:pPr>
      <w:r>
        <w:rPr>
          <w:rFonts w:ascii="Times New Roman" w:hAnsi="Times New Roman"/>
          <w:snapToGrid w:val="0"/>
          <w:kern w:val="0"/>
          <w:sz w:val="24"/>
        </w:rPr>
        <w:t>项目所在园区基础设施条件较好，服务设施配套齐全，有良好的服务功能，已实现基础设施的</w:t>
      </w:r>
      <w:r>
        <w:rPr>
          <w:rFonts w:ascii="Times New Roman" w:hAnsi="Times New Roman"/>
          <w:snapToGrid w:val="0"/>
          <w:kern w:val="0"/>
          <w:sz w:val="24"/>
        </w:rPr>
        <w:t>“</w:t>
      </w:r>
      <w:r>
        <w:rPr>
          <w:rFonts w:ascii="Times New Roman" w:hAnsi="Times New Roman"/>
          <w:snapToGrid w:val="0"/>
          <w:kern w:val="0"/>
          <w:sz w:val="24"/>
        </w:rPr>
        <w:t>七通一平</w:t>
      </w:r>
      <w:r>
        <w:rPr>
          <w:rFonts w:ascii="Times New Roman" w:hAnsi="Times New Roman"/>
          <w:snapToGrid w:val="0"/>
          <w:kern w:val="0"/>
          <w:sz w:val="24"/>
        </w:rPr>
        <w:t>”</w:t>
      </w:r>
      <w:r>
        <w:rPr>
          <w:rFonts w:ascii="Times New Roman" w:hAnsi="Times New Roman"/>
          <w:snapToGrid w:val="0"/>
          <w:kern w:val="0"/>
          <w:sz w:val="24"/>
        </w:rPr>
        <w:t>工作。本项目与工业区依托关系见表</w:t>
      </w:r>
      <w:r>
        <w:rPr>
          <w:rFonts w:ascii="Times New Roman" w:hAnsi="Times New Roman"/>
          <w:snapToGrid w:val="0"/>
          <w:kern w:val="0"/>
          <w:sz w:val="24"/>
        </w:rPr>
        <w:t>4.2-1</w:t>
      </w:r>
      <w:r>
        <w:rPr>
          <w:rFonts w:ascii="Times New Roman" w:hAnsi="Times New Roman"/>
          <w:snapToGrid w:val="0"/>
          <w:kern w:val="0"/>
          <w:sz w:val="24"/>
        </w:rPr>
        <w:t>。</w:t>
      </w:r>
    </w:p>
    <w:p w:rsidR="00525419" w:rsidRDefault="00525419">
      <w:pPr>
        <w:spacing w:line="240" w:lineRule="atLeast"/>
        <w:jc w:val="center"/>
        <w:rPr>
          <w:rFonts w:ascii="Times New Roman" w:eastAsia="黑体" w:hAnsi="Times New Roman"/>
          <w:szCs w:val="21"/>
        </w:rPr>
      </w:pPr>
    </w:p>
    <w:p w:rsidR="00525419" w:rsidRDefault="00EE1CF7">
      <w:pPr>
        <w:spacing w:line="240" w:lineRule="atLeast"/>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4.2-1   </w:t>
      </w:r>
      <w:r>
        <w:rPr>
          <w:rFonts w:ascii="Times New Roman" w:eastAsia="黑体" w:hAnsi="Times New Roman"/>
          <w:szCs w:val="21"/>
        </w:rPr>
        <w:t>本项目与工业园区依托关系一览表</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18"/>
        <w:gridCol w:w="5425"/>
        <w:gridCol w:w="1379"/>
      </w:tblGrid>
      <w:tr w:rsidR="00525419">
        <w:trPr>
          <w:trHeight w:val="386"/>
          <w:jc w:val="center"/>
        </w:trPr>
        <w:tc>
          <w:tcPr>
            <w:tcW w:w="1718" w:type="dxa"/>
            <w:shd w:val="clear" w:color="auto" w:fill="auto"/>
            <w:vAlign w:val="center"/>
          </w:tcPr>
          <w:p w:rsidR="00525419" w:rsidRDefault="00EE1CF7">
            <w:pPr>
              <w:pStyle w:val="B2"/>
              <w:rPr>
                <w:rFonts w:cs="Times New Roman"/>
                <w:szCs w:val="21"/>
              </w:rPr>
            </w:pPr>
            <w:r>
              <w:rPr>
                <w:rFonts w:cs="Times New Roman"/>
                <w:szCs w:val="21"/>
              </w:rPr>
              <w:t>基础设施</w:t>
            </w:r>
          </w:p>
        </w:tc>
        <w:tc>
          <w:tcPr>
            <w:tcW w:w="5425" w:type="dxa"/>
            <w:shd w:val="clear" w:color="auto" w:fill="auto"/>
            <w:vAlign w:val="center"/>
          </w:tcPr>
          <w:p w:rsidR="00525419" w:rsidRDefault="00EE1CF7">
            <w:pPr>
              <w:pStyle w:val="B2"/>
              <w:rPr>
                <w:rFonts w:cs="Times New Roman"/>
                <w:szCs w:val="21"/>
              </w:rPr>
            </w:pPr>
            <w:r>
              <w:rPr>
                <w:rFonts w:cs="Times New Roman"/>
                <w:szCs w:val="21"/>
              </w:rPr>
              <w:t>规划情况</w:t>
            </w:r>
          </w:p>
        </w:tc>
        <w:tc>
          <w:tcPr>
            <w:tcW w:w="1379" w:type="dxa"/>
            <w:shd w:val="clear" w:color="auto" w:fill="auto"/>
            <w:vAlign w:val="center"/>
          </w:tcPr>
          <w:p w:rsidR="00525419" w:rsidRDefault="00EE1CF7">
            <w:pPr>
              <w:pStyle w:val="B2"/>
              <w:rPr>
                <w:rFonts w:cs="Times New Roman"/>
                <w:szCs w:val="21"/>
              </w:rPr>
            </w:pPr>
            <w:r>
              <w:rPr>
                <w:rFonts w:cs="Times New Roman"/>
                <w:szCs w:val="21"/>
              </w:rPr>
              <w:t>依托关系</w:t>
            </w:r>
          </w:p>
        </w:tc>
      </w:tr>
      <w:tr w:rsidR="00525419">
        <w:trPr>
          <w:trHeight w:val="386"/>
          <w:jc w:val="center"/>
        </w:trPr>
        <w:tc>
          <w:tcPr>
            <w:tcW w:w="1718" w:type="dxa"/>
            <w:shd w:val="clear" w:color="auto" w:fill="auto"/>
            <w:vAlign w:val="center"/>
          </w:tcPr>
          <w:p w:rsidR="00525419" w:rsidRDefault="00EE1CF7">
            <w:pPr>
              <w:pStyle w:val="B2"/>
              <w:rPr>
                <w:rFonts w:cs="Times New Roman"/>
                <w:szCs w:val="21"/>
              </w:rPr>
            </w:pPr>
            <w:r>
              <w:rPr>
                <w:rFonts w:cs="Times New Roman"/>
                <w:szCs w:val="21"/>
              </w:rPr>
              <w:t>道路</w:t>
            </w:r>
          </w:p>
        </w:tc>
        <w:tc>
          <w:tcPr>
            <w:tcW w:w="5425" w:type="dxa"/>
            <w:shd w:val="clear" w:color="auto" w:fill="auto"/>
            <w:vAlign w:val="center"/>
          </w:tcPr>
          <w:p w:rsidR="00525419" w:rsidRDefault="00EE1CF7">
            <w:pPr>
              <w:pStyle w:val="B2"/>
              <w:rPr>
                <w:rFonts w:cs="Times New Roman"/>
                <w:szCs w:val="21"/>
              </w:rPr>
            </w:pPr>
            <w:r>
              <w:rPr>
                <w:rFonts w:cs="Times New Roman"/>
                <w:szCs w:val="21"/>
              </w:rPr>
              <w:t>园区生活区、工业区主要道路网格、配套基础设施已基本形成</w:t>
            </w:r>
          </w:p>
        </w:tc>
        <w:tc>
          <w:tcPr>
            <w:tcW w:w="1379" w:type="dxa"/>
            <w:shd w:val="clear" w:color="auto" w:fill="auto"/>
            <w:vAlign w:val="center"/>
          </w:tcPr>
          <w:p w:rsidR="00525419" w:rsidRDefault="00EE1CF7">
            <w:pPr>
              <w:pStyle w:val="B2"/>
              <w:rPr>
                <w:rFonts w:cs="Times New Roman"/>
                <w:szCs w:val="21"/>
              </w:rPr>
            </w:pPr>
            <w:r>
              <w:rPr>
                <w:rFonts w:cs="Times New Roman"/>
                <w:szCs w:val="21"/>
              </w:rPr>
              <w:t>可依托</w:t>
            </w:r>
          </w:p>
        </w:tc>
      </w:tr>
      <w:tr w:rsidR="00525419">
        <w:trPr>
          <w:trHeight w:val="386"/>
          <w:jc w:val="center"/>
        </w:trPr>
        <w:tc>
          <w:tcPr>
            <w:tcW w:w="1718" w:type="dxa"/>
            <w:shd w:val="clear" w:color="auto" w:fill="auto"/>
            <w:vAlign w:val="center"/>
          </w:tcPr>
          <w:p w:rsidR="00525419" w:rsidRDefault="00EE1CF7">
            <w:pPr>
              <w:pStyle w:val="B2"/>
              <w:rPr>
                <w:rFonts w:cs="Times New Roman"/>
                <w:szCs w:val="21"/>
              </w:rPr>
            </w:pPr>
            <w:r>
              <w:rPr>
                <w:rFonts w:cs="Times New Roman"/>
                <w:szCs w:val="21"/>
              </w:rPr>
              <w:t>给水</w:t>
            </w:r>
          </w:p>
        </w:tc>
        <w:tc>
          <w:tcPr>
            <w:tcW w:w="5425" w:type="dxa"/>
            <w:shd w:val="clear" w:color="auto" w:fill="auto"/>
            <w:vAlign w:val="center"/>
          </w:tcPr>
          <w:p w:rsidR="00525419" w:rsidRDefault="00EE1CF7">
            <w:pPr>
              <w:pStyle w:val="B2"/>
              <w:rPr>
                <w:rFonts w:cs="Times New Roman"/>
                <w:szCs w:val="21"/>
              </w:rPr>
            </w:pPr>
            <w:r>
              <w:rPr>
                <w:rFonts w:cs="Times New Roman"/>
                <w:szCs w:val="21"/>
              </w:rPr>
              <w:t>水源为柯柯亚水库、坎儿其水库，经火车站镇水厂向园区供水，供水管网覆盖园区</w:t>
            </w:r>
          </w:p>
        </w:tc>
        <w:tc>
          <w:tcPr>
            <w:tcW w:w="1379" w:type="dxa"/>
            <w:shd w:val="clear" w:color="auto" w:fill="auto"/>
            <w:vAlign w:val="center"/>
          </w:tcPr>
          <w:p w:rsidR="00525419" w:rsidRDefault="00EE1CF7">
            <w:pPr>
              <w:pStyle w:val="B2"/>
              <w:rPr>
                <w:rFonts w:cs="Times New Roman"/>
                <w:szCs w:val="21"/>
              </w:rPr>
            </w:pPr>
            <w:r>
              <w:rPr>
                <w:rFonts w:cs="Times New Roman"/>
                <w:szCs w:val="21"/>
              </w:rPr>
              <w:t>可依托</w:t>
            </w:r>
          </w:p>
        </w:tc>
      </w:tr>
      <w:tr w:rsidR="00525419">
        <w:trPr>
          <w:trHeight w:val="577"/>
          <w:jc w:val="center"/>
        </w:trPr>
        <w:tc>
          <w:tcPr>
            <w:tcW w:w="1718" w:type="dxa"/>
            <w:shd w:val="clear" w:color="auto" w:fill="auto"/>
            <w:vAlign w:val="center"/>
          </w:tcPr>
          <w:p w:rsidR="00525419" w:rsidRDefault="00EE1CF7">
            <w:pPr>
              <w:pStyle w:val="B2"/>
              <w:rPr>
                <w:rFonts w:cs="Times New Roman"/>
                <w:szCs w:val="21"/>
              </w:rPr>
            </w:pPr>
            <w:r>
              <w:rPr>
                <w:rFonts w:cs="Times New Roman"/>
                <w:szCs w:val="21"/>
              </w:rPr>
              <w:t>排水</w:t>
            </w:r>
          </w:p>
        </w:tc>
        <w:tc>
          <w:tcPr>
            <w:tcW w:w="5425" w:type="dxa"/>
            <w:shd w:val="clear" w:color="auto" w:fill="auto"/>
            <w:vAlign w:val="center"/>
          </w:tcPr>
          <w:p w:rsidR="00525419" w:rsidRDefault="00EE1CF7">
            <w:pPr>
              <w:pStyle w:val="B2"/>
              <w:rPr>
                <w:rFonts w:cs="Times New Roman"/>
                <w:szCs w:val="21"/>
              </w:rPr>
            </w:pPr>
            <w:r>
              <w:rPr>
                <w:rFonts w:cs="Times New Roman"/>
                <w:szCs w:val="21"/>
              </w:rPr>
              <w:t>园区工业污水处理厂已建成运营，排水管网覆盖整个园区</w:t>
            </w:r>
          </w:p>
        </w:tc>
        <w:tc>
          <w:tcPr>
            <w:tcW w:w="1379" w:type="dxa"/>
            <w:shd w:val="clear" w:color="auto" w:fill="auto"/>
            <w:vAlign w:val="center"/>
          </w:tcPr>
          <w:p w:rsidR="00525419" w:rsidRDefault="00EE1CF7">
            <w:pPr>
              <w:pStyle w:val="B2"/>
              <w:rPr>
                <w:rFonts w:cs="Times New Roman"/>
                <w:szCs w:val="21"/>
              </w:rPr>
            </w:pPr>
            <w:r>
              <w:rPr>
                <w:rFonts w:cs="Times New Roman"/>
                <w:szCs w:val="21"/>
              </w:rPr>
              <w:t>可依托</w:t>
            </w:r>
          </w:p>
        </w:tc>
      </w:tr>
      <w:tr w:rsidR="00525419">
        <w:trPr>
          <w:trHeight w:val="386"/>
          <w:jc w:val="center"/>
        </w:trPr>
        <w:tc>
          <w:tcPr>
            <w:tcW w:w="1718" w:type="dxa"/>
            <w:shd w:val="clear" w:color="auto" w:fill="auto"/>
            <w:vAlign w:val="center"/>
          </w:tcPr>
          <w:p w:rsidR="00525419" w:rsidRDefault="00EE1CF7">
            <w:pPr>
              <w:pStyle w:val="B2"/>
              <w:rPr>
                <w:rFonts w:cs="Times New Roman"/>
                <w:szCs w:val="21"/>
              </w:rPr>
            </w:pPr>
            <w:r>
              <w:rPr>
                <w:rFonts w:cs="Times New Roman"/>
                <w:szCs w:val="21"/>
              </w:rPr>
              <w:t>环卫设施</w:t>
            </w:r>
          </w:p>
        </w:tc>
        <w:tc>
          <w:tcPr>
            <w:tcW w:w="5425" w:type="dxa"/>
            <w:shd w:val="clear" w:color="auto" w:fill="auto"/>
            <w:vAlign w:val="center"/>
          </w:tcPr>
          <w:p w:rsidR="00525419" w:rsidRDefault="00EE1CF7">
            <w:pPr>
              <w:pStyle w:val="B2"/>
              <w:rPr>
                <w:rFonts w:cs="Times New Roman"/>
                <w:szCs w:val="21"/>
              </w:rPr>
            </w:pPr>
            <w:r>
              <w:rPr>
                <w:rFonts w:cs="Times New Roman"/>
                <w:szCs w:val="21"/>
              </w:rPr>
              <w:t>距园区</w:t>
            </w:r>
            <w:r>
              <w:rPr>
                <w:rFonts w:cs="Times New Roman"/>
                <w:szCs w:val="21"/>
              </w:rPr>
              <w:t>4.2km</w:t>
            </w:r>
            <w:r>
              <w:rPr>
                <w:rFonts w:cs="Times New Roman"/>
                <w:szCs w:val="21"/>
              </w:rPr>
              <w:t>生活垃圾填埋场</w:t>
            </w:r>
          </w:p>
        </w:tc>
        <w:tc>
          <w:tcPr>
            <w:tcW w:w="1379" w:type="dxa"/>
            <w:shd w:val="clear" w:color="auto" w:fill="auto"/>
            <w:vAlign w:val="center"/>
          </w:tcPr>
          <w:p w:rsidR="00525419" w:rsidRDefault="00EE1CF7">
            <w:pPr>
              <w:pStyle w:val="B2"/>
              <w:rPr>
                <w:rFonts w:cs="Times New Roman"/>
                <w:szCs w:val="21"/>
              </w:rPr>
            </w:pPr>
            <w:r>
              <w:rPr>
                <w:rFonts w:cs="Times New Roman"/>
                <w:szCs w:val="21"/>
              </w:rPr>
              <w:t>可依托</w:t>
            </w:r>
          </w:p>
        </w:tc>
      </w:tr>
      <w:tr w:rsidR="00525419">
        <w:trPr>
          <w:trHeight w:val="386"/>
          <w:jc w:val="center"/>
        </w:trPr>
        <w:tc>
          <w:tcPr>
            <w:tcW w:w="1718" w:type="dxa"/>
            <w:shd w:val="clear" w:color="auto" w:fill="auto"/>
            <w:vAlign w:val="center"/>
          </w:tcPr>
          <w:p w:rsidR="00525419" w:rsidRDefault="00EE1CF7">
            <w:pPr>
              <w:pStyle w:val="B2"/>
              <w:rPr>
                <w:rFonts w:cs="Times New Roman"/>
                <w:szCs w:val="21"/>
              </w:rPr>
            </w:pPr>
            <w:r>
              <w:rPr>
                <w:rFonts w:cs="Times New Roman"/>
                <w:szCs w:val="21"/>
              </w:rPr>
              <w:t>供电</w:t>
            </w:r>
          </w:p>
        </w:tc>
        <w:tc>
          <w:tcPr>
            <w:tcW w:w="5425" w:type="dxa"/>
            <w:shd w:val="clear" w:color="auto" w:fill="auto"/>
            <w:vAlign w:val="center"/>
          </w:tcPr>
          <w:p w:rsidR="00525419" w:rsidRDefault="00EE1CF7">
            <w:pPr>
              <w:pStyle w:val="B2"/>
              <w:rPr>
                <w:rFonts w:cs="Times New Roman"/>
                <w:szCs w:val="21"/>
              </w:rPr>
            </w:pPr>
            <w:r>
              <w:rPr>
                <w:rFonts w:cs="Times New Roman"/>
                <w:szCs w:val="21"/>
              </w:rPr>
              <w:t>园区电网</w:t>
            </w:r>
          </w:p>
        </w:tc>
        <w:tc>
          <w:tcPr>
            <w:tcW w:w="1379" w:type="dxa"/>
            <w:shd w:val="clear" w:color="auto" w:fill="auto"/>
            <w:vAlign w:val="center"/>
          </w:tcPr>
          <w:p w:rsidR="00525419" w:rsidRDefault="00EE1CF7">
            <w:pPr>
              <w:pStyle w:val="B2"/>
              <w:rPr>
                <w:rFonts w:cs="Times New Roman"/>
                <w:szCs w:val="21"/>
              </w:rPr>
            </w:pPr>
            <w:r>
              <w:rPr>
                <w:rFonts w:cs="Times New Roman"/>
                <w:szCs w:val="21"/>
              </w:rPr>
              <w:t>可依托</w:t>
            </w:r>
          </w:p>
        </w:tc>
      </w:tr>
      <w:tr w:rsidR="00525419">
        <w:trPr>
          <w:trHeight w:val="386"/>
          <w:jc w:val="center"/>
        </w:trPr>
        <w:tc>
          <w:tcPr>
            <w:tcW w:w="1718" w:type="dxa"/>
            <w:shd w:val="clear" w:color="auto" w:fill="auto"/>
            <w:vAlign w:val="center"/>
          </w:tcPr>
          <w:p w:rsidR="00525419" w:rsidRDefault="00EE1CF7">
            <w:pPr>
              <w:pStyle w:val="B2"/>
              <w:rPr>
                <w:rFonts w:cs="Times New Roman"/>
                <w:szCs w:val="21"/>
              </w:rPr>
            </w:pPr>
            <w:r>
              <w:rPr>
                <w:rFonts w:cs="Times New Roman"/>
                <w:szCs w:val="21"/>
              </w:rPr>
              <w:t>供气</w:t>
            </w:r>
          </w:p>
        </w:tc>
        <w:tc>
          <w:tcPr>
            <w:tcW w:w="5425" w:type="dxa"/>
            <w:shd w:val="clear" w:color="auto" w:fill="auto"/>
            <w:vAlign w:val="center"/>
          </w:tcPr>
          <w:p w:rsidR="00525419" w:rsidRDefault="00EE1CF7">
            <w:pPr>
              <w:pStyle w:val="B2"/>
              <w:rPr>
                <w:rFonts w:cs="Times New Roman"/>
                <w:szCs w:val="21"/>
              </w:rPr>
            </w:pPr>
            <w:r>
              <w:rPr>
                <w:rFonts w:cs="Times New Roman"/>
                <w:szCs w:val="21"/>
              </w:rPr>
              <w:t>天然气管网已接入本项目现有厂区</w:t>
            </w:r>
          </w:p>
        </w:tc>
        <w:tc>
          <w:tcPr>
            <w:tcW w:w="1379" w:type="dxa"/>
            <w:shd w:val="clear" w:color="auto" w:fill="auto"/>
            <w:vAlign w:val="center"/>
          </w:tcPr>
          <w:p w:rsidR="00525419" w:rsidRDefault="00EE1CF7">
            <w:pPr>
              <w:pStyle w:val="B2"/>
              <w:rPr>
                <w:rFonts w:cs="Times New Roman"/>
                <w:szCs w:val="21"/>
              </w:rPr>
            </w:pPr>
            <w:r>
              <w:rPr>
                <w:rFonts w:cs="Times New Roman"/>
                <w:szCs w:val="21"/>
              </w:rPr>
              <w:t>可依托</w:t>
            </w:r>
          </w:p>
        </w:tc>
      </w:tr>
      <w:tr w:rsidR="00525419">
        <w:trPr>
          <w:trHeight w:val="386"/>
          <w:jc w:val="center"/>
        </w:trPr>
        <w:tc>
          <w:tcPr>
            <w:tcW w:w="1718" w:type="dxa"/>
            <w:shd w:val="clear" w:color="auto" w:fill="auto"/>
            <w:vAlign w:val="center"/>
          </w:tcPr>
          <w:p w:rsidR="00525419" w:rsidRDefault="00EE1CF7">
            <w:pPr>
              <w:pStyle w:val="B2"/>
              <w:rPr>
                <w:rFonts w:cs="Times New Roman"/>
                <w:szCs w:val="21"/>
              </w:rPr>
            </w:pPr>
            <w:r>
              <w:rPr>
                <w:rFonts w:cs="Times New Roman"/>
                <w:szCs w:val="21"/>
              </w:rPr>
              <w:t>规划及规划环评</w:t>
            </w:r>
          </w:p>
        </w:tc>
        <w:tc>
          <w:tcPr>
            <w:tcW w:w="5425" w:type="dxa"/>
            <w:shd w:val="clear" w:color="auto" w:fill="auto"/>
            <w:vAlign w:val="center"/>
          </w:tcPr>
          <w:p w:rsidR="00525419" w:rsidRDefault="00EE1CF7">
            <w:pPr>
              <w:pStyle w:val="B2"/>
              <w:rPr>
                <w:rFonts w:cs="Times New Roman"/>
                <w:szCs w:val="21"/>
              </w:rPr>
            </w:pPr>
            <w:r>
              <w:rPr>
                <w:rFonts w:cs="Times New Roman"/>
                <w:szCs w:val="21"/>
              </w:rPr>
              <w:t>完成规划编制工作，完成规划环评审查工作</w:t>
            </w:r>
          </w:p>
        </w:tc>
        <w:tc>
          <w:tcPr>
            <w:tcW w:w="1379" w:type="dxa"/>
            <w:shd w:val="clear" w:color="auto" w:fill="auto"/>
            <w:vAlign w:val="center"/>
          </w:tcPr>
          <w:p w:rsidR="00525419" w:rsidRDefault="00EE1CF7">
            <w:pPr>
              <w:pStyle w:val="B2"/>
              <w:rPr>
                <w:rFonts w:cs="Times New Roman"/>
                <w:szCs w:val="21"/>
              </w:rPr>
            </w:pPr>
            <w:r>
              <w:rPr>
                <w:rFonts w:cs="Times New Roman"/>
                <w:szCs w:val="21"/>
              </w:rPr>
              <w:t>已审查</w:t>
            </w:r>
          </w:p>
        </w:tc>
      </w:tr>
    </w:tbl>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）给水</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项目所在吐鲁番鄯善石化工业园区上游目前已建成水库二座：柯柯亚水库</w:t>
      </w:r>
      <w:r>
        <w:rPr>
          <w:rFonts w:ascii="Times New Roman" w:hAnsi="Times New Roman"/>
          <w:sz w:val="24"/>
        </w:rPr>
        <w:t>1985</w:t>
      </w:r>
      <w:r>
        <w:rPr>
          <w:rFonts w:ascii="Times New Roman" w:hAnsi="Times New Roman"/>
          <w:sz w:val="24"/>
        </w:rPr>
        <w:t>年建成并投入运行，总库容</w:t>
      </w:r>
      <w:r>
        <w:rPr>
          <w:rFonts w:ascii="Times New Roman" w:hAnsi="Times New Roman"/>
          <w:sz w:val="24"/>
        </w:rPr>
        <w:t>0.1×10</w:t>
      </w:r>
      <w:r>
        <w:rPr>
          <w:rFonts w:ascii="Times New Roman" w:hAnsi="Times New Roman"/>
          <w:sz w:val="24"/>
          <w:vertAlign w:val="superscript"/>
        </w:rPr>
        <w:t>8</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；坎儿其水库</w:t>
      </w:r>
      <w:r>
        <w:rPr>
          <w:rFonts w:ascii="Times New Roman" w:hAnsi="Times New Roman"/>
          <w:sz w:val="24"/>
        </w:rPr>
        <w:t>2000</w:t>
      </w:r>
      <w:r>
        <w:rPr>
          <w:rFonts w:ascii="Times New Roman" w:hAnsi="Times New Roman"/>
          <w:sz w:val="24"/>
        </w:rPr>
        <w:t>年建成并投入运行，距</w:t>
      </w:r>
      <w:r>
        <w:rPr>
          <w:rFonts w:ascii="Times New Roman" w:hAnsi="Times New Roman" w:hint="eastAsia"/>
          <w:sz w:val="24"/>
        </w:rPr>
        <w:t>工业</w:t>
      </w:r>
      <w:r>
        <w:rPr>
          <w:rFonts w:ascii="Times New Roman" w:hAnsi="Times New Roman"/>
          <w:sz w:val="24"/>
        </w:rPr>
        <w:t>园区约</w:t>
      </w:r>
      <w:r>
        <w:rPr>
          <w:rFonts w:ascii="Times New Roman" w:hAnsi="Times New Roman"/>
          <w:sz w:val="24"/>
        </w:rPr>
        <w:t>13km</w:t>
      </w:r>
      <w:r>
        <w:rPr>
          <w:rFonts w:ascii="Times New Roman" w:hAnsi="Times New Roman"/>
          <w:sz w:val="24"/>
        </w:rPr>
        <w:t>，总库容为</w:t>
      </w:r>
      <w:r>
        <w:rPr>
          <w:rFonts w:ascii="Times New Roman" w:hAnsi="Times New Roman"/>
          <w:sz w:val="24"/>
        </w:rPr>
        <w:t>0.118×10</w:t>
      </w:r>
      <w:r>
        <w:rPr>
          <w:rFonts w:ascii="Times New Roman" w:hAnsi="Times New Roman"/>
          <w:sz w:val="24"/>
          <w:vertAlign w:val="superscript"/>
        </w:rPr>
        <w:t>8</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，该水库建设主要是保证园区的用水，另有灌溉及滞洪等作用，本项目用水由工业园给水管网统一供应，不采用地下水。</w:t>
      </w:r>
    </w:p>
    <w:p w:rsidR="00525419" w:rsidRDefault="00EE1CF7">
      <w:pPr>
        <w:pStyle w:val="afb"/>
        <w:spacing w:line="360" w:lineRule="auto"/>
        <w:ind w:leftChars="200" w:left="420"/>
        <w:rPr>
          <w:kern w:val="2"/>
          <w:sz w:val="24"/>
          <w:szCs w:val="22"/>
        </w:rPr>
      </w:pPr>
      <w:r>
        <w:rPr>
          <w:kern w:val="2"/>
          <w:sz w:val="24"/>
          <w:szCs w:val="22"/>
        </w:rPr>
        <w:t>（</w:t>
      </w:r>
      <w:r>
        <w:rPr>
          <w:kern w:val="2"/>
          <w:sz w:val="24"/>
          <w:szCs w:val="22"/>
        </w:rPr>
        <w:t>2</w:t>
      </w:r>
      <w:r>
        <w:rPr>
          <w:kern w:val="2"/>
          <w:sz w:val="24"/>
          <w:szCs w:val="22"/>
        </w:rPr>
        <w:t>）排水</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鄯善工业园区污水处理及中水回用一期工程于</w:t>
      </w:r>
      <w:r>
        <w:rPr>
          <w:rFonts w:ascii="Times New Roman" w:hAnsi="Times New Roman"/>
          <w:kern w:val="0"/>
          <w:sz w:val="24"/>
          <w:szCs w:val="24"/>
        </w:rPr>
        <w:t>2018</w:t>
      </w:r>
      <w:r>
        <w:rPr>
          <w:rFonts w:ascii="Times New Roman" w:hAnsi="Times New Roman"/>
          <w:kern w:val="0"/>
          <w:sz w:val="24"/>
          <w:szCs w:val="24"/>
        </w:rPr>
        <w:t>年</w:t>
      </w:r>
      <w:r>
        <w:rPr>
          <w:rFonts w:ascii="Times New Roman" w:hAnsi="Times New Roman"/>
          <w:kern w:val="0"/>
          <w:sz w:val="24"/>
          <w:szCs w:val="24"/>
        </w:rPr>
        <w:t>01</w:t>
      </w:r>
      <w:r>
        <w:rPr>
          <w:rFonts w:ascii="Times New Roman" w:hAnsi="Times New Roman"/>
          <w:kern w:val="0"/>
          <w:sz w:val="24"/>
          <w:szCs w:val="24"/>
        </w:rPr>
        <w:t>月已正式投入使用。其主要处理对象为鄯善工业园区全部工业、生活污水。污水处理厂设计规模为：近期（</w:t>
      </w:r>
      <w:r>
        <w:rPr>
          <w:rFonts w:ascii="Times New Roman" w:hAnsi="Times New Roman"/>
          <w:kern w:val="0"/>
          <w:sz w:val="24"/>
          <w:szCs w:val="24"/>
        </w:rPr>
        <w:t>2020</w:t>
      </w:r>
      <w:r>
        <w:rPr>
          <w:rFonts w:ascii="Times New Roman" w:hAnsi="Times New Roman"/>
          <w:kern w:val="0"/>
          <w:sz w:val="24"/>
          <w:szCs w:val="24"/>
        </w:rPr>
        <w:t>年）污水处理量</w:t>
      </w:r>
      <w:r>
        <w:rPr>
          <w:rFonts w:ascii="Times New Roman" w:hAnsi="Times New Roman"/>
          <w:kern w:val="0"/>
          <w:sz w:val="24"/>
          <w:szCs w:val="24"/>
        </w:rPr>
        <w:t>1</w:t>
      </w:r>
      <w:r>
        <w:rPr>
          <w:rFonts w:ascii="Times New Roman" w:hAnsi="Times New Roman"/>
          <w:kern w:val="0"/>
          <w:sz w:val="24"/>
          <w:szCs w:val="24"/>
        </w:rPr>
        <w:t>万</w:t>
      </w:r>
      <w:r>
        <w:rPr>
          <w:rFonts w:ascii="Times New Roman" w:hAnsi="Times New Roman"/>
          <w:kern w:val="0"/>
          <w:sz w:val="24"/>
          <w:szCs w:val="24"/>
        </w:rPr>
        <w:t>m</w:t>
      </w:r>
      <w:r>
        <w:rPr>
          <w:rFonts w:ascii="Times New Roman" w:hAnsi="Times New Roman"/>
          <w:kern w:val="0"/>
          <w:sz w:val="24"/>
          <w:szCs w:val="24"/>
          <w:vertAlign w:val="superscript"/>
        </w:rPr>
        <w:t>3</w:t>
      </w:r>
      <w:r>
        <w:rPr>
          <w:rFonts w:ascii="Times New Roman" w:hAnsi="Times New Roman"/>
          <w:kern w:val="0"/>
          <w:sz w:val="24"/>
          <w:szCs w:val="24"/>
        </w:rPr>
        <w:t>/d</w:t>
      </w:r>
      <w:r>
        <w:rPr>
          <w:rFonts w:ascii="Times New Roman" w:hAnsi="Times New Roman"/>
          <w:kern w:val="0"/>
          <w:sz w:val="24"/>
          <w:szCs w:val="24"/>
        </w:rPr>
        <w:t>，远期（</w:t>
      </w:r>
      <w:r>
        <w:rPr>
          <w:rFonts w:ascii="Times New Roman" w:hAnsi="Times New Roman"/>
          <w:kern w:val="0"/>
          <w:sz w:val="24"/>
          <w:szCs w:val="24"/>
        </w:rPr>
        <w:t>2030</w:t>
      </w:r>
      <w:r>
        <w:rPr>
          <w:rFonts w:ascii="Times New Roman" w:hAnsi="Times New Roman"/>
          <w:kern w:val="0"/>
          <w:sz w:val="24"/>
          <w:szCs w:val="24"/>
        </w:rPr>
        <w:t>年）污水处理量为</w:t>
      </w:r>
      <w:r>
        <w:rPr>
          <w:rFonts w:ascii="Times New Roman" w:hAnsi="Times New Roman"/>
          <w:kern w:val="0"/>
          <w:sz w:val="24"/>
          <w:szCs w:val="24"/>
        </w:rPr>
        <w:t>2</w:t>
      </w:r>
      <w:r>
        <w:rPr>
          <w:rFonts w:ascii="Times New Roman" w:hAnsi="Times New Roman"/>
          <w:kern w:val="0"/>
          <w:sz w:val="24"/>
          <w:szCs w:val="24"/>
        </w:rPr>
        <w:t>万</w:t>
      </w:r>
      <w:r>
        <w:rPr>
          <w:rFonts w:ascii="Times New Roman" w:hAnsi="Times New Roman"/>
          <w:kern w:val="0"/>
          <w:sz w:val="24"/>
          <w:szCs w:val="24"/>
        </w:rPr>
        <w:t>m</w:t>
      </w:r>
      <w:r>
        <w:rPr>
          <w:rFonts w:ascii="Times New Roman" w:hAnsi="Times New Roman"/>
          <w:kern w:val="0"/>
          <w:sz w:val="24"/>
          <w:szCs w:val="24"/>
          <w:vertAlign w:val="superscript"/>
        </w:rPr>
        <w:t>3</w:t>
      </w:r>
      <w:r>
        <w:rPr>
          <w:rFonts w:ascii="Times New Roman" w:hAnsi="Times New Roman"/>
          <w:kern w:val="0"/>
          <w:sz w:val="24"/>
          <w:szCs w:val="24"/>
        </w:rPr>
        <w:t>/d</w:t>
      </w:r>
      <w:r>
        <w:rPr>
          <w:rFonts w:ascii="Times New Roman" w:hAnsi="Times New Roman"/>
          <w:kern w:val="0"/>
          <w:sz w:val="24"/>
          <w:szCs w:val="24"/>
        </w:rPr>
        <w:t>。进水水质要求满足《污水排入城镇下水道水质标准》（</w:t>
      </w:r>
      <w:r>
        <w:rPr>
          <w:rFonts w:ascii="Times New Roman" w:hAnsi="Times New Roman"/>
          <w:kern w:val="0"/>
          <w:sz w:val="24"/>
          <w:szCs w:val="24"/>
        </w:rPr>
        <w:t>GB/T 31962-2015</w:t>
      </w:r>
      <w:r>
        <w:rPr>
          <w:rFonts w:ascii="Times New Roman" w:hAnsi="Times New Roman"/>
          <w:kern w:val="0"/>
          <w:sz w:val="24"/>
          <w:szCs w:val="24"/>
        </w:rPr>
        <w:t>）</w:t>
      </w:r>
      <w:r>
        <w:rPr>
          <w:rFonts w:ascii="Times New Roman" w:hAnsi="Times New Roman"/>
          <w:kern w:val="0"/>
          <w:sz w:val="24"/>
          <w:szCs w:val="24"/>
        </w:rPr>
        <w:t>A</w:t>
      </w:r>
      <w:r>
        <w:rPr>
          <w:rFonts w:ascii="Times New Roman" w:hAnsi="Times New Roman"/>
          <w:kern w:val="0"/>
          <w:sz w:val="24"/>
          <w:szCs w:val="24"/>
        </w:rPr>
        <w:t>级标准；采用改良型氧化沟生化处理和</w:t>
      </w:r>
      <w:r>
        <w:rPr>
          <w:rFonts w:ascii="Times New Roman" w:hAnsi="Times New Roman"/>
          <w:kern w:val="0"/>
          <w:sz w:val="24"/>
          <w:szCs w:val="24"/>
        </w:rPr>
        <w:t>“</w:t>
      </w:r>
      <w:r>
        <w:rPr>
          <w:rFonts w:ascii="Times New Roman" w:hAnsi="Times New Roman"/>
          <w:kern w:val="0"/>
          <w:sz w:val="24"/>
          <w:szCs w:val="24"/>
        </w:rPr>
        <w:t>催化氧化、沉淀、过滤</w:t>
      </w:r>
      <w:r>
        <w:rPr>
          <w:rFonts w:ascii="Times New Roman" w:hAnsi="Times New Roman"/>
          <w:kern w:val="0"/>
          <w:sz w:val="24"/>
          <w:szCs w:val="24"/>
        </w:rPr>
        <w:t>”</w:t>
      </w:r>
      <w:r>
        <w:rPr>
          <w:rFonts w:ascii="Times New Roman" w:hAnsi="Times New Roman"/>
          <w:kern w:val="0"/>
          <w:sz w:val="24"/>
          <w:szCs w:val="24"/>
        </w:rPr>
        <w:t>深度处理工艺；出水水质达到《城镇污水处理厂污染物排放标准》（</w:t>
      </w:r>
      <w:r>
        <w:rPr>
          <w:rFonts w:ascii="Times New Roman" w:hAnsi="Times New Roman"/>
          <w:kern w:val="0"/>
          <w:sz w:val="24"/>
          <w:szCs w:val="24"/>
        </w:rPr>
        <w:t>GB18918-2002</w:t>
      </w:r>
      <w:r>
        <w:rPr>
          <w:rFonts w:ascii="Times New Roman" w:hAnsi="Times New Roman"/>
          <w:kern w:val="0"/>
          <w:sz w:val="24"/>
          <w:szCs w:val="24"/>
        </w:rPr>
        <w:t>）一级</w:t>
      </w:r>
      <w:r>
        <w:rPr>
          <w:rFonts w:ascii="Times New Roman" w:hAnsi="Times New Roman"/>
          <w:kern w:val="0"/>
          <w:sz w:val="24"/>
          <w:szCs w:val="24"/>
        </w:rPr>
        <w:t>A</w:t>
      </w:r>
      <w:r>
        <w:rPr>
          <w:rFonts w:ascii="Times New Roman" w:hAnsi="Times New Roman"/>
          <w:kern w:val="0"/>
          <w:sz w:val="24"/>
          <w:szCs w:val="24"/>
        </w:rPr>
        <w:t>标准后，中水回用于鄯善工业园区工业用水和绿化用水。</w:t>
      </w:r>
    </w:p>
    <w:p w:rsidR="00525419" w:rsidRDefault="00525419">
      <w:pPr>
        <w:pStyle w:val="afb"/>
        <w:spacing w:line="360" w:lineRule="auto"/>
        <w:ind w:leftChars="200" w:left="420"/>
        <w:rPr>
          <w:kern w:val="2"/>
          <w:sz w:val="24"/>
          <w:szCs w:val="22"/>
        </w:rPr>
      </w:pPr>
    </w:p>
    <w:p w:rsidR="00525419" w:rsidRDefault="00EE1CF7">
      <w:pPr>
        <w:pStyle w:val="2a"/>
        <w:spacing w:beforeLines="50" w:before="156" w:after="156"/>
        <w:ind w:left="578" w:hanging="578"/>
        <w:rPr>
          <w:rFonts w:ascii="Times New Roman" w:eastAsia="楷体_GB2312" w:hAnsi="Times New Roman"/>
          <w:sz w:val="36"/>
        </w:rPr>
      </w:pPr>
      <w:bookmarkStart w:id="79" w:name="_Toc484775640"/>
      <w:bookmarkStart w:id="80" w:name="_Toc1389"/>
      <w:bookmarkEnd w:id="78"/>
      <w:r>
        <w:rPr>
          <w:rFonts w:ascii="Times New Roman" w:eastAsia="楷体_GB2312" w:hAnsi="Times New Roman"/>
          <w:sz w:val="36"/>
        </w:rPr>
        <w:lastRenderedPageBreak/>
        <w:t>4.3</w:t>
      </w:r>
      <w:r>
        <w:rPr>
          <w:rFonts w:ascii="Times New Roman" w:eastAsia="楷体_GB2312" w:hAnsi="Times New Roman"/>
          <w:sz w:val="36"/>
        </w:rPr>
        <w:t>环境质量现状调查与评价</w:t>
      </w:r>
      <w:bookmarkEnd w:id="79"/>
      <w:bookmarkEnd w:id="80"/>
    </w:p>
    <w:p w:rsidR="00525419" w:rsidRDefault="00EE1CF7">
      <w:pPr>
        <w:widowControl/>
        <w:spacing w:line="360" w:lineRule="auto"/>
        <w:ind w:firstLineChars="200" w:firstLine="480"/>
        <w:rPr>
          <w:rFonts w:ascii="Times New Roman" w:hAnsi="Times New Roman"/>
          <w:kern w:val="0"/>
          <w:sz w:val="24"/>
          <w:szCs w:val="24"/>
        </w:rPr>
      </w:pPr>
      <w:bookmarkStart w:id="81" w:name="_Toc335315149"/>
      <w:bookmarkStart w:id="82" w:name="_Toc327458767"/>
      <w:bookmarkStart w:id="83" w:name="_Toc354837497"/>
      <w:bookmarkStart w:id="84" w:name="_Toc388894046"/>
      <w:r>
        <w:rPr>
          <w:rFonts w:ascii="Times New Roman" w:hAnsi="Times New Roman"/>
          <w:kern w:val="0"/>
          <w:sz w:val="24"/>
          <w:szCs w:val="24"/>
        </w:rPr>
        <w:t>本次环境质量现状调查与评价采用现场监测和引用已有监测资料相结合的方式。大气环境常规污染物监测数据来源于生态环境部环境工程评估中心发布的</w:t>
      </w:r>
      <w:r>
        <w:rPr>
          <w:rFonts w:ascii="Times New Roman" w:hAnsi="Times New Roman"/>
          <w:kern w:val="0"/>
          <w:sz w:val="24"/>
          <w:szCs w:val="24"/>
        </w:rPr>
        <w:t>“</w:t>
      </w:r>
      <w:r>
        <w:rPr>
          <w:rFonts w:ascii="Times New Roman" w:hAnsi="Times New Roman"/>
          <w:kern w:val="0"/>
          <w:sz w:val="24"/>
          <w:szCs w:val="24"/>
        </w:rPr>
        <w:t>环境空气质量模型技术支持服务系统</w:t>
      </w:r>
      <w:r>
        <w:rPr>
          <w:rFonts w:ascii="Times New Roman" w:hAnsi="Times New Roman"/>
          <w:kern w:val="0"/>
          <w:sz w:val="24"/>
          <w:szCs w:val="24"/>
        </w:rPr>
        <w:t>”</w:t>
      </w:r>
      <w:r>
        <w:rPr>
          <w:rFonts w:ascii="Times New Roman" w:hAnsi="Times New Roman"/>
          <w:kern w:val="0"/>
          <w:sz w:val="24"/>
          <w:szCs w:val="24"/>
        </w:rPr>
        <w:t>，特征污染物非甲烷总烃、硫化氢、氨现状采用现场监测的方式进行调查。地下水环境质量现状引用厂区周边现有地下水井的监测数据。声环境质量现状调查采取现场监测的方式进行。土壤环境现状调查采取现场监测和引用建设单位厂区土壤现状监测数据方式进行。</w:t>
      </w:r>
    </w:p>
    <w:p w:rsidR="00525419" w:rsidRDefault="00EE1CF7">
      <w:pPr>
        <w:pStyle w:val="3a"/>
        <w:spacing w:beforeLines="50" w:before="156" w:after="156" w:line="360" w:lineRule="auto"/>
        <w:jc w:val="left"/>
        <w:rPr>
          <w:rFonts w:ascii="Times New Roman" w:eastAsia="华文楷体" w:hAnsi="Times New Roman"/>
        </w:rPr>
      </w:pPr>
      <w:r>
        <w:rPr>
          <w:rFonts w:ascii="Times New Roman" w:eastAsia="华文楷体" w:hAnsi="Times New Roman"/>
        </w:rPr>
        <w:t xml:space="preserve">4.3.1 </w:t>
      </w:r>
      <w:r>
        <w:rPr>
          <w:rFonts w:ascii="Times New Roman" w:eastAsia="华文楷体" w:hAnsi="Times New Roman"/>
        </w:rPr>
        <w:t>大气环境质量现状调查与评价</w:t>
      </w:r>
      <w:bookmarkEnd w:id="81"/>
      <w:bookmarkEnd w:id="82"/>
      <w:bookmarkEnd w:id="83"/>
      <w:bookmarkEnd w:id="84"/>
    </w:p>
    <w:p w:rsidR="00525419" w:rsidRDefault="00EE1CF7">
      <w:pPr>
        <w:widowControl/>
        <w:spacing w:line="360" w:lineRule="auto"/>
        <w:ind w:firstLineChars="200" w:firstLine="480"/>
        <w:rPr>
          <w:rFonts w:ascii="Times New Roman" w:hAnsi="Times New Roman"/>
          <w:kern w:val="0"/>
          <w:sz w:val="24"/>
          <w:szCs w:val="24"/>
        </w:rPr>
      </w:pPr>
      <w:r>
        <w:rPr>
          <w:rFonts w:ascii="Times New Roman" w:hAnsi="Times New Roman"/>
          <w:kern w:val="0"/>
          <w:sz w:val="24"/>
          <w:szCs w:val="24"/>
        </w:rPr>
        <w:t>根据《环境影响评价技术导则</w:t>
      </w:r>
      <w:r>
        <w:rPr>
          <w:rFonts w:ascii="Times New Roman" w:hAnsi="Times New Roman"/>
          <w:kern w:val="0"/>
          <w:sz w:val="24"/>
          <w:szCs w:val="24"/>
        </w:rPr>
        <w:t>-</w:t>
      </w:r>
      <w:r>
        <w:rPr>
          <w:rFonts w:ascii="Times New Roman" w:hAnsi="Times New Roman"/>
          <w:kern w:val="0"/>
          <w:sz w:val="24"/>
          <w:szCs w:val="24"/>
        </w:rPr>
        <w:t>大气环境》（</w:t>
      </w:r>
      <w:r>
        <w:rPr>
          <w:rFonts w:ascii="Times New Roman" w:hAnsi="Times New Roman"/>
          <w:kern w:val="0"/>
          <w:sz w:val="24"/>
          <w:szCs w:val="24"/>
        </w:rPr>
        <w:t>HJ2.2-2018</w:t>
      </w:r>
      <w:r>
        <w:rPr>
          <w:rFonts w:ascii="Times New Roman" w:hAnsi="Times New Roman"/>
          <w:kern w:val="0"/>
          <w:sz w:val="24"/>
          <w:szCs w:val="24"/>
        </w:rPr>
        <w:t>），本项目进行空气环境达标区的判定和区域各污染物的环境质量现状评价。</w:t>
      </w:r>
    </w:p>
    <w:p w:rsidR="00525419" w:rsidRDefault="00EE1CF7">
      <w:pPr>
        <w:widowControl/>
        <w:spacing w:line="360" w:lineRule="auto"/>
        <w:ind w:firstLineChars="200" w:firstLine="480"/>
        <w:rPr>
          <w:rFonts w:ascii="Times New Roman" w:hAnsi="Times New Roman"/>
          <w:kern w:val="0"/>
          <w:sz w:val="24"/>
          <w:szCs w:val="24"/>
        </w:rPr>
      </w:pPr>
      <w:r>
        <w:rPr>
          <w:rFonts w:ascii="Times New Roman" w:hAnsi="Times New Roman"/>
          <w:kern w:val="0"/>
          <w:sz w:val="24"/>
          <w:szCs w:val="24"/>
        </w:rPr>
        <w:t>本项目位于鄯善县，选取吐鲁番市环境空气质量国控点</w:t>
      </w:r>
      <w:r>
        <w:rPr>
          <w:rFonts w:ascii="Times New Roman" w:hAnsi="Times New Roman"/>
          <w:kern w:val="0"/>
          <w:sz w:val="24"/>
          <w:szCs w:val="24"/>
        </w:rPr>
        <w:t>-</w:t>
      </w:r>
      <w:r>
        <w:rPr>
          <w:rFonts w:ascii="Times New Roman" w:hAnsi="Times New Roman"/>
          <w:kern w:val="0"/>
          <w:sz w:val="24"/>
          <w:szCs w:val="24"/>
        </w:rPr>
        <w:t>地区环保局站点</w:t>
      </w:r>
      <w:r>
        <w:rPr>
          <w:rFonts w:ascii="Times New Roman" w:hAnsi="Times New Roman"/>
          <w:kern w:val="0"/>
          <w:sz w:val="24"/>
          <w:szCs w:val="24"/>
        </w:rPr>
        <w:t>2018</w:t>
      </w:r>
      <w:r>
        <w:rPr>
          <w:rFonts w:ascii="Times New Roman" w:hAnsi="Times New Roman"/>
          <w:kern w:val="0"/>
          <w:sz w:val="24"/>
          <w:szCs w:val="24"/>
        </w:rPr>
        <w:t>年的监测数据作为本项目环境空气现状评价基本污染物</w:t>
      </w:r>
      <w:r>
        <w:rPr>
          <w:rFonts w:ascii="Times New Roman" w:hAnsi="Times New Roman"/>
          <w:kern w:val="0"/>
          <w:sz w:val="24"/>
          <w:szCs w:val="24"/>
        </w:rPr>
        <w:t>SO</w:t>
      </w:r>
      <w:r>
        <w:rPr>
          <w:rFonts w:ascii="Times New Roman" w:hAnsi="Times New Roman"/>
          <w:kern w:val="0"/>
          <w:sz w:val="24"/>
          <w:szCs w:val="24"/>
          <w:vertAlign w:val="subscript"/>
        </w:rPr>
        <w:t>2</w:t>
      </w:r>
      <w:r>
        <w:rPr>
          <w:rFonts w:ascii="Times New Roman" w:hAnsi="Times New Roman"/>
          <w:kern w:val="0"/>
          <w:sz w:val="24"/>
          <w:szCs w:val="24"/>
        </w:rPr>
        <w:t>、</w:t>
      </w:r>
      <w:r>
        <w:rPr>
          <w:rFonts w:ascii="Times New Roman" w:hAnsi="Times New Roman"/>
          <w:kern w:val="0"/>
          <w:sz w:val="24"/>
          <w:szCs w:val="24"/>
        </w:rPr>
        <w:t>NO</w:t>
      </w:r>
      <w:r>
        <w:rPr>
          <w:rFonts w:ascii="Times New Roman" w:hAnsi="Times New Roman"/>
          <w:kern w:val="0"/>
          <w:sz w:val="24"/>
          <w:szCs w:val="24"/>
          <w:vertAlign w:val="subscript"/>
        </w:rPr>
        <w:t>2</w:t>
      </w:r>
      <w:r>
        <w:rPr>
          <w:rFonts w:ascii="Times New Roman" w:hAnsi="Times New Roman"/>
          <w:kern w:val="0"/>
          <w:sz w:val="24"/>
          <w:szCs w:val="24"/>
        </w:rPr>
        <w:t>、</w:t>
      </w:r>
      <w:r>
        <w:rPr>
          <w:rFonts w:ascii="Times New Roman" w:hAnsi="Times New Roman"/>
          <w:kern w:val="0"/>
          <w:sz w:val="24"/>
          <w:szCs w:val="24"/>
        </w:rPr>
        <w:t>PM</w:t>
      </w:r>
      <w:r>
        <w:rPr>
          <w:rFonts w:ascii="Times New Roman" w:hAnsi="Times New Roman"/>
          <w:kern w:val="0"/>
          <w:sz w:val="24"/>
          <w:szCs w:val="24"/>
          <w:vertAlign w:val="subscript"/>
        </w:rPr>
        <w:t>10</w:t>
      </w:r>
      <w:r>
        <w:rPr>
          <w:rFonts w:ascii="Times New Roman" w:hAnsi="Times New Roman"/>
          <w:kern w:val="0"/>
          <w:sz w:val="24"/>
          <w:szCs w:val="24"/>
        </w:rPr>
        <w:t>、</w:t>
      </w:r>
      <w:r>
        <w:rPr>
          <w:rFonts w:ascii="Times New Roman" w:hAnsi="Times New Roman"/>
          <w:kern w:val="0"/>
          <w:sz w:val="24"/>
          <w:szCs w:val="24"/>
        </w:rPr>
        <w:t>PM</w:t>
      </w:r>
      <w:r>
        <w:rPr>
          <w:rFonts w:ascii="Times New Roman" w:hAnsi="Times New Roman"/>
          <w:kern w:val="0"/>
          <w:sz w:val="24"/>
          <w:szCs w:val="24"/>
          <w:vertAlign w:val="subscript"/>
        </w:rPr>
        <w:t>2.5</w:t>
      </w:r>
      <w:r>
        <w:rPr>
          <w:rFonts w:ascii="Times New Roman" w:hAnsi="Times New Roman"/>
          <w:kern w:val="0"/>
          <w:sz w:val="24"/>
          <w:szCs w:val="24"/>
        </w:rPr>
        <w:t>、</w:t>
      </w:r>
      <w:r>
        <w:rPr>
          <w:rFonts w:ascii="Times New Roman" w:hAnsi="Times New Roman"/>
          <w:kern w:val="0"/>
          <w:sz w:val="24"/>
          <w:szCs w:val="24"/>
        </w:rPr>
        <w:t>CO</w:t>
      </w:r>
      <w:r>
        <w:rPr>
          <w:rFonts w:ascii="Times New Roman" w:hAnsi="Times New Roman"/>
          <w:kern w:val="0"/>
          <w:sz w:val="24"/>
          <w:szCs w:val="24"/>
        </w:rPr>
        <w:t>和</w:t>
      </w:r>
      <w:r>
        <w:rPr>
          <w:rFonts w:ascii="Times New Roman" w:hAnsi="Times New Roman"/>
          <w:kern w:val="0"/>
          <w:sz w:val="24"/>
          <w:szCs w:val="24"/>
        </w:rPr>
        <w:t>O</w:t>
      </w:r>
      <w:r>
        <w:rPr>
          <w:rFonts w:ascii="Times New Roman" w:hAnsi="Times New Roman"/>
          <w:kern w:val="0"/>
          <w:sz w:val="24"/>
          <w:szCs w:val="24"/>
          <w:vertAlign w:val="subscript"/>
        </w:rPr>
        <w:t>3</w:t>
      </w:r>
      <w:r>
        <w:rPr>
          <w:rFonts w:ascii="Times New Roman" w:hAnsi="Times New Roman"/>
          <w:kern w:val="0"/>
          <w:sz w:val="24"/>
          <w:szCs w:val="24"/>
        </w:rPr>
        <w:t>的数据来源，监测点站点编号：</w:t>
      </w:r>
      <w:r>
        <w:rPr>
          <w:rFonts w:ascii="Times New Roman" w:hAnsi="Times New Roman"/>
          <w:kern w:val="0"/>
          <w:sz w:val="24"/>
          <w:szCs w:val="24"/>
        </w:rPr>
        <w:t>2687A</w:t>
      </w:r>
      <w:r>
        <w:rPr>
          <w:rFonts w:ascii="Times New Roman" w:hAnsi="Times New Roman"/>
          <w:kern w:val="0"/>
          <w:sz w:val="24"/>
          <w:szCs w:val="24"/>
        </w:rPr>
        <w:t>。根据</w:t>
      </w:r>
      <w:r>
        <w:rPr>
          <w:rFonts w:ascii="Times New Roman" w:hAnsi="Times New Roman"/>
          <w:kern w:val="0"/>
          <w:sz w:val="24"/>
          <w:szCs w:val="24"/>
        </w:rPr>
        <w:t>2018</w:t>
      </w:r>
      <w:r>
        <w:rPr>
          <w:rFonts w:ascii="Times New Roman" w:hAnsi="Times New Roman"/>
          <w:kern w:val="0"/>
          <w:sz w:val="24"/>
          <w:szCs w:val="24"/>
        </w:rPr>
        <w:t>年吐鲁番地区环保局站点位空气质量逐日统计结果</w:t>
      </w:r>
      <w:r>
        <w:rPr>
          <w:rFonts w:ascii="Times New Roman" w:hAnsi="Times New Roman"/>
          <w:kern w:val="0"/>
          <w:sz w:val="24"/>
          <w:szCs w:val="24"/>
        </w:rPr>
        <w:t>SO</w:t>
      </w:r>
      <w:r>
        <w:rPr>
          <w:rFonts w:ascii="Times New Roman" w:hAnsi="Times New Roman"/>
          <w:kern w:val="0"/>
          <w:sz w:val="24"/>
          <w:szCs w:val="24"/>
          <w:vertAlign w:val="subscript"/>
        </w:rPr>
        <w:t>2</w:t>
      </w:r>
      <w:r>
        <w:rPr>
          <w:rFonts w:ascii="Times New Roman" w:hAnsi="Times New Roman"/>
          <w:kern w:val="0"/>
          <w:sz w:val="24"/>
          <w:szCs w:val="24"/>
        </w:rPr>
        <w:t>、</w:t>
      </w:r>
      <w:r>
        <w:rPr>
          <w:rFonts w:ascii="Times New Roman" w:hAnsi="Times New Roman"/>
          <w:kern w:val="0"/>
          <w:sz w:val="24"/>
          <w:szCs w:val="24"/>
        </w:rPr>
        <w:t>NO</w:t>
      </w:r>
      <w:r>
        <w:rPr>
          <w:rFonts w:ascii="Times New Roman" w:hAnsi="Times New Roman"/>
          <w:kern w:val="0"/>
          <w:sz w:val="24"/>
          <w:szCs w:val="24"/>
          <w:vertAlign w:val="subscript"/>
        </w:rPr>
        <w:t>2</w:t>
      </w:r>
      <w:r>
        <w:rPr>
          <w:rFonts w:ascii="Times New Roman" w:hAnsi="Times New Roman"/>
          <w:kern w:val="0"/>
          <w:sz w:val="24"/>
          <w:szCs w:val="24"/>
        </w:rPr>
        <w:t>、</w:t>
      </w:r>
      <w:r>
        <w:rPr>
          <w:rFonts w:ascii="Times New Roman" w:hAnsi="Times New Roman"/>
          <w:kern w:val="0"/>
          <w:sz w:val="24"/>
          <w:szCs w:val="24"/>
        </w:rPr>
        <w:t>CO</w:t>
      </w:r>
      <w:r>
        <w:rPr>
          <w:rFonts w:ascii="Times New Roman" w:hAnsi="Times New Roman"/>
          <w:kern w:val="0"/>
          <w:sz w:val="24"/>
          <w:szCs w:val="24"/>
        </w:rPr>
        <w:t>、</w:t>
      </w:r>
      <w:r>
        <w:rPr>
          <w:rFonts w:ascii="Times New Roman" w:hAnsi="Times New Roman"/>
          <w:kern w:val="0"/>
          <w:sz w:val="24"/>
          <w:szCs w:val="24"/>
        </w:rPr>
        <w:t>O</w:t>
      </w:r>
      <w:r>
        <w:rPr>
          <w:rFonts w:ascii="Times New Roman" w:hAnsi="Times New Roman"/>
          <w:kern w:val="0"/>
          <w:sz w:val="24"/>
          <w:szCs w:val="24"/>
          <w:vertAlign w:val="subscript"/>
        </w:rPr>
        <w:t>3</w:t>
      </w:r>
      <w:r>
        <w:rPr>
          <w:rFonts w:ascii="Times New Roman" w:hAnsi="Times New Roman"/>
          <w:kern w:val="0"/>
          <w:sz w:val="24"/>
          <w:szCs w:val="24"/>
        </w:rPr>
        <w:t>、</w:t>
      </w:r>
      <w:r>
        <w:rPr>
          <w:rFonts w:ascii="Times New Roman" w:hAnsi="Times New Roman"/>
          <w:kern w:val="0"/>
          <w:sz w:val="24"/>
          <w:szCs w:val="24"/>
        </w:rPr>
        <w:t>PM</w:t>
      </w:r>
      <w:r>
        <w:rPr>
          <w:rFonts w:ascii="Times New Roman" w:hAnsi="Times New Roman"/>
          <w:kern w:val="0"/>
          <w:sz w:val="24"/>
          <w:szCs w:val="24"/>
          <w:vertAlign w:val="subscript"/>
        </w:rPr>
        <w:t>10</w:t>
      </w:r>
      <w:r>
        <w:rPr>
          <w:rFonts w:ascii="Times New Roman" w:hAnsi="Times New Roman"/>
          <w:kern w:val="0"/>
          <w:sz w:val="24"/>
          <w:szCs w:val="24"/>
        </w:rPr>
        <w:t>、</w:t>
      </w:r>
      <w:r>
        <w:rPr>
          <w:rFonts w:ascii="Times New Roman" w:hAnsi="Times New Roman"/>
          <w:kern w:val="0"/>
          <w:sz w:val="24"/>
          <w:szCs w:val="24"/>
        </w:rPr>
        <w:t>PM</w:t>
      </w:r>
      <w:r>
        <w:rPr>
          <w:rFonts w:ascii="Times New Roman" w:hAnsi="Times New Roman"/>
          <w:kern w:val="0"/>
          <w:sz w:val="24"/>
          <w:szCs w:val="24"/>
          <w:vertAlign w:val="subscript"/>
        </w:rPr>
        <w:t>2.5</w:t>
      </w:r>
      <w:r>
        <w:rPr>
          <w:rFonts w:ascii="Times New Roman" w:hAnsi="Times New Roman"/>
          <w:kern w:val="0"/>
          <w:sz w:val="24"/>
          <w:szCs w:val="24"/>
        </w:rPr>
        <w:t>各有</w:t>
      </w:r>
      <w:r>
        <w:rPr>
          <w:rFonts w:ascii="Times New Roman" w:hAnsi="Times New Roman"/>
          <w:kern w:val="0"/>
          <w:sz w:val="24"/>
          <w:szCs w:val="24"/>
        </w:rPr>
        <w:t>332</w:t>
      </w:r>
      <w:r>
        <w:rPr>
          <w:rFonts w:ascii="Times New Roman" w:hAnsi="Times New Roman"/>
          <w:kern w:val="0"/>
          <w:sz w:val="24"/>
          <w:szCs w:val="24"/>
        </w:rPr>
        <w:t>个有效数据，所使用的大气现状监测数据满足本项目的分析要求。</w:t>
      </w:r>
    </w:p>
    <w:p w:rsidR="00525419" w:rsidRDefault="00EE1CF7">
      <w:pPr>
        <w:widowControl/>
        <w:spacing w:line="360" w:lineRule="auto"/>
        <w:ind w:firstLineChars="200" w:firstLine="480"/>
        <w:rPr>
          <w:rFonts w:ascii="Times New Roman" w:hAnsi="Times New Roman"/>
          <w:kern w:val="0"/>
          <w:sz w:val="24"/>
          <w:szCs w:val="24"/>
        </w:rPr>
      </w:pPr>
      <w:r>
        <w:rPr>
          <w:rFonts w:ascii="Times New Roman" w:hAnsi="Times New Roman"/>
          <w:kern w:val="0"/>
          <w:sz w:val="24"/>
          <w:szCs w:val="24"/>
        </w:rPr>
        <w:t>特征污染物采用现场监测的方式。</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4.3.1.1</w:t>
      </w:r>
      <w:r>
        <w:rPr>
          <w:rFonts w:ascii="Times New Roman" w:hAnsi="Times New Roman" w:cs="Times New Roman"/>
          <w:kern w:val="44"/>
          <w:sz w:val="24"/>
          <w:szCs w:val="24"/>
        </w:rPr>
        <w:t>区域环境空气质量达标区判定</w:t>
      </w:r>
    </w:p>
    <w:p w:rsidR="00525419" w:rsidRDefault="00EE1CF7">
      <w:pPr>
        <w:widowControl/>
        <w:spacing w:line="360" w:lineRule="auto"/>
        <w:ind w:firstLineChars="200" w:firstLine="48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）评价标准</w:t>
      </w:r>
    </w:p>
    <w:p w:rsidR="00525419" w:rsidRDefault="00EE1CF7">
      <w:pPr>
        <w:widowControl/>
        <w:spacing w:line="360" w:lineRule="auto"/>
        <w:ind w:firstLineChars="200" w:firstLine="480"/>
        <w:rPr>
          <w:rFonts w:ascii="Times New Roman" w:hAnsi="Times New Roman"/>
          <w:kern w:val="0"/>
          <w:sz w:val="24"/>
          <w:szCs w:val="24"/>
        </w:rPr>
      </w:pPr>
      <w:r>
        <w:rPr>
          <w:rFonts w:ascii="Times New Roman" w:hAnsi="Times New Roman"/>
          <w:kern w:val="0"/>
          <w:sz w:val="24"/>
          <w:szCs w:val="24"/>
        </w:rPr>
        <w:t>基本污染物</w:t>
      </w:r>
      <w:r>
        <w:rPr>
          <w:rFonts w:ascii="Times New Roman" w:hAnsi="Times New Roman"/>
          <w:kern w:val="0"/>
          <w:sz w:val="24"/>
          <w:szCs w:val="24"/>
        </w:rPr>
        <w:t>SO</w:t>
      </w:r>
      <w:r>
        <w:rPr>
          <w:rFonts w:ascii="Times New Roman" w:hAnsi="Times New Roman"/>
          <w:kern w:val="0"/>
          <w:sz w:val="24"/>
          <w:szCs w:val="24"/>
          <w:vertAlign w:val="subscript"/>
        </w:rPr>
        <w:t>2</w:t>
      </w:r>
      <w:r>
        <w:rPr>
          <w:rFonts w:ascii="Times New Roman" w:hAnsi="Times New Roman"/>
          <w:kern w:val="0"/>
          <w:sz w:val="24"/>
          <w:szCs w:val="24"/>
        </w:rPr>
        <w:t>、</w:t>
      </w:r>
      <w:r>
        <w:rPr>
          <w:rFonts w:ascii="Times New Roman" w:hAnsi="Times New Roman"/>
          <w:kern w:val="0"/>
          <w:sz w:val="24"/>
          <w:szCs w:val="24"/>
        </w:rPr>
        <w:t>NO</w:t>
      </w:r>
      <w:r>
        <w:rPr>
          <w:rFonts w:ascii="Times New Roman" w:hAnsi="Times New Roman"/>
          <w:kern w:val="0"/>
          <w:sz w:val="24"/>
          <w:szCs w:val="24"/>
          <w:vertAlign w:val="subscript"/>
        </w:rPr>
        <w:t>2</w:t>
      </w:r>
      <w:r>
        <w:rPr>
          <w:rFonts w:ascii="Times New Roman" w:hAnsi="Times New Roman"/>
          <w:kern w:val="0"/>
          <w:sz w:val="24"/>
          <w:szCs w:val="24"/>
        </w:rPr>
        <w:t>、</w:t>
      </w:r>
      <w:r>
        <w:rPr>
          <w:rFonts w:ascii="Times New Roman" w:hAnsi="Times New Roman"/>
          <w:kern w:val="0"/>
          <w:sz w:val="24"/>
          <w:szCs w:val="24"/>
        </w:rPr>
        <w:t>PM</w:t>
      </w:r>
      <w:r>
        <w:rPr>
          <w:rFonts w:ascii="Times New Roman" w:hAnsi="Times New Roman"/>
          <w:kern w:val="0"/>
          <w:sz w:val="24"/>
          <w:szCs w:val="24"/>
          <w:vertAlign w:val="subscript"/>
        </w:rPr>
        <w:t>10</w:t>
      </w:r>
      <w:r>
        <w:rPr>
          <w:rFonts w:ascii="Times New Roman" w:hAnsi="Times New Roman"/>
          <w:kern w:val="0"/>
          <w:sz w:val="24"/>
          <w:szCs w:val="24"/>
        </w:rPr>
        <w:t>、</w:t>
      </w:r>
      <w:r>
        <w:rPr>
          <w:rFonts w:ascii="Times New Roman" w:hAnsi="Times New Roman"/>
          <w:kern w:val="0"/>
          <w:sz w:val="24"/>
          <w:szCs w:val="24"/>
        </w:rPr>
        <w:t>PM</w:t>
      </w:r>
      <w:r>
        <w:rPr>
          <w:rFonts w:ascii="Times New Roman" w:hAnsi="Times New Roman"/>
          <w:kern w:val="0"/>
          <w:sz w:val="24"/>
          <w:szCs w:val="24"/>
          <w:vertAlign w:val="subscript"/>
        </w:rPr>
        <w:t>2.5</w:t>
      </w:r>
      <w:r>
        <w:rPr>
          <w:rFonts w:ascii="Times New Roman" w:hAnsi="Times New Roman"/>
          <w:kern w:val="0"/>
          <w:sz w:val="24"/>
          <w:szCs w:val="24"/>
        </w:rPr>
        <w:t>、</w:t>
      </w:r>
      <w:r>
        <w:rPr>
          <w:rFonts w:ascii="Times New Roman" w:hAnsi="Times New Roman"/>
          <w:kern w:val="0"/>
          <w:sz w:val="24"/>
          <w:szCs w:val="24"/>
        </w:rPr>
        <w:t>CO</w:t>
      </w:r>
      <w:r>
        <w:rPr>
          <w:rFonts w:ascii="Times New Roman" w:hAnsi="Times New Roman"/>
          <w:kern w:val="0"/>
          <w:sz w:val="24"/>
          <w:szCs w:val="24"/>
        </w:rPr>
        <w:t>和</w:t>
      </w:r>
      <w:r>
        <w:rPr>
          <w:rFonts w:ascii="Times New Roman" w:hAnsi="Times New Roman"/>
          <w:kern w:val="0"/>
          <w:sz w:val="24"/>
          <w:szCs w:val="24"/>
        </w:rPr>
        <w:t>O</w:t>
      </w:r>
      <w:r>
        <w:rPr>
          <w:rFonts w:ascii="Times New Roman" w:hAnsi="Times New Roman"/>
          <w:kern w:val="0"/>
          <w:sz w:val="24"/>
          <w:szCs w:val="24"/>
          <w:vertAlign w:val="subscript"/>
        </w:rPr>
        <w:t>3</w:t>
      </w:r>
      <w:r>
        <w:rPr>
          <w:rFonts w:ascii="Times New Roman" w:hAnsi="Times New Roman"/>
          <w:kern w:val="0"/>
          <w:sz w:val="24"/>
          <w:szCs w:val="24"/>
        </w:rPr>
        <w:t>执行《环境空气质量标准》（</w:t>
      </w:r>
      <w:r>
        <w:rPr>
          <w:rFonts w:ascii="Times New Roman" w:hAnsi="Times New Roman"/>
          <w:kern w:val="0"/>
          <w:sz w:val="24"/>
          <w:szCs w:val="24"/>
        </w:rPr>
        <w:t>GB3095-2012</w:t>
      </w:r>
      <w:r>
        <w:rPr>
          <w:rFonts w:ascii="Times New Roman" w:hAnsi="Times New Roman"/>
          <w:kern w:val="0"/>
          <w:sz w:val="24"/>
          <w:szCs w:val="24"/>
        </w:rPr>
        <w:t>）中的二级标准。</w:t>
      </w:r>
    </w:p>
    <w:p w:rsidR="00525419" w:rsidRDefault="00EE1CF7">
      <w:pPr>
        <w:widowControl/>
        <w:spacing w:line="360" w:lineRule="auto"/>
        <w:ind w:firstLineChars="200" w:firstLine="48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2</w:t>
      </w:r>
      <w:r>
        <w:rPr>
          <w:rFonts w:ascii="Times New Roman" w:hAnsi="Times New Roman"/>
          <w:kern w:val="0"/>
          <w:sz w:val="24"/>
          <w:szCs w:val="24"/>
        </w:rPr>
        <w:t>）评价方法</w:t>
      </w:r>
    </w:p>
    <w:p w:rsidR="00525419" w:rsidRDefault="00EE1CF7">
      <w:pPr>
        <w:widowControl/>
        <w:spacing w:line="360" w:lineRule="auto"/>
        <w:ind w:firstLineChars="200" w:firstLine="480"/>
        <w:rPr>
          <w:rFonts w:ascii="Times New Roman" w:hAnsi="Times New Roman"/>
          <w:kern w:val="0"/>
          <w:sz w:val="24"/>
          <w:szCs w:val="24"/>
        </w:rPr>
      </w:pPr>
      <w:r>
        <w:rPr>
          <w:rFonts w:ascii="Times New Roman" w:hAnsi="Times New Roman"/>
          <w:kern w:val="0"/>
          <w:sz w:val="24"/>
          <w:szCs w:val="24"/>
        </w:rPr>
        <w:t>本污染物按照《环境空气质量评价技术规范（试行）》（</w:t>
      </w:r>
      <w:r>
        <w:rPr>
          <w:rFonts w:ascii="Times New Roman" w:hAnsi="Times New Roman"/>
          <w:kern w:val="0"/>
          <w:sz w:val="24"/>
          <w:szCs w:val="24"/>
        </w:rPr>
        <w:t>HJ663-2013</w:t>
      </w:r>
      <w:r>
        <w:rPr>
          <w:rFonts w:ascii="Times New Roman" w:hAnsi="Times New Roman"/>
          <w:kern w:val="0"/>
          <w:sz w:val="24"/>
          <w:szCs w:val="24"/>
        </w:rPr>
        <w:t>）中各评价项目的年评价指标进行判定。年评价指标中的年均浓度和相应百分位数</w:t>
      </w:r>
      <w:r>
        <w:rPr>
          <w:rFonts w:ascii="Times New Roman" w:hAnsi="Times New Roman"/>
          <w:kern w:val="0"/>
          <w:sz w:val="24"/>
          <w:szCs w:val="24"/>
        </w:rPr>
        <w:t>24h</w:t>
      </w:r>
      <w:r>
        <w:rPr>
          <w:rFonts w:ascii="Times New Roman" w:hAnsi="Times New Roman"/>
          <w:kern w:val="0"/>
          <w:sz w:val="24"/>
          <w:szCs w:val="24"/>
        </w:rPr>
        <w:t>平均或</w:t>
      </w:r>
      <w:r>
        <w:rPr>
          <w:rFonts w:ascii="Times New Roman" w:hAnsi="Times New Roman"/>
          <w:kern w:val="0"/>
          <w:sz w:val="24"/>
          <w:szCs w:val="24"/>
        </w:rPr>
        <w:t>8h</w:t>
      </w:r>
      <w:r>
        <w:rPr>
          <w:rFonts w:ascii="Times New Roman" w:hAnsi="Times New Roman"/>
          <w:kern w:val="0"/>
          <w:sz w:val="24"/>
          <w:szCs w:val="24"/>
        </w:rPr>
        <w:t>平均质量浓度满足</w:t>
      </w:r>
      <w:r>
        <w:rPr>
          <w:rFonts w:ascii="Times New Roman" w:hAnsi="Times New Roman"/>
          <w:kern w:val="0"/>
          <w:sz w:val="24"/>
          <w:szCs w:val="24"/>
        </w:rPr>
        <w:t>GB3095</w:t>
      </w:r>
      <w:r>
        <w:rPr>
          <w:rFonts w:ascii="Times New Roman" w:hAnsi="Times New Roman"/>
          <w:kern w:val="0"/>
          <w:sz w:val="24"/>
          <w:szCs w:val="24"/>
        </w:rPr>
        <w:t>中浓度限值要求的即为达标。</w:t>
      </w:r>
    </w:p>
    <w:p w:rsidR="00525419" w:rsidRDefault="00EE1CF7">
      <w:pPr>
        <w:widowControl/>
        <w:spacing w:line="360" w:lineRule="auto"/>
        <w:ind w:firstLineChars="200" w:firstLine="48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3</w:t>
      </w:r>
      <w:r>
        <w:rPr>
          <w:rFonts w:ascii="Times New Roman" w:hAnsi="Times New Roman"/>
          <w:kern w:val="0"/>
          <w:sz w:val="24"/>
          <w:szCs w:val="24"/>
        </w:rPr>
        <w:t>）空气质量达标区判定</w:t>
      </w:r>
    </w:p>
    <w:p w:rsidR="00525419" w:rsidRDefault="00EE1CF7">
      <w:pPr>
        <w:widowControl/>
        <w:spacing w:line="360" w:lineRule="auto"/>
        <w:ind w:firstLineChars="200" w:firstLine="480"/>
        <w:rPr>
          <w:rFonts w:ascii="Times New Roman" w:hAnsi="Times New Roman"/>
          <w:kern w:val="0"/>
          <w:sz w:val="24"/>
          <w:szCs w:val="24"/>
        </w:rPr>
      </w:pPr>
      <w:r>
        <w:rPr>
          <w:rFonts w:ascii="Times New Roman" w:hAnsi="Times New Roman"/>
          <w:kern w:val="0"/>
          <w:sz w:val="24"/>
          <w:szCs w:val="24"/>
        </w:rPr>
        <w:t>本项目区域环境空气质量达标区判定结果见表</w:t>
      </w:r>
      <w:r>
        <w:rPr>
          <w:rFonts w:ascii="Times New Roman" w:hAnsi="Times New Roman"/>
          <w:kern w:val="0"/>
          <w:sz w:val="24"/>
          <w:szCs w:val="24"/>
        </w:rPr>
        <w:t>4.3-1</w:t>
      </w:r>
      <w:r>
        <w:rPr>
          <w:rFonts w:ascii="Times New Roman" w:hAnsi="Times New Roman"/>
          <w:kern w:val="0"/>
          <w:sz w:val="24"/>
          <w:szCs w:val="24"/>
        </w:rPr>
        <w:t>。</w:t>
      </w:r>
    </w:p>
    <w:p w:rsidR="00525419" w:rsidRDefault="00525419">
      <w:pPr>
        <w:spacing w:line="360" w:lineRule="auto"/>
        <w:ind w:firstLineChars="1000" w:firstLine="2100"/>
        <w:rPr>
          <w:rFonts w:ascii="Times New Roman" w:eastAsia="黑体" w:hAnsi="Times New Roman"/>
          <w:snapToGrid w:val="0"/>
          <w:kern w:val="0"/>
          <w:szCs w:val="21"/>
        </w:rPr>
      </w:pPr>
    </w:p>
    <w:p w:rsidR="00525419" w:rsidRDefault="00EE1CF7">
      <w:pPr>
        <w:spacing w:line="360" w:lineRule="auto"/>
        <w:ind w:firstLineChars="1000" w:firstLine="2100"/>
        <w:rPr>
          <w:rFonts w:ascii="Times New Roman" w:eastAsia="黑体" w:hAnsi="Times New Roman"/>
          <w:snapToGrid w:val="0"/>
          <w:kern w:val="0"/>
          <w:szCs w:val="21"/>
        </w:rPr>
      </w:pPr>
      <w:r>
        <w:rPr>
          <w:rFonts w:ascii="Times New Roman" w:eastAsia="黑体" w:hAnsi="Times New Roman"/>
          <w:snapToGrid w:val="0"/>
          <w:kern w:val="0"/>
          <w:szCs w:val="21"/>
        </w:rPr>
        <w:lastRenderedPageBreak/>
        <w:t>表</w:t>
      </w:r>
      <w:r>
        <w:rPr>
          <w:rFonts w:ascii="Times New Roman" w:eastAsia="黑体" w:hAnsi="Times New Roman"/>
          <w:snapToGrid w:val="0"/>
          <w:kern w:val="0"/>
          <w:szCs w:val="21"/>
        </w:rPr>
        <w:t xml:space="preserve">4.3-1     </w:t>
      </w:r>
      <w:r>
        <w:rPr>
          <w:rFonts w:ascii="Times New Roman" w:eastAsia="黑体" w:hAnsi="Times New Roman"/>
          <w:snapToGrid w:val="0"/>
          <w:kern w:val="0"/>
          <w:szCs w:val="21"/>
        </w:rPr>
        <w:t>区域环境空气质量现状监测及评价结果</w:t>
      </w:r>
      <w:r>
        <w:rPr>
          <w:rFonts w:ascii="Times New Roman" w:eastAsia="黑体" w:hAnsi="Times New Roman"/>
          <w:snapToGrid w:val="0"/>
          <w:kern w:val="0"/>
          <w:szCs w:val="21"/>
        </w:rPr>
        <w:t xml:space="preserve">   </w:t>
      </w:r>
    </w:p>
    <w:tbl>
      <w:tblPr>
        <w:tblW w:w="8799"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096"/>
        <w:gridCol w:w="833"/>
        <w:gridCol w:w="1684"/>
        <w:gridCol w:w="1216"/>
        <w:gridCol w:w="1134"/>
        <w:gridCol w:w="1419"/>
        <w:gridCol w:w="1417"/>
      </w:tblGrid>
      <w:tr w:rsidR="00525419">
        <w:trPr>
          <w:trHeight w:val="629"/>
          <w:tblHeader/>
        </w:trPr>
        <w:tc>
          <w:tcPr>
            <w:tcW w:w="1096"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点位编号</w:t>
            </w:r>
          </w:p>
        </w:tc>
        <w:tc>
          <w:tcPr>
            <w:tcW w:w="833"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监测</w:t>
            </w:r>
          </w:p>
          <w:p w:rsidR="00525419" w:rsidRDefault="00EE1CF7">
            <w:pPr>
              <w:widowControl/>
              <w:jc w:val="center"/>
              <w:rPr>
                <w:rFonts w:ascii="Times New Roman" w:hAnsi="Times New Roman"/>
                <w:szCs w:val="21"/>
              </w:rPr>
            </w:pPr>
            <w:r>
              <w:rPr>
                <w:rFonts w:ascii="Times New Roman" w:hAnsi="Times New Roman"/>
                <w:szCs w:val="21"/>
              </w:rPr>
              <w:t>因子</w:t>
            </w:r>
          </w:p>
        </w:tc>
        <w:tc>
          <w:tcPr>
            <w:tcW w:w="1684"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评价指标</w:t>
            </w:r>
          </w:p>
        </w:tc>
        <w:tc>
          <w:tcPr>
            <w:tcW w:w="1216"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现状浓度</w:t>
            </w:r>
          </w:p>
        </w:tc>
        <w:tc>
          <w:tcPr>
            <w:tcW w:w="1134"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标准值</w:t>
            </w:r>
          </w:p>
        </w:tc>
        <w:tc>
          <w:tcPr>
            <w:tcW w:w="1419"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最大浓度占标率（</w:t>
            </w:r>
            <w:r>
              <w:rPr>
                <w:rFonts w:ascii="Times New Roman" w:hAnsi="Times New Roman"/>
                <w:szCs w:val="21"/>
              </w:rPr>
              <w:t>%</w:t>
            </w:r>
            <w:r>
              <w:rPr>
                <w:rFonts w:ascii="Times New Roman" w:hAnsi="Times New Roman"/>
                <w:szCs w:val="21"/>
              </w:rPr>
              <w:t>）</w:t>
            </w:r>
          </w:p>
        </w:tc>
        <w:tc>
          <w:tcPr>
            <w:tcW w:w="1417"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达标情况</w:t>
            </w:r>
          </w:p>
        </w:tc>
      </w:tr>
      <w:tr w:rsidR="00525419">
        <w:trPr>
          <w:trHeight w:val="330"/>
        </w:trPr>
        <w:tc>
          <w:tcPr>
            <w:tcW w:w="1096" w:type="dxa"/>
            <w:vMerge w:val="restart"/>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地区环保局站</w:t>
            </w:r>
          </w:p>
          <w:p w:rsidR="00525419" w:rsidRDefault="00EE1CF7">
            <w:pPr>
              <w:autoSpaceDE w:val="0"/>
              <w:autoSpaceDN w:val="0"/>
              <w:adjustRightInd w:val="0"/>
              <w:rPr>
                <w:rFonts w:ascii="Times New Roman" w:hAnsi="Times New Roman"/>
                <w:sz w:val="24"/>
                <w:szCs w:val="24"/>
              </w:rPr>
            </w:pPr>
            <w:r>
              <w:rPr>
                <w:rFonts w:ascii="Times New Roman" w:hAnsi="Times New Roman"/>
                <w:szCs w:val="21"/>
              </w:rPr>
              <w:t>(2687A)</w:t>
            </w:r>
          </w:p>
        </w:tc>
        <w:tc>
          <w:tcPr>
            <w:tcW w:w="833"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1684"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年平均值</w:t>
            </w:r>
          </w:p>
        </w:tc>
        <w:tc>
          <w:tcPr>
            <w:tcW w:w="1216"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10ug/m</w:t>
            </w:r>
            <w:r>
              <w:rPr>
                <w:rFonts w:ascii="Times New Roman" w:hAnsi="Times New Roman"/>
                <w:szCs w:val="21"/>
                <w:vertAlign w:val="superscript"/>
              </w:rPr>
              <w:t>3</w:t>
            </w:r>
          </w:p>
        </w:tc>
        <w:tc>
          <w:tcPr>
            <w:tcW w:w="1134"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60ug/m</w:t>
            </w:r>
            <w:r>
              <w:rPr>
                <w:rFonts w:ascii="Times New Roman" w:hAnsi="Times New Roman"/>
                <w:szCs w:val="21"/>
                <w:vertAlign w:val="superscript"/>
              </w:rPr>
              <w:t>3</w:t>
            </w:r>
          </w:p>
        </w:tc>
        <w:tc>
          <w:tcPr>
            <w:tcW w:w="1419"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17</w:t>
            </w:r>
          </w:p>
        </w:tc>
        <w:tc>
          <w:tcPr>
            <w:tcW w:w="1417"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达标</w:t>
            </w:r>
          </w:p>
        </w:tc>
      </w:tr>
      <w:tr w:rsidR="00525419">
        <w:trPr>
          <w:trHeight w:val="330"/>
        </w:trPr>
        <w:tc>
          <w:tcPr>
            <w:tcW w:w="1096" w:type="dxa"/>
            <w:vMerge/>
            <w:tcBorders>
              <w:tl2br w:val="nil"/>
              <w:tr2bl w:val="nil"/>
            </w:tcBorders>
            <w:vAlign w:val="center"/>
          </w:tcPr>
          <w:p w:rsidR="00525419" w:rsidRDefault="00525419">
            <w:pPr>
              <w:widowControl/>
              <w:jc w:val="center"/>
              <w:rPr>
                <w:rFonts w:ascii="Times New Roman" w:hAnsi="Times New Roman"/>
                <w:szCs w:val="21"/>
              </w:rPr>
            </w:pPr>
          </w:p>
        </w:tc>
        <w:tc>
          <w:tcPr>
            <w:tcW w:w="833"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1684"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年平均值</w:t>
            </w:r>
          </w:p>
        </w:tc>
        <w:tc>
          <w:tcPr>
            <w:tcW w:w="1216"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34ug/m</w:t>
            </w:r>
            <w:r>
              <w:rPr>
                <w:rFonts w:ascii="Times New Roman" w:hAnsi="Times New Roman"/>
                <w:szCs w:val="21"/>
                <w:vertAlign w:val="superscript"/>
              </w:rPr>
              <w:t>3</w:t>
            </w:r>
          </w:p>
        </w:tc>
        <w:tc>
          <w:tcPr>
            <w:tcW w:w="1134"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40ug/m</w:t>
            </w:r>
            <w:r>
              <w:rPr>
                <w:rFonts w:ascii="Times New Roman" w:hAnsi="Times New Roman"/>
                <w:szCs w:val="21"/>
                <w:vertAlign w:val="superscript"/>
              </w:rPr>
              <w:t>3</w:t>
            </w:r>
          </w:p>
        </w:tc>
        <w:tc>
          <w:tcPr>
            <w:tcW w:w="1419"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85</w:t>
            </w:r>
          </w:p>
        </w:tc>
        <w:tc>
          <w:tcPr>
            <w:tcW w:w="1417"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达标</w:t>
            </w:r>
          </w:p>
        </w:tc>
      </w:tr>
      <w:tr w:rsidR="00525419">
        <w:trPr>
          <w:trHeight w:val="330"/>
        </w:trPr>
        <w:tc>
          <w:tcPr>
            <w:tcW w:w="1096" w:type="dxa"/>
            <w:vMerge/>
            <w:tcBorders>
              <w:tl2br w:val="nil"/>
              <w:tr2bl w:val="nil"/>
            </w:tcBorders>
            <w:vAlign w:val="center"/>
          </w:tcPr>
          <w:p w:rsidR="00525419" w:rsidRDefault="00525419">
            <w:pPr>
              <w:widowControl/>
              <w:jc w:val="center"/>
              <w:rPr>
                <w:rFonts w:ascii="Times New Roman" w:hAnsi="Times New Roman"/>
                <w:szCs w:val="21"/>
              </w:rPr>
            </w:pPr>
          </w:p>
        </w:tc>
        <w:tc>
          <w:tcPr>
            <w:tcW w:w="833"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1684"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年平均值</w:t>
            </w:r>
          </w:p>
        </w:tc>
        <w:tc>
          <w:tcPr>
            <w:tcW w:w="1216"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188ug/m</w:t>
            </w:r>
            <w:r>
              <w:rPr>
                <w:rFonts w:ascii="Times New Roman" w:hAnsi="Times New Roman"/>
                <w:szCs w:val="21"/>
                <w:vertAlign w:val="superscript"/>
              </w:rPr>
              <w:t>3</w:t>
            </w:r>
          </w:p>
        </w:tc>
        <w:tc>
          <w:tcPr>
            <w:tcW w:w="1134"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70ug/m</w:t>
            </w:r>
            <w:r>
              <w:rPr>
                <w:rFonts w:ascii="Times New Roman" w:hAnsi="Times New Roman"/>
                <w:szCs w:val="21"/>
                <w:vertAlign w:val="superscript"/>
              </w:rPr>
              <w:t>3</w:t>
            </w:r>
          </w:p>
        </w:tc>
        <w:tc>
          <w:tcPr>
            <w:tcW w:w="1419"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268</w:t>
            </w:r>
          </w:p>
        </w:tc>
        <w:tc>
          <w:tcPr>
            <w:tcW w:w="1417"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超标</w:t>
            </w:r>
          </w:p>
        </w:tc>
      </w:tr>
      <w:tr w:rsidR="00525419">
        <w:trPr>
          <w:trHeight w:val="330"/>
        </w:trPr>
        <w:tc>
          <w:tcPr>
            <w:tcW w:w="1096" w:type="dxa"/>
            <w:vMerge/>
            <w:tcBorders>
              <w:tl2br w:val="nil"/>
              <w:tr2bl w:val="nil"/>
            </w:tcBorders>
            <w:vAlign w:val="center"/>
          </w:tcPr>
          <w:p w:rsidR="00525419" w:rsidRDefault="00525419">
            <w:pPr>
              <w:widowControl/>
              <w:jc w:val="center"/>
              <w:rPr>
                <w:rFonts w:ascii="Times New Roman" w:hAnsi="Times New Roman"/>
                <w:szCs w:val="21"/>
              </w:rPr>
            </w:pPr>
          </w:p>
        </w:tc>
        <w:tc>
          <w:tcPr>
            <w:tcW w:w="833"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napToGrid w:val="0"/>
                <w:spacing w:val="1"/>
                <w:kern w:val="0"/>
                <w:position w:val="-3"/>
                <w:szCs w:val="21"/>
              </w:rPr>
              <w:t>PM</w:t>
            </w:r>
            <w:r>
              <w:rPr>
                <w:rFonts w:ascii="Times New Roman" w:hAnsi="Times New Roman"/>
                <w:snapToGrid w:val="0"/>
                <w:spacing w:val="1"/>
                <w:kern w:val="0"/>
                <w:position w:val="-3"/>
                <w:szCs w:val="21"/>
                <w:vertAlign w:val="subscript"/>
              </w:rPr>
              <w:t>2.5</w:t>
            </w:r>
          </w:p>
        </w:tc>
        <w:tc>
          <w:tcPr>
            <w:tcW w:w="1684"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年平均值</w:t>
            </w:r>
          </w:p>
        </w:tc>
        <w:tc>
          <w:tcPr>
            <w:tcW w:w="1216"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55ug/m</w:t>
            </w:r>
            <w:r>
              <w:rPr>
                <w:rFonts w:ascii="Times New Roman" w:hAnsi="Times New Roman"/>
                <w:szCs w:val="21"/>
                <w:vertAlign w:val="superscript"/>
              </w:rPr>
              <w:t>3</w:t>
            </w:r>
          </w:p>
        </w:tc>
        <w:tc>
          <w:tcPr>
            <w:tcW w:w="1134"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35ug/m</w:t>
            </w:r>
            <w:r>
              <w:rPr>
                <w:rFonts w:ascii="Times New Roman" w:hAnsi="Times New Roman"/>
                <w:szCs w:val="21"/>
                <w:vertAlign w:val="superscript"/>
              </w:rPr>
              <w:t>3</w:t>
            </w:r>
          </w:p>
        </w:tc>
        <w:tc>
          <w:tcPr>
            <w:tcW w:w="1419"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157</w:t>
            </w:r>
          </w:p>
        </w:tc>
        <w:tc>
          <w:tcPr>
            <w:tcW w:w="1417"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超标</w:t>
            </w:r>
          </w:p>
        </w:tc>
      </w:tr>
      <w:tr w:rsidR="00525419">
        <w:trPr>
          <w:trHeight w:val="330"/>
        </w:trPr>
        <w:tc>
          <w:tcPr>
            <w:tcW w:w="1096" w:type="dxa"/>
            <w:vMerge/>
            <w:tcBorders>
              <w:tl2br w:val="nil"/>
              <w:tr2bl w:val="nil"/>
            </w:tcBorders>
            <w:vAlign w:val="center"/>
          </w:tcPr>
          <w:p w:rsidR="00525419" w:rsidRDefault="00525419">
            <w:pPr>
              <w:widowControl/>
              <w:jc w:val="center"/>
              <w:rPr>
                <w:rFonts w:ascii="Times New Roman" w:hAnsi="Times New Roman"/>
                <w:szCs w:val="21"/>
              </w:rPr>
            </w:pPr>
          </w:p>
        </w:tc>
        <w:tc>
          <w:tcPr>
            <w:tcW w:w="833"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CO</w:t>
            </w:r>
          </w:p>
        </w:tc>
        <w:tc>
          <w:tcPr>
            <w:tcW w:w="1684" w:type="dxa"/>
            <w:tcBorders>
              <w:tl2br w:val="nil"/>
              <w:tr2bl w:val="nil"/>
            </w:tcBorders>
            <w:vAlign w:val="center"/>
          </w:tcPr>
          <w:p w:rsidR="00525419" w:rsidRDefault="00EE1CF7">
            <w:pPr>
              <w:widowControl/>
              <w:jc w:val="left"/>
              <w:rPr>
                <w:rFonts w:ascii="Times New Roman" w:hAnsi="Times New Roman"/>
                <w:szCs w:val="21"/>
              </w:rPr>
            </w:pPr>
            <w:r>
              <w:rPr>
                <w:rFonts w:ascii="Times New Roman" w:hAnsi="Times New Roman"/>
                <w:szCs w:val="21"/>
              </w:rPr>
              <w:t>24</w:t>
            </w:r>
            <w:r>
              <w:rPr>
                <w:rFonts w:ascii="Times New Roman" w:hAnsi="Times New Roman"/>
                <w:szCs w:val="21"/>
              </w:rPr>
              <w:t>小时平均第</w:t>
            </w:r>
            <w:r>
              <w:rPr>
                <w:rFonts w:ascii="Times New Roman" w:hAnsi="Times New Roman"/>
                <w:szCs w:val="21"/>
              </w:rPr>
              <w:t xml:space="preserve"> 95</w:t>
            </w:r>
            <w:r>
              <w:rPr>
                <w:rFonts w:ascii="Times New Roman" w:hAnsi="Times New Roman"/>
                <w:szCs w:val="21"/>
              </w:rPr>
              <w:t>百分位数</w:t>
            </w:r>
          </w:p>
        </w:tc>
        <w:tc>
          <w:tcPr>
            <w:tcW w:w="1216"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2.9mg/m</w:t>
            </w:r>
            <w:r>
              <w:rPr>
                <w:rFonts w:ascii="Times New Roman" w:hAnsi="Times New Roman"/>
                <w:szCs w:val="21"/>
                <w:vertAlign w:val="superscript"/>
              </w:rPr>
              <w:t>3</w:t>
            </w:r>
          </w:p>
        </w:tc>
        <w:tc>
          <w:tcPr>
            <w:tcW w:w="1134"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4mg/m</w:t>
            </w:r>
            <w:r>
              <w:rPr>
                <w:rFonts w:ascii="Times New Roman" w:hAnsi="Times New Roman"/>
                <w:szCs w:val="21"/>
                <w:vertAlign w:val="superscript"/>
              </w:rPr>
              <w:t>3</w:t>
            </w:r>
          </w:p>
        </w:tc>
        <w:tc>
          <w:tcPr>
            <w:tcW w:w="1419"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72</w:t>
            </w:r>
          </w:p>
        </w:tc>
        <w:tc>
          <w:tcPr>
            <w:tcW w:w="1417"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达标</w:t>
            </w:r>
          </w:p>
        </w:tc>
      </w:tr>
      <w:tr w:rsidR="00525419">
        <w:trPr>
          <w:trHeight w:val="365"/>
        </w:trPr>
        <w:tc>
          <w:tcPr>
            <w:tcW w:w="1096" w:type="dxa"/>
            <w:vMerge/>
            <w:tcBorders>
              <w:tl2br w:val="nil"/>
              <w:tr2bl w:val="nil"/>
            </w:tcBorders>
            <w:vAlign w:val="center"/>
          </w:tcPr>
          <w:p w:rsidR="00525419" w:rsidRDefault="00525419">
            <w:pPr>
              <w:widowControl/>
              <w:jc w:val="center"/>
              <w:rPr>
                <w:rFonts w:ascii="Times New Roman" w:hAnsi="Times New Roman"/>
                <w:szCs w:val="21"/>
              </w:rPr>
            </w:pPr>
          </w:p>
        </w:tc>
        <w:tc>
          <w:tcPr>
            <w:tcW w:w="833"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O</w:t>
            </w:r>
            <w:r>
              <w:rPr>
                <w:rFonts w:ascii="Times New Roman" w:hAnsi="Times New Roman"/>
                <w:szCs w:val="21"/>
                <w:vertAlign w:val="subscript"/>
              </w:rPr>
              <w:t>3</w:t>
            </w:r>
          </w:p>
        </w:tc>
        <w:tc>
          <w:tcPr>
            <w:tcW w:w="1684" w:type="dxa"/>
            <w:tcBorders>
              <w:tl2br w:val="nil"/>
              <w:tr2bl w:val="nil"/>
            </w:tcBorders>
            <w:vAlign w:val="center"/>
          </w:tcPr>
          <w:p w:rsidR="00525419" w:rsidRDefault="00EE1CF7">
            <w:pPr>
              <w:widowControl/>
              <w:jc w:val="left"/>
              <w:rPr>
                <w:rFonts w:ascii="Times New Roman" w:hAnsi="Times New Roman"/>
                <w:szCs w:val="21"/>
              </w:rPr>
            </w:pPr>
            <w:r>
              <w:rPr>
                <w:rFonts w:ascii="Times New Roman" w:hAnsi="Times New Roman"/>
                <w:szCs w:val="21"/>
              </w:rPr>
              <w:t>日最大</w:t>
            </w:r>
            <w:r>
              <w:rPr>
                <w:rFonts w:ascii="Times New Roman" w:hAnsi="Times New Roman"/>
                <w:szCs w:val="21"/>
              </w:rPr>
              <w:t>8</w:t>
            </w:r>
            <w:r>
              <w:rPr>
                <w:rFonts w:ascii="Times New Roman" w:hAnsi="Times New Roman"/>
                <w:szCs w:val="21"/>
              </w:rPr>
              <w:t>小时滑动平均值的第</w:t>
            </w:r>
            <w:r>
              <w:rPr>
                <w:rFonts w:ascii="Times New Roman" w:hAnsi="Times New Roman"/>
                <w:szCs w:val="21"/>
              </w:rPr>
              <w:t>90</w:t>
            </w:r>
            <w:r>
              <w:rPr>
                <w:rFonts w:ascii="Times New Roman" w:hAnsi="Times New Roman"/>
                <w:szCs w:val="21"/>
              </w:rPr>
              <w:t>百分位数</w:t>
            </w:r>
          </w:p>
        </w:tc>
        <w:tc>
          <w:tcPr>
            <w:tcW w:w="1216"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71ug/m</w:t>
            </w:r>
            <w:r>
              <w:rPr>
                <w:rFonts w:ascii="Times New Roman" w:hAnsi="Times New Roman"/>
                <w:szCs w:val="21"/>
                <w:vertAlign w:val="superscript"/>
              </w:rPr>
              <w:t>3</w:t>
            </w:r>
          </w:p>
        </w:tc>
        <w:tc>
          <w:tcPr>
            <w:tcW w:w="1134"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160ug/m</w:t>
            </w:r>
            <w:r>
              <w:rPr>
                <w:rFonts w:ascii="Times New Roman" w:hAnsi="Times New Roman"/>
                <w:szCs w:val="21"/>
                <w:vertAlign w:val="superscript"/>
              </w:rPr>
              <w:t>3</w:t>
            </w:r>
          </w:p>
        </w:tc>
        <w:tc>
          <w:tcPr>
            <w:tcW w:w="1419"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44</w:t>
            </w:r>
          </w:p>
        </w:tc>
        <w:tc>
          <w:tcPr>
            <w:tcW w:w="1417" w:type="dxa"/>
            <w:tcBorders>
              <w:tl2br w:val="nil"/>
              <w:tr2bl w:val="nil"/>
            </w:tcBorders>
            <w:vAlign w:val="center"/>
          </w:tcPr>
          <w:p w:rsidR="00525419" w:rsidRDefault="00EE1CF7">
            <w:pPr>
              <w:widowControl/>
              <w:jc w:val="center"/>
              <w:rPr>
                <w:rFonts w:ascii="Times New Roman" w:hAnsi="Times New Roman"/>
                <w:szCs w:val="21"/>
              </w:rPr>
            </w:pPr>
            <w:r>
              <w:rPr>
                <w:rFonts w:ascii="Times New Roman" w:hAnsi="Times New Roman"/>
                <w:szCs w:val="21"/>
              </w:rPr>
              <w:t>达标</w:t>
            </w:r>
          </w:p>
        </w:tc>
      </w:tr>
    </w:tbl>
    <w:p w:rsidR="00525419" w:rsidRDefault="00EE1CF7">
      <w:pPr>
        <w:spacing w:beforeLines="25" w:before="78" w:afterLines="25" w:after="78" w:line="360" w:lineRule="auto"/>
        <w:ind w:firstLineChars="200" w:firstLine="480"/>
        <w:rPr>
          <w:rFonts w:ascii="Times New Roman" w:hAnsi="Times New Roman"/>
          <w:kern w:val="0"/>
          <w:sz w:val="24"/>
          <w:szCs w:val="24"/>
        </w:rPr>
      </w:pPr>
      <w:r>
        <w:rPr>
          <w:rFonts w:ascii="Times New Roman" w:hAnsi="Times New Roman"/>
          <w:kern w:val="0"/>
          <w:sz w:val="24"/>
          <w:szCs w:val="24"/>
        </w:rPr>
        <w:t>由上表分析结果可见，本项目所在区域</w:t>
      </w:r>
      <w:r>
        <w:rPr>
          <w:rFonts w:ascii="Times New Roman" w:hAnsi="Times New Roman"/>
          <w:kern w:val="0"/>
          <w:sz w:val="24"/>
          <w:szCs w:val="24"/>
        </w:rPr>
        <w:t>SO</w:t>
      </w:r>
      <w:r>
        <w:rPr>
          <w:rFonts w:ascii="Times New Roman" w:hAnsi="Times New Roman"/>
          <w:kern w:val="0"/>
          <w:sz w:val="24"/>
          <w:szCs w:val="24"/>
          <w:vertAlign w:val="subscript"/>
        </w:rPr>
        <w:t>2</w:t>
      </w:r>
      <w:r>
        <w:rPr>
          <w:rFonts w:ascii="Times New Roman" w:hAnsi="Times New Roman"/>
          <w:kern w:val="0"/>
          <w:sz w:val="24"/>
          <w:szCs w:val="24"/>
        </w:rPr>
        <w:t>、</w:t>
      </w:r>
      <w:r>
        <w:rPr>
          <w:rFonts w:ascii="Times New Roman" w:hAnsi="Times New Roman"/>
          <w:kern w:val="0"/>
          <w:sz w:val="24"/>
          <w:szCs w:val="24"/>
        </w:rPr>
        <w:t>NO</w:t>
      </w:r>
      <w:r>
        <w:rPr>
          <w:rFonts w:ascii="Times New Roman" w:hAnsi="Times New Roman"/>
          <w:kern w:val="0"/>
          <w:sz w:val="24"/>
          <w:szCs w:val="24"/>
          <w:vertAlign w:val="subscript"/>
        </w:rPr>
        <w:t>2</w:t>
      </w:r>
      <w:r>
        <w:rPr>
          <w:rFonts w:ascii="Times New Roman" w:hAnsi="Times New Roman"/>
          <w:kern w:val="0"/>
          <w:sz w:val="24"/>
          <w:szCs w:val="24"/>
        </w:rPr>
        <w:t>年平均、</w:t>
      </w:r>
      <w:r>
        <w:rPr>
          <w:rFonts w:ascii="Times New Roman" w:hAnsi="Times New Roman"/>
          <w:kern w:val="0"/>
          <w:sz w:val="24"/>
          <w:szCs w:val="24"/>
        </w:rPr>
        <w:t>CO</w:t>
      </w:r>
      <w:r>
        <w:rPr>
          <w:rFonts w:ascii="Times New Roman" w:hAnsi="Times New Roman"/>
          <w:kern w:val="0"/>
          <w:sz w:val="24"/>
          <w:szCs w:val="24"/>
        </w:rPr>
        <w:t>第</w:t>
      </w:r>
      <w:r>
        <w:rPr>
          <w:rFonts w:ascii="Times New Roman" w:hAnsi="Times New Roman"/>
          <w:kern w:val="0"/>
          <w:sz w:val="24"/>
          <w:szCs w:val="24"/>
        </w:rPr>
        <w:t>95</w:t>
      </w:r>
      <w:r>
        <w:rPr>
          <w:rFonts w:ascii="Times New Roman" w:hAnsi="Times New Roman"/>
          <w:kern w:val="0"/>
          <w:sz w:val="24"/>
          <w:szCs w:val="24"/>
        </w:rPr>
        <w:t>百分位数</w:t>
      </w:r>
      <w:r>
        <w:rPr>
          <w:rFonts w:ascii="Times New Roman" w:hAnsi="Times New Roman"/>
          <w:kern w:val="0"/>
          <w:sz w:val="24"/>
          <w:szCs w:val="24"/>
        </w:rPr>
        <w:t>24h</w:t>
      </w:r>
      <w:r>
        <w:rPr>
          <w:rFonts w:ascii="Times New Roman" w:hAnsi="Times New Roman"/>
          <w:kern w:val="0"/>
          <w:sz w:val="24"/>
          <w:szCs w:val="24"/>
        </w:rPr>
        <w:t>平均、</w:t>
      </w:r>
      <w:r>
        <w:rPr>
          <w:rFonts w:ascii="Times New Roman" w:hAnsi="Times New Roman"/>
          <w:kern w:val="0"/>
          <w:sz w:val="24"/>
          <w:szCs w:val="24"/>
        </w:rPr>
        <w:t>O</w:t>
      </w:r>
      <w:r>
        <w:rPr>
          <w:rFonts w:ascii="Times New Roman" w:hAnsi="Times New Roman"/>
          <w:kern w:val="0"/>
          <w:sz w:val="24"/>
          <w:szCs w:val="24"/>
          <w:vertAlign w:val="subscript"/>
        </w:rPr>
        <w:t>3</w:t>
      </w:r>
      <w:r>
        <w:rPr>
          <w:rFonts w:ascii="Times New Roman" w:hAnsi="Times New Roman"/>
          <w:kern w:val="0"/>
          <w:sz w:val="24"/>
          <w:szCs w:val="24"/>
        </w:rPr>
        <w:t>第</w:t>
      </w:r>
      <w:r>
        <w:rPr>
          <w:rFonts w:ascii="Times New Roman" w:hAnsi="Times New Roman"/>
          <w:kern w:val="0"/>
          <w:sz w:val="24"/>
          <w:szCs w:val="24"/>
        </w:rPr>
        <w:t>90</w:t>
      </w:r>
      <w:r>
        <w:rPr>
          <w:rFonts w:ascii="Times New Roman" w:hAnsi="Times New Roman"/>
          <w:kern w:val="0"/>
          <w:sz w:val="24"/>
          <w:szCs w:val="24"/>
        </w:rPr>
        <w:t>百分位数日最大</w:t>
      </w:r>
      <w:r>
        <w:rPr>
          <w:rFonts w:ascii="Times New Roman" w:hAnsi="Times New Roman"/>
          <w:kern w:val="0"/>
          <w:sz w:val="24"/>
          <w:szCs w:val="24"/>
        </w:rPr>
        <w:t>8</w:t>
      </w:r>
      <w:r>
        <w:rPr>
          <w:rFonts w:ascii="Times New Roman" w:hAnsi="Times New Roman"/>
          <w:kern w:val="0"/>
          <w:sz w:val="24"/>
          <w:szCs w:val="24"/>
        </w:rPr>
        <w:t>小时平均浓度均满足《环境空气质量标准》（</w:t>
      </w:r>
      <w:r>
        <w:rPr>
          <w:rFonts w:ascii="Times New Roman" w:hAnsi="Times New Roman"/>
          <w:kern w:val="0"/>
          <w:sz w:val="24"/>
          <w:szCs w:val="24"/>
        </w:rPr>
        <w:t>GB3095-2012</w:t>
      </w:r>
      <w:r>
        <w:rPr>
          <w:rFonts w:ascii="Times New Roman" w:hAnsi="Times New Roman"/>
          <w:kern w:val="0"/>
          <w:sz w:val="24"/>
          <w:szCs w:val="24"/>
        </w:rPr>
        <w:t>）的二级标准要求；</w:t>
      </w:r>
      <w:r>
        <w:rPr>
          <w:rFonts w:ascii="Times New Roman" w:hAnsi="Times New Roman"/>
          <w:kern w:val="0"/>
          <w:sz w:val="24"/>
          <w:szCs w:val="24"/>
        </w:rPr>
        <w:t>PM</w:t>
      </w:r>
      <w:r>
        <w:rPr>
          <w:rFonts w:ascii="Times New Roman" w:hAnsi="Times New Roman"/>
          <w:kern w:val="0"/>
          <w:sz w:val="24"/>
          <w:szCs w:val="24"/>
          <w:vertAlign w:val="subscript"/>
        </w:rPr>
        <w:t>10</w:t>
      </w:r>
      <w:r>
        <w:rPr>
          <w:rFonts w:ascii="Times New Roman" w:hAnsi="Times New Roman"/>
          <w:kern w:val="0"/>
          <w:sz w:val="24"/>
          <w:szCs w:val="24"/>
        </w:rPr>
        <w:t>、</w:t>
      </w:r>
      <w:r>
        <w:rPr>
          <w:rFonts w:ascii="Times New Roman" w:hAnsi="Times New Roman"/>
          <w:kern w:val="0"/>
          <w:sz w:val="24"/>
          <w:szCs w:val="24"/>
        </w:rPr>
        <w:t>PM</w:t>
      </w:r>
      <w:r>
        <w:rPr>
          <w:rFonts w:ascii="Times New Roman" w:hAnsi="Times New Roman"/>
          <w:kern w:val="0"/>
          <w:sz w:val="24"/>
          <w:szCs w:val="24"/>
          <w:vertAlign w:val="subscript"/>
        </w:rPr>
        <w:t>2.5</w:t>
      </w:r>
      <w:r>
        <w:rPr>
          <w:rFonts w:ascii="Times New Roman" w:hAnsi="Times New Roman"/>
          <w:kern w:val="0"/>
          <w:sz w:val="24"/>
          <w:szCs w:val="24"/>
        </w:rPr>
        <w:t>年平均均超过《环境空气质量标准》（</w:t>
      </w:r>
      <w:r>
        <w:rPr>
          <w:rFonts w:ascii="Times New Roman" w:hAnsi="Times New Roman"/>
          <w:kern w:val="0"/>
          <w:sz w:val="24"/>
          <w:szCs w:val="24"/>
        </w:rPr>
        <w:t>GB3095-2012</w:t>
      </w:r>
      <w:r>
        <w:rPr>
          <w:rFonts w:ascii="Times New Roman" w:hAnsi="Times New Roman"/>
          <w:kern w:val="0"/>
          <w:sz w:val="24"/>
          <w:szCs w:val="24"/>
        </w:rPr>
        <w:t>）的二级标准要求，本项目所在区域为非达标区域。</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4.3.1.2</w:t>
      </w:r>
      <w:r>
        <w:rPr>
          <w:rFonts w:ascii="Times New Roman" w:hAnsi="Times New Roman" w:cs="Times New Roman"/>
          <w:kern w:val="44"/>
          <w:sz w:val="24"/>
          <w:szCs w:val="24"/>
        </w:rPr>
        <w:t>大气环境质量现状监测</w:t>
      </w:r>
    </w:p>
    <w:p w:rsidR="00525419" w:rsidRDefault="00EE1CF7">
      <w:pPr>
        <w:widowControl/>
        <w:spacing w:line="360" w:lineRule="auto"/>
        <w:ind w:firstLineChars="200" w:firstLine="48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）特征污染物：非甲烷总烃、硫化氢、氨。</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2</w:t>
      </w:r>
      <w:r>
        <w:rPr>
          <w:rFonts w:ascii="Times New Roman" w:hAnsi="Times New Roman"/>
          <w:kern w:val="0"/>
          <w:sz w:val="24"/>
          <w:szCs w:val="24"/>
        </w:rPr>
        <w:t>）监测时间及频率：监测时间为</w:t>
      </w:r>
      <w:r>
        <w:rPr>
          <w:rFonts w:ascii="Times New Roman" w:hAnsi="Times New Roman"/>
          <w:kern w:val="0"/>
          <w:sz w:val="24"/>
          <w:szCs w:val="24"/>
        </w:rPr>
        <w:t>2020</w:t>
      </w:r>
      <w:r>
        <w:rPr>
          <w:rFonts w:ascii="Times New Roman" w:hAnsi="Times New Roman"/>
          <w:kern w:val="0"/>
          <w:sz w:val="24"/>
          <w:szCs w:val="24"/>
        </w:rPr>
        <w:t>年</w:t>
      </w:r>
      <w:r>
        <w:rPr>
          <w:rFonts w:ascii="Times New Roman" w:hAnsi="Times New Roman"/>
          <w:kern w:val="0"/>
          <w:sz w:val="24"/>
          <w:szCs w:val="24"/>
        </w:rPr>
        <w:t>4</w:t>
      </w:r>
      <w:r>
        <w:rPr>
          <w:rFonts w:ascii="Times New Roman" w:hAnsi="Times New Roman"/>
          <w:kern w:val="0"/>
          <w:sz w:val="24"/>
          <w:szCs w:val="24"/>
        </w:rPr>
        <w:t>月</w:t>
      </w:r>
      <w:r>
        <w:rPr>
          <w:rFonts w:ascii="Times New Roman" w:hAnsi="Times New Roman"/>
          <w:kern w:val="0"/>
          <w:sz w:val="24"/>
          <w:szCs w:val="24"/>
        </w:rPr>
        <w:t>22</w:t>
      </w:r>
      <w:r>
        <w:rPr>
          <w:rFonts w:ascii="Times New Roman" w:hAnsi="Times New Roman"/>
          <w:kern w:val="0"/>
          <w:sz w:val="24"/>
          <w:szCs w:val="24"/>
        </w:rPr>
        <w:t>日至</w:t>
      </w:r>
      <w:r>
        <w:rPr>
          <w:rFonts w:ascii="Times New Roman" w:hAnsi="Times New Roman"/>
          <w:kern w:val="0"/>
          <w:sz w:val="24"/>
          <w:szCs w:val="24"/>
        </w:rPr>
        <w:t>2020</w:t>
      </w:r>
      <w:r>
        <w:rPr>
          <w:rFonts w:ascii="Times New Roman" w:hAnsi="Times New Roman"/>
          <w:kern w:val="0"/>
          <w:sz w:val="24"/>
          <w:szCs w:val="24"/>
        </w:rPr>
        <w:t>年</w:t>
      </w:r>
      <w:r>
        <w:rPr>
          <w:rFonts w:ascii="Times New Roman" w:hAnsi="Times New Roman"/>
          <w:kern w:val="0"/>
          <w:sz w:val="24"/>
          <w:szCs w:val="24"/>
        </w:rPr>
        <w:t>4</w:t>
      </w:r>
      <w:r>
        <w:rPr>
          <w:rFonts w:ascii="Times New Roman" w:hAnsi="Times New Roman"/>
          <w:kern w:val="0"/>
          <w:sz w:val="24"/>
          <w:szCs w:val="24"/>
        </w:rPr>
        <w:t>月</w:t>
      </w:r>
      <w:r>
        <w:rPr>
          <w:rFonts w:ascii="Times New Roman" w:hAnsi="Times New Roman"/>
          <w:kern w:val="0"/>
          <w:sz w:val="24"/>
          <w:szCs w:val="24"/>
        </w:rPr>
        <w:t>28</w:t>
      </w:r>
      <w:r>
        <w:rPr>
          <w:rFonts w:ascii="Times New Roman" w:hAnsi="Times New Roman"/>
          <w:kern w:val="0"/>
          <w:sz w:val="24"/>
          <w:szCs w:val="24"/>
        </w:rPr>
        <w:t>日，连续</w:t>
      </w:r>
      <w:r>
        <w:rPr>
          <w:rFonts w:ascii="Times New Roman" w:hAnsi="Times New Roman"/>
          <w:kern w:val="0"/>
          <w:sz w:val="24"/>
          <w:szCs w:val="24"/>
        </w:rPr>
        <w:t>7</w:t>
      </w:r>
      <w:r>
        <w:rPr>
          <w:rFonts w:ascii="Times New Roman" w:hAnsi="Times New Roman"/>
          <w:kern w:val="0"/>
          <w:sz w:val="24"/>
          <w:szCs w:val="24"/>
        </w:rPr>
        <w:t>天，</w:t>
      </w:r>
      <w:r>
        <w:rPr>
          <w:rFonts w:ascii="Times New Roman" w:hAnsi="Times New Roman"/>
          <w:kern w:val="0"/>
          <w:sz w:val="24"/>
          <w:szCs w:val="21"/>
        </w:rPr>
        <w:t>每天采样时间为</w:t>
      </w:r>
      <w:r>
        <w:rPr>
          <w:rFonts w:ascii="Times New Roman" w:hAnsi="Times New Roman"/>
          <w:kern w:val="0"/>
          <w:sz w:val="24"/>
          <w:szCs w:val="21"/>
        </w:rPr>
        <w:t>10</w:t>
      </w:r>
      <w:r>
        <w:rPr>
          <w:rFonts w:ascii="Times New Roman" w:hAnsi="Times New Roman"/>
          <w:kern w:val="0"/>
          <w:sz w:val="24"/>
          <w:szCs w:val="21"/>
        </w:rPr>
        <w:t>时、</w:t>
      </w:r>
      <w:r>
        <w:rPr>
          <w:rFonts w:ascii="Times New Roman" w:hAnsi="Times New Roman"/>
          <w:kern w:val="0"/>
          <w:sz w:val="24"/>
          <w:szCs w:val="21"/>
        </w:rPr>
        <w:t>12</w:t>
      </w:r>
      <w:r>
        <w:rPr>
          <w:rFonts w:ascii="Times New Roman" w:hAnsi="Times New Roman"/>
          <w:kern w:val="0"/>
          <w:sz w:val="24"/>
          <w:szCs w:val="21"/>
        </w:rPr>
        <w:t>时、</w:t>
      </w:r>
      <w:r>
        <w:rPr>
          <w:rFonts w:ascii="Times New Roman" w:hAnsi="Times New Roman"/>
          <w:kern w:val="0"/>
          <w:sz w:val="24"/>
          <w:szCs w:val="21"/>
        </w:rPr>
        <w:t>14</w:t>
      </w:r>
      <w:r>
        <w:rPr>
          <w:rFonts w:ascii="Times New Roman" w:hAnsi="Times New Roman"/>
          <w:kern w:val="0"/>
          <w:sz w:val="24"/>
          <w:szCs w:val="21"/>
        </w:rPr>
        <w:t>时及</w:t>
      </w:r>
      <w:r>
        <w:rPr>
          <w:rFonts w:ascii="Times New Roman" w:hAnsi="Times New Roman"/>
          <w:kern w:val="0"/>
          <w:sz w:val="24"/>
          <w:szCs w:val="21"/>
        </w:rPr>
        <w:t>16</w:t>
      </w:r>
      <w:r>
        <w:rPr>
          <w:rFonts w:ascii="Times New Roman" w:hAnsi="Times New Roman"/>
          <w:kern w:val="0"/>
          <w:sz w:val="24"/>
          <w:szCs w:val="21"/>
        </w:rPr>
        <w:t>时四个时间段</w:t>
      </w:r>
      <w:r>
        <w:rPr>
          <w:rFonts w:ascii="Times New Roman" w:hAnsi="Times New Roman" w:hint="eastAsia"/>
          <w:kern w:val="0"/>
          <w:sz w:val="24"/>
          <w:szCs w:val="21"/>
        </w:rPr>
        <w:t>，</w:t>
      </w:r>
      <w:r>
        <w:rPr>
          <w:rFonts w:ascii="Times New Roman" w:hAnsi="Times New Roman"/>
          <w:kern w:val="0"/>
          <w:sz w:val="24"/>
          <w:szCs w:val="24"/>
        </w:rPr>
        <w:t>监测单位为新疆锡水金山环境科技有限公司。</w:t>
      </w:r>
    </w:p>
    <w:p w:rsidR="00525419" w:rsidRDefault="00EE1CF7">
      <w:pPr>
        <w:widowControl/>
        <w:spacing w:line="360" w:lineRule="auto"/>
        <w:ind w:firstLineChars="200" w:firstLine="48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3</w:t>
      </w:r>
      <w:r>
        <w:rPr>
          <w:rFonts w:ascii="Times New Roman" w:hAnsi="Times New Roman"/>
          <w:kern w:val="0"/>
          <w:sz w:val="24"/>
          <w:szCs w:val="24"/>
        </w:rPr>
        <w:t>）监测布点：特征污染物监测点位详见表</w:t>
      </w:r>
      <w:r>
        <w:rPr>
          <w:rFonts w:ascii="Times New Roman" w:hAnsi="Times New Roman"/>
          <w:kern w:val="0"/>
          <w:sz w:val="24"/>
          <w:szCs w:val="24"/>
        </w:rPr>
        <w:t>4.3-2</w:t>
      </w:r>
      <w:r>
        <w:rPr>
          <w:rFonts w:ascii="Times New Roman" w:hAnsi="Times New Roman"/>
          <w:kern w:val="0"/>
          <w:sz w:val="24"/>
          <w:szCs w:val="24"/>
        </w:rPr>
        <w:t>，监测点位见附图</w:t>
      </w:r>
      <w:r>
        <w:rPr>
          <w:rFonts w:ascii="Times New Roman" w:hAnsi="Times New Roman"/>
          <w:kern w:val="0"/>
          <w:sz w:val="24"/>
          <w:szCs w:val="24"/>
        </w:rPr>
        <w:t>4.3-1</w:t>
      </w:r>
      <w:r>
        <w:rPr>
          <w:rFonts w:ascii="Times New Roman" w:hAnsi="Times New Roman"/>
          <w:kern w:val="0"/>
          <w:sz w:val="24"/>
          <w:szCs w:val="24"/>
        </w:rPr>
        <w:t>。</w:t>
      </w:r>
    </w:p>
    <w:p w:rsidR="00525419" w:rsidRDefault="00EE1CF7">
      <w:pPr>
        <w:spacing w:line="360" w:lineRule="auto"/>
        <w:ind w:firstLineChars="1000" w:firstLine="2100"/>
        <w:rPr>
          <w:rFonts w:ascii="Times New Roman" w:eastAsia="黑体" w:hAnsi="Times New Roman"/>
          <w:snapToGrid w:val="0"/>
          <w:kern w:val="0"/>
          <w:szCs w:val="21"/>
        </w:rPr>
      </w:pPr>
      <w:r>
        <w:rPr>
          <w:rFonts w:ascii="Times New Roman" w:eastAsia="黑体" w:hAnsi="Times New Roman"/>
          <w:snapToGrid w:val="0"/>
          <w:kern w:val="0"/>
          <w:szCs w:val="21"/>
        </w:rPr>
        <w:t>表</w:t>
      </w:r>
      <w:r>
        <w:rPr>
          <w:rFonts w:ascii="Times New Roman" w:eastAsia="黑体" w:hAnsi="Times New Roman"/>
          <w:snapToGrid w:val="0"/>
          <w:kern w:val="0"/>
          <w:szCs w:val="21"/>
        </w:rPr>
        <w:t xml:space="preserve">4.3-2  </w:t>
      </w:r>
      <w:r>
        <w:rPr>
          <w:rFonts w:ascii="Times New Roman" w:eastAsia="黑体" w:hAnsi="Times New Roman"/>
          <w:snapToGrid w:val="0"/>
          <w:kern w:val="0"/>
          <w:szCs w:val="21"/>
        </w:rPr>
        <w:t>大气环境现状监测点位</w:t>
      </w:r>
    </w:p>
    <w:tbl>
      <w:tblPr>
        <w:tblW w:w="85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51"/>
        <w:gridCol w:w="1453"/>
        <w:gridCol w:w="1500"/>
        <w:gridCol w:w="1441"/>
        <w:gridCol w:w="3160"/>
      </w:tblGrid>
      <w:tr w:rsidR="00525419">
        <w:trPr>
          <w:trHeight w:val="397"/>
          <w:jc w:val="center"/>
        </w:trPr>
        <w:tc>
          <w:tcPr>
            <w:tcW w:w="951" w:type="dxa"/>
            <w:vAlign w:val="center"/>
          </w:tcPr>
          <w:p w:rsidR="00525419" w:rsidRDefault="00EE1CF7">
            <w:pPr>
              <w:widowControl/>
              <w:jc w:val="center"/>
              <w:rPr>
                <w:rFonts w:ascii="Times New Roman" w:hAnsi="Times New Roman"/>
                <w:kern w:val="0"/>
              </w:rPr>
            </w:pPr>
            <w:r>
              <w:rPr>
                <w:rFonts w:ascii="Times New Roman" w:hAnsi="Times New Roman"/>
                <w:kern w:val="0"/>
              </w:rPr>
              <w:t>序号</w:t>
            </w:r>
          </w:p>
        </w:tc>
        <w:tc>
          <w:tcPr>
            <w:tcW w:w="1453" w:type="dxa"/>
            <w:vAlign w:val="center"/>
          </w:tcPr>
          <w:p w:rsidR="00525419" w:rsidRDefault="00EE1CF7">
            <w:pPr>
              <w:widowControl/>
              <w:jc w:val="center"/>
              <w:rPr>
                <w:rFonts w:ascii="Times New Roman" w:hAnsi="Times New Roman"/>
                <w:kern w:val="0"/>
              </w:rPr>
            </w:pPr>
            <w:r>
              <w:rPr>
                <w:rFonts w:ascii="Times New Roman" w:hAnsi="Times New Roman"/>
                <w:kern w:val="0"/>
              </w:rPr>
              <w:t>监测点位</w:t>
            </w:r>
          </w:p>
        </w:tc>
        <w:tc>
          <w:tcPr>
            <w:tcW w:w="1500" w:type="dxa"/>
            <w:vAlign w:val="center"/>
          </w:tcPr>
          <w:p w:rsidR="00525419" w:rsidRDefault="00EE1CF7">
            <w:pPr>
              <w:widowControl/>
              <w:jc w:val="center"/>
              <w:rPr>
                <w:rFonts w:ascii="Times New Roman" w:hAnsi="Times New Roman"/>
                <w:kern w:val="0"/>
              </w:rPr>
            </w:pPr>
            <w:r>
              <w:rPr>
                <w:rFonts w:ascii="Times New Roman" w:hAnsi="Times New Roman"/>
                <w:kern w:val="0"/>
              </w:rPr>
              <w:t>方位</w:t>
            </w:r>
          </w:p>
        </w:tc>
        <w:tc>
          <w:tcPr>
            <w:tcW w:w="1441" w:type="dxa"/>
            <w:vAlign w:val="center"/>
          </w:tcPr>
          <w:p w:rsidR="00525419" w:rsidRDefault="00EE1CF7">
            <w:pPr>
              <w:widowControl/>
              <w:jc w:val="center"/>
              <w:rPr>
                <w:rFonts w:ascii="Times New Roman" w:hAnsi="Times New Roman"/>
                <w:kern w:val="0"/>
              </w:rPr>
            </w:pPr>
            <w:r>
              <w:rPr>
                <w:rFonts w:ascii="Times New Roman" w:hAnsi="Times New Roman"/>
                <w:kern w:val="0"/>
              </w:rPr>
              <w:t>距离（</w:t>
            </w:r>
            <w:r>
              <w:rPr>
                <w:rFonts w:ascii="Times New Roman" w:hAnsi="Times New Roman"/>
                <w:kern w:val="0"/>
              </w:rPr>
              <w:t>km</w:t>
            </w:r>
            <w:r>
              <w:rPr>
                <w:rFonts w:ascii="Times New Roman" w:hAnsi="Times New Roman"/>
                <w:kern w:val="0"/>
              </w:rPr>
              <w:t>）</w:t>
            </w:r>
          </w:p>
        </w:tc>
        <w:tc>
          <w:tcPr>
            <w:tcW w:w="3160" w:type="dxa"/>
            <w:vAlign w:val="center"/>
          </w:tcPr>
          <w:p w:rsidR="00525419" w:rsidRDefault="00EE1CF7">
            <w:pPr>
              <w:widowControl/>
              <w:jc w:val="center"/>
              <w:rPr>
                <w:rFonts w:ascii="Times New Roman" w:hAnsi="Times New Roman"/>
                <w:kern w:val="0"/>
              </w:rPr>
            </w:pPr>
            <w:r>
              <w:rPr>
                <w:rFonts w:ascii="Times New Roman" w:hAnsi="Times New Roman"/>
                <w:kern w:val="0"/>
              </w:rPr>
              <w:t>监测项目</w:t>
            </w:r>
          </w:p>
        </w:tc>
      </w:tr>
      <w:tr w:rsidR="00525419">
        <w:trPr>
          <w:trHeight w:val="397"/>
          <w:jc w:val="center"/>
        </w:trPr>
        <w:tc>
          <w:tcPr>
            <w:tcW w:w="951" w:type="dxa"/>
            <w:vAlign w:val="center"/>
          </w:tcPr>
          <w:p w:rsidR="00525419" w:rsidRDefault="00EE1CF7">
            <w:pPr>
              <w:widowControl/>
              <w:jc w:val="center"/>
              <w:rPr>
                <w:rFonts w:ascii="Times New Roman" w:hAnsi="Times New Roman"/>
                <w:kern w:val="0"/>
              </w:rPr>
            </w:pPr>
            <w:r>
              <w:rPr>
                <w:rFonts w:ascii="Times New Roman" w:hAnsi="Times New Roman"/>
                <w:kern w:val="0"/>
              </w:rPr>
              <w:t>1</w:t>
            </w:r>
          </w:p>
        </w:tc>
        <w:tc>
          <w:tcPr>
            <w:tcW w:w="1453" w:type="dxa"/>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项目区</w:t>
            </w:r>
          </w:p>
        </w:tc>
        <w:tc>
          <w:tcPr>
            <w:tcW w:w="1500" w:type="dxa"/>
            <w:vAlign w:val="center"/>
          </w:tcPr>
          <w:p w:rsidR="00525419" w:rsidRDefault="00EE1CF7">
            <w:pPr>
              <w:widowControl/>
              <w:jc w:val="center"/>
              <w:rPr>
                <w:rFonts w:ascii="Times New Roman" w:hAnsi="Times New Roman"/>
                <w:kern w:val="0"/>
              </w:rPr>
            </w:pPr>
            <w:r>
              <w:rPr>
                <w:rFonts w:ascii="Times New Roman" w:hAnsi="Times New Roman"/>
                <w:kern w:val="0"/>
              </w:rPr>
              <w:t>-</w:t>
            </w:r>
          </w:p>
        </w:tc>
        <w:tc>
          <w:tcPr>
            <w:tcW w:w="1441" w:type="dxa"/>
            <w:vAlign w:val="center"/>
          </w:tcPr>
          <w:p w:rsidR="00525419" w:rsidRDefault="00EE1CF7">
            <w:pPr>
              <w:widowControl/>
              <w:jc w:val="center"/>
              <w:rPr>
                <w:rFonts w:ascii="Times New Roman" w:hAnsi="Times New Roman"/>
                <w:kern w:val="0"/>
              </w:rPr>
            </w:pPr>
            <w:r>
              <w:rPr>
                <w:rFonts w:ascii="Times New Roman" w:hAnsi="Times New Roman"/>
                <w:kern w:val="0"/>
              </w:rPr>
              <w:t>-</w:t>
            </w:r>
          </w:p>
        </w:tc>
        <w:tc>
          <w:tcPr>
            <w:tcW w:w="3160" w:type="dxa"/>
            <w:vMerge w:val="restart"/>
            <w:vAlign w:val="center"/>
          </w:tcPr>
          <w:p w:rsidR="00525419" w:rsidRDefault="00EE1CF7">
            <w:pPr>
              <w:widowControl/>
              <w:jc w:val="center"/>
              <w:rPr>
                <w:rFonts w:ascii="Times New Roman" w:hAnsi="Times New Roman"/>
                <w:kern w:val="0"/>
              </w:rPr>
            </w:pPr>
            <w:r>
              <w:rPr>
                <w:rFonts w:ascii="Times New Roman" w:hAnsi="Times New Roman"/>
                <w:kern w:val="0"/>
                <w:szCs w:val="21"/>
              </w:rPr>
              <w:t>NMHC</w:t>
            </w:r>
            <w:r>
              <w:rPr>
                <w:rFonts w:ascii="Times New Roman" w:hAnsi="Times New Roman"/>
                <w:kern w:val="0"/>
                <w:szCs w:val="21"/>
              </w:rPr>
              <w:t>、</w:t>
            </w:r>
            <w:r>
              <w:rPr>
                <w:rFonts w:ascii="Times New Roman" w:hAnsi="Times New Roman"/>
                <w:kern w:val="0"/>
                <w:szCs w:val="21"/>
              </w:rPr>
              <w:t>H</w:t>
            </w:r>
            <w:r>
              <w:rPr>
                <w:rFonts w:ascii="Times New Roman" w:hAnsi="Times New Roman"/>
                <w:kern w:val="0"/>
                <w:szCs w:val="21"/>
                <w:vertAlign w:val="subscript"/>
              </w:rPr>
              <w:t>2</w:t>
            </w:r>
            <w:r>
              <w:rPr>
                <w:rFonts w:ascii="Times New Roman" w:hAnsi="Times New Roman"/>
                <w:kern w:val="0"/>
                <w:szCs w:val="21"/>
              </w:rPr>
              <w:t>S</w:t>
            </w:r>
            <w:r>
              <w:rPr>
                <w:rFonts w:ascii="Times New Roman" w:hAnsi="Times New Roman"/>
                <w:kern w:val="0"/>
                <w:szCs w:val="21"/>
              </w:rPr>
              <w:t>、</w:t>
            </w:r>
            <w:r>
              <w:rPr>
                <w:rFonts w:ascii="Times New Roman" w:hAnsi="Times New Roman"/>
                <w:bCs/>
                <w:szCs w:val="21"/>
              </w:rPr>
              <w:t>NH</w:t>
            </w:r>
            <w:r>
              <w:rPr>
                <w:rFonts w:ascii="Times New Roman" w:hAnsi="Times New Roman"/>
                <w:bCs/>
                <w:szCs w:val="21"/>
                <w:vertAlign w:val="subscript"/>
              </w:rPr>
              <w:t>3</w:t>
            </w:r>
          </w:p>
        </w:tc>
      </w:tr>
      <w:tr w:rsidR="00525419">
        <w:trPr>
          <w:trHeight w:val="397"/>
          <w:jc w:val="center"/>
        </w:trPr>
        <w:tc>
          <w:tcPr>
            <w:tcW w:w="951" w:type="dxa"/>
            <w:vAlign w:val="center"/>
          </w:tcPr>
          <w:p w:rsidR="00525419" w:rsidRDefault="00EE1CF7">
            <w:pPr>
              <w:widowControl/>
              <w:jc w:val="center"/>
              <w:rPr>
                <w:rFonts w:ascii="Times New Roman" w:hAnsi="Times New Roman"/>
                <w:kern w:val="0"/>
              </w:rPr>
            </w:pPr>
            <w:r>
              <w:rPr>
                <w:rFonts w:ascii="Times New Roman" w:hAnsi="Times New Roman"/>
                <w:kern w:val="0"/>
              </w:rPr>
              <w:t>2</w:t>
            </w:r>
          </w:p>
        </w:tc>
        <w:tc>
          <w:tcPr>
            <w:tcW w:w="1453" w:type="dxa"/>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项目区下风向</w:t>
            </w:r>
          </w:p>
        </w:tc>
        <w:tc>
          <w:tcPr>
            <w:tcW w:w="1500" w:type="dxa"/>
            <w:vAlign w:val="center"/>
          </w:tcPr>
          <w:p w:rsidR="00525419" w:rsidRDefault="00EE1CF7">
            <w:pPr>
              <w:widowControl/>
              <w:jc w:val="center"/>
              <w:rPr>
                <w:rFonts w:ascii="Times New Roman" w:hAnsi="Times New Roman"/>
                <w:kern w:val="0"/>
              </w:rPr>
            </w:pPr>
            <w:r>
              <w:rPr>
                <w:rFonts w:ascii="Times New Roman" w:hAnsi="Times New Roman"/>
                <w:kern w:val="0"/>
              </w:rPr>
              <w:t>西北</w:t>
            </w:r>
          </w:p>
        </w:tc>
        <w:tc>
          <w:tcPr>
            <w:tcW w:w="1441" w:type="dxa"/>
            <w:vAlign w:val="center"/>
          </w:tcPr>
          <w:p w:rsidR="00525419" w:rsidRDefault="00EE1CF7">
            <w:pPr>
              <w:widowControl/>
              <w:jc w:val="center"/>
              <w:rPr>
                <w:rFonts w:ascii="Times New Roman" w:hAnsi="Times New Roman"/>
                <w:kern w:val="0"/>
              </w:rPr>
            </w:pPr>
            <w:r>
              <w:rPr>
                <w:rFonts w:ascii="Times New Roman" w:hAnsi="Times New Roman"/>
                <w:kern w:val="0"/>
              </w:rPr>
              <w:t>0.5</w:t>
            </w:r>
          </w:p>
        </w:tc>
        <w:tc>
          <w:tcPr>
            <w:tcW w:w="3160" w:type="dxa"/>
            <w:vMerge/>
            <w:vAlign w:val="center"/>
          </w:tcPr>
          <w:p w:rsidR="00525419" w:rsidRDefault="00525419">
            <w:pPr>
              <w:widowControl/>
              <w:jc w:val="center"/>
              <w:rPr>
                <w:rFonts w:ascii="Times New Roman" w:hAnsi="Times New Roman"/>
                <w:kern w:val="0"/>
              </w:rPr>
            </w:pPr>
          </w:p>
        </w:tc>
      </w:tr>
    </w:tbl>
    <w:p w:rsidR="00525419" w:rsidRDefault="00EE1CF7">
      <w:pPr>
        <w:spacing w:beforeLines="25" w:before="78" w:afterLines="25" w:after="78" w:line="360" w:lineRule="auto"/>
        <w:ind w:firstLineChars="200" w:firstLine="48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4</w:t>
      </w:r>
      <w:r>
        <w:rPr>
          <w:rFonts w:ascii="Times New Roman" w:hAnsi="Times New Roman"/>
          <w:kern w:val="0"/>
          <w:sz w:val="24"/>
          <w:szCs w:val="24"/>
        </w:rPr>
        <w:t>）采样及分析方法</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NMHC</w:t>
      </w:r>
      <w:r>
        <w:rPr>
          <w:rFonts w:ascii="Times New Roman" w:hAnsi="Times New Roman"/>
          <w:kern w:val="0"/>
          <w:sz w:val="24"/>
          <w:szCs w:val="24"/>
        </w:rPr>
        <w:t>、</w:t>
      </w:r>
      <w:r>
        <w:rPr>
          <w:rFonts w:ascii="Times New Roman" w:hAnsi="Times New Roman"/>
          <w:kern w:val="0"/>
          <w:sz w:val="24"/>
          <w:szCs w:val="24"/>
        </w:rPr>
        <w:t>H</w:t>
      </w:r>
      <w:r>
        <w:rPr>
          <w:rFonts w:ascii="Times New Roman" w:hAnsi="Times New Roman"/>
          <w:kern w:val="0"/>
          <w:sz w:val="24"/>
          <w:szCs w:val="24"/>
          <w:vertAlign w:val="subscript"/>
        </w:rPr>
        <w:t>2</w:t>
      </w:r>
      <w:r>
        <w:rPr>
          <w:rFonts w:ascii="Times New Roman" w:hAnsi="Times New Roman"/>
          <w:kern w:val="0"/>
          <w:sz w:val="24"/>
          <w:szCs w:val="24"/>
        </w:rPr>
        <w:t>S</w:t>
      </w:r>
      <w:r>
        <w:rPr>
          <w:rFonts w:ascii="Times New Roman" w:hAnsi="Times New Roman"/>
          <w:kern w:val="0"/>
          <w:sz w:val="24"/>
          <w:szCs w:val="24"/>
        </w:rPr>
        <w:t>、</w:t>
      </w:r>
      <w:r>
        <w:rPr>
          <w:rFonts w:ascii="Times New Roman" w:hAnsi="Times New Roman"/>
          <w:bCs/>
          <w:sz w:val="24"/>
          <w:szCs w:val="24"/>
        </w:rPr>
        <w:t>NH</w:t>
      </w:r>
      <w:r>
        <w:rPr>
          <w:rFonts w:ascii="Times New Roman" w:hAnsi="Times New Roman"/>
          <w:bCs/>
          <w:sz w:val="24"/>
          <w:szCs w:val="24"/>
          <w:vertAlign w:val="subscript"/>
        </w:rPr>
        <w:t>3</w:t>
      </w:r>
      <w:r>
        <w:rPr>
          <w:rFonts w:ascii="Times New Roman" w:hAnsi="Times New Roman"/>
          <w:kern w:val="0"/>
          <w:sz w:val="24"/>
          <w:szCs w:val="24"/>
        </w:rPr>
        <w:t>采样方法和分析方法均执行《空气和废气监测分析方法》和《环境监测技术规范》（大气部分）中有关内容，具体分析方法及方法最低检出限列于表</w:t>
      </w:r>
      <w:r>
        <w:rPr>
          <w:rFonts w:ascii="Times New Roman" w:hAnsi="Times New Roman"/>
          <w:kern w:val="0"/>
          <w:sz w:val="24"/>
          <w:szCs w:val="24"/>
        </w:rPr>
        <w:t>4.3-3</w:t>
      </w:r>
      <w:r>
        <w:rPr>
          <w:rFonts w:ascii="Times New Roman" w:hAnsi="Times New Roman"/>
          <w:kern w:val="0"/>
          <w:sz w:val="24"/>
          <w:szCs w:val="24"/>
        </w:rPr>
        <w:t>。</w:t>
      </w:r>
    </w:p>
    <w:p w:rsidR="00525419" w:rsidRDefault="00525419">
      <w:pPr>
        <w:spacing w:line="360" w:lineRule="auto"/>
        <w:ind w:firstLineChars="1000" w:firstLine="2100"/>
        <w:rPr>
          <w:rFonts w:ascii="Times New Roman" w:eastAsia="黑体" w:hAnsi="Times New Roman"/>
          <w:snapToGrid w:val="0"/>
          <w:kern w:val="0"/>
          <w:szCs w:val="21"/>
        </w:rPr>
      </w:pPr>
    </w:p>
    <w:p w:rsidR="00525419" w:rsidRDefault="00EE1CF7">
      <w:pPr>
        <w:spacing w:line="360" w:lineRule="auto"/>
        <w:ind w:firstLineChars="1000" w:firstLine="2100"/>
        <w:rPr>
          <w:rFonts w:ascii="Times New Roman" w:eastAsia="黑体" w:hAnsi="Times New Roman"/>
          <w:snapToGrid w:val="0"/>
          <w:kern w:val="0"/>
          <w:szCs w:val="21"/>
        </w:rPr>
      </w:pPr>
      <w:r>
        <w:rPr>
          <w:rFonts w:ascii="Times New Roman" w:eastAsia="黑体" w:hAnsi="Times New Roman"/>
          <w:snapToGrid w:val="0"/>
          <w:kern w:val="0"/>
          <w:szCs w:val="21"/>
        </w:rPr>
        <w:lastRenderedPageBreak/>
        <w:t>表</w:t>
      </w:r>
      <w:r>
        <w:rPr>
          <w:rFonts w:ascii="Times New Roman" w:eastAsia="黑体" w:hAnsi="Times New Roman"/>
          <w:snapToGrid w:val="0"/>
          <w:kern w:val="0"/>
          <w:szCs w:val="21"/>
        </w:rPr>
        <w:t xml:space="preserve">4.3-3   </w:t>
      </w:r>
      <w:r>
        <w:rPr>
          <w:rFonts w:ascii="Times New Roman" w:eastAsia="黑体" w:hAnsi="Times New Roman"/>
          <w:snapToGrid w:val="0"/>
          <w:kern w:val="0"/>
          <w:szCs w:val="21"/>
        </w:rPr>
        <w:t>空气污染物监测分析方法</w:t>
      </w:r>
    </w:p>
    <w:tbl>
      <w:tblPr>
        <w:tblW w:w="85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00"/>
        <w:gridCol w:w="3153"/>
        <w:gridCol w:w="2224"/>
        <w:gridCol w:w="1928"/>
      </w:tblGrid>
      <w:tr w:rsidR="00525419">
        <w:trPr>
          <w:trHeight w:val="397"/>
          <w:jc w:val="center"/>
        </w:trPr>
        <w:tc>
          <w:tcPr>
            <w:tcW w:w="1200" w:type="dxa"/>
            <w:shd w:val="clear" w:color="000000" w:fill="FFFFFF"/>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监测项目</w:t>
            </w:r>
          </w:p>
        </w:tc>
        <w:tc>
          <w:tcPr>
            <w:tcW w:w="3153" w:type="dxa"/>
            <w:shd w:val="clear" w:color="000000" w:fill="FFFFFF"/>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分析方法</w:t>
            </w:r>
          </w:p>
        </w:tc>
        <w:tc>
          <w:tcPr>
            <w:tcW w:w="2224" w:type="dxa"/>
            <w:shd w:val="clear" w:color="000000" w:fill="FFFFFF"/>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分析方法检出限（</w:t>
            </w:r>
            <w:r>
              <w:rPr>
                <w:rFonts w:ascii="Times New Roman" w:hAnsi="Times New Roman"/>
                <w:kern w:val="0"/>
                <w:szCs w:val="24"/>
              </w:rPr>
              <w:t>mg/Nm</w:t>
            </w:r>
            <w:r>
              <w:rPr>
                <w:rFonts w:ascii="Times New Roman" w:hAnsi="Times New Roman"/>
                <w:kern w:val="0"/>
                <w:szCs w:val="24"/>
                <w:vertAlign w:val="superscript"/>
              </w:rPr>
              <w:t>3</w:t>
            </w:r>
            <w:r>
              <w:rPr>
                <w:rFonts w:ascii="Times New Roman" w:hAnsi="Times New Roman"/>
                <w:kern w:val="0"/>
                <w:szCs w:val="24"/>
              </w:rPr>
              <w:t>）</w:t>
            </w:r>
          </w:p>
        </w:tc>
        <w:tc>
          <w:tcPr>
            <w:tcW w:w="1928" w:type="dxa"/>
            <w:shd w:val="clear" w:color="000000" w:fill="FFFFFF"/>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方法来源</w:t>
            </w:r>
          </w:p>
        </w:tc>
      </w:tr>
      <w:tr w:rsidR="00525419">
        <w:trPr>
          <w:trHeight w:val="397"/>
          <w:jc w:val="center"/>
        </w:trPr>
        <w:tc>
          <w:tcPr>
            <w:tcW w:w="120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NMHC</w:t>
            </w:r>
          </w:p>
        </w:tc>
        <w:tc>
          <w:tcPr>
            <w:tcW w:w="3153" w:type="dxa"/>
            <w:vAlign w:val="center"/>
          </w:tcPr>
          <w:p w:rsidR="00525419" w:rsidRDefault="00EE1CF7">
            <w:pPr>
              <w:widowControl/>
              <w:jc w:val="center"/>
              <w:rPr>
                <w:rFonts w:ascii="Times New Roman" w:hAnsi="Times New Roman"/>
                <w:kern w:val="0"/>
                <w:szCs w:val="24"/>
              </w:rPr>
            </w:pPr>
            <w:r>
              <w:rPr>
                <w:rFonts w:ascii="Times New Roman" w:hAnsi="Times New Roman"/>
                <w:kern w:val="0"/>
              </w:rPr>
              <w:t>直接进样</w:t>
            </w:r>
            <w:r>
              <w:rPr>
                <w:rFonts w:ascii="Times New Roman" w:hAnsi="Times New Roman"/>
                <w:kern w:val="0"/>
              </w:rPr>
              <w:t>-</w:t>
            </w:r>
            <w:r>
              <w:rPr>
                <w:rFonts w:ascii="Times New Roman" w:hAnsi="Times New Roman"/>
                <w:kern w:val="0"/>
              </w:rPr>
              <w:t>气相色谱法</w:t>
            </w:r>
          </w:p>
        </w:tc>
        <w:tc>
          <w:tcPr>
            <w:tcW w:w="222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0.07</w:t>
            </w:r>
          </w:p>
        </w:tc>
        <w:tc>
          <w:tcPr>
            <w:tcW w:w="1928" w:type="dxa"/>
            <w:vAlign w:val="center"/>
          </w:tcPr>
          <w:p w:rsidR="00525419" w:rsidRDefault="00EE1CF7">
            <w:pPr>
              <w:widowControl/>
              <w:jc w:val="center"/>
              <w:rPr>
                <w:rFonts w:ascii="Times New Roman" w:hAnsi="Times New Roman"/>
                <w:kern w:val="0"/>
                <w:szCs w:val="24"/>
              </w:rPr>
            </w:pPr>
            <w:r>
              <w:rPr>
                <w:rFonts w:ascii="Times New Roman" w:hAnsi="Times New Roman"/>
                <w:kern w:val="0"/>
              </w:rPr>
              <w:t>HJ 604-2017</w:t>
            </w:r>
          </w:p>
        </w:tc>
      </w:tr>
      <w:tr w:rsidR="00525419">
        <w:trPr>
          <w:trHeight w:val="397"/>
          <w:jc w:val="center"/>
        </w:trPr>
        <w:tc>
          <w:tcPr>
            <w:tcW w:w="120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bCs/>
                <w:kern w:val="0"/>
                <w:szCs w:val="24"/>
              </w:rPr>
              <w:t>氨</w:t>
            </w:r>
          </w:p>
        </w:tc>
        <w:tc>
          <w:tcPr>
            <w:tcW w:w="3153" w:type="dxa"/>
            <w:vAlign w:val="center"/>
          </w:tcPr>
          <w:p w:rsidR="00525419" w:rsidRDefault="00EE1CF7">
            <w:pPr>
              <w:widowControl/>
              <w:jc w:val="center"/>
              <w:rPr>
                <w:rFonts w:ascii="Times New Roman" w:hAnsi="Times New Roman"/>
                <w:kern w:val="0"/>
                <w:szCs w:val="24"/>
              </w:rPr>
            </w:pPr>
            <w:r>
              <w:rPr>
                <w:rFonts w:ascii="Times New Roman" w:hAnsi="Times New Roman"/>
                <w:szCs w:val="21"/>
                <w:lang w:bidi="ar"/>
              </w:rPr>
              <w:t>纳氏试剂分光光度法</w:t>
            </w:r>
          </w:p>
        </w:tc>
        <w:tc>
          <w:tcPr>
            <w:tcW w:w="222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0.01</w:t>
            </w:r>
          </w:p>
        </w:tc>
        <w:tc>
          <w:tcPr>
            <w:tcW w:w="1928" w:type="dxa"/>
            <w:vAlign w:val="center"/>
          </w:tcPr>
          <w:p w:rsidR="00525419" w:rsidRDefault="00EE1CF7">
            <w:pPr>
              <w:widowControl/>
              <w:jc w:val="center"/>
              <w:rPr>
                <w:rFonts w:ascii="Times New Roman" w:hAnsi="Times New Roman"/>
                <w:kern w:val="0"/>
                <w:szCs w:val="24"/>
              </w:rPr>
            </w:pPr>
            <w:r>
              <w:rPr>
                <w:rFonts w:ascii="Times New Roman" w:hAnsi="Times New Roman"/>
                <w:szCs w:val="21"/>
                <w:lang w:bidi="ar"/>
              </w:rPr>
              <w:t>HJ 533-2009</w:t>
            </w:r>
          </w:p>
        </w:tc>
      </w:tr>
      <w:tr w:rsidR="00525419">
        <w:trPr>
          <w:trHeight w:val="397"/>
          <w:jc w:val="center"/>
        </w:trPr>
        <w:tc>
          <w:tcPr>
            <w:tcW w:w="120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H</w:t>
            </w:r>
            <w:r>
              <w:rPr>
                <w:rFonts w:ascii="Times New Roman" w:hAnsi="Times New Roman"/>
                <w:kern w:val="0"/>
                <w:szCs w:val="24"/>
                <w:vertAlign w:val="subscript"/>
              </w:rPr>
              <w:t>2</w:t>
            </w:r>
            <w:r>
              <w:rPr>
                <w:rFonts w:ascii="Times New Roman" w:hAnsi="Times New Roman"/>
                <w:kern w:val="0"/>
                <w:szCs w:val="24"/>
              </w:rPr>
              <w:t>S</w:t>
            </w:r>
          </w:p>
        </w:tc>
        <w:tc>
          <w:tcPr>
            <w:tcW w:w="315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亚甲蓝分光光度法</w:t>
            </w:r>
          </w:p>
        </w:tc>
        <w:tc>
          <w:tcPr>
            <w:tcW w:w="222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0.005</w:t>
            </w:r>
          </w:p>
        </w:tc>
        <w:tc>
          <w:tcPr>
            <w:tcW w:w="1928"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GB11742-1989</w:t>
            </w:r>
          </w:p>
        </w:tc>
      </w:tr>
    </w:tbl>
    <w:p w:rsidR="00525419" w:rsidRDefault="00EE1CF7">
      <w:pPr>
        <w:spacing w:beforeLines="25" w:before="78" w:afterLines="25" w:after="78" w:line="360" w:lineRule="auto"/>
        <w:ind w:firstLineChars="200" w:firstLine="48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5</w:t>
      </w:r>
      <w:r>
        <w:rPr>
          <w:rFonts w:ascii="Times New Roman" w:hAnsi="Times New Roman"/>
          <w:kern w:val="0"/>
          <w:sz w:val="24"/>
          <w:szCs w:val="24"/>
        </w:rPr>
        <w:t>）评价标准</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NMHC</w:t>
      </w:r>
      <w:r>
        <w:rPr>
          <w:rFonts w:ascii="Times New Roman" w:hAnsi="Times New Roman"/>
          <w:kern w:val="0"/>
          <w:sz w:val="24"/>
          <w:szCs w:val="24"/>
        </w:rPr>
        <w:t>执行</w:t>
      </w:r>
      <w:r>
        <w:rPr>
          <w:rFonts w:ascii="Times New Roman" w:hAnsi="Times New Roman"/>
          <w:snapToGrid w:val="0"/>
          <w:kern w:val="0"/>
          <w:sz w:val="24"/>
          <w:szCs w:val="24"/>
        </w:rPr>
        <w:t>《大气污染物综合排放标准详解》中一次浓度限值；</w:t>
      </w:r>
      <w:r>
        <w:rPr>
          <w:rFonts w:ascii="Times New Roman" w:hAnsi="Times New Roman"/>
          <w:kern w:val="0"/>
          <w:sz w:val="24"/>
          <w:szCs w:val="24"/>
        </w:rPr>
        <w:t>H</w:t>
      </w:r>
      <w:r>
        <w:rPr>
          <w:rFonts w:ascii="Times New Roman" w:hAnsi="Times New Roman"/>
          <w:kern w:val="0"/>
          <w:sz w:val="24"/>
          <w:szCs w:val="24"/>
          <w:vertAlign w:val="subscript"/>
        </w:rPr>
        <w:t>2</w:t>
      </w:r>
      <w:r>
        <w:rPr>
          <w:rFonts w:ascii="Times New Roman" w:hAnsi="Times New Roman"/>
          <w:kern w:val="0"/>
          <w:sz w:val="24"/>
          <w:szCs w:val="24"/>
        </w:rPr>
        <w:t>S</w:t>
      </w:r>
      <w:r>
        <w:rPr>
          <w:rFonts w:ascii="Times New Roman" w:hAnsi="Times New Roman"/>
          <w:kern w:val="0"/>
          <w:sz w:val="24"/>
          <w:szCs w:val="24"/>
        </w:rPr>
        <w:t>、氨评价标准选取《环境影响评价技术导则</w:t>
      </w:r>
      <w:r>
        <w:rPr>
          <w:rFonts w:ascii="Times New Roman" w:hAnsi="Times New Roman"/>
          <w:kern w:val="0"/>
          <w:sz w:val="24"/>
          <w:szCs w:val="24"/>
        </w:rPr>
        <w:t xml:space="preserve"> </w:t>
      </w:r>
      <w:r>
        <w:rPr>
          <w:rFonts w:ascii="Times New Roman" w:hAnsi="Times New Roman"/>
          <w:kern w:val="0"/>
          <w:sz w:val="24"/>
          <w:szCs w:val="24"/>
        </w:rPr>
        <w:t>大气环境》（</w:t>
      </w:r>
      <w:r>
        <w:rPr>
          <w:rFonts w:ascii="Times New Roman" w:hAnsi="Times New Roman"/>
          <w:kern w:val="0"/>
          <w:sz w:val="24"/>
          <w:szCs w:val="24"/>
        </w:rPr>
        <w:t>HJ2.2-2018</w:t>
      </w:r>
      <w:r>
        <w:rPr>
          <w:rFonts w:ascii="Times New Roman" w:hAnsi="Times New Roman"/>
          <w:kern w:val="0"/>
          <w:sz w:val="24"/>
          <w:szCs w:val="24"/>
        </w:rPr>
        <w:t>）中附录</w:t>
      </w:r>
      <w:r>
        <w:rPr>
          <w:rFonts w:ascii="Times New Roman" w:hAnsi="Times New Roman"/>
          <w:kern w:val="0"/>
          <w:sz w:val="24"/>
          <w:szCs w:val="24"/>
        </w:rPr>
        <w:t>D</w:t>
      </w:r>
      <w:r>
        <w:rPr>
          <w:rFonts w:ascii="Times New Roman" w:hAnsi="Times New Roman"/>
          <w:kern w:val="0"/>
          <w:sz w:val="24"/>
          <w:szCs w:val="24"/>
        </w:rPr>
        <w:t>中其他污染物空气质量浓度参考限值。评价所用标准值见表</w:t>
      </w:r>
      <w:r>
        <w:rPr>
          <w:rFonts w:ascii="Times New Roman" w:hAnsi="Times New Roman"/>
          <w:kern w:val="0"/>
          <w:sz w:val="24"/>
          <w:szCs w:val="24"/>
        </w:rPr>
        <w:t>4.3-4</w:t>
      </w:r>
      <w:r>
        <w:rPr>
          <w:rFonts w:ascii="Times New Roman" w:hAnsi="Times New Roman"/>
          <w:kern w:val="0"/>
          <w:sz w:val="24"/>
          <w:szCs w:val="24"/>
        </w:rPr>
        <w:t>。</w:t>
      </w:r>
    </w:p>
    <w:p w:rsidR="00525419" w:rsidRDefault="00EE1CF7">
      <w:pPr>
        <w:spacing w:line="360" w:lineRule="auto"/>
        <w:ind w:firstLineChars="1000" w:firstLine="2100"/>
        <w:rPr>
          <w:rFonts w:ascii="Times New Roman" w:eastAsia="黑体" w:hAnsi="Times New Roman"/>
          <w:snapToGrid w:val="0"/>
          <w:kern w:val="0"/>
          <w:szCs w:val="21"/>
        </w:rPr>
      </w:pPr>
      <w:r>
        <w:rPr>
          <w:rFonts w:ascii="Times New Roman" w:eastAsia="黑体" w:hAnsi="Times New Roman"/>
          <w:snapToGrid w:val="0"/>
          <w:kern w:val="0"/>
          <w:szCs w:val="21"/>
        </w:rPr>
        <w:t>表</w:t>
      </w:r>
      <w:r>
        <w:rPr>
          <w:rFonts w:ascii="Times New Roman" w:eastAsia="黑体" w:hAnsi="Times New Roman"/>
          <w:snapToGrid w:val="0"/>
          <w:kern w:val="0"/>
          <w:szCs w:val="21"/>
        </w:rPr>
        <w:t xml:space="preserve">4.3-4   </w:t>
      </w:r>
      <w:r>
        <w:rPr>
          <w:rFonts w:ascii="Times New Roman" w:eastAsia="黑体" w:hAnsi="Times New Roman"/>
          <w:snapToGrid w:val="0"/>
          <w:kern w:val="0"/>
          <w:szCs w:val="21"/>
        </w:rPr>
        <w:t>大气环境质量现状评价所用标准值</w:t>
      </w:r>
    </w:p>
    <w:tbl>
      <w:tblPr>
        <w:tblW w:w="85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69"/>
        <w:gridCol w:w="1788"/>
        <w:gridCol w:w="1948"/>
        <w:gridCol w:w="3100"/>
      </w:tblGrid>
      <w:tr w:rsidR="00525419">
        <w:trPr>
          <w:trHeight w:val="397"/>
          <w:jc w:val="center"/>
        </w:trPr>
        <w:tc>
          <w:tcPr>
            <w:tcW w:w="1669"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污染物</w:t>
            </w:r>
          </w:p>
        </w:tc>
        <w:tc>
          <w:tcPr>
            <w:tcW w:w="1788"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取值时间</w:t>
            </w:r>
          </w:p>
        </w:tc>
        <w:tc>
          <w:tcPr>
            <w:tcW w:w="1948"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浓度限值</w:t>
            </w:r>
            <w:r>
              <w:rPr>
                <w:rFonts w:ascii="Times New Roman" w:hAnsi="Times New Roman"/>
                <w:kern w:val="0"/>
                <w:szCs w:val="24"/>
              </w:rPr>
              <w:t>(ug/m</w:t>
            </w:r>
            <w:r>
              <w:rPr>
                <w:rFonts w:ascii="Times New Roman" w:hAnsi="Times New Roman"/>
                <w:kern w:val="0"/>
                <w:szCs w:val="24"/>
                <w:vertAlign w:val="superscript"/>
              </w:rPr>
              <w:t>3</w:t>
            </w:r>
            <w:r>
              <w:rPr>
                <w:rFonts w:ascii="Times New Roman" w:hAnsi="Times New Roman"/>
                <w:kern w:val="0"/>
                <w:szCs w:val="24"/>
              </w:rPr>
              <w:t>)</w:t>
            </w:r>
          </w:p>
        </w:tc>
        <w:tc>
          <w:tcPr>
            <w:tcW w:w="3100"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标准来源</w:t>
            </w:r>
          </w:p>
        </w:tc>
      </w:tr>
      <w:tr w:rsidR="00525419">
        <w:trPr>
          <w:trHeight w:val="397"/>
          <w:jc w:val="center"/>
        </w:trPr>
        <w:tc>
          <w:tcPr>
            <w:tcW w:w="1669"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NMHC</w:t>
            </w:r>
          </w:p>
        </w:tc>
        <w:tc>
          <w:tcPr>
            <w:tcW w:w="1788"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一次值</w:t>
            </w:r>
          </w:p>
        </w:tc>
        <w:tc>
          <w:tcPr>
            <w:tcW w:w="1948"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hint="eastAsia"/>
                <w:kern w:val="0"/>
                <w:szCs w:val="24"/>
              </w:rPr>
              <w:t>2000</w:t>
            </w:r>
          </w:p>
        </w:tc>
        <w:tc>
          <w:tcPr>
            <w:tcW w:w="3100"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《大气污染物综合排放标准详解》</w:t>
            </w:r>
          </w:p>
        </w:tc>
      </w:tr>
      <w:tr w:rsidR="00525419">
        <w:trPr>
          <w:trHeight w:val="392"/>
          <w:jc w:val="center"/>
        </w:trPr>
        <w:tc>
          <w:tcPr>
            <w:tcW w:w="1669"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H</w:t>
            </w:r>
            <w:r>
              <w:rPr>
                <w:rFonts w:ascii="Times New Roman" w:hAnsi="Times New Roman"/>
                <w:kern w:val="0"/>
                <w:szCs w:val="24"/>
                <w:vertAlign w:val="subscript"/>
              </w:rPr>
              <w:t>2</w:t>
            </w:r>
            <w:r>
              <w:rPr>
                <w:rFonts w:ascii="Times New Roman" w:hAnsi="Times New Roman"/>
                <w:kern w:val="0"/>
                <w:szCs w:val="24"/>
              </w:rPr>
              <w:t>S</w:t>
            </w:r>
          </w:p>
        </w:tc>
        <w:tc>
          <w:tcPr>
            <w:tcW w:w="1788"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w:t>
            </w:r>
            <w:r>
              <w:rPr>
                <w:rFonts w:ascii="Times New Roman" w:hAnsi="Times New Roman"/>
                <w:kern w:val="0"/>
                <w:szCs w:val="24"/>
              </w:rPr>
              <w:t>小时平均</w:t>
            </w:r>
          </w:p>
        </w:tc>
        <w:tc>
          <w:tcPr>
            <w:tcW w:w="1948"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10</w:t>
            </w:r>
          </w:p>
        </w:tc>
        <w:tc>
          <w:tcPr>
            <w:tcW w:w="3100" w:type="dxa"/>
            <w:vMerge w:val="restart"/>
            <w:shd w:val="clear" w:color="auto" w:fill="auto"/>
            <w:vAlign w:val="center"/>
          </w:tcPr>
          <w:p w:rsidR="00525419" w:rsidRDefault="00EE1CF7">
            <w:pPr>
              <w:pStyle w:val="B2"/>
              <w:rPr>
                <w:rFonts w:cs="Times New Roman"/>
              </w:rPr>
            </w:pPr>
            <w:r>
              <w:rPr>
                <w:rFonts w:cs="Times New Roman"/>
              </w:rPr>
              <w:t>《环境影响评价技术导则</w:t>
            </w:r>
            <w:r>
              <w:rPr>
                <w:rFonts w:cs="Times New Roman"/>
              </w:rPr>
              <w:t xml:space="preserve"> </w:t>
            </w:r>
            <w:r>
              <w:rPr>
                <w:rFonts w:cs="Times New Roman"/>
              </w:rPr>
              <w:t>大气环境》（</w:t>
            </w:r>
            <w:r>
              <w:rPr>
                <w:rFonts w:cs="Times New Roman"/>
              </w:rPr>
              <w:t>HJ2.2-2018</w:t>
            </w:r>
            <w:r>
              <w:rPr>
                <w:rFonts w:cs="Times New Roman"/>
              </w:rPr>
              <w:t>）中附录</w:t>
            </w:r>
            <w:r>
              <w:rPr>
                <w:rFonts w:cs="Times New Roman"/>
              </w:rPr>
              <w:t>D</w:t>
            </w:r>
          </w:p>
        </w:tc>
      </w:tr>
      <w:tr w:rsidR="00525419">
        <w:trPr>
          <w:trHeight w:val="399"/>
          <w:jc w:val="center"/>
        </w:trPr>
        <w:tc>
          <w:tcPr>
            <w:tcW w:w="1669"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氨</w:t>
            </w:r>
          </w:p>
        </w:tc>
        <w:tc>
          <w:tcPr>
            <w:tcW w:w="1788"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w:t>
            </w:r>
            <w:r>
              <w:rPr>
                <w:rFonts w:ascii="Times New Roman" w:hAnsi="Times New Roman"/>
                <w:kern w:val="0"/>
                <w:szCs w:val="24"/>
              </w:rPr>
              <w:t>小时平均</w:t>
            </w:r>
          </w:p>
        </w:tc>
        <w:tc>
          <w:tcPr>
            <w:tcW w:w="1948"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200</w:t>
            </w:r>
          </w:p>
        </w:tc>
        <w:tc>
          <w:tcPr>
            <w:tcW w:w="3100" w:type="dxa"/>
            <w:vMerge/>
            <w:shd w:val="clear" w:color="auto" w:fill="auto"/>
            <w:vAlign w:val="center"/>
          </w:tcPr>
          <w:p w:rsidR="00525419" w:rsidRDefault="00525419">
            <w:pPr>
              <w:widowControl/>
              <w:jc w:val="center"/>
              <w:rPr>
                <w:rFonts w:ascii="Times New Roman" w:hAnsi="Times New Roman"/>
                <w:kern w:val="0"/>
                <w:szCs w:val="24"/>
              </w:rPr>
            </w:pPr>
          </w:p>
        </w:tc>
      </w:tr>
    </w:tbl>
    <w:p w:rsidR="00525419" w:rsidRDefault="00EE1CF7">
      <w:pPr>
        <w:spacing w:beforeLines="25" w:before="78" w:afterLines="25" w:after="78" w:line="360" w:lineRule="auto"/>
        <w:ind w:firstLineChars="200" w:firstLine="48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6</w:t>
      </w:r>
      <w:r>
        <w:rPr>
          <w:rFonts w:ascii="Times New Roman" w:hAnsi="Times New Roman"/>
          <w:kern w:val="0"/>
          <w:sz w:val="24"/>
          <w:szCs w:val="24"/>
        </w:rPr>
        <w:t>）评价方法</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采用单因子污染指数法，其单项参数</w:t>
      </w:r>
      <w:r>
        <w:rPr>
          <w:rFonts w:ascii="Times New Roman" w:hAnsi="Times New Roman"/>
          <w:kern w:val="0"/>
          <w:sz w:val="24"/>
          <w:szCs w:val="24"/>
        </w:rPr>
        <w:t>i</w:t>
      </w:r>
      <w:r>
        <w:rPr>
          <w:rFonts w:ascii="Times New Roman" w:hAnsi="Times New Roman"/>
          <w:kern w:val="0"/>
          <w:sz w:val="24"/>
          <w:szCs w:val="24"/>
        </w:rPr>
        <w:t>在第</w:t>
      </w:r>
      <w:r>
        <w:rPr>
          <w:rFonts w:ascii="Times New Roman" w:hAnsi="Times New Roman"/>
          <w:kern w:val="0"/>
          <w:sz w:val="24"/>
          <w:szCs w:val="24"/>
        </w:rPr>
        <w:t>j</w:t>
      </w:r>
      <w:r>
        <w:rPr>
          <w:rFonts w:ascii="Times New Roman" w:hAnsi="Times New Roman"/>
          <w:kern w:val="0"/>
          <w:sz w:val="24"/>
          <w:szCs w:val="24"/>
        </w:rPr>
        <w:t>点的标准指数为：</w:t>
      </w:r>
    </w:p>
    <w:p w:rsidR="00525419" w:rsidRDefault="00EE1CF7">
      <w:pPr>
        <w:widowControl/>
        <w:spacing w:line="360" w:lineRule="auto"/>
        <w:ind w:firstLineChars="200" w:firstLine="480"/>
        <w:jc w:val="center"/>
        <w:rPr>
          <w:rFonts w:ascii="Times New Roman" w:hAnsi="Times New Roman"/>
          <w:kern w:val="0"/>
          <w:sz w:val="24"/>
          <w:szCs w:val="24"/>
        </w:rPr>
      </w:pPr>
      <w:r>
        <w:rPr>
          <w:rFonts w:ascii="Times New Roman" w:hAnsi="Times New Roman"/>
          <w:kern w:val="0"/>
          <w:sz w:val="24"/>
          <w:szCs w:val="24"/>
        </w:rPr>
        <w:t>I</w:t>
      </w:r>
      <w:r>
        <w:rPr>
          <w:rFonts w:ascii="Times New Roman" w:hAnsi="Times New Roman"/>
          <w:kern w:val="0"/>
          <w:sz w:val="24"/>
          <w:szCs w:val="24"/>
          <w:vertAlign w:val="subscript"/>
        </w:rPr>
        <w:t>i</w:t>
      </w:r>
      <w:r>
        <w:rPr>
          <w:rFonts w:ascii="Times New Roman" w:hAnsi="Times New Roman"/>
          <w:kern w:val="0"/>
          <w:sz w:val="24"/>
          <w:szCs w:val="24"/>
        </w:rPr>
        <w:t>=C</w:t>
      </w:r>
      <w:r>
        <w:rPr>
          <w:rFonts w:ascii="Times New Roman" w:hAnsi="Times New Roman"/>
          <w:kern w:val="0"/>
          <w:sz w:val="24"/>
          <w:szCs w:val="24"/>
          <w:vertAlign w:val="subscript"/>
        </w:rPr>
        <w:t>i</w:t>
      </w:r>
      <w:r>
        <w:rPr>
          <w:rFonts w:ascii="Times New Roman" w:hAnsi="Times New Roman"/>
          <w:kern w:val="0"/>
          <w:sz w:val="24"/>
          <w:szCs w:val="24"/>
        </w:rPr>
        <w:t>/C</w:t>
      </w:r>
      <w:r>
        <w:rPr>
          <w:rFonts w:ascii="Times New Roman" w:hAnsi="Times New Roman"/>
          <w:kern w:val="0"/>
          <w:sz w:val="24"/>
          <w:szCs w:val="24"/>
          <w:vertAlign w:val="subscript"/>
        </w:rPr>
        <w:t>oi</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式中：</w:t>
      </w:r>
      <w:r>
        <w:rPr>
          <w:rFonts w:ascii="Times New Roman" w:hAnsi="Times New Roman"/>
          <w:kern w:val="0"/>
          <w:sz w:val="24"/>
          <w:szCs w:val="24"/>
        </w:rPr>
        <w:t>I</w:t>
      </w:r>
      <w:r>
        <w:rPr>
          <w:rFonts w:ascii="Times New Roman" w:hAnsi="Times New Roman"/>
          <w:kern w:val="0"/>
          <w:sz w:val="24"/>
          <w:szCs w:val="24"/>
          <w:vertAlign w:val="subscript"/>
        </w:rPr>
        <w:t>i</w:t>
      </w:r>
      <w:r>
        <w:rPr>
          <w:rFonts w:ascii="Times New Roman" w:hAnsi="Times New Roman"/>
          <w:kern w:val="0"/>
          <w:sz w:val="24"/>
          <w:szCs w:val="24"/>
        </w:rPr>
        <w:t>－</w:t>
      </w:r>
      <w:r>
        <w:rPr>
          <w:rFonts w:ascii="Times New Roman" w:hAnsi="Times New Roman"/>
          <w:kern w:val="0"/>
          <w:sz w:val="24"/>
          <w:szCs w:val="24"/>
        </w:rPr>
        <w:t>i</w:t>
      </w:r>
      <w:r>
        <w:rPr>
          <w:rFonts w:ascii="Times New Roman" w:hAnsi="Times New Roman"/>
          <w:kern w:val="0"/>
          <w:sz w:val="24"/>
          <w:szCs w:val="24"/>
        </w:rPr>
        <w:t>污染物的分指数</w:t>
      </w:r>
    </w:p>
    <w:p w:rsidR="00525419" w:rsidRDefault="00EE1CF7">
      <w:pPr>
        <w:widowControl/>
        <w:spacing w:line="360" w:lineRule="auto"/>
        <w:ind w:firstLineChars="500" w:firstLine="1200"/>
        <w:jc w:val="left"/>
        <w:rPr>
          <w:rFonts w:ascii="Times New Roman" w:hAnsi="Times New Roman"/>
          <w:kern w:val="0"/>
          <w:sz w:val="24"/>
          <w:szCs w:val="24"/>
        </w:rPr>
      </w:pPr>
      <w:r>
        <w:rPr>
          <w:rFonts w:ascii="Times New Roman" w:hAnsi="Times New Roman"/>
          <w:kern w:val="0"/>
          <w:sz w:val="24"/>
          <w:szCs w:val="24"/>
        </w:rPr>
        <w:t>C</w:t>
      </w:r>
      <w:r>
        <w:rPr>
          <w:rFonts w:ascii="Times New Roman" w:hAnsi="Times New Roman"/>
          <w:kern w:val="0"/>
          <w:sz w:val="24"/>
          <w:szCs w:val="24"/>
          <w:vertAlign w:val="subscript"/>
        </w:rPr>
        <w:t>i</w:t>
      </w:r>
      <w:r>
        <w:rPr>
          <w:rFonts w:ascii="Times New Roman" w:hAnsi="Times New Roman"/>
          <w:kern w:val="0"/>
          <w:sz w:val="24"/>
          <w:szCs w:val="24"/>
        </w:rPr>
        <w:t>－</w:t>
      </w:r>
      <w:r>
        <w:rPr>
          <w:rFonts w:ascii="Times New Roman" w:hAnsi="Times New Roman"/>
          <w:kern w:val="0"/>
          <w:sz w:val="24"/>
          <w:szCs w:val="24"/>
        </w:rPr>
        <w:t>i</w:t>
      </w:r>
      <w:r>
        <w:rPr>
          <w:rFonts w:ascii="Times New Roman" w:hAnsi="Times New Roman"/>
          <w:kern w:val="0"/>
          <w:sz w:val="24"/>
          <w:szCs w:val="24"/>
        </w:rPr>
        <w:t>污染物的浓度，</w:t>
      </w:r>
      <w:r>
        <w:rPr>
          <w:rFonts w:ascii="Times New Roman" w:hAnsi="Times New Roman"/>
          <w:kern w:val="0"/>
          <w:sz w:val="24"/>
          <w:szCs w:val="24"/>
        </w:rPr>
        <w:t>mg/m</w:t>
      </w:r>
      <w:r>
        <w:rPr>
          <w:rFonts w:ascii="Times New Roman" w:hAnsi="Times New Roman"/>
          <w:kern w:val="0"/>
          <w:sz w:val="24"/>
          <w:szCs w:val="24"/>
          <w:vertAlign w:val="superscript"/>
        </w:rPr>
        <w:t>3</w:t>
      </w:r>
    </w:p>
    <w:p w:rsidR="00525419" w:rsidRDefault="00EE1CF7">
      <w:pPr>
        <w:widowControl/>
        <w:spacing w:line="360" w:lineRule="auto"/>
        <w:ind w:firstLineChars="450" w:firstLine="1080"/>
        <w:jc w:val="left"/>
        <w:rPr>
          <w:rFonts w:ascii="Times New Roman" w:hAnsi="Times New Roman"/>
          <w:kern w:val="0"/>
          <w:sz w:val="24"/>
          <w:szCs w:val="24"/>
          <w:vertAlign w:val="superscript"/>
        </w:rPr>
      </w:pPr>
      <w:r>
        <w:rPr>
          <w:rFonts w:ascii="Times New Roman" w:hAnsi="Times New Roman"/>
          <w:kern w:val="0"/>
          <w:sz w:val="24"/>
          <w:szCs w:val="24"/>
        </w:rPr>
        <w:t>C</w:t>
      </w:r>
      <w:r>
        <w:rPr>
          <w:rFonts w:ascii="Times New Roman" w:hAnsi="Times New Roman"/>
          <w:kern w:val="0"/>
          <w:sz w:val="24"/>
          <w:szCs w:val="24"/>
          <w:vertAlign w:val="subscript"/>
        </w:rPr>
        <w:t>oi</w:t>
      </w:r>
      <w:r>
        <w:rPr>
          <w:rFonts w:ascii="Times New Roman" w:hAnsi="Times New Roman"/>
          <w:kern w:val="0"/>
          <w:sz w:val="24"/>
          <w:szCs w:val="24"/>
        </w:rPr>
        <w:t>－</w:t>
      </w:r>
      <w:r>
        <w:rPr>
          <w:rFonts w:ascii="Times New Roman" w:hAnsi="Times New Roman"/>
          <w:kern w:val="0"/>
          <w:sz w:val="24"/>
          <w:szCs w:val="24"/>
        </w:rPr>
        <w:t>i</w:t>
      </w:r>
      <w:r>
        <w:rPr>
          <w:rFonts w:ascii="Times New Roman" w:hAnsi="Times New Roman"/>
          <w:kern w:val="0"/>
          <w:sz w:val="24"/>
          <w:szCs w:val="24"/>
        </w:rPr>
        <w:t>污染物的评价标准，</w:t>
      </w:r>
      <w:r>
        <w:rPr>
          <w:rFonts w:ascii="Times New Roman" w:hAnsi="Times New Roman"/>
          <w:kern w:val="0"/>
          <w:sz w:val="24"/>
          <w:szCs w:val="24"/>
        </w:rPr>
        <w:t>mg/m</w:t>
      </w:r>
      <w:r>
        <w:rPr>
          <w:rFonts w:ascii="Times New Roman" w:hAnsi="Times New Roman"/>
          <w:kern w:val="0"/>
          <w:sz w:val="24"/>
          <w:szCs w:val="24"/>
          <w:vertAlign w:val="superscript"/>
        </w:rPr>
        <w:t>3</w:t>
      </w:r>
    </w:p>
    <w:p w:rsidR="00525419" w:rsidRDefault="00EE1CF7">
      <w:pPr>
        <w:widowControl/>
        <w:spacing w:line="360" w:lineRule="auto"/>
        <w:ind w:firstLineChars="200" w:firstLine="480"/>
        <w:jc w:val="left"/>
        <w:rPr>
          <w:rFonts w:ascii="Times New Roman" w:hAnsi="Times New Roman"/>
          <w:spacing w:val="-6"/>
          <w:kern w:val="0"/>
          <w:sz w:val="24"/>
          <w:szCs w:val="24"/>
          <w:lang w:eastAsia="zh-TW"/>
        </w:rPr>
      </w:pPr>
      <w:r>
        <w:rPr>
          <w:rFonts w:ascii="Times New Roman" w:hAnsi="Times New Roman"/>
          <w:kern w:val="0"/>
          <w:sz w:val="24"/>
          <w:szCs w:val="24"/>
        </w:rPr>
        <w:t>当</w:t>
      </w:r>
      <w:r>
        <w:rPr>
          <w:rFonts w:ascii="Times New Roman" w:hAnsi="Times New Roman"/>
          <w:kern w:val="0"/>
          <w:sz w:val="24"/>
          <w:szCs w:val="24"/>
        </w:rPr>
        <w:t>I</w:t>
      </w:r>
      <w:r>
        <w:rPr>
          <w:rFonts w:ascii="Times New Roman" w:hAnsi="Times New Roman"/>
          <w:kern w:val="0"/>
          <w:sz w:val="24"/>
          <w:szCs w:val="24"/>
          <w:vertAlign w:val="subscript"/>
        </w:rPr>
        <w:t>i</w:t>
      </w:r>
      <w:r>
        <w:rPr>
          <w:rFonts w:ascii="Times New Roman" w:hAnsi="Times New Roman"/>
          <w:kern w:val="0"/>
          <w:sz w:val="24"/>
          <w:szCs w:val="24"/>
        </w:rPr>
        <w:t>&gt;1</w:t>
      </w:r>
      <w:r>
        <w:rPr>
          <w:rFonts w:ascii="Times New Roman" w:hAnsi="Times New Roman"/>
          <w:kern w:val="0"/>
          <w:sz w:val="24"/>
          <w:szCs w:val="24"/>
        </w:rPr>
        <w:t>时，说明环境中</w:t>
      </w:r>
      <w:r>
        <w:rPr>
          <w:rFonts w:ascii="Times New Roman" w:hAnsi="Times New Roman"/>
          <w:kern w:val="0"/>
          <w:sz w:val="24"/>
          <w:szCs w:val="24"/>
        </w:rPr>
        <w:t>i</w:t>
      </w:r>
      <w:r>
        <w:rPr>
          <w:rFonts w:ascii="Times New Roman" w:hAnsi="Times New Roman"/>
          <w:kern w:val="0"/>
          <w:sz w:val="24"/>
          <w:szCs w:val="24"/>
        </w:rPr>
        <w:t>污染物含量超过标准值，当</w:t>
      </w:r>
      <w:r>
        <w:rPr>
          <w:rFonts w:ascii="Times New Roman" w:hAnsi="Times New Roman"/>
          <w:kern w:val="0"/>
          <w:sz w:val="24"/>
          <w:szCs w:val="24"/>
        </w:rPr>
        <w:t>I</w:t>
      </w:r>
      <w:r>
        <w:rPr>
          <w:rFonts w:ascii="Times New Roman" w:hAnsi="Times New Roman"/>
          <w:kern w:val="0"/>
          <w:sz w:val="24"/>
          <w:szCs w:val="24"/>
          <w:vertAlign w:val="subscript"/>
        </w:rPr>
        <w:t>i</w:t>
      </w:r>
      <w:r>
        <w:rPr>
          <w:rFonts w:ascii="Times New Roman" w:hAnsi="Times New Roman"/>
          <w:kern w:val="0"/>
          <w:sz w:val="24"/>
          <w:szCs w:val="24"/>
        </w:rPr>
        <w:t>&lt;1</w:t>
      </w:r>
      <w:r>
        <w:rPr>
          <w:rFonts w:ascii="Times New Roman" w:hAnsi="Times New Roman"/>
          <w:kern w:val="0"/>
          <w:sz w:val="24"/>
          <w:szCs w:val="24"/>
        </w:rPr>
        <w:t>时，则说明</w:t>
      </w:r>
      <w:r>
        <w:rPr>
          <w:rFonts w:ascii="Times New Roman" w:hAnsi="Times New Roman"/>
          <w:kern w:val="0"/>
          <w:sz w:val="24"/>
          <w:szCs w:val="24"/>
        </w:rPr>
        <w:t>i</w:t>
      </w:r>
      <w:r>
        <w:rPr>
          <w:rFonts w:ascii="Times New Roman" w:hAnsi="Times New Roman"/>
          <w:kern w:val="0"/>
          <w:sz w:val="24"/>
          <w:szCs w:val="24"/>
        </w:rPr>
        <w:t>污染物符合标准。某污染物的</w:t>
      </w:r>
      <w:r>
        <w:rPr>
          <w:rFonts w:ascii="Times New Roman" w:hAnsi="Times New Roman"/>
          <w:kern w:val="0"/>
          <w:sz w:val="24"/>
          <w:szCs w:val="24"/>
        </w:rPr>
        <w:t>I</w:t>
      </w:r>
      <w:r>
        <w:rPr>
          <w:rFonts w:ascii="Times New Roman" w:hAnsi="Times New Roman"/>
          <w:kern w:val="0"/>
          <w:sz w:val="24"/>
          <w:szCs w:val="24"/>
          <w:vertAlign w:val="subscript"/>
        </w:rPr>
        <w:t>i</w:t>
      </w:r>
      <w:r>
        <w:rPr>
          <w:rFonts w:ascii="Times New Roman" w:hAnsi="Times New Roman"/>
          <w:kern w:val="0"/>
          <w:sz w:val="24"/>
          <w:szCs w:val="24"/>
        </w:rPr>
        <w:t>值越大，则污染相对越严重。</w:t>
      </w:r>
    </w:p>
    <w:p w:rsidR="00525419" w:rsidRDefault="00EE1CF7">
      <w:pPr>
        <w:spacing w:beforeLines="25" w:before="78" w:afterLines="25" w:after="78" w:line="360" w:lineRule="auto"/>
        <w:ind w:firstLineChars="200" w:firstLine="48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7</w:t>
      </w:r>
      <w:r>
        <w:rPr>
          <w:rFonts w:ascii="Times New Roman" w:hAnsi="Times New Roman"/>
          <w:kern w:val="0"/>
          <w:sz w:val="24"/>
          <w:szCs w:val="24"/>
        </w:rPr>
        <w:t>）监测结果统计</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项目区特征污染物现状监测结果见表</w:t>
      </w:r>
      <w:r>
        <w:rPr>
          <w:rFonts w:ascii="Times New Roman" w:hAnsi="Times New Roman"/>
          <w:kern w:val="0"/>
          <w:sz w:val="24"/>
          <w:szCs w:val="24"/>
        </w:rPr>
        <w:t>4.3-5</w:t>
      </w:r>
      <w:r>
        <w:rPr>
          <w:rFonts w:ascii="Times New Roman" w:hAnsi="Times New Roman"/>
          <w:kern w:val="0"/>
          <w:sz w:val="24"/>
          <w:szCs w:val="24"/>
        </w:rPr>
        <w:t>。</w:t>
      </w:r>
    </w:p>
    <w:p w:rsidR="00525419" w:rsidRDefault="00EE1CF7">
      <w:pPr>
        <w:widowControl/>
        <w:adjustRightInd w:val="0"/>
        <w:snapToGrid w:val="0"/>
        <w:spacing w:before="120"/>
        <w:jc w:val="center"/>
        <w:rPr>
          <w:rFonts w:ascii="Times New Roman" w:eastAsia="黑体" w:hAnsi="Times New Roman"/>
          <w:bCs/>
          <w:snapToGrid w:val="0"/>
          <w:kern w:val="0"/>
          <w:szCs w:val="21"/>
        </w:rPr>
      </w:pPr>
      <w:r>
        <w:rPr>
          <w:rFonts w:ascii="Times New Roman" w:eastAsia="黑体" w:hAnsi="Times New Roman"/>
          <w:bCs/>
          <w:snapToGrid w:val="0"/>
          <w:kern w:val="0"/>
          <w:szCs w:val="21"/>
        </w:rPr>
        <w:t>表</w:t>
      </w:r>
      <w:r>
        <w:rPr>
          <w:rFonts w:ascii="Times New Roman" w:eastAsia="黑体" w:hAnsi="Times New Roman"/>
          <w:bCs/>
          <w:snapToGrid w:val="0"/>
          <w:kern w:val="0"/>
          <w:szCs w:val="21"/>
        </w:rPr>
        <w:t xml:space="preserve">4.3-5   </w:t>
      </w:r>
      <w:r>
        <w:rPr>
          <w:rFonts w:ascii="Times New Roman" w:eastAsia="黑体" w:hAnsi="Times New Roman"/>
          <w:bCs/>
          <w:snapToGrid w:val="0"/>
          <w:kern w:val="0"/>
          <w:szCs w:val="21"/>
        </w:rPr>
        <w:t>特征污染物环境质量现状（监测结果）表</w:t>
      </w:r>
    </w:p>
    <w:tbl>
      <w:tblPr>
        <w:tblW w:w="85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98"/>
        <w:gridCol w:w="843"/>
        <w:gridCol w:w="843"/>
        <w:gridCol w:w="1181"/>
        <w:gridCol w:w="1619"/>
        <w:gridCol w:w="1113"/>
        <w:gridCol w:w="1089"/>
        <w:gridCol w:w="957"/>
      </w:tblGrid>
      <w:tr w:rsidR="00525419">
        <w:trPr>
          <w:trHeight w:val="602"/>
          <w:jc w:val="center"/>
        </w:trPr>
        <w:tc>
          <w:tcPr>
            <w:tcW w:w="898"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监测</w:t>
            </w:r>
          </w:p>
          <w:p w:rsidR="00525419" w:rsidRDefault="00EE1CF7">
            <w:pPr>
              <w:widowControl/>
              <w:jc w:val="center"/>
              <w:rPr>
                <w:rFonts w:ascii="Times New Roman" w:hAnsi="Times New Roman"/>
                <w:kern w:val="0"/>
                <w:szCs w:val="24"/>
              </w:rPr>
            </w:pPr>
            <w:r>
              <w:rPr>
                <w:rFonts w:ascii="Times New Roman" w:hAnsi="Times New Roman"/>
                <w:kern w:val="0"/>
                <w:szCs w:val="24"/>
              </w:rPr>
              <w:t>点位</w:t>
            </w:r>
          </w:p>
        </w:tc>
        <w:tc>
          <w:tcPr>
            <w:tcW w:w="84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污染物</w:t>
            </w:r>
          </w:p>
        </w:tc>
        <w:tc>
          <w:tcPr>
            <w:tcW w:w="84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平均</w:t>
            </w:r>
          </w:p>
          <w:p w:rsidR="00525419" w:rsidRDefault="00EE1CF7">
            <w:pPr>
              <w:widowControl/>
              <w:jc w:val="center"/>
              <w:rPr>
                <w:rFonts w:ascii="Times New Roman" w:hAnsi="Times New Roman"/>
                <w:kern w:val="0"/>
                <w:szCs w:val="24"/>
              </w:rPr>
            </w:pPr>
            <w:r>
              <w:rPr>
                <w:rFonts w:ascii="Times New Roman" w:hAnsi="Times New Roman"/>
                <w:kern w:val="0"/>
                <w:szCs w:val="24"/>
              </w:rPr>
              <w:t>时间</w:t>
            </w:r>
          </w:p>
        </w:tc>
        <w:tc>
          <w:tcPr>
            <w:tcW w:w="118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评价标准</w:t>
            </w:r>
          </w:p>
          <w:p w:rsidR="00525419" w:rsidRDefault="00EE1CF7">
            <w:pPr>
              <w:widowControl/>
              <w:jc w:val="center"/>
              <w:rPr>
                <w:rFonts w:ascii="Times New Roman" w:hAnsi="Times New Roman"/>
                <w:kern w:val="0"/>
                <w:szCs w:val="24"/>
              </w:rPr>
            </w:pPr>
            <w:r>
              <w:rPr>
                <w:rFonts w:ascii="Times New Roman" w:hAnsi="Times New Roman"/>
                <w:kern w:val="0"/>
                <w:szCs w:val="24"/>
              </w:rPr>
              <w:t>mg/Nm</w:t>
            </w:r>
            <w:r>
              <w:rPr>
                <w:rFonts w:ascii="Times New Roman" w:hAnsi="Times New Roman"/>
                <w:kern w:val="0"/>
                <w:szCs w:val="24"/>
                <w:vertAlign w:val="superscript"/>
              </w:rPr>
              <w:t>3</w:t>
            </w:r>
          </w:p>
        </w:tc>
        <w:tc>
          <w:tcPr>
            <w:tcW w:w="161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监测浓度范围</w:t>
            </w:r>
          </w:p>
          <w:p w:rsidR="00525419" w:rsidRDefault="00EE1CF7">
            <w:pPr>
              <w:widowControl/>
              <w:jc w:val="center"/>
              <w:rPr>
                <w:rFonts w:ascii="Times New Roman" w:hAnsi="Times New Roman"/>
                <w:kern w:val="0"/>
                <w:szCs w:val="24"/>
              </w:rPr>
            </w:pPr>
            <w:r>
              <w:rPr>
                <w:rFonts w:ascii="Times New Roman" w:hAnsi="Times New Roman"/>
                <w:kern w:val="0"/>
                <w:szCs w:val="24"/>
              </w:rPr>
              <w:t>mg/Nm</w:t>
            </w:r>
            <w:r>
              <w:rPr>
                <w:rFonts w:ascii="Times New Roman" w:hAnsi="Times New Roman"/>
                <w:kern w:val="0"/>
                <w:szCs w:val="24"/>
                <w:vertAlign w:val="superscript"/>
              </w:rPr>
              <w:t>3</w:t>
            </w:r>
          </w:p>
        </w:tc>
        <w:tc>
          <w:tcPr>
            <w:tcW w:w="111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最大浓度占标率</w:t>
            </w:r>
            <w:r>
              <w:rPr>
                <w:rFonts w:ascii="Times New Roman" w:hAnsi="Times New Roman"/>
                <w:kern w:val="0"/>
                <w:szCs w:val="24"/>
              </w:rPr>
              <w:t>%</w:t>
            </w:r>
          </w:p>
        </w:tc>
        <w:tc>
          <w:tcPr>
            <w:tcW w:w="108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超标率</w:t>
            </w:r>
            <w:r>
              <w:rPr>
                <w:rFonts w:ascii="Times New Roman" w:hAnsi="Times New Roman"/>
                <w:kern w:val="0"/>
                <w:szCs w:val="24"/>
              </w:rPr>
              <w:t>%</w:t>
            </w:r>
          </w:p>
        </w:tc>
        <w:tc>
          <w:tcPr>
            <w:tcW w:w="95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达标</w:t>
            </w:r>
          </w:p>
          <w:p w:rsidR="00525419" w:rsidRDefault="00EE1CF7">
            <w:pPr>
              <w:widowControl/>
              <w:jc w:val="center"/>
              <w:rPr>
                <w:rFonts w:ascii="Times New Roman" w:hAnsi="Times New Roman"/>
                <w:kern w:val="0"/>
                <w:szCs w:val="24"/>
              </w:rPr>
            </w:pPr>
            <w:r>
              <w:rPr>
                <w:rFonts w:ascii="Times New Roman" w:hAnsi="Times New Roman"/>
                <w:kern w:val="0"/>
                <w:szCs w:val="24"/>
              </w:rPr>
              <w:t>情况</w:t>
            </w:r>
          </w:p>
        </w:tc>
      </w:tr>
      <w:tr w:rsidR="00525419">
        <w:trPr>
          <w:trHeight w:val="397"/>
          <w:jc w:val="center"/>
        </w:trPr>
        <w:tc>
          <w:tcPr>
            <w:tcW w:w="898"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项目区</w:t>
            </w:r>
            <w:r>
              <w:rPr>
                <w:rFonts w:ascii="Times New Roman" w:hAnsi="Times New Roman"/>
                <w:kern w:val="0"/>
                <w:szCs w:val="24"/>
              </w:rPr>
              <w:t>1#</w:t>
            </w:r>
          </w:p>
        </w:tc>
        <w:tc>
          <w:tcPr>
            <w:tcW w:w="84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NMHC</w:t>
            </w:r>
          </w:p>
        </w:tc>
        <w:tc>
          <w:tcPr>
            <w:tcW w:w="84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一次值</w:t>
            </w:r>
          </w:p>
        </w:tc>
        <w:tc>
          <w:tcPr>
            <w:tcW w:w="118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w:t>
            </w:r>
          </w:p>
        </w:tc>
        <w:tc>
          <w:tcPr>
            <w:tcW w:w="161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0.47-0.59</w:t>
            </w:r>
          </w:p>
        </w:tc>
        <w:tc>
          <w:tcPr>
            <w:tcW w:w="111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0.3</w:t>
            </w:r>
          </w:p>
        </w:tc>
        <w:tc>
          <w:tcPr>
            <w:tcW w:w="1089" w:type="dxa"/>
            <w:vAlign w:val="center"/>
          </w:tcPr>
          <w:p w:rsidR="00525419" w:rsidRDefault="00EE1CF7">
            <w:pPr>
              <w:jc w:val="center"/>
              <w:rPr>
                <w:rFonts w:ascii="Times New Roman" w:hAnsi="Times New Roman"/>
                <w:szCs w:val="24"/>
              </w:rPr>
            </w:pPr>
            <w:r>
              <w:rPr>
                <w:rFonts w:ascii="Times New Roman" w:hAnsi="Times New Roman"/>
                <w:szCs w:val="24"/>
              </w:rPr>
              <w:t>0</w:t>
            </w:r>
          </w:p>
        </w:tc>
        <w:tc>
          <w:tcPr>
            <w:tcW w:w="957" w:type="dxa"/>
            <w:vAlign w:val="center"/>
          </w:tcPr>
          <w:p w:rsidR="00525419" w:rsidRDefault="00EE1CF7">
            <w:pPr>
              <w:jc w:val="center"/>
              <w:rPr>
                <w:rFonts w:ascii="Times New Roman" w:hAnsi="Times New Roman"/>
                <w:szCs w:val="24"/>
              </w:rPr>
            </w:pPr>
            <w:r>
              <w:rPr>
                <w:rFonts w:ascii="Times New Roman" w:hAnsi="Times New Roman"/>
                <w:szCs w:val="24"/>
              </w:rPr>
              <w:t>达标</w:t>
            </w:r>
          </w:p>
        </w:tc>
      </w:tr>
      <w:tr w:rsidR="00525419">
        <w:trPr>
          <w:trHeight w:val="397"/>
          <w:jc w:val="center"/>
        </w:trPr>
        <w:tc>
          <w:tcPr>
            <w:tcW w:w="898" w:type="dxa"/>
            <w:vMerge/>
            <w:vAlign w:val="center"/>
          </w:tcPr>
          <w:p w:rsidR="00525419" w:rsidRDefault="00525419">
            <w:pPr>
              <w:widowControl/>
              <w:jc w:val="center"/>
              <w:rPr>
                <w:rFonts w:ascii="Times New Roman" w:hAnsi="Times New Roman"/>
                <w:kern w:val="0"/>
                <w:szCs w:val="24"/>
              </w:rPr>
            </w:pPr>
          </w:p>
        </w:tc>
        <w:tc>
          <w:tcPr>
            <w:tcW w:w="84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H</w:t>
            </w:r>
            <w:r>
              <w:rPr>
                <w:rFonts w:ascii="Times New Roman" w:hAnsi="Times New Roman"/>
                <w:kern w:val="0"/>
                <w:szCs w:val="24"/>
                <w:vertAlign w:val="subscript"/>
              </w:rPr>
              <w:t>2</w:t>
            </w:r>
            <w:r>
              <w:rPr>
                <w:rFonts w:ascii="Times New Roman" w:hAnsi="Times New Roman"/>
                <w:kern w:val="0"/>
                <w:szCs w:val="24"/>
              </w:rPr>
              <w:t>S</w:t>
            </w:r>
          </w:p>
        </w:tc>
        <w:tc>
          <w:tcPr>
            <w:tcW w:w="84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一次值</w:t>
            </w:r>
          </w:p>
        </w:tc>
        <w:tc>
          <w:tcPr>
            <w:tcW w:w="118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0.01</w:t>
            </w:r>
          </w:p>
        </w:tc>
        <w:tc>
          <w:tcPr>
            <w:tcW w:w="161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0.005-0.009</w:t>
            </w:r>
          </w:p>
        </w:tc>
        <w:tc>
          <w:tcPr>
            <w:tcW w:w="111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0.9</w:t>
            </w:r>
          </w:p>
        </w:tc>
        <w:tc>
          <w:tcPr>
            <w:tcW w:w="1089" w:type="dxa"/>
            <w:vAlign w:val="center"/>
          </w:tcPr>
          <w:p w:rsidR="00525419" w:rsidRDefault="00EE1CF7">
            <w:pPr>
              <w:jc w:val="center"/>
              <w:rPr>
                <w:rFonts w:ascii="Times New Roman" w:hAnsi="Times New Roman"/>
                <w:szCs w:val="24"/>
              </w:rPr>
            </w:pPr>
            <w:r>
              <w:rPr>
                <w:rFonts w:ascii="Times New Roman" w:hAnsi="Times New Roman"/>
                <w:szCs w:val="24"/>
              </w:rPr>
              <w:t>0</w:t>
            </w:r>
          </w:p>
        </w:tc>
        <w:tc>
          <w:tcPr>
            <w:tcW w:w="957" w:type="dxa"/>
            <w:vAlign w:val="center"/>
          </w:tcPr>
          <w:p w:rsidR="00525419" w:rsidRDefault="00EE1CF7">
            <w:pPr>
              <w:jc w:val="center"/>
              <w:rPr>
                <w:rFonts w:ascii="Times New Roman" w:hAnsi="Times New Roman"/>
                <w:szCs w:val="24"/>
              </w:rPr>
            </w:pPr>
            <w:r>
              <w:rPr>
                <w:rFonts w:ascii="Times New Roman" w:hAnsi="Times New Roman"/>
                <w:szCs w:val="24"/>
              </w:rPr>
              <w:t>达标</w:t>
            </w:r>
          </w:p>
        </w:tc>
      </w:tr>
      <w:tr w:rsidR="00525419">
        <w:trPr>
          <w:trHeight w:val="397"/>
          <w:jc w:val="center"/>
        </w:trPr>
        <w:tc>
          <w:tcPr>
            <w:tcW w:w="898" w:type="dxa"/>
            <w:vMerge/>
            <w:vAlign w:val="center"/>
          </w:tcPr>
          <w:p w:rsidR="00525419" w:rsidRDefault="00525419">
            <w:pPr>
              <w:widowControl/>
              <w:jc w:val="center"/>
              <w:rPr>
                <w:rFonts w:ascii="Times New Roman" w:hAnsi="Times New Roman"/>
                <w:kern w:val="0"/>
                <w:szCs w:val="24"/>
              </w:rPr>
            </w:pPr>
          </w:p>
        </w:tc>
        <w:tc>
          <w:tcPr>
            <w:tcW w:w="84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氨</w:t>
            </w:r>
          </w:p>
        </w:tc>
        <w:tc>
          <w:tcPr>
            <w:tcW w:w="84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一次值</w:t>
            </w:r>
          </w:p>
        </w:tc>
        <w:tc>
          <w:tcPr>
            <w:tcW w:w="118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0.2</w:t>
            </w:r>
          </w:p>
        </w:tc>
        <w:tc>
          <w:tcPr>
            <w:tcW w:w="161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0.10-0.16</w:t>
            </w:r>
          </w:p>
        </w:tc>
        <w:tc>
          <w:tcPr>
            <w:tcW w:w="111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0.8</w:t>
            </w:r>
          </w:p>
        </w:tc>
        <w:tc>
          <w:tcPr>
            <w:tcW w:w="1089" w:type="dxa"/>
            <w:vAlign w:val="center"/>
          </w:tcPr>
          <w:p w:rsidR="00525419" w:rsidRDefault="00EE1CF7">
            <w:pPr>
              <w:jc w:val="center"/>
              <w:rPr>
                <w:rFonts w:ascii="Times New Roman" w:hAnsi="Times New Roman"/>
                <w:szCs w:val="24"/>
              </w:rPr>
            </w:pPr>
            <w:r>
              <w:rPr>
                <w:rFonts w:ascii="Times New Roman" w:hAnsi="Times New Roman"/>
                <w:szCs w:val="24"/>
              </w:rPr>
              <w:t>0</w:t>
            </w:r>
          </w:p>
        </w:tc>
        <w:tc>
          <w:tcPr>
            <w:tcW w:w="957" w:type="dxa"/>
            <w:vAlign w:val="center"/>
          </w:tcPr>
          <w:p w:rsidR="00525419" w:rsidRDefault="00EE1CF7">
            <w:pPr>
              <w:jc w:val="center"/>
              <w:rPr>
                <w:rFonts w:ascii="Times New Roman" w:hAnsi="Times New Roman"/>
                <w:szCs w:val="24"/>
              </w:rPr>
            </w:pPr>
            <w:r>
              <w:rPr>
                <w:rFonts w:ascii="Times New Roman" w:hAnsi="Times New Roman"/>
                <w:szCs w:val="24"/>
              </w:rPr>
              <w:t>达标</w:t>
            </w:r>
          </w:p>
        </w:tc>
      </w:tr>
      <w:tr w:rsidR="00525419">
        <w:trPr>
          <w:trHeight w:val="90"/>
          <w:jc w:val="center"/>
        </w:trPr>
        <w:tc>
          <w:tcPr>
            <w:tcW w:w="898"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lastRenderedPageBreak/>
              <w:t>项目区下风向</w:t>
            </w:r>
            <w:r>
              <w:rPr>
                <w:rFonts w:ascii="Times New Roman" w:hAnsi="Times New Roman"/>
                <w:kern w:val="0"/>
                <w:szCs w:val="24"/>
              </w:rPr>
              <w:t>2#</w:t>
            </w:r>
          </w:p>
        </w:tc>
        <w:tc>
          <w:tcPr>
            <w:tcW w:w="84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NMHC</w:t>
            </w:r>
          </w:p>
        </w:tc>
        <w:tc>
          <w:tcPr>
            <w:tcW w:w="84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一次值</w:t>
            </w:r>
          </w:p>
        </w:tc>
        <w:tc>
          <w:tcPr>
            <w:tcW w:w="118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w:t>
            </w:r>
          </w:p>
        </w:tc>
        <w:tc>
          <w:tcPr>
            <w:tcW w:w="161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0.89-1.06</w:t>
            </w:r>
          </w:p>
        </w:tc>
        <w:tc>
          <w:tcPr>
            <w:tcW w:w="111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0.53</w:t>
            </w:r>
          </w:p>
        </w:tc>
        <w:tc>
          <w:tcPr>
            <w:tcW w:w="1089" w:type="dxa"/>
            <w:vAlign w:val="center"/>
          </w:tcPr>
          <w:p w:rsidR="00525419" w:rsidRDefault="00EE1CF7">
            <w:pPr>
              <w:jc w:val="center"/>
              <w:rPr>
                <w:rFonts w:ascii="Times New Roman" w:hAnsi="Times New Roman"/>
                <w:szCs w:val="24"/>
              </w:rPr>
            </w:pPr>
            <w:r>
              <w:rPr>
                <w:rFonts w:ascii="Times New Roman" w:hAnsi="Times New Roman"/>
                <w:szCs w:val="24"/>
              </w:rPr>
              <w:t>0</w:t>
            </w:r>
          </w:p>
        </w:tc>
        <w:tc>
          <w:tcPr>
            <w:tcW w:w="957" w:type="dxa"/>
            <w:vAlign w:val="center"/>
          </w:tcPr>
          <w:p w:rsidR="00525419" w:rsidRDefault="00EE1CF7">
            <w:pPr>
              <w:jc w:val="center"/>
              <w:rPr>
                <w:rFonts w:ascii="Times New Roman" w:hAnsi="Times New Roman"/>
                <w:szCs w:val="24"/>
              </w:rPr>
            </w:pPr>
            <w:r>
              <w:rPr>
                <w:rFonts w:ascii="Times New Roman" w:hAnsi="Times New Roman"/>
                <w:szCs w:val="24"/>
              </w:rPr>
              <w:t>达标</w:t>
            </w:r>
          </w:p>
        </w:tc>
      </w:tr>
      <w:tr w:rsidR="00525419">
        <w:trPr>
          <w:trHeight w:val="375"/>
          <w:jc w:val="center"/>
        </w:trPr>
        <w:tc>
          <w:tcPr>
            <w:tcW w:w="898" w:type="dxa"/>
            <w:vMerge/>
            <w:vAlign w:val="center"/>
          </w:tcPr>
          <w:p w:rsidR="00525419" w:rsidRDefault="00525419">
            <w:pPr>
              <w:widowControl/>
              <w:jc w:val="center"/>
              <w:rPr>
                <w:rFonts w:ascii="Times New Roman" w:hAnsi="Times New Roman"/>
                <w:kern w:val="0"/>
                <w:szCs w:val="24"/>
              </w:rPr>
            </w:pPr>
          </w:p>
        </w:tc>
        <w:tc>
          <w:tcPr>
            <w:tcW w:w="84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H</w:t>
            </w:r>
            <w:r>
              <w:rPr>
                <w:rFonts w:ascii="Times New Roman" w:hAnsi="Times New Roman"/>
                <w:kern w:val="0"/>
                <w:szCs w:val="24"/>
                <w:vertAlign w:val="subscript"/>
              </w:rPr>
              <w:t>2</w:t>
            </w:r>
            <w:r>
              <w:rPr>
                <w:rFonts w:ascii="Times New Roman" w:hAnsi="Times New Roman"/>
                <w:kern w:val="0"/>
                <w:szCs w:val="24"/>
              </w:rPr>
              <w:t>S</w:t>
            </w:r>
          </w:p>
        </w:tc>
        <w:tc>
          <w:tcPr>
            <w:tcW w:w="84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一次值</w:t>
            </w:r>
          </w:p>
        </w:tc>
        <w:tc>
          <w:tcPr>
            <w:tcW w:w="118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0.01</w:t>
            </w:r>
          </w:p>
        </w:tc>
        <w:tc>
          <w:tcPr>
            <w:tcW w:w="161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0.005-0.009</w:t>
            </w:r>
          </w:p>
        </w:tc>
        <w:tc>
          <w:tcPr>
            <w:tcW w:w="111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0.9</w:t>
            </w:r>
          </w:p>
        </w:tc>
        <w:tc>
          <w:tcPr>
            <w:tcW w:w="1089" w:type="dxa"/>
            <w:vAlign w:val="center"/>
          </w:tcPr>
          <w:p w:rsidR="00525419" w:rsidRDefault="00EE1CF7">
            <w:pPr>
              <w:jc w:val="center"/>
              <w:rPr>
                <w:rFonts w:ascii="Times New Roman" w:hAnsi="Times New Roman"/>
                <w:szCs w:val="24"/>
              </w:rPr>
            </w:pPr>
            <w:r>
              <w:rPr>
                <w:rFonts w:ascii="Times New Roman" w:hAnsi="Times New Roman"/>
                <w:szCs w:val="24"/>
              </w:rPr>
              <w:t>0</w:t>
            </w:r>
          </w:p>
        </w:tc>
        <w:tc>
          <w:tcPr>
            <w:tcW w:w="957" w:type="dxa"/>
            <w:vAlign w:val="center"/>
          </w:tcPr>
          <w:p w:rsidR="00525419" w:rsidRDefault="00EE1CF7">
            <w:pPr>
              <w:jc w:val="center"/>
              <w:rPr>
                <w:rFonts w:ascii="Times New Roman" w:hAnsi="Times New Roman"/>
                <w:szCs w:val="24"/>
              </w:rPr>
            </w:pPr>
            <w:r>
              <w:rPr>
                <w:rFonts w:ascii="Times New Roman" w:hAnsi="Times New Roman"/>
                <w:szCs w:val="24"/>
              </w:rPr>
              <w:t>达标</w:t>
            </w:r>
          </w:p>
        </w:tc>
      </w:tr>
      <w:tr w:rsidR="00525419">
        <w:trPr>
          <w:trHeight w:val="397"/>
          <w:jc w:val="center"/>
        </w:trPr>
        <w:tc>
          <w:tcPr>
            <w:tcW w:w="898" w:type="dxa"/>
            <w:vMerge/>
            <w:vAlign w:val="center"/>
          </w:tcPr>
          <w:p w:rsidR="00525419" w:rsidRDefault="00525419">
            <w:pPr>
              <w:widowControl/>
              <w:jc w:val="center"/>
              <w:rPr>
                <w:rFonts w:ascii="Times New Roman" w:hAnsi="Times New Roman"/>
                <w:kern w:val="0"/>
                <w:szCs w:val="24"/>
              </w:rPr>
            </w:pPr>
          </w:p>
        </w:tc>
        <w:tc>
          <w:tcPr>
            <w:tcW w:w="84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氨</w:t>
            </w:r>
          </w:p>
        </w:tc>
        <w:tc>
          <w:tcPr>
            <w:tcW w:w="84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一次值</w:t>
            </w:r>
          </w:p>
        </w:tc>
        <w:tc>
          <w:tcPr>
            <w:tcW w:w="118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0.2</w:t>
            </w:r>
          </w:p>
        </w:tc>
        <w:tc>
          <w:tcPr>
            <w:tcW w:w="161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0.09-0.17</w:t>
            </w:r>
          </w:p>
        </w:tc>
        <w:tc>
          <w:tcPr>
            <w:tcW w:w="111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0.85</w:t>
            </w:r>
          </w:p>
        </w:tc>
        <w:tc>
          <w:tcPr>
            <w:tcW w:w="1089" w:type="dxa"/>
            <w:vAlign w:val="center"/>
          </w:tcPr>
          <w:p w:rsidR="00525419" w:rsidRDefault="00EE1CF7">
            <w:pPr>
              <w:jc w:val="center"/>
              <w:rPr>
                <w:rFonts w:ascii="Times New Roman" w:hAnsi="Times New Roman"/>
                <w:szCs w:val="24"/>
              </w:rPr>
            </w:pPr>
            <w:r>
              <w:rPr>
                <w:rFonts w:ascii="Times New Roman" w:hAnsi="Times New Roman"/>
                <w:szCs w:val="24"/>
              </w:rPr>
              <w:t>0</w:t>
            </w:r>
          </w:p>
        </w:tc>
        <w:tc>
          <w:tcPr>
            <w:tcW w:w="957" w:type="dxa"/>
            <w:vAlign w:val="center"/>
          </w:tcPr>
          <w:p w:rsidR="00525419" w:rsidRDefault="00EE1CF7">
            <w:pPr>
              <w:jc w:val="center"/>
              <w:rPr>
                <w:rFonts w:ascii="Times New Roman" w:hAnsi="Times New Roman"/>
                <w:szCs w:val="24"/>
              </w:rPr>
            </w:pPr>
            <w:r>
              <w:rPr>
                <w:rFonts w:ascii="Times New Roman" w:hAnsi="Times New Roman"/>
                <w:szCs w:val="24"/>
              </w:rPr>
              <w:t>达标</w:t>
            </w:r>
          </w:p>
        </w:tc>
      </w:tr>
    </w:tbl>
    <w:p w:rsidR="00525419" w:rsidRDefault="00525419">
      <w:pPr>
        <w:widowControl/>
        <w:jc w:val="center"/>
        <w:rPr>
          <w:rFonts w:ascii="Times New Roman" w:hAnsi="Times New Roman"/>
          <w:kern w:val="0"/>
          <w:szCs w:val="24"/>
        </w:rPr>
      </w:pP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由上表可见，监测点</w:t>
      </w:r>
      <w:r>
        <w:rPr>
          <w:rFonts w:ascii="Times New Roman" w:hAnsi="Times New Roman"/>
          <w:kern w:val="0"/>
          <w:sz w:val="24"/>
          <w:szCs w:val="24"/>
        </w:rPr>
        <w:t>NMHC</w:t>
      </w:r>
      <w:r>
        <w:rPr>
          <w:rFonts w:ascii="Times New Roman" w:hAnsi="Times New Roman"/>
          <w:kern w:val="0"/>
          <w:sz w:val="24"/>
          <w:szCs w:val="24"/>
        </w:rPr>
        <w:t>浓度满足《大气污染物综合排放标准详解》中一次值要求，</w:t>
      </w:r>
      <w:r>
        <w:rPr>
          <w:rFonts w:ascii="Times New Roman" w:hAnsi="Times New Roman"/>
          <w:kern w:val="0"/>
          <w:sz w:val="24"/>
          <w:szCs w:val="24"/>
        </w:rPr>
        <w:t>H</w:t>
      </w:r>
      <w:r>
        <w:rPr>
          <w:rFonts w:ascii="Times New Roman" w:hAnsi="Times New Roman"/>
          <w:kern w:val="0"/>
          <w:sz w:val="24"/>
          <w:szCs w:val="24"/>
          <w:vertAlign w:val="subscript"/>
        </w:rPr>
        <w:t>2</w:t>
      </w:r>
      <w:r>
        <w:rPr>
          <w:rFonts w:ascii="Times New Roman" w:hAnsi="Times New Roman"/>
          <w:kern w:val="0"/>
          <w:sz w:val="24"/>
          <w:szCs w:val="24"/>
        </w:rPr>
        <w:t>S</w:t>
      </w:r>
      <w:r>
        <w:rPr>
          <w:rFonts w:ascii="Times New Roman" w:hAnsi="Times New Roman"/>
          <w:kern w:val="0"/>
          <w:sz w:val="24"/>
          <w:szCs w:val="24"/>
        </w:rPr>
        <w:t>、氨满足《环境影响评价技术导则</w:t>
      </w:r>
      <w:r>
        <w:rPr>
          <w:rFonts w:ascii="Times New Roman" w:hAnsi="Times New Roman"/>
          <w:kern w:val="0"/>
          <w:sz w:val="24"/>
          <w:szCs w:val="24"/>
        </w:rPr>
        <w:t xml:space="preserve"> </w:t>
      </w:r>
      <w:r>
        <w:rPr>
          <w:rFonts w:ascii="Times New Roman" w:hAnsi="Times New Roman"/>
          <w:kern w:val="0"/>
          <w:sz w:val="24"/>
          <w:szCs w:val="24"/>
        </w:rPr>
        <w:t>大气环境》（</w:t>
      </w:r>
      <w:r>
        <w:rPr>
          <w:rFonts w:ascii="Times New Roman" w:hAnsi="Times New Roman"/>
          <w:kern w:val="0"/>
          <w:sz w:val="24"/>
          <w:szCs w:val="24"/>
        </w:rPr>
        <w:t>HJ2.2-2018</w:t>
      </w:r>
      <w:r>
        <w:rPr>
          <w:rFonts w:ascii="Times New Roman" w:hAnsi="Times New Roman"/>
          <w:kern w:val="0"/>
          <w:sz w:val="24"/>
          <w:szCs w:val="24"/>
        </w:rPr>
        <w:t>）中附录</w:t>
      </w:r>
      <w:r>
        <w:rPr>
          <w:rFonts w:ascii="Times New Roman" w:hAnsi="Times New Roman"/>
          <w:kern w:val="0"/>
          <w:sz w:val="24"/>
          <w:szCs w:val="24"/>
        </w:rPr>
        <w:t>D</w:t>
      </w:r>
      <w:r>
        <w:rPr>
          <w:rFonts w:ascii="Times New Roman" w:hAnsi="Times New Roman"/>
          <w:kern w:val="0"/>
          <w:sz w:val="24"/>
          <w:szCs w:val="24"/>
        </w:rPr>
        <w:t>中浓度限值要求。</w:t>
      </w:r>
    </w:p>
    <w:p w:rsidR="00525419" w:rsidRDefault="00525419">
      <w:pPr>
        <w:pStyle w:val="afb"/>
        <w:sectPr w:rsidR="00525419">
          <w:pgSz w:w="11906" w:h="16838"/>
          <w:pgMar w:top="1440" w:right="1800" w:bottom="1440" w:left="1800" w:header="851" w:footer="992" w:gutter="0"/>
          <w:cols w:space="425"/>
          <w:docGrid w:type="linesAndChars" w:linePitch="312"/>
        </w:sectPr>
      </w:pPr>
    </w:p>
    <w:p w:rsidR="00525419" w:rsidRDefault="00525419">
      <w:pPr>
        <w:widowControl/>
        <w:spacing w:line="360" w:lineRule="auto"/>
        <w:ind w:firstLineChars="200" w:firstLine="420"/>
        <w:jc w:val="left"/>
        <w:rPr>
          <w:rFonts w:ascii="Times New Roman" w:hAnsi="Times New Roman"/>
        </w:rPr>
      </w:pPr>
    </w:p>
    <w:p w:rsidR="00525419" w:rsidRDefault="00EE1CF7">
      <w:pPr>
        <w:pStyle w:val="1ffffff3"/>
        <w:spacing w:before="156" w:after="156"/>
        <w:ind w:firstLineChars="2093" w:firstLine="5043"/>
        <w:rPr>
          <w:color w:val="auto"/>
        </w:rPr>
      </w:pPr>
      <w:r>
        <w:rPr>
          <w:color w:val="auto"/>
        </w:rPr>
        <w:t xml:space="preserve"> </w:t>
      </w:r>
      <w:r>
        <w:rPr>
          <w:color w:val="auto"/>
        </w:rPr>
        <w:t>图</w:t>
      </w:r>
      <w:r>
        <w:rPr>
          <w:color w:val="auto"/>
        </w:rPr>
        <w:t xml:space="preserve">4.3-1         </w:t>
      </w:r>
      <w:r>
        <w:rPr>
          <w:color w:val="auto"/>
        </w:rPr>
        <w:t>大气、土壤、噪声监测布点图</w:t>
      </w:r>
    </w:p>
    <w:p w:rsidR="00525419" w:rsidRDefault="00525419">
      <w:pPr>
        <w:rPr>
          <w:rFonts w:ascii="Times New Roman" w:hAnsi="Times New Roman"/>
        </w:rPr>
        <w:sectPr w:rsidR="00525419">
          <w:pgSz w:w="16838" w:h="11906" w:orient="landscape"/>
          <w:pgMar w:top="1803" w:right="1440" w:bottom="1803" w:left="1440" w:header="851" w:footer="992" w:gutter="0"/>
          <w:cols w:space="0"/>
          <w:docGrid w:type="lines" w:linePitch="319"/>
        </w:sectPr>
      </w:pPr>
    </w:p>
    <w:p w:rsidR="00525419" w:rsidRDefault="00EE1CF7">
      <w:pPr>
        <w:pStyle w:val="3a"/>
        <w:spacing w:beforeLines="50" w:before="159" w:after="156" w:line="360" w:lineRule="auto"/>
        <w:jc w:val="left"/>
        <w:rPr>
          <w:rFonts w:ascii="Times New Roman" w:eastAsia="华文楷体" w:hAnsi="Times New Roman"/>
        </w:rPr>
      </w:pPr>
      <w:bookmarkStart w:id="85" w:name="_Toc330205304"/>
      <w:r>
        <w:rPr>
          <w:rFonts w:ascii="Times New Roman" w:eastAsia="华文楷体" w:hAnsi="Times New Roman"/>
        </w:rPr>
        <w:lastRenderedPageBreak/>
        <w:t>4.</w:t>
      </w:r>
      <w:bookmarkStart w:id="86" w:name="_Toc291148623"/>
      <w:bookmarkStart w:id="87" w:name="_Toc290387703"/>
      <w:bookmarkStart w:id="88" w:name="_Toc290387378"/>
      <w:r>
        <w:rPr>
          <w:rFonts w:ascii="Times New Roman" w:eastAsia="华文楷体" w:hAnsi="Times New Roman"/>
        </w:rPr>
        <w:t>3.2</w:t>
      </w:r>
      <w:r>
        <w:rPr>
          <w:rFonts w:ascii="Times New Roman" w:eastAsia="华文楷体" w:hAnsi="Times New Roman"/>
        </w:rPr>
        <w:t>地下水环境质量现状调查与评价</w:t>
      </w:r>
      <w:bookmarkEnd w:id="85"/>
      <w:bookmarkEnd w:id="86"/>
      <w:bookmarkEnd w:id="87"/>
      <w:bookmarkEnd w:id="88"/>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bookmarkStart w:id="89" w:name="_Toc150592939"/>
      <w:bookmarkStart w:id="90" w:name="_Toc163317019"/>
      <w:bookmarkStart w:id="91" w:name="_Toc162664389"/>
      <w:bookmarkStart w:id="92" w:name="_Toc150595330"/>
      <w:bookmarkStart w:id="93" w:name="_Toc150586035"/>
      <w:bookmarkStart w:id="94" w:name="_Toc344107099"/>
      <w:bookmarkStart w:id="95" w:name="_Toc150595029"/>
      <w:r>
        <w:rPr>
          <w:rFonts w:ascii="Times New Roman" w:hAnsi="Times New Roman" w:cs="Times New Roman"/>
          <w:kern w:val="44"/>
          <w:sz w:val="24"/>
          <w:szCs w:val="24"/>
        </w:rPr>
        <w:t>4.3.2.1</w:t>
      </w:r>
      <w:r>
        <w:rPr>
          <w:rFonts w:ascii="Times New Roman" w:hAnsi="Times New Roman" w:cs="Times New Roman"/>
          <w:kern w:val="44"/>
          <w:sz w:val="24"/>
          <w:szCs w:val="24"/>
        </w:rPr>
        <w:t>监测布点</w:t>
      </w:r>
      <w:bookmarkEnd w:id="89"/>
      <w:bookmarkEnd w:id="90"/>
      <w:bookmarkEnd w:id="91"/>
      <w:bookmarkEnd w:id="92"/>
      <w:bookmarkEnd w:id="93"/>
      <w:bookmarkEnd w:id="94"/>
      <w:bookmarkEnd w:id="95"/>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项目区周边无常年地表水体，本次水环境现状调查与评价只针对地下水环境进行。</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项目所在区域包气带厚度超过</w:t>
      </w:r>
      <w:r>
        <w:rPr>
          <w:rFonts w:ascii="Times New Roman" w:hAnsi="Times New Roman"/>
          <w:kern w:val="0"/>
          <w:sz w:val="24"/>
          <w:szCs w:val="24"/>
        </w:rPr>
        <w:t>100m</w:t>
      </w:r>
      <w:r>
        <w:rPr>
          <w:rFonts w:ascii="Times New Roman" w:hAnsi="Times New Roman"/>
          <w:kern w:val="0"/>
          <w:sz w:val="24"/>
          <w:szCs w:val="24"/>
        </w:rPr>
        <w:t>，本次引用的资料在厂区周边现有地下水井选取了</w:t>
      </w:r>
      <w:r>
        <w:rPr>
          <w:rFonts w:ascii="Times New Roman" w:hAnsi="Times New Roman"/>
          <w:kern w:val="0"/>
          <w:sz w:val="24"/>
          <w:szCs w:val="24"/>
        </w:rPr>
        <w:t>3</w:t>
      </w:r>
      <w:r>
        <w:rPr>
          <w:rFonts w:ascii="Times New Roman" w:hAnsi="Times New Roman"/>
          <w:kern w:val="0"/>
          <w:sz w:val="24"/>
          <w:szCs w:val="24"/>
        </w:rPr>
        <w:t>口进行水质监测，采样、分析均由乌鲁木齐京诚检测技术有限公司进行，采样时间为</w:t>
      </w:r>
      <w:r>
        <w:rPr>
          <w:rFonts w:ascii="Times New Roman" w:hAnsi="Times New Roman"/>
          <w:kern w:val="0"/>
          <w:sz w:val="24"/>
          <w:szCs w:val="24"/>
        </w:rPr>
        <w:t>2018</w:t>
      </w:r>
      <w:r>
        <w:rPr>
          <w:rFonts w:ascii="Times New Roman" w:hAnsi="Times New Roman"/>
          <w:kern w:val="0"/>
          <w:sz w:val="24"/>
          <w:szCs w:val="24"/>
        </w:rPr>
        <w:t>年</w:t>
      </w:r>
      <w:r>
        <w:rPr>
          <w:rFonts w:ascii="Times New Roman" w:hAnsi="Times New Roman"/>
          <w:kern w:val="0"/>
          <w:sz w:val="24"/>
          <w:szCs w:val="24"/>
        </w:rPr>
        <w:t>12</w:t>
      </w:r>
      <w:r>
        <w:rPr>
          <w:rFonts w:ascii="Times New Roman" w:hAnsi="Times New Roman"/>
          <w:kern w:val="0"/>
          <w:sz w:val="24"/>
          <w:szCs w:val="24"/>
        </w:rPr>
        <w:t>月</w:t>
      </w:r>
      <w:r>
        <w:rPr>
          <w:rFonts w:ascii="Times New Roman" w:hAnsi="Times New Roman"/>
          <w:kern w:val="0"/>
          <w:sz w:val="24"/>
          <w:szCs w:val="24"/>
        </w:rPr>
        <w:t>10</w:t>
      </w:r>
      <w:r>
        <w:rPr>
          <w:rFonts w:ascii="Times New Roman" w:hAnsi="Times New Roman"/>
          <w:kern w:val="0"/>
          <w:sz w:val="24"/>
          <w:szCs w:val="24"/>
        </w:rPr>
        <w:t>日，监测点位见图</w:t>
      </w:r>
      <w:r>
        <w:rPr>
          <w:rFonts w:ascii="Times New Roman" w:hAnsi="Times New Roman"/>
          <w:kern w:val="0"/>
          <w:sz w:val="24"/>
          <w:szCs w:val="24"/>
        </w:rPr>
        <w:t>4.3-2</w:t>
      </w:r>
      <w:r>
        <w:rPr>
          <w:rFonts w:ascii="Times New Roman" w:hAnsi="Times New Roman"/>
          <w:kern w:val="0"/>
          <w:sz w:val="24"/>
          <w:szCs w:val="24"/>
        </w:rPr>
        <w:t>。</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4.3.2.2</w:t>
      </w:r>
      <w:r>
        <w:rPr>
          <w:rFonts w:ascii="Times New Roman" w:hAnsi="Times New Roman" w:cs="Times New Roman"/>
          <w:kern w:val="44"/>
          <w:sz w:val="24"/>
          <w:szCs w:val="24"/>
        </w:rPr>
        <w:t>监测项目</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pH</w:t>
      </w:r>
      <w:r>
        <w:rPr>
          <w:rFonts w:ascii="Times New Roman" w:hAnsi="Times New Roman"/>
          <w:kern w:val="0"/>
          <w:sz w:val="24"/>
          <w:szCs w:val="24"/>
        </w:rPr>
        <w:t>、氨氮、硝酸盐、亚硝酸盐、挥发性酚类、氰化物、砷、汞、铬（六价）、总硬度、铅、氟、镉、铁、锰、溶解性总固体、高锰酸盐指数、硫酸盐、氯化物、总大肠菌群、石油类及水温共</w:t>
      </w:r>
      <w:r>
        <w:rPr>
          <w:rFonts w:ascii="Times New Roman" w:hAnsi="Times New Roman"/>
          <w:kern w:val="0"/>
          <w:sz w:val="24"/>
          <w:szCs w:val="24"/>
        </w:rPr>
        <w:t>21</w:t>
      </w:r>
      <w:r>
        <w:rPr>
          <w:rFonts w:ascii="Times New Roman" w:hAnsi="Times New Roman"/>
          <w:kern w:val="0"/>
          <w:sz w:val="24"/>
          <w:szCs w:val="24"/>
        </w:rPr>
        <w:t>项。</w:t>
      </w:r>
    </w:p>
    <w:p w:rsidR="00525419" w:rsidRDefault="00EE1CF7">
      <w:pPr>
        <w:widowControl/>
        <w:spacing w:before="80" w:after="80"/>
        <w:jc w:val="left"/>
        <w:outlineLvl w:val="3"/>
        <w:rPr>
          <w:rFonts w:ascii="Times New Roman" w:hAnsi="Times New Roman"/>
          <w:b/>
          <w:kern w:val="0"/>
          <w:sz w:val="24"/>
          <w:szCs w:val="24"/>
        </w:rPr>
      </w:pPr>
      <w:r>
        <w:rPr>
          <w:rFonts w:ascii="Times New Roman" w:hAnsi="Times New Roman"/>
          <w:b/>
          <w:kern w:val="0"/>
          <w:sz w:val="24"/>
          <w:szCs w:val="24"/>
        </w:rPr>
        <w:t>4.3.2.3</w:t>
      </w:r>
      <w:r>
        <w:rPr>
          <w:rFonts w:ascii="Times New Roman" w:hAnsi="Times New Roman"/>
          <w:b/>
          <w:kern w:val="0"/>
          <w:sz w:val="24"/>
          <w:szCs w:val="24"/>
        </w:rPr>
        <w:t>监测方法</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采样分析方法依照国家环保局颁布的《环境水质监测质量保证手册》与《水和废水监测分析方法》的规定进行。</w:t>
      </w:r>
    </w:p>
    <w:p w:rsidR="00525419" w:rsidRDefault="00EE1CF7">
      <w:pPr>
        <w:widowControl/>
        <w:spacing w:before="80" w:after="80"/>
        <w:jc w:val="left"/>
        <w:outlineLvl w:val="3"/>
        <w:rPr>
          <w:rFonts w:ascii="Times New Roman" w:hAnsi="Times New Roman"/>
          <w:b/>
          <w:kern w:val="0"/>
          <w:sz w:val="24"/>
          <w:szCs w:val="24"/>
        </w:rPr>
      </w:pPr>
      <w:r>
        <w:rPr>
          <w:rFonts w:ascii="Times New Roman" w:hAnsi="Times New Roman"/>
          <w:b/>
          <w:kern w:val="0"/>
          <w:sz w:val="24"/>
          <w:szCs w:val="24"/>
        </w:rPr>
        <w:t>4.3.2.4</w:t>
      </w:r>
      <w:r>
        <w:rPr>
          <w:rFonts w:ascii="Times New Roman" w:hAnsi="Times New Roman"/>
          <w:b/>
          <w:kern w:val="0"/>
          <w:sz w:val="24"/>
          <w:szCs w:val="24"/>
        </w:rPr>
        <w:t>评价标准</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执行《地下水质量标准》（</w:t>
      </w:r>
      <w:r>
        <w:rPr>
          <w:rFonts w:ascii="Times New Roman" w:hAnsi="Times New Roman"/>
          <w:kern w:val="0"/>
          <w:sz w:val="24"/>
          <w:szCs w:val="24"/>
        </w:rPr>
        <w:t>GB/T14848-2017</w:t>
      </w:r>
      <w:r>
        <w:rPr>
          <w:rFonts w:ascii="Times New Roman" w:hAnsi="Times New Roman"/>
          <w:kern w:val="0"/>
          <w:sz w:val="24"/>
          <w:szCs w:val="24"/>
        </w:rPr>
        <w:t>）</w:t>
      </w:r>
      <w:r>
        <w:rPr>
          <w:rFonts w:ascii="Times New Roman" w:hAnsi="Times New Roman"/>
          <w:kern w:val="0"/>
          <w:sz w:val="24"/>
          <w:szCs w:val="24"/>
        </w:rPr>
        <w:t>Ⅲ</w:t>
      </w:r>
      <w:r>
        <w:rPr>
          <w:rFonts w:ascii="Times New Roman" w:hAnsi="Times New Roman"/>
          <w:kern w:val="0"/>
          <w:sz w:val="24"/>
          <w:szCs w:val="24"/>
        </w:rPr>
        <w:t>类标准，石油类参考执行《地表水环境质量标准》（</w:t>
      </w:r>
      <w:r>
        <w:rPr>
          <w:rFonts w:ascii="Times New Roman" w:hAnsi="Times New Roman"/>
          <w:kern w:val="0"/>
          <w:sz w:val="24"/>
          <w:szCs w:val="24"/>
        </w:rPr>
        <w:t>GB3838-2002</w:t>
      </w:r>
      <w:r>
        <w:rPr>
          <w:rFonts w:ascii="Times New Roman" w:hAnsi="Times New Roman"/>
          <w:kern w:val="0"/>
          <w:sz w:val="24"/>
          <w:szCs w:val="24"/>
        </w:rPr>
        <w:t>）中的</w:t>
      </w:r>
      <w:r>
        <w:rPr>
          <w:rFonts w:ascii="Times New Roman" w:hAnsi="Times New Roman"/>
          <w:kern w:val="0"/>
          <w:sz w:val="24"/>
          <w:szCs w:val="24"/>
        </w:rPr>
        <w:t>Ⅲ</w:t>
      </w:r>
      <w:r>
        <w:rPr>
          <w:rFonts w:ascii="Times New Roman" w:hAnsi="Times New Roman"/>
          <w:kern w:val="0"/>
          <w:sz w:val="24"/>
          <w:szCs w:val="24"/>
        </w:rPr>
        <w:t>类标准。</w:t>
      </w:r>
    </w:p>
    <w:p w:rsidR="00525419" w:rsidRDefault="00EE1CF7">
      <w:pPr>
        <w:widowControl/>
        <w:spacing w:before="80" w:after="80"/>
        <w:jc w:val="left"/>
        <w:outlineLvl w:val="3"/>
        <w:rPr>
          <w:rFonts w:ascii="Times New Roman" w:hAnsi="Times New Roman"/>
          <w:b/>
          <w:kern w:val="0"/>
          <w:sz w:val="24"/>
          <w:szCs w:val="24"/>
        </w:rPr>
      </w:pPr>
      <w:r>
        <w:rPr>
          <w:rFonts w:ascii="Times New Roman" w:hAnsi="Times New Roman"/>
          <w:b/>
          <w:kern w:val="0"/>
          <w:sz w:val="24"/>
          <w:szCs w:val="24"/>
        </w:rPr>
        <w:t>4.3.2.5</w:t>
      </w:r>
      <w:r>
        <w:rPr>
          <w:rFonts w:ascii="Times New Roman" w:hAnsi="Times New Roman"/>
          <w:b/>
          <w:kern w:val="0"/>
          <w:sz w:val="24"/>
          <w:szCs w:val="24"/>
        </w:rPr>
        <w:t>评价结果</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地下水水质监测结果见表</w:t>
      </w:r>
      <w:r>
        <w:rPr>
          <w:rFonts w:ascii="Times New Roman" w:hAnsi="Times New Roman"/>
          <w:kern w:val="0"/>
          <w:sz w:val="24"/>
          <w:szCs w:val="24"/>
        </w:rPr>
        <w:t>4.3-6</w:t>
      </w:r>
      <w:r>
        <w:rPr>
          <w:rFonts w:ascii="Times New Roman" w:hAnsi="Times New Roman"/>
          <w:kern w:val="0"/>
          <w:sz w:val="24"/>
          <w:szCs w:val="24"/>
        </w:rPr>
        <w:t>。</w:t>
      </w:r>
    </w:p>
    <w:p w:rsidR="00525419" w:rsidRDefault="00EE1CF7">
      <w:pPr>
        <w:widowControl/>
        <w:adjustRightInd w:val="0"/>
        <w:snapToGrid w:val="0"/>
        <w:spacing w:before="120"/>
        <w:jc w:val="center"/>
        <w:rPr>
          <w:rFonts w:ascii="Times New Roman" w:eastAsia="黑体" w:hAnsi="Times New Roman"/>
          <w:bCs/>
          <w:snapToGrid w:val="0"/>
          <w:kern w:val="0"/>
          <w:szCs w:val="21"/>
        </w:rPr>
      </w:pPr>
      <w:r>
        <w:rPr>
          <w:rFonts w:ascii="Times New Roman" w:eastAsia="黑体" w:hAnsi="Times New Roman"/>
          <w:bCs/>
          <w:snapToGrid w:val="0"/>
          <w:kern w:val="0"/>
          <w:szCs w:val="21"/>
        </w:rPr>
        <w:t xml:space="preserve">    </w:t>
      </w:r>
      <w:r>
        <w:rPr>
          <w:rFonts w:ascii="Times New Roman" w:eastAsia="黑体" w:hAnsi="Times New Roman"/>
          <w:bCs/>
          <w:snapToGrid w:val="0"/>
          <w:kern w:val="0"/>
          <w:szCs w:val="21"/>
        </w:rPr>
        <w:t>表</w:t>
      </w:r>
      <w:r>
        <w:rPr>
          <w:rFonts w:ascii="Times New Roman" w:eastAsia="黑体" w:hAnsi="Times New Roman"/>
          <w:bCs/>
          <w:snapToGrid w:val="0"/>
          <w:kern w:val="0"/>
          <w:szCs w:val="21"/>
        </w:rPr>
        <w:t xml:space="preserve">4.3-6   </w:t>
      </w:r>
      <w:r>
        <w:rPr>
          <w:rFonts w:ascii="Times New Roman" w:eastAsia="黑体" w:hAnsi="Times New Roman"/>
          <w:bCs/>
          <w:snapToGrid w:val="0"/>
          <w:kern w:val="0"/>
          <w:szCs w:val="21"/>
        </w:rPr>
        <w:t>地下水水质现状监测结果</w:t>
      </w:r>
      <w:r>
        <w:rPr>
          <w:rFonts w:ascii="Times New Roman" w:eastAsia="黑体" w:hAnsi="Times New Roman"/>
          <w:bCs/>
          <w:snapToGrid w:val="0"/>
          <w:kern w:val="0"/>
          <w:szCs w:val="21"/>
        </w:rPr>
        <w:t xml:space="preserve">     </w:t>
      </w:r>
      <w:r>
        <w:rPr>
          <w:rFonts w:ascii="Times New Roman" w:eastAsia="黑体" w:hAnsi="Times New Roman"/>
          <w:bCs/>
          <w:snapToGrid w:val="0"/>
          <w:kern w:val="0"/>
          <w:szCs w:val="21"/>
        </w:rPr>
        <w:t>单位：</w:t>
      </w:r>
      <w:r>
        <w:rPr>
          <w:rFonts w:ascii="Times New Roman" w:eastAsia="黑体" w:hAnsi="Times New Roman"/>
          <w:bCs/>
          <w:snapToGrid w:val="0"/>
          <w:kern w:val="0"/>
          <w:szCs w:val="21"/>
        </w:rPr>
        <w:t>mg/L</w:t>
      </w:r>
      <w:r>
        <w:rPr>
          <w:rFonts w:ascii="Times New Roman" w:eastAsia="黑体" w:hAnsi="Times New Roman"/>
          <w:bCs/>
          <w:snapToGrid w:val="0"/>
          <w:kern w:val="0"/>
          <w:szCs w:val="21"/>
        </w:rPr>
        <w:t>（</w:t>
      </w:r>
      <w:r>
        <w:rPr>
          <w:rFonts w:ascii="Times New Roman" w:eastAsia="黑体" w:hAnsi="Times New Roman"/>
          <w:bCs/>
          <w:snapToGrid w:val="0"/>
          <w:kern w:val="0"/>
          <w:szCs w:val="21"/>
        </w:rPr>
        <w:t>pH</w:t>
      </w:r>
      <w:r>
        <w:rPr>
          <w:rFonts w:ascii="Times New Roman" w:eastAsia="黑体" w:hAnsi="Times New Roman"/>
          <w:bCs/>
          <w:snapToGrid w:val="0"/>
          <w:kern w:val="0"/>
          <w:szCs w:val="21"/>
        </w:rPr>
        <w:t>除外，细菌类：个</w:t>
      </w:r>
      <w:r>
        <w:rPr>
          <w:rFonts w:ascii="Times New Roman" w:eastAsia="黑体" w:hAnsi="Times New Roman"/>
          <w:bCs/>
          <w:snapToGrid w:val="0"/>
          <w:kern w:val="0"/>
          <w:szCs w:val="21"/>
        </w:rPr>
        <w:t>/L</w:t>
      </w:r>
      <w:r>
        <w:rPr>
          <w:rFonts w:ascii="Times New Roman" w:eastAsia="黑体" w:hAnsi="Times New Roman"/>
          <w:bCs/>
          <w:snapToGrid w:val="0"/>
          <w:kern w:val="0"/>
          <w:szCs w:val="21"/>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09"/>
        <w:gridCol w:w="995"/>
        <w:gridCol w:w="995"/>
        <w:gridCol w:w="996"/>
        <w:gridCol w:w="997"/>
        <w:gridCol w:w="995"/>
        <w:gridCol w:w="995"/>
        <w:gridCol w:w="995"/>
        <w:gridCol w:w="995"/>
      </w:tblGrid>
      <w:tr w:rsidR="00525419">
        <w:trPr>
          <w:trHeight w:val="369"/>
          <w:jc w:val="center"/>
        </w:trPr>
        <w:tc>
          <w:tcPr>
            <w:tcW w:w="110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检测项目</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单位</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标准</w:t>
            </w:r>
          </w:p>
        </w:tc>
        <w:tc>
          <w:tcPr>
            <w:tcW w:w="996"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w:t>
            </w:r>
          </w:p>
        </w:tc>
        <w:tc>
          <w:tcPr>
            <w:tcW w:w="99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标准指数</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标准指数</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标准指数</w:t>
            </w:r>
          </w:p>
        </w:tc>
      </w:tr>
      <w:tr w:rsidR="00525419">
        <w:trPr>
          <w:trHeight w:val="369"/>
          <w:jc w:val="center"/>
        </w:trPr>
        <w:tc>
          <w:tcPr>
            <w:tcW w:w="110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pH</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无量纲</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6.5</w:t>
            </w:r>
            <w:r>
              <w:rPr>
                <w:rFonts w:ascii="Times New Roman" w:hAnsi="Times New Roman"/>
                <w:kern w:val="0"/>
                <w:szCs w:val="24"/>
              </w:rPr>
              <w:t>～</w:t>
            </w:r>
            <w:r>
              <w:rPr>
                <w:rFonts w:ascii="Times New Roman" w:hAnsi="Times New Roman"/>
                <w:kern w:val="0"/>
                <w:szCs w:val="24"/>
              </w:rPr>
              <w:t>8.5</w:t>
            </w:r>
          </w:p>
        </w:tc>
        <w:tc>
          <w:tcPr>
            <w:tcW w:w="996"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7.74</w:t>
            </w:r>
          </w:p>
        </w:tc>
        <w:tc>
          <w:tcPr>
            <w:tcW w:w="99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0.49</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7.78</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0.52</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7.59</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0.39</w:t>
            </w:r>
          </w:p>
        </w:tc>
      </w:tr>
      <w:tr w:rsidR="00525419">
        <w:trPr>
          <w:trHeight w:val="369"/>
          <w:jc w:val="center"/>
        </w:trPr>
        <w:tc>
          <w:tcPr>
            <w:tcW w:w="110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氨氮</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0.5</w:t>
            </w:r>
          </w:p>
        </w:tc>
        <w:tc>
          <w:tcPr>
            <w:tcW w:w="996"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0.038</w:t>
            </w:r>
          </w:p>
        </w:tc>
        <w:tc>
          <w:tcPr>
            <w:tcW w:w="99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0.076</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0.028</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0.056</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0.024</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0.048</w:t>
            </w:r>
          </w:p>
        </w:tc>
      </w:tr>
      <w:tr w:rsidR="00525419">
        <w:trPr>
          <w:trHeight w:val="369"/>
          <w:jc w:val="center"/>
        </w:trPr>
        <w:tc>
          <w:tcPr>
            <w:tcW w:w="110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硝酸盐氮</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20</w:t>
            </w:r>
          </w:p>
        </w:tc>
        <w:tc>
          <w:tcPr>
            <w:tcW w:w="996"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1.57</w:t>
            </w:r>
          </w:p>
        </w:tc>
        <w:tc>
          <w:tcPr>
            <w:tcW w:w="99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0.0785</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1.61</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0.0805</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1.61</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0.0805</w:t>
            </w:r>
          </w:p>
        </w:tc>
      </w:tr>
      <w:tr w:rsidR="00525419">
        <w:trPr>
          <w:trHeight w:val="369"/>
          <w:jc w:val="center"/>
        </w:trPr>
        <w:tc>
          <w:tcPr>
            <w:tcW w:w="110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亚硝酸盐氮</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w:t>
            </w:r>
          </w:p>
        </w:tc>
        <w:tc>
          <w:tcPr>
            <w:tcW w:w="996"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 xml:space="preserve"> </w:t>
            </w:r>
            <w:r>
              <w:rPr>
                <w:rFonts w:ascii="Times New Roman" w:hAnsi="Times New Roman"/>
                <w:kern w:val="0"/>
                <w:szCs w:val="24"/>
              </w:rPr>
              <w:t>＜</w:t>
            </w:r>
            <w:r>
              <w:rPr>
                <w:rFonts w:ascii="Times New Roman" w:hAnsi="Times New Roman"/>
                <w:kern w:val="0"/>
                <w:szCs w:val="24"/>
              </w:rPr>
              <w:t>0.001</w:t>
            </w:r>
          </w:p>
        </w:tc>
        <w:tc>
          <w:tcPr>
            <w:tcW w:w="99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0.0005</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0.001</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0.0005</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0.001</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0.001</w:t>
            </w:r>
          </w:p>
        </w:tc>
      </w:tr>
      <w:tr w:rsidR="00525419">
        <w:trPr>
          <w:trHeight w:val="369"/>
          <w:jc w:val="center"/>
        </w:trPr>
        <w:tc>
          <w:tcPr>
            <w:tcW w:w="110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挥发酚</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0.002</w:t>
            </w:r>
          </w:p>
        </w:tc>
        <w:tc>
          <w:tcPr>
            <w:tcW w:w="996"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0.0003</w:t>
            </w:r>
          </w:p>
        </w:tc>
        <w:tc>
          <w:tcPr>
            <w:tcW w:w="99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0.075</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0.0003</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0.075</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0.0003</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0.075</w:t>
            </w:r>
          </w:p>
        </w:tc>
      </w:tr>
      <w:tr w:rsidR="00525419">
        <w:trPr>
          <w:trHeight w:val="369"/>
          <w:jc w:val="center"/>
        </w:trPr>
        <w:tc>
          <w:tcPr>
            <w:tcW w:w="110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氰化物</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0.05</w:t>
            </w:r>
          </w:p>
        </w:tc>
        <w:tc>
          <w:tcPr>
            <w:tcW w:w="996"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0.002</w:t>
            </w:r>
          </w:p>
        </w:tc>
        <w:tc>
          <w:tcPr>
            <w:tcW w:w="99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0.02</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0.002</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0.02</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0.002</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0.02</w:t>
            </w:r>
          </w:p>
        </w:tc>
      </w:tr>
      <w:tr w:rsidR="00525419">
        <w:trPr>
          <w:trHeight w:val="369"/>
          <w:jc w:val="center"/>
        </w:trPr>
        <w:tc>
          <w:tcPr>
            <w:tcW w:w="110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砷</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0.01</w:t>
            </w:r>
          </w:p>
        </w:tc>
        <w:tc>
          <w:tcPr>
            <w:tcW w:w="996"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0.0001</w:t>
            </w:r>
          </w:p>
        </w:tc>
        <w:tc>
          <w:tcPr>
            <w:tcW w:w="99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0.005</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0.0001</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0.005</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0.0001</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0.005</w:t>
            </w:r>
          </w:p>
        </w:tc>
      </w:tr>
      <w:tr w:rsidR="00525419">
        <w:trPr>
          <w:trHeight w:val="369"/>
          <w:jc w:val="center"/>
        </w:trPr>
        <w:tc>
          <w:tcPr>
            <w:tcW w:w="110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汞</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0.001</w:t>
            </w:r>
          </w:p>
        </w:tc>
        <w:tc>
          <w:tcPr>
            <w:tcW w:w="996"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0.0001</w:t>
            </w:r>
          </w:p>
        </w:tc>
        <w:tc>
          <w:tcPr>
            <w:tcW w:w="99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0.05</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0.0001</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0.05</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0.0001</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0.05</w:t>
            </w:r>
          </w:p>
        </w:tc>
      </w:tr>
      <w:tr w:rsidR="00525419">
        <w:trPr>
          <w:trHeight w:val="369"/>
          <w:jc w:val="center"/>
        </w:trPr>
        <w:tc>
          <w:tcPr>
            <w:tcW w:w="110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lastRenderedPageBreak/>
              <w:t>六价铬</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0.05</w:t>
            </w:r>
          </w:p>
        </w:tc>
        <w:tc>
          <w:tcPr>
            <w:tcW w:w="996"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0.004</w:t>
            </w:r>
          </w:p>
        </w:tc>
        <w:tc>
          <w:tcPr>
            <w:tcW w:w="99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0.04</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0.004</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0.04</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0.004</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0.04</w:t>
            </w:r>
          </w:p>
        </w:tc>
      </w:tr>
      <w:tr w:rsidR="00525419">
        <w:trPr>
          <w:trHeight w:val="369"/>
          <w:jc w:val="center"/>
        </w:trPr>
        <w:tc>
          <w:tcPr>
            <w:tcW w:w="110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钙和镁总量（总硬度）</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450</w:t>
            </w:r>
          </w:p>
        </w:tc>
        <w:tc>
          <w:tcPr>
            <w:tcW w:w="996"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300</w:t>
            </w:r>
          </w:p>
        </w:tc>
        <w:tc>
          <w:tcPr>
            <w:tcW w:w="99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0.67</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301</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0.67</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300</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0.67</w:t>
            </w:r>
          </w:p>
        </w:tc>
      </w:tr>
      <w:tr w:rsidR="00525419">
        <w:trPr>
          <w:trHeight w:val="369"/>
          <w:jc w:val="center"/>
        </w:trPr>
        <w:tc>
          <w:tcPr>
            <w:tcW w:w="110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铅</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0.01</w:t>
            </w:r>
          </w:p>
        </w:tc>
        <w:tc>
          <w:tcPr>
            <w:tcW w:w="996"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0.0025</w:t>
            </w:r>
          </w:p>
        </w:tc>
        <w:tc>
          <w:tcPr>
            <w:tcW w:w="99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0.125</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0.0025</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0.125</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0.0025</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0.125</w:t>
            </w:r>
          </w:p>
        </w:tc>
      </w:tr>
      <w:tr w:rsidR="00525419">
        <w:trPr>
          <w:trHeight w:val="369"/>
          <w:jc w:val="center"/>
        </w:trPr>
        <w:tc>
          <w:tcPr>
            <w:tcW w:w="110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氟化物</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w:t>
            </w:r>
          </w:p>
        </w:tc>
        <w:tc>
          <w:tcPr>
            <w:tcW w:w="996"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0.11</w:t>
            </w:r>
          </w:p>
        </w:tc>
        <w:tc>
          <w:tcPr>
            <w:tcW w:w="99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0.11</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0.1</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0.1</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0.1</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0.1</w:t>
            </w:r>
          </w:p>
        </w:tc>
      </w:tr>
      <w:tr w:rsidR="00525419">
        <w:trPr>
          <w:trHeight w:val="369"/>
          <w:jc w:val="center"/>
        </w:trPr>
        <w:tc>
          <w:tcPr>
            <w:tcW w:w="110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镉</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0.005</w:t>
            </w:r>
          </w:p>
        </w:tc>
        <w:tc>
          <w:tcPr>
            <w:tcW w:w="996"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0.0005</w:t>
            </w:r>
          </w:p>
        </w:tc>
        <w:tc>
          <w:tcPr>
            <w:tcW w:w="99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0.05</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0.0005</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0.05</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0.0005</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0.05</w:t>
            </w:r>
          </w:p>
        </w:tc>
      </w:tr>
      <w:tr w:rsidR="00525419">
        <w:trPr>
          <w:trHeight w:val="369"/>
          <w:jc w:val="center"/>
        </w:trPr>
        <w:tc>
          <w:tcPr>
            <w:tcW w:w="110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铁</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0.3</w:t>
            </w:r>
          </w:p>
        </w:tc>
        <w:tc>
          <w:tcPr>
            <w:tcW w:w="996"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0.0077</w:t>
            </w:r>
          </w:p>
        </w:tc>
        <w:tc>
          <w:tcPr>
            <w:tcW w:w="99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0.026</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0.0045</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0.0075</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0.0045</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0.0075</w:t>
            </w:r>
          </w:p>
        </w:tc>
      </w:tr>
      <w:tr w:rsidR="00525419">
        <w:trPr>
          <w:trHeight w:val="369"/>
          <w:jc w:val="center"/>
        </w:trPr>
        <w:tc>
          <w:tcPr>
            <w:tcW w:w="110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锰</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0.1</w:t>
            </w:r>
          </w:p>
        </w:tc>
        <w:tc>
          <w:tcPr>
            <w:tcW w:w="996"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0.0005</w:t>
            </w:r>
          </w:p>
        </w:tc>
        <w:tc>
          <w:tcPr>
            <w:tcW w:w="99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0.0025</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0.0005</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0.0025</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0.0005</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0.0025</w:t>
            </w:r>
          </w:p>
        </w:tc>
      </w:tr>
      <w:tr w:rsidR="00525419">
        <w:trPr>
          <w:trHeight w:val="369"/>
          <w:jc w:val="center"/>
        </w:trPr>
        <w:tc>
          <w:tcPr>
            <w:tcW w:w="110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溶解性总固体</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1000</w:t>
            </w:r>
          </w:p>
        </w:tc>
        <w:tc>
          <w:tcPr>
            <w:tcW w:w="996"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540</w:t>
            </w:r>
          </w:p>
        </w:tc>
        <w:tc>
          <w:tcPr>
            <w:tcW w:w="99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0.54</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539</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0.539</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536</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0.536</w:t>
            </w:r>
          </w:p>
        </w:tc>
      </w:tr>
      <w:tr w:rsidR="00525419">
        <w:trPr>
          <w:trHeight w:val="369"/>
          <w:jc w:val="center"/>
        </w:trPr>
        <w:tc>
          <w:tcPr>
            <w:tcW w:w="110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耗氧量（高锰酸盐指数）</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w:t>
            </w:r>
          </w:p>
        </w:tc>
        <w:tc>
          <w:tcPr>
            <w:tcW w:w="996"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0.55</w:t>
            </w:r>
          </w:p>
        </w:tc>
        <w:tc>
          <w:tcPr>
            <w:tcW w:w="99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0.183</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0.61</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0.203</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0.51</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0.17</w:t>
            </w:r>
          </w:p>
        </w:tc>
      </w:tr>
      <w:tr w:rsidR="00525419">
        <w:trPr>
          <w:trHeight w:val="369"/>
          <w:jc w:val="center"/>
        </w:trPr>
        <w:tc>
          <w:tcPr>
            <w:tcW w:w="110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硫酸盐</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250</w:t>
            </w:r>
          </w:p>
        </w:tc>
        <w:tc>
          <w:tcPr>
            <w:tcW w:w="996"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85.1</w:t>
            </w:r>
          </w:p>
        </w:tc>
        <w:tc>
          <w:tcPr>
            <w:tcW w:w="99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0.34</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87.9</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0.352</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85.3</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0.341</w:t>
            </w:r>
          </w:p>
        </w:tc>
      </w:tr>
      <w:tr w:rsidR="00525419">
        <w:trPr>
          <w:trHeight w:val="369"/>
          <w:jc w:val="center"/>
        </w:trPr>
        <w:tc>
          <w:tcPr>
            <w:tcW w:w="110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氯化物</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250</w:t>
            </w:r>
          </w:p>
        </w:tc>
        <w:tc>
          <w:tcPr>
            <w:tcW w:w="996"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140</w:t>
            </w:r>
          </w:p>
        </w:tc>
        <w:tc>
          <w:tcPr>
            <w:tcW w:w="99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0.56</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145</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0.58</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140</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0.56</w:t>
            </w:r>
          </w:p>
        </w:tc>
      </w:tr>
      <w:tr w:rsidR="00525419">
        <w:trPr>
          <w:trHeight w:val="369"/>
          <w:jc w:val="center"/>
        </w:trPr>
        <w:tc>
          <w:tcPr>
            <w:tcW w:w="110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总大肠菌群</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MPN/100mL</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w:t>
            </w:r>
          </w:p>
        </w:tc>
        <w:tc>
          <w:tcPr>
            <w:tcW w:w="996"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未检出</w:t>
            </w:r>
          </w:p>
        </w:tc>
        <w:tc>
          <w:tcPr>
            <w:tcW w:w="99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未检出</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未检出</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p>
        </w:tc>
      </w:tr>
      <w:tr w:rsidR="00525419">
        <w:trPr>
          <w:trHeight w:val="369"/>
          <w:jc w:val="center"/>
        </w:trPr>
        <w:tc>
          <w:tcPr>
            <w:tcW w:w="110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石油类</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mg/L</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0.05</w:t>
            </w:r>
          </w:p>
        </w:tc>
        <w:tc>
          <w:tcPr>
            <w:tcW w:w="996"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0.05</w:t>
            </w:r>
          </w:p>
        </w:tc>
        <w:tc>
          <w:tcPr>
            <w:tcW w:w="99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0.5</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0.05</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0.5</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0.05</w:t>
            </w:r>
          </w:p>
        </w:tc>
        <w:tc>
          <w:tcPr>
            <w:tcW w:w="99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0.5</w:t>
            </w:r>
          </w:p>
        </w:tc>
      </w:tr>
    </w:tbl>
    <w:p w:rsidR="00525419" w:rsidRDefault="00525419">
      <w:pPr>
        <w:widowControl/>
        <w:jc w:val="center"/>
        <w:rPr>
          <w:rFonts w:ascii="Times New Roman" w:hAnsi="Times New Roman"/>
          <w:snapToGrid w:val="0"/>
          <w:kern w:val="0"/>
          <w:szCs w:val="24"/>
        </w:rPr>
      </w:pPr>
    </w:p>
    <w:p w:rsidR="00525419" w:rsidRDefault="00EE1CF7">
      <w:pPr>
        <w:widowControl/>
        <w:spacing w:line="360" w:lineRule="auto"/>
        <w:ind w:firstLineChars="200" w:firstLine="480"/>
        <w:rPr>
          <w:rFonts w:ascii="Times New Roman" w:hAnsi="Times New Roman"/>
          <w:kern w:val="0"/>
          <w:sz w:val="24"/>
          <w:szCs w:val="24"/>
        </w:rPr>
      </w:pPr>
      <w:r>
        <w:rPr>
          <w:rFonts w:ascii="Times New Roman" w:hAnsi="Times New Roman"/>
          <w:kern w:val="0"/>
          <w:sz w:val="24"/>
          <w:szCs w:val="24"/>
        </w:rPr>
        <w:t>由监测结果可知，项目区地下水水质符合《地下水质量标准》（</w:t>
      </w:r>
      <w:r>
        <w:rPr>
          <w:rFonts w:ascii="Times New Roman" w:hAnsi="Times New Roman"/>
          <w:kern w:val="0"/>
          <w:sz w:val="24"/>
          <w:szCs w:val="24"/>
        </w:rPr>
        <w:t>GB/T14848-2017</w:t>
      </w:r>
      <w:r>
        <w:rPr>
          <w:rFonts w:ascii="Times New Roman" w:hAnsi="Times New Roman"/>
          <w:kern w:val="0"/>
          <w:sz w:val="24"/>
          <w:szCs w:val="24"/>
        </w:rPr>
        <w:t>）</w:t>
      </w:r>
      <w:r>
        <w:rPr>
          <w:rFonts w:ascii="Times New Roman" w:hAnsi="Times New Roman"/>
          <w:kern w:val="0"/>
          <w:sz w:val="24"/>
          <w:szCs w:val="24"/>
        </w:rPr>
        <w:t>Ⅲ</w:t>
      </w:r>
      <w:r>
        <w:rPr>
          <w:rFonts w:ascii="Times New Roman" w:hAnsi="Times New Roman"/>
          <w:kern w:val="0"/>
          <w:sz w:val="24"/>
          <w:szCs w:val="24"/>
        </w:rPr>
        <w:t>类标准，石油类满足《地表水环境质量标准》（</w:t>
      </w:r>
      <w:r>
        <w:rPr>
          <w:rFonts w:ascii="Times New Roman" w:hAnsi="Times New Roman"/>
          <w:kern w:val="0"/>
          <w:sz w:val="24"/>
          <w:szCs w:val="24"/>
        </w:rPr>
        <w:t>GB3838-2002</w:t>
      </w:r>
      <w:r>
        <w:rPr>
          <w:rFonts w:ascii="Times New Roman" w:hAnsi="Times New Roman"/>
          <w:kern w:val="0"/>
          <w:sz w:val="24"/>
          <w:szCs w:val="24"/>
        </w:rPr>
        <w:t>）中的</w:t>
      </w:r>
      <w:r>
        <w:rPr>
          <w:rFonts w:ascii="Times New Roman" w:hAnsi="Times New Roman"/>
          <w:kern w:val="0"/>
          <w:sz w:val="24"/>
          <w:szCs w:val="24"/>
        </w:rPr>
        <w:t>Ⅲ</w:t>
      </w:r>
      <w:r>
        <w:rPr>
          <w:rFonts w:ascii="Times New Roman" w:hAnsi="Times New Roman"/>
          <w:kern w:val="0"/>
          <w:sz w:val="24"/>
          <w:szCs w:val="24"/>
        </w:rPr>
        <w:t>类标准</w:t>
      </w:r>
      <w:r>
        <w:rPr>
          <w:rFonts w:ascii="Times New Roman" w:hAnsi="Times New Roman" w:hint="eastAsia"/>
          <w:kern w:val="0"/>
          <w:sz w:val="24"/>
          <w:szCs w:val="24"/>
        </w:rPr>
        <w:t>，周边</w:t>
      </w:r>
      <w:r>
        <w:rPr>
          <w:rFonts w:ascii="Times New Roman" w:hAnsi="Times New Roman"/>
          <w:kern w:val="0"/>
          <w:sz w:val="24"/>
          <w:szCs w:val="24"/>
        </w:rPr>
        <w:t>地下水水质较好。</w:t>
      </w:r>
    </w:p>
    <w:p w:rsidR="00525419" w:rsidRDefault="00525419">
      <w:pPr>
        <w:rPr>
          <w:rFonts w:ascii="Times New Roman" w:hAnsi="Times New Roman"/>
        </w:rPr>
      </w:pPr>
    </w:p>
    <w:p w:rsidR="00525419" w:rsidRDefault="00EE1CF7">
      <w:pPr>
        <w:jc w:val="center"/>
        <w:rPr>
          <w:rFonts w:ascii="Times New Roman" w:hAnsi="Times New Roman"/>
        </w:rPr>
        <w:sectPr w:rsidR="00525419">
          <w:pgSz w:w="11906" w:h="16838"/>
          <w:pgMar w:top="1440" w:right="1803" w:bottom="1440" w:left="1803" w:header="851" w:footer="992" w:gutter="0"/>
          <w:cols w:space="0"/>
          <w:docGrid w:type="lines" w:linePitch="319"/>
        </w:sectPr>
      </w:pPr>
      <w:r>
        <w:rPr>
          <w:rFonts w:ascii="Times New Roman" w:hAnsi="Times New Roman"/>
          <w:b/>
          <w:sz w:val="24"/>
          <w:szCs w:val="24"/>
        </w:rPr>
        <w:t>图</w:t>
      </w:r>
      <w:r>
        <w:rPr>
          <w:rFonts w:ascii="Times New Roman" w:hAnsi="Times New Roman"/>
          <w:b/>
          <w:sz w:val="24"/>
          <w:szCs w:val="24"/>
        </w:rPr>
        <w:t>4.3-2</w:t>
      </w:r>
      <w:r>
        <w:rPr>
          <w:rFonts w:ascii="Times New Roman" w:hAnsi="Times New Roman"/>
          <w:b/>
          <w:sz w:val="24"/>
          <w:szCs w:val="24"/>
        </w:rPr>
        <w:t xml:space="preserve">　　地下水环境现状监测布点图</w:t>
      </w:r>
    </w:p>
    <w:p w:rsidR="00525419" w:rsidRDefault="00EE1CF7">
      <w:pPr>
        <w:pStyle w:val="3a"/>
        <w:spacing w:beforeLines="50" w:before="159" w:after="156" w:line="360" w:lineRule="auto"/>
        <w:jc w:val="left"/>
        <w:rPr>
          <w:rFonts w:ascii="Times New Roman" w:eastAsia="华文楷体" w:hAnsi="Times New Roman"/>
        </w:rPr>
      </w:pPr>
      <w:bookmarkStart w:id="96" w:name="_Toc242953503"/>
      <w:bookmarkStart w:id="97" w:name="_Toc344107094"/>
      <w:bookmarkStart w:id="98" w:name="_Toc228253907"/>
      <w:bookmarkStart w:id="99" w:name="_Toc388894048"/>
      <w:r>
        <w:rPr>
          <w:rFonts w:ascii="Times New Roman" w:eastAsia="华文楷体" w:hAnsi="Times New Roman"/>
        </w:rPr>
        <w:lastRenderedPageBreak/>
        <w:t>4.3.3</w:t>
      </w:r>
      <w:r>
        <w:rPr>
          <w:rFonts w:ascii="Times New Roman" w:eastAsia="华文楷体" w:hAnsi="Times New Roman"/>
        </w:rPr>
        <w:t>声环境质量现状</w:t>
      </w:r>
      <w:bookmarkEnd w:id="96"/>
      <w:bookmarkEnd w:id="97"/>
      <w:bookmarkEnd w:id="98"/>
      <w:bookmarkEnd w:id="99"/>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 xml:space="preserve">4.3.3.1 </w:t>
      </w:r>
      <w:r>
        <w:rPr>
          <w:rFonts w:ascii="Times New Roman" w:hAnsi="Times New Roman" w:cs="Times New Roman"/>
          <w:kern w:val="44"/>
          <w:sz w:val="24"/>
          <w:szCs w:val="24"/>
        </w:rPr>
        <w:t>声环境现状调查</w:t>
      </w:r>
    </w:p>
    <w:p w:rsidR="00525419" w:rsidRDefault="00EE1CF7">
      <w:pPr>
        <w:spacing w:line="360" w:lineRule="auto"/>
        <w:ind w:firstLineChars="200" w:firstLine="480"/>
        <w:rPr>
          <w:rFonts w:ascii="Times New Roman" w:hAnsi="Times New Roman"/>
          <w:sz w:val="24"/>
          <w:lang w:val="zh-CN"/>
        </w:rPr>
      </w:pPr>
      <w:r>
        <w:rPr>
          <w:rFonts w:ascii="Times New Roman" w:hAnsi="Times New Roman"/>
          <w:sz w:val="24"/>
          <w:lang w:val="zh-CN"/>
        </w:rPr>
        <w:t>（</w:t>
      </w:r>
      <w:r>
        <w:rPr>
          <w:rFonts w:ascii="Times New Roman" w:hAnsi="Times New Roman"/>
          <w:sz w:val="24"/>
          <w:lang w:val="zh-CN"/>
        </w:rPr>
        <w:t>1</w:t>
      </w:r>
      <w:r>
        <w:rPr>
          <w:rFonts w:ascii="Times New Roman" w:hAnsi="Times New Roman"/>
          <w:sz w:val="24"/>
          <w:lang w:val="zh-CN"/>
        </w:rPr>
        <w:t>）调查范围</w:t>
      </w:r>
    </w:p>
    <w:p w:rsidR="00525419" w:rsidRDefault="00EE1CF7">
      <w:pPr>
        <w:spacing w:line="360" w:lineRule="auto"/>
        <w:ind w:firstLineChars="200" w:firstLine="480"/>
        <w:rPr>
          <w:rFonts w:ascii="Times New Roman" w:hAnsi="Times New Roman"/>
          <w:sz w:val="24"/>
          <w:lang w:val="zh-CN"/>
        </w:rPr>
      </w:pPr>
      <w:r>
        <w:rPr>
          <w:rFonts w:ascii="Times New Roman" w:hAnsi="Times New Roman"/>
          <w:sz w:val="24"/>
          <w:lang w:val="zh-CN"/>
        </w:rPr>
        <w:t>声环境现状调查范围为美汇特公司厂界噪声。</w:t>
      </w:r>
    </w:p>
    <w:p w:rsidR="00525419" w:rsidRDefault="00EE1CF7">
      <w:pPr>
        <w:spacing w:line="360" w:lineRule="auto"/>
        <w:ind w:firstLineChars="200" w:firstLine="480"/>
        <w:rPr>
          <w:rFonts w:ascii="Times New Roman" w:hAnsi="Times New Roman"/>
          <w:sz w:val="24"/>
          <w:lang w:val="zh-CN"/>
        </w:rPr>
      </w:pPr>
      <w:r>
        <w:rPr>
          <w:rFonts w:ascii="Times New Roman" w:hAnsi="Times New Roman"/>
          <w:sz w:val="24"/>
          <w:lang w:val="zh-CN"/>
        </w:rPr>
        <w:t>（</w:t>
      </w:r>
      <w:r>
        <w:rPr>
          <w:rFonts w:ascii="Times New Roman" w:hAnsi="Times New Roman"/>
          <w:sz w:val="24"/>
          <w:lang w:val="zh-CN"/>
        </w:rPr>
        <w:t>2</w:t>
      </w:r>
      <w:r>
        <w:rPr>
          <w:rFonts w:ascii="Times New Roman" w:hAnsi="Times New Roman"/>
          <w:sz w:val="24"/>
          <w:lang w:val="zh-CN"/>
        </w:rPr>
        <w:t>）监测点布置</w:t>
      </w:r>
    </w:p>
    <w:p w:rsidR="00525419" w:rsidRDefault="00EE1CF7">
      <w:pPr>
        <w:spacing w:line="360" w:lineRule="auto"/>
        <w:ind w:firstLineChars="200" w:firstLine="480"/>
        <w:rPr>
          <w:rFonts w:ascii="Times New Roman" w:hAnsi="Times New Roman"/>
          <w:sz w:val="24"/>
        </w:rPr>
      </w:pPr>
      <w:r>
        <w:rPr>
          <w:rFonts w:ascii="Times New Roman" w:hAnsi="Times New Roman"/>
          <w:kern w:val="0"/>
          <w:sz w:val="24"/>
        </w:rPr>
        <w:t>在项目区东、西厂界外</w:t>
      </w:r>
      <w:r>
        <w:rPr>
          <w:rFonts w:ascii="Times New Roman" w:hAnsi="Times New Roman"/>
          <w:kern w:val="0"/>
          <w:sz w:val="24"/>
        </w:rPr>
        <w:t>1m</w:t>
      </w:r>
      <w:r>
        <w:rPr>
          <w:rFonts w:ascii="Times New Roman" w:hAnsi="Times New Roman"/>
          <w:kern w:val="0"/>
          <w:sz w:val="24"/>
        </w:rPr>
        <w:t>各设</w:t>
      </w:r>
      <w:r>
        <w:rPr>
          <w:rFonts w:ascii="Times New Roman" w:hAnsi="Times New Roman"/>
          <w:kern w:val="0"/>
          <w:sz w:val="24"/>
        </w:rPr>
        <w:t>1</w:t>
      </w:r>
      <w:r>
        <w:rPr>
          <w:rFonts w:ascii="Times New Roman" w:hAnsi="Times New Roman"/>
          <w:kern w:val="0"/>
          <w:sz w:val="24"/>
        </w:rPr>
        <w:t>个噪声监测点，南、北厂界外</w:t>
      </w:r>
      <w:r>
        <w:rPr>
          <w:rFonts w:ascii="Times New Roman" w:hAnsi="Times New Roman"/>
          <w:kern w:val="0"/>
          <w:sz w:val="24"/>
        </w:rPr>
        <w:t>1m</w:t>
      </w:r>
      <w:r>
        <w:rPr>
          <w:rFonts w:ascii="Times New Roman" w:hAnsi="Times New Roman"/>
          <w:kern w:val="0"/>
          <w:sz w:val="24"/>
        </w:rPr>
        <w:t>各设</w:t>
      </w:r>
      <w:r>
        <w:rPr>
          <w:rFonts w:ascii="Times New Roman" w:hAnsi="Times New Roman"/>
          <w:kern w:val="0"/>
          <w:sz w:val="24"/>
        </w:rPr>
        <w:t>2</w:t>
      </w:r>
      <w:r>
        <w:rPr>
          <w:rFonts w:ascii="Times New Roman" w:hAnsi="Times New Roman"/>
          <w:kern w:val="0"/>
          <w:sz w:val="24"/>
        </w:rPr>
        <w:t>个噪声监测点，</w:t>
      </w:r>
      <w:r>
        <w:rPr>
          <w:rFonts w:ascii="Times New Roman" w:hAnsi="Times New Roman"/>
          <w:sz w:val="24"/>
        </w:rPr>
        <w:t>监测布点位置见图</w:t>
      </w:r>
      <w:r>
        <w:rPr>
          <w:rFonts w:ascii="Times New Roman" w:hAnsi="Times New Roman"/>
          <w:sz w:val="24"/>
        </w:rPr>
        <w:t>4.3-1</w:t>
      </w:r>
      <w:r>
        <w:rPr>
          <w:rFonts w:ascii="Times New Roman" w:hAnsi="Times New Roman"/>
          <w:sz w:val="24"/>
        </w:rPr>
        <w:t>。</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）监测方法</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监测仪器采用</w:t>
      </w:r>
      <w:r>
        <w:rPr>
          <w:rFonts w:ascii="Times New Roman" w:hAnsi="Times New Roman"/>
          <w:sz w:val="24"/>
        </w:rPr>
        <w:t>AWA6218-B</w:t>
      </w:r>
      <w:r>
        <w:rPr>
          <w:rFonts w:ascii="Times New Roman" w:hAnsi="Times New Roman"/>
          <w:sz w:val="24"/>
        </w:rPr>
        <w:t>型声级计。监测方法按照《声环境质量标准》（</w:t>
      </w:r>
      <w:r>
        <w:rPr>
          <w:rFonts w:ascii="Times New Roman" w:hAnsi="Times New Roman"/>
          <w:sz w:val="24"/>
        </w:rPr>
        <w:t>GB3096-2008</w:t>
      </w:r>
      <w:r>
        <w:rPr>
          <w:rFonts w:ascii="Times New Roman" w:hAnsi="Times New Roman"/>
          <w:sz w:val="24"/>
        </w:rPr>
        <w:t>）和《工业企业厂界环境噪声排放标准》（</w:t>
      </w:r>
      <w:r>
        <w:rPr>
          <w:rFonts w:ascii="Times New Roman" w:hAnsi="Times New Roman"/>
          <w:sz w:val="24"/>
        </w:rPr>
        <w:t>GB12348-2008</w:t>
      </w:r>
      <w:r>
        <w:rPr>
          <w:rFonts w:ascii="Times New Roman" w:hAnsi="Times New Roman"/>
          <w:sz w:val="24"/>
        </w:rPr>
        <w:t>）相关监测规定进行。</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）监测时间</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监测时间为</w:t>
      </w:r>
      <w:r>
        <w:rPr>
          <w:rFonts w:ascii="Times New Roman" w:hAnsi="Times New Roman"/>
          <w:sz w:val="24"/>
        </w:rPr>
        <w:t>2020</w:t>
      </w:r>
      <w:r>
        <w:rPr>
          <w:rFonts w:ascii="Times New Roman" w:hAnsi="Times New Roman"/>
          <w:sz w:val="24"/>
        </w:rPr>
        <w:t>年</w:t>
      </w:r>
      <w:r>
        <w:rPr>
          <w:rFonts w:ascii="Times New Roman" w:hAnsi="Times New Roman"/>
          <w:sz w:val="24"/>
        </w:rPr>
        <w:t>4</w:t>
      </w:r>
      <w:r>
        <w:rPr>
          <w:rFonts w:ascii="Times New Roman" w:hAnsi="Times New Roman"/>
          <w:sz w:val="24"/>
        </w:rPr>
        <w:t>月</w:t>
      </w:r>
      <w:r>
        <w:rPr>
          <w:rFonts w:ascii="Times New Roman" w:hAnsi="Times New Roman"/>
          <w:sz w:val="24"/>
        </w:rPr>
        <w:t>21</w:t>
      </w:r>
      <w:r>
        <w:rPr>
          <w:rFonts w:ascii="Times New Roman" w:hAnsi="Times New Roman"/>
          <w:sz w:val="24"/>
        </w:rPr>
        <w:t>日，分别在昼间和夜间进行监测。</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）监测结果</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监测结果见表</w:t>
      </w:r>
      <w:r>
        <w:rPr>
          <w:rFonts w:ascii="Times New Roman" w:hAnsi="Times New Roman"/>
          <w:sz w:val="24"/>
        </w:rPr>
        <w:t>4.3-7</w:t>
      </w:r>
      <w:r>
        <w:rPr>
          <w:rFonts w:ascii="Times New Roman" w:hAnsi="Times New Roman"/>
          <w:sz w:val="24"/>
        </w:rPr>
        <w:t>。</w:t>
      </w:r>
    </w:p>
    <w:p w:rsidR="00525419" w:rsidRDefault="00EE1CF7">
      <w:pPr>
        <w:widowControl/>
        <w:adjustRightInd w:val="0"/>
        <w:snapToGrid w:val="0"/>
        <w:spacing w:before="120"/>
        <w:jc w:val="center"/>
        <w:rPr>
          <w:rFonts w:ascii="Times New Roman" w:eastAsia="黑体" w:hAnsi="Times New Roman"/>
          <w:bCs/>
          <w:snapToGrid w:val="0"/>
          <w:kern w:val="0"/>
          <w:szCs w:val="21"/>
        </w:rPr>
      </w:pPr>
      <w:r>
        <w:rPr>
          <w:rFonts w:ascii="Times New Roman" w:eastAsia="黑体" w:hAnsi="Times New Roman"/>
          <w:bCs/>
          <w:snapToGrid w:val="0"/>
          <w:kern w:val="0"/>
          <w:szCs w:val="21"/>
        </w:rPr>
        <w:t xml:space="preserve">  </w:t>
      </w:r>
      <w:r>
        <w:rPr>
          <w:rFonts w:ascii="Times New Roman" w:eastAsia="黑体" w:hAnsi="Times New Roman"/>
          <w:bCs/>
          <w:snapToGrid w:val="0"/>
          <w:kern w:val="0"/>
          <w:szCs w:val="21"/>
        </w:rPr>
        <w:t>表</w:t>
      </w:r>
      <w:r>
        <w:rPr>
          <w:rFonts w:ascii="Times New Roman" w:eastAsia="黑体" w:hAnsi="Times New Roman"/>
          <w:bCs/>
          <w:snapToGrid w:val="0"/>
          <w:kern w:val="0"/>
          <w:szCs w:val="21"/>
        </w:rPr>
        <w:t xml:space="preserve">4.3-7       </w:t>
      </w:r>
      <w:r>
        <w:rPr>
          <w:rFonts w:ascii="Times New Roman" w:eastAsia="黑体" w:hAnsi="Times New Roman"/>
          <w:bCs/>
          <w:snapToGrid w:val="0"/>
          <w:kern w:val="0"/>
          <w:szCs w:val="21"/>
        </w:rPr>
        <w:t xml:space="preserve">厂界噪声现状监测值和评价结果　</w:t>
      </w:r>
      <w:r>
        <w:rPr>
          <w:rFonts w:ascii="Times New Roman" w:eastAsia="黑体" w:hAnsi="Times New Roman"/>
          <w:bCs/>
          <w:snapToGrid w:val="0"/>
          <w:kern w:val="0"/>
          <w:szCs w:val="21"/>
        </w:rPr>
        <w:t xml:space="preserve">            </w:t>
      </w:r>
      <w:r>
        <w:rPr>
          <w:rFonts w:ascii="Times New Roman" w:eastAsia="黑体" w:hAnsi="Times New Roman"/>
          <w:bCs/>
          <w:snapToGrid w:val="0"/>
          <w:kern w:val="0"/>
          <w:szCs w:val="21"/>
        </w:rPr>
        <w:t xml:space="preserve">　单位：</w:t>
      </w:r>
      <w:r>
        <w:rPr>
          <w:rFonts w:ascii="Times New Roman" w:eastAsia="黑体" w:hAnsi="Times New Roman"/>
          <w:bCs/>
          <w:snapToGrid w:val="0"/>
          <w:kern w:val="0"/>
          <w:szCs w:val="21"/>
        </w:rPr>
        <w:t>dB</w:t>
      </w:r>
      <w:r>
        <w:rPr>
          <w:rFonts w:ascii="Times New Roman" w:eastAsia="黑体" w:hAnsi="Times New Roman"/>
          <w:bCs/>
          <w:snapToGrid w:val="0"/>
          <w:kern w:val="0"/>
          <w:szCs w:val="21"/>
        </w:rPr>
        <w:t>（</w:t>
      </w:r>
      <w:r>
        <w:rPr>
          <w:rFonts w:ascii="Times New Roman" w:eastAsia="黑体" w:hAnsi="Times New Roman"/>
          <w:bCs/>
          <w:snapToGrid w:val="0"/>
          <w:kern w:val="0"/>
          <w:szCs w:val="21"/>
        </w:rPr>
        <w:t>A</w:t>
      </w:r>
      <w:r>
        <w:rPr>
          <w:rFonts w:ascii="Times New Roman" w:eastAsia="黑体" w:hAnsi="Times New Roman"/>
          <w:bCs/>
          <w:snapToGrid w:val="0"/>
          <w:kern w:val="0"/>
          <w:szCs w:val="21"/>
        </w:rPr>
        <w:t>）</w:t>
      </w:r>
    </w:p>
    <w:tbl>
      <w:tblPr>
        <w:tblW w:w="85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62"/>
        <w:gridCol w:w="1730"/>
        <w:gridCol w:w="1460"/>
        <w:gridCol w:w="1460"/>
        <w:gridCol w:w="1461"/>
        <w:gridCol w:w="1461"/>
      </w:tblGrid>
      <w:tr w:rsidR="00525419">
        <w:trPr>
          <w:trHeight w:hRule="exact" w:val="284"/>
          <w:jc w:val="center"/>
        </w:trPr>
        <w:tc>
          <w:tcPr>
            <w:tcW w:w="962" w:type="dxa"/>
            <w:vMerge w:val="restart"/>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序号</w:t>
            </w:r>
          </w:p>
        </w:tc>
        <w:tc>
          <w:tcPr>
            <w:tcW w:w="1730" w:type="dxa"/>
            <w:vMerge w:val="restart"/>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监测点</w:t>
            </w:r>
          </w:p>
        </w:tc>
        <w:tc>
          <w:tcPr>
            <w:tcW w:w="5842" w:type="dxa"/>
            <w:gridSpan w:val="4"/>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监测结果</w:t>
            </w:r>
          </w:p>
        </w:tc>
      </w:tr>
      <w:tr w:rsidR="00525419">
        <w:trPr>
          <w:trHeight w:hRule="exact" w:val="284"/>
          <w:jc w:val="center"/>
        </w:trPr>
        <w:tc>
          <w:tcPr>
            <w:tcW w:w="962"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730"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46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昼间</w:t>
            </w:r>
          </w:p>
        </w:tc>
        <w:tc>
          <w:tcPr>
            <w:tcW w:w="146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标准</w:t>
            </w:r>
          </w:p>
        </w:tc>
        <w:tc>
          <w:tcPr>
            <w:tcW w:w="146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夜间</w:t>
            </w:r>
          </w:p>
        </w:tc>
        <w:tc>
          <w:tcPr>
            <w:tcW w:w="146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标准</w:t>
            </w:r>
          </w:p>
        </w:tc>
      </w:tr>
      <w:tr w:rsidR="00525419">
        <w:trPr>
          <w:trHeight w:hRule="exact" w:val="284"/>
          <w:jc w:val="center"/>
        </w:trPr>
        <w:tc>
          <w:tcPr>
            <w:tcW w:w="96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1#</w:t>
            </w:r>
          </w:p>
        </w:tc>
        <w:tc>
          <w:tcPr>
            <w:tcW w:w="17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东</w:t>
            </w:r>
          </w:p>
        </w:tc>
        <w:tc>
          <w:tcPr>
            <w:tcW w:w="146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53</w:t>
            </w:r>
          </w:p>
        </w:tc>
        <w:tc>
          <w:tcPr>
            <w:tcW w:w="1460" w:type="dxa"/>
            <w:vMerge w:val="restart"/>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65</w:t>
            </w:r>
          </w:p>
        </w:tc>
        <w:tc>
          <w:tcPr>
            <w:tcW w:w="146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52</w:t>
            </w:r>
          </w:p>
        </w:tc>
        <w:tc>
          <w:tcPr>
            <w:tcW w:w="1461" w:type="dxa"/>
            <w:vMerge w:val="restart"/>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55</w:t>
            </w:r>
          </w:p>
        </w:tc>
      </w:tr>
      <w:tr w:rsidR="00525419">
        <w:trPr>
          <w:trHeight w:hRule="exact" w:val="284"/>
          <w:jc w:val="center"/>
        </w:trPr>
        <w:tc>
          <w:tcPr>
            <w:tcW w:w="96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2#</w:t>
            </w:r>
          </w:p>
        </w:tc>
        <w:tc>
          <w:tcPr>
            <w:tcW w:w="17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南</w:t>
            </w:r>
          </w:p>
        </w:tc>
        <w:tc>
          <w:tcPr>
            <w:tcW w:w="146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53</w:t>
            </w:r>
          </w:p>
        </w:tc>
        <w:tc>
          <w:tcPr>
            <w:tcW w:w="1460"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46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50</w:t>
            </w:r>
          </w:p>
        </w:tc>
        <w:tc>
          <w:tcPr>
            <w:tcW w:w="1461" w:type="dxa"/>
            <w:vMerge/>
            <w:tcBorders>
              <w:tl2br w:val="nil"/>
              <w:tr2bl w:val="nil"/>
            </w:tcBorders>
            <w:vAlign w:val="center"/>
          </w:tcPr>
          <w:p w:rsidR="00525419" w:rsidRDefault="00525419">
            <w:pPr>
              <w:spacing w:line="240" w:lineRule="atLeast"/>
              <w:rPr>
                <w:rFonts w:ascii="Times New Roman" w:hAnsi="Times New Roman"/>
                <w:szCs w:val="21"/>
              </w:rPr>
            </w:pPr>
          </w:p>
        </w:tc>
      </w:tr>
      <w:tr w:rsidR="00525419">
        <w:trPr>
          <w:trHeight w:hRule="exact" w:val="284"/>
          <w:jc w:val="center"/>
        </w:trPr>
        <w:tc>
          <w:tcPr>
            <w:tcW w:w="96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3#</w:t>
            </w:r>
          </w:p>
        </w:tc>
        <w:tc>
          <w:tcPr>
            <w:tcW w:w="17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南</w:t>
            </w:r>
          </w:p>
        </w:tc>
        <w:tc>
          <w:tcPr>
            <w:tcW w:w="146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51</w:t>
            </w:r>
          </w:p>
        </w:tc>
        <w:tc>
          <w:tcPr>
            <w:tcW w:w="1460"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46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49</w:t>
            </w:r>
          </w:p>
        </w:tc>
        <w:tc>
          <w:tcPr>
            <w:tcW w:w="1461" w:type="dxa"/>
            <w:vMerge/>
            <w:tcBorders>
              <w:tl2br w:val="nil"/>
              <w:tr2bl w:val="nil"/>
            </w:tcBorders>
            <w:vAlign w:val="center"/>
          </w:tcPr>
          <w:p w:rsidR="00525419" w:rsidRDefault="00525419">
            <w:pPr>
              <w:spacing w:line="240" w:lineRule="atLeast"/>
              <w:rPr>
                <w:rFonts w:ascii="Times New Roman" w:hAnsi="Times New Roman"/>
                <w:szCs w:val="21"/>
              </w:rPr>
            </w:pPr>
          </w:p>
        </w:tc>
      </w:tr>
      <w:tr w:rsidR="00525419">
        <w:trPr>
          <w:trHeight w:hRule="exact" w:val="284"/>
          <w:jc w:val="center"/>
        </w:trPr>
        <w:tc>
          <w:tcPr>
            <w:tcW w:w="96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4#</w:t>
            </w:r>
          </w:p>
        </w:tc>
        <w:tc>
          <w:tcPr>
            <w:tcW w:w="17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西</w:t>
            </w:r>
          </w:p>
        </w:tc>
        <w:tc>
          <w:tcPr>
            <w:tcW w:w="146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53</w:t>
            </w:r>
          </w:p>
        </w:tc>
        <w:tc>
          <w:tcPr>
            <w:tcW w:w="1460"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46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50</w:t>
            </w:r>
          </w:p>
        </w:tc>
        <w:tc>
          <w:tcPr>
            <w:tcW w:w="1461" w:type="dxa"/>
            <w:vMerge/>
            <w:tcBorders>
              <w:tl2br w:val="nil"/>
              <w:tr2bl w:val="nil"/>
            </w:tcBorders>
            <w:vAlign w:val="center"/>
          </w:tcPr>
          <w:p w:rsidR="00525419" w:rsidRDefault="00525419">
            <w:pPr>
              <w:spacing w:line="240" w:lineRule="atLeast"/>
              <w:rPr>
                <w:rFonts w:ascii="Times New Roman" w:hAnsi="Times New Roman"/>
                <w:szCs w:val="21"/>
              </w:rPr>
            </w:pPr>
          </w:p>
        </w:tc>
      </w:tr>
      <w:tr w:rsidR="00525419">
        <w:trPr>
          <w:trHeight w:hRule="exact" w:val="284"/>
          <w:jc w:val="center"/>
        </w:trPr>
        <w:tc>
          <w:tcPr>
            <w:tcW w:w="96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5#</w:t>
            </w:r>
          </w:p>
        </w:tc>
        <w:tc>
          <w:tcPr>
            <w:tcW w:w="17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北</w:t>
            </w:r>
          </w:p>
        </w:tc>
        <w:tc>
          <w:tcPr>
            <w:tcW w:w="146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49</w:t>
            </w:r>
          </w:p>
        </w:tc>
        <w:tc>
          <w:tcPr>
            <w:tcW w:w="1460"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46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50</w:t>
            </w:r>
          </w:p>
        </w:tc>
        <w:tc>
          <w:tcPr>
            <w:tcW w:w="1461" w:type="dxa"/>
            <w:vMerge/>
            <w:tcBorders>
              <w:tl2br w:val="nil"/>
              <w:tr2bl w:val="nil"/>
            </w:tcBorders>
            <w:vAlign w:val="center"/>
          </w:tcPr>
          <w:p w:rsidR="00525419" w:rsidRDefault="00525419">
            <w:pPr>
              <w:spacing w:line="240" w:lineRule="atLeast"/>
              <w:rPr>
                <w:rFonts w:ascii="Times New Roman" w:hAnsi="Times New Roman"/>
                <w:szCs w:val="21"/>
              </w:rPr>
            </w:pPr>
          </w:p>
        </w:tc>
      </w:tr>
      <w:tr w:rsidR="00525419">
        <w:trPr>
          <w:trHeight w:hRule="exact" w:val="284"/>
          <w:jc w:val="center"/>
        </w:trPr>
        <w:tc>
          <w:tcPr>
            <w:tcW w:w="962"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6#</w:t>
            </w:r>
          </w:p>
        </w:tc>
        <w:tc>
          <w:tcPr>
            <w:tcW w:w="173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北</w:t>
            </w:r>
          </w:p>
        </w:tc>
        <w:tc>
          <w:tcPr>
            <w:tcW w:w="1460"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51</w:t>
            </w:r>
          </w:p>
        </w:tc>
        <w:tc>
          <w:tcPr>
            <w:tcW w:w="1460" w:type="dxa"/>
            <w:vMerge/>
            <w:tcBorders>
              <w:tl2br w:val="nil"/>
              <w:tr2bl w:val="nil"/>
            </w:tcBorders>
            <w:vAlign w:val="center"/>
          </w:tcPr>
          <w:p w:rsidR="00525419" w:rsidRDefault="00525419">
            <w:pPr>
              <w:spacing w:line="240" w:lineRule="atLeast"/>
              <w:jc w:val="center"/>
              <w:rPr>
                <w:rFonts w:ascii="Times New Roman" w:hAnsi="Times New Roman"/>
                <w:szCs w:val="21"/>
              </w:rPr>
            </w:pPr>
          </w:p>
        </w:tc>
        <w:tc>
          <w:tcPr>
            <w:tcW w:w="1461" w:type="dxa"/>
            <w:tcBorders>
              <w:tl2br w:val="nil"/>
              <w:tr2bl w:val="nil"/>
            </w:tcBorders>
            <w:vAlign w:val="center"/>
          </w:tcPr>
          <w:p w:rsidR="00525419" w:rsidRDefault="00EE1CF7">
            <w:pPr>
              <w:spacing w:line="240" w:lineRule="atLeast"/>
              <w:jc w:val="center"/>
              <w:rPr>
                <w:rFonts w:ascii="Times New Roman" w:hAnsi="Times New Roman"/>
                <w:szCs w:val="21"/>
              </w:rPr>
            </w:pPr>
            <w:r>
              <w:rPr>
                <w:rFonts w:ascii="Times New Roman" w:hAnsi="Times New Roman"/>
                <w:szCs w:val="21"/>
              </w:rPr>
              <w:t>48</w:t>
            </w:r>
          </w:p>
        </w:tc>
        <w:tc>
          <w:tcPr>
            <w:tcW w:w="1461" w:type="dxa"/>
            <w:vMerge/>
            <w:tcBorders>
              <w:tl2br w:val="nil"/>
              <w:tr2bl w:val="nil"/>
            </w:tcBorders>
            <w:vAlign w:val="center"/>
          </w:tcPr>
          <w:p w:rsidR="00525419" w:rsidRDefault="00525419">
            <w:pPr>
              <w:spacing w:line="240" w:lineRule="atLeast"/>
              <w:rPr>
                <w:rFonts w:ascii="Times New Roman" w:hAnsi="Times New Roman"/>
                <w:szCs w:val="21"/>
              </w:rPr>
            </w:pPr>
          </w:p>
        </w:tc>
      </w:tr>
    </w:tbl>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4.3.3.2</w:t>
      </w:r>
      <w:r>
        <w:rPr>
          <w:rFonts w:ascii="Times New Roman" w:hAnsi="Times New Roman" w:cs="Times New Roman"/>
          <w:kern w:val="44"/>
          <w:sz w:val="24"/>
          <w:szCs w:val="24"/>
        </w:rPr>
        <w:t>噪声现状评价</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）评价标准</w:t>
      </w:r>
    </w:p>
    <w:p w:rsidR="00525419" w:rsidRDefault="00EE1CF7">
      <w:pPr>
        <w:spacing w:line="360" w:lineRule="auto"/>
        <w:ind w:firstLineChars="200" w:firstLine="480"/>
        <w:rPr>
          <w:rFonts w:ascii="Times New Roman" w:hAnsi="Times New Roman"/>
          <w:sz w:val="24"/>
          <w:lang w:val="zh-CN"/>
        </w:rPr>
      </w:pPr>
      <w:r>
        <w:rPr>
          <w:rFonts w:ascii="Times New Roman" w:hAnsi="Times New Roman"/>
          <w:sz w:val="24"/>
          <w:lang w:val="zh-CN"/>
        </w:rPr>
        <w:t>评价区为</w:t>
      </w:r>
      <w:r>
        <w:rPr>
          <w:rFonts w:ascii="Times New Roman" w:hAnsi="Times New Roman"/>
          <w:sz w:val="24"/>
          <w:lang w:val="zh-CN"/>
        </w:rPr>
        <w:t>3</w:t>
      </w:r>
      <w:r>
        <w:rPr>
          <w:rFonts w:ascii="Times New Roman" w:hAnsi="Times New Roman"/>
          <w:sz w:val="24"/>
          <w:lang w:val="zh-CN"/>
        </w:rPr>
        <w:t>类声环境功能区，评价标准执行《声环境质量标准》（</w:t>
      </w:r>
      <w:r>
        <w:rPr>
          <w:rFonts w:ascii="Times New Roman" w:hAnsi="Times New Roman"/>
          <w:sz w:val="24"/>
          <w:lang w:val="zh-CN"/>
        </w:rPr>
        <w:t>GB3096-2008</w:t>
      </w:r>
      <w:r>
        <w:rPr>
          <w:rFonts w:ascii="Times New Roman" w:hAnsi="Times New Roman"/>
          <w:sz w:val="24"/>
          <w:lang w:val="zh-CN"/>
        </w:rPr>
        <w:t>）中</w:t>
      </w:r>
      <w:r>
        <w:rPr>
          <w:rFonts w:ascii="Times New Roman" w:hAnsi="Times New Roman"/>
          <w:sz w:val="24"/>
          <w:lang w:val="zh-CN"/>
        </w:rPr>
        <w:t>3</w:t>
      </w:r>
      <w:r>
        <w:rPr>
          <w:rFonts w:ascii="Times New Roman" w:hAnsi="Times New Roman"/>
          <w:sz w:val="24"/>
          <w:lang w:val="zh-CN"/>
        </w:rPr>
        <w:t>类区相应标准，即：昼间</w:t>
      </w:r>
      <w:r>
        <w:rPr>
          <w:rFonts w:ascii="Times New Roman" w:hAnsi="Times New Roman"/>
          <w:sz w:val="24"/>
          <w:lang w:val="zh-CN"/>
        </w:rPr>
        <w:t>≤65 dB(A)</w:t>
      </w:r>
      <w:r>
        <w:rPr>
          <w:rFonts w:ascii="Times New Roman" w:hAnsi="Times New Roman"/>
          <w:sz w:val="24"/>
          <w:lang w:val="zh-CN"/>
        </w:rPr>
        <w:t>，夜间</w:t>
      </w:r>
      <w:r>
        <w:rPr>
          <w:rFonts w:ascii="Times New Roman" w:hAnsi="Times New Roman"/>
          <w:sz w:val="24"/>
          <w:lang w:val="zh-CN"/>
        </w:rPr>
        <w:t>≤55dB(A)</w:t>
      </w:r>
      <w:r>
        <w:rPr>
          <w:rFonts w:ascii="Times New Roman" w:hAnsi="Times New Roman"/>
          <w:sz w:val="24"/>
          <w:lang w:val="zh-CN"/>
        </w:rPr>
        <w:t>。</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）评价方法</w:t>
      </w:r>
    </w:p>
    <w:p w:rsidR="00525419" w:rsidRDefault="00EE1CF7">
      <w:pPr>
        <w:spacing w:line="360" w:lineRule="auto"/>
        <w:ind w:firstLineChars="200" w:firstLine="480"/>
        <w:rPr>
          <w:rFonts w:ascii="Times New Roman" w:hAnsi="Times New Roman"/>
          <w:sz w:val="24"/>
          <w:lang w:val="zh-CN"/>
        </w:rPr>
      </w:pPr>
      <w:r>
        <w:rPr>
          <w:rFonts w:ascii="Times New Roman" w:hAnsi="Times New Roman"/>
          <w:sz w:val="24"/>
          <w:lang w:val="zh-CN"/>
        </w:rPr>
        <w:t>采用监测数据与标准限值对比的方法进行声环境质量现状评价。</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）评价结果</w:t>
      </w:r>
    </w:p>
    <w:p w:rsidR="00525419" w:rsidRDefault="00EE1CF7">
      <w:pPr>
        <w:spacing w:line="360" w:lineRule="auto"/>
        <w:ind w:firstLineChars="200" w:firstLine="480"/>
        <w:rPr>
          <w:rFonts w:ascii="Times New Roman" w:hAnsi="Times New Roman"/>
          <w:sz w:val="24"/>
        </w:rPr>
      </w:pPr>
      <w:r>
        <w:rPr>
          <w:rFonts w:ascii="Times New Roman" w:hAnsi="Times New Roman"/>
          <w:sz w:val="24"/>
        </w:rPr>
        <w:lastRenderedPageBreak/>
        <w:t>由表</w:t>
      </w:r>
      <w:r>
        <w:rPr>
          <w:rFonts w:ascii="Times New Roman" w:hAnsi="Times New Roman"/>
          <w:sz w:val="24"/>
        </w:rPr>
        <w:t>4.3-7</w:t>
      </w:r>
      <w:r>
        <w:rPr>
          <w:rFonts w:ascii="Times New Roman" w:hAnsi="Times New Roman"/>
          <w:sz w:val="24"/>
        </w:rPr>
        <w:t>可知，所有监测点位昼、夜连续等效声级均未超过《声环境质量标准》（</w:t>
      </w:r>
      <w:r>
        <w:rPr>
          <w:rFonts w:ascii="Times New Roman" w:hAnsi="Times New Roman"/>
          <w:sz w:val="24"/>
        </w:rPr>
        <w:t>GB3096-2008</w:t>
      </w:r>
      <w:r>
        <w:rPr>
          <w:rFonts w:ascii="Times New Roman" w:hAnsi="Times New Roman"/>
          <w:sz w:val="24"/>
        </w:rPr>
        <w:t>）中</w:t>
      </w:r>
      <w:r>
        <w:rPr>
          <w:rFonts w:ascii="Times New Roman" w:hAnsi="Times New Roman"/>
          <w:sz w:val="24"/>
        </w:rPr>
        <w:t>3</w:t>
      </w:r>
      <w:r>
        <w:rPr>
          <w:rFonts w:ascii="Times New Roman" w:hAnsi="Times New Roman"/>
          <w:sz w:val="24"/>
        </w:rPr>
        <w:t>类区标准限值，本项目所在厂区四周的声环境质量较好。</w:t>
      </w:r>
    </w:p>
    <w:p w:rsidR="00525419" w:rsidRDefault="00EE1CF7">
      <w:pPr>
        <w:pStyle w:val="3a"/>
        <w:spacing w:beforeLines="50" w:before="159" w:after="156" w:line="360" w:lineRule="auto"/>
        <w:jc w:val="left"/>
        <w:rPr>
          <w:rFonts w:ascii="Times New Roman" w:eastAsia="华文楷体" w:hAnsi="Times New Roman"/>
        </w:rPr>
      </w:pPr>
      <w:r>
        <w:rPr>
          <w:rFonts w:ascii="Times New Roman" w:eastAsia="华文楷体" w:hAnsi="Times New Roman"/>
        </w:rPr>
        <w:t>4.3.4</w:t>
      </w:r>
      <w:r>
        <w:rPr>
          <w:rFonts w:ascii="Times New Roman" w:eastAsia="华文楷体" w:hAnsi="Times New Roman"/>
        </w:rPr>
        <w:t>土壤环境质量现状</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4.3.4.1</w:t>
      </w:r>
      <w:r>
        <w:rPr>
          <w:rFonts w:ascii="Times New Roman" w:hAnsi="Times New Roman" w:cs="Times New Roman"/>
          <w:kern w:val="44"/>
          <w:sz w:val="24"/>
          <w:szCs w:val="24"/>
        </w:rPr>
        <w:t>监测布点</w:t>
      </w:r>
    </w:p>
    <w:p w:rsidR="00525419" w:rsidRDefault="00EE1CF7">
      <w:pPr>
        <w:widowControl/>
        <w:spacing w:line="360" w:lineRule="auto"/>
        <w:ind w:firstLineChars="200" w:firstLine="480"/>
        <w:rPr>
          <w:rFonts w:ascii="Times New Roman" w:hAnsi="Times New Roman"/>
          <w:kern w:val="0"/>
          <w:sz w:val="24"/>
          <w:szCs w:val="24"/>
        </w:rPr>
      </w:pPr>
      <w:r>
        <w:rPr>
          <w:rFonts w:ascii="Times New Roman" w:hAnsi="Times New Roman"/>
          <w:kern w:val="0"/>
          <w:sz w:val="24"/>
          <w:szCs w:val="24"/>
        </w:rPr>
        <w:t>2020</w:t>
      </w:r>
      <w:r>
        <w:rPr>
          <w:rFonts w:ascii="Times New Roman" w:hAnsi="Times New Roman"/>
          <w:kern w:val="0"/>
          <w:sz w:val="24"/>
          <w:szCs w:val="24"/>
        </w:rPr>
        <w:t>年</w:t>
      </w:r>
      <w:r>
        <w:rPr>
          <w:rFonts w:ascii="Times New Roman" w:hAnsi="Times New Roman"/>
          <w:kern w:val="0"/>
          <w:sz w:val="24"/>
          <w:szCs w:val="24"/>
        </w:rPr>
        <w:t>04</w:t>
      </w:r>
      <w:r>
        <w:rPr>
          <w:rFonts w:ascii="Times New Roman" w:hAnsi="Times New Roman"/>
          <w:kern w:val="0"/>
          <w:sz w:val="24"/>
          <w:szCs w:val="24"/>
        </w:rPr>
        <w:t>月</w:t>
      </w:r>
      <w:r>
        <w:rPr>
          <w:rFonts w:ascii="Times New Roman" w:hAnsi="Times New Roman"/>
          <w:kern w:val="0"/>
          <w:sz w:val="24"/>
          <w:szCs w:val="24"/>
        </w:rPr>
        <w:t>22</w:t>
      </w:r>
      <w:r>
        <w:rPr>
          <w:rFonts w:ascii="Times New Roman" w:hAnsi="Times New Roman"/>
          <w:kern w:val="0"/>
          <w:sz w:val="24"/>
          <w:szCs w:val="24"/>
        </w:rPr>
        <w:t>日，新疆锡水金山环境科技有限公司对项目区土壤环境质量进行了监测。监测点布设为：用地范围内布设</w:t>
      </w:r>
      <w:r>
        <w:rPr>
          <w:rFonts w:ascii="Times New Roman" w:hAnsi="Times New Roman"/>
          <w:kern w:val="0"/>
          <w:sz w:val="24"/>
          <w:szCs w:val="24"/>
        </w:rPr>
        <w:t>3</w:t>
      </w:r>
      <w:r>
        <w:rPr>
          <w:rFonts w:ascii="Times New Roman" w:hAnsi="Times New Roman"/>
          <w:kern w:val="0"/>
          <w:sz w:val="24"/>
          <w:szCs w:val="24"/>
        </w:rPr>
        <w:t>个柱状样点，采样深度分为</w:t>
      </w:r>
      <w:r>
        <w:rPr>
          <w:rFonts w:ascii="Times New Roman" w:hAnsi="Times New Roman"/>
          <w:kern w:val="0"/>
          <w:sz w:val="24"/>
          <w:szCs w:val="24"/>
        </w:rPr>
        <w:t>0.5m</w:t>
      </w:r>
      <w:r>
        <w:rPr>
          <w:rFonts w:ascii="Times New Roman" w:hAnsi="Times New Roman"/>
          <w:kern w:val="0"/>
          <w:sz w:val="24"/>
          <w:szCs w:val="24"/>
        </w:rPr>
        <w:t>、</w:t>
      </w:r>
      <w:r>
        <w:rPr>
          <w:rFonts w:ascii="Times New Roman" w:hAnsi="Times New Roman"/>
          <w:kern w:val="0"/>
          <w:sz w:val="24"/>
          <w:szCs w:val="24"/>
        </w:rPr>
        <w:t>1m</w:t>
      </w:r>
      <w:r>
        <w:rPr>
          <w:rFonts w:ascii="Times New Roman" w:hAnsi="Times New Roman"/>
          <w:kern w:val="0"/>
          <w:sz w:val="24"/>
          <w:szCs w:val="24"/>
        </w:rPr>
        <w:t>、</w:t>
      </w:r>
      <w:r>
        <w:rPr>
          <w:rFonts w:ascii="Times New Roman" w:hAnsi="Times New Roman"/>
          <w:kern w:val="0"/>
          <w:sz w:val="24"/>
          <w:szCs w:val="24"/>
        </w:rPr>
        <w:t>1.5m</w:t>
      </w:r>
      <w:r>
        <w:rPr>
          <w:rFonts w:ascii="Times New Roman" w:hAnsi="Times New Roman"/>
          <w:kern w:val="0"/>
          <w:sz w:val="24"/>
          <w:szCs w:val="24"/>
        </w:rPr>
        <w:t>；厂界外布设</w:t>
      </w:r>
      <w:r>
        <w:rPr>
          <w:rFonts w:ascii="Times New Roman" w:hAnsi="Times New Roman"/>
          <w:kern w:val="0"/>
          <w:sz w:val="24"/>
          <w:szCs w:val="24"/>
        </w:rPr>
        <w:t>2</w:t>
      </w:r>
      <w:r>
        <w:rPr>
          <w:rFonts w:ascii="Times New Roman" w:hAnsi="Times New Roman"/>
          <w:kern w:val="0"/>
          <w:sz w:val="24"/>
          <w:szCs w:val="24"/>
        </w:rPr>
        <w:t>个表层样点</w:t>
      </w:r>
      <w:r>
        <w:rPr>
          <w:rFonts w:ascii="Times New Roman" w:hAnsi="Times New Roman" w:hint="eastAsia"/>
          <w:kern w:val="0"/>
          <w:sz w:val="24"/>
          <w:szCs w:val="24"/>
        </w:rPr>
        <w:t>，采样深度为</w:t>
      </w:r>
      <w:r>
        <w:rPr>
          <w:rFonts w:ascii="Times New Roman" w:hAnsi="Times New Roman" w:hint="eastAsia"/>
          <w:kern w:val="0"/>
          <w:sz w:val="24"/>
          <w:szCs w:val="24"/>
        </w:rPr>
        <w:t>0.2m</w:t>
      </w:r>
      <w:r>
        <w:rPr>
          <w:rFonts w:ascii="Times New Roman" w:hAnsi="Times New Roman"/>
          <w:kern w:val="0"/>
          <w:sz w:val="24"/>
          <w:szCs w:val="24"/>
        </w:rPr>
        <w:t>。</w:t>
      </w:r>
    </w:p>
    <w:p w:rsidR="00525419" w:rsidRDefault="00EE1CF7">
      <w:pPr>
        <w:widowControl/>
        <w:spacing w:line="360" w:lineRule="auto"/>
        <w:ind w:firstLineChars="200" w:firstLine="480"/>
        <w:rPr>
          <w:rFonts w:ascii="Times New Roman" w:hAnsi="Times New Roman"/>
          <w:kern w:val="0"/>
          <w:sz w:val="24"/>
          <w:szCs w:val="24"/>
        </w:rPr>
      </w:pPr>
      <w:r>
        <w:rPr>
          <w:rFonts w:ascii="Times New Roman" w:hAnsi="Times New Roman"/>
          <w:kern w:val="0"/>
          <w:sz w:val="24"/>
          <w:szCs w:val="24"/>
        </w:rPr>
        <w:t>项目区内表层样引用建设单位厂区土壤现状监测数据</w:t>
      </w:r>
      <w:r>
        <w:rPr>
          <w:rFonts w:ascii="Times New Roman" w:hAnsi="Times New Roman" w:hint="eastAsia"/>
          <w:kern w:val="0"/>
          <w:sz w:val="24"/>
          <w:szCs w:val="24"/>
        </w:rPr>
        <w:t>：</w:t>
      </w:r>
      <w:r>
        <w:rPr>
          <w:rFonts w:ascii="Times New Roman" w:hAnsi="Times New Roman"/>
          <w:kern w:val="0"/>
          <w:sz w:val="24"/>
          <w:szCs w:val="24"/>
        </w:rPr>
        <w:t>《新疆美汇特石化产品有限公司</w:t>
      </w:r>
      <w:r>
        <w:rPr>
          <w:rFonts w:ascii="Times New Roman" w:hAnsi="Times New Roman"/>
          <w:kern w:val="0"/>
          <w:sz w:val="24"/>
          <w:szCs w:val="24"/>
        </w:rPr>
        <w:t>12</w:t>
      </w:r>
      <w:r>
        <w:rPr>
          <w:rFonts w:ascii="Times New Roman" w:hAnsi="Times New Roman"/>
          <w:kern w:val="0"/>
          <w:sz w:val="24"/>
          <w:szCs w:val="24"/>
        </w:rPr>
        <w:t>万吨</w:t>
      </w:r>
      <w:r>
        <w:rPr>
          <w:rFonts w:ascii="Times New Roman" w:hAnsi="Times New Roman"/>
          <w:kern w:val="0"/>
          <w:sz w:val="24"/>
          <w:szCs w:val="24"/>
        </w:rPr>
        <w:t>/</w:t>
      </w:r>
      <w:r>
        <w:rPr>
          <w:rFonts w:ascii="Times New Roman" w:hAnsi="Times New Roman"/>
          <w:kern w:val="0"/>
          <w:sz w:val="24"/>
          <w:szCs w:val="24"/>
        </w:rPr>
        <w:t>年重交沥青改性建设项目及公用辅助工程》中</w:t>
      </w:r>
      <w:r>
        <w:rPr>
          <w:rFonts w:ascii="Times New Roman" w:hAnsi="Times New Roman"/>
          <w:kern w:val="0"/>
          <w:sz w:val="24"/>
          <w:szCs w:val="24"/>
        </w:rPr>
        <w:t>GB36600</w:t>
      </w:r>
      <w:r>
        <w:rPr>
          <w:rFonts w:ascii="Times New Roman" w:hAnsi="Times New Roman"/>
          <w:kern w:val="0"/>
          <w:sz w:val="24"/>
          <w:szCs w:val="24"/>
        </w:rPr>
        <w:t>基本项目</w:t>
      </w:r>
      <w:r>
        <w:rPr>
          <w:rFonts w:ascii="Times New Roman" w:hAnsi="Times New Roman"/>
          <w:kern w:val="0"/>
          <w:sz w:val="24"/>
          <w:szCs w:val="24"/>
        </w:rPr>
        <w:t>45</w:t>
      </w:r>
      <w:r>
        <w:rPr>
          <w:rFonts w:ascii="Times New Roman" w:hAnsi="Times New Roman"/>
          <w:kern w:val="0"/>
          <w:sz w:val="24"/>
          <w:szCs w:val="24"/>
        </w:rPr>
        <w:t>项现状监测数据，监测时间为</w:t>
      </w:r>
      <w:r>
        <w:rPr>
          <w:rFonts w:ascii="Times New Roman" w:hAnsi="Times New Roman"/>
          <w:kern w:val="0"/>
          <w:sz w:val="24"/>
          <w:szCs w:val="24"/>
        </w:rPr>
        <w:t>2019</w:t>
      </w:r>
      <w:r>
        <w:rPr>
          <w:rFonts w:ascii="Times New Roman" w:hAnsi="Times New Roman"/>
          <w:kern w:val="0"/>
          <w:sz w:val="24"/>
          <w:szCs w:val="24"/>
        </w:rPr>
        <w:t>年</w:t>
      </w:r>
      <w:r>
        <w:rPr>
          <w:rFonts w:ascii="Times New Roman" w:hAnsi="Times New Roman"/>
          <w:kern w:val="0"/>
          <w:sz w:val="24"/>
          <w:szCs w:val="24"/>
        </w:rPr>
        <w:t>8</w:t>
      </w:r>
      <w:r>
        <w:rPr>
          <w:rFonts w:ascii="Times New Roman" w:hAnsi="Times New Roman"/>
          <w:kern w:val="0"/>
          <w:sz w:val="24"/>
          <w:szCs w:val="24"/>
        </w:rPr>
        <w:t>月</w:t>
      </w:r>
      <w:r>
        <w:rPr>
          <w:rFonts w:ascii="Times New Roman" w:hAnsi="Times New Roman"/>
          <w:kern w:val="0"/>
          <w:sz w:val="24"/>
          <w:szCs w:val="24"/>
        </w:rPr>
        <w:t>27</w:t>
      </w:r>
      <w:r>
        <w:rPr>
          <w:rFonts w:ascii="Times New Roman" w:hAnsi="Times New Roman"/>
          <w:kern w:val="0"/>
          <w:sz w:val="24"/>
          <w:szCs w:val="24"/>
        </w:rPr>
        <w:t>日；监测单位为新疆新环监测检测研究院，具体见表</w:t>
      </w:r>
      <w:r>
        <w:rPr>
          <w:rFonts w:ascii="Times New Roman" w:hAnsi="Times New Roman"/>
          <w:kern w:val="0"/>
          <w:sz w:val="24"/>
          <w:szCs w:val="24"/>
        </w:rPr>
        <w:t>4.3-8</w:t>
      </w:r>
      <w:r>
        <w:rPr>
          <w:rFonts w:ascii="Times New Roman" w:hAnsi="Times New Roman"/>
          <w:kern w:val="0"/>
          <w:sz w:val="24"/>
          <w:szCs w:val="24"/>
        </w:rPr>
        <w:t>和图</w:t>
      </w:r>
      <w:r>
        <w:rPr>
          <w:rFonts w:ascii="Times New Roman" w:hAnsi="Times New Roman"/>
          <w:kern w:val="0"/>
          <w:sz w:val="24"/>
          <w:szCs w:val="24"/>
        </w:rPr>
        <w:t>4.3-1</w:t>
      </w:r>
      <w:r>
        <w:rPr>
          <w:rFonts w:ascii="Times New Roman" w:hAnsi="Times New Roman"/>
          <w:kern w:val="0"/>
          <w:sz w:val="24"/>
          <w:szCs w:val="24"/>
        </w:rPr>
        <w:t>。</w:t>
      </w:r>
    </w:p>
    <w:p w:rsidR="00525419" w:rsidRDefault="00EE1CF7">
      <w:pPr>
        <w:widowControl/>
        <w:adjustRightInd w:val="0"/>
        <w:snapToGrid w:val="0"/>
        <w:spacing w:before="120"/>
        <w:jc w:val="center"/>
        <w:rPr>
          <w:rFonts w:ascii="Times New Roman" w:eastAsia="黑体" w:hAnsi="Times New Roman"/>
          <w:bCs/>
          <w:snapToGrid w:val="0"/>
          <w:kern w:val="0"/>
          <w:szCs w:val="21"/>
        </w:rPr>
      </w:pPr>
      <w:r>
        <w:rPr>
          <w:rFonts w:ascii="Times New Roman" w:eastAsia="黑体" w:hAnsi="Times New Roman"/>
          <w:bCs/>
          <w:snapToGrid w:val="0"/>
          <w:kern w:val="0"/>
          <w:szCs w:val="21"/>
        </w:rPr>
        <w:t>表</w:t>
      </w:r>
      <w:r>
        <w:rPr>
          <w:rFonts w:ascii="Times New Roman" w:eastAsia="黑体" w:hAnsi="Times New Roman"/>
          <w:bCs/>
          <w:snapToGrid w:val="0"/>
          <w:kern w:val="0"/>
          <w:szCs w:val="21"/>
        </w:rPr>
        <w:t xml:space="preserve">4.3-8    </w:t>
      </w:r>
      <w:r>
        <w:rPr>
          <w:rFonts w:ascii="Times New Roman" w:eastAsia="黑体" w:hAnsi="Times New Roman"/>
          <w:bCs/>
          <w:snapToGrid w:val="0"/>
          <w:kern w:val="0"/>
          <w:szCs w:val="21"/>
        </w:rPr>
        <w:t>土壤监测点位一览表</w:t>
      </w:r>
    </w:p>
    <w:tbl>
      <w:tblPr>
        <w:tblW w:w="85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41"/>
        <w:gridCol w:w="812"/>
        <w:gridCol w:w="2000"/>
        <w:gridCol w:w="625"/>
        <w:gridCol w:w="911"/>
        <w:gridCol w:w="1639"/>
        <w:gridCol w:w="1983"/>
      </w:tblGrid>
      <w:tr w:rsidR="00525419">
        <w:trPr>
          <w:trHeight w:val="397"/>
        </w:trPr>
        <w:tc>
          <w:tcPr>
            <w:tcW w:w="541" w:type="dxa"/>
            <w:vAlign w:val="center"/>
          </w:tcPr>
          <w:p w:rsidR="00525419" w:rsidRDefault="00EE1CF7">
            <w:pPr>
              <w:pStyle w:val="B2"/>
              <w:rPr>
                <w:rFonts w:cs="Times New Roman"/>
              </w:rPr>
            </w:pPr>
            <w:r>
              <w:rPr>
                <w:rFonts w:cs="Times New Roman"/>
              </w:rPr>
              <w:t>序号</w:t>
            </w:r>
          </w:p>
        </w:tc>
        <w:tc>
          <w:tcPr>
            <w:tcW w:w="812" w:type="dxa"/>
            <w:vAlign w:val="center"/>
          </w:tcPr>
          <w:p w:rsidR="00525419" w:rsidRDefault="00EE1CF7">
            <w:pPr>
              <w:pStyle w:val="B2"/>
              <w:rPr>
                <w:rFonts w:cs="Times New Roman"/>
              </w:rPr>
            </w:pPr>
            <w:r>
              <w:rPr>
                <w:rFonts w:cs="Times New Roman"/>
              </w:rPr>
              <w:t>区域</w:t>
            </w:r>
          </w:p>
        </w:tc>
        <w:tc>
          <w:tcPr>
            <w:tcW w:w="2000" w:type="dxa"/>
            <w:vAlign w:val="center"/>
          </w:tcPr>
          <w:p w:rsidR="00525419" w:rsidRDefault="00EE1CF7">
            <w:pPr>
              <w:pStyle w:val="B2"/>
              <w:rPr>
                <w:rFonts w:cs="Times New Roman"/>
              </w:rPr>
            </w:pPr>
            <w:r>
              <w:rPr>
                <w:rFonts w:cs="Times New Roman"/>
              </w:rPr>
              <w:t>监测点名称</w:t>
            </w:r>
          </w:p>
        </w:tc>
        <w:tc>
          <w:tcPr>
            <w:tcW w:w="625" w:type="dxa"/>
            <w:vAlign w:val="center"/>
          </w:tcPr>
          <w:p w:rsidR="00525419" w:rsidRDefault="00EE1CF7">
            <w:pPr>
              <w:pStyle w:val="B2"/>
              <w:rPr>
                <w:rFonts w:cs="Times New Roman"/>
              </w:rPr>
            </w:pPr>
            <w:r>
              <w:rPr>
                <w:rFonts w:cs="Times New Roman"/>
              </w:rPr>
              <w:t>方位</w:t>
            </w:r>
          </w:p>
        </w:tc>
        <w:tc>
          <w:tcPr>
            <w:tcW w:w="911" w:type="dxa"/>
            <w:vAlign w:val="center"/>
          </w:tcPr>
          <w:p w:rsidR="00525419" w:rsidRDefault="00EE1CF7">
            <w:pPr>
              <w:pStyle w:val="B2"/>
              <w:rPr>
                <w:rFonts w:cs="Times New Roman"/>
              </w:rPr>
            </w:pPr>
            <w:r>
              <w:rPr>
                <w:rFonts w:cs="Times New Roman"/>
              </w:rPr>
              <w:t>距离</w:t>
            </w:r>
          </w:p>
        </w:tc>
        <w:tc>
          <w:tcPr>
            <w:tcW w:w="1639" w:type="dxa"/>
            <w:vAlign w:val="center"/>
          </w:tcPr>
          <w:p w:rsidR="00525419" w:rsidRDefault="00EE1CF7">
            <w:pPr>
              <w:pStyle w:val="B2"/>
              <w:rPr>
                <w:rFonts w:cs="Times New Roman"/>
              </w:rPr>
            </w:pPr>
            <w:r>
              <w:rPr>
                <w:rFonts w:cs="Times New Roman"/>
              </w:rPr>
              <w:t>取样深度</w:t>
            </w:r>
          </w:p>
        </w:tc>
        <w:tc>
          <w:tcPr>
            <w:tcW w:w="1983" w:type="dxa"/>
            <w:vAlign w:val="center"/>
          </w:tcPr>
          <w:p w:rsidR="00525419" w:rsidRDefault="00EE1CF7">
            <w:pPr>
              <w:pStyle w:val="B2"/>
              <w:rPr>
                <w:rFonts w:cs="Times New Roman"/>
              </w:rPr>
            </w:pPr>
            <w:r>
              <w:rPr>
                <w:rFonts w:cs="Times New Roman"/>
              </w:rPr>
              <w:t>监测因子</w:t>
            </w:r>
          </w:p>
        </w:tc>
      </w:tr>
      <w:tr w:rsidR="00525419">
        <w:trPr>
          <w:trHeight w:val="90"/>
        </w:trPr>
        <w:tc>
          <w:tcPr>
            <w:tcW w:w="541" w:type="dxa"/>
            <w:vAlign w:val="center"/>
          </w:tcPr>
          <w:p w:rsidR="00525419" w:rsidRDefault="00EE1CF7">
            <w:pPr>
              <w:pStyle w:val="B2"/>
              <w:rPr>
                <w:rFonts w:cs="Times New Roman"/>
              </w:rPr>
            </w:pPr>
            <w:r>
              <w:rPr>
                <w:rFonts w:cs="Times New Roman"/>
              </w:rPr>
              <w:t>1#</w:t>
            </w:r>
          </w:p>
        </w:tc>
        <w:tc>
          <w:tcPr>
            <w:tcW w:w="812" w:type="dxa"/>
            <w:vMerge w:val="restart"/>
            <w:vAlign w:val="center"/>
          </w:tcPr>
          <w:p w:rsidR="00525419" w:rsidRDefault="00EE1CF7">
            <w:pPr>
              <w:pStyle w:val="B2"/>
              <w:rPr>
                <w:rFonts w:cs="Times New Roman"/>
              </w:rPr>
            </w:pPr>
            <w:r>
              <w:rPr>
                <w:rFonts w:cs="Times New Roman"/>
              </w:rPr>
              <w:t>项目区内</w:t>
            </w:r>
          </w:p>
        </w:tc>
        <w:tc>
          <w:tcPr>
            <w:tcW w:w="2000" w:type="dxa"/>
            <w:vAlign w:val="center"/>
          </w:tcPr>
          <w:p w:rsidR="00525419" w:rsidRDefault="00EE1CF7">
            <w:pPr>
              <w:pStyle w:val="B2"/>
              <w:rPr>
                <w:rFonts w:cs="Times New Roman"/>
              </w:rPr>
            </w:pPr>
            <w:r>
              <w:rPr>
                <w:rFonts w:cs="Times New Roman"/>
                <w:lang w:val="zh-CN"/>
              </w:rPr>
              <w:t>项目区东侧储罐区</w:t>
            </w:r>
          </w:p>
        </w:tc>
        <w:tc>
          <w:tcPr>
            <w:tcW w:w="625" w:type="dxa"/>
            <w:vAlign w:val="center"/>
          </w:tcPr>
          <w:p w:rsidR="00525419" w:rsidRDefault="00EE1CF7">
            <w:pPr>
              <w:pStyle w:val="B2"/>
              <w:rPr>
                <w:rFonts w:cs="Times New Roman"/>
              </w:rPr>
            </w:pPr>
            <w:r>
              <w:rPr>
                <w:rFonts w:cs="Times New Roman"/>
              </w:rPr>
              <w:t>-</w:t>
            </w:r>
          </w:p>
        </w:tc>
        <w:tc>
          <w:tcPr>
            <w:tcW w:w="911" w:type="dxa"/>
            <w:vAlign w:val="center"/>
          </w:tcPr>
          <w:p w:rsidR="00525419" w:rsidRDefault="00EE1CF7">
            <w:pPr>
              <w:pStyle w:val="B2"/>
              <w:rPr>
                <w:rFonts w:cs="Times New Roman"/>
              </w:rPr>
            </w:pPr>
            <w:r>
              <w:rPr>
                <w:rFonts w:cs="Times New Roman"/>
              </w:rPr>
              <w:t>-</w:t>
            </w:r>
          </w:p>
        </w:tc>
        <w:tc>
          <w:tcPr>
            <w:tcW w:w="1639" w:type="dxa"/>
            <w:vAlign w:val="center"/>
          </w:tcPr>
          <w:p w:rsidR="00525419" w:rsidRDefault="00EE1CF7">
            <w:pPr>
              <w:pStyle w:val="B2"/>
              <w:rPr>
                <w:rFonts w:cs="Times New Roman"/>
              </w:rPr>
            </w:pPr>
            <w:r>
              <w:rPr>
                <w:rFonts w:cs="Times New Roman"/>
              </w:rPr>
              <w:t>0.5m</w:t>
            </w:r>
            <w:r>
              <w:rPr>
                <w:rFonts w:cs="Times New Roman"/>
              </w:rPr>
              <w:t>、</w:t>
            </w:r>
            <w:r>
              <w:rPr>
                <w:rFonts w:cs="Times New Roman"/>
              </w:rPr>
              <w:t>1m</w:t>
            </w:r>
            <w:r>
              <w:rPr>
                <w:rFonts w:cs="Times New Roman"/>
              </w:rPr>
              <w:t>、</w:t>
            </w:r>
            <w:r>
              <w:rPr>
                <w:rFonts w:cs="Times New Roman"/>
              </w:rPr>
              <w:t>1.5m</w:t>
            </w:r>
          </w:p>
        </w:tc>
        <w:tc>
          <w:tcPr>
            <w:tcW w:w="1983" w:type="dxa"/>
            <w:vMerge w:val="restart"/>
            <w:vAlign w:val="center"/>
          </w:tcPr>
          <w:p w:rsidR="00525419" w:rsidRDefault="00EE1CF7">
            <w:pPr>
              <w:pStyle w:val="B2"/>
              <w:rPr>
                <w:rFonts w:cs="Times New Roman"/>
              </w:rPr>
            </w:pPr>
            <w:r>
              <w:rPr>
                <w:rFonts w:cs="Times New Roman"/>
              </w:rPr>
              <w:t>砷、镉、铬（六价）、铜、铅、汞、镍、石油烃（</w:t>
            </w:r>
            <w:r>
              <w:rPr>
                <w:rFonts w:cs="Times New Roman"/>
              </w:rPr>
              <w:t>C</w:t>
            </w:r>
            <w:r>
              <w:rPr>
                <w:rFonts w:cs="Times New Roman"/>
                <w:vertAlign w:val="subscript"/>
              </w:rPr>
              <w:t>10</w:t>
            </w:r>
            <w:r>
              <w:rPr>
                <w:rFonts w:cs="Times New Roman"/>
              </w:rPr>
              <w:t>-C</w:t>
            </w:r>
            <w:r>
              <w:rPr>
                <w:rFonts w:cs="Times New Roman"/>
                <w:vertAlign w:val="subscript"/>
              </w:rPr>
              <w:t>40</w:t>
            </w:r>
            <w:r>
              <w:rPr>
                <w:rFonts w:cs="Times New Roman"/>
              </w:rPr>
              <w:t>）、</w:t>
            </w:r>
            <w:r>
              <w:rPr>
                <w:rFonts w:cs="Times New Roman"/>
              </w:rPr>
              <w:t>pH</w:t>
            </w:r>
          </w:p>
        </w:tc>
      </w:tr>
      <w:tr w:rsidR="00525419">
        <w:trPr>
          <w:trHeight w:val="397"/>
        </w:trPr>
        <w:tc>
          <w:tcPr>
            <w:tcW w:w="541" w:type="dxa"/>
            <w:vAlign w:val="center"/>
          </w:tcPr>
          <w:p w:rsidR="00525419" w:rsidRDefault="00EE1CF7">
            <w:pPr>
              <w:pStyle w:val="B2"/>
              <w:rPr>
                <w:rFonts w:cs="Times New Roman"/>
              </w:rPr>
            </w:pPr>
            <w:r>
              <w:rPr>
                <w:rFonts w:cs="Times New Roman"/>
              </w:rPr>
              <w:t>2#</w:t>
            </w:r>
          </w:p>
        </w:tc>
        <w:tc>
          <w:tcPr>
            <w:tcW w:w="812" w:type="dxa"/>
            <w:vMerge/>
            <w:vAlign w:val="center"/>
          </w:tcPr>
          <w:p w:rsidR="00525419" w:rsidRDefault="00525419">
            <w:pPr>
              <w:pStyle w:val="B2"/>
              <w:rPr>
                <w:rFonts w:cs="Times New Roman"/>
                <w:lang w:val="zh-CN"/>
              </w:rPr>
            </w:pPr>
          </w:p>
        </w:tc>
        <w:tc>
          <w:tcPr>
            <w:tcW w:w="2000" w:type="dxa"/>
            <w:vAlign w:val="center"/>
          </w:tcPr>
          <w:p w:rsidR="00525419" w:rsidRDefault="00EE1CF7">
            <w:pPr>
              <w:pStyle w:val="B2"/>
              <w:rPr>
                <w:rFonts w:cs="Times New Roman"/>
              </w:rPr>
            </w:pPr>
            <w:r>
              <w:rPr>
                <w:rFonts w:cs="Times New Roman"/>
                <w:lang w:val="zh-CN"/>
              </w:rPr>
              <w:t>项目区</w:t>
            </w:r>
          </w:p>
        </w:tc>
        <w:tc>
          <w:tcPr>
            <w:tcW w:w="625" w:type="dxa"/>
            <w:vAlign w:val="center"/>
          </w:tcPr>
          <w:p w:rsidR="00525419" w:rsidRDefault="00EE1CF7">
            <w:pPr>
              <w:pStyle w:val="B2"/>
              <w:rPr>
                <w:rFonts w:cs="Times New Roman"/>
              </w:rPr>
            </w:pPr>
            <w:r>
              <w:rPr>
                <w:rFonts w:cs="Times New Roman"/>
              </w:rPr>
              <w:t>-</w:t>
            </w:r>
          </w:p>
        </w:tc>
        <w:tc>
          <w:tcPr>
            <w:tcW w:w="911" w:type="dxa"/>
            <w:vAlign w:val="center"/>
          </w:tcPr>
          <w:p w:rsidR="00525419" w:rsidRDefault="00EE1CF7">
            <w:pPr>
              <w:pStyle w:val="B2"/>
              <w:rPr>
                <w:rFonts w:cs="Times New Roman"/>
              </w:rPr>
            </w:pPr>
            <w:r>
              <w:rPr>
                <w:rFonts w:cs="Times New Roman"/>
              </w:rPr>
              <w:t>-</w:t>
            </w:r>
          </w:p>
        </w:tc>
        <w:tc>
          <w:tcPr>
            <w:tcW w:w="1639" w:type="dxa"/>
            <w:vAlign w:val="center"/>
          </w:tcPr>
          <w:p w:rsidR="00525419" w:rsidRDefault="00EE1CF7">
            <w:pPr>
              <w:pStyle w:val="B2"/>
              <w:rPr>
                <w:rFonts w:cs="Times New Roman"/>
              </w:rPr>
            </w:pPr>
            <w:r>
              <w:rPr>
                <w:rFonts w:cs="Times New Roman"/>
              </w:rPr>
              <w:t>0.5m</w:t>
            </w:r>
            <w:r>
              <w:rPr>
                <w:rFonts w:cs="Times New Roman"/>
              </w:rPr>
              <w:t>、</w:t>
            </w:r>
            <w:r>
              <w:rPr>
                <w:rFonts w:cs="Times New Roman"/>
              </w:rPr>
              <w:t>1m</w:t>
            </w:r>
            <w:r>
              <w:rPr>
                <w:rFonts w:cs="Times New Roman"/>
              </w:rPr>
              <w:t>、</w:t>
            </w:r>
            <w:r>
              <w:rPr>
                <w:rFonts w:cs="Times New Roman"/>
              </w:rPr>
              <w:t>1.5m</w:t>
            </w:r>
          </w:p>
        </w:tc>
        <w:tc>
          <w:tcPr>
            <w:tcW w:w="1983" w:type="dxa"/>
            <w:vMerge/>
            <w:vAlign w:val="center"/>
          </w:tcPr>
          <w:p w:rsidR="00525419" w:rsidRDefault="00525419">
            <w:pPr>
              <w:pStyle w:val="B2"/>
              <w:rPr>
                <w:rFonts w:cs="Times New Roman"/>
              </w:rPr>
            </w:pPr>
          </w:p>
        </w:tc>
      </w:tr>
      <w:tr w:rsidR="00525419">
        <w:trPr>
          <w:trHeight w:val="397"/>
        </w:trPr>
        <w:tc>
          <w:tcPr>
            <w:tcW w:w="541" w:type="dxa"/>
            <w:vAlign w:val="center"/>
          </w:tcPr>
          <w:p w:rsidR="00525419" w:rsidRDefault="00EE1CF7">
            <w:pPr>
              <w:pStyle w:val="B2"/>
              <w:rPr>
                <w:rFonts w:cs="Times New Roman"/>
              </w:rPr>
            </w:pPr>
            <w:r>
              <w:rPr>
                <w:rFonts w:cs="Times New Roman"/>
              </w:rPr>
              <w:t>3#</w:t>
            </w:r>
          </w:p>
        </w:tc>
        <w:tc>
          <w:tcPr>
            <w:tcW w:w="812" w:type="dxa"/>
            <w:vMerge/>
            <w:vAlign w:val="center"/>
          </w:tcPr>
          <w:p w:rsidR="00525419" w:rsidRDefault="00525419">
            <w:pPr>
              <w:pStyle w:val="B2"/>
              <w:rPr>
                <w:rFonts w:cs="Times New Roman"/>
                <w:lang w:val="zh-CN"/>
              </w:rPr>
            </w:pPr>
          </w:p>
        </w:tc>
        <w:tc>
          <w:tcPr>
            <w:tcW w:w="2000" w:type="dxa"/>
            <w:vAlign w:val="center"/>
          </w:tcPr>
          <w:p w:rsidR="00525419" w:rsidRDefault="00EE1CF7">
            <w:pPr>
              <w:pStyle w:val="B2"/>
              <w:rPr>
                <w:rFonts w:cs="Times New Roman"/>
              </w:rPr>
            </w:pPr>
            <w:r>
              <w:rPr>
                <w:rFonts w:cs="Times New Roman"/>
                <w:lang w:val="zh-CN"/>
              </w:rPr>
              <w:t>项目区西侧储罐区</w:t>
            </w:r>
          </w:p>
        </w:tc>
        <w:tc>
          <w:tcPr>
            <w:tcW w:w="625" w:type="dxa"/>
            <w:vAlign w:val="center"/>
          </w:tcPr>
          <w:p w:rsidR="00525419" w:rsidRDefault="00EE1CF7">
            <w:pPr>
              <w:pStyle w:val="B2"/>
              <w:rPr>
                <w:rFonts w:cs="Times New Roman"/>
              </w:rPr>
            </w:pPr>
            <w:r>
              <w:rPr>
                <w:rFonts w:cs="Times New Roman"/>
              </w:rPr>
              <w:t>-</w:t>
            </w:r>
          </w:p>
        </w:tc>
        <w:tc>
          <w:tcPr>
            <w:tcW w:w="911" w:type="dxa"/>
            <w:vAlign w:val="center"/>
          </w:tcPr>
          <w:p w:rsidR="00525419" w:rsidRDefault="00EE1CF7">
            <w:pPr>
              <w:pStyle w:val="B2"/>
              <w:rPr>
                <w:rFonts w:cs="Times New Roman"/>
              </w:rPr>
            </w:pPr>
            <w:r>
              <w:rPr>
                <w:rFonts w:cs="Times New Roman"/>
              </w:rPr>
              <w:t>-</w:t>
            </w:r>
          </w:p>
        </w:tc>
        <w:tc>
          <w:tcPr>
            <w:tcW w:w="1639" w:type="dxa"/>
            <w:vAlign w:val="center"/>
          </w:tcPr>
          <w:p w:rsidR="00525419" w:rsidRDefault="00EE1CF7">
            <w:pPr>
              <w:pStyle w:val="B2"/>
              <w:rPr>
                <w:rFonts w:cs="Times New Roman"/>
              </w:rPr>
            </w:pPr>
            <w:r>
              <w:rPr>
                <w:rFonts w:cs="Times New Roman"/>
              </w:rPr>
              <w:t>0.5m</w:t>
            </w:r>
            <w:r>
              <w:rPr>
                <w:rFonts w:cs="Times New Roman"/>
              </w:rPr>
              <w:t>、</w:t>
            </w:r>
            <w:r>
              <w:rPr>
                <w:rFonts w:cs="Times New Roman"/>
              </w:rPr>
              <w:t>1m</w:t>
            </w:r>
            <w:r>
              <w:rPr>
                <w:rFonts w:cs="Times New Roman"/>
              </w:rPr>
              <w:t>、</w:t>
            </w:r>
            <w:r>
              <w:rPr>
                <w:rFonts w:cs="Times New Roman"/>
              </w:rPr>
              <w:t>1.5m</w:t>
            </w:r>
          </w:p>
        </w:tc>
        <w:tc>
          <w:tcPr>
            <w:tcW w:w="1983" w:type="dxa"/>
            <w:vMerge/>
            <w:vAlign w:val="center"/>
          </w:tcPr>
          <w:p w:rsidR="00525419" w:rsidRDefault="00525419">
            <w:pPr>
              <w:pStyle w:val="B2"/>
              <w:rPr>
                <w:rFonts w:cs="Times New Roman"/>
              </w:rPr>
            </w:pPr>
          </w:p>
        </w:tc>
      </w:tr>
      <w:tr w:rsidR="00525419">
        <w:trPr>
          <w:trHeight w:val="581"/>
        </w:trPr>
        <w:tc>
          <w:tcPr>
            <w:tcW w:w="541" w:type="dxa"/>
            <w:vAlign w:val="center"/>
          </w:tcPr>
          <w:p w:rsidR="00525419" w:rsidRDefault="00EE1CF7">
            <w:pPr>
              <w:pStyle w:val="B2"/>
              <w:rPr>
                <w:rFonts w:cs="Times New Roman"/>
              </w:rPr>
            </w:pPr>
            <w:r>
              <w:rPr>
                <w:rFonts w:cs="Times New Roman"/>
              </w:rPr>
              <w:t>4#</w:t>
            </w:r>
          </w:p>
        </w:tc>
        <w:tc>
          <w:tcPr>
            <w:tcW w:w="812" w:type="dxa"/>
            <w:vMerge w:val="restart"/>
            <w:vAlign w:val="center"/>
          </w:tcPr>
          <w:p w:rsidR="00525419" w:rsidRDefault="00EE1CF7">
            <w:pPr>
              <w:pStyle w:val="B2"/>
              <w:rPr>
                <w:rFonts w:cs="Times New Roman"/>
              </w:rPr>
            </w:pPr>
            <w:r>
              <w:rPr>
                <w:rFonts w:cs="Times New Roman"/>
              </w:rPr>
              <w:t>项目区外</w:t>
            </w:r>
          </w:p>
        </w:tc>
        <w:tc>
          <w:tcPr>
            <w:tcW w:w="2000" w:type="dxa"/>
            <w:vAlign w:val="center"/>
          </w:tcPr>
          <w:p w:rsidR="00525419" w:rsidRDefault="00EE1CF7">
            <w:pPr>
              <w:pStyle w:val="B2"/>
              <w:rPr>
                <w:rFonts w:cs="Times New Roman"/>
              </w:rPr>
            </w:pPr>
            <w:r>
              <w:rPr>
                <w:rFonts w:cs="Times New Roman"/>
              </w:rPr>
              <w:t>厂区北侧</w:t>
            </w:r>
          </w:p>
        </w:tc>
        <w:tc>
          <w:tcPr>
            <w:tcW w:w="625" w:type="dxa"/>
            <w:vAlign w:val="center"/>
          </w:tcPr>
          <w:p w:rsidR="00525419" w:rsidRDefault="00EE1CF7">
            <w:pPr>
              <w:pStyle w:val="B2"/>
              <w:rPr>
                <w:rFonts w:cs="Times New Roman"/>
              </w:rPr>
            </w:pPr>
            <w:r>
              <w:rPr>
                <w:rFonts w:cs="Times New Roman"/>
              </w:rPr>
              <w:t>北</w:t>
            </w:r>
          </w:p>
        </w:tc>
        <w:tc>
          <w:tcPr>
            <w:tcW w:w="911" w:type="dxa"/>
            <w:vAlign w:val="center"/>
          </w:tcPr>
          <w:p w:rsidR="00525419" w:rsidRDefault="00EE1CF7">
            <w:pPr>
              <w:pStyle w:val="B2"/>
              <w:rPr>
                <w:rFonts w:cs="Times New Roman"/>
              </w:rPr>
            </w:pPr>
            <w:r>
              <w:rPr>
                <w:rFonts w:cs="Times New Roman"/>
              </w:rPr>
              <w:t>50m</w:t>
            </w:r>
          </w:p>
        </w:tc>
        <w:tc>
          <w:tcPr>
            <w:tcW w:w="1639" w:type="dxa"/>
            <w:vAlign w:val="center"/>
          </w:tcPr>
          <w:p w:rsidR="00525419" w:rsidRDefault="00EE1CF7">
            <w:pPr>
              <w:pStyle w:val="B2"/>
              <w:rPr>
                <w:rFonts w:cs="Times New Roman"/>
              </w:rPr>
            </w:pPr>
            <w:r>
              <w:rPr>
                <w:rFonts w:cs="Times New Roman"/>
              </w:rPr>
              <w:t>0.2m</w:t>
            </w:r>
          </w:p>
        </w:tc>
        <w:tc>
          <w:tcPr>
            <w:tcW w:w="1983" w:type="dxa"/>
            <w:vMerge/>
            <w:vAlign w:val="center"/>
          </w:tcPr>
          <w:p w:rsidR="00525419" w:rsidRDefault="00525419">
            <w:pPr>
              <w:pStyle w:val="B2"/>
              <w:rPr>
                <w:rFonts w:cs="Times New Roman"/>
              </w:rPr>
            </w:pPr>
          </w:p>
        </w:tc>
      </w:tr>
      <w:tr w:rsidR="00525419">
        <w:trPr>
          <w:trHeight w:val="397"/>
        </w:trPr>
        <w:tc>
          <w:tcPr>
            <w:tcW w:w="541" w:type="dxa"/>
            <w:vAlign w:val="center"/>
          </w:tcPr>
          <w:p w:rsidR="00525419" w:rsidRDefault="00EE1CF7">
            <w:pPr>
              <w:pStyle w:val="B2"/>
              <w:rPr>
                <w:rFonts w:cs="Times New Roman"/>
              </w:rPr>
            </w:pPr>
            <w:r>
              <w:rPr>
                <w:rFonts w:cs="Times New Roman"/>
              </w:rPr>
              <w:t>5#</w:t>
            </w:r>
          </w:p>
        </w:tc>
        <w:tc>
          <w:tcPr>
            <w:tcW w:w="812" w:type="dxa"/>
            <w:vMerge/>
            <w:vAlign w:val="center"/>
          </w:tcPr>
          <w:p w:rsidR="00525419" w:rsidRDefault="00525419">
            <w:pPr>
              <w:pStyle w:val="B2"/>
              <w:rPr>
                <w:rFonts w:cs="Times New Roman"/>
              </w:rPr>
            </w:pPr>
          </w:p>
        </w:tc>
        <w:tc>
          <w:tcPr>
            <w:tcW w:w="2000" w:type="dxa"/>
            <w:vAlign w:val="center"/>
          </w:tcPr>
          <w:p w:rsidR="00525419" w:rsidRDefault="00EE1CF7">
            <w:pPr>
              <w:pStyle w:val="B2"/>
              <w:rPr>
                <w:rFonts w:cs="Times New Roman"/>
              </w:rPr>
            </w:pPr>
            <w:r>
              <w:rPr>
                <w:rFonts w:cs="Times New Roman"/>
              </w:rPr>
              <w:t>厂区南侧</w:t>
            </w:r>
          </w:p>
        </w:tc>
        <w:tc>
          <w:tcPr>
            <w:tcW w:w="625" w:type="dxa"/>
            <w:vAlign w:val="center"/>
          </w:tcPr>
          <w:p w:rsidR="00525419" w:rsidRDefault="00EE1CF7">
            <w:pPr>
              <w:pStyle w:val="B2"/>
              <w:rPr>
                <w:rFonts w:cs="Times New Roman"/>
              </w:rPr>
            </w:pPr>
            <w:r>
              <w:rPr>
                <w:rFonts w:cs="Times New Roman"/>
              </w:rPr>
              <w:t>南</w:t>
            </w:r>
          </w:p>
        </w:tc>
        <w:tc>
          <w:tcPr>
            <w:tcW w:w="911" w:type="dxa"/>
            <w:vAlign w:val="center"/>
          </w:tcPr>
          <w:p w:rsidR="00525419" w:rsidRDefault="00EE1CF7">
            <w:pPr>
              <w:pStyle w:val="B2"/>
              <w:rPr>
                <w:rFonts w:cs="Times New Roman"/>
              </w:rPr>
            </w:pPr>
            <w:r>
              <w:rPr>
                <w:rFonts w:cs="Times New Roman"/>
              </w:rPr>
              <w:t>50m</w:t>
            </w:r>
          </w:p>
        </w:tc>
        <w:tc>
          <w:tcPr>
            <w:tcW w:w="1639" w:type="dxa"/>
            <w:vAlign w:val="center"/>
          </w:tcPr>
          <w:p w:rsidR="00525419" w:rsidRDefault="00EE1CF7">
            <w:pPr>
              <w:pStyle w:val="B2"/>
              <w:rPr>
                <w:rFonts w:cs="Times New Roman"/>
              </w:rPr>
            </w:pPr>
            <w:r>
              <w:rPr>
                <w:rFonts w:cs="Times New Roman"/>
              </w:rPr>
              <w:t>0.2m</w:t>
            </w:r>
          </w:p>
        </w:tc>
        <w:tc>
          <w:tcPr>
            <w:tcW w:w="1983" w:type="dxa"/>
            <w:vMerge/>
            <w:vAlign w:val="center"/>
          </w:tcPr>
          <w:p w:rsidR="00525419" w:rsidRDefault="00525419">
            <w:pPr>
              <w:pStyle w:val="B2"/>
              <w:rPr>
                <w:rFonts w:cs="Times New Roman"/>
              </w:rPr>
            </w:pPr>
          </w:p>
        </w:tc>
      </w:tr>
      <w:tr w:rsidR="00525419">
        <w:trPr>
          <w:trHeight w:val="397"/>
        </w:trPr>
        <w:tc>
          <w:tcPr>
            <w:tcW w:w="541" w:type="dxa"/>
            <w:vAlign w:val="center"/>
          </w:tcPr>
          <w:p w:rsidR="00525419" w:rsidRDefault="00EE1CF7">
            <w:pPr>
              <w:pStyle w:val="B2"/>
              <w:rPr>
                <w:rFonts w:cs="Times New Roman"/>
              </w:rPr>
            </w:pPr>
            <w:r>
              <w:rPr>
                <w:rFonts w:cs="Times New Roman"/>
              </w:rPr>
              <w:t>6#</w:t>
            </w:r>
          </w:p>
        </w:tc>
        <w:tc>
          <w:tcPr>
            <w:tcW w:w="812" w:type="dxa"/>
            <w:vAlign w:val="center"/>
          </w:tcPr>
          <w:p w:rsidR="00525419" w:rsidRDefault="00EE1CF7">
            <w:pPr>
              <w:pStyle w:val="B2"/>
              <w:rPr>
                <w:rFonts w:cs="Times New Roman"/>
              </w:rPr>
            </w:pPr>
            <w:r>
              <w:rPr>
                <w:rFonts w:cs="Times New Roman"/>
              </w:rPr>
              <w:t>项目区内</w:t>
            </w:r>
          </w:p>
        </w:tc>
        <w:tc>
          <w:tcPr>
            <w:tcW w:w="2000" w:type="dxa"/>
            <w:vAlign w:val="center"/>
          </w:tcPr>
          <w:p w:rsidR="00525419" w:rsidRDefault="00EE1CF7">
            <w:pPr>
              <w:pStyle w:val="B2"/>
              <w:rPr>
                <w:rFonts w:cs="Times New Roman"/>
              </w:rPr>
            </w:pPr>
            <w:r>
              <w:rPr>
                <w:rFonts w:cs="Times New Roman"/>
              </w:rPr>
              <w:t xml:space="preserve"> </w:t>
            </w:r>
            <w:r>
              <w:rPr>
                <w:rFonts w:cs="Times New Roman"/>
                <w:lang w:val="zh-CN"/>
              </w:rPr>
              <w:t>项目区（引用）</w:t>
            </w:r>
          </w:p>
        </w:tc>
        <w:tc>
          <w:tcPr>
            <w:tcW w:w="625" w:type="dxa"/>
            <w:vAlign w:val="center"/>
          </w:tcPr>
          <w:p w:rsidR="00525419" w:rsidRDefault="00EE1CF7">
            <w:pPr>
              <w:pStyle w:val="B2"/>
              <w:rPr>
                <w:rFonts w:cs="Times New Roman"/>
              </w:rPr>
            </w:pPr>
            <w:r>
              <w:rPr>
                <w:rFonts w:cs="Times New Roman"/>
              </w:rPr>
              <w:t>-</w:t>
            </w:r>
          </w:p>
        </w:tc>
        <w:tc>
          <w:tcPr>
            <w:tcW w:w="911" w:type="dxa"/>
            <w:vAlign w:val="center"/>
          </w:tcPr>
          <w:p w:rsidR="00525419" w:rsidRDefault="00EE1CF7">
            <w:pPr>
              <w:pStyle w:val="B2"/>
              <w:rPr>
                <w:rFonts w:cs="Times New Roman"/>
              </w:rPr>
            </w:pPr>
            <w:r>
              <w:rPr>
                <w:rFonts w:cs="Times New Roman"/>
              </w:rPr>
              <w:t>-</w:t>
            </w:r>
          </w:p>
        </w:tc>
        <w:tc>
          <w:tcPr>
            <w:tcW w:w="1639" w:type="dxa"/>
            <w:vAlign w:val="center"/>
          </w:tcPr>
          <w:p w:rsidR="00525419" w:rsidRDefault="00EE1CF7">
            <w:pPr>
              <w:pStyle w:val="B2"/>
              <w:rPr>
                <w:rFonts w:cs="Times New Roman"/>
              </w:rPr>
            </w:pPr>
            <w:r>
              <w:rPr>
                <w:rFonts w:cs="Times New Roman"/>
              </w:rPr>
              <w:t>0.2m</w:t>
            </w:r>
          </w:p>
        </w:tc>
        <w:tc>
          <w:tcPr>
            <w:tcW w:w="1983" w:type="dxa"/>
            <w:vAlign w:val="center"/>
          </w:tcPr>
          <w:p w:rsidR="00525419" w:rsidRDefault="00EE1CF7">
            <w:pPr>
              <w:pStyle w:val="B2"/>
              <w:rPr>
                <w:rFonts w:cs="Times New Roman"/>
              </w:rPr>
            </w:pPr>
            <w:r>
              <w:rPr>
                <w:rFonts w:cs="Times New Roman"/>
              </w:rPr>
              <w:t>GB36600</w:t>
            </w:r>
            <w:r>
              <w:rPr>
                <w:rFonts w:cs="Times New Roman"/>
              </w:rPr>
              <w:t>基本项目</w:t>
            </w:r>
            <w:r>
              <w:rPr>
                <w:rFonts w:cs="Times New Roman"/>
              </w:rPr>
              <w:t>45</w:t>
            </w:r>
            <w:r>
              <w:rPr>
                <w:rFonts w:cs="Times New Roman"/>
              </w:rPr>
              <w:t>项</w:t>
            </w:r>
          </w:p>
        </w:tc>
      </w:tr>
    </w:tbl>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4.3.4.2</w:t>
      </w:r>
      <w:r>
        <w:rPr>
          <w:rFonts w:ascii="Times New Roman" w:hAnsi="Times New Roman" w:cs="Times New Roman"/>
          <w:kern w:val="44"/>
          <w:sz w:val="24"/>
          <w:szCs w:val="24"/>
        </w:rPr>
        <w:t>监测项目</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监测因子包括《土壤环境质量建设用地土壤污染风险管控标准（试行）》（</w:t>
      </w:r>
      <w:r>
        <w:rPr>
          <w:rFonts w:ascii="Times New Roman" w:hAnsi="Times New Roman"/>
          <w:kern w:val="0"/>
          <w:sz w:val="24"/>
          <w:szCs w:val="24"/>
        </w:rPr>
        <w:t>GB36600—2018</w:t>
      </w:r>
      <w:r>
        <w:rPr>
          <w:rFonts w:ascii="Times New Roman" w:hAnsi="Times New Roman"/>
          <w:kern w:val="0"/>
          <w:sz w:val="24"/>
          <w:szCs w:val="24"/>
        </w:rPr>
        <w:t>）表</w:t>
      </w:r>
      <w:r>
        <w:rPr>
          <w:rFonts w:ascii="Times New Roman" w:hAnsi="Times New Roman"/>
          <w:kern w:val="0"/>
          <w:sz w:val="24"/>
          <w:szCs w:val="24"/>
        </w:rPr>
        <w:t>1</w:t>
      </w:r>
      <w:r>
        <w:rPr>
          <w:rFonts w:ascii="Times New Roman" w:hAnsi="Times New Roman"/>
          <w:kern w:val="0"/>
          <w:sz w:val="24"/>
          <w:szCs w:val="24"/>
        </w:rPr>
        <w:t>中的</w:t>
      </w:r>
      <w:r>
        <w:rPr>
          <w:rFonts w:ascii="Times New Roman" w:hAnsi="Times New Roman"/>
          <w:kern w:val="0"/>
          <w:sz w:val="24"/>
          <w:szCs w:val="24"/>
        </w:rPr>
        <w:t>45</w:t>
      </w:r>
      <w:r>
        <w:rPr>
          <w:rFonts w:ascii="Times New Roman" w:hAnsi="Times New Roman"/>
          <w:kern w:val="0"/>
          <w:sz w:val="24"/>
          <w:szCs w:val="24"/>
        </w:rPr>
        <w:t>项基本项和石油烃。</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4.3.4.3</w:t>
      </w:r>
      <w:r>
        <w:rPr>
          <w:rFonts w:ascii="Times New Roman" w:hAnsi="Times New Roman" w:cs="Times New Roman"/>
          <w:kern w:val="44"/>
          <w:sz w:val="24"/>
          <w:szCs w:val="24"/>
        </w:rPr>
        <w:t>评价方法与标准</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土壤环境质量现状采用单因子评价方法评价，计算公式如下：</w:t>
      </w:r>
    </w:p>
    <w:p w:rsidR="00525419" w:rsidRDefault="00EE1CF7">
      <w:pPr>
        <w:widowControl/>
        <w:spacing w:line="360" w:lineRule="auto"/>
        <w:ind w:firstLineChars="500" w:firstLine="1205"/>
        <w:rPr>
          <w:rFonts w:ascii="Times New Roman" w:hAnsi="Times New Roman"/>
          <w:b/>
          <w:bCs/>
          <w:kern w:val="0"/>
          <w:sz w:val="24"/>
          <w:szCs w:val="24"/>
        </w:rPr>
      </w:pPr>
      <w:r>
        <w:rPr>
          <w:rFonts w:ascii="Times New Roman" w:hAnsi="Times New Roman"/>
          <w:b/>
          <w:bCs/>
          <w:kern w:val="0"/>
          <w:sz w:val="24"/>
          <w:szCs w:val="24"/>
        </w:rPr>
        <w:t>P</w:t>
      </w:r>
      <w:r>
        <w:rPr>
          <w:rFonts w:ascii="Times New Roman" w:hAnsi="Times New Roman"/>
          <w:b/>
          <w:bCs/>
          <w:kern w:val="0"/>
          <w:sz w:val="24"/>
          <w:szCs w:val="24"/>
          <w:vertAlign w:val="subscript"/>
        </w:rPr>
        <w:t>i</w:t>
      </w:r>
      <w:r>
        <w:rPr>
          <w:rFonts w:ascii="Times New Roman" w:hAnsi="Times New Roman"/>
          <w:b/>
          <w:bCs/>
          <w:kern w:val="0"/>
          <w:sz w:val="24"/>
          <w:szCs w:val="24"/>
        </w:rPr>
        <w:t>=C</w:t>
      </w:r>
      <w:r>
        <w:rPr>
          <w:rFonts w:ascii="Times New Roman" w:hAnsi="Times New Roman"/>
          <w:b/>
          <w:bCs/>
          <w:kern w:val="0"/>
          <w:sz w:val="24"/>
          <w:szCs w:val="24"/>
          <w:vertAlign w:val="subscript"/>
        </w:rPr>
        <w:t>i</w:t>
      </w:r>
      <w:r>
        <w:rPr>
          <w:rFonts w:ascii="Times New Roman" w:hAnsi="Times New Roman"/>
          <w:b/>
          <w:bCs/>
          <w:kern w:val="0"/>
          <w:sz w:val="24"/>
          <w:szCs w:val="24"/>
        </w:rPr>
        <w:t>/S</w:t>
      </w:r>
      <w:r>
        <w:rPr>
          <w:rFonts w:ascii="Times New Roman" w:hAnsi="Times New Roman"/>
          <w:b/>
          <w:bCs/>
          <w:kern w:val="0"/>
          <w:sz w:val="24"/>
          <w:szCs w:val="24"/>
          <w:vertAlign w:val="subscript"/>
        </w:rPr>
        <w:t>i</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式中，</w:t>
      </w:r>
      <w:r>
        <w:rPr>
          <w:rFonts w:ascii="Times New Roman" w:hAnsi="Times New Roman"/>
          <w:kern w:val="0"/>
          <w:sz w:val="24"/>
          <w:szCs w:val="24"/>
        </w:rPr>
        <w:t>P</w:t>
      </w:r>
      <w:r>
        <w:rPr>
          <w:rFonts w:ascii="Times New Roman" w:hAnsi="Times New Roman"/>
          <w:kern w:val="0"/>
          <w:sz w:val="24"/>
          <w:szCs w:val="24"/>
          <w:vertAlign w:val="subscript"/>
        </w:rPr>
        <w:t>i</w:t>
      </w:r>
      <w:r>
        <w:rPr>
          <w:rFonts w:ascii="Times New Roman" w:hAnsi="Times New Roman"/>
          <w:kern w:val="0"/>
          <w:sz w:val="24"/>
          <w:szCs w:val="24"/>
        </w:rPr>
        <w:t>——</w:t>
      </w:r>
      <w:r>
        <w:rPr>
          <w:rFonts w:ascii="Times New Roman" w:hAnsi="Times New Roman"/>
          <w:kern w:val="0"/>
          <w:sz w:val="24"/>
          <w:szCs w:val="24"/>
        </w:rPr>
        <w:t>土壤中污染物</w:t>
      </w:r>
      <w:r>
        <w:rPr>
          <w:rFonts w:ascii="Times New Roman" w:hAnsi="Times New Roman"/>
          <w:kern w:val="0"/>
          <w:sz w:val="24"/>
          <w:szCs w:val="24"/>
        </w:rPr>
        <w:t>i</w:t>
      </w:r>
      <w:r>
        <w:rPr>
          <w:rFonts w:ascii="Times New Roman" w:hAnsi="Times New Roman"/>
          <w:kern w:val="0"/>
          <w:sz w:val="24"/>
          <w:szCs w:val="24"/>
        </w:rPr>
        <w:t>的污染指数；</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lastRenderedPageBreak/>
        <w:t xml:space="preserve">      C</w:t>
      </w:r>
      <w:r>
        <w:rPr>
          <w:rFonts w:ascii="Times New Roman" w:hAnsi="Times New Roman"/>
          <w:kern w:val="0"/>
          <w:sz w:val="24"/>
          <w:szCs w:val="24"/>
          <w:vertAlign w:val="subscript"/>
        </w:rPr>
        <w:t>i</w:t>
      </w:r>
      <w:r>
        <w:rPr>
          <w:rFonts w:ascii="Times New Roman" w:hAnsi="Times New Roman"/>
          <w:kern w:val="0"/>
          <w:sz w:val="24"/>
          <w:szCs w:val="24"/>
        </w:rPr>
        <w:t>——</w:t>
      </w:r>
      <w:r>
        <w:rPr>
          <w:rFonts w:ascii="Times New Roman" w:hAnsi="Times New Roman"/>
          <w:kern w:val="0"/>
          <w:sz w:val="24"/>
          <w:szCs w:val="24"/>
        </w:rPr>
        <w:t>土壤中污染物</w:t>
      </w:r>
      <w:r>
        <w:rPr>
          <w:rFonts w:ascii="Times New Roman" w:hAnsi="Times New Roman"/>
          <w:kern w:val="0"/>
          <w:sz w:val="24"/>
          <w:szCs w:val="24"/>
        </w:rPr>
        <w:t>i</w:t>
      </w:r>
      <w:r>
        <w:rPr>
          <w:rFonts w:ascii="Times New Roman" w:hAnsi="Times New Roman"/>
          <w:kern w:val="0"/>
          <w:sz w:val="24"/>
          <w:szCs w:val="24"/>
        </w:rPr>
        <w:t>的实测含量（</w:t>
      </w:r>
      <w:r>
        <w:rPr>
          <w:rFonts w:ascii="Times New Roman" w:hAnsi="Times New Roman"/>
          <w:kern w:val="0"/>
          <w:sz w:val="24"/>
          <w:szCs w:val="24"/>
        </w:rPr>
        <w:t>mg/kg</w:t>
      </w:r>
      <w:r>
        <w:rPr>
          <w:rFonts w:ascii="Times New Roman" w:hAnsi="Times New Roman"/>
          <w:kern w:val="0"/>
          <w:sz w:val="24"/>
          <w:szCs w:val="24"/>
        </w:rPr>
        <w:t>）；</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 xml:space="preserve">      S</w:t>
      </w:r>
      <w:r>
        <w:rPr>
          <w:rFonts w:ascii="Times New Roman" w:hAnsi="Times New Roman"/>
          <w:kern w:val="0"/>
          <w:sz w:val="24"/>
          <w:szCs w:val="24"/>
          <w:vertAlign w:val="subscript"/>
        </w:rPr>
        <w:t>i</w:t>
      </w:r>
      <w:r>
        <w:rPr>
          <w:rFonts w:ascii="Times New Roman" w:hAnsi="Times New Roman"/>
          <w:kern w:val="0"/>
          <w:sz w:val="24"/>
          <w:szCs w:val="24"/>
        </w:rPr>
        <w:t>——</w:t>
      </w:r>
      <w:r>
        <w:rPr>
          <w:rFonts w:ascii="Times New Roman" w:hAnsi="Times New Roman"/>
          <w:kern w:val="0"/>
          <w:sz w:val="24"/>
          <w:szCs w:val="24"/>
        </w:rPr>
        <w:t>土壤污染物的评价标准（</w:t>
      </w:r>
      <w:r>
        <w:rPr>
          <w:rFonts w:ascii="Times New Roman" w:hAnsi="Times New Roman"/>
          <w:kern w:val="0"/>
          <w:sz w:val="24"/>
          <w:szCs w:val="24"/>
        </w:rPr>
        <w:t>mg/kg</w:t>
      </w:r>
      <w:r>
        <w:rPr>
          <w:rFonts w:ascii="Times New Roman" w:hAnsi="Times New Roman"/>
          <w:kern w:val="0"/>
          <w:sz w:val="24"/>
          <w:szCs w:val="24"/>
        </w:rPr>
        <w:t>）。</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土壤环境中各元素评价标准采用《土壤环境质量</w:t>
      </w:r>
      <w:r>
        <w:rPr>
          <w:rFonts w:ascii="Times New Roman" w:hAnsi="Times New Roman"/>
          <w:kern w:val="0"/>
          <w:sz w:val="24"/>
          <w:szCs w:val="24"/>
        </w:rPr>
        <w:t xml:space="preserve">  </w:t>
      </w:r>
      <w:r>
        <w:rPr>
          <w:rFonts w:ascii="Times New Roman" w:hAnsi="Times New Roman"/>
          <w:kern w:val="0"/>
          <w:sz w:val="24"/>
          <w:szCs w:val="24"/>
        </w:rPr>
        <w:t>建设用地土壤污染风险管控标准（试行）》（</w:t>
      </w:r>
      <w:r>
        <w:rPr>
          <w:rFonts w:ascii="Times New Roman" w:hAnsi="Times New Roman"/>
          <w:kern w:val="0"/>
          <w:sz w:val="24"/>
          <w:szCs w:val="24"/>
        </w:rPr>
        <w:t>GB36600—2018</w:t>
      </w:r>
      <w:r>
        <w:rPr>
          <w:rFonts w:ascii="Times New Roman" w:hAnsi="Times New Roman"/>
          <w:kern w:val="0"/>
          <w:sz w:val="24"/>
          <w:szCs w:val="24"/>
        </w:rPr>
        <w:t>）中第二类用地筛选值为评价标准。</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4.3.4.</w:t>
      </w:r>
      <w:r>
        <w:rPr>
          <w:rFonts w:ascii="Times New Roman" w:hAnsi="Times New Roman" w:cs="Times New Roman" w:hint="eastAsia"/>
          <w:kern w:val="44"/>
          <w:sz w:val="24"/>
          <w:szCs w:val="24"/>
        </w:rPr>
        <w:t>4</w:t>
      </w:r>
      <w:r>
        <w:rPr>
          <w:rFonts w:ascii="Times New Roman" w:hAnsi="Times New Roman" w:cs="Times New Roman"/>
          <w:kern w:val="44"/>
          <w:sz w:val="24"/>
          <w:szCs w:val="24"/>
          <w:lang w:val="zh-CN"/>
        </w:rPr>
        <w:t>土壤理化特性调查</w:t>
      </w:r>
    </w:p>
    <w:p w:rsidR="00525419" w:rsidRDefault="00EE1CF7">
      <w:pPr>
        <w:widowControl/>
        <w:spacing w:line="360" w:lineRule="auto"/>
        <w:ind w:firstLineChars="200" w:firstLine="480"/>
        <w:jc w:val="left"/>
        <w:rPr>
          <w:rFonts w:ascii="Times New Roman" w:hAnsi="Times New Roman"/>
          <w:kern w:val="0"/>
          <w:sz w:val="24"/>
        </w:rPr>
      </w:pPr>
      <w:r>
        <w:rPr>
          <w:rFonts w:ascii="Times New Roman" w:hAnsi="Times New Roman"/>
          <w:kern w:val="0"/>
          <w:sz w:val="24"/>
        </w:rPr>
        <w:t>项目土壤理化特性调查结果见表</w:t>
      </w:r>
      <w:r>
        <w:rPr>
          <w:rFonts w:ascii="Times New Roman" w:hAnsi="Times New Roman"/>
          <w:kern w:val="0"/>
          <w:sz w:val="24"/>
        </w:rPr>
        <w:t>4.3-</w:t>
      </w:r>
      <w:r>
        <w:rPr>
          <w:rFonts w:ascii="Times New Roman" w:hAnsi="Times New Roman" w:hint="eastAsia"/>
          <w:kern w:val="0"/>
          <w:sz w:val="24"/>
        </w:rPr>
        <w:t>9</w:t>
      </w:r>
      <w:r>
        <w:rPr>
          <w:rFonts w:ascii="Times New Roman" w:hAnsi="Times New Roman"/>
          <w:kern w:val="0"/>
          <w:sz w:val="24"/>
        </w:rPr>
        <w:t>。</w:t>
      </w:r>
    </w:p>
    <w:p w:rsidR="00525419" w:rsidRDefault="00EE1CF7">
      <w:pPr>
        <w:widowControl/>
        <w:adjustRightInd w:val="0"/>
        <w:snapToGrid w:val="0"/>
        <w:spacing w:before="120"/>
        <w:jc w:val="center"/>
        <w:rPr>
          <w:rFonts w:ascii="Times New Roman" w:eastAsia="黑体" w:hAnsi="Times New Roman"/>
          <w:bCs/>
          <w:snapToGrid w:val="0"/>
          <w:kern w:val="0"/>
          <w:szCs w:val="21"/>
        </w:rPr>
      </w:pPr>
      <w:r>
        <w:rPr>
          <w:rFonts w:ascii="Times New Roman" w:eastAsia="黑体" w:hAnsi="Times New Roman"/>
          <w:bCs/>
          <w:snapToGrid w:val="0"/>
          <w:kern w:val="0"/>
          <w:szCs w:val="21"/>
        </w:rPr>
        <w:t>表</w:t>
      </w:r>
      <w:r>
        <w:rPr>
          <w:rFonts w:ascii="Times New Roman" w:eastAsia="黑体" w:hAnsi="Times New Roman"/>
          <w:bCs/>
          <w:snapToGrid w:val="0"/>
          <w:kern w:val="0"/>
          <w:szCs w:val="21"/>
        </w:rPr>
        <w:t>4.3-</w:t>
      </w:r>
      <w:r>
        <w:rPr>
          <w:rFonts w:ascii="Times New Roman" w:eastAsia="黑体" w:hAnsi="Times New Roman" w:hint="eastAsia"/>
          <w:bCs/>
          <w:snapToGrid w:val="0"/>
          <w:kern w:val="0"/>
          <w:szCs w:val="21"/>
        </w:rPr>
        <w:t>9</w:t>
      </w:r>
      <w:r>
        <w:rPr>
          <w:rFonts w:ascii="Times New Roman" w:eastAsia="黑体" w:hAnsi="Times New Roman"/>
          <w:bCs/>
          <w:snapToGrid w:val="0"/>
          <w:kern w:val="0"/>
          <w:szCs w:val="21"/>
        </w:rPr>
        <w:t xml:space="preserve">     </w:t>
      </w:r>
      <w:r>
        <w:rPr>
          <w:rFonts w:ascii="Times New Roman" w:eastAsia="黑体" w:hAnsi="Times New Roman"/>
          <w:bCs/>
          <w:snapToGrid w:val="0"/>
          <w:kern w:val="0"/>
          <w:szCs w:val="21"/>
        </w:rPr>
        <w:t>土壤理化特性调查表</w:t>
      </w:r>
    </w:p>
    <w:tbl>
      <w:tblPr>
        <w:tblW w:w="85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88"/>
        <w:gridCol w:w="1460"/>
        <w:gridCol w:w="2302"/>
        <w:gridCol w:w="1152"/>
        <w:gridCol w:w="2303"/>
      </w:tblGrid>
      <w:tr w:rsidR="00525419">
        <w:trPr>
          <w:cantSplit/>
          <w:trHeight w:val="397"/>
          <w:jc w:val="center"/>
        </w:trPr>
        <w:tc>
          <w:tcPr>
            <w:tcW w:w="2748" w:type="dxa"/>
            <w:gridSpan w:val="2"/>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点号</w:t>
            </w:r>
          </w:p>
        </w:tc>
        <w:tc>
          <w:tcPr>
            <w:tcW w:w="2302" w:type="dxa"/>
            <w:vAlign w:val="center"/>
          </w:tcPr>
          <w:p w:rsidR="00525419" w:rsidRDefault="00EE1CF7">
            <w:pPr>
              <w:widowControl/>
              <w:rPr>
                <w:rFonts w:ascii="Times New Roman" w:hAnsi="Times New Roman"/>
                <w:kern w:val="0"/>
                <w:szCs w:val="21"/>
              </w:rPr>
            </w:pPr>
            <w:r>
              <w:rPr>
                <w:rFonts w:ascii="Times New Roman" w:hAnsi="Times New Roman"/>
                <w:kern w:val="0"/>
                <w:szCs w:val="21"/>
              </w:rPr>
              <w:t xml:space="preserve">         2</w:t>
            </w:r>
            <w:r>
              <w:rPr>
                <w:rFonts w:ascii="Times New Roman" w:hAnsi="Times New Roman"/>
                <w:kern w:val="0"/>
                <w:szCs w:val="21"/>
              </w:rPr>
              <w:t>号点</w:t>
            </w:r>
          </w:p>
        </w:tc>
        <w:tc>
          <w:tcPr>
            <w:tcW w:w="1152" w:type="dxa"/>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时间</w:t>
            </w:r>
          </w:p>
        </w:tc>
        <w:tc>
          <w:tcPr>
            <w:tcW w:w="2303" w:type="dxa"/>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2020.4.21</w:t>
            </w:r>
          </w:p>
        </w:tc>
      </w:tr>
      <w:tr w:rsidR="00525419">
        <w:trPr>
          <w:cantSplit/>
          <w:trHeight w:val="397"/>
          <w:jc w:val="center"/>
        </w:trPr>
        <w:tc>
          <w:tcPr>
            <w:tcW w:w="2748" w:type="dxa"/>
            <w:gridSpan w:val="2"/>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经度</w:t>
            </w:r>
          </w:p>
        </w:tc>
        <w:tc>
          <w:tcPr>
            <w:tcW w:w="2302" w:type="dxa"/>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E90°27'46.24"</w:t>
            </w:r>
            <w:r>
              <w:rPr>
                <w:rFonts w:ascii="Times New Roman" w:hAnsi="Times New Roman"/>
                <w:kern w:val="0"/>
                <w:szCs w:val="21"/>
              </w:rPr>
              <w:t>，</w:t>
            </w:r>
          </w:p>
        </w:tc>
        <w:tc>
          <w:tcPr>
            <w:tcW w:w="1152" w:type="dxa"/>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纬度</w:t>
            </w:r>
          </w:p>
        </w:tc>
        <w:tc>
          <w:tcPr>
            <w:tcW w:w="2303" w:type="dxa"/>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N43°3'33.20"</w:t>
            </w:r>
          </w:p>
        </w:tc>
      </w:tr>
      <w:tr w:rsidR="00525419">
        <w:trPr>
          <w:cantSplit/>
          <w:trHeight w:val="397"/>
          <w:jc w:val="center"/>
        </w:trPr>
        <w:tc>
          <w:tcPr>
            <w:tcW w:w="2748" w:type="dxa"/>
            <w:gridSpan w:val="2"/>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层次</w:t>
            </w:r>
          </w:p>
        </w:tc>
        <w:tc>
          <w:tcPr>
            <w:tcW w:w="5757" w:type="dxa"/>
            <w:gridSpan w:val="3"/>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50cm</w:t>
            </w:r>
          </w:p>
        </w:tc>
      </w:tr>
      <w:tr w:rsidR="00525419">
        <w:trPr>
          <w:cantSplit/>
          <w:trHeight w:val="397"/>
          <w:jc w:val="center"/>
        </w:trPr>
        <w:tc>
          <w:tcPr>
            <w:tcW w:w="1288" w:type="dxa"/>
            <w:vMerge w:val="restart"/>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现场记录</w:t>
            </w:r>
          </w:p>
        </w:tc>
        <w:tc>
          <w:tcPr>
            <w:tcW w:w="1460" w:type="dxa"/>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颜色</w:t>
            </w:r>
          </w:p>
        </w:tc>
        <w:tc>
          <w:tcPr>
            <w:tcW w:w="5757" w:type="dxa"/>
            <w:gridSpan w:val="3"/>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干、浅黄色、无根系</w:t>
            </w:r>
          </w:p>
        </w:tc>
      </w:tr>
      <w:tr w:rsidR="00525419">
        <w:trPr>
          <w:cantSplit/>
          <w:trHeight w:val="397"/>
          <w:jc w:val="center"/>
        </w:trPr>
        <w:tc>
          <w:tcPr>
            <w:tcW w:w="1288" w:type="dxa"/>
            <w:vMerge/>
            <w:vAlign w:val="center"/>
          </w:tcPr>
          <w:p w:rsidR="00525419" w:rsidRDefault="00525419">
            <w:pPr>
              <w:widowControl/>
              <w:jc w:val="center"/>
              <w:rPr>
                <w:rFonts w:ascii="Times New Roman" w:hAnsi="Times New Roman"/>
                <w:kern w:val="0"/>
                <w:szCs w:val="21"/>
              </w:rPr>
            </w:pPr>
          </w:p>
        </w:tc>
        <w:tc>
          <w:tcPr>
            <w:tcW w:w="1460" w:type="dxa"/>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结构</w:t>
            </w:r>
          </w:p>
        </w:tc>
        <w:tc>
          <w:tcPr>
            <w:tcW w:w="5757" w:type="dxa"/>
            <w:gridSpan w:val="3"/>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微粒</w:t>
            </w:r>
          </w:p>
        </w:tc>
      </w:tr>
      <w:tr w:rsidR="00525419">
        <w:trPr>
          <w:cantSplit/>
          <w:trHeight w:val="397"/>
          <w:jc w:val="center"/>
        </w:trPr>
        <w:tc>
          <w:tcPr>
            <w:tcW w:w="1288" w:type="dxa"/>
            <w:vMerge/>
            <w:vAlign w:val="center"/>
          </w:tcPr>
          <w:p w:rsidR="00525419" w:rsidRDefault="00525419">
            <w:pPr>
              <w:widowControl/>
              <w:jc w:val="center"/>
              <w:rPr>
                <w:rFonts w:ascii="Times New Roman" w:hAnsi="Times New Roman"/>
                <w:kern w:val="0"/>
                <w:szCs w:val="21"/>
              </w:rPr>
            </w:pPr>
          </w:p>
        </w:tc>
        <w:tc>
          <w:tcPr>
            <w:tcW w:w="1460" w:type="dxa"/>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质地</w:t>
            </w:r>
          </w:p>
        </w:tc>
        <w:tc>
          <w:tcPr>
            <w:tcW w:w="5757" w:type="dxa"/>
            <w:gridSpan w:val="3"/>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砂土</w:t>
            </w:r>
          </w:p>
        </w:tc>
      </w:tr>
      <w:tr w:rsidR="00525419">
        <w:trPr>
          <w:cantSplit/>
          <w:trHeight w:val="397"/>
          <w:jc w:val="center"/>
        </w:trPr>
        <w:tc>
          <w:tcPr>
            <w:tcW w:w="1288" w:type="dxa"/>
            <w:vMerge/>
            <w:vAlign w:val="center"/>
          </w:tcPr>
          <w:p w:rsidR="00525419" w:rsidRDefault="00525419">
            <w:pPr>
              <w:widowControl/>
              <w:jc w:val="center"/>
              <w:rPr>
                <w:rFonts w:ascii="Times New Roman" w:hAnsi="Times New Roman"/>
                <w:kern w:val="0"/>
                <w:szCs w:val="21"/>
              </w:rPr>
            </w:pPr>
          </w:p>
        </w:tc>
        <w:tc>
          <w:tcPr>
            <w:tcW w:w="1460" w:type="dxa"/>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砂砾含量</w:t>
            </w:r>
          </w:p>
        </w:tc>
        <w:tc>
          <w:tcPr>
            <w:tcW w:w="5757" w:type="dxa"/>
            <w:gridSpan w:val="3"/>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28%</w:t>
            </w:r>
          </w:p>
        </w:tc>
      </w:tr>
      <w:tr w:rsidR="00525419">
        <w:trPr>
          <w:cantSplit/>
          <w:trHeight w:val="397"/>
          <w:jc w:val="center"/>
        </w:trPr>
        <w:tc>
          <w:tcPr>
            <w:tcW w:w="1288" w:type="dxa"/>
            <w:vMerge/>
            <w:vAlign w:val="center"/>
          </w:tcPr>
          <w:p w:rsidR="00525419" w:rsidRDefault="00525419">
            <w:pPr>
              <w:widowControl/>
              <w:jc w:val="center"/>
              <w:rPr>
                <w:rFonts w:ascii="Times New Roman" w:hAnsi="Times New Roman"/>
                <w:kern w:val="0"/>
                <w:szCs w:val="21"/>
              </w:rPr>
            </w:pPr>
          </w:p>
        </w:tc>
        <w:tc>
          <w:tcPr>
            <w:tcW w:w="1460" w:type="dxa"/>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其他异物</w:t>
            </w:r>
          </w:p>
        </w:tc>
        <w:tc>
          <w:tcPr>
            <w:tcW w:w="5757" w:type="dxa"/>
            <w:gridSpan w:val="3"/>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无</w:t>
            </w:r>
          </w:p>
        </w:tc>
      </w:tr>
      <w:tr w:rsidR="00525419">
        <w:trPr>
          <w:cantSplit/>
          <w:trHeight w:val="397"/>
          <w:jc w:val="center"/>
        </w:trPr>
        <w:tc>
          <w:tcPr>
            <w:tcW w:w="1288" w:type="dxa"/>
            <w:vMerge w:val="restart"/>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实验室测定</w:t>
            </w:r>
          </w:p>
        </w:tc>
        <w:tc>
          <w:tcPr>
            <w:tcW w:w="1460" w:type="dxa"/>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pH</w:t>
            </w:r>
            <w:r>
              <w:rPr>
                <w:rFonts w:ascii="Times New Roman" w:hAnsi="Times New Roman"/>
                <w:kern w:val="0"/>
                <w:szCs w:val="21"/>
              </w:rPr>
              <w:t>值</w:t>
            </w:r>
          </w:p>
        </w:tc>
        <w:tc>
          <w:tcPr>
            <w:tcW w:w="5757" w:type="dxa"/>
            <w:gridSpan w:val="3"/>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7.17</w:t>
            </w:r>
          </w:p>
        </w:tc>
      </w:tr>
      <w:tr w:rsidR="00525419">
        <w:trPr>
          <w:cantSplit/>
          <w:trHeight w:val="397"/>
          <w:jc w:val="center"/>
        </w:trPr>
        <w:tc>
          <w:tcPr>
            <w:tcW w:w="1288" w:type="dxa"/>
            <w:vMerge/>
            <w:vAlign w:val="center"/>
          </w:tcPr>
          <w:p w:rsidR="00525419" w:rsidRDefault="00525419">
            <w:pPr>
              <w:widowControl/>
              <w:jc w:val="center"/>
              <w:rPr>
                <w:rFonts w:ascii="Times New Roman" w:hAnsi="Times New Roman"/>
                <w:kern w:val="0"/>
                <w:szCs w:val="21"/>
              </w:rPr>
            </w:pPr>
          </w:p>
        </w:tc>
        <w:tc>
          <w:tcPr>
            <w:tcW w:w="1460" w:type="dxa"/>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阳离子交换量</w:t>
            </w:r>
          </w:p>
          <w:p w:rsidR="00525419" w:rsidRDefault="00EE1CF7">
            <w:pPr>
              <w:widowControl/>
              <w:jc w:val="center"/>
              <w:rPr>
                <w:rFonts w:ascii="Times New Roman" w:hAnsi="Times New Roman"/>
                <w:kern w:val="0"/>
                <w:szCs w:val="21"/>
              </w:rPr>
            </w:pPr>
            <w:r>
              <w:rPr>
                <w:rFonts w:ascii="Times New Roman" w:hAnsi="Times New Roman"/>
                <w:kern w:val="0"/>
                <w:szCs w:val="21"/>
              </w:rPr>
              <w:t>Cmol+</w:t>
            </w:r>
          </w:p>
        </w:tc>
        <w:tc>
          <w:tcPr>
            <w:tcW w:w="5757" w:type="dxa"/>
            <w:gridSpan w:val="3"/>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7</w:t>
            </w:r>
          </w:p>
        </w:tc>
      </w:tr>
      <w:tr w:rsidR="00525419">
        <w:trPr>
          <w:cantSplit/>
          <w:trHeight w:val="397"/>
          <w:jc w:val="center"/>
        </w:trPr>
        <w:tc>
          <w:tcPr>
            <w:tcW w:w="1288" w:type="dxa"/>
            <w:vMerge/>
            <w:vAlign w:val="center"/>
          </w:tcPr>
          <w:p w:rsidR="00525419" w:rsidRDefault="00525419">
            <w:pPr>
              <w:widowControl/>
              <w:jc w:val="center"/>
              <w:rPr>
                <w:rFonts w:ascii="Times New Roman" w:hAnsi="Times New Roman"/>
                <w:kern w:val="0"/>
                <w:szCs w:val="21"/>
              </w:rPr>
            </w:pPr>
          </w:p>
        </w:tc>
        <w:tc>
          <w:tcPr>
            <w:tcW w:w="1460" w:type="dxa"/>
            <w:vAlign w:val="center"/>
          </w:tcPr>
          <w:p w:rsidR="00525419" w:rsidRDefault="00EE1CF7">
            <w:pPr>
              <w:widowControl/>
              <w:jc w:val="center"/>
              <w:rPr>
                <w:rFonts w:ascii="Times New Roman" w:hAnsi="Times New Roman"/>
                <w:szCs w:val="21"/>
              </w:rPr>
            </w:pPr>
            <w:r>
              <w:rPr>
                <w:rFonts w:ascii="Times New Roman" w:hAnsi="Times New Roman"/>
                <w:szCs w:val="21"/>
              </w:rPr>
              <w:t>氧化还原电位</w:t>
            </w:r>
          </w:p>
          <w:p w:rsidR="00525419" w:rsidRDefault="00EE1CF7">
            <w:pPr>
              <w:pStyle w:val="affffe"/>
              <w:rPr>
                <w:rFonts w:ascii="Times New Roman"/>
                <w:szCs w:val="21"/>
              </w:rPr>
            </w:pPr>
            <w:r>
              <w:rPr>
                <w:rFonts w:ascii="Times New Roman"/>
                <w:szCs w:val="21"/>
              </w:rPr>
              <w:t>mv</w:t>
            </w:r>
          </w:p>
        </w:tc>
        <w:tc>
          <w:tcPr>
            <w:tcW w:w="5757" w:type="dxa"/>
            <w:gridSpan w:val="3"/>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162</w:t>
            </w:r>
          </w:p>
        </w:tc>
      </w:tr>
      <w:tr w:rsidR="00525419">
        <w:trPr>
          <w:cantSplit/>
          <w:trHeight w:val="397"/>
          <w:jc w:val="center"/>
        </w:trPr>
        <w:tc>
          <w:tcPr>
            <w:tcW w:w="1288" w:type="dxa"/>
            <w:vMerge/>
            <w:vAlign w:val="center"/>
          </w:tcPr>
          <w:p w:rsidR="00525419" w:rsidRDefault="00525419">
            <w:pPr>
              <w:widowControl/>
              <w:jc w:val="center"/>
              <w:rPr>
                <w:rFonts w:ascii="Times New Roman" w:hAnsi="Times New Roman"/>
                <w:kern w:val="0"/>
                <w:szCs w:val="21"/>
              </w:rPr>
            </w:pPr>
          </w:p>
        </w:tc>
        <w:tc>
          <w:tcPr>
            <w:tcW w:w="1460" w:type="dxa"/>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饱和导水率</w:t>
            </w:r>
            <w:r>
              <w:rPr>
                <w:rFonts w:ascii="Times New Roman" w:hAnsi="Times New Roman"/>
                <w:kern w:val="0"/>
                <w:szCs w:val="21"/>
              </w:rPr>
              <w:t>cm/s</w:t>
            </w:r>
          </w:p>
        </w:tc>
        <w:tc>
          <w:tcPr>
            <w:tcW w:w="5757" w:type="dxa"/>
            <w:gridSpan w:val="3"/>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4.46×10</w:t>
            </w:r>
            <w:r>
              <w:rPr>
                <w:rFonts w:ascii="Times New Roman" w:hAnsi="Times New Roman"/>
                <w:kern w:val="0"/>
                <w:szCs w:val="21"/>
                <w:vertAlign w:val="superscript"/>
              </w:rPr>
              <w:t>-3</w:t>
            </w:r>
          </w:p>
        </w:tc>
      </w:tr>
      <w:tr w:rsidR="00525419">
        <w:trPr>
          <w:cantSplit/>
          <w:trHeight w:val="397"/>
          <w:jc w:val="center"/>
        </w:trPr>
        <w:tc>
          <w:tcPr>
            <w:tcW w:w="1288" w:type="dxa"/>
            <w:vMerge/>
            <w:vAlign w:val="center"/>
          </w:tcPr>
          <w:p w:rsidR="00525419" w:rsidRDefault="00525419">
            <w:pPr>
              <w:widowControl/>
              <w:jc w:val="center"/>
              <w:rPr>
                <w:rFonts w:ascii="Times New Roman" w:hAnsi="Times New Roman"/>
                <w:kern w:val="0"/>
                <w:szCs w:val="21"/>
              </w:rPr>
            </w:pPr>
          </w:p>
        </w:tc>
        <w:tc>
          <w:tcPr>
            <w:tcW w:w="1460" w:type="dxa"/>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土壤容重</w:t>
            </w:r>
          </w:p>
          <w:p w:rsidR="00525419" w:rsidRDefault="00EE1CF7">
            <w:pPr>
              <w:widowControl/>
              <w:jc w:val="center"/>
              <w:rPr>
                <w:rFonts w:ascii="Times New Roman" w:hAnsi="Times New Roman"/>
                <w:kern w:val="0"/>
                <w:szCs w:val="21"/>
              </w:rPr>
            </w:pPr>
            <w:r>
              <w:rPr>
                <w:rFonts w:ascii="Times New Roman" w:hAnsi="Times New Roman"/>
                <w:kern w:val="0"/>
                <w:szCs w:val="21"/>
              </w:rPr>
              <w:t>g/cm</w:t>
            </w:r>
            <w:r>
              <w:rPr>
                <w:rFonts w:ascii="Times New Roman" w:hAnsi="Times New Roman"/>
                <w:kern w:val="0"/>
                <w:szCs w:val="21"/>
                <w:vertAlign w:val="superscript"/>
              </w:rPr>
              <w:t>3</w:t>
            </w:r>
          </w:p>
        </w:tc>
        <w:tc>
          <w:tcPr>
            <w:tcW w:w="5757" w:type="dxa"/>
            <w:gridSpan w:val="3"/>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1.74</w:t>
            </w:r>
          </w:p>
        </w:tc>
      </w:tr>
      <w:tr w:rsidR="00525419">
        <w:trPr>
          <w:cantSplit/>
          <w:trHeight w:val="538"/>
          <w:jc w:val="center"/>
        </w:trPr>
        <w:tc>
          <w:tcPr>
            <w:tcW w:w="1288" w:type="dxa"/>
            <w:vMerge/>
            <w:vAlign w:val="center"/>
          </w:tcPr>
          <w:p w:rsidR="00525419" w:rsidRDefault="00525419">
            <w:pPr>
              <w:widowControl/>
              <w:jc w:val="center"/>
              <w:rPr>
                <w:rFonts w:ascii="Times New Roman" w:hAnsi="Times New Roman"/>
                <w:kern w:val="0"/>
                <w:szCs w:val="21"/>
              </w:rPr>
            </w:pPr>
          </w:p>
        </w:tc>
        <w:tc>
          <w:tcPr>
            <w:tcW w:w="1460" w:type="dxa"/>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孔隙度</w:t>
            </w:r>
          </w:p>
          <w:p w:rsidR="00525419" w:rsidRDefault="00EE1CF7">
            <w:pPr>
              <w:widowControl/>
              <w:jc w:val="center"/>
              <w:rPr>
                <w:rFonts w:ascii="Times New Roman" w:hAnsi="Times New Roman"/>
                <w:kern w:val="0"/>
                <w:szCs w:val="21"/>
              </w:rPr>
            </w:pPr>
            <w:r>
              <w:rPr>
                <w:rFonts w:ascii="Times New Roman" w:hAnsi="Times New Roman"/>
                <w:kern w:val="0"/>
                <w:szCs w:val="21"/>
              </w:rPr>
              <w:t>%</w:t>
            </w:r>
          </w:p>
        </w:tc>
        <w:tc>
          <w:tcPr>
            <w:tcW w:w="5757" w:type="dxa"/>
            <w:gridSpan w:val="3"/>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14</w:t>
            </w:r>
          </w:p>
        </w:tc>
      </w:tr>
    </w:tbl>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4.3.4.</w:t>
      </w:r>
      <w:r>
        <w:rPr>
          <w:rFonts w:ascii="Times New Roman" w:hAnsi="Times New Roman" w:cs="Times New Roman" w:hint="eastAsia"/>
          <w:kern w:val="44"/>
          <w:sz w:val="24"/>
          <w:szCs w:val="24"/>
        </w:rPr>
        <w:t>5</w:t>
      </w:r>
      <w:r>
        <w:rPr>
          <w:rFonts w:ascii="Times New Roman" w:hAnsi="Times New Roman" w:cs="Times New Roman"/>
          <w:kern w:val="44"/>
          <w:sz w:val="24"/>
          <w:szCs w:val="24"/>
        </w:rPr>
        <w:t>评价结果</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土壤环境质量现状评价结果见表</w:t>
      </w:r>
      <w:r>
        <w:rPr>
          <w:rFonts w:ascii="Times New Roman" w:hAnsi="Times New Roman"/>
          <w:kern w:val="0"/>
          <w:sz w:val="24"/>
          <w:szCs w:val="24"/>
        </w:rPr>
        <w:t>4.3-</w:t>
      </w:r>
      <w:r>
        <w:rPr>
          <w:rFonts w:ascii="Times New Roman" w:hAnsi="Times New Roman" w:hint="eastAsia"/>
          <w:kern w:val="0"/>
          <w:sz w:val="24"/>
          <w:szCs w:val="24"/>
        </w:rPr>
        <w:t>10</w:t>
      </w:r>
      <w:r>
        <w:rPr>
          <w:rFonts w:ascii="Times New Roman" w:hAnsi="Times New Roman"/>
          <w:kern w:val="0"/>
          <w:sz w:val="24"/>
          <w:szCs w:val="24"/>
        </w:rPr>
        <w:t>、</w:t>
      </w:r>
      <w:r>
        <w:rPr>
          <w:rFonts w:ascii="Times New Roman" w:hAnsi="Times New Roman"/>
          <w:kern w:val="0"/>
          <w:sz w:val="24"/>
          <w:szCs w:val="24"/>
        </w:rPr>
        <w:t>4.3-</w:t>
      </w:r>
      <w:r>
        <w:rPr>
          <w:rFonts w:ascii="Times New Roman" w:hAnsi="Times New Roman" w:hint="eastAsia"/>
          <w:kern w:val="0"/>
          <w:sz w:val="24"/>
          <w:szCs w:val="24"/>
        </w:rPr>
        <w:t>11</w:t>
      </w:r>
      <w:r>
        <w:rPr>
          <w:rFonts w:ascii="Times New Roman" w:hAnsi="Times New Roman"/>
          <w:kern w:val="0"/>
          <w:sz w:val="24"/>
          <w:szCs w:val="24"/>
        </w:rPr>
        <w:t>。</w:t>
      </w:r>
    </w:p>
    <w:p w:rsidR="00525419" w:rsidRDefault="00EE1CF7">
      <w:pPr>
        <w:widowControl/>
        <w:adjustRightInd w:val="0"/>
        <w:snapToGrid w:val="0"/>
        <w:spacing w:before="120"/>
        <w:jc w:val="center"/>
        <w:rPr>
          <w:rFonts w:ascii="Times New Roman" w:eastAsia="黑体" w:hAnsi="Times New Roman"/>
          <w:bCs/>
          <w:snapToGrid w:val="0"/>
          <w:kern w:val="0"/>
          <w:szCs w:val="21"/>
        </w:rPr>
      </w:pPr>
      <w:r>
        <w:rPr>
          <w:rFonts w:ascii="Times New Roman" w:eastAsia="黑体" w:hAnsi="Times New Roman"/>
          <w:bCs/>
          <w:snapToGrid w:val="0"/>
          <w:kern w:val="0"/>
          <w:szCs w:val="21"/>
        </w:rPr>
        <w:t>表</w:t>
      </w:r>
      <w:r>
        <w:rPr>
          <w:rFonts w:ascii="Times New Roman" w:eastAsia="黑体" w:hAnsi="Times New Roman"/>
          <w:bCs/>
          <w:snapToGrid w:val="0"/>
          <w:kern w:val="0"/>
          <w:szCs w:val="21"/>
        </w:rPr>
        <w:t>4.3-</w:t>
      </w:r>
      <w:r>
        <w:rPr>
          <w:rFonts w:ascii="Times New Roman" w:eastAsia="黑体" w:hAnsi="Times New Roman" w:hint="eastAsia"/>
          <w:bCs/>
          <w:snapToGrid w:val="0"/>
          <w:kern w:val="0"/>
          <w:szCs w:val="21"/>
        </w:rPr>
        <w:t>10</w:t>
      </w:r>
      <w:r>
        <w:rPr>
          <w:rFonts w:ascii="Times New Roman" w:eastAsia="黑体" w:hAnsi="Times New Roman"/>
          <w:bCs/>
          <w:snapToGrid w:val="0"/>
          <w:kern w:val="0"/>
          <w:szCs w:val="21"/>
        </w:rPr>
        <w:t xml:space="preserve">   </w:t>
      </w:r>
      <w:r>
        <w:rPr>
          <w:rFonts w:ascii="Times New Roman" w:eastAsia="黑体" w:hAnsi="Times New Roman"/>
          <w:bCs/>
          <w:snapToGrid w:val="0"/>
          <w:kern w:val="0"/>
          <w:szCs w:val="21"/>
        </w:rPr>
        <w:t>土壤环境质量现状评价结果（</w:t>
      </w:r>
      <w:r>
        <w:rPr>
          <w:rFonts w:ascii="Times New Roman" w:eastAsia="黑体" w:hAnsi="Times New Roman"/>
          <w:bCs/>
          <w:snapToGrid w:val="0"/>
          <w:kern w:val="0"/>
          <w:szCs w:val="21"/>
        </w:rPr>
        <w:t>1#-5#</w:t>
      </w:r>
      <w:r>
        <w:rPr>
          <w:rFonts w:ascii="Times New Roman" w:eastAsia="黑体" w:hAnsi="Times New Roman"/>
          <w:bCs/>
          <w:snapToGrid w:val="0"/>
          <w:kern w:val="0"/>
          <w:szCs w:val="21"/>
        </w:rPr>
        <w:t>）</w:t>
      </w:r>
    </w:p>
    <w:tbl>
      <w:tblPr>
        <w:tblW w:w="8511" w:type="dxa"/>
        <w:jc w:val="center"/>
        <w:tblBorders>
          <w:top w:val="single" w:sz="12" w:space="0" w:color="auto"/>
          <w:left w:val="single" w:sz="12" w:space="0" w:color="auto"/>
          <w:bottom w:val="single" w:sz="12" w:space="0" w:color="auto"/>
          <w:right w:val="single" w:sz="12" w:space="0" w:color="auto"/>
          <w:insideH w:val="single" w:sz="4" w:space="0" w:color="auto"/>
          <w:insideV w:val="single" w:sz="2" w:space="0" w:color="auto"/>
        </w:tblBorders>
        <w:tblLayout w:type="fixed"/>
        <w:tblLook w:val="04A0" w:firstRow="1" w:lastRow="0" w:firstColumn="1" w:lastColumn="0" w:noHBand="0" w:noVBand="1"/>
      </w:tblPr>
      <w:tblGrid>
        <w:gridCol w:w="1111"/>
        <w:gridCol w:w="1038"/>
        <w:gridCol w:w="1127"/>
        <w:gridCol w:w="1127"/>
        <w:gridCol w:w="987"/>
        <w:gridCol w:w="987"/>
        <w:gridCol w:w="958"/>
        <w:gridCol w:w="599"/>
        <w:gridCol w:w="577"/>
      </w:tblGrid>
      <w:tr w:rsidR="00525419">
        <w:trPr>
          <w:cantSplit/>
          <w:tblHeader/>
          <w:jc w:val="center"/>
        </w:trPr>
        <w:tc>
          <w:tcPr>
            <w:tcW w:w="1111" w:type="dxa"/>
            <w:vMerge w:val="restart"/>
            <w:vAlign w:val="center"/>
          </w:tcPr>
          <w:p w:rsidR="00525419" w:rsidRDefault="00EE1CF7">
            <w:pPr>
              <w:pStyle w:val="affffffffffffffffffffffffffffffffffe"/>
              <w:spacing w:line="360" w:lineRule="auto"/>
              <w:rPr>
                <w:rFonts w:ascii="Times New Roman" w:hAnsi="Times New Roman" w:cs="Times New Roman"/>
                <w:b/>
                <w:sz w:val="18"/>
                <w:szCs w:val="18"/>
              </w:rPr>
            </w:pPr>
            <w:r>
              <w:rPr>
                <w:rFonts w:ascii="Times New Roman" w:hAnsi="Times New Roman" w:cs="Times New Roman"/>
                <w:b/>
                <w:sz w:val="18"/>
                <w:szCs w:val="18"/>
              </w:rPr>
              <w:t>采样地点</w:t>
            </w:r>
          </w:p>
          <w:p w:rsidR="00525419" w:rsidRDefault="00EE1CF7">
            <w:pPr>
              <w:pStyle w:val="affffffffffffffffffffffffffffffffffe"/>
              <w:spacing w:line="360" w:lineRule="auto"/>
              <w:rPr>
                <w:rFonts w:ascii="Times New Roman" w:hAnsi="Times New Roman" w:cs="Times New Roman"/>
                <w:b/>
                <w:sz w:val="18"/>
                <w:szCs w:val="18"/>
              </w:rPr>
            </w:pPr>
            <w:r>
              <w:rPr>
                <w:rFonts w:ascii="Times New Roman" w:hAnsi="Times New Roman" w:cs="Times New Roman"/>
                <w:b/>
                <w:sz w:val="18"/>
                <w:szCs w:val="18"/>
              </w:rPr>
              <w:t>监测项目</w:t>
            </w:r>
          </w:p>
        </w:tc>
        <w:tc>
          <w:tcPr>
            <w:tcW w:w="1038" w:type="dxa"/>
            <w:vAlign w:val="center"/>
          </w:tcPr>
          <w:p w:rsidR="00525419" w:rsidRDefault="00EE1CF7">
            <w:pPr>
              <w:pStyle w:val="affffffffffffffffffffffffffffffffffe"/>
              <w:snapToGrid w:val="0"/>
              <w:spacing w:before="0" w:after="0" w:line="360" w:lineRule="auto"/>
              <w:jc w:val="center"/>
              <w:rPr>
                <w:rFonts w:ascii="Times New Roman" w:hAnsi="Times New Roman" w:cs="Times New Roman"/>
                <w:b/>
                <w:sz w:val="18"/>
                <w:szCs w:val="18"/>
              </w:rPr>
            </w:pPr>
            <w:r>
              <w:rPr>
                <w:rFonts w:ascii="Times New Roman" w:hAnsi="Times New Roman" w:cs="Times New Roman"/>
                <w:b/>
                <w:sz w:val="18"/>
                <w:szCs w:val="18"/>
              </w:rPr>
              <w:t>厂区范围内柱状</w:t>
            </w:r>
            <w:r>
              <w:rPr>
                <w:rFonts w:ascii="Times New Roman" w:hAnsi="Times New Roman" w:cs="Times New Roman"/>
                <w:b/>
                <w:sz w:val="18"/>
                <w:szCs w:val="18"/>
              </w:rPr>
              <w:t>(50cm)</w:t>
            </w:r>
          </w:p>
        </w:tc>
        <w:tc>
          <w:tcPr>
            <w:tcW w:w="1127" w:type="dxa"/>
            <w:vAlign w:val="center"/>
          </w:tcPr>
          <w:p w:rsidR="00525419" w:rsidRDefault="00EE1CF7">
            <w:pPr>
              <w:pStyle w:val="affffffffffffffffffffffffffffffffffe"/>
              <w:snapToGrid w:val="0"/>
              <w:spacing w:before="0" w:after="0" w:line="360" w:lineRule="auto"/>
              <w:jc w:val="center"/>
              <w:rPr>
                <w:rFonts w:ascii="Times New Roman" w:hAnsi="Times New Roman" w:cs="Times New Roman"/>
                <w:b/>
                <w:sz w:val="18"/>
                <w:szCs w:val="18"/>
              </w:rPr>
            </w:pPr>
            <w:r>
              <w:rPr>
                <w:rFonts w:ascii="Times New Roman" w:hAnsi="Times New Roman" w:cs="Times New Roman"/>
                <w:b/>
                <w:sz w:val="18"/>
                <w:szCs w:val="18"/>
              </w:rPr>
              <w:t>厂区范围内柱状</w:t>
            </w:r>
            <w:r>
              <w:rPr>
                <w:rFonts w:ascii="Times New Roman" w:hAnsi="Times New Roman" w:cs="Times New Roman"/>
                <w:b/>
                <w:sz w:val="18"/>
                <w:szCs w:val="18"/>
              </w:rPr>
              <w:t>(1m)</w:t>
            </w:r>
          </w:p>
        </w:tc>
        <w:tc>
          <w:tcPr>
            <w:tcW w:w="1127" w:type="dxa"/>
            <w:vAlign w:val="center"/>
          </w:tcPr>
          <w:p w:rsidR="00525419" w:rsidRDefault="00EE1CF7">
            <w:pPr>
              <w:pStyle w:val="affffffffffffffffffffffffffffffffffe"/>
              <w:snapToGrid w:val="0"/>
              <w:spacing w:before="0" w:after="0" w:line="360" w:lineRule="auto"/>
              <w:jc w:val="center"/>
              <w:rPr>
                <w:rFonts w:ascii="Times New Roman" w:hAnsi="Times New Roman" w:cs="Times New Roman"/>
                <w:b/>
                <w:sz w:val="18"/>
                <w:szCs w:val="18"/>
              </w:rPr>
            </w:pPr>
            <w:r>
              <w:rPr>
                <w:rFonts w:ascii="Times New Roman" w:hAnsi="Times New Roman" w:cs="Times New Roman"/>
                <w:b/>
                <w:sz w:val="18"/>
                <w:szCs w:val="18"/>
              </w:rPr>
              <w:t>厂区范围内</w:t>
            </w:r>
          </w:p>
          <w:p w:rsidR="00525419" w:rsidRDefault="00EE1CF7">
            <w:pPr>
              <w:pStyle w:val="affffffffffffffffffffffffffffffffffe"/>
              <w:snapToGrid w:val="0"/>
              <w:spacing w:before="0" w:after="0" w:line="360" w:lineRule="auto"/>
              <w:jc w:val="center"/>
              <w:rPr>
                <w:rFonts w:ascii="Times New Roman" w:hAnsi="Times New Roman" w:cs="Times New Roman"/>
                <w:b/>
                <w:sz w:val="18"/>
                <w:szCs w:val="18"/>
              </w:rPr>
            </w:pPr>
            <w:r>
              <w:rPr>
                <w:rFonts w:ascii="Times New Roman" w:hAnsi="Times New Roman" w:cs="Times New Roman"/>
                <w:b/>
                <w:sz w:val="18"/>
                <w:szCs w:val="18"/>
              </w:rPr>
              <w:t>柱状</w:t>
            </w:r>
            <w:r>
              <w:rPr>
                <w:rFonts w:ascii="Times New Roman" w:hAnsi="Times New Roman" w:cs="Times New Roman"/>
                <w:b/>
                <w:sz w:val="18"/>
                <w:szCs w:val="18"/>
              </w:rPr>
              <w:t>(1.5m)</w:t>
            </w:r>
          </w:p>
        </w:tc>
        <w:tc>
          <w:tcPr>
            <w:tcW w:w="987" w:type="dxa"/>
            <w:vAlign w:val="center"/>
          </w:tcPr>
          <w:p w:rsidR="00525419" w:rsidRDefault="00EE1CF7">
            <w:pPr>
              <w:pStyle w:val="affffffffffffffffffffffffffffffffffe"/>
              <w:snapToGrid w:val="0"/>
              <w:spacing w:before="0" w:after="0" w:line="360" w:lineRule="auto"/>
              <w:jc w:val="center"/>
              <w:rPr>
                <w:rFonts w:ascii="Times New Roman" w:hAnsi="Times New Roman" w:cs="Times New Roman"/>
                <w:b/>
                <w:sz w:val="18"/>
                <w:szCs w:val="18"/>
              </w:rPr>
            </w:pPr>
            <w:r>
              <w:rPr>
                <w:rFonts w:ascii="Times New Roman" w:hAnsi="Times New Roman" w:cs="Times New Roman"/>
                <w:b/>
                <w:sz w:val="18"/>
                <w:szCs w:val="18"/>
              </w:rPr>
              <w:t>厂区范围内柱状</w:t>
            </w:r>
            <w:r>
              <w:rPr>
                <w:rFonts w:ascii="Times New Roman" w:hAnsi="Times New Roman" w:cs="Times New Roman"/>
                <w:b/>
                <w:sz w:val="18"/>
                <w:szCs w:val="18"/>
              </w:rPr>
              <w:t>(50cm)</w:t>
            </w:r>
          </w:p>
        </w:tc>
        <w:tc>
          <w:tcPr>
            <w:tcW w:w="987" w:type="dxa"/>
            <w:vAlign w:val="center"/>
          </w:tcPr>
          <w:p w:rsidR="00525419" w:rsidRDefault="00EE1CF7">
            <w:pPr>
              <w:pStyle w:val="affffffffffffffffffffffffffffffffffe"/>
              <w:snapToGrid w:val="0"/>
              <w:spacing w:before="0" w:after="0" w:line="360" w:lineRule="auto"/>
              <w:jc w:val="center"/>
              <w:rPr>
                <w:rFonts w:ascii="Times New Roman" w:hAnsi="Times New Roman" w:cs="Times New Roman"/>
                <w:b/>
                <w:sz w:val="18"/>
                <w:szCs w:val="18"/>
              </w:rPr>
            </w:pPr>
            <w:r>
              <w:rPr>
                <w:rFonts w:ascii="Times New Roman" w:hAnsi="Times New Roman" w:cs="Times New Roman"/>
                <w:b/>
                <w:sz w:val="18"/>
                <w:szCs w:val="18"/>
              </w:rPr>
              <w:t>厂区范围内柱状</w:t>
            </w:r>
            <w:r>
              <w:rPr>
                <w:rFonts w:ascii="Times New Roman" w:hAnsi="Times New Roman" w:cs="Times New Roman"/>
                <w:b/>
                <w:sz w:val="18"/>
                <w:szCs w:val="18"/>
              </w:rPr>
              <w:t>(1cm)</w:t>
            </w:r>
          </w:p>
        </w:tc>
        <w:tc>
          <w:tcPr>
            <w:tcW w:w="958" w:type="dxa"/>
            <w:vAlign w:val="center"/>
          </w:tcPr>
          <w:p w:rsidR="00525419" w:rsidRDefault="00EE1CF7">
            <w:pPr>
              <w:pStyle w:val="affffffffffffffffffffffffffffffffffe"/>
              <w:snapToGrid w:val="0"/>
              <w:spacing w:before="0" w:after="0" w:line="360" w:lineRule="auto"/>
              <w:jc w:val="center"/>
              <w:rPr>
                <w:rFonts w:ascii="Times New Roman" w:hAnsi="Times New Roman" w:cs="Times New Roman"/>
                <w:b/>
                <w:sz w:val="18"/>
                <w:szCs w:val="18"/>
              </w:rPr>
            </w:pPr>
            <w:r>
              <w:rPr>
                <w:rFonts w:ascii="Times New Roman" w:hAnsi="Times New Roman" w:cs="Times New Roman"/>
                <w:b/>
                <w:sz w:val="18"/>
                <w:szCs w:val="18"/>
              </w:rPr>
              <w:t>厂区范围内柱状</w:t>
            </w:r>
            <w:r>
              <w:rPr>
                <w:rFonts w:ascii="Times New Roman" w:hAnsi="Times New Roman" w:cs="Times New Roman"/>
                <w:b/>
                <w:sz w:val="18"/>
                <w:szCs w:val="18"/>
              </w:rPr>
              <w:t>(1.5cm)</w:t>
            </w:r>
          </w:p>
        </w:tc>
        <w:tc>
          <w:tcPr>
            <w:tcW w:w="599" w:type="dxa"/>
            <w:vAlign w:val="center"/>
          </w:tcPr>
          <w:p w:rsidR="00525419" w:rsidRDefault="00EE1CF7">
            <w:pPr>
              <w:pStyle w:val="affffffffffffffffffffffffffffffffffe"/>
              <w:snapToGrid w:val="0"/>
              <w:spacing w:before="0" w:after="0" w:line="360" w:lineRule="auto"/>
              <w:jc w:val="center"/>
              <w:rPr>
                <w:rFonts w:ascii="Times New Roman" w:hAnsi="Times New Roman" w:cs="Times New Roman"/>
                <w:b/>
                <w:sz w:val="18"/>
                <w:szCs w:val="18"/>
              </w:rPr>
            </w:pPr>
            <w:r>
              <w:rPr>
                <w:rFonts w:ascii="Times New Roman" w:hAnsi="Times New Roman" w:cs="Times New Roman"/>
                <w:b/>
                <w:sz w:val="18"/>
                <w:szCs w:val="18"/>
              </w:rPr>
              <w:t>第二类用地筛选值</w:t>
            </w:r>
          </w:p>
        </w:tc>
        <w:tc>
          <w:tcPr>
            <w:tcW w:w="577" w:type="dxa"/>
            <w:vAlign w:val="center"/>
          </w:tcPr>
          <w:p w:rsidR="00525419" w:rsidRDefault="00EE1CF7">
            <w:pPr>
              <w:pStyle w:val="affffffffffffffffffffffffffffffffffe"/>
              <w:snapToGrid w:val="0"/>
              <w:spacing w:before="0" w:after="0" w:line="360" w:lineRule="auto"/>
              <w:jc w:val="center"/>
              <w:rPr>
                <w:rFonts w:ascii="Times New Roman" w:hAnsi="Times New Roman" w:cs="Times New Roman"/>
                <w:b/>
                <w:sz w:val="18"/>
                <w:szCs w:val="18"/>
              </w:rPr>
            </w:pPr>
            <w:r>
              <w:rPr>
                <w:rFonts w:ascii="Times New Roman" w:hAnsi="Times New Roman" w:cs="Times New Roman"/>
                <w:b/>
                <w:sz w:val="18"/>
                <w:szCs w:val="18"/>
              </w:rPr>
              <w:t>评价</w:t>
            </w:r>
          </w:p>
          <w:p w:rsidR="00525419" w:rsidRDefault="00EE1CF7">
            <w:pPr>
              <w:pStyle w:val="affffffffffffffffffffffffffffffffffe"/>
              <w:snapToGrid w:val="0"/>
              <w:spacing w:before="0" w:after="0" w:line="360" w:lineRule="auto"/>
              <w:jc w:val="center"/>
              <w:rPr>
                <w:rFonts w:ascii="Times New Roman" w:hAnsi="Times New Roman" w:cs="Times New Roman"/>
                <w:b/>
                <w:sz w:val="18"/>
                <w:szCs w:val="18"/>
              </w:rPr>
            </w:pPr>
            <w:r>
              <w:rPr>
                <w:rFonts w:ascii="Times New Roman" w:hAnsi="Times New Roman" w:cs="Times New Roman"/>
                <w:b/>
                <w:sz w:val="18"/>
                <w:szCs w:val="18"/>
              </w:rPr>
              <w:t>结果</w:t>
            </w:r>
          </w:p>
        </w:tc>
      </w:tr>
      <w:tr w:rsidR="00525419">
        <w:trPr>
          <w:cantSplit/>
          <w:trHeight w:val="90"/>
          <w:tblHeader/>
          <w:jc w:val="center"/>
        </w:trPr>
        <w:tc>
          <w:tcPr>
            <w:tcW w:w="1111" w:type="dxa"/>
            <w:vMerge/>
            <w:vAlign w:val="center"/>
          </w:tcPr>
          <w:p w:rsidR="00525419" w:rsidRDefault="00525419">
            <w:pPr>
              <w:pStyle w:val="affffffffffffffffffffffffffffffffffe"/>
              <w:spacing w:line="360" w:lineRule="auto"/>
              <w:jc w:val="right"/>
              <w:rPr>
                <w:rFonts w:ascii="Times New Roman" w:hAnsi="Times New Roman" w:cs="Times New Roman"/>
                <w:b/>
                <w:sz w:val="18"/>
                <w:szCs w:val="18"/>
              </w:rPr>
            </w:pPr>
          </w:p>
        </w:tc>
        <w:tc>
          <w:tcPr>
            <w:tcW w:w="1038" w:type="dxa"/>
            <w:tcBorders>
              <w:right w:val="single" w:sz="4" w:space="0" w:color="auto"/>
            </w:tcBorders>
            <w:vAlign w:val="center"/>
          </w:tcPr>
          <w:p w:rsidR="00525419" w:rsidRDefault="00EE1CF7">
            <w:pPr>
              <w:pStyle w:val="affffffffffffffffffffffffffffffffffe"/>
              <w:spacing w:line="360" w:lineRule="auto"/>
              <w:jc w:val="center"/>
              <w:rPr>
                <w:rFonts w:ascii="Times New Roman" w:hAnsi="Times New Roman" w:cs="Times New Roman"/>
                <w:b/>
                <w:bCs/>
                <w:sz w:val="18"/>
                <w:szCs w:val="18"/>
              </w:rPr>
            </w:pPr>
            <w:r>
              <w:rPr>
                <w:rFonts w:ascii="Times New Roman" w:hAnsi="Times New Roman" w:cs="Times New Roman"/>
                <w:b/>
                <w:bCs/>
                <w:sz w:val="18"/>
                <w:szCs w:val="18"/>
              </w:rPr>
              <w:t>1#</w:t>
            </w:r>
          </w:p>
        </w:tc>
        <w:tc>
          <w:tcPr>
            <w:tcW w:w="1127" w:type="dxa"/>
            <w:tcBorders>
              <w:right w:val="single" w:sz="4" w:space="0" w:color="auto"/>
            </w:tcBorders>
            <w:vAlign w:val="center"/>
          </w:tcPr>
          <w:p w:rsidR="00525419" w:rsidRDefault="00EE1CF7">
            <w:pPr>
              <w:pStyle w:val="affffffffffffffffffffffffffffffffffe"/>
              <w:spacing w:line="360" w:lineRule="auto"/>
              <w:jc w:val="center"/>
              <w:rPr>
                <w:rFonts w:ascii="Times New Roman" w:hAnsi="Times New Roman" w:cs="Times New Roman"/>
                <w:b/>
                <w:bCs/>
                <w:sz w:val="18"/>
                <w:szCs w:val="18"/>
              </w:rPr>
            </w:pPr>
            <w:r>
              <w:rPr>
                <w:rFonts w:ascii="Times New Roman" w:hAnsi="Times New Roman" w:cs="Times New Roman"/>
                <w:b/>
                <w:bCs/>
                <w:sz w:val="18"/>
                <w:szCs w:val="18"/>
              </w:rPr>
              <w:t>1#</w:t>
            </w:r>
          </w:p>
        </w:tc>
        <w:tc>
          <w:tcPr>
            <w:tcW w:w="1127" w:type="dxa"/>
            <w:tcBorders>
              <w:right w:val="single" w:sz="4" w:space="0" w:color="auto"/>
            </w:tcBorders>
            <w:vAlign w:val="center"/>
          </w:tcPr>
          <w:p w:rsidR="00525419" w:rsidRDefault="00EE1CF7">
            <w:pPr>
              <w:pStyle w:val="affffffffffffffffffffffffffffffffffe"/>
              <w:spacing w:line="360" w:lineRule="auto"/>
              <w:jc w:val="center"/>
              <w:rPr>
                <w:rFonts w:ascii="Times New Roman" w:hAnsi="Times New Roman" w:cs="Times New Roman"/>
                <w:b/>
                <w:bCs/>
                <w:sz w:val="18"/>
                <w:szCs w:val="18"/>
              </w:rPr>
            </w:pPr>
            <w:r>
              <w:rPr>
                <w:rFonts w:ascii="Times New Roman" w:hAnsi="Times New Roman" w:cs="Times New Roman"/>
                <w:b/>
                <w:bCs/>
                <w:sz w:val="18"/>
                <w:szCs w:val="18"/>
              </w:rPr>
              <w:t>1#</w:t>
            </w:r>
          </w:p>
        </w:tc>
        <w:tc>
          <w:tcPr>
            <w:tcW w:w="987" w:type="dxa"/>
            <w:vAlign w:val="center"/>
          </w:tcPr>
          <w:p w:rsidR="00525419" w:rsidRDefault="00EE1CF7">
            <w:pPr>
              <w:pStyle w:val="affffffffffffffffffffffffffffffffffe"/>
              <w:spacing w:line="360" w:lineRule="auto"/>
              <w:jc w:val="center"/>
              <w:rPr>
                <w:rFonts w:ascii="Times New Roman" w:hAnsi="Times New Roman" w:cs="Times New Roman"/>
                <w:b/>
                <w:bCs/>
                <w:sz w:val="18"/>
                <w:szCs w:val="18"/>
              </w:rPr>
            </w:pPr>
            <w:r>
              <w:rPr>
                <w:rFonts w:ascii="Times New Roman" w:hAnsi="Times New Roman" w:cs="Times New Roman"/>
                <w:b/>
                <w:bCs/>
                <w:sz w:val="18"/>
                <w:szCs w:val="18"/>
              </w:rPr>
              <w:t>2#</w:t>
            </w:r>
          </w:p>
        </w:tc>
        <w:tc>
          <w:tcPr>
            <w:tcW w:w="987" w:type="dxa"/>
            <w:vAlign w:val="center"/>
          </w:tcPr>
          <w:p w:rsidR="00525419" w:rsidRDefault="00EE1CF7">
            <w:pPr>
              <w:pStyle w:val="affffffffffffffffffffffffffffffffffe"/>
              <w:spacing w:line="360" w:lineRule="auto"/>
              <w:jc w:val="center"/>
              <w:rPr>
                <w:rFonts w:ascii="Times New Roman" w:hAnsi="Times New Roman" w:cs="Times New Roman"/>
                <w:b/>
                <w:bCs/>
                <w:sz w:val="18"/>
                <w:szCs w:val="18"/>
              </w:rPr>
            </w:pPr>
            <w:r>
              <w:rPr>
                <w:rFonts w:ascii="Times New Roman" w:hAnsi="Times New Roman" w:cs="Times New Roman"/>
                <w:b/>
                <w:bCs/>
                <w:sz w:val="18"/>
                <w:szCs w:val="18"/>
              </w:rPr>
              <w:t>2#</w:t>
            </w:r>
          </w:p>
        </w:tc>
        <w:tc>
          <w:tcPr>
            <w:tcW w:w="958" w:type="dxa"/>
            <w:vAlign w:val="center"/>
          </w:tcPr>
          <w:p w:rsidR="00525419" w:rsidRDefault="00EE1CF7">
            <w:pPr>
              <w:pStyle w:val="affffffffffffffffffffffffffffffffffe"/>
              <w:spacing w:line="360" w:lineRule="auto"/>
              <w:jc w:val="center"/>
              <w:rPr>
                <w:rFonts w:ascii="Times New Roman" w:hAnsi="Times New Roman" w:cs="Times New Roman"/>
                <w:b/>
                <w:bCs/>
                <w:sz w:val="18"/>
                <w:szCs w:val="18"/>
              </w:rPr>
            </w:pPr>
            <w:r>
              <w:rPr>
                <w:rFonts w:ascii="Times New Roman" w:hAnsi="Times New Roman" w:cs="Times New Roman"/>
                <w:b/>
                <w:bCs/>
                <w:sz w:val="18"/>
                <w:szCs w:val="18"/>
              </w:rPr>
              <w:t>2#</w:t>
            </w:r>
          </w:p>
        </w:tc>
        <w:tc>
          <w:tcPr>
            <w:tcW w:w="599" w:type="dxa"/>
            <w:vAlign w:val="center"/>
          </w:tcPr>
          <w:p w:rsidR="00525419" w:rsidRDefault="00EE1CF7">
            <w:pPr>
              <w:pStyle w:val="affffffffffffffffffffffffffffffffffe"/>
              <w:spacing w:line="360" w:lineRule="auto"/>
              <w:jc w:val="center"/>
              <w:rPr>
                <w:rFonts w:ascii="Times New Roman" w:hAnsi="Times New Roman" w:cs="Times New Roman"/>
                <w:b/>
                <w:bCs/>
                <w:sz w:val="18"/>
                <w:szCs w:val="18"/>
              </w:rPr>
            </w:pPr>
            <w:r>
              <w:rPr>
                <w:rFonts w:ascii="Times New Roman" w:hAnsi="Times New Roman" w:cs="Times New Roman"/>
                <w:b/>
                <w:bCs/>
                <w:sz w:val="18"/>
                <w:szCs w:val="18"/>
              </w:rPr>
              <w:t>/</w:t>
            </w:r>
          </w:p>
        </w:tc>
        <w:tc>
          <w:tcPr>
            <w:tcW w:w="577" w:type="dxa"/>
            <w:vAlign w:val="center"/>
          </w:tcPr>
          <w:p w:rsidR="00525419" w:rsidRDefault="00EE1CF7">
            <w:pPr>
              <w:pStyle w:val="affffffffffffffffffffffffffffffffffe"/>
              <w:spacing w:line="360" w:lineRule="auto"/>
              <w:jc w:val="center"/>
              <w:rPr>
                <w:rFonts w:ascii="Times New Roman" w:hAnsi="Times New Roman" w:cs="Times New Roman"/>
                <w:b/>
                <w:bCs/>
                <w:sz w:val="18"/>
                <w:szCs w:val="18"/>
              </w:rPr>
            </w:pPr>
            <w:r>
              <w:rPr>
                <w:rFonts w:ascii="Times New Roman" w:hAnsi="Times New Roman" w:cs="Times New Roman"/>
                <w:b/>
                <w:bCs/>
                <w:sz w:val="18"/>
                <w:szCs w:val="18"/>
              </w:rPr>
              <w:t>/</w:t>
            </w:r>
          </w:p>
        </w:tc>
      </w:tr>
      <w:tr w:rsidR="00525419">
        <w:trPr>
          <w:cantSplit/>
          <w:tblHeader/>
          <w:jc w:val="center"/>
        </w:trPr>
        <w:tc>
          <w:tcPr>
            <w:tcW w:w="1111"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砷</w:t>
            </w:r>
          </w:p>
        </w:tc>
        <w:tc>
          <w:tcPr>
            <w:tcW w:w="1038"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8.77</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6.54</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4.15</w:t>
            </w:r>
          </w:p>
        </w:tc>
        <w:tc>
          <w:tcPr>
            <w:tcW w:w="98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14.1</w:t>
            </w:r>
          </w:p>
        </w:tc>
        <w:tc>
          <w:tcPr>
            <w:tcW w:w="98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8.77</w:t>
            </w:r>
          </w:p>
        </w:tc>
        <w:tc>
          <w:tcPr>
            <w:tcW w:w="958"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4.43</w:t>
            </w:r>
          </w:p>
        </w:tc>
        <w:tc>
          <w:tcPr>
            <w:tcW w:w="59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60</w:t>
            </w:r>
          </w:p>
        </w:tc>
        <w:tc>
          <w:tcPr>
            <w:tcW w:w="57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cantSplit/>
          <w:tblHeader/>
          <w:jc w:val="center"/>
        </w:trPr>
        <w:tc>
          <w:tcPr>
            <w:tcW w:w="1111"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铅</w:t>
            </w:r>
          </w:p>
        </w:tc>
        <w:tc>
          <w:tcPr>
            <w:tcW w:w="1038"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71</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58</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37</w:t>
            </w:r>
          </w:p>
        </w:tc>
        <w:tc>
          <w:tcPr>
            <w:tcW w:w="98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77</w:t>
            </w:r>
          </w:p>
        </w:tc>
        <w:tc>
          <w:tcPr>
            <w:tcW w:w="98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55</w:t>
            </w:r>
          </w:p>
        </w:tc>
        <w:tc>
          <w:tcPr>
            <w:tcW w:w="958"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49</w:t>
            </w:r>
          </w:p>
        </w:tc>
        <w:tc>
          <w:tcPr>
            <w:tcW w:w="59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800</w:t>
            </w:r>
          </w:p>
        </w:tc>
        <w:tc>
          <w:tcPr>
            <w:tcW w:w="57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cantSplit/>
          <w:tblHeader/>
          <w:jc w:val="center"/>
        </w:trPr>
        <w:tc>
          <w:tcPr>
            <w:tcW w:w="1111"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总汞</w:t>
            </w:r>
          </w:p>
        </w:tc>
        <w:tc>
          <w:tcPr>
            <w:tcW w:w="1038"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0.065</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0.043</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0.021</w:t>
            </w:r>
          </w:p>
        </w:tc>
        <w:tc>
          <w:tcPr>
            <w:tcW w:w="98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0.083</w:t>
            </w:r>
          </w:p>
        </w:tc>
        <w:tc>
          <w:tcPr>
            <w:tcW w:w="98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0.036</w:t>
            </w:r>
          </w:p>
        </w:tc>
        <w:tc>
          <w:tcPr>
            <w:tcW w:w="958"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0.020</w:t>
            </w:r>
          </w:p>
        </w:tc>
        <w:tc>
          <w:tcPr>
            <w:tcW w:w="59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38</w:t>
            </w:r>
          </w:p>
        </w:tc>
        <w:tc>
          <w:tcPr>
            <w:tcW w:w="57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cantSplit/>
          <w:tblHeader/>
          <w:jc w:val="center"/>
        </w:trPr>
        <w:tc>
          <w:tcPr>
            <w:tcW w:w="1111"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镉</w:t>
            </w:r>
          </w:p>
        </w:tc>
        <w:tc>
          <w:tcPr>
            <w:tcW w:w="1038"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16.6</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2.37</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1.76</w:t>
            </w:r>
          </w:p>
        </w:tc>
        <w:tc>
          <w:tcPr>
            <w:tcW w:w="98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4.90</w:t>
            </w:r>
          </w:p>
        </w:tc>
        <w:tc>
          <w:tcPr>
            <w:tcW w:w="98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3.21</w:t>
            </w:r>
          </w:p>
        </w:tc>
        <w:tc>
          <w:tcPr>
            <w:tcW w:w="958"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2.52</w:t>
            </w:r>
          </w:p>
        </w:tc>
        <w:tc>
          <w:tcPr>
            <w:tcW w:w="59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65</w:t>
            </w:r>
          </w:p>
        </w:tc>
        <w:tc>
          <w:tcPr>
            <w:tcW w:w="57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cantSplit/>
          <w:tblHeader/>
          <w:jc w:val="center"/>
        </w:trPr>
        <w:tc>
          <w:tcPr>
            <w:tcW w:w="1111"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铜</w:t>
            </w:r>
          </w:p>
        </w:tc>
        <w:tc>
          <w:tcPr>
            <w:tcW w:w="1038"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34</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21</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12</w:t>
            </w:r>
          </w:p>
        </w:tc>
        <w:tc>
          <w:tcPr>
            <w:tcW w:w="98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33</w:t>
            </w:r>
          </w:p>
        </w:tc>
        <w:tc>
          <w:tcPr>
            <w:tcW w:w="98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22</w:t>
            </w:r>
          </w:p>
        </w:tc>
        <w:tc>
          <w:tcPr>
            <w:tcW w:w="958"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11</w:t>
            </w:r>
          </w:p>
        </w:tc>
        <w:tc>
          <w:tcPr>
            <w:tcW w:w="59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18000</w:t>
            </w:r>
          </w:p>
        </w:tc>
        <w:tc>
          <w:tcPr>
            <w:tcW w:w="57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cantSplit/>
          <w:tblHeader/>
          <w:jc w:val="center"/>
        </w:trPr>
        <w:tc>
          <w:tcPr>
            <w:tcW w:w="1111"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镍</w:t>
            </w:r>
          </w:p>
        </w:tc>
        <w:tc>
          <w:tcPr>
            <w:tcW w:w="1038"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60</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31</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17</w:t>
            </w:r>
          </w:p>
        </w:tc>
        <w:tc>
          <w:tcPr>
            <w:tcW w:w="98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58</w:t>
            </w:r>
          </w:p>
        </w:tc>
        <w:tc>
          <w:tcPr>
            <w:tcW w:w="98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32</w:t>
            </w:r>
          </w:p>
        </w:tc>
        <w:tc>
          <w:tcPr>
            <w:tcW w:w="958"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15</w:t>
            </w:r>
          </w:p>
        </w:tc>
        <w:tc>
          <w:tcPr>
            <w:tcW w:w="59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900</w:t>
            </w:r>
          </w:p>
        </w:tc>
        <w:tc>
          <w:tcPr>
            <w:tcW w:w="57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cantSplit/>
          <w:tblHeader/>
          <w:jc w:val="center"/>
        </w:trPr>
        <w:tc>
          <w:tcPr>
            <w:tcW w:w="1111"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六价铬</w:t>
            </w:r>
          </w:p>
        </w:tc>
        <w:tc>
          <w:tcPr>
            <w:tcW w:w="1038"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4.72</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3.55</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2.74</w:t>
            </w:r>
          </w:p>
        </w:tc>
        <w:tc>
          <w:tcPr>
            <w:tcW w:w="98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4.09</w:t>
            </w:r>
          </w:p>
        </w:tc>
        <w:tc>
          <w:tcPr>
            <w:tcW w:w="98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2.76</w:t>
            </w:r>
          </w:p>
        </w:tc>
        <w:tc>
          <w:tcPr>
            <w:tcW w:w="958"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&lt;2</w:t>
            </w:r>
          </w:p>
        </w:tc>
        <w:tc>
          <w:tcPr>
            <w:tcW w:w="59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5.7</w:t>
            </w:r>
          </w:p>
        </w:tc>
        <w:tc>
          <w:tcPr>
            <w:tcW w:w="57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cantSplit/>
          <w:trHeight w:val="515"/>
          <w:tblHeader/>
          <w:jc w:val="center"/>
        </w:trPr>
        <w:tc>
          <w:tcPr>
            <w:tcW w:w="1111"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石油烃（</w:t>
            </w:r>
            <w:r>
              <w:rPr>
                <w:rFonts w:ascii="Times New Roman" w:hAnsi="Times New Roman"/>
                <w:sz w:val="18"/>
                <w:szCs w:val="18"/>
              </w:rPr>
              <w:t>C</w:t>
            </w:r>
            <w:r>
              <w:rPr>
                <w:rFonts w:ascii="Times New Roman" w:hAnsi="Times New Roman"/>
                <w:sz w:val="18"/>
                <w:szCs w:val="18"/>
                <w:vertAlign w:val="subscript"/>
              </w:rPr>
              <w:t>10</w:t>
            </w:r>
            <w:r>
              <w:rPr>
                <w:rFonts w:ascii="Times New Roman" w:hAnsi="Times New Roman"/>
                <w:sz w:val="18"/>
                <w:szCs w:val="18"/>
              </w:rPr>
              <w:t>-C</w:t>
            </w:r>
            <w:r>
              <w:rPr>
                <w:rFonts w:ascii="Times New Roman" w:hAnsi="Times New Roman"/>
                <w:sz w:val="18"/>
                <w:szCs w:val="18"/>
                <w:vertAlign w:val="subscript"/>
              </w:rPr>
              <w:t>40</w:t>
            </w:r>
            <w:r>
              <w:rPr>
                <w:rFonts w:ascii="Times New Roman" w:hAnsi="Times New Roman"/>
                <w:sz w:val="18"/>
                <w:szCs w:val="18"/>
              </w:rPr>
              <w:t>）</w:t>
            </w:r>
          </w:p>
        </w:tc>
        <w:tc>
          <w:tcPr>
            <w:tcW w:w="1038"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&lt;6.0</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&lt;6.0</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&lt;6.0</w:t>
            </w:r>
          </w:p>
        </w:tc>
        <w:tc>
          <w:tcPr>
            <w:tcW w:w="98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&lt;6.0</w:t>
            </w:r>
          </w:p>
        </w:tc>
        <w:tc>
          <w:tcPr>
            <w:tcW w:w="98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&lt;6.0</w:t>
            </w:r>
          </w:p>
        </w:tc>
        <w:tc>
          <w:tcPr>
            <w:tcW w:w="958"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&lt;6.0</w:t>
            </w:r>
          </w:p>
        </w:tc>
        <w:tc>
          <w:tcPr>
            <w:tcW w:w="59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4500</w:t>
            </w:r>
          </w:p>
        </w:tc>
        <w:tc>
          <w:tcPr>
            <w:tcW w:w="57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cantSplit/>
          <w:trHeight w:val="512"/>
          <w:tblHeader/>
          <w:jc w:val="center"/>
        </w:trPr>
        <w:tc>
          <w:tcPr>
            <w:tcW w:w="1111"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pH</w:t>
            </w:r>
          </w:p>
        </w:tc>
        <w:tc>
          <w:tcPr>
            <w:tcW w:w="1038"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w:t>
            </w:r>
          </w:p>
        </w:tc>
        <w:tc>
          <w:tcPr>
            <w:tcW w:w="98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7.17</w:t>
            </w:r>
          </w:p>
        </w:tc>
        <w:tc>
          <w:tcPr>
            <w:tcW w:w="98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w:t>
            </w:r>
          </w:p>
        </w:tc>
        <w:tc>
          <w:tcPr>
            <w:tcW w:w="958"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w:t>
            </w:r>
          </w:p>
        </w:tc>
        <w:tc>
          <w:tcPr>
            <w:tcW w:w="59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w:t>
            </w:r>
          </w:p>
        </w:tc>
        <w:tc>
          <w:tcPr>
            <w:tcW w:w="57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w:t>
            </w:r>
          </w:p>
        </w:tc>
      </w:tr>
      <w:tr w:rsidR="00525419">
        <w:trPr>
          <w:cantSplit/>
          <w:tblHeader/>
          <w:jc w:val="center"/>
        </w:trPr>
        <w:tc>
          <w:tcPr>
            <w:tcW w:w="1111"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阳离子交换量</w:t>
            </w:r>
          </w:p>
        </w:tc>
        <w:tc>
          <w:tcPr>
            <w:tcW w:w="1038"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w:t>
            </w:r>
          </w:p>
        </w:tc>
        <w:tc>
          <w:tcPr>
            <w:tcW w:w="98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7.00</w:t>
            </w:r>
          </w:p>
        </w:tc>
        <w:tc>
          <w:tcPr>
            <w:tcW w:w="98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w:t>
            </w:r>
          </w:p>
        </w:tc>
        <w:tc>
          <w:tcPr>
            <w:tcW w:w="958"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w:t>
            </w:r>
          </w:p>
        </w:tc>
        <w:tc>
          <w:tcPr>
            <w:tcW w:w="59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w:t>
            </w:r>
          </w:p>
        </w:tc>
        <w:tc>
          <w:tcPr>
            <w:tcW w:w="57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w:t>
            </w:r>
          </w:p>
        </w:tc>
      </w:tr>
      <w:tr w:rsidR="00525419">
        <w:trPr>
          <w:cantSplit/>
          <w:tblHeader/>
          <w:jc w:val="center"/>
        </w:trPr>
        <w:tc>
          <w:tcPr>
            <w:tcW w:w="1111" w:type="dxa"/>
            <w:vMerge w:val="restart"/>
            <w:vAlign w:val="center"/>
          </w:tcPr>
          <w:p w:rsidR="00525419" w:rsidRDefault="00EE1CF7">
            <w:pPr>
              <w:pStyle w:val="affffffffffffffffffffffffffffffffffe"/>
              <w:spacing w:line="360" w:lineRule="auto"/>
              <w:rPr>
                <w:rFonts w:ascii="Times New Roman" w:hAnsi="Times New Roman" w:cs="Times New Roman"/>
                <w:b/>
                <w:sz w:val="18"/>
                <w:szCs w:val="18"/>
              </w:rPr>
            </w:pPr>
            <w:r>
              <w:rPr>
                <w:rFonts w:ascii="Times New Roman" w:hAnsi="Times New Roman" w:cs="Times New Roman"/>
                <w:b/>
                <w:sz w:val="18"/>
                <w:szCs w:val="18"/>
              </w:rPr>
              <w:t>采样地点</w:t>
            </w:r>
          </w:p>
          <w:p w:rsidR="00525419" w:rsidRDefault="00EE1CF7">
            <w:pPr>
              <w:pStyle w:val="affffffffffffffffffffffffffffffffffe"/>
              <w:spacing w:line="360" w:lineRule="auto"/>
              <w:rPr>
                <w:rFonts w:ascii="Times New Roman" w:hAnsi="Times New Roman" w:cs="Times New Roman"/>
                <w:b/>
                <w:sz w:val="18"/>
                <w:szCs w:val="18"/>
              </w:rPr>
            </w:pPr>
            <w:r>
              <w:rPr>
                <w:rFonts w:ascii="Times New Roman" w:hAnsi="Times New Roman" w:cs="Times New Roman"/>
                <w:b/>
                <w:sz w:val="18"/>
                <w:szCs w:val="18"/>
              </w:rPr>
              <w:t>监测项目</w:t>
            </w:r>
          </w:p>
        </w:tc>
        <w:tc>
          <w:tcPr>
            <w:tcW w:w="1038" w:type="dxa"/>
            <w:tcBorders>
              <w:right w:val="single" w:sz="4" w:space="0" w:color="auto"/>
            </w:tcBorders>
            <w:vAlign w:val="center"/>
          </w:tcPr>
          <w:p w:rsidR="00525419" w:rsidRDefault="00EE1CF7">
            <w:pPr>
              <w:pStyle w:val="affffffffffffffffffffffffffffffffffe"/>
              <w:snapToGrid w:val="0"/>
              <w:spacing w:before="0" w:after="0" w:line="360" w:lineRule="auto"/>
              <w:jc w:val="center"/>
              <w:rPr>
                <w:rFonts w:ascii="Times New Roman" w:hAnsi="Times New Roman" w:cs="Times New Roman"/>
                <w:b/>
                <w:sz w:val="18"/>
                <w:szCs w:val="18"/>
              </w:rPr>
            </w:pPr>
            <w:r>
              <w:rPr>
                <w:rFonts w:ascii="Times New Roman" w:hAnsi="Times New Roman" w:cs="Times New Roman"/>
                <w:b/>
                <w:sz w:val="18"/>
                <w:szCs w:val="18"/>
              </w:rPr>
              <w:t>厂区范围内柱状</w:t>
            </w:r>
            <w:r>
              <w:rPr>
                <w:rFonts w:ascii="Times New Roman" w:hAnsi="Times New Roman" w:cs="Times New Roman"/>
                <w:b/>
                <w:sz w:val="18"/>
                <w:szCs w:val="18"/>
              </w:rPr>
              <w:t>(50cm)</w:t>
            </w:r>
          </w:p>
        </w:tc>
        <w:tc>
          <w:tcPr>
            <w:tcW w:w="1127" w:type="dxa"/>
            <w:tcBorders>
              <w:right w:val="single" w:sz="4" w:space="0" w:color="auto"/>
            </w:tcBorders>
            <w:vAlign w:val="center"/>
          </w:tcPr>
          <w:p w:rsidR="00525419" w:rsidRDefault="00EE1CF7">
            <w:pPr>
              <w:pStyle w:val="affffffffffffffffffffffffffffffffffe"/>
              <w:snapToGrid w:val="0"/>
              <w:spacing w:before="0" w:after="0" w:line="360" w:lineRule="auto"/>
              <w:jc w:val="center"/>
              <w:rPr>
                <w:rFonts w:ascii="Times New Roman" w:hAnsi="Times New Roman" w:cs="Times New Roman"/>
                <w:b/>
                <w:sz w:val="18"/>
                <w:szCs w:val="18"/>
              </w:rPr>
            </w:pPr>
            <w:r>
              <w:rPr>
                <w:rFonts w:ascii="Times New Roman" w:hAnsi="Times New Roman" w:cs="Times New Roman"/>
                <w:b/>
                <w:sz w:val="18"/>
                <w:szCs w:val="18"/>
              </w:rPr>
              <w:t>厂区范围内柱状</w:t>
            </w:r>
            <w:r>
              <w:rPr>
                <w:rFonts w:ascii="Times New Roman" w:hAnsi="Times New Roman" w:cs="Times New Roman"/>
                <w:b/>
                <w:sz w:val="18"/>
                <w:szCs w:val="18"/>
              </w:rPr>
              <w:t>(1m)</w:t>
            </w:r>
          </w:p>
        </w:tc>
        <w:tc>
          <w:tcPr>
            <w:tcW w:w="1127" w:type="dxa"/>
            <w:tcBorders>
              <w:right w:val="single" w:sz="4" w:space="0" w:color="auto"/>
            </w:tcBorders>
            <w:vAlign w:val="center"/>
          </w:tcPr>
          <w:p w:rsidR="00525419" w:rsidRDefault="00EE1CF7">
            <w:pPr>
              <w:pStyle w:val="affffffffffffffffffffffffffffffffffe"/>
              <w:snapToGrid w:val="0"/>
              <w:spacing w:before="0" w:after="0" w:line="360" w:lineRule="auto"/>
              <w:jc w:val="center"/>
              <w:rPr>
                <w:rFonts w:ascii="Times New Roman" w:hAnsi="Times New Roman" w:cs="Times New Roman"/>
                <w:b/>
                <w:sz w:val="18"/>
                <w:szCs w:val="18"/>
              </w:rPr>
            </w:pPr>
            <w:r>
              <w:rPr>
                <w:rFonts w:ascii="Times New Roman" w:hAnsi="Times New Roman" w:cs="Times New Roman"/>
                <w:b/>
                <w:sz w:val="18"/>
                <w:szCs w:val="18"/>
              </w:rPr>
              <w:t>厂区范围内</w:t>
            </w:r>
          </w:p>
          <w:p w:rsidR="00525419" w:rsidRDefault="00EE1CF7">
            <w:pPr>
              <w:pStyle w:val="affffffffffffffffffffffffffffffffffe"/>
              <w:snapToGrid w:val="0"/>
              <w:spacing w:before="0" w:after="0" w:line="360" w:lineRule="auto"/>
              <w:jc w:val="center"/>
              <w:rPr>
                <w:rFonts w:ascii="Times New Roman" w:hAnsi="Times New Roman" w:cs="Times New Roman"/>
                <w:b/>
                <w:sz w:val="18"/>
                <w:szCs w:val="18"/>
              </w:rPr>
            </w:pPr>
            <w:r>
              <w:rPr>
                <w:rFonts w:ascii="Times New Roman" w:hAnsi="Times New Roman" w:cs="Times New Roman"/>
                <w:b/>
                <w:sz w:val="18"/>
                <w:szCs w:val="18"/>
              </w:rPr>
              <w:t>柱状</w:t>
            </w:r>
            <w:r>
              <w:rPr>
                <w:rFonts w:ascii="Times New Roman" w:hAnsi="Times New Roman" w:cs="Times New Roman"/>
                <w:b/>
                <w:sz w:val="18"/>
                <w:szCs w:val="18"/>
              </w:rPr>
              <w:t>(1.5m)</w:t>
            </w:r>
          </w:p>
        </w:tc>
        <w:tc>
          <w:tcPr>
            <w:tcW w:w="987" w:type="dxa"/>
            <w:vAlign w:val="center"/>
          </w:tcPr>
          <w:p w:rsidR="00525419" w:rsidRDefault="00EE1CF7">
            <w:pPr>
              <w:pStyle w:val="affffffffffffffffffffffffffffffffffe"/>
              <w:snapToGrid w:val="0"/>
              <w:spacing w:before="0" w:after="0" w:line="360" w:lineRule="auto"/>
              <w:jc w:val="center"/>
              <w:rPr>
                <w:rFonts w:ascii="Times New Roman" w:hAnsi="Times New Roman" w:cs="Times New Roman"/>
                <w:b/>
                <w:sz w:val="18"/>
                <w:szCs w:val="18"/>
              </w:rPr>
            </w:pPr>
            <w:r>
              <w:rPr>
                <w:rFonts w:ascii="Times New Roman" w:hAnsi="Times New Roman" w:cs="Times New Roman"/>
                <w:b/>
                <w:sz w:val="18"/>
                <w:szCs w:val="18"/>
              </w:rPr>
              <w:t>项目区外表层北侧（</w:t>
            </w:r>
            <w:r>
              <w:rPr>
                <w:rFonts w:ascii="Times New Roman" w:hAnsi="Times New Roman" w:cs="Times New Roman"/>
                <w:b/>
                <w:sz w:val="18"/>
                <w:szCs w:val="18"/>
              </w:rPr>
              <w:t>20cm</w:t>
            </w:r>
            <w:r>
              <w:rPr>
                <w:rFonts w:ascii="Times New Roman" w:hAnsi="Times New Roman" w:cs="Times New Roman"/>
                <w:b/>
                <w:sz w:val="18"/>
                <w:szCs w:val="18"/>
              </w:rPr>
              <w:t>）</w:t>
            </w:r>
          </w:p>
        </w:tc>
        <w:tc>
          <w:tcPr>
            <w:tcW w:w="1945" w:type="dxa"/>
            <w:gridSpan w:val="2"/>
            <w:vAlign w:val="center"/>
          </w:tcPr>
          <w:p w:rsidR="00525419" w:rsidRDefault="00EE1CF7">
            <w:pPr>
              <w:pStyle w:val="affffffffffffffffffffffffffffffffffe"/>
              <w:snapToGrid w:val="0"/>
              <w:spacing w:before="0" w:after="0" w:line="360" w:lineRule="auto"/>
              <w:jc w:val="center"/>
              <w:rPr>
                <w:rFonts w:ascii="Times New Roman" w:hAnsi="Times New Roman" w:cs="Times New Roman"/>
                <w:b/>
                <w:sz w:val="18"/>
                <w:szCs w:val="18"/>
              </w:rPr>
            </w:pPr>
            <w:r>
              <w:rPr>
                <w:rFonts w:ascii="Times New Roman" w:hAnsi="Times New Roman" w:cs="Times New Roman"/>
                <w:b/>
                <w:sz w:val="18"/>
                <w:szCs w:val="18"/>
              </w:rPr>
              <w:t>项目区外表层南侧（</w:t>
            </w:r>
            <w:r>
              <w:rPr>
                <w:rFonts w:ascii="Times New Roman" w:hAnsi="Times New Roman" w:cs="Times New Roman"/>
                <w:b/>
                <w:sz w:val="18"/>
                <w:szCs w:val="18"/>
              </w:rPr>
              <w:t>20cm</w:t>
            </w:r>
            <w:r>
              <w:rPr>
                <w:rFonts w:ascii="Times New Roman" w:hAnsi="Times New Roman" w:cs="Times New Roman"/>
                <w:b/>
                <w:sz w:val="18"/>
                <w:szCs w:val="18"/>
              </w:rPr>
              <w:t>）</w:t>
            </w:r>
          </w:p>
        </w:tc>
        <w:tc>
          <w:tcPr>
            <w:tcW w:w="599" w:type="dxa"/>
            <w:vAlign w:val="center"/>
          </w:tcPr>
          <w:p w:rsidR="00525419" w:rsidRDefault="00EE1CF7">
            <w:pPr>
              <w:pStyle w:val="affffffffffffffffffffffffffffffffffe"/>
              <w:snapToGrid w:val="0"/>
              <w:spacing w:before="0" w:after="0" w:line="360" w:lineRule="auto"/>
              <w:jc w:val="center"/>
              <w:rPr>
                <w:rFonts w:ascii="Times New Roman" w:hAnsi="Times New Roman" w:cs="Times New Roman"/>
                <w:b/>
                <w:sz w:val="18"/>
                <w:szCs w:val="18"/>
              </w:rPr>
            </w:pPr>
            <w:r>
              <w:rPr>
                <w:rFonts w:ascii="Times New Roman" w:hAnsi="Times New Roman" w:cs="Times New Roman"/>
                <w:b/>
                <w:sz w:val="18"/>
                <w:szCs w:val="18"/>
              </w:rPr>
              <w:t>第二类用地筛选值</w:t>
            </w:r>
          </w:p>
        </w:tc>
        <w:tc>
          <w:tcPr>
            <w:tcW w:w="577" w:type="dxa"/>
            <w:vAlign w:val="center"/>
          </w:tcPr>
          <w:p w:rsidR="00525419" w:rsidRDefault="00EE1CF7">
            <w:pPr>
              <w:pStyle w:val="affffffffffffffffffffffffffffffffffe"/>
              <w:snapToGrid w:val="0"/>
              <w:spacing w:before="0" w:after="0" w:line="360" w:lineRule="auto"/>
              <w:jc w:val="center"/>
              <w:rPr>
                <w:rFonts w:ascii="Times New Roman" w:hAnsi="Times New Roman" w:cs="Times New Roman"/>
                <w:b/>
                <w:sz w:val="18"/>
                <w:szCs w:val="18"/>
              </w:rPr>
            </w:pPr>
            <w:r>
              <w:rPr>
                <w:rFonts w:ascii="Times New Roman" w:hAnsi="Times New Roman" w:cs="Times New Roman"/>
                <w:b/>
                <w:sz w:val="18"/>
                <w:szCs w:val="18"/>
              </w:rPr>
              <w:t>评价</w:t>
            </w:r>
          </w:p>
          <w:p w:rsidR="00525419" w:rsidRDefault="00EE1CF7">
            <w:pPr>
              <w:pStyle w:val="affffffffffffffffffffffffffffffffffe"/>
              <w:snapToGrid w:val="0"/>
              <w:spacing w:before="0" w:after="0" w:line="360" w:lineRule="auto"/>
              <w:jc w:val="center"/>
              <w:rPr>
                <w:rFonts w:ascii="Times New Roman" w:hAnsi="Times New Roman" w:cs="Times New Roman"/>
                <w:b/>
                <w:sz w:val="18"/>
                <w:szCs w:val="18"/>
              </w:rPr>
            </w:pPr>
            <w:r>
              <w:rPr>
                <w:rFonts w:ascii="Times New Roman" w:hAnsi="Times New Roman" w:cs="Times New Roman"/>
                <w:b/>
                <w:sz w:val="18"/>
                <w:szCs w:val="18"/>
              </w:rPr>
              <w:t>结果</w:t>
            </w:r>
          </w:p>
        </w:tc>
      </w:tr>
      <w:tr w:rsidR="00525419">
        <w:trPr>
          <w:cantSplit/>
          <w:tblHeader/>
          <w:jc w:val="center"/>
        </w:trPr>
        <w:tc>
          <w:tcPr>
            <w:tcW w:w="1111" w:type="dxa"/>
            <w:vMerge/>
            <w:vAlign w:val="center"/>
          </w:tcPr>
          <w:p w:rsidR="00525419" w:rsidRDefault="00525419">
            <w:pPr>
              <w:snapToGrid w:val="0"/>
              <w:spacing w:line="360" w:lineRule="auto"/>
              <w:jc w:val="center"/>
              <w:rPr>
                <w:rFonts w:ascii="Times New Roman" w:hAnsi="Times New Roman"/>
                <w:sz w:val="18"/>
                <w:szCs w:val="18"/>
              </w:rPr>
            </w:pPr>
          </w:p>
        </w:tc>
        <w:tc>
          <w:tcPr>
            <w:tcW w:w="1038" w:type="dxa"/>
            <w:tcBorders>
              <w:right w:val="single" w:sz="4" w:space="0" w:color="auto"/>
            </w:tcBorders>
            <w:vAlign w:val="center"/>
          </w:tcPr>
          <w:p w:rsidR="00525419" w:rsidRDefault="00EE1CF7">
            <w:pPr>
              <w:pStyle w:val="affffffffffffffffffffffffffffffffffe"/>
              <w:spacing w:line="360" w:lineRule="auto"/>
              <w:jc w:val="center"/>
              <w:rPr>
                <w:rFonts w:ascii="Times New Roman" w:hAnsi="Times New Roman" w:cs="Times New Roman"/>
                <w:b/>
                <w:bCs/>
                <w:sz w:val="18"/>
                <w:szCs w:val="18"/>
              </w:rPr>
            </w:pPr>
            <w:r>
              <w:rPr>
                <w:rFonts w:ascii="Times New Roman" w:hAnsi="Times New Roman" w:cs="Times New Roman"/>
                <w:b/>
                <w:bCs/>
                <w:sz w:val="18"/>
                <w:szCs w:val="18"/>
              </w:rPr>
              <w:t>3#</w:t>
            </w:r>
          </w:p>
        </w:tc>
        <w:tc>
          <w:tcPr>
            <w:tcW w:w="1127" w:type="dxa"/>
            <w:tcBorders>
              <w:right w:val="single" w:sz="4" w:space="0" w:color="auto"/>
            </w:tcBorders>
            <w:vAlign w:val="center"/>
          </w:tcPr>
          <w:p w:rsidR="00525419" w:rsidRDefault="00EE1CF7">
            <w:pPr>
              <w:pStyle w:val="affffffffffffffffffffffffffffffffffe"/>
              <w:spacing w:line="360" w:lineRule="auto"/>
              <w:jc w:val="center"/>
              <w:rPr>
                <w:rFonts w:ascii="Times New Roman" w:hAnsi="Times New Roman" w:cs="Times New Roman"/>
                <w:b/>
                <w:bCs/>
                <w:sz w:val="18"/>
                <w:szCs w:val="18"/>
              </w:rPr>
            </w:pPr>
            <w:r>
              <w:rPr>
                <w:rFonts w:ascii="Times New Roman" w:hAnsi="Times New Roman" w:cs="Times New Roman"/>
                <w:b/>
                <w:bCs/>
                <w:sz w:val="18"/>
                <w:szCs w:val="18"/>
              </w:rPr>
              <w:t>3#</w:t>
            </w:r>
          </w:p>
        </w:tc>
        <w:tc>
          <w:tcPr>
            <w:tcW w:w="1127" w:type="dxa"/>
            <w:tcBorders>
              <w:right w:val="single" w:sz="4" w:space="0" w:color="auto"/>
            </w:tcBorders>
            <w:vAlign w:val="center"/>
          </w:tcPr>
          <w:p w:rsidR="00525419" w:rsidRDefault="00EE1CF7">
            <w:pPr>
              <w:pStyle w:val="affffffffffffffffffffffffffffffffffe"/>
              <w:spacing w:line="360" w:lineRule="auto"/>
              <w:jc w:val="center"/>
              <w:rPr>
                <w:rFonts w:ascii="Times New Roman" w:hAnsi="Times New Roman" w:cs="Times New Roman"/>
                <w:b/>
                <w:bCs/>
                <w:sz w:val="18"/>
                <w:szCs w:val="18"/>
              </w:rPr>
            </w:pPr>
            <w:r>
              <w:rPr>
                <w:rFonts w:ascii="Times New Roman" w:hAnsi="Times New Roman" w:cs="Times New Roman"/>
                <w:b/>
                <w:bCs/>
                <w:sz w:val="18"/>
                <w:szCs w:val="18"/>
              </w:rPr>
              <w:t>3#</w:t>
            </w:r>
          </w:p>
        </w:tc>
        <w:tc>
          <w:tcPr>
            <w:tcW w:w="987" w:type="dxa"/>
            <w:vAlign w:val="center"/>
          </w:tcPr>
          <w:p w:rsidR="00525419" w:rsidRDefault="00EE1CF7">
            <w:pPr>
              <w:pStyle w:val="affffffffffffffffffffffffffffffffffe"/>
              <w:spacing w:line="360" w:lineRule="auto"/>
              <w:jc w:val="center"/>
              <w:rPr>
                <w:rFonts w:ascii="Times New Roman" w:hAnsi="Times New Roman" w:cs="Times New Roman"/>
                <w:b/>
                <w:bCs/>
                <w:sz w:val="18"/>
                <w:szCs w:val="18"/>
              </w:rPr>
            </w:pPr>
            <w:r>
              <w:rPr>
                <w:rFonts w:ascii="Times New Roman" w:hAnsi="Times New Roman" w:cs="Times New Roman"/>
                <w:b/>
                <w:bCs/>
                <w:sz w:val="18"/>
                <w:szCs w:val="18"/>
              </w:rPr>
              <w:t>4#</w:t>
            </w:r>
          </w:p>
        </w:tc>
        <w:tc>
          <w:tcPr>
            <w:tcW w:w="1945" w:type="dxa"/>
            <w:gridSpan w:val="2"/>
            <w:vAlign w:val="center"/>
          </w:tcPr>
          <w:p w:rsidR="00525419" w:rsidRDefault="00EE1CF7">
            <w:pPr>
              <w:pStyle w:val="affffffffffffffffffffffffffffffffffe"/>
              <w:spacing w:line="360" w:lineRule="auto"/>
              <w:jc w:val="center"/>
              <w:rPr>
                <w:rFonts w:ascii="Times New Roman" w:hAnsi="Times New Roman" w:cs="Times New Roman"/>
                <w:b/>
                <w:bCs/>
                <w:sz w:val="18"/>
                <w:szCs w:val="18"/>
              </w:rPr>
            </w:pPr>
            <w:r>
              <w:rPr>
                <w:rFonts w:ascii="Times New Roman" w:hAnsi="Times New Roman" w:cs="Times New Roman"/>
                <w:b/>
                <w:bCs/>
                <w:sz w:val="18"/>
                <w:szCs w:val="18"/>
              </w:rPr>
              <w:t>5#</w:t>
            </w:r>
          </w:p>
        </w:tc>
        <w:tc>
          <w:tcPr>
            <w:tcW w:w="599" w:type="dxa"/>
            <w:vAlign w:val="center"/>
          </w:tcPr>
          <w:p w:rsidR="00525419" w:rsidRDefault="00EE1CF7">
            <w:pPr>
              <w:pStyle w:val="affffffffffffffffffffffffffffffffffe"/>
              <w:spacing w:line="360" w:lineRule="auto"/>
              <w:jc w:val="center"/>
              <w:rPr>
                <w:rFonts w:ascii="Times New Roman" w:hAnsi="Times New Roman" w:cs="Times New Roman"/>
                <w:b/>
                <w:bCs/>
                <w:sz w:val="18"/>
                <w:szCs w:val="18"/>
              </w:rPr>
            </w:pPr>
            <w:r>
              <w:rPr>
                <w:rFonts w:ascii="Times New Roman" w:hAnsi="Times New Roman" w:cs="Times New Roman"/>
                <w:b/>
                <w:bCs/>
                <w:sz w:val="18"/>
                <w:szCs w:val="18"/>
              </w:rPr>
              <w:t>/</w:t>
            </w:r>
          </w:p>
        </w:tc>
        <w:tc>
          <w:tcPr>
            <w:tcW w:w="577" w:type="dxa"/>
            <w:vAlign w:val="center"/>
          </w:tcPr>
          <w:p w:rsidR="00525419" w:rsidRDefault="00EE1CF7">
            <w:pPr>
              <w:pStyle w:val="affffffffffffffffffffffffffffffffffe"/>
              <w:spacing w:line="360" w:lineRule="auto"/>
              <w:jc w:val="center"/>
              <w:rPr>
                <w:rFonts w:ascii="Times New Roman" w:hAnsi="Times New Roman" w:cs="Times New Roman"/>
                <w:b/>
                <w:bCs/>
                <w:sz w:val="18"/>
                <w:szCs w:val="18"/>
              </w:rPr>
            </w:pPr>
            <w:r>
              <w:rPr>
                <w:rFonts w:ascii="Times New Roman" w:hAnsi="Times New Roman" w:cs="Times New Roman"/>
                <w:b/>
                <w:bCs/>
                <w:sz w:val="18"/>
                <w:szCs w:val="18"/>
              </w:rPr>
              <w:t>/</w:t>
            </w:r>
          </w:p>
        </w:tc>
      </w:tr>
      <w:tr w:rsidR="00525419">
        <w:trPr>
          <w:cantSplit/>
          <w:tblHeader/>
          <w:jc w:val="center"/>
        </w:trPr>
        <w:tc>
          <w:tcPr>
            <w:tcW w:w="1111"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砷</w:t>
            </w:r>
          </w:p>
        </w:tc>
        <w:tc>
          <w:tcPr>
            <w:tcW w:w="1038"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14.2</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10.3</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4.71</w:t>
            </w:r>
          </w:p>
        </w:tc>
        <w:tc>
          <w:tcPr>
            <w:tcW w:w="98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12.0</w:t>
            </w:r>
          </w:p>
        </w:tc>
        <w:tc>
          <w:tcPr>
            <w:tcW w:w="1945" w:type="dxa"/>
            <w:gridSpan w:val="2"/>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13.1</w:t>
            </w:r>
          </w:p>
        </w:tc>
        <w:tc>
          <w:tcPr>
            <w:tcW w:w="59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60</w:t>
            </w:r>
          </w:p>
        </w:tc>
        <w:tc>
          <w:tcPr>
            <w:tcW w:w="57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cantSplit/>
          <w:tblHeader/>
          <w:jc w:val="center"/>
        </w:trPr>
        <w:tc>
          <w:tcPr>
            <w:tcW w:w="1111"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铅</w:t>
            </w:r>
          </w:p>
        </w:tc>
        <w:tc>
          <w:tcPr>
            <w:tcW w:w="1038"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66</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61</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47</w:t>
            </w:r>
          </w:p>
        </w:tc>
        <w:tc>
          <w:tcPr>
            <w:tcW w:w="98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81</w:t>
            </w:r>
          </w:p>
        </w:tc>
        <w:tc>
          <w:tcPr>
            <w:tcW w:w="1945" w:type="dxa"/>
            <w:gridSpan w:val="2"/>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80</w:t>
            </w:r>
          </w:p>
        </w:tc>
        <w:tc>
          <w:tcPr>
            <w:tcW w:w="59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800</w:t>
            </w:r>
          </w:p>
        </w:tc>
        <w:tc>
          <w:tcPr>
            <w:tcW w:w="57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cantSplit/>
          <w:tblHeader/>
          <w:jc w:val="center"/>
        </w:trPr>
        <w:tc>
          <w:tcPr>
            <w:tcW w:w="1111"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总汞</w:t>
            </w:r>
          </w:p>
        </w:tc>
        <w:tc>
          <w:tcPr>
            <w:tcW w:w="1038"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0.133</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0.062</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0.016</w:t>
            </w:r>
          </w:p>
        </w:tc>
        <w:tc>
          <w:tcPr>
            <w:tcW w:w="98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0.070</w:t>
            </w:r>
          </w:p>
        </w:tc>
        <w:tc>
          <w:tcPr>
            <w:tcW w:w="1945" w:type="dxa"/>
            <w:gridSpan w:val="2"/>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0.067</w:t>
            </w:r>
          </w:p>
        </w:tc>
        <w:tc>
          <w:tcPr>
            <w:tcW w:w="59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38</w:t>
            </w:r>
          </w:p>
        </w:tc>
        <w:tc>
          <w:tcPr>
            <w:tcW w:w="57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cantSplit/>
          <w:tblHeader/>
          <w:jc w:val="center"/>
        </w:trPr>
        <w:tc>
          <w:tcPr>
            <w:tcW w:w="1111"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镉</w:t>
            </w:r>
          </w:p>
        </w:tc>
        <w:tc>
          <w:tcPr>
            <w:tcW w:w="1038"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14.5</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3.3</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2.54</w:t>
            </w:r>
          </w:p>
        </w:tc>
        <w:tc>
          <w:tcPr>
            <w:tcW w:w="98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4.85</w:t>
            </w:r>
          </w:p>
        </w:tc>
        <w:tc>
          <w:tcPr>
            <w:tcW w:w="1945" w:type="dxa"/>
            <w:gridSpan w:val="2"/>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4.63</w:t>
            </w:r>
          </w:p>
        </w:tc>
        <w:tc>
          <w:tcPr>
            <w:tcW w:w="59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65</w:t>
            </w:r>
          </w:p>
        </w:tc>
        <w:tc>
          <w:tcPr>
            <w:tcW w:w="57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cantSplit/>
          <w:tblHeader/>
          <w:jc w:val="center"/>
        </w:trPr>
        <w:tc>
          <w:tcPr>
            <w:tcW w:w="1111"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铜</w:t>
            </w:r>
          </w:p>
        </w:tc>
        <w:tc>
          <w:tcPr>
            <w:tcW w:w="1038"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35</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20</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11</w:t>
            </w:r>
          </w:p>
        </w:tc>
        <w:tc>
          <w:tcPr>
            <w:tcW w:w="98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45</w:t>
            </w:r>
          </w:p>
        </w:tc>
        <w:tc>
          <w:tcPr>
            <w:tcW w:w="1945" w:type="dxa"/>
            <w:gridSpan w:val="2"/>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45</w:t>
            </w:r>
          </w:p>
        </w:tc>
        <w:tc>
          <w:tcPr>
            <w:tcW w:w="59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18000</w:t>
            </w:r>
          </w:p>
        </w:tc>
        <w:tc>
          <w:tcPr>
            <w:tcW w:w="57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cantSplit/>
          <w:tblHeader/>
          <w:jc w:val="center"/>
        </w:trPr>
        <w:tc>
          <w:tcPr>
            <w:tcW w:w="1111"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镍</w:t>
            </w:r>
          </w:p>
        </w:tc>
        <w:tc>
          <w:tcPr>
            <w:tcW w:w="1038"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53</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29</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14</w:t>
            </w:r>
          </w:p>
        </w:tc>
        <w:tc>
          <w:tcPr>
            <w:tcW w:w="98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74</w:t>
            </w:r>
          </w:p>
        </w:tc>
        <w:tc>
          <w:tcPr>
            <w:tcW w:w="1945" w:type="dxa"/>
            <w:gridSpan w:val="2"/>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73</w:t>
            </w:r>
          </w:p>
        </w:tc>
        <w:tc>
          <w:tcPr>
            <w:tcW w:w="59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900</w:t>
            </w:r>
          </w:p>
        </w:tc>
        <w:tc>
          <w:tcPr>
            <w:tcW w:w="57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cantSplit/>
          <w:tblHeader/>
          <w:jc w:val="center"/>
        </w:trPr>
        <w:tc>
          <w:tcPr>
            <w:tcW w:w="1111"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六价铬</w:t>
            </w:r>
          </w:p>
        </w:tc>
        <w:tc>
          <w:tcPr>
            <w:tcW w:w="1038"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4.22</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3.28</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1.56</w:t>
            </w:r>
          </w:p>
        </w:tc>
        <w:tc>
          <w:tcPr>
            <w:tcW w:w="98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4.58</w:t>
            </w:r>
          </w:p>
        </w:tc>
        <w:tc>
          <w:tcPr>
            <w:tcW w:w="1945" w:type="dxa"/>
            <w:gridSpan w:val="2"/>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4.26</w:t>
            </w:r>
          </w:p>
        </w:tc>
        <w:tc>
          <w:tcPr>
            <w:tcW w:w="59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5.7</w:t>
            </w:r>
          </w:p>
        </w:tc>
        <w:tc>
          <w:tcPr>
            <w:tcW w:w="57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cantSplit/>
          <w:tblHeader/>
          <w:jc w:val="center"/>
        </w:trPr>
        <w:tc>
          <w:tcPr>
            <w:tcW w:w="1111"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石油烃（</w:t>
            </w:r>
            <w:r>
              <w:rPr>
                <w:rFonts w:ascii="Times New Roman" w:hAnsi="Times New Roman"/>
                <w:sz w:val="18"/>
                <w:szCs w:val="18"/>
              </w:rPr>
              <w:t>C</w:t>
            </w:r>
            <w:r>
              <w:rPr>
                <w:rFonts w:ascii="Times New Roman" w:hAnsi="Times New Roman"/>
                <w:sz w:val="18"/>
                <w:szCs w:val="18"/>
                <w:vertAlign w:val="subscript"/>
              </w:rPr>
              <w:t>10</w:t>
            </w:r>
            <w:r>
              <w:rPr>
                <w:rFonts w:ascii="Times New Roman" w:hAnsi="Times New Roman"/>
                <w:sz w:val="18"/>
                <w:szCs w:val="18"/>
              </w:rPr>
              <w:t>-C</w:t>
            </w:r>
            <w:r>
              <w:rPr>
                <w:rFonts w:ascii="Times New Roman" w:hAnsi="Times New Roman"/>
                <w:sz w:val="18"/>
                <w:szCs w:val="18"/>
                <w:vertAlign w:val="subscript"/>
              </w:rPr>
              <w:t>40</w:t>
            </w:r>
            <w:r>
              <w:rPr>
                <w:rFonts w:ascii="Times New Roman" w:hAnsi="Times New Roman"/>
                <w:sz w:val="18"/>
                <w:szCs w:val="18"/>
              </w:rPr>
              <w:t>）</w:t>
            </w:r>
          </w:p>
        </w:tc>
        <w:tc>
          <w:tcPr>
            <w:tcW w:w="1038"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&lt;6.0</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&lt;6.0</w:t>
            </w:r>
          </w:p>
        </w:tc>
        <w:tc>
          <w:tcPr>
            <w:tcW w:w="1127" w:type="dxa"/>
            <w:tcBorders>
              <w:right w:val="single" w:sz="4" w:space="0" w:color="auto"/>
            </w:tcBorders>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&lt;6.0</w:t>
            </w:r>
          </w:p>
        </w:tc>
        <w:tc>
          <w:tcPr>
            <w:tcW w:w="98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&lt;6.0</w:t>
            </w:r>
          </w:p>
        </w:tc>
        <w:tc>
          <w:tcPr>
            <w:tcW w:w="1945" w:type="dxa"/>
            <w:gridSpan w:val="2"/>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&lt;6.0</w:t>
            </w:r>
          </w:p>
        </w:tc>
        <w:tc>
          <w:tcPr>
            <w:tcW w:w="59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4500</w:t>
            </w:r>
          </w:p>
        </w:tc>
        <w:tc>
          <w:tcPr>
            <w:tcW w:w="577"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bl>
    <w:p w:rsidR="00525419" w:rsidRDefault="00EE1CF7">
      <w:pPr>
        <w:widowControl/>
        <w:adjustRightInd w:val="0"/>
        <w:snapToGrid w:val="0"/>
        <w:spacing w:before="120"/>
        <w:jc w:val="center"/>
        <w:rPr>
          <w:rFonts w:ascii="Times New Roman" w:eastAsia="黑体" w:hAnsi="Times New Roman"/>
          <w:bCs/>
          <w:snapToGrid w:val="0"/>
          <w:kern w:val="0"/>
          <w:szCs w:val="21"/>
        </w:rPr>
      </w:pPr>
      <w:r>
        <w:rPr>
          <w:rFonts w:ascii="Times New Roman" w:eastAsia="黑体" w:hAnsi="Times New Roman"/>
          <w:bCs/>
          <w:snapToGrid w:val="0"/>
          <w:kern w:val="0"/>
          <w:szCs w:val="21"/>
        </w:rPr>
        <w:t>表</w:t>
      </w:r>
      <w:r>
        <w:rPr>
          <w:rFonts w:ascii="Times New Roman" w:eastAsia="黑体" w:hAnsi="Times New Roman"/>
          <w:bCs/>
          <w:snapToGrid w:val="0"/>
          <w:kern w:val="0"/>
          <w:szCs w:val="21"/>
        </w:rPr>
        <w:t>4.3-</w:t>
      </w:r>
      <w:r>
        <w:rPr>
          <w:rFonts w:ascii="Times New Roman" w:eastAsia="黑体" w:hAnsi="Times New Roman" w:hint="eastAsia"/>
          <w:bCs/>
          <w:snapToGrid w:val="0"/>
          <w:kern w:val="0"/>
          <w:szCs w:val="21"/>
        </w:rPr>
        <w:t>11</w:t>
      </w:r>
      <w:r>
        <w:rPr>
          <w:rFonts w:ascii="Times New Roman" w:eastAsia="黑体" w:hAnsi="Times New Roman"/>
          <w:bCs/>
          <w:snapToGrid w:val="0"/>
          <w:kern w:val="0"/>
          <w:szCs w:val="21"/>
        </w:rPr>
        <w:t xml:space="preserve">    </w:t>
      </w:r>
      <w:r>
        <w:rPr>
          <w:rFonts w:ascii="Times New Roman" w:eastAsia="黑体" w:hAnsi="Times New Roman"/>
          <w:bCs/>
          <w:snapToGrid w:val="0"/>
          <w:kern w:val="0"/>
          <w:szCs w:val="21"/>
        </w:rPr>
        <w:t>土壤环境质量现状评价结果（</w:t>
      </w:r>
      <w:r>
        <w:rPr>
          <w:rFonts w:ascii="Times New Roman" w:eastAsia="黑体" w:hAnsi="Times New Roman"/>
          <w:bCs/>
          <w:snapToGrid w:val="0"/>
          <w:kern w:val="0"/>
          <w:szCs w:val="21"/>
        </w:rPr>
        <w:t>6#</w:t>
      </w:r>
      <w:r>
        <w:rPr>
          <w:rFonts w:ascii="Times New Roman" w:eastAsia="黑体" w:hAnsi="Times New Roman"/>
          <w:bCs/>
          <w:snapToGrid w:val="0"/>
          <w:kern w:val="0"/>
          <w:szCs w:val="21"/>
        </w:rPr>
        <w:t>引用）</w:t>
      </w:r>
    </w:p>
    <w:tbl>
      <w:tblPr>
        <w:tblW w:w="87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2633"/>
        <w:gridCol w:w="1344"/>
        <w:gridCol w:w="1729"/>
        <w:gridCol w:w="1509"/>
        <w:gridCol w:w="1509"/>
      </w:tblGrid>
      <w:tr w:rsidR="00525419">
        <w:trPr>
          <w:trHeight w:val="397"/>
          <w:jc w:val="center"/>
        </w:trPr>
        <w:tc>
          <w:tcPr>
            <w:tcW w:w="2633" w:type="dxa"/>
            <w:vMerge w:val="restart"/>
            <w:vAlign w:val="center"/>
          </w:tcPr>
          <w:p w:rsidR="00525419" w:rsidRDefault="00EE1CF7">
            <w:pPr>
              <w:pStyle w:val="affffffffffffffffffffffffffffffffffe"/>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检测项目</w:t>
            </w:r>
          </w:p>
        </w:tc>
        <w:tc>
          <w:tcPr>
            <w:tcW w:w="1344" w:type="dxa"/>
            <w:vMerge w:val="restart"/>
            <w:vAlign w:val="center"/>
          </w:tcPr>
          <w:p w:rsidR="00525419" w:rsidRDefault="00EE1CF7">
            <w:pPr>
              <w:pStyle w:val="affffffffffffffffffffffffffffffffffe"/>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单位</w:t>
            </w:r>
          </w:p>
        </w:tc>
        <w:tc>
          <w:tcPr>
            <w:tcW w:w="1729" w:type="dxa"/>
            <w:vAlign w:val="center"/>
          </w:tcPr>
          <w:p w:rsidR="00525419" w:rsidRDefault="00EE1CF7">
            <w:pPr>
              <w:pStyle w:val="affffffffffffffffffffffffffffffffffe"/>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厂区范围内表层样</w:t>
            </w:r>
            <w:r>
              <w:rPr>
                <w:rFonts w:ascii="Times New Roman" w:hAnsi="Times New Roman" w:cs="Times New Roman"/>
                <w:b/>
                <w:bCs/>
                <w:sz w:val="18"/>
                <w:szCs w:val="18"/>
              </w:rPr>
              <w:t>(20cm)</w:t>
            </w:r>
          </w:p>
        </w:tc>
        <w:tc>
          <w:tcPr>
            <w:tcW w:w="1509" w:type="dxa"/>
            <w:vMerge w:val="restart"/>
            <w:vAlign w:val="center"/>
          </w:tcPr>
          <w:p w:rsidR="00525419" w:rsidRDefault="00EE1CF7">
            <w:pPr>
              <w:pStyle w:val="affffffffffffffffffffffffffffffffffe"/>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第二类用地筛选值</w:t>
            </w:r>
          </w:p>
        </w:tc>
        <w:tc>
          <w:tcPr>
            <w:tcW w:w="1509" w:type="dxa"/>
            <w:vMerge w:val="restart"/>
            <w:vAlign w:val="center"/>
          </w:tcPr>
          <w:p w:rsidR="00525419" w:rsidRDefault="00EE1CF7">
            <w:pPr>
              <w:pStyle w:val="affffffffffffffffffffffffffffffffffe"/>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评价结果</w:t>
            </w:r>
          </w:p>
        </w:tc>
      </w:tr>
      <w:tr w:rsidR="00525419">
        <w:trPr>
          <w:trHeight w:val="397"/>
          <w:jc w:val="center"/>
        </w:trPr>
        <w:tc>
          <w:tcPr>
            <w:tcW w:w="2633" w:type="dxa"/>
            <w:vMerge/>
            <w:vAlign w:val="center"/>
          </w:tcPr>
          <w:p w:rsidR="00525419" w:rsidRDefault="00525419">
            <w:pPr>
              <w:widowControl/>
              <w:jc w:val="center"/>
              <w:rPr>
                <w:rFonts w:ascii="Times New Roman" w:hAnsi="Times New Roman"/>
                <w:kern w:val="0"/>
              </w:rPr>
            </w:pPr>
          </w:p>
        </w:tc>
        <w:tc>
          <w:tcPr>
            <w:tcW w:w="1344" w:type="dxa"/>
            <w:vMerge/>
            <w:vAlign w:val="center"/>
          </w:tcPr>
          <w:p w:rsidR="00525419" w:rsidRDefault="00525419">
            <w:pPr>
              <w:widowControl/>
              <w:jc w:val="center"/>
              <w:rPr>
                <w:rFonts w:ascii="Times New Roman" w:hAnsi="Times New Roman"/>
                <w:kern w:val="0"/>
              </w:rPr>
            </w:pPr>
          </w:p>
        </w:tc>
        <w:tc>
          <w:tcPr>
            <w:tcW w:w="1729" w:type="dxa"/>
            <w:vAlign w:val="center"/>
          </w:tcPr>
          <w:p w:rsidR="00525419" w:rsidRDefault="00EE1CF7">
            <w:pPr>
              <w:widowControl/>
              <w:jc w:val="center"/>
              <w:rPr>
                <w:rFonts w:ascii="Times New Roman" w:hAnsi="Times New Roman"/>
                <w:kern w:val="0"/>
              </w:rPr>
            </w:pPr>
            <w:r>
              <w:rPr>
                <w:rFonts w:ascii="Times New Roman" w:hAnsi="Times New Roman"/>
                <w:b/>
                <w:bCs/>
                <w:kern w:val="0"/>
              </w:rPr>
              <w:t>6#</w:t>
            </w:r>
          </w:p>
        </w:tc>
        <w:tc>
          <w:tcPr>
            <w:tcW w:w="1509" w:type="dxa"/>
            <w:vMerge/>
            <w:vAlign w:val="center"/>
          </w:tcPr>
          <w:p w:rsidR="00525419" w:rsidRDefault="00525419">
            <w:pPr>
              <w:widowControl/>
              <w:jc w:val="center"/>
              <w:rPr>
                <w:rFonts w:ascii="Times New Roman" w:hAnsi="Times New Roman"/>
                <w:kern w:val="0"/>
              </w:rPr>
            </w:pPr>
          </w:p>
        </w:tc>
        <w:tc>
          <w:tcPr>
            <w:tcW w:w="1509" w:type="dxa"/>
            <w:vMerge/>
            <w:vAlign w:val="center"/>
          </w:tcPr>
          <w:p w:rsidR="00525419" w:rsidRDefault="00525419">
            <w:pPr>
              <w:widowControl/>
              <w:jc w:val="center"/>
              <w:rPr>
                <w:rFonts w:ascii="Times New Roman" w:hAnsi="Times New Roman"/>
                <w:kern w:val="0"/>
              </w:rPr>
            </w:pP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bCs/>
                <w:kern w:val="0"/>
                <w:szCs w:val="21"/>
                <w:lang w:bidi="ar"/>
              </w:rPr>
            </w:pPr>
            <w:r>
              <w:rPr>
                <w:rFonts w:ascii="Times New Roman" w:hAnsi="Times New Roman"/>
                <w:bCs/>
                <w:szCs w:val="21"/>
              </w:rPr>
              <w:t>砷</w:t>
            </w:r>
          </w:p>
        </w:tc>
        <w:tc>
          <w:tcPr>
            <w:tcW w:w="1344" w:type="dxa"/>
            <w:vAlign w:val="center"/>
          </w:tcPr>
          <w:p w:rsidR="00525419" w:rsidRDefault="00EE1CF7">
            <w:pPr>
              <w:widowControl/>
              <w:jc w:val="center"/>
              <w:rPr>
                <w:rFonts w:ascii="Times New Roman" w:hAnsi="Times New Roman"/>
                <w:kern w:val="0"/>
              </w:rPr>
            </w:pPr>
            <w:r>
              <w:rPr>
                <w:rFonts w:ascii="Times New Roman" w:hAnsi="Times New Roman"/>
                <w:kern w:val="0"/>
              </w:rPr>
              <w:t>mg/kg</w:t>
            </w:r>
          </w:p>
        </w:tc>
        <w:tc>
          <w:tcPr>
            <w:tcW w:w="1729" w:type="dxa"/>
            <w:vAlign w:val="center"/>
          </w:tcPr>
          <w:p w:rsidR="00525419" w:rsidRDefault="00EE1CF7">
            <w:pPr>
              <w:widowControl/>
              <w:jc w:val="center"/>
              <w:rPr>
                <w:rFonts w:ascii="Times New Roman" w:hAnsi="Times New Roman"/>
                <w:kern w:val="0"/>
              </w:rPr>
            </w:pPr>
            <w:r>
              <w:rPr>
                <w:rFonts w:ascii="Times New Roman" w:hAnsi="Times New Roman"/>
                <w:kern w:val="0"/>
              </w:rPr>
              <w:t>11.9</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60</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jc w:val="center"/>
              <w:rPr>
                <w:rFonts w:ascii="Times New Roman" w:hAnsi="Times New Roman"/>
                <w:bCs/>
                <w:kern w:val="0"/>
                <w:szCs w:val="21"/>
                <w:lang w:bidi="ar"/>
              </w:rPr>
            </w:pPr>
            <w:r>
              <w:rPr>
                <w:rFonts w:ascii="Times New Roman" w:hAnsi="Times New Roman"/>
                <w:bCs/>
                <w:kern w:val="0"/>
                <w:szCs w:val="21"/>
                <w:lang w:bidi="ar"/>
              </w:rPr>
              <w:t>镉</w:t>
            </w:r>
          </w:p>
        </w:tc>
        <w:tc>
          <w:tcPr>
            <w:tcW w:w="1344" w:type="dxa"/>
            <w:vAlign w:val="center"/>
          </w:tcPr>
          <w:p w:rsidR="00525419" w:rsidRDefault="00EE1CF7">
            <w:pPr>
              <w:jc w:val="center"/>
              <w:rPr>
                <w:rFonts w:ascii="Times New Roman" w:hAnsi="Times New Roman"/>
                <w:bCs/>
                <w:kern w:val="0"/>
                <w:szCs w:val="21"/>
                <w:lang w:bidi="ar"/>
              </w:rPr>
            </w:pPr>
            <w:r>
              <w:rPr>
                <w:rFonts w:ascii="Times New Roman" w:hAnsi="Times New Roman"/>
                <w:bCs/>
                <w:kern w:val="0"/>
                <w:szCs w:val="21"/>
                <w:lang w:bidi="ar"/>
              </w:rPr>
              <w:t>mg/kg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0.15</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65</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jc w:val="center"/>
              <w:rPr>
                <w:rFonts w:ascii="Times New Roman" w:hAnsi="Times New Roman"/>
                <w:bCs/>
                <w:kern w:val="0"/>
                <w:szCs w:val="21"/>
                <w:lang w:bidi="ar"/>
              </w:rPr>
            </w:pPr>
            <w:r>
              <w:rPr>
                <w:rFonts w:ascii="Times New Roman" w:hAnsi="Times New Roman"/>
                <w:bCs/>
                <w:kern w:val="0"/>
                <w:szCs w:val="21"/>
                <w:lang w:bidi="ar"/>
              </w:rPr>
              <w:t>铜</w:t>
            </w:r>
          </w:p>
        </w:tc>
        <w:tc>
          <w:tcPr>
            <w:tcW w:w="1344" w:type="dxa"/>
            <w:vAlign w:val="center"/>
          </w:tcPr>
          <w:p w:rsidR="00525419" w:rsidRDefault="00EE1CF7">
            <w:pPr>
              <w:widowControl/>
              <w:jc w:val="center"/>
              <w:textAlignment w:val="center"/>
              <w:rPr>
                <w:rFonts w:ascii="Times New Roman" w:hAnsi="Times New Roman"/>
                <w:bCs/>
                <w:kern w:val="0"/>
                <w:szCs w:val="21"/>
                <w:lang w:bidi="ar"/>
              </w:rPr>
            </w:pPr>
            <w:r>
              <w:rPr>
                <w:rFonts w:ascii="Times New Roman" w:hAnsi="Times New Roman"/>
                <w:bCs/>
                <w:kern w:val="0"/>
                <w:szCs w:val="21"/>
                <w:lang w:bidi="ar"/>
              </w:rPr>
              <w:t>mg/kg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32.5</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18000</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jc w:val="center"/>
              <w:rPr>
                <w:rFonts w:ascii="Times New Roman" w:hAnsi="Times New Roman"/>
                <w:bCs/>
                <w:szCs w:val="21"/>
              </w:rPr>
            </w:pPr>
            <w:r>
              <w:rPr>
                <w:rFonts w:ascii="Times New Roman" w:hAnsi="Times New Roman"/>
                <w:bCs/>
                <w:kern w:val="0"/>
                <w:szCs w:val="21"/>
                <w:lang w:bidi="ar"/>
              </w:rPr>
              <w:lastRenderedPageBreak/>
              <w:t>铅</w:t>
            </w:r>
          </w:p>
        </w:tc>
        <w:tc>
          <w:tcPr>
            <w:tcW w:w="1344" w:type="dxa"/>
            <w:vAlign w:val="center"/>
          </w:tcPr>
          <w:p w:rsidR="00525419" w:rsidRDefault="00EE1CF7">
            <w:pPr>
              <w:jc w:val="center"/>
              <w:rPr>
                <w:rFonts w:ascii="Times New Roman" w:hAnsi="Times New Roman"/>
                <w:bCs/>
                <w:kern w:val="0"/>
                <w:szCs w:val="21"/>
                <w:lang w:bidi="ar"/>
              </w:rPr>
            </w:pPr>
            <w:r>
              <w:rPr>
                <w:rFonts w:ascii="Times New Roman" w:hAnsi="Times New Roman"/>
                <w:bCs/>
                <w:kern w:val="0"/>
                <w:szCs w:val="21"/>
                <w:lang w:bidi="ar"/>
              </w:rPr>
              <w:t>mg/kg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5.2</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800</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bCs/>
                <w:kern w:val="0"/>
                <w:szCs w:val="21"/>
                <w:lang w:bidi="ar"/>
              </w:rPr>
            </w:pPr>
            <w:bookmarkStart w:id="100" w:name="_Hlk533967765"/>
            <w:r>
              <w:rPr>
                <w:rFonts w:ascii="Times New Roman" w:hAnsi="Times New Roman"/>
                <w:bCs/>
                <w:szCs w:val="21"/>
              </w:rPr>
              <w:t>汞</w:t>
            </w:r>
          </w:p>
        </w:tc>
        <w:tc>
          <w:tcPr>
            <w:tcW w:w="1344" w:type="dxa"/>
            <w:vAlign w:val="center"/>
          </w:tcPr>
          <w:p w:rsidR="00525419" w:rsidRDefault="00EE1CF7">
            <w:pPr>
              <w:jc w:val="center"/>
              <w:rPr>
                <w:rFonts w:ascii="Times New Roman" w:hAnsi="Times New Roman"/>
                <w:bCs/>
                <w:kern w:val="0"/>
                <w:szCs w:val="21"/>
                <w:lang w:bidi="ar"/>
              </w:rPr>
            </w:pPr>
            <w:r>
              <w:rPr>
                <w:rFonts w:ascii="Times New Roman" w:hAnsi="Times New Roman"/>
                <w:bCs/>
                <w:kern w:val="0"/>
                <w:szCs w:val="21"/>
                <w:lang w:bidi="ar"/>
              </w:rPr>
              <w:t>mg/kg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28.1</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38</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bookmarkEnd w:id="100"/>
      <w:tr w:rsidR="00525419">
        <w:trPr>
          <w:trHeight w:val="397"/>
          <w:jc w:val="center"/>
        </w:trPr>
        <w:tc>
          <w:tcPr>
            <w:tcW w:w="2633" w:type="dxa"/>
            <w:vAlign w:val="center"/>
          </w:tcPr>
          <w:p w:rsidR="00525419" w:rsidRDefault="00EE1CF7">
            <w:pPr>
              <w:jc w:val="center"/>
              <w:rPr>
                <w:rFonts w:ascii="Times New Roman" w:hAnsi="Times New Roman"/>
                <w:bCs/>
                <w:kern w:val="0"/>
                <w:szCs w:val="21"/>
                <w:lang w:bidi="ar"/>
              </w:rPr>
            </w:pPr>
            <w:r>
              <w:rPr>
                <w:rFonts w:ascii="Times New Roman" w:hAnsi="Times New Roman"/>
                <w:bCs/>
                <w:kern w:val="0"/>
                <w:szCs w:val="21"/>
                <w:lang w:bidi="ar"/>
              </w:rPr>
              <w:t>镍</w:t>
            </w:r>
          </w:p>
        </w:tc>
        <w:tc>
          <w:tcPr>
            <w:tcW w:w="1344" w:type="dxa"/>
            <w:vAlign w:val="center"/>
          </w:tcPr>
          <w:p w:rsidR="00525419" w:rsidRDefault="00EE1CF7">
            <w:pPr>
              <w:jc w:val="center"/>
              <w:rPr>
                <w:rFonts w:ascii="Times New Roman" w:hAnsi="Times New Roman"/>
                <w:bCs/>
                <w:kern w:val="0"/>
                <w:szCs w:val="21"/>
                <w:lang w:bidi="ar"/>
              </w:rPr>
            </w:pPr>
            <w:r>
              <w:rPr>
                <w:rFonts w:ascii="Times New Roman" w:hAnsi="Times New Roman"/>
                <w:bCs/>
                <w:kern w:val="0"/>
                <w:szCs w:val="21"/>
                <w:lang w:bidi="ar"/>
              </w:rPr>
              <w:t>mg/kg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22.0</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900</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jc w:val="center"/>
              <w:rPr>
                <w:rFonts w:ascii="Times New Roman" w:hAnsi="Times New Roman"/>
                <w:bCs/>
                <w:szCs w:val="21"/>
              </w:rPr>
            </w:pPr>
            <w:r>
              <w:rPr>
                <w:rFonts w:ascii="Times New Roman" w:hAnsi="Times New Roman"/>
                <w:bCs/>
                <w:szCs w:val="21"/>
              </w:rPr>
              <w:t>氯甲烷</w:t>
            </w:r>
          </w:p>
        </w:tc>
        <w:tc>
          <w:tcPr>
            <w:tcW w:w="1344" w:type="dxa"/>
            <w:vAlign w:val="center"/>
          </w:tcPr>
          <w:p w:rsidR="00525419" w:rsidRDefault="00EE1CF7">
            <w:pPr>
              <w:jc w:val="center"/>
              <w:rPr>
                <w:rFonts w:ascii="Times New Roman" w:hAnsi="Times New Roman"/>
                <w:bCs/>
                <w:kern w:val="0"/>
                <w:szCs w:val="21"/>
                <w:lang w:bidi="ar"/>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1.0</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37</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bCs/>
                <w:szCs w:val="21"/>
              </w:rPr>
            </w:pPr>
            <w:r>
              <w:rPr>
                <w:rFonts w:ascii="Times New Roman" w:hAnsi="Times New Roman"/>
                <w:kern w:val="0"/>
                <w:szCs w:val="21"/>
                <w:lang w:bidi="ar"/>
              </w:rPr>
              <w:t>氯乙烯</w:t>
            </w:r>
          </w:p>
        </w:tc>
        <w:tc>
          <w:tcPr>
            <w:tcW w:w="1344" w:type="dxa"/>
            <w:vAlign w:val="center"/>
          </w:tcPr>
          <w:p w:rsidR="00525419" w:rsidRDefault="00EE1CF7">
            <w:pPr>
              <w:widowControl/>
              <w:jc w:val="center"/>
              <w:textAlignment w:val="center"/>
              <w:rPr>
                <w:rFonts w:ascii="Times New Roman" w:hAnsi="Times New Roman"/>
                <w:bCs/>
                <w:kern w:val="0"/>
                <w:szCs w:val="21"/>
                <w:lang w:bidi="ar"/>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1.0</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0.43</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jc w:val="center"/>
              <w:rPr>
                <w:rFonts w:ascii="Times New Roman" w:hAnsi="Times New Roman"/>
                <w:bCs/>
                <w:szCs w:val="21"/>
              </w:rPr>
            </w:pPr>
            <w:r>
              <w:rPr>
                <w:rFonts w:ascii="Times New Roman" w:hAnsi="Times New Roman"/>
                <w:bCs/>
                <w:szCs w:val="21"/>
              </w:rPr>
              <w:t>1</w:t>
            </w:r>
            <w:r>
              <w:rPr>
                <w:rFonts w:ascii="Times New Roman" w:hAnsi="Times New Roman"/>
                <w:bCs/>
                <w:szCs w:val="21"/>
              </w:rPr>
              <w:t>，</w:t>
            </w:r>
            <w:r>
              <w:rPr>
                <w:rFonts w:ascii="Times New Roman" w:hAnsi="Times New Roman"/>
                <w:bCs/>
                <w:szCs w:val="21"/>
              </w:rPr>
              <w:t>1-</w:t>
            </w:r>
            <w:r>
              <w:rPr>
                <w:rFonts w:ascii="Times New Roman" w:hAnsi="Times New Roman"/>
                <w:bCs/>
                <w:szCs w:val="21"/>
              </w:rPr>
              <w:t>二氯乙烯</w:t>
            </w:r>
          </w:p>
        </w:tc>
        <w:tc>
          <w:tcPr>
            <w:tcW w:w="1344" w:type="dxa"/>
            <w:vAlign w:val="center"/>
          </w:tcPr>
          <w:p w:rsidR="00525419" w:rsidRDefault="00EE1CF7">
            <w:pPr>
              <w:jc w:val="center"/>
              <w:rPr>
                <w:rFonts w:ascii="Times New Roman" w:hAnsi="Times New Roman"/>
                <w:bCs/>
                <w:kern w:val="0"/>
                <w:szCs w:val="21"/>
                <w:lang w:bidi="ar"/>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1.0</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66</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bCs/>
                <w:szCs w:val="21"/>
              </w:rPr>
            </w:pPr>
            <w:r>
              <w:rPr>
                <w:rFonts w:ascii="Times New Roman" w:hAnsi="Times New Roman"/>
                <w:bCs/>
                <w:szCs w:val="21"/>
              </w:rPr>
              <w:t>二氯甲烷</w:t>
            </w:r>
          </w:p>
        </w:tc>
        <w:tc>
          <w:tcPr>
            <w:tcW w:w="1344" w:type="dxa"/>
            <w:vAlign w:val="center"/>
          </w:tcPr>
          <w:p w:rsidR="00525419" w:rsidRDefault="00EE1CF7">
            <w:pPr>
              <w:widowControl/>
              <w:jc w:val="center"/>
              <w:textAlignment w:val="center"/>
              <w:rPr>
                <w:rFonts w:ascii="Times New Roman" w:hAnsi="Times New Roman"/>
                <w:bCs/>
                <w:kern w:val="0"/>
                <w:szCs w:val="21"/>
                <w:lang w:bidi="ar"/>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1.5</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616</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bCs/>
                <w:szCs w:val="21"/>
              </w:rPr>
            </w:pPr>
            <w:r>
              <w:rPr>
                <w:rFonts w:ascii="Times New Roman" w:hAnsi="Times New Roman"/>
                <w:bCs/>
                <w:szCs w:val="21"/>
              </w:rPr>
              <w:t>反</w:t>
            </w:r>
            <w:r>
              <w:rPr>
                <w:rFonts w:ascii="Times New Roman" w:hAnsi="Times New Roman"/>
                <w:bCs/>
                <w:szCs w:val="21"/>
              </w:rPr>
              <w:t>-1,2-</w:t>
            </w:r>
            <w:r>
              <w:rPr>
                <w:rFonts w:ascii="Times New Roman" w:hAnsi="Times New Roman"/>
                <w:bCs/>
                <w:szCs w:val="21"/>
              </w:rPr>
              <w:t>二氯乙烯</w:t>
            </w:r>
          </w:p>
        </w:tc>
        <w:tc>
          <w:tcPr>
            <w:tcW w:w="1344" w:type="dxa"/>
            <w:vAlign w:val="center"/>
          </w:tcPr>
          <w:p w:rsidR="00525419" w:rsidRDefault="00EE1CF7">
            <w:pPr>
              <w:jc w:val="center"/>
              <w:rPr>
                <w:rFonts w:ascii="Times New Roman" w:hAnsi="Times New Roman"/>
                <w:bCs/>
                <w:kern w:val="0"/>
                <w:szCs w:val="21"/>
                <w:lang w:bidi="ar"/>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1.4</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54</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jc w:val="center"/>
              <w:rPr>
                <w:rFonts w:ascii="Times New Roman" w:hAnsi="Times New Roman"/>
                <w:bCs/>
                <w:szCs w:val="21"/>
              </w:rPr>
            </w:pPr>
            <w:r>
              <w:rPr>
                <w:rFonts w:ascii="Times New Roman" w:hAnsi="Times New Roman"/>
                <w:bCs/>
                <w:szCs w:val="21"/>
              </w:rPr>
              <w:t>1,1-</w:t>
            </w:r>
            <w:r>
              <w:rPr>
                <w:rFonts w:ascii="Times New Roman" w:hAnsi="Times New Roman"/>
                <w:bCs/>
                <w:szCs w:val="21"/>
              </w:rPr>
              <w:t>二氯乙烷</w:t>
            </w:r>
          </w:p>
        </w:tc>
        <w:tc>
          <w:tcPr>
            <w:tcW w:w="1344" w:type="dxa"/>
            <w:vAlign w:val="center"/>
          </w:tcPr>
          <w:p w:rsidR="00525419" w:rsidRDefault="00EE1CF7">
            <w:pPr>
              <w:jc w:val="center"/>
              <w:rPr>
                <w:rFonts w:ascii="Times New Roman" w:hAnsi="Times New Roman"/>
                <w:bCs/>
                <w:kern w:val="0"/>
                <w:szCs w:val="21"/>
                <w:lang w:bidi="ar"/>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1.2</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9</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jc w:val="center"/>
              <w:rPr>
                <w:rFonts w:ascii="Times New Roman" w:hAnsi="Times New Roman"/>
                <w:bCs/>
                <w:szCs w:val="21"/>
              </w:rPr>
            </w:pPr>
            <w:r>
              <w:rPr>
                <w:rFonts w:ascii="Times New Roman" w:hAnsi="Times New Roman"/>
                <w:bCs/>
                <w:szCs w:val="21"/>
              </w:rPr>
              <w:t>顺</w:t>
            </w:r>
            <w:r>
              <w:rPr>
                <w:rFonts w:ascii="Times New Roman" w:hAnsi="Times New Roman"/>
                <w:bCs/>
                <w:szCs w:val="21"/>
              </w:rPr>
              <w:t>-1,2-</w:t>
            </w:r>
            <w:r>
              <w:rPr>
                <w:rFonts w:ascii="Times New Roman" w:hAnsi="Times New Roman"/>
                <w:bCs/>
                <w:szCs w:val="21"/>
              </w:rPr>
              <w:t>二氯乙烯</w:t>
            </w:r>
          </w:p>
        </w:tc>
        <w:tc>
          <w:tcPr>
            <w:tcW w:w="1344" w:type="dxa"/>
            <w:vAlign w:val="center"/>
          </w:tcPr>
          <w:p w:rsidR="00525419" w:rsidRDefault="00EE1CF7">
            <w:pPr>
              <w:widowControl/>
              <w:jc w:val="center"/>
              <w:textAlignment w:val="center"/>
              <w:rPr>
                <w:rFonts w:ascii="Times New Roman" w:hAnsi="Times New Roman"/>
                <w:bCs/>
                <w:kern w:val="0"/>
                <w:szCs w:val="21"/>
                <w:lang w:bidi="ar"/>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1.3</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596</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jc w:val="center"/>
              <w:rPr>
                <w:rFonts w:ascii="Times New Roman" w:hAnsi="Times New Roman"/>
                <w:bCs/>
                <w:kern w:val="0"/>
                <w:szCs w:val="21"/>
                <w:lang w:bidi="ar"/>
              </w:rPr>
            </w:pPr>
            <w:r>
              <w:rPr>
                <w:rFonts w:ascii="Times New Roman" w:hAnsi="Times New Roman"/>
                <w:bCs/>
                <w:kern w:val="0"/>
                <w:szCs w:val="21"/>
                <w:lang w:bidi="ar"/>
              </w:rPr>
              <w:t>氯仿</w:t>
            </w:r>
          </w:p>
        </w:tc>
        <w:tc>
          <w:tcPr>
            <w:tcW w:w="1344" w:type="dxa"/>
            <w:vAlign w:val="center"/>
          </w:tcPr>
          <w:p w:rsidR="00525419" w:rsidRDefault="00EE1CF7">
            <w:pPr>
              <w:jc w:val="center"/>
              <w:rPr>
                <w:rFonts w:ascii="Times New Roman" w:hAnsi="Times New Roman"/>
                <w:bCs/>
                <w:kern w:val="0"/>
                <w:szCs w:val="21"/>
                <w:lang w:bidi="ar"/>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1.1</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0.9</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bCs/>
                <w:szCs w:val="21"/>
              </w:rPr>
            </w:pPr>
            <w:r>
              <w:rPr>
                <w:rFonts w:ascii="Times New Roman" w:hAnsi="Times New Roman"/>
                <w:szCs w:val="21"/>
              </w:rPr>
              <w:t>1,1,1-</w:t>
            </w:r>
            <w:r>
              <w:rPr>
                <w:rFonts w:ascii="Times New Roman" w:hAnsi="Times New Roman"/>
                <w:szCs w:val="21"/>
              </w:rPr>
              <w:t>三氯乙烷</w:t>
            </w:r>
          </w:p>
        </w:tc>
        <w:tc>
          <w:tcPr>
            <w:tcW w:w="1344" w:type="dxa"/>
            <w:vAlign w:val="center"/>
          </w:tcPr>
          <w:p w:rsidR="00525419" w:rsidRDefault="00EE1CF7">
            <w:pPr>
              <w:jc w:val="center"/>
              <w:rPr>
                <w:rFonts w:ascii="Times New Roman" w:hAnsi="Times New Roman"/>
                <w:bCs/>
                <w:kern w:val="0"/>
                <w:szCs w:val="21"/>
                <w:lang w:bidi="ar"/>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1.3</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840</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jc w:val="center"/>
              <w:rPr>
                <w:rFonts w:ascii="Times New Roman" w:hAnsi="Times New Roman"/>
                <w:bCs/>
                <w:szCs w:val="21"/>
              </w:rPr>
            </w:pPr>
            <w:r>
              <w:rPr>
                <w:rFonts w:ascii="Times New Roman" w:hAnsi="Times New Roman"/>
                <w:bCs/>
                <w:kern w:val="0"/>
                <w:szCs w:val="21"/>
                <w:lang w:bidi="ar"/>
              </w:rPr>
              <w:t>四氯化碳</w:t>
            </w:r>
          </w:p>
        </w:tc>
        <w:tc>
          <w:tcPr>
            <w:tcW w:w="1344" w:type="dxa"/>
            <w:vAlign w:val="center"/>
          </w:tcPr>
          <w:p w:rsidR="00525419" w:rsidRDefault="00EE1CF7">
            <w:pPr>
              <w:widowControl/>
              <w:jc w:val="center"/>
              <w:textAlignment w:val="center"/>
              <w:rPr>
                <w:rFonts w:ascii="Times New Roman" w:hAnsi="Times New Roman"/>
                <w:bCs/>
                <w:kern w:val="0"/>
                <w:szCs w:val="21"/>
                <w:lang w:bidi="ar"/>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1.3</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2.8</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kern w:val="0"/>
                <w:szCs w:val="21"/>
                <w:lang w:bidi="ar"/>
              </w:rPr>
            </w:pPr>
            <w:r>
              <w:rPr>
                <w:rFonts w:ascii="Times New Roman" w:hAnsi="Times New Roman"/>
                <w:kern w:val="0"/>
                <w:szCs w:val="21"/>
                <w:lang w:bidi="ar"/>
              </w:rPr>
              <w:t>苯</w:t>
            </w:r>
          </w:p>
        </w:tc>
        <w:tc>
          <w:tcPr>
            <w:tcW w:w="1344" w:type="dxa"/>
            <w:vAlign w:val="center"/>
          </w:tcPr>
          <w:p w:rsidR="00525419" w:rsidRDefault="00EE1CF7">
            <w:pPr>
              <w:jc w:val="center"/>
              <w:rPr>
                <w:rFonts w:ascii="Times New Roman" w:hAnsi="Times New Roman"/>
                <w:kern w:val="0"/>
                <w:szCs w:val="21"/>
                <w:lang w:bidi="ar"/>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1.9</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4</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400"/>
          <w:jc w:val="center"/>
        </w:trPr>
        <w:tc>
          <w:tcPr>
            <w:tcW w:w="2633" w:type="dxa"/>
            <w:vAlign w:val="center"/>
          </w:tcPr>
          <w:p w:rsidR="00525419" w:rsidRDefault="00EE1CF7">
            <w:pPr>
              <w:jc w:val="center"/>
              <w:rPr>
                <w:rFonts w:ascii="Times New Roman" w:hAnsi="Times New Roman"/>
                <w:bCs/>
                <w:szCs w:val="21"/>
              </w:rPr>
            </w:pPr>
            <w:r>
              <w:rPr>
                <w:rFonts w:ascii="Times New Roman" w:hAnsi="Times New Roman"/>
                <w:bCs/>
                <w:szCs w:val="21"/>
              </w:rPr>
              <w:t>1,2-</w:t>
            </w:r>
            <w:r>
              <w:rPr>
                <w:rFonts w:ascii="Times New Roman" w:hAnsi="Times New Roman"/>
                <w:bCs/>
                <w:szCs w:val="21"/>
              </w:rPr>
              <w:t>二氯乙烷</w:t>
            </w:r>
          </w:p>
        </w:tc>
        <w:tc>
          <w:tcPr>
            <w:tcW w:w="1344" w:type="dxa"/>
            <w:vAlign w:val="center"/>
          </w:tcPr>
          <w:p w:rsidR="00525419" w:rsidRDefault="00EE1CF7">
            <w:pPr>
              <w:widowControl/>
              <w:jc w:val="center"/>
              <w:textAlignment w:val="center"/>
              <w:rPr>
                <w:rFonts w:ascii="Times New Roman" w:hAnsi="Times New Roman"/>
                <w:bCs/>
                <w:kern w:val="0"/>
                <w:szCs w:val="21"/>
                <w:lang w:bidi="ar"/>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1.3</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5</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bCs/>
                <w:szCs w:val="21"/>
              </w:rPr>
            </w:pPr>
            <w:r>
              <w:rPr>
                <w:rFonts w:ascii="Times New Roman" w:hAnsi="Times New Roman"/>
                <w:szCs w:val="21"/>
              </w:rPr>
              <w:t>三氯乙烯</w:t>
            </w:r>
          </w:p>
        </w:tc>
        <w:tc>
          <w:tcPr>
            <w:tcW w:w="1344" w:type="dxa"/>
            <w:vAlign w:val="center"/>
          </w:tcPr>
          <w:p w:rsidR="00525419" w:rsidRDefault="00EE1CF7">
            <w:pPr>
              <w:jc w:val="center"/>
              <w:rPr>
                <w:rFonts w:ascii="Times New Roman" w:hAnsi="Times New Roman"/>
                <w:bCs/>
                <w:kern w:val="0"/>
                <w:szCs w:val="21"/>
                <w:lang w:bidi="ar"/>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1.2</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2.8</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bCs/>
                <w:szCs w:val="21"/>
              </w:rPr>
            </w:pPr>
            <w:r>
              <w:rPr>
                <w:rFonts w:ascii="Times New Roman" w:hAnsi="Times New Roman"/>
                <w:szCs w:val="21"/>
              </w:rPr>
              <w:t>1,2-</w:t>
            </w:r>
            <w:r>
              <w:rPr>
                <w:rFonts w:ascii="Times New Roman" w:hAnsi="Times New Roman"/>
                <w:szCs w:val="21"/>
              </w:rPr>
              <w:t>二氯丙烷</w:t>
            </w:r>
          </w:p>
        </w:tc>
        <w:tc>
          <w:tcPr>
            <w:tcW w:w="1344" w:type="dxa"/>
            <w:vAlign w:val="center"/>
          </w:tcPr>
          <w:p w:rsidR="00525419" w:rsidRDefault="00EE1CF7">
            <w:pPr>
              <w:jc w:val="center"/>
              <w:rPr>
                <w:rFonts w:ascii="Times New Roman" w:hAnsi="Times New Roman"/>
                <w:bCs/>
                <w:kern w:val="0"/>
                <w:szCs w:val="21"/>
                <w:lang w:bidi="ar"/>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1.1</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5</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kern w:val="0"/>
                <w:szCs w:val="21"/>
                <w:lang w:bidi="ar"/>
              </w:rPr>
            </w:pPr>
            <w:r>
              <w:rPr>
                <w:rFonts w:ascii="Times New Roman" w:hAnsi="Times New Roman"/>
                <w:kern w:val="0"/>
                <w:szCs w:val="21"/>
                <w:lang w:bidi="ar"/>
              </w:rPr>
              <w:t>甲苯</w:t>
            </w:r>
          </w:p>
        </w:tc>
        <w:tc>
          <w:tcPr>
            <w:tcW w:w="1344" w:type="dxa"/>
            <w:vAlign w:val="center"/>
          </w:tcPr>
          <w:p w:rsidR="00525419" w:rsidRDefault="00EE1CF7">
            <w:pPr>
              <w:widowControl/>
              <w:jc w:val="center"/>
              <w:textAlignment w:val="center"/>
              <w:rPr>
                <w:rFonts w:ascii="Times New Roman" w:hAnsi="Times New Roman"/>
                <w:kern w:val="0"/>
                <w:szCs w:val="21"/>
                <w:lang w:bidi="ar"/>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1.3</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1200</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kern w:val="0"/>
                <w:szCs w:val="21"/>
                <w:lang w:bidi="ar"/>
              </w:rPr>
            </w:pPr>
            <w:r>
              <w:rPr>
                <w:rFonts w:ascii="Times New Roman" w:hAnsi="Times New Roman"/>
                <w:szCs w:val="21"/>
              </w:rPr>
              <w:t>1,1,2-</w:t>
            </w:r>
            <w:r>
              <w:rPr>
                <w:rFonts w:ascii="Times New Roman" w:hAnsi="Times New Roman"/>
                <w:szCs w:val="21"/>
              </w:rPr>
              <w:t>三氯乙烷</w:t>
            </w:r>
          </w:p>
        </w:tc>
        <w:tc>
          <w:tcPr>
            <w:tcW w:w="1344" w:type="dxa"/>
            <w:vAlign w:val="center"/>
          </w:tcPr>
          <w:p w:rsidR="00525419" w:rsidRDefault="00EE1CF7">
            <w:pPr>
              <w:jc w:val="center"/>
              <w:rPr>
                <w:rFonts w:ascii="Times New Roman" w:hAnsi="Times New Roman"/>
                <w:kern w:val="0"/>
                <w:szCs w:val="21"/>
                <w:lang w:bidi="ar"/>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1.2</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2.8</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kern w:val="0"/>
                <w:szCs w:val="21"/>
                <w:lang w:bidi="ar"/>
              </w:rPr>
            </w:pPr>
            <w:r>
              <w:rPr>
                <w:rFonts w:ascii="Times New Roman" w:hAnsi="Times New Roman"/>
                <w:szCs w:val="21"/>
              </w:rPr>
              <w:t>四氯乙烯</w:t>
            </w:r>
          </w:p>
        </w:tc>
        <w:tc>
          <w:tcPr>
            <w:tcW w:w="1344" w:type="dxa"/>
            <w:vAlign w:val="center"/>
          </w:tcPr>
          <w:p w:rsidR="00525419" w:rsidRDefault="00EE1CF7">
            <w:pPr>
              <w:jc w:val="center"/>
              <w:rPr>
                <w:rFonts w:ascii="Times New Roman" w:hAnsi="Times New Roman"/>
                <w:kern w:val="0"/>
                <w:szCs w:val="21"/>
                <w:lang w:bidi="ar"/>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1.4</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53</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氯苯</w:t>
            </w:r>
          </w:p>
        </w:tc>
        <w:tc>
          <w:tcPr>
            <w:tcW w:w="1344" w:type="dxa"/>
            <w:vAlign w:val="center"/>
          </w:tcPr>
          <w:p w:rsidR="00525419" w:rsidRDefault="00EE1CF7">
            <w:pPr>
              <w:widowControl/>
              <w:jc w:val="center"/>
              <w:textAlignment w:val="center"/>
              <w:rPr>
                <w:rFonts w:ascii="Times New Roman" w:hAnsi="Times New Roman"/>
                <w:szCs w:val="21"/>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1.2</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270</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szCs w:val="21"/>
              </w:rPr>
            </w:pPr>
            <w:r>
              <w:rPr>
                <w:rFonts w:ascii="Times New Roman" w:hAnsi="Times New Roman"/>
                <w:szCs w:val="21"/>
              </w:rPr>
              <w:t>1,1,1,2-</w:t>
            </w:r>
            <w:r>
              <w:rPr>
                <w:rFonts w:ascii="Times New Roman" w:hAnsi="Times New Roman"/>
                <w:szCs w:val="21"/>
              </w:rPr>
              <w:t>四氯乙烷</w:t>
            </w:r>
          </w:p>
        </w:tc>
        <w:tc>
          <w:tcPr>
            <w:tcW w:w="1344" w:type="dxa"/>
            <w:vAlign w:val="center"/>
          </w:tcPr>
          <w:p w:rsidR="00525419" w:rsidRDefault="00EE1CF7">
            <w:pPr>
              <w:jc w:val="center"/>
              <w:rPr>
                <w:rFonts w:ascii="Times New Roman" w:hAnsi="Times New Roman"/>
                <w:szCs w:val="21"/>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1.2</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10</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乙苯</w:t>
            </w:r>
          </w:p>
        </w:tc>
        <w:tc>
          <w:tcPr>
            <w:tcW w:w="1344" w:type="dxa"/>
            <w:vAlign w:val="center"/>
          </w:tcPr>
          <w:p w:rsidR="00525419" w:rsidRDefault="00EE1CF7">
            <w:pPr>
              <w:widowControl/>
              <w:jc w:val="center"/>
              <w:textAlignment w:val="center"/>
              <w:rPr>
                <w:rFonts w:ascii="Times New Roman" w:hAnsi="Times New Roman"/>
                <w:szCs w:val="21"/>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1.2</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28</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间二甲苯</w:t>
            </w:r>
            <w:r>
              <w:rPr>
                <w:rFonts w:ascii="Times New Roman" w:hAnsi="Times New Roman"/>
                <w:kern w:val="0"/>
                <w:szCs w:val="21"/>
                <w:lang w:bidi="ar"/>
              </w:rPr>
              <w:t>+</w:t>
            </w:r>
            <w:r>
              <w:rPr>
                <w:rFonts w:ascii="Times New Roman" w:hAnsi="Times New Roman"/>
                <w:kern w:val="0"/>
                <w:szCs w:val="21"/>
                <w:lang w:bidi="ar"/>
              </w:rPr>
              <w:t>对二甲苯</w:t>
            </w:r>
          </w:p>
        </w:tc>
        <w:tc>
          <w:tcPr>
            <w:tcW w:w="1344" w:type="dxa"/>
            <w:vAlign w:val="center"/>
          </w:tcPr>
          <w:p w:rsidR="00525419" w:rsidRDefault="00EE1CF7">
            <w:pPr>
              <w:jc w:val="center"/>
              <w:rPr>
                <w:rFonts w:ascii="Times New Roman" w:hAnsi="Times New Roman"/>
                <w:szCs w:val="21"/>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1.2</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570</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邻二甲苯</w:t>
            </w:r>
          </w:p>
        </w:tc>
        <w:tc>
          <w:tcPr>
            <w:tcW w:w="1344" w:type="dxa"/>
            <w:vAlign w:val="center"/>
          </w:tcPr>
          <w:p w:rsidR="00525419" w:rsidRDefault="00EE1CF7">
            <w:pPr>
              <w:jc w:val="center"/>
              <w:rPr>
                <w:rFonts w:ascii="Times New Roman" w:hAnsi="Times New Roman"/>
                <w:szCs w:val="21"/>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1.2</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640</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苯乙烯</w:t>
            </w:r>
          </w:p>
        </w:tc>
        <w:tc>
          <w:tcPr>
            <w:tcW w:w="1344" w:type="dxa"/>
            <w:vAlign w:val="center"/>
          </w:tcPr>
          <w:p w:rsidR="00525419" w:rsidRDefault="00EE1CF7">
            <w:pPr>
              <w:jc w:val="center"/>
              <w:rPr>
                <w:rFonts w:ascii="Times New Roman" w:hAnsi="Times New Roman"/>
                <w:szCs w:val="21"/>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1.1</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1290</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szCs w:val="21"/>
              </w:rPr>
            </w:pPr>
            <w:r>
              <w:rPr>
                <w:rFonts w:ascii="Times New Roman" w:hAnsi="Times New Roman"/>
                <w:szCs w:val="21"/>
              </w:rPr>
              <w:t>1,1,2,2-</w:t>
            </w:r>
            <w:r>
              <w:rPr>
                <w:rFonts w:ascii="Times New Roman" w:hAnsi="Times New Roman"/>
                <w:szCs w:val="21"/>
              </w:rPr>
              <w:t>四氯乙烷</w:t>
            </w:r>
          </w:p>
        </w:tc>
        <w:tc>
          <w:tcPr>
            <w:tcW w:w="1344" w:type="dxa"/>
            <w:vAlign w:val="center"/>
          </w:tcPr>
          <w:p w:rsidR="00525419" w:rsidRDefault="00EE1CF7">
            <w:pPr>
              <w:widowControl/>
              <w:jc w:val="center"/>
              <w:textAlignment w:val="center"/>
              <w:rPr>
                <w:rFonts w:ascii="Times New Roman" w:hAnsi="Times New Roman"/>
                <w:szCs w:val="21"/>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1.2</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6.8</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1,2,3-</w:t>
            </w:r>
            <w:r>
              <w:rPr>
                <w:rFonts w:ascii="Times New Roman" w:hAnsi="Times New Roman"/>
                <w:kern w:val="0"/>
                <w:szCs w:val="21"/>
                <w:lang w:bidi="ar"/>
              </w:rPr>
              <w:t>三氯丙烷</w:t>
            </w:r>
          </w:p>
        </w:tc>
        <w:tc>
          <w:tcPr>
            <w:tcW w:w="1344" w:type="dxa"/>
            <w:vAlign w:val="center"/>
          </w:tcPr>
          <w:p w:rsidR="00525419" w:rsidRDefault="00EE1CF7">
            <w:pPr>
              <w:jc w:val="center"/>
              <w:rPr>
                <w:rFonts w:ascii="Times New Roman" w:hAnsi="Times New Roman"/>
                <w:szCs w:val="21"/>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1.5</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0.5</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1,4-</w:t>
            </w:r>
            <w:r>
              <w:rPr>
                <w:rFonts w:ascii="Times New Roman" w:hAnsi="Times New Roman"/>
                <w:kern w:val="0"/>
                <w:szCs w:val="21"/>
                <w:lang w:bidi="ar"/>
              </w:rPr>
              <w:t>二氯苯</w:t>
            </w:r>
          </w:p>
        </w:tc>
        <w:tc>
          <w:tcPr>
            <w:tcW w:w="1344" w:type="dxa"/>
            <w:vAlign w:val="center"/>
          </w:tcPr>
          <w:p w:rsidR="00525419" w:rsidRDefault="00EE1CF7">
            <w:pPr>
              <w:widowControl/>
              <w:jc w:val="center"/>
              <w:textAlignment w:val="center"/>
              <w:rPr>
                <w:rFonts w:ascii="Times New Roman" w:hAnsi="Times New Roman"/>
                <w:szCs w:val="21"/>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1.5</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20</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1,2-</w:t>
            </w:r>
            <w:r>
              <w:rPr>
                <w:rFonts w:ascii="Times New Roman" w:hAnsi="Times New Roman"/>
                <w:kern w:val="0"/>
                <w:szCs w:val="21"/>
                <w:lang w:bidi="ar"/>
              </w:rPr>
              <w:t>二氯苯</w:t>
            </w:r>
          </w:p>
        </w:tc>
        <w:tc>
          <w:tcPr>
            <w:tcW w:w="1344" w:type="dxa"/>
            <w:vAlign w:val="center"/>
          </w:tcPr>
          <w:p w:rsidR="00525419" w:rsidRDefault="00EE1CF7">
            <w:pPr>
              <w:jc w:val="center"/>
              <w:rPr>
                <w:rFonts w:ascii="Times New Roman" w:hAnsi="Times New Roman"/>
                <w:szCs w:val="21"/>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1.5</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560</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萘</w:t>
            </w:r>
          </w:p>
        </w:tc>
        <w:tc>
          <w:tcPr>
            <w:tcW w:w="1344" w:type="dxa"/>
            <w:vAlign w:val="center"/>
          </w:tcPr>
          <w:p w:rsidR="00525419" w:rsidRDefault="00EE1CF7">
            <w:pPr>
              <w:jc w:val="center"/>
              <w:rPr>
                <w:rFonts w:ascii="Times New Roman" w:hAnsi="Times New Roman"/>
                <w:szCs w:val="21"/>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0.09</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70</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kern w:val="0"/>
                <w:szCs w:val="21"/>
                <w:lang w:bidi="ar"/>
              </w:rPr>
            </w:pPr>
            <w:r>
              <w:rPr>
                <w:rFonts w:ascii="Times New Roman" w:hAnsi="Times New Roman"/>
                <w:szCs w:val="21"/>
              </w:rPr>
              <w:t>苯并</w:t>
            </w:r>
            <w:r>
              <w:rPr>
                <w:rFonts w:ascii="Times New Roman" w:hAnsi="Times New Roman"/>
                <w:szCs w:val="21"/>
              </w:rPr>
              <w:t>[a]</w:t>
            </w:r>
            <w:r>
              <w:rPr>
                <w:rFonts w:ascii="Times New Roman" w:hAnsi="Times New Roman"/>
                <w:szCs w:val="21"/>
              </w:rPr>
              <w:t>蒽</w:t>
            </w:r>
          </w:p>
        </w:tc>
        <w:tc>
          <w:tcPr>
            <w:tcW w:w="1344" w:type="dxa"/>
            <w:vAlign w:val="center"/>
          </w:tcPr>
          <w:p w:rsidR="00525419" w:rsidRDefault="00EE1CF7">
            <w:pPr>
              <w:widowControl/>
              <w:jc w:val="center"/>
              <w:textAlignment w:val="center"/>
              <w:rPr>
                <w:rFonts w:ascii="Times New Roman" w:hAnsi="Times New Roman"/>
                <w:kern w:val="0"/>
                <w:szCs w:val="21"/>
                <w:lang w:bidi="ar"/>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0.1</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15</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kern w:val="0"/>
                <w:szCs w:val="21"/>
                <w:lang w:bidi="ar"/>
              </w:rPr>
            </w:pPr>
            <w:r>
              <w:rPr>
                <w:rFonts w:ascii="Times New Roman" w:hAnsi="Times New Roman"/>
                <w:kern w:val="0"/>
                <w:szCs w:val="21"/>
                <w:lang w:bidi="ar"/>
              </w:rPr>
              <w:t>䓛</w:t>
            </w:r>
          </w:p>
        </w:tc>
        <w:tc>
          <w:tcPr>
            <w:tcW w:w="1344" w:type="dxa"/>
            <w:vAlign w:val="center"/>
          </w:tcPr>
          <w:p w:rsidR="00525419" w:rsidRDefault="00EE1CF7">
            <w:pPr>
              <w:jc w:val="center"/>
              <w:rPr>
                <w:rFonts w:ascii="Times New Roman" w:hAnsi="Times New Roman"/>
                <w:kern w:val="0"/>
                <w:szCs w:val="21"/>
                <w:lang w:bidi="ar"/>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0.1</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1293</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kern w:val="0"/>
                <w:szCs w:val="21"/>
                <w:lang w:bidi="ar"/>
              </w:rPr>
            </w:pPr>
            <w:r>
              <w:rPr>
                <w:rFonts w:ascii="Times New Roman" w:hAnsi="Times New Roman"/>
                <w:szCs w:val="21"/>
              </w:rPr>
              <w:t>苯并</w:t>
            </w:r>
            <w:r>
              <w:rPr>
                <w:rFonts w:ascii="Times New Roman" w:hAnsi="Times New Roman"/>
                <w:szCs w:val="21"/>
              </w:rPr>
              <w:t>[b]</w:t>
            </w:r>
            <w:r>
              <w:rPr>
                <w:rFonts w:ascii="Times New Roman" w:hAnsi="Times New Roman"/>
                <w:szCs w:val="21"/>
              </w:rPr>
              <w:t>荧蒽</w:t>
            </w:r>
          </w:p>
        </w:tc>
        <w:tc>
          <w:tcPr>
            <w:tcW w:w="1344" w:type="dxa"/>
            <w:vAlign w:val="center"/>
          </w:tcPr>
          <w:p w:rsidR="00525419" w:rsidRDefault="00EE1CF7">
            <w:pPr>
              <w:widowControl/>
              <w:jc w:val="center"/>
              <w:textAlignment w:val="center"/>
              <w:rPr>
                <w:rFonts w:ascii="Times New Roman" w:hAnsi="Times New Roman"/>
                <w:bCs/>
                <w:kern w:val="0"/>
                <w:szCs w:val="21"/>
                <w:lang w:bidi="ar"/>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0.2</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15</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kern w:val="0"/>
                <w:szCs w:val="21"/>
                <w:lang w:bidi="ar"/>
              </w:rPr>
            </w:pPr>
            <w:r>
              <w:rPr>
                <w:rFonts w:ascii="Times New Roman" w:hAnsi="Times New Roman"/>
                <w:szCs w:val="21"/>
              </w:rPr>
              <w:lastRenderedPageBreak/>
              <w:t>苯并</w:t>
            </w:r>
            <w:r>
              <w:rPr>
                <w:rFonts w:ascii="Times New Roman" w:hAnsi="Times New Roman"/>
                <w:szCs w:val="21"/>
              </w:rPr>
              <w:t>[k]</w:t>
            </w:r>
            <w:r>
              <w:rPr>
                <w:rFonts w:ascii="Times New Roman" w:hAnsi="Times New Roman"/>
                <w:szCs w:val="21"/>
              </w:rPr>
              <w:t>荧蒽</w:t>
            </w:r>
          </w:p>
        </w:tc>
        <w:tc>
          <w:tcPr>
            <w:tcW w:w="1344" w:type="dxa"/>
            <w:vAlign w:val="center"/>
          </w:tcPr>
          <w:p w:rsidR="00525419" w:rsidRDefault="00EE1CF7">
            <w:pPr>
              <w:jc w:val="center"/>
              <w:rPr>
                <w:rFonts w:ascii="Times New Roman" w:hAnsi="Times New Roman"/>
                <w:bCs/>
                <w:kern w:val="0"/>
                <w:szCs w:val="21"/>
                <w:lang w:bidi="ar"/>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0.1</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151</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kern w:val="0"/>
                <w:szCs w:val="21"/>
                <w:lang w:bidi="ar"/>
              </w:rPr>
            </w:pPr>
            <w:r>
              <w:rPr>
                <w:rFonts w:ascii="Times New Roman" w:hAnsi="Times New Roman"/>
                <w:szCs w:val="21"/>
              </w:rPr>
              <w:t>苯并</w:t>
            </w:r>
            <w:r>
              <w:rPr>
                <w:rFonts w:ascii="Times New Roman" w:hAnsi="Times New Roman"/>
                <w:szCs w:val="21"/>
              </w:rPr>
              <w:t>[a]</w:t>
            </w:r>
            <w:r>
              <w:rPr>
                <w:rFonts w:ascii="Times New Roman" w:hAnsi="Times New Roman"/>
                <w:szCs w:val="21"/>
              </w:rPr>
              <w:t>芘</w:t>
            </w:r>
          </w:p>
        </w:tc>
        <w:tc>
          <w:tcPr>
            <w:tcW w:w="1344" w:type="dxa"/>
            <w:vAlign w:val="center"/>
          </w:tcPr>
          <w:p w:rsidR="00525419" w:rsidRDefault="00EE1CF7">
            <w:pPr>
              <w:jc w:val="center"/>
              <w:rPr>
                <w:rFonts w:ascii="Times New Roman" w:hAnsi="Times New Roman"/>
                <w:bCs/>
                <w:kern w:val="0"/>
                <w:szCs w:val="21"/>
                <w:lang w:bidi="ar"/>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0.1</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1.5</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kern w:val="0"/>
                <w:szCs w:val="21"/>
                <w:lang w:bidi="ar"/>
              </w:rPr>
            </w:pPr>
            <w:r>
              <w:rPr>
                <w:rFonts w:ascii="Times New Roman" w:hAnsi="Times New Roman"/>
                <w:kern w:val="0"/>
                <w:szCs w:val="21"/>
                <w:lang w:bidi="ar"/>
              </w:rPr>
              <w:t>二苯并</w:t>
            </w:r>
            <w:r>
              <w:rPr>
                <w:rFonts w:ascii="Times New Roman" w:hAnsi="Times New Roman"/>
                <w:szCs w:val="21"/>
              </w:rPr>
              <w:t>[a</w:t>
            </w:r>
            <w:r>
              <w:rPr>
                <w:rFonts w:ascii="Times New Roman" w:hAnsi="Times New Roman"/>
                <w:szCs w:val="21"/>
              </w:rPr>
              <w:t>，</w:t>
            </w:r>
            <w:r>
              <w:rPr>
                <w:rFonts w:ascii="Times New Roman" w:hAnsi="Times New Roman"/>
                <w:szCs w:val="21"/>
              </w:rPr>
              <w:t>h]</w:t>
            </w:r>
            <w:r>
              <w:rPr>
                <w:rFonts w:ascii="Times New Roman" w:hAnsi="Times New Roman"/>
                <w:szCs w:val="21"/>
              </w:rPr>
              <w:t>蒽</w:t>
            </w:r>
          </w:p>
        </w:tc>
        <w:tc>
          <w:tcPr>
            <w:tcW w:w="1344" w:type="dxa"/>
            <w:vAlign w:val="center"/>
          </w:tcPr>
          <w:p w:rsidR="00525419" w:rsidRDefault="00EE1CF7">
            <w:pPr>
              <w:widowControl/>
              <w:jc w:val="center"/>
              <w:textAlignment w:val="center"/>
              <w:rPr>
                <w:rFonts w:ascii="Times New Roman" w:hAnsi="Times New Roman"/>
                <w:bCs/>
                <w:kern w:val="0"/>
                <w:szCs w:val="21"/>
                <w:lang w:bidi="ar"/>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0.1</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1.5</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kern w:val="0"/>
                <w:szCs w:val="21"/>
                <w:lang w:bidi="ar"/>
              </w:rPr>
            </w:pPr>
            <w:r>
              <w:rPr>
                <w:rFonts w:ascii="Times New Roman" w:hAnsi="Times New Roman"/>
                <w:kern w:val="0"/>
                <w:szCs w:val="21"/>
                <w:lang w:bidi="ar"/>
              </w:rPr>
              <w:t>茚并</w:t>
            </w:r>
            <w:r>
              <w:rPr>
                <w:rFonts w:ascii="Times New Roman" w:hAnsi="Times New Roman"/>
                <w:kern w:val="0"/>
                <w:szCs w:val="21"/>
                <w:lang w:bidi="ar"/>
              </w:rPr>
              <w:t>[1</w:t>
            </w:r>
            <w:r>
              <w:rPr>
                <w:rFonts w:ascii="Times New Roman" w:hAnsi="Times New Roman"/>
                <w:kern w:val="0"/>
                <w:szCs w:val="21"/>
                <w:lang w:bidi="ar"/>
              </w:rPr>
              <w:t>、</w:t>
            </w:r>
            <w:r>
              <w:rPr>
                <w:rFonts w:ascii="Times New Roman" w:hAnsi="Times New Roman"/>
                <w:kern w:val="0"/>
                <w:szCs w:val="21"/>
                <w:lang w:bidi="ar"/>
              </w:rPr>
              <w:t>2</w:t>
            </w:r>
            <w:r>
              <w:rPr>
                <w:rFonts w:ascii="Times New Roman" w:hAnsi="Times New Roman"/>
                <w:kern w:val="0"/>
                <w:szCs w:val="21"/>
                <w:lang w:bidi="ar"/>
              </w:rPr>
              <w:t>、</w:t>
            </w:r>
            <w:r>
              <w:rPr>
                <w:rFonts w:ascii="Times New Roman" w:hAnsi="Times New Roman"/>
                <w:kern w:val="0"/>
                <w:szCs w:val="21"/>
                <w:lang w:bidi="ar"/>
              </w:rPr>
              <w:t>3-cd]</w:t>
            </w:r>
            <w:r>
              <w:rPr>
                <w:rFonts w:ascii="Times New Roman" w:hAnsi="Times New Roman"/>
                <w:kern w:val="0"/>
                <w:szCs w:val="21"/>
                <w:lang w:bidi="ar"/>
              </w:rPr>
              <w:t>芘</w:t>
            </w:r>
          </w:p>
        </w:tc>
        <w:tc>
          <w:tcPr>
            <w:tcW w:w="1344" w:type="dxa"/>
            <w:vAlign w:val="center"/>
          </w:tcPr>
          <w:p w:rsidR="00525419" w:rsidRDefault="00EE1CF7">
            <w:pPr>
              <w:jc w:val="center"/>
              <w:rPr>
                <w:rFonts w:ascii="Times New Roman" w:hAnsi="Times New Roman"/>
                <w:bCs/>
                <w:kern w:val="0"/>
                <w:szCs w:val="21"/>
                <w:lang w:bidi="ar"/>
              </w:rPr>
            </w:pPr>
            <w:r>
              <w:rPr>
                <w:rFonts w:ascii="Times New Roman" w:hAnsi="Times New Roman"/>
                <w:bCs/>
                <w:kern w:val="0"/>
                <w:szCs w:val="21"/>
                <w:lang w:bidi="ar"/>
              </w:rPr>
              <w:t>ug/kg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0.1</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15</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kern w:val="0"/>
                <w:szCs w:val="21"/>
                <w:lang w:bidi="ar"/>
              </w:rPr>
            </w:pPr>
            <w:r>
              <w:rPr>
                <w:rFonts w:ascii="Times New Roman" w:hAnsi="Times New Roman"/>
                <w:szCs w:val="21"/>
              </w:rPr>
              <w:t>2-</w:t>
            </w:r>
            <w:r>
              <w:rPr>
                <w:rFonts w:ascii="Times New Roman" w:hAnsi="Times New Roman"/>
                <w:szCs w:val="21"/>
              </w:rPr>
              <w:t>氯酚</w:t>
            </w:r>
          </w:p>
        </w:tc>
        <w:tc>
          <w:tcPr>
            <w:tcW w:w="1344" w:type="dxa"/>
            <w:vAlign w:val="center"/>
          </w:tcPr>
          <w:p w:rsidR="00525419" w:rsidRDefault="00EE1CF7">
            <w:pPr>
              <w:widowControl/>
              <w:jc w:val="center"/>
              <w:textAlignment w:val="center"/>
              <w:rPr>
                <w:rFonts w:ascii="Times New Roman" w:hAnsi="Times New Roman"/>
                <w:kern w:val="0"/>
                <w:szCs w:val="21"/>
                <w:lang w:bidi="ar"/>
              </w:rPr>
            </w:pPr>
            <w:r>
              <w:rPr>
                <w:rFonts w:ascii="Times New Roman" w:hAnsi="Times New Roman"/>
                <w:kern w:val="0"/>
                <w:szCs w:val="21"/>
                <w:lang w:bidi="ar"/>
              </w:rPr>
              <w:t>mg/kg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0.06</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2480</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kern w:val="0"/>
                <w:szCs w:val="21"/>
                <w:lang w:bidi="ar"/>
              </w:rPr>
            </w:pPr>
            <w:r>
              <w:rPr>
                <w:rFonts w:ascii="Times New Roman" w:hAnsi="Times New Roman"/>
                <w:szCs w:val="21"/>
              </w:rPr>
              <w:t>苯胺</w:t>
            </w:r>
          </w:p>
        </w:tc>
        <w:tc>
          <w:tcPr>
            <w:tcW w:w="1344" w:type="dxa"/>
            <w:vAlign w:val="center"/>
          </w:tcPr>
          <w:p w:rsidR="00525419" w:rsidRDefault="00EE1CF7">
            <w:pPr>
              <w:widowControl/>
              <w:jc w:val="center"/>
              <w:textAlignment w:val="center"/>
              <w:rPr>
                <w:rFonts w:ascii="Times New Roman" w:hAnsi="Times New Roman"/>
                <w:kern w:val="0"/>
                <w:szCs w:val="21"/>
                <w:lang w:bidi="ar"/>
              </w:rPr>
            </w:pPr>
            <w:r>
              <w:rPr>
                <w:rFonts w:ascii="Times New Roman" w:hAnsi="Times New Roman"/>
                <w:szCs w:val="21"/>
              </w:rPr>
              <w:t>mg/kg</w:t>
            </w:r>
          </w:p>
        </w:tc>
        <w:tc>
          <w:tcPr>
            <w:tcW w:w="1729" w:type="dxa"/>
            <w:vAlign w:val="center"/>
          </w:tcPr>
          <w:p w:rsidR="00525419" w:rsidRDefault="00EE1CF7">
            <w:pPr>
              <w:jc w:val="center"/>
              <w:rPr>
                <w:rFonts w:ascii="Times New Roman" w:hAnsi="Times New Roman"/>
                <w:szCs w:val="21"/>
              </w:rPr>
            </w:pPr>
            <w:r>
              <w:rPr>
                <w:rFonts w:ascii="Times New Roman" w:hAnsi="Times New Roman"/>
                <w:bCs/>
                <w:szCs w:val="21"/>
              </w:rPr>
              <w:t>＜</w:t>
            </w:r>
            <w:r>
              <w:rPr>
                <w:rFonts w:ascii="Times New Roman" w:hAnsi="Times New Roman"/>
                <w:bCs/>
                <w:szCs w:val="21"/>
              </w:rPr>
              <w:t>0.1</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260</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widowControl/>
              <w:jc w:val="center"/>
              <w:textAlignment w:val="center"/>
              <w:rPr>
                <w:rFonts w:ascii="Times New Roman" w:hAnsi="Times New Roman"/>
                <w:kern w:val="0"/>
                <w:szCs w:val="21"/>
                <w:lang w:bidi="ar"/>
              </w:rPr>
            </w:pPr>
            <w:r>
              <w:rPr>
                <w:rFonts w:ascii="Times New Roman" w:hAnsi="Times New Roman"/>
                <w:szCs w:val="21"/>
              </w:rPr>
              <w:t>硝基苯</w:t>
            </w:r>
          </w:p>
        </w:tc>
        <w:tc>
          <w:tcPr>
            <w:tcW w:w="1344" w:type="dxa"/>
            <w:vAlign w:val="center"/>
          </w:tcPr>
          <w:p w:rsidR="00525419" w:rsidRDefault="00EE1CF7">
            <w:pPr>
              <w:widowControl/>
              <w:jc w:val="center"/>
              <w:textAlignment w:val="center"/>
              <w:rPr>
                <w:rFonts w:ascii="Times New Roman" w:hAnsi="Times New Roman"/>
                <w:kern w:val="0"/>
                <w:szCs w:val="21"/>
                <w:lang w:bidi="ar"/>
              </w:rPr>
            </w:pPr>
            <w:r>
              <w:rPr>
                <w:rFonts w:ascii="Times New Roman" w:hAnsi="Times New Roman"/>
                <w:szCs w:val="21"/>
              </w:rPr>
              <w:t>mg/kg</w:t>
            </w:r>
          </w:p>
        </w:tc>
        <w:tc>
          <w:tcPr>
            <w:tcW w:w="1729" w:type="dxa"/>
            <w:vAlign w:val="center"/>
          </w:tcPr>
          <w:p w:rsidR="00525419" w:rsidRDefault="00EE1CF7">
            <w:pPr>
              <w:jc w:val="center"/>
              <w:rPr>
                <w:rFonts w:ascii="Times New Roman" w:hAnsi="Times New Roman"/>
                <w:szCs w:val="21"/>
              </w:rPr>
            </w:pPr>
            <w:r>
              <w:rPr>
                <w:rFonts w:ascii="Times New Roman" w:hAnsi="Times New Roman"/>
                <w:bCs/>
                <w:szCs w:val="21"/>
              </w:rPr>
              <w:t>＜</w:t>
            </w:r>
            <w:r>
              <w:rPr>
                <w:rFonts w:ascii="Times New Roman" w:hAnsi="Times New Roman"/>
                <w:bCs/>
                <w:szCs w:val="21"/>
              </w:rPr>
              <w:t>0.09</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76</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r w:rsidR="00525419">
        <w:trPr>
          <w:trHeight w:val="397"/>
          <w:jc w:val="center"/>
        </w:trPr>
        <w:tc>
          <w:tcPr>
            <w:tcW w:w="2633" w:type="dxa"/>
            <w:vAlign w:val="center"/>
          </w:tcPr>
          <w:p w:rsidR="00525419" w:rsidRDefault="00EE1CF7">
            <w:pPr>
              <w:jc w:val="center"/>
              <w:rPr>
                <w:rFonts w:ascii="Times New Roman" w:hAnsi="Times New Roman"/>
                <w:kern w:val="0"/>
                <w:szCs w:val="21"/>
                <w:lang w:bidi="ar"/>
              </w:rPr>
            </w:pPr>
            <w:r>
              <w:rPr>
                <w:rFonts w:ascii="Times New Roman" w:hAnsi="Times New Roman"/>
                <w:bCs/>
                <w:kern w:val="0"/>
                <w:szCs w:val="21"/>
                <w:lang w:bidi="ar"/>
              </w:rPr>
              <w:t>六价铬</w:t>
            </w:r>
          </w:p>
        </w:tc>
        <w:tc>
          <w:tcPr>
            <w:tcW w:w="1344" w:type="dxa"/>
            <w:vAlign w:val="center"/>
          </w:tcPr>
          <w:p w:rsidR="00525419" w:rsidRDefault="00EE1CF7">
            <w:pPr>
              <w:jc w:val="center"/>
              <w:rPr>
                <w:rFonts w:ascii="Times New Roman" w:hAnsi="Times New Roman"/>
                <w:kern w:val="0"/>
                <w:szCs w:val="21"/>
                <w:lang w:bidi="ar"/>
              </w:rPr>
            </w:pPr>
            <w:r>
              <w:rPr>
                <w:rFonts w:ascii="Times New Roman" w:hAnsi="Times New Roman"/>
                <w:bCs/>
                <w:kern w:val="0"/>
                <w:szCs w:val="21"/>
                <w:lang w:bidi="ar"/>
              </w:rPr>
              <w:t>mg/kg</w:t>
            </w:r>
          </w:p>
        </w:tc>
        <w:tc>
          <w:tcPr>
            <w:tcW w:w="1729" w:type="dxa"/>
            <w:vAlign w:val="center"/>
          </w:tcPr>
          <w:p w:rsidR="00525419" w:rsidRDefault="00EE1CF7">
            <w:pPr>
              <w:jc w:val="center"/>
              <w:rPr>
                <w:rFonts w:ascii="Times New Roman" w:hAnsi="Times New Roman"/>
                <w:bCs/>
                <w:szCs w:val="21"/>
              </w:rPr>
            </w:pPr>
            <w:r>
              <w:rPr>
                <w:rFonts w:ascii="Times New Roman" w:hAnsi="Times New Roman"/>
                <w:bCs/>
                <w:szCs w:val="21"/>
              </w:rPr>
              <w:t>＜</w:t>
            </w:r>
            <w:r>
              <w:rPr>
                <w:rFonts w:ascii="Times New Roman" w:hAnsi="Times New Roman"/>
                <w:bCs/>
                <w:szCs w:val="21"/>
              </w:rPr>
              <w:t>2</w:t>
            </w:r>
          </w:p>
        </w:tc>
        <w:tc>
          <w:tcPr>
            <w:tcW w:w="1509" w:type="dxa"/>
            <w:vAlign w:val="center"/>
          </w:tcPr>
          <w:p w:rsidR="00525419" w:rsidRDefault="00EE1CF7">
            <w:pPr>
              <w:widowControl/>
              <w:jc w:val="center"/>
              <w:rPr>
                <w:rFonts w:ascii="Times New Roman" w:hAnsi="Times New Roman"/>
                <w:kern w:val="0"/>
              </w:rPr>
            </w:pPr>
            <w:r>
              <w:rPr>
                <w:rFonts w:ascii="Times New Roman" w:hAnsi="Times New Roman"/>
                <w:kern w:val="0"/>
              </w:rPr>
              <w:t>5.7</w:t>
            </w:r>
          </w:p>
        </w:tc>
        <w:tc>
          <w:tcPr>
            <w:tcW w:w="1509" w:type="dxa"/>
            <w:vAlign w:val="center"/>
          </w:tcPr>
          <w:p w:rsidR="00525419" w:rsidRDefault="00EE1CF7">
            <w:pPr>
              <w:snapToGrid w:val="0"/>
              <w:spacing w:line="360" w:lineRule="auto"/>
              <w:jc w:val="center"/>
              <w:rPr>
                <w:rFonts w:ascii="Times New Roman" w:hAnsi="Times New Roman"/>
                <w:sz w:val="18"/>
                <w:szCs w:val="18"/>
              </w:rPr>
            </w:pPr>
            <w:r>
              <w:rPr>
                <w:rFonts w:ascii="Times New Roman" w:hAnsi="Times New Roman"/>
                <w:sz w:val="18"/>
                <w:szCs w:val="18"/>
              </w:rPr>
              <w:t>达标</w:t>
            </w:r>
          </w:p>
        </w:tc>
      </w:tr>
    </w:tbl>
    <w:p w:rsidR="00525419" w:rsidRDefault="00EE1CF7">
      <w:pPr>
        <w:widowControl/>
        <w:spacing w:line="360" w:lineRule="auto"/>
        <w:ind w:firstLineChars="200" w:firstLine="480"/>
        <w:jc w:val="left"/>
        <w:rPr>
          <w:rFonts w:ascii="Times New Roman" w:hAnsi="Times New Roman"/>
          <w:kern w:val="0"/>
          <w:sz w:val="24"/>
          <w:szCs w:val="24"/>
          <w:lang w:val="zh-CN"/>
        </w:rPr>
      </w:pPr>
      <w:r>
        <w:rPr>
          <w:rFonts w:ascii="Times New Roman" w:hAnsi="Times New Roman"/>
          <w:kern w:val="0"/>
          <w:sz w:val="24"/>
          <w:szCs w:val="24"/>
          <w:lang w:val="zh-CN"/>
        </w:rPr>
        <w:t>由表</w:t>
      </w:r>
      <w:r>
        <w:rPr>
          <w:rFonts w:ascii="Times New Roman" w:hAnsi="Times New Roman"/>
          <w:kern w:val="0"/>
          <w:sz w:val="24"/>
          <w:szCs w:val="24"/>
        </w:rPr>
        <w:t>4.3-</w:t>
      </w:r>
      <w:r>
        <w:rPr>
          <w:rFonts w:ascii="Times New Roman" w:hAnsi="Times New Roman" w:hint="eastAsia"/>
          <w:kern w:val="0"/>
          <w:sz w:val="24"/>
          <w:szCs w:val="24"/>
        </w:rPr>
        <w:t>10</w:t>
      </w:r>
      <w:r>
        <w:rPr>
          <w:rFonts w:ascii="Times New Roman" w:hAnsi="Times New Roman"/>
          <w:kern w:val="0"/>
          <w:sz w:val="24"/>
          <w:szCs w:val="24"/>
          <w:lang w:val="zh-CN"/>
        </w:rPr>
        <w:t>、</w:t>
      </w:r>
      <w:r>
        <w:rPr>
          <w:rFonts w:ascii="Times New Roman" w:hAnsi="Times New Roman"/>
          <w:kern w:val="0"/>
          <w:sz w:val="24"/>
          <w:szCs w:val="24"/>
        </w:rPr>
        <w:t>4.3-</w:t>
      </w:r>
      <w:r>
        <w:rPr>
          <w:rFonts w:ascii="Times New Roman" w:hAnsi="Times New Roman" w:hint="eastAsia"/>
          <w:kern w:val="0"/>
          <w:sz w:val="24"/>
          <w:szCs w:val="24"/>
        </w:rPr>
        <w:t>11</w:t>
      </w:r>
      <w:r>
        <w:rPr>
          <w:rFonts w:ascii="Times New Roman" w:hAnsi="Times New Roman"/>
          <w:kern w:val="0"/>
          <w:sz w:val="24"/>
          <w:szCs w:val="24"/>
          <w:lang w:val="zh-CN"/>
        </w:rPr>
        <w:t>可知，项目区及周边各监测点土壤中的各监测因子均能满足《土壤环境质量标准</w:t>
      </w:r>
      <w:r>
        <w:rPr>
          <w:rFonts w:ascii="Times New Roman" w:hAnsi="Times New Roman"/>
          <w:kern w:val="0"/>
          <w:sz w:val="24"/>
          <w:szCs w:val="24"/>
          <w:lang w:val="zh-CN"/>
        </w:rPr>
        <w:t xml:space="preserve"> </w:t>
      </w:r>
      <w:r>
        <w:rPr>
          <w:rFonts w:ascii="Times New Roman" w:hAnsi="Times New Roman"/>
          <w:kern w:val="0"/>
          <w:sz w:val="24"/>
          <w:szCs w:val="24"/>
          <w:lang w:val="zh-CN"/>
        </w:rPr>
        <w:t>建设用地土壤污染风险管控标准》（</w:t>
      </w:r>
      <w:r>
        <w:rPr>
          <w:rFonts w:ascii="Times New Roman" w:hAnsi="Times New Roman"/>
          <w:kern w:val="0"/>
          <w:sz w:val="24"/>
          <w:szCs w:val="24"/>
          <w:lang w:val="zh-CN"/>
        </w:rPr>
        <w:t>GB36600-2018</w:t>
      </w:r>
      <w:r>
        <w:rPr>
          <w:rFonts w:ascii="Times New Roman" w:hAnsi="Times New Roman"/>
          <w:kern w:val="0"/>
          <w:sz w:val="24"/>
          <w:szCs w:val="24"/>
          <w:lang w:val="zh-CN"/>
        </w:rPr>
        <w:t>）第二类用地筛选限值，说明目前区域土壤环境受到的污染影响较小。</w:t>
      </w:r>
    </w:p>
    <w:p w:rsidR="00525419" w:rsidRDefault="00EE1CF7">
      <w:pPr>
        <w:pStyle w:val="3a"/>
        <w:spacing w:beforeLines="50" w:before="159" w:after="156" w:line="360" w:lineRule="auto"/>
        <w:jc w:val="left"/>
        <w:rPr>
          <w:rFonts w:ascii="Times New Roman" w:eastAsia="华文楷体" w:hAnsi="Times New Roman"/>
        </w:rPr>
      </w:pPr>
      <w:r>
        <w:rPr>
          <w:rFonts w:ascii="Times New Roman" w:eastAsia="华文楷体" w:hAnsi="Times New Roman"/>
        </w:rPr>
        <w:t>4.3.5</w:t>
      </w:r>
      <w:r>
        <w:rPr>
          <w:rFonts w:ascii="Times New Roman" w:eastAsia="华文楷体" w:hAnsi="Times New Roman"/>
        </w:rPr>
        <w:t>生态环境现状评价</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4.3.5.1</w:t>
      </w:r>
      <w:r>
        <w:rPr>
          <w:rFonts w:ascii="Times New Roman" w:hAnsi="Times New Roman" w:cs="Times New Roman"/>
          <w:kern w:val="44"/>
          <w:sz w:val="24"/>
          <w:szCs w:val="24"/>
        </w:rPr>
        <w:t>生态功能区划</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根据《新疆生态功能区划》，厂址位于天山山地温性草原、森林生态区，北天山南坡吐鲁番</w:t>
      </w:r>
      <w:r>
        <w:rPr>
          <w:rFonts w:ascii="Times New Roman" w:hAnsi="Times New Roman"/>
          <w:sz w:val="24"/>
        </w:rPr>
        <w:t>—</w:t>
      </w:r>
      <w:r>
        <w:rPr>
          <w:rFonts w:ascii="Times New Roman" w:hAnsi="Times New Roman"/>
          <w:sz w:val="24"/>
        </w:rPr>
        <w:t>哈密盆地戈壁荒漠、绿洲农业生态亚区，吐鲁番盆地绿洲外围防风固沙、油气开发生态功能区。</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4.3.5.2</w:t>
      </w:r>
      <w:r>
        <w:rPr>
          <w:rFonts w:ascii="Times New Roman" w:hAnsi="Times New Roman" w:cs="Times New Roman"/>
          <w:kern w:val="44"/>
          <w:sz w:val="24"/>
          <w:szCs w:val="24"/>
        </w:rPr>
        <w:t>生态环境现状调查与评价</w:t>
      </w:r>
    </w:p>
    <w:p w:rsidR="00525419" w:rsidRDefault="00EE1CF7">
      <w:pPr>
        <w:spacing w:line="360" w:lineRule="auto"/>
        <w:ind w:firstLineChars="200" w:firstLine="480"/>
        <w:rPr>
          <w:rFonts w:ascii="Times New Roman" w:hAnsi="Times New Roman"/>
          <w:kern w:val="0"/>
          <w:sz w:val="24"/>
          <w:szCs w:val="20"/>
          <w:lang w:val="zh-CN"/>
        </w:rPr>
      </w:pPr>
      <w:r>
        <w:rPr>
          <w:rFonts w:ascii="Times New Roman" w:hAnsi="Times New Roman"/>
          <w:kern w:val="0"/>
          <w:sz w:val="24"/>
          <w:szCs w:val="20"/>
          <w:lang w:val="zh-CN"/>
        </w:rPr>
        <w:t>（</w:t>
      </w:r>
      <w:r>
        <w:rPr>
          <w:rFonts w:ascii="Times New Roman" w:hAnsi="Times New Roman"/>
          <w:kern w:val="0"/>
          <w:sz w:val="24"/>
          <w:szCs w:val="20"/>
        </w:rPr>
        <w:t>1</w:t>
      </w:r>
      <w:r>
        <w:rPr>
          <w:rFonts w:ascii="Times New Roman" w:hAnsi="Times New Roman"/>
          <w:kern w:val="0"/>
          <w:sz w:val="24"/>
          <w:szCs w:val="20"/>
          <w:lang w:val="zh-CN"/>
        </w:rPr>
        <w:t>）土壤</w:t>
      </w:r>
    </w:p>
    <w:p w:rsidR="00525419" w:rsidRDefault="00EE1CF7">
      <w:pPr>
        <w:spacing w:line="360" w:lineRule="auto"/>
        <w:ind w:firstLineChars="200" w:firstLine="480"/>
        <w:rPr>
          <w:rFonts w:ascii="Times New Roman" w:hAnsi="Times New Roman"/>
          <w:sz w:val="24"/>
          <w:szCs w:val="20"/>
        </w:rPr>
      </w:pPr>
      <w:r>
        <w:rPr>
          <w:rFonts w:ascii="Times New Roman" w:hAnsi="Times New Roman"/>
          <w:kern w:val="0"/>
          <w:sz w:val="24"/>
          <w:szCs w:val="20"/>
          <w:lang w:val="zh-CN"/>
        </w:rPr>
        <w:t>项目厂址所在园区土壤类型较简单，仅有棕漠土一种类型土壤。</w:t>
      </w:r>
    </w:p>
    <w:p w:rsidR="00525419" w:rsidRDefault="00EE1CF7">
      <w:pPr>
        <w:spacing w:line="360" w:lineRule="auto"/>
        <w:ind w:firstLineChars="225" w:firstLine="540"/>
        <w:rPr>
          <w:rFonts w:ascii="Times New Roman" w:hAnsi="Times New Roman"/>
          <w:kern w:val="0"/>
          <w:sz w:val="24"/>
          <w:szCs w:val="20"/>
          <w:lang w:val="zh-CN"/>
        </w:rPr>
      </w:pPr>
      <w:r>
        <w:rPr>
          <w:rFonts w:ascii="Times New Roman" w:hAnsi="Times New Roman"/>
          <w:kern w:val="0"/>
          <w:sz w:val="24"/>
          <w:szCs w:val="20"/>
          <w:lang w:val="zh-CN"/>
        </w:rPr>
        <w:t>（</w:t>
      </w:r>
      <w:r>
        <w:rPr>
          <w:rFonts w:ascii="Times New Roman" w:hAnsi="Times New Roman"/>
          <w:kern w:val="0"/>
          <w:sz w:val="24"/>
          <w:szCs w:val="20"/>
        </w:rPr>
        <w:t>2</w:t>
      </w:r>
      <w:r>
        <w:rPr>
          <w:rFonts w:ascii="Times New Roman" w:hAnsi="Times New Roman"/>
          <w:kern w:val="0"/>
          <w:sz w:val="24"/>
          <w:szCs w:val="20"/>
          <w:lang w:val="zh-CN"/>
        </w:rPr>
        <w:t>）植被</w:t>
      </w:r>
    </w:p>
    <w:p w:rsidR="00525419" w:rsidRDefault="00EE1CF7">
      <w:pPr>
        <w:spacing w:line="360" w:lineRule="auto"/>
        <w:ind w:firstLineChars="225" w:firstLine="540"/>
        <w:rPr>
          <w:rFonts w:ascii="Times New Roman" w:hAnsi="Times New Roman"/>
          <w:kern w:val="0"/>
          <w:sz w:val="24"/>
          <w:szCs w:val="20"/>
          <w:lang w:val="zh-CN"/>
        </w:rPr>
      </w:pPr>
      <w:r>
        <w:rPr>
          <w:rFonts w:ascii="Times New Roman" w:hAnsi="Times New Roman"/>
          <w:kern w:val="0"/>
          <w:sz w:val="24"/>
          <w:szCs w:val="20"/>
          <w:lang w:val="zh-CN"/>
        </w:rPr>
        <w:t>根据《新疆植被及其利用》（中国科学研新疆综合考察队和中国科学院植物研究所主编，</w:t>
      </w:r>
      <w:r>
        <w:rPr>
          <w:rFonts w:ascii="Times New Roman" w:hAnsi="Times New Roman"/>
          <w:kern w:val="0"/>
          <w:sz w:val="24"/>
          <w:szCs w:val="20"/>
          <w:lang w:val="zh-CN"/>
        </w:rPr>
        <w:t>1978</w:t>
      </w:r>
      <w:r>
        <w:rPr>
          <w:rFonts w:ascii="Times New Roman" w:hAnsi="Times New Roman"/>
          <w:kern w:val="0"/>
          <w:sz w:val="24"/>
          <w:szCs w:val="20"/>
          <w:lang w:val="zh-CN"/>
        </w:rPr>
        <w:t>年，科学出版社）植被区域划分结果，本项目厂址所在区域为新疆荒漠区</w:t>
      </w:r>
      <w:r>
        <w:rPr>
          <w:rFonts w:ascii="Times New Roman" w:hAnsi="Times New Roman"/>
          <w:kern w:val="0"/>
          <w:sz w:val="24"/>
          <w:szCs w:val="20"/>
          <w:lang w:val="zh-CN"/>
        </w:rPr>
        <w:t>—</w:t>
      </w:r>
      <w:r>
        <w:rPr>
          <w:rFonts w:ascii="Times New Roman" w:hAnsi="Times New Roman"/>
          <w:kern w:val="0"/>
          <w:sz w:val="24"/>
          <w:szCs w:val="20"/>
          <w:lang w:val="zh-CN"/>
        </w:rPr>
        <w:t>东疆</w:t>
      </w:r>
      <w:r>
        <w:rPr>
          <w:rFonts w:ascii="Times New Roman" w:hAnsi="Times New Roman"/>
          <w:kern w:val="0"/>
          <w:sz w:val="24"/>
          <w:szCs w:val="20"/>
          <w:lang w:val="zh-CN"/>
        </w:rPr>
        <w:t>—</w:t>
      </w:r>
      <w:r>
        <w:rPr>
          <w:rFonts w:ascii="Times New Roman" w:hAnsi="Times New Roman"/>
          <w:kern w:val="0"/>
          <w:sz w:val="24"/>
          <w:szCs w:val="20"/>
          <w:lang w:val="zh-CN"/>
        </w:rPr>
        <w:t>南疆荒漠亚区－东准葛尔</w:t>
      </w:r>
      <w:r>
        <w:rPr>
          <w:rFonts w:ascii="Times New Roman" w:hAnsi="Times New Roman"/>
          <w:kern w:val="0"/>
          <w:sz w:val="24"/>
          <w:szCs w:val="20"/>
          <w:lang w:val="zh-CN"/>
        </w:rPr>
        <w:t>-</w:t>
      </w:r>
      <w:r>
        <w:rPr>
          <w:rFonts w:ascii="Times New Roman" w:hAnsi="Times New Roman"/>
          <w:kern w:val="0"/>
          <w:sz w:val="24"/>
          <w:szCs w:val="20"/>
          <w:lang w:val="zh-CN"/>
        </w:rPr>
        <w:t>东疆荒漠省－东疆荒漠亚省－吐鲁番州，其植被类型主要为亚洲中部的典型荒漠。</w:t>
      </w:r>
    </w:p>
    <w:p w:rsidR="00525419" w:rsidRDefault="00EE1CF7">
      <w:pPr>
        <w:spacing w:line="360" w:lineRule="auto"/>
        <w:ind w:firstLineChars="225" w:firstLine="540"/>
        <w:rPr>
          <w:rFonts w:ascii="Times New Roman" w:hAnsi="Times New Roman"/>
          <w:kern w:val="0"/>
          <w:sz w:val="24"/>
          <w:szCs w:val="20"/>
          <w:lang w:val="zh-CN"/>
        </w:rPr>
      </w:pPr>
      <w:r>
        <w:rPr>
          <w:rFonts w:ascii="Times New Roman" w:hAnsi="Times New Roman"/>
          <w:kern w:val="0"/>
          <w:sz w:val="24"/>
          <w:szCs w:val="20"/>
          <w:lang w:val="zh-CN"/>
        </w:rPr>
        <w:t>项目厂址所在园区自然植被极其稀疏，自然地表基本为裸地，无植被覆盖，洪水冲沟旁可见极少量霸王、无叶假木贼、蒿及合头草等。</w:t>
      </w:r>
    </w:p>
    <w:p w:rsidR="00525419" w:rsidRDefault="00EE1CF7">
      <w:pPr>
        <w:spacing w:line="360" w:lineRule="auto"/>
        <w:ind w:firstLineChars="200" w:firstLine="480"/>
        <w:rPr>
          <w:rFonts w:ascii="Times New Roman" w:hAnsi="Times New Roman"/>
          <w:kern w:val="0"/>
          <w:sz w:val="24"/>
        </w:rPr>
      </w:pPr>
      <w:r>
        <w:rPr>
          <w:rFonts w:ascii="Times New Roman" w:hAnsi="Times New Roman"/>
          <w:kern w:val="0"/>
          <w:sz w:val="24"/>
        </w:rPr>
        <w:t>（</w:t>
      </w:r>
      <w:r>
        <w:rPr>
          <w:rFonts w:ascii="Times New Roman" w:hAnsi="Times New Roman"/>
          <w:kern w:val="0"/>
          <w:sz w:val="24"/>
        </w:rPr>
        <w:t>3</w:t>
      </w:r>
      <w:r>
        <w:rPr>
          <w:rFonts w:ascii="Times New Roman" w:hAnsi="Times New Roman"/>
          <w:kern w:val="0"/>
          <w:sz w:val="24"/>
        </w:rPr>
        <w:t>）动物</w:t>
      </w:r>
    </w:p>
    <w:p w:rsidR="00525419" w:rsidRDefault="00EE1CF7">
      <w:pPr>
        <w:spacing w:line="360" w:lineRule="auto"/>
        <w:ind w:firstLineChars="200" w:firstLine="480"/>
        <w:rPr>
          <w:rFonts w:ascii="Times New Roman" w:hAnsi="Times New Roman"/>
          <w:sz w:val="24"/>
        </w:rPr>
      </w:pPr>
      <w:r>
        <w:rPr>
          <w:rFonts w:ascii="Times New Roman" w:hAnsi="Times New Roman"/>
          <w:kern w:val="0"/>
          <w:sz w:val="24"/>
        </w:rPr>
        <w:t>根据新疆动物地理区划，</w:t>
      </w:r>
      <w:r>
        <w:rPr>
          <w:rFonts w:ascii="Times New Roman" w:hAnsi="Times New Roman"/>
          <w:kern w:val="0"/>
          <w:sz w:val="24"/>
          <w:szCs w:val="20"/>
          <w:lang w:val="zh-CN"/>
        </w:rPr>
        <w:t>项目厂址所在园区</w:t>
      </w:r>
      <w:r>
        <w:rPr>
          <w:rFonts w:ascii="Times New Roman" w:hAnsi="Times New Roman"/>
          <w:sz w:val="24"/>
        </w:rPr>
        <w:t>属于古北界－中亚亚界－蒙新区</w:t>
      </w:r>
      <w:r>
        <w:rPr>
          <w:rFonts w:ascii="Times New Roman" w:hAnsi="Times New Roman"/>
          <w:sz w:val="24"/>
        </w:rPr>
        <w:lastRenderedPageBreak/>
        <w:t>－西部荒漠亚区－东疆小区，分布于该区的动物以北方型耐寒种类和中亚型耐旱种类为主。人类集中生活的绿洲区动物种类相对较丰富，分布有绿蟾蜍、大耳蝠、小家鼠、戴胜、红尾伯劳等绿洲动物，数量也比较多。</w:t>
      </w:r>
    </w:p>
    <w:p w:rsidR="00525419" w:rsidRDefault="00EE1CF7">
      <w:pPr>
        <w:spacing w:line="360" w:lineRule="auto"/>
        <w:ind w:firstLineChars="200" w:firstLine="480"/>
        <w:rPr>
          <w:rFonts w:ascii="Times New Roman" w:hAnsi="Times New Roman"/>
          <w:sz w:val="24"/>
        </w:rPr>
      </w:pPr>
      <w:r>
        <w:rPr>
          <w:rFonts w:ascii="Times New Roman" w:hAnsi="Times New Roman"/>
          <w:kern w:val="0"/>
          <w:sz w:val="24"/>
          <w:szCs w:val="20"/>
          <w:lang w:val="zh-CN"/>
        </w:rPr>
        <w:t>项目厂址所在园区内</w:t>
      </w:r>
      <w:r>
        <w:rPr>
          <w:rFonts w:ascii="Times New Roman" w:hAnsi="Times New Roman"/>
          <w:sz w:val="24"/>
        </w:rPr>
        <w:t>野生动物极少分布，仅分布有少量的荒漠动物。项目区由于人类的开发，区域缺乏大型哺乳动物，没有地区特有和珍稀类动物。</w:t>
      </w:r>
    </w:p>
    <w:p w:rsidR="00525419" w:rsidRDefault="00525419">
      <w:pPr>
        <w:rPr>
          <w:rFonts w:ascii="Times New Roman" w:hAnsi="Times New Roman"/>
        </w:rPr>
      </w:pPr>
    </w:p>
    <w:p w:rsidR="00525419" w:rsidRDefault="00EE1CF7">
      <w:pPr>
        <w:rPr>
          <w:rFonts w:ascii="Times New Roman" w:eastAsia="楷体_GB2312" w:hAnsi="Times New Roman"/>
          <w:sz w:val="44"/>
        </w:rPr>
      </w:pPr>
      <w:r>
        <w:rPr>
          <w:rFonts w:ascii="Times New Roman" w:eastAsia="楷体_GB2312" w:hAnsi="Times New Roman"/>
          <w:sz w:val="44"/>
        </w:rPr>
        <w:br w:type="page"/>
      </w:r>
    </w:p>
    <w:p w:rsidR="00525419" w:rsidRDefault="00EE1CF7">
      <w:pPr>
        <w:pStyle w:val="1a"/>
        <w:spacing w:before="120" w:after="0" w:line="360" w:lineRule="auto"/>
        <w:jc w:val="center"/>
        <w:rPr>
          <w:rFonts w:ascii="Times New Roman" w:eastAsia="楷体_GB2312" w:hAnsi="Times New Roman"/>
        </w:rPr>
      </w:pPr>
      <w:bookmarkStart w:id="101" w:name="_Toc31700"/>
      <w:r>
        <w:rPr>
          <w:rFonts w:ascii="Times New Roman" w:eastAsia="楷体_GB2312" w:hAnsi="Times New Roman"/>
        </w:rPr>
        <w:lastRenderedPageBreak/>
        <w:t>5</w:t>
      </w:r>
      <w:r>
        <w:rPr>
          <w:rFonts w:ascii="Times New Roman" w:eastAsia="楷体_GB2312" w:hAnsi="Times New Roman"/>
        </w:rPr>
        <w:t>环境影响预测与评价</w:t>
      </w:r>
      <w:bookmarkEnd w:id="101"/>
    </w:p>
    <w:p w:rsidR="00525419" w:rsidRDefault="00EE1CF7">
      <w:pPr>
        <w:pStyle w:val="2a"/>
        <w:spacing w:beforeLines="50" w:before="159" w:after="159"/>
        <w:ind w:left="578" w:hanging="578"/>
        <w:rPr>
          <w:rFonts w:ascii="Times New Roman" w:eastAsia="楷体_GB2312" w:hAnsi="Times New Roman"/>
          <w:sz w:val="36"/>
        </w:rPr>
      </w:pPr>
      <w:bookmarkStart w:id="102" w:name="_Toc149708566"/>
      <w:bookmarkStart w:id="103" w:name="_Toc191098187"/>
      <w:bookmarkStart w:id="104" w:name="_Toc193613780"/>
      <w:bookmarkStart w:id="105" w:name="_Toc174339510"/>
      <w:bookmarkStart w:id="106" w:name="_Toc339417194"/>
      <w:bookmarkStart w:id="107" w:name="_Toc174516466"/>
      <w:bookmarkStart w:id="108" w:name="_Toc248716514"/>
      <w:bookmarkStart w:id="109" w:name="_Toc183921264"/>
      <w:bookmarkStart w:id="110" w:name="_Toc149708386"/>
      <w:bookmarkStart w:id="111" w:name="_Toc189621038"/>
      <w:bookmarkStart w:id="112" w:name="_Toc352019957"/>
      <w:bookmarkStart w:id="113" w:name="_Toc176689256"/>
      <w:bookmarkStart w:id="114" w:name="_Toc204657286"/>
      <w:bookmarkStart w:id="115" w:name="_Toc175453176"/>
      <w:bookmarkStart w:id="116" w:name="_Toc193354443"/>
      <w:bookmarkStart w:id="117" w:name="_Toc14349"/>
      <w:bookmarkStart w:id="118" w:name="_Toc192383354"/>
      <w:bookmarkStart w:id="119" w:name="_Toc15968428"/>
      <w:bookmarkStart w:id="120" w:name="_Toc22874548"/>
      <w:r>
        <w:rPr>
          <w:rFonts w:ascii="Times New Roman" w:eastAsia="楷体_GB2312" w:hAnsi="Times New Roman"/>
          <w:sz w:val="36"/>
        </w:rPr>
        <w:t>5.1</w:t>
      </w:r>
      <w:r>
        <w:rPr>
          <w:rFonts w:ascii="Times New Roman" w:eastAsia="楷体_GB2312" w:hAnsi="Times New Roman"/>
          <w:sz w:val="36"/>
        </w:rPr>
        <w:t>运营期大气环境影响预测与评价</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525419" w:rsidRDefault="00EE1CF7">
      <w:pPr>
        <w:pStyle w:val="3a"/>
        <w:spacing w:beforeLines="50" w:before="159" w:after="156" w:line="360" w:lineRule="auto"/>
        <w:jc w:val="left"/>
        <w:rPr>
          <w:rFonts w:ascii="Times New Roman" w:eastAsia="华文楷体" w:hAnsi="Times New Roman"/>
        </w:rPr>
      </w:pPr>
      <w:bookmarkStart w:id="121" w:name="_Toc74990782"/>
      <w:bookmarkStart w:id="122" w:name="_Toc339417195"/>
      <w:bookmarkStart w:id="123" w:name="_Toc352019958"/>
      <w:bookmarkStart w:id="124" w:name="_Toc57433695"/>
      <w:bookmarkStart w:id="125" w:name="_Toc91647386"/>
      <w:bookmarkEnd w:id="119"/>
      <w:bookmarkEnd w:id="120"/>
      <w:r>
        <w:rPr>
          <w:rFonts w:ascii="Times New Roman" w:eastAsia="华文楷体" w:hAnsi="Times New Roman"/>
        </w:rPr>
        <w:t>5.1.1</w:t>
      </w:r>
      <w:bookmarkEnd w:id="121"/>
      <w:bookmarkEnd w:id="122"/>
      <w:bookmarkEnd w:id="123"/>
      <w:bookmarkEnd w:id="124"/>
      <w:bookmarkEnd w:id="125"/>
      <w:r>
        <w:rPr>
          <w:rFonts w:ascii="Times New Roman" w:eastAsia="华文楷体" w:hAnsi="Times New Roman"/>
        </w:rPr>
        <w:t>基准年地面气象资料</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项目常规地面气象观测数据来源于距厂址直线距离约为</w:t>
      </w:r>
      <w:r>
        <w:rPr>
          <w:rFonts w:ascii="Times New Roman" w:hAnsi="Times New Roman"/>
          <w:kern w:val="0"/>
          <w:sz w:val="24"/>
          <w:szCs w:val="24"/>
        </w:rPr>
        <w:t>40km</w:t>
      </w:r>
      <w:r>
        <w:rPr>
          <w:rFonts w:ascii="Times New Roman" w:hAnsi="Times New Roman"/>
          <w:kern w:val="0"/>
          <w:sz w:val="24"/>
          <w:szCs w:val="24"/>
        </w:rPr>
        <w:t>的鄯善县常规地面气象观测站（</w:t>
      </w:r>
      <w:r>
        <w:rPr>
          <w:rFonts w:ascii="Times New Roman" w:hAnsi="Times New Roman"/>
          <w:kern w:val="0"/>
          <w:sz w:val="24"/>
          <w:szCs w:val="24"/>
        </w:rPr>
        <w:t>A51581</w:t>
      </w:r>
      <w:r>
        <w:rPr>
          <w:rFonts w:ascii="Times New Roman" w:hAnsi="Times New Roman"/>
          <w:kern w:val="0"/>
          <w:sz w:val="24"/>
          <w:szCs w:val="24"/>
        </w:rPr>
        <w:t>）。鄯善县气象站位于鄯善县城北郊，地理座标为北纬</w:t>
      </w:r>
      <w:r>
        <w:rPr>
          <w:rFonts w:ascii="Times New Roman" w:hAnsi="Times New Roman"/>
          <w:kern w:val="0"/>
          <w:sz w:val="24"/>
          <w:szCs w:val="24"/>
        </w:rPr>
        <w:t>43°25′01.20″</w:t>
      </w:r>
      <w:r>
        <w:rPr>
          <w:rFonts w:ascii="Times New Roman" w:hAnsi="Times New Roman"/>
          <w:kern w:val="0"/>
          <w:sz w:val="24"/>
          <w:szCs w:val="24"/>
        </w:rPr>
        <w:t>，东经</w:t>
      </w:r>
      <w:r>
        <w:rPr>
          <w:rFonts w:ascii="Times New Roman" w:hAnsi="Times New Roman"/>
          <w:kern w:val="0"/>
          <w:sz w:val="24"/>
          <w:szCs w:val="24"/>
        </w:rPr>
        <w:t>90°22′58.80″</w:t>
      </w:r>
      <w:r>
        <w:rPr>
          <w:rFonts w:ascii="Times New Roman" w:hAnsi="Times New Roman"/>
          <w:kern w:val="0"/>
          <w:sz w:val="24"/>
          <w:szCs w:val="24"/>
        </w:rPr>
        <w:t>，气象站海拔约</w:t>
      </w:r>
      <w:r>
        <w:rPr>
          <w:rFonts w:ascii="Times New Roman" w:hAnsi="Times New Roman"/>
          <w:kern w:val="0"/>
          <w:sz w:val="24"/>
          <w:szCs w:val="24"/>
        </w:rPr>
        <w:t>750.0m</w:t>
      </w:r>
      <w:r>
        <w:rPr>
          <w:rFonts w:ascii="Times New Roman" w:hAnsi="Times New Roman"/>
          <w:kern w:val="0"/>
          <w:sz w:val="24"/>
          <w:szCs w:val="24"/>
        </w:rPr>
        <w:t>。由于本项目厂址与鄯善县气象站两地受同一气候系统的影响和控制，鄯善县气象站的常规气象资料可以反映本项目区域的气象基本特征，满足评价要求。</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依据鄯善县气象站</w:t>
      </w:r>
      <w:r>
        <w:rPr>
          <w:rFonts w:ascii="Times New Roman" w:hAnsi="Times New Roman"/>
          <w:kern w:val="0"/>
          <w:sz w:val="24"/>
          <w:szCs w:val="24"/>
        </w:rPr>
        <w:t>2018</w:t>
      </w:r>
      <w:r>
        <w:rPr>
          <w:rFonts w:ascii="Times New Roman" w:hAnsi="Times New Roman"/>
          <w:kern w:val="0"/>
          <w:sz w:val="24"/>
          <w:szCs w:val="24"/>
        </w:rPr>
        <w:t>年观测统计数据，当地主要气象要素特征分述如下。</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）温度</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评价区域年平均温度</w:t>
      </w:r>
      <w:r>
        <w:rPr>
          <w:rFonts w:ascii="Times New Roman" w:hAnsi="Times New Roman"/>
          <w:kern w:val="0"/>
          <w:sz w:val="24"/>
          <w:szCs w:val="24"/>
        </w:rPr>
        <w:t>12.56℃</w:t>
      </w:r>
      <w:r>
        <w:rPr>
          <w:rFonts w:ascii="Times New Roman" w:hAnsi="Times New Roman"/>
          <w:kern w:val="0"/>
          <w:sz w:val="24"/>
          <w:szCs w:val="24"/>
        </w:rPr>
        <w:t>。</w:t>
      </w:r>
      <w:r>
        <w:rPr>
          <w:rFonts w:ascii="Times New Roman" w:hAnsi="Times New Roman"/>
          <w:kern w:val="0"/>
          <w:sz w:val="24"/>
          <w:szCs w:val="24"/>
        </w:rPr>
        <w:t>7</w:t>
      </w:r>
      <w:r>
        <w:rPr>
          <w:rFonts w:ascii="Times New Roman" w:hAnsi="Times New Roman"/>
          <w:kern w:val="0"/>
          <w:sz w:val="24"/>
          <w:szCs w:val="24"/>
        </w:rPr>
        <w:t>月温度最高，月平均温度</w:t>
      </w:r>
      <w:r>
        <w:rPr>
          <w:rFonts w:ascii="Times New Roman" w:hAnsi="Times New Roman"/>
          <w:kern w:val="0"/>
          <w:sz w:val="24"/>
          <w:szCs w:val="24"/>
        </w:rPr>
        <w:t>29.59℃</w:t>
      </w:r>
      <w:r>
        <w:rPr>
          <w:rFonts w:ascii="Times New Roman" w:hAnsi="Times New Roman"/>
          <w:kern w:val="0"/>
          <w:sz w:val="24"/>
          <w:szCs w:val="24"/>
        </w:rPr>
        <w:t>，</w:t>
      </w:r>
      <w:r>
        <w:rPr>
          <w:rFonts w:ascii="Times New Roman" w:hAnsi="Times New Roman"/>
          <w:kern w:val="0"/>
          <w:sz w:val="24"/>
          <w:szCs w:val="24"/>
        </w:rPr>
        <w:t>12</w:t>
      </w:r>
      <w:r>
        <w:rPr>
          <w:rFonts w:ascii="Times New Roman" w:hAnsi="Times New Roman"/>
          <w:kern w:val="0"/>
          <w:sz w:val="24"/>
          <w:szCs w:val="24"/>
        </w:rPr>
        <w:t>月温度最低，月平均温度</w:t>
      </w:r>
      <w:r>
        <w:rPr>
          <w:rFonts w:ascii="Times New Roman" w:hAnsi="Times New Roman"/>
          <w:kern w:val="0"/>
          <w:sz w:val="24"/>
          <w:szCs w:val="24"/>
        </w:rPr>
        <w:t>-8.22℃</w:t>
      </w:r>
      <w:r>
        <w:rPr>
          <w:rFonts w:ascii="Times New Roman" w:hAnsi="Times New Roman"/>
          <w:kern w:val="0"/>
          <w:sz w:val="24"/>
          <w:szCs w:val="24"/>
        </w:rPr>
        <w:t>。评价区域年平均温度月变化统计结果见表</w:t>
      </w:r>
      <w:r>
        <w:rPr>
          <w:rFonts w:ascii="Times New Roman" w:hAnsi="Times New Roman"/>
          <w:kern w:val="0"/>
          <w:sz w:val="24"/>
          <w:szCs w:val="24"/>
        </w:rPr>
        <w:t>5.1-1</w:t>
      </w:r>
      <w:r>
        <w:rPr>
          <w:rFonts w:ascii="Times New Roman" w:hAnsi="Times New Roman"/>
          <w:kern w:val="0"/>
          <w:sz w:val="24"/>
          <w:szCs w:val="24"/>
        </w:rPr>
        <w:t>。年均均温度月变化曲线见图</w:t>
      </w:r>
      <w:r>
        <w:rPr>
          <w:rFonts w:ascii="Times New Roman" w:hAnsi="Times New Roman"/>
          <w:kern w:val="0"/>
          <w:sz w:val="24"/>
          <w:szCs w:val="24"/>
        </w:rPr>
        <w:t>5.1-1</w:t>
      </w:r>
      <w:r>
        <w:rPr>
          <w:rFonts w:ascii="Times New Roman" w:hAnsi="Times New Roman"/>
          <w:kern w:val="0"/>
          <w:sz w:val="24"/>
          <w:szCs w:val="24"/>
        </w:rPr>
        <w:t>。</w:t>
      </w:r>
    </w:p>
    <w:p w:rsidR="00525419" w:rsidRDefault="00EE1CF7">
      <w:pPr>
        <w:widowControl/>
        <w:adjustRightInd w:val="0"/>
        <w:snapToGrid w:val="0"/>
        <w:spacing w:before="120"/>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5.1-1  </w:t>
      </w:r>
      <w:r>
        <w:rPr>
          <w:rFonts w:ascii="Times New Roman" w:eastAsia="黑体" w:hAnsi="Times New Roman"/>
          <w:szCs w:val="21"/>
        </w:rPr>
        <w:t>年平均温度月变化统计结果</w:t>
      </w:r>
      <w:r>
        <w:rPr>
          <w:rFonts w:ascii="Times New Roman" w:eastAsia="黑体" w:hAnsi="Times New Roman"/>
          <w:szCs w:val="21"/>
        </w:rPr>
        <w:t xml:space="preserve">  </w:t>
      </w:r>
      <w:r>
        <w:rPr>
          <w:rFonts w:ascii="Times New Roman" w:eastAsia="黑体" w:hAnsi="Times New Roman"/>
          <w:szCs w:val="21"/>
        </w:rPr>
        <w:t>单位：（</w:t>
      </w:r>
      <w:r>
        <w:rPr>
          <w:rFonts w:ascii="Times New Roman" w:eastAsia="黑体" w:hAnsi="Times New Roman"/>
          <w:szCs w:val="21"/>
        </w:rPr>
        <w:t>℃</w:t>
      </w:r>
      <w:r>
        <w:rPr>
          <w:rFonts w:ascii="Times New Roman" w:eastAsia="黑体" w:hAnsi="Times New Roman"/>
          <w:szCs w:val="21"/>
        </w:rPr>
        <w:t>）</w:t>
      </w:r>
    </w:p>
    <w:tbl>
      <w:tblPr>
        <w:tblW w:w="833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470"/>
        <w:gridCol w:w="577"/>
        <w:gridCol w:w="577"/>
        <w:gridCol w:w="577"/>
        <w:gridCol w:w="578"/>
        <w:gridCol w:w="578"/>
        <w:gridCol w:w="578"/>
        <w:gridCol w:w="578"/>
        <w:gridCol w:w="578"/>
        <w:gridCol w:w="578"/>
        <w:gridCol w:w="681"/>
        <w:gridCol w:w="673"/>
        <w:gridCol w:w="681"/>
        <w:gridCol w:w="629"/>
      </w:tblGrid>
      <w:tr w:rsidR="00525419">
        <w:trPr>
          <w:trHeight w:val="397"/>
          <w:jc w:val="center"/>
        </w:trPr>
        <w:tc>
          <w:tcPr>
            <w:tcW w:w="470"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月份</w:t>
            </w:r>
          </w:p>
        </w:tc>
        <w:tc>
          <w:tcPr>
            <w:tcW w:w="57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w:t>
            </w:r>
            <w:r>
              <w:rPr>
                <w:rFonts w:ascii="Times New Roman" w:hAnsi="Times New Roman"/>
                <w:kern w:val="0"/>
                <w:szCs w:val="24"/>
              </w:rPr>
              <w:t>月</w:t>
            </w:r>
          </w:p>
        </w:tc>
        <w:tc>
          <w:tcPr>
            <w:tcW w:w="57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w:t>
            </w:r>
            <w:r>
              <w:rPr>
                <w:rFonts w:ascii="Times New Roman" w:hAnsi="Times New Roman"/>
                <w:kern w:val="0"/>
                <w:szCs w:val="24"/>
              </w:rPr>
              <w:t>月</w:t>
            </w:r>
          </w:p>
        </w:tc>
        <w:tc>
          <w:tcPr>
            <w:tcW w:w="57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w:t>
            </w:r>
            <w:r>
              <w:rPr>
                <w:rFonts w:ascii="Times New Roman" w:hAnsi="Times New Roman"/>
                <w:kern w:val="0"/>
                <w:szCs w:val="24"/>
              </w:rPr>
              <w:t>月</w:t>
            </w:r>
          </w:p>
        </w:tc>
        <w:tc>
          <w:tcPr>
            <w:tcW w:w="578"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w:t>
            </w:r>
            <w:r>
              <w:rPr>
                <w:rFonts w:ascii="Times New Roman" w:hAnsi="Times New Roman"/>
                <w:kern w:val="0"/>
                <w:szCs w:val="24"/>
              </w:rPr>
              <w:t>月</w:t>
            </w:r>
          </w:p>
        </w:tc>
        <w:tc>
          <w:tcPr>
            <w:tcW w:w="578"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w:t>
            </w:r>
            <w:r>
              <w:rPr>
                <w:rFonts w:ascii="Times New Roman" w:hAnsi="Times New Roman"/>
                <w:kern w:val="0"/>
                <w:szCs w:val="24"/>
              </w:rPr>
              <w:t>月</w:t>
            </w:r>
          </w:p>
        </w:tc>
        <w:tc>
          <w:tcPr>
            <w:tcW w:w="578"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6</w:t>
            </w:r>
            <w:r>
              <w:rPr>
                <w:rFonts w:ascii="Times New Roman" w:hAnsi="Times New Roman"/>
                <w:kern w:val="0"/>
                <w:szCs w:val="24"/>
              </w:rPr>
              <w:t>月</w:t>
            </w:r>
          </w:p>
        </w:tc>
        <w:tc>
          <w:tcPr>
            <w:tcW w:w="578"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7</w:t>
            </w:r>
            <w:r>
              <w:rPr>
                <w:rFonts w:ascii="Times New Roman" w:hAnsi="Times New Roman"/>
                <w:kern w:val="0"/>
                <w:szCs w:val="24"/>
              </w:rPr>
              <w:t>月</w:t>
            </w:r>
          </w:p>
        </w:tc>
        <w:tc>
          <w:tcPr>
            <w:tcW w:w="578"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8</w:t>
            </w:r>
            <w:r>
              <w:rPr>
                <w:rFonts w:ascii="Times New Roman" w:hAnsi="Times New Roman"/>
                <w:kern w:val="0"/>
                <w:szCs w:val="24"/>
              </w:rPr>
              <w:t>月</w:t>
            </w:r>
          </w:p>
        </w:tc>
        <w:tc>
          <w:tcPr>
            <w:tcW w:w="578"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9</w:t>
            </w:r>
            <w:r>
              <w:rPr>
                <w:rFonts w:ascii="Times New Roman" w:hAnsi="Times New Roman"/>
                <w:kern w:val="0"/>
                <w:szCs w:val="24"/>
              </w:rPr>
              <w:t>月</w:t>
            </w:r>
          </w:p>
        </w:tc>
        <w:tc>
          <w:tcPr>
            <w:tcW w:w="68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10</w:t>
            </w:r>
            <w:r>
              <w:rPr>
                <w:rFonts w:ascii="Times New Roman" w:hAnsi="Times New Roman"/>
                <w:kern w:val="0"/>
                <w:szCs w:val="24"/>
              </w:rPr>
              <w:t>月</w:t>
            </w:r>
          </w:p>
        </w:tc>
        <w:tc>
          <w:tcPr>
            <w:tcW w:w="67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11</w:t>
            </w:r>
            <w:r>
              <w:rPr>
                <w:rFonts w:ascii="Times New Roman" w:hAnsi="Times New Roman"/>
                <w:kern w:val="0"/>
                <w:szCs w:val="24"/>
              </w:rPr>
              <w:t>月</w:t>
            </w:r>
          </w:p>
        </w:tc>
        <w:tc>
          <w:tcPr>
            <w:tcW w:w="68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12</w:t>
            </w:r>
            <w:r>
              <w:rPr>
                <w:rFonts w:ascii="Times New Roman" w:hAnsi="Times New Roman"/>
                <w:kern w:val="0"/>
                <w:szCs w:val="24"/>
              </w:rPr>
              <w:t>月</w:t>
            </w:r>
          </w:p>
        </w:tc>
        <w:tc>
          <w:tcPr>
            <w:tcW w:w="62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年均</w:t>
            </w:r>
          </w:p>
        </w:tc>
      </w:tr>
      <w:tr w:rsidR="00525419">
        <w:trPr>
          <w:trHeight w:val="397"/>
          <w:jc w:val="center"/>
        </w:trPr>
        <w:tc>
          <w:tcPr>
            <w:tcW w:w="470"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温度</w:t>
            </w:r>
          </w:p>
        </w:tc>
        <w:tc>
          <w:tcPr>
            <w:tcW w:w="577"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-8.60</w:t>
            </w:r>
          </w:p>
        </w:tc>
        <w:tc>
          <w:tcPr>
            <w:tcW w:w="57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-2.17</w:t>
            </w:r>
          </w:p>
        </w:tc>
        <w:tc>
          <w:tcPr>
            <w:tcW w:w="57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11.40</w:t>
            </w:r>
          </w:p>
        </w:tc>
        <w:tc>
          <w:tcPr>
            <w:tcW w:w="578"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15.74</w:t>
            </w:r>
          </w:p>
        </w:tc>
        <w:tc>
          <w:tcPr>
            <w:tcW w:w="578"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20.70</w:t>
            </w:r>
          </w:p>
        </w:tc>
        <w:tc>
          <w:tcPr>
            <w:tcW w:w="578"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26.67</w:t>
            </w:r>
          </w:p>
        </w:tc>
        <w:tc>
          <w:tcPr>
            <w:tcW w:w="578"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27.62</w:t>
            </w:r>
          </w:p>
        </w:tc>
        <w:tc>
          <w:tcPr>
            <w:tcW w:w="578"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27.61</w:t>
            </w:r>
          </w:p>
        </w:tc>
        <w:tc>
          <w:tcPr>
            <w:tcW w:w="578"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18.65</w:t>
            </w:r>
          </w:p>
        </w:tc>
        <w:tc>
          <w:tcPr>
            <w:tcW w:w="68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11.03</w:t>
            </w:r>
          </w:p>
        </w:tc>
        <w:tc>
          <w:tcPr>
            <w:tcW w:w="67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0.85</w:t>
            </w:r>
          </w:p>
        </w:tc>
        <w:tc>
          <w:tcPr>
            <w:tcW w:w="68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-7.81</w:t>
            </w:r>
          </w:p>
        </w:tc>
        <w:tc>
          <w:tcPr>
            <w:tcW w:w="62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11.88</w:t>
            </w:r>
          </w:p>
        </w:tc>
      </w:tr>
    </w:tbl>
    <w:p w:rsidR="00525419" w:rsidRDefault="00525419">
      <w:pPr>
        <w:widowControl/>
        <w:jc w:val="center"/>
        <w:rPr>
          <w:rFonts w:ascii="Times New Roman" w:hAnsi="Times New Roman"/>
          <w:kern w:val="0"/>
          <w:szCs w:val="24"/>
        </w:rPr>
      </w:pPr>
    </w:p>
    <w:p w:rsidR="00525419" w:rsidRDefault="00EE1CF7">
      <w:pPr>
        <w:autoSpaceDE w:val="0"/>
        <w:autoSpaceDN w:val="0"/>
        <w:adjustRightInd w:val="0"/>
        <w:spacing w:line="360" w:lineRule="auto"/>
        <w:jc w:val="center"/>
        <w:rPr>
          <w:rFonts w:ascii="Times New Roman" w:hAnsi="Times New Roman"/>
          <w:kern w:val="0"/>
          <w:sz w:val="24"/>
          <w:szCs w:val="24"/>
        </w:rPr>
      </w:pPr>
      <w:r>
        <w:rPr>
          <w:rFonts w:ascii="Times New Roman" w:hAnsi="Times New Roman"/>
          <w:noProof/>
          <w:szCs w:val="24"/>
        </w:rPr>
        <w:drawing>
          <wp:anchor distT="0" distB="0" distL="114300" distR="114300" simplePos="0" relativeHeight="251617792" behindDoc="0" locked="0" layoutInCell="1" allowOverlap="1">
            <wp:simplePos x="0" y="0"/>
            <wp:positionH relativeFrom="column">
              <wp:align>center</wp:align>
            </wp:positionH>
            <wp:positionV relativeFrom="paragraph">
              <wp:posOffset>79375</wp:posOffset>
            </wp:positionV>
            <wp:extent cx="5276850" cy="2019300"/>
            <wp:effectExtent l="9525" t="9525" r="9525" b="9525"/>
            <wp:wrapNone/>
            <wp:docPr id="10" name="图表 4"/>
            <wp:cNvGraphicFramePr/>
            <a:graphic xmlns:a="http://schemas.openxmlformats.org/drawingml/2006/main">
              <a:graphicData uri="http://schemas.openxmlformats.org/drawingml/2006/picture">
                <pic:pic xmlns:pic="http://schemas.openxmlformats.org/drawingml/2006/picture">
                  <pic:nvPicPr>
                    <pic:cNvPr id="10" name="图表 4"/>
                    <pic:cNvPicPr/>
                  </pic:nvPicPr>
                  <pic:blipFill>
                    <a:blip r:embed="rId22"/>
                    <a:stretch>
                      <a:fillRect/>
                    </a:stretch>
                  </pic:blipFill>
                  <pic:spPr>
                    <a:xfrm>
                      <a:off x="0" y="0"/>
                      <a:ext cx="5276850" cy="2019300"/>
                    </a:xfrm>
                    <a:prstGeom prst="rect">
                      <a:avLst/>
                    </a:prstGeom>
                    <a:noFill/>
                    <a:ln w="6350" cap="flat" cmpd="sng">
                      <a:solidFill>
                        <a:srgbClr val="000000"/>
                      </a:solidFill>
                      <a:prstDash val="solid"/>
                      <a:miter/>
                      <a:headEnd type="none" w="med" len="med"/>
                      <a:tailEnd type="none" w="med" len="med"/>
                    </a:ln>
                  </pic:spPr>
                </pic:pic>
              </a:graphicData>
            </a:graphic>
          </wp:anchor>
        </w:drawing>
      </w:r>
    </w:p>
    <w:p w:rsidR="00525419" w:rsidRDefault="00525419">
      <w:pPr>
        <w:autoSpaceDE w:val="0"/>
        <w:autoSpaceDN w:val="0"/>
        <w:adjustRightInd w:val="0"/>
        <w:spacing w:line="360" w:lineRule="auto"/>
        <w:ind w:firstLineChars="200" w:firstLine="480"/>
        <w:jc w:val="center"/>
        <w:rPr>
          <w:rFonts w:ascii="Times New Roman" w:hAnsi="Times New Roman"/>
          <w:kern w:val="0"/>
          <w:sz w:val="24"/>
          <w:szCs w:val="24"/>
        </w:rPr>
      </w:pPr>
    </w:p>
    <w:p w:rsidR="00525419" w:rsidRDefault="00525419">
      <w:pPr>
        <w:autoSpaceDE w:val="0"/>
        <w:autoSpaceDN w:val="0"/>
        <w:adjustRightInd w:val="0"/>
        <w:spacing w:line="360" w:lineRule="auto"/>
        <w:ind w:firstLineChars="200" w:firstLine="480"/>
        <w:jc w:val="center"/>
        <w:rPr>
          <w:rFonts w:ascii="Times New Roman" w:hAnsi="Times New Roman"/>
          <w:kern w:val="0"/>
          <w:sz w:val="24"/>
          <w:szCs w:val="24"/>
        </w:rPr>
      </w:pPr>
    </w:p>
    <w:p w:rsidR="00525419" w:rsidRDefault="00525419">
      <w:pPr>
        <w:autoSpaceDE w:val="0"/>
        <w:autoSpaceDN w:val="0"/>
        <w:adjustRightInd w:val="0"/>
        <w:spacing w:line="360" w:lineRule="auto"/>
        <w:ind w:firstLineChars="200" w:firstLine="480"/>
        <w:jc w:val="center"/>
        <w:rPr>
          <w:rFonts w:ascii="Times New Roman" w:hAnsi="Times New Roman"/>
          <w:kern w:val="0"/>
          <w:sz w:val="24"/>
          <w:szCs w:val="24"/>
        </w:rPr>
      </w:pPr>
    </w:p>
    <w:p w:rsidR="00525419" w:rsidRDefault="00525419">
      <w:pPr>
        <w:autoSpaceDE w:val="0"/>
        <w:autoSpaceDN w:val="0"/>
        <w:adjustRightInd w:val="0"/>
        <w:spacing w:line="360" w:lineRule="auto"/>
        <w:ind w:firstLineChars="200" w:firstLine="480"/>
        <w:jc w:val="center"/>
        <w:rPr>
          <w:rFonts w:ascii="Times New Roman" w:hAnsi="Times New Roman"/>
          <w:kern w:val="0"/>
          <w:sz w:val="24"/>
          <w:szCs w:val="24"/>
        </w:rPr>
      </w:pPr>
    </w:p>
    <w:p w:rsidR="00525419" w:rsidRDefault="00525419">
      <w:pPr>
        <w:autoSpaceDE w:val="0"/>
        <w:autoSpaceDN w:val="0"/>
        <w:adjustRightInd w:val="0"/>
        <w:spacing w:line="360" w:lineRule="auto"/>
        <w:ind w:firstLineChars="200" w:firstLine="480"/>
        <w:jc w:val="center"/>
        <w:rPr>
          <w:rFonts w:ascii="Times New Roman" w:hAnsi="Times New Roman"/>
          <w:kern w:val="0"/>
          <w:sz w:val="24"/>
          <w:szCs w:val="24"/>
        </w:rPr>
      </w:pPr>
    </w:p>
    <w:p w:rsidR="00525419" w:rsidRDefault="00525419">
      <w:pPr>
        <w:autoSpaceDE w:val="0"/>
        <w:autoSpaceDN w:val="0"/>
        <w:adjustRightInd w:val="0"/>
        <w:spacing w:line="360" w:lineRule="auto"/>
        <w:ind w:firstLineChars="200" w:firstLine="480"/>
        <w:jc w:val="center"/>
        <w:rPr>
          <w:rFonts w:ascii="Times New Roman" w:hAnsi="Times New Roman"/>
          <w:kern w:val="0"/>
          <w:sz w:val="24"/>
          <w:szCs w:val="24"/>
        </w:rPr>
      </w:pPr>
    </w:p>
    <w:p w:rsidR="00525419" w:rsidRDefault="00525419">
      <w:pPr>
        <w:widowControl/>
        <w:adjustRightInd w:val="0"/>
        <w:snapToGrid w:val="0"/>
        <w:jc w:val="center"/>
        <w:rPr>
          <w:rFonts w:ascii="Times New Roman" w:hAnsi="Times New Roman"/>
          <w:b/>
          <w:snapToGrid w:val="0"/>
          <w:kern w:val="0"/>
          <w:sz w:val="24"/>
          <w:szCs w:val="28"/>
        </w:rPr>
      </w:pPr>
    </w:p>
    <w:p w:rsidR="00525419" w:rsidRDefault="00EE1CF7">
      <w:pPr>
        <w:widowControl/>
        <w:adjustRightInd w:val="0"/>
        <w:snapToGrid w:val="0"/>
        <w:jc w:val="center"/>
        <w:rPr>
          <w:rFonts w:ascii="Times New Roman" w:hAnsi="Times New Roman"/>
          <w:b/>
          <w:snapToGrid w:val="0"/>
          <w:kern w:val="0"/>
          <w:sz w:val="24"/>
          <w:szCs w:val="28"/>
        </w:rPr>
      </w:pPr>
      <w:r>
        <w:rPr>
          <w:rFonts w:ascii="Times New Roman" w:hAnsi="Times New Roman"/>
          <w:b/>
          <w:snapToGrid w:val="0"/>
          <w:kern w:val="0"/>
          <w:sz w:val="24"/>
          <w:szCs w:val="28"/>
        </w:rPr>
        <w:t>图</w:t>
      </w:r>
      <w:r>
        <w:rPr>
          <w:rFonts w:ascii="Times New Roman" w:hAnsi="Times New Roman"/>
          <w:b/>
          <w:snapToGrid w:val="0"/>
          <w:kern w:val="0"/>
          <w:sz w:val="24"/>
          <w:szCs w:val="28"/>
        </w:rPr>
        <w:t xml:space="preserve">5.1-1   </w:t>
      </w:r>
      <w:r>
        <w:rPr>
          <w:rFonts w:ascii="Times New Roman" w:hAnsi="Times New Roman"/>
          <w:b/>
          <w:snapToGrid w:val="0"/>
          <w:kern w:val="0"/>
          <w:sz w:val="24"/>
          <w:szCs w:val="28"/>
        </w:rPr>
        <w:t>年平均温度月变化曲线图</w:t>
      </w:r>
    </w:p>
    <w:p w:rsidR="00525419" w:rsidRDefault="00525419">
      <w:pPr>
        <w:widowControl/>
        <w:jc w:val="center"/>
        <w:rPr>
          <w:rFonts w:ascii="Times New Roman" w:hAnsi="Times New Roman"/>
          <w:kern w:val="0"/>
          <w:szCs w:val="24"/>
        </w:rPr>
      </w:pP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2</w:t>
      </w:r>
      <w:r>
        <w:rPr>
          <w:rFonts w:ascii="Times New Roman" w:hAnsi="Times New Roman"/>
          <w:kern w:val="0"/>
          <w:sz w:val="24"/>
          <w:szCs w:val="24"/>
        </w:rPr>
        <w:t>）风速</w:t>
      </w:r>
    </w:p>
    <w:p w:rsidR="00525419" w:rsidRDefault="00EE1CF7">
      <w:pPr>
        <w:widowControl/>
        <w:spacing w:line="360" w:lineRule="auto"/>
        <w:ind w:firstLineChars="200" w:firstLine="480"/>
        <w:jc w:val="left"/>
        <w:rPr>
          <w:rFonts w:ascii="Times New Roman" w:eastAsia="楷体_GB2312" w:hAnsi="Times New Roman"/>
          <w:kern w:val="0"/>
          <w:sz w:val="24"/>
          <w:szCs w:val="24"/>
        </w:rPr>
      </w:pPr>
      <w:r>
        <w:rPr>
          <w:rFonts w:ascii="Times New Roman" w:hAnsi="Times New Roman"/>
          <w:kern w:val="0"/>
          <w:sz w:val="24"/>
          <w:szCs w:val="24"/>
        </w:rPr>
        <w:lastRenderedPageBreak/>
        <w:t>评价区域</w:t>
      </w:r>
      <w:r>
        <w:rPr>
          <w:rFonts w:ascii="Times New Roman" w:hAnsi="Times New Roman"/>
          <w:kern w:val="0"/>
          <w:sz w:val="24"/>
          <w:szCs w:val="24"/>
        </w:rPr>
        <w:t>5</w:t>
      </w:r>
      <w:r>
        <w:rPr>
          <w:rFonts w:ascii="Times New Roman" w:hAnsi="Times New Roman"/>
          <w:kern w:val="0"/>
          <w:sz w:val="24"/>
          <w:szCs w:val="24"/>
        </w:rPr>
        <w:t>月月平均风速最大</w:t>
      </w:r>
      <w:r>
        <w:rPr>
          <w:rFonts w:ascii="Times New Roman" w:hAnsi="Times New Roman" w:hint="eastAsia"/>
          <w:kern w:val="0"/>
          <w:sz w:val="24"/>
          <w:szCs w:val="24"/>
        </w:rPr>
        <w:t>，</w:t>
      </w:r>
      <w:r>
        <w:rPr>
          <w:rFonts w:ascii="Times New Roman" w:hAnsi="Times New Roman"/>
          <w:kern w:val="0"/>
          <w:sz w:val="24"/>
          <w:szCs w:val="24"/>
        </w:rPr>
        <w:t>为</w:t>
      </w:r>
      <w:r>
        <w:rPr>
          <w:rFonts w:ascii="Times New Roman" w:hAnsi="Times New Roman"/>
          <w:kern w:val="0"/>
          <w:sz w:val="24"/>
          <w:szCs w:val="24"/>
        </w:rPr>
        <w:t>1.62m/s</w:t>
      </w:r>
      <w:r>
        <w:rPr>
          <w:rFonts w:ascii="Times New Roman" w:hAnsi="Times New Roman"/>
          <w:kern w:val="0"/>
          <w:sz w:val="24"/>
          <w:szCs w:val="24"/>
        </w:rPr>
        <w:t>。</w:t>
      </w:r>
      <w:r>
        <w:rPr>
          <w:rFonts w:ascii="Times New Roman" w:hAnsi="Times New Roman"/>
          <w:kern w:val="0"/>
          <w:sz w:val="24"/>
          <w:szCs w:val="24"/>
        </w:rPr>
        <w:t>12</w:t>
      </w:r>
      <w:r>
        <w:rPr>
          <w:rFonts w:ascii="Times New Roman" w:hAnsi="Times New Roman"/>
          <w:kern w:val="0"/>
          <w:sz w:val="24"/>
          <w:szCs w:val="24"/>
        </w:rPr>
        <w:t>月月平均风速最小，为</w:t>
      </w:r>
      <w:r>
        <w:rPr>
          <w:rFonts w:ascii="Times New Roman" w:hAnsi="Times New Roman"/>
          <w:kern w:val="0"/>
          <w:sz w:val="24"/>
          <w:szCs w:val="24"/>
        </w:rPr>
        <w:t>1.03m/s</w:t>
      </w:r>
      <w:r>
        <w:rPr>
          <w:rFonts w:ascii="Times New Roman" w:hAnsi="Times New Roman"/>
          <w:kern w:val="0"/>
          <w:sz w:val="24"/>
          <w:szCs w:val="24"/>
        </w:rPr>
        <w:t>。年平均风速月变化统计结果见表</w:t>
      </w:r>
      <w:r>
        <w:rPr>
          <w:rFonts w:ascii="Times New Roman" w:hAnsi="Times New Roman"/>
          <w:kern w:val="0"/>
          <w:sz w:val="24"/>
          <w:szCs w:val="24"/>
        </w:rPr>
        <w:t>5.1-2</w:t>
      </w:r>
      <w:r>
        <w:rPr>
          <w:rFonts w:ascii="Times New Roman" w:hAnsi="Times New Roman"/>
          <w:kern w:val="0"/>
          <w:sz w:val="24"/>
          <w:szCs w:val="24"/>
        </w:rPr>
        <w:t>。年平均风速月变化曲线见图</w:t>
      </w:r>
      <w:r>
        <w:rPr>
          <w:rFonts w:ascii="Times New Roman" w:hAnsi="Times New Roman"/>
          <w:kern w:val="0"/>
          <w:sz w:val="24"/>
          <w:szCs w:val="24"/>
        </w:rPr>
        <w:t>5.1-2</w:t>
      </w:r>
      <w:r>
        <w:rPr>
          <w:rFonts w:ascii="Times New Roman" w:hAnsi="Times New Roman"/>
          <w:kern w:val="0"/>
          <w:sz w:val="24"/>
          <w:szCs w:val="24"/>
        </w:rPr>
        <w:t>。</w:t>
      </w:r>
    </w:p>
    <w:p w:rsidR="00525419" w:rsidRDefault="00EE1CF7">
      <w:pPr>
        <w:widowControl/>
        <w:adjustRightInd w:val="0"/>
        <w:snapToGrid w:val="0"/>
        <w:spacing w:before="120"/>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5.1-2   </w:t>
      </w:r>
      <w:r>
        <w:rPr>
          <w:rFonts w:ascii="Times New Roman" w:eastAsia="黑体" w:hAnsi="Times New Roman"/>
          <w:szCs w:val="21"/>
        </w:rPr>
        <w:t>年平均风速月变化统计结果</w:t>
      </w:r>
      <w:r>
        <w:rPr>
          <w:rFonts w:ascii="Times New Roman" w:eastAsia="黑体" w:hAnsi="Times New Roman"/>
          <w:szCs w:val="21"/>
        </w:rPr>
        <w:t xml:space="preserve">    </w:t>
      </w:r>
      <w:r>
        <w:rPr>
          <w:rFonts w:ascii="Times New Roman" w:eastAsia="黑体" w:hAnsi="Times New Roman"/>
          <w:szCs w:val="21"/>
        </w:rPr>
        <w:t>单位：</w:t>
      </w:r>
      <w:r>
        <w:rPr>
          <w:rFonts w:ascii="Times New Roman" w:eastAsia="黑体" w:hAnsi="Times New Roman"/>
          <w:szCs w:val="21"/>
        </w:rPr>
        <w:t>m/s</w:t>
      </w:r>
    </w:p>
    <w:tbl>
      <w:tblPr>
        <w:tblW w:w="842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15"/>
        <w:gridCol w:w="633"/>
        <w:gridCol w:w="633"/>
        <w:gridCol w:w="633"/>
        <w:gridCol w:w="633"/>
        <w:gridCol w:w="631"/>
        <w:gridCol w:w="631"/>
        <w:gridCol w:w="631"/>
        <w:gridCol w:w="631"/>
        <w:gridCol w:w="631"/>
        <w:gridCol w:w="744"/>
        <w:gridCol w:w="736"/>
        <w:gridCol w:w="744"/>
      </w:tblGrid>
      <w:tr w:rsidR="00525419">
        <w:trPr>
          <w:trHeight w:val="397"/>
          <w:jc w:val="center"/>
        </w:trPr>
        <w:tc>
          <w:tcPr>
            <w:tcW w:w="515"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月份</w:t>
            </w:r>
          </w:p>
        </w:tc>
        <w:tc>
          <w:tcPr>
            <w:tcW w:w="63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w:t>
            </w:r>
            <w:r>
              <w:rPr>
                <w:rFonts w:ascii="Times New Roman" w:hAnsi="Times New Roman"/>
                <w:kern w:val="0"/>
                <w:szCs w:val="24"/>
              </w:rPr>
              <w:t>月</w:t>
            </w:r>
          </w:p>
        </w:tc>
        <w:tc>
          <w:tcPr>
            <w:tcW w:w="63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w:t>
            </w:r>
            <w:r>
              <w:rPr>
                <w:rFonts w:ascii="Times New Roman" w:hAnsi="Times New Roman"/>
                <w:kern w:val="0"/>
                <w:szCs w:val="24"/>
              </w:rPr>
              <w:t>月</w:t>
            </w:r>
          </w:p>
        </w:tc>
        <w:tc>
          <w:tcPr>
            <w:tcW w:w="63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w:t>
            </w:r>
            <w:r>
              <w:rPr>
                <w:rFonts w:ascii="Times New Roman" w:hAnsi="Times New Roman"/>
                <w:kern w:val="0"/>
                <w:szCs w:val="24"/>
              </w:rPr>
              <w:t>月</w:t>
            </w:r>
          </w:p>
        </w:tc>
        <w:tc>
          <w:tcPr>
            <w:tcW w:w="63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w:t>
            </w:r>
            <w:r>
              <w:rPr>
                <w:rFonts w:ascii="Times New Roman" w:hAnsi="Times New Roman"/>
                <w:kern w:val="0"/>
                <w:szCs w:val="24"/>
              </w:rPr>
              <w:t>月</w:t>
            </w:r>
          </w:p>
        </w:tc>
        <w:tc>
          <w:tcPr>
            <w:tcW w:w="63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w:t>
            </w:r>
            <w:r>
              <w:rPr>
                <w:rFonts w:ascii="Times New Roman" w:hAnsi="Times New Roman"/>
                <w:kern w:val="0"/>
                <w:szCs w:val="24"/>
              </w:rPr>
              <w:t>月</w:t>
            </w:r>
          </w:p>
        </w:tc>
        <w:tc>
          <w:tcPr>
            <w:tcW w:w="63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6</w:t>
            </w:r>
            <w:r>
              <w:rPr>
                <w:rFonts w:ascii="Times New Roman" w:hAnsi="Times New Roman"/>
                <w:kern w:val="0"/>
                <w:szCs w:val="24"/>
              </w:rPr>
              <w:t>月</w:t>
            </w:r>
          </w:p>
        </w:tc>
        <w:tc>
          <w:tcPr>
            <w:tcW w:w="63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7</w:t>
            </w:r>
            <w:r>
              <w:rPr>
                <w:rFonts w:ascii="Times New Roman" w:hAnsi="Times New Roman"/>
                <w:kern w:val="0"/>
                <w:szCs w:val="24"/>
              </w:rPr>
              <w:t>月</w:t>
            </w:r>
          </w:p>
        </w:tc>
        <w:tc>
          <w:tcPr>
            <w:tcW w:w="63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8</w:t>
            </w:r>
            <w:r>
              <w:rPr>
                <w:rFonts w:ascii="Times New Roman" w:hAnsi="Times New Roman"/>
                <w:kern w:val="0"/>
                <w:szCs w:val="24"/>
              </w:rPr>
              <w:t>月</w:t>
            </w:r>
          </w:p>
        </w:tc>
        <w:tc>
          <w:tcPr>
            <w:tcW w:w="63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9</w:t>
            </w:r>
            <w:r>
              <w:rPr>
                <w:rFonts w:ascii="Times New Roman" w:hAnsi="Times New Roman"/>
                <w:kern w:val="0"/>
                <w:szCs w:val="24"/>
              </w:rPr>
              <w:t>月</w:t>
            </w:r>
          </w:p>
        </w:tc>
        <w:tc>
          <w:tcPr>
            <w:tcW w:w="74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10</w:t>
            </w:r>
            <w:r>
              <w:rPr>
                <w:rFonts w:ascii="Times New Roman" w:hAnsi="Times New Roman"/>
                <w:kern w:val="0"/>
                <w:szCs w:val="24"/>
              </w:rPr>
              <w:t>月</w:t>
            </w:r>
          </w:p>
        </w:tc>
        <w:tc>
          <w:tcPr>
            <w:tcW w:w="736"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11</w:t>
            </w:r>
            <w:r>
              <w:rPr>
                <w:rFonts w:ascii="Times New Roman" w:hAnsi="Times New Roman"/>
                <w:kern w:val="0"/>
                <w:szCs w:val="24"/>
              </w:rPr>
              <w:t>月</w:t>
            </w:r>
          </w:p>
        </w:tc>
        <w:tc>
          <w:tcPr>
            <w:tcW w:w="74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12</w:t>
            </w:r>
            <w:r>
              <w:rPr>
                <w:rFonts w:ascii="Times New Roman" w:hAnsi="Times New Roman"/>
                <w:kern w:val="0"/>
                <w:szCs w:val="24"/>
              </w:rPr>
              <w:t>月</w:t>
            </w:r>
          </w:p>
        </w:tc>
      </w:tr>
      <w:tr w:rsidR="00525419">
        <w:trPr>
          <w:trHeight w:val="397"/>
          <w:jc w:val="center"/>
        </w:trPr>
        <w:tc>
          <w:tcPr>
            <w:tcW w:w="515"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风速</w:t>
            </w:r>
          </w:p>
        </w:tc>
        <w:tc>
          <w:tcPr>
            <w:tcW w:w="63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1.11</w:t>
            </w:r>
          </w:p>
        </w:tc>
        <w:tc>
          <w:tcPr>
            <w:tcW w:w="63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1.22</w:t>
            </w:r>
          </w:p>
        </w:tc>
        <w:tc>
          <w:tcPr>
            <w:tcW w:w="63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1.31</w:t>
            </w:r>
          </w:p>
        </w:tc>
        <w:tc>
          <w:tcPr>
            <w:tcW w:w="63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1.61</w:t>
            </w:r>
          </w:p>
        </w:tc>
        <w:tc>
          <w:tcPr>
            <w:tcW w:w="63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1.62</w:t>
            </w:r>
          </w:p>
        </w:tc>
        <w:tc>
          <w:tcPr>
            <w:tcW w:w="63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1.43</w:t>
            </w:r>
          </w:p>
        </w:tc>
        <w:tc>
          <w:tcPr>
            <w:tcW w:w="63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1.47</w:t>
            </w:r>
          </w:p>
        </w:tc>
        <w:tc>
          <w:tcPr>
            <w:tcW w:w="63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1.36</w:t>
            </w:r>
          </w:p>
        </w:tc>
        <w:tc>
          <w:tcPr>
            <w:tcW w:w="63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1.25</w:t>
            </w:r>
          </w:p>
        </w:tc>
        <w:tc>
          <w:tcPr>
            <w:tcW w:w="74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1.10</w:t>
            </w:r>
          </w:p>
        </w:tc>
        <w:tc>
          <w:tcPr>
            <w:tcW w:w="736"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1.10</w:t>
            </w:r>
          </w:p>
        </w:tc>
        <w:tc>
          <w:tcPr>
            <w:tcW w:w="74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1.03</w:t>
            </w:r>
          </w:p>
        </w:tc>
      </w:tr>
    </w:tbl>
    <w:p w:rsidR="00525419" w:rsidRDefault="00525419">
      <w:pPr>
        <w:autoSpaceDE w:val="0"/>
        <w:autoSpaceDN w:val="0"/>
        <w:adjustRightInd w:val="0"/>
        <w:spacing w:line="360" w:lineRule="auto"/>
        <w:ind w:firstLineChars="200" w:firstLine="482"/>
        <w:jc w:val="center"/>
        <w:rPr>
          <w:rFonts w:ascii="Times New Roman" w:hAnsi="Times New Roman"/>
          <w:b/>
          <w:kern w:val="0"/>
          <w:sz w:val="24"/>
          <w:szCs w:val="24"/>
        </w:rPr>
      </w:pPr>
    </w:p>
    <w:p w:rsidR="00525419" w:rsidRDefault="00525419">
      <w:pPr>
        <w:autoSpaceDE w:val="0"/>
        <w:autoSpaceDN w:val="0"/>
        <w:adjustRightInd w:val="0"/>
        <w:spacing w:line="360" w:lineRule="auto"/>
        <w:ind w:firstLineChars="200" w:firstLine="482"/>
        <w:jc w:val="center"/>
        <w:rPr>
          <w:rFonts w:ascii="Times New Roman" w:hAnsi="Times New Roman"/>
          <w:b/>
          <w:kern w:val="0"/>
          <w:sz w:val="24"/>
          <w:szCs w:val="24"/>
        </w:rPr>
      </w:pPr>
    </w:p>
    <w:p w:rsidR="00525419" w:rsidRDefault="00525419">
      <w:pPr>
        <w:autoSpaceDE w:val="0"/>
        <w:autoSpaceDN w:val="0"/>
        <w:adjustRightInd w:val="0"/>
        <w:spacing w:line="360" w:lineRule="auto"/>
        <w:ind w:firstLineChars="200" w:firstLine="482"/>
        <w:jc w:val="center"/>
        <w:rPr>
          <w:rFonts w:ascii="Times New Roman" w:hAnsi="Times New Roman"/>
          <w:b/>
          <w:kern w:val="0"/>
          <w:sz w:val="24"/>
          <w:szCs w:val="24"/>
        </w:rPr>
      </w:pPr>
    </w:p>
    <w:p w:rsidR="00525419" w:rsidRDefault="00EE1CF7">
      <w:pPr>
        <w:autoSpaceDE w:val="0"/>
        <w:autoSpaceDN w:val="0"/>
        <w:adjustRightInd w:val="0"/>
        <w:spacing w:line="360" w:lineRule="auto"/>
        <w:ind w:firstLineChars="200" w:firstLine="420"/>
        <w:jc w:val="center"/>
        <w:rPr>
          <w:rFonts w:ascii="Times New Roman" w:hAnsi="Times New Roman"/>
          <w:b/>
          <w:kern w:val="0"/>
          <w:sz w:val="24"/>
          <w:szCs w:val="24"/>
        </w:rPr>
      </w:pPr>
      <w:r>
        <w:rPr>
          <w:rFonts w:ascii="Times New Roman" w:hAnsi="Times New Roman"/>
          <w:noProof/>
          <w:szCs w:val="24"/>
        </w:rPr>
        <w:drawing>
          <wp:anchor distT="0" distB="0" distL="114300" distR="114300" simplePos="0" relativeHeight="251618816" behindDoc="0" locked="0" layoutInCell="1" allowOverlap="1">
            <wp:simplePos x="0" y="0"/>
            <wp:positionH relativeFrom="column">
              <wp:posOffset>-111125</wp:posOffset>
            </wp:positionH>
            <wp:positionV relativeFrom="paragraph">
              <wp:posOffset>161290</wp:posOffset>
            </wp:positionV>
            <wp:extent cx="5495925" cy="2115820"/>
            <wp:effectExtent l="9525" t="9525" r="19050" b="27305"/>
            <wp:wrapNone/>
            <wp:docPr id="9" name="图表 5"/>
            <wp:cNvGraphicFramePr/>
            <a:graphic xmlns:a="http://schemas.openxmlformats.org/drawingml/2006/main">
              <a:graphicData uri="http://schemas.openxmlformats.org/drawingml/2006/picture">
                <pic:pic xmlns:pic="http://schemas.openxmlformats.org/drawingml/2006/picture">
                  <pic:nvPicPr>
                    <pic:cNvPr id="9" name="图表 5"/>
                    <pic:cNvPicPr/>
                  </pic:nvPicPr>
                  <pic:blipFill>
                    <a:blip r:embed="rId23"/>
                    <a:srcRect b="-171"/>
                    <a:stretch>
                      <a:fillRect/>
                    </a:stretch>
                  </pic:blipFill>
                  <pic:spPr>
                    <a:xfrm>
                      <a:off x="0" y="0"/>
                      <a:ext cx="5495925" cy="2115820"/>
                    </a:xfrm>
                    <a:prstGeom prst="rect">
                      <a:avLst/>
                    </a:prstGeom>
                    <a:noFill/>
                    <a:ln w="6350" cap="flat" cmpd="sng">
                      <a:solidFill>
                        <a:srgbClr val="000000"/>
                      </a:solidFill>
                      <a:prstDash val="solid"/>
                      <a:miter/>
                      <a:headEnd type="none" w="med" len="med"/>
                      <a:tailEnd type="none" w="med" len="med"/>
                    </a:ln>
                  </pic:spPr>
                </pic:pic>
              </a:graphicData>
            </a:graphic>
          </wp:anchor>
        </w:drawing>
      </w:r>
    </w:p>
    <w:p w:rsidR="00525419" w:rsidRDefault="00525419">
      <w:pPr>
        <w:autoSpaceDE w:val="0"/>
        <w:autoSpaceDN w:val="0"/>
        <w:adjustRightInd w:val="0"/>
        <w:spacing w:line="360" w:lineRule="auto"/>
        <w:ind w:firstLineChars="200" w:firstLine="482"/>
        <w:jc w:val="center"/>
        <w:rPr>
          <w:rFonts w:ascii="Times New Roman" w:hAnsi="Times New Roman"/>
          <w:b/>
          <w:kern w:val="0"/>
          <w:sz w:val="24"/>
          <w:szCs w:val="24"/>
        </w:rPr>
      </w:pPr>
    </w:p>
    <w:p w:rsidR="00525419" w:rsidRDefault="00525419">
      <w:pPr>
        <w:autoSpaceDE w:val="0"/>
        <w:autoSpaceDN w:val="0"/>
        <w:adjustRightInd w:val="0"/>
        <w:spacing w:line="360" w:lineRule="auto"/>
        <w:ind w:firstLineChars="200" w:firstLine="482"/>
        <w:jc w:val="center"/>
        <w:rPr>
          <w:rFonts w:ascii="Times New Roman" w:hAnsi="Times New Roman"/>
          <w:b/>
          <w:kern w:val="0"/>
          <w:sz w:val="24"/>
          <w:szCs w:val="24"/>
        </w:rPr>
      </w:pPr>
    </w:p>
    <w:p w:rsidR="00525419" w:rsidRDefault="00525419">
      <w:pPr>
        <w:autoSpaceDE w:val="0"/>
        <w:autoSpaceDN w:val="0"/>
        <w:adjustRightInd w:val="0"/>
        <w:spacing w:line="360" w:lineRule="auto"/>
        <w:ind w:firstLineChars="200" w:firstLine="482"/>
        <w:jc w:val="center"/>
        <w:rPr>
          <w:rFonts w:ascii="Times New Roman" w:hAnsi="Times New Roman"/>
          <w:b/>
          <w:kern w:val="0"/>
          <w:sz w:val="24"/>
          <w:szCs w:val="24"/>
        </w:rPr>
      </w:pPr>
    </w:p>
    <w:p w:rsidR="00525419" w:rsidRDefault="00525419">
      <w:pPr>
        <w:autoSpaceDE w:val="0"/>
        <w:autoSpaceDN w:val="0"/>
        <w:adjustRightInd w:val="0"/>
        <w:spacing w:line="360" w:lineRule="auto"/>
        <w:ind w:firstLineChars="200" w:firstLine="482"/>
        <w:jc w:val="center"/>
        <w:rPr>
          <w:rFonts w:ascii="Times New Roman" w:hAnsi="Times New Roman"/>
          <w:b/>
          <w:kern w:val="0"/>
          <w:sz w:val="24"/>
          <w:szCs w:val="24"/>
        </w:rPr>
      </w:pPr>
    </w:p>
    <w:p w:rsidR="00525419" w:rsidRDefault="00525419">
      <w:pPr>
        <w:autoSpaceDE w:val="0"/>
        <w:autoSpaceDN w:val="0"/>
        <w:adjustRightInd w:val="0"/>
        <w:spacing w:line="360" w:lineRule="auto"/>
        <w:ind w:firstLineChars="200" w:firstLine="482"/>
        <w:jc w:val="center"/>
        <w:rPr>
          <w:rFonts w:ascii="Times New Roman" w:hAnsi="Times New Roman"/>
          <w:b/>
          <w:kern w:val="0"/>
          <w:sz w:val="24"/>
          <w:szCs w:val="24"/>
        </w:rPr>
      </w:pPr>
    </w:p>
    <w:p w:rsidR="00525419" w:rsidRDefault="00525419">
      <w:pPr>
        <w:autoSpaceDE w:val="0"/>
        <w:autoSpaceDN w:val="0"/>
        <w:adjustRightInd w:val="0"/>
        <w:spacing w:line="360" w:lineRule="auto"/>
        <w:ind w:firstLineChars="200" w:firstLine="482"/>
        <w:jc w:val="center"/>
        <w:rPr>
          <w:rFonts w:ascii="Times New Roman" w:hAnsi="Times New Roman"/>
          <w:b/>
          <w:kern w:val="0"/>
          <w:sz w:val="24"/>
          <w:szCs w:val="24"/>
        </w:rPr>
      </w:pPr>
    </w:p>
    <w:p w:rsidR="00525419" w:rsidRDefault="00525419">
      <w:pPr>
        <w:autoSpaceDE w:val="0"/>
        <w:autoSpaceDN w:val="0"/>
        <w:adjustRightInd w:val="0"/>
        <w:spacing w:line="360" w:lineRule="auto"/>
        <w:ind w:firstLineChars="200" w:firstLine="482"/>
        <w:jc w:val="center"/>
        <w:rPr>
          <w:rFonts w:ascii="Times New Roman" w:hAnsi="Times New Roman"/>
          <w:b/>
          <w:kern w:val="0"/>
          <w:sz w:val="24"/>
          <w:szCs w:val="24"/>
        </w:rPr>
      </w:pPr>
    </w:p>
    <w:p w:rsidR="00525419" w:rsidRDefault="00EE1CF7">
      <w:pPr>
        <w:widowControl/>
        <w:adjustRightInd w:val="0"/>
        <w:snapToGrid w:val="0"/>
        <w:spacing w:before="120"/>
        <w:jc w:val="center"/>
        <w:rPr>
          <w:rFonts w:ascii="Times New Roman" w:hAnsi="Times New Roman"/>
          <w:b/>
          <w:snapToGrid w:val="0"/>
          <w:kern w:val="0"/>
          <w:sz w:val="24"/>
          <w:szCs w:val="28"/>
        </w:rPr>
      </w:pPr>
      <w:r>
        <w:rPr>
          <w:rFonts w:ascii="Times New Roman" w:hAnsi="Times New Roman"/>
          <w:b/>
          <w:snapToGrid w:val="0"/>
          <w:kern w:val="0"/>
          <w:sz w:val="24"/>
          <w:szCs w:val="28"/>
        </w:rPr>
        <w:t>图</w:t>
      </w:r>
      <w:r>
        <w:rPr>
          <w:rFonts w:ascii="Times New Roman" w:hAnsi="Times New Roman"/>
          <w:b/>
          <w:snapToGrid w:val="0"/>
          <w:kern w:val="0"/>
          <w:sz w:val="24"/>
          <w:szCs w:val="28"/>
        </w:rPr>
        <w:t xml:space="preserve">5.1-2   </w:t>
      </w:r>
      <w:r>
        <w:rPr>
          <w:rFonts w:ascii="Times New Roman" w:hAnsi="Times New Roman"/>
          <w:b/>
          <w:snapToGrid w:val="0"/>
          <w:kern w:val="0"/>
          <w:sz w:val="24"/>
          <w:szCs w:val="28"/>
        </w:rPr>
        <w:t>年平均风速月变化曲线图</w:t>
      </w:r>
    </w:p>
    <w:p w:rsidR="00525419" w:rsidRDefault="00525419">
      <w:pPr>
        <w:widowControl/>
        <w:jc w:val="center"/>
        <w:rPr>
          <w:rFonts w:ascii="Times New Roman" w:hAnsi="Times New Roman"/>
          <w:kern w:val="0"/>
          <w:szCs w:val="24"/>
        </w:rPr>
      </w:pP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季小时平均风速的日变化分别见表</w:t>
      </w:r>
      <w:r>
        <w:rPr>
          <w:rFonts w:ascii="Times New Roman" w:hAnsi="Times New Roman"/>
          <w:kern w:val="0"/>
          <w:sz w:val="24"/>
          <w:szCs w:val="24"/>
        </w:rPr>
        <w:t>5.1-3</w:t>
      </w:r>
      <w:r>
        <w:rPr>
          <w:rFonts w:ascii="Times New Roman" w:hAnsi="Times New Roman"/>
          <w:kern w:val="0"/>
          <w:sz w:val="24"/>
          <w:szCs w:val="24"/>
        </w:rPr>
        <w:t>和图</w:t>
      </w:r>
      <w:r>
        <w:rPr>
          <w:rFonts w:ascii="Times New Roman" w:hAnsi="Times New Roman"/>
          <w:kern w:val="0"/>
          <w:sz w:val="24"/>
          <w:szCs w:val="24"/>
        </w:rPr>
        <w:t>5.1-3</w:t>
      </w:r>
      <w:r>
        <w:rPr>
          <w:rFonts w:ascii="Times New Roman" w:hAnsi="Times New Roman"/>
          <w:kern w:val="0"/>
          <w:sz w:val="24"/>
          <w:szCs w:val="24"/>
        </w:rPr>
        <w:t>。</w:t>
      </w:r>
    </w:p>
    <w:p w:rsidR="00525419" w:rsidRDefault="00EE1CF7">
      <w:pPr>
        <w:widowControl/>
        <w:adjustRightInd w:val="0"/>
        <w:snapToGrid w:val="0"/>
        <w:spacing w:before="120"/>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5.1-3    </w:t>
      </w:r>
      <w:r>
        <w:rPr>
          <w:rFonts w:ascii="Times New Roman" w:eastAsia="黑体" w:hAnsi="Times New Roman"/>
          <w:szCs w:val="21"/>
        </w:rPr>
        <w:t>季小时平均风速日变化统计结果一览表单位：</w:t>
      </w:r>
      <w:r>
        <w:rPr>
          <w:rFonts w:ascii="Times New Roman" w:eastAsia="黑体" w:hAnsi="Times New Roman"/>
          <w:szCs w:val="21"/>
        </w:rPr>
        <w:t>m/s</w:t>
      </w:r>
    </w:p>
    <w:tbl>
      <w:tblPr>
        <w:tblW w:w="831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50"/>
        <w:gridCol w:w="908"/>
        <w:gridCol w:w="510"/>
        <w:gridCol w:w="515"/>
        <w:gridCol w:w="515"/>
        <w:gridCol w:w="515"/>
        <w:gridCol w:w="515"/>
        <w:gridCol w:w="515"/>
        <w:gridCol w:w="515"/>
        <w:gridCol w:w="515"/>
        <w:gridCol w:w="515"/>
        <w:gridCol w:w="515"/>
        <w:gridCol w:w="515"/>
      </w:tblGrid>
      <w:tr w:rsidR="00525419">
        <w:trPr>
          <w:trHeight w:val="386"/>
          <w:jc w:val="center"/>
        </w:trPr>
        <w:tc>
          <w:tcPr>
            <w:tcW w:w="175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风速</w:t>
            </w:r>
            <w:r>
              <w:rPr>
                <w:rFonts w:ascii="Times New Roman" w:hAnsi="Times New Roman"/>
                <w:kern w:val="0"/>
                <w:szCs w:val="24"/>
              </w:rPr>
              <w:t>(m/s)\</w:t>
            </w:r>
            <w:r>
              <w:rPr>
                <w:rFonts w:ascii="Times New Roman" w:hAnsi="Times New Roman"/>
                <w:kern w:val="0"/>
                <w:szCs w:val="24"/>
              </w:rPr>
              <w:t>小时</w:t>
            </w:r>
            <w:r>
              <w:rPr>
                <w:rFonts w:ascii="Times New Roman" w:hAnsi="Times New Roman"/>
                <w:kern w:val="0"/>
                <w:szCs w:val="24"/>
              </w:rPr>
              <w:t>(h)</w:t>
            </w:r>
          </w:p>
        </w:tc>
        <w:tc>
          <w:tcPr>
            <w:tcW w:w="90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w:t>
            </w:r>
          </w:p>
        </w:tc>
        <w:tc>
          <w:tcPr>
            <w:tcW w:w="51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w:t>
            </w:r>
          </w:p>
        </w:tc>
        <w:tc>
          <w:tcPr>
            <w:tcW w:w="515"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w:t>
            </w:r>
          </w:p>
        </w:tc>
        <w:tc>
          <w:tcPr>
            <w:tcW w:w="515"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w:t>
            </w:r>
          </w:p>
        </w:tc>
        <w:tc>
          <w:tcPr>
            <w:tcW w:w="515"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w:t>
            </w:r>
          </w:p>
        </w:tc>
        <w:tc>
          <w:tcPr>
            <w:tcW w:w="515"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6</w:t>
            </w:r>
          </w:p>
        </w:tc>
        <w:tc>
          <w:tcPr>
            <w:tcW w:w="515"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7</w:t>
            </w:r>
          </w:p>
        </w:tc>
        <w:tc>
          <w:tcPr>
            <w:tcW w:w="515"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8</w:t>
            </w:r>
          </w:p>
        </w:tc>
        <w:tc>
          <w:tcPr>
            <w:tcW w:w="515"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9</w:t>
            </w:r>
          </w:p>
        </w:tc>
        <w:tc>
          <w:tcPr>
            <w:tcW w:w="515"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10</w:t>
            </w:r>
          </w:p>
        </w:tc>
        <w:tc>
          <w:tcPr>
            <w:tcW w:w="515"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11</w:t>
            </w:r>
          </w:p>
        </w:tc>
        <w:tc>
          <w:tcPr>
            <w:tcW w:w="515"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12</w:t>
            </w:r>
          </w:p>
        </w:tc>
      </w:tr>
      <w:tr w:rsidR="00525419">
        <w:trPr>
          <w:trHeight w:val="386"/>
          <w:jc w:val="center"/>
        </w:trPr>
        <w:tc>
          <w:tcPr>
            <w:tcW w:w="175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春季</w:t>
            </w:r>
          </w:p>
        </w:tc>
        <w:tc>
          <w:tcPr>
            <w:tcW w:w="908"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1.29</w:t>
            </w:r>
          </w:p>
        </w:tc>
        <w:tc>
          <w:tcPr>
            <w:tcW w:w="510"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1.52</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1.84</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2.24</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2.23</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2.19</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2.06</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2.16</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2.09</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1.97</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1.79</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1.47</w:t>
            </w:r>
          </w:p>
        </w:tc>
      </w:tr>
      <w:tr w:rsidR="00525419">
        <w:trPr>
          <w:trHeight w:val="386"/>
          <w:jc w:val="center"/>
        </w:trPr>
        <w:tc>
          <w:tcPr>
            <w:tcW w:w="175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夏季</w:t>
            </w:r>
          </w:p>
        </w:tc>
        <w:tc>
          <w:tcPr>
            <w:tcW w:w="908"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1.16</w:t>
            </w:r>
          </w:p>
        </w:tc>
        <w:tc>
          <w:tcPr>
            <w:tcW w:w="510"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1.39</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1.58</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1.77</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1.81</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1.74</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1.73</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2.01</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2.02</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1.93</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1.84</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1.40</w:t>
            </w:r>
          </w:p>
        </w:tc>
      </w:tr>
      <w:tr w:rsidR="00525419">
        <w:trPr>
          <w:trHeight w:val="386"/>
          <w:jc w:val="center"/>
        </w:trPr>
        <w:tc>
          <w:tcPr>
            <w:tcW w:w="175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秋季</w:t>
            </w:r>
          </w:p>
        </w:tc>
        <w:tc>
          <w:tcPr>
            <w:tcW w:w="908"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0.94</w:t>
            </w:r>
          </w:p>
        </w:tc>
        <w:tc>
          <w:tcPr>
            <w:tcW w:w="510"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1.20</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1.64</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1.86</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1.89</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1.93</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1.84</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1.70</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1.63</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1.43</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1.01</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1.01</w:t>
            </w:r>
          </w:p>
        </w:tc>
      </w:tr>
      <w:tr w:rsidR="00525419">
        <w:trPr>
          <w:trHeight w:val="386"/>
          <w:jc w:val="center"/>
        </w:trPr>
        <w:tc>
          <w:tcPr>
            <w:tcW w:w="175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冬季</w:t>
            </w:r>
          </w:p>
        </w:tc>
        <w:tc>
          <w:tcPr>
            <w:tcW w:w="908"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0.82</w:t>
            </w:r>
          </w:p>
        </w:tc>
        <w:tc>
          <w:tcPr>
            <w:tcW w:w="510"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0.93</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1.18</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1.61</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1.87</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1.90</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1.82</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1.82</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1.78</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1.71</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1.35</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1.09</w:t>
            </w:r>
          </w:p>
        </w:tc>
      </w:tr>
      <w:tr w:rsidR="00525419">
        <w:trPr>
          <w:trHeight w:val="386"/>
          <w:jc w:val="center"/>
        </w:trPr>
        <w:tc>
          <w:tcPr>
            <w:tcW w:w="175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风速</w:t>
            </w:r>
            <w:r>
              <w:rPr>
                <w:rFonts w:ascii="Times New Roman" w:hAnsi="Times New Roman"/>
                <w:kern w:val="0"/>
                <w:szCs w:val="24"/>
              </w:rPr>
              <w:t>(m/s)\</w:t>
            </w:r>
            <w:r>
              <w:rPr>
                <w:rFonts w:ascii="Times New Roman" w:hAnsi="Times New Roman"/>
                <w:kern w:val="0"/>
                <w:szCs w:val="24"/>
              </w:rPr>
              <w:t>小时</w:t>
            </w:r>
            <w:r>
              <w:rPr>
                <w:rFonts w:ascii="Times New Roman" w:hAnsi="Times New Roman"/>
                <w:kern w:val="0"/>
                <w:szCs w:val="24"/>
              </w:rPr>
              <w:t>(h)</w:t>
            </w:r>
          </w:p>
        </w:tc>
        <w:tc>
          <w:tcPr>
            <w:tcW w:w="90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13</w:t>
            </w:r>
          </w:p>
        </w:tc>
        <w:tc>
          <w:tcPr>
            <w:tcW w:w="51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14</w:t>
            </w:r>
          </w:p>
        </w:tc>
        <w:tc>
          <w:tcPr>
            <w:tcW w:w="515"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15</w:t>
            </w:r>
          </w:p>
        </w:tc>
        <w:tc>
          <w:tcPr>
            <w:tcW w:w="515"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16</w:t>
            </w:r>
          </w:p>
        </w:tc>
        <w:tc>
          <w:tcPr>
            <w:tcW w:w="515"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17</w:t>
            </w:r>
          </w:p>
        </w:tc>
        <w:tc>
          <w:tcPr>
            <w:tcW w:w="515"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18</w:t>
            </w:r>
          </w:p>
        </w:tc>
        <w:tc>
          <w:tcPr>
            <w:tcW w:w="515"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19</w:t>
            </w:r>
          </w:p>
        </w:tc>
        <w:tc>
          <w:tcPr>
            <w:tcW w:w="515"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20</w:t>
            </w:r>
          </w:p>
        </w:tc>
        <w:tc>
          <w:tcPr>
            <w:tcW w:w="515"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21</w:t>
            </w:r>
          </w:p>
        </w:tc>
        <w:tc>
          <w:tcPr>
            <w:tcW w:w="515"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22</w:t>
            </w:r>
          </w:p>
        </w:tc>
        <w:tc>
          <w:tcPr>
            <w:tcW w:w="515"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23</w:t>
            </w:r>
          </w:p>
        </w:tc>
        <w:tc>
          <w:tcPr>
            <w:tcW w:w="515"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24</w:t>
            </w:r>
          </w:p>
        </w:tc>
      </w:tr>
      <w:tr w:rsidR="00525419">
        <w:trPr>
          <w:trHeight w:val="386"/>
          <w:jc w:val="center"/>
        </w:trPr>
        <w:tc>
          <w:tcPr>
            <w:tcW w:w="175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春季</w:t>
            </w:r>
          </w:p>
        </w:tc>
        <w:tc>
          <w:tcPr>
            <w:tcW w:w="908"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1.17</w:t>
            </w:r>
          </w:p>
        </w:tc>
        <w:tc>
          <w:tcPr>
            <w:tcW w:w="510"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1.20</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1.21</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1.20</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1.18</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1.11</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1.11</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1.03</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0.97</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1.02</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1.13</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1.12</w:t>
            </w:r>
          </w:p>
        </w:tc>
      </w:tr>
      <w:tr w:rsidR="00525419">
        <w:trPr>
          <w:trHeight w:val="386"/>
          <w:jc w:val="center"/>
        </w:trPr>
        <w:tc>
          <w:tcPr>
            <w:tcW w:w="175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夏季</w:t>
            </w:r>
          </w:p>
        </w:tc>
        <w:tc>
          <w:tcPr>
            <w:tcW w:w="908"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1.12</w:t>
            </w:r>
          </w:p>
        </w:tc>
        <w:tc>
          <w:tcPr>
            <w:tcW w:w="510"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1.15</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1.07</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1.25</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1.26</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1.21</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1.12</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1.15</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1.12</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1.08</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1.07</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1.09</w:t>
            </w:r>
          </w:p>
        </w:tc>
      </w:tr>
      <w:tr w:rsidR="00525419">
        <w:trPr>
          <w:trHeight w:val="386"/>
          <w:jc w:val="center"/>
        </w:trPr>
        <w:tc>
          <w:tcPr>
            <w:tcW w:w="175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秋季</w:t>
            </w:r>
          </w:p>
        </w:tc>
        <w:tc>
          <w:tcPr>
            <w:tcW w:w="908"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0.86</w:t>
            </w:r>
          </w:p>
        </w:tc>
        <w:tc>
          <w:tcPr>
            <w:tcW w:w="510"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0.81</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0.76</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0.76</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0.67</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0.78</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0.68</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0.74</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0.76</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0.83</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0.94</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0.88</w:t>
            </w:r>
          </w:p>
        </w:tc>
      </w:tr>
      <w:tr w:rsidR="00525419">
        <w:trPr>
          <w:trHeight w:val="386"/>
          <w:jc w:val="center"/>
        </w:trPr>
        <w:tc>
          <w:tcPr>
            <w:tcW w:w="175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冬季</w:t>
            </w:r>
          </w:p>
        </w:tc>
        <w:tc>
          <w:tcPr>
            <w:tcW w:w="908"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0.92</w:t>
            </w:r>
          </w:p>
        </w:tc>
        <w:tc>
          <w:tcPr>
            <w:tcW w:w="510"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0.93</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0.86</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0.67</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0.67</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0.64</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0.66</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0.64</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0.66</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0.75</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0.80</w:t>
            </w:r>
          </w:p>
        </w:tc>
        <w:tc>
          <w:tcPr>
            <w:tcW w:w="515" w:type="dxa"/>
            <w:tcMar>
              <w:left w:w="0" w:type="dxa"/>
              <w:right w:w="0" w:type="dxa"/>
            </w:tcMar>
            <w:vAlign w:val="center"/>
          </w:tcPr>
          <w:p w:rsidR="00525419" w:rsidRDefault="00EE1CF7">
            <w:pPr>
              <w:widowControl/>
              <w:jc w:val="center"/>
              <w:rPr>
                <w:rFonts w:ascii="Times New Roman" w:hAnsi="Times New Roman"/>
                <w:kern w:val="0"/>
                <w:sz w:val="24"/>
                <w:szCs w:val="24"/>
              </w:rPr>
            </w:pPr>
            <w:r>
              <w:rPr>
                <w:rFonts w:ascii="Times New Roman" w:hAnsi="Times New Roman"/>
                <w:kern w:val="0"/>
                <w:szCs w:val="24"/>
              </w:rPr>
              <w:t>0.77</w:t>
            </w:r>
          </w:p>
        </w:tc>
      </w:tr>
    </w:tbl>
    <w:p w:rsidR="00525419" w:rsidRDefault="00525419">
      <w:pPr>
        <w:widowControl/>
        <w:spacing w:line="360" w:lineRule="auto"/>
        <w:ind w:firstLineChars="200" w:firstLine="480"/>
        <w:jc w:val="left"/>
        <w:rPr>
          <w:rFonts w:ascii="Times New Roman" w:hAnsi="Times New Roman"/>
          <w:kern w:val="0"/>
          <w:sz w:val="24"/>
          <w:szCs w:val="24"/>
        </w:rPr>
      </w:pP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noProof/>
          <w:kern w:val="0"/>
          <w:sz w:val="24"/>
          <w:szCs w:val="24"/>
        </w:rPr>
        <w:lastRenderedPageBreak/>
        <w:drawing>
          <wp:anchor distT="0" distB="0" distL="114300" distR="114300" simplePos="0" relativeHeight="251619840" behindDoc="0" locked="0" layoutInCell="1" allowOverlap="1">
            <wp:simplePos x="0" y="0"/>
            <wp:positionH relativeFrom="column">
              <wp:posOffset>156845</wp:posOffset>
            </wp:positionH>
            <wp:positionV relativeFrom="paragraph">
              <wp:posOffset>-153670</wp:posOffset>
            </wp:positionV>
            <wp:extent cx="5276850" cy="2200275"/>
            <wp:effectExtent l="9525" t="9525" r="9525" b="19050"/>
            <wp:wrapNone/>
            <wp:docPr id="13" name="图表 6"/>
            <wp:cNvGraphicFramePr/>
            <a:graphic xmlns:a="http://schemas.openxmlformats.org/drawingml/2006/main">
              <a:graphicData uri="http://schemas.openxmlformats.org/drawingml/2006/picture">
                <pic:pic xmlns:pic="http://schemas.openxmlformats.org/drawingml/2006/picture">
                  <pic:nvPicPr>
                    <pic:cNvPr id="13" name="图表 6"/>
                    <pic:cNvPicPr/>
                  </pic:nvPicPr>
                  <pic:blipFill>
                    <a:blip r:embed="rId24"/>
                    <a:stretch>
                      <a:fillRect/>
                    </a:stretch>
                  </pic:blipFill>
                  <pic:spPr>
                    <a:xfrm>
                      <a:off x="0" y="0"/>
                      <a:ext cx="5276850" cy="2200275"/>
                    </a:xfrm>
                    <a:prstGeom prst="rect">
                      <a:avLst/>
                    </a:prstGeom>
                    <a:noFill/>
                    <a:ln w="6350" cap="flat" cmpd="sng">
                      <a:solidFill>
                        <a:srgbClr val="000000"/>
                      </a:solidFill>
                      <a:prstDash val="solid"/>
                      <a:miter/>
                      <a:headEnd type="none" w="med" len="med"/>
                      <a:tailEnd type="none" w="med" len="med"/>
                    </a:ln>
                  </pic:spPr>
                </pic:pic>
              </a:graphicData>
            </a:graphic>
          </wp:anchor>
        </w:drawing>
      </w:r>
    </w:p>
    <w:p w:rsidR="00525419" w:rsidRDefault="00525419">
      <w:pPr>
        <w:widowControl/>
        <w:spacing w:line="360" w:lineRule="auto"/>
        <w:ind w:firstLineChars="200" w:firstLine="480"/>
        <w:jc w:val="left"/>
        <w:rPr>
          <w:rFonts w:ascii="Times New Roman" w:hAnsi="Times New Roman"/>
          <w:kern w:val="0"/>
          <w:sz w:val="24"/>
          <w:szCs w:val="24"/>
        </w:rPr>
      </w:pPr>
    </w:p>
    <w:p w:rsidR="00525419" w:rsidRDefault="00525419">
      <w:pPr>
        <w:widowControl/>
        <w:spacing w:line="360" w:lineRule="auto"/>
        <w:ind w:firstLineChars="200" w:firstLine="480"/>
        <w:jc w:val="left"/>
        <w:rPr>
          <w:rFonts w:ascii="Times New Roman" w:hAnsi="Times New Roman"/>
          <w:kern w:val="0"/>
          <w:sz w:val="24"/>
          <w:szCs w:val="24"/>
        </w:rPr>
      </w:pPr>
    </w:p>
    <w:p w:rsidR="00525419" w:rsidRDefault="00525419">
      <w:pPr>
        <w:widowControl/>
        <w:spacing w:line="360" w:lineRule="auto"/>
        <w:ind w:firstLineChars="200" w:firstLine="480"/>
        <w:jc w:val="left"/>
        <w:rPr>
          <w:rFonts w:ascii="Times New Roman" w:hAnsi="Times New Roman"/>
          <w:kern w:val="0"/>
          <w:sz w:val="24"/>
          <w:szCs w:val="24"/>
        </w:rPr>
      </w:pPr>
    </w:p>
    <w:p w:rsidR="00525419" w:rsidRDefault="00525419">
      <w:pPr>
        <w:widowControl/>
        <w:spacing w:line="360" w:lineRule="auto"/>
        <w:ind w:firstLineChars="200" w:firstLine="480"/>
        <w:jc w:val="left"/>
        <w:rPr>
          <w:rFonts w:ascii="Times New Roman" w:hAnsi="Times New Roman"/>
          <w:kern w:val="0"/>
          <w:sz w:val="24"/>
          <w:szCs w:val="24"/>
        </w:rPr>
      </w:pPr>
    </w:p>
    <w:p w:rsidR="00525419" w:rsidRDefault="00525419">
      <w:pPr>
        <w:widowControl/>
        <w:adjustRightInd w:val="0"/>
        <w:snapToGrid w:val="0"/>
        <w:spacing w:before="120"/>
        <w:jc w:val="center"/>
        <w:rPr>
          <w:rFonts w:ascii="Times New Roman" w:hAnsi="Times New Roman"/>
          <w:b/>
          <w:snapToGrid w:val="0"/>
          <w:kern w:val="0"/>
          <w:sz w:val="24"/>
          <w:szCs w:val="28"/>
        </w:rPr>
      </w:pPr>
    </w:p>
    <w:p w:rsidR="00525419" w:rsidRDefault="00525419">
      <w:pPr>
        <w:widowControl/>
        <w:adjustRightInd w:val="0"/>
        <w:snapToGrid w:val="0"/>
        <w:spacing w:before="120"/>
        <w:jc w:val="center"/>
        <w:rPr>
          <w:rFonts w:ascii="Times New Roman" w:hAnsi="Times New Roman"/>
          <w:b/>
          <w:snapToGrid w:val="0"/>
          <w:kern w:val="0"/>
          <w:sz w:val="24"/>
          <w:szCs w:val="28"/>
        </w:rPr>
      </w:pPr>
    </w:p>
    <w:p w:rsidR="00525419" w:rsidRDefault="00EE1CF7">
      <w:pPr>
        <w:widowControl/>
        <w:adjustRightInd w:val="0"/>
        <w:snapToGrid w:val="0"/>
        <w:spacing w:before="120"/>
        <w:jc w:val="center"/>
        <w:rPr>
          <w:rFonts w:ascii="Times New Roman" w:hAnsi="Times New Roman"/>
          <w:b/>
          <w:snapToGrid w:val="0"/>
          <w:kern w:val="0"/>
          <w:sz w:val="24"/>
          <w:szCs w:val="28"/>
        </w:rPr>
      </w:pPr>
      <w:r>
        <w:rPr>
          <w:rFonts w:ascii="Times New Roman" w:hAnsi="Times New Roman"/>
          <w:b/>
          <w:snapToGrid w:val="0"/>
          <w:kern w:val="0"/>
          <w:sz w:val="24"/>
          <w:szCs w:val="28"/>
        </w:rPr>
        <w:t>图</w:t>
      </w:r>
      <w:r>
        <w:rPr>
          <w:rFonts w:ascii="Times New Roman" w:hAnsi="Times New Roman"/>
          <w:b/>
          <w:snapToGrid w:val="0"/>
          <w:kern w:val="0"/>
          <w:sz w:val="24"/>
          <w:szCs w:val="28"/>
        </w:rPr>
        <w:t xml:space="preserve">5.1-3    </w:t>
      </w:r>
      <w:r>
        <w:rPr>
          <w:rFonts w:ascii="Times New Roman" w:hAnsi="Times New Roman"/>
          <w:b/>
          <w:snapToGrid w:val="0"/>
          <w:kern w:val="0"/>
          <w:sz w:val="24"/>
          <w:szCs w:val="28"/>
        </w:rPr>
        <w:t>季小时平均风速的日变化曲线图</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3</w:t>
      </w:r>
      <w:r>
        <w:rPr>
          <w:rFonts w:ascii="Times New Roman" w:hAnsi="Times New Roman"/>
          <w:kern w:val="0"/>
          <w:sz w:val="24"/>
          <w:szCs w:val="24"/>
        </w:rPr>
        <w:t>）风向、风频</w:t>
      </w:r>
    </w:p>
    <w:p w:rsidR="00525419" w:rsidRDefault="00EE1CF7">
      <w:pPr>
        <w:widowControl/>
        <w:spacing w:line="360" w:lineRule="auto"/>
        <w:ind w:firstLineChars="200" w:firstLine="480"/>
        <w:jc w:val="left"/>
        <w:rPr>
          <w:rFonts w:ascii="Times New Roman" w:eastAsia="楷体_GB2312" w:hAnsi="Times New Roman"/>
          <w:kern w:val="0"/>
          <w:sz w:val="24"/>
          <w:szCs w:val="24"/>
        </w:rPr>
      </w:pPr>
      <w:r>
        <w:rPr>
          <w:rFonts w:ascii="Times New Roman" w:hAnsi="Times New Roman"/>
          <w:kern w:val="0"/>
          <w:sz w:val="24"/>
          <w:szCs w:val="24"/>
        </w:rPr>
        <w:t>评价区域月、季、年风频统计结果见表</w:t>
      </w:r>
      <w:r>
        <w:rPr>
          <w:rFonts w:ascii="Times New Roman" w:hAnsi="Times New Roman"/>
          <w:kern w:val="0"/>
          <w:sz w:val="24"/>
          <w:szCs w:val="24"/>
        </w:rPr>
        <w:t>5.14</w:t>
      </w:r>
      <w:r>
        <w:rPr>
          <w:rFonts w:ascii="Times New Roman" w:hAnsi="Times New Roman" w:hint="eastAsia"/>
          <w:kern w:val="0"/>
          <w:sz w:val="24"/>
          <w:szCs w:val="24"/>
        </w:rPr>
        <w:t>，</w:t>
      </w:r>
      <w:r>
        <w:rPr>
          <w:rFonts w:ascii="Times New Roman" w:hAnsi="Times New Roman"/>
          <w:kern w:val="0"/>
          <w:sz w:val="24"/>
          <w:szCs w:val="24"/>
        </w:rPr>
        <w:t>风频玫瑰见图</w:t>
      </w:r>
      <w:r>
        <w:rPr>
          <w:rFonts w:ascii="Times New Roman" w:hAnsi="Times New Roman"/>
          <w:kern w:val="0"/>
          <w:sz w:val="24"/>
          <w:szCs w:val="24"/>
        </w:rPr>
        <w:t>5.1-4</w:t>
      </w:r>
      <w:r>
        <w:rPr>
          <w:rFonts w:ascii="Times New Roman" w:hAnsi="Times New Roman"/>
          <w:kern w:val="0"/>
          <w:sz w:val="24"/>
          <w:szCs w:val="24"/>
        </w:rPr>
        <w:t>。</w:t>
      </w:r>
    </w:p>
    <w:p w:rsidR="00525419" w:rsidRDefault="00EE1CF7">
      <w:pPr>
        <w:widowControl/>
        <w:adjustRightInd w:val="0"/>
        <w:snapToGrid w:val="0"/>
        <w:spacing w:before="120"/>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5.1-4   </w:t>
      </w:r>
      <w:r>
        <w:rPr>
          <w:rFonts w:ascii="Times New Roman" w:eastAsia="黑体" w:hAnsi="Times New Roman"/>
          <w:szCs w:val="21"/>
        </w:rPr>
        <w:t>月、季、年风频统计结果</w:t>
      </w:r>
    </w:p>
    <w:tbl>
      <w:tblPr>
        <w:tblW w:w="83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426"/>
        <w:gridCol w:w="426"/>
        <w:gridCol w:w="448"/>
        <w:gridCol w:w="404"/>
        <w:gridCol w:w="489"/>
        <w:gridCol w:w="489"/>
        <w:gridCol w:w="489"/>
        <w:gridCol w:w="426"/>
        <w:gridCol w:w="424"/>
        <w:gridCol w:w="424"/>
        <w:gridCol w:w="448"/>
        <w:gridCol w:w="489"/>
        <w:gridCol w:w="530"/>
        <w:gridCol w:w="402"/>
        <w:gridCol w:w="565"/>
        <w:gridCol w:w="424"/>
        <w:gridCol w:w="518"/>
        <w:gridCol w:w="496"/>
      </w:tblGrid>
      <w:tr w:rsidR="00525419">
        <w:trPr>
          <w:trHeight w:val="90"/>
          <w:jc w:val="center"/>
        </w:trPr>
        <w:tc>
          <w:tcPr>
            <w:tcW w:w="42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月份</w:t>
            </w:r>
          </w:p>
        </w:tc>
        <w:tc>
          <w:tcPr>
            <w:tcW w:w="42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N</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NNE</w:t>
            </w:r>
          </w:p>
        </w:tc>
        <w:tc>
          <w:tcPr>
            <w:tcW w:w="404"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NE</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ENE</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E</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ESE</w:t>
            </w:r>
          </w:p>
        </w:tc>
        <w:tc>
          <w:tcPr>
            <w:tcW w:w="42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SE</w:t>
            </w:r>
          </w:p>
        </w:tc>
        <w:tc>
          <w:tcPr>
            <w:tcW w:w="424"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SSE</w:t>
            </w:r>
          </w:p>
        </w:tc>
        <w:tc>
          <w:tcPr>
            <w:tcW w:w="424"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S</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SSW</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SW</w:t>
            </w:r>
          </w:p>
        </w:tc>
        <w:tc>
          <w:tcPr>
            <w:tcW w:w="53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WSW</w:t>
            </w:r>
          </w:p>
        </w:tc>
        <w:tc>
          <w:tcPr>
            <w:tcW w:w="40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w:t>
            </w:r>
          </w:p>
        </w:tc>
        <w:tc>
          <w:tcPr>
            <w:tcW w:w="565"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WNW</w:t>
            </w:r>
          </w:p>
        </w:tc>
        <w:tc>
          <w:tcPr>
            <w:tcW w:w="424"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NW</w:t>
            </w:r>
          </w:p>
        </w:tc>
        <w:tc>
          <w:tcPr>
            <w:tcW w:w="51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NNW</w:t>
            </w:r>
          </w:p>
        </w:tc>
        <w:tc>
          <w:tcPr>
            <w:tcW w:w="49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静风</w:t>
            </w:r>
          </w:p>
        </w:tc>
      </w:tr>
      <w:tr w:rsidR="00525419">
        <w:trPr>
          <w:trHeight w:val="397"/>
          <w:jc w:val="center"/>
        </w:trPr>
        <w:tc>
          <w:tcPr>
            <w:tcW w:w="42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一月</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1.48</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1.88</w:t>
            </w:r>
          </w:p>
        </w:tc>
        <w:tc>
          <w:tcPr>
            <w:tcW w:w="40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2.82</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6.32</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17.74</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13.44</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3.63</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1.61</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1.08</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4.97</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13.44</w:t>
            </w:r>
          </w:p>
        </w:tc>
        <w:tc>
          <w:tcPr>
            <w:tcW w:w="530"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10.22</w:t>
            </w:r>
          </w:p>
        </w:tc>
        <w:tc>
          <w:tcPr>
            <w:tcW w:w="402"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6.72</w:t>
            </w:r>
          </w:p>
        </w:tc>
        <w:tc>
          <w:tcPr>
            <w:tcW w:w="565"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2.96</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2.28</w:t>
            </w:r>
          </w:p>
        </w:tc>
        <w:tc>
          <w:tcPr>
            <w:tcW w:w="51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1.08</w:t>
            </w:r>
          </w:p>
        </w:tc>
        <w:tc>
          <w:tcPr>
            <w:tcW w:w="49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8.33</w:t>
            </w:r>
          </w:p>
        </w:tc>
      </w:tr>
      <w:tr w:rsidR="00525419">
        <w:trPr>
          <w:trHeight w:val="90"/>
          <w:jc w:val="center"/>
        </w:trPr>
        <w:tc>
          <w:tcPr>
            <w:tcW w:w="42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二月</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1.19</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1.79</w:t>
            </w:r>
          </w:p>
        </w:tc>
        <w:tc>
          <w:tcPr>
            <w:tcW w:w="40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3.87</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10.71</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19.20</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13.84</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3.27</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1.93</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1.19</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4.17</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10.86</w:t>
            </w:r>
          </w:p>
        </w:tc>
        <w:tc>
          <w:tcPr>
            <w:tcW w:w="530"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6.40</w:t>
            </w:r>
          </w:p>
        </w:tc>
        <w:tc>
          <w:tcPr>
            <w:tcW w:w="402"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4.76</w:t>
            </w:r>
          </w:p>
        </w:tc>
        <w:tc>
          <w:tcPr>
            <w:tcW w:w="565"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4.32</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2.23</w:t>
            </w:r>
          </w:p>
        </w:tc>
        <w:tc>
          <w:tcPr>
            <w:tcW w:w="51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2.08</w:t>
            </w:r>
          </w:p>
        </w:tc>
        <w:tc>
          <w:tcPr>
            <w:tcW w:w="49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8.18</w:t>
            </w:r>
          </w:p>
        </w:tc>
      </w:tr>
      <w:tr w:rsidR="00525419">
        <w:trPr>
          <w:trHeight w:val="397"/>
          <w:jc w:val="center"/>
        </w:trPr>
        <w:tc>
          <w:tcPr>
            <w:tcW w:w="42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三月</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2.96</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3.63</w:t>
            </w:r>
          </w:p>
        </w:tc>
        <w:tc>
          <w:tcPr>
            <w:tcW w:w="40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7.12</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12.50</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17.34</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9.68</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3.09</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3.76</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3.23</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5.51</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9.41</w:t>
            </w:r>
          </w:p>
        </w:tc>
        <w:tc>
          <w:tcPr>
            <w:tcW w:w="530"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5.24</w:t>
            </w:r>
          </w:p>
        </w:tc>
        <w:tc>
          <w:tcPr>
            <w:tcW w:w="402"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3.63</w:t>
            </w:r>
          </w:p>
        </w:tc>
        <w:tc>
          <w:tcPr>
            <w:tcW w:w="565"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2.42</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3.36</w:t>
            </w:r>
          </w:p>
        </w:tc>
        <w:tc>
          <w:tcPr>
            <w:tcW w:w="51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1.61</w:t>
            </w:r>
          </w:p>
        </w:tc>
        <w:tc>
          <w:tcPr>
            <w:tcW w:w="49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5.51</w:t>
            </w:r>
          </w:p>
        </w:tc>
      </w:tr>
      <w:tr w:rsidR="00525419">
        <w:trPr>
          <w:trHeight w:val="397"/>
          <w:jc w:val="center"/>
        </w:trPr>
        <w:tc>
          <w:tcPr>
            <w:tcW w:w="42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四月</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2.78</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2.78</w:t>
            </w:r>
          </w:p>
        </w:tc>
        <w:tc>
          <w:tcPr>
            <w:tcW w:w="40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5.14</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16.25</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20.97</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7.92</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4.31</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3.06</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4.17</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6.94</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8.06</w:t>
            </w:r>
          </w:p>
        </w:tc>
        <w:tc>
          <w:tcPr>
            <w:tcW w:w="530"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5.83</w:t>
            </w:r>
          </w:p>
        </w:tc>
        <w:tc>
          <w:tcPr>
            <w:tcW w:w="402"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3.89</w:t>
            </w:r>
          </w:p>
        </w:tc>
        <w:tc>
          <w:tcPr>
            <w:tcW w:w="565"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2.08</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1.53</w:t>
            </w:r>
          </w:p>
        </w:tc>
        <w:tc>
          <w:tcPr>
            <w:tcW w:w="51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1.67</w:t>
            </w:r>
          </w:p>
        </w:tc>
        <w:tc>
          <w:tcPr>
            <w:tcW w:w="49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2.64</w:t>
            </w:r>
          </w:p>
        </w:tc>
      </w:tr>
      <w:tr w:rsidR="00525419">
        <w:trPr>
          <w:trHeight w:val="397"/>
          <w:jc w:val="center"/>
        </w:trPr>
        <w:tc>
          <w:tcPr>
            <w:tcW w:w="42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五月</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2.82</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3.36</w:t>
            </w:r>
          </w:p>
        </w:tc>
        <w:tc>
          <w:tcPr>
            <w:tcW w:w="40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6.18</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13.58</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20.83</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6.59</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5.65</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5.38</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4.97</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5.24</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8.33</w:t>
            </w:r>
          </w:p>
        </w:tc>
        <w:tc>
          <w:tcPr>
            <w:tcW w:w="530"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5.24</w:t>
            </w:r>
          </w:p>
        </w:tc>
        <w:tc>
          <w:tcPr>
            <w:tcW w:w="402"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3.49</w:t>
            </w:r>
          </w:p>
        </w:tc>
        <w:tc>
          <w:tcPr>
            <w:tcW w:w="565"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2.15</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1.08</w:t>
            </w:r>
          </w:p>
        </w:tc>
        <w:tc>
          <w:tcPr>
            <w:tcW w:w="51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2.15</w:t>
            </w:r>
          </w:p>
        </w:tc>
        <w:tc>
          <w:tcPr>
            <w:tcW w:w="49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2.96</w:t>
            </w:r>
          </w:p>
        </w:tc>
      </w:tr>
      <w:tr w:rsidR="00525419">
        <w:trPr>
          <w:trHeight w:val="397"/>
          <w:jc w:val="center"/>
        </w:trPr>
        <w:tc>
          <w:tcPr>
            <w:tcW w:w="42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六月</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3.19</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3.89</w:t>
            </w:r>
          </w:p>
        </w:tc>
        <w:tc>
          <w:tcPr>
            <w:tcW w:w="40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4.17</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8.75</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13.06</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4.44</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3.47</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2.92</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4.03</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6.94</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11.39</w:t>
            </w:r>
          </w:p>
        </w:tc>
        <w:tc>
          <w:tcPr>
            <w:tcW w:w="530"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11.81</w:t>
            </w:r>
          </w:p>
        </w:tc>
        <w:tc>
          <w:tcPr>
            <w:tcW w:w="402"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8.33</w:t>
            </w:r>
          </w:p>
        </w:tc>
        <w:tc>
          <w:tcPr>
            <w:tcW w:w="565"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4.44</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3.06</w:t>
            </w:r>
          </w:p>
        </w:tc>
        <w:tc>
          <w:tcPr>
            <w:tcW w:w="51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1.94</w:t>
            </w:r>
          </w:p>
        </w:tc>
        <w:tc>
          <w:tcPr>
            <w:tcW w:w="49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4.17</w:t>
            </w:r>
          </w:p>
        </w:tc>
      </w:tr>
      <w:tr w:rsidR="00525419">
        <w:trPr>
          <w:trHeight w:val="397"/>
          <w:jc w:val="center"/>
        </w:trPr>
        <w:tc>
          <w:tcPr>
            <w:tcW w:w="42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七月</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2.69</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2.96</w:t>
            </w:r>
          </w:p>
        </w:tc>
        <w:tc>
          <w:tcPr>
            <w:tcW w:w="40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6.32</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14.11</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18.68</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7.93</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2.96</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2.82</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2.96</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3.76</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7.39</w:t>
            </w:r>
          </w:p>
        </w:tc>
        <w:tc>
          <w:tcPr>
            <w:tcW w:w="530"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7.66</w:t>
            </w:r>
          </w:p>
        </w:tc>
        <w:tc>
          <w:tcPr>
            <w:tcW w:w="402"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8.20</w:t>
            </w:r>
          </w:p>
        </w:tc>
        <w:tc>
          <w:tcPr>
            <w:tcW w:w="565"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3.23</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2.96</w:t>
            </w:r>
          </w:p>
        </w:tc>
        <w:tc>
          <w:tcPr>
            <w:tcW w:w="51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2.28</w:t>
            </w:r>
          </w:p>
        </w:tc>
        <w:tc>
          <w:tcPr>
            <w:tcW w:w="49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3.09</w:t>
            </w:r>
          </w:p>
        </w:tc>
      </w:tr>
      <w:tr w:rsidR="00525419">
        <w:trPr>
          <w:trHeight w:val="397"/>
          <w:jc w:val="center"/>
        </w:trPr>
        <w:tc>
          <w:tcPr>
            <w:tcW w:w="42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八月</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2.02</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2.96</w:t>
            </w:r>
          </w:p>
        </w:tc>
        <w:tc>
          <w:tcPr>
            <w:tcW w:w="40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4.57</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16.26</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24.60</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8.47</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3.49</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2.82</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2.96</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4.44</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6.72</w:t>
            </w:r>
          </w:p>
        </w:tc>
        <w:tc>
          <w:tcPr>
            <w:tcW w:w="530"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5.11</w:t>
            </w:r>
          </w:p>
        </w:tc>
        <w:tc>
          <w:tcPr>
            <w:tcW w:w="402"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6.05</w:t>
            </w:r>
          </w:p>
        </w:tc>
        <w:tc>
          <w:tcPr>
            <w:tcW w:w="565"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2.96</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1.75</w:t>
            </w:r>
          </w:p>
        </w:tc>
        <w:tc>
          <w:tcPr>
            <w:tcW w:w="51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2.02</w:t>
            </w:r>
          </w:p>
        </w:tc>
        <w:tc>
          <w:tcPr>
            <w:tcW w:w="49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2.82</w:t>
            </w:r>
          </w:p>
        </w:tc>
      </w:tr>
      <w:tr w:rsidR="00525419">
        <w:trPr>
          <w:trHeight w:val="397"/>
          <w:jc w:val="center"/>
        </w:trPr>
        <w:tc>
          <w:tcPr>
            <w:tcW w:w="42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九月</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1.39</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4.03</w:t>
            </w:r>
          </w:p>
        </w:tc>
        <w:tc>
          <w:tcPr>
            <w:tcW w:w="40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7.92</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15.69</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29.17</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8.19</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5.42</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3.89</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3.33</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2.78</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1.94</w:t>
            </w:r>
          </w:p>
        </w:tc>
        <w:tc>
          <w:tcPr>
            <w:tcW w:w="530"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3.89</w:t>
            </w:r>
          </w:p>
        </w:tc>
        <w:tc>
          <w:tcPr>
            <w:tcW w:w="402"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2.22</w:t>
            </w:r>
          </w:p>
        </w:tc>
        <w:tc>
          <w:tcPr>
            <w:tcW w:w="565"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1.39</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0.83</w:t>
            </w:r>
          </w:p>
        </w:tc>
        <w:tc>
          <w:tcPr>
            <w:tcW w:w="51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1.25</w:t>
            </w:r>
          </w:p>
        </w:tc>
        <w:tc>
          <w:tcPr>
            <w:tcW w:w="49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6.67</w:t>
            </w:r>
          </w:p>
        </w:tc>
      </w:tr>
      <w:tr w:rsidR="00525419">
        <w:trPr>
          <w:trHeight w:val="397"/>
          <w:jc w:val="center"/>
        </w:trPr>
        <w:tc>
          <w:tcPr>
            <w:tcW w:w="42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十月</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2.42</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3.63</w:t>
            </w:r>
          </w:p>
        </w:tc>
        <w:tc>
          <w:tcPr>
            <w:tcW w:w="40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6.45</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18.28</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24.06</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8.47</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3.36</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1.34</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3.36</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3.36</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5.24</w:t>
            </w:r>
          </w:p>
        </w:tc>
        <w:tc>
          <w:tcPr>
            <w:tcW w:w="530"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3.23</w:t>
            </w:r>
          </w:p>
        </w:tc>
        <w:tc>
          <w:tcPr>
            <w:tcW w:w="402"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1.75</w:t>
            </w:r>
          </w:p>
        </w:tc>
        <w:tc>
          <w:tcPr>
            <w:tcW w:w="565"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0.81</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1.21</w:t>
            </w:r>
          </w:p>
        </w:tc>
        <w:tc>
          <w:tcPr>
            <w:tcW w:w="51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1.08</w:t>
            </w:r>
          </w:p>
        </w:tc>
        <w:tc>
          <w:tcPr>
            <w:tcW w:w="49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11.96</w:t>
            </w:r>
          </w:p>
        </w:tc>
      </w:tr>
      <w:tr w:rsidR="00525419">
        <w:trPr>
          <w:trHeight w:val="397"/>
          <w:jc w:val="center"/>
        </w:trPr>
        <w:tc>
          <w:tcPr>
            <w:tcW w:w="42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十一月</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1.67</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2.92</w:t>
            </w:r>
          </w:p>
        </w:tc>
        <w:tc>
          <w:tcPr>
            <w:tcW w:w="40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4.17</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13.61</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22.78</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11.39</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3.89</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0.97</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3.19</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3.61</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7.78</w:t>
            </w:r>
          </w:p>
        </w:tc>
        <w:tc>
          <w:tcPr>
            <w:tcW w:w="530"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4.31</w:t>
            </w:r>
          </w:p>
        </w:tc>
        <w:tc>
          <w:tcPr>
            <w:tcW w:w="402"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3.19</w:t>
            </w:r>
          </w:p>
        </w:tc>
        <w:tc>
          <w:tcPr>
            <w:tcW w:w="565"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0.97</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1.53</w:t>
            </w:r>
          </w:p>
        </w:tc>
        <w:tc>
          <w:tcPr>
            <w:tcW w:w="51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1.39</w:t>
            </w:r>
          </w:p>
        </w:tc>
        <w:tc>
          <w:tcPr>
            <w:tcW w:w="49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12.64</w:t>
            </w:r>
          </w:p>
        </w:tc>
      </w:tr>
      <w:tr w:rsidR="00525419">
        <w:trPr>
          <w:trHeight w:val="397"/>
          <w:jc w:val="center"/>
        </w:trPr>
        <w:tc>
          <w:tcPr>
            <w:tcW w:w="42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十二</w:t>
            </w:r>
            <w:r>
              <w:rPr>
                <w:rFonts w:ascii="Times New Roman" w:hAnsi="Times New Roman"/>
                <w:kern w:val="0"/>
                <w:szCs w:val="24"/>
              </w:rPr>
              <w:lastRenderedPageBreak/>
              <w:t>月</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lastRenderedPageBreak/>
              <w:t>1.34</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0.94</w:t>
            </w:r>
          </w:p>
        </w:tc>
        <w:tc>
          <w:tcPr>
            <w:tcW w:w="40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4.03</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10.62</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20.70</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11.83</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3.63</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0.67</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3.36</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4.97</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8.87</w:t>
            </w:r>
          </w:p>
        </w:tc>
        <w:tc>
          <w:tcPr>
            <w:tcW w:w="530"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5.78</w:t>
            </w:r>
          </w:p>
        </w:tc>
        <w:tc>
          <w:tcPr>
            <w:tcW w:w="402"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5.78</w:t>
            </w:r>
          </w:p>
        </w:tc>
        <w:tc>
          <w:tcPr>
            <w:tcW w:w="565"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3.49</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1.61</w:t>
            </w:r>
          </w:p>
        </w:tc>
        <w:tc>
          <w:tcPr>
            <w:tcW w:w="51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1.34</w:t>
            </w:r>
          </w:p>
        </w:tc>
        <w:tc>
          <w:tcPr>
            <w:tcW w:w="49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11.02</w:t>
            </w:r>
          </w:p>
        </w:tc>
      </w:tr>
      <w:tr w:rsidR="00525419">
        <w:trPr>
          <w:trHeight w:val="397"/>
          <w:jc w:val="center"/>
        </w:trPr>
        <w:tc>
          <w:tcPr>
            <w:tcW w:w="42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全年</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2.17</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2.90</w:t>
            </w:r>
          </w:p>
        </w:tc>
        <w:tc>
          <w:tcPr>
            <w:tcW w:w="40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5.24</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13.07</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20.76</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9.33</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3.85</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2.60</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3.16</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4.73</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8.28</w:t>
            </w:r>
          </w:p>
        </w:tc>
        <w:tc>
          <w:tcPr>
            <w:tcW w:w="530"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6.22</w:t>
            </w:r>
          </w:p>
        </w:tc>
        <w:tc>
          <w:tcPr>
            <w:tcW w:w="402"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4.84</w:t>
            </w:r>
          </w:p>
        </w:tc>
        <w:tc>
          <w:tcPr>
            <w:tcW w:w="565"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2.59</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1.95</w:t>
            </w:r>
          </w:p>
        </w:tc>
        <w:tc>
          <w:tcPr>
            <w:tcW w:w="51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1.66</w:t>
            </w:r>
          </w:p>
        </w:tc>
        <w:tc>
          <w:tcPr>
            <w:tcW w:w="49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6.66</w:t>
            </w:r>
          </w:p>
        </w:tc>
      </w:tr>
      <w:tr w:rsidR="00525419">
        <w:trPr>
          <w:trHeight w:val="397"/>
          <w:jc w:val="center"/>
        </w:trPr>
        <w:tc>
          <w:tcPr>
            <w:tcW w:w="42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春季</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2.85</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3.26</w:t>
            </w:r>
          </w:p>
        </w:tc>
        <w:tc>
          <w:tcPr>
            <w:tcW w:w="40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6.16</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14.09</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19.70</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8.06</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4.35</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4.08</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4.12</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5.89</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8.61</w:t>
            </w:r>
          </w:p>
        </w:tc>
        <w:tc>
          <w:tcPr>
            <w:tcW w:w="530"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5.43</w:t>
            </w:r>
          </w:p>
        </w:tc>
        <w:tc>
          <w:tcPr>
            <w:tcW w:w="402"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3.67</w:t>
            </w:r>
          </w:p>
        </w:tc>
        <w:tc>
          <w:tcPr>
            <w:tcW w:w="565"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2.22</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1.99</w:t>
            </w:r>
          </w:p>
        </w:tc>
        <w:tc>
          <w:tcPr>
            <w:tcW w:w="51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1.81</w:t>
            </w:r>
          </w:p>
        </w:tc>
        <w:tc>
          <w:tcPr>
            <w:tcW w:w="49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3.71</w:t>
            </w:r>
          </w:p>
        </w:tc>
      </w:tr>
      <w:tr w:rsidR="00525419">
        <w:trPr>
          <w:trHeight w:val="397"/>
          <w:jc w:val="center"/>
        </w:trPr>
        <w:tc>
          <w:tcPr>
            <w:tcW w:w="42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夏季</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2.63</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3.26</w:t>
            </w:r>
          </w:p>
        </w:tc>
        <w:tc>
          <w:tcPr>
            <w:tcW w:w="40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5.03</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13.09</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18.84</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6.97</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3.31</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2.85</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3.31</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5.03</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8.47</w:t>
            </w:r>
          </w:p>
        </w:tc>
        <w:tc>
          <w:tcPr>
            <w:tcW w:w="530"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8.15</w:t>
            </w:r>
          </w:p>
        </w:tc>
        <w:tc>
          <w:tcPr>
            <w:tcW w:w="402"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7.52</w:t>
            </w:r>
          </w:p>
        </w:tc>
        <w:tc>
          <w:tcPr>
            <w:tcW w:w="565"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3.53</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2.58</w:t>
            </w:r>
          </w:p>
        </w:tc>
        <w:tc>
          <w:tcPr>
            <w:tcW w:w="51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2.08</w:t>
            </w:r>
          </w:p>
        </w:tc>
        <w:tc>
          <w:tcPr>
            <w:tcW w:w="49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3.35</w:t>
            </w:r>
          </w:p>
        </w:tc>
      </w:tr>
      <w:tr w:rsidR="00525419">
        <w:trPr>
          <w:trHeight w:val="397"/>
          <w:jc w:val="center"/>
        </w:trPr>
        <w:tc>
          <w:tcPr>
            <w:tcW w:w="42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秋季</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1.83</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3.53</w:t>
            </w:r>
          </w:p>
        </w:tc>
        <w:tc>
          <w:tcPr>
            <w:tcW w:w="40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6.18</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15.89</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25.32</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9.34</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4.21</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2.06</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3.30</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3.25</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4.99</w:t>
            </w:r>
          </w:p>
        </w:tc>
        <w:tc>
          <w:tcPr>
            <w:tcW w:w="530"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3.80</w:t>
            </w:r>
          </w:p>
        </w:tc>
        <w:tc>
          <w:tcPr>
            <w:tcW w:w="402"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2.38</w:t>
            </w:r>
          </w:p>
        </w:tc>
        <w:tc>
          <w:tcPr>
            <w:tcW w:w="565"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1.05</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1.19</w:t>
            </w:r>
          </w:p>
        </w:tc>
        <w:tc>
          <w:tcPr>
            <w:tcW w:w="51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1.24</w:t>
            </w:r>
          </w:p>
        </w:tc>
        <w:tc>
          <w:tcPr>
            <w:tcW w:w="49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10.44</w:t>
            </w:r>
          </w:p>
        </w:tc>
      </w:tr>
      <w:tr w:rsidR="00525419">
        <w:trPr>
          <w:trHeight w:val="397"/>
          <w:jc w:val="center"/>
        </w:trPr>
        <w:tc>
          <w:tcPr>
            <w:tcW w:w="42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冬季</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1.34</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1.53</w:t>
            </w:r>
          </w:p>
        </w:tc>
        <w:tc>
          <w:tcPr>
            <w:tcW w:w="40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3.56</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9.17</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19.21</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13.01</w:t>
            </w:r>
          </w:p>
        </w:tc>
        <w:tc>
          <w:tcPr>
            <w:tcW w:w="42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3.52</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1.39</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1.90</w:t>
            </w:r>
          </w:p>
        </w:tc>
        <w:tc>
          <w:tcPr>
            <w:tcW w:w="44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4.72</w:t>
            </w:r>
          </w:p>
        </w:tc>
        <w:tc>
          <w:tcPr>
            <w:tcW w:w="489"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11.06</w:t>
            </w:r>
          </w:p>
        </w:tc>
        <w:tc>
          <w:tcPr>
            <w:tcW w:w="530"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7.50</w:t>
            </w:r>
          </w:p>
        </w:tc>
        <w:tc>
          <w:tcPr>
            <w:tcW w:w="402"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5.79</w:t>
            </w:r>
          </w:p>
        </w:tc>
        <w:tc>
          <w:tcPr>
            <w:tcW w:w="565"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3.56</w:t>
            </w:r>
          </w:p>
        </w:tc>
        <w:tc>
          <w:tcPr>
            <w:tcW w:w="424"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2.04</w:t>
            </w:r>
          </w:p>
        </w:tc>
        <w:tc>
          <w:tcPr>
            <w:tcW w:w="518"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1.48</w:t>
            </w:r>
          </w:p>
        </w:tc>
        <w:tc>
          <w:tcPr>
            <w:tcW w:w="496" w:type="dxa"/>
            <w:tcMar>
              <w:left w:w="0" w:type="dxa"/>
              <w:right w:w="0" w:type="dxa"/>
            </w:tcMar>
            <w:vAlign w:val="center"/>
          </w:tcPr>
          <w:p w:rsidR="00525419" w:rsidRDefault="00EE1CF7">
            <w:pPr>
              <w:jc w:val="center"/>
              <w:rPr>
                <w:rFonts w:ascii="Times New Roman" w:hAnsi="Times New Roman"/>
                <w:sz w:val="24"/>
                <w:szCs w:val="24"/>
              </w:rPr>
            </w:pPr>
            <w:r>
              <w:rPr>
                <w:rFonts w:ascii="Times New Roman" w:hAnsi="Times New Roman"/>
                <w:szCs w:val="24"/>
              </w:rPr>
              <w:t>9.21</w:t>
            </w:r>
          </w:p>
        </w:tc>
      </w:tr>
    </w:tbl>
    <w:p w:rsidR="00525419" w:rsidRDefault="00525419">
      <w:pPr>
        <w:widowControl/>
        <w:jc w:val="center"/>
        <w:rPr>
          <w:rFonts w:ascii="Times New Roman" w:hAnsi="Times New Roman"/>
          <w:kern w:val="0"/>
          <w:szCs w:val="24"/>
        </w:rPr>
      </w:pP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评价区域全年主导风向为东北偏东</w:t>
      </w:r>
      <w:r>
        <w:rPr>
          <w:rFonts w:ascii="Times New Roman" w:hAnsi="Times New Roman"/>
          <w:kern w:val="0"/>
          <w:sz w:val="24"/>
          <w:szCs w:val="24"/>
        </w:rPr>
        <w:t>-</w:t>
      </w:r>
      <w:r>
        <w:rPr>
          <w:rFonts w:ascii="Times New Roman" w:hAnsi="Times New Roman"/>
          <w:kern w:val="0"/>
          <w:sz w:val="24"/>
          <w:szCs w:val="24"/>
        </w:rPr>
        <w:t>东</w:t>
      </w:r>
      <w:r>
        <w:rPr>
          <w:rFonts w:ascii="Times New Roman" w:hAnsi="Times New Roman"/>
          <w:kern w:val="0"/>
          <w:sz w:val="24"/>
          <w:szCs w:val="24"/>
        </w:rPr>
        <w:t>-</w:t>
      </w:r>
      <w:r>
        <w:rPr>
          <w:rFonts w:ascii="Times New Roman" w:hAnsi="Times New Roman"/>
          <w:kern w:val="0"/>
          <w:sz w:val="24"/>
          <w:szCs w:val="24"/>
        </w:rPr>
        <w:t>东南偏东（</w:t>
      </w:r>
      <w:r>
        <w:rPr>
          <w:rFonts w:ascii="Times New Roman" w:hAnsi="Times New Roman"/>
          <w:kern w:val="0"/>
          <w:sz w:val="24"/>
          <w:szCs w:val="24"/>
        </w:rPr>
        <w:t>ENE-E-ESE</w:t>
      </w:r>
      <w:r>
        <w:rPr>
          <w:rFonts w:ascii="Times New Roman" w:hAnsi="Times New Roman"/>
          <w:kern w:val="0"/>
          <w:sz w:val="24"/>
          <w:szCs w:val="24"/>
        </w:rPr>
        <w:t>），风频之和为</w:t>
      </w:r>
      <w:r>
        <w:rPr>
          <w:rFonts w:ascii="Times New Roman" w:hAnsi="Times New Roman"/>
          <w:kern w:val="0"/>
          <w:sz w:val="24"/>
          <w:szCs w:val="24"/>
        </w:rPr>
        <w:t>43.16%</w:t>
      </w:r>
      <w:r>
        <w:rPr>
          <w:rFonts w:ascii="Times New Roman" w:hAnsi="Times New Roman"/>
          <w:kern w:val="0"/>
          <w:sz w:val="24"/>
          <w:szCs w:val="24"/>
        </w:rPr>
        <w:t>。静风频率</w:t>
      </w:r>
      <w:r>
        <w:rPr>
          <w:rFonts w:ascii="Times New Roman" w:hAnsi="Times New Roman"/>
          <w:kern w:val="0"/>
          <w:sz w:val="24"/>
          <w:szCs w:val="24"/>
        </w:rPr>
        <w:t>6.66%</w:t>
      </w:r>
      <w:r>
        <w:rPr>
          <w:rFonts w:ascii="Times New Roman" w:hAnsi="Times New Roman"/>
          <w:kern w:val="0"/>
          <w:sz w:val="24"/>
          <w:szCs w:val="24"/>
        </w:rPr>
        <w:t>。</w:t>
      </w:r>
    </w:p>
    <w:p w:rsidR="00525419" w:rsidRDefault="00EE1CF7">
      <w:pPr>
        <w:widowControl/>
        <w:spacing w:line="360" w:lineRule="auto"/>
        <w:ind w:firstLineChars="200" w:firstLine="480"/>
        <w:jc w:val="center"/>
        <w:rPr>
          <w:rFonts w:ascii="Times New Roman" w:hAnsi="Times New Roman"/>
          <w:kern w:val="0"/>
          <w:sz w:val="24"/>
          <w:szCs w:val="24"/>
        </w:rPr>
      </w:pPr>
      <w:r>
        <w:rPr>
          <w:rFonts w:ascii="Times New Roman" w:hAnsi="Times New Roman"/>
          <w:noProof/>
          <w:kern w:val="0"/>
          <w:sz w:val="24"/>
          <w:szCs w:val="24"/>
        </w:rPr>
        <w:lastRenderedPageBreak/>
        <w:drawing>
          <wp:inline distT="0" distB="0" distL="114300" distR="114300">
            <wp:extent cx="5066665" cy="7230110"/>
            <wp:effectExtent l="0" t="0" r="635" b="8890"/>
            <wp:docPr id="1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5"/>
                    <pic:cNvPicPr>
                      <a:picLocks noChangeAspect="1"/>
                    </pic:cNvPicPr>
                  </pic:nvPicPr>
                  <pic:blipFill>
                    <a:blip r:embed="rId25"/>
                    <a:stretch>
                      <a:fillRect/>
                    </a:stretch>
                  </pic:blipFill>
                  <pic:spPr>
                    <a:xfrm>
                      <a:off x="0" y="0"/>
                      <a:ext cx="5066665" cy="7230110"/>
                    </a:xfrm>
                    <a:prstGeom prst="rect">
                      <a:avLst/>
                    </a:prstGeom>
                    <a:noFill/>
                    <a:ln>
                      <a:noFill/>
                    </a:ln>
                  </pic:spPr>
                </pic:pic>
              </a:graphicData>
            </a:graphic>
          </wp:inline>
        </w:drawing>
      </w:r>
    </w:p>
    <w:p w:rsidR="00525419" w:rsidRDefault="00EE1CF7">
      <w:pPr>
        <w:widowControl/>
        <w:adjustRightInd w:val="0"/>
        <w:snapToGrid w:val="0"/>
        <w:spacing w:before="120"/>
        <w:jc w:val="center"/>
        <w:rPr>
          <w:rFonts w:ascii="Times New Roman" w:hAnsi="Times New Roman"/>
          <w:b/>
          <w:snapToGrid w:val="0"/>
          <w:kern w:val="0"/>
          <w:sz w:val="24"/>
          <w:szCs w:val="28"/>
        </w:rPr>
      </w:pPr>
      <w:r>
        <w:rPr>
          <w:rFonts w:ascii="Times New Roman" w:hAnsi="Times New Roman"/>
          <w:b/>
          <w:snapToGrid w:val="0"/>
          <w:kern w:val="0"/>
          <w:sz w:val="24"/>
          <w:szCs w:val="28"/>
        </w:rPr>
        <w:t>图</w:t>
      </w:r>
      <w:r>
        <w:rPr>
          <w:rFonts w:ascii="Times New Roman" w:hAnsi="Times New Roman"/>
          <w:b/>
          <w:snapToGrid w:val="0"/>
          <w:kern w:val="0"/>
          <w:sz w:val="24"/>
          <w:szCs w:val="28"/>
        </w:rPr>
        <w:t xml:space="preserve">5.1-4   </w:t>
      </w:r>
      <w:r>
        <w:rPr>
          <w:rFonts w:ascii="Times New Roman" w:hAnsi="Times New Roman"/>
          <w:b/>
          <w:snapToGrid w:val="0"/>
          <w:kern w:val="0"/>
          <w:sz w:val="24"/>
          <w:szCs w:val="28"/>
        </w:rPr>
        <w:t>月、季、年均风频玫瑰图</w:t>
      </w:r>
    </w:p>
    <w:p w:rsidR="00525419" w:rsidRDefault="00525419">
      <w:pPr>
        <w:widowControl/>
        <w:jc w:val="center"/>
        <w:rPr>
          <w:rFonts w:ascii="Times New Roman" w:hAnsi="Times New Roman"/>
          <w:kern w:val="0"/>
          <w:szCs w:val="24"/>
        </w:rPr>
      </w:pP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4</w:t>
      </w:r>
      <w:r>
        <w:rPr>
          <w:rFonts w:ascii="Times New Roman" w:hAnsi="Times New Roman"/>
          <w:kern w:val="0"/>
          <w:sz w:val="24"/>
          <w:szCs w:val="24"/>
        </w:rPr>
        <w:t>）污染系数</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污染系数是用某风向的频率与该风向平均风速的比来表示的，值越大，则其下风向受污染的概率也越大。该区域污染系数统计结果见表</w:t>
      </w:r>
      <w:r>
        <w:rPr>
          <w:rFonts w:ascii="Times New Roman" w:hAnsi="Times New Roman"/>
          <w:kern w:val="0"/>
          <w:sz w:val="24"/>
          <w:szCs w:val="24"/>
        </w:rPr>
        <w:t>5.1-5</w:t>
      </w:r>
      <w:r>
        <w:rPr>
          <w:rFonts w:ascii="Times New Roman" w:hAnsi="Times New Roman"/>
          <w:kern w:val="0"/>
          <w:sz w:val="24"/>
          <w:szCs w:val="24"/>
        </w:rPr>
        <w:t>、图</w:t>
      </w:r>
      <w:r>
        <w:rPr>
          <w:rFonts w:ascii="Times New Roman" w:hAnsi="Times New Roman"/>
          <w:kern w:val="0"/>
          <w:sz w:val="24"/>
          <w:szCs w:val="24"/>
        </w:rPr>
        <w:t>5.1-5</w:t>
      </w:r>
      <w:r>
        <w:rPr>
          <w:rFonts w:ascii="Times New Roman" w:hAnsi="Times New Roman"/>
          <w:kern w:val="0"/>
          <w:sz w:val="24"/>
          <w:szCs w:val="24"/>
        </w:rPr>
        <w:t>。</w:t>
      </w:r>
    </w:p>
    <w:p w:rsidR="00525419" w:rsidRDefault="00EE1CF7">
      <w:pPr>
        <w:widowControl/>
        <w:adjustRightInd w:val="0"/>
        <w:snapToGrid w:val="0"/>
        <w:spacing w:before="120"/>
        <w:jc w:val="center"/>
        <w:rPr>
          <w:rFonts w:ascii="Times New Roman" w:eastAsia="黑体" w:hAnsi="Times New Roman"/>
          <w:szCs w:val="21"/>
        </w:rPr>
      </w:pPr>
      <w:r>
        <w:rPr>
          <w:rFonts w:ascii="Times New Roman" w:eastAsia="黑体" w:hAnsi="Times New Roman"/>
          <w:szCs w:val="21"/>
        </w:rPr>
        <w:lastRenderedPageBreak/>
        <w:t>表</w:t>
      </w:r>
      <w:r>
        <w:rPr>
          <w:rFonts w:ascii="Times New Roman" w:eastAsia="黑体" w:hAnsi="Times New Roman"/>
          <w:szCs w:val="21"/>
        </w:rPr>
        <w:t xml:space="preserve">5.1-5   </w:t>
      </w:r>
      <w:r>
        <w:rPr>
          <w:rFonts w:ascii="Times New Roman" w:eastAsia="黑体" w:hAnsi="Times New Roman"/>
          <w:szCs w:val="21"/>
        </w:rPr>
        <w:t>鄯善县</w:t>
      </w:r>
      <w:r>
        <w:rPr>
          <w:rFonts w:ascii="Times New Roman" w:eastAsia="黑体" w:hAnsi="Times New Roman"/>
          <w:szCs w:val="21"/>
        </w:rPr>
        <w:t>2018</w:t>
      </w:r>
      <w:r>
        <w:rPr>
          <w:rFonts w:ascii="Times New Roman" w:eastAsia="黑体" w:hAnsi="Times New Roman"/>
          <w:szCs w:val="21"/>
        </w:rPr>
        <w:t>年污染系数统计结果</w:t>
      </w:r>
    </w:p>
    <w:tbl>
      <w:tblPr>
        <w:tblW w:w="83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441"/>
        <w:gridCol w:w="441"/>
        <w:gridCol w:w="448"/>
        <w:gridCol w:w="434"/>
        <w:gridCol w:w="489"/>
        <w:gridCol w:w="489"/>
        <w:gridCol w:w="439"/>
        <w:gridCol w:w="441"/>
        <w:gridCol w:w="439"/>
        <w:gridCol w:w="439"/>
        <w:gridCol w:w="448"/>
        <w:gridCol w:w="432"/>
        <w:gridCol w:w="530"/>
        <w:gridCol w:w="440"/>
        <w:gridCol w:w="566"/>
        <w:gridCol w:w="440"/>
        <w:gridCol w:w="519"/>
        <w:gridCol w:w="442"/>
      </w:tblGrid>
      <w:tr w:rsidR="00525419">
        <w:trPr>
          <w:trHeight w:val="397"/>
          <w:jc w:val="center"/>
        </w:trPr>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月份</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N</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NNE</w:t>
            </w:r>
          </w:p>
        </w:tc>
        <w:tc>
          <w:tcPr>
            <w:tcW w:w="434"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NE</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ENE</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E</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ESE</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SE</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SSE</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S</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SSW</w:t>
            </w:r>
          </w:p>
        </w:tc>
        <w:tc>
          <w:tcPr>
            <w:tcW w:w="43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SW</w:t>
            </w:r>
          </w:p>
        </w:tc>
        <w:tc>
          <w:tcPr>
            <w:tcW w:w="53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WSW</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w:t>
            </w:r>
          </w:p>
        </w:tc>
        <w:tc>
          <w:tcPr>
            <w:tcW w:w="56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WNW</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NW</w:t>
            </w:r>
          </w:p>
        </w:tc>
        <w:tc>
          <w:tcPr>
            <w:tcW w:w="51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NNW</w:t>
            </w:r>
          </w:p>
        </w:tc>
        <w:tc>
          <w:tcPr>
            <w:tcW w:w="44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平均</w:t>
            </w:r>
          </w:p>
        </w:tc>
      </w:tr>
      <w:tr w:rsidR="00525419">
        <w:trPr>
          <w:trHeight w:val="397"/>
          <w:jc w:val="center"/>
        </w:trPr>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一月</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3.08</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3.24</w:t>
            </w:r>
          </w:p>
        </w:tc>
        <w:tc>
          <w:tcPr>
            <w:tcW w:w="434"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3.36</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5.27</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12.32</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9.60</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3.52</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2.15</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1.30</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3.77</w:t>
            </w:r>
          </w:p>
        </w:tc>
        <w:tc>
          <w:tcPr>
            <w:tcW w:w="43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8.73</w:t>
            </w:r>
          </w:p>
        </w:tc>
        <w:tc>
          <w:tcPr>
            <w:tcW w:w="53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9.04</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7.23</w:t>
            </w:r>
          </w:p>
        </w:tc>
        <w:tc>
          <w:tcPr>
            <w:tcW w:w="56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3.65</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3.74</w:t>
            </w:r>
          </w:p>
        </w:tc>
        <w:tc>
          <w:tcPr>
            <w:tcW w:w="51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2.12</w:t>
            </w:r>
          </w:p>
        </w:tc>
        <w:tc>
          <w:tcPr>
            <w:tcW w:w="44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5.13</w:t>
            </w:r>
          </w:p>
        </w:tc>
      </w:tr>
      <w:tr w:rsidR="00525419">
        <w:trPr>
          <w:trHeight w:val="397"/>
          <w:jc w:val="center"/>
        </w:trPr>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二月</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1.78</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4.07</w:t>
            </w:r>
          </w:p>
        </w:tc>
        <w:tc>
          <w:tcPr>
            <w:tcW w:w="434"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3.20</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7.05</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11.71</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9.96</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3.00</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2.35</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1.16</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3.56</w:t>
            </w:r>
          </w:p>
        </w:tc>
        <w:tc>
          <w:tcPr>
            <w:tcW w:w="43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6.39</w:t>
            </w:r>
          </w:p>
        </w:tc>
        <w:tc>
          <w:tcPr>
            <w:tcW w:w="53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5.00</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4.49</w:t>
            </w:r>
          </w:p>
        </w:tc>
        <w:tc>
          <w:tcPr>
            <w:tcW w:w="56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6.17</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3.33</w:t>
            </w:r>
          </w:p>
        </w:tc>
        <w:tc>
          <w:tcPr>
            <w:tcW w:w="51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3.47</w:t>
            </w:r>
          </w:p>
        </w:tc>
        <w:tc>
          <w:tcPr>
            <w:tcW w:w="44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4.79</w:t>
            </w:r>
          </w:p>
        </w:tc>
      </w:tr>
      <w:tr w:rsidR="00525419">
        <w:trPr>
          <w:trHeight w:val="397"/>
          <w:jc w:val="center"/>
        </w:trPr>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三月</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2.11</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4.59</w:t>
            </w:r>
          </w:p>
        </w:tc>
        <w:tc>
          <w:tcPr>
            <w:tcW w:w="434"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6.30</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10.33</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10.84</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7.39</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2.49</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2.83</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2.02</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3.18</w:t>
            </w:r>
          </w:p>
        </w:tc>
        <w:tc>
          <w:tcPr>
            <w:tcW w:w="43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5.01</w:t>
            </w:r>
          </w:p>
        </w:tc>
        <w:tc>
          <w:tcPr>
            <w:tcW w:w="53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3.16</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3.24</w:t>
            </w:r>
          </w:p>
        </w:tc>
        <w:tc>
          <w:tcPr>
            <w:tcW w:w="56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2.52</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4.10</w:t>
            </w:r>
          </w:p>
        </w:tc>
        <w:tc>
          <w:tcPr>
            <w:tcW w:w="51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2.06</w:t>
            </w:r>
          </w:p>
        </w:tc>
        <w:tc>
          <w:tcPr>
            <w:tcW w:w="44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4.51</w:t>
            </w:r>
          </w:p>
        </w:tc>
      </w:tr>
      <w:tr w:rsidR="00525419">
        <w:trPr>
          <w:trHeight w:val="397"/>
          <w:jc w:val="center"/>
        </w:trPr>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四月</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3.27</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3.61</w:t>
            </w:r>
          </w:p>
        </w:tc>
        <w:tc>
          <w:tcPr>
            <w:tcW w:w="434"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3.72</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11.78</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11.91</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4.66</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2.32</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1.76</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2.42</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3.60</w:t>
            </w:r>
          </w:p>
        </w:tc>
        <w:tc>
          <w:tcPr>
            <w:tcW w:w="43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3.57</w:t>
            </w:r>
          </w:p>
        </w:tc>
        <w:tc>
          <w:tcPr>
            <w:tcW w:w="53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2.87</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2.66</w:t>
            </w:r>
          </w:p>
        </w:tc>
        <w:tc>
          <w:tcPr>
            <w:tcW w:w="56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1.54</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0.96</w:t>
            </w:r>
          </w:p>
        </w:tc>
        <w:tc>
          <w:tcPr>
            <w:tcW w:w="51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1.44</w:t>
            </w:r>
          </w:p>
        </w:tc>
        <w:tc>
          <w:tcPr>
            <w:tcW w:w="44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3.88</w:t>
            </w:r>
          </w:p>
        </w:tc>
      </w:tr>
      <w:tr w:rsidR="00525419">
        <w:trPr>
          <w:trHeight w:val="397"/>
          <w:jc w:val="center"/>
        </w:trPr>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五月</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1.11</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2.87</w:t>
            </w:r>
          </w:p>
        </w:tc>
        <w:tc>
          <w:tcPr>
            <w:tcW w:w="434"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5.28</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9.91</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14.47</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4.71</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3.28</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2.77</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2.52</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2.77</w:t>
            </w:r>
          </w:p>
        </w:tc>
        <w:tc>
          <w:tcPr>
            <w:tcW w:w="43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3.32</w:t>
            </w:r>
          </w:p>
        </w:tc>
        <w:tc>
          <w:tcPr>
            <w:tcW w:w="53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3.32</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1.93</w:t>
            </w:r>
          </w:p>
        </w:tc>
        <w:tc>
          <w:tcPr>
            <w:tcW w:w="56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1.36</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0.59</w:t>
            </w:r>
          </w:p>
        </w:tc>
        <w:tc>
          <w:tcPr>
            <w:tcW w:w="51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0.94</w:t>
            </w:r>
          </w:p>
        </w:tc>
        <w:tc>
          <w:tcPr>
            <w:tcW w:w="44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3.82</w:t>
            </w:r>
          </w:p>
        </w:tc>
      </w:tr>
      <w:tr w:rsidR="00525419">
        <w:trPr>
          <w:trHeight w:val="397"/>
          <w:jc w:val="center"/>
        </w:trPr>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六月</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2.59</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3.35</w:t>
            </w:r>
          </w:p>
        </w:tc>
        <w:tc>
          <w:tcPr>
            <w:tcW w:w="434"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3.83</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7.29</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9.40</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4.67</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3.40</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3.14</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3.03</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4.16</w:t>
            </w:r>
          </w:p>
        </w:tc>
        <w:tc>
          <w:tcPr>
            <w:tcW w:w="43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6.03</w:t>
            </w:r>
          </w:p>
        </w:tc>
        <w:tc>
          <w:tcPr>
            <w:tcW w:w="53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6.79</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4.06</w:t>
            </w:r>
          </w:p>
        </w:tc>
        <w:tc>
          <w:tcPr>
            <w:tcW w:w="56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2.72</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1.70</w:t>
            </w:r>
          </w:p>
        </w:tc>
        <w:tc>
          <w:tcPr>
            <w:tcW w:w="51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1.78</w:t>
            </w:r>
          </w:p>
        </w:tc>
        <w:tc>
          <w:tcPr>
            <w:tcW w:w="44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4.25</w:t>
            </w:r>
          </w:p>
        </w:tc>
      </w:tr>
      <w:tr w:rsidR="00525419">
        <w:trPr>
          <w:trHeight w:val="397"/>
          <w:jc w:val="center"/>
        </w:trPr>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七月</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1.39</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2.24</w:t>
            </w:r>
          </w:p>
        </w:tc>
        <w:tc>
          <w:tcPr>
            <w:tcW w:w="434"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4.98</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12.49</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14.26</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6.55</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2.47</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1.96</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2.01</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2.21</w:t>
            </w:r>
          </w:p>
        </w:tc>
        <w:tc>
          <w:tcPr>
            <w:tcW w:w="43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3.26</w:t>
            </w:r>
          </w:p>
        </w:tc>
        <w:tc>
          <w:tcPr>
            <w:tcW w:w="53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4.16</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4.53</w:t>
            </w:r>
          </w:p>
        </w:tc>
        <w:tc>
          <w:tcPr>
            <w:tcW w:w="56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1.84</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1.93</w:t>
            </w:r>
          </w:p>
        </w:tc>
        <w:tc>
          <w:tcPr>
            <w:tcW w:w="51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0.99</w:t>
            </w:r>
          </w:p>
        </w:tc>
        <w:tc>
          <w:tcPr>
            <w:tcW w:w="44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4.20</w:t>
            </w:r>
          </w:p>
        </w:tc>
      </w:tr>
      <w:tr w:rsidR="00525419">
        <w:trPr>
          <w:trHeight w:val="397"/>
          <w:jc w:val="center"/>
        </w:trPr>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八月</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1.71</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4.00</w:t>
            </w:r>
          </w:p>
        </w:tc>
        <w:tc>
          <w:tcPr>
            <w:tcW w:w="434"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4.15</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13.22</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16.97</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7.24</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2.86</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2.45</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2.06</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2.86</w:t>
            </w:r>
          </w:p>
        </w:tc>
        <w:tc>
          <w:tcPr>
            <w:tcW w:w="43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3.63</w:t>
            </w:r>
          </w:p>
        </w:tc>
        <w:tc>
          <w:tcPr>
            <w:tcW w:w="53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2.41</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3.24</w:t>
            </w:r>
          </w:p>
        </w:tc>
        <w:tc>
          <w:tcPr>
            <w:tcW w:w="56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2.28</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1.80</w:t>
            </w:r>
          </w:p>
        </w:tc>
        <w:tc>
          <w:tcPr>
            <w:tcW w:w="51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1.71</w:t>
            </w:r>
          </w:p>
        </w:tc>
        <w:tc>
          <w:tcPr>
            <w:tcW w:w="44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4.54</w:t>
            </w:r>
          </w:p>
        </w:tc>
      </w:tr>
      <w:tr w:rsidR="00525419">
        <w:trPr>
          <w:trHeight w:val="397"/>
          <w:jc w:val="center"/>
        </w:trPr>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九月</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1.83</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5.68</w:t>
            </w:r>
          </w:p>
        </w:tc>
        <w:tc>
          <w:tcPr>
            <w:tcW w:w="434"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7.20</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14.53</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19.45</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6.02</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3.87</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2.84</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2.47</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1.89</w:t>
            </w:r>
          </w:p>
        </w:tc>
        <w:tc>
          <w:tcPr>
            <w:tcW w:w="43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1.23</w:t>
            </w:r>
          </w:p>
        </w:tc>
        <w:tc>
          <w:tcPr>
            <w:tcW w:w="53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1.96</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1.33</w:t>
            </w:r>
          </w:p>
        </w:tc>
        <w:tc>
          <w:tcPr>
            <w:tcW w:w="56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1.62</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0.91</w:t>
            </w:r>
          </w:p>
        </w:tc>
        <w:tc>
          <w:tcPr>
            <w:tcW w:w="51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0.66</w:t>
            </w:r>
          </w:p>
        </w:tc>
        <w:tc>
          <w:tcPr>
            <w:tcW w:w="44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4.59</w:t>
            </w:r>
          </w:p>
        </w:tc>
      </w:tr>
      <w:tr w:rsidR="00525419">
        <w:trPr>
          <w:trHeight w:val="397"/>
          <w:jc w:val="center"/>
        </w:trPr>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十月</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4.03</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5.76</w:t>
            </w:r>
          </w:p>
        </w:tc>
        <w:tc>
          <w:tcPr>
            <w:tcW w:w="434"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6.86</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13.85</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16.15</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6.72</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3.86</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1.54</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3.50</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2.82</w:t>
            </w:r>
          </w:p>
        </w:tc>
        <w:tc>
          <w:tcPr>
            <w:tcW w:w="43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2.91</w:t>
            </w:r>
          </w:p>
        </w:tc>
        <w:tc>
          <w:tcPr>
            <w:tcW w:w="53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2.06</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2.08</w:t>
            </w:r>
          </w:p>
        </w:tc>
        <w:tc>
          <w:tcPr>
            <w:tcW w:w="56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0.99</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1.73</w:t>
            </w:r>
          </w:p>
        </w:tc>
        <w:tc>
          <w:tcPr>
            <w:tcW w:w="51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1.86</w:t>
            </w:r>
          </w:p>
        </w:tc>
        <w:tc>
          <w:tcPr>
            <w:tcW w:w="44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4.80</w:t>
            </w:r>
          </w:p>
        </w:tc>
      </w:tr>
      <w:tr w:rsidR="00525419">
        <w:trPr>
          <w:trHeight w:val="397"/>
          <w:jc w:val="center"/>
        </w:trPr>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十一月</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3.21</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4.56</w:t>
            </w:r>
          </w:p>
        </w:tc>
        <w:tc>
          <w:tcPr>
            <w:tcW w:w="434"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3.42</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10.31</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16.39</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9.74</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4.14</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1.07</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2.85</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2.98</w:t>
            </w:r>
          </w:p>
        </w:tc>
        <w:tc>
          <w:tcPr>
            <w:tcW w:w="43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4.21</w:t>
            </w:r>
          </w:p>
        </w:tc>
        <w:tc>
          <w:tcPr>
            <w:tcW w:w="53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2.73</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3.26</w:t>
            </w:r>
          </w:p>
        </w:tc>
        <w:tc>
          <w:tcPr>
            <w:tcW w:w="56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1.43</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2.94</w:t>
            </w:r>
          </w:p>
        </w:tc>
        <w:tc>
          <w:tcPr>
            <w:tcW w:w="51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2.21</w:t>
            </w:r>
          </w:p>
        </w:tc>
        <w:tc>
          <w:tcPr>
            <w:tcW w:w="44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4.72</w:t>
            </w:r>
          </w:p>
        </w:tc>
      </w:tr>
      <w:tr w:rsidR="00525419">
        <w:trPr>
          <w:trHeight w:val="397"/>
          <w:jc w:val="center"/>
        </w:trPr>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十二月</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2.39</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1.57</w:t>
            </w:r>
          </w:p>
        </w:tc>
        <w:tc>
          <w:tcPr>
            <w:tcW w:w="434"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3.57</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8.23</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15.11</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9.54</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4.71</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0.88</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3.61</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4.64</w:t>
            </w:r>
          </w:p>
        </w:tc>
        <w:tc>
          <w:tcPr>
            <w:tcW w:w="43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5.87</w:t>
            </w:r>
          </w:p>
        </w:tc>
        <w:tc>
          <w:tcPr>
            <w:tcW w:w="53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5.30</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7.23</w:t>
            </w:r>
          </w:p>
        </w:tc>
        <w:tc>
          <w:tcPr>
            <w:tcW w:w="56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4.92</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2.82</w:t>
            </w:r>
          </w:p>
        </w:tc>
        <w:tc>
          <w:tcPr>
            <w:tcW w:w="51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2.09</w:t>
            </w:r>
          </w:p>
        </w:tc>
        <w:tc>
          <w:tcPr>
            <w:tcW w:w="44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5.16</w:t>
            </w:r>
          </w:p>
        </w:tc>
      </w:tr>
      <w:tr w:rsidR="00525419">
        <w:trPr>
          <w:trHeight w:val="397"/>
          <w:jc w:val="center"/>
        </w:trPr>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全年</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1.82</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3.45</w:t>
            </w:r>
          </w:p>
        </w:tc>
        <w:tc>
          <w:tcPr>
            <w:tcW w:w="434"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4.60</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10.29</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14.03</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7.12</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3.10</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1.95</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2.27</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3.09</w:t>
            </w:r>
          </w:p>
        </w:tc>
        <w:tc>
          <w:tcPr>
            <w:tcW w:w="43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4.40</w:t>
            </w:r>
          </w:p>
        </w:tc>
        <w:tc>
          <w:tcPr>
            <w:tcW w:w="53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3.89</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3.36</w:t>
            </w:r>
          </w:p>
        </w:tc>
        <w:tc>
          <w:tcPr>
            <w:tcW w:w="56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2.25</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1.82</w:t>
            </w:r>
          </w:p>
        </w:tc>
        <w:tc>
          <w:tcPr>
            <w:tcW w:w="51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1.35</w:t>
            </w:r>
          </w:p>
        </w:tc>
        <w:tc>
          <w:tcPr>
            <w:tcW w:w="44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4.30</w:t>
            </w:r>
          </w:p>
        </w:tc>
      </w:tr>
      <w:tr w:rsidR="00525419">
        <w:trPr>
          <w:trHeight w:val="397"/>
          <w:jc w:val="center"/>
        </w:trPr>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春季</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1.78</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3.54</w:t>
            </w:r>
          </w:p>
        </w:tc>
        <w:tc>
          <w:tcPr>
            <w:tcW w:w="434"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5.09</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10.59</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12.31</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5.52</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2.64</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2.40</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2.30</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3.17</w:t>
            </w:r>
          </w:p>
        </w:tc>
        <w:tc>
          <w:tcPr>
            <w:tcW w:w="43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3.91</w:t>
            </w:r>
          </w:p>
        </w:tc>
        <w:tc>
          <w:tcPr>
            <w:tcW w:w="53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3.09</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2.51</w:t>
            </w:r>
          </w:p>
        </w:tc>
        <w:tc>
          <w:tcPr>
            <w:tcW w:w="56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1.73</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1.66</w:t>
            </w:r>
          </w:p>
        </w:tc>
        <w:tc>
          <w:tcPr>
            <w:tcW w:w="51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1.21</w:t>
            </w:r>
          </w:p>
        </w:tc>
        <w:tc>
          <w:tcPr>
            <w:tcW w:w="44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3.97</w:t>
            </w:r>
          </w:p>
        </w:tc>
      </w:tr>
      <w:tr w:rsidR="00525419">
        <w:trPr>
          <w:trHeight w:val="397"/>
          <w:jc w:val="center"/>
        </w:trPr>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夏季</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1.80</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3.02</w:t>
            </w:r>
          </w:p>
        </w:tc>
        <w:tc>
          <w:tcPr>
            <w:tcW w:w="434"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4.30</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11.00</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13.55</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6.11</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2.90</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2.44</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2.35</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3.07</w:t>
            </w:r>
          </w:p>
        </w:tc>
        <w:tc>
          <w:tcPr>
            <w:tcW w:w="43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4.26</w:t>
            </w:r>
          </w:p>
        </w:tc>
        <w:tc>
          <w:tcPr>
            <w:tcW w:w="53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4.41</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3.94</w:t>
            </w:r>
          </w:p>
        </w:tc>
        <w:tc>
          <w:tcPr>
            <w:tcW w:w="56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2.23</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1.72</w:t>
            </w:r>
          </w:p>
        </w:tc>
        <w:tc>
          <w:tcPr>
            <w:tcW w:w="51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1.32</w:t>
            </w:r>
          </w:p>
        </w:tc>
        <w:tc>
          <w:tcPr>
            <w:tcW w:w="44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4.28</w:t>
            </w:r>
          </w:p>
        </w:tc>
      </w:tr>
      <w:tr w:rsidR="00525419">
        <w:trPr>
          <w:trHeight w:val="397"/>
          <w:jc w:val="center"/>
        </w:trPr>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秋季</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3.00</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5.35</w:t>
            </w:r>
          </w:p>
        </w:tc>
        <w:tc>
          <w:tcPr>
            <w:tcW w:w="434"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5.78</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12.81</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17.22</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7.47</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3.76</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1.73</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2.89</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2.54</w:t>
            </w:r>
          </w:p>
        </w:tc>
        <w:tc>
          <w:tcPr>
            <w:tcW w:w="43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2.77</w:t>
            </w:r>
          </w:p>
        </w:tc>
        <w:tc>
          <w:tcPr>
            <w:tcW w:w="53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2.22</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2.05</w:t>
            </w:r>
          </w:p>
        </w:tc>
        <w:tc>
          <w:tcPr>
            <w:tcW w:w="56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1.33</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1.78</w:t>
            </w:r>
          </w:p>
        </w:tc>
        <w:tc>
          <w:tcPr>
            <w:tcW w:w="51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1.20</w:t>
            </w:r>
          </w:p>
        </w:tc>
        <w:tc>
          <w:tcPr>
            <w:tcW w:w="44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4.62</w:t>
            </w:r>
          </w:p>
        </w:tc>
      </w:tr>
      <w:tr w:rsidR="00525419">
        <w:trPr>
          <w:trHeight w:val="397"/>
          <w:jc w:val="center"/>
        </w:trPr>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冬季</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2.39</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2.89</w:t>
            </w:r>
          </w:p>
        </w:tc>
        <w:tc>
          <w:tcPr>
            <w:tcW w:w="434"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3.30</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6.79</w:t>
            </w:r>
          </w:p>
        </w:tc>
        <w:tc>
          <w:tcPr>
            <w:tcW w:w="48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12.98</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9.64</w:t>
            </w:r>
          </w:p>
        </w:tc>
        <w:tc>
          <w:tcPr>
            <w:tcW w:w="441"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3.71</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1.78</w:t>
            </w:r>
          </w:p>
        </w:tc>
        <w:tc>
          <w:tcPr>
            <w:tcW w:w="43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2.04</w:t>
            </w:r>
          </w:p>
        </w:tc>
        <w:tc>
          <w:tcPr>
            <w:tcW w:w="448"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3.97</w:t>
            </w:r>
          </w:p>
        </w:tc>
        <w:tc>
          <w:tcPr>
            <w:tcW w:w="43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7.00</w:t>
            </w:r>
          </w:p>
        </w:tc>
        <w:tc>
          <w:tcPr>
            <w:tcW w:w="53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6.47</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6.29</w:t>
            </w:r>
          </w:p>
        </w:tc>
        <w:tc>
          <w:tcPr>
            <w:tcW w:w="566"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4.81</w:t>
            </w:r>
          </w:p>
        </w:tc>
        <w:tc>
          <w:tcPr>
            <w:tcW w:w="440"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3.29</w:t>
            </w:r>
          </w:p>
        </w:tc>
        <w:tc>
          <w:tcPr>
            <w:tcW w:w="519"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2.51</w:t>
            </w:r>
          </w:p>
        </w:tc>
        <w:tc>
          <w:tcPr>
            <w:tcW w:w="442" w:type="dxa"/>
            <w:tcMar>
              <w:left w:w="0" w:type="dxa"/>
              <w:right w:w="0"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4.99</w:t>
            </w:r>
          </w:p>
        </w:tc>
      </w:tr>
    </w:tbl>
    <w:p w:rsidR="00525419" w:rsidRDefault="00525419">
      <w:pPr>
        <w:widowControl/>
        <w:jc w:val="center"/>
        <w:rPr>
          <w:rFonts w:ascii="Times New Roman" w:hAnsi="Times New Roman"/>
          <w:kern w:val="0"/>
          <w:szCs w:val="24"/>
        </w:rPr>
      </w:pP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评价区全年各风向污染系数以东（</w:t>
      </w:r>
      <w:r>
        <w:rPr>
          <w:rFonts w:ascii="Times New Roman" w:hAnsi="Times New Roman"/>
          <w:kern w:val="0"/>
          <w:sz w:val="24"/>
          <w:szCs w:val="24"/>
        </w:rPr>
        <w:t>E</w:t>
      </w:r>
      <w:r>
        <w:rPr>
          <w:rFonts w:ascii="Times New Roman" w:hAnsi="Times New Roman"/>
          <w:kern w:val="0"/>
          <w:sz w:val="24"/>
          <w:szCs w:val="24"/>
        </w:rPr>
        <w:t>）方位最大，为</w:t>
      </w:r>
      <w:r>
        <w:rPr>
          <w:rFonts w:ascii="Times New Roman" w:hAnsi="Times New Roman"/>
          <w:kern w:val="0"/>
          <w:sz w:val="24"/>
          <w:szCs w:val="24"/>
        </w:rPr>
        <w:t>14.03</w:t>
      </w:r>
      <w:r>
        <w:rPr>
          <w:rFonts w:ascii="Times New Roman" w:hAnsi="Times New Roman"/>
          <w:kern w:val="0"/>
          <w:sz w:val="24"/>
          <w:szCs w:val="24"/>
        </w:rPr>
        <w:t>，其下风向西（</w:t>
      </w:r>
      <w:r>
        <w:rPr>
          <w:rFonts w:ascii="Times New Roman" w:hAnsi="Times New Roman"/>
          <w:kern w:val="0"/>
          <w:sz w:val="24"/>
          <w:szCs w:val="24"/>
        </w:rPr>
        <w:t>W</w:t>
      </w:r>
      <w:r>
        <w:rPr>
          <w:rFonts w:ascii="Times New Roman" w:hAnsi="Times New Roman"/>
          <w:kern w:val="0"/>
          <w:sz w:val="24"/>
          <w:szCs w:val="24"/>
        </w:rPr>
        <w:t>）方向受污染程度最大；东北偏东（</w:t>
      </w:r>
      <w:r>
        <w:rPr>
          <w:rFonts w:ascii="Times New Roman" w:hAnsi="Times New Roman"/>
          <w:kern w:val="0"/>
          <w:sz w:val="24"/>
          <w:szCs w:val="24"/>
        </w:rPr>
        <w:t>ENE</w:t>
      </w:r>
      <w:r>
        <w:rPr>
          <w:rFonts w:ascii="Times New Roman" w:hAnsi="Times New Roman"/>
          <w:kern w:val="0"/>
          <w:sz w:val="24"/>
          <w:szCs w:val="24"/>
        </w:rPr>
        <w:t>）方向次之，为</w:t>
      </w:r>
      <w:r>
        <w:rPr>
          <w:rFonts w:ascii="Times New Roman" w:hAnsi="Times New Roman"/>
          <w:kern w:val="0"/>
          <w:sz w:val="24"/>
          <w:szCs w:val="24"/>
        </w:rPr>
        <w:t>10.29</w:t>
      </w:r>
      <w:r>
        <w:rPr>
          <w:rFonts w:ascii="Times New Roman" w:hAnsi="Times New Roman"/>
          <w:kern w:val="0"/>
          <w:sz w:val="24"/>
          <w:szCs w:val="24"/>
        </w:rPr>
        <w:t>，其下风向西南偏</w:t>
      </w:r>
      <w:r>
        <w:rPr>
          <w:rFonts w:ascii="Times New Roman" w:hAnsi="Times New Roman"/>
          <w:kern w:val="0"/>
          <w:sz w:val="24"/>
          <w:szCs w:val="24"/>
        </w:rPr>
        <w:lastRenderedPageBreak/>
        <w:t>西（</w:t>
      </w:r>
      <w:r>
        <w:rPr>
          <w:rFonts w:ascii="Times New Roman" w:hAnsi="Times New Roman"/>
          <w:kern w:val="0"/>
          <w:sz w:val="24"/>
          <w:szCs w:val="24"/>
        </w:rPr>
        <w:t>WSW</w:t>
      </w:r>
      <w:r>
        <w:rPr>
          <w:rFonts w:ascii="Times New Roman" w:hAnsi="Times New Roman"/>
          <w:kern w:val="0"/>
          <w:sz w:val="24"/>
          <w:szCs w:val="24"/>
        </w:rPr>
        <w:t>）方向也容易受到污染。污染系数最小风向方位是西北偏北</w:t>
      </w:r>
      <w:r>
        <w:rPr>
          <w:rFonts w:ascii="Times New Roman" w:hAnsi="Times New Roman"/>
          <w:kern w:val="0"/>
          <w:sz w:val="24"/>
          <w:szCs w:val="24"/>
        </w:rPr>
        <w:t>NNW</w:t>
      </w:r>
      <w:r>
        <w:rPr>
          <w:rFonts w:ascii="Times New Roman" w:hAnsi="Times New Roman"/>
          <w:kern w:val="0"/>
          <w:sz w:val="24"/>
          <w:szCs w:val="24"/>
        </w:rPr>
        <w:t>向，为</w:t>
      </w:r>
      <w:r>
        <w:rPr>
          <w:rFonts w:ascii="Times New Roman" w:hAnsi="Times New Roman"/>
          <w:kern w:val="0"/>
          <w:sz w:val="24"/>
          <w:szCs w:val="24"/>
        </w:rPr>
        <w:t>1.35</w:t>
      </w:r>
      <w:r>
        <w:rPr>
          <w:rFonts w:ascii="Times New Roman" w:hAnsi="Times New Roman"/>
          <w:kern w:val="0"/>
          <w:sz w:val="24"/>
          <w:szCs w:val="24"/>
        </w:rPr>
        <w:t>，为污染最轻的方向。</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noProof/>
          <w:kern w:val="0"/>
          <w:sz w:val="24"/>
          <w:szCs w:val="24"/>
        </w:rPr>
        <w:drawing>
          <wp:inline distT="0" distB="0" distL="114300" distR="114300">
            <wp:extent cx="4793615" cy="6463665"/>
            <wp:effectExtent l="0" t="0" r="6985" b="13335"/>
            <wp:docPr id="1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6"/>
                    <pic:cNvPicPr>
                      <a:picLocks noChangeAspect="1"/>
                    </pic:cNvPicPr>
                  </pic:nvPicPr>
                  <pic:blipFill>
                    <a:blip r:embed="rId26"/>
                    <a:stretch>
                      <a:fillRect/>
                    </a:stretch>
                  </pic:blipFill>
                  <pic:spPr>
                    <a:xfrm>
                      <a:off x="0" y="0"/>
                      <a:ext cx="4793615" cy="6463665"/>
                    </a:xfrm>
                    <a:prstGeom prst="rect">
                      <a:avLst/>
                    </a:prstGeom>
                    <a:noFill/>
                    <a:ln>
                      <a:noFill/>
                    </a:ln>
                  </pic:spPr>
                </pic:pic>
              </a:graphicData>
            </a:graphic>
          </wp:inline>
        </w:drawing>
      </w:r>
    </w:p>
    <w:p w:rsidR="00525419" w:rsidRDefault="00EE1CF7">
      <w:pPr>
        <w:widowControl/>
        <w:adjustRightInd w:val="0"/>
        <w:snapToGrid w:val="0"/>
        <w:spacing w:before="120"/>
        <w:jc w:val="center"/>
        <w:rPr>
          <w:rFonts w:ascii="Times New Roman" w:hAnsi="Times New Roman"/>
          <w:b/>
          <w:snapToGrid w:val="0"/>
          <w:kern w:val="0"/>
          <w:sz w:val="24"/>
          <w:szCs w:val="28"/>
        </w:rPr>
      </w:pPr>
      <w:r>
        <w:rPr>
          <w:rFonts w:ascii="Times New Roman" w:hAnsi="Times New Roman"/>
          <w:b/>
          <w:snapToGrid w:val="0"/>
          <w:kern w:val="0"/>
          <w:sz w:val="24"/>
          <w:szCs w:val="28"/>
        </w:rPr>
        <w:t>图</w:t>
      </w:r>
      <w:r>
        <w:rPr>
          <w:rFonts w:ascii="Times New Roman" w:hAnsi="Times New Roman"/>
          <w:b/>
          <w:snapToGrid w:val="0"/>
          <w:kern w:val="0"/>
          <w:sz w:val="24"/>
          <w:szCs w:val="28"/>
        </w:rPr>
        <w:t xml:space="preserve">5.1-5   </w:t>
      </w:r>
      <w:r>
        <w:rPr>
          <w:rFonts w:ascii="Times New Roman" w:hAnsi="Times New Roman"/>
          <w:b/>
          <w:snapToGrid w:val="0"/>
          <w:kern w:val="0"/>
          <w:sz w:val="24"/>
          <w:szCs w:val="28"/>
        </w:rPr>
        <w:t>鄯善县</w:t>
      </w:r>
      <w:r>
        <w:rPr>
          <w:rFonts w:ascii="Times New Roman" w:hAnsi="Times New Roman"/>
          <w:b/>
          <w:snapToGrid w:val="0"/>
          <w:kern w:val="0"/>
          <w:sz w:val="24"/>
          <w:szCs w:val="28"/>
        </w:rPr>
        <w:t>2018</w:t>
      </w:r>
      <w:r>
        <w:rPr>
          <w:rFonts w:ascii="Times New Roman" w:hAnsi="Times New Roman"/>
          <w:b/>
          <w:snapToGrid w:val="0"/>
          <w:kern w:val="0"/>
          <w:sz w:val="24"/>
          <w:szCs w:val="28"/>
        </w:rPr>
        <w:t>年污染系数玫瑰图</w:t>
      </w:r>
    </w:p>
    <w:p w:rsidR="00525419" w:rsidRDefault="00EE1CF7">
      <w:pPr>
        <w:pStyle w:val="3a"/>
        <w:spacing w:beforeLines="50" w:before="159" w:after="156" w:line="360" w:lineRule="auto"/>
        <w:jc w:val="left"/>
        <w:rPr>
          <w:rFonts w:ascii="Times New Roman" w:eastAsia="华文楷体" w:hAnsi="Times New Roman"/>
        </w:rPr>
      </w:pPr>
      <w:bookmarkStart w:id="126" w:name="_Toc339417196"/>
      <w:bookmarkStart w:id="127" w:name="_Toc352019959"/>
      <w:r>
        <w:rPr>
          <w:rFonts w:ascii="Times New Roman" w:eastAsia="华文楷体" w:hAnsi="Times New Roman"/>
        </w:rPr>
        <w:t>5.1.2</w:t>
      </w:r>
      <w:bookmarkEnd w:id="126"/>
      <w:bookmarkEnd w:id="127"/>
      <w:r>
        <w:rPr>
          <w:rFonts w:ascii="Times New Roman" w:eastAsia="华文楷体" w:hAnsi="Times New Roman"/>
        </w:rPr>
        <w:t>大气环境影响预测参数</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5.1.2.1</w:t>
      </w:r>
      <w:r>
        <w:rPr>
          <w:rFonts w:ascii="Times New Roman" w:hAnsi="Times New Roman" w:cs="Times New Roman"/>
          <w:kern w:val="44"/>
          <w:sz w:val="24"/>
          <w:szCs w:val="24"/>
        </w:rPr>
        <w:t>废气污染源强统计</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）正常工况</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lastRenderedPageBreak/>
        <w:t>根据工程分析结果，本项目有组织废气污染源共</w:t>
      </w:r>
      <w:r>
        <w:rPr>
          <w:rFonts w:ascii="Times New Roman" w:hAnsi="Times New Roman"/>
          <w:kern w:val="0"/>
          <w:sz w:val="24"/>
          <w:szCs w:val="24"/>
        </w:rPr>
        <w:t>4</w:t>
      </w:r>
      <w:r>
        <w:rPr>
          <w:rFonts w:ascii="Times New Roman" w:hAnsi="Times New Roman"/>
          <w:kern w:val="0"/>
          <w:sz w:val="24"/>
          <w:szCs w:val="24"/>
        </w:rPr>
        <w:t>个，无组织废气污染源共</w:t>
      </w:r>
      <w:r>
        <w:rPr>
          <w:rFonts w:ascii="Times New Roman" w:hAnsi="Times New Roman"/>
          <w:kern w:val="0"/>
          <w:sz w:val="24"/>
          <w:szCs w:val="24"/>
        </w:rPr>
        <w:t>1</w:t>
      </w:r>
      <w:r>
        <w:rPr>
          <w:rFonts w:ascii="Times New Roman" w:hAnsi="Times New Roman"/>
          <w:kern w:val="0"/>
          <w:sz w:val="24"/>
          <w:szCs w:val="24"/>
        </w:rPr>
        <w:t>个，正常工况废气污染源的主要参数见表</w:t>
      </w:r>
      <w:r>
        <w:rPr>
          <w:rFonts w:ascii="Times New Roman" w:hAnsi="Times New Roman"/>
          <w:kern w:val="0"/>
          <w:sz w:val="24"/>
          <w:szCs w:val="24"/>
        </w:rPr>
        <w:t>5.1-6</w:t>
      </w:r>
      <w:r>
        <w:rPr>
          <w:rFonts w:ascii="Times New Roman" w:hAnsi="Times New Roman"/>
          <w:kern w:val="0"/>
          <w:sz w:val="24"/>
          <w:szCs w:val="24"/>
        </w:rPr>
        <w:t>和表</w:t>
      </w:r>
      <w:r>
        <w:rPr>
          <w:rFonts w:ascii="Times New Roman" w:hAnsi="Times New Roman"/>
          <w:kern w:val="0"/>
          <w:sz w:val="24"/>
          <w:szCs w:val="24"/>
        </w:rPr>
        <w:t>5.1-7</w:t>
      </w:r>
      <w:r>
        <w:rPr>
          <w:rFonts w:ascii="Times New Roman" w:hAnsi="Times New Roman"/>
          <w:kern w:val="0"/>
          <w:sz w:val="24"/>
          <w:szCs w:val="24"/>
        </w:rPr>
        <w:t>。</w:t>
      </w:r>
    </w:p>
    <w:p w:rsidR="00525419" w:rsidRDefault="00EE1CF7">
      <w:pPr>
        <w:widowControl/>
        <w:adjustRightInd w:val="0"/>
        <w:snapToGrid w:val="0"/>
        <w:spacing w:before="120"/>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5.1-6  </w:t>
      </w:r>
      <w:r>
        <w:rPr>
          <w:rFonts w:ascii="Times New Roman" w:eastAsia="黑体" w:hAnsi="Times New Roman"/>
          <w:szCs w:val="21"/>
        </w:rPr>
        <w:t>点源污染源计算清单</w:t>
      </w:r>
    </w:p>
    <w:tbl>
      <w:tblPr>
        <w:tblW w:w="85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478"/>
        <w:gridCol w:w="1441"/>
        <w:gridCol w:w="613"/>
        <w:gridCol w:w="509"/>
        <w:gridCol w:w="735"/>
        <w:gridCol w:w="774"/>
        <w:gridCol w:w="771"/>
        <w:gridCol w:w="837"/>
        <w:gridCol w:w="761"/>
        <w:gridCol w:w="761"/>
        <w:gridCol w:w="825"/>
      </w:tblGrid>
      <w:tr w:rsidR="00525419">
        <w:trPr>
          <w:trHeight w:val="397"/>
          <w:jc w:val="center"/>
        </w:trPr>
        <w:tc>
          <w:tcPr>
            <w:tcW w:w="478" w:type="dxa"/>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编号</w:t>
            </w:r>
          </w:p>
        </w:tc>
        <w:tc>
          <w:tcPr>
            <w:tcW w:w="1441" w:type="dxa"/>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点源名称</w:t>
            </w:r>
          </w:p>
        </w:tc>
        <w:tc>
          <w:tcPr>
            <w:tcW w:w="613" w:type="dxa"/>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X</w:t>
            </w:r>
            <w:r>
              <w:rPr>
                <w:rFonts w:ascii="Times New Roman" w:hAnsi="Times New Roman"/>
                <w:snapToGrid w:val="0"/>
                <w:kern w:val="0"/>
                <w:szCs w:val="24"/>
              </w:rPr>
              <w:t>坐标</w:t>
            </w:r>
          </w:p>
        </w:tc>
        <w:tc>
          <w:tcPr>
            <w:tcW w:w="509" w:type="dxa"/>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Y</w:t>
            </w:r>
            <w:r>
              <w:rPr>
                <w:rFonts w:ascii="Times New Roman" w:hAnsi="Times New Roman"/>
                <w:snapToGrid w:val="0"/>
                <w:kern w:val="0"/>
                <w:szCs w:val="24"/>
              </w:rPr>
              <w:t>坐标</w:t>
            </w:r>
          </w:p>
        </w:tc>
        <w:tc>
          <w:tcPr>
            <w:tcW w:w="735" w:type="dxa"/>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排气筒高度</w:t>
            </w:r>
          </w:p>
        </w:tc>
        <w:tc>
          <w:tcPr>
            <w:tcW w:w="774" w:type="dxa"/>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排气筒内径</w:t>
            </w:r>
          </w:p>
        </w:tc>
        <w:tc>
          <w:tcPr>
            <w:tcW w:w="771" w:type="dxa"/>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烟气出口温度</w:t>
            </w:r>
          </w:p>
        </w:tc>
        <w:tc>
          <w:tcPr>
            <w:tcW w:w="837" w:type="dxa"/>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烟气</w:t>
            </w:r>
          </w:p>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流量</w:t>
            </w:r>
          </w:p>
        </w:tc>
        <w:tc>
          <w:tcPr>
            <w:tcW w:w="2347" w:type="dxa"/>
            <w:gridSpan w:val="3"/>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评价因子源强</w:t>
            </w:r>
          </w:p>
        </w:tc>
      </w:tr>
      <w:tr w:rsidR="00525419">
        <w:trPr>
          <w:trHeight w:val="397"/>
          <w:jc w:val="center"/>
        </w:trPr>
        <w:tc>
          <w:tcPr>
            <w:tcW w:w="478"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1441"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613"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509"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735"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774"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771"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837"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761"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颗粒物</w:t>
            </w:r>
          </w:p>
        </w:tc>
        <w:tc>
          <w:tcPr>
            <w:tcW w:w="761"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SO</w:t>
            </w:r>
            <w:r>
              <w:rPr>
                <w:rFonts w:ascii="Times New Roman" w:hAnsi="Times New Roman"/>
                <w:snapToGrid w:val="0"/>
                <w:kern w:val="0"/>
                <w:szCs w:val="24"/>
                <w:vertAlign w:val="subscript"/>
              </w:rPr>
              <w:t>2</w:t>
            </w:r>
          </w:p>
        </w:tc>
        <w:tc>
          <w:tcPr>
            <w:tcW w:w="825"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NO</w:t>
            </w:r>
            <w:r>
              <w:rPr>
                <w:rFonts w:ascii="Times New Roman" w:hAnsi="Times New Roman"/>
                <w:snapToGrid w:val="0"/>
                <w:kern w:val="0"/>
                <w:szCs w:val="24"/>
                <w:vertAlign w:val="subscript"/>
              </w:rPr>
              <w:t>2</w:t>
            </w:r>
          </w:p>
        </w:tc>
      </w:tr>
      <w:tr w:rsidR="00525419">
        <w:trPr>
          <w:trHeight w:val="397"/>
          <w:jc w:val="center"/>
        </w:trPr>
        <w:tc>
          <w:tcPr>
            <w:tcW w:w="478"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1441"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单位</w:t>
            </w:r>
          </w:p>
        </w:tc>
        <w:tc>
          <w:tcPr>
            <w:tcW w:w="613"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Px</w:t>
            </w:r>
          </w:p>
        </w:tc>
        <w:tc>
          <w:tcPr>
            <w:tcW w:w="509"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Py</w:t>
            </w:r>
          </w:p>
        </w:tc>
        <w:tc>
          <w:tcPr>
            <w:tcW w:w="735"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m</w:t>
            </w:r>
          </w:p>
        </w:tc>
        <w:tc>
          <w:tcPr>
            <w:tcW w:w="774"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m</w:t>
            </w:r>
          </w:p>
        </w:tc>
        <w:tc>
          <w:tcPr>
            <w:tcW w:w="771"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kern w:val="0"/>
                <w:szCs w:val="21"/>
              </w:rPr>
              <w:t>℃</w:t>
            </w:r>
          </w:p>
        </w:tc>
        <w:tc>
          <w:tcPr>
            <w:tcW w:w="837"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rPr>
              <w:t>m</w:t>
            </w:r>
            <w:r>
              <w:rPr>
                <w:rFonts w:ascii="Times New Roman" w:hAnsi="Times New Roman"/>
                <w:vertAlign w:val="superscript"/>
              </w:rPr>
              <w:t>3</w:t>
            </w:r>
            <w:r>
              <w:rPr>
                <w:rFonts w:ascii="Times New Roman" w:hAnsi="Times New Roman"/>
              </w:rPr>
              <w:t>/h</w:t>
            </w:r>
          </w:p>
        </w:tc>
        <w:tc>
          <w:tcPr>
            <w:tcW w:w="761"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kg/h</w:t>
            </w:r>
          </w:p>
        </w:tc>
        <w:tc>
          <w:tcPr>
            <w:tcW w:w="761"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kg/h</w:t>
            </w:r>
          </w:p>
        </w:tc>
        <w:tc>
          <w:tcPr>
            <w:tcW w:w="825"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kg/h</w:t>
            </w:r>
          </w:p>
        </w:tc>
      </w:tr>
      <w:tr w:rsidR="00525419">
        <w:trPr>
          <w:trHeight w:val="357"/>
          <w:jc w:val="center"/>
        </w:trPr>
        <w:tc>
          <w:tcPr>
            <w:tcW w:w="478"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1</w:t>
            </w:r>
          </w:p>
        </w:tc>
        <w:tc>
          <w:tcPr>
            <w:tcW w:w="1441"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hint="eastAsia"/>
                <w:snapToGrid w:val="0"/>
                <w:kern w:val="0"/>
                <w:szCs w:val="24"/>
              </w:rPr>
              <w:t>制氢转化炉</w:t>
            </w:r>
          </w:p>
        </w:tc>
        <w:tc>
          <w:tcPr>
            <w:tcW w:w="613"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13</w:t>
            </w:r>
          </w:p>
        </w:tc>
        <w:tc>
          <w:tcPr>
            <w:tcW w:w="509"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-52</w:t>
            </w:r>
          </w:p>
        </w:tc>
        <w:tc>
          <w:tcPr>
            <w:tcW w:w="735"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66</w:t>
            </w:r>
          </w:p>
        </w:tc>
        <w:tc>
          <w:tcPr>
            <w:tcW w:w="774"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hint="eastAsia"/>
                <w:snapToGrid w:val="0"/>
                <w:kern w:val="0"/>
                <w:szCs w:val="24"/>
              </w:rPr>
              <w:t>3.0</w:t>
            </w:r>
          </w:p>
        </w:tc>
        <w:tc>
          <w:tcPr>
            <w:tcW w:w="771"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175</w:t>
            </w:r>
          </w:p>
        </w:tc>
        <w:tc>
          <w:tcPr>
            <w:tcW w:w="837"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zCs w:val="21"/>
              </w:rPr>
              <w:t>67320</w:t>
            </w:r>
          </w:p>
        </w:tc>
        <w:tc>
          <w:tcPr>
            <w:tcW w:w="761"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0.404</w:t>
            </w:r>
          </w:p>
        </w:tc>
        <w:tc>
          <w:tcPr>
            <w:tcW w:w="761"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0.507</w:t>
            </w:r>
          </w:p>
        </w:tc>
        <w:tc>
          <w:tcPr>
            <w:tcW w:w="825"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6.76</w:t>
            </w:r>
          </w:p>
        </w:tc>
      </w:tr>
      <w:tr w:rsidR="00525419">
        <w:trPr>
          <w:trHeight w:val="395"/>
          <w:jc w:val="center"/>
        </w:trPr>
        <w:tc>
          <w:tcPr>
            <w:tcW w:w="478"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2</w:t>
            </w:r>
          </w:p>
        </w:tc>
        <w:tc>
          <w:tcPr>
            <w:tcW w:w="1441"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hint="eastAsia"/>
                <w:snapToGrid w:val="0"/>
                <w:kern w:val="0"/>
                <w:szCs w:val="24"/>
              </w:rPr>
              <w:t>加氢反应一、二段加热炉</w:t>
            </w:r>
          </w:p>
        </w:tc>
        <w:tc>
          <w:tcPr>
            <w:tcW w:w="613"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342</w:t>
            </w:r>
          </w:p>
        </w:tc>
        <w:tc>
          <w:tcPr>
            <w:tcW w:w="509"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185</w:t>
            </w:r>
          </w:p>
        </w:tc>
        <w:tc>
          <w:tcPr>
            <w:tcW w:w="735"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25</w:t>
            </w:r>
          </w:p>
        </w:tc>
        <w:tc>
          <w:tcPr>
            <w:tcW w:w="774"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hint="eastAsia"/>
                <w:snapToGrid w:val="0"/>
                <w:kern w:val="0"/>
                <w:szCs w:val="24"/>
              </w:rPr>
              <w:t>1.7</w:t>
            </w:r>
          </w:p>
        </w:tc>
        <w:tc>
          <w:tcPr>
            <w:tcW w:w="771"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150</w:t>
            </w:r>
          </w:p>
        </w:tc>
        <w:tc>
          <w:tcPr>
            <w:tcW w:w="837"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rPr>
              <w:t>15028</w:t>
            </w:r>
          </w:p>
        </w:tc>
        <w:tc>
          <w:tcPr>
            <w:tcW w:w="761" w:type="dxa"/>
            <w:shd w:val="clear" w:color="auto" w:fill="auto"/>
            <w:vAlign w:val="center"/>
          </w:tcPr>
          <w:p w:rsidR="00525419" w:rsidRDefault="00EE1CF7">
            <w:pPr>
              <w:widowControl/>
              <w:rPr>
                <w:rFonts w:ascii="Times New Roman" w:hAnsi="Times New Roman"/>
                <w:snapToGrid w:val="0"/>
                <w:kern w:val="0"/>
                <w:szCs w:val="24"/>
              </w:rPr>
            </w:pPr>
            <w:r>
              <w:rPr>
                <w:rFonts w:ascii="Times New Roman" w:hAnsi="Times New Roman"/>
              </w:rPr>
              <w:t>0.03468</w:t>
            </w:r>
          </w:p>
        </w:tc>
        <w:tc>
          <w:tcPr>
            <w:tcW w:w="761"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rPr>
              <w:t>0.04352</w:t>
            </w:r>
          </w:p>
        </w:tc>
        <w:tc>
          <w:tcPr>
            <w:tcW w:w="825"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rPr>
              <w:t>1.2978</w:t>
            </w:r>
          </w:p>
        </w:tc>
      </w:tr>
      <w:tr w:rsidR="00525419">
        <w:trPr>
          <w:trHeight w:val="397"/>
          <w:jc w:val="center"/>
        </w:trPr>
        <w:tc>
          <w:tcPr>
            <w:tcW w:w="478"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3</w:t>
            </w:r>
          </w:p>
        </w:tc>
        <w:tc>
          <w:tcPr>
            <w:tcW w:w="1441"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hint="eastAsia"/>
              </w:rPr>
              <w:t>加氢分馏加热炉</w:t>
            </w:r>
          </w:p>
        </w:tc>
        <w:tc>
          <w:tcPr>
            <w:tcW w:w="613"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296</w:t>
            </w:r>
          </w:p>
        </w:tc>
        <w:tc>
          <w:tcPr>
            <w:tcW w:w="509"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323</w:t>
            </w:r>
          </w:p>
        </w:tc>
        <w:tc>
          <w:tcPr>
            <w:tcW w:w="735"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50</w:t>
            </w:r>
          </w:p>
        </w:tc>
        <w:tc>
          <w:tcPr>
            <w:tcW w:w="774"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hint="eastAsia"/>
                <w:snapToGrid w:val="0"/>
                <w:kern w:val="0"/>
                <w:szCs w:val="24"/>
              </w:rPr>
              <w:t>1.9</w:t>
            </w:r>
          </w:p>
        </w:tc>
        <w:tc>
          <w:tcPr>
            <w:tcW w:w="771"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150</w:t>
            </w:r>
          </w:p>
        </w:tc>
        <w:tc>
          <w:tcPr>
            <w:tcW w:w="837"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rPr>
              <w:t>12727</w:t>
            </w:r>
          </w:p>
        </w:tc>
        <w:tc>
          <w:tcPr>
            <w:tcW w:w="761"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rPr>
              <w:t>0.02937</w:t>
            </w:r>
          </w:p>
        </w:tc>
        <w:tc>
          <w:tcPr>
            <w:tcW w:w="761"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rPr>
              <w:t>0.0369</w:t>
            </w:r>
          </w:p>
        </w:tc>
        <w:tc>
          <w:tcPr>
            <w:tcW w:w="825"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rPr>
              <w:t>1.098</w:t>
            </w:r>
          </w:p>
        </w:tc>
      </w:tr>
      <w:tr w:rsidR="00525419">
        <w:trPr>
          <w:trHeight w:val="397"/>
          <w:jc w:val="center"/>
        </w:trPr>
        <w:tc>
          <w:tcPr>
            <w:tcW w:w="478"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4</w:t>
            </w:r>
          </w:p>
        </w:tc>
        <w:tc>
          <w:tcPr>
            <w:tcW w:w="1441"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hint="eastAsia"/>
                <w:snapToGrid w:val="0"/>
                <w:kern w:val="0"/>
                <w:szCs w:val="24"/>
              </w:rPr>
              <w:t>硫磺回收尾气焚烧炉</w:t>
            </w:r>
          </w:p>
        </w:tc>
        <w:tc>
          <w:tcPr>
            <w:tcW w:w="613"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322</w:t>
            </w:r>
          </w:p>
        </w:tc>
        <w:tc>
          <w:tcPr>
            <w:tcW w:w="509"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355</w:t>
            </w:r>
          </w:p>
        </w:tc>
        <w:tc>
          <w:tcPr>
            <w:tcW w:w="735"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80</w:t>
            </w:r>
          </w:p>
        </w:tc>
        <w:tc>
          <w:tcPr>
            <w:tcW w:w="774"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hint="eastAsia"/>
                <w:snapToGrid w:val="0"/>
                <w:kern w:val="0"/>
                <w:szCs w:val="24"/>
              </w:rPr>
              <w:t>0.6</w:t>
            </w:r>
          </w:p>
        </w:tc>
        <w:tc>
          <w:tcPr>
            <w:tcW w:w="771"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150</w:t>
            </w:r>
          </w:p>
        </w:tc>
        <w:tc>
          <w:tcPr>
            <w:tcW w:w="837"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rPr>
              <w:t>15734</w:t>
            </w:r>
          </w:p>
        </w:tc>
        <w:tc>
          <w:tcPr>
            <w:tcW w:w="761"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rPr>
              <w:t>0.79</w:t>
            </w:r>
          </w:p>
        </w:tc>
        <w:tc>
          <w:tcPr>
            <w:tcW w:w="761"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rPr>
              <w:t>3.156</w:t>
            </w:r>
          </w:p>
        </w:tc>
        <w:tc>
          <w:tcPr>
            <w:tcW w:w="825"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rPr>
              <w:t>0.22</w:t>
            </w:r>
          </w:p>
        </w:tc>
      </w:tr>
    </w:tbl>
    <w:p w:rsidR="00525419" w:rsidRDefault="00525419">
      <w:pPr>
        <w:widowControl/>
        <w:jc w:val="center"/>
        <w:rPr>
          <w:rFonts w:ascii="Times New Roman" w:hAnsi="Times New Roman"/>
          <w:kern w:val="0"/>
          <w:szCs w:val="24"/>
        </w:rPr>
      </w:pPr>
    </w:p>
    <w:p w:rsidR="00525419" w:rsidRDefault="00EE1CF7">
      <w:pPr>
        <w:widowControl/>
        <w:adjustRightInd w:val="0"/>
        <w:snapToGrid w:val="0"/>
        <w:spacing w:before="120"/>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5.1-7   </w:t>
      </w:r>
      <w:r>
        <w:rPr>
          <w:rFonts w:ascii="Times New Roman" w:eastAsia="黑体" w:hAnsi="Times New Roman"/>
          <w:szCs w:val="21"/>
        </w:rPr>
        <w:t>面源污染源计算清单</w:t>
      </w:r>
    </w:p>
    <w:tbl>
      <w:tblPr>
        <w:tblW w:w="832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475"/>
        <w:gridCol w:w="1518"/>
        <w:gridCol w:w="846"/>
        <w:gridCol w:w="850"/>
        <w:gridCol w:w="1130"/>
        <w:gridCol w:w="1274"/>
        <w:gridCol w:w="1116"/>
        <w:gridCol w:w="1116"/>
      </w:tblGrid>
      <w:tr w:rsidR="00525419">
        <w:trPr>
          <w:trHeight w:val="397"/>
        </w:trPr>
        <w:tc>
          <w:tcPr>
            <w:tcW w:w="475" w:type="dxa"/>
            <w:vMerge w:val="restart"/>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序号</w:t>
            </w:r>
          </w:p>
        </w:tc>
        <w:tc>
          <w:tcPr>
            <w:tcW w:w="1518" w:type="dxa"/>
            <w:vMerge w:val="restart"/>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面源名称</w:t>
            </w:r>
          </w:p>
        </w:tc>
        <w:tc>
          <w:tcPr>
            <w:tcW w:w="1696" w:type="dxa"/>
            <w:gridSpan w:val="2"/>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面源中心</w:t>
            </w:r>
          </w:p>
        </w:tc>
        <w:tc>
          <w:tcPr>
            <w:tcW w:w="1130" w:type="dxa"/>
            <w:vMerge w:val="restart"/>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面源长度</w:t>
            </w:r>
            <w:r>
              <w:rPr>
                <w:rFonts w:ascii="Times New Roman" w:hAnsi="Times New Roman"/>
                <w:kern w:val="0"/>
                <w:szCs w:val="24"/>
              </w:rPr>
              <w:t>L1</w:t>
            </w:r>
            <w:r>
              <w:rPr>
                <w:rFonts w:ascii="Times New Roman" w:hAnsi="Times New Roman"/>
                <w:kern w:val="0"/>
                <w:szCs w:val="24"/>
              </w:rPr>
              <w:t>（</w:t>
            </w:r>
            <w:r>
              <w:rPr>
                <w:rFonts w:ascii="Times New Roman" w:hAnsi="Times New Roman"/>
                <w:kern w:val="0"/>
                <w:szCs w:val="24"/>
              </w:rPr>
              <w:t>m</w:t>
            </w:r>
            <w:r>
              <w:rPr>
                <w:rFonts w:ascii="Times New Roman" w:hAnsi="Times New Roman"/>
                <w:kern w:val="0"/>
                <w:szCs w:val="24"/>
              </w:rPr>
              <w:t>）</w:t>
            </w:r>
          </w:p>
        </w:tc>
        <w:tc>
          <w:tcPr>
            <w:tcW w:w="1274" w:type="dxa"/>
            <w:vMerge w:val="restart"/>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面源宽度</w:t>
            </w:r>
            <w:r>
              <w:rPr>
                <w:rFonts w:ascii="Times New Roman" w:hAnsi="Times New Roman"/>
                <w:kern w:val="0"/>
                <w:szCs w:val="24"/>
              </w:rPr>
              <w:t>Lw</w:t>
            </w:r>
            <w:r>
              <w:rPr>
                <w:rFonts w:ascii="Times New Roman" w:hAnsi="Times New Roman"/>
                <w:kern w:val="0"/>
                <w:szCs w:val="24"/>
              </w:rPr>
              <w:t>（</w:t>
            </w:r>
            <w:r>
              <w:rPr>
                <w:rFonts w:ascii="Times New Roman" w:hAnsi="Times New Roman"/>
                <w:kern w:val="0"/>
                <w:szCs w:val="24"/>
              </w:rPr>
              <w:t>m</w:t>
            </w:r>
            <w:r>
              <w:rPr>
                <w:rFonts w:ascii="Times New Roman" w:hAnsi="Times New Roman"/>
                <w:kern w:val="0"/>
                <w:szCs w:val="24"/>
              </w:rPr>
              <w:t>）</w:t>
            </w:r>
          </w:p>
        </w:tc>
        <w:tc>
          <w:tcPr>
            <w:tcW w:w="1116" w:type="dxa"/>
            <w:vMerge w:val="restart"/>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排放高度</w:t>
            </w:r>
            <w:r>
              <w:rPr>
                <w:rFonts w:ascii="Times New Roman" w:hAnsi="Times New Roman"/>
                <w:kern w:val="0"/>
                <w:szCs w:val="24"/>
              </w:rPr>
              <w:t>H</w:t>
            </w:r>
            <w:r>
              <w:rPr>
                <w:rFonts w:ascii="Times New Roman" w:hAnsi="Times New Roman"/>
                <w:kern w:val="0"/>
                <w:szCs w:val="24"/>
              </w:rPr>
              <w:t>（</w:t>
            </w:r>
            <w:r>
              <w:rPr>
                <w:rFonts w:ascii="Times New Roman" w:hAnsi="Times New Roman"/>
                <w:kern w:val="0"/>
                <w:szCs w:val="24"/>
              </w:rPr>
              <w:t>m</w:t>
            </w:r>
            <w:r>
              <w:rPr>
                <w:rFonts w:ascii="Times New Roman" w:hAnsi="Times New Roman"/>
                <w:kern w:val="0"/>
                <w:szCs w:val="24"/>
              </w:rPr>
              <w:t>）</w:t>
            </w:r>
          </w:p>
        </w:tc>
        <w:tc>
          <w:tcPr>
            <w:tcW w:w="1116" w:type="dxa"/>
            <w:vMerge w:val="restart"/>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QNMHC</w:t>
            </w:r>
            <w:r>
              <w:rPr>
                <w:rFonts w:ascii="Times New Roman" w:hAnsi="Times New Roman"/>
                <w:kern w:val="0"/>
                <w:szCs w:val="24"/>
              </w:rPr>
              <w:t>（</w:t>
            </w:r>
            <w:r>
              <w:rPr>
                <w:rFonts w:ascii="Times New Roman" w:hAnsi="Times New Roman"/>
                <w:kern w:val="0"/>
                <w:szCs w:val="24"/>
              </w:rPr>
              <w:t>kg/h</w:t>
            </w:r>
            <w:r>
              <w:rPr>
                <w:rFonts w:ascii="Times New Roman" w:hAnsi="Times New Roman"/>
                <w:kern w:val="0"/>
                <w:szCs w:val="24"/>
              </w:rPr>
              <w:t>）</w:t>
            </w:r>
          </w:p>
        </w:tc>
      </w:tr>
      <w:tr w:rsidR="00525419">
        <w:trPr>
          <w:trHeight w:val="397"/>
        </w:trPr>
        <w:tc>
          <w:tcPr>
            <w:tcW w:w="475" w:type="dxa"/>
            <w:vMerge/>
            <w:shd w:val="clear" w:color="auto" w:fill="auto"/>
            <w:vAlign w:val="center"/>
          </w:tcPr>
          <w:p w:rsidR="00525419" w:rsidRDefault="00525419">
            <w:pPr>
              <w:widowControl/>
              <w:jc w:val="center"/>
              <w:rPr>
                <w:rFonts w:ascii="Times New Roman" w:hAnsi="Times New Roman"/>
                <w:kern w:val="0"/>
                <w:szCs w:val="24"/>
              </w:rPr>
            </w:pPr>
          </w:p>
        </w:tc>
        <w:tc>
          <w:tcPr>
            <w:tcW w:w="1518" w:type="dxa"/>
            <w:vMerge/>
            <w:shd w:val="clear" w:color="auto" w:fill="auto"/>
            <w:vAlign w:val="center"/>
          </w:tcPr>
          <w:p w:rsidR="00525419" w:rsidRDefault="00525419">
            <w:pPr>
              <w:widowControl/>
              <w:jc w:val="center"/>
              <w:rPr>
                <w:rFonts w:ascii="Times New Roman" w:hAnsi="Times New Roman"/>
                <w:kern w:val="0"/>
                <w:szCs w:val="24"/>
              </w:rPr>
            </w:pPr>
          </w:p>
        </w:tc>
        <w:tc>
          <w:tcPr>
            <w:tcW w:w="846"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X(m)</w:t>
            </w:r>
          </w:p>
        </w:tc>
        <w:tc>
          <w:tcPr>
            <w:tcW w:w="850"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Y(m)</w:t>
            </w:r>
          </w:p>
        </w:tc>
        <w:tc>
          <w:tcPr>
            <w:tcW w:w="1130" w:type="dxa"/>
            <w:vMerge/>
            <w:shd w:val="clear" w:color="auto" w:fill="auto"/>
            <w:vAlign w:val="center"/>
          </w:tcPr>
          <w:p w:rsidR="00525419" w:rsidRDefault="00525419">
            <w:pPr>
              <w:widowControl/>
              <w:jc w:val="center"/>
              <w:rPr>
                <w:rFonts w:ascii="Times New Roman" w:hAnsi="Times New Roman"/>
                <w:kern w:val="0"/>
                <w:szCs w:val="24"/>
              </w:rPr>
            </w:pPr>
          </w:p>
        </w:tc>
        <w:tc>
          <w:tcPr>
            <w:tcW w:w="1274" w:type="dxa"/>
            <w:vMerge/>
            <w:shd w:val="clear" w:color="auto" w:fill="auto"/>
            <w:vAlign w:val="center"/>
          </w:tcPr>
          <w:p w:rsidR="00525419" w:rsidRDefault="00525419">
            <w:pPr>
              <w:widowControl/>
              <w:jc w:val="center"/>
              <w:rPr>
                <w:rFonts w:ascii="Times New Roman" w:hAnsi="Times New Roman"/>
                <w:kern w:val="0"/>
                <w:szCs w:val="24"/>
              </w:rPr>
            </w:pPr>
          </w:p>
        </w:tc>
        <w:tc>
          <w:tcPr>
            <w:tcW w:w="1116" w:type="dxa"/>
            <w:vMerge/>
            <w:shd w:val="clear" w:color="auto" w:fill="auto"/>
            <w:vAlign w:val="center"/>
          </w:tcPr>
          <w:p w:rsidR="00525419" w:rsidRDefault="00525419">
            <w:pPr>
              <w:widowControl/>
              <w:jc w:val="center"/>
              <w:rPr>
                <w:rFonts w:ascii="Times New Roman" w:hAnsi="Times New Roman"/>
                <w:kern w:val="0"/>
                <w:szCs w:val="24"/>
              </w:rPr>
            </w:pPr>
          </w:p>
        </w:tc>
        <w:tc>
          <w:tcPr>
            <w:tcW w:w="1116" w:type="dxa"/>
            <w:vMerge/>
            <w:shd w:val="clear" w:color="auto" w:fill="auto"/>
            <w:vAlign w:val="center"/>
          </w:tcPr>
          <w:p w:rsidR="00525419" w:rsidRDefault="00525419">
            <w:pPr>
              <w:widowControl/>
              <w:jc w:val="center"/>
              <w:rPr>
                <w:rFonts w:ascii="Times New Roman" w:hAnsi="Times New Roman"/>
                <w:kern w:val="0"/>
                <w:szCs w:val="24"/>
              </w:rPr>
            </w:pPr>
          </w:p>
        </w:tc>
      </w:tr>
      <w:tr w:rsidR="00525419">
        <w:trPr>
          <w:trHeight w:val="397"/>
        </w:trPr>
        <w:tc>
          <w:tcPr>
            <w:tcW w:w="475" w:type="dxa"/>
            <w:shd w:val="clear" w:color="auto" w:fill="auto"/>
            <w:vAlign w:val="center"/>
          </w:tcPr>
          <w:p w:rsidR="00525419" w:rsidRDefault="00EE1CF7">
            <w:pPr>
              <w:widowControl/>
              <w:jc w:val="center"/>
              <w:rPr>
                <w:rFonts w:ascii="Times New Roman" w:hAnsi="Times New Roman"/>
                <w:snapToGrid w:val="0"/>
                <w:kern w:val="0"/>
                <w:szCs w:val="21"/>
              </w:rPr>
            </w:pPr>
            <w:r>
              <w:rPr>
                <w:rFonts w:ascii="Times New Roman" w:hAnsi="Times New Roman"/>
                <w:snapToGrid w:val="0"/>
                <w:kern w:val="0"/>
                <w:szCs w:val="21"/>
              </w:rPr>
              <w:t>1</w:t>
            </w:r>
          </w:p>
        </w:tc>
        <w:tc>
          <w:tcPr>
            <w:tcW w:w="1518" w:type="dxa"/>
            <w:shd w:val="clear" w:color="auto" w:fill="auto"/>
            <w:vAlign w:val="center"/>
          </w:tcPr>
          <w:p w:rsidR="00525419" w:rsidRDefault="00EE1CF7">
            <w:pPr>
              <w:widowControl/>
              <w:jc w:val="center"/>
              <w:rPr>
                <w:rFonts w:ascii="Times New Roman" w:hAnsi="Times New Roman"/>
                <w:snapToGrid w:val="0"/>
                <w:kern w:val="0"/>
                <w:szCs w:val="21"/>
              </w:rPr>
            </w:pPr>
            <w:r>
              <w:rPr>
                <w:rFonts w:ascii="Times New Roman" w:hAnsi="Times New Roman"/>
                <w:snapToGrid w:val="0"/>
                <w:kern w:val="0"/>
                <w:szCs w:val="21"/>
              </w:rPr>
              <w:t>装置区、储罐区</w:t>
            </w:r>
          </w:p>
        </w:tc>
        <w:tc>
          <w:tcPr>
            <w:tcW w:w="846" w:type="dxa"/>
            <w:shd w:val="clear" w:color="auto" w:fill="auto"/>
            <w:vAlign w:val="center"/>
          </w:tcPr>
          <w:p w:rsidR="00525419" w:rsidRDefault="00EE1CF7">
            <w:pPr>
              <w:widowControl/>
              <w:jc w:val="center"/>
              <w:rPr>
                <w:rFonts w:ascii="Times New Roman" w:hAnsi="Times New Roman"/>
                <w:snapToGrid w:val="0"/>
                <w:kern w:val="0"/>
                <w:szCs w:val="21"/>
              </w:rPr>
            </w:pPr>
            <w:r>
              <w:rPr>
                <w:rFonts w:ascii="Times New Roman" w:hAnsi="Times New Roman"/>
                <w:snapToGrid w:val="0"/>
                <w:kern w:val="0"/>
                <w:szCs w:val="21"/>
              </w:rPr>
              <w:t>53</w:t>
            </w:r>
          </w:p>
        </w:tc>
        <w:tc>
          <w:tcPr>
            <w:tcW w:w="850" w:type="dxa"/>
            <w:shd w:val="clear" w:color="auto" w:fill="auto"/>
            <w:vAlign w:val="center"/>
          </w:tcPr>
          <w:p w:rsidR="00525419" w:rsidRDefault="00EE1CF7">
            <w:pPr>
              <w:widowControl/>
              <w:jc w:val="center"/>
              <w:rPr>
                <w:rFonts w:ascii="Times New Roman" w:hAnsi="Times New Roman"/>
                <w:snapToGrid w:val="0"/>
                <w:kern w:val="0"/>
                <w:szCs w:val="21"/>
              </w:rPr>
            </w:pPr>
            <w:r>
              <w:rPr>
                <w:rFonts w:ascii="Times New Roman" w:hAnsi="Times New Roman"/>
                <w:snapToGrid w:val="0"/>
                <w:kern w:val="0"/>
                <w:szCs w:val="21"/>
              </w:rPr>
              <w:t>152</w:t>
            </w:r>
          </w:p>
        </w:tc>
        <w:tc>
          <w:tcPr>
            <w:tcW w:w="1130" w:type="dxa"/>
            <w:shd w:val="clear" w:color="auto" w:fill="auto"/>
            <w:vAlign w:val="center"/>
          </w:tcPr>
          <w:p w:rsidR="00525419" w:rsidRDefault="00EE1CF7">
            <w:pPr>
              <w:widowControl/>
              <w:jc w:val="center"/>
              <w:rPr>
                <w:rFonts w:ascii="Times New Roman" w:hAnsi="Times New Roman"/>
                <w:snapToGrid w:val="0"/>
                <w:kern w:val="0"/>
                <w:szCs w:val="21"/>
              </w:rPr>
            </w:pPr>
            <w:r>
              <w:rPr>
                <w:rFonts w:ascii="Times New Roman" w:hAnsi="Times New Roman"/>
                <w:snapToGrid w:val="0"/>
                <w:kern w:val="0"/>
                <w:szCs w:val="21"/>
              </w:rPr>
              <w:t>980</w:t>
            </w:r>
          </w:p>
        </w:tc>
        <w:tc>
          <w:tcPr>
            <w:tcW w:w="1274" w:type="dxa"/>
            <w:shd w:val="clear" w:color="auto" w:fill="auto"/>
            <w:vAlign w:val="center"/>
          </w:tcPr>
          <w:p w:rsidR="00525419" w:rsidRDefault="00EE1CF7">
            <w:pPr>
              <w:widowControl/>
              <w:jc w:val="center"/>
              <w:rPr>
                <w:rFonts w:ascii="Times New Roman" w:hAnsi="Times New Roman"/>
                <w:snapToGrid w:val="0"/>
                <w:kern w:val="0"/>
                <w:szCs w:val="21"/>
              </w:rPr>
            </w:pPr>
            <w:r>
              <w:rPr>
                <w:rFonts w:ascii="Times New Roman" w:hAnsi="Times New Roman"/>
                <w:snapToGrid w:val="0"/>
                <w:kern w:val="0"/>
                <w:szCs w:val="21"/>
              </w:rPr>
              <w:t>225</w:t>
            </w:r>
          </w:p>
        </w:tc>
        <w:tc>
          <w:tcPr>
            <w:tcW w:w="1116" w:type="dxa"/>
            <w:shd w:val="clear" w:color="auto" w:fill="auto"/>
            <w:vAlign w:val="center"/>
          </w:tcPr>
          <w:p w:rsidR="00525419" w:rsidRDefault="00EE1CF7">
            <w:pPr>
              <w:widowControl/>
              <w:jc w:val="center"/>
              <w:rPr>
                <w:rFonts w:ascii="Times New Roman" w:hAnsi="Times New Roman"/>
                <w:snapToGrid w:val="0"/>
                <w:kern w:val="0"/>
                <w:szCs w:val="21"/>
              </w:rPr>
            </w:pPr>
            <w:r>
              <w:rPr>
                <w:rFonts w:ascii="Times New Roman" w:hAnsi="Times New Roman"/>
                <w:snapToGrid w:val="0"/>
                <w:kern w:val="0"/>
                <w:szCs w:val="21"/>
              </w:rPr>
              <w:t>15</w:t>
            </w:r>
          </w:p>
        </w:tc>
        <w:tc>
          <w:tcPr>
            <w:tcW w:w="1116"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6.8</w:t>
            </w:r>
          </w:p>
        </w:tc>
      </w:tr>
    </w:tbl>
    <w:p w:rsidR="00525419" w:rsidRDefault="00525419">
      <w:pPr>
        <w:widowControl/>
        <w:jc w:val="center"/>
        <w:rPr>
          <w:rFonts w:ascii="Times New Roman" w:hAnsi="Times New Roman"/>
          <w:kern w:val="0"/>
          <w:szCs w:val="24"/>
        </w:rPr>
      </w:pP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②</w:t>
      </w:r>
      <w:r>
        <w:rPr>
          <w:rFonts w:ascii="Times New Roman" w:hAnsi="Times New Roman"/>
          <w:kern w:val="0"/>
          <w:sz w:val="24"/>
          <w:szCs w:val="24"/>
        </w:rPr>
        <w:t>非正常工况</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sz w:val="24"/>
          <w:szCs w:val="24"/>
        </w:rPr>
        <w:t>非正常工况排放的废气全部进入火炬系统燃烧后高空排放；</w:t>
      </w:r>
      <w:r>
        <w:rPr>
          <w:rFonts w:ascii="Times New Roman" w:hAnsi="Times New Roman"/>
          <w:sz w:val="24"/>
        </w:rPr>
        <w:t>当硫磺回收装置事故状态时，酸性气直接送到碱液吸收塔处理后尾气火炬焚烧</w:t>
      </w:r>
      <w:r>
        <w:rPr>
          <w:rFonts w:ascii="Times New Roman" w:hAnsi="Times New Roman"/>
          <w:kern w:val="0"/>
          <w:sz w:val="24"/>
          <w:szCs w:val="24"/>
        </w:rPr>
        <w:t>，非正常工况污染物排放量见表</w:t>
      </w:r>
      <w:r>
        <w:rPr>
          <w:rFonts w:ascii="Times New Roman" w:hAnsi="Times New Roman"/>
          <w:kern w:val="0"/>
          <w:sz w:val="24"/>
          <w:szCs w:val="24"/>
        </w:rPr>
        <w:t>5.1-8</w:t>
      </w:r>
      <w:r>
        <w:rPr>
          <w:rFonts w:ascii="Times New Roman" w:hAnsi="Times New Roman"/>
          <w:kern w:val="0"/>
          <w:sz w:val="24"/>
          <w:szCs w:val="24"/>
        </w:rPr>
        <w:t>。</w:t>
      </w:r>
    </w:p>
    <w:p w:rsidR="00525419" w:rsidRDefault="00EE1CF7">
      <w:pPr>
        <w:widowControl/>
        <w:adjustRightInd w:val="0"/>
        <w:snapToGrid w:val="0"/>
        <w:spacing w:before="120"/>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5.1-8  </w:t>
      </w:r>
      <w:r>
        <w:rPr>
          <w:rFonts w:ascii="Times New Roman" w:eastAsia="黑体" w:hAnsi="Times New Roman"/>
          <w:szCs w:val="21"/>
        </w:rPr>
        <w:t>非正常工况污染物排放</w:t>
      </w:r>
    </w:p>
    <w:tbl>
      <w:tblPr>
        <w:tblW w:w="84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414"/>
        <w:gridCol w:w="1237"/>
        <w:gridCol w:w="630"/>
        <w:gridCol w:w="662"/>
        <w:gridCol w:w="662"/>
        <w:gridCol w:w="717"/>
        <w:gridCol w:w="717"/>
        <w:gridCol w:w="717"/>
        <w:gridCol w:w="717"/>
        <w:gridCol w:w="651"/>
        <w:gridCol w:w="651"/>
        <w:gridCol w:w="708"/>
      </w:tblGrid>
      <w:tr w:rsidR="00525419">
        <w:trPr>
          <w:trHeight w:val="90"/>
          <w:jc w:val="center"/>
        </w:trPr>
        <w:tc>
          <w:tcPr>
            <w:tcW w:w="414" w:type="dxa"/>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编号</w:t>
            </w:r>
          </w:p>
        </w:tc>
        <w:tc>
          <w:tcPr>
            <w:tcW w:w="1237" w:type="dxa"/>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点源名称</w:t>
            </w:r>
          </w:p>
        </w:tc>
        <w:tc>
          <w:tcPr>
            <w:tcW w:w="630" w:type="dxa"/>
            <w:vMerge w:val="restart"/>
            <w:shd w:val="clear" w:color="auto" w:fill="auto"/>
            <w:vAlign w:val="center"/>
          </w:tcPr>
          <w:p w:rsidR="00525419" w:rsidRDefault="00EE1CF7">
            <w:pPr>
              <w:widowControl/>
              <w:rPr>
                <w:rFonts w:ascii="Times New Roman" w:hAnsi="Times New Roman"/>
                <w:snapToGrid w:val="0"/>
                <w:kern w:val="0"/>
                <w:szCs w:val="24"/>
              </w:rPr>
            </w:pPr>
            <w:r>
              <w:rPr>
                <w:rFonts w:ascii="Times New Roman" w:hAnsi="Times New Roman"/>
                <w:snapToGrid w:val="0"/>
                <w:kern w:val="0"/>
                <w:szCs w:val="24"/>
              </w:rPr>
              <w:t>等效高度</w:t>
            </w:r>
          </w:p>
        </w:tc>
        <w:tc>
          <w:tcPr>
            <w:tcW w:w="662" w:type="dxa"/>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等效出口内径</w:t>
            </w:r>
          </w:p>
        </w:tc>
        <w:tc>
          <w:tcPr>
            <w:tcW w:w="662" w:type="dxa"/>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烟气出口温度</w:t>
            </w:r>
          </w:p>
        </w:tc>
        <w:tc>
          <w:tcPr>
            <w:tcW w:w="717" w:type="dxa"/>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等效烟气</w:t>
            </w:r>
          </w:p>
          <w:p w:rsidR="00525419" w:rsidRDefault="00EE1CF7">
            <w:pPr>
              <w:widowControl/>
              <w:jc w:val="center"/>
              <w:rPr>
                <w:rFonts w:ascii="Times New Roman" w:hAnsi="Times New Roman"/>
              </w:rPr>
            </w:pPr>
            <w:r>
              <w:rPr>
                <w:rFonts w:ascii="Times New Roman" w:hAnsi="Times New Roman"/>
                <w:snapToGrid w:val="0"/>
                <w:kern w:val="0"/>
                <w:szCs w:val="24"/>
              </w:rPr>
              <w:t>流速</w:t>
            </w:r>
          </w:p>
        </w:tc>
        <w:tc>
          <w:tcPr>
            <w:tcW w:w="2151" w:type="dxa"/>
            <w:gridSpan w:val="3"/>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燃烧物质及热释放速率</w:t>
            </w:r>
          </w:p>
        </w:tc>
        <w:tc>
          <w:tcPr>
            <w:tcW w:w="2010" w:type="dxa"/>
            <w:gridSpan w:val="3"/>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评价因子源强</w:t>
            </w:r>
          </w:p>
        </w:tc>
      </w:tr>
      <w:tr w:rsidR="00525419">
        <w:trPr>
          <w:trHeight w:val="394"/>
          <w:jc w:val="center"/>
        </w:trPr>
        <w:tc>
          <w:tcPr>
            <w:tcW w:w="414"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1237"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630"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662"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662"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717" w:type="dxa"/>
            <w:vMerge/>
            <w:shd w:val="clear" w:color="auto" w:fill="auto"/>
            <w:vAlign w:val="center"/>
          </w:tcPr>
          <w:p w:rsidR="00525419" w:rsidRDefault="00525419">
            <w:pPr>
              <w:widowControl/>
              <w:jc w:val="center"/>
              <w:rPr>
                <w:rFonts w:ascii="Times New Roman" w:hAnsi="Times New Roman"/>
              </w:rPr>
            </w:pPr>
          </w:p>
        </w:tc>
        <w:tc>
          <w:tcPr>
            <w:tcW w:w="717"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燃烧辐射热损失</w:t>
            </w:r>
          </w:p>
        </w:tc>
        <w:tc>
          <w:tcPr>
            <w:tcW w:w="717" w:type="dxa"/>
            <w:shd w:val="clear" w:color="auto" w:fill="auto"/>
            <w:vAlign w:val="center"/>
          </w:tcPr>
          <w:p w:rsidR="00525419" w:rsidRDefault="00EE1CF7">
            <w:pPr>
              <w:widowControl/>
              <w:rPr>
                <w:rFonts w:ascii="Times New Roman" w:hAnsi="Times New Roman"/>
                <w:snapToGrid w:val="0"/>
                <w:kern w:val="0"/>
                <w:szCs w:val="24"/>
              </w:rPr>
            </w:pPr>
            <w:r>
              <w:rPr>
                <w:rFonts w:ascii="Times New Roman" w:hAnsi="Times New Roman"/>
                <w:snapToGrid w:val="0"/>
                <w:kern w:val="0"/>
                <w:szCs w:val="24"/>
              </w:rPr>
              <w:t>总热释放速率</w:t>
            </w:r>
          </w:p>
        </w:tc>
        <w:tc>
          <w:tcPr>
            <w:tcW w:w="717"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燃烧物质</w:t>
            </w:r>
          </w:p>
        </w:tc>
        <w:tc>
          <w:tcPr>
            <w:tcW w:w="651"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颗粒物</w:t>
            </w:r>
          </w:p>
        </w:tc>
        <w:tc>
          <w:tcPr>
            <w:tcW w:w="651"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SO</w:t>
            </w:r>
            <w:r>
              <w:rPr>
                <w:rFonts w:ascii="Times New Roman" w:hAnsi="Times New Roman"/>
                <w:snapToGrid w:val="0"/>
                <w:kern w:val="0"/>
                <w:szCs w:val="24"/>
                <w:vertAlign w:val="subscript"/>
              </w:rPr>
              <w:t>2</w:t>
            </w:r>
          </w:p>
        </w:tc>
        <w:tc>
          <w:tcPr>
            <w:tcW w:w="707"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NO</w:t>
            </w:r>
            <w:r>
              <w:rPr>
                <w:rFonts w:ascii="Times New Roman" w:hAnsi="Times New Roman"/>
                <w:snapToGrid w:val="0"/>
                <w:kern w:val="0"/>
                <w:szCs w:val="24"/>
                <w:vertAlign w:val="subscript"/>
              </w:rPr>
              <w:t>2</w:t>
            </w:r>
          </w:p>
        </w:tc>
      </w:tr>
      <w:tr w:rsidR="00525419">
        <w:trPr>
          <w:trHeight w:val="397"/>
          <w:jc w:val="center"/>
        </w:trPr>
        <w:tc>
          <w:tcPr>
            <w:tcW w:w="414"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1237"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630"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H(m)</w:t>
            </w:r>
          </w:p>
        </w:tc>
        <w:tc>
          <w:tcPr>
            <w:tcW w:w="662"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D(m)</w:t>
            </w:r>
          </w:p>
        </w:tc>
        <w:tc>
          <w:tcPr>
            <w:tcW w:w="662"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T</w:t>
            </w:r>
            <w:r>
              <w:rPr>
                <w:rFonts w:ascii="Times New Roman" w:hAnsi="Times New Roman"/>
                <w:snapToGrid w:val="0"/>
                <w:kern w:val="0"/>
                <w:szCs w:val="24"/>
              </w:rPr>
              <w:t>（</w:t>
            </w:r>
            <w:r>
              <w:rPr>
                <w:rFonts w:ascii="Times New Roman" w:hAnsi="Times New Roman"/>
                <w:snapToGrid w:val="0"/>
                <w:kern w:val="0"/>
                <w:szCs w:val="24"/>
              </w:rPr>
              <w:t>℃</w:t>
            </w:r>
            <w:r>
              <w:rPr>
                <w:rFonts w:ascii="Times New Roman" w:hAnsi="Times New Roman"/>
                <w:snapToGrid w:val="0"/>
                <w:kern w:val="0"/>
                <w:szCs w:val="24"/>
              </w:rPr>
              <w:t>）</w:t>
            </w:r>
          </w:p>
        </w:tc>
        <w:tc>
          <w:tcPr>
            <w:tcW w:w="717" w:type="dxa"/>
            <w:shd w:val="clear" w:color="auto" w:fill="auto"/>
            <w:vAlign w:val="center"/>
          </w:tcPr>
          <w:p w:rsidR="00525419" w:rsidRDefault="00EE1CF7">
            <w:pPr>
              <w:widowControl/>
              <w:jc w:val="center"/>
              <w:rPr>
                <w:rFonts w:ascii="Times New Roman" w:hAnsi="Times New Roman"/>
              </w:rPr>
            </w:pPr>
            <w:r>
              <w:rPr>
                <w:rFonts w:ascii="Times New Roman" w:hAnsi="Times New Roman"/>
                <w:snapToGrid w:val="0"/>
                <w:kern w:val="0"/>
                <w:szCs w:val="24"/>
              </w:rPr>
              <w:t>V(m/s)</w:t>
            </w:r>
          </w:p>
        </w:tc>
        <w:tc>
          <w:tcPr>
            <w:tcW w:w="717"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w:t>
            </w:r>
          </w:p>
        </w:tc>
        <w:tc>
          <w:tcPr>
            <w:tcW w:w="717" w:type="dxa"/>
            <w:shd w:val="clear" w:color="auto" w:fill="auto"/>
            <w:vAlign w:val="center"/>
          </w:tcPr>
          <w:p w:rsidR="00525419" w:rsidRDefault="00EE1CF7">
            <w:pPr>
              <w:widowControl/>
              <w:rPr>
                <w:rFonts w:ascii="Times New Roman" w:hAnsi="Times New Roman"/>
                <w:snapToGrid w:val="0"/>
                <w:kern w:val="0"/>
                <w:szCs w:val="24"/>
              </w:rPr>
            </w:pPr>
            <w:r>
              <w:rPr>
                <w:rFonts w:ascii="Times New Roman" w:hAnsi="Times New Roman"/>
                <w:snapToGrid w:val="0"/>
                <w:kern w:val="0"/>
                <w:szCs w:val="24"/>
              </w:rPr>
              <w:t xml:space="preserve"> Cal/s</w:t>
            </w:r>
          </w:p>
        </w:tc>
        <w:tc>
          <w:tcPr>
            <w:tcW w:w="717"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w:t>
            </w:r>
          </w:p>
        </w:tc>
        <w:tc>
          <w:tcPr>
            <w:tcW w:w="651"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kg/h</w:t>
            </w:r>
          </w:p>
        </w:tc>
        <w:tc>
          <w:tcPr>
            <w:tcW w:w="651"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kg/h</w:t>
            </w:r>
          </w:p>
        </w:tc>
        <w:tc>
          <w:tcPr>
            <w:tcW w:w="707"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kg/h</w:t>
            </w:r>
          </w:p>
        </w:tc>
      </w:tr>
      <w:tr w:rsidR="00525419">
        <w:trPr>
          <w:trHeight w:val="397"/>
          <w:jc w:val="center"/>
        </w:trPr>
        <w:tc>
          <w:tcPr>
            <w:tcW w:w="414"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1</w:t>
            </w:r>
          </w:p>
        </w:tc>
        <w:tc>
          <w:tcPr>
            <w:tcW w:w="1237"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火炬</w:t>
            </w:r>
          </w:p>
        </w:tc>
        <w:tc>
          <w:tcPr>
            <w:tcW w:w="630"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566</w:t>
            </w:r>
          </w:p>
        </w:tc>
        <w:tc>
          <w:tcPr>
            <w:tcW w:w="662"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0.2</w:t>
            </w:r>
          </w:p>
        </w:tc>
        <w:tc>
          <w:tcPr>
            <w:tcW w:w="662"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1000</w:t>
            </w:r>
          </w:p>
        </w:tc>
        <w:tc>
          <w:tcPr>
            <w:tcW w:w="717" w:type="dxa"/>
            <w:shd w:val="clear" w:color="auto" w:fill="auto"/>
            <w:vAlign w:val="center"/>
          </w:tcPr>
          <w:p w:rsidR="00525419" w:rsidRDefault="00EE1CF7">
            <w:pPr>
              <w:widowControl/>
              <w:jc w:val="center"/>
              <w:rPr>
                <w:rFonts w:ascii="Times New Roman" w:hAnsi="Times New Roman"/>
              </w:rPr>
            </w:pPr>
            <w:r>
              <w:rPr>
                <w:rFonts w:ascii="Times New Roman" w:hAnsi="Times New Roman"/>
                <w:snapToGrid w:val="0"/>
                <w:kern w:val="0"/>
                <w:szCs w:val="24"/>
              </w:rPr>
              <w:t>20</w:t>
            </w:r>
          </w:p>
        </w:tc>
        <w:tc>
          <w:tcPr>
            <w:tcW w:w="717"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0.55</w:t>
            </w:r>
          </w:p>
        </w:tc>
        <w:tc>
          <w:tcPr>
            <w:tcW w:w="717"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100000</w:t>
            </w:r>
          </w:p>
        </w:tc>
        <w:tc>
          <w:tcPr>
            <w:tcW w:w="717"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工艺气</w:t>
            </w:r>
          </w:p>
        </w:tc>
        <w:tc>
          <w:tcPr>
            <w:tcW w:w="651"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4.5</w:t>
            </w:r>
          </w:p>
        </w:tc>
        <w:tc>
          <w:tcPr>
            <w:tcW w:w="651"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19.08</w:t>
            </w:r>
          </w:p>
        </w:tc>
        <w:tc>
          <w:tcPr>
            <w:tcW w:w="708"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9</w:t>
            </w:r>
          </w:p>
        </w:tc>
      </w:tr>
    </w:tbl>
    <w:p w:rsidR="00525419" w:rsidRDefault="00525419">
      <w:pPr>
        <w:widowControl/>
        <w:jc w:val="center"/>
        <w:rPr>
          <w:rFonts w:ascii="Times New Roman" w:hAnsi="Times New Roman"/>
          <w:kern w:val="0"/>
          <w:szCs w:val="24"/>
        </w:rPr>
      </w:pPr>
    </w:p>
    <w:p w:rsidR="00525419" w:rsidRDefault="00EE1CF7">
      <w:pPr>
        <w:widowControl/>
        <w:spacing w:line="360" w:lineRule="auto"/>
        <w:ind w:firstLineChars="200" w:firstLine="480"/>
        <w:jc w:val="left"/>
        <w:rPr>
          <w:rFonts w:ascii="Times New Roman" w:hAnsi="Times New Roman"/>
          <w:snapToGrid w:val="0"/>
          <w:kern w:val="0"/>
          <w:sz w:val="24"/>
          <w:szCs w:val="24"/>
        </w:rPr>
      </w:pPr>
      <w:r>
        <w:rPr>
          <w:rFonts w:ascii="Times New Roman" w:hAnsi="Times New Roman"/>
          <w:snapToGrid w:val="0"/>
          <w:kern w:val="0"/>
          <w:sz w:val="24"/>
          <w:szCs w:val="24"/>
        </w:rPr>
        <w:t>③</w:t>
      </w:r>
      <w:r>
        <w:rPr>
          <w:rFonts w:ascii="Times New Roman" w:hAnsi="Times New Roman"/>
          <w:snapToGrid w:val="0"/>
          <w:kern w:val="0"/>
          <w:sz w:val="24"/>
          <w:szCs w:val="24"/>
        </w:rPr>
        <w:t>区域拟建、在建污染源</w:t>
      </w:r>
    </w:p>
    <w:p w:rsidR="00525419" w:rsidRDefault="00EE1CF7">
      <w:pPr>
        <w:widowControl/>
        <w:spacing w:line="360" w:lineRule="auto"/>
        <w:ind w:firstLineChars="200" w:firstLine="480"/>
        <w:jc w:val="left"/>
        <w:rPr>
          <w:rFonts w:ascii="Times New Roman" w:eastAsia="黑体" w:hAnsi="Times New Roman"/>
          <w:szCs w:val="21"/>
        </w:rPr>
      </w:pPr>
      <w:r>
        <w:rPr>
          <w:rFonts w:ascii="Times New Roman" w:hAnsi="Times New Roman"/>
          <w:snapToGrid w:val="0"/>
          <w:kern w:val="0"/>
          <w:sz w:val="24"/>
          <w:szCs w:val="24"/>
        </w:rPr>
        <w:t>据调查，项目所在区域拟建、在建污染源包括</w:t>
      </w:r>
      <w:r>
        <w:rPr>
          <w:rFonts w:ascii="Times New Roman" w:hAnsi="Times New Roman"/>
          <w:sz w:val="24"/>
        </w:rPr>
        <w:t>新疆澎湃动力新能源科技有限公司</w:t>
      </w:r>
      <w:r>
        <w:rPr>
          <w:rFonts w:ascii="Times New Roman" w:hAnsi="Times New Roman"/>
          <w:sz w:val="24"/>
        </w:rPr>
        <w:t>60</w:t>
      </w:r>
      <w:r>
        <w:rPr>
          <w:rFonts w:ascii="Times New Roman" w:hAnsi="Times New Roman"/>
          <w:sz w:val="24"/>
        </w:rPr>
        <w:t>万吨</w:t>
      </w:r>
      <w:r>
        <w:rPr>
          <w:rFonts w:ascii="Times New Roman" w:hAnsi="Times New Roman"/>
          <w:sz w:val="24"/>
        </w:rPr>
        <w:t>/</w:t>
      </w:r>
      <w:r>
        <w:rPr>
          <w:rFonts w:ascii="Times New Roman" w:hAnsi="Times New Roman"/>
          <w:sz w:val="24"/>
        </w:rPr>
        <w:t>年成品油质量升级改造项目（位于本项目西北侧</w:t>
      </w:r>
      <w:r>
        <w:rPr>
          <w:rFonts w:ascii="Times New Roman" w:hAnsi="Times New Roman"/>
          <w:sz w:val="24"/>
        </w:rPr>
        <w:t>2.5km</w:t>
      </w:r>
      <w:r>
        <w:rPr>
          <w:rFonts w:ascii="Times New Roman" w:hAnsi="Times New Roman"/>
          <w:sz w:val="24"/>
        </w:rPr>
        <w:t>）</w:t>
      </w:r>
      <w:r>
        <w:rPr>
          <w:rFonts w:ascii="Times New Roman" w:hAnsi="Times New Roman"/>
          <w:snapToGrid w:val="0"/>
          <w:kern w:val="0"/>
          <w:sz w:val="24"/>
          <w:szCs w:val="24"/>
        </w:rPr>
        <w:t>、鄯善久</w:t>
      </w:r>
      <w:r>
        <w:rPr>
          <w:rFonts w:ascii="Times New Roman" w:hAnsi="Times New Roman"/>
          <w:snapToGrid w:val="0"/>
          <w:kern w:val="0"/>
          <w:sz w:val="24"/>
          <w:szCs w:val="24"/>
        </w:rPr>
        <w:lastRenderedPageBreak/>
        <w:t>隆源技术开发服务有限公司废矿物油综合利用项目（</w:t>
      </w:r>
      <w:r>
        <w:rPr>
          <w:rFonts w:ascii="Times New Roman" w:hAnsi="Times New Roman" w:hint="eastAsia"/>
          <w:snapToGrid w:val="0"/>
          <w:kern w:val="0"/>
          <w:sz w:val="24"/>
          <w:szCs w:val="24"/>
        </w:rPr>
        <w:t>位于</w:t>
      </w:r>
      <w:r>
        <w:rPr>
          <w:rFonts w:ascii="Times New Roman" w:hAnsi="Times New Roman"/>
          <w:snapToGrid w:val="0"/>
          <w:kern w:val="0"/>
          <w:sz w:val="24"/>
          <w:szCs w:val="24"/>
        </w:rPr>
        <w:t>本项目东侧</w:t>
      </w:r>
      <w:r>
        <w:rPr>
          <w:rFonts w:ascii="Times New Roman" w:hAnsi="Times New Roman" w:hint="eastAsia"/>
          <w:snapToGrid w:val="0"/>
          <w:kern w:val="0"/>
          <w:sz w:val="24"/>
          <w:szCs w:val="24"/>
        </w:rPr>
        <w:t>70</w:t>
      </w:r>
      <w:r>
        <w:rPr>
          <w:rFonts w:ascii="Times New Roman" w:hAnsi="Times New Roman"/>
          <w:snapToGrid w:val="0"/>
          <w:kern w:val="0"/>
          <w:sz w:val="24"/>
          <w:szCs w:val="24"/>
        </w:rPr>
        <w:t>m</w:t>
      </w:r>
      <w:r>
        <w:rPr>
          <w:rFonts w:ascii="Times New Roman" w:hAnsi="Times New Roman"/>
          <w:snapToGrid w:val="0"/>
          <w:kern w:val="0"/>
          <w:sz w:val="24"/>
          <w:szCs w:val="24"/>
        </w:rPr>
        <w:t>），污染源强统计见表</w:t>
      </w:r>
      <w:r>
        <w:rPr>
          <w:rFonts w:ascii="Times New Roman" w:hAnsi="Times New Roman"/>
          <w:snapToGrid w:val="0"/>
          <w:kern w:val="0"/>
          <w:sz w:val="24"/>
          <w:szCs w:val="24"/>
        </w:rPr>
        <w:t>5.1-9</w:t>
      </w:r>
      <w:r>
        <w:rPr>
          <w:rFonts w:ascii="Times New Roman" w:hAnsi="Times New Roman"/>
          <w:snapToGrid w:val="0"/>
          <w:kern w:val="0"/>
          <w:sz w:val="24"/>
          <w:szCs w:val="24"/>
        </w:rPr>
        <w:t>。</w:t>
      </w:r>
    </w:p>
    <w:p w:rsidR="00525419" w:rsidRDefault="00EE1CF7">
      <w:pPr>
        <w:widowControl/>
        <w:adjustRightInd w:val="0"/>
        <w:snapToGrid w:val="0"/>
        <w:spacing w:before="120"/>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5.1-9   </w:t>
      </w:r>
      <w:r>
        <w:rPr>
          <w:rFonts w:ascii="Times New Roman" w:eastAsia="黑体" w:hAnsi="Times New Roman"/>
          <w:szCs w:val="21"/>
        </w:rPr>
        <w:t>拟建、在建污染源统计</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17"/>
        <w:gridCol w:w="1344"/>
        <w:gridCol w:w="1350"/>
        <w:gridCol w:w="6"/>
        <w:gridCol w:w="667"/>
        <w:gridCol w:w="353"/>
        <w:gridCol w:w="354"/>
        <w:gridCol w:w="627"/>
        <w:gridCol w:w="74"/>
        <w:gridCol w:w="832"/>
        <w:gridCol w:w="89"/>
        <w:gridCol w:w="599"/>
        <w:gridCol w:w="439"/>
        <w:gridCol w:w="259"/>
        <w:gridCol w:w="920"/>
      </w:tblGrid>
      <w:tr w:rsidR="00525419">
        <w:trPr>
          <w:trHeight w:val="397"/>
          <w:jc w:val="center"/>
        </w:trPr>
        <w:tc>
          <w:tcPr>
            <w:tcW w:w="5000" w:type="pct"/>
            <w:gridSpan w:val="15"/>
            <w:shd w:val="clear" w:color="auto" w:fill="auto"/>
            <w:vAlign w:val="center"/>
          </w:tcPr>
          <w:p w:rsidR="00525419" w:rsidRDefault="00EE1CF7">
            <w:pPr>
              <w:widowControl/>
              <w:rPr>
                <w:rFonts w:ascii="Times New Roman" w:hAnsi="Times New Roman"/>
                <w:snapToGrid w:val="0"/>
                <w:kern w:val="0"/>
                <w:szCs w:val="24"/>
              </w:rPr>
            </w:pPr>
            <w:r>
              <w:rPr>
                <w:rFonts w:ascii="Times New Roman" w:hAnsi="Times New Roman"/>
                <w:snapToGrid w:val="0"/>
                <w:kern w:val="0"/>
                <w:szCs w:val="24"/>
              </w:rPr>
              <w:t>点源</w:t>
            </w:r>
          </w:p>
        </w:tc>
      </w:tr>
      <w:tr w:rsidR="00525419">
        <w:trPr>
          <w:trHeight w:val="397"/>
          <w:jc w:val="center"/>
        </w:trPr>
        <w:tc>
          <w:tcPr>
            <w:tcW w:w="253" w:type="pct"/>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编号</w:t>
            </w:r>
          </w:p>
        </w:tc>
        <w:tc>
          <w:tcPr>
            <w:tcW w:w="809" w:type="pct"/>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项目名称</w:t>
            </w:r>
          </w:p>
        </w:tc>
        <w:tc>
          <w:tcPr>
            <w:tcW w:w="813" w:type="pct"/>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点源名称</w:t>
            </w:r>
          </w:p>
        </w:tc>
        <w:tc>
          <w:tcPr>
            <w:tcW w:w="409" w:type="pct"/>
            <w:gridSpan w:val="2"/>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排气筒高度</w:t>
            </w:r>
          </w:p>
        </w:tc>
        <w:tc>
          <w:tcPr>
            <w:tcW w:w="429" w:type="pct"/>
            <w:gridSpan w:val="2"/>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排气筒内径</w:t>
            </w:r>
          </w:p>
        </w:tc>
        <w:tc>
          <w:tcPr>
            <w:tcW w:w="426" w:type="pct"/>
            <w:gridSpan w:val="2"/>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烟气出口温度</w:t>
            </w:r>
          </w:p>
        </w:tc>
        <w:tc>
          <w:tcPr>
            <w:tcW w:w="465" w:type="pct"/>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烟气</w:t>
            </w:r>
          </w:p>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流速</w:t>
            </w:r>
          </w:p>
        </w:tc>
        <w:tc>
          <w:tcPr>
            <w:tcW w:w="1392" w:type="pct"/>
            <w:gridSpan w:val="5"/>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评价因子源强（</w:t>
            </w:r>
            <w:r>
              <w:rPr>
                <w:rFonts w:ascii="Times New Roman" w:hAnsi="Times New Roman"/>
                <w:snapToGrid w:val="0"/>
                <w:kern w:val="0"/>
                <w:szCs w:val="24"/>
              </w:rPr>
              <w:t>kg/h</w:t>
            </w:r>
            <w:r>
              <w:rPr>
                <w:rFonts w:ascii="Times New Roman" w:hAnsi="Times New Roman"/>
                <w:snapToGrid w:val="0"/>
                <w:kern w:val="0"/>
                <w:szCs w:val="24"/>
              </w:rPr>
              <w:t>）</w:t>
            </w:r>
          </w:p>
        </w:tc>
      </w:tr>
      <w:tr w:rsidR="00525419">
        <w:trPr>
          <w:trHeight w:val="397"/>
          <w:jc w:val="center"/>
        </w:trPr>
        <w:tc>
          <w:tcPr>
            <w:tcW w:w="253" w:type="pct"/>
            <w:vMerge/>
            <w:shd w:val="clear" w:color="auto" w:fill="auto"/>
            <w:vAlign w:val="center"/>
          </w:tcPr>
          <w:p w:rsidR="00525419" w:rsidRDefault="00525419">
            <w:pPr>
              <w:widowControl/>
              <w:jc w:val="center"/>
              <w:rPr>
                <w:rFonts w:ascii="Times New Roman" w:hAnsi="Times New Roman"/>
                <w:snapToGrid w:val="0"/>
                <w:kern w:val="0"/>
                <w:szCs w:val="24"/>
              </w:rPr>
            </w:pPr>
          </w:p>
        </w:tc>
        <w:tc>
          <w:tcPr>
            <w:tcW w:w="809" w:type="pct"/>
            <w:vMerge/>
            <w:shd w:val="clear" w:color="auto" w:fill="auto"/>
            <w:vAlign w:val="center"/>
          </w:tcPr>
          <w:p w:rsidR="00525419" w:rsidRDefault="00525419">
            <w:pPr>
              <w:widowControl/>
              <w:jc w:val="center"/>
              <w:rPr>
                <w:rFonts w:ascii="Times New Roman" w:hAnsi="Times New Roman"/>
                <w:snapToGrid w:val="0"/>
                <w:kern w:val="0"/>
                <w:szCs w:val="24"/>
              </w:rPr>
            </w:pPr>
          </w:p>
        </w:tc>
        <w:tc>
          <w:tcPr>
            <w:tcW w:w="813" w:type="pct"/>
            <w:vMerge/>
            <w:shd w:val="clear" w:color="auto" w:fill="auto"/>
            <w:vAlign w:val="center"/>
          </w:tcPr>
          <w:p w:rsidR="00525419" w:rsidRDefault="00525419">
            <w:pPr>
              <w:widowControl/>
              <w:jc w:val="center"/>
              <w:rPr>
                <w:rFonts w:ascii="Times New Roman" w:hAnsi="Times New Roman"/>
                <w:snapToGrid w:val="0"/>
                <w:kern w:val="0"/>
                <w:szCs w:val="24"/>
              </w:rPr>
            </w:pPr>
          </w:p>
        </w:tc>
        <w:tc>
          <w:tcPr>
            <w:tcW w:w="409" w:type="pct"/>
            <w:gridSpan w:val="2"/>
            <w:vMerge/>
            <w:shd w:val="clear" w:color="auto" w:fill="auto"/>
            <w:vAlign w:val="center"/>
          </w:tcPr>
          <w:p w:rsidR="00525419" w:rsidRDefault="00525419">
            <w:pPr>
              <w:widowControl/>
              <w:jc w:val="center"/>
              <w:rPr>
                <w:rFonts w:ascii="Times New Roman" w:hAnsi="Times New Roman"/>
                <w:snapToGrid w:val="0"/>
                <w:kern w:val="0"/>
                <w:szCs w:val="24"/>
              </w:rPr>
            </w:pPr>
          </w:p>
        </w:tc>
        <w:tc>
          <w:tcPr>
            <w:tcW w:w="429" w:type="pct"/>
            <w:gridSpan w:val="2"/>
            <w:vMerge/>
            <w:shd w:val="clear" w:color="auto" w:fill="auto"/>
            <w:vAlign w:val="center"/>
          </w:tcPr>
          <w:p w:rsidR="00525419" w:rsidRDefault="00525419">
            <w:pPr>
              <w:widowControl/>
              <w:jc w:val="center"/>
              <w:rPr>
                <w:rFonts w:ascii="Times New Roman" w:hAnsi="Times New Roman"/>
                <w:snapToGrid w:val="0"/>
                <w:kern w:val="0"/>
                <w:szCs w:val="24"/>
              </w:rPr>
            </w:pPr>
          </w:p>
        </w:tc>
        <w:tc>
          <w:tcPr>
            <w:tcW w:w="426" w:type="pct"/>
            <w:gridSpan w:val="2"/>
            <w:vMerge/>
            <w:shd w:val="clear" w:color="auto" w:fill="auto"/>
            <w:vAlign w:val="center"/>
          </w:tcPr>
          <w:p w:rsidR="00525419" w:rsidRDefault="00525419">
            <w:pPr>
              <w:widowControl/>
              <w:jc w:val="center"/>
              <w:rPr>
                <w:rFonts w:ascii="Times New Roman" w:hAnsi="Times New Roman"/>
                <w:snapToGrid w:val="0"/>
                <w:kern w:val="0"/>
                <w:szCs w:val="24"/>
              </w:rPr>
            </w:pPr>
          </w:p>
        </w:tc>
        <w:tc>
          <w:tcPr>
            <w:tcW w:w="465" w:type="pct"/>
            <w:vMerge/>
            <w:shd w:val="clear" w:color="auto" w:fill="auto"/>
            <w:vAlign w:val="center"/>
          </w:tcPr>
          <w:p w:rsidR="00525419" w:rsidRDefault="00525419">
            <w:pPr>
              <w:widowControl/>
              <w:jc w:val="center"/>
              <w:rPr>
                <w:rFonts w:ascii="Times New Roman" w:hAnsi="Times New Roman"/>
                <w:snapToGrid w:val="0"/>
                <w:kern w:val="0"/>
                <w:szCs w:val="24"/>
              </w:rPr>
            </w:pPr>
          </w:p>
        </w:tc>
        <w:tc>
          <w:tcPr>
            <w:tcW w:w="418" w:type="pct"/>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颗粒物</w:t>
            </w:r>
          </w:p>
        </w:tc>
        <w:tc>
          <w:tcPr>
            <w:tcW w:w="424" w:type="pct"/>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SO</w:t>
            </w:r>
            <w:r>
              <w:rPr>
                <w:rFonts w:ascii="Times New Roman" w:hAnsi="Times New Roman"/>
                <w:snapToGrid w:val="0"/>
                <w:kern w:val="0"/>
                <w:szCs w:val="24"/>
                <w:vertAlign w:val="subscript"/>
              </w:rPr>
              <w:t>2</w:t>
            </w:r>
          </w:p>
        </w:tc>
        <w:tc>
          <w:tcPr>
            <w:tcW w:w="549" w:type="pc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NO</w:t>
            </w:r>
            <w:r>
              <w:rPr>
                <w:rFonts w:ascii="Times New Roman" w:hAnsi="Times New Roman"/>
                <w:snapToGrid w:val="0"/>
                <w:kern w:val="0"/>
                <w:szCs w:val="24"/>
                <w:vertAlign w:val="subscript"/>
              </w:rPr>
              <w:t>X</w:t>
            </w:r>
          </w:p>
        </w:tc>
      </w:tr>
      <w:tr w:rsidR="00525419">
        <w:trPr>
          <w:trHeight w:val="397"/>
          <w:jc w:val="center"/>
        </w:trPr>
        <w:tc>
          <w:tcPr>
            <w:tcW w:w="253" w:type="pct"/>
            <w:vMerge/>
            <w:shd w:val="clear" w:color="auto" w:fill="auto"/>
            <w:vAlign w:val="center"/>
          </w:tcPr>
          <w:p w:rsidR="00525419" w:rsidRDefault="00525419">
            <w:pPr>
              <w:widowControl/>
              <w:jc w:val="center"/>
              <w:rPr>
                <w:rFonts w:ascii="Times New Roman" w:hAnsi="Times New Roman"/>
                <w:snapToGrid w:val="0"/>
                <w:kern w:val="0"/>
                <w:szCs w:val="24"/>
              </w:rPr>
            </w:pPr>
          </w:p>
        </w:tc>
        <w:tc>
          <w:tcPr>
            <w:tcW w:w="809" w:type="pct"/>
            <w:vMerge/>
            <w:shd w:val="clear" w:color="auto" w:fill="auto"/>
            <w:vAlign w:val="center"/>
          </w:tcPr>
          <w:p w:rsidR="00525419" w:rsidRDefault="00525419">
            <w:pPr>
              <w:widowControl/>
              <w:jc w:val="center"/>
              <w:rPr>
                <w:rFonts w:ascii="Times New Roman" w:hAnsi="Times New Roman"/>
                <w:snapToGrid w:val="0"/>
                <w:kern w:val="0"/>
                <w:szCs w:val="24"/>
              </w:rPr>
            </w:pPr>
          </w:p>
        </w:tc>
        <w:tc>
          <w:tcPr>
            <w:tcW w:w="813" w:type="pc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单位</w:t>
            </w:r>
          </w:p>
        </w:tc>
        <w:tc>
          <w:tcPr>
            <w:tcW w:w="409" w:type="pct"/>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H(m)</w:t>
            </w:r>
          </w:p>
        </w:tc>
        <w:tc>
          <w:tcPr>
            <w:tcW w:w="429" w:type="pct"/>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D(m)</w:t>
            </w:r>
          </w:p>
        </w:tc>
        <w:tc>
          <w:tcPr>
            <w:tcW w:w="426" w:type="pct"/>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T</w:t>
            </w:r>
            <w:r>
              <w:rPr>
                <w:rFonts w:ascii="Times New Roman" w:hAnsi="Times New Roman"/>
                <w:snapToGrid w:val="0"/>
                <w:kern w:val="0"/>
                <w:szCs w:val="24"/>
              </w:rPr>
              <w:t>（</w:t>
            </w:r>
            <w:r>
              <w:rPr>
                <w:rFonts w:ascii="Times New Roman" w:hAnsi="Times New Roman"/>
                <w:snapToGrid w:val="0"/>
                <w:kern w:val="0"/>
                <w:szCs w:val="24"/>
              </w:rPr>
              <w:t>℃</w:t>
            </w:r>
            <w:r>
              <w:rPr>
                <w:rFonts w:ascii="Times New Roman" w:hAnsi="Times New Roman"/>
                <w:snapToGrid w:val="0"/>
                <w:kern w:val="0"/>
                <w:szCs w:val="24"/>
              </w:rPr>
              <w:t>）</w:t>
            </w:r>
          </w:p>
        </w:tc>
        <w:tc>
          <w:tcPr>
            <w:tcW w:w="465" w:type="pc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(m/s)</w:t>
            </w:r>
          </w:p>
        </w:tc>
        <w:tc>
          <w:tcPr>
            <w:tcW w:w="418" w:type="pct"/>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Q</w:t>
            </w:r>
            <w:r>
              <w:rPr>
                <w:rFonts w:ascii="Times New Roman" w:hAnsi="Times New Roman"/>
                <w:snapToGrid w:val="0"/>
                <w:kern w:val="0"/>
                <w:szCs w:val="24"/>
                <w:vertAlign w:val="subscript"/>
              </w:rPr>
              <w:t>PM10</w:t>
            </w:r>
          </w:p>
        </w:tc>
        <w:tc>
          <w:tcPr>
            <w:tcW w:w="424" w:type="pct"/>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Q</w:t>
            </w:r>
            <w:r>
              <w:rPr>
                <w:rFonts w:ascii="Times New Roman" w:hAnsi="Times New Roman"/>
                <w:snapToGrid w:val="0"/>
                <w:kern w:val="0"/>
                <w:szCs w:val="24"/>
                <w:vertAlign w:val="subscript"/>
              </w:rPr>
              <w:t>SO2</w:t>
            </w:r>
          </w:p>
        </w:tc>
        <w:tc>
          <w:tcPr>
            <w:tcW w:w="549" w:type="pc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Q</w:t>
            </w:r>
            <w:r>
              <w:rPr>
                <w:rFonts w:ascii="Times New Roman" w:hAnsi="Times New Roman"/>
                <w:snapToGrid w:val="0"/>
                <w:kern w:val="0"/>
                <w:szCs w:val="24"/>
                <w:vertAlign w:val="subscript"/>
              </w:rPr>
              <w:t>NO2</w:t>
            </w:r>
          </w:p>
        </w:tc>
      </w:tr>
      <w:tr w:rsidR="00525419">
        <w:trPr>
          <w:trHeight w:val="397"/>
          <w:jc w:val="center"/>
        </w:trPr>
        <w:tc>
          <w:tcPr>
            <w:tcW w:w="253" w:type="pc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1</w:t>
            </w:r>
          </w:p>
        </w:tc>
        <w:tc>
          <w:tcPr>
            <w:tcW w:w="809" w:type="pct"/>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鄯善久隆源技术开发服务有限公司废矿物油综合利用项目</w:t>
            </w:r>
          </w:p>
        </w:tc>
        <w:tc>
          <w:tcPr>
            <w:tcW w:w="813" w:type="pc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热解炉</w:t>
            </w:r>
          </w:p>
        </w:tc>
        <w:tc>
          <w:tcPr>
            <w:tcW w:w="409" w:type="pct"/>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15</w:t>
            </w:r>
          </w:p>
        </w:tc>
        <w:tc>
          <w:tcPr>
            <w:tcW w:w="429" w:type="pct"/>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0.3</w:t>
            </w:r>
          </w:p>
        </w:tc>
        <w:tc>
          <w:tcPr>
            <w:tcW w:w="426" w:type="pct"/>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100</w:t>
            </w:r>
          </w:p>
        </w:tc>
        <w:tc>
          <w:tcPr>
            <w:tcW w:w="465" w:type="pc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6.964</w:t>
            </w:r>
          </w:p>
        </w:tc>
        <w:tc>
          <w:tcPr>
            <w:tcW w:w="418" w:type="pct"/>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0.004</w:t>
            </w:r>
          </w:p>
        </w:tc>
        <w:tc>
          <w:tcPr>
            <w:tcW w:w="424" w:type="pct"/>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0.006</w:t>
            </w:r>
          </w:p>
        </w:tc>
        <w:tc>
          <w:tcPr>
            <w:tcW w:w="549" w:type="pc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0.110</w:t>
            </w:r>
          </w:p>
        </w:tc>
      </w:tr>
      <w:tr w:rsidR="00525419">
        <w:trPr>
          <w:trHeight w:val="397"/>
          <w:jc w:val="center"/>
        </w:trPr>
        <w:tc>
          <w:tcPr>
            <w:tcW w:w="253" w:type="pc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2</w:t>
            </w:r>
          </w:p>
        </w:tc>
        <w:tc>
          <w:tcPr>
            <w:tcW w:w="809" w:type="pct"/>
            <w:vMerge/>
            <w:shd w:val="clear" w:color="auto" w:fill="auto"/>
            <w:vAlign w:val="center"/>
          </w:tcPr>
          <w:p w:rsidR="00525419" w:rsidRDefault="00525419">
            <w:pPr>
              <w:widowControl/>
              <w:jc w:val="center"/>
              <w:rPr>
                <w:rFonts w:ascii="Times New Roman" w:hAnsi="Times New Roman"/>
                <w:snapToGrid w:val="0"/>
                <w:kern w:val="0"/>
                <w:szCs w:val="24"/>
              </w:rPr>
            </w:pPr>
          </w:p>
        </w:tc>
        <w:tc>
          <w:tcPr>
            <w:tcW w:w="813" w:type="pc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管式加热炉</w:t>
            </w:r>
          </w:p>
        </w:tc>
        <w:tc>
          <w:tcPr>
            <w:tcW w:w="409" w:type="pct"/>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15</w:t>
            </w:r>
          </w:p>
        </w:tc>
        <w:tc>
          <w:tcPr>
            <w:tcW w:w="429" w:type="pct"/>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0.2</w:t>
            </w:r>
          </w:p>
        </w:tc>
        <w:tc>
          <w:tcPr>
            <w:tcW w:w="426" w:type="pct"/>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100</w:t>
            </w:r>
          </w:p>
        </w:tc>
        <w:tc>
          <w:tcPr>
            <w:tcW w:w="465" w:type="pc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8.563</w:t>
            </w:r>
          </w:p>
        </w:tc>
        <w:tc>
          <w:tcPr>
            <w:tcW w:w="418" w:type="pct"/>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0.004</w:t>
            </w:r>
          </w:p>
        </w:tc>
        <w:tc>
          <w:tcPr>
            <w:tcW w:w="424" w:type="pct"/>
            <w:gridSpan w:val="2"/>
            <w:shd w:val="clear" w:color="auto" w:fill="auto"/>
            <w:vAlign w:val="center"/>
          </w:tcPr>
          <w:p w:rsidR="00525419" w:rsidRDefault="00EE1CF7">
            <w:pPr>
              <w:jc w:val="center"/>
              <w:rPr>
                <w:rFonts w:ascii="Times New Roman" w:hAnsi="Times New Roman"/>
                <w:szCs w:val="24"/>
              </w:rPr>
            </w:pPr>
            <w:r>
              <w:rPr>
                <w:rFonts w:ascii="Times New Roman" w:hAnsi="Times New Roman"/>
                <w:snapToGrid w:val="0"/>
                <w:szCs w:val="24"/>
              </w:rPr>
              <w:t>0.006</w:t>
            </w:r>
          </w:p>
        </w:tc>
        <w:tc>
          <w:tcPr>
            <w:tcW w:w="549" w:type="pc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0.134</w:t>
            </w:r>
          </w:p>
        </w:tc>
      </w:tr>
      <w:tr w:rsidR="00525419">
        <w:trPr>
          <w:trHeight w:val="397"/>
          <w:jc w:val="center"/>
        </w:trPr>
        <w:tc>
          <w:tcPr>
            <w:tcW w:w="253" w:type="pc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3</w:t>
            </w:r>
          </w:p>
        </w:tc>
        <w:tc>
          <w:tcPr>
            <w:tcW w:w="809" w:type="pct"/>
            <w:vMerge/>
            <w:shd w:val="clear" w:color="auto" w:fill="auto"/>
            <w:vAlign w:val="center"/>
          </w:tcPr>
          <w:p w:rsidR="00525419" w:rsidRDefault="00525419">
            <w:pPr>
              <w:widowControl/>
              <w:jc w:val="center"/>
              <w:rPr>
                <w:rFonts w:ascii="Times New Roman" w:hAnsi="Times New Roman"/>
                <w:snapToGrid w:val="0"/>
                <w:kern w:val="0"/>
                <w:szCs w:val="24"/>
              </w:rPr>
            </w:pPr>
          </w:p>
        </w:tc>
        <w:tc>
          <w:tcPr>
            <w:tcW w:w="813" w:type="pc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导热油炉</w:t>
            </w:r>
          </w:p>
        </w:tc>
        <w:tc>
          <w:tcPr>
            <w:tcW w:w="409" w:type="pct"/>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15</w:t>
            </w:r>
          </w:p>
        </w:tc>
        <w:tc>
          <w:tcPr>
            <w:tcW w:w="429" w:type="pct"/>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0.2</w:t>
            </w:r>
          </w:p>
        </w:tc>
        <w:tc>
          <w:tcPr>
            <w:tcW w:w="426" w:type="pct"/>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100</w:t>
            </w:r>
          </w:p>
        </w:tc>
        <w:tc>
          <w:tcPr>
            <w:tcW w:w="465" w:type="pc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8.577</w:t>
            </w:r>
          </w:p>
        </w:tc>
        <w:tc>
          <w:tcPr>
            <w:tcW w:w="418" w:type="pct"/>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0.004</w:t>
            </w:r>
          </w:p>
        </w:tc>
        <w:tc>
          <w:tcPr>
            <w:tcW w:w="424" w:type="pct"/>
            <w:gridSpan w:val="2"/>
            <w:shd w:val="clear" w:color="auto" w:fill="auto"/>
            <w:vAlign w:val="center"/>
          </w:tcPr>
          <w:p w:rsidR="00525419" w:rsidRDefault="00EE1CF7">
            <w:pPr>
              <w:jc w:val="center"/>
              <w:rPr>
                <w:rFonts w:ascii="Times New Roman" w:hAnsi="Times New Roman"/>
                <w:szCs w:val="24"/>
              </w:rPr>
            </w:pPr>
            <w:r>
              <w:rPr>
                <w:rFonts w:ascii="Times New Roman" w:hAnsi="Times New Roman"/>
                <w:snapToGrid w:val="0"/>
                <w:szCs w:val="24"/>
              </w:rPr>
              <w:t>0.006</w:t>
            </w:r>
          </w:p>
        </w:tc>
        <w:tc>
          <w:tcPr>
            <w:tcW w:w="549" w:type="pc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0.135</w:t>
            </w:r>
          </w:p>
        </w:tc>
      </w:tr>
      <w:tr w:rsidR="00525419">
        <w:trPr>
          <w:trHeight w:val="397"/>
          <w:jc w:val="center"/>
        </w:trPr>
        <w:tc>
          <w:tcPr>
            <w:tcW w:w="253" w:type="pc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4</w:t>
            </w:r>
          </w:p>
        </w:tc>
        <w:tc>
          <w:tcPr>
            <w:tcW w:w="809" w:type="pct"/>
            <w:vMerge/>
            <w:shd w:val="clear" w:color="auto" w:fill="auto"/>
            <w:vAlign w:val="center"/>
          </w:tcPr>
          <w:p w:rsidR="00525419" w:rsidRDefault="00525419">
            <w:pPr>
              <w:widowControl/>
              <w:jc w:val="center"/>
              <w:rPr>
                <w:rFonts w:ascii="Times New Roman" w:hAnsi="Times New Roman"/>
                <w:snapToGrid w:val="0"/>
                <w:kern w:val="0"/>
                <w:szCs w:val="24"/>
              </w:rPr>
            </w:pPr>
          </w:p>
        </w:tc>
        <w:tc>
          <w:tcPr>
            <w:tcW w:w="813" w:type="pc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蒸汽锅炉</w:t>
            </w:r>
          </w:p>
        </w:tc>
        <w:tc>
          <w:tcPr>
            <w:tcW w:w="409" w:type="pct"/>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15</w:t>
            </w:r>
          </w:p>
        </w:tc>
        <w:tc>
          <w:tcPr>
            <w:tcW w:w="429" w:type="pct"/>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0.2</w:t>
            </w:r>
          </w:p>
        </w:tc>
        <w:tc>
          <w:tcPr>
            <w:tcW w:w="426" w:type="pct"/>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80</w:t>
            </w:r>
          </w:p>
        </w:tc>
        <w:tc>
          <w:tcPr>
            <w:tcW w:w="465" w:type="pc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8.577</w:t>
            </w:r>
          </w:p>
        </w:tc>
        <w:tc>
          <w:tcPr>
            <w:tcW w:w="418" w:type="pct"/>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0.005</w:t>
            </w:r>
          </w:p>
        </w:tc>
        <w:tc>
          <w:tcPr>
            <w:tcW w:w="424" w:type="pct"/>
            <w:gridSpan w:val="2"/>
            <w:shd w:val="clear" w:color="auto" w:fill="auto"/>
            <w:vAlign w:val="center"/>
          </w:tcPr>
          <w:p w:rsidR="00525419" w:rsidRDefault="00EE1CF7">
            <w:pPr>
              <w:jc w:val="center"/>
              <w:rPr>
                <w:rFonts w:ascii="Times New Roman" w:hAnsi="Times New Roman"/>
                <w:szCs w:val="24"/>
              </w:rPr>
            </w:pPr>
            <w:r>
              <w:rPr>
                <w:rFonts w:ascii="Times New Roman" w:hAnsi="Times New Roman"/>
                <w:snapToGrid w:val="0"/>
                <w:szCs w:val="24"/>
              </w:rPr>
              <w:t>0.006</w:t>
            </w:r>
          </w:p>
        </w:tc>
        <w:tc>
          <w:tcPr>
            <w:tcW w:w="549" w:type="pc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0.161</w:t>
            </w:r>
          </w:p>
        </w:tc>
      </w:tr>
      <w:tr w:rsidR="00525419">
        <w:trPr>
          <w:trHeight w:val="397"/>
          <w:jc w:val="center"/>
        </w:trPr>
        <w:tc>
          <w:tcPr>
            <w:tcW w:w="253" w:type="pc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5</w:t>
            </w:r>
          </w:p>
        </w:tc>
        <w:tc>
          <w:tcPr>
            <w:tcW w:w="809" w:type="pct"/>
            <w:vMerge/>
            <w:shd w:val="clear" w:color="auto" w:fill="auto"/>
            <w:vAlign w:val="center"/>
          </w:tcPr>
          <w:p w:rsidR="00525419" w:rsidRDefault="00525419">
            <w:pPr>
              <w:widowControl/>
              <w:jc w:val="center"/>
              <w:rPr>
                <w:rFonts w:ascii="Times New Roman" w:hAnsi="Times New Roman"/>
                <w:snapToGrid w:val="0"/>
                <w:kern w:val="0"/>
                <w:szCs w:val="24"/>
              </w:rPr>
            </w:pPr>
          </w:p>
        </w:tc>
        <w:tc>
          <w:tcPr>
            <w:tcW w:w="813" w:type="pc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热水锅炉</w:t>
            </w:r>
          </w:p>
        </w:tc>
        <w:tc>
          <w:tcPr>
            <w:tcW w:w="409" w:type="pct"/>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15</w:t>
            </w:r>
          </w:p>
        </w:tc>
        <w:tc>
          <w:tcPr>
            <w:tcW w:w="429" w:type="pct"/>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0.2</w:t>
            </w:r>
          </w:p>
        </w:tc>
        <w:tc>
          <w:tcPr>
            <w:tcW w:w="426" w:type="pct"/>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80</w:t>
            </w:r>
          </w:p>
        </w:tc>
        <w:tc>
          <w:tcPr>
            <w:tcW w:w="465" w:type="pc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4.289</w:t>
            </w:r>
          </w:p>
        </w:tc>
        <w:tc>
          <w:tcPr>
            <w:tcW w:w="418" w:type="pct"/>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0.005</w:t>
            </w:r>
          </w:p>
        </w:tc>
        <w:tc>
          <w:tcPr>
            <w:tcW w:w="424" w:type="pct"/>
            <w:gridSpan w:val="2"/>
            <w:shd w:val="clear" w:color="auto" w:fill="auto"/>
            <w:vAlign w:val="center"/>
          </w:tcPr>
          <w:p w:rsidR="00525419" w:rsidRDefault="00EE1CF7">
            <w:pPr>
              <w:jc w:val="center"/>
              <w:rPr>
                <w:rFonts w:ascii="Times New Roman" w:hAnsi="Times New Roman"/>
                <w:szCs w:val="24"/>
              </w:rPr>
            </w:pPr>
            <w:r>
              <w:rPr>
                <w:rFonts w:ascii="Times New Roman" w:hAnsi="Times New Roman"/>
                <w:snapToGrid w:val="0"/>
                <w:szCs w:val="24"/>
              </w:rPr>
              <w:t>0.006</w:t>
            </w:r>
          </w:p>
        </w:tc>
        <w:tc>
          <w:tcPr>
            <w:tcW w:w="549" w:type="pc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0.081</w:t>
            </w:r>
          </w:p>
        </w:tc>
      </w:tr>
      <w:tr w:rsidR="00525419">
        <w:trPr>
          <w:trHeight w:val="397"/>
          <w:jc w:val="center"/>
        </w:trPr>
        <w:tc>
          <w:tcPr>
            <w:tcW w:w="253" w:type="pc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1</w:t>
            </w:r>
          </w:p>
        </w:tc>
        <w:tc>
          <w:tcPr>
            <w:tcW w:w="809" w:type="pct"/>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szCs w:val="21"/>
              </w:rPr>
              <w:t>新疆澎湃动力新能源科技有限公司</w:t>
            </w:r>
            <w:r>
              <w:rPr>
                <w:rFonts w:ascii="Times New Roman" w:hAnsi="Times New Roman"/>
                <w:snapToGrid w:val="0"/>
                <w:szCs w:val="21"/>
              </w:rPr>
              <w:t>60</w:t>
            </w:r>
            <w:r>
              <w:rPr>
                <w:rFonts w:ascii="Times New Roman" w:hAnsi="Times New Roman"/>
                <w:snapToGrid w:val="0"/>
                <w:szCs w:val="21"/>
              </w:rPr>
              <w:t>万吨</w:t>
            </w:r>
            <w:r>
              <w:rPr>
                <w:rFonts w:ascii="Times New Roman" w:hAnsi="Times New Roman"/>
                <w:snapToGrid w:val="0"/>
                <w:szCs w:val="21"/>
              </w:rPr>
              <w:t>/</w:t>
            </w:r>
            <w:r>
              <w:rPr>
                <w:rFonts w:ascii="Times New Roman" w:hAnsi="Times New Roman"/>
                <w:snapToGrid w:val="0"/>
                <w:szCs w:val="21"/>
              </w:rPr>
              <w:t>年成品油质量升级改造项目</w:t>
            </w:r>
          </w:p>
        </w:tc>
        <w:tc>
          <w:tcPr>
            <w:tcW w:w="813" w:type="pct"/>
            <w:shd w:val="clear" w:color="auto" w:fill="auto"/>
            <w:vAlign w:val="center"/>
          </w:tcPr>
          <w:p w:rsidR="00525419" w:rsidRDefault="00EE1CF7">
            <w:pPr>
              <w:pStyle w:val="B2"/>
              <w:rPr>
                <w:rFonts w:cs="Times New Roman"/>
                <w:snapToGrid w:val="0"/>
              </w:rPr>
            </w:pPr>
            <w:r>
              <w:rPr>
                <w:rFonts w:cs="Times New Roman"/>
                <w:snapToGrid w:val="0"/>
              </w:rPr>
              <w:t>导热油炉</w:t>
            </w:r>
          </w:p>
        </w:tc>
        <w:tc>
          <w:tcPr>
            <w:tcW w:w="409" w:type="pct"/>
            <w:gridSpan w:val="2"/>
            <w:shd w:val="clear" w:color="auto" w:fill="auto"/>
            <w:vAlign w:val="center"/>
          </w:tcPr>
          <w:p w:rsidR="00525419" w:rsidRDefault="00EE1CF7">
            <w:pPr>
              <w:pStyle w:val="B2"/>
              <w:rPr>
                <w:rFonts w:cs="Times New Roman"/>
                <w:snapToGrid w:val="0"/>
              </w:rPr>
            </w:pPr>
            <w:r>
              <w:rPr>
                <w:rFonts w:cs="Times New Roman"/>
                <w:snapToGrid w:val="0"/>
              </w:rPr>
              <w:t>15</w:t>
            </w:r>
          </w:p>
        </w:tc>
        <w:tc>
          <w:tcPr>
            <w:tcW w:w="429" w:type="pct"/>
            <w:gridSpan w:val="2"/>
            <w:shd w:val="clear" w:color="auto" w:fill="auto"/>
            <w:vAlign w:val="center"/>
          </w:tcPr>
          <w:p w:rsidR="00525419" w:rsidRDefault="00EE1CF7">
            <w:pPr>
              <w:pStyle w:val="B2"/>
              <w:rPr>
                <w:rFonts w:cs="Times New Roman"/>
                <w:snapToGrid w:val="0"/>
              </w:rPr>
            </w:pPr>
            <w:r>
              <w:rPr>
                <w:rFonts w:cs="Times New Roman"/>
                <w:snapToGrid w:val="0"/>
              </w:rPr>
              <w:t>0.6</w:t>
            </w:r>
          </w:p>
        </w:tc>
        <w:tc>
          <w:tcPr>
            <w:tcW w:w="426" w:type="pct"/>
            <w:gridSpan w:val="2"/>
            <w:shd w:val="clear" w:color="auto" w:fill="auto"/>
            <w:vAlign w:val="center"/>
          </w:tcPr>
          <w:p w:rsidR="00525419" w:rsidRDefault="00EE1CF7">
            <w:pPr>
              <w:pStyle w:val="B2"/>
              <w:rPr>
                <w:rFonts w:cs="Times New Roman"/>
                <w:snapToGrid w:val="0"/>
              </w:rPr>
            </w:pPr>
            <w:r>
              <w:rPr>
                <w:rFonts w:cs="Times New Roman"/>
                <w:snapToGrid w:val="0"/>
              </w:rPr>
              <w:t>180</w:t>
            </w:r>
          </w:p>
        </w:tc>
        <w:tc>
          <w:tcPr>
            <w:tcW w:w="465" w:type="pct"/>
            <w:shd w:val="clear" w:color="auto" w:fill="auto"/>
            <w:vAlign w:val="center"/>
          </w:tcPr>
          <w:p w:rsidR="00525419" w:rsidRDefault="00EE1CF7">
            <w:pPr>
              <w:pStyle w:val="B2"/>
              <w:rPr>
                <w:rFonts w:cs="Times New Roman"/>
                <w:snapToGrid w:val="0"/>
              </w:rPr>
            </w:pPr>
            <w:r>
              <w:rPr>
                <w:rFonts w:cs="Times New Roman"/>
                <w:snapToGrid w:val="0"/>
              </w:rPr>
              <w:t>15560.8</w:t>
            </w:r>
            <w:r>
              <w:rPr>
                <w:rFonts w:cs="Times New Roman"/>
                <w:snapToGrid w:val="0"/>
              </w:rPr>
              <w:t>（</w:t>
            </w:r>
            <w:r>
              <w:rPr>
                <w:rFonts w:cs="Times New Roman"/>
                <w:snapToGrid w:val="0"/>
              </w:rPr>
              <w:t>m</w:t>
            </w:r>
            <w:r>
              <w:rPr>
                <w:rFonts w:cs="Times New Roman"/>
                <w:snapToGrid w:val="0"/>
                <w:vertAlign w:val="superscript"/>
              </w:rPr>
              <w:t>3</w:t>
            </w:r>
            <w:r>
              <w:rPr>
                <w:rFonts w:cs="Times New Roman"/>
                <w:snapToGrid w:val="0"/>
              </w:rPr>
              <w:t>/h</w:t>
            </w:r>
            <w:r>
              <w:rPr>
                <w:rFonts w:cs="Times New Roman"/>
                <w:snapToGrid w:val="0"/>
              </w:rPr>
              <w:t>）</w:t>
            </w:r>
          </w:p>
        </w:tc>
        <w:tc>
          <w:tcPr>
            <w:tcW w:w="418" w:type="pct"/>
            <w:gridSpan w:val="2"/>
            <w:shd w:val="clear" w:color="auto" w:fill="auto"/>
            <w:vAlign w:val="center"/>
          </w:tcPr>
          <w:p w:rsidR="00525419" w:rsidRDefault="00EE1CF7">
            <w:pPr>
              <w:jc w:val="center"/>
              <w:rPr>
                <w:rFonts w:ascii="Times New Roman" w:hAnsi="Times New Roman"/>
                <w:snapToGrid w:val="0"/>
                <w:szCs w:val="24"/>
              </w:rPr>
            </w:pPr>
            <w:r>
              <w:rPr>
                <w:rFonts w:ascii="Times New Roman" w:hAnsi="Times New Roman"/>
                <w:snapToGrid w:val="0"/>
              </w:rPr>
              <w:t>0.275</w:t>
            </w:r>
          </w:p>
        </w:tc>
        <w:tc>
          <w:tcPr>
            <w:tcW w:w="424" w:type="pct"/>
            <w:gridSpan w:val="2"/>
            <w:shd w:val="clear" w:color="auto" w:fill="auto"/>
            <w:vAlign w:val="center"/>
          </w:tcPr>
          <w:p w:rsidR="00525419" w:rsidRDefault="00EE1CF7">
            <w:pPr>
              <w:pStyle w:val="B2"/>
              <w:rPr>
                <w:rFonts w:cs="Times New Roman"/>
                <w:snapToGrid w:val="0"/>
              </w:rPr>
            </w:pPr>
            <w:r>
              <w:rPr>
                <w:rFonts w:cs="Times New Roman"/>
                <w:snapToGrid w:val="0"/>
              </w:rPr>
              <w:t>0.132</w:t>
            </w:r>
          </w:p>
        </w:tc>
        <w:tc>
          <w:tcPr>
            <w:tcW w:w="549" w:type="pct"/>
            <w:shd w:val="clear" w:color="auto" w:fill="auto"/>
            <w:vAlign w:val="center"/>
          </w:tcPr>
          <w:p w:rsidR="00525419" w:rsidRDefault="00EE1CF7">
            <w:pPr>
              <w:pStyle w:val="B2"/>
              <w:rPr>
                <w:rFonts w:cs="Times New Roman"/>
                <w:snapToGrid w:val="0"/>
              </w:rPr>
            </w:pPr>
            <w:r>
              <w:rPr>
                <w:rFonts w:cs="Times New Roman"/>
                <w:snapToGrid w:val="0"/>
              </w:rPr>
              <w:t>1.538</w:t>
            </w:r>
          </w:p>
        </w:tc>
      </w:tr>
      <w:tr w:rsidR="00525419">
        <w:trPr>
          <w:trHeight w:val="397"/>
          <w:jc w:val="center"/>
        </w:trPr>
        <w:tc>
          <w:tcPr>
            <w:tcW w:w="253" w:type="pc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2</w:t>
            </w:r>
          </w:p>
        </w:tc>
        <w:tc>
          <w:tcPr>
            <w:tcW w:w="809" w:type="pct"/>
            <w:vMerge/>
            <w:shd w:val="clear" w:color="auto" w:fill="auto"/>
            <w:vAlign w:val="center"/>
          </w:tcPr>
          <w:p w:rsidR="00525419" w:rsidRDefault="00525419">
            <w:pPr>
              <w:widowControl/>
              <w:jc w:val="center"/>
              <w:rPr>
                <w:rFonts w:ascii="Times New Roman" w:hAnsi="Times New Roman"/>
                <w:snapToGrid w:val="0"/>
                <w:kern w:val="0"/>
                <w:szCs w:val="24"/>
              </w:rPr>
            </w:pPr>
          </w:p>
        </w:tc>
        <w:tc>
          <w:tcPr>
            <w:tcW w:w="813" w:type="pct"/>
            <w:shd w:val="clear" w:color="auto" w:fill="auto"/>
            <w:vAlign w:val="center"/>
          </w:tcPr>
          <w:p w:rsidR="00525419" w:rsidRDefault="00EE1CF7">
            <w:pPr>
              <w:pStyle w:val="B2"/>
              <w:rPr>
                <w:rFonts w:cs="Times New Roman"/>
                <w:snapToGrid w:val="0"/>
              </w:rPr>
            </w:pPr>
            <w:r>
              <w:rPr>
                <w:rFonts w:cs="Times New Roman"/>
                <w:snapToGrid w:val="0"/>
              </w:rPr>
              <w:t>加热炉</w:t>
            </w:r>
          </w:p>
        </w:tc>
        <w:tc>
          <w:tcPr>
            <w:tcW w:w="409" w:type="pct"/>
            <w:gridSpan w:val="2"/>
            <w:shd w:val="clear" w:color="auto" w:fill="auto"/>
            <w:vAlign w:val="center"/>
          </w:tcPr>
          <w:p w:rsidR="00525419" w:rsidRDefault="00EE1CF7">
            <w:pPr>
              <w:pStyle w:val="B2"/>
              <w:rPr>
                <w:rFonts w:cs="Times New Roman"/>
                <w:snapToGrid w:val="0"/>
              </w:rPr>
            </w:pPr>
            <w:r>
              <w:rPr>
                <w:rFonts w:cs="Times New Roman"/>
                <w:snapToGrid w:val="0"/>
              </w:rPr>
              <w:t>12</w:t>
            </w:r>
          </w:p>
        </w:tc>
        <w:tc>
          <w:tcPr>
            <w:tcW w:w="429" w:type="pct"/>
            <w:gridSpan w:val="2"/>
            <w:shd w:val="clear" w:color="auto" w:fill="auto"/>
            <w:vAlign w:val="center"/>
          </w:tcPr>
          <w:p w:rsidR="00525419" w:rsidRDefault="00EE1CF7">
            <w:pPr>
              <w:pStyle w:val="B2"/>
              <w:rPr>
                <w:rFonts w:cs="Times New Roman"/>
                <w:snapToGrid w:val="0"/>
              </w:rPr>
            </w:pPr>
            <w:r>
              <w:rPr>
                <w:rFonts w:cs="Times New Roman"/>
                <w:snapToGrid w:val="0"/>
              </w:rPr>
              <w:t>0.6</w:t>
            </w:r>
          </w:p>
        </w:tc>
        <w:tc>
          <w:tcPr>
            <w:tcW w:w="426" w:type="pct"/>
            <w:gridSpan w:val="2"/>
            <w:shd w:val="clear" w:color="auto" w:fill="auto"/>
            <w:vAlign w:val="center"/>
          </w:tcPr>
          <w:p w:rsidR="00525419" w:rsidRDefault="00EE1CF7">
            <w:pPr>
              <w:pStyle w:val="B2"/>
              <w:rPr>
                <w:rFonts w:cs="Times New Roman"/>
                <w:snapToGrid w:val="0"/>
              </w:rPr>
            </w:pPr>
            <w:r>
              <w:rPr>
                <w:rFonts w:cs="Times New Roman"/>
                <w:snapToGrid w:val="0"/>
              </w:rPr>
              <w:t>180</w:t>
            </w:r>
          </w:p>
        </w:tc>
        <w:tc>
          <w:tcPr>
            <w:tcW w:w="465" w:type="pct"/>
            <w:shd w:val="clear" w:color="auto" w:fill="auto"/>
            <w:vAlign w:val="center"/>
          </w:tcPr>
          <w:p w:rsidR="00525419" w:rsidRDefault="00EE1CF7">
            <w:pPr>
              <w:pStyle w:val="B2"/>
              <w:rPr>
                <w:rFonts w:cs="Times New Roman"/>
                <w:snapToGrid w:val="0"/>
              </w:rPr>
            </w:pPr>
            <w:r>
              <w:rPr>
                <w:rFonts w:cs="Times New Roman"/>
                <w:snapToGrid w:val="0"/>
              </w:rPr>
              <w:t>17032.4</w:t>
            </w:r>
          </w:p>
          <w:p w:rsidR="00525419" w:rsidRDefault="00EE1CF7">
            <w:pPr>
              <w:pStyle w:val="B2"/>
              <w:rPr>
                <w:rFonts w:cs="Times New Roman"/>
                <w:snapToGrid w:val="0"/>
              </w:rPr>
            </w:pPr>
            <w:r>
              <w:rPr>
                <w:rFonts w:cs="Times New Roman"/>
                <w:snapToGrid w:val="0"/>
              </w:rPr>
              <w:t>（</w:t>
            </w:r>
            <w:r>
              <w:rPr>
                <w:rFonts w:cs="Times New Roman"/>
                <w:snapToGrid w:val="0"/>
              </w:rPr>
              <w:t>m</w:t>
            </w:r>
            <w:r>
              <w:rPr>
                <w:rFonts w:cs="Times New Roman"/>
                <w:snapToGrid w:val="0"/>
                <w:vertAlign w:val="superscript"/>
              </w:rPr>
              <w:t>3</w:t>
            </w:r>
            <w:r>
              <w:rPr>
                <w:rFonts w:cs="Times New Roman"/>
                <w:snapToGrid w:val="0"/>
              </w:rPr>
              <w:t>/h</w:t>
            </w:r>
            <w:r>
              <w:rPr>
                <w:rFonts w:cs="Times New Roman"/>
                <w:snapToGrid w:val="0"/>
              </w:rPr>
              <w:t>）</w:t>
            </w:r>
          </w:p>
        </w:tc>
        <w:tc>
          <w:tcPr>
            <w:tcW w:w="418" w:type="pct"/>
            <w:gridSpan w:val="2"/>
            <w:shd w:val="clear" w:color="auto" w:fill="auto"/>
            <w:vAlign w:val="center"/>
          </w:tcPr>
          <w:p w:rsidR="00525419" w:rsidRDefault="00EE1CF7">
            <w:pPr>
              <w:jc w:val="center"/>
              <w:rPr>
                <w:rFonts w:ascii="Times New Roman" w:hAnsi="Times New Roman"/>
                <w:snapToGrid w:val="0"/>
                <w:szCs w:val="24"/>
              </w:rPr>
            </w:pPr>
            <w:r>
              <w:rPr>
                <w:rFonts w:ascii="Times New Roman" w:hAnsi="Times New Roman"/>
                <w:snapToGrid w:val="0"/>
                <w:szCs w:val="24"/>
              </w:rPr>
              <w:t>0.301</w:t>
            </w:r>
          </w:p>
        </w:tc>
        <w:tc>
          <w:tcPr>
            <w:tcW w:w="424" w:type="pct"/>
            <w:gridSpan w:val="2"/>
            <w:shd w:val="clear" w:color="auto" w:fill="auto"/>
            <w:vAlign w:val="center"/>
          </w:tcPr>
          <w:p w:rsidR="00525419" w:rsidRDefault="00EE1CF7">
            <w:pPr>
              <w:pStyle w:val="B2"/>
              <w:rPr>
                <w:rFonts w:cs="Times New Roman"/>
                <w:snapToGrid w:val="0"/>
              </w:rPr>
            </w:pPr>
            <w:r>
              <w:rPr>
                <w:rFonts w:cs="Times New Roman"/>
                <w:snapToGrid w:val="0"/>
              </w:rPr>
              <w:t>0.090</w:t>
            </w:r>
          </w:p>
        </w:tc>
        <w:tc>
          <w:tcPr>
            <w:tcW w:w="549" w:type="pct"/>
            <w:shd w:val="clear" w:color="auto" w:fill="auto"/>
            <w:vAlign w:val="center"/>
          </w:tcPr>
          <w:p w:rsidR="00525419" w:rsidRDefault="00EE1CF7">
            <w:pPr>
              <w:pStyle w:val="B2"/>
              <w:rPr>
                <w:rFonts w:cs="Times New Roman"/>
                <w:snapToGrid w:val="0"/>
              </w:rPr>
            </w:pPr>
            <w:r>
              <w:rPr>
                <w:rFonts w:cs="Times New Roman"/>
                <w:snapToGrid w:val="0"/>
              </w:rPr>
              <w:t>1.683</w:t>
            </w:r>
          </w:p>
        </w:tc>
      </w:tr>
      <w:tr w:rsidR="00525419">
        <w:trPr>
          <w:trHeight w:val="397"/>
          <w:jc w:val="center"/>
        </w:trPr>
        <w:tc>
          <w:tcPr>
            <w:tcW w:w="5000" w:type="pct"/>
            <w:gridSpan w:val="15"/>
            <w:shd w:val="clear" w:color="auto" w:fill="auto"/>
            <w:vAlign w:val="center"/>
          </w:tcPr>
          <w:p w:rsidR="00525419" w:rsidRDefault="00EE1CF7">
            <w:pPr>
              <w:widowControl/>
              <w:rPr>
                <w:rFonts w:ascii="Times New Roman" w:hAnsi="Times New Roman"/>
                <w:snapToGrid w:val="0"/>
                <w:kern w:val="0"/>
                <w:szCs w:val="24"/>
              </w:rPr>
            </w:pPr>
            <w:r>
              <w:rPr>
                <w:rFonts w:ascii="Times New Roman" w:hAnsi="Times New Roman"/>
                <w:snapToGrid w:val="0"/>
                <w:kern w:val="0"/>
                <w:szCs w:val="24"/>
              </w:rPr>
              <w:t>面源</w:t>
            </w:r>
          </w:p>
        </w:tc>
      </w:tr>
      <w:tr w:rsidR="00525419">
        <w:trPr>
          <w:trHeight w:val="397"/>
          <w:jc w:val="center"/>
        </w:trPr>
        <w:tc>
          <w:tcPr>
            <w:tcW w:w="253" w:type="pc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编号</w:t>
            </w:r>
          </w:p>
        </w:tc>
        <w:tc>
          <w:tcPr>
            <w:tcW w:w="809" w:type="pc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项目名称</w:t>
            </w:r>
          </w:p>
        </w:tc>
        <w:tc>
          <w:tcPr>
            <w:tcW w:w="818" w:type="pct"/>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面源名称</w:t>
            </w:r>
          </w:p>
        </w:tc>
        <w:tc>
          <w:tcPr>
            <w:tcW w:w="618" w:type="pct"/>
            <w:gridSpan w:val="2"/>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面源长度</w:t>
            </w:r>
          </w:p>
          <w:p w:rsidR="00525419" w:rsidRDefault="00EE1CF7">
            <w:pPr>
              <w:widowControl/>
              <w:jc w:val="center"/>
              <w:rPr>
                <w:rFonts w:ascii="Times New Roman" w:hAnsi="Times New Roman"/>
                <w:kern w:val="0"/>
                <w:szCs w:val="24"/>
              </w:rPr>
            </w:pPr>
            <w:r>
              <w:rPr>
                <w:rFonts w:ascii="Times New Roman" w:hAnsi="Times New Roman"/>
                <w:kern w:val="0"/>
                <w:szCs w:val="24"/>
              </w:rPr>
              <w:t>L1</w:t>
            </w:r>
            <w:r>
              <w:rPr>
                <w:rFonts w:ascii="Times New Roman" w:hAnsi="Times New Roman"/>
                <w:kern w:val="0"/>
                <w:szCs w:val="24"/>
              </w:rPr>
              <w:t>（</w:t>
            </w:r>
            <w:r>
              <w:rPr>
                <w:rFonts w:ascii="Times New Roman" w:hAnsi="Times New Roman"/>
                <w:kern w:val="0"/>
                <w:szCs w:val="24"/>
              </w:rPr>
              <w:t>m</w:t>
            </w:r>
            <w:r>
              <w:rPr>
                <w:rFonts w:ascii="Times New Roman" w:hAnsi="Times New Roman"/>
                <w:kern w:val="0"/>
                <w:szCs w:val="24"/>
              </w:rPr>
              <w:t>）</w:t>
            </w:r>
          </w:p>
        </w:tc>
        <w:tc>
          <w:tcPr>
            <w:tcW w:w="594" w:type="pct"/>
            <w:gridSpan w:val="2"/>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面源宽度</w:t>
            </w:r>
          </w:p>
          <w:p w:rsidR="00525419" w:rsidRDefault="00EE1CF7">
            <w:pPr>
              <w:widowControl/>
              <w:jc w:val="center"/>
              <w:rPr>
                <w:rFonts w:ascii="Times New Roman" w:hAnsi="Times New Roman"/>
                <w:kern w:val="0"/>
                <w:szCs w:val="24"/>
              </w:rPr>
            </w:pPr>
            <w:r>
              <w:rPr>
                <w:rFonts w:ascii="Times New Roman" w:hAnsi="Times New Roman"/>
                <w:kern w:val="0"/>
                <w:szCs w:val="24"/>
              </w:rPr>
              <w:t>Lw</w:t>
            </w:r>
            <w:r>
              <w:rPr>
                <w:rFonts w:ascii="Times New Roman" w:hAnsi="Times New Roman"/>
                <w:kern w:val="0"/>
                <w:szCs w:val="24"/>
              </w:rPr>
              <w:t>（</w:t>
            </w:r>
            <w:r>
              <w:rPr>
                <w:rFonts w:ascii="Times New Roman" w:hAnsi="Times New Roman"/>
                <w:kern w:val="0"/>
                <w:szCs w:val="24"/>
              </w:rPr>
              <w:t>m</w:t>
            </w:r>
            <w:r>
              <w:rPr>
                <w:rFonts w:ascii="Times New Roman" w:hAnsi="Times New Roman"/>
                <w:kern w:val="0"/>
                <w:szCs w:val="24"/>
              </w:rPr>
              <w:t>）</w:t>
            </w:r>
          </w:p>
        </w:tc>
        <w:tc>
          <w:tcPr>
            <w:tcW w:w="568" w:type="pct"/>
            <w:gridSpan w:val="3"/>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排放高度</w:t>
            </w:r>
          </w:p>
          <w:p w:rsidR="00525419" w:rsidRDefault="00EE1CF7">
            <w:pPr>
              <w:widowControl/>
              <w:jc w:val="center"/>
              <w:rPr>
                <w:rFonts w:ascii="Times New Roman" w:hAnsi="Times New Roman"/>
                <w:kern w:val="0"/>
                <w:szCs w:val="24"/>
              </w:rPr>
            </w:pPr>
            <w:r>
              <w:rPr>
                <w:rFonts w:ascii="Times New Roman" w:hAnsi="Times New Roman"/>
                <w:kern w:val="0"/>
                <w:szCs w:val="24"/>
              </w:rPr>
              <w:t>H</w:t>
            </w:r>
            <w:r>
              <w:rPr>
                <w:rFonts w:ascii="Times New Roman" w:hAnsi="Times New Roman"/>
                <w:kern w:val="0"/>
                <w:szCs w:val="24"/>
              </w:rPr>
              <w:t>（</w:t>
            </w:r>
            <w:r>
              <w:rPr>
                <w:rFonts w:ascii="Times New Roman" w:hAnsi="Times New Roman"/>
                <w:kern w:val="0"/>
                <w:szCs w:val="24"/>
              </w:rPr>
              <w:t>m</w:t>
            </w:r>
            <w:r>
              <w:rPr>
                <w:rFonts w:ascii="Times New Roman" w:hAnsi="Times New Roman"/>
                <w:kern w:val="0"/>
                <w:szCs w:val="24"/>
              </w:rPr>
              <w:t>）</w:t>
            </w:r>
          </w:p>
        </w:tc>
        <w:tc>
          <w:tcPr>
            <w:tcW w:w="628" w:type="pct"/>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污染因子</w:t>
            </w:r>
          </w:p>
        </w:tc>
        <w:tc>
          <w:tcPr>
            <w:tcW w:w="709" w:type="pct"/>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源强（</w:t>
            </w:r>
            <w:r>
              <w:rPr>
                <w:rFonts w:ascii="Times New Roman" w:hAnsi="Times New Roman"/>
                <w:snapToGrid w:val="0"/>
                <w:kern w:val="0"/>
                <w:szCs w:val="24"/>
              </w:rPr>
              <w:t>kg/h</w:t>
            </w:r>
            <w:r>
              <w:rPr>
                <w:rFonts w:ascii="Times New Roman" w:hAnsi="Times New Roman"/>
                <w:snapToGrid w:val="0"/>
                <w:kern w:val="0"/>
                <w:szCs w:val="24"/>
              </w:rPr>
              <w:t>）</w:t>
            </w:r>
          </w:p>
        </w:tc>
      </w:tr>
      <w:tr w:rsidR="00525419">
        <w:trPr>
          <w:trHeight w:val="397"/>
          <w:jc w:val="center"/>
        </w:trPr>
        <w:tc>
          <w:tcPr>
            <w:tcW w:w="253" w:type="pct"/>
            <w:shd w:val="clear" w:color="auto" w:fill="auto"/>
            <w:vAlign w:val="center"/>
          </w:tcPr>
          <w:p w:rsidR="00525419" w:rsidRDefault="00EE1CF7">
            <w:pPr>
              <w:pStyle w:val="B2"/>
              <w:rPr>
                <w:rFonts w:cs="Times New Roman"/>
                <w:snapToGrid w:val="0"/>
                <w:szCs w:val="21"/>
              </w:rPr>
            </w:pPr>
            <w:r>
              <w:rPr>
                <w:rFonts w:cs="Times New Roman"/>
                <w:snapToGrid w:val="0"/>
                <w:szCs w:val="21"/>
              </w:rPr>
              <w:t>1</w:t>
            </w:r>
          </w:p>
        </w:tc>
        <w:tc>
          <w:tcPr>
            <w:tcW w:w="809" w:type="pct"/>
            <w:vMerge w:val="restart"/>
            <w:shd w:val="clear" w:color="auto" w:fill="auto"/>
            <w:vAlign w:val="center"/>
          </w:tcPr>
          <w:p w:rsidR="00525419" w:rsidRDefault="00EE1CF7">
            <w:pPr>
              <w:pStyle w:val="B2"/>
              <w:rPr>
                <w:rFonts w:cs="Times New Roman"/>
                <w:snapToGrid w:val="0"/>
                <w:szCs w:val="21"/>
              </w:rPr>
            </w:pPr>
            <w:r>
              <w:rPr>
                <w:rFonts w:cs="Times New Roman"/>
                <w:snapToGrid w:val="0"/>
                <w:szCs w:val="21"/>
              </w:rPr>
              <w:t>鄯善久隆源技术开发服务有限公司废矿物油综合利用项目</w:t>
            </w:r>
          </w:p>
        </w:tc>
        <w:tc>
          <w:tcPr>
            <w:tcW w:w="818"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原料暂存池</w:t>
            </w:r>
          </w:p>
        </w:tc>
        <w:tc>
          <w:tcPr>
            <w:tcW w:w="618"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30</w:t>
            </w:r>
          </w:p>
        </w:tc>
        <w:tc>
          <w:tcPr>
            <w:tcW w:w="594"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20</w:t>
            </w:r>
          </w:p>
        </w:tc>
        <w:tc>
          <w:tcPr>
            <w:tcW w:w="568" w:type="pct"/>
            <w:gridSpan w:val="3"/>
            <w:shd w:val="clear" w:color="auto" w:fill="auto"/>
            <w:vAlign w:val="center"/>
          </w:tcPr>
          <w:p w:rsidR="00525419" w:rsidRDefault="00EE1CF7">
            <w:pPr>
              <w:pStyle w:val="B2"/>
              <w:rPr>
                <w:rFonts w:cs="Times New Roman"/>
                <w:snapToGrid w:val="0"/>
                <w:szCs w:val="21"/>
              </w:rPr>
            </w:pPr>
            <w:r>
              <w:rPr>
                <w:rFonts w:cs="Times New Roman"/>
                <w:snapToGrid w:val="0"/>
                <w:szCs w:val="21"/>
              </w:rPr>
              <w:t>5</w:t>
            </w:r>
          </w:p>
        </w:tc>
        <w:tc>
          <w:tcPr>
            <w:tcW w:w="628"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非甲烷总烃</w:t>
            </w:r>
          </w:p>
        </w:tc>
        <w:tc>
          <w:tcPr>
            <w:tcW w:w="709"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0.0058</w:t>
            </w:r>
          </w:p>
        </w:tc>
      </w:tr>
      <w:tr w:rsidR="00525419">
        <w:trPr>
          <w:trHeight w:val="397"/>
          <w:jc w:val="center"/>
        </w:trPr>
        <w:tc>
          <w:tcPr>
            <w:tcW w:w="253" w:type="pct"/>
            <w:shd w:val="clear" w:color="auto" w:fill="auto"/>
            <w:vAlign w:val="center"/>
          </w:tcPr>
          <w:p w:rsidR="00525419" w:rsidRDefault="00EE1CF7">
            <w:pPr>
              <w:pStyle w:val="B2"/>
              <w:rPr>
                <w:rFonts w:cs="Times New Roman"/>
                <w:snapToGrid w:val="0"/>
                <w:szCs w:val="21"/>
              </w:rPr>
            </w:pPr>
            <w:r>
              <w:rPr>
                <w:rFonts w:cs="Times New Roman"/>
                <w:snapToGrid w:val="0"/>
                <w:szCs w:val="21"/>
              </w:rPr>
              <w:t>2</w:t>
            </w:r>
          </w:p>
        </w:tc>
        <w:tc>
          <w:tcPr>
            <w:tcW w:w="809" w:type="pct"/>
            <w:vMerge/>
            <w:shd w:val="clear" w:color="auto" w:fill="auto"/>
            <w:vAlign w:val="center"/>
          </w:tcPr>
          <w:p w:rsidR="00525419" w:rsidRDefault="00525419">
            <w:pPr>
              <w:pStyle w:val="B2"/>
              <w:rPr>
                <w:rFonts w:cs="Times New Roman"/>
                <w:snapToGrid w:val="0"/>
                <w:szCs w:val="21"/>
              </w:rPr>
            </w:pPr>
          </w:p>
        </w:tc>
        <w:tc>
          <w:tcPr>
            <w:tcW w:w="818"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生产装置区</w:t>
            </w:r>
          </w:p>
        </w:tc>
        <w:tc>
          <w:tcPr>
            <w:tcW w:w="618"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160</w:t>
            </w:r>
          </w:p>
        </w:tc>
        <w:tc>
          <w:tcPr>
            <w:tcW w:w="594"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80</w:t>
            </w:r>
          </w:p>
        </w:tc>
        <w:tc>
          <w:tcPr>
            <w:tcW w:w="568" w:type="pct"/>
            <w:gridSpan w:val="3"/>
            <w:shd w:val="clear" w:color="auto" w:fill="auto"/>
            <w:vAlign w:val="center"/>
          </w:tcPr>
          <w:p w:rsidR="00525419" w:rsidRDefault="00EE1CF7">
            <w:pPr>
              <w:pStyle w:val="B2"/>
              <w:rPr>
                <w:rFonts w:cs="Times New Roman"/>
                <w:snapToGrid w:val="0"/>
                <w:szCs w:val="21"/>
              </w:rPr>
            </w:pPr>
            <w:r>
              <w:rPr>
                <w:rFonts w:cs="Times New Roman"/>
                <w:snapToGrid w:val="0"/>
                <w:szCs w:val="21"/>
              </w:rPr>
              <w:t>15</w:t>
            </w:r>
          </w:p>
        </w:tc>
        <w:tc>
          <w:tcPr>
            <w:tcW w:w="628"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非甲烷总烃</w:t>
            </w:r>
          </w:p>
        </w:tc>
        <w:tc>
          <w:tcPr>
            <w:tcW w:w="709"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0.030</w:t>
            </w:r>
          </w:p>
        </w:tc>
      </w:tr>
      <w:tr w:rsidR="00525419">
        <w:trPr>
          <w:trHeight w:val="90"/>
          <w:jc w:val="center"/>
        </w:trPr>
        <w:tc>
          <w:tcPr>
            <w:tcW w:w="253" w:type="pct"/>
            <w:shd w:val="clear" w:color="auto" w:fill="auto"/>
            <w:vAlign w:val="center"/>
          </w:tcPr>
          <w:p w:rsidR="00525419" w:rsidRDefault="00EE1CF7">
            <w:pPr>
              <w:pStyle w:val="B2"/>
              <w:rPr>
                <w:rFonts w:cs="Times New Roman"/>
                <w:snapToGrid w:val="0"/>
                <w:szCs w:val="21"/>
              </w:rPr>
            </w:pPr>
            <w:r>
              <w:rPr>
                <w:rFonts w:cs="Times New Roman"/>
                <w:snapToGrid w:val="0"/>
                <w:szCs w:val="21"/>
              </w:rPr>
              <w:t>3</w:t>
            </w:r>
          </w:p>
        </w:tc>
        <w:tc>
          <w:tcPr>
            <w:tcW w:w="809" w:type="pct"/>
            <w:vMerge/>
            <w:shd w:val="clear" w:color="auto" w:fill="auto"/>
            <w:vAlign w:val="center"/>
          </w:tcPr>
          <w:p w:rsidR="00525419" w:rsidRDefault="00525419">
            <w:pPr>
              <w:pStyle w:val="B2"/>
              <w:rPr>
                <w:rFonts w:cs="Times New Roman"/>
                <w:snapToGrid w:val="0"/>
                <w:szCs w:val="21"/>
              </w:rPr>
            </w:pPr>
          </w:p>
        </w:tc>
        <w:tc>
          <w:tcPr>
            <w:tcW w:w="818"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储罐区</w:t>
            </w:r>
          </w:p>
        </w:tc>
        <w:tc>
          <w:tcPr>
            <w:tcW w:w="618"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40</w:t>
            </w:r>
          </w:p>
        </w:tc>
        <w:tc>
          <w:tcPr>
            <w:tcW w:w="594"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50</w:t>
            </w:r>
          </w:p>
        </w:tc>
        <w:tc>
          <w:tcPr>
            <w:tcW w:w="568" w:type="pct"/>
            <w:gridSpan w:val="3"/>
            <w:shd w:val="clear" w:color="auto" w:fill="auto"/>
            <w:vAlign w:val="center"/>
          </w:tcPr>
          <w:p w:rsidR="00525419" w:rsidRDefault="00EE1CF7">
            <w:pPr>
              <w:pStyle w:val="B2"/>
              <w:rPr>
                <w:rFonts w:cs="Times New Roman"/>
                <w:snapToGrid w:val="0"/>
                <w:szCs w:val="21"/>
              </w:rPr>
            </w:pPr>
            <w:r>
              <w:rPr>
                <w:rFonts w:cs="Times New Roman"/>
                <w:snapToGrid w:val="0"/>
                <w:szCs w:val="21"/>
              </w:rPr>
              <w:t>10</w:t>
            </w:r>
          </w:p>
        </w:tc>
        <w:tc>
          <w:tcPr>
            <w:tcW w:w="628"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非甲烷总烃</w:t>
            </w:r>
          </w:p>
        </w:tc>
        <w:tc>
          <w:tcPr>
            <w:tcW w:w="709"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0.083</w:t>
            </w:r>
          </w:p>
        </w:tc>
      </w:tr>
      <w:tr w:rsidR="00525419">
        <w:trPr>
          <w:trHeight w:val="397"/>
          <w:jc w:val="center"/>
        </w:trPr>
        <w:tc>
          <w:tcPr>
            <w:tcW w:w="253" w:type="pct"/>
            <w:shd w:val="clear" w:color="auto" w:fill="auto"/>
            <w:vAlign w:val="center"/>
          </w:tcPr>
          <w:p w:rsidR="00525419" w:rsidRDefault="00EE1CF7">
            <w:pPr>
              <w:pStyle w:val="B2"/>
              <w:rPr>
                <w:rFonts w:cs="Times New Roman"/>
                <w:snapToGrid w:val="0"/>
                <w:szCs w:val="21"/>
              </w:rPr>
            </w:pPr>
            <w:r>
              <w:rPr>
                <w:rFonts w:cs="Times New Roman"/>
                <w:snapToGrid w:val="0"/>
                <w:szCs w:val="21"/>
              </w:rPr>
              <w:t>4</w:t>
            </w:r>
          </w:p>
        </w:tc>
        <w:tc>
          <w:tcPr>
            <w:tcW w:w="809" w:type="pct"/>
            <w:vMerge/>
            <w:shd w:val="clear" w:color="auto" w:fill="auto"/>
            <w:vAlign w:val="center"/>
          </w:tcPr>
          <w:p w:rsidR="00525419" w:rsidRDefault="00525419">
            <w:pPr>
              <w:pStyle w:val="B2"/>
              <w:rPr>
                <w:rFonts w:cs="Times New Roman"/>
                <w:snapToGrid w:val="0"/>
                <w:szCs w:val="21"/>
              </w:rPr>
            </w:pPr>
          </w:p>
        </w:tc>
        <w:tc>
          <w:tcPr>
            <w:tcW w:w="818"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装卸区</w:t>
            </w:r>
          </w:p>
        </w:tc>
        <w:tc>
          <w:tcPr>
            <w:tcW w:w="618"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30</w:t>
            </w:r>
          </w:p>
        </w:tc>
        <w:tc>
          <w:tcPr>
            <w:tcW w:w="594"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20</w:t>
            </w:r>
          </w:p>
        </w:tc>
        <w:tc>
          <w:tcPr>
            <w:tcW w:w="568" w:type="pct"/>
            <w:gridSpan w:val="3"/>
            <w:shd w:val="clear" w:color="auto" w:fill="auto"/>
            <w:vAlign w:val="center"/>
          </w:tcPr>
          <w:p w:rsidR="00525419" w:rsidRDefault="00EE1CF7">
            <w:pPr>
              <w:pStyle w:val="B2"/>
              <w:rPr>
                <w:rFonts w:cs="Times New Roman"/>
                <w:snapToGrid w:val="0"/>
                <w:szCs w:val="21"/>
              </w:rPr>
            </w:pPr>
            <w:r>
              <w:rPr>
                <w:rFonts w:cs="Times New Roman"/>
                <w:snapToGrid w:val="0"/>
                <w:szCs w:val="21"/>
              </w:rPr>
              <w:t>5</w:t>
            </w:r>
          </w:p>
        </w:tc>
        <w:tc>
          <w:tcPr>
            <w:tcW w:w="628"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非甲烷总烃</w:t>
            </w:r>
          </w:p>
        </w:tc>
        <w:tc>
          <w:tcPr>
            <w:tcW w:w="709"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0.050</w:t>
            </w:r>
          </w:p>
        </w:tc>
      </w:tr>
      <w:tr w:rsidR="00525419">
        <w:trPr>
          <w:trHeight w:val="397"/>
          <w:jc w:val="center"/>
        </w:trPr>
        <w:tc>
          <w:tcPr>
            <w:tcW w:w="253" w:type="pct"/>
            <w:shd w:val="clear" w:color="auto" w:fill="auto"/>
            <w:vAlign w:val="center"/>
          </w:tcPr>
          <w:p w:rsidR="00525419" w:rsidRDefault="00EE1CF7">
            <w:pPr>
              <w:pStyle w:val="B2"/>
              <w:rPr>
                <w:rFonts w:cs="Times New Roman"/>
                <w:snapToGrid w:val="0"/>
                <w:szCs w:val="21"/>
              </w:rPr>
            </w:pPr>
            <w:r>
              <w:rPr>
                <w:rFonts w:cs="Times New Roman"/>
                <w:snapToGrid w:val="0"/>
                <w:szCs w:val="21"/>
              </w:rPr>
              <w:t>1</w:t>
            </w:r>
          </w:p>
        </w:tc>
        <w:tc>
          <w:tcPr>
            <w:tcW w:w="809" w:type="pct"/>
            <w:vMerge w:val="restart"/>
            <w:shd w:val="clear" w:color="auto" w:fill="auto"/>
            <w:vAlign w:val="center"/>
          </w:tcPr>
          <w:p w:rsidR="00525419" w:rsidRDefault="00EE1CF7">
            <w:pPr>
              <w:pStyle w:val="B2"/>
              <w:rPr>
                <w:rFonts w:cs="Times New Roman"/>
                <w:snapToGrid w:val="0"/>
                <w:szCs w:val="21"/>
              </w:rPr>
            </w:pPr>
            <w:r>
              <w:rPr>
                <w:rFonts w:cs="Times New Roman"/>
                <w:snapToGrid w:val="0"/>
                <w:szCs w:val="21"/>
              </w:rPr>
              <w:t>新疆澎湃动力新能源科技有限公司</w:t>
            </w:r>
            <w:r>
              <w:rPr>
                <w:rFonts w:cs="Times New Roman"/>
                <w:snapToGrid w:val="0"/>
                <w:szCs w:val="21"/>
              </w:rPr>
              <w:t>60</w:t>
            </w:r>
            <w:r>
              <w:rPr>
                <w:rFonts w:cs="Times New Roman"/>
                <w:snapToGrid w:val="0"/>
                <w:szCs w:val="21"/>
              </w:rPr>
              <w:t>万吨</w:t>
            </w:r>
            <w:r>
              <w:rPr>
                <w:rFonts w:cs="Times New Roman"/>
                <w:snapToGrid w:val="0"/>
                <w:szCs w:val="21"/>
              </w:rPr>
              <w:t>/</w:t>
            </w:r>
            <w:r>
              <w:rPr>
                <w:rFonts w:cs="Times New Roman"/>
                <w:snapToGrid w:val="0"/>
                <w:szCs w:val="21"/>
              </w:rPr>
              <w:t>年成品油质量升级改造项目</w:t>
            </w:r>
          </w:p>
        </w:tc>
        <w:tc>
          <w:tcPr>
            <w:tcW w:w="818"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西北侧罐区</w:t>
            </w:r>
          </w:p>
        </w:tc>
        <w:tc>
          <w:tcPr>
            <w:tcW w:w="618"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125</w:t>
            </w:r>
          </w:p>
        </w:tc>
        <w:tc>
          <w:tcPr>
            <w:tcW w:w="594"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56</w:t>
            </w:r>
          </w:p>
        </w:tc>
        <w:tc>
          <w:tcPr>
            <w:tcW w:w="568" w:type="pct"/>
            <w:gridSpan w:val="3"/>
            <w:shd w:val="clear" w:color="auto" w:fill="auto"/>
            <w:vAlign w:val="center"/>
          </w:tcPr>
          <w:p w:rsidR="00525419" w:rsidRDefault="00EE1CF7">
            <w:pPr>
              <w:pStyle w:val="B2"/>
              <w:rPr>
                <w:rFonts w:cs="Times New Roman"/>
                <w:snapToGrid w:val="0"/>
                <w:szCs w:val="21"/>
              </w:rPr>
            </w:pPr>
            <w:r>
              <w:rPr>
                <w:rFonts w:cs="Times New Roman"/>
                <w:snapToGrid w:val="0"/>
                <w:szCs w:val="21"/>
              </w:rPr>
              <w:t>15</w:t>
            </w:r>
          </w:p>
        </w:tc>
        <w:tc>
          <w:tcPr>
            <w:tcW w:w="628"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非甲烷总烃</w:t>
            </w:r>
          </w:p>
        </w:tc>
        <w:tc>
          <w:tcPr>
            <w:tcW w:w="709"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0.238</w:t>
            </w:r>
          </w:p>
        </w:tc>
      </w:tr>
      <w:tr w:rsidR="00525419">
        <w:trPr>
          <w:trHeight w:val="397"/>
          <w:jc w:val="center"/>
        </w:trPr>
        <w:tc>
          <w:tcPr>
            <w:tcW w:w="253" w:type="pct"/>
            <w:shd w:val="clear" w:color="auto" w:fill="auto"/>
            <w:vAlign w:val="center"/>
          </w:tcPr>
          <w:p w:rsidR="00525419" w:rsidRDefault="00EE1CF7">
            <w:pPr>
              <w:pStyle w:val="B2"/>
              <w:rPr>
                <w:rFonts w:cs="Times New Roman"/>
                <w:snapToGrid w:val="0"/>
                <w:szCs w:val="21"/>
              </w:rPr>
            </w:pPr>
            <w:r>
              <w:rPr>
                <w:rFonts w:cs="Times New Roman"/>
                <w:snapToGrid w:val="0"/>
                <w:szCs w:val="21"/>
              </w:rPr>
              <w:t>2</w:t>
            </w:r>
          </w:p>
        </w:tc>
        <w:tc>
          <w:tcPr>
            <w:tcW w:w="809" w:type="pct"/>
            <w:vMerge/>
            <w:shd w:val="clear" w:color="auto" w:fill="auto"/>
            <w:vAlign w:val="center"/>
          </w:tcPr>
          <w:p w:rsidR="00525419" w:rsidRDefault="00525419">
            <w:pPr>
              <w:pStyle w:val="B2"/>
              <w:rPr>
                <w:rFonts w:cs="Times New Roman"/>
                <w:snapToGrid w:val="0"/>
                <w:szCs w:val="21"/>
              </w:rPr>
            </w:pPr>
          </w:p>
        </w:tc>
        <w:tc>
          <w:tcPr>
            <w:tcW w:w="818"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东北侧罐区</w:t>
            </w:r>
          </w:p>
        </w:tc>
        <w:tc>
          <w:tcPr>
            <w:tcW w:w="618"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135</w:t>
            </w:r>
          </w:p>
        </w:tc>
        <w:tc>
          <w:tcPr>
            <w:tcW w:w="594"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21</w:t>
            </w:r>
          </w:p>
        </w:tc>
        <w:tc>
          <w:tcPr>
            <w:tcW w:w="568" w:type="pct"/>
            <w:gridSpan w:val="3"/>
            <w:shd w:val="clear" w:color="auto" w:fill="auto"/>
            <w:vAlign w:val="center"/>
          </w:tcPr>
          <w:p w:rsidR="00525419" w:rsidRDefault="00EE1CF7">
            <w:pPr>
              <w:pStyle w:val="B2"/>
              <w:rPr>
                <w:rFonts w:cs="Times New Roman"/>
                <w:snapToGrid w:val="0"/>
                <w:szCs w:val="21"/>
              </w:rPr>
            </w:pPr>
            <w:r>
              <w:rPr>
                <w:rFonts w:cs="Times New Roman"/>
                <w:snapToGrid w:val="0"/>
                <w:szCs w:val="21"/>
              </w:rPr>
              <w:t>12</w:t>
            </w:r>
          </w:p>
        </w:tc>
        <w:tc>
          <w:tcPr>
            <w:tcW w:w="628"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非甲烷总烃</w:t>
            </w:r>
          </w:p>
        </w:tc>
        <w:tc>
          <w:tcPr>
            <w:tcW w:w="709"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0.063</w:t>
            </w:r>
          </w:p>
        </w:tc>
      </w:tr>
      <w:tr w:rsidR="00525419">
        <w:trPr>
          <w:trHeight w:val="397"/>
          <w:jc w:val="center"/>
        </w:trPr>
        <w:tc>
          <w:tcPr>
            <w:tcW w:w="253" w:type="pct"/>
            <w:shd w:val="clear" w:color="auto" w:fill="auto"/>
            <w:vAlign w:val="center"/>
          </w:tcPr>
          <w:p w:rsidR="00525419" w:rsidRDefault="00EE1CF7">
            <w:pPr>
              <w:pStyle w:val="B2"/>
              <w:rPr>
                <w:rFonts w:cs="Times New Roman"/>
                <w:snapToGrid w:val="0"/>
                <w:szCs w:val="21"/>
              </w:rPr>
            </w:pPr>
            <w:r>
              <w:rPr>
                <w:rFonts w:cs="Times New Roman"/>
                <w:snapToGrid w:val="0"/>
                <w:szCs w:val="21"/>
              </w:rPr>
              <w:t>3</w:t>
            </w:r>
          </w:p>
        </w:tc>
        <w:tc>
          <w:tcPr>
            <w:tcW w:w="809" w:type="pct"/>
            <w:vMerge/>
            <w:shd w:val="clear" w:color="auto" w:fill="auto"/>
            <w:vAlign w:val="center"/>
          </w:tcPr>
          <w:p w:rsidR="00525419" w:rsidRDefault="00525419">
            <w:pPr>
              <w:pStyle w:val="B2"/>
              <w:rPr>
                <w:rFonts w:cs="Times New Roman"/>
                <w:snapToGrid w:val="0"/>
                <w:szCs w:val="21"/>
              </w:rPr>
            </w:pPr>
          </w:p>
        </w:tc>
        <w:tc>
          <w:tcPr>
            <w:tcW w:w="818"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中部罐区</w:t>
            </w:r>
          </w:p>
        </w:tc>
        <w:tc>
          <w:tcPr>
            <w:tcW w:w="618"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40</w:t>
            </w:r>
          </w:p>
        </w:tc>
        <w:tc>
          <w:tcPr>
            <w:tcW w:w="594"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15</w:t>
            </w:r>
          </w:p>
        </w:tc>
        <w:tc>
          <w:tcPr>
            <w:tcW w:w="568" w:type="pct"/>
            <w:gridSpan w:val="3"/>
            <w:shd w:val="clear" w:color="auto" w:fill="auto"/>
            <w:vAlign w:val="center"/>
          </w:tcPr>
          <w:p w:rsidR="00525419" w:rsidRDefault="00EE1CF7">
            <w:pPr>
              <w:pStyle w:val="B2"/>
              <w:rPr>
                <w:rFonts w:cs="Times New Roman"/>
                <w:snapToGrid w:val="0"/>
                <w:szCs w:val="21"/>
              </w:rPr>
            </w:pPr>
            <w:r>
              <w:rPr>
                <w:rFonts w:cs="Times New Roman"/>
                <w:snapToGrid w:val="0"/>
                <w:szCs w:val="21"/>
              </w:rPr>
              <w:t>10</w:t>
            </w:r>
          </w:p>
        </w:tc>
        <w:tc>
          <w:tcPr>
            <w:tcW w:w="628"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非甲烷总烃</w:t>
            </w:r>
          </w:p>
        </w:tc>
        <w:tc>
          <w:tcPr>
            <w:tcW w:w="709" w:type="pct"/>
            <w:gridSpan w:val="2"/>
            <w:shd w:val="clear" w:color="auto" w:fill="auto"/>
            <w:vAlign w:val="center"/>
          </w:tcPr>
          <w:p w:rsidR="00525419" w:rsidRDefault="00EE1CF7">
            <w:pPr>
              <w:pStyle w:val="B2"/>
              <w:rPr>
                <w:rFonts w:cs="Times New Roman"/>
                <w:snapToGrid w:val="0"/>
                <w:szCs w:val="21"/>
              </w:rPr>
            </w:pPr>
            <w:r>
              <w:rPr>
                <w:rFonts w:cs="Times New Roman"/>
                <w:snapToGrid w:val="0"/>
                <w:szCs w:val="21"/>
              </w:rPr>
              <w:t>0.093</w:t>
            </w:r>
          </w:p>
        </w:tc>
      </w:tr>
    </w:tbl>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5.1.2.2</w:t>
      </w:r>
      <w:r>
        <w:rPr>
          <w:rFonts w:ascii="Times New Roman" w:hAnsi="Times New Roman" w:cs="Times New Roman"/>
          <w:kern w:val="44"/>
          <w:sz w:val="24"/>
          <w:szCs w:val="24"/>
        </w:rPr>
        <w:t>预测因子及预测模式</w:t>
      </w:r>
    </w:p>
    <w:p w:rsidR="00525419" w:rsidRDefault="00EE1CF7">
      <w:pPr>
        <w:snapToGrid w:val="0"/>
        <w:spacing w:line="360" w:lineRule="auto"/>
        <w:ind w:firstLineChars="148" w:firstLine="355"/>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）预测因子</w:t>
      </w:r>
    </w:p>
    <w:p w:rsidR="00525419" w:rsidRDefault="00EE1CF7">
      <w:pPr>
        <w:pStyle w:val="B1"/>
        <w:ind w:firstLine="472"/>
        <w:rPr>
          <w:rFonts w:cs="Times New Roman"/>
          <w:bCs/>
          <w:spacing w:val="-2"/>
        </w:rPr>
      </w:pPr>
      <w:r>
        <w:rPr>
          <w:rFonts w:cs="Times New Roman"/>
          <w:bCs/>
          <w:spacing w:val="-2"/>
        </w:rPr>
        <w:lastRenderedPageBreak/>
        <w:t>正常工况下的预测因子：</w:t>
      </w:r>
      <w:r>
        <w:rPr>
          <w:rFonts w:cs="Times New Roman"/>
          <w:bCs/>
          <w:spacing w:val="-2"/>
        </w:rPr>
        <w:t>PM</w:t>
      </w:r>
      <w:r>
        <w:rPr>
          <w:rFonts w:cs="Times New Roman"/>
          <w:bCs/>
          <w:spacing w:val="-2"/>
          <w:vertAlign w:val="subscript"/>
        </w:rPr>
        <w:t>10</w:t>
      </w:r>
      <w:r>
        <w:rPr>
          <w:rFonts w:cs="Times New Roman"/>
          <w:bCs/>
          <w:spacing w:val="-2"/>
        </w:rPr>
        <w:t>、</w:t>
      </w:r>
      <w:r>
        <w:rPr>
          <w:rFonts w:cs="Times New Roman"/>
          <w:bCs/>
          <w:spacing w:val="-2"/>
        </w:rPr>
        <w:t>NO</w:t>
      </w:r>
      <w:r>
        <w:rPr>
          <w:rFonts w:cs="Times New Roman"/>
          <w:bCs/>
          <w:spacing w:val="-2"/>
          <w:vertAlign w:val="subscript"/>
        </w:rPr>
        <w:t>2</w:t>
      </w:r>
      <w:r>
        <w:rPr>
          <w:rFonts w:cs="Times New Roman"/>
          <w:bCs/>
          <w:spacing w:val="-2"/>
        </w:rPr>
        <w:t>、</w:t>
      </w:r>
      <w:r>
        <w:rPr>
          <w:rFonts w:cs="Times New Roman"/>
          <w:bCs/>
          <w:spacing w:val="-2"/>
        </w:rPr>
        <w:t>SO</w:t>
      </w:r>
      <w:r>
        <w:rPr>
          <w:rFonts w:cs="Times New Roman"/>
          <w:bCs/>
          <w:spacing w:val="-2"/>
          <w:vertAlign w:val="subscript"/>
        </w:rPr>
        <w:t>2</w:t>
      </w:r>
      <w:r>
        <w:rPr>
          <w:rFonts w:cs="Times New Roman"/>
          <w:bCs/>
          <w:spacing w:val="-2"/>
        </w:rPr>
        <w:t>、非甲烷总烃等</w:t>
      </w:r>
      <w:r>
        <w:rPr>
          <w:rFonts w:cs="Times New Roman"/>
          <w:bCs/>
          <w:spacing w:val="-2"/>
        </w:rPr>
        <w:t>4</w:t>
      </w:r>
      <w:r>
        <w:rPr>
          <w:rFonts w:cs="Times New Roman"/>
          <w:bCs/>
          <w:spacing w:val="-2"/>
        </w:rPr>
        <w:t>个因子，非正常情况下的预测因子为：</w:t>
      </w:r>
      <w:r>
        <w:rPr>
          <w:rFonts w:cs="Times New Roman"/>
          <w:bCs/>
          <w:spacing w:val="-2"/>
        </w:rPr>
        <w:t>PM</w:t>
      </w:r>
      <w:r>
        <w:rPr>
          <w:rFonts w:cs="Times New Roman"/>
          <w:bCs/>
          <w:spacing w:val="-2"/>
          <w:vertAlign w:val="subscript"/>
        </w:rPr>
        <w:t>10</w:t>
      </w:r>
      <w:r>
        <w:rPr>
          <w:rFonts w:cs="Times New Roman"/>
          <w:bCs/>
          <w:spacing w:val="-2"/>
        </w:rPr>
        <w:t>、</w:t>
      </w:r>
      <w:r>
        <w:rPr>
          <w:rFonts w:cs="Times New Roman"/>
          <w:bCs/>
          <w:spacing w:val="-2"/>
        </w:rPr>
        <w:t>NO</w:t>
      </w:r>
      <w:r>
        <w:rPr>
          <w:rFonts w:cs="Times New Roman"/>
          <w:bCs/>
          <w:spacing w:val="-2"/>
          <w:vertAlign w:val="subscript"/>
        </w:rPr>
        <w:t>2</w:t>
      </w:r>
      <w:r>
        <w:rPr>
          <w:rFonts w:cs="Times New Roman"/>
          <w:bCs/>
          <w:spacing w:val="-2"/>
        </w:rPr>
        <w:t>、</w:t>
      </w:r>
      <w:r>
        <w:rPr>
          <w:rFonts w:cs="Times New Roman"/>
          <w:bCs/>
          <w:spacing w:val="-2"/>
        </w:rPr>
        <w:t>SO</w:t>
      </w:r>
      <w:r>
        <w:rPr>
          <w:rFonts w:cs="Times New Roman"/>
          <w:bCs/>
          <w:spacing w:val="-2"/>
          <w:vertAlign w:val="subscript"/>
        </w:rPr>
        <w:t>2</w:t>
      </w:r>
      <w:r>
        <w:rPr>
          <w:rFonts w:cs="Times New Roman"/>
          <w:bCs/>
          <w:spacing w:val="-2"/>
        </w:rPr>
        <w:t>等</w:t>
      </w:r>
      <w:r>
        <w:rPr>
          <w:rFonts w:cs="Times New Roman"/>
          <w:bCs/>
          <w:spacing w:val="-2"/>
        </w:rPr>
        <w:t>3</w:t>
      </w:r>
      <w:r>
        <w:rPr>
          <w:rFonts w:cs="Times New Roman"/>
          <w:bCs/>
          <w:spacing w:val="-2"/>
        </w:rPr>
        <w:t>个因子。</w:t>
      </w:r>
    </w:p>
    <w:p w:rsidR="00525419" w:rsidRDefault="00EE1CF7">
      <w:pPr>
        <w:pStyle w:val="B1"/>
        <w:ind w:firstLine="472"/>
        <w:rPr>
          <w:rFonts w:cs="Times New Roman"/>
          <w:bCs/>
          <w:spacing w:val="-2"/>
        </w:rPr>
      </w:pPr>
      <w:r>
        <w:rPr>
          <w:rFonts w:cs="Times New Roman"/>
          <w:bCs/>
          <w:spacing w:val="-2"/>
        </w:rPr>
        <w:t>（</w:t>
      </w:r>
      <w:r>
        <w:rPr>
          <w:rFonts w:cs="Times New Roman"/>
          <w:bCs/>
          <w:spacing w:val="-2"/>
        </w:rPr>
        <w:t>2</w:t>
      </w:r>
      <w:r>
        <w:rPr>
          <w:rFonts w:cs="Times New Roman"/>
          <w:bCs/>
          <w:spacing w:val="-2"/>
        </w:rPr>
        <w:t>）预测模式</w:t>
      </w:r>
    </w:p>
    <w:p w:rsidR="00525419" w:rsidRDefault="00EE1CF7">
      <w:pPr>
        <w:pStyle w:val="B1"/>
        <w:ind w:firstLine="472"/>
        <w:rPr>
          <w:rFonts w:cs="Times New Roman"/>
          <w:bCs/>
          <w:spacing w:val="-2"/>
        </w:rPr>
      </w:pPr>
      <w:r>
        <w:rPr>
          <w:rFonts w:cs="Times New Roman"/>
          <w:bCs/>
          <w:spacing w:val="-2"/>
        </w:rPr>
        <w:t>本项目按照</w:t>
      </w:r>
      <w:r>
        <w:rPr>
          <w:rFonts w:cs="Times New Roman"/>
          <w:bCs/>
          <w:spacing w:val="-2"/>
        </w:rPr>
        <w:t>HJ2.2-2018</w:t>
      </w:r>
      <w:r>
        <w:rPr>
          <w:rFonts w:cs="Times New Roman"/>
          <w:bCs/>
          <w:spacing w:val="-2"/>
        </w:rPr>
        <w:t>《环境影响评价技术导则</w:t>
      </w:r>
      <w:r>
        <w:rPr>
          <w:rFonts w:cs="Times New Roman"/>
          <w:bCs/>
          <w:spacing w:val="-2"/>
        </w:rPr>
        <w:t xml:space="preserve">  </w:t>
      </w:r>
      <w:r>
        <w:rPr>
          <w:rFonts w:cs="Times New Roman"/>
          <w:bCs/>
          <w:spacing w:val="-2"/>
        </w:rPr>
        <w:t>大气环境》的要求，进行一级预测评价，采用</w:t>
      </w:r>
      <w:r>
        <w:rPr>
          <w:rFonts w:cs="Times New Roman"/>
          <w:bCs/>
          <w:spacing w:val="-2"/>
        </w:rPr>
        <w:t>EIAPROA2018</w:t>
      </w:r>
      <w:r>
        <w:rPr>
          <w:rFonts w:cs="Times New Roman"/>
          <w:bCs/>
          <w:spacing w:val="-2"/>
        </w:rPr>
        <w:t>软件中的</w:t>
      </w:r>
      <w:r>
        <w:rPr>
          <w:rFonts w:cs="Times New Roman"/>
          <w:bCs/>
          <w:spacing w:val="-2"/>
        </w:rPr>
        <w:t>AERMOD</w:t>
      </w:r>
      <w:r>
        <w:rPr>
          <w:rFonts w:cs="Times New Roman"/>
          <w:bCs/>
          <w:spacing w:val="-2"/>
        </w:rPr>
        <w:t>模式进行预测。</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5.1.2.3</w:t>
      </w:r>
      <w:r>
        <w:rPr>
          <w:rFonts w:ascii="Times New Roman" w:hAnsi="Times New Roman" w:cs="Times New Roman"/>
          <w:kern w:val="44"/>
          <w:sz w:val="24"/>
          <w:szCs w:val="24"/>
        </w:rPr>
        <w:t>预测点设置</w:t>
      </w:r>
    </w:p>
    <w:p w:rsidR="00525419" w:rsidRDefault="00EE1CF7">
      <w:pPr>
        <w:pStyle w:val="B1"/>
        <w:ind w:firstLine="472"/>
        <w:rPr>
          <w:rFonts w:cs="Times New Roman"/>
          <w:bCs/>
          <w:spacing w:val="-2"/>
        </w:rPr>
      </w:pPr>
      <w:r>
        <w:rPr>
          <w:rFonts w:cs="Times New Roman"/>
          <w:bCs/>
          <w:spacing w:val="-2"/>
        </w:rPr>
        <w:t>（</w:t>
      </w:r>
      <w:r>
        <w:rPr>
          <w:rFonts w:cs="Times New Roman"/>
          <w:bCs/>
          <w:spacing w:val="-2"/>
        </w:rPr>
        <w:t>1</w:t>
      </w:r>
      <w:r>
        <w:rPr>
          <w:rFonts w:cs="Times New Roman"/>
          <w:bCs/>
          <w:spacing w:val="-2"/>
        </w:rPr>
        <w:t>）预测范围</w:t>
      </w:r>
    </w:p>
    <w:p w:rsidR="00525419" w:rsidRDefault="00EE1CF7">
      <w:pPr>
        <w:widowControl/>
        <w:spacing w:line="360" w:lineRule="auto"/>
        <w:ind w:firstLineChars="200" w:firstLine="480"/>
        <w:jc w:val="left"/>
        <w:rPr>
          <w:rFonts w:ascii="Times New Roman" w:hAnsi="Times New Roman"/>
          <w:kern w:val="0"/>
          <w:sz w:val="24"/>
          <w:szCs w:val="44"/>
        </w:rPr>
      </w:pPr>
      <w:r>
        <w:rPr>
          <w:rFonts w:ascii="Times New Roman" w:hAnsi="Times New Roman"/>
          <w:kern w:val="0"/>
          <w:sz w:val="24"/>
          <w:szCs w:val="44"/>
        </w:rPr>
        <w:t>各污染物根据占标率</w:t>
      </w:r>
      <w:r>
        <w:rPr>
          <w:rFonts w:ascii="Times New Roman" w:hAnsi="Times New Roman"/>
          <w:kern w:val="0"/>
          <w:sz w:val="24"/>
          <w:szCs w:val="44"/>
        </w:rPr>
        <w:t>10%</w:t>
      </w:r>
      <w:r>
        <w:rPr>
          <w:rFonts w:ascii="Times New Roman" w:hAnsi="Times New Roman"/>
          <w:kern w:val="0"/>
          <w:sz w:val="24"/>
          <w:szCs w:val="44"/>
        </w:rPr>
        <w:t>的最大距离，均小于</w:t>
      </w:r>
      <w:r>
        <w:rPr>
          <w:rFonts w:ascii="Times New Roman" w:hAnsi="Times New Roman"/>
          <w:kern w:val="0"/>
          <w:sz w:val="24"/>
          <w:szCs w:val="44"/>
        </w:rPr>
        <w:t>3750m</w:t>
      </w:r>
      <w:r>
        <w:rPr>
          <w:rFonts w:ascii="Times New Roman" w:hAnsi="Times New Roman"/>
          <w:kern w:val="0"/>
          <w:sz w:val="24"/>
          <w:szCs w:val="44"/>
        </w:rPr>
        <w:t>，设定为以厂址为中心，各向</w:t>
      </w:r>
      <w:r>
        <w:rPr>
          <w:rFonts w:ascii="Times New Roman" w:hAnsi="Times New Roman"/>
          <w:kern w:val="0"/>
          <w:sz w:val="24"/>
          <w:szCs w:val="44"/>
        </w:rPr>
        <w:t>3750m</w:t>
      </w:r>
      <w:r>
        <w:rPr>
          <w:rFonts w:ascii="Times New Roman" w:hAnsi="Times New Roman"/>
          <w:kern w:val="0"/>
          <w:sz w:val="24"/>
          <w:szCs w:val="44"/>
        </w:rPr>
        <w:t>，边长</w:t>
      </w:r>
      <w:r>
        <w:rPr>
          <w:rFonts w:ascii="Times New Roman" w:hAnsi="Times New Roman"/>
          <w:kern w:val="0"/>
          <w:sz w:val="24"/>
          <w:szCs w:val="44"/>
        </w:rPr>
        <w:t>7500m</w:t>
      </w:r>
      <w:r>
        <w:rPr>
          <w:rFonts w:ascii="Times New Roman" w:hAnsi="Times New Roman"/>
          <w:kern w:val="0"/>
          <w:sz w:val="24"/>
          <w:szCs w:val="44"/>
        </w:rPr>
        <w:t>，面积</w:t>
      </w:r>
      <w:r>
        <w:rPr>
          <w:rFonts w:ascii="Times New Roman" w:hAnsi="Times New Roman"/>
          <w:kern w:val="0"/>
          <w:sz w:val="24"/>
          <w:szCs w:val="44"/>
        </w:rPr>
        <w:t>14.0625km</w:t>
      </w:r>
      <w:r>
        <w:rPr>
          <w:rFonts w:ascii="Times New Roman" w:hAnsi="Times New Roman"/>
          <w:kern w:val="0"/>
          <w:sz w:val="24"/>
          <w:szCs w:val="44"/>
          <w:vertAlign w:val="superscript"/>
        </w:rPr>
        <w:t>2</w:t>
      </w:r>
      <w:r>
        <w:rPr>
          <w:rFonts w:ascii="Times New Roman" w:hAnsi="Times New Roman"/>
          <w:kern w:val="0"/>
          <w:sz w:val="24"/>
          <w:szCs w:val="44"/>
        </w:rPr>
        <w:t>的矩形区域，同时将各环境关心点作为计算点进行预测。</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计算污染源对评价范围的影响时，取东西向为</w:t>
      </w:r>
      <w:r>
        <w:rPr>
          <w:rFonts w:ascii="Times New Roman" w:hAnsi="Times New Roman"/>
          <w:kern w:val="0"/>
          <w:sz w:val="24"/>
          <w:szCs w:val="24"/>
        </w:rPr>
        <w:t>X</w:t>
      </w:r>
      <w:r>
        <w:rPr>
          <w:rFonts w:ascii="Times New Roman" w:hAnsi="Times New Roman"/>
          <w:kern w:val="0"/>
          <w:sz w:val="24"/>
          <w:szCs w:val="24"/>
        </w:rPr>
        <w:t>坐标轴、南北向为</w:t>
      </w:r>
      <w:r>
        <w:rPr>
          <w:rFonts w:ascii="Times New Roman" w:hAnsi="Times New Roman"/>
          <w:kern w:val="0"/>
          <w:sz w:val="24"/>
          <w:szCs w:val="24"/>
        </w:rPr>
        <w:t>Y</w:t>
      </w:r>
      <w:r>
        <w:rPr>
          <w:rFonts w:ascii="Times New Roman" w:hAnsi="Times New Roman"/>
          <w:kern w:val="0"/>
          <w:sz w:val="24"/>
          <w:szCs w:val="24"/>
        </w:rPr>
        <w:t>坐标轴，污染源位于预测范围的中心区域。预测网格采用直角坐标网格，覆盖整个评价范围。</w:t>
      </w:r>
    </w:p>
    <w:p w:rsidR="00525419" w:rsidRDefault="00EE1CF7">
      <w:pPr>
        <w:pStyle w:val="B1"/>
        <w:ind w:firstLine="472"/>
        <w:rPr>
          <w:rFonts w:cs="Times New Roman"/>
          <w:bCs/>
          <w:spacing w:val="-2"/>
        </w:rPr>
      </w:pPr>
      <w:r>
        <w:rPr>
          <w:rFonts w:cs="Times New Roman"/>
          <w:bCs/>
          <w:spacing w:val="-2"/>
        </w:rPr>
        <w:t>（</w:t>
      </w:r>
      <w:r>
        <w:rPr>
          <w:rFonts w:cs="Times New Roman"/>
          <w:bCs/>
          <w:spacing w:val="-2"/>
        </w:rPr>
        <w:t>2</w:t>
      </w:r>
      <w:r>
        <w:rPr>
          <w:rFonts w:cs="Times New Roman"/>
          <w:bCs/>
          <w:spacing w:val="-2"/>
        </w:rPr>
        <w:t>）预测网格及计算点</w:t>
      </w:r>
    </w:p>
    <w:p w:rsidR="00525419" w:rsidRDefault="00EE1CF7">
      <w:pPr>
        <w:pStyle w:val="B1"/>
        <w:ind w:firstLine="480"/>
        <w:rPr>
          <w:rFonts w:cs="Times New Roman"/>
        </w:rPr>
      </w:pPr>
      <w:r>
        <w:rPr>
          <w:rFonts w:cs="Times New Roman"/>
        </w:rPr>
        <w:t>根据估算模式推荐最大评价范围为各向</w:t>
      </w:r>
      <w:r>
        <w:rPr>
          <w:rFonts w:cs="Times New Roman"/>
        </w:rPr>
        <w:t>5km</w:t>
      </w:r>
      <w:r>
        <w:rPr>
          <w:rFonts w:cs="Times New Roman"/>
        </w:rPr>
        <w:t>，本次预测评价计算点步长为</w:t>
      </w:r>
      <w:r>
        <w:rPr>
          <w:rFonts w:cs="Times New Roman"/>
        </w:rPr>
        <w:t>100m</w:t>
      </w:r>
      <w:r>
        <w:rPr>
          <w:rFonts w:cs="Times New Roman"/>
        </w:rPr>
        <w:t>。计算点包括大气环境敏感点、区域最大地面浓度点和网格点浓度。大气环境敏感点见表</w:t>
      </w:r>
      <w:r>
        <w:rPr>
          <w:rFonts w:cs="Times New Roman"/>
        </w:rPr>
        <w:t>5.1-10</w:t>
      </w:r>
      <w:r>
        <w:rPr>
          <w:rFonts w:cs="Times New Roman"/>
        </w:rPr>
        <w:t>。</w:t>
      </w:r>
    </w:p>
    <w:p w:rsidR="00525419" w:rsidRDefault="00EE1CF7">
      <w:pPr>
        <w:widowControl/>
        <w:adjustRightInd w:val="0"/>
        <w:snapToGrid w:val="0"/>
        <w:spacing w:before="120"/>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5.1-10   </w:t>
      </w:r>
      <w:r>
        <w:rPr>
          <w:rFonts w:ascii="Times New Roman" w:eastAsia="黑体" w:hAnsi="Times New Roman"/>
          <w:szCs w:val="21"/>
        </w:rPr>
        <w:t>环境空气保护目标</w:t>
      </w:r>
    </w:p>
    <w:tbl>
      <w:tblPr>
        <w:tblW w:w="8488" w:type="dxa"/>
        <w:tblInd w:w="-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11"/>
        <w:gridCol w:w="739"/>
        <w:gridCol w:w="709"/>
        <w:gridCol w:w="1134"/>
        <w:gridCol w:w="2126"/>
        <w:gridCol w:w="709"/>
        <w:gridCol w:w="993"/>
        <w:gridCol w:w="967"/>
      </w:tblGrid>
      <w:tr w:rsidR="00525419">
        <w:trPr>
          <w:trHeight w:val="397"/>
        </w:trPr>
        <w:tc>
          <w:tcPr>
            <w:tcW w:w="1111" w:type="dxa"/>
            <w:vMerge w:val="restart"/>
            <w:vAlign w:val="center"/>
          </w:tcPr>
          <w:p w:rsidR="00525419" w:rsidRDefault="00EE1CF7">
            <w:pPr>
              <w:pStyle w:val="B2"/>
              <w:rPr>
                <w:rFonts w:cs="Times New Roman"/>
                <w:szCs w:val="21"/>
              </w:rPr>
            </w:pPr>
            <w:r>
              <w:rPr>
                <w:rFonts w:cs="Times New Roman"/>
                <w:szCs w:val="21"/>
              </w:rPr>
              <w:t>保护对象</w:t>
            </w:r>
          </w:p>
        </w:tc>
        <w:tc>
          <w:tcPr>
            <w:tcW w:w="1448" w:type="dxa"/>
            <w:gridSpan w:val="2"/>
            <w:vAlign w:val="center"/>
          </w:tcPr>
          <w:p w:rsidR="00525419" w:rsidRDefault="00EE1CF7">
            <w:pPr>
              <w:pStyle w:val="B2"/>
              <w:rPr>
                <w:rFonts w:cs="Times New Roman"/>
                <w:szCs w:val="21"/>
              </w:rPr>
            </w:pPr>
            <w:r>
              <w:rPr>
                <w:rFonts w:cs="Times New Roman"/>
                <w:szCs w:val="21"/>
              </w:rPr>
              <w:t>坐标</w:t>
            </w:r>
          </w:p>
        </w:tc>
        <w:tc>
          <w:tcPr>
            <w:tcW w:w="1134" w:type="dxa"/>
            <w:vMerge w:val="restart"/>
            <w:vAlign w:val="center"/>
          </w:tcPr>
          <w:p w:rsidR="00525419" w:rsidRDefault="00EE1CF7">
            <w:pPr>
              <w:pStyle w:val="B2"/>
              <w:rPr>
                <w:rFonts w:cs="Times New Roman"/>
                <w:szCs w:val="21"/>
              </w:rPr>
            </w:pPr>
            <w:r>
              <w:rPr>
                <w:rFonts w:cs="Times New Roman"/>
                <w:szCs w:val="21"/>
              </w:rPr>
              <w:t>保护对象</w:t>
            </w:r>
          </w:p>
        </w:tc>
        <w:tc>
          <w:tcPr>
            <w:tcW w:w="2126" w:type="dxa"/>
            <w:vMerge w:val="restart"/>
            <w:vAlign w:val="center"/>
          </w:tcPr>
          <w:p w:rsidR="00525419" w:rsidRDefault="00EE1CF7">
            <w:pPr>
              <w:pStyle w:val="B2"/>
              <w:rPr>
                <w:rFonts w:cs="Times New Roman"/>
                <w:szCs w:val="21"/>
              </w:rPr>
            </w:pPr>
            <w:r>
              <w:rPr>
                <w:rFonts w:cs="Times New Roman"/>
                <w:szCs w:val="21"/>
              </w:rPr>
              <w:t>保护内容</w:t>
            </w:r>
          </w:p>
        </w:tc>
        <w:tc>
          <w:tcPr>
            <w:tcW w:w="709" w:type="dxa"/>
            <w:vMerge w:val="restart"/>
            <w:vAlign w:val="center"/>
          </w:tcPr>
          <w:p w:rsidR="00525419" w:rsidRDefault="00EE1CF7">
            <w:pPr>
              <w:pStyle w:val="B2"/>
              <w:rPr>
                <w:rFonts w:cs="Times New Roman"/>
                <w:szCs w:val="21"/>
              </w:rPr>
            </w:pPr>
            <w:r>
              <w:rPr>
                <w:rFonts w:cs="Times New Roman"/>
                <w:szCs w:val="21"/>
              </w:rPr>
              <w:t>环境功能区</w:t>
            </w:r>
          </w:p>
        </w:tc>
        <w:tc>
          <w:tcPr>
            <w:tcW w:w="1960" w:type="dxa"/>
            <w:gridSpan w:val="2"/>
            <w:vAlign w:val="center"/>
          </w:tcPr>
          <w:p w:rsidR="00525419" w:rsidRDefault="00EE1CF7">
            <w:pPr>
              <w:pStyle w:val="B2"/>
              <w:rPr>
                <w:rFonts w:cs="Times New Roman"/>
                <w:szCs w:val="21"/>
              </w:rPr>
            </w:pPr>
            <w:r>
              <w:rPr>
                <w:rFonts w:cs="Times New Roman"/>
                <w:szCs w:val="21"/>
              </w:rPr>
              <w:t>相对厂界</w:t>
            </w:r>
          </w:p>
        </w:tc>
      </w:tr>
      <w:tr w:rsidR="00525419">
        <w:trPr>
          <w:trHeight w:val="397"/>
        </w:trPr>
        <w:tc>
          <w:tcPr>
            <w:tcW w:w="1111" w:type="dxa"/>
            <w:vMerge/>
            <w:vAlign w:val="center"/>
          </w:tcPr>
          <w:p w:rsidR="00525419" w:rsidRDefault="00525419">
            <w:pPr>
              <w:pStyle w:val="B2"/>
              <w:rPr>
                <w:rFonts w:cs="Times New Roman"/>
                <w:szCs w:val="21"/>
              </w:rPr>
            </w:pPr>
          </w:p>
        </w:tc>
        <w:tc>
          <w:tcPr>
            <w:tcW w:w="739" w:type="dxa"/>
            <w:vAlign w:val="center"/>
          </w:tcPr>
          <w:p w:rsidR="00525419" w:rsidRDefault="00EE1CF7">
            <w:pPr>
              <w:pStyle w:val="B2"/>
              <w:rPr>
                <w:rFonts w:cs="Times New Roman"/>
                <w:szCs w:val="21"/>
              </w:rPr>
            </w:pPr>
            <w:r>
              <w:rPr>
                <w:rFonts w:cs="Times New Roman"/>
                <w:szCs w:val="21"/>
              </w:rPr>
              <w:t>X</w:t>
            </w:r>
          </w:p>
        </w:tc>
        <w:tc>
          <w:tcPr>
            <w:tcW w:w="709" w:type="dxa"/>
            <w:vAlign w:val="center"/>
          </w:tcPr>
          <w:p w:rsidR="00525419" w:rsidRDefault="00EE1CF7">
            <w:pPr>
              <w:pStyle w:val="B2"/>
              <w:rPr>
                <w:rFonts w:cs="Times New Roman"/>
                <w:szCs w:val="21"/>
              </w:rPr>
            </w:pPr>
            <w:r>
              <w:rPr>
                <w:rFonts w:cs="Times New Roman"/>
                <w:szCs w:val="21"/>
              </w:rPr>
              <w:t>Y</w:t>
            </w:r>
          </w:p>
        </w:tc>
        <w:tc>
          <w:tcPr>
            <w:tcW w:w="1134" w:type="dxa"/>
            <w:vMerge/>
            <w:vAlign w:val="center"/>
          </w:tcPr>
          <w:p w:rsidR="00525419" w:rsidRDefault="00525419">
            <w:pPr>
              <w:pStyle w:val="B2"/>
              <w:rPr>
                <w:rFonts w:cs="Times New Roman"/>
                <w:szCs w:val="21"/>
              </w:rPr>
            </w:pPr>
          </w:p>
        </w:tc>
        <w:tc>
          <w:tcPr>
            <w:tcW w:w="2126" w:type="dxa"/>
            <w:vMerge/>
            <w:vAlign w:val="center"/>
          </w:tcPr>
          <w:p w:rsidR="00525419" w:rsidRDefault="00525419">
            <w:pPr>
              <w:pStyle w:val="B2"/>
              <w:rPr>
                <w:rFonts w:cs="Times New Roman"/>
                <w:szCs w:val="21"/>
              </w:rPr>
            </w:pPr>
          </w:p>
        </w:tc>
        <w:tc>
          <w:tcPr>
            <w:tcW w:w="709" w:type="dxa"/>
            <w:vMerge/>
            <w:vAlign w:val="center"/>
          </w:tcPr>
          <w:p w:rsidR="00525419" w:rsidRDefault="00525419">
            <w:pPr>
              <w:pStyle w:val="B2"/>
              <w:rPr>
                <w:rFonts w:cs="Times New Roman"/>
                <w:szCs w:val="21"/>
              </w:rPr>
            </w:pPr>
          </w:p>
        </w:tc>
        <w:tc>
          <w:tcPr>
            <w:tcW w:w="993" w:type="dxa"/>
            <w:vAlign w:val="center"/>
          </w:tcPr>
          <w:p w:rsidR="00525419" w:rsidRDefault="00EE1CF7">
            <w:pPr>
              <w:pStyle w:val="B2"/>
              <w:rPr>
                <w:rFonts w:cs="Times New Roman"/>
                <w:szCs w:val="21"/>
              </w:rPr>
            </w:pPr>
            <w:r>
              <w:rPr>
                <w:rFonts w:cs="Times New Roman"/>
                <w:szCs w:val="21"/>
              </w:rPr>
              <w:t>方位</w:t>
            </w:r>
          </w:p>
        </w:tc>
        <w:tc>
          <w:tcPr>
            <w:tcW w:w="967" w:type="dxa"/>
            <w:vAlign w:val="center"/>
          </w:tcPr>
          <w:p w:rsidR="00525419" w:rsidRDefault="00EE1CF7">
            <w:pPr>
              <w:pStyle w:val="B2"/>
              <w:rPr>
                <w:rFonts w:cs="Times New Roman"/>
                <w:szCs w:val="21"/>
              </w:rPr>
            </w:pPr>
            <w:r>
              <w:rPr>
                <w:rFonts w:cs="Times New Roman"/>
                <w:szCs w:val="21"/>
              </w:rPr>
              <w:t>距离（</w:t>
            </w:r>
            <w:r>
              <w:rPr>
                <w:rFonts w:cs="Times New Roman"/>
                <w:szCs w:val="21"/>
              </w:rPr>
              <w:t>km</w:t>
            </w:r>
            <w:r>
              <w:rPr>
                <w:rFonts w:cs="Times New Roman"/>
                <w:szCs w:val="21"/>
              </w:rPr>
              <w:t>）</w:t>
            </w:r>
          </w:p>
        </w:tc>
      </w:tr>
      <w:tr w:rsidR="00525419">
        <w:trPr>
          <w:trHeight w:val="397"/>
        </w:trPr>
        <w:tc>
          <w:tcPr>
            <w:tcW w:w="1111" w:type="dxa"/>
            <w:vAlign w:val="center"/>
          </w:tcPr>
          <w:p w:rsidR="00525419" w:rsidRDefault="00EE1CF7">
            <w:pPr>
              <w:pStyle w:val="B2"/>
              <w:rPr>
                <w:rFonts w:cs="Times New Roman"/>
                <w:szCs w:val="21"/>
              </w:rPr>
            </w:pPr>
            <w:r>
              <w:rPr>
                <w:rFonts w:cs="Times New Roman"/>
              </w:rPr>
              <w:t>鄯善火车站</w:t>
            </w:r>
          </w:p>
        </w:tc>
        <w:tc>
          <w:tcPr>
            <w:tcW w:w="739" w:type="dxa"/>
            <w:vAlign w:val="center"/>
          </w:tcPr>
          <w:p w:rsidR="00525419" w:rsidRDefault="00EE1CF7">
            <w:pPr>
              <w:pStyle w:val="B2"/>
              <w:rPr>
                <w:rFonts w:cs="Times New Roman"/>
                <w:szCs w:val="21"/>
              </w:rPr>
            </w:pPr>
            <w:r>
              <w:rPr>
                <w:rFonts w:cs="Times New Roman"/>
                <w:szCs w:val="21"/>
              </w:rPr>
              <w:t>2053</w:t>
            </w:r>
          </w:p>
        </w:tc>
        <w:tc>
          <w:tcPr>
            <w:tcW w:w="709" w:type="dxa"/>
            <w:vAlign w:val="center"/>
          </w:tcPr>
          <w:p w:rsidR="00525419" w:rsidRDefault="00EE1CF7">
            <w:pPr>
              <w:pStyle w:val="B2"/>
              <w:rPr>
                <w:rFonts w:cs="Times New Roman"/>
                <w:szCs w:val="21"/>
              </w:rPr>
            </w:pPr>
            <w:r>
              <w:rPr>
                <w:rFonts w:cs="Times New Roman"/>
                <w:szCs w:val="21"/>
              </w:rPr>
              <w:t>4022</w:t>
            </w:r>
          </w:p>
        </w:tc>
        <w:tc>
          <w:tcPr>
            <w:tcW w:w="1134" w:type="dxa"/>
            <w:vAlign w:val="center"/>
          </w:tcPr>
          <w:p w:rsidR="00525419" w:rsidRDefault="00EE1CF7">
            <w:pPr>
              <w:pStyle w:val="B2"/>
              <w:rPr>
                <w:rFonts w:cs="Times New Roman"/>
                <w:szCs w:val="21"/>
              </w:rPr>
            </w:pPr>
            <w:r>
              <w:rPr>
                <w:rFonts w:cs="Times New Roman"/>
                <w:szCs w:val="21"/>
              </w:rPr>
              <w:t>400</w:t>
            </w:r>
            <w:r>
              <w:rPr>
                <w:rFonts w:cs="Times New Roman"/>
                <w:szCs w:val="21"/>
              </w:rPr>
              <w:t>人</w:t>
            </w:r>
          </w:p>
        </w:tc>
        <w:tc>
          <w:tcPr>
            <w:tcW w:w="2126" w:type="dxa"/>
            <w:vMerge w:val="restart"/>
            <w:vAlign w:val="center"/>
          </w:tcPr>
          <w:p w:rsidR="00525419" w:rsidRDefault="00EE1CF7">
            <w:pPr>
              <w:pStyle w:val="B2"/>
              <w:rPr>
                <w:rFonts w:cs="Times New Roman"/>
                <w:szCs w:val="21"/>
              </w:rPr>
            </w:pPr>
            <w:r>
              <w:rPr>
                <w:rFonts w:cs="Times New Roman"/>
                <w:szCs w:val="21"/>
              </w:rPr>
              <w:t>符合《环境空气质量标准》二级标准的要求</w:t>
            </w:r>
          </w:p>
        </w:tc>
        <w:tc>
          <w:tcPr>
            <w:tcW w:w="709" w:type="dxa"/>
            <w:vMerge w:val="restart"/>
            <w:vAlign w:val="center"/>
          </w:tcPr>
          <w:p w:rsidR="00525419" w:rsidRDefault="00EE1CF7">
            <w:pPr>
              <w:pStyle w:val="B2"/>
              <w:rPr>
                <w:rFonts w:cs="Times New Roman"/>
                <w:szCs w:val="21"/>
              </w:rPr>
            </w:pPr>
            <w:r>
              <w:rPr>
                <w:rFonts w:cs="Times New Roman"/>
                <w:szCs w:val="21"/>
              </w:rPr>
              <w:t>二类</w:t>
            </w:r>
          </w:p>
        </w:tc>
        <w:tc>
          <w:tcPr>
            <w:tcW w:w="993" w:type="dxa"/>
            <w:vAlign w:val="center"/>
          </w:tcPr>
          <w:p w:rsidR="00525419" w:rsidRDefault="00EE1CF7">
            <w:pPr>
              <w:pStyle w:val="B2"/>
              <w:rPr>
                <w:rFonts w:cs="Times New Roman"/>
              </w:rPr>
            </w:pPr>
            <w:r>
              <w:rPr>
                <w:rFonts w:cs="Times New Roman"/>
              </w:rPr>
              <w:t>东北</w:t>
            </w:r>
          </w:p>
        </w:tc>
        <w:tc>
          <w:tcPr>
            <w:tcW w:w="967" w:type="dxa"/>
            <w:vAlign w:val="center"/>
          </w:tcPr>
          <w:p w:rsidR="00525419" w:rsidRDefault="00EE1CF7">
            <w:pPr>
              <w:pStyle w:val="B2"/>
              <w:rPr>
                <w:rFonts w:cs="Times New Roman"/>
              </w:rPr>
            </w:pPr>
            <w:r>
              <w:rPr>
                <w:rFonts w:cs="Times New Roman"/>
              </w:rPr>
              <w:t>4.2km</w:t>
            </w:r>
          </w:p>
        </w:tc>
      </w:tr>
      <w:tr w:rsidR="00525419">
        <w:trPr>
          <w:trHeight w:val="397"/>
        </w:trPr>
        <w:tc>
          <w:tcPr>
            <w:tcW w:w="1111" w:type="dxa"/>
            <w:vAlign w:val="center"/>
          </w:tcPr>
          <w:p w:rsidR="00525419" w:rsidRDefault="00EE1CF7">
            <w:pPr>
              <w:pStyle w:val="B2"/>
              <w:rPr>
                <w:rFonts w:cs="Times New Roman"/>
                <w:szCs w:val="21"/>
              </w:rPr>
            </w:pPr>
            <w:r>
              <w:rPr>
                <w:rFonts w:cs="Times New Roman"/>
              </w:rPr>
              <w:t>火车站镇</w:t>
            </w:r>
          </w:p>
        </w:tc>
        <w:tc>
          <w:tcPr>
            <w:tcW w:w="739" w:type="dxa"/>
            <w:vAlign w:val="center"/>
          </w:tcPr>
          <w:p w:rsidR="00525419" w:rsidRDefault="00EE1CF7">
            <w:pPr>
              <w:pStyle w:val="B2"/>
              <w:rPr>
                <w:rFonts w:cs="Times New Roman"/>
                <w:szCs w:val="21"/>
              </w:rPr>
            </w:pPr>
            <w:r>
              <w:rPr>
                <w:rFonts w:cs="Times New Roman"/>
                <w:szCs w:val="21"/>
              </w:rPr>
              <w:t>3435</w:t>
            </w:r>
          </w:p>
        </w:tc>
        <w:tc>
          <w:tcPr>
            <w:tcW w:w="709" w:type="dxa"/>
            <w:vAlign w:val="center"/>
          </w:tcPr>
          <w:p w:rsidR="00525419" w:rsidRDefault="00EE1CF7">
            <w:pPr>
              <w:pStyle w:val="B2"/>
              <w:rPr>
                <w:rFonts w:cs="Times New Roman"/>
                <w:szCs w:val="21"/>
              </w:rPr>
            </w:pPr>
            <w:r>
              <w:rPr>
                <w:rFonts w:cs="Times New Roman"/>
                <w:szCs w:val="21"/>
              </w:rPr>
              <w:t>2821</w:t>
            </w:r>
          </w:p>
        </w:tc>
        <w:tc>
          <w:tcPr>
            <w:tcW w:w="1134" w:type="dxa"/>
            <w:vAlign w:val="center"/>
          </w:tcPr>
          <w:p w:rsidR="00525419" w:rsidRDefault="00EE1CF7">
            <w:pPr>
              <w:pStyle w:val="B2"/>
              <w:rPr>
                <w:rFonts w:cs="Times New Roman"/>
                <w:szCs w:val="21"/>
              </w:rPr>
            </w:pPr>
            <w:r>
              <w:rPr>
                <w:rFonts w:cs="Times New Roman"/>
                <w:szCs w:val="21"/>
              </w:rPr>
              <w:t>3000</w:t>
            </w:r>
            <w:r>
              <w:rPr>
                <w:rFonts w:cs="Times New Roman"/>
                <w:szCs w:val="21"/>
              </w:rPr>
              <w:t>人</w:t>
            </w:r>
          </w:p>
        </w:tc>
        <w:tc>
          <w:tcPr>
            <w:tcW w:w="2126" w:type="dxa"/>
            <w:vMerge/>
            <w:vAlign w:val="center"/>
          </w:tcPr>
          <w:p w:rsidR="00525419" w:rsidRDefault="00525419">
            <w:pPr>
              <w:pStyle w:val="B2"/>
              <w:rPr>
                <w:rFonts w:cs="Times New Roman"/>
                <w:szCs w:val="21"/>
              </w:rPr>
            </w:pPr>
          </w:p>
        </w:tc>
        <w:tc>
          <w:tcPr>
            <w:tcW w:w="709" w:type="dxa"/>
            <w:vMerge/>
            <w:vAlign w:val="center"/>
          </w:tcPr>
          <w:p w:rsidR="00525419" w:rsidRDefault="00525419">
            <w:pPr>
              <w:pStyle w:val="B2"/>
              <w:rPr>
                <w:rFonts w:cs="Times New Roman"/>
                <w:szCs w:val="21"/>
              </w:rPr>
            </w:pPr>
          </w:p>
        </w:tc>
        <w:tc>
          <w:tcPr>
            <w:tcW w:w="993" w:type="dxa"/>
            <w:vAlign w:val="center"/>
          </w:tcPr>
          <w:p w:rsidR="00525419" w:rsidRDefault="00EE1CF7">
            <w:pPr>
              <w:pStyle w:val="B2"/>
              <w:rPr>
                <w:rFonts w:cs="Times New Roman"/>
              </w:rPr>
            </w:pPr>
            <w:r>
              <w:rPr>
                <w:rFonts w:cs="Times New Roman"/>
              </w:rPr>
              <w:t>东</w:t>
            </w:r>
          </w:p>
        </w:tc>
        <w:tc>
          <w:tcPr>
            <w:tcW w:w="967" w:type="dxa"/>
            <w:vAlign w:val="center"/>
          </w:tcPr>
          <w:p w:rsidR="00525419" w:rsidRDefault="00EE1CF7">
            <w:pPr>
              <w:pStyle w:val="B2"/>
              <w:rPr>
                <w:rFonts w:cs="Times New Roman"/>
              </w:rPr>
            </w:pPr>
            <w:r>
              <w:rPr>
                <w:rFonts w:cs="Times New Roman"/>
              </w:rPr>
              <w:t>2.5km</w:t>
            </w:r>
          </w:p>
        </w:tc>
      </w:tr>
    </w:tbl>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5.1.2.4</w:t>
      </w:r>
      <w:r>
        <w:rPr>
          <w:rFonts w:ascii="Times New Roman" w:hAnsi="Times New Roman" w:cs="Times New Roman"/>
          <w:kern w:val="44"/>
          <w:sz w:val="24"/>
          <w:szCs w:val="24"/>
        </w:rPr>
        <w:t>气象数据</w:t>
      </w:r>
    </w:p>
    <w:p w:rsidR="00525419" w:rsidRDefault="00EE1CF7">
      <w:pPr>
        <w:pStyle w:val="B1"/>
        <w:ind w:firstLine="472"/>
        <w:rPr>
          <w:rFonts w:cs="Times New Roman"/>
          <w:bCs/>
          <w:spacing w:val="-2"/>
        </w:rPr>
      </w:pPr>
      <w:r>
        <w:rPr>
          <w:rFonts w:cs="Times New Roman"/>
          <w:bCs/>
          <w:spacing w:val="-2"/>
        </w:rPr>
        <w:t>本项目位于鄯善县工业园区，本次评价的观测气象数据信息见表</w:t>
      </w:r>
      <w:r>
        <w:rPr>
          <w:rFonts w:cs="Times New Roman"/>
          <w:bCs/>
          <w:spacing w:val="-2"/>
        </w:rPr>
        <w:t>5.1-11</w:t>
      </w:r>
      <w:r>
        <w:rPr>
          <w:rFonts w:cs="Times New Roman"/>
          <w:bCs/>
          <w:spacing w:val="-2"/>
        </w:rPr>
        <w:t>。</w:t>
      </w:r>
    </w:p>
    <w:p w:rsidR="00525419" w:rsidRDefault="00EE1CF7">
      <w:pPr>
        <w:ind w:firstLineChars="800" w:firstLine="1680"/>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5.1-11     </w:t>
      </w:r>
      <w:r>
        <w:rPr>
          <w:rFonts w:ascii="Times New Roman" w:eastAsia="黑体" w:hAnsi="Times New Roman"/>
          <w:szCs w:val="21"/>
        </w:rPr>
        <w:t>项目观测气象数据信息</w:t>
      </w:r>
    </w:p>
    <w:tbl>
      <w:tblPr>
        <w:tblW w:w="83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27"/>
        <w:gridCol w:w="925"/>
        <w:gridCol w:w="993"/>
        <w:gridCol w:w="710"/>
        <w:gridCol w:w="852"/>
        <w:gridCol w:w="838"/>
        <w:gridCol w:w="840"/>
        <w:gridCol w:w="840"/>
        <w:gridCol w:w="1402"/>
      </w:tblGrid>
      <w:tr w:rsidR="00525419">
        <w:trPr>
          <w:trHeight w:val="397"/>
        </w:trPr>
        <w:tc>
          <w:tcPr>
            <w:tcW w:w="927" w:type="dxa"/>
            <w:vMerge w:val="restart"/>
            <w:vAlign w:val="center"/>
          </w:tcPr>
          <w:p w:rsidR="00525419" w:rsidRDefault="00EE1CF7">
            <w:pPr>
              <w:pStyle w:val="B2"/>
              <w:rPr>
                <w:rFonts w:cs="Times New Roman"/>
              </w:rPr>
            </w:pPr>
            <w:r>
              <w:rPr>
                <w:rFonts w:cs="Times New Roman"/>
              </w:rPr>
              <w:t>气象站</w:t>
            </w:r>
          </w:p>
          <w:p w:rsidR="00525419" w:rsidRDefault="00EE1CF7">
            <w:pPr>
              <w:pStyle w:val="B2"/>
              <w:rPr>
                <w:rFonts w:cs="Times New Roman"/>
              </w:rPr>
            </w:pPr>
            <w:r>
              <w:rPr>
                <w:rFonts w:cs="Times New Roman"/>
              </w:rPr>
              <w:t>名称</w:t>
            </w:r>
          </w:p>
        </w:tc>
        <w:tc>
          <w:tcPr>
            <w:tcW w:w="925" w:type="dxa"/>
            <w:vMerge w:val="restart"/>
            <w:vAlign w:val="center"/>
          </w:tcPr>
          <w:p w:rsidR="00525419" w:rsidRDefault="00EE1CF7">
            <w:pPr>
              <w:pStyle w:val="B2"/>
              <w:rPr>
                <w:rFonts w:cs="Times New Roman"/>
              </w:rPr>
            </w:pPr>
            <w:r>
              <w:rPr>
                <w:rFonts w:cs="Times New Roman"/>
              </w:rPr>
              <w:t>气象站</w:t>
            </w:r>
          </w:p>
          <w:p w:rsidR="00525419" w:rsidRDefault="00EE1CF7">
            <w:pPr>
              <w:pStyle w:val="B2"/>
              <w:rPr>
                <w:rFonts w:cs="Times New Roman"/>
              </w:rPr>
            </w:pPr>
            <w:r>
              <w:rPr>
                <w:rFonts w:cs="Times New Roman"/>
              </w:rPr>
              <w:t>编号</w:t>
            </w:r>
          </w:p>
        </w:tc>
        <w:tc>
          <w:tcPr>
            <w:tcW w:w="993" w:type="dxa"/>
            <w:vMerge w:val="restart"/>
            <w:vAlign w:val="center"/>
          </w:tcPr>
          <w:p w:rsidR="00525419" w:rsidRDefault="00EE1CF7">
            <w:pPr>
              <w:pStyle w:val="B2"/>
              <w:rPr>
                <w:rFonts w:cs="Times New Roman"/>
              </w:rPr>
            </w:pPr>
            <w:r>
              <w:rPr>
                <w:rFonts w:cs="Times New Roman"/>
              </w:rPr>
              <w:t>气象站</w:t>
            </w:r>
          </w:p>
          <w:p w:rsidR="00525419" w:rsidRDefault="00EE1CF7">
            <w:pPr>
              <w:pStyle w:val="B2"/>
              <w:rPr>
                <w:rFonts w:cs="Times New Roman"/>
              </w:rPr>
            </w:pPr>
            <w:r>
              <w:rPr>
                <w:rFonts w:cs="Times New Roman"/>
              </w:rPr>
              <w:t>等级</w:t>
            </w:r>
          </w:p>
        </w:tc>
        <w:tc>
          <w:tcPr>
            <w:tcW w:w="1562" w:type="dxa"/>
            <w:gridSpan w:val="2"/>
            <w:vAlign w:val="center"/>
          </w:tcPr>
          <w:p w:rsidR="00525419" w:rsidRDefault="00EE1CF7">
            <w:pPr>
              <w:pStyle w:val="B2"/>
              <w:rPr>
                <w:rFonts w:cs="Times New Roman"/>
              </w:rPr>
            </w:pPr>
            <w:r>
              <w:rPr>
                <w:rFonts w:cs="Times New Roman"/>
              </w:rPr>
              <w:t>气象站坐标</w:t>
            </w:r>
            <w:r>
              <w:rPr>
                <w:rFonts w:cs="Times New Roman"/>
              </w:rPr>
              <w:t>/m</w:t>
            </w:r>
          </w:p>
        </w:tc>
        <w:tc>
          <w:tcPr>
            <w:tcW w:w="838" w:type="dxa"/>
            <w:vMerge w:val="restart"/>
            <w:vAlign w:val="center"/>
          </w:tcPr>
          <w:p w:rsidR="00525419" w:rsidRDefault="00EE1CF7">
            <w:pPr>
              <w:pStyle w:val="B2"/>
              <w:rPr>
                <w:rFonts w:cs="Times New Roman"/>
              </w:rPr>
            </w:pPr>
            <w:r>
              <w:rPr>
                <w:rFonts w:cs="Times New Roman"/>
              </w:rPr>
              <w:t>相对距离</w:t>
            </w:r>
            <w:r>
              <w:rPr>
                <w:rFonts w:cs="Times New Roman"/>
              </w:rPr>
              <w:t>/m</w:t>
            </w:r>
          </w:p>
        </w:tc>
        <w:tc>
          <w:tcPr>
            <w:tcW w:w="840" w:type="dxa"/>
            <w:vMerge w:val="restart"/>
            <w:vAlign w:val="center"/>
          </w:tcPr>
          <w:p w:rsidR="00525419" w:rsidRDefault="00EE1CF7">
            <w:pPr>
              <w:pStyle w:val="B2"/>
              <w:rPr>
                <w:rFonts w:cs="Times New Roman"/>
              </w:rPr>
            </w:pPr>
            <w:r>
              <w:rPr>
                <w:rFonts w:cs="Times New Roman"/>
              </w:rPr>
              <w:t>海拔高度</w:t>
            </w:r>
            <w:r>
              <w:rPr>
                <w:rFonts w:cs="Times New Roman"/>
              </w:rPr>
              <w:t>/m</w:t>
            </w:r>
          </w:p>
        </w:tc>
        <w:tc>
          <w:tcPr>
            <w:tcW w:w="840" w:type="dxa"/>
            <w:vMerge w:val="restart"/>
            <w:vAlign w:val="center"/>
          </w:tcPr>
          <w:p w:rsidR="00525419" w:rsidRDefault="00EE1CF7">
            <w:pPr>
              <w:pStyle w:val="B2"/>
              <w:rPr>
                <w:rFonts w:cs="Times New Roman"/>
              </w:rPr>
            </w:pPr>
            <w:r>
              <w:rPr>
                <w:rFonts w:cs="Times New Roman"/>
              </w:rPr>
              <w:t>数据</w:t>
            </w:r>
          </w:p>
          <w:p w:rsidR="00525419" w:rsidRDefault="00EE1CF7">
            <w:pPr>
              <w:pStyle w:val="B2"/>
              <w:rPr>
                <w:rFonts w:cs="Times New Roman"/>
              </w:rPr>
            </w:pPr>
            <w:r>
              <w:rPr>
                <w:rFonts w:cs="Times New Roman"/>
              </w:rPr>
              <w:t>年份</w:t>
            </w:r>
          </w:p>
        </w:tc>
        <w:tc>
          <w:tcPr>
            <w:tcW w:w="1402" w:type="dxa"/>
            <w:vMerge w:val="restart"/>
            <w:vAlign w:val="center"/>
          </w:tcPr>
          <w:p w:rsidR="00525419" w:rsidRDefault="00EE1CF7">
            <w:pPr>
              <w:pStyle w:val="B2"/>
              <w:rPr>
                <w:rFonts w:cs="Times New Roman"/>
              </w:rPr>
            </w:pPr>
            <w:r>
              <w:rPr>
                <w:rFonts w:cs="Times New Roman"/>
              </w:rPr>
              <w:t>气象要素</w:t>
            </w:r>
          </w:p>
        </w:tc>
      </w:tr>
      <w:tr w:rsidR="00525419">
        <w:trPr>
          <w:trHeight w:val="397"/>
        </w:trPr>
        <w:tc>
          <w:tcPr>
            <w:tcW w:w="927" w:type="dxa"/>
            <w:vMerge/>
            <w:vAlign w:val="center"/>
          </w:tcPr>
          <w:p w:rsidR="00525419" w:rsidRDefault="00525419">
            <w:pPr>
              <w:pStyle w:val="B2"/>
              <w:rPr>
                <w:rFonts w:cs="Times New Roman"/>
              </w:rPr>
            </w:pPr>
          </w:p>
        </w:tc>
        <w:tc>
          <w:tcPr>
            <w:tcW w:w="925" w:type="dxa"/>
            <w:vMerge/>
            <w:vAlign w:val="center"/>
          </w:tcPr>
          <w:p w:rsidR="00525419" w:rsidRDefault="00525419">
            <w:pPr>
              <w:pStyle w:val="B2"/>
              <w:rPr>
                <w:rFonts w:cs="Times New Roman"/>
              </w:rPr>
            </w:pPr>
          </w:p>
        </w:tc>
        <w:tc>
          <w:tcPr>
            <w:tcW w:w="993" w:type="dxa"/>
            <w:vMerge/>
            <w:vAlign w:val="center"/>
          </w:tcPr>
          <w:p w:rsidR="00525419" w:rsidRDefault="00525419">
            <w:pPr>
              <w:pStyle w:val="B2"/>
              <w:rPr>
                <w:rFonts w:cs="Times New Roman"/>
              </w:rPr>
            </w:pPr>
          </w:p>
        </w:tc>
        <w:tc>
          <w:tcPr>
            <w:tcW w:w="710" w:type="dxa"/>
            <w:vAlign w:val="center"/>
          </w:tcPr>
          <w:p w:rsidR="00525419" w:rsidRDefault="00EE1CF7">
            <w:pPr>
              <w:pStyle w:val="B2"/>
              <w:rPr>
                <w:rFonts w:cs="Times New Roman"/>
              </w:rPr>
            </w:pPr>
            <w:r>
              <w:rPr>
                <w:rFonts w:cs="Times New Roman"/>
              </w:rPr>
              <w:t>X</w:t>
            </w:r>
          </w:p>
        </w:tc>
        <w:tc>
          <w:tcPr>
            <w:tcW w:w="852" w:type="dxa"/>
            <w:vAlign w:val="center"/>
          </w:tcPr>
          <w:p w:rsidR="00525419" w:rsidRDefault="00EE1CF7">
            <w:pPr>
              <w:pStyle w:val="B2"/>
              <w:rPr>
                <w:rFonts w:cs="Times New Roman"/>
              </w:rPr>
            </w:pPr>
            <w:r>
              <w:rPr>
                <w:rFonts w:cs="Times New Roman"/>
              </w:rPr>
              <w:t>Y</w:t>
            </w:r>
          </w:p>
        </w:tc>
        <w:tc>
          <w:tcPr>
            <w:tcW w:w="838" w:type="dxa"/>
            <w:vMerge/>
            <w:vAlign w:val="center"/>
          </w:tcPr>
          <w:p w:rsidR="00525419" w:rsidRDefault="00525419">
            <w:pPr>
              <w:pStyle w:val="B2"/>
              <w:rPr>
                <w:rFonts w:cs="Times New Roman"/>
              </w:rPr>
            </w:pPr>
          </w:p>
        </w:tc>
        <w:tc>
          <w:tcPr>
            <w:tcW w:w="840" w:type="dxa"/>
            <w:vMerge/>
            <w:vAlign w:val="center"/>
          </w:tcPr>
          <w:p w:rsidR="00525419" w:rsidRDefault="00525419">
            <w:pPr>
              <w:pStyle w:val="B2"/>
              <w:rPr>
                <w:rFonts w:cs="Times New Roman"/>
              </w:rPr>
            </w:pPr>
          </w:p>
        </w:tc>
        <w:tc>
          <w:tcPr>
            <w:tcW w:w="840" w:type="dxa"/>
            <w:vMerge/>
            <w:vAlign w:val="center"/>
          </w:tcPr>
          <w:p w:rsidR="00525419" w:rsidRDefault="00525419">
            <w:pPr>
              <w:pStyle w:val="B2"/>
              <w:rPr>
                <w:rFonts w:cs="Times New Roman"/>
              </w:rPr>
            </w:pPr>
          </w:p>
        </w:tc>
        <w:tc>
          <w:tcPr>
            <w:tcW w:w="1402" w:type="dxa"/>
            <w:vMerge/>
            <w:vAlign w:val="center"/>
          </w:tcPr>
          <w:p w:rsidR="00525419" w:rsidRDefault="00525419">
            <w:pPr>
              <w:pStyle w:val="B2"/>
              <w:rPr>
                <w:rFonts w:cs="Times New Roman"/>
              </w:rPr>
            </w:pPr>
          </w:p>
        </w:tc>
      </w:tr>
      <w:tr w:rsidR="00525419">
        <w:trPr>
          <w:trHeight w:val="397"/>
        </w:trPr>
        <w:tc>
          <w:tcPr>
            <w:tcW w:w="927" w:type="dxa"/>
            <w:vAlign w:val="center"/>
          </w:tcPr>
          <w:p w:rsidR="00525419" w:rsidRDefault="00EE1CF7">
            <w:pPr>
              <w:pStyle w:val="B2"/>
              <w:rPr>
                <w:rFonts w:cs="Times New Roman"/>
              </w:rPr>
            </w:pPr>
            <w:r>
              <w:rPr>
                <w:rFonts w:cs="Times New Roman"/>
              </w:rPr>
              <w:t>鄯善县</w:t>
            </w:r>
          </w:p>
        </w:tc>
        <w:tc>
          <w:tcPr>
            <w:tcW w:w="925" w:type="dxa"/>
            <w:vAlign w:val="center"/>
          </w:tcPr>
          <w:p w:rsidR="00525419" w:rsidRDefault="00EE1CF7">
            <w:pPr>
              <w:pStyle w:val="B2"/>
              <w:rPr>
                <w:rFonts w:cs="Times New Roman"/>
              </w:rPr>
            </w:pPr>
            <w:r>
              <w:rPr>
                <w:rFonts w:cs="Times New Roman"/>
              </w:rPr>
              <w:t>A51581</w:t>
            </w:r>
          </w:p>
        </w:tc>
        <w:tc>
          <w:tcPr>
            <w:tcW w:w="993" w:type="dxa"/>
            <w:vAlign w:val="center"/>
          </w:tcPr>
          <w:p w:rsidR="00525419" w:rsidRDefault="00EE1CF7">
            <w:pPr>
              <w:pStyle w:val="B2"/>
              <w:rPr>
                <w:rFonts w:cs="Times New Roman"/>
              </w:rPr>
            </w:pPr>
            <w:r>
              <w:rPr>
                <w:rFonts w:cs="Times New Roman"/>
              </w:rPr>
              <w:t>基本站</w:t>
            </w:r>
          </w:p>
        </w:tc>
        <w:tc>
          <w:tcPr>
            <w:tcW w:w="710" w:type="dxa"/>
            <w:vAlign w:val="center"/>
          </w:tcPr>
          <w:p w:rsidR="00525419" w:rsidRDefault="00EE1CF7">
            <w:pPr>
              <w:pStyle w:val="B2"/>
              <w:rPr>
                <w:rFonts w:cs="Times New Roman"/>
              </w:rPr>
            </w:pPr>
            <w:r>
              <w:rPr>
                <w:rFonts w:cs="Times New Roman"/>
              </w:rPr>
              <w:t>-4119</w:t>
            </w:r>
          </w:p>
        </w:tc>
        <w:tc>
          <w:tcPr>
            <w:tcW w:w="852" w:type="dxa"/>
            <w:vAlign w:val="center"/>
          </w:tcPr>
          <w:p w:rsidR="00525419" w:rsidRDefault="00EE1CF7">
            <w:pPr>
              <w:pStyle w:val="B2"/>
              <w:rPr>
                <w:rFonts w:cs="Times New Roman"/>
              </w:rPr>
            </w:pPr>
            <w:r>
              <w:rPr>
                <w:rFonts w:cs="Times New Roman"/>
              </w:rPr>
              <w:t>37994</w:t>
            </w:r>
          </w:p>
        </w:tc>
        <w:tc>
          <w:tcPr>
            <w:tcW w:w="838" w:type="dxa"/>
            <w:vAlign w:val="center"/>
          </w:tcPr>
          <w:p w:rsidR="00525419" w:rsidRDefault="00EE1CF7">
            <w:pPr>
              <w:pStyle w:val="B2"/>
              <w:rPr>
                <w:rFonts w:cs="Times New Roman"/>
              </w:rPr>
            </w:pPr>
            <w:r>
              <w:rPr>
                <w:rFonts w:cs="Times New Roman"/>
              </w:rPr>
              <w:t>38250</w:t>
            </w:r>
          </w:p>
        </w:tc>
        <w:tc>
          <w:tcPr>
            <w:tcW w:w="840" w:type="dxa"/>
            <w:vAlign w:val="center"/>
          </w:tcPr>
          <w:p w:rsidR="00525419" w:rsidRDefault="00EE1CF7">
            <w:pPr>
              <w:pStyle w:val="B2"/>
              <w:rPr>
                <w:rFonts w:cs="Times New Roman"/>
              </w:rPr>
            </w:pPr>
            <w:r>
              <w:rPr>
                <w:rFonts w:cs="Times New Roman"/>
              </w:rPr>
              <w:t>750</w:t>
            </w:r>
          </w:p>
        </w:tc>
        <w:tc>
          <w:tcPr>
            <w:tcW w:w="840" w:type="dxa"/>
            <w:vAlign w:val="center"/>
          </w:tcPr>
          <w:p w:rsidR="00525419" w:rsidRDefault="00EE1CF7">
            <w:pPr>
              <w:pStyle w:val="B2"/>
              <w:rPr>
                <w:rFonts w:cs="Times New Roman"/>
              </w:rPr>
            </w:pPr>
            <w:r>
              <w:rPr>
                <w:rFonts w:cs="Times New Roman"/>
              </w:rPr>
              <w:t>2018</w:t>
            </w:r>
          </w:p>
        </w:tc>
        <w:tc>
          <w:tcPr>
            <w:tcW w:w="1402" w:type="dxa"/>
            <w:vAlign w:val="center"/>
          </w:tcPr>
          <w:p w:rsidR="00525419" w:rsidRDefault="00EE1CF7">
            <w:pPr>
              <w:pStyle w:val="B2"/>
              <w:rPr>
                <w:rFonts w:cs="Times New Roman"/>
              </w:rPr>
            </w:pPr>
            <w:r>
              <w:rPr>
                <w:rFonts w:cs="Times New Roman"/>
              </w:rPr>
              <w:t>风向、风速、总云、低云、干球温度</w:t>
            </w:r>
          </w:p>
        </w:tc>
      </w:tr>
    </w:tbl>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lastRenderedPageBreak/>
        <w:t>5.1.2.5</w:t>
      </w:r>
      <w:r>
        <w:rPr>
          <w:rFonts w:ascii="Times New Roman" w:hAnsi="Times New Roman" w:cs="Times New Roman"/>
          <w:kern w:val="44"/>
          <w:sz w:val="24"/>
          <w:szCs w:val="24"/>
        </w:rPr>
        <w:t>评价标准</w:t>
      </w:r>
    </w:p>
    <w:p w:rsidR="00525419" w:rsidRDefault="00EE1CF7">
      <w:pPr>
        <w:pStyle w:val="B1"/>
        <w:ind w:firstLine="480"/>
        <w:rPr>
          <w:rFonts w:cs="Times New Roman"/>
        </w:rPr>
      </w:pPr>
      <w:r>
        <w:rPr>
          <w:rFonts w:cs="Times New Roman"/>
        </w:rPr>
        <w:t>污染物</w:t>
      </w:r>
      <w:r>
        <w:rPr>
          <w:rFonts w:cs="Times New Roman"/>
        </w:rPr>
        <w:t>PM</w:t>
      </w:r>
      <w:r>
        <w:rPr>
          <w:rFonts w:cs="Times New Roman"/>
          <w:vertAlign w:val="subscript"/>
        </w:rPr>
        <w:t>10</w:t>
      </w:r>
      <w:r>
        <w:rPr>
          <w:rFonts w:cs="Times New Roman"/>
        </w:rPr>
        <w:t>、</w:t>
      </w:r>
      <w:r>
        <w:rPr>
          <w:rFonts w:cs="Times New Roman"/>
        </w:rPr>
        <w:t>SO</w:t>
      </w:r>
      <w:r>
        <w:rPr>
          <w:rFonts w:cs="Times New Roman"/>
          <w:vertAlign w:val="subscript"/>
        </w:rPr>
        <w:t>2</w:t>
      </w:r>
      <w:r>
        <w:rPr>
          <w:rFonts w:cs="Times New Roman"/>
        </w:rPr>
        <w:t>、</w:t>
      </w:r>
      <w:r>
        <w:rPr>
          <w:rFonts w:cs="Times New Roman"/>
        </w:rPr>
        <w:t>NO</w:t>
      </w:r>
      <w:r>
        <w:rPr>
          <w:rFonts w:cs="Times New Roman"/>
          <w:vertAlign w:val="subscript"/>
        </w:rPr>
        <w:t>2</w:t>
      </w:r>
      <w:r>
        <w:rPr>
          <w:rFonts w:cs="Times New Roman"/>
        </w:rPr>
        <w:t>的评价标准选取《环境空气质量标准》（</w:t>
      </w:r>
      <w:r>
        <w:rPr>
          <w:rFonts w:cs="Times New Roman"/>
        </w:rPr>
        <w:t>GB3095-2012</w:t>
      </w:r>
      <w:r>
        <w:rPr>
          <w:rFonts w:cs="Times New Roman"/>
        </w:rPr>
        <w:t>）中二级标准浓度限值。特征污染物非甲烷总烃评价标准参照《大气污染物综合排放标准详解》中一次限值要求。具体见表</w:t>
      </w:r>
      <w:r>
        <w:rPr>
          <w:rFonts w:cs="Times New Roman"/>
        </w:rPr>
        <w:t>5.1-12</w:t>
      </w:r>
      <w:r>
        <w:rPr>
          <w:rFonts w:cs="Times New Roman"/>
        </w:rPr>
        <w:t>。</w:t>
      </w:r>
    </w:p>
    <w:p w:rsidR="00525419" w:rsidRDefault="00525419">
      <w:pPr>
        <w:ind w:firstLineChars="800" w:firstLine="1680"/>
        <w:rPr>
          <w:rFonts w:ascii="Times New Roman" w:eastAsia="黑体" w:hAnsi="Times New Roman"/>
          <w:szCs w:val="21"/>
        </w:rPr>
      </w:pPr>
    </w:p>
    <w:p w:rsidR="00525419" w:rsidRDefault="00EE1CF7">
      <w:pPr>
        <w:ind w:firstLineChars="800" w:firstLine="1680"/>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5.1-12  </w:t>
      </w:r>
      <w:r>
        <w:rPr>
          <w:rFonts w:ascii="Times New Roman" w:eastAsia="黑体" w:hAnsi="Times New Roman"/>
          <w:szCs w:val="21"/>
        </w:rPr>
        <w:t>大气预测评价标准一览表</w:t>
      </w:r>
      <w:r>
        <w:rPr>
          <w:rFonts w:ascii="Times New Roman" w:eastAsia="黑体" w:hAnsi="Times New Roman"/>
          <w:szCs w:val="21"/>
        </w:rPr>
        <w:t xml:space="preserve">    </w:t>
      </w:r>
      <w:r>
        <w:rPr>
          <w:rFonts w:ascii="Times New Roman" w:eastAsia="黑体" w:hAnsi="Times New Roman"/>
          <w:szCs w:val="21"/>
        </w:rPr>
        <w:t>单位：</w:t>
      </w:r>
      <w:r>
        <w:rPr>
          <w:rFonts w:ascii="Times New Roman" w:eastAsia="黑体" w:hAnsi="Times New Roman"/>
          <w:szCs w:val="21"/>
        </w:rPr>
        <w:t>mg/m</w:t>
      </w:r>
      <w:r>
        <w:rPr>
          <w:rFonts w:ascii="Times New Roman" w:eastAsia="黑体" w:hAnsi="Times New Roman"/>
          <w:szCs w:val="21"/>
          <w:vertAlign w:val="superscript"/>
        </w:rPr>
        <w:t>3</w:t>
      </w:r>
    </w:p>
    <w:tbl>
      <w:tblPr>
        <w:tblW w:w="832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86"/>
        <w:gridCol w:w="1388"/>
        <w:gridCol w:w="1388"/>
        <w:gridCol w:w="1388"/>
        <w:gridCol w:w="1388"/>
        <w:gridCol w:w="1389"/>
      </w:tblGrid>
      <w:tr w:rsidR="00525419">
        <w:trPr>
          <w:trHeight w:val="397"/>
          <w:jc w:val="center"/>
        </w:trPr>
        <w:tc>
          <w:tcPr>
            <w:tcW w:w="1386" w:type="dxa"/>
            <w:vAlign w:val="center"/>
          </w:tcPr>
          <w:p w:rsidR="00525419" w:rsidRDefault="00EE1CF7">
            <w:pPr>
              <w:pStyle w:val="B2"/>
              <w:rPr>
                <w:rFonts w:cs="Times New Roman"/>
              </w:rPr>
            </w:pPr>
            <w:r>
              <w:rPr>
                <w:rFonts w:cs="Times New Roman"/>
              </w:rPr>
              <w:t>序号</w:t>
            </w:r>
          </w:p>
        </w:tc>
        <w:tc>
          <w:tcPr>
            <w:tcW w:w="1388" w:type="dxa"/>
            <w:vAlign w:val="center"/>
          </w:tcPr>
          <w:p w:rsidR="00525419" w:rsidRDefault="00EE1CF7">
            <w:pPr>
              <w:pStyle w:val="B2"/>
              <w:rPr>
                <w:rFonts w:cs="Times New Roman"/>
              </w:rPr>
            </w:pPr>
            <w:r>
              <w:rPr>
                <w:rFonts w:cs="Times New Roman"/>
              </w:rPr>
              <w:t>污染物</w:t>
            </w:r>
          </w:p>
        </w:tc>
        <w:tc>
          <w:tcPr>
            <w:tcW w:w="1388" w:type="dxa"/>
            <w:vAlign w:val="center"/>
          </w:tcPr>
          <w:p w:rsidR="00525419" w:rsidRDefault="00EE1CF7">
            <w:pPr>
              <w:pStyle w:val="B2"/>
              <w:rPr>
                <w:rFonts w:cs="Times New Roman"/>
              </w:rPr>
            </w:pPr>
            <w:r>
              <w:rPr>
                <w:rFonts w:cs="Times New Roman"/>
              </w:rPr>
              <w:t>PM</w:t>
            </w:r>
            <w:r>
              <w:rPr>
                <w:rFonts w:cs="Times New Roman"/>
                <w:vertAlign w:val="subscript"/>
              </w:rPr>
              <w:t>10</w:t>
            </w:r>
          </w:p>
        </w:tc>
        <w:tc>
          <w:tcPr>
            <w:tcW w:w="1388" w:type="dxa"/>
            <w:vAlign w:val="center"/>
          </w:tcPr>
          <w:p w:rsidR="00525419" w:rsidRDefault="00EE1CF7">
            <w:pPr>
              <w:pStyle w:val="B2"/>
              <w:rPr>
                <w:rFonts w:cs="Times New Roman"/>
              </w:rPr>
            </w:pPr>
            <w:r>
              <w:rPr>
                <w:rFonts w:cs="Times New Roman"/>
              </w:rPr>
              <w:t>NO</w:t>
            </w:r>
            <w:r>
              <w:rPr>
                <w:rFonts w:cs="Times New Roman"/>
                <w:vertAlign w:val="subscript"/>
              </w:rPr>
              <w:t>2</w:t>
            </w:r>
          </w:p>
        </w:tc>
        <w:tc>
          <w:tcPr>
            <w:tcW w:w="1388" w:type="dxa"/>
            <w:vAlign w:val="center"/>
          </w:tcPr>
          <w:p w:rsidR="00525419" w:rsidRDefault="00EE1CF7">
            <w:pPr>
              <w:pStyle w:val="B2"/>
              <w:rPr>
                <w:rFonts w:cs="Times New Roman"/>
              </w:rPr>
            </w:pPr>
            <w:r>
              <w:rPr>
                <w:rFonts w:cs="Times New Roman"/>
              </w:rPr>
              <w:t>SO</w:t>
            </w:r>
            <w:r>
              <w:rPr>
                <w:rFonts w:cs="Times New Roman"/>
                <w:vertAlign w:val="subscript"/>
              </w:rPr>
              <w:t>2</w:t>
            </w:r>
          </w:p>
        </w:tc>
        <w:tc>
          <w:tcPr>
            <w:tcW w:w="1389" w:type="dxa"/>
            <w:vAlign w:val="center"/>
          </w:tcPr>
          <w:p w:rsidR="00525419" w:rsidRDefault="00EE1CF7">
            <w:pPr>
              <w:pStyle w:val="B2"/>
              <w:rPr>
                <w:rFonts w:cs="Times New Roman"/>
              </w:rPr>
            </w:pPr>
            <w:r>
              <w:rPr>
                <w:rFonts w:cs="Times New Roman"/>
              </w:rPr>
              <w:t>NMHC</w:t>
            </w:r>
          </w:p>
        </w:tc>
      </w:tr>
      <w:tr w:rsidR="00525419">
        <w:trPr>
          <w:trHeight w:val="397"/>
          <w:jc w:val="center"/>
        </w:trPr>
        <w:tc>
          <w:tcPr>
            <w:tcW w:w="1386" w:type="dxa"/>
            <w:vAlign w:val="center"/>
          </w:tcPr>
          <w:p w:rsidR="00525419" w:rsidRDefault="00EE1CF7">
            <w:pPr>
              <w:pStyle w:val="B2"/>
              <w:rPr>
                <w:rFonts w:cs="Times New Roman"/>
              </w:rPr>
            </w:pPr>
            <w:r>
              <w:rPr>
                <w:rFonts w:cs="Times New Roman"/>
              </w:rPr>
              <w:t>1</w:t>
            </w:r>
          </w:p>
        </w:tc>
        <w:tc>
          <w:tcPr>
            <w:tcW w:w="1388" w:type="dxa"/>
            <w:vAlign w:val="center"/>
          </w:tcPr>
          <w:p w:rsidR="00525419" w:rsidRDefault="00EE1CF7">
            <w:pPr>
              <w:pStyle w:val="B2"/>
              <w:rPr>
                <w:rFonts w:cs="Times New Roman"/>
              </w:rPr>
            </w:pPr>
            <w:r>
              <w:rPr>
                <w:rFonts w:cs="Times New Roman"/>
              </w:rPr>
              <w:t>小时平均</w:t>
            </w:r>
          </w:p>
        </w:tc>
        <w:tc>
          <w:tcPr>
            <w:tcW w:w="1388" w:type="dxa"/>
            <w:vAlign w:val="center"/>
          </w:tcPr>
          <w:p w:rsidR="00525419" w:rsidRDefault="00EE1CF7">
            <w:pPr>
              <w:pStyle w:val="B2"/>
              <w:rPr>
                <w:rFonts w:cs="Times New Roman"/>
              </w:rPr>
            </w:pPr>
            <w:r>
              <w:rPr>
                <w:rFonts w:cs="Times New Roman"/>
              </w:rPr>
              <w:t>-</w:t>
            </w:r>
          </w:p>
        </w:tc>
        <w:tc>
          <w:tcPr>
            <w:tcW w:w="1388" w:type="dxa"/>
            <w:vAlign w:val="center"/>
          </w:tcPr>
          <w:p w:rsidR="00525419" w:rsidRDefault="00EE1CF7">
            <w:pPr>
              <w:pStyle w:val="B2"/>
              <w:rPr>
                <w:rFonts w:cs="Times New Roman"/>
              </w:rPr>
            </w:pPr>
            <w:r>
              <w:rPr>
                <w:rFonts w:cs="Times New Roman"/>
              </w:rPr>
              <w:t>0.20</w:t>
            </w:r>
          </w:p>
        </w:tc>
        <w:tc>
          <w:tcPr>
            <w:tcW w:w="1388" w:type="dxa"/>
            <w:vAlign w:val="center"/>
          </w:tcPr>
          <w:p w:rsidR="00525419" w:rsidRDefault="00EE1CF7">
            <w:pPr>
              <w:pStyle w:val="B2"/>
              <w:rPr>
                <w:rFonts w:cs="Times New Roman"/>
              </w:rPr>
            </w:pPr>
            <w:r>
              <w:rPr>
                <w:rFonts w:cs="Times New Roman"/>
              </w:rPr>
              <w:t>0.5</w:t>
            </w:r>
          </w:p>
        </w:tc>
        <w:tc>
          <w:tcPr>
            <w:tcW w:w="1389" w:type="dxa"/>
            <w:vAlign w:val="center"/>
          </w:tcPr>
          <w:p w:rsidR="00525419" w:rsidRDefault="00EE1CF7">
            <w:pPr>
              <w:pStyle w:val="B2"/>
              <w:rPr>
                <w:rFonts w:cs="Times New Roman"/>
              </w:rPr>
            </w:pPr>
            <w:r>
              <w:rPr>
                <w:rFonts w:cs="Times New Roman"/>
              </w:rPr>
              <w:t>2</w:t>
            </w:r>
          </w:p>
        </w:tc>
      </w:tr>
      <w:tr w:rsidR="00525419">
        <w:trPr>
          <w:trHeight w:val="397"/>
          <w:jc w:val="center"/>
        </w:trPr>
        <w:tc>
          <w:tcPr>
            <w:tcW w:w="1386" w:type="dxa"/>
            <w:vAlign w:val="center"/>
          </w:tcPr>
          <w:p w:rsidR="00525419" w:rsidRDefault="00EE1CF7">
            <w:pPr>
              <w:pStyle w:val="B2"/>
              <w:rPr>
                <w:rFonts w:cs="Times New Roman"/>
              </w:rPr>
            </w:pPr>
            <w:r>
              <w:rPr>
                <w:rFonts w:cs="Times New Roman"/>
              </w:rPr>
              <w:t>2</w:t>
            </w:r>
          </w:p>
        </w:tc>
        <w:tc>
          <w:tcPr>
            <w:tcW w:w="1388" w:type="dxa"/>
            <w:vAlign w:val="center"/>
          </w:tcPr>
          <w:p w:rsidR="00525419" w:rsidRDefault="00EE1CF7">
            <w:pPr>
              <w:pStyle w:val="B2"/>
              <w:rPr>
                <w:rFonts w:cs="Times New Roman"/>
              </w:rPr>
            </w:pPr>
            <w:r>
              <w:rPr>
                <w:rFonts w:cs="Times New Roman"/>
              </w:rPr>
              <w:t>日平均</w:t>
            </w:r>
          </w:p>
        </w:tc>
        <w:tc>
          <w:tcPr>
            <w:tcW w:w="1388" w:type="dxa"/>
            <w:vAlign w:val="center"/>
          </w:tcPr>
          <w:p w:rsidR="00525419" w:rsidRDefault="00EE1CF7">
            <w:pPr>
              <w:pStyle w:val="B2"/>
              <w:rPr>
                <w:rFonts w:cs="Times New Roman"/>
              </w:rPr>
            </w:pPr>
            <w:r>
              <w:rPr>
                <w:rFonts w:cs="Times New Roman"/>
              </w:rPr>
              <w:t>0.15</w:t>
            </w:r>
          </w:p>
        </w:tc>
        <w:tc>
          <w:tcPr>
            <w:tcW w:w="1388" w:type="dxa"/>
            <w:vAlign w:val="center"/>
          </w:tcPr>
          <w:p w:rsidR="00525419" w:rsidRDefault="00EE1CF7">
            <w:pPr>
              <w:pStyle w:val="B2"/>
              <w:rPr>
                <w:rFonts w:cs="Times New Roman"/>
              </w:rPr>
            </w:pPr>
            <w:r>
              <w:rPr>
                <w:rFonts w:cs="Times New Roman"/>
              </w:rPr>
              <w:t>0.08</w:t>
            </w:r>
          </w:p>
        </w:tc>
        <w:tc>
          <w:tcPr>
            <w:tcW w:w="1388" w:type="dxa"/>
            <w:vAlign w:val="center"/>
          </w:tcPr>
          <w:p w:rsidR="00525419" w:rsidRDefault="00EE1CF7">
            <w:pPr>
              <w:pStyle w:val="B2"/>
              <w:rPr>
                <w:rFonts w:cs="Times New Roman"/>
              </w:rPr>
            </w:pPr>
            <w:r>
              <w:rPr>
                <w:rFonts w:cs="Times New Roman"/>
              </w:rPr>
              <w:t>0.15</w:t>
            </w:r>
          </w:p>
        </w:tc>
        <w:tc>
          <w:tcPr>
            <w:tcW w:w="1389" w:type="dxa"/>
            <w:vAlign w:val="center"/>
          </w:tcPr>
          <w:p w:rsidR="00525419" w:rsidRDefault="00EE1CF7">
            <w:pPr>
              <w:pStyle w:val="B2"/>
              <w:rPr>
                <w:rFonts w:cs="Times New Roman"/>
              </w:rPr>
            </w:pPr>
            <w:r>
              <w:rPr>
                <w:rFonts w:cs="Times New Roman"/>
              </w:rPr>
              <w:t>-</w:t>
            </w:r>
          </w:p>
        </w:tc>
      </w:tr>
      <w:tr w:rsidR="00525419">
        <w:trPr>
          <w:trHeight w:val="397"/>
          <w:jc w:val="center"/>
        </w:trPr>
        <w:tc>
          <w:tcPr>
            <w:tcW w:w="1386" w:type="dxa"/>
            <w:vAlign w:val="center"/>
          </w:tcPr>
          <w:p w:rsidR="00525419" w:rsidRDefault="00EE1CF7">
            <w:pPr>
              <w:pStyle w:val="B2"/>
              <w:rPr>
                <w:rFonts w:cs="Times New Roman"/>
              </w:rPr>
            </w:pPr>
            <w:r>
              <w:rPr>
                <w:rFonts w:cs="Times New Roman"/>
              </w:rPr>
              <w:t>3</w:t>
            </w:r>
          </w:p>
        </w:tc>
        <w:tc>
          <w:tcPr>
            <w:tcW w:w="1388" w:type="dxa"/>
            <w:vAlign w:val="center"/>
          </w:tcPr>
          <w:p w:rsidR="00525419" w:rsidRDefault="00EE1CF7">
            <w:pPr>
              <w:pStyle w:val="B2"/>
              <w:rPr>
                <w:rFonts w:cs="Times New Roman"/>
              </w:rPr>
            </w:pPr>
            <w:r>
              <w:rPr>
                <w:rFonts w:cs="Times New Roman"/>
              </w:rPr>
              <w:t>年平均</w:t>
            </w:r>
          </w:p>
        </w:tc>
        <w:tc>
          <w:tcPr>
            <w:tcW w:w="1388" w:type="dxa"/>
            <w:vAlign w:val="center"/>
          </w:tcPr>
          <w:p w:rsidR="00525419" w:rsidRDefault="00EE1CF7">
            <w:pPr>
              <w:pStyle w:val="B2"/>
              <w:rPr>
                <w:rFonts w:cs="Times New Roman"/>
              </w:rPr>
            </w:pPr>
            <w:r>
              <w:rPr>
                <w:rFonts w:cs="Times New Roman"/>
              </w:rPr>
              <w:t>0.07</w:t>
            </w:r>
          </w:p>
        </w:tc>
        <w:tc>
          <w:tcPr>
            <w:tcW w:w="1388" w:type="dxa"/>
            <w:vAlign w:val="center"/>
          </w:tcPr>
          <w:p w:rsidR="00525419" w:rsidRDefault="00EE1CF7">
            <w:pPr>
              <w:pStyle w:val="B2"/>
              <w:rPr>
                <w:rFonts w:cs="Times New Roman"/>
              </w:rPr>
            </w:pPr>
            <w:r>
              <w:rPr>
                <w:rFonts w:cs="Times New Roman"/>
              </w:rPr>
              <w:t>0.04</w:t>
            </w:r>
          </w:p>
        </w:tc>
        <w:tc>
          <w:tcPr>
            <w:tcW w:w="1388" w:type="dxa"/>
            <w:vAlign w:val="center"/>
          </w:tcPr>
          <w:p w:rsidR="00525419" w:rsidRDefault="00EE1CF7">
            <w:pPr>
              <w:pStyle w:val="B2"/>
              <w:rPr>
                <w:rFonts w:cs="Times New Roman"/>
              </w:rPr>
            </w:pPr>
            <w:r>
              <w:rPr>
                <w:rFonts w:cs="Times New Roman"/>
              </w:rPr>
              <w:t>0.06</w:t>
            </w:r>
          </w:p>
        </w:tc>
        <w:tc>
          <w:tcPr>
            <w:tcW w:w="1389" w:type="dxa"/>
            <w:vAlign w:val="center"/>
          </w:tcPr>
          <w:p w:rsidR="00525419" w:rsidRDefault="00EE1CF7">
            <w:pPr>
              <w:pStyle w:val="B2"/>
              <w:rPr>
                <w:rFonts w:cs="Times New Roman"/>
              </w:rPr>
            </w:pPr>
            <w:r>
              <w:rPr>
                <w:rFonts w:cs="Times New Roman"/>
              </w:rPr>
              <w:t>-</w:t>
            </w:r>
          </w:p>
        </w:tc>
      </w:tr>
    </w:tbl>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5.1.2.6</w:t>
      </w:r>
      <w:r>
        <w:rPr>
          <w:rFonts w:ascii="Times New Roman" w:hAnsi="Times New Roman" w:cs="Times New Roman"/>
          <w:kern w:val="44"/>
          <w:sz w:val="24"/>
          <w:szCs w:val="24"/>
        </w:rPr>
        <w:t>预测内容</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本次评价以</w:t>
      </w:r>
      <w:r>
        <w:rPr>
          <w:rFonts w:ascii="Times New Roman" w:hAnsi="Times New Roman"/>
          <w:kern w:val="0"/>
          <w:sz w:val="24"/>
          <w:szCs w:val="24"/>
        </w:rPr>
        <w:t>2018</w:t>
      </w:r>
      <w:r>
        <w:rPr>
          <w:rFonts w:ascii="Times New Roman" w:hAnsi="Times New Roman"/>
          <w:kern w:val="0"/>
          <w:sz w:val="24"/>
          <w:szCs w:val="24"/>
        </w:rPr>
        <w:t>年为评价基准年，主要预测内容如下：</w:t>
      </w:r>
      <w:r>
        <w:rPr>
          <w:rFonts w:ascii="Times New Roman" w:hAnsi="Times New Roman"/>
          <w:kern w:val="0"/>
          <w:sz w:val="24"/>
          <w:szCs w:val="24"/>
        </w:rPr>
        <w:t xml:space="preserve"> </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）全年逐时条件下，评价区域环境境空气保护目标和网格点主要污染物的短期浓度和长期浓度贡献值，评价其最大浓度占标率。</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2</w:t>
      </w:r>
      <w:r>
        <w:rPr>
          <w:rFonts w:ascii="Times New Roman" w:hAnsi="Times New Roman"/>
          <w:kern w:val="0"/>
          <w:sz w:val="24"/>
          <w:szCs w:val="24"/>
        </w:rPr>
        <w:t>）项目正常排放条件下，预测评价叠加环境空气质量现状浓度后，环境空气保护目标和网格点主要污染物的保证率日平均质量浓度和年平均质量浓度的达标情况；</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3</w:t>
      </w:r>
      <w:r>
        <w:rPr>
          <w:rFonts w:ascii="Times New Roman" w:hAnsi="Times New Roman"/>
          <w:kern w:val="0"/>
          <w:sz w:val="24"/>
          <w:szCs w:val="24"/>
        </w:rPr>
        <w:t>）评价仅有短期浓度标准的污染物浓度叠加最大值后的达标情况；</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4</w:t>
      </w:r>
      <w:r>
        <w:rPr>
          <w:rFonts w:ascii="Times New Roman" w:hAnsi="Times New Roman"/>
          <w:kern w:val="0"/>
          <w:sz w:val="24"/>
          <w:szCs w:val="24"/>
        </w:rPr>
        <w:t>）评价区域环境质量的整体变化情况。</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5</w:t>
      </w:r>
      <w:r>
        <w:rPr>
          <w:rFonts w:ascii="Times New Roman" w:hAnsi="Times New Roman"/>
          <w:kern w:val="0"/>
          <w:sz w:val="24"/>
          <w:szCs w:val="24"/>
        </w:rPr>
        <w:t>）非正常工况下，预测环境空气保护目标和网格点主要污染物的</w:t>
      </w:r>
      <w:r>
        <w:rPr>
          <w:rFonts w:ascii="Times New Roman" w:hAnsi="Times New Roman"/>
          <w:kern w:val="0"/>
          <w:sz w:val="24"/>
          <w:szCs w:val="24"/>
        </w:rPr>
        <w:t>1h</w:t>
      </w:r>
      <w:r>
        <w:rPr>
          <w:rFonts w:ascii="Times New Roman" w:hAnsi="Times New Roman"/>
          <w:kern w:val="0"/>
          <w:sz w:val="24"/>
          <w:szCs w:val="24"/>
        </w:rPr>
        <w:t>最大浓度贡献值，评价其最大浓度占标率。</w:t>
      </w:r>
    </w:p>
    <w:p w:rsidR="00525419" w:rsidRDefault="00EE1CF7">
      <w:pPr>
        <w:pStyle w:val="3a"/>
        <w:spacing w:beforeLines="50" w:before="159" w:after="156" w:line="360" w:lineRule="auto"/>
        <w:jc w:val="left"/>
        <w:rPr>
          <w:rFonts w:ascii="Times New Roman" w:eastAsia="华文楷体" w:hAnsi="Times New Roman"/>
        </w:rPr>
      </w:pPr>
      <w:r>
        <w:rPr>
          <w:rFonts w:ascii="Times New Roman" w:eastAsia="华文楷体" w:hAnsi="Times New Roman"/>
        </w:rPr>
        <w:t>5.1.3</w:t>
      </w:r>
      <w:r>
        <w:rPr>
          <w:rFonts w:ascii="Times New Roman" w:eastAsia="华文楷体" w:hAnsi="Times New Roman"/>
        </w:rPr>
        <w:t>大气预测与评价</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5.1.3.1</w:t>
      </w:r>
      <w:r>
        <w:rPr>
          <w:rFonts w:ascii="Times New Roman" w:hAnsi="Times New Roman" w:cs="Times New Roman"/>
          <w:kern w:val="44"/>
          <w:sz w:val="24"/>
          <w:szCs w:val="24"/>
        </w:rPr>
        <w:t>最大贡献落地浓度汇总</w:t>
      </w:r>
    </w:p>
    <w:p w:rsidR="00525419" w:rsidRDefault="00EE1CF7">
      <w:pPr>
        <w:pStyle w:val="B1"/>
        <w:ind w:firstLine="480"/>
        <w:rPr>
          <w:rFonts w:cs="Times New Roman"/>
        </w:rPr>
        <w:sectPr w:rsidR="00525419">
          <w:pgSz w:w="11906" w:h="16838"/>
          <w:pgMar w:top="1440" w:right="1803" w:bottom="1440" w:left="1803" w:header="851" w:footer="992" w:gutter="0"/>
          <w:cols w:space="0"/>
          <w:docGrid w:type="lines" w:linePitch="319"/>
        </w:sectPr>
      </w:pPr>
      <w:r>
        <w:rPr>
          <w:rFonts w:cs="Times New Roman"/>
        </w:rPr>
        <w:t>根据鄯善县气象站</w:t>
      </w:r>
      <w:r>
        <w:rPr>
          <w:rFonts w:cs="Times New Roman"/>
        </w:rPr>
        <w:t>2018</w:t>
      </w:r>
      <w:r>
        <w:rPr>
          <w:rFonts w:cs="Times New Roman"/>
        </w:rPr>
        <w:t>年每天</w:t>
      </w:r>
      <w:r>
        <w:rPr>
          <w:rFonts w:cs="Times New Roman"/>
        </w:rPr>
        <w:t>24</w:t>
      </w:r>
      <w:r>
        <w:rPr>
          <w:rFonts w:cs="Times New Roman"/>
        </w:rPr>
        <w:t>小时的气象数据进行逐时计算，对评价区域范围内进行落地浓度预测。各污染物最大落地浓度贡献值、发生的时间及占标率统计见表</w:t>
      </w:r>
      <w:r>
        <w:rPr>
          <w:rFonts w:cs="Times New Roman"/>
        </w:rPr>
        <w:t>5.1-13</w:t>
      </w:r>
      <w:r>
        <w:rPr>
          <w:rFonts w:cs="Times New Roman"/>
        </w:rPr>
        <w:t>，相关图件见图</w:t>
      </w:r>
      <w:r>
        <w:rPr>
          <w:rFonts w:cs="Times New Roman"/>
        </w:rPr>
        <w:t>5.1-6~14</w:t>
      </w:r>
      <w:r>
        <w:rPr>
          <w:rFonts w:cs="Times New Roman"/>
        </w:rPr>
        <w:t>。</w:t>
      </w:r>
    </w:p>
    <w:p w:rsidR="00525419" w:rsidRDefault="00525419">
      <w:pPr>
        <w:adjustRightInd w:val="0"/>
        <w:snapToGrid w:val="0"/>
        <w:spacing w:line="240" w:lineRule="atLeast"/>
        <w:jc w:val="center"/>
        <w:rPr>
          <w:rFonts w:ascii="Times New Roman" w:eastAsia="黑体" w:hAnsi="Times New Roman"/>
          <w:szCs w:val="21"/>
        </w:rPr>
      </w:pPr>
    </w:p>
    <w:p w:rsidR="00525419" w:rsidRDefault="00525419">
      <w:pPr>
        <w:adjustRightInd w:val="0"/>
        <w:snapToGrid w:val="0"/>
        <w:spacing w:line="240" w:lineRule="atLeast"/>
        <w:jc w:val="center"/>
        <w:rPr>
          <w:rFonts w:ascii="Times New Roman" w:eastAsia="黑体" w:hAnsi="Times New Roman"/>
          <w:szCs w:val="21"/>
        </w:rPr>
      </w:pPr>
    </w:p>
    <w:p w:rsidR="00525419" w:rsidRDefault="00525419">
      <w:pPr>
        <w:adjustRightInd w:val="0"/>
        <w:snapToGrid w:val="0"/>
        <w:spacing w:line="240" w:lineRule="atLeast"/>
        <w:jc w:val="center"/>
        <w:rPr>
          <w:rFonts w:ascii="Times New Roman" w:eastAsia="黑体" w:hAnsi="Times New Roman"/>
          <w:szCs w:val="21"/>
        </w:rPr>
      </w:pPr>
    </w:p>
    <w:p w:rsidR="00525419" w:rsidRDefault="00525419">
      <w:pPr>
        <w:adjustRightInd w:val="0"/>
        <w:snapToGrid w:val="0"/>
        <w:spacing w:line="240" w:lineRule="atLeast"/>
        <w:jc w:val="center"/>
        <w:rPr>
          <w:rFonts w:ascii="Times New Roman" w:eastAsia="黑体" w:hAnsi="Times New Roman"/>
          <w:szCs w:val="21"/>
        </w:rPr>
      </w:pPr>
    </w:p>
    <w:p w:rsidR="00525419" w:rsidRDefault="00EE1CF7">
      <w:pPr>
        <w:adjustRightInd w:val="0"/>
        <w:snapToGrid w:val="0"/>
        <w:spacing w:line="240" w:lineRule="atLeast"/>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5.1-13</w:t>
      </w:r>
      <w:r>
        <w:rPr>
          <w:rFonts w:ascii="Times New Roman" w:eastAsia="黑体" w:hAnsi="Times New Roman"/>
          <w:szCs w:val="21"/>
        </w:rPr>
        <w:t xml:space="preserve">　　各污染物最大贡献浓度预测结果表</w:t>
      </w:r>
    </w:p>
    <w:tbl>
      <w:tblPr>
        <w:tblW w:w="13988"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746"/>
        <w:gridCol w:w="1316"/>
        <w:gridCol w:w="1753"/>
        <w:gridCol w:w="1198"/>
        <w:gridCol w:w="1236"/>
        <w:gridCol w:w="769"/>
        <w:gridCol w:w="748"/>
        <w:gridCol w:w="1167"/>
        <w:gridCol w:w="1454"/>
        <w:gridCol w:w="1167"/>
        <w:gridCol w:w="1684"/>
        <w:gridCol w:w="750"/>
      </w:tblGrid>
      <w:tr w:rsidR="00525419">
        <w:trPr>
          <w:trHeight w:val="286"/>
          <w:jc w:val="center"/>
        </w:trPr>
        <w:tc>
          <w:tcPr>
            <w:tcW w:w="74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序号</w:t>
            </w:r>
          </w:p>
        </w:tc>
        <w:tc>
          <w:tcPr>
            <w:tcW w:w="13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点名称</w:t>
            </w:r>
          </w:p>
        </w:tc>
        <w:tc>
          <w:tcPr>
            <w:tcW w:w="175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kern w:val="0"/>
                <w:szCs w:val="21"/>
                <w:lang w:bidi="ar"/>
              </w:rPr>
            </w:pPr>
            <w:r>
              <w:rPr>
                <w:rFonts w:ascii="Times New Roman" w:hAnsi="Times New Roman"/>
                <w:kern w:val="0"/>
                <w:szCs w:val="21"/>
                <w:lang w:bidi="ar"/>
              </w:rPr>
              <w:t>点坐标</w:t>
            </w:r>
          </w:p>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(x</w:t>
            </w:r>
            <w:r>
              <w:rPr>
                <w:rFonts w:ascii="Times New Roman" w:hAnsi="Times New Roman"/>
                <w:kern w:val="0"/>
                <w:szCs w:val="21"/>
                <w:lang w:bidi="ar"/>
              </w:rPr>
              <w:t>或</w:t>
            </w:r>
            <w:r>
              <w:rPr>
                <w:rFonts w:ascii="Times New Roman" w:hAnsi="Times New Roman"/>
                <w:kern w:val="0"/>
                <w:szCs w:val="21"/>
                <w:lang w:bidi="ar"/>
              </w:rPr>
              <w:t>r,y</w:t>
            </w:r>
            <w:r>
              <w:rPr>
                <w:rFonts w:ascii="Times New Roman" w:hAnsi="Times New Roman"/>
                <w:kern w:val="0"/>
                <w:szCs w:val="21"/>
                <w:lang w:bidi="ar"/>
              </w:rPr>
              <w:t>或</w:t>
            </w:r>
            <w:r>
              <w:rPr>
                <w:rFonts w:ascii="Times New Roman" w:hAnsi="Times New Roman"/>
                <w:kern w:val="0"/>
                <w:szCs w:val="21"/>
                <w:lang w:bidi="ar"/>
              </w:rPr>
              <w:t>a)</w:t>
            </w:r>
          </w:p>
        </w:tc>
        <w:tc>
          <w:tcPr>
            <w:tcW w:w="119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地面高程</w:t>
            </w:r>
            <w:r>
              <w:rPr>
                <w:rFonts w:ascii="Times New Roman" w:hAnsi="Times New Roman"/>
                <w:kern w:val="0"/>
                <w:szCs w:val="21"/>
                <w:lang w:bidi="ar"/>
              </w:rPr>
              <w:t>(m)</w:t>
            </w:r>
          </w:p>
        </w:tc>
        <w:tc>
          <w:tcPr>
            <w:tcW w:w="123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山体高度尺度</w:t>
            </w:r>
            <w:r>
              <w:rPr>
                <w:rFonts w:ascii="Times New Roman" w:hAnsi="Times New Roman"/>
                <w:kern w:val="0"/>
                <w:szCs w:val="21"/>
                <w:lang w:bidi="ar"/>
              </w:rPr>
              <w:t>(m)</w:t>
            </w:r>
          </w:p>
        </w:tc>
        <w:tc>
          <w:tcPr>
            <w:tcW w:w="76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离地高度</w:t>
            </w:r>
            <w:r>
              <w:rPr>
                <w:rFonts w:ascii="Times New Roman" w:hAnsi="Times New Roman"/>
                <w:kern w:val="0"/>
                <w:szCs w:val="21"/>
                <w:lang w:bidi="ar"/>
              </w:rPr>
              <w:t>(m)</w:t>
            </w:r>
          </w:p>
        </w:tc>
        <w:tc>
          <w:tcPr>
            <w:tcW w:w="74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浓度类型</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浓度增量</w:t>
            </w:r>
            <w:r>
              <w:rPr>
                <w:rFonts w:ascii="Times New Roman" w:hAnsi="Times New Roman"/>
                <w:kern w:val="0"/>
                <w:szCs w:val="21"/>
                <w:lang w:bidi="ar"/>
              </w:rPr>
              <w:t>(mg/m</w:t>
            </w:r>
            <w:r>
              <w:rPr>
                <w:rFonts w:ascii="Times New Roman" w:hAnsi="Times New Roman"/>
                <w:kern w:val="0"/>
                <w:szCs w:val="21"/>
                <w:vertAlign w:val="superscript"/>
                <w:lang w:bidi="ar"/>
              </w:rPr>
              <w:t>3</w:t>
            </w:r>
            <w:r>
              <w:rPr>
                <w:rFonts w:ascii="Times New Roman" w:hAnsi="Times New Roman"/>
                <w:kern w:val="0"/>
                <w:szCs w:val="21"/>
                <w:lang w:bidi="ar"/>
              </w:rPr>
              <w:t>)</w:t>
            </w:r>
          </w:p>
        </w:tc>
        <w:tc>
          <w:tcPr>
            <w:tcW w:w="145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出现时间</w:t>
            </w:r>
            <w:r>
              <w:rPr>
                <w:rFonts w:ascii="Times New Roman" w:hAnsi="Times New Roman"/>
                <w:kern w:val="0"/>
                <w:szCs w:val="21"/>
                <w:lang w:bidi="ar"/>
              </w:rPr>
              <w:t>(YYMMDDHH)</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评价标准</w:t>
            </w:r>
            <w:r>
              <w:rPr>
                <w:rFonts w:ascii="Times New Roman" w:hAnsi="Times New Roman"/>
                <w:kern w:val="0"/>
                <w:szCs w:val="21"/>
                <w:lang w:bidi="ar"/>
              </w:rPr>
              <w:t>(mg/m</w:t>
            </w:r>
            <w:r>
              <w:rPr>
                <w:rFonts w:ascii="Times New Roman" w:hAnsi="Times New Roman"/>
                <w:kern w:val="0"/>
                <w:szCs w:val="21"/>
                <w:vertAlign w:val="superscript"/>
                <w:lang w:bidi="ar"/>
              </w:rPr>
              <w:t>3</w:t>
            </w:r>
            <w:r>
              <w:rPr>
                <w:rFonts w:ascii="Times New Roman" w:hAnsi="Times New Roman"/>
                <w:kern w:val="0"/>
                <w:szCs w:val="21"/>
                <w:lang w:bidi="ar"/>
              </w:rPr>
              <w:t>)</w:t>
            </w:r>
          </w:p>
        </w:tc>
        <w:tc>
          <w:tcPr>
            <w:tcW w:w="16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占标率</w:t>
            </w:r>
            <w:r>
              <w:rPr>
                <w:rFonts w:ascii="Times New Roman" w:hAnsi="Times New Roman"/>
                <w:kern w:val="0"/>
                <w:szCs w:val="21"/>
                <w:lang w:bidi="ar"/>
              </w:rPr>
              <w:t>%</w:t>
            </w:r>
          </w:p>
        </w:tc>
        <w:tc>
          <w:tcPr>
            <w:tcW w:w="75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kern w:val="0"/>
                <w:szCs w:val="21"/>
                <w:lang w:bidi="ar"/>
              </w:rPr>
            </w:pPr>
            <w:r>
              <w:rPr>
                <w:rFonts w:ascii="Times New Roman" w:hAnsi="Times New Roman"/>
                <w:kern w:val="0"/>
                <w:szCs w:val="21"/>
                <w:lang w:bidi="ar"/>
              </w:rPr>
              <w:t>是否</w:t>
            </w:r>
          </w:p>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超标</w:t>
            </w:r>
          </w:p>
        </w:tc>
      </w:tr>
      <w:tr w:rsidR="00525419">
        <w:trPr>
          <w:trHeight w:val="286"/>
          <w:jc w:val="center"/>
        </w:trPr>
        <w:tc>
          <w:tcPr>
            <w:tcW w:w="746"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SO</w:t>
            </w:r>
            <w:r>
              <w:rPr>
                <w:rFonts w:ascii="Times New Roman" w:hAnsi="Times New Roman"/>
                <w:kern w:val="0"/>
                <w:szCs w:val="21"/>
                <w:vertAlign w:val="subscript"/>
                <w:lang w:bidi="ar"/>
              </w:rPr>
              <w:t>2</w:t>
            </w:r>
          </w:p>
        </w:tc>
        <w:tc>
          <w:tcPr>
            <w:tcW w:w="1316"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鄯善火车站</w:t>
            </w:r>
          </w:p>
        </w:tc>
        <w:tc>
          <w:tcPr>
            <w:tcW w:w="1753"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20,534,022</w:t>
            </w:r>
          </w:p>
        </w:tc>
        <w:tc>
          <w:tcPr>
            <w:tcW w:w="1198"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761.66</w:t>
            </w:r>
          </w:p>
        </w:tc>
        <w:tc>
          <w:tcPr>
            <w:tcW w:w="1236"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761.66</w:t>
            </w:r>
          </w:p>
        </w:tc>
        <w:tc>
          <w:tcPr>
            <w:tcW w:w="769"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74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w:t>
            </w:r>
            <w:r>
              <w:rPr>
                <w:rFonts w:ascii="Times New Roman" w:hAnsi="Times New Roman"/>
                <w:kern w:val="0"/>
                <w:szCs w:val="21"/>
                <w:lang w:bidi="ar"/>
              </w:rPr>
              <w:t>小时</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7.48E-03</w:t>
            </w:r>
          </w:p>
        </w:tc>
        <w:tc>
          <w:tcPr>
            <w:tcW w:w="145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18051706</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5.00E-01</w:t>
            </w:r>
          </w:p>
        </w:tc>
        <w:tc>
          <w:tcPr>
            <w:tcW w:w="16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1.5</w:t>
            </w:r>
          </w:p>
        </w:tc>
        <w:tc>
          <w:tcPr>
            <w:tcW w:w="75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jc w:val="center"/>
        </w:trPr>
        <w:tc>
          <w:tcPr>
            <w:tcW w:w="746"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316"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753"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198"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236"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769"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74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日平均</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3.28E-04</w:t>
            </w:r>
          </w:p>
        </w:tc>
        <w:tc>
          <w:tcPr>
            <w:tcW w:w="145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180517</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1.50E-01</w:t>
            </w:r>
          </w:p>
        </w:tc>
        <w:tc>
          <w:tcPr>
            <w:tcW w:w="16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0.22</w:t>
            </w:r>
          </w:p>
        </w:tc>
        <w:tc>
          <w:tcPr>
            <w:tcW w:w="75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jc w:val="center"/>
        </w:trPr>
        <w:tc>
          <w:tcPr>
            <w:tcW w:w="746"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316"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753"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198"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236"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769"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74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全时段</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1.91E-05</w:t>
            </w:r>
          </w:p>
        </w:tc>
        <w:tc>
          <w:tcPr>
            <w:tcW w:w="145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平均值</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6.00E-02</w:t>
            </w:r>
          </w:p>
        </w:tc>
        <w:tc>
          <w:tcPr>
            <w:tcW w:w="16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0.03</w:t>
            </w:r>
          </w:p>
        </w:tc>
        <w:tc>
          <w:tcPr>
            <w:tcW w:w="75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jc w:val="center"/>
        </w:trPr>
        <w:tc>
          <w:tcPr>
            <w:tcW w:w="746" w:type="dxa"/>
            <w:vMerge/>
            <w:tcBorders>
              <w:tl2br w:val="nil"/>
              <w:tr2bl w:val="nil"/>
            </w:tcBorders>
            <w:shd w:val="clear" w:color="auto" w:fill="auto"/>
            <w:vAlign w:val="center"/>
          </w:tcPr>
          <w:p w:rsidR="00525419" w:rsidRDefault="00525419">
            <w:pPr>
              <w:widowControl/>
              <w:jc w:val="center"/>
              <w:textAlignment w:val="center"/>
              <w:rPr>
                <w:rFonts w:ascii="Times New Roman" w:hAnsi="Times New Roman"/>
                <w:szCs w:val="21"/>
              </w:rPr>
            </w:pPr>
          </w:p>
        </w:tc>
        <w:tc>
          <w:tcPr>
            <w:tcW w:w="1316"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火车站镇</w:t>
            </w:r>
          </w:p>
        </w:tc>
        <w:tc>
          <w:tcPr>
            <w:tcW w:w="1753"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34,352,821</w:t>
            </w:r>
          </w:p>
        </w:tc>
        <w:tc>
          <w:tcPr>
            <w:tcW w:w="1198"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703.4</w:t>
            </w:r>
          </w:p>
        </w:tc>
        <w:tc>
          <w:tcPr>
            <w:tcW w:w="1236"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703.4</w:t>
            </w:r>
          </w:p>
        </w:tc>
        <w:tc>
          <w:tcPr>
            <w:tcW w:w="769"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74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w:t>
            </w:r>
            <w:r>
              <w:rPr>
                <w:rFonts w:ascii="Times New Roman" w:hAnsi="Times New Roman"/>
                <w:kern w:val="0"/>
                <w:szCs w:val="21"/>
                <w:lang w:bidi="ar"/>
              </w:rPr>
              <w:t>小时</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1.75E-03</w:t>
            </w:r>
          </w:p>
        </w:tc>
        <w:tc>
          <w:tcPr>
            <w:tcW w:w="145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18121310</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5.00E-01</w:t>
            </w:r>
          </w:p>
        </w:tc>
        <w:tc>
          <w:tcPr>
            <w:tcW w:w="16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0.35</w:t>
            </w:r>
          </w:p>
        </w:tc>
        <w:tc>
          <w:tcPr>
            <w:tcW w:w="75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jc w:val="center"/>
        </w:trPr>
        <w:tc>
          <w:tcPr>
            <w:tcW w:w="746"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316"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753"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198"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236"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769"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74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日平均</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1.39E-04</w:t>
            </w:r>
          </w:p>
        </w:tc>
        <w:tc>
          <w:tcPr>
            <w:tcW w:w="145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181213</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1.50E-01</w:t>
            </w:r>
          </w:p>
        </w:tc>
        <w:tc>
          <w:tcPr>
            <w:tcW w:w="16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0.09</w:t>
            </w:r>
          </w:p>
        </w:tc>
        <w:tc>
          <w:tcPr>
            <w:tcW w:w="75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jc w:val="center"/>
        </w:trPr>
        <w:tc>
          <w:tcPr>
            <w:tcW w:w="746"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316"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753"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198"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236"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769"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74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全时段</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7.28E-06</w:t>
            </w:r>
          </w:p>
        </w:tc>
        <w:tc>
          <w:tcPr>
            <w:tcW w:w="145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平均值</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6.00E-02</w:t>
            </w:r>
          </w:p>
        </w:tc>
        <w:tc>
          <w:tcPr>
            <w:tcW w:w="16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0.01</w:t>
            </w:r>
          </w:p>
        </w:tc>
        <w:tc>
          <w:tcPr>
            <w:tcW w:w="75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90"/>
          <w:jc w:val="center"/>
        </w:trPr>
        <w:tc>
          <w:tcPr>
            <w:tcW w:w="746" w:type="dxa"/>
            <w:vMerge/>
            <w:tcBorders>
              <w:tl2br w:val="nil"/>
              <w:tr2bl w:val="nil"/>
            </w:tcBorders>
            <w:shd w:val="clear" w:color="auto" w:fill="auto"/>
            <w:vAlign w:val="center"/>
          </w:tcPr>
          <w:p w:rsidR="00525419" w:rsidRDefault="00525419">
            <w:pPr>
              <w:widowControl/>
              <w:jc w:val="center"/>
              <w:textAlignment w:val="center"/>
              <w:rPr>
                <w:rFonts w:ascii="Times New Roman" w:hAnsi="Times New Roman"/>
                <w:szCs w:val="21"/>
              </w:rPr>
            </w:pPr>
          </w:p>
        </w:tc>
        <w:tc>
          <w:tcPr>
            <w:tcW w:w="1316"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网格</w:t>
            </w:r>
          </w:p>
        </w:tc>
        <w:tc>
          <w:tcPr>
            <w:tcW w:w="175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-7,573,390</w:t>
            </w:r>
          </w:p>
        </w:tc>
        <w:tc>
          <w:tcPr>
            <w:tcW w:w="119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778.5</w:t>
            </w:r>
          </w:p>
        </w:tc>
        <w:tc>
          <w:tcPr>
            <w:tcW w:w="123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778.5</w:t>
            </w:r>
          </w:p>
        </w:tc>
        <w:tc>
          <w:tcPr>
            <w:tcW w:w="76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74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w:t>
            </w:r>
            <w:r>
              <w:rPr>
                <w:rFonts w:ascii="Times New Roman" w:hAnsi="Times New Roman"/>
                <w:kern w:val="0"/>
                <w:szCs w:val="21"/>
                <w:lang w:bidi="ar"/>
              </w:rPr>
              <w:t>小时</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1.89E-02</w:t>
            </w:r>
          </w:p>
        </w:tc>
        <w:tc>
          <w:tcPr>
            <w:tcW w:w="145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18091403</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5.00E-01</w:t>
            </w:r>
          </w:p>
        </w:tc>
        <w:tc>
          <w:tcPr>
            <w:tcW w:w="16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3.78</w:t>
            </w:r>
          </w:p>
        </w:tc>
        <w:tc>
          <w:tcPr>
            <w:tcW w:w="75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jc w:val="center"/>
        </w:trPr>
        <w:tc>
          <w:tcPr>
            <w:tcW w:w="746"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316"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75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-20,572,990</w:t>
            </w:r>
          </w:p>
        </w:tc>
        <w:tc>
          <w:tcPr>
            <w:tcW w:w="119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778.9</w:t>
            </w:r>
          </w:p>
        </w:tc>
        <w:tc>
          <w:tcPr>
            <w:tcW w:w="123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778.9</w:t>
            </w:r>
          </w:p>
        </w:tc>
        <w:tc>
          <w:tcPr>
            <w:tcW w:w="76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74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日平均</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2.51E-03</w:t>
            </w:r>
          </w:p>
        </w:tc>
        <w:tc>
          <w:tcPr>
            <w:tcW w:w="145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180516</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1.50E-01</w:t>
            </w:r>
          </w:p>
        </w:tc>
        <w:tc>
          <w:tcPr>
            <w:tcW w:w="16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1.67</w:t>
            </w:r>
          </w:p>
        </w:tc>
        <w:tc>
          <w:tcPr>
            <w:tcW w:w="75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301"/>
          <w:jc w:val="center"/>
        </w:trPr>
        <w:tc>
          <w:tcPr>
            <w:tcW w:w="746"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316"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75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43,490</w:t>
            </w:r>
          </w:p>
        </w:tc>
        <w:tc>
          <w:tcPr>
            <w:tcW w:w="119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680.8</w:t>
            </w:r>
          </w:p>
        </w:tc>
        <w:tc>
          <w:tcPr>
            <w:tcW w:w="123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680.8</w:t>
            </w:r>
          </w:p>
        </w:tc>
        <w:tc>
          <w:tcPr>
            <w:tcW w:w="76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74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全时段</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3.20E-04</w:t>
            </w:r>
          </w:p>
        </w:tc>
        <w:tc>
          <w:tcPr>
            <w:tcW w:w="145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平均值</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6.00E-02</w:t>
            </w:r>
          </w:p>
        </w:tc>
        <w:tc>
          <w:tcPr>
            <w:tcW w:w="16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0.53</w:t>
            </w:r>
          </w:p>
        </w:tc>
        <w:tc>
          <w:tcPr>
            <w:tcW w:w="75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jc w:val="center"/>
        </w:trPr>
        <w:tc>
          <w:tcPr>
            <w:tcW w:w="746" w:type="dxa"/>
            <w:vMerge w:val="restart"/>
            <w:tcBorders>
              <w:tl2br w:val="nil"/>
              <w:tr2bl w:val="nil"/>
            </w:tcBorders>
            <w:shd w:val="clear" w:color="auto" w:fill="auto"/>
            <w:vAlign w:val="center"/>
          </w:tcPr>
          <w:p w:rsidR="00525419" w:rsidRDefault="00EE1CF7">
            <w:pPr>
              <w:widowControl/>
              <w:jc w:val="left"/>
              <w:textAlignment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1316"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鄯善火车站</w:t>
            </w:r>
          </w:p>
        </w:tc>
        <w:tc>
          <w:tcPr>
            <w:tcW w:w="1753"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20,534,022</w:t>
            </w:r>
          </w:p>
        </w:tc>
        <w:tc>
          <w:tcPr>
            <w:tcW w:w="1198"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761.66</w:t>
            </w:r>
          </w:p>
        </w:tc>
        <w:tc>
          <w:tcPr>
            <w:tcW w:w="1236"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761.66</w:t>
            </w:r>
          </w:p>
        </w:tc>
        <w:tc>
          <w:tcPr>
            <w:tcW w:w="769"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74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w:t>
            </w:r>
            <w:r>
              <w:rPr>
                <w:rFonts w:ascii="Times New Roman" w:hAnsi="Times New Roman"/>
                <w:kern w:val="0"/>
                <w:szCs w:val="21"/>
                <w:lang w:bidi="ar"/>
              </w:rPr>
              <w:t>小时</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9.05E-03</w:t>
            </w:r>
          </w:p>
        </w:tc>
        <w:tc>
          <w:tcPr>
            <w:tcW w:w="145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18021301</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2.00E-01</w:t>
            </w:r>
          </w:p>
        </w:tc>
        <w:tc>
          <w:tcPr>
            <w:tcW w:w="16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4.52</w:t>
            </w:r>
          </w:p>
        </w:tc>
        <w:tc>
          <w:tcPr>
            <w:tcW w:w="75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jc w:val="center"/>
        </w:trPr>
        <w:tc>
          <w:tcPr>
            <w:tcW w:w="746" w:type="dxa"/>
            <w:vMerge/>
            <w:tcBorders>
              <w:tl2br w:val="nil"/>
              <w:tr2bl w:val="nil"/>
            </w:tcBorders>
            <w:shd w:val="clear" w:color="auto" w:fill="auto"/>
            <w:vAlign w:val="center"/>
          </w:tcPr>
          <w:p w:rsidR="00525419" w:rsidRDefault="00525419">
            <w:pPr>
              <w:rPr>
                <w:rFonts w:ascii="Times New Roman" w:hAnsi="Times New Roman"/>
                <w:szCs w:val="21"/>
              </w:rPr>
            </w:pPr>
          </w:p>
        </w:tc>
        <w:tc>
          <w:tcPr>
            <w:tcW w:w="1316"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753"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198"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236"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769"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74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日平均</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5.11E-04</w:t>
            </w:r>
          </w:p>
        </w:tc>
        <w:tc>
          <w:tcPr>
            <w:tcW w:w="145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180212</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8.00E-02</w:t>
            </w:r>
          </w:p>
        </w:tc>
        <w:tc>
          <w:tcPr>
            <w:tcW w:w="16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0.64</w:t>
            </w:r>
          </w:p>
        </w:tc>
        <w:tc>
          <w:tcPr>
            <w:tcW w:w="75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332"/>
          <w:jc w:val="center"/>
        </w:trPr>
        <w:tc>
          <w:tcPr>
            <w:tcW w:w="746" w:type="dxa"/>
            <w:vMerge/>
            <w:tcBorders>
              <w:tl2br w:val="nil"/>
              <w:tr2bl w:val="nil"/>
            </w:tcBorders>
            <w:shd w:val="clear" w:color="auto" w:fill="auto"/>
            <w:vAlign w:val="center"/>
          </w:tcPr>
          <w:p w:rsidR="00525419" w:rsidRDefault="00525419">
            <w:pPr>
              <w:rPr>
                <w:rFonts w:ascii="Times New Roman" w:hAnsi="Times New Roman"/>
                <w:szCs w:val="21"/>
              </w:rPr>
            </w:pPr>
          </w:p>
        </w:tc>
        <w:tc>
          <w:tcPr>
            <w:tcW w:w="1316"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753"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198"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236"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769"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74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全时段</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3.88E-05</w:t>
            </w:r>
          </w:p>
        </w:tc>
        <w:tc>
          <w:tcPr>
            <w:tcW w:w="145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平均值</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4.00E-02</w:t>
            </w:r>
          </w:p>
        </w:tc>
        <w:tc>
          <w:tcPr>
            <w:tcW w:w="16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0.1</w:t>
            </w:r>
          </w:p>
        </w:tc>
        <w:tc>
          <w:tcPr>
            <w:tcW w:w="75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jc w:val="center"/>
        </w:trPr>
        <w:tc>
          <w:tcPr>
            <w:tcW w:w="746" w:type="dxa"/>
            <w:vMerge/>
            <w:tcBorders>
              <w:tl2br w:val="nil"/>
              <w:tr2bl w:val="nil"/>
            </w:tcBorders>
            <w:shd w:val="clear" w:color="auto" w:fill="auto"/>
            <w:vAlign w:val="center"/>
          </w:tcPr>
          <w:p w:rsidR="00525419" w:rsidRDefault="00525419">
            <w:pPr>
              <w:widowControl/>
              <w:jc w:val="left"/>
              <w:textAlignment w:val="center"/>
              <w:rPr>
                <w:rFonts w:ascii="Times New Roman" w:hAnsi="Times New Roman"/>
                <w:szCs w:val="21"/>
              </w:rPr>
            </w:pPr>
          </w:p>
        </w:tc>
        <w:tc>
          <w:tcPr>
            <w:tcW w:w="1316"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火车站镇</w:t>
            </w:r>
          </w:p>
        </w:tc>
        <w:tc>
          <w:tcPr>
            <w:tcW w:w="1753"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34,352,821</w:t>
            </w:r>
          </w:p>
        </w:tc>
        <w:tc>
          <w:tcPr>
            <w:tcW w:w="1198"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703.4</w:t>
            </w:r>
          </w:p>
        </w:tc>
        <w:tc>
          <w:tcPr>
            <w:tcW w:w="1236"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703.4</w:t>
            </w:r>
          </w:p>
        </w:tc>
        <w:tc>
          <w:tcPr>
            <w:tcW w:w="769"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74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w:t>
            </w:r>
            <w:r>
              <w:rPr>
                <w:rFonts w:ascii="Times New Roman" w:hAnsi="Times New Roman"/>
                <w:kern w:val="0"/>
                <w:szCs w:val="21"/>
                <w:lang w:bidi="ar"/>
              </w:rPr>
              <w:t>小时</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4.49E-03</w:t>
            </w:r>
          </w:p>
        </w:tc>
        <w:tc>
          <w:tcPr>
            <w:tcW w:w="145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18121310</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2.00E-01</w:t>
            </w:r>
          </w:p>
        </w:tc>
        <w:tc>
          <w:tcPr>
            <w:tcW w:w="16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2.25</w:t>
            </w:r>
          </w:p>
        </w:tc>
        <w:tc>
          <w:tcPr>
            <w:tcW w:w="75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jc w:val="center"/>
        </w:trPr>
        <w:tc>
          <w:tcPr>
            <w:tcW w:w="746" w:type="dxa"/>
            <w:vMerge/>
            <w:tcBorders>
              <w:tl2br w:val="nil"/>
              <w:tr2bl w:val="nil"/>
            </w:tcBorders>
            <w:shd w:val="clear" w:color="auto" w:fill="auto"/>
            <w:vAlign w:val="center"/>
          </w:tcPr>
          <w:p w:rsidR="00525419" w:rsidRDefault="00525419">
            <w:pPr>
              <w:rPr>
                <w:rFonts w:ascii="Times New Roman" w:hAnsi="Times New Roman"/>
                <w:szCs w:val="21"/>
              </w:rPr>
            </w:pPr>
          </w:p>
        </w:tc>
        <w:tc>
          <w:tcPr>
            <w:tcW w:w="1316"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753"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198"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236"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769"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74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日平均</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4.40E-04</w:t>
            </w:r>
          </w:p>
        </w:tc>
        <w:tc>
          <w:tcPr>
            <w:tcW w:w="145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180108</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8.00E-02</w:t>
            </w:r>
          </w:p>
        </w:tc>
        <w:tc>
          <w:tcPr>
            <w:tcW w:w="16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0.055</w:t>
            </w:r>
          </w:p>
        </w:tc>
        <w:tc>
          <w:tcPr>
            <w:tcW w:w="75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jc w:val="center"/>
        </w:trPr>
        <w:tc>
          <w:tcPr>
            <w:tcW w:w="746" w:type="dxa"/>
            <w:vMerge/>
            <w:tcBorders>
              <w:tl2br w:val="nil"/>
              <w:tr2bl w:val="nil"/>
            </w:tcBorders>
            <w:shd w:val="clear" w:color="auto" w:fill="auto"/>
            <w:vAlign w:val="center"/>
          </w:tcPr>
          <w:p w:rsidR="00525419" w:rsidRDefault="00525419">
            <w:pPr>
              <w:rPr>
                <w:rFonts w:ascii="Times New Roman" w:hAnsi="Times New Roman"/>
                <w:szCs w:val="21"/>
              </w:rPr>
            </w:pPr>
          </w:p>
        </w:tc>
        <w:tc>
          <w:tcPr>
            <w:tcW w:w="1316"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753"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198"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236"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769"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74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全时段</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2.96E-05</w:t>
            </w:r>
          </w:p>
        </w:tc>
        <w:tc>
          <w:tcPr>
            <w:tcW w:w="145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平均值</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4.00E-02</w:t>
            </w:r>
          </w:p>
        </w:tc>
        <w:tc>
          <w:tcPr>
            <w:tcW w:w="16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0.007</w:t>
            </w:r>
          </w:p>
        </w:tc>
        <w:tc>
          <w:tcPr>
            <w:tcW w:w="75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jc w:val="center"/>
        </w:trPr>
        <w:tc>
          <w:tcPr>
            <w:tcW w:w="746" w:type="dxa"/>
            <w:vMerge/>
            <w:tcBorders>
              <w:tl2br w:val="nil"/>
              <w:tr2bl w:val="nil"/>
            </w:tcBorders>
            <w:shd w:val="clear" w:color="auto" w:fill="auto"/>
            <w:vAlign w:val="center"/>
          </w:tcPr>
          <w:p w:rsidR="00525419" w:rsidRDefault="00525419">
            <w:pPr>
              <w:widowControl/>
              <w:jc w:val="left"/>
              <w:textAlignment w:val="center"/>
              <w:rPr>
                <w:rFonts w:ascii="Times New Roman" w:hAnsi="Times New Roman"/>
                <w:szCs w:val="21"/>
              </w:rPr>
            </w:pPr>
          </w:p>
        </w:tc>
        <w:tc>
          <w:tcPr>
            <w:tcW w:w="1316"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网格</w:t>
            </w:r>
          </w:p>
        </w:tc>
        <w:tc>
          <w:tcPr>
            <w:tcW w:w="175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-14,573,990</w:t>
            </w:r>
          </w:p>
        </w:tc>
        <w:tc>
          <w:tcPr>
            <w:tcW w:w="119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803.7</w:t>
            </w:r>
          </w:p>
        </w:tc>
        <w:tc>
          <w:tcPr>
            <w:tcW w:w="123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803.7</w:t>
            </w:r>
          </w:p>
        </w:tc>
        <w:tc>
          <w:tcPr>
            <w:tcW w:w="76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74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w:t>
            </w:r>
            <w:r>
              <w:rPr>
                <w:rFonts w:ascii="Times New Roman" w:hAnsi="Times New Roman"/>
                <w:kern w:val="0"/>
                <w:szCs w:val="21"/>
                <w:lang w:bidi="ar"/>
              </w:rPr>
              <w:t>小时</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1.65E-02</w:t>
            </w:r>
          </w:p>
        </w:tc>
        <w:tc>
          <w:tcPr>
            <w:tcW w:w="145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18121308</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2.00E-01</w:t>
            </w:r>
          </w:p>
        </w:tc>
        <w:tc>
          <w:tcPr>
            <w:tcW w:w="16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8.26</w:t>
            </w:r>
          </w:p>
        </w:tc>
        <w:tc>
          <w:tcPr>
            <w:tcW w:w="75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jc w:val="center"/>
        </w:trPr>
        <w:tc>
          <w:tcPr>
            <w:tcW w:w="746" w:type="dxa"/>
            <w:vMerge/>
            <w:tcBorders>
              <w:tl2br w:val="nil"/>
              <w:tr2bl w:val="nil"/>
            </w:tcBorders>
            <w:shd w:val="clear" w:color="auto" w:fill="auto"/>
            <w:vAlign w:val="center"/>
          </w:tcPr>
          <w:p w:rsidR="00525419" w:rsidRDefault="00525419">
            <w:pPr>
              <w:rPr>
                <w:rFonts w:ascii="Times New Roman" w:hAnsi="Times New Roman"/>
                <w:szCs w:val="21"/>
              </w:rPr>
            </w:pPr>
          </w:p>
        </w:tc>
        <w:tc>
          <w:tcPr>
            <w:tcW w:w="1316"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75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43,290</w:t>
            </w:r>
          </w:p>
        </w:tc>
        <w:tc>
          <w:tcPr>
            <w:tcW w:w="119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676.7</w:t>
            </w:r>
          </w:p>
        </w:tc>
        <w:tc>
          <w:tcPr>
            <w:tcW w:w="123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676.7</w:t>
            </w:r>
          </w:p>
        </w:tc>
        <w:tc>
          <w:tcPr>
            <w:tcW w:w="76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74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日平均</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2.43E-03</w:t>
            </w:r>
          </w:p>
        </w:tc>
        <w:tc>
          <w:tcPr>
            <w:tcW w:w="145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180825</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8.00E-02</w:t>
            </w:r>
          </w:p>
        </w:tc>
        <w:tc>
          <w:tcPr>
            <w:tcW w:w="16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3.03</w:t>
            </w:r>
          </w:p>
        </w:tc>
        <w:tc>
          <w:tcPr>
            <w:tcW w:w="75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jc w:val="center"/>
        </w:trPr>
        <w:tc>
          <w:tcPr>
            <w:tcW w:w="746" w:type="dxa"/>
            <w:vMerge/>
            <w:tcBorders>
              <w:tl2br w:val="nil"/>
              <w:tr2bl w:val="nil"/>
            </w:tcBorders>
            <w:shd w:val="clear" w:color="auto" w:fill="auto"/>
            <w:vAlign w:val="center"/>
          </w:tcPr>
          <w:p w:rsidR="00525419" w:rsidRDefault="00525419">
            <w:pPr>
              <w:rPr>
                <w:rFonts w:ascii="Times New Roman" w:hAnsi="Times New Roman"/>
                <w:szCs w:val="21"/>
              </w:rPr>
            </w:pPr>
          </w:p>
        </w:tc>
        <w:tc>
          <w:tcPr>
            <w:tcW w:w="1316"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75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43,290</w:t>
            </w:r>
          </w:p>
        </w:tc>
        <w:tc>
          <w:tcPr>
            <w:tcW w:w="119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676.7</w:t>
            </w:r>
          </w:p>
        </w:tc>
        <w:tc>
          <w:tcPr>
            <w:tcW w:w="123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676.7</w:t>
            </w:r>
          </w:p>
        </w:tc>
        <w:tc>
          <w:tcPr>
            <w:tcW w:w="76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74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全时段</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5.34E-04</w:t>
            </w:r>
          </w:p>
        </w:tc>
        <w:tc>
          <w:tcPr>
            <w:tcW w:w="145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平均值</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4.00E-02</w:t>
            </w:r>
          </w:p>
        </w:tc>
        <w:tc>
          <w:tcPr>
            <w:tcW w:w="16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1.33</w:t>
            </w:r>
          </w:p>
        </w:tc>
        <w:tc>
          <w:tcPr>
            <w:tcW w:w="75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jc w:val="center"/>
        </w:trPr>
        <w:tc>
          <w:tcPr>
            <w:tcW w:w="746" w:type="dxa"/>
            <w:vMerge w:val="restart"/>
            <w:tcBorders>
              <w:tl2br w:val="nil"/>
              <w:tr2bl w:val="nil"/>
            </w:tcBorders>
            <w:shd w:val="clear" w:color="auto" w:fill="auto"/>
            <w:vAlign w:val="center"/>
          </w:tcPr>
          <w:p w:rsidR="00525419" w:rsidRDefault="00EE1CF7">
            <w:pPr>
              <w:pStyle w:val="afb"/>
              <w:rPr>
                <w:sz w:val="21"/>
                <w:szCs w:val="21"/>
              </w:rPr>
            </w:pPr>
            <w:r>
              <w:rPr>
                <w:sz w:val="21"/>
                <w:szCs w:val="21"/>
              </w:rPr>
              <w:t>PM</w:t>
            </w:r>
            <w:r>
              <w:rPr>
                <w:sz w:val="21"/>
                <w:szCs w:val="21"/>
                <w:vertAlign w:val="subscript"/>
              </w:rPr>
              <w:t>10</w:t>
            </w:r>
          </w:p>
        </w:tc>
        <w:tc>
          <w:tcPr>
            <w:tcW w:w="1316"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鄯善火车站</w:t>
            </w:r>
          </w:p>
        </w:tc>
        <w:tc>
          <w:tcPr>
            <w:tcW w:w="1753"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20,534,022</w:t>
            </w:r>
          </w:p>
        </w:tc>
        <w:tc>
          <w:tcPr>
            <w:tcW w:w="1198"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761.66</w:t>
            </w:r>
          </w:p>
        </w:tc>
        <w:tc>
          <w:tcPr>
            <w:tcW w:w="1236"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761.66</w:t>
            </w:r>
          </w:p>
        </w:tc>
        <w:tc>
          <w:tcPr>
            <w:tcW w:w="769"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74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日平均</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1.11E-04</w:t>
            </w:r>
          </w:p>
        </w:tc>
        <w:tc>
          <w:tcPr>
            <w:tcW w:w="145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181226</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1.50E-01</w:t>
            </w:r>
          </w:p>
        </w:tc>
        <w:tc>
          <w:tcPr>
            <w:tcW w:w="16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0.07</w:t>
            </w:r>
          </w:p>
        </w:tc>
        <w:tc>
          <w:tcPr>
            <w:tcW w:w="75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jc w:val="center"/>
        </w:trPr>
        <w:tc>
          <w:tcPr>
            <w:tcW w:w="746" w:type="dxa"/>
            <w:vMerge/>
            <w:tcBorders>
              <w:tl2br w:val="nil"/>
              <w:tr2bl w:val="nil"/>
            </w:tcBorders>
            <w:shd w:val="clear" w:color="auto" w:fill="auto"/>
            <w:vAlign w:val="center"/>
          </w:tcPr>
          <w:p w:rsidR="00525419" w:rsidRDefault="00525419">
            <w:pPr>
              <w:rPr>
                <w:rFonts w:ascii="Times New Roman" w:hAnsi="Times New Roman"/>
                <w:szCs w:val="21"/>
              </w:rPr>
            </w:pPr>
          </w:p>
        </w:tc>
        <w:tc>
          <w:tcPr>
            <w:tcW w:w="1316"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753"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198"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236"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769"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74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全时段</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7.30E-06</w:t>
            </w:r>
          </w:p>
        </w:tc>
        <w:tc>
          <w:tcPr>
            <w:tcW w:w="145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平均值</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7.00E-02</w:t>
            </w:r>
          </w:p>
        </w:tc>
        <w:tc>
          <w:tcPr>
            <w:tcW w:w="16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0.01</w:t>
            </w:r>
          </w:p>
        </w:tc>
        <w:tc>
          <w:tcPr>
            <w:tcW w:w="75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jc w:val="center"/>
        </w:trPr>
        <w:tc>
          <w:tcPr>
            <w:tcW w:w="746" w:type="dxa"/>
            <w:vMerge/>
            <w:tcBorders>
              <w:tl2br w:val="nil"/>
              <w:tr2bl w:val="nil"/>
            </w:tcBorders>
            <w:shd w:val="clear" w:color="auto" w:fill="auto"/>
            <w:vAlign w:val="center"/>
          </w:tcPr>
          <w:p w:rsidR="00525419" w:rsidRDefault="00525419">
            <w:pPr>
              <w:widowControl/>
              <w:jc w:val="left"/>
              <w:textAlignment w:val="center"/>
              <w:rPr>
                <w:rFonts w:ascii="Times New Roman" w:hAnsi="Times New Roman"/>
                <w:szCs w:val="21"/>
              </w:rPr>
            </w:pPr>
          </w:p>
        </w:tc>
        <w:tc>
          <w:tcPr>
            <w:tcW w:w="1316"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火车站镇</w:t>
            </w:r>
          </w:p>
        </w:tc>
        <w:tc>
          <w:tcPr>
            <w:tcW w:w="1753"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34,352,821</w:t>
            </w:r>
          </w:p>
        </w:tc>
        <w:tc>
          <w:tcPr>
            <w:tcW w:w="1198"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703.4</w:t>
            </w:r>
          </w:p>
        </w:tc>
        <w:tc>
          <w:tcPr>
            <w:tcW w:w="1236"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703.4</w:t>
            </w:r>
          </w:p>
        </w:tc>
        <w:tc>
          <w:tcPr>
            <w:tcW w:w="769"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74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日平均</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5.36E-05</w:t>
            </w:r>
          </w:p>
        </w:tc>
        <w:tc>
          <w:tcPr>
            <w:tcW w:w="145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181213</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1.50E-01</w:t>
            </w:r>
          </w:p>
        </w:tc>
        <w:tc>
          <w:tcPr>
            <w:tcW w:w="16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0.04</w:t>
            </w:r>
          </w:p>
        </w:tc>
        <w:tc>
          <w:tcPr>
            <w:tcW w:w="75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jc w:val="center"/>
        </w:trPr>
        <w:tc>
          <w:tcPr>
            <w:tcW w:w="746" w:type="dxa"/>
            <w:vMerge/>
            <w:tcBorders>
              <w:tl2br w:val="nil"/>
              <w:tr2bl w:val="nil"/>
            </w:tcBorders>
            <w:shd w:val="clear" w:color="auto" w:fill="auto"/>
            <w:vAlign w:val="center"/>
          </w:tcPr>
          <w:p w:rsidR="00525419" w:rsidRDefault="00525419">
            <w:pPr>
              <w:rPr>
                <w:rFonts w:ascii="Times New Roman" w:hAnsi="Times New Roman"/>
                <w:szCs w:val="21"/>
              </w:rPr>
            </w:pPr>
          </w:p>
        </w:tc>
        <w:tc>
          <w:tcPr>
            <w:tcW w:w="1316"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753"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198"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236"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769"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74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全时段</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2.86E-06</w:t>
            </w:r>
          </w:p>
        </w:tc>
        <w:tc>
          <w:tcPr>
            <w:tcW w:w="145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平均值</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7.00E-02</w:t>
            </w:r>
          </w:p>
        </w:tc>
        <w:tc>
          <w:tcPr>
            <w:tcW w:w="16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75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jc w:val="center"/>
        </w:trPr>
        <w:tc>
          <w:tcPr>
            <w:tcW w:w="746" w:type="dxa"/>
            <w:vMerge/>
            <w:tcBorders>
              <w:tl2br w:val="nil"/>
              <w:tr2bl w:val="nil"/>
            </w:tcBorders>
            <w:shd w:val="clear" w:color="auto" w:fill="auto"/>
            <w:vAlign w:val="center"/>
          </w:tcPr>
          <w:p w:rsidR="00525419" w:rsidRDefault="00525419">
            <w:pPr>
              <w:widowControl/>
              <w:jc w:val="left"/>
              <w:textAlignment w:val="center"/>
              <w:rPr>
                <w:rFonts w:ascii="Times New Roman" w:hAnsi="Times New Roman"/>
                <w:szCs w:val="21"/>
              </w:rPr>
            </w:pPr>
          </w:p>
        </w:tc>
        <w:tc>
          <w:tcPr>
            <w:tcW w:w="1316"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网格</w:t>
            </w:r>
          </w:p>
        </w:tc>
        <w:tc>
          <w:tcPr>
            <w:tcW w:w="175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-20,572,990</w:t>
            </w:r>
          </w:p>
        </w:tc>
        <w:tc>
          <w:tcPr>
            <w:tcW w:w="119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778.9</w:t>
            </w:r>
          </w:p>
        </w:tc>
        <w:tc>
          <w:tcPr>
            <w:tcW w:w="123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778.9</w:t>
            </w:r>
          </w:p>
        </w:tc>
        <w:tc>
          <w:tcPr>
            <w:tcW w:w="76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74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日平均</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7.97E-04</w:t>
            </w:r>
          </w:p>
        </w:tc>
        <w:tc>
          <w:tcPr>
            <w:tcW w:w="145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180516</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1.50E-01</w:t>
            </w:r>
          </w:p>
        </w:tc>
        <w:tc>
          <w:tcPr>
            <w:tcW w:w="16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0.53</w:t>
            </w:r>
          </w:p>
        </w:tc>
        <w:tc>
          <w:tcPr>
            <w:tcW w:w="75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jc w:val="center"/>
        </w:trPr>
        <w:tc>
          <w:tcPr>
            <w:tcW w:w="746" w:type="dxa"/>
            <w:vMerge/>
            <w:tcBorders>
              <w:tl2br w:val="nil"/>
              <w:tr2bl w:val="nil"/>
            </w:tcBorders>
            <w:shd w:val="clear" w:color="auto" w:fill="auto"/>
            <w:vAlign w:val="center"/>
          </w:tcPr>
          <w:p w:rsidR="00525419" w:rsidRDefault="00525419">
            <w:pPr>
              <w:rPr>
                <w:rFonts w:ascii="Times New Roman" w:hAnsi="Times New Roman"/>
                <w:szCs w:val="21"/>
              </w:rPr>
            </w:pPr>
          </w:p>
        </w:tc>
        <w:tc>
          <w:tcPr>
            <w:tcW w:w="1316"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75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43,490</w:t>
            </w:r>
          </w:p>
        </w:tc>
        <w:tc>
          <w:tcPr>
            <w:tcW w:w="119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680.8</w:t>
            </w:r>
          </w:p>
        </w:tc>
        <w:tc>
          <w:tcPr>
            <w:tcW w:w="123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680.8</w:t>
            </w:r>
          </w:p>
        </w:tc>
        <w:tc>
          <w:tcPr>
            <w:tcW w:w="76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74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全时段</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9.60E-05</w:t>
            </w:r>
          </w:p>
        </w:tc>
        <w:tc>
          <w:tcPr>
            <w:tcW w:w="145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平均值</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7.00E-02</w:t>
            </w:r>
          </w:p>
        </w:tc>
        <w:tc>
          <w:tcPr>
            <w:tcW w:w="16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0.14</w:t>
            </w:r>
          </w:p>
        </w:tc>
        <w:tc>
          <w:tcPr>
            <w:tcW w:w="75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jc w:val="center"/>
        </w:trPr>
        <w:tc>
          <w:tcPr>
            <w:tcW w:w="746" w:type="dxa"/>
            <w:vMerge w:val="restart"/>
            <w:tcBorders>
              <w:tl2br w:val="nil"/>
              <w:tr2bl w:val="nil"/>
            </w:tcBorders>
            <w:shd w:val="clear" w:color="auto" w:fill="auto"/>
            <w:vAlign w:val="center"/>
          </w:tcPr>
          <w:p w:rsidR="00525419" w:rsidRDefault="00EE1CF7">
            <w:pPr>
              <w:widowControl/>
              <w:jc w:val="left"/>
              <w:textAlignment w:val="center"/>
              <w:rPr>
                <w:rFonts w:ascii="Times New Roman" w:hAnsi="Times New Roman"/>
                <w:szCs w:val="21"/>
              </w:rPr>
            </w:pPr>
            <w:r>
              <w:rPr>
                <w:rFonts w:ascii="Times New Roman" w:hAnsi="Times New Roman"/>
                <w:szCs w:val="21"/>
              </w:rPr>
              <w:t>NMHC</w:t>
            </w:r>
          </w:p>
        </w:tc>
        <w:tc>
          <w:tcPr>
            <w:tcW w:w="13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鄯善火车站</w:t>
            </w:r>
          </w:p>
        </w:tc>
        <w:tc>
          <w:tcPr>
            <w:tcW w:w="175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20,534,022</w:t>
            </w:r>
          </w:p>
        </w:tc>
        <w:tc>
          <w:tcPr>
            <w:tcW w:w="119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761.66</w:t>
            </w:r>
          </w:p>
        </w:tc>
        <w:tc>
          <w:tcPr>
            <w:tcW w:w="123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761.66</w:t>
            </w:r>
          </w:p>
        </w:tc>
        <w:tc>
          <w:tcPr>
            <w:tcW w:w="76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74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w:t>
            </w:r>
            <w:r>
              <w:rPr>
                <w:rFonts w:ascii="Times New Roman" w:hAnsi="Times New Roman"/>
                <w:kern w:val="0"/>
                <w:szCs w:val="21"/>
                <w:lang w:bidi="ar"/>
              </w:rPr>
              <w:t>小时</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1.53E-02</w:t>
            </w:r>
          </w:p>
        </w:tc>
        <w:tc>
          <w:tcPr>
            <w:tcW w:w="145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1.81E+07</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2.00E+00</w:t>
            </w:r>
          </w:p>
        </w:tc>
        <w:tc>
          <w:tcPr>
            <w:tcW w:w="16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0.77</w:t>
            </w:r>
          </w:p>
        </w:tc>
        <w:tc>
          <w:tcPr>
            <w:tcW w:w="75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jc w:val="center"/>
        </w:trPr>
        <w:tc>
          <w:tcPr>
            <w:tcW w:w="746" w:type="dxa"/>
            <w:vMerge/>
            <w:tcBorders>
              <w:tl2br w:val="nil"/>
              <w:tr2bl w:val="nil"/>
            </w:tcBorders>
            <w:shd w:val="clear" w:color="auto" w:fill="auto"/>
            <w:vAlign w:val="center"/>
          </w:tcPr>
          <w:p w:rsidR="00525419" w:rsidRDefault="00525419">
            <w:pPr>
              <w:widowControl/>
              <w:jc w:val="left"/>
              <w:textAlignment w:val="center"/>
              <w:rPr>
                <w:rFonts w:ascii="Times New Roman" w:hAnsi="Times New Roman"/>
                <w:szCs w:val="21"/>
              </w:rPr>
            </w:pPr>
          </w:p>
        </w:tc>
        <w:tc>
          <w:tcPr>
            <w:tcW w:w="13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火车站镇</w:t>
            </w:r>
          </w:p>
        </w:tc>
        <w:tc>
          <w:tcPr>
            <w:tcW w:w="175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34,352,821</w:t>
            </w:r>
          </w:p>
        </w:tc>
        <w:tc>
          <w:tcPr>
            <w:tcW w:w="119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703.4</w:t>
            </w:r>
          </w:p>
        </w:tc>
        <w:tc>
          <w:tcPr>
            <w:tcW w:w="123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703.4</w:t>
            </w:r>
          </w:p>
        </w:tc>
        <w:tc>
          <w:tcPr>
            <w:tcW w:w="76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74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w:t>
            </w:r>
            <w:r>
              <w:rPr>
                <w:rFonts w:ascii="Times New Roman" w:hAnsi="Times New Roman"/>
                <w:kern w:val="0"/>
                <w:szCs w:val="21"/>
                <w:lang w:bidi="ar"/>
              </w:rPr>
              <w:t>小时</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3.09E-02</w:t>
            </w:r>
          </w:p>
        </w:tc>
        <w:tc>
          <w:tcPr>
            <w:tcW w:w="145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1.81E+07</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2.00E+00</w:t>
            </w:r>
          </w:p>
        </w:tc>
        <w:tc>
          <w:tcPr>
            <w:tcW w:w="16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1.54</w:t>
            </w:r>
          </w:p>
        </w:tc>
        <w:tc>
          <w:tcPr>
            <w:tcW w:w="75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jc w:val="center"/>
        </w:trPr>
        <w:tc>
          <w:tcPr>
            <w:tcW w:w="746" w:type="dxa"/>
            <w:vMerge/>
            <w:tcBorders>
              <w:tl2br w:val="nil"/>
              <w:tr2bl w:val="nil"/>
            </w:tcBorders>
            <w:shd w:val="clear" w:color="auto" w:fill="auto"/>
            <w:vAlign w:val="center"/>
          </w:tcPr>
          <w:p w:rsidR="00525419" w:rsidRDefault="00525419">
            <w:pPr>
              <w:widowControl/>
              <w:jc w:val="left"/>
              <w:textAlignment w:val="center"/>
              <w:rPr>
                <w:rFonts w:ascii="Times New Roman" w:hAnsi="Times New Roman"/>
                <w:szCs w:val="21"/>
              </w:rPr>
            </w:pPr>
          </w:p>
        </w:tc>
        <w:tc>
          <w:tcPr>
            <w:tcW w:w="13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网格</w:t>
            </w:r>
          </w:p>
        </w:tc>
        <w:tc>
          <w:tcPr>
            <w:tcW w:w="175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-557,390</w:t>
            </w:r>
          </w:p>
        </w:tc>
        <w:tc>
          <w:tcPr>
            <w:tcW w:w="119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685</w:t>
            </w:r>
          </w:p>
        </w:tc>
        <w:tc>
          <w:tcPr>
            <w:tcW w:w="123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685</w:t>
            </w:r>
          </w:p>
        </w:tc>
        <w:tc>
          <w:tcPr>
            <w:tcW w:w="76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74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w:t>
            </w:r>
            <w:r>
              <w:rPr>
                <w:rFonts w:ascii="Times New Roman" w:hAnsi="Times New Roman"/>
                <w:kern w:val="0"/>
                <w:szCs w:val="21"/>
                <w:lang w:bidi="ar"/>
              </w:rPr>
              <w:t>小时</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9.01E-01</w:t>
            </w:r>
          </w:p>
        </w:tc>
        <w:tc>
          <w:tcPr>
            <w:tcW w:w="145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1.80E+07</w:t>
            </w:r>
          </w:p>
        </w:tc>
        <w:tc>
          <w:tcPr>
            <w:tcW w:w="116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2.00E+00</w:t>
            </w:r>
          </w:p>
        </w:tc>
        <w:tc>
          <w:tcPr>
            <w:tcW w:w="168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45.06</w:t>
            </w:r>
          </w:p>
        </w:tc>
        <w:tc>
          <w:tcPr>
            <w:tcW w:w="75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bl>
    <w:p w:rsidR="00525419" w:rsidRDefault="00EE1CF7">
      <w:pPr>
        <w:pStyle w:val="B1"/>
        <w:ind w:firstLine="480"/>
        <w:rPr>
          <w:rFonts w:cs="Times New Roman"/>
        </w:rPr>
      </w:pPr>
      <w:r>
        <w:rPr>
          <w:rFonts w:cs="Times New Roman"/>
        </w:rPr>
        <w:t>从表</w:t>
      </w:r>
      <w:r>
        <w:rPr>
          <w:rFonts w:cs="Times New Roman"/>
        </w:rPr>
        <w:t>5.1-13</w:t>
      </w:r>
      <w:r>
        <w:rPr>
          <w:rFonts w:cs="Times New Roman"/>
        </w:rPr>
        <w:t>可以看出：</w:t>
      </w:r>
    </w:p>
    <w:p w:rsidR="00525419" w:rsidRDefault="00EE1CF7">
      <w:pPr>
        <w:pStyle w:val="B1"/>
        <w:ind w:firstLine="480"/>
        <w:rPr>
          <w:rFonts w:cs="Times New Roman"/>
        </w:rPr>
      </w:pPr>
      <w:r>
        <w:rPr>
          <w:rFonts w:cs="Times New Roman"/>
        </w:rPr>
        <w:t>所有污染物在所有计算网格点的最大一小时落地浓度占标率均＜</w:t>
      </w:r>
      <w:r>
        <w:rPr>
          <w:rFonts w:cs="Times New Roman"/>
        </w:rPr>
        <w:t>50%</w:t>
      </w:r>
      <w:r>
        <w:rPr>
          <w:rFonts w:cs="Times New Roman"/>
        </w:rPr>
        <w:t>，符合导则</w:t>
      </w:r>
      <w:r>
        <w:rPr>
          <w:rFonts w:cs="Times New Roman"/>
        </w:rPr>
        <w:t>“</w:t>
      </w:r>
      <w:r>
        <w:rPr>
          <w:rFonts w:cs="Times New Roman"/>
        </w:rPr>
        <w:t>新增污染源正常排放下污染物短期浓度贡献值的最大浓度占标率</w:t>
      </w:r>
      <w:r>
        <w:rPr>
          <w:rFonts w:cs="Times New Roman"/>
        </w:rPr>
        <w:t>≤100%”</w:t>
      </w:r>
      <w:r>
        <w:rPr>
          <w:rFonts w:cs="Times New Roman"/>
        </w:rPr>
        <w:t>的可行性要求。所有污染物最大日均浓度占标率均＜</w:t>
      </w:r>
      <w:r>
        <w:rPr>
          <w:rFonts w:cs="Times New Roman"/>
        </w:rPr>
        <w:t>5%</w:t>
      </w:r>
      <w:r>
        <w:rPr>
          <w:rFonts w:cs="Times New Roman"/>
        </w:rPr>
        <w:t>、年均浓度占标率均＜</w:t>
      </w:r>
      <w:r>
        <w:rPr>
          <w:rFonts w:cs="Times New Roman"/>
        </w:rPr>
        <w:t>2%</w:t>
      </w:r>
      <w:r>
        <w:rPr>
          <w:rFonts w:cs="Times New Roman"/>
        </w:rPr>
        <w:t>，说明本项目对区域污染物浓度的长期贡献值较小。</w:t>
      </w:r>
    </w:p>
    <w:p w:rsidR="00525419" w:rsidRDefault="00525419">
      <w:pPr>
        <w:pStyle w:val="afb"/>
        <w:rPr>
          <w:rFonts w:eastAsia="黑体"/>
          <w:szCs w:val="21"/>
        </w:rPr>
      </w:pPr>
    </w:p>
    <w:p w:rsidR="00525419" w:rsidRDefault="00525419">
      <w:pPr>
        <w:pStyle w:val="afffffffffffffffffffffffffffffffffff5"/>
        <w:spacing w:line="360" w:lineRule="auto"/>
        <w:ind w:firstLineChars="0" w:firstLine="0"/>
        <w:jc w:val="center"/>
        <w:rPr>
          <w:rFonts w:ascii="Times New Roman" w:eastAsia="宋体" w:hAnsi="Times New Roman"/>
          <w:b/>
          <w:bCs/>
          <w:sz w:val="21"/>
          <w:szCs w:val="21"/>
        </w:rPr>
      </w:pPr>
    </w:p>
    <w:p w:rsidR="00525419" w:rsidRDefault="00525419">
      <w:pPr>
        <w:pStyle w:val="afffffffffffffffffffffffffffffffffff5"/>
        <w:spacing w:line="360" w:lineRule="auto"/>
        <w:ind w:firstLineChars="0" w:firstLine="0"/>
        <w:jc w:val="center"/>
        <w:rPr>
          <w:rFonts w:ascii="Times New Roman" w:eastAsia="宋体" w:hAnsi="Times New Roman"/>
          <w:b/>
          <w:bCs/>
          <w:sz w:val="21"/>
          <w:szCs w:val="21"/>
        </w:rPr>
      </w:pPr>
    </w:p>
    <w:p w:rsidR="00525419" w:rsidRDefault="00525419">
      <w:pPr>
        <w:pStyle w:val="afffffffffffffffffffffffffffffffffff5"/>
        <w:spacing w:line="360" w:lineRule="auto"/>
        <w:ind w:firstLineChars="0" w:firstLine="0"/>
        <w:rPr>
          <w:rFonts w:ascii="Times New Roman" w:eastAsia="宋体" w:hAnsi="Times New Roman"/>
          <w:b/>
          <w:bCs/>
          <w:sz w:val="21"/>
          <w:szCs w:val="21"/>
        </w:rPr>
      </w:pPr>
    </w:p>
    <w:p w:rsidR="00525419" w:rsidRDefault="00525419">
      <w:pPr>
        <w:pStyle w:val="afffffffffffffffffffffffffffffffffff5"/>
        <w:spacing w:line="360" w:lineRule="auto"/>
        <w:ind w:firstLineChars="0" w:firstLine="0"/>
        <w:jc w:val="center"/>
        <w:rPr>
          <w:rFonts w:ascii="Times New Roman" w:eastAsia="宋体" w:hAnsi="Times New Roman"/>
          <w:b/>
          <w:bCs/>
          <w:sz w:val="21"/>
          <w:szCs w:val="21"/>
        </w:rPr>
        <w:sectPr w:rsidR="00525419">
          <w:pgSz w:w="16838" w:h="11906" w:orient="landscape"/>
          <w:pgMar w:top="1803" w:right="1440" w:bottom="1803" w:left="1440" w:header="851" w:footer="992" w:gutter="0"/>
          <w:cols w:space="0"/>
          <w:docGrid w:type="lines" w:linePitch="319"/>
        </w:sectPr>
      </w:pPr>
    </w:p>
    <w:p w:rsidR="00525419" w:rsidRDefault="00525419">
      <w:pPr>
        <w:pStyle w:val="afffffffffffffffffffffffffffffffffff5"/>
        <w:spacing w:line="360" w:lineRule="auto"/>
        <w:ind w:firstLineChars="0" w:firstLine="0"/>
        <w:jc w:val="center"/>
        <w:rPr>
          <w:rFonts w:ascii="Times New Roman" w:eastAsia="宋体" w:hAnsi="Times New Roman"/>
          <w:b/>
          <w:bCs/>
          <w:sz w:val="21"/>
          <w:szCs w:val="21"/>
        </w:rPr>
      </w:pPr>
    </w:p>
    <w:p w:rsidR="00525419" w:rsidRDefault="00EE1CF7">
      <w:pPr>
        <w:pStyle w:val="afffffffffffffffffffffffffffffffffff5"/>
        <w:spacing w:line="360" w:lineRule="auto"/>
        <w:ind w:firstLineChars="0" w:firstLine="0"/>
        <w:jc w:val="center"/>
        <w:rPr>
          <w:rFonts w:ascii="Times New Roman" w:eastAsia="宋体" w:hAnsi="Times New Roman"/>
          <w:b/>
          <w:bCs/>
          <w:sz w:val="21"/>
          <w:szCs w:val="21"/>
        </w:rPr>
      </w:pPr>
      <w:r>
        <w:rPr>
          <w:rFonts w:ascii="Times New Roman" w:eastAsia="宋体" w:hAnsi="Times New Roman"/>
          <w:b/>
          <w:bCs/>
          <w:sz w:val="21"/>
          <w:szCs w:val="21"/>
        </w:rPr>
        <w:t>图</w:t>
      </w:r>
      <w:r>
        <w:rPr>
          <w:rFonts w:ascii="Times New Roman" w:eastAsia="宋体" w:hAnsi="Times New Roman"/>
          <w:b/>
          <w:bCs/>
          <w:sz w:val="21"/>
          <w:szCs w:val="21"/>
        </w:rPr>
        <w:t xml:space="preserve">5.1-6    </w:t>
      </w:r>
      <w:r>
        <w:rPr>
          <w:rFonts w:ascii="Times New Roman" w:eastAsia="宋体" w:hAnsi="Times New Roman"/>
          <w:b/>
          <w:bCs/>
          <w:sz w:val="21"/>
          <w:szCs w:val="21"/>
        </w:rPr>
        <w:t>本项目区域</w:t>
      </w:r>
      <w:r>
        <w:rPr>
          <w:rFonts w:ascii="Times New Roman" w:eastAsia="宋体" w:hAnsi="Times New Roman"/>
          <w:b/>
          <w:bCs/>
          <w:sz w:val="21"/>
          <w:szCs w:val="21"/>
        </w:rPr>
        <w:t>SO</w:t>
      </w:r>
      <w:r>
        <w:rPr>
          <w:rFonts w:ascii="Times New Roman" w:eastAsia="宋体" w:hAnsi="Times New Roman"/>
          <w:b/>
          <w:bCs/>
          <w:sz w:val="21"/>
          <w:szCs w:val="21"/>
          <w:vertAlign w:val="subscript"/>
        </w:rPr>
        <w:t>2</w:t>
      </w:r>
      <w:r>
        <w:rPr>
          <w:rFonts w:ascii="Times New Roman" w:eastAsia="宋体" w:hAnsi="Times New Roman"/>
          <w:b/>
          <w:bCs/>
          <w:sz w:val="21"/>
          <w:szCs w:val="21"/>
        </w:rPr>
        <w:t>最大小时贡献浓度</w:t>
      </w:r>
      <w:r>
        <w:rPr>
          <w:rFonts w:ascii="Times New Roman" w:eastAsia="宋体" w:hAnsi="Times New Roman"/>
          <w:b/>
          <w:bCs/>
          <w:sz w:val="21"/>
          <w:szCs w:val="21"/>
          <w:lang w:val="zh-CN"/>
        </w:rPr>
        <w:t>等值线图</w:t>
      </w:r>
      <w:r>
        <w:rPr>
          <w:rFonts w:ascii="Times New Roman" w:eastAsia="宋体" w:hAnsi="Times New Roman"/>
          <w:b/>
          <w:bCs/>
          <w:sz w:val="21"/>
          <w:szCs w:val="21"/>
          <w:lang w:val="zh-CN"/>
        </w:rPr>
        <w:t>(</w:t>
      </w:r>
      <w:r>
        <w:rPr>
          <w:rFonts w:ascii="Times New Roman" w:eastAsia="宋体" w:hAnsi="Times New Roman"/>
          <w:b/>
          <w:bCs/>
          <w:sz w:val="21"/>
          <w:szCs w:val="21"/>
          <w:lang w:val="zh-CN"/>
        </w:rPr>
        <w:t>单位：</w:t>
      </w:r>
      <w:r>
        <w:rPr>
          <w:rFonts w:ascii="Times New Roman" w:eastAsia="宋体" w:hAnsi="Times New Roman"/>
          <w:b/>
          <w:bCs/>
          <w:sz w:val="21"/>
          <w:szCs w:val="21"/>
          <w:lang w:val="zh-CN"/>
        </w:rPr>
        <w:t>mg/m</w:t>
      </w:r>
      <w:r>
        <w:rPr>
          <w:rFonts w:ascii="Times New Roman" w:eastAsia="宋体" w:hAnsi="Times New Roman"/>
          <w:b/>
          <w:bCs/>
          <w:sz w:val="21"/>
          <w:szCs w:val="21"/>
          <w:vertAlign w:val="superscript"/>
          <w:lang w:val="zh-CN"/>
        </w:rPr>
        <w:t>3</w:t>
      </w:r>
      <w:r>
        <w:rPr>
          <w:rFonts w:ascii="Times New Roman" w:eastAsia="宋体" w:hAnsi="Times New Roman"/>
          <w:b/>
          <w:bCs/>
          <w:sz w:val="21"/>
          <w:szCs w:val="21"/>
          <w:lang w:val="zh-CN"/>
        </w:rPr>
        <w:t>)</w:t>
      </w:r>
    </w:p>
    <w:p w:rsidR="00525419" w:rsidRDefault="00525419">
      <w:pPr>
        <w:pStyle w:val="B1"/>
        <w:ind w:firstLineChars="0" w:firstLine="0"/>
        <w:rPr>
          <w:rFonts w:cs="Times New Roman"/>
        </w:rPr>
      </w:pPr>
    </w:p>
    <w:p w:rsidR="00525419" w:rsidRDefault="00EE1CF7">
      <w:pPr>
        <w:pStyle w:val="afffffffffffffffffffffffffffffffffff5"/>
        <w:spacing w:line="360" w:lineRule="auto"/>
        <w:ind w:firstLineChars="0" w:firstLine="0"/>
        <w:jc w:val="center"/>
        <w:rPr>
          <w:rFonts w:ascii="Times New Roman" w:eastAsia="宋体" w:hAnsi="Times New Roman"/>
          <w:b/>
          <w:bCs/>
          <w:sz w:val="21"/>
          <w:szCs w:val="21"/>
          <w:lang w:val="zh-CN"/>
        </w:rPr>
      </w:pPr>
      <w:r>
        <w:rPr>
          <w:rFonts w:ascii="Times New Roman" w:eastAsia="宋体" w:hAnsi="Times New Roman"/>
          <w:b/>
          <w:bCs/>
          <w:sz w:val="21"/>
          <w:szCs w:val="21"/>
        </w:rPr>
        <w:t>图</w:t>
      </w:r>
      <w:r>
        <w:rPr>
          <w:rFonts w:ascii="Times New Roman" w:eastAsia="宋体" w:hAnsi="Times New Roman"/>
          <w:b/>
          <w:bCs/>
          <w:sz w:val="21"/>
          <w:szCs w:val="21"/>
        </w:rPr>
        <w:t xml:space="preserve">5.1-7    </w:t>
      </w:r>
      <w:r>
        <w:rPr>
          <w:rFonts w:ascii="Times New Roman" w:eastAsia="宋体" w:hAnsi="Times New Roman"/>
          <w:b/>
          <w:bCs/>
          <w:sz w:val="21"/>
          <w:szCs w:val="21"/>
        </w:rPr>
        <w:t>本项目区域</w:t>
      </w:r>
      <w:r>
        <w:rPr>
          <w:rFonts w:ascii="Times New Roman" w:eastAsia="宋体" w:hAnsi="Times New Roman"/>
          <w:b/>
          <w:bCs/>
          <w:sz w:val="21"/>
          <w:szCs w:val="21"/>
        </w:rPr>
        <w:t>SO</w:t>
      </w:r>
      <w:r>
        <w:rPr>
          <w:rFonts w:ascii="Times New Roman" w:eastAsia="宋体" w:hAnsi="Times New Roman"/>
          <w:b/>
          <w:bCs/>
          <w:sz w:val="21"/>
          <w:szCs w:val="21"/>
          <w:vertAlign w:val="subscript"/>
        </w:rPr>
        <w:t>2</w:t>
      </w:r>
      <w:r>
        <w:rPr>
          <w:rFonts w:ascii="Times New Roman" w:eastAsia="宋体" w:hAnsi="Times New Roman"/>
          <w:b/>
          <w:bCs/>
          <w:sz w:val="21"/>
          <w:szCs w:val="21"/>
        </w:rPr>
        <w:t>最大日均贡献浓度</w:t>
      </w:r>
      <w:r>
        <w:rPr>
          <w:rFonts w:ascii="Times New Roman" w:eastAsia="宋体" w:hAnsi="Times New Roman"/>
          <w:b/>
          <w:bCs/>
          <w:sz w:val="21"/>
          <w:szCs w:val="21"/>
          <w:lang w:val="zh-CN"/>
        </w:rPr>
        <w:t>等值线图</w:t>
      </w:r>
      <w:r>
        <w:rPr>
          <w:rFonts w:ascii="Times New Roman" w:eastAsia="宋体" w:hAnsi="Times New Roman"/>
          <w:b/>
          <w:bCs/>
          <w:sz w:val="21"/>
          <w:szCs w:val="21"/>
          <w:lang w:val="zh-CN"/>
        </w:rPr>
        <w:t>(</w:t>
      </w:r>
      <w:r>
        <w:rPr>
          <w:rFonts w:ascii="Times New Roman" w:eastAsia="宋体" w:hAnsi="Times New Roman"/>
          <w:b/>
          <w:bCs/>
          <w:sz w:val="21"/>
          <w:szCs w:val="21"/>
          <w:lang w:val="zh-CN"/>
        </w:rPr>
        <w:t>单位：</w:t>
      </w:r>
      <w:r>
        <w:rPr>
          <w:rFonts w:ascii="Times New Roman" w:eastAsia="宋体" w:hAnsi="Times New Roman"/>
          <w:b/>
          <w:bCs/>
          <w:sz w:val="21"/>
          <w:szCs w:val="21"/>
          <w:lang w:val="zh-CN"/>
        </w:rPr>
        <w:t>mg/m</w:t>
      </w:r>
      <w:r>
        <w:rPr>
          <w:rFonts w:ascii="Times New Roman" w:eastAsia="宋体" w:hAnsi="Times New Roman"/>
          <w:b/>
          <w:bCs/>
          <w:sz w:val="21"/>
          <w:szCs w:val="21"/>
          <w:vertAlign w:val="superscript"/>
          <w:lang w:val="zh-CN"/>
        </w:rPr>
        <w:t>3</w:t>
      </w:r>
      <w:r>
        <w:rPr>
          <w:rFonts w:ascii="Times New Roman" w:eastAsia="宋体" w:hAnsi="Times New Roman"/>
          <w:b/>
          <w:bCs/>
          <w:sz w:val="21"/>
          <w:szCs w:val="21"/>
          <w:lang w:val="zh-CN"/>
        </w:rPr>
        <w:t>)</w:t>
      </w:r>
    </w:p>
    <w:p w:rsidR="00525419" w:rsidRDefault="00525419">
      <w:pPr>
        <w:pStyle w:val="afffffffffffffffffffffffffffffffffff5"/>
        <w:spacing w:line="360" w:lineRule="auto"/>
        <w:ind w:firstLineChars="0" w:firstLine="0"/>
        <w:jc w:val="center"/>
        <w:rPr>
          <w:rFonts w:ascii="Times New Roman" w:hAnsi="Times New Roman"/>
          <w:b/>
          <w:bCs/>
          <w:sz w:val="21"/>
          <w:szCs w:val="21"/>
          <w:lang w:val="zh-CN"/>
        </w:rPr>
      </w:pPr>
    </w:p>
    <w:p w:rsidR="00525419" w:rsidRDefault="00EE1CF7">
      <w:pPr>
        <w:pStyle w:val="afffffffffffffffffffffffffffffffffff5"/>
        <w:spacing w:line="360" w:lineRule="auto"/>
        <w:ind w:firstLineChars="0" w:firstLine="0"/>
        <w:jc w:val="center"/>
        <w:rPr>
          <w:rFonts w:ascii="Times New Roman" w:eastAsia="宋体" w:hAnsi="Times New Roman"/>
          <w:b/>
          <w:bCs/>
          <w:sz w:val="21"/>
          <w:szCs w:val="21"/>
          <w:lang w:val="zh-CN"/>
        </w:rPr>
      </w:pPr>
      <w:r>
        <w:rPr>
          <w:rFonts w:ascii="Times New Roman" w:eastAsia="宋体" w:hAnsi="Times New Roman"/>
          <w:b/>
          <w:bCs/>
          <w:sz w:val="21"/>
          <w:szCs w:val="21"/>
        </w:rPr>
        <w:t>图</w:t>
      </w:r>
      <w:r>
        <w:rPr>
          <w:rFonts w:ascii="Times New Roman" w:eastAsia="宋体" w:hAnsi="Times New Roman"/>
          <w:b/>
          <w:bCs/>
          <w:sz w:val="21"/>
          <w:szCs w:val="21"/>
        </w:rPr>
        <w:t xml:space="preserve">5.1-8    </w:t>
      </w:r>
      <w:r>
        <w:rPr>
          <w:rFonts w:ascii="Times New Roman" w:eastAsia="宋体" w:hAnsi="Times New Roman"/>
          <w:b/>
          <w:bCs/>
          <w:sz w:val="21"/>
          <w:szCs w:val="21"/>
        </w:rPr>
        <w:t>本项目区域</w:t>
      </w:r>
      <w:r>
        <w:rPr>
          <w:rFonts w:ascii="Times New Roman" w:eastAsia="宋体" w:hAnsi="Times New Roman"/>
          <w:b/>
          <w:bCs/>
          <w:sz w:val="21"/>
          <w:szCs w:val="21"/>
        </w:rPr>
        <w:t>SO</w:t>
      </w:r>
      <w:r>
        <w:rPr>
          <w:rFonts w:ascii="Times New Roman" w:eastAsia="宋体" w:hAnsi="Times New Roman"/>
          <w:b/>
          <w:bCs/>
          <w:sz w:val="21"/>
          <w:szCs w:val="21"/>
          <w:vertAlign w:val="subscript"/>
        </w:rPr>
        <w:t>2</w:t>
      </w:r>
      <w:r>
        <w:rPr>
          <w:rFonts w:ascii="Times New Roman" w:eastAsia="宋体" w:hAnsi="Times New Roman"/>
          <w:b/>
          <w:bCs/>
          <w:sz w:val="21"/>
          <w:szCs w:val="21"/>
        </w:rPr>
        <w:t>最大年均贡献浓度</w:t>
      </w:r>
      <w:r>
        <w:rPr>
          <w:rFonts w:ascii="Times New Roman" w:eastAsia="宋体" w:hAnsi="Times New Roman"/>
          <w:b/>
          <w:bCs/>
          <w:sz w:val="21"/>
          <w:szCs w:val="21"/>
          <w:lang w:val="zh-CN"/>
        </w:rPr>
        <w:t>等值线图</w:t>
      </w:r>
      <w:r>
        <w:rPr>
          <w:rFonts w:ascii="Times New Roman" w:eastAsia="宋体" w:hAnsi="Times New Roman"/>
          <w:b/>
          <w:bCs/>
          <w:sz w:val="21"/>
          <w:szCs w:val="21"/>
          <w:lang w:val="zh-CN"/>
        </w:rPr>
        <w:t>(</w:t>
      </w:r>
      <w:r>
        <w:rPr>
          <w:rFonts w:ascii="Times New Roman" w:eastAsia="宋体" w:hAnsi="Times New Roman"/>
          <w:b/>
          <w:bCs/>
          <w:sz w:val="21"/>
          <w:szCs w:val="21"/>
          <w:lang w:val="zh-CN"/>
        </w:rPr>
        <w:t>单位：</w:t>
      </w:r>
      <w:r>
        <w:rPr>
          <w:rFonts w:ascii="Times New Roman" w:eastAsia="宋体" w:hAnsi="Times New Roman"/>
          <w:b/>
          <w:bCs/>
          <w:sz w:val="21"/>
          <w:szCs w:val="21"/>
          <w:lang w:val="zh-CN"/>
        </w:rPr>
        <w:t>mg/m</w:t>
      </w:r>
      <w:r>
        <w:rPr>
          <w:rFonts w:ascii="Times New Roman" w:eastAsia="宋体" w:hAnsi="Times New Roman"/>
          <w:b/>
          <w:bCs/>
          <w:sz w:val="21"/>
          <w:szCs w:val="21"/>
          <w:vertAlign w:val="superscript"/>
          <w:lang w:val="zh-CN"/>
        </w:rPr>
        <w:t>3</w:t>
      </w:r>
      <w:r>
        <w:rPr>
          <w:rFonts w:ascii="Times New Roman" w:eastAsia="宋体" w:hAnsi="Times New Roman"/>
          <w:b/>
          <w:bCs/>
          <w:sz w:val="21"/>
          <w:szCs w:val="21"/>
          <w:lang w:val="zh-CN"/>
        </w:rPr>
        <w:t>)</w:t>
      </w:r>
    </w:p>
    <w:p w:rsidR="00525419" w:rsidRDefault="00525419">
      <w:pPr>
        <w:pStyle w:val="B1"/>
        <w:ind w:firstLineChars="0" w:firstLine="0"/>
        <w:rPr>
          <w:rFonts w:cs="Times New Roman"/>
        </w:rPr>
      </w:pPr>
    </w:p>
    <w:p w:rsidR="00525419" w:rsidRDefault="00EE1CF7">
      <w:pPr>
        <w:pStyle w:val="afffffffffffffffffffffffffffffffffff5"/>
        <w:spacing w:line="360" w:lineRule="auto"/>
        <w:ind w:firstLineChars="0" w:firstLine="0"/>
        <w:jc w:val="center"/>
        <w:rPr>
          <w:rFonts w:ascii="Times New Roman" w:eastAsia="宋体" w:hAnsi="Times New Roman"/>
          <w:b/>
          <w:bCs/>
          <w:sz w:val="21"/>
          <w:szCs w:val="21"/>
        </w:rPr>
      </w:pPr>
      <w:r>
        <w:rPr>
          <w:rFonts w:ascii="Times New Roman" w:eastAsia="宋体" w:hAnsi="Times New Roman"/>
          <w:b/>
          <w:bCs/>
          <w:sz w:val="21"/>
          <w:szCs w:val="21"/>
        </w:rPr>
        <w:t>图</w:t>
      </w:r>
      <w:r>
        <w:rPr>
          <w:rFonts w:ascii="Times New Roman" w:eastAsia="宋体" w:hAnsi="Times New Roman"/>
          <w:b/>
          <w:bCs/>
          <w:sz w:val="21"/>
          <w:szCs w:val="21"/>
        </w:rPr>
        <w:t xml:space="preserve">5.1-9    </w:t>
      </w:r>
      <w:r>
        <w:rPr>
          <w:rFonts w:ascii="Times New Roman" w:eastAsia="宋体" w:hAnsi="Times New Roman"/>
          <w:b/>
          <w:bCs/>
          <w:sz w:val="21"/>
          <w:szCs w:val="21"/>
        </w:rPr>
        <w:t>本项目区域</w:t>
      </w:r>
      <w:r>
        <w:rPr>
          <w:rFonts w:ascii="Times New Roman" w:eastAsia="宋体" w:hAnsi="Times New Roman"/>
          <w:b/>
          <w:bCs/>
          <w:sz w:val="21"/>
          <w:szCs w:val="21"/>
        </w:rPr>
        <w:t>NO</w:t>
      </w:r>
      <w:r>
        <w:rPr>
          <w:rFonts w:ascii="Times New Roman" w:eastAsia="宋体" w:hAnsi="Times New Roman"/>
          <w:b/>
          <w:bCs/>
          <w:sz w:val="21"/>
          <w:szCs w:val="21"/>
          <w:vertAlign w:val="subscript"/>
        </w:rPr>
        <w:t>2</w:t>
      </w:r>
      <w:r>
        <w:rPr>
          <w:rFonts w:ascii="Times New Roman" w:eastAsia="宋体" w:hAnsi="Times New Roman"/>
          <w:b/>
          <w:bCs/>
          <w:sz w:val="21"/>
          <w:szCs w:val="21"/>
        </w:rPr>
        <w:t>最大小时贡献浓度</w:t>
      </w:r>
      <w:r>
        <w:rPr>
          <w:rFonts w:ascii="Times New Roman" w:eastAsia="宋体" w:hAnsi="Times New Roman"/>
          <w:b/>
          <w:bCs/>
          <w:sz w:val="21"/>
          <w:szCs w:val="21"/>
          <w:lang w:val="zh-CN"/>
        </w:rPr>
        <w:t>等值线图</w:t>
      </w:r>
      <w:r>
        <w:rPr>
          <w:rFonts w:ascii="Times New Roman" w:eastAsia="宋体" w:hAnsi="Times New Roman"/>
          <w:b/>
          <w:bCs/>
          <w:sz w:val="21"/>
          <w:szCs w:val="21"/>
          <w:lang w:val="zh-CN"/>
        </w:rPr>
        <w:t>(</w:t>
      </w:r>
      <w:r>
        <w:rPr>
          <w:rFonts w:ascii="Times New Roman" w:eastAsia="宋体" w:hAnsi="Times New Roman"/>
          <w:b/>
          <w:bCs/>
          <w:sz w:val="21"/>
          <w:szCs w:val="21"/>
          <w:lang w:val="zh-CN"/>
        </w:rPr>
        <w:t>单位：</w:t>
      </w:r>
      <w:r>
        <w:rPr>
          <w:rFonts w:ascii="Times New Roman" w:eastAsia="宋体" w:hAnsi="Times New Roman"/>
          <w:b/>
          <w:bCs/>
          <w:sz w:val="21"/>
          <w:szCs w:val="21"/>
          <w:lang w:val="zh-CN"/>
        </w:rPr>
        <w:t>mg/m</w:t>
      </w:r>
      <w:r>
        <w:rPr>
          <w:rFonts w:ascii="Times New Roman" w:eastAsia="宋体" w:hAnsi="Times New Roman"/>
          <w:b/>
          <w:bCs/>
          <w:sz w:val="21"/>
          <w:szCs w:val="21"/>
          <w:vertAlign w:val="superscript"/>
          <w:lang w:val="zh-CN"/>
        </w:rPr>
        <w:t>3</w:t>
      </w:r>
      <w:r>
        <w:rPr>
          <w:rFonts w:ascii="Times New Roman" w:eastAsia="宋体" w:hAnsi="Times New Roman"/>
          <w:b/>
          <w:bCs/>
          <w:sz w:val="21"/>
          <w:szCs w:val="21"/>
          <w:lang w:val="zh-CN"/>
        </w:rPr>
        <w:t>)</w:t>
      </w:r>
    </w:p>
    <w:p w:rsidR="00525419" w:rsidRDefault="00525419">
      <w:pPr>
        <w:pStyle w:val="B1"/>
        <w:ind w:firstLine="480"/>
        <w:rPr>
          <w:rFonts w:cs="Times New Roman"/>
        </w:rPr>
      </w:pPr>
    </w:p>
    <w:p w:rsidR="00525419" w:rsidRDefault="00525419">
      <w:pPr>
        <w:pStyle w:val="B1"/>
        <w:ind w:firstLine="480"/>
        <w:rPr>
          <w:rFonts w:cs="Times New Roman"/>
        </w:rPr>
      </w:pPr>
    </w:p>
    <w:p w:rsidR="00525419" w:rsidRDefault="00525419">
      <w:pPr>
        <w:pStyle w:val="B1"/>
        <w:ind w:firstLine="480"/>
        <w:rPr>
          <w:rFonts w:cs="Times New Roman"/>
        </w:rPr>
      </w:pPr>
    </w:p>
    <w:p w:rsidR="00525419" w:rsidRDefault="00525419">
      <w:pPr>
        <w:pStyle w:val="B1"/>
        <w:ind w:firstLine="480"/>
        <w:rPr>
          <w:rFonts w:cs="Times New Roman"/>
        </w:rPr>
      </w:pPr>
    </w:p>
    <w:p w:rsidR="00525419" w:rsidRDefault="00525419">
      <w:pPr>
        <w:pStyle w:val="B1"/>
        <w:ind w:firstLine="480"/>
        <w:rPr>
          <w:rFonts w:cs="Times New Roman"/>
        </w:rPr>
      </w:pPr>
    </w:p>
    <w:p w:rsidR="00525419" w:rsidRDefault="00525419">
      <w:pPr>
        <w:pStyle w:val="B1"/>
        <w:ind w:firstLine="480"/>
        <w:rPr>
          <w:rFonts w:cs="Times New Roman"/>
        </w:rPr>
      </w:pPr>
    </w:p>
    <w:p w:rsidR="00525419" w:rsidRDefault="00525419">
      <w:pPr>
        <w:pStyle w:val="B1"/>
        <w:ind w:firstLine="480"/>
        <w:rPr>
          <w:rFonts w:cs="Times New Roman"/>
        </w:rPr>
      </w:pPr>
    </w:p>
    <w:p w:rsidR="00525419" w:rsidRDefault="00525419">
      <w:pPr>
        <w:pStyle w:val="B1"/>
        <w:ind w:firstLineChars="0" w:firstLine="0"/>
        <w:rPr>
          <w:rFonts w:cs="Times New Roman"/>
        </w:rPr>
      </w:pPr>
    </w:p>
    <w:p w:rsidR="00525419" w:rsidRDefault="00EE1CF7">
      <w:pPr>
        <w:pStyle w:val="afffffffffffffffffffffffffffffffffff5"/>
        <w:spacing w:line="360" w:lineRule="auto"/>
        <w:ind w:firstLineChars="0" w:firstLine="0"/>
        <w:jc w:val="center"/>
        <w:rPr>
          <w:rFonts w:ascii="Times New Roman" w:eastAsia="宋体" w:hAnsi="Times New Roman"/>
          <w:b/>
          <w:bCs/>
          <w:sz w:val="21"/>
          <w:szCs w:val="21"/>
          <w:lang w:val="zh-CN"/>
        </w:rPr>
      </w:pPr>
      <w:r>
        <w:rPr>
          <w:rFonts w:ascii="Times New Roman" w:eastAsia="宋体" w:hAnsi="Times New Roman"/>
          <w:b/>
          <w:bCs/>
          <w:sz w:val="21"/>
          <w:szCs w:val="21"/>
        </w:rPr>
        <w:t>图</w:t>
      </w:r>
      <w:r>
        <w:rPr>
          <w:rFonts w:ascii="Times New Roman" w:eastAsia="宋体" w:hAnsi="Times New Roman"/>
          <w:b/>
          <w:bCs/>
          <w:sz w:val="21"/>
          <w:szCs w:val="21"/>
        </w:rPr>
        <w:t xml:space="preserve">5.1-10    </w:t>
      </w:r>
      <w:r>
        <w:rPr>
          <w:rFonts w:ascii="Times New Roman" w:eastAsia="宋体" w:hAnsi="Times New Roman"/>
          <w:b/>
          <w:bCs/>
          <w:sz w:val="21"/>
          <w:szCs w:val="21"/>
        </w:rPr>
        <w:t>本项目区域</w:t>
      </w:r>
      <w:r>
        <w:rPr>
          <w:rFonts w:ascii="Times New Roman" w:eastAsia="宋体" w:hAnsi="Times New Roman"/>
          <w:b/>
          <w:bCs/>
          <w:sz w:val="21"/>
          <w:szCs w:val="21"/>
        </w:rPr>
        <w:t>NO</w:t>
      </w:r>
      <w:r>
        <w:rPr>
          <w:rFonts w:ascii="Times New Roman" w:eastAsia="宋体" w:hAnsi="Times New Roman"/>
          <w:b/>
          <w:bCs/>
          <w:sz w:val="21"/>
          <w:szCs w:val="21"/>
          <w:vertAlign w:val="subscript"/>
        </w:rPr>
        <w:t>2</w:t>
      </w:r>
      <w:r>
        <w:rPr>
          <w:rFonts w:ascii="Times New Roman" w:eastAsia="宋体" w:hAnsi="Times New Roman"/>
          <w:b/>
          <w:bCs/>
          <w:sz w:val="21"/>
          <w:szCs w:val="21"/>
        </w:rPr>
        <w:t>最大日均贡献浓度</w:t>
      </w:r>
      <w:r>
        <w:rPr>
          <w:rFonts w:ascii="Times New Roman" w:eastAsia="宋体" w:hAnsi="Times New Roman"/>
          <w:b/>
          <w:bCs/>
          <w:sz w:val="21"/>
          <w:szCs w:val="21"/>
          <w:lang w:val="zh-CN"/>
        </w:rPr>
        <w:t>等值线图</w:t>
      </w:r>
      <w:r>
        <w:rPr>
          <w:rFonts w:ascii="Times New Roman" w:eastAsia="宋体" w:hAnsi="Times New Roman"/>
          <w:b/>
          <w:bCs/>
          <w:sz w:val="21"/>
          <w:szCs w:val="21"/>
          <w:lang w:val="zh-CN"/>
        </w:rPr>
        <w:t>(</w:t>
      </w:r>
      <w:r>
        <w:rPr>
          <w:rFonts w:ascii="Times New Roman" w:eastAsia="宋体" w:hAnsi="Times New Roman"/>
          <w:b/>
          <w:bCs/>
          <w:sz w:val="21"/>
          <w:szCs w:val="21"/>
          <w:lang w:val="zh-CN"/>
        </w:rPr>
        <w:t>单位：</w:t>
      </w:r>
      <w:r>
        <w:rPr>
          <w:rFonts w:ascii="Times New Roman" w:eastAsia="宋体" w:hAnsi="Times New Roman"/>
          <w:b/>
          <w:bCs/>
          <w:sz w:val="21"/>
          <w:szCs w:val="21"/>
          <w:lang w:val="zh-CN"/>
        </w:rPr>
        <w:t>mg/m</w:t>
      </w:r>
      <w:r>
        <w:rPr>
          <w:rFonts w:ascii="Times New Roman" w:eastAsia="宋体" w:hAnsi="Times New Roman"/>
          <w:b/>
          <w:bCs/>
          <w:sz w:val="21"/>
          <w:szCs w:val="21"/>
          <w:vertAlign w:val="superscript"/>
          <w:lang w:val="zh-CN"/>
        </w:rPr>
        <w:t>3</w:t>
      </w:r>
      <w:r>
        <w:rPr>
          <w:rFonts w:ascii="Times New Roman" w:eastAsia="宋体" w:hAnsi="Times New Roman"/>
          <w:b/>
          <w:bCs/>
          <w:sz w:val="21"/>
          <w:szCs w:val="21"/>
          <w:lang w:val="zh-CN"/>
        </w:rPr>
        <w:t>)</w:t>
      </w:r>
    </w:p>
    <w:p w:rsidR="00525419" w:rsidRDefault="00525419">
      <w:pPr>
        <w:pStyle w:val="afffffffffffffffffffffffffffffffffff5"/>
        <w:spacing w:line="360" w:lineRule="auto"/>
        <w:ind w:firstLineChars="0" w:firstLine="0"/>
        <w:rPr>
          <w:rFonts w:ascii="Times New Roman" w:eastAsia="宋体" w:hAnsi="Times New Roman"/>
          <w:b/>
          <w:bCs/>
          <w:sz w:val="21"/>
          <w:szCs w:val="21"/>
          <w:lang w:val="zh-CN"/>
        </w:rPr>
      </w:pPr>
    </w:p>
    <w:p w:rsidR="00525419" w:rsidRDefault="00EE1CF7">
      <w:pPr>
        <w:pStyle w:val="afffffffffffffffffffffffffffffffffff5"/>
        <w:spacing w:line="360" w:lineRule="auto"/>
        <w:ind w:firstLineChars="0" w:firstLine="0"/>
        <w:jc w:val="center"/>
        <w:rPr>
          <w:rFonts w:ascii="Times New Roman" w:eastAsia="宋体" w:hAnsi="Times New Roman"/>
          <w:b/>
          <w:bCs/>
          <w:sz w:val="21"/>
          <w:szCs w:val="21"/>
          <w:lang w:val="zh-CN"/>
        </w:rPr>
      </w:pPr>
      <w:r>
        <w:rPr>
          <w:rFonts w:ascii="Times New Roman" w:eastAsia="宋体" w:hAnsi="Times New Roman"/>
          <w:b/>
          <w:bCs/>
          <w:sz w:val="21"/>
          <w:szCs w:val="21"/>
        </w:rPr>
        <w:t>图</w:t>
      </w:r>
      <w:r>
        <w:rPr>
          <w:rFonts w:ascii="Times New Roman" w:eastAsia="宋体" w:hAnsi="Times New Roman"/>
          <w:b/>
          <w:bCs/>
          <w:sz w:val="21"/>
          <w:szCs w:val="21"/>
        </w:rPr>
        <w:t xml:space="preserve">5.1-11    </w:t>
      </w:r>
      <w:r>
        <w:rPr>
          <w:rFonts w:ascii="Times New Roman" w:eastAsia="宋体" w:hAnsi="Times New Roman"/>
          <w:b/>
          <w:bCs/>
          <w:sz w:val="21"/>
          <w:szCs w:val="21"/>
        </w:rPr>
        <w:t>本项目区域</w:t>
      </w:r>
      <w:r>
        <w:rPr>
          <w:rFonts w:ascii="Times New Roman" w:eastAsia="宋体" w:hAnsi="Times New Roman"/>
          <w:b/>
          <w:bCs/>
          <w:sz w:val="21"/>
          <w:szCs w:val="21"/>
        </w:rPr>
        <w:t>NO</w:t>
      </w:r>
      <w:r>
        <w:rPr>
          <w:rFonts w:ascii="Times New Roman" w:eastAsia="宋体" w:hAnsi="Times New Roman"/>
          <w:b/>
          <w:bCs/>
          <w:sz w:val="21"/>
          <w:szCs w:val="21"/>
          <w:vertAlign w:val="subscript"/>
        </w:rPr>
        <w:t>2</w:t>
      </w:r>
      <w:r>
        <w:rPr>
          <w:rFonts w:ascii="Times New Roman" w:eastAsia="宋体" w:hAnsi="Times New Roman"/>
          <w:b/>
          <w:bCs/>
          <w:sz w:val="21"/>
          <w:szCs w:val="21"/>
        </w:rPr>
        <w:t>最大年均贡献浓度</w:t>
      </w:r>
      <w:r>
        <w:rPr>
          <w:rFonts w:ascii="Times New Roman" w:eastAsia="宋体" w:hAnsi="Times New Roman"/>
          <w:b/>
          <w:bCs/>
          <w:sz w:val="21"/>
          <w:szCs w:val="21"/>
          <w:lang w:val="zh-CN"/>
        </w:rPr>
        <w:t>等值线图</w:t>
      </w:r>
      <w:r>
        <w:rPr>
          <w:rFonts w:ascii="Times New Roman" w:eastAsia="宋体" w:hAnsi="Times New Roman"/>
          <w:b/>
          <w:bCs/>
          <w:sz w:val="21"/>
          <w:szCs w:val="21"/>
          <w:lang w:val="zh-CN"/>
        </w:rPr>
        <w:t>(</w:t>
      </w:r>
      <w:r>
        <w:rPr>
          <w:rFonts w:ascii="Times New Roman" w:eastAsia="宋体" w:hAnsi="Times New Roman"/>
          <w:b/>
          <w:bCs/>
          <w:sz w:val="21"/>
          <w:szCs w:val="21"/>
          <w:lang w:val="zh-CN"/>
        </w:rPr>
        <w:t>单位：</w:t>
      </w:r>
      <w:r>
        <w:rPr>
          <w:rFonts w:ascii="Times New Roman" w:eastAsia="宋体" w:hAnsi="Times New Roman"/>
          <w:b/>
          <w:bCs/>
          <w:sz w:val="21"/>
          <w:szCs w:val="21"/>
          <w:lang w:val="zh-CN"/>
        </w:rPr>
        <w:t>mg/m</w:t>
      </w:r>
      <w:r>
        <w:rPr>
          <w:rFonts w:ascii="Times New Roman" w:eastAsia="宋体" w:hAnsi="Times New Roman"/>
          <w:b/>
          <w:bCs/>
          <w:sz w:val="21"/>
          <w:szCs w:val="21"/>
          <w:vertAlign w:val="superscript"/>
          <w:lang w:val="zh-CN"/>
        </w:rPr>
        <w:t>3</w:t>
      </w:r>
      <w:r>
        <w:rPr>
          <w:rFonts w:ascii="Times New Roman" w:eastAsia="宋体" w:hAnsi="Times New Roman"/>
          <w:b/>
          <w:bCs/>
          <w:sz w:val="21"/>
          <w:szCs w:val="21"/>
          <w:lang w:val="zh-CN"/>
        </w:rPr>
        <w:t>)</w:t>
      </w:r>
    </w:p>
    <w:p w:rsidR="00525419" w:rsidRDefault="00525419">
      <w:pPr>
        <w:pStyle w:val="B1"/>
        <w:ind w:firstLineChars="0" w:firstLine="0"/>
        <w:rPr>
          <w:rFonts w:cs="Times New Roman"/>
        </w:rPr>
      </w:pPr>
    </w:p>
    <w:p w:rsidR="00525419" w:rsidRDefault="00EE1CF7">
      <w:pPr>
        <w:pStyle w:val="afffffffffffffffffffffffffffffffffff5"/>
        <w:spacing w:line="360" w:lineRule="auto"/>
        <w:ind w:firstLineChars="0" w:firstLine="0"/>
        <w:jc w:val="center"/>
        <w:rPr>
          <w:rFonts w:ascii="Times New Roman" w:eastAsia="宋体" w:hAnsi="Times New Roman"/>
          <w:b/>
          <w:bCs/>
          <w:sz w:val="21"/>
          <w:szCs w:val="21"/>
          <w:lang w:val="zh-CN"/>
        </w:rPr>
      </w:pPr>
      <w:r>
        <w:rPr>
          <w:rFonts w:ascii="Times New Roman" w:eastAsia="宋体" w:hAnsi="Times New Roman"/>
          <w:b/>
          <w:bCs/>
          <w:sz w:val="21"/>
          <w:szCs w:val="21"/>
        </w:rPr>
        <w:t>图</w:t>
      </w:r>
      <w:r>
        <w:rPr>
          <w:rFonts w:ascii="Times New Roman" w:eastAsia="宋体" w:hAnsi="Times New Roman"/>
          <w:b/>
          <w:bCs/>
          <w:sz w:val="21"/>
          <w:szCs w:val="21"/>
        </w:rPr>
        <w:t xml:space="preserve">5.1-12    </w:t>
      </w:r>
      <w:r>
        <w:rPr>
          <w:rFonts w:ascii="Times New Roman" w:eastAsia="宋体" w:hAnsi="Times New Roman"/>
          <w:b/>
          <w:bCs/>
          <w:sz w:val="21"/>
          <w:szCs w:val="21"/>
        </w:rPr>
        <w:t>本项目区域</w:t>
      </w:r>
      <w:r>
        <w:rPr>
          <w:rFonts w:ascii="Times New Roman" w:eastAsia="宋体" w:hAnsi="Times New Roman"/>
          <w:b/>
          <w:bCs/>
          <w:sz w:val="21"/>
          <w:szCs w:val="21"/>
        </w:rPr>
        <w:t>PM</w:t>
      </w:r>
      <w:r>
        <w:rPr>
          <w:rFonts w:ascii="Times New Roman" w:eastAsia="宋体" w:hAnsi="Times New Roman"/>
          <w:b/>
          <w:bCs/>
          <w:sz w:val="21"/>
          <w:szCs w:val="21"/>
          <w:vertAlign w:val="subscript"/>
        </w:rPr>
        <w:t>2.5</w:t>
      </w:r>
      <w:r>
        <w:rPr>
          <w:rFonts w:ascii="Times New Roman" w:eastAsia="宋体" w:hAnsi="Times New Roman"/>
          <w:b/>
          <w:bCs/>
          <w:sz w:val="21"/>
          <w:szCs w:val="21"/>
        </w:rPr>
        <w:t>最大日均贡献浓度</w:t>
      </w:r>
      <w:r>
        <w:rPr>
          <w:rFonts w:ascii="Times New Roman" w:eastAsia="宋体" w:hAnsi="Times New Roman"/>
          <w:b/>
          <w:bCs/>
          <w:sz w:val="21"/>
          <w:szCs w:val="21"/>
          <w:lang w:val="zh-CN"/>
        </w:rPr>
        <w:t>等值线图</w:t>
      </w:r>
      <w:r>
        <w:rPr>
          <w:rFonts w:ascii="Times New Roman" w:eastAsia="宋体" w:hAnsi="Times New Roman"/>
          <w:b/>
          <w:bCs/>
          <w:sz w:val="21"/>
          <w:szCs w:val="21"/>
          <w:lang w:val="zh-CN"/>
        </w:rPr>
        <w:t>(</w:t>
      </w:r>
      <w:r>
        <w:rPr>
          <w:rFonts w:ascii="Times New Roman" w:eastAsia="宋体" w:hAnsi="Times New Roman"/>
          <w:b/>
          <w:bCs/>
          <w:sz w:val="21"/>
          <w:szCs w:val="21"/>
          <w:lang w:val="zh-CN"/>
        </w:rPr>
        <w:t>单位：</w:t>
      </w:r>
      <w:r>
        <w:rPr>
          <w:rFonts w:ascii="Times New Roman" w:eastAsia="宋体" w:hAnsi="Times New Roman"/>
          <w:b/>
          <w:bCs/>
          <w:sz w:val="21"/>
          <w:szCs w:val="21"/>
          <w:lang w:val="zh-CN"/>
        </w:rPr>
        <w:t>mg/m</w:t>
      </w:r>
      <w:r>
        <w:rPr>
          <w:rFonts w:ascii="Times New Roman" w:eastAsia="宋体" w:hAnsi="Times New Roman"/>
          <w:b/>
          <w:bCs/>
          <w:sz w:val="21"/>
          <w:szCs w:val="21"/>
          <w:vertAlign w:val="superscript"/>
          <w:lang w:val="zh-CN"/>
        </w:rPr>
        <w:t>3</w:t>
      </w:r>
      <w:r>
        <w:rPr>
          <w:rFonts w:ascii="Times New Roman" w:eastAsia="宋体" w:hAnsi="Times New Roman"/>
          <w:b/>
          <w:bCs/>
          <w:sz w:val="21"/>
          <w:szCs w:val="21"/>
          <w:lang w:val="zh-CN"/>
        </w:rPr>
        <w:t>)</w:t>
      </w:r>
    </w:p>
    <w:p w:rsidR="00525419" w:rsidRDefault="00525419">
      <w:pPr>
        <w:pStyle w:val="B1"/>
        <w:ind w:firstLineChars="0" w:firstLine="0"/>
        <w:rPr>
          <w:rFonts w:cs="Times New Roman"/>
        </w:rPr>
      </w:pPr>
    </w:p>
    <w:p w:rsidR="00525419" w:rsidRDefault="00EE1CF7">
      <w:pPr>
        <w:pStyle w:val="afffffffffffffffffffffffffffffffffff5"/>
        <w:spacing w:line="360" w:lineRule="auto"/>
        <w:ind w:firstLineChars="0" w:firstLine="0"/>
        <w:jc w:val="center"/>
        <w:rPr>
          <w:rFonts w:ascii="Times New Roman" w:eastAsia="宋体" w:hAnsi="Times New Roman"/>
          <w:b/>
          <w:bCs/>
          <w:sz w:val="21"/>
          <w:szCs w:val="21"/>
          <w:lang w:val="zh-CN"/>
        </w:rPr>
      </w:pPr>
      <w:r>
        <w:rPr>
          <w:rFonts w:ascii="Times New Roman" w:eastAsia="宋体" w:hAnsi="Times New Roman"/>
          <w:b/>
          <w:bCs/>
          <w:sz w:val="21"/>
          <w:szCs w:val="21"/>
        </w:rPr>
        <w:t>图</w:t>
      </w:r>
      <w:r>
        <w:rPr>
          <w:rFonts w:ascii="Times New Roman" w:eastAsia="宋体" w:hAnsi="Times New Roman"/>
          <w:b/>
          <w:bCs/>
          <w:sz w:val="21"/>
          <w:szCs w:val="21"/>
        </w:rPr>
        <w:t xml:space="preserve">5.1-13   </w:t>
      </w:r>
      <w:r>
        <w:rPr>
          <w:rFonts w:ascii="Times New Roman" w:eastAsia="宋体" w:hAnsi="Times New Roman"/>
          <w:b/>
          <w:bCs/>
          <w:sz w:val="21"/>
          <w:szCs w:val="21"/>
        </w:rPr>
        <w:t>本项目区域</w:t>
      </w:r>
      <w:r>
        <w:rPr>
          <w:rFonts w:ascii="Times New Roman" w:eastAsia="宋体" w:hAnsi="Times New Roman"/>
          <w:b/>
          <w:bCs/>
          <w:sz w:val="21"/>
          <w:szCs w:val="21"/>
        </w:rPr>
        <w:t>PM</w:t>
      </w:r>
      <w:r>
        <w:rPr>
          <w:rFonts w:ascii="Times New Roman" w:eastAsia="宋体" w:hAnsi="Times New Roman"/>
          <w:b/>
          <w:bCs/>
          <w:sz w:val="21"/>
          <w:szCs w:val="21"/>
          <w:vertAlign w:val="subscript"/>
        </w:rPr>
        <w:t>2.5</w:t>
      </w:r>
      <w:r>
        <w:rPr>
          <w:rFonts w:ascii="Times New Roman" w:eastAsia="宋体" w:hAnsi="Times New Roman"/>
          <w:b/>
          <w:bCs/>
          <w:sz w:val="21"/>
          <w:szCs w:val="21"/>
        </w:rPr>
        <w:t>最大年均贡献浓度</w:t>
      </w:r>
      <w:r>
        <w:rPr>
          <w:rFonts w:ascii="Times New Roman" w:eastAsia="宋体" w:hAnsi="Times New Roman"/>
          <w:b/>
          <w:bCs/>
          <w:sz w:val="21"/>
          <w:szCs w:val="21"/>
          <w:lang w:val="zh-CN"/>
        </w:rPr>
        <w:t>等值线图</w:t>
      </w:r>
      <w:r>
        <w:rPr>
          <w:rFonts w:ascii="Times New Roman" w:eastAsia="宋体" w:hAnsi="Times New Roman"/>
          <w:b/>
          <w:bCs/>
          <w:sz w:val="21"/>
          <w:szCs w:val="21"/>
          <w:lang w:val="zh-CN"/>
        </w:rPr>
        <w:t>(</w:t>
      </w:r>
      <w:r>
        <w:rPr>
          <w:rFonts w:ascii="Times New Roman" w:eastAsia="宋体" w:hAnsi="Times New Roman"/>
          <w:b/>
          <w:bCs/>
          <w:sz w:val="21"/>
          <w:szCs w:val="21"/>
          <w:lang w:val="zh-CN"/>
        </w:rPr>
        <w:t>单位：</w:t>
      </w:r>
      <w:r>
        <w:rPr>
          <w:rFonts w:ascii="Times New Roman" w:eastAsia="宋体" w:hAnsi="Times New Roman"/>
          <w:b/>
          <w:bCs/>
          <w:sz w:val="21"/>
          <w:szCs w:val="21"/>
          <w:lang w:val="zh-CN"/>
        </w:rPr>
        <w:t>mg/m</w:t>
      </w:r>
      <w:r>
        <w:rPr>
          <w:rFonts w:ascii="Times New Roman" w:eastAsia="宋体" w:hAnsi="Times New Roman"/>
          <w:b/>
          <w:bCs/>
          <w:sz w:val="21"/>
          <w:szCs w:val="21"/>
          <w:vertAlign w:val="superscript"/>
          <w:lang w:val="zh-CN"/>
        </w:rPr>
        <w:t>3</w:t>
      </w:r>
      <w:r>
        <w:rPr>
          <w:rFonts w:ascii="Times New Roman" w:eastAsia="宋体" w:hAnsi="Times New Roman"/>
          <w:b/>
          <w:bCs/>
          <w:sz w:val="21"/>
          <w:szCs w:val="21"/>
          <w:lang w:val="zh-CN"/>
        </w:rPr>
        <w:t>)</w:t>
      </w:r>
    </w:p>
    <w:p w:rsidR="00525419" w:rsidRDefault="00525419">
      <w:pPr>
        <w:pStyle w:val="B1"/>
        <w:ind w:firstLineChars="0" w:firstLine="0"/>
        <w:rPr>
          <w:rFonts w:cs="Times New Roman"/>
        </w:rPr>
      </w:pPr>
    </w:p>
    <w:p w:rsidR="00525419" w:rsidRDefault="00EE1CF7">
      <w:pPr>
        <w:pStyle w:val="afffffffffffffffffffffffffffffffffff5"/>
        <w:spacing w:line="360" w:lineRule="auto"/>
        <w:ind w:firstLineChars="0" w:firstLine="0"/>
        <w:jc w:val="center"/>
        <w:rPr>
          <w:rFonts w:ascii="Times New Roman" w:eastAsia="宋体" w:hAnsi="Times New Roman"/>
          <w:b/>
          <w:bCs/>
          <w:sz w:val="21"/>
          <w:szCs w:val="21"/>
          <w:lang w:val="zh-CN"/>
        </w:rPr>
      </w:pPr>
      <w:r>
        <w:rPr>
          <w:rFonts w:ascii="Times New Roman" w:eastAsia="宋体" w:hAnsi="Times New Roman"/>
          <w:b/>
          <w:bCs/>
          <w:sz w:val="21"/>
          <w:szCs w:val="21"/>
        </w:rPr>
        <w:t>图</w:t>
      </w:r>
      <w:r>
        <w:rPr>
          <w:rFonts w:ascii="Times New Roman" w:eastAsia="宋体" w:hAnsi="Times New Roman"/>
          <w:b/>
          <w:bCs/>
          <w:sz w:val="21"/>
          <w:szCs w:val="21"/>
        </w:rPr>
        <w:t xml:space="preserve">5.1-14   </w:t>
      </w:r>
      <w:r>
        <w:rPr>
          <w:rFonts w:ascii="Times New Roman" w:eastAsia="宋体" w:hAnsi="Times New Roman"/>
          <w:b/>
          <w:bCs/>
          <w:sz w:val="21"/>
          <w:szCs w:val="21"/>
        </w:rPr>
        <w:t>本项目区域非甲烷总烃最大小时贡献浓度</w:t>
      </w:r>
      <w:r>
        <w:rPr>
          <w:rFonts w:ascii="Times New Roman" w:eastAsia="宋体" w:hAnsi="Times New Roman"/>
          <w:b/>
          <w:bCs/>
          <w:sz w:val="21"/>
          <w:szCs w:val="21"/>
          <w:lang w:val="zh-CN"/>
        </w:rPr>
        <w:t>等值线图</w:t>
      </w:r>
      <w:r>
        <w:rPr>
          <w:rFonts w:ascii="Times New Roman" w:eastAsia="宋体" w:hAnsi="Times New Roman"/>
          <w:b/>
          <w:bCs/>
          <w:sz w:val="21"/>
          <w:szCs w:val="21"/>
          <w:lang w:val="zh-CN"/>
        </w:rPr>
        <w:t>(</w:t>
      </w:r>
      <w:r>
        <w:rPr>
          <w:rFonts w:ascii="Times New Roman" w:eastAsia="宋体" w:hAnsi="Times New Roman"/>
          <w:b/>
          <w:bCs/>
          <w:sz w:val="21"/>
          <w:szCs w:val="21"/>
          <w:lang w:val="zh-CN"/>
        </w:rPr>
        <w:t>单位：</w:t>
      </w:r>
      <w:r>
        <w:rPr>
          <w:rFonts w:ascii="Times New Roman" w:eastAsia="宋体" w:hAnsi="Times New Roman"/>
          <w:b/>
          <w:bCs/>
          <w:sz w:val="21"/>
          <w:szCs w:val="21"/>
          <w:lang w:val="zh-CN"/>
        </w:rPr>
        <w:t>mg/m</w:t>
      </w:r>
      <w:r>
        <w:rPr>
          <w:rFonts w:ascii="Times New Roman" w:eastAsia="宋体" w:hAnsi="Times New Roman"/>
          <w:b/>
          <w:bCs/>
          <w:sz w:val="21"/>
          <w:szCs w:val="21"/>
          <w:vertAlign w:val="superscript"/>
          <w:lang w:val="zh-CN"/>
        </w:rPr>
        <w:t>3</w:t>
      </w:r>
      <w:r>
        <w:rPr>
          <w:rFonts w:ascii="Times New Roman" w:eastAsia="宋体" w:hAnsi="Times New Roman"/>
          <w:b/>
          <w:bCs/>
          <w:sz w:val="21"/>
          <w:szCs w:val="21"/>
          <w:lang w:val="zh-CN"/>
        </w:rPr>
        <w:t>)</w:t>
      </w:r>
    </w:p>
    <w:p w:rsidR="00525419" w:rsidRDefault="00525419">
      <w:pPr>
        <w:pStyle w:val="4a"/>
        <w:widowControl/>
        <w:adjustRightInd w:val="0"/>
        <w:snapToGrid w:val="0"/>
        <w:spacing w:before="120" w:after="120" w:line="360" w:lineRule="auto"/>
        <w:jc w:val="left"/>
        <w:rPr>
          <w:rFonts w:ascii="Times New Roman" w:hAnsi="Times New Roman" w:cs="Times New Roman"/>
          <w:kern w:val="44"/>
          <w:sz w:val="24"/>
          <w:szCs w:val="24"/>
        </w:rPr>
        <w:sectPr w:rsidR="00525419">
          <w:pgSz w:w="11906" w:h="16838"/>
          <w:pgMar w:top="1440" w:right="1803" w:bottom="1440" w:left="1803" w:header="851" w:footer="992" w:gutter="0"/>
          <w:cols w:space="0"/>
          <w:docGrid w:type="lines" w:linePitch="325"/>
        </w:sectPr>
      </w:pP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lastRenderedPageBreak/>
        <w:t>5.1.3.2</w:t>
      </w:r>
      <w:r>
        <w:rPr>
          <w:rFonts w:ascii="Times New Roman" w:hAnsi="Times New Roman" w:cs="Times New Roman"/>
          <w:kern w:val="44"/>
          <w:sz w:val="24"/>
          <w:szCs w:val="24"/>
        </w:rPr>
        <w:t>项目实施后环境影响叠加预测与评价</w:t>
      </w:r>
    </w:p>
    <w:p w:rsidR="00525419" w:rsidRDefault="00EE1CF7">
      <w:pPr>
        <w:pStyle w:val="B1"/>
        <w:ind w:firstLine="480"/>
        <w:rPr>
          <w:rFonts w:cs="Times New Roman"/>
          <w:bCs/>
        </w:rPr>
      </w:pPr>
      <w:r>
        <w:rPr>
          <w:rFonts w:cs="Times New Roman"/>
          <w:bCs/>
        </w:rPr>
        <w:t>预测本项目建成后现状浓度达标污染物对预测范围的环境影响，应用本项目的贡献浓度，叠加其他在建、拟建项目污染源环境影响，并叠加环境质量现状浓度，然后评价是否符合相应环境质量标准。计算方法如下：本项目实施后预测点叠加各污染源及现状浓度后的环境质量浓度</w:t>
      </w:r>
      <w:r>
        <w:rPr>
          <w:rFonts w:cs="Times New Roman"/>
          <w:bCs/>
        </w:rPr>
        <w:t>=</w:t>
      </w:r>
      <w:r>
        <w:rPr>
          <w:rFonts w:cs="Times New Roman"/>
          <w:bCs/>
        </w:rPr>
        <w:t>本项目对预测点的贡献</w:t>
      </w:r>
      <w:r>
        <w:rPr>
          <w:rFonts w:cs="Times New Roman"/>
          <w:bCs/>
        </w:rPr>
        <w:t>+</w:t>
      </w:r>
      <w:r>
        <w:rPr>
          <w:rFonts w:cs="Times New Roman"/>
          <w:bCs/>
        </w:rPr>
        <w:t>在建、拟建项目污染源对预测点的贡献浓度</w:t>
      </w:r>
      <w:r>
        <w:rPr>
          <w:rFonts w:cs="Times New Roman"/>
          <w:bCs/>
        </w:rPr>
        <w:t>+</w:t>
      </w:r>
      <w:r>
        <w:rPr>
          <w:rFonts w:cs="Times New Roman"/>
          <w:bCs/>
        </w:rPr>
        <w:t>预测点的环境质量现状浓度。</w:t>
      </w:r>
    </w:p>
    <w:p w:rsidR="00525419" w:rsidRDefault="00EE1CF7">
      <w:pPr>
        <w:pStyle w:val="B1"/>
        <w:ind w:firstLine="480"/>
        <w:rPr>
          <w:rFonts w:cs="Times New Roman"/>
          <w:bCs/>
        </w:rPr>
      </w:pPr>
      <w:r>
        <w:rPr>
          <w:rFonts w:cs="Times New Roman"/>
          <w:bCs/>
        </w:rPr>
        <w:t>叠加各污染源及现状浓度后各污染物环境质量浓度及评价结果见表</w:t>
      </w:r>
      <w:r>
        <w:rPr>
          <w:rFonts w:cs="Times New Roman"/>
          <w:bCs/>
        </w:rPr>
        <w:t>5.1-14</w:t>
      </w:r>
      <w:r>
        <w:rPr>
          <w:rFonts w:cs="Times New Roman"/>
          <w:bCs/>
        </w:rPr>
        <w:t>。</w:t>
      </w:r>
    </w:p>
    <w:p w:rsidR="00525419" w:rsidRDefault="00EE1CF7">
      <w:pPr>
        <w:adjustRightInd w:val="0"/>
        <w:snapToGrid w:val="0"/>
        <w:spacing w:line="240" w:lineRule="atLeast"/>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5.1-14  </w:t>
      </w:r>
      <w:r>
        <w:rPr>
          <w:rFonts w:ascii="Times New Roman" w:eastAsia="黑体" w:hAnsi="Times New Roman"/>
          <w:szCs w:val="21"/>
        </w:rPr>
        <w:t>叠加后各污染物环境质量浓度预测及评价结果一览表</w:t>
      </w:r>
      <w:r>
        <w:rPr>
          <w:rFonts w:ascii="Times New Roman" w:eastAsia="黑体" w:hAnsi="Times New Roman"/>
          <w:szCs w:val="21"/>
        </w:rPr>
        <w:t xml:space="preserve">     (mg/m</w:t>
      </w:r>
      <w:r>
        <w:rPr>
          <w:rFonts w:ascii="Times New Roman" w:eastAsia="黑体" w:hAnsi="Times New Roman"/>
          <w:szCs w:val="21"/>
          <w:vertAlign w:val="superscript"/>
        </w:rPr>
        <w:t>3</w:t>
      </w:r>
      <w:r>
        <w:rPr>
          <w:rFonts w:ascii="Times New Roman" w:eastAsia="黑体" w:hAnsi="Times New Roman"/>
          <w:szCs w:val="21"/>
        </w:rPr>
        <w:t>)</w:t>
      </w:r>
    </w:p>
    <w:tbl>
      <w:tblPr>
        <w:tblW w:w="1398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774"/>
        <w:gridCol w:w="1094"/>
        <w:gridCol w:w="1185"/>
        <w:gridCol w:w="792"/>
        <w:gridCol w:w="1164"/>
        <w:gridCol w:w="843"/>
        <w:gridCol w:w="945"/>
        <w:gridCol w:w="1097"/>
        <w:gridCol w:w="1080"/>
        <w:gridCol w:w="1108"/>
        <w:gridCol w:w="1044"/>
        <w:gridCol w:w="870"/>
        <w:gridCol w:w="1216"/>
        <w:gridCol w:w="776"/>
      </w:tblGrid>
      <w:tr w:rsidR="00525419">
        <w:trPr>
          <w:trHeight w:val="855"/>
        </w:trPr>
        <w:tc>
          <w:tcPr>
            <w:tcW w:w="77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序号</w:t>
            </w:r>
          </w:p>
        </w:tc>
        <w:tc>
          <w:tcPr>
            <w:tcW w:w="109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点名称</w:t>
            </w:r>
          </w:p>
        </w:tc>
        <w:tc>
          <w:tcPr>
            <w:tcW w:w="118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点坐标</w:t>
            </w:r>
            <w:r>
              <w:rPr>
                <w:rFonts w:ascii="Times New Roman" w:hAnsi="Times New Roman"/>
                <w:kern w:val="0"/>
                <w:szCs w:val="21"/>
                <w:lang w:bidi="ar"/>
              </w:rPr>
              <w:t>(x</w:t>
            </w:r>
            <w:r>
              <w:rPr>
                <w:rFonts w:ascii="Times New Roman" w:hAnsi="Times New Roman"/>
                <w:kern w:val="0"/>
                <w:szCs w:val="21"/>
                <w:lang w:bidi="ar"/>
              </w:rPr>
              <w:t>或</w:t>
            </w:r>
            <w:r>
              <w:rPr>
                <w:rFonts w:ascii="Times New Roman" w:hAnsi="Times New Roman"/>
                <w:kern w:val="0"/>
                <w:szCs w:val="21"/>
                <w:lang w:bidi="ar"/>
              </w:rPr>
              <w:t>r,y</w:t>
            </w:r>
            <w:r>
              <w:rPr>
                <w:rFonts w:ascii="Times New Roman" w:hAnsi="Times New Roman"/>
                <w:kern w:val="0"/>
                <w:szCs w:val="21"/>
                <w:lang w:bidi="ar"/>
              </w:rPr>
              <w:t>或</w:t>
            </w:r>
            <w:r>
              <w:rPr>
                <w:rFonts w:ascii="Times New Roman" w:hAnsi="Times New Roman"/>
                <w:kern w:val="0"/>
                <w:szCs w:val="21"/>
                <w:lang w:bidi="ar"/>
              </w:rPr>
              <w:t>a)</w:t>
            </w:r>
          </w:p>
        </w:tc>
        <w:tc>
          <w:tcPr>
            <w:tcW w:w="79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地面高程</w:t>
            </w:r>
            <w:r>
              <w:rPr>
                <w:rFonts w:ascii="Times New Roman" w:hAnsi="Times New Roman"/>
                <w:kern w:val="0"/>
                <w:szCs w:val="21"/>
                <w:lang w:bidi="ar"/>
              </w:rPr>
              <w:t>(m)</w:t>
            </w:r>
          </w:p>
        </w:tc>
        <w:tc>
          <w:tcPr>
            <w:tcW w:w="116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山体高度尺度</w:t>
            </w:r>
            <w:r>
              <w:rPr>
                <w:rFonts w:ascii="Times New Roman" w:hAnsi="Times New Roman"/>
                <w:kern w:val="0"/>
                <w:szCs w:val="21"/>
                <w:lang w:bidi="ar"/>
              </w:rPr>
              <w:t>(m)</w:t>
            </w:r>
          </w:p>
        </w:tc>
        <w:tc>
          <w:tcPr>
            <w:tcW w:w="84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离地高度</w:t>
            </w:r>
            <w:r>
              <w:rPr>
                <w:rFonts w:ascii="Times New Roman" w:hAnsi="Times New Roman"/>
                <w:kern w:val="0"/>
                <w:szCs w:val="21"/>
                <w:lang w:bidi="ar"/>
              </w:rPr>
              <w:t>(m)</w:t>
            </w:r>
          </w:p>
        </w:tc>
        <w:tc>
          <w:tcPr>
            <w:tcW w:w="94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浓度类型</w:t>
            </w:r>
          </w:p>
        </w:tc>
        <w:tc>
          <w:tcPr>
            <w:tcW w:w="109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浓度增量</w:t>
            </w:r>
            <w:r>
              <w:rPr>
                <w:rFonts w:ascii="Times New Roman" w:hAnsi="Times New Roman"/>
                <w:kern w:val="0"/>
                <w:szCs w:val="21"/>
                <w:lang w:bidi="ar"/>
              </w:rPr>
              <w:t>(mg/m</w:t>
            </w:r>
            <w:r>
              <w:rPr>
                <w:rFonts w:ascii="Times New Roman" w:hAnsi="Times New Roman"/>
                <w:kern w:val="0"/>
                <w:szCs w:val="21"/>
                <w:vertAlign w:val="superscript"/>
                <w:lang w:bidi="ar"/>
              </w:rPr>
              <w:t>3</w:t>
            </w:r>
            <w:r>
              <w:rPr>
                <w:rFonts w:ascii="Times New Roman" w:hAnsi="Times New Roman"/>
                <w:kern w:val="0"/>
                <w:szCs w:val="21"/>
                <w:lang w:bidi="ar"/>
              </w:rPr>
              <w:t>)</w:t>
            </w:r>
          </w:p>
        </w:tc>
        <w:tc>
          <w:tcPr>
            <w:tcW w:w="108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出现时间</w:t>
            </w:r>
            <w:r>
              <w:rPr>
                <w:rFonts w:ascii="Times New Roman" w:hAnsi="Times New Roman"/>
                <w:kern w:val="0"/>
                <w:szCs w:val="21"/>
                <w:lang w:bidi="ar"/>
              </w:rPr>
              <w:t>(YYMMDDHH)</w:t>
            </w:r>
          </w:p>
        </w:tc>
        <w:tc>
          <w:tcPr>
            <w:tcW w:w="110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背景浓度</w:t>
            </w:r>
            <w:r>
              <w:rPr>
                <w:rFonts w:ascii="Times New Roman" w:hAnsi="Times New Roman"/>
                <w:kern w:val="0"/>
                <w:szCs w:val="21"/>
                <w:lang w:bidi="ar"/>
              </w:rPr>
              <w:t>(mg/m</w:t>
            </w:r>
            <w:r>
              <w:rPr>
                <w:rFonts w:ascii="Times New Roman" w:hAnsi="Times New Roman"/>
                <w:kern w:val="0"/>
                <w:szCs w:val="21"/>
                <w:vertAlign w:val="superscript"/>
                <w:lang w:bidi="ar"/>
              </w:rPr>
              <w:t>3</w:t>
            </w:r>
            <w:r>
              <w:rPr>
                <w:rFonts w:ascii="Times New Roman" w:hAnsi="Times New Roman"/>
                <w:kern w:val="0"/>
                <w:szCs w:val="21"/>
                <w:lang w:bidi="ar"/>
              </w:rPr>
              <w:t>)</w:t>
            </w:r>
          </w:p>
        </w:tc>
        <w:tc>
          <w:tcPr>
            <w:tcW w:w="104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叠加背景后的浓度</w:t>
            </w:r>
            <w:r>
              <w:rPr>
                <w:rFonts w:ascii="Times New Roman" w:hAnsi="Times New Roman"/>
                <w:kern w:val="0"/>
                <w:szCs w:val="21"/>
                <w:lang w:bidi="ar"/>
              </w:rPr>
              <w:t>(mg/m</w:t>
            </w:r>
            <w:r>
              <w:rPr>
                <w:rFonts w:ascii="Times New Roman" w:hAnsi="Times New Roman"/>
                <w:kern w:val="0"/>
                <w:szCs w:val="21"/>
                <w:vertAlign w:val="superscript"/>
                <w:lang w:bidi="ar"/>
              </w:rPr>
              <w:t>3</w:t>
            </w:r>
            <w:r>
              <w:rPr>
                <w:rFonts w:ascii="Times New Roman" w:hAnsi="Times New Roman"/>
                <w:kern w:val="0"/>
                <w:szCs w:val="21"/>
                <w:lang w:bidi="ar"/>
              </w:rPr>
              <w:t>)</w:t>
            </w:r>
          </w:p>
        </w:tc>
        <w:tc>
          <w:tcPr>
            <w:tcW w:w="87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评价标准</w:t>
            </w:r>
            <w:r>
              <w:rPr>
                <w:rFonts w:ascii="Times New Roman" w:hAnsi="Times New Roman"/>
                <w:kern w:val="0"/>
                <w:szCs w:val="21"/>
                <w:lang w:bidi="ar"/>
              </w:rPr>
              <w:t>(mg/m</w:t>
            </w:r>
            <w:r>
              <w:rPr>
                <w:rFonts w:ascii="Times New Roman" w:hAnsi="Times New Roman"/>
                <w:kern w:val="0"/>
                <w:szCs w:val="21"/>
                <w:vertAlign w:val="superscript"/>
                <w:lang w:bidi="ar"/>
              </w:rPr>
              <w:t>3</w:t>
            </w:r>
            <w:r>
              <w:rPr>
                <w:rFonts w:ascii="Times New Roman" w:hAnsi="Times New Roman"/>
                <w:kern w:val="0"/>
                <w:szCs w:val="21"/>
                <w:lang w:bidi="ar"/>
              </w:rPr>
              <w:t>)</w:t>
            </w:r>
          </w:p>
        </w:tc>
        <w:tc>
          <w:tcPr>
            <w:tcW w:w="12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占标率</w:t>
            </w:r>
            <w:r>
              <w:rPr>
                <w:rFonts w:ascii="Times New Roman" w:hAnsi="Times New Roman"/>
                <w:kern w:val="0"/>
                <w:szCs w:val="21"/>
                <w:lang w:bidi="ar"/>
              </w:rPr>
              <w:t>%(</w:t>
            </w:r>
            <w:r>
              <w:rPr>
                <w:rFonts w:ascii="Times New Roman" w:hAnsi="Times New Roman"/>
                <w:kern w:val="0"/>
                <w:szCs w:val="21"/>
                <w:lang w:bidi="ar"/>
              </w:rPr>
              <w:t>叠加背景以后</w:t>
            </w:r>
            <w:r>
              <w:rPr>
                <w:rFonts w:ascii="Times New Roman" w:hAnsi="Times New Roman"/>
                <w:kern w:val="0"/>
                <w:szCs w:val="21"/>
                <w:lang w:bidi="ar"/>
              </w:rPr>
              <w:t>)</w:t>
            </w:r>
          </w:p>
        </w:tc>
        <w:tc>
          <w:tcPr>
            <w:tcW w:w="77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是否超标</w:t>
            </w:r>
          </w:p>
        </w:tc>
      </w:tr>
      <w:tr w:rsidR="00525419">
        <w:trPr>
          <w:trHeight w:val="286"/>
        </w:trPr>
        <w:tc>
          <w:tcPr>
            <w:tcW w:w="774"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SO</w:t>
            </w:r>
            <w:r>
              <w:rPr>
                <w:rFonts w:ascii="Times New Roman" w:hAnsi="Times New Roman"/>
                <w:kern w:val="0"/>
                <w:szCs w:val="21"/>
                <w:vertAlign w:val="subscript"/>
                <w:lang w:bidi="ar"/>
              </w:rPr>
              <w:t>2</w:t>
            </w:r>
          </w:p>
        </w:tc>
        <w:tc>
          <w:tcPr>
            <w:tcW w:w="1094"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鄯善火车站</w:t>
            </w:r>
          </w:p>
        </w:tc>
        <w:tc>
          <w:tcPr>
            <w:tcW w:w="1185"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20,534,022</w:t>
            </w:r>
          </w:p>
        </w:tc>
        <w:tc>
          <w:tcPr>
            <w:tcW w:w="792"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761.66</w:t>
            </w:r>
          </w:p>
        </w:tc>
        <w:tc>
          <w:tcPr>
            <w:tcW w:w="1164"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761.66</w:t>
            </w:r>
          </w:p>
        </w:tc>
        <w:tc>
          <w:tcPr>
            <w:tcW w:w="843"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94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日平均</w:t>
            </w:r>
          </w:p>
        </w:tc>
        <w:tc>
          <w:tcPr>
            <w:tcW w:w="109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3.29E-04</w:t>
            </w:r>
          </w:p>
        </w:tc>
        <w:tc>
          <w:tcPr>
            <w:tcW w:w="108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180517</w:t>
            </w:r>
          </w:p>
        </w:tc>
        <w:tc>
          <w:tcPr>
            <w:tcW w:w="110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3.70E-02</w:t>
            </w:r>
          </w:p>
        </w:tc>
        <w:tc>
          <w:tcPr>
            <w:tcW w:w="104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3.73E-02</w:t>
            </w:r>
          </w:p>
        </w:tc>
        <w:tc>
          <w:tcPr>
            <w:tcW w:w="87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1.50E-01</w:t>
            </w:r>
          </w:p>
        </w:tc>
        <w:tc>
          <w:tcPr>
            <w:tcW w:w="12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24.89</w:t>
            </w:r>
          </w:p>
        </w:tc>
        <w:tc>
          <w:tcPr>
            <w:tcW w:w="77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trPr>
        <w:tc>
          <w:tcPr>
            <w:tcW w:w="774"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094"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185"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792"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164"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843"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94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全时段</w:t>
            </w:r>
          </w:p>
        </w:tc>
        <w:tc>
          <w:tcPr>
            <w:tcW w:w="109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2.35E-05</w:t>
            </w:r>
          </w:p>
        </w:tc>
        <w:tc>
          <w:tcPr>
            <w:tcW w:w="108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平均值</w:t>
            </w:r>
          </w:p>
        </w:tc>
        <w:tc>
          <w:tcPr>
            <w:tcW w:w="110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1.00E-02</w:t>
            </w:r>
          </w:p>
        </w:tc>
        <w:tc>
          <w:tcPr>
            <w:tcW w:w="104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1.00E-02</w:t>
            </w:r>
          </w:p>
        </w:tc>
        <w:tc>
          <w:tcPr>
            <w:tcW w:w="87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6.00E-02</w:t>
            </w:r>
          </w:p>
        </w:tc>
        <w:tc>
          <w:tcPr>
            <w:tcW w:w="12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16.71</w:t>
            </w:r>
          </w:p>
        </w:tc>
        <w:tc>
          <w:tcPr>
            <w:tcW w:w="77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trPr>
        <w:tc>
          <w:tcPr>
            <w:tcW w:w="774" w:type="dxa"/>
            <w:vMerge/>
            <w:tcBorders>
              <w:tl2br w:val="nil"/>
              <w:tr2bl w:val="nil"/>
            </w:tcBorders>
            <w:shd w:val="clear" w:color="auto" w:fill="auto"/>
            <w:vAlign w:val="center"/>
          </w:tcPr>
          <w:p w:rsidR="00525419" w:rsidRDefault="00525419">
            <w:pPr>
              <w:widowControl/>
              <w:jc w:val="center"/>
              <w:textAlignment w:val="center"/>
              <w:rPr>
                <w:rFonts w:ascii="Times New Roman" w:hAnsi="Times New Roman"/>
                <w:szCs w:val="21"/>
              </w:rPr>
            </w:pPr>
          </w:p>
        </w:tc>
        <w:tc>
          <w:tcPr>
            <w:tcW w:w="1094"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火车站镇</w:t>
            </w:r>
          </w:p>
        </w:tc>
        <w:tc>
          <w:tcPr>
            <w:tcW w:w="1185"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34,352,821</w:t>
            </w:r>
          </w:p>
        </w:tc>
        <w:tc>
          <w:tcPr>
            <w:tcW w:w="792"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703.4</w:t>
            </w:r>
          </w:p>
        </w:tc>
        <w:tc>
          <w:tcPr>
            <w:tcW w:w="1164"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703.4</w:t>
            </w:r>
          </w:p>
        </w:tc>
        <w:tc>
          <w:tcPr>
            <w:tcW w:w="843"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94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日平均</w:t>
            </w:r>
          </w:p>
        </w:tc>
        <w:tc>
          <w:tcPr>
            <w:tcW w:w="109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1.82E-04</w:t>
            </w:r>
          </w:p>
        </w:tc>
        <w:tc>
          <w:tcPr>
            <w:tcW w:w="108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181213</w:t>
            </w:r>
          </w:p>
        </w:tc>
        <w:tc>
          <w:tcPr>
            <w:tcW w:w="110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3.70E-02</w:t>
            </w:r>
          </w:p>
        </w:tc>
        <w:tc>
          <w:tcPr>
            <w:tcW w:w="104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3.72E-02</w:t>
            </w:r>
          </w:p>
        </w:tc>
        <w:tc>
          <w:tcPr>
            <w:tcW w:w="87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1.50E-01</w:t>
            </w:r>
          </w:p>
        </w:tc>
        <w:tc>
          <w:tcPr>
            <w:tcW w:w="12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24.79</w:t>
            </w:r>
          </w:p>
        </w:tc>
        <w:tc>
          <w:tcPr>
            <w:tcW w:w="77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trPr>
        <w:tc>
          <w:tcPr>
            <w:tcW w:w="774"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094"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185"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792"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164"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843"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94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全时段</w:t>
            </w:r>
          </w:p>
        </w:tc>
        <w:tc>
          <w:tcPr>
            <w:tcW w:w="109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1.28E-05</w:t>
            </w:r>
          </w:p>
        </w:tc>
        <w:tc>
          <w:tcPr>
            <w:tcW w:w="108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平均值</w:t>
            </w:r>
          </w:p>
        </w:tc>
        <w:tc>
          <w:tcPr>
            <w:tcW w:w="110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1.00E-02</w:t>
            </w:r>
          </w:p>
        </w:tc>
        <w:tc>
          <w:tcPr>
            <w:tcW w:w="104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1.00E-02</w:t>
            </w:r>
          </w:p>
        </w:tc>
        <w:tc>
          <w:tcPr>
            <w:tcW w:w="87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6.00E-02</w:t>
            </w:r>
          </w:p>
        </w:tc>
        <w:tc>
          <w:tcPr>
            <w:tcW w:w="12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16.69</w:t>
            </w:r>
          </w:p>
        </w:tc>
        <w:tc>
          <w:tcPr>
            <w:tcW w:w="77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trPr>
        <w:tc>
          <w:tcPr>
            <w:tcW w:w="774" w:type="dxa"/>
            <w:vMerge/>
            <w:tcBorders>
              <w:tl2br w:val="nil"/>
              <w:tr2bl w:val="nil"/>
            </w:tcBorders>
            <w:shd w:val="clear" w:color="auto" w:fill="auto"/>
            <w:vAlign w:val="center"/>
          </w:tcPr>
          <w:p w:rsidR="00525419" w:rsidRDefault="00525419">
            <w:pPr>
              <w:widowControl/>
              <w:jc w:val="center"/>
              <w:textAlignment w:val="center"/>
              <w:rPr>
                <w:rFonts w:ascii="Times New Roman" w:hAnsi="Times New Roman"/>
                <w:szCs w:val="21"/>
              </w:rPr>
            </w:pPr>
          </w:p>
        </w:tc>
        <w:tc>
          <w:tcPr>
            <w:tcW w:w="1094"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网格</w:t>
            </w:r>
          </w:p>
        </w:tc>
        <w:tc>
          <w:tcPr>
            <w:tcW w:w="118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-20,572,990</w:t>
            </w:r>
          </w:p>
        </w:tc>
        <w:tc>
          <w:tcPr>
            <w:tcW w:w="79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778.9</w:t>
            </w:r>
          </w:p>
        </w:tc>
        <w:tc>
          <w:tcPr>
            <w:tcW w:w="116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778.9</w:t>
            </w:r>
          </w:p>
        </w:tc>
        <w:tc>
          <w:tcPr>
            <w:tcW w:w="84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94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日平均</w:t>
            </w:r>
          </w:p>
        </w:tc>
        <w:tc>
          <w:tcPr>
            <w:tcW w:w="109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2.52E-03</w:t>
            </w:r>
          </w:p>
        </w:tc>
        <w:tc>
          <w:tcPr>
            <w:tcW w:w="108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180516</w:t>
            </w:r>
          </w:p>
        </w:tc>
        <w:tc>
          <w:tcPr>
            <w:tcW w:w="110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3.70E-02</w:t>
            </w:r>
          </w:p>
        </w:tc>
        <w:tc>
          <w:tcPr>
            <w:tcW w:w="104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3.95E-02</w:t>
            </w:r>
          </w:p>
        </w:tc>
        <w:tc>
          <w:tcPr>
            <w:tcW w:w="87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1.50E-01</w:t>
            </w:r>
          </w:p>
        </w:tc>
        <w:tc>
          <w:tcPr>
            <w:tcW w:w="12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26.35</w:t>
            </w:r>
          </w:p>
        </w:tc>
        <w:tc>
          <w:tcPr>
            <w:tcW w:w="77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90"/>
        </w:trPr>
        <w:tc>
          <w:tcPr>
            <w:tcW w:w="774"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094"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18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143,490</w:t>
            </w:r>
          </w:p>
        </w:tc>
        <w:tc>
          <w:tcPr>
            <w:tcW w:w="79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680.3</w:t>
            </w:r>
          </w:p>
        </w:tc>
        <w:tc>
          <w:tcPr>
            <w:tcW w:w="116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680.3</w:t>
            </w:r>
          </w:p>
        </w:tc>
        <w:tc>
          <w:tcPr>
            <w:tcW w:w="84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94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全时段</w:t>
            </w:r>
          </w:p>
        </w:tc>
        <w:tc>
          <w:tcPr>
            <w:tcW w:w="109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4.79E-04</w:t>
            </w:r>
          </w:p>
        </w:tc>
        <w:tc>
          <w:tcPr>
            <w:tcW w:w="108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平均值</w:t>
            </w:r>
          </w:p>
        </w:tc>
        <w:tc>
          <w:tcPr>
            <w:tcW w:w="110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1.00E-02</w:t>
            </w:r>
          </w:p>
        </w:tc>
        <w:tc>
          <w:tcPr>
            <w:tcW w:w="104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1.05E-02</w:t>
            </w:r>
          </w:p>
        </w:tc>
        <w:tc>
          <w:tcPr>
            <w:tcW w:w="87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6.00E-02</w:t>
            </w:r>
          </w:p>
        </w:tc>
        <w:tc>
          <w:tcPr>
            <w:tcW w:w="12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17.47</w:t>
            </w:r>
          </w:p>
        </w:tc>
        <w:tc>
          <w:tcPr>
            <w:tcW w:w="77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trPr>
        <w:tc>
          <w:tcPr>
            <w:tcW w:w="774"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1094"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鄯善火车站</w:t>
            </w:r>
          </w:p>
        </w:tc>
        <w:tc>
          <w:tcPr>
            <w:tcW w:w="1185"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20,534,022</w:t>
            </w:r>
          </w:p>
        </w:tc>
        <w:tc>
          <w:tcPr>
            <w:tcW w:w="792"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761.66</w:t>
            </w:r>
          </w:p>
        </w:tc>
        <w:tc>
          <w:tcPr>
            <w:tcW w:w="1164"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761.66</w:t>
            </w:r>
          </w:p>
        </w:tc>
        <w:tc>
          <w:tcPr>
            <w:tcW w:w="843"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94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日平均</w:t>
            </w:r>
          </w:p>
        </w:tc>
        <w:tc>
          <w:tcPr>
            <w:tcW w:w="109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5.36E-04</w:t>
            </w:r>
          </w:p>
        </w:tc>
        <w:tc>
          <w:tcPr>
            <w:tcW w:w="108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181226</w:t>
            </w:r>
          </w:p>
        </w:tc>
        <w:tc>
          <w:tcPr>
            <w:tcW w:w="110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7.30E-02</w:t>
            </w:r>
          </w:p>
        </w:tc>
        <w:tc>
          <w:tcPr>
            <w:tcW w:w="104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7.35E-02</w:t>
            </w:r>
          </w:p>
        </w:tc>
        <w:tc>
          <w:tcPr>
            <w:tcW w:w="87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8.00E-02</w:t>
            </w:r>
          </w:p>
        </w:tc>
        <w:tc>
          <w:tcPr>
            <w:tcW w:w="12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91.92</w:t>
            </w:r>
          </w:p>
        </w:tc>
        <w:tc>
          <w:tcPr>
            <w:tcW w:w="77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590"/>
        </w:trPr>
        <w:tc>
          <w:tcPr>
            <w:tcW w:w="774"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094"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185"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792"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164"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843"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94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全时段</w:t>
            </w:r>
          </w:p>
        </w:tc>
        <w:tc>
          <w:tcPr>
            <w:tcW w:w="109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4.97E-05</w:t>
            </w:r>
          </w:p>
        </w:tc>
        <w:tc>
          <w:tcPr>
            <w:tcW w:w="108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平均值</w:t>
            </w:r>
          </w:p>
        </w:tc>
        <w:tc>
          <w:tcPr>
            <w:tcW w:w="110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3.40E-02</w:t>
            </w:r>
          </w:p>
        </w:tc>
        <w:tc>
          <w:tcPr>
            <w:tcW w:w="104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3.40E-02</w:t>
            </w:r>
          </w:p>
        </w:tc>
        <w:tc>
          <w:tcPr>
            <w:tcW w:w="87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4.00E-02</w:t>
            </w:r>
          </w:p>
        </w:tc>
        <w:tc>
          <w:tcPr>
            <w:tcW w:w="12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85.12</w:t>
            </w:r>
          </w:p>
        </w:tc>
        <w:tc>
          <w:tcPr>
            <w:tcW w:w="77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trPr>
        <w:tc>
          <w:tcPr>
            <w:tcW w:w="774" w:type="dxa"/>
            <w:vMerge/>
            <w:tcBorders>
              <w:tl2br w:val="nil"/>
              <w:tr2bl w:val="nil"/>
            </w:tcBorders>
            <w:shd w:val="clear" w:color="auto" w:fill="auto"/>
            <w:vAlign w:val="center"/>
          </w:tcPr>
          <w:p w:rsidR="00525419" w:rsidRDefault="00525419">
            <w:pPr>
              <w:widowControl/>
              <w:jc w:val="center"/>
              <w:textAlignment w:val="center"/>
              <w:rPr>
                <w:rFonts w:ascii="Times New Roman" w:hAnsi="Times New Roman"/>
                <w:szCs w:val="21"/>
              </w:rPr>
            </w:pPr>
          </w:p>
        </w:tc>
        <w:tc>
          <w:tcPr>
            <w:tcW w:w="1094"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火车站镇</w:t>
            </w:r>
          </w:p>
        </w:tc>
        <w:tc>
          <w:tcPr>
            <w:tcW w:w="1185"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34,352,821</w:t>
            </w:r>
          </w:p>
        </w:tc>
        <w:tc>
          <w:tcPr>
            <w:tcW w:w="792"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703.4</w:t>
            </w:r>
          </w:p>
        </w:tc>
        <w:tc>
          <w:tcPr>
            <w:tcW w:w="1164"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703.4</w:t>
            </w:r>
          </w:p>
        </w:tc>
        <w:tc>
          <w:tcPr>
            <w:tcW w:w="843"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94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日平均</w:t>
            </w:r>
          </w:p>
        </w:tc>
        <w:tc>
          <w:tcPr>
            <w:tcW w:w="109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8.96E-04</w:t>
            </w:r>
          </w:p>
        </w:tc>
        <w:tc>
          <w:tcPr>
            <w:tcW w:w="108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180108</w:t>
            </w:r>
          </w:p>
        </w:tc>
        <w:tc>
          <w:tcPr>
            <w:tcW w:w="110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7.30E-02</w:t>
            </w:r>
          </w:p>
        </w:tc>
        <w:tc>
          <w:tcPr>
            <w:tcW w:w="104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7.39E-02</w:t>
            </w:r>
          </w:p>
        </w:tc>
        <w:tc>
          <w:tcPr>
            <w:tcW w:w="87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8.00E-02</w:t>
            </w:r>
          </w:p>
        </w:tc>
        <w:tc>
          <w:tcPr>
            <w:tcW w:w="12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92.37</w:t>
            </w:r>
          </w:p>
        </w:tc>
        <w:tc>
          <w:tcPr>
            <w:tcW w:w="77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trPr>
        <w:tc>
          <w:tcPr>
            <w:tcW w:w="774"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094"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185"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792"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164"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843"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94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全时段</w:t>
            </w:r>
          </w:p>
        </w:tc>
        <w:tc>
          <w:tcPr>
            <w:tcW w:w="109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7.52E-05</w:t>
            </w:r>
          </w:p>
        </w:tc>
        <w:tc>
          <w:tcPr>
            <w:tcW w:w="108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平均值</w:t>
            </w:r>
          </w:p>
        </w:tc>
        <w:tc>
          <w:tcPr>
            <w:tcW w:w="110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3.40E-02</w:t>
            </w:r>
          </w:p>
        </w:tc>
        <w:tc>
          <w:tcPr>
            <w:tcW w:w="104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3.41E-02</w:t>
            </w:r>
          </w:p>
        </w:tc>
        <w:tc>
          <w:tcPr>
            <w:tcW w:w="87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4.00E-02</w:t>
            </w:r>
          </w:p>
        </w:tc>
        <w:tc>
          <w:tcPr>
            <w:tcW w:w="12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85.19</w:t>
            </w:r>
          </w:p>
        </w:tc>
        <w:tc>
          <w:tcPr>
            <w:tcW w:w="77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trPr>
        <w:tc>
          <w:tcPr>
            <w:tcW w:w="774" w:type="dxa"/>
            <w:vMerge/>
            <w:tcBorders>
              <w:tl2br w:val="nil"/>
              <w:tr2bl w:val="nil"/>
            </w:tcBorders>
            <w:shd w:val="clear" w:color="auto" w:fill="auto"/>
            <w:vAlign w:val="center"/>
          </w:tcPr>
          <w:p w:rsidR="00525419" w:rsidRDefault="00525419">
            <w:pPr>
              <w:widowControl/>
              <w:jc w:val="center"/>
              <w:textAlignment w:val="center"/>
              <w:rPr>
                <w:rFonts w:ascii="Times New Roman" w:hAnsi="Times New Roman"/>
                <w:szCs w:val="21"/>
              </w:rPr>
            </w:pPr>
          </w:p>
        </w:tc>
        <w:tc>
          <w:tcPr>
            <w:tcW w:w="1094"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网格</w:t>
            </w:r>
          </w:p>
        </w:tc>
        <w:tc>
          <w:tcPr>
            <w:tcW w:w="118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-19,571,990</w:t>
            </w:r>
          </w:p>
        </w:tc>
        <w:tc>
          <w:tcPr>
            <w:tcW w:w="79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750.1</w:t>
            </w:r>
          </w:p>
        </w:tc>
        <w:tc>
          <w:tcPr>
            <w:tcW w:w="116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750.1</w:t>
            </w:r>
          </w:p>
        </w:tc>
        <w:tc>
          <w:tcPr>
            <w:tcW w:w="84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94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日平均</w:t>
            </w:r>
          </w:p>
        </w:tc>
        <w:tc>
          <w:tcPr>
            <w:tcW w:w="109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9.39E-03</w:t>
            </w:r>
          </w:p>
        </w:tc>
        <w:tc>
          <w:tcPr>
            <w:tcW w:w="108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180328</w:t>
            </w:r>
          </w:p>
        </w:tc>
        <w:tc>
          <w:tcPr>
            <w:tcW w:w="110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7.30E-02</w:t>
            </w:r>
          </w:p>
        </w:tc>
        <w:tc>
          <w:tcPr>
            <w:tcW w:w="104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8.29E-02</w:t>
            </w:r>
          </w:p>
        </w:tc>
        <w:tc>
          <w:tcPr>
            <w:tcW w:w="87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8.00E-02</w:t>
            </w:r>
          </w:p>
        </w:tc>
        <w:tc>
          <w:tcPr>
            <w:tcW w:w="12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103.67</w:t>
            </w:r>
          </w:p>
        </w:tc>
        <w:tc>
          <w:tcPr>
            <w:tcW w:w="77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超标</w:t>
            </w:r>
          </w:p>
        </w:tc>
      </w:tr>
      <w:tr w:rsidR="00525419">
        <w:trPr>
          <w:trHeight w:val="390"/>
        </w:trPr>
        <w:tc>
          <w:tcPr>
            <w:tcW w:w="774"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094"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18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843,690</w:t>
            </w:r>
          </w:p>
        </w:tc>
        <w:tc>
          <w:tcPr>
            <w:tcW w:w="79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679.9</w:t>
            </w:r>
          </w:p>
        </w:tc>
        <w:tc>
          <w:tcPr>
            <w:tcW w:w="116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679.9</w:t>
            </w:r>
          </w:p>
        </w:tc>
        <w:tc>
          <w:tcPr>
            <w:tcW w:w="84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94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全时段</w:t>
            </w:r>
          </w:p>
        </w:tc>
        <w:tc>
          <w:tcPr>
            <w:tcW w:w="109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1.08E-03</w:t>
            </w:r>
          </w:p>
        </w:tc>
        <w:tc>
          <w:tcPr>
            <w:tcW w:w="108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平均值</w:t>
            </w:r>
          </w:p>
        </w:tc>
        <w:tc>
          <w:tcPr>
            <w:tcW w:w="110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3.40E-02</w:t>
            </w:r>
          </w:p>
        </w:tc>
        <w:tc>
          <w:tcPr>
            <w:tcW w:w="104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3.51E-02</w:t>
            </w:r>
          </w:p>
        </w:tc>
        <w:tc>
          <w:tcPr>
            <w:tcW w:w="87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4.00E-02</w:t>
            </w:r>
          </w:p>
        </w:tc>
        <w:tc>
          <w:tcPr>
            <w:tcW w:w="12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87.7</w:t>
            </w:r>
          </w:p>
        </w:tc>
        <w:tc>
          <w:tcPr>
            <w:tcW w:w="77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trPr>
        <w:tc>
          <w:tcPr>
            <w:tcW w:w="774" w:type="dxa"/>
            <w:vMerge w:val="restart"/>
            <w:tcBorders>
              <w:tl2br w:val="nil"/>
              <w:tr2bl w:val="nil"/>
            </w:tcBorders>
            <w:shd w:val="clear" w:color="auto" w:fill="auto"/>
            <w:vAlign w:val="center"/>
          </w:tcPr>
          <w:p w:rsidR="00525419" w:rsidRDefault="00EE1CF7">
            <w:pPr>
              <w:pStyle w:val="afb"/>
              <w:jc w:val="center"/>
              <w:rPr>
                <w:sz w:val="21"/>
                <w:szCs w:val="21"/>
              </w:rPr>
            </w:pPr>
            <w:r>
              <w:rPr>
                <w:sz w:val="21"/>
                <w:szCs w:val="21"/>
              </w:rPr>
              <w:t>PM</w:t>
            </w:r>
            <w:r>
              <w:rPr>
                <w:sz w:val="21"/>
                <w:szCs w:val="21"/>
                <w:vertAlign w:val="subscript"/>
              </w:rPr>
              <w:t>10</w:t>
            </w:r>
          </w:p>
        </w:tc>
        <w:tc>
          <w:tcPr>
            <w:tcW w:w="1094"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鄯善火车站</w:t>
            </w:r>
          </w:p>
        </w:tc>
        <w:tc>
          <w:tcPr>
            <w:tcW w:w="1185"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20,534,022</w:t>
            </w:r>
          </w:p>
        </w:tc>
        <w:tc>
          <w:tcPr>
            <w:tcW w:w="792"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761.66</w:t>
            </w:r>
          </w:p>
        </w:tc>
        <w:tc>
          <w:tcPr>
            <w:tcW w:w="1164"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761.66</w:t>
            </w:r>
          </w:p>
        </w:tc>
        <w:tc>
          <w:tcPr>
            <w:tcW w:w="843"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94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日平均</w:t>
            </w:r>
          </w:p>
        </w:tc>
        <w:tc>
          <w:tcPr>
            <w:tcW w:w="109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1.58E-04</w:t>
            </w:r>
          </w:p>
        </w:tc>
        <w:tc>
          <w:tcPr>
            <w:tcW w:w="108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181226</w:t>
            </w:r>
          </w:p>
        </w:tc>
        <w:tc>
          <w:tcPr>
            <w:tcW w:w="110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2.52E-01</w:t>
            </w:r>
          </w:p>
        </w:tc>
        <w:tc>
          <w:tcPr>
            <w:tcW w:w="104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2.52E-01</w:t>
            </w:r>
          </w:p>
        </w:tc>
        <w:tc>
          <w:tcPr>
            <w:tcW w:w="87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1.50E-01</w:t>
            </w:r>
          </w:p>
        </w:tc>
        <w:tc>
          <w:tcPr>
            <w:tcW w:w="12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168.11</w:t>
            </w:r>
          </w:p>
        </w:tc>
        <w:tc>
          <w:tcPr>
            <w:tcW w:w="77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超标</w:t>
            </w:r>
          </w:p>
        </w:tc>
      </w:tr>
      <w:tr w:rsidR="00525419">
        <w:trPr>
          <w:trHeight w:val="286"/>
        </w:trPr>
        <w:tc>
          <w:tcPr>
            <w:tcW w:w="774"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094"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185"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792"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164"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843"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94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全时段</w:t>
            </w:r>
          </w:p>
        </w:tc>
        <w:tc>
          <w:tcPr>
            <w:tcW w:w="109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1.29E-05</w:t>
            </w:r>
          </w:p>
        </w:tc>
        <w:tc>
          <w:tcPr>
            <w:tcW w:w="108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平均值</w:t>
            </w:r>
          </w:p>
        </w:tc>
        <w:tc>
          <w:tcPr>
            <w:tcW w:w="110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1.88E-01</w:t>
            </w:r>
          </w:p>
        </w:tc>
        <w:tc>
          <w:tcPr>
            <w:tcW w:w="104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1.88E-01</w:t>
            </w:r>
          </w:p>
        </w:tc>
        <w:tc>
          <w:tcPr>
            <w:tcW w:w="87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7.00E-02</w:t>
            </w:r>
          </w:p>
        </w:tc>
        <w:tc>
          <w:tcPr>
            <w:tcW w:w="12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268.59</w:t>
            </w:r>
          </w:p>
        </w:tc>
        <w:tc>
          <w:tcPr>
            <w:tcW w:w="77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超标</w:t>
            </w:r>
          </w:p>
        </w:tc>
      </w:tr>
      <w:tr w:rsidR="00525419">
        <w:trPr>
          <w:trHeight w:val="358"/>
        </w:trPr>
        <w:tc>
          <w:tcPr>
            <w:tcW w:w="774" w:type="dxa"/>
            <w:vMerge/>
            <w:tcBorders>
              <w:tl2br w:val="nil"/>
              <w:tr2bl w:val="nil"/>
            </w:tcBorders>
            <w:shd w:val="clear" w:color="auto" w:fill="auto"/>
            <w:vAlign w:val="center"/>
          </w:tcPr>
          <w:p w:rsidR="00525419" w:rsidRDefault="00525419">
            <w:pPr>
              <w:widowControl/>
              <w:jc w:val="center"/>
              <w:textAlignment w:val="center"/>
              <w:rPr>
                <w:rFonts w:ascii="Times New Roman" w:hAnsi="Times New Roman"/>
                <w:szCs w:val="21"/>
              </w:rPr>
            </w:pPr>
          </w:p>
        </w:tc>
        <w:tc>
          <w:tcPr>
            <w:tcW w:w="1094"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火车站镇</w:t>
            </w:r>
          </w:p>
        </w:tc>
        <w:tc>
          <w:tcPr>
            <w:tcW w:w="1185"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34,352,821</w:t>
            </w:r>
          </w:p>
        </w:tc>
        <w:tc>
          <w:tcPr>
            <w:tcW w:w="792"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703.4</w:t>
            </w:r>
          </w:p>
        </w:tc>
        <w:tc>
          <w:tcPr>
            <w:tcW w:w="1164"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703.4</w:t>
            </w:r>
          </w:p>
        </w:tc>
        <w:tc>
          <w:tcPr>
            <w:tcW w:w="843"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94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日平均</w:t>
            </w:r>
          </w:p>
        </w:tc>
        <w:tc>
          <w:tcPr>
            <w:tcW w:w="109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1.59E-04</w:t>
            </w:r>
          </w:p>
        </w:tc>
        <w:tc>
          <w:tcPr>
            <w:tcW w:w="108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180108</w:t>
            </w:r>
          </w:p>
        </w:tc>
        <w:tc>
          <w:tcPr>
            <w:tcW w:w="110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2.52E-01</w:t>
            </w:r>
          </w:p>
        </w:tc>
        <w:tc>
          <w:tcPr>
            <w:tcW w:w="104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2.52E-01</w:t>
            </w:r>
          </w:p>
        </w:tc>
        <w:tc>
          <w:tcPr>
            <w:tcW w:w="87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1.50E-01</w:t>
            </w:r>
          </w:p>
        </w:tc>
        <w:tc>
          <w:tcPr>
            <w:tcW w:w="12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168.11</w:t>
            </w:r>
          </w:p>
        </w:tc>
        <w:tc>
          <w:tcPr>
            <w:tcW w:w="77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超标</w:t>
            </w:r>
          </w:p>
        </w:tc>
      </w:tr>
      <w:tr w:rsidR="00525419">
        <w:trPr>
          <w:trHeight w:val="286"/>
        </w:trPr>
        <w:tc>
          <w:tcPr>
            <w:tcW w:w="774"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094"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185"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792"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164"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843"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94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全时段</w:t>
            </w:r>
          </w:p>
        </w:tc>
        <w:tc>
          <w:tcPr>
            <w:tcW w:w="109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1.52E-05</w:t>
            </w:r>
          </w:p>
        </w:tc>
        <w:tc>
          <w:tcPr>
            <w:tcW w:w="108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平均值</w:t>
            </w:r>
          </w:p>
        </w:tc>
        <w:tc>
          <w:tcPr>
            <w:tcW w:w="110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1.88E-01</w:t>
            </w:r>
          </w:p>
        </w:tc>
        <w:tc>
          <w:tcPr>
            <w:tcW w:w="104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1.88E-01</w:t>
            </w:r>
          </w:p>
        </w:tc>
        <w:tc>
          <w:tcPr>
            <w:tcW w:w="87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7.00E-02</w:t>
            </w:r>
          </w:p>
        </w:tc>
        <w:tc>
          <w:tcPr>
            <w:tcW w:w="12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268.59</w:t>
            </w:r>
          </w:p>
        </w:tc>
        <w:tc>
          <w:tcPr>
            <w:tcW w:w="77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超标</w:t>
            </w:r>
          </w:p>
        </w:tc>
      </w:tr>
      <w:tr w:rsidR="00525419">
        <w:trPr>
          <w:trHeight w:val="286"/>
        </w:trPr>
        <w:tc>
          <w:tcPr>
            <w:tcW w:w="774" w:type="dxa"/>
            <w:vMerge/>
            <w:tcBorders>
              <w:tl2br w:val="nil"/>
              <w:tr2bl w:val="nil"/>
            </w:tcBorders>
            <w:shd w:val="clear" w:color="auto" w:fill="auto"/>
            <w:vAlign w:val="center"/>
          </w:tcPr>
          <w:p w:rsidR="00525419" w:rsidRDefault="00525419">
            <w:pPr>
              <w:widowControl/>
              <w:jc w:val="center"/>
              <w:textAlignment w:val="center"/>
              <w:rPr>
                <w:rFonts w:ascii="Times New Roman" w:hAnsi="Times New Roman"/>
                <w:szCs w:val="21"/>
              </w:rPr>
            </w:pPr>
          </w:p>
        </w:tc>
        <w:tc>
          <w:tcPr>
            <w:tcW w:w="1094"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网格</w:t>
            </w:r>
          </w:p>
        </w:tc>
        <w:tc>
          <w:tcPr>
            <w:tcW w:w="118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-19,571,990</w:t>
            </w:r>
          </w:p>
        </w:tc>
        <w:tc>
          <w:tcPr>
            <w:tcW w:w="79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750.1</w:t>
            </w:r>
          </w:p>
        </w:tc>
        <w:tc>
          <w:tcPr>
            <w:tcW w:w="116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750.1</w:t>
            </w:r>
          </w:p>
        </w:tc>
        <w:tc>
          <w:tcPr>
            <w:tcW w:w="84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94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日平均</w:t>
            </w:r>
          </w:p>
        </w:tc>
        <w:tc>
          <w:tcPr>
            <w:tcW w:w="109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2.60E-03</w:t>
            </w:r>
          </w:p>
        </w:tc>
        <w:tc>
          <w:tcPr>
            <w:tcW w:w="108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180328</w:t>
            </w:r>
          </w:p>
        </w:tc>
        <w:tc>
          <w:tcPr>
            <w:tcW w:w="110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2.52E-01</w:t>
            </w:r>
          </w:p>
        </w:tc>
        <w:tc>
          <w:tcPr>
            <w:tcW w:w="104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2.55E-01</w:t>
            </w:r>
          </w:p>
        </w:tc>
        <w:tc>
          <w:tcPr>
            <w:tcW w:w="87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1.50E-01</w:t>
            </w:r>
          </w:p>
        </w:tc>
        <w:tc>
          <w:tcPr>
            <w:tcW w:w="12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169.74</w:t>
            </w:r>
          </w:p>
        </w:tc>
        <w:tc>
          <w:tcPr>
            <w:tcW w:w="77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超标</w:t>
            </w:r>
          </w:p>
        </w:tc>
      </w:tr>
      <w:tr w:rsidR="00525419">
        <w:trPr>
          <w:trHeight w:val="286"/>
        </w:trPr>
        <w:tc>
          <w:tcPr>
            <w:tcW w:w="774"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094" w:type="dxa"/>
            <w:vMerge/>
            <w:tcBorders>
              <w:tl2br w:val="nil"/>
              <w:tr2bl w:val="nil"/>
            </w:tcBorders>
            <w:shd w:val="clear" w:color="auto" w:fill="auto"/>
            <w:vAlign w:val="center"/>
          </w:tcPr>
          <w:p w:rsidR="00525419" w:rsidRDefault="00525419">
            <w:pPr>
              <w:jc w:val="center"/>
              <w:rPr>
                <w:rFonts w:ascii="Times New Roman" w:hAnsi="Times New Roman"/>
                <w:szCs w:val="21"/>
              </w:rPr>
            </w:pPr>
          </w:p>
        </w:tc>
        <w:tc>
          <w:tcPr>
            <w:tcW w:w="118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743,690</w:t>
            </w:r>
          </w:p>
        </w:tc>
        <w:tc>
          <w:tcPr>
            <w:tcW w:w="79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680.4</w:t>
            </w:r>
          </w:p>
        </w:tc>
        <w:tc>
          <w:tcPr>
            <w:tcW w:w="116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680.4</w:t>
            </w:r>
          </w:p>
        </w:tc>
        <w:tc>
          <w:tcPr>
            <w:tcW w:w="84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94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全时段</w:t>
            </w:r>
          </w:p>
        </w:tc>
        <w:tc>
          <w:tcPr>
            <w:tcW w:w="109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3.80E-04</w:t>
            </w:r>
          </w:p>
        </w:tc>
        <w:tc>
          <w:tcPr>
            <w:tcW w:w="108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平均值</w:t>
            </w:r>
          </w:p>
        </w:tc>
        <w:tc>
          <w:tcPr>
            <w:tcW w:w="110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1.88E-01</w:t>
            </w:r>
          </w:p>
        </w:tc>
        <w:tc>
          <w:tcPr>
            <w:tcW w:w="104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1.88E-01</w:t>
            </w:r>
          </w:p>
        </w:tc>
        <w:tc>
          <w:tcPr>
            <w:tcW w:w="87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7.00E-02</w:t>
            </w:r>
          </w:p>
        </w:tc>
        <w:tc>
          <w:tcPr>
            <w:tcW w:w="12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269.11</w:t>
            </w:r>
          </w:p>
        </w:tc>
        <w:tc>
          <w:tcPr>
            <w:tcW w:w="77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超标</w:t>
            </w:r>
          </w:p>
        </w:tc>
      </w:tr>
      <w:tr w:rsidR="00525419">
        <w:trPr>
          <w:trHeight w:val="286"/>
        </w:trPr>
        <w:tc>
          <w:tcPr>
            <w:tcW w:w="774"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szCs w:val="21"/>
              </w:rPr>
              <w:t>NMHC</w:t>
            </w:r>
          </w:p>
        </w:tc>
        <w:tc>
          <w:tcPr>
            <w:tcW w:w="109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鄯善火车站</w:t>
            </w:r>
          </w:p>
        </w:tc>
        <w:tc>
          <w:tcPr>
            <w:tcW w:w="118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20,534,022</w:t>
            </w:r>
          </w:p>
        </w:tc>
        <w:tc>
          <w:tcPr>
            <w:tcW w:w="79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761.66</w:t>
            </w:r>
          </w:p>
        </w:tc>
        <w:tc>
          <w:tcPr>
            <w:tcW w:w="116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761.66</w:t>
            </w:r>
          </w:p>
        </w:tc>
        <w:tc>
          <w:tcPr>
            <w:tcW w:w="84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94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w:t>
            </w:r>
            <w:r>
              <w:rPr>
                <w:rFonts w:ascii="Times New Roman" w:hAnsi="Times New Roman"/>
                <w:kern w:val="0"/>
                <w:szCs w:val="21"/>
                <w:lang w:bidi="ar"/>
              </w:rPr>
              <w:t>小时</w:t>
            </w:r>
          </w:p>
        </w:tc>
        <w:tc>
          <w:tcPr>
            <w:tcW w:w="109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1.57E-02</w:t>
            </w:r>
          </w:p>
        </w:tc>
        <w:tc>
          <w:tcPr>
            <w:tcW w:w="108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18072707</w:t>
            </w:r>
          </w:p>
        </w:tc>
        <w:tc>
          <w:tcPr>
            <w:tcW w:w="110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8.20E-04</w:t>
            </w:r>
          </w:p>
        </w:tc>
        <w:tc>
          <w:tcPr>
            <w:tcW w:w="104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1.66E-02</w:t>
            </w:r>
          </w:p>
        </w:tc>
        <w:tc>
          <w:tcPr>
            <w:tcW w:w="87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2.00E+00</w:t>
            </w:r>
          </w:p>
        </w:tc>
        <w:tc>
          <w:tcPr>
            <w:tcW w:w="12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0.83</w:t>
            </w:r>
          </w:p>
        </w:tc>
        <w:tc>
          <w:tcPr>
            <w:tcW w:w="77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trPr>
        <w:tc>
          <w:tcPr>
            <w:tcW w:w="774" w:type="dxa"/>
            <w:vMerge/>
            <w:tcBorders>
              <w:tl2br w:val="nil"/>
              <w:tr2bl w:val="nil"/>
            </w:tcBorders>
            <w:shd w:val="clear" w:color="auto" w:fill="auto"/>
            <w:vAlign w:val="center"/>
          </w:tcPr>
          <w:p w:rsidR="00525419" w:rsidRDefault="00525419">
            <w:pPr>
              <w:widowControl/>
              <w:jc w:val="center"/>
              <w:textAlignment w:val="center"/>
              <w:rPr>
                <w:rFonts w:ascii="Times New Roman" w:hAnsi="Times New Roman"/>
                <w:szCs w:val="21"/>
              </w:rPr>
            </w:pPr>
          </w:p>
        </w:tc>
        <w:tc>
          <w:tcPr>
            <w:tcW w:w="109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火车站镇</w:t>
            </w:r>
          </w:p>
        </w:tc>
        <w:tc>
          <w:tcPr>
            <w:tcW w:w="118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34,352,821</w:t>
            </w:r>
          </w:p>
        </w:tc>
        <w:tc>
          <w:tcPr>
            <w:tcW w:w="79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703.4</w:t>
            </w:r>
          </w:p>
        </w:tc>
        <w:tc>
          <w:tcPr>
            <w:tcW w:w="116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703.4</w:t>
            </w:r>
          </w:p>
        </w:tc>
        <w:tc>
          <w:tcPr>
            <w:tcW w:w="84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94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w:t>
            </w:r>
            <w:r>
              <w:rPr>
                <w:rFonts w:ascii="Times New Roman" w:hAnsi="Times New Roman"/>
                <w:kern w:val="0"/>
                <w:szCs w:val="21"/>
                <w:lang w:bidi="ar"/>
              </w:rPr>
              <w:t>小时</w:t>
            </w:r>
          </w:p>
        </w:tc>
        <w:tc>
          <w:tcPr>
            <w:tcW w:w="109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3.14E-02</w:t>
            </w:r>
          </w:p>
        </w:tc>
        <w:tc>
          <w:tcPr>
            <w:tcW w:w="108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18073019</w:t>
            </w:r>
          </w:p>
        </w:tc>
        <w:tc>
          <w:tcPr>
            <w:tcW w:w="110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8.20E-04</w:t>
            </w:r>
          </w:p>
        </w:tc>
        <w:tc>
          <w:tcPr>
            <w:tcW w:w="104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3.22E-02</w:t>
            </w:r>
          </w:p>
        </w:tc>
        <w:tc>
          <w:tcPr>
            <w:tcW w:w="87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2.00E+00</w:t>
            </w:r>
          </w:p>
        </w:tc>
        <w:tc>
          <w:tcPr>
            <w:tcW w:w="12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1.61</w:t>
            </w:r>
          </w:p>
        </w:tc>
        <w:tc>
          <w:tcPr>
            <w:tcW w:w="77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trPr>
        <w:tc>
          <w:tcPr>
            <w:tcW w:w="774" w:type="dxa"/>
            <w:vMerge/>
            <w:tcBorders>
              <w:tl2br w:val="nil"/>
              <w:tr2bl w:val="nil"/>
            </w:tcBorders>
            <w:shd w:val="clear" w:color="auto" w:fill="auto"/>
            <w:vAlign w:val="center"/>
          </w:tcPr>
          <w:p w:rsidR="00525419" w:rsidRDefault="00525419">
            <w:pPr>
              <w:widowControl/>
              <w:jc w:val="center"/>
              <w:textAlignment w:val="center"/>
              <w:rPr>
                <w:rFonts w:ascii="Times New Roman" w:hAnsi="Times New Roman"/>
                <w:szCs w:val="21"/>
              </w:rPr>
            </w:pPr>
          </w:p>
        </w:tc>
        <w:tc>
          <w:tcPr>
            <w:tcW w:w="109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网格</w:t>
            </w:r>
          </w:p>
        </w:tc>
        <w:tc>
          <w:tcPr>
            <w:tcW w:w="118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-557,390</w:t>
            </w:r>
          </w:p>
        </w:tc>
        <w:tc>
          <w:tcPr>
            <w:tcW w:w="79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685</w:t>
            </w:r>
          </w:p>
        </w:tc>
        <w:tc>
          <w:tcPr>
            <w:tcW w:w="116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685</w:t>
            </w:r>
          </w:p>
        </w:tc>
        <w:tc>
          <w:tcPr>
            <w:tcW w:w="84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94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w:t>
            </w:r>
            <w:r>
              <w:rPr>
                <w:rFonts w:ascii="Times New Roman" w:hAnsi="Times New Roman"/>
                <w:kern w:val="0"/>
                <w:szCs w:val="21"/>
                <w:lang w:bidi="ar"/>
              </w:rPr>
              <w:t>小时</w:t>
            </w:r>
          </w:p>
        </w:tc>
        <w:tc>
          <w:tcPr>
            <w:tcW w:w="109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9.01E-01</w:t>
            </w:r>
          </w:p>
        </w:tc>
        <w:tc>
          <w:tcPr>
            <w:tcW w:w="108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18021507</w:t>
            </w:r>
          </w:p>
        </w:tc>
        <w:tc>
          <w:tcPr>
            <w:tcW w:w="110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8.20E-04</w:t>
            </w:r>
          </w:p>
        </w:tc>
        <w:tc>
          <w:tcPr>
            <w:tcW w:w="104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9.02E-01</w:t>
            </w:r>
          </w:p>
        </w:tc>
        <w:tc>
          <w:tcPr>
            <w:tcW w:w="87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2.00E+00</w:t>
            </w:r>
          </w:p>
        </w:tc>
        <w:tc>
          <w:tcPr>
            <w:tcW w:w="12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45.1</w:t>
            </w:r>
          </w:p>
        </w:tc>
        <w:tc>
          <w:tcPr>
            <w:tcW w:w="77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bl>
    <w:p w:rsidR="00525419" w:rsidRDefault="00525419">
      <w:pPr>
        <w:pStyle w:val="afb"/>
        <w:rPr>
          <w:rFonts w:eastAsia="黑体"/>
          <w:szCs w:val="21"/>
        </w:rPr>
      </w:pP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由表</w:t>
      </w:r>
      <w:r>
        <w:rPr>
          <w:rFonts w:ascii="Times New Roman" w:hAnsi="Times New Roman"/>
          <w:kern w:val="0"/>
          <w:sz w:val="24"/>
          <w:szCs w:val="24"/>
        </w:rPr>
        <w:t>5.1-14</w:t>
      </w:r>
      <w:r>
        <w:rPr>
          <w:rFonts w:ascii="Times New Roman" w:hAnsi="Times New Roman"/>
          <w:kern w:val="0"/>
          <w:sz w:val="24"/>
          <w:szCs w:val="24"/>
        </w:rPr>
        <w:t>可知，落地浓度与现状监测值逐日叠加后，</w:t>
      </w:r>
      <w:r>
        <w:rPr>
          <w:rFonts w:ascii="Times New Roman" w:hAnsi="Times New Roman"/>
          <w:kern w:val="0"/>
          <w:sz w:val="24"/>
          <w:szCs w:val="24"/>
        </w:rPr>
        <w:t>SO</w:t>
      </w:r>
      <w:r>
        <w:rPr>
          <w:rFonts w:ascii="Times New Roman" w:hAnsi="Times New Roman"/>
          <w:kern w:val="0"/>
          <w:sz w:val="24"/>
          <w:szCs w:val="24"/>
          <w:vertAlign w:val="subscript"/>
        </w:rPr>
        <w:t>2</w:t>
      </w:r>
      <w:r>
        <w:rPr>
          <w:rFonts w:ascii="Times New Roman" w:hAnsi="Times New Roman"/>
          <w:kern w:val="0"/>
          <w:sz w:val="24"/>
          <w:szCs w:val="24"/>
        </w:rPr>
        <w:t>日保证率浓度、年均浓度均未出现超标现象；</w:t>
      </w:r>
      <w:r>
        <w:rPr>
          <w:rFonts w:ascii="Times New Roman" w:hAnsi="Times New Roman"/>
          <w:kern w:val="0"/>
          <w:sz w:val="24"/>
          <w:szCs w:val="24"/>
        </w:rPr>
        <w:t>NO</w:t>
      </w:r>
      <w:r>
        <w:rPr>
          <w:rFonts w:ascii="Times New Roman" w:hAnsi="Times New Roman"/>
          <w:kern w:val="0"/>
          <w:sz w:val="24"/>
          <w:szCs w:val="24"/>
          <w:vertAlign w:val="subscript"/>
        </w:rPr>
        <w:t>2</w:t>
      </w:r>
      <w:r>
        <w:rPr>
          <w:rFonts w:ascii="Times New Roman" w:hAnsi="Times New Roman"/>
          <w:kern w:val="0"/>
          <w:sz w:val="24"/>
          <w:szCs w:val="24"/>
        </w:rPr>
        <w:t>年均浓度均未出现超标现象，日保证率网格点浓度超标，超标原因是</w:t>
      </w:r>
      <w:r>
        <w:rPr>
          <w:rFonts w:ascii="Times New Roman" w:hAnsi="Times New Roman"/>
          <w:kern w:val="0"/>
          <w:sz w:val="24"/>
          <w:szCs w:val="24"/>
        </w:rPr>
        <w:t>NO</w:t>
      </w:r>
      <w:r>
        <w:rPr>
          <w:rFonts w:ascii="Times New Roman" w:hAnsi="Times New Roman"/>
          <w:kern w:val="0"/>
          <w:sz w:val="24"/>
          <w:szCs w:val="24"/>
          <w:vertAlign w:val="subscript"/>
        </w:rPr>
        <w:t>2</w:t>
      </w:r>
      <w:r>
        <w:rPr>
          <w:rFonts w:ascii="Times New Roman" w:hAnsi="Times New Roman"/>
          <w:kern w:val="0"/>
          <w:sz w:val="24"/>
          <w:szCs w:val="24"/>
        </w:rPr>
        <w:t>背景值较高（</w:t>
      </w:r>
      <w:r>
        <w:rPr>
          <w:rFonts w:ascii="Times New Roman" w:hAnsi="Times New Roman"/>
          <w:kern w:val="0"/>
          <w:sz w:val="24"/>
          <w:szCs w:val="24"/>
        </w:rPr>
        <w:t>73ug/m</w:t>
      </w:r>
      <w:r>
        <w:rPr>
          <w:rFonts w:ascii="Times New Roman" w:hAnsi="Times New Roman"/>
          <w:kern w:val="0"/>
          <w:sz w:val="24"/>
          <w:szCs w:val="24"/>
          <w:vertAlign w:val="superscript"/>
        </w:rPr>
        <w:t>3</w:t>
      </w:r>
      <w:r>
        <w:rPr>
          <w:rFonts w:ascii="Times New Roman" w:hAnsi="Times New Roman"/>
          <w:kern w:val="0"/>
          <w:sz w:val="24"/>
          <w:szCs w:val="24"/>
        </w:rPr>
        <w:t>），本项目排放</w:t>
      </w:r>
      <w:r>
        <w:rPr>
          <w:rFonts w:ascii="Times New Roman" w:hAnsi="Times New Roman"/>
          <w:kern w:val="0"/>
          <w:sz w:val="24"/>
          <w:szCs w:val="24"/>
        </w:rPr>
        <w:t>NO</w:t>
      </w:r>
      <w:r>
        <w:rPr>
          <w:rFonts w:ascii="Times New Roman" w:hAnsi="Times New Roman"/>
          <w:kern w:val="0"/>
          <w:sz w:val="24"/>
          <w:szCs w:val="24"/>
          <w:vertAlign w:val="subscript"/>
        </w:rPr>
        <w:t>2</w:t>
      </w:r>
      <w:r>
        <w:rPr>
          <w:rFonts w:ascii="Times New Roman" w:hAnsi="Times New Roman"/>
          <w:kern w:val="0"/>
          <w:sz w:val="24"/>
          <w:szCs w:val="24"/>
        </w:rPr>
        <w:t>的最大日均贡献值＜</w:t>
      </w:r>
      <w:r>
        <w:rPr>
          <w:rFonts w:ascii="Times New Roman" w:hAnsi="Times New Roman"/>
          <w:kern w:val="0"/>
          <w:sz w:val="24"/>
          <w:szCs w:val="24"/>
        </w:rPr>
        <w:t>5%</w:t>
      </w:r>
      <w:r>
        <w:rPr>
          <w:rFonts w:ascii="Times New Roman" w:hAnsi="Times New Roman"/>
          <w:kern w:val="0"/>
          <w:sz w:val="24"/>
          <w:szCs w:val="24"/>
        </w:rPr>
        <w:t>，；</w:t>
      </w:r>
      <w:r>
        <w:rPr>
          <w:rFonts w:ascii="Times New Roman" w:hAnsi="Times New Roman"/>
          <w:kern w:val="0"/>
          <w:sz w:val="24"/>
          <w:szCs w:val="24"/>
        </w:rPr>
        <w:t>PM</w:t>
      </w:r>
      <w:r>
        <w:rPr>
          <w:rFonts w:ascii="Times New Roman" w:hAnsi="Times New Roman"/>
          <w:kern w:val="0"/>
          <w:sz w:val="24"/>
          <w:szCs w:val="24"/>
          <w:vertAlign w:val="subscript"/>
        </w:rPr>
        <w:t>10</w:t>
      </w:r>
      <w:r>
        <w:rPr>
          <w:rFonts w:ascii="Times New Roman" w:hAnsi="Times New Roman"/>
          <w:kern w:val="0"/>
          <w:sz w:val="24"/>
          <w:szCs w:val="24"/>
        </w:rPr>
        <w:t>日保证率浓度、年均浓度均出现超标现象，超标原因是</w:t>
      </w:r>
      <w:r>
        <w:rPr>
          <w:rFonts w:ascii="Times New Roman" w:hAnsi="Times New Roman"/>
          <w:kern w:val="0"/>
          <w:sz w:val="24"/>
          <w:szCs w:val="24"/>
        </w:rPr>
        <w:t>PM</w:t>
      </w:r>
      <w:r>
        <w:rPr>
          <w:rFonts w:ascii="Times New Roman" w:hAnsi="Times New Roman"/>
          <w:kern w:val="0"/>
          <w:sz w:val="24"/>
          <w:szCs w:val="24"/>
          <w:vertAlign w:val="subscript"/>
        </w:rPr>
        <w:t>10</w:t>
      </w:r>
      <w:r>
        <w:rPr>
          <w:rFonts w:ascii="Times New Roman" w:hAnsi="Times New Roman"/>
          <w:kern w:val="0"/>
          <w:sz w:val="24"/>
          <w:szCs w:val="24"/>
        </w:rPr>
        <w:t>背景值高，与项目区地处荒漠，风沙大、自然背景值高的自然气象条件有关，本项目排放污染物</w:t>
      </w:r>
      <w:r>
        <w:rPr>
          <w:rFonts w:ascii="Times New Roman" w:hAnsi="Times New Roman"/>
          <w:kern w:val="0"/>
          <w:sz w:val="24"/>
          <w:szCs w:val="24"/>
        </w:rPr>
        <w:t>PM</w:t>
      </w:r>
      <w:r>
        <w:rPr>
          <w:rFonts w:ascii="Times New Roman" w:hAnsi="Times New Roman"/>
          <w:kern w:val="0"/>
          <w:sz w:val="24"/>
          <w:szCs w:val="24"/>
          <w:vertAlign w:val="subscript"/>
        </w:rPr>
        <w:t>10</w:t>
      </w:r>
      <w:r>
        <w:rPr>
          <w:rFonts w:ascii="Times New Roman" w:hAnsi="Times New Roman"/>
          <w:kern w:val="0"/>
          <w:sz w:val="24"/>
          <w:szCs w:val="24"/>
        </w:rPr>
        <w:t>的最大日均贡献值＜</w:t>
      </w:r>
      <w:r>
        <w:rPr>
          <w:rFonts w:ascii="Times New Roman" w:hAnsi="Times New Roman"/>
          <w:kern w:val="0"/>
          <w:sz w:val="24"/>
          <w:szCs w:val="24"/>
        </w:rPr>
        <w:t>1%</w:t>
      </w:r>
      <w:r>
        <w:rPr>
          <w:rFonts w:ascii="Times New Roman" w:hAnsi="Times New Roman"/>
          <w:kern w:val="0"/>
          <w:sz w:val="24"/>
          <w:szCs w:val="24"/>
        </w:rPr>
        <w:t>，年均贡献值＜</w:t>
      </w:r>
      <w:r>
        <w:rPr>
          <w:rFonts w:ascii="Times New Roman" w:hAnsi="Times New Roman"/>
          <w:kern w:val="0"/>
          <w:sz w:val="24"/>
          <w:szCs w:val="24"/>
        </w:rPr>
        <w:t>1%</w:t>
      </w:r>
      <w:r>
        <w:rPr>
          <w:rFonts w:ascii="Times New Roman" w:hAnsi="Times New Roman"/>
          <w:kern w:val="0"/>
          <w:sz w:val="24"/>
          <w:szCs w:val="24"/>
        </w:rPr>
        <w:t>。</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本项目的特征污染物非甲烷总烃叠加值占标率均＜</w:t>
      </w:r>
      <w:r>
        <w:rPr>
          <w:rFonts w:ascii="Times New Roman" w:hAnsi="Times New Roman"/>
          <w:kern w:val="0"/>
          <w:sz w:val="24"/>
          <w:szCs w:val="24"/>
        </w:rPr>
        <w:t>50%</w:t>
      </w:r>
      <w:r>
        <w:rPr>
          <w:rFonts w:ascii="Times New Roman" w:hAnsi="Times New Roman"/>
          <w:kern w:val="0"/>
          <w:sz w:val="24"/>
          <w:szCs w:val="24"/>
        </w:rPr>
        <w:t>。总体来说，本项目建设对区域大气污染物的污染贡献在可接受范围内。</w:t>
      </w:r>
    </w:p>
    <w:p w:rsidR="00525419" w:rsidRDefault="00525419">
      <w:pPr>
        <w:pStyle w:val="B2"/>
        <w:rPr>
          <w:rFonts w:cs="Times New Roman"/>
        </w:rPr>
      </w:pPr>
    </w:p>
    <w:p w:rsidR="00525419" w:rsidRDefault="00525419">
      <w:pPr>
        <w:pStyle w:val="4a"/>
        <w:widowControl/>
        <w:adjustRightInd w:val="0"/>
        <w:snapToGrid w:val="0"/>
        <w:spacing w:before="120" w:after="120" w:line="360" w:lineRule="auto"/>
        <w:jc w:val="left"/>
        <w:rPr>
          <w:rFonts w:ascii="Times New Roman" w:hAnsi="Times New Roman" w:cs="Times New Roman"/>
          <w:kern w:val="44"/>
          <w:sz w:val="24"/>
          <w:szCs w:val="24"/>
        </w:rPr>
        <w:sectPr w:rsidR="00525419">
          <w:pgSz w:w="16838" w:h="11906" w:orient="landscape"/>
          <w:pgMar w:top="1803" w:right="1440" w:bottom="1803" w:left="1440" w:header="851" w:footer="992" w:gutter="0"/>
          <w:cols w:space="0"/>
          <w:docGrid w:type="lines" w:linePitch="332"/>
        </w:sectPr>
      </w:pP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lastRenderedPageBreak/>
        <w:t>5.1.3.3</w:t>
      </w:r>
      <w:r>
        <w:rPr>
          <w:rFonts w:ascii="Times New Roman" w:hAnsi="Times New Roman" w:cs="Times New Roman"/>
          <w:kern w:val="44"/>
          <w:sz w:val="24"/>
          <w:szCs w:val="24"/>
        </w:rPr>
        <w:t>年平均质量浓度变化分析</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对于现状浓度不达标污染物，由于无法获得不达标区规划达标年的区域污染源清单及预测浓度场，因此，对于现状浓度不达标污染物，本评价按照《环境影响评价技术导则大气环境》（</w:t>
      </w:r>
      <w:r>
        <w:rPr>
          <w:rFonts w:ascii="Times New Roman" w:hAnsi="Times New Roman"/>
          <w:kern w:val="0"/>
          <w:sz w:val="24"/>
          <w:szCs w:val="24"/>
        </w:rPr>
        <w:t>HJ2.2-2018</w:t>
      </w:r>
      <w:r>
        <w:rPr>
          <w:rFonts w:ascii="Times New Roman" w:hAnsi="Times New Roman"/>
          <w:kern w:val="0"/>
          <w:sz w:val="24"/>
          <w:szCs w:val="24"/>
        </w:rPr>
        <w:t>）</w:t>
      </w:r>
      <w:r>
        <w:rPr>
          <w:rFonts w:ascii="Times New Roman" w:hAnsi="Times New Roman"/>
          <w:kern w:val="0"/>
          <w:sz w:val="24"/>
          <w:szCs w:val="24"/>
        </w:rPr>
        <w:t>8.8.4</w:t>
      </w:r>
      <w:r>
        <w:rPr>
          <w:rFonts w:ascii="Times New Roman" w:hAnsi="Times New Roman"/>
          <w:kern w:val="0"/>
          <w:sz w:val="24"/>
          <w:szCs w:val="24"/>
        </w:rPr>
        <w:t>小结内容，对现状浓度超标污染物</w:t>
      </w:r>
      <w:r>
        <w:rPr>
          <w:rFonts w:ascii="Times New Roman" w:hAnsi="Times New Roman"/>
          <w:kern w:val="0"/>
          <w:sz w:val="24"/>
          <w:szCs w:val="24"/>
        </w:rPr>
        <w:t>PM</w:t>
      </w:r>
      <w:r>
        <w:rPr>
          <w:rFonts w:ascii="Times New Roman" w:hAnsi="Times New Roman"/>
          <w:kern w:val="0"/>
          <w:sz w:val="24"/>
          <w:szCs w:val="24"/>
          <w:vertAlign w:val="subscript"/>
        </w:rPr>
        <w:t>10</w:t>
      </w:r>
      <w:r>
        <w:rPr>
          <w:rFonts w:ascii="Times New Roman" w:hAnsi="Times New Roman"/>
          <w:kern w:val="0"/>
          <w:sz w:val="24"/>
          <w:szCs w:val="24"/>
        </w:rPr>
        <w:t>进行区域环境质量变化评价，计算本项目新增污染源与区域削减污染源对预测范围所有网格点年平均质量浓度贡献值的算术平均值，并根据实施区域削减方案后预测范围的年平均质量浓度变化率</w:t>
      </w:r>
      <w:r>
        <w:rPr>
          <w:rFonts w:ascii="Times New Roman" w:hAnsi="Times New Roman"/>
          <w:kern w:val="0"/>
          <w:sz w:val="24"/>
          <w:szCs w:val="24"/>
        </w:rPr>
        <w:t>k</w:t>
      </w:r>
      <w:r>
        <w:rPr>
          <w:rFonts w:ascii="Times New Roman" w:hAnsi="Times New Roman"/>
          <w:kern w:val="0"/>
          <w:sz w:val="24"/>
          <w:szCs w:val="24"/>
        </w:rPr>
        <w:t>分析区域环境质量改善情况，当</w:t>
      </w:r>
      <w:r>
        <w:rPr>
          <w:rFonts w:ascii="Times New Roman" w:hAnsi="Times New Roman"/>
          <w:kern w:val="0"/>
          <w:sz w:val="24"/>
          <w:szCs w:val="24"/>
        </w:rPr>
        <w:t>k≤-20%</w:t>
      </w:r>
      <w:r>
        <w:rPr>
          <w:rFonts w:ascii="Times New Roman" w:hAnsi="Times New Roman"/>
          <w:kern w:val="0"/>
          <w:sz w:val="24"/>
          <w:szCs w:val="24"/>
        </w:rPr>
        <w:t>时，可判定项目建设后区域环境质量得到整体改善。</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本项目位于鄯善县，根据基本污染物评价基准年连续一年监测结果，区域颗粒物超标，为不达标区。</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根据《吐鲁番市大气环境质量限期达标规划》，鄯善县</w:t>
      </w:r>
      <w:r>
        <w:rPr>
          <w:rFonts w:ascii="Times New Roman" w:hAnsi="Times New Roman"/>
          <w:kern w:val="0"/>
          <w:sz w:val="24"/>
          <w:szCs w:val="24"/>
        </w:rPr>
        <w:t>2018</w:t>
      </w:r>
      <w:r>
        <w:rPr>
          <w:rFonts w:ascii="Times New Roman" w:hAnsi="Times New Roman"/>
          <w:kern w:val="0"/>
          <w:sz w:val="24"/>
          <w:szCs w:val="24"/>
        </w:rPr>
        <w:t>对鄯善县电力公司下属七克台、吐峪沟、连木沁、达浪坎、鲁克沁、迪坎和火车站</w:t>
      </w:r>
      <w:r>
        <w:rPr>
          <w:rFonts w:ascii="Times New Roman" w:hAnsi="Times New Roman"/>
          <w:kern w:val="0"/>
          <w:sz w:val="24"/>
          <w:szCs w:val="24"/>
        </w:rPr>
        <w:t>7</w:t>
      </w:r>
      <w:r>
        <w:rPr>
          <w:rFonts w:ascii="Times New Roman" w:hAnsi="Times New Roman"/>
          <w:kern w:val="0"/>
          <w:sz w:val="24"/>
          <w:szCs w:val="24"/>
        </w:rPr>
        <w:t>座燃煤锅炉进行了煤改电改造，其颗粒物削减情况如表</w:t>
      </w:r>
      <w:r>
        <w:rPr>
          <w:rFonts w:ascii="Times New Roman" w:hAnsi="Times New Roman"/>
          <w:kern w:val="0"/>
          <w:sz w:val="24"/>
          <w:szCs w:val="24"/>
        </w:rPr>
        <w:t>5.1-15</w:t>
      </w:r>
      <w:r>
        <w:rPr>
          <w:rFonts w:ascii="Times New Roman" w:hAnsi="Times New Roman"/>
          <w:kern w:val="0"/>
          <w:sz w:val="24"/>
          <w:szCs w:val="24"/>
        </w:rPr>
        <w:t>。</w:t>
      </w:r>
    </w:p>
    <w:p w:rsidR="00525419" w:rsidRDefault="00EE1CF7">
      <w:pPr>
        <w:widowControl/>
        <w:adjustRightInd w:val="0"/>
        <w:snapToGrid w:val="0"/>
        <w:spacing w:before="120"/>
        <w:jc w:val="center"/>
        <w:rPr>
          <w:rFonts w:ascii="Times New Roman" w:eastAsia="黑体" w:hAnsi="Times New Roman"/>
          <w:bCs/>
          <w:snapToGrid w:val="0"/>
          <w:kern w:val="0"/>
          <w:szCs w:val="21"/>
        </w:rPr>
      </w:pPr>
      <w:r>
        <w:rPr>
          <w:rFonts w:ascii="Times New Roman" w:eastAsia="黑体" w:hAnsi="Times New Roman"/>
          <w:bCs/>
          <w:snapToGrid w:val="0"/>
          <w:kern w:val="0"/>
          <w:szCs w:val="21"/>
        </w:rPr>
        <w:t>表</w:t>
      </w:r>
      <w:r>
        <w:rPr>
          <w:rFonts w:ascii="Times New Roman" w:eastAsia="黑体" w:hAnsi="Times New Roman"/>
          <w:bCs/>
          <w:snapToGrid w:val="0"/>
          <w:kern w:val="0"/>
          <w:szCs w:val="21"/>
        </w:rPr>
        <w:t xml:space="preserve">5.1-15   </w:t>
      </w:r>
      <w:r>
        <w:rPr>
          <w:rFonts w:ascii="Times New Roman" w:eastAsia="黑体" w:hAnsi="Times New Roman"/>
          <w:bCs/>
          <w:snapToGrid w:val="0"/>
          <w:kern w:val="0"/>
          <w:szCs w:val="21"/>
        </w:rPr>
        <w:t>颗粒物消减源强情况</w:t>
      </w:r>
    </w:p>
    <w:tbl>
      <w:tblPr>
        <w:tblW w:w="832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71"/>
        <w:gridCol w:w="2779"/>
        <w:gridCol w:w="2777"/>
      </w:tblGrid>
      <w:tr w:rsidR="00525419">
        <w:trPr>
          <w:trHeight w:val="397"/>
          <w:jc w:val="center"/>
        </w:trPr>
        <w:tc>
          <w:tcPr>
            <w:tcW w:w="2771" w:type="dxa"/>
            <w:vMerge w:val="restart"/>
            <w:vAlign w:val="center"/>
          </w:tcPr>
          <w:p w:rsidR="00525419" w:rsidRDefault="00EE1CF7">
            <w:pPr>
              <w:widowControl/>
              <w:jc w:val="center"/>
              <w:rPr>
                <w:rFonts w:ascii="Times New Roman" w:hAnsi="Times New Roman"/>
                <w:kern w:val="0"/>
                <w:szCs w:val="24"/>
                <w:u w:color="000000"/>
              </w:rPr>
            </w:pPr>
            <w:r>
              <w:rPr>
                <w:rFonts w:ascii="Times New Roman" w:hAnsi="Times New Roman"/>
                <w:kern w:val="0"/>
                <w:szCs w:val="24"/>
                <w:u w:color="000000"/>
              </w:rPr>
              <w:t>装置名称</w:t>
            </w:r>
          </w:p>
        </w:tc>
        <w:tc>
          <w:tcPr>
            <w:tcW w:w="2779" w:type="dxa"/>
            <w:vMerge w:val="restart"/>
            <w:vAlign w:val="center"/>
          </w:tcPr>
          <w:p w:rsidR="00525419" w:rsidRDefault="00EE1CF7">
            <w:pPr>
              <w:widowControl/>
              <w:jc w:val="center"/>
              <w:rPr>
                <w:rFonts w:ascii="Times New Roman" w:hAnsi="Times New Roman"/>
                <w:kern w:val="0"/>
                <w:szCs w:val="24"/>
                <w:u w:color="000000"/>
              </w:rPr>
            </w:pPr>
            <w:r>
              <w:rPr>
                <w:rFonts w:ascii="Times New Roman" w:hAnsi="Times New Roman"/>
                <w:kern w:val="0"/>
                <w:szCs w:val="24"/>
                <w:u w:color="000000"/>
              </w:rPr>
              <w:t>污染源</w:t>
            </w:r>
          </w:p>
        </w:tc>
        <w:tc>
          <w:tcPr>
            <w:tcW w:w="2777" w:type="dxa"/>
            <w:vAlign w:val="center"/>
          </w:tcPr>
          <w:p w:rsidR="00525419" w:rsidRDefault="00EE1CF7">
            <w:pPr>
              <w:widowControl/>
              <w:jc w:val="center"/>
              <w:rPr>
                <w:rFonts w:ascii="Times New Roman" w:hAnsi="Times New Roman"/>
                <w:kern w:val="0"/>
                <w:szCs w:val="24"/>
                <w:u w:color="000000"/>
              </w:rPr>
            </w:pPr>
            <w:r>
              <w:rPr>
                <w:rFonts w:ascii="Times New Roman" w:hAnsi="Times New Roman"/>
                <w:kern w:val="0"/>
                <w:szCs w:val="24"/>
                <w:u w:color="000000"/>
              </w:rPr>
              <w:t>消减量（</w:t>
            </w:r>
            <w:r>
              <w:rPr>
                <w:rFonts w:ascii="Times New Roman" w:hAnsi="Times New Roman"/>
                <w:kern w:val="0"/>
                <w:szCs w:val="24"/>
                <w:u w:color="000000"/>
              </w:rPr>
              <w:t>t/a</w:t>
            </w:r>
            <w:r>
              <w:rPr>
                <w:rFonts w:ascii="Times New Roman" w:hAnsi="Times New Roman"/>
                <w:kern w:val="0"/>
                <w:szCs w:val="24"/>
                <w:u w:color="000000"/>
              </w:rPr>
              <w:t>）</w:t>
            </w:r>
          </w:p>
        </w:tc>
      </w:tr>
      <w:tr w:rsidR="00525419">
        <w:trPr>
          <w:trHeight w:val="397"/>
          <w:jc w:val="center"/>
        </w:trPr>
        <w:tc>
          <w:tcPr>
            <w:tcW w:w="2771" w:type="dxa"/>
            <w:vMerge/>
            <w:vAlign w:val="center"/>
          </w:tcPr>
          <w:p w:rsidR="00525419" w:rsidRDefault="00525419">
            <w:pPr>
              <w:widowControl/>
              <w:jc w:val="center"/>
              <w:rPr>
                <w:rFonts w:ascii="Times New Roman" w:hAnsi="Times New Roman"/>
                <w:caps/>
                <w:kern w:val="0"/>
                <w:szCs w:val="24"/>
                <w:u w:color="000000"/>
              </w:rPr>
            </w:pPr>
          </w:p>
        </w:tc>
        <w:tc>
          <w:tcPr>
            <w:tcW w:w="2779" w:type="dxa"/>
            <w:vMerge/>
            <w:vAlign w:val="center"/>
          </w:tcPr>
          <w:p w:rsidR="00525419" w:rsidRDefault="00525419">
            <w:pPr>
              <w:widowControl/>
              <w:jc w:val="center"/>
              <w:rPr>
                <w:rFonts w:ascii="Times New Roman" w:hAnsi="Times New Roman"/>
                <w:caps/>
                <w:kern w:val="0"/>
                <w:szCs w:val="24"/>
                <w:u w:color="000000"/>
              </w:rPr>
            </w:pPr>
          </w:p>
        </w:tc>
        <w:tc>
          <w:tcPr>
            <w:tcW w:w="2777" w:type="dxa"/>
            <w:vAlign w:val="center"/>
          </w:tcPr>
          <w:p w:rsidR="00525419" w:rsidRDefault="00EE1CF7">
            <w:pPr>
              <w:widowControl/>
              <w:jc w:val="center"/>
              <w:rPr>
                <w:rFonts w:ascii="Times New Roman" w:hAnsi="Times New Roman"/>
                <w:kern w:val="0"/>
                <w:szCs w:val="24"/>
                <w:u w:color="000000"/>
              </w:rPr>
            </w:pPr>
            <w:r>
              <w:rPr>
                <w:rFonts w:ascii="Times New Roman" w:hAnsi="Times New Roman"/>
                <w:kern w:val="0"/>
                <w:szCs w:val="24"/>
                <w:u w:color="000000"/>
              </w:rPr>
              <w:t>颗粒物</w:t>
            </w:r>
          </w:p>
        </w:tc>
      </w:tr>
      <w:tr w:rsidR="00525419">
        <w:trPr>
          <w:trHeight w:val="397"/>
          <w:jc w:val="center"/>
        </w:trPr>
        <w:tc>
          <w:tcPr>
            <w:tcW w:w="2771" w:type="dxa"/>
            <w:vAlign w:val="center"/>
          </w:tcPr>
          <w:p w:rsidR="00525419" w:rsidRDefault="00EE1CF7">
            <w:pPr>
              <w:widowControl/>
              <w:jc w:val="center"/>
              <w:rPr>
                <w:rFonts w:ascii="Times New Roman" w:hAnsi="Times New Roman"/>
                <w:caps/>
                <w:kern w:val="0"/>
                <w:szCs w:val="24"/>
                <w:u w:color="000000"/>
              </w:rPr>
            </w:pPr>
            <w:r>
              <w:rPr>
                <w:rFonts w:ascii="Times New Roman" w:hAnsi="Times New Roman"/>
                <w:kern w:val="0"/>
                <w:szCs w:val="24"/>
              </w:rPr>
              <w:t>七克台</w:t>
            </w:r>
          </w:p>
        </w:tc>
        <w:tc>
          <w:tcPr>
            <w:tcW w:w="277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燃煤锅炉</w:t>
            </w:r>
          </w:p>
        </w:tc>
        <w:tc>
          <w:tcPr>
            <w:tcW w:w="277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1.0</w:t>
            </w:r>
          </w:p>
        </w:tc>
      </w:tr>
      <w:tr w:rsidR="00525419">
        <w:trPr>
          <w:trHeight w:val="397"/>
          <w:jc w:val="center"/>
        </w:trPr>
        <w:tc>
          <w:tcPr>
            <w:tcW w:w="2771" w:type="dxa"/>
            <w:vAlign w:val="center"/>
          </w:tcPr>
          <w:p w:rsidR="00525419" w:rsidRDefault="00EE1CF7">
            <w:pPr>
              <w:widowControl/>
              <w:jc w:val="center"/>
              <w:rPr>
                <w:rFonts w:ascii="Times New Roman" w:hAnsi="Times New Roman"/>
                <w:caps/>
                <w:kern w:val="0"/>
                <w:szCs w:val="24"/>
                <w:u w:color="000000"/>
              </w:rPr>
            </w:pPr>
            <w:r>
              <w:rPr>
                <w:rFonts w:ascii="Times New Roman" w:hAnsi="Times New Roman"/>
                <w:kern w:val="0"/>
                <w:szCs w:val="24"/>
              </w:rPr>
              <w:t>吐峪沟</w:t>
            </w:r>
          </w:p>
        </w:tc>
        <w:tc>
          <w:tcPr>
            <w:tcW w:w="2779" w:type="dxa"/>
            <w:vAlign w:val="center"/>
          </w:tcPr>
          <w:p w:rsidR="00525419" w:rsidRDefault="00EE1CF7">
            <w:pPr>
              <w:jc w:val="center"/>
              <w:rPr>
                <w:rFonts w:ascii="Times New Roman" w:hAnsi="Times New Roman"/>
                <w:szCs w:val="24"/>
              </w:rPr>
            </w:pPr>
            <w:r>
              <w:rPr>
                <w:rFonts w:ascii="Times New Roman" w:hAnsi="Times New Roman"/>
                <w:szCs w:val="24"/>
              </w:rPr>
              <w:t>燃煤锅炉</w:t>
            </w:r>
          </w:p>
        </w:tc>
        <w:tc>
          <w:tcPr>
            <w:tcW w:w="2777" w:type="dxa"/>
            <w:vAlign w:val="center"/>
          </w:tcPr>
          <w:p w:rsidR="00525419" w:rsidRDefault="00EE1CF7">
            <w:pPr>
              <w:jc w:val="center"/>
              <w:rPr>
                <w:rFonts w:ascii="Times New Roman" w:hAnsi="Times New Roman"/>
                <w:szCs w:val="24"/>
              </w:rPr>
            </w:pPr>
            <w:r>
              <w:rPr>
                <w:rFonts w:ascii="Times New Roman" w:hAnsi="Times New Roman"/>
                <w:szCs w:val="24"/>
              </w:rPr>
              <w:t>1.0</w:t>
            </w:r>
          </w:p>
        </w:tc>
      </w:tr>
      <w:tr w:rsidR="00525419">
        <w:trPr>
          <w:trHeight w:val="397"/>
          <w:jc w:val="center"/>
        </w:trPr>
        <w:tc>
          <w:tcPr>
            <w:tcW w:w="2771" w:type="dxa"/>
            <w:vAlign w:val="center"/>
          </w:tcPr>
          <w:p w:rsidR="00525419" w:rsidRDefault="00EE1CF7">
            <w:pPr>
              <w:widowControl/>
              <w:jc w:val="center"/>
              <w:rPr>
                <w:rFonts w:ascii="Times New Roman" w:hAnsi="Times New Roman"/>
                <w:caps/>
                <w:kern w:val="0"/>
                <w:szCs w:val="24"/>
                <w:u w:color="000000"/>
              </w:rPr>
            </w:pPr>
            <w:r>
              <w:rPr>
                <w:rFonts w:ascii="Times New Roman" w:hAnsi="Times New Roman"/>
                <w:kern w:val="0"/>
                <w:szCs w:val="24"/>
              </w:rPr>
              <w:t>连木沁</w:t>
            </w:r>
          </w:p>
        </w:tc>
        <w:tc>
          <w:tcPr>
            <w:tcW w:w="2779" w:type="dxa"/>
            <w:vAlign w:val="center"/>
          </w:tcPr>
          <w:p w:rsidR="00525419" w:rsidRDefault="00EE1CF7">
            <w:pPr>
              <w:jc w:val="center"/>
              <w:rPr>
                <w:rFonts w:ascii="Times New Roman" w:hAnsi="Times New Roman"/>
                <w:szCs w:val="24"/>
              </w:rPr>
            </w:pPr>
            <w:r>
              <w:rPr>
                <w:rFonts w:ascii="Times New Roman" w:hAnsi="Times New Roman"/>
                <w:szCs w:val="24"/>
              </w:rPr>
              <w:t>燃煤锅炉</w:t>
            </w:r>
          </w:p>
        </w:tc>
        <w:tc>
          <w:tcPr>
            <w:tcW w:w="2777" w:type="dxa"/>
            <w:vAlign w:val="center"/>
          </w:tcPr>
          <w:p w:rsidR="00525419" w:rsidRDefault="00EE1CF7">
            <w:pPr>
              <w:jc w:val="center"/>
              <w:rPr>
                <w:rFonts w:ascii="Times New Roman" w:hAnsi="Times New Roman"/>
                <w:szCs w:val="24"/>
              </w:rPr>
            </w:pPr>
            <w:r>
              <w:rPr>
                <w:rFonts w:ascii="Times New Roman" w:hAnsi="Times New Roman"/>
                <w:szCs w:val="24"/>
              </w:rPr>
              <w:t>1.0</w:t>
            </w:r>
          </w:p>
        </w:tc>
      </w:tr>
      <w:tr w:rsidR="00525419">
        <w:trPr>
          <w:trHeight w:val="397"/>
          <w:jc w:val="center"/>
        </w:trPr>
        <w:tc>
          <w:tcPr>
            <w:tcW w:w="2771" w:type="dxa"/>
            <w:vAlign w:val="center"/>
          </w:tcPr>
          <w:p w:rsidR="00525419" w:rsidRDefault="00EE1CF7">
            <w:pPr>
              <w:widowControl/>
              <w:jc w:val="center"/>
              <w:rPr>
                <w:rFonts w:ascii="Times New Roman" w:hAnsi="Times New Roman"/>
                <w:caps/>
                <w:kern w:val="0"/>
                <w:szCs w:val="24"/>
                <w:u w:color="000000"/>
              </w:rPr>
            </w:pPr>
            <w:r>
              <w:rPr>
                <w:rFonts w:ascii="Times New Roman" w:hAnsi="Times New Roman"/>
                <w:kern w:val="0"/>
                <w:szCs w:val="24"/>
              </w:rPr>
              <w:t>达浪坎</w:t>
            </w:r>
          </w:p>
        </w:tc>
        <w:tc>
          <w:tcPr>
            <w:tcW w:w="2779" w:type="dxa"/>
            <w:vAlign w:val="center"/>
          </w:tcPr>
          <w:p w:rsidR="00525419" w:rsidRDefault="00EE1CF7">
            <w:pPr>
              <w:jc w:val="center"/>
              <w:rPr>
                <w:rFonts w:ascii="Times New Roman" w:hAnsi="Times New Roman"/>
                <w:szCs w:val="24"/>
              </w:rPr>
            </w:pPr>
            <w:r>
              <w:rPr>
                <w:rFonts w:ascii="Times New Roman" w:hAnsi="Times New Roman"/>
                <w:szCs w:val="24"/>
              </w:rPr>
              <w:t>燃煤锅炉</w:t>
            </w:r>
          </w:p>
        </w:tc>
        <w:tc>
          <w:tcPr>
            <w:tcW w:w="2777" w:type="dxa"/>
            <w:vAlign w:val="center"/>
          </w:tcPr>
          <w:p w:rsidR="00525419" w:rsidRDefault="00EE1CF7">
            <w:pPr>
              <w:jc w:val="center"/>
              <w:rPr>
                <w:rFonts w:ascii="Times New Roman" w:hAnsi="Times New Roman"/>
                <w:szCs w:val="24"/>
              </w:rPr>
            </w:pPr>
            <w:r>
              <w:rPr>
                <w:rFonts w:ascii="Times New Roman" w:hAnsi="Times New Roman"/>
                <w:szCs w:val="24"/>
              </w:rPr>
              <w:t>1.0</w:t>
            </w:r>
          </w:p>
        </w:tc>
      </w:tr>
      <w:tr w:rsidR="00525419">
        <w:trPr>
          <w:trHeight w:val="397"/>
          <w:jc w:val="center"/>
        </w:trPr>
        <w:tc>
          <w:tcPr>
            <w:tcW w:w="2771" w:type="dxa"/>
            <w:vAlign w:val="center"/>
          </w:tcPr>
          <w:p w:rsidR="00525419" w:rsidRDefault="00EE1CF7">
            <w:pPr>
              <w:widowControl/>
              <w:jc w:val="center"/>
              <w:rPr>
                <w:rFonts w:ascii="Times New Roman" w:hAnsi="Times New Roman"/>
                <w:caps/>
                <w:kern w:val="0"/>
                <w:szCs w:val="24"/>
                <w:u w:color="000000"/>
              </w:rPr>
            </w:pPr>
            <w:r>
              <w:rPr>
                <w:rFonts w:ascii="Times New Roman" w:hAnsi="Times New Roman"/>
                <w:kern w:val="0"/>
                <w:szCs w:val="24"/>
              </w:rPr>
              <w:t>鲁克沁</w:t>
            </w:r>
          </w:p>
        </w:tc>
        <w:tc>
          <w:tcPr>
            <w:tcW w:w="2779" w:type="dxa"/>
            <w:vAlign w:val="center"/>
          </w:tcPr>
          <w:p w:rsidR="00525419" w:rsidRDefault="00EE1CF7">
            <w:pPr>
              <w:jc w:val="center"/>
              <w:rPr>
                <w:rFonts w:ascii="Times New Roman" w:hAnsi="Times New Roman"/>
                <w:szCs w:val="24"/>
              </w:rPr>
            </w:pPr>
            <w:r>
              <w:rPr>
                <w:rFonts w:ascii="Times New Roman" w:hAnsi="Times New Roman"/>
                <w:szCs w:val="24"/>
              </w:rPr>
              <w:t>燃煤锅炉</w:t>
            </w:r>
          </w:p>
        </w:tc>
        <w:tc>
          <w:tcPr>
            <w:tcW w:w="2777" w:type="dxa"/>
            <w:vAlign w:val="center"/>
          </w:tcPr>
          <w:p w:rsidR="00525419" w:rsidRDefault="00EE1CF7">
            <w:pPr>
              <w:jc w:val="center"/>
              <w:rPr>
                <w:rFonts w:ascii="Times New Roman" w:hAnsi="Times New Roman"/>
                <w:szCs w:val="24"/>
              </w:rPr>
            </w:pPr>
            <w:r>
              <w:rPr>
                <w:rFonts w:ascii="Times New Roman" w:hAnsi="Times New Roman"/>
                <w:szCs w:val="24"/>
              </w:rPr>
              <w:t>1.0</w:t>
            </w:r>
          </w:p>
        </w:tc>
      </w:tr>
      <w:tr w:rsidR="00525419">
        <w:trPr>
          <w:trHeight w:val="397"/>
          <w:jc w:val="center"/>
        </w:trPr>
        <w:tc>
          <w:tcPr>
            <w:tcW w:w="2771" w:type="dxa"/>
            <w:vAlign w:val="center"/>
          </w:tcPr>
          <w:p w:rsidR="00525419" w:rsidRDefault="00EE1CF7">
            <w:pPr>
              <w:widowControl/>
              <w:jc w:val="center"/>
              <w:rPr>
                <w:rFonts w:ascii="Times New Roman" w:hAnsi="Times New Roman"/>
                <w:caps/>
                <w:kern w:val="0"/>
                <w:szCs w:val="24"/>
                <w:u w:color="000000"/>
              </w:rPr>
            </w:pPr>
            <w:r>
              <w:rPr>
                <w:rFonts w:ascii="Times New Roman" w:hAnsi="Times New Roman"/>
                <w:kern w:val="0"/>
                <w:szCs w:val="24"/>
              </w:rPr>
              <w:t>迪坎</w:t>
            </w:r>
          </w:p>
        </w:tc>
        <w:tc>
          <w:tcPr>
            <w:tcW w:w="2779" w:type="dxa"/>
            <w:vAlign w:val="center"/>
          </w:tcPr>
          <w:p w:rsidR="00525419" w:rsidRDefault="00EE1CF7">
            <w:pPr>
              <w:jc w:val="center"/>
              <w:rPr>
                <w:rFonts w:ascii="Times New Roman" w:hAnsi="Times New Roman"/>
                <w:szCs w:val="24"/>
              </w:rPr>
            </w:pPr>
            <w:r>
              <w:rPr>
                <w:rFonts w:ascii="Times New Roman" w:hAnsi="Times New Roman"/>
                <w:szCs w:val="24"/>
              </w:rPr>
              <w:t>燃煤锅炉</w:t>
            </w:r>
          </w:p>
        </w:tc>
        <w:tc>
          <w:tcPr>
            <w:tcW w:w="2777" w:type="dxa"/>
            <w:vAlign w:val="center"/>
          </w:tcPr>
          <w:p w:rsidR="00525419" w:rsidRDefault="00EE1CF7">
            <w:pPr>
              <w:jc w:val="center"/>
              <w:rPr>
                <w:rFonts w:ascii="Times New Roman" w:hAnsi="Times New Roman"/>
                <w:szCs w:val="24"/>
              </w:rPr>
            </w:pPr>
            <w:r>
              <w:rPr>
                <w:rFonts w:ascii="Times New Roman" w:hAnsi="Times New Roman"/>
                <w:szCs w:val="24"/>
              </w:rPr>
              <w:t>1.0</w:t>
            </w:r>
          </w:p>
        </w:tc>
      </w:tr>
      <w:tr w:rsidR="00525419">
        <w:trPr>
          <w:trHeight w:val="397"/>
          <w:jc w:val="center"/>
        </w:trPr>
        <w:tc>
          <w:tcPr>
            <w:tcW w:w="277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火车站</w:t>
            </w:r>
          </w:p>
        </w:tc>
        <w:tc>
          <w:tcPr>
            <w:tcW w:w="2779" w:type="dxa"/>
            <w:vAlign w:val="center"/>
          </w:tcPr>
          <w:p w:rsidR="00525419" w:rsidRDefault="00EE1CF7">
            <w:pPr>
              <w:jc w:val="center"/>
              <w:rPr>
                <w:rFonts w:ascii="Times New Roman" w:hAnsi="Times New Roman"/>
                <w:szCs w:val="24"/>
              </w:rPr>
            </w:pPr>
            <w:r>
              <w:rPr>
                <w:rFonts w:ascii="Times New Roman" w:hAnsi="Times New Roman"/>
                <w:szCs w:val="24"/>
              </w:rPr>
              <w:t>燃煤锅炉</w:t>
            </w:r>
          </w:p>
        </w:tc>
        <w:tc>
          <w:tcPr>
            <w:tcW w:w="2777" w:type="dxa"/>
            <w:vAlign w:val="center"/>
          </w:tcPr>
          <w:p w:rsidR="00525419" w:rsidRDefault="00EE1CF7">
            <w:pPr>
              <w:jc w:val="center"/>
              <w:rPr>
                <w:rFonts w:ascii="Times New Roman" w:hAnsi="Times New Roman"/>
                <w:szCs w:val="24"/>
              </w:rPr>
            </w:pPr>
            <w:r>
              <w:rPr>
                <w:rFonts w:ascii="Times New Roman" w:hAnsi="Times New Roman"/>
                <w:szCs w:val="24"/>
              </w:rPr>
              <w:t>1.0</w:t>
            </w:r>
          </w:p>
        </w:tc>
      </w:tr>
      <w:tr w:rsidR="00525419">
        <w:trPr>
          <w:trHeight w:val="397"/>
          <w:jc w:val="center"/>
        </w:trPr>
        <w:tc>
          <w:tcPr>
            <w:tcW w:w="5550" w:type="dxa"/>
            <w:gridSpan w:val="2"/>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合计</w:t>
            </w:r>
          </w:p>
        </w:tc>
        <w:tc>
          <w:tcPr>
            <w:tcW w:w="277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7.0</w:t>
            </w:r>
          </w:p>
        </w:tc>
      </w:tr>
    </w:tbl>
    <w:p w:rsidR="00525419" w:rsidRDefault="00525419">
      <w:pPr>
        <w:widowControl/>
        <w:jc w:val="center"/>
        <w:rPr>
          <w:rFonts w:ascii="Times New Roman" w:hAnsi="Times New Roman"/>
          <w:kern w:val="0"/>
          <w:szCs w:val="24"/>
        </w:rPr>
      </w:pPr>
    </w:p>
    <w:p w:rsidR="00525419" w:rsidRDefault="00EE1CF7">
      <w:pPr>
        <w:widowControl/>
        <w:spacing w:line="360" w:lineRule="auto"/>
        <w:ind w:firstLineChars="200" w:firstLine="480"/>
        <w:rPr>
          <w:rFonts w:ascii="Times New Roman" w:hAnsi="Times New Roman"/>
          <w:kern w:val="0"/>
          <w:sz w:val="24"/>
          <w:szCs w:val="24"/>
        </w:rPr>
      </w:pPr>
      <w:r>
        <w:rPr>
          <w:rFonts w:ascii="Times New Roman" w:hAnsi="Times New Roman"/>
          <w:kern w:val="0"/>
          <w:sz w:val="24"/>
          <w:szCs w:val="24"/>
        </w:rPr>
        <w:t>采用网格点进行区域环境质量变化评价，网格点数量</w:t>
      </w:r>
      <w:r>
        <w:rPr>
          <w:rFonts w:ascii="Times New Roman" w:hAnsi="Times New Roman"/>
          <w:kern w:val="0"/>
          <w:sz w:val="24"/>
          <w:szCs w:val="24"/>
        </w:rPr>
        <w:t>m=8904</w:t>
      </w:r>
      <w:r>
        <w:rPr>
          <w:rFonts w:ascii="Times New Roman" w:hAnsi="Times New Roman"/>
          <w:kern w:val="0"/>
          <w:sz w:val="24"/>
          <w:szCs w:val="24"/>
        </w:rPr>
        <w:t>。本项目颗粒物排放源在所有网格点上的年平均贡献浓度的算术平均值</w:t>
      </w:r>
      <w:r>
        <w:rPr>
          <w:rFonts w:ascii="Times New Roman" w:hAnsi="Times New Roman"/>
          <w:kern w:val="0"/>
          <w:sz w:val="24"/>
          <w:szCs w:val="24"/>
        </w:rPr>
        <w:t>=9.6×10</w:t>
      </w:r>
      <w:r>
        <w:rPr>
          <w:rFonts w:ascii="Times New Roman" w:hAnsi="Times New Roman"/>
          <w:kern w:val="0"/>
          <w:sz w:val="24"/>
          <w:szCs w:val="24"/>
          <w:vertAlign w:val="superscript"/>
        </w:rPr>
        <w:t>-5</w:t>
      </w:r>
      <w:r>
        <w:rPr>
          <w:rFonts w:ascii="Times New Roman" w:hAnsi="Times New Roman"/>
          <w:kern w:val="0"/>
          <w:sz w:val="24"/>
          <w:szCs w:val="24"/>
        </w:rPr>
        <w:t>（</w:t>
      </w:r>
      <w:r>
        <w:rPr>
          <w:rFonts w:ascii="Times New Roman" w:hAnsi="Times New Roman"/>
          <w:kern w:val="0"/>
          <w:sz w:val="24"/>
          <w:szCs w:val="24"/>
        </w:rPr>
        <w:t>mg/m</w:t>
      </w:r>
      <w:r>
        <w:rPr>
          <w:rFonts w:ascii="Times New Roman" w:hAnsi="Times New Roman"/>
          <w:kern w:val="0"/>
          <w:sz w:val="24"/>
          <w:szCs w:val="24"/>
          <w:vertAlign w:val="superscript"/>
        </w:rPr>
        <w:t>3</w:t>
      </w:r>
      <w:r>
        <w:rPr>
          <w:rFonts w:ascii="Times New Roman" w:hAnsi="Times New Roman"/>
          <w:kern w:val="0"/>
          <w:sz w:val="24"/>
          <w:szCs w:val="24"/>
        </w:rPr>
        <w:t>），区域颗粒物削减源在所有网格点上的年平均贡献浓度的算术平均值</w:t>
      </w:r>
      <w:r>
        <w:rPr>
          <w:rFonts w:ascii="Times New Roman" w:hAnsi="Times New Roman"/>
          <w:kern w:val="0"/>
          <w:sz w:val="24"/>
          <w:szCs w:val="24"/>
        </w:rPr>
        <w:t>=2.01×10</w:t>
      </w:r>
      <w:r>
        <w:rPr>
          <w:rFonts w:ascii="Times New Roman" w:hAnsi="Times New Roman"/>
          <w:kern w:val="0"/>
          <w:sz w:val="24"/>
          <w:szCs w:val="24"/>
          <w:vertAlign w:val="superscript"/>
        </w:rPr>
        <w:t>-4</w:t>
      </w:r>
      <w:r>
        <w:rPr>
          <w:rFonts w:ascii="Times New Roman" w:hAnsi="Times New Roman"/>
          <w:kern w:val="0"/>
          <w:sz w:val="24"/>
          <w:szCs w:val="24"/>
        </w:rPr>
        <w:t>（</w:t>
      </w:r>
      <w:r>
        <w:rPr>
          <w:rFonts w:ascii="Times New Roman" w:hAnsi="Times New Roman"/>
          <w:kern w:val="0"/>
          <w:sz w:val="24"/>
          <w:szCs w:val="24"/>
        </w:rPr>
        <w:t>mg/m</w:t>
      </w:r>
      <w:r>
        <w:rPr>
          <w:rFonts w:ascii="Times New Roman" w:hAnsi="Times New Roman"/>
          <w:kern w:val="0"/>
          <w:sz w:val="24"/>
          <w:szCs w:val="24"/>
          <w:vertAlign w:val="superscript"/>
        </w:rPr>
        <w:t>3</w:t>
      </w:r>
      <w:r>
        <w:rPr>
          <w:rFonts w:ascii="Times New Roman" w:hAnsi="Times New Roman"/>
          <w:kern w:val="0"/>
          <w:sz w:val="24"/>
          <w:szCs w:val="24"/>
        </w:rPr>
        <w:t>），实施削减后预测范围的颗粒物年平均浓度变化率</w:t>
      </w:r>
      <w:r>
        <w:rPr>
          <w:rFonts w:ascii="Times New Roman" w:hAnsi="Times New Roman"/>
          <w:kern w:val="0"/>
          <w:sz w:val="24"/>
          <w:szCs w:val="24"/>
        </w:rPr>
        <w:t>k=-52%</w:t>
      </w:r>
      <w:r>
        <w:rPr>
          <w:rFonts w:ascii="Times New Roman" w:hAnsi="Times New Roman"/>
          <w:kern w:val="0"/>
          <w:sz w:val="24"/>
          <w:szCs w:val="24"/>
        </w:rPr>
        <w:t>，浓度变化率</w:t>
      </w:r>
      <w:r>
        <w:rPr>
          <w:rFonts w:ascii="Times New Roman" w:hAnsi="Times New Roman"/>
          <w:kern w:val="0"/>
          <w:sz w:val="24"/>
          <w:szCs w:val="24"/>
        </w:rPr>
        <w:t>k&lt;=-20%</w:t>
      </w:r>
      <w:r>
        <w:rPr>
          <w:rFonts w:ascii="Times New Roman" w:hAnsi="Times New Roman"/>
          <w:kern w:val="0"/>
          <w:sz w:val="24"/>
          <w:szCs w:val="24"/>
        </w:rPr>
        <w:t>。</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lastRenderedPageBreak/>
        <w:t>因此，可判定区域环境空气中颗粒物浓度将有所下降，环境质量将得到改善。</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5.1.3.4</w:t>
      </w:r>
      <w:r>
        <w:rPr>
          <w:rFonts w:ascii="Times New Roman" w:hAnsi="Times New Roman" w:cs="Times New Roman"/>
          <w:kern w:val="44"/>
          <w:sz w:val="24"/>
          <w:szCs w:val="24"/>
        </w:rPr>
        <w:t>非正常工况排放影响预测</w:t>
      </w:r>
    </w:p>
    <w:p w:rsidR="00525419" w:rsidRDefault="00EE1CF7">
      <w:pPr>
        <w:spacing w:line="360" w:lineRule="auto"/>
        <w:ind w:firstLineChars="200" w:firstLine="420"/>
        <w:rPr>
          <w:rFonts w:ascii="Times New Roman" w:hAnsi="Times New Roman"/>
        </w:rPr>
      </w:pPr>
      <w:r>
        <w:rPr>
          <w:rFonts w:ascii="Times New Roman" w:hAnsi="Times New Roman"/>
        </w:rPr>
        <w:t xml:space="preserve">　</w:t>
      </w:r>
      <w:r>
        <w:rPr>
          <w:rFonts w:ascii="Times New Roman" w:hAnsi="Times New Roman"/>
          <w:sz w:val="24"/>
          <w:szCs w:val="24"/>
        </w:rPr>
        <w:t>本项目主要非正常工况是指硫磺回收装置出现故障时，酸性气直接去尾气焚烧炉焚烧后经过碱洗后通过烟囱排空，或者酸性气直接去碱洗塔脱硫后到火炬燃烧排空。硫磺回收装置故障时环境影响预测结果见表</w:t>
      </w:r>
      <w:r>
        <w:rPr>
          <w:rFonts w:ascii="Times New Roman" w:hAnsi="Times New Roman"/>
          <w:sz w:val="24"/>
          <w:szCs w:val="24"/>
        </w:rPr>
        <w:t>5.1-16</w:t>
      </w:r>
      <w:r>
        <w:rPr>
          <w:rFonts w:ascii="Times New Roman" w:hAnsi="Times New Roman"/>
          <w:sz w:val="24"/>
          <w:szCs w:val="24"/>
        </w:rPr>
        <w:t>。</w:t>
      </w:r>
    </w:p>
    <w:p w:rsidR="00525419" w:rsidRDefault="00525419">
      <w:pPr>
        <w:ind w:firstLineChars="1200" w:firstLine="2520"/>
        <w:rPr>
          <w:rFonts w:ascii="Times New Roman" w:eastAsia="黑体" w:hAnsi="Times New Roman"/>
        </w:rPr>
        <w:sectPr w:rsidR="00525419">
          <w:pgSz w:w="11906" w:h="16838"/>
          <w:pgMar w:top="1440" w:right="1803" w:bottom="1440" w:left="1803" w:header="851" w:footer="992" w:gutter="0"/>
          <w:cols w:space="0"/>
          <w:docGrid w:type="lines" w:linePitch="332"/>
        </w:sectPr>
      </w:pPr>
    </w:p>
    <w:p w:rsidR="00525419" w:rsidRDefault="00EE1CF7">
      <w:pPr>
        <w:ind w:firstLineChars="1200" w:firstLine="2520"/>
        <w:jc w:val="center"/>
        <w:rPr>
          <w:rFonts w:ascii="Times New Roman" w:eastAsia="黑体" w:hAnsi="Times New Roman"/>
        </w:rPr>
      </w:pPr>
      <w:r>
        <w:rPr>
          <w:rFonts w:ascii="Times New Roman" w:eastAsia="黑体" w:hAnsi="Times New Roman"/>
        </w:rPr>
        <w:lastRenderedPageBreak/>
        <w:t>表</w:t>
      </w:r>
      <w:r>
        <w:rPr>
          <w:rFonts w:ascii="Times New Roman" w:eastAsia="黑体" w:hAnsi="Times New Roman"/>
        </w:rPr>
        <w:t>5.1-16</w:t>
      </w:r>
      <w:r>
        <w:rPr>
          <w:rFonts w:ascii="Times New Roman" w:eastAsia="黑体" w:hAnsi="Times New Roman"/>
        </w:rPr>
        <w:t xml:space="preserve">　</w:t>
      </w:r>
      <w:r>
        <w:rPr>
          <w:rFonts w:ascii="Times New Roman" w:eastAsia="黑体" w:hAnsi="Times New Roman"/>
        </w:rPr>
        <w:t xml:space="preserve">   </w:t>
      </w:r>
      <w:r>
        <w:rPr>
          <w:rFonts w:ascii="Times New Roman" w:eastAsia="黑体" w:hAnsi="Times New Roman"/>
        </w:rPr>
        <w:t>非正常工况大气预测结果</w:t>
      </w:r>
    </w:p>
    <w:tbl>
      <w:tblPr>
        <w:tblW w:w="1398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061"/>
        <w:gridCol w:w="1062"/>
        <w:gridCol w:w="1416"/>
        <w:gridCol w:w="1094"/>
        <w:gridCol w:w="1095"/>
        <w:gridCol w:w="1069"/>
        <w:gridCol w:w="1062"/>
        <w:gridCol w:w="1161"/>
        <w:gridCol w:w="1686"/>
        <w:gridCol w:w="1117"/>
        <w:gridCol w:w="1103"/>
        <w:gridCol w:w="1062"/>
      </w:tblGrid>
      <w:tr w:rsidR="00525419">
        <w:trPr>
          <w:trHeight w:val="286"/>
        </w:trPr>
        <w:tc>
          <w:tcPr>
            <w:tcW w:w="1061"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序号</w:t>
            </w:r>
          </w:p>
        </w:tc>
        <w:tc>
          <w:tcPr>
            <w:tcW w:w="106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点名称</w:t>
            </w:r>
          </w:p>
        </w:tc>
        <w:tc>
          <w:tcPr>
            <w:tcW w:w="14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点坐标</w:t>
            </w:r>
            <w:r>
              <w:rPr>
                <w:rFonts w:ascii="Times New Roman" w:hAnsi="Times New Roman"/>
                <w:kern w:val="0"/>
                <w:szCs w:val="21"/>
                <w:lang w:bidi="ar"/>
              </w:rPr>
              <w:t>(x</w:t>
            </w:r>
            <w:r>
              <w:rPr>
                <w:rFonts w:ascii="Times New Roman" w:hAnsi="Times New Roman"/>
                <w:kern w:val="0"/>
                <w:szCs w:val="21"/>
                <w:lang w:bidi="ar"/>
              </w:rPr>
              <w:t>或</w:t>
            </w:r>
            <w:r>
              <w:rPr>
                <w:rFonts w:ascii="Times New Roman" w:hAnsi="Times New Roman"/>
                <w:kern w:val="0"/>
                <w:szCs w:val="21"/>
                <w:lang w:bidi="ar"/>
              </w:rPr>
              <w:t>r,y</w:t>
            </w:r>
            <w:r>
              <w:rPr>
                <w:rFonts w:ascii="Times New Roman" w:hAnsi="Times New Roman"/>
                <w:kern w:val="0"/>
                <w:szCs w:val="21"/>
                <w:lang w:bidi="ar"/>
              </w:rPr>
              <w:t>或</w:t>
            </w:r>
            <w:r>
              <w:rPr>
                <w:rFonts w:ascii="Times New Roman" w:hAnsi="Times New Roman"/>
                <w:kern w:val="0"/>
                <w:szCs w:val="21"/>
                <w:lang w:bidi="ar"/>
              </w:rPr>
              <w:t>a)</w:t>
            </w:r>
          </w:p>
        </w:tc>
        <w:tc>
          <w:tcPr>
            <w:tcW w:w="109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地面高程</w:t>
            </w:r>
            <w:r>
              <w:rPr>
                <w:rFonts w:ascii="Times New Roman" w:hAnsi="Times New Roman"/>
                <w:kern w:val="0"/>
                <w:szCs w:val="21"/>
                <w:lang w:bidi="ar"/>
              </w:rPr>
              <w:t>(m)</w:t>
            </w:r>
          </w:p>
        </w:tc>
        <w:tc>
          <w:tcPr>
            <w:tcW w:w="109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山体高度尺度</w:t>
            </w:r>
            <w:r>
              <w:rPr>
                <w:rFonts w:ascii="Times New Roman" w:hAnsi="Times New Roman"/>
                <w:kern w:val="0"/>
                <w:szCs w:val="21"/>
                <w:lang w:bidi="ar"/>
              </w:rPr>
              <w:t>(m)</w:t>
            </w:r>
          </w:p>
        </w:tc>
        <w:tc>
          <w:tcPr>
            <w:tcW w:w="106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离地高度</w:t>
            </w:r>
            <w:r>
              <w:rPr>
                <w:rFonts w:ascii="Times New Roman" w:hAnsi="Times New Roman"/>
                <w:kern w:val="0"/>
                <w:szCs w:val="21"/>
                <w:lang w:bidi="ar"/>
              </w:rPr>
              <w:t>(m)</w:t>
            </w:r>
          </w:p>
        </w:tc>
        <w:tc>
          <w:tcPr>
            <w:tcW w:w="106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浓度类型</w:t>
            </w:r>
          </w:p>
        </w:tc>
        <w:tc>
          <w:tcPr>
            <w:tcW w:w="1161"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浓度增量</w:t>
            </w:r>
            <w:r>
              <w:rPr>
                <w:rFonts w:ascii="Times New Roman" w:hAnsi="Times New Roman"/>
                <w:kern w:val="0"/>
                <w:szCs w:val="21"/>
                <w:lang w:bidi="ar"/>
              </w:rPr>
              <w:t>(mg/m</w:t>
            </w:r>
            <w:r>
              <w:rPr>
                <w:rFonts w:ascii="Times New Roman" w:hAnsi="Times New Roman"/>
                <w:kern w:val="0"/>
                <w:szCs w:val="21"/>
                <w:vertAlign w:val="superscript"/>
                <w:lang w:bidi="ar"/>
              </w:rPr>
              <w:t>3</w:t>
            </w:r>
            <w:r>
              <w:rPr>
                <w:rFonts w:ascii="Times New Roman" w:hAnsi="Times New Roman"/>
                <w:kern w:val="0"/>
                <w:szCs w:val="21"/>
                <w:lang w:bidi="ar"/>
              </w:rPr>
              <w:t>)</w:t>
            </w:r>
          </w:p>
        </w:tc>
        <w:tc>
          <w:tcPr>
            <w:tcW w:w="168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出现时间</w:t>
            </w:r>
            <w:r>
              <w:rPr>
                <w:rFonts w:ascii="Times New Roman" w:hAnsi="Times New Roman"/>
                <w:kern w:val="0"/>
                <w:szCs w:val="21"/>
                <w:lang w:bidi="ar"/>
              </w:rPr>
              <w:t>(YYMMDDHH)</w:t>
            </w:r>
          </w:p>
        </w:tc>
        <w:tc>
          <w:tcPr>
            <w:tcW w:w="111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评价标准</w:t>
            </w:r>
            <w:r>
              <w:rPr>
                <w:rFonts w:ascii="Times New Roman" w:hAnsi="Times New Roman"/>
                <w:kern w:val="0"/>
                <w:szCs w:val="21"/>
                <w:lang w:bidi="ar"/>
              </w:rPr>
              <w:t>(mg/m</w:t>
            </w:r>
            <w:r>
              <w:rPr>
                <w:rFonts w:ascii="Times New Roman" w:hAnsi="Times New Roman"/>
                <w:kern w:val="0"/>
                <w:szCs w:val="21"/>
                <w:vertAlign w:val="superscript"/>
                <w:lang w:bidi="ar"/>
              </w:rPr>
              <w:t>3</w:t>
            </w:r>
            <w:r>
              <w:rPr>
                <w:rFonts w:ascii="Times New Roman" w:hAnsi="Times New Roman"/>
                <w:kern w:val="0"/>
                <w:szCs w:val="21"/>
                <w:lang w:bidi="ar"/>
              </w:rPr>
              <w:t>)</w:t>
            </w:r>
          </w:p>
        </w:tc>
        <w:tc>
          <w:tcPr>
            <w:tcW w:w="110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占标率</w:t>
            </w:r>
            <w:r>
              <w:rPr>
                <w:rFonts w:ascii="Times New Roman" w:hAnsi="Times New Roman"/>
                <w:kern w:val="0"/>
                <w:szCs w:val="21"/>
                <w:lang w:bidi="ar"/>
              </w:rPr>
              <w:t>%</w:t>
            </w:r>
          </w:p>
        </w:tc>
        <w:tc>
          <w:tcPr>
            <w:tcW w:w="106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是否超标</w:t>
            </w:r>
          </w:p>
        </w:tc>
      </w:tr>
      <w:tr w:rsidR="00525419">
        <w:trPr>
          <w:trHeight w:val="286"/>
        </w:trPr>
        <w:tc>
          <w:tcPr>
            <w:tcW w:w="1061"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106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鄯善火车站</w:t>
            </w:r>
          </w:p>
        </w:tc>
        <w:tc>
          <w:tcPr>
            <w:tcW w:w="14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20,534,022</w:t>
            </w:r>
          </w:p>
        </w:tc>
        <w:tc>
          <w:tcPr>
            <w:tcW w:w="109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761.66</w:t>
            </w:r>
          </w:p>
        </w:tc>
        <w:tc>
          <w:tcPr>
            <w:tcW w:w="109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761.66</w:t>
            </w:r>
          </w:p>
        </w:tc>
        <w:tc>
          <w:tcPr>
            <w:tcW w:w="106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106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w:t>
            </w:r>
            <w:r>
              <w:rPr>
                <w:rFonts w:ascii="Times New Roman" w:hAnsi="Times New Roman"/>
                <w:kern w:val="0"/>
                <w:szCs w:val="21"/>
                <w:lang w:bidi="ar"/>
              </w:rPr>
              <w:t>小时</w:t>
            </w:r>
          </w:p>
        </w:tc>
        <w:tc>
          <w:tcPr>
            <w:tcW w:w="1161"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8.24E-04</w:t>
            </w:r>
          </w:p>
        </w:tc>
        <w:tc>
          <w:tcPr>
            <w:tcW w:w="168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18020316</w:t>
            </w:r>
          </w:p>
        </w:tc>
        <w:tc>
          <w:tcPr>
            <w:tcW w:w="111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5.00E-01</w:t>
            </w:r>
          </w:p>
        </w:tc>
        <w:tc>
          <w:tcPr>
            <w:tcW w:w="110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0.16</w:t>
            </w:r>
          </w:p>
        </w:tc>
        <w:tc>
          <w:tcPr>
            <w:tcW w:w="106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trPr>
        <w:tc>
          <w:tcPr>
            <w:tcW w:w="1061" w:type="dxa"/>
            <w:vMerge/>
            <w:tcBorders>
              <w:tl2br w:val="nil"/>
              <w:tr2bl w:val="nil"/>
            </w:tcBorders>
            <w:shd w:val="clear" w:color="auto" w:fill="auto"/>
            <w:vAlign w:val="center"/>
          </w:tcPr>
          <w:p w:rsidR="00525419" w:rsidRDefault="00525419">
            <w:pPr>
              <w:widowControl/>
              <w:jc w:val="center"/>
              <w:textAlignment w:val="center"/>
              <w:rPr>
                <w:rFonts w:ascii="Times New Roman" w:hAnsi="Times New Roman"/>
                <w:szCs w:val="21"/>
              </w:rPr>
            </w:pPr>
          </w:p>
        </w:tc>
        <w:tc>
          <w:tcPr>
            <w:tcW w:w="106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火车站镇</w:t>
            </w:r>
          </w:p>
        </w:tc>
        <w:tc>
          <w:tcPr>
            <w:tcW w:w="14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34,352,821</w:t>
            </w:r>
          </w:p>
        </w:tc>
        <w:tc>
          <w:tcPr>
            <w:tcW w:w="109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703.4</w:t>
            </w:r>
          </w:p>
        </w:tc>
        <w:tc>
          <w:tcPr>
            <w:tcW w:w="109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703.4</w:t>
            </w:r>
          </w:p>
        </w:tc>
        <w:tc>
          <w:tcPr>
            <w:tcW w:w="106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106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w:t>
            </w:r>
            <w:r>
              <w:rPr>
                <w:rFonts w:ascii="Times New Roman" w:hAnsi="Times New Roman"/>
                <w:kern w:val="0"/>
                <w:szCs w:val="21"/>
                <w:lang w:bidi="ar"/>
              </w:rPr>
              <w:t>小时</w:t>
            </w:r>
          </w:p>
        </w:tc>
        <w:tc>
          <w:tcPr>
            <w:tcW w:w="1161"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8.61E-04</w:t>
            </w:r>
          </w:p>
        </w:tc>
        <w:tc>
          <w:tcPr>
            <w:tcW w:w="168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18011315</w:t>
            </w:r>
          </w:p>
        </w:tc>
        <w:tc>
          <w:tcPr>
            <w:tcW w:w="111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5.00E-01</w:t>
            </w:r>
          </w:p>
        </w:tc>
        <w:tc>
          <w:tcPr>
            <w:tcW w:w="110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0.17</w:t>
            </w:r>
          </w:p>
        </w:tc>
        <w:tc>
          <w:tcPr>
            <w:tcW w:w="106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trPr>
        <w:tc>
          <w:tcPr>
            <w:tcW w:w="1061" w:type="dxa"/>
            <w:vMerge/>
            <w:tcBorders>
              <w:tl2br w:val="nil"/>
              <w:tr2bl w:val="nil"/>
            </w:tcBorders>
            <w:shd w:val="clear" w:color="auto" w:fill="auto"/>
            <w:vAlign w:val="center"/>
          </w:tcPr>
          <w:p w:rsidR="00525419" w:rsidRDefault="00525419">
            <w:pPr>
              <w:widowControl/>
              <w:jc w:val="center"/>
              <w:textAlignment w:val="center"/>
              <w:rPr>
                <w:rFonts w:ascii="Times New Roman" w:hAnsi="Times New Roman"/>
                <w:szCs w:val="21"/>
              </w:rPr>
            </w:pPr>
          </w:p>
        </w:tc>
        <w:tc>
          <w:tcPr>
            <w:tcW w:w="106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网格</w:t>
            </w:r>
          </w:p>
        </w:tc>
        <w:tc>
          <w:tcPr>
            <w:tcW w:w="14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-457,-110</w:t>
            </w:r>
          </w:p>
        </w:tc>
        <w:tc>
          <w:tcPr>
            <w:tcW w:w="109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669.1</w:t>
            </w:r>
          </w:p>
        </w:tc>
        <w:tc>
          <w:tcPr>
            <w:tcW w:w="109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669.1</w:t>
            </w:r>
          </w:p>
        </w:tc>
        <w:tc>
          <w:tcPr>
            <w:tcW w:w="106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106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w:t>
            </w:r>
            <w:r>
              <w:rPr>
                <w:rFonts w:ascii="Times New Roman" w:hAnsi="Times New Roman"/>
                <w:kern w:val="0"/>
                <w:szCs w:val="21"/>
                <w:lang w:bidi="ar"/>
              </w:rPr>
              <w:t>小时</w:t>
            </w:r>
          </w:p>
        </w:tc>
        <w:tc>
          <w:tcPr>
            <w:tcW w:w="1161"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3.89E-03</w:t>
            </w:r>
          </w:p>
        </w:tc>
        <w:tc>
          <w:tcPr>
            <w:tcW w:w="168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18061615</w:t>
            </w:r>
          </w:p>
        </w:tc>
        <w:tc>
          <w:tcPr>
            <w:tcW w:w="111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5.00E-01</w:t>
            </w:r>
          </w:p>
        </w:tc>
        <w:tc>
          <w:tcPr>
            <w:tcW w:w="110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0.78</w:t>
            </w:r>
          </w:p>
        </w:tc>
        <w:tc>
          <w:tcPr>
            <w:tcW w:w="106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trPr>
        <w:tc>
          <w:tcPr>
            <w:tcW w:w="1061"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106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鄯善火车站</w:t>
            </w:r>
          </w:p>
        </w:tc>
        <w:tc>
          <w:tcPr>
            <w:tcW w:w="14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20,534,022</w:t>
            </w:r>
          </w:p>
        </w:tc>
        <w:tc>
          <w:tcPr>
            <w:tcW w:w="109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761.66</w:t>
            </w:r>
          </w:p>
        </w:tc>
        <w:tc>
          <w:tcPr>
            <w:tcW w:w="109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761.66</w:t>
            </w:r>
          </w:p>
        </w:tc>
        <w:tc>
          <w:tcPr>
            <w:tcW w:w="106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106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w:t>
            </w:r>
            <w:r>
              <w:rPr>
                <w:rFonts w:ascii="Times New Roman" w:hAnsi="Times New Roman"/>
                <w:kern w:val="0"/>
                <w:szCs w:val="21"/>
                <w:lang w:bidi="ar"/>
              </w:rPr>
              <w:t>小时</w:t>
            </w:r>
          </w:p>
        </w:tc>
        <w:tc>
          <w:tcPr>
            <w:tcW w:w="1161"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4.08E-04</w:t>
            </w:r>
          </w:p>
        </w:tc>
        <w:tc>
          <w:tcPr>
            <w:tcW w:w="168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18020316</w:t>
            </w:r>
          </w:p>
        </w:tc>
        <w:tc>
          <w:tcPr>
            <w:tcW w:w="111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2.00E-01</w:t>
            </w:r>
          </w:p>
        </w:tc>
        <w:tc>
          <w:tcPr>
            <w:tcW w:w="110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0.2</w:t>
            </w:r>
          </w:p>
        </w:tc>
        <w:tc>
          <w:tcPr>
            <w:tcW w:w="106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trPr>
        <w:tc>
          <w:tcPr>
            <w:tcW w:w="1061" w:type="dxa"/>
            <w:vMerge/>
            <w:tcBorders>
              <w:tl2br w:val="nil"/>
              <w:tr2bl w:val="nil"/>
            </w:tcBorders>
            <w:shd w:val="clear" w:color="auto" w:fill="auto"/>
            <w:vAlign w:val="center"/>
          </w:tcPr>
          <w:p w:rsidR="00525419" w:rsidRDefault="00525419">
            <w:pPr>
              <w:widowControl/>
              <w:jc w:val="center"/>
              <w:textAlignment w:val="center"/>
              <w:rPr>
                <w:rFonts w:ascii="Times New Roman" w:hAnsi="Times New Roman"/>
                <w:szCs w:val="21"/>
              </w:rPr>
            </w:pPr>
          </w:p>
        </w:tc>
        <w:tc>
          <w:tcPr>
            <w:tcW w:w="106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火车站镇</w:t>
            </w:r>
          </w:p>
        </w:tc>
        <w:tc>
          <w:tcPr>
            <w:tcW w:w="14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34,352,821</w:t>
            </w:r>
          </w:p>
        </w:tc>
        <w:tc>
          <w:tcPr>
            <w:tcW w:w="109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703.4</w:t>
            </w:r>
          </w:p>
        </w:tc>
        <w:tc>
          <w:tcPr>
            <w:tcW w:w="109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703.4</w:t>
            </w:r>
          </w:p>
        </w:tc>
        <w:tc>
          <w:tcPr>
            <w:tcW w:w="106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106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w:t>
            </w:r>
            <w:r>
              <w:rPr>
                <w:rFonts w:ascii="Times New Roman" w:hAnsi="Times New Roman"/>
                <w:kern w:val="0"/>
                <w:szCs w:val="21"/>
                <w:lang w:bidi="ar"/>
              </w:rPr>
              <w:t>小时</w:t>
            </w:r>
          </w:p>
        </w:tc>
        <w:tc>
          <w:tcPr>
            <w:tcW w:w="1161"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4.06E-04</w:t>
            </w:r>
          </w:p>
        </w:tc>
        <w:tc>
          <w:tcPr>
            <w:tcW w:w="168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18011315</w:t>
            </w:r>
          </w:p>
        </w:tc>
        <w:tc>
          <w:tcPr>
            <w:tcW w:w="111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2.00E-01</w:t>
            </w:r>
          </w:p>
        </w:tc>
        <w:tc>
          <w:tcPr>
            <w:tcW w:w="110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0.2</w:t>
            </w:r>
          </w:p>
        </w:tc>
        <w:tc>
          <w:tcPr>
            <w:tcW w:w="106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trPr>
        <w:tc>
          <w:tcPr>
            <w:tcW w:w="1061" w:type="dxa"/>
            <w:vMerge/>
            <w:tcBorders>
              <w:tl2br w:val="nil"/>
              <w:tr2bl w:val="nil"/>
            </w:tcBorders>
            <w:shd w:val="clear" w:color="auto" w:fill="auto"/>
            <w:vAlign w:val="center"/>
          </w:tcPr>
          <w:p w:rsidR="00525419" w:rsidRDefault="00525419">
            <w:pPr>
              <w:widowControl/>
              <w:jc w:val="center"/>
              <w:textAlignment w:val="center"/>
              <w:rPr>
                <w:rFonts w:ascii="Times New Roman" w:hAnsi="Times New Roman"/>
                <w:szCs w:val="21"/>
              </w:rPr>
            </w:pPr>
          </w:p>
        </w:tc>
        <w:tc>
          <w:tcPr>
            <w:tcW w:w="106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网格</w:t>
            </w:r>
          </w:p>
        </w:tc>
        <w:tc>
          <w:tcPr>
            <w:tcW w:w="14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-457,-110</w:t>
            </w:r>
          </w:p>
        </w:tc>
        <w:tc>
          <w:tcPr>
            <w:tcW w:w="109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669.1</w:t>
            </w:r>
          </w:p>
        </w:tc>
        <w:tc>
          <w:tcPr>
            <w:tcW w:w="109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669.1</w:t>
            </w:r>
          </w:p>
        </w:tc>
        <w:tc>
          <w:tcPr>
            <w:tcW w:w="106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106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w:t>
            </w:r>
            <w:r>
              <w:rPr>
                <w:rFonts w:ascii="Times New Roman" w:hAnsi="Times New Roman"/>
                <w:kern w:val="0"/>
                <w:szCs w:val="21"/>
                <w:lang w:bidi="ar"/>
              </w:rPr>
              <w:t>小时</w:t>
            </w:r>
          </w:p>
        </w:tc>
        <w:tc>
          <w:tcPr>
            <w:tcW w:w="1161"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1.69E-03</w:t>
            </w:r>
          </w:p>
        </w:tc>
        <w:tc>
          <w:tcPr>
            <w:tcW w:w="168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18061615</w:t>
            </w:r>
          </w:p>
        </w:tc>
        <w:tc>
          <w:tcPr>
            <w:tcW w:w="111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2.00E-01</w:t>
            </w:r>
          </w:p>
        </w:tc>
        <w:tc>
          <w:tcPr>
            <w:tcW w:w="110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0.84</w:t>
            </w:r>
          </w:p>
        </w:tc>
        <w:tc>
          <w:tcPr>
            <w:tcW w:w="106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trPr>
        <w:tc>
          <w:tcPr>
            <w:tcW w:w="1061" w:type="dxa"/>
            <w:vMerge w:val="restart"/>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106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鄯善火车站</w:t>
            </w:r>
          </w:p>
        </w:tc>
        <w:tc>
          <w:tcPr>
            <w:tcW w:w="14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20,534,022</w:t>
            </w:r>
          </w:p>
        </w:tc>
        <w:tc>
          <w:tcPr>
            <w:tcW w:w="109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761.66</w:t>
            </w:r>
          </w:p>
        </w:tc>
        <w:tc>
          <w:tcPr>
            <w:tcW w:w="109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761.66</w:t>
            </w:r>
          </w:p>
        </w:tc>
        <w:tc>
          <w:tcPr>
            <w:tcW w:w="106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106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w:t>
            </w:r>
            <w:r>
              <w:rPr>
                <w:rFonts w:ascii="Times New Roman" w:hAnsi="Times New Roman"/>
                <w:kern w:val="0"/>
                <w:szCs w:val="21"/>
                <w:lang w:bidi="ar"/>
              </w:rPr>
              <w:t>小时</w:t>
            </w:r>
          </w:p>
        </w:tc>
        <w:tc>
          <w:tcPr>
            <w:tcW w:w="1161"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2.27E-04</w:t>
            </w:r>
          </w:p>
        </w:tc>
        <w:tc>
          <w:tcPr>
            <w:tcW w:w="168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18020316</w:t>
            </w:r>
          </w:p>
        </w:tc>
        <w:tc>
          <w:tcPr>
            <w:tcW w:w="111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4.50E-01</w:t>
            </w:r>
          </w:p>
        </w:tc>
        <w:tc>
          <w:tcPr>
            <w:tcW w:w="110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0.05</w:t>
            </w:r>
          </w:p>
        </w:tc>
        <w:tc>
          <w:tcPr>
            <w:tcW w:w="106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trPr>
        <w:tc>
          <w:tcPr>
            <w:tcW w:w="1061" w:type="dxa"/>
            <w:vMerge/>
            <w:tcBorders>
              <w:tl2br w:val="nil"/>
              <w:tr2bl w:val="nil"/>
            </w:tcBorders>
            <w:shd w:val="clear" w:color="auto" w:fill="auto"/>
            <w:vAlign w:val="center"/>
          </w:tcPr>
          <w:p w:rsidR="00525419" w:rsidRDefault="00525419">
            <w:pPr>
              <w:widowControl/>
              <w:jc w:val="center"/>
              <w:textAlignment w:val="center"/>
              <w:rPr>
                <w:rFonts w:ascii="Times New Roman" w:hAnsi="Times New Roman"/>
                <w:szCs w:val="21"/>
              </w:rPr>
            </w:pPr>
          </w:p>
        </w:tc>
        <w:tc>
          <w:tcPr>
            <w:tcW w:w="106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火车站镇</w:t>
            </w:r>
          </w:p>
        </w:tc>
        <w:tc>
          <w:tcPr>
            <w:tcW w:w="14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34,352,821</w:t>
            </w:r>
          </w:p>
        </w:tc>
        <w:tc>
          <w:tcPr>
            <w:tcW w:w="109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703.4</w:t>
            </w:r>
          </w:p>
        </w:tc>
        <w:tc>
          <w:tcPr>
            <w:tcW w:w="109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703.4</w:t>
            </w:r>
          </w:p>
        </w:tc>
        <w:tc>
          <w:tcPr>
            <w:tcW w:w="106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106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w:t>
            </w:r>
            <w:r>
              <w:rPr>
                <w:rFonts w:ascii="Times New Roman" w:hAnsi="Times New Roman"/>
                <w:kern w:val="0"/>
                <w:szCs w:val="21"/>
                <w:lang w:bidi="ar"/>
              </w:rPr>
              <w:t>小时</w:t>
            </w:r>
          </w:p>
        </w:tc>
        <w:tc>
          <w:tcPr>
            <w:tcW w:w="1161"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2.26E-04</w:t>
            </w:r>
          </w:p>
        </w:tc>
        <w:tc>
          <w:tcPr>
            <w:tcW w:w="168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18011315</w:t>
            </w:r>
          </w:p>
        </w:tc>
        <w:tc>
          <w:tcPr>
            <w:tcW w:w="111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4.50E-01</w:t>
            </w:r>
          </w:p>
        </w:tc>
        <w:tc>
          <w:tcPr>
            <w:tcW w:w="110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0.05</w:t>
            </w:r>
          </w:p>
        </w:tc>
        <w:tc>
          <w:tcPr>
            <w:tcW w:w="106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r w:rsidR="00525419">
        <w:trPr>
          <w:trHeight w:val="286"/>
        </w:trPr>
        <w:tc>
          <w:tcPr>
            <w:tcW w:w="1061" w:type="dxa"/>
            <w:vMerge/>
            <w:tcBorders>
              <w:tl2br w:val="nil"/>
              <w:tr2bl w:val="nil"/>
            </w:tcBorders>
            <w:shd w:val="clear" w:color="auto" w:fill="auto"/>
            <w:vAlign w:val="center"/>
          </w:tcPr>
          <w:p w:rsidR="00525419" w:rsidRDefault="00525419">
            <w:pPr>
              <w:widowControl/>
              <w:jc w:val="center"/>
              <w:textAlignment w:val="center"/>
              <w:rPr>
                <w:rFonts w:ascii="Times New Roman" w:hAnsi="Times New Roman"/>
                <w:szCs w:val="21"/>
              </w:rPr>
            </w:pPr>
          </w:p>
        </w:tc>
        <w:tc>
          <w:tcPr>
            <w:tcW w:w="106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网格</w:t>
            </w:r>
          </w:p>
        </w:tc>
        <w:tc>
          <w:tcPr>
            <w:tcW w:w="141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-457,-110</w:t>
            </w:r>
          </w:p>
        </w:tc>
        <w:tc>
          <w:tcPr>
            <w:tcW w:w="109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669.1</w:t>
            </w:r>
          </w:p>
        </w:tc>
        <w:tc>
          <w:tcPr>
            <w:tcW w:w="109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669.1</w:t>
            </w:r>
          </w:p>
        </w:tc>
        <w:tc>
          <w:tcPr>
            <w:tcW w:w="1069"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106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w:t>
            </w:r>
            <w:r>
              <w:rPr>
                <w:rFonts w:ascii="Times New Roman" w:hAnsi="Times New Roman"/>
                <w:kern w:val="0"/>
                <w:szCs w:val="21"/>
                <w:lang w:bidi="ar"/>
              </w:rPr>
              <w:t>小时</w:t>
            </w:r>
          </w:p>
        </w:tc>
        <w:tc>
          <w:tcPr>
            <w:tcW w:w="1161"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9.39E-04</w:t>
            </w:r>
          </w:p>
        </w:tc>
        <w:tc>
          <w:tcPr>
            <w:tcW w:w="168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18061615</w:t>
            </w:r>
          </w:p>
        </w:tc>
        <w:tc>
          <w:tcPr>
            <w:tcW w:w="1117"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4.50E-01</w:t>
            </w:r>
          </w:p>
        </w:tc>
        <w:tc>
          <w:tcPr>
            <w:tcW w:w="110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0.21</w:t>
            </w:r>
          </w:p>
        </w:tc>
        <w:tc>
          <w:tcPr>
            <w:tcW w:w="106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达标</w:t>
            </w:r>
          </w:p>
        </w:tc>
      </w:tr>
    </w:tbl>
    <w:p w:rsidR="00525419" w:rsidRDefault="00EE1CF7">
      <w:pPr>
        <w:pStyle w:val="B1"/>
        <w:ind w:firstLine="480"/>
        <w:rPr>
          <w:rFonts w:cs="Times New Roman"/>
        </w:rPr>
      </w:pPr>
      <w:r>
        <w:rPr>
          <w:rFonts w:cs="Times New Roman"/>
        </w:rPr>
        <w:t>从非正常工况的预测结果可知，建设项目投入运营后，当发生非正常工况时，各污染物的最大落地浓度占标率为＜</w:t>
      </w:r>
      <w:r>
        <w:rPr>
          <w:rFonts w:cs="Times New Roman"/>
        </w:rPr>
        <w:t>1%</w:t>
      </w:r>
      <w:r>
        <w:rPr>
          <w:rFonts w:cs="Times New Roman"/>
        </w:rPr>
        <w:t>，项目运营需加强生产管理，避免事故排放，减少对周围大气环境的影响。</w:t>
      </w:r>
    </w:p>
    <w:p w:rsidR="00525419" w:rsidRDefault="00525419">
      <w:pPr>
        <w:pStyle w:val="afb"/>
        <w:rPr>
          <w:rFonts w:eastAsia="黑体"/>
        </w:rPr>
      </w:pPr>
    </w:p>
    <w:p w:rsidR="00525419" w:rsidRDefault="00525419">
      <w:pPr>
        <w:pStyle w:val="afb"/>
        <w:rPr>
          <w:rFonts w:eastAsia="黑体"/>
        </w:rPr>
      </w:pPr>
    </w:p>
    <w:p w:rsidR="00525419" w:rsidRDefault="00525419">
      <w:pPr>
        <w:pStyle w:val="afb"/>
        <w:rPr>
          <w:rFonts w:eastAsia="黑体"/>
        </w:rPr>
      </w:pPr>
    </w:p>
    <w:p w:rsidR="00525419" w:rsidRDefault="00525419">
      <w:pPr>
        <w:rPr>
          <w:rFonts w:ascii="Times New Roman" w:hAnsi="Times New Roman"/>
        </w:rPr>
      </w:pPr>
    </w:p>
    <w:p w:rsidR="00525419" w:rsidRDefault="00525419">
      <w:pPr>
        <w:pStyle w:val="4a"/>
        <w:widowControl/>
        <w:adjustRightInd w:val="0"/>
        <w:snapToGrid w:val="0"/>
        <w:spacing w:before="120" w:after="120" w:line="360" w:lineRule="auto"/>
        <w:jc w:val="left"/>
        <w:rPr>
          <w:rFonts w:ascii="Times New Roman" w:hAnsi="Times New Roman" w:cs="Times New Roman"/>
          <w:kern w:val="44"/>
          <w:sz w:val="24"/>
          <w:szCs w:val="24"/>
        </w:rPr>
        <w:sectPr w:rsidR="00525419">
          <w:pgSz w:w="16838" w:h="11906" w:orient="landscape"/>
          <w:pgMar w:top="1803" w:right="1440" w:bottom="1803" w:left="1440" w:header="851" w:footer="992" w:gutter="0"/>
          <w:cols w:space="0"/>
          <w:docGrid w:type="lines" w:linePitch="332"/>
        </w:sectPr>
      </w:pP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lastRenderedPageBreak/>
        <w:t>5.1.3.5</w:t>
      </w:r>
      <w:r>
        <w:rPr>
          <w:rFonts w:ascii="Times New Roman" w:hAnsi="Times New Roman" w:cs="Times New Roman"/>
          <w:kern w:val="44"/>
          <w:sz w:val="24"/>
          <w:szCs w:val="24"/>
        </w:rPr>
        <w:t>恶臭环境影响分析</w:t>
      </w:r>
    </w:p>
    <w:p w:rsidR="00525419" w:rsidRDefault="00EE1CF7">
      <w:pPr>
        <w:adjustRightInd w:val="0"/>
        <w:snapToGrid w:val="0"/>
        <w:spacing w:line="46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）恶臭强度等级</w:t>
      </w:r>
    </w:p>
    <w:p w:rsidR="00525419" w:rsidRDefault="00EE1CF7">
      <w:pPr>
        <w:adjustRightInd w:val="0"/>
        <w:snapToGrid w:val="0"/>
        <w:spacing w:line="460" w:lineRule="exact"/>
        <w:ind w:firstLineChars="200" w:firstLine="480"/>
        <w:rPr>
          <w:rFonts w:ascii="Times New Roman" w:hAnsi="Times New Roman"/>
          <w:sz w:val="24"/>
          <w:szCs w:val="24"/>
        </w:rPr>
      </w:pPr>
      <w:r>
        <w:rPr>
          <w:rFonts w:ascii="Times New Roman" w:hAnsi="Times New Roman"/>
          <w:sz w:val="24"/>
          <w:szCs w:val="24"/>
        </w:rPr>
        <w:t>恶臭污染物是指一切刺激嗅觉器官，引起人们不愉快及损害生活环境和人体健康的气体物质。根据嗅觉对臭味的反应，将恶臭强度划分为</w:t>
      </w:r>
      <w:r>
        <w:rPr>
          <w:rFonts w:ascii="Times New Roman" w:hAnsi="Times New Roman"/>
          <w:sz w:val="24"/>
          <w:szCs w:val="24"/>
        </w:rPr>
        <w:t>6</w:t>
      </w:r>
      <w:r>
        <w:rPr>
          <w:rFonts w:ascii="Times New Roman" w:hAnsi="Times New Roman"/>
          <w:sz w:val="24"/>
          <w:szCs w:val="24"/>
        </w:rPr>
        <w:t>级，见表</w:t>
      </w:r>
      <w:r>
        <w:rPr>
          <w:rFonts w:ascii="Times New Roman" w:hAnsi="Times New Roman"/>
          <w:sz w:val="24"/>
          <w:szCs w:val="24"/>
        </w:rPr>
        <w:t>5.1-17</w:t>
      </w:r>
      <w:r>
        <w:rPr>
          <w:rFonts w:ascii="Times New Roman" w:hAnsi="Times New Roman"/>
          <w:sz w:val="24"/>
          <w:szCs w:val="24"/>
        </w:rPr>
        <w:t>。</w:t>
      </w:r>
    </w:p>
    <w:p w:rsidR="00525419" w:rsidRDefault="00EE1CF7">
      <w:pPr>
        <w:spacing w:line="360" w:lineRule="exact"/>
        <w:ind w:firstLineChars="600" w:firstLine="1260"/>
        <w:rPr>
          <w:rFonts w:ascii="Times New Roman" w:eastAsia="黑体" w:hAnsi="Times New Roman"/>
        </w:rPr>
      </w:pPr>
      <w:r>
        <w:rPr>
          <w:rFonts w:ascii="Times New Roman" w:eastAsia="黑体" w:hAnsi="Times New Roman"/>
        </w:rPr>
        <w:t>表</w:t>
      </w:r>
      <w:r>
        <w:rPr>
          <w:rFonts w:ascii="Times New Roman" w:eastAsia="黑体" w:hAnsi="Times New Roman"/>
        </w:rPr>
        <w:t>5.1-17               6</w:t>
      </w:r>
      <w:r>
        <w:rPr>
          <w:rFonts w:ascii="Times New Roman" w:eastAsia="黑体" w:hAnsi="Times New Roman"/>
        </w:rPr>
        <w:t>级臭气强度表</w:t>
      </w:r>
    </w:p>
    <w:tbl>
      <w:tblPr>
        <w:tblW w:w="83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42"/>
        <w:gridCol w:w="1543"/>
        <w:gridCol w:w="5143"/>
      </w:tblGrid>
      <w:tr w:rsidR="00525419">
        <w:trPr>
          <w:cantSplit/>
          <w:trHeight w:hRule="exact" w:val="284"/>
          <w:jc w:val="center"/>
        </w:trPr>
        <w:tc>
          <w:tcPr>
            <w:tcW w:w="1642" w:type="dxa"/>
            <w:tcBorders>
              <w:tl2br w:val="nil"/>
              <w:tr2bl w:val="nil"/>
            </w:tcBorders>
            <w:tcMar>
              <w:left w:w="0" w:type="dxa"/>
              <w:right w:w="0" w:type="dxa"/>
            </w:tcMar>
            <w:vAlign w:val="center"/>
          </w:tcPr>
          <w:p w:rsidR="00525419" w:rsidRDefault="00EE1CF7">
            <w:pPr>
              <w:spacing w:line="240" w:lineRule="exact"/>
              <w:jc w:val="center"/>
              <w:rPr>
                <w:rFonts w:ascii="Times New Roman" w:hAnsi="Times New Roman"/>
              </w:rPr>
            </w:pPr>
            <w:r>
              <w:rPr>
                <w:rFonts w:ascii="Times New Roman" w:hAnsi="Times New Roman"/>
              </w:rPr>
              <w:t>强度等级</w:t>
            </w:r>
          </w:p>
        </w:tc>
        <w:tc>
          <w:tcPr>
            <w:tcW w:w="1543" w:type="dxa"/>
            <w:tcBorders>
              <w:tl2br w:val="nil"/>
              <w:tr2bl w:val="nil"/>
            </w:tcBorders>
            <w:tcMar>
              <w:left w:w="0" w:type="dxa"/>
              <w:right w:w="0" w:type="dxa"/>
            </w:tcMar>
            <w:vAlign w:val="center"/>
          </w:tcPr>
          <w:p w:rsidR="00525419" w:rsidRDefault="00EE1CF7">
            <w:pPr>
              <w:spacing w:line="240" w:lineRule="exact"/>
              <w:jc w:val="center"/>
              <w:rPr>
                <w:rFonts w:ascii="Times New Roman" w:hAnsi="Times New Roman"/>
              </w:rPr>
            </w:pPr>
            <w:r>
              <w:rPr>
                <w:rFonts w:ascii="Times New Roman" w:hAnsi="Times New Roman"/>
              </w:rPr>
              <w:t>强</w:t>
            </w:r>
            <w:r>
              <w:rPr>
                <w:rFonts w:ascii="Times New Roman" w:hAnsi="Times New Roman"/>
              </w:rPr>
              <w:t xml:space="preserve">  </w:t>
            </w:r>
            <w:r>
              <w:rPr>
                <w:rFonts w:ascii="Times New Roman" w:hAnsi="Times New Roman"/>
              </w:rPr>
              <w:t>度</w:t>
            </w:r>
          </w:p>
        </w:tc>
        <w:tc>
          <w:tcPr>
            <w:tcW w:w="5143" w:type="dxa"/>
            <w:tcBorders>
              <w:tl2br w:val="nil"/>
              <w:tr2bl w:val="nil"/>
            </w:tcBorders>
            <w:tcMar>
              <w:left w:w="0" w:type="dxa"/>
              <w:right w:w="0" w:type="dxa"/>
            </w:tcMar>
            <w:vAlign w:val="center"/>
          </w:tcPr>
          <w:p w:rsidR="00525419" w:rsidRDefault="00EE1CF7">
            <w:pPr>
              <w:spacing w:line="240" w:lineRule="exact"/>
              <w:jc w:val="center"/>
              <w:rPr>
                <w:rFonts w:ascii="Times New Roman" w:hAnsi="Times New Roman"/>
              </w:rPr>
            </w:pPr>
            <w:r>
              <w:rPr>
                <w:rFonts w:ascii="Times New Roman" w:hAnsi="Times New Roman"/>
              </w:rPr>
              <w:t>反</w:t>
            </w:r>
            <w:r>
              <w:rPr>
                <w:rFonts w:ascii="Times New Roman" w:hAnsi="Times New Roman"/>
              </w:rPr>
              <w:t xml:space="preserve">      </w:t>
            </w:r>
            <w:r>
              <w:rPr>
                <w:rFonts w:ascii="Times New Roman" w:hAnsi="Times New Roman"/>
              </w:rPr>
              <w:t>应</w:t>
            </w:r>
          </w:p>
        </w:tc>
      </w:tr>
      <w:tr w:rsidR="00525419">
        <w:trPr>
          <w:cantSplit/>
          <w:trHeight w:hRule="exact" w:val="284"/>
          <w:jc w:val="center"/>
        </w:trPr>
        <w:tc>
          <w:tcPr>
            <w:tcW w:w="1642" w:type="dxa"/>
            <w:tcBorders>
              <w:tl2br w:val="nil"/>
              <w:tr2bl w:val="nil"/>
            </w:tcBorders>
            <w:tcMar>
              <w:left w:w="0" w:type="dxa"/>
              <w:right w:w="0" w:type="dxa"/>
            </w:tcMar>
            <w:vAlign w:val="center"/>
          </w:tcPr>
          <w:p w:rsidR="00525419" w:rsidRDefault="00EE1CF7">
            <w:pPr>
              <w:spacing w:line="240" w:lineRule="exact"/>
              <w:jc w:val="center"/>
              <w:rPr>
                <w:rFonts w:ascii="Times New Roman" w:hAnsi="Times New Roman"/>
              </w:rPr>
            </w:pPr>
            <w:r>
              <w:rPr>
                <w:rFonts w:ascii="Times New Roman" w:hAnsi="Times New Roman"/>
              </w:rPr>
              <w:t>0</w:t>
            </w:r>
          </w:p>
        </w:tc>
        <w:tc>
          <w:tcPr>
            <w:tcW w:w="1543" w:type="dxa"/>
            <w:tcBorders>
              <w:tl2br w:val="nil"/>
              <w:tr2bl w:val="nil"/>
            </w:tcBorders>
            <w:tcMar>
              <w:left w:w="0" w:type="dxa"/>
              <w:right w:w="0" w:type="dxa"/>
            </w:tcMar>
            <w:vAlign w:val="center"/>
          </w:tcPr>
          <w:p w:rsidR="00525419" w:rsidRDefault="00EE1CF7">
            <w:pPr>
              <w:spacing w:line="240" w:lineRule="exact"/>
              <w:jc w:val="center"/>
              <w:rPr>
                <w:rFonts w:ascii="Times New Roman" w:hAnsi="Times New Roman"/>
              </w:rPr>
            </w:pPr>
            <w:r>
              <w:rPr>
                <w:rFonts w:ascii="Times New Roman" w:hAnsi="Times New Roman"/>
              </w:rPr>
              <w:t>无</w:t>
            </w:r>
            <w:r>
              <w:rPr>
                <w:rFonts w:ascii="Times New Roman" w:hAnsi="Times New Roman"/>
              </w:rPr>
              <w:t xml:space="preserve">  </w:t>
            </w:r>
            <w:r>
              <w:rPr>
                <w:rFonts w:ascii="Times New Roman" w:hAnsi="Times New Roman"/>
              </w:rPr>
              <w:t>臭</w:t>
            </w:r>
          </w:p>
        </w:tc>
        <w:tc>
          <w:tcPr>
            <w:tcW w:w="5143" w:type="dxa"/>
            <w:tcBorders>
              <w:tl2br w:val="nil"/>
              <w:tr2bl w:val="nil"/>
            </w:tcBorders>
            <w:tcMar>
              <w:left w:w="0" w:type="dxa"/>
              <w:right w:w="0" w:type="dxa"/>
            </w:tcMar>
            <w:vAlign w:val="center"/>
          </w:tcPr>
          <w:p w:rsidR="00525419" w:rsidRDefault="00EE1CF7">
            <w:pPr>
              <w:spacing w:line="240" w:lineRule="exact"/>
              <w:jc w:val="center"/>
              <w:rPr>
                <w:rFonts w:ascii="Times New Roman" w:hAnsi="Times New Roman"/>
              </w:rPr>
            </w:pPr>
            <w:r>
              <w:rPr>
                <w:rFonts w:ascii="Times New Roman" w:hAnsi="Times New Roman"/>
              </w:rPr>
              <w:t>无任何气味</w:t>
            </w:r>
          </w:p>
        </w:tc>
      </w:tr>
      <w:tr w:rsidR="00525419">
        <w:trPr>
          <w:cantSplit/>
          <w:trHeight w:hRule="exact" w:val="284"/>
          <w:jc w:val="center"/>
        </w:trPr>
        <w:tc>
          <w:tcPr>
            <w:tcW w:w="1642" w:type="dxa"/>
            <w:tcBorders>
              <w:tl2br w:val="nil"/>
              <w:tr2bl w:val="nil"/>
            </w:tcBorders>
            <w:tcMar>
              <w:left w:w="0" w:type="dxa"/>
              <w:right w:w="0" w:type="dxa"/>
            </w:tcMar>
            <w:vAlign w:val="center"/>
          </w:tcPr>
          <w:p w:rsidR="00525419" w:rsidRDefault="00EE1CF7">
            <w:pPr>
              <w:spacing w:line="240" w:lineRule="exact"/>
              <w:jc w:val="center"/>
              <w:rPr>
                <w:rFonts w:ascii="Times New Roman" w:hAnsi="Times New Roman"/>
              </w:rPr>
            </w:pPr>
            <w:r>
              <w:rPr>
                <w:rFonts w:ascii="Times New Roman" w:hAnsi="Times New Roman"/>
              </w:rPr>
              <w:t>1</w:t>
            </w:r>
          </w:p>
        </w:tc>
        <w:tc>
          <w:tcPr>
            <w:tcW w:w="1543" w:type="dxa"/>
            <w:tcBorders>
              <w:tl2br w:val="nil"/>
              <w:tr2bl w:val="nil"/>
            </w:tcBorders>
            <w:tcMar>
              <w:left w:w="0" w:type="dxa"/>
              <w:right w:w="0" w:type="dxa"/>
            </w:tcMar>
            <w:vAlign w:val="center"/>
          </w:tcPr>
          <w:p w:rsidR="00525419" w:rsidRDefault="00EE1CF7">
            <w:pPr>
              <w:spacing w:line="240" w:lineRule="exact"/>
              <w:jc w:val="center"/>
              <w:rPr>
                <w:rFonts w:ascii="Times New Roman" w:hAnsi="Times New Roman"/>
              </w:rPr>
            </w:pPr>
            <w:r>
              <w:rPr>
                <w:rFonts w:ascii="Times New Roman" w:hAnsi="Times New Roman"/>
              </w:rPr>
              <w:t>检</w:t>
            </w:r>
            <w:r>
              <w:rPr>
                <w:rFonts w:ascii="Times New Roman" w:hAnsi="Times New Roman"/>
              </w:rPr>
              <w:t xml:space="preserve">  </w:t>
            </w:r>
            <w:r>
              <w:rPr>
                <w:rFonts w:ascii="Times New Roman" w:hAnsi="Times New Roman"/>
              </w:rPr>
              <w:t>知</w:t>
            </w:r>
          </w:p>
        </w:tc>
        <w:tc>
          <w:tcPr>
            <w:tcW w:w="5143" w:type="dxa"/>
            <w:tcBorders>
              <w:tl2br w:val="nil"/>
              <w:tr2bl w:val="nil"/>
            </w:tcBorders>
            <w:tcMar>
              <w:left w:w="0" w:type="dxa"/>
              <w:right w:w="0" w:type="dxa"/>
            </w:tcMar>
            <w:vAlign w:val="center"/>
          </w:tcPr>
          <w:p w:rsidR="00525419" w:rsidRDefault="00EE1CF7">
            <w:pPr>
              <w:spacing w:line="240" w:lineRule="exact"/>
              <w:jc w:val="center"/>
              <w:rPr>
                <w:rFonts w:ascii="Times New Roman" w:hAnsi="Times New Roman"/>
              </w:rPr>
            </w:pPr>
            <w:r>
              <w:rPr>
                <w:rFonts w:ascii="Times New Roman" w:hAnsi="Times New Roman"/>
              </w:rPr>
              <w:t>刚能察觉有臭气但不能分辨是什么臭味（感知阈值）</w:t>
            </w:r>
          </w:p>
        </w:tc>
      </w:tr>
      <w:tr w:rsidR="00525419">
        <w:trPr>
          <w:cantSplit/>
          <w:trHeight w:hRule="exact" w:val="284"/>
          <w:jc w:val="center"/>
        </w:trPr>
        <w:tc>
          <w:tcPr>
            <w:tcW w:w="1642" w:type="dxa"/>
            <w:tcBorders>
              <w:tl2br w:val="nil"/>
              <w:tr2bl w:val="nil"/>
            </w:tcBorders>
            <w:tcMar>
              <w:left w:w="0" w:type="dxa"/>
              <w:right w:w="0" w:type="dxa"/>
            </w:tcMar>
            <w:vAlign w:val="center"/>
          </w:tcPr>
          <w:p w:rsidR="00525419" w:rsidRDefault="00EE1CF7">
            <w:pPr>
              <w:spacing w:line="240" w:lineRule="exact"/>
              <w:jc w:val="center"/>
              <w:rPr>
                <w:rFonts w:ascii="Times New Roman" w:hAnsi="Times New Roman"/>
              </w:rPr>
            </w:pPr>
            <w:r>
              <w:rPr>
                <w:rFonts w:ascii="Times New Roman" w:hAnsi="Times New Roman"/>
              </w:rPr>
              <w:t>2</w:t>
            </w:r>
          </w:p>
        </w:tc>
        <w:tc>
          <w:tcPr>
            <w:tcW w:w="1543" w:type="dxa"/>
            <w:tcBorders>
              <w:tl2br w:val="nil"/>
              <w:tr2bl w:val="nil"/>
            </w:tcBorders>
            <w:tcMar>
              <w:left w:w="0" w:type="dxa"/>
              <w:right w:w="0" w:type="dxa"/>
            </w:tcMar>
            <w:vAlign w:val="center"/>
          </w:tcPr>
          <w:p w:rsidR="00525419" w:rsidRDefault="00EE1CF7">
            <w:pPr>
              <w:spacing w:line="240" w:lineRule="exact"/>
              <w:jc w:val="center"/>
              <w:rPr>
                <w:rFonts w:ascii="Times New Roman" w:hAnsi="Times New Roman"/>
              </w:rPr>
            </w:pPr>
            <w:r>
              <w:rPr>
                <w:rFonts w:ascii="Times New Roman" w:hAnsi="Times New Roman"/>
              </w:rPr>
              <w:t>认</w:t>
            </w:r>
            <w:r>
              <w:rPr>
                <w:rFonts w:ascii="Times New Roman" w:hAnsi="Times New Roman"/>
              </w:rPr>
              <w:t xml:space="preserve">  </w:t>
            </w:r>
            <w:r>
              <w:rPr>
                <w:rFonts w:ascii="Times New Roman" w:hAnsi="Times New Roman"/>
              </w:rPr>
              <w:t>知</w:t>
            </w:r>
          </w:p>
        </w:tc>
        <w:tc>
          <w:tcPr>
            <w:tcW w:w="5143" w:type="dxa"/>
            <w:tcBorders>
              <w:tl2br w:val="nil"/>
              <w:tr2bl w:val="nil"/>
            </w:tcBorders>
            <w:tcMar>
              <w:left w:w="0" w:type="dxa"/>
              <w:right w:w="0" w:type="dxa"/>
            </w:tcMar>
            <w:vAlign w:val="center"/>
          </w:tcPr>
          <w:p w:rsidR="00525419" w:rsidRDefault="00EE1CF7">
            <w:pPr>
              <w:spacing w:line="240" w:lineRule="exact"/>
              <w:jc w:val="center"/>
              <w:rPr>
                <w:rFonts w:ascii="Times New Roman" w:hAnsi="Times New Roman"/>
              </w:rPr>
            </w:pPr>
            <w:r>
              <w:rPr>
                <w:rFonts w:ascii="Times New Roman" w:hAnsi="Times New Roman"/>
              </w:rPr>
              <w:t>刚能分辨出是什么臭味（认知阈值）</w:t>
            </w:r>
          </w:p>
        </w:tc>
      </w:tr>
      <w:tr w:rsidR="00525419">
        <w:trPr>
          <w:cantSplit/>
          <w:trHeight w:hRule="exact" w:val="284"/>
          <w:jc w:val="center"/>
        </w:trPr>
        <w:tc>
          <w:tcPr>
            <w:tcW w:w="1642" w:type="dxa"/>
            <w:tcBorders>
              <w:tl2br w:val="nil"/>
              <w:tr2bl w:val="nil"/>
            </w:tcBorders>
            <w:tcMar>
              <w:left w:w="0" w:type="dxa"/>
              <w:right w:w="0" w:type="dxa"/>
            </w:tcMar>
            <w:vAlign w:val="center"/>
          </w:tcPr>
          <w:p w:rsidR="00525419" w:rsidRDefault="00EE1CF7">
            <w:pPr>
              <w:spacing w:line="240" w:lineRule="exact"/>
              <w:jc w:val="center"/>
              <w:rPr>
                <w:rFonts w:ascii="Times New Roman" w:hAnsi="Times New Roman"/>
              </w:rPr>
            </w:pPr>
            <w:r>
              <w:rPr>
                <w:rFonts w:ascii="Times New Roman" w:hAnsi="Times New Roman"/>
              </w:rPr>
              <w:t>3</w:t>
            </w:r>
          </w:p>
        </w:tc>
        <w:tc>
          <w:tcPr>
            <w:tcW w:w="1543" w:type="dxa"/>
            <w:tcBorders>
              <w:tl2br w:val="nil"/>
              <w:tr2bl w:val="nil"/>
            </w:tcBorders>
            <w:tcMar>
              <w:left w:w="0" w:type="dxa"/>
              <w:right w:w="0" w:type="dxa"/>
            </w:tcMar>
            <w:vAlign w:val="center"/>
          </w:tcPr>
          <w:p w:rsidR="00525419" w:rsidRDefault="00EE1CF7">
            <w:pPr>
              <w:spacing w:line="240" w:lineRule="exact"/>
              <w:jc w:val="center"/>
              <w:rPr>
                <w:rFonts w:ascii="Times New Roman" w:hAnsi="Times New Roman"/>
              </w:rPr>
            </w:pPr>
            <w:r>
              <w:rPr>
                <w:rFonts w:ascii="Times New Roman" w:hAnsi="Times New Roman"/>
              </w:rPr>
              <w:t>明</w:t>
            </w:r>
            <w:r>
              <w:rPr>
                <w:rFonts w:ascii="Times New Roman" w:hAnsi="Times New Roman"/>
              </w:rPr>
              <w:t xml:space="preserve">  </w:t>
            </w:r>
            <w:r>
              <w:rPr>
                <w:rFonts w:ascii="Times New Roman" w:hAnsi="Times New Roman"/>
              </w:rPr>
              <w:t>显</w:t>
            </w:r>
          </w:p>
        </w:tc>
        <w:tc>
          <w:tcPr>
            <w:tcW w:w="5143" w:type="dxa"/>
            <w:tcBorders>
              <w:tl2br w:val="nil"/>
              <w:tr2bl w:val="nil"/>
            </w:tcBorders>
            <w:tcMar>
              <w:left w:w="0" w:type="dxa"/>
              <w:right w:w="0" w:type="dxa"/>
            </w:tcMar>
            <w:vAlign w:val="center"/>
          </w:tcPr>
          <w:p w:rsidR="00525419" w:rsidRDefault="00EE1CF7">
            <w:pPr>
              <w:spacing w:line="240" w:lineRule="exact"/>
              <w:jc w:val="center"/>
              <w:rPr>
                <w:rFonts w:ascii="Times New Roman" w:hAnsi="Times New Roman"/>
              </w:rPr>
            </w:pPr>
            <w:r>
              <w:rPr>
                <w:rFonts w:ascii="Times New Roman" w:hAnsi="Times New Roman"/>
              </w:rPr>
              <w:t>感觉到明显臭味</w:t>
            </w:r>
          </w:p>
        </w:tc>
      </w:tr>
      <w:tr w:rsidR="00525419">
        <w:trPr>
          <w:cantSplit/>
          <w:trHeight w:hRule="exact" w:val="284"/>
          <w:jc w:val="center"/>
        </w:trPr>
        <w:tc>
          <w:tcPr>
            <w:tcW w:w="1642" w:type="dxa"/>
            <w:tcBorders>
              <w:tl2br w:val="nil"/>
              <w:tr2bl w:val="nil"/>
            </w:tcBorders>
            <w:tcMar>
              <w:left w:w="0" w:type="dxa"/>
              <w:right w:w="0" w:type="dxa"/>
            </w:tcMar>
            <w:vAlign w:val="center"/>
          </w:tcPr>
          <w:p w:rsidR="00525419" w:rsidRDefault="00EE1CF7">
            <w:pPr>
              <w:spacing w:line="240" w:lineRule="exact"/>
              <w:jc w:val="center"/>
              <w:rPr>
                <w:rFonts w:ascii="Times New Roman" w:hAnsi="Times New Roman"/>
              </w:rPr>
            </w:pPr>
            <w:r>
              <w:rPr>
                <w:rFonts w:ascii="Times New Roman" w:hAnsi="Times New Roman"/>
              </w:rPr>
              <w:t>4</w:t>
            </w:r>
          </w:p>
        </w:tc>
        <w:tc>
          <w:tcPr>
            <w:tcW w:w="1543" w:type="dxa"/>
            <w:tcBorders>
              <w:tl2br w:val="nil"/>
              <w:tr2bl w:val="nil"/>
            </w:tcBorders>
            <w:tcMar>
              <w:left w:w="0" w:type="dxa"/>
              <w:right w:w="0" w:type="dxa"/>
            </w:tcMar>
            <w:vAlign w:val="center"/>
          </w:tcPr>
          <w:p w:rsidR="00525419" w:rsidRDefault="00EE1CF7">
            <w:pPr>
              <w:spacing w:line="240" w:lineRule="exact"/>
              <w:jc w:val="center"/>
              <w:rPr>
                <w:rFonts w:ascii="Times New Roman" w:hAnsi="Times New Roman"/>
              </w:rPr>
            </w:pPr>
            <w:r>
              <w:rPr>
                <w:rFonts w:ascii="Times New Roman" w:hAnsi="Times New Roman"/>
              </w:rPr>
              <w:t>强</w:t>
            </w:r>
            <w:r>
              <w:rPr>
                <w:rFonts w:ascii="Times New Roman" w:hAnsi="Times New Roman"/>
              </w:rPr>
              <w:t xml:space="preserve">  </w:t>
            </w:r>
            <w:r>
              <w:rPr>
                <w:rFonts w:ascii="Times New Roman" w:hAnsi="Times New Roman"/>
              </w:rPr>
              <w:t>臭</w:t>
            </w:r>
          </w:p>
        </w:tc>
        <w:tc>
          <w:tcPr>
            <w:tcW w:w="5143" w:type="dxa"/>
            <w:tcBorders>
              <w:tl2br w:val="nil"/>
              <w:tr2bl w:val="nil"/>
            </w:tcBorders>
            <w:tcMar>
              <w:left w:w="0" w:type="dxa"/>
              <w:right w:w="0" w:type="dxa"/>
            </w:tcMar>
            <w:vAlign w:val="center"/>
          </w:tcPr>
          <w:p w:rsidR="00525419" w:rsidRDefault="00EE1CF7">
            <w:pPr>
              <w:spacing w:line="240" w:lineRule="exact"/>
              <w:jc w:val="center"/>
              <w:rPr>
                <w:rFonts w:ascii="Times New Roman" w:hAnsi="Times New Roman"/>
              </w:rPr>
            </w:pPr>
            <w:r>
              <w:rPr>
                <w:rFonts w:ascii="Times New Roman" w:hAnsi="Times New Roman"/>
              </w:rPr>
              <w:t>强烈臭味</w:t>
            </w:r>
          </w:p>
        </w:tc>
      </w:tr>
      <w:tr w:rsidR="00525419">
        <w:trPr>
          <w:cantSplit/>
          <w:trHeight w:hRule="exact" w:val="284"/>
          <w:jc w:val="center"/>
        </w:trPr>
        <w:tc>
          <w:tcPr>
            <w:tcW w:w="1642" w:type="dxa"/>
            <w:tcBorders>
              <w:tl2br w:val="nil"/>
              <w:tr2bl w:val="nil"/>
            </w:tcBorders>
            <w:tcMar>
              <w:left w:w="0" w:type="dxa"/>
              <w:right w:w="0" w:type="dxa"/>
            </w:tcMar>
            <w:vAlign w:val="center"/>
          </w:tcPr>
          <w:p w:rsidR="00525419" w:rsidRDefault="00EE1CF7">
            <w:pPr>
              <w:spacing w:line="240" w:lineRule="exact"/>
              <w:jc w:val="center"/>
              <w:rPr>
                <w:rFonts w:ascii="Times New Roman" w:hAnsi="Times New Roman"/>
              </w:rPr>
            </w:pPr>
            <w:r>
              <w:rPr>
                <w:rFonts w:ascii="Times New Roman" w:hAnsi="Times New Roman"/>
              </w:rPr>
              <w:t>5</w:t>
            </w:r>
          </w:p>
        </w:tc>
        <w:tc>
          <w:tcPr>
            <w:tcW w:w="1543" w:type="dxa"/>
            <w:tcBorders>
              <w:tl2br w:val="nil"/>
              <w:tr2bl w:val="nil"/>
            </w:tcBorders>
            <w:tcMar>
              <w:left w:w="0" w:type="dxa"/>
              <w:right w:w="0" w:type="dxa"/>
            </w:tcMar>
            <w:vAlign w:val="center"/>
          </w:tcPr>
          <w:p w:rsidR="00525419" w:rsidRDefault="00EE1CF7">
            <w:pPr>
              <w:spacing w:line="240" w:lineRule="exact"/>
              <w:jc w:val="center"/>
              <w:rPr>
                <w:rFonts w:ascii="Times New Roman" w:hAnsi="Times New Roman"/>
              </w:rPr>
            </w:pPr>
            <w:r>
              <w:rPr>
                <w:rFonts w:ascii="Times New Roman" w:hAnsi="Times New Roman"/>
              </w:rPr>
              <w:t>剧</w:t>
            </w:r>
            <w:r>
              <w:rPr>
                <w:rFonts w:ascii="Times New Roman" w:hAnsi="Times New Roman"/>
              </w:rPr>
              <w:t xml:space="preserve">  </w:t>
            </w:r>
            <w:r>
              <w:rPr>
                <w:rFonts w:ascii="Times New Roman" w:hAnsi="Times New Roman"/>
              </w:rPr>
              <w:t>臭</w:t>
            </w:r>
          </w:p>
        </w:tc>
        <w:tc>
          <w:tcPr>
            <w:tcW w:w="5143" w:type="dxa"/>
            <w:tcBorders>
              <w:tl2br w:val="nil"/>
              <w:tr2bl w:val="nil"/>
            </w:tcBorders>
            <w:tcMar>
              <w:left w:w="0" w:type="dxa"/>
              <w:right w:w="0" w:type="dxa"/>
            </w:tcMar>
            <w:vAlign w:val="center"/>
          </w:tcPr>
          <w:p w:rsidR="00525419" w:rsidRDefault="00EE1CF7">
            <w:pPr>
              <w:spacing w:line="240" w:lineRule="exact"/>
              <w:jc w:val="center"/>
              <w:rPr>
                <w:rFonts w:ascii="Times New Roman" w:hAnsi="Times New Roman"/>
              </w:rPr>
            </w:pPr>
            <w:r>
              <w:rPr>
                <w:rFonts w:ascii="Times New Roman" w:hAnsi="Times New Roman"/>
              </w:rPr>
              <w:t>无法忍受的强烈臭味</w:t>
            </w:r>
          </w:p>
        </w:tc>
      </w:tr>
    </w:tbl>
    <w:p w:rsidR="00525419" w:rsidRDefault="00EE1CF7">
      <w:pPr>
        <w:adjustRightInd w:val="0"/>
        <w:snapToGrid w:val="0"/>
        <w:spacing w:line="460" w:lineRule="exact"/>
        <w:ind w:firstLineChars="200" w:firstLine="480"/>
        <w:rPr>
          <w:rFonts w:ascii="Times New Roman" w:hAnsi="Times New Roman"/>
          <w:sz w:val="24"/>
          <w:szCs w:val="24"/>
        </w:rPr>
      </w:pPr>
      <w:r>
        <w:rPr>
          <w:rFonts w:ascii="Times New Roman" w:hAnsi="Times New Roman"/>
          <w:sz w:val="24"/>
          <w:szCs w:val="24"/>
        </w:rPr>
        <w:t>由表</w:t>
      </w:r>
      <w:r>
        <w:rPr>
          <w:rFonts w:ascii="Times New Roman" w:hAnsi="Times New Roman"/>
          <w:sz w:val="24"/>
          <w:szCs w:val="24"/>
        </w:rPr>
        <w:t>5.1-17</w:t>
      </w:r>
      <w:r>
        <w:rPr>
          <w:rFonts w:ascii="Times New Roman" w:hAnsi="Times New Roman"/>
          <w:sz w:val="24"/>
          <w:szCs w:val="24"/>
        </w:rPr>
        <w:t>可知</w:t>
      </w:r>
      <w:r>
        <w:rPr>
          <w:rFonts w:ascii="Times New Roman" w:hAnsi="Times New Roman"/>
          <w:sz w:val="24"/>
          <w:szCs w:val="24"/>
        </w:rPr>
        <w:t>1-2</w:t>
      </w:r>
      <w:r>
        <w:rPr>
          <w:rFonts w:ascii="Times New Roman" w:hAnsi="Times New Roman"/>
          <w:sz w:val="24"/>
          <w:szCs w:val="24"/>
        </w:rPr>
        <w:t>级分别为感知阈值和认知阈值，只感到微弱的气味，这种环境状况对人是较为理想和满意的。</w:t>
      </w:r>
      <w:r>
        <w:rPr>
          <w:rFonts w:ascii="Times New Roman" w:hAnsi="Times New Roman"/>
          <w:sz w:val="24"/>
          <w:szCs w:val="24"/>
        </w:rPr>
        <w:t>4-5</w:t>
      </w:r>
      <w:r>
        <w:rPr>
          <w:rFonts w:ascii="Times New Roman" w:hAnsi="Times New Roman"/>
          <w:sz w:val="24"/>
          <w:szCs w:val="24"/>
        </w:rPr>
        <w:t>级强度已具有较强或更强烈的臭味，长期生活在这种环境中，将损害人的身体健康，如厂界环境臭气达</w:t>
      </w:r>
      <w:r>
        <w:rPr>
          <w:rFonts w:ascii="Times New Roman" w:hAnsi="Times New Roman"/>
          <w:sz w:val="24"/>
          <w:szCs w:val="24"/>
        </w:rPr>
        <w:t>4-5</w:t>
      </w:r>
      <w:r>
        <w:rPr>
          <w:rFonts w:ascii="Times New Roman" w:hAnsi="Times New Roman"/>
          <w:sz w:val="24"/>
          <w:szCs w:val="24"/>
        </w:rPr>
        <w:t>级，不仅厂内工作人员处于强烈恶臭危害中，还会增加环境负担，影响更大范围的空气质量。</w:t>
      </w:r>
    </w:p>
    <w:p w:rsidR="00525419" w:rsidRDefault="00EE1CF7">
      <w:pPr>
        <w:adjustRightInd w:val="0"/>
        <w:snapToGrid w:val="0"/>
        <w:spacing w:line="460" w:lineRule="exact"/>
        <w:ind w:firstLineChars="200" w:firstLine="480"/>
        <w:rPr>
          <w:rFonts w:ascii="Times New Roman" w:hAnsi="Times New Roman"/>
          <w:sz w:val="24"/>
          <w:szCs w:val="24"/>
        </w:rPr>
      </w:pPr>
      <w:r>
        <w:rPr>
          <w:rFonts w:ascii="Times New Roman" w:hAnsi="Times New Roman"/>
          <w:sz w:val="24"/>
          <w:szCs w:val="24"/>
        </w:rPr>
        <w:t>厂界的臭气强度应控制在</w:t>
      </w:r>
      <w:r>
        <w:rPr>
          <w:rFonts w:ascii="Times New Roman" w:hAnsi="Times New Roman"/>
          <w:sz w:val="24"/>
          <w:szCs w:val="24"/>
        </w:rPr>
        <w:t>3</w:t>
      </w:r>
      <w:r>
        <w:rPr>
          <w:rFonts w:ascii="Times New Roman" w:hAnsi="Times New Roman"/>
          <w:sz w:val="24"/>
          <w:szCs w:val="24"/>
        </w:rPr>
        <w:t>级以下。各种恶臭物质的臭味强度超过</w:t>
      </w:r>
      <w:r>
        <w:rPr>
          <w:rFonts w:ascii="Times New Roman" w:hAnsi="Times New Roman"/>
          <w:sz w:val="24"/>
          <w:szCs w:val="24"/>
        </w:rPr>
        <w:t>2.5-3.5</w:t>
      </w:r>
      <w:r>
        <w:rPr>
          <w:rFonts w:ascii="Times New Roman" w:hAnsi="Times New Roman"/>
          <w:sz w:val="24"/>
          <w:szCs w:val="24"/>
        </w:rPr>
        <w:t>级，就认为大气受到恶臭污染，从而需采取相应的防治措施。臭气强度与臭味浓度的关系见表</w:t>
      </w:r>
      <w:r>
        <w:rPr>
          <w:rFonts w:ascii="Times New Roman" w:hAnsi="Times New Roman"/>
          <w:sz w:val="24"/>
          <w:szCs w:val="24"/>
        </w:rPr>
        <w:t>5.1-18</w:t>
      </w:r>
      <w:r>
        <w:rPr>
          <w:rFonts w:ascii="Times New Roman" w:hAnsi="Times New Roman"/>
          <w:sz w:val="24"/>
          <w:szCs w:val="24"/>
        </w:rPr>
        <w:t>。</w:t>
      </w:r>
    </w:p>
    <w:p w:rsidR="00525419" w:rsidRDefault="00EE1CF7">
      <w:pPr>
        <w:spacing w:line="360" w:lineRule="exact"/>
        <w:ind w:firstLineChars="500" w:firstLine="1050"/>
        <w:rPr>
          <w:rFonts w:ascii="Times New Roman" w:eastAsia="黑体" w:hAnsi="Times New Roman"/>
        </w:rPr>
      </w:pPr>
      <w:r>
        <w:rPr>
          <w:rFonts w:ascii="Times New Roman" w:eastAsia="黑体" w:hAnsi="Times New Roman"/>
        </w:rPr>
        <w:t>表</w:t>
      </w:r>
      <w:r>
        <w:rPr>
          <w:rFonts w:ascii="Times New Roman" w:eastAsia="黑体" w:hAnsi="Times New Roman"/>
        </w:rPr>
        <w:t>5.1-18            H</w:t>
      </w:r>
      <w:r>
        <w:rPr>
          <w:rFonts w:ascii="Times New Roman" w:eastAsia="黑体" w:hAnsi="Times New Roman"/>
          <w:vertAlign w:val="subscript"/>
        </w:rPr>
        <w:t>2</w:t>
      </w:r>
      <w:r>
        <w:rPr>
          <w:rFonts w:ascii="Times New Roman" w:eastAsia="黑体" w:hAnsi="Times New Roman"/>
        </w:rPr>
        <w:t>S</w:t>
      </w:r>
      <w:r>
        <w:rPr>
          <w:rFonts w:ascii="Times New Roman" w:eastAsia="黑体" w:hAnsi="Times New Roman"/>
        </w:rPr>
        <w:t>、氨浓度与臭气强度关系</w:t>
      </w:r>
    </w:p>
    <w:tbl>
      <w:tblPr>
        <w:tblW w:w="839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56"/>
        <w:gridCol w:w="1063"/>
        <w:gridCol w:w="1063"/>
        <w:gridCol w:w="1063"/>
        <w:gridCol w:w="1063"/>
        <w:gridCol w:w="1063"/>
        <w:gridCol w:w="1063"/>
        <w:gridCol w:w="1063"/>
      </w:tblGrid>
      <w:tr w:rsidR="00525419">
        <w:trPr>
          <w:trHeight w:val="397"/>
          <w:jc w:val="center"/>
        </w:trPr>
        <w:tc>
          <w:tcPr>
            <w:tcW w:w="956" w:type="dxa"/>
            <w:vMerge w:val="restart"/>
            <w:tcBorders>
              <w:tl2br w:val="nil"/>
              <w:tr2bl w:val="nil"/>
            </w:tcBorders>
            <w:vAlign w:val="center"/>
          </w:tcPr>
          <w:p w:rsidR="00525419" w:rsidRDefault="00EE1CF7">
            <w:pPr>
              <w:adjustRightInd w:val="0"/>
              <w:snapToGrid w:val="0"/>
              <w:jc w:val="center"/>
              <w:rPr>
                <w:rFonts w:ascii="Times New Roman" w:eastAsia="Times New Roman" w:hAnsi="Times New Roman"/>
                <w:sz w:val="20"/>
                <w:szCs w:val="21"/>
              </w:rPr>
            </w:pPr>
            <w:r>
              <w:rPr>
                <w:rFonts w:ascii="Times New Roman" w:eastAsia="Times New Roman" w:hAnsi="Times New Roman"/>
                <w:sz w:val="20"/>
                <w:szCs w:val="21"/>
              </w:rPr>
              <w:t>恶臭</w:t>
            </w:r>
          </w:p>
          <w:p w:rsidR="00525419" w:rsidRDefault="00EE1CF7">
            <w:pPr>
              <w:adjustRightInd w:val="0"/>
              <w:snapToGrid w:val="0"/>
              <w:jc w:val="center"/>
              <w:rPr>
                <w:rFonts w:ascii="Times New Roman" w:eastAsia="Times New Roman" w:hAnsi="Times New Roman"/>
                <w:sz w:val="20"/>
                <w:szCs w:val="21"/>
              </w:rPr>
            </w:pPr>
            <w:r>
              <w:rPr>
                <w:rFonts w:ascii="Times New Roman" w:eastAsia="Times New Roman" w:hAnsi="Times New Roman"/>
                <w:sz w:val="20"/>
                <w:szCs w:val="21"/>
              </w:rPr>
              <w:t>污染物</w:t>
            </w:r>
          </w:p>
        </w:tc>
        <w:tc>
          <w:tcPr>
            <w:tcW w:w="7441" w:type="dxa"/>
            <w:gridSpan w:val="7"/>
            <w:tcBorders>
              <w:tl2br w:val="nil"/>
              <w:tr2bl w:val="nil"/>
            </w:tcBorders>
            <w:vAlign w:val="center"/>
          </w:tcPr>
          <w:p w:rsidR="00525419" w:rsidRDefault="00EE1CF7">
            <w:pPr>
              <w:adjustRightInd w:val="0"/>
              <w:snapToGrid w:val="0"/>
              <w:jc w:val="center"/>
              <w:rPr>
                <w:rFonts w:ascii="Times New Roman" w:eastAsia="Times New Roman" w:hAnsi="Times New Roman"/>
                <w:sz w:val="20"/>
                <w:szCs w:val="21"/>
              </w:rPr>
            </w:pPr>
            <w:r>
              <w:rPr>
                <w:rFonts w:ascii="Times New Roman" w:eastAsia="Times New Roman" w:hAnsi="Times New Roman"/>
                <w:sz w:val="20"/>
                <w:szCs w:val="21"/>
              </w:rPr>
              <w:t>恶臭强度分级</w:t>
            </w:r>
          </w:p>
        </w:tc>
      </w:tr>
      <w:tr w:rsidR="00525419">
        <w:trPr>
          <w:trHeight w:val="397"/>
          <w:jc w:val="center"/>
        </w:trPr>
        <w:tc>
          <w:tcPr>
            <w:tcW w:w="956" w:type="dxa"/>
            <w:vMerge/>
            <w:tcBorders>
              <w:tl2br w:val="nil"/>
              <w:tr2bl w:val="nil"/>
            </w:tcBorders>
            <w:vAlign w:val="center"/>
          </w:tcPr>
          <w:p w:rsidR="00525419" w:rsidRDefault="00525419">
            <w:pPr>
              <w:adjustRightInd w:val="0"/>
              <w:snapToGrid w:val="0"/>
              <w:jc w:val="center"/>
              <w:rPr>
                <w:rFonts w:ascii="Times New Roman" w:eastAsia="Times New Roman" w:hAnsi="Times New Roman"/>
                <w:sz w:val="20"/>
                <w:szCs w:val="21"/>
              </w:rPr>
            </w:pPr>
          </w:p>
        </w:tc>
        <w:tc>
          <w:tcPr>
            <w:tcW w:w="1063" w:type="dxa"/>
            <w:tcBorders>
              <w:tl2br w:val="nil"/>
              <w:tr2bl w:val="nil"/>
            </w:tcBorders>
            <w:vAlign w:val="center"/>
          </w:tcPr>
          <w:p w:rsidR="00525419" w:rsidRDefault="00EE1CF7">
            <w:pPr>
              <w:adjustRightInd w:val="0"/>
              <w:snapToGrid w:val="0"/>
              <w:jc w:val="center"/>
              <w:rPr>
                <w:rFonts w:ascii="Times New Roman" w:eastAsia="Times New Roman" w:hAnsi="Times New Roman"/>
                <w:sz w:val="20"/>
                <w:szCs w:val="21"/>
              </w:rPr>
            </w:pPr>
            <w:r>
              <w:rPr>
                <w:rFonts w:ascii="Times New Roman" w:eastAsia="Times New Roman" w:hAnsi="Times New Roman"/>
                <w:sz w:val="20"/>
                <w:szCs w:val="21"/>
              </w:rPr>
              <w:t>1</w:t>
            </w:r>
          </w:p>
        </w:tc>
        <w:tc>
          <w:tcPr>
            <w:tcW w:w="1063" w:type="dxa"/>
            <w:tcBorders>
              <w:tl2br w:val="nil"/>
              <w:tr2bl w:val="nil"/>
            </w:tcBorders>
            <w:vAlign w:val="center"/>
          </w:tcPr>
          <w:p w:rsidR="00525419" w:rsidRDefault="00EE1CF7">
            <w:pPr>
              <w:adjustRightInd w:val="0"/>
              <w:snapToGrid w:val="0"/>
              <w:jc w:val="center"/>
              <w:rPr>
                <w:rFonts w:ascii="Times New Roman" w:eastAsia="Times New Roman" w:hAnsi="Times New Roman"/>
                <w:sz w:val="20"/>
                <w:szCs w:val="21"/>
              </w:rPr>
            </w:pPr>
            <w:r>
              <w:rPr>
                <w:rFonts w:ascii="Times New Roman" w:eastAsia="Times New Roman" w:hAnsi="Times New Roman"/>
                <w:sz w:val="20"/>
                <w:szCs w:val="21"/>
              </w:rPr>
              <w:t>2</w:t>
            </w:r>
          </w:p>
        </w:tc>
        <w:tc>
          <w:tcPr>
            <w:tcW w:w="1063" w:type="dxa"/>
            <w:tcBorders>
              <w:tl2br w:val="nil"/>
              <w:tr2bl w:val="nil"/>
            </w:tcBorders>
            <w:vAlign w:val="center"/>
          </w:tcPr>
          <w:p w:rsidR="00525419" w:rsidRDefault="00EE1CF7">
            <w:pPr>
              <w:adjustRightInd w:val="0"/>
              <w:snapToGrid w:val="0"/>
              <w:jc w:val="center"/>
              <w:rPr>
                <w:rFonts w:ascii="Times New Roman" w:eastAsia="Times New Roman" w:hAnsi="Times New Roman"/>
                <w:sz w:val="20"/>
                <w:szCs w:val="21"/>
              </w:rPr>
            </w:pPr>
            <w:r>
              <w:rPr>
                <w:rFonts w:ascii="Times New Roman" w:eastAsia="Times New Roman" w:hAnsi="Times New Roman"/>
                <w:sz w:val="20"/>
                <w:szCs w:val="21"/>
              </w:rPr>
              <w:t>2.5</w:t>
            </w:r>
          </w:p>
        </w:tc>
        <w:tc>
          <w:tcPr>
            <w:tcW w:w="1063" w:type="dxa"/>
            <w:tcBorders>
              <w:tl2br w:val="nil"/>
              <w:tr2bl w:val="nil"/>
            </w:tcBorders>
            <w:vAlign w:val="center"/>
          </w:tcPr>
          <w:p w:rsidR="00525419" w:rsidRDefault="00EE1CF7">
            <w:pPr>
              <w:adjustRightInd w:val="0"/>
              <w:snapToGrid w:val="0"/>
              <w:jc w:val="center"/>
              <w:rPr>
                <w:rFonts w:ascii="Times New Roman" w:eastAsia="Times New Roman" w:hAnsi="Times New Roman"/>
                <w:sz w:val="20"/>
                <w:szCs w:val="21"/>
              </w:rPr>
            </w:pPr>
            <w:r>
              <w:rPr>
                <w:rFonts w:ascii="Times New Roman" w:eastAsia="Times New Roman" w:hAnsi="Times New Roman"/>
                <w:sz w:val="20"/>
                <w:szCs w:val="21"/>
              </w:rPr>
              <w:t>3</w:t>
            </w:r>
          </w:p>
        </w:tc>
        <w:tc>
          <w:tcPr>
            <w:tcW w:w="1063" w:type="dxa"/>
            <w:tcBorders>
              <w:tl2br w:val="nil"/>
              <w:tr2bl w:val="nil"/>
            </w:tcBorders>
            <w:vAlign w:val="center"/>
          </w:tcPr>
          <w:p w:rsidR="00525419" w:rsidRDefault="00EE1CF7">
            <w:pPr>
              <w:adjustRightInd w:val="0"/>
              <w:snapToGrid w:val="0"/>
              <w:jc w:val="center"/>
              <w:rPr>
                <w:rFonts w:ascii="Times New Roman" w:eastAsia="Times New Roman" w:hAnsi="Times New Roman"/>
                <w:sz w:val="20"/>
                <w:szCs w:val="21"/>
              </w:rPr>
            </w:pPr>
            <w:r>
              <w:rPr>
                <w:rFonts w:ascii="Times New Roman" w:eastAsia="Times New Roman" w:hAnsi="Times New Roman"/>
                <w:sz w:val="20"/>
                <w:szCs w:val="21"/>
              </w:rPr>
              <w:t>3.5</w:t>
            </w:r>
          </w:p>
        </w:tc>
        <w:tc>
          <w:tcPr>
            <w:tcW w:w="1063" w:type="dxa"/>
            <w:tcBorders>
              <w:tl2br w:val="nil"/>
              <w:tr2bl w:val="nil"/>
            </w:tcBorders>
            <w:vAlign w:val="center"/>
          </w:tcPr>
          <w:p w:rsidR="00525419" w:rsidRDefault="00EE1CF7">
            <w:pPr>
              <w:adjustRightInd w:val="0"/>
              <w:snapToGrid w:val="0"/>
              <w:jc w:val="center"/>
              <w:rPr>
                <w:rFonts w:ascii="Times New Roman" w:eastAsia="Times New Roman" w:hAnsi="Times New Roman"/>
                <w:sz w:val="20"/>
                <w:szCs w:val="21"/>
              </w:rPr>
            </w:pPr>
            <w:r>
              <w:rPr>
                <w:rFonts w:ascii="Times New Roman" w:eastAsia="Times New Roman" w:hAnsi="Times New Roman"/>
                <w:sz w:val="20"/>
                <w:szCs w:val="21"/>
              </w:rPr>
              <w:t>4</w:t>
            </w:r>
          </w:p>
        </w:tc>
        <w:tc>
          <w:tcPr>
            <w:tcW w:w="1063" w:type="dxa"/>
            <w:tcBorders>
              <w:tl2br w:val="nil"/>
              <w:tr2bl w:val="nil"/>
            </w:tcBorders>
            <w:vAlign w:val="center"/>
          </w:tcPr>
          <w:p w:rsidR="00525419" w:rsidRDefault="00EE1CF7">
            <w:pPr>
              <w:adjustRightInd w:val="0"/>
              <w:snapToGrid w:val="0"/>
              <w:jc w:val="center"/>
              <w:rPr>
                <w:rFonts w:ascii="Times New Roman" w:eastAsia="Times New Roman" w:hAnsi="Times New Roman"/>
                <w:sz w:val="20"/>
                <w:szCs w:val="21"/>
              </w:rPr>
            </w:pPr>
            <w:r>
              <w:rPr>
                <w:rFonts w:ascii="Times New Roman" w:eastAsia="Times New Roman" w:hAnsi="Times New Roman"/>
                <w:sz w:val="20"/>
                <w:szCs w:val="21"/>
              </w:rPr>
              <w:t>5</w:t>
            </w:r>
          </w:p>
        </w:tc>
      </w:tr>
      <w:tr w:rsidR="00525419">
        <w:trPr>
          <w:trHeight w:val="397"/>
          <w:jc w:val="center"/>
        </w:trPr>
        <w:tc>
          <w:tcPr>
            <w:tcW w:w="956" w:type="dxa"/>
            <w:tcBorders>
              <w:tl2br w:val="nil"/>
              <w:tr2bl w:val="nil"/>
            </w:tcBorders>
            <w:vAlign w:val="center"/>
          </w:tcPr>
          <w:p w:rsidR="00525419" w:rsidRDefault="00EE1CF7">
            <w:pPr>
              <w:adjustRightInd w:val="0"/>
              <w:snapToGrid w:val="0"/>
              <w:jc w:val="center"/>
              <w:rPr>
                <w:rFonts w:ascii="Times New Roman" w:eastAsia="Times New Roman" w:hAnsi="Times New Roman"/>
                <w:sz w:val="20"/>
                <w:szCs w:val="21"/>
              </w:rPr>
            </w:pPr>
            <w:r>
              <w:rPr>
                <w:rFonts w:ascii="Times New Roman" w:eastAsia="Times New Roman" w:hAnsi="Times New Roman"/>
                <w:sz w:val="20"/>
                <w:szCs w:val="21"/>
              </w:rPr>
              <w:t>NH</w:t>
            </w:r>
            <w:r>
              <w:rPr>
                <w:rFonts w:ascii="Times New Roman" w:eastAsia="Times New Roman" w:hAnsi="Times New Roman"/>
                <w:sz w:val="20"/>
                <w:szCs w:val="21"/>
                <w:vertAlign w:val="subscript"/>
              </w:rPr>
              <w:t>3</w:t>
            </w:r>
          </w:p>
        </w:tc>
        <w:tc>
          <w:tcPr>
            <w:tcW w:w="1063" w:type="dxa"/>
            <w:tcBorders>
              <w:tl2br w:val="nil"/>
              <w:tr2bl w:val="nil"/>
            </w:tcBorders>
            <w:vAlign w:val="center"/>
          </w:tcPr>
          <w:p w:rsidR="00525419" w:rsidRDefault="00EE1CF7">
            <w:pPr>
              <w:adjustRightInd w:val="0"/>
              <w:snapToGrid w:val="0"/>
              <w:jc w:val="center"/>
              <w:rPr>
                <w:rFonts w:ascii="Times New Roman" w:eastAsia="Times New Roman" w:hAnsi="Times New Roman"/>
                <w:sz w:val="20"/>
                <w:szCs w:val="21"/>
              </w:rPr>
            </w:pPr>
            <w:r>
              <w:rPr>
                <w:rFonts w:ascii="Times New Roman" w:eastAsia="Times New Roman" w:hAnsi="Times New Roman"/>
                <w:sz w:val="20"/>
                <w:szCs w:val="21"/>
              </w:rPr>
              <w:t>0.1</w:t>
            </w:r>
          </w:p>
        </w:tc>
        <w:tc>
          <w:tcPr>
            <w:tcW w:w="1063" w:type="dxa"/>
            <w:tcBorders>
              <w:tl2br w:val="nil"/>
              <w:tr2bl w:val="nil"/>
            </w:tcBorders>
            <w:vAlign w:val="center"/>
          </w:tcPr>
          <w:p w:rsidR="00525419" w:rsidRDefault="00EE1CF7">
            <w:pPr>
              <w:adjustRightInd w:val="0"/>
              <w:snapToGrid w:val="0"/>
              <w:jc w:val="center"/>
              <w:rPr>
                <w:rFonts w:ascii="Times New Roman" w:eastAsia="Times New Roman" w:hAnsi="Times New Roman"/>
                <w:sz w:val="20"/>
                <w:szCs w:val="21"/>
              </w:rPr>
            </w:pPr>
            <w:r>
              <w:rPr>
                <w:rFonts w:ascii="Times New Roman" w:eastAsia="Times New Roman" w:hAnsi="Times New Roman"/>
                <w:sz w:val="20"/>
                <w:szCs w:val="21"/>
              </w:rPr>
              <w:t>0.6</w:t>
            </w:r>
          </w:p>
        </w:tc>
        <w:tc>
          <w:tcPr>
            <w:tcW w:w="1063" w:type="dxa"/>
            <w:tcBorders>
              <w:tl2br w:val="nil"/>
              <w:tr2bl w:val="nil"/>
            </w:tcBorders>
            <w:vAlign w:val="center"/>
          </w:tcPr>
          <w:p w:rsidR="00525419" w:rsidRDefault="00EE1CF7">
            <w:pPr>
              <w:adjustRightInd w:val="0"/>
              <w:snapToGrid w:val="0"/>
              <w:jc w:val="center"/>
              <w:rPr>
                <w:rFonts w:ascii="Times New Roman" w:eastAsia="Times New Roman" w:hAnsi="Times New Roman"/>
                <w:sz w:val="20"/>
                <w:szCs w:val="21"/>
              </w:rPr>
            </w:pPr>
            <w:r>
              <w:rPr>
                <w:rFonts w:ascii="Times New Roman" w:eastAsia="Times New Roman" w:hAnsi="Times New Roman"/>
                <w:sz w:val="20"/>
                <w:szCs w:val="21"/>
              </w:rPr>
              <w:t>1.0</w:t>
            </w:r>
          </w:p>
        </w:tc>
        <w:tc>
          <w:tcPr>
            <w:tcW w:w="1063" w:type="dxa"/>
            <w:tcBorders>
              <w:tl2br w:val="nil"/>
              <w:tr2bl w:val="nil"/>
            </w:tcBorders>
            <w:vAlign w:val="center"/>
          </w:tcPr>
          <w:p w:rsidR="00525419" w:rsidRDefault="00EE1CF7">
            <w:pPr>
              <w:adjustRightInd w:val="0"/>
              <w:snapToGrid w:val="0"/>
              <w:jc w:val="center"/>
              <w:rPr>
                <w:rFonts w:ascii="Times New Roman" w:eastAsia="Times New Roman" w:hAnsi="Times New Roman"/>
                <w:sz w:val="20"/>
                <w:szCs w:val="21"/>
              </w:rPr>
            </w:pPr>
            <w:r>
              <w:rPr>
                <w:rFonts w:ascii="Times New Roman" w:eastAsia="Times New Roman" w:hAnsi="Times New Roman"/>
                <w:sz w:val="20"/>
                <w:szCs w:val="21"/>
              </w:rPr>
              <w:t>2.0</w:t>
            </w:r>
          </w:p>
        </w:tc>
        <w:tc>
          <w:tcPr>
            <w:tcW w:w="1063" w:type="dxa"/>
            <w:tcBorders>
              <w:tl2br w:val="nil"/>
              <w:tr2bl w:val="nil"/>
            </w:tcBorders>
            <w:vAlign w:val="center"/>
          </w:tcPr>
          <w:p w:rsidR="00525419" w:rsidRDefault="00EE1CF7">
            <w:pPr>
              <w:adjustRightInd w:val="0"/>
              <w:snapToGrid w:val="0"/>
              <w:jc w:val="center"/>
              <w:rPr>
                <w:rFonts w:ascii="Times New Roman" w:eastAsia="Times New Roman" w:hAnsi="Times New Roman"/>
                <w:sz w:val="20"/>
                <w:szCs w:val="21"/>
              </w:rPr>
            </w:pPr>
            <w:r>
              <w:rPr>
                <w:rFonts w:ascii="Times New Roman" w:eastAsia="Times New Roman" w:hAnsi="Times New Roman"/>
                <w:sz w:val="20"/>
                <w:szCs w:val="21"/>
              </w:rPr>
              <w:t>5.0</w:t>
            </w:r>
          </w:p>
        </w:tc>
        <w:tc>
          <w:tcPr>
            <w:tcW w:w="1063" w:type="dxa"/>
            <w:tcBorders>
              <w:tl2br w:val="nil"/>
              <w:tr2bl w:val="nil"/>
            </w:tcBorders>
            <w:vAlign w:val="center"/>
          </w:tcPr>
          <w:p w:rsidR="00525419" w:rsidRDefault="00EE1CF7">
            <w:pPr>
              <w:adjustRightInd w:val="0"/>
              <w:snapToGrid w:val="0"/>
              <w:jc w:val="center"/>
              <w:rPr>
                <w:rFonts w:ascii="Times New Roman" w:eastAsia="Times New Roman" w:hAnsi="Times New Roman"/>
                <w:sz w:val="20"/>
                <w:szCs w:val="21"/>
              </w:rPr>
            </w:pPr>
            <w:r>
              <w:rPr>
                <w:rFonts w:ascii="Times New Roman" w:eastAsia="Times New Roman" w:hAnsi="Times New Roman"/>
                <w:sz w:val="20"/>
                <w:szCs w:val="21"/>
              </w:rPr>
              <w:t>10.0</w:t>
            </w:r>
          </w:p>
        </w:tc>
        <w:tc>
          <w:tcPr>
            <w:tcW w:w="1063" w:type="dxa"/>
            <w:tcBorders>
              <w:tl2br w:val="nil"/>
              <w:tr2bl w:val="nil"/>
            </w:tcBorders>
            <w:vAlign w:val="center"/>
          </w:tcPr>
          <w:p w:rsidR="00525419" w:rsidRDefault="00EE1CF7">
            <w:pPr>
              <w:adjustRightInd w:val="0"/>
              <w:snapToGrid w:val="0"/>
              <w:jc w:val="center"/>
              <w:rPr>
                <w:rFonts w:ascii="Times New Roman" w:eastAsia="Times New Roman" w:hAnsi="Times New Roman"/>
                <w:sz w:val="20"/>
                <w:szCs w:val="21"/>
              </w:rPr>
            </w:pPr>
            <w:r>
              <w:rPr>
                <w:rFonts w:ascii="Times New Roman" w:eastAsia="Times New Roman" w:hAnsi="Times New Roman"/>
                <w:sz w:val="20"/>
                <w:szCs w:val="21"/>
              </w:rPr>
              <w:t>40.0</w:t>
            </w:r>
          </w:p>
        </w:tc>
      </w:tr>
      <w:tr w:rsidR="00525419">
        <w:trPr>
          <w:trHeight w:val="397"/>
          <w:jc w:val="center"/>
        </w:trPr>
        <w:tc>
          <w:tcPr>
            <w:tcW w:w="956" w:type="dxa"/>
            <w:tcBorders>
              <w:tl2br w:val="nil"/>
              <w:tr2bl w:val="nil"/>
            </w:tcBorders>
            <w:vAlign w:val="center"/>
          </w:tcPr>
          <w:p w:rsidR="00525419" w:rsidRDefault="00EE1CF7">
            <w:pPr>
              <w:adjustRightInd w:val="0"/>
              <w:snapToGrid w:val="0"/>
              <w:jc w:val="center"/>
              <w:rPr>
                <w:rFonts w:ascii="Times New Roman" w:eastAsia="Times New Roman" w:hAnsi="Times New Roman"/>
                <w:sz w:val="20"/>
                <w:szCs w:val="21"/>
              </w:rPr>
            </w:pPr>
            <w:r>
              <w:rPr>
                <w:rFonts w:ascii="Times New Roman" w:eastAsia="Times New Roman" w:hAnsi="Times New Roman"/>
                <w:sz w:val="20"/>
                <w:szCs w:val="21"/>
              </w:rPr>
              <w:t>H</w:t>
            </w:r>
            <w:r>
              <w:rPr>
                <w:rFonts w:ascii="Times New Roman" w:eastAsia="Times New Roman" w:hAnsi="Times New Roman"/>
                <w:sz w:val="20"/>
                <w:szCs w:val="21"/>
                <w:vertAlign w:val="subscript"/>
              </w:rPr>
              <w:t>2</w:t>
            </w:r>
            <w:r>
              <w:rPr>
                <w:rFonts w:ascii="Times New Roman" w:eastAsia="Times New Roman" w:hAnsi="Times New Roman"/>
                <w:sz w:val="20"/>
                <w:szCs w:val="21"/>
              </w:rPr>
              <w:t>S</w:t>
            </w:r>
          </w:p>
        </w:tc>
        <w:tc>
          <w:tcPr>
            <w:tcW w:w="1063" w:type="dxa"/>
            <w:tcBorders>
              <w:tl2br w:val="nil"/>
              <w:tr2bl w:val="nil"/>
            </w:tcBorders>
            <w:vAlign w:val="center"/>
          </w:tcPr>
          <w:p w:rsidR="00525419" w:rsidRDefault="00EE1CF7">
            <w:pPr>
              <w:adjustRightInd w:val="0"/>
              <w:snapToGrid w:val="0"/>
              <w:jc w:val="center"/>
              <w:rPr>
                <w:rFonts w:ascii="Times New Roman" w:eastAsia="Times New Roman" w:hAnsi="Times New Roman"/>
                <w:sz w:val="20"/>
                <w:szCs w:val="21"/>
              </w:rPr>
            </w:pPr>
            <w:r>
              <w:rPr>
                <w:rFonts w:ascii="Times New Roman" w:eastAsia="Times New Roman" w:hAnsi="Times New Roman"/>
                <w:sz w:val="20"/>
                <w:szCs w:val="21"/>
              </w:rPr>
              <w:t>0.0005</w:t>
            </w:r>
          </w:p>
        </w:tc>
        <w:tc>
          <w:tcPr>
            <w:tcW w:w="1063" w:type="dxa"/>
            <w:tcBorders>
              <w:tl2br w:val="nil"/>
              <w:tr2bl w:val="nil"/>
            </w:tcBorders>
            <w:vAlign w:val="center"/>
          </w:tcPr>
          <w:p w:rsidR="00525419" w:rsidRDefault="00EE1CF7">
            <w:pPr>
              <w:adjustRightInd w:val="0"/>
              <w:snapToGrid w:val="0"/>
              <w:jc w:val="center"/>
              <w:rPr>
                <w:rFonts w:ascii="Times New Roman" w:eastAsia="Times New Roman" w:hAnsi="Times New Roman"/>
                <w:sz w:val="20"/>
                <w:szCs w:val="21"/>
              </w:rPr>
            </w:pPr>
            <w:r>
              <w:rPr>
                <w:rFonts w:ascii="Times New Roman" w:eastAsia="Times New Roman" w:hAnsi="Times New Roman"/>
                <w:sz w:val="20"/>
                <w:szCs w:val="21"/>
              </w:rPr>
              <w:t>0.006</w:t>
            </w:r>
          </w:p>
        </w:tc>
        <w:tc>
          <w:tcPr>
            <w:tcW w:w="1063" w:type="dxa"/>
            <w:tcBorders>
              <w:tl2br w:val="nil"/>
              <w:tr2bl w:val="nil"/>
            </w:tcBorders>
            <w:vAlign w:val="center"/>
          </w:tcPr>
          <w:p w:rsidR="00525419" w:rsidRDefault="00EE1CF7">
            <w:pPr>
              <w:adjustRightInd w:val="0"/>
              <w:snapToGrid w:val="0"/>
              <w:jc w:val="center"/>
              <w:rPr>
                <w:rFonts w:ascii="Times New Roman" w:eastAsia="Times New Roman" w:hAnsi="Times New Roman"/>
                <w:sz w:val="20"/>
                <w:szCs w:val="21"/>
              </w:rPr>
            </w:pPr>
            <w:r>
              <w:rPr>
                <w:rFonts w:ascii="Times New Roman" w:eastAsia="Times New Roman" w:hAnsi="Times New Roman"/>
                <w:sz w:val="20"/>
                <w:szCs w:val="21"/>
              </w:rPr>
              <w:t>0.02</w:t>
            </w:r>
          </w:p>
        </w:tc>
        <w:tc>
          <w:tcPr>
            <w:tcW w:w="1063" w:type="dxa"/>
            <w:tcBorders>
              <w:tl2br w:val="nil"/>
              <w:tr2bl w:val="nil"/>
            </w:tcBorders>
            <w:vAlign w:val="center"/>
          </w:tcPr>
          <w:p w:rsidR="00525419" w:rsidRDefault="00EE1CF7">
            <w:pPr>
              <w:adjustRightInd w:val="0"/>
              <w:snapToGrid w:val="0"/>
              <w:jc w:val="center"/>
              <w:rPr>
                <w:rFonts w:ascii="Times New Roman" w:eastAsia="Times New Roman" w:hAnsi="Times New Roman"/>
                <w:sz w:val="20"/>
                <w:szCs w:val="21"/>
              </w:rPr>
            </w:pPr>
            <w:r>
              <w:rPr>
                <w:rFonts w:ascii="Times New Roman" w:eastAsia="Times New Roman" w:hAnsi="Times New Roman"/>
                <w:sz w:val="20"/>
                <w:szCs w:val="21"/>
              </w:rPr>
              <w:t>0.06</w:t>
            </w:r>
          </w:p>
        </w:tc>
        <w:tc>
          <w:tcPr>
            <w:tcW w:w="1063" w:type="dxa"/>
            <w:tcBorders>
              <w:tl2br w:val="nil"/>
              <w:tr2bl w:val="nil"/>
            </w:tcBorders>
            <w:vAlign w:val="center"/>
          </w:tcPr>
          <w:p w:rsidR="00525419" w:rsidRDefault="00EE1CF7">
            <w:pPr>
              <w:adjustRightInd w:val="0"/>
              <w:snapToGrid w:val="0"/>
              <w:jc w:val="center"/>
              <w:rPr>
                <w:rFonts w:ascii="Times New Roman" w:eastAsia="Times New Roman" w:hAnsi="Times New Roman"/>
                <w:sz w:val="20"/>
                <w:szCs w:val="21"/>
              </w:rPr>
            </w:pPr>
            <w:r>
              <w:rPr>
                <w:rFonts w:ascii="Times New Roman" w:eastAsia="Times New Roman" w:hAnsi="Times New Roman"/>
                <w:sz w:val="20"/>
                <w:szCs w:val="21"/>
              </w:rPr>
              <w:t>0.2</w:t>
            </w:r>
          </w:p>
        </w:tc>
        <w:tc>
          <w:tcPr>
            <w:tcW w:w="1063" w:type="dxa"/>
            <w:tcBorders>
              <w:tl2br w:val="nil"/>
              <w:tr2bl w:val="nil"/>
            </w:tcBorders>
            <w:vAlign w:val="center"/>
          </w:tcPr>
          <w:p w:rsidR="00525419" w:rsidRDefault="00EE1CF7">
            <w:pPr>
              <w:adjustRightInd w:val="0"/>
              <w:snapToGrid w:val="0"/>
              <w:jc w:val="center"/>
              <w:rPr>
                <w:rFonts w:ascii="Times New Roman" w:eastAsia="Times New Roman" w:hAnsi="Times New Roman"/>
                <w:sz w:val="20"/>
                <w:szCs w:val="21"/>
              </w:rPr>
            </w:pPr>
            <w:r>
              <w:rPr>
                <w:rFonts w:ascii="Times New Roman" w:eastAsia="Times New Roman" w:hAnsi="Times New Roman"/>
                <w:sz w:val="20"/>
                <w:szCs w:val="21"/>
              </w:rPr>
              <w:t>0.7</w:t>
            </w:r>
          </w:p>
        </w:tc>
        <w:tc>
          <w:tcPr>
            <w:tcW w:w="1063" w:type="dxa"/>
            <w:tcBorders>
              <w:tl2br w:val="nil"/>
              <w:tr2bl w:val="nil"/>
            </w:tcBorders>
            <w:vAlign w:val="center"/>
          </w:tcPr>
          <w:p w:rsidR="00525419" w:rsidRDefault="00EE1CF7">
            <w:pPr>
              <w:adjustRightInd w:val="0"/>
              <w:snapToGrid w:val="0"/>
              <w:jc w:val="center"/>
              <w:rPr>
                <w:rFonts w:ascii="Times New Roman" w:eastAsia="Times New Roman" w:hAnsi="Times New Roman"/>
                <w:sz w:val="20"/>
                <w:szCs w:val="21"/>
              </w:rPr>
            </w:pPr>
            <w:r>
              <w:rPr>
                <w:rFonts w:ascii="Times New Roman" w:eastAsia="Times New Roman" w:hAnsi="Times New Roman"/>
                <w:sz w:val="20"/>
                <w:szCs w:val="21"/>
              </w:rPr>
              <w:t>3.0</w:t>
            </w:r>
          </w:p>
        </w:tc>
      </w:tr>
    </w:tbl>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）恶臭污染源及影响分析</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本项目正常情况下，恶臭污染源是污水处理站产生的恶臭，主要污染物是硫化氢和氨，本项目污水处理站预处理单元中溶剂气浮和涡凹气浮装置会散发一定的臭气，通过采取加盖封闭，设置抽气管道，将恶臭气体收集到生物除臭设备处理后通过</w:t>
      </w:r>
      <w:r>
        <w:rPr>
          <w:rFonts w:ascii="Times New Roman" w:hAnsi="Times New Roman"/>
          <w:sz w:val="24"/>
          <w:szCs w:val="24"/>
        </w:rPr>
        <w:t>15m</w:t>
      </w:r>
      <w:r>
        <w:rPr>
          <w:rFonts w:ascii="Times New Roman" w:hAnsi="Times New Roman"/>
          <w:sz w:val="24"/>
          <w:szCs w:val="24"/>
        </w:rPr>
        <w:t>排气筒排放，主要排放量硫化氢为</w:t>
      </w:r>
      <w:r>
        <w:rPr>
          <w:rFonts w:ascii="Times New Roman" w:hAnsi="Times New Roman"/>
          <w:sz w:val="24"/>
          <w:szCs w:val="24"/>
        </w:rPr>
        <w:t>8.8t/a</w:t>
      </w:r>
      <w:r>
        <w:rPr>
          <w:rFonts w:ascii="Times New Roman" w:hAnsi="Times New Roman"/>
          <w:sz w:val="24"/>
          <w:szCs w:val="24"/>
        </w:rPr>
        <w:t>、氨为</w:t>
      </w:r>
      <w:r>
        <w:rPr>
          <w:rFonts w:ascii="Times New Roman" w:hAnsi="Times New Roman"/>
          <w:sz w:val="24"/>
          <w:szCs w:val="24"/>
        </w:rPr>
        <w:t>1.76t/a</w:t>
      </w:r>
      <w:r>
        <w:rPr>
          <w:rFonts w:ascii="Times New Roman" w:hAnsi="Times New Roman"/>
          <w:sz w:val="24"/>
          <w:szCs w:val="24"/>
        </w:rPr>
        <w:t>。</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根据</w:t>
      </w: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S</w:t>
      </w:r>
      <w:r>
        <w:rPr>
          <w:rFonts w:ascii="Times New Roman" w:hAnsi="Times New Roman"/>
          <w:sz w:val="24"/>
          <w:szCs w:val="24"/>
        </w:rPr>
        <w:t>和氨排放源强，通过预测，</w:t>
      </w: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S</w:t>
      </w:r>
      <w:r>
        <w:rPr>
          <w:rFonts w:ascii="Times New Roman" w:hAnsi="Times New Roman"/>
          <w:sz w:val="24"/>
          <w:szCs w:val="24"/>
        </w:rPr>
        <w:t>厂界外最大浓度</w:t>
      </w:r>
      <w:r>
        <w:rPr>
          <w:rFonts w:ascii="Times New Roman" w:hAnsi="Times New Roman"/>
          <w:sz w:val="24"/>
          <w:szCs w:val="24"/>
        </w:rPr>
        <w:t>0.000492mg/m</w:t>
      </w:r>
      <w:r>
        <w:rPr>
          <w:rFonts w:ascii="Times New Roman" w:hAnsi="Times New Roman"/>
          <w:sz w:val="24"/>
          <w:szCs w:val="24"/>
          <w:vertAlign w:val="superscript"/>
        </w:rPr>
        <w:t>3</w:t>
      </w:r>
      <w:r>
        <w:rPr>
          <w:rFonts w:ascii="Times New Roman" w:hAnsi="Times New Roman"/>
          <w:sz w:val="24"/>
          <w:szCs w:val="24"/>
        </w:rPr>
        <w:t>，满足《恶臭污染物排放标准》（</w:t>
      </w:r>
      <w:r>
        <w:rPr>
          <w:rFonts w:ascii="Times New Roman" w:hAnsi="Times New Roman"/>
          <w:sz w:val="24"/>
          <w:szCs w:val="24"/>
        </w:rPr>
        <w:t>GB14554-93</w:t>
      </w:r>
      <w:r>
        <w:rPr>
          <w:rFonts w:ascii="Times New Roman" w:hAnsi="Times New Roman"/>
          <w:sz w:val="24"/>
          <w:szCs w:val="24"/>
        </w:rPr>
        <w:t>）中厂界标准值</w:t>
      </w:r>
      <w:r>
        <w:rPr>
          <w:rFonts w:ascii="Times New Roman" w:hAnsi="Times New Roman"/>
          <w:sz w:val="24"/>
          <w:szCs w:val="24"/>
        </w:rPr>
        <w:t>0.06 mg/m</w:t>
      </w:r>
      <w:r>
        <w:rPr>
          <w:rFonts w:ascii="Times New Roman" w:hAnsi="Times New Roman"/>
          <w:sz w:val="24"/>
          <w:szCs w:val="24"/>
          <w:vertAlign w:val="superscript"/>
        </w:rPr>
        <w:t>3</w:t>
      </w:r>
      <w:r>
        <w:rPr>
          <w:rFonts w:ascii="Times New Roman" w:hAnsi="Times New Roman"/>
          <w:sz w:val="24"/>
          <w:szCs w:val="24"/>
        </w:rPr>
        <w:t>；敏感点火车站镇</w:t>
      </w: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S</w:t>
      </w:r>
      <w:r>
        <w:rPr>
          <w:rFonts w:ascii="Times New Roman" w:hAnsi="Times New Roman"/>
          <w:sz w:val="24"/>
          <w:szCs w:val="24"/>
        </w:rPr>
        <w:t>最大小时浓度为</w:t>
      </w:r>
      <w:r>
        <w:rPr>
          <w:rFonts w:ascii="Times New Roman" w:hAnsi="Times New Roman"/>
          <w:sz w:val="24"/>
          <w:szCs w:val="24"/>
        </w:rPr>
        <w:t>2.34×10</w:t>
      </w:r>
      <w:r>
        <w:rPr>
          <w:rFonts w:ascii="Times New Roman" w:hAnsi="Times New Roman"/>
          <w:sz w:val="24"/>
          <w:szCs w:val="24"/>
          <w:vertAlign w:val="superscript"/>
        </w:rPr>
        <w:t>-4</w:t>
      </w:r>
      <w:r>
        <w:rPr>
          <w:rFonts w:ascii="Times New Roman" w:hAnsi="Times New Roman"/>
          <w:sz w:val="24"/>
          <w:szCs w:val="24"/>
        </w:rPr>
        <w:t>mg/m</w:t>
      </w:r>
      <w:r>
        <w:rPr>
          <w:rFonts w:ascii="Times New Roman" w:hAnsi="Times New Roman"/>
          <w:sz w:val="24"/>
          <w:szCs w:val="24"/>
          <w:vertAlign w:val="superscript"/>
        </w:rPr>
        <w:t>3</w:t>
      </w:r>
      <w:r>
        <w:rPr>
          <w:rFonts w:ascii="Times New Roman" w:hAnsi="Times New Roman"/>
          <w:sz w:val="24"/>
          <w:szCs w:val="24"/>
        </w:rPr>
        <w:t>，满足《环境影响评价技术导则</w:t>
      </w:r>
      <w:r>
        <w:rPr>
          <w:rFonts w:ascii="Times New Roman" w:hAnsi="Times New Roman"/>
          <w:sz w:val="24"/>
          <w:szCs w:val="24"/>
        </w:rPr>
        <w:lastRenderedPageBreak/>
        <w:t>•</w:t>
      </w:r>
      <w:r>
        <w:rPr>
          <w:rFonts w:ascii="Times New Roman" w:hAnsi="Times New Roman"/>
          <w:sz w:val="24"/>
          <w:szCs w:val="24"/>
        </w:rPr>
        <w:t>大气环境》（</w:t>
      </w:r>
      <w:r>
        <w:rPr>
          <w:rFonts w:ascii="Times New Roman" w:hAnsi="Times New Roman"/>
          <w:sz w:val="24"/>
          <w:szCs w:val="24"/>
        </w:rPr>
        <w:t>HJ2.2-2018</w:t>
      </w:r>
      <w:r>
        <w:rPr>
          <w:rFonts w:ascii="Times New Roman" w:hAnsi="Times New Roman"/>
          <w:sz w:val="24"/>
          <w:szCs w:val="24"/>
        </w:rPr>
        <w:t>）中附录</w:t>
      </w:r>
      <w:r>
        <w:rPr>
          <w:rFonts w:ascii="Times New Roman" w:hAnsi="Times New Roman"/>
          <w:sz w:val="24"/>
          <w:szCs w:val="24"/>
        </w:rPr>
        <w:t>D</w:t>
      </w:r>
      <w:r>
        <w:rPr>
          <w:rFonts w:ascii="Times New Roman" w:hAnsi="Times New Roman"/>
          <w:sz w:val="24"/>
          <w:szCs w:val="24"/>
        </w:rPr>
        <w:t>中其他污染物空气质量浓度</w:t>
      </w:r>
      <w:r>
        <w:rPr>
          <w:rFonts w:ascii="Times New Roman" w:hAnsi="Times New Roman"/>
          <w:sz w:val="24"/>
          <w:szCs w:val="24"/>
        </w:rPr>
        <w:t>0.01 mg/m</w:t>
      </w:r>
      <w:r>
        <w:rPr>
          <w:rFonts w:ascii="Times New Roman" w:hAnsi="Times New Roman"/>
          <w:sz w:val="24"/>
          <w:szCs w:val="24"/>
          <w:vertAlign w:val="superscript"/>
        </w:rPr>
        <w:t>3</w:t>
      </w:r>
      <w:r>
        <w:rPr>
          <w:rFonts w:ascii="Times New Roman" w:hAnsi="Times New Roman"/>
          <w:sz w:val="24"/>
          <w:szCs w:val="24"/>
        </w:rPr>
        <w:t>限值；通过预测，氨厂界外最大浓度</w:t>
      </w:r>
      <w:r>
        <w:rPr>
          <w:rFonts w:ascii="Times New Roman" w:hAnsi="Times New Roman"/>
          <w:sz w:val="24"/>
          <w:szCs w:val="24"/>
        </w:rPr>
        <w:t>0.000098mg/m</w:t>
      </w:r>
      <w:r>
        <w:rPr>
          <w:rFonts w:ascii="Times New Roman" w:hAnsi="Times New Roman"/>
          <w:sz w:val="24"/>
          <w:szCs w:val="24"/>
          <w:vertAlign w:val="superscript"/>
        </w:rPr>
        <w:t>3</w:t>
      </w:r>
      <w:r>
        <w:rPr>
          <w:rFonts w:ascii="Times New Roman" w:hAnsi="Times New Roman"/>
          <w:sz w:val="24"/>
          <w:szCs w:val="24"/>
        </w:rPr>
        <w:t>，满足《恶臭污染物排放标准》（</w:t>
      </w:r>
      <w:r>
        <w:rPr>
          <w:rFonts w:ascii="Times New Roman" w:hAnsi="Times New Roman"/>
          <w:sz w:val="24"/>
          <w:szCs w:val="24"/>
        </w:rPr>
        <w:t>GB14554-93</w:t>
      </w:r>
      <w:r>
        <w:rPr>
          <w:rFonts w:ascii="Times New Roman" w:hAnsi="Times New Roman"/>
          <w:sz w:val="24"/>
          <w:szCs w:val="24"/>
        </w:rPr>
        <w:t>）中厂界标准值</w:t>
      </w:r>
      <w:r>
        <w:rPr>
          <w:rFonts w:ascii="Times New Roman" w:hAnsi="Times New Roman"/>
          <w:sz w:val="24"/>
          <w:szCs w:val="24"/>
        </w:rPr>
        <w:t>1.5 mg/m</w:t>
      </w:r>
      <w:r>
        <w:rPr>
          <w:rFonts w:ascii="Times New Roman" w:hAnsi="Times New Roman"/>
          <w:sz w:val="24"/>
          <w:szCs w:val="24"/>
          <w:vertAlign w:val="superscript"/>
        </w:rPr>
        <w:t>3</w:t>
      </w:r>
      <w:r>
        <w:rPr>
          <w:rFonts w:ascii="Times New Roman" w:hAnsi="Times New Roman"/>
          <w:sz w:val="24"/>
          <w:szCs w:val="24"/>
        </w:rPr>
        <w:t>；敏感点火车站镇氨最大小时浓度为</w:t>
      </w:r>
      <w:r>
        <w:rPr>
          <w:rFonts w:ascii="Times New Roman" w:hAnsi="Times New Roman"/>
          <w:sz w:val="24"/>
          <w:szCs w:val="24"/>
        </w:rPr>
        <w:t>4.7×10</w:t>
      </w:r>
      <w:r>
        <w:rPr>
          <w:rFonts w:ascii="Times New Roman" w:hAnsi="Times New Roman"/>
          <w:sz w:val="24"/>
          <w:szCs w:val="24"/>
          <w:vertAlign w:val="superscript"/>
        </w:rPr>
        <w:t>-5</w:t>
      </w:r>
      <w:r>
        <w:rPr>
          <w:rFonts w:ascii="Times New Roman" w:hAnsi="Times New Roman"/>
          <w:sz w:val="24"/>
          <w:szCs w:val="24"/>
        </w:rPr>
        <w:t>mg/m</w:t>
      </w:r>
      <w:r>
        <w:rPr>
          <w:rFonts w:ascii="Times New Roman" w:hAnsi="Times New Roman"/>
          <w:sz w:val="24"/>
          <w:szCs w:val="24"/>
          <w:vertAlign w:val="superscript"/>
        </w:rPr>
        <w:t>3</w:t>
      </w:r>
      <w:r>
        <w:rPr>
          <w:rFonts w:ascii="Times New Roman" w:hAnsi="Times New Roman"/>
          <w:sz w:val="24"/>
          <w:szCs w:val="24"/>
        </w:rPr>
        <w:t>，满足《环境影响评价技术导则</w:t>
      </w:r>
      <w:r>
        <w:rPr>
          <w:rFonts w:ascii="Times New Roman" w:hAnsi="Times New Roman"/>
          <w:sz w:val="24"/>
          <w:szCs w:val="24"/>
        </w:rPr>
        <w:t>•</w:t>
      </w:r>
      <w:r>
        <w:rPr>
          <w:rFonts w:ascii="Times New Roman" w:hAnsi="Times New Roman"/>
          <w:sz w:val="24"/>
          <w:szCs w:val="24"/>
        </w:rPr>
        <w:t>大气环境》（</w:t>
      </w:r>
      <w:r>
        <w:rPr>
          <w:rFonts w:ascii="Times New Roman" w:hAnsi="Times New Roman"/>
          <w:sz w:val="24"/>
          <w:szCs w:val="24"/>
        </w:rPr>
        <w:t>HJ2.2-2018</w:t>
      </w:r>
      <w:r>
        <w:rPr>
          <w:rFonts w:ascii="Times New Roman" w:hAnsi="Times New Roman"/>
          <w:sz w:val="24"/>
          <w:szCs w:val="24"/>
        </w:rPr>
        <w:t>）中附录</w:t>
      </w:r>
      <w:r>
        <w:rPr>
          <w:rFonts w:ascii="Times New Roman" w:hAnsi="Times New Roman"/>
          <w:sz w:val="24"/>
          <w:szCs w:val="24"/>
        </w:rPr>
        <w:t>D</w:t>
      </w:r>
      <w:r>
        <w:rPr>
          <w:rFonts w:ascii="Times New Roman" w:hAnsi="Times New Roman"/>
          <w:sz w:val="24"/>
          <w:szCs w:val="24"/>
        </w:rPr>
        <w:t>中其他污染物空气质量浓度</w:t>
      </w:r>
      <w:r>
        <w:rPr>
          <w:rFonts w:ascii="Times New Roman" w:hAnsi="Times New Roman"/>
          <w:sz w:val="24"/>
          <w:szCs w:val="24"/>
        </w:rPr>
        <w:t>0.2mg/m</w:t>
      </w:r>
      <w:r>
        <w:rPr>
          <w:rFonts w:ascii="Times New Roman" w:hAnsi="Times New Roman"/>
          <w:sz w:val="24"/>
          <w:szCs w:val="24"/>
          <w:vertAlign w:val="superscript"/>
        </w:rPr>
        <w:t>3</w:t>
      </w:r>
      <w:r>
        <w:rPr>
          <w:rFonts w:ascii="Times New Roman" w:hAnsi="Times New Roman"/>
          <w:sz w:val="24"/>
          <w:szCs w:val="24"/>
        </w:rPr>
        <w:t>限值，因此恶臭污染源对环境影响不大。</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叠加背景值后本项目厂界硫化氢最大浓度</w:t>
      </w:r>
      <w:r>
        <w:rPr>
          <w:rFonts w:ascii="Times New Roman" w:hAnsi="Times New Roman"/>
          <w:sz w:val="24"/>
          <w:szCs w:val="24"/>
        </w:rPr>
        <w:t>0.009492mg/m</w:t>
      </w:r>
      <w:r>
        <w:rPr>
          <w:rFonts w:ascii="Times New Roman" w:hAnsi="Times New Roman"/>
          <w:sz w:val="24"/>
          <w:szCs w:val="24"/>
          <w:vertAlign w:val="superscript"/>
        </w:rPr>
        <w:t>3</w:t>
      </w:r>
      <w:r>
        <w:rPr>
          <w:rFonts w:ascii="Times New Roman" w:hAnsi="Times New Roman"/>
          <w:sz w:val="24"/>
          <w:szCs w:val="24"/>
        </w:rPr>
        <w:t>，低于硫化氢的嗅阈值</w:t>
      </w:r>
      <w:r>
        <w:rPr>
          <w:rFonts w:ascii="Times New Roman" w:hAnsi="Times New Roman"/>
          <w:sz w:val="24"/>
          <w:szCs w:val="24"/>
        </w:rPr>
        <w:t>0.0076mg/m</w:t>
      </w:r>
      <w:r>
        <w:rPr>
          <w:rFonts w:ascii="Times New Roman" w:hAnsi="Times New Roman"/>
          <w:sz w:val="24"/>
          <w:szCs w:val="24"/>
          <w:vertAlign w:val="superscript"/>
        </w:rPr>
        <w:t>3</w:t>
      </w:r>
      <w:r>
        <w:rPr>
          <w:rFonts w:ascii="Times New Roman" w:hAnsi="Times New Roman"/>
          <w:sz w:val="24"/>
          <w:szCs w:val="24"/>
        </w:rPr>
        <w:t>；叠加背景值后本项目厂界氨最大浓度</w:t>
      </w:r>
      <w:r>
        <w:rPr>
          <w:rFonts w:ascii="Times New Roman" w:hAnsi="Times New Roman"/>
          <w:sz w:val="24"/>
          <w:szCs w:val="24"/>
        </w:rPr>
        <w:t>0.010098mg/m</w:t>
      </w:r>
      <w:r>
        <w:rPr>
          <w:rFonts w:ascii="Times New Roman" w:hAnsi="Times New Roman"/>
          <w:sz w:val="24"/>
          <w:szCs w:val="24"/>
          <w:vertAlign w:val="superscript"/>
        </w:rPr>
        <w:t>3</w:t>
      </w:r>
      <w:r>
        <w:rPr>
          <w:rFonts w:ascii="Times New Roman" w:hAnsi="Times New Roman"/>
          <w:sz w:val="24"/>
          <w:szCs w:val="24"/>
        </w:rPr>
        <w:t>，低于氨的嗅阈值</w:t>
      </w:r>
      <w:r>
        <w:rPr>
          <w:rFonts w:ascii="Times New Roman" w:hAnsi="Times New Roman"/>
          <w:sz w:val="24"/>
          <w:szCs w:val="24"/>
        </w:rPr>
        <w:t>0.028mg/m</w:t>
      </w:r>
      <w:r>
        <w:rPr>
          <w:rFonts w:ascii="Times New Roman" w:hAnsi="Times New Roman"/>
          <w:sz w:val="24"/>
          <w:szCs w:val="24"/>
          <w:vertAlign w:val="superscript"/>
        </w:rPr>
        <w:t>3</w:t>
      </w:r>
      <w:r>
        <w:rPr>
          <w:rFonts w:ascii="Times New Roman" w:hAnsi="Times New Roman"/>
          <w:sz w:val="24"/>
          <w:szCs w:val="24"/>
        </w:rPr>
        <w:t>，并且距离本项目的最近的敏感点为</w:t>
      </w:r>
      <w:r>
        <w:rPr>
          <w:rFonts w:ascii="Times New Roman" w:hAnsi="Times New Roman" w:hint="eastAsia"/>
          <w:sz w:val="24"/>
          <w:szCs w:val="24"/>
        </w:rPr>
        <w:t>2.5</w:t>
      </w:r>
      <w:r>
        <w:rPr>
          <w:rFonts w:ascii="Times New Roman" w:hAnsi="Times New Roman"/>
          <w:sz w:val="24"/>
          <w:szCs w:val="24"/>
        </w:rPr>
        <w:t>km</w:t>
      </w:r>
      <w:r>
        <w:rPr>
          <w:rFonts w:ascii="Times New Roman" w:hAnsi="Times New Roman"/>
          <w:sz w:val="24"/>
          <w:szCs w:val="24"/>
        </w:rPr>
        <w:t>外的</w:t>
      </w:r>
      <w:r>
        <w:rPr>
          <w:rFonts w:ascii="Times New Roman" w:hAnsi="Times New Roman" w:hint="eastAsia"/>
          <w:sz w:val="24"/>
          <w:szCs w:val="24"/>
        </w:rPr>
        <w:t>鄯善火车站镇</w:t>
      </w:r>
      <w:r>
        <w:rPr>
          <w:rFonts w:ascii="Times New Roman" w:hAnsi="Times New Roman"/>
          <w:sz w:val="24"/>
          <w:szCs w:val="24"/>
        </w:rPr>
        <w:t>，对其影响甚微。同时从预测结果可知，厂界外浓度已经小于</w:t>
      </w:r>
      <w:r>
        <w:rPr>
          <w:rFonts w:ascii="Times New Roman" w:hAnsi="Times New Roman"/>
          <w:sz w:val="24"/>
          <w:szCs w:val="24"/>
        </w:rPr>
        <w:t>0.010098mg/m</w:t>
      </w:r>
      <w:r>
        <w:rPr>
          <w:rFonts w:ascii="Times New Roman" w:hAnsi="Times New Roman"/>
          <w:sz w:val="24"/>
          <w:szCs w:val="24"/>
          <w:vertAlign w:val="superscript"/>
        </w:rPr>
        <w:t>3</w:t>
      </w:r>
      <w:r>
        <w:rPr>
          <w:rFonts w:ascii="Times New Roman" w:hAnsi="Times New Roman"/>
          <w:sz w:val="24"/>
          <w:szCs w:val="24"/>
        </w:rPr>
        <w:t>，对照表</w:t>
      </w:r>
      <w:r>
        <w:rPr>
          <w:rFonts w:ascii="Times New Roman" w:hAnsi="Times New Roman"/>
          <w:sz w:val="24"/>
          <w:szCs w:val="24"/>
        </w:rPr>
        <w:t>5.1-20</w:t>
      </w:r>
      <w:r>
        <w:rPr>
          <w:rFonts w:ascii="Times New Roman" w:hAnsi="Times New Roman"/>
          <w:sz w:val="24"/>
          <w:szCs w:val="24"/>
        </w:rPr>
        <w:t>数据，本项目的恶臭在厂界外已经感受不到，本项目正常运行时恶臭对周围环境影响较小。</w:t>
      </w:r>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5.1.4</w:t>
      </w:r>
      <w:r>
        <w:rPr>
          <w:rFonts w:ascii="Times New Roman" w:eastAsia="华文楷体" w:hAnsi="Times New Roman"/>
        </w:rPr>
        <w:t>大气环境防护距离</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本项目无组织排放废气主要是由原料和产品在装卸过程中的逸散和生产工艺设备逸散的烃类。根据大气导则要求，采用《环境影响评价技术导则</w:t>
      </w:r>
      <w:r>
        <w:rPr>
          <w:rFonts w:ascii="Times New Roman" w:hAnsi="Times New Roman"/>
          <w:sz w:val="24"/>
        </w:rPr>
        <w:t>·</w:t>
      </w:r>
      <w:r>
        <w:rPr>
          <w:rFonts w:ascii="Times New Roman" w:hAnsi="Times New Roman"/>
          <w:sz w:val="24"/>
        </w:rPr>
        <w:t>大气环境》（</w:t>
      </w:r>
      <w:r>
        <w:rPr>
          <w:rFonts w:ascii="Times New Roman" w:hAnsi="Times New Roman"/>
          <w:sz w:val="24"/>
        </w:rPr>
        <w:t>HJ2.2-2018</w:t>
      </w:r>
      <w:r>
        <w:rPr>
          <w:rFonts w:ascii="Times New Roman" w:hAnsi="Times New Roman"/>
          <w:sz w:val="24"/>
        </w:rPr>
        <w:t>）推荐模式中的大气环境防护距离模式计算各无组织源的大气环境防护距离经计算无超标点，因此不设大气环境防护距离。</w:t>
      </w:r>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5.1.5</w:t>
      </w:r>
      <w:r>
        <w:rPr>
          <w:rFonts w:ascii="Times New Roman" w:eastAsia="华文楷体" w:hAnsi="Times New Roman"/>
        </w:rPr>
        <w:t>大气环境影响评价自查表</w:t>
      </w:r>
    </w:p>
    <w:p w:rsidR="00525419" w:rsidRDefault="00EE1CF7">
      <w:pPr>
        <w:widowControl/>
        <w:spacing w:line="360" w:lineRule="auto"/>
        <w:ind w:firstLineChars="200" w:firstLine="480"/>
        <w:jc w:val="left"/>
        <w:rPr>
          <w:rFonts w:ascii="Times New Roman" w:hAnsi="Times New Roman"/>
          <w:kern w:val="0"/>
          <w:sz w:val="24"/>
        </w:rPr>
      </w:pPr>
      <w:r>
        <w:rPr>
          <w:rFonts w:ascii="Times New Roman" w:hAnsi="Times New Roman"/>
          <w:kern w:val="0"/>
          <w:sz w:val="24"/>
        </w:rPr>
        <w:t>建设项目大气环境影响评价自查表见表</w:t>
      </w:r>
      <w:r>
        <w:rPr>
          <w:rFonts w:ascii="Times New Roman" w:hAnsi="Times New Roman"/>
          <w:kern w:val="0"/>
          <w:sz w:val="24"/>
        </w:rPr>
        <w:t>5.1-19</w:t>
      </w:r>
      <w:r>
        <w:rPr>
          <w:rFonts w:ascii="Times New Roman" w:hAnsi="Times New Roman"/>
          <w:kern w:val="0"/>
          <w:sz w:val="24"/>
        </w:rPr>
        <w:t>。</w:t>
      </w:r>
    </w:p>
    <w:p w:rsidR="00525419" w:rsidRDefault="00EE1CF7">
      <w:pPr>
        <w:spacing w:line="360" w:lineRule="exact"/>
        <w:ind w:firstLineChars="900" w:firstLine="1890"/>
        <w:rPr>
          <w:rFonts w:ascii="Times New Roman" w:eastAsia="黑体" w:hAnsi="Times New Roman"/>
        </w:rPr>
      </w:pPr>
      <w:r>
        <w:rPr>
          <w:rFonts w:ascii="Times New Roman" w:eastAsia="黑体" w:hAnsi="Times New Roman"/>
        </w:rPr>
        <w:t>表</w:t>
      </w:r>
      <w:r>
        <w:rPr>
          <w:rFonts w:ascii="Times New Roman" w:eastAsia="黑体" w:hAnsi="Times New Roman"/>
        </w:rPr>
        <w:t xml:space="preserve">5.1-19  </w:t>
      </w:r>
      <w:r>
        <w:rPr>
          <w:rFonts w:ascii="Times New Roman" w:eastAsia="黑体" w:hAnsi="Times New Roman"/>
        </w:rPr>
        <w:t>建设项目大气环境影响评价自查表</w:t>
      </w:r>
    </w:p>
    <w:tbl>
      <w:tblPr>
        <w:tblW w:w="83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71"/>
        <w:gridCol w:w="1455"/>
        <w:gridCol w:w="776"/>
        <w:gridCol w:w="145"/>
        <w:gridCol w:w="347"/>
        <w:gridCol w:w="67"/>
        <w:gridCol w:w="10"/>
        <w:gridCol w:w="193"/>
        <w:gridCol w:w="204"/>
        <w:gridCol w:w="129"/>
        <w:gridCol w:w="634"/>
        <w:gridCol w:w="292"/>
        <w:gridCol w:w="189"/>
        <w:gridCol w:w="83"/>
        <w:gridCol w:w="15"/>
        <w:gridCol w:w="558"/>
        <w:gridCol w:w="241"/>
        <w:gridCol w:w="126"/>
        <w:gridCol w:w="232"/>
        <w:gridCol w:w="341"/>
        <w:gridCol w:w="186"/>
        <w:gridCol w:w="174"/>
        <w:gridCol w:w="351"/>
        <w:gridCol w:w="394"/>
        <w:gridCol w:w="515"/>
      </w:tblGrid>
      <w:tr w:rsidR="00525419">
        <w:trPr>
          <w:trHeight w:val="397"/>
          <w:jc w:val="center"/>
        </w:trPr>
        <w:tc>
          <w:tcPr>
            <w:tcW w:w="2126" w:type="dxa"/>
            <w:gridSpan w:val="2"/>
            <w:vAlign w:val="center"/>
          </w:tcPr>
          <w:p w:rsidR="00525419" w:rsidRDefault="00EE1CF7">
            <w:pPr>
              <w:pStyle w:val="B2"/>
              <w:rPr>
                <w:rFonts w:cs="Times New Roman"/>
              </w:rPr>
            </w:pPr>
            <w:r>
              <w:rPr>
                <w:rFonts w:cs="Times New Roman"/>
              </w:rPr>
              <w:t>工作内容</w:t>
            </w:r>
          </w:p>
        </w:tc>
        <w:tc>
          <w:tcPr>
            <w:tcW w:w="6202" w:type="dxa"/>
            <w:gridSpan w:val="23"/>
            <w:vAlign w:val="center"/>
          </w:tcPr>
          <w:p w:rsidR="00525419" w:rsidRDefault="00EE1CF7">
            <w:pPr>
              <w:pStyle w:val="B2"/>
              <w:rPr>
                <w:rFonts w:cs="Times New Roman"/>
              </w:rPr>
            </w:pPr>
            <w:r>
              <w:rPr>
                <w:rFonts w:cs="Times New Roman"/>
              </w:rPr>
              <w:t>自查项目</w:t>
            </w:r>
          </w:p>
        </w:tc>
      </w:tr>
      <w:tr w:rsidR="00525419">
        <w:trPr>
          <w:trHeight w:val="397"/>
          <w:jc w:val="center"/>
        </w:trPr>
        <w:tc>
          <w:tcPr>
            <w:tcW w:w="671" w:type="dxa"/>
            <w:vMerge w:val="restart"/>
            <w:vAlign w:val="center"/>
          </w:tcPr>
          <w:p w:rsidR="00525419" w:rsidRDefault="00EE1CF7">
            <w:pPr>
              <w:pStyle w:val="B2"/>
              <w:rPr>
                <w:rFonts w:cs="Times New Roman"/>
              </w:rPr>
            </w:pPr>
            <w:r>
              <w:rPr>
                <w:rFonts w:cs="Times New Roman"/>
              </w:rPr>
              <w:t>评价等级与范围</w:t>
            </w:r>
          </w:p>
        </w:tc>
        <w:tc>
          <w:tcPr>
            <w:tcW w:w="1455" w:type="dxa"/>
            <w:vAlign w:val="center"/>
          </w:tcPr>
          <w:p w:rsidR="00525419" w:rsidRDefault="00EE1CF7">
            <w:pPr>
              <w:pStyle w:val="B2"/>
              <w:rPr>
                <w:rFonts w:cs="Times New Roman"/>
              </w:rPr>
            </w:pPr>
            <w:r>
              <w:rPr>
                <w:rFonts w:cs="Times New Roman"/>
              </w:rPr>
              <w:t>评价等级</w:t>
            </w:r>
          </w:p>
        </w:tc>
        <w:tc>
          <w:tcPr>
            <w:tcW w:w="1871" w:type="dxa"/>
            <w:gridSpan w:val="8"/>
            <w:vAlign w:val="center"/>
          </w:tcPr>
          <w:p w:rsidR="00525419" w:rsidRDefault="00EE1CF7">
            <w:pPr>
              <w:pStyle w:val="B2"/>
              <w:rPr>
                <w:rFonts w:cs="Times New Roman"/>
              </w:rPr>
            </w:pPr>
            <w:r>
              <w:rPr>
                <w:rFonts w:cs="Times New Roman"/>
              </w:rPr>
              <w:t>一级</w:t>
            </w:r>
            <w:r>
              <w:rPr>
                <w:rFonts w:cs="Times New Roman"/>
              </w:rPr>
              <w:sym w:font="Wingdings 2" w:char="0052"/>
            </w:r>
          </w:p>
        </w:tc>
        <w:tc>
          <w:tcPr>
            <w:tcW w:w="2370" w:type="dxa"/>
            <w:gridSpan w:val="9"/>
            <w:vAlign w:val="center"/>
          </w:tcPr>
          <w:p w:rsidR="00525419" w:rsidRDefault="00EE1CF7">
            <w:pPr>
              <w:pStyle w:val="B2"/>
              <w:rPr>
                <w:rFonts w:cs="Times New Roman"/>
              </w:rPr>
            </w:pPr>
            <w:r>
              <w:rPr>
                <w:rFonts w:cs="Times New Roman"/>
              </w:rPr>
              <w:t>二级</w:t>
            </w:r>
            <w:r>
              <w:rPr>
                <w:rFonts w:cs="Times New Roman"/>
              </w:rPr>
              <w:sym w:font="Wingdings 2" w:char="00A3"/>
            </w:r>
          </w:p>
        </w:tc>
        <w:tc>
          <w:tcPr>
            <w:tcW w:w="1961" w:type="dxa"/>
            <w:gridSpan w:val="6"/>
            <w:vAlign w:val="center"/>
          </w:tcPr>
          <w:p w:rsidR="00525419" w:rsidRDefault="00EE1CF7">
            <w:pPr>
              <w:pStyle w:val="B2"/>
              <w:rPr>
                <w:rFonts w:cs="Times New Roman"/>
              </w:rPr>
            </w:pPr>
            <w:r>
              <w:rPr>
                <w:rFonts w:cs="Times New Roman"/>
              </w:rPr>
              <w:t>三级</w:t>
            </w:r>
            <w:r>
              <w:rPr>
                <w:rFonts w:cs="Times New Roman"/>
              </w:rPr>
              <w:sym w:font="Wingdings 2" w:char="00A3"/>
            </w:r>
          </w:p>
        </w:tc>
      </w:tr>
      <w:tr w:rsidR="00525419">
        <w:trPr>
          <w:trHeight w:val="397"/>
          <w:jc w:val="center"/>
        </w:trPr>
        <w:tc>
          <w:tcPr>
            <w:tcW w:w="671" w:type="dxa"/>
            <w:vMerge/>
            <w:vAlign w:val="center"/>
          </w:tcPr>
          <w:p w:rsidR="00525419" w:rsidRDefault="00525419">
            <w:pPr>
              <w:pStyle w:val="B2"/>
              <w:rPr>
                <w:rFonts w:cs="Times New Roman"/>
              </w:rPr>
            </w:pPr>
          </w:p>
        </w:tc>
        <w:tc>
          <w:tcPr>
            <w:tcW w:w="1455" w:type="dxa"/>
            <w:vAlign w:val="center"/>
          </w:tcPr>
          <w:p w:rsidR="00525419" w:rsidRDefault="00EE1CF7">
            <w:pPr>
              <w:pStyle w:val="B2"/>
              <w:rPr>
                <w:rFonts w:cs="Times New Roman"/>
              </w:rPr>
            </w:pPr>
            <w:r>
              <w:rPr>
                <w:rFonts w:cs="Times New Roman"/>
              </w:rPr>
              <w:t>评价范围</w:t>
            </w:r>
          </w:p>
        </w:tc>
        <w:tc>
          <w:tcPr>
            <w:tcW w:w="1871" w:type="dxa"/>
            <w:gridSpan w:val="8"/>
            <w:vAlign w:val="center"/>
          </w:tcPr>
          <w:p w:rsidR="00525419" w:rsidRDefault="00EE1CF7">
            <w:pPr>
              <w:pStyle w:val="B2"/>
              <w:rPr>
                <w:rFonts w:cs="Times New Roman"/>
              </w:rPr>
            </w:pPr>
            <w:r>
              <w:rPr>
                <w:rFonts w:cs="Times New Roman"/>
              </w:rPr>
              <w:t>边长</w:t>
            </w:r>
            <w:r>
              <w:rPr>
                <w:rFonts w:cs="Times New Roman"/>
              </w:rPr>
              <w:t>=50km</w:t>
            </w:r>
            <w:r>
              <w:rPr>
                <w:rFonts w:cs="Times New Roman"/>
              </w:rPr>
              <w:sym w:font="Wingdings 2" w:char="00A3"/>
            </w:r>
          </w:p>
        </w:tc>
        <w:tc>
          <w:tcPr>
            <w:tcW w:w="2370" w:type="dxa"/>
            <w:gridSpan w:val="9"/>
            <w:vAlign w:val="center"/>
          </w:tcPr>
          <w:p w:rsidR="00525419" w:rsidRDefault="00EE1CF7">
            <w:pPr>
              <w:pStyle w:val="B2"/>
              <w:rPr>
                <w:rFonts w:cs="Times New Roman"/>
              </w:rPr>
            </w:pPr>
            <w:r>
              <w:rPr>
                <w:rFonts w:cs="Times New Roman"/>
              </w:rPr>
              <w:t>边长</w:t>
            </w:r>
            <w:r>
              <w:rPr>
                <w:rFonts w:cs="Times New Roman"/>
              </w:rPr>
              <w:t>5~50km</w:t>
            </w:r>
            <w:r>
              <w:rPr>
                <w:rFonts w:cs="Times New Roman"/>
              </w:rPr>
              <w:sym w:font="Wingdings 2" w:char="0052"/>
            </w:r>
          </w:p>
        </w:tc>
        <w:tc>
          <w:tcPr>
            <w:tcW w:w="1961" w:type="dxa"/>
            <w:gridSpan w:val="6"/>
            <w:vAlign w:val="center"/>
          </w:tcPr>
          <w:p w:rsidR="00525419" w:rsidRDefault="00EE1CF7">
            <w:pPr>
              <w:pStyle w:val="B2"/>
              <w:rPr>
                <w:rFonts w:cs="Times New Roman"/>
              </w:rPr>
            </w:pPr>
            <w:r>
              <w:rPr>
                <w:rFonts w:cs="Times New Roman"/>
              </w:rPr>
              <w:t>边长</w:t>
            </w:r>
            <w:r>
              <w:rPr>
                <w:rFonts w:cs="Times New Roman"/>
              </w:rPr>
              <w:t>=5km</w:t>
            </w:r>
            <w:r>
              <w:rPr>
                <w:rFonts w:cs="Times New Roman"/>
              </w:rPr>
              <w:sym w:font="Wingdings 2" w:char="00A3"/>
            </w:r>
          </w:p>
        </w:tc>
      </w:tr>
      <w:tr w:rsidR="00525419">
        <w:trPr>
          <w:trHeight w:val="397"/>
          <w:jc w:val="center"/>
        </w:trPr>
        <w:tc>
          <w:tcPr>
            <w:tcW w:w="671" w:type="dxa"/>
            <w:vMerge w:val="restart"/>
            <w:vAlign w:val="center"/>
          </w:tcPr>
          <w:p w:rsidR="00525419" w:rsidRDefault="00EE1CF7">
            <w:pPr>
              <w:pStyle w:val="B2"/>
              <w:rPr>
                <w:rFonts w:cs="Times New Roman"/>
              </w:rPr>
            </w:pPr>
            <w:r>
              <w:rPr>
                <w:rFonts w:cs="Times New Roman"/>
              </w:rPr>
              <w:t>评价</w:t>
            </w:r>
          </w:p>
          <w:p w:rsidR="00525419" w:rsidRDefault="00EE1CF7">
            <w:pPr>
              <w:pStyle w:val="B2"/>
              <w:rPr>
                <w:rFonts w:cs="Times New Roman"/>
              </w:rPr>
            </w:pPr>
            <w:r>
              <w:rPr>
                <w:rFonts w:cs="Times New Roman"/>
              </w:rPr>
              <w:t>因子</w:t>
            </w:r>
          </w:p>
        </w:tc>
        <w:tc>
          <w:tcPr>
            <w:tcW w:w="1455" w:type="dxa"/>
            <w:vAlign w:val="center"/>
          </w:tcPr>
          <w:p w:rsidR="00525419" w:rsidRDefault="00EE1CF7">
            <w:pPr>
              <w:pStyle w:val="B2"/>
              <w:rPr>
                <w:rFonts w:cs="Times New Roman"/>
              </w:rPr>
            </w:pPr>
            <w:r>
              <w:rPr>
                <w:rFonts w:cs="Times New Roman"/>
              </w:rPr>
              <w:t>SO</w:t>
            </w:r>
            <w:r>
              <w:rPr>
                <w:rFonts w:cs="Times New Roman"/>
                <w:vertAlign w:val="subscript"/>
              </w:rPr>
              <w:t>2</w:t>
            </w:r>
            <w:r>
              <w:rPr>
                <w:rFonts w:cs="Times New Roman"/>
              </w:rPr>
              <w:t>+NO</w:t>
            </w:r>
            <w:r>
              <w:rPr>
                <w:rFonts w:cs="Times New Roman"/>
                <w:vertAlign w:val="subscript"/>
              </w:rPr>
              <w:t>2</w:t>
            </w:r>
            <w:r>
              <w:rPr>
                <w:rFonts w:cs="Times New Roman"/>
              </w:rPr>
              <w:t>排放量</w:t>
            </w:r>
          </w:p>
        </w:tc>
        <w:tc>
          <w:tcPr>
            <w:tcW w:w="1871" w:type="dxa"/>
            <w:gridSpan w:val="8"/>
            <w:vAlign w:val="center"/>
          </w:tcPr>
          <w:p w:rsidR="00525419" w:rsidRDefault="00EE1CF7">
            <w:pPr>
              <w:pStyle w:val="B2"/>
              <w:rPr>
                <w:rFonts w:cs="Times New Roman"/>
              </w:rPr>
            </w:pPr>
            <w:r>
              <w:rPr>
                <w:rFonts w:cs="Times New Roman"/>
              </w:rPr>
              <w:t>≥2000t/a</w:t>
            </w:r>
            <w:r>
              <w:rPr>
                <w:rFonts w:cs="Times New Roman"/>
              </w:rPr>
              <w:sym w:font="Wingdings 2" w:char="00A3"/>
            </w:r>
          </w:p>
        </w:tc>
        <w:tc>
          <w:tcPr>
            <w:tcW w:w="2370" w:type="dxa"/>
            <w:gridSpan w:val="9"/>
            <w:vAlign w:val="center"/>
          </w:tcPr>
          <w:p w:rsidR="00525419" w:rsidRDefault="00EE1CF7">
            <w:pPr>
              <w:pStyle w:val="B2"/>
              <w:rPr>
                <w:rFonts w:cs="Times New Roman"/>
              </w:rPr>
            </w:pPr>
            <w:r>
              <w:rPr>
                <w:rFonts w:cs="Times New Roman"/>
              </w:rPr>
              <w:t>500~2000t/a</w:t>
            </w:r>
            <w:r>
              <w:rPr>
                <w:rFonts w:cs="Times New Roman"/>
              </w:rPr>
              <w:sym w:font="Wingdings 2" w:char="00A3"/>
            </w:r>
          </w:p>
        </w:tc>
        <w:tc>
          <w:tcPr>
            <w:tcW w:w="1961" w:type="dxa"/>
            <w:gridSpan w:val="6"/>
            <w:vAlign w:val="center"/>
          </w:tcPr>
          <w:p w:rsidR="00525419" w:rsidRDefault="00EE1CF7">
            <w:pPr>
              <w:pStyle w:val="B2"/>
              <w:rPr>
                <w:rFonts w:cs="Times New Roman"/>
              </w:rPr>
            </w:pPr>
            <w:r>
              <w:rPr>
                <w:rFonts w:cs="Times New Roman"/>
              </w:rPr>
              <w:t>＜</w:t>
            </w:r>
            <w:r>
              <w:rPr>
                <w:rFonts w:cs="Times New Roman"/>
              </w:rPr>
              <w:t>500t/a</w:t>
            </w:r>
            <w:r>
              <w:rPr>
                <w:rFonts w:cs="Times New Roman"/>
              </w:rPr>
              <w:sym w:font="Wingdings 2" w:char="0052"/>
            </w:r>
          </w:p>
        </w:tc>
      </w:tr>
      <w:tr w:rsidR="00525419">
        <w:trPr>
          <w:trHeight w:val="397"/>
          <w:jc w:val="center"/>
        </w:trPr>
        <w:tc>
          <w:tcPr>
            <w:tcW w:w="671" w:type="dxa"/>
            <w:vMerge/>
            <w:vAlign w:val="center"/>
          </w:tcPr>
          <w:p w:rsidR="00525419" w:rsidRDefault="00525419">
            <w:pPr>
              <w:pStyle w:val="B2"/>
              <w:rPr>
                <w:rFonts w:cs="Times New Roman"/>
              </w:rPr>
            </w:pPr>
          </w:p>
        </w:tc>
        <w:tc>
          <w:tcPr>
            <w:tcW w:w="1455" w:type="dxa"/>
            <w:vAlign w:val="center"/>
          </w:tcPr>
          <w:p w:rsidR="00525419" w:rsidRDefault="00EE1CF7">
            <w:pPr>
              <w:pStyle w:val="B2"/>
              <w:rPr>
                <w:rFonts w:cs="Times New Roman"/>
              </w:rPr>
            </w:pPr>
            <w:r>
              <w:rPr>
                <w:rFonts w:cs="Times New Roman"/>
              </w:rPr>
              <w:t>评价因子</w:t>
            </w:r>
          </w:p>
        </w:tc>
        <w:tc>
          <w:tcPr>
            <w:tcW w:w="4241" w:type="dxa"/>
            <w:gridSpan w:val="17"/>
            <w:vAlign w:val="center"/>
          </w:tcPr>
          <w:p w:rsidR="00525419" w:rsidRDefault="00EE1CF7">
            <w:pPr>
              <w:pStyle w:val="B2"/>
              <w:rPr>
                <w:rFonts w:cs="Times New Roman"/>
              </w:rPr>
            </w:pPr>
            <w:r>
              <w:rPr>
                <w:rFonts w:cs="Times New Roman"/>
              </w:rPr>
              <w:t>基本污染物（</w:t>
            </w:r>
            <w:r>
              <w:rPr>
                <w:rFonts w:cs="Times New Roman"/>
              </w:rPr>
              <w:t>CO</w:t>
            </w:r>
            <w:r>
              <w:rPr>
                <w:rFonts w:cs="Times New Roman"/>
              </w:rPr>
              <w:t>、</w:t>
            </w:r>
            <w:r>
              <w:rPr>
                <w:rFonts w:cs="Times New Roman"/>
              </w:rPr>
              <w:t>O</w:t>
            </w:r>
            <w:r>
              <w:rPr>
                <w:rFonts w:cs="Times New Roman"/>
                <w:vertAlign w:val="subscript"/>
              </w:rPr>
              <w:t>3</w:t>
            </w:r>
            <w:r>
              <w:rPr>
                <w:rFonts w:cs="Times New Roman"/>
              </w:rPr>
              <w:t>、</w:t>
            </w:r>
            <w:r>
              <w:rPr>
                <w:rFonts w:cs="Times New Roman"/>
              </w:rPr>
              <w:t>PM</w:t>
            </w:r>
            <w:r>
              <w:rPr>
                <w:rFonts w:cs="Times New Roman"/>
                <w:vertAlign w:val="subscript"/>
              </w:rPr>
              <w:t>10</w:t>
            </w:r>
            <w:r>
              <w:rPr>
                <w:rFonts w:cs="Times New Roman"/>
              </w:rPr>
              <w:t>、</w:t>
            </w:r>
            <w:r>
              <w:rPr>
                <w:rFonts w:cs="Times New Roman"/>
              </w:rPr>
              <w:t>PM</w:t>
            </w:r>
            <w:r>
              <w:rPr>
                <w:rFonts w:cs="Times New Roman"/>
                <w:vertAlign w:val="subscript"/>
              </w:rPr>
              <w:t>2.5</w:t>
            </w:r>
            <w:r>
              <w:rPr>
                <w:rFonts w:cs="Times New Roman"/>
              </w:rPr>
              <w:t>、</w:t>
            </w:r>
            <w:r>
              <w:rPr>
                <w:rFonts w:cs="Times New Roman"/>
              </w:rPr>
              <w:t>SO</w:t>
            </w:r>
            <w:r>
              <w:rPr>
                <w:rFonts w:cs="Times New Roman"/>
                <w:vertAlign w:val="subscript"/>
              </w:rPr>
              <w:t>2</w:t>
            </w:r>
            <w:r>
              <w:rPr>
                <w:rFonts w:cs="Times New Roman"/>
              </w:rPr>
              <w:t>、</w:t>
            </w:r>
            <w:r>
              <w:rPr>
                <w:rFonts w:cs="Times New Roman"/>
              </w:rPr>
              <w:t>NO</w:t>
            </w:r>
            <w:r>
              <w:rPr>
                <w:rFonts w:cs="Times New Roman"/>
                <w:vertAlign w:val="subscript"/>
              </w:rPr>
              <w:t>2</w:t>
            </w:r>
            <w:r>
              <w:rPr>
                <w:rFonts w:cs="Times New Roman"/>
              </w:rPr>
              <w:t>）</w:t>
            </w:r>
          </w:p>
          <w:p w:rsidR="00525419" w:rsidRDefault="00EE1CF7">
            <w:pPr>
              <w:pStyle w:val="B2"/>
              <w:rPr>
                <w:rFonts w:cs="Times New Roman"/>
              </w:rPr>
            </w:pPr>
            <w:r>
              <w:rPr>
                <w:rFonts w:cs="Times New Roman"/>
              </w:rPr>
              <w:t>其他污染物（硫化氢、氨、</w:t>
            </w:r>
            <w:r>
              <w:rPr>
                <w:rFonts w:cs="Times New Roman"/>
              </w:rPr>
              <w:t>NMHC</w:t>
            </w:r>
            <w:r>
              <w:rPr>
                <w:rFonts w:cs="Times New Roman"/>
              </w:rPr>
              <w:t>）</w:t>
            </w:r>
          </w:p>
        </w:tc>
        <w:tc>
          <w:tcPr>
            <w:tcW w:w="1961" w:type="dxa"/>
            <w:gridSpan w:val="6"/>
            <w:vAlign w:val="center"/>
          </w:tcPr>
          <w:p w:rsidR="00525419" w:rsidRDefault="00EE1CF7">
            <w:pPr>
              <w:pStyle w:val="B2"/>
              <w:rPr>
                <w:rFonts w:cs="Times New Roman"/>
              </w:rPr>
            </w:pPr>
            <w:r>
              <w:rPr>
                <w:rFonts w:cs="Times New Roman"/>
              </w:rPr>
              <w:t xml:space="preserve">  </w:t>
            </w:r>
            <w:r>
              <w:rPr>
                <w:rFonts w:cs="Times New Roman"/>
              </w:rPr>
              <w:t>包括二次</w:t>
            </w:r>
            <w:r>
              <w:rPr>
                <w:rFonts w:cs="Times New Roman"/>
              </w:rPr>
              <w:t>PM</w:t>
            </w:r>
            <w:r>
              <w:rPr>
                <w:rFonts w:cs="Times New Roman"/>
                <w:vertAlign w:val="subscript"/>
              </w:rPr>
              <w:t>2.5</w:t>
            </w:r>
            <w:r>
              <w:rPr>
                <w:rFonts w:cs="Times New Roman"/>
              </w:rPr>
              <w:sym w:font="Wingdings 2" w:char="00A3"/>
            </w:r>
          </w:p>
          <w:p w:rsidR="00525419" w:rsidRDefault="00EE1CF7">
            <w:pPr>
              <w:pStyle w:val="B2"/>
              <w:rPr>
                <w:rFonts w:cs="Times New Roman"/>
              </w:rPr>
            </w:pPr>
            <w:r>
              <w:rPr>
                <w:rFonts w:cs="Times New Roman"/>
              </w:rPr>
              <w:t>不包括二次</w:t>
            </w:r>
            <w:r>
              <w:rPr>
                <w:rFonts w:cs="Times New Roman"/>
              </w:rPr>
              <w:t>PM</w:t>
            </w:r>
            <w:r>
              <w:rPr>
                <w:rFonts w:cs="Times New Roman"/>
                <w:vertAlign w:val="subscript"/>
              </w:rPr>
              <w:t>2.5</w:t>
            </w:r>
            <w:r>
              <w:rPr>
                <w:rFonts w:cs="Times New Roman"/>
              </w:rPr>
              <w:sym w:font="Wingdings 2" w:char="0052"/>
            </w:r>
          </w:p>
        </w:tc>
      </w:tr>
      <w:tr w:rsidR="00525419">
        <w:trPr>
          <w:trHeight w:val="397"/>
          <w:jc w:val="center"/>
        </w:trPr>
        <w:tc>
          <w:tcPr>
            <w:tcW w:w="671" w:type="dxa"/>
            <w:vAlign w:val="center"/>
          </w:tcPr>
          <w:p w:rsidR="00525419" w:rsidRDefault="00EE1CF7">
            <w:pPr>
              <w:pStyle w:val="B2"/>
              <w:rPr>
                <w:rFonts w:cs="Times New Roman"/>
              </w:rPr>
            </w:pPr>
            <w:r>
              <w:rPr>
                <w:rFonts w:cs="Times New Roman"/>
              </w:rPr>
              <w:t>评价</w:t>
            </w:r>
          </w:p>
          <w:p w:rsidR="00525419" w:rsidRDefault="00EE1CF7">
            <w:pPr>
              <w:pStyle w:val="B2"/>
              <w:rPr>
                <w:rFonts w:cs="Times New Roman"/>
              </w:rPr>
            </w:pPr>
            <w:r>
              <w:rPr>
                <w:rFonts w:cs="Times New Roman"/>
              </w:rPr>
              <w:t>标准</w:t>
            </w:r>
          </w:p>
        </w:tc>
        <w:tc>
          <w:tcPr>
            <w:tcW w:w="1455" w:type="dxa"/>
            <w:vAlign w:val="center"/>
          </w:tcPr>
          <w:p w:rsidR="00525419" w:rsidRDefault="00EE1CF7">
            <w:pPr>
              <w:pStyle w:val="B2"/>
              <w:rPr>
                <w:rFonts w:cs="Times New Roman"/>
              </w:rPr>
            </w:pPr>
            <w:r>
              <w:rPr>
                <w:rFonts w:cs="Times New Roman"/>
              </w:rPr>
              <w:t>评价标准</w:t>
            </w:r>
          </w:p>
        </w:tc>
        <w:tc>
          <w:tcPr>
            <w:tcW w:w="1345" w:type="dxa"/>
            <w:gridSpan w:val="5"/>
            <w:vAlign w:val="center"/>
          </w:tcPr>
          <w:p w:rsidR="00525419" w:rsidRDefault="00EE1CF7">
            <w:pPr>
              <w:pStyle w:val="B2"/>
              <w:rPr>
                <w:rFonts w:cs="Times New Roman"/>
              </w:rPr>
            </w:pPr>
            <w:r>
              <w:rPr>
                <w:rFonts w:cs="Times New Roman"/>
              </w:rPr>
              <w:t>国家标准</w:t>
            </w:r>
            <w:r>
              <w:rPr>
                <w:rFonts w:cs="Times New Roman"/>
              </w:rPr>
              <w:sym w:font="Wingdings 2" w:char="00A3"/>
            </w:r>
          </w:p>
        </w:tc>
        <w:tc>
          <w:tcPr>
            <w:tcW w:w="1739" w:type="dxa"/>
            <w:gridSpan w:val="8"/>
            <w:vAlign w:val="center"/>
          </w:tcPr>
          <w:p w:rsidR="00525419" w:rsidRDefault="00EE1CF7">
            <w:pPr>
              <w:pStyle w:val="B2"/>
              <w:rPr>
                <w:rFonts w:cs="Times New Roman"/>
              </w:rPr>
            </w:pPr>
            <w:r>
              <w:rPr>
                <w:rFonts w:cs="Times New Roman"/>
              </w:rPr>
              <w:t>地方标准</w:t>
            </w:r>
            <w:r>
              <w:rPr>
                <w:rFonts w:cs="Times New Roman"/>
              </w:rPr>
              <w:sym w:font="Wingdings 2" w:char="00A3"/>
            </w:r>
          </w:p>
        </w:tc>
        <w:tc>
          <w:tcPr>
            <w:tcW w:w="1684" w:type="dxa"/>
            <w:gridSpan w:val="6"/>
            <w:vAlign w:val="center"/>
          </w:tcPr>
          <w:p w:rsidR="00525419" w:rsidRDefault="00EE1CF7">
            <w:pPr>
              <w:pStyle w:val="B2"/>
              <w:rPr>
                <w:rFonts w:cs="Times New Roman"/>
              </w:rPr>
            </w:pPr>
            <w:r>
              <w:rPr>
                <w:rFonts w:cs="Times New Roman"/>
              </w:rPr>
              <w:t>附录</w:t>
            </w:r>
            <w:r>
              <w:rPr>
                <w:rFonts w:cs="Times New Roman"/>
              </w:rPr>
              <w:t>D</w:t>
            </w:r>
            <w:r>
              <w:rPr>
                <w:rFonts w:cs="Times New Roman"/>
              </w:rPr>
              <w:sym w:font="Wingdings 2" w:char="0052"/>
            </w:r>
          </w:p>
        </w:tc>
        <w:tc>
          <w:tcPr>
            <w:tcW w:w="1434" w:type="dxa"/>
            <w:gridSpan w:val="4"/>
            <w:vAlign w:val="center"/>
          </w:tcPr>
          <w:p w:rsidR="00525419" w:rsidRDefault="00EE1CF7">
            <w:pPr>
              <w:pStyle w:val="B2"/>
              <w:rPr>
                <w:rFonts w:cs="Times New Roman"/>
              </w:rPr>
            </w:pPr>
            <w:r>
              <w:rPr>
                <w:rFonts w:cs="Times New Roman"/>
              </w:rPr>
              <w:t>其他标准</w:t>
            </w:r>
            <w:r>
              <w:rPr>
                <w:rFonts w:cs="Times New Roman"/>
              </w:rPr>
              <w:sym w:font="Wingdings 2" w:char="0052"/>
            </w:r>
          </w:p>
        </w:tc>
      </w:tr>
      <w:tr w:rsidR="00525419">
        <w:trPr>
          <w:trHeight w:val="397"/>
          <w:jc w:val="center"/>
        </w:trPr>
        <w:tc>
          <w:tcPr>
            <w:tcW w:w="671" w:type="dxa"/>
            <w:vMerge w:val="restart"/>
            <w:vAlign w:val="center"/>
          </w:tcPr>
          <w:p w:rsidR="00525419" w:rsidRDefault="00EE1CF7">
            <w:pPr>
              <w:pStyle w:val="B2"/>
              <w:rPr>
                <w:rFonts w:cs="Times New Roman"/>
              </w:rPr>
            </w:pPr>
            <w:r>
              <w:rPr>
                <w:rFonts w:cs="Times New Roman"/>
              </w:rPr>
              <w:lastRenderedPageBreak/>
              <w:t>现状</w:t>
            </w:r>
          </w:p>
          <w:p w:rsidR="00525419" w:rsidRDefault="00EE1CF7">
            <w:pPr>
              <w:pStyle w:val="B2"/>
              <w:rPr>
                <w:rFonts w:cs="Times New Roman"/>
              </w:rPr>
            </w:pPr>
            <w:r>
              <w:rPr>
                <w:rFonts w:cs="Times New Roman"/>
              </w:rPr>
              <w:t>评价</w:t>
            </w:r>
          </w:p>
        </w:tc>
        <w:tc>
          <w:tcPr>
            <w:tcW w:w="1455" w:type="dxa"/>
            <w:vAlign w:val="center"/>
          </w:tcPr>
          <w:p w:rsidR="00525419" w:rsidRDefault="00EE1CF7">
            <w:pPr>
              <w:pStyle w:val="B2"/>
              <w:rPr>
                <w:rFonts w:cs="Times New Roman"/>
              </w:rPr>
            </w:pPr>
            <w:r>
              <w:rPr>
                <w:rFonts w:cs="Times New Roman"/>
              </w:rPr>
              <w:t>环境功能区</w:t>
            </w:r>
          </w:p>
        </w:tc>
        <w:tc>
          <w:tcPr>
            <w:tcW w:w="1871" w:type="dxa"/>
            <w:gridSpan w:val="8"/>
            <w:vAlign w:val="center"/>
          </w:tcPr>
          <w:p w:rsidR="00525419" w:rsidRDefault="00EE1CF7">
            <w:pPr>
              <w:pStyle w:val="B2"/>
              <w:rPr>
                <w:rFonts w:cs="Times New Roman"/>
              </w:rPr>
            </w:pPr>
            <w:r>
              <w:rPr>
                <w:rFonts w:cs="Times New Roman"/>
              </w:rPr>
              <w:t>一类区</w:t>
            </w:r>
            <w:r>
              <w:rPr>
                <w:rFonts w:cs="Times New Roman"/>
              </w:rPr>
              <w:sym w:font="Wingdings 2" w:char="00A3"/>
            </w:r>
          </w:p>
        </w:tc>
        <w:tc>
          <w:tcPr>
            <w:tcW w:w="2370" w:type="dxa"/>
            <w:gridSpan w:val="9"/>
            <w:vAlign w:val="center"/>
          </w:tcPr>
          <w:p w:rsidR="00525419" w:rsidRDefault="00EE1CF7">
            <w:pPr>
              <w:pStyle w:val="B2"/>
              <w:rPr>
                <w:rFonts w:cs="Times New Roman"/>
              </w:rPr>
            </w:pPr>
            <w:r>
              <w:rPr>
                <w:rFonts w:cs="Times New Roman"/>
              </w:rPr>
              <w:t>二类区</w:t>
            </w:r>
            <w:r>
              <w:rPr>
                <w:rFonts w:cs="Times New Roman"/>
              </w:rPr>
              <w:sym w:font="Wingdings 2" w:char="0052"/>
            </w:r>
          </w:p>
        </w:tc>
        <w:tc>
          <w:tcPr>
            <w:tcW w:w="1961" w:type="dxa"/>
            <w:gridSpan w:val="6"/>
            <w:vAlign w:val="center"/>
          </w:tcPr>
          <w:p w:rsidR="00525419" w:rsidRDefault="00EE1CF7">
            <w:pPr>
              <w:pStyle w:val="B2"/>
              <w:rPr>
                <w:rFonts w:cs="Times New Roman"/>
              </w:rPr>
            </w:pPr>
            <w:r>
              <w:rPr>
                <w:rFonts w:cs="Times New Roman"/>
              </w:rPr>
              <w:t>一类区和二类区</w:t>
            </w:r>
            <w:r>
              <w:rPr>
                <w:rFonts w:cs="Times New Roman"/>
              </w:rPr>
              <w:sym w:font="Wingdings 2" w:char="00A3"/>
            </w:r>
          </w:p>
        </w:tc>
      </w:tr>
      <w:tr w:rsidR="00525419">
        <w:trPr>
          <w:trHeight w:val="397"/>
          <w:jc w:val="center"/>
        </w:trPr>
        <w:tc>
          <w:tcPr>
            <w:tcW w:w="671" w:type="dxa"/>
            <w:vMerge/>
            <w:vAlign w:val="center"/>
          </w:tcPr>
          <w:p w:rsidR="00525419" w:rsidRDefault="00525419">
            <w:pPr>
              <w:pStyle w:val="B2"/>
              <w:rPr>
                <w:rFonts w:cs="Times New Roman"/>
              </w:rPr>
            </w:pPr>
          </w:p>
        </w:tc>
        <w:tc>
          <w:tcPr>
            <w:tcW w:w="1455" w:type="dxa"/>
            <w:vAlign w:val="center"/>
          </w:tcPr>
          <w:p w:rsidR="00525419" w:rsidRDefault="00EE1CF7">
            <w:pPr>
              <w:pStyle w:val="B2"/>
              <w:rPr>
                <w:rFonts w:cs="Times New Roman"/>
              </w:rPr>
            </w:pPr>
            <w:r>
              <w:rPr>
                <w:rFonts w:cs="Times New Roman"/>
              </w:rPr>
              <w:t>评价基准年</w:t>
            </w:r>
          </w:p>
        </w:tc>
        <w:tc>
          <w:tcPr>
            <w:tcW w:w="6202" w:type="dxa"/>
            <w:gridSpan w:val="23"/>
            <w:vAlign w:val="center"/>
          </w:tcPr>
          <w:p w:rsidR="00525419" w:rsidRDefault="00EE1CF7">
            <w:pPr>
              <w:pStyle w:val="B2"/>
              <w:rPr>
                <w:rFonts w:cs="Times New Roman"/>
              </w:rPr>
            </w:pPr>
            <w:r>
              <w:rPr>
                <w:rFonts w:cs="Times New Roman"/>
              </w:rPr>
              <w:t>（</w:t>
            </w:r>
            <w:r>
              <w:rPr>
                <w:rFonts w:cs="Times New Roman"/>
              </w:rPr>
              <w:t>2018</w:t>
            </w:r>
            <w:r>
              <w:rPr>
                <w:rFonts w:cs="Times New Roman"/>
              </w:rPr>
              <w:t>）年</w:t>
            </w:r>
          </w:p>
        </w:tc>
      </w:tr>
      <w:tr w:rsidR="00525419">
        <w:trPr>
          <w:trHeight w:val="397"/>
          <w:jc w:val="center"/>
        </w:trPr>
        <w:tc>
          <w:tcPr>
            <w:tcW w:w="671" w:type="dxa"/>
            <w:vMerge/>
            <w:vAlign w:val="center"/>
          </w:tcPr>
          <w:p w:rsidR="00525419" w:rsidRDefault="00525419">
            <w:pPr>
              <w:pStyle w:val="B2"/>
              <w:rPr>
                <w:rFonts w:cs="Times New Roman"/>
              </w:rPr>
            </w:pPr>
          </w:p>
        </w:tc>
        <w:tc>
          <w:tcPr>
            <w:tcW w:w="1455" w:type="dxa"/>
            <w:vAlign w:val="center"/>
          </w:tcPr>
          <w:p w:rsidR="00525419" w:rsidRDefault="00EE1CF7">
            <w:pPr>
              <w:pStyle w:val="B2"/>
              <w:rPr>
                <w:rFonts w:cs="Times New Roman"/>
              </w:rPr>
            </w:pPr>
            <w:r>
              <w:rPr>
                <w:rFonts w:cs="Times New Roman"/>
              </w:rPr>
              <w:t>环境空气质量现状调查数据来源</w:t>
            </w:r>
          </w:p>
        </w:tc>
        <w:tc>
          <w:tcPr>
            <w:tcW w:w="1871" w:type="dxa"/>
            <w:gridSpan w:val="8"/>
            <w:vAlign w:val="center"/>
          </w:tcPr>
          <w:p w:rsidR="00525419" w:rsidRDefault="00EE1CF7">
            <w:pPr>
              <w:pStyle w:val="B2"/>
              <w:rPr>
                <w:rFonts w:cs="Times New Roman"/>
              </w:rPr>
            </w:pPr>
            <w:r>
              <w:rPr>
                <w:rFonts w:cs="Times New Roman"/>
              </w:rPr>
              <w:t>长期例行监测数据</w:t>
            </w:r>
            <w:r>
              <w:rPr>
                <w:rFonts w:cs="Times New Roman"/>
              </w:rPr>
              <w:sym w:font="Wingdings 2" w:char="0052"/>
            </w:r>
          </w:p>
        </w:tc>
        <w:tc>
          <w:tcPr>
            <w:tcW w:w="2370" w:type="dxa"/>
            <w:gridSpan w:val="9"/>
            <w:vAlign w:val="center"/>
          </w:tcPr>
          <w:p w:rsidR="00525419" w:rsidRDefault="00EE1CF7">
            <w:pPr>
              <w:pStyle w:val="B2"/>
              <w:rPr>
                <w:rFonts w:cs="Times New Roman"/>
              </w:rPr>
            </w:pPr>
            <w:r>
              <w:rPr>
                <w:rFonts w:cs="Times New Roman"/>
              </w:rPr>
              <w:t>主管部门发布的数据</w:t>
            </w:r>
          </w:p>
          <w:p w:rsidR="00525419" w:rsidRDefault="00EE1CF7">
            <w:pPr>
              <w:pStyle w:val="B2"/>
              <w:rPr>
                <w:rFonts w:cs="Times New Roman"/>
              </w:rPr>
            </w:pPr>
            <w:r>
              <w:rPr>
                <w:rFonts w:cs="Times New Roman"/>
              </w:rPr>
              <w:sym w:font="Wingdings 2" w:char="00A3"/>
            </w:r>
          </w:p>
        </w:tc>
        <w:tc>
          <w:tcPr>
            <w:tcW w:w="1961" w:type="dxa"/>
            <w:gridSpan w:val="6"/>
            <w:vAlign w:val="center"/>
          </w:tcPr>
          <w:p w:rsidR="00525419" w:rsidRDefault="00EE1CF7">
            <w:pPr>
              <w:pStyle w:val="B2"/>
              <w:rPr>
                <w:rFonts w:cs="Times New Roman"/>
              </w:rPr>
            </w:pPr>
            <w:r>
              <w:rPr>
                <w:rFonts w:cs="Times New Roman"/>
              </w:rPr>
              <w:t>现状补充监测</w:t>
            </w:r>
            <w:r>
              <w:rPr>
                <w:rFonts w:cs="Times New Roman"/>
              </w:rPr>
              <w:sym w:font="Wingdings 2" w:char="0052"/>
            </w:r>
          </w:p>
        </w:tc>
      </w:tr>
      <w:tr w:rsidR="00525419">
        <w:trPr>
          <w:trHeight w:val="397"/>
          <w:jc w:val="center"/>
        </w:trPr>
        <w:tc>
          <w:tcPr>
            <w:tcW w:w="671" w:type="dxa"/>
            <w:vMerge/>
            <w:vAlign w:val="center"/>
          </w:tcPr>
          <w:p w:rsidR="00525419" w:rsidRDefault="00525419">
            <w:pPr>
              <w:pStyle w:val="B2"/>
              <w:rPr>
                <w:rFonts w:cs="Times New Roman"/>
              </w:rPr>
            </w:pPr>
          </w:p>
        </w:tc>
        <w:tc>
          <w:tcPr>
            <w:tcW w:w="1455" w:type="dxa"/>
            <w:vAlign w:val="center"/>
          </w:tcPr>
          <w:p w:rsidR="00525419" w:rsidRDefault="00EE1CF7">
            <w:pPr>
              <w:pStyle w:val="B2"/>
              <w:rPr>
                <w:rFonts w:cs="Times New Roman"/>
              </w:rPr>
            </w:pPr>
            <w:r>
              <w:rPr>
                <w:rFonts w:cs="Times New Roman"/>
              </w:rPr>
              <w:t>现状评价</w:t>
            </w:r>
          </w:p>
        </w:tc>
        <w:tc>
          <w:tcPr>
            <w:tcW w:w="3084" w:type="dxa"/>
            <w:gridSpan w:val="13"/>
            <w:vAlign w:val="center"/>
          </w:tcPr>
          <w:p w:rsidR="00525419" w:rsidRDefault="00EE1CF7">
            <w:pPr>
              <w:pStyle w:val="B2"/>
              <w:rPr>
                <w:rFonts w:cs="Times New Roman"/>
              </w:rPr>
            </w:pPr>
            <w:r>
              <w:rPr>
                <w:rFonts w:cs="Times New Roman"/>
              </w:rPr>
              <w:t>达标区</w:t>
            </w:r>
            <w:r>
              <w:rPr>
                <w:rFonts w:cs="Times New Roman"/>
              </w:rPr>
              <w:sym w:font="Wingdings 2" w:char="00A3"/>
            </w:r>
          </w:p>
        </w:tc>
        <w:tc>
          <w:tcPr>
            <w:tcW w:w="3118" w:type="dxa"/>
            <w:gridSpan w:val="10"/>
            <w:vAlign w:val="center"/>
          </w:tcPr>
          <w:p w:rsidR="00525419" w:rsidRDefault="00EE1CF7">
            <w:pPr>
              <w:pStyle w:val="B2"/>
              <w:rPr>
                <w:rFonts w:cs="Times New Roman"/>
              </w:rPr>
            </w:pPr>
            <w:r>
              <w:rPr>
                <w:rFonts w:cs="Times New Roman"/>
              </w:rPr>
              <w:t>不达标区</w:t>
            </w:r>
            <w:r>
              <w:rPr>
                <w:rFonts w:cs="Times New Roman"/>
              </w:rPr>
              <w:sym w:font="Wingdings 2" w:char="0052"/>
            </w:r>
          </w:p>
        </w:tc>
      </w:tr>
      <w:tr w:rsidR="00525419">
        <w:trPr>
          <w:trHeight w:val="397"/>
          <w:jc w:val="center"/>
        </w:trPr>
        <w:tc>
          <w:tcPr>
            <w:tcW w:w="671" w:type="dxa"/>
            <w:vAlign w:val="center"/>
          </w:tcPr>
          <w:p w:rsidR="00525419" w:rsidRDefault="00EE1CF7">
            <w:pPr>
              <w:pStyle w:val="B2"/>
              <w:rPr>
                <w:rFonts w:cs="Times New Roman"/>
              </w:rPr>
            </w:pPr>
            <w:r>
              <w:rPr>
                <w:rFonts w:cs="Times New Roman"/>
              </w:rPr>
              <w:t>污染源</w:t>
            </w:r>
          </w:p>
          <w:p w:rsidR="00525419" w:rsidRDefault="00EE1CF7">
            <w:pPr>
              <w:pStyle w:val="B2"/>
              <w:rPr>
                <w:rFonts w:cs="Times New Roman"/>
              </w:rPr>
            </w:pPr>
            <w:r>
              <w:rPr>
                <w:rFonts w:cs="Times New Roman"/>
              </w:rPr>
              <w:t>调查</w:t>
            </w:r>
          </w:p>
        </w:tc>
        <w:tc>
          <w:tcPr>
            <w:tcW w:w="1455" w:type="dxa"/>
            <w:vAlign w:val="center"/>
          </w:tcPr>
          <w:p w:rsidR="00525419" w:rsidRDefault="00EE1CF7">
            <w:pPr>
              <w:pStyle w:val="B2"/>
              <w:rPr>
                <w:rFonts w:cs="Times New Roman"/>
              </w:rPr>
            </w:pPr>
            <w:r>
              <w:rPr>
                <w:rFonts w:cs="Times New Roman"/>
              </w:rPr>
              <w:t>调查内容</w:t>
            </w:r>
          </w:p>
        </w:tc>
        <w:tc>
          <w:tcPr>
            <w:tcW w:w="1742" w:type="dxa"/>
            <w:gridSpan w:val="7"/>
            <w:vAlign w:val="center"/>
          </w:tcPr>
          <w:p w:rsidR="00525419" w:rsidRDefault="00EE1CF7">
            <w:pPr>
              <w:pStyle w:val="B2"/>
              <w:rPr>
                <w:rFonts w:cs="Times New Roman"/>
              </w:rPr>
            </w:pPr>
            <w:r>
              <w:rPr>
                <w:rFonts w:cs="Times New Roman"/>
              </w:rPr>
              <w:t>本项目正常排放源</w:t>
            </w:r>
            <w:r>
              <w:rPr>
                <w:rFonts w:cs="Times New Roman"/>
              </w:rPr>
              <w:sym w:font="Wingdings 2" w:char="0052"/>
            </w:r>
          </w:p>
          <w:p w:rsidR="00525419" w:rsidRDefault="00EE1CF7">
            <w:pPr>
              <w:pStyle w:val="B2"/>
              <w:rPr>
                <w:rFonts w:cs="Times New Roman"/>
              </w:rPr>
            </w:pPr>
            <w:r>
              <w:rPr>
                <w:rFonts w:cs="Times New Roman"/>
              </w:rPr>
              <w:t>本项目非正常排放源</w:t>
            </w:r>
            <w:r>
              <w:rPr>
                <w:rFonts w:cs="Times New Roman"/>
              </w:rPr>
              <w:sym w:font="Wingdings 2" w:char="0052"/>
            </w:r>
          </w:p>
          <w:p w:rsidR="00525419" w:rsidRDefault="00EE1CF7">
            <w:pPr>
              <w:pStyle w:val="B2"/>
              <w:rPr>
                <w:rFonts w:cs="Times New Roman"/>
              </w:rPr>
            </w:pPr>
            <w:r>
              <w:rPr>
                <w:rFonts w:cs="Times New Roman"/>
              </w:rPr>
              <w:t>现有污染源</w:t>
            </w:r>
            <w:r>
              <w:rPr>
                <w:rFonts w:cs="Times New Roman"/>
              </w:rPr>
              <w:sym w:font="Wingdings 2" w:char="00A3"/>
            </w:r>
          </w:p>
        </w:tc>
        <w:tc>
          <w:tcPr>
            <w:tcW w:w="1342" w:type="dxa"/>
            <w:gridSpan w:val="6"/>
            <w:vAlign w:val="center"/>
          </w:tcPr>
          <w:p w:rsidR="00525419" w:rsidRDefault="00EE1CF7">
            <w:pPr>
              <w:pStyle w:val="B2"/>
              <w:rPr>
                <w:rFonts w:cs="Times New Roman"/>
              </w:rPr>
            </w:pPr>
            <w:r>
              <w:rPr>
                <w:rFonts w:cs="Times New Roman"/>
              </w:rPr>
              <w:t>拟替代的污染源</w:t>
            </w:r>
            <w:r>
              <w:rPr>
                <w:rFonts w:cs="Times New Roman"/>
              </w:rPr>
              <w:sym w:font="Wingdings 2" w:char="00A3"/>
            </w:r>
          </w:p>
        </w:tc>
        <w:tc>
          <w:tcPr>
            <w:tcW w:w="2209" w:type="dxa"/>
            <w:gridSpan w:val="8"/>
            <w:vAlign w:val="center"/>
          </w:tcPr>
          <w:p w:rsidR="00525419" w:rsidRDefault="00EE1CF7">
            <w:pPr>
              <w:pStyle w:val="B2"/>
              <w:rPr>
                <w:rFonts w:cs="Times New Roman"/>
              </w:rPr>
            </w:pPr>
            <w:r>
              <w:rPr>
                <w:rFonts w:cs="Times New Roman"/>
              </w:rPr>
              <w:t>其他在建、拟建项目污染源</w:t>
            </w:r>
            <w:r>
              <w:rPr>
                <w:rFonts w:cs="Times New Roman"/>
              </w:rPr>
              <w:sym w:font="Wingdings 2" w:char="0052"/>
            </w:r>
          </w:p>
        </w:tc>
        <w:tc>
          <w:tcPr>
            <w:tcW w:w="909" w:type="dxa"/>
            <w:gridSpan w:val="2"/>
            <w:vAlign w:val="center"/>
          </w:tcPr>
          <w:p w:rsidR="00525419" w:rsidRDefault="00EE1CF7">
            <w:pPr>
              <w:pStyle w:val="B2"/>
              <w:rPr>
                <w:rFonts w:cs="Times New Roman"/>
              </w:rPr>
            </w:pPr>
            <w:r>
              <w:rPr>
                <w:rFonts w:cs="Times New Roman"/>
              </w:rPr>
              <w:t>区域污染源</w:t>
            </w:r>
            <w:r>
              <w:rPr>
                <w:rFonts w:cs="Times New Roman"/>
              </w:rPr>
              <w:sym w:font="Wingdings 2" w:char="0052"/>
            </w:r>
          </w:p>
        </w:tc>
      </w:tr>
      <w:tr w:rsidR="00525419">
        <w:trPr>
          <w:trHeight w:val="397"/>
          <w:jc w:val="center"/>
        </w:trPr>
        <w:tc>
          <w:tcPr>
            <w:tcW w:w="671" w:type="dxa"/>
            <w:vMerge w:val="restart"/>
            <w:vAlign w:val="center"/>
          </w:tcPr>
          <w:p w:rsidR="00525419" w:rsidRDefault="00EE1CF7">
            <w:pPr>
              <w:pStyle w:val="B2"/>
              <w:rPr>
                <w:rFonts w:cs="Times New Roman"/>
              </w:rPr>
            </w:pPr>
            <w:r>
              <w:rPr>
                <w:rFonts w:cs="Times New Roman"/>
              </w:rPr>
              <w:t>大气环境影响预测与评价</w:t>
            </w:r>
          </w:p>
        </w:tc>
        <w:tc>
          <w:tcPr>
            <w:tcW w:w="1455" w:type="dxa"/>
            <w:vAlign w:val="center"/>
          </w:tcPr>
          <w:p w:rsidR="00525419" w:rsidRDefault="00EE1CF7">
            <w:pPr>
              <w:pStyle w:val="B2"/>
              <w:rPr>
                <w:rFonts w:cs="Times New Roman"/>
              </w:rPr>
            </w:pPr>
            <w:r>
              <w:rPr>
                <w:rFonts w:cs="Times New Roman"/>
              </w:rPr>
              <w:t>预测模型</w:t>
            </w:r>
          </w:p>
        </w:tc>
        <w:tc>
          <w:tcPr>
            <w:tcW w:w="921" w:type="dxa"/>
            <w:gridSpan w:val="2"/>
            <w:vAlign w:val="center"/>
          </w:tcPr>
          <w:p w:rsidR="00525419" w:rsidRDefault="00EE1CF7">
            <w:pPr>
              <w:pStyle w:val="B2"/>
              <w:rPr>
                <w:rFonts w:cs="Times New Roman"/>
              </w:rPr>
            </w:pPr>
            <w:r>
              <w:rPr>
                <w:rFonts w:cs="Times New Roman"/>
              </w:rPr>
              <w:t>AERMOD</w:t>
            </w:r>
          </w:p>
          <w:p w:rsidR="00525419" w:rsidRDefault="00EE1CF7">
            <w:pPr>
              <w:pStyle w:val="B2"/>
              <w:rPr>
                <w:rFonts w:cs="Times New Roman"/>
              </w:rPr>
            </w:pPr>
            <w:r>
              <w:rPr>
                <w:rFonts w:cs="Times New Roman"/>
              </w:rPr>
              <w:sym w:font="Wingdings 2" w:char="0052"/>
            </w:r>
          </w:p>
        </w:tc>
        <w:tc>
          <w:tcPr>
            <w:tcW w:w="617" w:type="dxa"/>
            <w:gridSpan w:val="4"/>
            <w:vAlign w:val="center"/>
          </w:tcPr>
          <w:p w:rsidR="00525419" w:rsidRDefault="00EE1CF7">
            <w:pPr>
              <w:pStyle w:val="B2"/>
              <w:rPr>
                <w:rFonts w:cs="Times New Roman"/>
              </w:rPr>
            </w:pPr>
            <w:r>
              <w:rPr>
                <w:rFonts w:cs="Times New Roman"/>
              </w:rPr>
              <w:t>ADMS</w:t>
            </w:r>
          </w:p>
          <w:p w:rsidR="00525419" w:rsidRDefault="00EE1CF7">
            <w:pPr>
              <w:pStyle w:val="B2"/>
              <w:rPr>
                <w:rFonts w:cs="Times New Roman"/>
              </w:rPr>
            </w:pPr>
            <w:r>
              <w:rPr>
                <w:rFonts w:cs="Times New Roman"/>
              </w:rPr>
              <w:sym w:font="Wingdings 2" w:char="00A3"/>
            </w:r>
          </w:p>
        </w:tc>
        <w:tc>
          <w:tcPr>
            <w:tcW w:w="1259" w:type="dxa"/>
            <w:gridSpan w:val="4"/>
            <w:vAlign w:val="center"/>
          </w:tcPr>
          <w:p w:rsidR="00525419" w:rsidRDefault="00EE1CF7">
            <w:pPr>
              <w:pStyle w:val="B2"/>
              <w:rPr>
                <w:rFonts w:cs="Times New Roman"/>
              </w:rPr>
            </w:pPr>
            <w:r>
              <w:rPr>
                <w:rFonts w:cs="Times New Roman"/>
              </w:rPr>
              <w:t>AUSTAL2000</w:t>
            </w:r>
          </w:p>
          <w:p w:rsidR="00525419" w:rsidRDefault="00EE1CF7">
            <w:pPr>
              <w:pStyle w:val="B2"/>
              <w:rPr>
                <w:rFonts w:cs="Times New Roman"/>
              </w:rPr>
            </w:pPr>
            <w:r>
              <w:rPr>
                <w:rFonts w:cs="Times New Roman"/>
              </w:rPr>
              <w:sym w:font="Wingdings 2" w:char="00A3"/>
            </w:r>
          </w:p>
        </w:tc>
        <w:tc>
          <w:tcPr>
            <w:tcW w:w="1212" w:type="dxa"/>
            <w:gridSpan w:val="6"/>
            <w:vAlign w:val="center"/>
          </w:tcPr>
          <w:p w:rsidR="00525419" w:rsidRDefault="00EE1CF7">
            <w:pPr>
              <w:pStyle w:val="B2"/>
              <w:rPr>
                <w:rFonts w:cs="Times New Roman"/>
              </w:rPr>
            </w:pPr>
            <w:r>
              <w:rPr>
                <w:rFonts w:cs="Times New Roman"/>
              </w:rPr>
              <w:t>EDMS/AEDT</w:t>
            </w:r>
          </w:p>
          <w:p w:rsidR="00525419" w:rsidRDefault="00EE1CF7">
            <w:pPr>
              <w:pStyle w:val="B2"/>
              <w:rPr>
                <w:rFonts w:cs="Times New Roman"/>
              </w:rPr>
            </w:pPr>
            <w:r>
              <w:rPr>
                <w:rFonts w:cs="Times New Roman"/>
              </w:rPr>
              <w:sym w:font="Wingdings 2" w:char="00A3"/>
            </w:r>
          </w:p>
        </w:tc>
        <w:tc>
          <w:tcPr>
            <w:tcW w:w="933" w:type="dxa"/>
            <w:gridSpan w:val="4"/>
            <w:vAlign w:val="center"/>
          </w:tcPr>
          <w:p w:rsidR="00525419" w:rsidRDefault="00EE1CF7">
            <w:pPr>
              <w:pStyle w:val="B2"/>
              <w:rPr>
                <w:rFonts w:cs="Times New Roman"/>
              </w:rPr>
            </w:pPr>
            <w:r>
              <w:rPr>
                <w:rFonts w:cs="Times New Roman"/>
              </w:rPr>
              <w:t>CALPUFF</w:t>
            </w:r>
          </w:p>
          <w:p w:rsidR="00525419" w:rsidRDefault="00EE1CF7">
            <w:pPr>
              <w:pStyle w:val="B2"/>
              <w:rPr>
                <w:rFonts w:cs="Times New Roman"/>
              </w:rPr>
            </w:pPr>
            <w:r>
              <w:rPr>
                <w:rFonts w:cs="Times New Roman"/>
              </w:rPr>
              <w:sym w:font="Wingdings 2" w:char="00A3"/>
            </w:r>
          </w:p>
        </w:tc>
        <w:tc>
          <w:tcPr>
            <w:tcW w:w="745" w:type="dxa"/>
            <w:gridSpan w:val="2"/>
            <w:vAlign w:val="center"/>
          </w:tcPr>
          <w:p w:rsidR="00525419" w:rsidRDefault="00EE1CF7">
            <w:pPr>
              <w:pStyle w:val="B2"/>
              <w:rPr>
                <w:rFonts w:cs="Times New Roman"/>
              </w:rPr>
            </w:pPr>
            <w:r>
              <w:rPr>
                <w:rFonts w:cs="Times New Roman"/>
              </w:rPr>
              <w:t>网络</w:t>
            </w:r>
          </w:p>
          <w:p w:rsidR="00525419" w:rsidRDefault="00EE1CF7">
            <w:pPr>
              <w:pStyle w:val="B2"/>
              <w:rPr>
                <w:rFonts w:cs="Times New Roman"/>
              </w:rPr>
            </w:pPr>
            <w:r>
              <w:rPr>
                <w:rFonts w:cs="Times New Roman"/>
              </w:rPr>
              <w:t>模型</w:t>
            </w:r>
          </w:p>
          <w:p w:rsidR="00525419" w:rsidRDefault="00EE1CF7">
            <w:pPr>
              <w:pStyle w:val="B2"/>
              <w:rPr>
                <w:rFonts w:cs="Times New Roman"/>
              </w:rPr>
            </w:pPr>
            <w:r>
              <w:rPr>
                <w:rFonts w:cs="Times New Roman"/>
              </w:rPr>
              <w:sym w:font="Wingdings 2" w:char="00A3"/>
            </w:r>
          </w:p>
        </w:tc>
        <w:tc>
          <w:tcPr>
            <w:tcW w:w="515" w:type="dxa"/>
            <w:vAlign w:val="center"/>
          </w:tcPr>
          <w:p w:rsidR="00525419" w:rsidRDefault="00EE1CF7">
            <w:pPr>
              <w:pStyle w:val="B2"/>
              <w:rPr>
                <w:rFonts w:cs="Times New Roman"/>
              </w:rPr>
            </w:pPr>
            <w:r>
              <w:rPr>
                <w:rFonts w:cs="Times New Roman"/>
              </w:rPr>
              <w:t>其他</w:t>
            </w:r>
          </w:p>
          <w:p w:rsidR="00525419" w:rsidRDefault="00EE1CF7">
            <w:pPr>
              <w:pStyle w:val="B2"/>
              <w:rPr>
                <w:rFonts w:cs="Times New Roman"/>
              </w:rPr>
            </w:pPr>
            <w:r>
              <w:rPr>
                <w:rFonts w:cs="Times New Roman"/>
              </w:rPr>
              <w:sym w:font="Wingdings 2" w:char="00A3"/>
            </w:r>
          </w:p>
        </w:tc>
      </w:tr>
      <w:tr w:rsidR="00525419">
        <w:trPr>
          <w:trHeight w:val="397"/>
          <w:jc w:val="center"/>
        </w:trPr>
        <w:tc>
          <w:tcPr>
            <w:tcW w:w="671" w:type="dxa"/>
            <w:vMerge/>
            <w:vAlign w:val="center"/>
          </w:tcPr>
          <w:p w:rsidR="00525419" w:rsidRDefault="00525419">
            <w:pPr>
              <w:pStyle w:val="B2"/>
              <w:rPr>
                <w:rFonts w:cs="Times New Roman"/>
              </w:rPr>
            </w:pPr>
          </w:p>
        </w:tc>
        <w:tc>
          <w:tcPr>
            <w:tcW w:w="1455" w:type="dxa"/>
            <w:vAlign w:val="center"/>
          </w:tcPr>
          <w:p w:rsidR="00525419" w:rsidRDefault="00EE1CF7">
            <w:pPr>
              <w:pStyle w:val="B2"/>
              <w:rPr>
                <w:rFonts w:cs="Times New Roman"/>
              </w:rPr>
            </w:pPr>
            <w:r>
              <w:rPr>
                <w:rFonts w:cs="Times New Roman"/>
              </w:rPr>
              <w:t>预测范围</w:t>
            </w:r>
          </w:p>
        </w:tc>
        <w:tc>
          <w:tcPr>
            <w:tcW w:w="1871" w:type="dxa"/>
            <w:gridSpan w:val="8"/>
            <w:vAlign w:val="center"/>
          </w:tcPr>
          <w:p w:rsidR="00525419" w:rsidRDefault="00EE1CF7">
            <w:pPr>
              <w:pStyle w:val="B2"/>
              <w:rPr>
                <w:rFonts w:cs="Times New Roman"/>
              </w:rPr>
            </w:pPr>
            <w:r>
              <w:rPr>
                <w:rFonts w:cs="Times New Roman"/>
              </w:rPr>
              <w:t>边长</w:t>
            </w:r>
            <w:r>
              <w:rPr>
                <w:rFonts w:cs="Times New Roman"/>
              </w:rPr>
              <w:t>≥50km</w:t>
            </w:r>
            <w:r>
              <w:rPr>
                <w:rFonts w:cs="Times New Roman"/>
              </w:rPr>
              <w:sym w:font="Wingdings 2" w:char="00A3"/>
            </w:r>
          </w:p>
        </w:tc>
        <w:tc>
          <w:tcPr>
            <w:tcW w:w="2370" w:type="dxa"/>
            <w:gridSpan w:val="9"/>
            <w:vAlign w:val="center"/>
          </w:tcPr>
          <w:p w:rsidR="00525419" w:rsidRDefault="00EE1CF7">
            <w:pPr>
              <w:pStyle w:val="B2"/>
              <w:rPr>
                <w:rFonts w:cs="Times New Roman"/>
              </w:rPr>
            </w:pPr>
            <w:r>
              <w:rPr>
                <w:rFonts w:cs="Times New Roman"/>
              </w:rPr>
              <w:t>边长</w:t>
            </w:r>
            <w:r>
              <w:rPr>
                <w:rFonts w:cs="Times New Roman"/>
              </w:rPr>
              <w:t>5~50km</w:t>
            </w:r>
            <w:r>
              <w:rPr>
                <w:rFonts w:cs="Times New Roman"/>
              </w:rPr>
              <w:sym w:font="Wingdings 2" w:char="0052"/>
            </w:r>
          </w:p>
        </w:tc>
        <w:tc>
          <w:tcPr>
            <w:tcW w:w="1961" w:type="dxa"/>
            <w:gridSpan w:val="6"/>
            <w:vAlign w:val="center"/>
          </w:tcPr>
          <w:p w:rsidR="00525419" w:rsidRDefault="00EE1CF7">
            <w:pPr>
              <w:pStyle w:val="B2"/>
              <w:rPr>
                <w:rFonts w:cs="Times New Roman"/>
              </w:rPr>
            </w:pPr>
            <w:r>
              <w:rPr>
                <w:rFonts w:cs="Times New Roman"/>
              </w:rPr>
              <w:t>边长</w:t>
            </w:r>
            <w:r>
              <w:rPr>
                <w:rFonts w:cs="Times New Roman"/>
              </w:rPr>
              <w:t>=5km</w:t>
            </w:r>
            <w:r>
              <w:rPr>
                <w:rFonts w:cs="Times New Roman"/>
              </w:rPr>
              <w:sym w:font="Wingdings 2" w:char="00A3"/>
            </w:r>
          </w:p>
        </w:tc>
      </w:tr>
      <w:tr w:rsidR="00525419">
        <w:trPr>
          <w:trHeight w:val="397"/>
          <w:jc w:val="center"/>
        </w:trPr>
        <w:tc>
          <w:tcPr>
            <w:tcW w:w="671" w:type="dxa"/>
            <w:vMerge/>
            <w:vAlign w:val="center"/>
          </w:tcPr>
          <w:p w:rsidR="00525419" w:rsidRDefault="00525419">
            <w:pPr>
              <w:pStyle w:val="B2"/>
              <w:rPr>
                <w:rFonts w:cs="Times New Roman"/>
              </w:rPr>
            </w:pPr>
          </w:p>
        </w:tc>
        <w:tc>
          <w:tcPr>
            <w:tcW w:w="1455" w:type="dxa"/>
            <w:vAlign w:val="center"/>
          </w:tcPr>
          <w:p w:rsidR="00525419" w:rsidRDefault="00EE1CF7">
            <w:pPr>
              <w:pStyle w:val="B2"/>
              <w:rPr>
                <w:rFonts w:cs="Times New Roman"/>
              </w:rPr>
            </w:pPr>
            <w:r>
              <w:rPr>
                <w:rFonts w:cs="Times New Roman"/>
              </w:rPr>
              <w:t>预测因子</w:t>
            </w:r>
          </w:p>
        </w:tc>
        <w:tc>
          <w:tcPr>
            <w:tcW w:w="3642" w:type="dxa"/>
            <w:gridSpan w:val="14"/>
            <w:vAlign w:val="center"/>
          </w:tcPr>
          <w:p w:rsidR="00525419" w:rsidRDefault="00EE1CF7">
            <w:pPr>
              <w:pStyle w:val="B2"/>
              <w:rPr>
                <w:rFonts w:cs="Times New Roman"/>
              </w:rPr>
            </w:pPr>
            <w:r>
              <w:rPr>
                <w:rFonts w:cs="Times New Roman"/>
              </w:rPr>
              <w:t>预测因子（</w:t>
            </w:r>
            <w:r>
              <w:rPr>
                <w:rFonts w:cs="Times New Roman"/>
              </w:rPr>
              <w:t>NMHC</w:t>
            </w:r>
            <w:r>
              <w:rPr>
                <w:rFonts w:cs="Times New Roman"/>
              </w:rPr>
              <w:t>、</w:t>
            </w:r>
            <w:r>
              <w:rPr>
                <w:rFonts w:cs="Times New Roman"/>
              </w:rPr>
              <w:t>SO</w:t>
            </w:r>
            <w:r>
              <w:rPr>
                <w:rFonts w:cs="Times New Roman"/>
                <w:vertAlign w:val="subscript"/>
              </w:rPr>
              <w:t>2</w:t>
            </w:r>
            <w:r>
              <w:rPr>
                <w:rFonts w:cs="Times New Roman"/>
              </w:rPr>
              <w:t>、</w:t>
            </w:r>
            <w:r>
              <w:rPr>
                <w:rFonts w:cs="Times New Roman"/>
              </w:rPr>
              <w:t>NO</w:t>
            </w:r>
            <w:r>
              <w:rPr>
                <w:rFonts w:cs="Times New Roman"/>
                <w:vertAlign w:val="subscript"/>
              </w:rPr>
              <w:t>2</w:t>
            </w:r>
            <w:r>
              <w:rPr>
                <w:rFonts w:cs="Times New Roman"/>
              </w:rPr>
              <w:t>、</w:t>
            </w:r>
            <w:r>
              <w:rPr>
                <w:rFonts w:cs="Times New Roman"/>
              </w:rPr>
              <w:t>PM</w:t>
            </w:r>
            <w:r>
              <w:rPr>
                <w:rFonts w:cs="Times New Roman"/>
                <w:vertAlign w:val="subscript"/>
              </w:rPr>
              <w:t>10</w:t>
            </w:r>
            <w:r>
              <w:rPr>
                <w:rFonts w:cs="Times New Roman"/>
              </w:rPr>
              <w:t>）</w:t>
            </w:r>
          </w:p>
        </w:tc>
        <w:tc>
          <w:tcPr>
            <w:tcW w:w="2560" w:type="dxa"/>
            <w:gridSpan w:val="9"/>
            <w:vAlign w:val="center"/>
          </w:tcPr>
          <w:p w:rsidR="00525419" w:rsidRDefault="00EE1CF7">
            <w:pPr>
              <w:pStyle w:val="B2"/>
              <w:rPr>
                <w:rFonts w:cs="Times New Roman"/>
              </w:rPr>
            </w:pPr>
            <w:r>
              <w:rPr>
                <w:rFonts w:cs="Times New Roman"/>
              </w:rPr>
              <w:t xml:space="preserve">  </w:t>
            </w:r>
            <w:r>
              <w:rPr>
                <w:rFonts w:cs="Times New Roman"/>
              </w:rPr>
              <w:t>包括二次</w:t>
            </w:r>
            <w:r>
              <w:rPr>
                <w:rFonts w:cs="Times New Roman"/>
              </w:rPr>
              <w:t>PM</w:t>
            </w:r>
            <w:r>
              <w:rPr>
                <w:rFonts w:cs="Times New Roman"/>
                <w:vertAlign w:val="subscript"/>
              </w:rPr>
              <w:t>2.5</w:t>
            </w:r>
            <w:r>
              <w:rPr>
                <w:rFonts w:cs="Times New Roman"/>
              </w:rPr>
              <w:sym w:font="Wingdings 2" w:char="00A3"/>
            </w:r>
          </w:p>
          <w:p w:rsidR="00525419" w:rsidRDefault="00EE1CF7">
            <w:pPr>
              <w:pStyle w:val="B2"/>
              <w:rPr>
                <w:rFonts w:cs="Times New Roman"/>
              </w:rPr>
            </w:pPr>
            <w:r>
              <w:rPr>
                <w:rFonts w:cs="Times New Roman"/>
              </w:rPr>
              <w:t>不包括二次</w:t>
            </w:r>
            <w:r>
              <w:rPr>
                <w:rFonts w:cs="Times New Roman"/>
              </w:rPr>
              <w:t>PM</w:t>
            </w:r>
            <w:r>
              <w:rPr>
                <w:rFonts w:cs="Times New Roman"/>
                <w:vertAlign w:val="subscript"/>
              </w:rPr>
              <w:t>2.5</w:t>
            </w:r>
            <w:r>
              <w:rPr>
                <w:rFonts w:cs="Times New Roman"/>
              </w:rPr>
              <w:sym w:font="Wingdings 2" w:char="0052"/>
            </w:r>
          </w:p>
        </w:tc>
      </w:tr>
      <w:tr w:rsidR="00525419">
        <w:trPr>
          <w:trHeight w:val="397"/>
          <w:jc w:val="center"/>
        </w:trPr>
        <w:tc>
          <w:tcPr>
            <w:tcW w:w="671" w:type="dxa"/>
            <w:vMerge/>
            <w:vAlign w:val="center"/>
          </w:tcPr>
          <w:p w:rsidR="00525419" w:rsidRDefault="00525419">
            <w:pPr>
              <w:pStyle w:val="B2"/>
              <w:rPr>
                <w:rFonts w:cs="Times New Roman"/>
              </w:rPr>
            </w:pPr>
          </w:p>
        </w:tc>
        <w:tc>
          <w:tcPr>
            <w:tcW w:w="1455" w:type="dxa"/>
            <w:vAlign w:val="center"/>
          </w:tcPr>
          <w:p w:rsidR="00525419" w:rsidRDefault="00EE1CF7">
            <w:pPr>
              <w:pStyle w:val="B2"/>
              <w:rPr>
                <w:rFonts w:cs="Times New Roman"/>
              </w:rPr>
            </w:pPr>
            <w:r>
              <w:rPr>
                <w:rFonts w:cs="Times New Roman"/>
              </w:rPr>
              <w:t>正常排放短期浓度贡献值</w:t>
            </w:r>
          </w:p>
        </w:tc>
        <w:tc>
          <w:tcPr>
            <w:tcW w:w="3642" w:type="dxa"/>
            <w:gridSpan w:val="14"/>
            <w:vAlign w:val="center"/>
          </w:tcPr>
          <w:p w:rsidR="00525419" w:rsidRDefault="00EE1CF7">
            <w:pPr>
              <w:pStyle w:val="B2"/>
              <w:rPr>
                <w:rFonts w:cs="Times New Roman"/>
              </w:rPr>
            </w:pPr>
            <w:r>
              <w:rPr>
                <w:rFonts w:cs="Times New Roman"/>
                <w:i/>
                <w:iCs/>
              </w:rPr>
              <w:t>C</w:t>
            </w:r>
            <w:r>
              <w:rPr>
                <w:rFonts w:cs="Times New Roman"/>
                <w:vertAlign w:val="subscript"/>
              </w:rPr>
              <w:t>本项目</w:t>
            </w:r>
            <w:r>
              <w:rPr>
                <w:rFonts w:cs="Times New Roman"/>
              </w:rPr>
              <w:t>最大占标率</w:t>
            </w:r>
            <w:r>
              <w:rPr>
                <w:rFonts w:cs="Times New Roman"/>
              </w:rPr>
              <w:t>≤100%</w:t>
            </w:r>
            <w:r>
              <w:rPr>
                <w:rFonts w:cs="Times New Roman"/>
              </w:rPr>
              <w:sym w:font="Wingdings 2" w:char="0052"/>
            </w:r>
          </w:p>
        </w:tc>
        <w:tc>
          <w:tcPr>
            <w:tcW w:w="2560" w:type="dxa"/>
            <w:gridSpan w:val="9"/>
            <w:vAlign w:val="center"/>
          </w:tcPr>
          <w:p w:rsidR="00525419" w:rsidRDefault="00EE1CF7">
            <w:pPr>
              <w:pStyle w:val="B2"/>
              <w:rPr>
                <w:rFonts w:cs="Times New Roman"/>
              </w:rPr>
            </w:pPr>
            <w:r>
              <w:rPr>
                <w:rFonts w:cs="Times New Roman"/>
                <w:i/>
                <w:iCs/>
              </w:rPr>
              <w:t>C</w:t>
            </w:r>
            <w:r>
              <w:rPr>
                <w:rFonts w:cs="Times New Roman"/>
                <w:vertAlign w:val="subscript"/>
              </w:rPr>
              <w:t>本项目</w:t>
            </w:r>
            <w:r>
              <w:rPr>
                <w:rFonts w:cs="Times New Roman"/>
              </w:rPr>
              <w:t>最大占标率＞</w:t>
            </w:r>
            <w:r>
              <w:rPr>
                <w:rFonts w:cs="Times New Roman"/>
              </w:rPr>
              <w:t>100%</w:t>
            </w:r>
            <w:r>
              <w:rPr>
                <w:rFonts w:cs="Times New Roman"/>
              </w:rPr>
              <w:sym w:font="Wingdings 2" w:char="00A3"/>
            </w:r>
          </w:p>
        </w:tc>
      </w:tr>
      <w:tr w:rsidR="00525419">
        <w:trPr>
          <w:trHeight w:val="397"/>
          <w:jc w:val="center"/>
        </w:trPr>
        <w:tc>
          <w:tcPr>
            <w:tcW w:w="671" w:type="dxa"/>
            <w:vMerge/>
            <w:vAlign w:val="center"/>
          </w:tcPr>
          <w:p w:rsidR="00525419" w:rsidRDefault="00525419">
            <w:pPr>
              <w:pStyle w:val="B2"/>
              <w:rPr>
                <w:rFonts w:cs="Times New Roman"/>
              </w:rPr>
            </w:pPr>
          </w:p>
        </w:tc>
        <w:tc>
          <w:tcPr>
            <w:tcW w:w="1455" w:type="dxa"/>
            <w:vMerge w:val="restart"/>
            <w:vAlign w:val="center"/>
          </w:tcPr>
          <w:p w:rsidR="00525419" w:rsidRDefault="00EE1CF7">
            <w:pPr>
              <w:pStyle w:val="B2"/>
              <w:rPr>
                <w:rFonts w:cs="Times New Roman"/>
              </w:rPr>
            </w:pPr>
            <w:r>
              <w:rPr>
                <w:rFonts w:cs="Times New Roman"/>
              </w:rPr>
              <w:t>正常排放年均浓度贡献值</w:t>
            </w:r>
          </w:p>
        </w:tc>
        <w:tc>
          <w:tcPr>
            <w:tcW w:w="776" w:type="dxa"/>
            <w:vAlign w:val="center"/>
          </w:tcPr>
          <w:p w:rsidR="00525419" w:rsidRDefault="00EE1CF7">
            <w:pPr>
              <w:pStyle w:val="B2"/>
              <w:rPr>
                <w:rFonts w:cs="Times New Roman"/>
              </w:rPr>
            </w:pPr>
            <w:r>
              <w:rPr>
                <w:rFonts w:cs="Times New Roman"/>
              </w:rPr>
              <w:t>一类区</w:t>
            </w:r>
          </w:p>
        </w:tc>
        <w:tc>
          <w:tcPr>
            <w:tcW w:w="2866" w:type="dxa"/>
            <w:gridSpan w:val="13"/>
            <w:vAlign w:val="center"/>
          </w:tcPr>
          <w:p w:rsidR="00525419" w:rsidRDefault="00EE1CF7">
            <w:pPr>
              <w:pStyle w:val="B2"/>
              <w:rPr>
                <w:rFonts w:cs="Times New Roman"/>
              </w:rPr>
            </w:pPr>
            <w:r>
              <w:rPr>
                <w:rFonts w:cs="Times New Roman"/>
                <w:i/>
                <w:iCs/>
              </w:rPr>
              <w:t>C</w:t>
            </w:r>
            <w:r>
              <w:rPr>
                <w:rFonts w:cs="Times New Roman"/>
                <w:vertAlign w:val="subscript"/>
              </w:rPr>
              <w:t>本项目</w:t>
            </w:r>
            <w:r>
              <w:rPr>
                <w:rFonts w:cs="Times New Roman"/>
              </w:rPr>
              <w:t>最大占标率</w:t>
            </w:r>
            <w:r>
              <w:rPr>
                <w:rFonts w:cs="Times New Roman"/>
              </w:rPr>
              <w:t>≤10%</w:t>
            </w:r>
            <w:r>
              <w:rPr>
                <w:rFonts w:cs="Times New Roman"/>
              </w:rPr>
              <w:sym w:font="Wingdings 2" w:char="00A3"/>
            </w:r>
          </w:p>
        </w:tc>
        <w:tc>
          <w:tcPr>
            <w:tcW w:w="2560" w:type="dxa"/>
            <w:gridSpan w:val="9"/>
            <w:vAlign w:val="center"/>
          </w:tcPr>
          <w:p w:rsidR="00525419" w:rsidRDefault="00EE1CF7">
            <w:pPr>
              <w:pStyle w:val="B2"/>
              <w:rPr>
                <w:rFonts w:cs="Times New Roman"/>
              </w:rPr>
            </w:pPr>
            <w:r>
              <w:rPr>
                <w:rFonts w:cs="Times New Roman"/>
                <w:i/>
                <w:iCs/>
              </w:rPr>
              <w:t>C</w:t>
            </w:r>
            <w:r>
              <w:rPr>
                <w:rFonts w:cs="Times New Roman"/>
                <w:vertAlign w:val="subscript"/>
              </w:rPr>
              <w:t>本项目</w:t>
            </w:r>
            <w:r>
              <w:rPr>
                <w:rFonts w:cs="Times New Roman"/>
              </w:rPr>
              <w:t>最大占标率＞</w:t>
            </w:r>
            <w:r>
              <w:rPr>
                <w:rFonts w:cs="Times New Roman"/>
              </w:rPr>
              <w:t>10%</w:t>
            </w:r>
            <w:r>
              <w:rPr>
                <w:rFonts w:cs="Times New Roman"/>
              </w:rPr>
              <w:sym w:font="Wingdings 2" w:char="00A3"/>
            </w:r>
          </w:p>
        </w:tc>
      </w:tr>
      <w:tr w:rsidR="00525419">
        <w:trPr>
          <w:trHeight w:val="397"/>
          <w:jc w:val="center"/>
        </w:trPr>
        <w:tc>
          <w:tcPr>
            <w:tcW w:w="671" w:type="dxa"/>
            <w:vMerge/>
            <w:vAlign w:val="center"/>
          </w:tcPr>
          <w:p w:rsidR="00525419" w:rsidRDefault="00525419">
            <w:pPr>
              <w:pStyle w:val="B2"/>
              <w:rPr>
                <w:rFonts w:cs="Times New Roman"/>
              </w:rPr>
            </w:pPr>
          </w:p>
        </w:tc>
        <w:tc>
          <w:tcPr>
            <w:tcW w:w="1455" w:type="dxa"/>
            <w:vMerge/>
            <w:vAlign w:val="center"/>
          </w:tcPr>
          <w:p w:rsidR="00525419" w:rsidRDefault="00525419">
            <w:pPr>
              <w:pStyle w:val="B2"/>
              <w:rPr>
                <w:rFonts w:cs="Times New Roman"/>
              </w:rPr>
            </w:pPr>
          </w:p>
        </w:tc>
        <w:tc>
          <w:tcPr>
            <w:tcW w:w="776" w:type="dxa"/>
            <w:vAlign w:val="center"/>
          </w:tcPr>
          <w:p w:rsidR="00525419" w:rsidRDefault="00EE1CF7">
            <w:pPr>
              <w:pStyle w:val="B2"/>
              <w:rPr>
                <w:rFonts w:cs="Times New Roman"/>
              </w:rPr>
            </w:pPr>
            <w:r>
              <w:rPr>
                <w:rFonts w:cs="Times New Roman"/>
              </w:rPr>
              <w:t>二类区</w:t>
            </w:r>
          </w:p>
        </w:tc>
        <w:tc>
          <w:tcPr>
            <w:tcW w:w="2866" w:type="dxa"/>
            <w:gridSpan w:val="13"/>
            <w:vAlign w:val="center"/>
          </w:tcPr>
          <w:p w:rsidR="00525419" w:rsidRDefault="00EE1CF7">
            <w:pPr>
              <w:pStyle w:val="B2"/>
              <w:rPr>
                <w:rFonts w:cs="Times New Roman"/>
              </w:rPr>
            </w:pPr>
            <w:r>
              <w:rPr>
                <w:rFonts w:cs="Times New Roman"/>
                <w:i/>
                <w:iCs/>
              </w:rPr>
              <w:t>C</w:t>
            </w:r>
            <w:r>
              <w:rPr>
                <w:rFonts w:cs="Times New Roman"/>
                <w:vertAlign w:val="subscript"/>
              </w:rPr>
              <w:t>本项目</w:t>
            </w:r>
            <w:r>
              <w:rPr>
                <w:rFonts w:cs="Times New Roman"/>
              </w:rPr>
              <w:t>最大占标率</w:t>
            </w:r>
            <w:r>
              <w:rPr>
                <w:rFonts w:cs="Times New Roman"/>
              </w:rPr>
              <w:t>≤30%</w:t>
            </w:r>
            <w:r>
              <w:rPr>
                <w:rFonts w:cs="Times New Roman"/>
              </w:rPr>
              <w:sym w:font="Wingdings 2" w:char="0052"/>
            </w:r>
          </w:p>
        </w:tc>
        <w:tc>
          <w:tcPr>
            <w:tcW w:w="2560" w:type="dxa"/>
            <w:gridSpan w:val="9"/>
            <w:vAlign w:val="center"/>
          </w:tcPr>
          <w:p w:rsidR="00525419" w:rsidRDefault="00EE1CF7">
            <w:pPr>
              <w:pStyle w:val="B2"/>
              <w:rPr>
                <w:rFonts w:cs="Times New Roman"/>
              </w:rPr>
            </w:pPr>
            <w:r>
              <w:rPr>
                <w:rFonts w:cs="Times New Roman"/>
                <w:i/>
                <w:iCs/>
              </w:rPr>
              <w:t>C</w:t>
            </w:r>
            <w:r>
              <w:rPr>
                <w:rFonts w:cs="Times New Roman"/>
                <w:vertAlign w:val="subscript"/>
              </w:rPr>
              <w:t>本项目</w:t>
            </w:r>
            <w:r>
              <w:rPr>
                <w:rFonts w:cs="Times New Roman"/>
              </w:rPr>
              <w:t>最大占标率＞</w:t>
            </w:r>
            <w:r>
              <w:rPr>
                <w:rFonts w:cs="Times New Roman"/>
              </w:rPr>
              <w:t>30%</w:t>
            </w:r>
            <w:r>
              <w:rPr>
                <w:rFonts w:cs="Times New Roman"/>
              </w:rPr>
              <w:sym w:font="Wingdings 2" w:char="00A3"/>
            </w:r>
          </w:p>
        </w:tc>
      </w:tr>
      <w:tr w:rsidR="00525419">
        <w:trPr>
          <w:trHeight w:val="397"/>
          <w:jc w:val="center"/>
        </w:trPr>
        <w:tc>
          <w:tcPr>
            <w:tcW w:w="671" w:type="dxa"/>
            <w:vMerge/>
            <w:vAlign w:val="center"/>
          </w:tcPr>
          <w:p w:rsidR="00525419" w:rsidRDefault="00525419">
            <w:pPr>
              <w:pStyle w:val="B2"/>
              <w:rPr>
                <w:rFonts w:cs="Times New Roman"/>
              </w:rPr>
            </w:pPr>
          </w:p>
        </w:tc>
        <w:tc>
          <w:tcPr>
            <w:tcW w:w="1455" w:type="dxa"/>
            <w:vAlign w:val="center"/>
          </w:tcPr>
          <w:p w:rsidR="00525419" w:rsidRDefault="00EE1CF7">
            <w:pPr>
              <w:pStyle w:val="B2"/>
              <w:rPr>
                <w:rFonts w:cs="Times New Roman"/>
              </w:rPr>
            </w:pPr>
            <w:r>
              <w:rPr>
                <w:rFonts w:cs="Times New Roman"/>
              </w:rPr>
              <w:t>非正常排放</w:t>
            </w:r>
            <w:r>
              <w:rPr>
                <w:rFonts w:cs="Times New Roman"/>
              </w:rPr>
              <w:t>1h</w:t>
            </w:r>
            <w:r>
              <w:rPr>
                <w:rFonts w:cs="Times New Roman"/>
              </w:rPr>
              <w:t>浓度贡献值</w:t>
            </w:r>
          </w:p>
        </w:tc>
        <w:tc>
          <w:tcPr>
            <w:tcW w:w="1268" w:type="dxa"/>
            <w:gridSpan w:val="3"/>
            <w:vAlign w:val="center"/>
          </w:tcPr>
          <w:p w:rsidR="00525419" w:rsidRDefault="00EE1CF7">
            <w:pPr>
              <w:pStyle w:val="B2"/>
              <w:rPr>
                <w:rFonts w:cs="Times New Roman"/>
              </w:rPr>
            </w:pPr>
            <w:r>
              <w:rPr>
                <w:rFonts w:cs="Times New Roman"/>
              </w:rPr>
              <w:t>非正常持续时长</w:t>
            </w:r>
            <w:r>
              <w:rPr>
                <w:rFonts w:cs="Times New Roman"/>
              </w:rPr>
              <w:t>1h</w:t>
            </w:r>
          </w:p>
        </w:tc>
        <w:tc>
          <w:tcPr>
            <w:tcW w:w="2615" w:type="dxa"/>
            <w:gridSpan w:val="12"/>
            <w:vAlign w:val="center"/>
          </w:tcPr>
          <w:p w:rsidR="00525419" w:rsidRDefault="00EE1CF7">
            <w:pPr>
              <w:pStyle w:val="B2"/>
              <w:rPr>
                <w:rFonts w:cs="Times New Roman"/>
              </w:rPr>
            </w:pPr>
            <w:r>
              <w:rPr>
                <w:rFonts w:cs="Times New Roman"/>
                <w:i/>
                <w:iCs/>
              </w:rPr>
              <w:t>C</w:t>
            </w:r>
            <w:r>
              <w:rPr>
                <w:rFonts w:cs="Times New Roman"/>
                <w:vertAlign w:val="subscript"/>
              </w:rPr>
              <w:t>非正常</w:t>
            </w:r>
            <w:r>
              <w:rPr>
                <w:rFonts w:cs="Times New Roman"/>
              </w:rPr>
              <w:t>最大占标率</w:t>
            </w:r>
            <w:r>
              <w:rPr>
                <w:rFonts w:cs="Times New Roman"/>
              </w:rPr>
              <w:t>≤100%</w:t>
            </w:r>
            <w:r>
              <w:rPr>
                <w:rFonts w:cs="Times New Roman"/>
              </w:rPr>
              <w:sym w:font="Wingdings 2" w:char="0052"/>
            </w:r>
          </w:p>
        </w:tc>
        <w:tc>
          <w:tcPr>
            <w:tcW w:w="2319" w:type="dxa"/>
            <w:gridSpan w:val="8"/>
            <w:vAlign w:val="center"/>
          </w:tcPr>
          <w:p w:rsidR="00525419" w:rsidRDefault="00EE1CF7">
            <w:pPr>
              <w:pStyle w:val="B2"/>
              <w:rPr>
                <w:rFonts w:cs="Times New Roman"/>
              </w:rPr>
            </w:pPr>
            <w:r>
              <w:rPr>
                <w:rFonts w:cs="Times New Roman"/>
                <w:i/>
                <w:iCs/>
              </w:rPr>
              <w:t>C</w:t>
            </w:r>
            <w:r>
              <w:rPr>
                <w:rFonts w:cs="Times New Roman"/>
                <w:vertAlign w:val="subscript"/>
              </w:rPr>
              <w:t>非正常</w:t>
            </w:r>
            <w:r>
              <w:rPr>
                <w:rFonts w:cs="Times New Roman"/>
              </w:rPr>
              <w:t>最大占标率＞</w:t>
            </w:r>
            <w:r>
              <w:rPr>
                <w:rFonts w:cs="Times New Roman"/>
              </w:rPr>
              <w:t>100%</w:t>
            </w:r>
            <w:r>
              <w:rPr>
                <w:rFonts w:cs="Times New Roman"/>
              </w:rPr>
              <w:sym w:font="Wingdings 2" w:char="00A3"/>
            </w:r>
          </w:p>
        </w:tc>
      </w:tr>
      <w:tr w:rsidR="00525419">
        <w:trPr>
          <w:trHeight w:val="397"/>
          <w:jc w:val="center"/>
        </w:trPr>
        <w:tc>
          <w:tcPr>
            <w:tcW w:w="671" w:type="dxa"/>
            <w:vMerge/>
            <w:vAlign w:val="center"/>
          </w:tcPr>
          <w:p w:rsidR="00525419" w:rsidRDefault="00525419">
            <w:pPr>
              <w:pStyle w:val="B2"/>
              <w:rPr>
                <w:rFonts w:cs="Times New Roman"/>
              </w:rPr>
            </w:pPr>
          </w:p>
        </w:tc>
        <w:tc>
          <w:tcPr>
            <w:tcW w:w="1455" w:type="dxa"/>
            <w:vAlign w:val="center"/>
          </w:tcPr>
          <w:p w:rsidR="00525419" w:rsidRDefault="00EE1CF7">
            <w:pPr>
              <w:pStyle w:val="B2"/>
              <w:rPr>
                <w:rFonts w:cs="Times New Roman"/>
              </w:rPr>
            </w:pPr>
            <w:r>
              <w:rPr>
                <w:rFonts w:cs="Times New Roman"/>
              </w:rPr>
              <w:t>保证率日平均浓度和年平均浓度叠加值</w:t>
            </w:r>
          </w:p>
        </w:tc>
        <w:tc>
          <w:tcPr>
            <w:tcW w:w="3069" w:type="dxa"/>
            <w:gridSpan w:val="12"/>
            <w:vAlign w:val="center"/>
          </w:tcPr>
          <w:p w:rsidR="00525419" w:rsidRDefault="00EE1CF7">
            <w:pPr>
              <w:pStyle w:val="B2"/>
              <w:rPr>
                <w:rFonts w:cs="Times New Roman"/>
              </w:rPr>
            </w:pPr>
            <w:r>
              <w:rPr>
                <w:rFonts w:cs="Times New Roman"/>
                <w:i/>
                <w:iCs/>
              </w:rPr>
              <w:t>C</w:t>
            </w:r>
            <w:r>
              <w:rPr>
                <w:rFonts w:cs="Times New Roman"/>
                <w:vertAlign w:val="subscript"/>
              </w:rPr>
              <w:t>叠加</w:t>
            </w:r>
            <w:r>
              <w:rPr>
                <w:rFonts w:cs="Times New Roman"/>
              </w:rPr>
              <w:t>达标</w:t>
            </w:r>
            <w:r>
              <w:rPr>
                <w:rFonts w:cs="Times New Roman"/>
              </w:rPr>
              <w:sym w:font="Wingdings 2" w:char="0052"/>
            </w:r>
          </w:p>
        </w:tc>
        <w:tc>
          <w:tcPr>
            <w:tcW w:w="3133" w:type="dxa"/>
            <w:gridSpan w:val="11"/>
            <w:vAlign w:val="center"/>
          </w:tcPr>
          <w:p w:rsidR="00525419" w:rsidRDefault="00EE1CF7">
            <w:pPr>
              <w:pStyle w:val="B2"/>
              <w:rPr>
                <w:rFonts w:cs="Times New Roman"/>
              </w:rPr>
            </w:pPr>
            <w:r>
              <w:rPr>
                <w:rFonts w:cs="Times New Roman"/>
                <w:i/>
                <w:iCs/>
              </w:rPr>
              <w:t>C</w:t>
            </w:r>
            <w:r>
              <w:rPr>
                <w:rFonts w:cs="Times New Roman"/>
                <w:vertAlign w:val="subscript"/>
              </w:rPr>
              <w:t>叠加</w:t>
            </w:r>
            <w:r>
              <w:rPr>
                <w:rFonts w:cs="Times New Roman"/>
              </w:rPr>
              <w:t>不达标</w:t>
            </w:r>
            <w:r>
              <w:rPr>
                <w:rFonts w:cs="Times New Roman"/>
              </w:rPr>
              <w:sym w:font="Wingdings 2" w:char="00A3"/>
            </w:r>
          </w:p>
        </w:tc>
      </w:tr>
      <w:tr w:rsidR="00525419">
        <w:trPr>
          <w:trHeight w:val="397"/>
          <w:jc w:val="center"/>
        </w:trPr>
        <w:tc>
          <w:tcPr>
            <w:tcW w:w="671" w:type="dxa"/>
            <w:vMerge/>
            <w:vAlign w:val="center"/>
          </w:tcPr>
          <w:p w:rsidR="00525419" w:rsidRDefault="00525419">
            <w:pPr>
              <w:pStyle w:val="B2"/>
              <w:rPr>
                <w:rFonts w:cs="Times New Roman"/>
              </w:rPr>
            </w:pPr>
          </w:p>
        </w:tc>
        <w:tc>
          <w:tcPr>
            <w:tcW w:w="1455" w:type="dxa"/>
            <w:vAlign w:val="center"/>
          </w:tcPr>
          <w:p w:rsidR="00525419" w:rsidRDefault="00EE1CF7">
            <w:pPr>
              <w:pStyle w:val="B2"/>
              <w:rPr>
                <w:rFonts w:cs="Times New Roman"/>
              </w:rPr>
            </w:pPr>
            <w:r>
              <w:rPr>
                <w:rFonts w:cs="Times New Roman"/>
              </w:rPr>
              <w:t>区域环境质量的整体变化情况</w:t>
            </w:r>
          </w:p>
        </w:tc>
        <w:tc>
          <w:tcPr>
            <w:tcW w:w="3069" w:type="dxa"/>
            <w:gridSpan w:val="12"/>
            <w:vAlign w:val="center"/>
          </w:tcPr>
          <w:p w:rsidR="00525419" w:rsidRDefault="00EE1CF7">
            <w:pPr>
              <w:pStyle w:val="B2"/>
              <w:rPr>
                <w:rFonts w:cs="Times New Roman"/>
              </w:rPr>
            </w:pPr>
            <w:r>
              <w:rPr>
                <w:rFonts w:cs="Times New Roman"/>
                <w:i/>
                <w:iCs/>
              </w:rPr>
              <w:t>k</w:t>
            </w:r>
            <w:r>
              <w:rPr>
                <w:rFonts w:cs="Times New Roman"/>
              </w:rPr>
              <w:t>≤-20%</w:t>
            </w:r>
            <w:r>
              <w:rPr>
                <w:rFonts w:cs="Times New Roman"/>
              </w:rPr>
              <w:sym w:font="Wingdings 2" w:char="0052"/>
            </w:r>
          </w:p>
        </w:tc>
        <w:tc>
          <w:tcPr>
            <w:tcW w:w="3133" w:type="dxa"/>
            <w:gridSpan w:val="11"/>
            <w:vAlign w:val="center"/>
          </w:tcPr>
          <w:p w:rsidR="00525419" w:rsidRDefault="00EE1CF7">
            <w:pPr>
              <w:pStyle w:val="B2"/>
              <w:rPr>
                <w:rFonts w:cs="Times New Roman"/>
              </w:rPr>
            </w:pPr>
            <w:r>
              <w:rPr>
                <w:rFonts w:cs="Times New Roman"/>
                <w:i/>
                <w:iCs/>
              </w:rPr>
              <w:t>k</w:t>
            </w:r>
            <w:r>
              <w:rPr>
                <w:rFonts w:cs="Times New Roman"/>
              </w:rPr>
              <w:t>＞</w:t>
            </w:r>
            <w:r>
              <w:rPr>
                <w:rFonts w:cs="Times New Roman"/>
              </w:rPr>
              <w:t>20%</w:t>
            </w:r>
            <w:r>
              <w:rPr>
                <w:rFonts w:cs="Times New Roman"/>
              </w:rPr>
              <w:sym w:font="Wingdings 2" w:char="00A3"/>
            </w:r>
          </w:p>
        </w:tc>
      </w:tr>
      <w:tr w:rsidR="00525419">
        <w:trPr>
          <w:trHeight w:val="397"/>
          <w:jc w:val="center"/>
        </w:trPr>
        <w:tc>
          <w:tcPr>
            <w:tcW w:w="671" w:type="dxa"/>
            <w:vMerge w:val="restart"/>
            <w:vAlign w:val="center"/>
          </w:tcPr>
          <w:p w:rsidR="00525419" w:rsidRDefault="00EE1CF7">
            <w:pPr>
              <w:pStyle w:val="B2"/>
              <w:rPr>
                <w:rFonts w:cs="Times New Roman"/>
              </w:rPr>
            </w:pPr>
            <w:r>
              <w:rPr>
                <w:rFonts w:cs="Times New Roman"/>
              </w:rPr>
              <w:t>环境监测计划</w:t>
            </w:r>
          </w:p>
        </w:tc>
        <w:tc>
          <w:tcPr>
            <w:tcW w:w="1455" w:type="dxa"/>
            <w:vAlign w:val="center"/>
          </w:tcPr>
          <w:p w:rsidR="00525419" w:rsidRDefault="00EE1CF7">
            <w:pPr>
              <w:pStyle w:val="B2"/>
              <w:rPr>
                <w:rFonts w:cs="Times New Roman"/>
              </w:rPr>
            </w:pPr>
            <w:r>
              <w:rPr>
                <w:rFonts w:cs="Times New Roman"/>
              </w:rPr>
              <w:t>污染源监测</w:t>
            </w:r>
          </w:p>
        </w:tc>
        <w:tc>
          <w:tcPr>
            <w:tcW w:w="2505" w:type="dxa"/>
            <w:gridSpan w:val="9"/>
            <w:vAlign w:val="center"/>
          </w:tcPr>
          <w:p w:rsidR="00525419" w:rsidRDefault="00EE1CF7">
            <w:pPr>
              <w:pStyle w:val="B2"/>
              <w:rPr>
                <w:rFonts w:cs="Times New Roman"/>
              </w:rPr>
            </w:pPr>
            <w:r>
              <w:rPr>
                <w:rFonts w:cs="Times New Roman"/>
              </w:rPr>
              <w:t>监测因子（</w:t>
            </w:r>
            <w:r>
              <w:rPr>
                <w:rFonts w:cs="Times New Roman"/>
              </w:rPr>
              <w:t>NMHC</w:t>
            </w:r>
            <w:r>
              <w:rPr>
                <w:rFonts w:cs="Times New Roman"/>
              </w:rPr>
              <w:t>、</w:t>
            </w:r>
            <w:r>
              <w:rPr>
                <w:rFonts w:cs="Times New Roman"/>
              </w:rPr>
              <w:t>SO</w:t>
            </w:r>
            <w:r>
              <w:rPr>
                <w:rFonts w:cs="Times New Roman"/>
                <w:vertAlign w:val="subscript"/>
              </w:rPr>
              <w:t>2</w:t>
            </w:r>
            <w:r>
              <w:rPr>
                <w:rFonts w:cs="Times New Roman"/>
              </w:rPr>
              <w:t>、</w:t>
            </w:r>
            <w:r>
              <w:rPr>
                <w:rFonts w:cs="Times New Roman"/>
              </w:rPr>
              <w:t>NO</w:t>
            </w:r>
            <w:r>
              <w:rPr>
                <w:rFonts w:cs="Times New Roman"/>
                <w:vertAlign w:val="subscript"/>
              </w:rPr>
              <w:t>X</w:t>
            </w:r>
            <w:r>
              <w:rPr>
                <w:rFonts w:cs="Times New Roman"/>
              </w:rPr>
              <w:t>、</w:t>
            </w:r>
            <w:r>
              <w:rPr>
                <w:rFonts w:cs="Times New Roman"/>
              </w:rPr>
              <w:t>PM</w:t>
            </w:r>
            <w:r>
              <w:rPr>
                <w:rFonts w:cs="Times New Roman"/>
                <w:vertAlign w:val="subscript"/>
              </w:rPr>
              <w:t>10</w:t>
            </w:r>
            <w:r>
              <w:rPr>
                <w:rFonts w:cs="Times New Roman"/>
              </w:rPr>
              <w:t>、氨、硫化氢）</w:t>
            </w:r>
          </w:p>
        </w:tc>
        <w:tc>
          <w:tcPr>
            <w:tcW w:w="2788" w:type="dxa"/>
            <w:gridSpan w:val="12"/>
            <w:vAlign w:val="center"/>
          </w:tcPr>
          <w:p w:rsidR="00525419" w:rsidRDefault="00EE1CF7">
            <w:pPr>
              <w:pStyle w:val="B2"/>
              <w:rPr>
                <w:rFonts w:cs="Times New Roman"/>
              </w:rPr>
            </w:pPr>
            <w:r>
              <w:rPr>
                <w:rFonts w:cs="Times New Roman"/>
              </w:rPr>
              <w:t>有组织废气监测</w:t>
            </w:r>
            <w:r>
              <w:rPr>
                <w:rFonts w:cs="Times New Roman"/>
              </w:rPr>
              <w:t>√</w:t>
            </w:r>
          </w:p>
          <w:p w:rsidR="00525419" w:rsidRDefault="00EE1CF7">
            <w:pPr>
              <w:pStyle w:val="B2"/>
              <w:rPr>
                <w:rFonts w:cs="Times New Roman"/>
              </w:rPr>
            </w:pPr>
            <w:r>
              <w:rPr>
                <w:rFonts w:cs="Times New Roman"/>
              </w:rPr>
              <w:t>无组织废气监测</w:t>
            </w:r>
            <w:r>
              <w:rPr>
                <w:rFonts w:cs="Times New Roman"/>
              </w:rPr>
              <w:t>√</w:t>
            </w:r>
          </w:p>
        </w:tc>
        <w:tc>
          <w:tcPr>
            <w:tcW w:w="909" w:type="dxa"/>
            <w:gridSpan w:val="2"/>
            <w:vAlign w:val="center"/>
          </w:tcPr>
          <w:p w:rsidR="00525419" w:rsidRDefault="00EE1CF7">
            <w:pPr>
              <w:pStyle w:val="B2"/>
              <w:rPr>
                <w:rFonts w:cs="Times New Roman"/>
              </w:rPr>
            </w:pPr>
            <w:r>
              <w:rPr>
                <w:rFonts w:cs="Times New Roman"/>
              </w:rPr>
              <w:t>无监测</w:t>
            </w:r>
            <w:r>
              <w:rPr>
                <w:rFonts w:cs="Times New Roman"/>
              </w:rPr>
              <w:sym w:font="Wingdings 2" w:char="00A3"/>
            </w:r>
          </w:p>
        </w:tc>
      </w:tr>
      <w:tr w:rsidR="00525419">
        <w:trPr>
          <w:trHeight w:val="397"/>
          <w:jc w:val="center"/>
        </w:trPr>
        <w:tc>
          <w:tcPr>
            <w:tcW w:w="671" w:type="dxa"/>
            <w:vMerge/>
            <w:vAlign w:val="center"/>
          </w:tcPr>
          <w:p w:rsidR="00525419" w:rsidRDefault="00525419">
            <w:pPr>
              <w:pStyle w:val="B2"/>
              <w:rPr>
                <w:rFonts w:cs="Times New Roman"/>
              </w:rPr>
            </w:pPr>
          </w:p>
        </w:tc>
        <w:tc>
          <w:tcPr>
            <w:tcW w:w="1455" w:type="dxa"/>
            <w:vAlign w:val="center"/>
          </w:tcPr>
          <w:p w:rsidR="00525419" w:rsidRDefault="00EE1CF7">
            <w:pPr>
              <w:pStyle w:val="B2"/>
              <w:rPr>
                <w:rFonts w:cs="Times New Roman"/>
              </w:rPr>
            </w:pPr>
            <w:r>
              <w:rPr>
                <w:rFonts w:cs="Times New Roman"/>
              </w:rPr>
              <w:t>环境质量监测</w:t>
            </w:r>
          </w:p>
        </w:tc>
        <w:tc>
          <w:tcPr>
            <w:tcW w:w="2505" w:type="dxa"/>
            <w:gridSpan w:val="9"/>
            <w:vAlign w:val="center"/>
          </w:tcPr>
          <w:p w:rsidR="00525419" w:rsidRDefault="00EE1CF7">
            <w:pPr>
              <w:pStyle w:val="B2"/>
              <w:rPr>
                <w:rFonts w:cs="Times New Roman"/>
              </w:rPr>
            </w:pPr>
            <w:r>
              <w:rPr>
                <w:rFonts w:cs="Times New Roman"/>
              </w:rPr>
              <w:t>监测因子（</w:t>
            </w:r>
            <w:r>
              <w:rPr>
                <w:rFonts w:cs="Times New Roman"/>
              </w:rPr>
              <w:t>NMHC</w:t>
            </w:r>
            <w:r>
              <w:rPr>
                <w:rFonts w:cs="Times New Roman"/>
              </w:rPr>
              <w:t>、氨、硫化氢）</w:t>
            </w:r>
          </w:p>
        </w:tc>
        <w:tc>
          <w:tcPr>
            <w:tcW w:w="2788" w:type="dxa"/>
            <w:gridSpan w:val="12"/>
            <w:vAlign w:val="center"/>
          </w:tcPr>
          <w:p w:rsidR="00525419" w:rsidRDefault="00EE1CF7">
            <w:pPr>
              <w:pStyle w:val="B2"/>
              <w:rPr>
                <w:rFonts w:cs="Times New Roman"/>
              </w:rPr>
            </w:pPr>
            <w:r>
              <w:rPr>
                <w:rFonts w:cs="Times New Roman"/>
              </w:rPr>
              <w:t>监测点位数（</w:t>
            </w:r>
            <w:r>
              <w:rPr>
                <w:rFonts w:cs="Times New Roman"/>
              </w:rPr>
              <w:t>2</w:t>
            </w:r>
            <w:r>
              <w:rPr>
                <w:rFonts w:cs="Times New Roman"/>
              </w:rPr>
              <w:t>）</w:t>
            </w:r>
          </w:p>
        </w:tc>
        <w:tc>
          <w:tcPr>
            <w:tcW w:w="909" w:type="dxa"/>
            <w:gridSpan w:val="2"/>
            <w:vAlign w:val="center"/>
          </w:tcPr>
          <w:p w:rsidR="00525419" w:rsidRDefault="00EE1CF7">
            <w:pPr>
              <w:pStyle w:val="B2"/>
              <w:rPr>
                <w:rFonts w:cs="Times New Roman"/>
              </w:rPr>
            </w:pPr>
            <w:r>
              <w:rPr>
                <w:rFonts w:cs="Times New Roman"/>
              </w:rPr>
              <w:t>无监测</w:t>
            </w:r>
            <w:r>
              <w:rPr>
                <w:rFonts w:cs="Times New Roman"/>
              </w:rPr>
              <w:sym w:font="Wingdings 2" w:char="00A3"/>
            </w:r>
          </w:p>
        </w:tc>
      </w:tr>
      <w:tr w:rsidR="00525419">
        <w:trPr>
          <w:trHeight w:val="397"/>
          <w:jc w:val="center"/>
        </w:trPr>
        <w:tc>
          <w:tcPr>
            <w:tcW w:w="671" w:type="dxa"/>
            <w:vMerge w:val="restart"/>
            <w:vAlign w:val="center"/>
          </w:tcPr>
          <w:p w:rsidR="00525419" w:rsidRDefault="00EE1CF7">
            <w:pPr>
              <w:pStyle w:val="B2"/>
              <w:rPr>
                <w:rFonts w:cs="Times New Roman"/>
              </w:rPr>
            </w:pPr>
            <w:r>
              <w:rPr>
                <w:rFonts w:cs="Times New Roman"/>
              </w:rPr>
              <w:t>评价</w:t>
            </w:r>
          </w:p>
          <w:p w:rsidR="00525419" w:rsidRDefault="00EE1CF7">
            <w:pPr>
              <w:pStyle w:val="B2"/>
              <w:rPr>
                <w:rFonts w:cs="Times New Roman"/>
              </w:rPr>
            </w:pPr>
            <w:r>
              <w:rPr>
                <w:rFonts w:cs="Times New Roman"/>
              </w:rPr>
              <w:t>结论</w:t>
            </w:r>
          </w:p>
        </w:tc>
        <w:tc>
          <w:tcPr>
            <w:tcW w:w="1455" w:type="dxa"/>
            <w:vAlign w:val="center"/>
          </w:tcPr>
          <w:p w:rsidR="00525419" w:rsidRDefault="00EE1CF7">
            <w:pPr>
              <w:pStyle w:val="B2"/>
              <w:rPr>
                <w:rFonts w:cs="Times New Roman"/>
              </w:rPr>
            </w:pPr>
            <w:r>
              <w:rPr>
                <w:rFonts w:cs="Times New Roman"/>
              </w:rPr>
              <w:t>环境影响</w:t>
            </w:r>
          </w:p>
        </w:tc>
        <w:tc>
          <w:tcPr>
            <w:tcW w:w="6202" w:type="dxa"/>
            <w:gridSpan w:val="23"/>
            <w:vAlign w:val="center"/>
          </w:tcPr>
          <w:p w:rsidR="00525419" w:rsidRDefault="00EE1CF7">
            <w:pPr>
              <w:pStyle w:val="B2"/>
              <w:rPr>
                <w:rFonts w:cs="Times New Roman"/>
              </w:rPr>
            </w:pPr>
            <w:r>
              <w:rPr>
                <w:rFonts w:cs="Times New Roman"/>
              </w:rPr>
              <w:t>可以接受</w:t>
            </w:r>
            <w:r>
              <w:rPr>
                <w:rFonts w:cs="Times New Roman"/>
              </w:rPr>
              <w:sym w:font="Wingdings 2" w:char="0052"/>
            </w:r>
            <w:r>
              <w:rPr>
                <w:rFonts w:cs="Times New Roman"/>
              </w:rPr>
              <w:t xml:space="preserve">         </w:t>
            </w:r>
            <w:r>
              <w:rPr>
                <w:rFonts w:cs="Times New Roman"/>
              </w:rPr>
              <w:t>不可以接受</w:t>
            </w:r>
            <w:r>
              <w:rPr>
                <w:rFonts w:cs="Times New Roman"/>
              </w:rPr>
              <w:sym w:font="Wingdings 2" w:char="00A3"/>
            </w:r>
          </w:p>
        </w:tc>
      </w:tr>
      <w:tr w:rsidR="00525419">
        <w:trPr>
          <w:trHeight w:val="397"/>
          <w:jc w:val="center"/>
        </w:trPr>
        <w:tc>
          <w:tcPr>
            <w:tcW w:w="671" w:type="dxa"/>
            <w:vMerge/>
            <w:vAlign w:val="center"/>
          </w:tcPr>
          <w:p w:rsidR="00525419" w:rsidRDefault="00525419">
            <w:pPr>
              <w:pStyle w:val="B2"/>
              <w:rPr>
                <w:rFonts w:cs="Times New Roman"/>
              </w:rPr>
            </w:pPr>
          </w:p>
        </w:tc>
        <w:tc>
          <w:tcPr>
            <w:tcW w:w="1455" w:type="dxa"/>
            <w:vAlign w:val="center"/>
          </w:tcPr>
          <w:p w:rsidR="00525419" w:rsidRDefault="00EE1CF7">
            <w:pPr>
              <w:pStyle w:val="B2"/>
              <w:rPr>
                <w:rFonts w:cs="Times New Roman"/>
              </w:rPr>
            </w:pPr>
            <w:r>
              <w:rPr>
                <w:rFonts w:cs="Times New Roman"/>
              </w:rPr>
              <w:t>大气环境防护距离</w:t>
            </w:r>
          </w:p>
        </w:tc>
        <w:tc>
          <w:tcPr>
            <w:tcW w:w="6202" w:type="dxa"/>
            <w:gridSpan w:val="23"/>
            <w:vAlign w:val="center"/>
          </w:tcPr>
          <w:p w:rsidR="00525419" w:rsidRDefault="00EE1CF7">
            <w:pPr>
              <w:pStyle w:val="B2"/>
              <w:rPr>
                <w:rFonts w:cs="Times New Roman"/>
              </w:rPr>
            </w:pPr>
            <w:r>
              <w:rPr>
                <w:rFonts w:cs="Times New Roman"/>
              </w:rPr>
              <w:t>距（</w:t>
            </w:r>
            <w:r>
              <w:rPr>
                <w:rFonts w:cs="Times New Roman"/>
              </w:rPr>
              <w:t>-</w:t>
            </w:r>
            <w:r>
              <w:rPr>
                <w:rFonts w:cs="Times New Roman"/>
              </w:rPr>
              <w:t>）厂界最远（</w:t>
            </w:r>
            <w:r>
              <w:rPr>
                <w:rFonts w:cs="Times New Roman"/>
              </w:rPr>
              <w:t>-</w:t>
            </w:r>
            <w:r>
              <w:rPr>
                <w:rFonts w:cs="Times New Roman"/>
              </w:rPr>
              <w:t>）</w:t>
            </w:r>
            <w:r>
              <w:rPr>
                <w:rFonts w:cs="Times New Roman"/>
              </w:rPr>
              <w:t>m</w:t>
            </w:r>
          </w:p>
        </w:tc>
      </w:tr>
      <w:tr w:rsidR="00525419">
        <w:trPr>
          <w:trHeight w:val="397"/>
          <w:jc w:val="center"/>
        </w:trPr>
        <w:tc>
          <w:tcPr>
            <w:tcW w:w="671" w:type="dxa"/>
            <w:vMerge/>
            <w:vAlign w:val="center"/>
          </w:tcPr>
          <w:p w:rsidR="00525419" w:rsidRDefault="00525419">
            <w:pPr>
              <w:pStyle w:val="B2"/>
              <w:rPr>
                <w:rFonts w:cs="Times New Roman"/>
              </w:rPr>
            </w:pPr>
          </w:p>
        </w:tc>
        <w:tc>
          <w:tcPr>
            <w:tcW w:w="1455" w:type="dxa"/>
            <w:vAlign w:val="center"/>
          </w:tcPr>
          <w:p w:rsidR="00525419" w:rsidRDefault="00EE1CF7">
            <w:pPr>
              <w:pStyle w:val="B2"/>
              <w:rPr>
                <w:rFonts w:cs="Times New Roman"/>
              </w:rPr>
            </w:pPr>
            <w:r>
              <w:rPr>
                <w:rFonts w:cs="Times New Roman"/>
              </w:rPr>
              <w:t>污染源年排放量</w:t>
            </w:r>
          </w:p>
        </w:tc>
        <w:tc>
          <w:tcPr>
            <w:tcW w:w="1335" w:type="dxa"/>
            <w:gridSpan w:val="4"/>
            <w:vAlign w:val="center"/>
          </w:tcPr>
          <w:p w:rsidR="00525419" w:rsidRDefault="00EE1CF7">
            <w:pPr>
              <w:pStyle w:val="B2"/>
              <w:rPr>
                <w:rFonts w:cs="Times New Roman"/>
              </w:rPr>
            </w:pPr>
            <w:r>
              <w:rPr>
                <w:rFonts w:cs="Times New Roman"/>
              </w:rPr>
              <w:t>SO</w:t>
            </w:r>
            <w:r>
              <w:rPr>
                <w:rFonts w:cs="Times New Roman"/>
                <w:vertAlign w:val="subscript"/>
              </w:rPr>
              <w:t>2</w:t>
            </w:r>
            <w:r>
              <w:rPr>
                <w:rFonts w:cs="Times New Roman"/>
              </w:rPr>
              <w:t>：（</w:t>
            </w:r>
            <w:r>
              <w:rPr>
                <w:rFonts w:cs="Times New Roman"/>
              </w:rPr>
              <w:t>29.87</w:t>
            </w:r>
            <w:r>
              <w:rPr>
                <w:rFonts w:cs="Times New Roman"/>
              </w:rPr>
              <w:t>）</w:t>
            </w:r>
            <w:r>
              <w:rPr>
                <w:rFonts w:cs="Times New Roman"/>
              </w:rPr>
              <w:t>t/a</w:t>
            </w:r>
          </w:p>
        </w:tc>
        <w:tc>
          <w:tcPr>
            <w:tcW w:w="1651" w:type="dxa"/>
            <w:gridSpan w:val="7"/>
            <w:vAlign w:val="center"/>
          </w:tcPr>
          <w:p w:rsidR="00525419" w:rsidRDefault="00EE1CF7">
            <w:pPr>
              <w:pStyle w:val="B2"/>
              <w:rPr>
                <w:rFonts w:cs="Times New Roman"/>
              </w:rPr>
            </w:pPr>
            <w:r>
              <w:rPr>
                <w:rFonts w:cs="Times New Roman"/>
              </w:rPr>
              <w:t>NO</w:t>
            </w:r>
            <w:r>
              <w:rPr>
                <w:rFonts w:cs="Times New Roman"/>
                <w:vertAlign w:val="subscript"/>
              </w:rPr>
              <w:t>2</w:t>
            </w:r>
            <w:r>
              <w:rPr>
                <w:rFonts w:cs="Times New Roman"/>
              </w:rPr>
              <w:t>：（</w:t>
            </w:r>
            <w:r>
              <w:rPr>
                <w:rFonts w:cs="Times New Roman"/>
              </w:rPr>
              <w:t>75.02</w:t>
            </w:r>
            <w:r>
              <w:rPr>
                <w:rFonts w:cs="Times New Roman"/>
              </w:rPr>
              <w:t>）</w:t>
            </w:r>
          </w:p>
          <w:p w:rsidR="00525419" w:rsidRDefault="00EE1CF7">
            <w:pPr>
              <w:pStyle w:val="B2"/>
              <w:rPr>
                <w:rFonts w:cs="Times New Roman"/>
              </w:rPr>
            </w:pPr>
            <w:r>
              <w:rPr>
                <w:rFonts w:cs="Times New Roman"/>
              </w:rPr>
              <w:t>t/a</w:t>
            </w:r>
          </w:p>
        </w:tc>
        <w:tc>
          <w:tcPr>
            <w:tcW w:w="1596" w:type="dxa"/>
            <w:gridSpan w:val="7"/>
            <w:vAlign w:val="center"/>
          </w:tcPr>
          <w:p w:rsidR="00525419" w:rsidRDefault="00EE1CF7">
            <w:pPr>
              <w:pStyle w:val="B2"/>
              <w:rPr>
                <w:rFonts w:cs="Times New Roman"/>
              </w:rPr>
            </w:pPr>
            <w:r>
              <w:rPr>
                <w:rFonts w:cs="Times New Roman"/>
              </w:rPr>
              <w:t>颗粒物：（</w:t>
            </w:r>
            <w:r>
              <w:rPr>
                <w:rFonts w:cs="Times New Roman"/>
              </w:rPr>
              <w:t>10.04</w:t>
            </w:r>
            <w:r>
              <w:rPr>
                <w:rFonts w:cs="Times New Roman"/>
              </w:rPr>
              <w:t>）</w:t>
            </w:r>
            <w:r>
              <w:rPr>
                <w:rFonts w:cs="Times New Roman"/>
              </w:rPr>
              <w:t>t/a</w:t>
            </w:r>
          </w:p>
        </w:tc>
        <w:tc>
          <w:tcPr>
            <w:tcW w:w="1620" w:type="dxa"/>
            <w:gridSpan w:val="5"/>
            <w:vAlign w:val="center"/>
          </w:tcPr>
          <w:p w:rsidR="00525419" w:rsidRDefault="00EE1CF7">
            <w:pPr>
              <w:pStyle w:val="B2"/>
              <w:rPr>
                <w:rFonts w:cs="Times New Roman"/>
              </w:rPr>
            </w:pPr>
            <w:r>
              <w:rPr>
                <w:rFonts w:cs="Times New Roman"/>
              </w:rPr>
              <w:t>VOC</w:t>
            </w:r>
            <w:r>
              <w:rPr>
                <w:rFonts w:cs="Times New Roman"/>
                <w:vertAlign w:val="subscript"/>
              </w:rPr>
              <w:t>S</w:t>
            </w:r>
            <w:r>
              <w:rPr>
                <w:rFonts w:cs="Times New Roman"/>
              </w:rPr>
              <w:t>：（</w:t>
            </w:r>
            <w:r>
              <w:rPr>
                <w:rFonts w:cs="Times New Roman"/>
              </w:rPr>
              <w:t>54.47</w:t>
            </w:r>
            <w:r>
              <w:rPr>
                <w:rFonts w:cs="Times New Roman"/>
              </w:rPr>
              <w:t>）</w:t>
            </w:r>
            <w:r>
              <w:rPr>
                <w:rFonts w:cs="Times New Roman"/>
              </w:rPr>
              <w:t>t/a</w:t>
            </w:r>
          </w:p>
        </w:tc>
      </w:tr>
      <w:tr w:rsidR="00525419">
        <w:trPr>
          <w:trHeight w:val="397"/>
          <w:jc w:val="center"/>
        </w:trPr>
        <w:tc>
          <w:tcPr>
            <w:tcW w:w="8328" w:type="dxa"/>
            <w:gridSpan w:val="25"/>
            <w:vAlign w:val="center"/>
          </w:tcPr>
          <w:p w:rsidR="00525419" w:rsidRDefault="00EE1CF7">
            <w:pPr>
              <w:pStyle w:val="B2"/>
              <w:jc w:val="both"/>
              <w:rPr>
                <w:rFonts w:cs="Times New Roman"/>
              </w:rPr>
            </w:pPr>
            <w:r>
              <w:rPr>
                <w:rFonts w:cs="Times New Roman"/>
              </w:rPr>
              <w:t>注：</w:t>
            </w:r>
            <w:r>
              <w:rPr>
                <w:rFonts w:cs="Times New Roman"/>
              </w:rPr>
              <w:t>“</w:t>
            </w:r>
            <w:r>
              <w:rPr>
                <w:rFonts w:cs="Times New Roman"/>
              </w:rPr>
              <w:sym w:font="Wingdings 2" w:char="00A3"/>
            </w:r>
            <w:r>
              <w:rPr>
                <w:rFonts w:cs="Times New Roman"/>
              </w:rPr>
              <w:t>”</w:t>
            </w:r>
            <w:r>
              <w:rPr>
                <w:rFonts w:cs="Times New Roman"/>
              </w:rPr>
              <w:t>为勾选项，填</w:t>
            </w:r>
            <w:r>
              <w:rPr>
                <w:rFonts w:cs="Times New Roman"/>
              </w:rPr>
              <w:t>“√”</w:t>
            </w:r>
            <w:r>
              <w:rPr>
                <w:rFonts w:cs="Times New Roman"/>
              </w:rPr>
              <w:t>；</w:t>
            </w:r>
            <w:r>
              <w:rPr>
                <w:rFonts w:cs="Times New Roman"/>
              </w:rPr>
              <w:t>“</w:t>
            </w:r>
            <w:r>
              <w:rPr>
                <w:rFonts w:cs="Times New Roman"/>
              </w:rPr>
              <w:t>（</w:t>
            </w:r>
            <w:r>
              <w:rPr>
                <w:rFonts w:cs="Times New Roman"/>
              </w:rPr>
              <w:t xml:space="preserve">   </w:t>
            </w:r>
            <w:r>
              <w:rPr>
                <w:rFonts w:cs="Times New Roman"/>
              </w:rPr>
              <w:t>）</w:t>
            </w:r>
            <w:r>
              <w:rPr>
                <w:rFonts w:cs="Times New Roman"/>
              </w:rPr>
              <w:t>”</w:t>
            </w:r>
            <w:r>
              <w:rPr>
                <w:rFonts w:cs="Times New Roman"/>
              </w:rPr>
              <w:t>为内容填写项</w:t>
            </w:r>
          </w:p>
        </w:tc>
      </w:tr>
    </w:tbl>
    <w:p w:rsidR="00525419" w:rsidRDefault="00EE1CF7" w:rsidP="00EE1CF7">
      <w:pPr>
        <w:pStyle w:val="2a"/>
        <w:spacing w:beforeLines="50" w:before="166" w:after="166"/>
        <w:rPr>
          <w:rFonts w:ascii="Times New Roman" w:eastAsia="楷体_GB2312" w:hAnsi="Times New Roman"/>
          <w:sz w:val="36"/>
        </w:rPr>
      </w:pPr>
      <w:bookmarkStart w:id="128" w:name="_Toc322967108"/>
      <w:bookmarkStart w:id="129" w:name="_Toc330205318"/>
      <w:bookmarkStart w:id="130" w:name="_Toc11790"/>
      <w:bookmarkStart w:id="131" w:name="_Toc296354422"/>
      <w:bookmarkStart w:id="132" w:name="_Toc310261203"/>
      <w:bookmarkStart w:id="133" w:name="_Toc388894060"/>
      <w:bookmarkStart w:id="134" w:name="_Toc296416637"/>
      <w:bookmarkStart w:id="135" w:name="_Toc303766079"/>
      <w:bookmarkStart w:id="136" w:name="_Toc276049376"/>
      <w:bookmarkStart w:id="137" w:name="_Toc335165107"/>
      <w:r>
        <w:rPr>
          <w:rFonts w:ascii="Times New Roman" w:eastAsia="楷体_GB2312" w:hAnsi="Times New Roman"/>
          <w:sz w:val="36"/>
        </w:rPr>
        <w:lastRenderedPageBreak/>
        <w:t xml:space="preserve">5.2 </w:t>
      </w:r>
      <w:r>
        <w:rPr>
          <w:rFonts w:ascii="Times New Roman" w:eastAsia="楷体_GB2312" w:hAnsi="Times New Roman"/>
          <w:sz w:val="36"/>
        </w:rPr>
        <w:t>运营期水环境影响分析</w:t>
      </w:r>
      <w:bookmarkEnd w:id="128"/>
      <w:bookmarkEnd w:id="129"/>
      <w:bookmarkEnd w:id="130"/>
      <w:bookmarkEnd w:id="131"/>
      <w:bookmarkEnd w:id="132"/>
      <w:bookmarkEnd w:id="133"/>
      <w:bookmarkEnd w:id="134"/>
      <w:bookmarkEnd w:id="135"/>
      <w:bookmarkEnd w:id="136"/>
      <w:bookmarkEnd w:id="137"/>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5.2.1</w:t>
      </w:r>
      <w:r>
        <w:rPr>
          <w:rFonts w:ascii="Times New Roman" w:eastAsia="华文楷体" w:hAnsi="Times New Roman"/>
        </w:rPr>
        <w:t>地表水环境影响分析</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5.2.1.1</w:t>
      </w:r>
      <w:r>
        <w:rPr>
          <w:rFonts w:ascii="Times New Roman" w:hAnsi="Times New Roman" w:cs="Times New Roman"/>
          <w:kern w:val="44"/>
          <w:sz w:val="24"/>
          <w:szCs w:val="24"/>
        </w:rPr>
        <w:t>项目废水产生量及排放去向分析</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本项目营运期产生的废水包括生产废水和生活污水，生产工艺废水主要有生产装置回流罐及分离器排放的含硫废水、循环水排污及脱盐水站排放的浓盐水、罐区产生的含油废水。</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本项目的含硫废水到酸性水汽提装置处理后用于</w:t>
      </w:r>
      <w:r>
        <w:rPr>
          <w:rFonts w:ascii="Times New Roman" w:hAnsi="Times New Roman" w:hint="eastAsia"/>
          <w:sz w:val="24"/>
        </w:rPr>
        <w:t>工艺</w:t>
      </w:r>
      <w:r>
        <w:rPr>
          <w:rFonts w:ascii="Times New Roman" w:hAnsi="Times New Roman"/>
          <w:sz w:val="24"/>
        </w:rPr>
        <w:t>注水；含油废水及循环水排污与生活污水送到污水处理站进行处理；浓盐水进入浓盐水处理装置处理后作为循环水回用。</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5.2.1.2</w:t>
      </w:r>
      <w:r>
        <w:rPr>
          <w:rFonts w:ascii="Times New Roman" w:hAnsi="Times New Roman" w:cs="Times New Roman"/>
          <w:kern w:val="44"/>
          <w:sz w:val="24"/>
          <w:szCs w:val="24"/>
        </w:rPr>
        <w:t>地表水环境影响分析</w:t>
      </w:r>
    </w:p>
    <w:p w:rsidR="00525419" w:rsidRDefault="00EE1CF7">
      <w:pPr>
        <w:spacing w:line="480" w:lineRule="exact"/>
        <w:ind w:firstLineChars="200" w:firstLine="480"/>
        <w:jc w:val="left"/>
        <w:rPr>
          <w:rFonts w:ascii="Times New Roman" w:hAnsi="Times New Roman"/>
          <w:sz w:val="24"/>
          <w:szCs w:val="24"/>
        </w:rPr>
      </w:pPr>
      <w:r>
        <w:rPr>
          <w:rFonts w:ascii="Times New Roman" w:hAnsi="Times New Roman"/>
          <w:sz w:val="24"/>
          <w:szCs w:val="24"/>
        </w:rPr>
        <w:t>本项目生产运行过程中所产生的各种废水经分类处理后，全部回用于循环水补水。由于本项目无废水排入地表水体，故正常生产条件下不会对地表水体产生影响。事故状态下，事故废水均进入已建事故水收集池中暂存，并逐步将收集的废水进行处理达标后加以利用，亦消除了可能影响地表水体的隐患。</w:t>
      </w:r>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5.2.2</w:t>
      </w:r>
      <w:r>
        <w:rPr>
          <w:rFonts w:ascii="Times New Roman" w:eastAsia="华文楷体" w:hAnsi="Times New Roman"/>
        </w:rPr>
        <w:t>地下水环境影响分析</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5.2.2.1</w:t>
      </w:r>
      <w:r>
        <w:rPr>
          <w:rFonts w:ascii="Times New Roman" w:hAnsi="Times New Roman" w:cs="Times New Roman"/>
          <w:kern w:val="44"/>
          <w:sz w:val="24"/>
          <w:szCs w:val="24"/>
        </w:rPr>
        <w:t>区域水文地质条件</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）地下水赋存特征</w:t>
      </w:r>
      <w:r>
        <w:rPr>
          <w:rFonts w:ascii="Times New Roman" w:hAnsi="Times New Roman"/>
          <w:sz w:val="24"/>
          <w:szCs w:val="24"/>
        </w:rPr>
        <w:t xml:space="preserve"> </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鄯善县位于吐鲁番盆地的东部，北天山褶皱带东段的山间断陷盆地北缘，其</w:t>
      </w:r>
      <w:r>
        <w:rPr>
          <w:rFonts w:ascii="Times New Roman" w:hAnsi="Times New Roman"/>
          <w:sz w:val="24"/>
          <w:szCs w:val="24"/>
        </w:rPr>
        <w:t xml:space="preserve"> </w:t>
      </w:r>
      <w:r>
        <w:rPr>
          <w:rFonts w:ascii="Times New Roman" w:hAnsi="Times New Roman"/>
          <w:sz w:val="24"/>
          <w:szCs w:val="24"/>
        </w:rPr>
        <w:t>北部是博格达山，南部是觉罗塔克山，由于火焰山构造隆起，将盆地分为南北两</w:t>
      </w:r>
      <w:r>
        <w:rPr>
          <w:rFonts w:ascii="Times New Roman" w:hAnsi="Times New Roman"/>
          <w:sz w:val="24"/>
          <w:szCs w:val="24"/>
        </w:rPr>
        <w:t xml:space="preserve"> </w:t>
      </w:r>
      <w:r>
        <w:rPr>
          <w:rFonts w:ascii="Times New Roman" w:hAnsi="Times New Roman"/>
          <w:sz w:val="24"/>
          <w:szCs w:val="24"/>
        </w:rPr>
        <w:t>部分，形成了鄯善县境内的</w:t>
      </w:r>
      <w:r>
        <w:rPr>
          <w:rFonts w:ascii="Times New Roman" w:hAnsi="Times New Roman"/>
          <w:sz w:val="24"/>
          <w:szCs w:val="24"/>
        </w:rPr>
        <w:t>“</w:t>
      </w:r>
      <w:r>
        <w:rPr>
          <w:rFonts w:ascii="Times New Roman" w:hAnsi="Times New Roman"/>
          <w:sz w:val="24"/>
          <w:szCs w:val="24"/>
        </w:rPr>
        <w:t>三山夹两盆</w:t>
      </w:r>
      <w:r>
        <w:rPr>
          <w:rFonts w:ascii="Times New Roman" w:hAnsi="Times New Roman"/>
          <w:sz w:val="24"/>
          <w:szCs w:val="24"/>
        </w:rPr>
        <w:t xml:space="preserve">” </w:t>
      </w:r>
      <w:r>
        <w:rPr>
          <w:rFonts w:ascii="Times New Roman" w:hAnsi="Times New Roman"/>
          <w:sz w:val="24"/>
          <w:szCs w:val="24"/>
        </w:rPr>
        <w:t>的地貌格局。</w:t>
      </w:r>
      <w:r>
        <w:rPr>
          <w:rFonts w:ascii="Times New Roman" w:hAnsi="Times New Roman"/>
          <w:sz w:val="24"/>
          <w:szCs w:val="24"/>
        </w:rPr>
        <w:t xml:space="preserve"> </w:t>
      </w:r>
      <w:r>
        <w:rPr>
          <w:rFonts w:ascii="Times New Roman" w:hAnsi="Times New Roman"/>
          <w:sz w:val="24"/>
          <w:szCs w:val="24"/>
        </w:rPr>
        <w:t>连木泌镇、县城、东巴</w:t>
      </w:r>
      <w:r>
        <w:rPr>
          <w:rFonts w:ascii="Times New Roman" w:hAnsi="Times New Roman"/>
          <w:sz w:val="24"/>
          <w:szCs w:val="24"/>
        </w:rPr>
        <w:t xml:space="preserve"> </w:t>
      </w:r>
      <w:r>
        <w:rPr>
          <w:rFonts w:ascii="Times New Roman" w:hAnsi="Times New Roman"/>
          <w:sz w:val="24"/>
          <w:szCs w:val="24"/>
        </w:rPr>
        <w:t>扎乡、辟展乡、七克台镇、火车站镇及吐峪沟乡的苏贝希村处于北盆地，南盆地有鲁克泌镇、吐峪沟乡、达浪坎乡和迪坎乡。</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南北盆地内沉积了第四纪松散沉积物，为地下水储存和运行场所。受地形和</w:t>
      </w:r>
      <w:r>
        <w:rPr>
          <w:rFonts w:ascii="Times New Roman" w:hAnsi="Times New Roman"/>
          <w:sz w:val="24"/>
          <w:szCs w:val="24"/>
        </w:rPr>
        <w:t xml:space="preserve"> </w:t>
      </w:r>
      <w:r>
        <w:rPr>
          <w:rFonts w:ascii="Times New Roman" w:hAnsi="Times New Roman"/>
          <w:sz w:val="24"/>
          <w:szCs w:val="24"/>
        </w:rPr>
        <w:t>搬运距离控制，盆地边缘形成分布面积广、堆积厚度大、由单一砂卵石组成的地</w:t>
      </w:r>
      <w:r>
        <w:rPr>
          <w:rFonts w:ascii="Times New Roman" w:hAnsi="Times New Roman"/>
          <w:sz w:val="24"/>
          <w:szCs w:val="24"/>
        </w:rPr>
        <w:t xml:space="preserve"> </w:t>
      </w:r>
      <w:r>
        <w:rPr>
          <w:rFonts w:ascii="Times New Roman" w:hAnsi="Times New Roman"/>
          <w:sz w:val="24"/>
          <w:szCs w:val="24"/>
        </w:rPr>
        <w:t>层，地表形成洪积扇群的戈壁砾石带；盆地中央则形成以细颗粒地层为主，由亚</w:t>
      </w:r>
      <w:r>
        <w:rPr>
          <w:rFonts w:ascii="Times New Roman" w:hAnsi="Times New Roman"/>
          <w:sz w:val="24"/>
          <w:szCs w:val="24"/>
        </w:rPr>
        <w:t xml:space="preserve"> </w:t>
      </w:r>
      <w:r>
        <w:rPr>
          <w:rFonts w:ascii="Times New Roman" w:hAnsi="Times New Roman"/>
          <w:sz w:val="24"/>
          <w:szCs w:val="24"/>
        </w:rPr>
        <w:lastRenderedPageBreak/>
        <w:t>砂、亚黏土和中粗砂组成的多层结构，为地下水的补给、径流和储存创造了良好</w:t>
      </w:r>
      <w:r>
        <w:rPr>
          <w:rFonts w:ascii="Times New Roman" w:hAnsi="Times New Roman"/>
          <w:sz w:val="24"/>
          <w:szCs w:val="24"/>
        </w:rPr>
        <w:t xml:space="preserve"> </w:t>
      </w:r>
      <w:r>
        <w:rPr>
          <w:rFonts w:ascii="Times New Roman" w:hAnsi="Times New Roman"/>
          <w:sz w:val="24"/>
          <w:szCs w:val="24"/>
        </w:rPr>
        <w:t>的条件。由于盆地内第四纪松散堆积物由单一结构的砂卵石层转变为双层、多层</w:t>
      </w:r>
      <w:r>
        <w:rPr>
          <w:rFonts w:ascii="Times New Roman" w:hAnsi="Times New Roman"/>
          <w:sz w:val="24"/>
          <w:szCs w:val="24"/>
        </w:rPr>
        <w:t xml:space="preserve"> </w:t>
      </w:r>
      <w:r>
        <w:rPr>
          <w:rFonts w:ascii="Times New Roman" w:hAnsi="Times New Roman"/>
          <w:sz w:val="24"/>
          <w:szCs w:val="24"/>
        </w:rPr>
        <w:t>结构，地下水则由单一的潜水过度到承压水直至自流水，地层的富水性也由强到弱，承压水和自流水的埋藏深度也逐渐增大。</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北盆地靠近山区处地形坡度大，向南越靠近火焰山则地形坡度越小；南盆地</w:t>
      </w:r>
      <w:r>
        <w:rPr>
          <w:rFonts w:ascii="Times New Roman" w:hAnsi="Times New Roman"/>
          <w:sz w:val="24"/>
          <w:szCs w:val="24"/>
        </w:rPr>
        <w:t xml:space="preserve"> </w:t>
      </w:r>
      <w:r>
        <w:rPr>
          <w:rFonts w:ascii="Times New Roman" w:hAnsi="Times New Roman"/>
          <w:sz w:val="24"/>
          <w:szCs w:val="24"/>
        </w:rPr>
        <w:t>地形向西倾斜，地势平缓，起伏较小。在北部山区河流的搬运作用下，盆地中形</w:t>
      </w:r>
      <w:r>
        <w:rPr>
          <w:rFonts w:ascii="Times New Roman" w:hAnsi="Times New Roman"/>
          <w:sz w:val="24"/>
          <w:szCs w:val="24"/>
        </w:rPr>
        <w:t xml:space="preserve"> </w:t>
      </w:r>
      <w:r>
        <w:rPr>
          <w:rFonts w:ascii="Times New Roman" w:hAnsi="Times New Roman"/>
          <w:sz w:val="24"/>
          <w:szCs w:val="24"/>
        </w:rPr>
        <w:t>成了广阔的冲洪积扇，</w:t>
      </w:r>
      <w:r>
        <w:rPr>
          <w:rFonts w:ascii="Times New Roman" w:hAnsi="Times New Roman"/>
          <w:sz w:val="24"/>
          <w:szCs w:val="24"/>
        </w:rPr>
        <w:t xml:space="preserve">312 </w:t>
      </w:r>
      <w:r>
        <w:rPr>
          <w:rFonts w:ascii="Times New Roman" w:hAnsi="Times New Roman"/>
          <w:sz w:val="24"/>
          <w:szCs w:val="24"/>
        </w:rPr>
        <w:t>国道以北地层主要为沙砾石层，以南地层为沙砾石层及黏土层所形成的互层。南盆地在迪坎乡的托特坎村以北分布有沙砾石地层，以</w:t>
      </w:r>
      <w:r>
        <w:rPr>
          <w:rFonts w:ascii="Times New Roman" w:hAnsi="Times New Roman"/>
          <w:sz w:val="24"/>
          <w:szCs w:val="24"/>
        </w:rPr>
        <w:t xml:space="preserve"> </w:t>
      </w:r>
      <w:r>
        <w:rPr>
          <w:rFonts w:ascii="Times New Roman" w:hAnsi="Times New Roman"/>
          <w:sz w:val="24"/>
          <w:szCs w:val="24"/>
        </w:rPr>
        <w:t>南沉积颗粒较细，为沙和亚沙土。</w:t>
      </w:r>
      <w:r>
        <w:rPr>
          <w:rFonts w:ascii="Times New Roman" w:hAnsi="Times New Roman"/>
          <w:sz w:val="24"/>
          <w:szCs w:val="24"/>
        </w:rPr>
        <w:t xml:space="preserve"> </w:t>
      </w:r>
      <w:r>
        <w:rPr>
          <w:rFonts w:ascii="Times New Roman" w:hAnsi="Times New Roman"/>
          <w:sz w:val="24"/>
          <w:szCs w:val="24"/>
        </w:rPr>
        <w:t>盆地内的地下水从北盆地流向南盆地。</w:t>
      </w:r>
      <w:r>
        <w:rPr>
          <w:rFonts w:ascii="Times New Roman" w:hAnsi="Times New Roman"/>
          <w:sz w:val="24"/>
          <w:szCs w:val="24"/>
        </w:rPr>
        <w:t xml:space="preserve"> </w:t>
      </w:r>
      <w:r>
        <w:rPr>
          <w:rFonts w:ascii="Times New Roman" w:hAnsi="Times New Roman"/>
          <w:sz w:val="24"/>
          <w:szCs w:val="24"/>
        </w:rPr>
        <w:t>另外，</w:t>
      </w:r>
      <w:r>
        <w:rPr>
          <w:rFonts w:ascii="Times New Roman" w:hAnsi="Times New Roman"/>
          <w:sz w:val="24"/>
          <w:szCs w:val="24"/>
        </w:rPr>
        <w:t xml:space="preserve"> </w:t>
      </w:r>
      <w:r>
        <w:rPr>
          <w:rFonts w:ascii="Times New Roman" w:hAnsi="Times New Roman"/>
          <w:sz w:val="24"/>
          <w:szCs w:val="24"/>
        </w:rPr>
        <w:t>在南盆地地下水是从东西两侧向中部流动。因为构成火焰山的岩石主要为泥质岩类，，制约了地下水的流动，使地下水得以贮存在北盆地内产生了天然地下水库。</w:t>
      </w:r>
      <w:r>
        <w:rPr>
          <w:rFonts w:ascii="Times New Roman" w:hAnsi="Times New Roman"/>
          <w:sz w:val="24"/>
          <w:szCs w:val="24"/>
        </w:rPr>
        <w:t xml:space="preserve"> </w:t>
      </w:r>
      <w:r>
        <w:rPr>
          <w:rFonts w:ascii="Times New Roman" w:hAnsi="Times New Roman"/>
          <w:sz w:val="24"/>
          <w:szCs w:val="24"/>
        </w:rPr>
        <w:t xml:space="preserve">　　　　</w:t>
      </w:r>
    </w:p>
    <w:p w:rsidR="00525419" w:rsidRDefault="00EE1CF7">
      <w:pPr>
        <w:spacing w:line="360" w:lineRule="auto"/>
        <w:ind w:firstLineChars="200" w:firstLine="480"/>
        <w:rPr>
          <w:rFonts w:ascii="Times New Roman" w:hAnsi="Times New Roman"/>
        </w:rPr>
      </w:pPr>
      <w:r>
        <w:rPr>
          <w:rFonts w:ascii="Times New Roman" w:hAnsi="Times New Roman"/>
          <w:sz w:val="24"/>
          <w:szCs w:val="24"/>
        </w:rPr>
        <w:t>盆地水文地质划分和含水层单元见表</w:t>
      </w:r>
      <w:r>
        <w:rPr>
          <w:rFonts w:ascii="Times New Roman" w:hAnsi="Times New Roman"/>
          <w:sz w:val="24"/>
          <w:szCs w:val="24"/>
        </w:rPr>
        <w:t xml:space="preserve"> 5.2-1</w:t>
      </w:r>
      <w:r>
        <w:rPr>
          <w:rFonts w:ascii="Times New Roman" w:hAnsi="Times New Roman"/>
          <w:sz w:val="24"/>
          <w:szCs w:val="24"/>
        </w:rPr>
        <w:t>。</w:t>
      </w:r>
      <w:r>
        <w:rPr>
          <w:rFonts w:ascii="Times New Roman" w:hAnsi="Times New Roman"/>
          <w:sz w:val="24"/>
          <w:szCs w:val="24"/>
        </w:rPr>
        <w:t xml:space="preserve"> </w:t>
      </w:r>
    </w:p>
    <w:p w:rsidR="00525419" w:rsidRDefault="00EE1CF7">
      <w:pPr>
        <w:spacing w:line="360" w:lineRule="auto"/>
        <w:ind w:firstLineChars="1000" w:firstLine="2100"/>
        <w:rPr>
          <w:rFonts w:ascii="Times New Roman" w:eastAsia="黑体" w:hAnsi="Times New Roman"/>
          <w:sz w:val="24"/>
          <w:szCs w:val="24"/>
        </w:rPr>
      </w:pPr>
      <w:r>
        <w:rPr>
          <w:rFonts w:ascii="Times New Roman" w:eastAsia="黑体" w:hAnsi="Times New Roman"/>
        </w:rPr>
        <w:t>表</w:t>
      </w:r>
      <w:r>
        <w:rPr>
          <w:rFonts w:ascii="Times New Roman" w:eastAsia="黑体" w:hAnsi="Times New Roman"/>
        </w:rPr>
        <w:t xml:space="preserve"> 5.2-1      </w:t>
      </w:r>
      <w:r>
        <w:rPr>
          <w:rFonts w:ascii="Times New Roman" w:eastAsia="黑体" w:hAnsi="Times New Roman"/>
        </w:rPr>
        <w:t>水文地质划分和含水层单元表</w:t>
      </w:r>
    </w:p>
    <w:tbl>
      <w:tblPr>
        <w:tblW w:w="85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74"/>
        <w:gridCol w:w="1134"/>
        <w:gridCol w:w="1277"/>
        <w:gridCol w:w="993"/>
        <w:gridCol w:w="1419"/>
        <w:gridCol w:w="852"/>
        <w:gridCol w:w="2162"/>
      </w:tblGrid>
      <w:tr w:rsidR="00525419">
        <w:trPr>
          <w:trHeight w:val="397"/>
          <w:jc w:val="center"/>
        </w:trPr>
        <w:tc>
          <w:tcPr>
            <w:tcW w:w="674" w:type="dxa"/>
            <w:vMerge w:val="restart"/>
            <w:vAlign w:val="center"/>
          </w:tcPr>
          <w:p w:rsidR="00525419" w:rsidRDefault="00EE1CF7">
            <w:pPr>
              <w:pStyle w:val="B2"/>
              <w:rPr>
                <w:rFonts w:cs="Times New Roman"/>
              </w:rPr>
            </w:pPr>
            <w:r>
              <w:rPr>
                <w:rFonts w:cs="Times New Roman"/>
              </w:rPr>
              <w:t>地质</w:t>
            </w:r>
          </w:p>
          <w:p w:rsidR="00525419" w:rsidRDefault="00EE1CF7">
            <w:pPr>
              <w:pStyle w:val="B2"/>
              <w:rPr>
                <w:rFonts w:cs="Times New Roman"/>
              </w:rPr>
            </w:pPr>
            <w:r>
              <w:rPr>
                <w:rFonts w:cs="Times New Roman"/>
              </w:rPr>
              <w:t>时代</w:t>
            </w:r>
          </w:p>
        </w:tc>
        <w:tc>
          <w:tcPr>
            <w:tcW w:w="1134" w:type="dxa"/>
            <w:vMerge w:val="restart"/>
            <w:vAlign w:val="center"/>
          </w:tcPr>
          <w:p w:rsidR="00525419" w:rsidRDefault="00EE1CF7">
            <w:pPr>
              <w:pStyle w:val="B2"/>
              <w:rPr>
                <w:rFonts w:cs="Times New Roman"/>
              </w:rPr>
            </w:pPr>
            <w:r>
              <w:rPr>
                <w:rFonts w:cs="Times New Roman"/>
              </w:rPr>
              <w:t>地下地</w:t>
            </w:r>
          </w:p>
          <w:p w:rsidR="00525419" w:rsidRDefault="00EE1CF7">
            <w:pPr>
              <w:pStyle w:val="B2"/>
              <w:rPr>
                <w:rFonts w:cs="Times New Roman"/>
              </w:rPr>
            </w:pPr>
            <w:r>
              <w:rPr>
                <w:rFonts w:cs="Times New Roman"/>
              </w:rPr>
              <w:t>质层序</w:t>
            </w:r>
          </w:p>
        </w:tc>
        <w:tc>
          <w:tcPr>
            <w:tcW w:w="2270" w:type="dxa"/>
            <w:gridSpan w:val="2"/>
            <w:vAlign w:val="center"/>
          </w:tcPr>
          <w:p w:rsidR="00525419" w:rsidRDefault="00EE1CF7">
            <w:pPr>
              <w:pStyle w:val="B2"/>
              <w:rPr>
                <w:rFonts w:cs="Times New Roman"/>
              </w:rPr>
            </w:pPr>
            <w:r>
              <w:rPr>
                <w:rFonts w:cs="Times New Roman"/>
              </w:rPr>
              <w:t>水文地质划分</w:t>
            </w:r>
          </w:p>
        </w:tc>
        <w:tc>
          <w:tcPr>
            <w:tcW w:w="2271" w:type="dxa"/>
            <w:gridSpan w:val="2"/>
            <w:vAlign w:val="center"/>
          </w:tcPr>
          <w:p w:rsidR="00525419" w:rsidRDefault="00EE1CF7">
            <w:pPr>
              <w:pStyle w:val="B2"/>
              <w:rPr>
                <w:rFonts w:cs="Times New Roman"/>
              </w:rPr>
            </w:pPr>
            <w:r>
              <w:rPr>
                <w:rFonts w:cs="Times New Roman"/>
              </w:rPr>
              <w:t>含水层单元</w:t>
            </w:r>
          </w:p>
        </w:tc>
        <w:tc>
          <w:tcPr>
            <w:tcW w:w="2162" w:type="dxa"/>
            <w:vMerge w:val="restart"/>
            <w:vAlign w:val="center"/>
          </w:tcPr>
          <w:p w:rsidR="00525419" w:rsidRDefault="00EE1CF7">
            <w:pPr>
              <w:pStyle w:val="B2"/>
              <w:rPr>
                <w:rFonts w:cs="Times New Roman"/>
              </w:rPr>
            </w:pPr>
            <w:r>
              <w:rPr>
                <w:rFonts w:cs="Times New Roman"/>
              </w:rPr>
              <w:t>备注</w:t>
            </w:r>
          </w:p>
        </w:tc>
      </w:tr>
      <w:tr w:rsidR="00525419">
        <w:trPr>
          <w:trHeight w:val="397"/>
          <w:jc w:val="center"/>
        </w:trPr>
        <w:tc>
          <w:tcPr>
            <w:tcW w:w="674" w:type="dxa"/>
            <w:vMerge/>
            <w:vAlign w:val="center"/>
          </w:tcPr>
          <w:p w:rsidR="00525419" w:rsidRDefault="00525419">
            <w:pPr>
              <w:pStyle w:val="B2"/>
              <w:rPr>
                <w:rFonts w:cs="Times New Roman"/>
              </w:rPr>
            </w:pPr>
          </w:p>
        </w:tc>
        <w:tc>
          <w:tcPr>
            <w:tcW w:w="1134" w:type="dxa"/>
            <w:vMerge/>
            <w:vAlign w:val="center"/>
          </w:tcPr>
          <w:p w:rsidR="00525419" w:rsidRDefault="00525419">
            <w:pPr>
              <w:pStyle w:val="B2"/>
              <w:rPr>
                <w:rFonts w:cs="Times New Roman"/>
              </w:rPr>
            </w:pPr>
          </w:p>
        </w:tc>
        <w:tc>
          <w:tcPr>
            <w:tcW w:w="1277" w:type="dxa"/>
            <w:vAlign w:val="center"/>
          </w:tcPr>
          <w:p w:rsidR="00525419" w:rsidRDefault="00EE1CF7">
            <w:pPr>
              <w:pStyle w:val="B2"/>
              <w:rPr>
                <w:rFonts w:cs="Times New Roman"/>
              </w:rPr>
            </w:pPr>
            <w:r>
              <w:rPr>
                <w:rFonts w:cs="Times New Roman"/>
              </w:rPr>
              <w:t>南盆地</w:t>
            </w:r>
          </w:p>
        </w:tc>
        <w:tc>
          <w:tcPr>
            <w:tcW w:w="993" w:type="dxa"/>
            <w:vAlign w:val="center"/>
          </w:tcPr>
          <w:p w:rsidR="00525419" w:rsidRDefault="00EE1CF7">
            <w:pPr>
              <w:pStyle w:val="B2"/>
              <w:rPr>
                <w:rFonts w:cs="Times New Roman"/>
              </w:rPr>
            </w:pPr>
            <w:r>
              <w:rPr>
                <w:rFonts w:cs="Times New Roman"/>
              </w:rPr>
              <w:t>北盆地</w:t>
            </w:r>
          </w:p>
        </w:tc>
        <w:tc>
          <w:tcPr>
            <w:tcW w:w="1419" w:type="dxa"/>
            <w:vAlign w:val="center"/>
          </w:tcPr>
          <w:p w:rsidR="00525419" w:rsidRDefault="00EE1CF7">
            <w:pPr>
              <w:pStyle w:val="B2"/>
              <w:rPr>
                <w:rFonts w:cs="Times New Roman"/>
              </w:rPr>
            </w:pPr>
            <w:r>
              <w:rPr>
                <w:rFonts w:cs="Times New Roman"/>
              </w:rPr>
              <w:t>南盆地</w:t>
            </w:r>
          </w:p>
        </w:tc>
        <w:tc>
          <w:tcPr>
            <w:tcW w:w="852" w:type="dxa"/>
            <w:vAlign w:val="center"/>
          </w:tcPr>
          <w:p w:rsidR="00525419" w:rsidRDefault="00EE1CF7">
            <w:pPr>
              <w:pStyle w:val="B2"/>
              <w:rPr>
                <w:rFonts w:cs="Times New Roman"/>
              </w:rPr>
            </w:pPr>
            <w:r>
              <w:rPr>
                <w:rFonts w:cs="Times New Roman"/>
              </w:rPr>
              <w:t>北盆地</w:t>
            </w:r>
          </w:p>
        </w:tc>
        <w:tc>
          <w:tcPr>
            <w:tcW w:w="2162" w:type="dxa"/>
            <w:vMerge/>
            <w:vAlign w:val="center"/>
          </w:tcPr>
          <w:p w:rsidR="00525419" w:rsidRDefault="00525419">
            <w:pPr>
              <w:pStyle w:val="B2"/>
              <w:rPr>
                <w:rFonts w:cs="Times New Roman"/>
              </w:rPr>
            </w:pPr>
          </w:p>
        </w:tc>
      </w:tr>
      <w:tr w:rsidR="00525419">
        <w:trPr>
          <w:trHeight w:val="397"/>
          <w:jc w:val="center"/>
        </w:trPr>
        <w:tc>
          <w:tcPr>
            <w:tcW w:w="674" w:type="dxa"/>
            <w:vMerge w:val="restart"/>
            <w:vAlign w:val="center"/>
          </w:tcPr>
          <w:p w:rsidR="00525419" w:rsidRDefault="00EE1CF7">
            <w:pPr>
              <w:pStyle w:val="B2"/>
              <w:rPr>
                <w:rFonts w:cs="Times New Roman"/>
              </w:rPr>
            </w:pPr>
            <w:r>
              <w:rPr>
                <w:rFonts w:cs="Times New Roman"/>
              </w:rPr>
              <w:t>第</w:t>
            </w:r>
          </w:p>
          <w:p w:rsidR="00525419" w:rsidRDefault="00EE1CF7">
            <w:pPr>
              <w:pStyle w:val="B2"/>
              <w:rPr>
                <w:rFonts w:cs="Times New Roman"/>
              </w:rPr>
            </w:pPr>
            <w:r>
              <w:rPr>
                <w:rFonts w:cs="Times New Roman"/>
              </w:rPr>
              <w:t>四</w:t>
            </w:r>
          </w:p>
          <w:p w:rsidR="00525419" w:rsidRDefault="00EE1CF7">
            <w:pPr>
              <w:pStyle w:val="B2"/>
              <w:rPr>
                <w:rFonts w:cs="Times New Roman"/>
              </w:rPr>
            </w:pPr>
            <w:r>
              <w:rPr>
                <w:rFonts w:cs="Times New Roman"/>
              </w:rPr>
              <w:t>纪</w:t>
            </w:r>
          </w:p>
        </w:tc>
        <w:tc>
          <w:tcPr>
            <w:tcW w:w="1134" w:type="dxa"/>
            <w:vAlign w:val="center"/>
          </w:tcPr>
          <w:p w:rsidR="00525419" w:rsidRDefault="00EE1CF7">
            <w:pPr>
              <w:pStyle w:val="B2"/>
              <w:rPr>
                <w:rFonts w:cs="Times New Roman"/>
              </w:rPr>
            </w:pPr>
            <w:r>
              <w:rPr>
                <w:rFonts w:cs="Times New Roman"/>
              </w:rPr>
              <w:t>A</w:t>
            </w:r>
            <w:r>
              <w:rPr>
                <w:rFonts w:cs="Times New Roman"/>
              </w:rPr>
              <w:t>层</w:t>
            </w:r>
          </w:p>
        </w:tc>
        <w:tc>
          <w:tcPr>
            <w:tcW w:w="1277" w:type="dxa"/>
            <w:vAlign w:val="center"/>
          </w:tcPr>
          <w:p w:rsidR="00525419" w:rsidRDefault="00EE1CF7">
            <w:pPr>
              <w:pStyle w:val="B2"/>
              <w:rPr>
                <w:rFonts w:cs="Times New Roman"/>
              </w:rPr>
            </w:pPr>
            <w:r>
              <w:rPr>
                <w:rFonts w:cs="Times New Roman"/>
              </w:rPr>
              <w:t>A</w:t>
            </w:r>
            <w:r>
              <w:rPr>
                <w:rFonts w:cs="Times New Roman"/>
              </w:rPr>
              <w:t>含水层</w:t>
            </w:r>
          </w:p>
          <w:p w:rsidR="00525419" w:rsidRDefault="00EE1CF7">
            <w:pPr>
              <w:pStyle w:val="B2"/>
              <w:rPr>
                <w:rFonts w:cs="Times New Roman"/>
              </w:rPr>
            </w:pPr>
            <w:r>
              <w:rPr>
                <w:rFonts w:cs="Times New Roman"/>
              </w:rPr>
              <w:t>A</w:t>
            </w:r>
            <w:r>
              <w:rPr>
                <w:rFonts w:cs="Times New Roman"/>
              </w:rPr>
              <w:t>弱透水层</w:t>
            </w:r>
          </w:p>
        </w:tc>
        <w:tc>
          <w:tcPr>
            <w:tcW w:w="993" w:type="dxa"/>
            <w:vMerge w:val="restart"/>
            <w:vAlign w:val="center"/>
          </w:tcPr>
          <w:p w:rsidR="00525419" w:rsidRDefault="00EE1CF7">
            <w:pPr>
              <w:pStyle w:val="B2"/>
              <w:rPr>
                <w:rFonts w:cs="Times New Roman"/>
              </w:rPr>
            </w:pPr>
            <w:r>
              <w:rPr>
                <w:rFonts w:cs="Times New Roman"/>
              </w:rPr>
              <w:t>北盆地含水层</w:t>
            </w:r>
          </w:p>
        </w:tc>
        <w:tc>
          <w:tcPr>
            <w:tcW w:w="1419" w:type="dxa"/>
            <w:vAlign w:val="center"/>
          </w:tcPr>
          <w:p w:rsidR="00525419" w:rsidRDefault="00EE1CF7">
            <w:pPr>
              <w:pStyle w:val="B2"/>
              <w:rPr>
                <w:rFonts w:cs="Times New Roman"/>
              </w:rPr>
            </w:pPr>
            <w:r>
              <w:rPr>
                <w:rFonts w:cs="Times New Roman"/>
              </w:rPr>
              <w:t>弱透水层</w:t>
            </w:r>
          </w:p>
          <w:p w:rsidR="00525419" w:rsidRDefault="00EE1CF7">
            <w:pPr>
              <w:pStyle w:val="B2"/>
              <w:rPr>
                <w:rFonts w:cs="Times New Roman"/>
              </w:rPr>
            </w:pPr>
            <w:r>
              <w:rPr>
                <w:rFonts w:cs="Times New Roman"/>
              </w:rPr>
              <w:t>不承压</w:t>
            </w:r>
            <w:r>
              <w:rPr>
                <w:rFonts w:cs="Times New Roman"/>
              </w:rPr>
              <w:t>/</w:t>
            </w:r>
            <w:r>
              <w:rPr>
                <w:rFonts w:cs="Times New Roman"/>
              </w:rPr>
              <w:t>承压含水层</w:t>
            </w:r>
          </w:p>
        </w:tc>
        <w:tc>
          <w:tcPr>
            <w:tcW w:w="852" w:type="dxa"/>
            <w:vMerge w:val="restart"/>
            <w:vAlign w:val="center"/>
          </w:tcPr>
          <w:p w:rsidR="00525419" w:rsidRDefault="00EE1CF7">
            <w:pPr>
              <w:pStyle w:val="B2"/>
              <w:rPr>
                <w:rFonts w:cs="Times New Roman"/>
              </w:rPr>
            </w:pPr>
            <w:r>
              <w:rPr>
                <w:rFonts w:cs="Times New Roman"/>
              </w:rPr>
              <w:t>不承压含水层</w:t>
            </w:r>
          </w:p>
        </w:tc>
        <w:tc>
          <w:tcPr>
            <w:tcW w:w="2162" w:type="dxa"/>
            <w:vAlign w:val="center"/>
          </w:tcPr>
          <w:p w:rsidR="00525419" w:rsidRDefault="00EE1CF7">
            <w:pPr>
              <w:pStyle w:val="B2"/>
              <w:rPr>
                <w:rFonts w:cs="Times New Roman"/>
              </w:rPr>
            </w:pPr>
            <w:r>
              <w:rPr>
                <w:rFonts w:cs="Times New Roman"/>
              </w:rPr>
              <w:t>南盆地为</w:t>
            </w:r>
            <w:r>
              <w:rPr>
                <w:rFonts w:cs="Times New Roman"/>
              </w:rPr>
              <w:t>1-3</w:t>
            </w:r>
            <w:r>
              <w:rPr>
                <w:rFonts w:cs="Times New Roman"/>
              </w:rPr>
              <w:t>含水层</w:t>
            </w:r>
          </w:p>
        </w:tc>
      </w:tr>
      <w:tr w:rsidR="00525419">
        <w:trPr>
          <w:trHeight w:val="397"/>
          <w:jc w:val="center"/>
        </w:trPr>
        <w:tc>
          <w:tcPr>
            <w:tcW w:w="674" w:type="dxa"/>
            <w:vMerge/>
            <w:vAlign w:val="center"/>
          </w:tcPr>
          <w:p w:rsidR="00525419" w:rsidRDefault="00525419">
            <w:pPr>
              <w:pStyle w:val="B2"/>
              <w:rPr>
                <w:rFonts w:cs="Times New Roman"/>
              </w:rPr>
            </w:pPr>
          </w:p>
        </w:tc>
        <w:tc>
          <w:tcPr>
            <w:tcW w:w="1134" w:type="dxa"/>
            <w:vAlign w:val="center"/>
          </w:tcPr>
          <w:p w:rsidR="00525419" w:rsidRDefault="00EE1CF7">
            <w:pPr>
              <w:pStyle w:val="B2"/>
              <w:rPr>
                <w:rFonts w:cs="Times New Roman"/>
              </w:rPr>
            </w:pPr>
            <w:r>
              <w:rPr>
                <w:rFonts w:cs="Times New Roman"/>
              </w:rPr>
              <w:t>B</w:t>
            </w:r>
            <w:r>
              <w:rPr>
                <w:rFonts w:cs="Times New Roman"/>
              </w:rPr>
              <w:t>层</w:t>
            </w:r>
          </w:p>
        </w:tc>
        <w:tc>
          <w:tcPr>
            <w:tcW w:w="1277" w:type="dxa"/>
            <w:vAlign w:val="center"/>
          </w:tcPr>
          <w:p w:rsidR="00525419" w:rsidRDefault="00EE1CF7">
            <w:pPr>
              <w:pStyle w:val="B2"/>
              <w:rPr>
                <w:rFonts w:cs="Times New Roman"/>
              </w:rPr>
            </w:pPr>
            <w:r>
              <w:rPr>
                <w:rFonts w:cs="Times New Roman"/>
              </w:rPr>
              <w:t>B</w:t>
            </w:r>
            <w:r>
              <w:rPr>
                <w:rFonts w:cs="Times New Roman"/>
              </w:rPr>
              <w:t>弱透水层（</w:t>
            </w:r>
            <w:r>
              <w:rPr>
                <w:rFonts w:cs="Times New Roman"/>
              </w:rPr>
              <w:t>B</w:t>
            </w:r>
            <w:r>
              <w:rPr>
                <w:rFonts w:cs="Times New Roman"/>
              </w:rPr>
              <w:t>含水层）</w:t>
            </w:r>
          </w:p>
        </w:tc>
        <w:tc>
          <w:tcPr>
            <w:tcW w:w="993" w:type="dxa"/>
            <w:vMerge/>
            <w:vAlign w:val="center"/>
          </w:tcPr>
          <w:p w:rsidR="00525419" w:rsidRDefault="00525419">
            <w:pPr>
              <w:pStyle w:val="B2"/>
              <w:rPr>
                <w:rFonts w:cs="Times New Roman"/>
              </w:rPr>
            </w:pPr>
          </w:p>
        </w:tc>
        <w:tc>
          <w:tcPr>
            <w:tcW w:w="1419" w:type="dxa"/>
            <w:vAlign w:val="center"/>
          </w:tcPr>
          <w:p w:rsidR="00525419" w:rsidRDefault="00EE1CF7">
            <w:pPr>
              <w:pStyle w:val="B2"/>
              <w:rPr>
                <w:rFonts w:cs="Times New Roman"/>
              </w:rPr>
            </w:pPr>
            <w:r>
              <w:rPr>
                <w:rFonts w:cs="Times New Roman"/>
              </w:rPr>
              <w:t>弱透水层</w:t>
            </w:r>
          </w:p>
          <w:p w:rsidR="00525419" w:rsidRDefault="00EE1CF7">
            <w:pPr>
              <w:pStyle w:val="B2"/>
              <w:rPr>
                <w:rFonts w:cs="Times New Roman"/>
              </w:rPr>
            </w:pPr>
            <w:r>
              <w:rPr>
                <w:rFonts w:cs="Times New Roman"/>
              </w:rPr>
              <w:t>（承压含水层）</w:t>
            </w:r>
          </w:p>
        </w:tc>
        <w:tc>
          <w:tcPr>
            <w:tcW w:w="852" w:type="dxa"/>
            <w:vMerge/>
            <w:vAlign w:val="center"/>
          </w:tcPr>
          <w:p w:rsidR="00525419" w:rsidRDefault="00525419">
            <w:pPr>
              <w:pStyle w:val="B2"/>
              <w:rPr>
                <w:rFonts w:cs="Times New Roman"/>
              </w:rPr>
            </w:pPr>
          </w:p>
        </w:tc>
        <w:tc>
          <w:tcPr>
            <w:tcW w:w="2162" w:type="dxa"/>
            <w:vAlign w:val="center"/>
          </w:tcPr>
          <w:p w:rsidR="00525419" w:rsidRDefault="00EE1CF7">
            <w:pPr>
              <w:pStyle w:val="B2"/>
              <w:rPr>
                <w:rFonts w:cs="Times New Roman"/>
              </w:rPr>
            </w:pPr>
            <w:r>
              <w:rPr>
                <w:rFonts w:cs="Times New Roman"/>
              </w:rPr>
              <w:t>南盆地为</w:t>
            </w:r>
            <w:r>
              <w:rPr>
                <w:rFonts w:cs="Times New Roman"/>
              </w:rPr>
              <w:t>0-1</w:t>
            </w:r>
            <w:r>
              <w:rPr>
                <w:rFonts w:cs="Times New Roman"/>
              </w:rPr>
              <w:t>含水层</w:t>
            </w:r>
          </w:p>
          <w:p w:rsidR="00525419" w:rsidRDefault="00EE1CF7">
            <w:pPr>
              <w:pStyle w:val="B2"/>
              <w:rPr>
                <w:rFonts w:cs="Times New Roman"/>
              </w:rPr>
            </w:pPr>
            <w:r>
              <w:rPr>
                <w:rFonts w:cs="Times New Roman"/>
              </w:rPr>
              <w:t>在南盆地西部含水层发达</w:t>
            </w:r>
          </w:p>
        </w:tc>
      </w:tr>
      <w:tr w:rsidR="00525419">
        <w:trPr>
          <w:trHeight w:val="397"/>
          <w:jc w:val="center"/>
        </w:trPr>
        <w:tc>
          <w:tcPr>
            <w:tcW w:w="674" w:type="dxa"/>
            <w:vMerge/>
            <w:vAlign w:val="center"/>
          </w:tcPr>
          <w:p w:rsidR="00525419" w:rsidRDefault="00525419">
            <w:pPr>
              <w:pStyle w:val="B2"/>
              <w:rPr>
                <w:rFonts w:cs="Times New Roman"/>
              </w:rPr>
            </w:pPr>
          </w:p>
        </w:tc>
        <w:tc>
          <w:tcPr>
            <w:tcW w:w="1134" w:type="dxa"/>
            <w:vAlign w:val="center"/>
          </w:tcPr>
          <w:p w:rsidR="00525419" w:rsidRDefault="00EE1CF7">
            <w:pPr>
              <w:pStyle w:val="B2"/>
              <w:rPr>
                <w:rFonts w:cs="Times New Roman"/>
              </w:rPr>
            </w:pPr>
            <w:r>
              <w:rPr>
                <w:rFonts w:cs="Times New Roman"/>
              </w:rPr>
              <w:t>C</w:t>
            </w:r>
            <w:r>
              <w:rPr>
                <w:rFonts w:cs="Times New Roman"/>
              </w:rPr>
              <w:t>层</w:t>
            </w:r>
          </w:p>
        </w:tc>
        <w:tc>
          <w:tcPr>
            <w:tcW w:w="1277" w:type="dxa"/>
            <w:vAlign w:val="center"/>
          </w:tcPr>
          <w:p w:rsidR="00525419" w:rsidRDefault="00EE1CF7">
            <w:pPr>
              <w:pStyle w:val="B2"/>
              <w:rPr>
                <w:rFonts w:cs="Times New Roman"/>
              </w:rPr>
            </w:pPr>
            <w:r>
              <w:rPr>
                <w:rFonts w:cs="Times New Roman"/>
              </w:rPr>
              <w:t>C</w:t>
            </w:r>
            <w:r>
              <w:rPr>
                <w:rFonts w:cs="Times New Roman"/>
              </w:rPr>
              <w:t>含水层</w:t>
            </w:r>
          </w:p>
          <w:p w:rsidR="00525419" w:rsidRDefault="00EE1CF7">
            <w:pPr>
              <w:pStyle w:val="B2"/>
              <w:rPr>
                <w:rFonts w:cs="Times New Roman"/>
              </w:rPr>
            </w:pPr>
            <w:r>
              <w:rPr>
                <w:rFonts w:cs="Times New Roman"/>
              </w:rPr>
              <w:t>C</w:t>
            </w:r>
            <w:r>
              <w:rPr>
                <w:rFonts w:cs="Times New Roman"/>
              </w:rPr>
              <w:t>弱透水层</w:t>
            </w:r>
          </w:p>
        </w:tc>
        <w:tc>
          <w:tcPr>
            <w:tcW w:w="993" w:type="dxa"/>
            <w:vMerge/>
            <w:vAlign w:val="center"/>
          </w:tcPr>
          <w:p w:rsidR="00525419" w:rsidRDefault="00525419">
            <w:pPr>
              <w:pStyle w:val="B2"/>
              <w:rPr>
                <w:rFonts w:cs="Times New Roman"/>
              </w:rPr>
            </w:pPr>
          </w:p>
        </w:tc>
        <w:tc>
          <w:tcPr>
            <w:tcW w:w="1419" w:type="dxa"/>
            <w:vAlign w:val="center"/>
          </w:tcPr>
          <w:p w:rsidR="00525419" w:rsidRDefault="00EE1CF7">
            <w:pPr>
              <w:pStyle w:val="B2"/>
              <w:rPr>
                <w:rFonts w:cs="Times New Roman"/>
              </w:rPr>
            </w:pPr>
            <w:r>
              <w:rPr>
                <w:rFonts w:cs="Times New Roman"/>
              </w:rPr>
              <w:t>弱透水层</w:t>
            </w:r>
          </w:p>
          <w:p w:rsidR="00525419" w:rsidRDefault="00EE1CF7">
            <w:pPr>
              <w:pStyle w:val="B2"/>
              <w:rPr>
                <w:rFonts w:cs="Times New Roman"/>
              </w:rPr>
            </w:pPr>
            <w:r>
              <w:rPr>
                <w:rFonts w:cs="Times New Roman"/>
              </w:rPr>
              <w:t>承压含水层</w:t>
            </w:r>
          </w:p>
        </w:tc>
        <w:tc>
          <w:tcPr>
            <w:tcW w:w="852" w:type="dxa"/>
            <w:vMerge/>
            <w:vAlign w:val="center"/>
          </w:tcPr>
          <w:p w:rsidR="00525419" w:rsidRDefault="00525419">
            <w:pPr>
              <w:pStyle w:val="B2"/>
              <w:rPr>
                <w:rFonts w:cs="Times New Roman"/>
              </w:rPr>
            </w:pPr>
          </w:p>
        </w:tc>
        <w:tc>
          <w:tcPr>
            <w:tcW w:w="2162" w:type="dxa"/>
            <w:vAlign w:val="center"/>
          </w:tcPr>
          <w:p w:rsidR="00525419" w:rsidRDefault="00EE1CF7">
            <w:pPr>
              <w:pStyle w:val="B2"/>
              <w:rPr>
                <w:rFonts w:cs="Times New Roman"/>
              </w:rPr>
            </w:pPr>
            <w:r>
              <w:rPr>
                <w:rFonts w:cs="Times New Roman"/>
              </w:rPr>
              <w:t>南盆地为</w:t>
            </w:r>
            <w:r>
              <w:rPr>
                <w:rFonts w:cs="Times New Roman"/>
              </w:rPr>
              <w:t>1-4</w:t>
            </w:r>
            <w:r>
              <w:rPr>
                <w:rFonts w:cs="Times New Roman"/>
              </w:rPr>
              <w:t>含水层在南盆地东部匮乏</w:t>
            </w:r>
          </w:p>
        </w:tc>
      </w:tr>
      <w:tr w:rsidR="00525419">
        <w:trPr>
          <w:trHeight w:val="397"/>
          <w:jc w:val="center"/>
        </w:trPr>
        <w:tc>
          <w:tcPr>
            <w:tcW w:w="674" w:type="dxa"/>
            <w:vAlign w:val="center"/>
          </w:tcPr>
          <w:p w:rsidR="00525419" w:rsidRDefault="00EE1CF7">
            <w:pPr>
              <w:pStyle w:val="B2"/>
              <w:rPr>
                <w:rFonts w:cs="Times New Roman"/>
              </w:rPr>
            </w:pPr>
            <w:r>
              <w:rPr>
                <w:rFonts w:cs="Times New Roman"/>
              </w:rPr>
              <w:t>前第四纪</w:t>
            </w:r>
          </w:p>
        </w:tc>
        <w:tc>
          <w:tcPr>
            <w:tcW w:w="1134" w:type="dxa"/>
            <w:vAlign w:val="center"/>
          </w:tcPr>
          <w:p w:rsidR="00525419" w:rsidRDefault="00EE1CF7">
            <w:pPr>
              <w:pStyle w:val="B2"/>
              <w:rPr>
                <w:rFonts w:cs="Times New Roman"/>
              </w:rPr>
            </w:pPr>
            <w:r>
              <w:rPr>
                <w:rFonts w:cs="Times New Roman"/>
              </w:rPr>
              <w:t>第三系</w:t>
            </w:r>
            <w:r>
              <w:rPr>
                <w:rFonts w:cs="Times New Roman"/>
              </w:rPr>
              <w:t>/</w:t>
            </w:r>
            <w:r>
              <w:rPr>
                <w:rFonts w:cs="Times New Roman"/>
              </w:rPr>
              <w:t>前第三系</w:t>
            </w:r>
          </w:p>
        </w:tc>
        <w:tc>
          <w:tcPr>
            <w:tcW w:w="2270" w:type="dxa"/>
            <w:gridSpan w:val="2"/>
            <w:vAlign w:val="center"/>
          </w:tcPr>
          <w:p w:rsidR="00525419" w:rsidRDefault="00EE1CF7">
            <w:pPr>
              <w:pStyle w:val="B2"/>
              <w:rPr>
                <w:rFonts w:cs="Times New Roman"/>
              </w:rPr>
            </w:pPr>
            <w:r>
              <w:rPr>
                <w:rFonts w:cs="Times New Roman"/>
              </w:rPr>
              <w:t>水文地质基底</w:t>
            </w:r>
          </w:p>
        </w:tc>
        <w:tc>
          <w:tcPr>
            <w:tcW w:w="1419" w:type="dxa"/>
            <w:vAlign w:val="center"/>
          </w:tcPr>
          <w:p w:rsidR="00525419" w:rsidRDefault="00EE1CF7">
            <w:pPr>
              <w:pStyle w:val="B2"/>
              <w:rPr>
                <w:rFonts w:cs="Times New Roman"/>
              </w:rPr>
            </w:pPr>
            <w:r>
              <w:rPr>
                <w:rFonts w:cs="Times New Roman"/>
              </w:rPr>
              <w:t>弱透水性</w:t>
            </w:r>
          </w:p>
          <w:p w:rsidR="00525419" w:rsidRDefault="00EE1CF7">
            <w:pPr>
              <w:pStyle w:val="B2"/>
              <w:rPr>
                <w:rFonts w:cs="Times New Roman"/>
              </w:rPr>
            </w:pPr>
            <w:r>
              <w:rPr>
                <w:rFonts w:cs="Times New Roman"/>
              </w:rPr>
              <w:t>基底</w:t>
            </w:r>
          </w:p>
        </w:tc>
        <w:tc>
          <w:tcPr>
            <w:tcW w:w="852" w:type="dxa"/>
            <w:vAlign w:val="center"/>
          </w:tcPr>
          <w:p w:rsidR="00525419" w:rsidRDefault="00525419">
            <w:pPr>
              <w:pStyle w:val="B2"/>
              <w:rPr>
                <w:rFonts w:cs="Times New Roman"/>
              </w:rPr>
            </w:pPr>
          </w:p>
        </w:tc>
        <w:tc>
          <w:tcPr>
            <w:tcW w:w="2162" w:type="dxa"/>
            <w:vAlign w:val="center"/>
          </w:tcPr>
          <w:p w:rsidR="00525419" w:rsidRDefault="00EE1CF7">
            <w:pPr>
              <w:pStyle w:val="B2"/>
              <w:rPr>
                <w:rFonts w:cs="Times New Roman"/>
              </w:rPr>
            </w:pPr>
            <w:r>
              <w:rPr>
                <w:rFonts w:cs="Times New Roman"/>
              </w:rPr>
              <w:t>部分第三系为砂砾相</w:t>
            </w:r>
          </w:p>
        </w:tc>
      </w:tr>
    </w:tbl>
    <w:p w:rsidR="00525419" w:rsidRDefault="00525419">
      <w:pPr>
        <w:rPr>
          <w:rFonts w:ascii="Times New Roman" w:hAnsi="Times New Roman"/>
        </w:rPr>
      </w:pP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）地下水类型</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鄯善县地下水类型分为松散岩类孔隙水、</w:t>
      </w:r>
      <w:r>
        <w:rPr>
          <w:rFonts w:ascii="Times New Roman" w:hAnsi="Times New Roman"/>
          <w:sz w:val="24"/>
          <w:szCs w:val="24"/>
        </w:rPr>
        <w:t xml:space="preserve"> </w:t>
      </w:r>
      <w:r>
        <w:rPr>
          <w:rFonts w:ascii="Times New Roman" w:hAnsi="Times New Roman"/>
          <w:sz w:val="24"/>
          <w:szCs w:val="24"/>
        </w:rPr>
        <w:t>碎屑岩类裂隙孔隙水两大类。</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 xml:space="preserve"> ①</w:t>
      </w:r>
      <w:r>
        <w:rPr>
          <w:rFonts w:ascii="Times New Roman" w:hAnsi="Times New Roman"/>
          <w:sz w:val="24"/>
          <w:szCs w:val="24"/>
        </w:rPr>
        <w:t>松散岩类孔隙水</w:t>
      </w:r>
      <w:r>
        <w:rPr>
          <w:rFonts w:ascii="Times New Roman" w:hAnsi="Times New Roman"/>
          <w:sz w:val="24"/>
          <w:szCs w:val="24"/>
        </w:rPr>
        <w:t xml:space="preserve"> </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广布于整个盆地，自山前向盆地中心，由单一的潜水含水岩组系统逐渐过渡</w:t>
      </w:r>
      <w:r>
        <w:rPr>
          <w:rFonts w:ascii="Times New Roman" w:hAnsi="Times New Roman"/>
          <w:sz w:val="24"/>
          <w:szCs w:val="24"/>
        </w:rPr>
        <w:t xml:space="preserve"> </w:t>
      </w:r>
      <w:r>
        <w:rPr>
          <w:rFonts w:ascii="Times New Roman" w:hAnsi="Times New Roman"/>
          <w:sz w:val="24"/>
          <w:szCs w:val="24"/>
        </w:rPr>
        <w:t>为双层结构的赋存有潜水和承压水、自流水的含水岩组系统。第四系厚度据钻探</w:t>
      </w:r>
      <w:r>
        <w:rPr>
          <w:rFonts w:ascii="Times New Roman" w:hAnsi="Times New Roman"/>
          <w:sz w:val="24"/>
          <w:szCs w:val="24"/>
        </w:rPr>
        <w:t xml:space="preserve"> </w:t>
      </w:r>
      <w:r>
        <w:rPr>
          <w:rFonts w:ascii="Times New Roman" w:hAnsi="Times New Roman"/>
          <w:sz w:val="24"/>
          <w:szCs w:val="24"/>
        </w:rPr>
        <w:t>和物探证实有十米到几百米甚至上千米。</w:t>
      </w:r>
      <w:r>
        <w:rPr>
          <w:rFonts w:ascii="Times New Roman" w:hAnsi="Times New Roman"/>
          <w:sz w:val="24"/>
          <w:szCs w:val="24"/>
        </w:rPr>
        <w:t xml:space="preserve"> </w:t>
      </w:r>
      <w:r>
        <w:rPr>
          <w:rFonts w:ascii="Times New Roman" w:hAnsi="Times New Roman"/>
          <w:sz w:val="24"/>
          <w:szCs w:val="24"/>
        </w:rPr>
        <w:t>由于不同的地貌位置和受补给、径流、</w:t>
      </w:r>
      <w:r>
        <w:rPr>
          <w:rFonts w:ascii="Times New Roman" w:hAnsi="Times New Roman"/>
          <w:sz w:val="24"/>
          <w:szCs w:val="24"/>
        </w:rPr>
        <w:t xml:space="preserve"> </w:t>
      </w:r>
      <w:r>
        <w:rPr>
          <w:rFonts w:ascii="Times New Roman" w:hAnsi="Times New Roman"/>
          <w:sz w:val="24"/>
          <w:szCs w:val="24"/>
        </w:rPr>
        <w:lastRenderedPageBreak/>
        <w:t>排泄条件与岩性的制约，各含水岩组系统的富水性和水化学系统均有差异。</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山前冲洪积平原潜水、承压水</w:t>
      </w:r>
      <w:r>
        <w:rPr>
          <w:rFonts w:ascii="Times New Roman" w:hAnsi="Times New Roman"/>
          <w:sz w:val="24"/>
          <w:szCs w:val="24"/>
        </w:rPr>
        <w:t xml:space="preserve"> </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山前冲洪积平原为主要的地下水分布区，山前平原潜水含水岩组主要分布于</w:t>
      </w:r>
      <w:r>
        <w:rPr>
          <w:rFonts w:ascii="Times New Roman" w:hAnsi="Times New Roman"/>
          <w:sz w:val="24"/>
          <w:szCs w:val="24"/>
        </w:rPr>
        <w:t xml:space="preserve"> </w:t>
      </w:r>
      <w:r>
        <w:rPr>
          <w:rFonts w:ascii="Times New Roman" w:hAnsi="Times New Roman"/>
          <w:sz w:val="24"/>
          <w:szCs w:val="24"/>
        </w:rPr>
        <w:t>鄯善县的北半部，含水层主要为上更新统冲洪积巨厚砂卵砾石层，据物探证实，</w:t>
      </w:r>
      <w:r>
        <w:rPr>
          <w:rFonts w:ascii="Times New Roman" w:hAnsi="Times New Roman"/>
          <w:sz w:val="24"/>
          <w:szCs w:val="24"/>
        </w:rPr>
        <w:t xml:space="preserve"> </w:t>
      </w:r>
      <w:r>
        <w:rPr>
          <w:rFonts w:ascii="Times New Roman" w:hAnsi="Times New Roman"/>
          <w:sz w:val="24"/>
          <w:szCs w:val="24"/>
        </w:rPr>
        <w:t>鄯善县城</w:t>
      </w:r>
      <w:r>
        <w:rPr>
          <w:rFonts w:ascii="Times New Roman" w:hAnsi="Times New Roman"/>
          <w:sz w:val="24"/>
          <w:szCs w:val="24"/>
        </w:rPr>
        <w:t>—</w:t>
      </w:r>
      <w:r>
        <w:rPr>
          <w:rFonts w:ascii="Times New Roman" w:hAnsi="Times New Roman"/>
          <w:sz w:val="24"/>
          <w:szCs w:val="24"/>
        </w:rPr>
        <w:t>连木沁以北柯可亚电站附近第四系沉积物的厚度为</w:t>
      </w:r>
      <w:r>
        <w:rPr>
          <w:rFonts w:ascii="Times New Roman" w:hAnsi="Times New Roman"/>
          <w:sz w:val="24"/>
          <w:szCs w:val="24"/>
        </w:rPr>
        <w:t>100-700m</w:t>
      </w:r>
      <w:r>
        <w:rPr>
          <w:rFonts w:ascii="Times New Roman" w:hAnsi="Times New Roman"/>
          <w:sz w:val="24"/>
          <w:szCs w:val="24"/>
        </w:rPr>
        <w:t>，七克</w:t>
      </w:r>
      <w:r>
        <w:rPr>
          <w:rFonts w:ascii="Times New Roman" w:hAnsi="Times New Roman"/>
          <w:sz w:val="24"/>
          <w:szCs w:val="24"/>
        </w:rPr>
        <w:t xml:space="preserve"> </w:t>
      </w:r>
      <w:r>
        <w:rPr>
          <w:rFonts w:ascii="Times New Roman" w:hAnsi="Times New Roman"/>
          <w:sz w:val="24"/>
          <w:szCs w:val="24"/>
        </w:rPr>
        <w:t>台以北为</w:t>
      </w:r>
      <w:r>
        <w:rPr>
          <w:rFonts w:ascii="Times New Roman" w:hAnsi="Times New Roman"/>
          <w:sz w:val="24"/>
          <w:szCs w:val="24"/>
        </w:rPr>
        <w:t xml:space="preserve"> 50-600m</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胜金台至七克台一带北部潜水含水层主要为上新统沉积砂卵砾石层，潜水位埋深由北向南逐渐变浅。</w:t>
      </w:r>
      <w:r>
        <w:rPr>
          <w:rFonts w:ascii="Times New Roman" w:hAnsi="Times New Roman"/>
          <w:sz w:val="24"/>
          <w:szCs w:val="24"/>
        </w:rPr>
        <w:t xml:space="preserve"> </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鄯善县七克台以南中新生代隆起北侧，形成一条东西向分布的承压水区，潜</w:t>
      </w:r>
      <w:r>
        <w:rPr>
          <w:rFonts w:ascii="Times New Roman" w:hAnsi="Times New Roman"/>
          <w:sz w:val="24"/>
          <w:szCs w:val="24"/>
        </w:rPr>
        <w:t xml:space="preserve"> </w:t>
      </w:r>
      <w:r>
        <w:rPr>
          <w:rFonts w:ascii="Times New Roman" w:hAnsi="Times New Roman"/>
          <w:sz w:val="24"/>
          <w:szCs w:val="24"/>
        </w:rPr>
        <w:t>水和承压水均为中等富水。</w:t>
      </w:r>
      <w:r>
        <w:rPr>
          <w:rFonts w:ascii="Times New Roman" w:hAnsi="Times New Roman"/>
          <w:sz w:val="24"/>
          <w:szCs w:val="24"/>
        </w:rPr>
        <w:br/>
      </w:r>
      <w:r>
        <w:rPr>
          <w:rFonts w:ascii="Times New Roman" w:hAnsi="Times New Roman"/>
          <w:sz w:val="24"/>
          <w:szCs w:val="24"/>
        </w:rPr>
        <w:t xml:space="preserve">　　</w:t>
      </w:r>
      <w:r>
        <w:rPr>
          <w:rFonts w:ascii="Times New Roman" w:hAnsi="Times New Roman"/>
          <w:sz w:val="24"/>
          <w:szCs w:val="24"/>
        </w:rPr>
        <w:t>b.</w:t>
      </w:r>
      <w:r>
        <w:rPr>
          <w:rFonts w:ascii="Times New Roman" w:hAnsi="Times New Roman"/>
          <w:sz w:val="24"/>
          <w:szCs w:val="24"/>
        </w:rPr>
        <w:t>沙漠区地下水</w:t>
      </w:r>
      <w:r>
        <w:rPr>
          <w:rFonts w:ascii="Times New Roman" w:hAnsi="Times New Roman"/>
          <w:sz w:val="24"/>
          <w:szCs w:val="24"/>
        </w:rPr>
        <w:t xml:space="preserve"> </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鄯善县南库木塔格沙漠，其间有众多大小不一的风蚀洼地。</w:t>
      </w:r>
      <w:r>
        <w:rPr>
          <w:rFonts w:ascii="Times New Roman" w:hAnsi="Times New Roman"/>
          <w:sz w:val="24"/>
          <w:szCs w:val="24"/>
        </w:rPr>
        <w:t xml:space="preserve"> </w:t>
      </w:r>
      <w:r>
        <w:rPr>
          <w:rFonts w:ascii="Times New Roman" w:hAnsi="Times New Roman"/>
          <w:sz w:val="24"/>
          <w:szCs w:val="24"/>
        </w:rPr>
        <w:t>一些面积较大的</w:t>
      </w:r>
      <w:r>
        <w:rPr>
          <w:rFonts w:ascii="Times New Roman" w:hAnsi="Times New Roman"/>
          <w:sz w:val="24"/>
          <w:szCs w:val="24"/>
        </w:rPr>
        <w:t xml:space="preserve"> </w:t>
      </w:r>
      <w:r>
        <w:rPr>
          <w:rFonts w:ascii="Times New Roman" w:hAnsi="Times New Roman"/>
          <w:sz w:val="24"/>
          <w:szCs w:val="24"/>
        </w:rPr>
        <w:t>风蚀洼地比较深，常赋存有埋深不大，水质微咸的潜水或浅层承压水，含水层为中细砂和亚砂土，水量中等或贫乏。</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 xml:space="preserve"> ②</w:t>
      </w:r>
      <w:r>
        <w:rPr>
          <w:rFonts w:ascii="Times New Roman" w:hAnsi="Times New Roman"/>
          <w:sz w:val="24"/>
          <w:szCs w:val="24"/>
        </w:rPr>
        <w:t>碎屑岩类裂隙孔隙水</w:t>
      </w:r>
      <w:r>
        <w:rPr>
          <w:rFonts w:ascii="Times New Roman" w:hAnsi="Times New Roman"/>
          <w:sz w:val="24"/>
          <w:szCs w:val="24"/>
        </w:rPr>
        <w:t xml:space="preserve"> </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第三系和中生界岩层，主要分布于北部山麓，岩性为泥岩、泥质砂岩、泥质</w:t>
      </w:r>
      <w:r>
        <w:rPr>
          <w:rFonts w:ascii="Times New Roman" w:hAnsi="Times New Roman"/>
          <w:sz w:val="24"/>
          <w:szCs w:val="24"/>
        </w:rPr>
        <w:t xml:space="preserve"> </w:t>
      </w:r>
      <w:r>
        <w:rPr>
          <w:rFonts w:ascii="Times New Roman" w:hAnsi="Times New Roman"/>
          <w:sz w:val="24"/>
          <w:szCs w:val="24"/>
        </w:rPr>
        <w:t>砾岩等，一般为相对隔水或透水性极差的岩层，局部地带含水。</w:t>
      </w:r>
      <w:r>
        <w:rPr>
          <w:rFonts w:ascii="Times New Roman" w:hAnsi="Times New Roman"/>
          <w:sz w:val="24"/>
          <w:szCs w:val="24"/>
        </w:rPr>
        <w:t xml:space="preserve"> </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）地下水的补给、径流与排泄条件</w:t>
      </w:r>
      <w:r>
        <w:rPr>
          <w:rFonts w:ascii="Times New Roman" w:hAnsi="Times New Roman"/>
          <w:sz w:val="24"/>
          <w:szCs w:val="24"/>
        </w:rPr>
        <w:br/>
      </w:r>
      <w:r>
        <w:rPr>
          <w:rFonts w:ascii="Times New Roman" w:hAnsi="Times New Roman"/>
          <w:sz w:val="24"/>
          <w:szCs w:val="24"/>
        </w:rPr>
        <w:t xml:space="preserve">　　　</w:t>
      </w:r>
      <w:r>
        <w:rPr>
          <w:rFonts w:ascii="Times New Roman" w:hAnsi="Times New Roman"/>
          <w:sz w:val="24"/>
          <w:szCs w:val="24"/>
        </w:rPr>
        <w:t>1</w:t>
      </w:r>
      <w:r>
        <w:rPr>
          <w:rFonts w:ascii="Times New Roman" w:hAnsi="Times New Roman"/>
          <w:sz w:val="24"/>
          <w:szCs w:val="24"/>
        </w:rPr>
        <w:t>）地下水的补给</w:t>
      </w:r>
      <w:r>
        <w:rPr>
          <w:rFonts w:ascii="Times New Roman" w:hAnsi="Times New Roman"/>
          <w:sz w:val="24"/>
          <w:szCs w:val="24"/>
        </w:rPr>
        <w:t xml:space="preserve"> </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鄯善县平原区地下水的补给可分为天然补给和地表水体转化补给以及地下</w:t>
      </w:r>
      <w:r>
        <w:rPr>
          <w:rFonts w:ascii="Times New Roman" w:hAnsi="Times New Roman"/>
          <w:sz w:val="24"/>
          <w:szCs w:val="24"/>
        </w:rPr>
        <w:t xml:space="preserve"> </w:t>
      </w:r>
      <w:r>
        <w:rPr>
          <w:rFonts w:ascii="Times New Roman" w:hAnsi="Times New Roman"/>
          <w:sz w:val="24"/>
          <w:szCs w:val="24"/>
        </w:rPr>
        <w:t>水回归入渗补给等。北盆地山前侧向流入和平原区降水入渗补给构成了本区地下</w:t>
      </w:r>
      <w:r>
        <w:rPr>
          <w:rFonts w:ascii="Times New Roman" w:hAnsi="Times New Roman"/>
          <w:sz w:val="24"/>
          <w:szCs w:val="24"/>
        </w:rPr>
        <w:t xml:space="preserve"> </w:t>
      </w:r>
      <w:r>
        <w:rPr>
          <w:rFonts w:ascii="Times New Roman" w:hAnsi="Times New Roman"/>
          <w:sz w:val="24"/>
          <w:szCs w:val="24"/>
        </w:rPr>
        <w:t>水的天然补给量。由于坎儿其河、柯柯亚河上游均已修建水库，山前侧向补给较</w:t>
      </w:r>
      <w:r>
        <w:rPr>
          <w:rFonts w:ascii="Times New Roman" w:hAnsi="Times New Roman"/>
          <w:sz w:val="24"/>
          <w:szCs w:val="24"/>
        </w:rPr>
        <w:t xml:space="preserve"> </w:t>
      </w:r>
      <w:r>
        <w:rPr>
          <w:rFonts w:ascii="Times New Roman" w:hAnsi="Times New Roman"/>
          <w:sz w:val="24"/>
          <w:szCs w:val="24"/>
        </w:rPr>
        <w:t>以前有所减少。平原区的降水量少，对地下水的补给有限。而对地下水的补给作</w:t>
      </w:r>
      <w:r>
        <w:rPr>
          <w:rFonts w:ascii="Times New Roman" w:hAnsi="Times New Roman"/>
          <w:sz w:val="24"/>
          <w:szCs w:val="24"/>
        </w:rPr>
        <w:t xml:space="preserve"> </w:t>
      </w:r>
      <w:r>
        <w:rPr>
          <w:rFonts w:ascii="Times New Roman" w:hAnsi="Times New Roman"/>
          <w:sz w:val="24"/>
          <w:szCs w:val="24"/>
        </w:rPr>
        <w:t>用较大的主要是通过地表水入渗而产生的地下水转化补给量，即渠道引水及田间</w:t>
      </w:r>
      <w:r>
        <w:rPr>
          <w:rFonts w:ascii="Times New Roman" w:hAnsi="Times New Roman"/>
          <w:sz w:val="24"/>
          <w:szCs w:val="24"/>
        </w:rPr>
        <w:t xml:space="preserve"> </w:t>
      </w:r>
      <w:r>
        <w:rPr>
          <w:rFonts w:ascii="Times New Roman" w:hAnsi="Times New Roman"/>
          <w:sz w:val="24"/>
          <w:szCs w:val="24"/>
        </w:rPr>
        <w:t>灌溉入渗对地下水的补给。</w:t>
      </w:r>
      <w:r>
        <w:rPr>
          <w:rFonts w:ascii="Times New Roman" w:hAnsi="Times New Roman"/>
          <w:sz w:val="24"/>
          <w:szCs w:val="24"/>
        </w:rPr>
        <w:t xml:space="preserve"> </w:t>
      </w:r>
      <w:r>
        <w:rPr>
          <w:rFonts w:ascii="Times New Roman" w:hAnsi="Times New Roman"/>
          <w:sz w:val="24"/>
          <w:szCs w:val="24"/>
        </w:rPr>
        <w:t>另外，由于发利用地下水进行农业灌溉所产生的渗漏</w:t>
      </w:r>
      <w:r>
        <w:rPr>
          <w:rFonts w:ascii="Times New Roman" w:hAnsi="Times New Roman"/>
          <w:sz w:val="24"/>
          <w:szCs w:val="24"/>
        </w:rPr>
        <w:t xml:space="preserve"> </w:t>
      </w:r>
      <w:r>
        <w:rPr>
          <w:rFonts w:ascii="Times New Roman" w:hAnsi="Times New Roman"/>
          <w:sz w:val="24"/>
          <w:szCs w:val="24"/>
        </w:rPr>
        <w:t>补给，对本区的地下水也有一定的补给作用。</w:t>
      </w:r>
      <w:r>
        <w:rPr>
          <w:rFonts w:ascii="Times New Roman" w:hAnsi="Times New Roman"/>
          <w:sz w:val="24"/>
          <w:szCs w:val="24"/>
        </w:rPr>
        <w:br/>
      </w:r>
      <w:r>
        <w:rPr>
          <w:rFonts w:ascii="Times New Roman" w:hAnsi="Times New Roman"/>
          <w:sz w:val="24"/>
          <w:szCs w:val="24"/>
        </w:rPr>
        <w:t xml:space="preserve">　　</w:t>
      </w:r>
      <w:r>
        <w:rPr>
          <w:rFonts w:ascii="Times New Roman" w:hAnsi="Times New Roman"/>
          <w:sz w:val="24"/>
          <w:szCs w:val="24"/>
        </w:rPr>
        <w:t>2</w:t>
      </w:r>
      <w:r>
        <w:rPr>
          <w:rFonts w:ascii="Times New Roman" w:hAnsi="Times New Roman"/>
          <w:sz w:val="24"/>
          <w:szCs w:val="24"/>
        </w:rPr>
        <w:t>）地下水的径流</w:t>
      </w:r>
      <w:r>
        <w:rPr>
          <w:rFonts w:ascii="Times New Roman" w:hAnsi="Times New Roman"/>
          <w:sz w:val="24"/>
          <w:szCs w:val="24"/>
        </w:rPr>
        <w:t xml:space="preserve"> </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本区地下水的径流方向与地形坡降基本相同，由北向南水力坡度逐渐减小，地下水总的流向为由北向南径流。北盆地地下水由北向南径流，水力坡度逐渐减</w:t>
      </w:r>
      <w:r>
        <w:rPr>
          <w:rFonts w:ascii="Times New Roman" w:hAnsi="Times New Roman"/>
          <w:sz w:val="24"/>
          <w:szCs w:val="24"/>
        </w:rPr>
        <w:lastRenderedPageBreak/>
        <w:t>小，受火焰山第三系隆起的影响，在扇缘地带形成承正水。南盆地地下水径流方向与地形坡度方向基本相同，即由迪坎乡、鲁克泌镇、吐略沟乡等靠近山丘区及沙漠区的以东以北地区，向低洼的西南方向径流，且水力坡度逐渐减小。</w:t>
      </w:r>
      <w:r>
        <w:rPr>
          <w:rFonts w:ascii="Times New Roman" w:hAnsi="Times New Roman"/>
          <w:sz w:val="24"/>
          <w:szCs w:val="24"/>
        </w:rPr>
        <w:t xml:space="preserve"> </w:t>
      </w:r>
      <w:r>
        <w:rPr>
          <w:rFonts w:ascii="Times New Roman" w:hAnsi="Times New Roman"/>
          <w:sz w:val="24"/>
          <w:szCs w:val="24"/>
        </w:rPr>
        <w:t>从地下水的径流条件来看，盆地东侧和靠山前地带相对较好，向西逐渐变差。总体来看，</w:t>
      </w:r>
      <w:r>
        <w:rPr>
          <w:rFonts w:ascii="Times New Roman" w:hAnsi="Times New Roman"/>
          <w:sz w:val="24"/>
          <w:szCs w:val="24"/>
        </w:rPr>
        <w:t xml:space="preserve"> </w:t>
      </w:r>
      <w:r>
        <w:rPr>
          <w:rFonts w:ascii="Times New Roman" w:hAnsi="Times New Roman"/>
          <w:sz w:val="24"/>
          <w:szCs w:val="24"/>
        </w:rPr>
        <w:t>南盆地由东、北向西、南，地下水的径流速度由快变慢。</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）地下水的排泄</w:t>
      </w:r>
      <w:r>
        <w:rPr>
          <w:rFonts w:ascii="Times New Roman" w:hAnsi="Times New Roman"/>
          <w:sz w:val="24"/>
          <w:szCs w:val="24"/>
        </w:rPr>
        <w:t xml:space="preserve"> </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地下水的排泄由自然排泄和人工排泄两部分组成。</w:t>
      </w:r>
      <w:r>
        <w:rPr>
          <w:rFonts w:ascii="Times New Roman" w:hAnsi="Times New Roman"/>
          <w:sz w:val="24"/>
          <w:szCs w:val="24"/>
        </w:rPr>
        <w:br/>
      </w:r>
      <w:r>
        <w:rPr>
          <w:rFonts w:ascii="Times New Roman" w:hAnsi="Times New Roman"/>
          <w:sz w:val="24"/>
          <w:szCs w:val="24"/>
        </w:rPr>
        <w:t xml:space="preserve">　　</w:t>
      </w:r>
      <w:r>
        <w:rPr>
          <w:rFonts w:ascii="Times New Roman" w:hAnsi="Times New Roman"/>
          <w:sz w:val="24"/>
          <w:szCs w:val="24"/>
        </w:rPr>
        <w:t>A</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自然排泄</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鄯善县地下水的自然排泄主要有潜水蒸发、泉水出露和侧向流出。</w:t>
      </w:r>
      <w:r>
        <w:rPr>
          <w:rFonts w:ascii="Times New Roman" w:hAnsi="Times New Roman"/>
          <w:sz w:val="24"/>
          <w:szCs w:val="24"/>
        </w:rPr>
        <w:t xml:space="preserve"> </w:t>
      </w:r>
      <w:r>
        <w:rPr>
          <w:rFonts w:ascii="Times New Roman" w:hAnsi="Times New Roman"/>
          <w:sz w:val="24"/>
          <w:szCs w:val="24"/>
        </w:rPr>
        <w:t>地下水的潜水蒸发主要分布在七克台、南湖靠近火焰山和小东湖以南，呈东西向条状分布。由于受火焰山的隆起阻水影响，在火焰山的山前地带，南湖、台孜、下巴格、</w:t>
      </w:r>
      <w:r>
        <w:rPr>
          <w:rFonts w:ascii="Times New Roman" w:hAnsi="Times New Roman"/>
          <w:sz w:val="24"/>
          <w:szCs w:val="24"/>
        </w:rPr>
        <w:t xml:space="preserve"> </w:t>
      </w:r>
      <w:r>
        <w:rPr>
          <w:rFonts w:ascii="Times New Roman" w:hAnsi="Times New Roman"/>
          <w:sz w:val="24"/>
          <w:szCs w:val="24"/>
        </w:rPr>
        <w:t>小东湖、连木泌的沟口、苏贝希的沟口均有泉水出露，成为天然排泄水量的一部分。</w:t>
      </w:r>
      <w:r>
        <w:rPr>
          <w:rFonts w:ascii="Times New Roman" w:hAnsi="Times New Roman"/>
          <w:sz w:val="24"/>
          <w:szCs w:val="24"/>
        </w:rPr>
        <w:t xml:space="preserve"> </w:t>
      </w:r>
      <w:r>
        <w:rPr>
          <w:rFonts w:ascii="Times New Roman" w:hAnsi="Times New Roman"/>
          <w:sz w:val="24"/>
          <w:szCs w:val="24"/>
        </w:rPr>
        <w:t>地下水的侧向排泄分两种形式，其一是在鄯善县城小东湖附近，通过下巴格、台孜、湖构造缺口，以沟谷潜流的形式排出区外；其二是在都善县南盆地西部的吐峪沟乡、达浪坎乡一带，地下水以侧向排泄的方式排出区外。</w:t>
      </w:r>
      <w:r>
        <w:rPr>
          <w:rFonts w:ascii="Times New Roman" w:hAnsi="Times New Roman"/>
          <w:sz w:val="24"/>
          <w:szCs w:val="24"/>
        </w:rPr>
        <w:t xml:space="preserve"> </w:t>
      </w:r>
      <w:r>
        <w:rPr>
          <w:rFonts w:ascii="Times New Roman" w:hAnsi="Times New Roman"/>
          <w:sz w:val="24"/>
          <w:szCs w:val="24"/>
        </w:rPr>
        <w:t>北、南两个盆地的地下水通过连木泌沟、吐峪沟和柏树沟三条沟产生水力联系。对南盆地来说，北盆地的三条沟谷的侧向流出量即为南盆地的侧向补给量。由于沟内第四纪履盖层厚度不大，所以三条沟谷的潜流量也较小。</w:t>
      </w:r>
      <w:r>
        <w:rPr>
          <w:rFonts w:ascii="Times New Roman" w:hAnsi="Times New Roman"/>
          <w:sz w:val="24"/>
          <w:szCs w:val="24"/>
        </w:rPr>
        <w:br/>
      </w:r>
      <w:r>
        <w:rPr>
          <w:rFonts w:ascii="Times New Roman" w:hAnsi="Times New Roman"/>
          <w:sz w:val="24"/>
          <w:szCs w:val="24"/>
        </w:rPr>
        <w:t xml:space="preserve">　　</w:t>
      </w:r>
      <w:r>
        <w:rPr>
          <w:rFonts w:ascii="Times New Roman" w:hAnsi="Times New Roman"/>
          <w:sz w:val="24"/>
          <w:szCs w:val="24"/>
        </w:rPr>
        <w:t>B</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人工排泄</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地下水的人工排泄占本区排泄的主导地位，排泄方式主要为坎儿井、机电井开采两方式。机电井的开采主要集中在南盆地以及北盆地</w:t>
      </w:r>
      <w:r>
        <w:rPr>
          <w:rFonts w:ascii="Times New Roman" w:hAnsi="Times New Roman"/>
          <w:sz w:val="24"/>
          <w:szCs w:val="24"/>
        </w:rPr>
        <w:t xml:space="preserve"> 312</w:t>
      </w:r>
      <w:r>
        <w:rPr>
          <w:rFonts w:ascii="Times New Roman" w:hAnsi="Times New Roman"/>
          <w:sz w:val="24"/>
          <w:szCs w:val="24"/>
        </w:rPr>
        <w:t>国道附近的地下水浅埋区，但在部善县火车站一带及七克台镇南湖村一带，也有吐哈油田的集中釆区。坎儿井的开采主要集中在迪坎乡、鲁克礼镇和吐略沟乡的下游，在七克台镇一带也有大量开采。</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区域地下水补排条件见图</w:t>
      </w:r>
      <w:r>
        <w:rPr>
          <w:rFonts w:ascii="Times New Roman" w:hAnsi="Times New Roman"/>
          <w:sz w:val="24"/>
          <w:szCs w:val="24"/>
        </w:rPr>
        <w:t>5.2-1</w:t>
      </w:r>
      <w:r>
        <w:rPr>
          <w:rFonts w:ascii="Times New Roman" w:hAnsi="Times New Roman"/>
          <w:sz w:val="24"/>
          <w:szCs w:val="24"/>
        </w:rPr>
        <w:t>。</w:t>
      </w:r>
    </w:p>
    <w:p w:rsidR="00525419" w:rsidRDefault="00525419">
      <w:pPr>
        <w:rPr>
          <w:rFonts w:ascii="Times New Roman" w:hAnsi="Times New Roman"/>
        </w:rPr>
      </w:pPr>
    </w:p>
    <w:p w:rsidR="00525419" w:rsidRDefault="00EE1CF7">
      <w:pPr>
        <w:spacing w:line="360" w:lineRule="auto"/>
        <w:ind w:firstLineChars="200" w:firstLine="482"/>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b/>
          <w:sz w:val="24"/>
          <w:szCs w:val="24"/>
        </w:rPr>
        <w:t>图</w:t>
      </w:r>
      <w:r>
        <w:rPr>
          <w:rFonts w:ascii="Times New Roman" w:hAnsi="Times New Roman"/>
          <w:b/>
          <w:sz w:val="24"/>
          <w:szCs w:val="24"/>
        </w:rPr>
        <w:t>5.2-1</w:t>
      </w:r>
      <w:r>
        <w:rPr>
          <w:rFonts w:ascii="Times New Roman" w:hAnsi="Times New Roman"/>
          <w:b/>
          <w:sz w:val="24"/>
          <w:szCs w:val="24"/>
        </w:rPr>
        <w:t xml:space="preserve">　鄯善县地下水补排条件示意图</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4</w:t>
      </w:r>
      <w:r>
        <w:rPr>
          <w:rFonts w:ascii="Times New Roman" w:hAnsi="Times New Roman"/>
          <w:sz w:val="24"/>
          <w:szCs w:val="24"/>
        </w:rPr>
        <w:t>）地下水动态变化</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rPr>
        <w:t>鄯善县属水资源极度干旱区，随着社会经济的快速发展，对水资源开发与日俱增</w:t>
      </w:r>
      <w:r>
        <w:rPr>
          <w:rFonts w:ascii="Times New Roman" w:hAnsi="Times New Roman"/>
          <w:sz w:val="24"/>
          <w:szCs w:val="24"/>
        </w:rPr>
        <w:t>,</w:t>
      </w:r>
      <w:r>
        <w:rPr>
          <w:rFonts w:ascii="Times New Roman" w:hAnsi="Times New Roman"/>
          <w:sz w:val="24"/>
          <w:szCs w:val="24"/>
        </w:rPr>
        <w:t>鄯善县地下水处于超采状态。</w:t>
      </w:r>
      <w:r>
        <w:rPr>
          <w:rFonts w:ascii="Times New Roman" w:hAnsi="Times New Roman"/>
          <w:sz w:val="24"/>
          <w:szCs w:val="24"/>
        </w:rPr>
        <w:t xml:space="preserve"> </w:t>
      </w:r>
      <w:r>
        <w:rPr>
          <w:rFonts w:ascii="Times New Roman" w:hAnsi="Times New Roman"/>
          <w:sz w:val="24"/>
          <w:szCs w:val="24"/>
        </w:rPr>
        <w:t>目前，区内地下水位为表现为持续下降态势。</w:t>
      </w:r>
      <w:r>
        <w:rPr>
          <w:rFonts w:ascii="Times New Roman" w:hAnsi="Times New Roman"/>
          <w:sz w:val="24"/>
          <w:szCs w:val="24"/>
        </w:rPr>
        <w:t xml:space="preserve"> </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5</w:t>
      </w:r>
      <w:r>
        <w:rPr>
          <w:rFonts w:ascii="Times New Roman" w:hAnsi="Times New Roman"/>
          <w:sz w:val="24"/>
          <w:szCs w:val="24"/>
        </w:rPr>
        <w:t>）地下水化学特征</w:t>
      </w:r>
      <w:r>
        <w:rPr>
          <w:rFonts w:ascii="Times New Roman" w:hAnsi="Times New Roman"/>
          <w:sz w:val="24"/>
          <w:szCs w:val="24"/>
        </w:rPr>
        <w:t xml:space="preserve"> </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鄯善县地下水水化学系统的形成和分布，主要受自然地理、地质构造、地貌</w:t>
      </w:r>
      <w:r>
        <w:rPr>
          <w:rFonts w:ascii="Times New Roman" w:hAnsi="Times New Roman"/>
          <w:sz w:val="24"/>
          <w:szCs w:val="24"/>
        </w:rPr>
        <w:t xml:space="preserve"> </w:t>
      </w:r>
      <w:r>
        <w:rPr>
          <w:rFonts w:ascii="Times New Roman" w:hAnsi="Times New Roman"/>
          <w:sz w:val="24"/>
          <w:szCs w:val="24"/>
        </w:rPr>
        <w:t>言行和人为因素的影响，水化学性质和成分复杂。</w:t>
      </w:r>
      <w:r>
        <w:rPr>
          <w:rFonts w:ascii="Times New Roman" w:hAnsi="Times New Roman"/>
          <w:sz w:val="24"/>
          <w:szCs w:val="24"/>
        </w:rPr>
        <w:t xml:space="preserve"> </w:t>
      </w:r>
      <w:r>
        <w:rPr>
          <w:rFonts w:ascii="Times New Roman" w:hAnsi="Times New Roman"/>
          <w:sz w:val="24"/>
          <w:szCs w:val="24"/>
        </w:rPr>
        <w:t>区内地下胡思化学类型、</w:t>
      </w:r>
      <w:r>
        <w:rPr>
          <w:rFonts w:ascii="Times New Roman" w:hAnsi="Times New Roman"/>
          <w:sz w:val="24"/>
          <w:szCs w:val="24"/>
        </w:rPr>
        <w:t xml:space="preserve"> </w:t>
      </w:r>
      <w:r>
        <w:rPr>
          <w:rFonts w:ascii="Times New Roman" w:hAnsi="Times New Roman"/>
          <w:sz w:val="24"/>
          <w:szCs w:val="24"/>
        </w:rPr>
        <w:t>地下水矿化度分布虽地下水运动距离（从山前至流域尾闾）表现出水化学类型有碳酸盐向硫酸盐最终向氯化盐演变，地下水矿化度逐渐升高，趋向盐化递变过程。</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5.2.2.2</w:t>
      </w:r>
      <w:r>
        <w:rPr>
          <w:rFonts w:ascii="Times New Roman" w:hAnsi="Times New Roman" w:cs="Times New Roman"/>
          <w:kern w:val="44"/>
          <w:sz w:val="24"/>
          <w:szCs w:val="24"/>
        </w:rPr>
        <w:t>调查评价区水文地质条件</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）地下水类型及含水层特征</w:t>
      </w:r>
      <w:r>
        <w:rPr>
          <w:rFonts w:ascii="Times New Roman" w:hAnsi="Times New Roman"/>
          <w:sz w:val="24"/>
          <w:szCs w:val="24"/>
        </w:rPr>
        <w:t xml:space="preserve"> </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地处北盆地的鄯善县城至七克台乡基本以</w:t>
      </w:r>
      <w:r>
        <w:rPr>
          <w:rFonts w:ascii="Times New Roman" w:hAnsi="Times New Roman"/>
          <w:sz w:val="24"/>
          <w:szCs w:val="24"/>
        </w:rPr>
        <w:t xml:space="preserve"> 312 </w:t>
      </w:r>
      <w:r>
        <w:rPr>
          <w:rFonts w:ascii="Times New Roman" w:hAnsi="Times New Roman"/>
          <w:sz w:val="24"/>
          <w:szCs w:val="24"/>
        </w:rPr>
        <w:t>国道为界线，</w:t>
      </w:r>
      <w:r>
        <w:rPr>
          <w:rFonts w:ascii="Times New Roman" w:hAnsi="Times New Roman"/>
          <w:sz w:val="24"/>
          <w:szCs w:val="24"/>
        </w:rPr>
        <w:t xml:space="preserve"> </w:t>
      </w:r>
      <w:r>
        <w:rPr>
          <w:rFonts w:ascii="Times New Roman" w:hAnsi="Times New Roman"/>
          <w:sz w:val="24"/>
          <w:szCs w:val="24"/>
        </w:rPr>
        <w:t>北部为潜水分布区，含水层由砂砾石组成，</w:t>
      </w:r>
      <w:r>
        <w:rPr>
          <w:rFonts w:ascii="Times New Roman" w:hAnsi="Times New Roman"/>
          <w:sz w:val="24"/>
          <w:szCs w:val="24"/>
        </w:rPr>
        <w:t xml:space="preserve">312 </w:t>
      </w:r>
      <w:r>
        <w:rPr>
          <w:rFonts w:ascii="Times New Roman" w:hAnsi="Times New Roman"/>
          <w:sz w:val="24"/>
          <w:szCs w:val="24"/>
        </w:rPr>
        <w:t>国道以南至火焰山附近一带，为承压水分布区，</w:t>
      </w:r>
      <w:r>
        <w:rPr>
          <w:rFonts w:ascii="Times New Roman" w:hAnsi="Times New Roman"/>
          <w:sz w:val="24"/>
          <w:szCs w:val="24"/>
        </w:rPr>
        <w:t xml:space="preserve"> </w:t>
      </w:r>
      <w:r>
        <w:rPr>
          <w:rFonts w:ascii="Times New Roman" w:hAnsi="Times New Roman"/>
          <w:sz w:val="24"/>
          <w:szCs w:val="24"/>
        </w:rPr>
        <w:t>呈东西向条带状分布，宽度约</w:t>
      </w:r>
      <w:r>
        <w:rPr>
          <w:rFonts w:ascii="Times New Roman" w:hAnsi="Times New Roman"/>
          <w:sz w:val="24"/>
          <w:szCs w:val="24"/>
        </w:rPr>
        <w:t xml:space="preserve"> 6km </w:t>
      </w:r>
      <w:r>
        <w:rPr>
          <w:rFonts w:ascii="Times New Roman" w:hAnsi="Times New Roman"/>
          <w:sz w:val="24"/>
          <w:szCs w:val="24"/>
        </w:rPr>
        <w:t>左右。</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本项目位于新疆吐鲁番市鄯善县火车站镇，地处</w:t>
      </w:r>
      <w:r>
        <w:rPr>
          <w:rFonts w:ascii="Times New Roman" w:hAnsi="Times New Roman"/>
          <w:sz w:val="24"/>
          <w:szCs w:val="24"/>
        </w:rPr>
        <w:t xml:space="preserve"> 312 </w:t>
      </w:r>
      <w:r>
        <w:rPr>
          <w:rFonts w:ascii="Times New Roman" w:hAnsi="Times New Roman"/>
          <w:sz w:val="24"/>
          <w:szCs w:val="24"/>
        </w:rPr>
        <w:t>国道以北，从水文地质单元来看，项目区位于鄯善县北盆地内，项目所在地地下水类型以第四系松散岩类孔隙潜水为主，为单一潜水区。</w:t>
      </w:r>
      <w:r>
        <w:rPr>
          <w:rFonts w:ascii="Times New Roman" w:hAnsi="Times New Roman"/>
          <w:sz w:val="24"/>
          <w:szCs w:val="24"/>
        </w:rPr>
        <w:t xml:space="preserve"> </w:t>
      </w:r>
      <w:r>
        <w:rPr>
          <w:rFonts w:ascii="Times New Roman" w:hAnsi="Times New Roman"/>
          <w:sz w:val="24"/>
          <w:szCs w:val="24"/>
        </w:rPr>
        <w:t>调查评价区内广布山前平原潜水含水岩组，</w:t>
      </w:r>
      <w:r>
        <w:rPr>
          <w:rFonts w:ascii="Times New Roman" w:hAnsi="Times New Roman"/>
          <w:sz w:val="24"/>
          <w:szCs w:val="24"/>
        </w:rPr>
        <w:t xml:space="preserve"> </w:t>
      </w:r>
      <w:r>
        <w:rPr>
          <w:rFonts w:ascii="Times New Roman" w:hAnsi="Times New Roman"/>
          <w:sz w:val="24"/>
          <w:szCs w:val="24"/>
        </w:rPr>
        <w:t>含水层主要为上更新统冲洪积巨厚砂卵砾石层，第四系冲洪积层厚</w:t>
      </w:r>
      <w:r>
        <w:rPr>
          <w:rFonts w:ascii="Times New Roman" w:hAnsi="Times New Roman"/>
          <w:sz w:val="24"/>
          <w:szCs w:val="24"/>
        </w:rPr>
        <w:t xml:space="preserve"> 50-600m</w:t>
      </w:r>
      <w:r>
        <w:rPr>
          <w:rFonts w:ascii="Times New Roman" w:hAnsi="Times New Roman"/>
          <w:sz w:val="24"/>
          <w:szCs w:val="24"/>
        </w:rPr>
        <w:t>，沉积颗粒较粗大，卵砾石裸露，空隙发育，砂砾石层透水性强，径流、交替条件良好，渗透系数</w:t>
      </w:r>
      <w:r>
        <w:rPr>
          <w:rFonts w:ascii="Times New Roman" w:hAnsi="Times New Roman"/>
          <w:sz w:val="24"/>
          <w:szCs w:val="24"/>
        </w:rPr>
        <w:t xml:space="preserve"> 5-56m/d</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单井涌水量</w:t>
      </w:r>
      <w:r>
        <w:rPr>
          <w:rFonts w:ascii="Times New Roman" w:hAnsi="Times New Roman"/>
          <w:sz w:val="24"/>
          <w:szCs w:val="24"/>
        </w:rPr>
        <w:t xml:space="preserve"> 1350m</w:t>
      </w:r>
      <w:r>
        <w:rPr>
          <w:rFonts w:ascii="Times New Roman" w:hAnsi="Times New Roman"/>
          <w:sz w:val="24"/>
          <w:szCs w:val="24"/>
          <w:vertAlign w:val="superscript"/>
        </w:rPr>
        <w:t>3</w:t>
      </w:r>
      <w:r>
        <w:rPr>
          <w:rFonts w:ascii="Times New Roman" w:hAnsi="Times New Roman"/>
          <w:sz w:val="24"/>
          <w:szCs w:val="24"/>
        </w:rPr>
        <w:t>/d</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矿化度小于</w:t>
      </w:r>
      <w:r>
        <w:rPr>
          <w:rFonts w:ascii="Times New Roman" w:hAnsi="Times New Roman"/>
          <w:sz w:val="24"/>
          <w:szCs w:val="24"/>
        </w:rPr>
        <w:t xml:space="preserve"> lg/L</w:t>
      </w:r>
      <w:r>
        <w:rPr>
          <w:rFonts w:ascii="Times New Roman" w:hAnsi="Times New Roman"/>
          <w:sz w:val="24"/>
          <w:szCs w:val="24"/>
        </w:rPr>
        <w:t>。</w:t>
      </w:r>
    </w:p>
    <w:p w:rsidR="00525419" w:rsidRDefault="00EE1CF7">
      <w:pPr>
        <w:spacing w:line="360" w:lineRule="auto"/>
        <w:ind w:firstLineChars="200" w:firstLine="480"/>
        <w:jc w:val="left"/>
        <w:rPr>
          <w:rFonts w:ascii="Times New Roman" w:hAnsi="Times New Roman"/>
          <w:sz w:val="24"/>
          <w:szCs w:val="24"/>
        </w:rPr>
      </w:pPr>
      <w:r>
        <w:rPr>
          <w:rFonts w:ascii="Times New Roman" w:hAnsi="Times New Roman"/>
          <w:sz w:val="24"/>
          <w:szCs w:val="24"/>
        </w:rPr>
        <w:t>根据厂区以前的岩土工程勘察报告，厂区勘察深度范围内场地土的主要构成</w:t>
      </w:r>
      <w:r>
        <w:rPr>
          <w:rFonts w:ascii="Times New Roman" w:hAnsi="Times New Roman"/>
          <w:sz w:val="24"/>
          <w:szCs w:val="24"/>
        </w:rPr>
        <w:t xml:space="preserve"> </w:t>
      </w:r>
      <w:r>
        <w:rPr>
          <w:rFonts w:ascii="Times New Roman" w:hAnsi="Times New Roman"/>
          <w:sz w:val="24"/>
          <w:szCs w:val="24"/>
        </w:rPr>
        <w:t>为：</w:t>
      </w:r>
      <w:r>
        <w:rPr>
          <w:rFonts w:ascii="Times New Roman" w:hAnsi="Times New Roman"/>
          <w:sz w:val="24"/>
          <w:szCs w:val="24"/>
        </w:rPr>
        <w:t>①</w:t>
      </w:r>
      <w:r>
        <w:rPr>
          <w:rFonts w:ascii="Times New Roman" w:hAnsi="Times New Roman"/>
          <w:sz w:val="24"/>
          <w:szCs w:val="24"/>
        </w:rPr>
        <w:t>素填土、</w:t>
      </w:r>
      <w:r>
        <w:rPr>
          <w:rFonts w:ascii="Times New Roman" w:hAnsi="Times New Roman"/>
          <w:sz w:val="24"/>
          <w:szCs w:val="24"/>
        </w:rPr>
        <w:t>②</w:t>
      </w:r>
      <w:r>
        <w:rPr>
          <w:rFonts w:ascii="Times New Roman" w:hAnsi="Times New Roman"/>
          <w:sz w:val="24"/>
          <w:szCs w:val="24"/>
        </w:rPr>
        <w:t>圆砾，现自上而下描述如下：</w:t>
      </w:r>
    </w:p>
    <w:p w:rsidR="00525419" w:rsidRDefault="00EE1CF7">
      <w:pPr>
        <w:spacing w:line="360" w:lineRule="auto"/>
        <w:ind w:firstLineChars="200" w:firstLine="480"/>
        <w:jc w:val="left"/>
        <w:rPr>
          <w:rFonts w:ascii="Times New Roman" w:hAnsi="Times New Roman"/>
          <w:sz w:val="24"/>
          <w:szCs w:val="24"/>
        </w:rPr>
      </w:pPr>
      <w:r>
        <w:rPr>
          <w:rFonts w:ascii="Times New Roman" w:hAnsi="Times New Roman"/>
          <w:sz w:val="24"/>
          <w:szCs w:val="24"/>
        </w:rPr>
        <w:t>①</w:t>
      </w:r>
      <w:r>
        <w:rPr>
          <w:rFonts w:ascii="Times New Roman" w:hAnsi="Times New Roman"/>
          <w:sz w:val="24"/>
          <w:szCs w:val="24"/>
        </w:rPr>
        <w:t>素填土：黄褐色，厚度为</w:t>
      </w:r>
      <w:r>
        <w:rPr>
          <w:rFonts w:ascii="Times New Roman" w:hAnsi="Times New Roman"/>
          <w:sz w:val="24"/>
          <w:szCs w:val="24"/>
        </w:rPr>
        <w:t>0.10</w:t>
      </w:r>
      <w:r>
        <w:rPr>
          <w:rFonts w:ascii="Times New Roman" w:hAnsi="Times New Roman"/>
          <w:sz w:val="24"/>
          <w:szCs w:val="24"/>
        </w:rPr>
        <w:t>～</w:t>
      </w:r>
      <w:r>
        <w:rPr>
          <w:rFonts w:ascii="Times New Roman" w:hAnsi="Times New Roman"/>
          <w:sz w:val="24"/>
          <w:szCs w:val="24"/>
        </w:rPr>
        <w:t>0.50m</w:t>
      </w:r>
      <w:r>
        <w:rPr>
          <w:rFonts w:ascii="Times New Roman" w:hAnsi="Times New Roman"/>
          <w:sz w:val="24"/>
          <w:szCs w:val="24"/>
        </w:rPr>
        <w:t>，稍湿，松散</w:t>
      </w:r>
      <w:r>
        <w:rPr>
          <w:rFonts w:ascii="Times New Roman" w:hAnsi="Times New Roman"/>
          <w:sz w:val="24"/>
          <w:szCs w:val="24"/>
        </w:rPr>
        <w:t>~</w:t>
      </w:r>
      <w:r>
        <w:rPr>
          <w:rFonts w:ascii="Times New Roman" w:hAnsi="Times New Roman"/>
          <w:sz w:val="24"/>
          <w:szCs w:val="24"/>
        </w:rPr>
        <w:t>稍密，以圆砾为主，</w:t>
      </w:r>
      <w:r>
        <w:rPr>
          <w:rFonts w:ascii="Times New Roman" w:hAnsi="Times New Roman"/>
          <w:sz w:val="24"/>
          <w:szCs w:val="24"/>
        </w:rPr>
        <w:t xml:space="preserve"> </w:t>
      </w:r>
      <w:r>
        <w:rPr>
          <w:rFonts w:ascii="Times New Roman" w:hAnsi="Times New Roman"/>
          <w:sz w:val="24"/>
          <w:szCs w:val="24"/>
        </w:rPr>
        <w:t>含少量砂土，土质不均，结构松散，偶见植物根系。</w:t>
      </w:r>
    </w:p>
    <w:p w:rsidR="00525419" w:rsidRDefault="00EE1CF7">
      <w:pPr>
        <w:spacing w:line="360" w:lineRule="auto"/>
        <w:ind w:firstLineChars="200" w:firstLine="480"/>
        <w:jc w:val="left"/>
        <w:rPr>
          <w:rFonts w:ascii="Times New Roman" w:hAnsi="Times New Roman"/>
          <w:sz w:val="24"/>
          <w:szCs w:val="24"/>
        </w:rPr>
      </w:pPr>
      <w:r>
        <w:rPr>
          <w:rFonts w:ascii="Times New Roman" w:hAnsi="Times New Roman"/>
          <w:sz w:val="24"/>
          <w:szCs w:val="24"/>
        </w:rPr>
        <w:t>②</w:t>
      </w:r>
      <w:r>
        <w:rPr>
          <w:rFonts w:ascii="Times New Roman" w:hAnsi="Times New Roman"/>
          <w:sz w:val="24"/>
          <w:szCs w:val="24"/>
        </w:rPr>
        <w:t>圆砾：灰褐色，埋深</w:t>
      </w:r>
      <w:r>
        <w:rPr>
          <w:rFonts w:ascii="Times New Roman" w:hAnsi="Times New Roman"/>
          <w:sz w:val="24"/>
          <w:szCs w:val="24"/>
        </w:rPr>
        <w:t xml:space="preserve"> 0.10</w:t>
      </w:r>
      <w:r>
        <w:rPr>
          <w:rFonts w:ascii="Times New Roman" w:hAnsi="Times New Roman"/>
          <w:sz w:val="24"/>
          <w:szCs w:val="24"/>
        </w:rPr>
        <w:t>～</w:t>
      </w:r>
      <w:r>
        <w:rPr>
          <w:rFonts w:ascii="Times New Roman" w:hAnsi="Times New Roman"/>
          <w:sz w:val="24"/>
          <w:szCs w:val="24"/>
        </w:rPr>
        <w:t>0.50m</w:t>
      </w:r>
      <w:r>
        <w:rPr>
          <w:rFonts w:ascii="Times New Roman" w:hAnsi="Times New Roman"/>
          <w:sz w:val="24"/>
          <w:szCs w:val="24"/>
        </w:rPr>
        <w:t>，稍密</w:t>
      </w:r>
      <w:r>
        <w:rPr>
          <w:rFonts w:ascii="Times New Roman" w:hAnsi="Times New Roman"/>
          <w:sz w:val="24"/>
          <w:szCs w:val="24"/>
        </w:rPr>
        <w:t>~</w:t>
      </w:r>
      <w:r>
        <w:rPr>
          <w:rFonts w:ascii="Times New Roman" w:hAnsi="Times New Roman"/>
          <w:sz w:val="24"/>
          <w:szCs w:val="24"/>
        </w:rPr>
        <w:t>密实，干</w:t>
      </w:r>
      <w:r>
        <w:rPr>
          <w:rFonts w:ascii="Times New Roman" w:hAnsi="Times New Roman"/>
          <w:sz w:val="24"/>
          <w:szCs w:val="24"/>
        </w:rPr>
        <w:t>~</w:t>
      </w:r>
      <w:r>
        <w:rPr>
          <w:rFonts w:ascii="Times New Roman" w:hAnsi="Times New Roman"/>
          <w:sz w:val="24"/>
          <w:szCs w:val="24"/>
        </w:rPr>
        <w:t>稍湿，本次勘察未揭穿该层，最大可见厚度为</w:t>
      </w:r>
      <w:r>
        <w:rPr>
          <w:rFonts w:ascii="Times New Roman" w:hAnsi="Times New Roman"/>
          <w:sz w:val="24"/>
          <w:szCs w:val="24"/>
        </w:rPr>
        <w:t xml:space="preserve"> 11.9m</w:t>
      </w:r>
      <w:r>
        <w:rPr>
          <w:rFonts w:ascii="Times New Roman" w:hAnsi="Times New Roman"/>
          <w:sz w:val="24"/>
          <w:szCs w:val="24"/>
        </w:rPr>
        <w:t>。本层骨架颗粒部分连续接触，磨圆度较好，多呈圆状，颗粒分选性好，颗粒成份以硬质岩为主，一般粒径</w:t>
      </w:r>
      <w:r>
        <w:rPr>
          <w:rFonts w:ascii="Times New Roman" w:hAnsi="Times New Roman"/>
          <w:sz w:val="24"/>
          <w:szCs w:val="24"/>
        </w:rPr>
        <w:t xml:space="preserve"> 2</w:t>
      </w:r>
      <w:r>
        <w:rPr>
          <w:rFonts w:ascii="Times New Roman" w:hAnsi="Times New Roman"/>
          <w:sz w:val="24"/>
          <w:szCs w:val="24"/>
        </w:rPr>
        <w:t>～</w:t>
      </w:r>
      <w:r>
        <w:rPr>
          <w:rFonts w:ascii="Times New Roman" w:hAnsi="Times New Roman"/>
          <w:sz w:val="24"/>
          <w:szCs w:val="24"/>
        </w:rPr>
        <w:t>20mm</w:t>
      </w:r>
      <w:r>
        <w:rPr>
          <w:rFonts w:ascii="Times New Roman" w:hAnsi="Times New Roman"/>
          <w:sz w:val="24"/>
          <w:szCs w:val="24"/>
        </w:rPr>
        <w:t>，颗粒级配良好。骨架颗粒呈交错排列，大部分接触，充填物以砾砂和细砂为主。</w:t>
      </w:r>
    </w:p>
    <w:p w:rsidR="00525419" w:rsidRDefault="00EE1CF7">
      <w:pPr>
        <w:spacing w:line="360" w:lineRule="auto"/>
        <w:ind w:firstLineChars="200" w:firstLine="480"/>
        <w:jc w:val="left"/>
        <w:rPr>
          <w:rFonts w:ascii="Times New Roman" w:hAnsi="Times New Roman"/>
          <w:sz w:val="24"/>
          <w:szCs w:val="24"/>
        </w:rPr>
      </w:pPr>
      <w:r>
        <w:rPr>
          <w:rFonts w:ascii="Times New Roman" w:hAnsi="Times New Roman"/>
          <w:sz w:val="24"/>
          <w:szCs w:val="24"/>
        </w:rPr>
        <w:lastRenderedPageBreak/>
        <w:t>本次勘察在钻孔勘探深度范围内未见地下水。</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地下水补径排特征</w:t>
      </w:r>
      <w:r>
        <w:rPr>
          <w:rFonts w:ascii="Times New Roman" w:hAnsi="Times New Roman"/>
          <w:sz w:val="24"/>
          <w:szCs w:val="24"/>
        </w:rPr>
        <w:t xml:space="preserve"> </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调查评价区位于鄯善北盆地平原区，由于上游水库的建成和平原区降水量</w:t>
      </w:r>
      <w:r>
        <w:rPr>
          <w:rFonts w:ascii="Times New Roman" w:hAnsi="Times New Roman"/>
          <w:sz w:val="24"/>
          <w:szCs w:val="24"/>
        </w:rPr>
        <w:t xml:space="preserve"> </w:t>
      </w:r>
      <w:r>
        <w:rPr>
          <w:rFonts w:ascii="Times New Roman" w:hAnsi="Times New Roman"/>
          <w:sz w:val="24"/>
          <w:szCs w:val="24"/>
        </w:rPr>
        <w:t>少，北盆地山前侧向流入和平原区降水入渗对地下水的补给有限，项目区主要的</w:t>
      </w:r>
      <w:r>
        <w:rPr>
          <w:rFonts w:ascii="Times New Roman" w:hAnsi="Times New Roman"/>
          <w:sz w:val="24"/>
          <w:szCs w:val="24"/>
        </w:rPr>
        <w:t xml:space="preserve"> </w:t>
      </w:r>
      <w:r>
        <w:rPr>
          <w:rFonts w:ascii="Times New Roman" w:hAnsi="Times New Roman"/>
          <w:sz w:val="24"/>
          <w:szCs w:val="24"/>
        </w:rPr>
        <w:t>地下水补给方式为渠道引水及田间灌溉入渗等地表水入渗。调查评价区内地下水整体由北向南径流，潜水位埋深由北向南逐渐变浅，水力坡度逐渐减小。</w:t>
      </w:r>
      <w:r>
        <w:rPr>
          <w:rFonts w:ascii="Times New Roman" w:hAnsi="Times New Roman"/>
          <w:sz w:val="24"/>
          <w:szCs w:val="24"/>
        </w:rPr>
        <w:t xml:space="preserve"> </w:t>
      </w:r>
      <w:r>
        <w:rPr>
          <w:rFonts w:ascii="Times New Roman" w:hAnsi="Times New Roman"/>
          <w:sz w:val="24"/>
          <w:szCs w:val="24"/>
        </w:rPr>
        <w:t>由于砂砾石含水层透水性强，地下水渗透系数大，向下地下水径流速度逐渐变缓。</w:t>
      </w:r>
      <w:r>
        <w:rPr>
          <w:rFonts w:ascii="Times New Roman" w:hAnsi="Times New Roman"/>
          <w:sz w:val="24"/>
          <w:szCs w:val="24"/>
        </w:rPr>
        <w:t xml:space="preserve"> </w:t>
      </w:r>
      <w:r>
        <w:rPr>
          <w:rFonts w:ascii="Times New Roman" w:hAnsi="Times New Roman"/>
          <w:sz w:val="24"/>
          <w:szCs w:val="24"/>
        </w:rPr>
        <w:t>因东部地势高而西部相应地势较低，北盆地东部地下水在七克台绿洲区以北便偏向西面，朝向巴格农场、三十里大墩、鄯善县城一带径流。</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调查评价区地下水排泄方式包括人工开采和自然排泄（主要有潜水蒸发、</w:t>
      </w:r>
      <w:r>
        <w:rPr>
          <w:rFonts w:ascii="Times New Roman" w:hAnsi="Times New Roman"/>
          <w:sz w:val="24"/>
          <w:szCs w:val="24"/>
        </w:rPr>
        <w:t xml:space="preserve"> </w:t>
      </w:r>
      <w:r>
        <w:rPr>
          <w:rFonts w:ascii="Times New Roman" w:hAnsi="Times New Roman"/>
          <w:sz w:val="24"/>
          <w:szCs w:val="24"/>
        </w:rPr>
        <w:t>泉</w:t>
      </w:r>
      <w:r>
        <w:rPr>
          <w:rFonts w:ascii="Times New Roman" w:hAnsi="Times New Roman"/>
          <w:sz w:val="24"/>
          <w:szCs w:val="24"/>
        </w:rPr>
        <w:t xml:space="preserve"> </w:t>
      </w:r>
      <w:r>
        <w:rPr>
          <w:rFonts w:ascii="Times New Roman" w:hAnsi="Times New Roman"/>
          <w:sz w:val="24"/>
          <w:szCs w:val="24"/>
        </w:rPr>
        <w:t>水出露和侧向流出），其中人工开采占主导地位，排泄方式主要为坎儿井、机电井开采两方式。机电井的开采主要集中在</w:t>
      </w:r>
      <w:r>
        <w:rPr>
          <w:rFonts w:ascii="Times New Roman" w:hAnsi="Times New Roman"/>
          <w:sz w:val="24"/>
          <w:szCs w:val="24"/>
        </w:rPr>
        <w:t xml:space="preserve"> 312 </w:t>
      </w:r>
      <w:r>
        <w:rPr>
          <w:rFonts w:ascii="Times New Roman" w:hAnsi="Times New Roman"/>
          <w:sz w:val="24"/>
          <w:szCs w:val="24"/>
        </w:rPr>
        <w:t>国道附近的地下水浅埋区，坎儿井的开采主要集中在迪坎乡、鲁克礼镇和吐略沟乡的下游，在七克台镇一带也有大</w:t>
      </w:r>
      <w:r>
        <w:rPr>
          <w:rFonts w:ascii="Times New Roman" w:hAnsi="Times New Roman"/>
          <w:sz w:val="24"/>
          <w:szCs w:val="24"/>
        </w:rPr>
        <w:t xml:space="preserve"> </w:t>
      </w:r>
      <w:r>
        <w:rPr>
          <w:rFonts w:ascii="Times New Roman" w:hAnsi="Times New Roman"/>
          <w:sz w:val="24"/>
          <w:szCs w:val="24"/>
        </w:rPr>
        <w:t>量开采。</w:t>
      </w:r>
      <w:r>
        <w:rPr>
          <w:rFonts w:ascii="Times New Roman" w:hAnsi="Times New Roman"/>
          <w:sz w:val="24"/>
          <w:szCs w:val="24"/>
        </w:rPr>
        <w:t xml:space="preserve"> </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）地下水动态变化</w:t>
      </w:r>
      <w:r>
        <w:rPr>
          <w:rFonts w:ascii="Times New Roman" w:hAnsi="Times New Roman"/>
          <w:sz w:val="24"/>
          <w:szCs w:val="24"/>
        </w:rPr>
        <w:br/>
      </w:r>
      <w:r>
        <w:rPr>
          <w:rFonts w:ascii="Times New Roman" w:hAnsi="Times New Roman"/>
          <w:sz w:val="24"/>
          <w:szCs w:val="24"/>
        </w:rPr>
        <w:t xml:space="preserve">　　　</w:t>
      </w:r>
      <w:r>
        <w:rPr>
          <w:rFonts w:ascii="Times New Roman" w:hAnsi="Times New Roman"/>
          <w:sz w:val="24"/>
          <w:szCs w:val="24"/>
        </w:rPr>
        <w:t>1</w:t>
      </w:r>
      <w:r>
        <w:rPr>
          <w:rFonts w:ascii="Times New Roman" w:hAnsi="Times New Roman"/>
          <w:sz w:val="24"/>
          <w:szCs w:val="24"/>
        </w:rPr>
        <w:t>）年内变化</w:t>
      </w:r>
      <w:r>
        <w:rPr>
          <w:rFonts w:ascii="Times New Roman" w:hAnsi="Times New Roman"/>
          <w:sz w:val="24"/>
          <w:szCs w:val="24"/>
        </w:rPr>
        <w:t xml:space="preserve"> </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县绿洲区内，由于人类的活动，大量开采利用地下水，地下水位的年内变化</w:t>
      </w:r>
      <w:r>
        <w:rPr>
          <w:rFonts w:ascii="Times New Roman" w:hAnsi="Times New Roman"/>
          <w:sz w:val="24"/>
          <w:szCs w:val="24"/>
        </w:rPr>
        <w:t xml:space="preserve"> </w:t>
      </w:r>
      <w:r>
        <w:rPr>
          <w:rFonts w:ascii="Times New Roman" w:hAnsi="Times New Roman"/>
          <w:sz w:val="24"/>
          <w:szCs w:val="24"/>
        </w:rPr>
        <w:t>过程主要受人工开采影响。地下水位变化大多呈单峰型，地下水位从农灌季节的</w:t>
      </w:r>
      <w:r>
        <w:rPr>
          <w:rFonts w:ascii="Times New Roman" w:hAnsi="Times New Roman"/>
          <w:sz w:val="24"/>
          <w:szCs w:val="24"/>
        </w:rPr>
        <w:t>4</w:t>
      </w:r>
      <w:r>
        <w:rPr>
          <w:rFonts w:ascii="Times New Roman" w:hAnsi="Times New Roman"/>
          <w:sz w:val="24"/>
          <w:szCs w:val="24"/>
        </w:rPr>
        <w:t>月份始下降，</w:t>
      </w:r>
      <w:r>
        <w:rPr>
          <w:rFonts w:ascii="Times New Roman" w:hAnsi="Times New Roman"/>
          <w:sz w:val="24"/>
          <w:szCs w:val="24"/>
        </w:rPr>
        <w:t>7</w:t>
      </w:r>
      <w:r>
        <w:rPr>
          <w:rFonts w:ascii="Times New Roman" w:hAnsi="Times New Roman"/>
          <w:sz w:val="24"/>
          <w:szCs w:val="24"/>
        </w:rPr>
        <w:t>月</w:t>
      </w:r>
      <w:r>
        <w:rPr>
          <w:rFonts w:ascii="Times New Roman" w:hAnsi="Times New Roman"/>
          <w:sz w:val="24"/>
          <w:szCs w:val="24"/>
        </w:rPr>
        <w:t>-8</w:t>
      </w:r>
      <w:r>
        <w:rPr>
          <w:rFonts w:ascii="Times New Roman" w:hAnsi="Times New Roman"/>
          <w:sz w:val="24"/>
          <w:szCs w:val="24"/>
        </w:rPr>
        <w:t>月份开采强度最大，地下水位最低；</w:t>
      </w:r>
      <w:r>
        <w:rPr>
          <w:rFonts w:ascii="Times New Roman" w:hAnsi="Times New Roman"/>
          <w:sz w:val="24"/>
          <w:szCs w:val="24"/>
        </w:rPr>
        <w:t>9</w:t>
      </w:r>
      <w:r>
        <w:rPr>
          <w:rFonts w:ascii="Times New Roman" w:hAnsi="Times New Roman"/>
          <w:sz w:val="24"/>
          <w:szCs w:val="24"/>
        </w:rPr>
        <w:t>月份以后，</w:t>
      </w:r>
      <w:r>
        <w:rPr>
          <w:rFonts w:ascii="Times New Roman" w:hAnsi="Times New Roman"/>
          <w:sz w:val="24"/>
          <w:szCs w:val="24"/>
        </w:rPr>
        <w:t xml:space="preserve"> </w:t>
      </w:r>
      <w:r>
        <w:rPr>
          <w:rFonts w:ascii="Times New Roman" w:hAnsi="Times New Roman"/>
          <w:sz w:val="24"/>
          <w:szCs w:val="24"/>
        </w:rPr>
        <w:t>随着开</w:t>
      </w:r>
      <w:r>
        <w:rPr>
          <w:rFonts w:ascii="Times New Roman" w:hAnsi="Times New Roman"/>
          <w:sz w:val="24"/>
          <w:szCs w:val="24"/>
        </w:rPr>
        <w:t xml:space="preserve"> </w:t>
      </w:r>
      <w:r>
        <w:rPr>
          <w:rFonts w:ascii="Times New Roman" w:hAnsi="Times New Roman"/>
          <w:sz w:val="24"/>
          <w:szCs w:val="24"/>
        </w:rPr>
        <w:t>采强度的降低，地下水位开始回升，到第二年的</w:t>
      </w:r>
      <w:r>
        <w:rPr>
          <w:rFonts w:ascii="Times New Roman" w:hAnsi="Times New Roman"/>
          <w:sz w:val="24"/>
          <w:szCs w:val="24"/>
        </w:rPr>
        <w:t xml:space="preserve"> 1</w:t>
      </w:r>
      <w:r>
        <w:rPr>
          <w:rFonts w:ascii="Times New Roman" w:hAnsi="Times New Roman"/>
          <w:sz w:val="24"/>
          <w:szCs w:val="24"/>
        </w:rPr>
        <w:t>月</w:t>
      </w:r>
      <w:r>
        <w:rPr>
          <w:rFonts w:ascii="Times New Roman" w:hAnsi="Times New Roman"/>
          <w:sz w:val="24"/>
          <w:szCs w:val="24"/>
        </w:rPr>
        <w:t xml:space="preserve"> -3</w:t>
      </w:r>
      <w:r>
        <w:rPr>
          <w:rFonts w:ascii="Times New Roman" w:hAnsi="Times New Roman"/>
          <w:sz w:val="24"/>
          <w:szCs w:val="24"/>
        </w:rPr>
        <w:t>月份水位达至最高，年</w:t>
      </w:r>
      <w:r>
        <w:rPr>
          <w:rFonts w:ascii="Times New Roman" w:hAnsi="Times New Roman"/>
          <w:sz w:val="24"/>
          <w:szCs w:val="24"/>
        </w:rPr>
        <w:t xml:space="preserve"> </w:t>
      </w:r>
      <w:r>
        <w:rPr>
          <w:rFonts w:ascii="Times New Roman" w:hAnsi="Times New Roman"/>
          <w:sz w:val="24"/>
          <w:szCs w:val="24"/>
        </w:rPr>
        <w:t>变幅</w:t>
      </w:r>
      <w:r>
        <w:rPr>
          <w:rFonts w:ascii="Times New Roman" w:hAnsi="Times New Roman"/>
          <w:sz w:val="24"/>
          <w:szCs w:val="24"/>
        </w:rPr>
        <w:t xml:space="preserve"> 1.0m-20m</w:t>
      </w:r>
      <w:r>
        <w:rPr>
          <w:rFonts w:ascii="Times New Roman" w:hAnsi="Times New Roman"/>
          <w:sz w:val="24"/>
          <w:szCs w:val="24"/>
        </w:rPr>
        <w:t>，是典型的开采型动态。</w:t>
      </w:r>
      <w:r>
        <w:rPr>
          <w:rFonts w:ascii="Times New Roman" w:hAnsi="Times New Roman"/>
          <w:sz w:val="24"/>
          <w:szCs w:val="24"/>
        </w:rPr>
        <w:br/>
      </w:r>
      <w:r>
        <w:rPr>
          <w:rFonts w:ascii="Times New Roman" w:hAnsi="Times New Roman"/>
          <w:sz w:val="24"/>
          <w:szCs w:val="24"/>
        </w:rPr>
        <w:t xml:space="preserve">　　　</w:t>
      </w:r>
      <w:r>
        <w:rPr>
          <w:rFonts w:ascii="Times New Roman" w:hAnsi="Times New Roman"/>
          <w:sz w:val="24"/>
          <w:szCs w:val="24"/>
        </w:rPr>
        <w:t>2</w:t>
      </w:r>
      <w:r>
        <w:rPr>
          <w:rFonts w:ascii="Times New Roman" w:hAnsi="Times New Roman"/>
          <w:sz w:val="24"/>
          <w:szCs w:val="24"/>
        </w:rPr>
        <w:t>）年际变化</w:t>
      </w:r>
      <w:r>
        <w:rPr>
          <w:rFonts w:ascii="Times New Roman" w:hAnsi="Times New Roman"/>
          <w:sz w:val="24"/>
          <w:szCs w:val="24"/>
        </w:rPr>
        <w:t xml:space="preserve"> </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据鄯善县水文局地下水长观资料显示，所有长观井的水位均呈明显下降趋</w:t>
      </w:r>
      <w:r>
        <w:rPr>
          <w:rFonts w:ascii="Times New Roman" w:hAnsi="Times New Roman"/>
          <w:sz w:val="24"/>
          <w:szCs w:val="24"/>
        </w:rPr>
        <w:t xml:space="preserve"> </w:t>
      </w:r>
      <w:r>
        <w:rPr>
          <w:rFonts w:ascii="Times New Roman" w:hAnsi="Times New Roman"/>
          <w:sz w:val="24"/>
          <w:szCs w:val="24"/>
        </w:rPr>
        <w:t>势。据析统计，鄯善县部分长观井地下水位平均每年下降幅度为</w:t>
      </w:r>
      <w:r>
        <w:rPr>
          <w:rFonts w:ascii="Times New Roman" w:hAnsi="Times New Roman"/>
          <w:sz w:val="24"/>
          <w:szCs w:val="24"/>
        </w:rPr>
        <w:t xml:space="preserve"> 0.15m-3.13m</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区内地下水处于严重超采状态，若遇到连续枯水期，地下水位将加速下降。取距</w:t>
      </w:r>
      <w:r>
        <w:rPr>
          <w:rFonts w:ascii="Times New Roman" w:hAnsi="Times New Roman"/>
          <w:sz w:val="24"/>
          <w:szCs w:val="24"/>
        </w:rPr>
        <w:t xml:space="preserve"> </w:t>
      </w:r>
      <w:r>
        <w:rPr>
          <w:rFonts w:ascii="Times New Roman" w:hAnsi="Times New Roman"/>
          <w:sz w:val="24"/>
          <w:szCs w:val="24"/>
        </w:rPr>
        <w:t>项目区较近的北盆地东部</w:t>
      </w:r>
      <w:r>
        <w:rPr>
          <w:rFonts w:ascii="Times New Roman" w:hAnsi="Times New Roman"/>
          <w:sz w:val="24"/>
          <w:szCs w:val="24"/>
        </w:rPr>
        <w:t xml:space="preserve"> 7 </w:t>
      </w:r>
      <w:r>
        <w:rPr>
          <w:rFonts w:ascii="Times New Roman" w:hAnsi="Times New Roman"/>
          <w:sz w:val="24"/>
          <w:szCs w:val="24"/>
        </w:rPr>
        <w:t>号观测井的长期监测数据绘制</w:t>
      </w:r>
      <w:r>
        <w:rPr>
          <w:rFonts w:ascii="Times New Roman" w:hAnsi="Times New Roman"/>
          <w:sz w:val="24"/>
          <w:szCs w:val="24"/>
        </w:rPr>
        <w:t xml:space="preserve"> 1999 </w:t>
      </w:r>
      <w:r>
        <w:rPr>
          <w:rFonts w:ascii="Times New Roman" w:hAnsi="Times New Roman"/>
          <w:sz w:val="24"/>
          <w:szCs w:val="24"/>
        </w:rPr>
        <w:t>年</w:t>
      </w:r>
      <w:r>
        <w:rPr>
          <w:rFonts w:ascii="Times New Roman" w:hAnsi="Times New Roman"/>
          <w:sz w:val="24"/>
          <w:szCs w:val="24"/>
        </w:rPr>
        <w:t>-2009</w:t>
      </w:r>
      <w:r>
        <w:rPr>
          <w:rFonts w:ascii="Times New Roman" w:hAnsi="Times New Roman"/>
          <w:sz w:val="24"/>
          <w:szCs w:val="24"/>
        </w:rPr>
        <w:t>年地下水动态</w:t>
      </w:r>
      <w:r>
        <w:rPr>
          <w:rFonts w:ascii="Times New Roman" w:hAnsi="Times New Roman"/>
          <w:sz w:val="24"/>
          <w:szCs w:val="24"/>
        </w:rPr>
        <w:t>((</w:t>
      </w:r>
      <w:r>
        <w:rPr>
          <w:rFonts w:ascii="Times New Roman" w:hAnsi="Times New Roman"/>
          <w:sz w:val="24"/>
          <w:szCs w:val="24"/>
        </w:rPr>
        <w:t>年末埋深</w:t>
      </w:r>
      <w:r>
        <w:rPr>
          <w:rFonts w:ascii="Times New Roman" w:hAnsi="Times New Roman"/>
          <w:sz w:val="24"/>
          <w:szCs w:val="24"/>
        </w:rPr>
        <w:t>)</w:t>
      </w:r>
      <w:r>
        <w:rPr>
          <w:rFonts w:ascii="Times New Roman" w:hAnsi="Times New Roman"/>
          <w:sz w:val="24"/>
          <w:szCs w:val="24"/>
        </w:rPr>
        <w:t>变化曲线，</w:t>
      </w:r>
      <w:r>
        <w:rPr>
          <w:rFonts w:ascii="Times New Roman" w:hAnsi="Times New Roman"/>
          <w:sz w:val="24"/>
          <w:szCs w:val="24"/>
        </w:rPr>
        <w:t xml:space="preserve"> </w:t>
      </w:r>
      <w:r>
        <w:rPr>
          <w:rFonts w:ascii="Times New Roman" w:hAnsi="Times New Roman"/>
          <w:sz w:val="24"/>
          <w:szCs w:val="24"/>
        </w:rPr>
        <w:t>如图</w:t>
      </w:r>
      <w:r>
        <w:rPr>
          <w:rFonts w:ascii="Times New Roman" w:hAnsi="Times New Roman"/>
          <w:sz w:val="24"/>
          <w:szCs w:val="24"/>
        </w:rPr>
        <w:t xml:space="preserve"> 5.2-3</w:t>
      </w:r>
      <w:r>
        <w:rPr>
          <w:rFonts w:ascii="Times New Roman" w:hAnsi="Times New Roman"/>
          <w:sz w:val="24"/>
          <w:szCs w:val="24"/>
        </w:rPr>
        <w:t>所示。观测井位置关系见图</w:t>
      </w:r>
      <w:r>
        <w:rPr>
          <w:rFonts w:ascii="Times New Roman" w:hAnsi="Times New Roman"/>
          <w:sz w:val="24"/>
          <w:szCs w:val="24"/>
        </w:rPr>
        <w:t>5.2-4</w:t>
      </w:r>
      <w:r>
        <w:rPr>
          <w:rFonts w:ascii="Times New Roman" w:hAnsi="Times New Roman"/>
          <w:sz w:val="24"/>
          <w:szCs w:val="24"/>
        </w:rPr>
        <w:t>。</w:t>
      </w:r>
    </w:p>
    <w:p w:rsidR="00525419" w:rsidRDefault="00525419">
      <w:pPr>
        <w:rPr>
          <w:rFonts w:ascii="Times New Roman" w:hAnsi="Times New Roman"/>
        </w:rPr>
      </w:pPr>
    </w:p>
    <w:p w:rsidR="00525419" w:rsidRDefault="00525419">
      <w:pPr>
        <w:rPr>
          <w:rFonts w:ascii="Times New Roman" w:hAnsi="Times New Roman"/>
        </w:rPr>
      </w:pPr>
    </w:p>
    <w:p w:rsidR="00525419" w:rsidRDefault="00FE095A">
      <w:pPr>
        <w:rPr>
          <w:rFonts w:ascii="Times New Roman" w:hAnsi="Times New Roman"/>
        </w:rPr>
      </w:pPr>
      <w:r>
        <w:rPr>
          <w:rFonts w:ascii="Times New Roman" w:hAnsi="Times New Roman"/>
        </w:rPr>
        <w:pict>
          <v:shape id="_x0000_i1031" type="#_x0000_t75" style="width:414.75pt;height:171.75pt">
            <v:imagedata r:id="rId27" o:title=""/>
          </v:shape>
        </w:pict>
      </w:r>
    </w:p>
    <w:p w:rsidR="00525419" w:rsidRDefault="00EE1CF7">
      <w:pPr>
        <w:rPr>
          <w:rFonts w:ascii="Times New Roman" w:hAnsi="Times New Roman"/>
          <w:b/>
          <w:sz w:val="24"/>
          <w:szCs w:val="24"/>
        </w:rPr>
      </w:pPr>
      <w:r>
        <w:rPr>
          <w:rFonts w:ascii="Times New Roman" w:hAnsi="Times New Roman"/>
        </w:rPr>
        <w:t xml:space="preserve">　　　　　</w:t>
      </w:r>
      <w:r>
        <w:rPr>
          <w:rFonts w:ascii="Times New Roman" w:hAnsi="Times New Roman"/>
          <w:b/>
          <w:sz w:val="24"/>
          <w:szCs w:val="24"/>
        </w:rPr>
        <w:t xml:space="preserve">　图</w:t>
      </w:r>
      <w:r>
        <w:rPr>
          <w:rFonts w:ascii="Times New Roman" w:hAnsi="Times New Roman"/>
          <w:b/>
          <w:sz w:val="24"/>
          <w:szCs w:val="24"/>
        </w:rPr>
        <w:t xml:space="preserve"> 5.2-3</w:t>
      </w:r>
      <w:r>
        <w:rPr>
          <w:rFonts w:ascii="Times New Roman" w:hAnsi="Times New Roman"/>
          <w:b/>
          <w:sz w:val="24"/>
          <w:szCs w:val="24"/>
        </w:rPr>
        <w:t xml:space="preserve">　鄯善县北盆地</w:t>
      </w:r>
      <w:r>
        <w:rPr>
          <w:rFonts w:ascii="Times New Roman" w:hAnsi="Times New Roman"/>
          <w:b/>
          <w:sz w:val="24"/>
          <w:szCs w:val="24"/>
        </w:rPr>
        <w:t xml:space="preserve"> 7 </w:t>
      </w:r>
      <w:r>
        <w:rPr>
          <w:rFonts w:ascii="Times New Roman" w:hAnsi="Times New Roman"/>
          <w:b/>
          <w:sz w:val="24"/>
          <w:szCs w:val="24"/>
        </w:rPr>
        <w:t>号观测井地下水动态图</w:t>
      </w:r>
      <w:r>
        <w:rPr>
          <w:rFonts w:ascii="Times New Roman" w:hAnsi="Times New Roman"/>
          <w:b/>
          <w:sz w:val="24"/>
          <w:szCs w:val="24"/>
        </w:rPr>
        <w:t xml:space="preserve"> </w:t>
      </w:r>
    </w:p>
    <w:p w:rsidR="00525419" w:rsidRDefault="00525419">
      <w:pPr>
        <w:rPr>
          <w:rFonts w:ascii="Times New Roman" w:hAnsi="Times New Roman"/>
        </w:rPr>
      </w:pPr>
    </w:p>
    <w:p w:rsidR="00525419" w:rsidRDefault="00525419">
      <w:pPr>
        <w:rPr>
          <w:rFonts w:ascii="Times New Roman" w:hAnsi="Times New Roman"/>
        </w:rPr>
      </w:pPr>
    </w:p>
    <w:p w:rsidR="00525419" w:rsidRDefault="00EE1CF7">
      <w:pPr>
        <w:spacing w:line="360" w:lineRule="auto"/>
        <w:ind w:firstLineChars="200" w:firstLine="482"/>
        <w:jc w:val="center"/>
        <w:rPr>
          <w:rFonts w:ascii="Times New Roman" w:hAnsi="Times New Roman"/>
          <w:b/>
          <w:sz w:val="24"/>
          <w:szCs w:val="24"/>
        </w:rPr>
      </w:pPr>
      <w:r>
        <w:rPr>
          <w:rFonts w:ascii="Times New Roman" w:hAnsi="Times New Roman"/>
          <w:b/>
          <w:sz w:val="24"/>
          <w:szCs w:val="24"/>
        </w:rPr>
        <w:t>图</w:t>
      </w:r>
      <w:r>
        <w:rPr>
          <w:rFonts w:ascii="Times New Roman" w:hAnsi="Times New Roman"/>
          <w:b/>
          <w:sz w:val="24"/>
          <w:szCs w:val="24"/>
        </w:rPr>
        <w:t xml:space="preserve"> 5.2-4   </w:t>
      </w:r>
      <w:r>
        <w:rPr>
          <w:rFonts w:ascii="Times New Roman" w:hAnsi="Times New Roman"/>
          <w:b/>
          <w:sz w:val="24"/>
          <w:szCs w:val="24"/>
        </w:rPr>
        <w:t>鄯善县长观井位置示意图</w:t>
      </w:r>
    </w:p>
    <w:p w:rsidR="00525419" w:rsidRDefault="00525419">
      <w:pPr>
        <w:rPr>
          <w:rFonts w:ascii="Times New Roman" w:hAnsi="Times New Roman"/>
        </w:rPr>
      </w:pP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由上图可以看出，选取的北盆地的</w:t>
      </w:r>
      <w:r>
        <w:rPr>
          <w:rFonts w:ascii="Times New Roman" w:hAnsi="Times New Roman"/>
          <w:sz w:val="24"/>
          <w:szCs w:val="24"/>
        </w:rPr>
        <w:t xml:space="preserve"> 7 </w:t>
      </w:r>
      <w:r>
        <w:rPr>
          <w:rFonts w:ascii="Times New Roman" w:hAnsi="Times New Roman"/>
          <w:sz w:val="24"/>
          <w:szCs w:val="24"/>
        </w:rPr>
        <w:t>号长观井自</w:t>
      </w:r>
      <w:r>
        <w:rPr>
          <w:rFonts w:ascii="Times New Roman" w:hAnsi="Times New Roman"/>
          <w:sz w:val="24"/>
          <w:szCs w:val="24"/>
        </w:rPr>
        <w:t xml:space="preserve">1999 </w:t>
      </w:r>
      <w:r>
        <w:rPr>
          <w:rFonts w:ascii="Times New Roman" w:hAnsi="Times New Roman"/>
          <w:sz w:val="24"/>
          <w:szCs w:val="24"/>
        </w:rPr>
        <w:t>年至</w:t>
      </w:r>
      <w:r>
        <w:rPr>
          <w:rFonts w:ascii="Times New Roman" w:hAnsi="Times New Roman"/>
          <w:sz w:val="24"/>
          <w:szCs w:val="24"/>
        </w:rPr>
        <w:t xml:space="preserve">2009 </w:t>
      </w:r>
      <w:r>
        <w:rPr>
          <w:rFonts w:ascii="Times New Roman" w:hAnsi="Times New Roman"/>
          <w:sz w:val="24"/>
          <w:szCs w:val="24"/>
        </w:rPr>
        <w:t>年间，水位整体呈明显下降趋势，遇</w:t>
      </w:r>
      <w:r>
        <w:rPr>
          <w:rFonts w:ascii="Times New Roman" w:hAnsi="Times New Roman"/>
          <w:sz w:val="24"/>
          <w:szCs w:val="24"/>
        </w:rPr>
        <w:t xml:space="preserve"> 2007</w:t>
      </w:r>
      <w:r>
        <w:rPr>
          <w:rFonts w:ascii="Times New Roman" w:hAnsi="Times New Roman"/>
          <w:sz w:val="24"/>
          <w:szCs w:val="24"/>
        </w:rPr>
        <w:t>年至</w:t>
      </w:r>
      <w:r>
        <w:rPr>
          <w:rFonts w:ascii="Times New Roman" w:hAnsi="Times New Roman"/>
          <w:sz w:val="24"/>
          <w:szCs w:val="24"/>
        </w:rPr>
        <w:t xml:space="preserve"> 2009</w:t>
      </w:r>
      <w:r>
        <w:rPr>
          <w:rFonts w:ascii="Times New Roman" w:hAnsi="Times New Roman"/>
          <w:sz w:val="24"/>
          <w:szCs w:val="24"/>
        </w:rPr>
        <w:t>年这样的枯水期，水位发生加速下降，与鄯善县地下水位年际动态变化特征相一致。</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4</w:t>
      </w:r>
      <w:r>
        <w:rPr>
          <w:rFonts w:ascii="Times New Roman" w:hAnsi="Times New Roman"/>
          <w:sz w:val="24"/>
          <w:szCs w:val="24"/>
        </w:rPr>
        <w:t>）地下水化学特征</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从总体上看，鄯善北盆地地下水化学类型自上游向下游，</w:t>
      </w:r>
      <w:r>
        <w:rPr>
          <w:rFonts w:ascii="Times New Roman" w:hAnsi="Times New Roman"/>
          <w:sz w:val="24"/>
          <w:szCs w:val="24"/>
        </w:rPr>
        <w:t xml:space="preserve"> </w:t>
      </w:r>
      <w:r>
        <w:rPr>
          <w:rFonts w:ascii="Times New Roman" w:hAnsi="Times New Roman"/>
          <w:sz w:val="24"/>
          <w:szCs w:val="24"/>
        </w:rPr>
        <w:t>由</w:t>
      </w:r>
      <w:r>
        <w:rPr>
          <w:rFonts w:ascii="Times New Roman" w:hAnsi="Times New Roman"/>
          <w:sz w:val="24"/>
          <w:szCs w:val="24"/>
        </w:rPr>
        <w:t xml:space="preserve"> HCO</w:t>
      </w:r>
      <w:r>
        <w:rPr>
          <w:rFonts w:ascii="Times New Roman" w:hAnsi="Times New Roman"/>
          <w:sz w:val="24"/>
          <w:szCs w:val="24"/>
          <w:vertAlign w:val="subscript"/>
        </w:rPr>
        <w:t>3</w:t>
      </w:r>
      <w:r>
        <w:rPr>
          <w:rFonts w:ascii="Times New Roman" w:hAnsi="Times New Roman"/>
          <w:sz w:val="24"/>
          <w:szCs w:val="24"/>
        </w:rPr>
        <w:t>型水向</w:t>
      </w:r>
      <w:r>
        <w:rPr>
          <w:rFonts w:ascii="Times New Roman" w:hAnsi="Times New Roman"/>
          <w:sz w:val="24"/>
          <w:szCs w:val="24"/>
        </w:rPr>
        <w:t>SO</w:t>
      </w:r>
      <w:r>
        <w:rPr>
          <w:rFonts w:ascii="Times New Roman" w:hAnsi="Times New Roman"/>
          <w:sz w:val="24"/>
          <w:szCs w:val="24"/>
          <w:vertAlign w:val="subscript"/>
        </w:rPr>
        <w:t xml:space="preserve">4 </w:t>
      </w:r>
      <w:r>
        <w:rPr>
          <w:rFonts w:ascii="Times New Roman" w:hAnsi="Times New Roman"/>
          <w:sz w:val="24"/>
          <w:szCs w:val="24"/>
        </w:rPr>
        <w:t>和</w:t>
      </w:r>
      <w:r>
        <w:rPr>
          <w:rFonts w:ascii="Times New Roman" w:hAnsi="Times New Roman"/>
          <w:sz w:val="24"/>
          <w:szCs w:val="24"/>
        </w:rPr>
        <w:t xml:space="preserve"> C1 </w:t>
      </w:r>
      <w:r>
        <w:rPr>
          <w:rFonts w:ascii="Times New Roman" w:hAnsi="Times New Roman"/>
          <w:sz w:val="24"/>
          <w:szCs w:val="24"/>
        </w:rPr>
        <w:t>型水逐渐变化。北盆地山前径流条件好，河流出山口后，迅速转化为地下水，</w:t>
      </w:r>
      <w:r>
        <w:rPr>
          <w:rFonts w:ascii="Times New Roman" w:hAnsi="Times New Roman"/>
          <w:sz w:val="24"/>
          <w:szCs w:val="24"/>
        </w:rPr>
        <w:t xml:space="preserve"> </w:t>
      </w:r>
      <w:r>
        <w:rPr>
          <w:rFonts w:ascii="Times New Roman" w:hAnsi="Times New Roman"/>
          <w:sz w:val="24"/>
          <w:szCs w:val="24"/>
        </w:rPr>
        <w:t>因地下水水力坡度大，水位埋藏深，补给水源较充足，地下径流强烈，形成</w:t>
      </w:r>
      <w:r>
        <w:rPr>
          <w:rFonts w:ascii="Times New Roman" w:hAnsi="Times New Roman"/>
          <w:sz w:val="24"/>
          <w:szCs w:val="24"/>
        </w:rPr>
        <w:t xml:space="preserve"> HCO</w:t>
      </w:r>
      <w:r>
        <w:rPr>
          <w:rFonts w:ascii="Times New Roman" w:hAnsi="Times New Roman"/>
          <w:sz w:val="24"/>
          <w:szCs w:val="24"/>
          <w:vertAlign w:val="subscript"/>
        </w:rPr>
        <w:t>3</w:t>
      </w:r>
      <w:r>
        <w:rPr>
          <w:rFonts w:ascii="Times New Roman" w:hAnsi="Times New Roman"/>
          <w:sz w:val="24"/>
          <w:szCs w:val="24"/>
        </w:rPr>
        <w:t>型水，至火焰山前区域，地下水化学类型递变为</w:t>
      </w:r>
      <w:r>
        <w:rPr>
          <w:rFonts w:ascii="Times New Roman" w:hAnsi="Times New Roman"/>
          <w:sz w:val="24"/>
          <w:szCs w:val="24"/>
        </w:rPr>
        <w:t xml:space="preserve"> SO</w:t>
      </w:r>
      <w:r>
        <w:rPr>
          <w:rFonts w:ascii="Times New Roman" w:hAnsi="Times New Roman"/>
          <w:sz w:val="24"/>
          <w:szCs w:val="24"/>
          <w:vertAlign w:val="subscript"/>
        </w:rPr>
        <w:t>4</w:t>
      </w:r>
      <w:r>
        <w:rPr>
          <w:rFonts w:ascii="Times New Roman" w:hAnsi="Times New Roman"/>
          <w:sz w:val="24"/>
          <w:szCs w:val="24"/>
        </w:rPr>
        <w:t>型；在七克台镇和黄家坎儿井以东的地区，因补给条件较差，地下水化学类型为</w:t>
      </w:r>
      <w:r>
        <w:rPr>
          <w:rFonts w:ascii="Times New Roman" w:hAnsi="Times New Roman"/>
          <w:sz w:val="24"/>
          <w:szCs w:val="24"/>
        </w:rPr>
        <w:t xml:space="preserve"> C1 </w:t>
      </w:r>
      <w:r>
        <w:rPr>
          <w:rFonts w:ascii="Times New Roman" w:hAnsi="Times New Roman"/>
          <w:sz w:val="24"/>
          <w:szCs w:val="24"/>
        </w:rPr>
        <w:t>型水，水质较差。北盆地地下水矿化度自上游向下游由小到大，一般小于</w:t>
      </w:r>
      <w:r>
        <w:rPr>
          <w:rFonts w:ascii="Times New Roman" w:hAnsi="Times New Roman"/>
          <w:sz w:val="24"/>
          <w:szCs w:val="24"/>
        </w:rPr>
        <w:t>3.0g/L</w:t>
      </w:r>
      <w:r>
        <w:rPr>
          <w:rFonts w:ascii="Times New Roman" w:hAnsi="Times New Roman"/>
          <w:sz w:val="24"/>
          <w:szCs w:val="24"/>
        </w:rPr>
        <w:t>。项目调查评价区位鄯善北盆地山前冲洪积平原区，地下水水化学类型以</w:t>
      </w:r>
      <w:r>
        <w:rPr>
          <w:rFonts w:ascii="Times New Roman" w:hAnsi="Times New Roman"/>
          <w:sz w:val="24"/>
          <w:szCs w:val="24"/>
        </w:rPr>
        <w:t xml:space="preserve"> HCO</w:t>
      </w:r>
      <w:r>
        <w:rPr>
          <w:rFonts w:ascii="Times New Roman" w:hAnsi="Times New Roman"/>
          <w:sz w:val="24"/>
          <w:szCs w:val="24"/>
          <w:vertAlign w:val="subscript"/>
        </w:rPr>
        <w:t>3</w:t>
      </w:r>
      <w:r>
        <w:rPr>
          <w:rFonts w:ascii="Times New Roman" w:hAnsi="Times New Roman"/>
          <w:sz w:val="24"/>
          <w:szCs w:val="24"/>
        </w:rPr>
        <w:t>型水为主。</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5.2.2.3</w:t>
      </w:r>
      <w:r>
        <w:rPr>
          <w:rFonts w:ascii="Times New Roman" w:hAnsi="Times New Roman" w:cs="Times New Roman"/>
          <w:kern w:val="44"/>
          <w:sz w:val="24"/>
          <w:szCs w:val="24"/>
        </w:rPr>
        <w:t>环境水文地质实验</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本项目水文地质实验数据引用新疆碧顷环保科技有限公司厂区渗水试验数据，新疆碧顷环保科技有限公司厂区位于本项目北部，距离约</w:t>
      </w:r>
      <w:r>
        <w:rPr>
          <w:rFonts w:ascii="Times New Roman" w:hAnsi="Times New Roman"/>
          <w:sz w:val="24"/>
          <w:szCs w:val="24"/>
        </w:rPr>
        <w:t>3.4km</w:t>
      </w:r>
      <w:r>
        <w:rPr>
          <w:rFonts w:ascii="Times New Roman" w:hAnsi="Times New Roman"/>
          <w:sz w:val="24"/>
          <w:szCs w:val="24"/>
        </w:rPr>
        <w:t>，处于同一水文地质单元。渗水试验采用双环法，根据渗水试验数据进行计算得到试验点包</w:t>
      </w:r>
      <w:r>
        <w:rPr>
          <w:rFonts w:ascii="Times New Roman" w:hAnsi="Times New Roman"/>
          <w:sz w:val="24"/>
          <w:szCs w:val="24"/>
        </w:rPr>
        <w:lastRenderedPageBreak/>
        <w:t>气带渗透系数为</w:t>
      </w:r>
      <w:r>
        <w:rPr>
          <w:rFonts w:ascii="Times New Roman" w:hAnsi="Times New Roman"/>
          <w:sz w:val="24"/>
          <w:szCs w:val="24"/>
        </w:rPr>
        <w:t>1.6m/d</w:t>
      </w:r>
      <w:r>
        <w:rPr>
          <w:rFonts w:ascii="Times New Roman" w:hAnsi="Times New Roman"/>
          <w:sz w:val="24"/>
          <w:szCs w:val="24"/>
        </w:rPr>
        <w:t>和图</w:t>
      </w:r>
      <w:r>
        <w:rPr>
          <w:rFonts w:ascii="Times New Roman" w:hAnsi="Times New Roman"/>
          <w:sz w:val="24"/>
          <w:szCs w:val="24"/>
        </w:rPr>
        <w:t>5.2-5</w:t>
      </w:r>
      <w:r>
        <w:rPr>
          <w:rFonts w:ascii="Times New Roman" w:hAnsi="Times New Roman"/>
          <w:sz w:val="24"/>
          <w:szCs w:val="24"/>
        </w:rPr>
        <w:t>。</w:t>
      </w:r>
    </w:p>
    <w:p w:rsidR="00525419" w:rsidRDefault="007D0E8A">
      <w:pPr>
        <w:rPr>
          <w:rFonts w:ascii="Times New Roman" w:hAnsi="Times New Roman"/>
        </w:rPr>
      </w:pPr>
      <w:r>
        <w:rPr>
          <w:rFonts w:ascii="Times New Roman" w:hAnsi="Times New Roman"/>
        </w:rPr>
        <w:pict>
          <v:shape id="图片 7" o:spid="_x0000_s3151" type="#_x0000_t75" style="position:absolute;left:0;text-align:left;margin-left:-6pt;margin-top:2.75pt;width:415.3pt;height:223.5pt;z-index:251645440;mso-width-relative:page;mso-height-relative:page">
            <v:imagedata r:id="rId28" o:title="" cropbottom="5812f"/>
          </v:shape>
        </w:pict>
      </w: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p w:rsidR="00525419" w:rsidRDefault="00EE1CF7">
      <w:pPr>
        <w:rPr>
          <w:rFonts w:ascii="Times New Roman" w:hAnsi="Times New Roman"/>
          <w:b/>
          <w:sz w:val="24"/>
          <w:szCs w:val="24"/>
        </w:rPr>
      </w:pPr>
      <w:r>
        <w:rPr>
          <w:rFonts w:ascii="Times New Roman" w:hAnsi="Times New Roman"/>
        </w:rPr>
        <w:t xml:space="preserve">　　　　　　　　　　</w:t>
      </w:r>
      <w:r>
        <w:rPr>
          <w:rFonts w:ascii="Times New Roman" w:hAnsi="Times New Roman"/>
          <w:b/>
          <w:sz w:val="24"/>
          <w:szCs w:val="24"/>
        </w:rPr>
        <w:t xml:space="preserve">　图</w:t>
      </w:r>
      <w:r>
        <w:rPr>
          <w:rFonts w:ascii="Times New Roman" w:hAnsi="Times New Roman"/>
          <w:b/>
          <w:sz w:val="24"/>
          <w:szCs w:val="24"/>
        </w:rPr>
        <w:t>5.2-5</w:t>
      </w:r>
      <w:r>
        <w:rPr>
          <w:rFonts w:ascii="Times New Roman" w:hAnsi="Times New Roman"/>
          <w:b/>
          <w:sz w:val="24"/>
          <w:szCs w:val="24"/>
        </w:rPr>
        <w:t xml:space="preserve">　　　渗水实验结果</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5.2.2.4</w:t>
      </w:r>
      <w:r>
        <w:rPr>
          <w:rFonts w:ascii="Times New Roman" w:hAnsi="Times New Roman" w:cs="Times New Roman"/>
          <w:kern w:val="44"/>
          <w:sz w:val="24"/>
          <w:szCs w:val="24"/>
        </w:rPr>
        <w:t>地下水环境保护目标</w:t>
      </w:r>
      <w:r>
        <w:rPr>
          <w:rFonts w:ascii="Times New Roman" w:hAnsi="Times New Roman" w:cs="Times New Roman"/>
          <w:kern w:val="44"/>
          <w:sz w:val="24"/>
          <w:szCs w:val="24"/>
        </w:rPr>
        <w:t xml:space="preserve"> </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经调查，本项目调查评价范围内无地下水源地、地下水饮用水井和坎儿井分</w:t>
      </w:r>
      <w:r>
        <w:rPr>
          <w:rFonts w:ascii="Times New Roman" w:hAnsi="Times New Roman"/>
          <w:sz w:val="24"/>
          <w:szCs w:val="24"/>
        </w:rPr>
        <w:t xml:space="preserve"> </w:t>
      </w:r>
      <w:r>
        <w:rPr>
          <w:rFonts w:ascii="Times New Roman" w:hAnsi="Times New Roman"/>
          <w:sz w:val="24"/>
          <w:szCs w:val="24"/>
        </w:rPr>
        <w:t>布。故本项目地下水环境保护目标主要为调查评价范围内的潜水含水层。</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5.2.2.5</w:t>
      </w:r>
      <w:r>
        <w:rPr>
          <w:rFonts w:ascii="Times New Roman" w:hAnsi="Times New Roman" w:cs="Times New Roman"/>
          <w:kern w:val="44"/>
          <w:sz w:val="24"/>
          <w:szCs w:val="24"/>
        </w:rPr>
        <w:t>地下水环境影响预测</w:t>
      </w:r>
    </w:p>
    <w:p w:rsidR="00525419" w:rsidRDefault="00EE1CF7">
      <w:pPr>
        <w:autoSpaceDE w:val="0"/>
        <w:autoSpaceDN w:val="0"/>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）正常情况下对地下水的影响分析</w:t>
      </w:r>
    </w:p>
    <w:p w:rsidR="00525419" w:rsidRDefault="00EE1CF7">
      <w:pPr>
        <w:spacing w:line="360" w:lineRule="auto"/>
        <w:ind w:firstLineChars="200" w:firstLine="480"/>
        <w:rPr>
          <w:rFonts w:ascii="Times New Roman" w:hAnsi="Times New Roman"/>
          <w:sz w:val="24"/>
        </w:rPr>
      </w:pPr>
      <w:r>
        <w:rPr>
          <w:rFonts w:ascii="Times New Roman" w:hAnsi="Times New Roman"/>
          <w:sz w:val="24"/>
          <w:szCs w:val="24"/>
        </w:rPr>
        <w:t>正常情况下，</w:t>
      </w:r>
      <w:r>
        <w:rPr>
          <w:rFonts w:ascii="Times New Roman" w:hAnsi="Times New Roman"/>
          <w:sz w:val="24"/>
        </w:rPr>
        <w:t>厂区产生的酸性污水经汽提装置处理后用于</w:t>
      </w:r>
      <w:r>
        <w:rPr>
          <w:rFonts w:ascii="Times New Roman" w:hAnsi="Times New Roman" w:hint="eastAsia"/>
          <w:sz w:val="24"/>
        </w:rPr>
        <w:t>工艺</w:t>
      </w:r>
      <w:r>
        <w:rPr>
          <w:rFonts w:ascii="Times New Roman" w:hAnsi="Times New Roman"/>
          <w:sz w:val="24"/>
        </w:rPr>
        <w:t>注水用水，</w:t>
      </w:r>
      <w:r>
        <w:rPr>
          <w:rFonts w:ascii="Times New Roman" w:hAnsi="Times New Roman" w:hint="eastAsia"/>
          <w:kern w:val="0"/>
          <w:sz w:val="24"/>
          <w:szCs w:val="24"/>
        </w:rPr>
        <w:t>脱盐水站产生含盐废水</w:t>
      </w:r>
      <w:r>
        <w:rPr>
          <w:rFonts w:ascii="Times New Roman" w:hAnsi="Times New Roman"/>
          <w:kern w:val="0"/>
          <w:sz w:val="24"/>
          <w:szCs w:val="24"/>
        </w:rPr>
        <w:t>经浓盐水处理装置处理后作为循环水回用；</w:t>
      </w:r>
      <w:r>
        <w:rPr>
          <w:rFonts w:ascii="Times New Roman" w:hAnsi="Times New Roman"/>
          <w:sz w:val="24"/>
        </w:rPr>
        <w:t>含油污水、生活污水及其它废水到依托厂区污水处理站处理后达到《循环冷却水用再生水水质标准》（</w:t>
      </w:r>
      <w:r>
        <w:rPr>
          <w:rFonts w:ascii="Times New Roman" w:hAnsi="Times New Roman"/>
          <w:sz w:val="24"/>
        </w:rPr>
        <w:t>HJ/T3923-2007</w:t>
      </w:r>
      <w:r>
        <w:rPr>
          <w:rFonts w:ascii="Times New Roman" w:hAnsi="Times New Roman"/>
          <w:sz w:val="24"/>
        </w:rPr>
        <w:t>）用于厂区循环冷却补水，不外排。</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装置区地面、储罐区及装卸区均进行防渗处理，防渗效果满足《石油化工工程防渗技术规范》（</w:t>
      </w:r>
      <w:r>
        <w:rPr>
          <w:rFonts w:ascii="Times New Roman" w:hAnsi="Times New Roman"/>
          <w:sz w:val="24"/>
          <w:szCs w:val="24"/>
        </w:rPr>
        <w:t>GB/T50934-2013</w:t>
      </w:r>
      <w:r>
        <w:rPr>
          <w:rFonts w:ascii="Times New Roman" w:hAnsi="Times New Roman"/>
          <w:sz w:val="24"/>
          <w:szCs w:val="24"/>
        </w:rPr>
        <w:t>）要求，可有效阻断污水与地下水之间的水力联系，因此正常情况下项目对装置区、储罐区及装卸区周围的地下水环境无影响。</w:t>
      </w:r>
    </w:p>
    <w:p w:rsidR="00525419" w:rsidRDefault="00EE1CF7">
      <w:pPr>
        <w:autoSpaceDE w:val="0"/>
        <w:autoSpaceDN w:val="0"/>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）非正常情况下对地下水的影响分析</w:t>
      </w:r>
    </w:p>
    <w:p w:rsidR="00525419" w:rsidRDefault="00EE1CF7">
      <w:pPr>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rPr>
        <w:t>从客观上分析，本装置运营过程中存在着储罐因腐蚀或其他原因发生物料泄</w:t>
      </w:r>
      <w:r>
        <w:rPr>
          <w:rFonts w:ascii="Times New Roman" w:hAnsi="Times New Roman"/>
          <w:sz w:val="24"/>
          <w:szCs w:val="24"/>
        </w:rPr>
        <w:lastRenderedPageBreak/>
        <w:t>漏渗入地下水以及管线破损、硬化地面破裂导致物料、污水渗入地层的可能，此外，一旦发生火灾，消防产生的消防废水如果处置不当，也存在着污染地下水的可能。</w:t>
      </w:r>
    </w:p>
    <w:p w:rsidR="00525419" w:rsidRDefault="00EE1CF7">
      <w:pPr>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rPr>
        <w:t>①</w:t>
      </w:r>
      <w:r>
        <w:rPr>
          <w:rFonts w:ascii="Times New Roman" w:hAnsi="Times New Roman"/>
          <w:sz w:val="24"/>
          <w:szCs w:val="24"/>
        </w:rPr>
        <w:t>污染途径</w:t>
      </w:r>
    </w:p>
    <w:p w:rsidR="00525419" w:rsidRDefault="00EE1CF7">
      <w:pPr>
        <w:adjustRightInd w:val="0"/>
        <w:snapToGrid w:val="0"/>
        <w:spacing w:line="500" w:lineRule="exact"/>
        <w:ind w:firstLine="480"/>
        <w:rPr>
          <w:rFonts w:ascii="Times New Roman" w:hAnsi="Times New Roman"/>
          <w:sz w:val="24"/>
          <w:szCs w:val="24"/>
        </w:rPr>
      </w:pPr>
      <w:r>
        <w:rPr>
          <w:rFonts w:ascii="Times New Roman" w:hAnsi="Times New Roman"/>
          <w:sz w:val="24"/>
          <w:szCs w:val="24"/>
        </w:rPr>
        <w:t>通常废水、储罐中物料进入地下后，其污染物在地下水系统的迁移途径是：入渗污染物</w:t>
      </w:r>
      <w:r>
        <w:rPr>
          <w:rFonts w:ascii="Times New Roman" w:hAnsi="Times New Roman"/>
          <w:sz w:val="24"/>
          <w:szCs w:val="24"/>
        </w:rPr>
        <w:t>→</w:t>
      </w:r>
      <w:r>
        <w:rPr>
          <w:rFonts w:ascii="Times New Roman" w:hAnsi="Times New Roman"/>
          <w:sz w:val="24"/>
          <w:szCs w:val="24"/>
        </w:rPr>
        <w:t>表土层</w:t>
      </w:r>
      <w:r>
        <w:rPr>
          <w:rFonts w:ascii="Times New Roman" w:hAnsi="Times New Roman"/>
          <w:sz w:val="24"/>
          <w:szCs w:val="24"/>
        </w:rPr>
        <w:t>→</w:t>
      </w:r>
      <w:r>
        <w:rPr>
          <w:rFonts w:ascii="Times New Roman" w:hAnsi="Times New Roman"/>
          <w:sz w:val="24"/>
          <w:szCs w:val="24"/>
        </w:rPr>
        <w:t>包气带</w:t>
      </w:r>
      <w:r>
        <w:rPr>
          <w:rFonts w:ascii="Times New Roman" w:hAnsi="Times New Roman"/>
          <w:sz w:val="24"/>
          <w:szCs w:val="24"/>
        </w:rPr>
        <w:t>→</w:t>
      </w:r>
      <w:r>
        <w:rPr>
          <w:rFonts w:ascii="Times New Roman" w:hAnsi="Times New Roman"/>
          <w:sz w:val="24"/>
          <w:szCs w:val="24"/>
        </w:rPr>
        <w:t>含水层</w:t>
      </w:r>
      <w:r>
        <w:rPr>
          <w:rFonts w:ascii="Times New Roman" w:hAnsi="Times New Roman"/>
          <w:sz w:val="24"/>
          <w:szCs w:val="24"/>
        </w:rPr>
        <w:t>→</w:t>
      </w:r>
      <w:r>
        <w:rPr>
          <w:rFonts w:ascii="Times New Roman" w:hAnsi="Times New Roman"/>
          <w:sz w:val="24"/>
          <w:szCs w:val="24"/>
        </w:rPr>
        <w:t>迁移。污染物渗漏排放，有短期大量排放（如污水管道的破裂）和长期小流量排放（管道施工质量问题和储罐运行后期的老化所造成的微量渗漏）两种，前者容易发现得以及时处理，危害较小；后者则难以发现和处理，危害较大，延续时间长。特别是同一地点的连续泄漏，造成的水环境污染会更加严重。</w:t>
      </w:r>
    </w:p>
    <w:p w:rsidR="00525419" w:rsidRDefault="00EE1CF7">
      <w:pPr>
        <w:spacing w:line="360" w:lineRule="auto"/>
        <w:ind w:firstLineChars="200" w:firstLine="480"/>
        <w:rPr>
          <w:rFonts w:ascii="Times New Roman" w:hAnsi="Times New Roman"/>
          <w:kern w:val="0"/>
          <w:sz w:val="24"/>
          <w:szCs w:val="24"/>
        </w:rPr>
      </w:pPr>
      <w:r>
        <w:rPr>
          <w:rFonts w:ascii="Times New Roman" w:hAnsi="Times New Roman"/>
          <w:sz w:val="24"/>
          <w:szCs w:val="24"/>
        </w:rPr>
        <w:t>本项目项目区包气带地层细颗粒为粉土或黄土状粉，由冲积、风积共同作用形成，层厚在</w:t>
      </w:r>
      <w:r>
        <w:rPr>
          <w:rFonts w:ascii="Times New Roman" w:hAnsi="Times New Roman"/>
          <w:sz w:val="24"/>
          <w:szCs w:val="24"/>
        </w:rPr>
        <w:t>2.4-11.2m</w:t>
      </w:r>
      <w:r>
        <w:rPr>
          <w:rFonts w:ascii="Times New Roman" w:hAnsi="Times New Roman"/>
          <w:sz w:val="24"/>
          <w:szCs w:val="24"/>
        </w:rPr>
        <w:t>之间，渗透系数为</w:t>
      </w:r>
      <w:r>
        <w:rPr>
          <w:rFonts w:ascii="Times New Roman" w:hAnsi="Times New Roman"/>
          <w:sz w:val="24"/>
          <w:szCs w:val="24"/>
        </w:rPr>
        <w:t>1.85×10</w:t>
      </w:r>
      <w:r>
        <w:rPr>
          <w:rFonts w:ascii="Times New Roman" w:hAnsi="Times New Roman"/>
          <w:sz w:val="24"/>
          <w:szCs w:val="24"/>
          <w:vertAlign w:val="superscript"/>
        </w:rPr>
        <w:t>-3</w:t>
      </w:r>
      <w:r>
        <w:rPr>
          <w:rFonts w:ascii="Times New Roman" w:hAnsi="Times New Roman"/>
          <w:sz w:val="24"/>
          <w:szCs w:val="24"/>
        </w:rPr>
        <w:t>cm/s</w:t>
      </w:r>
      <w:r>
        <w:rPr>
          <w:rFonts w:ascii="Times New Roman" w:hAnsi="Times New Roman"/>
          <w:sz w:val="24"/>
          <w:szCs w:val="24"/>
        </w:rPr>
        <w:t>。包气带在厂区地层连续广泛分布，除此之外，有粉砂、粉细砂交互分布，与颗粒较粗的粗砂乃至大的角砾构成地层致密，能承受较大荷载。这些揭示地层的情况反映出对水等流体有较强的过滤、截留和吸附能力，对地面污染物在水媒介作用下向地下水的迁移有很好的抑制作用，此前同地区有多项同类实验研究数据，均反映出此类包气带地层有较强的防护能力，对地下水的保护有益，</w:t>
      </w:r>
      <w:r>
        <w:rPr>
          <w:rFonts w:ascii="Times New Roman" w:hAnsi="Times New Roman"/>
          <w:kern w:val="0"/>
          <w:sz w:val="24"/>
          <w:szCs w:val="24"/>
        </w:rPr>
        <w:t>因此可以认为，一旦发生污水泄漏，短期渗漏不会造成区内地下水的污染。</w:t>
      </w:r>
    </w:p>
    <w:p w:rsidR="00525419" w:rsidRDefault="00EE1CF7">
      <w:pPr>
        <w:adjustRightInd w:val="0"/>
        <w:snapToGrid w:val="0"/>
        <w:spacing w:line="500" w:lineRule="exact"/>
        <w:ind w:firstLine="488"/>
        <w:rPr>
          <w:rFonts w:ascii="Times New Roman" w:hAnsi="Times New Roman"/>
          <w:spacing w:val="2"/>
          <w:sz w:val="24"/>
          <w:szCs w:val="24"/>
        </w:rPr>
      </w:pPr>
      <w:r>
        <w:rPr>
          <w:rFonts w:ascii="Times New Roman" w:hAnsi="Times New Roman"/>
          <w:spacing w:val="2"/>
          <w:sz w:val="24"/>
          <w:szCs w:val="24"/>
        </w:rPr>
        <w:t>②</w:t>
      </w:r>
      <w:r>
        <w:rPr>
          <w:rFonts w:ascii="Times New Roman" w:hAnsi="Times New Roman"/>
          <w:spacing w:val="2"/>
          <w:sz w:val="24"/>
          <w:szCs w:val="24"/>
        </w:rPr>
        <w:t>预测情景设定</w:t>
      </w:r>
    </w:p>
    <w:p w:rsidR="00525419" w:rsidRDefault="00EE1CF7">
      <w:pPr>
        <w:adjustRightInd w:val="0"/>
        <w:snapToGrid w:val="0"/>
        <w:spacing w:line="500" w:lineRule="exact"/>
        <w:ind w:firstLine="480"/>
        <w:rPr>
          <w:rFonts w:ascii="Times New Roman" w:hAnsi="Times New Roman"/>
          <w:sz w:val="24"/>
          <w:szCs w:val="24"/>
        </w:rPr>
      </w:pPr>
      <w:r>
        <w:rPr>
          <w:rFonts w:ascii="Times New Roman" w:hAnsi="Times New Roman"/>
          <w:sz w:val="24"/>
          <w:szCs w:val="24"/>
        </w:rPr>
        <w:t>根据项目的特点，当污水、装置区管线和储罐区储罐出现泄漏时将会对地下水造成一定的影响。污水、装置区管线及各设备发生泄漏易被发现，发生泄漏后及时清理，且装置区设有防渗措施，不会对地下水产生明显影响。本次预测主要对储罐发生泄漏且防渗层破损后，泄漏油品以点源形式通过土壤表层下渗进入地下含水层，泄漏事故对地下水环境的影响程度主要取决于物料的物理性质、泄漏量、泄漏方式、多孔介质特征及地下水位埋深等因素。液体物料（以煤焦油为例）的泄漏量采用《建设项目环境风险评价技术导则》（</w:t>
      </w:r>
      <w:r>
        <w:rPr>
          <w:rFonts w:ascii="Times New Roman" w:hAnsi="Times New Roman"/>
          <w:sz w:val="24"/>
          <w:szCs w:val="24"/>
        </w:rPr>
        <w:t>HJ169-2018</w:t>
      </w:r>
      <w:r>
        <w:rPr>
          <w:rFonts w:ascii="Times New Roman" w:hAnsi="Times New Roman"/>
          <w:sz w:val="24"/>
          <w:szCs w:val="24"/>
        </w:rPr>
        <w:t>）附录</w:t>
      </w:r>
      <w:r>
        <w:rPr>
          <w:rFonts w:ascii="Times New Roman" w:hAnsi="Times New Roman"/>
          <w:sz w:val="24"/>
          <w:szCs w:val="24"/>
        </w:rPr>
        <w:t>F</w:t>
      </w:r>
      <w:r>
        <w:rPr>
          <w:rFonts w:ascii="Times New Roman" w:hAnsi="Times New Roman"/>
          <w:sz w:val="24"/>
          <w:szCs w:val="24"/>
        </w:rPr>
        <w:t>事故源强计算方法中的液体泄漏计算公式</w:t>
      </w:r>
      <w:r>
        <w:rPr>
          <w:rFonts w:ascii="Times New Roman" w:hAnsi="Times New Roman"/>
          <w:sz w:val="24"/>
          <w:szCs w:val="24"/>
        </w:rPr>
        <w:t>—</w:t>
      </w:r>
      <w:r>
        <w:rPr>
          <w:rFonts w:ascii="Times New Roman" w:hAnsi="Times New Roman"/>
          <w:sz w:val="24"/>
          <w:szCs w:val="24"/>
        </w:rPr>
        <w:t>伯努利方程计算，公式具体如下：</w:t>
      </w:r>
    </w:p>
    <w:p w:rsidR="00525419" w:rsidRDefault="00EE1CF7">
      <w:pPr>
        <w:adjustRightInd w:val="0"/>
        <w:snapToGrid w:val="0"/>
        <w:spacing w:line="540" w:lineRule="exact"/>
        <w:ind w:firstLineChars="200" w:firstLine="480"/>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29056" behindDoc="0" locked="0" layoutInCell="1" allowOverlap="1">
            <wp:simplePos x="0" y="0"/>
            <wp:positionH relativeFrom="column">
              <wp:posOffset>603250</wp:posOffset>
            </wp:positionH>
            <wp:positionV relativeFrom="paragraph">
              <wp:posOffset>252730</wp:posOffset>
            </wp:positionV>
            <wp:extent cx="1859280" cy="476250"/>
            <wp:effectExtent l="0" t="0" r="7620" b="0"/>
            <wp:wrapNone/>
            <wp:docPr id="15" name="图片 165" descr="wps1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5" descr="wps19B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859280" cy="476250"/>
                    </a:xfrm>
                    <a:prstGeom prst="rect">
                      <a:avLst/>
                    </a:prstGeom>
                    <a:noFill/>
                    <a:ln>
                      <a:noFill/>
                    </a:ln>
                  </pic:spPr>
                </pic:pic>
              </a:graphicData>
            </a:graphic>
          </wp:anchor>
        </w:drawing>
      </w:r>
    </w:p>
    <w:p w:rsidR="00525419" w:rsidRDefault="00525419">
      <w:pPr>
        <w:adjustRightInd w:val="0"/>
        <w:snapToGrid w:val="0"/>
        <w:spacing w:line="540" w:lineRule="exact"/>
        <w:ind w:firstLineChars="200" w:firstLine="480"/>
        <w:rPr>
          <w:rFonts w:ascii="Times New Roman" w:hAnsi="Times New Roman"/>
          <w:sz w:val="24"/>
          <w:szCs w:val="24"/>
        </w:rPr>
      </w:pPr>
    </w:p>
    <w:p w:rsidR="00525419" w:rsidRDefault="00EE1CF7">
      <w:pPr>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rPr>
        <w:t>式中：</w:t>
      </w:r>
    </w:p>
    <w:p w:rsidR="00525419" w:rsidRDefault="00EE1CF7">
      <w:pPr>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rPr>
        <w:t>Q</w:t>
      </w:r>
      <w:r>
        <w:rPr>
          <w:rFonts w:ascii="Times New Roman" w:hAnsi="Times New Roman"/>
          <w:sz w:val="24"/>
          <w:szCs w:val="24"/>
          <w:vertAlign w:val="subscript"/>
        </w:rPr>
        <w:t>L</w:t>
      </w:r>
      <w:r>
        <w:rPr>
          <w:rFonts w:ascii="Times New Roman" w:hAnsi="Times New Roman"/>
          <w:sz w:val="24"/>
          <w:szCs w:val="24"/>
        </w:rPr>
        <w:t>——</w:t>
      </w:r>
      <w:r>
        <w:rPr>
          <w:rFonts w:ascii="Times New Roman" w:hAnsi="Times New Roman"/>
          <w:sz w:val="24"/>
          <w:szCs w:val="24"/>
        </w:rPr>
        <w:t>液体泄漏速度，</w:t>
      </w:r>
      <w:r>
        <w:rPr>
          <w:rFonts w:ascii="Times New Roman" w:hAnsi="Times New Roman"/>
          <w:sz w:val="24"/>
          <w:szCs w:val="24"/>
        </w:rPr>
        <w:t>kg/s</w:t>
      </w:r>
      <w:r>
        <w:rPr>
          <w:rFonts w:ascii="Times New Roman" w:hAnsi="Times New Roman"/>
          <w:sz w:val="24"/>
          <w:szCs w:val="24"/>
        </w:rPr>
        <w:t>；</w:t>
      </w:r>
    </w:p>
    <w:p w:rsidR="00525419" w:rsidRDefault="00EE1CF7">
      <w:pPr>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rPr>
        <w:t>C</w:t>
      </w:r>
      <w:r>
        <w:rPr>
          <w:rFonts w:ascii="Times New Roman" w:hAnsi="Times New Roman"/>
          <w:sz w:val="24"/>
          <w:szCs w:val="24"/>
          <w:vertAlign w:val="subscript"/>
        </w:rPr>
        <w:t>d</w:t>
      </w:r>
      <w:r>
        <w:rPr>
          <w:rFonts w:ascii="Times New Roman" w:hAnsi="Times New Roman"/>
          <w:sz w:val="24"/>
          <w:szCs w:val="24"/>
        </w:rPr>
        <w:t>——</w:t>
      </w:r>
      <w:r>
        <w:rPr>
          <w:rFonts w:ascii="Times New Roman" w:hAnsi="Times New Roman"/>
          <w:sz w:val="24"/>
          <w:szCs w:val="24"/>
        </w:rPr>
        <w:t>液体泄漏系数；</w:t>
      </w:r>
    </w:p>
    <w:p w:rsidR="00525419" w:rsidRDefault="00EE1CF7">
      <w:pPr>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裂口面积，</w:t>
      </w:r>
      <w:r>
        <w:rPr>
          <w:rFonts w:ascii="Times New Roman" w:hAnsi="Times New Roman"/>
          <w:sz w:val="24"/>
          <w:szCs w:val="24"/>
        </w:rPr>
        <w:t>m</w:t>
      </w:r>
      <w:r>
        <w:rPr>
          <w:rFonts w:ascii="Times New Roman" w:hAnsi="Times New Roman"/>
          <w:sz w:val="24"/>
          <w:szCs w:val="24"/>
          <w:vertAlign w:val="superscript"/>
        </w:rPr>
        <w:t>2</w:t>
      </w:r>
      <w:r>
        <w:rPr>
          <w:rFonts w:ascii="Times New Roman" w:hAnsi="Times New Roman"/>
          <w:sz w:val="24"/>
          <w:szCs w:val="24"/>
        </w:rPr>
        <w:t>；</w:t>
      </w:r>
    </w:p>
    <w:p w:rsidR="00525419" w:rsidRDefault="00EE1CF7">
      <w:pPr>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rPr>
        <w:t>ρ——</w:t>
      </w:r>
      <w:r>
        <w:rPr>
          <w:rFonts w:ascii="Times New Roman" w:hAnsi="Times New Roman"/>
          <w:sz w:val="24"/>
          <w:szCs w:val="24"/>
        </w:rPr>
        <w:t>泄漏液体密度；</w:t>
      </w:r>
    </w:p>
    <w:p w:rsidR="00525419" w:rsidRDefault="00EE1CF7">
      <w:pPr>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rPr>
        <w:t>P——</w:t>
      </w:r>
      <w:r>
        <w:rPr>
          <w:rFonts w:ascii="Times New Roman" w:hAnsi="Times New Roman"/>
          <w:sz w:val="24"/>
          <w:szCs w:val="24"/>
        </w:rPr>
        <w:t>容器内介质压力，</w:t>
      </w:r>
      <w:r>
        <w:rPr>
          <w:rFonts w:ascii="Times New Roman" w:hAnsi="Times New Roman"/>
          <w:sz w:val="24"/>
          <w:szCs w:val="24"/>
        </w:rPr>
        <w:t>Pa</w:t>
      </w:r>
      <w:r>
        <w:rPr>
          <w:rFonts w:ascii="Times New Roman" w:hAnsi="Times New Roman"/>
          <w:sz w:val="24"/>
          <w:szCs w:val="24"/>
        </w:rPr>
        <w:t>；</w:t>
      </w:r>
    </w:p>
    <w:p w:rsidR="00525419" w:rsidRDefault="00EE1CF7">
      <w:pPr>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rPr>
        <w:t>P</w:t>
      </w:r>
      <w:r>
        <w:rPr>
          <w:rFonts w:ascii="Times New Roman" w:hAnsi="Times New Roman"/>
          <w:sz w:val="24"/>
          <w:szCs w:val="24"/>
          <w:vertAlign w:val="subscript"/>
        </w:rPr>
        <w:t>0</w:t>
      </w:r>
      <w:r>
        <w:rPr>
          <w:rFonts w:ascii="Times New Roman" w:hAnsi="Times New Roman"/>
          <w:sz w:val="24"/>
          <w:szCs w:val="24"/>
        </w:rPr>
        <w:t>——</w:t>
      </w:r>
      <w:r>
        <w:rPr>
          <w:rFonts w:ascii="Times New Roman" w:hAnsi="Times New Roman"/>
          <w:sz w:val="24"/>
          <w:szCs w:val="24"/>
        </w:rPr>
        <w:t>环境压力，</w:t>
      </w:r>
      <w:r>
        <w:rPr>
          <w:rFonts w:ascii="Times New Roman" w:hAnsi="Times New Roman"/>
          <w:sz w:val="24"/>
          <w:szCs w:val="24"/>
        </w:rPr>
        <w:t>Pa</w:t>
      </w:r>
      <w:r>
        <w:rPr>
          <w:rFonts w:ascii="Times New Roman" w:hAnsi="Times New Roman"/>
          <w:sz w:val="24"/>
          <w:szCs w:val="24"/>
        </w:rPr>
        <w:t>；</w:t>
      </w:r>
    </w:p>
    <w:p w:rsidR="00525419" w:rsidRDefault="00EE1CF7">
      <w:pPr>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rPr>
        <w:t>g——</w:t>
      </w:r>
      <w:r>
        <w:rPr>
          <w:rFonts w:ascii="Times New Roman" w:hAnsi="Times New Roman"/>
          <w:sz w:val="24"/>
          <w:szCs w:val="24"/>
        </w:rPr>
        <w:t>重力加速度，</w:t>
      </w:r>
      <w:r>
        <w:rPr>
          <w:rFonts w:ascii="Times New Roman" w:hAnsi="Times New Roman"/>
          <w:sz w:val="24"/>
          <w:szCs w:val="24"/>
        </w:rPr>
        <w:t>9.8m/s</w:t>
      </w:r>
      <w:r>
        <w:rPr>
          <w:rFonts w:ascii="Times New Roman" w:hAnsi="Times New Roman"/>
          <w:sz w:val="24"/>
          <w:szCs w:val="24"/>
          <w:vertAlign w:val="superscript"/>
        </w:rPr>
        <w:t>2</w:t>
      </w:r>
      <w:r>
        <w:rPr>
          <w:rFonts w:ascii="Times New Roman" w:hAnsi="Times New Roman"/>
          <w:sz w:val="24"/>
          <w:szCs w:val="24"/>
        </w:rPr>
        <w:t>；</w:t>
      </w:r>
    </w:p>
    <w:p w:rsidR="00525419" w:rsidRDefault="00EE1CF7">
      <w:pPr>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rPr>
        <w:t>h——</w:t>
      </w:r>
      <w:r>
        <w:rPr>
          <w:rFonts w:ascii="Times New Roman" w:hAnsi="Times New Roman"/>
          <w:sz w:val="24"/>
          <w:szCs w:val="24"/>
        </w:rPr>
        <w:t>裂口之上液位高度，</w:t>
      </w:r>
      <w:r>
        <w:rPr>
          <w:rFonts w:ascii="Times New Roman" w:hAnsi="Times New Roman"/>
          <w:sz w:val="24"/>
          <w:szCs w:val="24"/>
        </w:rPr>
        <w:t>m</w:t>
      </w:r>
      <w:r>
        <w:rPr>
          <w:rFonts w:ascii="Times New Roman" w:hAnsi="Times New Roman"/>
          <w:sz w:val="24"/>
          <w:szCs w:val="24"/>
        </w:rPr>
        <w:t>。</w:t>
      </w:r>
    </w:p>
    <w:p w:rsidR="00525419" w:rsidRDefault="00EE1CF7">
      <w:pPr>
        <w:adjustRightInd w:val="0"/>
        <w:snapToGrid w:val="0"/>
        <w:spacing w:line="500" w:lineRule="exact"/>
        <w:ind w:firstLineChars="200" w:firstLine="480"/>
        <w:rPr>
          <w:rFonts w:ascii="Times New Roman" w:hAnsi="Times New Roman"/>
          <w:sz w:val="24"/>
          <w:szCs w:val="24"/>
        </w:rPr>
      </w:pPr>
      <w:r>
        <w:rPr>
          <w:rFonts w:ascii="Times New Roman" w:hAnsi="Times New Roman"/>
          <w:sz w:val="24"/>
          <w:szCs w:val="24"/>
        </w:rPr>
        <w:t>储罐泄漏参数详见表</w:t>
      </w:r>
      <w:r>
        <w:rPr>
          <w:rFonts w:ascii="Times New Roman" w:hAnsi="Times New Roman"/>
          <w:sz w:val="24"/>
          <w:szCs w:val="24"/>
        </w:rPr>
        <w:t>5.2-2</w:t>
      </w:r>
      <w:r>
        <w:rPr>
          <w:rFonts w:ascii="Times New Roman" w:hAnsi="Times New Roman"/>
          <w:sz w:val="24"/>
          <w:szCs w:val="24"/>
        </w:rPr>
        <w:t>。</w:t>
      </w:r>
    </w:p>
    <w:p w:rsidR="00525419" w:rsidRDefault="00EE1CF7">
      <w:pPr>
        <w:spacing w:line="520" w:lineRule="exact"/>
        <w:ind w:firstLineChars="200" w:firstLine="422"/>
        <w:jc w:val="center"/>
        <w:rPr>
          <w:rFonts w:ascii="Times New Roman" w:hAnsi="Times New Roman"/>
          <w:b/>
          <w:szCs w:val="21"/>
        </w:rPr>
      </w:pPr>
      <w:r>
        <w:rPr>
          <w:rFonts w:ascii="Times New Roman" w:hAnsi="Times New Roman"/>
          <w:b/>
          <w:szCs w:val="21"/>
        </w:rPr>
        <w:t>表</w:t>
      </w:r>
      <w:r>
        <w:rPr>
          <w:rFonts w:ascii="Times New Roman" w:hAnsi="Times New Roman"/>
          <w:b/>
          <w:szCs w:val="21"/>
        </w:rPr>
        <w:t xml:space="preserve">5.2-2    </w:t>
      </w:r>
      <w:r>
        <w:rPr>
          <w:rFonts w:ascii="Times New Roman" w:hAnsi="Times New Roman"/>
          <w:b/>
          <w:szCs w:val="21"/>
        </w:rPr>
        <w:t>储罐泄漏参数取值一览表</w:t>
      </w:r>
    </w:p>
    <w:tbl>
      <w:tblPr>
        <w:tblStyle w:val="1ffffffff3"/>
        <w:tblW w:w="8353" w:type="dxa"/>
        <w:tblInd w:w="0" w:type="dxa"/>
        <w:tblBorders>
          <w:left w:val="single" w:sz="12" w:space="0" w:color="auto"/>
          <w:right w:val="single" w:sz="12" w:space="0" w:color="auto"/>
        </w:tblBorders>
        <w:tblLayout w:type="fixed"/>
        <w:tblLook w:val="04A0" w:firstRow="1" w:lastRow="0" w:firstColumn="1" w:lastColumn="0" w:noHBand="0" w:noVBand="1"/>
      </w:tblPr>
      <w:tblGrid>
        <w:gridCol w:w="1494"/>
        <w:gridCol w:w="2680"/>
        <w:gridCol w:w="1763"/>
        <w:gridCol w:w="2416"/>
      </w:tblGrid>
      <w:tr w:rsidR="00525419">
        <w:trPr>
          <w:trHeight w:val="340"/>
        </w:trPr>
        <w:tc>
          <w:tcPr>
            <w:tcW w:w="1494" w:type="dxa"/>
            <w:tcBorders>
              <w:tl2br w:val="nil"/>
              <w:tr2bl w:val="nil"/>
            </w:tcBorders>
          </w:tcPr>
          <w:p w:rsidR="00525419" w:rsidRDefault="00EE1CF7">
            <w:pPr>
              <w:keepNext/>
              <w:spacing w:before="40" w:after="40"/>
              <w:rPr>
                <w:rFonts w:ascii="Times New Roman" w:hAnsi="Times New Roman"/>
                <w:spacing w:val="8"/>
                <w:kern w:val="24"/>
                <w:szCs w:val="20"/>
              </w:rPr>
            </w:pPr>
            <w:r>
              <w:rPr>
                <w:rFonts w:ascii="Times New Roman" w:hAnsi="Times New Roman"/>
                <w:spacing w:val="8"/>
                <w:kern w:val="24"/>
                <w:szCs w:val="20"/>
              </w:rPr>
              <w:t>参数名称</w:t>
            </w:r>
          </w:p>
        </w:tc>
        <w:tc>
          <w:tcPr>
            <w:tcW w:w="2680" w:type="dxa"/>
            <w:tcBorders>
              <w:tl2br w:val="nil"/>
              <w:tr2bl w:val="nil"/>
            </w:tcBorders>
          </w:tcPr>
          <w:p w:rsidR="00525419" w:rsidRDefault="00EE1CF7">
            <w:pPr>
              <w:keepNext/>
              <w:spacing w:before="40" w:after="40"/>
              <w:rPr>
                <w:rFonts w:ascii="Times New Roman" w:hAnsi="Times New Roman"/>
                <w:spacing w:val="8"/>
                <w:kern w:val="24"/>
                <w:szCs w:val="20"/>
              </w:rPr>
            </w:pPr>
            <w:r>
              <w:rPr>
                <w:rFonts w:ascii="Times New Roman" w:hAnsi="Times New Roman"/>
                <w:spacing w:val="8"/>
                <w:kern w:val="24"/>
                <w:szCs w:val="20"/>
              </w:rPr>
              <w:t>取值</w:t>
            </w:r>
          </w:p>
        </w:tc>
        <w:tc>
          <w:tcPr>
            <w:tcW w:w="1763" w:type="dxa"/>
            <w:tcBorders>
              <w:tl2br w:val="nil"/>
              <w:tr2bl w:val="nil"/>
            </w:tcBorders>
          </w:tcPr>
          <w:p w:rsidR="00525419" w:rsidRDefault="00EE1CF7">
            <w:pPr>
              <w:keepNext/>
              <w:spacing w:before="40" w:after="40"/>
              <w:rPr>
                <w:rFonts w:ascii="Times New Roman" w:hAnsi="Times New Roman"/>
                <w:spacing w:val="8"/>
                <w:kern w:val="24"/>
                <w:szCs w:val="20"/>
              </w:rPr>
            </w:pPr>
            <w:r>
              <w:rPr>
                <w:rFonts w:ascii="Times New Roman" w:hAnsi="Times New Roman"/>
                <w:spacing w:val="8"/>
                <w:kern w:val="24"/>
                <w:szCs w:val="20"/>
              </w:rPr>
              <w:t>参数名称</w:t>
            </w:r>
          </w:p>
        </w:tc>
        <w:tc>
          <w:tcPr>
            <w:tcW w:w="2416" w:type="dxa"/>
            <w:tcBorders>
              <w:tl2br w:val="nil"/>
              <w:tr2bl w:val="nil"/>
            </w:tcBorders>
          </w:tcPr>
          <w:p w:rsidR="00525419" w:rsidRDefault="00EE1CF7">
            <w:pPr>
              <w:keepNext/>
              <w:spacing w:before="40" w:after="40"/>
              <w:rPr>
                <w:rFonts w:ascii="Times New Roman" w:hAnsi="Times New Roman"/>
                <w:spacing w:val="8"/>
                <w:kern w:val="24"/>
                <w:szCs w:val="20"/>
              </w:rPr>
            </w:pPr>
            <w:r>
              <w:rPr>
                <w:rFonts w:ascii="Times New Roman" w:hAnsi="Times New Roman"/>
                <w:spacing w:val="8"/>
                <w:kern w:val="24"/>
                <w:szCs w:val="20"/>
              </w:rPr>
              <w:t>取值</w:t>
            </w:r>
          </w:p>
        </w:tc>
      </w:tr>
      <w:tr w:rsidR="00525419">
        <w:trPr>
          <w:trHeight w:val="340"/>
        </w:trPr>
        <w:tc>
          <w:tcPr>
            <w:tcW w:w="1494" w:type="dxa"/>
            <w:tcBorders>
              <w:tl2br w:val="nil"/>
              <w:tr2bl w:val="nil"/>
            </w:tcBorders>
          </w:tcPr>
          <w:p w:rsidR="00525419" w:rsidRDefault="00EE1CF7">
            <w:pPr>
              <w:keepNext/>
              <w:rPr>
                <w:rFonts w:ascii="Times New Roman" w:hAnsi="Times New Roman"/>
                <w:spacing w:val="8"/>
                <w:kern w:val="24"/>
                <w:szCs w:val="20"/>
              </w:rPr>
            </w:pPr>
            <w:r>
              <w:rPr>
                <w:rFonts w:ascii="Times New Roman" w:hAnsi="Times New Roman"/>
                <w:spacing w:val="8"/>
                <w:kern w:val="24"/>
                <w:szCs w:val="20"/>
              </w:rPr>
              <w:t>储罐压力</w:t>
            </w:r>
          </w:p>
        </w:tc>
        <w:tc>
          <w:tcPr>
            <w:tcW w:w="2680" w:type="dxa"/>
            <w:tcBorders>
              <w:tl2br w:val="nil"/>
              <w:tr2bl w:val="nil"/>
            </w:tcBorders>
          </w:tcPr>
          <w:p w:rsidR="00525419" w:rsidRDefault="00EE1CF7">
            <w:pPr>
              <w:keepNext/>
              <w:rPr>
                <w:rFonts w:ascii="Times New Roman" w:hAnsi="Times New Roman"/>
                <w:spacing w:val="8"/>
                <w:kern w:val="24"/>
                <w:szCs w:val="20"/>
              </w:rPr>
            </w:pPr>
            <w:r>
              <w:rPr>
                <w:rFonts w:ascii="Times New Roman" w:hAnsi="Times New Roman"/>
                <w:spacing w:val="8"/>
                <w:kern w:val="24"/>
                <w:szCs w:val="20"/>
              </w:rPr>
              <w:t>197297</w:t>
            </w:r>
          </w:p>
        </w:tc>
        <w:tc>
          <w:tcPr>
            <w:tcW w:w="1763" w:type="dxa"/>
            <w:tcBorders>
              <w:tl2br w:val="nil"/>
              <w:tr2bl w:val="nil"/>
            </w:tcBorders>
          </w:tcPr>
          <w:p w:rsidR="00525419" w:rsidRDefault="00EE1CF7">
            <w:pPr>
              <w:keepNext/>
              <w:rPr>
                <w:rFonts w:ascii="Times New Roman" w:hAnsi="Times New Roman"/>
                <w:spacing w:val="8"/>
                <w:kern w:val="24"/>
                <w:szCs w:val="20"/>
              </w:rPr>
            </w:pPr>
            <w:r>
              <w:rPr>
                <w:rFonts w:ascii="Times New Roman" w:hAnsi="Times New Roman"/>
                <w:spacing w:val="8"/>
                <w:kern w:val="24"/>
                <w:szCs w:val="20"/>
              </w:rPr>
              <w:t>液体密度</w:t>
            </w:r>
          </w:p>
        </w:tc>
        <w:tc>
          <w:tcPr>
            <w:tcW w:w="2416" w:type="dxa"/>
            <w:tcBorders>
              <w:tl2br w:val="nil"/>
              <w:tr2bl w:val="nil"/>
            </w:tcBorders>
          </w:tcPr>
          <w:p w:rsidR="00525419" w:rsidRDefault="00EE1CF7">
            <w:pPr>
              <w:spacing w:line="360" w:lineRule="auto"/>
              <w:rPr>
                <w:rFonts w:ascii="Times New Roman" w:hAnsi="Times New Roman"/>
                <w:spacing w:val="8"/>
                <w:kern w:val="24"/>
                <w:szCs w:val="21"/>
              </w:rPr>
            </w:pPr>
            <w:r>
              <w:rPr>
                <w:rFonts w:ascii="Times New Roman" w:hAnsi="Times New Roman"/>
                <w:szCs w:val="21"/>
              </w:rPr>
              <w:t>（煤焦油）</w:t>
            </w:r>
            <w:r>
              <w:rPr>
                <w:rFonts w:ascii="Times New Roman" w:hAnsi="Times New Roman"/>
                <w:szCs w:val="21"/>
              </w:rPr>
              <w:t>987.2kg/m</w:t>
            </w:r>
            <w:r>
              <w:rPr>
                <w:rFonts w:ascii="Times New Roman" w:hAnsi="Times New Roman"/>
                <w:szCs w:val="21"/>
                <w:vertAlign w:val="superscript"/>
              </w:rPr>
              <w:t>3</w:t>
            </w:r>
          </w:p>
        </w:tc>
      </w:tr>
      <w:tr w:rsidR="00525419">
        <w:trPr>
          <w:trHeight w:val="340"/>
        </w:trPr>
        <w:tc>
          <w:tcPr>
            <w:tcW w:w="1494" w:type="dxa"/>
            <w:tcBorders>
              <w:tl2br w:val="nil"/>
              <w:tr2bl w:val="nil"/>
            </w:tcBorders>
          </w:tcPr>
          <w:p w:rsidR="00525419" w:rsidRDefault="00EE1CF7">
            <w:pPr>
              <w:keepNext/>
              <w:rPr>
                <w:rFonts w:ascii="Times New Roman" w:hAnsi="Times New Roman"/>
                <w:spacing w:val="8"/>
                <w:kern w:val="24"/>
                <w:szCs w:val="20"/>
              </w:rPr>
            </w:pPr>
            <w:r>
              <w:rPr>
                <w:rFonts w:ascii="Times New Roman" w:hAnsi="Times New Roman"/>
                <w:spacing w:val="8"/>
                <w:kern w:val="24"/>
                <w:szCs w:val="20"/>
              </w:rPr>
              <w:t>环境压力</w:t>
            </w:r>
          </w:p>
        </w:tc>
        <w:tc>
          <w:tcPr>
            <w:tcW w:w="2680" w:type="dxa"/>
            <w:tcBorders>
              <w:tl2br w:val="nil"/>
              <w:tr2bl w:val="nil"/>
            </w:tcBorders>
          </w:tcPr>
          <w:p w:rsidR="00525419" w:rsidRDefault="00EE1CF7">
            <w:pPr>
              <w:keepNext/>
              <w:rPr>
                <w:rFonts w:ascii="Times New Roman" w:hAnsi="Times New Roman"/>
                <w:spacing w:val="8"/>
                <w:kern w:val="24"/>
                <w:szCs w:val="20"/>
              </w:rPr>
            </w:pPr>
            <w:r>
              <w:rPr>
                <w:rFonts w:ascii="Times New Roman" w:hAnsi="Times New Roman"/>
                <w:spacing w:val="8"/>
                <w:kern w:val="24"/>
                <w:szCs w:val="20"/>
              </w:rPr>
              <w:t>101325 pa</w:t>
            </w:r>
          </w:p>
        </w:tc>
        <w:tc>
          <w:tcPr>
            <w:tcW w:w="1763" w:type="dxa"/>
            <w:tcBorders>
              <w:tl2br w:val="nil"/>
              <w:tr2bl w:val="nil"/>
            </w:tcBorders>
          </w:tcPr>
          <w:p w:rsidR="00525419" w:rsidRDefault="00EE1CF7">
            <w:pPr>
              <w:keepNext/>
              <w:rPr>
                <w:rFonts w:ascii="Times New Roman" w:hAnsi="Times New Roman"/>
                <w:spacing w:val="8"/>
                <w:kern w:val="24"/>
                <w:szCs w:val="20"/>
              </w:rPr>
            </w:pPr>
            <w:r>
              <w:rPr>
                <w:rFonts w:ascii="Times New Roman" w:hAnsi="Times New Roman"/>
                <w:spacing w:val="8"/>
                <w:kern w:val="24"/>
                <w:szCs w:val="20"/>
              </w:rPr>
              <w:t>液体泄漏系数</w:t>
            </w:r>
          </w:p>
        </w:tc>
        <w:tc>
          <w:tcPr>
            <w:tcW w:w="2416" w:type="dxa"/>
            <w:tcBorders>
              <w:tl2br w:val="nil"/>
              <w:tr2bl w:val="nil"/>
            </w:tcBorders>
          </w:tcPr>
          <w:p w:rsidR="00525419" w:rsidRDefault="00EE1CF7">
            <w:pPr>
              <w:keepNext/>
              <w:rPr>
                <w:rFonts w:ascii="Times New Roman" w:hAnsi="Times New Roman"/>
                <w:spacing w:val="8"/>
                <w:kern w:val="24"/>
                <w:szCs w:val="21"/>
              </w:rPr>
            </w:pPr>
            <w:r>
              <w:rPr>
                <w:rFonts w:ascii="Times New Roman" w:hAnsi="Times New Roman"/>
                <w:spacing w:val="8"/>
                <w:kern w:val="24"/>
                <w:szCs w:val="21"/>
              </w:rPr>
              <w:t>0.65</w:t>
            </w:r>
          </w:p>
        </w:tc>
      </w:tr>
      <w:tr w:rsidR="00525419">
        <w:trPr>
          <w:trHeight w:val="340"/>
        </w:trPr>
        <w:tc>
          <w:tcPr>
            <w:tcW w:w="1494" w:type="dxa"/>
            <w:tcBorders>
              <w:tl2br w:val="nil"/>
              <w:tr2bl w:val="nil"/>
            </w:tcBorders>
          </w:tcPr>
          <w:p w:rsidR="00525419" w:rsidRDefault="00EE1CF7">
            <w:pPr>
              <w:keepNext/>
              <w:rPr>
                <w:rFonts w:ascii="Times New Roman" w:hAnsi="Times New Roman"/>
                <w:spacing w:val="8"/>
                <w:kern w:val="24"/>
                <w:szCs w:val="20"/>
              </w:rPr>
            </w:pPr>
            <w:r>
              <w:rPr>
                <w:rFonts w:ascii="Times New Roman" w:hAnsi="Times New Roman"/>
                <w:spacing w:val="8"/>
                <w:kern w:val="24"/>
                <w:szCs w:val="20"/>
              </w:rPr>
              <w:t>裂口面积</w:t>
            </w:r>
          </w:p>
        </w:tc>
        <w:tc>
          <w:tcPr>
            <w:tcW w:w="2680" w:type="dxa"/>
            <w:tcBorders>
              <w:tl2br w:val="nil"/>
              <w:tr2bl w:val="nil"/>
            </w:tcBorders>
          </w:tcPr>
          <w:p w:rsidR="00525419" w:rsidRDefault="00EE1CF7">
            <w:pPr>
              <w:keepNext/>
              <w:rPr>
                <w:rFonts w:ascii="Times New Roman" w:hAnsi="Times New Roman"/>
                <w:spacing w:val="8"/>
                <w:kern w:val="24"/>
                <w:szCs w:val="20"/>
              </w:rPr>
            </w:pPr>
            <w:r>
              <w:rPr>
                <w:rFonts w:ascii="Times New Roman" w:hAnsi="Times New Roman"/>
                <w:spacing w:val="8"/>
                <w:kern w:val="24"/>
                <w:szCs w:val="20"/>
              </w:rPr>
              <w:t>R=10mm</w:t>
            </w:r>
            <w:r>
              <w:rPr>
                <w:rFonts w:ascii="Times New Roman" w:hAnsi="Times New Roman"/>
                <w:spacing w:val="8"/>
                <w:kern w:val="24"/>
                <w:szCs w:val="20"/>
              </w:rPr>
              <w:t>（</w:t>
            </w:r>
            <w:r>
              <w:rPr>
                <w:rFonts w:ascii="Times New Roman" w:hAnsi="Times New Roman"/>
                <w:spacing w:val="8"/>
                <w:kern w:val="24"/>
                <w:szCs w:val="20"/>
              </w:rPr>
              <w:t>3.14cm</w:t>
            </w:r>
            <w:r>
              <w:rPr>
                <w:rFonts w:ascii="Times New Roman" w:hAnsi="Times New Roman"/>
                <w:spacing w:val="8"/>
                <w:kern w:val="24"/>
                <w:szCs w:val="20"/>
                <w:vertAlign w:val="superscript"/>
              </w:rPr>
              <w:t>2</w:t>
            </w:r>
            <w:r>
              <w:rPr>
                <w:rFonts w:ascii="Times New Roman" w:hAnsi="Times New Roman"/>
                <w:spacing w:val="8"/>
                <w:kern w:val="24"/>
                <w:szCs w:val="20"/>
              </w:rPr>
              <w:t>）</w:t>
            </w:r>
          </w:p>
        </w:tc>
        <w:tc>
          <w:tcPr>
            <w:tcW w:w="1763" w:type="dxa"/>
            <w:tcBorders>
              <w:tl2br w:val="nil"/>
              <w:tr2bl w:val="nil"/>
            </w:tcBorders>
          </w:tcPr>
          <w:p w:rsidR="00525419" w:rsidRDefault="00EE1CF7">
            <w:pPr>
              <w:keepNext/>
              <w:jc w:val="both"/>
              <w:rPr>
                <w:rFonts w:ascii="Times New Roman" w:hAnsi="Times New Roman"/>
                <w:spacing w:val="8"/>
                <w:kern w:val="24"/>
                <w:szCs w:val="20"/>
              </w:rPr>
            </w:pPr>
            <w:r>
              <w:rPr>
                <w:rFonts w:ascii="Times New Roman" w:hAnsi="Times New Roman"/>
                <w:spacing w:val="8"/>
                <w:kern w:val="24"/>
                <w:szCs w:val="20"/>
              </w:rPr>
              <w:t>裂口上液位高度</w:t>
            </w:r>
          </w:p>
        </w:tc>
        <w:tc>
          <w:tcPr>
            <w:tcW w:w="2416" w:type="dxa"/>
            <w:tcBorders>
              <w:tl2br w:val="nil"/>
              <w:tr2bl w:val="nil"/>
            </w:tcBorders>
          </w:tcPr>
          <w:p w:rsidR="00525419" w:rsidRDefault="00EE1CF7">
            <w:pPr>
              <w:keepNext/>
              <w:rPr>
                <w:rFonts w:ascii="Times New Roman" w:hAnsi="Times New Roman"/>
                <w:spacing w:val="8"/>
                <w:kern w:val="24"/>
                <w:szCs w:val="21"/>
              </w:rPr>
            </w:pPr>
            <w:r>
              <w:rPr>
                <w:rFonts w:ascii="Times New Roman" w:hAnsi="Times New Roman"/>
                <w:spacing w:val="8"/>
                <w:kern w:val="24"/>
                <w:szCs w:val="21"/>
              </w:rPr>
              <w:t>11m</w:t>
            </w:r>
          </w:p>
        </w:tc>
      </w:tr>
    </w:tbl>
    <w:p w:rsidR="00525419" w:rsidRDefault="00EE1CF7">
      <w:pPr>
        <w:spacing w:line="480" w:lineRule="exact"/>
        <w:ind w:firstLineChars="200" w:firstLine="480"/>
        <w:rPr>
          <w:rFonts w:ascii="Times New Roman" w:hAnsi="Times New Roman"/>
          <w:sz w:val="24"/>
          <w:szCs w:val="24"/>
        </w:rPr>
      </w:pPr>
      <w:r>
        <w:rPr>
          <w:rFonts w:ascii="Times New Roman" w:hAnsi="Times New Roman"/>
          <w:sz w:val="24"/>
          <w:szCs w:val="24"/>
        </w:rPr>
        <w:t>由上述公式计算出煤焦油的泄漏速率为</w:t>
      </w:r>
      <w:r>
        <w:rPr>
          <w:rFonts w:ascii="Times New Roman" w:hAnsi="Times New Roman"/>
          <w:sz w:val="24"/>
          <w:szCs w:val="24"/>
        </w:rPr>
        <w:t>4kg/s</w:t>
      </w:r>
      <w:r>
        <w:rPr>
          <w:rFonts w:ascii="Times New Roman" w:hAnsi="Times New Roman"/>
          <w:sz w:val="24"/>
          <w:szCs w:val="24"/>
        </w:rPr>
        <w:t>，事故发生后</w:t>
      </w:r>
      <w:r>
        <w:rPr>
          <w:rFonts w:ascii="Times New Roman" w:hAnsi="Times New Roman"/>
          <w:sz w:val="24"/>
          <w:szCs w:val="24"/>
        </w:rPr>
        <w:t>30min</w:t>
      </w:r>
      <w:r>
        <w:rPr>
          <w:rFonts w:ascii="Times New Roman" w:hAnsi="Times New Roman"/>
          <w:sz w:val="24"/>
          <w:szCs w:val="24"/>
        </w:rPr>
        <w:t>可得到控制，煤焦油的泄漏量为</w:t>
      </w:r>
      <w:r>
        <w:rPr>
          <w:rFonts w:ascii="Times New Roman" w:hAnsi="Times New Roman"/>
          <w:sz w:val="24"/>
          <w:szCs w:val="24"/>
        </w:rPr>
        <w:t>7.2t</w:t>
      </w:r>
      <w:r>
        <w:rPr>
          <w:rFonts w:ascii="Times New Roman" w:hAnsi="Times New Roman"/>
          <w:sz w:val="24"/>
          <w:szCs w:val="24"/>
        </w:rPr>
        <w:t>，按照土壤和包气带对污染物截留率</w:t>
      </w:r>
      <w:r>
        <w:rPr>
          <w:rFonts w:ascii="Times New Roman" w:hAnsi="Times New Roman"/>
          <w:sz w:val="24"/>
          <w:szCs w:val="24"/>
        </w:rPr>
        <w:t>90%</w:t>
      </w:r>
      <w:r>
        <w:rPr>
          <w:rFonts w:ascii="Times New Roman" w:hAnsi="Times New Roman"/>
          <w:sz w:val="24"/>
          <w:szCs w:val="24"/>
        </w:rPr>
        <w:t>计算，进入含水层物料为</w:t>
      </w:r>
      <w:r>
        <w:rPr>
          <w:rFonts w:ascii="Times New Roman" w:hAnsi="Times New Roman"/>
          <w:sz w:val="24"/>
          <w:szCs w:val="24"/>
        </w:rPr>
        <w:t>0.72t</w:t>
      </w:r>
      <w:r>
        <w:rPr>
          <w:rFonts w:ascii="Times New Roman" w:hAnsi="Times New Roman"/>
          <w:sz w:val="24"/>
          <w:szCs w:val="24"/>
        </w:rPr>
        <w:t>。</w:t>
      </w:r>
    </w:p>
    <w:p w:rsidR="00525419" w:rsidRDefault="00EE1CF7">
      <w:pPr>
        <w:suppressAutoHyphens/>
        <w:adjustRightInd w:val="0"/>
        <w:snapToGrid w:val="0"/>
        <w:spacing w:line="500" w:lineRule="exact"/>
        <w:ind w:firstLineChars="200" w:firstLine="552"/>
        <w:rPr>
          <w:rFonts w:ascii="Times New Roman" w:hAnsi="Times New Roman"/>
          <w:spacing w:val="18"/>
          <w:sz w:val="24"/>
          <w:szCs w:val="24"/>
        </w:rPr>
      </w:pPr>
      <w:r>
        <w:rPr>
          <w:rFonts w:ascii="Times New Roman" w:hAnsi="Times New Roman"/>
          <w:spacing w:val="18"/>
          <w:sz w:val="24"/>
          <w:szCs w:val="24"/>
        </w:rPr>
        <w:t>③</w:t>
      </w:r>
      <w:r>
        <w:rPr>
          <w:rFonts w:ascii="Times New Roman" w:hAnsi="Times New Roman"/>
          <w:spacing w:val="18"/>
          <w:sz w:val="24"/>
          <w:szCs w:val="24"/>
        </w:rPr>
        <w:t>预测因子：项目石油类为特征污染因子，故评价选取石油类为预测因子。</w:t>
      </w:r>
    </w:p>
    <w:p w:rsidR="00525419" w:rsidRDefault="00EE1CF7">
      <w:pPr>
        <w:suppressAutoHyphens/>
        <w:adjustRightInd w:val="0"/>
        <w:snapToGrid w:val="0"/>
        <w:spacing w:line="500" w:lineRule="exact"/>
        <w:ind w:firstLineChars="200" w:firstLine="552"/>
        <w:rPr>
          <w:rFonts w:ascii="Times New Roman" w:hAnsi="Times New Roman"/>
          <w:spacing w:val="18"/>
          <w:sz w:val="24"/>
          <w:szCs w:val="24"/>
        </w:rPr>
      </w:pPr>
      <w:r>
        <w:rPr>
          <w:rFonts w:ascii="Times New Roman" w:hAnsi="Times New Roman"/>
          <w:spacing w:val="18"/>
          <w:sz w:val="24"/>
          <w:szCs w:val="24"/>
        </w:rPr>
        <w:t>④</w:t>
      </w:r>
      <w:r>
        <w:rPr>
          <w:rFonts w:ascii="Times New Roman" w:hAnsi="Times New Roman"/>
          <w:spacing w:val="18"/>
          <w:sz w:val="24"/>
          <w:szCs w:val="24"/>
        </w:rPr>
        <w:t>预测模型：场区所在区域的地下水主要是地下水从北向南流动，经调查，区域附近没有大型集中型供水水源地，多为分散式供水，地下水位动态较为稳定。因此，选用一维无限长多孔介质，示踪剂瞬时注入预测模型，计算公式如下：</w:t>
      </w:r>
    </w:p>
    <w:p w:rsidR="00525419" w:rsidRDefault="00EE1CF7">
      <w:pPr>
        <w:suppressAutoHyphens/>
        <w:adjustRightInd w:val="0"/>
        <w:snapToGrid w:val="0"/>
        <w:spacing w:line="500" w:lineRule="exact"/>
        <w:ind w:firstLineChars="200" w:firstLine="420"/>
        <w:rPr>
          <w:rFonts w:ascii="Times New Roman" w:hAnsi="Times New Roman"/>
          <w:spacing w:val="18"/>
          <w:sz w:val="24"/>
          <w:szCs w:val="24"/>
        </w:rPr>
      </w:pPr>
      <w:r>
        <w:rPr>
          <w:rFonts w:ascii="Times New Roman" w:hAnsi="Times New Roman"/>
          <w:noProof/>
        </w:rPr>
        <w:drawing>
          <wp:anchor distT="0" distB="0" distL="114300" distR="114300" simplePos="0" relativeHeight="251630080" behindDoc="0" locked="0" layoutInCell="1" allowOverlap="1">
            <wp:simplePos x="0" y="0"/>
            <wp:positionH relativeFrom="column">
              <wp:posOffset>1200150</wp:posOffset>
            </wp:positionH>
            <wp:positionV relativeFrom="paragraph">
              <wp:posOffset>105410</wp:posOffset>
            </wp:positionV>
            <wp:extent cx="2571750" cy="720090"/>
            <wp:effectExtent l="0" t="0" r="0" b="3810"/>
            <wp:wrapNone/>
            <wp:docPr id="2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pic:cNvPicPr>
                      <a:picLocks noChangeAspect="1"/>
                    </pic:cNvPicPr>
                  </pic:nvPicPr>
                  <pic:blipFill>
                    <a:blip r:embed="rId30"/>
                    <a:stretch>
                      <a:fillRect/>
                    </a:stretch>
                  </pic:blipFill>
                  <pic:spPr>
                    <a:xfrm>
                      <a:off x="0" y="0"/>
                      <a:ext cx="2571750" cy="720090"/>
                    </a:xfrm>
                    <a:prstGeom prst="rect">
                      <a:avLst/>
                    </a:prstGeom>
                    <a:noFill/>
                    <a:ln>
                      <a:noFill/>
                    </a:ln>
                  </pic:spPr>
                </pic:pic>
              </a:graphicData>
            </a:graphic>
          </wp:anchor>
        </w:drawing>
      </w:r>
    </w:p>
    <w:p w:rsidR="00525419" w:rsidRDefault="00525419">
      <w:pPr>
        <w:adjustRightInd w:val="0"/>
        <w:snapToGrid w:val="0"/>
        <w:spacing w:line="500" w:lineRule="exact"/>
        <w:ind w:firstLineChars="200" w:firstLine="480"/>
        <w:jc w:val="center"/>
        <w:rPr>
          <w:rFonts w:ascii="Times New Roman" w:hAnsi="Times New Roman"/>
          <w:kern w:val="0"/>
          <w:sz w:val="24"/>
          <w:szCs w:val="24"/>
        </w:rPr>
      </w:pPr>
    </w:p>
    <w:p w:rsidR="00525419" w:rsidRDefault="00525419">
      <w:pPr>
        <w:adjustRightInd w:val="0"/>
        <w:snapToGrid w:val="0"/>
        <w:spacing w:line="500" w:lineRule="exact"/>
        <w:ind w:firstLineChars="200" w:firstLine="480"/>
        <w:jc w:val="left"/>
        <w:rPr>
          <w:rFonts w:ascii="Times New Roman" w:hAnsi="Times New Roman"/>
          <w:sz w:val="24"/>
          <w:szCs w:val="24"/>
        </w:rPr>
      </w:pPr>
    </w:p>
    <w:p w:rsidR="00525419" w:rsidRDefault="00EE1CF7">
      <w:pPr>
        <w:adjustRightInd w:val="0"/>
        <w:snapToGrid w:val="0"/>
        <w:spacing w:line="500" w:lineRule="exact"/>
        <w:ind w:firstLineChars="200" w:firstLine="480"/>
        <w:jc w:val="left"/>
        <w:rPr>
          <w:rFonts w:ascii="Times New Roman" w:hAnsi="Times New Roman"/>
          <w:sz w:val="24"/>
          <w:szCs w:val="24"/>
        </w:rPr>
      </w:pPr>
      <w:r>
        <w:rPr>
          <w:rFonts w:ascii="Times New Roman" w:hAnsi="Times New Roman"/>
          <w:sz w:val="24"/>
          <w:szCs w:val="24"/>
        </w:rPr>
        <w:t>式中：</w:t>
      </w:r>
      <w:r>
        <w:rPr>
          <w:rFonts w:ascii="Times New Roman" w:hAnsi="Times New Roman"/>
          <w:sz w:val="24"/>
          <w:szCs w:val="24"/>
        </w:rPr>
        <w:t xml:space="preserve"> x—</w:t>
      </w:r>
      <w:r>
        <w:rPr>
          <w:rFonts w:ascii="Times New Roman" w:hAnsi="Times New Roman"/>
          <w:sz w:val="24"/>
          <w:szCs w:val="24"/>
        </w:rPr>
        <w:t>距污染物注入点的距离，</w:t>
      </w:r>
      <w:r>
        <w:rPr>
          <w:rFonts w:ascii="Times New Roman" w:hAnsi="Times New Roman"/>
          <w:sz w:val="24"/>
          <w:szCs w:val="24"/>
        </w:rPr>
        <w:t>m</w:t>
      </w:r>
      <w:r>
        <w:rPr>
          <w:rFonts w:ascii="Times New Roman" w:hAnsi="Times New Roman"/>
          <w:sz w:val="24"/>
          <w:szCs w:val="24"/>
        </w:rPr>
        <w:t>；</w:t>
      </w:r>
    </w:p>
    <w:p w:rsidR="00525419" w:rsidRDefault="00EE1CF7">
      <w:pPr>
        <w:adjustRightInd w:val="0"/>
        <w:snapToGrid w:val="0"/>
        <w:spacing w:line="500" w:lineRule="exact"/>
        <w:ind w:firstLineChars="200" w:firstLine="480"/>
        <w:jc w:val="left"/>
        <w:rPr>
          <w:rFonts w:ascii="Times New Roman" w:hAnsi="Times New Roman"/>
          <w:sz w:val="24"/>
          <w:szCs w:val="24"/>
        </w:rPr>
      </w:pPr>
      <w:r>
        <w:rPr>
          <w:rFonts w:ascii="Times New Roman" w:hAnsi="Times New Roman"/>
          <w:sz w:val="24"/>
          <w:szCs w:val="24"/>
        </w:rPr>
        <w:t xml:space="preserve">       t—</w:t>
      </w:r>
      <w:r>
        <w:rPr>
          <w:rFonts w:ascii="Times New Roman" w:hAnsi="Times New Roman"/>
          <w:sz w:val="24"/>
          <w:szCs w:val="24"/>
        </w:rPr>
        <w:t>时间，</w:t>
      </w:r>
      <w:r>
        <w:rPr>
          <w:rFonts w:ascii="Times New Roman" w:hAnsi="Times New Roman"/>
          <w:sz w:val="24"/>
          <w:szCs w:val="24"/>
        </w:rPr>
        <w:t>d</w:t>
      </w:r>
      <w:r>
        <w:rPr>
          <w:rFonts w:ascii="Times New Roman" w:hAnsi="Times New Roman"/>
          <w:sz w:val="24"/>
          <w:szCs w:val="24"/>
        </w:rPr>
        <w:t>；</w:t>
      </w:r>
    </w:p>
    <w:p w:rsidR="00525419" w:rsidRDefault="00EE1CF7">
      <w:pPr>
        <w:adjustRightInd w:val="0"/>
        <w:snapToGrid w:val="0"/>
        <w:spacing w:line="500" w:lineRule="exact"/>
        <w:ind w:firstLineChars="200" w:firstLine="480"/>
        <w:jc w:val="left"/>
        <w:rPr>
          <w:rFonts w:ascii="Times New Roman" w:hAnsi="Times New Roman"/>
          <w:sz w:val="24"/>
          <w:szCs w:val="24"/>
        </w:rPr>
      </w:pPr>
      <w:r>
        <w:rPr>
          <w:rFonts w:ascii="Times New Roman" w:hAnsi="Times New Roman"/>
          <w:sz w:val="24"/>
          <w:szCs w:val="24"/>
        </w:rPr>
        <w:t xml:space="preserve">       C</w:t>
      </w:r>
      <w:r>
        <w:rPr>
          <w:rFonts w:ascii="Times New Roman" w:hAnsi="Times New Roman"/>
          <w:sz w:val="24"/>
          <w:szCs w:val="24"/>
        </w:rPr>
        <w:t>（</w:t>
      </w:r>
      <w:r>
        <w:rPr>
          <w:rFonts w:ascii="Times New Roman" w:hAnsi="Times New Roman"/>
          <w:sz w:val="24"/>
          <w:szCs w:val="24"/>
        </w:rPr>
        <w:t>x</w:t>
      </w:r>
      <w:r>
        <w:rPr>
          <w:rFonts w:ascii="Times New Roman" w:hAnsi="Times New Roman"/>
          <w:sz w:val="24"/>
          <w:szCs w:val="24"/>
        </w:rPr>
        <w:t>，</w:t>
      </w:r>
      <w:r>
        <w:rPr>
          <w:rFonts w:ascii="Times New Roman" w:hAnsi="Times New Roman"/>
          <w:sz w:val="24"/>
          <w:szCs w:val="24"/>
        </w:rPr>
        <w:t>t</w:t>
      </w:r>
      <w:r>
        <w:rPr>
          <w:rFonts w:ascii="Times New Roman" w:hAnsi="Times New Roman"/>
          <w:sz w:val="24"/>
          <w:szCs w:val="24"/>
        </w:rPr>
        <w:t>）</w:t>
      </w:r>
      <w:r>
        <w:rPr>
          <w:rFonts w:ascii="Times New Roman" w:hAnsi="Times New Roman"/>
          <w:sz w:val="24"/>
          <w:szCs w:val="24"/>
        </w:rPr>
        <w:t>—t</w:t>
      </w:r>
      <w:r>
        <w:rPr>
          <w:rFonts w:ascii="Times New Roman" w:hAnsi="Times New Roman"/>
          <w:sz w:val="24"/>
          <w:szCs w:val="24"/>
        </w:rPr>
        <w:t>时刻</w:t>
      </w:r>
      <w:r>
        <w:rPr>
          <w:rFonts w:ascii="Times New Roman" w:hAnsi="Times New Roman"/>
          <w:sz w:val="24"/>
          <w:szCs w:val="24"/>
        </w:rPr>
        <w:t>x</w:t>
      </w:r>
      <w:r>
        <w:rPr>
          <w:rFonts w:ascii="Times New Roman" w:hAnsi="Times New Roman"/>
          <w:sz w:val="24"/>
          <w:szCs w:val="24"/>
        </w:rPr>
        <w:t>处的示踪剂浓度，</w:t>
      </w:r>
      <w:r>
        <w:rPr>
          <w:rFonts w:ascii="Times New Roman" w:hAnsi="Times New Roman"/>
          <w:sz w:val="24"/>
          <w:szCs w:val="24"/>
        </w:rPr>
        <w:t>g/L</w:t>
      </w:r>
      <w:r>
        <w:rPr>
          <w:rFonts w:ascii="Times New Roman" w:hAnsi="Times New Roman"/>
          <w:sz w:val="24"/>
          <w:szCs w:val="24"/>
        </w:rPr>
        <w:t>；</w:t>
      </w:r>
    </w:p>
    <w:p w:rsidR="00525419" w:rsidRDefault="00EE1CF7">
      <w:pPr>
        <w:adjustRightInd w:val="0"/>
        <w:snapToGrid w:val="0"/>
        <w:spacing w:line="500" w:lineRule="exact"/>
        <w:ind w:firstLineChars="200" w:firstLine="480"/>
        <w:jc w:val="left"/>
        <w:rPr>
          <w:rFonts w:ascii="Times New Roman" w:hAnsi="Times New Roman"/>
          <w:sz w:val="24"/>
          <w:szCs w:val="24"/>
        </w:rPr>
      </w:pPr>
      <w:r>
        <w:rPr>
          <w:rFonts w:ascii="Times New Roman" w:hAnsi="Times New Roman"/>
          <w:sz w:val="24"/>
          <w:szCs w:val="24"/>
        </w:rPr>
        <w:t xml:space="preserve">       m—</w:t>
      </w:r>
      <w:r>
        <w:rPr>
          <w:rFonts w:ascii="Times New Roman" w:hAnsi="Times New Roman"/>
          <w:sz w:val="24"/>
          <w:szCs w:val="24"/>
        </w:rPr>
        <w:t>注入的示踪剂质量，</w:t>
      </w:r>
      <w:r>
        <w:rPr>
          <w:rFonts w:ascii="Times New Roman" w:hAnsi="Times New Roman"/>
          <w:sz w:val="24"/>
          <w:szCs w:val="24"/>
        </w:rPr>
        <w:t>kg</w:t>
      </w:r>
      <w:r>
        <w:rPr>
          <w:rFonts w:ascii="Times New Roman" w:hAnsi="Times New Roman"/>
          <w:sz w:val="24"/>
          <w:szCs w:val="24"/>
        </w:rPr>
        <w:t>；</w:t>
      </w:r>
    </w:p>
    <w:p w:rsidR="00525419" w:rsidRDefault="00EE1CF7">
      <w:pPr>
        <w:adjustRightInd w:val="0"/>
        <w:snapToGrid w:val="0"/>
        <w:spacing w:line="500" w:lineRule="exact"/>
        <w:ind w:firstLineChars="200" w:firstLine="480"/>
        <w:jc w:val="left"/>
        <w:rPr>
          <w:rFonts w:ascii="Times New Roman" w:hAnsi="Times New Roman"/>
          <w:sz w:val="24"/>
          <w:szCs w:val="24"/>
        </w:rPr>
      </w:pPr>
      <w:r>
        <w:rPr>
          <w:rFonts w:ascii="Times New Roman" w:hAnsi="Times New Roman"/>
          <w:sz w:val="24"/>
          <w:szCs w:val="24"/>
        </w:rPr>
        <w:t xml:space="preserve">       w—</w:t>
      </w:r>
      <w:r>
        <w:rPr>
          <w:rFonts w:ascii="Times New Roman" w:hAnsi="Times New Roman"/>
          <w:sz w:val="24"/>
          <w:szCs w:val="24"/>
        </w:rPr>
        <w:t>横截面面积，</w:t>
      </w:r>
      <w:r>
        <w:rPr>
          <w:rFonts w:ascii="Times New Roman" w:hAnsi="Times New Roman"/>
          <w:sz w:val="24"/>
          <w:szCs w:val="24"/>
        </w:rPr>
        <w:t>m</w:t>
      </w:r>
      <w:r>
        <w:rPr>
          <w:rFonts w:ascii="Times New Roman" w:hAnsi="Times New Roman"/>
          <w:sz w:val="24"/>
          <w:szCs w:val="24"/>
          <w:vertAlign w:val="superscript"/>
        </w:rPr>
        <w:t>2</w:t>
      </w:r>
      <w:r>
        <w:rPr>
          <w:rFonts w:ascii="Times New Roman" w:hAnsi="Times New Roman"/>
          <w:sz w:val="24"/>
          <w:szCs w:val="24"/>
        </w:rPr>
        <w:t>；</w:t>
      </w:r>
    </w:p>
    <w:p w:rsidR="00525419" w:rsidRDefault="00EE1CF7">
      <w:pPr>
        <w:adjustRightInd w:val="0"/>
        <w:snapToGrid w:val="0"/>
        <w:spacing w:line="500" w:lineRule="exact"/>
        <w:ind w:firstLineChars="200" w:firstLine="480"/>
        <w:jc w:val="left"/>
        <w:rPr>
          <w:rFonts w:ascii="Times New Roman" w:hAnsi="Times New Roman"/>
          <w:sz w:val="24"/>
          <w:szCs w:val="24"/>
        </w:rPr>
      </w:pPr>
      <w:r>
        <w:rPr>
          <w:rFonts w:ascii="Times New Roman" w:hAnsi="Times New Roman"/>
          <w:sz w:val="24"/>
          <w:szCs w:val="24"/>
        </w:rPr>
        <w:t xml:space="preserve">       u—</w:t>
      </w:r>
      <w:r>
        <w:rPr>
          <w:rFonts w:ascii="Times New Roman" w:hAnsi="Times New Roman"/>
          <w:sz w:val="24"/>
          <w:szCs w:val="24"/>
        </w:rPr>
        <w:t>水流速度，</w:t>
      </w:r>
      <w:r>
        <w:rPr>
          <w:rFonts w:ascii="Times New Roman" w:hAnsi="Times New Roman"/>
          <w:sz w:val="24"/>
          <w:szCs w:val="24"/>
        </w:rPr>
        <w:t>m/d</w:t>
      </w:r>
      <w:r>
        <w:rPr>
          <w:rFonts w:ascii="Times New Roman" w:hAnsi="Times New Roman"/>
          <w:sz w:val="24"/>
          <w:szCs w:val="24"/>
        </w:rPr>
        <w:t>；</w:t>
      </w:r>
    </w:p>
    <w:p w:rsidR="00525419" w:rsidRDefault="00EE1CF7">
      <w:pPr>
        <w:adjustRightInd w:val="0"/>
        <w:snapToGrid w:val="0"/>
        <w:spacing w:line="500" w:lineRule="exact"/>
        <w:ind w:firstLineChars="200" w:firstLine="480"/>
        <w:jc w:val="left"/>
        <w:rPr>
          <w:rFonts w:ascii="Times New Roman" w:hAnsi="Times New Roman"/>
          <w:sz w:val="24"/>
          <w:szCs w:val="24"/>
        </w:rPr>
      </w:pPr>
      <w:r>
        <w:rPr>
          <w:rFonts w:ascii="Times New Roman" w:hAnsi="Times New Roman"/>
          <w:sz w:val="24"/>
          <w:szCs w:val="24"/>
        </w:rPr>
        <w:t xml:space="preserve">       n—</w:t>
      </w:r>
      <w:r>
        <w:rPr>
          <w:rFonts w:ascii="Times New Roman" w:hAnsi="Times New Roman"/>
          <w:sz w:val="24"/>
          <w:szCs w:val="24"/>
        </w:rPr>
        <w:t>有效孔隙度，无量纲；</w:t>
      </w:r>
    </w:p>
    <w:p w:rsidR="00525419" w:rsidRDefault="00EE1CF7">
      <w:pPr>
        <w:adjustRightInd w:val="0"/>
        <w:snapToGrid w:val="0"/>
        <w:spacing w:line="500" w:lineRule="exact"/>
        <w:ind w:firstLineChars="200" w:firstLine="480"/>
        <w:jc w:val="left"/>
        <w:rPr>
          <w:rFonts w:ascii="Times New Roman" w:hAnsi="Times New Roman"/>
          <w:sz w:val="24"/>
          <w:szCs w:val="24"/>
        </w:rPr>
      </w:pPr>
      <w:r>
        <w:rPr>
          <w:rFonts w:ascii="Times New Roman" w:hAnsi="Times New Roman"/>
          <w:sz w:val="24"/>
          <w:szCs w:val="24"/>
        </w:rPr>
        <w:t xml:space="preserve">       D</w:t>
      </w:r>
      <w:r>
        <w:rPr>
          <w:rFonts w:ascii="Times New Roman" w:hAnsi="Times New Roman"/>
          <w:sz w:val="24"/>
          <w:szCs w:val="24"/>
          <w:vertAlign w:val="subscript"/>
        </w:rPr>
        <w:t>L</w:t>
      </w:r>
      <w:r>
        <w:rPr>
          <w:rFonts w:ascii="Times New Roman" w:hAnsi="Times New Roman"/>
          <w:sz w:val="24"/>
          <w:szCs w:val="24"/>
        </w:rPr>
        <w:t>—</w:t>
      </w:r>
      <w:r>
        <w:rPr>
          <w:rFonts w:ascii="Times New Roman" w:hAnsi="Times New Roman"/>
          <w:sz w:val="24"/>
          <w:szCs w:val="24"/>
        </w:rPr>
        <w:t>纵向弥散系数，</w:t>
      </w:r>
      <w:r>
        <w:rPr>
          <w:rFonts w:ascii="Times New Roman" w:hAnsi="Times New Roman"/>
          <w:sz w:val="24"/>
          <w:szCs w:val="24"/>
        </w:rPr>
        <w:t>m</w:t>
      </w:r>
      <w:r>
        <w:rPr>
          <w:rFonts w:ascii="Times New Roman" w:hAnsi="Times New Roman"/>
          <w:sz w:val="24"/>
          <w:szCs w:val="24"/>
          <w:vertAlign w:val="superscript"/>
        </w:rPr>
        <w:t>2</w:t>
      </w:r>
      <w:r>
        <w:rPr>
          <w:rFonts w:ascii="Times New Roman" w:hAnsi="Times New Roman"/>
          <w:sz w:val="24"/>
          <w:szCs w:val="24"/>
        </w:rPr>
        <w:t>/d</w:t>
      </w:r>
      <w:r>
        <w:rPr>
          <w:rFonts w:ascii="Times New Roman" w:hAnsi="Times New Roman"/>
          <w:sz w:val="24"/>
          <w:szCs w:val="24"/>
        </w:rPr>
        <w:t>；</w:t>
      </w:r>
    </w:p>
    <w:p w:rsidR="00525419" w:rsidRDefault="00EE1CF7">
      <w:pPr>
        <w:adjustRightInd w:val="0"/>
        <w:snapToGrid w:val="0"/>
        <w:spacing w:line="500" w:lineRule="exact"/>
        <w:ind w:firstLineChars="200" w:firstLine="480"/>
        <w:jc w:val="left"/>
        <w:rPr>
          <w:rFonts w:ascii="Times New Roman" w:hAnsi="Times New Roman"/>
          <w:sz w:val="24"/>
          <w:szCs w:val="24"/>
        </w:rPr>
      </w:pPr>
      <w:r>
        <w:rPr>
          <w:rFonts w:ascii="Times New Roman" w:hAnsi="Times New Roman"/>
          <w:sz w:val="24"/>
          <w:szCs w:val="24"/>
        </w:rPr>
        <w:t xml:space="preserve">       π—</w:t>
      </w:r>
      <w:r>
        <w:rPr>
          <w:rFonts w:ascii="Times New Roman" w:hAnsi="Times New Roman"/>
          <w:sz w:val="24"/>
          <w:szCs w:val="24"/>
        </w:rPr>
        <w:t>圆周率。</w:t>
      </w:r>
    </w:p>
    <w:p w:rsidR="00525419" w:rsidRDefault="00EE1CF7">
      <w:pPr>
        <w:adjustRightInd w:val="0"/>
        <w:snapToGrid w:val="0"/>
        <w:spacing w:line="500" w:lineRule="exact"/>
        <w:ind w:firstLineChars="200" w:firstLine="480"/>
        <w:jc w:val="left"/>
        <w:rPr>
          <w:rFonts w:ascii="Times New Roman" w:hAnsi="Times New Roman"/>
          <w:sz w:val="24"/>
          <w:szCs w:val="24"/>
        </w:rPr>
      </w:pPr>
      <w:r>
        <w:rPr>
          <w:rFonts w:ascii="Times New Roman" w:hAnsi="Times New Roman"/>
          <w:sz w:val="24"/>
          <w:szCs w:val="24"/>
        </w:rPr>
        <w:t>模型中所需参数及来源见表</w:t>
      </w:r>
      <w:r>
        <w:rPr>
          <w:rFonts w:ascii="Times New Roman" w:hAnsi="Times New Roman"/>
          <w:sz w:val="24"/>
          <w:szCs w:val="24"/>
        </w:rPr>
        <w:t>5.2-3</w:t>
      </w:r>
      <w:r>
        <w:rPr>
          <w:rFonts w:ascii="Times New Roman" w:hAnsi="Times New Roman"/>
          <w:sz w:val="24"/>
          <w:szCs w:val="24"/>
        </w:rPr>
        <w:t>。</w:t>
      </w:r>
    </w:p>
    <w:p w:rsidR="00525419" w:rsidRDefault="00EE1CF7">
      <w:pPr>
        <w:spacing w:line="520" w:lineRule="exact"/>
        <w:ind w:firstLineChars="200" w:firstLine="422"/>
        <w:jc w:val="center"/>
        <w:rPr>
          <w:rFonts w:ascii="Times New Roman" w:hAnsi="Times New Roman"/>
          <w:b/>
          <w:bCs/>
          <w:szCs w:val="21"/>
        </w:rPr>
      </w:pPr>
      <w:r>
        <w:rPr>
          <w:rFonts w:ascii="Times New Roman" w:hAnsi="Times New Roman"/>
          <w:b/>
          <w:bCs/>
          <w:szCs w:val="21"/>
        </w:rPr>
        <w:t>表</w:t>
      </w:r>
      <w:r>
        <w:rPr>
          <w:rFonts w:ascii="Times New Roman" w:hAnsi="Times New Roman"/>
          <w:b/>
          <w:bCs/>
          <w:szCs w:val="21"/>
        </w:rPr>
        <w:t xml:space="preserve">5.2-3   </w:t>
      </w:r>
      <w:r>
        <w:rPr>
          <w:rFonts w:ascii="Times New Roman" w:hAnsi="Times New Roman"/>
          <w:b/>
          <w:bCs/>
          <w:szCs w:val="21"/>
        </w:rPr>
        <w:t>模型所需参数一览表</w:t>
      </w:r>
    </w:p>
    <w:tbl>
      <w:tblPr>
        <w:tblW w:w="8513"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73"/>
        <w:gridCol w:w="925"/>
        <w:gridCol w:w="2401"/>
        <w:gridCol w:w="1134"/>
        <w:gridCol w:w="3380"/>
      </w:tblGrid>
      <w:tr w:rsidR="00525419">
        <w:trPr>
          <w:trHeight w:val="340"/>
          <w:jc w:val="center"/>
        </w:trPr>
        <w:tc>
          <w:tcPr>
            <w:tcW w:w="673" w:type="dxa"/>
            <w:tcBorders>
              <w:tl2br w:val="nil"/>
              <w:tr2bl w:val="nil"/>
            </w:tcBorders>
            <w:vAlign w:val="center"/>
          </w:tcPr>
          <w:p w:rsidR="00525419" w:rsidRDefault="00EE1CF7">
            <w:pPr>
              <w:adjustRightInd w:val="0"/>
              <w:snapToGrid w:val="0"/>
              <w:spacing w:line="300" w:lineRule="exact"/>
              <w:jc w:val="center"/>
              <w:rPr>
                <w:rFonts w:ascii="Times New Roman" w:hAnsi="Times New Roman"/>
                <w:szCs w:val="21"/>
              </w:rPr>
            </w:pPr>
            <w:r>
              <w:rPr>
                <w:rFonts w:ascii="Times New Roman" w:hAnsi="Times New Roman"/>
                <w:szCs w:val="21"/>
              </w:rPr>
              <w:t>序号</w:t>
            </w:r>
          </w:p>
        </w:tc>
        <w:tc>
          <w:tcPr>
            <w:tcW w:w="925" w:type="dxa"/>
            <w:tcBorders>
              <w:tl2br w:val="nil"/>
              <w:tr2bl w:val="nil"/>
            </w:tcBorders>
            <w:vAlign w:val="center"/>
          </w:tcPr>
          <w:p w:rsidR="00525419" w:rsidRDefault="00EE1CF7">
            <w:pPr>
              <w:widowControl/>
              <w:adjustRightInd w:val="0"/>
              <w:snapToGrid w:val="0"/>
              <w:spacing w:line="300" w:lineRule="exact"/>
              <w:jc w:val="center"/>
              <w:rPr>
                <w:rFonts w:ascii="Times New Roman" w:hAnsi="Times New Roman"/>
                <w:szCs w:val="21"/>
              </w:rPr>
            </w:pPr>
            <w:r>
              <w:rPr>
                <w:rFonts w:ascii="Times New Roman" w:hAnsi="Times New Roman"/>
                <w:szCs w:val="21"/>
              </w:rPr>
              <w:t>参数符号</w:t>
            </w:r>
          </w:p>
        </w:tc>
        <w:tc>
          <w:tcPr>
            <w:tcW w:w="2401" w:type="dxa"/>
            <w:tcBorders>
              <w:tl2br w:val="nil"/>
              <w:tr2bl w:val="nil"/>
            </w:tcBorders>
            <w:vAlign w:val="center"/>
          </w:tcPr>
          <w:p w:rsidR="00525419" w:rsidRDefault="00EE1CF7">
            <w:pPr>
              <w:widowControl/>
              <w:adjustRightInd w:val="0"/>
              <w:snapToGrid w:val="0"/>
              <w:spacing w:line="300" w:lineRule="exact"/>
              <w:jc w:val="center"/>
              <w:rPr>
                <w:rFonts w:ascii="Times New Roman" w:hAnsi="Times New Roman"/>
                <w:szCs w:val="21"/>
              </w:rPr>
            </w:pPr>
            <w:r>
              <w:rPr>
                <w:rFonts w:ascii="Times New Roman" w:hAnsi="Times New Roman"/>
                <w:szCs w:val="21"/>
              </w:rPr>
              <w:t>参数名称</w:t>
            </w:r>
          </w:p>
        </w:tc>
        <w:tc>
          <w:tcPr>
            <w:tcW w:w="1134" w:type="dxa"/>
            <w:tcBorders>
              <w:tl2br w:val="nil"/>
              <w:tr2bl w:val="nil"/>
            </w:tcBorders>
            <w:vAlign w:val="center"/>
          </w:tcPr>
          <w:p w:rsidR="00525419" w:rsidRDefault="00EE1CF7">
            <w:pPr>
              <w:widowControl/>
              <w:adjustRightInd w:val="0"/>
              <w:snapToGrid w:val="0"/>
              <w:spacing w:line="300" w:lineRule="exact"/>
              <w:jc w:val="center"/>
              <w:rPr>
                <w:rFonts w:ascii="Times New Roman" w:hAnsi="Times New Roman"/>
                <w:szCs w:val="21"/>
              </w:rPr>
            </w:pPr>
            <w:r>
              <w:rPr>
                <w:rFonts w:ascii="Times New Roman" w:hAnsi="Times New Roman"/>
                <w:szCs w:val="21"/>
              </w:rPr>
              <w:t>参数数值</w:t>
            </w:r>
          </w:p>
        </w:tc>
        <w:tc>
          <w:tcPr>
            <w:tcW w:w="3380" w:type="dxa"/>
            <w:tcBorders>
              <w:tl2br w:val="nil"/>
              <w:tr2bl w:val="nil"/>
            </w:tcBorders>
            <w:vAlign w:val="center"/>
          </w:tcPr>
          <w:p w:rsidR="00525419" w:rsidRDefault="00EE1CF7">
            <w:pPr>
              <w:widowControl/>
              <w:adjustRightInd w:val="0"/>
              <w:snapToGrid w:val="0"/>
              <w:spacing w:line="300" w:lineRule="exact"/>
              <w:jc w:val="center"/>
              <w:rPr>
                <w:rFonts w:ascii="Times New Roman" w:hAnsi="Times New Roman"/>
                <w:szCs w:val="21"/>
              </w:rPr>
            </w:pPr>
            <w:r>
              <w:rPr>
                <w:rFonts w:ascii="Times New Roman" w:hAnsi="Times New Roman"/>
                <w:szCs w:val="21"/>
              </w:rPr>
              <w:t>数值来源</w:t>
            </w:r>
          </w:p>
        </w:tc>
      </w:tr>
      <w:tr w:rsidR="00525419">
        <w:trPr>
          <w:trHeight w:val="340"/>
          <w:jc w:val="center"/>
        </w:trPr>
        <w:tc>
          <w:tcPr>
            <w:tcW w:w="673" w:type="dxa"/>
            <w:tcBorders>
              <w:tl2br w:val="nil"/>
              <w:tr2bl w:val="nil"/>
            </w:tcBorders>
            <w:vAlign w:val="center"/>
          </w:tcPr>
          <w:p w:rsidR="00525419" w:rsidRDefault="00EE1CF7">
            <w:pPr>
              <w:widowControl/>
              <w:adjustRightInd w:val="0"/>
              <w:snapToGrid w:val="0"/>
              <w:spacing w:line="300" w:lineRule="exact"/>
              <w:jc w:val="center"/>
              <w:rPr>
                <w:rFonts w:ascii="Times New Roman" w:hAnsi="Times New Roman"/>
                <w:szCs w:val="21"/>
              </w:rPr>
            </w:pPr>
            <w:r>
              <w:rPr>
                <w:rFonts w:ascii="Times New Roman" w:hAnsi="Times New Roman"/>
                <w:szCs w:val="21"/>
              </w:rPr>
              <w:t>1</w:t>
            </w:r>
          </w:p>
        </w:tc>
        <w:tc>
          <w:tcPr>
            <w:tcW w:w="925" w:type="dxa"/>
            <w:tcBorders>
              <w:tl2br w:val="nil"/>
              <w:tr2bl w:val="nil"/>
            </w:tcBorders>
            <w:vAlign w:val="center"/>
          </w:tcPr>
          <w:p w:rsidR="00525419" w:rsidRDefault="00EE1CF7">
            <w:pPr>
              <w:widowControl/>
              <w:adjustRightInd w:val="0"/>
              <w:snapToGrid w:val="0"/>
              <w:spacing w:line="300" w:lineRule="exact"/>
              <w:jc w:val="center"/>
              <w:rPr>
                <w:rFonts w:ascii="Times New Roman" w:hAnsi="Times New Roman"/>
                <w:szCs w:val="21"/>
              </w:rPr>
            </w:pPr>
            <w:r>
              <w:rPr>
                <w:rFonts w:ascii="Times New Roman" w:hAnsi="Times New Roman"/>
                <w:szCs w:val="21"/>
              </w:rPr>
              <w:t>m</w:t>
            </w:r>
          </w:p>
        </w:tc>
        <w:tc>
          <w:tcPr>
            <w:tcW w:w="2401" w:type="dxa"/>
            <w:tcBorders>
              <w:tl2br w:val="nil"/>
              <w:tr2bl w:val="nil"/>
            </w:tcBorders>
            <w:vAlign w:val="center"/>
          </w:tcPr>
          <w:p w:rsidR="00525419" w:rsidRDefault="00EE1CF7">
            <w:pPr>
              <w:widowControl/>
              <w:adjustRightInd w:val="0"/>
              <w:snapToGrid w:val="0"/>
              <w:spacing w:line="300" w:lineRule="exact"/>
              <w:jc w:val="center"/>
              <w:rPr>
                <w:rFonts w:ascii="Times New Roman" w:hAnsi="Times New Roman"/>
                <w:szCs w:val="21"/>
              </w:rPr>
            </w:pPr>
            <w:r>
              <w:rPr>
                <w:rFonts w:ascii="Times New Roman" w:hAnsi="Times New Roman"/>
                <w:szCs w:val="21"/>
              </w:rPr>
              <w:t>罐底部泄漏污染物质量</w:t>
            </w:r>
          </w:p>
        </w:tc>
        <w:tc>
          <w:tcPr>
            <w:tcW w:w="1134" w:type="dxa"/>
            <w:tcBorders>
              <w:tl2br w:val="nil"/>
              <w:tr2bl w:val="nil"/>
            </w:tcBorders>
            <w:vAlign w:val="center"/>
          </w:tcPr>
          <w:p w:rsidR="00525419" w:rsidRDefault="00EE1CF7">
            <w:pPr>
              <w:widowControl/>
              <w:adjustRightInd w:val="0"/>
              <w:snapToGrid w:val="0"/>
              <w:spacing w:line="300" w:lineRule="exact"/>
              <w:jc w:val="center"/>
              <w:rPr>
                <w:rFonts w:ascii="Times New Roman" w:hAnsi="Times New Roman"/>
                <w:szCs w:val="21"/>
              </w:rPr>
            </w:pPr>
            <w:r>
              <w:rPr>
                <w:rFonts w:ascii="Times New Roman" w:hAnsi="Times New Roman"/>
                <w:szCs w:val="21"/>
              </w:rPr>
              <w:t>720kg</w:t>
            </w:r>
          </w:p>
        </w:tc>
        <w:tc>
          <w:tcPr>
            <w:tcW w:w="3380" w:type="dxa"/>
            <w:tcBorders>
              <w:tl2br w:val="nil"/>
              <w:tr2bl w:val="nil"/>
            </w:tcBorders>
            <w:vAlign w:val="center"/>
          </w:tcPr>
          <w:p w:rsidR="00525419" w:rsidRDefault="00EE1CF7">
            <w:pPr>
              <w:widowControl/>
              <w:adjustRightInd w:val="0"/>
              <w:snapToGrid w:val="0"/>
              <w:spacing w:line="300" w:lineRule="exact"/>
              <w:jc w:val="center"/>
              <w:rPr>
                <w:rFonts w:ascii="Times New Roman" w:hAnsi="Times New Roman"/>
                <w:szCs w:val="21"/>
              </w:rPr>
            </w:pPr>
            <w:r>
              <w:rPr>
                <w:rFonts w:ascii="Times New Roman" w:hAnsi="Times New Roman"/>
                <w:szCs w:val="21"/>
              </w:rPr>
              <w:t>/</w:t>
            </w:r>
          </w:p>
        </w:tc>
      </w:tr>
      <w:tr w:rsidR="00525419">
        <w:trPr>
          <w:trHeight w:val="340"/>
          <w:jc w:val="center"/>
        </w:trPr>
        <w:tc>
          <w:tcPr>
            <w:tcW w:w="673" w:type="dxa"/>
            <w:tcBorders>
              <w:tl2br w:val="nil"/>
              <w:tr2bl w:val="nil"/>
            </w:tcBorders>
            <w:vAlign w:val="center"/>
          </w:tcPr>
          <w:p w:rsidR="00525419" w:rsidRDefault="00EE1CF7">
            <w:pPr>
              <w:widowControl/>
              <w:adjustRightInd w:val="0"/>
              <w:snapToGrid w:val="0"/>
              <w:spacing w:line="300" w:lineRule="exact"/>
              <w:jc w:val="center"/>
              <w:rPr>
                <w:rFonts w:ascii="Times New Roman" w:hAnsi="Times New Roman"/>
                <w:szCs w:val="21"/>
              </w:rPr>
            </w:pPr>
            <w:r>
              <w:rPr>
                <w:rFonts w:ascii="Times New Roman" w:hAnsi="Times New Roman"/>
                <w:szCs w:val="21"/>
              </w:rPr>
              <w:t>2</w:t>
            </w:r>
          </w:p>
        </w:tc>
        <w:tc>
          <w:tcPr>
            <w:tcW w:w="925" w:type="dxa"/>
            <w:tcBorders>
              <w:tl2br w:val="nil"/>
              <w:tr2bl w:val="nil"/>
            </w:tcBorders>
            <w:vAlign w:val="center"/>
          </w:tcPr>
          <w:p w:rsidR="00525419" w:rsidRDefault="00EE1CF7">
            <w:pPr>
              <w:widowControl/>
              <w:adjustRightInd w:val="0"/>
              <w:snapToGrid w:val="0"/>
              <w:spacing w:line="300" w:lineRule="exact"/>
              <w:jc w:val="center"/>
              <w:rPr>
                <w:rFonts w:ascii="Times New Roman" w:hAnsi="Times New Roman"/>
                <w:szCs w:val="21"/>
              </w:rPr>
            </w:pPr>
            <w:r>
              <w:rPr>
                <w:rFonts w:ascii="Times New Roman" w:hAnsi="Times New Roman"/>
                <w:szCs w:val="21"/>
              </w:rPr>
              <w:t>u</w:t>
            </w:r>
          </w:p>
        </w:tc>
        <w:tc>
          <w:tcPr>
            <w:tcW w:w="2401" w:type="dxa"/>
            <w:tcBorders>
              <w:tl2br w:val="nil"/>
              <w:tr2bl w:val="nil"/>
            </w:tcBorders>
            <w:vAlign w:val="center"/>
          </w:tcPr>
          <w:p w:rsidR="00525419" w:rsidRDefault="00EE1CF7">
            <w:pPr>
              <w:widowControl/>
              <w:adjustRightInd w:val="0"/>
              <w:snapToGrid w:val="0"/>
              <w:spacing w:line="300" w:lineRule="exact"/>
              <w:jc w:val="center"/>
              <w:rPr>
                <w:rFonts w:ascii="Times New Roman" w:hAnsi="Times New Roman"/>
                <w:szCs w:val="21"/>
              </w:rPr>
            </w:pPr>
            <w:r>
              <w:rPr>
                <w:rFonts w:ascii="Times New Roman" w:hAnsi="Times New Roman"/>
                <w:szCs w:val="21"/>
              </w:rPr>
              <w:t>水流速度</w:t>
            </w:r>
          </w:p>
        </w:tc>
        <w:tc>
          <w:tcPr>
            <w:tcW w:w="1134" w:type="dxa"/>
            <w:tcBorders>
              <w:tl2br w:val="nil"/>
              <w:tr2bl w:val="nil"/>
            </w:tcBorders>
            <w:vAlign w:val="center"/>
          </w:tcPr>
          <w:p w:rsidR="00525419" w:rsidRDefault="00EE1CF7">
            <w:pPr>
              <w:widowControl/>
              <w:adjustRightInd w:val="0"/>
              <w:snapToGrid w:val="0"/>
              <w:spacing w:line="300" w:lineRule="exact"/>
              <w:jc w:val="center"/>
              <w:rPr>
                <w:rFonts w:ascii="Times New Roman" w:hAnsi="Times New Roman"/>
                <w:szCs w:val="21"/>
              </w:rPr>
            </w:pPr>
            <w:r>
              <w:rPr>
                <w:rFonts w:ascii="Times New Roman" w:hAnsi="Times New Roman"/>
                <w:szCs w:val="21"/>
              </w:rPr>
              <w:t>0.22m/d</w:t>
            </w:r>
          </w:p>
        </w:tc>
        <w:tc>
          <w:tcPr>
            <w:tcW w:w="3380" w:type="dxa"/>
            <w:tcBorders>
              <w:tl2br w:val="nil"/>
              <w:tr2bl w:val="nil"/>
            </w:tcBorders>
            <w:vAlign w:val="center"/>
          </w:tcPr>
          <w:p w:rsidR="00525419" w:rsidRDefault="00EE1CF7">
            <w:pPr>
              <w:adjustRightInd w:val="0"/>
              <w:snapToGrid w:val="0"/>
              <w:spacing w:line="300" w:lineRule="exact"/>
              <w:jc w:val="center"/>
              <w:rPr>
                <w:rFonts w:ascii="Times New Roman" w:hAnsi="Times New Roman"/>
                <w:szCs w:val="21"/>
              </w:rPr>
            </w:pPr>
            <w:r>
              <w:rPr>
                <w:rFonts w:ascii="Times New Roman" w:hAnsi="Times New Roman"/>
                <w:szCs w:val="21"/>
              </w:rPr>
              <w:t>本区含水层渗透系数</w:t>
            </w:r>
            <w:r>
              <w:rPr>
                <w:rFonts w:ascii="Times New Roman" w:hAnsi="Times New Roman"/>
                <w:szCs w:val="21"/>
              </w:rPr>
              <w:t>K=1.6m/d</w:t>
            </w:r>
            <w:r>
              <w:rPr>
                <w:rFonts w:ascii="Times New Roman" w:hAnsi="Times New Roman"/>
                <w:szCs w:val="21"/>
              </w:rPr>
              <w:t>，</w:t>
            </w:r>
            <w:r>
              <w:rPr>
                <w:rFonts w:ascii="Times New Roman" w:hAnsi="Times New Roman"/>
                <w:szCs w:val="21"/>
              </w:rPr>
              <w:t>I</w:t>
            </w:r>
            <w:r>
              <w:rPr>
                <w:rFonts w:ascii="Times New Roman" w:hAnsi="Times New Roman"/>
                <w:szCs w:val="21"/>
              </w:rPr>
              <w:t>为</w:t>
            </w:r>
            <w:r>
              <w:rPr>
                <w:rFonts w:ascii="Times New Roman" w:hAnsi="Times New Roman"/>
                <w:szCs w:val="21"/>
              </w:rPr>
              <w:t>0.02</w:t>
            </w:r>
            <w:r>
              <w:rPr>
                <w:rFonts w:ascii="Times New Roman" w:hAnsi="Times New Roman"/>
                <w:szCs w:val="21"/>
              </w:rPr>
              <w:t>，</w:t>
            </w:r>
            <w:r>
              <w:rPr>
                <w:rFonts w:ascii="Times New Roman" w:hAnsi="Times New Roman"/>
                <w:szCs w:val="21"/>
              </w:rPr>
              <w:t>n=0.14;u=kI/n=0.22</w:t>
            </w:r>
          </w:p>
        </w:tc>
      </w:tr>
      <w:tr w:rsidR="00525419">
        <w:trPr>
          <w:trHeight w:val="340"/>
          <w:jc w:val="center"/>
        </w:trPr>
        <w:tc>
          <w:tcPr>
            <w:tcW w:w="673" w:type="dxa"/>
            <w:tcBorders>
              <w:tl2br w:val="nil"/>
              <w:tr2bl w:val="nil"/>
            </w:tcBorders>
            <w:vAlign w:val="center"/>
          </w:tcPr>
          <w:p w:rsidR="00525419" w:rsidRDefault="00EE1CF7">
            <w:pPr>
              <w:widowControl/>
              <w:adjustRightInd w:val="0"/>
              <w:snapToGrid w:val="0"/>
              <w:spacing w:line="300" w:lineRule="exact"/>
              <w:jc w:val="center"/>
              <w:rPr>
                <w:rFonts w:ascii="Times New Roman" w:hAnsi="Times New Roman"/>
                <w:szCs w:val="21"/>
              </w:rPr>
            </w:pPr>
            <w:r>
              <w:rPr>
                <w:rFonts w:ascii="Times New Roman" w:hAnsi="Times New Roman"/>
                <w:szCs w:val="21"/>
              </w:rPr>
              <w:t>3</w:t>
            </w:r>
          </w:p>
        </w:tc>
        <w:tc>
          <w:tcPr>
            <w:tcW w:w="925" w:type="dxa"/>
            <w:tcBorders>
              <w:tl2br w:val="nil"/>
              <w:tr2bl w:val="nil"/>
            </w:tcBorders>
            <w:vAlign w:val="center"/>
          </w:tcPr>
          <w:p w:rsidR="00525419" w:rsidRDefault="00EE1CF7">
            <w:pPr>
              <w:widowControl/>
              <w:adjustRightInd w:val="0"/>
              <w:snapToGrid w:val="0"/>
              <w:spacing w:line="300" w:lineRule="exact"/>
              <w:jc w:val="center"/>
              <w:rPr>
                <w:rFonts w:ascii="Times New Roman" w:hAnsi="Times New Roman"/>
                <w:szCs w:val="21"/>
              </w:rPr>
            </w:pPr>
            <w:r>
              <w:rPr>
                <w:rFonts w:ascii="Times New Roman" w:hAnsi="Times New Roman"/>
                <w:szCs w:val="21"/>
              </w:rPr>
              <w:t>D</w:t>
            </w:r>
            <w:r>
              <w:rPr>
                <w:rFonts w:ascii="Times New Roman" w:hAnsi="Times New Roman"/>
                <w:szCs w:val="21"/>
                <w:vertAlign w:val="subscript"/>
              </w:rPr>
              <w:t>L</w:t>
            </w:r>
          </w:p>
        </w:tc>
        <w:tc>
          <w:tcPr>
            <w:tcW w:w="2401" w:type="dxa"/>
            <w:tcBorders>
              <w:tl2br w:val="nil"/>
              <w:tr2bl w:val="nil"/>
            </w:tcBorders>
            <w:vAlign w:val="center"/>
          </w:tcPr>
          <w:p w:rsidR="00525419" w:rsidRDefault="00EE1CF7">
            <w:pPr>
              <w:widowControl/>
              <w:adjustRightInd w:val="0"/>
              <w:snapToGrid w:val="0"/>
              <w:spacing w:line="300" w:lineRule="exact"/>
              <w:jc w:val="center"/>
              <w:rPr>
                <w:rFonts w:ascii="Times New Roman" w:hAnsi="Times New Roman"/>
                <w:szCs w:val="21"/>
              </w:rPr>
            </w:pPr>
            <w:r>
              <w:rPr>
                <w:rFonts w:ascii="Times New Roman" w:hAnsi="Times New Roman"/>
                <w:szCs w:val="21"/>
              </w:rPr>
              <w:t>纵向弥散系数</w:t>
            </w:r>
          </w:p>
        </w:tc>
        <w:tc>
          <w:tcPr>
            <w:tcW w:w="1134" w:type="dxa"/>
            <w:tcBorders>
              <w:tl2br w:val="nil"/>
              <w:tr2bl w:val="nil"/>
            </w:tcBorders>
            <w:vAlign w:val="center"/>
          </w:tcPr>
          <w:p w:rsidR="00525419" w:rsidRDefault="00EE1CF7">
            <w:pPr>
              <w:widowControl/>
              <w:adjustRightInd w:val="0"/>
              <w:snapToGrid w:val="0"/>
              <w:spacing w:line="300" w:lineRule="exact"/>
              <w:jc w:val="center"/>
              <w:rPr>
                <w:rFonts w:ascii="Times New Roman" w:hAnsi="Times New Roman"/>
                <w:szCs w:val="21"/>
              </w:rPr>
            </w:pPr>
            <w:r>
              <w:rPr>
                <w:rFonts w:ascii="Times New Roman" w:hAnsi="Times New Roman"/>
                <w:szCs w:val="21"/>
              </w:rPr>
              <w:t>1.1</w:t>
            </w:r>
            <w:r>
              <w:rPr>
                <w:rFonts w:ascii="Times New Roman" w:hAnsi="Times New Roman"/>
                <w:spacing w:val="-2"/>
                <w:kern w:val="0"/>
                <w:szCs w:val="21"/>
              </w:rPr>
              <w:t>m</w:t>
            </w:r>
            <w:r>
              <w:rPr>
                <w:rFonts w:ascii="Times New Roman" w:hAnsi="Times New Roman"/>
                <w:spacing w:val="-2"/>
                <w:kern w:val="0"/>
                <w:szCs w:val="21"/>
                <w:vertAlign w:val="superscript"/>
              </w:rPr>
              <w:t>2</w:t>
            </w:r>
            <w:r>
              <w:rPr>
                <w:rFonts w:ascii="Times New Roman" w:hAnsi="Times New Roman"/>
                <w:kern w:val="0"/>
                <w:szCs w:val="21"/>
              </w:rPr>
              <w:t>/d</w:t>
            </w:r>
          </w:p>
        </w:tc>
        <w:tc>
          <w:tcPr>
            <w:tcW w:w="3380" w:type="dxa"/>
            <w:tcBorders>
              <w:tl2br w:val="nil"/>
              <w:tr2bl w:val="nil"/>
            </w:tcBorders>
            <w:vAlign w:val="center"/>
          </w:tcPr>
          <w:p w:rsidR="00525419" w:rsidRDefault="00EE1CF7">
            <w:pPr>
              <w:adjustRightInd w:val="0"/>
              <w:snapToGrid w:val="0"/>
              <w:spacing w:line="300" w:lineRule="exact"/>
              <w:jc w:val="center"/>
              <w:rPr>
                <w:rFonts w:ascii="Times New Roman" w:hAnsi="Times New Roman"/>
                <w:szCs w:val="21"/>
              </w:rPr>
            </w:pPr>
            <w:r>
              <w:rPr>
                <w:rFonts w:ascii="Times New Roman" w:hAnsi="Times New Roman"/>
                <w:szCs w:val="21"/>
              </w:rPr>
              <w:t>D</w:t>
            </w:r>
            <w:r>
              <w:rPr>
                <w:rFonts w:ascii="Times New Roman" w:hAnsi="Times New Roman"/>
                <w:szCs w:val="21"/>
                <w:vertAlign w:val="subscript"/>
              </w:rPr>
              <w:t>L</w:t>
            </w:r>
            <w:r>
              <w:rPr>
                <w:rFonts w:ascii="Times New Roman" w:hAnsi="Times New Roman"/>
                <w:szCs w:val="21"/>
              </w:rPr>
              <w:t>=a</w:t>
            </w:r>
            <w:r>
              <w:rPr>
                <w:rFonts w:ascii="Times New Roman" w:hAnsi="Times New Roman"/>
                <w:szCs w:val="21"/>
                <w:vertAlign w:val="subscript"/>
              </w:rPr>
              <w:t>L</w:t>
            </w:r>
            <w:r>
              <w:rPr>
                <w:rFonts w:ascii="Times New Roman" w:hAnsi="Times New Roman"/>
                <w:szCs w:val="21"/>
              </w:rPr>
              <w:t>u</w:t>
            </w:r>
            <w:r>
              <w:rPr>
                <w:rFonts w:ascii="Times New Roman" w:hAnsi="Times New Roman"/>
                <w:szCs w:val="21"/>
              </w:rPr>
              <w:t>，</w:t>
            </w:r>
            <w:r>
              <w:rPr>
                <w:rFonts w:ascii="Times New Roman" w:hAnsi="Times New Roman"/>
                <w:szCs w:val="21"/>
              </w:rPr>
              <w:t>a</w:t>
            </w:r>
            <w:r>
              <w:rPr>
                <w:rFonts w:ascii="Times New Roman" w:hAnsi="Times New Roman"/>
                <w:szCs w:val="21"/>
                <w:vertAlign w:val="subscript"/>
              </w:rPr>
              <w:t>L</w:t>
            </w:r>
            <w:r>
              <w:rPr>
                <w:rFonts w:ascii="Times New Roman" w:hAnsi="Times New Roman"/>
                <w:szCs w:val="21"/>
              </w:rPr>
              <w:t>为纵向弥散度，取值为</w:t>
            </w:r>
            <w:r>
              <w:rPr>
                <w:rFonts w:ascii="Times New Roman" w:hAnsi="Times New Roman"/>
                <w:szCs w:val="21"/>
              </w:rPr>
              <w:t>5</w:t>
            </w:r>
          </w:p>
        </w:tc>
      </w:tr>
      <w:tr w:rsidR="00525419">
        <w:trPr>
          <w:trHeight w:val="340"/>
          <w:jc w:val="center"/>
        </w:trPr>
        <w:tc>
          <w:tcPr>
            <w:tcW w:w="673" w:type="dxa"/>
            <w:tcBorders>
              <w:tl2br w:val="nil"/>
              <w:tr2bl w:val="nil"/>
            </w:tcBorders>
            <w:vAlign w:val="center"/>
          </w:tcPr>
          <w:p w:rsidR="00525419" w:rsidRDefault="00EE1CF7">
            <w:pPr>
              <w:widowControl/>
              <w:adjustRightInd w:val="0"/>
              <w:snapToGrid w:val="0"/>
              <w:spacing w:line="300" w:lineRule="exact"/>
              <w:jc w:val="center"/>
              <w:rPr>
                <w:rFonts w:ascii="Times New Roman" w:hAnsi="Times New Roman"/>
                <w:szCs w:val="21"/>
              </w:rPr>
            </w:pPr>
            <w:r>
              <w:rPr>
                <w:rFonts w:ascii="Times New Roman" w:hAnsi="Times New Roman"/>
                <w:szCs w:val="21"/>
              </w:rPr>
              <w:t>4</w:t>
            </w:r>
          </w:p>
        </w:tc>
        <w:tc>
          <w:tcPr>
            <w:tcW w:w="925" w:type="dxa"/>
            <w:tcBorders>
              <w:tl2br w:val="nil"/>
              <w:tr2bl w:val="nil"/>
            </w:tcBorders>
            <w:vAlign w:val="center"/>
          </w:tcPr>
          <w:p w:rsidR="00525419" w:rsidRDefault="00EE1CF7">
            <w:pPr>
              <w:widowControl/>
              <w:adjustRightInd w:val="0"/>
              <w:snapToGrid w:val="0"/>
              <w:spacing w:line="300" w:lineRule="exact"/>
              <w:jc w:val="center"/>
              <w:rPr>
                <w:rFonts w:ascii="Times New Roman" w:hAnsi="Times New Roman"/>
                <w:szCs w:val="21"/>
              </w:rPr>
            </w:pPr>
            <w:r>
              <w:rPr>
                <w:rFonts w:ascii="Times New Roman" w:hAnsi="Times New Roman"/>
                <w:kern w:val="0"/>
                <w:position w:val="-1"/>
                <w:szCs w:val="21"/>
              </w:rPr>
              <w:t>n</w:t>
            </w:r>
          </w:p>
        </w:tc>
        <w:tc>
          <w:tcPr>
            <w:tcW w:w="2401" w:type="dxa"/>
            <w:tcBorders>
              <w:tl2br w:val="nil"/>
              <w:tr2bl w:val="nil"/>
            </w:tcBorders>
            <w:vAlign w:val="center"/>
          </w:tcPr>
          <w:p w:rsidR="00525419" w:rsidRDefault="00EE1CF7">
            <w:pPr>
              <w:widowControl/>
              <w:adjustRightInd w:val="0"/>
              <w:snapToGrid w:val="0"/>
              <w:spacing w:line="300" w:lineRule="exact"/>
              <w:jc w:val="center"/>
              <w:rPr>
                <w:rFonts w:ascii="Times New Roman" w:hAnsi="Times New Roman"/>
                <w:szCs w:val="21"/>
              </w:rPr>
            </w:pPr>
            <w:r>
              <w:rPr>
                <w:rFonts w:ascii="Times New Roman" w:hAnsi="Times New Roman"/>
                <w:szCs w:val="21"/>
              </w:rPr>
              <w:t>有效孔隙度</w:t>
            </w:r>
          </w:p>
        </w:tc>
        <w:tc>
          <w:tcPr>
            <w:tcW w:w="1134" w:type="dxa"/>
            <w:tcBorders>
              <w:tl2br w:val="nil"/>
              <w:tr2bl w:val="nil"/>
            </w:tcBorders>
            <w:vAlign w:val="center"/>
          </w:tcPr>
          <w:p w:rsidR="00525419" w:rsidRDefault="00EE1CF7">
            <w:pPr>
              <w:widowControl/>
              <w:adjustRightInd w:val="0"/>
              <w:snapToGrid w:val="0"/>
              <w:spacing w:line="300" w:lineRule="exact"/>
              <w:jc w:val="center"/>
              <w:rPr>
                <w:rFonts w:ascii="Times New Roman" w:hAnsi="Times New Roman"/>
                <w:szCs w:val="21"/>
              </w:rPr>
            </w:pPr>
            <w:r>
              <w:rPr>
                <w:rFonts w:ascii="Times New Roman" w:hAnsi="Times New Roman"/>
                <w:szCs w:val="21"/>
              </w:rPr>
              <w:t>0.14</w:t>
            </w:r>
          </w:p>
        </w:tc>
        <w:tc>
          <w:tcPr>
            <w:tcW w:w="3380" w:type="dxa"/>
            <w:tcBorders>
              <w:tl2br w:val="nil"/>
              <w:tr2bl w:val="nil"/>
            </w:tcBorders>
            <w:vAlign w:val="center"/>
          </w:tcPr>
          <w:p w:rsidR="00525419" w:rsidRDefault="00EE1CF7">
            <w:pPr>
              <w:adjustRightInd w:val="0"/>
              <w:snapToGrid w:val="0"/>
              <w:spacing w:line="300" w:lineRule="exact"/>
              <w:jc w:val="center"/>
              <w:rPr>
                <w:rFonts w:ascii="Times New Roman" w:hAnsi="Times New Roman"/>
                <w:szCs w:val="21"/>
              </w:rPr>
            </w:pPr>
            <w:r>
              <w:rPr>
                <w:rFonts w:ascii="Times New Roman" w:hAnsi="Times New Roman"/>
                <w:szCs w:val="21"/>
              </w:rPr>
              <w:t>根据本项目土壤理化性质</w:t>
            </w:r>
          </w:p>
        </w:tc>
      </w:tr>
      <w:tr w:rsidR="00525419">
        <w:trPr>
          <w:trHeight w:val="340"/>
          <w:jc w:val="center"/>
        </w:trPr>
        <w:tc>
          <w:tcPr>
            <w:tcW w:w="673" w:type="dxa"/>
            <w:tcBorders>
              <w:tl2br w:val="nil"/>
              <w:tr2bl w:val="nil"/>
            </w:tcBorders>
            <w:vAlign w:val="center"/>
          </w:tcPr>
          <w:p w:rsidR="00525419" w:rsidRDefault="00EE1CF7">
            <w:pPr>
              <w:widowControl/>
              <w:adjustRightInd w:val="0"/>
              <w:snapToGrid w:val="0"/>
              <w:spacing w:line="300" w:lineRule="exact"/>
              <w:jc w:val="center"/>
              <w:rPr>
                <w:rFonts w:ascii="Times New Roman" w:hAnsi="Times New Roman"/>
                <w:szCs w:val="21"/>
              </w:rPr>
            </w:pPr>
            <w:r>
              <w:rPr>
                <w:rFonts w:ascii="Times New Roman" w:hAnsi="Times New Roman"/>
                <w:szCs w:val="21"/>
              </w:rPr>
              <w:t>5</w:t>
            </w:r>
          </w:p>
        </w:tc>
        <w:tc>
          <w:tcPr>
            <w:tcW w:w="925" w:type="dxa"/>
            <w:tcBorders>
              <w:tl2br w:val="nil"/>
              <w:tr2bl w:val="nil"/>
            </w:tcBorders>
            <w:vAlign w:val="center"/>
          </w:tcPr>
          <w:p w:rsidR="00525419" w:rsidRDefault="00EE1CF7">
            <w:pPr>
              <w:widowControl/>
              <w:adjustRightInd w:val="0"/>
              <w:snapToGrid w:val="0"/>
              <w:spacing w:line="300" w:lineRule="exact"/>
              <w:jc w:val="center"/>
              <w:rPr>
                <w:rFonts w:ascii="Times New Roman" w:hAnsi="Times New Roman"/>
                <w:kern w:val="0"/>
                <w:position w:val="-1"/>
                <w:szCs w:val="21"/>
              </w:rPr>
            </w:pPr>
            <w:r>
              <w:rPr>
                <w:rFonts w:ascii="Times New Roman" w:hAnsi="Times New Roman"/>
                <w:kern w:val="0"/>
                <w:position w:val="-1"/>
                <w:szCs w:val="21"/>
              </w:rPr>
              <w:t>t</w:t>
            </w:r>
          </w:p>
        </w:tc>
        <w:tc>
          <w:tcPr>
            <w:tcW w:w="2401" w:type="dxa"/>
            <w:tcBorders>
              <w:tl2br w:val="nil"/>
              <w:tr2bl w:val="nil"/>
            </w:tcBorders>
            <w:vAlign w:val="center"/>
          </w:tcPr>
          <w:p w:rsidR="00525419" w:rsidRDefault="00EE1CF7">
            <w:pPr>
              <w:widowControl/>
              <w:adjustRightInd w:val="0"/>
              <w:snapToGrid w:val="0"/>
              <w:spacing w:line="300" w:lineRule="exact"/>
              <w:jc w:val="center"/>
              <w:rPr>
                <w:rFonts w:ascii="Times New Roman" w:hAnsi="Times New Roman"/>
                <w:szCs w:val="21"/>
              </w:rPr>
            </w:pPr>
            <w:r>
              <w:rPr>
                <w:rFonts w:ascii="Times New Roman" w:hAnsi="Times New Roman"/>
                <w:szCs w:val="21"/>
              </w:rPr>
              <w:t>时间</w:t>
            </w:r>
          </w:p>
        </w:tc>
        <w:tc>
          <w:tcPr>
            <w:tcW w:w="4514" w:type="dxa"/>
            <w:gridSpan w:val="2"/>
            <w:tcBorders>
              <w:tl2br w:val="nil"/>
              <w:tr2bl w:val="nil"/>
            </w:tcBorders>
            <w:vAlign w:val="center"/>
          </w:tcPr>
          <w:p w:rsidR="00525419" w:rsidRDefault="00EE1CF7">
            <w:pPr>
              <w:adjustRightInd w:val="0"/>
              <w:snapToGrid w:val="0"/>
              <w:spacing w:line="300" w:lineRule="exact"/>
              <w:jc w:val="center"/>
              <w:rPr>
                <w:rFonts w:ascii="Times New Roman" w:hAnsi="Times New Roman"/>
                <w:szCs w:val="21"/>
              </w:rPr>
            </w:pPr>
            <w:r>
              <w:rPr>
                <w:rFonts w:ascii="Times New Roman" w:hAnsi="Times New Roman"/>
                <w:szCs w:val="21"/>
              </w:rPr>
              <w:t>假设污染物从发生泄漏到泄漏污染物处理完毕不再发生污染的时间为</w:t>
            </w:r>
            <w:r>
              <w:rPr>
                <w:rFonts w:ascii="Times New Roman" w:hAnsi="Times New Roman"/>
                <w:szCs w:val="21"/>
              </w:rPr>
              <w:t>24h</w:t>
            </w:r>
          </w:p>
        </w:tc>
      </w:tr>
      <w:tr w:rsidR="00525419">
        <w:trPr>
          <w:trHeight w:val="340"/>
          <w:jc w:val="center"/>
        </w:trPr>
        <w:tc>
          <w:tcPr>
            <w:tcW w:w="673" w:type="dxa"/>
            <w:tcBorders>
              <w:tl2br w:val="nil"/>
              <w:tr2bl w:val="nil"/>
            </w:tcBorders>
            <w:vAlign w:val="center"/>
          </w:tcPr>
          <w:p w:rsidR="00525419" w:rsidRDefault="00EE1CF7">
            <w:pPr>
              <w:widowControl/>
              <w:adjustRightInd w:val="0"/>
              <w:snapToGrid w:val="0"/>
              <w:spacing w:line="300" w:lineRule="exact"/>
              <w:jc w:val="center"/>
              <w:rPr>
                <w:rFonts w:ascii="Times New Roman" w:hAnsi="Times New Roman"/>
                <w:szCs w:val="21"/>
              </w:rPr>
            </w:pPr>
            <w:r>
              <w:rPr>
                <w:rFonts w:ascii="Times New Roman" w:hAnsi="Times New Roman"/>
                <w:szCs w:val="21"/>
              </w:rPr>
              <w:t>6</w:t>
            </w:r>
          </w:p>
        </w:tc>
        <w:tc>
          <w:tcPr>
            <w:tcW w:w="925" w:type="dxa"/>
            <w:tcBorders>
              <w:tl2br w:val="nil"/>
              <w:tr2bl w:val="nil"/>
            </w:tcBorders>
            <w:vAlign w:val="center"/>
          </w:tcPr>
          <w:p w:rsidR="00525419" w:rsidRDefault="00EE1CF7">
            <w:pPr>
              <w:widowControl/>
              <w:adjustRightInd w:val="0"/>
              <w:snapToGrid w:val="0"/>
              <w:spacing w:line="300" w:lineRule="exact"/>
              <w:jc w:val="center"/>
              <w:rPr>
                <w:rFonts w:ascii="Times New Roman" w:hAnsi="Times New Roman"/>
                <w:kern w:val="0"/>
                <w:position w:val="-1"/>
                <w:szCs w:val="21"/>
              </w:rPr>
            </w:pPr>
            <w:r>
              <w:rPr>
                <w:rFonts w:ascii="Times New Roman" w:hAnsi="Times New Roman"/>
                <w:kern w:val="0"/>
                <w:position w:val="-1"/>
                <w:szCs w:val="21"/>
              </w:rPr>
              <w:t>w</w:t>
            </w:r>
          </w:p>
        </w:tc>
        <w:tc>
          <w:tcPr>
            <w:tcW w:w="2401" w:type="dxa"/>
            <w:tcBorders>
              <w:tl2br w:val="nil"/>
              <w:tr2bl w:val="nil"/>
            </w:tcBorders>
            <w:vAlign w:val="center"/>
          </w:tcPr>
          <w:p w:rsidR="00525419" w:rsidRDefault="00EE1CF7">
            <w:pPr>
              <w:widowControl/>
              <w:adjustRightInd w:val="0"/>
              <w:snapToGrid w:val="0"/>
              <w:spacing w:line="300" w:lineRule="exact"/>
              <w:jc w:val="center"/>
              <w:rPr>
                <w:rFonts w:ascii="Times New Roman" w:hAnsi="Times New Roman"/>
                <w:szCs w:val="21"/>
              </w:rPr>
            </w:pPr>
            <w:r>
              <w:rPr>
                <w:rFonts w:ascii="Times New Roman" w:hAnsi="Times New Roman"/>
                <w:szCs w:val="21"/>
              </w:rPr>
              <w:t>罐底部泄漏</w:t>
            </w:r>
          </w:p>
        </w:tc>
        <w:tc>
          <w:tcPr>
            <w:tcW w:w="1134" w:type="dxa"/>
            <w:tcBorders>
              <w:tl2br w:val="nil"/>
              <w:tr2bl w:val="nil"/>
            </w:tcBorders>
            <w:vAlign w:val="center"/>
          </w:tcPr>
          <w:p w:rsidR="00525419" w:rsidRDefault="00EE1CF7">
            <w:pPr>
              <w:widowControl/>
              <w:adjustRightInd w:val="0"/>
              <w:snapToGrid w:val="0"/>
              <w:spacing w:line="300" w:lineRule="exact"/>
              <w:jc w:val="center"/>
              <w:rPr>
                <w:rFonts w:ascii="Times New Roman" w:hAnsi="Times New Roman"/>
                <w:szCs w:val="21"/>
              </w:rPr>
            </w:pPr>
            <w:r>
              <w:rPr>
                <w:rFonts w:ascii="Times New Roman" w:hAnsi="Times New Roman"/>
                <w:szCs w:val="21"/>
              </w:rPr>
              <w:t>2200m</w:t>
            </w:r>
            <w:r>
              <w:rPr>
                <w:rFonts w:ascii="Times New Roman" w:hAnsi="Times New Roman"/>
                <w:szCs w:val="21"/>
                <w:vertAlign w:val="superscript"/>
              </w:rPr>
              <w:t>2</w:t>
            </w:r>
          </w:p>
        </w:tc>
        <w:tc>
          <w:tcPr>
            <w:tcW w:w="3380" w:type="dxa"/>
            <w:tcBorders>
              <w:tl2br w:val="nil"/>
              <w:tr2bl w:val="nil"/>
            </w:tcBorders>
            <w:vAlign w:val="center"/>
          </w:tcPr>
          <w:p w:rsidR="00525419" w:rsidRDefault="00EE1CF7">
            <w:pPr>
              <w:adjustRightInd w:val="0"/>
              <w:snapToGrid w:val="0"/>
              <w:spacing w:line="300" w:lineRule="exact"/>
              <w:jc w:val="center"/>
              <w:rPr>
                <w:rFonts w:ascii="Times New Roman" w:hAnsi="Times New Roman"/>
                <w:szCs w:val="21"/>
              </w:rPr>
            </w:pPr>
            <w:r>
              <w:rPr>
                <w:rFonts w:ascii="Times New Roman" w:hAnsi="Times New Roman"/>
                <w:szCs w:val="21"/>
              </w:rPr>
              <w:t>单个煤焦油储罐占地面积</w:t>
            </w:r>
          </w:p>
        </w:tc>
      </w:tr>
      <w:tr w:rsidR="00525419">
        <w:trPr>
          <w:trHeight w:val="340"/>
          <w:jc w:val="center"/>
        </w:trPr>
        <w:tc>
          <w:tcPr>
            <w:tcW w:w="673" w:type="dxa"/>
            <w:tcBorders>
              <w:tl2br w:val="nil"/>
              <w:tr2bl w:val="nil"/>
            </w:tcBorders>
            <w:vAlign w:val="center"/>
          </w:tcPr>
          <w:p w:rsidR="00525419" w:rsidRDefault="00EE1CF7">
            <w:pPr>
              <w:widowControl/>
              <w:adjustRightInd w:val="0"/>
              <w:snapToGrid w:val="0"/>
              <w:spacing w:line="300" w:lineRule="exact"/>
              <w:jc w:val="center"/>
              <w:rPr>
                <w:rFonts w:ascii="Times New Roman" w:hAnsi="Times New Roman"/>
                <w:szCs w:val="21"/>
              </w:rPr>
            </w:pPr>
            <w:r>
              <w:rPr>
                <w:rFonts w:ascii="Times New Roman" w:hAnsi="Times New Roman"/>
                <w:szCs w:val="21"/>
              </w:rPr>
              <w:t>7</w:t>
            </w:r>
          </w:p>
        </w:tc>
        <w:tc>
          <w:tcPr>
            <w:tcW w:w="925" w:type="dxa"/>
            <w:tcBorders>
              <w:tl2br w:val="nil"/>
              <w:tr2bl w:val="nil"/>
            </w:tcBorders>
            <w:vAlign w:val="center"/>
          </w:tcPr>
          <w:p w:rsidR="00525419" w:rsidRDefault="00EE1CF7">
            <w:pPr>
              <w:widowControl/>
              <w:adjustRightInd w:val="0"/>
              <w:snapToGrid w:val="0"/>
              <w:spacing w:line="300" w:lineRule="exact"/>
              <w:jc w:val="center"/>
              <w:rPr>
                <w:rFonts w:ascii="Times New Roman" w:hAnsi="Times New Roman"/>
                <w:szCs w:val="21"/>
              </w:rPr>
            </w:pPr>
            <w:r>
              <w:rPr>
                <w:rFonts w:ascii="Times New Roman" w:hAnsi="Times New Roman"/>
                <w:szCs w:val="21"/>
              </w:rPr>
              <w:t>x</w:t>
            </w:r>
          </w:p>
        </w:tc>
        <w:tc>
          <w:tcPr>
            <w:tcW w:w="2401" w:type="dxa"/>
            <w:tcBorders>
              <w:tl2br w:val="nil"/>
              <w:tr2bl w:val="nil"/>
            </w:tcBorders>
            <w:vAlign w:val="center"/>
          </w:tcPr>
          <w:p w:rsidR="00525419" w:rsidRDefault="00EE1CF7">
            <w:pPr>
              <w:widowControl/>
              <w:adjustRightInd w:val="0"/>
              <w:snapToGrid w:val="0"/>
              <w:spacing w:line="300" w:lineRule="exact"/>
              <w:jc w:val="center"/>
              <w:rPr>
                <w:rFonts w:ascii="Times New Roman" w:hAnsi="Times New Roman"/>
                <w:szCs w:val="21"/>
              </w:rPr>
            </w:pPr>
            <w:r>
              <w:rPr>
                <w:rFonts w:ascii="Times New Roman" w:hAnsi="Times New Roman"/>
                <w:szCs w:val="21"/>
              </w:rPr>
              <w:t>距离污染源距离</w:t>
            </w:r>
          </w:p>
        </w:tc>
        <w:tc>
          <w:tcPr>
            <w:tcW w:w="4514" w:type="dxa"/>
            <w:gridSpan w:val="2"/>
            <w:tcBorders>
              <w:tl2br w:val="nil"/>
              <w:tr2bl w:val="nil"/>
            </w:tcBorders>
            <w:vAlign w:val="center"/>
          </w:tcPr>
          <w:p w:rsidR="00525419" w:rsidRDefault="00EE1CF7">
            <w:pPr>
              <w:adjustRightInd w:val="0"/>
              <w:snapToGrid w:val="0"/>
              <w:spacing w:line="300" w:lineRule="exact"/>
              <w:jc w:val="center"/>
              <w:rPr>
                <w:rFonts w:ascii="Times New Roman" w:hAnsi="Times New Roman"/>
                <w:szCs w:val="21"/>
              </w:rPr>
            </w:pPr>
            <w:r>
              <w:rPr>
                <w:rFonts w:ascii="Times New Roman" w:hAnsi="Times New Roman"/>
                <w:szCs w:val="21"/>
              </w:rPr>
              <w:t>从</w:t>
            </w:r>
            <w:r>
              <w:rPr>
                <w:rFonts w:ascii="Times New Roman" w:hAnsi="Times New Roman"/>
                <w:szCs w:val="21"/>
              </w:rPr>
              <w:t>1m</w:t>
            </w:r>
            <w:r>
              <w:rPr>
                <w:rFonts w:ascii="Times New Roman" w:hAnsi="Times New Roman"/>
                <w:szCs w:val="21"/>
              </w:rPr>
              <w:t>开始直至地下水污染物浓度达标为止</w:t>
            </w:r>
          </w:p>
        </w:tc>
      </w:tr>
    </w:tbl>
    <w:p w:rsidR="00525419" w:rsidRDefault="00EE1CF7">
      <w:pPr>
        <w:spacing w:line="520" w:lineRule="exact"/>
        <w:ind w:firstLineChars="200" w:firstLine="480"/>
        <w:jc w:val="left"/>
        <w:rPr>
          <w:rFonts w:ascii="Times New Roman" w:hAnsi="Times New Roman"/>
          <w:sz w:val="24"/>
          <w:szCs w:val="24"/>
        </w:rPr>
      </w:pPr>
      <w:r>
        <w:rPr>
          <w:rFonts w:ascii="Times New Roman" w:hAnsi="Times New Roman"/>
          <w:sz w:val="24"/>
          <w:szCs w:val="24"/>
        </w:rPr>
        <w:t>⑤</w:t>
      </w:r>
      <w:r>
        <w:rPr>
          <w:rFonts w:ascii="Times New Roman" w:hAnsi="Times New Roman"/>
          <w:sz w:val="24"/>
          <w:szCs w:val="24"/>
        </w:rPr>
        <w:t>预测结果与评价</w:t>
      </w:r>
    </w:p>
    <w:p w:rsidR="00525419" w:rsidRDefault="00EE1CF7">
      <w:pPr>
        <w:spacing w:line="520" w:lineRule="exact"/>
        <w:ind w:firstLineChars="200" w:firstLine="480"/>
        <w:jc w:val="left"/>
        <w:rPr>
          <w:rFonts w:ascii="Times New Roman" w:hAnsi="Times New Roman"/>
          <w:sz w:val="24"/>
          <w:szCs w:val="24"/>
        </w:rPr>
      </w:pPr>
      <w:r>
        <w:rPr>
          <w:rFonts w:ascii="Times New Roman" w:hAnsi="Times New Roman"/>
          <w:sz w:val="24"/>
          <w:szCs w:val="24"/>
        </w:rPr>
        <w:t>地下水水质预测结果见表</w:t>
      </w:r>
      <w:r>
        <w:rPr>
          <w:rFonts w:ascii="Times New Roman" w:hAnsi="Times New Roman"/>
          <w:sz w:val="24"/>
          <w:szCs w:val="24"/>
        </w:rPr>
        <w:t>5.2-4</w:t>
      </w:r>
      <w:r>
        <w:rPr>
          <w:rFonts w:ascii="Times New Roman" w:hAnsi="Times New Roman"/>
          <w:sz w:val="24"/>
          <w:szCs w:val="24"/>
        </w:rPr>
        <w:t>和图</w:t>
      </w:r>
      <w:r>
        <w:rPr>
          <w:rFonts w:ascii="Times New Roman" w:hAnsi="Times New Roman"/>
          <w:sz w:val="24"/>
          <w:szCs w:val="24"/>
        </w:rPr>
        <w:t>5.2-6-9</w:t>
      </w:r>
      <w:r>
        <w:rPr>
          <w:rFonts w:ascii="Times New Roman" w:hAnsi="Times New Roman"/>
          <w:sz w:val="24"/>
          <w:szCs w:val="24"/>
        </w:rPr>
        <w:t>。</w:t>
      </w:r>
    </w:p>
    <w:p w:rsidR="00525419" w:rsidRDefault="00EE1CF7">
      <w:pPr>
        <w:spacing w:line="520" w:lineRule="exact"/>
        <w:jc w:val="center"/>
        <w:rPr>
          <w:rFonts w:ascii="Times New Roman" w:hAnsi="Times New Roman"/>
          <w:sz w:val="24"/>
          <w:szCs w:val="24"/>
        </w:rPr>
      </w:pPr>
      <w:r>
        <w:rPr>
          <w:rFonts w:ascii="Times New Roman" w:hAnsi="Times New Roman"/>
          <w:b/>
          <w:szCs w:val="21"/>
        </w:rPr>
        <w:t>表</w:t>
      </w:r>
      <w:r>
        <w:rPr>
          <w:rFonts w:ascii="Times New Roman" w:hAnsi="Times New Roman"/>
          <w:b/>
          <w:szCs w:val="21"/>
        </w:rPr>
        <w:t xml:space="preserve">5.2-4    </w:t>
      </w:r>
      <w:r>
        <w:rPr>
          <w:rFonts w:ascii="Times New Roman" w:hAnsi="Times New Roman"/>
          <w:b/>
          <w:szCs w:val="21"/>
        </w:rPr>
        <w:t>地下水水质预测结果一览表</w:t>
      </w:r>
    </w:p>
    <w:tbl>
      <w:tblPr>
        <w:tblStyle w:val="1ffffffff3"/>
        <w:tblW w:w="8306" w:type="dxa"/>
        <w:tblInd w:w="0" w:type="dxa"/>
        <w:tblBorders>
          <w:left w:val="single" w:sz="12" w:space="0" w:color="auto"/>
          <w:right w:val="single" w:sz="12" w:space="0" w:color="auto"/>
        </w:tblBorders>
        <w:tblLayout w:type="fixed"/>
        <w:tblLook w:val="04A0" w:firstRow="1" w:lastRow="0" w:firstColumn="1" w:lastColumn="0" w:noHBand="0" w:noVBand="1"/>
      </w:tblPr>
      <w:tblGrid>
        <w:gridCol w:w="1134"/>
        <w:gridCol w:w="1066"/>
        <w:gridCol w:w="1312"/>
        <w:gridCol w:w="1585"/>
        <w:gridCol w:w="1162"/>
        <w:gridCol w:w="2047"/>
      </w:tblGrid>
      <w:tr w:rsidR="00525419">
        <w:trPr>
          <w:trHeight w:val="340"/>
        </w:trPr>
        <w:tc>
          <w:tcPr>
            <w:tcW w:w="1134" w:type="dxa"/>
            <w:tcBorders>
              <w:tl2br w:val="nil"/>
              <w:tr2bl w:val="nil"/>
            </w:tcBorders>
          </w:tcPr>
          <w:p w:rsidR="00525419" w:rsidRDefault="00EE1CF7">
            <w:pPr>
              <w:rPr>
                <w:rFonts w:ascii="Times New Roman" w:hAnsi="Times New Roman"/>
                <w:szCs w:val="21"/>
              </w:rPr>
            </w:pPr>
            <w:r>
              <w:rPr>
                <w:rFonts w:ascii="Times New Roman" w:hAnsi="Times New Roman"/>
                <w:szCs w:val="21"/>
              </w:rPr>
              <w:t>预测情景</w:t>
            </w:r>
          </w:p>
        </w:tc>
        <w:tc>
          <w:tcPr>
            <w:tcW w:w="1066" w:type="dxa"/>
            <w:tcBorders>
              <w:tl2br w:val="nil"/>
              <w:tr2bl w:val="nil"/>
            </w:tcBorders>
          </w:tcPr>
          <w:p w:rsidR="00525419" w:rsidRDefault="00EE1CF7">
            <w:pPr>
              <w:rPr>
                <w:rFonts w:ascii="Times New Roman" w:hAnsi="Times New Roman"/>
                <w:szCs w:val="21"/>
              </w:rPr>
            </w:pPr>
            <w:r>
              <w:rPr>
                <w:rFonts w:ascii="Times New Roman" w:hAnsi="Times New Roman"/>
                <w:szCs w:val="21"/>
              </w:rPr>
              <w:t>预测时间（</w:t>
            </w:r>
            <w:r>
              <w:rPr>
                <w:rFonts w:ascii="Times New Roman" w:hAnsi="Times New Roman"/>
                <w:szCs w:val="21"/>
              </w:rPr>
              <w:t>d</w:t>
            </w:r>
            <w:r>
              <w:rPr>
                <w:rFonts w:ascii="Times New Roman" w:hAnsi="Times New Roman"/>
                <w:szCs w:val="21"/>
              </w:rPr>
              <w:t>）</w:t>
            </w:r>
          </w:p>
        </w:tc>
        <w:tc>
          <w:tcPr>
            <w:tcW w:w="1312" w:type="dxa"/>
            <w:tcBorders>
              <w:tl2br w:val="nil"/>
              <w:tr2bl w:val="nil"/>
            </w:tcBorders>
          </w:tcPr>
          <w:p w:rsidR="00525419" w:rsidRDefault="00EE1CF7">
            <w:pPr>
              <w:rPr>
                <w:rFonts w:ascii="Times New Roman" w:hAnsi="Times New Roman"/>
                <w:szCs w:val="21"/>
              </w:rPr>
            </w:pPr>
            <w:r>
              <w:rPr>
                <w:rFonts w:ascii="Times New Roman" w:hAnsi="Times New Roman"/>
                <w:szCs w:val="21"/>
              </w:rPr>
              <w:t>最大浓度出现距离（</w:t>
            </w:r>
            <w:r>
              <w:rPr>
                <w:rFonts w:ascii="Times New Roman" w:hAnsi="Times New Roman"/>
                <w:szCs w:val="21"/>
              </w:rPr>
              <w:t>m</w:t>
            </w:r>
            <w:r>
              <w:rPr>
                <w:rFonts w:ascii="Times New Roman" w:hAnsi="Times New Roman"/>
                <w:szCs w:val="21"/>
              </w:rPr>
              <w:t>）</w:t>
            </w:r>
          </w:p>
        </w:tc>
        <w:tc>
          <w:tcPr>
            <w:tcW w:w="1585" w:type="dxa"/>
            <w:tcBorders>
              <w:tl2br w:val="nil"/>
              <w:tr2bl w:val="nil"/>
            </w:tcBorders>
          </w:tcPr>
          <w:p w:rsidR="00525419" w:rsidRDefault="00EE1CF7">
            <w:pPr>
              <w:rPr>
                <w:rFonts w:ascii="Times New Roman" w:hAnsi="Times New Roman"/>
                <w:szCs w:val="21"/>
              </w:rPr>
            </w:pPr>
            <w:r>
              <w:rPr>
                <w:rFonts w:ascii="Times New Roman" w:hAnsi="Times New Roman"/>
                <w:szCs w:val="21"/>
              </w:rPr>
              <w:t>石油类浓度（</w:t>
            </w:r>
            <w:r>
              <w:rPr>
                <w:rFonts w:ascii="Times New Roman" w:hAnsi="Times New Roman"/>
                <w:szCs w:val="21"/>
              </w:rPr>
              <w:t>mg/L</w:t>
            </w:r>
            <w:r>
              <w:rPr>
                <w:rFonts w:ascii="Times New Roman" w:hAnsi="Times New Roman"/>
                <w:szCs w:val="21"/>
              </w:rPr>
              <w:t>）</w:t>
            </w:r>
          </w:p>
        </w:tc>
        <w:tc>
          <w:tcPr>
            <w:tcW w:w="1162" w:type="dxa"/>
            <w:tcBorders>
              <w:tl2br w:val="nil"/>
              <w:tr2bl w:val="nil"/>
            </w:tcBorders>
          </w:tcPr>
          <w:p w:rsidR="00525419" w:rsidRDefault="00EE1CF7">
            <w:pPr>
              <w:rPr>
                <w:rFonts w:ascii="Times New Roman" w:hAnsi="Times New Roman"/>
                <w:szCs w:val="21"/>
              </w:rPr>
            </w:pPr>
            <w:r>
              <w:rPr>
                <w:rFonts w:ascii="Times New Roman" w:hAnsi="Times New Roman"/>
                <w:szCs w:val="21"/>
              </w:rPr>
              <w:t>达标距离（</w:t>
            </w:r>
            <w:r>
              <w:rPr>
                <w:rFonts w:ascii="Times New Roman" w:hAnsi="Times New Roman"/>
                <w:szCs w:val="21"/>
              </w:rPr>
              <w:t>m</w:t>
            </w:r>
            <w:r>
              <w:rPr>
                <w:rFonts w:ascii="Times New Roman" w:hAnsi="Times New Roman"/>
                <w:szCs w:val="21"/>
              </w:rPr>
              <w:t>）</w:t>
            </w:r>
          </w:p>
        </w:tc>
        <w:tc>
          <w:tcPr>
            <w:tcW w:w="2047" w:type="dxa"/>
            <w:tcBorders>
              <w:tl2br w:val="nil"/>
              <w:tr2bl w:val="nil"/>
            </w:tcBorders>
          </w:tcPr>
          <w:p w:rsidR="00525419" w:rsidRDefault="00EE1CF7">
            <w:pPr>
              <w:rPr>
                <w:rFonts w:ascii="Times New Roman" w:hAnsi="Times New Roman"/>
                <w:szCs w:val="21"/>
              </w:rPr>
            </w:pPr>
            <w:r>
              <w:rPr>
                <w:rFonts w:ascii="Times New Roman" w:hAnsi="Times New Roman"/>
                <w:szCs w:val="21"/>
              </w:rPr>
              <w:t>达标处石油类浓度（</w:t>
            </w:r>
            <w:r>
              <w:rPr>
                <w:rFonts w:ascii="Times New Roman" w:hAnsi="Times New Roman"/>
                <w:szCs w:val="21"/>
              </w:rPr>
              <w:t>mg/L</w:t>
            </w:r>
            <w:r>
              <w:rPr>
                <w:rFonts w:ascii="Times New Roman" w:hAnsi="Times New Roman"/>
                <w:szCs w:val="21"/>
              </w:rPr>
              <w:t>）</w:t>
            </w:r>
          </w:p>
        </w:tc>
      </w:tr>
      <w:tr w:rsidR="00525419">
        <w:trPr>
          <w:trHeight w:val="340"/>
        </w:trPr>
        <w:tc>
          <w:tcPr>
            <w:tcW w:w="1134" w:type="dxa"/>
            <w:vMerge w:val="restart"/>
            <w:tcBorders>
              <w:tl2br w:val="nil"/>
              <w:tr2bl w:val="nil"/>
            </w:tcBorders>
          </w:tcPr>
          <w:p w:rsidR="00525419" w:rsidRDefault="00EE1CF7">
            <w:pPr>
              <w:rPr>
                <w:rFonts w:ascii="Times New Roman" w:hAnsi="Times New Roman"/>
                <w:szCs w:val="21"/>
              </w:rPr>
            </w:pPr>
            <w:r>
              <w:rPr>
                <w:rFonts w:ascii="Times New Roman" w:hAnsi="Times New Roman"/>
                <w:szCs w:val="21"/>
              </w:rPr>
              <w:t>储罐泄漏</w:t>
            </w:r>
          </w:p>
        </w:tc>
        <w:tc>
          <w:tcPr>
            <w:tcW w:w="1066" w:type="dxa"/>
            <w:tcBorders>
              <w:tl2br w:val="nil"/>
              <w:tr2bl w:val="nil"/>
            </w:tcBorders>
          </w:tcPr>
          <w:p w:rsidR="00525419" w:rsidRDefault="00EE1CF7">
            <w:pPr>
              <w:rPr>
                <w:rFonts w:ascii="Times New Roman" w:hAnsi="Times New Roman"/>
                <w:szCs w:val="21"/>
              </w:rPr>
            </w:pPr>
            <w:r>
              <w:rPr>
                <w:rFonts w:ascii="Times New Roman" w:hAnsi="Times New Roman"/>
                <w:szCs w:val="21"/>
              </w:rPr>
              <w:t>100</w:t>
            </w:r>
          </w:p>
        </w:tc>
        <w:tc>
          <w:tcPr>
            <w:tcW w:w="1312" w:type="dxa"/>
            <w:tcBorders>
              <w:tl2br w:val="nil"/>
              <w:tr2bl w:val="nil"/>
            </w:tcBorders>
          </w:tcPr>
          <w:p w:rsidR="00525419" w:rsidRDefault="00EE1CF7">
            <w:pPr>
              <w:rPr>
                <w:rFonts w:ascii="Times New Roman" w:hAnsi="Times New Roman"/>
                <w:szCs w:val="21"/>
              </w:rPr>
            </w:pPr>
            <w:r>
              <w:rPr>
                <w:rFonts w:ascii="Times New Roman" w:hAnsi="Times New Roman"/>
                <w:szCs w:val="21"/>
              </w:rPr>
              <w:t>20</w:t>
            </w:r>
          </w:p>
        </w:tc>
        <w:tc>
          <w:tcPr>
            <w:tcW w:w="1585" w:type="dxa"/>
            <w:tcBorders>
              <w:tl2br w:val="nil"/>
              <w:tr2bl w:val="nil"/>
            </w:tcBorders>
          </w:tcPr>
          <w:p w:rsidR="00525419" w:rsidRDefault="00EE1CF7">
            <w:pPr>
              <w:rPr>
                <w:rFonts w:ascii="Times New Roman" w:hAnsi="Times New Roman"/>
                <w:szCs w:val="21"/>
              </w:rPr>
            </w:pPr>
            <w:r>
              <w:rPr>
                <w:rFonts w:ascii="Times New Roman" w:hAnsi="Times New Roman"/>
                <w:szCs w:val="21"/>
              </w:rPr>
              <w:t>62.3</w:t>
            </w:r>
          </w:p>
        </w:tc>
        <w:tc>
          <w:tcPr>
            <w:tcW w:w="1162" w:type="dxa"/>
            <w:tcBorders>
              <w:tl2br w:val="nil"/>
              <w:tr2bl w:val="nil"/>
            </w:tcBorders>
          </w:tcPr>
          <w:p w:rsidR="00525419" w:rsidRDefault="00EE1CF7">
            <w:pPr>
              <w:rPr>
                <w:rFonts w:ascii="Times New Roman" w:hAnsi="Times New Roman"/>
                <w:szCs w:val="21"/>
              </w:rPr>
            </w:pPr>
            <w:r>
              <w:rPr>
                <w:rFonts w:ascii="Times New Roman" w:hAnsi="Times New Roman"/>
                <w:szCs w:val="21"/>
              </w:rPr>
              <w:t>80</w:t>
            </w:r>
          </w:p>
        </w:tc>
        <w:tc>
          <w:tcPr>
            <w:tcW w:w="2047" w:type="dxa"/>
            <w:tcBorders>
              <w:tl2br w:val="nil"/>
              <w:tr2bl w:val="nil"/>
            </w:tcBorders>
          </w:tcPr>
          <w:p w:rsidR="00525419" w:rsidRDefault="00EE1CF7">
            <w:pPr>
              <w:rPr>
                <w:rFonts w:ascii="Times New Roman" w:hAnsi="Times New Roman"/>
                <w:szCs w:val="21"/>
              </w:rPr>
            </w:pPr>
            <w:r>
              <w:rPr>
                <w:rFonts w:ascii="Times New Roman" w:hAnsi="Times New Roman"/>
                <w:szCs w:val="21"/>
              </w:rPr>
              <w:t>0.03</w:t>
            </w:r>
          </w:p>
        </w:tc>
      </w:tr>
      <w:tr w:rsidR="00525419">
        <w:trPr>
          <w:trHeight w:val="340"/>
        </w:trPr>
        <w:tc>
          <w:tcPr>
            <w:tcW w:w="1134" w:type="dxa"/>
            <w:vMerge/>
            <w:tcBorders>
              <w:tl2br w:val="nil"/>
              <w:tr2bl w:val="nil"/>
            </w:tcBorders>
          </w:tcPr>
          <w:p w:rsidR="00525419" w:rsidRDefault="00525419">
            <w:pPr>
              <w:rPr>
                <w:rFonts w:ascii="Times New Roman" w:hAnsi="Times New Roman"/>
                <w:szCs w:val="21"/>
              </w:rPr>
            </w:pPr>
          </w:p>
        </w:tc>
        <w:tc>
          <w:tcPr>
            <w:tcW w:w="1066" w:type="dxa"/>
            <w:tcBorders>
              <w:tl2br w:val="nil"/>
              <w:tr2bl w:val="nil"/>
            </w:tcBorders>
          </w:tcPr>
          <w:p w:rsidR="00525419" w:rsidRDefault="00EE1CF7">
            <w:pPr>
              <w:rPr>
                <w:rFonts w:ascii="Times New Roman" w:hAnsi="Times New Roman"/>
                <w:szCs w:val="21"/>
              </w:rPr>
            </w:pPr>
            <w:r>
              <w:rPr>
                <w:rFonts w:ascii="Times New Roman" w:hAnsi="Times New Roman"/>
                <w:szCs w:val="21"/>
              </w:rPr>
              <w:t>365</w:t>
            </w:r>
          </w:p>
        </w:tc>
        <w:tc>
          <w:tcPr>
            <w:tcW w:w="1312" w:type="dxa"/>
            <w:tcBorders>
              <w:tl2br w:val="nil"/>
              <w:tr2bl w:val="nil"/>
            </w:tcBorders>
          </w:tcPr>
          <w:p w:rsidR="00525419" w:rsidRDefault="00EE1CF7">
            <w:pPr>
              <w:rPr>
                <w:rFonts w:ascii="Times New Roman" w:hAnsi="Times New Roman"/>
                <w:szCs w:val="21"/>
              </w:rPr>
            </w:pPr>
            <w:r>
              <w:rPr>
                <w:rFonts w:ascii="Times New Roman" w:hAnsi="Times New Roman"/>
                <w:szCs w:val="21"/>
              </w:rPr>
              <w:t>80</w:t>
            </w:r>
          </w:p>
        </w:tc>
        <w:tc>
          <w:tcPr>
            <w:tcW w:w="1585" w:type="dxa"/>
            <w:tcBorders>
              <w:tl2br w:val="nil"/>
              <w:tr2bl w:val="nil"/>
            </w:tcBorders>
          </w:tcPr>
          <w:p w:rsidR="00525419" w:rsidRDefault="00EE1CF7">
            <w:pPr>
              <w:rPr>
                <w:rFonts w:ascii="Times New Roman" w:hAnsi="Times New Roman"/>
                <w:szCs w:val="21"/>
              </w:rPr>
            </w:pPr>
            <w:r>
              <w:rPr>
                <w:rFonts w:ascii="Times New Roman" w:hAnsi="Times New Roman"/>
                <w:szCs w:val="21"/>
              </w:rPr>
              <w:t>32.9</w:t>
            </w:r>
          </w:p>
        </w:tc>
        <w:tc>
          <w:tcPr>
            <w:tcW w:w="1162" w:type="dxa"/>
            <w:tcBorders>
              <w:tl2br w:val="nil"/>
              <w:tr2bl w:val="nil"/>
            </w:tcBorders>
          </w:tcPr>
          <w:p w:rsidR="00525419" w:rsidRDefault="00EE1CF7">
            <w:pPr>
              <w:rPr>
                <w:rFonts w:ascii="Times New Roman" w:hAnsi="Times New Roman"/>
                <w:szCs w:val="21"/>
              </w:rPr>
            </w:pPr>
            <w:r>
              <w:rPr>
                <w:rFonts w:ascii="Times New Roman" w:hAnsi="Times New Roman"/>
                <w:szCs w:val="21"/>
              </w:rPr>
              <w:t>190</w:t>
            </w:r>
          </w:p>
        </w:tc>
        <w:tc>
          <w:tcPr>
            <w:tcW w:w="2047" w:type="dxa"/>
            <w:tcBorders>
              <w:tl2br w:val="nil"/>
              <w:tr2bl w:val="nil"/>
            </w:tcBorders>
          </w:tcPr>
          <w:p w:rsidR="00525419" w:rsidRDefault="00EE1CF7">
            <w:pPr>
              <w:rPr>
                <w:rFonts w:ascii="Times New Roman" w:hAnsi="Times New Roman"/>
                <w:szCs w:val="21"/>
              </w:rPr>
            </w:pPr>
            <w:r>
              <w:rPr>
                <w:rFonts w:ascii="Times New Roman" w:hAnsi="Times New Roman"/>
                <w:szCs w:val="21"/>
              </w:rPr>
              <w:t>0.018</w:t>
            </w:r>
          </w:p>
        </w:tc>
      </w:tr>
      <w:tr w:rsidR="00525419">
        <w:trPr>
          <w:trHeight w:val="340"/>
        </w:trPr>
        <w:tc>
          <w:tcPr>
            <w:tcW w:w="1134" w:type="dxa"/>
            <w:vMerge/>
            <w:tcBorders>
              <w:tl2br w:val="nil"/>
              <w:tr2bl w:val="nil"/>
            </w:tcBorders>
          </w:tcPr>
          <w:p w:rsidR="00525419" w:rsidRDefault="00525419">
            <w:pPr>
              <w:rPr>
                <w:rFonts w:ascii="Times New Roman" w:hAnsi="Times New Roman"/>
                <w:szCs w:val="21"/>
              </w:rPr>
            </w:pPr>
          </w:p>
        </w:tc>
        <w:tc>
          <w:tcPr>
            <w:tcW w:w="1066" w:type="dxa"/>
            <w:tcBorders>
              <w:tl2br w:val="nil"/>
              <w:tr2bl w:val="nil"/>
            </w:tcBorders>
          </w:tcPr>
          <w:p w:rsidR="00525419" w:rsidRDefault="00EE1CF7">
            <w:pPr>
              <w:rPr>
                <w:rFonts w:ascii="Times New Roman" w:hAnsi="Times New Roman"/>
                <w:szCs w:val="21"/>
              </w:rPr>
            </w:pPr>
            <w:r>
              <w:rPr>
                <w:rFonts w:ascii="Times New Roman" w:hAnsi="Times New Roman"/>
                <w:szCs w:val="21"/>
              </w:rPr>
              <w:t>1000</w:t>
            </w:r>
          </w:p>
        </w:tc>
        <w:tc>
          <w:tcPr>
            <w:tcW w:w="1312" w:type="dxa"/>
            <w:tcBorders>
              <w:tl2br w:val="nil"/>
              <w:tr2bl w:val="nil"/>
            </w:tcBorders>
          </w:tcPr>
          <w:p w:rsidR="00525419" w:rsidRDefault="00EE1CF7">
            <w:pPr>
              <w:rPr>
                <w:rFonts w:ascii="Times New Roman" w:hAnsi="Times New Roman"/>
                <w:szCs w:val="21"/>
              </w:rPr>
            </w:pPr>
            <w:r>
              <w:rPr>
                <w:rFonts w:ascii="Times New Roman" w:hAnsi="Times New Roman"/>
                <w:szCs w:val="21"/>
              </w:rPr>
              <w:t>220</w:t>
            </w:r>
          </w:p>
        </w:tc>
        <w:tc>
          <w:tcPr>
            <w:tcW w:w="1585" w:type="dxa"/>
            <w:tcBorders>
              <w:tl2br w:val="nil"/>
              <w:tr2bl w:val="nil"/>
            </w:tcBorders>
          </w:tcPr>
          <w:p w:rsidR="00525419" w:rsidRDefault="00EE1CF7">
            <w:pPr>
              <w:rPr>
                <w:rFonts w:ascii="Times New Roman" w:hAnsi="Times New Roman"/>
                <w:szCs w:val="21"/>
              </w:rPr>
            </w:pPr>
            <w:r>
              <w:rPr>
                <w:rFonts w:ascii="Times New Roman" w:hAnsi="Times New Roman"/>
                <w:szCs w:val="21"/>
              </w:rPr>
              <w:t>19.88</w:t>
            </w:r>
          </w:p>
        </w:tc>
        <w:tc>
          <w:tcPr>
            <w:tcW w:w="1162" w:type="dxa"/>
            <w:tcBorders>
              <w:tl2br w:val="nil"/>
              <w:tr2bl w:val="nil"/>
            </w:tcBorders>
          </w:tcPr>
          <w:p w:rsidR="00525419" w:rsidRDefault="00EE1CF7">
            <w:pPr>
              <w:rPr>
                <w:rFonts w:ascii="Times New Roman" w:hAnsi="Times New Roman"/>
                <w:szCs w:val="21"/>
              </w:rPr>
            </w:pPr>
            <w:r>
              <w:rPr>
                <w:rFonts w:ascii="Times New Roman" w:hAnsi="Times New Roman"/>
                <w:szCs w:val="21"/>
              </w:rPr>
              <w:t>390</w:t>
            </w:r>
          </w:p>
        </w:tc>
        <w:tc>
          <w:tcPr>
            <w:tcW w:w="2047" w:type="dxa"/>
            <w:tcBorders>
              <w:tl2br w:val="nil"/>
              <w:tr2bl w:val="nil"/>
            </w:tcBorders>
          </w:tcPr>
          <w:p w:rsidR="00525419" w:rsidRDefault="00EE1CF7">
            <w:pPr>
              <w:rPr>
                <w:rFonts w:ascii="Times New Roman" w:hAnsi="Times New Roman"/>
                <w:szCs w:val="21"/>
              </w:rPr>
            </w:pPr>
            <w:r>
              <w:rPr>
                <w:rFonts w:ascii="Times New Roman" w:hAnsi="Times New Roman"/>
                <w:szCs w:val="21"/>
              </w:rPr>
              <w:t>0.028</w:t>
            </w:r>
          </w:p>
        </w:tc>
      </w:tr>
      <w:tr w:rsidR="00525419">
        <w:trPr>
          <w:trHeight w:val="340"/>
        </w:trPr>
        <w:tc>
          <w:tcPr>
            <w:tcW w:w="1134" w:type="dxa"/>
            <w:vMerge/>
            <w:tcBorders>
              <w:tl2br w:val="nil"/>
              <w:tr2bl w:val="nil"/>
            </w:tcBorders>
          </w:tcPr>
          <w:p w:rsidR="00525419" w:rsidRDefault="00525419">
            <w:pPr>
              <w:rPr>
                <w:rFonts w:ascii="Times New Roman" w:hAnsi="Times New Roman"/>
                <w:szCs w:val="21"/>
              </w:rPr>
            </w:pPr>
          </w:p>
        </w:tc>
        <w:tc>
          <w:tcPr>
            <w:tcW w:w="1066" w:type="dxa"/>
            <w:tcBorders>
              <w:tl2br w:val="nil"/>
              <w:tr2bl w:val="nil"/>
            </w:tcBorders>
          </w:tcPr>
          <w:p w:rsidR="00525419" w:rsidRDefault="00EE1CF7">
            <w:pPr>
              <w:rPr>
                <w:rFonts w:ascii="Times New Roman" w:hAnsi="Times New Roman"/>
                <w:szCs w:val="21"/>
              </w:rPr>
            </w:pPr>
            <w:r>
              <w:rPr>
                <w:rFonts w:ascii="Times New Roman" w:hAnsi="Times New Roman"/>
                <w:szCs w:val="21"/>
              </w:rPr>
              <w:t>3650</w:t>
            </w:r>
          </w:p>
        </w:tc>
        <w:tc>
          <w:tcPr>
            <w:tcW w:w="1312" w:type="dxa"/>
            <w:tcBorders>
              <w:tl2br w:val="nil"/>
              <w:tr2bl w:val="nil"/>
            </w:tcBorders>
          </w:tcPr>
          <w:p w:rsidR="00525419" w:rsidRDefault="00EE1CF7">
            <w:pPr>
              <w:rPr>
                <w:rFonts w:ascii="Times New Roman" w:hAnsi="Times New Roman"/>
                <w:szCs w:val="21"/>
              </w:rPr>
            </w:pPr>
            <w:r>
              <w:rPr>
                <w:rFonts w:ascii="Times New Roman" w:hAnsi="Times New Roman"/>
                <w:szCs w:val="21"/>
              </w:rPr>
              <w:t>800</w:t>
            </w:r>
          </w:p>
        </w:tc>
        <w:tc>
          <w:tcPr>
            <w:tcW w:w="1585" w:type="dxa"/>
            <w:tcBorders>
              <w:tl2br w:val="nil"/>
              <w:tr2bl w:val="nil"/>
            </w:tcBorders>
          </w:tcPr>
          <w:p w:rsidR="00525419" w:rsidRDefault="00EE1CF7">
            <w:pPr>
              <w:rPr>
                <w:rFonts w:ascii="Times New Roman" w:hAnsi="Times New Roman"/>
                <w:szCs w:val="21"/>
              </w:rPr>
            </w:pPr>
            <w:r>
              <w:rPr>
                <w:rFonts w:ascii="Times New Roman" w:hAnsi="Times New Roman"/>
                <w:szCs w:val="21"/>
              </w:rPr>
              <w:t>10.4</w:t>
            </w:r>
          </w:p>
        </w:tc>
        <w:tc>
          <w:tcPr>
            <w:tcW w:w="1162" w:type="dxa"/>
            <w:tcBorders>
              <w:tl2br w:val="nil"/>
              <w:tr2bl w:val="nil"/>
            </w:tcBorders>
          </w:tcPr>
          <w:p w:rsidR="00525419" w:rsidRDefault="00EE1CF7">
            <w:pPr>
              <w:rPr>
                <w:rFonts w:ascii="Times New Roman" w:hAnsi="Times New Roman"/>
                <w:szCs w:val="21"/>
              </w:rPr>
            </w:pPr>
            <w:r>
              <w:rPr>
                <w:rFonts w:ascii="Times New Roman" w:hAnsi="Times New Roman"/>
                <w:szCs w:val="21"/>
              </w:rPr>
              <w:t>1100</w:t>
            </w:r>
          </w:p>
        </w:tc>
        <w:tc>
          <w:tcPr>
            <w:tcW w:w="2047" w:type="dxa"/>
            <w:tcBorders>
              <w:tl2br w:val="nil"/>
              <w:tr2bl w:val="nil"/>
            </w:tcBorders>
          </w:tcPr>
          <w:p w:rsidR="00525419" w:rsidRDefault="00EE1CF7">
            <w:pPr>
              <w:rPr>
                <w:rFonts w:ascii="Times New Roman" w:hAnsi="Times New Roman"/>
                <w:szCs w:val="21"/>
              </w:rPr>
            </w:pPr>
            <w:r>
              <w:rPr>
                <w:rFonts w:ascii="Times New Roman" w:hAnsi="Times New Roman"/>
                <w:szCs w:val="21"/>
              </w:rPr>
              <w:t>0.04</w:t>
            </w:r>
          </w:p>
        </w:tc>
      </w:tr>
      <w:tr w:rsidR="00525419">
        <w:trPr>
          <w:trHeight w:val="340"/>
        </w:trPr>
        <w:tc>
          <w:tcPr>
            <w:tcW w:w="1134" w:type="dxa"/>
            <w:tcBorders>
              <w:tl2br w:val="nil"/>
              <w:tr2bl w:val="nil"/>
            </w:tcBorders>
          </w:tcPr>
          <w:p w:rsidR="00525419" w:rsidRDefault="00EE1CF7">
            <w:pPr>
              <w:rPr>
                <w:rFonts w:ascii="Times New Roman" w:hAnsi="Times New Roman"/>
                <w:szCs w:val="21"/>
              </w:rPr>
            </w:pPr>
            <w:r>
              <w:rPr>
                <w:rFonts w:ascii="Times New Roman" w:hAnsi="Times New Roman"/>
                <w:szCs w:val="21"/>
              </w:rPr>
              <w:t>评价标准值</w:t>
            </w:r>
          </w:p>
        </w:tc>
        <w:tc>
          <w:tcPr>
            <w:tcW w:w="7172" w:type="dxa"/>
            <w:gridSpan w:val="5"/>
            <w:tcBorders>
              <w:tl2br w:val="nil"/>
              <w:tr2bl w:val="nil"/>
            </w:tcBorders>
          </w:tcPr>
          <w:p w:rsidR="00525419" w:rsidRDefault="00EE1CF7">
            <w:pPr>
              <w:rPr>
                <w:rFonts w:ascii="Times New Roman" w:hAnsi="Times New Roman"/>
                <w:szCs w:val="21"/>
              </w:rPr>
            </w:pPr>
            <w:r>
              <w:rPr>
                <w:rFonts w:ascii="Times New Roman" w:hAnsi="Times New Roman"/>
                <w:szCs w:val="21"/>
              </w:rPr>
              <w:t>0.05mg/L</w:t>
            </w:r>
            <w:r>
              <w:rPr>
                <w:rFonts w:ascii="Times New Roman" w:hAnsi="Times New Roman"/>
                <w:szCs w:val="21"/>
              </w:rPr>
              <w:t>《地表水环境质量标准》三级</w:t>
            </w:r>
          </w:p>
        </w:tc>
      </w:tr>
    </w:tbl>
    <w:p w:rsidR="00525419" w:rsidRDefault="00EE1CF7">
      <w:pPr>
        <w:widowControl/>
        <w:adjustRightInd w:val="0"/>
        <w:snapToGrid w:val="0"/>
        <w:spacing w:line="500" w:lineRule="exact"/>
        <w:jc w:val="center"/>
        <w:rPr>
          <w:rFonts w:ascii="Times New Roman" w:hAnsi="Times New Roman"/>
          <w:b/>
          <w:bCs/>
          <w:szCs w:val="21"/>
        </w:rPr>
      </w:pPr>
      <w:r>
        <w:rPr>
          <w:rFonts w:ascii="Times New Roman" w:hAnsi="Times New Roman"/>
          <w:noProof/>
        </w:rPr>
        <w:lastRenderedPageBreak/>
        <w:drawing>
          <wp:anchor distT="0" distB="0" distL="114300" distR="114300" simplePos="0" relativeHeight="251631104" behindDoc="0" locked="0" layoutInCell="1" allowOverlap="1">
            <wp:simplePos x="0" y="0"/>
            <wp:positionH relativeFrom="column">
              <wp:posOffset>-28575</wp:posOffset>
            </wp:positionH>
            <wp:positionV relativeFrom="paragraph">
              <wp:posOffset>92075</wp:posOffset>
            </wp:positionV>
            <wp:extent cx="5267960" cy="2965450"/>
            <wp:effectExtent l="0" t="0" r="8890" b="6350"/>
            <wp:wrapNone/>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31"/>
                    <a:stretch>
                      <a:fillRect/>
                    </a:stretch>
                  </pic:blipFill>
                  <pic:spPr>
                    <a:xfrm>
                      <a:off x="0" y="0"/>
                      <a:ext cx="5267960" cy="2965450"/>
                    </a:xfrm>
                    <a:prstGeom prst="rect">
                      <a:avLst/>
                    </a:prstGeom>
                    <a:noFill/>
                    <a:ln>
                      <a:noFill/>
                    </a:ln>
                  </pic:spPr>
                </pic:pic>
              </a:graphicData>
            </a:graphic>
          </wp:anchor>
        </w:drawing>
      </w:r>
    </w:p>
    <w:p w:rsidR="00525419" w:rsidRDefault="00525419">
      <w:pPr>
        <w:widowControl/>
        <w:adjustRightInd w:val="0"/>
        <w:snapToGrid w:val="0"/>
        <w:spacing w:line="500" w:lineRule="exact"/>
        <w:jc w:val="center"/>
        <w:rPr>
          <w:rFonts w:ascii="Times New Roman" w:hAnsi="Times New Roman"/>
          <w:b/>
          <w:bCs/>
          <w:szCs w:val="21"/>
        </w:rPr>
      </w:pPr>
    </w:p>
    <w:p w:rsidR="00525419" w:rsidRDefault="00525419">
      <w:pPr>
        <w:widowControl/>
        <w:adjustRightInd w:val="0"/>
        <w:snapToGrid w:val="0"/>
        <w:spacing w:line="500" w:lineRule="exact"/>
        <w:jc w:val="center"/>
        <w:rPr>
          <w:rFonts w:ascii="Times New Roman" w:hAnsi="Times New Roman"/>
          <w:b/>
          <w:bCs/>
          <w:szCs w:val="21"/>
        </w:rPr>
      </w:pPr>
    </w:p>
    <w:p w:rsidR="00525419" w:rsidRDefault="00525419">
      <w:pPr>
        <w:widowControl/>
        <w:adjustRightInd w:val="0"/>
        <w:snapToGrid w:val="0"/>
        <w:spacing w:line="500" w:lineRule="exact"/>
        <w:jc w:val="center"/>
        <w:rPr>
          <w:rFonts w:ascii="Times New Roman" w:hAnsi="Times New Roman"/>
          <w:b/>
          <w:bCs/>
          <w:szCs w:val="21"/>
        </w:rPr>
      </w:pPr>
    </w:p>
    <w:p w:rsidR="00525419" w:rsidRDefault="00525419">
      <w:pPr>
        <w:widowControl/>
        <w:adjustRightInd w:val="0"/>
        <w:snapToGrid w:val="0"/>
        <w:spacing w:line="500" w:lineRule="exact"/>
        <w:jc w:val="center"/>
        <w:rPr>
          <w:rFonts w:ascii="Times New Roman" w:hAnsi="Times New Roman"/>
          <w:b/>
          <w:bCs/>
          <w:szCs w:val="21"/>
        </w:rPr>
      </w:pPr>
    </w:p>
    <w:p w:rsidR="00525419" w:rsidRDefault="00525419">
      <w:pPr>
        <w:widowControl/>
        <w:adjustRightInd w:val="0"/>
        <w:snapToGrid w:val="0"/>
        <w:spacing w:line="500" w:lineRule="exact"/>
        <w:jc w:val="center"/>
        <w:rPr>
          <w:rFonts w:ascii="Times New Roman" w:hAnsi="Times New Roman"/>
          <w:b/>
          <w:bCs/>
          <w:szCs w:val="21"/>
        </w:rPr>
      </w:pPr>
    </w:p>
    <w:p w:rsidR="00525419" w:rsidRDefault="00525419">
      <w:pPr>
        <w:widowControl/>
        <w:adjustRightInd w:val="0"/>
        <w:snapToGrid w:val="0"/>
        <w:spacing w:line="500" w:lineRule="exact"/>
        <w:jc w:val="center"/>
        <w:rPr>
          <w:rFonts w:ascii="Times New Roman" w:hAnsi="Times New Roman"/>
          <w:b/>
          <w:bCs/>
          <w:szCs w:val="21"/>
        </w:rPr>
      </w:pPr>
    </w:p>
    <w:p w:rsidR="00525419" w:rsidRDefault="00525419">
      <w:pPr>
        <w:widowControl/>
        <w:adjustRightInd w:val="0"/>
        <w:snapToGrid w:val="0"/>
        <w:spacing w:line="500" w:lineRule="exact"/>
        <w:jc w:val="center"/>
        <w:rPr>
          <w:rFonts w:ascii="Times New Roman" w:hAnsi="Times New Roman"/>
          <w:b/>
          <w:bCs/>
          <w:szCs w:val="21"/>
        </w:rPr>
      </w:pPr>
    </w:p>
    <w:p w:rsidR="00525419" w:rsidRDefault="00525419">
      <w:pPr>
        <w:widowControl/>
        <w:adjustRightInd w:val="0"/>
        <w:snapToGrid w:val="0"/>
        <w:spacing w:line="500" w:lineRule="exact"/>
        <w:jc w:val="center"/>
        <w:rPr>
          <w:rFonts w:ascii="Times New Roman" w:hAnsi="Times New Roman"/>
          <w:b/>
          <w:bCs/>
          <w:szCs w:val="21"/>
        </w:rPr>
      </w:pPr>
    </w:p>
    <w:p w:rsidR="00525419" w:rsidRDefault="00525419">
      <w:pPr>
        <w:widowControl/>
        <w:adjustRightInd w:val="0"/>
        <w:snapToGrid w:val="0"/>
        <w:spacing w:line="500" w:lineRule="exact"/>
        <w:jc w:val="center"/>
        <w:rPr>
          <w:rFonts w:ascii="Times New Roman" w:hAnsi="Times New Roman"/>
          <w:b/>
          <w:bCs/>
          <w:szCs w:val="21"/>
        </w:rPr>
      </w:pPr>
    </w:p>
    <w:p w:rsidR="00525419" w:rsidRDefault="00EE1CF7">
      <w:pPr>
        <w:widowControl/>
        <w:adjustRightInd w:val="0"/>
        <w:snapToGrid w:val="0"/>
        <w:spacing w:line="500" w:lineRule="exact"/>
        <w:jc w:val="center"/>
        <w:rPr>
          <w:rFonts w:ascii="Times New Roman" w:hAnsi="Times New Roman"/>
          <w:b/>
          <w:bCs/>
          <w:szCs w:val="21"/>
        </w:rPr>
      </w:pPr>
      <w:r>
        <w:rPr>
          <w:rFonts w:ascii="Times New Roman" w:hAnsi="Times New Roman"/>
          <w:b/>
          <w:bCs/>
          <w:szCs w:val="21"/>
        </w:rPr>
        <w:t>图</w:t>
      </w:r>
      <w:r>
        <w:rPr>
          <w:rFonts w:ascii="Times New Roman" w:hAnsi="Times New Roman"/>
          <w:b/>
          <w:bCs/>
          <w:szCs w:val="21"/>
        </w:rPr>
        <w:t xml:space="preserve">5.2-6   </w:t>
      </w:r>
      <w:r>
        <w:rPr>
          <w:rFonts w:ascii="Times New Roman" w:hAnsi="Times New Roman"/>
          <w:b/>
          <w:bCs/>
          <w:szCs w:val="21"/>
        </w:rPr>
        <w:t>储罐泄漏</w:t>
      </w:r>
      <w:r>
        <w:rPr>
          <w:rFonts w:ascii="Times New Roman" w:hAnsi="Times New Roman"/>
          <w:b/>
          <w:bCs/>
          <w:szCs w:val="21"/>
        </w:rPr>
        <w:t>100</w:t>
      </w:r>
      <w:r>
        <w:rPr>
          <w:rFonts w:ascii="Times New Roman" w:hAnsi="Times New Roman"/>
          <w:b/>
          <w:bCs/>
          <w:szCs w:val="21"/>
        </w:rPr>
        <w:t>天后石油类浓度分布曲线示意图</w:t>
      </w:r>
    </w:p>
    <w:p w:rsidR="00525419" w:rsidRDefault="00525419">
      <w:pPr>
        <w:pStyle w:val="affffe"/>
        <w:rPr>
          <w:rFonts w:ascii="Times New Roman"/>
          <w:b/>
          <w:bCs/>
          <w:szCs w:val="21"/>
        </w:rPr>
      </w:pPr>
    </w:p>
    <w:p w:rsidR="00525419" w:rsidRDefault="00EE1CF7">
      <w:pPr>
        <w:pStyle w:val="affffe"/>
        <w:rPr>
          <w:rFonts w:ascii="Times New Roman"/>
          <w:b/>
          <w:bCs/>
          <w:szCs w:val="21"/>
        </w:rPr>
      </w:pPr>
      <w:r>
        <w:rPr>
          <w:rFonts w:ascii="Times New Roman"/>
          <w:noProof/>
        </w:rPr>
        <w:drawing>
          <wp:inline distT="0" distB="0" distL="114300" distR="114300">
            <wp:extent cx="5268595" cy="2565400"/>
            <wp:effectExtent l="0" t="0" r="8255" b="6350"/>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32"/>
                    <a:stretch>
                      <a:fillRect/>
                    </a:stretch>
                  </pic:blipFill>
                  <pic:spPr>
                    <a:xfrm>
                      <a:off x="0" y="0"/>
                      <a:ext cx="5268595" cy="2565400"/>
                    </a:xfrm>
                    <a:prstGeom prst="rect">
                      <a:avLst/>
                    </a:prstGeom>
                    <a:noFill/>
                    <a:ln>
                      <a:noFill/>
                    </a:ln>
                  </pic:spPr>
                </pic:pic>
              </a:graphicData>
            </a:graphic>
          </wp:inline>
        </w:drawing>
      </w:r>
    </w:p>
    <w:p w:rsidR="00525419" w:rsidRDefault="00EE1CF7">
      <w:pPr>
        <w:widowControl/>
        <w:adjustRightInd w:val="0"/>
        <w:snapToGrid w:val="0"/>
        <w:spacing w:line="500" w:lineRule="exact"/>
        <w:jc w:val="center"/>
        <w:rPr>
          <w:rFonts w:ascii="Times New Roman" w:hAnsi="Times New Roman"/>
          <w:b/>
          <w:bCs/>
          <w:szCs w:val="21"/>
        </w:rPr>
      </w:pPr>
      <w:r>
        <w:rPr>
          <w:rFonts w:ascii="Times New Roman" w:hAnsi="Times New Roman"/>
          <w:b/>
          <w:bCs/>
          <w:szCs w:val="21"/>
        </w:rPr>
        <w:t>图</w:t>
      </w:r>
      <w:r>
        <w:rPr>
          <w:rFonts w:ascii="Times New Roman" w:hAnsi="Times New Roman"/>
          <w:b/>
          <w:bCs/>
          <w:szCs w:val="21"/>
        </w:rPr>
        <w:t xml:space="preserve">5.2-7  </w:t>
      </w:r>
      <w:r>
        <w:rPr>
          <w:rFonts w:ascii="Times New Roman" w:hAnsi="Times New Roman"/>
          <w:b/>
          <w:bCs/>
          <w:szCs w:val="21"/>
        </w:rPr>
        <w:t>储罐泄漏</w:t>
      </w:r>
      <w:r>
        <w:rPr>
          <w:rFonts w:ascii="Times New Roman" w:hAnsi="Times New Roman"/>
          <w:b/>
          <w:bCs/>
          <w:szCs w:val="21"/>
        </w:rPr>
        <w:t>365</w:t>
      </w:r>
      <w:r>
        <w:rPr>
          <w:rFonts w:ascii="Times New Roman" w:hAnsi="Times New Roman"/>
          <w:b/>
          <w:bCs/>
          <w:szCs w:val="21"/>
        </w:rPr>
        <w:t>天后石油类浓度分布曲线示意图</w:t>
      </w:r>
    </w:p>
    <w:p w:rsidR="00525419" w:rsidRDefault="00EE1CF7">
      <w:pPr>
        <w:pStyle w:val="affffe"/>
        <w:rPr>
          <w:rFonts w:ascii="Times New Roman"/>
          <w:b/>
          <w:bCs/>
          <w:szCs w:val="21"/>
        </w:rPr>
      </w:pPr>
      <w:r>
        <w:rPr>
          <w:rFonts w:ascii="Times New Roman"/>
          <w:noProof/>
        </w:rPr>
        <w:lastRenderedPageBreak/>
        <w:drawing>
          <wp:inline distT="0" distB="0" distL="114300" distR="114300">
            <wp:extent cx="5264785" cy="2924810"/>
            <wp:effectExtent l="0" t="0" r="12065" b="8890"/>
            <wp:docPr id="3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pic:cNvPicPr>
                      <a:picLocks noChangeAspect="1"/>
                    </pic:cNvPicPr>
                  </pic:nvPicPr>
                  <pic:blipFill>
                    <a:blip r:embed="rId33"/>
                    <a:stretch>
                      <a:fillRect/>
                    </a:stretch>
                  </pic:blipFill>
                  <pic:spPr>
                    <a:xfrm>
                      <a:off x="0" y="0"/>
                      <a:ext cx="5264785" cy="2924810"/>
                    </a:xfrm>
                    <a:prstGeom prst="rect">
                      <a:avLst/>
                    </a:prstGeom>
                    <a:noFill/>
                    <a:ln>
                      <a:noFill/>
                    </a:ln>
                  </pic:spPr>
                </pic:pic>
              </a:graphicData>
            </a:graphic>
          </wp:inline>
        </w:drawing>
      </w:r>
    </w:p>
    <w:p w:rsidR="00525419" w:rsidRDefault="00EE1CF7">
      <w:pPr>
        <w:widowControl/>
        <w:adjustRightInd w:val="0"/>
        <w:snapToGrid w:val="0"/>
        <w:spacing w:line="500" w:lineRule="exact"/>
        <w:jc w:val="center"/>
        <w:rPr>
          <w:rFonts w:ascii="Times New Roman" w:hAnsi="Times New Roman"/>
          <w:b/>
          <w:bCs/>
          <w:szCs w:val="21"/>
        </w:rPr>
      </w:pPr>
      <w:r>
        <w:rPr>
          <w:rFonts w:ascii="Times New Roman" w:hAnsi="Times New Roman"/>
          <w:b/>
          <w:bCs/>
          <w:szCs w:val="21"/>
        </w:rPr>
        <w:t>图</w:t>
      </w:r>
      <w:r>
        <w:rPr>
          <w:rFonts w:ascii="Times New Roman" w:hAnsi="Times New Roman"/>
          <w:b/>
          <w:bCs/>
          <w:szCs w:val="21"/>
        </w:rPr>
        <w:t xml:space="preserve">5.2-8  </w:t>
      </w:r>
      <w:r>
        <w:rPr>
          <w:rFonts w:ascii="Times New Roman" w:hAnsi="Times New Roman"/>
          <w:b/>
          <w:bCs/>
          <w:szCs w:val="21"/>
        </w:rPr>
        <w:t>储罐泄漏</w:t>
      </w:r>
      <w:r>
        <w:rPr>
          <w:rFonts w:ascii="Times New Roman" w:hAnsi="Times New Roman"/>
          <w:b/>
          <w:bCs/>
          <w:szCs w:val="21"/>
        </w:rPr>
        <w:t>1000</w:t>
      </w:r>
      <w:r>
        <w:rPr>
          <w:rFonts w:ascii="Times New Roman" w:hAnsi="Times New Roman"/>
          <w:b/>
          <w:bCs/>
          <w:szCs w:val="21"/>
        </w:rPr>
        <w:t>天后石油类浓度分布曲线示意图</w:t>
      </w:r>
    </w:p>
    <w:p w:rsidR="00525419" w:rsidRDefault="00525419">
      <w:pPr>
        <w:pStyle w:val="affffe"/>
        <w:rPr>
          <w:rFonts w:ascii="Times New Roman"/>
          <w:b/>
          <w:bCs/>
          <w:szCs w:val="21"/>
        </w:rPr>
      </w:pPr>
    </w:p>
    <w:p w:rsidR="00525419" w:rsidRDefault="00EE1CF7">
      <w:pPr>
        <w:pStyle w:val="affffe"/>
        <w:rPr>
          <w:rFonts w:ascii="Times New Roman"/>
          <w:b/>
          <w:bCs/>
          <w:szCs w:val="21"/>
        </w:rPr>
      </w:pPr>
      <w:r>
        <w:rPr>
          <w:rFonts w:ascii="Times New Roman"/>
          <w:noProof/>
        </w:rPr>
        <w:drawing>
          <wp:inline distT="0" distB="0" distL="114300" distR="114300">
            <wp:extent cx="5267960" cy="3103245"/>
            <wp:effectExtent l="0" t="0" r="8890" b="1905"/>
            <wp:docPr id="3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pic:cNvPicPr>
                      <a:picLocks noChangeAspect="1"/>
                    </pic:cNvPicPr>
                  </pic:nvPicPr>
                  <pic:blipFill>
                    <a:blip r:embed="rId34"/>
                    <a:stretch>
                      <a:fillRect/>
                    </a:stretch>
                  </pic:blipFill>
                  <pic:spPr>
                    <a:xfrm>
                      <a:off x="0" y="0"/>
                      <a:ext cx="5267960" cy="3103245"/>
                    </a:xfrm>
                    <a:prstGeom prst="rect">
                      <a:avLst/>
                    </a:prstGeom>
                    <a:noFill/>
                    <a:ln>
                      <a:noFill/>
                    </a:ln>
                  </pic:spPr>
                </pic:pic>
              </a:graphicData>
            </a:graphic>
          </wp:inline>
        </w:drawing>
      </w:r>
    </w:p>
    <w:p w:rsidR="00525419" w:rsidRDefault="00EE1CF7">
      <w:pPr>
        <w:widowControl/>
        <w:adjustRightInd w:val="0"/>
        <w:snapToGrid w:val="0"/>
        <w:spacing w:line="500" w:lineRule="exact"/>
        <w:jc w:val="center"/>
        <w:rPr>
          <w:rFonts w:ascii="Times New Roman" w:hAnsi="Times New Roman"/>
          <w:b/>
          <w:bCs/>
          <w:szCs w:val="21"/>
        </w:rPr>
      </w:pPr>
      <w:r>
        <w:rPr>
          <w:rFonts w:ascii="Times New Roman" w:hAnsi="Times New Roman"/>
          <w:b/>
          <w:bCs/>
          <w:szCs w:val="21"/>
        </w:rPr>
        <w:t>图</w:t>
      </w:r>
      <w:r>
        <w:rPr>
          <w:rFonts w:ascii="Times New Roman" w:hAnsi="Times New Roman"/>
          <w:b/>
          <w:bCs/>
          <w:szCs w:val="21"/>
        </w:rPr>
        <w:t xml:space="preserve">5.2-9  </w:t>
      </w:r>
      <w:r>
        <w:rPr>
          <w:rFonts w:ascii="Times New Roman" w:hAnsi="Times New Roman"/>
          <w:b/>
          <w:bCs/>
          <w:szCs w:val="21"/>
        </w:rPr>
        <w:t>储罐泄漏</w:t>
      </w:r>
      <w:r>
        <w:rPr>
          <w:rFonts w:ascii="Times New Roman" w:hAnsi="Times New Roman"/>
          <w:b/>
          <w:bCs/>
          <w:szCs w:val="21"/>
        </w:rPr>
        <w:t>3650</w:t>
      </w:r>
      <w:r>
        <w:rPr>
          <w:rFonts w:ascii="Times New Roman" w:hAnsi="Times New Roman"/>
          <w:b/>
          <w:bCs/>
          <w:szCs w:val="21"/>
        </w:rPr>
        <w:t>天后石油类浓度分布曲线示意图</w:t>
      </w:r>
    </w:p>
    <w:p w:rsidR="00525419" w:rsidRDefault="00525419">
      <w:pPr>
        <w:pStyle w:val="affffe"/>
        <w:rPr>
          <w:rFonts w:ascii="Times New Roman"/>
          <w:b/>
          <w:bCs/>
          <w:szCs w:val="21"/>
        </w:rPr>
      </w:pPr>
    </w:p>
    <w:p w:rsidR="00525419" w:rsidRDefault="00EE1CF7">
      <w:pPr>
        <w:widowControl/>
        <w:adjustRightInd w:val="0"/>
        <w:snapToGrid w:val="0"/>
        <w:spacing w:line="360" w:lineRule="auto"/>
        <w:ind w:firstLineChars="200" w:firstLine="480"/>
        <w:rPr>
          <w:rFonts w:ascii="Times New Roman" w:hAnsi="Times New Roman"/>
          <w:sz w:val="24"/>
          <w:szCs w:val="24"/>
          <w:lang w:bidi="ar"/>
        </w:rPr>
      </w:pPr>
      <w:r>
        <w:rPr>
          <w:rFonts w:ascii="Times New Roman" w:hAnsi="Times New Roman"/>
          <w:sz w:val="24"/>
          <w:szCs w:val="24"/>
        </w:rPr>
        <w:t>由表</w:t>
      </w:r>
      <w:r>
        <w:rPr>
          <w:rFonts w:ascii="Times New Roman" w:hAnsi="Times New Roman"/>
          <w:sz w:val="24"/>
          <w:szCs w:val="24"/>
        </w:rPr>
        <w:t>5.2-4</w:t>
      </w:r>
      <w:r>
        <w:rPr>
          <w:rFonts w:ascii="Times New Roman" w:hAnsi="Times New Roman"/>
          <w:sz w:val="24"/>
          <w:szCs w:val="24"/>
        </w:rPr>
        <w:t>可以看出，发现污染事故后，及时关闭物料阀门，在</w:t>
      </w:r>
      <w:r>
        <w:rPr>
          <w:rFonts w:ascii="Times New Roman" w:hAnsi="Times New Roman"/>
          <w:sz w:val="24"/>
          <w:szCs w:val="24"/>
        </w:rPr>
        <w:t>24h</w:t>
      </w:r>
      <w:r>
        <w:rPr>
          <w:rFonts w:ascii="Times New Roman" w:hAnsi="Times New Roman"/>
          <w:sz w:val="24"/>
          <w:szCs w:val="24"/>
        </w:rPr>
        <w:t>之内将污染物料清理完毕，不考虑包气带的降解作用，物料渗入地下，</w:t>
      </w:r>
      <w:r>
        <w:rPr>
          <w:rFonts w:ascii="Times New Roman" w:hAnsi="Times New Roman"/>
          <w:sz w:val="24"/>
          <w:szCs w:val="24"/>
        </w:rPr>
        <w:t>100d</w:t>
      </w: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年、</w:t>
      </w:r>
      <w:r>
        <w:rPr>
          <w:rFonts w:ascii="Times New Roman" w:hAnsi="Times New Roman"/>
          <w:sz w:val="24"/>
          <w:szCs w:val="24"/>
        </w:rPr>
        <w:t>1000d</w:t>
      </w:r>
      <w:r>
        <w:rPr>
          <w:rFonts w:ascii="Times New Roman" w:hAnsi="Times New Roman"/>
          <w:sz w:val="24"/>
          <w:szCs w:val="24"/>
        </w:rPr>
        <w:t>、</w:t>
      </w:r>
      <w:r>
        <w:rPr>
          <w:rFonts w:ascii="Times New Roman" w:hAnsi="Times New Roman"/>
          <w:sz w:val="24"/>
          <w:szCs w:val="24"/>
        </w:rPr>
        <w:t>10</w:t>
      </w:r>
      <w:r>
        <w:rPr>
          <w:rFonts w:ascii="Times New Roman" w:hAnsi="Times New Roman"/>
          <w:sz w:val="24"/>
          <w:szCs w:val="24"/>
        </w:rPr>
        <w:t>年之后在</w:t>
      </w:r>
      <w:r>
        <w:rPr>
          <w:rFonts w:ascii="Times New Roman" w:hAnsi="Times New Roman"/>
          <w:sz w:val="24"/>
          <w:szCs w:val="24"/>
        </w:rPr>
        <w:t>20m</w:t>
      </w:r>
      <w:r>
        <w:rPr>
          <w:rFonts w:ascii="Times New Roman" w:hAnsi="Times New Roman"/>
          <w:sz w:val="24"/>
          <w:szCs w:val="24"/>
        </w:rPr>
        <w:t>、</w:t>
      </w:r>
      <w:r>
        <w:rPr>
          <w:rFonts w:ascii="Times New Roman" w:hAnsi="Times New Roman"/>
          <w:sz w:val="24"/>
          <w:szCs w:val="24"/>
        </w:rPr>
        <w:t>80m</w:t>
      </w:r>
      <w:r>
        <w:rPr>
          <w:rFonts w:ascii="Times New Roman" w:hAnsi="Times New Roman"/>
          <w:sz w:val="24"/>
          <w:szCs w:val="24"/>
        </w:rPr>
        <w:t>、</w:t>
      </w:r>
      <w:r>
        <w:rPr>
          <w:rFonts w:ascii="Times New Roman" w:hAnsi="Times New Roman"/>
          <w:sz w:val="24"/>
          <w:szCs w:val="24"/>
        </w:rPr>
        <w:t>220m</w:t>
      </w:r>
      <w:r>
        <w:rPr>
          <w:rFonts w:ascii="Times New Roman" w:hAnsi="Times New Roman"/>
          <w:sz w:val="24"/>
          <w:szCs w:val="24"/>
        </w:rPr>
        <w:t>、</w:t>
      </w:r>
      <w:r>
        <w:rPr>
          <w:rFonts w:ascii="Times New Roman" w:hAnsi="Times New Roman"/>
          <w:sz w:val="24"/>
          <w:szCs w:val="24"/>
        </w:rPr>
        <w:t>800m</w:t>
      </w:r>
      <w:r>
        <w:rPr>
          <w:rFonts w:ascii="Times New Roman" w:hAnsi="Times New Roman"/>
          <w:sz w:val="24"/>
          <w:szCs w:val="24"/>
        </w:rPr>
        <w:t>处地下水中石油类出现最大浓度，分别在</w:t>
      </w:r>
      <w:r>
        <w:rPr>
          <w:rFonts w:ascii="Times New Roman" w:hAnsi="Times New Roman"/>
          <w:sz w:val="24"/>
          <w:szCs w:val="24"/>
        </w:rPr>
        <w:t>80m</w:t>
      </w:r>
      <w:r>
        <w:rPr>
          <w:rFonts w:ascii="Times New Roman" w:hAnsi="Times New Roman"/>
          <w:sz w:val="24"/>
          <w:szCs w:val="24"/>
        </w:rPr>
        <w:t>、</w:t>
      </w:r>
      <w:r>
        <w:rPr>
          <w:rFonts w:ascii="Times New Roman" w:hAnsi="Times New Roman"/>
          <w:sz w:val="24"/>
          <w:szCs w:val="24"/>
        </w:rPr>
        <w:t>190m</w:t>
      </w:r>
      <w:r>
        <w:rPr>
          <w:rFonts w:ascii="Times New Roman" w:hAnsi="Times New Roman"/>
          <w:sz w:val="24"/>
          <w:szCs w:val="24"/>
        </w:rPr>
        <w:t>、</w:t>
      </w:r>
      <w:r>
        <w:rPr>
          <w:rFonts w:ascii="Times New Roman" w:hAnsi="Times New Roman"/>
          <w:sz w:val="24"/>
          <w:szCs w:val="24"/>
        </w:rPr>
        <w:t>390m</w:t>
      </w:r>
      <w:r>
        <w:rPr>
          <w:rFonts w:ascii="Times New Roman" w:hAnsi="Times New Roman"/>
          <w:sz w:val="24"/>
          <w:szCs w:val="24"/>
        </w:rPr>
        <w:t>、</w:t>
      </w:r>
      <w:r>
        <w:rPr>
          <w:rFonts w:ascii="Times New Roman" w:hAnsi="Times New Roman"/>
          <w:sz w:val="24"/>
          <w:szCs w:val="24"/>
        </w:rPr>
        <w:t>1100m</w:t>
      </w:r>
      <w:r>
        <w:rPr>
          <w:rFonts w:ascii="Times New Roman" w:hAnsi="Times New Roman"/>
          <w:sz w:val="24"/>
          <w:szCs w:val="24"/>
        </w:rPr>
        <w:t>以外均满足</w:t>
      </w:r>
      <w:r>
        <w:rPr>
          <w:rFonts w:ascii="Times New Roman" w:hAnsi="Times New Roman"/>
          <w:sz w:val="24"/>
          <w:szCs w:val="24"/>
          <w:lang w:bidi="ar"/>
        </w:rPr>
        <w:t>《地表水环境质量标准》（</w:t>
      </w:r>
      <w:r>
        <w:rPr>
          <w:rFonts w:ascii="Times New Roman" w:hAnsi="Times New Roman"/>
          <w:sz w:val="24"/>
          <w:szCs w:val="24"/>
          <w:lang w:bidi="ar"/>
        </w:rPr>
        <w:t>GB3838-2002</w:t>
      </w:r>
      <w:r>
        <w:rPr>
          <w:rFonts w:ascii="Times New Roman" w:hAnsi="Times New Roman"/>
          <w:sz w:val="24"/>
          <w:szCs w:val="24"/>
          <w:lang w:bidi="ar"/>
        </w:rPr>
        <w:t>）中的</w:t>
      </w:r>
      <w:r>
        <w:rPr>
          <w:rFonts w:ascii="Times New Roman" w:eastAsia="仿宋" w:hAnsi="Times New Roman"/>
          <w:sz w:val="24"/>
          <w:szCs w:val="24"/>
          <w:lang w:bidi="ar"/>
        </w:rPr>
        <w:t>Ⅲ</w:t>
      </w:r>
      <w:r>
        <w:rPr>
          <w:rFonts w:ascii="Times New Roman" w:hAnsi="Times New Roman"/>
          <w:sz w:val="24"/>
          <w:szCs w:val="24"/>
          <w:lang w:bidi="ar"/>
        </w:rPr>
        <w:t>类标准限值。</w:t>
      </w:r>
      <w:r>
        <w:rPr>
          <w:rFonts w:ascii="Times New Roman" w:hAnsi="Times New Roman"/>
          <w:sz w:val="24"/>
          <w:szCs w:val="24"/>
        </w:rPr>
        <w:t>由于</w:t>
      </w:r>
      <w:r>
        <w:rPr>
          <w:rFonts w:ascii="Times New Roman" w:hAnsi="Times New Roman"/>
          <w:snapToGrid w:val="0"/>
          <w:sz w:val="24"/>
          <w:szCs w:val="24"/>
        </w:rPr>
        <w:t>本工程储罐区建设有完备的防渗措施，从根源上防止地下水污染的形成，</w:t>
      </w:r>
      <w:r>
        <w:rPr>
          <w:rFonts w:ascii="Times New Roman" w:hAnsi="Times New Roman"/>
          <w:sz w:val="24"/>
          <w:szCs w:val="24"/>
        </w:rPr>
        <w:t>因此在正常状况下的污染物在对地下水的影响相对不大。非正</w:t>
      </w:r>
      <w:r>
        <w:rPr>
          <w:rFonts w:ascii="Times New Roman" w:hAnsi="Times New Roman"/>
          <w:sz w:val="24"/>
          <w:szCs w:val="24"/>
        </w:rPr>
        <w:lastRenderedPageBreak/>
        <w:t>常状况下，通过布设监控井及时发现储罐渗漏污染地下水现象，并采取进一步应急响应措施阻止污染范围持续扩大。</w:t>
      </w:r>
    </w:p>
    <w:p w:rsidR="00525419" w:rsidRDefault="00EE1CF7">
      <w:pPr>
        <w:pStyle w:val="afd"/>
        <w:spacing w:after="0" w:line="360" w:lineRule="auto"/>
        <w:ind w:leftChars="0" w:left="0" w:firstLineChars="200" w:firstLine="480"/>
        <w:jc w:val="left"/>
        <w:rPr>
          <w:kern w:val="2"/>
          <w:sz w:val="24"/>
          <w:lang w:bidi="ar"/>
        </w:rPr>
      </w:pPr>
      <w:r>
        <w:rPr>
          <w:kern w:val="2"/>
          <w:sz w:val="24"/>
          <w:lang w:bidi="ar"/>
        </w:rPr>
        <w:t>综合以上模拟预测可以看出，确保防渗措施和渗漏检测有效这两项工作对于</w:t>
      </w:r>
    </w:p>
    <w:p w:rsidR="00525419" w:rsidRDefault="00EE1CF7">
      <w:pPr>
        <w:autoSpaceDE w:val="0"/>
        <w:autoSpaceDN w:val="0"/>
        <w:adjustRightInd w:val="0"/>
        <w:snapToGrid w:val="0"/>
        <w:spacing w:line="360" w:lineRule="auto"/>
        <w:rPr>
          <w:rFonts w:ascii="Times New Roman" w:hAnsi="Times New Roman"/>
          <w:sz w:val="24"/>
          <w:szCs w:val="24"/>
        </w:rPr>
      </w:pPr>
      <w:r>
        <w:rPr>
          <w:rFonts w:ascii="Times New Roman" w:hAnsi="Times New Roman"/>
          <w:sz w:val="24"/>
          <w:szCs w:val="24"/>
          <w:lang w:bidi="ar"/>
        </w:rPr>
        <w:t>防止地下水遭受污染具有非常重要的意义，监控井合理布设和适当的监控周期布设是控制非正常状况影响范围的重要手段，要通过各种措施避免跑冒滴漏、非正常工况时的泄露等事故工况的发生，从源头入手保护地下水。</w:t>
      </w:r>
    </w:p>
    <w:p w:rsidR="00525419" w:rsidRDefault="00EE1CF7" w:rsidP="00EE1CF7">
      <w:pPr>
        <w:pStyle w:val="2a"/>
        <w:spacing w:beforeLines="50" w:before="166" w:after="166"/>
        <w:ind w:left="578" w:hanging="578"/>
        <w:rPr>
          <w:rFonts w:ascii="Times New Roman" w:eastAsia="楷体_GB2312" w:hAnsi="Times New Roman"/>
          <w:sz w:val="36"/>
        </w:rPr>
      </w:pPr>
      <w:bookmarkStart w:id="138" w:name="_Toc388894061"/>
      <w:bookmarkStart w:id="139" w:name="_Toc296416638"/>
      <w:bookmarkStart w:id="140" w:name="_Toc189634622"/>
      <w:bookmarkStart w:id="141" w:name="_Toc322967109"/>
      <w:bookmarkStart w:id="142" w:name="_Toc296354423"/>
      <w:bookmarkStart w:id="143" w:name="_Toc303766080"/>
      <w:bookmarkStart w:id="144" w:name="_Toc330205319"/>
      <w:bookmarkStart w:id="145" w:name="_Toc192306570"/>
      <w:bookmarkStart w:id="146" w:name="_Toc335165108"/>
      <w:bookmarkStart w:id="147" w:name="_Toc276049377"/>
      <w:bookmarkStart w:id="148" w:name="_Toc15215"/>
      <w:bookmarkStart w:id="149" w:name="_Toc310261204"/>
      <w:bookmarkStart w:id="150" w:name="_Toc484775646"/>
      <w:r>
        <w:rPr>
          <w:rFonts w:ascii="Times New Roman" w:eastAsia="楷体_GB2312" w:hAnsi="Times New Roman"/>
          <w:sz w:val="36"/>
        </w:rPr>
        <w:t xml:space="preserve">5.3 </w:t>
      </w:r>
      <w:r>
        <w:rPr>
          <w:rFonts w:ascii="Times New Roman" w:eastAsia="楷体_GB2312" w:hAnsi="Times New Roman"/>
          <w:sz w:val="36"/>
        </w:rPr>
        <w:t>运营期声环境影响预测及评价</w:t>
      </w:r>
      <w:bookmarkEnd w:id="138"/>
      <w:bookmarkEnd w:id="139"/>
      <w:bookmarkEnd w:id="140"/>
      <w:bookmarkEnd w:id="141"/>
      <w:bookmarkEnd w:id="142"/>
      <w:bookmarkEnd w:id="143"/>
      <w:bookmarkEnd w:id="144"/>
      <w:bookmarkEnd w:id="145"/>
      <w:bookmarkEnd w:id="146"/>
      <w:bookmarkEnd w:id="147"/>
      <w:bookmarkEnd w:id="148"/>
      <w:bookmarkEnd w:id="149"/>
      <w:bookmarkEnd w:id="150"/>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5.3.1</w:t>
      </w:r>
      <w:r>
        <w:rPr>
          <w:rFonts w:ascii="Times New Roman" w:eastAsia="华文楷体" w:hAnsi="Times New Roman"/>
        </w:rPr>
        <w:t>预测内容</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预测范围为厂界</w:t>
      </w:r>
      <w:r>
        <w:rPr>
          <w:rFonts w:ascii="Times New Roman" w:hAnsi="Times New Roman"/>
          <w:sz w:val="24"/>
        </w:rPr>
        <w:t>1m</w:t>
      </w:r>
      <w:r>
        <w:rPr>
          <w:rFonts w:ascii="Times New Roman" w:hAnsi="Times New Roman"/>
          <w:sz w:val="24"/>
        </w:rPr>
        <w:t>，预测时段为正常生产运行期。最终的厂界噪声（等效</w:t>
      </w:r>
      <w:r>
        <w:rPr>
          <w:rFonts w:ascii="Times New Roman" w:hAnsi="Times New Roman"/>
          <w:sz w:val="24"/>
        </w:rPr>
        <w:t xml:space="preserve"> A </w:t>
      </w:r>
      <w:r>
        <w:rPr>
          <w:rFonts w:ascii="Times New Roman" w:hAnsi="Times New Roman"/>
          <w:sz w:val="24"/>
        </w:rPr>
        <w:t>声级）是本项目产生噪声设备的噪声与环境噪声叠加的结果。根据项目区平面布置，本次的预测内容针对厂界的现状监测点的影响进行预测。</w:t>
      </w:r>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5.3.2</w:t>
      </w:r>
      <w:r>
        <w:rPr>
          <w:rFonts w:ascii="Times New Roman" w:eastAsia="华文楷体" w:hAnsi="Times New Roman"/>
        </w:rPr>
        <w:t>噪声预测模型</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）点声源衰减公式</w:t>
      </w:r>
      <w:r>
        <w:rPr>
          <w:rFonts w:ascii="Times New Roman" w:hAnsi="Times New Roman"/>
          <w:sz w:val="24"/>
        </w:rPr>
        <w:t xml:space="preserve"> </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计算采用《环境影响评价技术导则　声环境》（</w:t>
      </w:r>
      <w:r>
        <w:rPr>
          <w:rFonts w:ascii="Times New Roman" w:hAnsi="Times New Roman"/>
          <w:sz w:val="24"/>
        </w:rPr>
        <w:t>HJ2.4-2009</w:t>
      </w:r>
      <w:r>
        <w:rPr>
          <w:rFonts w:ascii="Times New Roman" w:hAnsi="Times New Roman"/>
          <w:sz w:val="24"/>
        </w:rPr>
        <w:t>）中推荐的点声源衰减模式，计算公式如下：</w:t>
      </w:r>
    </w:p>
    <w:p w:rsidR="00525419" w:rsidRDefault="00EE1CF7">
      <w:pPr>
        <w:adjustRightInd w:val="0"/>
        <w:snapToGrid w:val="0"/>
        <w:spacing w:line="360" w:lineRule="auto"/>
        <w:ind w:firstLineChars="200" w:firstLine="480"/>
        <w:jc w:val="center"/>
        <w:rPr>
          <w:rFonts w:ascii="Times New Roman" w:hAnsi="Times New Roman"/>
          <w:sz w:val="24"/>
        </w:rPr>
      </w:pPr>
      <w:r>
        <w:rPr>
          <w:rFonts w:ascii="Times New Roman" w:hAnsi="Times New Roman"/>
          <w:sz w:val="24"/>
        </w:rPr>
        <w:t>L(r)=L(r</w:t>
      </w:r>
      <w:r>
        <w:rPr>
          <w:rFonts w:ascii="Times New Roman" w:hAnsi="Times New Roman"/>
          <w:sz w:val="24"/>
          <w:vertAlign w:val="subscript"/>
        </w:rPr>
        <w:t>0</w:t>
      </w:r>
      <w:r>
        <w:rPr>
          <w:rFonts w:ascii="Times New Roman" w:hAnsi="Times New Roman"/>
          <w:sz w:val="24"/>
        </w:rPr>
        <w:t>)-20lg(r/r</w:t>
      </w:r>
      <w:r>
        <w:rPr>
          <w:rFonts w:ascii="Times New Roman" w:hAnsi="Times New Roman"/>
          <w:sz w:val="24"/>
          <w:vertAlign w:val="subscript"/>
        </w:rPr>
        <w:t>0</w:t>
      </w:r>
      <w:r>
        <w:rPr>
          <w:rFonts w:ascii="Times New Roman" w:hAnsi="Times New Roman"/>
          <w:sz w:val="24"/>
        </w:rPr>
        <w:t>)- ΔL</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式中：</w:t>
      </w:r>
      <w:r>
        <w:rPr>
          <w:rFonts w:ascii="Times New Roman" w:hAnsi="Times New Roman"/>
          <w:sz w:val="24"/>
        </w:rPr>
        <w:t>L(r)</w:t>
      </w:r>
      <w:r>
        <w:rPr>
          <w:rFonts w:ascii="Times New Roman" w:hAnsi="Times New Roman"/>
          <w:sz w:val="24"/>
          <w:vertAlign w:val="superscript"/>
        </w:rPr>
        <w:t xml:space="preserve"> _________</w:t>
      </w:r>
      <w:r>
        <w:rPr>
          <w:rFonts w:ascii="Times New Roman" w:hAnsi="Times New Roman"/>
          <w:sz w:val="24"/>
        </w:rPr>
        <w:t>距声源</w:t>
      </w:r>
      <w:r>
        <w:rPr>
          <w:rFonts w:ascii="Times New Roman" w:hAnsi="Times New Roman"/>
          <w:sz w:val="24"/>
        </w:rPr>
        <w:t xml:space="preserve">r </w:t>
      </w:r>
      <w:r>
        <w:rPr>
          <w:rFonts w:ascii="Times New Roman" w:hAnsi="Times New Roman"/>
          <w:sz w:val="24"/>
        </w:rPr>
        <w:t>距离上的</w:t>
      </w:r>
      <w:r>
        <w:rPr>
          <w:rFonts w:ascii="Times New Roman" w:hAnsi="Times New Roman"/>
          <w:sz w:val="24"/>
        </w:rPr>
        <w:t xml:space="preserve">A </w:t>
      </w:r>
      <w:r>
        <w:rPr>
          <w:rFonts w:ascii="Times New Roman" w:hAnsi="Times New Roman"/>
          <w:sz w:val="24"/>
        </w:rPr>
        <w:t>声压级；</w:t>
      </w:r>
      <w:r>
        <w:rPr>
          <w:rFonts w:ascii="Times New Roman" w:hAnsi="Times New Roman"/>
          <w:sz w:val="24"/>
        </w:rPr>
        <w:t xml:space="preserve"> </w:t>
      </w:r>
    </w:p>
    <w:p w:rsidR="00525419" w:rsidRDefault="00EE1CF7" w:rsidP="00EE1CF7">
      <w:pPr>
        <w:spacing w:line="360" w:lineRule="auto"/>
        <w:ind w:firstLineChars="484" w:firstLine="1162"/>
        <w:rPr>
          <w:rFonts w:ascii="Times New Roman" w:hAnsi="Times New Roman"/>
          <w:sz w:val="24"/>
        </w:rPr>
      </w:pPr>
      <w:r>
        <w:rPr>
          <w:rFonts w:ascii="Times New Roman" w:hAnsi="Times New Roman"/>
          <w:sz w:val="24"/>
        </w:rPr>
        <w:t>L(r</w:t>
      </w:r>
      <w:r>
        <w:rPr>
          <w:rFonts w:ascii="Times New Roman" w:hAnsi="Times New Roman"/>
          <w:sz w:val="24"/>
          <w:vertAlign w:val="subscript"/>
        </w:rPr>
        <w:t>0</w:t>
      </w:r>
      <w:r>
        <w:rPr>
          <w:rFonts w:ascii="Times New Roman" w:hAnsi="Times New Roman"/>
          <w:sz w:val="24"/>
        </w:rPr>
        <w:t>)</w:t>
      </w:r>
      <w:r>
        <w:rPr>
          <w:rFonts w:ascii="Times New Roman" w:hAnsi="Times New Roman"/>
          <w:sz w:val="24"/>
          <w:vertAlign w:val="superscript"/>
        </w:rPr>
        <w:t xml:space="preserve"> _________</w:t>
      </w:r>
      <w:r>
        <w:rPr>
          <w:rFonts w:ascii="Times New Roman" w:hAnsi="Times New Roman"/>
          <w:sz w:val="24"/>
        </w:rPr>
        <w:t>距声源</w:t>
      </w:r>
      <w:r>
        <w:rPr>
          <w:rFonts w:ascii="Times New Roman" w:hAnsi="Times New Roman"/>
          <w:sz w:val="24"/>
        </w:rPr>
        <w:t xml:space="preserve">r </w:t>
      </w:r>
      <w:r>
        <w:rPr>
          <w:rFonts w:ascii="Times New Roman" w:hAnsi="Times New Roman"/>
          <w:sz w:val="24"/>
        </w:rPr>
        <w:t>距离上的</w:t>
      </w:r>
      <w:r>
        <w:rPr>
          <w:rFonts w:ascii="Times New Roman" w:hAnsi="Times New Roman"/>
          <w:sz w:val="24"/>
        </w:rPr>
        <w:t xml:space="preserve">A </w:t>
      </w:r>
      <w:r>
        <w:rPr>
          <w:rFonts w:ascii="Times New Roman" w:hAnsi="Times New Roman"/>
          <w:sz w:val="24"/>
        </w:rPr>
        <w:t>声压级；</w:t>
      </w:r>
      <w:r>
        <w:rPr>
          <w:rFonts w:ascii="Times New Roman" w:hAnsi="Times New Roman"/>
          <w:sz w:val="24"/>
        </w:rPr>
        <w:t xml:space="preserve"> </w:t>
      </w:r>
    </w:p>
    <w:p w:rsidR="00525419" w:rsidRDefault="00EE1CF7" w:rsidP="00EE1CF7">
      <w:pPr>
        <w:spacing w:line="360" w:lineRule="auto"/>
        <w:ind w:firstLineChars="484" w:firstLine="1162"/>
        <w:rPr>
          <w:rFonts w:ascii="Times New Roman" w:hAnsi="Times New Roman"/>
          <w:sz w:val="24"/>
        </w:rPr>
      </w:pPr>
      <w:r>
        <w:rPr>
          <w:rFonts w:ascii="Times New Roman" w:hAnsi="Times New Roman"/>
          <w:sz w:val="24"/>
        </w:rPr>
        <w:t>ΔL</w:t>
      </w:r>
      <w:r>
        <w:rPr>
          <w:rFonts w:ascii="Times New Roman" w:hAnsi="Times New Roman"/>
          <w:sz w:val="24"/>
          <w:vertAlign w:val="superscript"/>
        </w:rPr>
        <w:t>_________</w:t>
      </w:r>
      <w:r>
        <w:rPr>
          <w:rFonts w:ascii="Times New Roman" w:hAnsi="Times New Roman"/>
          <w:sz w:val="24"/>
        </w:rPr>
        <w:t>声屏障、遮挡物、空气吸收地面效应引起的衰减量；</w:t>
      </w:r>
      <w:r>
        <w:rPr>
          <w:rFonts w:ascii="Times New Roman" w:hAnsi="Times New Roman"/>
          <w:sz w:val="24"/>
        </w:rPr>
        <w:t xml:space="preserve"> </w:t>
      </w:r>
    </w:p>
    <w:p w:rsidR="00525419" w:rsidRDefault="00EE1CF7" w:rsidP="00EE1CF7">
      <w:pPr>
        <w:spacing w:line="360" w:lineRule="auto"/>
        <w:ind w:firstLineChars="484" w:firstLine="1162"/>
        <w:rPr>
          <w:rFonts w:ascii="Times New Roman" w:hAnsi="Times New Roman"/>
          <w:sz w:val="24"/>
        </w:rPr>
      </w:pPr>
      <w:r>
        <w:rPr>
          <w:rFonts w:ascii="Times New Roman" w:hAnsi="Times New Roman"/>
          <w:sz w:val="24"/>
        </w:rPr>
        <w:t>r</w:t>
      </w:r>
      <w:r>
        <w:rPr>
          <w:rFonts w:ascii="Times New Roman" w:hAnsi="Times New Roman"/>
          <w:sz w:val="24"/>
        </w:rPr>
        <w:t>、</w:t>
      </w:r>
      <w:r>
        <w:rPr>
          <w:rFonts w:ascii="Times New Roman" w:hAnsi="Times New Roman"/>
          <w:sz w:val="24"/>
        </w:rPr>
        <w:t>r</w:t>
      </w:r>
      <w:r>
        <w:rPr>
          <w:rFonts w:ascii="Times New Roman" w:hAnsi="Times New Roman"/>
          <w:sz w:val="24"/>
          <w:vertAlign w:val="subscript"/>
        </w:rPr>
        <w:t>0</w:t>
      </w:r>
      <w:r>
        <w:rPr>
          <w:rFonts w:ascii="Times New Roman" w:hAnsi="Times New Roman"/>
          <w:sz w:val="24"/>
          <w:vertAlign w:val="superscript"/>
        </w:rPr>
        <w:t>_________</w:t>
      </w:r>
      <w:r>
        <w:rPr>
          <w:rFonts w:ascii="Times New Roman" w:hAnsi="Times New Roman"/>
          <w:sz w:val="24"/>
        </w:rPr>
        <w:t>距声源距离（</w:t>
      </w:r>
      <w:r>
        <w:rPr>
          <w:rFonts w:ascii="Times New Roman" w:hAnsi="Times New Roman"/>
          <w:sz w:val="24"/>
        </w:rPr>
        <w:t>m</w:t>
      </w:r>
      <w:r>
        <w:rPr>
          <w:rFonts w:ascii="Times New Roman" w:hAnsi="Times New Roman"/>
          <w:sz w:val="24"/>
        </w:rPr>
        <w:t>）。</w:t>
      </w:r>
      <w:r>
        <w:rPr>
          <w:rFonts w:ascii="Times New Roman" w:hAnsi="Times New Roman"/>
          <w:sz w:val="24"/>
        </w:rPr>
        <w:t xml:space="preserve"> </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）多源叠加计算总声压级</w:t>
      </w:r>
      <w:r>
        <w:rPr>
          <w:rFonts w:ascii="Times New Roman" w:hAnsi="Times New Roman"/>
          <w:sz w:val="24"/>
        </w:rPr>
        <w:t xml:space="preserve"> </w:t>
      </w:r>
    </w:p>
    <w:p w:rsidR="00525419" w:rsidRDefault="00EE1CF7">
      <w:pPr>
        <w:spacing w:line="360" w:lineRule="auto"/>
        <w:ind w:firstLineChars="250" w:firstLine="600"/>
        <w:rPr>
          <w:rFonts w:ascii="Times New Roman" w:hAnsi="Times New Roman"/>
          <w:sz w:val="24"/>
        </w:rPr>
      </w:pPr>
      <w:r>
        <w:rPr>
          <w:rFonts w:ascii="Times New Roman" w:hAnsi="Times New Roman"/>
          <w:sz w:val="24"/>
        </w:rPr>
        <w:t>各受声点上受到多个声源的影响叠加，计算公式如下：</w:t>
      </w:r>
    </w:p>
    <w:p w:rsidR="00525419" w:rsidRDefault="007D0E8A">
      <w:pPr>
        <w:spacing w:line="360" w:lineRule="auto"/>
        <w:ind w:firstLineChars="200" w:firstLine="480"/>
        <w:rPr>
          <w:rFonts w:ascii="Times New Roman" w:hAnsi="Times New Roman"/>
          <w:sz w:val="24"/>
        </w:rPr>
      </w:pPr>
      <w:r>
        <w:rPr>
          <w:rFonts w:ascii="Times New Roman" w:hAnsi="Times New Roman"/>
          <w:sz w:val="24"/>
        </w:rPr>
        <w:object w:dxaOrig="1440" w:dyaOrig="1440">
          <v:shape id="Picture 2419" o:spid="_x0000_s3152" type="#_x0000_t75" style="position:absolute;left:0;text-align:left;margin-left:135pt;margin-top:0;width:126pt;height:33.75pt;z-index:251687424;mso-width-relative:page;mso-height-relative:page">
            <v:imagedata r:id="rId35" o:title=""/>
          </v:shape>
          <o:OLEObject Type="Embed" ProgID="Equation.3" ShapeID="Picture 2419" DrawAspect="Content" ObjectID="_1747214918" r:id="rId36"/>
        </w:object>
      </w:r>
    </w:p>
    <w:p w:rsidR="00525419" w:rsidRDefault="00EE1CF7">
      <w:pPr>
        <w:spacing w:line="360" w:lineRule="auto"/>
        <w:ind w:firstLineChars="200" w:firstLine="480"/>
        <w:rPr>
          <w:rFonts w:ascii="Times New Roman" w:hAnsi="Times New Roman"/>
          <w:sz w:val="24"/>
        </w:rPr>
      </w:pPr>
      <w:r>
        <w:rPr>
          <w:rFonts w:ascii="Times New Roman" w:hAnsi="Times New Roman"/>
          <w:sz w:val="24"/>
        </w:rPr>
        <w:t>式中：</w:t>
      </w:r>
      <w:r>
        <w:rPr>
          <w:rFonts w:ascii="Times New Roman" w:hAnsi="Times New Roman"/>
          <w:sz w:val="24"/>
        </w:rPr>
        <w:t>L</w:t>
      </w:r>
      <w:r>
        <w:rPr>
          <w:rFonts w:ascii="Times New Roman" w:hAnsi="Times New Roman"/>
          <w:sz w:val="24"/>
          <w:vertAlign w:val="subscript"/>
        </w:rPr>
        <w:t>eq</w:t>
      </w:r>
      <w:r>
        <w:rPr>
          <w:rFonts w:ascii="Times New Roman" w:hAnsi="Times New Roman"/>
          <w:sz w:val="24"/>
        </w:rPr>
        <w:t>总</w:t>
      </w:r>
      <w:r>
        <w:rPr>
          <w:rFonts w:ascii="Times New Roman" w:hAnsi="Times New Roman"/>
          <w:sz w:val="24"/>
        </w:rPr>
        <w:t>—</w:t>
      </w:r>
      <w:r>
        <w:rPr>
          <w:rFonts w:ascii="Times New Roman" w:hAnsi="Times New Roman"/>
          <w:sz w:val="24"/>
        </w:rPr>
        <w:t>总等效声级，</w:t>
      </w:r>
      <w:r>
        <w:rPr>
          <w:rFonts w:ascii="Times New Roman" w:hAnsi="Times New Roman"/>
          <w:sz w:val="24"/>
        </w:rPr>
        <w:t>dB(A)</w:t>
      </w:r>
      <w:r>
        <w:rPr>
          <w:rFonts w:ascii="Times New Roman" w:hAnsi="Times New Roman"/>
          <w:sz w:val="24"/>
        </w:rPr>
        <w:t>；</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 xml:space="preserve">      Leqi—</w:t>
      </w:r>
      <w:r>
        <w:rPr>
          <w:rFonts w:ascii="Times New Roman" w:hAnsi="Times New Roman"/>
          <w:sz w:val="24"/>
        </w:rPr>
        <w:t>第</w:t>
      </w:r>
      <w:r>
        <w:rPr>
          <w:rFonts w:ascii="Times New Roman" w:hAnsi="Times New Roman"/>
          <w:sz w:val="24"/>
        </w:rPr>
        <w:t>i</w:t>
      </w:r>
      <w:r>
        <w:rPr>
          <w:rFonts w:ascii="Times New Roman" w:hAnsi="Times New Roman"/>
          <w:sz w:val="24"/>
        </w:rPr>
        <w:t>声源对某预测点的等效声级，</w:t>
      </w:r>
      <w:r>
        <w:rPr>
          <w:rFonts w:ascii="Times New Roman" w:hAnsi="Times New Roman"/>
          <w:sz w:val="24"/>
        </w:rPr>
        <w:t>dB(A)</w:t>
      </w:r>
      <w:r>
        <w:rPr>
          <w:rFonts w:ascii="Times New Roman" w:hAnsi="Times New Roman"/>
          <w:sz w:val="24"/>
        </w:rPr>
        <w:t>；</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 xml:space="preserve">        n—</w:t>
      </w:r>
      <w:r>
        <w:rPr>
          <w:rFonts w:ascii="Times New Roman" w:hAnsi="Times New Roman"/>
          <w:sz w:val="24"/>
        </w:rPr>
        <w:t>声源总数。</w:t>
      </w:r>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lastRenderedPageBreak/>
        <w:t>5.3.3</w:t>
      </w:r>
      <w:r>
        <w:rPr>
          <w:rFonts w:ascii="Times New Roman" w:eastAsia="华文楷体" w:hAnsi="Times New Roman"/>
        </w:rPr>
        <w:t>预测结果</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在本次声环境影响预测与评价中，根据室内声源衰减模式，同时结合该项目的建筑物特征，由于吸声、隔声的作用，可使本项目的噪声源强值降低</w:t>
      </w:r>
      <w:r>
        <w:rPr>
          <w:rFonts w:ascii="Times New Roman" w:hAnsi="Times New Roman"/>
          <w:kern w:val="0"/>
          <w:sz w:val="24"/>
          <w:szCs w:val="24"/>
        </w:rPr>
        <w:t>20dB</w:t>
      </w:r>
      <w:r>
        <w:rPr>
          <w:rFonts w:ascii="Times New Roman" w:hAnsi="Times New Roman"/>
          <w:kern w:val="0"/>
          <w:sz w:val="24"/>
          <w:szCs w:val="24"/>
        </w:rPr>
        <w:t>（</w:t>
      </w:r>
      <w:r>
        <w:rPr>
          <w:rFonts w:ascii="Times New Roman" w:hAnsi="Times New Roman"/>
          <w:kern w:val="0"/>
          <w:sz w:val="24"/>
          <w:szCs w:val="24"/>
        </w:rPr>
        <w:t>A</w:t>
      </w:r>
      <w:r>
        <w:rPr>
          <w:rFonts w:ascii="Times New Roman" w:hAnsi="Times New Roman"/>
          <w:kern w:val="0"/>
          <w:sz w:val="24"/>
          <w:szCs w:val="24"/>
        </w:rPr>
        <w:t>）。计算结果见表</w:t>
      </w:r>
      <w:r>
        <w:rPr>
          <w:rFonts w:ascii="Times New Roman" w:hAnsi="Times New Roman"/>
          <w:kern w:val="0"/>
          <w:sz w:val="24"/>
          <w:szCs w:val="24"/>
        </w:rPr>
        <w:t>5.3-1</w:t>
      </w:r>
      <w:r>
        <w:rPr>
          <w:rFonts w:ascii="Times New Roman" w:hAnsi="Times New Roman"/>
          <w:kern w:val="0"/>
          <w:sz w:val="24"/>
          <w:szCs w:val="24"/>
        </w:rPr>
        <w:t>。</w:t>
      </w:r>
    </w:p>
    <w:p w:rsidR="00525419" w:rsidRDefault="00EE1CF7">
      <w:pPr>
        <w:jc w:val="center"/>
        <w:rPr>
          <w:rFonts w:ascii="Times New Roman" w:eastAsia="黑体" w:hAnsi="Times New Roman"/>
        </w:rPr>
      </w:pPr>
      <w:r>
        <w:rPr>
          <w:rFonts w:ascii="Times New Roman" w:eastAsia="黑体" w:hAnsi="Times New Roman"/>
        </w:rPr>
        <w:t>表</w:t>
      </w:r>
      <w:r>
        <w:rPr>
          <w:rFonts w:ascii="Times New Roman" w:eastAsia="黑体" w:hAnsi="Times New Roman"/>
        </w:rPr>
        <w:t xml:space="preserve">5.3-1     </w:t>
      </w:r>
      <w:r>
        <w:rPr>
          <w:rFonts w:ascii="Times New Roman" w:eastAsia="黑体" w:hAnsi="Times New Roman"/>
        </w:rPr>
        <w:t>厂界噪声预测结果一览表</w:t>
      </w:r>
      <w:r>
        <w:rPr>
          <w:rFonts w:ascii="Times New Roman" w:eastAsia="黑体" w:hAnsi="Times New Roman"/>
        </w:rPr>
        <w:t xml:space="preserve">    </w:t>
      </w:r>
      <w:r>
        <w:rPr>
          <w:rFonts w:ascii="Times New Roman" w:eastAsia="黑体" w:hAnsi="Times New Roman"/>
        </w:rPr>
        <w:t>单位：</w:t>
      </w:r>
      <w:r>
        <w:rPr>
          <w:rFonts w:ascii="Times New Roman" w:eastAsia="黑体" w:hAnsi="Times New Roman"/>
        </w:rPr>
        <w:t>dB</w:t>
      </w:r>
      <w:r>
        <w:rPr>
          <w:rFonts w:ascii="Times New Roman" w:eastAsia="黑体" w:hAnsi="Times New Roman"/>
        </w:rPr>
        <w:t>（</w:t>
      </w:r>
      <w:r>
        <w:rPr>
          <w:rFonts w:ascii="Times New Roman" w:eastAsia="黑体" w:hAnsi="Times New Roman"/>
        </w:rPr>
        <w:t>A</w:t>
      </w:r>
      <w:r>
        <w:rPr>
          <w:rFonts w:ascii="Times New Roman" w:eastAsia="黑体" w:hAnsi="Times New Roman"/>
        </w:rPr>
        <w:t>）</w:t>
      </w:r>
    </w:p>
    <w:tbl>
      <w:tblPr>
        <w:tblW w:w="85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44"/>
        <w:gridCol w:w="857"/>
        <w:gridCol w:w="858"/>
        <w:gridCol w:w="857"/>
        <w:gridCol w:w="858"/>
        <w:gridCol w:w="858"/>
        <w:gridCol w:w="857"/>
        <w:gridCol w:w="858"/>
        <w:gridCol w:w="858"/>
      </w:tblGrid>
      <w:tr w:rsidR="00525419">
        <w:trPr>
          <w:trHeight w:val="340"/>
          <w:jc w:val="center"/>
        </w:trPr>
        <w:tc>
          <w:tcPr>
            <w:tcW w:w="1644" w:type="dxa"/>
            <w:vMerge w:val="restart"/>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厂界噪声</w:t>
            </w:r>
          </w:p>
          <w:p w:rsidR="00525419" w:rsidRDefault="00EE1CF7">
            <w:pPr>
              <w:widowControl/>
              <w:jc w:val="center"/>
              <w:rPr>
                <w:rFonts w:ascii="Times New Roman" w:hAnsi="Times New Roman"/>
                <w:kern w:val="0"/>
                <w:szCs w:val="24"/>
              </w:rPr>
            </w:pPr>
            <w:r>
              <w:rPr>
                <w:rFonts w:ascii="Times New Roman" w:hAnsi="Times New Roman"/>
                <w:kern w:val="0"/>
                <w:szCs w:val="24"/>
              </w:rPr>
              <w:t>dB</w:t>
            </w:r>
            <w:r>
              <w:rPr>
                <w:rFonts w:ascii="Times New Roman" w:hAnsi="Times New Roman"/>
                <w:kern w:val="0"/>
                <w:szCs w:val="24"/>
              </w:rPr>
              <w:t>（</w:t>
            </w:r>
            <w:r>
              <w:rPr>
                <w:rFonts w:ascii="Times New Roman" w:hAnsi="Times New Roman"/>
                <w:kern w:val="0"/>
                <w:szCs w:val="24"/>
              </w:rPr>
              <w:t>A</w:t>
            </w:r>
            <w:r>
              <w:rPr>
                <w:rFonts w:ascii="Times New Roman" w:hAnsi="Times New Roman"/>
                <w:kern w:val="0"/>
                <w:szCs w:val="24"/>
              </w:rPr>
              <w:t>）</w:t>
            </w:r>
          </w:p>
        </w:tc>
        <w:tc>
          <w:tcPr>
            <w:tcW w:w="1715" w:type="dxa"/>
            <w:gridSpan w:val="2"/>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东厂界</w:t>
            </w:r>
          </w:p>
        </w:tc>
        <w:tc>
          <w:tcPr>
            <w:tcW w:w="1715" w:type="dxa"/>
            <w:gridSpan w:val="2"/>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南厂界</w:t>
            </w:r>
          </w:p>
        </w:tc>
        <w:tc>
          <w:tcPr>
            <w:tcW w:w="1715" w:type="dxa"/>
            <w:gridSpan w:val="2"/>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西厂界</w:t>
            </w:r>
          </w:p>
        </w:tc>
        <w:tc>
          <w:tcPr>
            <w:tcW w:w="1716" w:type="dxa"/>
            <w:gridSpan w:val="2"/>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北厂界</w:t>
            </w:r>
          </w:p>
        </w:tc>
      </w:tr>
      <w:tr w:rsidR="00525419">
        <w:trPr>
          <w:trHeight w:val="340"/>
          <w:jc w:val="center"/>
        </w:trPr>
        <w:tc>
          <w:tcPr>
            <w:tcW w:w="1644" w:type="dxa"/>
            <w:vMerge/>
            <w:shd w:val="clear" w:color="auto" w:fill="auto"/>
            <w:vAlign w:val="center"/>
          </w:tcPr>
          <w:p w:rsidR="00525419" w:rsidRDefault="00525419">
            <w:pPr>
              <w:widowControl/>
              <w:jc w:val="center"/>
              <w:rPr>
                <w:rFonts w:ascii="Times New Roman" w:hAnsi="Times New Roman"/>
                <w:kern w:val="0"/>
                <w:szCs w:val="24"/>
              </w:rPr>
            </w:pPr>
          </w:p>
        </w:tc>
        <w:tc>
          <w:tcPr>
            <w:tcW w:w="857"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昼</w:t>
            </w:r>
          </w:p>
        </w:tc>
        <w:tc>
          <w:tcPr>
            <w:tcW w:w="858"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夜</w:t>
            </w:r>
          </w:p>
        </w:tc>
        <w:tc>
          <w:tcPr>
            <w:tcW w:w="857"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昼</w:t>
            </w:r>
          </w:p>
        </w:tc>
        <w:tc>
          <w:tcPr>
            <w:tcW w:w="858"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夜</w:t>
            </w:r>
          </w:p>
        </w:tc>
        <w:tc>
          <w:tcPr>
            <w:tcW w:w="858"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昼</w:t>
            </w:r>
          </w:p>
        </w:tc>
        <w:tc>
          <w:tcPr>
            <w:tcW w:w="857"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夜</w:t>
            </w:r>
          </w:p>
        </w:tc>
        <w:tc>
          <w:tcPr>
            <w:tcW w:w="858"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昼</w:t>
            </w:r>
          </w:p>
        </w:tc>
        <w:tc>
          <w:tcPr>
            <w:tcW w:w="858"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夜</w:t>
            </w:r>
          </w:p>
        </w:tc>
      </w:tr>
      <w:tr w:rsidR="00525419">
        <w:trPr>
          <w:trHeight w:val="340"/>
          <w:jc w:val="center"/>
        </w:trPr>
        <w:tc>
          <w:tcPr>
            <w:tcW w:w="1644"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背景值</w:t>
            </w:r>
          </w:p>
        </w:tc>
        <w:tc>
          <w:tcPr>
            <w:tcW w:w="857"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53</w:t>
            </w:r>
          </w:p>
        </w:tc>
        <w:tc>
          <w:tcPr>
            <w:tcW w:w="858"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52</w:t>
            </w:r>
          </w:p>
        </w:tc>
        <w:tc>
          <w:tcPr>
            <w:tcW w:w="857"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53</w:t>
            </w:r>
          </w:p>
        </w:tc>
        <w:tc>
          <w:tcPr>
            <w:tcW w:w="858"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50</w:t>
            </w:r>
          </w:p>
        </w:tc>
        <w:tc>
          <w:tcPr>
            <w:tcW w:w="858"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53</w:t>
            </w:r>
          </w:p>
        </w:tc>
        <w:tc>
          <w:tcPr>
            <w:tcW w:w="857"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50</w:t>
            </w:r>
          </w:p>
        </w:tc>
        <w:tc>
          <w:tcPr>
            <w:tcW w:w="858"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49</w:t>
            </w:r>
          </w:p>
        </w:tc>
        <w:tc>
          <w:tcPr>
            <w:tcW w:w="858"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50</w:t>
            </w:r>
          </w:p>
        </w:tc>
      </w:tr>
      <w:tr w:rsidR="00525419">
        <w:trPr>
          <w:trHeight w:val="340"/>
          <w:jc w:val="center"/>
        </w:trPr>
        <w:tc>
          <w:tcPr>
            <w:tcW w:w="1644"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贡献值</w:t>
            </w:r>
          </w:p>
        </w:tc>
        <w:tc>
          <w:tcPr>
            <w:tcW w:w="857"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45.2</w:t>
            </w:r>
          </w:p>
        </w:tc>
        <w:tc>
          <w:tcPr>
            <w:tcW w:w="858"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45.2</w:t>
            </w:r>
          </w:p>
        </w:tc>
        <w:tc>
          <w:tcPr>
            <w:tcW w:w="857"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47.4</w:t>
            </w:r>
          </w:p>
        </w:tc>
        <w:tc>
          <w:tcPr>
            <w:tcW w:w="858"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47.4</w:t>
            </w:r>
          </w:p>
        </w:tc>
        <w:tc>
          <w:tcPr>
            <w:tcW w:w="858" w:type="dxa"/>
            <w:shd w:val="clear" w:color="auto" w:fill="auto"/>
          </w:tcPr>
          <w:p w:rsidR="00525419" w:rsidRDefault="00EE1CF7">
            <w:pPr>
              <w:widowControl/>
              <w:jc w:val="center"/>
              <w:rPr>
                <w:rFonts w:ascii="Times New Roman" w:hAnsi="Times New Roman"/>
                <w:kern w:val="0"/>
                <w:szCs w:val="24"/>
              </w:rPr>
            </w:pPr>
            <w:r>
              <w:rPr>
                <w:rFonts w:ascii="Times New Roman" w:hAnsi="Times New Roman"/>
                <w:kern w:val="0"/>
                <w:szCs w:val="24"/>
              </w:rPr>
              <w:t>42.4</w:t>
            </w:r>
          </w:p>
        </w:tc>
        <w:tc>
          <w:tcPr>
            <w:tcW w:w="857" w:type="dxa"/>
            <w:shd w:val="clear" w:color="auto" w:fill="auto"/>
          </w:tcPr>
          <w:p w:rsidR="00525419" w:rsidRDefault="00EE1CF7">
            <w:pPr>
              <w:widowControl/>
              <w:jc w:val="center"/>
              <w:rPr>
                <w:rFonts w:ascii="Times New Roman" w:hAnsi="Times New Roman"/>
                <w:kern w:val="0"/>
                <w:szCs w:val="24"/>
              </w:rPr>
            </w:pPr>
            <w:r>
              <w:rPr>
                <w:rFonts w:ascii="Times New Roman" w:hAnsi="Times New Roman"/>
                <w:kern w:val="0"/>
                <w:szCs w:val="24"/>
              </w:rPr>
              <w:t>42.4</w:t>
            </w:r>
          </w:p>
        </w:tc>
        <w:tc>
          <w:tcPr>
            <w:tcW w:w="858" w:type="dxa"/>
            <w:shd w:val="clear" w:color="auto" w:fill="auto"/>
          </w:tcPr>
          <w:p w:rsidR="00525419" w:rsidRDefault="00EE1CF7">
            <w:pPr>
              <w:widowControl/>
              <w:jc w:val="center"/>
              <w:rPr>
                <w:rFonts w:ascii="Times New Roman" w:hAnsi="Times New Roman"/>
                <w:kern w:val="0"/>
                <w:szCs w:val="24"/>
              </w:rPr>
            </w:pPr>
            <w:r>
              <w:rPr>
                <w:rFonts w:ascii="Times New Roman" w:hAnsi="Times New Roman"/>
                <w:kern w:val="0"/>
                <w:szCs w:val="24"/>
              </w:rPr>
              <w:t>47.2</w:t>
            </w:r>
          </w:p>
        </w:tc>
        <w:tc>
          <w:tcPr>
            <w:tcW w:w="858" w:type="dxa"/>
            <w:shd w:val="clear" w:color="auto" w:fill="auto"/>
          </w:tcPr>
          <w:p w:rsidR="00525419" w:rsidRDefault="00EE1CF7">
            <w:pPr>
              <w:widowControl/>
              <w:jc w:val="center"/>
              <w:rPr>
                <w:rFonts w:ascii="Times New Roman" w:hAnsi="Times New Roman"/>
                <w:kern w:val="0"/>
                <w:szCs w:val="24"/>
              </w:rPr>
            </w:pPr>
            <w:r>
              <w:rPr>
                <w:rFonts w:ascii="Times New Roman" w:hAnsi="Times New Roman"/>
                <w:kern w:val="0"/>
                <w:szCs w:val="24"/>
              </w:rPr>
              <w:t>47.2</w:t>
            </w:r>
          </w:p>
        </w:tc>
      </w:tr>
      <w:tr w:rsidR="00525419">
        <w:trPr>
          <w:trHeight w:val="340"/>
          <w:jc w:val="center"/>
        </w:trPr>
        <w:tc>
          <w:tcPr>
            <w:tcW w:w="1644"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叠加值</w:t>
            </w:r>
          </w:p>
        </w:tc>
        <w:tc>
          <w:tcPr>
            <w:tcW w:w="857"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53.7</w:t>
            </w:r>
          </w:p>
        </w:tc>
        <w:tc>
          <w:tcPr>
            <w:tcW w:w="858"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52.8</w:t>
            </w:r>
          </w:p>
        </w:tc>
        <w:tc>
          <w:tcPr>
            <w:tcW w:w="857"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54.0</w:t>
            </w:r>
          </w:p>
        </w:tc>
        <w:tc>
          <w:tcPr>
            <w:tcW w:w="858"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51.8</w:t>
            </w:r>
          </w:p>
        </w:tc>
        <w:tc>
          <w:tcPr>
            <w:tcW w:w="858"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53.4</w:t>
            </w:r>
          </w:p>
        </w:tc>
        <w:tc>
          <w:tcPr>
            <w:tcW w:w="857"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50.6</w:t>
            </w:r>
          </w:p>
        </w:tc>
        <w:tc>
          <w:tcPr>
            <w:tcW w:w="858"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51.2</w:t>
            </w:r>
          </w:p>
        </w:tc>
        <w:tc>
          <w:tcPr>
            <w:tcW w:w="858"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51.8</w:t>
            </w:r>
          </w:p>
        </w:tc>
      </w:tr>
      <w:tr w:rsidR="00525419">
        <w:trPr>
          <w:trHeight w:val="340"/>
          <w:jc w:val="center"/>
        </w:trPr>
        <w:tc>
          <w:tcPr>
            <w:tcW w:w="1644"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标准值</w:t>
            </w:r>
          </w:p>
        </w:tc>
        <w:tc>
          <w:tcPr>
            <w:tcW w:w="857"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65</w:t>
            </w:r>
          </w:p>
        </w:tc>
        <w:tc>
          <w:tcPr>
            <w:tcW w:w="858"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55</w:t>
            </w:r>
          </w:p>
        </w:tc>
        <w:tc>
          <w:tcPr>
            <w:tcW w:w="857"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65</w:t>
            </w:r>
          </w:p>
        </w:tc>
        <w:tc>
          <w:tcPr>
            <w:tcW w:w="858"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55</w:t>
            </w:r>
          </w:p>
        </w:tc>
        <w:tc>
          <w:tcPr>
            <w:tcW w:w="858"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65</w:t>
            </w:r>
          </w:p>
        </w:tc>
        <w:tc>
          <w:tcPr>
            <w:tcW w:w="857"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55</w:t>
            </w:r>
          </w:p>
        </w:tc>
        <w:tc>
          <w:tcPr>
            <w:tcW w:w="858"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65</w:t>
            </w:r>
          </w:p>
        </w:tc>
        <w:tc>
          <w:tcPr>
            <w:tcW w:w="858" w:type="dxa"/>
            <w:shd w:val="clear" w:color="auto" w:fill="auto"/>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55</w:t>
            </w:r>
          </w:p>
        </w:tc>
      </w:tr>
    </w:tbl>
    <w:p w:rsidR="00525419" w:rsidRDefault="00525419">
      <w:pPr>
        <w:widowControl/>
        <w:jc w:val="center"/>
        <w:rPr>
          <w:rFonts w:ascii="Times New Roman" w:hAnsi="Times New Roman"/>
          <w:kern w:val="0"/>
          <w:szCs w:val="24"/>
        </w:rPr>
      </w:pP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本项目噪声计算结果显示：本建设项目运行后厂界昼间噪声在</w:t>
      </w:r>
      <w:r>
        <w:rPr>
          <w:rFonts w:ascii="Times New Roman" w:hAnsi="Times New Roman"/>
          <w:kern w:val="0"/>
          <w:sz w:val="24"/>
          <w:szCs w:val="24"/>
        </w:rPr>
        <w:t>51.2-54.0dB</w:t>
      </w:r>
      <w:r>
        <w:rPr>
          <w:rFonts w:ascii="Times New Roman" w:hAnsi="Times New Roman"/>
          <w:kern w:val="0"/>
          <w:sz w:val="24"/>
          <w:szCs w:val="24"/>
        </w:rPr>
        <w:t>（</w:t>
      </w:r>
      <w:r>
        <w:rPr>
          <w:rFonts w:ascii="Times New Roman" w:hAnsi="Times New Roman"/>
          <w:kern w:val="0"/>
          <w:sz w:val="24"/>
          <w:szCs w:val="24"/>
        </w:rPr>
        <w:t>A</w:t>
      </w:r>
      <w:r>
        <w:rPr>
          <w:rFonts w:ascii="Times New Roman" w:hAnsi="Times New Roman"/>
          <w:kern w:val="0"/>
          <w:sz w:val="24"/>
          <w:szCs w:val="24"/>
        </w:rPr>
        <w:t>），夜间噪声在</w:t>
      </w:r>
      <w:r>
        <w:rPr>
          <w:rFonts w:ascii="Times New Roman" w:hAnsi="Times New Roman"/>
          <w:kern w:val="0"/>
          <w:sz w:val="24"/>
          <w:szCs w:val="24"/>
        </w:rPr>
        <w:t>50.6-52.8dB</w:t>
      </w:r>
      <w:r>
        <w:rPr>
          <w:rFonts w:ascii="Times New Roman" w:hAnsi="Times New Roman"/>
          <w:kern w:val="0"/>
          <w:sz w:val="24"/>
          <w:szCs w:val="24"/>
        </w:rPr>
        <w:t>（</w:t>
      </w:r>
      <w:r>
        <w:rPr>
          <w:rFonts w:ascii="Times New Roman" w:hAnsi="Times New Roman"/>
          <w:kern w:val="0"/>
          <w:sz w:val="24"/>
          <w:szCs w:val="24"/>
        </w:rPr>
        <w:t>A</w:t>
      </w:r>
      <w:r>
        <w:rPr>
          <w:rFonts w:ascii="Times New Roman" w:hAnsi="Times New Roman"/>
          <w:kern w:val="0"/>
          <w:sz w:val="24"/>
          <w:szCs w:val="24"/>
        </w:rPr>
        <w:t>）之间，满足《工业企业厂界环境噪声排放标准》（</w:t>
      </w:r>
      <w:r>
        <w:rPr>
          <w:rFonts w:ascii="Times New Roman" w:hAnsi="Times New Roman"/>
          <w:kern w:val="0"/>
          <w:sz w:val="24"/>
          <w:szCs w:val="24"/>
        </w:rPr>
        <w:t>GB12348</w:t>
      </w:r>
      <w:r>
        <w:rPr>
          <w:rFonts w:ascii="Times New Roman" w:hAnsi="Times New Roman"/>
          <w:kern w:val="0"/>
          <w:sz w:val="24"/>
          <w:szCs w:val="24"/>
        </w:rPr>
        <w:t>－</w:t>
      </w:r>
      <w:r>
        <w:rPr>
          <w:rFonts w:ascii="Times New Roman" w:hAnsi="Times New Roman"/>
          <w:kern w:val="0"/>
          <w:sz w:val="24"/>
          <w:szCs w:val="24"/>
        </w:rPr>
        <w:t>2008</w:t>
      </w:r>
      <w:r>
        <w:rPr>
          <w:rFonts w:ascii="Times New Roman" w:hAnsi="Times New Roman"/>
          <w:kern w:val="0"/>
          <w:sz w:val="24"/>
          <w:szCs w:val="24"/>
        </w:rPr>
        <w:t>）中</w:t>
      </w:r>
      <w:r>
        <w:rPr>
          <w:rFonts w:ascii="Times New Roman" w:hAnsi="Times New Roman"/>
          <w:kern w:val="0"/>
          <w:sz w:val="24"/>
          <w:szCs w:val="24"/>
        </w:rPr>
        <w:t>3</w:t>
      </w:r>
      <w:r>
        <w:rPr>
          <w:rFonts w:ascii="Times New Roman" w:hAnsi="Times New Roman"/>
          <w:kern w:val="0"/>
          <w:sz w:val="24"/>
          <w:szCs w:val="24"/>
        </w:rPr>
        <w:t>类标准，本项目建设中，通过对装置噪声源强的控制，并加强绿化措施，不会对周围声环境造成污染。</w:t>
      </w:r>
    </w:p>
    <w:p w:rsidR="00525419" w:rsidRDefault="00EE1CF7" w:rsidP="00EE1CF7">
      <w:pPr>
        <w:pStyle w:val="2a"/>
        <w:spacing w:beforeLines="50" w:before="166" w:after="166"/>
        <w:ind w:left="578" w:hanging="578"/>
        <w:rPr>
          <w:rFonts w:ascii="Times New Roman" w:eastAsia="楷体_GB2312" w:hAnsi="Times New Roman"/>
          <w:sz w:val="36"/>
        </w:rPr>
      </w:pPr>
      <w:bookmarkStart w:id="151" w:name="_Toc303766081"/>
      <w:bookmarkStart w:id="152" w:name="_Toc310261205"/>
      <w:bookmarkStart w:id="153" w:name="_Toc189634623"/>
      <w:bookmarkStart w:id="154" w:name="_Toc276049378"/>
      <w:bookmarkStart w:id="155" w:name="_Toc322967110"/>
      <w:bookmarkStart w:id="156" w:name="_Toc296416639"/>
      <w:bookmarkStart w:id="157" w:name="_Toc335165109"/>
      <w:bookmarkStart w:id="158" w:name="_Toc173213288"/>
      <w:bookmarkStart w:id="159" w:name="_Toc24975"/>
      <w:bookmarkStart w:id="160" w:name="_Toc388894062"/>
      <w:bookmarkStart w:id="161" w:name="_Toc330205320"/>
      <w:bookmarkStart w:id="162" w:name="_Toc484775647"/>
      <w:bookmarkStart w:id="163" w:name="_Toc296354424"/>
      <w:bookmarkStart w:id="164" w:name="_Toc192306571"/>
      <w:r>
        <w:rPr>
          <w:rFonts w:ascii="Times New Roman" w:eastAsia="楷体_GB2312" w:hAnsi="Times New Roman"/>
          <w:sz w:val="36"/>
        </w:rPr>
        <w:t xml:space="preserve">5.4 </w:t>
      </w:r>
      <w:r>
        <w:rPr>
          <w:rFonts w:ascii="Times New Roman" w:eastAsia="楷体_GB2312" w:hAnsi="Times New Roman"/>
          <w:sz w:val="36"/>
        </w:rPr>
        <w:t>运营期固体废物环境影响分析</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5.4.1</w:t>
      </w:r>
      <w:r>
        <w:rPr>
          <w:rFonts w:ascii="Times New Roman" w:eastAsia="华文楷体" w:hAnsi="Times New Roman"/>
        </w:rPr>
        <w:t>固体废物产生情况及分类</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本项目厂区产生的主要固体废物是生活垃圾；危险废物包含：气浮单元产生的浮渣、储罐检修油泥、反应器产生的</w:t>
      </w:r>
      <w:r>
        <w:rPr>
          <w:rFonts w:ascii="Times New Roman" w:hAnsi="Times New Roman"/>
          <w:sz w:val="24"/>
          <w:szCs w:val="24"/>
        </w:rPr>
        <w:t>废加氢催化剂、废脱氯剂、废脱硫剂、</w:t>
      </w:r>
      <w:r>
        <w:rPr>
          <w:rFonts w:ascii="Times New Roman" w:hAnsi="Times New Roman"/>
          <w:sz w:val="24"/>
          <w:szCs w:val="24"/>
          <w:lang w:val="zh-CN"/>
        </w:rPr>
        <w:t>废催化剂、</w:t>
      </w:r>
      <w:r>
        <w:rPr>
          <w:rFonts w:ascii="Times New Roman" w:hAnsi="Times New Roman"/>
          <w:sz w:val="24"/>
          <w:szCs w:val="24"/>
        </w:rPr>
        <w:t>废保护剂、废活性炭等</w:t>
      </w:r>
      <w:r>
        <w:rPr>
          <w:rFonts w:ascii="Times New Roman" w:hAnsi="Times New Roman"/>
          <w:sz w:val="24"/>
        </w:rPr>
        <w:t>；一般工业固体废物包含：</w:t>
      </w:r>
      <w:r>
        <w:rPr>
          <w:rFonts w:ascii="Times New Roman" w:hAnsi="Times New Roman"/>
          <w:sz w:val="24"/>
          <w:szCs w:val="24"/>
          <w:lang w:val="zh-CN"/>
        </w:rPr>
        <w:t>废瓷球</w:t>
      </w:r>
      <w:r>
        <w:rPr>
          <w:rFonts w:ascii="Times New Roman" w:hAnsi="Times New Roman"/>
          <w:sz w:val="24"/>
          <w:szCs w:val="24"/>
        </w:rPr>
        <w:t>、</w:t>
      </w:r>
      <w:r>
        <w:rPr>
          <w:rFonts w:ascii="Times New Roman" w:hAnsi="Times New Roman"/>
          <w:sz w:val="24"/>
          <w:szCs w:val="24"/>
          <w:lang w:val="zh-CN"/>
        </w:rPr>
        <w:t>废吸附剂，</w:t>
      </w:r>
    </w:p>
    <w:p w:rsidR="00525419" w:rsidRDefault="00EE1CF7">
      <w:pPr>
        <w:adjustRightInd w:val="0"/>
        <w:snapToGrid w:val="0"/>
        <w:spacing w:line="360" w:lineRule="auto"/>
        <w:rPr>
          <w:rFonts w:ascii="Times New Roman" w:hAnsi="Times New Roman"/>
          <w:sz w:val="24"/>
        </w:rPr>
      </w:pPr>
      <w:r>
        <w:rPr>
          <w:rFonts w:ascii="Times New Roman" w:hAnsi="Times New Roman"/>
          <w:sz w:val="24"/>
        </w:rPr>
        <w:t>具体固体废物的产生情况，见工程分析章节表</w:t>
      </w:r>
      <w:r>
        <w:rPr>
          <w:rFonts w:ascii="Times New Roman" w:hAnsi="Times New Roman"/>
          <w:sz w:val="24"/>
        </w:rPr>
        <w:t>3.7-8</w:t>
      </w:r>
      <w:r>
        <w:rPr>
          <w:rFonts w:ascii="Times New Roman" w:hAnsi="Times New Roman"/>
          <w:sz w:val="24"/>
        </w:rPr>
        <w:t>～</w:t>
      </w:r>
      <w:r>
        <w:rPr>
          <w:rFonts w:ascii="Times New Roman" w:hAnsi="Times New Roman"/>
          <w:sz w:val="24"/>
        </w:rPr>
        <w:t>3.7-12</w:t>
      </w:r>
      <w:r>
        <w:rPr>
          <w:rFonts w:ascii="Times New Roman" w:hAnsi="Times New Roman"/>
          <w:sz w:val="24"/>
        </w:rPr>
        <w:t>。</w:t>
      </w:r>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5.4.2</w:t>
      </w:r>
      <w:r>
        <w:rPr>
          <w:rFonts w:ascii="Times New Roman" w:eastAsia="华文楷体" w:hAnsi="Times New Roman"/>
        </w:rPr>
        <w:t>项目固体废物鉴别与分类</w:t>
      </w:r>
    </w:p>
    <w:p w:rsidR="00525419" w:rsidRDefault="00EE1CF7">
      <w:pPr>
        <w:spacing w:line="440" w:lineRule="exact"/>
        <w:ind w:firstLineChars="200" w:firstLine="480"/>
        <w:rPr>
          <w:rFonts w:ascii="Times New Roman" w:hAnsi="Times New Roman"/>
          <w:sz w:val="24"/>
        </w:rPr>
      </w:pPr>
      <w:r>
        <w:rPr>
          <w:rFonts w:ascii="Times New Roman" w:hAnsi="Times New Roman"/>
          <w:sz w:val="24"/>
        </w:rPr>
        <w:t>固体废物的环境影响、处理处置方式及综合利用等主要取决于它的有毒有害特性。本项目反应器产生的</w:t>
      </w:r>
      <w:r>
        <w:rPr>
          <w:rFonts w:ascii="Times New Roman" w:hAnsi="Times New Roman"/>
          <w:sz w:val="24"/>
          <w:szCs w:val="24"/>
        </w:rPr>
        <w:t>废加氢催化剂、废脱氯剂、废脱硫剂、</w:t>
      </w:r>
      <w:r>
        <w:rPr>
          <w:rFonts w:ascii="Times New Roman" w:hAnsi="Times New Roman"/>
          <w:sz w:val="24"/>
          <w:szCs w:val="24"/>
          <w:lang w:val="zh-CN"/>
        </w:rPr>
        <w:t>废催化剂、</w:t>
      </w:r>
      <w:r>
        <w:rPr>
          <w:rFonts w:ascii="Times New Roman" w:hAnsi="Times New Roman"/>
          <w:sz w:val="24"/>
          <w:szCs w:val="24"/>
        </w:rPr>
        <w:t>废保护剂、废活性炭、浮渣、油泥</w:t>
      </w:r>
      <w:r>
        <w:rPr>
          <w:rFonts w:ascii="Times New Roman" w:hAnsi="Times New Roman"/>
          <w:sz w:val="24"/>
        </w:rPr>
        <w:t>等属于危险废物，一般工业固体废物包含：</w:t>
      </w:r>
      <w:r>
        <w:rPr>
          <w:rFonts w:ascii="Times New Roman" w:hAnsi="Times New Roman"/>
          <w:sz w:val="24"/>
          <w:szCs w:val="24"/>
          <w:lang w:val="zh-CN"/>
        </w:rPr>
        <w:t>废瓷球</w:t>
      </w:r>
      <w:r>
        <w:rPr>
          <w:rFonts w:ascii="Times New Roman" w:hAnsi="Times New Roman"/>
          <w:sz w:val="24"/>
          <w:szCs w:val="24"/>
        </w:rPr>
        <w:t>、</w:t>
      </w:r>
      <w:r>
        <w:rPr>
          <w:rFonts w:ascii="Times New Roman" w:hAnsi="Times New Roman"/>
          <w:sz w:val="24"/>
          <w:szCs w:val="24"/>
          <w:lang w:val="zh-CN"/>
        </w:rPr>
        <w:t>废吸附剂等。</w:t>
      </w:r>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lastRenderedPageBreak/>
        <w:t xml:space="preserve">5.4.3 </w:t>
      </w:r>
      <w:r>
        <w:rPr>
          <w:rFonts w:ascii="Times New Roman" w:eastAsia="华文楷体" w:hAnsi="Times New Roman"/>
        </w:rPr>
        <w:t>固体废物环境影响分析</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5.4.3.1</w:t>
      </w:r>
      <w:r>
        <w:rPr>
          <w:rFonts w:ascii="Times New Roman" w:hAnsi="Times New Roman" w:cs="Times New Roman"/>
          <w:kern w:val="44"/>
          <w:sz w:val="24"/>
          <w:szCs w:val="24"/>
        </w:rPr>
        <w:t>固体废物收集环境影响</w:t>
      </w:r>
    </w:p>
    <w:p w:rsidR="00525419" w:rsidRDefault="00EE1CF7">
      <w:pPr>
        <w:spacing w:line="440" w:lineRule="exact"/>
        <w:ind w:firstLineChars="200" w:firstLine="480"/>
        <w:rPr>
          <w:rFonts w:ascii="Times New Roman" w:hAnsi="Times New Roman"/>
          <w:sz w:val="24"/>
          <w:lang w:val="zh-CN"/>
        </w:rPr>
      </w:pPr>
      <w:r>
        <w:rPr>
          <w:rFonts w:ascii="Times New Roman" w:hAnsi="Times New Roman"/>
          <w:sz w:val="24"/>
          <w:lang w:val="zh-CN"/>
        </w:rPr>
        <w:t>本项目新增生活垃圾通过垃圾箱定点集中收集，减少了因垃圾乱堆乱放造成的环境影响。</w:t>
      </w:r>
    </w:p>
    <w:p w:rsidR="00525419" w:rsidRDefault="00EE1CF7">
      <w:pPr>
        <w:spacing w:line="440" w:lineRule="exact"/>
        <w:ind w:firstLineChars="200" w:firstLine="480"/>
        <w:rPr>
          <w:rFonts w:ascii="Times New Roman" w:hAnsi="Times New Roman"/>
          <w:sz w:val="24"/>
          <w:lang w:val="zh-CN"/>
        </w:rPr>
      </w:pPr>
      <w:r>
        <w:rPr>
          <w:rFonts w:ascii="Times New Roman" w:hAnsi="Times New Roman"/>
          <w:sz w:val="24"/>
          <w:lang w:val="zh-CN"/>
        </w:rPr>
        <w:t>气浮池浮渣、储罐油泥、</w:t>
      </w:r>
      <w:r>
        <w:rPr>
          <w:rFonts w:ascii="Times New Roman" w:hAnsi="Times New Roman"/>
          <w:sz w:val="24"/>
        </w:rPr>
        <w:t>反应器产生的</w:t>
      </w:r>
      <w:r>
        <w:rPr>
          <w:rFonts w:ascii="Times New Roman" w:hAnsi="Times New Roman"/>
          <w:sz w:val="24"/>
          <w:szCs w:val="24"/>
        </w:rPr>
        <w:t>废加氢催化剂、废脱氯剂、废脱硫剂、</w:t>
      </w:r>
      <w:r>
        <w:rPr>
          <w:rFonts w:ascii="Times New Roman" w:hAnsi="Times New Roman"/>
          <w:sz w:val="24"/>
          <w:szCs w:val="24"/>
          <w:lang w:val="zh-CN"/>
        </w:rPr>
        <w:t>废催化剂、</w:t>
      </w:r>
      <w:r>
        <w:rPr>
          <w:rFonts w:ascii="Times New Roman" w:hAnsi="Times New Roman"/>
          <w:sz w:val="24"/>
          <w:szCs w:val="24"/>
        </w:rPr>
        <w:t>废保护剂、废活性炭</w:t>
      </w:r>
      <w:r>
        <w:rPr>
          <w:rFonts w:ascii="Times New Roman" w:hAnsi="Times New Roman"/>
          <w:sz w:val="24"/>
        </w:rPr>
        <w:t>等危险废物</w:t>
      </w:r>
      <w:r>
        <w:rPr>
          <w:rFonts w:ascii="Times New Roman" w:hAnsi="Times New Roman"/>
          <w:sz w:val="24"/>
          <w:lang w:val="zh-CN"/>
        </w:rPr>
        <w:t>到专用密闭式收集容器。</w:t>
      </w:r>
      <w:r>
        <w:rPr>
          <w:rFonts w:ascii="Times New Roman" w:hAnsi="Times New Roman"/>
          <w:sz w:val="24"/>
          <w:lang w:val="zh-CN"/>
        </w:rPr>
        <w:t xml:space="preserve">  </w:t>
      </w:r>
    </w:p>
    <w:p w:rsidR="00525419" w:rsidRDefault="00EE1CF7">
      <w:pPr>
        <w:spacing w:line="440" w:lineRule="exact"/>
        <w:ind w:firstLineChars="200" w:firstLine="480"/>
        <w:rPr>
          <w:rFonts w:ascii="Times New Roman" w:hAnsi="Times New Roman"/>
          <w:sz w:val="24"/>
          <w:szCs w:val="24"/>
          <w:lang w:val="zh-CN"/>
        </w:rPr>
      </w:pPr>
      <w:r>
        <w:rPr>
          <w:rFonts w:ascii="Times New Roman" w:hAnsi="Times New Roman"/>
          <w:sz w:val="24"/>
        </w:rPr>
        <w:t>一般工业固体废物</w:t>
      </w:r>
      <w:r>
        <w:rPr>
          <w:rFonts w:ascii="Times New Roman" w:hAnsi="Times New Roman"/>
          <w:sz w:val="24"/>
          <w:szCs w:val="24"/>
          <w:lang w:val="zh-CN"/>
        </w:rPr>
        <w:t>废瓷球</w:t>
      </w:r>
      <w:r>
        <w:rPr>
          <w:rFonts w:ascii="Times New Roman" w:hAnsi="Times New Roman"/>
          <w:sz w:val="24"/>
          <w:szCs w:val="24"/>
        </w:rPr>
        <w:t>、</w:t>
      </w:r>
      <w:r>
        <w:rPr>
          <w:rFonts w:ascii="Times New Roman" w:hAnsi="Times New Roman"/>
          <w:sz w:val="24"/>
          <w:szCs w:val="24"/>
          <w:lang w:val="zh-CN"/>
        </w:rPr>
        <w:t>废吸附剂在项目区一般固废堆放场堆存，定期由厂家回收。</w:t>
      </w:r>
    </w:p>
    <w:p w:rsidR="00525419" w:rsidRDefault="00EE1CF7">
      <w:pPr>
        <w:spacing w:line="440" w:lineRule="exact"/>
        <w:ind w:firstLineChars="200" w:firstLine="480"/>
        <w:rPr>
          <w:rFonts w:ascii="Times New Roman" w:hAnsi="Times New Roman"/>
          <w:sz w:val="24"/>
          <w:lang w:val="zh-CN"/>
        </w:rPr>
      </w:pPr>
      <w:r>
        <w:rPr>
          <w:rFonts w:ascii="Times New Roman" w:hAnsi="Times New Roman"/>
          <w:sz w:val="24"/>
          <w:lang w:val="zh-CN"/>
        </w:rPr>
        <w:t>上述固体收集采取了合理的收集方式，对环境影响较少。</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5.4.3.2</w:t>
      </w:r>
      <w:r>
        <w:rPr>
          <w:rFonts w:ascii="Times New Roman" w:hAnsi="Times New Roman" w:cs="Times New Roman"/>
          <w:kern w:val="44"/>
          <w:sz w:val="24"/>
          <w:szCs w:val="24"/>
        </w:rPr>
        <w:t>固体废物贮存环境影响</w:t>
      </w:r>
    </w:p>
    <w:p w:rsidR="00525419" w:rsidRDefault="00EE1CF7">
      <w:pPr>
        <w:spacing w:line="360" w:lineRule="auto"/>
        <w:ind w:firstLineChars="200" w:firstLine="480"/>
        <w:rPr>
          <w:rFonts w:ascii="Times New Roman" w:hAnsi="Times New Roman"/>
          <w:sz w:val="24"/>
        </w:rPr>
      </w:pPr>
      <w:r>
        <w:rPr>
          <w:rFonts w:ascii="Times New Roman" w:hAnsi="Times New Roman"/>
          <w:sz w:val="24"/>
          <w:lang w:val="zh-CN"/>
        </w:rPr>
        <w:t>生活垃圾在厂内设垃圾箱暂存，防止了垃圾渗滤液对地下水环境影响；采取及时清运，</w:t>
      </w:r>
      <w:r>
        <w:rPr>
          <w:rFonts w:ascii="Times New Roman" w:hAnsi="Times New Roman"/>
          <w:sz w:val="24"/>
        </w:rPr>
        <w:t>减少了臭气对大气的环境影响。</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依托的浮渣池采取了防渗措施；依托的危险废物暂储间采取了</w:t>
      </w:r>
      <w:r>
        <w:rPr>
          <w:rFonts w:ascii="Times New Roman" w:hAnsi="Times New Roman"/>
          <w:sz w:val="24"/>
        </w:rPr>
        <w:t>“</w:t>
      </w:r>
      <w:r>
        <w:rPr>
          <w:rFonts w:ascii="Times New Roman" w:hAnsi="Times New Roman"/>
          <w:sz w:val="24"/>
        </w:rPr>
        <w:t>四防</w:t>
      </w:r>
      <w:r>
        <w:rPr>
          <w:rFonts w:ascii="Times New Roman" w:hAnsi="Times New Roman"/>
          <w:sz w:val="24"/>
        </w:rPr>
        <w:t>”</w:t>
      </w:r>
      <w:r>
        <w:rPr>
          <w:rFonts w:ascii="Times New Roman" w:hAnsi="Times New Roman"/>
          <w:sz w:val="24"/>
        </w:rPr>
        <w:t>。浮渣、储罐油泥、反应器产生的</w:t>
      </w:r>
      <w:r>
        <w:rPr>
          <w:rFonts w:ascii="Times New Roman" w:hAnsi="Times New Roman"/>
          <w:sz w:val="24"/>
          <w:szCs w:val="24"/>
        </w:rPr>
        <w:t>废加氢催化剂、废脱氯剂、废脱硫剂、</w:t>
      </w:r>
      <w:r>
        <w:rPr>
          <w:rFonts w:ascii="Times New Roman" w:hAnsi="Times New Roman"/>
          <w:sz w:val="24"/>
          <w:szCs w:val="24"/>
          <w:lang w:val="zh-CN"/>
        </w:rPr>
        <w:t>废催化剂、</w:t>
      </w:r>
      <w:r>
        <w:rPr>
          <w:rFonts w:ascii="Times New Roman" w:hAnsi="Times New Roman"/>
          <w:sz w:val="24"/>
          <w:szCs w:val="24"/>
        </w:rPr>
        <w:t>废保护剂、废活性炭</w:t>
      </w:r>
      <w:r>
        <w:rPr>
          <w:rFonts w:ascii="Times New Roman" w:hAnsi="Times New Roman"/>
          <w:sz w:val="24"/>
        </w:rPr>
        <w:t>等危险废物在规范的临时贮存场所贮存，</w:t>
      </w:r>
      <w:r>
        <w:rPr>
          <w:rFonts w:ascii="Times New Roman" w:hAnsi="Times New Roman"/>
          <w:sz w:val="24"/>
          <w:szCs w:val="24"/>
          <w:lang w:val="zh-CN"/>
        </w:rPr>
        <w:t>瓷球</w:t>
      </w:r>
      <w:r>
        <w:rPr>
          <w:rFonts w:ascii="Times New Roman" w:hAnsi="Times New Roman"/>
          <w:sz w:val="24"/>
          <w:szCs w:val="24"/>
        </w:rPr>
        <w:t>、</w:t>
      </w:r>
      <w:r>
        <w:rPr>
          <w:rFonts w:ascii="Times New Roman" w:hAnsi="Times New Roman"/>
          <w:sz w:val="24"/>
          <w:szCs w:val="24"/>
          <w:lang w:val="zh-CN"/>
        </w:rPr>
        <w:t>废吸附剂在项目区一般固废堆放场堆存，定期由厂家回收，</w:t>
      </w:r>
      <w:r>
        <w:rPr>
          <w:rFonts w:ascii="Times New Roman" w:hAnsi="Times New Roman"/>
          <w:sz w:val="24"/>
        </w:rPr>
        <w:t>减少了对环境的影响。</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5.4.3.3</w:t>
      </w:r>
      <w:r>
        <w:rPr>
          <w:rFonts w:ascii="Times New Roman" w:hAnsi="Times New Roman" w:cs="Times New Roman"/>
          <w:kern w:val="44"/>
          <w:sz w:val="24"/>
          <w:szCs w:val="24"/>
        </w:rPr>
        <w:t>固体废物处理处置环境影响</w:t>
      </w:r>
    </w:p>
    <w:p w:rsidR="00525419" w:rsidRDefault="00EE1CF7">
      <w:pPr>
        <w:spacing w:line="440" w:lineRule="exact"/>
        <w:ind w:firstLineChars="200" w:firstLine="480"/>
        <w:rPr>
          <w:rFonts w:ascii="Times New Roman" w:hAnsi="Times New Roman"/>
          <w:sz w:val="24"/>
        </w:rPr>
      </w:pPr>
      <w:r>
        <w:rPr>
          <w:rFonts w:ascii="Times New Roman" w:hAnsi="Times New Roman"/>
          <w:sz w:val="24"/>
        </w:rPr>
        <w:t>生活垃圾委托环卫部门统一清运。</w:t>
      </w:r>
    </w:p>
    <w:p w:rsidR="00525419" w:rsidRDefault="00EE1CF7">
      <w:pPr>
        <w:spacing w:line="440" w:lineRule="exact"/>
        <w:ind w:firstLineChars="200" w:firstLine="480"/>
        <w:rPr>
          <w:rFonts w:ascii="Times New Roman" w:hAnsi="Times New Roman"/>
          <w:sz w:val="24"/>
        </w:rPr>
      </w:pPr>
      <w:r>
        <w:rPr>
          <w:rFonts w:ascii="Times New Roman" w:hAnsi="Times New Roman"/>
          <w:sz w:val="24"/>
        </w:rPr>
        <w:t>本项目危险废物采用专门的车辆，密闭运输到有资质单位处置，严格禁止抛洒滴漏，杜绝在运输过程中造成环境的二次污染。</w:t>
      </w:r>
    </w:p>
    <w:p w:rsidR="00525419" w:rsidRDefault="00EE1CF7">
      <w:pPr>
        <w:spacing w:line="440" w:lineRule="exact"/>
        <w:ind w:firstLineChars="200" w:firstLine="480"/>
        <w:rPr>
          <w:rFonts w:ascii="Times New Roman" w:hAnsi="Times New Roman"/>
          <w:sz w:val="24"/>
          <w:szCs w:val="24"/>
          <w:lang w:val="zh-CN"/>
        </w:rPr>
      </w:pPr>
      <w:r>
        <w:rPr>
          <w:rFonts w:ascii="Times New Roman" w:hAnsi="Times New Roman"/>
          <w:sz w:val="24"/>
        </w:rPr>
        <w:t>一般工业固体废物</w:t>
      </w:r>
      <w:r>
        <w:rPr>
          <w:rFonts w:ascii="Times New Roman" w:hAnsi="Times New Roman"/>
          <w:sz w:val="24"/>
          <w:szCs w:val="24"/>
          <w:lang w:val="zh-CN"/>
        </w:rPr>
        <w:t>废瓷球</w:t>
      </w:r>
      <w:r>
        <w:rPr>
          <w:rFonts w:ascii="Times New Roman" w:hAnsi="Times New Roman"/>
          <w:sz w:val="24"/>
          <w:szCs w:val="24"/>
        </w:rPr>
        <w:t>、</w:t>
      </w:r>
      <w:r>
        <w:rPr>
          <w:rFonts w:ascii="Times New Roman" w:hAnsi="Times New Roman"/>
          <w:sz w:val="24"/>
          <w:szCs w:val="24"/>
          <w:lang w:val="zh-CN"/>
        </w:rPr>
        <w:t>废吸附剂在项目区一般固废堆放场堆存，定期由厂家回收。</w:t>
      </w:r>
    </w:p>
    <w:p w:rsidR="00525419" w:rsidRDefault="00EE1CF7">
      <w:pPr>
        <w:spacing w:line="440" w:lineRule="exact"/>
        <w:ind w:firstLineChars="200" w:firstLine="480"/>
        <w:rPr>
          <w:rFonts w:ascii="Times New Roman" w:hAnsi="Times New Roman"/>
          <w:sz w:val="24"/>
        </w:rPr>
      </w:pPr>
      <w:r>
        <w:rPr>
          <w:rFonts w:ascii="Times New Roman" w:hAnsi="Times New Roman"/>
          <w:sz w:val="24"/>
        </w:rPr>
        <w:t>综上分析，本项目运营期间产生的固体废物在各环节采取了相应的污染防治措施，且得到了安全处理处置，在加强管理的情况下，固体废物对环境产生影响较小。</w:t>
      </w:r>
    </w:p>
    <w:p w:rsidR="00525419" w:rsidRDefault="00EE1CF7" w:rsidP="00EE1CF7">
      <w:pPr>
        <w:pStyle w:val="2a"/>
        <w:spacing w:beforeLines="50" w:before="166" w:after="166"/>
        <w:ind w:left="578" w:hanging="578"/>
        <w:rPr>
          <w:rFonts w:ascii="Times New Roman" w:eastAsia="楷体_GB2312" w:hAnsi="Times New Roman"/>
          <w:sz w:val="36"/>
        </w:rPr>
      </w:pPr>
      <w:bookmarkStart w:id="165" w:name="_Toc22555"/>
      <w:bookmarkStart w:id="166" w:name="_Toc484775648"/>
      <w:r>
        <w:rPr>
          <w:rFonts w:ascii="Times New Roman" w:eastAsia="楷体_GB2312" w:hAnsi="Times New Roman"/>
          <w:sz w:val="36"/>
        </w:rPr>
        <w:lastRenderedPageBreak/>
        <w:t>5.5</w:t>
      </w:r>
      <w:r>
        <w:rPr>
          <w:rFonts w:ascii="Times New Roman" w:eastAsia="楷体_GB2312" w:hAnsi="Times New Roman"/>
          <w:sz w:val="36"/>
        </w:rPr>
        <w:t>运营期土壤环境影响预测</w:t>
      </w:r>
      <w:bookmarkEnd w:id="165"/>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 xml:space="preserve">5.5.1 </w:t>
      </w:r>
      <w:r>
        <w:rPr>
          <w:rFonts w:ascii="Times New Roman" w:eastAsia="华文楷体" w:hAnsi="Times New Roman"/>
        </w:rPr>
        <w:t>土壤环境影响识别</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根据《环境影响评价技术导则</w:t>
      </w:r>
      <w:r>
        <w:rPr>
          <w:rFonts w:ascii="Times New Roman" w:hAnsi="Times New Roman"/>
          <w:kern w:val="0"/>
          <w:sz w:val="24"/>
          <w:szCs w:val="24"/>
        </w:rPr>
        <w:t>•</w:t>
      </w:r>
      <w:r>
        <w:rPr>
          <w:rFonts w:ascii="Times New Roman" w:hAnsi="Times New Roman"/>
          <w:kern w:val="0"/>
          <w:sz w:val="24"/>
          <w:szCs w:val="24"/>
        </w:rPr>
        <w:t>土壤环境（试行）》（</w:t>
      </w:r>
      <w:r>
        <w:rPr>
          <w:rFonts w:ascii="Times New Roman" w:hAnsi="Times New Roman"/>
          <w:kern w:val="0"/>
          <w:sz w:val="24"/>
          <w:szCs w:val="24"/>
        </w:rPr>
        <w:t>HJ964-2018</w:t>
      </w:r>
      <w:r>
        <w:rPr>
          <w:rFonts w:ascii="Times New Roman" w:hAnsi="Times New Roman"/>
          <w:kern w:val="0"/>
          <w:sz w:val="24"/>
          <w:szCs w:val="24"/>
        </w:rPr>
        <w:t>）》附录</w:t>
      </w:r>
      <w:r>
        <w:rPr>
          <w:rFonts w:ascii="Times New Roman" w:hAnsi="Times New Roman"/>
          <w:kern w:val="0"/>
          <w:sz w:val="24"/>
          <w:szCs w:val="24"/>
        </w:rPr>
        <w:t>A</w:t>
      </w:r>
      <w:r>
        <w:rPr>
          <w:rFonts w:ascii="Times New Roman" w:hAnsi="Times New Roman"/>
          <w:kern w:val="0"/>
          <w:sz w:val="24"/>
          <w:szCs w:val="24"/>
        </w:rPr>
        <w:t>，本项目属于石油、化工中石油加工项目，为污染影响型项目，土壤环境影响评价项目类别为</w:t>
      </w:r>
      <w:r>
        <w:rPr>
          <w:rFonts w:ascii="Times New Roman" w:hAnsi="Times New Roman"/>
          <w:kern w:val="0"/>
          <w:sz w:val="24"/>
          <w:szCs w:val="24"/>
        </w:rPr>
        <w:t>Ⅰ</w:t>
      </w:r>
      <w:r>
        <w:rPr>
          <w:rFonts w:ascii="Times New Roman" w:hAnsi="Times New Roman"/>
          <w:kern w:val="0"/>
          <w:sz w:val="24"/>
          <w:szCs w:val="24"/>
        </w:rPr>
        <w:t>类。</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本项目位于工业园区，周边无耕地、园地、牧草地、饮用水水源地或居民区、学校、医院、疗养院、养老院等土壤环境敏感目标和其他土壤环境敏感目标。</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本项目土壤环境影响评价工作等级为二级，项目建设不会引起土壤环境的酸化、盐化和碱化，不属于生态影响型，原料、产品及含油废水如发生泄漏，主要为点状渗漏，可能会通过下渗污染土壤环境质量，因此属于污染影响型，其污染途径主要为垂直入渗，特征污染因子为石油烃类。</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运行期土壤环境影响识别见表</w:t>
      </w:r>
      <w:r>
        <w:rPr>
          <w:rFonts w:ascii="Times New Roman" w:hAnsi="Times New Roman"/>
          <w:kern w:val="0"/>
          <w:sz w:val="24"/>
          <w:szCs w:val="24"/>
        </w:rPr>
        <w:t>5.5-1</w:t>
      </w:r>
      <w:r>
        <w:rPr>
          <w:rFonts w:ascii="Times New Roman" w:hAnsi="Times New Roman"/>
          <w:kern w:val="0"/>
          <w:sz w:val="24"/>
          <w:szCs w:val="24"/>
        </w:rPr>
        <w:t>，土壤环境影响源及影响因子识别见表</w:t>
      </w:r>
      <w:r>
        <w:rPr>
          <w:rFonts w:ascii="Times New Roman" w:hAnsi="Times New Roman"/>
          <w:kern w:val="0"/>
          <w:sz w:val="24"/>
          <w:szCs w:val="24"/>
        </w:rPr>
        <w:t>5.5-2</w:t>
      </w:r>
      <w:r>
        <w:rPr>
          <w:rFonts w:ascii="Times New Roman" w:hAnsi="Times New Roman"/>
          <w:kern w:val="0"/>
          <w:sz w:val="24"/>
          <w:szCs w:val="24"/>
        </w:rPr>
        <w:t>，周边土壤环境敏感目标见表</w:t>
      </w:r>
      <w:r>
        <w:rPr>
          <w:rFonts w:ascii="Times New Roman" w:hAnsi="Times New Roman"/>
          <w:kern w:val="0"/>
          <w:sz w:val="24"/>
          <w:szCs w:val="24"/>
        </w:rPr>
        <w:t>5.5-3</w:t>
      </w:r>
      <w:r>
        <w:rPr>
          <w:rFonts w:ascii="Times New Roman" w:hAnsi="Times New Roman"/>
          <w:kern w:val="0"/>
          <w:sz w:val="24"/>
          <w:szCs w:val="24"/>
        </w:rPr>
        <w:t>。</w:t>
      </w:r>
    </w:p>
    <w:p w:rsidR="00525419" w:rsidRDefault="00EE1CF7">
      <w:pPr>
        <w:ind w:firstLineChars="900" w:firstLine="1890"/>
        <w:rPr>
          <w:rFonts w:ascii="Times New Roman" w:eastAsia="黑体" w:hAnsi="Times New Roman"/>
        </w:rPr>
      </w:pPr>
      <w:r>
        <w:rPr>
          <w:rFonts w:ascii="Times New Roman" w:eastAsia="黑体" w:hAnsi="Times New Roman"/>
        </w:rPr>
        <w:t>表</w:t>
      </w:r>
      <w:r>
        <w:rPr>
          <w:rFonts w:ascii="Times New Roman" w:eastAsia="黑体" w:hAnsi="Times New Roman"/>
        </w:rPr>
        <w:t xml:space="preserve">5.5-1   </w:t>
      </w:r>
      <w:r>
        <w:rPr>
          <w:rFonts w:ascii="Times New Roman" w:eastAsia="黑体" w:hAnsi="Times New Roman"/>
        </w:rPr>
        <w:t>土壤环境影响类型和影响途径一览表</w:t>
      </w:r>
    </w:p>
    <w:tbl>
      <w:tblPr>
        <w:tblW w:w="850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700"/>
        <w:gridCol w:w="1700"/>
        <w:gridCol w:w="1701"/>
        <w:gridCol w:w="1702"/>
        <w:gridCol w:w="1702"/>
      </w:tblGrid>
      <w:tr w:rsidR="00525419">
        <w:trPr>
          <w:trHeight w:val="397"/>
          <w:jc w:val="center"/>
        </w:trPr>
        <w:tc>
          <w:tcPr>
            <w:tcW w:w="1700" w:type="dxa"/>
            <w:vAlign w:val="center"/>
          </w:tcPr>
          <w:p w:rsidR="00525419" w:rsidRDefault="00EE1CF7">
            <w:pPr>
              <w:pStyle w:val="B2"/>
              <w:rPr>
                <w:rFonts w:cs="Times New Roman"/>
              </w:rPr>
            </w:pPr>
            <w:r>
              <w:rPr>
                <w:rFonts w:cs="Times New Roman"/>
              </w:rPr>
              <w:t>不同时段</w:t>
            </w:r>
          </w:p>
        </w:tc>
        <w:tc>
          <w:tcPr>
            <w:tcW w:w="6805" w:type="dxa"/>
            <w:gridSpan w:val="4"/>
            <w:vAlign w:val="center"/>
          </w:tcPr>
          <w:p w:rsidR="00525419" w:rsidRDefault="00EE1CF7">
            <w:pPr>
              <w:pStyle w:val="B2"/>
              <w:rPr>
                <w:rFonts w:cs="Times New Roman"/>
              </w:rPr>
            </w:pPr>
            <w:r>
              <w:rPr>
                <w:rFonts w:cs="Times New Roman"/>
              </w:rPr>
              <w:t>污染影响类型及方式</w:t>
            </w:r>
          </w:p>
        </w:tc>
      </w:tr>
      <w:tr w:rsidR="00525419">
        <w:trPr>
          <w:trHeight w:val="397"/>
          <w:jc w:val="center"/>
        </w:trPr>
        <w:tc>
          <w:tcPr>
            <w:tcW w:w="1700" w:type="dxa"/>
            <w:vAlign w:val="center"/>
          </w:tcPr>
          <w:p w:rsidR="00525419" w:rsidRDefault="00525419">
            <w:pPr>
              <w:pStyle w:val="B2"/>
              <w:rPr>
                <w:rFonts w:cs="Times New Roman"/>
              </w:rPr>
            </w:pPr>
          </w:p>
        </w:tc>
        <w:tc>
          <w:tcPr>
            <w:tcW w:w="1700" w:type="dxa"/>
            <w:vAlign w:val="center"/>
          </w:tcPr>
          <w:p w:rsidR="00525419" w:rsidRDefault="00EE1CF7">
            <w:pPr>
              <w:pStyle w:val="B2"/>
              <w:rPr>
                <w:rFonts w:cs="Times New Roman"/>
              </w:rPr>
            </w:pPr>
            <w:r>
              <w:rPr>
                <w:rFonts w:cs="Times New Roman"/>
              </w:rPr>
              <w:t>大气沉降</w:t>
            </w:r>
          </w:p>
        </w:tc>
        <w:tc>
          <w:tcPr>
            <w:tcW w:w="1701" w:type="dxa"/>
            <w:vAlign w:val="center"/>
          </w:tcPr>
          <w:p w:rsidR="00525419" w:rsidRDefault="00EE1CF7">
            <w:pPr>
              <w:pStyle w:val="B2"/>
              <w:rPr>
                <w:rFonts w:cs="Times New Roman"/>
              </w:rPr>
            </w:pPr>
            <w:r>
              <w:rPr>
                <w:rFonts w:cs="Times New Roman"/>
              </w:rPr>
              <w:t>地面漫流</w:t>
            </w:r>
          </w:p>
        </w:tc>
        <w:tc>
          <w:tcPr>
            <w:tcW w:w="1702" w:type="dxa"/>
            <w:vAlign w:val="center"/>
          </w:tcPr>
          <w:p w:rsidR="00525419" w:rsidRDefault="00EE1CF7">
            <w:pPr>
              <w:pStyle w:val="B2"/>
              <w:rPr>
                <w:rFonts w:cs="Times New Roman"/>
              </w:rPr>
            </w:pPr>
            <w:r>
              <w:rPr>
                <w:rFonts w:cs="Times New Roman"/>
              </w:rPr>
              <w:t>垂直入渗</w:t>
            </w:r>
          </w:p>
        </w:tc>
        <w:tc>
          <w:tcPr>
            <w:tcW w:w="1702" w:type="dxa"/>
            <w:vAlign w:val="center"/>
          </w:tcPr>
          <w:p w:rsidR="00525419" w:rsidRDefault="00EE1CF7">
            <w:pPr>
              <w:pStyle w:val="B2"/>
              <w:rPr>
                <w:rFonts w:cs="Times New Roman"/>
              </w:rPr>
            </w:pPr>
            <w:r>
              <w:rPr>
                <w:rFonts w:cs="Times New Roman"/>
              </w:rPr>
              <w:t>其他</w:t>
            </w:r>
          </w:p>
        </w:tc>
      </w:tr>
      <w:tr w:rsidR="00525419">
        <w:trPr>
          <w:trHeight w:val="397"/>
          <w:jc w:val="center"/>
        </w:trPr>
        <w:tc>
          <w:tcPr>
            <w:tcW w:w="1700" w:type="dxa"/>
            <w:vAlign w:val="center"/>
          </w:tcPr>
          <w:p w:rsidR="00525419" w:rsidRDefault="00EE1CF7">
            <w:pPr>
              <w:pStyle w:val="B2"/>
              <w:rPr>
                <w:rFonts w:cs="Times New Roman"/>
              </w:rPr>
            </w:pPr>
            <w:r>
              <w:rPr>
                <w:rFonts w:cs="Times New Roman"/>
              </w:rPr>
              <w:t>运营期</w:t>
            </w:r>
          </w:p>
        </w:tc>
        <w:tc>
          <w:tcPr>
            <w:tcW w:w="1700" w:type="dxa"/>
            <w:vAlign w:val="center"/>
          </w:tcPr>
          <w:p w:rsidR="00525419" w:rsidRDefault="00EE1CF7">
            <w:pPr>
              <w:pStyle w:val="B2"/>
              <w:rPr>
                <w:rFonts w:cs="Times New Roman"/>
              </w:rPr>
            </w:pPr>
            <w:r>
              <w:rPr>
                <w:rFonts w:cs="Times New Roman"/>
              </w:rPr>
              <w:t>-</w:t>
            </w:r>
          </w:p>
        </w:tc>
        <w:tc>
          <w:tcPr>
            <w:tcW w:w="1701" w:type="dxa"/>
            <w:vAlign w:val="center"/>
          </w:tcPr>
          <w:p w:rsidR="00525419" w:rsidRDefault="00EE1CF7">
            <w:pPr>
              <w:pStyle w:val="B2"/>
              <w:rPr>
                <w:rFonts w:cs="Times New Roman"/>
              </w:rPr>
            </w:pPr>
            <w:r>
              <w:rPr>
                <w:rFonts w:cs="Times New Roman"/>
              </w:rPr>
              <w:t>-</w:t>
            </w:r>
          </w:p>
        </w:tc>
        <w:tc>
          <w:tcPr>
            <w:tcW w:w="1702" w:type="dxa"/>
            <w:vAlign w:val="center"/>
          </w:tcPr>
          <w:p w:rsidR="00525419" w:rsidRDefault="00EE1CF7">
            <w:pPr>
              <w:pStyle w:val="B2"/>
              <w:rPr>
                <w:rFonts w:cs="Times New Roman"/>
              </w:rPr>
            </w:pPr>
            <w:r>
              <w:rPr>
                <w:rFonts w:cs="Times New Roman"/>
              </w:rPr>
              <w:t>√</w:t>
            </w:r>
          </w:p>
        </w:tc>
        <w:tc>
          <w:tcPr>
            <w:tcW w:w="1702" w:type="dxa"/>
            <w:vAlign w:val="center"/>
          </w:tcPr>
          <w:p w:rsidR="00525419" w:rsidRDefault="00EE1CF7">
            <w:pPr>
              <w:pStyle w:val="B2"/>
              <w:rPr>
                <w:rFonts w:cs="Times New Roman"/>
              </w:rPr>
            </w:pPr>
            <w:r>
              <w:rPr>
                <w:rFonts w:cs="Times New Roman"/>
              </w:rPr>
              <w:t>-</w:t>
            </w:r>
          </w:p>
        </w:tc>
      </w:tr>
    </w:tbl>
    <w:p w:rsidR="00525419" w:rsidRDefault="00525419">
      <w:pPr>
        <w:widowControl/>
        <w:jc w:val="center"/>
        <w:rPr>
          <w:rFonts w:ascii="Times New Roman" w:hAnsi="Times New Roman"/>
          <w:kern w:val="0"/>
          <w:szCs w:val="24"/>
        </w:rPr>
      </w:pPr>
    </w:p>
    <w:p w:rsidR="00525419" w:rsidRDefault="00EE1CF7">
      <w:pPr>
        <w:ind w:firstLineChars="900" w:firstLine="1890"/>
        <w:rPr>
          <w:rFonts w:ascii="Times New Roman" w:eastAsia="黑体" w:hAnsi="Times New Roman"/>
        </w:rPr>
      </w:pPr>
      <w:r>
        <w:rPr>
          <w:rFonts w:ascii="Times New Roman" w:eastAsia="黑体" w:hAnsi="Times New Roman"/>
        </w:rPr>
        <w:t>表</w:t>
      </w:r>
      <w:r>
        <w:rPr>
          <w:rFonts w:ascii="Times New Roman" w:eastAsia="黑体" w:hAnsi="Times New Roman"/>
        </w:rPr>
        <w:t xml:space="preserve">5.5-2  </w:t>
      </w:r>
      <w:r>
        <w:rPr>
          <w:rFonts w:ascii="Times New Roman" w:eastAsia="黑体" w:hAnsi="Times New Roman"/>
        </w:rPr>
        <w:t>项目土壤环境影响源及影响因子识别一览表</w:t>
      </w:r>
    </w:p>
    <w:tbl>
      <w:tblPr>
        <w:tblW w:w="850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6" w:type="dxa"/>
          <w:right w:w="6" w:type="dxa"/>
        </w:tblCellMar>
        <w:tblLook w:val="04A0" w:firstRow="1" w:lastRow="0" w:firstColumn="1" w:lastColumn="0" w:noHBand="0" w:noVBand="1"/>
      </w:tblPr>
      <w:tblGrid>
        <w:gridCol w:w="8"/>
        <w:gridCol w:w="581"/>
        <w:gridCol w:w="632"/>
        <w:gridCol w:w="1258"/>
        <w:gridCol w:w="1734"/>
        <w:gridCol w:w="1013"/>
        <w:gridCol w:w="1449"/>
        <w:gridCol w:w="1081"/>
        <w:gridCol w:w="749"/>
      </w:tblGrid>
      <w:tr w:rsidR="00525419">
        <w:trPr>
          <w:gridBefore w:val="1"/>
          <w:wBefore w:w="8" w:type="dxa"/>
          <w:trHeight w:val="397"/>
          <w:jc w:val="center"/>
        </w:trPr>
        <w:tc>
          <w:tcPr>
            <w:tcW w:w="2471" w:type="dxa"/>
            <w:gridSpan w:val="3"/>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污染源</w:t>
            </w:r>
          </w:p>
        </w:tc>
        <w:tc>
          <w:tcPr>
            <w:tcW w:w="173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工艺流程</w:t>
            </w:r>
            <w:r>
              <w:rPr>
                <w:rFonts w:ascii="Times New Roman" w:hAnsi="Times New Roman"/>
                <w:kern w:val="0"/>
                <w:szCs w:val="24"/>
              </w:rPr>
              <w:t>/</w:t>
            </w:r>
            <w:r>
              <w:rPr>
                <w:rFonts w:ascii="Times New Roman" w:hAnsi="Times New Roman"/>
                <w:kern w:val="0"/>
                <w:szCs w:val="24"/>
              </w:rPr>
              <w:t>节点</w:t>
            </w:r>
          </w:p>
        </w:tc>
        <w:tc>
          <w:tcPr>
            <w:tcW w:w="101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污染途径</w:t>
            </w:r>
          </w:p>
        </w:tc>
        <w:tc>
          <w:tcPr>
            <w:tcW w:w="144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全部污染指标</w:t>
            </w:r>
          </w:p>
        </w:tc>
        <w:tc>
          <w:tcPr>
            <w:tcW w:w="108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特征因子</w:t>
            </w:r>
          </w:p>
        </w:tc>
        <w:tc>
          <w:tcPr>
            <w:tcW w:w="74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备注</w:t>
            </w:r>
          </w:p>
        </w:tc>
      </w:tr>
      <w:tr w:rsidR="00525419">
        <w:trPr>
          <w:trHeight w:val="397"/>
          <w:jc w:val="center"/>
        </w:trPr>
        <w:tc>
          <w:tcPr>
            <w:tcW w:w="589" w:type="dxa"/>
            <w:gridSpan w:val="2"/>
            <w:vMerge w:val="restart"/>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运</w:t>
            </w:r>
          </w:p>
          <w:p w:rsidR="00525419" w:rsidRDefault="00EE1CF7">
            <w:pPr>
              <w:widowControl/>
              <w:jc w:val="center"/>
              <w:rPr>
                <w:rFonts w:ascii="Times New Roman" w:hAnsi="Times New Roman"/>
                <w:kern w:val="0"/>
                <w:szCs w:val="24"/>
              </w:rPr>
            </w:pPr>
            <w:r>
              <w:rPr>
                <w:rFonts w:ascii="Times New Roman" w:hAnsi="Times New Roman"/>
                <w:kern w:val="0"/>
                <w:szCs w:val="24"/>
              </w:rPr>
              <w:t>行</w:t>
            </w:r>
          </w:p>
          <w:p w:rsidR="00525419" w:rsidRDefault="00EE1CF7">
            <w:pPr>
              <w:widowControl/>
              <w:jc w:val="center"/>
              <w:rPr>
                <w:rFonts w:ascii="Times New Roman" w:hAnsi="Times New Roman"/>
                <w:kern w:val="0"/>
                <w:szCs w:val="24"/>
              </w:rPr>
            </w:pPr>
            <w:r>
              <w:rPr>
                <w:rFonts w:ascii="Times New Roman" w:hAnsi="Times New Roman"/>
                <w:kern w:val="0"/>
                <w:szCs w:val="24"/>
              </w:rPr>
              <w:t>期</w:t>
            </w:r>
          </w:p>
        </w:tc>
        <w:tc>
          <w:tcPr>
            <w:tcW w:w="632"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储运设施</w:t>
            </w:r>
          </w:p>
        </w:tc>
        <w:tc>
          <w:tcPr>
            <w:tcW w:w="1258"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原料储罐、</w:t>
            </w:r>
          </w:p>
          <w:p w:rsidR="00525419" w:rsidRDefault="00EE1CF7">
            <w:pPr>
              <w:widowControl/>
              <w:jc w:val="center"/>
              <w:rPr>
                <w:rFonts w:ascii="Times New Roman" w:hAnsi="Times New Roman"/>
                <w:kern w:val="0"/>
                <w:szCs w:val="24"/>
              </w:rPr>
            </w:pPr>
            <w:r>
              <w:rPr>
                <w:rFonts w:ascii="Times New Roman" w:hAnsi="Times New Roman"/>
                <w:kern w:val="0"/>
                <w:szCs w:val="24"/>
              </w:rPr>
              <w:t>产品罐区。</w:t>
            </w:r>
          </w:p>
        </w:tc>
        <w:tc>
          <w:tcPr>
            <w:tcW w:w="1734"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油品卸车、油品储存、油品输送、油品装车</w:t>
            </w:r>
          </w:p>
        </w:tc>
        <w:tc>
          <w:tcPr>
            <w:tcW w:w="101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大气沉降</w:t>
            </w:r>
          </w:p>
        </w:tc>
        <w:tc>
          <w:tcPr>
            <w:tcW w:w="144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p>
        </w:tc>
        <w:tc>
          <w:tcPr>
            <w:tcW w:w="108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p>
        </w:tc>
        <w:tc>
          <w:tcPr>
            <w:tcW w:w="74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p>
        </w:tc>
      </w:tr>
      <w:tr w:rsidR="00525419">
        <w:trPr>
          <w:trHeight w:val="397"/>
          <w:jc w:val="center"/>
        </w:trPr>
        <w:tc>
          <w:tcPr>
            <w:tcW w:w="589" w:type="dxa"/>
            <w:gridSpan w:val="2"/>
            <w:vMerge/>
            <w:vAlign w:val="center"/>
          </w:tcPr>
          <w:p w:rsidR="00525419" w:rsidRDefault="00525419">
            <w:pPr>
              <w:widowControl/>
              <w:jc w:val="center"/>
              <w:rPr>
                <w:rFonts w:ascii="Times New Roman" w:hAnsi="Times New Roman"/>
                <w:kern w:val="0"/>
                <w:szCs w:val="24"/>
              </w:rPr>
            </w:pPr>
          </w:p>
        </w:tc>
        <w:tc>
          <w:tcPr>
            <w:tcW w:w="632" w:type="dxa"/>
            <w:vMerge/>
            <w:vAlign w:val="center"/>
          </w:tcPr>
          <w:p w:rsidR="00525419" w:rsidRDefault="00525419">
            <w:pPr>
              <w:widowControl/>
              <w:jc w:val="center"/>
              <w:rPr>
                <w:rFonts w:ascii="Times New Roman" w:hAnsi="Times New Roman"/>
                <w:kern w:val="0"/>
                <w:szCs w:val="24"/>
              </w:rPr>
            </w:pPr>
          </w:p>
        </w:tc>
        <w:tc>
          <w:tcPr>
            <w:tcW w:w="1258" w:type="dxa"/>
            <w:vMerge/>
            <w:vAlign w:val="center"/>
          </w:tcPr>
          <w:p w:rsidR="00525419" w:rsidRDefault="00525419">
            <w:pPr>
              <w:widowControl/>
              <w:jc w:val="center"/>
              <w:rPr>
                <w:rFonts w:ascii="Times New Roman" w:hAnsi="Times New Roman"/>
                <w:kern w:val="0"/>
                <w:szCs w:val="24"/>
              </w:rPr>
            </w:pPr>
          </w:p>
        </w:tc>
        <w:tc>
          <w:tcPr>
            <w:tcW w:w="1734" w:type="dxa"/>
            <w:vMerge/>
            <w:vAlign w:val="center"/>
          </w:tcPr>
          <w:p w:rsidR="00525419" w:rsidRDefault="00525419">
            <w:pPr>
              <w:widowControl/>
              <w:jc w:val="center"/>
              <w:rPr>
                <w:rFonts w:ascii="Times New Roman" w:hAnsi="Times New Roman"/>
                <w:kern w:val="0"/>
                <w:szCs w:val="24"/>
              </w:rPr>
            </w:pPr>
          </w:p>
        </w:tc>
        <w:tc>
          <w:tcPr>
            <w:tcW w:w="101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地面漫流</w:t>
            </w:r>
          </w:p>
        </w:tc>
        <w:tc>
          <w:tcPr>
            <w:tcW w:w="144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p>
        </w:tc>
        <w:tc>
          <w:tcPr>
            <w:tcW w:w="108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p>
        </w:tc>
        <w:tc>
          <w:tcPr>
            <w:tcW w:w="74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p>
        </w:tc>
      </w:tr>
      <w:tr w:rsidR="00525419">
        <w:trPr>
          <w:trHeight w:val="397"/>
          <w:jc w:val="center"/>
        </w:trPr>
        <w:tc>
          <w:tcPr>
            <w:tcW w:w="589" w:type="dxa"/>
            <w:gridSpan w:val="2"/>
            <w:vMerge/>
            <w:vAlign w:val="center"/>
          </w:tcPr>
          <w:p w:rsidR="00525419" w:rsidRDefault="00525419">
            <w:pPr>
              <w:widowControl/>
              <w:jc w:val="center"/>
              <w:rPr>
                <w:rFonts w:ascii="Times New Roman" w:hAnsi="Times New Roman"/>
                <w:kern w:val="0"/>
                <w:szCs w:val="24"/>
              </w:rPr>
            </w:pPr>
          </w:p>
        </w:tc>
        <w:tc>
          <w:tcPr>
            <w:tcW w:w="632" w:type="dxa"/>
            <w:vMerge/>
            <w:vAlign w:val="center"/>
          </w:tcPr>
          <w:p w:rsidR="00525419" w:rsidRDefault="00525419">
            <w:pPr>
              <w:widowControl/>
              <w:jc w:val="center"/>
              <w:rPr>
                <w:rFonts w:ascii="Times New Roman" w:hAnsi="Times New Roman"/>
                <w:kern w:val="0"/>
                <w:szCs w:val="24"/>
              </w:rPr>
            </w:pPr>
          </w:p>
        </w:tc>
        <w:tc>
          <w:tcPr>
            <w:tcW w:w="1258" w:type="dxa"/>
            <w:vMerge/>
            <w:vAlign w:val="center"/>
          </w:tcPr>
          <w:p w:rsidR="00525419" w:rsidRDefault="00525419">
            <w:pPr>
              <w:widowControl/>
              <w:jc w:val="center"/>
              <w:rPr>
                <w:rFonts w:ascii="Times New Roman" w:hAnsi="Times New Roman"/>
                <w:kern w:val="0"/>
                <w:szCs w:val="24"/>
              </w:rPr>
            </w:pPr>
          </w:p>
        </w:tc>
        <w:tc>
          <w:tcPr>
            <w:tcW w:w="1734" w:type="dxa"/>
            <w:vMerge/>
            <w:vAlign w:val="center"/>
          </w:tcPr>
          <w:p w:rsidR="00525419" w:rsidRDefault="00525419">
            <w:pPr>
              <w:widowControl/>
              <w:jc w:val="center"/>
              <w:rPr>
                <w:rFonts w:ascii="Times New Roman" w:hAnsi="Times New Roman"/>
                <w:kern w:val="0"/>
                <w:szCs w:val="24"/>
              </w:rPr>
            </w:pPr>
          </w:p>
        </w:tc>
        <w:tc>
          <w:tcPr>
            <w:tcW w:w="101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垂直入渗</w:t>
            </w:r>
          </w:p>
        </w:tc>
        <w:tc>
          <w:tcPr>
            <w:tcW w:w="144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COD</w:t>
            </w:r>
            <w:r>
              <w:rPr>
                <w:rFonts w:ascii="Times New Roman" w:hAnsi="Times New Roman"/>
                <w:kern w:val="0"/>
                <w:szCs w:val="24"/>
              </w:rPr>
              <w:t>、石油类</w:t>
            </w:r>
          </w:p>
        </w:tc>
        <w:tc>
          <w:tcPr>
            <w:tcW w:w="108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石油烃</w:t>
            </w:r>
          </w:p>
        </w:tc>
        <w:tc>
          <w:tcPr>
            <w:tcW w:w="74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事故</w:t>
            </w:r>
          </w:p>
          <w:p w:rsidR="00525419" w:rsidRDefault="00EE1CF7">
            <w:pPr>
              <w:widowControl/>
              <w:jc w:val="center"/>
              <w:rPr>
                <w:rFonts w:ascii="Times New Roman" w:hAnsi="Times New Roman"/>
                <w:kern w:val="0"/>
                <w:szCs w:val="24"/>
              </w:rPr>
            </w:pPr>
            <w:r>
              <w:rPr>
                <w:rFonts w:ascii="Times New Roman" w:hAnsi="Times New Roman"/>
                <w:kern w:val="0"/>
                <w:szCs w:val="24"/>
              </w:rPr>
              <w:t>状态</w:t>
            </w:r>
          </w:p>
        </w:tc>
      </w:tr>
      <w:tr w:rsidR="00525419">
        <w:trPr>
          <w:trHeight w:val="397"/>
          <w:jc w:val="center"/>
        </w:trPr>
        <w:tc>
          <w:tcPr>
            <w:tcW w:w="589" w:type="dxa"/>
            <w:gridSpan w:val="2"/>
            <w:vMerge/>
            <w:vAlign w:val="center"/>
          </w:tcPr>
          <w:p w:rsidR="00525419" w:rsidRDefault="00525419">
            <w:pPr>
              <w:widowControl/>
              <w:jc w:val="center"/>
              <w:rPr>
                <w:rFonts w:ascii="Times New Roman" w:hAnsi="Times New Roman"/>
                <w:kern w:val="0"/>
                <w:szCs w:val="24"/>
              </w:rPr>
            </w:pPr>
          </w:p>
        </w:tc>
        <w:tc>
          <w:tcPr>
            <w:tcW w:w="632" w:type="dxa"/>
            <w:vMerge/>
            <w:vAlign w:val="center"/>
          </w:tcPr>
          <w:p w:rsidR="00525419" w:rsidRDefault="00525419">
            <w:pPr>
              <w:widowControl/>
              <w:jc w:val="center"/>
              <w:rPr>
                <w:rFonts w:ascii="Times New Roman" w:hAnsi="Times New Roman"/>
                <w:kern w:val="0"/>
                <w:szCs w:val="24"/>
              </w:rPr>
            </w:pPr>
          </w:p>
        </w:tc>
        <w:tc>
          <w:tcPr>
            <w:tcW w:w="1258" w:type="dxa"/>
            <w:vMerge/>
            <w:vAlign w:val="center"/>
          </w:tcPr>
          <w:p w:rsidR="00525419" w:rsidRDefault="00525419">
            <w:pPr>
              <w:widowControl/>
              <w:jc w:val="center"/>
              <w:rPr>
                <w:rFonts w:ascii="Times New Roman" w:hAnsi="Times New Roman"/>
                <w:kern w:val="0"/>
                <w:szCs w:val="24"/>
              </w:rPr>
            </w:pPr>
          </w:p>
        </w:tc>
        <w:tc>
          <w:tcPr>
            <w:tcW w:w="1734" w:type="dxa"/>
            <w:vMerge/>
            <w:vAlign w:val="center"/>
          </w:tcPr>
          <w:p w:rsidR="00525419" w:rsidRDefault="00525419">
            <w:pPr>
              <w:widowControl/>
              <w:jc w:val="center"/>
              <w:rPr>
                <w:rFonts w:ascii="Times New Roman" w:hAnsi="Times New Roman"/>
                <w:kern w:val="0"/>
                <w:szCs w:val="24"/>
              </w:rPr>
            </w:pPr>
          </w:p>
        </w:tc>
        <w:tc>
          <w:tcPr>
            <w:tcW w:w="101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其他</w:t>
            </w:r>
          </w:p>
        </w:tc>
        <w:tc>
          <w:tcPr>
            <w:tcW w:w="144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p>
        </w:tc>
        <w:tc>
          <w:tcPr>
            <w:tcW w:w="108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p>
        </w:tc>
        <w:tc>
          <w:tcPr>
            <w:tcW w:w="74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p>
        </w:tc>
      </w:tr>
      <w:tr w:rsidR="00525419">
        <w:trPr>
          <w:trHeight w:val="397"/>
          <w:jc w:val="center"/>
        </w:trPr>
        <w:tc>
          <w:tcPr>
            <w:tcW w:w="589" w:type="dxa"/>
            <w:gridSpan w:val="2"/>
            <w:vMerge/>
            <w:vAlign w:val="center"/>
          </w:tcPr>
          <w:p w:rsidR="00525419" w:rsidRDefault="00525419">
            <w:pPr>
              <w:widowControl/>
              <w:jc w:val="center"/>
              <w:rPr>
                <w:rFonts w:ascii="Times New Roman" w:hAnsi="Times New Roman"/>
                <w:kern w:val="0"/>
                <w:szCs w:val="24"/>
              </w:rPr>
            </w:pPr>
          </w:p>
        </w:tc>
        <w:tc>
          <w:tcPr>
            <w:tcW w:w="632"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生产装置</w:t>
            </w:r>
          </w:p>
        </w:tc>
        <w:tc>
          <w:tcPr>
            <w:tcW w:w="1258"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回流罐、高低压分离器</w:t>
            </w:r>
          </w:p>
        </w:tc>
        <w:tc>
          <w:tcPr>
            <w:tcW w:w="1734"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物料转移输送，</w:t>
            </w:r>
          </w:p>
          <w:p w:rsidR="00525419" w:rsidRDefault="00EE1CF7">
            <w:pPr>
              <w:widowControl/>
              <w:jc w:val="center"/>
              <w:rPr>
                <w:rFonts w:ascii="Times New Roman" w:hAnsi="Times New Roman"/>
                <w:kern w:val="0"/>
                <w:szCs w:val="24"/>
              </w:rPr>
            </w:pPr>
            <w:r>
              <w:rPr>
                <w:rFonts w:ascii="Times New Roman" w:hAnsi="Times New Roman"/>
                <w:kern w:val="0"/>
                <w:szCs w:val="24"/>
              </w:rPr>
              <w:t>物料反应</w:t>
            </w:r>
          </w:p>
          <w:p w:rsidR="00525419" w:rsidRDefault="00525419">
            <w:pPr>
              <w:widowControl/>
              <w:jc w:val="center"/>
              <w:rPr>
                <w:rFonts w:ascii="Times New Roman" w:hAnsi="Times New Roman"/>
                <w:kern w:val="0"/>
                <w:szCs w:val="24"/>
              </w:rPr>
            </w:pPr>
          </w:p>
        </w:tc>
        <w:tc>
          <w:tcPr>
            <w:tcW w:w="101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大气沉降</w:t>
            </w:r>
          </w:p>
        </w:tc>
        <w:tc>
          <w:tcPr>
            <w:tcW w:w="144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p>
        </w:tc>
        <w:tc>
          <w:tcPr>
            <w:tcW w:w="108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p>
        </w:tc>
        <w:tc>
          <w:tcPr>
            <w:tcW w:w="74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p>
        </w:tc>
      </w:tr>
      <w:tr w:rsidR="00525419">
        <w:trPr>
          <w:trHeight w:val="397"/>
          <w:jc w:val="center"/>
        </w:trPr>
        <w:tc>
          <w:tcPr>
            <w:tcW w:w="589" w:type="dxa"/>
            <w:gridSpan w:val="2"/>
            <w:vMerge/>
            <w:vAlign w:val="center"/>
          </w:tcPr>
          <w:p w:rsidR="00525419" w:rsidRDefault="00525419">
            <w:pPr>
              <w:widowControl/>
              <w:jc w:val="center"/>
              <w:rPr>
                <w:rFonts w:ascii="Times New Roman" w:hAnsi="Times New Roman"/>
                <w:kern w:val="0"/>
                <w:szCs w:val="24"/>
              </w:rPr>
            </w:pPr>
          </w:p>
        </w:tc>
        <w:tc>
          <w:tcPr>
            <w:tcW w:w="632" w:type="dxa"/>
            <w:vMerge/>
            <w:vAlign w:val="center"/>
          </w:tcPr>
          <w:p w:rsidR="00525419" w:rsidRDefault="00525419">
            <w:pPr>
              <w:widowControl/>
              <w:jc w:val="center"/>
              <w:rPr>
                <w:rFonts w:ascii="Times New Roman" w:hAnsi="Times New Roman"/>
                <w:kern w:val="0"/>
                <w:szCs w:val="24"/>
              </w:rPr>
            </w:pPr>
          </w:p>
        </w:tc>
        <w:tc>
          <w:tcPr>
            <w:tcW w:w="1258" w:type="dxa"/>
            <w:vMerge/>
            <w:vAlign w:val="center"/>
          </w:tcPr>
          <w:p w:rsidR="00525419" w:rsidRDefault="00525419">
            <w:pPr>
              <w:widowControl/>
              <w:jc w:val="center"/>
              <w:rPr>
                <w:rFonts w:ascii="Times New Roman" w:hAnsi="Times New Roman"/>
                <w:kern w:val="0"/>
                <w:szCs w:val="24"/>
              </w:rPr>
            </w:pPr>
          </w:p>
        </w:tc>
        <w:tc>
          <w:tcPr>
            <w:tcW w:w="1734" w:type="dxa"/>
            <w:vMerge/>
            <w:vAlign w:val="center"/>
          </w:tcPr>
          <w:p w:rsidR="00525419" w:rsidRDefault="00525419">
            <w:pPr>
              <w:widowControl/>
              <w:jc w:val="center"/>
              <w:rPr>
                <w:rFonts w:ascii="Times New Roman" w:hAnsi="Times New Roman"/>
                <w:kern w:val="0"/>
                <w:szCs w:val="24"/>
              </w:rPr>
            </w:pPr>
          </w:p>
        </w:tc>
        <w:tc>
          <w:tcPr>
            <w:tcW w:w="101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地面漫流</w:t>
            </w:r>
          </w:p>
        </w:tc>
        <w:tc>
          <w:tcPr>
            <w:tcW w:w="144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p>
        </w:tc>
        <w:tc>
          <w:tcPr>
            <w:tcW w:w="108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p>
        </w:tc>
        <w:tc>
          <w:tcPr>
            <w:tcW w:w="74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p>
        </w:tc>
      </w:tr>
      <w:tr w:rsidR="00525419">
        <w:trPr>
          <w:trHeight w:val="397"/>
          <w:jc w:val="center"/>
        </w:trPr>
        <w:tc>
          <w:tcPr>
            <w:tcW w:w="589" w:type="dxa"/>
            <w:gridSpan w:val="2"/>
            <w:vMerge/>
            <w:vAlign w:val="center"/>
          </w:tcPr>
          <w:p w:rsidR="00525419" w:rsidRDefault="00525419">
            <w:pPr>
              <w:widowControl/>
              <w:jc w:val="center"/>
              <w:rPr>
                <w:rFonts w:ascii="Times New Roman" w:hAnsi="Times New Roman"/>
                <w:kern w:val="0"/>
                <w:szCs w:val="24"/>
              </w:rPr>
            </w:pPr>
          </w:p>
        </w:tc>
        <w:tc>
          <w:tcPr>
            <w:tcW w:w="632" w:type="dxa"/>
            <w:vMerge/>
            <w:vAlign w:val="center"/>
          </w:tcPr>
          <w:p w:rsidR="00525419" w:rsidRDefault="00525419">
            <w:pPr>
              <w:widowControl/>
              <w:jc w:val="center"/>
              <w:rPr>
                <w:rFonts w:ascii="Times New Roman" w:hAnsi="Times New Roman"/>
                <w:kern w:val="0"/>
                <w:szCs w:val="24"/>
              </w:rPr>
            </w:pPr>
          </w:p>
        </w:tc>
        <w:tc>
          <w:tcPr>
            <w:tcW w:w="1258" w:type="dxa"/>
            <w:vMerge/>
            <w:vAlign w:val="center"/>
          </w:tcPr>
          <w:p w:rsidR="00525419" w:rsidRDefault="00525419">
            <w:pPr>
              <w:widowControl/>
              <w:jc w:val="center"/>
              <w:rPr>
                <w:rFonts w:ascii="Times New Roman" w:hAnsi="Times New Roman"/>
                <w:kern w:val="0"/>
                <w:szCs w:val="24"/>
              </w:rPr>
            </w:pPr>
          </w:p>
        </w:tc>
        <w:tc>
          <w:tcPr>
            <w:tcW w:w="1734" w:type="dxa"/>
            <w:vMerge/>
            <w:vAlign w:val="center"/>
          </w:tcPr>
          <w:p w:rsidR="00525419" w:rsidRDefault="00525419">
            <w:pPr>
              <w:widowControl/>
              <w:jc w:val="center"/>
              <w:rPr>
                <w:rFonts w:ascii="Times New Roman" w:hAnsi="Times New Roman"/>
                <w:kern w:val="0"/>
                <w:szCs w:val="24"/>
              </w:rPr>
            </w:pPr>
          </w:p>
        </w:tc>
        <w:tc>
          <w:tcPr>
            <w:tcW w:w="101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垂直入渗</w:t>
            </w:r>
          </w:p>
        </w:tc>
        <w:tc>
          <w:tcPr>
            <w:tcW w:w="144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COD</w:t>
            </w:r>
            <w:r>
              <w:rPr>
                <w:rFonts w:ascii="Times New Roman" w:hAnsi="Times New Roman"/>
                <w:kern w:val="0"/>
                <w:szCs w:val="24"/>
              </w:rPr>
              <w:t>、氨氮、石油类、硫化物</w:t>
            </w:r>
          </w:p>
        </w:tc>
        <w:tc>
          <w:tcPr>
            <w:tcW w:w="108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石油烃</w:t>
            </w:r>
          </w:p>
        </w:tc>
        <w:tc>
          <w:tcPr>
            <w:tcW w:w="74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事故</w:t>
            </w:r>
          </w:p>
          <w:p w:rsidR="00525419" w:rsidRDefault="00EE1CF7">
            <w:pPr>
              <w:widowControl/>
              <w:jc w:val="center"/>
              <w:rPr>
                <w:rFonts w:ascii="Times New Roman" w:hAnsi="Times New Roman"/>
                <w:kern w:val="0"/>
                <w:szCs w:val="24"/>
              </w:rPr>
            </w:pPr>
            <w:r>
              <w:rPr>
                <w:rFonts w:ascii="Times New Roman" w:hAnsi="Times New Roman"/>
                <w:kern w:val="0"/>
                <w:szCs w:val="24"/>
              </w:rPr>
              <w:t>状态</w:t>
            </w:r>
          </w:p>
        </w:tc>
      </w:tr>
      <w:tr w:rsidR="00525419">
        <w:trPr>
          <w:trHeight w:val="397"/>
          <w:jc w:val="center"/>
        </w:trPr>
        <w:tc>
          <w:tcPr>
            <w:tcW w:w="589" w:type="dxa"/>
            <w:gridSpan w:val="2"/>
            <w:vMerge/>
            <w:vAlign w:val="center"/>
          </w:tcPr>
          <w:p w:rsidR="00525419" w:rsidRDefault="00525419">
            <w:pPr>
              <w:widowControl/>
              <w:jc w:val="center"/>
              <w:rPr>
                <w:rFonts w:ascii="Times New Roman" w:hAnsi="Times New Roman"/>
                <w:kern w:val="0"/>
                <w:szCs w:val="24"/>
              </w:rPr>
            </w:pPr>
          </w:p>
        </w:tc>
        <w:tc>
          <w:tcPr>
            <w:tcW w:w="632" w:type="dxa"/>
            <w:vMerge/>
            <w:vAlign w:val="center"/>
          </w:tcPr>
          <w:p w:rsidR="00525419" w:rsidRDefault="00525419">
            <w:pPr>
              <w:widowControl/>
              <w:jc w:val="center"/>
              <w:rPr>
                <w:rFonts w:ascii="Times New Roman" w:hAnsi="Times New Roman"/>
                <w:kern w:val="0"/>
                <w:szCs w:val="24"/>
              </w:rPr>
            </w:pPr>
          </w:p>
        </w:tc>
        <w:tc>
          <w:tcPr>
            <w:tcW w:w="1258" w:type="dxa"/>
            <w:vMerge/>
            <w:vAlign w:val="center"/>
          </w:tcPr>
          <w:p w:rsidR="00525419" w:rsidRDefault="00525419">
            <w:pPr>
              <w:widowControl/>
              <w:jc w:val="center"/>
              <w:rPr>
                <w:rFonts w:ascii="Times New Roman" w:hAnsi="Times New Roman"/>
                <w:kern w:val="0"/>
                <w:szCs w:val="24"/>
              </w:rPr>
            </w:pPr>
          </w:p>
        </w:tc>
        <w:tc>
          <w:tcPr>
            <w:tcW w:w="1734" w:type="dxa"/>
            <w:vMerge/>
            <w:vAlign w:val="center"/>
          </w:tcPr>
          <w:p w:rsidR="00525419" w:rsidRDefault="00525419">
            <w:pPr>
              <w:widowControl/>
              <w:jc w:val="center"/>
              <w:rPr>
                <w:rFonts w:ascii="Times New Roman" w:hAnsi="Times New Roman"/>
                <w:kern w:val="0"/>
                <w:szCs w:val="24"/>
              </w:rPr>
            </w:pPr>
          </w:p>
        </w:tc>
        <w:tc>
          <w:tcPr>
            <w:tcW w:w="1013"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其他</w:t>
            </w:r>
          </w:p>
        </w:tc>
        <w:tc>
          <w:tcPr>
            <w:tcW w:w="144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p>
        </w:tc>
        <w:tc>
          <w:tcPr>
            <w:tcW w:w="1081"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p>
        </w:tc>
        <w:tc>
          <w:tcPr>
            <w:tcW w:w="74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w:t>
            </w:r>
          </w:p>
        </w:tc>
      </w:tr>
    </w:tbl>
    <w:p w:rsidR="00525419" w:rsidRDefault="00525419">
      <w:pPr>
        <w:widowControl/>
        <w:jc w:val="center"/>
        <w:rPr>
          <w:rFonts w:ascii="Times New Roman" w:hAnsi="Times New Roman"/>
          <w:kern w:val="0"/>
          <w:szCs w:val="24"/>
        </w:rPr>
      </w:pPr>
    </w:p>
    <w:p w:rsidR="00525419" w:rsidRDefault="00EE1CF7">
      <w:pPr>
        <w:ind w:firstLineChars="900" w:firstLine="1890"/>
        <w:rPr>
          <w:rFonts w:ascii="Times New Roman" w:eastAsia="黑体" w:hAnsi="Times New Roman"/>
        </w:rPr>
      </w:pPr>
      <w:r>
        <w:rPr>
          <w:rFonts w:ascii="Times New Roman" w:eastAsia="黑体" w:hAnsi="Times New Roman"/>
        </w:rPr>
        <w:lastRenderedPageBreak/>
        <w:t>表</w:t>
      </w:r>
      <w:r>
        <w:rPr>
          <w:rFonts w:ascii="Times New Roman" w:eastAsia="黑体" w:hAnsi="Times New Roman"/>
        </w:rPr>
        <w:t xml:space="preserve">5.5-3     </w:t>
      </w:r>
      <w:r>
        <w:rPr>
          <w:rFonts w:ascii="Times New Roman" w:eastAsia="黑体" w:hAnsi="Times New Roman"/>
        </w:rPr>
        <w:t>土壤环境敏感目标一览表</w:t>
      </w:r>
    </w:p>
    <w:tbl>
      <w:tblPr>
        <w:tblW w:w="850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170"/>
        <w:gridCol w:w="2157"/>
        <w:gridCol w:w="2451"/>
        <w:gridCol w:w="2727"/>
      </w:tblGrid>
      <w:tr w:rsidR="00525419">
        <w:trPr>
          <w:trHeight w:val="397"/>
        </w:trPr>
        <w:tc>
          <w:tcPr>
            <w:tcW w:w="1170" w:type="dxa"/>
            <w:vAlign w:val="center"/>
          </w:tcPr>
          <w:p w:rsidR="00525419" w:rsidRDefault="00EE1CF7">
            <w:pPr>
              <w:pStyle w:val="B2"/>
              <w:rPr>
                <w:rFonts w:cs="Times New Roman"/>
              </w:rPr>
            </w:pPr>
            <w:r>
              <w:rPr>
                <w:rFonts w:cs="Times New Roman"/>
              </w:rPr>
              <w:t>敏感点</w:t>
            </w:r>
          </w:p>
        </w:tc>
        <w:tc>
          <w:tcPr>
            <w:tcW w:w="2157" w:type="dxa"/>
            <w:vAlign w:val="center"/>
          </w:tcPr>
          <w:p w:rsidR="00525419" w:rsidRDefault="00EE1CF7">
            <w:pPr>
              <w:pStyle w:val="B2"/>
              <w:rPr>
                <w:rFonts w:cs="Times New Roman"/>
              </w:rPr>
            </w:pPr>
            <w:r>
              <w:rPr>
                <w:rFonts w:cs="Times New Roman"/>
              </w:rPr>
              <w:t>与本项目装置区方位</w:t>
            </w:r>
          </w:p>
        </w:tc>
        <w:tc>
          <w:tcPr>
            <w:tcW w:w="2451" w:type="dxa"/>
            <w:vAlign w:val="center"/>
          </w:tcPr>
          <w:p w:rsidR="00525419" w:rsidRDefault="00EE1CF7">
            <w:pPr>
              <w:pStyle w:val="B2"/>
              <w:rPr>
                <w:rFonts w:cs="Times New Roman"/>
              </w:rPr>
            </w:pPr>
            <w:r>
              <w:rPr>
                <w:rFonts w:cs="Times New Roman"/>
              </w:rPr>
              <w:t>与本项目装置区距离</w:t>
            </w:r>
            <w:r>
              <w:rPr>
                <w:rFonts w:cs="Times New Roman"/>
              </w:rPr>
              <w:t>km</w:t>
            </w:r>
          </w:p>
        </w:tc>
        <w:tc>
          <w:tcPr>
            <w:tcW w:w="2727" w:type="dxa"/>
            <w:vAlign w:val="center"/>
          </w:tcPr>
          <w:p w:rsidR="00525419" w:rsidRDefault="00EE1CF7">
            <w:pPr>
              <w:pStyle w:val="B2"/>
              <w:rPr>
                <w:rFonts w:cs="Times New Roman"/>
              </w:rPr>
            </w:pPr>
            <w:r>
              <w:rPr>
                <w:rFonts w:cs="Times New Roman"/>
              </w:rPr>
              <w:t>备注</w:t>
            </w:r>
          </w:p>
        </w:tc>
      </w:tr>
      <w:tr w:rsidR="00525419">
        <w:trPr>
          <w:trHeight w:val="397"/>
        </w:trPr>
        <w:tc>
          <w:tcPr>
            <w:tcW w:w="1170" w:type="dxa"/>
            <w:vAlign w:val="center"/>
          </w:tcPr>
          <w:p w:rsidR="00525419" w:rsidRDefault="00EE1CF7">
            <w:pPr>
              <w:pStyle w:val="B2"/>
              <w:rPr>
                <w:rFonts w:cs="Times New Roman"/>
              </w:rPr>
            </w:pPr>
            <w:r>
              <w:rPr>
                <w:rFonts w:cs="Times New Roman"/>
              </w:rPr>
              <w:t>-</w:t>
            </w:r>
          </w:p>
        </w:tc>
        <w:tc>
          <w:tcPr>
            <w:tcW w:w="2157" w:type="dxa"/>
            <w:vAlign w:val="center"/>
          </w:tcPr>
          <w:p w:rsidR="00525419" w:rsidRDefault="00EE1CF7">
            <w:pPr>
              <w:pStyle w:val="B2"/>
              <w:rPr>
                <w:rFonts w:cs="Times New Roman"/>
              </w:rPr>
            </w:pPr>
            <w:r>
              <w:rPr>
                <w:rFonts w:cs="Times New Roman"/>
              </w:rPr>
              <w:t>-</w:t>
            </w:r>
          </w:p>
        </w:tc>
        <w:tc>
          <w:tcPr>
            <w:tcW w:w="2451" w:type="dxa"/>
            <w:vAlign w:val="center"/>
          </w:tcPr>
          <w:p w:rsidR="00525419" w:rsidRDefault="00EE1CF7">
            <w:pPr>
              <w:pStyle w:val="B2"/>
              <w:rPr>
                <w:rFonts w:cs="Times New Roman"/>
              </w:rPr>
            </w:pPr>
            <w:r>
              <w:rPr>
                <w:rFonts w:cs="Times New Roman"/>
              </w:rPr>
              <w:t>-</w:t>
            </w:r>
          </w:p>
        </w:tc>
        <w:tc>
          <w:tcPr>
            <w:tcW w:w="2727" w:type="dxa"/>
            <w:vAlign w:val="center"/>
          </w:tcPr>
          <w:p w:rsidR="00525419" w:rsidRDefault="00EE1CF7">
            <w:pPr>
              <w:pStyle w:val="B2"/>
              <w:rPr>
                <w:rFonts w:cs="Times New Roman"/>
              </w:rPr>
            </w:pPr>
            <w:r>
              <w:rPr>
                <w:rFonts w:cs="Times New Roman"/>
              </w:rPr>
              <w:t>周围无土壤环境敏感目标</w:t>
            </w:r>
          </w:p>
        </w:tc>
      </w:tr>
    </w:tbl>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5.5.2</w:t>
      </w:r>
      <w:r>
        <w:rPr>
          <w:rFonts w:ascii="Times New Roman" w:eastAsia="华文楷体" w:hAnsi="Times New Roman"/>
        </w:rPr>
        <w:t>土壤环境影响分析</w:t>
      </w:r>
    </w:p>
    <w:p w:rsidR="00525419" w:rsidRDefault="00EE1CF7">
      <w:pPr>
        <w:widowControl/>
        <w:spacing w:line="360" w:lineRule="auto"/>
        <w:jc w:val="left"/>
        <w:rPr>
          <w:rFonts w:ascii="Times New Roman" w:hAnsi="Times New Roman"/>
          <w:b/>
          <w:bCs/>
          <w:kern w:val="0"/>
          <w:sz w:val="24"/>
          <w:szCs w:val="24"/>
        </w:rPr>
      </w:pPr>
      <w:r>
        <w:rPr>
          <w:rFonts w:ascii="Times New Roman" w:hAnsi="Times New Roman"/>
          <w:b/>
          <w:bCs/>
          <w:kern w:val="0"/>
          <w:sz w:val="24"/>
          <w:szCs w:val="24"/>
        </w:rPr>
        <w:t>5.5.2.1</w:t>
      </w:r>
      <w:r>
        <w:rPr>
          <w:rFonts w:ascii="Times New Roman" w:hAnsi="Times New Roman"/>
          <w:b/>
          <w:bCs/>
          <w:kern w:val="0"/>
          <w:sz w:val="24"/>
          <w:szCs w:val="24"/>
        </w:rPr>
        <w:t>正常工况下对土壤环境的影响分析</w:t>
      </w:r>
    </w:p>
    <w:p w:rsidR="00525419" w:rsidRDefault="00EE1CF7">
      <w:pPr>
        <w:spacing w:line="500" w:lineRule="exact"/>
        <w:ind w:firstLineChars="200" w:firstLine="480"/>
        <w:rPr>
          <w:rFonts w:ascii="Times New Roman" w:hAnsi="Times New Roman"/>
          <w:kern w:val="0"/>
          <w:sz w:val="24"/>
          <w:szCs w:val="24"/>
        </w:rPr>
      </w:pPr>
      <w:r>
        <w:rPr>
          <w:rFonts w:ascii="Times New Roman" w:hAnsi="Times New Roman"/>
          <w:kern w:val="0"/>
          <w:sz w:val="24"/>
          <w:szCs w:val="24"/>
        </w:rPr>
        <w:t>装置区、装卸区、储罐区及污水处理装置均已采取了相应的防渗措施，可以有效阻隔泄漏污染物与土壤之间的传播途径。即使假定防渗层完全失效的情况下，污染物完全下渗至土壤，土壤特殊的多孔状结构也会对污染物起到较好的截留、吸附作用。</w:t>
      </w:r>
    </w:p>
    <w:p w:rsidR="00525419" w:rsidRDefault="00EE1CF7">
      <w:pPr>
        <w:spacing w:line="500" w:lineRule="exact"/>
        <w:ind w:firstLineChars="200" w:firstLine="480"/>
        <w:rPr>
          <w:rFonts w:ascii="Times New Roman" w:hAnsi="Times New Roman"/>
          <w:kern w:val="0"/>
          <w:sz w:val="24"/>
          <w:szCs w:val="24"/>
        </w:rPr>
      </w:pPr>
      <w:r>
        <w:rPr>
          <w:rFonts w:ascii="Times New Roman" w:hAnsi="Times New Roman"/>
          <w:kern w:val="0"/>
          <w:sz w:val="24"/>
          <w:szCs w:val="24"/>
        </w:rPr>
        <w:t>污染物在土壤环境中的行为主要有吸附、迁移、降解</w:t>
      </w:r>
      <w:r>
        <w:rPr>
          <w:rFonts w:ascii="Times New Roman" w:hAnsi="Times New Roman"/>
          <w:kern w:val="0"/>
          <w:sz w:val="24"/>
          <w:szCs w:val="24"/>
        </w:rPr>
        <w:t>3</w:t>
      </w:r>
      <w:r>
        <w:rPr>
          <w:rFonts w:ascii="Times New Roman" w:hAnsi="Times New Roman"/>
          <w:kern w:val="0"/>
          <w:sz w:val="24"/>
          <w:szCs w:val="24"/>
        </w:rPr>
        <w:t>种。一般将进入土壤介质中石油类污染物的存在状态分为</w:t>
      </w:r>
      <w:r>
        <w:rPr>
          <w:rFonts w:ascii="Times New Roman" w:hAnsi="Times New Roman"/>
          <w:kern w:val="0"/>
          <w:sz w:val="24"/>
          <w:szCs w:val="24"/>
        </w:rPr>
        <w:t>3</w:t>
      </w:r>
      <w:r>
        <w:rPr>
          <w:rFonts w:ascii="Times New Roman" w:hAnsi="Times New Roman"/>
          <w:kern w:val="0"/>
          <w:sz w:val="24"/>
          <w:szCs w:val="24"/>
        </w:rPr>
        <w:t>种，即吸附态、气态和溶解态。吸附态石油污染物基本被土壤固体表面吸附，不发生明显迁移，可分为干态吸附和亚干态吸附。土壤对石油类污染物的吸附截留能力强弱与土壤粒径大小、</w:t>
      </w:r>
      <w:r>
        <w:rPr>
          <w:rFonts w:ascii="Times New Roman" w:hAnsi="Times New Roman"/>
          <w:kern w:val="0"/>
          <w:sz w:val="24"/>
          <w:szCs w:val="24"/>
        </w:rPr>
        <w:t>pH</w:t>
      </w:r>
      <w:r>
        <w:rPr>
          <w:rFonts w:ascii="Times New Roman" w:hAnsi="Times New Roman"/>
          <w:kern w:val="0"/>
          <w:sz w:val="24"/>
          <w:szCs w:val="24"/>
        </w:rPr>
        <w:t>、环境温度、有机质含量等因素有关。前三者的增大对吸附能力有抑制作用，而土壤有机质含量越高，吸附能力越强。气态污染物由空气颗粒吸附携带漂移，可迁移至土层表面较远距离。存在于水相中的溶解态由于重力作用垂直迁移、由于毛细管力作用发生平面扩散迁移。迁移能力与环境温度、植物根系分布以及土壤类型有关。本装置事故状态下进入土壤环境的污染物主要以吸附态和溶解态为主。根据中国石油大学桑玉全博士的研究成果（《</w:t>
      </w:r>
      <w:hyperlink r:id="rId37" w:tgtFrame="http://kns.cnki.net/kns/brief/_blank" w:history="1">
        <w:r>
          <w:rPr>
            <w:rFonts w:ascii="Times New Roman" w:hAnsi="Times New Roman"/>
            <w:kern w:val="0"/>
            <w:sz w:val="24"/>
            <w:szCs w:val="24"/>
          </w:rPr>
          <w:t>石油类污染物在土壤中迁移变化规律研究</w:t>
        </w:r>
      </w:hyperlink>
      <w:r>
        <w:rPr>
          <w:rFonts w:ascii="Times New Roman" w:hAnsi="Times New Roman"/>
          <w:kern w:val="0"/>
          <w:sz w:val="24"/>
          <w:szCs w:val="24"/>
        </w:rPr>
        <w:t>》），不同类型土壤，对污染物的吸附能力存在差异，但总体在</w:t>
      </w:r>
      <w:r>
        <w:rPr>
          <w:rFonts w:ascii="Times New Roman" w:hAnsi="Times New Roman"/>
          <w:kern w:val="0"/>
          <w:sz w:val="24"/>
          <w:szCs w:val="24"/>
        </w:rPr>
        <w:t>0</w:t>
      </w:r>
      <w:r>
        <w:rPr>
          <w:rFonts w:ascii="Times New Roman" w:hAnsi="Times New Roman"/>
          <w:kern w:val="0"/>
          <w:sz w:val="24"/>
          <w:szCs w:val="24"/>
        </w:rPr>
        <w:t>～</w:t>
      </w:r>
      <w:r>
        <w:rPr>
          <w:rFonts w:ascii="Times New Roman" w:hAnsi="Times New Roman"/>
          <w:kern w:val="0"/>
          <w:sz w:val="24"/>
          <w:szCs w:val="24"/>
        </w:rPr>
        <w:t>30cm</w:t>
      </w:r>
      <w:r>
        <w:rPr>
          <w:rFonts w:ascii="Times New Roman" w:hAnsi="Times New Roman"/>
          <w:kern w:val="0"/>
          <w:sz w:val="24"/>
          <w:szCs w:val="24"/>
        </w:rPr>
        <w:t>深度范围内，其中对石油类污染物的吸附截留可达</w:t>
      </w:r>
      <w:r>
        <w:rPr>
          <w:rFonts w:ascii="Times New Roman" w:hAnsi="Times New Roman"/>
          <w:kern w:val="0"/>
          <w:sz w:val="24"/>
          <w:szCs w:val="24"/>
        </w:rPr>
        <w:t>90%</w:t>
      </w:r>
      <w:r>
        <w:rPr>
          <w:rFonts w:ascii="Times New Roman" w:hAnsi="Times New Roman"/>
          <w:kern w:val="0"/>
          <w:sz w:val="24"/>
          <w:szCs w:val="24"/>
        </w:rPr>
        <w:t>以上。总体来看，主要影响土壤表层环境。</w:t>
      </w:r>
    </w:p>
    <w:p w:rsidR="00525419" w:rsidRDefault="00EE1CF7">
      <w:pPr>
        <w:spacing w:line="500" w:lineRule="exact"/>
        <w:ind w:firstLineChars="200" w:firstLine="480"/>
        <w:rPr>
          <w:rFonts w:ascii="Times New Roman" w:hAnsi="Times New Roman"/>
          <w:kern w:val="0"/>
          <w:sz w:val="24"/>
          <w:szCs w:val="24"/>
        </w:rPr>
      </w:pPr>
      <w:r>
        <w:rPr>
          <w:rFonts w:ascii="Times New Roman" w:hAnsi="Times New Roman"/>
          <w:kern w:val="0"/>
          <w:sz w:val="24"/>
          <w:szCs w:val="24"/>
        </w:rPr>
        <w:t>本次采用现状监测方法进行土壤环境影响评价，</w:t>
      </w:r>
      <w:r>
        <w:rPr>
          <w:rFonts w:ascii="Times New Roman" w:hAnsi="Times New Roman"/>
          <w:sz w:val="24"/>
        </w:rPr>
        <w:t>新疆美汇特石化产品有限公司自</w:t>
      </w:r>
      <w:r>
        <w:rPr>
          <w:rFonts w:ascii="Times New Roman" w:hAnsi="Times New Roman"/>
          <w:sz w:val="24"/>
        </w:rPr>
        <w:t xml:space="preserve"> 2007 </w:t>
      </w:r>
      <w:r>
        <w:rPr>
          <w:rFonts w:ascii="Times New Roman" w:hAnsi="Times New Roman"/>
          <w:kern w:val="0"/>
          <w:sz w:val="24"/>
          <w:szCs w:val="24"/>
        </w:rPr>
        <w:t>年建厂以来，一直以石油炼制、加工为主，根据土壤环境质量现状监测数据可知，企业厂区的各生产装置对土壤环境质量的影响是可接受的。且本项目装置区、装卸区、储罐区及污水处理装置均进行了防渗处理，可有效隔绝土壤污染的途径，总体来看，对土壤环境的影响不大。</w:t>
      </w:r>
    </w:p>
    <w:p w:rsidR="00525419" w:rsidRDefault="00EE1CF7">
      <w:pPr>
        <w:widowControl/>
        <w:spacing w:line="360" w:lineRule="auto"/>
        <w:jc w:val="left"/>
        <w:rPr>
          <w:rFonts w:ascii="Times New Roman" w:hAnsi="Times New Roman"/>
          <w:b/>
          <w:bCs/>
          <w:kern w:val="0"/>
          <w:sz w:val="24"/>
          <w:szCs w:val="24"/>
        </w:rPr>
      </w:pPr>
      <w:r>
        <w:rPr>
          <w:rFonts w:ascii="Times New Roman" w:hAnsi="Times New Roman"/>
          <w:b/>
          <w:bCs/>
          <w:kern w:val="0"/>
          <w:sz w:val="24"/>
          <w:szCs w:val="24"/>
        </w:rPr>
        <w:lastRenderedPageBreak/>
        <w:t>5.5.2.2</w:t>
      </w:r>
      <w:r>
        <w:rPr>
          <w:rFonts w:ascii="Times New Roman" w:hAnsi="Times New Roman"/>
          <w:b/>
          <w:bCs/>
          <w:kern w:val="0"/>
          <w:sz w:val="24"/>
          <w:szCs w:val="24"/>
        </w:rPr>
        <w:t>非正常工况下对土壤环境的影响分析</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①</w:t>
      </w:r>
      <w:r>
        <w:rPr>
          <w:rFonts w:ascii="Times New Roman" w:hAnsi="Times New Roman"/>
          <w:kern w:val="0"/>
          <w:sz w:val="24"/>
          <w:szCs w:val="24"/>
        </w:rPr>
        <w:t>预测范围</w:t>
      </w:r>
    </w:p>
    <w:p w:rsidR="00525419" w:rsidRDefault="00EE1CF7">
      <w:pPr>
        <w:widowControl/>
        <w:spacing w:line="360" w:lineRule="auto"/>
        <w:ind w:firstLineChars="200" w:firstLine="480"/>
        <w:jc w:val="left"/>
        <w:rPr>
          <w:rFonts w:ascii="Times New Roman" w:hAnsi="Times New Roman"/>
          <w:kern w:val="0"/>
          <w:sz w:val="24"/>
          <w:szCs w:val="24"/>
          <w:lang w:val="zh-CN"/>
        </w:rPr>
      </w:pPr>
      <w:r>
        <w:rPr>
          <w:rFonts w:ascii="Times New Roman" w:hAnsi="Times New Roman"/>
          <w:kern w:val="0"/>
          <w:sz w:val="24"/>
          <w:szCs w:val="24"/>
        </w:rPr>
        <w:t>预测范围即为评价范围：</w:t>
      </w:r>
      <w:r>
        <w:rPr>
          <w:rFonts w:ascii="Times New Roman" w:hAnsi="Times New Roman"/>
          <w:kern w:val="0"/>
          <w:sz w:val="24"/>
          <w:szCs w:val="24"/>
          <w:lang w:val="zh-CN"/>
        </w:rPr>
        <w:t>项目占地范围内及占地范围外</w:t>
      </w:r>
      <w:r>
        <w:rPr>
          <w:rFonts w:ascii="Times New Roman" w:hAnsi="Times New Roman"/>
          <w:kern w:val="0"/>
          <w:sz w:val="24"/>
          <w:szCs w:val="24"/>
          <w:lang w:val="zh-CN"/>
        </w:rPr>
        <w:t>0.2km</w:t>
      </w:r>
      <w:r>
        <w:rPr>
          <w:rFonts w:ascii="Times New Roman" w:hAnsi="Times New Roman"/>
          <w:kern w:val="0"/>
          <w:sz w:val="24"/>
          <w:szCs w:val="24"/>
          <w:lang w:val="zh-CN"/>
        </w:rPr>
        <w:t>范围内。</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②</w:t>
      </w:r>
      <w:r>
        <w:rPr>
          <w:rFonts w:ascii="Times New Roman" w:hAnsi="Times New Roman"/>
          <w:kern w:val="0"/>
          <w:sz w:val="24"/>
          <w:szCs w:val="24"/>
        </w:rPr>
        <w:t>预测评价时段</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预测时段包括建设期、运行期和服务期满后三个阶段，重点为运行期。</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③</w:t>
      </w:r>
      <w:r>
        <w:rPr>
          <w:rFonts w:ascii="Times New Roman" w:hAnsi="Times New Roman"/>
          <w:kern w:val="0"/>
          <w:sz w:val="24"/>
          <w:szCs w:val="24"/>
        </w:rPr>
        <w:t>预测情景</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在事故状况下，项目含石油类的物料直接通过已经损坏的防渗层垂直入渗进入土壤而污染周边土壤环境。</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④</w:t>
      </w:r>
      <w:r>
        <w:rPr>
          <w:rFonts w:ascii="Times New Roman" w:hAnsi="Times New Roman"/>
          <w:kern w:val="0"/>
          <w:sz w:val="24"/>
          <w:szCs w:val="24"/>
        </w:rPr>
        <w:t>预测与评价因子</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根据本项目涉及物料的特点，选取石油烃这一特征污染因子作为预测因子。</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⑤</w:t>
      </w:r>
      <w:r>
        <w:rPr>
          <w:rFonts w:ascii="Times New Roman" w:hAnsi="Times New Roman"/>
          <w:kern w:val="0"/>
          <w:sz w:val="24"/>
          <w:szCs w:val="24"/>
        </w:rPr>
        <w:t>预测评价标准</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土壤环境评价标准采用《土壤环境质量</w:t>
      </w:r>
      <w:r>
        <w:rPr>
          <w:rFonts w:ascii="Times New Roman" w:hAnsi="Times New Roman"/>
          <w:kern w:val="0"/>
          <w:sz w:val="24"/>
          <w:szCs w:val="24"/>
        </w:rPr>
        <w:t xml:space="preserve"> </w:t>
      </w:r>
      <w:r>
        <w:rPr>
          <w:rFonts w:ascii="Times New Roman" w:hAnsi="Times New Roman"/>
          <w:kern w:val="0"/>
          <w:sz w:val="24"/>
          <w:szCs w:val="24"/>
        </w:rPr>
        <w:t>建设用地土壤污染风险管控标准》（</w:t>
      </w:r>
      <w:r>
        <w:rPr>
          <w:rFonts w:ascii="Times New Roman" w:hAnsi="Times New Roman"/>
          <w:kern w:val="0"/>
          <w:sz w:val="24"/>
          <w:szCs w:val="24"/>
        </w:rPr>
        <w:t>GB36600-2018</w:t>
      </w:r>
      <w:r>
        <w:rPr>
          <w:rFonts w:ascii="Times New Roman" w:hAnsi="Times New Roman"/>
          <w:kern w:val="0"/>
          <w:sz w:val="24"/>
          <w:szCs w:val="24"/>
        </w:rPr>
        <w:t>）表</w:t>
      </w:r>
      <w:r>
        <w:rPr>
          <w:rFonts w:ascii="Times New Roman" w:hAnsi="Times New Roman"/>
          <w:kern w:val="0"/>
          <w:sz w:val="24"/>
          <w:szCs w:val="24"/>
        </w:rPr>
        <w:t>2</w:t>
      </w:r>
      <w:r>
        <w:rPr>
          <w:rFonts w:ascii="Times New Roman" w:hAnsi="Times New Roman"/>
          <w:kern w:val="0"/>
          <w:sz w:val="24"/>
          <w:szCs w:val="24"/>
        </w:rPr>
        <w:t>中的第二类用地土壤污染风险筛选值作为评价标准，具体见表</w:t>
      </w:r>
      <w:r>
        <w:rPr>
          <w:rFonts w:ascii="Times New Roman" w:hAnsi="Times New Roman"/>
          <w:kern w:val="0"/>
          <w:sz w:val="24"/>
          <w:szCs w:val="24"/>
        </w:rPr>
        <w:t>5.5-4</w:t>
      </w:r>
      <w:r>
        <w:rPr>
          <w:rFonts w:ascii="Times New Roman" w:hAnsi="Times New Roman"/>
          <w:kern w:val="0"/>
          <w:sz w:val="24"/>
          <w:szCs w:val="24"/>
        </w:rPr>
        <w:t>。</w:t>
      </w:r>
    </w:p>
    <w:p w:rsidR="00525419" w:rsidRDefault="00EE1CF7">
      <w:pPr>
        <w:ind w:firstLineChars="900" w:firstLine="1890"/>
        <w:rPr>
          <w:rFonts w:ascii="Times New Roman" w:eastAsia="黑体" w:hAnsi="Times New Roman"/>
        </w:rPr>
      </w:pPr>
      <w:r>
        <w:rPr>
          <w:rFonts w:ascii="Times New Roman" w:eastAsia="黑体" w:hAnsi="Times New Roman"/>
        </w:rPr>
        <w:t>表</w:t>
      </w:r>
      <w:r>
        <w:rPr>
          <w:rFonts w:ascii="Times New Roman" w:eastAsia="黑体" w:hAnsi="Times New Roman"/>
        </w:rPr>
        <w:t xml:space="preserve">5.5-4   </w:t>
      </w:r>
      <w:r>
        <w:rPr>
          <w:rFonts w:ascii="Times New Roman" w:eastAsia="黑体" w:hAnsi="Times New Roman"/>
        </w:rPr>
        <w:t>土壤环境评价指标一览表</w:t>
      </w:r>
      <w:r>
        <w:rPr>
          <w:rFonts w:ascii="Times New Roman" w:eastAsia="黑体" w:hAnsi="Times New Roman"/>
        </w:rPr>
        <w:t xml:space="preserve">  </w:t>
      </w:r>
      <w:r>
        <w:rPr>
          <w:rFonts w:ascii="Times New Roman" w:eastAsia="黑体" w:hAnsi="Times New Roman"/>
        </w:rPr>
        <w:t>单位：</w:t>
      </w:r>
      <w:r>
        <w:rPr>
          <w:rFonts w:ascii="Times New Roman" w:eastAsia="黑体" w:hAnsi="Times New Roman"/>
        </w:rPr>
        <w:t>mg/kg</w:t>
      </w:r>
    </w:p>
    <w:tbl>
      <w:tblPr>
        <w:tblW w:w="850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806"/>
        <w:gridCol w:w="3349"/>
        <w:gridCol w:w="3350"/>
      </w:tblGrid>
      <w:tr w:rsidR="00525419">
        <w:trPr>
          <w:trHeight w:val="397"/>
        </w:trPr>
        <w:tc>
          <w:tcPr>
            <w:tcW w:w="1806"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序号</w:t>
            </w:r>
          </w:p>
        </w:tc>
        <w:tc>
          <w:tcPr>
            <w:tcW w:w="334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污染物项目</w:t>
            </w:r>
          </w:p>
        </w:tc>
        <w:tc>
          <w:tcPr>
            <w:tcW w:w="3350"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第二类用地筛选值</w:t>
            </w:r>
          </w:p>
        </w:tc>
      </w:tr>
      <w:tr w:rsidR="00525419">
        <w:trPr>
          <w:trHeight w:val="397"/>
        </w:trPr>
        <w:tc>
          <w:tcPr>
            <w:tcW w:w="1806"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w:t>
            </w:r>
          </w:p>
        </w:tc>
        <w:tc>
          <w:tcPr>
            <w:tcW w:w="334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石油烃</w:t>
            </w:r>
          </w:p>
        </w:tc>
        <w:tc>
          <w:tcPr>
            <w:tcW w:w="3350"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4500</w:t>
            </w:r>
          </w:p>
        </w:tc>
      </w:tr>
    </w:tbl>
    <w:p w:rsidR="00525419" w:rsidRDefault="00525419">
      <w:pPr>
        <w:widowControl/>
        <w:jc w:val="center"/>
        <w:rPr>
          <w:rFonts w:ascii="Times New Roman" w:hAnsi="Times New Roman"/>
          <w:kern w:val="0"/>
          <w:szCs w:val="24"/>
        </w:rPr>
      </w:pP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⑥</w:t>
      </w:r>
      <w:r>
        <w:rPr>
          <w:rFonts w:ascii="Times New Roman" w:hAnsi="Times New Roman"/>
          <w:kern w:val="0"/>
          <w:sz w:val="24"/>
          <w:szCs w:val="24"/>
        </w:rPr>
        <w:t>软件选取</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在本次评价中应用</w:t>
      </w:r>
      <w:r>
        <w:rPr>
          <w:rFonts w:ascii="Times New Roman" w:hAnsi="Times New Roman"/>
          <w:kern w:val="0"/>
          <w:sz w:val="24"/>
          <w:szCs w:val="24"/>
        </w:rPr>
        <w:t>HYDRUS</w:t>
      </w:r>
      <w:r>
        <w:rPr>
          <w:rFonts w:ascii="Times New Roman" w:hAnsi="Times New Roman"/>
          <w:kern w:val="0"/>
          <w:sz w:val="24"/>
          <w:szCs w:val="24"/>
        </w:rPr>
        <w:t>软件求解非饱和带中的水分与溶质迁移方程。</w:t>
      </w:r>
      <w:r>
        <w:rPr>
          <w:rFonts w:ascii="Times New Roman" w:hAnsi="Times New Roman"/>
          <w:kern w:val="0"/>
          <w:sz w:val="24"/>
          <w:szCs w:val="24"/>
        </w:rPr>
        <w:t>HYDRUS</w:t>
      </w:r>
      <w:r>
        <w:rPr>
          <w:rFonts w:ascii="Times New Roman" w:hAnsi="Times New Roman"/>
          <w:kern w:val="0"/>
          <w:sz w:val="24"/>
          <w:szCs w:val="24"/>
        </w:rPr>
        <w:t>是由美国国家盐改中心（</w:t>
      </w:r>
      <w:r>
        <w:rPr>
          <w:rFonts w:ascii="Times New Roman" w:hAnsi="Times New Roman"/>
          <w:kern w:val="0"/>
          <w:sz w:val="24"/>
          <w:szCs w:val="24"/>
        </w:rPr>
        <w:t>US Salinity laboratory</w:t>
      </w:r>
      <w:r>
        <w:rPr>
          <w:rFonts w:ascii="Times New Roman" w:hAnsi="Times New Roman"/>
          <w:kern w:val="0"/>
          <w:sz w:val="24"/>
          <w:szCs w:val="24"/>
        </w:rPr>
        <w:t>）于</w:t>
      </w:r>
      <w:r>
        <w:rPr>
          <w:rFonts w:ascii="Times New Roman" w:hAnsi="Times New Roman"/>
          <w:kern w:val="0"/>
          <w:sz w:val="24"/>
          <w:szCs w:val="24"/>
        </w:rPr>
        <w:t>1991</w:t>
      </w:r>
      <w:r>
        <w:rPr>
          <w:rFonts w:ascii="Times New Roman" w:hAnsi="Times New Roman"/>
          <w:kern w:val="0"/>
          <w:sz w:val="24"/>
          <w:szCs w:val="24"/>
        </w:rPr>
        <w:t>成功开发的一套用于模拟变饱和多孔介质中水分、能量、溶质运移的数值模型。经改进与完善，得到了广泛的认可与应用。能够较好地模拟水分、溶质与能量在土壤中的分布，时空变化，运移规律，分析人们普遍关注的农田灌溉、田间施肥、环境污染等实际问题。它也可以与其它地下水、地表水模型相结合，从宏观上分析水资源的转化规律。后经过众多学者的开发研究，</w:t>
      </w:r>
      <w:r>
        <w:rPr>
          <w:rFonts w:ascii="Times New Roman" w:hAnsi="Times New Roman"/>
          <w:kern w:val="0"/>
          <w:sz w:val="24"/>
          <w:szCs w:val="24"/>
        </w:rPr>
        <w:t>HYDRUS</w:t>
      </w:r>
      <w:r>
        <w:rPr>
          <w:rFonts w:ascii="Times New Roman" w:hAnsi="Times New Roman"/>
          <w:kern w:val="0"/>
          <w:sz w:val="24"/>
          <w:szCs w:val="24"/>
        </w:rPr>
        <w:t>的功能更加完善，已经非常成功的应用于世界各地地下饱和、非饱和带污染物运移研究。</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⑦</w:t>
      </w:r>
      <w:r>
        <w:rPr>
          <w:rFonts w:ascii="Times New Roman" w:hAnsi="Times New Roman"/>
          <w:kern w:val="0"/>
          <w:sz w:val="24"/>
          <w:szCs w:val="24"/>
        </w:rPr>
        <w:t>模型建立</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sz w:val="24"/>
          <w:szCs w:val="24"/>
        </w:rPr>
        <w:lastRenderedPageBreak/>
        <w:t>本项目项目区包气带地层细颗粒为粉土或黄土状粉，由冲积、风积共同作用形成，层厚在</w:t>
      </w:r>
      <w:r>
        <w:rPr>
          <w:rFonts w:ascii="Times New Roman" w:hAnsi="Times New Roman"/>
          <w:sz w:val="24"/>
          <w:szCs w:val="24"/>
        </w:rPr>
        <w:t>2.4-11.2m</w:t>
      </w:r>
      <w:r>
        <w:rPr>
          <w:rFonts w:ascii="Times New Roman" w:hAnsi="Times New Roman"/>
          <w:sz w:val="24"/>
          <w:szCs w:val="24"/>
        </w:rPr>
        <w:t>之间，</w:t>
      </w:r>
      <w:r>
        <w:rPr>
          <w:rFonts w:ascii="Times New Roman" w:hAnsi="Times New Roman"/>
          <w:kern w:val="0"/>
          <w:sz w:val="24"/>
          <w:szCs w:val="24"/>
        </w:rPr>
        <w:t>由于包气带厚度较大，在</w:t>
      </w:r>
      <w:r>
        <w:rPr>
          <w:rFonts w:ascii="Times New Roman" w:hAnsi="Times New Roman"/>
          <w:kern w:val="0"/>
          <w:sz w:val="24"/>
          <w:szCs w:val="24"/>
        </w:rPr>
        <w:t>3650</w:t>
      </w:r>
      <w:r>
        <w:rPr>
          <w:rFonts w:ascii="Times New Roman" w:hAnsi="Times New Roman"/>
          <w:kern w:val="0"/>
          <w:sz w:val="24"/>
          <w:szCs w:val="24"/>
        </w:rPr>
        <w:t>天的模拟时段内，污染物无法到达最底部，因此最下部观测点未设置在底部，本次评价设在</w:t>
      </w:r>
      <w:r>
        <w:rPr>
          <w:rFonts w:ascii="Times New Roman" w:hAnsi="Times New Roman"/>
          <w:kern w:val="0"/>
          <w:sz w:val="24"/>
          <w:szCs w:val="24"/>
        </w:rPr>
        <w:t>10m</w:t>
      </w:r>
      <w:r>
        <w:rPr>
          <w:rFonts w:ascii="Times New Roman" w:hAnsi="Times New Roman"/>
          <w:kern w:val="0"/>
          <w:sz w:val="24"/>
          <w:szCs w:val="24"/>
        </w:rPr>
        <w:t>处。</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⑧</w:t>
      </w:r>
      <w:r>
        <w:rPr>
          <w:rFonts w:ascii="Times New Roman" w:hAnsi="Times New Roman"/>
          <w:kern w:val="0"/>
          <w:sz w:val="24"/>
          <w:szCs w:val="24"/>
        </w:rPr>
        <w:t>计算结果</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运行</w:t>
      </w:r>
      <w:r>
        <w:rPr>
          <w:rFonts w:ascii="Times New Roman" w:hAnsi="Times New Roman"/>
          <w:kern w:val="0"/>
          <w:sz w:val="24"/>
          <w:szCs w:val="24"/>
        </w:rPr>
        <w:t>HYDRUS-1D</w:t>
      </w:r>
      <w:r>
        <w:rPr>
          <w:rFonts w:ascii="Times New Roman" w:hAnsi="Times New Roman"/>
          <w:kern w:val="0"/>
          <w:sz w:val="24"/>
          <w:szCs w:val="24"/>
        </w:rPr>
        <w:t>软件得到石油烃模拟结果如图</w:t>
      </w:r>
      <w:r>
        <w:rPr>
          <w:rFonts w:ascii="Times New Roman" w:hAnsi="Times New Roman"/>
          <w:kern w:val="0"/>
          <w:sz w:val="24"/>
          <w:szCs w:val="24"/>
        </w:rPr>
        <w:t>5.5-1</w:t>
      </w:r>
      <w:r>
        <w:rPr>
          <w:rFonts w:ascii="Times New Roman" w:hAnsi="Times New Roman"/>
          <w:kern w:val="0"/>
          <w:sz w:val="24"/>
          <w:szCs w:val="24"/>
        </w:rPr>
        <w:t>所示。</w:t>
      </w:r>
    </w:p>
    <w:p w:rsidR="00525419" w:rsidRDefault="00EE1CF7">
      <w:pPr>
        <w:widowControl/>
        <w:adjustRightInd w:val="0"/>
        <w:snapToGrid w:val="0"/>
        <w:spacing w:before="120"/>
        <w:jc w:val="center"/>
        <w:rPr>
          <w:rFonts w:ascii="Times New Roman" w:hAnsi="Times New Roman"/>
          <w:b/>
          <w:snapToGrid w:val="0"/>
          <w:kern w:val="0"/>
          <w:sz w:val="24"/>
          <w:szCs w:val="28"/>
        </w:rPr>
      </w:pPr>
      <w:r>
        <w:rPr>
          <w:rFonts w:ascii="Times New Roman" w:hAnsi="Times New Roman"/>
          <w:b/>
          <w:noProof/>
          <w:snapToGrid w:val="0"/>
          <w:kern w:val="0"/>
          <w:sz w:val="24"/>
          <w:szCs w:val="28"/>
        </w:rPr>
        <w:drawing>
          <wp:inline distT="0" distB="0" distL="114300" distR="114300">
            <wp:extent cx="3375025" cy="2769870"/>
            <wp:effectExtent l="0" t="0" r="15875" b="11430"/>
            <wp:docPr id="14" name="图片 48" descr="C:\Users\Administrator\AppData\Roaming\Tencent\Users\346745994\QQ\WinTemp\RichOle\4V5QR({5BW@9U`%3QENM8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8" descr="C:\Users\Administrator\AppData\Roaming\Tencent\Users\346745994\QQ\WinTemp\RichOle\4V5QR({5BW@9U`%3QENM8OD.png"/>
                    <pic:cNvPicPr>
                      <a:picLocks noChangeAspect="1"/>
                    </pic:cNvPicPr>
                  </pic:nvPicPr>
                  <pic:blipFill>
                    <a:blip r:embed="rId38"/>
                    <a:stretch>
                      <a:fillRect/>
                    </a:stretch>
                  </pic:blipFill>
                  <pic:spPr>
                    <a:xfrm>
                      <a:off x="0" y="0"/>
                      <a:ext cx="3375025" cy="2769870"/>
                    </a:xfrm>
                    <a:prstGeom prst="rect">
                      <a:avLst/>
                    </a:prstGeom>
                    <a:noFill/>
                    <a:ln>
                      <a:noFill/>
                    </a:ln>
                  </pic:spPr>
                </pic:pic>
              </a:graphicData>
            </a:graphic>
          </wp:inline>
        </w:drawing>
      </w:r>
    </w:p>
    <w:p w:rsidR="00525419" w:rsidRDefault="00EE1CF7">
      <w:pPr>
        <w:widowControl/>
        <w:adjustRightInd w:val="0"/>
        <w:snapToGrid w:val="0"/>
        <w:spacing w:before="120"/>
        <w:jc w:val="center"/>
        <w:rPr>
          <w:rFonts w:ascii="Times New Roman" w:hAnsi="Times New Roman"/>
          <w:b/>
          <w:snapToGrid w:val="0"/>
          <w:kern w:val="0"/>
          <w:sz w:val="24"/>
          <w:szCs w:val="28"/>
        </w:rPr>
      </w:pPr>
      <w:r>
        <w:rPr>
          <w:rFonts w:ascii="Times New Roman" w:hAnsi="Times New Roman"/>
          <w:b/>
          <w:snapToGrid w:val="0"/>
          <w:kern w:val="0"/>
          <w:sz w:val="24"/>
          <w:szCs w:val="28"/>
        </w:rPr>
        <w:t>图</w:t>
      </w:r>
      <w:r>
        <w:rPr>
          <w:rFonts w:ascii="Times New Roman" w:hAnsi="Times New Roman"/>
          <w:b/>
          <w:snapToGrid w:val="0"/>
          <w:kern w:val="0"/>
          <w:sz w:val="24"/>
          <w:szCs w:val="28"/>
        </w:rPr>
        <w:t xml:space="preserve">5.5-1  </w:t>
      </w:r>
      <w:r>
        <w:rPr>
          <w:rFonts w:ascii="Times New Roman" w:hAnsi="Times New Roman"/>
          <w:b/>
          <w:snapToGrid w:val="0"/>
          <w:kern w:val="0"/>
          <w:sz w:val="24"/>
          <w:szCs w:val="28"/>
        </w:rPr>
        <w:t>各观测点浓度随时间变化曲线图</w:t>
      </w:r>
    </w:p>
    <w:p w:rsidR="00525419" w:rsidRDefault="00525419">
      <w:pPr>
        <w:widowControl/>
        <w:jc w:val="center"/>
        <w:rPr>
          <w:rFonts w:ascii="Times New Roman" w:hAnsi="Times New Roman"/>
          <w:kern w:val="0"/>
          <w:szCs w:val="24"/>
        </w:rPr>
      </w:pP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可以看出，观测孔的浓度随时间呈下降趋势，在</w:t>
      </w:r>
      <w:r>
        <w:rPr>
          <w:rFonts w:ascii="Times New Roman" w:hAnsi="Times New Roman"/>
          <w:kern w:val="0"/>
          <w:sz w:val="24"/>
          <w:szCs w:val="24"/>
        </w:rPr>
        <w:t>3650</w:t>
      </w:r>
      <w:r>
        <w:rPr>
          <w:rFonts w:ascii="Times New Roman" w:hAnsi="Times New Roman"/>
          <w:kern w:val="0"/>
          <w:sz w:val="24"/>
          <w:szCs w:val="24"/>
        </w:rPr>
        <w:t>天时，浓度趋于稳定，</w:t>
      </w:r>
      <w:r>
        <w:rPr>
          <w:rFonts w:ascii="Times New Roman" w:hAnsi="Times New Roman"/>
          <w:kern w:val="0"/>
          <w:sz w:val="24"/>
          <w:szCs w:val="24"/>
        </w:rPr>
        <w:t>10m</w:t>
      </w:r>
      <w:r>
        <w:rPr>
          <w:rFonts w:ascii="Times New Roman" w:hAnsi="Times New Roman"/>
          <w:kern w:val="0"/>
          <w:sz w:val="24"/>
          <w:szCs w:val="24"/>
        </w:rPr>
        <w:t>处观测孔的浓度为</w:t>
      </w:r>
      <w:r>
        <w:rPr>
          <w:rFonts w:ascii="Times New Roman" w:hAnsi="Times New Roman"/>
          <w:kern w:val="0"/>
          <w:sz w:val="24"/>
          <w:szCs w:val="24"/>
        </w:rPr>
        <w:t>2500mg/L</w:t>
      </w:r>
      <w:r>
        <w:rPr>
          <w:rFonts w:ascii="Times New Roman" w:hAnsi="Times New Roman"/>
          <w:kern w:val="0"/>
          <w:sz w:val="24"/>
          <w:szCs w:val="24"/>
        </w:rPr>
        <w:t>。随时间的推移，石油烃越来越难降解。因此，应及时处理地表污染源，有效阻滞污染物迁移进入土壤环境。</w:t>
      </w:r>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5.5.3</w:t>
      </w:r>
      <w:r>
        <w:rPr>
          <w:rFonts w:ascii="Times New Roman" w:eastAsia="华文楷体" w:hAnsi="Times New Roman"/>
        </w:rPr>
        <w:t>土壤环境影响预测小结</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在防渗系统正常运行的情况下，本项目含石油烃物料向地下渗透将得到很好的控制，不会对土壤环境的造成污染。</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在事故情况下，物料中的石油烃因防渗层破坏通过垂直入渗方式进行土壤，在土壤中不断积累浓度，但未超出《土壤环境质量</w:t>
      </w:r>
      <w:r>
        <w:rPr>
          <w:rFonts w:ascii="Times New Roman" w:hAnsi="Times New Roman"/>
          <w:kern w:val="0"/>
          <w:sz w:val="24"/>
          <w:szCs w:val="24"/>
        </w:rPr>
        <w:t xml:space="preserve"> </w:t>
      </w:r>
      <w:r>
        <w:rPr>
          <w:rFonts w:ascii="Times New Roman" w:hAnsi="Times New Roman"/>
          <w:kern w:val="0"/>
          <w:sz w:val="24"/>
          <w:szCs w:val="24"/>
        </w:rPr>
        <w:t>建设用地土壤污染风险管控标准》（</w:t>
      </w:r>
      <w:r>
        <w:rPr>
          <w:rFonts w:ascii="Times New Roman" w:hAnsi="Times New Roman"/>
          <w:kern w:val="0"/>
          <w:sz w:val="24"/>
          <w:szCs w:val="24"/>
        </w:rPr>
        <w:t>GB36600-2018</w:t>
      </w:r>
      <w:r>
        <w:rPr>
          <w:rFonts w:ascii="Times New Roman" w:hAnsi="Times New Roman"/>
          <w:kern w:val="0"/>
          <w:sz w:val="24"/>
          <w:szCs w:val="24"/>
        </w:rPr>
        <w:t>）表</w:t>
      </w:r>
      <w:r>
        <w:rPr>
          <w:rFonts w:ascii="Times New Roman" w:hAnsi="Times New Roman"/>
          <w:kern w:val="0"/>
          <w:sz w:val="24"/>
          <w:szCs w:val="24"/>
        </w:rPr>
        <w:t>2</w:t>
      </w:r>
      <w:r>
        <w:rPr>
          <w:rFonts w:ascii="Times New Roman" w:hAnsi="Times New Roman"/>
          <w:kern w:val="0"/>
          <w:sz w:val="24"/>
          <w:szCs w:val="24"/>
        </w:rPr>
        <w:t>中的建设用地土壤污染风险筛选值。</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lastRenderedPageBreak/>
        <w:t>因此，在加强环境风险管理及应急处理的前提下，项目对土壤环境的影响是可以接受的。</w:t>
      </w:r>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5.5.4</w:t>
      </w:r>
      <w:r>
        <w:rPr>
          <w:rFonts w:ascii="Times New Roman" w:eastAsia="华文楷体" w:hAnsi="Times New Roman"/>
        </w:rPr>
        <w:t>土壤环境影响评价自查表</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土壤环境影响评价自查表见表</w:t>
      </w:r>
      <w:r>
        <w:rPr>
          <w:rFonts w:ascii="Times New Roman" w:hAnsi="Times New Roman"/>
          <w:kern w:val="0"/>
          <w:sz w:val="24"/>
          <w:szCs w:val="24"/>
        </w:rPr>
        <w:t>5.5-5</w:t>
      </w:r>
      <w:r>
        <w:rPr>
          <w:rFonts w:ascii="Times New Roman" w:hAnsi="Times New Roman"/>
          <w:kern w:val="0"/>
          <w:sz w:val="24"/>
          <w:szCs w:val="24"/>
        </w:rPr>
        <w:t>。</w:t>
      </w:r>
    </w:p>
    <w:p w:rsidR="00525419" w:rsidRDefault="00EE1CF7">
      <w:pPr>
        <w:ind w:firstLineChars="900" w:firstLine="1890"/>
        <w:rPr>
          <w:rFonts w:ascii="Times New Roman" w:eastAsia="黑体" w:hAnsi="Times New Roman"/>
        </w:rPr>
      </w:pPr>
      <w:r>
        <w:rPr>
          <w:rFonts w:ascii="Times New Roman" w:eastAsia="黑体" w:hAnsi="Times New Roman"/>
        </w:rPr>
        <w:t>表</w:t>
      </w:r>
      <w:r>
        <w:rPr>
          <w:rFonts w:ascii="Times New Roman" w:eastAsia="黑体" w:hAnsi="Times New Roman"/>
        </w:rPr>
        <w:t xml:space="preserve">5.5-5       </w:t>
      </w:r>
      <w:r>
        <w:rPr>
          <w:rFonts w:ascii="Times New Roman" w:eastAsia="黑体" w:hAnsi="Times New Roman"/>
        </w:rPr>
        <w:t>土壤环境影响评价自查表</w:t>
      </w:r>
    </w:p>
    <w:tbl>
      <w:tblPr>
        <w:tblW w:w="8353"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87"/>
        <w:gridCol w:w="1380"/>
        <w:gridCol w:w="1397"/>
        <w:gridCol w:w="134"/>
        <w:gridCol w:w="974"/>
        <w:gridCol w:w="1251"/>
        <w:gridCol w:w="558"/>
        <w:gridCol w:w="1255"/>
        <w:gridCol w:w="1017"/>
      </w:tblGrid>
      <w:tr w:rsidR="00525419">
        <w:trPr>
          <w:trHeight w:val="397"/>
          <w:jc w:val="center"/>
        </w:trPr>
        <w:tc>
          <w:tcPr>
            <w:tcW w:w="1767" w:type="dxa"/>
            <w:gridSpan w:val="2"/>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工作内容</w:t>
            </w:r>
          </w:p>
        </w:tc>
        <w:tc>
          <w:tcPr>
            <w:tcW w:w="5569" w:type="dxa"/>
            <w:gridSpan w:val="6"/>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完成情况</w:t>
            </w:r>
          </w:p>
        </w:tc>
        <w:tc>
          <w:tcPr>
            <w:tcW w:w="1017"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备注</w:t>
            </w:r>
          </w:p>
        </w:tc>
      </w:tr>
      <w:tr w:rsidR="00525419">
        <w:trPr>
          <w:trHeight w:val="397"/>
          <w:jc w:val="center"/>
        </w:trPr>
        <w:tc>
          <w:tcPr>
            <w:tcW w:w="387" w:type="dxa"/>
            <w:vMerge w:val="restart"/>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影响识别</w:t>
            </w:r>
          </w:p>
        </w:tc>
        <w:tc>
          <w:tcPr>
            <w:tcW w:w="1380"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影响类型</w:t>
            </w:r>
          </w:p>
        </w:tc>
        <w:tc>
          <w:tcPr>
            <w:tcW w:w="5569" w:type="dxa"/>
            <w:gridSpan w:val="6"/>
            <w:tcMar>
              <w:left w:w="28" w:type="dxa"/>
              <w:right w:w="28" w:type="dxa"/>
            </w:tcMar>
            <w:vAlign w:val="center"/>
          </w:tcPr>
          <w:p w:rsidR="00525419" w:rsidRDefault="00EE1CF7">
            <w:pPr>
              <w:widowControl/>
              <w:ind w:firstLineChars="50" w:firstLine="105"/>
              <w:rPr>
                <w:rFonts w:ascii="Times New Roman" w:hAnsi="Times New Roman"/>
                <w:kern w:val="0"/>
                <w:szCs w:val="24"/>
              </w:rPr>
            </w:pPr>
            <w:r>
              <w:rPr>
                <w:rFonts w:ascii="Times New Roman" w:hAnsi="Times New Roman"/>
                <w:kern w:val="0"/>
                <w:szCs w:val="24"/>
              </w:rPr>
              <w:t>污染影响型</w:t>
            </w:r>
            <w:r>
              <w:rPr>
                <w:rFonts w:ascii="Times New Roman" w:hAnsi="Times New Roman"/>
                <w:kern w:val="0"/>
                <w:szCs w:val="24"/>
              </w:rPr>
              <w:sym w:font="Wingdings 2" w:char="F052"/>
            </w:r>
            <w:r>
              <w:rPr>
                <w:rFonts w:ascii="Times New Roman" w:hAnsi="Times New Roman"/>
                <w:kern w:val="0"/>
                <w:szCs w:val="24"/>
              </w:rPr>
              <w:t>；生态影响型</w:t>
            </w:r>
            <w:r>
              <w:rPr>
                <w:rFonts w:ascii="Times New Roman" w:hAnsi="Times New Roman"/>
                <w:kern w:val="0"/>
                <w:szCs w:val="24"/>
              </w:rPr>
              <w:t>□</w:t>
            </w:r>
            <w:r>
              <w:rPr>
                <w:rFonts w:ascii="Times New Roman" w:hAnsi="Times New Roman"/>
                <w:kern w:val="0"/>
                <w:szCs w:val="24"/>
              </w:rPr>
              <w:t>；两种兼有</w:t>
            </w:r>
            <w:r>
              <w:rPr>
                <w:rFonts w:ascii="Times New Roman" w:hAnsi="Times New Roman"/>
                <w:kern w:val="0"/>
                <w:szCs w:val="24"/>
              </w:rPr>
              <w:t>□</w:t>
            </w:r>
          </w:p>
        </w:tc>
        <w:tc>
          <w:tcPr>
            <w:tcW w:w="1017" w:type="dxa"/>
            <w:tcMar>
              <w:left w:w="28" w:type="dxa"/>
              <w:right w:w="28" w:type="dxa"/>
            </w:tcMar>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387" w:type="dxa"/>
            <w:vMerge/>
            <w:tcMar>
              <w:left w:w="28" w:type="dxa"/>
              <w:right w:w="28" w:type="dxa"/>
            </w:tcMar>
            <w:vAlign w:val="center"/>
          </w:tcPr>
          <w:p w:rsidR="00525419" w:rsidRDefault="00525419">
            <w:pPr>
              <w:widowControl/>
              <w:jc w:val="center"/>
              <w:rPr>
                <w:rFonts w:ascii="Times New Roman" w:hAnsi="Times New Roman"/>
                <w:kern w:val="0"/>
                <w:szCs w:val="24"/>
              </w:rPr>
            </w:pPr>
          </w:p>
        </w:tc>
        <w:tc>
          <w:tcPr>
            <w:tcW w:w="1380"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土地利用类型</w:t>
            </w:r>
          </w:p>
        </w:tc>
        <w:tc>
          <w:tcPr>
            <w:tcW w:w="5569" w:type="dxa"/>
            <w:gridSpan w:val="6"/>
            <w:tcMar>
              <w:left w:w="28" w:type="dxa"/>
              <w:right w:w="28" w:type="dxa"/>
            </w:tcMar>
            <w:vAlign w:val="center"/>
          </w:tcPr>
          <w:p w:rsidR="00525419" w:rsidRDefault="00EE1CF7">
            <w:pPr>
              <w:widowControl/>
              <w:ind w:firstLineChars="50" w:firstLine="105"/>
              <w:rPr>
                <w:rFonts w:ascii="Times New Roman" w:hAnsi="Times New Roman"/>
                <w:kern w:val="0"/>
                <w:szCs w:val="24"/>
              </w:rPr>
            </w:pPr>
            <w:r>
              <w:rPr>
                <w:rFonts w:ascii="Times New Roman" w:hAnsi="Times New Roman"/>
                <w:kern w:val="0"/>
                <w:szCs w:val="24"/>
              </w:rPr>
              <w:t>建设用地</w:t>
            </w:r>
            <w:r>
              <w:rPr>
                <w:rFonts w:ascii="Times New Roman" w:hAnsi="Times New Roman"/>
                <w:kern w:val="0"/>
                <w:szCs w:val="24"/>
              </w:rPr>
              <w:sym w:font="Wingdings 2" w:char="F052"/>
            </w:r>
            <w:r>
              <w:rPr>
                <w:rFonts w:ascii="Times New Roman" w:hAnsi="Times New Roman"/>
                <w:kern w:val="0"/>
                <w:szCs w:val="24"/>
              </w:rPr>
              <w:t>；农用地</w:t>
            </w:r>
            <w:r>
              <w:rPr>
                <w:rFonts w:ascii="Times New Roman" w:hAnsi="Times New Roman"/>
                <w:kern w:val="0"/>
                <w:szCs w:val="24"/>
              </w:rPr>
              <w:t>□</w:t>
            </w:r>
            <w:r>
              <w:rPr>
                <w:rFonts w:ascii="Times New Roman" w:hAnsi="Times New Roman"/>
                <w:kern w:val="0"/>
                <w:szCs w:val="24"/>
              </w:rPr>
              <w:t>；未利用地</w:t>
            </w:r>
            <w:r>
              <w:rPr>
                <w:rFonts w:ascii="Times New Roman" w:hAnsi="Times New Roman"/>
                <w:kern w:val="0"/>
                <w:szCs w:val="24"/>
              </w:rPr>
              <w:t>□</w:t>
            </w:r>
          </w:p>
        </w:tc>
        <w:tc>
          <w:tcPr>
            <w:tcW w:w="1017" w:type="dxa"/>
            <w:tcMar>
              <w:left w:w="28" w:type="dxa"/>
              <w:right w:w="28" w:type="dxa"/>
            </w:tcMar>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387" w:type="dxa"/>
            <w:vMerge/>
            <w:tcMar>
              <w:left w:w="28" w:type="dxa"/>
              <w:right w:w="28" w:type="dxa"/>
            </w:tcMar>
            <w:vAlign w:val="center"/>
          </w:tcPr>
          <w:p w:rsidR="00525419" w:rsidRDefault="00525419">
            <w:pPr>
              <w:widowControl/>
              <w:jc w:val="center"/>
              <w:rPr>
                <w:rFonts w:ascii="Times New Roman" w:hAnsi="Times New Roman"/>
                <w:kern w:val="0"/>
                <w:szCs w:val="24"/>
              </w:rPr>
            </w:pPr>
          </w:p>
        </w:tc>
        <w:tc>
          <w:tcPr>
            <w:tcW w:w="1380"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占地规模</w:t>
            </w:r>
          </w:p>
        </w:tc>
        <w:tc>
          <w:tcPr>
            <w:tcW w:w="5569" w:type="dxa"/>
            <w:gridSpan w:val="6"/>
            <w:tcMar>
              <w:left w:w="28" w:type="dxa"/>
              <w:right w:w="28" w:type="dxa"/>
            </w:tcMar>
            <w:vAlign w:val="center"/>
          </w:tcPr>
          <w:p w:rsidR="00525419" w:rsidRDefault="00EE1CF7">
            <w:pPr>
              <w:widowControl/>
              <w:ind w:firstLineChars="50" w:firstLine="105"/>
              <w:rPr>
                <w:rFonts w:ascii="Times New Roman" w:hAnsi="Times New Roman"/>
                <w:kern w:val="0"/>
                <w:szCs w:val="24"/>
              </w:rPr>
            </w:pPr>
            <w:r>
              <w:rPr>
                <w:rFonts w:ascii="Times New Roman" w:hAnsi="Times New Roman"/>
                <w:kern w:val="0"/>
                <w:szCs w:val="24"/>
              </w:rPr>
              <w:t>（</w:t>
            </w:r>
            <w:r>
              <w:rPr>
                <w:rFonts w:ascii="Times New Roman" w:hAnsi="Times New Roman"/>
                <w:kern w:val="0"/>
                <w:szCs w:val="24"/>
              </w:rPr>
              <w:t>40</w:t>
            </w:r>
            <w:r>
              <w:rPr>
                <w:rFonts w:ascii="Times New Roman" w:hAnsi="Times New Roman"/>
                <w:kern w:val="0"/>
                <w:szCs w:val="24"/>
              </w:rPr>
              <w:t>）</w:t>
            </w:r>
            <w:r>
              <w:rPr>
                <w:rFonts w:ascii="Times New Roman" w:hAnsi="Times New Roman"/>
                <w:kern w:val="0"/>
                <w:szCs w:val="24"/>
              </w:rPr>
              <w:t>hm</w:t>
            </w:r>
            <w:r>
              <w:rPr>
                <w:rFonts w:ascii="Times New Roman" w:hAnsi="Times New Roman"/>
                <w:kern w:val="0"/>
                <w:szCs w:val="24"/>
                <w:vertAlign w:val="superscript"/>
              </w:rPr>
              <w:t>2</w:t>
            </w:r>
          </w:p>
        </w:tc>
        <w:tc>
          <w:tcPr>
            <w:tcW w:w="1017" w:type="dxa"/>
            <w:tcMar>
              <w:left w:w="28" w:type="dxa"/>
              <w:right w:w="28" w:type="dxa"/>
            </w:tcMar>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387" w:type="dxa"/>
            <w:vMerge/>
            <w:tcMar>
              <w:left w:w="28" w:type="dxa"/>
              <w:right w:w="28" w:type="dxa"/>
            </w:tcMar>
            <w:vAlign w:val="center"/>
          </w:tcPr>
          <w:p w:rsidR="00525419" w:rsidRDefault="00525419">
            <w:pPr>
              <w:widowControl/>
              <w:jc w:val="center"/>
              <w:rPr>
                <w:rFonts w:ascii="Times New Roman" w:hAnsi="Times New Roman"/>
                <w:kern w:val="0"/>
                <w:szCs w:val="24"/>
              </w:rPr>
            </w:pPr>
          </w:p>
        </w:tc>
        <w:tc>
          <w:tcPr>
            <w:tcW w:w="1380"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敏感目标信息</w:t>
            </w:r>
          </w:p>
        </w:tc>
        <w:tc>
          <w:tcPr>
            <w:tcW w:w="5569" w:type="dxa"/>
            <w:gridSpan w:val="6"/>
            <w:tcMar>
              <w:left w:w="28" w:type="dxa"/>
              <w:right w:w="28" w:type="dxa"/>
            </w:tcMar>
            <w:vAlign w:val="center"/>
          </w:tcPr>
          <w:p w:rsidR="00525419" w:rsidRDefault="00EE1CF7">
            <w:pPr>
              <w:widowControl/>
              <w:ind w:firstLineChars="50" w:firstLine="105"/>
              <w:rPr>
                <w:rFonts w:ascii="Times New Roman" w:hAnsi="Times New Roman"/>
                <w:kern w:val="0"/>
                <w:szCs w:val="24"/>
              </w:rPr>
            </w:pPr>
            <w:r>
              <w:rPr>
                <w:rFonts w:ascii="Times New Roman" w:hAnsi="Times New Roman"/>
                <w:kern w:val="0"/>
                <w:szCs w:val="24"/>
              </w:rPr>
              <w:t>敏感目标（无）、方位（</w:t>
            </w:r>
            <w:r>
              <w:rPr>
                <w:rFonts w:ascii="Times New Roman" w:hAnsi="Times New Roman"/>
                <w:kern w:val="0"/>
                <w:szCs w:val="24"/>
              </w:rPr>
              <w:t xml:space="preserve"> </w:t>
            </w:r>
            <w:r>
              <w:rPr>
                <w:rFonts w:ascii="Times New Roman" w:hAnsi="Times New Roman"/>
                <w:kern w:val="0"/>
                <w:szCs w:val="24"/>
              </w:rPr>
              <w:t>）、距离（</w:t>
            </w:r>
            <w:r>
              <w:rPr>
                <w:rFonts w:ascii="Times New Roman" w:hAnsi="Times New Roman"/>
                <w:kern w:val="0"/>
                <w:szCs w:val="24"/>
              </w:rPr>
              <w:t xml:space="preserve"> </w:t>
            </w:r>
            <w:r>
              <w:rPr>
                <w:rFonts w:ascii="Times New Roman" w:hAnsi="Times New Roman"/>
                <w:kern w:val="0"/>
                <w:szCs w:val="24"/>
              </w:rPr>
              <w:t>）</w:t>
            </w:r>
          </w:p>
        </w:tc>
        <w:tc>
          <w:tcPr>
            <w:tcW w:w="1017" w:type="dxa"/>
            <w:tcMar>
              <w:left w:w="28" w:type="dxa"/>
              <w:right w:w="28" w:type="dxa"/>
            </w:tcMar>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387" w:type="dxa"/>
            <w:vMerge/>
            <w:tcMar>
              <w:left w:w="28" w:type="dxa"/>
              <w:right w:w="28" w:type="dxa"/>
            </w:tcMar>
            <w:vAlign w:val="center"/>
          </w:tcPr>
          <w:p w:rsidR="00525419" w:rsidRDefault="00525419">
            <w:pPr>
              <w:widowControl/>
              <w:jc w:val="center"/>
              <w:rPr>
                <w:rFonts w:ascii="Times New Roman" w:hAnsi="Times New Roman"/>
                <w:kern w:val="0"/>
                <w:szCs w:val="24"/>
              </w:rPr>
            </w:pPr>
          </w:p>
        </w:tc>
        <w:tc>
          <w:tcPr>
            <w:tcW w:w="1380"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影响途径</w:t>
            </w:r>
          </w:p>
        </w:tc>
        <w:tc>
          <w:tcPr>
            <w:tcW w:w="5569" w:type="dxa"/>
            <w:gridSpan w:val="6"/>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大气沉降</w:t>
            </w:r>
            <w:r>
              <w:rPr>
                <w:rFonts w:ascii="Times New Roman" w:hAnsi="Times New Roman"/>
                <w:kern w:val="0"/>
                <w:szCs w:val="24"/>
              </w:rPr>
              <w:t>□</w:t>
            </w:r>
            <w:r>
              <w:rPr>
                <w:rFonts w:ascii="Times New Roman" w:hAnsi="Times New Roman"/>
                <w:kern w:val="0"/>
                <w:szCs w:val="24"/>
              </w:rPr>
              <w:t>；地面漫流</w:t>
            </w:r>
            <w:r>
              <w:rPr>
                <w:rFonts w:ascii="Times New Roman" w:hAnsi="Times New Roman"/>
                <w:kern w:val="0"/>
                <w:szCs w:val="24"/>
              </w:rPr>
              <w:t>□</w:t>
            </w:r>
            <w:r>
              <w:rPr>
                <w:rFonts w:ascii="Times New Roman" w:hAnsi="Times New Roman"/>
                <w:kern w:val="0"/>
                <w:szCs w:val="24"/>
              </w:rPr>
              <w:t>；垂直入渗</w:t>
            </w:r>
            <w:r>
              <w:rPr>
                <w:rFonts w:ascii="Times New Roman" w:hAnsi="Times New Roman"/>
                <w:kern w:val="0"/>
                <w:szCs w:val="24"/>
              </w:rPr>
              <w:sym w:font="Wingdings 2" w:char="F052"/>
            </w:r>
            <w:r>
              <w:rPr>
                <w:rFonts w:ascii="Times New Roman" w:hAnsi="Times New Roman"/>
                <w:kern w:val="0"/>
                <w:szCs w:val="24"/>
              </w:rPr>
              <w:t>；地下水位</w:t>
            </w:r>
            <w:r>
              <w:rPr>
                <w:rFonts w:ascii="Times New Roman" w:hAnsi="Times New Roman"/>
                <w:kern w:val="0"/>
                <w:szCs w:val="24"/>
              </w:rPr>
              <w:t>□</w:t>
            </w:r>
            <w:r>
              <w:rPr>
                <w:rFonts w:ascii="Times New Roman" w:hAnsi="Times New Roman"/>
                <w:kern w:val="0"/>
                <w:szCs w:val="24"/>
              </w:rPr>
              <w:t>；其他（）</w:t>
            </w:r>
          </w:p>
        </w:tc>
        <w:tc>
          <w:tcPr>
            <w:tcW w:w="1017" w:type="dxa"/>
            <w:tcMar>
              <w:left w:w="28" w:type="dxa"/>
              <w:right w:w="28" w:type="dxa"/>
            </w:tcMar>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387" w:type="dxa"/>
            <w:vMerge/>
            <w:tcMar>
              <w:left w:w="28" w:type="dxa"/>
              <w:right w:w="28" w:type="dxa"/>
            </w:tcMar>
            <w:vAlign w:val="center"/>
          </w:tcPr>
          <w:p w:rsidR="00525419" w:rsidRDefault="00525419">
            <w:pPr>
              <w:widowControl/>
              <w:jc w:val="center"/>
              <w:rPr>
                <w:rFonts w:ascii="Times New Roman" w:hAnsi="Times New Roman"/>
                <w:kern w:val="0"/>
                <w:szCs w:val="24"/>
              </w:rPr>
            </w:pPr>
          </w:p>
        </w:tc>
        <w:tc>
          <w:tcPr>
            <w:tcW w:w="1380"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全部污染物</w:t>
            </w:r>
          </w:p>
        </w:tc>
        <w:tc>
          <w:tcPr>
            <w:tcW w:w="5569" w:type="dxa"/>
            <w:gridSpan w:val="6"/>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COD</w:t>
            </w:r>
            <w:r>
              <w:rPr>
                <w:rFonts w:ascii="Times New Roman" w:hAnsi="Times New Roman"/>
                <w:kern w:val="0"/>
                <w:szCs w:val="24"/>
              </w:rPr>
              <w:t>、</w:t>
            </w:r>
            <w:r>
              <w:rPr>
                <w:rFonts w:ascii="Times New Roman" w:hAnsi="Times New Roman"/>
                <w:kern w:val="0"/>
                <w:szCs w:val="24"/>
              </w:rPr>
              <w:t>NH</w:t>
            </w:r>
            <w:r>
              <w:rPr>
                <w:rFonts w:ascii="Times New Roman" w:hAnsi="Times New Roman"/>
                <w:kern w:val="0"/>
                <w:szCs w:val="24"/>
                <w:vertAlign w:val="subscript"/>
              </w:rPr>
              <w:t>3</w:t>
            </w:r>
            <w:r>
              <w:rPr>
                <w:rFonts w:ascii="Times New Roman" w:hAnsi="Times New Roman"/>
                <w:kern w:val="0"/>
                <w:szCs w:val="24"/>
              </w:rPr>
              <w:t>-N</w:t>
            </w:r>
            <w:r>
              <w:rPr>
                <w:rFonts w:ascii="Times New Roman" w:hAnsi="Times New Roman"/>
                <w:kern w:val="0"/>
                <w:szCs w:val="24"/>
              </w:rPr>
              <w:t>、石油类、硫化物</w:t>
            </w:r>
          </w:p>
        </w:tc>
        <w:tc>
          <w:tcPr>
            <w:tcW w:w="1017" w:type="dxa"/>
            <w:tcMar>
              <w:left w:w="28" w:type="dxa"/>
              <w:right w:w="28" w:type="dxa"/>
            </w:tcMar>
            <w:vAlign w:val="center"/>
          </w:tcPr>
          <w:p w:rsidR="00525419" w:rsidRDefault="00525419">
            <w:pPr>
              <w:widowControl/>
              <w:jc w:val="center"/>
              <w:rPr>
                <w:rFonts w:ascii="Times New Roman" w:hAnsi="Times New Roman"/>
                <w:kern w:val="0"/>
                <w:szCs w:val="24"/>
              </w:rPr>
            </w:pPr>
          </w:p>
        </w:tc>
      </w:tr>
      <w:tr w:rsidR="00525419">
        <w:trPr>
          <w:trHeight w:val="427"/>
          <w:jc w:val="center"/>
        </w:trPr>
        <w:tc>
          <w:tcPr>
            <w:tcW w:w="387" w:type="dxa"/>
            <w:vMerge/>
            <w:tcMar>
              <w:left w:w="28" w:type="dxa"/>
              <w:right w:w="28" w:type="dxa"/>
            </w:tcMar>
            <w:vAlign w:val="center"/>
          </w:tcPr>
          <w:p w:rsidR="00525419" w:rsidRDefault="00525419">
            <w:pPr>
              <w:widowControl/>
              <w:jc w:val="center"/>
              <w:rPr>
                <w:rFonts w:ascii="Times New Roman" w:hAnsi="Times New Roman"/>
                <w:kern w:val="0"/>
                <w:szCs w:val="24"/>
              </w:rPr>
            </w:pPr>
          </w:p>
        </w:tc>
        <w:tc>
          <w:tcPr>
            <w:tcW w:w="1380"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特征因子</w:t>
            </w:r>
          </w:p>
        </w:tc>
        <w:tc>
          <w:tcPr>
            <w:tcW w:w="5569" w:type="dxa"/>
            <w:gridSpan w:val="6"/>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石油烃</w:t>
            </w:r>
          </w:p>
        </w:tc>
        <w:tc>
          <w:tcPr>
            <w:tcW w:w="1017" w:type="dxa"/>
            <w:tcMar>
              <w:left w:w="28" w:type="dxa"/>
              <w:right w:w="28" w:type="dxa"/>
            </w:tcMar>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387" w:type="dxa"/>
            <w:vMerge/>
            <w:tcMar>
              <w:left w:w="28" w:type="dxa"/>
              <w:right w:w="28" w:type="dxa"/>
            </w:tcMar>
            <w:vAlign w:val="center"/>
          </w:tcPr>
          <w:p w:rsidR="00525419" w:rsidRDefault="00525419">
            <w:pPr>
              <w:widowControl/>
              <w:jc w:val="center"/>
              <w:rPr>
                <w:rFonts w:ascii="Times New Roman" w:hAnsi="Times New Roman"/>
                <w:kern w:val="0"/>
                <w:szCs w:val="24"/>
              </w:rPr>
            </w:pPr>
          </w:p>
        </w:tc>
        <w:tc>
          <w:tcPr>
            <w:tcW w:w="1380"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所属土壤环境影响评价项目类别</w:t>
            </w:r>
          </w:p>
        </w:tc>
        <w:tc>
          <w:tcPr>
            <w:tcW w:w="5569" w:type="dxa"/>
            <w:gridSpan w:val="6"/>
            <w:tcMar>
              <w:left w:w="28" w:type="dxa"/>
              <w:right w:w="28" w:type="dxa"/>
            </w:tcMar>
            <w:vAlign w:val="center"/>
          </w:tcPr>
          <w:p w:rsidR="00525419" w:rsidRDefault="00EE1CF7">
            <w:pPr>
              <w:widowControl/>
              <w:rPr>
                <w:rFonts w:ascii="Times New Roman" w:hAnsi="Times New Roman"/>
                <w:kern w:val="0"/>
                <w:szCs w:val="24"/>
              </w:rPr>
            </w:pPr>
            <w:r>
              <w:rPr>
                <w:rFonts w:ascii="Times New Roman" w:hAnsi="Times New Roman"/>
                <w:kern w:val="0"/>
                <w:szCs w:val="24"/>
              </w:rPr>
              <w:t>Ⅰ</w:t>
            </w:r>
            <w:r>
              <w:rPr>
                <w:rFonts w:ascii="Times New Roman" w:hAnsi="Times New Roman"/>
                <w:kern w:val="0"/>
                <w:szCs w:val="24"/>
              </w:rPr>
              <w:t>类</w:t>
            </w:r>
            <w:r>
              <w:rPr>
                <w:rFonts w:ascii="Times New Roman" w:hAnsi="Times New Roman"/>
                <w:kern w:val="0"/>
                <w:szCs w:val="24"/>
              </w:rPr>
              <w:sym w:font="Wingdings 2" w:char="F052"/>
            </w:r>
            <w:r>
              <w:rPr>
                <w:rFonts w:ascii="Times New Roman" w:hAnsi="Times New Roman"/>
                <w:kern w:val="0"/>
                <w:szCs w:val="24"/>
              </w:rPr>
              <w:t>；</w:t>
            </w:r>
            <w:r>
              <w:rPr>
                <w:rFonts w:ascii="Times New Roman" w:hAnsi="Times New Roman"/>
                <w:kern w:val="0"/>
                <w:szCs w:val="24"/>
              </w:rPr>
              <w:t>Ⅱ</w:t>
            </w:r>
            <w:r>
              <w:rPr>
                <w:rFonts w:ascii="Times New Roman" w:hAnsi="Times New Roman"/>
                <w:kern w:val="0"/>
                <w:szCs w:val="24"/>
              </w:rPr>
              <w:t>类</w:t>
            </w:r>
            <w:r>
              <w:rPr>
                <w:rFonts w:ascii="Times New Roman" w:hAnsi="Times New Roman"/>
                <w:kern w:val="0"/>
                <w:szCs w:val="24"/>
              </w:rPr>
              <w:t>□</w:t>
            </w:r>
            <w:r>
              <w:rPr>
                <w:rFonts w:ascii="Times New Roman" w:hAnsi="Times New Roman"/>
                <w:kern w:val="0"/>
                <w:szCs w:val="24"/>
              </w:rPr>
              <w:t>；</w:t>
            </w:r>
            <w:r>
              <w:rPr>
                <w:rFonts w:ascii="Times New Roman" w:hAnsi="Times New Roman"/>
                <w:kern w:val="0"/>
                <w:szCs w:val="24"/>
              </w:rPr>
              <w:t>Ⅲ</w:t>
            </w:r>
            <w:r>
              <w:rPr>
                <w:rFonts w:ascii="Times New Roman" w:hAnsi="Times New Roman"/>
                <w:kern w:val="0"/>
                <w:szCs w:val="24"/>
              </w:rPr>
              <w:t>类</w:t>
            </w:r>
            <w:r>
              <w:rPr>
                <w:rFonts w:ascii="Times New Roman" w:hAnsi="Times New Roman"/>
                <w:kern w:val="0"/>
                <w:szCs w:val="24"/>
              </w:rPr>
              <w:t>□</w:t>
            </w:r>
            <w:r>
              <w:rPr>
                <w:rFonts w:ascii="Times New Roman" w:hAnsi="Times New Roman"/>
                <w:kern w:val="0"/>
                <w:szCs w:val="24"/>
              </w:rPr>
              <w:t>；</w:t>
            </w:r>
            <w:r>
              <w:rPr>
                <w:rFonts w:ascii="Times New Roman" w:hAnsi="Times New Roman"/>
                <w:kern w:val="0"/>
                <w:szCs w:val="24"/>
              </w:rPr>
              <w:t>Ⅳ</w:t>
            </w:r>
            <w:r>
              <w:rPr>
                <w:rFonts w:ascii="Times New Roman" w:hAnsi="Times New Roman"/>
                <w:kern w:val="0"/>
                <w:szCs w:val="24"/>
              </w:rPr>
              <w:t>类</w:t>
            </w:r>
            <w:r>
              <w:rPr>
                <w:rFonts w:ascii="Times New Roman" w:hAnsi="Times New Roman"/>
                <w:kern w:val="0"/>
                <w:szCs w:val="24"/>
              </w:rPr>
              <w:t>□</w:t>
            </w:r>
          </w:p>
        </w:tc>
        <w:tc>
          <w:tcPr>
            <w:tcW w:w="1017" w:type="dxa"/>
            <w:tcMar>
              <w:left w:w="28" w:type="dxa"/>
              <w:right w:w="28" w:type="dxa"/>
            </w:tcMar>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387" w:type="dxa"/>
            <w:vMerge/>
            <w:tcMar>
              <w:left w:w="28" w:type="dxa"/>
              <w:right w:w="28" w:type="dxa"/>
            </w:tcMar>
            <w:vAlign w:val="center"/>
          </w:tcPr>
          <w:p w:rsidR="00525419" w:rsidRDefault="00525419">
            <w:pPr>
              <w:widowControl/>
              <w:jc w:val="center"/>
              <w:rPr>
                <w:rFonts w:ascii="Times New Roman" w:hAnsi="Times New Roman"/>
                <w:kern w:val="0"/>
                <w:szCs w:val="24"/>
              </w:rPr>
            </w:pPr>
          </w:p>
        </w:tc>
        <w:tc>
          <w:tcPr>
            <w:tcW w:w="1380"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敏感程度</w:t>
            </w:r>
          </w:p>
        </w:tc>
        <w:tc>
          <w:tcPr>
            <w:tcW w:w="5569" w:type="dxa"/>
            <w:gridSpan w:val="6"/>
            <w:tcMar>
              <w:left w:w="28" w:type="dxa"/>
              <w:right w:w="28" w:type="dxa"/>
            </w:tcMar>
            <w:vAlign w:val="center"/>
          </w:tcPr>
          <w:p w:rsidR="00525419" w:rsidRDefault="00EE1CF7">
            <w:pPr>
              <w:widowControl/>
              <w:rPr>
                <w:rFonts w:ascii="Times New Roman" w:hAnsi="Times New Roman"/>
                <w:kern w:val="0"/>
                <w:szCs w:val="24"/>
              </w:rPr>
            </w:pPr>
            <w:r>
              <w:rPr>
                <w:rFonts w:ascii="Times New Roman" w:hAnsi="Times New Roman"/>
                <w:kern w:val="0"/>
                <w:szCs w:val="24"/>
              </w:rPr>
              <w:t>敏感</w:t>
            </w:r>
            <w:r>
              <w:rPr>
                <w:rFonts w:ascii="Times New Roman" w:hAnsi="Times New Roman"/>
                <w:kern w:val="0"/>
                <w:szCs w:val="24"/>
              </w:rPr>
              <w:t>□</w:t>
            </w:r>
            <w:r>
              <w:rPr>
                <w:rFonts w:ascii="Times New Roman" w:hAnsi="Times New Roman"/>
                <w:kern w:val="0"/>
                <w:szCs w:val="24"/>
              </w:rPr>
              <w:t>；较敏感</w:t>
            </w:r>
            <w:r>
              <w:rPr>
                <w:rFonts w:ascii="Times New Roman" w:hAnsi="Times New Roman"/>
                <w:kern w:val="0"/>
                <w:szCs w:val="24"/>
              </w:rPr>
              <w:t>□</w:t>
            </w:r>
            <w:r>
              <w:rPr>
                <w:rFonts w:ascii="Times New Roman" w:hAnsi="Times New Roman"/>
                <w:kern w:val="0"/>
                <w:szCs w:val="24"/>
              </w:rPr>
              <w:t>；不敏感</w:t>
            </w:r>
            <w:r>
              <w:rPr>
                <w:rFonts w:ascii="Times New Roman" w:hAnsi="Times New Roman"/>
                <w:kern w:val="0"/>
                <w:szCs w:val="24"/>
              </w:rPr>
              <w:sym w:font="Wingdings 2" w:char="F052"/>
            </w:r>
          </w:p>
        </w:tc>
        <w:tc>
          <w:tcPr>
            <w:tcW w:w="1017" w:type="dxa"/>
            <w:tcMar>
              <w:left w:w="28" w:type="dxa"/>
              <w:right w:w="28" w:type="dxa"/>
            </w:tcMar>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1767" w:type="dxa"/>
            <w:gridSpan w:val="2"/>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评价工作等级</w:t>
            </w:r>
          </w:p>
        </w:tc>
        <w:tc>
          <w:tcPr>
            <w:tcW w:w="5569" w:type="dxa"/>
            <w:gridSpan w:val="6"/>
            <w:tcMar>
              <w:left w:w="28" w:type="dxa"/>
              <w:right w:w="28" w:type="dxa"/>
            </w:tcMar>
            <w:vAlign w:val="center"/>
          </w:tcPr>
          <w:p w:rsidR="00525419" w:rsidRDefault="00EE1CF7">
            <w:pPr>
              <w:widowControl/>
              <w:rPr>
                <w:rFonts w:ascii="Times New Roman" w:hAnsi="Times New Roman"/>
                <w:kern w:val="0"/>
                <w:szCs w:val="24"/>
              </w:rPr>
            </w:pPr>
            <w:r>
              <w:rPr>
                <w:rFonts w:ascii="Times New Roman" w:hAnsi="Times New Roman"/>
                <w:kern w:val="0"/>
                <w:szCs w:val="24"/>
              </w:rPr>
              <w:t>一级</w:t>
            </w:r>
            <w:r>
              <w:rPr>
                <w:rFonts w:ascii="Times New Roman" w:hAnsi="Times New Roman"/>
                <w:kern w:val="0"/>
                <w:szCs w:val="24"/>
              </w:rPr>
              <w:t>□</w:t>
            </w:r>
            <w:r>
              <w:rPr>
                <w:rFonts w:ascii="Times New Roman" w:hAnsi="Times New Roman"/>
                <w:kern w:val="0"/>
                <w:szCs w:val="24"/>
              </w:rPr>
              <w:t>；二级</w:t>
            </w:r>
            <w:r>
              <w:rPr>
                <w:rFonts w:ascii="Times New Roman" w:hAnsi="Times New Roman"/>
                <w:kern w:val="0"/>
                <w:szCs w:val="24"/>
              </w:rPr>
              <w:sym w:font="Wingdings 2" w:char="F052"/>
            </w:r>
            <w:r>
              <w:rPr>
                <w:rFonts w:ascii="Times New Roman" w:hAnsi="Times New Roman"/>
                <w:kern w:val="0"/>
                <w:szCs w:val="24"/>
              </w:rPr>
              <w:t>；三级</w:t>
            </w:r>
            <w:r>
              <w:rPr>
                <w:rFonts w:ascii="Times New Roman" w:hAnsi="Times New Roman"/>
                <w:kern w:val="0"/>
                <w:szCs w:val="24"/>
              </w:rPr>
              <w:t>□</w:t>
            </w:r>
          </w:p>
        </w:tc>
        <w:tc>
          <w:tcPr>
            <w:tcW w:w="1017" w:type="dxa"/>
            <w:tcMar>
              <w:left w:w="28" w:type="dxa"/>
              <w:right w:w="28" w:type="dxa"/>
            </w:tcMar>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387" w:type="dxa"/>
            <w:vMerge w:val="restart"/>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现状调查内容</w:t>
            </w:r>
          </w:p>
        </w:tc>
        <w:tc>
          <w:tcPr>
            <w:tcW w:w="1380"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资料收集</w:t>
            </w:r>
          </w:p>
        </w:tc>
        <w:tc>
          <w:tcPr>
            <w:tcW w:w="5569" w:type="dxa"/>
            <w:gridSpan w:val="6"/>
            <w:tcMar>
              <w:left w:w="28" w:type="dxa"/>
              <w:right w:w="28" w:type="dxa"/>
            </w:tcMar>
            <w:vAlign w:val="center"/>
          </w:tcPr>
          <w:p w:rsidR="00525419" w:rsidRDefault="00EE1CF7">
            <w:pPr>
              <w:widowControl/>
              <w:rPr>
                <w:rFonts w:ascii="Times New Roman" w:hAnsi="Times New Roman"/>
                <w:kern w:val="0"/>
                <w:szCs w:val="24"/>
              </w:rPr>
            </w:pPr>
            <w:r>
              <w:rPr>
                <w:rFonts w:ascii="Times New Roman" w:hAnsi="Times New Roman"/>
                <w:kern w:val="0"/>
                <w:szCs w:val="24"/>
              </w:rPr>
              <w:t>a</w:t>
            </w:r>
            <w:r>
              <w:rPr>
                <w:rFonts w:ascii="Times New Roman" w:hAnsi="Times New Roman"/>
                <w:kern w:val="0"/>
                <w:szCs w:val="24"/>
              </w:rPr>
              <w:t>）</w:t>
            </w:r>
            <w:r>
              <w:rPr>
                <w:rFonts w:ascii="Times New Roman" w:hAnsi="Times New Roman"/>
                <w:kern w:val="0"/>
                <w:szCs w:val="24"/>
              </w:rPr>
              <w:t>□</w:t>
            </w:r>
            <w:r>
              <w:rPr>
                <w:rFonts w:ascii="Times New Roman" w:hAnsi="Times New Roman"/>
                <w:kern w:val="0"/>
                <w:szCs w:val="24"/>
              </w:rPr>
              <w:t>；</w:t>
            </w:r>
            <w:r>
              <w:rPr>
                <w:rFonts w:ascii="Times New Roman" w:hAnsi="Times New Roman"/>
                <w:kern w:val="0"/>
                <w:szCs w:val="24"/>
              </w:rPr>
              <w:t>b</w:t>
            </w:r>
            <w:r>
              <w:rPr>
                <w:rFonts w:ascii="Times New Roman" w:hAnsi="Times New Roman"/>
                <w:kern w:val="0"/>
                <w:szCs w:val="24"/>
              </w:rPr>
              <w:t>）</w:t>
            </w:r>
            <w:r>
              <w:rPr>
                <w:rFonts w:ascii="Times New Roman" w:hAnsi="Times New Roman"/>
                <w:kern w:val="0"/>
                <w:szCs w:val="24"/>
              </w:rPr>
              <w:t>□</w:t>
            </w:r>
            <w:r>
              <w:rPr>
                <w:rFonts w:ascii="Times New Roman" w:hAnsi="Times New Roman"/>
                <w:kern w:val="0"/>
                <w:szCs w:val="24"/>
              </w:rPr>
              <w:t>；</w:t>
            </w:r>
            <w:r>
              <w:rPr>
                <w:rFonts w:ascii="Times New Roman" w:hAnsi="Times New Roman"/>
                <w:kern w:val="0"/>
                <w:szCs w:val="24"/>
              </w:rPr>
              <w:t>c</w:t>
            </w:r>
            <w:r>
              <w:rPr>
                <w:rFonts w:ascii="Times New Roman" w:hAnsi="Times New Roman"/>
                <w:kern w:val="0"/>
                <w:szCs w:val="24"/>
              </w:rPr>
              <w:t>）</w:t>
            </w:r>
            <w:r>
              <w:rPr>
                <w:rFonts w:ascii="Times New Roman" w:hAnsi="Times New Roman"/>
                <w:kern w:val="0"/>
                <w:szCs w:val="24"/>
              </w:rPr>
              <w:t>□</w:t>
            </w:r>
            <w:r>
              <w:rPr>
                <w:rFonts w:ascii="Times New Roman" w:hAnsi="Times New Roman"/>
                <w:kern w:val="0"/>
                <w:szCs w:val="24"/>
              </w:rPr>
              <w:t>；</w:t>
            </w:r>
            <w:r>
              <w:rPr>
                <w:rFonts w:ascii="Times New Roman" w:hAnsi="Times New Roman"/>
                <w:kern w:val="0"/>
                <w:szCs w:val="24"/>
              </w:rPr>
              <w:t>d</w:t>
            </w:r>
            <w:r>
              <w:rPr>
                <w:rFonts w:ascii="Times New Roman" w:hAnsi="Times New Roman"/>
                <w:kern w:val="0"/>
                <w:szCs w:val="24"/>
              </w:rPr>
              <w:t>）</w:t>
            </w:r>
            <w:r>
              <w:rPr>
                <w:rFonts w:ascii="Times New Roman" w:hAnsi="Times New Roman"/>
                <w:kern w:val="0"/>
                <w:szCs w:val="24"/>
              </w:rPr>
              <w:t>□</w:t>
            </w:r>
          </w:p>
        </w:tc>
        <w:tc>
          <w:tcPr>
            <w:tcW w:w="1017" w:type="dxa"/>
            <w:tcMar>
              <w:left w:w="28" w:type="dxa"/>
              <w:right w:w="28" w:type="dxa"/>
            </w:tcMar>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387" w:type="dxa"/>
            <w:vMerge/>
            <w:tcMar>
              <w:left w:w="28" w:type="dxa"/>
              <w:right w:w="28" w:type="dxa"/>
            </w:tcMar>
            <w:vAlign w:val="center"/>
          </w:tcPr>
          <w:p w:rsidR="00525419" w:rsidRDefault="00525419">
            <w:pPr>
              <w:widowControl/>
              <w:jc w:val="center"/>
              <w:rPr>
                <w:rFonts w:ascii="Times New Roman" w:hAnsi="Times New Roman"/>
                <w:kern w:val="0"/>
                <w:szCs w:val="24"/>
              </w:rPr>
            </w:pPr>
          </w:p>
        </w:tc>
        <w:tc>
          <w:tcPr>
            <w:tcW w:w="1380"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理化特性</w:t>
            </w:r>
          </w:p>
        </w:tc>
        <w:tc>
          <w:tcPr>
            <w:tcW w:w="5569" w:type="dxa"/>
            <w:gridSpan w:val="6"/>
            <w:tcMar>
              <w:left w:w="28" w:type="dxa"/>
              <w:right w:w="28" w:type="dxa"/>
            </w:tcMar>
            <w:vAlign w:val="center"/>
          </w:tcPr>
          <w:p w:rsidR="00525419" w:rsidRDefault="00525419">
            <w:pPr>
              <w:widowControl/>
              <w:jc w:val="center"/>
              <w:rPr>
                <w:rFonts w:ascii="Times New Roman" w:hAnsi="Times New Roman"/>
                <w:kern w:val="0"/>
                <w:szCs w:val="24"/>
              </w:rPr>
            </w:pPr>
          </w:p>
        </w:tc>
        <w:tc>
          <w:tcPr>
            <w:tcW w:w="1017"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同附录</w:t>
            </w:r>
            <w:r>
              <w:rPr>
                <w:rFonts w:ascii="Times New Roman" w:hAnsi="Times New Roman"/>
                <w:kern w:val="0"/>
                <w:szCs w:val="24"/>
              </w:rPr>
              <w:t>C</w:t>
            </w:r>
          </w:p>
        </w:tc>
      </w:tr>
      <w:tr w:rsidR="00525419">
        <w:trPr>
          <w:trHeight w:val="397"/>
          <w:jc w:val="center"/>
        </w:trPr>
        <w:tc>
          <w:tcPr>
            <w:tcW w:w="387" w:type="dxa"/>
            <w:vMerge/>
            <w:tcMar>
              <w:left w:w="28" w:type="dxa"/>
              <w:right w:w="28" w:type="dxa"/>
            </w:tcMar>
            <w:vAlign w:val="center"/>
          </w:tcPr>
          <w:p w:rsidR="00525419" w:rsidRDefault="00525419">
            <w:pPr>
              <w:widowControl/>
              <w:jc w:val="center"/>
              <w:rPr>
                <w:rFonts w:ascii="Times New Roman" w:hAnsi="Times New Roman"/>
                <w:kern w:val="0"/>
                <w:szCs w:val="24"/>
              </w:rPr>
            </w:pPr>
          </w:p>
        </w:tc>
        <w:tc>
          <w:tcPr>
            <w:tcW w:w="1380" w:type="dxa"/>
            <w:vMerge w:val="restart"/>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现状监测点位</w:t>
            </w:r>
          </w:p>
        </w:tc>
        <w:tc>
          <w:tcPr>
            <w:tcW w:w="1397" w:type="dxa"/>
            <w:tcMar>
              <w:left w:w="28" w:type="dxa"/>
              <w:right w:w="28" w:type="dxa"/>
            </w:tcMar>
            <w:vAlign w:val="center"/>
          </w:tcPr>
          <w:p w:rsidR="00525419" w:rsidRDefault="00525419">
            <w:pPr>
              <w:widowControl/>
              <w:jc w:val="center"/>
              <w:rPr>
                <w:rFonts w:ascii="Times New Roman" w:hAnsi="Times New Roman"/>
                <w:kern w:val="0"/>
                <w:szCs w:val="24"/>
              </w:rPr>
            </w:pPr>
          </w:p>
        </w:tc>
        <w:tc>
          <w:tcPr>
            <w:tcW w:w="1108" w:type="dxa"/>
            <w:gridSpan w:val="2"/>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占地范围内</w:t>
            </w:r>
          </w:p>
        </w:tc>
        <w:tc>
          <w:tcPr>
            <w:tcW w:w="1251"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占地范围外</w:t>
            </w:r>
          </w:p>
        </w:tc>
        <w:tc>
          <w:tcPr>
            <w:tcW w:w="1813" w:type="dxa"/>
            <w:gridSpan w:val="2"/>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深度</w:t>
            </w:r>
          </w:p>
        </w:tc>
        <w:tc>
          <w:tcPr>
            <w:tcW w:w="1017" w:type="dxa"/>
            <w:vMerge w:val="restart"/>
            <w:tcMar>
              <w:left w:w="28" w:type="dxa"/>
              <w:right w:w="28" w:type="dxa"/>
            </w:tcMar>
            <w:vAlign w:val="center"/>
          </w:tcPr>
          <w:p w:rsidR="00525419" w:rsidRDefault="00525419">
            <w:pPr>
              <w:widowControl/>
              <w:jc w:val="center"/>
              <w:rPr>
                <w:rFonts w:ascii="Times New Roman" w:hAnsi="Times New Roman"/>
                <w:kern w:val="0"/>
                <w:szCs w:val="24"/>
              </w:rPr>
            </w:pPr>
          </w:p>
          <w:p w:rsidR="00525419" w:rsidRDefault="00EE1CF7">
            <w:pPr>
              <w:widowControl/>
              <w:jc w:val="center"/>
              <w:rPr>
                <w:rFonts w:ascii="Times New Roman" w:hAnsi="Times New Roman"/>
                <w:kern w:val="0"/>
                <w:szCs w:val="24"/>
              </w:rPr>
            </w:pPr>
            <w:r>
              <w:rPr>
                <w:rFonts w:ascii="Times New Roman" w:hAnsi="Times New Roman"/>
                <w:kern w:val="0"/>
                <w:szCs w:val="24"/>
              </w:rPr>
              <w:t>点位</w:t>
            </w:r>
          </w:p>
          <w:p w:rsidR="00525419" w:rsidRDefault="00EE1CF7">
            <w:pPr>
              <w:widowControl/>
              <w:jc w:val="center"/>
              <w:rPr>
                <w:rFonts w:ascii="Times New Roman" w:hAnsi="Times New Roman"/>
                <w:kern w:val="0"/>
                <w:szCs w:val="24"/>
              </w:rPr>
            </w:pPr>
            <w:r>
              <w:rPr>
                <w:rFonts w:ascii="Times New Roman" w:hAnsi="Times New Roman"/>
                <w:kern w:val="0"/>
                <w:szCs w:val="24"/>
              </w:rPr>
              <w:t>布置图</w:t>
            </w:r>
          </w:p>
        </w:tc>
      </w:tr>
      <w:tr w:rsidR="00525419">
        <w:trPr>
          <w:trHeight w:val="397"/>
          <w:jc w:val="center"/>
        </w:trPr>
        <w:tc>
          <w:tcPr>
            <w:tcW w:w="387" w:type="dxa"/>
            <w:vMerge/>
            <w:tcMar>
              <w:left w:w="28" w:type="dxa"/>
              <w:right w:w="28" w:type="dxa"/>
            </w:tcMar>
            <w:vAlign w:val="center"/>
          </w:tcPr>
          <w:p w:rsidR="00525419" w:rsidRDefault="00525419">
            <w:pPr>
              <w:widowControl/>
              <w:jc w:val="center"/>
              <w:rPr>
                <w:rFonts w:ascii="Times New Roman" w:hAnsi="Times New Roman"/>
                <w:kern w:val="0"/>
                <w:szCs w:val="24"/>
              </w:rPr>
            </w:pPr>
          </w:p>
        </w:tc>
        <w:tc>
          <w:tcPr>
            <w:tcW w:w="1380" w:type="dxa"/>
            <w:vMerge/>
            <w:tcMar>
              <w:left w:w="28" w:type="dxa"/>
              <w:right w:w="28" w:type="dxa"/>
            </w:tcMar>
            <w:vAlign w:val="center"/>
          </w:tcPr>
          <w:p w:rsidR="00525419" w:rsidRDefault="00525419">
            <w:pPr>
              <w:widowControl/>
              <w:jc w:val="center"/>
              <w:rPr>
                <w:rFonts w:ascii="Times New Roman" w:hAnsi="Times New Roman"/>
                <w:kern w:val="0"/>
                <w:szCs w:val="24"/>
              </w:rPr>
            </w:pPr>
          </w:p>
        </w:tc>
        <w:tc>
          <w:tcPr>
            <w:tcW w:w="1397"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表层样点数</w:t>
            </w:r>
          </w:p>
        </w:tc>
        <w:tc>
          <w:tcPr>
            <w:tcW w:w="1108" w:type="dxa"/>
            <w:gridSpan w:val="2"/>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w:t>
            </w:r>
          </w:p>
        </w:tc>
        <w:tc>
          <w:tcPr>
            <w:tcW w:w="1251"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w:t>
            </w:r>
          </w:p>
        </w:tc>
        <w:tc>
          <w:tcPr>
            <w:tcW w:w="1813" w:type="dxa"/>
            <w:gridSpan w:val="2"/>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0.2m</w:t>
            </w:r>
          </w:p>
        </w:tc>
        <w:tc>
          <w:tcPr>
            <w:tcW w:w="1017" w:type="dxa"/>
            <w:vMerge/>
            <w:tcMar>
              <w:left w:w="28" w:type="dxa"/>
              <w:right w:w="28" w:type="dxa"/>
            </w:tcMar>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387" w:type="dxa"/>
            <w:vMerge/>
            <w:tcMar>
              <w:left w:w="28" w:type="dxa"/>
              <w:right w:w="28" w:type="dxa"/>
            </w:tcMar>
            <w:vAlign w:val="center"/>
          </w:tcPr>
          <w:p w:rsidR="00525419" w:rsidRDefault="00525419">
            <w:pPr>
              <w:widowControl/>
              <w:jc w:val="center"/>
              <w:rPr>
                <w:rFonts w:ascii="Times New Roman" w:hAnsi="Times New Roman"/>
                <w:kern w:val="0"/>
                <w:szCs w:val="24"/>
              </w:rPr>
            </w:pPr>
          </w:p>
        </w:tc>
        <w:tc>
          <w:tcPr>
            <w:tcW w:w="1380" w:type="dxa"/>
            <w:vMerge/>
            <w:tcMar>
              <w:left w:w="28" w:type="dxa"/>
              <w:right w:w="28" w:type="dxa"/>
            </w:tcMar>
            <w:vAlign w:val="center"/>
          </w:tcPr>
          <w:p w:rsidR="00525419" w:rsidRDefault="00525419">
            <w:pPr>
              <w:widowControl/>
              <w:jc w:val="center"/>
              <w:rPr>
                <w:rFonts w:ascii="Times New Roman" w:hAnsi="Times New Roman"/>
                <w:kern w:val="0"/>
                <w:szCs w:val="24"/>
              </w:rPr>
            </w:pPr>
          </w:p>
        </w:tc>
        <w:tc>
          <w:tcPr>
            <w:tcW w:w="1397"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柱状样点数</w:t>
            </w:r>
          </w:p>
        </w:tc>
        <w:tc>
          <w:tcPr>
            <w:tcW w:w="1108" w:type="dxa"/>
            <w:gridSpan w:val="2"/>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w:t>
            </w:r>
          </w:p>
        </w:tc>
        <w:tc>
          <w:tcPr>
            <w:tcW w:w="1251"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w:t>
            </w:r>
          </w:p>
        </w:tc>
        <w:tc>
          <w:tcPr>
            <w:tcW w:w="1813" w:type="dxa"/>
            <w:gridSpan w:val="2"/>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0.5m</w:t>
            </w:r>
            <w:r>
              <w:rPr>
                <w:rFonts w:ascii="Times New Roman" w:hAnsi="Times New Roman"/>
                <w:kern w:val="0"/>
                <w:szCs w:val="24"/>
              </w:rPr>
              <w:t>，</w:t>
            </w:r>
            <w:r>
              <w:rPr>
                <w:rFonts w:ascii="Times New Roman" w:hAnsi="Times New Roman"/>
                <w:kern w:val="0"/>
                <w:szCs w:val="24"/>
              </w:rPr>
              <w:t>1m</w:t>
            </w:r>
            <w:r>
              <w:rPr>
                <w:rFonts w:ascii="Times New Roman" w:hAnsi="Times New Roman"/>
                <w:kern w:val="0"/>
                <w:szCs w:val="24"/>
              </w:rPr>
              <w:t>，</w:t>
            </w:r>
            <w:r>
              <w:rPr>
                <w:rFonts w:ascii="Times New Roman" w:hAnsi="Times New Roman"/>
                <w:kern w:val="0"/>
                <w:szCs w:val="24"/>
              </w:rPr>
              <w:t>1.5m</w:t>
            </w:r>
          </w:p>
        </w:tc>
        <w:tc>
          <w:tcPr>
            <w:tcW w:w="1017" w:type="dxa"/>
            <w:vMerge/>
            <w:tcMar>
              <w:left w:w="28" w:type="dxa"/>
              <w:right w:w="28" w:type="dxa"/>
            </w:tcMar>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387" w:type="dxa"/>
            <w:vMerge/>
            <w:tcMar>
              <w:left w:w="28" w:type="dxa"/>
              <w:right w:w="28" w:type="dxa"/>
            </w:tcMar>
            <w:vAlign w:val="center"/>
          </w:tcPr>
          <w:p w:rsidR="00525419" w:rsidRDefault="00525419">
            <w:pPr>
              <w:widowControl/>
              <w:jc w:val="center"/>
              <w:rPr>
                <w:rFonts w:ascii="Times New Roman" w:hAnsi="Times New Roman"/>
                <w:kern w:val="0"/>
                <w:szCs w:val="24"/>
              </w:rPr>
            </w:pPr>
          </w:p>
        </w:tc>
        <w:tc>
          <w:tcPr>
            <w:tcW w:w="1380"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现状监测因子</w:t>
            </w:r>
          </w:p>
        </w:tc>
        <w:tc>
          <w:tcPr>
            <w:tcW w:w="5569" w:type="dxa"/>
            <w:gridSpan w:val="6"/>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GB36600</w:t>
            </w:r>
            <w:r>
              <w:rPr>
                <w:rFonts w:ascii="Times New Roman" w:hAnsi="Times New Roman"/>
                <w:kern w:val="0"/>
                <w:szCs w:val="24"/>
              </w:rPr>
              <w:t>表</w:t>
            </w:r>
            <w:r>
              <w:rPr>
                <w:rFonts w:ascii="Times New Roman" w:hAnsi="Times New Roman"/>
                <w:kern w:val="0"/>
                <w:szCs w:val="24"/>
              </w:rPr>
              <w:t>1</w:t>
            </w:r>
            <w:r>
              <w:rPr>
                <w:rFonts w:ascii="Times New Roman" w:hAnsi="Times New Roman"/>
                <w:kern w:val="0"/>
                <w:szCs w:val="24"/>
              </w:rPr>
              <w:t>中的</w:t>
            </w:r>
            <w:r>
              <w:rPr>
                <w:rFonts w:ascii="Times New Roman" w:hAnsi="Times New Roman"/>
                <w:kern w:val="0"/>
                <w:szCs w:val="24"/>
              </w:rPr>
              <w:t>45</w:t>
            </w:r>
            <w:r>
              <w:rPr>
                <w:rFonts w:ascii="Times New Roman" w:hAnsi="Times New Roman"/>
                <w:kern w:val="0"/>
                <w:szCs w:val="24"/>
              </w:rPr>
              <w:t>项基本项和总石油烃。</w:t>
            </w:r>
          </w:p>
        </w:tc>
        <w:tc>
          <w:tcPr>
            <w:tcW w:w="1017" w:type="dxa"/>
            <w:tcMar>
              <w:left w:w="28" w:type="dxa"/>
              <w:right w:w="28" w:type="dxa"/>
            </w:tcMar>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387" w:type="dxa"/>
            <w:vMerge w:val="restart"/>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现状评</w:t>
            </w:r>
          </w:p>
          <w:p w:rsidR="00525419" w:rsidRDefault="00EE1CF7">
            <w:pPr>
              <w:widowControl/>
              <w:jc w:val="center"/>
              <w:rPr>
                <w:rFonts w:ascii="Times New Roman" w:hAnsi="Times New Roman"/>
                <w:kern w:val="0"/>
                <w:szCs w:val="24"/>
              </w:rPr>
            </w:pPr>
            <w:r>
              <w:rPr>
                <w:rFonts w:ascii="Times New Roman" w:hAnsi="Times New Roman"/>
                <w:kern w:val="0"/>
                <w:szCs w:val="24"/>
              </w:rPr>
              <w:t>价</w:t>
            </w:r>
          </w:p>
        </w:tc>
        <w:tc>
          <w:tcPr>
            <w:tcW w:w="1380"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评价因子</w:t>
            </w:r>
          </w:p>
        </w:tc>
        <w:tc>
          <w:tcPr>
            <w:tcW w:w="5569" w:type="dxa"/>
            <w:gridSpan w:val="6"/>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石油烃</w:t>
            </w:r>
          </w:p>
        </w:tc>
        <w:tc>
          <w:tcPr>
            <w:tcW w:w="1017" w:type="dxa"/>
            <w:tcMar>
              <w:left w:w="28" w:type="dxa"/>
              <w:right w:w="28" w:type="dxa"/>
            </w:tcMar>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387" w:type="dxa"/>
            <w:vMerge/>
            <w:tcMar>
              <w:left w:w="28" w:type="dxa"/>
              <w:right w:w="28" w:type="dxa"/>
            </w:tcMar>
            <w:vAlign w:val="center"/>
          </w:tcPr>
          <w:p w:rsidR="00525419" w:rsidRDefault="00525419">
            <w:pPr>
              <w:widowControl/>
              <w:jc w:val="center"/>
              <w:rPr>
                <w:rFonts w:ascii="Times New Roman" w:hAnsi="Times New Roman"/>
                <w:kern w:val="0"/>
                <w:szCs w:val="24"/>
              </w:rPr>
            </w:pPr>
          </w:p>
        </w:tc>
        <w:tc>
          <w:tcPr>
            <w:tcW w:w="1380"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评价标准</w:t>
            </w:r>
          </w:p>
        </w:tc>
        <w:tc>
          <w:tcPr>
            <w:tcW w:w="5569" w:type="dxa"/>
            <w:gridSpan w:val="6"/>
            <w:tcMar>
              <w:left w:w="28" w:type="dxa"/>
              <w:right w:w="28" w:type="dxa"/>
            </w:tcMar>
            <w:vAlign w:val="center"/>
          </w:tcPr>
          <w:p w:rsidR="00525419" w:rsidRDefault="00EE1CF7">
            <w:pPr>
              <w:widowControl/>
              <w:rPr>
                <w:rFonts w:ascii="Times New Roman" w:hAnsi="Times New Roman"/>
                <w:kern w:val="0"/>
                <w:szCs w:val="24"/>
              </w:rPr>
            </w:pPr>
            <w:r>
              <w:rPr>
                <w:rFonts w:ascii="Times New Roman" w:hAnsi="Times New Roman"/>
                <w:kern w:val="0"/>
                <w:szCs w:val="24"/>
              </w:rPr>
              <w:t>GB15618□</w:t>
            </w:r>
            <w:r>
              <w:rPr>
                <w:rFonts w:ascii="Times New Roman" w:hAnsi="Times New Roman"/>
                <w:kern w:val="0"/>
                <w:szCs w:val="24"/>
              </w:rPr>
              <w:t>；</w:t>
            </w:r>
            <w:r>
              <w:rPr>
                <w:rFonts w:ascii="Times New Roman" w:hAnsi="Times New Roman"/>
                <w:kern w:val="0"/>
                <w:szCs w:val="24"/>
              </w:rPr>
              <w:t>GB36600</w:t>
            </w:r>
            <w:r>
              <w:rPr>
                <w:rFonts w:ascii="Times New Roman" w:hAnsi="Times New Roman"/>
                <w:kern w:val="0"/>
                <w:szCs w:val="24"/>
              </w:rPr>
              <w:sym w:font="Wingdings 2" w:char="F052"/>
            </w:r>
            <w:r>
              <w:rPr>
                <w:rFonts w:ascii="Times New Roman" w:hAnsi="Times New Roman"/>
                <w:kern w:val="0"/>
                <w:szCs w:val="24"/>
              </w:rPr>
              <w:t>；表</w:t>
            </w:r>
            <w:r>
              <w:rPr>
                <w:rFonts w:ascii="Times New Roman" w:hAnsi="Times New Roman"/>
                <w:kern w:val="0"/>
                <w:szCs w:val="24"/>
              </w:rPr>
              <w:t>D.1□</w:t>
            </w:r>
            <w:r>
              <w:rPr>
                <w:rFonts w:ascii="Times New Roman" w:hAnsi="Times New Roman"/>
                <w:kern w:val="0"/>
                <w:szCs w:val="24"/>
              </w:rPr>
              <w:t>；表</w:t>
            </w:r>
            <w:r>
              <w:rPr>
                <w:rFonts w:ascii="Times New Roman" w:hAnsi="Times New Roman"/>
                <w:kern w:val="0"/>
                <w:szCs w:val="24"/>
              </w:rPr>
              <w:t>D.2□</w:t>
            </w:r>
            <w:r>
              <w:rPr>
                <w:rFonts w:ascii="Times New Roman" w:hAnsi="Times New Roman"/>
                <w:kern w:val="0"/>
                <w:szCs w:val="24"/>
              </w:rPr>
              <w:t>；其他（）</w:t>
            </w:r>
          </w:p>
        </w:tc>
        <w:tc>
          <w:tcPr>
            <w:tcW w:w="1017" w:type="dxa"/>
            <w:tcMar>
              <w:left w:w="28" w:type="dxa"/>
              <w:right w:w="28" w:type="dxa"/>
            </w:tcMar>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387" w:type="dxa"/>
            <w:vMerge/>
            <w:tcMar>
              <w:left w:w="28" w:type="dxa"/>
              <w:right w:w="28" w:type="dxa"/>
            </w:tcMar>
            <w:vAlign w:val="center"/>
          </w:tcPr>
          <w:p w:rsidR="00525419" w:rsidRDefault="00525419">
            <w:pPr>
              <w:widowControl/>
              <w:jc w:val="center"/>
              <w:rPr>
                <w:rFonts w:ascii="Times New Roman" w:hAnsi="Times New Roman"/>
                <w:kern w:val="0"/>
                <w:szCs w:val="24"/>
              </w:rPr>
            </w:pPr>
          </w:p>
        </w:tc>
        <w:tc>
          <w:tcPr>
            <w:tcW w:w="1380"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现状评价结论</w:t>
            </w:r>
          </w:p>
        </w:tc>
        <w:tc>
          <w:tcPr>
            <w:tcW w:w="5569" w:type="dxa"/>
            <w:gridSpan w:val="6"/>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lang w:val="zh-CN"/>
              </w:rPr>
              <w:t>各监测点土壤中的各监测因子均能满足《土壤环境质量标准</w:t>
            </w:r>
            <w:r>
              <w:rPr>
                <w:rFonts w:ascii="Times New Roman" w:hAnsi="Times New Roman"/>
                <w:kern w:val="0"/>
                <w:szCs w:val="24"/>
                <w:lang w:val="zh-CN"/>
              </w:rPr>
              <w:t xml:space="preserve"> </w:t>
            </w:r>
            <w:r>
              <w:rPr>
                <w:rFonts w:ascii="Times New Roman" w:hAnsi="Times New Roman"/>
                <w:kern w:val="0"/>
                <w:szCs w:val="24"/>
                <w:lang w:val="zh-CN"/>
              </w:rPr>
              <w:t>建设用地土壤污染风险管控标准》（</w:t>
            </w:r>
            <w:r>
              <w:rPr>
                <w:rFonts w:ascii="Times New Roman" w:hAnsi="Times New Roman"/>
                <w:kern w:val="0"/>
                <w:szCs w:val="24"/>
                <w:lang w:val="zh-CN"/>
              </w:rPr>
              <w:t>GB36600-2018</w:t>
            </w:r>
            <w:r>
              <w:rPr>
                <w:rFonts w:ascii="Times New Roman" w:hAnsi="Times New Roman"/>
                <w:kern w:val="0"/>
                <w:szCs w:val="24"/>
                <w:lang w:val="zh-CN"/>
              </w:rPr>
              <w:t>）第二类用地筛选限值</w:t>
            </w:r>
          </w:p>
        </w:tc>
        <w:tc>
          <w:tcPr>
            <w:tcW w:w="1017" w:type="dxa"/>
            <w:tcMar>
              <w:left w:w="28" w:type="dxa"/>
              <w:right w:w="28" w:type="dxa"/>
            </w:tcMar>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387" w:type="dxa"/>
            <w:vMerge w:val="restart"/>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影响预测</w:t>
            </w:r>
          </w:p>
        </w:tc>
        <w:tc>
          <w:tcPr>
            <w:tcW w:w="1380"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预测因子</w:t>
            </w:r>
          </w:p>
        </w:tc>
        <w:tc>
          <w:tcPr>
            <w:tcW w:w="5569" w:type="dxa"/>
            <w:gridSpan w:val="6"/>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石油烃</w:t>
            </w:r>
          </w:p>
        </w:tc>
        <w:tc>
          <w:tcPr>
            <w:tcW w:w="1017" w:type="dxa"/>
            <w:tcMar>
              <w:left w:w="28" w:type="dxa"/>
              <w:right w:w="28" w:type="dxa"/>
            </w:tcMar>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387" w:type="dxa"/>
            <w:vMerge/>
            <w:tcMar>
              <w:left w:w="28" w:type="dxa"/>
              <w:right w:w="28" w:type="dxa"/>
            </w:tcMar>
            <w:vAlign w:val="center"/>
          </w:tcPr>
          <w:p w:rsidR="00525419" w:rsidRDefault="00525419">
            <w:pPr>
              <w:widowControl/>
              <w:jc w:val="center"/>
              <w:rPr>
                <w:rFonts w:ascii="Times New Roman" w:hAnsi="Times New Roman"/>
                <w:kern w:val="0"/>
                <w:szCs w:val="24"/>
              </w:rPr>
            </w:pPr>
          </w:p>
        </w:tc>
        <w:tc>
          <w:tcPr>
            <w:tcW w:w="1380"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预测方法</w:t>
            </w:r>
          </w:p>
        </w:tc>
        <w:tc>
          <w:tcPr>
            <w:tcW w:w="5569" w:type="dxa"/>
            <w:gridSpan w:val="6"/>
            <w:tcMar>
              <w:left w:w="28" w:type="dxa"/>
              <w:right w:w="28" w:type="dxa"/>
            </w:tcMar>
            <w:vAlign w:val="center"/>
          </w:tcPr>
          <w:p w:rsidR="00525419" w:rsidRDefault="00EE1CF7">
            <w:pPr>
              <w:widowControl/>
              <w:rPr>
                <w:rFonts w:ascii="Times New Roman" w:hAnsi="Times New Roman"/>
                <w:kern w:val="0"/>
                <w:szCs w:val="24"/>
              </w:rPr>
            </w:pPr>
            <w:r>
              <w:rPr>
                <w:rFonts w:ascii="Times New Roman" w:hAnsi="Times New Roman"/>
                <w:kern w:val="0"/>
                <w:szCs w:val="24"/>
              </w:rPr>
              <w:t>附录</w:t>
            </w:r>
            <w:r>
              <w:rPr>
                <w:rFonts w:ascii="Times New Roman" w:hAnsi="Times New Roman"/>
                <w:kern w:val="0"/>
                <w:szCs w:val="24"/>
              </w:rPr>
              <w:t>E</w:t>
            </w:r>
            <w:r>
              <w:rPr>
                <w:rFonts w:ascii="Times New Roman" w:hAnsi="Times New Roman"/>
                <w:kern w:val="0"/>
                <w:szCs w:val="24"/>
              </w:rPr>
              <w:sym w:font="Wingdings 2" w:char="F052"/>
            </w:r>
            <w:r>
              <w:rPr>
                <w:rFonts w:ascii="Times New Roman" w:hAnsi="Times New Roman"/>
                <w:kern w:val="0"/>
                <w:szCs w:val="24"/>
              </w:rPr>
              <w:t>；附录</w:t>
            </w:r>
            <w:r>
              <w:rPr>
                <w:rFonts w:ascii="Times New Roman" w:hAnsi="Times New Roman"/>
                <w:kern w:val="0"/>
                <w:szCs w:val="24"/>
              </w:rPr>
              <w:t>F□</w:t>
            </w:r>
            <w:r>
              <w:rPr>
                <w:rFonts w:ascii="Times New Roman" w:hAnsi="Times New Roman"/>
                <w:kern w:val="0"/>
                <w:szCs w:val="24"/>
              </w:rPr>
              <w:t>；其他（</w:t>
            </w:r>
            <w:r>
              <w:rPr>
                <w:rFonts w:ascii="Times New Roman" w:hAnsi="Times New Roman"/>
                <w:kern w:val="0"/>
                <w:szCs w:val="24"/>
              </w:rPr>
              <w:tab/>
            </w:r>
            <w:r>
              <w:rPr>
                <w:rFonts w:ascii="Times New Roman" w:hAnsi="Times New Roman"/>
                <w:kern w:val="0"/>
                <w:szCs w:val="24"/>
              </w:rPr>
              <w:t>）</w:t>
            </w:r>
          </w:p>
        </w:tc>
        <w:tc>
          <w:tcPr>
            <w:tcW w:w="1017" w:type="dxa"/>
            <w:tcMar>
              <w:left w:w="28" w:type="dxa"/>
              <w:right w:w="28" w:type="dxa"/>
            </w:tcMar>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387" w:type="dxa"/>
            <w:vMerge/>
            <w:tcMar>
              <w:left w:w="28" w:type="dxa"/>
              <w:right w:w="28" w:type="dxa"/>
            </w:tcMar>
            <w:vAlign w:val="center"/>
          </w:tcPr>
          <w:p w:rsidR="00525419" w:rsidRDefault="00525419">
            <w:pPr>
              <w:widowControl/>
              <w:jc w:val="center"/>
              <w:rPr>
                <w:rFonts w:ascii="Times New Roman" w:hAnsi="Times New Roman"/>
                <w:kern w:val="0"/>
                <w:szCs w:val="24"/>
              </w:rPr>
            </w:pPr>
          </w:p>
        </w:tc>
        <w:tc>
          <w:tcPr>
            <w:tcW w:w="1380"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预测分析内容</w:t>
            </w:r>
          </w:p>
        </w:tc>
        <w:tc>
          <w:tcPr>
            <w:tcW w:w="5569" w:type="dxa"/>
            <w:gridSpan w:val="6"/>
            <w:tcMar>
              <w:left w:w="28" w:type="dxa"/>
              <w:right w:w="28" w:type="dxa"/>
            </w:tcMar>
            <w:vAlign w:val="center"/>
          </w:tcPr>
          <w:p w:rsidR="00525419" w:rsidRDefault="00EE1CF7">
            <w:pPr>
              <w:widowControl/>
              <w:rPr>
                <w:rFonts w:ascii="Times New Roman" w:hAnsi="Times New Roman"/>
                <w:kern w:val="0"/>
                <w:szCs w:val="24"/>
              </w:rPr>
            </w:pPr>
            <w:r>
              <w:rPr>
                <w:rFonts w:ascii="Times New Roman" w:hAnsi="Times New Roman"/>
                <w:kern w:val="0"/>
                <w:szCs w:val="24"/>
              </w:rPr>
              <w:t>影响范围（较小）</w:t>
            </w:r>
          </w:p>
          <w:p w:rsidR="00525419" w:rsidRDefault="00EE1CF7">
            <w:pPr>
              <w:widowControl/>
              <w:rPr>
                <w:rFonts w:ascii="Times New Roman" w:hAnsi="Times New Roman"/>
                <w:kern w:val="0"/>
                <w:szCs w:val="24"/>
              </w:rPr>
            </w:pPr>
            <w:r>
              <w:rPr>
                <w:rFonts w:ascii="Times New Roman" w:hAnsi="Times New Roman"/>
                <w:kern w:val="0"/>
                <w:szCs w:val="24"/>
              </w:rPr>
              <w:t>影响程度（较小）</w:t>
            </w:r>
          </w:p>
        </w:tc>
        <w:tc>
          <w:tcPr>
            <w:tcW w:w="1017" w:type="dxa"/>
            <w:tcMar>
              <w:left w:w="28" w:type="dxa"/>
              <w:right w:w="28" w:type="dxa"/>
            </w:tcMar>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387" w:type="dxa"/>
            <w:vMerge/>
            <w:tcMar>
              <w:left w:w="28" w:type="dxa"/>
              <w:right w:w="28" w:type="dxa"/>
            </w:tcMar>
            <w:vAlign w:val="center"/>
          </w:tcPr>
          <w:p w:rsidR="00525419" w:rsidRDefault="00525419">
            <w:pPr>
              <w:widowControl/>
              <w:jc w:val="center"/>
              <w:rPr>
                <w:rFonts w:ascii="Times New Roman" w:hAnsi="Times New Roman"/>
                <w:kern w:val="0"/>
                <w:szCs w:val="24"/>
              </w:rPr>
            </w:pPr>
          </w:p>
        </w:tc>
        <w:tc>
          <w:tcPr>
            <w:tcW w:w="1380"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预测结论</w:t>
            </w:r>
          </w:p>
        </w:tc>
        <w:tc>
          <w:tcPr>
            <w:tcW w:w="5569" w:type="dxa"/>
            <w:gridSpan w:val="6"/>
            <w:tcMar>
              <w:left w:w="28" w:type="dxa"/>
              <w:right w:w="28" w:type="dxa"/>
            </w:tcMar>
            <w:vAlign w:val="center"/>
          </w:tcPr>
          <w:p w:rsidR="00525419" w:rsidRDefault="00EE1CF7">
            <w:pPr>
              <w:widowControl/>
              <w:rPr>
                <w:rFonts w:ascii="Times New Roman" w:hAnsi="Times New Roman"/>
                <w:kern w:val="0"/>
                <w:szCs w:val="24"/>
              </w:rPr>
            </w:pPr>
            <w:r>
              <w:rPr>
                <w:rFonts w:ascii="Times New Roman" w:hAnsi="Times New Roman"/>
                <w:kern w:val="0"/>
                <w:szCs w:val="24"/>
              </w:rPr>
              <w:t>达标结论：</w:t>
            </w:r>
            <w:r>
              <w:rPr>
                <w:rFonts w:ascii="Times New Roman" w:hAnsi="Times New Roman"/>
                <w:kern w:val="0"/>
                <w:szCs w:val="24"/>
              </w:rPr>
              <w:t>a</w:t>
            </w:r>
            <w:r>
              <w:rPr>
                <w:rFonts w:ascii="Times New Roman" w:hAnsi="Times New Roman"/>
                <w:kern w:val="0"/>
                <w:szCs w:val="24"/>
              </w:rPr>
              <w:t>）</w:t>
            </w:r>
            <w:r>
              <w:rPr>
                <w:rFonts w:ascii="Times New Roman" w:hAnsi="Times New Roman"/>
                <w:kern w:val="0"/>
                <w:szCs w:val="24"/>
              </w:rPr>
              <w:sym w:font="Wingdings 2" w:char="F052"/>
            </w:r>
            <w:r>
              <w:rPr>
                <w:rFonts w:ascii="Times New Roman" w:hAnsi="Times New Roman"/>
                <w:kern w:val="0"/>
                <w:szCs w:val="24"/>
              </w:rPr>
              <w:t>；</w:t>
            </w:r>
            <w:r>
              <w:rPr>
                <w:rFonts w:ascii="Times New Roman" w:hAnsi="Times New Roman"/>
                <w:kern w:val="0"/>
                <w:szCs w:val="24"/>
              </w:rPr>
              <w:t>b</w:t>
            </w:r>
            <w:r>
              <w:rPr>
                <w:rFonts w:ascii="Times New Roman" w:hAnsi="Times New Roman"/>
                <w:kern w:val="0"/>
                <w:szCs w:val="24"/>
              </w:rPr>
              <w:t>）</w:t>
            </w:r>
            <w:r>
              <w:rPr>
                <w:rFonts w:ascii="Times New Roman" w:hAnsi="Times New Roman"/>
                <w:kern w:val="0"/>
                <w:szCs w:val="24"/>
              </w:rPr>
              <w:t>□</w:t>
            </w:r>
            <w:r>
              <w:rPr>
                <w:rFonts w:ascii="Times New Roman" w:hAnsi="Times New Roman"/>
                <w:kern w:val="0"/>
                <w:szCs w:val="24"/>
              </w:rPr>
              <w:t>；</w:t>
            </w:r>
            <w:r>
              <w:rPr>
                <w:rFonts w:ascii="Times New Roman" w:hAnsi="Times New Roman"/>
                <w:kern w:val="0"/>
                <w:szCs w:val="24"/>
              </w:rPr>
              <w:t>c</w:t>
            </w:r>
            <w:r>
              <w:rPr>
                <w:rFonts w:ascii="Times New Roman" w:hAnsi="Times New Roman"/>
                <w:kern w:val="0"/>
                <w:szCs w:val="24"/>
              </w:rPr>
              <w:t>）</w:t>
            </w:r>
            <w:r>
              <w:rPr>
                <w:rFonts w:ascii="Times New Roman" w:hAnsi="Times New Roman"/>
                <w:kern w:val="0"/>
                <w:szCs w:val="24"/>
              </w:rPr>
              <w:t>□</w:t>
            </w:r>
          </w:p>
          <w:p w:rsidR="00525419" w:rsidRDefault="00EE1CF7">
            <w:pPr>
              <w:widowControl/>
              <w:rPr>
                <w:rFonts w:ascii="Times New Roman" w:hAnsi="Times New Roman"/>
                <w:kern w:val="0"/>
                <w:szCs w:val="24"/>
              </w:rPr>
            </w:pPr>
            <w:r>
              <w:rPr>
                <w:rFonts w:ascii="Times New Roman" w:hAnsi="Times New Roman"/>
                <w:kern w:val="0"/>
                <w:szCs w:val="24"/>
              </w:rPr>
              <w:t>不达标结论：</w:t>
            </w:r>
            <w:r>
              <w:rPr>
                <w:rFonts w:ascii="Times New Roman" w:hAnsi="Times New Roman"/>
                <w:kern w:val="0"/>
                <w:szCs w:val="24"/>
              </w:rPr>
              <w:t>a</w:t>
            </w:r>
            <w:r>
              <w:rPr>
                <w:rFonts w:ascii="Times New Roman" w:hAnsi="Times New Roman"/>
                <w:kern w:val="0"/>
                <w:szCs w:val="24"/>
              </w:rPr>
              <w:t>）</w:t>
            </w:r>
            <w:r>
              <w:rPr>
                <w:rFonts w:ascii="Times New Roman" w:hAnsi="Times New Roman"/>
                <w:kern w:val="0"/>
                <w:szCs w:val="24"/>
              </w:rPr>
              <w:t>□</w:t>
            </w:r>
            <w:r>
              <w:rPr>
                <w:rFonts w:ascii="Times New Roman" w:hAnsi="Times New Roman"/>
                <w:kern w:val="0"/>
                <w:szCs w:val="24"/>
              </w:rPr>
              <w:t>；</w:t>
            </w:r>
            <w:r>
              <w:rPr>
                <w:rFonts w:ascii="Times New Roman" w:hAnsi="Times New Roman"/>
                <w:kern w:val="0"/>
                <w:szCs w:val="24"/>
              </w:rPr>
              <w:t>b</w:t>
            </w:r>
            <w:r>
              <w:rPr>
                <w:rFonts w:ascii="Times New Roman" w:hAnsi="Times New Roman"/>
                <w:kern w:val="0"/>
                <w:szCs w:val="24"/>
              </w:rPr>
              <w:t>）</w:t>
            </w:r>
            <w:r>
              <w:rPr>
                <w:rFonts w:ascii="Times New Roman" w:hAnsi="Times New Roman"/>
                <w:kern w:val="0"/>
                <w:szCs w:val="24"/>
              </w:rPr>
              <w:t>□</w:t>
            </w:r>
          </w:p>
        </w:tc>
        <w:tc>
          <w:tcPr>
            <w:tcW w:w="1017" w:type="dxa"/>
            <w:tcMar>
              <w:left w:w="28" w:type="dxa"/>
              <w:right w:w="28" w:type="dxa"/>
            </w:tcMar>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387" w:type="dxa"/>
            <w:vMerge w:val="restart"/>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防治措</w:t>
            </w:r>
          </w:p>
          <w:p w:rsidR="00525419" w:rsidRDefault="00EE1CF7">
            <w:pPr>
              <w:widowControl/>
              <w:jc w:val="center"/>
              <w:rPr>
                <w:rFonts w:ascii="Times New Roman" w:hAnsi="Times New Roman"/>
                <w:kern w:val="0"/>
                <w:szCs w:val="24"/>
              </w:rPr>
            </w:pPr>
            <w:r>
              <w:rPr>
                <w:rFonts w:ascii="Times New Roman" w:hAnsi="Times New Roman"/>
                <w:kern w:val="0"/>
                <w:szCs w:val="24"/>
              </w:rPr>
              <w:t>施</w:t>
            </w:r>
          </w:p>
        </w:tc>
        <w:tc>
          <w:tcPr>
            <w:tcW w:w="1380"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防控措施</w:t>
            </w:r>
          </w:p>
        </w:tc>
        <w:tc>
          <w:tcPr>
            <w:tcW w:w="5569" w:type="dxa"/>
            <w:gridSpan w:val="6"/>
            <w:tcMar>
              <w:left w:w="28" w:type="dxa"/>
              <w:right w:w="28" w:type="dxa"/>
            </w:tcMar>
            <w:vAlign w:val="center"/>
          </w:tcPr>
          <w:p w:rsidR="00525419" w:rsidRDefault="00EE1CF7">
            <w:pPr>
              <w:widowControl/>
              <w:rPr>
                <w:rFonts w:ascii="Times New Roman" w:hAnsi="Times New Roman"/>
                <w:kern w:val="0"/>
                <w:szCs w:val="24"/>
              </w:rPr>
            </w:pPr>
            <w:r>
              <w:rPr>
                <w:rFonts w:ascii="Times New Roman" w:hAnsi="Times New Roman"/>
                <w:kern w:val="0"/>
                <w:szCs w:val="24"/>
              </w:rPr>
              <w:t>土壤环境质量现状保障</w:t>
            </w:r>
            <w:r>
              <w:rPr>
                <w:rFonts w:ascii="Times New Roman" w:hAnsi="Times New Roman"/>
                <w:kern w:val="0"/>
                <w:szCs w:val="24"/>
              </w:rPr>
              <w:t>□</w:t>
            </w:r>
            <w:r>
              <w:rPr>
                <w:rFonts w:ascii="Times New Roman" w:hAnsi="Times New Roman"/>
                <w:kern w:val="0"/>
                <w:szCs w:val="24"/>
              </w:rPr>
              <w:t>；源头控制</w:t>
            </w:r>
            <w:r>
              <w:rPr>
                <w:rFonts w:ascii="Times New Roman" w:hAnsi="Times New Roman"/>
                <w:kern w:val="0"/>
                <w:szCs w:val="24"/>
              </w:rPr>
              <w:sym w:font="Wingdings 2" w:char="F052"/>
            </w:r>
            <w:r>
              <w:rPr>
                <w:rFonts w:ascii="Times New Roman" w:hAnsi="Times New Roman"/>
                <w:kern w:val="0"/>
                <w:szCs w:val="24"/>
              </w:rPr>
              <w:t>；过程防控</w:t>
            </w:r>
            <w:r>
              <w:rPr>
                <w:rFonts w:ascii="Times New Roman" w:hAnsi="Times New Roman"/>
                <w:kern w:val="0"/>
                <w:szCs w:val="24"/>
              </w:rPr>
              <w:sym w:font="Wingdings 2" w:char="0052"/>
            </w:r>
            <w:r>
              <w:rPr>
                <w:rFonts w:ascii="Times New Roman" w:hAnsi="Times New Roman"/>
                <w:kern w:val="0"/>
                <w:szCs w:val="24"/>
              </w:rPr>
              <w:t>；</w:t>
            </w:r>
          </w:p>
          <w:p w:rsidR="00525419" w:rsidRDefault="00EE1CF7">
            <w:pPr>
              <w:widowControl/>
              <w:rPr>
                <w:rFonts w:ascii="Times New Roman" w:hAnsi="Times New Roman"/>
                <w:kern w:val="0"/>
                <w:szCs w:val="24"/>
              </w:rPr>
            </w:pPr>
            <w:r>
              <w:rPr>
                <w:rFonts w:ascii="Times New Roman" w:hAnsi="Times New Roman"/>
                <w:kern w:val="0"/>
                <w:szCs w:val="24"/>
              </w:rPr>
              <w:t>其他（）</w:t>
            </w:r>
          </w:p>
        </w:tc>
        <w:tc>
          <w:tcPr>
            <w:tcW w:w="1017" w:type="dxa"/>
            <w:tcMar>
              <w:left w:w="28" w:type="dxa"/>
              <w:right w:w="28" w:type="dxa"/>
            </w:tcMar>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387" w:type="dxa"/>
            <w:vMerge/>
            <w:tcMar>
              <w:left w:w="28" w:type="dxa"/>
              <w:right w:w="28" w:type="dxa"/>
            </w:tcMar>
            <w:vAlign w:val="center"/>
          </w:tcPr>
          <w:p w:rsidR="00525419" w:rsidRDefault="00525419">
            <w:pPr>
              <w:widowControl/>
              <w:jc w:val="center"/>
              <w:rPr>
                <w:rFonts w:ascii="Times New Roman" w:hAnsi="Times New Roman"/>
                <w:kern w:val="0"/>
                <w:szCs w:val="24"/>
              </w:rPr>
            </w:pPr>
          </w:p>
        </w:tc>
        <w:tc>
          <w:tcPr>
            <w:tcW w:w="1380" w:type="dxa"/>
            <w:vMerge w:val="restart"/>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跟踪监测</w:t>
            </w:r>
          </w:p>
        </w:tc>
        <w:tc>
          <w:tcPr>
            <w:tcW w:w="1531" w:type="dxa"/>
            <w:gridSpan w:val="2"/>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监测点数</w:t>
            </w:r>
          </w:p>
        </w:tc>
        <w:tc>
          <w:tcPr>
            <w:tcW w:w="2783" w:type="dxa"/>
            <w:gridSpan w:val="3"/>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监测指标</w:t>
            </w:r>
          </w:p>
        </w:tc>
        <w:tc>
          <w:tcPr>
            <w:tcW w:w="1255"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监测频次</w:t>
            </w:r>
          </w:p>
        </w:tc>
        <w:tc>
          <w:tcPr>
            <w:tcW w:w="1017" w:type="dxa"/>
            <w:vMerge w:val="restart"/>
            <w:tcMar>
              <w:left w:w="28" w:type="dxa"/>
              <w:right w:w="28" w:type="dxa"/>
            </w:tcMar>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387" w:type="dxa"/>
            <w:vMerge/>
            <w:tcMar>
              <w:left w:w="28" w:type="dxa"/>
              <w:right w:w="28" w:type="dxa"/>
            </w:tcMar>
            <w:vAlign w:val="center"/>
          </w:tcPr>
          <w:p w:rsidR="00525419" w:rsidRDefault="00525419">
            <w:pPr>
              <w:widowControl/>
              <w:jc w:val="center"/>
              <w:rPr>
                <w:rFonts w:ascii="Times New Roman" w:hAnsi="Times New Roman"/>
                <w:kern w:val="0"/>
                <w:szCs w:val="24"/>
              </w:rPr>
            </w:pPr>
          </w:p>
        </w:tc>
        <w:tc>
          <w:tcPr>
            <w:tcW w:w="1380" w:type="dxa"/>
            <w:vMerge/>
            <w:tcMar>
              <w:left w:w="28" w:type="dxa"/>
              <w:right w:w="28" w:type="dxa"/>
            </w:tcMar>
            <w:vAlign w:val="center"/>
          </w:tcPr>
          <w:p w:rsidR="00525419" w:rsidRDefault="00525419">
            <w:pPr>
              <w:widowControl/>
              <w:jc w:val="center"/>
              <w:rPr>
                <w:rFonts w:ascii="Times New Roman" w:hAnsi="Times New Roman"/>
                <w:kern w:val="0"/>
                <w:szCs w:val="24"/>
              </w:rPr>
            </w:pPr>
          </w:p>
        </w:tc>
        <w:tc>
          <w:tcPr>
            <w:tcW w:w="1531" w:type="dxa"/>
            <w:gridSpan w:val="2"/>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6</w:t>
            </w:r>
            <w:r>
              <w:rPr>
                <w:rFonts w:ascii="Times New Roman" w:hAnsi="Times New Roman"/>
                <w:kern w:val="0"/>
                <w:szCs w:val="24"/>
              </w:rPr>
              <w:t>（覆盖现状监测点）</w:t>
            </w:r>
          </w:p>
        </w:tc>
        <w:tc>
          <w:tcPr>
            <w:tcW w:w="2783" w:type="dxa"/>
            <w:gridSpan w:val="3"/>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GB36600</w:t>
            </w:r>
            <w:r>
              <w:rPr>
                <w:rFonts w:ascii="Times New Roman" w:hAnsi="Times New Roman"/>
                <w:kern w:val="0"/>
                <w:szCs w:val="24"/>
              </w:rPr>
              <w:t>表</w:t>
            </w:r>
            <w:r>
              <w:rPr>
                <w:rFonts w:ascii="Times New Roman" w:hAnsi="Times New Roman"/>
                <w:kern w:val="0"/>
                <w:szCs w:val="24"/>
              </w:rPr>
              <w:t>1</w:t>
            </w:r>
            <w:r>
              <w:rPr>
                <w:rFonts w:ascii="Times New Roman" w:hAnsi="Times New Roman"/>
                <w:kern w:val="0"/>
                <w:szCs w:val="24"/>
              </w:rPr>
              <w:t>中的</w:t>
            </w:r>
            <w:r>
              <w:rPr>
                <w:rFonts w:ascii="Times New Roman" w:hAnsi="Times New Roman"/>
                <w:kern w:val="0"/>
                <w:szCs w:val="24"/>
              </w:rPr>
              <w:t>45</w:t>
            </w:r>
            <w:r>
              <w:rPr>
                <w:rFonts w:ascii="Times New Roman" w:hAnsi="Times New Roman"/>
                <w:kern w:val="0"/>
                <w:szCs w:val="24"/>
              </w:rPr>
              <w:t>项基本项和总石油烃</w:t>
            </w:r>
          </w:p>
        </w:tc>
        <w:tc>
          <w:tcPr>
            <w:tcW w:w="1255"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w:t>
            </w:r>
            <w:r>
              <w:rPr>
                <w:rFonts w:ascii="Times New Roman" w:hAnsi="Times New Roman"/>
                <w:kern w:val="0"/>
                <w:szCs w:val="24"/>
              </w:rPr>
              <w:t>次</w:t>
            </w:r>
            <w:r>
              <w:rPr>
                <w:rFonts w:ascii="Times New Roman" w:hAnsi="Times New Roman"/>
                <w:kern w:val="0"/>
                <w:szCs w:val="24"/>
              </w:rPr>
              <w:t>/5</w:t>
            </w:r>
            <w:r>
              <w:rPr>
                <w:rFonts w:ascii="Times New Roman" w:hAnsi="Times New Roman"/>
                <w:kern w:val="0"/>
                <w:szCs w:val="24"/>
              </w:rPr>
              <w:t>年</w:t>
            </w:r>
          </w:p>
        </w:tc>
        <w:tc>
          <w:tcPr>
            <w:tcW w:w="1017" w:type="dxa"/>
            <w:vMerge/>
            <w:tcMar>
              <w:left w:w="28" w:type="dxa"/>
              <w:right w:w="28" w:type="dxa"/>
            </w:tcMar>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387" w:type="dxa"/>
            <w:vMerge/>
            <w:tcMar>
              <w:left w:w="28" w:type="dxa"/>
              <w:right w:w="28" w:type="dxa"/>
            </w:tcMar>
            <w:vAlign w:val="center"/>
          </w:tcPr>
          <w:p w:rsidR="00525419" w:rsidRDefault="00525419">
            <w:pPr>
              <w:widowControl/>
              <w:jc w:val="center"/>
              <w:rPr>
                <w:rFonts w:ascii="Times New Roman" w:hAnsi="Times New Roman"/>
                <w:kern w:val="0"/>
                <w:szCs w:val="24"/>
              </w:rPr>
            </w:pPr>
          </w:p>
        </w:tc>
        <w:tc>
          <w:tcPr>
            <w:tcW w:w="1380" w:type="dxa"/>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信息公开指标</w:t>
            </w:r>
          </w:p>
        </w:tc>
        <w:tc>
          <w:tcPr>
            <w:tcW w:w="5569" w:type="dxa"/>
            <w:gridSpan w:val="6"/>
            <w:tcMar>
              <w:left w:w="28" w:type="dxa"/>
              <w:right w:w="28" w:type="dxa"/>
            </w:tcMar>
            <w:vAlign w:val="center"/>
          </w:tcPr>
          <w:p w:rsidR="00525419" w:rsidRDefault="00525419">
            <w:pPr>
              <w:widowControl/>
              <w:jc w:val="center"/>
              <w:rPr>
                <w:rFonts w:ascii="Times New Roman" w:hAnsi="Times New Roman"/>
                <w:kern w:val="0"/>
                <w:szCs w:val="24"/>
              </w:rPr>
            </w:pPr>
          </w:p>
        </w:tc>
        <w:tc>
          <w:tcPr>
            <w:tcW w:w="1017" w:type="dxa"/>
            <w:vMerge/>
            <w:tcMar>
              <w:left w:w="28" w:type="dxa"/>
              <w:right w:w="28" w:type="dxa"/>
            </w:tcMar>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1767" w:type="dxa"/>
            <w:gridSpan w:val="2"/>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评价结论</w:t>
            </w:r>
          </w:p>
        </w:tc>
        <w:tc>
          <w:tcPr>
            <w:tcW w:w="5569" w:type="dxa"/>
            <w:gridSpan w:val="6"/>
            <w:tcMar>
              <w:left w:w="28" w:type="dxa"/>
              <w:right w:w="28" w:type="dxa"/>
            </w:tcMar>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本项目对土壤环境的影响是可以接受</w:t>
            </w:r>
          </w:p>
        </w:tc>
        <w:tc>
          <w:tcPr>
            <w:tcW w:w="1017" w:type="dxa"/>
            <w:tcMar>
              <w:left w:w="28" w:type="dxa"/>
              <w:right w:w="28" w:type="dxa"/>
            </w:tcMar>
            <w:vAlign w:val="center"/>
          </w:tcPr>
          <w:p w:rsidR="00525419" w:rsidRDefault="00525419">
            <w:pPr>
              <w:widowControl/>
              <w:jc w:val="center"/>
              <w:rPr>
                <w:rFonts w:ascii="Times New Roman" w:hAnsi="Times New Roman"/>
                <w:kern w:val="0"/>
                <w:szCs w:val="24"/>
              </w:rPr>
            </w:pPr>
          </w:p>
        </w:tc>
      </w:tr>
      <w:tr w:rsidR="00525419">
        <w:trPr>
          <w:trHeight w:val="397"/>
          <w:jc w:val="center"/>
        </w:trPr>
        <w:tc>
          <w:tcPr>
            <w:tcW w:w="8353" w:type="dxa"/>
            <w:gridSpan w:val="9"/>
            <w:tcMar>
              <w:left w:w="28" w:type="dxa"/>
              <w:right w:w="28" w:type="dxa"/>
            </w:tcMar>
            <w:vAlign w:val="center"/>
          </w:tcPr>
          <w:p w:rsidR="00525419" w:rsidRDefault="00EE1CF7">
            <w:pPr>
              <w:widowControl/>
              <w:rPr>
                <w:rFonts w:ascii="Times New Roman" w:hAnsi="Times New Roman"/>
                <w:kern w:val="0"/>
                <w:szCs w:val="24"/>
              </w:rPr>
            </w:pPr>
            <w:r>
              <w:rPr>
                <w:rFonts w:ascii="Times New Roman" w:hAnsi="Times New Roman"/>
                <w:kern w:val="0"/>
                <w:szCs w:val="24"/>
              </w:rPr>
              <w:t>注</w:t>
            </w:r>
            <w:r>
              <w:rPr>
                <w:rFonts w:ascii="Times New Roman" w:hAnsi="Times New Roman"/>
                <w:kern w:val="0"/>
                <w:szCs w:val="24"/>
              </w:rPr>
              <w:t>1</w:t>
            </w:r>
            <w:r>
              <w:rPr>
                <w:rFonts w:ascii="Times New Roman" w:hAnsi="Times New Roman"/>
                <w:kern w:val="0"/>
                <w:szCs w:val="24"/>
              </w:rPr>
              <w:t>：</w:t>
            </w:r>
            <w:r>
              <w:rPr>
                <w:rFonts w:ascii="Times New Roman" w:hAnsi="Times New Roman"/>
                <w:kern w:val="0"/>
                <w:szCs w:val="24"/>
              </w:rPr>
              <w:t>“□”</w:t>
            </w:r>
            <w:r>
              <w:rPr>
                <w:rFonts w:ascii="Times New Roman" w:hAnsi="Times New Roman"/>
                <w:kern w:val="0"/>
                <w:szCs w:val="24"/>
              </w:rPr>
              <w:t>为勾选项，可</w:t>
            </w:r>
            <w:r>
              <w:rPr>
                <w:rFonts w:ascii="Times New Roman" w:hAnsi="Times New Roman"/>
                <w:kern w:val="0"/>
                <w:szCs w:val="24"/>
              </w:rPr>
              <w:t>√</w:t>
            </w:r>
            <w:r>
              <w:rPr>
                <w:rFonts w:ascii="Times New Roman" w:hAnsi="Times New Roman"/>
                <w:kern w:val="0"/>
                <w:szCs w:val="24"/>
              </w:rPr>
              <w:t>；</w:t>
            </w:r>
            <w:r>
              <w:rPr>
                <w:rFonts w:ascii="Times New Roman" w:hAnsi="Times New Roman"/>
                <w:kern w:val="0"/>
                <w:szCs w:val="24"/>
              </w:rPr>
              <w:t>“</w:t>
            </w:r>
            <w:r>
              <w:rPr>
                <w:rFonts w:ascii="Times New Roman" w:hAnsi="Times New Roman"/>
                <w:kern w:val="0"/>
                <w:szCs w:val="24"/>
              </w:rPr>
              <w:t>（</w:t>
            </w:r>
            <w:r>
              <w:rPr>
                <w:rFonts w:ascii="Times New Roman" w:hAnsi="Times New Roman"/>
                <w:kern w:val="0"/>
                <w:szCs w:val="24"/>
              </w:rPr>
              <w:t xml:space="preserve"> </w:t>
            </w:r>
            <w:r>
              <w:rPr>
                <w:rFonts w:ascii="Times New Roman" w:hAnsi="Times New Roman"/>
                <w:kern w:val="0"/>
                <w:szCs w:val="24"/>
              </w:rPr>
              <w:t>）</w:t>
            </w:r>
            <w:r>
              <w:rPr>
                <w:rFonts w:ascii="Times New Roman" w:hAnsi="Times New Roman"/>
                <w:kern w:val="0"/>
                <w:szCs w:val="24"/>
              </w:rPr>
              <w:t>”</w:t>
            </w:r>
            <w:r>
              <w:rPr>
                <w:rFonts w:ascii="Times New Roman" w:hAnsi="Times New Roman"/>
                <w:kern w:val="0"/>
                <w:szCs w:val="24"/>
              </w:rPr>
              <w:t>为内容填写项；</w:t>
            </w:r>
            <w:r>
              <w:rPr>
                <w:rFonts w:ascii="Times New Roman" w:hAnsi="Times New Roman"/>
                <w:kern w:val="0"/>
                <w:szCs w:val="24"/>
              </w:rPr>
              <w:t>“</w:t>
            </w:r>
            <w:r>
              <w:rPr>
                <w:rFonts w:ascii="Times New Roman" w:hAnsi="Times New Roman"/>
                <w:kern w:val="0"/>
                <w:szCs w:val="24"/>
              </w:rPr>
              <w:t>备注</w:t>
            </w:r>
            <w:r>
              <w:rPr>
                <w:rFonts w:ascii="Times New Roman" w:hAnsi="Times New Roman"/>
                <w:kern w:val="0"/>
                <w:szCs w:val="24"/>
              </w:rPr>
              <w:t>”</w:t>
            </w:r>
            <w:r>
              <w:rPr>
                <w:rFonts w:ascii="Times New Roman" w:hAnsi="Times New Roman"/>
                <w:kern w:val="0"/>
                <w:szCs w:val="24"/>
              </w:rPr>
              <w:t>为其他补充内容。</w:t>
            </w:r>
          </w:p>
          <w:p w:rsidR="00525419" w:rsidRDefault="00EE1CF7">
            <w:pPr>
              <w:widowControl/>
              <w:rPr>
                <w:rFonts w:ascii="Times New Roman" w:hAnsi="Times New Roman"/>
                <w:kern w:val="0"/>
                <w:szCs w:val="24"/>
              </w:rPr>
            </w:pPr>
            <w:r>
              <w:rPr>
                <w:rFonts w:ascii="Times New Roman" w:hAnsi="Times New Roman"/>
                <w:kern w:val="0"/>
                <w:szCs w:val="24"/>
              </w:rPr>
              <w:t>注</w:t>
            </w:r>
            <w:r>
              <w:rPr>
                <w:rFonts w:ascii="Times New Roman" w:hAnsi="Times New Roman"/>
                <w:kern w:val="0"/>
                <w:szCs w:val="24"/>
              </w:rPr>
              <w:t>2</w:t>
            </w:r>
            <w:r>
              <w:rPr>
                <w:rFonts w:ascii="Times New Roman" w:hAnsi="Times New Roman"/>
                <w:kern w:val="0"/>
                <w:szCs w:val="24"/>
              </w:rPr>
              <w:t>：需要分别开展土壤环境影响评级工作的，分别填写自查表。</w:t>
            </w:r>
          </w:p>
        </w:tc>
      </w:tr>
    </w:tbl>
    <w:p w:rsidR="00525419" w:rsidRDefault="00EE1CF7" w:rsidP="00EE1CF7">
      <w:pPr>
        <w:pStyle w:val="2a"/>
        <w:spacing w:beforeLines="50" w:before="166" w:after="166"/>
        <w:ind w:left="578" w:hanging="578"/>
        <w:rPr>
          <w:rFonts w:ascii="Times New Roman" w:eastAsia="楷体_GB2312" w:hAnsi="Times New Roman"/>
          <w:sz w:val="36"/>
        </w:rPr>
      </w:pPr>
      <w:bookmarkStart w:id="167" w:name="_Toc32416"/>
      <w:r>
        <w:rPr>
          <w:rFonts w:ascii="Times New Roman" w:eastAsia="楷体_GB2312" w:hAnsi="Times New Roman"/>
          <w:sz w:val="36"/>
        </w:rPr>
        <w:t>5.6</w:t>
      </w:r>
      <w:r>
        <w:rPr>
          <w:rFonts w:ascii="Times New Roman" w:eastAsia="楷体_GB2312" w:hAnsi="Times New Roman"/>
          <w:sz w:val="36"/>
        </w:rPr>
        <w:t>环境风险</w:t>
      </w:r>
      <w:bookmarkEnd w:id="166"/>
      <w:r>
        <w:rPr>
          <w:rFonts w:ascii="Times New Roman" w:eastAsia="楷体_GB2312" w:hAnsi="Times New Roman"/>
          <w:sz w:val="36"/>
        </w:rPr>
        <w:t>评价</w:t>
      </w:r>
      <w:bookmarkEnd w:id="167"/>
    </w:p>
    <w:p w:rsidR="00525419" w:rsidRDefault="00EE1CF7" w:rsidP="00EE1CF7">
      <w:pPr>
        <w:pStyle w:val="3a"/>
        <w:spacing w:beforeLines="50" w:before="166" w:after="156" w:line="360" w:lineRule="auto"/>
        <w:jc w:val="left"/>
        <w:rPr>
          <w:rFonts w:ascii="Times New Roman" w:eastAsia="华文楷体" w:hAnsi="Times New Roman"/>
        </w:rPr>
      </w:pPr>
      <w:bookmarkStart w:id="168" w:name="_Toc197837922"/>
      <w:bookmarkStart w:id="169" w:name="_Toc171143782"/>
      <w:bookmarkStart w:id="170" w:name="_Toc167947989"/>
      <w:bookmarkStart w:id="171" w:name="_Toc262805648"/>
      <w:bookmarkStart w:id="172" w:name="_Toc227490574"/>
      <w:bookmarkStart w:id="173" w:name="_Toc363496061"/>
      <w:bookmarkStart w:id="174" w:name="_Toc305921721"/>
      <w:bookmarkStart w:id="175" w:name="_Toc189393147"/>
      <w:bookmarkStart w:id="176" w:name="_Toc194309199"/>
      <w:bookmarkStart w:id="177" w:name="_Toc224721269"/>
      <w:bookmarkStart w:id="178" w:name="_Toc322967122"/>
      <w:bookmarkStart w:id="179" w:name="_Toc192576799"/>
      <w:bookmarkStart w:id="180" w:name="_Toc173501704"/>
      <w:bookmarkStart w:id="181" w:name="_Toc335165114"/>
      <w:bookmarkStart w:id="182" w:name="_Toc279673227"/>
      <w:bookmarkStart w:id="183" w:name="_Toc388894068"/>
      <w:r>
        <w:rPr>
          <w:rFonts w:ascii="Times New Roman" w:eastAsia="华文楷体" w:hAnsi="Times New Roman"/>
        </w:rPr>
        <w:t xml:space="preserve">5.6.1 </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Pr>
          <w:rFonts w:ascii="Times New Roman" w:eastAsia="华文楷体" w:hAnsi="Times New Roman"/>
        </w:rPr>
        <w:t>风险调查</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5.6.1.1</w:t>
      </w:r>
      <w:r>
        <w:rPr>
          <w:rFonts w:ascii="Times New Roman" w:hAnsi="Times New Roman" w:cs="Times New Roman"/>
          <w:kern w:val="44"/>
          <w:sz w:val="24"/>
          <w:szCs w:val="24"/>
        </w:rPr>
        <w:t>评价工作程序</w:t>
      </w:r>
    </w:p>
    <w:p w:rsidR="00525419" w:rsidRDefault="00EE1CF7">
      <w:pPr>
        <w:autoSpaceDE w:val="0"/>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根据《建设项目环境风险评价技术导则》（</w:t>
      </w:r>
      <w:r>
        <w:rPr>
          <w:rFonts w:ascii="Times New Roman" w:hAnsi="Times New Roman"/>
          <w:kern w:val="0"/>
          <w:sz w:val="24"/>
          <w:szCs w:val="24"/>
        </w:rPr>
        <w:t>HJ/T169-2018</w:t>
      </w:r>
      <w:r>
        <w:rPr>
          <w:rFonts w:ascii="Times New Roman" w:hAnsi="Times New Roman"/>
          <w:kern w:val="0"/>
          <w:sz w:val="24"/>
          <w:szCs w:val="24"/>
        </w:rPr>
        <w:t>）和国家环境保护总局《关于防范环境风险加强环境影响评价管理的通知》，项目实施后环境风险评价的基本内容包括风险调查、环境风险潜势初判、风险识别、风险事故情形分析、风险预测与评价、环境风险管理等，其具体如下：</w:t>
      </w:r>
    </w:p>
    <w:p w:rsidR="00525419" w:rsidRDefault="00EE1CF7">
      <w:pPr>
        <w:autoSpaceDE w:val="0"/>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）项目风险调查。在分析建设项目物质及工艺系统危险性和环境敏感性的基础下，进行风险潜势的判断，确定风险评价等级。</w:t>
      </w:r>
      <w:r>
        <w:rPr>
          <w:rFonts w:ascii="Times New Roman" w:hAnsi="Times New Roman"/>
          <w:kern w:val="0"/>
          <w:sz w:val="24"/>
          <w:szCs w:val="24"/>
        </w:rPr>
        <w:t xml:space="preserve"> </w:t>
      </w:r>
    </w:p>
    <w:p w:rsidR="00525419" w:rsidRDefault="00EE1CF7">
      <w:pPr>
        <w:autoSpaceDE w:val="0"/>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2</w:t>
      </w:r>
      <w:r>
        <w:rPr>
          <w:rFonts w:ascii="Times New Roman" w:hAnsi="Times New Roman"/>
          <w:kern w:val="0"/>
          <w:sz w:val="24"/>
          <w:szCs w:val="24"/>
        </w:rPr>
        <w:t>）项目风险识别及风险事故情形分析。明确危险物质在生产系统中的主要分布，筛选具有代表性的风险事故情形，合理设定事故源项。</w:t>
      </w:r>
      <w:r>
        <w:rPr>
          <w:rFonts w:ascii="Times New Roman" w:hAnsi="Times New Roman"/>
          <w:kern w:val="0"/>
          <w:sz w:val="24"/>
          <w:szCs w:val="24"/>
        </w:rPr>
        <w:t xml:space="preserve"> </w:t>
      </w:r>
    </w:p>
    <w:p w:rsidR="00525419" w:rsidRDefault="00EE1CF7">
      <w:pPr>
        <w:autoSpaceDE w:val="0"/>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3</w:t>
      </w:r>
      <w:r>
        <w:rPr>
          <w:rFonts w:ascii="Times New Roman" w:hAnsi="Times New Roman"/>
          <w:kern w:val="0"/>
          <w:sz w:val="24"/>
          <w:szCs w:val="24"/>
        </w:rPr>
        <w:t>）开展预测评价。各环境要素按确定的评价工作等级分别预测评价，并分析说明环境风险危害范围与程度，提出环境风险防范的基本要求。</w:t>
      </w:r>
      <w:r>
        <w:rPr>
          <w:rFonts w:ascii="Times New Roman" w:hAnsi="Times New Roman"/>
          <w:kern w:val="0"/>
          <w:sz w:val="24"/>
          <w:szCs w:val="24"/>
        </w:rPr>
        <w:t xml:space="preserve"> </w:t>
      </w:r>
    </w:p>
    <w:p w:rsidR="00525419" w:rsidRDefault="00EE1CF7">
      <w:pPr>
        <w:autoSpaceDE w:val="0"/>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4</w:t>
      </w:r>
      <w:r>
        <w:rPr>
          <w:rFonts w:ascii="Times New Roman" w:hAnsi="Times New Roman"/>
          <w:kern w:val="0"/>
          <w:sz w:val="24"/>
          <w:szCs w:val="24"/>
        </w:rPr>
        <w:t>）提出环境风险管理对策，明确环境风险防范措施及突发环境事件应急预案编制要求。</w:t>
      </w:r>
      <w:r>
        <w:rPr>
          <w:rFonts w:ascii="Times New Roman" w:hAnsi="Times New Roman"/>
          <w:kern w:val="0"/>
          <w:sz w:val="24"/>
          <w:szCs w:val="24"/>
        </w:rPr>
        <w:t xml:space="preserve"> </w:t>
      </w:r>
    </w:p>
    <w:p w:rsidR="00525419" w:rsidRDefault="00EE1CF7">
      <w:pPr>
        <w:autoSpaceDE w:val="0"/>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5</w:t>
      </w:r>
      <w:r>
        <w:rPr>
          <w:rFonts w:ascii="Times New Roman" w:hAnsi="Times New Roman"/>
          <w:kern w:val="0"/>
          <w:sz w:val="24"/>
          <w:szCs w:val="24"/>
        </w:rPr>
        <w:t>）综合环境风险评价过程，给出评价结论与建议。</w:t>
      </w:r>
    </w:p>
    <w:p w:rsidR="00525419" w:rsidRDefault="00EE1CF7">
      <w:pPr>
        <w:autoSpaceDE w:val="0"/>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rsidR="00525419" w:rsidRDefault="00EE1CF7">
      <w:pPr>
        <w:autoSpaceDE w:val="0"/>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lastRenderedPageBreak/>
        <w:t>其评价工作流程见图</w:t>
      </w:r>
      <w:r>
        <w:rPr>
          <w:rFonts w:ascii="Times New Roman" w:hAnsi="Times New Roman"/>
          <w:kern w:val="0"/>
          <w:sz w:val="24"/>
          <w:szCs w:val="24"/>
        </w:rPr>
        <w:t>5.6-1</w:t>
      </w:r>
      <w:r>
        <w:rPr>
          <w:rFonts w:ascii="Times New Roman" w:hAnsi="Times New Roman"/>
          <w:kern w:val="0"/>
          <w:sz w:val="24"/>
          <w:szCs w:val="24"/>
        </w:rPr>
        <w:t>。</w:t>
      </w:r>
    </w:p>
    <w:p w:rsidR="00525419" w:rsidRDefault="00EE1CF7">
      <w:pPr>
        <w:pStyle w:val="afffffffffffffffffffffffffffffffffff1"/>
        <w:rPr>
          <w:rFonts w:ascii="Times New Roman" w:hAnsi="Times New Roman"/>
        </w:rPr>
      </w:pPr>
      <w:r>
        <w:rPr>
          <w:rFonts w:ascii="Times New Roman" w:hAnsi="Times New Roman"/>
          <w:noProof/>
        </w:rPr>
        <w:drawing>
          <wp:inline distT="0" distB="0" distL="114300" distR="114300">
            <wp:extent cx="4004310" cy="4678045"/>
            <wp:effectExtent l="0" t="0" r="15240" b="8255"/>
            <wp:docPr id="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1"/>
                    <pic:cNvPicPr>
                      <a:picLocks noChangeAspect="1"/>
                    </pic:cNvPicPr>
                  </pic:nvPicPr>
                  <pic:blipFill>
                    <a:blip r:embed="rId39"/>
                    <a:stretch>
                      <a:fillRect/>
                    </a:stretch>
                  </pic:blipFill>
                  <pic:spPr>
                    <a:xfrm>
                      <a:off x="0" y="0"/>
                      <a:ext cx="4004310" cy="4678045"/>
                    </a:xfrm>
                    <a:prstGeom prst="rect">
                      <a:avLst/>
                    </a:prstGeom>
                    <a:noFill/>
                    <a:ln>
                      <a:noFill/>
                    </a:ln>
                  </pic:spPr>
                </pic:pic>
              </a:graphicData>
            </a:graphic>
          </wp:inline>
        </w:drawing>
      </w:r>
    </w:p>
    <w:p w:rsidR="00525419" w:rsidRDefault="00EE1CF7">
      <w:pPr>
        <w:pStyle w:val="afffffffffffffffffffffffffffffffffff1"/>
        <w:rPr>
          <w:rFonts w:ascii="Times New Roman" w:eastAsiaTheme="minorEastAsia" w:hAnsi="Times New Roman"/>
          <w:kern w:val="44"/>
        </w:rPr>
      </w:pPr>
      <w:r>
        <w:rPr>
          <w:rFonts w:ascii="Times New Roman" w:eastAsiaTheme="minorEastAsia" w:hAnsi="Times New Roman"/>
          <w:szCs w:val="20"/>
        </w:rPr>
        <w:t>图</w:t>
      </w:r>
      <w:r>
        <w:rPr>
          <w:rFonts w:ascii="Times New Roman" w:eastAsiaTheme="minorEastAsia" w:hAnsi="Times New Roman"/>
          <w:szCs w:val="20"/>
        </w:rPr>
        <w:t xml:space="preserve">5.6-1   </w:t>
      </w:r>
      <w:r>
        <w:rPr>
          <w:rFonts w:ascii="Times New Roman" w:eastAsiaTheme="minorEastAsia" w:hAnsi="Times New Roman"/>
          <w:szCs w:val="20"/>
        </w:rPr>
        <w:t>风险评价工作流程图</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5.6.1.2</w:t>
      </w:r>
      <w:r>
        <w:rPr>
          <w:rFonts w:ascii="Times New Roman" w:hAnsi="Times New Roman" w:cs="Times New Roman"/>
          <w:kern w:val="44"/>
          <w:sz w:val="24"/>
          <w:szCs w:val="24"/>
        </w:rPr>
        <w:t>建设项目风险源调查</w:t>
      </w:r>
    </w:p>
    <w:p w:rsidR="00525419" w:rsidRDefault="00EE1CF7">
      <w:pPr>
        <w:spacing w:line="440" w:lineRule="exact"/>
        <w:ind w:firstLineChars="200" w:firstLine="480"/>
        <w:rPr>
          <w:rFonts w:ascii="Times New Roman" w:hAnsi="Times New Roman"/>
          <w:sz w:val="24"/>
        </w:rPr>
      </w:pPr>
      <w:r>
        <w:rPr>
          <w:rFonts w:ascii="Times New Roman" w:hAnsi="Times New Roman"/>
          <w:sz w:val="24"/>
        </w:rPr>
        <w:t>根据工程分析，本项目的风险源为原料及产品罐区、生产装置区。</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5.6.1.3</w:t>
      </w:r>
      <w:r>
        <w:rPr>
          <w:rFonts w:ascii="Times New Roman" w:hAnsi="Times New Roman" w:cs="Times New Roman"/>
          <w:kern w:val="44"/>
          <w:sz w:val="24"/>
          <w:szCs w:val="24"/>
        </w:rPr>
        <w:t>环境敏感目标调查</w:t>
      </w:r>
    </w:p>
    <w:p w:rsidR="00525419" w:rsidRDefault="00EE1CF7">
      <w:pPr>
        <w:autoSpaceDE w:val="0"/>
        <w:autoSpaceDN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根据项目涉及的危险物质可能的影响途径和所在区域的实际环境特点，其敏感目标的分布见表</w:t>
      </w:r>
      <w:r>
        <w:rPr>
          <w:rFonts w:ascii="Times New Roman" w:hAnsi="Times New Roman"/>
          <w:kern w:val="0"/>
          <w:sz w:val="24"/>
          <w:szCs w:val="24"/>
        </w:rPr>
        <w:t>5.6-1</w:t>
      </w:r>
      <w:r>
        <w:rPr>
          <w:rFonts w:ascii="Times New Roman" w:hAnsi="Times New Roman"/>
          <w:kern w:val="0"/>
          <w:sz w:val="24"/>
          <w:szCs w:val="24"/>
        </w:rPr>
        <w:t>。</w:t>
      </w:r>
    </w:p>
    <w:p w:rsidR="00525419" w:rsidRDefault="00EE1CF7">
      <w:pPr>
        <w:ind w:firstLineChars="1100" w:firstLine="2310"/>
        <w:rPr>
          <w:rFonts w:ascii="Times New Roman" w:eastAsia="黑体" w:hAnsi="Times New Roman"/>
        </w:rPr>
      </w:pPr>
      <w:r>
        <w:rPr>
          <w:rFonts w:ascii="Times New Roman" w:eastAsia="黑体" w:hAnsi="Times New Roman"/>
        </w:rPr>
        <w:t>表</w:t>
      </w:r>
      <w:r>
        <w:rPr>
          <w:rFonts w:ascii="Times New Roman" w:eastAsia="黑体" w:hAnsi="Times New Roman"/>
        </w:rPr>
        <w:t xml:space="preserve">5.6-1   </w:t>
      </w:r>
      <w:r>
        <w:rPr>
          <w:rFonts w:ascii="Times New Roman" w:eastAsia="黑体" w:hAnsi="Times New Roman"/>
        </w:rPr>
        <w:t>环境风险敏感保护目标一览表</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130"/>
        <w:gridCol w:w="1806"/>
        <w:gridCol w:w="2455"/>
        <w:gridCol w:w="2131"/>
      </w:tblGrid>
      <w:tr w:rsidR="00525419">
        <w:trPr>
          <w:trHeight w:val="397"/>
          <w:jc w:val="center"/>
        </w:trPr>
        <w:tc>
          <w:tcPr>
            <w:tcW w:w="2130" w:type="dxa"/>
            <w:vAlign w:val="center"/>
          </w:tcPr>
          <w:p w:rsidR="00525419" w:rsidRDefault="00EE1CF7">
            <w:pPr>
              <w:pStyle w:val="B2"/>
              <w:rPr>
                <w:rFonts w:cs="Times New Roman"/>
              </w:rPr>
            </w:pPr>
            <w:r>
              <w:rPr>
                <w:rFonts w:cs="Times New Roman"/>
              </w:rPr>
              <w:t>敏感点</w:t>
            </w:r>
          </w:p>
        </w:tc>
        <w:tc>
          <w:tcPr>
            <w:tcW w:w="1806" w:type="dxa"/>
            <w:vAlign w:val="center"/>
          </w:tcPr>
          <w:p w:rsidR="00525419" w:rsidRDefault="00EE1CF7">
            <w:pPr>
              <w:pStyle w:val="B2"/>
              <w:rPr>
                <w:rFonts w:cs="Times New Roman"/>
              </w:rPr>
            </w:pPr>
            <w:r>
              <w:rPr>
                <w:rFonts w:cs="Times New Roman"/>
              </w:rPr>
              <w:t>与项目区方位</w:t>
            </w:r>
          </w:p>
        </w:tc>
        <w:tc>
          <w:tcPr>
            <w:tcW w:w="2455" w:type="dxa"/>
            <w:vAlign w:val="center"/>
          </w:tcPr>
          <w:p w:rsidR="00525419" w:rsidRDefault="00EE1CF7">
            <w:pPr>
              <w:pStyle w:val="B2"/>
              <w:rPr>
                <w:rFonts w:cs="Times New Roman"/>
              </w:rPr>
            </w:pPr>
            <w:r>
              <w:rPr>
                <w:rFonts w:cs="Times New Roman"/>
              </w:rPr>
              <w:t>与建设项目装置区距离</w:t>
            </w:r>
          </w:p>
        </w:tc>
        <w:tc>
          <w:tcPr>
            <w:tcW w:w="2131" w:type="dxa"/>
            <w:vAlign w:val="center"/>
          </w:tcPr>
          <w:p w:rsidR="00525419" w:rsidRDefault="00EE1CF7">
            <w:pPr>
              <w:pStyle w:val="B2"/>
              <w:rPr>
                <w:rFonts w:cs="Times New Roman"/>
              </w:rPr>
            </w:pPr>
            <w:r>
              <w:rPr>
                <w:rFonts w:cs="Times New Roman"/>
              </w:rPr>
              <w:t>备注</w:t>
            </w:r>
          </w:p>
        </w:tc>
      </w:tr>
      <w:tr w:rsidR="00525419">
        <w:trPr>
          <w:trHeight w:val="397"/>
          <w:jc w:val="center"/>
        </w:trPr>
        <w:tc>
          <w:tcPr>
            <w:tcW w:w="2130" w:type="dxa"/>
            <w:vAlign w:val="center"/>
          </w:tcPr>
          <w:p w:rsidR="00525419" w:rsidRDefault="00EE1CF7">
            <w:pPr>
              <w:pStyle w:val="B2"/>
              <w:rPr>
                <w:rFonts w:cs="Times New Roman"/>
              </w:rPr>
            </w:pPr>
            <w:r>
              <w:rPr>
                <w:rFonts w:cs="Times New Roman"/>
                <w:bCs/>
              </w:rPr>
              <w:t>鄯善火车站</w:t>
            </w:r>
          </w:p>
        </w:tc>
        <w:tc>
          <w:tcPr>
            <w:tcW w:w="1806" w:type="dxa"/>
            <w:vAlign w:val="center"/>
          </w:tcPr>
          <w:p w:rsidR="00525419" w:rsidRDefault="00EE1CF7">
            <w:pPr>
              <w:pStyle w:val="B2"/>
              <w:rPr>
                <w:rFonts w:cs="Times New Roman"/>
                <w:lang w:val="zh-CN"/>
              </w:rPr>
            </w:pPr>
            <w:r>
              <w:rPr>
                <w:rFonts w:cs="Times New Roman"/>
                <w:lang w:val="zh-CN"/>
              </w:rPr>
              <w:t>东北</w:t>
            </w:r>
          </w:p>
        </w:tc>
        <w:tc>
          <w:tcPr>
            <w:tcW w:w="2455" w:type="dxa"/>
            <w:vAlign w:val="center"/>
          </w:tcPr>
          <w:p w:rsidR="00525419" w:rsidRDefault="00EE1CF7">
            <w:pPr>
              <w:pStyle w:val="B2"/>
              <w:rPr>
                <w:rFonts w:cs="Times New Roman"/>
                <w:lang w:val="zh-CN"/>
              </w:rPr>
            </w:pPr>
            <w:r>
              <w:rPr>
                <w:rFonts w:cs="Times New Roman"/>
              </w:rPr>
              <w:t>4.2</w:t>
            </w:r>
            <w:r>
              <w:rPr>
                <w:rFonts w:cs="Times New Roman"/>
                <w:lang w:val="zh-CN"/>
              </w:rPr>
              <w:t>km</w:t>
            </w:r>
          </w:p>
        </w:tc>
        <w:tc>
          <w:tcPr>
            <w:tcW w:w="2131" w:type="dxa"/>
            <w:vAlign w:val="center"/>
          </w:tcPr>
          <w:p w:rsidR="00525419" w:rsidRDefault="00EE1CF7">
            <w:pPr>
              <w:pStyle w:val="B2"/>
              <w:rPr>
                <w:rFonts w:cs="Times New Roman"/>
                <w:lang w:val="zh-CN"/>
              </w:rPr>
            </w:pPr>
            <w:r>
              <w:rPr>
                <w:rFonts w:cs="Times New Roman"/>
                <w:lang w:val="zh-CN"/>
              </w:rPr>
              <w:t>人群聚居区</w:t>
            </w:r>
          </w:p>
        </w:tc>
      </w:tr>
      <w:tr w:rsidR="00525419">
        <w:trPr>
          <w:trHeight w:val="397"/>
          <w:jc w:val="center"/>
        </w:trPr>
        <w:tc>
          <w:tcPr>
            <w:tcW w:w="2130" w:type="dxa"/>
            <w:vAlign w:val="center"/>
          </w:tcPr>
          <w:p w:rsidR="00525419" w:rsidRDefault="00EE1CF7">
            <w:pPr>
              <w:pStyle w:val="B2"/>
              <w:rPr>
                <w:rFonts w:cs="Times New Roman"/>
                <w:bCs/>
              </w:rPr>
            </w:pPr>
            <w:r>
              <w:rPr>
                <w:rFonts w:cs="Times New Roman"/>
                <w:bCs/>
              </w:rPr>
              <w:t>火车站镇</w:t>
            </w:r>
          </w:p>
        </w:tc>
        <w:tc>
          <w:tcPr>
            <w:tcW w:w="1806" w:type="dxa"/>
            <w:vAlign w:val="center"/>
          </w:tcPr>
          <w:p w:rsidR="00525419" w:rsidRDefault="00EE1CF7">
            <w:pPr>
              <w:pStyle w:val="B2"/>
              <w:rPr>
                <w:rFonts w:cs="Times New Roman"/>
                <w:lang w:val="zh-CN"/>
              </w:rPr>
            </w:pPr>
            <w:r>
              <w:rPr>
                <w:rFonts w:cs="Times New Roman"/>
                <w:lang w:val="zh-CN"/>
              </w:rPr>
              <w:t>东北</w:t>
            </w:r>
          </w:p>
        </w:tc>
        <w:tc>
          <w:tcPr>
            <w:tcW w:w="2455" w:type="dxa"/>
            <w:vAlign w:val="center"/>
          </w:tcPr>
          <w:p w:rsidR="00525419" w:rsidRDefault="00EE1CF7">
            <w:pPr>
              <w:pStyle w:val="B2"/>
              <w:rPr>
                <w:rFonts w:cs="Times New Roman"/>
                <w:lang w:val="zh-CN"/>
              </w:rPr>
            </w:pPr>
            <w:r>
              <w:rPr>
                <w:rFonts w:cs="Times New Roman"/>
              </w:rPr>
              <w:t>2.5</w:t>
            </w:r>
            <w:r>
              <w:rPr>
                <w:rFonts w:cs="Times New Roman"/>
                <w:lang w:val="zh-CN"/>
              </w:rPr>
              <w:t>km</w:t>
            </w:r>
          </w:p>
        </w:tc>
        <w:tc>
          <w:tcPr>
            <w:tcW w:w="2131" w:type="dxa"/>
            <w:vAlign w:val="center"/>
          </w:tcPr>
          <w:p w:rsidR="00525419" w:rsidRDefault="00EE1CF7">
            <w:pPr>
              <w:pStyle w:val="B2"/>
              <w:rPr>
                <w:rFonts w:cs="Times New Roman"/>
                <w:lang w:val="zh-CN"/>
              </w:rPr>
            </w:pPr>
            <w:r>
              <w:rPr>
                <w:rFonts w:cs="Times New Roman"/>
                <w:lang w:val="zh-CN"/>
              </w:rPr>
              <w:t>人群聚居区</w:t>
            </w:r>
          </w:p>
        </w:tc>
      </w:tr>
    </w:tbl>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lastRenderedPageBreak/>
        <w:t>5.6.1.4</w:t>
      </w:r>
      <w:r>
        <w:rPr>
          <w:rFonts w:ascii="Times New Roman" w:hAnsi="Times New Roman" w:cs="Times New Roman"/>
          <w:kern w:val="44"/>
          <w:sz w:val="24"/>
          <w:szCs w:val="24"/>
        </w:rPr>
        <w:t>风险潜势初判</w:t>
      </w:r>
    </w:p>
    <w:p w:rsidR="00525419" w:rsidRDefault="00EE1CF7">
      <w:pPr>
        <w:spacing w:line="440" w:lineRule="exact"/>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）环境风险潜势划分</w:t>
      </w:r>
    </w:p>
    <w:p w:rsidR="00525419" w:rsidRDefault="00EE1CF7">
      <w:pPr>
        <w:spacing w:line="440" w:lineRule="exact"/>
        <w:ind w:firstLineChars="200" w:firstLine="480"/>
        <w:rPr>
          <w:rFonts w:ascii="Times New Roman" w:hAnsi="Times New Roman"/>
          <w:sz w:val="24"/>
        </w:rPr>
      </w:pPr>
      <w:r>
        <w:rPr>
          <w:rFonts w:ascii="Times New Roman" w:hAnsi="Times New Roman"/>
          <w:sz w:val="24"/>
        </w:rPr>
        <w:t>根据《建设项目环境风险评价技术导则》（</w:t>
      </w:r>
      <w:r>
        <w:rPr>
          <w:rFonts w:ascii="Times New Roman" w:hAnsi="Times New Roman"/>
          <w:sz w:val="24"/>
        </w:rPr>
        <w:t>HJ169-2018</w:t>
      </w:r>
      <w:r>
        <w:rPr>
          <w:rFonts w:ascii="Times New Roman" w:hAnsi="Times New Roman"/>
          <w:sz w:val="24"/>
        </w:rPr>
        <w:t>），建设项目环境风险潜势划分为</w:t>
      </w:r>
      <w:r>
        <w:rPr>
          <w:rFonts w:ascii="Times New Roman" w:hAnsi="Times New Roman"/>
          <w:sz w:val="24"/>
        </w:rPr>
        <w:t>Ⅰ</w:t>
      </w:r>
      <w:r>
        <w:rPr>
          <w:rFonts w:ascii="Times New Roman" w:hAnsi="Times New Roman"/>
          <w:sz w:val="24"/>
        </w:rPr>
        <w:t>、</w:t>
      </w:r>
      <w:r>
        <w:rPr>
          <w:rFonts w:ascii="Times New Roman" w:hAnsi="Times New Roman"/>
          <w:sz w:val="24"/>
        </w:rPr>
        <w:t>Ⅱ</w:t>
      </w:r>
      <w:r>
        <w:rPr>
          <w:rFonts w:ascii="Times New Roman" w:hAnsi="Times New Roman"/>
          <w:sz w:val="24"/>
        </w:rPr>
        <w:t>、</w:t>
      </w:r>
      <w:r>
        <w:rPr>
          <w:rFonts w:ascii="Times New Roman" w:hAnsi="Times New Roman"/>
          <w:sz w:val="24"/>
        </w:rPr>
        <w:t>Ⅲ</w:t>
      </w:r>
      <w:r>
        <w:rPr>
          <w:rFonts w:ascii="Times New Roman" w:hAnsi="Times New Roman"/>
          <w:sz w:val="24"/>
        </w:rPr>
        <w:t>、</w:t>
      </w:r>
      <w:r>
        <w:rPr>
          <w:rFonts w:ascii="Times New Roman" w:hAnsi="Times New Roman"/>
          <w:sz w:val="24"/>
        </w:rPr>
        <w:t>Ⅳ/Ⅳ</w:t>
      </w:r>
      <w:r>
        <w:rPr>
          <w:rFonts w:ascii="Times New Roman" w:hAnsi="Times New Roman"/>
          <w:sz w:val="24"/>
          <w:vertAlign w:val="superscript"/>
        </w:rPr>
        <w:t>+</w:t>
      </w:r>
      <w:r>
        <w:rPr>
          <w:rFonts w:ascii="Times New Roman" w:hAnsi="Times New Roman"/>
          <w:sz w:val="24"/>
        </w:rPr>
        <w:t>级。</w:t>
      </w:r>
    </w:p>
    <w:p w:rsidR="00525419" w:rsidRDefault="00EE1CF7">
      <w:pPr>
        <w:spacing w:line="440" w:lineRule="exact"/>
        <w:ind w:firstLineChars="200" w:firstLine="480"/>
        <w:rPr>
          <w:rFonts w:ascii="Times New Roman" w:hAnsi="Times New Roman"/>
          <w:sz w:val="24"/>
        </w:rPr>
      </w:pPr>
      <w:r>
        <w:rPr>
          <w:rFonts w:ascii="Times New Roman" w:hAnsi="Times New Roman"/>
          <w:sz w:val="24"/>
        </w:rPr>
        <w:t>根据建设项目涉及的物质和工艺系统的危险性及其所在地的环境敏感程度，结合事故情环境影响途径，对建设项目潜在环境危害程度进行概化分析，进而确定环境风险潜势，确定依据见表</w:t>
      </w:r>
      <w:r>
        <w:rPr>
          <w:rFonts w:ascii="Times New Roman" w:hAnsi="Times New Roman"/>
          <w:sz w:val="24"/>
        </w:rPr>
        <w:t>5.6-2</w:t>
      </w:r>
      <w:r>
        <w:rPr>
          <w:rFonts w:ascii="Times New Roman" w:hAnsi="Times New Roman"/>
          <w:sz w:val="24"/>
        </w:rPr>
        <w:t>。</w:t>
      </w:r>
    </w:p>
    <w:p w:rsidR="00525419" w:rsidRDefault="00EE1CF7">
      <w:pPr>
        <w:ind w:firstLineChars="1100" w:firstLine="2310"/>
        <w:rPr>
          <w:rFonts w:ascii="Times New Roman" w:eastAsia="黑体" w:hAnsi="Times New Roman"/>
        </w:rPr>
      </w:pPr>
      <w:r>
        <w:rPr>
          <w:rFonts w:ascii="Times New Roman" w:eastAsia="黑体" w:hAnsi="Times New Roman"/>
        </w:rPr>
        <w:t>表</w:t>
      </w:r>
      <w:r>
        <w:rPr>
          <w:rFonts w:ascii="Times New Roman" w:eastAsia="黑体" w:hAnsi="Times New Roman"/>
        </w:rPr>
        <w:t xml:space="preserve">5.6-2    </w:t>
      </w:r>
      <w:r>
        <w:rPr>
          <w:rFonts w:ascii="Times New Roman" w:eastAsia="黑体" w:hAnsi="Times New Roman"/>
        </w:rPr>
        <w:t>项目环境风险潜势划分依据一览表</w:t>
      </w:r>
    </w:p>
    <w:tbl>
      <w:tblPr>
        <w:tblW w:w="872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518"/>
        <w:gridCol w:w="1559"/>
        <w:gridCol w:w="1560"/>
        <w:gridCol w:w="1559"/>
        <w:gridCol w:w="1524"/>
      </w:tblGrid>
      <w:tr w:rsidR="00525419">
        <w:trPr>
          <w:trHeight w:val="284"/>
        </w:trPr>
        <w:tc>
          <w:tcPr>
            <w:tcW w:w="2518" w:type="dxa"/>
            <w:vMerge w:val="restart"/>
            <w:vAlign w:val="center"/>
          </w:tcPr>
          <w:p w:rsidR="00525419" w:rsidRDefault="00EE1CF7">
            <w:pPr>
              <w:pStyle w:val="afffffffffffffffffffffffffffffffffff2"/>
              <w:rPr>
                <w:rFonts w:ascii="Times New Roman" w:eastAsiaTheme="minorEastAsia" w:hAnsi="Times New Roman"/>
                <w:color w:val="auto"/>
                <w:sz w:val="21"/>
                <w:szCs w:val="21"/>
              </w:rPr>
            </w:pPr>
            <w:r>
              <w:rPr>
                <w:rFonts w:ascii="Times New Roman" w:eastAsiaTheme="minorEastAsia" w:hAnsi="Times New Roman"/>
                <w:color w:val="auto"/>
                <w:sz w:val="21"/>
                <w:szCs w:val="21"/>
              </w:rPr>
              <w:t>环境敏感程度</w:t>
            </w:r>
          </w:p>
        </w:tc>
        <w:tc>
          <w:tcPr>
            <w:tcW w:w="6202" w:type="dxa"/>
            <w:gridSpan w:val="4"/>
            <w:vAlign w:val="center"/>
          </w:tcPr>
          <w:p w:rsidR="00525419" w:rsidRDefault="00EE1CF7">
            <w:pPr>
              <w:pStyle w:val="afffffffffffffffffffffffffffffffffff2"/>
              <w:rPr>
                <w:rFonts w:ascii="Times New Roman" w:eastAsiaTheme="minorEastAsia" w:hAnsi="Times New Roman"/>
                <w:color w:val="auto"/>
                <w:sz w:val="21"/>
                <w:szCs w:val="21"/>
              </w:rPr>
            </w:pPr>
            <w:r>
              <w:rPr>
                <w:rFonts w:ascii="Times New Roman" w:eastAsiaTheme="minorEastAsia" w:hAnsi="Times New Roman"/>
                <w:color w:val="auto"/>
                <w:sz w:val="21"/>
                <w:szCs w:val="21"/>
              </w:rPr>
              <w:t>危险物质及工艺系统危险性</w:t>
            </w:r>
            <w:r>
              <w:rPr>
                <w:rFonts w:ascii="Times New Roman" w:eastAsiaTheme="minorEastAsia" w:hAnsi="Times New Roman"/>
                <w:color w:val="auto"/>
                <w:sz w:val="21"/>
                <w:szCs w:val="21"/>
              </w:rPr>
              <w:t>P</w:t>
            </w:r>
          </w:p>
        </w:tc>
      </w:tr>
      <w:tr w:rsidR="00525419">
        <w:trPr>
          <w:trHeight w:val="284"/>
        </w:trPr>
        <w:tc>
          <w:tcPr>
            <w:tcW w:w="2518" w:type="dxa"/>
            <w:vMerge/>
            <w:vAlign w:val="center"/>
          </w:tcPr>
          <w:p w:rsidR="00525419" w:rsidRDefault="00525419">
            <w:pPr>
              <w:pStyle w:val="afffffffffffffffffffffffffffffffffff2"/>
              <w:rPr>
                <w:rFonts w:ascii="Times New Roman" w:eastAsiaTheme="minorEastAsia" w:hAnsi="Times New Roman"/>
                <w:color w:val="auto"/>
                <w:sz w:val="21"/>
                <w:szCs w:val="21"/>
              </w:rPr>
            </w:pPr>
          </w:p>
        </w:tc>
        <w:tc>
          <w:tcPr>
            <w:tcW w:w="1559" w:type="dxa"/>
            <w:vAlign w:val="center"/>
          </w:tcPr>
          <w:p w:rsidR="00525419" w:rsidRDefault="00EE1CF7">
            <w:pPr>
              <w:pStyle w:val="afffffffffffffffffffffffffffffffffff2"/>
              <w:rPr>
                <w:rFonts w:ascii="Times New Roman" w:eastAsiaTheme="minorEastAsia" w:hAnsi="Times New Roman"/>
                <w:color w:val="auto"/>
                <w:sz w:val="21"/>
                <w:szCs w:val="21"/>
              </w:rPr>
            </w:pPr>
            <w:r>
              <w:rPr>
                <w:rFonts w:ascii="Times New Roman" w:eastAsiaTheme="minorEastAsia" w:hAnsi="Times New Roman"/>
                <w:color w:val="auto"/>
                <w:sz w:val="21"/>
                <w:szCs w:val="21"/>
              </w:rPr>
              <w:t>极高危害（</w:t>
            </w:r>
            <w:r>
              <w:rPr>
                <w:rFonts w:ascii="Times New Roman" w:eastAsiaTheme="minorEastAsia" w:hAnsi="Times New Roman"/>
                <w:color w:val="auto"/>
                <w:sz w:val="21"/>
                <w:szCs w:val="21"/>
              </w:rPr>
              <w:t>P1</w:t>
            </w:r>
            <w:r>
              <w:rPr>
                <w:rFonts w:ascii="Times New Roman" w:eastAsiaTheme="minorEastAsia" w:hAnsi="Times New Roman"/>
                <w:color w:val="auto"/>
                <w:sz w:val="21"/>
                <w:szCs w:val="21"/>
              </w:rPr>
              <w:t>）</w:t>
            </w:r>
          </w:p>
        </w:tc>
        <w:tc>
          <w:tcPr>
            <w:tcW w:w="1560" w:type="dxa"/>
            <w:vAlign w:val="center"/>
          </w:tcPr>
          <w:p w:rsidR="00525419" w:rsidRDefault="00EE1CF7">
            <w:pPr>
              <w:pStyle w:val="afffffffffffffffffffffffffffffffffff2"/>
              <w:rPr>
                <w:rFonts w:ascii="Times New Roman" w:eastAsiaTheme="minorEastAsia" w:hAnsi="Times New Roman"/>
                <w:color w:val="auto"/>
                <w:sz w:val="21"/>
                <w:szCs w:val="21"/>
              </w:rPr>
            </w:pPr>
            <w:r>
              <w:rPr>
                <w:rFonts w:ascii="Times New Roman" w:eastAsiaTheme="minorEastAsia" w:hAnsi="Times New Roman"/>
                <w:color w:val="auto"/>
                <w:sz w:val="21"/>
                <w:szCs w:val="21"/>
              </w:rPr>
              <w:t>高度危害（</w:t>
            </w:r>
            <w:r>
              <w:rPr>
                <w:rFonts w:ascii="Times New Roman" w:eastAsiaTheme="minorEastAsia" w:hAnsi="Times New Roman"/>
                <w:color w:val="auto"/>
                <w:sz w:val="21"/>
                <w:szCs w:val="21"/>
              </w:rPr>
              <w:t>P2</w:t>
            </w:r>
            <w:r>
              <w:rPr>
                <w:rFonts w:ascii="Times New Roman" w:eastAsiaTheme="minorEastAsia" w:hAnsi="Times New Roman"/>
                <w:color w:val="auto"/>
                <w:sz w:val="21"/>
                <w:szCs w:val="21"/>
              </w:rPr>
              <w:t>）</w:t>
            </w:r>
          </w:p>
        </w:tc>
        <w:tc>
          <w:tcPr>
            <w:tcW w:w="1559" w:type="dxa"/>
            <w:vAlign w:val="center"/>
          </w:tcPr>
          <w:p w:rsidR="00525419" w:rsidRDefault="00EE1CF7">
            <w:pPr>
              <w:pStyle w:val="afffffffffffffffffffffffffffffffffff2"/>
              <w:rPr>
                <w:rFonts w:ascii="Times New Roman" w:eastAsiaTheme="minorEastAsia" w:hAnsi="Times New Roman"/>
                <w:color w:val="auto"/>
                <w:sz w:val="21"/>
                <w:szCs w:val="21"/>
              </w:rPr>
            </w:pPr>
            <w:r>
              <w:rPr>
                <w:rFonts w:ascii="Times New Roman" w:eastAsiaTheme="minorEastAsia" w:hAnsi="Times New Roman"/>
                <w:color w:val="auto"/>
                <w:sz w:val="21"/>
                <w:szCs w:val="21"/>
              </w:rPr>
              <w:t>中度危害（</w:t>
            </w:r>
            <w:r>
              <w:rPr>
                <w:rFonts w:ascii="Times New Roman" w:eastAsiaTheme="minorEastAsia" w:hAnsi="Times New Roman"/>
                <w:color w:val="auto"/>
                <w:sz w:val="21"/>
                <w:szCs w:val="21"/>
              </w:rPr>
              <w:t>P3</w:t>
            </w:r>
            <w:r>
              <w:rPr>
                <w:rFonts w:ascii="Times New Roman" w:eastAsiaTheme="minorEastAsia" w:hAnsi="Times New Roman"/>
                <w:color w:val="auto"/>
                <w:sz w:val="21"/>
                <w:szCs w:val="21"/>
              </w:rPr>
              <w:t>）</w:t>
            </w:r>
          </w:p>
        </w:tc>
        <w:tc>
          <w:tcPr>
            <w:tcW w:w="1524" w:type="dxa"/>
            <w:vAlign w:val="center"/>
          </w:tcPr>
          <w:p w:rsidR="00525419" w:rsidRDefault="00EE1CF7">
            <w:pPr>
              <w:pStyle w:val="afffffffffffffffffffffffffffffffffff2"/>
              <w:rPr>
                <w:rFonts w:ascii="Times New Roman" w:eastAsiaTheme="minorEastAsia" w:hAnsi="Times New Roman"/>
                <w:color w:val="auto"/>
                <w:sz w:val="21"/>
                <w:szCs w:val="21"/>
              </w:rPr>
            </w:pPr>
            <w:r>
              <w:rPr>
                <w:rFonts w:ascii="Times New Roman" w:eastAsiaTheme="minorEastAsia" w:hAnsi="Times New Roman"/>
                <w:color w:val="auto"/>
                <w:sz w:val="21"/>
                <w:szCs w:val="21"/>
              </w:rPr>
              <w:t>轻度危害（</w:t>
            </w:r>
            <w:r>
              <w:rPr>
                <w:rFonts w:ascii="Times New Roman" w:eastAsiaTheme="minorEastAsia" w:hAnsi="Times New Roman"/>
                <w:color w:val="auto"/>
                <w:sz w:val="21"/>
                <w:szCs w:val="21"/>
              </w:rPr>
              <w:t>P4</w:t>
            </w:r>
            <w:r>
              <w:rPr>
                <w:rFonts w:ascii="Times New Roman" w:eastAsiaTheme="minorEastAsia" w:hAnsi="Times New Roman"/>
                <w:color w:val="auto"/>
                <w:sz w:val="21"/>
                <w:szCs w:val="21"/>
              </w:rPr>
              <w:t>）</w:t>
            </w:r>
          </w:p>
        </w:tc>
      </w:tr>
      <w:tr w:rsidR="00525419">
        <w:trPr>
          <w:trHeight w:val="324"/>
        </w:trPr>
        <w:tc>
          <w:tcPr>
            <w:tcW w:w="2518" w:type="dxa"/>
            <w:vAlign w:val="center"/>
          </w:tcPr>
          <w:p w:rsidR="00525419" w:rsidRDefault="00EE1CF7">
            <w:pPr>
              <w:pStyle w:val="afffffffffffffffffffffffffffffffffff2"/>
              <w:rPr>
                <w:rFonts w:ascii="Times New Roman" w:eastAsiaTheme="minorEastAsia" w:hAnsi="Times New Roman"/>
                <w:color w:val="auto"/>
                <w:sz w:val="21"/>
                <w:szCs w:val="21"/>
              </w:rPr>
            </w:pPr>
            <w:r>
              <w:rPr>
                <w:rFonts w:ascii="Times New Roman" w:eastAsiaTheme="minorEastAsia" w:hAnsi="Times New Roman"/>
                <w:color w:val="auto"/>
                <w:sz w:val="21"/>
                <w:szCs w:val="21"/>
              </w:rPr>
              <w:t>环境高敏感度区（</w:t>
            </w:r>
            <w:r>
              <w:rPr>
                <w:rFonts w:ascii="Times New Roman" w:eastAsiaTheme="minorEastAsia" w:hAnsi="Times New Roman"/>
                <w:color w:val="auto"/>
                <w:sz w:val="21"/>
                <w:szCs w:val="21"/>
              </w:rPr>
              <w:t>E1</w:t>
            </w:r>
            <w:r>
              <w:rPr>
                <w:rFonts w:ascii="Times New Roman" w:eastAsiaTheme="minorEastAsia" w:hAnsi="Times New Roman"/>
                <w:color w:val="auto"/>
                <w:sz w:val="21"/>
                <w:szCs w:val="21"/>
              </w:rPr>
              <w:t>）</w:t>
            </w:r>
          </w:p>
        </w:tc>
        <w:tc>
          <w:tcPr>
            <w:tcW w:w="1559" w:type="dxa"/>
            <w:vAlign w:val="center"/>
          </w:tcPr>
          <w:p w:rsidR="00525419" w:rsidRDefault="00EE1CF7">
            <w:pPr>
              <w:pStyle w:val="afffffffffffffffffffffffffffffffffff2"/>
              <w:rPr>
                <w:rFonts w:ascii="Times New Roman" w:eastAsiaTheme="minorEastAsia" w:hAnsi="Times New Roman"/>
                <w:color w:val="auto"/>
                <w:sz w:val="21"/>
                <w:szCs w:val="21"/>
              </w:rPr>
            </w:pPr>
            <w:r>
              <w:rPr>
                <w:rFonts w:ascii="Times New Roman" w:eastAsiaTheme="minorEastAsia" w:hAnsi="Times New Roman"/>
                <w:color w:val="auto"/>
                <w:sz w:val="21"/>
                <w:szCs w:val="21"/>
              </w:rPr>
              <w:t>IV</w:t>
            </w:r>
            <w:r>
              <w:rPr>
                <w:rFonts w:ascii="Times New Roman" w:eastAsiaTheme="minorEastAsia" w:hAnsi="Times New Roman"/>
                <w:color w:val="auto"/>
                <w:sz w:val="21"/>
                <w:szCs w:val="21"/>
                <w:vertAlign w:val="superscript"/>
              </w:rPr>
              <w:t>+</w:t>
            </w:r>
          </w:p>
        </w:tc>
        <w:tc>
          <w:tcPr>
            <w:tcW w:w="1560" w:type="dxa"/>
            <w:vAlign w:val="center"/>
          </w:tcPr>
          <w:p w:rsidR="00525419" w:rsidRDefault="00EE1CF7">
            <w:pPr>
              <w:pStyle w:val="afffffffffffffffffffffffffffffffffff2"/>
              <w:rPr>
                <w:rFonts w:ascii="Times New Roman" w:eastAsiaTheme="minorEastAsia" w:hAnsi="Times New Roman"/>
                <w:color w:val="auto"/>
                <w:sz w:val="21"/>
                <w:szCs w:val="21"/>
              </w:rPr>
            </w:pPr>
            <w:r>
              <w:rPr>
                <w:rFonts w:ascii="Times New Roman" w:eastAsiaTheme="minorEastAsia" w:hAnsi="Times New Roman"/>
                <w:color w:val="auto"/>
                <w:sz w:val="21"/>
                <w:szCs w:val="21"/>
              </w:rPr>
              <w:t>IV</w:t>
            </w:r>
          </w:p>
        </w:tc>
        <w:tc>
          <w:tcPr>
            <w:tcW w:w="1559" w:type="dxa"/>
            <w:vAlign w:val="center"/>
          </w:tcPr>
          <w:p w:rsidR="00525419" w:rsidRDefault="00EE1CF7">
            <w:pPr>
              <w:pStyle w:val="afffffffffffffffffffffffffffffffffff2"/>
              <w:rPr>
                <w:rFonts w:ascii="Times New Roman" w:eastAsiaTheme="minorEastAsia" w:hAnsi="Times New Roman"/>
                <w:color w:val="auto"/>
                <w:sz w:val="21"/>
                <w:szCs w:val="21"/>
              </w:rPr>
            </w:pPr>
            <w:r>
              <w:rPr>
                <w:rFonts w:ascii="Times New Roman" w:eastAsiaTheme="minorEastAsia" w:hAnsi="Times New Roman"/>
                <w:color w:val="auto"/>
                <w:sz w:val="21"/>
                <w:szCs w:val="21"/>
              </w:rPr>
              <w:t>III</w:t>
            </w:r>
          </w:p>
        </w:tc>
        <w:tc>
          <w:tcPr>
            <w:tcW w:w="1524" w:type="dxa"/>
            <w:vAlign w:val="center"/>
          </w:tcPr>
          <w:p w:rsidR="00525419" w:rsidRDefault="00EE1CF7">
            <w:pPr>
              <w:pStyle w:val="afffffffffffffffffffffffffffffffffff2"/>
              <w:rPr>
                <w:rFonts w:ascii="Times New Roman" w:eastAsiaTheme="minorEastAsia" w:hAnsi="Times New Roman"/>
                <w:color w:val="auto"/>
                <w:sz w:val="21"/>
                <w:szCs w:val="21"/>
              </w:rPr>
            </w:pPr>
            <w:r>
              <w:rPr>
                <w:rFonts w:ascii="Times New Roman" w:eastAsiaTheme="minorEastAsia" w:hAnsi="Times New Roman"/>
                <w:color w:val="auto"/>
                <w:sz w:val="21"/>
                <w:szCs w:val="21"/>
              </w:rPr>
              <w:t>III</w:t>
            </w:r>
          </w:p>
        </w:tc>
      </w:tr>
      <w:tr w:rsidR="00525419">
        <w:trPr>
          <w:trHeight w:val="284"/>
        </w:trPr>
        <w:tc>
          <w:tcPr>
            <w:tcW w:w="2518" w:type="dxa"/>
            <w:vAlign w:val="center"/>
          </w:tcPr>
          <w:p w:rsidR="00525419" w:rsidRDefault="00EE1CF7">
            <w:pPr>
              <w:pStyle w:val="afffffffffffffffffffffffffffffffffff2"/>
              <w:rPr>
                <w:rFonts w:ascii="Times New Roman" w:eastAsiaTheme="minorEastAsia" w:hAnsi="Times New Roman"/>
                <w:color w:val="auto"/>
                <w:sz w:val="21"/>
                <w:szCs w:val="21"/>
              </w:rPr>
            </w:pPr>
            <w:r>
              <w:rPr>
                <w:rFonts w:ascii="Times New Roman" w:eastAsiaTheme="minorEastAsia" w:hAnsi="Times New Roman"/>
                <w:color w:val="auto"/>
                <w:sz w:val="21"/>
                <w:szCs w:val="21"/>
              </w:rPr>
              <w:t>环境中敏感度区（</w:t>
            </w:r>
            <w:r>
              <w:rPr>
                <w:rFonts w:ascii="Times New Roman" w:eastAsiaTheme="minorEastAsia" w:hAnsi="Times New Roman"/>
                <w:color w:val="auto"/>
                <w:sz w:val="21"/>
                <w:szCs w:val="21"/>
              </w:rPr>
              <w:t>E2</w:t>
            </w:r>
            <w:r>
              <w:rPr>
                <w:rFonts w:ascii="Times New Roman" w:eastAsiaTheme="minorEastAsia" w:hAnsi="Times New Roman"/>
                <w:color w:val="auto"/>
                <w:sz w:val="21"/>
                <w:szCs w:val="21"/>
              </w:rPr>
              <w:t>）</w:t>
            </w:r>
          </w:p>
        </w:tc>
        <w:tc>
          <w:tcPr>
            <w:tcW w:w="1559" w:type="dxa"/>
            <w:vAlign w:val="center"/>
          </w:tcPr>
          <w:p w:rsidR="00525419" w:rsidRDefault="00EE1CF7">
            <w:pPr>
              <w:pStyle w:val="afffffffffffffffffffffffffffffffffff2"/>
              <w:rPr>
                <w:rFonts w:ascii="Times New Roman" w:eastAsiaTheme="minorEastAsia" w:hAnsi="Times New Roman"/>
                <w:color w:val="auto"/>
                <w:sz w:val="21"/>
                <w:szCs w:val="21"/>
              </w:rPr>
            </w:pPr>
            <w:r>
              <w:rPr>
                <w:rFonts w:ascii="Times New Roman" w:eastAsiaTheme="minorEastAsia" w:hAnsi="Times New Roman"/>
                <w:color w:val="auto"/>
                <w:sz w:val="21"/>
                <w:szCs w:val="21"/>
              </w:rPr>
              <w:t>IV</w:t>
            </w:r>
          </w:p>
        </w:tc>
        <w:tc>
          <w:tcPr>
            <w:tcW w:w="1560" w:type="dxa"/>
            <w:vAlign w:val="center"/>
          </w:tcPr>
          <w:p w:rsidR="00525419" w:rsidRDefault="00EE1CF7">
            <w:pPr>
              <w:pStyle w:val="afffffffffffffffffffffffffffffffffff2"/>
              <w:rPr>
                <w:rFonts w:ascii="Times New Roman" w:eastAsiaTheme="minorEastAsia" w:hAnsi="Times New Roman"/>
                <w:color w:val="auto"/>
                <w:sz w:val="21"/>
                <w:szCs w:val="21"/>
              </w:rPr>
            </w:pPr>
            <w:r>
              <w:rPr>
                <w:rFonts w:ascii="Times New Roman" w:eastAsiaTheme="minorEastAsia" w:hAnsi="Times New Roman"/>
                <w:color w:val="auto"/>
                <w:sz w:val="21"/>
                <w:szCs w:val="21"/>
              </w:rPr>
              <w:t>III</w:t>
            </w:r>
          </w:p>
        </w:tc>
        <w:tc>
          <w:tcPr>
            <w:tcW w:w="1559" w:type="dxa"/>
            <w:vAlign w:val="center"/>
          </w:tcPr>
          <w:p w:rsidR="00525419" w:rsidRDefault="00EE1CF7">
            <w:pPr>
              <w:pStyle w:val="afffffffffffffffffffffffffffffffffff2"/>
              <w:rPr>
                <w:rFonts w:ascii="Times New Roman" w:eastAsiaTheme="minorEastAsia" w:hAnsi="Times New Roman"/>
                <w:color w:val="auto"/>
                <w:sz w:val="21"/>
                <w:szCs w:val="21"/>
              </w:rPr>
            </w:pPr>
            <w:r>
              <w:rPr>
                <w:rFonts w:ascii="Times New Roman" w:eastAsiaTheme="minorEastAsia" w:hAnsi="Times New Roman"/>
                <w:color w:val="auto"/>
                <w:sz w:val="21"/>
                <w:szCs w:val="21"/>
              </w:rPr>
              <w:t>III</w:t>
            </w:r>
          </w:p>
        </w:tc>
        <w:tc>
          <w:tcPr>
            <w:tcW w:w="1524" w:type="dxa"/>
            <w:vAlign w:val="center"/>
          </w:tcPr>
          <w:p w:rsidR="00525419" w:rsidRDefault="00EE1CF7">
            <w:pPr>
              <w:pStyle w:val="afffffffffffffffffffffffffffffffffff2"/>
              <w:rPr>
                <w:rFonts w:ascii="Times New Roman" w:eastAsiaTheme="minorEastAsia" w:hAnsi="Times New Roman"/>
                <w:color w:val="auto"/>
                <w:sz w:val="21"/>
                <w:szCs w:val="21"/>
              </w:rPr>
            </w:pPr>
            <w:r>
              <w:rPr>
                <w:rFonts w:ascii="Times New Roman" w:eastAsiaTheme="minorEastAsia" w:hAnsi="Times New Roman"/>
                <w:color w:val="auto"/>
                <w:sz w:val="21"/>
                <w:szCs w:val="21"/>
              </w:rPr>
              <w:t>II</w:t>
            </w:r>
          </w:p>
        </w:tc>
      </w:tr>
      <w:tr w:rsidR="00525419">
        <w:trPr>
          <w:trHeight w:val="284"/>
        </w:trPr>
        <w:tc>
          <w:tcPr>
            <w:tcW w:w="2518" w:type="dxa"/>
            <w:vAlign w:val="center"/>
          </w:tcPr>
          <w:p w:rsidR="00525419" w:rsidRDefault="00EE1CF7">
            <w:pPr>
              <w:pStyle w:val="afffffffffffffffffffffffffffffffffff2"/>
              <w:rPr>
                <w:rFonts w:ascii="Times New Roman" w:eastAsiaTheme="minorEastAsia" w:hAnsi="Times New Roman"/>
                <w:color w:val="auto"/>
                <w:sz w:val="21"/>
                <w:szCs w:val="21"/>
              </w:rPr>
            </w:pPr>
            <w:r>
              <w:rPr>
                <w:rFonts w:ascii="Times New Roman" w:eastAsiaTheme="minorEastAsia" w:hAnsi="Times New Roman"/>
                <w:color w:val="auto"/>
                <w:sz w:val="21"/>
                <w:szCs w:val="21"/>
              </w:rPr>
              <w:t>环境低敏感度区（</w:t>
            </w:r>
            <w:r>
              <w:rPr>
                <w:rFonts w:ascii="Times New Roman" w:eastAsiaTheme="minorEastAsia" w:hAnsi="Times New Roman"/>
                <w:color w:val="auto"/>
                <w:sz w:val="21"/>
                <w:szCs w:val="21"/>
              </w:rPr>
              <w:t>E3</w:t>
            </w:r>
            <w:r>
              <w:rPr>
                <w:rFonts w:ascii="Times New Roman" w:eastAsiaTheme="minorEastAsia" w:hAnsi="Times New Roman"/>
                <w:color w:val="auto"/>
                <w:sz w:val="21"/>
                <w:szCs w:val="21"/>
              </w:rPr>
              <w:t>）</w:t>
            </w:r>
          </w:p>
        </w:tc>
        <w:tc>
          <w:tcPr>
            <w:tcW w:w="1559" w:type="dxa"/>
            <w:vAlign w:val="center"/>
          </w:tcPr>
          <w:p w:rsidR="00525419" w:rsidRDefault="00EE1CF7">
            <w:pPr>
              <w:pStyle w:val="afffffffffffffffffffffffffffffffffff2"/>
              <w:rPr>
                <w:rFonts w:ascii="Times New Roman" w:eastAsiaTheme="minorEastAsia" w:hAnsi="Times New Roman"/>
                <w:color w:val="auto"/>
                <w:sz w:val="21"/>
                <w:szCs w:val="21"/>
              </w:rPr>
            </w:pPr>
            <w:r>
              <w:rPr>
                <w:rFonts w:ascii="Times New Roman" w:eastAsiaTheme="minorEastAsia" w:hAnsi="Times New Roman"/>
                <w:color w:val="auto"/>
                <w:sz w:val="21"/>
                <w:szCs w:val="21"/>
              </w:rPr>
              <w:t>III</w:t>
            </w:r>
          </w:p>
        </w:tc>
        <w:tc>
          <w:tcPr>
            <w:tcW w:w="1560" w:type="dxa"/>
            <w:vAlign w:val="center"/>
          </w:tcPr>
          <w:p w:rsidR="00525419" w:rsidRDefault="00EE1CF7">
            <w:pPr>
              <w:pStyle w:val="afffffffffffffffffffffffffffffffffff2"/>
              <w:rPr>
                <w:rFonts w:ascii="Times New Roman" w:eastAsiaTheme="minorEastAsia" w:hAnsi="Times New Roman"/>
                <w:color w:val="auto"/>
                <w:sz w:val="21"/>
                <w:szCs w:val="21"/>
              </w:rPr>
            </w:pPr>
            <w:r>
              <w:rPr>
                <w:rFonts w:ascii="Times New Roman" w:eastAsiaTheme="minorEastAsia" w:hAnsi="Times New Roman"/>
                <w:color w:val="auto"/>
                <w:sz w:val="21"/>
                <w:szCs w:val="21"/>
              </w:rPr>
              <w:t>III</w:t>
            </w:r>
          </w:p>
        </w:tc>
        <w:tc>
          <w:tcPr>
            <w:tcW w:w="1559" w:type="dxa"/>
            <w:vAlign w:val="center"/>
          </w:tcPr>
          <w:p w:rsidR="00525419" w:rsidRDefault="00EE1CF7">
            <w:pPr>
              <w:pStyle w:val="afffffffffffffffffffffffffffffffffff2"/>
              <w:rPr>
                <w:rFonts w:ascii="Times New Roman" w:eastAsiaTheme="minorEastAsia" w:hAnsi="Times New Roman"/>
                <w:color w:val="auto"/>
                <w:sz w:val="21"/>
                <w:szCs w:val="21"/>
              </w:rPr>
            </w:pPr>
            <w:r>
              <w:rPr>
                <w:rFonts w:ascii="Times New Roman" w:eastAsiaTheme="minorEastAsia" w:hAnsi="Times New Roman"/>
                <w:color w:val="auto"/>
                <w:sz w:val="21"/>
                <w:szCs w:val="21"/>
              </w:rPr>
              <w:t>II</w:t>
            </w:r>
          </w:p>
        </w:tc>
        <w:tc>
          <w:tcPr>
            <w:tcW w:w="1524" w:type="dxa"/>
            <w:vAlign w:val="center"/>
          </w:tcPr>
          <w:p w:rsidR="00525419" w:rsidRDefault="00EE1CF7">
            <w:pPr>
              <w:pStyle w:val="afffffffffffffffffffffffffffffffffff2"/>
              <w:rPr>
                <w:rFonts w:ascii="Times New Roman" w:eastAsiaTheme="minorEastAsia" w:hAnsi="Times New Roman"/>
                <w:color w:val="auto"/>
                <w:sz w:val="21"/>
                <w:szCs w:val="21"/>
              </w:rPr>
            </w:pPr>
            <w:r>
              <w:rPr>
                <w:rFonts w:ascii="Times New Roman" w:eastAsiaTheme="minorEastAsia" w:hAnsi="Times New Roman"/>
                <w:color w:val="auto"/>
                <w:sz w:val="21"/>
                <w:szCs w:val="21"/>
              </w:rPr>
              <w:t>I</w:t>
            </w:r>
          </w:p>
        </w:tc>
      </w:tr>
      <w:tr w:rsidR="00525419">
        <w:trPr>
          <w:trHeight w:val="284"/>
        </w:trPr>
        <w:tc>
          <w:tcPr>
            <w:tcW w:w="8720" w:type="dxa"/>
            <w:gridSpan w:val="5"/>
            <w:vAlign w:val="center"/>
          </w:tcPr>
          <w:p w:rsidR="00525419" w:rsidRDefault="00EE1CF7">
            <w:pPr>
              <w:pStyle w:val="afffffffffffffffffffffffffffffffffff2"/>
              <w:rPr>
                <w:rFonts w:ascii="Times New Roman" w:eastAsiaTheme="minorEastAsia" w:hAnsi="Times New Roman"/>
                <w:color w:val="auto"/>
                <w:sz w:val="21"/>
                <w:szCs w:val="21"/>
              </w:rPr>
            </w:pPr>
            <w:r>
              <w:rPr>
                <w:rFonts w:ascii="Times New Roman" w:eastAsiaTheme="minorEastAsia" w:hAnsi="Times New Roman"/>
                <w:color w:val="auto"/>
                <w:sz w:val="21"/>
                <w:szCs w:val="21"/>
              </w:rPr>
              <w:t>注：</w:t>
            </w:r>
            <w:r>
              <w:rPr>
                <w:rFonts w:ascii="Times New Roman" w:eastAsiaTheme="minorEastAsia" w:hAnsi="Times New Roman"/>
                <w:color w:val="auto"/>
                <w:sz w:val="21"/>
                <w:szCs w:val="21"/>
              </w:rPr>
              <w:t>IV</w:t>
            </w:r>
            <w:r>
              <w:rPr>
                <w:rFonts w:ascii="Times New Roman" w:eastAsiaTheme="minorEastAsia" w:hAnsi="Times New Roman"/>
                <w:color w:val="auto"/>
                <w:sz w:val="21"/>
                <w:szCs w:val="21"/>
                <w:vertAlign w:val="superscript"/>
              </w:rPr>
              <w:t>+</w:t>
            </w:r>
            <w:r>
              <w:rPr>
                <w:rFonts w:ascii="Times New Roman" w:eastAsiaTheme="minorEastAsia" w:hAnsi="Times New Roman"/>
                <w:color w:val="auto"/>
                <w:sz w:val="21"/>
                <w:szCs w:val="21"/>
              </w:rPr>
              <w:t>为极高环境风险</w:t>
            </w:r>
          </w:p>
        </w:tc>
      </w:tr>
    </w:tbl>
    <w:p w:rsidR="00525419" w:rsidRDefault="00525419">
      <w:pPr>
        <w:pStyle w:val="afffffffffffffffffffffffffffffffffff4"/>
        <w:rPr>
          <w:rFonts w:ascii="Times New Roman" w:hAnsi="Times New Roman"/>
        </w:rPr>
      </w:pPr>
    </w:p>
    <w:p w:rsidR="00525419" w:rsidRDefault="00EE1CF7">
      <w:pPr>
        <w:autoSpaceDE w:val="0"/>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本项目生产、使用、储存过程中涉及的有毒有害、易燃易爆物质主要为焦油、柴油、石脑油、尾油、液化石油气等，根据工程分析和《建设项目环境风险评价技术导则》（</w:t>
      </w:r>
      <w:r>
        <w:rPr>
          <w:rFonts w:ascii="Times New Roman" w:hAnsi="Times New Roman"/>
          <w:kern w:val="0"/>
          <w:sz w:val="24"/>
          <w:szCs w:val="24"/>
        </w:rPr>
        <w:t>HJ169-2018</w:t>
      </w:r>
      <w:r>
        <w:rPr>
          <w:rFonts w:ascii="Times New Roman" w:hAnsi="Times New Roman"/>
          <w:kern w:val="0"/>
          <w:sz w:val="24"/>
          <w:szCs w:val="24"/>
        </w:rPr>
        <w:t>）附录</w:t>
      </w:r>
      <w:r>
        <w:rPr>
          <w:rFonts w:ascii="Times New Roman" w:hAnsi="Times New Roman"/>
          <w:kern w:val="0"/>
          <w:sz w:val="24"/>
          <w:szCs w:val="24"/>
        </w:rPr>
        <w:t>B</w:t>
      </w:r>
      <w:r>
        <w:rPr>
          <w:rFonts w:ascii="Times New Roman" w:hAnsi="Times New Roman"/>
          <w:kern w:val="0"/>
          <w:sz w:val="24"/>
          <w:szCs w:val="24"/>
        </w:rPr>
        <w:t>的内容，本项目危险物质储存量及临界量见表</w:t>
      </w:r>
      <w:r>
        <w:rPr>
          <w:rFonts w:ascii="Times New Roman" w:hAnsi="Times New Roman"/>
          <w:kern w:val="0"/>
          <w:sz w:val="24"/>
          <w:szCs w:val="24"/>
        </w:rPr>
        <w:t>5.6-3</w:t>
      </w:r>
      <w:r>
        <w:rPr>
          <w:rFonts w:ascii="Times New Roman" w:hAnsi="Times New Roman"/>
          <w:kern w:val="0"/>
          <w:sz w:val="24"/>
          <w:szCs w:val="24"/>
        </w:rPr>
        <w:t>。</w:t>
      </w:r>
    </w:p>
    <w:p w:rsidR="00525419" w:rsidRDefault="00EE1CF7">
      <w:pPr>
        <w:ind w:firstLineChars="1100" w:firstLine="2310"/>
        <w:rPr>
          <w:rFonts w:ascii="Times New Roman" w:eastAsia="黑体" w:hAnsi="Times New Roman"/>
        </w:rPr>
      </w:pPr>
      <w:r>
        <w:rPr>
          <w:rFonts w:ascii="Times New Roman" w:eastAsia="黑体" w:hAnsi="Times New Roman"/>
        </w:rPr>
        <w:t>表</w:t>
      </w:r>
      <w:r>
        <w:rPr>
          <w:rFonts w:ascii="Times New Roman" w:eastAsia="黑体" w:hAnsi="Times New Roman"/>
        </w:rPr>
        <w:t xml:space="preserve">5.6-3    </w:t>
      </w:r>
      <w:r>
        <w:rPr>
          <w:rFonts w:ascii="Times New Roman" w:eastAsia="黑体" w:hAnsi="Times New Roman"/>
        </w:rPr>
        <w:t>本项目物料存储一览表</w:t>
      </w:r>
    </w:p>
    <w:tbl>
      <w:tblPr>
        <w:tblW w:w="85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80"/>
        <w:gridCol w:w="1049"/>
        <w:gridCol w:w="1085"/>
        <w:gridCol w:w="1325"/>
        <w:gridCol w:w="848"/>
        <w:gridCol w:w="686"/>
        <w:gridCol w:w="848"/>
        <w:gridCol w:w="1189"/>
        <w:gridCol w:w="1098"/>
      </w:tblGrid>
      <w:tr w:rsidR="00525419">
        <w:trPr>
          <w:cantSplit/>
          <w:trHeight w:val="397"/>
          <w:tblHeader/>
          <w:jc w:val="center"/>
        </w:trPr>
        <w:tc>
          <w:tcPr>
            <w:tcW w:w="380"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序号</w:t>
            </w:r>
          </w:p>
        </w:tc>
        <w:tc>
          <w:tcPr>
            <w:tcW w:w="1049"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名称</w:t>
            </w:r>
          </w:p>
        </w:tc>
        <w:tc>
          <w:tcPr>
            <w:tcW w:w="1085"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储存地点</w:t>
            </w:r>
          </w:p>
        </w:tc>
        <w:tc>
          <w:tcPr>
            <w:tcW w:w="1325"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储存方式</w:t>
            </w:r>
          </w:p>
        </w:tc>
        <w:tc>
          <w:tcPr>
            <w:tcW w:w="848"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储量（</w:t>
            </w:r>
            <w:r>
              <w:rPr>
                <w:rFonts w:ascii="Times New Roman" w:hAnsi="Times New Roman"/>
              </w:rPr>
              <w:t>t</w:t>
            </w:r>
            <w:r>
              <w:rPr>
                <w:rFonts w:ascii="Times New Roman" w:hAnsi="Times New Roman"/>
              </w:rPr>
              <w:t>）</w:t>
            </w:r>
          </w:p>
        </w:tc>
        <w:tc>
          <w:tcPr>
            <w:tcW w:w="686"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周转天数</w:t>
            </w:r>
          </w:p>
        </w:tc>
        <w:tc>
          <w:tcPr>
            <w:tcW w:w="848" w:type="dxa"/>
            <w:tcBorders>
              <w:tl2br w:val="nil"/>
              <w:tr2bl w:val="nil"/>
            </w:tcBorders>
            <w:vAlign w:val="center"/>
          </w:tcPr>
          <w:p w:rsidR="00525419" w:rsidRDefault="00EE1CF7">
            <w:pPr>
              <w:adjustRightInd w:val="0"/>
              <w:snapToGrid w:val="0"/>
              <w:jc w:val="center"/>
              <w:rPr>
                <w:rFonts w:ascii="Times New Roman" w:hAnsi="Times New Roman"/>
              </w:rPr>
            </w:pPr>
            <w:r>
              <w:rPr>
                <w:rFonts w:ascii="Times New Roman" w:hAnsi="Times New Roman"/>
              </w:rPr>
              <w:t>储存温度（</w:t>
            </w:r>
            <w:r>
              <w:rPr>
                <w:rFonts w:ascii="Times New Roman" w:hAnsi="Times New Roman"/>
              </w:rPr>
              <w:t>℃</w:t>
            </w:r>
            <w:r>
              <w:rPr>
                <w:rFonts w:ascii="Times New Roman" w:hAnsi="Times New Roman"/>
              </w:rPr>
              <w:t>）</w:t>
            </w:r>
          </w:p>
        </w:tc>
        <w:tc>
          <w:tcPr>
            <w:tcW w:w="1189" w:type="dxa"/>
            <w:tcBorders>
              <w:tl2br w:val="nil"/>
              <w:tr2bl w:val="nil"/>
            </w:tcBorders>
            <w:vAlign w:val="center"/>
          </w:tcPr>
          <w:p w:rsidR="00525419" w:rsidRDefault="00EE1CF7">
            <w:pPr>
              <w:adjustRightInd w:val="0"/>
              <w:snapToGrid w:val="0"/>
              <w:jc w:val="center"/>
              <w:rPr>
                <w:rFonts w:ascii="Times New Roman" w:hAnsi="Times New Roman"/>
              </w:rPr>
            </w:pPr>
            <w:r>
              <w:rPr>
                <w:rFonts w:ascii="Times New Roman" w:hAnsi="Times New Roman"/>
              </w:rPr>
              <w:t>设计压力（</w:t>
            </w:r>
            <w:r>
              <w:rPr>
                <w:rFonts w:ascii="Times New Roman" w:hAnsi="Times New Roman"/>
              </w:rPr>
              <w:t>MPaG</w:t>
            </w:r>
            <w:r>
              <w:rPr>
                <w:rFonts w:ascii="Times New Roman" w:hAnsi="Times New Roman"/>
              </w:rPr>
              <w:t>）</w:t>
            </w:r>
          </w:p>
        </w:tc>
        <w:tc>
          <w:tcPr>
            <w:tcW w:w="1098" w:type="dxa"/>
            <w:tcBorders>
              <w:tl2br w:val="nil"/>
              <w:tr2bl w:val="nil"/>
            </w:tcBorders>
            <w:vAlign w:val="center"/>
          </w:tcPr>
          <w:p w:rsidR="00525419" w:rsidRDefault="00EE1CF7">
            <w:pPr>
              <w:adjustRightInd w:val="0"/>
              <w:snapToGrid w:val="0"/>
              <w:jc w:val="center"/>
              <w:rPr>
                <w:rFonts w:ascii="Times New Roman" w:hAnsi="Times New Roman"/>
              </w:rPr>
            </w:pPr>
            <w:r>
              <w:rPr>
                <w:rFonts w:ascii="Times New Roman" w:hAnsi="Times New Roman"/>
              </w:rPr>
              <w:t>临界量</w:t>
            </w:r>
            <w:r>
              <w:rPr>
                <w:rFonts w:ascii="Times New Roman" w:hAnsi="Times New Roman"/>
              </w:rPr>
              <w:t>t</w:t>
            </w:r>
          </w:p>
        </w:tc>
      </w:tr>
      <w:tr w:rsidR="00525419">
        <w:trPr>
          <w:cantSplit/>
          <w:trHeight w:val="397"/>
          <w:jc w:val="center"/>
        </w:trPr>
        <w:tc>
          <w:tcPr>
            <w:tcW w:w="380"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1</w:t>
            </w:r>
          </w:p>
        </w:tc>
        <w:tc>
          <w:tcPr>
            <w:tcW w:w="1049"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煤焦油</w:t>
            </w:r>
          </w:p>
        </w:tc>
        <w:tc>
          <w:tcPr>
            <w:tcW w:w="1085"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煤焦油</w:t>
            </w:r>
          </w:p>
          <w:p w:rsidR="00525419" w:rsidRDefault="00EE1CF7">
            <w:pPr>
              <w:adjustRightInd w:val="0"/>
              <w:snapToGrid w:val="0"/>
              <w:jc w:val="center"/>
              <w:rPr>
                <w:rFonts w:ascii="Times New Roman" w:hAnsi="Times New Roman"/>
              </w:rPr>
            </w:pPr>
            <w:r>
              <w:rPr>
                <w:rFonts w:ascii="Times New Roman" w:hAnsi="Times New Roman"/>
              </w:rPr>
              <w:t>罐组</w:t>
            </w:r>
          </w:p>
        </w:tc>
        <w:tc>
          <w:tcPr>
            <w:tcW w:w="1325"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3×10000m</w:t>
            </w:r>
            <w:r>
              <w:rPr>
                <w:rFonts w:ascii="Times New Roman" w:hAnsi="Times New Roman"/>
                <w:vertAlign w:val="superscript"/>
              </w:rPr>
              <w:t>3</w:t>
            </w:r>
            <w:r>
              <w:rPr>
                <w:rFonts w:ascii="Times New Roman" w:hAnsi="Times New Roman"/>
              </w:rPr>
              <w:t>拱顶罐</w:t>
            </w:r>
          </w:p>
        </w:tc>
        <w:tc>
          <w:tcPr>
            <w:tcW w:w="848"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16800</w:t>
            </w:r>
          </w:p>
        </w:tc>
        <w:tc>
          <w:tcPr>
            <w:tcW w:w="686"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14</w:t>
            </w:r>
          </w:p>
        </w:tc>
        <w:tc>
          <w:tcPr>
            <w:tcW w:w="848" w:type="dxa"/>
            <w:tcBorders>
              <w:tl2br w:val="nil"/>
              <w:tr2bl w:val="nil"/>
            </w:tcBorders>
            <w:vAlign w:val="center"/>
          </w:tcPr>
          <w:p w:rsidR="00525419" w:rsidRDefault="00EE1CF7">
            <w:pPr>
              <w:adjustRightInd w:val="0"/>
              <w:snapToGrid w:val="0"/>
              <w:jc w:val="center"/>
              <w:rPr>
                <w:rFonts w:ascii="Times New Roman" w:hAnsi="Times New Roman"/>
              </w:rPr>
            </w:pPr>
            <w:r>
              <w:rPr>
                <w:rFonts w:ascii="Times New Roman" w:hAnsi="Times New Roman"/>
              </w:rPr>
              <w:t>60</w:t>
            </w:r>
          </w:p>
        </w:tc>
        <w:tc>
          <w:tcPr>
            <w:tcW w:w="1189" w:type="dxa"/>
            <w:tcBorders>
              <w:tl2br w:val="nil"/>
              <w:tr2bl w:val="nil"/>
            </w:tcBorders>
            <w:vAlign w:val="center"/>
          </w:tcPr>
          <w:p w:rsidR="00525419" w:rsidRDefault="00EE1CF7">
            <w:pPr>
              <w:adjustRightInd w:val="0"/>
              <w:snapToGrid w:val="0"/>
              <w:jc w:val="center"/>
              <w:rPr>
                <w:rFonts w:ascii="Times New Roman" w:hAnsi="Times New Roman"/>
              </w:rPr>
            </w:pPr>
            <w:r>
              <w:rPr>
                <w:rFonts w:ascii="Times New Roman" w:hAnsi="Times New Roman"/>
              </w:rPr>
              <w:t>常压</w:t>
            </w:r>
          </w:p>
        </w:tc>
        <w:tc>
          <w:tcPr>
            <w:tcW w:w="1098" w:type="dxa"/>
            <w:tcBorders>
              <w:tl2br w:val="nil"/>
              <w:tr2bl w:val="nil"/>
            </w:tcBorders>
            <w:vAlign w:val="center"/>
          </w:tcPr>
          <w:p w:rsidR="00525419" w:rsidRDefault="00EE1CF7">
            <w:pPr>
              <w:adjustRightInd w:val="0"/>
              <w:snapToGrid w:val="0"/>
              <w:jc w:val="center"/>
              <w:rPr>
                <w:rFonts w:ascii="Times New Roman" w:hAnsi="Times New Roman"/>
              </w:rPr>
            </w:pPr>
            <w:r>
              <w:rPr>
                <w:rFonts w:ascii="Times New Roman" w:hAnsi="Times New Roman"/>
              </w:rPr>
              <w:t>5</w:t>
            </w:r>
          </w:p>
        </w:tc>
      </w:tr>
      <w:tr w:rsidR="00525419">
        <w:trPr>
          <w:cantSplit/>
          <w:trHeight w:val="397"/>
          <w:jc w:val="center"/>
        </w:trPr>
        <w:tc>
          <w:tcPr>
            <w:tcW w:w="380"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2</w:t>
            </w:r>
          </w:p>
        </w:tc>
        <w:tc>
          <w:tcPr>
            <w:tcW w:w="1049" w:type="dxa"/>
            <w:tcBorders>
              <w:tl2br w:val="nil"/>
              <w:tr2bl w:val="nil"/>
            </w:tcBorders>
            <w:tcMar>
              <w:top w:w="57" w:type="dxa"/>
              <w:left w:w="85" w:type="dxa"/>
              <w:bottom w:w="57" w:type="dxa"/>
              <w:right w:w="85" w:type="dxa"/>
            </w:tcMar>
            <w:vAlign w:val="center"/>
          </w:tcPr>
          <w:p w:rsidR="00525419" w:rsidRDefault="00EE1CF7">
            <w:pPr>
              <w:jc w:val="center"/>
              <w:rPr>
                <w:rFonts w:ascii="Times New Roman" w:hAnsi="Times New Roman"/>
                <w:szCs w:val="24"/>
              </w:rPr>
            </w:pPr>
            <w:r>
              <w:rPr>
                <w:rFonts w:ascii="Times New Roman" w:hAnsi="Times New Roman"/>
                <w:szCs w:val="24"/>
              </w:rPr>
              <w:t>液化石</w:t>
            </w:r>
          </w:p>
          <w:p w:rsidR="00525419" w:rsidRDefault="00EE1CF7">
            <w:pPr>
              <w:jc w:val="center"/>
              <w:rPr>
                <w:rFonts w:ascii="Times New Roman" w:hAnsi="Times New Roman"/>
                <w:szCs w:val="24"/>
              </w:rPr>
            </w:pPr>
            <w:r>
              <w:rPr>
                <w:rFonts w:ascii="Times New Roman" w:hAnsi="Times New Roman"/>
                <w:szCs w:val="24"/>
              </w:rPr>
              <w:t>油气</w:t>
            </w:r>
          </w:p>
        </w:tc>
        <w:tc>
          <w:tcPr>
            <w:tcW w:w="1085"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lang w:val="zh-CN"/>
              </w:rPr>
            </w:pPr>
            <w:r>
              <w:rPr>
                <w:rFonts w:ascii="Times New Roman" w:hAnsi="Times New Roman"/>
                <w:lang w:val="zh-CN"/>
              </w:rPr>
              <w:t>液化气</w:t>
            </w:r>
          </w:p>
          <w:p w:rsidR="00525419" w:rsidRDefault="00EE1CF7">
            <w:pPr>
              <w:adjustRightInd w:val="0"/>
              <w:snapToGrid w:val="0"/>
              <w:jc w:val="center"/>
              <w:rPr>
                <w:rFonts w:ascii="Times New Roman" w:hAnsi="Times New Roman"/>
                <w:lang w:val="zh-CN"/>
              </w:rPr>
            </w:pPr>
            <w:r>
              <w:rPr>
                <w:rFonts w:ascii="Times New Roman" w:hAnsi="Times New Roman"/>
                <w:lang w:val="zh-CN"/>
              </w:rPr>
              <w:t>罐组</w:t>
            </w:r>
          </w:p>
        </w:tc>
        <w:tc>
          <w:tcPr>
            <w:tcW w:w="1325"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lang w:val="zh-CN"/>
              </w:rPr>
            </w:pPr>
            <w:r>
              <w:rPr>
                <w:rFonts w:ascii="Times New Roman" w:hAnsi="Times New Roman"/>
                <w:lang w:val="zh-CN"/>
              </w:rPr>
              <w:t>4×1000m</w:t>
            </w:r>
            <w:r>
              <w:rPr>
                <w:rFonts w:ascii="Times New Roman" w:hAnsi="Times New Roman"/>
                <w:vertAlign w:val="superscript"/>
                <w:lang w:val="zh-CN"/>
              </w:rPr>
              <w:t>3</w:t>
            </w:r>
            <w:r>
              <w:rPr>
                <w:rFonts w:ascii="Times New Roman" w:hAnsi="Times New Roman"/>
                <w:lang w:val="zh-CN"/>
              </w:rPr>
              <w:t>球罐</w:t>
            </w:r>
          </w:p>
        </w:tc>
        <w:tc>
          <w:tcPr>
            <w:tcW w:w="848"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1980</w:t>
            </w:r>
          </w:p>
        </w:tc>
        <w:tc>
          <w:tcPr>
            <w:tcW w:w="686"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48</w:t>
            </w:r>
          </w:p>
        </w:tc>
        <w:tc>
          <w:tcPr>
            <w:tcW w:w="848"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环温</w:t>
            </w:r>
          </w:p>
        </w:tc>
        <w:tc>
          <w:tcPr>
            <w:tcW w:w="1189"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1.77</w:t>
            </w:r>
          </w:p>
        </w:tc>
        <w:tc>
          <w:tcPr>
            <w:tcW w:w="1098"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10</w:t>
            </w:r>
          </w:p>
        </w:tc>
      </w:tr>
      <w:tr w:rsidR="00525419">
        <w:trPr>
          <w:cantSplit/>
          <w:trHeight w:val="397"/>
          <w:jc w:val="center"/>
        </w:trPr>
        <w:tc>
          <w:tcPr>
            <w:tcW w:w="380"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3</w:t>
            </w:r>
          </w:p>
        </w:tc>
        <w:tc>
          <w:tcPr>
            <w:tcW w:w="1049" w:type="dxa"/>
            <w:tcBorders>
              <w:tl2br w:val="nil"/>
              <w:tr2bl w:val="nil"/>
            </w:tcBorders>
            <w:tcMar>
              <w:top w:w="57" w:type="dxa"/>
              <w:left w:w="85" w:type="dxa"/>
              <w:bottom w:w="57" w:type="dxa"/>
              <w:right w:w="85" w:type="dxa"/>
            </w:tcMar>
            <w:vAlign w:val="center"/>
          </w:tcPr>
          <w:p w:rsidR="00525419" w:rsidRDefault="00EE1CF7">
            <w:pPr>
              <w:jc w:val="center"/>
              <w:rPr>
                <w:rFonts w:ascii="Times New Roman" w:hAnsi="Times New Roman"/>
                <w:szCs w:val="24"/>
              </w:rPr>
            </w:pPr>
            <w:r>
              <w:rPr>
                <w:rFonts w:ascii="Times New Roman" w:hAnsi="Times New Roman"/>
                <w:szCs w:val="24"/>
              </w:rPr>
              <w:t>石脑油</w:t>
            </w:r>
          </w:p>
        </w:tc>
        <w:tc>
          <w:tcPr>
            <w:tcW w:w="1085"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lang w:val="zh-CN"/>
              </w:rPr>
            </w:pPr>
            <w:r>
              <w:rPr>
                <w:rFonts w:ascii="Times New Roman" w:hAnsi="Times New Roman"/>
                <w:lang w:val="zh-CN"/>
              </w:rPr>
              <w:t>轻芳烃</w:t>
            </w:r>
          </w:p>
          <w:p w:rsidR="00525419" w:rsidRDefault="00EE1CF7">
            <w:pPr>
              <w:adjustRightInd w:val="0"/>
              <w:snapToGrid w:val="0"/>
              <w:jc w:val="center"/>
              <w:rPr>
                <w:rFonts w:ascii="Times New Roman" w:hAnsi="Times New Roman"/>
                <w:lang w:val="zh-CN"/>
              </w:rPr>
            </w:pPr>
            <w:r>
              <w:rPr>
                <w:rFonts w:ascii="Times New Roman" w:hAnsi="Times New Roman"/>
                <w:lang w:val="zh-CN"/>
              </w:rPr>
              <w:t>罐组</w:t>
            </w:r>
          </w:p>
        </w:tc>
        <w:tc>
          <w:tcPr>
            <w:tcW w:w="1325"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lang w:val="zh-CN"/>
              </w:rPr>
            </w:pPr>
            <w:r>
              <w:rPr>
                <w:rFonts w:ascii="Times New Roman" w:hAnsi="Times New Roman"/>
                <w:lang w:val="zh-CN"/>
              </w:rPr>
              <w:t>1×5000m</w:t>
            </w:r>
            <w:r>
              <w:rPr>
                <w:rFonts w:ascii="Times New Roman" w:hAnsi="Times New Roman"/>
                <w:vertAlign w:val="superscript"/>
                <w:lang w:val="zh-CN"/>
              </w:rPr>
              <w:t>3</w:t>
            </w:r>
            <w:r>
              <w:rPr>
                <w:rFonts w:ascii="Times New Roman" w:hAnsi="Times New Roman"/>
                <w:lang w:val="zh-CN"/>
              </w:rPr>
              <w:t>内浮顶罐</w:t>
            </w:r>
          </w:p>
        </w:tc>
        <w:tc>
          <w:tcPr>
            <w:tcW w:w="848"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3800</w:t>
            </w:r>
          </w:p>
        </w:tc>
        <w:tc>
          <w:tcPr>
            <w:tcW w:w="686"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hint="eastAsia"/>
              </w:rPr>
              <w:t>15.8</w:t>
            </w:r>
          </w:p>
        </w:tc>
        <w:tc>
          <w:tcPr>
            <w:tcW w:w="848"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环温</w:t>
            </w:r>
          </w:p>
        </w:tc>
        <w:tc>
          <w:tcPr>
            <w:tcW w:w="1189"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常压</w:t>
            </w:r>
          </w:p>
        </w:tc>
        <w:tc>
          <w:tcPr>
            <w:tcW w:w="1098"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2500</w:t>
            </w:r>
          </w:p>
        </w:tc>
      </w:tr>
      <w:tr w:rsidR="00525419">
        <w:trPr>
          <w:cantSplit/>
          <w:trHeight w:val="397"/>
          <w:jc w:val="center"/>
        </w:trPr>
        <w:tc>
          <w:tcPr>
            <w:tcW w:w="380"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4</w:t>
            </w:r>
          </w:p>
        </w:tc>
        <w:tc>
          <w:tcPr>
            <w:tcW w:w="1049" w:type="dxa"/>
            <w:tcBorders>
              <w:tl2br w:val="nil"/>
              <w:tr2bl w:val="nil"/>
            </w:tcBorders>
            <w:tcMar>
              <w:top w:w="57" w:type="dxa"/>
              <w:left w:w="85" w:type="dxa"/>
              <w:bottom w:w="57" w:type="dxa"/>
              <w:right w:w="85" w:type="dxa"/>
            </w:tcMar>
            <w:vAlign w:val="center"/>
          </w:tcPr>
          <w:p w:rsidR="00525419" w:rsidRDefault="00EE1CF7">
            <w:pPr>
              <w:jc w:val="center"/>
              <w:rPr>
                <w:rFonts w:ascii="Times New Roman" w:hAnsi="Times New Roman"/>
                <w:szCs w:val="24"/>
              </w:rPr>
            </w:pPr>
            <w:r>
              <w:rPr>
                <w:rFonts w:ascii="Times New Roman" w:hAnsi="Times New Roman"/>
                <w:szCs w:val="24"/>
              </w:rPr>
              <w:t>精制柴油</w:t>
            </w:r>
          </w:p>
        </w:tc>
        <w:tc>
          <w:tcPr>
            <w:tcW w:w="1085"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lang w:val="zh-CN"/>
              </w:rPr>
            </w:pPr>
            <w:r>
              <w:rPr>
                <w:rFonts w:ascii="Times New Roman" w:hAnsi="Times New Roman"/>
                <w:lang w:val="zh-CN"/>
              </w:rPr>
              <w:t>精制柴</w:t>
            </w:r>
          </w:p>
          <w:p w:rsidR="00525419" w:rsidRDefault="00EE1CF7">
            <w:pPr>
              <w:adjustRightInd w:val="0"/>
              <w:snapToGrid w:val="0"/>
              <w:jc w:val="center"/>
              <w:rPr>
                <w:rFonts w:ascii="Times New Roman" w:hAnsi="Times New Roman"/>
                <w:lang w:val="zh-CN"/>
              </w:rPr>
            </w:pPr>
            <w:r>
              <w:rPr>
                <w:rFonts w:ascii="Times New Roman" w:hAnsi="Times New Roman"/>
                <w:lang w:val="zh-CN"/>
              </w:rPr>
              <w:t>油罐组</w:t>
            </w:r>
          </w:p>
        </w:tc>
        <w:tc>
          <w:tcPr>
            <w:tcW w:w="1325"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3×5000m</w:t>
            </w:r>
            <w:r>
              <w:rPr>
                <w:rFonts w:ascii="Times New Roman" w:hAnsi="Times New Roman"/>
                <w:vertAlign w:val="superscript"/>
              </w:rPr>
              <w:t>3</w:t>
            </w:r>
            <w:r>
              <w:rPr>
                <w:rFonts w:ascii="Times New Roman" w:hAnsi="Times New Roman"/>
              </w:rPr>
              <w:t>拱顶储罐</w:t>
            </w:r>
          </w:p>
        </w:tc>
        <w:tc>
          <w:tcPr>
            <w:tcW w:w="848"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12750</w:t>
            </w:r>
          </w:p>
        </w:tc>
        <w:tc>
          <w:tcPr>
            <w:tcW w:w="686"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hint="eastAsia"/>
              </w:rPr>
              <w:t>15.9</w:t>
            </w:r>
          </w:p>
        </w:tc>
        <w:tc>
          <w:tcPr>
            <w:tcW w:w="848"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环温</w:t>
            </w:r>
          </w:p>
        </w:tc>
        <w:tc>
          <w:tcPr>
            <w:tcW w:w="1189"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常压</w:t>
            </w:r>
          </w:p>
        </w:tc>
        <w:tc>
          <w:tcPr>
            <w:tcW w:w="1098"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2500</w:t>
            </w:r>
          </w:p>
        </w:tc>
      </w:tr>
      <w:tr w:rsidR="00525419">
        <w:trPr>
          <w:cantSplit/>
          <w:trHeight w:val="397"/>
          <w:jc w:val="center"/>
        </w:trPr>
        <w:tc>
          <w:tcPr>
            <w:tcW w:w="380"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5</w:t>
            </w:r>
          </w:p>
        </w:tc>
        <w:tc>
          <w:tcPr>
            <w:tcW w:w="1049" w:type="dxa"/>
            <w:tcBorders>
              <w:tl2br w:val="nil"/>
              <w:tr2bl w:val="nil"/>
            </w:tcBorders>
            <w:tcMar>
              <w:top w:w="57" w:type="dxa"/>
              <w:left w:w="85" w:type="dxa"/>
              <w:bottom w:w="57" w:type="dxa"/>
              <w:right w:w="85" w:type="dxa"/>
            </w:tcMar>
            <w:vAlign w:val="center"/>
          </w:tcPr>
          <w:p w:rsidR="00525419" w:rsidRDefault="00EE1CF7">
            <w:pPr>
              <w:jc w:val="center"/>
              <w:rPr>
                <w:rFonts w:ascii="Times New Roman" w:hAnsi="Times New Roman"/>
                <w:szCs w:val="24"/>
              </w:rPr>
            </w:pPr>
            <w:r>
              <w:rPr>
                <w:rFonts w:ascii="Times New Roman" w:hAnsi="Times New Roman"/>
                <w:szCs w:val="24"/>
              </w:rPr>
              <w:t>精制尾油</w:t>
            </w:r>
          </w:p>
        </w:tc>
        <w:tc>
          <w:tcPr>
            <w:tcW w:w="1085"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lang w:val="zh-CN"/>
              </w:rPr>
            </w:pPr>
            <w:r>
              <w:rPr>
                <w:rFonts w:ascii="Times New Roman" w:hAnsi="Times New Roman"/>
                <w:lang w:val="zh-CN"/>
              </w:rPr>
              <w:t>精制尾</w:t>
            </w:r>
          </w:p>
          <w:p w:rsidR="00525419" w:rsidRDefault="00EE1CF7">
            <w:pPr>
              <w:adjustRightInd w:val="0"/>
              <w:snapToGrid w:val="0"/>
              <w:jc w:val="center"/>
              <w:rPr>
                <w:rFonts w:ascii="Times New Roman" w:hAnsi="Times New Roman"/>
                <w:lang w:val="zh-CN"/>
              </w:rPr>
            </w:pPr>
            <w:r>
              <w:rPr>
                <w:rFonts w:ascii="Times New Roman" w:hAnsi="Times New Roman"/>
                <w:lang w:val="zh-CN"/>
              </w:rPr>
              <w:t>油组</w:t>
            </w:r>
          </w:p>
        </w:tc>
        <w:tc>
          <w:tcPr>
            <w:tcW w:w="1325"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1×2000m</w:t>
            </w:r>
            <w:r>
              <w:rPr>
                <w:rFonts w:ascii="Times New Roman" w:hAnsi="Times New Roman"/>
                <w:vertAlign w:val="superscript"/>
              </w:rPr>
              <w:t>3</w:t>
            </w:r>
            <w:r>
              <w:rPr>
                <w:rFonts w:ascii="Times New Roman" w:hAnsi="Times New Roman"/>
              </w:rPr>
              <w:t>拱顶储罐</w:t>
            </w:r>
          </w:p>
        </w:tc>
        <w:tc>
          <w:tcPr>
            <w:tcW w:w="848"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1800</w:t>
            </w:r>
          </w:p>
        </w:tc>
        <w:tc>
          <w:tcPr>
            <w:tcW w:w="686"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75</w:t>
            </w:r>
          </w:p>
        </w:tc>
        <w:tc>
          <w:tcPr>
            <w:tcW w:w="848"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60</w:t>
            </w:r>
          </w:p>
        </w:tc>
        <w:tc>
          <w:tcPr>
            <w:tcW w:w="1189"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常压</w:t>
            </w:r>
          </w:p>
        </w:tc>
        <w:tc>
          <w:tcPr>
            <w:tcW w:w="1098"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2500</w:t>
            </w:r>
          </w:p>
        </w:tc>
      </w:tr>
      <w:tr w:rsidR="00525419">
        <w:trPr>
          <w:cantSplit/>
          <w:trHeight w:val="397"/>
          <w:jc w:val="center"/>
        </w:trPr>
        <w:tc>
          <w:tcPr>
            <w:tcW w:w="380"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6</w:t>
            </w:r>
          </w:p>
        </w:tc>
        <w:tc>
          <w:tcPr>
            <w:tcW w:w="1049" w:type="dxa"/>
            <w:tcBorders>
              <w:tl2br w:val="nil"/>
              <w:tr2bl w:val="nil"/>
            </w:tcBorders>
            <w:tcMar>
              <w:top w:w="57" w:type="dxa"/>
              <w:left w:w="85" w:type="dxa"/>
              <w:bottom w:w="57" w:type="dxa"/>
              <w:right w:w="85" w:type="dxa"/>
            </w:tcMar>
            <w:vAlign w:val="center"/>
          </w:tcPr>
          <w:p w:rsidR="00525419" w:rsidRDefault="00EE1CF7">
            <w:pPr>
              <w:jc w:val="center"/>
              <w:rPr>
                <w:rFonts w:ascii="Times New Roman" w:hAnsi="Times New Roman"/>
                <w:szCs w:val="24"/>
              </w:rPr>
            </w:pPr>
            <w:r>
              <w:rPr>
                <w:rFonts w:ascii="Times New Roman" w:hAnsi="Times New Roman"/>
                <w:szCs w:val="24"/>
              </w:rPr>
              <w:t>尾油</w:t>
            </w:r>
          </w:p>
        </w:tc>
        <w:tc>
          <w:tcPr>
            <w:tcW w:w="1085" w:type="dxa"/>
            <w:tcBorders>
              <w:tl2br w:val="nil"/>
              <w:tr2bl w:val="nil"/>
            </w:tcBorders>
            <w:tcMar>
              <w:top w:w="57" w:type="dxa"/>
              <w:left w:w="85" w:type="dxa"/>
              <w:bottom w:w="57" w:type="dxa"/>
              <w:right w:w="85" w:type="dxa"/>
            </w:tcMar>
            <w:vAlign w:val="center"/>
          </w:tcPr>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spacing w:val="4"/>
                <w:kern w:val="0"/>
              </w:rPr>
            </w:pPr>
            <w:r>
              <w:rPr>
                <w:rFonts w:ascii="Times New Roman" w:hAnsi="Times New Roman"/>
                <w:spacing w:val="4"/>
                <w:kern w:val="0"/>
              </w:rPr>
              <w:t>尾油中</w:t>
            </w:r>
          </w:p>
          <w:p w:rsidR="00525419" w:rsidRDefault="00EE1CF7">
            <w:pPr>
              <w:tabs>
                <w:tab w:val="left" w:pos="639"/>
                <w:tab w:val="center" w:pos="5670"/>
                <w:tab w:val="right" w:pos="7655"/>
              </w:tabs>
              <w:adjustRightInd w:val="0"/>
              <w:snapToGrid w:val="0"/>
              <w:spacing w:line="120" w:lineRule="atLeast"/>
              <w:jc w:val="center"/>
              <w:outlineLvl w:val="7"/>
              <w:rPr>
                <w:rFonts w:ascii="Times New Roman" w:hAnsi="Times New Roman"/>
                <w:lang w:val="zh-CN"/>
              </w:rPr>
            </w:pPr>
            <w:r>
              <w:rPr>
                <w:rFonts w:ascii="Times New Roman" w:hAnsi="Times New Roman"/>
                <w:spacing w:val="4"/>
                <w:kern w:val="0"/>
              </w:rPr>
              <w:t>间罐</w:t>
            </w:r>
          </w:p>
        </w:tc>
        <w:tc>
          <w:tcPr>
            <w:tcW w:w="1325"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2×10000m</w:t>
            </w:r>
            <w:r>
              <w:rPr>
                <w:rFonts w:ascii="Times New Roman" w:hAnsi="Times New Roman"/>
                <w:vertAlign w:val="superscript"/>
              </w:rPr>
              <w:t>3</w:t>
            </w:r>
            <w:r>
              <w:rPr>
                <w:rFonts w:ascii="Times New Roman" w:hAnsi="Times New Roman"/>
              </w:rPr>
              <w:t>拱顶储罐</w:t>
            </w:r>
          </w:p>
        </w:tc>
        <w:tc>
          <w:tcPr>
            <w:tcW w:w="848"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20000</w:t>
            </w:r>
          </w:p>
        </w:tc>
        <w:tc>
          <w:tcPr>
            <w:tcW w:w="686"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75</w:t>
            </w:r>
          </w:p>
        </w:tc>
        <w:tc>
          <w:tcPr>
            <w:tcW w:w="848"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60</w:t>
            </w:r>
          </w:p>
        </w:tc>
        <w:tc>
          <w:tcPr>
            <w:tcW w:w="1189"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常压</w:t>
            </w:r>
          </w:p>
        </w:tc>
        <w:tc>
          <w:tcPr>
            <w:tcW w:w="1098"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2500</w:t>
            </w:r>
          </w:p>
        </w:tc>
      </w:tr>
    </w:tbl>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5.6.1.5 Q</w:t>
      </w:r>
      <w:r>
        <w:rPr>
          <w:rFonts w:ascii="Times New Roman" w:hAnsi="Times New Roman" w:cs="Times New Roman"/>
          <w:kern w:val="44"/>
          <w:sz w:val="24"/>
          <w:szCs w:val="24"/>
        </w:rPr>
        <w:t>值的确定</w:t>
      </w:r>
    </w:p>
    <w:p w:rsidR="00525419" w:rsidRDefault="00EE1CF7">
      <w:pPr>
        <w:pStyle w:val="afffffffffffffffffffffffffffffffffff0"/>
        <w:adjustRightInd/>
        <w:snapToGrid/>
        <w:rPr>
          <w:color w:val="auto"/>
        </w:rPr>
      </w:pPr>
      <w:r>
        <w:rPr>
          <w:color w:val="auto"/>
        </w:rPr>
        <w:t>根据《建设项目环境风险评价技术导则》（</w:t>
      </w:r>
      <w:r>
        <w:rPr>
          <w:color w:val="auto"/>
        </w:rPr>
        <w:t>HJ169-2018</w:t>
      </w:r>
      <w:r>
        <w:rPr>
          <w:color w:val="auto"/>
        </w:rPr>
        <w:t>）附录</w:t>
      </w:r>
      <w:r>
        <w:rPr>
          <w:color w:val="auto"/>
        </w:rPr>
        <w:t>C</w:t>
      </w:r>
      <w:r>
        <w:rPr>
          <w:color w:val="auto"/>
        </w:rPr>
        <w:t>的规定：</w:t>
      </w:r>
    </w:p>
    <w:p w:rsidR="00525419" w:rsidRDefault="00EE1CF7">
      <w:pPr>
        <w:pStyle w:val="afffffffffffffffffffffffffffffffffff0"/>
        <w:adjustRightInd/>
        <w:snapToGrid/>
        <w:rPr>
          <w:color w:val="auto"/>
        </w:rPr>
      </w:pPr>
      <w:r>
        <w:rPr>
          <w:color w:val="auto"/>
        </w:rPr>
        <w:lastRenderedPageBreak/>
        <w:t>（</w:t>
      </w:r>
      <w:r>
        <w:rPr>
          <w:color w:val="auto"/>
        </w:rPr>
        <w:t>1</w:t>
      </w:r>
      <w:r>
        <w:rPr>
          <w:color w:val="auto"/>
        </w:rPr>
        <w:t>）当厂界内只涉及一种危险物质时，计算该物质的总量与其临界量比值，即为</w:t>
      </w:r>
      <w:r>
        <w:rPr>
          <w:color w:val="auto"/>
        </w:rPr>
        <w:t>Q</w:t>
      </w:r>
      <w:r>
        <w:rPr>
          <w:color w:val="auto"/>
        </w:rPr>
        <w:t>；</w:t>
      </w:r>
    </w:p>
    <w:p w:rsidR="00525419" w:rsidRDefault="00EE1CF7">
      <w:pPr>
        <w:pStyle w:val="afffffffffffffffffffffffffffffffffff0"/>
        <w:adjustRightInd/>
        <w:snapToGrid/>
        <w:rPr>
          <w:color w:val="auto"/>
        </w:rPr>
      </w:pPr>
      <w:r>
        <w:rPr>
          <w:color w:val="auto"/>
        </w:rPr>
        <w:t>（</w:t>
      </w:r>
      <w:r>
        <w:rPr>
          <w:color w:val="auto"/>
        </w:rPr>
        <w:t>2</w:t>
      </w:r>
      <w:r>
        <w:rPr>
          <w:color w:val="auto"/>
        </w:rPr>
        <w:t>）当厂界内存在多种危险物质时，则按式（</w:t>
      </w:r>
      <w:r>
        <w:rPr>
          <w:color w:val="auto"/>
        </w:rPr>
        <w:t>C.1</w:t>
      </w:r>
      <w:r>
        <w:rPr>
          <w:color w:val="auto"/>
        </w:rPr>
        <w:t>）计算物质总量与其临界量比值（</w:t>
      </w:r>
      <w:r>
        <w:rPr>
          <w:color w:val="auto"/>
        </w:rPr>
        <w:t>Q</w:t>
      </w:r>
      <w:r>
        <w:rPr>
          <w:color w:val="auto"/>
        </w:rPr>
        <w:t>）：</w:t>
      </w:r>
    </w:p>
    <w:p w:rsidR="00525419" w:rsidRDefault="007D0E8A">
      <w:pPr>
        <w:pStyle w:val="afffffffffffffffffffffffffffffffffff0"/>
        <w:adjustRightInd/>
        <w:snapToGrid/>
        <w:rPr>
          <w:color w:val="auto"/>
        </w:rPr>
      </w:pPr>
      <w:r>
        <w:rPr>
          <w:color w:val="auto"/>
        </w:rPr>
        <w:object w:dxaOrig="1440" w:dyaOrig="1440">
          <v:shape id="_x0000_s3153" type="#_x0000_t75" style="position:absolute;left:0;text-align:left;margin-left:100.3pt;margin-top:12.35pt;width:97.45pt;height:35.4pt;z-index:251668992;mso-width-relative:page;mso-height-relative:page">
            <v:imagedata r:id="rId40" o:title=""/>
          </v:shape>
          <o:OLEObject Type="Embed" ProgID="Equation.3" ShapeID="_x0000_s3153" DrawAspect="Content" ObjectID="_1747214919" r:id="rId41"/>
        </w:object>
      </w:r>
    </w:p>
    <w:p w:rsidR="00525419" w:rsidRDefault="00EE1CF7">
      <w:pPr>
        <w:autoSpaceDE w:val="0"/>
        <w:autoSpaceDN w:val="0"/>
        <w:adjustRightInd w:val="0"/>
        <w:spacing w:after="120" w:line="360" w:lineRule="auto"/>
        <w:ind w:firstLineChars="600" w:firstLine="1440"/>
        <w:rPr>
          <w:rFonts w:ascii="Times New Roman" w:hAnsi="Times New Roman"/>
          <w:sz w:val="24"/>
          <w:szCs w:val="24"/>
        </w:rPr>
      </w:pPr>
      <w:r>
        <w:rPr>
          <w:rFonts w:ascii="Times New Roman" w:hAnsi="Times New Roman"/>
          <w:sz w:val="24"/>
          <w:szCs w:val="24"/>
        </w:rPr>
        <w:t>Q=                    ………………………… (C.1)</w:t>
      </w:r>
    </w:p>
    <w:p w:rsidR="00525419" w:rsidRDefault="00EE1CF7">
      <w:pPr>
        <w:pStyle w:val="afffffffffffffffffffffffffffffffffff0"/>
        <w:adjustRightInd/>
        <w:snapToGrid/>
        <w:rPr>
          <w:color w:val="auto"/>
        </w:rPr>
      </w:pPr>
      <w:r>
        <w:rPr>
          <w:color w:val="auto"/>
        </w:rPr>
        <w:t>式中，</w:t>
      </w:r>
      <w:r>
        <w:rPr>
          <w:color w:val="auto"/>
        </w:rPr>
        <w:t>q</w:t>
      </w:r>
      <w:r>
        <w:rPr>
          <w:color w:val="auto"/>
          <w:vertAlign w:val="subscript"/>
        </w:rPr>
        <w:t>1</w:t>
      </w:r>
      <w:r>
        <w:rPr>
          <w:color w:val="auto"/>
        </w:rPr>
        <w:t>，</w:t>
      </w:r>
      <w:r>
        <w:rPr>
          <w:color w:val="auto"/>
        </w:rPr>
        <w:t>q</w:t>
      </w:r>
      <w:r>
        <w:rPr>
          <w:color w:val="auto"/>
          <w:vertAlign w:val="subscript"/>
        </w:rPr>
        <w:t>2</w:t>
      </w:r>
      <w:r>
        <w:rPr>
          <w:color w:val="auto"/>
        </w:rPr>
        <w:t>，</w:t>
      </w:r>
      <w:r>
        <w:rPr>
          <w:color w:val="auto"/>
        </w:rPr>
        <w:t>…q</w:t>
      </w:r>
      <w:r>
        <w:rPr>
          <w:color w:val="auto"/>
          <w:vertAlign w:val="subscript"/>
        </w:rPr>
        <w:t>n</w:t>
      </w:r>
      <w:r>
        <w:rPr>
          <w:color w:val="auto"/>
        </w:rPr>
        <w:t>—</w:t>
      </w:r>
      <w:r>
        <w:rPr>
          <w:color w:val="auto"/>
        </w:rPr>
        <w:t>每种危险物质的最大存在总量，</w:t>
      </w:r>
      <w:r>
        <w:rPr>
          <w:color w:val="auto"/>
        </w:rPr>
        <w:t>t</w:t>
      </w:r>
      <w:r>
        <w:rPr>
          <w:color w:val="auto"/>
        </w:rPr>
        <w:t>；</w:t>
      </w:r>
    </w:p>
    <w:p w:rsidR="00525419" w:rsidRDefault="00EE1CF7">
      <w:pPr>
        <w:pStyle w:val="afffffffffffffffffffffffffffffffffff0"/>
        <w:adjustRightInd/>
        <w:snapToGrid/>
        <w:rPr>
          <w:color w:val="auto"/>
        </w:rPr>
      </w:pPr>
      <w:r>
        <w:rPr>
          <w:color w:val="auto"/>
        </w:rPr>
        <w:t>Q</w:t>
      </w:r>
      <w:r>
        <w:rPr>
          <w:color w:val="auto"/>
          <w:vertAlign w:val="subscript"/>
        </w:rPr>
        <w:t>1</w:t>
      </w:r>
      <w:r>
        <w:rPr>
          <w:color w:val="auto"/>
        </w:rPr>
        <w:t>，</w:t>
      </w:r>
      <w:r>
        <w:rPr>
          <w:color w:val="auto"/>
        </w:rPr>
        <w:t>Q</w:t>
      </w:r>
      <w:r>
        <w:rPr>
          <w:color w:val="auto"/>
          <w:vertAlign w:val="subscript"/>
        </w:rPr>
        <w:t>2</w:t>
      </w:r>
      <w:r>
        <w:rPr>
          <w:color w:val="auto"/>
        </w:rPr>
        <w:t>，</w:t>
      </w:r>
      <w:r>
        <w:rPr>
          <w:color w:val="auto"/>
        </w:rPr>
        <w:t>…Q</w:t>
      </w:r>
      <w:r>
        <w:rPr>
          <w:color w:val="auto"/>
          <w:vertAlign w:val="subscript"/>
        </w:rPr>
        <w:t>n</w:t>
      </w:r>
      <w:r>
        <w:rPr>
          <w:color w:val="auto"/>
        </w:rPr>
        <w:t>——</w:t>
      </w:r>
      <w:r>
        <w:rPr>
          <w:color w:val="auto"/>
        </w:rPr>
        <w:t>每种危险物质的临界量，</w:t>
      </w:r>
      <w:r>
        <w:rPr>
          <w:color w:val="auto"/>
        </w:rPr>
        <w:t>t</w:t>
      </w:r>
      <w:r>
        <w:rPr>
          <w:color w:val="auto"/>
        </w:rPr>
        <w:t>。</w:t>
      </w:r>
    </w:p>
    <w:p w:rsidR="00525419" w:rsidRDefault="00EE1CF7">
      <w:pPr>
        <w:pStyle w:val="afffffffffffffffffffffffffffffffffff0"/>
        <w:adjustRightInd/>
        <w:snapToGrid/>
        <w:rPr>
          <w:color w:val="auto"/>
        </w:rPr>
      </w:pPr>
      <w:r>
        <w:rPr>
          <w:color w:val="auto"/>
        </w:rPr>
        <w:t>当</w:t>
      </w:r>
      <w:r>
        <w:rPr>
          <w:color w:val="auto"/>
        </w:rPr>
        <w:t xml:space="preserve"> Q</w:t>
      </w:r>
      <w:r>
        <w:rPr>
          <w:color w:val="auto"/>
        </w:rPr>
        <w:t>＜</w:t>
      </w:r>
      <w:r>
        <w:rPr>
          <w:color w:val="auto"/>
        </w:rPr>
        <w:t xml:space="preserve">1 </w:t>
      </w:r>
      <w:r>
        <w:rPr>
          <w:color w:val="auto"/>
        </w:rPr>
        <w:t>时，该项目环境风险潜势为</w:t>
      </w:r>
      <w:r>
        <w:rPr>
          <w:color w:val="auto"/>
        </w:rPr>
        <w:t>Ⅰ</w:t>
      </w:r>
      <w:r>
        <w:rPr>
          <w:color w:val="auto"/>
        </w:rPr>
        <w:t>。</w:t>
      </w:r>
      <w:r>
        <w:rPr>
          <w:color w:val="auto"/>
        </w:rPr>
        <w:t xml:space="preserve"> </w:t>
      </w:r>
    </w:p>
    <w:p w:rsidR="00525419" w:rsidRDefault="00EE1CF7">
      <w:pPr>
        <w:pStyle w:val="afffffffffffffffffffffffffffffffffff0"/>
        <w:adjustRightInd/>
        <w:snapToGrid/>
        <w:rPr>
          <w:color w:val="auto"/>
        </w:rPr>
      </w:pPr>
      <w:r>
        <w:rPr>
          <w:color w:val="auto"/>
        </w:rPr>
        <w:t>当</w:t>
      </w:r>
      <w:r>
        <w:rPr>
          <w:color w:val="auto"/>
        </w:rPr>
        <w:t xml:space="preserve"> Q≥1 </w:t>
      </w:r>
      <w:r>
        <w:rPr>
          <w:color w:val="auto"/>
        </w:rPr>
        <w:t>时，将</w:t>
      </w:r>
      <w:r>
        <w:rPr>
          <w:color w:val="auto"/>
        </w:rPr>
        <w:t>Q</w:t>
      </w:r>
      <w:r>
        <w:rPr>
          <w:color w:val="auto"/>
        </w:rPr>
        <w:t>值划分为：</w:t>
      </w:r>
      <w:r>
        <w:rPr>
          <w:color w:val="auto"/>
        </w:rPr>
        <w:fldChar w:fldCharType="begin"/>
      </w:r>
      <w:r>
        <w:rPr>
          <w:color w:val="auto"/>
        </w:rPr>
        <w:instrText xml:space="preserve"> = 1 \* GB3 </w:instrText>
      </w:r>
      <w:r>
        <w:rPr>
          <w:color w:val="auto"/>
        </w:rPr>
        <w:fldChar w:fldCharType="separate"/>
      </w:r>
      <w:r>
        <w:rPr>
          <w:color w:val="auto"/>
        </w:rPr>
        <w:t>①</w:t>
      </w:r>
      <w:r>
        <w:rPr>
          <w:color w:val="auto"/>
        </w:rPr>
        <w:fldChar w:fldCharType="end"/>
      </w:r>
      <w:r>
        <w:rPr>
          <w:color w:val="auto"/>
        </w:rPr>
        <w:t>1≤Q</w:t>
      </w:r>
      <w:r>
        <w:rPr>
          <w:color w:val="auto"/>
        </w:rPr>
        <w:t>＜</w:t>
      </w:r>
      <w:r>
        <w:rPr>
          <w:color w:val="auto"/>
        </w:rPr>
        <w:t>10</w:t>
      </w:r>
      <w:r>
        <w:rPr>
          <w:color w:val="auto"/>
        </w:rPr>
        <w:t>；</w:t>
      </w:r>
      <w:r>
        <w:rPr>
          <w:color w:val="auto"/>
        </w:rPr>
        <w:fldChar w:fldCharType="begin"/>
      </w:r>
      <w:r>
        <w:rPr>
          <w:color w:val="auto"/>
        </w:rPr>
        <w:instrText xml:space="preserve"> = 2 \* GB3 </w:instrText>
      </w:r>
      <w:r>
        <w:rPr>
          <w:color w:val="auto"/>
        </w:rPr>
        <w:fldChar w:fldCharType="separate"/>
      </w:r>
      <w:r>
        <w:rPr>
          <w:color w:val="auto"/>
        </w:rPr>
        <w:t>②</w:t>
      </w:r>
      <w:r>
        <w:rPr>
          <w:color w:val="auto"/>
        </w:rPr>
        <w:fldChar w:fldCharType="end"/>
      </w:r>
      <w:r>
        <w:rPr>
          <w:color w:val="auto"/>
        </w:rPr>
        <w:t>10≤Q</w:t>
      </w:r>
      <w:r>
        <w:rPr>
          <w:color w:val="auto"/>
        </w:rPr>
        <w:t>＜</w:t>
      </w:r>
      <w:r>
        <w:rPr>
          <w:color w:val="auto"/>
        </w:rPr>
        <w:t>100</w:t>
      </w:r>
      <w:r>
        <w:rPr>
          <w:color w:val="auto"/>
        </w:rPr>
        <w:t>；</w:t>
      </w:r>
      <w:r>
        <w:rPr>
          <w:color w:val="auto"/>
        </w:rPr>
        <w:fldChar w:fldCharType="begin"/>
      </w:r>
      <w:r>
        <w:rPr>
          <w:color w:val="auto"/>
        </w:rPr>
        <w:instrText xml:space="preserve"> = 3 \* GB3 </w:instrText>
      </w:r>
      <w:r>
        <w:rPr>
          <w:color w:val="auto"/>
        </w:rPr>
        <w:fldChar w:fldCharType="separate"/>
      </w:r>
      <w:r>
        <w:rPr>
          <w:color w:val="auto"/>
        </w:rPr>
        <w:t>③</w:t>
      </w:r>
      <w:r>
        <w:rPr>
          <w:color w:val="auto"/>
        </w:rPr>
        <w:fldChar w:fldCharType="end"/>
      </w:r>
      <w:r>
        <w:rPr>
          <w:color w:val="auto"/>
        </w:rPr>
        <w:t>Q≥100</w:t>
      </w:r>
      <w:r>
        <w:rPr>
          <w:color w:val="auto"/>
        </w:rPr>
        <w:t>。</w:t>
      </w:r>
    </w:p>
    <w:p w:rsidR="00525419" w:rsidRDefault="00EE1CF7">
      <w:pPr>
        <w:pStyle w:val="afffffffffffffffffffffffffffffffffff0"/>
        <w:adjustRightInd/>
        <w:snapToGrid/>
        <w:rPr>
          <w:color w:val="auto"/>
        </w:rPr>
      </w:pPr>
      <w:r>
        <w:rPr>
          <w:color w:val="auto"/>
        </w:rPr>
        <w:t>经计算，本项目的</w:t>
      </w:r>
      <w:r>
        <w:rPr>
          <w:color w:val="auto"/>
        </w:rPr>
        <w:t>Q</w:t>
      </w:r>
      <w:r>
        <w:rPr>
          <w:color w:val="auto"/>
        </w:rPr>
        <w:t>值为</w:t>
      </w:r>
      <w:r>
        <w:rPr>
          <w:color w:val="auto"/>
        </w:rPr>
        <w:t>3573.34</w:t>
      </w:r>
      <w:r>
        <w:rPr>
          <w:color w:val="auto"/>
        </w:rPr>
        <w:t>，具体见表</w:t>
      </w:r>
      <w:r>
        <w:rPr>
          <w:color w:val="auto"/>
        </w:rPr>
        <w:t>5.6-4</w:t>
      </w:r>
      <w:r>
        <w:rPr>
          <w:color w:val="auto"/>
        </w:rPr>
        <w:t>。</w:t>
      </w:r>
    </w:p>
    <w:p w:rsidR="00525419" w:rsidRDefault="00EE1CF7">
      <w:pPr>
        <w:ind w:firstLineChars="1100" w:firstLine="2310"/>
        <w:rPr>
          <w:rFonts w:ascii="Times New Roman" w:eastAsia="黑体" w:hAnsi="Times New Roman"/>
        </w:rPr>
      </w:pPr>
      <w:r>
        <w:rPr>
          <w:rFonts w:ascii="Times New Roman" w:eastAsia="黑体" w:hAnsi="Times New Roman"/>
        </w:rPr>
        <w:t>表</w:t>
      </w:r>
      <w:r>
        <w:rPr>
          <w:rFonts w:ascii="Times New Roman" w:eastAsia="黑体" w:hAnsi="Times New Roman"/>
        </w:rPr>
        <w:t xml:space="preserve">5.6-4     </w:t>
      </w:r>
      <w:r>
        <w:rPr>
          <w:rFonts w:ascii="Times New Roman" w:eastAsia="黑体" w:hAnsi="Times New Roman"/>
        </w:rPr>
        <w:t>建设项目</w:t>
      </w:r>
      <w:r>
        <w:rPr>
          <w:rFonts w:ascii="Times New Roman" w:eastAsia="黑体" w:hAnsi="Times New Roman"/>
        </w:rPr>
        <w:t xml:space="preserve"> Q </w:t>
      </w:r>
      <w:r>
        <w:rPr>
          <w:rFonts w:ascii="Times New Roman" w:eastAsia="黑体" w:hAnsi="Times New Roman"/>
        </w:rPr>
        <w:t>值确定表</w:t>
      </w:r>
    </w:p>
    <w:tbl>
      <w:tblPr>
        <w:tblW w:w="86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61"/>
        <w:gridCol w:w="1923"/>
        <w:gridCol w:w="1369"/>
        <w:gridCol w:w="1836"/>
        <w:gridCol w:w="1280"/>
        <w:gridCol w:w="1631"/>
      </w:tblGrid>
      <w:tr w:rsidR="00525419">
        <w:trPr>
          <w:cantSplit/>
          <w:trHeight w:val="397"/>
          <w:tblHeader/>
          <w:jc w:val="center"/>
        </w:trPr>
        <w:tc>
          <w:tcPr>
            <w:tcW w:w="561"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序号</w:t>
            </w:r>
          </w:p>
        </w:tc>
        <w:tc>
          <w:tcPr>
            <w:tcW w:w="1923"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名称</w:t>
            </w:r>
          </w:p>
        </w:tc>
        <w:tc>
          <w:tcPr>
            <w:tcW w:w="1369"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CAS</w:t>
            </w:r>
            <w:r>
              <w:rPr>
                <w:rFonts w:ascii="Times New Roman" w:hAnsi="Times New Roman"/>
              </w:rPr>
              <w:t>号</w:t>
            </w:r>
          </w:p>
        </w:tc>
        <w:tc>
          <w:tcPr>
            <w:tcW w:w="1836"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最大存在储量（</w:t>
            </w:r>
            <w:r>
              <w:rPr>
                <w:rFonts w:ascii="Times New Roman" w:hAnsi="Times New Roman"/>
              </w:rPr>
              <w:t>t</w:t>
            </w:r>
            <w:r>
              <w:rPr>
                <w:rFonts w:ascii="Times New Roman" w:hAnsi="Times New Roman"/>
              </w:rPr>
              <w:t>）</w:t>
            </w:r>
          </w:p>
        </w:tc>
        <w:tc>
          <w:tcPr>
            <w:tcW w:w="1280" w:type="dxa"/>
            <w:tcBorders>
              <w:tl2br w:val="nil"/>
              <w:tr2bl w:val="nil"/>
            </w:tcBorders>
            <w:vAlign w:val="center"/>
          </w:tcPr>
          <w:p w:rsidR="00525419" w:rsidRDefault="00EE1CF7">
            <w:pPr>
              <w:adjustRightInd w:val="0"/>
              <w:snapToGrid w:val="0"/>
              <w:jc w:val="center"/>
              <w:rPr>
                <w:rFonts w:ascii="Times New Roman" w:hAnsi="Times New Roman"/>
              </w:rPr>
            </w:pPr>
            <w:r>
              <w:rPr>
                <w:rFonts w:ascii="Times New Roman" w:hAnsi="Times New Roman"/>
              </w:rPr>
              <w:t>临界量</w:t>
            </w:r>
            <w:r>
              <w:rPr>
                <w:rFonts w:ascii="Times New Roman" w:hAnsi="Times New Roman"/>
              </w:rPr>
              <w:t>t</w:t>
            </w:r>
          </w:p>
        </w:tc>
        <w:tc>
          <w:tcPr>
            <w:tcW w:w="1631" w:type="dxa"/>
            <w:tcBorders>
              <w:tl2br w:val="nil"/>
              <w:tr2bl w:val="nil"/>
            </w:tcBorders>
            <w:vAlign w:val="center"/>
          </w:tcPr>
          <w:p w:rsidR="00525419" w:rsidRDefault="00EE1CF7">
            <w:pPr>
              <w:adjustRightInd w:val="0"/>
              <w:snapToGrid w:val="0"/>
              <w:jc w:val="center"/>
              <w:rPr>
                <w:rFonts w:ascii="Times New Roman" w:hAnsi="Times New Roman"/>
              </w:rPr>
            </w:pPr>
            <w:r>
              <w:rPr>
                <w:rFonts w:ascii="Times New Roman" w:hAnsi="Times New Roman"/>
                <w:szCs w:val="21"/>
              </w:rPr>
              <w:t>该种危险物质</w:t>
            </w:r>
            <w:r>
              <w:rPr>
                <w:rFonts w:ascii="Times New Roman" w:hAnsi="Times New Roman"/>
                <w:szCs w:val="21"/>
              </w:rPr>
              <w:t>Q</w:t>
            </w:r>
            <w:r>
              <w:rPr>
                <w:rFonts w:ascii="Times New Roman" w:hAnsi="Times New Roman"/>
                <w:szCs w:val="21"/>
              </w:rPr>
              <w:t>值</w:t>
            </w:r>
          </w:p>
        </w:tc>
      </w:tr>
      <w:tr w:rsidR="00525419">
        <w:trPr>
          <w:cantSplit/>
          <w:trHeight w:val="397"/>
          <w:jc w:val="center"/>
        </w:trPr>
        <w:tc>
          <w:tcPr>
            <w:tcW w:w="561"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1</w:t>
            </w:r>
          </w:p>
        </w:tc>
        <w:tc>
          <w:tcPr>
            <w:tcW w:w="1923"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煤焦油</w:t>
            </w:r>
          </w:p>
        </w:tc>
        <w:tc>
          <w:tcPr>
            <w:tcW w:w="1369"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szCs w:val="21"/>
              </w:rPr>
              <w:t>65996-92-1</w:t>
            </w:r>
          </w:p>
        </w:tc>
        <w:tc>
          <w:tcPr>
            <w:tcW w:w="1836"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16800</w:t>
            </w:r>
          </w:p>
        </w:tc>
        <w:tc>
          <w:tcPr>
            <w:tcW w:w="1280" w:type="dxa"/>
            <w:tcBorders>
              <w:tl2br w:val="nil"/>
              <w:tr2bl w:val="nil"/>
            </w:tcBorders>
            <w:vAlign w:val="center"/>
          </w:tcPr>
          <w:p w:rsidR="00525419" w:rsidRDefault="00EE1CF7">
            <w:pPr>
              <w:adjustRightInd w:val="0"/>
              <w:snapToGrid w:val="0"/>
              <w:jc w:val="center"/>
              <w:rPr>
                <w:rFonts w:ascii="Times New Roman" w:hAnsi="Times New Roman"/>
              </w:rPr>
            </w:pPr>
            <w:r>
              <w:rPr>
                <w:rFonts w:ascii="Times New Roman" w:hAnsi="Times New Roman"/>
              </w:rPr>
              <w:t>5</w:t>
            </w:r>
          </w:p>
        </w:tc>
        <w:tc>
          <w:tcPr>
            <w:tcW w:w="1631" w:type="dxa"/>
            <w:tcBorders>
              <w:tl2br w:val="nil"/>
              <w:tr2bl w:val="nil"/>
            </w:tcBorders>
            <w:vAlign w:val="center"/>
          </w:tcPr>
          <w:p w:rsidR="00525419" w:rsidRDefault="00EE1CF7">
            <w:pPr>
              <w:adjustRightInd w:val="0"/>
              <w:snapToGrid w:val="0"/>
              <w:jc w:val="center"/>
              <w:rPr>
                <w:rFonts w:ascii="Times New Roman" w:hAnsi="Times New Roman"/>
              </w:rPr>
            </w:pPr>
            <w:r>
              <w:rPr>
                <w:rFonts w:ascii="Times New Roman" w:hAnsi="Times New Roman"/>
              </w:rPr>
              <w:t>3360</w:t>
            </w:r>
          </w:p>
        </w:tc>
      </w:tr>
      <w:tr w:rsidR="00525419">
        <w:trPr>
          <w:cantSplit/>
          <w:trHeight w:val="397"/>
          <w:jc w:val="center"/>
        </w:trPr>
        <w:tc>
          <w:tcPr>
            <w:tcW w:w="561"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2</w:t>
            </w:r>
          </w:p>
        </w:tc>
        <w:tc>
          <w:tcPr>
            <w:tcW w:w="1923" w:type="dxa"/>
            <w:tcBorders>
              <w:tl2br w:val="nil"/>
              <w:tr2bl w:val="nil"/>
            </w:tcBorders>
            <w:tcMar>
              <w:top w:w="57" w:type="dxa"/>
              <w:left w:w="85" w:type="dxa"/>
              <w:bottom w:w="57" w:type="dxa"/>
              <w:right w:w="85" w:type="dxa"/>
            </w:tcMar>
            <w:vAlign w:val="center"/>
          </w:tcPr>
          <w:p w:rsidR="00525419" w:rsidRDefault="00EE1CF7">
            <w:pPr>
              <w:jc w:val="center"/>
              <w:rPr>
                <w:rFonts w:ascii="Times New Roman" w:hAnsi="Times New Roman"/>
                <w:szCs w:val="24"/>
              </w:rPr>
            </w:pPr>
            <w:r>
              <w:rPr>
                <w:rFonts w:ascii="Times New Roman" w:hAnsi="Times New Roman"/>
                <w:szCs w:val="24"/>
              </w:rPr>
              <w:t>液化石油气</w:t>
            </w:r>
          </w:p>
        </w:tc>
        <w:tc>
          <w:tcPr>
            <w:tcW w:w="1369"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lang w:val="zh-CN"/>
              </w:rPr>
            </w:pPr>
            <w:r>
              <w:rPr>
                <w:rFonts w:ascii="Times New Roman" w:hAnsi="Times New Roman"/>
              </w:rPr>
              <w:t>68476-85-7</w:t>
            </w:r>
          </w:p>
        </w:tc>
        <w:tc>
          <w:tcPr>
            <w:tcW w:w="1836"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1980</w:t>
            </w:r>
          </w:p>
        </w:tc>
        <w:tc>
          <w:tcPr>
            <w:tcW w:w="1280"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10</w:t>
            </w:r>
          </w:p>
        </w:tc>
        <w:tc>
          <w:tcPr>
            <w:tcW w:w="1631"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198</w:t>
            </w:r>
          </w:p>
        </w:tc>
      </w:tr>
      <w:tr w:rsidR="00525419">
        <w:trPr>
          <w:cantSplit/>
          <w:trHeight w:val="397"/>
          <w:jc w:val="center"/>
        </w:trPr>
        <w:tc>
          <w:tcPr>
            <w:tcW w:w="561"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3</w:t>
            </w:r>
          </w:p>
        </w:tc>
        <w:tc>
          <w:tcPr>
            <w:tcW w:w="1923" w:type="dxa"/>
            <w:tcBorders>
              <w:tl2br w:val="nil"/>
              <w:tr2bl w:val="nil"/>
            </w:tcBorders>
            <w:tcMar>
              <w:top w:w="57" w:type="dxa"/>
              <w:left w:w="85" w:type="dxa"/>
              <w:bottom w:w="57" w:type="dxa"/>
              <w:right w:w="85" w:type="dxa"/>
            </w:tcMar>
            <w:vAlign w:val="center"/>
          </w:tcPr>
          <w:p w:rsidR="00525419" w:rsidRDefault="00EE1CF7">
            <w:pPr>
              <w:jc w:val="center"/>
              <w:rPr>
                <w:rFonts w:ascii="Times New Roman" w:hAnsi="Times New Roman"/>
                <w:szCs w:val="24"/>
              </w:rPr>
            </w:pPr>
            <w:r>
              <w:rPr>
                <w:rFonts w:ascii="Times New Roman" w:hAnsi="Times New Roman"/>
                <w:szCs w:val="24"/>
              </w:rPr>
              <w:t>石脑油</w:t>
            </w:r>
          </w:p>
        </w:tc>
        <w:tc>
          <w:tcPr>
            <w:tcW w:w="1369"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w:t>
            </w:r>
          </w:p>
        </w:tc>
        <w:tc>
          <w:tcPr>
            <w:tcW w:w="1836"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3800</w:t>
            </w:r>
          </w:p>
        </w:tc>
        <w:tc>
          <w:tcPr>
            <w:tcW w:w="1280"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2500</w:t>
            </w:r>
          </w:p>
        </w:tc>
        <w:tc>
          <w:tcPr>
            <w:tcW w:w="1631"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1.52</w:t>
            </w:r>
          </w:p>
        </w:tc>
      </w:tr>
      <w:tr w:rsidR="00525419">
        <w:trPr>
          <w:cantSplit/>
          <w:trHeight w:val="397"/>
          <w:jc w:val="center"/>
        </w:trPr>
        <w:tc>
          <w:tcPr>
            <w:tcW w:w="561"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4</w:t>
            </w:r>
          </w:p>
        </w:tc>
        <w:tc>
          <w:tcPr>
            <w:tcW w:w="1923" w:type="dxa"/>
            <w:tcBorders>
              <w:tl2br w:val="nil"/>
              <w:tr2bl w:val="nil"/>
            </w:tcBorders>
            <w:tcMar>
              <w:top w:w="57" w:type="dxa"/>
              <w:left w:w="85" w:type="dxa"/>
              <w:bottom w:w="57" w:type="dxa"/>
              <w:right w:w="85" w:type="dxa"/>
            </w:tcMar>
            <w:vAlign w:val="center"/>
          </w:tcPr>
          <w:p w:rsidR="00525419" w:rsidRDefault="00EE1CF7">
            <w:pPr>
              <w:jc w:val="center"/>
              <w:rPr>
                <w:rFonts w:ascii="Times New Roman" w:hAnsi="Times New Roman"/>
                <w:szCs w:val="24"/>
              </w:rPr>
            </w:pPr>
            <w:r>
              <w:rPr>
                <w:rFonts w:ascii="Times New Roman" w:hAnsi="Times New Roman"/>
                <w:szCs w:val="24"/>
              </w:rPr>
              <w:t>精制柴油</w:t>
            </w:r>
          </w:p>
        </w:tc>
        <w:tc>
          <w:tcPr>
            <w:tcW w:w="1369"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w:t>
            </w:r>
          </w:p>
        </w:tc>
        <w:tc>
          <w:tcPr>
            <w:tcW w:w="1836"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12750</w:t>
            </w:r>
          </w:p>
        </w:tc>
        <w:tc>
          <w:tcPr>
            <w:tcW w:w="1280"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2500</w:t>
            </w:r>
          </w:p>
        </w:tc>
        <w:tc>
          <w:tcPr>
            <w:tcW w:w="1631"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5.1</w:t>
            </w:r>
          </w:p>
        </w:tc>
      </w:tr>
      <w:tr w:rsidR="00525419">
        <w:trPr>
          <w:cantSplit/>
          <w:trHeight w:val="397"/>
          <w:jc w:val="center"/>
        </w:trPr>
        <w:tc>
          <w:tcPr>
            <w:tcW w:w="561"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5</w:t>
            </w:r>
          </w:p>
        </w:tc>
        <w:tc>
          <w:tcPr>
            <w:tcW w:w="1923" w:type="dxa"/>
            <w:tcBorders>
              <w:tl2br w:val="nil"/>
              <w:tr2bl w:val="nil"/>
            </w:tcBorders>
            <w:tcMar>
              <w:top w:w="57" w:type="dxa"/>
              <w:left w:w="85" w:type="dxa"/>
              <w:bottom w:w="57" w:type="dxa"/>
              <w:right w:w="85" w:type="dxa"/>
            </w:tcMar>
            <w:vAlign w:val="center"/>
          </w:tcPr>
          <w:p w:rsidR="00525419" w:rsidRDefault="00EE1CF7">
            <w:pPr>
              <w:jc w:val="center"/>
              <w:rPr>
                <w:rFonts w:ascii="Times New Roman" w:hAnsi="Times New Roman"/>
                <w:szCs w:val="24"/>
              </w:rPr>
            </w:pPr>
            <w:r>
              <w:rPr>
                <w:rFonts w:ascii="Times New Roman" w:hAnsi="Times New Roman"/>
                <w:szCs w:val="24"/>
              </w:rPr>
              <w:t>精制尾油</w:t>
            </w:r>
          </w:p>
        </w:tc>
        <w:tc>
          <w:tcPr>
            <w:tcW w:w="1369"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w:t>
            </w:r>
          </w:p>
        </w:tc>
        <w:tc>
          <w:tcPr>
            <w:tcW w:w="1836"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1800</w:t>
            </w:r>
          </w:p>
        </w:tc>
        <w:tc>
          <w:tcPr>
            <w:tcW w:w="1280"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2500</w:t>
            </w:r>
          </w:p>
        </w:tc>
        <w:tc>
          <w:tcPr>
            <w:tcW w:w="1631"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0.72</w:t>
            </w:r>
          </w:p>
        </w:tc>
      </w:tr>
      <w:tr w:rsidR="00525419">
        <w:trPr>
          <w:cantSplit/>
          <w:trHeight w:val="397"/>
          <w:jc w:val="center"/>
        </w:trPr>
        <w:tc>
          <w:tcPr>
            <w:tcW w:w="561"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6</w:t>
            </w:r>
          </w:p>
        </w:tc>
        <w:tc>
          <w:tcPr>
            <w:tcW w:w="1923" w:type="dxa"/>
            <w:tcBorders>
              <w:tl2br w:val="nil"/>
              <w:tr2bl w:val="nil"/>
            </w:tcBorders>
            <w:tcMar>
              <w:top w:w="57" w:type="dxa"/>
              <w:left w:w="85" w:type="dxa"/>
              <w:bottom w:w="57" w:type="dxa"/>
              <w:right w:w="85" w:type="dxa"/>
            </w:tcMar>
            <w:vAlign w:val="center"/>
          </w:tcPr>
          <w:p w:rsidR="00525419" w:rsidRDefault="00EE1CF7">
            <w:pPr>
              <w:jc w:val="center"/>
              <w:rPr>
                <w:rFonts w:ascii="Times New Roman" w:hAnsi="Times New Roman"/>
                <w:szCs w:val="24"/>
              </w:rPr>
            </w:pPr>
            <w:r>
              <w:rPr>
                <w:rFonts w:ascii="Times New Roman" w:hAnsi="Times New Roman"/>
                <w:szCs w:val="24"/>
              </w:rPr>
              <w:t>尾油</w:t>
            </w:r>
          </w:p>
        </w:tc>
        <w:tc>
          <w:tcPr>
            <w:tcW w:w="1369"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w:t>
            </w:r>
          </w:p>
        </w:tc>
        <w:tc>
          <w:tcPr>
            <w:tcW w:w="1836" w:type="dxa"/>
            <w:tcBorders>
              <w:tl2br w:val="nil"/>
              <w:tr2bl w:val="nil"/>
            </w:tcBorders>
            <w:tcMar>
              <w:top w:w="57" w:type="dxa"/>
              <w:left w:w="85" w:type="dxa"/>
              <w:bottom w:w="57" w:type="dxa"/>
              <w:right w:w="85" w:type="dxa"/>
            </w:tcMar>
            <w:vAlign w:val="center"/>
          </w:tcPr>
          <w:p w:rsidR="00525419" w:rsidRDefault="00EE1CF7">
            <w:pPr>
              <w:adjustRightInd w:val="0"/>
              <w:snapToGrid w:val="0"/>
              <w:jc w:val="center"/>
              <w:rPr>
                <w:rFonts w:ascii="Times New Roman" w:hAnsi="Times New Roman"/>
              </w:rPr>
            </w:pPr>
            <w:r>
              <w:rPr>
                <w:rFonts w:ascii="Times New Roman" w:hAnsi="Times New Roman"/>
              </w:rPr>
              <w:t>20000</w:t>
            </w:r>
          </w:p>
        </w:tc>
        <w:tc>
          <w:tcPr>
            <w:tcW w:w="1280"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2500</w:t>
            </w:r>
          </w:p>
        </w:tc>
        <w:tc>
          <w:tcPr>
            <w:tcW w:w="1631"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8</w:t>
            </w:r>
          </w:p>
        </w:tc>
      </w:tr>
      <w:tr w:rsidR="00525419">
        <w:trPr>
          <w:cantSplit/>
          <w:trHeight w:val="397"/>
          <w:jc w:val="center"/>
        </w:trPr>
        <w:tc>
          <w:tcPr>
            <w:tcW w:w="6969" w:type="dxa"/>
            <w:gridSpan w:val="5"/>
            <w:tcBorders>
              <w:tl2br w:val="nil"/>
              <w:tr2bl w:val="nil"/>
            </w:tcBorders>
            <w:tcMar>
              <w:top w:w="57" w:type="dxa"/>
              <w:left w:w="85" w:type="dxa"/>
              <w:bottom w:w="57" w:type="dxa"/>
              <w:right w:w="85" w:type="dxa"/>
            </w:tcMar>
            <w:vAlign w:val="center"/>
          </w:tcPr>
          <w:p w:rsidR="00525419" w:rsidRDefault="00EE1CF7">
            <w:pPr>
              <w:jc w:val="center"/>
              <w:rPr>
                <w:rFonts w:ascii="Times New Roman" w:hAnsi="Times New Roman"/>
              </w:rPr>
            </w:pPr>
            <w:r>
              <w:rPr>
                <w:rFonts w:ascii="Times New Roman" w:hAnsi="Times New Roman"/>
              </w:rPr>
              <w:t>项目</w:t>
            </w:r>
            <w:r>
              <w:rPr>
                <w:rFonts w:ascii="Times New Roman" w:hAnsi="Times New Roman"/>
              </w:rPr>
              <w:t>Q</w:t>
            </w:r>
            <w:r>
              <w:rPr>
                <w:rFonts w:ascii="Times New Roman" w:hAnsi="Times New Roman"/>
              </w:rPr>
              <w:t>值</w:t>
            </w:r>
            <w:r>
              <w:rPr>
                <w:rFonts w:ascii="Times New Roman" w:hAnsi="Times New Roman"/>
              </w:rPr>
              <w:t>Σ</w:t>
            </w:r>
          </w:p>
        </w:tc>
        <w:tc>
          <w:tcPr>
            <w:tcW w:w="1631" w:type="dxa"/>
            <w:tcBorders>
              <w:tl2br w:val="nil"/>
              <w:tr2bl w:val="nil"/>
            </w:tcBorders>
            <w:vAlign w:val="center"/>
          </w:tcPr>
          <w:p w:rsidR="00525419" w:rsidRDefault="00EE1CF7">
            <w:pPr>
              <w:jc w:val="center"/>
              <w:rPr>
                <w:rFonts w:ascii="Times New Roman" w:hAnsi="Times New Roman"/>
              </w:rPr>
            </w:pPr>
            <w:r>
              <w:rPr>
                <w:rFonts w:ascii="Times New Roman" w:hAnsi="Times New Roman"/>
              </w:rPr>
              <w:t>3573.34</w:t>
            </w:r>
          </w:p>
        </w:tc>
      </w:tr>
    </w:tbl>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5.6.1.6 M</w:t>
      </w:r>
      <w:r>
        <w:rPr>
          <w:rFonts w:ascii="Times New Roman" w:hAnsi="Times New Roman" w:cs="Times New Roman"/>
          <w:kern w:val="44"/>
          <w:sz w:val="24"/>
          <w:szCs w:val="24"/>
        </w:rPr>
        <w:t>值的确定</w:t>
      </w:r>
    </w:p>
    <w:p w:rsidR="00525419" w:rsidRDefault="00EE1CF7">
      <w:pPr>
        <w:pStyle w:val="afffffffffffffffffffffffffffffffffff0"/>
        <w:adjustRightInd/>
        <w:snapToGrid/>
        <w:jc w:val="both"/>
        <w:rPr>
          <w:color w:val="auto"/>
        </w:rPr>
      </w:pPr>
      <w:r>
        <w:rPr>
          <w:color w:val="auto"/>
        </w:rPr>
        <w:t>根据《建设项目环境风险评价技术导则》（</w:t>
      </w:r>
      <w:r>
        <w:rPr>
          <w:color w:val="auto"/>
        </w:rPr>
        <w:t>HJ169-2018</w:t>
      </w:r>
      <w:r>
        <w:rPr>
          <w:color w:val="auto"/>
        </w:rPr>
        <w:t>）附录</w:t>
      </w:r>
      <w:r>
        <w:rPr>
          <w:color w:val="auto"/>
        </w:rPr>
        <w:t>C</w:t>
      </w:r>
      <w:r>
        <w:rPr>
          <w:color w:val="auto"/>
        </w:rPr>
        <w:t>中表</w:t>
      </w:r>
      <w:r>
        <w:rPr>
          <w:color w:val="auto"/>
        </w:rPr>
        <w:t>C.1</w:t>
      </w:r>
      <w:r>
        <w:rPr>
          <w:color w:val="auto"/>
        </w:rPr>
        <w:t>的规定</w:t>
      </w:r>
      <w:r>
        <w:rPr>
          <w:color w:val="auto"/>
        </w:rPr>
        <w:t>M</w:t>
      </w:r>
      <w:r>
        <w:rPr>
          <w:color w:val="auto"/>
        </w:rPr>
        <w:t>值。本项目生产过程裂解和加氢工艺以及危险物质贮存罐区，属于石化行业，项目的</w:t>
      </w:r>
      <w:r>
        <w:rPr>
          <w:color w:val="auto"/>
        </w:rPr>
        <w:t>M</w:t>
      </w:r>
      <w:r>
        <w:rPr>
          <w:color w:val="auto"/>
        </w:rPr>
        <w:t>值为</w:t>
      </w:r>
      <w:r>
        <w:rPr>
          <w:color w:val="auto"/>
        </w:rPr>
        <w:t>25</w:t>
      </w:r>
      <w:r>
        <w:rPr>
          <w:color w:val="auto"/>
        </w:rPr>
        <w:t>，用</w:t>
      </w:r>
      <w:r>
        <w:rPr>
          <w:color w:val="auto"/>
        </w:rPr>
        <w:t>M1</w:t>
      </w:r>
      <w:r>
        <w:rPr>
          <w:color w:val="auto"/>
        </w:rPr>
        <w:t>表示。</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5.6.1.7 P</w:t>
      </w:r>
      <w:r>
        <w:rPr>
          <w:rFonts w:ascii="Times New Roman" w:hAnsi="Times New Roman" w:cs="Times New Roman"/>
          <w:kern w:val="44"/>
          <w:sz w:val="24"/>
          <w:szCs w:val="24"/>
        </w:rPr>
        <w:t>值的确定</w:t>
      </w:r>
    </w:p>
    <w:p w:rsidR="00525419" w:rsidRDefault="00EE1CF7">
      <w:pPr>
        <w:pStyle w:val="afffffffffffffffffffffffffffffffffff0"/>
        <w:adjustRightInd/>
        <w:snapToGrid/>
        <w:rPr>
          <w:color w:val="auto"/>
        </w:rPr>
      </w:pPr>
      <w:r>
        <w:rPr>
          <w:color w:val="auto"/>
        </w:rPr>
        <w:t>根据危险物质数量与临界量比值（</w:t>
      </w:r>
      <w:r>
        <w:rPr>
          <w:color w:val="auto"/>
        </w:rPr>
        <w:t>Q</w:t>
      </w:r>
      <w:r>
        <w:rPr>
          <w:color w:val="auto"/>
        </w:rPr>
        <w:t>）和行业及生产工艺（</w:t>
      </w:r>
      <w:r>
        <w:rPr>
          <w:color w:val="auto"/>
        </w:rPr>
        <w:t>M</w:t>
      </w:r>
      <w:r>
        <w:rPr>
          <w:color w:val="auto"/>
        </w:rPr>
        <w:t>）确定危险物</w:t>
      </w:r>
      <w:r>
        <w:rPr>
          <w:color w:val="auto"/>
        </w:rPr>
        <w:lastRenderedPageBreak/>
        <w:t>质及工艺系统危险性等级（</w:t>
      </w:r>
      <w:r>
        <w:rPr>
          <w:color w:val="auto"/>
        </w:rPr>
        <w:t>P</w:t>
      </w:r>
      <w:r>
        <w:rPr>
          <w:color w:val="auto"/>
        </w:rPr>
        <w:t>）判断，分别以</w:t>
      </w:r>
      <w:r>
        <w:rPr>
          <w:color w:val="auto"/>
        </w:rPr>
        <w:t>P1</w:t>
      </w:r>
      <w:r>
        <w:rPr>
          <w:color w:val="auto"/>
        </w:rPr>
        <w:t>、</w:t>
      </w:r>
      <w:r>
        <w:rPr>
          <w:color w:val="auto"/>
        </w:rPr>
        <w:t>P2</w:t>
      </w:r>
      <w:r>
        <w:rPr>
          <w:color w:val="auto"/>
        </w:rPr>
        <w:t>、</w:t>
      </w:r>
      <w:r>
        <w:rPr>
          <w:color w:val="auto"/>
        </w:rPr>
        <w:t>P3</w:t>
      </w:r>
      <w:r>
        <w:rPr>
          <w:color w:val="auto"/>
        </w:rPr>
        <w:t>、</w:t>
      </w:r>
      <w:r>
        <w:rPr>
          <w:color w:val="auto"/>
        </w:rPr>
        <w:t>P4</w:t>
      </w:r>
      <w:r>
        <w:rPr>
          <w:color w:val="auto"/>
        </w:rPr>
        <w:t>表示，其判断依据见表</w:t>
      </w:r>
      <w:r>
        <w:rPr>
          <w:color w:val="auto"/>
        </w:rPr>
        <w:t>5.6-5</w:t>
      </w:r>
      <w:r>
        <w:rPr>
          <w:color w:val="auto"/>
        </w:rPr>
        <w:t>。</w:t>
      </w:r>
    </w:p>
    <w:p w:rsidR="00525419" w:rsidRDefault="00EE1CF7">
      <w:pPr>
        <w:ind w:firstLineChars="500" w:firstLine="1050"/>
        <w:rPr>
          <w:rFonts w:ascii="Times New Roman" w:eastAsia="黑体" w:hAnsi="Times New Roman"/>
        </w:rPr>
      </w:pPr>
      <w:bookmarkStart w:id="184" w:name="OLE_LINK839"/>
      <w:r>
        <w:rPr>
          <w:rFonts w:ascii="Times New Roman" w:eastAsia="黑体" w:hAnsi="Times New Roman"/>
        </w:rPr>
        <w:t>表</w:t>
      </w:r>
      <w:r>
        <w:rPr>
          <w:rFonts w:ascii="Times New Roman" w:eastAsia="黑体" w:hAnsi="Times New Roman"/>
        </w:rPr>
        <w:t xml:space="preserve">5.6-5    </w:t>
      </w:r>
      <w:r>
        <w:rPr>
          <w:rFonts w:ascii="Times New Roman" w:eastAsia="黑体" w:hAnsi="Times New Roman"/>
        </w:rPr>
        <w:t>危险物质及工艺系统危险性等级</w:t>
      </w:r>
      <w:bookmarkEnd w:id="184"/>
      <w:r>
        <w:rPr>
          <w:rFonts w:ascii="Times New Roman" w:eastAsia="黑体" w:hAnsi="Times New Roman"/>
        </w:rPr>
        <w:t>判断（</w:t>
      </w:r>
      <w:r>
        <w:rPr>
          <w:rFonts w:ascii="Times New Roman" w:eastAsia="黑体" w:hAnsi="Times New Roman"/>
        </w:rPr>
        <w:t>P</w:t>
      </w:r>
      <w:r>
        <w:rPr>
          <w:rFonts w:ascii="Times New Roman" w:eastAsia="黑体" w:hAnsi="Times New Roman"/>
        </w:rPr>
        <w:t>）依据一览表</w:t>
      </w:r>
    </w:p>
    <w:tbl>
      <w:tblPr>
        <w:tblW w:w="872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743"/>
        <w:gridCol w:w="1743"/>
        <w:gridCol w:w="1744"/>
        <w:gridCol w:w="1745"/>
        <w:gridCol w:w="1745"/>
      </w:tblGrid>
      <w:tr w:rsidR="00525419">
        <w:trPr>
          <w:trHeight w:val="284"/>
        </w:trPr>
        <w:tc>
          <w:tcPr>
            <w:tcW w:w="1743" w:type="dxa"/>
            <w:vMerge w:val="restart"/>
            <w:vAlign w:val="center"/>
          </w:tcPr>
          <w:p w:rsidR="00525419" w:rsidRDefault="00EE1CF7">
            <w:pPr>
              <w:pStyle w:val="afffffffffffffffffffffffffffffffffff2"/>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危险物质数量与临界量比值（Q）</w:t>
            </w:r>
          </w:p>
        </w:tc>
        <w:tc>
          <w:tcPr>
            <w:tcW w:w="6977" w:type="dxa"/>
            <w:gridSpan w:val="4"/>
            <w:vAlign w:val="center"/>
          </w:tcPr>
          <w:p w:rsidR="00525419" w:rsidRDefault="00EE1CF7">
            <w:pPr>
              <w:pStyle w:val="afffffffffffffffffffffffffffffffffff2"/>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行业及生产工艺（P）</w:t>
            </w:r>
          </w:p>
        </w:tc>
      </w:tr>
      <w:tr w:rsidR="00525419">
        <w:trPr>
          <w:trHeight w:val="284"/>
        </w:trPr>
        <w:tc>
          <w:tcPr>
            <w:tcW w:w="1743" w:type="dxa"/>
            <w:vMerge/>
            <w:vAlign w:val="center"/>
          </w:tcPr>
          <w:p w:rsidR="00525419" w:rsidRDefault="00525419">
            <w:pPr>
              <w:pStyle w:val="afffffffffffffffffffffffffffffffffff2"/>
              <w:rPr>
                <w:rFonts w:asciiTheme="minorEastAsia" w:eastAsiaTheme="minorEastAsia" w:hAnsiTheme="minorEastAsia" w:cstheme="minorEastAsia"/>
                <w:color w:val="auto"/>
                <w:sz w:val="21"/>
                <w:szCs w:val="21"/>
              </w:rPr>
            </w:pPr>
          </w:p>
        </w:tc>
        <w:tc>
          <w:tcPr>
            <w:tcW w:w="1743" w:type="dxa"/>
            <w:vAlign w:val="center"/>
          </w:tcPr>
          <w:p w:rsidR="00525419" w:rsidRDefault="00EE1CF7">
            <w:pPr>
              <w:pStyle w:val="afffffffffffffffffffffffffffffffffff2"/>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M1</w:t>
            </w:r>
          </w:p>
        </w:tc>
        <w:tc>
          <w:tcPr>
            <w:tcW w:w="1744" w:type="dxa"/>
            <w:vAlign w:val="center"/>
          </w:tcPr>
          <w:p w:rsidR="00525419" w:rsidRDefault="00EE1CF7">
            <w:pPr>
              <w:pStyle w:val="afffffffffffffffffffffffffffffffffff2"/>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M2</w:t>
            </w:r>
          </w:p>
        </w:tc>
        <w:tc>
          <w:tcPr>
            <w:tcW w:w="1745" w:type="dxa"/>
            <w:vAlign w:val="center"/>
          </w:tcPr>
          <w:p w:rsidR="00525419" w:rsidRDefault="00EE1CF7">
            <w:pPr>
              <w:pStyle w:val="afffffffffffffffffffffffffffffffffff2"/>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M3</w:t>
            </w:r>
          </w:p>
        </w:tc>
        <w:tc>
          <w:tcPr>
            <w:tcW w:w="1745" w:type="dxa"/>
            <w:vAlign w:val="center"/>
          </w:tcPr>
          <w:p w:rsidR="00525419" w:rsidRDefault="00EE1CF7">
            <w:pPr>
              <w:pStyle w:val="afffffffffffffffffffffffffffffffffff2"/>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M4</w:t>
            </w:r>
          </w:p>
        </w:tc>
      </w:tr>
      <w:tr w:rsidR="00525419">
        <w:trPr>
          <w:trHeight w:val="284"/>
        </w:trPr>
        <w:tc>
          <w:tcPr>
            <w:tcW w:w="1743" w:type="dxa"/>
            <w:vAlign w:val="center"/>
          </w:tcPr>
          <w:p w:rsidR="00525419" w:rsidRDefault="00EE1CF7">
            <w:pPr>
              <w:pStyle w:val="afffffffffffffffffffffffffffffffffff2"/>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Q≥100</w:t>
            </w:r>
          </w:p>
        </w:tc>
        <w:tc>
          <w:tcPr>
            <w:tcW w:w="1743" w:type="dxa"/>
            <w:vAlign w:val="center"/>
          </w:tcPr>
          <w:p w:rsidR="00525419" w:rsidRDefault="00EE1CF7">
            <w:pPr>
              <w:pStyle w:val="afffffffffffffffffffffffffffffffffff2"/>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P1</w:t>
            </w:r>
          </w:p>
        </w:tc>
        <w:tc>
          <w:tcPr>
            <w:tcW w:w="1744" w:type="dxa"/>
            <w:vAlign w:val="center"/>
          </w:tcPr>
          <w:p w:rsidR="00525419" w:rsidRDefault="00EE1CF7">
            <w:pPr>
              <w:pStyle w:val="afffffffffffffffffffffffffffffffffff2"/>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P1</w:t>
            </w:r>
          </w:p>
        </w:tc>
        <w:tc>
          <w:tcPr>
            <w:tcW w:w="1745" w:type="dxa"/>
            <w:vAlign w:val="center"/>
          </w:tcPr>
          <w:p w:rsidR="00525419" w:rsidRDefault="00EE1CF7">
            <w:pPr>
              <w:pStyle w:val="afffffffffffffffffffffffffffffffffff2"/>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P2</w:t>
            </w:r>
          </w:p>
        </w:tc>
        <w:tc>
          <w:tcPr>
            <w:tcW w:w="1745" w:type="dxa"/>
            <w:vAlign w:val="center"/>
          </w:tcPr>
          <w:p w:rsidR="00525419" w:rsidRDefault="00EE1CF7">
            <w:pPr>
              <w:pStyle w:val="afffffffffffffffffffffffffffffffffff2"/>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P3</w:t>
            </w:r>
          </w:p>
        </w:tc>
      </w:tr>
      <w:tr w:rsidR="00525419">
        <w:trPr>
          <w:trHeight w:val="284"/>
        </w:trPr>
        <w:tc>
          <w:tcPr>
            <w:tcW w:w="1743" w:type="dxa"/>
            <w:vAlign w:val="center"/>
          </w:tcPr>
          <w:p w:rsidR="00525419" w:rsidRDefault="00EE1CF7">
            <w:pPr>
              <w:pStyle w:val="afffffffffffffffffffffffffffffffffff2"/>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10≤Q＜100</w:t>
            </w:r>
          </w:p>
        </w:tc>
        <w:tc>
          <w:tcPr>
            <w:tcW w:w="1743" w:type="dxa"/>
            <w:vAlign w:val="center"/>
          </w:tcPr>
          <w:p w:rsidR="00525419" w:rsidRDefault="00EE1CF7">
            <w:pPr>
              <w:pStyle w:val="afffffffffffffffffffffffffffffffffff2"/>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P1</w:t>
            </w:r>
          </w:p>
        </w:tc>
        <w:tc>
          <w:tcPr>
            <w:tcW w:w="1744" w:type="dxa"/>
            <w:vAlign w:val="center"/>
          </w:tcPr>
          <w:p w:rsidR="00525419" w:rsidRDefault="00EE1CF7">
            <w:pPr>
              <w:pStyle w:val="afffffffffffffffffffffffffffffffffff2"/>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P2</w:t>
            </w:r>
          </w:p>
        </w:tc>
        <w:tc>
          <w:tcPr>
            <w:tcW w:w="1745" w:type="dxa"/>
            <w:vAlign w:val="center"/>
          </w:tcPr>
          <w:p w:rsidR="00525419" w:rsidRDefault="00EE1CF7">
            <w:pPr>
              <w:pStyle w:val="afffffffffffffffffffffffffffffffffff2"/>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P3</w:t>
            </w:r>
          </w:p>
        </w:tc>
        <w:tc>
          <w:tcPr>
            <w:tcW w:w="1745" w:type="dxa"/>
            <w:vAlign w:val="center"/>
          </w:tcPr>
          <w:p w:rsidR="00525419" w:rsidRDefault="00EE1CF7">
            <w:pPr>
              <w:pStyle w:val="afffffffffffffffffffffffffffffffffff2"/>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P4</w:t>
            </w:r>
          </w:p>
        </w:tc>
      </w:tr>
      <w:tr w:rsidR="00525419">
        <w:trPr>
          <w:trHeight w:val="284"/>
        </w:trPr>
        <w:tc>
          <w:tcPr>
            <w:tcW w:w="1743" w:type="dxa"/>
            <w:vAlign w:val="center"/>
          </w:tcPr>
          <w:p w:rsidR="00525419" w:rsidRDefault="00EE1CF7">
            <w:pPr>
              <w:pStyle w:val="afffffffffffffffffffffffffffffffffff2"/>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1≤Q＜10</w:t>
            </w:r>
          </w:p>
        </w:tc>
        <w:tc>
          <w:tcPr>
            <w:tcW w:w="1743" w:type="dxa"/>
            <w:vAlign w:val="center"/>
          </w:tcPr>
          <w:p w:rsidR="00525419" w:rsidRDefault="00EE1CF7">
            <w:pPr>
              <w:pStyle w:val="afffffffffffffffffffffffffffffffffff2"/>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P2</w:t>
            </w:r>
          </w:p>
        </w:tc>
        <w:tc>
          <w:tcPr>
            <w:tcW w:w="1744" w:type="dxa"/>
            <w:vAlign w:val="center"/>
          </w:tcPr>
          <w:p w:rsidR="00525419" w:rsidRDefault="00EE1CF7">
            <w:pPr>
              <w:pStyle w:val="afffffffffffffffffffffffffffffffffff2"/>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P3</w:t>
            </w:r>
          </w:p>
        </w:tc>
        <w:tc>
          <w:tcPr>
            <w:tcW w:w="1745" w:type="dxa"/>
            <w:vAlign w:val="center"/>
          </w:tcPr>
          <w:p w:rsidR="00525419" w:rsidRDefault="00EE1CF7">
            <w:pPr>
              <w:pStyle w:val="afffffffffffffffffffffffffffffffffff2"/>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P4</w:t>
            </w:r>
          </w:p>
        </w:tc>
        <w:tc>
          <w:tcPr>
            <w:tcW w:w="1745" w:type="dxa"/>
            <w:vAlign w:val="center"/>
          </w:tcPr>
          <w:p w:rsidR="00525419" w:rsidRDefault="00EE1CF7">
            <w:pPr>
              <w:pStyle w:val="afffffffffffffffffffffffffffffffffff2"/>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P4</w:t>
            </w:r>
          </w:p>
        </w:tc>
      </w:tr>
    </w:tbl>
    <w:p w:rsidR="00525419" w:rsidRDefault="00525419">
      <w:pPr>
        <w:pStyle w:val="afffffffffffffffffffffffffffffffffff4"/>
        <w:rPr>
          <w:rFonts w:ascii="Times New Roman" w:hAnsi="Times New Roman"/>
        </w:rPr>
      </w:pPr>
    </w:p>
    <w:p w:rsidR="00525419" w:rsidRDefault="00EE1CF7">
      <w:pPr>
        <w:pStyle w:val="afffffffffffffffffffffffffffffffffff0"/>
        <w:adjustRightInd/>
        <w:snapToGrid/>
        <w:rPr>
          <w:color w:val="auto"/>
        </w:rPr>
      </w:pPr>
      <w:r>
        <w:rPr>
          <w:color w:val="auto"/>
        </w:rPr>
        <w:t>本项目的</w:t>
      </w:r>
      <w:r>
        <w:rPr>
          <w:color w:val="auto"/>
        </w:rPr>
        <w:t>Q</w:t>
      </w:r>
      <w:r>
        <w:rPr>
          <w:color w:val="auto"/>
        </w:rPr>
        <w:t>值为</w:t>
      </w:r>
      <w:r>
        <w:rPr>
          <w:color w:val="auto"/>
        </w:rPr>
        <w:t>3573.34</w:t>
      </w:r>
      <w:r>
        <w:rPr>
          <w:color w:val="auto"/>
        </w:rPr>
        <w:t>；</w:t>
      </w:r>
      <w:r>
        <w:rPr>
          <w:color w:val="auto"/>
        </w:rPr>
        <w:t>M</w:t>
      </w:r>
      <w:r>
        <w:rPr>
          <w:color w:val="auto"/>
        </w:rPr>
        <w:t>值为</w:t>
      </w:r>
      <w:r>
        <w:rPr>
          <w:color w:val="auto"/>
        </w:rPr>
        <w:t>25</w:t>
      </w:r>
      <w:r>
        <w:rPr>
          <w:color w:val="auto"/>
        </w:rPr>
        <w:t>，以</w:t>
      </w:r>
      <w:r>
        <w:rPr>
          <w:color w:val="auto"/>
        </w:rPr>
        <w:t>M1</w:t>
      </w:r>
      <w:r>
        <w:rPr>
          <w:color w:val="auto"/>
        </w:rPr>
        <w:t>表示，根据表</w:t>
      </w:r>
      <w:r>
        <w:rPr>
          <w:color w:val="auto"/>
        </w:rPr>
        <w:t>5.6-5</w:t>
      </w:r>
      <w:r>
        <w:rPr>
          <w:color w:val="auto"/>
        </w:rPr>
        <w:t>判断，本项目的</w:t>
      </w:r>
      <w:r>
        <w:rPr>
          <w:color w:val="auto"/>
        </w:rPr>
        <w:t>P</w:t>
      </w:r>
      <w:r>
        <w:rPr>
          <w:color w:val="auto"/>
        </w:rPr>
        <w:t>值以</w:t>
      </w:r>
      <w:r>
        <w:rPr>
          <w:color w:val="auto"/>
        </w:rPr>
        <w:t>P1</w:t>
      </w:r>
      <w:r>
        <w:rPr>
          <w:color w:val="auto"/>
        </w:rPr>
        <w:t>表示。</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 xml:space="preserve">5.6.1.8 </w:t>
      </w:r>
      <w:r>
        <w:rPr>
          <w:rFonts w:ascii="Times New Roman" w:hAnsi="Times New Roman" w:cs="Times New Roman"/>
          <w:kern w:val="44"/>
          <w:sz w:val="24"/>
          <w:szCs w:val="24"/>
        </w:rPr>
        <w:t>环境敏感度的确定</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）大气环境敏感程度</w:t>
      </w:r>
    </w:p>
    <w:p w:rsidR="00525419" w:rsidRDefault="00EE1CF7">
      <w:pPr>
        <w:widowControl/>
        <w:spacing w:line="360" w:lineRule="auto"/>
        <w:ind w:firstLineChars="200" w:firstLine="480"/>
        <w:jc w:val="left"/>
        <w:rPr>
          <w:rFonts w:ascii="Times New Roman" w:hAnsi="Times New Roman"/>
          <w:kern w:val="0"/>
          <w:sz w:val="24"/>
          <w:szCs w:val="24"/>
        </w:rPr>
      </w:pPr>
      <w:bookmarkStart w:id="185" w:name="OLE_LINK778"/>
      <w:bookmarkStart w:id="186" w:name="OLE_LINK789"/>
      <w:bookmarkStart w:id="187" w:name="OLE_LINK777"/>
      <w:r>
        <w:rPr>
          <w:rFonts w:ascii="Times New Roman" w:hAnsi="Times New Roman"/>
          <w:kern w:val="0"/>
          <w:sz w:val="24"/>
          <w:szCs w:val="24"/>
        </w:rPr>
        <w:t>根据《建设项目环境风险评价技术导则》（</w:t>
      </w:r>
      <w:r>
        <w:rPr>
          <w:rFonts w:ascii="Times New Roman" w:hAnsi="Times New Roman"/>
          <w:kern w:val="0"/>
          <w:sz w:val="24"/>
          <w:szCs w:val="24"/>
        </w:rPr>
        <w:t>HJ169-2018</w:t>
      </w:r>
      <w:r>
        <w:rPr>
          <w:rFonts w:ascii="Times New Roman" w:hAnsi="Times New Roman"/>
          <w:kern w:val="0"/>
          <w:sz w:val="24"/>
          <w:szCs w:val="24"/>
        </w:rPr>
        <w:t>）附录</w:t>
      </w:r>
      <w:r>
        <w:rPr>
          <w:rFonts w:ascii="Times New Roman" w:hAnsi="Times New Roman"/>
          <w:kern w:val="0"/>
          <w:sz w:val="24"/>
          <w:szCs w:val="24"/>
        </w:rPr>
        <w:t>D</w:t>
      </w:r>
      <w:r>
        <w:rPr>
          <w:rFonts w:ascii="Times New Roman" w:hAnsi="Times New Roman"/>
          <w:kern w:val="0"/>
          <w:sz w:val="24"/>
          <w:szCs w:val="24"/>
        </w:rPr>
        <w:t>的规定</w:t>
      </w:r>
      <w:bookmarkEnd w:id="185"/>
      <w:bookmarkEnd w:id="186"/>
      <w:bookmarkEnd w:id="187"/>
      <w:r>
        <w:rPr>
          <w:rFonts w:ascii="Times New Roman" w:hAnsi="Times New Roman"/>
          <w:kern w:val="0"/>
          <w:sz w:val="24"/>
          <w:szCs w:val="24"/>
        </w:rPr>
        <w:t>：项目所在区域大气环境敏感程度是依据环境敏感性及人口密度划分环境风险受体的敏感性来确定。大气环境敏感程度共分为三种类型：</w:t>
      </w:r>
      <w:r>
        <w:rPr>
          <w:rFonts w:ascii="Times New Roman" w:hAnsi="Times New Roman"/>
          <w:kern w:val="0"/>
          <w:sz w:val="24"/>
          <w:szCs w:val="24"/>
        </w:rPr>
        <w:t>E1</w:t>
      </w:r>
      <w:r>
        <w:rPr>
          <w:rFonts w:ascii="Times New Roman" w:hAnsi="Times New Roman"/>
          <w:kern w:val="0"/>
          <w:sz w:val="24"/>
          <w:szCs w:val="24"/>
        </w:rPr>
        <w:t>为环境高度敏感区，</w:t>
      </w:r>
      <w:r>
        <w:rPr>
          <w:rFonts w:ascii="Times New Roman" w:hAnsi="Times New Roman"/>
          <w:kern w:val="0"/>
          <w:sz w:val="24"/>
          <w:szCs w:val="24"/>
        </w:rPr>
        <w:t>E2</w:t>
      </w:r>
      <w:r>
        <w:rPr>
          <w:rFonts w:ascii="Times New Roman" w:hAnsi="Times New Roman"/>
          <w:kern w:val="0"/>
          <w:sz w:val="24"/>
          <w:szCs w:val="24"/>
        </w:rPr>
        <w:t>为环境中度敏感区，</w:t>
      </w:r>
      <w:r>
        <w:rPr>
          <w:rFonts w:ascii="Times New Roman" w:hAnsi="Times New Roman"/>
          <w:kern w:val="0"/>
          <w:sz w:val="24"/>
          <w:szCs w:val="24"/>
        </w:rPr>
        <w:t>E3</w:t>
      </w:r>
      <w:r>
        <w:rPr>
          <w:rFonts w:ascii="Times New Roman" w:hAnsi="Times New Roman"/>
          <w:kern w:val="0"/>
          <w:sz w:val="24"/>
          <w:szCs w:val="24"/>
        </w:rPr>
        <w:t>为环境低度敏感区，分级原则见表</w:t>
      </w:r>
      <w:r>
        <w:rPr>
          <w:rFonts w:ascii="Times New Roman" w:hAnsi="Times New Roman"/>
          <w:kern w:val="0"/>
          <w:sz w:val="24"/>
          <w:szCs w:val="24"/>
        </w:rPr>
        <w:t>5.6-6</w:t>
      </w:r>
      <w:r>
        <w:rPr>
          <w:rFonts w:ascii="Times New Roman" w:hAnsi="Times New Roman"/>
          <w:kern w:val="0"/>
          <w:sz w:val="24"/>
          <w:szCs w:val="24"/>
        </w:rPr>
        <w:t>。</w:t>
      </w:r>
    </w:p>
    <w:p w:rsidR="00525419" w:rsidRDefault="00EE1CF7">
      <w:pPr>
        <w:ind w:firstLineChars="800" w:firstLine="1680"/>
        <w:rPr>
          <w:rFonts w:ascii="Times New Roman" w:eastAsia="黑体" w:hAnsi="Times New Roman"/>
        </w:rPr>
      </w:pPr>
      <w:r>
        <w:rPr>
          <w:rFonts w:ascii="Times New Roman" w:eastAsia="黑体" w:hAnsi="Times New Roman"/>
        </w:rPr>
        <w:t>表</w:t>
      </w:r>
      <w:r>
        <w:rPr>
          <w:rFonts w:ascii="Times New Roman" w:eastAsia="黑体" w:hAnsi="Times New Roman"/>
        </w:rPr>
        <w:t xml:space="preserve">5.6-6   </w:t>
      </w:r>
      <w:r>
        <w:rPr>
          <w:rFonts w:ascii="Times New Roman" w:eastAsia="黑体" w:hAnsi="Times New Roman"/>
        </w:rPr>
        <w:t>大气环境敏感程度分级原则一览表</w:t>
      </w:r>
    </w:p>
    <w:tbl>
      <w:tblPr>
        <w:tblW w:w="850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75"/>
        <w:gridCol w:w="7830"/>
      </w:tblGrid>
      <w:tr w:rsidR="00525419">
        <w:trPr>
          <w:trHeight w:val="397"/>
        </w:trPr>
        <w:tc>
          <w:tcPr>
            <w:tcW w:w="67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分级</w:t>
            </w:r>
          </w:p>
        </w:tc>
        <w:tc>
          <w:tcPr>
            <w:tcW w:w="7830"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大气环境敏感性</w:t>
            </w:r>
          </w:p>
        </w:tc>
      </w:tr>
      <w:tr w:rsidR="00525419">
        <w:trPr>
          <w:trHeight w:val="397"/>
        </w:trPr>
        <w:tc>
          <w:tcPr>
            <w:tcW w:w="67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E1</w:t>
            </w:r>
          </w:p>
        </w:tc>
        <w:tc>
          <w:tcPr>
            <w:tcW w:w="7830"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周边</w:t>
            </w:r>
            <w:r>
              <w:rPr>
                <w:rFonts w:ascii="Times New Roman" w:hAnsi="Times New Roman"/>
                <w:kern w:val="0"/>
                <w:szCs w:val="24"/>
              </w:rPr>
              <w:t>5km</w:t>
            </w:r>
            <w:r>
              <w:rPr>
                <w:rFonts w:ascii="Times New Roman" w:hAnsi="Times New Roman"/>
                <w:kern w:val="0"/>
                <w:szCs w:val="24"/>
              </w:rPr>
              <w:t>范围内居住区、医疗卫生、文化教育、科研、行政办公等机构人口总数大于</w:t>
            </w:r>
            <w:r>
              <w:rPr>
                <w:rFonts w:ascii="Times New Roman" w:hAnsi="Times New Roman"/>
                <w:kern w:val="0"/>
                <w:szCs w:val="24"/>
              </w:rPr>
              <w:t>5</w:t>
            </w:r>
            <w:r>
              <w:rPr>
                <w:rFonts w:ascii="Times New Roman" w:hAnsi="Times New Roman"/>
                <w:kern w:val="0"/>
                <w:szCs w:val="24"/>
              </w:rPr>
              <w:t>万人，或其他需要特殊保护区域；或周边</w:t>
            </w:r>
            <w:r>
              <w:rPr>
                <w:rFonts w:ascii="Times New Roman" w:hAnsi="Times New Roman"/>
                <w:kern w:val="0"/>
                <w:szCs w:val="24"/>
              </w:rPr>
              <w:t>500m</w:t>
            </w:r>
            <w:r>
              <w:rPr>
                <w:rFonts w:ascii="Times New Roman" w:hAnsi="Times New Roman"/>
                <w:kern w:val="0"/>
                <w:szCs w:val="24"/>
              </w:rPr>
              <w:t>范围内人口总数大于</w:t>
            </w:r>
            <w:r>
              <w:rPr>
                <w:rFonts w:ascii="Times New Roman" w:hAnsi="Times New Roman"/>
                <w:kern w:val="0"/>
                <w:szCs w:val="24"/>
              </w:rPr>
              <w:t>1000</w:t>
            </w:r>
            <w:r>
              <w:rPr>
                <w:rFonts w:ascii="Times New Roman" w:hAnsi="Times New Roman"/>
                <w:kern w:val="0"/>
                <w:szCs w:val="24"/>
              </w:rPr>
              <w:t>人；油气、化学品输送管线管段周边</w:t>
            </w:r>
            <w:r>
              <w:rPr>
                <w:rFonts w:ascii="Times New Roman" w:hAnsi="Times New Roman"/>
                <w:kern w:val="0"/>
                <w:szCs w:val="24"/>
              </w:rPr>
              <w:t>200 m</w:t>
            </w:r>
            <w:r>
              <w:rPr>
                <w:rFonts w:ascii="Times New Roman" w:hAnsi="Times New Roman"/>
                <w:kern w:val="0"/>
                <w:szCs w:val="24"/>
              </w:rPr>
              <w:t>范围内，每千米管段人口数大于</w:t>
            </w:r>
            <w:r>
              <w:rPr>
                <w:rFonts w:ascii="Times New Roman" w:hAnsi="Times New Roman"/>
                <w:kern w:val="0"/>
                <w:szCs w:val="24"/>
              </w:rPr>
              <w:t>200</w:t>
            </w:r>
            <w:r>
              <w:rPr>
                <w:rFonts w:ascii="Times New Roman" w:hAnsi="Times New Roman"/>
                <w:kern w:val="0"/>
                <w:szCs w:val="24"/>
              </w:rPr>
              <w:t>人</w:t>
            </w:r>
          </w:p>
        </w:tc>
      </w:tr>
      <w:tr w:rsidR="00525419">
        <w:trPr>
          <w:trHeight w:val="397"/>
        </w:trPr>
        <w:tc>
          <w:tcPr>
            <w:tcW w:w="67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E2</w:t>
            </w:r>
          </w:p>
        </w:tc>
        <w:tc>
          <w:tcPr>
            <w:tcW w:w="7830"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周边</w:t>
            </w:r>
            <w:r>
              <w:rPr>
                <w:rFonts w:ascii="Times New Roman" w:hAnsi="Times New Roman"/>
                <w:kern w:val="0"/>
                <w:szCs w:val="24"/>
              </w:rPr>
              <w:t>5km</w:t>
            </w:r>
            <w:r>
              <w:rPr>
                <w:rFonts w:ascii="Times New Roman" w:hAnsi="Times New Roman"/>
                <w:kern w:val="0"/>
                <w:szCs w:val="24"/>
              </w:rPr>
              <w:t>范围内居住区、医疗卫生、文化教育、科研、行政办公等机构人口总数大于</w:t>
            </w:r>
            <w:r>
              <w:rPr>
                <w:rFonts w:ascii="Times New Roman" w:hAnsi="Times New Roman"/>
                <w:kern w:val="0"/>
                <w:szCs w:val="24"/>
              </w:rPr>
              <w:t>1</w:t>
            </w:r>
            <w:r>
              <w:rPr>
                <w:rFonts w:ascii="Times New Roman" w:hAnsi="Times New Roman"/>
                <w:kern w:val="0"/>
                <w:szCs w:val="24"/>
              </w:rPr>
              <w:t>万人，小于</w:t>
            </w:r>
            <w:r>
              <w:rPr>
                <w:rFonts w:ascii="Times New Roman" w:hAnsi="Times New Roman"/>
                <w:kern w:val="0"/>
                <w:szCs w:val="24"/>
              </w:rPr>
              <w:t>5</w:t>
            </w:r>
            <w:r>
              <w:rPr>
                <w:rFonts w:ascii="Times New Roman" w:hAnsi="Times New Roman"/>
                <w:kern w:val="0"/>
                <w:szCs w:val="24"/>
              </w:rPr>
              <w:t>万人；或周边</w:t>
            </w:r>
            <w:r>
              <w:rPr>
                <w:rFonts w:ascii="Times New Roman" w:hAnsi="Times New Roman"/>
                <w:kern w:val="0"/>
                <w:szCs w:val="24"/>
              </w:rPr>
              <w:t>500m</w:t>
            </w:r>
            <w:r>
              <w:rPr>
                <w:rFonts w:ascii="Times New Roman" w:hAnsi="Times New Roman"/>
                <w:kern w:val="0"/>
                <w:szCs w:val="24"/>
              </w:rPr>
              <w:t>范围内人口总数大于</w:t>
            </w:r>
            <w:r>
              <w:rPr>
                <w:rFonts w:ascii="Times New Roman" w:hAnsi="Times New Roman"/>
                <w:kern w:val="0"/>
                <w:szCs w:val="24"/>
              </w:rPr>
              <w:t>500</w:t>
            </w:r>
            <w:r>
              <w:rPr>
                <w:rFonts w:ascii="Times New Roman" w:hAnsi="Times New Roman"/>
                <w:kern w:val="0"/>
                <w:szCs w:val="24"/>
              </w:rPr>
              <w:t>人，小于</w:t>
            </w:r>
            <w:r>
              <w:rPr>
                <w:rFonts w:ascii="Times New Roman" w:hAnsi="Times New Roman"/>
                <w:kern w:val="0"/>
                <w:szCs w:val="24"/>
              </w:rPr>
              <w:t>1000</w:t>
            </w:r>
            <w:r>
              <w:rPr>
                <w:rFonts w:ascii="Times New Roman" w:hAnsi="Times New Roman"/>
                <w:kern w:val="0"/>
                <w:szCs w:val="24"/>
              </w:rPr>
              <w:t>人；油气、化学品输送管线管段周边</w:t>
            </w:r>
            <w:r>
              <w:rPr>
                <w:rFonts w:ascii="Times New Roman" w:hAnsi="Times New Roman"/>
                <w:kern w:val="0"/>
                <w:szCs w:val="24"/>
              </w:rPr>
              <w:t>200 m</w:t>
            </w:r>
            <w:r>
              <w:rPr>
                <w:rFonts w:ascii="Times New Roman" w:hAnsi="Times New Roman"/>
                <w:kern w:val="0"/>
                <w:szCs w:val="24"/>
              </w:rPr>
              <w:t>范围内，每千米管段人口数大于</w:t>
            </w:r>
            <w:r>
              <w:rPr>
                <w:rFonts w:ascii="Times New Roman" w:hAnsi="Times New Roman"/>
                <w:kern w:val="0"/>
                <w:szCs w:val="24"/>
              </w:rPr>
              <w:t>100</w:t>
            </w:r>
            <w:r>
              <w:rPr>
                <w:rFonts w:ascii="Times New Roman" w:hAnsi="Times New Roman"/>
                <w:kern w:val="0"/>
                <w:szCs w:val="24"/>
              </w:rPr>
              <w:t>人，小于</w:t>
            </w:r>
            <w:r>
              <w:rPr>
                <w:rFonts w:ascii="Times New Roman" w:hAnsi="Times New Roman"/>
                <w:kern w:val="0"/>
                <w:szCs w:val="24"/>
              </w:rPr>
              <w:t>200</w:t>
            </w:r>
            <w:r>
              <w:rPr>
                <w:rFonts w:ascii="Times New Roman" w:hAnsi="Times New Roman"/>
                <w:kern w:val="0"/>
                <w:szCs w:val="24"/>
              </w:rPr>
              <w:t>人</w:t>
            </w:r>
          </w:p>
        </w:tc>
      </w:tr>
      <w:tr w:rsidR="00525419">
        <w:trPr>
          <w:trHeight w:val="397"/>
        </w:trPr>
        <w:tc>
          <w:tcPr>
            <w:tcW w:w="67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E3</w:t>
            </w:r>
          </w:p>
        </w:tc>
        <w:tc>
          <w:tcPr>
            <w:tcW w:w="7830"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周边</w:t>
            </w:r>
            <w:r>
              <w:rPr>
                <w:rFonts w:ascii="Times New Roman" w:hAnsi="Times New Roman"/>
                <w:kern w:val="0"/>
                <w:szCs w:val="24"/>
              </w:rPr>
              <w:t>5 km</w:t>
            </w:r>
            <w:r>
              <w:rPr>
                <w:rFonts w:ascii="Times New Roman" w:hAnsi="Times New Roman"/>
                <w:kern w:val="0"/>
                <w:szCs w:val="24"/>
              </w:rPr>
              <w:t>范围内居住区、医疗卫生、文化教育、科研、行政办公等机构人口总数小于</w:t>
            </w:r>
            <w:r>
              <w:rPr>
                <w:rFonts w:ascii="Times New Roman" w:hAnsi="Times New Roman"/>
                <w:kern w:val="0"/>
                <w:szCs w:val="24"/>
              </w:rPr>
              <w:t>1</w:t>
            </w:r>
            <w:r>
              <w:rPr>
                <w:rFonts w:ascii="Times New Roman" w:hAnsi="Times New Roman"/>
                <w:kern w:val="0"/>
                <w:szCs w:val="24"/>
              </w:rPr>
              <w:t>万人；或周边</w:t>
            </w:r>
            <w:r>
              <w:rPr>
                <w:rFonts w:ascii="Times New Roman" w:hAnsi="Times New Roman"/>
                <w:kern w:val="0"/>
                <w:szCs w:val="24"/>
              </w:rPr>
              <w:t>500m</w:t>
            </w:r>
            <w:r>
              <w:rPr>
                <w:rFonts w:ascii="Times New Roman" w:hAnsi="Times New Roman"/>
                <w:kern w:val="0"/>
                <w:szCs w:val="24"/>
              </w:rPr>
              <w:t>范围内人口总数小于</w:t>
            </w:r>
            <w:r>
              <w:rPr>
                <w:rFonts w:ascii="Times New Roman" w:hAnsi="Times New Roman"/>
                <w:kern w:val="0"/>
                <w:szCs w:val="24"/>
              </w:rPr>
              <w:t>500</w:t>
            </w:r>
            <w:r>
              <w:rPr>
                <w:rFonts w:ascii="Times New Roman" w:hAnsi="Times New Roman"/>
                <w:kern w:val="0"/>
                <w:szCs w:val="24"/>
              </w:rPr>
              <w:t>人；油气、化学品输送管线管段周边</w:t>
            </w:r>
            <w:r>
              <w:rPr>
                <w:rFonts w:ascii="Times New Roman" w:hAnsi="Times New Roman"/>
                <w:kern w:val="0"/>
                <w:szCs w:val="24"/>
              </w:rPr>
              <w:t>200m</w:t>
            </w:r>
            <w:r>
              <w:rPr>
                <w:rFonts w:ascii="Times New Roman" w:hAnsi="Times New Roman"/>
                <w:kern w:val="0"/>
                <w:szCs w:val="24"/>
              </w:rPr>
              <w:t>范围内，每千米管段人口数小于</w:t>
            </w:r>
            <w:r>
              <w:rPr>
                <w:rFonts w:ascii="Times New Roman" w:hAnsi="Times New Roman"/>
                <w:kern w:val="0"/>
                <w:szCs w:val="24"/>
              </w:rPr>
              <w:t>100</w:t>
            </w:r>
            <w:r>
              <w:rPr>
                <w:rFonts w:ascii="Times New Roman" w:hAnsi="Times New Roman"/>
                <w:kern w:val="0"/>
                <w:szCs w:val="24"/>
              </w:rPr>
              <w:t>人</w:t>
            </w:r>
          </w:p>
        </w:tc>
      </w:tr>
    </w:tbl>
    <w:p w:rsidR="00525419" w:rsidRDefault="00525419">
      <w:pPr>
        <w:widowControl/>
        <w:jc w:val="center"/>
        <w:rPr>
          <w:rFonts w:ascii="Times New Roman" w:hAnsi="Times New Roman"/>
          <w:kern w:val="0"/>
          <w:szCs w:val="24"/>
        </w:rPr>
      </w:pP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本项目位于鄯善高新技术产业开发区，东侧</w:t>
      </w:r>
      <w:r>
        <w:rPr>
          <w:rFonts w:ascii="Times New Roman" w:hAnsi="Times New Roman"/>
          <w:kern w:val="0"/>
          <w:sz w:val="24"/>
          <w:szCs w:val="24"/>
        </w:rPr>
        <w:t>2.5km</w:t>
      </w:r>
      <w:r>
        <w:rPr>
          <w:rFonts w:ascii="Times New Roman" w:hAnsi="Times New Roman"/>
          <w:kern w:val="0"/>
          <w:sz w:val="24"/>
          <w:szCs w:val="24"/>
        </w:rPr>
        <w:t>为火车站镇。根据现场调查，项目周边</w:t>
      </w:r>
      <w:r>
        <w:rPr>
          <w:rFonts w:ascii="Times New Roman" w:hAnsi="Times New Roman"/>
          <w:kern w:val="0"/>
          <w:sz w:val="24"/>
          <w:szCs w:val="24"/>
        </w:rPr>
        <w:t>5km</w:t>
      </w:r>
      <w:r>
        <w:rPr>
          <w:rFonts w:ascii="Times New Roman" w:hAnsi="Times New Roman"/>
          <w:kern w:val="0"/>
          <w:sz w:val="24"/>
          <w:szCs w:val="24"/>
        </w:rPr>
        <w:t>范围内居住区、医疗卫生、文化教育、科研、行政办公等机构人口总数大于</w:t>
      </w:r>
      <w:r>
        <w:rPr>
          <w:rFonts w:ascii="Times New Roman" w:hAnsi="Times New Roman"/>
          <w:kern w:val="0"/>
          <w:sz w:val="24"/>
          <w:szCs w:val="24"/>
        </w:rPr>
        <w:t>1</w:t>
      </w:r>
      <w:r>
        <w:rPr>
          <w:rFonts w:ascii="Times New Roman" w:hAnsi="Times New Roman"/>
          <w:kern w:val="0"/>
          <w:sz w:val="24"/>
          <w:szCs w:val="24"/>
        </w:rPr>
        <w:t>万人、小于</w:t>
      </w:r>
      <w:r>
        <w:rPr>
          <w:rFonts w:ascii="Times New Roman" w:hAnsi="Times New Roman"/>
          <w:kern w:val="0"/>
          <w:sz w:val="24"/>
          <w:szCs w:val="24"/>
        </w:rPr>
        <w:t>5</w:t>
      </w:r>
      <w:r>
        <w:rPr>
          <w:rFonts w:ascii="Times New Roman" w:hAnsi="Times New Roman"/>
          <w:kern w:val="0"/>
          <w:sz w:val="24"/>
          <w:szCs w:val="24"/>
        </w:rPr>
        <w:t>万人，根据表</w:t>
      </w:r>
      <w:r>
        <w:rPr>
          <w:rFonts w:ascii="Times New Roman" w:hAnsi="Times New Roman"/>
          <w:kern w:val="0"/>
          <w:sz w:val="24"/>
          <w:szCs w:val="24"/>
        </w:rPr>
        <w:t>5.6-6</w:t>
      </w:r>
      <w:r>
        <w:rPr>
          <w:rFonts w:ascii="Times New Roman" w:hAnsi="Times New Roman"/>
          <w:kern w:val="0"/>
          <w:sz w:val="24"/>
          <w:szCs w:val="24"/>
        </w:rPr>
        <w:t>判定，项目的所在区域大气环境敏感程度为环境中度敏感区</w:t>
      </w:r>
      <w:r>
        <w:rPr>
          <w:rFonts w:ascii="Times New Roman" w:hAnsi="Times New Roman"/>
          <w:kern w:val="0"/>
          <w:sz w:val="24"/>
          <w:szCs w:val="24"/>
        </w:rPr>
        <w:t>E2</w:t>
      </w:r>
      <w:r>
        <w:rPr>
          <w:rFonts w:ascii="Times New Roman" w:hAnsi="Times New Roman"/>
          <w:kern w:val="0"/>
          <w:sz w:val="24"/>
          <w:szCs w:val="24"/>
        </w:rPr>
        <w:t>。</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lastRenderedPageBreak/>
        <w:t>（</w:t>
      </w:r>
      <w:r>
        <w:rPr>
          <w:rFonts w:ascii="Times New Roman" w:hAnsi="Times New Roman"/>
          <w:kern w:val="0"/>
          <w:sz w:val="24"/>
          <w:szCs w:val="24"/>
        </w:rPr>
        <w:t>2</w:t>
      </w:r>
      <w:r>
        <w:rPr>
          <w:rFonts w:ascii="Times New Roman" w:hAnsi="Times New Roman"/>
          <w:kern w:val="0"/>
          <w:sz w:val="24"/>
          <w:szCs w:val="24"/>
        </w:rPr>
        <w:t>）地表水环境敏感程度</w:t>
      </w:r>
    </w:p>
    <w:p w:rsidR="00525419" w:rsidRDefault="00EE1CF7">
      <w:pPr>
        <w:widowControl/>
        <w:spacing w:line="360" w:lineRule="auto"/>
        <w:ind w:firstLineChars="200" w:firstLine="480"/>
        <w:jc w:val="left"/>
        <w:rPr>
          <w:rFonts w:ascii="Times New Roman" w:hAnsi="Times New Roman"/>
          <w:kern w:val="0"/>
          <w:sz w:val="24"/>
          <w:szCs w:val="24"/>
        </w:rPr>
      </w:pPr>
      <w:bookmarkStart w:id="188" w:name="OLE_LINK815"/>
      <w:bookmarkStart w:id="189" w:name="OLE_LINK814"/>
      <w:r>
        <w:rPr>
          <w:rFonts w:ascii="Times New Roman" w:hAnsi="Times New Roman"/>
          <w:kern w:val="0"/>
          <w:sz w:val="24"/>
          <w:szCs w:val="24"/>
        </w:rPr>
        <w:t>根据《建设项目环境风险评价技术导则》（</w:t>
      </w:r>
      <w:r>
        <w:rPr>
          <w:rFonts w:ascii="Times New Roman" w:hAnsi="Times New Roman"/>
          <w:kern w:val="0"/>
          <w:sz w:val="24"/>
          <w:szCs w:val="24"/>
        </w:rPr>
        <w:t>HJ169-2018</w:t>
      </w:r>
      <w:r>
        <w:rPr>
          <w:rFonts w:ascii="Times New Roman" w:hAnsi="Times New Roman"/>
          <w:kern w:val="0"/>
          <w:sz w:val="24"/>
          <w:szCs w:val="24"/>
        </w:rPr>
        <w:t>）附录</w:t>
      </w:r>
      <w:r>
        <w:rPr>
          <w:rFonts w:ascii="Times New Roman" w:hAnsi="Times New Roman"/>
          <w:kern w:val="0"/>
          <w:sz w:val="24"/>
          <w:szCs w:val="24"/>
        </w:rPr>
        <w:t>D</w:t>
      </w:r>
      <w:r>
        <w:rPr>
          <w:rFonts w:ascii="Times New Roman" w:hAnsi="Times New Roman"/>
          <w:kern w:val="0"/>
          <w:sz w:val="24"/>
          <w:szCs w:val="24"/>
        </w:rPr>
        <w:t>的规定</w:t>
      </w:r>
      <w:bookmarkEnd w:id="188"/>
      <w:bookmarkEnd w:id="189"/>
      <w:r>
        <w:rPr>
          <w:rFonts w:ascii="Times New Roman" w:hAnsi="Times New Roman"/>
          <w:kern w:val="0"/>
          <w:sz w:val="24"/>
          <w:szCs w:val="24"/>
        </w:rPr>
        <w:t>：</w:t>
      </w:r>
      <w:bookmarkStart w:id="190" w:name="OLE_LINK798"/>
      <w:bookmarkStart w:id="191" w:name="OLE_LINK790"/>
      <w:r>
        <w:rPr>
          <w:rFonts w:ascii="Times New Roman" w:hAnsi="Times New Roman"/>
          <w:kern w:val="0"/>
          <w:sz w:val="24"/>
          <w:szCs w:val="24"/>
        </w:rPr>
        <w:t>区域地表水环境敏感程度</w:t>
      </w:r>
      <w:bookmarkEnd w:id="190"/>
      <w:bookmarkEnd w:id="191"/>
      <w:r>
        <w:rPr>
          <w:rFonts w:ascii="Times New Roman" w:hAnsi="Times New Roman"/>
          <w:kern w:val="0"/>
          <w:sz w:val="24"/>
          <w:szCs w:val="24"/>
        </w:rPr>
        <w:t>依据事故情况下危险物质泄漏到水体的排放点受纳地表水体功能敏感性与下游环境敏感目标情况确定。区域地表水环境敏感程度共分为三种类型，</w:t>
      </w:r>
      <w:r>
        <w:rPr>
          <w:rFonts w:ascii="Times New Roman" w:hAnsi="Times New Roman"/>
          <w:kern w:val="0"/>
          <w:sz w:val="24"/>
          <w:szCs w:val="24"/>
        </w:rPr>
        <w:t>E1</w:t>
      </w:r>
      <w:r>
        <w:rPr>
          <w:rFonts w:ascii="Times New Roman" w:hAnsi="Times New Roman"/>
          <w:kern w:val="0"/>
          <w:sz w:val="24"/>
          <w:szCs w:val="24"/>
        </w:rPr>
        <w:t>为环境高度敏感区，</w:t>
      </w:r>
      <w:r>
        <w:rPr>
          <w:rFonts w:ascii="Times New Roman" w:hAnsi="Times New Roman"/>
          <w:kern w:val="0"/>
          <w:sz w:val="24"/>
          <w:szCs w:val="24"/>
        </w:rPr>
        <w:t>E2</w:t>
      </w:r>
      <w:r>
        <w:rPr>
          <w:rFonts w:ascii="Times New Roman" w:hAnsi="Times New Roman"/>
          <w:kern w:val="0"/>
          <w:sz w:val="24"/>
          <w:szCs w:val="24"/>
        </w:rPr>
        <w:t>为环境中度敏感区，</w:t>
      </w:r>
      <w:r>
        <w:rPr>
          <w:rFonts w:ascii="Times New Roman" w:hAnsi="Times New Roman"/>
          <w:kern w:val="0"/>
          <w:sz w:val="24"/>
          <w:szCs w:val="24"/>
        </w:rPr>
        <w:t>E3</w:t>
      </w:r>
      <w:r>
        <w:rPr>
          <w:rFonts w:ascii="Times New Roman" w:hAnsi="Times New Roman"/>
          <w:kern w:val="0"/>
          <w:sz w:val="24"/>
          <w:szCs w:val="24"/>
        </w:rPr>
        <w:t>为环境低度敏感区，其分级原则见表</w:t>
      </w:r>
      <w:r>
        <w:rPr>
          <w:rFonts w:ascii="Times New Roman" w:hAnsi="Times New Roman"/>
          <w:kern w:val="0"/>
          <w:sz w:val="24"/>
          <w:szCs w:val="24"/>
        </w:rPr>
        <w:t>5.6-7</w:t>
      </w:r>
      <w:r>
        <w:rPr>
          <w:rFonts w:ascii="Times New Roman" w:hAnsi="Times New Roman"/>
          <w:kern w:val="0"/>
          <w:sz w:val="24"/>
          <w:szCs w:val="24"/>
        </w:rPr>
        <w:t>。其中地表水功能敏感性分区和环境敏感目标分级原则分别见表</w:t>
      </w:r>
      <w:r>
        <w:rPr>
          <w:rFonts w:ascii="Times New Roman" w:hAnsi="Times New Roman"/>
          <w:kern w:val="0"/>
          <w:sz w:val="24"/>
          <w:szCs w:val="24"/>
        </w:rPr>
        <w:t>5.6-8</w:t>
      </w:r>
      <w:r>
        <w:rPr>
          <w:rFonts w:ascii="Times New Roman" w:hAnsi="Times New Roman"/>
          <w:kern w:val="0"/>
          <w:sz w:val="24"/>
          <w:szCs w:val="24"/>
        </w:rPr>
        <w:t>和表</w:t>
      </w:r>
      <w:r>
        <w:rPr>
          <w:rFonts w:ascii="Times New Roman" w:hAnsi="Times New Roman"/>
          <w:kern w:val="0"/>
          <w:sz w:val="24"/>
          <w:szCs w:val="24"/>
        </w:rPr>
        <w:t>5.6-9</w:t>
      </w:r>
      <w:r>
        <w:rPr>
          <w:rFonts w:ascii="Times New Roman" w:hAnsi="Times New Roman"/>
          <w:kern w:val="0"/>
          <w:sz w:val="24"/>
          <w:szCs w:val="24"/>
        </w:rPr>
        <w:t>。</w:t>
      </w:r>
    </w:p>
    <w:p w:rsidR="00525419" w:rsidRDefault="00EE1CF7">
      <w:pPr>
        <w:ind w:firstLineChars="800" w:firstLine="1680"/>
        <w:rPr>
          <w:rFonts w:ascii="Times New Roman" w:eastAsia="黑体" w:hAnsi="Times New Roman"/>
        </w:rPr>
      </w:pPr>
      <w:bookmarkStart w:id="192" w:name="OLE_LINK820"/>
      <w:bookmarkStart w:id="193" w:name="OLE_LINK819"/>
      <w:r>
        <w:rPr>
          <w:rFonts w:ascii="Times New Roman" w:eastAsia="黑体" w:hAnsi="Times New Roman"/>
        </w:rPr>
        <w:t>表</w:t>
      </w:r>
      <w:r>
        <w:rPr>
          <w:rFonts w:ascii="Times New Roman" w:eastAsia="黑体" w:hAnsi="Times New Roman"/>
        </w:rPr>
        <w:t xml:space="preserve">5.6-7   </w:t>
      </w:r>
      <w:r>
        <w:rPr>
          <w:rFonts w:ascii="Times New Roman" w:eastAsia="黑体" w:hAnsi="Times New Roman"/>
        </w:rPr>
        <w:t>地表水环境敏感程度分级原则一览表</w:t>
      </w:r>
    </w:p>
    <w:tbl>
      <w:tblPr>
        <w:tblW w:w="850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947"/>
        <w:gridCol w:w="2304"/>
        <w:gridCol w:w="2127"/>
        <w:gridCol w:w="2127"/>
      </w:tblGrid>
      <w:tr w:rsidR="00525419">
        <w:trPr>
          <w:trHeight w:val="397"/>
        </w:trPr>
        <w:tc>
          <w:tcPr>
            <w:tcW w:w="1947"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环境敏感目标</w:t>
            </w:r>
          </w:p>
        </w:tc>
        <w:tc>
          <w:tcPr>
            <w:tcW w:w="6558" w:type="dxa"/>
            <w:gridSpan w:val="3"/>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地表水功能敏感性</w:t>
            </w:r>
          </w:p>
        </w:tc>
      </w:tr>
      <w:tr w:rsidR="00525419">
        <w:trPr>
          <w:trHeight w:val="397"/>
        </w:trPr>
        <w:tc>
          <w:tcPr>
            <w:tcW w:w="1947" w:type="dxa"/>
            <w:vMerge/>
            <w:vAlign w:val="center"/>
          </w:tcPr>
          <w:p w:rsidR="00525419" w:rsidRDefault="00525419">
            <w:pPr>
              <w:widowControl/>
              <w:jc w:val="center"/>
              <w:rPr>
                <w:rFonts w:ascii="Times New Roman" w:hAnsi="Times New Roman"/>
                <w:kern w:val="0"/>
                <w:szCs w:val="24"/>
              </w:rPr>
            </w:pPr>
          </w:p>
        </w:tc>
        <w:tc>
          <w:tcPr>
            <w:tcW w:w="2304" w:type="dxa"/>
            <w:vAlign w:val="center"/>
          </w:tcPr>
          <w:p w:rsidR="00525419" w:rsidRDefault="00EE1CF7">
            <w:pPr>
              <w:widowControl/>
              <w:jc w:val="center"/>
              <w:rPr>
                <w:rFonts w:ascii="Times New Roman" w:hAnsi="Times New Roman"/>
                <w:kern w:val="0"/>
                <w:szCs w:val="24"/>
              </w:rPr>
            </w:pPr>
            <w:bookmarkStart w:id="194" w:name="OLE_LINK799"/>
            <w:bookmarkStart w:id="195" w:name="OLE_LINK805"/>
            <w:bookmarkStart w:id="196" w:name="OLE_LINK804"/>
            <w:r>
              <w:rPr>
                <w:rFonts w:ascii="Times New Roman" w:hAnsi="Times New Roman"/>
                <w:kern w:val="0"/>
                <w:szCs w:val="24"/>
              </w:rPr>
              <w:t>F1</w:t>
            </w:r>
            <w:bookmarkEnd w:id="194"/>
            <w:bookmarkEnd w:id="195"/>
            <w:bookmarkEnd w:id="196"/>
          </w:p>
        </w:tc>
        <w:tc>
          <w:tcPr>
            <w:tcW w:w="212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F2</w:t>
            </w:r>
          </w:p>
        </w:tc>
        <w:tc>
          <w:tcPr>
            <w:tcW w:w="212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F3</w:t>
            </w:r>
          </w:p>
        </w:tc>
      </w:tr>
      <w:tr w:rsidR="00525419">
        <w:trPr>
          <w:trHeight w:val="397"/>
        </w:trPr>
        <w:tc>
          <w:tcPr>
            <w:tcW w:w="194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S1</w:t>
            </w:r>
          </w:p>
        </w:tc>
        <w:tc>
          <w:tcPr>
            <w:tcW w:w="2304" w:type="dxa"/>
            <w:vAlign w:val="center"/>
          </w:tcPr>
          <w:p w:rsidR="00525419" w:rsidRDefault="00EE1CF7">
            <w:pPr>
              <w:widowControl/>
              <w:jc w:val="center"/>
              <w:rPr>
                <w:rFonts w:ascii="Times New Roman" w:hAnsi="Times New Roman"/>
                <w:kern w:val="0"/>
                <w:szCs w:val="24"/>
              </w:rPr>
            </w:pPr>
            <w:bookmarkStart w:id="197" w:name="OLE_LINK806"/>
            <w:bookmarkStart w:id="198" w:name="OLE_LINK807"/>
            <w:bookmarkStart w:id="199" w:name="OLE_LINK809"/>
            <w:bookmarkStart w:id="200" w:name="OLE_LINK808"/>
            <w:r>
              <w:rPr>
                <w:rFonts w:ascii="Times New Roman" w:hAnsi="Times New Roman"/>
                <w:kern w:val="0"/>
                <w:szCs w:val="24"/>
              </w:rPr>
              <w:t>E1</w:t>
            </w:r>
            <w:bookmarkEnd w:id="197"/>
            <w:bookmarkEnd w:id="198"/>
            <w:bookmarkEnd w:id="199"/>
            <w:bookmarkEnd w:id="200"/>
          </w:p>
        </w:tc>
        <w:tc>
          <w:tcPr>
            <w:tcW w:w="212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E1</w:t>
            </w:r>
          </w:p>
        </w:tc>
        <w:tc>
          <w:tcPr>
            <w:tcW w:w="212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E2</w:t>
            </w:r>
          </w:p>
        </w:tc>
      </w:tr>
      <w:tr w:rsidR="00525419">
        <w:trPr>
          <w:trHeight w:val="397"/>
        </w:trPr>
        <w:tc>
          <w:tcPr>
            <w:tcW w:w="1947" w:type="dxa"/>
            <w:vAlign w:val="center"/>
          </w:tcPr>
          <w:p w:rsidR="00525419" w:rsidRDefault="00EE1CF7">
            <w:pPr>
              <w:widowControl/>
              <w:jc w:val="center"/>
              <w:rPr>
                <w:rFonts w:ascii="Times New Roman" w:hAnsi="Times New Roman"/>
                <w:kern w:val="0"/>
                <w:szCs w:val="24"/>
              </w:rPr>
            </w:pPr>
            <w:bookmarkStart w:id="201" w:name="OLE_LINK810" w:colFirst="1" w:colLast="3"/>
            <w:bookmarkStart w:id="202" w:name="OLE_LINK811" w:colFirst="1" w:colLast="3"/>
            <w:bookmarkStart w:id="203" w:name="_Hlk901984"/>
            <w:r>
              <w:rPr>
                <w:rFonts w:ascii="Times New Roman" w:hAnsi="Times New Roman"/>
                <w:kern w:val="0"/>
                <w:szCs w:val="24"/>
              </w:rPr>
              <w:t>S2</w:t>
            </w:r>
          </w:p>
        </w:tc>
        <w:tc>
          <w:tcPr>
            <w:tcW w:w="230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E1</w:t>
            </w:r>
          </w:p>
        </w:tc>
        <w:tc>
          <w:tcPr>
            <w:tcW w:w="212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E2</w:t>
            </w:r>
          </w:p>
        </w:tc>
        <w:tc>
          <w:tcPr>
            <w:tcW w:w="212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E3</w:t>
            </w:r>
          </w:p>
        </w:tc>
      </w:tr>
      <w:bookmarkEnd w:id="201"/>
      <w:bookmarkEnd w:id="202"/>
      <w:bookmarkEnd w:id="203"/>
      <w:tr w:rsidR="00525419">
        <w:trPr>
          <w:trHeight w:val="397"/>
        </w:trPr>
        <w:tc>
          <w:tcPr>
            <w:tcW w:w="194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S3</w:t>
            </w:r>
          </w:p>
        </w:tc>
        <w:tc>
          <w:tcPr>
            <w:tcW w:w="230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E1</w:t>
            </w:r>
          </w:p>
        </w:tc>
        <w:tc>
          <w:tcPr>
            <w:tcW w:w="212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E2</w:t>
            </w:r>
          </w:p>
        </w:tc>
        <w:tc>
          <w:tcPr>
            <w:tcW w:w="212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E3</w:t>
            </w:r>
          </w:p>
        </w:tc>
      </w:tr>
    </w:tbl>
    <w:bookmarkEnd w:id="192"/>
    <w:bookmarkEnd w:id="193"/>
    <w:p w:rsidR="00525419" w:rsidRDefault="00EE1CF7">
      <w:pPr>
        <w:ind w:firstLineChars="800" w:firstLine="1680"/>
        <w:rPr>
          <w:rFonts w:ascii="Times New Roman" w:eastAsia="黑体" w:hAnsi="Times New Roman"/>
        </w:rPr>
      </w:pPr>
      <w:r>
        <w:rPr>
          <w:rFonts w:ascii="Times New Roman" w:eastAsia="黑体" w:hAnsi="Times New Roman"/>
        </w:rPr>
        <w:t>表</w:t>
      </w:r>
      <w:r>
        <w:rPr>
          <w:rFonts w:ascii="Times New Roman" w:eastAsia="黑体" w:hAnsi="Times New Roman"/>
        </w:rPr>
        <w:t xml:space="preserve">5.6-8   </w:t>
      </w:r>
      <w:r>
        <w:rPr>
          <w:rFonts w:ascii="Times New Roman" w:eastAsia="黑体" w:hAnsi="Times New Roman"/>
        </w:rPr>
        <w:t>地表水功能敏感性分区原则一览表</w:t>
      </w:r>
    </w:p>
    <w:tbl>
      <w:tblPr>
        <w:tblW w:w="850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958"/>
        <w:gridCol w:w="7547"/>
      </w:tblGrid>
      <w:tr w:rsidR="00525419">
        <w:trPr>
          <w:trHeight w:val="397"/>
        </w:trPr>
        <w:tc>
          <w:tcPr>
            <w:tcW w:w="958" w:type="dxa"/>
            <w:vAlign w:val="center"/>
          </w:tcPr>
          <w:p w:rsidR="00525419" w:rsidRDefault="00EE1CF7">
            <w:pPr>
              <w:widowControl/>
              <w:jc w:val="center"/>
              <w:rPr>
                <w:rFonts w:ascii="Times New Roman" w:hAnsi="Times New Roman"/>
                <w:kern w:val="0"/>
                <w:szCs w:val="24"/>
              </w:rPr>
            </w:pPr>
            <w:bookmarkStart w:id="204" w:name="OLE_LINK813"/>
            <w:bookmarkStart w:id="205" w:name="OLE_LINK812"/>
            <w:r>
              <w:rPr>
                <w:rFonts w:ascii="Times New Roman" w:hAnsi="Times New Roman"/>
                <w:kern w:val="0"/>
                <w:szCs w:val="24"/>
              </w:rPr>
              <w:t>敏感性</w:t>
            </w:r>
          </w:p>
        </w:tc>
        <w:tc>
          <w:tcPr>
            <w:tcW w:w="754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地表水环境敏感特征</w:t>
            </w:r>
          </w:p>
        </w:tc>
      </w:tr>
      <w:tr w:rsidR="00525419">
        <w:trPr>
          <w:trHeight w:val="397"/>
        </w:trPr>
        <w:tc>
          <w:tcPr>
            <w:tcW w:w="958"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敏感</w:t>
            </w:r>
          </w:p>
          <w:p w:rsidR="00525419" w:rsidRDefault="00EE1CF7">
            <w:pPr>
              <w:widowControl/>
              <w:jc w:val="center"/>
              <w:rPr>
                <w:rFonts w:ascii="Times New Roman" w:hAnsi="Times New Roman"/>
                <w:kern w:val="0"/>
                <w:szCs w:val="24"/>
              </w:rPr>
            </w:pPr>
            <w:r>
              <w:rPr>
                <w:rFonts w:ascii="Times New Roman" w:hAnsi="Times New Roman"/>
                <w:kern w:val="0"/>
                <w:szCs w:val="24"/>
              </w:rPr>
              <w:t>F1</w:t>
            </w:r>
          </w:p>
        </w:tc>
        <w:tc>
          <w:tcPr>
            <w:tcW w:w="7547" w:type="dxa"/>
            <w:vAlign w:val="center"/>
          </w:tcPr>
          <w:p w:rsidR="00525419" w:rsidRDefault="00EE1CF7">
            <w:pPr>
              <w:widowControl/>
              <w:rPr>
                <w:rFonts w:ascii="Times New Roman" w:hAnsi="Times New Roman"/>
                <w:kern w:val="0"/>
                <w:szCs w:val="24"/>
              </w:rPr>
            </w:pPr>
            <w:r>
              <w:rPr>
                <w:rFonts w:ascii="Times New Roman" w:hAnsi="Times New Roman"/>
                <w:kern w:val="0"/>
                <w:szCs w:val="24"/>
              </w:rPr>
              <w:t>排放点进入地表水水域环境功能为</w:t>
            </w:r>
            <w:r>
              <w:rPr>
                <w:rFonts w:ascii="Times New Roman" w:hAnsi="Times New Roman"/>
                <w:kern w:val="0"/>
                <w:szCs w:val="24"/>
              </w:rPr>
              <w:t>Ⅱ</w:t>
            </w:r>
            <w:r>
              <w:rPr>
                <w:rFonts w:ascii="Times New Roman" w:hAnsi="Times New Roman"/>
                <w:kern w:val="0"/>
                <w:szCs w:val="24"/>
              </w:rPr>
              <w:t>类及以上，或海水水质分类第一类；或以发生事故时，危险物质泄漏到水体的排放点算起，排放进入受纳河流最大流速时，</w:t>
            </w:r>
            <w:r>
              <w:rPr>
                <w:rFonts w:ascii="Times New Roman" w:hAnsi="Times New Roman"/>
                <w:kern w:val="0"/>
                <w:szCs w:val="24"/>
              </w:rPr>
              <w:t>24h</w:t>
            </w:r>
            <w:r>
              <w:rPr>
                <w:rFonts w:ascii="Times New Roman" w:hAnsi="Times New Roman"/>
                <w:kern w:val="0"/>
                <w:szCs w:val="24"/>
              </w:rPr>
              <w:t>流经范围内涉跨国界的。</w:t>
            </w:r>
          </w:p>
        </w:tc>
      </w:tr>
      <w:tr w:rsidR="00525419">
        <w:trPr>
          <w:trHeight w:val="397"/>
        </w:trPr>
        <w:tc>
          <w:tcPr>
            <w:tcW w:w="958"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较敏感</w:t>
            </w:r>
            <w:r>
              <w:rPr>
                <w:rFonts w:ascii="Times New Roman" w:hAnsi="Times New Roman"/>
                <w:kern w:val="0"/>
                <w:szCs w:val="24"/>
              </w:rPr>
              <w:t>F2</w:t>
            </w:r>
          </w:p>
        </w:tc>
        <w:tc>
          <w:tcPr>
            <w:tcW w:w="7547" w:type="dxa"/>
            <w:vAlign w:val="center"/>
          </w:tcPr>
          <w:p w:rsidR="00525419" w:rsidRDefault="00EE1CF7">
            <w:pPr>
              <w:widowControl/>
              <w:rPr>
                <w:rFonts w:ascii="Times New Roman" w:hAnsi="Times New Roman"/>
                <w:kern w:val="0"/>
                <w:szCs w:val="24"/>
              </w:rPr>
            </w:pPr>
            <w:r>
              <w:rPr>
                <w:rFonts w:ascii="Times New Roman" w:hAnsi="Times New Roman"/>
                <w:kern w:val="0"/>
                <w:szCs w:val="24"/>
              </w:rPr>
              <w:t>排放点进入地表水水域环境功能为</w:t>
            </w:r>
            <w:r>
              <w:rPr>
                <w:rFonts w:ascii="Times New Roman" w:hAnsi="Times New Roman"/>
                <w:kern w:val="0"/>
                <w:szCs w:val="24"/>
              </w:rPr>
              <w:t>Ⅲ</w:t>
            </w:r>
            <w:r>
              <w:rPr>
                <w:rFonts w:ascii="Times New Roman" w:hAnsi="Times New Roman"/>
                <w:kern w:val="0"/>
                <w:szCs w:val="24"/>
              </w:rPr>
              <w:t>类，或海水水质分类第二类；或以发生事故时，危险物质泄漏到水体的排放点算起，排放进入受纳河流最大流速时，</w:t>
            </w:r>
            <w:r>
              <w:rPr>
                <w:rFonts w:ascii="Times New Roman" w:hAnsi="Times New Roman"/>
                <w:kern w:val="0"/>
                <w:szCs w:val="24"/>
              </w:rPr>
              <w:t>24h</w:t>
            </w:r>
            <w:r>
              <w:rPr>
                <w:rFonts w:ascii="Times New Roman" w:hAnsi="Times New Roman"/>
                <w:kern w:val="0"/>
                <w:szCs w:val="24"/>
              </w:rPr>
              <w:t>流经范围内涉跨省界的。</w:t>
            </w:r>
          </w:p>
        </w:tc>
      </w:tr>
      <w:tr w:rsidR="00525419">
        <w:trPr>
          <w:trHeight w:val="397"/>
        </w:trPr>
        <w:tc>
          <w:tcPr>
            <w:tcW w:w="958"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低敏感</w:t>
            </w:r>
            <w:r>
              <w:rPr>
                <w:rFonts w:ascii="Times New Roman" w:hAnsi="Times New Roman"/>
                <w:kern w:val="0"/>
                <w:szCs w:val="24"/>
              </w:rPr>
              <w:t>F3</w:t>
            </w:r>
          </w:p>
        </w:tc>
        <w:tc>
          <w:tcPr>
            <w:tcW w:w="7547" w:type="dxa"/>
            <w:vAlign w:val="center"/>
          </w:tcPr>
          <w:p w:rsidR="00525419" w:rsidRDefault="00EE1CF7">
            <w:pPr>
              <w:widowControl/>
              <w:rPr>
                <w:rFonts w:ascii="Times New Roman" w:hAnsi="Times New Roman"/>
                <w:kern w:val="0"/>
                <w:szCs w:val="24"/>
              </w:rPr>
            </w:pPr>
            <w:r>
              <w:rPr>
                <w:rFonts w:ascii="Times New Roman" w:hAnsi="Times New Roman"/>
                <w:kern w:val="0"/>
                <w:szCs w:val="24"/>
              </w:rPr>
              <w:t>上述地区之外的其他地区</w:t>
            </w:r>
          </w:p>
        </w:tc>
      </w:tr>
      <w:bookmarkEnd w:id="204"/>
      <w:bookmarkEnd w:id="205"/>
    </w:tbl>
    <w:p w:rsidR="00525419" w:rsidRDefault="00525419">
      <w:pPr>
        <w:widowControl/>
        <w:jc w:val="center"/>
        <w:rPr>
          <w:rFonts w:ascii="Times New Roman" w:hAnsi="Times New Roman"/>
          <w:kern w:val="0"/>
          <w:szCs w:val="24"/>
        </w:rPr>
      </w:pPr>
    </w:p>
    <w:p w:rsidR="00525419" w:rsidRDefault="00EE1CF7">
      <w:pPr>
        <w:ind w:firstLineChars="800" w:firstLine="1680"/>
        <w:rPr>
          <w:rFonts w:ascii="Times New Roman" w:eastAsia="黑体" w:hAnsi="Times New Roman"/>
        </w:rPr>
      </w:pPr>
      <w:r>
        <w:rPr>
          <w:rFonts w:ascii="Times New Roman" w:eastAsia="黑体" w:hAnsi="Times New Roman"/>
        </w:rPr>
        <w:t>表</w:t>
      </w:r>
      <w:r>
        <w:rPr>
          <w:rFonts w:ascii="Times New Roman" w:eastAsia="黑体" w:hAnsi="Times New Roman"/>
        </w:rPr>
        <w:t xml:space="preserve">5.6-9   </w:t>
      </w:r>
      <w:r>
        <w:rPr>
          <w:rFonts w:ascii="Times New Roman" w:eastAsia="黑体" w:hAnsi="Times New Roman"/>
        </w:rPr>
        <w:t>环境敏感目标分级原则一览表</w:t>
      </w:r>
    </w:p>
    <w:tbl>
      <w:tblPr>
        <w:tblW w:w="8516"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17"/>
        <w:gridCol w:w="7699"/>
      </w:tblGrid>
      <w:tr w:rsidR="00525419">
        <w:tc>
          <w:tcPr>
            <w:tcW w:w="817" w:type="dxa"/>
            <w:vAlign w:val="center"/>
          </w:tcPr>
          <w:p w:rsidR="00525419" w:rsidRDefault="00EE1CF7">
            <w:pPr>
              <w:widowControl/>
              <w:jc w:val="center"/>
              <w:rPr>
                <w:rFonts w:ascii="Times New Roman" w:hAnsi="Times New Roman"/>
                <w:kern w:val="0"/>
                <w:szCs w:val="15"/>
              </w:rPr>
            </w:pPr>
            <w:bookmarkStart w:id="206" w:name="OLE_LINK821"/>
            <w:bookmarkStart w:id="207" w:name="OLE_LINK822"/>
            <w:r>
              <w:rPr>
                <w:rFonts w:ascii="Times New Roman" w:hAnsi="Times New Roman"/>
                <w:kern w:val="0"/>
                <w:szCs w:val="15"/>
              </w:rPr>
              <w:t>分级</w:t>
            </w:r>
          </w:p>
        </w:tc>
        <w:tc>
          <w:tcPr>
            <w:tcW w:w="7699" w:type="dxa"/>
            <w:vAlign w:val="center"/>
          </w:tcPr>
          <w:p w:rsidR="00525419" w:rsidRDefault="00EE1CF7">
            <w:pPr>
              <w:widowControl/>
              <w:jc w:val="center"/>
              <w:rPr>
                <w:rFonts w:ascii="Times New Roman" w:hAnsi="Times New Roman"/>
                <w:kern w:val="0"/>
                <w:szCs w:val="15"/>
              </w:rPr>
            </w:pPr>
            <w:r>
              <w:rPr>
                <w:rFonts w:ascii="Times New Roman" w:hAnsi="Times New Roman"/>
                <w:kern w:val="0"/>
                <w:szCs w:val="15"/>
              </w:rPr>
              <w:t>环境敏感目标</w:t>
            </w:r>
          </w:p>
        </w:tc>
      </w:tr>
      <w:tr w:rsidR="00525419">
        <w:tc>
          <w:tcPr>
            <w:tcW w:w="817" w:type="dxa"/>
            <w:vAlign w:val="center"/>
          </w:tcPr>
          <w:p w:rsidR="00525419" w:rsidRDefault="00EE1CF7">
            <w:pPr>
              <w:widowControl/>
              <w:jc w:val="center"/>
              <w:rPr>
                <w:rFonts w:ascii="Times New Roman" w:hAnsi="Times New Roman"/>
                <w:kern w:val="0"/>
                <w:szCs w:val="15"/>
              </w:rPr>
            </w:pPr>
            <w:r>
              <w:rPr>
                <w:rFonts w:ascii="Times New Roman" w:hAnsi="Times New Roman"/>
                <w:kern w:val="0"/>
                <w:szCs w:val="15"/>
              </w:rPr>
              <w:t>S1</w:t>
            </w:r>
          </w:p>
        </w:tc>
        <w:tc>
          <w:tcPr>
            <w:tcW w:w="7699" w:type="dxa"/>
            <w:vAlign w:val="center"/>
          </w:tcPr>
          <w:p w:rsidR="00525419" w:rsidRDefault="00EE1CF7">
            <w:pPr>
              <w:widowControl/>
              <w:rPr>
                <w:rFonts w:ascii="Times New Roman" w:hAnsi="Times New Roman"/>
                <w:kern w:val="0"/>
                <w:szCs w:val="15"/>
              </w:rPr>
            </w:pPr>
            <w:r>
              <w:rPr>
                <w:rFonts w:ascii="Times New Roman" w:hAnsi="Times New Roman"/>
                <w:kern w:val="0"/>
                <w:szCs w:val="15"/>
              </w:rPr>
              <w:t>发生事故时，危险物质泄漏到内陆水体的排放点下游（顺水流向）</w:t>
            </w:r>
            <w:r>
              <w:rPr>
                <w:rFonts w:ascii="Times New Roman" w:hAnsi="Times New Roman"/>
                <w:kern w:val="0"/>
                <w:szCs w:val="15"/>
              </w:rPr>
              <w:t>10km</w:t>
            </w:r>
            <w:r>
              <w:rPr>
                <w:rFonts w:ascii="Times New Roman" w:hAnsi="Times New Roman"/>
                <w:kern w:val="0"/>
                <w:szCs w:val="15"/>
              </w:rPr>
              <w:t>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rsidR="00525419">
        <w:tc>
          <w:tcPr>
            <w:tcW w:w="817" w:type="dxa"/>
            <w:vAlign w:val="center"/>
          </w:tcPr>
          <w:p w:rsidR="00525419" w:rsidRDefault="00EE1CF7">
            <w:pPr>
              <w:widowControl/>
              <w:jc w:val="center"/>
              <w:rPr>
                <w:rFonts w:ascii="Times New Roman" w:hAnsi="Times New Roman"/>
                <w:kern w:val="0"/>
                <w:szCs w:val="15"/>
              </w:rPr>
            </w:pPr>
            <w:r>
              <w:rPr>
                <w:rFonts w:ascii="Times New Roman" w:hAnsi="Times New Roman"/>
                <w:kern w:val="0"/>
                <w:szCs w:val="15"/>
              </w:rPr>
              <w:t>S2</w:t>
            </w:r>
          </w:p>
        </w:tc>
        <w:tc>
          <w:tcPr>
            <w:tcW w:w="7699" w:type="dxa"/>
            <w:vAlign w:val="center"/>
          </w:tcPr>
          <w:p w:rsidR="00525419" w:rsidRDefault="00EE1CF7">
            <w:pPr>
              <w:widowControl/>
              <w:rPr>
                <w:rFonts w:ascii="Times New Roman" w:hAnsi="Times New Roman"/>
                <w:kern w:val="0"/>
                <w:szCs w:val="15"/>
              </w:rPr>
            </w:pPr>
            <w:r>
              <w:rPr>
                <w:rFonts w:ascii="Times New Roman" w:hAnsi="Times New Roman"/>
                <w:kern w:val="0"/>
                <w:szCs w:val="15"/>
              </w:rPr>
              <w:t>发生事故时，危险物质泄漏到内陆水体的排放点下游（顺水流向）</w:t>
            </w:r>
            <w:r>
              <w:rPr>
                <w:rFonts w:ascii="Times New Roman" w:hAnsi="Times New Roman"/>
                <w:kern w:val="0"/>
                <w:szCs w:val="15"/>
              </w:rPr>
              <w:t>10km</w:t>
            </w:r>
            <w:r>
              <w:rPr>
                <w:rFonts w:ascii="Times New Roman" w:hAnsi="Times New Roman"/>
                <w:kern w:val="0"/>
                <w:szCs w:val="15"/>
              </w:rPr>
              <w:t>范围内、近岸海域一个潮周期水质点可能达到的最大水平距离的两倍范围内，有如下一类或</w:t>
            </w:r>
            <w:r>
              <w:rPr>
                <w:rFonts w:ascii="Times New Roman" w:hAnsi="Times New Roman"/>
                <w:kern w:val="0"/>
                <w:szCs w:val="15"/>
              </w:rPr>
              <w:lastRenderedPageBreak/>
              <w:t>多类环境风险受体的：水产养殖区；天然渔场；森林公园；地质公园；海滨风景游览区；具有重要经济价值的海洋生物生存区域。</w:t>
            </w:r>
          </w:p>
        </w:tc>
      </w:tr>
      <w:tr w:rsidR="00525419">
        <w:tc>
          <w:tcPr>
            <w:tcW w:w="817" w:type="dxa"/>
            <w:vAlign w:val="center"/>
          </w:tcPr>
          <w:p w:rsidR="00525419" w:rsidRDefault="00EE1CF7">
            <w:pPr>
              <w:widowControl/>
              <w:jc w:val="center"/>
              <w:rPr>
                <w:rFonts w:ascii="Times New Roman" w:hAnsi="Times New Roman"/>
                <w:kern w:val="0"/>
                <w:szCs w:val="15"/>
              </w:rPr>
            </w:pPr>
            <w:r>
              <w:rPr>
                <w:rFonts w:ascii="Times New Roman" w:hAnsi="Times New Roman"/>
                <w:kern w:val="0"/>
                <w:szCs w:val="15"/>
              </w:rPr>
              <w:lastRenderedPageBreak/>
              <w:t>S3</w:t>
            </w:r>
          </w:p>
        </w:tc>
        <w:tc>
          <w:tcPr>
            <w:tcW w:w="7699" w:type="dxa"/>
            <w:vAlign w:val="center"/>
          </w:tcPr>
          <w:p w:rsidR="00525419" w:rsidRDefault="00EE1CF7">
            <w:pPr>
              <w:widowControl/>
              <w:rPr>
                <w:rFonts w:ascii="Times New Roman" w:hAnsi="Times New Roman"/>
                <w:kern w:val="0"/>
                <w:szCs w:val="15"/>
              </w:rPr>
            </w:pPr>
            <w:r>
              <w:rPr>
                <w:rFonts w:ascii="Times New Roman" w:hAnsi="Times New Roman"/>
                <w:kern w:val="0"/>
                <w:szCs w:val="15"/>
              </w:rPr>
              <w:t>排放点下游（顺水流向）</w:t>
            </w:r>
            <w:r>
              <w:rPr>
                <w:rFonts w:ascii="Times New Roman" w:hAnsi="Times New Roman"/>
                <w:kern w:val="0"/>
                <w:szCs w:val="15"/>
              </w:rPr>
              <w:t>10km</w:t>
            </w:r>
            <w:r>
              <w:rPr>
                <w:rFonts w:ascii="Times New Roman" w:hAnsi="Times New Roman"/>
                <w:kern w:val="0"/>
                <w:szCs w:val="15"/>
              </w:rPr>
              <w:t>范围、近岸海域一个潮周期水质点可能达到的最大水平距离的两倍范围内无上述类型</w:t>
            </w:r>
            <w:r>
              <w:rPr>
                <w:rFonts w:ascii="Times New Roman" w:hAnsi="Times New Roman"/>
                <w:kern w:val="0"/>
                <w:szCs w:val="15"/>
              </w:rPr>
              <w:t>1</w:t>
            </w:r>
            <w:r>
              <w:rPr>
                <w:rFonts w:ascii="Times New Roman" w:hAnsi="Times New Roman"/>
                <w:kern w:val="0"/>
                <w:szCs w:val="15"/>
              </w:rPr>
              <w:t>和类型</w:t>
            </w:r>
            <w:r>
              <w:rPr>
                <w:rFonts w:ascii="Times New Roman" w:hAnsi="Times New Roman"/>
                <w:kern w:val="0"/>
                <w:szCs w:val="15"/>
              </w:rPr>
              <w:t xml:space="preserve"> 2</w:t>
            </w:r>
            <w:r>
              <w:rPr>
                <w:rFonts w:ascii="Times New Roman" w:hAnsi="Times New Roman"/>
                <w:kern w:val="0"/>
                <w:szCs w:val="15"/>
              </w:rPr>
              <w:t>包括的敏感保护目标。</w:t>
            </w:r>
          </w:p>
        </w:tc>
      </w:tr>
      <w:bookmarkEnd w:id="206"/>
      <w:bookmarkEnd w:id="207"/>
    </w:tbl>
    <w:p w:rsidR="00525419" w:rsidRDefault="00525419">
      <w:pPr>
        <w:widowControl/>
        <w:jc w:val="center"/>
        <w:rPr>
          <w:rFonts w:ascii="Times New Roman" w:hAnsi="Times New Roman"/>
          <w:kern w:val="0"/>
          <w:szCs w:val="24"/>
        </w:rPr>
      </w:pP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根据项目工程分析，本项目发生事故时泄漏危险物质的事故水输送到事故水池，不排入地表水体，项目周边</w:t>
      </w:r>
      <w:r>
        <w:rPr>
          <w:rFonts w:ascii="Times New Roman" w:hAnsi="Times New Roman"/>
          <w:kern w:val="0"/>
          <w:sz w:val="24"/>
          <w:szCs w:val="24"/>
        </w:rPr>
        <w:t>5km</w:t>
      </w:r>
      <w:r>
        <w:rPr>
          <w:rFonts w:ascii="Times New Roman" w:hAnsi="Times New Roman"/>
          <w:kern w:val="0"/>
          <w:sz w:val="24"/>
          <w:szCs w:val="24"/>
        </w:rPr>
        <w:t>范围内无环境地表水体，距离地表水体较远。因此，</w:t>
      </w:r>
      <w:bookmarkStart w:id="208" w:name="OLE_LINK846"/>
      <w:bookmarkStart w:id="209" w:name="OLE_LINK847"/>
      <w:r>
        <w:rPr>
          <w:rFonts w:ascii="Times New Roman" w:hAnsi="Times New Roman"/>
          <w:kern w:val="0"/>
          <w:sz w:val="24"/>
          <w:szCs w:val="24"/>
        </w:rPr>
        <w:t>本项目不考虑风险事故泄露危险物质对地表水体的影响</w:t>
      </w:r>
      <w:bookmarkEnd w:id="208"/>
      <w:bookmarkEnd w:id="209"/>
      <w:r>
        <w:rPr>
          <w:rFonts w:ascii="Times New Roman" w:hAnsi="Times New Roman"/>
          <w:kern w:val="0"/>
          <w:sz w:val="24"/>
          <w:szCs w:val="24"/>
        </w:rPr>
        <w:t>。</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3</w:t>
      </w:r>
      <w:r>
        <w:rPr>
          <w:rFonts w:ascii="Times New Roman" w:hAnsi="Times New Roman"/>
          <w:kern w:val="0"/>
          <w:sz w:val="24"/>
          <w:szCs w:val="24"/>
        </w:rPr>
        <w:t>）地下水环境敏感程度的确定</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根据《建设项目环境风险评价技术导则》（</w:t>
      </w:r>
      <w:r>
        <w:rPr>
          <w:rFonts w:ascii="Times New Roman" w:hAnsi="Times New Roman"/>
          <w:kern w:val="0"/>
          <w:sz w:val="24"/>
          <w:szCs w:val="24"/>
        </w:rPr>
        <w:t>HJ169-2018</w:t>
      </w:r>
      <w:r>
        <w:rPr>
          <w:rFonts w:ascii="Times New Roman" w:hAnsi="Times New Roman"/>
          <w:kern w:val="0"/>
          <w:sz w:val="24"/>
          <w:szCs w:val="24"/>
        </w:rPr>
        <w:t>）附录</w:t>
      </w:r>
      <w:r>
        <w:rPr>
          <w:rFonts w:ascii="Times New Roman" w:hAnsi="Times New Roman"/>
          <w:kern w:val="0"/>
          <w:sz w:val="24"/>
          <w:szCs w:val="24"/>
        </w:rPr>
        <w:t>D</w:t>
      </w:r>
      <w:r>
        <w:rPr>
          <w:rFonts w:ascii="Times New Roman" w:hAnsi="Times New Roman"/>
          <w:kern w:val="0"/>
          <w:sz w:val="24"/>
          <w:szCs w:val="24"/>
        </w:rPr>
        <w:t>的规定：项目所在区域地下水环境敏感程度依据地下水功能敏感性与包气带防污性能确定。区域地下水环境敏感程度共分为三种类型，</w:t>
      </w:r>
      <w:r>
        <w:rPr>
          <w:rFonts w:ascii="Times New Roman" w:hAnsi="Times New Roman"/>
          <w:kern w:val="0"/>
          <w:sz w:val="24"/>
          <w:szCs w:val="24"/>
        </w:rPr>
        <w:t>E1</w:t>
      </w:r>
      <w:r>
        <w:rPr>
          <w:rFonts w:ascii="Times New Roman" w:hAnsi="Times New Roman"/>
          <w:kern w:val="0"/>
          <w:sz w:val="24"/>
          <w:szCs w:val="24"/>
        </w:rPr>
        <w:t>为环境高度敏感区，</w:t>
      </w:r>
      <w:r>
        <w:rPr>
          <w:rFonts w:ascii="Times New Roman" w:hAnsi="Times New Roman"/>
          <w:kern w:val="0"/>
          <w:sz w:val="24"/>
          <w:szCs w:val="24"/>
        </w:rPr>
        <w:t>E2</w:t>
      </w:r>
      <w:r>
        <w:rPr>
          <w:rFonts w:ascii="Times New Roman" w:hAnsi="Times New Roman"/>
          <w:kern w:val="0"/>
          <w:sz w:val="24"/>
          <w:szCs w:val="24"/>
        </w:rPr>
        <w:t>为环境中度敏感区，</w:t>
      </w:r>
      <w:r>
        <w:rPr>
          <w:rFonts w:ascii="Times New Roman" w:hAnsi="Times New Roman"/>
          <w:kern w:val="0"/>
          <w:sz w:val="24"/>
          <w:szCs w:val="24"/>
        </w:rPr>
        <w:t>E3</w:t>
      </w:r>
      <w:r>
        <w:rPr>
          <w:rFonts w:ascii="Times New Roman" w:hAnsi="Times New Roman"/>
          <w:kern w:val="0"/>
          <w:sz w:val="24"/>
          <w:szCs w:val="24"/>
        </w:rPr>
        <w:t>为环境低度敏感区，其分级原则见</w:t>
      </w:r>
      <w:bookmarkStart w:id="210" w:name="OLE_LINK835"/>
      <w:r>
        <w:rPr>
          <w:rFonts w:ascii="Times New Roman" w:hAnsi="Times New Roman"/>
          <w:kern w:val="0"/>
          <w:sz w:val="24"/>
          <w:szCs w:val="24"/>
        </w:rPr>
        <w:t>表</w:t>
      </w:r>
      <w:bookmarkEnd w:id="210"/>
      <w:r>
        <w:rPr>
          <w:rFonts w:ascii="Times New Roman" w:hAnsi="Times New Roman"/>
          <w:kern w:val="0"/>
          <w:sz w:val="24"/>
          <w:szCs w:val="24"/>
        </w:rPr>
        <w:t>5.6-10</w:t>
      </w:r>
      <w:r>
        <w:rPr>
          <w:rFonts w:ascii="Times New Roman" w:hAnsi="Times New Roman"/>
          <w:kern w:val="0"/>
          <w:sz w:val="24"/>
          <w:szCs w:val="24"/>
        </w:rPr>
        <w:t>。其中地下水功能敏感性分区和包气带防污性能分级分别见表</w:t>
      </w:r>
      <w:r>
        <w:rPr>
          <w:rFonts w:ascii="Times New Roman" w:hAnsi="Times New Roman"/>
          <w:kern w:val="0"/>
          <w:sz w:val="24"/>
          <w:szCs w:val="24"/>
        </w:rPr>
        <w:t>5.6-11</w:t>
      </w:r>
      <w:r>
        <w:rPr>
          <w:rFonts w:ascii="Times New Roman" w:hAnsi="Times New Roman"/>
          <w:kern w:val="0"/>
          <w:sz w:val="24"/>
          <w:szCs w:val="24"/>
        </w:rPr>
        <w:t>和表</w:t>
      </w:r>
      <w:r>
        <w:rPr>
          <w:rFonts w:ascii="Times New Roman" w:hAnsi="Times New Roman"/>
          <w:kern w:val="0"/>
          <w:sz w:val="24"/>
          <w:szCs w:val="24"/>
        </w:rPr>
        <w:t>5.6-12</w:t>
      </w:r>
      <w:r>
        <w:rPr>
          <w:rFonts w:ascii="Times New Roman" w:hAnsi="Times New Roman"/>
          <w:kern w:val="0"/>
          <w:sz w:val="24"/>
          <w:szCs w:val="24"/>
        </w:rPr>
        <w:t>。当同一建设项目涉及两个</w:t>
      </w:r>
      <w:r>
        <w:rPr>
          <w:rFonts w:ascii="Times New Roman" w:hAnsi="Times New Roman"/>
          <w:kern w:val="0"/>
          <w:sz w:val="24"/>
          <w:szCs w:val="24"/>
        </w:rPr>
        <w:t>G</w:t>
      </w:r>
      <w:r>
        <w:rPr>
          <w:rFonts w:ascii="Times New Roman" w:hAnsi="Times New Roman"/>
          <w:kern w:val="0"/>
          <w:sz w:val="24"/>
          <w:szCs w:val="24"/>
        </w:rPr>
        <w:t>分区或</w:t>
      </w:r>
      <w:r>
        <w:rPr>
          <w:rFonts w:ascii="Times New Roman" w:hAnsi="Times New Roman"/>
          <w:kern w:val="0"/>
          <w:sz w:val="24"/>
          <w:szCs w:val="24"/>
        </w:rPr>
        <w:t>D</w:t>
      </w:r>
      <w:r>
        <w:rPr>
          <w:rFonts w:ascii="Times New Roman" w:hAnsi="Times New Roman"/>
          <w:kern w:val="0"/>
          <w:sz w:val="24"/>
          <w:szCs w:val="24"/>
        </w:rPr>
        <w:t>分级及以上时，取相对值。</w:t>
      </w:r>
    </w:p>
    <w:p w:rsidR="00525419" w:rsidRDefault="00EE1CF7">
      <w:pPr>
        <w:ind w:firstLineChars="800" w:firstLine="1680"/>
        <w:rPr>
          <w:rFonts w:ascii="Times New Roman" w:eastAsia="黑体" w:hAnsi="Times New Roman"/>
        </w:rPr>
      </w:pPr>
      <w:r>
        <w:rPr>
          <w:rFonts w:ascii="Times New Roman" w:eastAsia="黑体" w:hAnsi="Times New Roman"/>
        </w:rPr>
        <w:t>表</w:t>
      </w:r>
      <w:r>
        <w:rPr>
          <w:rFonts w:ascii="Times New Roman" w:eastAsia="黑体" w:hAnsi="Times New Roman"/>
        </w:rPr>
        <w:t xml:space="preserve">5.6-10  </w:t>
      </w:r>
      <w:bookmarkStart w:id="211" w:name="OLE_LINK837"/>
      <w:bookmarkStart w:id="212" w:name="OLE_LINK838"/>
      <w:bookmarkStart w:id="213" w:name="OLE_LINK836"/>
      <w:r>
        <w:rPr>
          <w:rFonts w:ascii="Times New Roman" w:eastAsia="黑体" w:hAnsi="Times New Roman"/>
        </w:rPr>
        <w:t xml:space="preserve">  </w:t>
      </w:r>
      <w:r>
        <w:rPr>
          <w:rFonts w:ascii="Times New Roman" w:eastAsia="黑体" w:hAnsi="Times New Roman"/>
        </w:rPr>
        <w:t>地下水环境敏感程度分级</w:t>
      </w:r>
      <w:bookmarkEnd w:id="211"/>
      <w:bookmarkEnd w:id="212"/>
      <w:bookmarkEnd w:id="213"/>
      <w:r>
        <w:rPr>
          <w:rFonts w:ascii="Times New Roman" w:eastAsia="黑体" w:hAnsi="Times New Roman"/>
        </w:rPr>
        <w:t>原则一览表</w:t>
      </w:r>
    </w:p>
    <w:tbl>
      <w:tblPr>
        <w:tblW w:w="850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947"/>
        <w:gridCol w:w="2304"/>
        <w:gridCol w:w="2127"/>
        <w:gridCol w:w="2127"/>
      </w:tblGrid>
      <w:tr w:rsidR="00525419">
        <w:trPr>
          <w:trHeight w:val="397"/>
        </w:trPr>
        <w:tc>
          <w:tcPr>
            <w:tcW w:w="1947" w:type="dxa"/>
            <w:vMerge w:val="restart"/>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环境敏感目标</w:t>
            </w:r>
          </w:p>
        </w:tc>
        <w:tc>
          <w:tcPr>
            <w:tcW w:w="6558" w:type="dxa"/>
            <w:gridSpan w:val="3"/>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地下水功能敏感性</w:t>
            </w:r>
          </w:p>
        </w:tc>
      </w:tr>
      <w:tr w:rsidR="00525419">
        <w:trPr>
          <w:trHeight w:val="397"/>
        </w:trPr>
        <w:tc>
          <w:tcPr>
            <w:tcW w:w="1947" w:type="dxa"/>
            <w:vMerge/>
            <w:vAlign w:val="center"/>
          </w:tcPr>
          <w:p w:rsidR="00525419" w:rsidRDefault="00525419">
            <w:pPr>
              <w:widowControl/>
              <w:jc w:val="center"/>
              <w:rPr>
                <w:rFonts w:ascii="Times New Roman" w:hAnsi="Times New Roman"/>
                <w:kern w:val="0"/>
                <w:szCs w:val="24"/>
              </w:rPr>
            </w:pPr>
          </w:p>
        </w:tc>
        <w:tc>
          <w:tcPr>
            <w:tcW w:w="230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G1</w:t>
            </w:r>
          </w:p>
        </w:tc>
        <w:tc>
          <w:tcPr>
            <w:tcW w:w="212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G2</w:t>
            </w:r>
          </w:p>
        </w:tc>
        <w:tc>
          <w:tcPr>
            <w:tcW w:w="212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G3</w:t>
            </w:r>
          </w:p>
        </w:tc>
      </w:tr>
      <w:tr w:rsidR="00525419">
        <w:trPr>
          <w:trHeight w:val="397"/>
        </w:trPr>
        <w:tc>
          <w:tcPr>
            <w:tcW w:w="194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D1</w:t>
            </w:r>
          </w:p>
        </w:tc>
        <w:tc>
          <w:tcPr>
            <w:tcW w:w="230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E1</w:t>
            </w:r>
          </w:p>
        </w:tc>
        <w:tc>
          <w:tcPr>
            <w:tcW w:w="212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E1</w:t>
            </w:r>
          </w:p>
        </w:tc>
        <w:tc>
          <w:tcPr>
            <w:tcW w:w="212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E2</w:t>
            </w:r>
          </w:p>
        </w:tc>
      </w:tr>
      <w:tr w:rsidR="00525419">
        <w:trPr>
          <w:trHeight w:val="397"/>
        </w:trPr>
        <w:tc>
          <w:tcPr>
            <w:tcW w:w="194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D2</w:t>
            </w:r>
          </w:p>
        </w:tc>
        <w:tc>
          <w:tcPr>
            <w:tcW w:w="230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E1</w:t>
            </w:r>
          </w:p>
        </w:tc>
        <w:tc>
          <w:tcPr>
            <w:tcW w:w="212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E2</w:t>
            </w:r>
          </w:p>
        </w:tc>
        <w:tc>
          <w:tcPr>
            <w:tcW w:w="212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E3</w:t>
            </w:r>
          </w:p>
        </w:tc>
      </w:tr>
      <w:tr w:rsidR="00525419">
        <w:trPr>
          <w:trHeight w:val="397"/>
        </w:trPr>
        <w:tc>
          <w:tcPr>
            <w:tcW w:w="194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D3</w:t>
            </w:r>
          </w:p>
        </w:tc>
        <w:tc>
          <w:tcPr>
            <w:tcW w:w="2304"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E2</w:t>
            </w:r>
          </w:p>
        </w:tc>
        <w:tc>
          <w:tcPr>
            <w:tcW w:w="212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E3</w:t>
            </w:r>
          </w:p>
        </w:tc>
        <w:tc>
          <w:tcPr>
            <w:tcW w:w="212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E3</w:t>
            </w:r>
          </w:p>
        </w:tc>
      </w:tr>
    </w:tbl>
    <w:p w:rsidR="00525419" w:rsidRDefault="00525419">
      <w:pPr>
        <w:widowControl/>
        <w:jc w:val="center"/>
        <w:rPr>
          <w:rFonts w:ascii="Times New Roman" w:hAnsi="Times New Roman"/>
          <w:kern w:val="0"/>
          <w:szCs w:val="24"/>
        </w:rPr>
      </w:pPr>
    </w:p>
    <w:p w:rsidR="00525419" w:rsidRDefault="00EE1CF7">
      <w:pPr>
        <w:ind w:firstLineChars="800" w:firstLine="1680"/>
        <w:rPr>
          <w:rFonts w:ascii="Times New Roman" w:eastAsia="黑体" w:hAnsi="Times New Roman"/>
        </w:rPr>
      </w:pPr>
      <w:r>
        <w:rPr>
          <w:rFonts w:ascii="Times New Roman" w:eastAsia="黑体" w:hAnsi="Times New Roman"/>
        </w:rPr>
        <w:t>表</w:t>
      </w:r>
      <w:r>
        <w:rPr>
          <w:rFonts w:ascii="Times New Roman" w:eastAsia="黑体" w:hAnsi="Times New Roman"/>
        </w:rPr>
        <w:t xml:space="preserve">5.6-11   </w:t>
      </w:r>
      <w:r>
        <w:rPr>
          <w:rFonts w:ascii="Times New Roman" w:eastAsia="黑体" w:hAnsi="Times New Roman"/>
        </w:rPr>
        <w:t>地下水功能敏感性分区原则一览表</w:t>
      </w:r>
    </w:p>
    <w:tbl>
      <w:tblPr>
        <w:tblW w:w="850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958"/>
        <w:gridCol w:w="7547"/>
      </w:tblGrid>
      <w:tr w:rsidR="00525419">
        <w:trPr>
          <w:trHeight w:val="397"/>
        </w:trPr>
        <w:tc>
          <w:tcPr>
            <w:tcW w:w="958" w:type="dxa"/>
            <w:vAlign w:val="center"/>
          </w:tcPr>
          <w:p w:rsidR="00525419" w:rsidRDefault="00EE1CF7">
            <w:pPr>
              <w:widowControl/>
              <w:jc w:val="center"/>
              <w:rPr>
                <w:rFonts w:ascii="Times New Roman" w:hAnsi="Times New Roman"/>
                <w:kern w:val="0"/>
                <w:szCs w:val="24"/>
              </w:rPr>
            </w:pPr>
            <w:bookmarkStart w:id="214" w:name="OLE_LINK824"/>
            <w:bookmarkStart w:id="215" w:name="OLE_LINK823"/>
            <w:r>
              <w:rPr>
                <w:rFonts w:ascii="Times New Roman" w:hAnsi="Times New Roman"/>
                <w:kern w:val="0"/>
                <w:szCs w:val="24"/>
              </w:rPr>
              <w:t>分级</w:t>
            </w:r>
          </w:p>
        </w:tc>
        <w:tc>
          <w:tcPr>
            <w:tcW w:w="754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包气带岩土的渗透性能</w:t>
            </w:r>
          </w:p>
        </w:tc>
      </w:tr>
      <w:tr w:rsidR="00525419">
        <w:trPr>
          <w:trHeight w:val="397"/>
        </w:trPr>
        <w:tc>
          <w:tcPr>
            <w:tcW w:w="958"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敏感</w:t>
            </w:r>
          </w:p>
          <w:p w:rsidR="00525419" w:rsidRDefault="00EE1CF7">
            <w:pPr>
              <w:widowControl/>
              <w:jc w:val="center"/>
              <w:rPr>
                <w:rFonts w:ascii="Times New Roman" w:hAnsi="Times New Roman"/>
                <w:kern w:val="0"/>
                <w:szCs w:val="24"/>
              </w:rPr>
            </w:pPr>
            <w:r>
              <w:rPr>
                <w:rFonts w:ascii="Times New Roman" w:hAnsi="Times New Roman"/>
                <w:kern w:val="0"/>
                <w:szCs w:val="24"/>
              </w:rPr>
              <w:t>G1</w:t>
            </w:r>
          </w:p>
        </w:tc>
        <w:tc>
          <w:tcPr>
            <w:tcW w:w="7547" w:type="dxa"/>
            <w:vAlign w:val="center"/>
          </w:tcPr>
          <w:p w:rsidR="00525419" w:rsidRDefault="00EE1CF7">
            <w:pPr>
              <w:widowControl/>
              <w:jc w:val="center"/>
              <w:rPr>
                <w:rFonts w:ascii="Times New Roman" w:hAnsi="Times New Roman"/>
                <w:kern w:val="0"/>
                <w:szCs w:val="24"/>
              </w:rPr>
            </w:pPr>
            <w:bookmarkStart w:id="216" w:name="OLE_LINK825"/>
            <w:bookmarkStart w:id="217" w:name="OLE_LINK826"/>
            <w:r>
              <w:rPr>
                <w:rFonts w:ascii="Times New Roman" w:hAnsi="Times New Roman"/>
                <w:kern w:val="0"/>
                <w:szCs w:val="24"/>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bookmarkEnd w:id="216"/>
            <w:bookmarkEnd w:id="217"/>
          </w:p>
        </w:tc>
      </w:tr>
      <w:tr w:rsidR="00525419">
        <w:trPr>
          <w:trHeight w:val="397"/>
        </w:trPr>
        <w:tc>
          <w:tcPr>
            <w:tcW w:w="958"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较敏感</w:t>
            </w:r>
          </w:p>
          <w:p w:rsidR="00525419" w:rsidRDefault="00EE1CF7">
            <w:pPr>
              <w:widowControl/>
              <w:jc w:val="center"/>
              <w:rPr>
                <w:rFonts w:ascii="Times New Roman" w:hAnsi="Times New Roman"/>
                <w:kern w:val="0"/>
                <w:szCs w:val="24"/>
              </w:rPr>
            </w:pPr>
            <w:r>
              <w:rPr>
                <w:rFonts w:ascii="Times New Roman" w:hAnsi="Times New Roman"/>
                <w:kern w:val="0"/>
                <w:szCs w:val="24"/>
              </w:rPr>
              <w:t>G2</w:t>
            </w:r>
          </w:p>
        </w:tc>
        <w:tc>
          <w:tcPr>
            <w:tcW w:w="754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集中式饮用水水源（包括已建成的在用、备用、应急水源，在建和规划的饮用水水源）准保护区以外的补给径流区；</w:t>
            </w:r>
            <w:bookmarkStart w:id="218" w:name="OLE_LINK827"/>
            <w:bookmarkStart w:id="219" w:name="OLE_LINK828"/>
            <w:r>
              <w:rPr>
                <w:rFonts w:ascii="Times New Roman" w:hAnsi="Times New Roman"/>
                <w:kern w:val="0"/>
                <w:szCs w:val="24"/>
              </w:rPr>
              <w:t>未划定准保护区的集中式饮用水水源</w:t>
            </w:r>
            <w:bookmarkEnd w:id="218"/>
            <w:bookmarkEnd w:id="219"/>
            <w:r>
              <w:rPr>
                <w:rFonts w:ascii="Times New Roman" w:hAnsi="Times New Roman"/>
                <w:kern w:val="0"/>
                <w:szCs w:val="24"/>
              </w:rPr>
              <w:t>，其保护区以外的补给径流区；</w:t>
            </w:r>
            <w:bookmarkStart w:id="220" w:name="OLE_LINK829"/>
            <w:bookmarkStart w:id="221" w:name="OLE_LINK830"/>
            <w:r>
              <w:rPr>
                <w:rFonts w:ascii="Times New Roman" w:hAnsi="Times New Roman"/>
                <w:kern w:val="0"/>
                <w:szCs w:val="24"/>
              </w:rPr>
              <w:t>分散式饮用水水源地</w:t>
            </w:r>
            <w:bookmarkEnd w:id="220"/>
            <w:bookmarkEnd w:id="221"/>
            <w:r>
              <w:rPr>
                <w:rFonts w:ascii="Times New Roman" w:hAnsi="Times New Roman"/>
                <w:kern w:val="0"/>
                <w:szCs w:val="24"/>
              </w:rPr>
              <w:t>；特殊地下水资源（如热水、矿泉水、温泉等）保护区以外的分布区等其他未列入上述敏感分级的环境敏感区</w:t>
            </w:r>
          </w:p>
        </w:tc>
      </w:tr>
      <w:tr w:rsidR="00525419">
        <w:trPr>
          <w:trHeight w:val="397"/>
        </w:trPr>
        <w:tc>
          <w:tcPr>
            <w:tcW w:w="958"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不敏感</w:t>
            </w:r>
          </w:p>
          <w:p w:rsidR="00525419" w:rsidRDefault="00EE1CF7">
            <w:pPr>
              <w:widowControl/>
              <w:jc w:val="center"/>
              <w:rPr>
                <w:rFonts w:ascii="Times New Roman" w:hAnsi="Times New Roman"/>
                <w:kern w:val="0"/>
                <w:szCs w:val="24"/>
              </w:rPr>
            </w:pPr>
            <w:r>
              <w:rPr>
                <w:rFonts w:ascii="Times New Roman" w:hAnsi="Times New Roman"/>
                <w:kern w:val="0"/>
                <w:szCs w:val="24"/>
              </w:rPr>
              <w:t>G3</w:t>
            </w:r>
          </w:p>
        </w:tc>
        <w:tc>
          <w:tcPr>
            <w:tcW w:w="754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上述地区之外的其他地区</w:t>
            </w:r>
          </w:p>
        </w:tc>
      </w:tr>
      <w:tr w:rsidR="00525419">
        <w:trPr>
          <w:trHeight w:val="397"/>
        </w:trPr>
        <w:tc>
          <w:tcPr>
            <w:tcW w:w="8505" w:type="dxa"/>
            <w:gridSpan w:val="2"/>
            <w:vAlign w:val="center"/>
          </w:tcPr>
          <w:p w:rsidR="00525419" w:rsidRDefault="00EE1CF7">
            <w:pPr>
              <w:widowControl/>
              <w:jc w:val="left"/>
              <w:rPr>
                <w:rFonts w:ascii="Times New Roman" w:hAnsi="Times New Roman"/>
                <w:kern w:val="0"/>
                <w:szCs w:val="24"/>
              </w:rPr>
            </w:pPr>
            <w:r>
              <w:rPr>
                <w:rFonts w:ascii="Times New Roman" w:hAnsi="Times New Roman"/>
                <w:kern w:val="0"/>
                <w:szCs w:val="24"/>
              </w:rPr>
              <w:t>环境敏感区</w:t>
            </w:r>
            <w:r>
              <w:rPr>
                <w:rFonts w:ascii="Times New Roman" w:hAnsi="Times New Roman"/>
                <w:kern w:val="0"/>
                <w:szCs w:val="24"/>
              </w:rPr>
              <w:t>”</w:t>
            </w:r>
            <w:r>
              <w:rPr>
                <w:rFonts w:ascii="Times New Roman" w:hAnsi="Times New Roman"/>
                <w:kern w:val="0"/>
                <w:szCs w:val="24"/>
              </w:rPr>
              <w:t>是指《建设项目环境影响评价分类管理名录》中所界定的涉及地下水的环境敏感区。</w:t>
            </w:r>
          </w:p>
        </w:tc>
      </w:tr>
      <w:bookmarkEnd w:id="214"/>
      <w:bookmarkEnd w:id="215"/>
    </w:tbl>
    <w:p w:rsidR="00525419" w:rsidRDefault="00525419">
      <w:pPr>
        <w:widowControl/>
        <w:jc w:val="center"/>
        <w:rPr>
          <w:rFonts w:ascii="Times New Roman" w:hAnsi="Times New Roman"/>
          <w:kern w:val="0"/>
          <w:szCs w:val="24"/>
        </w:rPr>
      </w:pPr>
    </w:p>
    <w:p w:rsidR="00525419" w:rsidRDefault="00EE1CF7">
      <w:pPr>
        <w:ind w:firstLineChars="800" w:firstLine="1680"/>
        <w:rPr>
          <w:rFonts w:ascii="Times New Roman" w:eastAsia="黑体" w:hAnsi="Times New Roman"/>
        </w:rPr>
      </w:pPr>
      <w:r>
        <w:rPr>
          <w:rFonts w:ascii="Times New Roman" w:eastAsia="黑体" w:hAnsi="Times New Roman"/>
        </w:rPr>
        <w:t>表</w:t>
      </w:r>
      <w:r>
        <w:rPr>
          <w:rFonts w:ascii="Times New Roman" w:eastAsia="黑体" w:hAnsi="Times New Roman"/>
        </w:rPr>
        <w:t xml:space="preserve">5.6-12 </w:t>
      </w:r>
      <w:bookmarkStart w:id="222" w:name="OLE_LINK834"/>
      <w:r>
        <w:rPr>
          <w:rFonts w:ascii="Times New Roman" w:eastAsia="黑体" w:hAnsi="Times New Roman"/>
        </w:rPr>
        <w:t xml:space="preserve">  </w:t>
      </w:r>
      <w:r>
        <w:rPr>
          <w:rFonts w:ascii="Times New Roman" w:eastAsia="黑体" w:hAnsi="Times New Roman"/>
        </w:rPr>
        <w:t>包气带防污性能分级</w:t>
      </w:r>
      <w:bookmarkEnd w:id="222"/>
      <w:r>
        <w:rPr>
          <w:rFonts w:ascii="Times New Roman" w:eastAsia="黑体" w:hAnsi="Times New Roman"/>
        </w:rPr>
        <w:t>原则一览表</w:t>
      </w:r>
    </w:p>
    <w:tbl>
      <w:tblPr>
        <w:tblW w:w="850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958"/>
        <w:gridCol w:w="7547"/>
      </w:tblGrid>
      <w:tr w:rsidR="00525419">
        <w:trPr>
          <w:trHeight w:val="397"/>
        </w:trPr>
        <w:tc>
          <w:tcPr>
            <w:tcW w:w="958"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分级</w:t>
            </w:r>
          </w:p>
        </w:tc>
        <w:tc>
          <w:tcPr>
            <w:tcW w:w="754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环境敏感目标</w:t>
            </w:r>
          </w:p>
        </w:tc>
      </w:tr>
      <w:tr w:rsidR="00525419">
        <w:trPr>
          <w:trHeight w:val="397"/>
        </w:trPr>
        <w:tc>
          <w:tcPr>
            <w:tcW w:w="958"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D3</w:t>
            </w:r>
          </w:p>
        </w:tc>
        <w:tc>
          <w:tcPr>
            <w:tcW w:w="754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Mb≥1.0m</w:t>
            </w:r>
            <w:r>
              <w:rPr>
                <w:rFonts w:ascii="Times New Roman" w:hAnsi="Times New Roman"/>
                <w:kern w:val="0"/>
                <w:szCs w:val="24"/>
              </w:rPr>
              <w:t>，</w:t>
            </w:r>
            <w:r>
              <w:rPr>
                <w:rFonts w:ascii="Times New Roman" w:hAnsi="Times New Roman"/>
                <w:kern w:val="0"/>
                <w:szCs w:val="24"/>
              </w:rPr>
              <w:t>K≤1.0×10</w:t>
            </w:r>
            <w:r>
              <w:rPr>
                <w:rFonts w:ascii="Times New Roman" w:hAnsi="Times New Roman"/>
                <w:kern w:val="0"/>
                <w:szCs w:val="24"/>
                <w:vertAlign w:val="superscript"/>
              </w:rPr>
              <w:t>-6</w:t>
            </w:r>
            <w:r>
              <w:rPr>
                <w:rFonts w:ascii="Times New Roman" w:hAnsi="Times New Roman"/>
                <w:kern w:val="0"/>
                <w:szCs w:val="24"/>
              </w:rPr>
              <w:t>cm/s</w:t>
            </w:r>
            <w:r>
              <w:rPr>
                <w:rFonts w:ascii="Times New Roman" w:hAnsi="Times New Roman"/>
                <w:kern w:val="0"/>
                <w:szCs w:val="24"/>
              </w:rPr>
              <w:t>，且分布连续、稳定</w:t>
            </w:r>
          </w:p>
        </w:tc>
      </w:tr>
      <w:tr w:rsidR="00525419">
        <w:trPr>
          <w:trHeight w:val="397"/>
        </w:trPr>
        <w:tc>
          <w:tcPr>
            <w:tcW w:w="958"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D2</w:t>
            </w:r>
          </w:p>
        </w:tc>
        <w:tc>
          <w:tcPr>
            <w:tcW w:w="754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0.5m≤Mb&lt;1.0m</w:t>
            </w:r>
            <w:r>
              <w:rPr>
                <w:rFonts w:ascii="Times New Roman" w:hAnsi="Times New Roman"/>
                <w:kern w:val="0"/>
                <w:szCs w:val="24"/>
              </w:rPr>
              <w:t>，</w:t>
            </w:r>
            <w:r>
              <w:rPr>
                <w:rFonts w:ascii="Times New Roman" w:hAnsi="Times New Roman"/>
                <w:kern w:val="0"/>
                <w:szCs w:val="24"/>
              </w:rPr>
              <w:t>K≤1.0×10</w:t>
            </w:r>
            <w:r>
              <w:rPr>
                <w:rFonts w:ascii="Times New Roman" w:hAnsi="Times New Roman"/>
                <w:kern w:val="0"/>
                <w:szCs w:val="24"/>
                <w:vertAlign w:val="superscript"/>
              </w:rPr>
              <w:t>-6</w:t>
            </w:r>
            <w:r>
              <w:rPr>
                <w:rFonts w:ascii="Times New Roman" w:hAnsi="Times New Roman"/>
                <w:kern w:val="0"/>
                <w:szCs w:val="24"/>
              </w:rPr>
              <w:t>cm/s</w:t>
            </w:r>
            <w:r>
              <w:rPr>
                <w:rFonts w:ascii="Times New Roman" w:hAnsi="Times New Roman"/>
                <w:kern w:val="0"/>
                <w:szCs w:val="24"/>
              </w:rPr>
              <w:t>，</w:t>
            </w:r>
            <w:bookmarkStart w:id="223" w:name="OLE_LINK832"/>
            <w:bookmarkStart w:id="224" w:name="OLE_LINK831"/>
            <w:r>
              <w:rPr>
                <w:rFonts w:ascii="Times New Roman" w:hAnsi="Times New Roman"/>
                <w:kern w:val="0"/>
                <w:szCs w:val="24"/>
              </w:rPr>
              <w:t>且分布连续、稳定</w:t>
            </w:r>
            <w:bookmarkEnd w:id="223"/>
            <w:bookmarkEnd w:id="224"/>
            <w:r>
              <w:rPr>
                <w:rFonts w:ascii="Times New Roman" w:hAnsi="Times New Roman"/>
                <w:kern w:val="0"/>
                <w:szCs w:val="24"/>
              </w:rPr>
              <w:t xml:space="preserve"> </w:t>
            </w:r>
          </w:p>
          <w:p w:rsidR="00525419" w:rsidRDefault="00EE1CF7">
            <w:pPr>
              <w:widowControl/>
              <w:jc w:val="center"/>
              <w:rPr>
                <w:rFonts w:ascii="Times New Roman" w:hAnsi="Times New Roman"/>
                <w:kern w:val="0"/>
                <w:szCs w:val="24"/>
              </w:rPr>
            </w:pPr>
            <w:r>
              <w:rPr>
                <w:rFonts w:ascii="Times New Roman" w:hAnsi="Times New Roman"/>
                <w:kern w:val="0"/>
                <w:szCs w:val="24"/>
              </w:rPr>
              <w:t>Mb≥1.0m</w:t>
            </w:r>
            <w:r>
              <w:rPr>
                <w:rFonts w:ascii="Times New Roman" w:hAnsi="Times New Roman"/>
                <w:kern w:val="0"/>
                <w:szCs w:val="24"/>
              </w:rPr>
              <w:t>，</w:t>
            </w:r>
            <w:r>
              <w:rPr>
                <w:rFonts w:ascii="Times New Roman" w:hAnsi="Times New Roman"/>
                <w:kern w:val="0"/>
                <w:szCs w:val="24"/>
              </w:rPr>
              <w:t>1.0×10</w:t>
            </w:r>
            <w:r>
              <w:rPr>
                <w:rFonts w:ascii="Times New Roman" w:hAnsi="Times New Roman"/>
                <w:kern w:val="0"/>
                <w:szCs w:val="24"/>
                <w:vertAlign w:val="superscript"/>
              </w:rPr>
              <w:t>-6</w:t>
            </w:r>
            <w:r>
              <w:rPr>
                <w:rFonts w:ascii="Times New Roman" w:hAnsi="Times New Roman"/>
                <w:kern w:val="0"/>
                <w:szCs w:val="24"/>
              </w:rPr>
              <w:t>cm/s</w:t>
            </w:r>
            <w:r>
              <w:rPr>
                <w:rFonts w:ascii="Times New Roman" w:hAnsi="Times New Roman"/>
                <w:kern w:val="0"/>
                <w:szCs w:val="24"/>
              </w:rPr>
              <w:t>＜</w:t>
            </w:r>
            <w:r>
              <w:rPr>
                <w:rFonts w:ascii="Times New Roman" w:hAnsi="Times New Roman"/>
                <w:kern w:val="0"/>
                <w:szCs w:val="24"/>
              </w:rPr>
              <w:t>K≤1.0×10</w:t>
            </w:r>
            <w:r>
              <w:rPr>
                <w:rFonts w:ascii="Times New Roman" w:hAnsi="Times New Roman"/>
                <w:kern w:val="0"/>
                <w:szCs w:val="24"/>
                <w:vertAlign w:val="superscript"/>
              </w:rPr>
              <w:t>-4</w:t>
            </w:r>
            <w:r>
              <w:rPr>
                <w:rFonts w:ascii="Times New Roman" w:hAnsi="Times New Roman"/>
                <w:kern w:val="0"/>
                <w:szCs w:val="24"/>
              </w:rPr>
              <w:t>cm/s</w:t>
            </w:r>
            <w:r>
              <w:rPr>
                <w:rFonts w:ascii="Times New Roman" w:hAnsi="Times New Roman"/>
                <w:kern w:val="0"/>
                <w:szCs w:val="24"/>
              </w:rPr>
              <w:t>，且分布连续、稳定</w:t>
            </w:r>
          </w:p>
        </w:tc>
      </w:tr>
      <w:tr w:rsidR="00525419">
        <w:trPr>
          <w:trHeight w:val="397"/>
        </w:trPr>
        <w:tc>
          <w:tcPr>
            <w:tcW w:w="958"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D1</w:t>
            </w:r>
          </w:p>
        </w:tc>
        <w:tc>
          <w:tcPr>
            <w:tcW w:w="7547"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岩（土）层不满足上述</w:t>
            </w:r>
            <w:r>
              <w:rPr>
                <w:rFonts w:ascii="Times New Roman" w:hAnsi="Times New Roman"/>
                <w:kern w:val="0"/>
                <w:szCs w:val="24"/>
              </w:rPr>
              <w:t>“D2”</w:t>
            </w:r>
            <w:r>
              <w:rPr>
                <w:rFonts w:ascii="Times New Roman" w:hAnsi="Times New Roman"/>
                <w:kern w:val="0"/>
                <w:szCs w:val="24"/>
              </w:rPr>
              <w:t>和</w:t>
            </w:r>
            <w:r>
              <w:rPr>
                <w:rFonts w:ascii="Times New Roman" w:hAnsi="Times New Roman"/>
                <w:kern w:val="0"/>
                <w:szCs w:val="24"/>
              </w:rPr>
              <w:t>“D3”</w:t>
            </w:r>
            <w:r>
              <w:rPr>
                <w:rFonts w:ascii="Times New Roman" w:hAnsi="Times New Roman"/>
                <w:kern w:val="0"/>
                <w:szCs w:val="24"/>
              </w:rPr>
              <w:t>条件</w:t>
            </w:r>
          </w:p>
        </w:tc>
      </w:tr>
      <w:tr w:rsidR="00525419">
        <w:trPr>
          <w:trHeight w:val="397"/>
        </w:trPr>
        <w:tc>
          <w:tcPr>
            <w:tcW w:w="8505" w:type="dxa"/>
            <w:gridSpan w:val="2"/>
            <w:vAlign w:val="center"/>
          </w:tcPr>
          <w:p w:rsidR="00525419" w:rsidRDefault="00EE1CF7">
            <w:pPr>
              <w:widowControl/>
              <w:rPr>
                <w:rFonts w:ascii="Times New Roman" w:hAnsi="Times New Roman"/>
                <w:kern w:val="0"/>
                <w:szCs w:val="24"/>
              </w:rPr>
            </w:pPr>
            <w:r>
              <w:rPr>
                <w:rFonts w:ascii="Times New Roman" w:hAnsi="Times New Roman"/>
                <w:kern w:val="0"/>
                <w:szCs w:val="24"/>
              </w:rPr>
              <w:t>Mb</w:t>
            </w:r>
            <w:r>
              <w:rPr>
                <w:rFonts w:ascii="Times New Roman" w:hAnsi="Times New Roman"/>
                <w:kern w:val="0"/>
                <w:szCs w:val="24"/>
              </w:rPr>
              <w:t>：岩土层单层厚度。</w:t>
            </w:r>
            <w:r>
              <w:rPr>
                <w:rFonts w:ascii="Times New Roman" w:hAnsi="Times New Roman"/>
                <w:kern w:val="0"/>
                <w:szCs w:val="24"/>
              </w:rPr>
              <w:t>K</w:t>
            </w:r>
            <w:r>
              <w:rPr>
                <w:rFonts w:ascii="Times New Roman" w:hAnsi="Times New Roman"/>
                <w:kern w:val="0"/>
                <w:szCs w:val="24"/>
              </w:rPr>
              <w:t>：渗透系数。</w:t>
            </w:r>
          </w:p>
        </w:tc>
      </w:tr>
    </w:tbl>
    <w:p w:rsidR="00525419" w:rsidRDefault="00525419">
      <w:pPr>
        <w:widowControl/>
        <w:jc w:val="center"/>
        <w:rPr>
          <w:rFonts w:ascii="Times New Roman" w:hAnsi="Times New Roman"/>
          <w:kern w:val="0"/>
          <w:szCs w:val="24"/>
        </w:rPr>
      </w:pP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本项目位于鄯善高新技术产业开发区，项目所在区域既不属于集中式地下水饮用水水源（包括已建成的在用、备用、应急水源，在建和规划的饮用水水源）准保护区和准保护区以外的补给径流区，也不属于除集中式饮用水水源以外的国家或地方政府设定的与地下水环境相关的其他保护区，如热水、矿泉水、温泉等特殊地下水资源保护区和其他保护区的补给径流区；同时也不属于未划定准保护区的集中式饮用水水源、分散式饮用水水源地，根据表</w:t>
      </w:r>
      <w:bookmarkStart w:id="225" w:name="OLE_LINK833"/>
      <w:r>
        <w:rPr>
          <w:rFonts w:ascii="Times New Roman" w:hAnsi="Times New Roman"/>
          <w:kern w:val="0"/>
          <w:sz w:val="24"/>
          <w:szCs w:val="24"/>
        </w:rPr>
        <w:t>5.6-11</w:t>
      </w:r>
      <w:r>
        <w:rPr>
          <w:rFonts w:ascii="Times New Roman" w:hAnsi="Times New Roman"/>
          <w:kern w:val="0"/>
          <w:sz w:val="24"/>
          <w:szCs w:val="24"/>
        </w:rPr>
        <w:t>的判定依据</w:t>
      </w:r>
      <w:bookmarkEnd w:id="225"/>
      <w:r>
        <w:rPr>
          <w:rFonts w:ascii="Times New Roman" w:hAnsi="Times New Roman"/>
          <w:kern w:val="0"/>
          <w:sz w:val="24"/>
          <w:szCs w:val="24"/>
        </w:rPr>
        <w:t>，本项目所在区域地下水功能敏感性为</w:t>
      </w:r>
      <w:r>
        <w:rPr>
          <w:rFonts w:ascii="Times New Roman" w:hAnsi="Times New Roman"/>
          <w:kern w:val="0"/>
          <w:sz w:val="24"/>
          <w:szCs w:val="24"/>
        </w:rPr>
        <w:t>“</w:t>
      </w:r>
      <w:r>
        <w:rPr>
          <w:rFonts w:ascii="Times New Roman" w:hAnsi="Times New Roman"/>
          <w:kern w:val="0"/>
          <w:sz w:val="24"/>
          <w:szCs w:val="24"/>
        </w:rPr>
        <w:t>不敏感</w:t>
      </w:r>
      <w:r>
        <w:rPr>
          <w:rFonts w:ascii="Times New Roman" w:hAnsi="Times New Roman"/>
          <w:kern w:val="0"/>
          <w:sz w:val="24"/>
          <w:szCs w:val="24"/>
        </w:rPr>
        <w:t>G3”</w:t>
      </w:r>
      <w:r>
        <w:rPr>
          <w:rFonts w:ascii="Times New Roman" w:hAnsi="Times New Roman"/>
          <w:kern w:val="0"/>
          <w:sz w:val="24"/>
          <w:szCs w:val="24"/>
        </w:rPr>
        <w:t>。</w:t>
      </w:r>
    </w:p>
    <w:p w:rsidR="00525419" w:rsidRDefault="00EE1CF7">
      <w:pPr>
        <w:widowControl/>
        <w:spacing w:line="360" w:lineRule="auto"/>
        <w:ind w:firstLineChars="200" w:firstLine="480"/>
        <w:rPr>
          <w:rFonts w:ascii="Times New Roman" w:hAnsi="Times New Roman"/>
          <w:kern w:val="0"/>
          <w:sz w:val="24"/>
          <w:szCs w:val="24"/>
        </w:rPr>
      </w:pPr>
      <w:r>
        <w:rPr>
          <w:rFonts w:ascii="Times New Roman" w:hAnsi="Times New Roman"/>
          <w:kern w:val="0"/>
          <w:sz w:val="24"/>
          <w:szCs w:val="24"/>
        </w:rPr>
        <w:t>本项目所在区域非含水层厚度大于</w:t>
      </w:r>
      <w:r>
        <w:rPr>
          <w:rFonts w:ascii="Times New Roman" w:hAnsi="Times New Roman"/>
          <w:kern w:val="0"/>
          <w:sz w:val="24"/>
          <w:szCs w:val="24"/>
        </w:rPr>
        <w:t>1.0m</w:t>
      </w:r>
      <w:r>
        <w:rPr>
          <w:rFonts w:ascii="Times New Roman" w:hAnsi="Times New Roman"/>
          <w:kern w:val="0"/>
          <w:sz w:val="24"/>
          <w:szCs w:val="24"/>
        </w:rPr>
        <w:t>以上，垂直入渗系数大于</w:t>
      </w:r>
      <w:r>
        <w:rPr>
          <w:rFonts w:ascii="Times New Roman" w:hAnsi="Times New Roman"/>
          <w:kern w:val="0"/>
          <w:sz w:val="24"/>
          <w:szCs w:val="24"/>
        </w:rPr>
        <w:t>1.6m/d</w:t>
      </w:r>
      <w:r>
        <w:rPr>
          <w:rFonts w:ascii="Times New Roman" w:hAnsi="Times New Roman"/>
          <w:kern w:val="0"/>
          <w:sz w:val="24"/>
          <w:szCs w:val="24"/>
        </w:rPr>
        <w:t>（</w:t>
      </w:r>
      <w:r>
        <w:rPr>
          <w:rFonts w:ascii="Times New Roman" w:hAnsi="Times New Roman"/>
          <w:kern w:val="0"/>
          <w:sz w:val="24"/>
          <w:szCs w:val="24"/>
        </w:rPr>
        <w:t>1.85×10</w:t>
      </w:r>
      <w:r>
        <w:rPr>
          <w:rFonts w:ascii="Times New Roman" w:hAnsi="Times New Roman"/>
          <w:kern w:val="0"/>
          <w:sz w:val="24"/>
          <w:szCs w:val="24"/>
          <w:vertAlign w:val="superscript"/>
        </w:rPr>
        <w:t>-3</w:t>
      </w:r>
      <w:r>
        <w:rPr>
          <w:rFonts w:ascii="Times New Roman" w:hAnsi="Times New Roman"/>
          <w:kern w:val="0"/>
          <w:sz w:val="24"/>
          <w:szCs w:val="24"/>
        </w:rPr>
        <w:t>cm/s</w:t>
      </w:r>
      <w:r>
        <w:rPr>
          <w:rFonts w:ascii="Times New Roman" w:hAnsi="Times New Roman"/>
          <w:kern w:val="0"/>
          <w:sz w:val="24"/>
          <w:szCs w:val="24"/>
        </w:rPr>
        <w:t>），根据表</w:t>
      </w:r>
      <w:r>
        <w:rPr>
          <w:rFonts w:ascii="Times New Roman" w:hAnsi="Times New Roman"/>
          <w:kern w:val="0"/>
          <w:sz w:val="24"/>
          <w:szCs w:val="24"/>
        </w:rPr>
        <w:t>5.6-12</w:t>
      </w:r>
      <w:r>
        <w:rPr>
          <w:rFonts w:ascii="Times New Roman" w:hAnsi="Times New Roman"/>
          <w:kern w:val="0"/>
          <w:sz w:val="24"/>
          <w:szCs w:val="24"/>
        </w:rPr>
        <w:t>的判定依据，本项目所在区域包气带防污性能分级为</w:t>
      </w:r>
      <w:r>
        <w:rPr>
          <w:rFonts w:ascii="Times New Roman" w:hAnsi="Times New Roman"/>
          <w:kern w:val="0"/>
          <w:sz w:val="24"/>
          <w:szCs w:val="24"/>
        </w:rPr>
        <w:t>“D1”</w:t>
      </w:r>
      <w:r>
        <w:rPr>
          <w:rFonts w:ascii="Times New Roman" w:hAnsi="Times New Roman"/>
          <w:kern w:val="0"/>
          <w:sz w:val="24"/>
          <w:szCs w:val="24"/>
        </w:rPr>
        <w:t>。</w:t>
      </w:r>
    </w:p>
    <w:p w:rsidR="00525419" w:rsidRDefault="00EE1CF7">
      <w:pPr>
        <w:widowControl/>
        <w:spacing w:line="360" w:lineRule="auto"/>
        <w:ind w:firstLineChars="200" w:firstLine="480"/>
        <w:rPr>
          <w:rFonts w:ascii="Times New Roman" w:hAnsi="Times New Roman"/>
          <w:kern w:val="0"/>
          <w:sz w:val="24"/>
          <w:szCs w:val="24"/>
        </w:rPr>
      </w:pPr>
      <w:r>
        <w:rPr>
          <w:rFonts w:ascii="Times New Roman" w:hAnsi="Times New Roman"/>
          <w:kern w:val="0"/>
          <w:sz w:val="24"/>
          <w:szCs w:val="24"/>
        </w:rPr>
        <w:t>根据表</w:t>
      </w:r>
      <w:r>
        <w:rPr>
          <w:rFonts w:ascii="Times New Roman" w:hAnsi="Times New Roman"/>
          <w:kern w:val="0"/>
          <w:sz w:val="24"/>
          <w:szCs w:val="24"/>
        </w:rPr>
        <w:t>5.6-10</w:t>
      </w:r>
      <w:r>
        <w:rPr>
          <w:rFonts w:ascii="Times New Roman" w:hAnsi="Times New Roman"/>
          <w:kern w:val="0"/>
          <w:sz w:val="24"/>
          <w:szCs w:val="24"/>
        </w:rPr>
        <w:t>的判定依据，项目所在区域的地下水环境敏感程度分级为</w:t>
      </w:r>
      <w:r>
        <w:rPr>
          <w:rFonts w:ascii="Times New Roman" w:hAnsi="Times New Roman"/>
          <w:kern w:val="0"/>
          <w:sz w:val="24"/>
          <w:szCs w:val="24"/>
        </w:rPr>
        <w:t>“E2”</w:t>
      </w:r>
      <w:r>
        <w:rPr>
          <w:rFonts w:ascii="Times New Roman" w:hAnsi="Times New Roman"/>
          <w:kern w:val="0"/>
          <w:sz w:val="24"/>
          <w:szCs w:val="24"/>
        </w:rPr>
        <w:t>。</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 xml:space="preserve">5.6.1.9 </w:t>
      </w:r>
      <w:r>
        <w:rPr>
          <w:rFonts w:ascii="Times New Roman" w:hAnsi="Times New Roman" w:cs="Times New Roman"/>
          <w:kern w:val="44"/>
          <w:sz w:val="24"/>
          <w:szCs w:val="24"/>
        </w:rPr>
        <w:t>环境风险潜势判定</w:t>
      </w:r>
    </w:p>
    <w:p w:rsidR="00525419" w:rsidRDefault="00EE1CF7">
      <w:pPr>
        <w:pStyle w:val="B1"/>
        <w:ind w:firstLine="480"/>
        <w:rPr>
          <w:rFonts w:cs="Times New Roman"/>
          <w:bCs/>
        </w:rPr>
      </w:pPr>
      <w:r>
        <w:rPr>
          <w:rFonts w:cs="Times New Roman"/>
          <w:bCs/>
        </w:rPr>
        <w:t>经分析得知，本项目不考虑风险事故泄露危险物质对地表水体的影响，项目的所在区域大气环境敏感程度为环境中度敏感区</w:t>
      </w:r>
      <w:r>
        <w:rPr>
          <w:rFonts w:cs="Times New Roman"/>
          <w:bCs/>
        </w:rPr>
        <w:t>E2</w:t>
      </w:r>
      <w:r>
        <w:rPr>
          <w:rFonts w:cs="Times New Roman"/>
          <w:bCs/>
        </w:rPr>
        <w:t>，项目所在区域的地下水环境敏感程度分级为</w:t>
      </w:r>
      <w:r>
        <w:rPr>
          <w:rFonts w:cs="Times New Roman"/>
          <w:bCs/>
        </w:rPr>
        <w:t>“E2”</w:t>
      </w:r>
      <w:r>
        <w:rPr>
          <w:rFonts w:cs="Times New Roman"/>
          <w:bCs/>
        </w:rPr>
        <w:t>，其环境风险潜势判定结果具体见表</w:t>
      </w:r>
      <w:r>
        <w:rPr>
          <w:rFonts w:cs="Times New Roman"/>
          <w:bCs/>
        </w:rPr>
        <w:t>5.6-13</w:t>
      </w:r>
      <w:r>
        <w:rPr>
          <w:rFonts w:cs="Times New Roman"/>
          <w:bCs/>
        </w:rPr>
        <w:t>。</w:t>
      </w:r>
    </w:p>
    <w:p w:rsidR="00525419" w:rsidRDefault="00EE1CF7" w:rsidP="00EE1CF7">
      <w:pPr>
        <w:pStyle w:val="B3"/>
        <w:spacing w:before="99" w:after="66"/>
        <w:ind w:firstLine="420"/>
        <w:rPr>
          <w:rFonts w:eastAsia="黑体"/>
          <w:b w:val="0"/>
          <w:snapToGrid/>
          <w:color w:val="auto"/>
          <w:kern w:val="2"/>
          <w:sz w:val="21"/>
          <w:szCs w:val="22"/>
        </w:rPr>
      </w:pPr>
      <w:r>
        <w:rPr>
          <w:rFonts w:eastAsia="黑体"/>
          <w:b w:val="0"/>
          <w:snapToGrid/>
          <w:color w:val="auto"/>
          <w:kern w:val="2"/>
          <w:sz w:val="21"/>
          <w:szCs w:val="22"/>
        </w:rPr>
        <w:t>表</w:t>
      </w:r>
      <w:r>
        <w:rPr>
          <w:rFonts w:eastAsia="黑体"/>
          <w:b w:val="0"/>
          <w:snapToGrid/>
          <w:color w:val="auto"/>
          <w:kern w:val="2"/>
          <w:sz w:val="21"/>
          <w:szCs w:val="22"/>
        </w:rPr>
        <w:t xml:space="preserve">5.6-13   </w:t>
      </w:r>
      <w:r>
        <w:rPr>
          <w:rFonts w:eastAsia="黑体"/>
          <w:b w:val="0"/>
          <w:snapToGrid/>
          <w:color w:val="auto"/>
          <w:kern w:val="2"/>
          <w:sz w:val="21"/>
          <w:szCs w:val="22"/>
        </w:rPr>
        <w:t>项目环境风险潜势判定结果一览表</w:t>
      </w:r>
    </w:p>
    <w:tbl>
      <w:tblPr>
        <w:tblW w:w="8513"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970"/>
        <w:gridCol w:w="3587"/>
        <w:gridCol w:w="1956"/>
      </w:tblGrid>
      <w:tr w:rsidR="00525419">
        <w:trPr>
          <w:trHeight w:val="397"/>
        </w:trPr>
        <w:tc>
          <w:tcPr>
            <w:tcW w:w="2970" w:type="dxa"/>
            <w:vMerge w:val="restart"/>
            <w:vAlign w:val="center"/>
          </w:tcPr>
          <w:p w:rsidR="00525419" w:rsidRDefault="00EE1CF7">
            <w:pPr>
              <w:pStyle w:val="B2"/>
              <w:rPr>
                <w:rFonts w:cs="Times New Roman"/>
              </w:rPr>
            </w:pPr>
            <w:r>
              <w:rPr>
                <w:rFonts w:cs="Times New Roman"/>
              </w:rPr>
              <w:t>项目环境敏感程度</w:t>
            </w:r>
          </w:p>
        </w:tc>
        <w:tc>
          <w:tcPr>
            <w:tcW w:w="3587" w:type="dxa"/>
            <w:vAlign w:val="center"/>
          </w:tcPr>
          <w:p w:rsidR="00525419" w:rsidRDefault="00EE1CF7">
            <w:pPr>
              <w:pStyle w:val="B2"/>
              <w:rPr>
                <w:rFonts w:cs="Times New Roman"/>
              </w:rPr>
            </w:pPr>
            <w:r>
              <w:rPr>
                <w:rFonts w:cs="Times New Roman"/>
              </w:rPr>
              <w:t>项目危险物质及工艺系统危险性</w:t>
            </w:r>
            <w:r>
              <w:rPr>
                <w:rFonts w:cs="Times New Roman"/>
              </w:rPr>
              <w:t>P</w:t>
            </w:r>
          </w:p>
        </w:tc>
        <w:tc>
          <w:tcPr>
            <w:tcW w:w="1956" w:type="dxa"/>
            <w:vMerge w:val="restart"/>
            <w:vAlign w:val="center"/>
          </w:tcPr>
          <w:p w:rsidR="00525419" w:rsidRDefault="00EE1CF7">
            <w:pPr>
              <w:pStyle w:val="B2"/>
              <w:rPr>
                <w:rFonts w:cs="Times New Roman"/>
              </w:rPr>
            </w:pPr>
            <w:r>
              <w:rPr>
                <w:rFonts w:cs="Times New Roman"/>
              </w:rPr>
              <w:t>评价工作等级</w:t>
            </w:r>
          </w:p>
        </w:tc>
      </w:tr>
      <w:tr w:rsidR="00525419">
        <w:trPr>
          <w:trHeight w:val="397"/>
        </w:trPr>
        <w:tc>
          <w:tcPr>
            <w:tcW w:w="2970" w:type="dxa"/>
            <w:vMerge/>
            <w:vAlign w:val="center"/>
          </w:tcPr>
          <w:p w:rsidR="00525419" w:rsidRDefault="00525419">
            <w:pPr>
              <w:pStyle w:val="B2"/>
              <w:rPr>
                <w:rFonts w:cs="Times New Roman"/>
              </w:rPr>
            </w:pPr>
          </w:p>
        </w:tc>
        <w:tc>
          <w:tcPr>
            <w:tcW w:w="3587" w:type="dxa"/>
            <w:vAlign w:val="center"/>
          </w:tcPr>
          <w:p w:rsidR="00525419" w:rsidRDefault="00EE1CF7">
            <w:pPr>
              <w:pStyle w:val="B2"/>
              <w:rPr>
                <w:rFonts w:cs="Times New Roman"/>
              </w:rPr>
            </w:pPr>
            <w:r>
              <w:rPr>
                <w:rFonts w:cs="Times New Roman"/>
              </w:rPr>
              <w:t>极高危害（</w:t>
            </w:r>
            <w:r>
              <w:rPr>
                <w:rFonts w:cs="Times New Roman"/>
              </w:rPr>
              <w:t>P1</w:t>
            </w:r>
            <w:r>
              <w:rPr>
                <w:rFonts w:cs="Times New Roman"/>
              </w:rPr>
              <w:t>）</w:t>
            </w:r>
          </w:p>
        </w:tc>
        <w:tc>
          <w:tcPr>
            <w:tcW w:w="1956" w:type="dxa"/>
            <w:vMerge/>
            <w:vAlign w:val="center"/>
          </w:tcPr>
          <w:p w:rsidR="00525419" w:rsidRDefault="00525419">
            <w:pPr>
              <w:pStyle w:val="B2"/>
              <w:rPr>
                <w:rFonts w:cs="Times New Roman"/>
              </w:rPr>
            </w:pPr>
          </w:p>
        </w:tc>
      </w:tr>
      <w:tr w:rsidR="00525419">
        <w:trPr>
          <w:trHeight w:val="397"/>
        </w:trPr>
        <w:tc>
          <w:tcPr>
            <w:tcW w:w="2970" w:type="dxa"/>
            <w:vAlign w:val="center"/>
          </w:tcPr>
          <w:p w:rsidR="00525419" w:rsidRDefault="00EE1CF7">
            <w:pPr>
              <w:pStyle w:val="B2"/>
              <w:rPr>
                <w:rFonts w:cs="Times New Roman"/>
              </w:rPr>
            </w:pPr>
            <w:r>
              <w:rPr>
                <w:rFonts w:cs="Times New Roman"/>
              </w:rPr>
              <w:t>大气环境高度敏感区（</w:t>
            </w:r>
            <w:r>
              <w:rPr>
                <w:rFonts w:cs="Times New Roman"/>
              </w:rPr>
              <w:t>E2</w:t>
            </w:r>
            <w:r>
              <w:rPr>
                <w:rFonts w:cs="Times New Roman"/>
              </w:rPr>
              <w:t>）</w:t>
            </w:r>
          </w:p>
        </w:tc>
        <w:tc>
          <w:tcPr>
            <w:tcW w:w="3587" w:type="dxa"/>
            <w:vAlign w:val="center"/>
          </w:tcPr>
          <w:p w:rsidR="00525419" w:rsidRDefault="00EE1CF7">
            <w:pPr>
              <w:pStyle w:val="B2"/>
              <w:rPr>
                <w:rFonts w:cs="Times New Roman"/>
              </w:rPr>
            </w:pPr>
            <w:r>
              <w:rPr>
                <w:rFonts w:cs="Times New Roman"/>
              </w:rPr>
              <w:t>Ⅳ</w:t>
            </w:r>
          </w:p>
        </w:tc>
        <w:tc>
          <w:tcPr>
            <w:tcW w:w="1956" w:type="dxa"/>
            <w:vAlign w:val="center"/>
          </w:tcPr>
          <w:p w:rsidR="00525419" w:rsidRDefault="00EE1CF7">
            <w:pPr>
              <w:pStyle w:val="B2"/>
              <w:rPr>
                <w:rFonts w:cs="Times New Roman"/>
              </w:rPr>
            </w:pPr>
            <w:r>
              <w:rPr>
                <w:rFonts w:cs="Times New Roman"/>
              </w:rPr>
              <w:t>一级</w:t>
            </w:r>
          </w:p>
        </w:tc>
      </w:tr>
      <w:tr w:rsidR="00525419">
        <w:trPr>
          <w:trHeight w:val="397"/>
        </w:trPr>
        <w:tc>
          <w:tcPr>
            <w:tcW w:w="2970" w:type="dxa"/>
            <w:vAlign w:val="center"/>
          </w:tcPr>
          <w:p w:rsidR="00525419" w:rsidRDefault="00EE1CF7">
            <w:pPr>
              <w:pStyle w:val="B2"/>
              <w:rPr>
                <w:rFonts w:cs="Times New Roman"/>
              </w:rPr>
            </w:pPr>
            <w:r>
              <w:rPr>
                <w:rFonts w:cs="Times New Roman"/>
              </w:rPr>
              <w:t>地下水环境低度敏感区（</w:t>
            </w:r>
            <w:r>
              <w:rPr>
                <w:rFonts w:cs="Times New Roman"/>
              </w:rPr>
              <w:t>E2</w:t>
            </w:r>
            <w:r>
              <w:rPr>
                <w:rFonts w:cs="Times New Roman"/>
              </w:rPr>
              <w:t>）</w:t>
            </w:r>
          </w:p>
        </w:tc>
        <w:tc>
          <w:tcPr>
            <w:tcW w:w="3587" w:type="dxa"/>
            <w:vAlign w:val="center"/>
          </w:tcPr>
          <w:p w:rsidR="00525419" w:rsidRDefault="00EE1CF7">
            <w:pPr>
              <w:pStyle w:val="B2"/>
              <w:rPr>
                <w:rFonts w:cs="Times New Roman"/>
              </w:rPr>
            </w:pPr>
            <w:r>
              <w:rPr>
                <w:rFonts w:cs="Times New Roman"/>
              </w:rPr>
              <w:t>Ⅳ</w:t>
            </w:r>
          </w:p>
        </w:tc>
        <w:tc>
          <w:tcPr>
            <w:tcW w:w="1956" w:type="dxa"/>
            <w:vAlign w:val="center"/>
          </w:tcPr>
          <w:p w:rsidR="00525419" w:rsidRDefault="00EE1CF7">
            <w:pPr>
              <w:pStyle w:val="B2"/>
              <w:rPr>
                <w:rFonts w:cs="Times New Roman"/>
              </w:rPr>
            </w:pPr>
            <w:r>
              <w:rPr>
                <w:rFonts w:cs="Times New Roman"/>
              </w:rPr>
              <w:t>一级</w:t>
            </w:r>
          </w:p>
        </w:tc>
      </w:tr>
    </w:tbl>
    <w:p w:rsidR="00525419" w:rsidRDefault="00525419">
      <w:pPr>
        <w:spacing w:line="240" w:lineRule="exact"/>
        <w:rPr>
          <w:rFonts w:ascii="Times New Roman" w:hAnsi="Times New Roman"/>
          <w:sz w:val="18"/>
        </w:rPr>
      </w:pPr>
    </w:p>
    <w:p w:rsidR="00525419" w:rsidRDefault="00EE1CF7">
      <w:pPr>
        <w:pStyle w:val="B1"/>
        <w:ind w:firstLine="480"/>
        <w:rPr>
          <w:rFonts w:cs="Times New Roman"/>
        </w:rPr>
      </w:pPr>
      <w:r>
        <w:rPr>
          <w:rFonts w:cs="Times New Roman"/>
        </w:rPr>
        <w:lastRenderedPageBreak/>
        <w:t>从表</w:t>
      </w:r>
      <w:r>
        <w:rPr>
          <w:rFonts w:cs="Times New Roman"/>
        </w:rPr>
        <w:t>5.6-13</w:t>
      </w:r>
      <w:r>
        <w:rPr>
          <w:rFonts w:cs="Times New Roman"/>
        </w:rPr>
        <w:t>中可知，本项目的大气环境风险潜势和地下水环境风险潜势均为</w:t>
      </w:r>
      <w:r>
        <w:rPr>
          <w:rFonts w:cs="Times New Roman"/>
        </w:rPr>
        <w:t>Ⅳ</w:t>
      </w:r>
      <w:r>
        <w:rPr>
          <w:rFonts w:cs="Times New Roman"/>
        </w:rPr>
        <w:t>级。</w:t>
      </w:r>
      <w:bookmarkStart w:id="226" w:name="OLE_LINK840"/>
      <w:bookmarkStart w:id="227" w:name="OLE_LINK841"/>
      <w:bookmarkStart w:id="228" w:name="OLE_LINK842"/>
      <w:r>
        <w:rPr>
          <w:rFonts w:cs="Times New Roman"/>
        </w:rPr>
        <w:t>根据《建设项目环境风险评价技术导则》（</w:t>
      </w:r>
      <w:r>
        <w:rPr>
          <w:rFonts w:cs="Times New Roman"/>
        </w:rPr>
        <w:t>HJ169-2018</w:t>
      </w:r>
      <w:r>
        <w:rPr>
          <w:rFonts w:cs="Times New Roman"/>
        </w:rPr>
        <w:t>）</w:t>
      </w:r>
      <w:bookmarkEnd w:id="226"/>
      <w:bookmarkEnd w:id="227"/>
      <w:bookmarkEnd w:id="228"/>
      <w:r>
        <w:rPr>
          <w:rFonts w:cs="Times New Roman"/>
        </w:rPr>
        <w:t>的要求：</w:t>
      </w:r>
      <w:r>
        <w:rPr>
          <w:rFonts w:cs="Times New Roman"/>
        </w:rPr>
        <w:t>“</w:t>
      </w:r>
      <w:r>
        <w:rPr>
          <w:rFonts w:cs="Times New Roman"/>
        </w:rPr>
        <w:t>建设项目环境风险潜势综合等级取各要素等级的相对高值。</w:t>
      </w:r>
      <w:r>
        <w:rPr>
          <w:rFonts w:cs="Times New Roman"/>
        </w:rPr>
        <w:t>”</w:t>
      </w:r>
      <w:r>
        <w:rPr>
          <w:rFonts w:cs="Times New Roman"/>
        </w:rPr>
        <w:t>因此，本项目</w:t>
      </w:r>
      <w:bookmarkStart w:id="229" w:name="OLE_LINK843"/>
      <w:r>
        <w:rPr>
          <w:rFonts w:cs="Times New Roman"/>
        </w:rPr>
        <w:t>的环境风险潜势为</w:t>
      </w:r>
      <w:r>
        <w:rPr>
          <w:rFonts w:cs="Times New Roman"/>
        </w:rPr>
        <w:t>Ⅳ</w:t>
      </w:r>
      <w:r>
        <w:rPr>
          <w:rFonts w:cs="Times New Roman"/>
        </w:rPr>
        <w:t>级</w:t>
      </w:r>
      <w:bookmarkEnd w:id="229"/>
      <w:r>
        <w:rPr>
          <w:rFonts w:cs="Times New Roman"/>
        </w:rPr>
        <w:t>。</w:t>
      </w:r>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 xml:space="preserve">5.6.2 </w:t>
      </w:r>
      <w:r>
        <w:rPr>
          <w:rFonts w:ascii="Times New Roman" w:eastAsia="华文楷体" w:hAnsi="Times New Roman"/>
        </w:rPr>
        <w:t>评价等级及评价范围</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5.6.2.1</w:t>
      </w:r>
      <w:r>
        <w:rPr>
          <w:rFonts w:ascii="Times New Roman" w:hAnsi="Times New Roman" w:cs="Times New Roman"/>
          <w:kern w:val="44"/>
          <w:sz w:val="24"/>
          <w:szCs w:val="24"/>
        </w:rPr>
        <w:t>评价等级</w:t>
      </w:r>
    </w:p>
    <w:p w:rsidR="00525419" w:rsidRDefault="00EE1CF7">
      <w:pPr>
        <w:pStyle w:val="B1"/>
        <w:ind w:firstLine="480"/>
        <w:rPr>
          <w:rFonts w:cs="Times New Roman"/>
        </w:rPr>
      </w:pPr>
      <w:bookmarkStart w:id="230" w:name="OLE_LINK844"/>
      <w:bookmarkStart w:id="231" w:name="OLE_LINK845"/>
      <w:r>
        <w:rPr>
          <w:rFonts w:cs="Times New Roman"/>
        </w:rPr>
        <w:t>根据</w:t>
      </w:r>
      <w:bookmarkStart w:id="232" w:name="OLE_LINK848"/>
      <w:bookmarkStart w:id="233" w:name="OLE_LINK849"/>
      <w:bookmarkStart w:id="234" w:name="OLE_LINK850"/>
      <w:r>
        <w:rPr>
          <w:rFonts w:cs="Times New Roman"/>
        </w:rPr>
        <w:t>《建设项目环境风险评价技术导则》（</w:t>
      </w:r>
      <w:r>
        <w:rPr>
          <w:rFonts w:cs="Times New Roman"/>
        </w:rPr>
        <w:t>HJ169-2018</w:t>
      </w:r>
      <w:r>
        <w:rPr>
          <w:rFonts w:cs="Times New Roman"/>
        </w:rPr>
        <w:t>）规定</w:t>
      </w:r>
      <w:bookmarkEnd w:id="232"/>
      <w:bookmarkEnd w:id="233"/>
      <w:bookmarkEnd w:id="234"/>
      <w:r>
        <w:rPr>
          <w:rFonts w:cs="Times New Roman"/>
        </w:rPr>
        <w:t>：</w:t>
      </w:r>
      <w:bookmarkEnd w:id="230"/>
      <w:bookmarkEnd w:id="231"/>
      <w:r>
        <w:rPr>
          <w:rFonts w:cs="Times New Roman"/>
        </w:rPr>
        <w:t>“</w:t>
      </w:r>
      <w:r>
        <w:rPr>
          <w:rFonts w:cs="Times New Roman"/>
        </w:rPr>
        <w:t>环境风险评价工作是依据建设项目涉及的物质及工艺系统危险性和所在地的环境敏感性确定环境风险潜势进行分级，环境影响评价工作等级划分为一级、二级、三级</w:t>
      </w:r>
      <w:r>
        <w:rPr>
          <w:rFonts w:cs="Times New Roman"/>
        </w:rPr>
        <w:t>”</w:t>
      </w:r>
      <w:r>
        <w:rPr>
          <w:rFonts w:cs="Times New Roman"/>
        </w:rPr>
        <w:t>，其具体分级判据见表</w:t>
      </w:r>
      <w:r>
        <w:rPr>
          <w:rFonts w:cs="Times New Roman"/>
        </w:rPr>
        <w:t>5.6-14</w:t>
      </w:r>
      <w:r>
        <w:rPr>
          <w:rFonts w:cs="Times New Roman"/>
        </w:rPr>
        <w:t>。</w:t>
      </w:r>
    </w:p>
    <w:p w:rsidR="00525419" w:rsidRDefault="00EE1CF7" w:rsidP="00EE1CF7">
      <w:pPr>
        <w:pStyle w:val="B3"/>
        <w:spacing w:before="99" w:after="66"/>
        <w:ind w:firstLine="420"/>
        <w:rPr>
          <w:rFonts w:eastAsia="黑体"/>
          <w:b w:val="0"/>
          <w:snapToGrid/>
          <w:color w:val="auto"/>
          <w:kern w:val="2"/>
          <w:sz w:val="21"/>
          <w:szCs w:val="22"/>
        </w:rPr>
      </w:pPr>
      <w:r>
        <w:rPr>
          <w:rFonts w:eastAsia="黑体"/>
          <w:b w:val="0"/>
          <w:snapToGrid/>
          <w:color w:val="auto"/>
          <w:kern w:val="2"/>
          <w:sz w:val="21"/>
          <w:szCs w:val="22"/>
        </w:rPr>
        <w:t>表</w:t>
      </w:r>
      <w:r>
        <w:rPr>
          <w:rFonts w:eastAsia="黑体"/>
          <w:b w:val="0"/>
          <w:snapToGrid/>
          <w:color w:val="auto"/>
          <w:kern w:val="2"/>
          <w:sz w:val="21"/>
          <w:szCs w:val="22"/>
        </w:rPr>
        <w:t xml:space="preserve">5.6-14   </w:t>
      </w:r>
      <w:r>
        <w:rPr>
          <w:rFonts w:eastAsia="黑体"/>
          <w:b w:val="0"/>
          <w:snapToGrid/>
          <w:color w:val="auto"/>
          <w:kern w:val="2"/>
          <w:sz w:val="21"/>
          <w:szCs w:val="22"/>
        </w:rPr>
        <w:t>项目环境影响评价等级判据一览表</w:t>
      </w:r>
    </w:p>
    <w:tbl>
      <w:tblPr>
        <w:tblW w:w="850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951"/>
        <w:gridCol w:w="1452"/>
        <w:gridCol w:w="1700"/>
        <w:gridCol w:w="1701"/>
        <w:gridCol w:w="1701"/>
      </w:tblGrid>
      <w:tr w:rsidR="00525419">
        <w:trPr>
          <w:trHeight w:val="397"/>
        </w:trPr>
        <w:tc>
          <w:tcPr>
            <w:tcW w:w="1951" w:type="dxa"/>
            <w:vAlign w:val="center"/>
          </w:tcPr>
          <w:p w:rsidR="00525419" w:rsidRDefault="00EE1CF7">
            <w:pPr>
              <w:pStyle w:val="B2"/>
              <w:rPr>
                <w:rFonts w:cs="Times New Roman"/>
                <w:szCs w:val="15"/>
              </w:rPr>
            </w:pPr>
            <w:r>
              <w:rPr>
                <w:rFonts w:cs="Times New Roman"/>
                <w:szCs w:val="15"/>
              </w:rPr>
              <w:t>环境风险潜势</w:t>
            </w:r>
          </w:p>
        </w:tc>
        <w:tc>
          <w:tcPr>
            <w:tcW w:w="1452" w:type="dxa"/>
            <w:vAlign w:val="center"/>
          </w:tcPr>
          <w:p w:rsidR="00525419" w:rsidRDefault="00EE1CF7">
            <w:pPr>
              <w:pStyle w:val="B2"/>
              <w:rPr>
                <w:rFonts w:cs="Times New Roman"/>
                <w:szCs w:val="15"/>
              </w:rPr>
            </w:pPr>
            <w:r>
              <w:rPr>
                <w:rFonts w:cs="Times New Roman"/>
              </w:rPr>
              <w:t>IV</w:t>
            </w:r>
            <w:r>
              <w:rPr>
                <w:rFonts w:cs="Times New Roman"/>
                <w:szCs w:val="15"/>
              </w:rPr>
              <w:t>、</w:t>
            </w:r>
            <w:r>
              <w:rPr>
                <w:rFonts w:cs="Times New Roman"/>
              </w:rPr>
              <w:t>IV</w:t>
            </w:r>
            <w:r>
              <w:rPr>
                <w:rFonts w:cs="Times New Roman"/>
                <w:szCs w:val="15"/>
                <w:vertAlign w:val="superscript"/>
              </w:rPr>
              <w:t>+</w:t>
            </w:r>
          </w:p>
        </w:tc>
        <w:tc>
          <w:tcPr>
            <w:tcW w:w="1700" w:type="dxa"/>
            <w:vAlign w:val="center"/>
          </w:tcPr>
          <w:p w:rsidR="00525419" w:rsidRDefault="00EE1CF7">
            <w:pPr>
              <w:pStyle w:val="B2"/>
              <w:rPr>
                <w:rFonts w:cs="Times New Roman"/>
                <w:szCs w:val="15"/>
              </w:rPr>
            </w:pPr>
            <w:r>
              <w:rPr>
                <w:rFonts w:cs="Times New Roman"/>
                <w:szCs w:val="15"/>
              </w:rPr>
              <w:t>III</w:t>
            </w:r>
          </w:p>
        </w:tc>
        <w:tc>
          <w:tcPr>
            <w:tcW w:w="1701" w:type="dxa"/>
            <w:vAlign w:val="center"/>
          </w:tcPr>
          <w:p w:rsidR="00525419" w:rsidRDefault="00EE1CF7">
            <w:pPr>
              <w:pStyle w:val="B2"/>
              <w:rPr>
                <w:rFonts w:cs="Times New Roman"/>
                <w:szCs w:val="15"/>
              </w:rPr>
            </w:pPr>
            <w:r>
              <w:rPr>
                <w:rFonts w:cs="Times New Roman"/>
                <w:szCs w:val="15"/>
              </w:rPr>
              <w:t>II</w:t>
            </w:r>
          </w:p>
        </w:tc>
        <w:tc>
          <w:tcPr>
            <w:tcW w:w="1701" w:type="dxa"/>
            <w:vAlign w:val="center"/>
          </w:tcPr>
          <w:p w:rsidR="00525419" w:rsidRDefault="00EE1CF7">
            <w:pPr>
              <w:pStyle w:val="B2"/>
              <w:rPr>
                <w:rFonts w:cs="Times New Roman"/>
                <w:szCs w:val="15"/>
              </w:rPr>
            </w:pPr>
            <w:r>
              <w:rPr>
                <w:rFonts w:cs="Times New Roman"/>
                <w:szCs w:val="15"/>
              </w:rPr>
              <w:t>I</w:t>
            </w:r>
          </w:p>
        </w:tc>
      </w:tr>
      <w:tr w:rsidR="00525419">
        <w:trPr>
          <w:trHeight w:val="397"/>
        </w:trPr>
        <w:tc>
          <w:tcPr>
            <w:tcW w:w="1951" w:type="dxa"/>
            <w:vAlign w:val="center"/>
          </w:tcPr>
          <w:p w:rsidR="00525419" w:rsidRDefault="00EE1CF7">
            <w:pPr>
              <w:pStyle w:val="B2"/>
              <w:rPr>
                <w:rFonts w:cs="Times New Roman"/>
                <w:szCs w:val="15"/>
              </w:rPr>
            </w:pPr>
            <w:r>
              <w:rPr>
                <w:rFonts w:cs="Times New Roman"/>
                <w:szCs w:val="15"/>
              </w:rPr>
              <w:t>环境风险评价等级</w:t>
            </w:r>
          </w:p>
        </w:tc>
        <w:tc>
          <w:tcPr>
            <w:tcW w:w="1452" w:type="dxa"/>
            <w:vAlign w:val="center"/>
          </w:tcPr>
          <w:p w:rsidR="00525419" w:rsidRDefault="00EE1CF7">
            <w:pPr>
              <w:pStyle w:val="B2"/>
              <w:rPr>
                <w:rFonts w:cs="Times New Roman"/>
                <w:szCs w:val="15"/>
              </w:rPr>
            </w:pPr>
            <w:r>
              <w:rPr>
                <w:rFonts w:cs="Times New Roman"/>
                <w:szCs w:val="15"/>
              </w:rPr>
              <w:t>一</w:t>
            </w:r>
          </w:p>
        </w:tc>
        <w:tc>
          <w:tcPr>
            <w:tcW w:w="1700" w:type="dxa"/>
            <w:vAlign w:val="center"/>
          </w:tcPr>
          <w:p w:rsidR="00525419" w:rsidRDefault="00EE1CF7">
            <w:pPr>
              <w:pStyle w:val="B2"/>
              <w:rPr>
                <w:rFonts w:cs="Times New Roman"/>
                <w:szCs w:val="15"/>
              </w:rPr>
            </w:pPr>
            <w:r>
              <w:rPr>
                <w:rFonts w:cs="Times New Roman"/>
                <w:szCs w:val="15"/>
              </w:rPr>
              <w:t>二</w:t>
            </w:r>
          </w:p>
        </w:tc>
        <w:tc>
          <w:tcPr>
            <w:tcW w:w="1701" w:type="dxa"/>
            <w:vAlign w:val="center"/>
          </w:tcPr>
          <w:p w:rsidR="00525419" w:rsidRDefault="00EE1CF7">
            <w:pPr>
              <w:pStyle w:val="B2"/>
              <w:rPr>
                <w:rFonts w:cs="Times New Roman"/>
                <w:szCs w:val="15"/>
              </w:rPr>
            </w:pPr>
            <w:r>
              <w:rPr>
                <w:rFonts w:cs="Times New Roman"/>
                <w:szCs w:val="15"/>
              </w:rPr>
              <w:t>三</w:t>
            </w:r>
          </w:p>
        </w:tc>
        <w:tc>
          <w:tcPr>
            <w:tcW w:w="1701" w:type="dxa"/>
            <w:vAlign w:val="center"/>
          </w:tcPr>
          <w:p w:rsidR="00525419" w:rsidRDefault="00EE1CF7">
            <w:pPr>
              <w:pStyle w:val="B2"/>
              <w:rPr>
                <w:rFonts w:cs="Times New Roman"/>
                <w:szCs w:val="15"/>
              </w:rPr>
            </w:pPr>
            <w:r>
              <w:rPr>
                <w:rFonts w:cs="Times New Roman"/>
                <w:szCs w:val="15"/>
              </w:rPr>
              <w:t>简单分析</w:t>
            </w:r>
          </w:p>
        </w:tc>
      </w:tr>
    </w:tbl>
    <w:p w:rsidR="00525419" w:rsidRDefault="00525419">
      <w:pPr>
        <w:pStyle w:val="B2"/>
        <w:rPr>
          <w:rFonts w:cs="Times New Roman"/>
        </w:rPr>
      </w:pPr>
    </w:p>
    <w:p w:rsidR="00525419" w:rsidRDefault="00EE1CF7">
      <w:pPr>
        <w:pStyle w:val="B1"/>
        <w:ind w:firstLine="480"/>
        <w:rPr>
          <w:rFonts w:cs="Times New Roman"/>
        </w:rPr>
      </w:pPr>
      <w:r>
        <w:rPr>
          <w:rFonts w:cs="Times New Roman"/>
        </w:rPr>
        <w:t>根据</w:t>
      </w:r>
      <w:r>
        <w:rPr>
          <w:rFonts w:cs="Times New Roman"/>
        </w:rPr>
        <w:t>5.6.1</w:t>
      </w:r>
      <w:r>
        <w:rPr>
          <w:rFonts w:cs="Times New Roman"/>
        </w:rPr>
        <w:t>节分析结果显示，本项目的环境风险潜势为</w:t>
      </w:r>
      <w:r>
        <w:rPr>
          <w:rFonts w:cs="Times New Roman"/>
        </w:rPr>
        <w:t>Ⅳ</w:t>
      </w:r>
      <w:r>
        <w:rPr>
          <w:rFonts w:cs="Times New Roman"/>
        </w:rPr>
        <w:t>级，因此本项目的环境风险评价等级为一级。</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5.6.2.2</w:t>
      </w:r>
      <w:r>
        <w:rPr>
          <w:rFonts w:ascii="Times New Roman" w:hAnsi="Times New Roman" w:cs="Times New Roman"/>
          <w:kern w:val="44"/>
          <w:sz w:val="24"/>
          <w:szCs w:val="24"/>
        </w:rPr>
        <w:t>评价范围</w:t>
      </w:r>
    </w:p>
    <w:p w:rsidR="00525419" w:rsidRDefault="00EE1CF7">
      <w:pPr>
        <w:pStyle w:val="B1"/>
        <w:ind w:firstLine="480"/>
        <w:rPr>
          <w:rFonts w:cs="Times New Roman"/>
        </w:rPr>
      </w:pPr>
      <w:r>
        <w:rPr>
          <w:rFonts w:cs="Times New Roman"/>
        </w:rPr>
        <w:t>本项目的环境风险评价等级为一级，项目的环境风险评价范围具体如下：</w:t>
      </w:r>
    </w:p>
    <w:p w:rsidR="00525419" w:rsidRDefault="00EE1CF7">
      <w:pPr>
        <w:pStyle w:val="B1"/>
        <w:ind w:firstLine="480"/>
        <w:rPr>
          <w:rFonts w:cs="Times New Roman"/>
        </w:rPr>
      </w:pPr>
      <w:r>
        <w:rPr>
          <w:rFonts w:cs="Times New Roman"/>
        </w:rPr>
        <w:t>（</w:t>
      </w:r>
      <w:r>
        <w:rPr>
          <w:rFonts w:cs="Times New Roman"/>
        </w:rPr>
        <w:t>1</w:t>
      </w:r>
      <w:r>
        <w:rPr>
          <w:rFonts w:cs="Times New Roman"/>
        </w:rPr>
        <w:t>）大气环境风险评价范围</w:t>
      </w:r>
    </w:p>
    <w:p w:rsidR="00525419" w:rsidRDefault="00EE1CF7">
      <w:pPr>
        <w:pStyle w:val="B1"/>
        <w:ind w:firstLine="480"/>
        <w:rPr>
          <w:rFonts w:cs="Times New Roman"/>
        </w:rPr>
      </w:pPr>
      <w:r>
        <w:rPr>
          <w:rFonts w:cs="Times New Roman"/>
        </w:rPr>
        <w:t>大气评价等级为一级，评价范围以建设项目边界为起点，四周外扩</w:t>
      </w:r>
      <w:r>
        <w:rPr>
          <w:rFonts w:cs="Times New Roman"/>
        </w:rPr>
        <w:t>5km</w:t>
      </w:r>
      <w:r>
        <w:rPr>
          <w:rFonts w:cs="Times New Roman"/>
        </w:rPr>
        <w:t>的矩形范围。</w:t>
      </w:r>
    </w:p>
    <w:p w:rsidR="00525419" w:rsidRDefault="00EE1CF7">
      <w:pPr>
        <w:pStyle w:val="B1"/>
        <w:ind w:firstLine="480"/>
        <w:rPr>
          <w:rFonts w:cs="Times New Roman"/>
        </w:rPr>
      </w:pPr>
      <w:r>
        <w:rPr>
          <w:rFonts w:cs="Times New Roman"/>
        </w:rPr>
        <w:t>（</w:t>
      </w:r>
      <w:r>
        <w:rPr>
          <w:rFonts w:cs="Times New Roman"/>
        </w:rPr>
        <w:t>2</w:t>
      </w:r>
      <w:r>
        <w:rPr>
          <w:rFonts w:cs="Times New Roman"/>
        </w:rPr>
        <w:t>）地表水环境风险评价范围</w:t>
      </w:r>
    </w:p>
    <w:p w:rsidR="00525419" w:rsidRDefault="00EE1CF7">
      <w:pPr>
        <w:pStyle w:val="B1"/>
        <w:ind w:firstLine="480"/>
        <w:rPr>
          <w:rFonts w:cs="Times New Roman"/>
        </w:rPr>
      </w:pPr>
      <w:r>
        <w:rPr>
          <w:rFonts w:cs="Times New Roman"/>
        </w:rPr>
        <w:t>本项目不考虑风险事故泄露危险物质对地表水体的影响，因此不设地表水环境风险评价范围。</w:t>
      </w:r>
    </w:p>
    <w:p w:rsidR="00525419" w:rsidRDefault="00EE1CF7">
      <w:pPr>
        <w:pStyle w:val="B1"/>
        <w:ind w:firstLine="480"/>
        <w:rPr>
          <w:rFonts w:cs="Times New Roman"/>
        </w:rPr>
      </w:pPr>
      <w:r>
        <w:rPr>
          <w:rFonts w:cs="Times New Roman"/>
        </w:rPr>
        <w:t>（</w:t>
      </w:r>
      <w:r>
        <w:rPr>
          <w:rFonts w:cs="Times New Roman"/>
        </w:rPr>
        <w:t>3</w:t>
      </w:r>
      <w:r>
        <w:rPr>
          <w:rFonts w:cs="Times New Roman"/>
        </w:rPr>
        <w:t>）地下水环境风险评价范围</w:t>
      </w:r>
    </w:p>
    <w:p w:rsidR="00525419" w:rsidRDefault="00EE1CF7">
      <w:pPr>
        <w:pStyle w:val="B1"/>
        <w:ind w:firstLine="480"/>
        <w:jc w:val="both"/>
        <w:rPr>
          <w:rFonts w:cs="Times New Roman"/>
        </w:rPr>
      </w:pPr>
      <w:r>
        <w:rPr>
          <w:rFonts w:cs="Times New Roman"/>
        </w:rPr>
        <w:lastRenderedPageBreak/>
        <w:t>地下水评价等级为一级，根据《建设项目环境风险评价技术导则》（</w:t>
      </w:r>
      <w:r>
        <w:rPr>
          <w:rFonts w:cs="Times New Roman"/>
        </w:rPr>
        <w:t>HJ169-2018</w:t>
      </w:r>
      <w:r>
        <w:rPr>
          <w:rFonts w:cs="Times New Roman"/>
        </w:rPr>
        <w:t>）规定，本项目地下水环境风险评价范围：项目区</w:t>
      </w:r>
      <w:r>
        <w:rPr>
          <w:rFonts w:cs="Times New Roman"/>
          <w:lang w:val="zh-CN"/>
        </w:rPr>
        <w:t>上游</w:t>
      </w:r>
      <w:r>
        <w:rPr>
          <w:rFonts w:cs="Times New Roman"/>
        </w:rPr>
        <w:t>方向</w:t>
      </w:r>
      <w:r>
        <w:rPr>
          <w:rFonts w:cs="Times New Roman"/>
        </w:rPr>
        <w:t>1km</w:t>
      </w:r>
      <w:r>
        <w:rPr>
          <w:rFonts w:cs="Times New Roman"/>
        </w:rPr>
        <w:t>、两侧各</w:t>
      </w:r>
      <w:r>
        <w:rPr>
          <w:rFonts w:cs="Times New Roman"/>
        </w:rPr>
        <w:t>2km</w:t>
      </w:r>
      <w:r>
        <w:rPr>
          <w:rFonts w:cs="Times New Roman"/>
        </w:rPr>
        <w:t>、下游</w:t>
      </w:r>
      <w:r>
        <w:rPr>
          <w:rFonts w:cs="Times New Roman"/>
        </w:rPr>
        <w:t>4km</w:t>
      </w:r>
      <w:r>
        <w:rPr>
          <w:rFonts w:cs="Times New Roman"/>
        </w:rPr>
        <w:t>，共计</w:t>
      </w:r>
      <w:r>
        <w:rPr>
          <w:rFonts w:cs="Times New Roman"/>
        </w:rPr>
        <w:t>20km</w:t>
      </w:r>
      <w:r>
        <w:rPr>
          <w:rFonts w:cs="Times New Roman"/>
          <w:vertAlign w:val="superscript"/>
        </w:rPr>
        <w:t>2</w:t>
      </w:r>
      <w:r>
        <w:rPr>
          <w:rFonts w:cs="Times New Roman"/>
        </w:rPr>
        <w:t>范围。</w:t>
      </w:r>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 xml:space="preserve">5.6.3 </w:t>
      </w:r>
      <w:r>
        <w:rPr>
          <w:rFonts w:ascii="Times New Roman" w:eastAsia="华文楷体" w:hAnsi="Times New Roman"/>
        </w:rPr>
        <w:t>风险识别</w:t>
      </w:r>
    </w:p>
    <w:p w:rsidR="00525419" w:rsidRDefault="00EE1CF7">
      <w:pPr>
        <w:pStyle w:val="B1"/>
        <w:ind w:firstLine="480"/>
        <w:rPr>
          <w:rFonts w:cs="Times New Roman"/>
        </w:rPr>
      </w:pPr>
      <w:r>
        <w:rPr>
          <w:rFonts w:cs="Times New Roman"/>
        </w:rPr>
        <w:t>根据《建设项目环境风险评价技术导则》（</w:t>
      </w:r>
      <w:r>
        <w:rPr>
          <w:rFonts w:cs="Times New Roman"/>
        </w:rPr>
        <w:t>HJ169-2018)</w:t>
      </w:r>
      <w:r>
        <w:rPr>
          <w:rFonts w:cs="Times New Roman"/>
        </w:rPr>
        <w:t>相关要求，环境风险识别内容为物质危险性识别（包括主要原辅助材料、燃料、中间产品、副产品、最终产品、污染物、火灾和爆炸伴生</w:t>
      </w:r>
      <w:r>
        <w:rPr>
          <w:rFonts w:cs="Times New Roman"/>
        </w:rPr>
        <w:t>/</w:t>
      </w:r>
      <w:r>
        <w:rPr>
          <w:rFonts w:cs="Times New Roman"/>
        </w:rPr>
        <w:t>次生物等）、生产系统危险性识别（包括主要生产装置、储运设施、公用工程和辅助生产设施，以及环境保护设施等）和危险物质向环境转移的途径识别（包括分析危险物质特性及可能的环境风险类型，识别危险物质影响环境的途径，分析可能影响的环境敏感目标）。</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5.6.3.1</w:t>
      </w:r>
      <w:r>
        <w:rPr>
          <w:rFonts w:ascii="Times New Roman" w:hAnsi="Times New Roman" w:cs="Times New Roman"/>
          <w:kern w:val="44"/>
          <w:sz w:val="24"/>
          <w:szCs w:val="24"/>
        </w:rPr>
        <w:t>物质危险性识别</w:t>
      </w:r>
    </w:p>
    <w:p w:rsidR="00525419" w:rsidRDefault="00EE1CF7">
      <w:pPr>
        <w:pStyle w:val="B1"/>
        <w:ind w:firstLine="480"/>
        <w:rPr>
          <w:rFonts w:cs="Times New Roman"/>
        </w:rPr>
      </w:pPr>
      <w:r>
        <w:rPr>
          <w:rFonts w:cs="Times New Roman"/>
        </w:rPr>
        <w:t>本项目所用原辅料及产品的理化性质和毒理性质见表</w:t>
      </w:r>
      <w:r>
        <w:rPr>
          <w:rFonts w:cs="Times New Roman"/>
        </w:rPr>
        <w:t>5.6-15</w:t>
      </w:r>
      <w:r>
        <w:rPr>
          <w:rFonts w:cs="Times New Roman"/>
        </w:rPr>
        <w:t>。</w:t>
      </w:r>
    </w:p>
    <w:p w:rsidR="00525419" w:rsidRDefault="00EE1CF7">
      <w:pPr>
        <w:adjustRightInd w:val="0"/>
        <w:snapToGrid w:val="0"/>
        <w:spacing w:line="240" w:lineRule="atLeast"/>
        <w:ind w:firstLineChars="700" w:firstLine="1400"/>
        <w:rPr>
          <w:rFonts w:ascii="Times New Roman" w:eastAsia="黑体" w:hAnsi="Times New Roman"/>
          <w:kern w:val="0"/>
          <w:sz w:val="20"/>
          <w:szCs w:val="21"/>
        </w:rPr>
      </w:pPr>
      <w:r>
        <w:rPr>
          <w:rFonts w:ascii="Times New Roman" w:eastAsia="黑体" w:hAnsi="Times New Roman"/>
          <w:kern w:val="0"/>
          <w:sz w:val="20"/>
          <w:szCs w:val="21"/>
        </w:rPr>
        <w:t>表</w:t>
      </w:r>
      <w:r>
        <w:rPr>
          <w:rFonts w:ascii="Times New Roman" w:eastAsia="黑体" w:hAnsi="Times New Roman"/>
          <w:kern w:val="0"/>
          <w:sz w:val="20"/>
          <w:szCs w:val="21"/>
        </w:rPr>
        <w:t>5.6-15</w:t>
      </w:r>
      <w:r>
        <w:rPr>
          <w:rFonts w:ascii="Times New Roman" w:hAnsi="Times New Roman"/>
          <w:kern w:val="0"/>
          <w:sz w:val="24"/>
          <w:szCs w:val="24"/>
        </w:rPr>
        <w:t xml:space="preserve">　　</w:t>
      </w:r>
      <w:r>
        <w:rPr>
          <w:rFonts w:ascii="Times New Roman" w:eastAsia="黑体" w:hAnsi="Times New Roman"/>
          <w:kern w:val="0"/>
          <w:sz w:val="20"/>
          <w:szCs w:val="21"/>
        </w:rPr>
        <w:t>本项目涉及到的主要风险物质的主要性质表</w:t>
      </w:r>
    </w:p>
    <w:tbl>
      <w:tblPr>
        <w:tblW w:w="85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81"/>
        <w:gridCol w:w="1787"/>
        <w:gridCol w:w="2985"/>
        <w:gridCol w:w="925"/>
        <w:gridCol w:w="1297"/>
        <w:gridCol w:w="938"/>
      </w:tblGrid>
      <w:tr w:rsidR="00525419">
        <w:trPr>
          <w:trHeight w:val="543"/>
          <w:tblHeader/>
          <w:jc w:val="center"/>
        </w:trPr>
        <w:tc>
          <w:tcPr>
            <w:tcW w:w="581"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序号</w:t>
            </w:r>
          </w:p>
        </w:tc>
        <w:tc>
          <w:tcPr>
            <w:tcW w:w="1787"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危险化学品</w:t>
            </w:r>
          </w:p>
          <w:p w:rsidR="00525419" w:rsidRDefault="00EE1CF7">
            <w:pPr>
              <w:spacing w:line="240" w:lineRule="exact"/>
              <w:jc w:val="center"/>
              <w:rPr>
                <w:rFonts w:ascii="Times New Roman" w:hAnsi="Times New Roman"/>
                <w:szCs w:val="21"/>
              </w:rPr>
            </w:pPr>
            <w:r>
              <w:rPr>
                <w:rFonts w:ascii="Times New Roman" w:hAnsi="Times New Roman"/>
                <w:szCs w:val="21"/>
              </w:rPr>
              <w:t>名称</w:t>
            </w:r>
          </w:p>
        </w:tc>
        <w:tc>
          <w:tcPr>
            <w:tcW w:w="2985"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危险性类别</w:t>
            </w:r>
          </w:p>
        </w:tc>
        <w:tc>
          <w:tcPr>
            <w:tcW w:w="925"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火灾危</w:t>
            </w:r>
          </w:p>
          <w:p w:rsidR="00525419" w:rsidRDefault="00EE1CF7">
            <w:pPr>
              <w:spacing w:line="240" w:lineRule="exact"/>
              <w:jc w:val="center"/>
              <w:rPr>
                <w:rFonts w:ascii="Times New Roman" w:hAnsi="Times New Roman"/>
                <w:szCs w:val="21"/>
              </w:rPr>
            </w:pPr>
            <w:r>
              <w:rPr>
                <w:rFonts w:ascii="Times New Roman" w:hAnsi="Times New Roman"/>
                <w:szCs w:val="21"/>
              </w:rPr>
              <w:t>险分类</w:t>
            </w:r>
          </w:p>
        </w:tc>
        <w:tc>
          <w:tcPr>
            <w:tcW w:w="1297"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毒性危</w:t>
            </w:r>
          </w:p>
          <w:p w:rsidR="00525419" w:rsidRDefault="00EE1CF7">
            <w:pPr>
              <w:spacing w:line="240" w:lineRule="exact"/>
              <w:jc w:val="center"/>
              <w:rPr>
                <w:rFonts w:ascii="Times New Roman" w:hAnsi="Times New Roman"/>
                <w:szCs w:val="21"/>
              </w:rPr>
            </w:pPr>
            <w:r>
              <w:rPr>
                <w:rFonts w:ascii="Times New Roman" w:hAnsi="Times New Roman"/>
                <w:szCs w:val="21"/>
              </w:rPr>
              <w:t>害程度</w:t>
            </w:r>
          </w:p>
        </w:tc>
        <w:tc>
          <w:tcPr>
            <w:tcW w:w="938"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备注</w:t>
            </w:r>
          </w:p>
        </w:tc>
      </w:tr>
      <w:tr w:rsidR="00525419">
        <w:trPr>
          <w:trHeight w:val="188"/>
          <w:jc w:val="center"/>
        </w:trPr>
        <w:tc>
          <w:tcPr>
            <w:tcW w:w="581" w:type="dxa"/>
            <w:tcBorders>
              <w:tl2br w:val="nil"/>
              <w:tr2bl w:val="nil"/>
            </w:tcBorders>
            <w:vAlign w:val="center"/>
          </w:tcPr>
          <w:p w:rsidR="00525419" w:rsidRDefault="00EE1CF7">
            <w:pPr>
              <w:tabs>
                <w:tab w:val="left" w:pos="222"/>
              </w:tabs>
              <w:spacing w:line="240" w:lineRule="exact"/>
              <w:rPr>
                <w:rFonts w:ascii="Times New Roman" w:hAnsi="Times New Roman"/>
                <w:szCs w:val="21"/>
              </w:rPr>
            </w:pPr>
            <w:r>
              <w:rPr>
                <w:rFonts w:ascii="Times New Roman" w:hAnsi="Times New Roman"/>
                <w:szCs w:val="21"/>
              </w:rPr>
              <w:t>1</w:t>
            </w:r>
          </w:p>
        </w:tc>
        <w:tc>
          <w:tcPr>
            <w:tcW w:w="1787"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氢</w:t>
            </w:r>
          </w:p>
        </w:tc>
        <w:tc>
          <w:tcPr>
            <w:tcW w:w="2985"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第</w:t>
            </w:r>
            <w:r>
              <w:rPr>
                <w:rFonts w:ascii="Times New Roman" w:hAnsi="Times New Roman"/>
                <w:szCs w:val="21"/>
              </w:rPr>
              <w:t>2.1</w:t>
            </w:r>
            <w:r>
              <w:rPr>
                <w:rFonts w:ascii="Times New Roman" w:hAnsi="Times New Roman"/>
                <w:szCs w:val="21"/>
              </w:rPr>
              <w:t>类易燃气体</w:t>
            </w:r>
          </w:p>
        </w:tc>
        <w:tc>
          <w:tcPr>
            <w:tcW w:w="925"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甲</w:t>
            </w:r>
          </w:p>
        </w:tc>
        <w:tc>
          <w:tcPr>
            <w:tcW w:w="1297" w:type="dxa"/>
            <w:tcBorders>
              <w:tl2br w:val="nil"/>
              <w:tr2bl w:val="nil"/>
            </w:tcBorders>
            <w:vAlign w:val="center"/>
          </w:tcPr>
          <w:p w:rsidR="00525419" w:rsidRDefault="00525419">
            <w:pPr>
              <w:spacing w:line="240" w:lineRule="exact"/>
              <w:jc w:val="center"/>
              <w:rPr>
                <w:rFonts w:ascii="Times New Roman" w:hAnsi="Times New Roman"/>
                <w:szCs w:val="21"/>
              </w:rPr>
            </w:pPr>
          </w:p>
        </w:tc>
        <w:tc>
          <w:tcPr>
            <w:tcW w:w="938" w:type="dxa"/>
            <w:tcBorders>
              <w:tl2br w:val="nil"/>
              <w:tr2bl w:val="nil"/>
            </w:tcBorders>
            <w:vAlign w:val="center"/>
          </w:tcPr>
          <w:p w:rsidR="00525419" w:rsidRDefault="00525419">
            <w:pPr>
              <w:spacing w:line="240" w:lineRule="exact"/>
              <w:jc w:val="center"/>
              <w:rPr>
                <w:rFonts w:ascii="Times New Roman" w:hAnsi="Times New Roman"/>
                <w:szCs w:val="21"/>
              </w:rPr>
            </w:pPr>
          </w:p>
        </w:tc>
      </w:tr>
      <w:tr w:rsidR="00525419">
        <w:trPr>
          <w:trHeight w:val="361"/>
          <w:jc w:val="center"/>
        </w:trPr>
        <w:tc>
          <w:tcPr>
            <w:tcW w:w="581" w:type="dxa"/>
            <w:tcBorders>
              <w:tl2br w:val="nil"/>
              <w:tr2bl w:val="nil"/>
            </w:tcBorders>
            <w:vAlign w:val="center"/>
          </w:tcPr>
          <w:p w:rsidR="00525419" w:rsidRDefault="00EE1CF7">
            <w:pPr>
              <w:tabs>
                <w:tab w:val="left" w:pos="222"/>
              </w:tabs>
              <w:spacing w:line="240" w:lineRule="exact"/>
              <w:rPr>
                <w:rFonts w:ascii="Times New Roman" w:hAnsi="Times New Roman"/>
                <w:szCs w:val="21"/>
              </w:rPr>
            </w:pPr>
            <w:r>
              <w:rPr>
                <w:rFonts w:ascii="Times New Roman" w:hAnsi="Times New Roman"/>
                <w:szCs w:val="21"/>
              </w:rPr>
              <w:t>2</w:t>
            </w:r>
          </w:p>
        </w:tc>
        <w:tc>
          <w:tcPr>
            <w:tcW w:w="1787"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一氧化碳</w:t>
            </w:r>
          </w:p>
        </w:tc>
        <w:tc>
          <w:tcPr>
            <w:tcW w:w="2985"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第</w:t>
            </w:r>
            <w:r>
              <w:rPr>
                <w:rFonts w:ascii="Times New Roman" w:hAnsi="Times New Roman"/>
                <w:szCs w:val="21"/>
              </w:rPr>
              <w:t>2.1</w:t>
            </w:r>
            <w:r>
              <w:rPr>
                <w:rFonts w:ascii="Times New Roman" w:hAnsi="Times New Roman"/>
                <w:szCs w:val="21"/>
              </w:rPr>
              <w:t>类易燃气体</w:t>
            </w:r>
          </w:p>
        </w:tc>
        <w:tc>
          <w:tcPr>
            <w:tcW w:w="925"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乙</w:t>
            </w:r>
          </w:p>
        </w:tc>
        <w:tc>
          <w:tcPr>
            <w:tcW w:w="1297"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Ⅱ</w:t>
            </w:r>
          </w:p>
        </w:tc>
        <w:tc>
          <w:tcPr>
            <w:tcW w:w="938"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高毒</w:t>
            </w:r>
          </w:p>
        </w:tc>
      </w:tr>
      <w:tr w:rsidR="00525419">
        <w:trPr>
          <w:trHeight w:val="226"/>
          <w:jc w:val="center"/>
        </w:trPr>
        <w:tc>
          <w:tcPr>
            <w:tcW w:w="581" w:type="dxa"/>
            <w:tcBorders>
              <w:tl2br w:val="nil"/>
              <w:tr2bl w:val="nil"/>
            </w:tcBorders>
            <w:vAlign w:val="center"/>
          </w:tcPr>
          <w:p w:rsidR="00525419" w:rsidRDefault="00EE1CF7">
            <w:pPr>
              <w:tabs>
                <w:tab w:val="left" w:pos="222"/>
              </w:tabs>
              <w:spacing w:line="240" w:lineRule="exact"/>
              <w:rPr>
                <w:rFonts w:ascii="Times New Roman" w:hAnsi="Times New Roman"/>
                <w:szCs w:val="21"/>
              </w:rPr>
            </w:pPr>
            <w:r>
              <w:rPr>
                <w:rFonts w:ascii="Times New Roman" w:hAnsi="Times New Roman"/>
                <w:szCs w:val="21"/>
              </w:rPr>
              <w:t>3</w:t>
            </w:r>
          </w:p>
        </w:tc>
        <w:tc>
          <w:tcPr>
            <w:tcW w:w="1787"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硫化氢</w:t>
            </w:r>
          </w:p>
        </w:tc>
        <w:tc>
          <w:tcPr>
            <w:tcW w:w="2985"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第</w:t>
            </w:r>
            <w:r>
              <w:rPr>
                <w:rFonts w:ascii="Times New Roman" w:hAnsi="Times New Roman"/>
                <w:szCs w:val="21"/>
              </w:rPr>
              <w:t>2.1</w:t>
            </w:r>
            <w:r>
              <w:rPr>
                <w:rFonts w:ascii="Times New Roman" w:hAnsi="Times New Roman"/>
                <w:szCs w:val="21"/>
              </w:rPr>
              <w:t>类易燃气体</w:t>
            </w:r>
          </w:p>
        </w:tc>
        <w:tc>
          <w:tcPr>
            <w:tcW w:w="925"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甲</w:t>
            </w:r>
          </w:p>
        </w:tc>
        <w:tc>
          <w:tcPr>
            <w:tcW w:w="1297"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Ⅱ</w:t>
            </w:r>
          </w:p>
        </w:tc>
        <w:tc>
          <w:tcPr>
            <w:tcW w:w="938"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高毒</w:t>
            </w:r>
          </w:p>
        </w:tc>
      </w:tr>
      <w:tr w:rsidR="00525419">
        <w:trPr>
          <w:trHeight w:val="90"/>
          <w:jc w:val="center"/>
        </w:trPr>
        <w:tc>
          <w:tcPr>
            <w:tcW w:w="581" w:type="dxa"/>
            <w:tcBorders>
              <w:tl2br w:val="nil"/>
              <w:tr2bl w:val="nil"/>
            </w:tcBorders>
            <w:vAlign w:val="center"/>
          </w:tcPr>
          <w:p w:rsidR="00525419" w:rsidRDefault="00EE1CF7">
            <w:pPr>
              <w:tabs>
                <w:tab w:val="left" w:pos="222"/>
              </w:tabs>
              <w:spacing w:line="240" w:lineRule="exact"/>
              <w:rPr>
                <w:rFonts w:ascii="Times New Roman" w:hAnsi="Times New Roman"/>
                <w:szCs w:val="21"/>
              </w:rPr>
            </w:pPr>
            <w:r>
              <w:rPr>
                <w:rFonts w:ascii="Times New Roman" w:hAnsi="Times New Roman"/>
                <w:szCs w:val="21"/>
              </w:rPr>
              <w:t>4</w:t>
            </w:r>
          </w:p>
        </w:tc>
        <w:tc>
          <w:tcPr>
            <w:tcW w:w="1787"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甲烷</w:t>
            </w:r>
          </w:p>
        </w:tc>
        <w:tc>
          <w:tcPr>
            <w:tcW w:w="2985"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第</w:t>
            </w:r>
            <w:r>
              <w:rPr>
                <w:rFonts w:ascii="Times New Roman" w:hAnsi="Times New Roman"/>
                <w:szCs w:val="21"/>
              </w:rPr>
              <w:t>2.1</w:t>
            </w:r>
            <w:r>
              <w:rPr>
                <w:rFonts w:ascii="Times New Roman" w:hAnsi="Times New Roman"/>
                <w:szCs w:val="21"/>
              </w:rPr>
              <w:t>类易燃气体</w:t>
            </w:r>
          </w:p>
        </w:tc>
        <w:tc>
          <w:tcPr>
            <w:tcW w:w="925"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甲</w:t>
            </w:r>
          </w:p>
        </w:tc>
        <w:tc>
          <w:tcPr>
            <w:tcW w:w="1297" w:type="dxa"/>
            <w:tcBorders>
              <w:tl2br w:val="nil"/>
              <w:tr2bl w:val="nil"/>
            </w:tcBorders>
            <w:vAlign w:val="center"/>
          </w:tcPr>
          <w:p w:rsidR="00525419" w:rsidRDefault="00525419">
            <w:pPr>
              <w:spacing w:line="240" w:lineRule="exact"/>
              <w:jc w:val="center"/>
              <w:rPr>
                <w:rFonts w:ascii="Times New Roman" w:hAnsi="Times New Roman"/>
                <w:szCs w:val="21"/>
              </w:rPr>
            </w:pPr>
          </w:p>
        </w:tc>
        <w:tc>
          <w:tcPr>
            <w:tcW w:w="938" w:type="dxa"/>
            <w:tcBorders>
              <w:tl2br w:val="nil"/>
              <w:tr2bl w:val="nil"/>
            </w:tcBorders>
            <w:vAlign w:val="center"/>
          </w:tcPr>
          <w:p w:rsidR="00525419" w:rsidRDefault="00525419">
            <w:pPr>
              <w:spacing w:line="240" w:lineRule="exact"/>
              <w:jc w:val="center"/>
              <w:rPr>
                <w:rFonts w:ascii="Times New Roman" w:hAnsi="Times New Roman"/>
                <w:szCs w:val="21"/>
              </w:rPr>
            </w:pPr>
          </w:p>
        </w:tc>
      </w:tr>
      <w:tr w:rsidR="00525419">
        <w:trPr>
          <w:trHeight w:val="250"/>
          <w:jc w:val="center"/>
        </w:trPr>
        <w:tc>
          <w:tcPr>
            <w:tcW w:w="581" w:type="dxa"/>
            <w:tcBorders>
              <w:tl2br w:val="nil"/>
              <w:tr2bl w:val="nil"/>
            </w:tcBorders>
            <w:vAlign w:val="center"/>
          </w:tcPr>
          <w:p w:rsidR="00525419" w:rsidRDefault="00EE1CF7">
            <w:pPr>
              <w:tabs>
                <w:tab w:val="left" w:pos="222"/>
              </w:tabs>
              <w:spacing w:line="240" w:lineRule="exact"/>
              <w:rPr>
                <w:rFonts w:ascii="Times New Roman" w:hAnsi="Times New Roman"/>
                <w:szCs w:val="21"/>
              </w:rPr>
            </w:pPr>
            <w:r>
              <w:rPr>
                <w:rFonts w:ascii="Times New Roman" w:hAnsi="Times New Roman"/>
                <w:szCs w:val="21"/>
              </w:rPr>
              <w:t>5</w:t>
            </w:r>
          </w:p>
        </w:tc>
        <w:tc>
          <w:tcPr>
            <w:tcW w:w="1787"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液化气</w:t>
            </w:r>
          </w:p>
        </w:tc>
        <w:tc>
          <w:tcPr>
            <w:tcW w:w="2985"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第</w:t>
            </w:r>
            <w:r>
              <w:rPr>
                <w:rFonts w:ascii="Times New Roman" w:hAnsi="Times New Roman"/>
                <w:szCs w:val="21"/>
              </w:rPr>
              <w:t>2.1</w:t>
            </w:r>
            <w:r>
              <w:rPr>
                <w:rFonts w:ascii="Times New Roman" w:hAnsi="Times New Roman"/>
                <w:szCs w:val="21"/>
              </w:rPr>
              <w:t>类易燃气体</w:t>
            </w:r>
          </w:p>
        </w:tc>
        <w:tc>
          <w:tcPr>
            <w:tcW w:w="925"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甲</w:t>
            </w:r>
          </w:p>
        </w:tc>
        <w:tc>
          <w:tcPr>
            <w:tcW w:w="1297" w:type="dxa"/>
            <w:tcBorders>
              <w:tl2br w:val="nil"/>
              <w:tr2bl w:val="nil"/>
            </w:tcBorders>
            <w:vAlign w:val="center"/>
          </w:tcPr>
          <w:p w:rsidR="00525419" w:rsidRDefault="00525419">
            <w:pPr>
              <w:spacing w:line="240" w:lineRule="exact"/>
              <w:jc w:val="center"/>
              <w:rPr>
                <w:rFonts w:ascii="Times New Roman" w:hAnsi="Times New Roman"/>
                <w:szCs w:val="21"/>
              </w:rPr>
            </w:pPr>
          </w:p>
        </w:tc>
        <w:tc>
          <w:tcPr>
            <w:tcW w:w="938" w:type="dxa"/>
            <w:tcBorders>
              <w:tl2br w:val="nil"/>
              <w:tr2bl w:val="nil"/>
            </w:tcBorders>
            <w:vAlign w:val="center"/>
          </w:tcPr>
          <w:p w:rsidR="00525419" w:rsidRDefault="00525419">
            <w:pPr>
              <w:spacing w:line="240" w:lineRule="exact"/>
              <w:jc w:val="center"/>
              <w:rPr>
                <w:rFonts w:ascii="Times New Roman" w:hAnsi="Times New Roman"/>
                <w:szCs w:val="21"/>
              </w:rPr>
            </w:pPr>
          </w:p>
        </w:tc>
      </w:tr>
      <w:tr w:rsidR="00525419">
        <w:trPr>
          <w:trHeight w:val="184"/>
          <w:jc w:val="center"/>
        </w:trPr>
        <w:tc>
          <w:tcPr>
            <w:tcW w:w="581" w:type="dxa"/>
            <w:tcBorders>
              <w:tl2br w:val="nil"/>
              <w:tr2bl w:val="nil"/>
            </w:tcBorders>
            <w:vAlign w:val="center"/>
          </w:tcPr>
          <w:p w:rsidR="00525419" w:rsidRDefault="00EE1CF7">
            <w:pPr>
              <w:tabs>
                <w:tab w:val="left" w:pos="222"/>
              </w:tabs>
              <w:spacing w:line="240" w:lineRule="exact"/>
              <w:rPr>
                <w:rFonts w:ascii="Times New Roman" w:hAnsi="Times New Roman"/>
                <w:szCs w:val="21"/>
              </w:rPr>
            </w:pPr>
            <w:r>
              <w:rPr>
                <w:rFonts w:ascii="Times New Roman" w:hAnsi="Times New Roman"/>
                <w:szCs w:val="21"/>
              </w:rPr>
              <w:t>6</w:t>
            </w:r>
          </w:p>
        </w:tc>
        <w:tc>
          <w:tcPr>
            <w:tcW w:w="1787"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氧</w:t>
            </w:r>
          </w:p>
        </w:tc>
        <w:tc>
          <w:tcPr>
            <w:tcW w:w="2985"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第</w:t>
            </w:r>
            <w:r>
              <w:rPr>
                <w:rFonts w:ascii="Times New Roman" w:hAnsi="Times New Roman"/>
                <w:szCs w:val="21"/>
              </w:rPr>
              <w:t>2.2</w:t>
            </w:r>
            <w:r>
              <w:rPr>
                <w:rFonts w:ascii="Times New Roman" w:hAnsi="Times New Roman"/>
                <w:szCs w:val="21"/>
              </w:rPr>
              <w:t>类不燃气体</w:t>
            </w:r>
          </w:p>
        </w:tc>
        <w:tc>
          <w:tcPr>
            <w:tcW w:w="925"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乙</w:t>
            </w:r>
          </w:p>
        </w:tc>
        <w:tc>
          <w:tcPr>
            <w:tcW w:w="1297" w:type="dxa"/>
            <w:tcBorders>
              <w:tl2br w:val="nil"/>
              <w:tr2bl w:val="nil"/>
            </w:tcBorders>
            <w:vAlign w:val="center"/>
          </w:tcPr>
          <w:p w:rsidR="00525419" w:rsidRDefault="00525419">
            <w:pPr>
              <w:spacing w:line="240" w:lineRule="exact"/>
              <w:jc w:val="center"/>
              <w:rPr>
                <w:rFonts w:ascii="Times New Roman" w:hAnsi="Times New Roman"/>
                <w:szCs w:val="21"/>
              </w:rPr>
            </w:pPr>
          </w:p>
        </w:tc>
        <w:tc>
          <w:tcPr>
            <w:tcW w:w="938" w:type="dxa"/>
            <w:tcBorders>
              <w:tl2br w:val="nil"/>
              <w:tr2bl w:val="nil"/>
            </w:tcBorders>
            <w:vAlign w:val="center"/>
          </w:tcPr>
          <w:p w:rsidR="00525419" w:rsidRDefault="00525419">
            <w:pPr>
              <w:spacing w:line="240" w:lineRule="exact"/>
              <w:jc w:val="center"/>
              <w:rPr>
                <w:rFonts w:ascii="Times New Roman" w:hAnsi="Times New Roman"/>
                <w:szCs w:val="21"/>
              </w:rPr>
            </w:pPr>
          </w:p>
        </w:tc>
      </w:tr>
      <w:tr w:rsidR="00525419">
        <w:trPr>
          <w:trHeight w:val="274"/>
          <w:jc w:val="center"/>
        </w:trPr>
        <w:tc>
          <w:tcPr>
            <w:tcW w:w="581" w:type="dxa"/>
            <w:tcBorders>
              <w:tl2br w:val="nil"/>
              <w:tr2bl w:val="nil"/>
            </w:tcBorders>
            <w:vAlign w:val="center"/>
          </w:tcPr>
          <w:p w:rsidR="00525419" w:rsidRDefault="00EE1CF7">
            <w:pPr>
              <w:tabs>
                <w:tab w:val="left" w:pos="222"/>
              </w:tabs>
              <w:spacing w:line="240" w:lineRule="exact"/>
              <w:rPr>
                <w:rFonts w:ascii="Times New Roman" w:hAnsi="Times New Roman"/>
                <w:szCs w:val="21"/>
              </w:rPr>
            </w:pPr>
            <w:r>
              <w:rPr>
                <w:rFonts w:ascii="Times New Roman" w:hAnsi="Times New Roman"/>
                <w:szCs w:val="21"/>
              </w:rPr>
              <w:t>7</w:t>
            </w:r>
          </w:p>
        </w:tc>
        <w:tc>
          <w:tcPr>
            <w:tcW w:w="1787"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压缩空气</w:t>
            </w:r>
          </w:p>
        </w:tc>
        <w:tc>
          <w:tcPr>
            <w:tcW w:w="2985"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第</w:t>
            </w:r>
            <w:r>
              <w:rPr>
                <w:rFonts w:ascii="Times New Roman" w:hAnsi="Times New Roman"/>
                <w:szCs w:val="21"/>
              </w:rPr>
              <w:t>2.2</w:t>
            </w:r>
            <w:r>
              <w:rPr>
                <w:rFonts w:ascii="Times New Roman" w:hAnsi="Times New Roman"/>
                <w:szCs w:val="21"/>
              </w:rPr>
              <w:t>类不燃气体</w:t>
            </w:r>
          </w:p>
        </w:tc>
        <w:tc>
          <w:tcPr>
            <w:tcW w:w="925" w:type="dxa"/>
            <w:tcBorders>
              <w:tl2br w:val="nil"/>
              <w:tr2bl w:val="nil"/>
            </w:tcBorders>
            <w:vAlign w:val="center"/>
          </w:tcPr>
          <w:p w:rsidR="00525419" w:rsidRDefault="00525419">
            <w:pPr>
              <w:spacing w:line="240" w:lineRule="exact"/>
              <w:jc w:val="center"/>
              <w:rPr>
                <w:rFonts w:ascii="Times New Roman" w:hAnsi="Times New Roman"/>
                <w:szCs w:val="21"/>
              </w:rPr>
            </w:pPr>
          </w:p>
        </w:tc>
        <w:tc>
          <w:tcPr>
            <w:tcW w:w="1297" w:type="dxa"/>
            <w:tcBorders>
              <w:tl2br w:val="nil"/>
              <w:tr2bl w:val="nil"/>
            </w:tcBorders>
            <w:vAlign w:val="center"/>
          </w:tcPr>
          <w:p w:rsidR="00525419" w:rsidRDefault="00525419">
            <w:pPr>
              <w:spacing w:line="240" w:lineRule="exact"/>
              <w:jc w:val="center"/>
              <w:rPr>
                <w:rFonts w:ascii="Times New Roman" w:hAnsi="Times New Roman"/>
                <w:szCs w:val="21"/>
              </w:rPr>
            </w:pPr>
          </w:p>
        </w:tc>
        <w:tc>
          <w:tcPr>
            <w:tcW w:w="938" w:type="dxa"/>
            <w:tcBorders>
              <w:tl2br w:val="nil"/>
              <w:tr2bl w:val="nil"/>
            </w:tcBorders>
            <w:vAlign w:val="center"/>
          </w:tcPr>
          <w:p w:rsidR="00525419" w:rsidRDefault="00525419">
            <w:pPr>
              <w:spacing w:line="240" w:lineRule="exact"/>
              <w:jc w:val="center"/>
              <w:rPr>
                <w:rFonts w:ascii="Times New Roman" w:hAnsi="Times New Roman"/>
                <w:szCs w:val="21"/>
              </w:rPr>
            </w:pPr>
          </w:p>
        </w:tc>
      </w:tr>
      <w:tr w:rsidR="00525419">
        <w:trPr>
          <w:trHeight w:val="222"/>
          <w:jc w:val="center"/>
        </w:trPr>
        <w:tc>
          <w:tcPr>
            <w:tcW w:w="581" w:type="dxa"/>
            <w:tcBorders>
              <w:tl2br w:val="nil"/>
              <w:tr2bl w:val="nil"/>
            </w:tcBorders>
            <w:vAlign w:val="center"/>
          </w:tcPr>
          <w:p w:rsidR="00525419" w:rsidRDefault="00EE1CF7">
            <w:pPr>
              <w:tabs>
                <w:tab w:val="left" w:pos="222"/>
              </w:tabs>
              <w:spacing w:line="240" w:lineRule="exact"/>
              <w:rPr>
                <w:rFonts w:ascii="Times New Roman" w:hAnsi="Times New Roman"/>
                <w:szCs w:val="21"/>
              </w:rPr>
            </w:pPr>
            <w:r>
              <w:rPr>
                <w:rFonts w:ascii="Times New Roman" w:hAnsi="Times New Roman"/>
                <w:szCs w:val="21"/>
              </w:rPr>
              <w:t>8</w:t>
            </w:r>
          </w:p>
        </w:tc>
        <w:tc>
          <w:tcPr>
            <w:tcW w:w="1787"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氮</w:t>
            </w:r>
          </w:p>
        </w:tc>
        <w:tc>
          <w:tcPr>
            <w:tcW w:w="2985"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第</w:t>
            </w:r>
            <w:r>
              <w:rPr>
                <w:rFonts w:ascii="Times New Roman" w:hAnsi="Times New Roman"/>
                <w:szCs w:val="21"/>
              </w:rPr>
              <w:t>2.2</w:t>
            </w:r>
            <w:r>
              <w:rPr>
                <w:rFonts w:ascii="Times New Roman" w:hAnsi="Times New Roman"/>
                <w:szCs w:val="21"/>
              </w:rPr>
              <w:t>类不燃气体</w:t>
            </w:r>
          </w:p>
        </w:tc>
        <w:tc>
          <w:tcPr>
            <w:tcW w:w="925"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戊</w:t>
            </w:r>
          </w:p>
        </w:tc>
        <w:tc>
          <w:tcPr>
            <w:tcW w:w="1297" w:type="dxa"/>
            <w:tcBorders>
              <w:tl2br w:val="nil"/>
              <w:tr2bl w:val="nil"/>
            </w:tcBorders>
            <w:vAlign w:val="center"/>
          </w:tcPr>
          <w:p w:rsidR="00525419" w:rsidRDefault="00525419">
            <w:pPr>
              <w:spacing w:line="240" w:lineRule="exact"/>
              <w:jc w:val="center"/>
              <w:rPr>
                <w:rFonts w:ascii="Times New Roman" w:hAnsi="Times New Roman"/>
                <w:szCs w:val="21"/>
              </w:rPr>
            </w:pPr>
          </w:p>
        </w:tc>
        <w:tc>
          <w:tcPr>
            <w:tcW w:w="938" w:type="dxa"/>
            <w:tcBorders>
              <w:tl2br w:val="nil"/>
              <w:tr2bl w:val="nil"/>
            </w:tcBorders>
            <w:vAlign w:val="center"/>
          </w:tcPr>
          <w:p w:rsidR="00525419" w:rsidRDefault="00525419">
            <w:pPr>
              <w:spacing w:line="240" w:lineRule="exact"/>
              <w:jc w:val="center"/>
              <w:rPr>
                <w:rFonts w:ascii="Times New Roman" w:hAnsi="Times New Roman"/>
                <w:szCs w:val="21"/>
              </w:rPr>
            </w:pPr>
          </w:p>
        </w:tc>
      </w:tr>
      <w:tr w:rsidR="00525419">
        <w:trPr>
          <w:trHeight w:val="361"/>
          <w:jc w:val="center"/>
        </w:trPr>
        <w:tc>
          <w:tcPr>
            <w:tcW w:w="581" w:type="dxa"/>
            <w:tcBorders>
              <w:tl2br w:val="nil"/>
              <w:tr2bl w:val="nil"/>
            </w:tcBorders>
            <w:vAlign w:val="center"/>
          </w:tcPr>
          <w:p w:rsidR="00525419" w:rsidRDefault="00EE1CF7">
            <w:pPr>
              <w:tabs>
                <w:tab w:val="left" w:pos="222"/>
              </w:tabs>
              <w:spacing w:line="240" w:lineRule="exact"/>
              <w:rPr>
                <w:rFonts w:ascii="Times New Roman" w:hAnsi="Times New Roman"/>
                <w:szCs w:val="21"/>
              </w:rPr>
            </w:pPr>
            <w:r>
              <w:rPr>
                <w:rFonts w:ascii="Times New Roman" w:hAnsi="Times New Roman"/>
                <w:szCs w:val="21"/>
              </w:rPr>
              <w:t>9</w:t>
            </w:r>
          </w:p>
        </w:tc>
        <w:tc>
          <w:tcPr>
            <w:tcW w:w="1787"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二氧化碳</w:t>
            </w:r>
          </w:p>
        </w:tc>
        <w:tc>
          <w:tcPr>
            <w:tcW w:w="2985"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第</w:t>
            </w:r>
            <w:r>
              <w:rPr>
                <w:rFonts w:ascii="Times New Roman" w:hAnsi="Times New Roman"/>
                <w:szCs w:val="21"/>
              </w:rPr>
              <w:t>2.2</w:t>
            </w:r>
            <w:r>
              <w:rPr>
                <w:rFonts w:ascii="Times New Roman" w:hAnsi="Times New Roman"/>
                <w:szCs w:val="21"/>
              </w:rPr>
              <w:t>类不燃气体</w:t>
            </w:r>
          </w:p>
        </w:tc>
        <w:tc>
          <w:tcPr>
            <w:tcW w:w="925"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戊</w:t>
            </w:r>
          </w:p>
        </w:tc>
        <w:tc>
          <w:tcPr>
            <w:tcW w:w="1297" w:type="dxa"/>
            <w:tcBorders>
              <w:tl2br w:val="nil"/>
              <w:tr2bl w:val="nil"/>
            </w:tcBorders>
            <w:vAlign w:val="center"/>
          </w:tcPr>
          <w:p w:rsidR="00525419" w:rsidRDefault="00525419">
            <w:pPr>
              <w:spacing w:line="240" w:lineRule="exact"/>
              <w:jc w:val="center"/>
              <w:rPr>
                <w:rFonts w:ascii="Times New Roman" w:hAnsi="Times New Roman"/>
                <w:szCs w:val="21"/>
              </w:rPr>
            </w:pPr>
          </w:p>
        </w:tc>
        <w:tc>
          <w:tcPr>
            <w:tcW w:w="938" w:type="dxa"/>
            <w:tcBorders>
              <w:tl2br w:val="nil"/>
              <w:tr2bl w:val="nil"/>
            </w:tcBorders>
            <w:vAlign w:val="center"/>
          </w:tcPr>
          <w:p w:rsidR="00525419" w:rsidRDefault="00525419">
            <w:pPr>
              <w:spacing w:line="240" w:lineRule="exact"/>
              <w:jc w:val="center"/>
              <w:rPr>
                <w:rFonts w:ascii="Times New Roman" w:hAnsi="Times New Roman"/>
                <w:szCs w:val="21"/>
              </w:rPr>
            </w:pPr>
          </w:p>
        </w:tc>
      </w:tr>
      <w:tr w:rsidR="00525419">
        <w:trPr>
          <w:trHeight w:val="361"/>
          <w:jc w:val="center"/>
        </w:trPr>
        <w:tc>
          <w:tcPr>
            <w:tcW w:w="581" w:type="dxa"/>
            <w:tcBorders>
              <w:tl2br w:val="nil"/>
              <w:tr2bl w:val="nil"/>
            </w:tcBorders>
            <w:vAlign w:val="center"/>
          </w:tcPr>
          <w:p w:rsidR="00525419" w:rsidRDefault="00EE1CF7">
            <w:pPr>
              <w:tabs>
                <w:tab w:val="left" w:pos="222"/>
              </w:tabs>
              <w:spacing w:line="240" w:lineRule="exact"/>
              <w:rPr>
                <w:rFonts w:ascii="Times New Roman" w:hAnsi="Times New Roman"/>
                <w:szCs w:val="21"/>
              </w:rPr>
            </w:pPr>
            <w:r>
              <w:rPr>
                <w:rFonts w:ascii="Times New Roman" w:hAnsi="Times New Roman"/>
                <w:szCs w:val="21"/>
              </w:rPr>
              <w:t>10</w:t>
            </w:r>
          </w:p>
        </w:tc>
        <w:tc>
          <w:tcPr>
            <w:tcW w:w="1787"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氨</w:t>
            </w:r>
          </w:p>
        </w:tc>
        <w:tc>
          <w:tcPr>
            <w:tcW w:w="2985"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第</w:t>
            </w:r>
            <w:r>
              <w:rPr>
                <w:rFonts w:ascii="Times New Roman" w:hAnsi="Times New Roman"/>
                <w:szCs w:val="21"/>
              </w:rPr>
              <w:t>2.3</w:t>
            </w:r>
            <w:r>
              <w:rPr>
                <w:rFonts w:ascii="Times New Roman" w:hAnsi="Times New Roman"/>
                <w:szCs w:val="21"/>
              </w:rPr>
              <w:t>类有毒气体</w:t>
            </w:r>
          </w:p>
        </w:tc>
        <w:tc>
          <w:tcPr>
            <w:tcW w:w="925"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乙</w:t>
            </w:r>
          </w:p>
        </w:tc>
        <w:tc>
          <w:tcPr>
            <w:tcW w:w="1297"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Ⅱ</w:t>
            </w:r>
          </w:p>
        </w:tc>
        <w:tc>
          <w:tcPr>
            <w:tcW w:w="938"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高毒</w:t>
            </w:r>
          </w:p>
        </w:tc>
      </w:tr>
      <w:tr w:rsidR="00525419">
        <w:trPr>
          <w:trHeight w:val="180"/>
          <w:jc w:val="center"/>
        </w:trPr>
        <w:tc>
          <w:tcPr>
            <w:tcW w:w="581" w:type="dxa"/>
            <w:tcBorders>
              <w:tl2br w:val="nil"/>
              <w:tr2bl w:val="nil"/>
            </w:tcBorders>
            <w:vAlign w:val="center"/>
          </w:tcPr>
          <w:p w:rsidR="00525419" w:rsidRDefault="00EE1CF7">
            <w:pPr>
              <w:tabs>
                <w:tab w:val="left" w:pos="222"/>
              </w:tabs>
              <w:spacing w:line="240" w:lineRule="exact"/>
              <w:rPr>
                <w:rFonts w:ascii="Times New Roman" w:hAnsi="Times New Roman"/>
                <w:szCs w:val="21"/>
              </w:rPr>
            </w:pPr>
            <w:r>
              <w:rPr>
                <w:rFonts w:ascii="Times New Roman" w:hAnsi="Times New Roman"/>
                <w:szCs w:val="21"/>
              </w:rPr>
              <w:t>11</w:t>
            </w:r>
          </w:p>
        </w:tc>
        <w:tc>
          <w:tcPr>
            <w:tcW w:w="1787"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二氧化硫</w:t>
            </w:r>
          </w:p>
        </w:tc>
        <w:tc>
          <w:tcPr>
            <w:tcW w:w="2985"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第</w:t>
            </w:r>
            <w:r>
              <w:rPr>
                <w:rFonts w:ascii="Times New Roman" w:hAnsi="Times New Roman"/>
                <w:szCs w:val="21"/>
              </w:rPr>
              <w:t>2.3</w:t>
            </w:r>
            <w:r>
              <w:rPr>
                <w:rFonts w:ascii="Times New Roman" w:hAnsi="Times New Roman"/>
                <w:szCs w:val="21"/>
              </w:rPr>
              <w:t>类有毒气体</w:t>
            </w:r>
          </w:p>
        </w:tc>
        <w:tc>
          <w:tcPr>
            <w:tcW w:w="925"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戊</w:t>
            </w:r>
          </w:p>
        </w:tc>
        <w:tc>
          <w:tcPr>
            <w:tcW w:w="1297" w:type="dxa"/>
            <w:tcBorders>
              <w:tl2br w:val="nil"/>
              <w:tr2bl w:val="nil"/>
            </w:tcBorders>
            <w:vAlign w:val="center"/>
          </w:tcPr>
          <w:p w:rsidR="00525419" w:rsidRDefault="00525419">
            <w:pPr>
              <w:spacing w:line="240" w:lineRule="exact"/>
              <w:jc w:val="center"/>
              <w:rPr>
                <w:rFonts w:ascii="Times New Roman" w:hAnsi="Times New Roman"/>
                <w:szCs w:val="21"/>
              </w:rPr>
            </w:pPr>
          </w:p>
        </w:tc>
        <w:tc>
          <w:tcPr>
            <w:tcW w:w="938" w:type="dxa"/>
            <w:tcBorders>
              <w:tl2br w:val="nil"/>
              <w:tr2bl w:val="nil"/>
            </w:tcBorders>
            <w:vAlign w:val="center"/>
          </w:tcPr>
          <w:p w:rsidR="00525419" w:rsidRDefault="00525419">
            <w:pPr>
              <w:spacing w:line="240" w:lineRule="exact"/>
              <w:jc w:val="center"/>
              <w:rPr>
                <w:rFonts w:ascii="Times New Roman" w:hAnsi="Times New Roman"/>
                <w:szCs w:val="21"/>
              </w:rPr>
            </w:pPr>
          </w:p>
        </w:tc>
      </w:tr>
      <w:tr w:rsidR="00525419">
        <w:trPr>
          <w:trHeight w:val="65"/>
          <w:jc w:val="center"/>
        </w:trPr>
        <w:tc>
          <w:tcPr>
            <w:tcW w:w="581" w:type="dxa"/>
            <w:tcBorders>
              <w:tl2br w:val="nil"/>
              <w:tr2bl w:val="nil"/>
            </w:tcBorders>
            <w:vAlign w:val="center"/>
          </w:tcPr>
          <w:p w:rsidR="00525419" w:rsidRDefault="00EE1CF7">
            <w:pPr>
              <w:tabs>
                <w:tab w:val="left" w:pos="222"/>
              </w:tabs>
              <w:spacing w:line="240" w:lineRule="exact"/>
              <w:rPr>
                <w:rFonts w:ascii="Times New Roman" w:hAnsi="Times New Roman"/>
                <w:szCs w:val="21"/>
              </w:rPr>
            </w:pPr>
            <w:r>
              <w:rPr>
                <w:rFonts w:ascii="Times New Roman" w:hAnsi="Times New Roman"/>
                <w:szCs w:val="21"/>
              </w:rPr>
              <w:t>12</w:t>
            </w:r>
          </w:p>
        </w:tc>
        <w:tc>
          <w:tcPr>
            <w:tcW w:w="1787"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煤焦油</w:t>
            </w:r>
          </w:p>
        </w:tc>
        <w:tc>
          <w:tcPr>
            <w:tcW w:w="2985"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第</w:t>
            </w:r>
            <w:r>
              <w:rPr>
                <w:rFonts w:ascii="Times New Roman" w:hAnsi="Times New Roman"/>
                <w:szCs w:val="21"/>
              </w:rPr>
              <w:t>3.2</w:t>
            </w:r>
            <w:r>
              <w:rPr>
                <w:rFonts w:ascii="Times New Roman" w:hAnsi="Times New Roman"/>
                <w:szCs w:val="21"/>
              </w:rPr>
              <w:t>类中闪点液体</w:t>
            </w:r>
          </w:p>
        </w:tc>
        <w:tc>
          <w:tcPr>
            <w:tcW w:w="925"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丙</w:t>
            </w:r>
          </w:p>
        </w:tc>
        <w:tc>
          <w:tcPr>
            <w:tcW w:w="1297"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Ⅲ</w:t>
            </w:r>
          </w:p>
        </w:tc>
        <w:tc>
          <w:tcPr>
            <w:tcW w:w="938" w:type="dxa"/>
            <w:tcBorders>
              <w:tl2br w:val="nil"/>
              <w:tr2bl w:val="nil"/>
            </w:tcBorders>
            <w:vAlign w:val="center"/>
          </w:tcPr>
          <w:p w:rsidR="00525419" w:rsidRDefault="00525419">
            <w:pPr>
              <w:spacing w:line="240" w:lineRule="exact"/>
              <w:jc w:val="center"/>
              <w:rPr>
                <w:rFonts w:ascii="Times New Roman" w:hAnsi="Times New Roman"/>
                <w:szCs w:val="21"/>
              </w:rPr>
            </w:pPr>
          </w:p>
        </w:tc>
      </w:tr>
      <w:tr w:rsidR="00525419">
        <w:trPr>
          <w:trHeight w:val="215"/>
          <w:jc w:val="center"/>
        </w:trPr>
        <w:tc>
          <w:tcPr>
            <w:tcW w:w="581" w:type="dxa"/>
            <w:tcBorders>
              <w:tl2br w:val="nil"/>
              <w:tr2bl w:val="nil"/>
            </w:tcBorders>
            <w:vAlign w:val="center"/>
          </w:tcPr>
          <w:p w:rsidR="00525419" w:rsidRDefault="00EE1CF7">
            <w:pPr>
              <w:tabs>
                <w:tab w:val="left" w:pos="222"/>
              </w:tabs>
              <w:spacing w:line="240" w:lineRule="exact"/>
              <w:rPr>
                <w:rFonts w:ascii="Times New Roman" w:hAnsi="Times New Roman"/>
                <w:szCs w:val="21"/>
              </w:rPr>
            </w:pPr>
            <w:r>
              <w:rPr>
                <w:rFonts w:ascii="Times New Roman" w:hAnsi="Times New Roman"/>
                <w:szCs w:val="21"/>
              </w:rPr>
              <w:t>13</w:t>
            </w:r>
          </w:p>
        </w:tc>
        <w:tc>
          <w:tcPr>
            <w:tcW w:w="1787"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硫磺</w:t>
            </w:r>
          </w:p>
        </w:tc>
        <w:tc>
          <w:tcPr>
            <w:tcW w:w="2985"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第</w:t>
            </w:r>
            <w:r>
              <w:rPr>
                <w:rFonts w:ascii="Times New Roman" w:hAnsi="Times New Roman"/>
                <w:szCs w:val="21"/>
              </w:rPr>
              <w:t>4.1</w:t>
            </w:r>
            <w:r>
              <w:rPr>
                <w:rFonts w:ascii="Times New Roman" w:hAnsi="Times New Roman"/>
                <w:szCs w:val="21"/>
              </w:rPr>
              <w:t>类易燃固体</w:t>
            </w:r>
          </w:p>
        </w:tc>
        <w:tc>
          <w:tcPr>
            <w:tcW w:w="925"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乙</w:t>
            </w:r>
          </w:p>
        </w:tc>
        <w:tc>
          <w:tcPr>
            <w:tcW w:w="1297"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Ⅲ</w:t>
            </w:r>
          </w:p>
        </w:tc>
        <w:tc>
          <w:tcPr>
            <w:tcW w:w="938" w:type="dxa"/>
            <w:tcBorders>
              <w:tl2br w:val="nil"/>
              <w:tr2bl w:val="nil"/>
            </w:tcBorders>
            <w:vAlign w:val="center"/>
          </w:tcPr>
          <w:p w:rsidR="00525419" w:rsidRDefault="00525419">
            <w:pPr>
              <w:spacing w:line="240" w:lineRule="exact"/>
              <w:jc w:val="center"/>
              <w:rPr>
                <w:rFonts w:ascii="Times New Roman" w:hAnsi="Times New Roman"/>
                <w:szCs w:val="21"/>
              </w:rPr>
            </w:pPr>
          </w:p>
        </w:tc>
      </w:tr>
      <w:tr w:rsidR="00525419">
        <w:trPr>
          <w:trHeight w:val="361"/>
          <w:jc w:val="center"/>
        </w:trPr>
        <w:tc>
          <w:tcPr>
            <w:tcW w:w="581" w:type="dxa"/>
            <w:tcBorders>
              <w:tl2br w:val="nil"/>
              <w:tr2bl w:val="nil"/>
            </w:tcBorders>
            <w:vAlign w:val="center"/>
          </w:tcPr>
          <w:p w:rsidR="00525419" w:rsidRDefault="00EE1CF7">
            <w:pPr>
              <w:tabs>
                <w:tab w:val="left" w:pos="222"/>
              </w:tabs>
              <w:spacing w:line="240" w:lineRule="exact"/>
              <w:rPr>
                <w:rFonts w:ascii="Times New Roman" w:hAnsi="Times New Roman"/>
                <w:szCs w:val="21"/>
              </w:rPr>
            </w:pPr>
            <w:r>
              <w:rPr>
                <w:rFonts w:ascii="Times New Roman" w:hAnsi="Times New Roman"/>
                <w:szCs w:val="21"/>
              </w:rPr>
              <w:t>14</w:t>
            </w:r>
          </w:p>
        </w:tc>
        <w:tc>
          <w:tcPr>
            <w:tcW w:w="1787" w:type="dxa"/>
            <w:tcBorders>
              <w:tl2br w:val="nil"/>
              <w:tr2bl w:val="nil"/>
            </w:tcBorders>
            <w:vAlign w:val="center"/>
          </w:tcPr>
          <w:p w:rsidR="00525419" w:rsidRDefault="00EE1CF7">
            <w:pPr>
              <w:spacing w:line="240" w:lineRule="exact"/>
              <w:rPr>
                <w:rFonts w:ascii="Times New Roman" w:hAnsi="Times New Roman"/>
                <w:szCs w:val="21"/>
              </w:rPr>
            </w:pPr>
            <w:r>
              <w:rPr>
                <w:rFonts w:ascii="Times New Roman" w:hAnsi="Times New Roman"/>
                <w:szCs w:val="21"/>
              </w:rPr>
              <w:t>氢氧化钠</w:t>
            </w:r>
          </w:p>
        </w:tc>
        <w:tc>
          <w:tcPr>
            <w:tcW w:w="2985"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第</w:t>
            </w:r>
            <w:r>
              <w:rPr>
                <w:rFonts w:ascii="Times New Roman" w:hAnsi="Times New Roman"/>
                <w:szCs w:val="21"/>
              </w:rPr>
              <w:t>8.2</w:t>
            </w:r>
            <w:r>
              <w:rPr>
                <w:rFonts w:ascii="Times New Roman" w:hAnsi="Times New Roman"/>
                <w:szCs w:val="21"/>
              </w:rPr>
              <w:t>类碱性腐蚀品</w:t>
            </w:r>
          </w:p>
        </w:tc>
        <w:tc>
          <w:tcPr>
            <w:tcW w:w="925" w:type="dxa"/>
            <w:tcBorders>
              <w:tl2br w:val="nil"/>
              <w:tr2bl w:val="nil"/>
            </w:tcBorders>
            <w:vAlign w:val="center"/>
          </w:tcPr>
          <w:p w:rsidR="00525419" w:rsidRDefault="00525419">
            <w:pPr>
              <w:spacing w:line="240" w:lineRule="exact"/>
              <w:jc w:val="center"/>
              <w:rPr>
                <w:rFonts w:ascii="Times New Roman" w:hAnsi="Times New Roman"/>
                <w:szCs w:val="21"/>
              </w:rPr>
            </w:pPr>
          </w:p>
        </w:tc>
        <w:tc>
          <w:tcPr>
            <w:tcW w:w="1297" w:type="dxa"/>
            <w:tcBorders>
              <w:tl2br w:val="nil"/>
              <w:tr2bl w:val="nil"/>
            </w:tcBorders>
            <w:vAlign w:val="center"/>
          </w:tcPr>
          <w:p w:rsidR="00525419" w:rsidRDefault="00EE1CF7">
            <w:pPr>
              <w:spacing w:line="240" w:lineRule="exact"/>
              <w:jc w:val="center"/>
              <w:rPr>
                <w:rFonts w:ascii="Times New Roman" w:hAnsi="Times New Roman"/>
                <w:szCs w:val="21"/>
              </w:rPr>
            </w:pPr>
            <w:r>
              <w:rPr>
                <w:rFonts w:ascii="Times New Roman" w:hAnsi="Times New Roman"/>
                <w:szCs w:val="21"/>
              </w:rPr>
              <w:t>Ⅳ</w:t>
            </w:r>
          </w:p>
        </w:tc>
        <w:tc>
          <w:tcPr>
            <w:tcW w:w="938" w:type="dxa"/>
            <w:tcBorders>
              <w:tl2br w:val="nil"/>
              <w:tr2bl w:val="nil"/>
            </w:tcBorders>
            <w:vAlign w:val="center"/>
          </w:tcPr>
          <w:p w:rsidR="00525419" w:rsidRDefault="00525419">
            <w:pPr>
              <w:spacing w:line="240" w:lineRule="exact"/>
              <w:jc w:val="center"/>
              <w:rPr>
                <w:rFonts w:ascii="Times New Roman" w:hAnsi="Times New Roman"/>
                <w:szCs w:val="21"/>
              </w:rPr>
            </w:pPr>
          </w:p>
        </w:tc>
      </w:tr>
    </w:tbl>
    <w:p w:rsidR="00525419" w:rsidRDefault="00EE1CF7">
      <w:pPr>
        <w:autoSpaceDE w:val="0"/>
        <w:autoSpaceDN w:val="0"/>
        <w:adjustRightInd w:val="0"/>
        <w:spacing w:line="360" w:lineRule="auto"/>
        <w:ind w:firstLineChars="200" w:firstLine="480"/>
        <w:rPr>
          <w:rFonts w:ascii="Times New Roman" w:hAnsi="Times New Roman"/>
          <w:sz w:val="24"/>
          <w:szCs w:val="24"/>
          <w:lang w:val="zh-CN"/>
        </w:rPr>
      </w:pPr>
      <w:r>
        <w:rPr>
          <w:rFonts w:ascii="Times New Roman" w:hAnsi="Times New Roman"/>
          <w:sz w:val="24"/>
          <w:szCs w:val="24"/>
          <w:lang w:val="zh-CN"/>
        </w:rPr>
        <w:t>主要危险物质危险类别及理化特性见</w:t>
      </w:r>
      <w:r>
        <w:rPr>
          <w:rFonts w:ascii="Times New Roman" w:hAnsi="Times New Roman"/>
          <w:sz w:val="24"/>
          <w:szCs w:val="24"/>
        </w:rPr>
        <w:t>5.6-16</w:t>
      </w:r>
      <w:r>
        <w:rPr>
          <w:rFonts w:ascii="Times New Roman" w:hAnsi="Times New Roman"/>
          <w:sz w:val="24"/>
          <w:szCs w:val="24"/>
          <w:lang w:val="zh-CN"/>
        </w:rPr>
        <w:t>。</w:t>
      </w:r>
    </w:p>
    <w:p w:rsidR="00525419" w:rsidRDefault="00EE1CF7">
      <w:pPr>
        <w:adjustRightInd w:val="0"/>
        <w:snapToGrid w:val="0"/>
        <w:ind w:firstLineChars="200" w:firstLine="420"/>
        <w:jc w:val="center"/>
        <w:rPr>
          <w:rFonts w:ascii="Times New Roman" w:eastAsia="黑体" w:hAnsi="Times New Roman"/>
          <w:kern w:val="0"/>
          <w:szCs w:val="21"/>
        </w:rPr>
      </w:pPr>
      <w:r>
        <w:rPr>
          <w:rFonts w:ascii="Times New Roman" w:eastAsia="黑体" w:hAnsi="Times New Roman"/>
          <w:kern w:val="0"/>
          <w:szCs w:val="21"/>
        </w:rPr>
        <w:t>表</w:t>
      </w:r>
      <w:r>
        <w:rPr>
          <w:rFonts w:ascii="Times New Roman" w:eastAsia="黑体" w:hAnsi="Times New Roman"/>
          <w:kern w:val="0"/>
          <w:szCs w:val="21"/>
        </w:rPr>
        <w:t xml:space="preserve">5.6-16   </w:t>
      </w:r>
      <w:r>
        <w:rPr>
          <w:rFonts w:ascii="Times New Roman" w:eastAsia="黑体" w:hAnsi="Times New Roman"/>
          <w:kern w:val="0"/>
          <w:szCs w:val="21"/>
        </w:rPr>
        <w:t>主要危险物质危险类别及理化特性表</w:t>
      </w:r>
    </w:p>
    <w:tbl>
      <w:tblPr>
        <w:tblW w:w="86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719"/>
        <w:gridCol w:w="1259"/>
        <w:gridCol w:w="1655"/>
        <w:gridCol w:w="2252"/>
        <w:gridCol w:w="1725"/>
      </w:tblGrid>
      <w:tr w:rsidR="00525419">
        <w:tc>
          <w:tcPr>
            <w:tcW w:w="1719"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物质名称</w:t>
            </w:r>
          </w:p>
        </w:tc>
        <w:tc>
          <w:tcPr>
            <w:tcW w:w="1259"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闪点</w:t>
            </w:r>
            <w:r>
              <w:rPr>
                <w:rFonts w:ascii="Times New Roman" w:hAnsi="Times New Roman"/>
                <w:szCs w:val="21"/>
              </w:rPr>
              <w:t>℃</w:t>
            </w:r>
          </w:p>
        </w:tc>
        <w:tc>
          <w:tcPr>
            <w:tcW w:w="1655"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沸点</w:t>
            </w:r>
            <w:r>
              <w:rPr>
                <w:rFonts w:ascii="Times New Roman" w:hAnsi="Times New Roman"/>
                <w:szCs w:val="21"/>
              </w:rPr>
              <w:t>℃</w:t>
            </w:r>
          </w:p>
        </w:tc>
        <w:tc>
          <w:tcPr>
            <w:tcW w:w="2252"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LD</w:t>
            </w:r>
            <w:r>
              <w:rPr>
                <w:rFonts w:ascii="Times New Roman" w:hAnsi="Times New Roman"/>
                <w:szCs w:val="21"/>
                <w:vertAlign w:val="subscript"/>
              </w:rPr>
              <w:t>50</w:t>
            </w:r>
            <w:r>
              <w:rPr>
                <w:rFonts w:ascii="Times New Roman" w:hAnsi="Times New Roman"/>
                <w:szCs w:val="21"/>
              </w:rPr>
              <w:t>（</w:t>
            </w:r>
            <w:r>
              <w:rPr>
                <w:rFonts w:ascii="Times New Roman" w:hAnsi="Times New Roman"/>
                <w:szCs w:val="21"/>
              </w:rPr>
              <w:t>mg/kg</w:t>
            </w:r>
            <w:r>
              <w:rPr>
                <w:rFonts w:ascii="Times New Roman" w:hAnsi="Times New Roman"/>
                <w:szCs w:val="21"/>
              </w:rPr>
              <w:t>）</w:t>
            </w:r>
          </w:p>
        </w:tc>
        <w:tc>
          <w:tcPr>
            <w:tcW w:w="1725"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LC</w:t>
            </w:r>
            <w:r>
              <w:rPr>
                <w:rFonts w:ascii="Times New Roman" w:hAnsi="Times New Roman"/>
                <w:szCs w:val="21"/>
                <w:vertAlign w:val="subscript"/>
              </w:rPr>
              <w:t>50</w:t>
            </w:r>
            <w:r>
              <w:rPr>
                <w:rFonts w:ascii="Times New Roman" w:hAnsi="Times New Roman"/>
                <w:szCs w:val="21"/>
              </w:rPr>
              <w:t>（</w:t>
            </w:r>
            <w:r>
              <w:rPr>
                <w:rFonts w:ascii="Times New Roman" w:hAnsi="Times New Roman"/>
                <w:szCs w:val="21"/>
              </w:rPr>
              <w:t>mg/m</w:t>
            </w:r>
            <w:r>
              <w:rPr>
                <w:rFonts w:ascii="Times New Roman" w:hAnsi="Times New Roman"/>
                <w:szCs w:val="21"/>
                <w:vertAlign w:val="superscript"/>
              </w:rPr>
              <w:t>3</w:t>
            </w:r>
            <w:r>
              <w:rPr>
                <w:rFonts w:ascii="Times New Roman" w:hAnsi="Times New Roman"/>
                <w:szCs w:val="21"/>
              </w:rPr>
              <w:t>）</w:t>
            </w:r>
          </w:p>
        </w:tc>
      </w:tr>
      <w:tr w:rsidR="00525419">
        <w:tc>
          <w:tcPr>
            <w:tcW w:w="1719"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柴油</w:t>
            </w:r>
          </w:p>
        </w:tc>
        <w:tc>
          <w:tcPr>
            <w:tcW w:w="1259"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40</w:t>
            </w:r>
          </w:p>
        </w:tc>
        <w:tc>
          <w:tcPr>
            <w:tcW w:w="1655"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180-370℃</w:t>
            </w:r>
          </w:p>
        </w:tc>
        <w:tc>
          <w:tcPr>
            <w:tcW w:w="2252"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7500</w:t>
            </w:r>
            <w:r>
              <w:rPr>
                <w:rFonts w:ascii="Times New Roman" w:hAnsi="Times New Roman"/>
                <w:szCs w:val="21"/>
              </w:rPr>
              <w:t>（大鼠经口）</w:t>
            </w:r>
          </w:p>
        </w:tc>
        <w:tc>
          <w:tcPr>
            <w:tcW w:w="1725"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w:t>
            </w:r>
          </w:p>
        </w:tc>
      </w:tr>
      <w:tr w:rsidR="00525419">
        <w:trPr>
          <w:trHeight w:val="297"/>
        </w:trPr>
        <w:tc>
          <w:tcPr>
            <w:tcW w:w="1719"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石脑油</w:t>
            </w:r>
          </w:p>
        </w:tc>
        <w:tc>
          <w:tcPr>
            <w:tcW w:w="1259"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-2</w:t>
            </w:r>
          </w:p>
        </w:tc>
        <w:tc>
          <w:tcPr>
            <w:tcW w:w="1655"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20-160</w:t>
            </w:r>
          </w:p>
        </w:tc>
        <w:tc>
          <w:tcPr>
            <w:tcW w:w="2252"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w:t>
            </w:r>
          </w:p>
        </w:tc>
        <w:tc>
          <w:tcPr>
            <w:tcW w:w="1725"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16000</w:t>
            </w:r>
            <w:r>
              <w:rPr>
                <w:rFonts w:ascii="Times New Roman" w:hAnsi="Times New Roman"/>
                <w:szCs w:val="21"/>
              </w:rPr>
              <w:t>（小鼠吸入）</w:t>
            </w:r>
          </w:p>
        </w:tc>
      </w:tr>
      <w:tr w:rsidR="00525419">
        <w:tc>
          <w:tcPr>
            <w:tcW w:w="1719"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氢气</w:t>
            </w:r>
          </w:p>
        </w:tc>
        <w:tc>
          <w:tcPr>
            <w:tcW w:w="1259"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w:t>
            </w:r>
          </w:p>
        </w:tc>
        <w:tc>
          <w:tcPr>
            <w:tcW w:w="1655"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-252.8</w:t>
            </w:r>
          </w:p>
        </w:tc>
        <w:tc>
          <w:tcPr>
            <w:tcW w:w="2252"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w:t>
            </w:r>
          </w:p>
        </w:tc>
        <w:tc>
          <w:tcPr>
            <w:tcW w:w="1725"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w:t>
            </w:r>
          </w:p>
        </w:tc>
      </w:tr>
      <w:tr w:rsidR="00525419">
        <w:tc>
          <w:tcPr>
            <w:tcW w:w="1719"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lastRenderedPageBreak/>
              <w:t>脱硫瓦斯</w:t>
            </w:r>
          </w:p>
        </w:tc>
        <w:tc>
          <w:tcPr>
            <w:tcW w:w="1259"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&lt;-188</w:t>
            </w:r>
          </w:p>
        </w:tc>
        <w:tc>
          <w:tcPr>
            <w:tcW w:w="1655"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w:t>
            </w:r>
          </w:p>
        </w:tc>
        <w:tc>
          <w:tcPr>
            <w:tcW w:w="2252"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w:t>
            </w:r>
          </w:p>
        </w:tc>
        <w:tc>
          <w:tcPr>
            <w:tcW w:w="1725"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w:t>
            </w:r>
          </w:p>
        </w:tc>
      </w:tr>
      <w:tr w:rsidR="00525419">
        <w:tc>
          <w:tcPr>
            <w:tcW w:w="1719"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解析气</w:t>
            </w:r>
          </w:p>
        </w:tc>
        <w:tc>
          <w:tcPr>
            <w:tcW w:w="1259"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&lt;-188</w:t>
            </w:r>
          </w:p>
        </w:tc>
        <w:tc>
          <w:tcPr>
            <w:tcW w:w="1655"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w:t>
            </w:r>
          </w:p>
        </w:tc>
        <w:tc>
          <w:tcPr>
            <w:tcW w:w="2252"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w:t>
            </w:r>
          </w:p>
        </w:tc>
        <w:tc>
          <w:tcPr>
            <w:tcW w:w="1725"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w:t>
            </w:r>
          </w:p>
        </w:tc>
      </w:tr>
      <w:tr w:rsidR="00525419">
        <w:tc>
          <w:tcPr>
            <w:tcW w:w="1719"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煤焦油</w:t>
            </w:r>
          </w:p>
        </w:tc>
        <w:tc>
          <w:tcPr>
            <w:tcW w:w="1259"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60-120</w:t>
            </w:r>
          </w:p>
        </w:tc>
        <w:tc>
          <w:tcPr>
            <w:tcW w:w="1655"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w:t>
            </w:r>
          </w:p>
        </w:tc>
        <w:tc>
          <w:tcPr>
            <w:tcW w:w="2252"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w:t>
            </w:r>
          </w:p>
        </w:tc>
        <w:tc>
          <w:tcPr>
            <w:tcW w:w="1725"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w:t>
            </w:r>
          </w:p>
        </w:tc>
      </w:tr>
      <w:tr w:rsidR="00525419">
        <w:trPr>
          <w:trHeight w:val="202"/>
        </w:trPr>
        <w:tc>
          <w:tcPr>
            <w:tcW w:w="1719"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天然气</w:t>
            </w:r>
          </w:p>
        </w:tc>
        <w:tc>
          <w:tcPr>
            <w:tcW w:w="1259"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-188</w:t>
            </w:r>
          </w:p>
        </w:tc>
        <w:tc>
          <w:tcPr>
            <w:tcW w:w="1655"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-161.5</w:t>
            </w:r>
          </w:p>
        </w:tc>
        <w:tc>
          <w:tcPr>
            <w:tcW w:w="2252"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w:t>
            </w:r>
          </w:p>
        </w:tc>
        <w:tc>
          <w:tcPr>
            <w:tcW w:w="1725"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w:t>
            </w:r>
          </w:p>
        </w:tc>
      </w:tr>
      <w:tr w:rsidR="00525419">
        <w:trPr>
          <w:trHeight w:val="375"/>
        </w:trPr>
        <w:tc>
          <w:tcPr>
            <w:tcW w:w="1719"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尾油</w:t>
            </w:r>
          </w:p>
        </w:tc>
        <w:tc>
          <w:tcPr>
            <w:tcW w:w="1259"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60-120</w:t>
            </w:r>
          </w:p>
        </w:tc>
        <w:tc>
          <w:tcPr>
            <w:tcW w:w="1655" w:type="dxa"/>
            <w:tcBorders>
              <w:tl2br w:val="nil"/>
              <w:tr2bl w:val="nil"/>
            </w:tcBorders>
            <w:vAlign w:val="center"/>
          </w:tcPr>
          <w:p w:rsidR="00525419" w:rsidRDefault="00525419">
            <w:pPr>
              <w:adjustRightInd w:val="0"/>
              <w:snapToGrid w:val="0"/>
              <w:spacing w:line="240" w:lineRule="atLeast"/>
              <w:rPr>
                <w:rFonts w:ascii="Times New Roman" w:hAnsi="Times New Roman"/>
                <w:szCs w:val="21"/>
              </w:rPr>
            </w:pPr>
          </w:p>
        </w:tc>
        <w:tc>
          <w:tcPr>
            <w:tcW w:w="2252" w:type="dxa"/>
            <w:tcBorders>
              <w:tl2br w:val="nil"/>
              <w:tr2bl w:val="nil"/>
            </w:tcBorders>
            <w:vAlign w:val="center"/>
          </w:tcPr>
          <w:p w:rsidR="00525419" w:rsidRDefault="00525419">
            <w:pPr>
              <w:adjustRightInd w:val="0"/>
              <w:snapToGrid w:val="0"/>
              <w:spacing w:line="240" w:lineRule="atLeast"/>
              <w:rPr>
                <w:rFonts w:ascii="Times New Roman" w:hAnsi="Times New Roman"/>
                <w:szCs w:val="21"/>
              </w:rPr>
            </w:pPr>
          </w:p>
        </w:tc>
        <w:tc>
          <w:tcPr>
            <w:tcW w:w="1725" w:type="dxa"/>
            <w:tcBorders>
              <w:tl2br w:val="nil"/>
              <w:tr2bl w:val="nil"/>
            </w:tcBorders>
            <w:vAlign w:val="center"/>
          </w:tcPr>
          <w:p w:rsidR="00525419" w:rsidRDefault="00525419">
            <w:pPr>
              <w:adjustRightInd w:val="0"/>
              <w:snapToGrid w:val="0"/>
              <w:spacing w:line="240" w:lineRule="atLeast"/>
              <w:rPr>
                <w:rFonts w:ascii="Times New Roman" w:hAnsi="Times New Roman"/>
                <w:szCs w:val="21"/>
              </w:rPr>
            </w:pPr>
          </w:p>
        </w:tc>
      </w:tr>
    </w:tbl>
    <w:p w:rsidR="00525419" w:rsidRDefault="00EE1CF7">
      <w:pPr>
        <w:pStyle w:val="B1"/>
        <w:ind w:firstLine="480"/>
        <w:rPr>
          <w:rFonts w:cs="Times New Roman"/>
        </w:rPr>
      </w:pPr>
      <w:r>
        <w:rPr>
          <w:rFonts w:cs="Times New Roman"/>
        </w:rPr>
        <w:t>涉及到主要危险物质理化特性如下：</w:t>
      </w:r>
    </w:p>
    <w:p w:rsidR="00525419" w:rsidRDefault="00EE1CF7">
      <w:pPr>
        <w:autoSpaceDE w:val="0"/>
        <w:autoSpaceDN w:val="0"/>
        <w:adjustRightInd w:val="0"/>
        <w:snapToGrid w:val="0"/>
        <w:spacing w:line="360" w:lineRule="auto"/>
        <w:ind w:firstLineChars="200" w:firstLine="480"/>
        <w:rPr>
          <w:rFonts w:ascii="Times New Roman" w:hAnsi="Times New Roman"/>
          <w:bCs/>
          <w:kern w:val="0"/>
          <w:sz w:val="24"/>
          <w:szCs w:val="24"/>
        </w:rPr>
      </w:pPr>
      <w:r>
        <w:rPr>
          <w:rFonts w:ascii="Times New Roman" w:hAnsi="Times New Roman"/>
          <w:bCs/>
          <w:kern w:val="0"/>
          <w:sz w:val="24"/>
          <w:szCs w:val="24"/>
        </w:rPr>
        <w:t>（</w:t>
      </w:r>
      <w:r>
        <w:rPr>
          <w:rFonts w:ascii="Times New Roman" w:hAnsi="Times New Roman"/>
          <w:bCs/>
          <w:kern w:val="0"/>
          <w:sz w:val="24"/>
          <w:szCs w:val="24"/>
        </w:rPr>
        <w:t>1</w:t>
      </w:r>
      <w:r>
        <w:rPr>
          <w:rFonts w:ascii="Times New Roman" w:hAnsi="Times New Roman"/>
          <w:bCs/>
          <w:kern w:val="0"/>
          <w:sz w:val="24"/>
          <w:szCs w:val="24"/>
        </w:rPr>
        <w:t>）煤焦油</w:t>
      </w:r>
    </w:p>
    <w:p w:rsidR="00525419" w:rsidRDefault="00EE1CF7">
      <w:pPr>
        <w:autoSpaceDE w:val="0"/>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煤焦油是一种褐色或黑色粘稠状液体或半固体，有特殊刺激性臭味，分为高温煤焦油、中温煤焦油、低温煤焦油和发生炉煤焦油。高温煤焦油相对密度为</w:t>
      </w:r>
      <w:r>
        <w:rPr>
          <w:rFonts w:ascii="Times New Roman" w:hAnsi="Times New Roman"/>
          <w:kern w:val="0"/>
          <w:sz w:val="24"/>
          <w:szCs w:val="24"/>
        </w:rPr>
        <w:t>1.15</w:t>
      </w:r>
      <w:r>
        <w:rPr>
          <w:rFonts w:ascii="Times New Roman" w:hAnsi="Times New Roman"/>
          <w:kern w:val="0"/>
          <w:sz w:val="24"/>
          <w:szCs w:val="24"/>
        </w:rPr>
        <w:t>～</w:t>
      </w:r>
      <w:r>
        <w:rPr>
          <w:rFonts w:ascii="Times New Roman" w:hAnsi="Times New Roman"/>
          <w:kern w:val="0"/>
          <w:sz w:val="24"/>
          <w:szCs w:val="24"/>
        </w:rPr>
        <w:t>1.22</w:t>
      </w:r>
      <w:r>
        <w:rPr>
          <w:rFonts w:ascii="Times New Roman" w:hAnsi="Times New Roman"/>
          <w:kern w:val="0"/>
          <w:sz w:val="24"/>
          <w:szCs w:val="24"/>
        </w:rPr>
        <w:t>，主要成分为芳香烃。低温煤焦油相对密度约为</w:t>
      </w:r>
      <w:r>
        <w:rPr>
          <w:rFonts w:ascii="Times New Roman" w:hAnsi="Times New Roman"/>
          <w:kern w:val="0"/>
          <w:sz w:val="24"/>
          <w:szCs w:val="24"/>
        </w:rPr>
        <w:t>0.85</w:t>
      </w:r>
      <w:r>
        <w:rPr>
          <w:rFonts w:ascii="Times New Roman" w:hAnsi="Times New Roman"/>
          <w:kern w:val="0"/>
          <w:sz w:val="24"/>
          <w:szCs w:val="24"/>
        </w:rPr>
        <w:t>～</w:t>
      </w:r>
      <w:r>
        <w:rPr>
          <w:rFonts w:ascii="Times New Roman" w:hAnsi="Times New Roman"/>
          <w:kern w:val="0"/>
          <w:sz w:val="24"/>
          <w:szCs w:val="24"/>
        </w:rPr>
        <w:t>1.05</w:t>
      </w:r>
      <w:r>
        <w:rPr>
          <w:rFonts w:ascii="Times New Roman" w:hAnsi="Times New Roman"/>
          <w:kern w:val="0"/>
          <w:sz w:val="24"/>
          <w:szCs w:val="24"/>
        </w:rPr>
        <w:t>，主要成分是环烃和烷烃。中温煤焦油相对密度较低温煤焦油为大，主要成分是芳香烃和酚类。微溶于水。溶于苯、乙醚、二硫化碳、氯仿、乙醇、丙酮、甲醇等。煤焦油属于易燃品，有刺激性和腐蚀性。健康危害：作用于皮肤，引起皮炎、痤疮、毛囊炎、光毒性皮炎、中毒性黑皮病、疣赘及肿瘤。可引起鼻中隔损伤。国际癌症研究中心</w:t>
      </w:r>
      <w:r>
        <w:rPr>
          <w:rFonts w:ascii="Times New Roman" w:hAnsi="Times New Roman"/>
          <w:kern w:val="0"/>
          <w:sz w:val="24"/>
          <w:szCs w:val="24"/>
        </w:rPr>
        <w:t>(IARC)</w:t>
      </w:r>
      <w:r>
        <w:rPr>
          <w:rFonts w:ascii="Times New Roman" w:hAnsi="Times New Roman"/>
          <w:kern w:val="0"/>
          <w:sz w:val="24"/>
          <w:szCs w:val="24"/>
        </w:rPr>
        <w:t>已确认为致癌物。危险特性：遇明火、高热易燃。与强氧化剂发生反应，可引起燃烧。有腐蚀性。</w:t>
      </w:r>
    </w:p>
    <w:p w:rsidR="00525419" w:rsidRDefault="00EE1CF7">
      <w:pPr>
        <w:pStyle w:val="afb"/>
        <w:ind w:firstLineChars="200" w:firstLine="480"/>
      </w:pPr>
      <w:r>
        <w:rPr>
          <w:sz w:val="24"/>
        </w:rPr>
        <w:t>（</w:t>
      </w:r>
      <w:r>
        <w:rPr>
          <w:sz w:val="24"/>
        </w:rPr>
        <w:t>2</w:t>
      </w:r>
      <w:r>
        <w:rPr>
          <w:sz w:val="24"/>
        </w:rPr>
        <w:t>）柴油</w:t>
      </w:r>
    </w:p>
    <w:p w:rsidR="00525419" w:rsidRDefault="00EE1CF7" w:rsidP="00EE1CF7">
      <w:pPr>
        <w:pStyle w:val="B3"/>
        <w:spacing w:before="99" w:after="66"/>
        <w:ind w:firstLine="420"/>
        <w:rPr>
          <w:rFonts w:eastAsia="黑体"/>
          <w:b w:val="0"/>
          <w:snapToGrid/>
          <w:color w:val="auto"/>
          <w:kern w:val="2"/>
          <w:sz w:val="21"/>
          <w:szCs w:val="22"/>
        </w:rPr>
      </w:pPr>
      <w:r>
        <w:rPr>
          <w:rFonts w:eastAsia="黑体"/>
          <w:b w:val="0"/>
          <w:snapToGrid/>
          <w:color w:val="auto"/>
          <w:kern w:val="2"/>
          <w:sz w:val="21"/>
          <w:szCs w:val="22"/>
        </w:rPr>
        <w:t>表</w:t>
      </w:r>
      <w:r>
        <w:rPr>
          <w:rFonts w:eastAsia="黑体"/>
          <w:b w:val="0"/>
          <w:snapToGrid/>
          <w:color w:val="auto"/>
          <w:kern w:val="2"/>
          <w:sz w:val="21"/>
          <w:szCs w:val="22"/>
        </w:rPr>
        <w:t xml:space="preserve">5.6-17   </w:t>
      </w:r>
      <w:r>
        <w:rPr>
          <w:rFonts w:eastAsia="黑体"/>
          <w:b w:val="0"/>
          <w:snapToGrid/>
          <w:color w:val="auto"/>
          <w:kern w:val="2"/>
          <w:sz w:val="21"/>
          <w:szCs w:val="22"/>
        </w:rPr>
        <w:t>柴油的理化特性一览表</w:t>
      </w:r>
    </w:p>
    <w:tbl>
      <w:tblPr>
        <w:tblW w:w="85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92"/>
        <w:gridCol w:w="1574"/>
        <w:gridCol w:w="1318"/>
        <w:gridCol w:w="370"/>
        <w:gridCol w:w="201"/>
        <w:gridCol w:w="651"/>
        <w:gridCol w:w="613"/>
        <w:gridCol w:w="317"/>
        <w:gridCol w:w="468"/>
        <w:gridCol w:w="811"/>
        <w:gridCol w:w="184"/>
        <w:gridCol w:w="1414"/>
      </w:tblGrid>
      <w:tr w:rsidR="00525419">
        <w:trPr>
          <w:cantSplit/>
          <w:trHeight w:val="397"/>
          <w:jc w:val="center"/>
        </w:trPr>
        <w:tc>
          <w:tcPr>
            <w:tcW w:w="592" w:type="dxa"/>
            <w:vMerge w:val="restart"/>
            <w:vAlign w:val="center"/>
          </w:tcPr>
          <w:p w:rsidR="00525419" w:rsidRDefault="00EE1CF7">
            <w:pPr>
              <w:pStyle w:val="B2"/>
              <w:rPr>
                <w:rFonts w:cs="Times New Roman"/>
              </w:rPr>
            </w:pPr>
            <w:r>
              <w:rPr>
                <w:rFonts w:cs="Times New Roman"/>
              </w:rPr>
              <w:t>标识</w:t>
            </w:r>
          </w:p>
        </w:tc>
        <w:tc>
          <w:tcPr>
            <w:tcW w:w="1574" w:type="dxa"/>
            <w:vAlign w:val="center"/>
          </w:tcPr>
          <w:p w:rsidR="00525419" w:rsidRDefault="00EE1CF7">
            <w:pPr>
              <w:pStyle w:val="B2"/>
              <w:rPr>
                <w:rFonts w:cs="Times New Roman"/>
              </w:rPr>
            </w:pPr>
            <w:r>
              <w:rPr>
                <w:rFonts w:cs="Times New Roman"/>
              </w:rPr>
              <w:t>中文名</w:t>
            </w:r>
          </w:p>
        </w:tc>
        <w:tc>
          <w:tcPr>
            <w:tcW w:w="3153" w:type="dxa"/>
            <w:gridSpan w:val="5"/>
            <w:vAlign w:val="center"/>
          </w:tcPr>
          <w:p w:rsidR="00525419" w:rsidRDefault="00EE1CF7">
            <w:pPr>
              <w:pStyle w:val="B2"/>
              <w:rPr>
                <w:rFonts w:cs="Times New Roman"/>
              </w:rPr>
            </w:pPr>
            <w:r>
              <w:rPr>
                <w:rFonts w:cs="Times New Roman"/>
              </w:rPr>
              <w:t>柴油</w:t>
            </w:r>
          </w:p>
        </w:tc>
        <w:tc>
          <w:tcPr>
            <w:tcW w:w="1596" w:type="dxa"/>
            <w:gridSpan w:val="3"/>
            <w:vAlign w:val="center"/>
          </w:tcPr>
          <w:p w:rsidR="00525419" w:rsidRDefault="00EE1CF7">
            <w:pPr>
              <w:pStyle w:val="B2"/>
              <w:rPr>
                <w:rFonts w:cs="Times New Roman"/>
              </w:rPr>
            </w:pPr>
            <w:r>
              <w:rPr>
                <w:rFonts w:cs="Times New Roman"/>
              </w:rPr>
              <w:t>危险货物编号</w:t>
            </w:r>
          </w:p>
        </w:tc>
        <w:tc>
          <w:tcPr>
            <w:tcW w:w="1598" w:type="dxa"/>
            <w:gridSpan w:val="2"/>
            <w:vAlign w:val="center"/>
          </w:tcPr>
          <w:p w:rsidR="00525419" w:rsidRDefault="00EE1CF7">
            <w:pPr>
              <w:pStyle w:val="B2"/>
              <w:rPr>
                <w:rFonts w:cs="Times New Roman"/>
              </w:rPr>
            </w:pPr>
            <w:r>
              <w:rPr>
                <w:rFonts w:cs="Times New Roman"/>
              </w:rPr>
              <w:t>/</w:t>
            </w:r>
          </w:p>
        </w:tc>
      </w:tr>
      <w:tr w:rsidR="00525419">
        <w:trPr>
          <w:cantSplit/>
          <w:trHeight w:val="397"/>
          <w:jc w:val="center"/>
        </w:trPr>
        <w:tc>
          <w:tcPr>
            <w:tcW w:w="592" w:type="dxa"/>
            <w:vMerge/>
            <w:vAlign w:val="center"/>
          </w:tcPr>
          <w:p w:rsidR="00525419" w:rsidRDefault="00525419">
            <w:pPr>
              <w:pStyle w:val="B2"/>
              <w:rPr>
                <w:rFonts w:cs="Times New Roman"/>
              </w:rPr>
            </w:pPr>
          </w:p>
        </w:tc>
        <w:tc>
          <w:tcPr>
            <w:tcW w:w="1574" w:type="dxa"/>
            <w:vAlign w:val="center"/>
          </w:tcPr>
          <w:p w:rsidR="00525419" w:rsidRDefault="00EE1CF7">
            <w:pPr>
              <w:pStyle w:val="B2"/>
              <w:rPr>
                <w:rFonts w:cs="Times New Roman"/>
              </w:rPr>
            </w:pPr>
            <w:r>
              <w:rPr>
                <w:rFonts w:cs="Times New Roman"/>
              </w:rPr>
              <w:t>英文名</w:t>
            </w:r>
          </w:p>
        </w:tc>
        <w:tc>
          <w:tcPr>
            <w:tcW w:w="3153" w:type="dxa"/>
            <w:gridSpan w:val="5"/>
            <w:vAlign w:val="center"/>
          </w:tcPr>
          <w:p w:rsidR="00525419" w:rsidRDefault="00EE1CF7">
            <w:pPr>
              <w:pStyle w:val="B2"/>
              <w:rPr>
                <w:rFonts w:cs="Times New Roman"/>
              </w:rPr>
            </w:pPr>
            <w:r>
              <w:rPr>
                <w:rFonts w:cs="Times New Roman"/>
              </w:rPr>
              <w:t>diesel oil</w:t>
            </w:r>
          </w:p>
        </w:tc>
        <w:tc>
          <w:tcPr>
            <w:tcW w:w="1596" w:type="dxa"/>
            <w:gridSpan w:val="3"/>
            <w:vAlign w:val="center"/>
          </w:tcPr>
          <w:p w:rsidR="00525419" w:rsidRDefault="00EE1CF7">
            <w:pPr>
              <w:pStyle w:val="B2"/>
              <w:rPr>
                <w:rFonts w:cs="Times New Roman"/>
              </w:rPr>
            </w:pPr>
            <w:r>
              <w:rPr>
                <w:rFonts w:cs="Times New Roman"/>
              </w:rPr>
              <w:t>UN</w:t>
            </w:r>
            <w:r>
              <w:rPr>
                <w:rFonts w:cs="Times New Roman"/>
              </w:rPr>
              <w:t>编号</w:t>
            </w:r>
          </w:p>
        </w:tc>
        <w:tc>
          <w:tcPr>
            <w:tcW w:w="1598" w:type="dxa"/>
            <w:gridSpan w:val="2"/>
            <w:vAlign w:val="center"/>
          </w:tcPr>
          <w:p w:rsidR="00525419" w:rsidRDefault="00EE1CF7">
            <w:pPr>
              <w:pStyle w:val="B2"/>
              <w:rPr>
                <w:rFonts w:cs="Times New Roman"/>
              </w:rPr>
            </w:pPr>
            <w:r>
              <w:rPr>
                <w:rFonts w:cs="Times New Roman"/>
              </w:rPr>
              <w:t>/</w:t>
            </w:r>
          </w:p>
        </w:tc>
      </w:tr>
      <w:tr w:rsidR="00525419">
        <w:trPr>
          <w:cantSplit/>
          <w:trHeight w:val="397"/>
          <w:jc w:val="center"/>
        </w:trPr>
        <w:tc>
          <w:tcPr>
            <w:tcW w:w="592" w:type="dxa"/>
            <w:vMerge w:val="restart"/>
            <w:vAlign w:val="center"/>
          </w:tcPr>
          <w:p w:rsidR="00525419" w:rsidRDefault="00EE1CF7">
            <w:pPr>
              <w:pStyle w:val="B2"/>
              <w:rPr>
                <w:rFonts w:cs="Times New Roman"/>
              </w:rPr>
            </w:pPr>
            <w:r>
              <w:rPr>
                <w:rFonts w:cs="Times New Roman"/>
              </w:rPr>
              <w:t>理化性质</w:t>
            </w:r>
          </w:p>
        </w:tc>
        <w:tc>
          <w:tcPr>
            <w:tcW w:w="1574" w:type="dxa"/>
            <w:vAlign w:val="center"/>
          </w:tcPr>
          <w:p w:rsidR="00525419" w:rsidRDefault="00EE1CF7">
            <w:pPr>
              <w:pStyle w:val="B2"/>
              <w:rPr>
                <w:rFonts w:cs="Times New Roman"/>
              </w:rPr>
            </w:pPr>
            <w:r>
              <w:rPr>
                <w:rFonts w:cs="Times New Roman"/>
              </w:rPr>
              <w:t>外观与性状</w:t>
            </w:r>
          </w:p>
        </w:tc>
        <w:tc>
          <w:tcPr>
            <w:tcW w:w="6347" w:type="dxa"/>
            <w:gridSpan w:val="10"/>
            <w:vAlign w:val="center"/>
          </w:tcPr>
          <w:p w:rsidR="00525419" w:rsidRDefault="00EE1CF7">
            <w:pPr>
              <w:pStyle w:val="B2"/>
              <w:rPr>
                <w:rFonts w:cs="Times New Roman"/>
              </w:rPr>
            </w:pPr>
            <w:r>
              <w:rPr>
                <w:rFonts w:cs="Times New Roman"/>
              </w:rPr>
              <w:t>稍有粘性的棕色液体。</w:t>
            </w:r>
          </w:p>
        </w:tc>
      </w:tr>
      <w:tr w:rsidR="00525419">
        <w:trPr>
          <w:cantSplit/>
          <w:trHeight w:val="397"/>
          <w:jc w:val="center"/>
        </w:trPr>
        <w:tc>
          <w:tcPr>
            <w:tcW w:w="592" w:type="dxa"/>
            <w:vMerge/>
            <w:vAlign w:val="center"/>
          </w:tcPr>
          <w:p w:rsidR="00525419" w:rsidRDefault="00525419">
            <w:pPr>
              <w:pStyle w:val="B2"/>
              <w:rPr>
                <w:rFonts w:cs="Times New Roman"/>
              </w:rPr>
            </w:pPr>
          </w:p>
        </w:tc>
        <w:tc>
          <w:tcPr>
            <w:tcW w:w="1574" w:type="dxa"/>
            <w:vAlign w:val="center"/>
          </w:tcPr>
          <w:p w:rsidR="00525419" w:rsidRDefault="00EE1CF7">
            <w:pPr>
              <w:pStyle w:val="B2"/>
              <w:rPr>
                <w:rFonts w:cs="Times New Roman"/>
              </w:rPr>
            </w:pPr>
            <w:r>
              <w:rPr>
                <w:rFonts w:cs="Times New Roman"/>
              </w:rPr>
              <w:t>熔点（</w:t>
            </w:r>
            <w:r>
              <w:rPr>
                <w:rFonts w:cs="Times New Roman"/>
              </w:rPr>
              <w:t>℃</w:t>
            </w:r>
            <w:r>
              <w:rPr>
                <w:rFonts w:cs="Times New Roman"/>
              </w:rPr>
              <w:t>）</w:t>
            </w:r>
          </w:p>
        </w:tc>
        <w:tc>
          <w:tcPr>
            <w:tcW w:w="1889" w:type="dxa"/>
            <w:gridSpan w:val="3"/>
            <w:vAlign w:val="center"/>
          </w:tcPr>
          <w:p w:rsidR="00525419" w:rsidRDefault="00EE1CF7">
            <w:pPr>
              <w:pStyle w:val="B2"/>
              <w:rPr>
                <w:rFonts w:cs="Times New Roman"/>
              </w:rPr>
            </w:pPr>
            <w:r>
              <w:rPr>
                <w:rFonts w:cs="Times New Roman"/>
              </w:rPr>
              <w:t>＜</w:t>
            </w:r>
            <w:r>
              <w:rPr>
                <w:rFonts w:cs="Times New Roman"/>
              </w:rPr>
              <w:t>29.56</w:t>
            </w:r>
          </w:p>
        </w:tc>
        <w:tc>
          <w:tcPr>
            <w:tcW w:w="2049" w:type="dxa"/>
            <w:gridSpan w:val="4"/>
            <w:vAlign w:val="center"/>
          </w:tcPr>
          <w:p w:rsidR="00525419" w:rsidRDefault="00EE1CF7">
            <w:pPr>
              <w:pStyle w:val="B2"/>
              <w:rPr>
                <w:rFonts w:cs="Times New Roman"/>
              </w:rPr>
            </w:pPr>
            <w:r>
              <w:rPr>
                <w:rFonts w:cs="Times New Roman"/>
              </w:rPr>
              <w:t>相对密度</w:t>
            </w:r>
            <w:r>
              <w:rPr>
                <w:rFonts w:cs="Times New Roman"/>
              </w:rPr>
              <w:t>(</w:t>
            </w:r>
            <w:r>
              <w:rPr>
                <w:rFonts w:cs="Times New Roman"/>
              </w:rPr>
              <w:t>水</w:t>
            </w:r>
            <w:r>
              <w:rPr>
                <w:rFonts w:cs="Times New Roman"/>
              </w:rPr>
              <w:t>=1)</w:t>
            </w:r>
          </w:p>
        </w:tc>
        <w:tc>
          <w:tcPr>
            <w:tcW w:w="2409" w:type="dxa"/>
            <w:gridSpan w:val="3"/>
            <w:vAlign w:val="center"/>
          </w:tcPr>
          <w:p w:rsidR="00525419" w:rsidRDefault="00EE1CF7">
            <w:pPr>
              <w:pStyle w:val="B2"/>
              <w:rPr>
                <w:rFonts w:cs="Times New Roman"/>
              </w:rPr>
            </w:pPr>
            <w:r>
              <w:rPr>
                <w:rFonts w:cs="Times New Roman"/>
              </w:rPr>
              <w:t>0.85</w:t>
            </w:r>
          </w:p>
        </w:tc>
      </w:tr>
      <w:tr w:rsidR="00525419">
        <w:trPr>
          <w:cantSplit/>
          <w:trHeight w:val="397"/>
          <w:jc w:val="center"/>
        </w:trPr>
        <w:tc>
          <w:tcPr>
            <w:tcW w:w="592" w:type="dxa"/>
            <w:vMerge/>
            <w:vAlign w:val="center"/>
          </w:tcPr>
          <w:p w:rsidR="00525419" w:rsidRDefault="00525419">
            <w:pPr>
              <w:pStyle w:val="B2"/>
              <w:rPr>
                <w:rFonts w:cs="Times New Roman"/>
              </w:rPr>
            </w:pPr>
          </w:p>
        </w:tc>
        <w:tc>
          <w:tcPr>
            <w:tcW w:w="1574" w:type="dxa"/>
            <w:vAlign w:val="center"/>
          </w:tcPr>
          <w:p w:rsidR="00525419" w:rsidRDefault="00EE1CF7">
            <w:pPr>
              <w:pStyle w:val="B2"/>
              <w:rPr>
                <w:rFonts w:cs="Times New Roman"/>
              </w:rPr>
            </w:pPr>
            <w:r>
              <w:rPr>
                <w:rFonts w:cs="Times New Roman"/>
              </w:rPr>
              <w:t>沸点（</w:t>
            </w:r>
            <w:r>
              <w:rPr>
                <w:rFonts w:cs="Times New Roman"/>
              </w:rPr>
              <w:t>℃</w:t>
            </w:r>
            <w:r>
              <w:rPr>
                <w:rFonts w:cs="Times New Roman"/>
              </w:rPr>
              <w:t>）</w:t>
            </w:r>
          </w:p>
        </w:tc>
        <w:tc>
          <w:tcPr>
            <w:tcW w:w="1889" w:type="dxa"/>
            <w:gridSpan w:val="3"/>
            <w:vAlign w:val="center"/>
          </w:tcPr>
          <w:p w:rsidR="00525419" w:rsidRDefault="00EE1CF7">
            <w:pPr>
              <w:pStyle w:val="B2"/>
              <w:rPr>
                <w:rFonts w:cs="Times New Roman"/>
              </w:rPr>
            </w:pPr>
            <w:r>
              <w:rPr>
                <w:rFonts w:cs="Times New Roman"/>
              </w:rPr>
              <w:t>180</w:t>
            </w:r>
            <w:r>
              <w:rPr>
                <w:rFonts w:cs="Times New Roman"/>
              </w:rPr>
              <w:t>～</w:t>
            </w:r>
            <w:r>
              <w:rPr>
                <w:rFonts w:cs="Times New Roman"/>
              </w:rPr>
              <w:t>370</w:t>
            </w:r>
          </w:p>
        </w:tc>
        <w:tc>
          <w:tcPr>
            <w:tcW w:w="2049" w:type="dxa"/>
            <w:gridSpan w:val="4"/>
            <w:vAlign w:val="center"/>
          </w:tcPr>
          <w:p w:rsidR="00525419" w:rsidRDefault="00EE1CF7">
            <w:pPr>
              <w:pStyle w:val="B2"/>
              <w:rPr>
                <w:rFonts w:cs="Times New Roman"/>
              </w:rPr>
            </w:pPr>
            <w:r>
              <w:rPr>
                <w:rFonts w:cs="Times New Roman"/>
              </w:rPr>
              <w:t>饱和蒸汽压（</w:t>
            </w:r>
            <w:r>
              <w:rPr>
                <w:rFonts w:cs="Times New Roman"/>
              </w:rPr>
              <w:t>KPa</w:t>
            </w:r>
            <w:r>
              <w:rPr>
                <w:rFonts w:cs="Times New Roman"/>
              </w:rPr>
              <w:t>）</w:t>
            </w:r>
          </w:p>
        </w:tc>
        <w:tc>
          <w:tcPr>
            <w:tcW w:w="2409" w:type="dxa"/>
            <w:gridSpan w:val="3"/>
            <w:vAlign w:val="center"/>
          </w:tcPr>
          <w:p w:rsidR="00525419" w:rsidRDefault="00EE1CF7">
            <w:pPr>
              <w:pStyle w:val="B2"/>
              <w:rPr>
                <w:rFonts w:cs="Times New Roman"/>
              </w:rPr>
            </w:pPr>
            <w:r>
              <w:rPr>
                <w:rFonts w:cs="Times New Roman"/>
              </w:rPr>
              <w:t>/</w:t>
            </w:r>
          </w:p>
        </w:tc>
      </w:tr>
      <w:tr w:rsidR="00525419">
        <w:trPr>
          <w:cantSplit/>
          <w:trHeight w:val="397"/>
          <w:jc w:val="center"/>
        </w:trPr>
        <w:tc>
          <w:tcPr>
            <w:tcW w:w="592" w:type="dxa"/>
            <w:vMerge w:val="restart"/>
            <w:vAlign w:val="center"/>
          </w:tcPr>
          <w:p w:rsidR="00525419" w:rsidRDefault="00EE1CF7">
            <w:pPr>
              <w:pStyle w:val="B2"/>
              <w:rPr>
                <w:rFonts w:cs="Times New Roman"/>
              </w:rPr>
            </w:pPr>
            <w:r>
              <w:rPr>
                <w:rFonts w:cs="Times New Roman"/>
              </w:rPr>
              <w:t>健康危害</w:t>
            </w:r>
          </w:p>
        </w:tc>
        <w:tc>
          <w:tcPr>
            <w:tcW w:w="1574" w:type="dxa"/>
            <w:vAlign w:val="center"/>
          </w:tcPr>
          <w:p w:rsidR="00525419" w:rsidRDefault="00EE1CF7">
            <w:pPr>
              <w:pStyle w:val="B2"/>
              <w:rPr>
                <w:rFonts w:cs="Times New Roman"/>
              </w:rPr>
            </w:pPr>
            <w:r>
              <w:rPr>
                <w:rFonts w:cs="Times New Roman"/>
              </w:rPr>
              <w:t>侵入途径</w:t>
            </w:r>
          </w:p>
        </w:tc>
        <w:tc>
          <w:tcPr>
            <w:tcW w:w="6347" w:type="dxa"/>
            <w:gridSpan w:val="10"/>
            <w:vAlign w:val="center"/>
          </w:tcPr>
          <w:p w:rsidR="00525419" w:rsidRDefault="00EE1CF7">
            <w:pPr>
              <w:pStyle w:val="B2"/>
              <w:rPr>
                <w:rFonts w:cs="Times New Roman"/>
              </w:rPr>
            </w:pPr>
            <w:r>
              <w:rPr>
                <w:rFonts w:cs="Times New Roman"/>
              </w:rPr>
              <w:t>吸入、食入、经皮吸收。</w:t>
            </w:r>
          </w:p>
        </w:tc>
      </w:tr>
      <w:tr w:rsidR="00525419">
        <w:trPr>
          <w:cantSplit/>
          <w:trHeight w:val="397"/>
          <w:jc w:val="center"/>
        </w:trPr>
        <w:tc>
          <w:tcPr>
            <w:tcW w:w="592" w:type="dxa"/>
            <w:vMerge/>
            <w:vAlign w:val="center"/>
          </w:tcPr>
          <w:p w:rsidR="00525419" w:rsidRDefault="00525419">
            <w:pPr>
              <w:pStyle w:val="B2"/>
              <w:rPr>
                <w:rFonts w:cs="Times New Roman"/>
              </w:rPr>
            </w:pPr>
          </w:p>
        </w:tc>
        <w:tc>
          <w:tcPr>
            <w:tcW w:w="1574" w:type="dxa"/>
            <w:vAlign w:val="center"/>
          </w:tcPr>
          <w:p w:rsidR="00525419" w:rsidRDefault="00EE1CF7">
            <w:pPr>
              <w:pStyle w:val="B2"/>
              <w:rPr>
                <w:rFonts w:cs="Times New Roman"/>
              </w:rPr>
            </w:pPr>
            <w:r>
              <w:rPr>
                <w:rFonts w:cs="Times New Roman"/>
              </w:rPr>
              <w:t>毒性</w:t>
            </w:r>
          </w:p>
        </w:tc>
        <w:tc>
          <w:tcPr>
            <w:tcW w:w="6347" w:type="dxa"/>
            <w:gridSpan w:val="10"/>
            <w:vAlign w:val="center"/>
          </w:tcPr>
          <w:p w:rsidR="00525419" w:rsidRDefault="00EE1CF7">
            <w:pPr>
              <w:pStyle w:val="B2"/>
              <w:rPr>
                <w:rFonts w:cs="Times New Roman"/>
              </w:rPr>
            </w:pPr>
            <w:r>
              <w:rPr>
                <w:rFonts w:cs="Times New Roman"/>
              </w:rPr>
              <w:t>LD</w:t>
            </w:r>
            <w:r>
              <w:rPr>
                <w:rFonts w:cs="Times New Roman"/>
                <w:vertAlign w:val="subscript"/>
              </w:rPr>
              <w:t>50</w:t>
            </w:r>
            <w:r>
              <w:rPr>
                <w:rFonts w:cs="Times New Roman"/>
              </w:rPr>
              <w:t>：</w:t>
            </w:r>
            <w:r>
              <w:rPr>
                <w:rFonts w:cs="Times New Roman"/>
              </w:rPr>
              <w:t>-</w:t>
            </w:r>
          </w:p>
          <w:p w:rsidR="00525419" w:rsidRDefault="00EE1CF7">
            <w:pPr>
              <w:pStyle w:val="B2"/>
              <w:rPr>
                <w:rFonts w:cs="Times New Roman"/>
              </w:rPr>
            </w:pPr>
            <w:r>
              <w:rPr>
                <w:rFonts w:cs="Times New Roman"/>
              </w:rPr>
              <w:t>LC</w:t>
            </w:r>
            <w:r>
              <w:rPr>
                <w:rFonts w:cs="Times New Roman"/>
                <w:vertAlign w:val="subscript"/>
              </w:rPr>
              <w:t>50</w:t>
            </w:r>
            <w:r>
              <w:rPr>
                <w:rFonts w:cs="Times New Roman"/>
              </w:rPr>
              <w:t>：</w:t>
            </w:r>
            <w:r>
              <w:rPr>
                <w:rFonts w:cs="Times New Roman"/>
              </w:rPr>
              <w:t>-</w:t>
            </w:r>
          </w:p>
        </w:tc>
      </w:tr>
      <w:tr w:rsidR="00525419">
        <w:trPr>
          <w:cantSplit/>
          <w:trHeight w:val="397"/>
          <w:jc w:val="center"/>
        </w:trPr>
        <w:tc>
          <w:tcPr>
            <w:tcW w:w="592" w:type="dxa"/>
            <w:vMerge/>
            <w:vAlign w:val="center"/>
          </w:tcPr>
          <w:p w:rsidR="00525419" w:rsidRDefault="00525419">
            <w:pPr>
              <w:pStyle w:val="B2"/>
              <w:rPr>
                <w:rFonts w:cs="Times New Roman"/>
              </w:rPr>
            </w:pPr>
          </w:p>
        </w:tc>
        <w:tc>
          <w:tcPr>
            <w:tcW w:w="1574" w:type="dxa"/>
            <w:vAlign w:val="center"/>
          </w:tcPr>
          <w:p w:rsidR="00525419" w:rsidRDefault="00EE1CF7">
            <w:pPr>
              <w:pStyle w:val="B2"/>
              <w:rPr>
                <w:rFonts w:cs="Times New Roman"/>
              </w:rPr>
            </w:pPr>
            <w:r>
              <w:rPr>
                <w:rFonts w:cs="Times New Roman"/>
              </w:rPr>
              <w:t>健康危害</w:t>
            </w:r>
          </w:p>
        </w:tc>
        <w:tc>
          <w:tcPr>
            <w:tcW w:w="6347" w:type="dxa"/>
            <w:gridSpan w:val="10"/>
            <w:vAlign w:val="center"/>
          </w:tcPr>
          <w:p w:rsidR="00525419" w:rsidRDefault="00EE1CF7">
            <w:pPr>
              <w:pStyle w:val="B2"/>
              <w:rPr>
                <w:rFonts w:cs="Times New Roman"/>
              </w:rPr>
            </w:pPr>
            <w:r>
              <w:rPr>
                <w:rFonts w:cs="Times New Roman"/>
              </w:rPr>
              <w:t>皮肤接触柴油可引起接触性皮炎、油性座疮；吸入可引起吸入性肺炎，能经胎盘进入胎儿血中。柴油废气可引起眼、鼻刺激症状、头昏及头痛。</w:t>
            </w:r>
          </w:p>
        </w:tc>
      </w:tr>
      <w:tr w:rsidR="00525419">
        <w:trPr>
          <w:cantSplit/>
          <w:trHeight w:val="1619"/>
          <w:jc w:val="center"/>
        </w:trPr>
        <w:tc>
          <w:tcPr>
            <w:tcW w:w="592" w:type="dxa"/>
            <w:vMerge/>
            <w:vAlign w:val="center"/>
          </w:tcPr>
          <w:p w:rsidR="00525419" w:rsidRDefault="00525419">
            <w:pPr>
              <w:pStyle w:val="B2"/>
              <w:rPr>
                <w:rFonts w:cs="Times New Roman"/>
              </w:rPr>
            </w:pPr>
          </w:p>
        </w:tc>
        <w:tc>
          <w:tcPr>
            <w:tcW w:w="1574" w:type="dxa"/>
            <w:vAlign w:val="center"/>
          </w:tcPr>
          <w:p w:rsidR="00525419" w:rsidRDefault="00EE1CF7">
            <w:pPr>
              <w:pStyle w:val="B2"/>
              <w:rPr>
                <w:rFonts w:cs="Times New Roman"/>
              </w:rPr>
            </w:pPr>
            <w:r>
              <w:rPr>
                <w:rFonts w:cs="Times New Roman"/>
              </w:rPr>
              <w:t>急救方法</w:t>
            </w:r>
          </w:p>
        </w:tc>
        <w:tc>
          <w:tcPr>
            <w:tcW w:w="6347" w:type="dxa"/>
            <w:gridSpan w:val="10"/>
            <w:vAlign w:val="center"/>
          </w:tcPr>
          <w:p w:rsidR="00525419" w:rsidRDefault="00EE1CF7">
            <w:pPr>
              <w:pStyle w:val="B2"/>
              <w:rPr>
                <w:rFonts w:cs="Times New Roman"/>
              </w:rPr>
            </w:pPr>
            <w:r>
              <w:rPr>
                <w:rFonts w:cs="Times New Roman"/>
              </w:rPr>
              <w:t>皮肤接触：脱去被污染的衣着，用肥皂水和清水彻底冲洗皮肤。</w:t>
            </w:r>
          </w:p>
          <w:p w:rsidR="00525419" w:rsidRDefault="00EE1CF7">
            <w:pPr>
              <w:pStyle w:val="B2"/>
              <w:rPr>
                <w:rFonts w:cs="Times New Roman"/>
              </w:rPr>
            </w:pPr>
            <w:r>
              <w:rPr>
                <w:rFonts w:cs="Times New Roman"/>
              </w:rPr>
              <w:t>眼睛接触：提起眼睑，用流动清水或生理盐水彻底冲洗就医。</w:t>
            </w:r>
          </w:p>
          <w:p w:rsidR="00525419" w:rsidRDefault="00EE1CF7">
            <w:pPr>
              <w:pStyle w:val="B2"/>
              <w:rPr>
                <w:rFonts w:cs="Times New Roman"/>
              </w:rPr>
            </w:pPr>
            <w:r>
              <w:rPr>
                <w:rFonts w:cs="Times New Roman"/>
              </w:rPr>
              <w:t>吸入：迅速脱离现场至空气新鲜处。保持呼吸道通畅。如呼吸困难，给输氧。如呼吸停止，立即进行人工呼吸。就医。</w:t>
            </w:r>
          </w:p>
          <w:p w:rsidR="00525419" w:rsidRDefault="00EE1CF7">
            <w:pPr>
              <w:pStyle w:val="B2"/>
              <w:rPr>
                <w:rFonts w:cs="Times New Roman"/>
              </w:rPr>
            </w:pPr>
            <w:r>
              <w:rPr>
                <w:rFonts w:cs="Times New Roman"/>
              </w:rPr>
              <w:t>食入：尽快彻底洗胃。就医。</w:t>
            </w:r>
          </w:p>
        </w:tc>
      </w:tr>
      <w:tr w:rsidR="00525419">
        <w:trPr>
          <w:cantSplit/>
          <w:trHeight w:val="397"/>
          <w:jc w:val="center"/>
        </w:trPr>
        <w:tc>
          <w:tcPr>
            <w:tcW w:w="592" w:type="dxa"/>
            <w:vMerge w:val="restart"/>
            <w:vAlign w:val="center"/>
          </w:tcPr>
          <w:p w:rsidR="00525419" w:rsidRDefault="00EE1CF7">
            <w:pPr>
              <w:pStyle w:val="B2"/>
              <w:rPr>
                <w:rFonts w:cs="Times New Roman"/>
              </w:rPr>
            </w:pPr>
            <w:r>
              <w:rPr>
                <w:rFonts w:cs="Times New Roman"/>
              </w:rPr>
              <w:t>燃</w:t>
            </w:r>
            <w:r>
              <w:rPr>
                <w:rFonts w:cs="Times New Roman"/>
              </w:rPr>
              <w:lastRenderedPageBreak/>
              <w:t>烧爆炸危险性</w:t>
            </w:r>
          </w:p>
        </w:tc>
        <w:tc>
          <w:tcPr>
            <w:tcW w:w="1574" w:type="dxa"/>
            <w:vAlign w:val="center"/>
          </w:tcPr>
          <w:p w:rsidR="00525419" w:rsidRDefault="00EE1CF7">
            <w:pPr>
              <w:pStyle w:val="B2"/>
              <w:rPr>
                <w:rFonts w:cs="Times New Roman"/>
              </w:rPr>
            </w:pPr>
            <w:r>
              <w:rPr>
                <w:rFonts w:cs="Times New Roman"/>
              </w:rPr>
              <w:lastRenderedPageBreak/>
              <w:t>燃烧性</w:t>
            </w:r>
          </w:p>
        </w:tc>
        <w:tc>
          <w:tcPr>
            <w:tcW w:w="1688" w:type="dxa"/>
            <w:gridSpan w:val="2"/>
            <w:vAlign w:val="center"/>
          </w:tcPr>
          <w:p w:rsidR="00525419" w:rsidRDefault="00EE1CF7">
            <w:pPr>
              <w:pStyle w:val="B2"/>
              <w:rPr>
                <w:rFonts w:cs="Times New Roman"/>
              </w:rPr>
            </w:pPr>
            <w:r>
              <w:rPr>
                <w:rFonts w:cs="Times New Roman"/>
              </w:rPr>
              <w:t>可燃</w:t>
            </w:r>
          </w:p>
        </w:tc>
        <w:tc>
          <w:tcPr>
            <w:tcW w:w="2250" w:type="dxa"/>
            <w:gridSpan w:val="5"/>
            <w:vAlign w:val="center"/>
          </w:tcPr>
          <w:p w:rsidR="00525419" w:rsidRDefault="00EE1CF7">
            <w:pPr>
              <w:pStyle w:val="B2"/>
              <w:rPr>
                <w:rFonts w:cs="Times New Roman"/>
              </w:rPr>
            </w:pPr>
            <w:r>
              <w:rPr>
                <w:rFonts w:cs="Times New Roman"/>
              </w:rPr>
              <w:t>燃烧分解物</w:t>
            </w:r>
          </w:p>
        </w:tc>
        <w:tc>
          <w:tcPr>
            <w:tcW w:w="2409" w:type="dxa"/>
            <w:gridSpan w:val="3"/>
            <w:vAlign w:val="center"/>
          </w:tcPr>
          <w:p w:rsidR="00525419" w:rsidRDefault="00EE1CF7">
            <w:pPr>
              <w:pStyle w:val="B2"/>
              <w:rPr>
                <w:rFonts w:cs="Times New Roman"/>
              </w:rPr>
            </w:pPr>
            <w:r>
              <w:rPr>
                <w:rFonts w:cs="Times New Roman"/>
              </w:rPr>
              <w:t>一氧化碳、二氧化碳。</w:t>
            </w:r>
          </w:p>
        </w:tc>
      </w:tr>
      <w:tr w:rsidR="00525419">
        <w:trPr>
          <w:cantSplit/>
          <w:trHeight w:val="397"/>
          <w:jc w:val="center"/>
        </w:trPr>
        <w:tc>
          <w:tcPr>
            <w:tcW w:w="592" w:type="dxa"/>
            <w:vMerge/>
            <w:vAlign w:val="center"/>
          </w:tcPr>
          <w:p w:rsidR="00525419" w:rsidRDefault="00525419">
            <w:pPr>
              <w:pStyle w:val="B2"/>
              <w:rPr>
                <w:rFonts w:cs="Times New Roman"/>
              </w:rPr>
            </w:pPr>
          </w:p>
        </w:tc>
        <w:tc>
          <w:tcPr>
            <w:tcW w:w="1574" w:type="dxa"/>
            <w:vAlign w:val="center"/>
          </w:tcPr>
          <w:p w:rsidR="00525419" w:rsidRDefault="00EE1CF7">
            <w:pPr>
              <w:pStyle w:val="B2"/>
              <w:rPr>
                <w:rFonts w:cs="Times New Roman"/>
              </w:rPr>
            </w:pPr>
            <w:r>
              <w:rPr>
                <w:rFonts w:cs="Times New Roman"/>
              </w:rPr>
              <w:t>闪点</w:t>
            </w:r>
            <w:r>
              <w:rPr>
                <w:rFonts w:cs="Times New Roman"/>
              </w:rPr>
              <w:t>(℃)</w:t>
            </w:r>
          </w:p>
        </w:tc>
        <w:tc>
          <w:tcPr>
            <w:tcW w:w="1688" w:type="dxa"/>
            <w:gridSpan w:val="2"/>
            <w:vAlign w:val="center"/>
          </w:tcPr>
          <w:p w:rsidR="00525419" w:rsidRDefault="00EE1CF7">
            <w:pPr>
              <w:pStyle w:val="B2"/>
              <w:rPr>
                <w:rFonts w:cs="Times New Roman"/>
              </w:rPr>
            </w:pPr>
            <w:r>
              <w:rPr>
                <w:rFonts w:cs="Times New Roman"/>
              </w:rPr>
              <w:t>≥55</w:t>
            </w:r>
          </w:p>
        </w:tc>
        <w:tc>
          <w:tcPr>
            <w:tcW w:w="2250" w:type="dxa"/>
            <w:gridSpan w:val="5"/>
            <w:vAlign w:val="center"/>
          </w:tcPr>
          <w:p w:rsidR="00525419" w:rsidRDefault="00EE1CF7">
            <w:pPr>
              <w:pStyle w:val="B2"/>
              <w:rPr>
                <w:rFonts w:cs="Times New Roman"/>
              </w:rPr>
            </w:pPr>
            <w:r>
              <w:rPr>
                <w:rFonts w:cs="Times New Roman"/>
              </w:rPr>
              <w:t>爆炸上限（</w:t>
            </w:r>
            <w:r>
              <w:rPr>
                <w:rFonts w:cs="Times New Roman"/>
              </w:rPr>
              <w:t>v%</w:t>
            </w:r>
            <w:r>
              <w:rPr>
                <w:rFonts w:cs="Times New Roman"/>
              </w:rPr>
              <w:t>）</w:t>
            </w:r>
          </w:p>
        </w:tc>
        <w:tc>
          <w:tcPr>
            <w:tcW w:w="2409" w:type="dxa"/>
            <w:gridSpan w:val="3"/>
            <w:vAlign w:val="center"/>
          </w:tcPr>
          <w:p w:rsidR="00525419" w:rsidRDefault="00EE1CF7">
            <w:pPr>
              <w:pStyle w:val="B2"/>
              <w:rPr>
                <w:rFonts w:cs="Times New Roman"/>
              </w:rPr>
            </w:pPr>
            <w:r>
              <w:rPr>
                <w:rFonts w:cs="Times New Roman"/>
              </w:rPr>
              <w:t>6.5</w:t>
            </w:r>
          </w:p>
        </w:tc>
      </w:tr>
      <w:tr w:rsidR="00525419">
        <w:trPr>
          <w:cantSplit/>
          <w:trHeight w:val="397"/>
          <w:jc w:val="center"/>
        </w:trPr>
        <w:tc>
          <w:tcPr>
            <w:tcW w:w="592" w:type="dxa"/>
            <w:vMerge/>
            <w:vAlign w:val="center"/>
          </w:tcPr>
          <w:p w:rsidR="00525419" w:rsidRDefault="00525419">
            <w:pPr>
              <w:pStyle w:val="B2"/>
              <w:rPr>
                <w:rFonts w:cs="Times New Roman"/>
              </w:rPr>
            </w:pPr>
          </w:p>
        </w:tc>
        <w:tc>
          <w:tcPr>
            <w:tcW w:w="1574" w:type="dxa"/>
            <w:vAlign w:val="center"/>
          </w:tcPr>
          <w:p w:rsidR="00525419" w:rsidRDefault="00EE1CF7">
            <w:pPr>
              <w:pStyle w:val="B2"/>
              <w:rPr>
                <w:rFonts w:cs="Times New Roman"/>
              </w:rPr>
            </w:pPr>
            <w:r>
              <w:rPr>
                <w:rFonts w:cs="Times New Roman"/>
              </w:rPr>
              <w:t>引燃温度</w:t>
            </w:r>
            <w:r>
              <w:rPr>
                <w:rFonts w:cs="Times New Roman"/>
              </w:rPr>
              <w:t>(℃)</w:t>
            </w:r>
          </w:p>
        </w:tc>
        <w:tc>
          <w:tcPr>
            <w:tcW w:w="1688" w:type="dxa"/>
            <w:gridSpan w:val="2"/>
            <w:vAlign w:val="center"/>
          </w:tcPr>
          <w:p w:rsidR="00525419" w:rsidRDefault="00EE1CF7">
            <w:pPr>
              <w:pStyle w:val="B2"/>
              <w:rPr>
                <w:rFonts w:cs="Times New Roman"/>
              </w:rPr>
            </w:pPr>
            <w:r>
              <w:rPr>
                <w:rFonts w:cs="Times New Roman"/>
              </w:rPr>
              <w:t>350</w:t>
            </w:r>
            <w:r>
              <w:rPr>
                <w:rFonts w:cs="Times New Roman"/>
              </w:rPr>
              <w:t>～</w:t>
            </w:r>
            <w:r>
              <w:rPr>
                <w:rFonts w:cs="Times New Roman"/>
              </w:rPr>
              <w:t>380</w:t>
            </w:r>
          </w:p>
        </w:tc>
        <w:tc>
          <w:tcPr>
            <w:tcW w:w="2250" w:type="dxa"/>
            <w:gridSpan w:val="5"/>
            <w:vAlign w:val="center"/>
          </w:tcPr>
          <w:p w:rsidR="00525419" w:rsidRDefault="00EE1CF7">
            <w:pPr>
              <w:pStyle w:val="B2"/>
              <w:rPr>
                <w:rFonts w:cs="Times New Roman"/>
              </w:rPr>
            </w:pPr>
            <w:r>
              <w:rPr>
                <w:rFonts w:cs="Times New Roman"/>
              </w:rPr>
              <w:t>爆炸下限（</w:t>
            </w:r>
            <w:r>
              <w:rPr>
                <w:rFonts w:cs="Times New Roman"/>
              </w:rPr>
              <w:t>v%</w:t>
            </w:r>
            <w:r>
              <w:rPr>
                <w:rFonts w:cs="Times New Roman"/>
              </w:rPr>
              <w:t>）</w:t>
            </w:r>
          </w:p>
        </w:tc>
        <w:tc>
          <w:tcPr>
            <w:tcW w:w="2409" w:type="dxa"/>
            <w:gridSpan w:val="3"/>
            <w:vAlign w:val="center"/>
          </w:tcPr>
          <w:p w:rsidR="00525419" w:rsidRDefault="00EE1CF7">
            <w:pPr>
              <w:pStyle w:val="B2"/>
              <w:rPr>
                <w:rFonts w:cs="Times New Roman"/>
              </w:rPr>
            </w:pPr>
            <w:r>
              <w:rPr>
                <w:rFonts w:cs="Times New Roman"/>
              </w:rPr>
              <w:t>0.6</w:t>
            </w:r>
          </w:p>
        </w:tc>
      </w:tr>
      <w:tr w:rsidR="00525419">
        <w:trPr>
          <w:cantSplit/>
          <w:trHeight w:val="397"/>
          <w:jc w:val="center"/>
        </w:trPr>
        <w:tc>
          <w:tcPr>
            <w:tcW w:w="592" w:type="dxa"/>
            <w:vMerge/>
            <w:vAlign w:val="center"/>
          </w:tcPr>
          <w:p w:rsidR="00525419" w:rsidRDefault="00525419">
            <w:pPr>
              <w:pStyle w:val="B2"/>
              <w:rPr>
                <w:rFonts w:cs="Times New Roman"/>
              </w:rPr>
            </w:pPr>
          </w:p>
        </w:tc>
        <w:tc>
          <w:tcPr>
            <w:tcW w:w="1574" w:type="dxa"/>
            <w:vAlign w:val="center"/>
          </w:tcPr>
          <w:p w:rsidR="00525419" w:rsidRDefault="00EE1CF7">
            <w:pPr>
              <w:pStyle w:val="B2"/>
              <w:rPr>
                <w:rFonts w:cs="Times New Roman"/>
              </w:rPr>
            </w:pPr>
            <w:r>
              <w:rPr>
                <w:rFonts w:cs="Times New Roman"/>
              </w:rPr>
              <w:t>危险特性</w:t>
            </w:r>
          </w:p>
        </w:tc>
        <w:tc>
          <w:tcPr>
            <w:tcW w:w="6347" w:type="dxa"/>
            <w:gridSpan w:val="10"/>
            <w:vAlign w:val="center"/>
          </w:tcPr>
          <w:p w:rsidR="00525419" w:rsidRDefault="00EE1CF7">
            <w:pPr>
              <w:pStyle w:val="B2"/>
              <w:rPr>
                <w:rFonts w:cs="Times New Roman"/>
              </w:rPr>
            </w:pPr>
            <w:r>
              <w:rPr>
                <w:rFonts w:cs="Times New Roman"/>
              </w:rPr>
              <w:t>遇明火、高热或与氧化剂接触有可能引起燃烧爆炸的危险。若遇高热，容器内压增大，有开裂和爆炸的危险。</w:t>
            </w:r>
          </w:p>
        </w:tc>
      </w:tr>
      <w:tr w:rsidR="00525419">
        <w:trPr>
          <w:cantSplit/>
          <w:trHeight w:val="397"/>
          <w:jc w:val="center"/>
        </w:trPr>
        <w:tc>
          <w:tcPr>
            <w:tcW w:w="592" w:type="dxa"/>
            <w:vMerge/>
            <w:vAlign w:val="center"/>
          </w:tcPr>
          <w:p w:rsidR="00525419" w:rsidRDefault="00525419">
            <w:pPr>
              <w:pStyle w:val="B2"/>
              <w:rPr>
                <w:rFonts w:cs="Times New Roman"/>
              </w:rPr>
            </w:pPr>
          </w:p>
        </w:tc>
        <w:tc>
          <w:tcPr>
            <w:tcW w:w="1574" w:type="dxa"/>
            <w:vAlign w:val="center"/>
          </w:tcPr>
          <w:p w:rsidR="00525419" w:rsidRDefault="00EE1CF7">
            <w:pPr>
              <w:pStyle w:val="B2"/>
              <w:rPr>
                <w:rFonts w:cs="Times New Roman"/>
              </w:rPr>
            </w:pPr>
            <w:r>
              <w:rPr>
                <w:rFonts w:cs="Times New Roman"/>
              </w:rPr>
              <w:t>储运条件</w:t>
            </w:r>
          </w:p>
          <w:p w:rsidR="00525419" w:rsidRDefault="00EE1CF7">
            <w:pPr>
              <w:pStyle w:val="B2"/>
              <w:rPr>
                <w:rFonts w:cs="Times New Roman"/>
              </w:rPr>
            </w:pPr>
            <w:r>
              <w:rPr>
                <w:rFonts w:cs="Times New Roman"/>
              </w:rPr>
              <w:t>与泄漏处理</w:t>
            </w:r>
          </w:p>
        </w:tc>
        <w:tc>
          <w:tcPr>
            <w:tcW w:w="6347" w:type="dxa"/>
            <w:gridSpan w:val="10"/>
            <w:vAlign w:val="center"/>
          </w:tcPr>
          <w:p w:rsidR="00525419" w:rsidRDefault="00EE1CF7">
            <w:pPr>
              <w:pStyle w:val="B2"/>
              <w:rPr>
                <w:rFonts w:cs="Times New Roman"/>
              </w:rPr>
            </w:pPr>
            <w:r>
              <w:rPr>
                <w:rFonts w:cs="Times New Roman"/>
                <w:b/>
              </w:rPr>
              <w:t>储运条件</w:t>
            </w:r>
            <w:r>
              <w:rPr>
                <w:rFonts w:cs="Times New Roman"/>
              </w:rPr>
              <w:t>：储存于阴凉、通风的库房。远离火种、热源。应与氧化剂、卤素分开存放，切忌混储。公路运输时要按规定路线行驶。</w:t>
            </w:r>
            <w:r>
              <w:rPr>
                <w:rFonts w:cs="Times New Roman"/>
                <w:b/>
              </w:rPr>
              <w:t>泄漏处理</w:t>
            </w:r>
            <w:r>
              <w:rPr>
                <w:rFonts w:cs="Times New Roman"/>
              </w:rPr>
              <w:t>：迅速撤离泄漏污染区人员至安全区，并进行隔离，严格限制出入。切断火源。建议应急处理人员戴自给正压式呼吸器，穿一般作业工作服。尽可能切断泄漏源。防止流入下水道、排洪沟等限制性空间。小量泄漏：用活性炭或其它惰性材料吸收。大量泄漏：构筑围堤或挖坑收容。用泵转移至槽车或专用收集器内，回收或运至废物处理场所处置。</w:t>
            </w:r>
          </w:p>
        </w:tc>
      </w:tr>
      <w:tr w:rsidR="00525419">
        <w:trPr>
          <w:cantSplit/>
          <w:trHeight w:val="397"/>
          <w:jc w:val="center"/>
        </w:trPr>
        <w:tc>
          <w:tcPr>
            <w:tcW w:w="592" w:type="dxa"/>
            <w:vMerge/>
            <w:vAlign w:val="center"/>
          </w:tcPr>
          <w:p w:rsidR="00525419" w:rsidRDefault="00525419">
            <w:pPr>
              <w:pStyle w:val="B2"/>
              <w:rPr>
                <w:rFonts w:cs="Times New Roman"/>
              </w:rPr>
            </w:pPr>
          </w:p>
        </w:tc>
        <w:tc>
          <w:tcPr>
            <w:tcW w:w="1574" w:type="dxa"/>
            <w:vAlign w:val="center"/>
          </w:tcPr>
          <w:p w:rsidR="00525419" w:rsidRDefault="00EE1CF7">
            <w:pPr>
              <w:pStyle w:val="B2"/>
              <w:rPr>
                <w:rFonts w:cs="Times New Roman"/>
              </w:rPr>
            </w:pPr>
            <w:r>
              <w:rPr>
                <w:rFonts w:cs="Times New Roman"/>
              </w:rPr>
              <w:t>建规火险分级</w:t>
            </w:r>
          </w:p>
        </w:tc>
        <w:tc>
          <w:tcPr>
            <w:tcW w:w="1318" w:type="dxa"/>
            <w:vAlign w:val="center"/>
          </w:tcPr>
          <w:p w:rsidR="00525419" w:rsidRDefault="00EE1CF7">
            <w:pPr>
              <w:pStyle w:val="B2"/>
              <w:rPr>
                <w:rFonts w:cs="Times New Roman"/>
              </w:rPr>
            </w:pPr>
            <w:r>
              <w:rPr>
                <w:rFonts w:cs="Times New Roman"/>
              </w:rPr>
              <w:t>乙</w:t>
            </w:r>
          </w:p>
        </w:tc>
        <w:tc>
          <w:tcPr>
            <w:tcW w:w="1222" w:type="dxa"/>
            <w:gridSpan w:val="3"/>
            <w:vAlign w:val="center"/>
          </w:tcPr>
          <w:p w:rsidR="00525419" w:rsidRDefault="00EE1CF7">
            <w:pPr>
              <w:pStyle w:val="B2"/>
              <w:rPr>
                <w:rFonts w:cs="Times New Roman"/>
              </w:rPr>
            </w:pPr>
            <w:r>
              <w:rPr>
                <w:rFonts w:cs="Times New Roman"/>
              </w:rPr>
              <w:t>稳定性</w:t>
            </w:r>
          </w:p>
        </w:tc>
        <w:tc>
          <w:tcPr>
            <w:tcW w:w="930" w:type="dxa"/>
            <w:gridSpan w:val="2"/>
            <w:vAlign w:val="center"/>
          </w:tcPr>
          <w:p w:rsidR="00525419" w:rsidRDefault="00EE1CF7">
            <w:pPr>
              <w:pStyle w:val="B2"/>
              <w:rPr>
                <w:rFonts w:cs="Times New Roman"/>
              </w:rPr>
            </w:pPr>
            <w:r>
              <w:rPr>
                <w:rFonts w:cs="Times New Roman"/>
              </w:rPr>
              <w:t>稳定</w:t>
            </w:r>
          </w:p>
        </w:tc>
        <w:tc>
          <w:tcPr>
            <w:tcW w:w="1463" w:type="dxa"/>
            <w:gridSpan w:val="3"/>
            <w:vAlign w:val="center"/>
          </w:tcPr>
          <w:p w:rsidR="00525419" w:rsidRDefault="00EE1CF7">
            <w:pPr>
              <w:pStyle w:val="B2"/>
              <w:rPr>
                <w:rFonts w:cs="Times New Roman"/>
              </w:rPr>
            </w:pPr>
            <w:r>
              <w:rPr>
                <w:rFonts w:cs="Times New Roman"/>
              </w:rPr>
              <w:t>聚合危害</w:t>
            </w:r>
          </w:p>
        </w:tc>
        <w:tc>
          <w:tcPr>
            <w:tcW w:w="1414" w:type="dxa"/>
            <w:vAlign w:val="center"/>
          </w:tcPr>
          <w:p w:rsidR="00525419" w:rsidRDefault="00EE1CF7">
            <w:pPr>
              <w:pStyle w:val="B2"/>
              <w:rPr>
                <w:rFonts w:cs="Times New Roman"/>
              </w:rPr>
            </w:pPr>
            <w:r>
              <w:rPr>
                <w:rFonts w:cs="Times New Roman"/>
              </w:rPr>
              <w:t>不出现</w:t>
            </w:r>
          </w:p>
        </w:tc>
      </w:tr>
      <w:tr w:rsidR="00525419">
        <w:trPr>
          <w:cantSplit/>
          <w:trHeight w:val="397"/>
          <w:jc w:val="center"/>
        </w:trPr>
        <w:tc>
          <w:tcPr>
            <w:tcW w:w="592" w:type="dxa"/>
            <w:vMerge/>
            <w:vAlign w:val="center"/>
          </w:tcPr>
          <w:p w:rsidR="00525419" w:rsidRDefault="00525419">
            <w:pPr>
              <w:pStyle w:val="B2"/>
              <w:rPr>
                <w:rFonts w:cs="Times New Roman"/>
              </w:rPr>
            </w:pPr>
          </w:p>
        </w:tc>
        <w:tc>
          <w:tcPr>
            <w:tcW w:w="1574" w:type="dxa"/>
            <w:vAlign w:val="center"/>
          </w:tcPr>
          <w:p w:rsidR="00525419" w:rsidRDefault="00EE1CF7">
            <w:pPr>
              <w:pStyle w:val="B2"/>
              <w:rPr>
                <w:rFonts w:cs="Times New Roman"/>
              </w:rPr>
            </w:pPr>
            <w:r>
              <w:rPr>
                <w:rFonts w:cs="Times New Roman"/>
              </w:rPr>
              <w:t>禁忌物</w:t>
            </w:r>
          </w:p>
        </w:tc>
        <w:tc>
          <w:tcPr>
            <w:tcW w:w="6347" w:type="dxa"/>
            <w:gridSpan w:val="10"/>
            <w:vAlign w:val="center"/>
          </w:tcPr>
          <w:p w:rsidR="00525419" w:rsidRDefault="00EE1CF7">
            <w:pPr>
              <w:pStyle w:val="B2"/>
              <w:rPr>
                <w:rFonts w:cs="Times New Roman"/>
              </w:rPr>
            </w:pPr>
            <w:r>
              <w:rPr>
                <w:rFonts w:cs="Times New Roman"/>
              </w:rPr>
              <w:t>强氧化剂、卤素。</w:t>
            </w:r>
          </w:p>
        </w:tc>
      </w:tr>
      <w:tr w:rsidR="00525419">
        <w:trPr>
          <w:cantSplit/>
          <w:trHeight w:val="397"/>
          <w:jc w:val="center"/>
        </w:trPr>
        <w:tc>
          <w:tcPr>
            <w:tcW w:w="592" w:type="dxa"/>
            <w:vMerge/>
            <w:vAlign w:val="center"/>
          </w:tcPr>
          <w:p w:rsidR="00525419" w:rsidRDefault="00525419">
            <w:pPr>
              <w:pStyle w:val="B2"/>
              <w:rPr>
                <w:rFonts w:cs="Times New Roman"/>
              </w:rPr>
            </w:pPr>
          </w:p>
        </w:tc>
        <w:tc>
          <w:tcPr>
            <w:tcW w:w="1574" w:type="dxa"/>
            <w:vAlign w:val="center"/>
          </w:tcPr>
          <w:p w:rsidR="00525419" w:rsidRDefault="00EE1CF7">
            <w:pPr>
              <w:pStyle w:val="B2"/>
              <w:rPr>
                <w:rFonts w:cs="Times New Roman"/>
              </w:rPr>
            </w:pPr>
            <w:r>
              <w:rPr>
                <w:rFonts w:cs="Times New Roman"/>
              </w:rPr>
              <w:t>灭火方法</w:t>
            </w:r>
          </w:p>
        </w:tc>
        <w:tc>
          <w:tcPr>
            <w:tcW w:w="6347" w:type="dxa"/>
            <w:gridSpan w:val="10"/>
            <w:vAlign w:val="center"/>
          </w:tcPr>
          <w:p w:rsidR="00525419" w:rsidRDefault="00EE1CF7">
            <w:pPr>
              <w:pStyle w:val="B2"/>
              <w:rPr>
                <w:rFonts w:cs="Times New Roman"/>
              </w:rPr>
            </w:pPr>
            <w:r>
              <w:rPr>
                <w:rFonts w:cs="Times New Roman"/>
              </w:rPr>
              <w:t>用泡沫、二氧化碳、干粉灭火，用水灭火无效。</w:t>
            </w:r>
          </w:p>
        </w:tc>
      </w:tr>
    </w:tbl>
    <w:p w:rsidR="00525419" w:rsidRDefault="00EE1CF7">
      <w:pPr>
        <w:pStyle w:val="B1"/>
        <w:ind w:firstLine="480"/>
        <w:rPr>
          <w:rFonts w:cs="Times New Roman"/>
        </w:rPr>
      </w:pPr>
      <w:r>
        <w:rPr>
          <w:rFonts w:cs="Times New Roman"/>
        </w:rPr>
        <w:t>（</w:t>
      </w:r>
      <w:r>
        <w:rPr>
          <w:rFonts w:cs="Times New Roman"/>
        </w:rPr>
        <w:t>3</w:t>
      </w:r>
      <w:r>
        <w:rPr>
          <w:rFonts w:cs="Times New Roman"/>
        </w:rPr>
        <w:t>）石脑油</w:t>
      </w:r>
    </w:p>
    <w:p w:rsidR="00525419" w:rsidRDefault="00EE1CF7" w:rsidP="00EE1CF7">
      <w:pPr>
        <w:pStyle w:val="B3"/>
        <w:spacing w:before="99" w:after="66"/>
        <w:ind w:firstLine="420"/>
        <w:rPr>
          <w:rFonts w:eastAsia="黑体"/>
          <w:b w:val="0"/>
          <w:snapToGrid/>
          <w:color w:val="auto"/>
          <w:kern w:val="2"/>
          <w:sz w:val="21"/>
          <w:szCs w:val="22"/>
        </w:rPr>
      </w:pPr>
      <w:r>
        <w:rPr>
          <w:rFonts w:eastAsia="黑体"/>
          <w:b w:val="0"/>
          <w:snapToGrid/>
          <w:color w:val="auto"/>
          <w:kern w:val="2"/>
          <w:sz w:val="21"/>
          <w:szCs w:val="22"/>
        </w:rPr>
        <w:t>表</w:t>
      </w:r>
      <w:r>
        <w:rPr>
          <w:rFonts w:eastAsia="黑体"/>
          <w:b w:val="0"/>
          <w:snapToGrid/>
          <w:color w:val="auto"/>
          <w:kern w:val="2"/>
          <w:sz w:val="21"/>
          <w:szCs w:val="22"/>
        </w:rPr>
        <w:t xml:space="preserve">5.6-18  </w:t>
      </w:r>
      <w:r>
        <w:rPr>
          <w:rFonts w:eastAsia="黑体"/>
          <w:b w:val="0"/>
          <w:snapToGrid/>
          <w:color w:val="auto"/>
          <w:kern w:val="2"/>
          <w:sz w:val="21"/>
          <w:szCs w:val="22"/>
        </w:rPr>
        <w:t>石脑油的理化特性一览表</w:t>
      </w:r>
    </w:p>
    <w:tbl>
      <w:tblPr>
        <w:tblW w:w="85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43"/>
        <w:gridCol w:w="1719"/>
        <w:gridCol w:w="838"/>
        <w:gridCol w:w="238"/>
        <w:gridCol w:w="262"/>
        <w:gridCol w:w="68"/>
        <w:gridCol w:w="966"/>
        <w:gridCol w:w="298"/>
        <w:gridCol w:w="671"/>
        <w:gridCol w:w="557"/>
        <w:gridCol w:w="947"/>
        <w:gridCol w:w="1002"/>
        <w:gridCol w:w="505"/>
      </w:tblGrid>
      <w:tr w:rsidR="00525419">
        <w:trPr>
          <w:cantSplit/>
          <w:trHeight w:val="397"/>
          <w:jc w:val="center"/>
        </w:trPr>
        <w:tc>
          <w:tcPr>
            <w:tcW w:w="443" w:type="dxa"/>
            <w:vMerge w:val="restart"/>
            <w:vAlign w:val="center"/>
          </w:tcPr>
          <w:p w:rsidR="00525419" w:rsidRDefault="00EE1CF7">
            <w:pPr>
              <w:pStyle w:val="B2"/>
              <w:rPr>
                <w:rFonts w:cs="Times New Roman"/>
              </w:rPr>
            </w:pPr>
            <w:r>
              <w:rPr>
                <w:rFonts w:cs="Times New Roman"/>
              </w:rPr>
              <w:t>标识</w:t>
            </w:r>
          </w:p>
        </w:tc>
        <w:tc>
          <w:tcPr>
            <w:tcW w:w="5617" w:type="dxa"/>
            <w:gridSpan w:val="9"/>
            <w:vAlign w:val="center"/>
          </w:tcPr>
          <w:p w:rsidR="00525419" w:rsidRDefault="00EE1CF7">
            <w:pPr>
              <w:pStyle w:val="B2"/>
              <w:rPr>
                <w:rFonts w:cs="Times New Roman"/>
              </w:rPr>
            </w:pPr>
            <w:r>
              <w:rPr>
                <w:rFonts w:cs="Times New Roman"/>
              </w:rPr>
              <w:t>中文名：石脑油；溶剂油</w:t>
            </w:r>
          </w:p>
        </w:tc>
        <w:tc>
          <w:tcPr>
            <w:tcW w:w="2454" w:type="dxa"/>
            <w:gridSpan w:val="3"/>
            <w:vAlign w:val="center"/>
          </w:tcPr>
          <w:p w:rsidR="00525419" w:rsidRDefault="00EE1CF7">
            <w:pPr>
              <w:pStyle w:val="B2"/>
              <w:rPr>
                <w:rFonts w:cs="Times New Roman"/>
              </w:rPr>
            </w:pPr>
            <w:r>
              <w:rPr>
                <w:rFonts w:cs="Times New Roman"/>
              </w:rPr>
              <w:t>危险货物编号：</w:t>
            </w:r>
            <w:r>
              <w:rPr>
                <w:rFonts w:cs="Times New Roman"/>
              </w:rPr>
              <w:t>32004</w:t>
            </w:r>
          </w:p>
        </w:tc>
      </w:tr>
      <w:tr w:rsidR="00525419">
        <w:trPr>
          <w:cantSplit/>
          <w:trHeight w:val="397"/>
          <w:jc w:val="center"/>
        </w:trPr>
        <w:tc>
          <w:tcPr>
            <w:tcW w:w="443" w:type="dxa"/>
            <w:vMerge/>
            <w:vAlign w:val="center"/>
          </w:tcPr>
          <w:p w:rsidR="00525419" w:rsidRDefault="00525419">
            <w:pPr>
              <w:pStyle w:val="B2"/>
              <w:rPr>
                <w:rFonts w:cs="Times New Roman"/>
              </w:rPr>
            </w:pPr>
          </w:p>
        </w:tc>
        <w:tc>
          <w:tcPr>
            <w:tcW w:w="5617" w:type="dxa"/>
            <w:gridSpan w:val="9"/>
            <w:vAlign w:val="center"/>
          </w:tcPr>
          <w:p w:rsidR="00525419" w:rsidRDefault="00EE1CF7">
            <w:pPr>
              <w:pStyle w:val="B2"/>
              <w:rPr>
                <w:rFonts w:cs="Times New Roman"/>
                <w:szCs w:val="21"/>
              </w:rPr>
            </w:pPr>
            <w:r>
              <w:rPr>
                <w:rFonts w:cs="Times New Roman"/>
                <w:szCs w:val="21"/>
              </w:rPr>
              <w:t>英文名：</w:t>
            </w:r>
            <w:r>
              <w:rPr>
                <w:rFonts w:cs="Times New Roman"/>
              </w:rPr>
              <w:t xml:space="preserve">Grude oil </w:t>
            </w:r>
            <w:r>
              <w:rPr>
                <w:rFonts w:cs="Times New Roman"/>
              </w:rPr>
              <w:t>；</w:t>
            </w:r>
            <w:r>
              <w:rPr>
                <w:rFonts w:cs="Times New Roman"/>
              </w:rPr>
              <w:t>Naphtha</w:t>
            </w:r>
            <w:r>
              <w:rPr>
                <w:rFonts w:cs="Times New Roman"/>
              </w:rPr>
              <w:t>；</w:t>
            </w:r>
            <w:r>
              <w:rPr>
                <w:rFonts w:cs="Times New Roman"/>
              </w:rPr>
              <w:t>Naphtha Solvent</w:t>
            </w:r>
          </w:p>
        </w:tc>
        <w:tc>
          <w:tcPr>
            <w:tcW w:w="2454" w:type="dxa"/>
            <w:gridSpan w:val="3"/>
            <w:vAlign w:val="center"/>
          </w:tcPr>
          <w:p w:rsidR="00525419" w:rsidRDefault="00EE1CF7">
            <w:pPr>
              <w:pStyle w:val="B2"/>
              <w:rPr>
                <w:rFonts w:cs="Times New Roman"/>
              </w:rPr>
            </w:pPr>
            <w:r>
              <w:rPr>
                <w:rFonts w:cs="Times New Roman"/>
              </w:rPr>
              <w:t>UN</w:t>
            </w:r>
            <w:r>
              <w:rPr>
                <w:rFonts w:cs="Times New Roman"/>
              </w:rPr>
              <w:t>编号：</w:t>
            </w:r>
            <w:r>
              <w:rPr>
                <w:rFonts w:cs="Times New Roman"/>
              </w:rPr>
              <w:t>1480</w:t>
            </w:r>
            <w:r>
              <w:rPr>
                <w:rFonts w:cs="Times New Roman"/>
              </w:rPr>
              <w:t>，</w:t>
            </w:r>
            <w:r>
              <w:rPr>
                <w:rFonts w:cs="Times New Roman"/>
              </w:rPr>
              <w:t>2553</w:t>
            </w:r>
          </w:p>
        </w:tc>
      </w:tr>
      <w:tr w:rsidR="00525419">
        <w:trPr>
          <w:cantSplit/>
          <w:trHeight w:val="397"/>
          <w:jc w:val="center"/>
        </w:trPr>
        <w:tc>
          <w:tcPr>
            <w:tcW w:w="443" w:type="dxa"/>
            <w:vMerge/>
            <w:vAlign w:val="center"/>
          </w:tcPr>
          <w:p w:rsidR="00525419" w:rsidRDefault="00525419">
            <w:pPr>
              <w:pStyle w:val="B2"/>
              <w:rPr>
                <w:rFonts w:cs="Times New Roman"/>
              </w:rPr>
            </w:pPr>
          </w:p>
        </w:tc>
        <w:tc>
          <w:tcPr>
            <w:tcW w:w="2795" w:type="dxa"/>
            <w:gridSpan w:val="3"/>
            <w:vAlign w:val="center"/>
          </w:tcPr>
          <w:p w:rsidR="00525419" w:rsidRDefault="00EE1CF7">
            <w:pPr>
              <w:pStyle w:val="B2"/>
              <w:rPr>
                <w:rFonts w:cs="Times New Roman"/>
              </w:rPr>
            </w:pPr>
            <w:r>
              <w:rPr>
                <w:rFonts w:cs="Times New Roman"/>
              </w:rPr>
              <w:t>分子式：</w:t>
            </w:r>
            <w:r>
              <w:rPr>
                <w:rFonts w:cs="Times New Roman"/>
              </w:rPr>
              <w:t>/</w:t>
            </w:r>
          </w:p>
        </w:tc>
        <w:tc>
          <w:tcPr>
            <w:tcW w:w="2822" w:type="dxa"/>
            <w:gridSpan w:val="6"/>
            <w:vAlign w:val="center"/>
          </w:tcPr>
          <w:p w:rsidR="00525419" w:rsidRDefault="00EE1CF7">
            <w:pPr>
              <w:pStyle w:val="B2"/>
              <w:rPr>
                <w:rFonts w:cs="Times New Roman"/>
              </w:rPr>
            </w:pPr>
            <w:r>
              <w:rPr>
                <w:rFonts w:cs="Times New Roman"/>
              </w:rPr>
              <w:t>分子量：</w:t>
            </w:r>
            <w:r>
              <w:rPr>
                <w:rFonts w:cs="Times New Roman"/>
              </w:rPr>
              <w:t>/</w:t>
            </w:r>
          </w:p>
        </w:tc>
        <w:tc>
          <w:tcPr>
            <w:tcW w:w="2454" w:type="dxa"/>
            <w:gridSpan w:val="3"/>
            <w:vAlign w:val="center"/>
          </w:tcPr>
          <w:p w:rsidR="00525419" w:rsidRDefault="00EE1CF7">
            <w:pPr>
              <w:pStyle w:val="B2"/>
              <w:rPr>
                <w:rFonts w:cs="Times New Roman"/>
              </w:rPr>
            </w:pPr>
            <w:r>
              <w:rPr>
                <w:rFonts w:cs="Times New Roman"/>
              </w:rPr>
              <w:t>CAS</w:t>
            </w:r>
            <w:r>
              <w:rPr>
                <w:rFonts w:cs="Times New Roman"/>
              </w:rPr>
              <w:t>号：</w:t>
            </w:r>
            <w:r>
              <w:rPr>
                <w:rFonts w:cs="Times New Roman"/>
              </w:rPr>
              <w:t>8030-30-6</w:t>
            </w:r>
          </w:p>
        </w:tc>
      </w:tr>
      <w:tr w:rsidR="00525419">
        <w:trPr>
          <w:cantSplit/>
          <w:trHeight w:val="397"/>
          <w:jc w:val="center"/>
        </w:trPr>
        <w:tc>
          <w:tcPr>
            <w:tcW w:w="443" w:type="dxa"/>
            <w:vMerge w:val="restart"/>
            <w:vAlign w:val="center"/>
          </w:tcPr>
          <w:p w:rsidR="00525419" w:rsidRDefault="00EE1CF7">
            <w:pPr>
              <w:pStyle w:val="B2"/>
              <w:rPr>
                <w:rFonts w:cs="Times New Roman"/>
              </w:rPr>
            </w:pPr>
            <w:r>
              <w:rPr>
                <w:rFonts w:cs="Times New Roman"/>
              </w:rPr>
              <w:t>理化性质</w:t>
            </w:r>
          </w:p>
        </w:tc>
        <w:tc>
          <w:tcPr>
            <w:tcW w:w="1719" w:type="dxa"/>
            <w:vAlign w:val="center"/>
          </w:tcPr>
          <w:p w:rsidR="00525419" w:rsidRDefault="00EE1CF7">
            <w:pPr>
              <w:pStyle w:val="B2"/>
              <w:rPr>
                <w:rFonts w:cs="Times New Roman"/>
              </w:rPr>
            </w:pPr>
            <w:r>
              <w:rPr>
                <w:rFonts w:cs="Times New Roman"/>
              </w:rPr>
              <w:t>外观与性状</w:t>
            </w:r>
          </w:p>
        </w:tc>
        <w:tc>
          <w:tcPr>
            <w:tcW w:w="6352" w:type="dxa"/>
            <w:gridSpan w:val="11"/>
            <w:vAlign w:val="center"/>
          </w:tcPr>
          <w:p w:rsidR="00525419" w:rsidRDefault="00EE1CF7">
            <w:pPr>
              <w:pStyle w:val="B2"/>
              <w:rPr>
                <w:rFonts w:cs="Times New Roman"/>
              </w:rPr>
            </w:pPr>
            <w:r>
              <w:rPr>
                <w:rFonts w:cs="Times New Roman"/>
              </w:rPr>
              <w:t>无色或浅黄色液体。</w:t>
            </w:r>
          </w:p>
        </w:tc>
      </w:tr>
      <w:tr w:rsidR="00525419">
        <w:trPr>
          <w:cantSplit/>
          <w:trHeight w:val="397"/>
          <w:jc w:val="center"/>
        </w:trPr>
        <w:tc>
          <w:tcPr>
            <w:tcW w:w="443" w:type="dxa"/>
            <w:vMerge/>
            <w:vAlign w:val="center"/>
          </w:tcPr>
          <w:p w:rsidR="00525419" w:rsidRDefault="00525419">
            <w:pPr>
              <w:pStyle w:val="B2"/>
              <w:rPr>
                <w:rFonts w:cs="Times New Roman"/>
              </w:rPr>
            </w:pPr>
          </w:p>
        </w:tc>
        <w:tc>
          <w:tcPr>
            <w:tcW w:w="1719" w:type="dxa"/>
            <w:vAlign w:val="center"/>
          </w:tcPr>
          <w:p w:rsidR="00525419" w:rsidRDefault="00EE1CF7">
            <w:pPr>
              <w:pStyle w:val="B2"/>
              <w:rPr>
                <w:rFonts w:cs="Times New Roman"/>
              </w:rPr>
            </w:pPr>
            <w:r>
              <w:rPr>
                <w:rFonts w:cs="Times New Roman"/>
              </w:rPr>
              <w:t>熔点（</w:t>
            </w:r>
            <w:r>
              <w:rPr>
                <w:rFonts w:cs="Times New Roman"/>
              </w:rPr>
              <w:t>℃</w:t>
            </w:r>
            <w:r>
              <w:rPr>
                <w:rFonts w:cs="Times New Roman"/>
              </w:rPr>
              <w:t>）</w:t>
            </w:r>
          </w:p>
        </w:tc>
        <w:tc>
          <w:tcPr>
            <w:tcW w:w="838" w:type="dxa"/>
            <w:vAlign w:val="center"/>
          </w:tcPr>
          <w:p w:rsidR="00525419" w:rsidRDefault="00EE1CF7">
            <w:pPr>
              <w:pStyle w:val="B2"/>
              <w:rPr>
                <w:rFonts w:cs="Times New Roman"/>
              </w:rPr>
            </w:pPr>
            <w:r>
              <w:rPr>
                <w:rFonts w:cs="Times New Roman"/>
              </w:rPr>
              <w:t>/</w:t>
            </w:r>
          </w:p>
        </w:tc>
        <w:tc>
          <w:tcPr>
            <w:tcW w:w="1832" w:type="dxa"/>
            <w:gridSpan w:val="5"/>
            <w:vAlign w:val="center"/>
          </w:tcPr>
          <w:p w:rsidR="00525419" w:rsidRDefault="00EE1CF7">
            <w:pPr>
              <w:pStyle w:val="B2"/>
              <w:rPr>
                <w:rFonts w:cs="Times New Roman"/>
              </w:rPr>
            </w:pPr>
            <w:r>
              <w:rPr>
                <w:rFonts w:cs="Times New Roman"/>
              </w:rPr>
              <w:t>相对密度</w:t>
            </w:r>
            <w:r>
              <w:rPr>
                <w:rFonts w:cs="Times New Roman"/>
              </w:rPr>
              <w:t>(</w:t>
            </w:r>
            <w:r>
              <w:rPr>
                <w:rFonts w:cs="Times New Roman"/>
              </w:rPr>
              <w:t>水</w:t>
            </w:r>
            <w:r>
              <w:rPr>
                <w:rFonts w:cs="Times New Roman"/>
              </w:rPr>
              <w:t>=1)</w:t>
            </w:r>
          </w:p>
        </w:tc>
        <w:tc>
          <w:tcPr>
            <w:tcW w:w="1228" w:type="dxa"/>
            <w:gridSpan w:val="2"/>
            <w:vAlign w:val="center"/>
          </w:tcPr>
          <w:p w:rsidR="00525419" w:rsidRDefault="00EE1CF7">
            <w:pPr>
              <w:pStyle w:val="B2"/>
              <w:rPr>
                <w:rFonts w:cs="Times New Roman"/>
              </w:rPr>
            </w:pPr>
            <w:r>
              <w:rPr>
                <w:rFonts w:cs="Times New Roman"/>
              </w:rPr>
              <w:t>0.78</w:t>
            </w:r>
            <w:r>
              <w:rPr>
                <w:rFonts w:cs="Times New Roman"/>
              </w:rPr>
              <w:t>～</w:t>
            </w:r>
            <w:r>
              <w:rPr>
                <w:rFonts w:cs="Times New Roman"/>
              </w:rPr>
              <w:t>0.97</w:t>
            </w:r>
          </w:p>
        </w:tc>
        <w:tc>
          <w:tcPr>
            <w:tcW w:w="1949" w:type="dxa"/>
            <w:gridSpan w:val="2"/>
            <w:vAlign w:val="center"/>
          </w:tcPr>
          <w:p w:rsidR="00525419" w:rsidRDefault="00EE1CF7">
            <w:pPr>
              <w:pStyle w:val="B2"/>
              <w:rPr>
                <w:rFonts w:cs="Times New Roman"/>
              </w:rPr>
            </w:pPr>
            <w:r>
              <w:rPr>
                <w:rFonts w:cs="Times New Roman"/>
              </w:rPr>
              <w:t>相对密度</w:t>
            </w:r>
            <w:r>
              <w:rPr>
                <w:rFonts w:cs="Times New Roman"/>
              </w:rPr>
              <w:t>(</w:t>
            </w:r>
            <w:r>
              <w:rPr>
                <w:rFonts w:cs="Times New Roman"/>
              </w:rPr>
              <w:t>空气</w:t>
            </w:r>
            <w:r>
              <w:rPr>
                <w:rFonts w:cs="Times New Roman"/>
              </w:rPr>
              <w:t>=1)</w:t>
            </w:r>
          </w:p>
        </w:tc>
        <w:tc>
          <w:tcPr>
            <w:tcW w:w="505" w:type="dxa"/>
            <w:vAlign w:val="center"/>
          </w:tcPr>
          <w:p w:rsidR="00525419" w:rsidRDefault="00EE1CF7">
            <w:pPr>
              <w:pStyle w:val="B2"/>
              <w:rPr>
                <w:rFonts w:cs="Times New Roman"/>
              </w:rPr>
            </w:pPr>
            <w:r>
              <w:rPr>
                <w:rFonts w:cs="Times New Roman"/>
              </w:rPr>
              <w:t>/</w:t>
            </w:r>
          </w:p>
        </w:tc>
      </w:tr>
      <w:tr w:rsidR="00525419">
        <w:trPr>
          <w:cantSplit/>
          <w:trHeight w:val="397"/>
          <w:jc w:val="center"/>
        </w:trPr>
        <w:tc>
          <w:tcPr>
            <w:tcW w:w="443" w:type="dxa"/>
            <w:vMerge/>
            <w:vAlign w:val="center"/>
          </w:tcPr>
          <w:p w:rsidR="00525419" w:rsidRDefault="00525419">
            <w:pPr>
              <w:pStyle w:val="B2"/>
              <w:rPr>
                <w:rFonts w:cs="Times New Roman"/>
              </w:rPr>
            </w:pPr>
          </w:p>
        </w:tc>
        <w:tc>
          <w:tcPr>
            <w:tcW w:w="1719" w:type="dxa"/>
            <w:vAlign w:val="center"/>
          </w:tcPr>
          <w:p w:rsidR="00525419" w:rsidRDefault="00EE1CF7">
            <w:pPr>
              <w:pStyle w:val="B2"/>
              <w:rPr>
                <w:rFonts w:cs="Times New Roman"/>
              </w:rPr>
            </w:pPr>
            <w:r>
              <w:rPr>
                <w:rFonts w:cs="Times New Roman"/>
              </w:rPr>
              <w:t>沸点（</w:t>
            </w:r>
            <w:r>
              <w:rPr>
                <w:rFonts w:cs="Times New Roman"/>
              </w:rPr>
              <w:t>℃</w:t>
            </w:r>
            <w:r>
              <w:rPr>
                <w:rFonts w:cs="Times New Roman"/>
              </w:rPr>
              <w:t>）</w:t>
            </w:r>
          </w:p>
        </w:tc>
        <w:tc>
          <w:tcPr>
            <w:tcW w:w="1338" w:type="dxa"/>
            <w:gridSpan w:val="3"/>
            <w:vAlign w:val="center"/>
          </w:tcPr>
          <w:p w:rsidR="00525419" w:rsidRDefault="00EE1CF7">
            <w:pPr>
              <w:pStyle w:val="B2"/>
              <w:rPr>
                <w:rFonts w:cs="Times New Roman"/>
              </w:rPr>
            </w:pPr>
            <w:r>
              <w:rPr>
                <w:rFonts w:cs="Times New Roman"/>
              </w:rPr>
              <w:t>20</w:t>
            </w:r>
            <w:r>
              <w:rPr>
                <w:rFonts w:cs="Times New Roman"/>
              </w:rPr>
              <w:t>～</w:t>
            </w:r>
            <w:r>
              <w:rPr>
                <w:rFonts w:cs="Times New Roman"/>
              </w:rPr>
              <w:t>160</w:t>
            </w:r>
          </w:p>
        </w:tc>
        <w:tc>
          <w:tcPr>
            <w:tcW w:w="2560" w:type="dxa"/>
            <w:gridSpan w:val="5"/>
            <w:vAlign w:val="center"/>
          </w:tcPr>
          <w:p w:rsidR="00525419" w:rsidRDefault="00EE1CF7">
            <w:pPr>
              <w:pStyle w:val="B2"/>
              <w:rPr>
                <w:rFonts w:cs="Times New Roman"/>
              </w:rPr>
            </w:pPr>
            <w:r>
              <w:rPr>
                <w:rFonts w:cs="Times New Roman"/>
              </w:rPr>
              <w:t>饱和蒸气压（</w:t>
            </w:r>
            <w:r>
              <w:rPr>
                <w:rFonts w:cs="Times New Roman"/>
              </w:rPr>
              <w:t>kPa</w:t>
            </w:r>
            <w:r>
              <w:rPr>
                <w:rFonts w:cs="Times New Roman"/>
              </w:rPr>
              <w:t>）</w:t>
            </w:r>
          </w:p>
        </w:tc>
        <w:tc>
          <w:tcPr>
            <w:tcW w:w="2454" w:type="dxa"/>
            <w:gridSpan w:val="3"/>
            <w:vAlign w:val="center"/>
          </w:tcPr>
          <w:p w:rsidR="00525419" w:rsidRDefault="00EE1CF7">
            <w:pPr>
              <w:pStyle w:val="B2"/>
              <w:rPr>
                <w:rFonts w:cs="Times New Roman"/>
              </w:rPr>
            </w:pPr>
            <w:r>
              <w:rPr>
                <w:rFonts w:cs="Times New Roman"/>
              </w:rPr>
              <w:t>/</w:t>
            </w:r>
          </w:p>
        </w:tc>
      </w:tr>
      <w:tr w:rsidR="00525419">
        <w:trPr>
          <w:cantSplit/>
          <w:trHeight w:val="397"/>
          <w:jc w:val="center"/>
        </w:trPr>
        <w:tc>
          <w:tcPr>
            <w:tcW w:w="443" w:type="dxa"/>
            <w:vMerge/>
            <w:vAlign w:val="center"/>
          </w:tcPr>
          <w:p w:rsidR="00525419" w:rsidRDefault="00525419">
            <w:pPr>
              <w:pStyle w:val="B2"/>
              <w:rPr>
                <w:rFonts w:cs="Times New Roman"/>
              </w:rPr>
            </w:pPr>
          </w:p>
        </w:tc>
        <w:tc>
          <w:tcPr>
            <w:tcW w:w="1719" w:type="dxa"/>
            <w:vAlign w:val="center"/>
          </w:tcPr>
          <w:p w:rsidR="00525419" w:rsidRDefault="00EE1CF7">
            <w:pPr>
              <w:pStyle w:val="B2"/>
              <w:rPr>
                <w:rFonts w:cs="Times New Roman"/>
              </w:rPr>
            </w:pPr>
            <w:r>
              <w:rPr>
                <w:rFonts w:cs="Times New Roman"/>
              </w:rPr>
              <w:t>溶解性</w:t>
            </w:r>
          </w:p>
        </w:tc>
        <w:tc>
          <w:tcPr>
            <w:tcW w:w="6352" w:type="dxa"/>
            <w:gridSpan w:val="11"/>
            <w:vAlign w:val="center"/>
          </w:tcPr>
          <w:p w:rsidR="00525419" w:rsidRDefault="00EE1CF7">
            <w:pPr>
              <w:pStyle w:val="B2"/>
              <w:rPr>
                <w:rFonts w:cs="Times New Roman"/>
              </w:rPr>
            </w:pPr>
            <w:r>
              <w:rPr>
                <w:rFonts w:cs="Times New Roman"/>
              </w:rPr>
              <w:t>不溶于水，溶于多数有机溶剂。</w:t>
            </w:r>
          </w:p>
        </w:tc>
      </w:tr>
      <w:tr w:rsidR="00525419">
        <w:trPr>
          <w:cantSplit/>
          <w:trHeight w:val="397"/>
          <w:jc w:val="center"/>
        </w:trPr>
        <w:tc>
          <w:tcPr>
            <w:tcW w:w="443" w:type="dxa"/>
            <w:vMerge w:val="restart"/>
            <w:vAlign w:val="center"/>
          </w:tcPr>
          <w:p w:rsidR="00525419" w:rsidRDefault="00EE1CF7">
            <w:pPr>
              <w:pStyle w:val="B2"/>
              <w:rPr>
                <w:rFonts w:cs="Times New Roman"/>
              </w:rPr>
            </w:pPr>
            <w:r>
              <w:rPr>
                <w:rFonts w:cs="Times New Roman"/>
              </w:rPr>
              <w:t>毒性及健康危害</w:t>
            </w:r>
          </w:p>
        </w:tc>
        <w:tc>
          <w:tcPr>
            <w:tcW w:w="1719" w:type="dxa"/>
            <w:vAlign w:val="center"/>
          </w:tcPr>
          <w:p w:rsidR="00525419" w:rsidRDefault="00EE1CF7">
            <w:pPr>
              <w:pStyle w:val="B2"/>
              <w:rPr>
                <w:rFonts w:cs="Times New Roman"/>
              </w:rPr>
            </w:pPr>
            <w:r>
              <w:rPr>
                <w:rFonts w:cs="Times New Roman"/>
              </w:rPr>
              <w:t>侵入途径</w:t>
            </w:r>
          </w:p>
        </w:tc>
        <w:tc>
          <w:tcPr>
            <w:tcW w:w="6352" w:type="dxa"/>
            <w:gridSpan w:val="11"/>
            <w:vAlign w:val="center"/>
          </w:tcPr>
          <w:p w:rsidR="00525419" w:rsidRDefault="00EE1CF7">
            <w:pPr>
              <w:pStyle w:val="B2"/>
              <w:rPr>
                <w:rFonts w:cs="Times New Roman"/>
              </w:rPr>
            </w:pPr>
            <w:r>
              <w:rPr>
                <w:rFonts w:cs="Times New Roman"/>
              </w:rPr>
              <w:t>吸入、食入、</w:t>
            </w:r>
            <w:r>
              <w:rPr>
                <w:rFonts w:cs="Times New Roman"/>
                <w:szCs w:val="21"/>
              </w:rPr>
              <w:t>经皮吸收</w:t>
            </w:r>
            <w:r>
              <w:rPr>
                <w:rFonts w:cs="Times New Roman"/>
              </w:rPr>
              <w:t>。</w:t>
            </w:r>
          </w:p>
        </w:tc>
      </w:tr>
      <w:tr w:rsidR="00525419">
        <w:trPr>
          <w:cantSplit/>
          <w:trHeight w:val="397"/>
          <w:jc w:val="center"/>
        </w:trPr>
        <w:tc>
          <w:tcPr>
            <w:tcW w:w="443" w:type="dxa"/>
            <w:vMerge/>
            <w:vAlign w:val="center"/>
          </w:tcPr>
          <w:p w:rsidR="00525419" w:rsidRDefault="00525419">
            <w:pPr>
              <w:pStyle w:val="B2"/>
              <w:rPr>
                <w:rFonts w:cs="Times New Roman"/>
              </w:rPr>
            </w:pPr>
          </w:p>
        </w:tc>
        <w:tc>
          <w:tcPr>
            <w:tcW w:w="1719" w:type="dxa"/>
            <w:vAlign w:val="center"/>
          </w:tcPr>
          <w:p w:rsidR="00525419" w:rsidRDefault="00EE1CF7">
            <w:pPr>
              <w:pStyle w:val="B2"/>
              <w:rPr>
                <w:rFonts w:cs="Times New Roman"/>
              </w:rPr>
            </w:pPr>
            <w:r>
              <w:rPr>
                <w:rFonts w:cs="Times New Roman"/>
              </w:rPr>
              <w:t>毒性</w:t>
            </w:r>
          </w:p>
        </w:tc>
        <w:tc>
          <w:tcPr>
            <w:tcW w:w="6352" w:type="dxa"/>
            <w:gridSpan w:val="11"/>
            <w:vAlign w:val="center"/>
          </w:tcPr>
          <w:p w:rsidR="00525419" w:rsidRDefault="00EE1CF7">
            <w:pPr>
              <w:pStyle w:val="B2"/>
              <w:rPr>
                <w:rFonts w:cs="Times New Roman"/>
              </w:rPr>
            </w:pPr>
            <w:r>
              <w:rPr>
                <w:rFonts w:cs="Times New Roman"/>
              </w:rPr>
              <w:t>LC</w:t>
            </w:r>
            <w:r>
              <w:rPr>
                <w:rFonts w:cs="Times New Roman"/>
                <w:vertAlign w:val="subscript"/>
              </w:rPr>
              <w:t>50</w:t>
            </w:r>
            <w:r>
              <w:rPr>
                <w:rFonts w:cs="Times New Roman"/>
              </w:rPr>
              <w:t>：</w:t>
            </w:r>
            <w:r>
              <w:rPr>
                <w:rFonts w:cs="Times New Roman"/>
              </w:rPr>
              <w:t>16000mg/m</w:t>
            </w:r>
            <w:r>
              <w:rPr>
                <w:rFonts w:cs="Times New Roman"/>
                <w:vertAlign w:val="superscript"/>
              </w:rPr>
              <w:t>3</w:t>
            </w:r>
            <w:r>
              <w:rPr>
                <w:rFonts w:cs="Times New Roman"/>
              </w:rPr>
              <w:t>，</w:t>
            </w:r>
            <w:r>
              <w:rPr>
                <w:rFonts w:cs="Times New Roman"/>
              </w:rPr>
              <w:t>4</w:t>
            </w:r>
            <w:r>
              <w:rPr>
                <w:rFonts w:cs="Times New Roman"/>
              </w:rPr>
              <w:t>小时</w:t>
            </w:r>
            <w:r>
              <w:rPr>
                <w:rFonts w:cs="Times New Roman"/>
              </w:rPr>
              <w:t>(</w:t>
            </w:r>
            <w:r>
              <w:rPr>
                <w:rFonts w:cs="Times New Roman"/>
              </w:rPr>
              <w:t>大鼠吸入</w:t>
            </w:r>
            <w:r>
              <w:rPr>
                <w:rFonts w:cs="Times New Roman"/>
              </w:rPr>
              <w:t>)</w:t>
            </w:r>
            <w:r>
              <w:rPr>
                <w:rFonts w:cs="Times New Roman"/>
              </w:rPr>
              <w:t>。</w:t>
            </w:r>
          </w:p>
        </w:tc>
      </w:tr>
      <w:tr w:rsidR="00525419">
        <w:trPr>
          <w:cantSplit/>
          <w:trHeight w:val="397"/>
          <w:jc w:val="center"/>
        </w:trPr>
        <w:tc>
          <w:tcPr>
            <w:tcW w:w="443" w:type="dxa"/>
            <w:vMerge/>
            <w:vAlign w:val="center"/>
          </w:tcPr>
          <w:p w:rsidR="00525419" w:rsidRDefault="00525419">
            <w:pPr>
              <w:pStyle w:val="B2"/>
              <w:rPr>
                <w:rFonts w:cs="Times New Roman"/>
              </w:rPr>
            </w:pPr>
          </w:p>
        </w:tc>
        <w:tc>
          <w:tcPr>
            <w:tcW w:w="1719" w:type="dxa"/>
            <w:vAlign w:val="center"/>
          </w:tcPr>
          <w:p w:rsidR="00525419" w:rsidRDefault="00EE1CF7">
            <w:pPr>
              <w:pStyle w:val="B2"/>
              <w:rPr>
                <w:rFonts w:cs="Times New Roman"/>
              </w:rPr>
            </w:pPr>
            <w:r>
              <w:rPr>
                <w:rFonts w:cs="Times New Roman"/>
              </w:rPr>
              <w:t>健康危害</w:t>
            </w:r>
          </w:p>
        </w:tc>
        <w:tc>
          <w:tcPr>
            <w:tcW w:w="6352" w:type="dxa"/>
            <w:gridSpan w:val="11"/>
            <w:vAlign w:val="center"/>
          </w:tcPr>
          <w:p w:rsidR="00525419" w:rsidRDefault="00EE1CF7">
            <w:pPr>
              <w:pStyle w:val="B2"/>
              <w:rPr>
                <w:rFonts w:cs="Times New Roman"/>
              </w:rPr>
            </w:pPr>
            <w:r>
              <w:rPr>
                <w:rFonts w:cs="Times New Roman"/>
              </w:rPr>
              <w:t>蒸气可引起眼及上呼吸道刺激症状，如浓度过高，几分钟即可引起呼吸困难、紫绀等缺氧症状。</w:t>
            </w:r>
          </w:p>
        </w:tc>
      </w:tr>
      <w:tr w:rsidR="00525419">
        <w:trPr>
          <w:cantSplit/>
          <w:trHeight w:val="397"/>
          <w:jc w:val="center"/>
        </w:trPr>
        <w:tc>
          <w:tcPr>
            <w:tcW w:w="443" w:type="dxa"/>
            <w:vMerge/>
            <w:vAlign w:val="center"/>
          </w:tcPr>
          <w:p w:rsidR="00525419" w:rsidRDefault="00525419">
            <w:pPr>
              <w:pStyle w:val="B2"/>
              <w:rPr>
                <w:rFonts w:cs="Times New Roman"/>
              </w:rPr>
            </w:pPr>
          </w:p>
        </w:tc>
        <w:tc>
          <w:tcPr>
            <w:tcW w:w="1719" w:type="dxa"/>
            <w:vAlign w:val="center"/>
          </w:tcPr>
          <w:p w:rsidR="00525419" w:rsidRDefault="00EE1CF7">
            <w:pPr>
              <w:pStyle w:val="B2"/>
              <w:rPr>
                <w:rFonts w:cs="Times New Roman"/>
              </w:rPr>
            </w:pPr>
            <w:r>
              <w:rPr>
                <w:rFonts w:cs="Times New Roman"/>
              </w:rPr>
              <w:t>急救方法</w:t>
            </w:r>
          </w:p>
        </w:tc>
        <w:tc>
          <w:tcPr>
            <w:tcW w:w="6352" w:type="dxa"/>
            <w:gridSpan w:val="11"/>
            <w:vAlign w:val="center"/>
          </w:tcPr>
          <w:p w:rsidR="00525419" w:rsidRDefault="00EE1CF7">
            <w:pPr>
              <w:pStyle w:val="B2"/>
              <w:rPr>
                <w:rFonts w:cs="Times New Roman"/>
              </w:rPr>
            </w:pPr>
            <w:r>
              <w:rPr>
                <w:rFonts w:cs="Times New Roman"/>
              </w:rPr>
              <w:t>皮肤接触：脱去被污染的衣着，用肥皂水和清水彻底冲洗皮肤。</w:t>
            </w:r>
          </w:p>
          <w:p w:rsidR="00525419" w:rsidRDefault="00EE1CF7">
            <w:pPr>
              <w:pStyle w:val="B2"/>
              <w:rPr>
                <w:rFonts w:cs="Times New Roman"/>
              </w:rPr>
            </w:pPr>
            <w:r>
              <w:rPr>
                <w:rFonts w:cs="Times New Roman"/>
              </w:rPr>
              <w:t>眼睛接触：提起眼睑，用流动清水或生理盐水冲洗。就医。</w:t>
            </w:r>
          </w:p>
          <w:p w:rsidR="00525419" w:rsidRDefault="00EE1CF7">
            <w:pPr>
              <w:pStyle w:val="B2"/>
              <w:rPr>
                <w:rFonts w:cs="Times New Roman"/>
              </w:rPr>
            </w:pPr>
            <w:r>
              <w:rPr>
                <w:rFonts w:cs="Times New Roman"/>
              </w:rPr>
              <w:t>吸入：迅速脱离现场至空气新鲜处。保持呼吸道通畅。如呼吸困难，给输氧。如呼吸停止，立即进行人工呼吸。就医。</w:t>
            </w:r>
          </w:p>
          <w:p w:rsidR="00525419" w:rsidRDefault="00EE1CF7">
            <w:pPr>
              <w:pStyle w:val="B2"/>
              <w:rPr>
                <w:rFonts w:cs="Times New Roman"/>
              </w:rPr>
            </w:pPr>
            <w:r>
              <w:rPr>
                <w:rFonts w:cs="Times New Roman"/>
              </w:rPr>
              <w:t>食入：误服者用水漱口，给饮牛奶或蛋清。就医。</w:t>
            </w:r>
          </w:p>
        </w:tc>
      </w:tr>
      <w:tr w:rsidR="00525419">
        <w:trPr>
          <w:cantSplit/>
          <w:trHeight w:val="397"/>
          <w:jc w:val="center"/>
        </w:trPr>
        <w:tc>
          <w:tcPr>
            <w:tcW w:w="443" w:type="dxa"/>
            <w:vMerge w:val="restart"/>
            <w:vAlign w:val="center"/>
          </w:tcPr>
          <w:p w:rsidR="00525419" w:rsidRDefault="00EE1CF7">
            <w:pPr>
              <w:pStyle w:val="B2"/>
              <w:rPr>
                <w:rFonts w:cs="Times New Roman"/>
              </w:rPr>
            </w:pPr>
            <w:r>
              <w:rPr>
                <w:rFonts w:cs="Times New Roman"/>
              </w:rPr>
              <w:t>燃烧爆</w:t>
            </w:r>
            <w:r>
              <w:rPr>
                <w:rFonts w:cs="Times New Roman"/>
              </w:rPr>
              <w:lastRenderedPageBreak/>
              <w:t>炸危险性</w:t>
            </w:r>
          </w:p>
        </w:tc>
        <w:tc>
          <w:tcPr>
            <w:tcW w:w="1719" w:type="dxa"/>
            <w:vAlign w:val="center"/>
          </w:tcPr>
          <w:p w:rsidR="00525419" w:rsidRDefault="00EE1CF7">
            <w:pPr>
              <w:pStyle w:val="B2"/>
              <w:rPr>
                <w:rFonts w:cs="Times New Roman"/>
                <w:szCs w:val="21"/>
              </w:rPr>
            </w:pPr>
            <w:r>
              <w:rPr>
                <w:rFonts w:cs="Times New Roman"/>
                <w:szCs w:val="21"/>
              </w:rPr>
              <w:lastRenderedPageBreak/>
              <w:t>燃烧性</w:t>
            </w:r>
          </w:p>
        </w:tc>
        <w:tc>
          <w:tcPr>
            <w:tcW w:w="1406" w:type="dxa"/>
            <w:gridSpan w:val="4"/>
            <w:vAlign w:val="center"/>
          </w:tcPr>
          <w:p w:rsidR="00525419" w:rsidRDefault="00EE1CF7">
            <w:pPr>
              <w:pStyle w:val="B2"/>
              <w:rPr>
                <w:rFonts w:cs="Times New Roman"/>
                <w:szCs w:val="21"/>
              </w:rPr>
            </w:pPr>
            <w:r>
              <w:rPr>
                <w:rFonts w:cs="Times New Roman"/>
                <w:szCs w:val="21"/>
              </w:rPr>
              <w:t>易燃</w:t>
            </w:r>
          </w:p>
        </w:tc>
        <w:tc>
          <w:tcPr>
            <w:tcW w:w="1935" w:type="dxa"/>
            <w:gridSpan w:val="3"/>
            <w:vAlign w:val="center"/>
          </w:tcPr>
          <w:p w:rsidR="00525419" w:rsidRDefault="00EE1CF7">
            <w:pPr>
              <w:pStyle w:val="B2"/>
              <w:rPr>
                <w:rFonts w:cs="Times New Roman"/>
                <w:szCs w:val="21"/>
              </w:rPr>
            </w:pPr>
            <w:r>
              <w:rPr>
                <w:rFonts w:cs="Times New Roman"/>
                <w:szCs w:val="21"/>
              </w:rPr>
              <w:t>燃烧分解物</w:t>
            </w:r>
          </w:p>
        </w:tc>
        <w:tc>
          <w:tcPr>
            <w:tcW w:w="3011" w:type="dxa"/>
            <w:gridSpan w:val="4"/>
            <w:vAlign w:val="center"/>
          </w:tcPr>
          <w:p w:rsidR="00525419" w:rsidRDefault="00EE1CF7">
            <w:pPr>
              <w:pStyle w:val="B2"/>
              <w:rPr>
                <w:rFonts w:cs="Times New Roman"/>
                <w:szCs w:val="21"/>
              </w:rPr>
            </w:pPr>
            <w:r>
              <w:rPr>
                <w:rFonts w:cs="Times New Roman"/>
                <w:szCs w:val="21"/>
              </w:rPr>
              <w:t>一氧化碳、二氧化碳。</w:t>
            </w:r>
          </w:p>
        </w:tc>
      </w:tr>
      <w:tr w:rsidR="00525419">
        <w:trPr>
          <w:cantSplit/>
          <w:trHeight w:val="397"/>
          <w:jc w:val="center"/>
        </w:trPr>
        <w:tc>
          <w:tcPr>
            <w:tcW w:w="443" w:type="dxa"/>
            <w:vMerge/>
            <w:vAlign w:val="center"/>
          </w:tcPr>
          <w:p w:rsidR="00525419" w:rsidRDefault="00525419">
            <w:pPr>
              <w:pStyle w:val="B2"/>
              <w:rPr>
                <w:rFonts w:cs="Times New Roman"/>
              </w:rPr>
            </w:pPr>
          </w:p>
        </w:tc>
        <w:tc>
          <w:tcPr>
            <w:tcW w:w="1719" w:type="dxa"/>
            <w:vAlign w:val="center"/>
          </w:tcPr>
          <w:p w:rsidR="00525419" w:rsidRDefault="00EE1CF7">
            <w:pPr>
              <w:pStyle w:val="B2"/>
              <w:rPr>
                <w:rFonts w:cs="Times New Roman"/>
                <w:szCs w:val="21"/>
              </w:rPr>
            </w:pPr>
            <w:r>
              <w:rPr>
                <w:rFonts w:cs="Times New Roman"/>
                <w:szCs w:val="21"/>
              </w:rPr>
              <w:t>闪点</w:t>
            </w:r>
            <w:r>
              <w:rPr>
                <w:rFonts w:cs="Times New Roman"/>
                <w:szCs w:val="21"/>
              </w:rPr>
              <w:t>(℃)</w:t>
            </w:r>
          </w:p>
        </w:tc>
        <w:tc>
          <w:tcPr>
            <w:tcW w:w="1406" w:type="dxa"/>
            <w:gridSpan w:val="4"/>
            <w:vAlign w:val="center"/>
          </w:tcPr>
          <w:p w:rsidR="00525419" w:rsidRDefault="00EE1CF7">
            <w:pPr>
              <w:pStyle w:val="B2"/>
              <w:rPr>
                <w:rFonts w:cs="Times New Roman"/>
                <w:szCs w:val="21"/>
              </w:rPr>
            </w:pPr>
            <w:r>
              <w:rPr>
                <w:rFonts w:cs="Times New Roman"/>
                <w:szCs w:val="21"/>
              </w:rPr>
              <w:t>-2</w:t>
            </w:r>
          </w:p>
        </w:tc>
        <w:tc>
          <w:tcPr>
            <w:tcW w:w="1935" w:type="dxa"/>
            <w:gridSpan w:val="3"/>
            <w:vAlign w:val="center"/>
          </w:tcPr>
          <w:p w:rsidR="00525419" w:rsidRDefault="00EE1CF7">
            <w:pPr>
              <w:pStyle w:val="B2"/>
              <w:rPr>
                <w:rFonts w:cs="Times New Roman"/>
                <w:szCs w:val="21"/>
              </w:rPr>
            </w:pPr>
            <w:r>
              <w:rPr>
                <w:rFonts w:cs="Times New Roman"/>
                <w:szCs w:val="21"/>
              </w:rPr>
              <w:t>爆炸上限</w:t>
            </w:r>
            <w:r>
              <w:rPr>
                <w:rFonts w:cs="Times New Roman"/>
                <w:szCs w:val="21"/>
              </w:rPr>
              <w:t>%</w:t>
            </w:r>
            <w:r>
              <w:rPr>
                <w:rFonts w:cs="Times New Roman"/>
                <w:szCs w:val="21"/>
              </w:rPr>
              <w:t>（</w:t>
            </w:r>
            <w:r>
              <w:rPr>
                <w:rFonts w:cs="Times New Roman"/>
                <w:szCs w:val="21"/>
              </w:rPr>
              <w:t>v%</w:t>
            </w:r>
            <w:r>
              <w:rPr>
                <w:rFonts w:cs="Times New Roman"/>
                <w:szCs w:val="21"/>
              </w:rPr>
              <w:t>）：</w:t>
            </w:r>
          </w:p>
        </w:tc>
        <w:tc>
          <w:tcPr>
            <w:tcW w:w="3011" w:type="dxa"/>
            <w:gridSpan w:val="4"/>
            <w:vAlign w:val="center"/>
          </w:tcPr>
          <w:p w:rsidR="00525419" w:rsidRDefault="00EE1CF7">
            <w:pPr>
              <w:pStyle w:val="B2"/>
              <w:rPr>
                <w:rFonts w:cs="Times New Roman"/>
                <w:szCs w:val="21"/>
              </w:rPr>
            </w:pPr>
            <w:r>
              <w:rPr>
                <w:rFonts w:cs="Times New Roman"/>
                <w:szCs w:val="21"/>
              </w:rPr>
              <w:t>8.7</w:t>
            </w:r>
          </w:p>
        </w:tc>
      </w:tr>
      <w:tr w:rsidR="00525419">
        <w:trPr>
          <w:cantSplit/>
          <w:trHeight w:val="397"/>
          <w:jc w:val="center"/>
        </w:trPr>
        <w:tc>
          <w:tcPr>
            <w:tcW w:w="443" w:type="dxa"/>
            <w:vMerge/>
            <w:vAlign w:val="center"/>
          </w:tcPr>
          <w:p w:rsidR="00525419" w:rsidRDefault="00525419">
            <w:pPr>
              <w:pStyle w:val="B2"/>
              <w:rPr>
                <w:rFonts w:cs="Times New Roman"/>
              </w:rPr>
            </w:pPr>
          </w:p>
        </w:tc>
        <w:tc>
          <w:tcPr>
            <w:tcW w:w="1719" w:type="dxa"/>
            <w:vAlign w:val="center"/>
          </w:tcPr>
          <w:p w:rsidR="00525419" w:rsidRDefault="00EE1CF7">
            <w:pPr>
              <w:pStyle w:val="B2"/>
              <w:rPr>
                <w:rFonts w:cs="Times New Roman"/>
                <w:szCs w:val="21"/>
              </w:rPr>
            </w:pPr>
            <w:r>
              <w:rPr>
                <w:rFonts w:cs="Times New Roman"/>
                <w:szCs w:val="21"/>
              </w:rPr>
              <w:t>自燃温度</w:t>
            </w:r>
            <w:r>
              <w:rPr>
                <w:rFonts w:cs="Times New Roman"/>
                <w:szCs w:val="21"/>
              </w:rPr>
              <w:t>(℃)</w:t>
            </w:r>
          </w:p>
        </w:tc>
        <w:tc>
          <w:tcPr>
            <w:tcW w:w="1406" w:type="dxa"/>
            <w:gridSpan w:val="4"/>
            <w:vAlign w:val="center"/>
          </w:tcPr>
          <w:p w:rsidR="00525419" w:rsidRDefault="00EE1CF7">
            <w:pPr>
              <w:pStyle w:val="B2"/>
              <w:rPr>
                <w:rFonts w:cs="Times New Roman"/>
                <w:szCs w:val="21"/>
              </w:rPr>
            </w:pPr>
            <w:r>
              <w:rPr>
                <w:rFonts w:cs="Times New Roman"/>
                <w:szCs w:val="21"/>
              </w:rPr>
              <w:t>350</w:t>
            </w:r>
          </w:p>
        </w:tc>
        <w:tc>
          <w:tcPr>
            <w:tcW w:w="1935" w:type="dxa"/>
            <w:gridSpan w:val="3"/>
            <w:vAlign w:val="center"/>
          </w:tcPr>
          <w:p w:rsidR="00525419" w:rsidRDefault="00EE1CF7">
            <w:pPr>
              <w:pStyle w:val="B2"/>
              <w:rPr>
                <w:rFonts w:cs="Times New Roman"/>
                <w:szCs w:val="21"/>
              </w:rPr>
            </w:pPr>
            <w:r>
              <w:rPr>
                <w:rFonts w:cs="Times New Roman"/>
                <w:szCs w:val="21"/>
              </w:rPr>
              <w:t>爆炸下限</w:t>
            </w:r>
            <w:r>
              <w:rPr>
                <w:rFonts w:cs="Times New Roman"/>
                <w:szCs w:val="21"/>
              </w:rPr>
              <w:t>%</w:t>
            </w:r>
            <w:r>
              <w:rPr>
                <w:rFonts w:cs="Times New Roman"/>
                <w:szCs w:val="21"/>
              </w:rPr>
              <w:t>（</w:t>
            </w:r>
            <w:r>
              <w:rPr>
                <w:rFonts w:cs="Times New Roman"/>
                <w:szCs w:val="21"/>
              </w:rPr>
              <w:t>v%</w:t>
            </w:r>
            <w:r>
              <w:rPr>
                <w:rFonts w:cs="Times New Roman"/>
                <w:szCs w:val="21"/>
              </w:rPr>
              <w:t>）：</w:t>
            </w:r>
          </w:p>
        </w:tc>
        <w:tc>
          <w:tcPr>
            <w:tcW w:w="3011" w:type="dxa"/>
            <w:gridSpan w:val="4"/>
            <w:vAlign w:val="center"/>
          </w:tcPr>
          <w:p w:rsidR="00525419" w:rsidRDefault="00EE1CF7">
            <w:pPr>
              <w:pStyle w:val="B2"/>
              <w:rPr>
                <w:rFonts w:cs="Times New Roman"/>
                <w:szCs w:val="21"/>
              </w:rPr>
            </w:pPr>
            <w:r>
              <w:rPr>
                <w:rFonts w:cs="Times New Roman"/>
                <w:szCs w:val="21"/>
              </w:rPr>
              <w:t>1.1</w:t>
            </w:r>
          </w:p>
        </w:tc>
      </w:tr>
      <w:tr w:rsidR="00525419">
        <w:trPr>
          <w:cantSplit/>
          <w:trHeight w:val="397"/>
          <w:jc w:val="center"/>
        </w:trPr>
        <w:tc>
          <w:tcPr>
            <w:tcW w:w="443" w:type="dxa"/>
            <w:vMerge/>
            <w:vAlign w:val="center"/>
          </w:tcPr>
          <w:p w:rsidR="00525419" w:rsidRDefault="00525419">
            <w:pPr>
              <w:pStyle w:val="B2"/>
              <w:rPr>
                <w:rFonts w:cs="Times New Roman"/>
              </w:rPr>
            </w:pPr>
          </w:p>
        </w:tc>
        <w:tc>
          <w:tcPr>
            <w:tcW w:w="1719" w:type="dxa"/>
            <w:vAlign w:val="center"/>
          </w:tcPr>
          <w:p w:rsidR="00525419" w:rsidRDefault="00EE1CF7">
            <w:pPr>
              <w:pStyle w:val="B2"/>
              <w:rPr>
                <w:rFonts w:cs="Times New Roman"/>
                <w:szCs w:val="21"/>
              </w:rPr>
            </w:pPr>
            <w:r>
              <w:rPr>
                <w:rFonts w:cs="Times New Roman"/>
                <w:szCs w:val="21"/>
              </w:rPr>
              <w:t>建规火险分级</w:t>
            </w:r>
          </w:p>
        </w:tc>
        <w:tc>
          <w:tcPr>
            <w:tcW w:w="1406" w:type="dxa"/>
            <w:gridSpan w:val="4"/>
            <w:vAlign w:val="center"/>
          </w:tcPr>
          <w:p w:rsidR="00525419" w:rsidRDefault="00EE1CF7">
            <w:pPr>
              <w:pStyle w:val="B2"/>
              <w:rPr>
                <w:rFonts w:cs="Times New Roman"/>
                <w:szCs w:val="21"/>
              </w:rPr>
            </w:pPr>
            <w:r>
              <w:rPr>
                <w:rFonts w:cs="Times New Roman"/>
                <w:szCs w:val="21"/>
              </w:rPr>
              <w:t>甲</w:t>
            </w:r>
          </w:p>
        </w:tc>
        <w:tc>
          <w:tcPr>
            <w:tcW w:w="966" w:type="dxa"/>
            <w:vAlign w:val="center"/>
          </w:tcPr>
          <w:p w:rsidR="00525419" w:rsidRDefault="00EE1CF7">
            <w:pPr>
              <w:pStyle w:val="B2"/>
              <w:rPr>
                <w:rFonts w:cs="Times New Roman"/>
                <w:szCs w:val="21"/>
              </w:rPr>
            </w:pPr>
            <w:r>
              <w:rPr>
                <w:rFonts w:cs="Times New Roman"/>
                <w:szCs w:val="21"/>
              </w:rPr>
              <w:t>稳定性</w:t>
            </w:r>
          </w:p>
        </w:tc>
        <w:tc>
          <w:tcPr>
            <w:tcW w:w="969" w:type="dxa"/>
            <w:gridSpan w:val="2"/>
            <w:vAlign w:val="center"/>
          </w:tcPr>
          <w:p w:rsidR="00525419" w:rsidRDefault="00EE1CF7">
            <w:pPr>
              <w:pStyle w:val="B2"/>
              <w:rPr>
                <w:rFonts w:cs="Times New Roman"/>
                <w:szCs w:val="21"/>
              </w:rPr>
            </w:pPr>
            <w:r>
              <w:rPr>
                <w:rFonts w:cs="Times New Roman"/>
                <w:szCs w:val="21"/>
              </w:rPr>
              <w:t>稳定</w:t>
            </w:r>
          </w:p>
        </w:tc>
        <w:tc>
          <w:tcPr>
            <w:tcW w:w="1504" w:type="dxa"/>
            <w:gridSpan w:val="2"/>
            <w:vAlign w:val="center"/>
          </w:tcPr>
          <w:p w:rsidR="00525419" w:rsidRDefault="00EE1CF7">
            <w:pPr>
              <w:pStyle w:val="B2"/>
              <w:rPr>
                <w:rFonts w:cs="Times New Roman"/>
                <w:szCs w:val="21"/>
              </w:rPr>
            </w:pPr>
            <w:r>
              <w:rPr>
                <w:rFonts w:cs="Times New Roman"/>
                <w:szCs w:val="21"/>
              </w:rPr>
              <w:t>聚合危害</w:t>
            </w:r>
          </w:p>
        </w:tc>
        <w:tc>
          <w:tcPr>
            <w:tcW w:w="1507" w:type="dxa"/>
            <w:gridSpan w:val="2"/>
            <w:vAlign w:val="center"/>
          </w:tcPr>
          <w:p w:rsidR="00525419" w:rsidRDefault="00EE1CF7">
            <w:pPr>
              <w:pStyle w:val="B2"/>
              <w:rPr>
                <w:rFonts w:cs="Times New Roman"/>
                <w:szCs w:val="21"/>
              </w:rPr>
            </w:pPr>
            <w:r>
              <w:rPr>
                <w:rFonts w:cs="Times New Roman"/>
                <w:szCs w:val="21"/>
              </w:rPr>
              <w:t>不聚合</w:t>
            </w:r>
          </w:p>
        </w:tc>
      </w:tr>
      <w:tr w:rsidR="00525419">
        <w:trPr>
          <w:cantSplit/>
          <w:trHeight w:val="397"/>
          <w:jc w:val="center"/>
        </w:trPr>
        <w:tc>
          <w:tcPr>
            <w:tcW w:w="443" w:type="dxa"/>
            <w:vMerge/>
            <w:vAlign w:val="center"/>
          </w:tcPr>
          <w:p w:rsidR="00525419" w:rsidRDefault="00525419">
            <w:pPr>
              <w:pStyle w:val="B2"/>
              <w:rPr>
                <w:rFonts w:cs="Times New Roman"/>
              </w:rPr>
            </w:pPr>
          </w:p>
        </w:tc>
        <w:tc>
          <w:tcPr>
            <w:tcW w:w="1719" w:type="dxa"/>
            <w:vAlign w:val="center"/>
          </w:tcPr>
          <w:p w:rsidR="00525419" w:rsidRDefault="00EE1CF7">
            <w:pPr>
              <w:pStyle w:val="B2"/>
              <w:rPr>
                <w:rFonts w:cs="Times New Roman"/>
                <w:szCs w:val="21"/>
              </w:rPr>
            </w:pPr>
            <w:r>
              <w:rPr>
                <w:rFonts w:cs="Times New Roman"/>
                <w:szCs w:val="21"/>
              </w:rPr>
              <w:t>禁忌物</w:t>
            </w:r>
          </w:p>
        </w:tc>
        <w:tc>
          <w:tcPr>
            <w:tcW w:w="6352" w:type="dxa"/>
            <w:gridSpan w:val="11"/>
            <w:vAlign w:val="center"/>
          </w:tcPr>
          <w:p w:rsidR="00525419" w:rsidRDefault="00EE1CF7">
            <w:pPr>
              <w:pStyle w:val="B2"/>
              <w:rPr>
                <w:rFonts w:cs="Times New Roman"/>
                <w:szCs w:val="21"/>
              </w:rPr>
            </w:pPr>
            <w:r>
              <w:rPr>
                <w:rFonts w:cs="Times New Roman"/>
                <w:szCs w:val="21"/>
              </w:rPr>
              <w:t>强氧化剂。</w:t>
            </w:r>
          </w:p>
        </w:tc>
      </w:tr>
      <w:tr w:rsidR="00525419">
        <w:trPr>
          <w:cantSplit/>
          <w:trHeight w:val="397"/>
          <w:jc w:val="center"/>
        </w:trPr>
        <w:tc>
          <w:tcPr>
            <w:tcW w:w="443" w:type="dxa"/>
            <w:vMerge/>
            <w:vAlign w:val="center"/>
          </w:tcPr>
          <w:p w:rsidR="00525419" w:rsidRDefault="00525419">
            <w:pPr>
              <w:pStyle w:val="B2"/>
              <w:rPr>
                <w:rFonts w:cs="Times New Roman"/>
              </w:rPr>
            </w:pPr>
          </w:p>
        </w:tc>
        <w:tc>
          <w:tcPr>
            <w:tcW w:w="1719" w:type="dxa"/>
            <w:vAlign w:val="center"/>
          </w:tcPr>
          <w:p w:rsidR="00525419" w:rsidRDefault="00EE1CF7">
            <w:pPr>
              <w:pStyle w:val="B2"/>
              <w:rPr>
                <w:rFonts w:cs="Times New Roman"/>
              </w:rPr>
            </w:pPr>
            <w:r>
              <w:rPr>
                <w:rFonts w:cs="Times New Roman"/>
              </w:rPr>
              <w:t>危险特性</w:t>
            </w:r>
          </w:p>
        </w:tc>
        <w:tc>
          <w:tcPr>
            <w:tcW w:w="6352" w:type="dxa"/>
            <w:gridSpan w:val="11"/>
            <w:vAlign w:val="center"/>
          </w:tcPr>
          <w:p w:rsidR="00525419" w:rsidRDefault="00EE1CF7">
            <w:pPr>
              <w:pStyle w:val="B2"/>
              <w:rPr>
                <w:rFonts w:cs="Times New Roman"/>
              </w:rPr>
            </w:pPr>
            <w:r>
              <w:rPr>
                <w:rFonts w:cs="Times New Roman"/>
              </w:rPr>
              <w:t>其蒸气与空气可形成爆炸性混合物。遇明火、高热能引起燃烧爆炸。与氧化剂能发生强烈反应。其蒸气比空气重，能在较低处扩散到相当远的地方，遇明火会引着回燃。</w:t>
            </w:r>
          </w:p>
        </w:tc>
      </w:tr>
      <w:tr w:rsidR="00525419">
        <w:trPr>
          <w:cantSplit/>
          <w:trHeight w:val="397"/>
          <w:jc w:val="center"/>
        </w:trPr>
        <w:tc>
          <w:tcPr>
            <w:tcW w:w="443" w:type="dxa"/>
            <w:vMerge/>
            <w:vAlign w:val="center"/>
          </w:tcPr>
          <w:p w:rsidR="00525419" w:rsidRDefault="00525419">
            <w:pPr>
              <w:pStyle w:val="B2"/>
              <w:rPr>
                <w:rFonts w:cs="Times New Roman"/>
              </w:rPr>
            </w:pPr>
          </w:p>
        </w:tc>
        <w:tc>
          <w:tcPr>
            <w:tcW w:w="1719" w:type="dxa"/>
            <w:vAlign w:val="center"/>
          </w:tcPr>
          <w:p w:rsidR="00525419" w:rsidRDefault="00EE1CF7">
            <w:pPr>
              <w:pStyle w:val="B2"/>
              <w:rPr>
                <w:rFonts w:cs="Times New Roman"/>
              </w:rPr>
            </w:pPr>
            <w:r>
              <w:rPr>
                <w:rFonts w:cs="Times New Roman"/>
              </w:rPr>
              <w:t>储运条件</w:t>
            </w:r>
          </w:p>
          <w:p w:rsidR="00525419" w:rsidRDefault="00EE1CF7">
            <w:pPr>
              <w:pStyle w:val="B2"/>
              <w:rPr>
                <w:rFonts w:cs="Times New Roman"/>
              </w:rPr>
            </w:pPr>
            <w:r>
              <w:rPr>
                <w:rFonts w:cs="Times New Roman"/>
              </w:rPr>
              <w:t>与泄漏处理</w:t>
            </w:r>
          </w:p>
        </w:tc>
        <w:tc>
          <w:tcPr>
            <w:tcW w:w="6352" w:type="dxa"/>
            <w:gridSpan w:val="11"/>
            <w:vAlign w:val="center"/>
          </w:tcPr>
          <w:p w:rsidR="00525419" w:rsidRDefault="00EE1CF7">
            <w:pPr>
              <w:pStyle w:val="B2"/>
              <w:rPr>
                <w:rFonts w:cs="Times New Roman"/>
                <w:szCs w:val="21"/>
              </w:rPr>
            </w:pPr>
            <w:r>
              <w:rPr>
                <w:rFonts w:cs="Times New Roman"/>
                <w:b/>
              </w:rPr>
              <w:t>储运条件</w:t>
            </w:r>
            <w:r>
              <w:rPr>
                <w:rFonts w:cs="Times New Roman"/>
              </w:rPr>
              <w:t>：储存于阴凉、通风的仓间内，远离火种、热源。防止阳光直射；保持容器密封。应与氧化剂分开存放。搬运时应轻装轻卸，防止包装和容器损坏。</w:t>
            </w:r>
            <w:r>
              <w:rPr>
                <w:rFonts w:cs="Times New Roman"/>
                <w:szCs w:val="21"/>
              </w:rPr>
              <w:t>运输时所用的槽（罐）车应有接地链，槽内可设孔隔板以减少震荡产生静电。严禁与氧化剂、食用化学品等混装混运。装运该物品的车辆排气管必须配备阻火装置，禁止使用易产生火花的机械设备和工具装卸。公路运输时要按规定路线行驶，勿在居民区和人口稠密区停留。铁路运输时要禁止溜放。严禁用木船、水泥船散装运输。</w:t>
            </w:r>
          </w:p>
          <w:p w:rsidR="00525419" w:rsidRDefault="00EE1CF7">
            <w:pPr>
              <w:pStyle w:val="B2"/>
              <w:rPr>
                <w:rFonts w:cs="Times New Roman"/>
              </w:rPr>
            </w:pPr>
            <w:r>
              <w:rPr>
                <w:rFonts w:cs="Times New Roman"/>
                <w:b/>
              </w:rPr>
              <w:t>泄漏处理</w:t>
            </w:r>
            <w:r>
              <w:rPr>
                <w:rFonts w:cs="Times New Roman"/>
              </w:rPr>
              <w:t>：迅速撤离泄漏污染区人员至安全区，并进行隔离，严格限制出入。切断火源。建议应急处理人员戴自给正压式呼吸器，穿消防防护服。尽可能切断泄漏源。防止进入下水道、排洪沟等限制性空间。小量泄漏：用砂土、蛭石或其它惰性材料吸收。大量泄漏：构筑围堤或挖坑收容；用泡沫覆盖，降低蒸气灾害。用防爆泵转移至槽车或专用收集器内，回收或运至废物处理场所处置。</w:t>
            </w:r>
          </w:p>
        </w:tc>
      </w:tr>
      <w:tr w:rsidR="00525419">
        <w:trPr>
          <w:cantSplit/>
          <w:trHeight w:val="397"/>
          <w:jc w:val="center"/>
        </w:trPr>
        <w:tc>
          <w:tcPr>
            <w:tcW w:w="443" w:type="dxa"/>
            <w:vMerge/>
            <w:vAlign w:val="center"/>
          </w:tcPr>
          <w:p w:rsidR="00525419" w:rsidRDefault="00525419">
            <w:pPr>
              <w:pStyle w:val="B2"/>
              <w:rPr>
                <w:rFonts w:cs="Times New Roman"/>
              </w:rPr>
            </w:pPr>
          </w:p>
        </w:tc>
        <w:tc>
          <w:tcPr>
            <w:tcW w:w="1719" w:type="dxa"/>
            <w:vAlign w:val="center"/>
          </w:tcPr>
          <w:p w:rsidR="00525419" w:rsidRDefault="00EE1CF7">
            <w:pPr>
              <w:pStyle w:val="B2"/>
              <w:rPr>
                <w:rFonts w:cs="Times New Roman"/>
              </w:rPr>
            </w:pPr>
            <w:r>
              <w:rPr>
                <w:rFonts w:cs="Times New Roman"/>
              </w:rPr>
              <w:t>灭火方法</w:t>
            </w:r>
          </w:p>
        </w:tc>
        <w:tc>
          <w:tcPr>
            <w:tcW w:w="6352" w:type="dxa"/>
            <w:gridSpan w:val="11"/>
            <w:vAlign w:val="center"/>
          </w:tcPr>
          <w:p w:rsidR="00525419" w:rsidRDefault="00EE1CF7">
            <w:pPr>
              <w:pStyle w:val="B2"/>
              <w:rPr>
                <w:rFonts w:cs="Times New Roman"/>
              </w:rPr>
            </w:pPr>
            <w:r>
              <w:rPr>
                <w:rFonts w:cs="Times New Roman"/>
              </w:rPr>
              <w:t>喷水冷却容器，可能的话将容器从火场移至空旷处。处在火场中的容器若已变色或从安全泄压装置中产生声音，必须马上撤离。灭火剂：泡沫、干粉、二氧化碳、砂土。用水灭火无效。</w:t>
            </w:r>
          </w:p>
        </w:tc>
      </w:tr>
    </w:tbl>
    <w:p w:rsidR="00525419" w:rsidRDefault="00EE1CF7">
      <w:pPr>
        <w:pStyle w:val="B1"/>
        <w:ind w:firstLine="480"/>
        <w:rPr>
          <w:rFonts w:cs="Times New Roman"/>
        </w:rPr>
      </w:pPr>
      <w:r>
        <w:rPr>
          <w:rFonts w:cs="Times New Roman"/>
        </w:rPr>
        <w:t>（</w:t>
      </w:r>
      <w:r>
        <w:rPr>
          <w:rFonts w:cs="Times New Roman"/>
        </w:rPr>
        <w:t>4</w:t>
      </w:r>
      <w:r>
        <w:rPr>
          <w:rFonts w:cs="Times New Roman"/>
        </w:rPr>
        <w:t>）天然气</w:t>
      </w:r>
    </w:p>
    <w:p w:rsidR="00525419" w:rsidRDefault="00EE1CF7" w:rsidP="00EE1CF7">
      <w:pPr>
        <w:pStyle w:val="B3"/>
        <w:spacing w:before="99" w:after="66"/>
        <w:ind w:firstLine="420"/>
        <w:rPr>
          <w:rFonts w:eastAsia="黑体"/>
          <w:b w:val="0"/>
          <w:snapToGrid/>
          <w:color w:val="auto"/>
          <w:kern w:val="2"/>
          <w:sz w:val="21"/>
          <w:szCs w:val="22"/>
        </w:rPr>
      </w:pPr>
      <w:r>
        <w:rPr>
          <w:rFonts w:eastAsia="黑体"/>
          <w:b w:val="0"/>
          <w:snapToGrid/>
          <w:color w:val="auto"/>
          <w:kern w:val="2"/>
          <w:sz w:val="21"/>
          <w:szCs w:val="22"/>
        </w:rPr>
        <w:t>表</w:t>
      </w:r>
      <w:r>
        <w:rPr>
          <w:rFonts w:eastAsia="黑体"/>
          <w:b w:val="0"/>
          <w:snapToGrid/>
          <w:color w:val="auto"/>
          <w:kern w:val="2"/>
          <w:sz w:val="21"/>
          <w:szCs w:val="22"/>
        </w:rPr>
        <w:t xml:space="preserve">5.6-19   </w:t>
      </w:r>
      <w:r>
        <w:rPr>
          <w:rFonts w:eastAsia="黑体"/>
          <w:b w:val="0"/>
          <w:snapToGrid/>
          <w:color w:val="auto"/>
          <w:kern w:val="2"/>
          <w:sz w:val="21"/>
          <w:szCs w:val="22"/>
        </w:rPr>
        <w:t>甲烷的物化性质</w:t>
      </w:r>
    </w:p>
    <w:tbl>
      <w:tblPr>
        <w:tblW w:w="85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44"/>
        <w:gridCol w:w="1780"/>
        <w:gridCol w:w="465"/>
        <w:gridCol w:w="720"/>
        <w:gridCol w:w="719"/>
        <w:gridCol w:w="720"/>
        <w:gridCol w:w="3166"/>
      </w:tblGrid>
      <w:tr w:rsidR="00525419">
        <w:trPr>
          <w:trHeight w:val="390"/>
          <w:jc w:val="center"/>
        </w:trPr>
        <w:tc>
          <w:tcPr>
            <w:tcW w:w="944" w:type="dxa"/>
            <w:vMerge w:val="restart"/>
            <w:tcBorders>
              <w:tl2br w:val="nil"/>
              <w:tr2bl w:val="nil"/>
            </w:tcBorders>
            <w:vAlign w:val="center"/>
          </w:tcPr>
          <w:p w:rsidR="00525419" w:rsidRDefault="00EE1CF7">
            <w:pPr>
              <w:spacing w:line="400" w:lineRule="exact"/>
              <w:jc w:val="center"/>
              <w:rPr>
                <w:rFonts w:ascii="Times New Roman" w:hAnsi="Times New Roman"/>
                <w:szCs w:val="21"/>
              </w:rPr>
            </w:pPr>
            <w:r>
              <w:rPr>
                <w:rFonts w:ascii="Times New Roman" w:hAnsi="Times New Roman"/>
                <w:szCs w:val="21"/>
              </w:rPr>
              <w:t>标</w:t>
            </w:r>
          </w:p>
          <w:p w:rsidR="00525419" w:rsidRDefault="00EE1CF7">
            <w:pPr>
              <w:spacing w:line="400" w:lineRule="exact"/>
              <w:jc w:val="center"/>
              <w:rPr>
                <w:rFonts w:ascii="Times New Roman" w:hAnsi="Times New Roman"/>
                <w:szCs w:val="21"/>
              </w:rPr>
            </w:pPr>
            <w:r>
              <w:rPr>
                <w:rFonts w:ascii="Times New Roman" w:hAnsi="Times New Roman"/>
                <w:szCs w:val="21"/>
              </w:rPr>
              <w:t>识</w:t>
            </w:r>
          </w:p>
        </w:tc>
        <w:tc>
          <w:tcPr>
            <w:tcW w:w="2965" w:type="dxa"/>
            <w:gridSpan w:val="3"/>
            <w:tcBorders>
              <w:tl2br w:val="nil"/>
              <w:tr2bl w:val="nil"/>
            </w:tcBorders>
          </w:tcPr>
          <w:p w:rsidR="00525419" w:rsidRDefault="00EE1CF7">
            <w:pPr>
              <w:spacing w:line="400" w:lineRule="exact"/>
              <w:rPr>
                <w:rFonts w:ascii="Times New Roman" w:hAnsi="Times New Roman"/>
                <w:szCs w:val="21"/>
              </w:rPr>
            </w:pPr>
            <w:r>
              <w:rPr>
                <w:rFonts w:ascii="Times New Roman" w:hAnsi="Times New Roman"/>
                <w:szCs w:val="21"/>
              </w:rPr>
              <w:t>中文名：甲烷</w:t>
            </w:r>
          </w:p>
        </w:tc>
        <w:tc>
          <w:tcPr>
            <w:tcW w:w="4605" w:type="dxa"/>
            <w:gridSpan w:val="3"/>
            <w:tcBorders>
              <w:tl2br w:val="nil"/>
              <w:tr2bl w:val="nil"/>
            </w:tcBorders>
          </w:tcPr>
          <w:p w:rsidR="00525419" w:rsidRDefault="00EE1CF7">
            <w:pPr>
              <w:spacing w:line="400" w:lineRule="exact"/>
              <w:rPr>
                <w:rFonts w:ascii="Times New Roman" w:hAnsi="Times New Roman"/>
                <w:szCs w:val="21"/>
              </w:rPr>
            </w:pPr>
            <w:r>
              <w:rPr>
                <w:rFonts w:ascii="Times New Roman" w:hAnsi="Times New Roman"/>
                <w:szCs w:val="21"/>
              </w:rPr>
              <w:t>英文名：</w:t>
            </w:r>
            <w:r>
              <w:rPr>
                <w:rFonts w:ascii="Times New Roman" w:hAnsi="Times New Roman"/>
                <w:szCs w:val="21"/>
              </w:rPr>
              <w:t>Methane</w:t>
            </w:r>
          </w:p>
        </w:tc>
      </w:tr>
      <w:tr w:rsidR="00525419">
        <w:trPr>
          <w:trHeight w:val="144"/>
          <w:jc w:val="center"/>
        </w:trPr>
        <w:tc>
          <w:tcPr>
            <w:tcW w:w="944" w:type="dxa"/>
            <w:vMerge/>
            <w:tcBorders>
              <w:tl2br w:val="nil"/>
              <w:tr2bl w:val="nil"/>
            </w:tcBorders>
            <w:vAlign w:val="center"/>
          </w:tcPr>
          <w:p w:rsidR="00525419" w:rsidRDefault="00525419">
            <w:pPr>
              <w:spacing w:line="400" w:lineRule="exact"/>
              <w:jc w:val="center"/>
              <w:rPr>
                <w:rFonts w:ascii="Times New Roman" w:hAnsi="Times New Roman"/>
                <w:szCs w:val="21"/>
              </w:rPr>
            </w:pPr>
          </w:p>
        </w:tc>
        <w:tc>
          <w:tcPr>
            <w:tcW w:w="1780" w:type="dxa"/>
            <w:tcBorders>
              <w:tl2br w:val="nil"/>
              <w:tr2bl w:val="nil"/>
            </w:tcBorders>
          </w:tcPr>
          <w:p w:rsidR="00525419" w:rsidRDefault="00EE1CF7">
            <w:pPr>
              <w:spacing w:line="400" w:lineRule="exact"/>
              <w:rPr>
                <w:rFonts w:ascii="Times New Roman" w:hAnsi="Times New Roman"/>
                <w:szCs w:val="21"/>
              </w:rPr>
            </w:pPr>
            <w:r>
              <w:rPr>
                <w:rFonts w:ascii="Times New Roman" w:hAnsi="Times New Roman"/>
                <w:szCs w:val="21"/>
              </w:rPr>
              <w:t>分子式：</w:t>
            </w:r>
            <w:r>
              <w:rPr>
                <w:rFonts w:ascii="Times New Roman" w:hAnsi="Times New Roman"/>
                <w:szCs w:val="21"/>
              </w:rPr>
              <w:t>CH</w:t>
            </w:r>
            <w:r>
              <w:rPr>
                <w:rFonts w:ascii="Times New Roman" w:hAnsi="Times New Roman"/>
                <w:szCs w:val="21"/>
                <w:vertAlign w:val="subscript"/>
              </w:rPr>
              <w:t>4</w:t>
            </w:r>
          </w:p>
        </w:tc>
        <w:tc>
          <w:tcPr>
            <w:tcW w:w="2624" w:type="dxa"/>
            <w:gridSpan w:val="4"/>
            <w:tcBorders>
              <w:tl2br w:val="nil"/>
              <w:tr2bl w:val="nil"/>
            </w:tcBorders>
          </w:tcPr>
          <w:p w:rsidR="00525419" w:rsidRDefault="00EE1CF7">
            <w:pPr>
              <w:spacing w:line="400" w:lineRule="exact"/>
              <w:rPr>
                <w:rFonts w:ascii="Times New Roman" w:hAnsi="Times New Roman"/>
                <w:szCs w:val="21"/>
              </w:rPr>
            </w:pPr>
            <w:r>
              <w:rPr>
                <w:rFonts w:ascii="Times New Roman" w:hAnsi="Times New Roman"/>
                <w:szCs w:val="21"/>
              </w:rPr>
              <w:t>分子量：</w:t>
            </w:r>
            <w:r>
              <w:rPr>
                <w:rFonts w:ascii="Times New Roman" w:hAnsi="Times New Roman"/>
                <w:szCs w:val="21"/>
              </w:rPr>
              <w:t>16.05</w:t>
            </w:r>
          </w:p>
        </w:tc>
        <w:tc>
          <w:tcPr>
            <w:tcW w:w="3166" w:type="dxa"/>
            <w:tcBorders>
              <w:tl2br w:val="nil"/>
              <w:tr2bl w:val="nil"/>
            </w:tcBorders>
          </w:tcPr>
          <w:p w:rsidR="00525419" w:rsidRDefault="00EE1CF7">
            <w:pPr>
              <w:spacing w:line="400" w:lineRule="exact"/>
              <w:rPr>
                <w:rFonts w:ascii="Times New Roman" w:hAnsi="Times New Roman"/>
                <w:szCs w:val="21"/>
              </w:rPr>
            </w:pPr>
            <w:r>
              <w:rPr>
                <w:rFonts w:ascii="Times New Roman" w:hAnsi="Times New Roman"/>
                <w:szCs w:val="21"/>
              </w:rPr>
              <w:t>CAS</w:t>
            </w:r>
            <w:r>
              <w:rPr>
                <w:rFonts w:ascii="Times New Roman" w:hAnsi="Times New Roman"/>
                <w:szCs w:val="21"/>
              </w:rPr>
              <w:t>：</w:t>
            </w:r>
            <w:r>
              <w:rPr>
                <w:rFonts w:ascii="Times New Roman" w:hAnsi="Times New Roman"/>
                <w:szCs w:val="21"/>
              </w:rPr>
              <w:t>74</w:t>
            </w:r>
            <w:r>
              <w:rPr>
                <w:rFonts w:ascii="Times New Roman" w:hAnsi="Times New Roman"/>
                <w:szCs w:val="21"/>
              </w:rPr>
              <w:t>－</w:t>
            </w:r>
            <w:r>
              <w:rPr>
                <w:rFonts w:ascii="Times New Roman" w:hAnsi="Times New Roman"/>
                <w:szCs w:val="21"/>
              </w:rPr>
              <w:t>82</w:t>
            </w:r>
            <w:r>
              <w:rPr>
                <w:rFonts w:ascii="Times New Roman" w:hAnsi="Times New Roman"/>
                <w:szCs w:val="21"/>
              </w:rPr>
              <w:t>－</w:t>
            </w:r>
            <w:r>
              <w:rPr>
                <w:rFonts w:ascii="Times New Roman" w:hAnsi="Times New Roman"/>
                <w:szCs w:val="21"/>
              </w:rPr>
              <w:t>8</w:t>
            </w:r>
          </w:p>
        </w:tc>
      </w:tr>
      <w:tr w:rsidR="00525419">
        <w:trPr>
          <w:trHeight w:val="284"/>
          <w:jc w:val="center"/>
        </w:trPr>
        <w:tc>
          <w:tcPr>
            <w:tcW w:w="944" w:type="dxa"/>
            <w:vMerge/>
            <w:tcBorders>
              <w:tl2br w:val="nil"/>
              <w:tr2bl w:val="nil"/>
            </w:tcBorders>
            <w:vAlign w:val="center"/>
          </w:tcPr>
          <w:p w:rsidR="00525419" w:rsidRDefault="00525419">
            <w:pPr>
              <w:spacing w:line="400" w:lineRule="exact"/>
              <w:jc w:val="center"/>
              <w:rPr>
                <w:rFonts w:ascii="Times New Roman" w:hAnsi="Times New Roman"/>
                <w:szCs w:val="21"/>
              </w:rPr>
            </w:pPr>
          </w:p>
        </w:tc>
        <w:tc>
          <w:tcPr>
            <w:tcW w:w="7570" w:type="dxa"/>
            <w:gridSpan w:val="6"/>
            <w:tcBorders>
              <w:tl2br w:val="nil"/>
              <w:tr2bl w:val="nil"/>
            </w:tcBorders>
          </w:tcPr>
          <w:p w:rsidR="00525419" w:rsidRDefault="00EE1CF7">
            <w:pPr>
              <w:spacing w:line="400" w:lineRule="exact"/>
              <w:rPr>
                <w:rFonts w:ascii="Times New Roman" w:hAnsi="Times New Roman"/>
                <w:szCs w:val="21"/>
              </w:rPr>
            </w:pPr>
            <w:r>
              <w:rPr>
                <w:rFonts w:ascii="Times New Roman" w:hAnsi="Times New Roman"/>
                <w:szCs w:val="21"/>
              </w:rPr>
              <w:t>危规号：危规分类：</w:t>
            </w:r>
            <w:r>
              <w:rPr>
                <w:rFonts w:ascii="Times New Roman" w:hAnsi="Times New Roman"/>
                <w:szCs w:val="21"/>
              </w:rPr>
              <w:t>GB2.1</w:t>
            </w:r>
            <w:r>
              <w:rPr>
                <w:rFonts w:ascii="Times New Roman" w:hAnsi="Times New Roman"/>
                <w:szCs w:val="21"/>
              </w:rPr>
              <w:t>类</w:t>
            </w:r>
            <w:r>
              <w:rPr>
                <w:rFonts w:ascii="Times New Roman" w:hAnsi="Times New Roman"/>
                <w:szCs w:val="21"/>
              </w:rPr>
              <w:t>21007</w:t>
            </w:r>
            <w:r>
              <w:rPr>
                <w:rFonts w:ascii="Times New Roman" w:hAnsi="Times New Roman"/>
                <w:szCs w:val="21"/>
              </w:rPr>
              <w:t>（压缩的）。</w:t>
            </w:r>
            <w:r>
              <w:rPr>
                <w:rFonts w:ascii="Times New Roman" w:hAnsi="Times New Roman"/>
                <w:szCs w:val="21"/>
              </w:rPr>
              <w:t xml:space="preserve">            UN</w:t>
            </w:r>
            <w:r>
              <w:rPr>
                <w:rFonts w:ascii="Times New Roman" w:hAnsi="Times New Roman"/>
                <w:szCs w:val="21"/>
              </w:rPr>
              <w:t>：</w:t>
            </w:r>
            <w:r>
              <w:rPr>
                <w:rFonts w:ascii="Times New Roman" w:hAnsi="Times New Roman"/>
                <w:szCs w:val="21"/>
              </w:rPr>
              <w:t>NO.1971</w:t>
            </w:r>
          </w:p>
        </w:tc>
      </w:tr>
      <w:tr w:rsidR="00525419">
        <w:trPr>
          <w:trHeight w:val="284"/>
          <w:jc w:val="center"/>
        </w:trPr>
        <w:tc>
          <w:tcPr>
            <w:tcW w:w="944" w:type="dxa"/>
            <w:vMerge w:val="restart"/>
            <w:tcBorders>
              <w:tl2br w:val="nil"/>
              <w:tr2bl w:val="nil"/>
            </w:tcBorders>
            <w:vAlign w:val="center"/>
          </w:tcPr>
          <w:p w:rsidR="00525419" w:rsidRDefault="00EE1CF7">
            <w:pPr>
              <w:spacing w:line="400" w:lineRule="exact"/>
              <w:jc w:val="center"/>
              <w:rPr>
                <w:rFonts w:ascii="Times New Roman" w:hAnsi="Times New Roman"/>
                <w:szCs w:val="21"/>
              </w:rPr>
            </w:pPr>
            <w:r>
              <w:rPr>
                <w:rFonts w:ascii="Times New Roman" w:hAnsi="Times New Roman"/>
                <w:szCs w:val="21"/>
              </w:rPr>
              <w:t>理</w:t>
            </w:r>
          </w:p>
          <w:p w:rsidR="00525419" w:rsidRDefault="00EE1CF7">
            <w:pPr>
              <w:spacing w:line="400" w:lineRule="exact"/>
              <w:jc w:val="center"/>
              <w:rPr>
                <w:rFonts w:ascii="Times New Roman" w:hAnsi="Times New Roman"/>
                <w:szCs w:val="21"/>
              </w:rPr>
            </w:pPr>
            <w:r>
              <w:rPr>
                <w:rFonts w:ascii="Times New Roman" w:hAnsi="Times New Roman"/>
                <w:szCs w:val="21"/>
              </w:rPr>
              <w:t>化</w:t>
            </w:r>
          </w:p>
          <w:p w:rsidR="00525419" w:rsidRDefault="00EE1CF7">
            <w:pPr>
              <w:spacing w:line="400" w:lineRule="exact"/>
              <w:jc w:val="center"/>
              <w:rPr>
                <w:rFonts w:ascii="Times New Roman" w:hAnsi="Times New Roman"/>
                <w:szCs w:val="21"/>
              </w:rPr>
            </w:pPr>
            <w:r>
              <w:rPr>
                <w:rFonts w:ascii="Times New Roman" w:hAnsi="Times New Roman"/>
                <w:szCs w:val="21"/>
              </w:rPr>
              <w:t>性</w:t>
            </w:r>
          </w:p>
          <w:p w:rsidR="00525419" w:rsidRDefault="00EE1CF7">
            <w:pPr>
              <w:spacing w:line="400" w:lineRule="exact"/>
              <w:jc w:val="center"/>
              <w:rPr>
                <w:rFonts w:ascii="Times New Roman" w:hAnsi="Times New Roman"/>
                <w:szCs w:val="21"/>
              </w:rPr>
            </w:pPr>
            <w:r>
              <w:rPr>
                <w:rFonts w:ascii="Times New Roman" w:hAnsi="Times New Roman"/>
                <w:szCs w:val="21"/>
              </w:rPr>
              <w:t>质</w:t>
            </w:r>
          </w:p>
        </w:tc>
        <w:tc>
          <w:tcPr>
            <w:tcW w:w="7570" w:type="dxa"/>
            <w:gridSpan w:val="6"/>
            <w:tcBorders>
              <w:tl2br w:val="nil"/>
              <w:tr2bl w:val="nil"/>
            </w:tcBorders>
          </w:tcPr>
          <w:p w:rsidR="00525419" w:rsidRDefault="00EE1CF7">
            <w:pPr>
              <w:spacing w:line="400" w:lineRule="exact"/>
              <w:rPr>
                <w:rFonts w:ascii="Times New Roman" w:hAnsi="Times New Roman"/>
                <w:szCs w:val="21"/>
              </w:rPr>
            </w:pPr>
            <w:r>
              <w:rPr>
                <w:rFonts w:ascii="Times New Roman" w:hAnsi="Times New Roman"/>
                <w:szCs w:val="21"/>
              </w:rPr>
              <w:t>性状：无色无臭的气体</w:t>
            </w:r>
          </w:p>
        </w:tc>
      </w:tr>
      <w:tr w:rsidR="00525419">
        <w:trPr>
          <w:trHeight w:val="393"/>
          <w:jc w:val="center"/>
        </w:trPr>
        <w:tc>
          <w:tcPr>
            <w:tcW w:w="944" w:type="dxa"/>
            <w:vMerge/>
            <w:tcBorders>
              <w:tl2br w:val="nil"/>
              <w:tr2bl w:val="nil"/>
            </w:tcBorders>
            <w:vAlign w:val="center"/>
          </w:tcPr>
          <w:p w:rsidR="00525419" w:rsidRDefault="00525419">
            <w:pPr>
              <w:spacing w:line="400" w:lineRule="exact"/>
              <w:jc w:val="center"/>
              <w:rPr>
                <w:rFonts w:ascii="Times New Roman" w:hAnsi="Times New Roman"/>
                <w:szCs w:val="21"/>
              </w:rPr>
            </w:pPr>
          </w:p>
        </w:tc>
        <w:tc>
          <w:tcPr>
            <w:tcW w:w="7570" w:type="dxa"/>
            <w:gridSpan w:val="6"/>
            <w:tcBorders>
              <w:tl2br w:val="nil"/>
              <w:tr2bl w:val="nil"/>
            </w:tcBorders>
          </w:tcPr>
          <w:p w:rsidR="00525419" w:rsidRDefault="00EE1CF7">
            <w:pPr>
              <w:spacing w:line="400" w:lineRule="exact"/>
              <w:rPr>
                <w:rFonts w:ascii="Times New Roman" w:hAnsi="Times New Roman"/>
                <w:szCs w:val="21"/>
              </w:rPr>
            </w:pPr>
            <w:r>
              <w:rPr>
                <w:rFonts w:ascii="Times New Roman" w:hAnsi="Times New Roman"/>
                <w:szCs w:val="21"/>
              </w:rPr>
              <w:t>溶解性：微溶于水，溶于乙醇和乙醚</w:t>
            </w:r>
          </w:p>
        </w:tc>
      </w:tr>
      <w:tr w:rsidR="00525419">
        <w:trPr>
          <w:trHeight w:val="144"/>
          <w:jc w:val="center"/>
        </w:trPr>
        <w:tc>
          <w:tcPr>
            <w:tcW w:w="944" w:type="dxa"/>
            <w:vMerge/>
            <w:tcBorders>
              <w:tl2br w:val="nil"/>
              <w:tr2bl w:val="nil"/>
            </w:tcBorders>
            <w:vAlign w:val="center"/>
          </w:tcPr>
          <w:p w:rsidR="00525419" w:rsidRDefault="00525419">
            <w:pPr>
              <w:spacing w:line="400" w:lineRule="exact"/>
              <w:jc w:val="center"/>
              <w:rPr>
                <w:rFonts w:ascii="Times New Roman" w:hAnsi="Times New Roman"/>
                <w:szCs w:val="21"/>
              </w:rPr>
            </w:pPr>
          </w:p>
        </w:tc>
        <w:tc>
          <w:tcPr>
            <w:tcW w:w="2245" w:type="dxa"/>
            <w:gridSpan w:val="2"/>
            <w:tcBorders>
              <w:tl2br w:val="nil"/>
              <w:tr2bl w:val="nil"/>
            </w:tcBorders>
            <w:vAlign w:val="center"/>
          </w:tcPr>
          <w:p w:rsidR="00525419" w:rsidRDefault="00EE1CF7">
            <w:pPr>
              <w:spacing w:line="400" w:lineRule="exact"/>
              <w:rPr>
                <w:rFonts w:ascii="Times New Roman" w:hAnsi="Times New Roman"/>
                <w:szCs w:val="21"/>
              </w:rPr>
            </w:pPr>
            <w:r>
              <w:rPr>
                <w:rFonts w:ascii="Times New Roman" w:hAnsi="Times New Roman"/>
                <w:szCs w:val="21"/>
              </w:rPr>
              <w:t>熔点（</w:t>
            </w:r>
            <w:r>
              <w:rPr>
                <w:rFonts w:ascii="Times New Roman" w:hAnsi="Times New Roman"/>
                <w:szCs w:val="21"/>
              </w:rPr>
              <w:t>℃</w:t>
            </w:r>
            <w:r>
              <w:rPr>
                <w:rFonts w:ascii="Times New Roman" w:hAnsi="Times New Roman"/>
                <w:szCs w:val="21"/>
              </w:rPr>
              <w:t>）：－</w:t>
            </w:r>
            <w:r>
              <w:rPr>
                <w:rFonts w:ascii="Times New Roman" w:hAnsi="Times New Roman"/>
                <w:szCs w:val="21"/>
              </w:rPr>
              <w:t>182.6</w:t>
            </w:r>
          </w:p>
        </w:tc>
        <w:tc>
          <w:tcPr>
            <w:tcW w:w="2159" w:type="dxa"/>
            <w:gridSpan w:val="3"/>
            <w:tcBorders>
              <w:tl2br w:val="nil"/>
              <w:tr2bl w:val="nil"/>
            </w:tcBorders>
            <w:vAlign w:val="center"/>
          </w:tcPr>
          <w:p w:rsidR="00525419" w:rsidRDefault="00EE1CF7">
            <w:pPr>
              <w:spacing w:line="400" w:lineRule="exact"/>
              <w:jc w:val="center"/>
              <w:rPr>
                <w:rFonts w:ascii="Times New Roman" w:hAnsi="Times New Roman"/>
                <w:szCs w:val="21"/>
              </w:rPr>
            </w:pPr>
            <w:r>
              <w:rPr>
                <w:rFonts w:ascii="Times New Roman" w:hAnsi="Times New Roman"/>
                <w:szCs w:val="21"/>
              </w:rPr>
              <w:t>沸点（</w:t>
            </w:r>
            <w:r>
              <w:rPr>
                <w:rFonts w:ascii="Times New Roman" w:hAnsi="Times New Roman"/>
                <w:szCs w:val="21"/>
              </w:rPr>
              <w:t>℃</w:t>
            </w:r>
            <w:r>
              <w:rPr>
                <w:rFonts w:ascii="Times New Roman" w:hAnsi="Times New Roman"/>
                <w:szCs w:val="21"/>
              </w:rPr>
              <w:t>）：－</w:t>
            </w:r>
            <w:r>
              <w:rPr>
                <w:rFonts w:ascii="Times New Roman" w:hAnsi="Times New Roman"/>
                <w:szCs w:val="21"/>
              </w:rPr>
              <w:t>161.5</w:t>
            </w:r>
          </w:p>
        </w:tc>
        <w:tc>
          <w:tcPr>
            <w:tcW w:w="3166" w:type="dxa"/>
            <w:tcBorders>
              <w:tl2br w:val="nil"/>
              <w:tr2bl w:val="nil"/>
            </w:tcBorders>
          </w:tcPr>
          <w:p w:rsidR="00525419" w:rsidRDefault="00EE1CF7">
            <w:pPr>
              <w:spacing w:line="400" w:lineRule="exact"/>
              <w:rPr>
                <w:rFonts w:ascii="Times New Roman" w:hAnsi="Times New Roman"/>
                <w:szCs w:val="21"/>
              </w:rPr>
            </w:pPr>
            <w:r>
              <w:rPr>
                <w:rFonts w:ascii="Times New Roman" w:hAnsi="Times New Roman"/>
                <w:szCs w:val="21"/>
              </w:rPr>
              <w:t>相对密度（水＝</w:t>
            </w:r>
            <w:r>
              <w:rPr>
                <w:rFonts w:ascii="Times New Roman" w:hAnsi="Times New Roman"/>
                <w:szCs w:val="21"/>
              </w:rPr>
              <w:t>1</w:t>
            </w:r>
            <w:r>
              <w:rPr>
                <w:rFonts w:ascii="Times New Roman" w:hAnsi="Times New Roman"/>
                <w:szCs w:val="21"/>
              </w:rPr>
              <w:t>）</w:t>
            </w:r>
            <w:r>
              <w:rPr>
                <w:rFonts w:ascii="Times New Roman" w:hAnsi="Times New Roman"/>
                <w:szCs w:val="21"/>
              </w:rPr>
              <w:t>:0.415</w:t>
            </w:r>
            <w:r>
              <w:rPr>
                <w:rFonts w:ascii="Times New Roman" w:hAnsi="Times New Roman"/>
                <w:szCs w:val="21"/>
              </w:rPr>
              <w:t>（</w:t>
            </w:r>
            <w:r>
              <w:rPr>
                <w:rFonts w:ascii="Times New Roman" w:hAnsi="Times New Roman"/>
                <w:szCs w:val="21"/>
              </w:rPr>
              <w:t>-164℃</w:t>
            </w:r>
            <w:r>
              <w:rPr>
                <w:rFonts w:ascii="Times New Roman" w:hAnsi="Times New Roman"/>
                <w:szCs w:val="21"/>
              </w:rPr>
              <w:t>）</w:t>
            </w:r>
          </w:p>
        </w:tc>
      </w:tr>
      <w:tr w:rsidR="00525419">
        <w:trPr>
          <w:trHeight w:val="284"/>
          <w:jc w:val="center"/>
        </w:trPr>
        <w:tc>
          <w:tcPr>
            <w:tcW w:w="944" w:type="dxa"/>
            <w:vMerge/>
            <w:tcBorders>
              <w:tl2br w:val="nil"/>
              <w:tr2bl w:val="nil"/>
            </w:tcBorders>
            <w:vAlign w:val="center"/>
          </w:tcPr>
          <w:p w:rsidR="00525419" w:rsidRDefault="00525419">
            <w:pPr>
              <w:spacing w:line="400" w:lineRule="exact"/>
              <w:jc w:val="center"/>
              <w:rPr>
                <w:rFonts w:ascii="Times New Roman" w:hAnsi="Times New Roman"/>
                <w:szCs w:val="21"/>
              </w:rPr>
            </w:pPr>
          </w:p>
        </w:tc>
        <w:tc>
          <w:tcPr>
            <w:tcW w:w="2245" w:type="dxa"/>
            <w:gridSpan w:val="2"/>
            <w:tcBorders>
              <w:tl2br w:val="nil"/>
              <w:tr2bl w:val="nil"/>
            </w:tcBorders>
          </w:tcPr>
          <w:p w:rsidR="00525419" w:rsidRDefault="00EE1CF7">
            <w:pPr>
              <w:spacing w:line="400" w:lineRule="exact"/>
              <w:rPr>
                <w:rFonts w:ascii="Times New Roman" w:hAnsi="Times New Roman"/>
                <w:szCs w:val="21"/>
              </w:rPr>
            </w:pPr>
            <w:r>
              <w:rPr>
                <w:rFonts w:ascii="Times New Roman" w:hAnsi="Times New Roman"/>
                <w:szCs w:val="21"/>
              </w:rPr>
              <w:t>临界温度（</w:t>
            </w:r>
            <w:r>
              <w:rPr>
                <w:rFonts w:ascii="Times New Roman" w:hAnsi="Times New Roman"/>
                <w:szCs w:val="21"/>
              </w:rPr>
              <w:t>℃</w:t>
            </w:r>
            <w:r>
              <w:rPr>
                <w:rFonts w:ascii="Times New Roman" w:hAnsi="Times New Roman"/>
                <w:szCs w:val="21"/>
              </w:rPr>
              <w:t>）－</w:t>
            </w:r>
            <w:r>
              <w:rPr>
                <w:rFonts w:ascii="Times New Roman" w:hAnsi="Times New Roman"/>
                <w:szCs w:val="21"/>
              </w:rPr>
              <w:t>82.1</w:t>
            </w:r>
          </w:p>
        </w:tc>
        <w:tc>
          <w:tcPr>
            <w:tcW w:w="2159" w:type="dxa"/>
            <w:gridSpan w:val="3"/>
            <w:tcBorders>
              <w:tl2br w:val="nil"/>
              <w:tr2bl w:val="nil"/>
            </w:tcBorders>
          </w:tcPr>
          <w:p w:rsidR="00525419" w:rsidRDefault="00EE1CF7">
            <w:pPr>
              <w:spacing w:line="400" w:lineRule="exact"/>
              <w:rPr>
                <w:rFonts w:ascii="Times New Roman" w:hAnsi="Times New Roman"/>
                <w:szCs w:val="21"/>
              </w:rPr>
            </w:pPr>
            <w:r>
              <w:rPr>
                <w:rFonts w:ascii="Times New Roman" w:hAnsi="Times New Roman"/>
                <w:szCs w:val="21"/>
              </w:rPr>
              <w:t>临界压力（</w:t>
            </w:r>
            <w:r>
              <w:rPr>
                <w:rFonts w:ascii="Times New Roman" w:hAnsi="Times New Roman"/>
                <w:szCs w:val="21"/>
              </w:rPr>
              <w:t>MPa</w:t>
            </w:r>
            <w:r>
              <w:rPr>
                <w:rFonts w:ascii="Times New Roman" w:hAnsi="Times New Roman"/>
                <w:szCs w:val="21"/>
              </w:rPr>
              <w:t>）：</w:t>
            </w:r>
            <w:r>
              <w:rPr>
                <w:rFonts w:ascii="Times New Roman" w:hAnsi="Times New Roman"/>
                <w:szCs w:val="21"/>
              </w:rPr>
              <w:t>4.6</w:t>
            </w:r>
          </w:p>
        </w:tc>
        <w:tc>
          <w:tcPr>
            <w:tcW w:w="3166" w:type="dxa"/>
            <w:tcBorders>
              <w:tl2br w:val="nil"/>
              <w:tr2bl w:val="nil"/>
            </w:tcBorders>
          </w:tcPr>
          <w:p w:rsidR="00525419" w:rsidRDefault="00EE1CF7">
            <w:pPr>
              <w:spacing w:line="400" w:lineRule="exact"/>
              <w:rPr>
                <w:rFonts w:ascii="Times New Roman" w:hAnsi="Times New Roman"/>
                <w:szCs w:val="21"/>
              </w:rPr>
            </w:pPr>
            <w:r>
              <w:rPr>
                <w:rFonts w:ascii="Times New Roman" w:hAnsi="Times New Roman"/>
                <w:szCs w:val="21"/>
              </w:rPr>
              <w:t>蒸气密度（空气＝</w:t>
            </w:r>
            <w:r>
              <w:rPr>
                <w:rFonts w:ascii="Times New Roman" w:hAnsi="Times New Roman"/>
                <w:szCs w:val="21"/>
              </w:rPr>
              <w:t>1</w:t>
            </w:r>
            <w:r>
              <w:rPr>
                <w:rFonts w:ascii="Times New Roman" w:hAnsi="Times New Roman"/>
                <w:szCs w:val="21"/>
              </w:rPr>
              <w:t>）：</w:t>
            </w:r>
            <w:r>
              <w:rPr>
                <w:rFonts w:ascii="Times New Roman" w:hAnsi="Times New Roman"/>
                <w:szCs w:val="21"/>
              </w:rPr>
              <w:t>0.55</w:t>
            </w:r>
          </w:p>
        </w:tc>
      </w:tr>
      <w:tr w:rsidR="00525419">
        <w:trPr>
          <w:trHeight w:val="284"/>
          <w:jc w:val="center"/>
        </w:trPr>
        <w:tc>
          <w:tcPr>
            <w:tcW w:w="944" w:type="dxa"/>
            <w:vMerge/>
            <w:tcBorders>
              <w:tl2br w:val="nil"/>
              <w:tr2bl w:val="nil"/>
            </w:tcBorders>
            <w:vAlign w:val="center"/>
          </w:tcPr>
          <w:p w:rsidR="00525419" w:rsidRDefault="00525419">
            <w:pPr>
              <w:spacing w:line="400" w:lineRule="exact"/>
              <w:jc w:val="center"/>
              <w:rPr>
                <w:rFonts w:ascii="Times New Roman" w:hAnsi="Times New Roman"/>
                <w:szCs w:val="21"/>
              </w:rPr>
            </w:pPr>
          </w:p>
        </w:tc>
        <w:tc>
          <w:tcPr>
            <w:tcW w:w="2245" w:type="dxa"/>
            <w:gridSpan w:val="2"/>
            <w:tcBorders>
              <w:tl2br w:val="nil"/>
              <w:tr2bl w:val="nil"/>
            </w:tcBorders>
          </w:tcPr>
          <w:p w:rsidR="00525419" w:rsidRDefault="00EE1CF7">
            <w:pPr>
              <w:spacing w:line="400" w:lineRule="exact"/>
              <w:rPr>
                <w:rFonts w:ascii="Times New Roman" w:hAnsi="Times New Roman"/>
                <w:szCs w:val="21"/>
              </w:rPr>
            </w:pPr>
            <w:r>
              <w:rPr>
                <w:rFonts w:ascii="Times New Roman" w:hAnsi="Times New Roman"/>
                <w:szCs w:val="21"/>
              </w:rPr>
              <w:t>燃烧热（</w:t>
            </w:r>
            <w:r>
              <w:rPr>
                <w:rFonts w:ascii="Times New Roman" w:hAnsi="Times New Roman"/>
                <w:szCs w:val="21"/>
              </w:rPr>
              <w:t>kJ/mol</w:t>
            </w:r>
            <w:r>
              <w:rPr>
                <w:rFonts w:ascii="Times New Roman" w:hAnsi="Times New Roman"/>
                <w:szCs w:val="21"/>
              </w:rPr>
              <w:t>）：</w:t>
            </w:r>
            <w:r>
              <w:rPr>
                <w:rFonts w:ascii="Times New Roman" w:hAnsi="Times New Roman"/>
                <w:szCs w:val="21"/>
              </w:rPr>
              <w:t>889.5</w:t>
            </w:r>
          </w:p>
        </w:tc>
        <w:tc>
          <w:tcPr>
            <w:tcW w:w="2159" w:type="dxa"/>
            <w:gridSpan w:val="3"/>
            <w:tcBorders>
              <w:tl2br w:val="nil"/>
              <w:tr2bl w:val="nil"/>
            </w:tcBorders>
          </w:tcPr>
          <w:p w:rsidR="00525419" w:rsidRDefault="00EE1CF7">
            <w:pPr>
              <w:spacing w:line="400" w:lineRule="exact"/>
              <w:rPr>
                <w:rFonts w:ascii="Times New Roman" w:hAnsi="Times New Roman"/>
                <w:szCs w:val="21"/>
              </w:rPr>
            </w:pPr>
            <w:r>
              <w:rPr>
                <w:rFonts w:ascii="Times New Roman" w:hAnsi="Times New Roman"/>
                <w:szCs w:val="21"/>
              </w:rPr>
              <w:t>最小点火能（</w:t>
            </w:r>
            <w:r>
              <w:rPr>
                <w:rFonts w:ascii="Times New Roman" w:hAnsi="Times New Roman"/>
                <w:szCs w:val="21"/>
              </w:rPr>
              <w:t>MJ</w:t>
            </w:r>
            <w:r>
              <w:rPr>
                <w:rFonts w:ascii="Times New Roman" w:hAnsi="Times New Roman"/>
                <w:szCs w:val="21"/>
              </w:rPr>
              <w:t>）：</w:t>
            </w:r>
            <w:r>
              <w:rPr>
                <w:rFonts w:ascii="Times New Roman" w:hAnsi="Times New Roman"/>
                <w:szCs w:val="21"/>
              </w:rPr>
              <w:t>0.28</w:t>
            </w:r>
          </w:p>
        </w:tc>
        <w:tc>
          <w:tcPr>
            <w:tcW w:w="3166" w:type="dxa"/>
            <w:tcBorders>
              <w:tl2br w:val="nil"/>
              <w:tr2bl w:val="nil"/>
            </w:tcBorders>
          </w:tcPr>
          <w:p w:rsidR="00525419" w:rsidRDefault="00EE1CF7">
            <w:pPr>
              <w:spacing w:line="400" w:lineRule="exact"/>
              <w:rPr>
                <w:rFonts w:ascii="Times New Roman" w:hAnsi="Times New Roman"/>
                <w:szCs w:val="21"/>
              </w:rPr>
            </w:pPr>
            <w:r>
              <w:rPr>
                <w:rFonts w:ascii="Times New Roman" w:hAnsi="Times New Roman"/>
                <w:szCs w:val="21"/>
              </w:rPr>
              <w:t>蒸气压（</w:t>
            </w:r>
            <w:r>
              <w:rPr>
                <w:rFonts w:ascii="Times New Roman" w:hAnsi="Times New Roman"/>
                <w:szCs w:val="21"/>
              </w:rPr>
              <w:t>kPa</w:t>
            </w:r>
            <w:r>
              <w:rPr>
                <w:rFonts w:ascii="Times New Roman" w:hAnsi="Times New Roman"/>
                <w:szCs w:val="21"/>
              </w:rPr>
              <w:t>）：</w:t>
            </w:r>
            <w:r>
              <w:rPr>
                <w:rFonts w:ascii="Times New Roman" w:hAnsi="Times New Roman"/>
                <w:szCs w:val="21"/>
              </w:rPr>
              <w:t>100</w:t>
            </w:r>
            <w:r>
              <w:rPr>
                <w:rFonts w:ascii="Times New Roman" w:hAnsi="Times New Roman"/>
                <w:szCs w:val="21"/>
              </w:rPr>
              <w:t>（－</w:t>
            </w:r>
            <w:r>
              <w:rPr>
                <w:rFonts w:ascii="Times New Roman" w:hAnsi="Times New Roman"/>
                <w:szCs w:val="21"/>
              </w:rPr>
              <w:t>161.5℃</w:t>
            </w:r>
            <w:r>
              <w:rPr>
                <w:rFonts w:ascii="Times New Roman" w:hAnsi="Times New Roman"/>
                <w:szCs w:val="21"/>
              </w:rPr>
              <w:t>）</w:t>
            </w:r>
          </w:p>
        </w:tc>
      </w:tr>
      <w:tr w:rsidR="00525419">
        <w:trPr>
          <w:trHeight w:val="284"/>
          <w:jc w:val="center"/>
        </w:trPr>
        <w:tc>
          <w:tcPr>
            <w:tcW w:w="944" w:type="dxa"/>
            <w:vMerge w:val="restart"/>
            <w:tcBorders>
              <w:tl2br w:val="nil"/>
              <w:tr2bl w:val="nil"/>
            </w:tcBorders>
            <w:vAlign w:val="center"/>
          </w:tcPr>
          <w:p w:rsidR="00525419" w:rsidRDefault="00EE1CF7">
            <w:pPr>
              <w:spacing w:line="400" w:lineRule="exact"/>
              <w:jc w:val="center"/>
              <w:rPr>
                <w:rFonts w:ascii="Times New Roman" w:hAnsi="Times New Roman"/>
                <w:szCs w:val="21"/>
              </w:rPr>
            </w:pPr>
            <w:r>
              <w:rPr>
                <w:rFonts w:ascii="Times New Roman" w:hAnsi="Times New Roman"/>
                <w:szCs w:val="21"/>
              </w:rPr>
              <w:t>燃</w:t>
            </w:r>
          </w:p>
          <w:p w:rsidR="00525419" w:rsidRDefault="00EE1CF7">
            <w:pPr>
              <w:spacing w:line="400" w:lineRule="exact"/>
              <w:jc w:val="center"/>
              <w:rPr>
                <w:rFonts w:ascii="Times New Roman" w:hAnsi="Times New Roman"/>
                <w:szCs w:val="21"/>
              </w:rPr>
            </w:pPr>
            <w:r>
              <w:rPr>
                <w:rFonts w:ascii="Times New Roman" w:hAnsi="Times New Roman"/>
                <w:szCs w:val="21"/>
              </w:rPr>
              <w:t>烧</w:t>
            </w:r>
          </w:p>
          <w:p w:rsidR="00525419" w:rsidRDefault="00EE1CF7">
            <w:pPr>
              <w:spacing w:line="400" w:lineRule="exact"/>
              <w:jc w:val="center"/>
              <w:rPr>
                <w:rFonts w:ascii="Times New Roman" w:hAnsi="Times New Roman"/>
                <w:szCs w:val="21"/>
              </w:rPr>
            </w:pPr>
            <w:r>
              <w:rPr>
                <w:rFonts w:ascii="Times New Roman" w:hAnsi="Times New Roman"/>
                <w:szCs w:val="21"/>
              </w:rPr>
              <w:t>爆</w:t>
            </w:r>
          </w:p>
          <w:p w:rsidR="00525419" w:rsidRDefault="00EE1CF7">
            <w:pPr>
              <w:spacing w:line="400" w:lineRule="exact"/>
              <w:jc w:val="center"/>
              <w:rPr>
                <w:rFonts w:ascii="Times New Roman" w:hAnsi="Times New Roman"/>
                <w:szCs w:val="21"/>
              </w:rPr>
            </w:pPr>
            <w:r>
              <w:rPr>
                <w:rFonts w:ascii="Times New Roman" w:hAnsi="Times New Roman"/>
                <w:szCs w:val="21"/>
              </w:rPr>
              <w:lastRenderedPageBreak/>
              <w:t>炸</w:t>
            </w:r>
          </w:p>
          <w:p w:rsidR="00525419" w:rsidRDefault="00EE1CF7">
            <w:pPr>
              <w:spacing w:line="400" w:lineRule="exact"/>
              <w:jc w:val="center"/>
              <w:rPr>
                <w:rFonts w:ascii="Times New Roman" w:hAnsi="Times New Roman"/>
                <w:szCs w:val="21"/>
              </w:rPr>
            </w:pPr>
            <w:r>
              <w:rPr>
                <w:rFonts w:ascii="Times New Roman" w:hAnsi="Times New Roman"/>
                <w:szCs w:val="21"/>
              </w:rPr>
              <w:t>危</w:t>
            </w:r>
          </w:p>
          <w:p w:rsidR="00525419" w:rsidRDefault="00EE1CF7">
            <w:pPr>
              <w:spacing w:line="400" w:lineRule="exact"/>
              <w:jc w:val="center"/>
              <w:rPr>
                <w:rFonts w:ascii="Times New Roman" w:hAnsi="Times New Roman"/>
                <w:szCs w:val="21"/>
              </w:rPr>
            </w:pPr>
            <w:r>
              <w:rPr>
                <w:rFonts w:ascii="Times New Roman" w:hAnsi="Times New Roman"/>
                <w:szCs w:val="21"/>
              </w:rPr>
              <w:t>险</w:t>
            </w:r>
          </w:p>
          <w:p w:rsidR="00525419" w:rsidRDefault="00EE1CF7">
            <w:pPr>
              <w:spacing w:line="400" w:lineRule="exact"/>
              <w:jc w:val="center"/>
              <w:rPr>
                <w:rFonts w:ascii="Times New Roman" w:hAnsi="Times New Roman"/>
                <w:szCs w:val="21"/>
              </w:rPr>
            </w:pPr>
            <w:r>
              <w:rPr>
                <w:rFonts w:ascii="Times New Roman" w:hAnsi="Times New Roman"/>
                <w:szCs w:val="21"/>
              </w:rPr>
              <w:t>性</w:t>
            </w:r>
          </w:p>
        </w:tc>
        <w:tc>
          <w:tcPr>
            <w:tcW w:w="3684" w:type="dxa"/>
            <w:gridSpan w:val="4"/>
            <w:tcBorders>
              <w:tl2br w:val="nil"/>
              <w:tr2bl w:val="nil"/>
            </w:tcBorders>
          </w:tcPr>
          <w:p w:rsidR="00525419" w:rsidRDefault="00EE1CF7">
            <w:pPr>
              <w:spacing w:line="400" w:lineRule="exact"/>
              <w:rPr>
                <w:rFonts w:ascii="Times New Roman" w:hAnsi="Times New Roman"/>
                <w:szCs w:val="21"/>
              </w:rPr>
            </w:pPr>
            <w:r>
              <w:rPr>
                <w:rFonts w:ascii="Times New Roman" w:hAnsi="Times New Roman"/>
                <w:szCs w:val="21"/>
              </w:rPr>
              <w:lastRenderedPageBreak/>
              <w:t>燃烧性：易燃气体</w:t>
            </w:r>
          </w:p>
        </w:tc>
        <w:tc>
          <w:tcPr>
            <w:tcW w:w="3886" w:type="dxa"/>
            <w:gridSpan w:val="2"/>
            <w:tcBorders>
              <w:tl2br w:val="nil"/>
              <w:tr2bl w:val="nil"/>
            </w:tcBorders>
          </w:tcPr>
          <w:p w:rsidR="00525419" w:rsidRDefault="00EE1CF7">
            <w:pPr>
              <w:spacing w:line="400" w:lineRule="exact"/>
              <w:rPr>
                <w:rFonts w:ascii="Times New Roman" w:hAnsi="Times New Roman"/>
                <w:szCs w:val="21"/>
              </w:rPr>
            </w:pPr>
            <w:r>
              <w:rPr>
                <w:rFonts w:ascii="Times New Roman" w:hAnsi="Times New Roman"/>
                <w:szCs w:val="21"/>
              </w:rPr>
              <w:t>燃烧分解产物：</w:t>
            </w:r>
            <w:r>
              <w:rPr>
                <w:rFonts w:ascii="Times New Roman" w:hAnsi="Times New Roman"/>
                <w:szCs w:val="21"/>
              </w:rPr>
              <w:t>CO</w:t>
            </w:r>
            <w:r>
              <w:rPr>
                <w:rFonts w:ascii="Times New Roman" w:hAnsi="Times New Roman"/>
                <w:szCs w:val="21"/>
              </w:rPr>
              <w:t>、</w:t>
            </w:r>
            <w:r>
              <w:rPr>
                <w:rFonts w:ascii="Times New Roman" w:hAnsi="Times New Roman"/>
                <w:szCs w:val="21"/>
              </w:rPr>
              <w:t>CO</w:t>
            </w:r>
            <w:r>
              <w:rPr>
                <w:rFonts w:ascii="Times New Roman" w:hAnsi="Times New Roman"/>
                <w:szCs w:val="21"/>
                <w:vertAlign w:val="subscript"/>
              </w:rPr>
              <w:t>2</w:t>
            </w:r>
            <w:r>
              <w:rPr>
                <w:rFonts w:ascii="Times New Roman" w:hAnsi="Times New Roman"/>
                <w:szCs w:val="21"/>
              </w:rPr>
              <w:t>、水蒸气</w:t>
            </w:r>
          </w:p>
        </w:tc>
      </w:tr>
      <w:tr w:rsidR="00525419">
        <w:trPr>
          <w:trHeight w:val="284"/>
          <w:jc w:val="center"/>
        </w:trPr>
        <w:tc>
          <w:tcPr>
            <w:tcW w:w="944" w:type="dxa"/>
            <w:vMerge/>
            <w:tcBorders>
              <w:tl2br w:val="nil"/>
              <w:tr2bl w:val="nil"/>
            </w:tcBorders>
            <w:vAlign w:val="center"/>
          </w:tcPr>
          <w:p w:rsidR="00525419" w:rsidRDefault="00525419">
            <w:pPr>
              <w:spacing w:line="400" w:lineRule="exact"/>
              <w:jc w:val="center"/>
              <w:rPr>
                <w:rFonts w:ascii="Times New Roman" w:hAnsi="Times New Roman"/>
                <w:szCs w:val="21"/>
              </w:rPr>
            </w:pPr>
          </w:p>
        </w:tc>
        <w:tc>
          <w:tcPr>
            <w:tcW w:w="3684" w:type="dxa"/>
            <w:gridSpan w:val="4"/>
            <w:tcBorders>
              <w:tl2br w:val="nil"/>
              <w:tr2bl w:val="nil"/>
            </w:tcBorders>
          </w:tcPr>
          <w:p w:rsidR="00525419" w:rsidRDefault="00EE1CF7">
            <w:pPr>
              <w:spacing w:line="400" w:lineRule="exact"/>
              <w:rPr>
                <w:rFonts w:ascii="Times New Roman" w:hAnsi="Times New Roman"/>
                <w:szCs w:val="21"/>
              </w:rPr>
            </w:pPr>
            <w:r>
              <w:rPr>
                <w:rFonts w:ascii="Times New Roman" w:hAnsi="Times New Roman"/>
                <w:szCs w:val="21"/>
              </w:rPr>
              <w:t>闪点（</w:t>
            </w:r>
            <w:r>
              <w:rPr>
                <w:rFonts w:ascii="Times New Roman" w:hAnsi="Times New Roman"/>
                <w:szCs w:val="21"/>
              </w:rPr>
              <w:t>℃</w:t>
            </w:r>
            <w:r>
              <w:rPr>
                <w:rFonts w:ascii="Times New Roman" w:hAnsi="Times New Roman"/>
                <w:szCs w:val="21"/>
              </w:rPr>
              <w:t>）：－</w:t>
            </w:r>
            <w:r>
              <w:rPr>
                <w:rFonts w:ascii="Times New Roman" w:hAnsi="Times New Roman"/>
                <w:szCs w:val="21"/>
              </w:rPr>
              <w:t>188</w:t>
            </w:r>
          </w:p>
        </w:tc>
        <w:tc>
          <w:tcPr>
            <w:tcW w:w="3886" w:type="dxa"/>
            <w:gridSpan w:val="2"/>
            <w:tcBorders>
              <w:tl2br w:val="nil"/>
              <w:tr2bl w:val="nil"/>
            </w:tcBorders>
          </w:tcPr>
          <w:p w:rsidR="00525419" w:rsidRDefault="00EE1CF7">
            <w:pPr>
              <w:spacing w:line="400" w:lineRule="exact"/>
              <w:rPr>
                <w:rFonts w:ascii="Times New Roman" w:hAnsi="Times New Roman"/>
                <w:szCs w:val="21"/>
              </w:rPr>
            </w:pPr>
            <w:r>
              <w:rPr>
                <w:rFonts w:ascii="Times New Roman" w:hAnsi="Times New Roman"/>
                <w:szCs w:val="21"/>
              </w:rPr>
              <w:t>聚合危害：不聚合</w:t>
            </w:r>
          </w:p>
        </w:tc>
      </w:tr>
      <w:tr w:rsidR="00525419">
        <w:trPr>
          <w:trHeight w:val="144"/>
          <w:jc w:val="center"/>
        </w:trPr>
        <w:tc>
          <w:tcPr>
            <w:tcW w:w="944" w:type="dxa"/>
            <w:vMerge/>
            <w:tcBorders>
              <w:tl2br w:val="nil"/>
              <w:tr2bl w:val="nil"/>
            </w:tcBorders>
            <w:vAlign w:val="center"/>
          </w:tcPr>
          <w:p w:rsidR="00525419" w:rsidRDefault="00525419">
            <w:pPr>
              <w:spacing w:line="400" w:lineRule="exact"/>
              <w:jc w:val="center"/>
              <w:rPr>
                <w:rFonts w:ascii="Times New Roman" w:hAnsi="Times New Roman"/>
                <w:szCs w:val="21"/>
              </w:rPr>
            </w:pPr>
          </w:p>
        </w:tc>
        <w:tc>
          <w:tcPr>
            <w:tcW w:w="3684" w:type="dxa"/>
            <w:gridSpan w:val="4"/>
            <w:tcBorders>
              <w:tl2br w:val="nil"/>
              <w:tr2bl w:val="nil"/>
            </w:tcBorders>
          </w:tcPr>
          <w:p w:rsidR="00525419" w:rsidRDefault="00EE1CF7">
            <w:pPr>
              <w:spacing w:line="400" w:lineRule="exact"/>
              <w:rPr>
                <w:rFonts w:ascii="Times New Roman" w:hAnsi="Times New Roman"/>
                <w:szCs w:val="21"/>
              </w:rPr>
            </w:pPr>
            <w:r>
              <w:rPr>
                <w:rFonts w:ascii="Times New Roman" w:hAnsi="Times New Roman"/>
                <w:szCs w:val="21"/>
              </w:rPr>
              <w:t>爆炸极限（％</w:t>
            </w:r>
            <w:r>
              <w:rPr>
                <w:rFonts w:ascii="Times New Roman" w:hAnsi="Times New Roman"/>
                <w:szCs w:val="21"/>
              </w:rPr>
              <w:t>V/V</w:t>
            </w:r>
            <w:r>
              <w:rPr>
                <w:rFonts w:ascii="Times New Roman" w:hAnsi="Times New Roman"/>
                <w:szCs w:val="21"/>
              </w:rPr>
              <w:t>）：</w:t>
            </w:r>
            <w:r>
              <w:rPr>
                <w:rFonts w:ascii="Times New Roman" w:hAnsi="Times New Roman"/>
                <w:szCs w:val="21"/>
              </w:rPr>
              <w:t>5.3</w:t>
            </w:r>
            <w:r>
              <w:rPr>
                <w:rFonts w:ascii="Times New Roman" w:hAnsi="Times New Roman"/>
                <w:szCs w:val="21"/>
              </w:rPr>
              <w:t>～</w:t>
            </w:r>
            <w:r>
              <w:rPr>
                <w:rFonts w:ascii="Times New Roman" w:hAnsi="Times New Roman"/>
                <w:szCs w:val="21"/>
              </w:rPr>
              <w:t>15</w:t>
            </w:r>
          </w:p>
        </w:tc>
        <w:tc>
          <w:tcPr>
            <w:tcW w:w="3886" w:type="dxa"/>
            <w:gridSpan w:val="2"/>
            <w:tcBorders>
              <w:tl2br w:val="nil"/>
              <w:tr2bl w:val="nil"/>
            </w:tcBorders>
          </w:tcPr>
          <w:p w:rsidR="00525419" w:rsidRDefault="00EE1CF7">
            <w:pPr>
              <w:spacing w:line="400" w:lineRule="exact"/>
              <w:rPr>
                <w:rFonts w:ascii="Times New Roman" w:hAnsi="Times New Roman"/>
                <w:szCs w:val="21"/>
              </w:rPr>
            </w:pPr>
            <w:r>
              <w:rPr>
                <w:rFonts w:ascii="Times New Roman" w:hAnsi="Times New Roman"/>
                <w:szCs w:val="21"/>
              </w:rPr>
              <w:t>稳定性：稳定</w:t>
            </w:r>
          </w:p>
        </w:tc>
      </w:tr>
      <w:tr w:rsidR="00525419">
        <w:trPr>
          <w:trHeight w:val="284"/>
          <w:jc w:val="center"/>
        </w:trPr>
        <w:tc>
          <w:tcPr>
            <w:tcW w:w="944" w:type="dxa"/>
            <w:vMerge/>
            <w:tcBorders>
              <w:tl2br w:val="nil"/>
              <w:tr2bl w:val="nil"/>
            </w:tcBorders>
            <w:vAlign w:val="center"/>
          </w:tcPr>
          <w:p w:rsidR="00525419" w:rsidRDefault="00525419">
            <w:pPr>
              <w:spacing w:line="400" w:lineRule="exact"/>
              <w:jc w:val="center"/>
              <w:rPr>
                <w:rFonts w:ascii="Times New Roman" w:hAnsi="Times New Roman"/>
                <w:szCs w:val="21"/>
              </w:rPr>
            </w:pPr>
          </w:p>
        </w:tc>
        <w:tc>
          <w:tcPr>
            <w:tcW w:w="3684" w:type="dxa"/>
            <w:gridSpan w:val="4"/>
            <w:tcBorders>
              <w:tl2br w:val="nil"/>
              <w:tr2bl w:val="nil"/>
            </w:tcBorders>
            <w:vAlign w:val="center"/>
          </w:tcPr>
          <w:p w:rsidR="00525419" w:rsidRDefault="00EE1CF7">
            <w:pPr>
              <w:spacing w:line="400" w:lineRule="exact"/>
              <w:rPr>
                <w:rFonts w:ascii="Times New Roman" w:hAnsi="Times New Roman"/>
                <w:szCs w:val="21"/>
              </w:rPr>
            </w:pPr>
            <w:r>
              <w:rPr>
                <w:rFonts w:ascii="Times New Roman" w:hAnsi="Times New Roman"/>
                <w:szCs w:val="21"/>
              </w:rPr>
              <w:t>自燃温度（</w:t>
            </w:r>
            <w:r>
              <w:rPr>
                <w:rFonts w:ascii="Times New Roman" w:hAnsi="Times New Roman"/>
                <w:szCs w:val="21"/>
              </w:rPr>
              <w:t>℃</w:t>
            </w:r>
            <w:r>
              <w:rPr>
                <w:rFonts w:ascii="Times New Roman" w:hAnsi="Times New Roman"/>
                <w:szCs w:val="21"/>
              </w:rPr>
              <w:t>）：</w:t>
            </w:r>
            <w:r>
              <w:rPr>
                <w:rFonts w:ascii="Times New Roman" w:hAnsi="Times New Roman"/>
                <w:szCs w:val="21"/>
              </w:rPr>
              <w:t>537</w:t>
            </w:r>
          </w:p>
        </w:tc>
        <w:tc>
          <w:tcPr>
            <w:tcW w:w="3886" w:type="dxa"/>
            <w:gridSpan w:val="2"/>
            <w:tcBorders>
              <w:tl2br w:val="nil"/>
              <w:tr2bl w:val="nil"/>
            </w:tcBorders>
          </w:tcPr>
          <w:p w:rsidR="00525419" w:rsidRDefault="00EE1CF7">
            <w:pPr>
              <w:spacing w:line="400" w:lineRule="exact"/>
              <w:rPr>
                <w:rFonts w:ascii="Times New Roman" w:hAnsi="Times New Roman"/>
                <w:szCs w:val="21"/>
              </w:rPr>
            </w:pPr>
            <w:r>
              <w:rPr>
                <w:rFonts w:ascii="Times New Roman" w:hAnsi="Times New Roman"/>
                <w:szCs w:val="21"/>
              </w:rPr>
              <w:t>禁忌物：氟、氯、强氧化剂</w:t>
            </w:r>
          </w:p>
        </w:tc>
      </w:tr>
      <w:tr w:rsidR="00525419">
        <w:trPr>
          <w:trHeight w:val="560"/>
          <w:jc w:val="center"/>
        </w:trPr>
        <w:tc>
          <w:tcPr>
            <w:tcW w:w="944" w:type="dxa"/>
            <w:vMerge/>
            <w:tcBorders>
              <w:tl2br w:val="nil"/>
              <w:tr2bl w:val="nil"/>
            </w:tcBorders>
            <w:vAlign w:val="center"/>
          </w:tcPr>
          <w:p w:rsidR="00525419" w:rsidRDefault="00525419">
            <w:pPr>
              <w:spacing w:line="400" w:lineRule="exact"/>
              <w:jc w:val="center"/>
              <w:rPr>
                <w:rFonts w:ascii="Times New Roman" w:hAnsi="Times New Roman"/>
                <w:szCs w:val="21"/>
              </w:rPr>
            </w:pPr>
          </w:p>
        </w:tc>
        <w:tc>
          <w:tcPr>
            <w:tcW w:w="7570" w:type="dxa"/>
            <w:gridSpan w:val="6"/>
            <w:tcBorders>
              <w:tl2br w:val="nil"/>
              <w:tr2bl w:val="nil"/>
            </w:tcBorders>
          </w:tcPr>
          <w:p w:rsidR="00525419" w:rsidRDefault="00EE1CF7">
            <w:pPr>
              <w:rPr>
                <w:rFonts w:ascii="Times New Roman" w:hAnsi="Times New Roman"/>
                <w:szCs w:val="21"/>
              </w:rPr>
            </w:pPr>
            <w:r>
              <w:rPr>
                <w:rFonts w:ascii="Times New Roman" w:hAnsi="Times New Roman"/>
                <w:szCs w:val="21"/>
              </w:rPr>
              <w:t>危险特性：能与空气形成爆炸性混合物。遇明火有燃烧爆炸危险，与氢、氯等接触会发生剧烈的化学反应。</w:t>
            </w:r>
          </w:p>
        </w:tc>
      </w:tr>
      <w:tr w:rsidR="00525419">
        <w:trPr>
          <w:trHeight w:val="144"/>
          <w:jc w:val="center"/>
        </w:trPr>
        <w:tc>
          <w:tcPr>
            <w:tcW w:w="944" w:type="dxa"/>
            <w:vMerge/>
            <w:tcBorders>
              <w:tl2br w:val="nil"/>
              <w:tr2bl w:val="nil"/>
            </w:tcBorders>
            <w:vAlign w:val="center"/>
          </w:tcPr>
          <w:p w:rsidR="00525419" w:rsidRDefault="00525419">
            <w:pPr>
              <w:spacing w:line="400" w:lineRule="exact"/>
              <w:jc w:val="center"/>
              <w:rPr>
                <w:rFonts w:ascii="Times New Roman" w:hAnsi="Times New Roman"/>
                <w:szCs w:val="21"/>
              </w:rPr>
            </w:pPr>
          </w:p>
        </w:tc>
        <w:tc>
          <w:tcPr>
            <w:tcW w:w="7570" w:type="dxa"/>
            <w:gridSpan w:val="6"/>
            <w:tcBorders>
              <w:tl2br w:val="nil"/>
              <w:tr2bl w:val="nil"/>
            </w:tcBorders>
          </w:tcPr>
          <w:p w:rsidR="00525419" w:rsidRDefault="00EE1CF7">
            <w:pPr>
              <w:rPr>
                <w:rFonts w:ascii="Times New Roman" w:hAnsi="Times New Roman"/>
                <w:szCs w:val="21"/>
              </w:rPr>
            </w:pPr>
            <w:r>
              <w:rPr>
                <w:rFonts w:ascii="Times New Roman" w:hAnsi="Times New Roman"/>
                <w:szCs w:val="21"/>
              </w:rPr>
              <w:t>消防措施：灭火方法：切断气源。若不能立即切断气源，则不允许熄灭正在燃烧的气体。喷水冷却容器。灭火剂：雾状水、泡沫、二氧化碳。</w:t>
            </w:r>
          </w:p>
        </w:tc>
      </w:tr>
      <w:tr w:rsidR="00525419">
        <w:trPr>
          <w:trHeight w:val="675"/>
          <w:jc w:val="center"/>
        </w:trPr>
        <w:tc>
          <w:tcPr>
            <w:tcW w:w="944" w:type="dxa"/>
            <w:tcBorders>
              <w:tl2br w:val="nil"/>
              <w:tr2bl w:val="nil"/>
            </w:tcBorders>
            <w:vAlign w:val="center"/>
          </w:tcPr>
          <w:p w:rsidR="00525419" w:rsidRDefault="00EE1CF7">
            <w:pPr>
              <w:spacing w:line="400" w:lineRule="exact"/>
              <w:jc w:val="center"/>
              <w:rPr>
                <w:rFonts w:ascii="Times New Roman" w:hAnsi="Times New Roman"/>
                <w:szCs w:val="21"/>
              </w:rPr>
            </w:pPr>
            <w:r>
              <w:rPr>
                <w:rFonts w:ascii="Times New Roman" w:hAnsi="Times New Roman"/>
                <w:szCs w:val="21"/>
              </w:rPr>
              <w:t>毒性</w:t>
            </w:r>
          </w:p>
        </w:tc>
        <w:tc>
          <w:tcPr>
            <w:tcW w:w="7570" w:type="dxa"/>
            <w:gridSpan w:val="6"/>
            <w:tcBorders>
              <w:tl2br w:val="nil"/>
              <w:tr2bl w:val="nil"/>
            </w:tcBorders>
          </w:tcPr>
          <w:p w:rsidR="00525419" w:rsidRDefault="00EE1CF7">
            <w:pPr>
              <w:rPr>
                <w:rFonts w:ascii="Times New Roman" w:hAnsi="Times New Roman"/>
                <w:szCs w:val="21"/>
              </w:rPr>
            </w:pPr>
            <w:r>
              <w:rPr>
                <w:rFonts w:ascii="Times New Roman" w:hAnsi="Times New Roman"/>
                <w:szCs w:val="21"/>
              </w:rPr>
              <w:t>接触限值：瑞士：</w:t>
            </w:r>
            <w:r>
              <w:rPr>
                <w:rFonts w:ascii="Times New Roman" w:hAnsi="Times New Roman"/>
                <w:szCs w:val="21"/>
              </w:rPr>
              <w:t>TWA10000ppm</w:t>
            </w:r>
            <w:r>
              <w:rPr>
                <w:rFonts w:ascii="Times New Roman" w:hAnsi="Times New Roman"/>
                <w:szCs w:val="21"/>
              </w:rPr>
              <w:t>（</w:t>
            </w:r>
            <w:r>
              <w:rPr>
                <w:rFonts w:ascii="Times New Roman" w:hAnsi="Times New Roman"/>
                <w:szCs w:val="21"/>
              </w:rPr>
              <w:t>6700mg/m</w:t>
            </w:r>
            <w:r>
              <w:rPr>
                <w:rFonts w:ascii="Times New Roman" w:hAnsi="Times New Roman"/>
                <w:szCs w:val="21"/>
                <w:vertAlign w:val="superscript"/>
              </w:rPr>
              <w:t>3</w:t>
            </w:r>
            <w:r>
              <w:rPr>
                <w:rFonts w:ascii="Times New Roman" w:hAnsi="Times New Roman"/>
                <w:szCs w:val="21"/>
              </w:rPr>
              <w:t>）</w:t>
            </w:r>
            <w:r>
              <w:rPr>
                <w:rFonts w:ascii="Times New Roman" w:hAnsi="Times New Roman"/>
                <w:szCs w:val="21"/>
              </w:rPr>
              <w:t>JAN1993</w:t>
            </w:r>
            <w:r>
              <w:rPr>
                <w:rFonts w:ascii="Times New Roman" w:hAnsi="Times New Roman"/>
                <w:szCs w:val="21"/>
              </w:rPr>
              <w:t>；</w:t>
            </w:r>
          </w:p>
          <w:p w:rsidR="00525419" w:rsidRDefault="00EE1CF7">
            <w:pPr>
              <w:rPr>
                <w:rFonts w:ascii="Times New Roman" w:hAnsi="Times New Roman"/>
                <w:szCs w:val="21"/>
              </w:rPr>
            </w:pPr>
            <w:r>
              <w:rPr>
                <w:rFonts w:ascii="Times New Roman" w:hAnsi="Times New Roman"/>
                <w:szCs w:val="21"/>
              </w:rPr>
              <w:t>毒理资料：小鼠吸入</w:t>
            </w:r>
            <w:r>
              <w:rPr>
                <w:rFonts w:ascii="Times New Roman" w:hAnsi="Times New Roman"/>
                <w:szCs w:val="21"/>
              </w:rPr>
              <w:t>42</w:t>
            </w:r>
            <w:r>
              <w:rPr>
                <w:rFonts w:ascii="Times New Roman" w:hAnsi="Times New Roman"/>
                <w:szCs w:val="21"/>
              </w:rPr>
              <w:t>％浓度</w:t>
            </w:r>
            <w:r>
              <w:rPr>
                <w:rFonts w:ascii="Times New Roman" w:hAnsi="Times New Roman"/>
                <w:szCs w:val="21"/>
              </w:rPr>
              <w:t>60min</w:t>
            </w:r>
            <w:r>
              <w:rPr>
                <w:rFonts w:ascii="Times New Roman" w:hAnsi="Times New Roman"/>
                <w:szCs w:val="21"/>
              </w:rPr>
              <w:t>麻醉</w:t>
            </w:r>
          </w:p>
        </w:tc>
      </w:tr>
      <w:tr w:rsidR="00525419">
        <w:trPr>
          <w:trHeight w:val="1547"/>
          <w:jc w:val="center"/>
        </w:trPr>
        <w:tc>
          <w:tcPr>
            <w:tcW w:w="944"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对</w:t>
            </w:r>
          </w:p>
          <w:p w:rsidR="00525419" w:rsidRDefault="00EE1CF7">
            <w:pPr>
              <w:jc w:val="center"/>
              <w:rPr>
                <w:rFonts w:ascii="Times New Roman" w:hAnsi="Times New Roman"/>
                <w:szCs w:val="21"/>
              </w:rPr>
            </w:pPr>
            <w:r>
              <w:rPr>
                <w:rFonts w:ascii="Times New Roman" w:hAnsi="Times New Roman"/>
                <w:szCs w:val="21"/>
              </w:rPr>
              <w:t>人</w:t>
            </w:r>
          </w:p>
          <w:p w:rsidR="00525419" w:rsidRDefault="00EE1CF7">
            <w:pPr>
              <w:jc w:val="center"/>
              <w:rPr>
                <w:rFonts w:ascii="Times New Roman" w:hAnsi="Times New Roman"/>
                <w:szCs w:val="21"/>
              </w:rPr>
            </w:pPr>
            <w:r>
              <w:rPr>
                <w:rFonts w:ascii="Times New Roman" w:hAnsi="Times New Roman"/>
                <w:szCs w:val="21"/>
              </w:rPr>
              <w:t>体</w:t>
            </w:r>
          </w:p>
          <w:p w:rsidR="00525419" w:rsidRDefault="00EE1CF7">
            <w:pPr>
              <w:jc w:val="center"/>
              <w:rPr>
                <w:rFonts w:ascii="Times New Roman" w:hAnsi="Times New Roman"/>
                <w:szCs w:val="21"/>
              </w:rPr>
            </w:pPr>
            <w:r>
              <w:rPr>
                <w:rFonts w:ascii="Times New Roman" w:hAnsi="Times New Roman"/>
                <w:szCs w:val="21"/>
              </w:rPr>
              <w:t>危</w:t>
            </w:r>
          </w:p>
          <w:p w:rsidR="00525419" w:rsidRDefault="00EE1CF7">
            <w:pPr>
              <w:jc w:val="center"/>
              <w:rPr>
                <w:rFonts w:ascii="Times New Roman" w:hAnsi="Times New Roman"/>
                <w:szCs w:val="21"/>
              </w:rPr>
            </w:pPr>
            <w:r>
              <w:rPr>
                <w:rFonts w:ascii="Times New Roman" w:hAnsi="Times New Roman"/>
                <w:szCs w:val="21"/>
              </w:rPr>
              <w:t>害</w:t>
            </w:r>
          </w:p>
        </w:tc>
        <w:tc>
          <w:tcPr>
            <w:tcW w:w="7570" w:type="dxa"/>
            <w:gridSpan w:val="6"/>
            <w:tcBorders>
              <w:tl2br w:val="nil"/>
              <w:tr2bl w:val="nil"/>
            </w:tcBorders>
          </w:tcPr>
          <w:p w:rsidR="00525419" w:rsidRDefault="00EE1CF7">
            <w:pPr>
              <w:adjustRightInd w:val="0"/>
              <w:snapToGrid w:val="0"/>
              <w:rPr>
                <w:rFonts w:ascii="Times New Roman" w:hAnsi="Times New Roman"/>
                <w:szCs w:val="21"/>
              </w:rPr>
            </w:pPr>
            <w:r>
              <w:rPr>
                <w:rFonts w:ascii="Times New Roman" w:hAnsi="Times New Roman"/>
                <w:szCs w:val="21"/>
              </w:rPr>
              <w:t>本品对人基本无毒，但浓度过高时，使空气中氧含量明显降低，使人窒息。</w:t>
            </w:r>
          </w:p>
          <w:p w:rsidR="00525419" w:rsidRDefault="00EE1CF7">
            <w:pPr>
              <w:adjustRightInd w:val="0"/>
              <w:snapToGrid w:val="0"/>
              <w:ind w:leftChars="6" w:left="13"/>
              <w:rPr>
                <w:rFonts w:ascii="Times New Roman" w:hAnsi="Times New Roman"/>
                <w:spacing w:val="-4"/>
                <w:szCs w:val="21"/>
              </w:rPr>
            </w:pPr>
            <w:r>
              <w:rPr>
                <w:rFonts w:ascii="Times New Roman" w:hAnsi="Times New Roman"/>
                <w:spacing w:val="-4"/>
                <w:szCs w:val="21"/>
              </w:rPr>
              <w:t>急性中毒：有头晕、头痛、兴奋或嗜睡、恶心、呕吐、脉缓等；重症者可突然倒下，尿失禁，意识丧失，甚至呼吸停止。</w:t>
            </w:r>
          </w:p>
          <w:p w:rsidR="00525419" w:rsidRDefault="00EE1CF7">
            <w:pPr>
              <w:rPr>
                <w:rFonts w:ascii="Times New Roman" w:hAnsi="Times New Roman"/>
                <w:szCs w:val="21"/>
              </w:rPr>
            </w:pPr>
            <w:r>
              <w:rPr>
                <w:rFonts w:ascii="Times New Roman" w:hAnsi="Times New Roman"/>
                <w:szCs w:val="21"/>
              </w:rPr>
              <w:t>慢性影响：长期接触低浓度者，可出现头痛、头晕、睡眠不佳、易疲劳、情绪不稳以及植物神经功能紊乱等。</w:t>
            </w:r>
          </w:p>
        </w:tc>
      </w:tr>
    </w:tbl>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5.6.3.2</w:t>
      </w:r>
      <w:r>
        <w:rPr>
          <w:rFonts w:ascii="Times New Roman" w:hAnsi="Times New Roman" w:cs="Times New Roman"/>
          <w:kern w:val="44"/>
          <w:sz w:val="24"/>
          <w:szCs w:val="24"/>
        </w:rPr>
        <w:t>生产设施风险识别</w:t>
      </w:r>
    </w:p>
    <w:p w:rsidR="00525419" w:rsidRDefault="00EE1CF7">
      <w:pPr>
        <w:autoSpaceDE w:val="0"/>
        <w:autoSpaceDN w:val="0"/>
        <w:adjustRightInd w:val="0"/>
        <w:spacing w:line="360" w:lineRule="auto"/>
        <w:ind w:firstLine="522"/>
        <w:rPr>
          <w:rFonts w:ascii="Times New Roman" w:hAnsi="Times New Roman"/>
          <w:sz w:val="24"/>
          <w:lang w:val="zh-CN"/>
        </w:rPr>
      </w:pPr>
      <w:r>
        <w:rPr>
          <w:rFonts w:ascii="Times New Roman" w:hAnsi="Times New Roman"/>
          <w:sz w:val="24"/>
          <w:lang w:val="zh-CN"/>
        </w:rPr>
        <w:t>生产过程中潜在的危险性包括生产运行装置和储运过程等潜在的危险性。</w:t>
      </w:r>
    </w:p>
    <w:p w:rsidR="00525419" w:rsidRDefault="00EE1CF7">
      <w:pPr>
        <w:autoSpaceDE w:val="0"/>
        <w:autoSpaceDN w:val="0"/>
        <w:adjustRightInd w:val="0"/>
        <w:spacing w:line="360" w:lineRule="auto"/>
        <w:ind w:firstLine="522"/>
        <w:rPr>
          <w:rFonts w:ascii="Times New Roman" w:hAnsi="Times New Roman"/>
          <w:sz w:val="24"/>
          <w:lang w:val="zh-CN"/>
        </w:rPr>
      </w:pPr>
      <w:r>
        <w:rPr>
          <w:rFonts w:ascii="Times New Roman" w:hAnsi="Times New Roman"/>
          <w:sz w:val="24"/>
          <w:lang w:val="zh-CN"/>
        </w:rPr>
        <w:t>（</w:t>
      </w:r>
      <w:r>
        <w:rPr>
          <w:rFonts w:ascii="Times New Roman" w:hAnsi="Times New Roman"/>
          <w:sz w:val="24"/>
          <w:lang w:val="zh-CN"/>
        </w:rPr>
        <w:t>1</w:t>
      </w:r>
      <w:r>
        <w:rPr>
          <w:rFonts w:ascii="Times New Roman" w:hAnsi="Times New Roman"/>
          <w:sz w:val="24"/>
          <w:lang w:val="zh-CN"/>
        </w:rPr>
        <w:t>）生产运行装置</w:t>
      </w:r>
    </w:p>
    <w:p w:rsidR="00525419" w:rsidRDefault="00EE1CF7">
      <w:pPr>
        <w:spacing w:line="360" w:lineRule="auto"/>
        <w:ind w:firstLineChars="200" w:firstLine="480"/>
        <w:rPr>
          <w:rFonts w:ascii="Times New Roman" w:hAnsi="Times New Roman"/>
          <w:kern w:val="0"/>
          <w:sz w:val="24"/>
          <w:szCs w:val="20"/>
        </w:rPr>
      </w:pPr>
      <w:r>
        <w:rPr>
          <w:rFonts w:ascii="Times New Roman" w:hAnsi="Times New Roman"/>
          <w:kern w:val="0"/>
          <w:sz w:val="24"/>
          <w:szCs w:val="24"/>
        </w:rPr>
        <w:t>从本项目物料的火灾爆炸危险性和毒性物料分析，主要危险物料既存在发生火灾爆炸事故的可能，又可能发生有毒物料泄漏造成人员中毒伤亡的灾难性事故。由于生产过程具有高温、高压特点</w:t>
      </w:r>
      <w:r>
        <w:rPr>
          <w:rFonts w:ascii="Times New Roman" w:hAnsi="Times New Roman"/>
          <w:kern w:val="0"/>
          <w:sz w:val="24"/>
          <w:szCs w:val="20"/>
        </w:rPr>
        <w:t>，对设备及相应管道的承压、密封和耐腐蚀的要求都很高，并且大部分装置均为甲类生产装置，一旦发生火灾爆炸事故，在发生事故地点较近的范围内将受到严重的影响和破坏，同时存在人员伤亡的可能性。当发生有毒物料泄漏事故时，有毒物料将在大气中扩散，周围的人员有发生中毒、死亡的可能性。</w:t>
      </w:r>
    </w:p>
    <w:p w:rsidR="00525419" w:rsidRDefault="00EE1CF7">
      <w:pPr>
        <w:spacing w:line="360" w:lineRule="auto"/>
        <w:ind w:firstLineChars="200" w:firstLine="480"/>
        <w:rPr>
          <w:rFonts w:ascii="Times New Roman" w:hAnsi="Times New Roman"/>
          <w:kern w:val="0"/>
          <w:sz w:val="24"/>
          <w:szCs w:val="20"/>
        </w:rPr>
      </w:pPr>
      <w:r>
        <w:rPr>
          <w:rFonts w:ascii="Times New Roman" w:hAnsi="Times New Roman"/>
          <w:kern w:val="0"/>
          <w:sz w:val="24"/>
          <w:szCs w:val="20"/>
        </w:rPr>
        <w:t>各装置主要危险有害部位及风险类型详见表</w:t>
      </w:r>
      <w:r>
        <w:rPr>
          <w:rFonts w:ascii="Times New Roman" w:hAnsi="Times New Roman"/>
          <w:kern w:val="0"/>
          <w:sz w:val="24"/>
          <w:szCs w:val="20"/>
        </w:rPr>
        <w:t>5.6-20</w:t>
      </w:r>
      <w:r>
        <w:rPr>
          <w:rFonts w:ascii="Times New Roman" w:hAnsi="Times New Roman"/>
          <w:kern w:val="0"/>
          <w:sz w:val="24"/>
          <w:szCs w:val="20"/>
        </w:rPr>
        <w:t>。</w:t>
      </w:r>
    </w:p>
    <w:p w:rsidR="00525419" w:rsidRDefault="00EE1CF7">
      <w:pPr>
        <w:spacing w:line="240" w:lineRule="atLeast"/>
        <w:rPr>
          <w:rFonts w:ascii="Times New Roman" w:eastAsia="黑体" w:hAnsi="Times New Roman"/>
          <w:szCs w:val="21"/>
        </w:rPr>
      </w:pPr>
      <w:r>
        <w:rPr>
          <w:rFonts w:ascii="Times New Roman" w:eastAsia="黑体" w:hAnsi="Times New Roman"/>
          <w:szCs w:val="21"/>
        </w:rPr>
        <w:t xml:space="preserve">　　</w:t>
      </w:r>
      <w:r>
        <w:rPr>
          <w:rFonts w:ascii="Times New Roman" w:eastAsia="黑体" w:hAnsi="Times New Roman"/>
          <w:szCs w:val="21"/>
        </w:rPr>
        <w:t xml:space="preserve">         </w:t>
      </w:r>
      <w:r>
        <w:rPr>
          <w:rFonts w:ascii="Times New Roman" w:eastAsia="黑体" w:hAnsi="Times New Roman"/>
          <w:szCs w:val="21"/>
        </w:rPr>
        <w:t>表</w:t>
      </w:r>
      <w:r>
        <w:rPr>
          <w:rFonts w:ascii="Times New Roman" w:eastAsia="黑体" w:hAnsi="Times New Roman"/>
          <w:szCs w:val="21"/>
        </w:rPr>
        <w:t xml:space="preserve">5.6-20          </w:t>
      </w:r>
      <w:r>
        <w:rPr>
          <w:rFonts w:ascii="Times New Roman" w:eastAsia="黑体" w:hAnsi="Times New Roman"/>
          <w:szCs w:val="21"/>
        </w:rPr>
        <w:t>各装置主要危险有害部位及风险类型</w:t>
      </w:r>
    </w:p>
    <w:tbl>
      <w:tblPr>
        <w:tblW w:w="851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484"/>
        <w:gridCol w:w="1094"/>
        <w:gridCol w:w="3066"/>
        <w:gridCol w:w="3870"/>
      </w:tblGrid>
      <w:tr w:rsidR="00525419">
        <w:trPr>
          <w:trHeight w:val="503"/>
        </w:trPr>
        <w:tc>
          <w:tcPr>
            <w:tcW w:w="484" w:type="dxa"/>
            <w:tcBorders>
              <w:tl2br w:val="nil"/>
              <w:tr2bl w:val="nil"/>
            </w:tcBorders>
          </w:tcPr>
          <w:p w:rsidR="00525419" w:rsidRDefault="00EE1CF7">
            <w:pPr>
              <w:autoSpaceDE w:val="0"/>
              <w:autoSpaceDN w:val="0"/>
              <w:adjustRightInd w:val="0"/>
              <w:rPr>
                <w:rFonts w:ascii="Times New Roman" w:hAnsi="Times New Roman"/>
                <w:szCs w:val="21"/>
              </w:rPr>
            </w:pPr>
            <w:r>
              <w:rPr>
                <w:rFonts w:ascii="Times New Roman" w:hAnsi="Times New Roman"/>
                <w:szCs w:val="21"/>
              </w:rPr>
              <w:t>序号</w:t>
            </w:r>
          </w:p>
        </w:tc>
        <w:tc>
          <w:tcPr>
            <w:tcW w:w="1094" w:type="dxa"/>
            <w:tcBorders>
              <w:tl2br w:val="nil"/>
              <w:tr2bl w:val="nil"/>
            </w:tcBorders>
            <w:vAlign w:val="center"/>
          </w:tcPr>
          <w:p w:rsidR="00525419" w:rsidRDefault="00EE1CF7">
            <w:pPr>
              <w:autoSpaceDE w:val="0"/>
              <w:autoSpaceDN w:val="0"/>
              <w:adjustRightInd w:val="0"/>
              <w:rPr>
                <w:rFonts w:ascii="Times New Roman" w:hAnsi="Times New Roman"/>
                <w:szCs w:val="21"/>
              </w:rPr>
            </w:pPr>
            <w:r>
              <w:rPr>
                <w:rFonts w:ascii="Times New Roman" w:hAnsi="Times New Roman"/>
                <w:szCs w:val="21"/>
              </w:rPr>
              <w:t>装置名称</w:t>
            </w:r>
          </w:p>
        </w:tc>
        <w:tc>
          <w:tcPr>
            <w:tcW w:w="3066" w:type="dxa"/>
            <w:tcBorders>
              <w:tl2br w:val="nil"/>
              <w:tr2bl w:val="nil"/>
            </w:tcBorders>
            <w:vAlign w:val="center"/>
          </w:tcPr>
          <w:p w:rsidR="00525419" w:rsidRDefault="00EE1CF7">
            <w:pPr>
              <w:autoSpaceDE w:val="0"/>
              <w:autoSpaceDN w:val="0"/>
              <w:adjustRightInd w:val="0"/>
              <w:rPr>
                <w:rFonts w:ascii="Times New Roman" w:hAnsi="Times New Roman"/>
                <w:szCs w:val="21"/>
              </w:rPr>
            </w:pPr>
            <w:r>
              <w:rPr>
                <w:rFonts w:ascii="Times New Roman" w:hAnsi="Times New Roman"/>
                <w:szCs w:val="21"/>
              </w:rPr>
              <w:t>危害有害因素</w:t>
            </w:r>
          </w:p>
        </w:tc>
        <w:tc>
          <w:tcPr>
            <w:tcW w:w="3870" w:type="dxa"/>
            <w:tcBorders>
              <w:tl2br w:val="nil"/>
              <w:tr2bl w:val="nil"/>
            </w:tcBorders>
            <w:vAlign w:val="center"/>
          </w:tcPr>
          <w:p w:rsidR="00525419" w:rsidRDefault="00EE1CF7">
            <w:pPr>
              <w:autoSpaceDE w:val="0"/>
              <w:autoSpaceDN w:val="0"/>
              <w:adjustRightInd w:val="0"/>
              <w:rPr>
                <w:rFonts w:ascii="Times New Roman" w:hAnsi="Times New Roman"/>
                <w:szCs w:val="21"/>
              </w:rPr>
            </w:pPr>
            <w:r>
              <w:rPr>
                <w:rFonts w:ascii="Times New Roman" w:hAnsi="Times New Roman"/>
                <w:szCs w:val="21"/>
              </w:rPr>
              <w:t>产生部位</w:t>
            </w:r>
          </w:p>
        </w:tc>
      </w:tr>
      <w:tr w:rsidR="00525419">
        <w:trPr>
          <w:trHeight w:val="490"/>
        </w:trPr>
        <w:tc>
          <w:tcPr>
            <w:tcW w:w="484" w:type="dxa"/>
            <w:tcBorders>
              <w:tl2br w:val="nil"/>
              <w:tr2bl w:val="nil"/>
            </w:tcBorders>
            <w:vAlign w:val="center"/>
          </w:tcPr>
          <w:p w:rsidR="00525419" w:rsidRDefault="00EE1CF7">
            <w:pPr>
              <w:autoSpaceDE w:val="0"/>
              <w:autoSpaceDN w:val="0"/>
              <w:adjustRightInd w:val="0"/>
              <w:rPr>
                <w:rFonts w:ascii="Times New Roman" w:hAnsi="Times New Roman"/>
                <w:szCs w:val="21"/>
              </w:rPr>
            </w:pPr>
            <w:r>
              <w:rPr>
                <w:rFonts w:ascii="Times New Roman" w:hAnsi="Times New Roman"/>
                <w:szCs w:val="21"/>
              </w:rPr>
              <w:t>1</w:t>
            </w:r>
          </w:p>
        </w:tc>
        <w:tc>
          <w:tcPr>
            <w:tcW w:w="1094" w:type="dxa"/>
            <w:tcBorders>
              <w:tl2br w:val="nil"/>
              <w:tr2bl w:val="nil"/>
            </w:tcBorders>
            <w:vAlign w:val="center"/>
          </w:tcPr>
          <w:p w:rsidR="00525419" w:rsidRDefault="00EE1CF7">
            <w:pPr>
              <w:autoSpaceDE w:val="0"/>
              <w:autoSpaceDN w:val="0"/>
              <w:adjustRightInd w:val="0"/>
              <w:rPr>
                <w:rFonts w:ascii="Times New Roman" w:hAnsi="Times New Roman"/>
                <w:szCs w:val="21"/>
              </w:rPr>
            </w:pPr>
            <w:r>
              <w:rPr>
                <w:rFonts w:ascii="Times New Roman" w:hAnsi="Times New Roman"/>
                <w:szCs w:val="21"/>
              </w:rPr>
              <w:t>转化</w:t>
            </w:r>
          </w:p>
        </w:tc>
        <w:tc>
          <w:tcPr>
            <w:tcW w:w="3066" w:type="dxa"/>
            <w:tcBorders>
              <w:tl2br w:val="nil"/>
              <w:tr2bl w:val="nil"/>
            </w:tcBorders>
          </w:tcPr>
          <w:p w:rsidR="00525419" w:rsidRDefault="00EE1CF7">
            <w:pPr>
              <w:autoSpaceDE w:val="0"/>
              <w:autoSpaceDN w:val="0"/>
              <w:adjustRightInd w:val="0"/>
              <w:rPr>
                <w:rFonts w:ascii="Times New Roman" w:hAnsi="Times New Roman"/>
                <w:szCs w:val="21"/>
              </w:rPr>
            </w:pPr>
            <w:r>
              <w:rPr>
                <w:rFonts w:ascii="Times New Roman" w:hAnsi="Times New Roman"/>
                <w:szCs w:val="21"/>
              </w:rPr>
              <w:t>超压爆炸、中毒、噪声、火灾爆炸、高温</w:t>
            </w:r>
          </w:p>
        </w:tc>
        <w:tc>
          <w:tcPr>
            <w:tcW w:w="3870" w:type="dxa"/>
            <w:tcBorders>
              <w:tl2br w:val="nil"/>
              <w:tr2bl w:val="nil"/>
            </w:tcBorders>
            <w:vAlign w:val="center"/>
          </w:tcPr>
          <w:p w:rsidR="00525419" w:rsidRDefault="00EE1CF7">
            <w:pPr>
              <w:autoSpaceDE w:val="0"/>
              <w:autoSpaceDN w:val="0"/>
              <w:adjustRightInd w:val="0"/>
              <w:rPr>
                <w:rFonts w:ascii="Times New Roman" w:hAnsi="Times New Roman"/>
                <w:szCs w:val="21"/>
              </w:rPr>
            </w:pPr>
            <w:r>
              <w:rPr>
                <w:rFonts w:ascii="Times New Roman" w:hAnsi="Times New Roman"/>
                <w:szCs w:val="21"/>
              </w:rPr>
              <w:t>转化器</w:t>
            </w:r>
          </w:p>
        </w:tc>
      </w:tr>
      <w:tr w:rsidR="00525419">
        <w:trPr>
          <w:trHeight w:val="490"/>
        </w:trPr>
        <w:tc>
          <w:tcPr>
            <w:tcW w:w="484" w:type="dxa"/>
            <w:tcBorders>
              <w:tl2br w:val="nil"/>
              <w:tr2bl w:val="nil"/>
            </w:tcBorders>
            <w:vAlign w:val="center"/>
          </w:tcPr>
          <w:p w:rsidR="00525419" w:rsidRDefault="00EE1CF7">
            <w:pPr>
              <w:autoSpaceDE w:val="0"/>
              <w:autoSpaceDN w:val="0"/>
              <w:adjustRightInd w:val="0"/>
              <w:rPr>
                <w:rFonts w:ascii="Times New Roman" w:hAnsi="Times New Roman"/>
                <w:szCs w:val="21"/>
              </w:rPr>
            </w:pPr>
            <w:r>
              <w:rPr>
                <w:rFonts w:ascii="Times New Roman" w:hAnsi="Times New Roman"/>
                <w:szCs w:val="21"/>
              </w:rPr>
              <w:t>2</w:t>
            </w:r>
          </w:p>
        </w:tc>
        <w:tc>
          <w:tcPr>
            <w:tcW w:w="1094" w:type="dxa"/>
            <w:tcBorders>
              <w:tl2br w:val="nil"/>
              <w:tr2bl w:val="nil"/>
            </w:tcBorders>
            <w:vAlign w:val="center"/>
          </w:tcPr>
          <w:p w:rsidR="00525419" w:rsidRDefault="00EE1CF7">
            <w:pPr>
              <w:autoSpaceDE w:val="0"/>
              <w:autoSpaceDN w:val="0"/>
              <w:adjustRightInd w:val="0"/>
              <w:rPr>
                <w:rFonts w:ascii="Times New Roman" w:hAnsi="Times New Roman"/>
                <w:szCs w:val="21"/>
              </w:rPr>
            </w:pPr>
            <w:r>
              <w:rPr>
                <w:rFonts w:ascii="Times New Roman" w:hAnsi="Times New Roman"/>
                <w:szCs w:val="21"/>
              </w:rPr>
              <w:t>变换</w:t>
            </w:r>
          </w:p>
        </w:tc>
        <w:tc>
          <w:tcPr>
            <w:tcW w:w="3066" w:type="dxa"/>
            <w:tcBorders>
              <w:tl2br w:val="nil"/>
              <w:tr2bl w:val="nil"/>
            </w:tcBorders>
          </w:tcPr>
          <w:p w:rsidR="00525419" w:rsidRDefault="00EE1CF7">
            <w:pPr>
              <w:autoSpaceDE w:val="0"/>
              <w:autoSpaceDN w:val="0"/>
              <w:adjustRightInd w:val="0"/>
              <w:rPr>
                <w:rFonts w:ascii="Times New Roman" w:hAnsi="Times New Roman"/>
                <w:szCs w:val="21"/>
              </w:rPr>
            </w:pPr>
            <w:r>
              <w:rPr>
                <w:rFonts w:ascii="Times New Roman" w:hAnsi="Times New Roman"/>
                <w:szCs w:val="21"/>
              </w:rPr>
              <w:t>超压爆炸、中毒、噪声、火灾爆炸、高温</w:t>
            </w:r>
          </w:p>
        </w:tc>
        <w:tc>
          <w:tcPr>
            <w:tcW w:w="3870" w:type="dxa"/>
            <w:tcBorders>
              <w:tl2br w:val="nil"/>
              <w:tr2bl w:val="nil"/>
            </w:tcBorders>
          </w:tcPr>
          <w:p w:rsidR="00525419" w:rsidRDefault="00EE1CF7">
            <w:pPr>
              <w:autoSpaceDE w:val="0"/>
              <w:autoSpaceDN w:val="0"/>
              <w:adjustRightInd w:val="0"/>
              <w:rPr>
                <w:rFonts w:ascii="Times New Roman" w:hAnsi="Times New Roman"/>
                <w:szCs w:val="21"/>
              </w:rPr>
            </w:pPr>
            <w:r>
              <w:rPr>
                <w:rFonts w:ascii="Times New Roman" w:hAnsi="Times New Roman"/>
                <w:szCs w:val="21"/>
              </w:rPr>
              <w:t>气液分离器、变换炉、蒸汽发生器、锅炉给水预热器等</w:t>
            </w:r>
          </w:p>
        </w:tc>
      </w:tr>
      <w:tr w:rsidR="00525419">
        <w:trPr>
          <w:trHeight w:val="730"/>
        </w:trPr>
        <w:tc>
          <w:tcPr>
            <w:tcW w:w="484" w:type="dxa"/>
            <w:tcBorders>
              <w:tl2br w:val="nil"/>
              <w:tr2bl w:val="nil"/>
            </w:tcBorders>
            <w:vAlign w:val="center"/>
          </w:tcPr>
          <w:p w:rsidR="00525419" w:rsidRDefault="00EE1CF7">
            <w:pPr>
              <w:autoSpaceDE w:val="0"/>
              <w:autoSpaceDN w:val="0"/>
              <w:adjustRightInd w:val="0"/>
              <w:rPr>
                <w:rFonts w:ascii="Times New Roman" w:hAnsi="Times New Roman"/>
                <w:szCs w:val="21"/>
              </w:rPr>
            </w:pPr>
            <w:r>
              <w:rPr>
                <w:rFonts w:ascii="Times New Roman" w:hAnsi="Times New Roman"/>
                <w:szCs w:val="21"/>
              </w:rPr>
              <w:t>3</w:t>
            </w:r>
          </w:p>
        </w:tc>
        <w:tc>
          <w:tcPr>
            <w:tcW w:w="1094" w:type="dxa"/>
            <w:tcBorders>
              <w:tl2br w:val="nil"/>
              <w:tr2bl w:val="nil"/>
            </w:tcBorders>
            <w:vAlign w:val="center"/>
          </w:tcPr>
          <w:p w:rsidR="00525419" w:rsidRDefault="00EE1CF7">
            <w:pPr>
              <w:autoSpaceDE w:val="0"/>
              <w:autoSpaceDN w:val="0"/>
              <w:adjustRightInd w:val="0"/>
              <w:rPr>
                <w:rFonts w:ascii="Times New Roman" w:hAnsi="Times New Roman"/>
                <w:szCs w:val="21"/>
              </w:rPr>
            </w:pPr>
            <w:r>
              <w:rPr>
                <w:rFonts w:ascii="Times New Roman" w:hAnsi="Times New Roman"/>
                <w:szCs w:val="21"/>
              </w:rPr>
              <w:t>硫回收装置</w:t>
            </w:r>
          </w:p>
        </w:tc>
        <w:tc>
          <w:tcPr>
            <w:tcW w:w="3066" w:type="dxa"/>
            <w:tcBorders>
              <w:tl2br w:val="nil"/>
              <w:tr2bl w:val="nil"/>
            </w:tcBorders>
          </w:tcPr>
          <w:p w:rsidR="00525419" w:rsidRDefault="00EE1CF7">
            <w:pPr>
              <w:autoSpaceDE w:val="0"/>
              <w:autoSpaceDN w:val="0"/>
              <w:adjustRightInd w:val="0"/>
              <w:rPr>
                <w:rFonts w:ascii="Times New Roman" w:hAnsi="Times New Roman"/>
                <w:szCs w:val="21"/>
              </w:rPr>
            </w:pPr>
            <w:r>
              <w:rPr>
                <w:rFonts w:ascii="Times New Roman" w:hAnsi="Times New Roman"/>
                <w:szCs w:val="21"/>
              </w:rPr>
              <w:t>粉尘危害、粉尘爆炸、超压爆炸、窒息、中毒、噪声、火灾爆炸、高温</w:t>
            </w:r>
          </w:p>
        </w:tc>
        <w:tc>
          <w:tcPr>
            <w:tcW w:w="3870" w:type="dxa"/>
            <w:tcBorders>
              <w:tl2br w:val="nil"/>
              <w:tr2bl w:val="nil"/>
            </w:tcBorders>
            <w:vAlign w:val="center"/>
          </w:tcPr>
          <w:p w:rsidR="00525419" w:rsidRDefault="00EE1CF7">
            <w:pPr>
              <w:autoSpaceDE w:val="0"/>
              <w:autoSpaceDN w:val="0"/>
              <w:adjustRightInd w:val="0"/>
              <w:rPr>
                <w:rFonts w:ascii="Times New Roman" w:hAnsi="Times New Roman"/>
                <w:szCs w:val="21"/>
              </w:rPr>
            </w:pPr>
            <w:r>
              <w:rPr>
                <w:rFonts w:ascii="Times New Roman" w:hAnsi="Times New Roman"/>
                <w:szCs w:val="21"/>
              </w:rPr>
              <w:t>燃烧炉、转化器、冷凝器、换热器、废热锅炉等</w:t>
            </w:r>
          </w:p>
        </w:tc>
      </w:tr>
      <w:tr w:rsidR="00525419">
        <w:trPr>
          <w:trHeight w:val="490"/>
        </w:trPr>
        <w:tc>
          <w:tcPr>
            <w:tcW w:w="484" w:type="dxa"/>
            <w:tcBorders>
              <w:tl2br w:val="nil"/>
              <w:tr2bl w:val="nil"/>
            </w:tcBorders>
            <w:vAlign w:val="center"/>
          </w:tcPr>
          <w:p w:rsidR="00525419" w:rsidRDefault="00EE1CF7">
            <w:pPr>
              <w:autoSpaceDE w:val="0"/>
              <w:autoSpaceDN w:val="0"/>
              <w:adjustRightInd w:val="0"/>
              <w:rPr>
                <w:rFonts w:ascii="Times New Roman" w:hAnsi="Times New Roman"/>
                <w:szCs w:val="21"/>
              </w:rPr>
            </w:pPr>
            <w:r>
              <w:rPr>
                <w:rFonts w:ascii="Times New Roman" w:hAnsi="Times New Roman"/>
                <w:szCs w:val="21"/>
              </w:rPr>
              <w:t>4</w:t>
            </w:r>
          </w:p>
        </w:tc>
        <w:tc>
          <w:tcPr>
            <w:tcW w:w="1094" w:type="dxa"/>
            <w:tcBorders>
              <w:tl2br w:val="nil"/>
              <w:tr2bl w:val="nil"/>
            </w:tcBorders>
          </w:tcPr>
          <w:p w:rsidR="00525419" w:rsidRDefault="00EE1CF7">
            <w:pPr>
              <w:autoSpaceDE w:val="0"/>
              <w:autoSpaceDN w:val="0"/>
              <w:adjustRightInd w:val="0"/>
              <w:rPr>
                <w:rFonts w:ascii="Times New Roman" w:hAnsi="Times New Roman"/>
                <w:szCs w:val="21"/>
              </w:rPr>
            </w:pPr>
            <w:r>
              <w:rPr>
                <w:rFonts w:ascii="Times New Roman" w:hAnsi="Times New Roman"/>
                <w:szCs w:val="21"/>
              </w:rPr>
              <w:t>焦油加氢装置</w:t>
            </w:r>
          </w:p>
        </w:tc>
        <w:tc>
          <w:tcPr>
            <w:tcW w:w="3066" w:type="dxa"/>
            <w:tcBorders>
              <w:tl2br w:val="nil"/>
              <w:tr2bl w:val="nil"/>
            </w:tcBorders>
          </w:tcPr>
          <w:p w:rsidR="00525419" w:rsidRDefault="00EE1CF7">
            <w:pPr>
              <w:autoSpaceDE w:val="0"/>
              <w:autoSpaceDN w:val="0"/>
              <w:adjustRightInd w:val="0"/>
              <w:rPr>
                <w:rFonts w:ascii="Times New Roman" w:hAnsi="Times New Roman"/>
                <w:szCs w:val="21"/>
              </w:rPr>
            </w:pPr>
            <w:r>
              <w:rPr>
                <w:rFonts w:ascii="Times New Roman" w:hAnsi="Times New Roman"/>
                <w:szCs w:val="21"/>
              </w:rPr>
              <w:t>超压爆炸、窒息、中毒、噪声、火灾爆炸、高温</w:t>
            </w:r>
          </w:p>
        </w:tc>
        <w:tc>
          <w:tcPr>
            <w:tcW w:w="3870" w:type="dxa"/>
            <w:tcBorders>
              <w:tl2br w:val="nil"/>
              <w:tr2bl w:val="nil"/>
            </w:tcBorders>
            <w:vAlign w:val="center"/>
          </w:tcPr>
          <w:p w:rsidR="00525419" w:rsidRDefault="00EE1CF7">
            <w:pPr>
              <w:autoSpaceDE w:val="0"/>
              <w:autoSpaceDN w:val="0"/>
              <w:adjustRightInd w:val="0"/>
              <w:rPr>
                <w:rFonts w:ascii="Times New Roman" w:hAnsi="Times New Roman"/>
                <w:szCs w:val="21"/>
              </w:rPr>
            </w:pPr>
            <w:r>
              <w:rPr>
                <w:rFonts w:ascii="Times New Roman" w:hAnsi="Times New Roman"/>
                <w:szCs w:val="21"/>
              </w:rPr>
              <w:t>反应器、分离塔、汽提塔等</w:t>
            </w:r>
          </w:p>
        </w:tc>
      </w:tr>
      <w:tr w:rsidR="00525419">
        <w:trPr>
          <w:trHeight w:val="490"/>
        </w:trPr>
        <w:tc>
          <w:tcPr>
            <w:tcW w:w="484" w:type="dxa"/>
            <w:tcBorders>
              <w:tl2br w:val="nil"/>
              <w:tr2bl w:val="nil"/>
            </w:tcBorders>
            <w:vAlign w:val="center"/>
          </w:tcPr>
          <w:p w:rsidR="00525419" w:rsidRDefault="00EE1CF7">
            <w:pPr>
              <w:autoSpaceDE w:val="0"/>
              <w:autoSpaceDN w:val="0"/>
              <w:adjustRightInd w:val="0"/>
              <w:rPr>
                <w:rFonts w:ascii="Times New Roman" w:hAnsi="Times New Roman"/>
                <w:szCs w:val="21"/>
              </w:rPr>
            </w:pPr>
            <w:r>
              <w:rPr>
                <w:rFonts w:ascii="Times New Roman" w:hAnsi="Times New Roman"/>
                <w:szCs w:val="21"/>
              </w:rPr>
              <w:lastRenderedPageBreak/>
              <w:t>5</w:t>
            </w:r>
          </w:p>
        </w:tc>
        <w:tc>
          <w:tcPr>
            <w:tcW w:w="1094" w:type="dxa"/>
            <w:tcBorders>
              <w:tl2br w:val="nil"/>
              <w:tr2bl w:val="nil"/>
            </w:tcBorders>
            <w:vAlign w:val="center"/>
          </w:tcPr>
          <w:p w:rsidR="00525419" w:rsidRDefault="00EE1CF7">
            <w:pPr>
              <w:autoSpaceDE w:val="0"/>
              <w:autoSpaceDN w:val="0"/>
              <w:adjustRightInd w:val="0"/>
              <w:rPr>
                <w:rFonts w:ascii="Times New Roman" w:hAnsi="Times New Roman"/>
                <w:szCs w:val="21"/>
              </w:rPr>
            </w:pPr>
            <w:r>
              <w:rPr>
                <w:rFonts w:ascii="Times New Roman" w:hAnsi="Times New Roman"/>
                <w:szCs w:val="21"/>
              </w:rPr>
              <w:t>火炬</w:t>
            </w:r>
          </w:p>
        </w:tc>
        <w:tc>
          <w:tcPr>
            <w:tcW w:w="3066" w:type="dxa"/>
            <w:tcBorders>
              <w:tl2br w:val="nil"/>
              <w:tr2bl w:val="nil"/>
            </w:tcBorders>
          </w:tcPr>
          <w:p w:rsidR="00525419" w:rsidRDefault="00EE1CF7">
            <w:pPr>
              <w:autoSpaceDE w:val="0"/>
              <w:autoSpaceDN w:val="0"/>
              <w:adjustRightInd w:val="0"/>
              <w:rPr>
                <w:rFonts w:ascii="Times New Roman" w:hAnsi="Times New Roman"/>
                <w:szCs w:val="21"/>
              </w:rPr>
            </w:pPr>
            <w:r>
              <w:rPr>
                <w:rFonts w:ascii="Times New Roman" w:hAnsi="Times New Roman"/>
                <w:szCs w:val="21"/>
              </w:rPr>
              <w:t>超压爆炸、窒息、中毒、噪声、火灾爆炸、高温</w:t>
            </w:r>
          </w:p>
        </w:tc>
        <w:tc>
          <w:tcPr>
            <w:tcW w:w="3870" w:type="dxa"/>
            <w:tcBorders>
              <w:tl2br w:val="nil"/>
              <w:tr2bl w:val="nil"/>
            </w:tcBorders>
            <w:vAlign w:val="center"/>
          </w:tcPr>
          <w:p w:rsidR="00525419" w:rsidRDefault="00EE1CF7">
            <w:pPr>
              <w:autoSpaceDE w:val="0"/>
              <w:autoSpaceDN w:val="0"/>
              <w:adjustRightInd w:val="0"/>
              <w:rPr>
                <w:rFonts w:ascii="Times New Roman" w:hAnsi="Times New Roman"/>
                <w:szCs w:val="21"/>
              </w:rPr>
            </w:pPr>
            <w:r>
              <w:rPr>
                <w:rFonts w:ascii="Times New Roman" w:hAnsi="Times New Roman"/>
                <w:szCs w:val="21"/>
              </w:rPr>
              <w:t>火炬、分液罐</w:t>
            </w:r>
          </w:p>
        </w:tc>
      </w:tr>
      <w:tr w:rsidR="00525419">
        <w:trPr>
          <w:trHeight w:val="410"/>
        </w:trPr>
        <w:tc>
          <w:tcPr>
            <w:tcW w:w="484" w:type="dxa"/>
            <w:tcBorders>
              <w:tl2br w:val="nil"/>
              <w:tr2bl w:val="nil"/>
            </w:tcBorders>
            <w:vAlign w:val="center"/>
          </w:tcPr>
          <w:p w:rsidR="00525419" w:rsidRDefault="00EE1CF7">
            <w:pPr>
              <w:autoSpaceDE w:val="0"/>
              <w:autoSpaceDN w:val="0"/>
              <w:adjustRightInd w:val="0"/>
              <w:rPr>
                <w:rFonts w:ascii="Times New Roman" w:hAnsi="Times New Roman"/>
                <w:szCs w:val="21"/>
              </w:rPr>
            </w:pPr>
            <w:r>
              <w:rPr>
                <w:rFonts w:ascii="Times New Roman" w:hAnsi="Times New Roman"/>
                <w:szCs w:val="21"/>
              </w:rPr>
              <w:t>6</w:t>
            </w:r>
          </w:p>
        </w:tc>
        <w:tc>
          <w:tcPr>
            <w:tcW w:w="1094" w:type="dxa"/>
            <w:tcBorders>
              <w:tl2br w:val="nil"/>
              <w:tr2bl w:val="nil"/>
            </w:tcBorders>
            <w:vAlign w:val="center"/>
          </w:tcPr>
          <w:p w:rsidR="00525419" w:rsidRDefault="00EE1CF7">
            <w:pPr>
              <w:autoSpaceDE w:val="0"/>
              <w:autoSpaceDN w:val="0"/>
              <w:adjustRightInd w:val="0"/>
              <w:rPr>
                <w:rFonts w:ascii="Times New Roman" w:hAnsi="Times New Roman"/>
                <w:szCs w:val="21"/>
              </w:rPr>
            </w:pPr>
            <w:r>
              <w:rPr>
                <w:rFonts w:ascii="Times New Roman" w:hAnsi="Times New Roman"/>
                <w:szCs w:val="21"/>
              </w:rPr>
              <w:t>供配电</w:t>
            </w:r>
          </w:p>
        </w:tc>
        <w:tc>
          <w:tcPr>
            <w:tcW w:w="3066" w:type="dxa"/>
            <w:tcBorders>
              <w:tl2br w:val="nil"/>
              <w:tr2bl w:val="nil"/>
            </w:tcBorders>
            <w:vAlign w:val="center"/>
          </w:tcPr>
          <w:p w:rsidR="00525419" w:rsidRDefault="00EE1CF7">
            <w:pPr>
              <w:autoSpaceDE w:val="0"/>
              <w:autoSpaceDN w:val="0"/>
              <w:adjustRightInd w:val="0"/>
              <w:rPr>
                <w:rFonts w:ascii="Times New Roman" w:hAnsi="Times New Roman"/>
                <w:szCs w:val="21"/>
              </w:rPr>
            </w:pPr>
            <w:r>
              <w:rPr>
                <w:rFonts w:ascii="Times New Roman" w:hAnsi="Times New Roman"/>
                <w:szCs w:val="21"/>
              </w:rPr>
              <w:t>触电</w:t>
            </w:r>
          </w:p>
        </w:tc>
        <w:tc>
          <w:tcPr>
            <w:tcW w:w="3870" w:type="dxa"/>
            <w:tcBorders>
              <w:tl2br w:val="nil"/>
              <w:tr2bl w:val="nil"/>
            </w:tcBorders>
            <w:vAlign w:val="center"/>
          </w:tcPr>
          <w:p w:rsidR="00525419" w:rsidRDefault="00EE1CF7">
            <w:pPr>
              <w:autoSpaceDE w:val="0"/>
              <w:autoSpaceDN w:val="0"/>
              <w:adjustRightInd w:val="0"/>
              <w:rPr>
                <w:rFonts w:ascii="Times New Roman" w:hAnsi="Times New Roman"/>
                <w:szCs w:val="21"/>
              </w:rPr>
            </w:pPr>
            <w:r>
              <w:rPr>
                <w:rFonts w:ascii="Times New Roman" w:hAnsi="Times New Roman"/>
                <w:szCs w:val="21"/>
              </w:rPr>
              <w:t>变压器、配电装置、电气设备</w:t>
            </w:r>
          </w:p>
        </w:tc>
      </w:tr>
    </w:tbl>
    <w:p w:rsidR="00525419" w:rsidRDefault="00525419">
      <w:pPr>
        <w:rPr>
          <w:rFonts w:ascii="Times New Roman" w:hAnsi="Times New Roman"/>
        </w:rPr>
      </w:pP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）储运</w:t>
      </w:r>
    </w:p>
    <w:p w:rsidR="00525419" w:rsidRDefault="00EE1CF7">
      <w:pPr>
        <w:spacing w:line="360" w:lineRule="auto"/>
        <w:ind w:firstLineChars="200" w:firstLine="480"/>
        <w:rPr>
          <w:rFonts w:ascii="Times New Roman" w:hAnsi="Times New Roman"/>
          <w:kern w:val="0"/>
          <w:sz w:val="24"/>
          <w:szCs w:val="24"/>
          <w:lang w:val="zh-CN"/>
        </w:rPr>
      </w:pPr>
      <w:r>
        <w:rPr>
          <w:rFonts w:ascii="Times New Roman" w:hAnsi="Times New Roman"/>
          <w:kern w:val="0"/>
          <w:sz w:val="24"/>
          <w:szCs w:val="24"/>
          <w:lang w:val="zh-CN"/>
        </w:rPr>
        <w:t>项目在原辅料及产品运输全部采用汽车陆路运输，各种油品采用储罐储存。</w:t>
      </w:r>
      <w:r>
        <w:rPr>
          <w:rFonts w:ascii="Times New Roman" w:hAnsi="Times New Roman"/>
          <w:kern w:val="0"/>
          <w:sz w:val="24"/>
          <w:szCs w:val="24"/>
        </w:rPr>
        <w:t>储运过程中存在的危险性见表</w:t>
      </w:r>
      <w:r>
        <w:rPr>
          <w:rFonts w:ascii="Times New Roman" w:hAnsi="Times New Roman"/>
          <w:kern w:val="0"/>
          <w:sz w:val="24"/>
          <w:szCs w:val="24"/>
        </w:rPr>
        <w:t>5.6-21</w:t>
      </w:r>
      <w:r>
        <w:rPr>
          <w:rFonts w:ascii="Times New Roman" w:hAnsi="Times New Roman"/>
          <w:kern w:val="0"/>
          <w:sz w:val="24"/>
          <w:szCs w:val="24"/>
        </w:rPr>
        <w:t>。</w:t>
      </w:r>
    </w:p>
    <w:p w:rsidR="00525419" w:rsidRDefault="00EE1CF7">
      <w:pPr>
        <w:ind w:firstLineChars="200" w:firstLine="420"/>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5.6-21     </w:t>
      </w:r>
      <w:r>
        <w:rPr>
          <w:rFonts w:ascii="Times New Roman" w:eastAsia="黑体" w:hAnsi="Times New Roman"/>
          <w:szCs w:val="21"/>
        </w:rPr>
        <w:t>储运系统危险性分析一览表</w:t>
      </w:r>
    </w:p>
    <w:tbl>
      <w:tblPr>
        <w:tblW w:w="83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92"/>
        <w:gridCol w:w="1237"/>
        <w:gridCol w:w="2703"/>
        <w:gridCol w:w="2702"/>
        <w:gridCol w:w="1196"/>
      </w:tblGrid>
      <w:tr w:rsidR="00525419">
        <w:trPr>
          <w:cantSplit/>
          <w:jc w:val="center"/>
        </w:trPr>
        <w:tc>
          <w:tcPr>
            <w:tcW w:w="492" w:type="dxa"/>
            <w:vMerge w:val="restart"/>
            <w:tcBorders>
              <w:tl2br w:val="nil"/>
              <w:tr2bl w:val="nil"/>
            </w:tcBorders>
            <w:vAlign w:val="center"/>
          </w:tcPr>
          <w:p w:rsidR="00525419" w:rsidRDefault="00EE1CF7">
            <w:pPr>
              <w:adjustRightInd w:val="0"/>
              <w:snapToGrid w:val="0"/>
              <w:jc w:val="center"/>
              <w:rPr>
                <w:rFonts w:ascii="Times New Roman" w:hAnsi="Times New Roman"/>
                <w:snapToGrid w:val="0"/>
                <w:kern w:val="0"/>
                <w:szCs w:val="21"/>
              </w:rPr>
            </w:pPr>
            <w:r>
              <w:rPr>
                <w:rFonts w:ascii="Times New Roman" w:hAnsi="Times New Roman"/>
                <w:snapToGrid w:val="0"/>
                <w:kern w:val="0"/>
                <w:szCs w:val="21"/>
              </w:rPr>
              <w:t>序号</w:t>
            </w:r>
          </w:p>
        </w:tc>
        <w:tc>
          <w:tcPr>
            <w:tcW w:w="1237" w:type="dxa"/>
            <w:vMerge w:val="restart"/>
            <w:tcBorders>
              <w:tl2br w:val="nil"/>
              <w:tr2bl w:val="nil"/>
            </w:tcBorders>
            <w:vAlign w:val="center"/>
          </w:tcPr>
          <w:p w:rsidR="00525419" w:rsidRDefault="00EE1CF7">
            <w:pPr>
              <w:adjustRightInd w:val="0"/>
              <w:snapToGrid w:val="0"/>
              <w:jc w:val="center"/>
              <w:rPr>
                <w:rFonts w:ascii="Times New Roman" w:hAnsi="Times New Roman"/>
                <w:snapToGrid w:val="0"/>
                <w:kern w:val="0"/>
                <w:szCs w:val="21"/>
              </w:rPr>
            </w:pPr>
            <w:r>
              <w:rPr>
                <w:rFonts w:ascii="Times New Roman" w:hAnsi="Times New Roman"/>
                <w:snapToGrid w:val="0"/>
                <w:kern w:val="0"/>
                <w:szCs w:val="21"/>
              </w:rPr>
              <w:t>区域</w:t>
            </w:r>
          </w:p>
        </w:tc>
        <w:tc>
          <w:tcPr>
            <w:tcW w:w="2703" w:type="dxa"/>
            <w:vMerge w:val="restart"/>
            <w:tcBorders>
              <w:tl2br w:val="nil"/>
              <w:tr2bl w:val="nil"/>
            </w:tcBorders>
            <w:vAlign w:val="center"/>
          </w:tcPr>
          <w:p w:rsidR="00525419" w:rsidRDefault="00EE1CF7">
            <w:pPr>
              <w:adjustRightInd w:val="0"/>
              <w:snapToGrid w:val="0"/>
              <w:jc w:val="center"/>
              <w:rPr>
                <w:rFonts w:ascii="Times New Roman" w:hAnsi="Times New Roman"/>
                <w:snapToGrid w:val="0"/>
                <w:kern w:val="0"/>
                <w:szCs w:val="21"/>
              </w:rPr>
            </w:pPr>
            <w:r>
              <w:rPr>
                <w:rFonts w:ascii="Times New Roman" w:hAnsi="Times New Roman"/>
                <w:snapToGrid w:val="0"/>
                <w:kern w:val="0"/>
                <w:szCs w:val="21"/>
              </w:rPr>
              <w:t>重要部位和薄弱环节</w:t>
            </w:r>
          </w:p>
        </w:tc>
        <w:tc>
          <w:tcPr>
            <w:tcW w:w="3898" w:type="dxa"/>
            <w:gridSpan w:val="2"/>
            <w:tcBorders>
              <w:tl2br w:val="nil"/>
              <w:tr2bl w:val="nil"/>
            </w:tcBorders>
            <w:vAlign w:val="center"/>
          </w:tcPr>
          <w:p w:rsidR="00525419" w:rsidRDefault="00EE1CF7">
            <w:pPr>
              <w:adjustRightInd w:val="0"/>
              <w:snapToGrid w:val="0"/>
              <w:jc w:val="center"/>
              <w:rPr>
                <w:rFonts w:ascii="Times New Roman" w:hAnsi="Times New Roman"/>
                <w:snapToGrid w:val="0"/>
                <w:kern w:val="0"/>
                <w:szCs w:val="21"/>
              </w:rPr>
            </w:pPr>
            <w:r>
              <w:rPr>
                <w:rFonts w:ascii="Times New Roman" w:hAnsi="Times New Roman"/>
                <w:snapToGrid w:val="0"/>
                <w:kern w:val="0"/>
                <w:szCs w:val="21"/>
              </w:rPr>
              <w:t>风险因素分析</w:t>
            </w:r>
          </w:p>
        </w:tc>
      </w:tr>
      <w:tr w:rsidR="00525419">
        <w:trPr>
          <w:cantSplit/>
          <w:jc w:val="center"/>
        </w:trPr>
        <w:tc>
          <w:tcPr>
            <w:tcW w:w="492" w:type="dxa"/>
            <w:vMerge/>
            <w:tcBorders>
              <w:tl2br w:val="nil"/>
              <w:tr2bl w:val="nil"/>
            </w:tcBorders>
            <w:vAlign w:val="center"/>
          </w:tcPr>
          <w:p w:rsidR="00525419" w:rsidRDefault="00525419">
            <w:pPr>
              <w:adjustRightInd w:val="0"/>
              <w:snapToGrid w:val="0"/>
              <w:jc w:val="center"/>
              <w:rPr>
                <w:rFonts w:ascii="Times New Roman" w:hAnsi="Times New Roman"/>
                <w:snapToGrid w:val="0"/>
                <w:kern w:val="0"/>
                <w:szCs w:val="21"/>
              </w:rPr>
            </w:pPr>
          </w:p>
        </w:tc>
        <w:tc>
          <w:tcPr>
            <w:tcW w:w="1237" w:type="dxa"/>
            <w:vMerge/>
            <w:tcBorders>
              <w:tl2br w:val="nil"/>
              <w:tr2bl w:val="nil"/>
            </w:tcBorders>
            <w:vAlign w:val="center"/>
          </w:tcPr>
          <w:p w:rsidR="00525419" w:rsidRDefault="00525419">
            <w:pPr>
              <w:adjustRightInd w:val="0"/>
              <w:snapToGrid w:val="0"/>
              <w:jc w:val="center"/>
              <w:rPr>
                <w:rFonts w:ascii="Times New Roman" w:hAnsi="Times New Roman"/>
                <w:snapToGrid w:val="0"/>
                <w:kern w:val="0"/>
                <w:szCs w:val="21"/>
              </w:rPr>
            </w:pPr>
          </w:p>
        </w:tc>
        <w:tc>
          <w:tcPr>
            <w:tcW w:w="2703" w:type="dxa"/>
            <w:vMerge/>
            <w:tcBorders>
              <w:tl2br w:val="nil"/>
              <w:tr2bl w:val="nil"/>
            </w:tcBorders>
            <w:vAlign w:val="center"/>
          </w:tcPr>
          <w:p w:rsidR="00525419" w:rsidRDefault="00525419">
            <w:pPr>
              <w:adjustRightInd w:val="0"/>
              <w:snapToGrid w:val="0"/>
              <w:jc w:val="center"/>
              <w:rPr>
                <w:rFonts w:ascii="Times New Roman" w:hAnsi="Times New Roman"/>
                <w:snapToGrid w:val="0"/>
                <w:kern w:val="0"/>
                <w:szCs w:val="21"/>
              </w:rPr>
            </w:pPr>
          </w:p>
        </w:tc>
        <w:tc>
          <w:tcPr>
            <w:tcW w:w="2702" w:type="dxa"/>
            <w:tcBorders>
              <w:tl2br w:val="nil"/>
              <w:tr2bl w:val="nil"/>
            </w:tcBorders>
            <w:vAlign w:val="center"/>
          </w:tcPr>
          <w:p w:rsidR="00525419" w:rsidRDefault="00EE1CF7">
            <w:pPr>
              <w:adjustRightInd w:val="0"/>
              <w:snapToGrid w:val="0"/>
              <w:jc w:val="center"/>
              <w:rPr>
                <w:rFonts w:ascii="Times New Roman" w:hAnsi="Times New Roman"/>
                <w:snapToGrid w:val="0"/>
                <w:kern w:val="0"/>
                <w:szCs w:val="21"/>
              </w:rPr>
            </w:pPr>
            <w:r>
              <w:rPr>
                <w:rFonts w:ascii="Times New Roman" w:hAnsi="Times New Roman"/>
                <w:snapToGrid w:val="0"/>
                <w:kern w:val="0"/>
                <w:szCs w:val="21"/>
              </w:rPr>
              <w:t>可能发生事故</w:t>
            </w:r>
          </w:p>
        </w:tc>
        <w:tc>
          <w:tcPr>
            <w:tcW w:w="1196" w:type="dxa"/>
            <w:tcBorders>
              <w:tl2br w:val="nil"/>
              <w:tr2bl w:val="nil"/>
            </w:tcBorders>
            <w:vAlign w:val="center"/>
          </w:tcPr>
          <w:p w:rsidR="00525419" w:rsidRDefault="00EE1CF7">
            <w:pPr>
              <w:adjustRightInd w:val="0"/>
              <w:snapToGrid w:val="0"/>
              <w:jc w:val="center"/>
              <w:rPr>
                <w:rFonts w:ascii="Times New Roman" w:hAnsi="Times New Roman"/>
                <w:snapToGrid w:val="0"/>
                <w:kern w:val="0"/>
                <w:szCs w:val="21"/>
              </w:rPr>
            </w:pPr>
            <w:r>
              <w:rPr>
                <w:rFonts w:ascii="Times New Roman" w:hAnsi="Times New Roman"/>
                <w:snapToGrid w:val="0"/>
                <w:kern w:val="0"/>
                <w:szCs w:val="21"/>
              </w:rPr>
              <w:t>潜在危害</w:t>
            </w:r>
          </w:p>
        </w:tc>
      </w:tr>
      <w:tr w:rsidR="00525419">
        <w:trPr>
          <w:cantSplit/>
          <w:jc w:val="center"/>
        </w:trPr>
        <w:tc>
          <w:tcPr>
            <w:tcW w:w="492" w:type="dxa"/>
            <w:tcBorders>
              <w:tl2br w:val="nil"/>
              <w:tr2bl w:val="nil"/>
            </w:tcBorders>
            <w:vAlign w:val="center"/>
          </w:tcPr>
          <w:p w:rsidR="00525419" w:rsidRDefault="00EE1CF7">
            <w:pPr>
              <w:adjustRightInd w:val="0"/>
              <w:snapToGrid w:val="0"/>
              <w:jc w:val="center"/>
              <w:rPr>
                <w:rFonts w:ascii="Times New Roman" w:hAnsi="Times New Roman"/>
                <w:snapToGrid w:val="0"/>
                <w:kern w:val="0"/>
                <w:szCs w:val="21"/>
              </w:rPr>
            </w:pPr>
            <w:r>
              <w:rPr>
                <w:rFonts w:ascii="Times New Roman" w:hAnsi="Times New Roman"/>
                <w:snapToGrid w:val="0"/>
                <w:kern w:val="0"/>
                <w:szCs w:val="21"/>
              </w:rPr>
              <w:t>1</w:t>
            </w:r>
          </w:p>
        </w:tc>
        <w:tc>
          <w:tcPr>
            <w:tcW w:w="1237" w:type="dxa"/>
            <w:tcBorders>
              <w:tl2br w:val="nil"/>
              <w:tr2bl w:val="nil"/>
            </w:tcBorders>
            <w:vAlign w:val="center"/>
          </w:tcPr>
          <w:p w:rsidR="00525419" w:rsidRDefault="00EE1CF7">
            <w:pPr>
              <w:adjustRightInd w:val="0"/>
              <w:snapToGrid w:val="0"/>
              <w:rPr>
                <w:rFonts w:ascii="Times New Roman" w:hAnsi="Times New Roman"/>
                <w:snapToGrid w:val="0"/>
                <w:kern w:val="0"/>
                <w:szCs w:val="21"/>
              </w:rPr>
            </w:pPr>
            <w:r>
              <w:rPr>
                <w:rFonts w:ascii="Times New Roman" w:hAnsi="Times New Roman"/>
                <w:snapToGrid w:val="0"/>
                <w:kern w:val="0"/>
                <w:szCs w:val="21"/>
              </w:rPr>
              <w:t>储罐区域</w:t>
            </w:r>
          </w:p>
        </w:tc>
        <w:tc>
          <w:tcPr>
            <w:tcW w:w="2703" w:type="dxa"/>
            <w:tcBorders>
              <w:tl2br w:val="nil"/>
              <w:tr2bl w:val="nil"/>
            </w:tcBorders>
            <w:vAlign w:val="center"/>
          </w:tcPr>
          <w:p w:rsidR="00525419" w:rsidRDefault="00EE1CF7">
            <w:pPr>
              <w:adjustRightInd w:val="0"/>
              <w:snapToGrid w:val="0"/>
              <w:rPr>
                <w:rFonts w:ascii="Times New Roman" w:hAnsi="Times New Roman"/>
                <w:snapToGrid w:val="0"/>
                <w:kern w:val="0"/>
                <w:szCs w:val="21"/>
              </w:rPr>
            </w:pPr>
            <w:r>
              <w:rPr>
                <w:rFonts w:ascii="Times New Roman" w:hAnsi="Times New Roman"/>
                <w:snapToGrid w:val="0"/>
                <w:kern w:val="0"/>
                <w:szCs w:val="21"/>
              </w:rPr>
              <w:t>1.</w:t>
            </w:r>
            <w:r>
              <w:rPr>
                <w:rFonts w:ascii="Times New Roman" w:hAnsi="Times New Roman"/>
                <w:snapToGrid w:val="0"/>
                <w:kern w:val="0"/>
                <w:szCs w:val="21"/>
              </w:rPr>
              <w:t>储罐和连接的管线及阀门</w:t>
            </w:r>
          </w:p>
          <w:p w:rsidR="00525419" w:rsidRDefault="00EE1CF7">
            <w:pPr>
              <w:adjustRightInd w:val="0"/>
              <w:snapToGrid w:val="0"/>
              <w:rPr>
                <w:rFonts w:ascii="Times New Roman" w:hAnsi="Times New Roman"/>
                <w:snapToGrid w:val="0"/>
                <w:kern w:val="0"/>
                <w:szCs w:val="21"/>
              </w:rPr>
            </w:pPr>
            <w:r>
              <w:rPr>
                <w:rFonts w:ascii="Times New Roman" w:hAnsi="Times New Roman"/>
                <w:snapToGrid w:val="0"/>
                <w:kern w:val="0"/>
                <w:szCs w:val="21"/>
              </w:rPr>
              <w:t>2.</w:t>
            </w:r>
            <w:r>
              <w:rPr>
                <w:rFonts w:ascii="Times New Roman" w:hAnsi="Times New Roman"/>
                <w:snapToGrid w:val="0"/>
                <w:kern w:val="0"/>
                <w:szCs w:val="21"/>
              </w:rPr>
              <w:t>储罐安全阀等阀门</w:t>
            </w:r>
          </w:p>
          <w:p w:rsidR="00525419" w:rsidRDefault="00EE1CF7">
            <w:pPr>
              <w:adjustRightInd w:val="0"/>
              <w:snapToGrid w:val="0"/>
              <w:rPr>
                <w:rFonts w:ascii="Times New Roman" w:hAnsi="Times New Roman"/>
                <w:snapToGrid w:val="0"/>
                <w:kern w:val="0"/>
                <w:szCs w:val="21"/>
              </w:rPr>
            </w:pPr>
            <w:r>
              <w:rPr>
                <w:rFonts w:ascii="Times New Roman" w:hAnsi="Times New Roman"/>
                <w:snapToGrid w:val="0"/>
                <w:kern w:val="0"/>
                <w:szCs w:val="21"/>
              </w:rPr>
              <w:t>3.</w:t>
            </w:r>
            <w:r>
              <w:rPr>
                <w:rFonts w:ascii="Times New Roman" w:hAnsi="Times New Roman"/>
                <w:snapToGrid w:val="0"/>
                <w:kern w:val="0"/>
                <w:szCs w:val="21"/>
              </w:rPr>
              <w:t>储罐接地线、避雷针等</w:t>
            </w:r>
          </w:p>
        </w:tc>
        <w:tc>
          <w:tcPr>
            <w:tcW w:w="2702" w:type="dxa"/>
            <w:tcBorders>
              <w:tl2br w:val="nil"/>
              <w:tr2bl w:val="nil"/>
            </w:tcBorders>
            <w:vAlign w:val="center"/>
          </w:tcPr>
          <w:p w:rsidR="00525419" w:rsidRDefault="00EE1CF7">
            <w:pPr>
              <w:adjustRightInd w:val="0"/>
              <w:snapToGrid w:val="0"/>
              <w:rPr>
                <w:rFonts w:ascii="Times New Roman" w:hAnsi="Times New Roman"/>
                <w:snapToGrid w:val="0"/>
                <w:kern w:val="0"/>
                <w:szCs w:val="21"/>
              </w:rPr>
            </w:pPr>
            <w:r>
              <w:rPr>
                <w:rFonts w:ascii="Times New Roman" w:hAnsi="Times New Roman"/>
                <w:snapToGrid w:val="0"/>
                <w:kern w:val="0"/>
                <w:szCs w:val="21"/>
              </w:rPr>
              <w:t>1.</w:t>
            </w:r>
            <w:r>
              <w:rPr>
                <w:rFonts w:ascii="Times New Roman" w:hAnsi="Times New Roman"/>
                <w:snapToGrid w:val="0"/>
                <w:kern w:val="0"/>
                <w:szCs w:val="21"/>
              </w:rPr>
              <w:t>壳件出口部位断裂</w:t>
            </w:r>
          </w:p>
          <w:p w:rsidR="00525419" w:rsidRDefault="00EE1CF7">
            <w:pPr>
              <w:adjustRightInd w:val="0"/>
              <w:snapToGrid w:val="0"/>
              <w:rPr>
                <w:rFonts w:ascii="Times New Roman" w:hAnsi="Times New Roman"/>
                <w:snapToGrid w:val="0"/>
                <w:kern w:val="0"/>
                <w:szCs w:val="21"/>
              </w:rPr>
            </w:pPr>
            <w:r>
              <w:rPr>
                <w:rFonts w:ascii="Times New Roman" w:hAnsi="Times New Roman"/>
                <w:snapToGrid w:val="0"/>
                <w:kern w:val="0"/>
                <w:szCs w:val="21"/>
              </w:rPr>
              <w:t>2.</w:t>
            </w:r>
            <w:r>
              <w:rPr>
                <w:rFonts w:ascii="Times New Roman" w:hAnsi="Times New Roman"/>
                <w:snapToGrid w:val="0"/>
                <w:kern w:val="0"/>
                <w:szCs w:val="21"/>
              </w:rPr>
              <w:t>阀破损</w:t>
            </w:r>
          </w:p>
          <w:p w:rsidR="00525419" w:rsidRDefault="00EE1CF7">
            <w:pPr>
              <w:adjustRightInd w:val="0"/>
              <w:snapToGrid w:val="0"/>
              <w:rPr>
                <w:rFonts w:ascii="Times New Roman" w:hAnsi="Times New Roman"/>
                <w:snapToGrid w:val="0"/>
                <w:kern w:val="0"/>
                <w:szCs w:val="21"/>
              </w:rPr>
            </w:pPr>
            <w:r>
              <w:rPr>
                <w:rFonts w:ascii="Times New Roman" w:hAnsi="Times New Roman"/>
                <w:snapToGrid w:val="0"/>
                <w:kern w:val="0"/>
                <w:szCs w:val="21"/>
              </w:rPr>
              <w:t>3.</w:t>
            </w:r>
            <w:r>
              <w:rPr>
                <w:rFonts w:ascii="Times New Roman" w:hAnsi="Times New Roman"/>
                <w:snapToGrid w:val="0"/>
                <w:kern w:val="0"/>
                <w:szCs w:val="21"/>
              </w:rPr>
              <w:t>接地不良，静电火花</w:t>
            </w:r>
          </w:p>
        </w:tc>
        <w:tc>
          <w:tcPr>
            <w:tcW w:w="1196" w:type="dxa"/>
            <w:tcBorders>
              <w:tl2br w:val="nil"/>
              <w:tr2bl w:val="nil"/>
            </w:tcBorders>
            <w:vAlign w:val="center"/>
          </w:tcPr>
          <w:p w:rsidR="00525419" w:rsidRDefault="00EE1CF7">
            <w:pPr>
              <w:adjustRightInd w:val="0"/>
              <w:snapToGrid w:val="0"/>
              <w:rPr>
                <w:rFonts w:ascii="Times New Roman" w:hAnsi="Times New Roman"/>
                <w:snapToGrid w:val="0"/>
                <w:kern w:val="0"/>
                <w:szCs w:val="21"/>
              </w:rPr>
            </w:pPr>
            <w:r>
              <w:rPr>
                <w:rFonts w:ascii="Times New Roman" w:hAnsi="Times New Roman"/>
                <w:snapToGrid w:val="0"/>
                <w:kern w:val="0"/>
                <w:szCs w:val="21"/>
              </w:rPr>
              <w:t>物料泄漏</w:t>
            </w:r>
          </w:p>
          <w:p w:rsidR="00525419" w:rsidRDefault="00EE1CF7">
            <w:pPr>
              <w:adjustRightInd w:val="0"/>
              <w:snapToGrid w:val="0"/>
              <w:rPr>
                <w:rFonts w:ascii="Times New Roman" w:hAnsi="Times New Roman"/>
                <w:snapToGrid w:val="0"/>
                <w:kern w:val="0"/>
                <w:szCs w:val="21"/>
              </w:rPr>
            </w:pPr>
            <w:r>
              <w:rPr>
                <w:rFonts w:ascii="Times New Roman" w:hAnsi="Times New Roman"/>
                <w:snapToGrid w:val="0"/>
                <w:kern w:val="0"/>
                <w:szCs w:val="21"/>
              </w:rPr>
              <w:t>火灾、爆炸</w:t>
            </w:r>
          </w:p>
        </w:tc>
      </w:tr>
      <w:tr w:rsidR="00525419">
        <w:trPr>
          <w:cantSplit/>
          <w:jc w:val="center"/>
        </w:trPr>
        <w:tc>
          <w:tcPr>
            <w:tcW w:w="492" w:type="dxa"/>
            <w:tcBorders>
              <w:tl2br w:val="nil"/>
              <w:tr2bl w:val="nil"/>
            </w:tcBorders>
            <w:vAlign w:val="center"/>
          </w:tcPr>
          <w:p w:rsidR="00525419" w:rsidRDefault="00EE1CF7">
            <w:pPr>
              <w:adjustRightInd w:val="0"/>
              <w:snapToGrid w:val="0"/>
              <w:jc w:val="center"/>
              <w:rPr>
                <w:rFonts w:ascii="Times New Roman" w:hAnsi="Times New Roman"/>
                <w:snapToGrid w:val="0"/>
                <w:kern w:val="0"/>
                <w:szCs w:val="21"/>
              </w:rPr>
            </w:pPr>
            <w:r>
              <w:rPr>
                <w:rFonts w:ascii="Times New Roman" w:hAnsi="Times New Roman"/>
                <w:snapToGrid w:val="0"/>
                <w:kern w:val="0"/>
                <w:szCs w:val="21"/>
              </w:rPr>
              <w:t>2</w:t>
            </w:r>
          </w:p>
        </w:tc>
        <w:tc>
          <w:tcPr>
            <w:tcW w:w="1237" w:type="dxa"/>
            <w:tcBorders>
              <w:tl2br w:val="nil"/>
              <w:tr2bl w:val="nil"/>
            </w:tcBorders>
            <w:vAlign w:val="center"/>
          </w:tcPr>
          <w:p w:rsidR="00525419" w:rsidRDefault="00EE1CF7">
            <w:pPr>
              <w:adjustRightInd w:val="0"/>
              <w:snapToGrid w:val="0"/>
              <w:rPr>
                <w:rFonts w:ascii="Times New Roman" w:hAnsi="Times New Roman"/>
                <w:snapToGrid w:val="0"/>
                <w:kern w:val="0"/>
                <w:szCs w:val="21"/>
              </w:rPr>
            </w:pPr>
            <w:r>
              <w:rPr>
                <w:rFonts w:ascii="Times New Roman" w:hAnsi="Times New Roman"/>
                <w:snapToGrid w:val="0"/>
                <w:kern w:val="0"/>
                <w:szCs w:val="21"/>
              </w:rPr>
              <w:t>装卸栈桥（含罐车罐）</w:t>
            </w:r>
          </w:p>
        </w:tc>
        <w:tc>
          <w:tcPr>
            <w:tcW w:w="2703" w:type="dxa"/>
            <w:tcBorders>
              <w:tl2br w:val="nil"/>
              <w:tr2bl w:val="nil"/>
            </w:tcBorders>
            <w:vAlign w:val="center"/>
          </w:tcPr>
          <w:p w:rsidR="00525419" w:rsidRDefault="00EE1CF7">
            <w:pPr>
              <w:adjustRightInd w:val="0"/>
              <w:snapToGrid w:val="0"/>
              <w:rPr>
                <w:rFonts w:ascii="Times New Roman" w:hAnsi="Times New Roman"/>
                <w:snapToGrid w:val="0"/>
                <w:kern w:val="0"/>
                <w:szCs w:val="21"/>
              </w:rPr>
            </w:pPr>
            <w:r>
              <w:rPr>
                <w:rFonts w:ascii="Times New Roman" w:hAnsi="Times New Roman"/>
                <w:snapToGrid w:val="0"/>
                <w:kern w:val="0"/>
                <w:szCs w:val="21"/>
              </w:rPr>
              <w:t>1.</w:t>
            </w:r>
            <w:r>
              <w:rPr>
                <w:rFonts w:ascii="Times New Roman" w:hAnsi="Times New Roman"/>
                <w:snapToGrid w:val="0"/>
                <w:kern w:val="0"/>
                <w:szCs w:val="21"/>
              </w:rPr>
              <w:t>罐车罐和连接的软管及阀门；</w:t>
            </w:r>
          </w:p>
          <w:p w:rsidR="00525419" w:rsidRDefault="00EE1CF7">
            <w:pPr>
              <w:adjustRightInd w:val="0"/>
              <w:snapToGrid w:val="0"/>
              <w:rPr>
                <w:rFonts w:ascii="Times New Roman" w:hAnsi="Times New Roman"/>
                <w:snapToGrid w:val="0"/>
                <w:kern w:val="0"/>
                <w:szCs w:val="21"/>
              </w:rPr>
            </w:pPr>
            <w:r>
              <w:rPr>
                <w:rFonts w:ascii="Times New Roman" w:hAnsi="Times New Roman"/>
                <w:snapToGrid w:val="0"/>
                <w:kern w:val="0"/>
                <w:szCs w:val="21"/>
              </w:rPr>
              <w:t>2.</w:t>
            </w:r>
            <w:r>
              <w:rPr>
                <w:rFonts w:ascii="Times New Roman" w:hAnsi="Times New Roman"/>
                <w:snapToGrid w:val="0"/>
                <w:kern w:val="0"/>
                <w:szCs w:val="21"/>
              </w:rPr>
              <w:t>罐车罐管件和开口部位</w:t>
            </w:r>
          </w:p>
        </w:tc>
        <w:tc>
          <w:tcPr>
            <w:tcW w:w="2702" w:type="dxa"/>
            <w:tcBorders>
              <w:tl2br w:val="nil"/>
              <w:tr2bl w:val="nil"/>
            </w:tcBorders>
            <w:vAlign w:val="center"/>
          </w:tcPr>
          <w:p w:rsidR="00525419" w:rsidRDefault="00EE1CF7">
            <w:pPr>
              <w:adjustRightInd w:val="0"/>
              <w:snapToGrid w:val="0"/>
              <w:rPr>
                <w:rFonts w:ascii="Times New Roman" w:hAnsi="Times New Roman"/>
                <w:snapToGrid w:val="0"/>
                <w:kern w:val="0"/>
                <w:szCs w:val="21"/>
              </w:rPr>
            </w:pPr>
            <w:r>
              <w:rPr>
                <w:rFonts w:ascii="Times New Roman" w:hAnsi="Times New Roman"/>
                <w:snapToGrid w:val="0"/>
                <w:kern w:val="0"/>
                <w:szCs w:val="21"/>
              </w:rPr>
              <w:t>1.</w:t>
            </w:r>
            <w:r>
              <w:rPr>
                <w:rFonts w:ascii="Times New Roman" w:hAnsi="Times New Roman"/>
                <w:snapToGrid w:val="0"/>
                <w:kern w:val="0"/>
                <w:szCs w:val="21"/>
              </w:rPr>
              <w:t>连接软管破裂，造成物料泄漏</w:t>
            </w:r>
          </w:p>
          <w:p w:rsidR="00525419" w:rsidRDefault="00EE1CF7">
            <w:pPr>
              <w:adjustRightInd w:val="0"/>
              <w:snapToGrid w:val="0"/>
              <w:rPr>
                <w:rFonts w:ascii="Times New Roman" w:hAnsi="Times New Roman"/>
                <w:snapToGrid w:val="0"/>
                <w:kern w:val="0"/>
                <w:szCs w:val="21"/>
              </w:rPr>
            </w:pPr>
            <w:r>
              <w:rPr>
                <w:rFonts w:ascii="Times New Roman" w:hAnsi="Times New Roman"/>
                <w:snapToGrid w:val="0"/>
                <w:kern w:val="0"/>
                <w:szCs w:val="21"/>
              </w:rPr>
              <w:t>2.</w:t>
            </w:r>
            <w:r>
              <w:rPr>
                <w:rFonts w:ascii="Times New Roman" w:hAnsi="Times New Roman"/>
                <w:snapToGrid w:val="0"/>
                <w:kern w:val="0"/>
                <w:szCs w:val="21"/>
              </w:rPr>
              <w:t>接地不良，静电火花</w:t>
            </w:r>
          </w:p>
        </w:tc>
        <w:tc>
          <w:tcPr>
            <w:tcW w:w="1196" w:type="dxa"/>
            <w:tcBorders>
              <w:tl2br w:val="nil"/>
              <w:tr2bl w:val="nil"/>
            </w:tcBorders>
            <w:vAlign w:val="center"/>
          </w:tcPr>
          <w:p w:rsidR="00525419" w:rsidRDefault="00EE1CF7">
            <w:pPr>
              <w:adjustRightInd w:val="0"/>
              <w:snapToGrid w:val="0"/>
              <w:rPr>
                <w:rFonts w:ascii="Times New Roman" w:hAnsi="Times New Roman"/>
                <w:snapToGrid w:val="0"/>
                <w:kern w:val="0"/>
                <w:szCs w:val="21"/>
              </w:rPr>
            </w:pPr>
            <w:r>
              <w:rPr>
                <w:rFonts w:ascii="Times New Roman" w:hAnsi="Times New Roman"/>
                <w:snapToGrid w:val="0"/>
                <w:kern w:val="0"/>
                <w:szCs w:val="21"/>
              </w:rPr>
              <w:t>毒物外泄</w:t>
            </w:r>
          </w:p>
          <w:p w:rsidR="00525419" w:rsidRDefault="00EE1CF7">
            <w:pPr>
              <w:adjustRightInd w:val="0"/>
              <w:snapToGrid w:val="0"/>
              <w:rPr>
                <w:rFonts w:ascii="Times New Roman" w:hAnsi="Times New Roman"/>
                <w:snapToGrid w:val="0"/>
                <w:kern w:val="0"/>
                <w:szCs w:val="21"/>
              </w:rPr>
            </w:pPr>
            <w:r>
              <w:rPr>
                <w:rFonts w:ascii="Times New Roman" w:hAnsi="Times New Roman"/>
                <w:snapToGrid w:val="0"/>
                <w:kern w:val="0"/>
                <w:szCs w:val="21"/>
              </w:rPr>
              <w:t>火灾、爆炸</w:t>
            </w:r>
          </w:p>
        </w:tc>
      </w:tr>
    </w:tbl>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5.6.3.3</w:t>
      </w:r>
      <w:r>
        <w:rPr>
          <w:rFonts w:ascii="Times New Roman" w:hAnsi="Times New Roman" w:cs="Times New Roman"/>
          <w:kern w:val="44"/>
          <w:sz w:val="24"/>
          <w:szCs w:val="24"/>
        </w:rPr>
        <w:t>扩散途径识别</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原料及产品储罐、燃烧、爆炸的污染物会扩散到大气环境中；原料及产品油储罐泄漏引起土壤和地下水污染。主要事故扩散识别如下：</w:t>
      </w:r>
    </w:p>
    <w:p w:rsidR="00525419" w:rsidRDefault="00EE1CF7">
      <w:pPr>
        <w:spacing w:line="360" w:lineRule="auto"/>
        <w:ind w:firstLineChars="200" w:firstLine="480"/>
        <w:rPr>
          <w:rFonts w:ascii="Times New Roman" w:hAnsi="Times New Roman"/>
          <w:sz w:val="24"/>
        </w:rPr>
      </w:pPr>
      <w:bookmarkStart w:id="235" w:name="_Toc135106178"/>
      <w:r>
        <w:rPr>
          <w:rFonts w:ascii="Times New Roman" w:hAnsi="Times New Roman"/>
          <w:sz w:val="24"/>
        </w:rPr>
        <w:t>（</w:t>
      </w:r>
      <w:r>
        <w:rPr>
          <w:rFonts w:ascii="Times New Roman" w:hAnsi="Times New Roman"/>
          <w:sz w:val="24"/>
        </w:rPr>
        <w:t>1</w:t>
      </w:r>
      <w:r>
        <w:rPr>
          <w:rFonts w:ascii="Times New Roman" w:hAnsi="Times New Roman"/>
          <w:sz w:val="24"/>
        </w:rPr>
        <w:t>）事故连锁效应和重叠事故</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事故连锁效应的危险性分析</w:t>
      </w:r>
      <w:bookmarkEnd w:id="235"/>
    </w:p>
    <w:p w:rsidR="00525419" w:rsidRDefault="00EE1CF7">
      <w:pPr>
        <w:spacing w:line="360" w:lineRule="auto"/>
        <w:ind w:firstLineChars="200" w:firstLine="480"/>
        <w:rPr>
          <w:rFonts w:ascii="Times New Roman" w:hAnsi="Times New Roman"/>
          <w:sz w:val="24"/>
        </w:rPr>
      </w:pPr>
      <w:r>
        <w:rPr>
          <w:rFonts w:ascii="Times New Roman" w:hAnsi="Times New Roman"/>
          <w:sz w:val="24"/>
        </w:rPr>
        <w:t>事故连锁效应是指当一个设备或中间槽罐发生火灾、爆炸等事故、因火灾热辐射、爆炸冲击波以及管道连接等因素，导致邻近的或上下游的设备或储罐发生火灾、爆炸等事故的效应。</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①</w:t>
      </w:r>
      <w:r>
        <w:rPr>
          <w:rFonts w:ascii="Times New Roman" w:hAnsi="Times New Roman"/>
          <w:sz w:val="24"/>
        </w:rPr>
        <w:t>生产装置系统事故连锁效应的危险性分析</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本项目涉及到的易燃易爆危险物质较多，当某一设备发生火灾、爆炸事故若不采取及时、有效的措施，发生事故连锁、造成事故蔓延的可能性很大；一旦某一重要设备发生重大的火灾、爆炸事故，巨大的热辐射或冲击波有可能克服设备距离的阻碍，发生事故连锁。</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②</w:t>
      </w:r>
      <w:r>
        <w:rPr>
          <w:rFonts w:ascii="Times New Roman" w:hAnsi="Times New Roman"/>
          <w:sz w:val="24"/>
        </w:rPr>
        <w:t>贮存系统事故连锁效应的危险性分析</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本项目储存区易燃易爆危险性物质的储存量较大，当某一物料发生火灾事故时，邻近的物料经长时间烘烤，温度升高，存在引发新的火灾爆炸的可能性。</w:t>
      </w:r>
    </w:p>
    <w:p w:rsidR="00525419" w:rsidRDefault="00EE1CF7">
      <w:pPr>
        <w:spacing w:line="360" w:lineRule="auto"/>
        <w:ind w:firstLineChars="200" w:firstLine="480"/>
        <w:rPr>
          <w:rFonts w:ascii="Times New Roman" w:hAnsi="Times New Roman"/>
          <w:sz w:val="24"/>
        </w:rPr>
      </w:pPr>
      <w:bookmarkStart w:id="236" w:name="_Toc135106179"/>
      <w:r>
        <w:rPr>
          <w:rFonts w:ascii="Times New Roman" w:hAnsi="Times New Roman"/>
          <w:sz w:val="24"/>
        </w:rPr>
        <w:lastRenderedPageBreak/>
        <w:t>▲</w:t>
      </w:r>
      <w:r>
        <w:rPr>
          <w:rFonts w:ascii="Times New Roman" w:hAnsi="Times New Roman"/>
          <w:sz w:val="24"/>
        </w:rPr>
        <w:t>重叠事故的危险性分析</w:t>
      </w:r>
      <w:bookmarkEnd w:id="236"/>
    </w:p>
    <w:p w:rsidR="00525419" w:rsidRDefault="00EE1CF7">
      <w:pPr>
        <w:spacing w:line="360" w:lineRule="auto"/>
        <w:ind w:firstLineChars="200" w:firstLine="480"/>
        <w:rPr>
          <w:rFonts w:ascii="Times New Roman" w:hAnsi="Times New Roman"/>
          <w:sz w:val="24"/>
        </w:rPr>
      </w:pPr>
      <w:r>
        <w:rPr>
          <w:rFonts w:ascii="Times New Roman" w:hAnsi="Times New Roman"/>
          <w:sz w:val="24"/>
        </w:rPr>
        <w:t>事故重叠是指某一设备或储罐火灾、爆炸和泄漏事故同时或相继发生。</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根据统计，煤化工和石油化工行业的重大安全事故多数为事故重叠，首先由于管线或设备破损导致易燃易爆危险物质大量泄漏，或自燃（高温物料）、或与明火点燃而形成火灾爆炸事故，火灾爆炸又可能造成更多的物料泄漏。</w:t>
      </w:r>
    </w:p>
    <w:p w:rsidR="00525419" w:rsidRDefault="00EE1CF7">
      <w:pPr>
        <w:spacing w:line="360" w:lineRule="auto"/>
        <w:ind w:firstLineChars="200" w:firstLine="480"/>
        <w:rPr>
          <w:rFonts w:ascii="Times New Roman" w:hAnsi="Times New Roman"/>
          <w:sz w:val="24"/>
        </w:rPr>
      </w:pPr>
      <w:bookmarkStart w:id="237" w:name="_Toc135106181"/>
      <w:r>
        <w:rPr>
          <w:rFonts w:ascii="Times New Roman" w:hAnsi="Times New Roman"/>
          <w:sz w:val="24"/>
        </w:rPr>
        <w:t>（</w:t>
      </w:r>
      <w:r>
        <w:rPr>
          <w:rFonts w:ascii="Times New Roman" w:hAnsi="Times New Roman"/>
          <w:sz w:val="24"/>
        </w:rPr>
        <w:t>2</w:t>
      </w:r>
      <w:r>
        <w:rPr>
          <w:rFonts w:ascii="Times New Roman" w:hAnsi="Times New Roman"/>
          <w:sz w:val="24"/>
        </w:rPr>
        <w:t>）</w:t>
      </w:r>
      <w:r>
        <w:rPr>
          <w:rFonts w:ascii="Times New Roman" w:hAnsi="Times New Roman"/>
          <w:kern w:val="44"/>
          <w:sz w:val="24"/>
          <w:szCs w:val="24"/>
        </w:rPr>
        <w:t>伴生</w:t>
      </w:r>
      <w:r>
        <w:rPr>
          <w:rFonts w:ascii="Times New Roman" w:hAnsi="Times New Roman"/>
          <w:kern w:val="44"/>
          <w:sz w:val="24"/>
          <w:szCs w:val="24"/>
        </w:rPr>
        <w:t>/</w:t>
      </w:r>
      <w:r>
        <w:rPr>
          <w:rFonts w:ascii="Times New Roman" w:hAnsi="Times New Roman"/>
          <w:kern w:val="44"/>
          <w:sz w:val="24"/>
          <w:szCs w:val="24"/>
        </w:rPr>
        <w:t>次生事故危险性分析</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事故中的伴生危险性分析</w:t>
      </w:r>
      <w:bookmarkEnd w:id="237"/>
    </w:p>
    <w:p w:rsidR="00525419" w:rsidRDefault="00EE1CF7">
      <w:pPr>
        <w:spacing w:line="360" w:lineRule="auto"/>
        <w:ind w:firstLineChars="200" w:firstLine="480"/>
        <w:rPr>
          <w:rFonts w:ascii="Times New Roman" w:hAnsi="Times New Roman"/>
          <w:sz w:val="24"/>
        </w:rPr>
      </w:pPr>
      <w:r>
        <w:rPr>
          <w:rFonts w:ascii="Times New Roman" w:hAnsi="Times New Roman"/>
          <w:sz w:val="24"/>
        </w:rPr>
        <w:t>当装置区或仓库区发生易挥发液体物料大量泄漏时，为了防止引发火灾爆炸和环境空气污染事故，采取消防水对泄漏区进行喷淋洗涤，部分物料转移至消防水，若消防水不予处理直接排入外环境可能导致水污染产生严重污染。应采取措施回收物料后，再将事故废水进行处置，将次生危害降至最低。</w:t>
      </w:r>
    </w:p>
    <w:p w:rsidR="00525419" w:rsidRDefault="00EE1CF7">
      <w:pPr>
        <w:spacing w:line="360" w:lineRule="auto"/>
        <w:ind w:firstLineChars="200" w:firstLine="480"/>
        <w:rPr>
          <w:rFonts w:ascii="Times New Roman" w:hAnsi="Times New Roman"/>
          <w:sz w:val="24"/>
        </w:rPr>
      </w:pPr>
      <w:bookmarkStart w:id="238" w:name="_Toc135106182"/>
      <w:r>
        <w:rPr>
          <w:rFonts w:ascii="Times New Roman" w:hAnsi="Times New Roman"/>
          <w:sz w:val="24"/>
        </w:rPr>
        <w:t>▲</w:t>
      </w:r>
      <w:r>
        <w:rPr>
          <w:rFonts w:ascii="Times New Roman" w:hAnsi="Times New Roman"/>
          <w:sz w:val="24"/>
        </w:rPr>
        <w:t>事故中次生危险性分析</w:t>
      </w:r>
      <w:bookmarkEnd w:id="238"/>
    </w:p>
    <w:p w:rsidR="00525419" w:rsidRDefault="00EE1CF7">
      <w:pPr>
        <w:spacing w:line="360" w:lineRule="auto"/>
        <w:ind w:firstLineChars="200" w:firstLine="480"/>
        <w:rPr>
          <w:rFonts w:ascii="Times New Roman" w:hAnsi="Times New Roman"/>
          <w:sz w:val="24"/>
        </w:rPr>
      </w:pPr>
      <w:r>
        <w:rPr>
          <w:rFonts w:ascii="Times New Roman" w:hAnsi="Times New Roman"/>
          <w:sz w:val="24"/>
        </w:rPr>
        <w:t>①</w:t>
      </w:r>
      <w:r>
        <w:rPr>
          <w:rFonts w:ascii="Times New Roman" w:hAnsi="Times New Roman"/>
          <w:sz w:val="24"/>
        </w:rPr>
        <w:t>火灾爆炸事故中的次生危险性分析</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本项目生产装置或储存场所发生火灾爆炸事故时，进入大气的燃烧产物包括不完全燃烧形成的</w:t>
      </w:r>
      <w:r>
        <w:rPr>
          <w:rFonts w:ascii="Times New Roman" w:hAnsi="Times New Roman"/>
          <w:sz w:val="24"/>
        </w:rPr>
        <w:t>CO</w:t>
      </w:r>
      <w:r>
        <w:rPr>
          <w:rFonts w:ascii="Times New Roman" w:hAnsi="Times New Roman"/>
          <w:sz w:val="24"/>
        </w:rPr>
        <w:t>烟雾和其它中间产物化学物质，会发生次生环境污染事故。</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②</w:t>
      </w:r>
      <w:r>
        <w:rPr>
          <w:rFonts w:ascii="Times New Roman" w:hAnsi="Times New Roman"/>
          <w:sz w:val="24"/>
        </w:rPr>
        <w:t>泄漏事故中的次生危险性分析</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本项目在泄漏事故中向空气中散发气态或低沸点有机物进入环境后，或在空气中迁移、或进入水体、或进入土壤。作为可降解的有机物，在环境中受光照，空气或微生物等共同作用，经氧化分解，逐步向二氧化碳和水等小分子物质方向降解。在降解过程中会生成各种中间体有机物，物质的毒性也会发生变化，但总体来讲，是向低毒或无毒的方向变化。</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泄漏事故源附近局部区域会因少量物料沉积或渗透降至土壤或地下水，在短时间内会对植物生长造成影响，严重的会污染地下水。</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总体而言，本项目在事故状态下存在次生污染的危险性，但影响范围是局部的，小范围的，短期的，并且是可能恢复的。</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lastRenderedPageBreak/>
        <w:t>5.6.3.4</w:t>
      </w:r>
      <w:r>
        <w:rPr>
          <w:rFonts w:ascii="Times New Roman" w:hAnsi="Times New Roman" w:cs="Times New Roman"/>
          <w:kern w:val="44"/>
          <w:sz w:val="24"/>
          <w:szCs w:val="24"/>
        </w:rPr>
        <w:t>风险识别结果</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项目涉及的主要危险物质为焦油、柴油、石脑油、尾油、天然气、氢气、解析气等，涉及的生产系统主要是装置区、储罐、燃料输送管道。本项目的主要风险类型为上述物质等发生泄漏以及由此引发的火灾、爆炸事故。项目环境风险识别结果见</w:t>
      </w:r>
      <w:r>
        <w:rPr>
          <w:rFonts w:ascii="Times New Roman" w:hAnsi="Times New Roman"/>
          <w:sz w:val="24"/>
        </w:rPr>
        <w:t>5.6-22</w:t>
      </w:r>
      <w:r>
        <w:rPr>
          <w:rFonts w:ascii="Times New Roman" w:hAnsi="Times New Roman"/>
          <w:sz w:val="24"/>
        </w:rPr>
        <w:t>。</w:t>
      </w:r>
    </w:p>
    <w:p w:rsidR="00525419" w:rsidRDefault="00EE1CF7">
      <w:pPr>
        <w:adjustRightInd w:val="0"/>
        <w:snapToGrid w:val="0"/>
        <w:spacing w:line="360" w:lineRule="auto"/>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5.6-22</w:t>
      </w:r>
      <w:r>
        <w:rPr>
          <w:rFonts w:ascii="Times New Roman" w:eastAsia="黑体" w:hAnsi="Times New Roman"/>
          <w:szCs w:val="21"/>
        </w:rPr>
        <w:t xml:space="preserve">　环境风险因素识别一览表</w:t>
      </w:r>
    </w:p>
    <w:tbl>
      <w:tblPr>
        <w:tblW w:w="85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4"/>
        <w:gridCol w:w="976"/>
        <w:gridCol w:w="1404"/>
        <w:gridCol w:w="1542"/>
        <w:gridCol w:w="1402"/>
        <w:gridCol w:w="1586"/>
        <w:gridCol w:w="937"/>
      </w:tblGrid>
      <w:tr w:rsidR="00525419">
        <w:trPr>
          <w:trHeight w:val="768"/>
          <w:jc w:val="center"/>
        </w:trPr>
        <w:tc>
          <w:tcPr>
            <w:tcW w:w="664"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序号</w:t>
            </w:r>
          </w:p>
        </w:tc>
        <w:tc>
          <w:tcPr>
            <w:tcW w:w="976"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危险单元</w:t>
            </w:r>
          </w:p>
        </w:tc>
        <w:tc>
          <w:tcPr>
            <w:tcW w:w="1404"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风险源</w:t>
            </w:r>
          </w:p>
        </w:tc>
        <w:tc>
          <w:tcPr>
            <w:tcW w:w="1542"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主要危险物质</w:t>
            </w:r>
          </w:p>
        </w:tc>
        <w:tc>
          <w:tcPr>
            <w:tcW w:w="1402"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环境风险类型</w:t>
            </w:r>
          </w:p>
        </w:tc>
        <w:tc>
          <w:tcPr>
            <w:tcW w:w="1586"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环境影响途径</w:t>
            </w:r>
          </w:p>
        </w:tc>
        <w:tc>
          <w:tcPr>
            <w:tcW w:w="937"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rPr>
              <w:t>可能受影响的环境敏感目标</w:t>
            </w:r>
          </w:p>
        </w:tc>
      </w:tr>
      <w:tr w:rsidR="00525419">
        <w:trPr>
          <w:trHeight w:val="341"/>
          <w:jc w:val="center"/>
        </w:trPr>
        <w:tc>
          <w:tcPr>
            <w:tcW w:w="664" w:type="dxa"/>
            <w:vMerge w:val="restart"/>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1</w:t>
            </w:r>
          </w:p>
        </w:tc>
        <w:tc>
          <w:tcPr>
            <w:tcW w:w="976" w:type="dxa"/>
            <w:vMerge w:val="restart"/>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生产装置</w:t>
            </w:r>
          </w:p>
        </w:tc>
        <w:tc>
          <w:tcPr>
            <w:tcW w:w="1404"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天然气制氢</w:t>
            </w:r>
          </w:p>
        </w:tc>
        <w:tc>
          <w:tcPr>
            <w:tcW w:w="1542"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天然气、氢气</w:t>
            </w:r>
          </w:p>
        </w:tc>
        <w:tc>
          <w:tcPr>
            <w:tcW w:w="1402" w:type="dxa"/>
            <w:vMerge w:val="restart"/>
            <w:tcBorders>
              <w:tl2br w:val="nil"/>
              <w:tr2bl w:val="nil"/>
            </w:tcBorders>
            <w:vAlign w:val="center"/>
          </w:tcPr>
          <w:p w:rsidR="00525419" w:rsidRDefault="00EE1CF7">
            <w:pPr>
              <w:spacing w:line="240" w:lineRule="atLeast"/>
              <w:rPr>
                <w:rFonts w:ascii="Times New Roman" w:hAnsi="Times New Roman"/>
                <w:kern w:val="0"/>
                <w:szCs w:val="21"/>
              </w:rPr>
            </w:pPr>
            <w:r>
              <w:rPr>
                <w:rFonts w:ascii="Times New Roman" w:hAnsi="Times New Roman"/>
              </w:rPr>
              <w:t>因罐体、管道腐蚀破裂、人为操作不当、设备缺陷等问题导致易燃液体泄漏，遇火引发火灾、爆炸事故</w:t>
            </w:r>
          </w:p>
        </w:tc>
        <w:tc>
          <w:tcPr>
            <w:tcW w:w="1586" w:type="dxa"/>
            <w:vMerge w:val="restart"/>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rPr>
              <w:t>易燃液体、气体泄漏后若遇火可能发生火灾、爆炸，燃烧烟气将污染大气环境；</w:t>
            </w:r>
            <w:r>
              <w:rPr>
                <w:rFonts w:ascii="Times New Roman" w:hAnsi="Times New Roman"/>
              </w:rPr>
              <w:t>②</w:t>
            </w:r>
            <w:r>
              <w:rPr>
                <w:rFonts w:ascii="Times New Roman" w:hAnsi="Times New Roman"/>
              </w:rPr>
              <w:t>泄漏的易燃液体、液体及灭火过程中产生的消防废水未有效收集发生渗漏可能污染土壤和地下水环境</w:t>
            </w:r>
          </w:p>
        </w:tc>
        <w:tc>
          <w:tcPr>
            <w:tcW w:w="937" w:type="dxa"/>
            <w:vMerge w:val="restart"/>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rPr>
              <w:t>项目区周边的人群聚集区和大气、土壤、地下水环境</w:t>
            </w:r>
          </w:p>
        </w:tc>
      </w:tr>
      <w:tr w:rsidR="00525419">
        <w:trPr>
          <w:trHeight w:val="304"/>
          <w:jc w:val="center"/>
        </w:trPr>
        <w:tc>
          <w:tcPr>
            <w:tcW w:w="664" w:type="dxa"/>
            <w:vMerge/>
            <w:tcBorders>
              <w:tl2br w:val="nil"/>
              <w:tr2bl w:val="nil"/>
            </w:tcBorders>
            <w:vAlign w:val="center"/>
          </w:tcPr>
          <w:p w:rsidR="00525419" w:rsidRDefault="00525419">
            <w:pPr>
              <w:adjustRightInd w:val="0"/>
              <w:snapToGrid w:val="0"/>
              <w:spacing w:line="240" w:lineRule="atLeast"/>
              <w:rPr>
                <w:rFonts w:ascii="Times New Roman" w:hAnsi="Times New Roman"/>
                <w:szCs w:val="21"/>
              </w:rPr>
            </w:pPr>
          </w:p>
        </w:tc>
        <w:tc>
          <w:tcPr>
            <w:tcW w:w="976" w:type="dxa"/>
            <w:vMerge/>
            <w:tcBorders>
              <w:tl2br w:val="nil"/>
              <w:tr2bl w:val="nil"/>
            </w:tcBorders>
            <w:vAlign w:val="center"/>
          </w:tcPr>
          <w:p w:rsidR="00525419" w:rsidRDefault="00525419">
            <w:pPr>
              <w:adjustRightInd w:val="0"/>
              <w:snapToGrid w:val="0"/>
              <w:spacing w:line="240" w:lineRule="atLeast"/>
              <w:rPr>
                <w:rFonts w:ascii="Times New Roman" w:hAnsi="Times New Roman"/>
                <w:szCs w:val="21"/>
              </w:rPr>
            </w:pPr>
          </w:p>
        </w:tc>
        <w:tc>
          <w:tcPr>
            <w:tcW w:w="1404"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煤焦油加氢</w:t>
            </w:r>
          </w:p>
        </w:tc>
        <w:tc>
          <w:tcPr>
            <w:tcW w:w="1542"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氢气、煤焦油、柴油、干气、液化气等</w:t>
            </w:r>
          </w:p>
        </w:tc>
        <w:tc>
          <w:tcPr>
            <w:tcW w:w="1402" w:type="dxa"/>
            <w:vMerge/>
            <w:tcBorders>
              <w:tl2br w:val="nil"/>
              <w:tr2bl w:val="nil"/>
            </w:tcBorders>
            <w:vAlign w:val="center"/>
          </w:tcPr>
          <w:p w:rsidR="00525419" w:rsidRDefault="00525419">
            <w:pPr>
              <w:widowControl/>
              <w:spacing w:line="240" w:lineRule="atLeast"/>
              <w:rPr>
                <w:rFonts w:ascii="Times New Roman" w:hAnsi="Times New Roman"/>
                <w:kern w:val="0"/>
                <w:szCs w:val="21"/>
              </w:rPr>
            </w:pPr>
          </w:p>
        </w:tc>
        <w:tc>
          <w:tcPr>
            <w:tcW w:w="1586" w:type="dxa"/>
            <w:vMerge/>
            <w:tcBorders>
              <w:tl2br w:val="nil"/>
              <w:tr2bl w:val="nil"/>
            </w:tcBorders>
            <w:vAlign w:val="center"/>
          </w:tcPr>
          <w:p w:rsidR="00525419" w:rsidRDefault="00525419">
            <w:pPr>
              <w:adjustRightInd w:val="0"/>
              <w:snapToGrid w:val="0"/>
              <w:spacing w:line="240" w:lineRule="atLeast"/>
              <w:rPr>
                <w:rFonts w:ascii="Times New Roman" w:hAnsi="Times New Roman"/>
                <w:szCs w:val="21"/>
              </w:rPr>
            </w:pPr>
          </w:p>
        </w:tc>
        <w:tc>
          <w:tcPr>
            <w:tcW w:w="937" w:type="dxa"/>
            <w:vMerge/>
            <w:tcBorders>
              <w:tl2br w:val="nil"/>
              <w:tr2bl w:val="nil"/>
            </w:tcBorders>
            <w:vAlign w:val="center"/>
          </w:tcPr>
          <w:p w:rsidR="00525419" w:rsidRDefault="00525419">
            <w:pPr>
              <w:adjustRightInd w:val="0"/>
              <w:snapToGrid w:val="0"/>
              <w:spacing w:line="240" w:lineRule="atLeast"/>
              <w:rPr>
                <w:rFonts w:ascii="Times New Roman" w:hAnsi="Times New Roman"/>
                <w:szCs w:val="21"/>
              </w:rPr>
            </w:pPr>
          </w:p>
        </w:tc>
      </w:tr>
      <w:tr w:rsidR="00525419">
        <w:trPr>
          <w:trHeight w:val="329"/>
          <w:jc w:val="center"/>
        </w:trPr>
        <w:tc>
          <w:tcPr>
            <w:tcW w:w="664" w:type="dxa"/>
            <w:vMerge/>
            <w:tcBorders>
              <w:tl2br w:val="nil"/>
              <w:tr2bl w:val="nil"/>
            </w:tcBorders>
            <w:vAlign w:val="center"/>
          </w:tcPr>
          <w:p w:rsidR="00525419" w:rsidRDefault="00525419">
            <w:pPr>
              <w:adjustRightInd w:val="0"/>
              <w:snapToGrid w:val="0"/>
              <w:spacing w:line="240" w:lineRule="atLeast"/>
              <w:rPr>
                <w:rFonts w:ascii="Times New Roman" w:hAnsi="Times New Roman"/>
                <w:szCs w:val="21"/>
              </w:rPr>
            </w:pPr>
          </w:p>
        </w:tc>
        <w:tc>
          <w:tcPr>
            <w:tcW w:w="976" w:type="dxa"/>
            <w:vMerge/>
            <w:tcBorders>
              <w:tl2br w:val="nil"/>
              <w:tr2bl w:val="nil"/>
            </w:tcBorders>
            <w:vAlign w:val="center"/>
          </w:tcPr>
          <w:p w:rsidR="00525419" w:rsidRDefault="00525419">
            <w:pPr>
              <w:adjustRightInd w:val="0"/>
              <w:snapToGrid w:val="0"/>
              <w:spacing w:line="240" w:lineRule="atLeast"/>
              <w:rPr>
                <w:rFonts w:ascii="Times New Roman" w:hAnsi="Times New Roman"/>
                <w:szCs w:val="21"/>
              </w:rPr>
            </w:pPr>
          </w:p>
        </w:tc>
        <w:tc>
          <w:tcPr>
            <w:tcW w:w="1404"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硫磺回收</w:t>
            </w:r>
          </w:p>
        </w:tc>
        <w:tc>
          <w:tcPr>
            <w:tcW w:w="1542"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氢气、硫磺</w:t>
            </w:r>
          </w:p>
        </w:tc>
        <w:tc>
          <w:tcPr>
            <w:tcW w:w="1402" w:type="dxa"/>
            <w:vMerge/>
            <w:tcBorders>
              <w:tl2br w:val="nil"/>
              <w:tr2bl w:val="nil"/>
            </w:tcBorders>
            <w:vAlign w:val="center"/>
          </w:tcPr>
          <w:p w:rsidR="00525419" w:rsidRDefault="00525419">
            <w:pPr>
              <w:widowControl/>
              <w:spacing w:line="240" w:lineRule="atLeast"/>
              <w:rPr>
                <w:rFonts w:ascii="Times New Roman" w:hAnsi="Times New Roman"/>
                <w:kern w:val="0"/>
                <w:szCs w:val="21"/>
              </w:rPr>
            </w:pPr>
          </w:p>
        </w:tc>
        <w:tc>
          <w:tcPr>
            <w:tcW w:w="1586" w:type="dxa"/>
            <w:vMerge/>
            <w:tcBorders>
              <w:tl2br w:val="nil"/>
              <w:tr2bl w:val="nil"/>
            </w:tcBorders>
            <w:vAlign w:val="center"/>
          </w:tcPr>
          <w:p w:rsidR="00525419" w:rsidRDefault="00525419">
            <w:pPr>
              <w:adjustRightInd w:val="0"/>
              <w:snapToGrid w:val="0"/>
              <w:spacing w:line="240" w:lineRule="atLeast"/>
              <w:rPr>
                <w:rFonts w:ascii="Times New Roman" w:hAnsi="Times New Roman"/>
                <w:szCs w:val="21"/>
              </w:rPr>
            </w:pPr>
          </w:p>
        </w:tc>
        <w:tc>
          <w:tcPr>
            <w:tcW w:w="937" w:type="dxa"/>
            <w:vMerge/>
            <w:tcBorders>
              <w:tl2br w:val="nil"/>
              <w:tr2bl w:val="nil"/>
            </w:tcBorders>
            <w:vAlign w:val="center"/>
          </w:tcPr>
          <w:p w:rsidR="00525419" w:rsidRDefault="00525419">
            <w:pPr>
              <w:adjustRightInd w:val="0"/>
              <w:snapToGrid w:val="0"/>
              <w:spacing w:line="240" w:lineRule="atLeast"/>
              <w:rPr>
                <w:rFonts w:ascii="Times New Roman" w:hAnsi="Times New Roman"/>
                <w:szCs w:val="21"/>
              </w:rPr>
            </w:pPr>
          </w:p>
        </w:tc>
      </w:tr>
      <w:tr w:rsidR="00525419">
        <w:trPr>
          <w:trHeight w:val="318"/>
          <w:jc w:val="center"/>
        </w:trPr>
        <w:tc>
          <w:tcPr>
            <w:tcW w:w="664" w:type="dxa"/>
            <w:vMerge w:val="restart"/>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2</w:t>
            </w:r>
          </w:p>
        </w:tc>
        <w:tc>
          <w:tcPr>
            <w:tcW w:w="976" w:type="dxa"/>
            <w:vMerge w:val="restart"/>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储运</w:t>
            </w:r>
          </w:p>
        </w:tc>
        <w:tc>
          <w:tcPr>
            <w:tcW w:w="1404"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napToGrid w:val="0"/>
                <w:kern w:val="0"/>
                <w:szCs w:val="21"/>
              </w:rPr>
              <w:t>储罐</w:t>
            </w:r>
          </w:p>
        </w:tc>
        <w:tc>
          <w:tcPr>
            <w:tcW w:w="1542" w:type="dxa"/>
            <w:vMerge w:val="restart"/>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煤焦油、柴油、液化气、尾油</w:t>
            </w:r>
          </w:p>
        </w:tc>
        <w:tc>
          <w:tcPr>
            <w:tcW w:w="1402" w:type="dxa"/>
            <w:vMerge/>
            <w:tcBorders>
              <w:tl2br w:val="nil"/>
              <w:tr2bl w:val="nil"/>
            </w:tcBorders>
            <w:vAlign w:val="center"/>
          </w:tcPr>
          <w:p w:rsidR="00525419" w:rsidRDefault="00525419">
            <w:pPr>
              <w:widowControl/>
              <w:spacing w:line="240" w:lineRule="atLeast"/>
              <w:rPr>
                <w:rFonts w:ascii="Times New Roman" w:hAnsi="Times New Roman"/>
                <w:kern w:val="0"/>
                <w:szCs w:val="21"/>
              </w:rPr>
            </w:pPr>
          </w:p>
        </w:tc>
        <w:tc>
          <w:tcPr>
            <w:tcW w:w="1586" w:type="dxa"/>
            <w:vMerge/>
            <w:tcBorders>
              <w:tl2br w:val="nil"/>
              <w:tr2bl w:val="nil"/>
            </w:tcBorders>
            <w:vAlign w:val="center"/>
          </w:tcPr>
          <w:p w:rsidR="00525419" w:rsidRDefault="00525419">
            <w:pPr>
              <w:adjustRightInd w:val="0"/>
              <w:snapToGrid w:val="0"/>
              <w:spacing w:line="240" w:lineRule="atLeast"/>
              <w:rPr>
                <w:rFonts w:ascii="Times New Roman" w:hAnsi="Times New Roman"/>
                <w:szCs w:val="21"/>
              </w:rPr>
            </w:pPr>
          </w:p>
        </w:tc>
        <w:tc>
          <w:tcPr>
            <w:tcW w:w="937" w:type="dxa"/>
            <w:vMerge/>
            <w:tcBorders>
              <w:tl2br w:val="nil"/>
              <w:tr2bl w:val="nil"/>
            </w:tcBorders>
            <w:vAlign w:val="center"/>
          </w:tcPr>
          <w:p w:rsidR="00525419" w:rsidRDefault="00525419">
            <w:pPr>
              <w:adjustRightInd w:val="0"/>
              <w:snapToGrid w:val="0"/>
              <w:spacing w:line="240" w:lineRule="atLeast"/>
              <w:rPr>
                <w:rFonts w:ascii="Times New Roman" w:hAnsi="Times New Roman"/>
                <w:szCs w:val="21"/>
              </w:rPr>
            </w:pPr>
          </w:p>
        </w:tc>
      </w:tr>
      <w:tr w:rsidR="00525419">
        <w:trPr>
          <w:trHeight w:val="497"/>
          <w:jc w:val="center"/>
        </w:trPr>
        <w:tc>
          <w:tcPr>
            <w:tcW w:w="664" w:type="dxa"/>
            <w:vMerge/>
            <w:tcBorders>
              <w:tl2br w:val="nil"/>
              <w:tr2bl w:val="nil"/>
            </w:tcBorders>
            <w:vAlign w:val="center"/>
          </w:tcPr>
          <w:p w:rsidR="00525419" w:rsidRDefault="00525419">
            <w:pPr>
              <w:adjustRightInd w:val="0"/>
              <w:snapToGrid w:val="0"/>
              <w:spacing w:line="240" w:lineRule="atLeast"/>
              <w:rPr>
                <w:rFonts w:ascii="Times New Roman" w:hAnsi="Times New Roman"/>
                <w:szCs w:val="21"/>
              </w:rPr>
            </w:pPr>
          </w:p>
        </w:tc>
        <w:tc>
          <w:tcPr>
            <w:tcW w:w="976" w:type="dxa"/>
            <w:vMerge/>
            <w:tcBorders>
              <w:tl2br w:val="nil"/>
              <w:tr2bl w:val="nil"/>
            </w:tcBorders>
            <w:vAlign w:val="center"/>
          </w:tcPr>
          <w:p w:rsidR="00525419" w:rsidRDefault="00525419">
            <w:pPr>
              <w:adjustRightInd w:val="0"/>
              <w:snapToGrid w:val="0"/>
              <w:spacing w:line="240" w:lineRule="atLeast"/>
              <w:rPr>
                <w:rFonts w:ascii="Times New Roman" w:hAnsi="Times New Roman"/>
                <w:szCs w:val="21"/>
              </w:rPr>
            </w:pPr>
          </w:p>
        </w:tc>
        <w:tc>
          <w:tcPr>
            <w:tcW w:w="1404"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napToGrid w:val="0"/>
                <w:kern w:val="0"/>
                <w:szCs w:val="21"/>
              </w:rPr>
              <w:t>装卸栈桥（含罐车罐）</w:t>
            </w:r>
          </w:p>
        </w:tc>
        <w:tc>
          <w:tcPr>
            <w:tcW w:w="1542" w:type="dxa"/>
            <w:vMerge/>
            <w:tcBorders>
              <w:tl2br w:val="nil"/>
              <w:tr2bl w:val="nil"/>
            </w:tcBorders>
            <w:vAlign w:val="center"/>
          </w:tcPr>
          <w:p w:rsidR="00525419" w:rsidRDefault="00525419">
            <w:pPr>
              <w:adjustRightInd w:val="0"/>
              <w:snapToGrid w:val="0"/>
              <w:spacing w:line="240" w:lineRule="atLeast"/>
              <w:rPr>
                <w:rFonts w:ascii="Times New Roman" w:hAnsi="Times New Roman"/>
                <w:szCs w:val="21"/>
              </w:rPr>
            </w:pPr>
          </w:p>
        </w:tc>
        <w:tc>
          <w:tcPr>
            <w:tcW w:w="1402" w:type="dxa"/>
            <w:vMerge/>
            <w:tcBorders>
              <w:tl2br w:val="nil"/>
              <w:tr2bl w:val="nil"/>
            </w:tcBorders>
            <w:vAlign w:val="center"/>
          </w:tcPr>
          <w:p w:rsidR="00525419" w:rsidRDefault="00525419">
            <w:pPr>
              <w:widowControl/>
              <w:spacing w:line="240" w:lineRule="atLeast"/>
              <w:rPr>
                <w:rFonts w:ascii="Times New Roman" w:hAnsi="Times New Roman"/>
                <w:kern w:val="0"/>
                <w:szCs w:val="21"/>
              </w:rPr>
            </w:pPr>
          </w:p>
        </w:tc>
        <w:tc>
          <w:tcPr>
            <w:tcW w:w="1586" w:type="dxa"/>
            <w:vMerge/>
            <w:tcBorders>
              <w:tl2br w:val="nil"/>
              <w:tr2bl w:val="nil"/>
            </w:tcBorders>
            <w:vAlign w:val="center"/>
          </w:tcPr>
          <w:p w:rsidR="00525419" w:rsidRDefault="00525419">
            <w:pPr>
              <w:adjustRightInd w:val="0"/>
              <w:snapToGrid w:val="0"/>
              <w:spacing w:line="240" w:lineRule="atLeast"/>
              <w:rPr>
                <w:rFonts w:ascii="Times New Roman" w:hAnsi="Times New Roman"/>
                <w:szCs w:val="21"/>
              </w:rPr>
            </w:pPr>
          </w:p>
        </w:tc>
        <w:tc>
          <w:tcPr>
            <w:tcW w:w="937" w:type="dxa"/>
            <w:vMerge/>
            <w:tcBorders>
              <w:tl2br w:val="nil"/>
              <w:tr2bl w:val="nil"/>
            </w:tcBorders>
            <w:vAlign w:val="center"/>
          </w:tcPr>
          <w:p w:rsidR="00525419" w:rsidRDefault="00525419">
            <w:pPr>
              <w:adjustRightInd w:val="0"/>
              <w:snapToGrid w:val="0"/>
              <w:spacing w:line="240" w:lineRule="atLeast"/>
              <w:rPr>
                <w:rFonts w:ascii="Times New Roman" w:hAnsi="Times New Roman"/>
                <w:szCs w:val="21"/>
              </w:rPr>
            </w:pPr>
          </w:p>
        </w:tc>
      </w:tr>
      <w:tr w:rsidR="00525419">
        <w:trPr>
          <w:trHeight w:val="437"/>
          <w:jc w:val="center"/>
        </w:trPr>
        <w:tc>
          <w:tcPr>
            <w:tcW w:w="664"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3</w:t>
            </w:r>
          </w:p>
        </w:tc>
        <w:tc>
          <w:tcPr>
            <w:tcW w:w="976"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管道</w:t>
            </w:r>
          </w:p>
        </w:tc>
        <w:tc>
          <w:tcPr>
            <w:tcW w:w="1404" w:type="dxa"/>
            <w:tcBorders>
              <w:tl2br w:val="nil"/>
              <w:tr2bl w:val="nil"/>
            </w:tcBorders>
            <w:vAlign w:val="center"/>
          </w:tcPr>
          <w:p w:rsidR="00525419" w:rsidRDefault="00EE1CF7">
            <w:pPr>
              <w:adjustRightInd w:val="0"/>
              <w:snapToGrid w:val="0"/>
              <w:spacing w:line="240" w:lineRule="atLeast"/>
              <w:rPr>
                <w:rFonts w:ascii="Times New Roman" w:hAnsi="Times New Roman"/>
                <w:snapToGrid w:val="0"/>
                <w:kern w:val="0"/>
                <w:szCs w:val="21"/>
              </w:rPr>
            </w:pPr>
            <w:r>
              <w:rPr>
                <w:rFonts w:ascii="Times New Roman" w:hAnsi="Times New Roman"/>
                <w:szCs w:val="21"/>
              </w:rPr>
              <w:t>燃料输送管道</w:t>
            </w:r>
          </w:p>
        </w:tc>
        <w:tc>
          <w:tcPr>
            <w:tcW w:w="1542" w:type="dxa"/>
            <w:tcBorders>
              <w:tl2br w:val="nil"/>
              <w:tr2bl w:val="nil"/>
            </w:tcBorders>
            <w:vAlign w:val="center"/>
          </w:tcPr>
          <w:p w:rsidR="00525419" w:rsidRDefault="00EE1CF7">
            <w:pPr>
              <w:adjustRightInd w:val="0"/>
              <w:snapToGrid w:val="0"/>
              <w:spacing w:line="240" w:lineRule="atLeast"/>
              <w:rPr>
                <w:rFonts w:ascii="Times New Roman" w:hAnsi="Times New Roman"/>
                <w:szCs w:val="21"/>
              </w:rPr>
            </w:pPr>
            <w:r>
              <w:rPr>
                <w:rFonts w:ascii="Times New Roman" w:hAnsi="Times New Roman"/>
                <w:szCs w:val="21"/>
              </w:rPr>
              <w:t>天然气、干气</w:t>
            </w:r>
          </w:p>
        </w:tc>
        <w:tc>
          <w:tcPr>
            <w:tcW w:w="1402" w:type="dxa"/>
            <w:vMerge/>
            <w:tcBorders>
              <w:tl2br w:val="nil"/>
              <w:tr2bl w:val="nil"/>
            </w:tcBorders>
            <w:vAlign w:val="center"/>
          </w:tcPr>
          <w:p w:rsidR="00525419" w:rsidRDefault="00525419">
            <w:pPr>
              <w:spacing w:line="240" w:lineRule="atLeast"/>
              <w:rPr>
                <w:rFonts w:ascii="Times New Roman" w:hAnsi="Times New Roman"/>
                <w:kern w:val="0"/>
                <w:szCs w:val="21"/>
              </w:rPr>
            </w:pPr>
          </w:p>
        </w:tc>
        <w:tc>
          <w:tcPr>
            <w:tcW w:w="1586" w:type="dxa"/>
            <w:vMerge/>
            <w:tcBorders>
              <w:tl2br w:val="nil"/>
              <w:tr2bl w:val="nil"/>
            </w:tcBorders>
            <w:vAlign w:val="center"/>
          </w:tcPr>
          <w:p w:rsidR="00525419" w:rsidRDefault="00525419">
            <w:pPr>
              <w:adjustRightInd w:val="0"/>
              <w:snapToGrid w:val="0"/>
              <w:spacing w:line="240" w:lineRule="atLeast"/>
              <w:rPr>
                <w:rFonts w:ascii="Times New Roman" w:hAnsi="Times New Roman"/>
                <w:szCs w:val="21"/>
              </w:rPr>
            </w:pPr>
          </w:p>
        </w:tc>
        <w:tc>
          <w:tcPr>
            <w:tcW w:w="937" w:type="dxa"/>
            <w:vMerge/>
            <w:tcBorders>
              <w:tl2br w:val="nil"/>
              <w:tr2bl w:val="nil"/>
            </w:tcBorders>
            <w:vAlign w:val="center"/>
          </w:tcPr>
          <w:p w:rsidR="00525419" w:rsidRDefault="00525419">
            <w:pPr>
              <w:adjustRightInd w:val="0"/>
              <w:snapToGrid w:val="0"/>
              <w:spacing w:line="240" w:lineRule="atLeast"/>
              <w:rPr>
                <w:rFonts w:ascii="Times New Roman" w:hAnsi="Times New Roman"/>
                <w:szCs w:val="21"/>
              </w:rPr>
            </w:pPr>
          </w:p>
        </w:tc>
      </w:tr>
    </w:tbl>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5.6.4</w:t>
      </w:r>
      <w:r>
        <w:rPr>
          <w:rFonts w:ascii="Times New Roman" w:eastAsia="华文楷体" w:hAnsi="Times New Roman"/>
        </w:rPr>
        <w:t>风险事故情形分析</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5.6.4.1</w:t>
      </w:r>
      <w:r>
        <w:rPr>
          <w:rFonts w:ascii="Times New Roman" w:hAnsi="Times New Roman" w:cs="Times New Roman"/>
          <w:kern w:val="44"/>
          <w:sz w:val="24"/>
          <w:szCs w:val="24"/>
        </w:rPr>
        <w:t>风险事故情形设定</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根据《建设项目环境风险评价技术导则》（</w:t>
      </w:r>
      <w:r>
        <w:rPr>
          <w:rFonts w:ascii="Times New Roman" w:hAnsi="Times New Roman"/>
          <w:kern w:val="0"/>
          <w:sz w:val="24"/>
          <w:szCs w:val="24"/>
        </w:rPr>
        <w:t>HJ169-2018</w:t>
      </w:r>
      <w:r>
        <w:rPr>
          <w:rFonts w:ascii="Times New Roman" w:hAnsi="Times New Roman"/>
          <w:kern w:val="0"/>
          <w:sz w:val="24"/>
          <w:szCs w:val="24"/>
        </w:rPr>
        <w:t>）的要求，风险事故情形的设定是在风险识别的基础上，选择对环境影响较大并具有代表性的事故类型，设定风险事故情形。</w:t>
      </w:r>
    </w:p>
    <w:p w:rsidR="00525419" w:rsidRDefault="00EE1CF7">
      <w:pPr>
        <w:widowControl/>
        <w:spacing w:line="360" w:lineRule="auto"/>
        <w:ind w:firstLineChars="200" w:firstLine="480"/>
        <w:rPr>
          <w:rFonts w:ascii="Times New Roman" w:hAnsi="Times New Roman"/>
          <w:kern w:val="0"/>
          <w:sz w:val="24"/>
          <w:szCs w:val="24"/>
        </w:rPr>
      </w:pPr>
      <w:r>
        <w:rPr>
          <w:rFonts w:ascii="Times New Roman" w:hAnsi="Times New Roman"/>
          <w:kern w:val="0"/>
          <w:sz w:val="24"/>
          <w:szCs w:val="24"/>
        </w:rPr>
        <w:t>根据风险识别结果，本项目对环境影响较大并具有代表性的事故为生产装置、贮罐等，可能因误操作引起物料泄漏，进而引起火灾爆炸，对周边大气环境和土壤、地下水环境的污染影响，甚至造成周边人员中毒伤亡。</w:t>
      </w:r>
    </w:p>
    <w:p w:rsidR="00525419" w:rsidRDefault="00EE1CF7">
      <w:pPr>
        <w:pStyle w:val="B1"/>
        <w:ind w:firstLine="480"/>
        <w:rPr>
          <w:rFonts w:cs="Times New Roman"/>
        </w:rPr>
      </w:pPr>
      <w:r>
        <w:rPr>
          <w:rFonts w:cs="Times New Roman"/>
        </w:rPr>
        <w:t>依据《建设项目环境风险评价技术导则》（</w:t>
      </w:r>
      <w:r>
        <w:rPr>
          <w:rFonts w:cs="Times New Roman"/>
        </w:rPr>
        <w:t>HJ169-2018</w:t>
      </w:r>
      <w:r>
        <w:rPr>
          <w:rFonts w:cs="Times New Roman"/>
        </w:rPr>
        <w:t>）附录</w:t>
      </w:r>
      <w:r>
        <w:rPr>
          <w:rFonts w:cs="Times New Roman"/>
        </w:rPr>
        <w:t>E</w:t>
      </w:r>
      <w:r>
        <w:rPr>
          <w:rFonts w:cs="Times New Roman"/>
        </w:rPr>
        <w:t>，确定本项目储罐泄露风险事故的概率为</w:t>
      </w:r>
      <w:r>
        <w:rPr>
          <w:rFonts w:cs="Times New Roman"/>
        </w:rPr>
        <w:t>1×10</w:t>
      </w:r>
      <w:r>
        <w:rPr>
          <w:rFonts w:cs="Times New Roman"/>
          <w:vertAlign w:val="superscript"/>
        </w:rPr>
        <w:t>-4</w:t>
      </w:r>
      <w:r>
        <w:rPr>
          <w:rFonts w:cs="Times New Roman"/>
        </w:rPr>
        <w:t>次</w:t>
      </w:r>
      <w:r>
        <w:rPr>
          <w:rFonts w:cs="Times New Roman"/>
        </w:rPr>
        <w:t>/a</w:t>
      </w:r>
      <w:r>
        <w:rPr>
          <w:rFonts w:cs="Times New Roman"/>
        </w:rPr>
        <w:t>。</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lastRenderedPageBreak/>
        <w:t>5.6.4.2</w:t>
      </w:r>
      <w:r>
        <w:rPr>
          <w:rFonts w:ascii="Times New Roman" w:hAnsi="Times New Roman" w:cs="Times New Roman"/>
          <w:kern w:val="44"/>
          <w:sz w:val="24"/>
          <w:szCs w:val="24"/>
        </w:rPr>
        <w:t>源项分析</w:t>
      </w:r>
    </w:p>
    <w:p w:rsidR="00525419" w:rsidRDefault="00EE1CF7">
      <w:pPr>
        <w:pStyle w:val="affffffffffff6"/>
        <w:spacing w:line="360" w:lineRule="auto"/>
        <w:jc w:val="both"/>
        <w:rPr>
          <w:szCs w:val="24"/>
        </w:rPr>
      </w:pPr>
      <w:r>
        <w:rPr>
          <w:szCs w:val="24"/>
        </w:rPr>
        <w:t>本项目采用风险导则附录</w:t>
      </w:r>
      <w:r>
        <w:rPr>
          <w:szCs w:val="24"/>
        </w:rPr>
        <w:t>F</w:t>
      </w:r>
      <w:r>
        <w:rPr>
          <w:szCs w:val="24"/>
        </w:rPr>
        <w:t>推荐方法确定事故源强，煤焦油泄漏为液相泄漏，根据公司所制定的操作规程，管道输送产品时，罐区的操作工与生产区的操作工随时保护联系，如果贮罐液位出现异常，则说明管道出现问题，及时通知生产区的操作工停泵，并按应急预案，通知维修工到现场处理，整个事故处理过程有</w:t>
      </w:r>
      <w:r>
        <w:rPr>
          <w:szCs w:val="24"/>
        </w:rPr>
        <w:t>10min</w:t>
      </w:r>
      <w:r>
        <w:rPr>
          <w:szCs w:val="24"/>
        </w:rPr>
        <w:t>。</w:t>
      </w:r>
    </w:p>
    <w:p w:rsidR="00525419" w:rsidRDefault="00EE1CF7">
      <w:pPr>
        <w:pStyle w:val="affffffffffff6"/>
        <w:spacing w:line="360" w:lineRule="auto"/>
        <w:jc w:val="both"/>
        <w:rPr>
          <w:szCs w:val="24"/>
        </w:rPr>
      </w:pPr>
      <w:r>
        <w:rPr>
          <w:szCs w:val="24"/>
        </w:rPr>
        <w:t>（</w:t>
      </w:r>
      <w:r>
        <w:rPr>
          <w:szCs w:val="24"/>
        </w:rPr>
        <w:t>1</w:t>
      </w:r>
      <w:r>
        <w:rPr>
          <w:szCs w:val="24"/>
        </w:rPr>
        <w:t>）泄露量</w:t>
      </w:r>
    </w:p>
    <w:p w:rsidR="00525419" w:rsidRDefault="00EE1CF7">
      <w:pPr>
        <w:pStyle w:val="affffffffffff6"/>
        <w:spacing w:line="360" w:lineRule="auto"/>
        <w:jc w:val="both"/>
        <w:rPr>
          <w:szCs w:val="24"/>
        </w:rPr>
      </w:pPr>
      <w:r>
        <w:rPr>
          <w:szCs w:val="24"/>
        </w:rPr>
        <w:t>本次以石脑油发生泄漏计算源强，其发生泄漏事故时的源强按照《建设项目环境风险评价技术导则》</w:t>
      </w:r>
      <w:r>
        <w:rPr>
          <w:szCs w:val="24"/>
        </w:rPr>
        <w:t>(H/T169-2018)</w:t>
      </w:r>
      <w:r>
        <w:rPr>
          <w:szCs w:val="24"/>
        </w:rPr>
        <w:t>附录</w:t>
      </w:r>
      <w:r>
        <w:rPr>
          <w:szCs w:val="24"/>
        </w:rPr>
        <w:t>F</w:t>
      </w:r>
      <w:r>
        <w:rPr>
          <w:szCs w:val="24"/>
        </w:rPr>
        <w:t>中液体泄漏速率计算确定，计算公式如下。</w:t>
      </w:r>
    </w:p>
    <w:p w:rsidR="00525419" w:rsidRDefault="007D0E8A">
      <w:pPr>
        <w:pStyle w:val="1f8"/>
        <w:spacing w:before="156" w:after="156"/>
        <w:ind w:firstLineChars="850" w:firstLine="2040"/>
        <w:rPr>
          <w:color w:val="auto"/>
          <w:position w:val="-32"/>
        </w:rPr>
      </w:pPr>
      <w:r>
        <w:rPr>
          <w:color w:val="auto"/>
          <w:position w:val="-32"/>
        </w:rPr>
        <w:pict>
          <v:shape id="_x0000_i1034" type="#_x0000_t75" style="width:156.75pt;height:42.75pt">
            <v:imagedata r:id="rId42" o:title=""/>
          </v:shape>
        </w:pict>
      </w:r>
    </w:p>
    <w:p w:rsidR="00525419" w:rsidRDefault="00EE1CF7">
      <w:pPr>
        <w:pStyle w:val="B1"/>
        <w:ind w:firstLine="480"/>
        <w:rPr>
          <w:rFonts w:cs="Times New Roman"/>
        </w:rPr>
      </w:pPr>
      <w:r>
        <w:rPr>
          <w:rFonts w:cs="Times New Roman"/>
        </w:rPr>
        <w:t>式中：</w:t>
      </w:r>
      <w:r>
        <w:rPr>
          <w:rFonts w:cs="Times New Roman"/>
        </w:rPr>
        <w:t>QL—</w:t>
      </w:r>
      <w:r>
        <w:rPr>
          <w:rFonts w:cs="Times New Roman"/>
        </w:rPr>
        <w:t>液体泄漏速率，</w:t>
      </w:r>
      <w:r>
        <w:rPr>
          <w:rFonts w:cs="Times New Roman"/>
        </w:rPr>
        <w:t>kg/s</w:t>
      </w:r>
      <w:r>
        <w:rPr>
          <w:rFonts w:cs="Times New Roman"/>
        </w:rPr>
        <w:t>；</w:t>
      </w:r>
    </w:p>
    <w:p w:rsidR="00525419" w:rsidRDefault="00EE1CF7">
      <w:pPr>
        <w:pStyle w:val="B1"/>
        <w:ind w:firstLineChars="550" w:firstLine="1320"/>
        <w:rPr>
          <w:rFonts w:cs="Times New Roman"/>
        </w:rPr>
      </w:pPr>
      <w:r>
        <w:rPr>
          <w:rFonts w:cs="Times New Roman"/>
        </w:rPr>
        <w:t>P—</w:t>
      </w:r>
      <w:r>
        <w:rPr>
          <w:rFonts w:cs="Times New Roman"/>
        </w:rPr>
        <w:t>容器内介质压力，</w:t>
      </w:r>
      <w:r>
        <w:rPr>
          <w:rFonts w:cs="Times New Roman"/>
        </w:rPr>
        <w:t>Pa</w:t>
      </w:r>
      <w:r>
        <w:rPr>
          <w:rFonts w:cs="Times New Roman"/>
        </w:rPr>
        <w:t>；</w:t>
      </w:r>
    </w:p>
    <w:p w:rsidR="00525419" w:rsidRDefault="00EE1CF7">
      <w:pPr>
        <w:pStyle w:val="B1"/>
        <w:ind w:firstLineChars="550" w:firstLine="1320"/>
        <w:rPr>
          <w:rFonts w:cs="Times New Roman"/>
        </w:rPr>
      </w:pPr>
      <w:r>
        <w:rPr>
          <w:rFonts w:cs="Times New Roman"/>
        </w:rPr>
        <w:t>P</w:t>
      </w:r>
      <w:r>
        <w:rPr>
          <w:rFonts w:cs="Times New Roman"/>
          <w:vertAlign w:val="subscript"/>
        </w:rPr>
        <w:t>0</w:t>
      </w:r>
      <w:r>
        <w:rPr>
          <w:rFonts w:cs="Times New Roman"/>
        </w:rPr>
        <w:t>—</w:t>
      </w:r>
      <w:r>
        <w:rPr>
          <w:rFonts w:cs="Times New Roman"/>
        </w:rPr>
        <w:t>环境压力，</w:t>
      </w:r>
      <w:r>
        <w:rPr>
          <w:rFonts w:cs="Times New Roman"/>
        </w:rPr>
        <w:t>Pa</w:t>
      </w:r>
      <w:r>
        <w:rPr>
          <w:rFonts w:cs="Times New Roman"/>
        </w:rPr>
        <w:t>；</w:t>
      </w:r>
    </w:p>
    <w:p w:rsidR="00525419" w:rsidRDefault="00EE1CF7">
      <w:pPr>
        <w:pStyle w:val="B1"/>
        <w:ind w:firstLineChars="600" w:firstLine="1440"/>
        <w:rPr>
          <w:rFonts w:cs="Times New Roman"/>
        </w:rPr>
      </w:pPr>
      <w:r>
        <w:rPr>
          <w:rFonts w:cs="Times New Roman"/>
        </w:rPr>
        <w:t>ρ—</w:t>
      </w:r>
      <w:r>
        <w:rPr>
          <w:rFonts w:cs="Times New Roman"/>
        </w:rPr>
        <w:t>泄漏液体密度，</w:t>
      </w:r>
      <w:r>
        <w:rPr>
          <w:rFonts w:cs="Times New Roman"/>
        </w:rPr>
        <w:t>kg/m</w:t>
      </w:r>
      <w:r>
        <w:rPr>
          <w:rFonts w:cs="Times New Roman"/>
          <w:vertAlign w:val="superscript"/>
        </w:rPr>
        <w:t>3</w:t>
      </w:r>
      <w:r>
        <w:rPr>
          <w:rFonts w:cs="Times New Roman"/>
        </w:rPr>
        <w:t>；</w:t>
      </w:r>
    </w:p>
    <w:p w:rsidR="00525419" w:rsidRDefault="00EE1CF7">
      <w:pPr>
        <w:pStyle w:val="B1"/>
        <w:ind w:firstLineChars="600" w:firstLine="1440"/>
        <w:rPr>
          <w:rFonts w:cs="Times New Roman"/>
        </w:rPr>
      </w:pPr>
      <w:r>
        <w:rPr>
          <w:rFonts w:cs="Times New Roman"/>
        </w:rPr>
        <w:t>g—</w:t>
      </w:r>
      <w:r>
        <w:rPr>
          <w:rFonts w:cs="Times New Roman"/>
        </w:rPr>
        <w:t>重力加速度，</w:t>
      </w:r>
      <w:r>
        <w:rPr>
          <w:rFonts w:cs="Times New Roman"/>
        </w:rPr>
        <w:t>9.81m/s</w:t>
      </w:r>
      <w:r>
        <w:rPr>
          <w:rFonts w:cs="Times New Roman"/>
          <w:vertAlign w:val="superscript"/>
        </w:rPr>
        <w:t>2</w:t>
      </w:r>
      <w:r>
        <w:rPr>
          <w:rFonts w:cs="Times New Roman"/>
        </w:rPr>
        <w:t>；</w:t>
      </w:r>
    </w:p>
    <w:p w:rsidR="00525419" w:rsidRDefault="00EE1CF7">
      <w:pPr>
        <w:pStyle w:val="B1"/>
        <w:ind w:firstLineChars="600" w:firstLine="1440"/>
        <w:rPr>
          <w:rFonts w:cs="Times New Roman"/>
        </w:rPr>
      </w:pPr>
      <w:r>
        <w:rPr>
          <w:rFonts w:cs="Times New Roman"/>
        </w:rPr>
        <w:t>h—</w:t>
      </w:r>
      <w:r>
        <w:rPr>
          <w:rFonts w:cs="Times New Roman"/>
        </w:rPr>
        <w:t>裂口之上液位高度，</w:t>
      </w:r>
      <w:r>
        <w:rPr>
          <w:rFonts w:cs="Times New Roman"/>
        </w:rPr>
        <w:t>m</w:t>
      </w:r>
      <w:r>
        <w:rPr>
          <w:rFonts w:cs="Times New Roman"/>
        </w:rPr>
        <w:t>；</w:t>
      </w:r>
    </w:p>
    <w:p w:rsidR="00525419" w:rsidRDefault="00EE1CF7">
      <w:pPr>
        <w:pStyle w:val="B1"/>
        <w:ind w:firstLineChars="550" w:firstLine="1320"/>
        <w:rPr>
          <w:rFonts w:cs="Times New Roman"/>
        </w:rPr>
      </w:pPr>
      <w:r>
        <w:rPr>
          <w:rFonts w:cs="Times New Roman"/>
        </w:rPr>
        <w:t>C</w:t>
      </w:r>
      <w:r>
        <w:rPr>
          <w:rFonts w:cs="Times New Roman"/>
          <w:vertAlign w:val="subscript"/>
        </w:rPr>
        <w:t>d</w:t>
      </w:r>
      <w:r>
        <w:rPr>
          <w:rFonts w:cs="Times New Roman"/>
        </w:rPr>
        <w:t>—</w:t>
      </w:r>
      <w:r>
        <w:rPr>
          <w:rFonts w:cs="Times New Roman"/>
        </w:rPr>
        <w:t>液体泄漏系数，按表</w:t>
      </w:r>
      <w:r>
        <w:rPr>
          <w:rFonts w:cs="Times New Roman"/>
        </w:rPr>
        <w:t>F.1</w:t>
      </w:r>
      <w:r>
        <w:rPr>
          <w:rFonts w:cs="Times New Roman"/>
        </w:rPr>
        <w:t>选取；</w:t>
      </w:r>
      <w:r>
        <w:rPr>
          <w:rFonts w:cs="Times New Roman"/>
        </w:rPr>
        <w:t xml:space="preserve"> </w:t>
      </w:r>
    </w:p>
    <w:p w:rsidR="00525419" w:rsidRDefault="00EE1CF7">
      <w:pPr>
        <w:pStyle w:val="B1"/>
        <w:ind w:firstLineChars="600" w:firstLine="1440"/>
        <w:rPr>
          <w:rFonts w:cs="Times New Roman"/>
        </w:rPr>
      </w:pPr>
      <w:r>
        <w:rPr>
          <w:rFonts w:cs="Times New Roman"/>
        </w:rPr>
        <w:t>A—</w:t>
      </w:r>
      <w:r>
        <w:rPr>
          <w:rFonts w:cs="Times New Roman"/>
        </w:rPr>
        <w:t>裂口面积，</w:t>
      </w:r>
      <w:r>
        <w:rPr>
          <w:rFonts w:cs="Times New Roman"/>
        </w:rPr>
        <w:t>m</w:t>
      </w:r>
      <w:r>
        <w:rPr>
          <w:rFonts w:cs="Times New Roman"/>
          <w:vertAlign w:val="superscript"/>
        </w:rPr>
        <w:t>2</w:t>
      </w:r>
      <w:r>
        <w:rPr>
          <w:rFonts w:cs="Times New Roman"/>
        </w:rPr>
        <w:t>。</w:t>
      </w:r>
    </w:p>
    <w:p w:rsidR="00525419" w:rsidRDefault="00EE1CF7">
      <w:pPr>
        <w:spacing w:line="480" w:lineRule="exact"/>
        <w:ind w:firstLineChars="200" w:firstLine="480"/>
        <w:rPr>
          <w:rFonts w:ascii="Times New Roman" w:hAnsi="Times New Roman"/>
          <w:sz w:val="24"/>
          <w:szCs w:val="24"/>
        </w:rPr>
      </w:pPr>
      <w:r>
        <w:rPr>
          <w:rFonts w:ascii="Times New Roman" w:hAnsi="Times New Roman"/>
          <w:sz w:val="24"/>
          <w:szCs w:val="24"/>
        </w:rPr>
        <w:t>本项目煤焦油储罐及周边环境参数取值具体见表</w:t>
      </w:r>
      <w:r>
        <w:rPr>
          <w:rFonts w:ascii="Times New Roman" w:hAnsi="Times New Roman"/>
          <w:sz w:val="24"/>
          <w:szCs w:val="24"/>
        </w:rPr>
        <w:t>5.5-23</w:t>
      </w:r>
      <w:r>
        <w:rPr>
          <w:rFonts w:ascii="Times New Roman" w:hAnsi="Times New Roman"/>
          <w:sz w:val="24"/>
          <w:szCs w:val="24"/>
        </w:rPr>
        <w:t>。</w:t>
      </w:r>
    </w:p>
    <w:p w:rsidR="00525419" w:rsidRDefault="00EE1CF7">
      <w:pPr>
        <w:spacing w:line="520" w:lineRule="exact"/>
        <w:ind w:firstLineChars="200" w:firstLine="422"/>
        <w:jc w:val="center"/>
        <w:rPr>
          <w:rFonts w:ascii="Times New Roman" w:hAnsi="Times New Roman"/>
          <w:b/>
          <w:szCs w:val="21"/>
        </w:rPr>
      </w:pPr>
      <w:r>
        <w:rPr>
          <w:rFonts w:ascii="Times New Roman" w:hAnsi="Times New Roman"/>
          <w:b/>
          <w:szCs w:val="21"/>
        </w:rPr>
        <w:t>表</w:t>
      </w:r>
      <w:r>
        <w:rPr>
          <w:rFonts w:ascii="Times New Roman" w:hAnsi="Times New Roman"/>
          <w:b/>
          <w:szCs w:val="21"/>
        </w:rPr>
        <w:t xml:space="preserve">5.5-23   </w:t>
      </w:r>
      <w:r>
        <w:rPr>
          <w:rFonts w:ascii="Times New Roman" w:hAnsi="Times New Roman"/>
          <w:b/>
          <w:szCs w:val="21"/>
        </w:rPr>
        <w:t>储罐泄漏参数取值一览表</w:t>
      </w:r>
    </w:p>
    <w:tbl>
      <w:tblPr>
        <w:tblStyle w:val="1ffffffff3"/>
        <w:tblW w:w="8353" w:type="dxa"/>
        <w:tblInd w:w="0" w:type="dxa"/>
        <w:tblBorders>
          <w:left w:val="single" w:sz="12" w:space="0" w:color="auto"/>
          <w:right w:val="single" w:sz="12" w:space="0" w:color="auto"/>
        </w:tblBorders>
        <w:tblLayout w:type="fixed"/>
        <w:tblLook w:val="04A0" w:firstRow="1" w:lastRow="0" w:firstColumn="1" w:lastColumn="0" w:noHBand="0" w:noVBand="1"/>
      </w:tblPr>
      <w:tblGrid>
        <w:gridCol w:w="1494"/>
        <w:gridCol w:w="2680"/>
        <w:gridCol w:w="1763"/>
        <w:gridCol w:w="2416"/>
      </w:tblGrid>
      <w:tr w:rsidR="00525419">
        <w:trPr>
          <w:trHeight w:val="90"/>
        </w:trPr>
        <w:tc>
          <w:tcPr>
            <w:tcW w:w="1494" w:type="dxa"/>
            <w:tcBorders>
              <w:tl2br w:val="nil"/>
              <w:tr2bl w:val="nil"/>
            </w:tcBorders>
          </w:tcPr>
          <w:p w:rsidR="00525419" w:rsidRDefault="00EE1CF7">
            <w:pPr>
              <w:keepNext/>
              <w:spacing w:before="40" w:after="40"/>
              <w:rPr>
                <w:rFonts w:ascii="Times New Roman" w:hAnsi="Times New Roman"/>
                <w:spacing w:val="8"/>
                <w:kern w:val="24"/>
                <w:szCs w:val="20"/>
              </w:rPr>
            </w:pPr>
            <w:r>
              <w:rPr>
                <w:rFonts w:ascii="Times New Roman" w:hAnsi="Times New Roman"/>
                <w:spacing w:val="8"/>
                <w:kern w:val="24"/>
                <w:szCs w:val="20"/>
              </w:rPr>
              <w:t>参数名称</w:t>
            </w:r>
          </w:p>
        </w:tc>
        <w:tc>
          <w:tcPr>
            <w:tcW w:w="2680" w:type="dxa"/>
            <w:tcBorders>
              <w:tl2br w:val="nil"/>
              <w:tr2bl w:val="nil"/>
            </w:tcBorders>
          </w:tcPr>
          <w:p w:rsidR="00525419" w:rsidRDefault="00EE1CF7">
            <w:pPr>
              <w:keepNext/>
              <w:spacing w:before="40" w:after="40"/>
              <w:rPr>
                <w:rFonts w:ascii="Times New Roman" w:hAnsi="Times New Roman"/>
                <w:spacing w:val="8"/>
                <w:kern w:val="24"/>
                <w:szCs w:val="20"/>
              </w:rPr>
            </w:pPr>
            <w:r>
              <w:rPr>
                <w:rFonts w:ascii="Times New Roman" w:hAnsi="Times New Roman"/>
                <w:spacing w:val="8"/>
                <w:kern w:val="24"/>
                <w:szCs w:val="20"/>
              </w:rPr>
              <w:t>取值</w:t>
            </w:r>
          </w:p>
        </w:tc>
        <w:tc>
          <w:tcPr>
            <w:tcW w:w="1763" w:type="dxa"/>
            <w:tcBorders>
              <w:tl2br w:val="nil"/>
              <w:tr2bl w:val="nil"/>
            </w:tcBorders>
          </w:tcPr>
          <w:p w:rsidR="00525419" w:rsidRDefault="00EE1CF7">
            <w:pPr>
              <w:keepNext/>
              <w:spacing w:before="40" w:after="40"/>
              <w:rPr>
                <w:rFonts w:ascii="Times New Roman" w:hAnsi="Times New Roman"/>
                <w:spacing w:val="8"/>
                <w:kern w:val="24"/>
                <w:szCs w:val="20"/>
              </w:rPr>
            </w:pPr>
            <w:r>
              <w:rPr>
                <w:rFonts w:ascii="Times New Roman" w:hAnsi="Times New Roman"/>
                <w:spacing w:val="8"/>
                <w:kern w:val="24"/>
                <w:szCs w:val="20"/>
              </w:rPr>
              <w:t>参数名称</w:t>
            </w:r>
          </w:p>
        </w:tc>
        <w:tc>
          <w:tcPr>
            <w:tcW w:w="2416" w:type="dxa"/>
            <w:tcBorders>
              <w:tl2br w:val="nil"/>
              <w:tr2bl w:val="nil"/>
            </w:tcBorders>
          </w:tcPr>
          <w:p w:rsidR="00525419" w:rsidRDefault="00EE1CF7">
            <w:pPr>
              <w:keepNext/>
              <w:spacing w:before="40" w:after="40"/>
              <w:rPr>
                <w:rFonts w:ascii="Times New Roman" w:hAnsi="Times New Roman"/>
                <w:spacing w:val="8"/>
                <w:kern w:val="24"/>
                <w:szCs w:val="20"/>
              </w:rPr>
            </w:pPr>
            <w:r>
              <w:rPr>
                <w:rFonts w:ascii="Times New Roman" w:hAnsi="Times New Roman"/>
                <w:spacing w:val="8"/>
                <w:kern w:val="24"/>
                <w:szCs w:val="20"/>
              </w:rPr>
              <w:t>取值</w:t>
            </w:r>
          </w:p>
        </w:tc>
      </w:tr>
      <w:tr w:rsidR="00525419">
        <w:trPr>
          <w:trHeight w:val="340"/>
        </w:trPr>
        <w:tc>
          <w:tcPr>
            <w:tcW w:w="1494" w:type="dxa"/>
            <w:tcBorders>
              <w:tl2br w:val="nil"/>
              <w:tr2bl w:val="nil"/>
            </w:tcBorders>
          </w:tcPr>
          <w:p w:rsidR="00525419" w:rsidRDefault="00EE1CF7">
            <w:pPr>
              <w:keepNext/>
              <w:rPr>
                <w:rFonts w:ascii="Times New Roman" w:hAnsi="Times New Roman"/>
                <w:spacing w:val="8"/>
                <w:kern w:val="24"/>
                <w:szCs w:val="20"/>
              </w:rPr>
            </w:pPr>
            <w:r>
              <w:rPr>
                <w:rFonts w:ascii="Times New Roman" w:hAnsi="Times New Roman"/>
                <w:spacing w:val="8"/>
                <w:kern w:val="24"/>
                <w:szCs w:val="20"/>
              </w:rPr>
              <w:t>储罐压力</w:t>
            </w:r>
          </w:p>
        </w:tc>
        <w:tc>
          <w:tcPr>
            <w:tcW w:w="2680" w:type="dxa"/>
            <w:tcBorders>
              <w:tl2br w:val="nil"/>
              <w:tr2bl w:val="nil"/>
            </w:tcBorders>
          </w:tcPr>
          <w:p w:rsidR="00525419" w:rsidRDefault="00EE1CF7">
            <w:pPr>
              <w:keepNext/>
              <w:rPr>
                <w:rFonts w:ascii="Times New Roman" w:hAnsi="Times New Roman"/>
                <w:spacing w:val="8"/>
                <w:kern w:val="24"/>
                <w:szCs w:val="20"/>
              </w:rPr>
            </w:pPr>
            <w:r>
              <w:rPr>
                <w:rFonts w:ascii="Times New Roman" w:hAnsi="Times New Roman"/>
                <w:spacing w:val="8"/>
                <w:kern w:val="24"/>
                <w:szCs w:val="20"/>
              </w:rPr>
              <w:t>197267 pa</w:t>
            </w:r>
          </w:p>
        </w:tc>
        <w:tc>
          <w:tcPr>
            <w:tcW w:w="1763" w:type="dxa"/>
            <w:tcBorders>
              <w:tl2br w:val="nil"/>
              <w:tr2bl w:val="nil"/>
            </w:tcBorders>
          </w:tcPr>
          <w:p w:rsidR="00525419" w:rsidRDefault="00EE1CF7">
            <w:pPr>
              <w:keepNext/>
              <w:rPr>
                <w:rFonts w:ascii="Times New Roman" w:hAnsi="Times New Roman"/>
                <w:spacing w:val="8"/>
                <w:kern w:val="24"/>
                <w:szCs w:val="20"/>
              </w:rPr>
            </w:pPr>
            <w:r>
              <w:rPr>
                <w:rFonts w:ascii="Times New Roman" w:hAnsi="Times New Roman"/>
                <w:spacing w:val="8"/>
                <w:kern w:val="24"/>
                <w:szCs w:val="20"/>
              </w:rPr>
              <w:t>液体密度</w:t>
            </w:r>
          </w:p>
        </w:tc>
        <w:tc>
          <w:tcPr>
            <w:tcW w:w="2416" w:type="dxa"/>
            <w:tcBorders>
              <w:tl2br w:val="nil"/>
              <w:tr2bl w:val="nil"/>
            </w:tcBorders>
          </w:tcPr>
          <w:p w:rsidR="00525419" w:rsidRDefault="00EE1CF7">
            <w:pPr>
              <w:spacing w:line="360" w:lineRule="auto"/>
              <w:rPr>
                <w:rFonts w:ascii="Times New Roman" w:hAnsi="Times New Roman"/>
                <w:spacing w:val="8"/>
                <w:kern w:val="24"/>
                <w:szCs w:val="21"/>
              </w:rPr>
            </w:pPr>
            <w:r>
              <w:rPr>
                <w:rFonts w:ascii="Times New Roman" w:hAnsi="Times New Roman"/>
                <w:szCs w:val="21"/>
              </w:rPr>
              <w:t>（煤焦油）</w:t>
            </w:r>
            <w:r>
              <w:rPr>
                <w:rFonts w:ascii="Times New Roman" w:hAnsi="Times New Roman"/>
                <w:szCs w:val="21"/>
              </w:rPr>
              <w:t>987.2kg/m</w:t>
            </w:r>
            <w:r>
              <w:rPr>
                <w:rFonts w:ascii="Times New Roman" w:hAnsi="Times New Roman"/>
                <w:szCs w:val="21"/>
                <w:vertAlign w:val="superscript"/>
              </w:rPr>
              <w:t>3</w:t>
            </w:r>
          </w:p>
        </w:tc>
      </w:tr>
      <w:tr w:rsidR="00525419">
        <w:trPr>
          <w:trHeight w:val="340"/>
        </w:trPr>
        <w:tc>
          <w:tcPr>
            <w:tcW w:w="1494" w:type="dxa"/>
            <w:tcBorders>
              <w:tl2br w:val="nil"/>
              <w:tr2bl w:val="nil"/>
            </w:tcBorders>
          </w:tcPr>
          <w:p w:rsidR="00525419" w:rsidRDefault="00EE1CF7">
            <w:pPr>
              <w:keepNext/>
              <w:rPr>
                <w:rFonts w:ascii="Times New Roman" w:hAnsi="Times New Roman"/>
                <w:spacing w:val="8"/>
                <w:kern w:val="24"/>
                <w:szCs w:val="20"/>
              </w:rPr>
            </w:pPr>
            <w:r>
              <w:rPr>
                <w:rFonts w:ascii="Times New Roman" w:hAnsi="Times New Roman"/>
                <w:spacing w:val="8"/>
                <w:kern w:val="24"/>
                <w:szCs w:val="20"/>
              </w:rPr>
              <w:t>环境压力</w:t>
            </w:r>
          </w:p>
        </w:tc>
        <w:tc>
          <w:tcPr>
            <w:tcW w:w="2680" w:type="dxa"/>
            <w:tcBorders>
              <w:tl2br w:val="nil"/>
              <w:tr2bl w:val="nil"/>
            </w:tcBorders>
          </w:tcPr>
          <w:p w:rsidR="00525419" w:rsidRDefault="00EE1CF7">
            <w:pPr>
              <w:keepNext/>
              <w:rPr>
                <w:rFonts w:ascii="Times New Roman" w:hAnsi="Times New Roman"/>
                <w:spacing w:val="8"/>
                <w:kern w:val="24"/>
                <w:szCs w:val="20"/>
              </w:rPr>
            </w:pPr>
            <w:r>
              <w:rPr>
                <w:rFonts w:ascii="Times New Roman" w:hAnsi="Times New Roman"/>
                <w:spacing w:val="8"/>
                <w:kern w:val="24"/>
                <w:szCs w:val="20"/>
              </w:rPr>
              <w:t>101325 pa</w:t>
            </w:r>
          </w:p>
        </w:tc>
        <w:tc>
          <w:tcPr>
            <w:tcW w:w="1763" w:type="dxa"/>
            <w:tcBorders>
              <w:tl2br w:val="nil"/>
              <w:tr2bl w:val="nil"/>
            </w:tcBorders>
          </w:tcPr>
          <w:p w:rsidR="00525419" w:rsidRDefault="00EE1CF7">
            <w:pPr>
              <w:keepNext/>
              <w:rPr>
                <w:rFonts w:ascii="Times New Roman" w:hAnsi="Times New Roman"/>
                <w:spacing w:val="8"/>
                <w:kern w:val="24"/>
                <w:szCs w:val="20"/>
              </w:rPr>
            </w:pPr>
            <w:r>
              <w:rPr>
                <w:rFonts w:ascii="Times New Roman" w:hAnsi="Times New Roman"/>
                <w:spacing w:val="8"/>
                <w:kern w:val="24"/>
                <w:szCs w:val="20"/>
              </w:rPr>
              <w:t>液体泄漏系数</w:t>
            </w:r>
          </w:p>
        </w:tc>
        <w:tc>
          <w:tcPr>
            <w:tcW w:w="2416" w:type="dxa"/>
            <w:tcBorders>
              <w:tl2br w:val="nil"/>
              <w:tr2bl w:val="nil"/>
            </w:tcBorders>
          </w:tcPr>
          <w:p w:rsidR="00525419" w:rsidRDefault="00EE1CF7">
            <w:pPr>
              <w:keepNext/>
              <w:rPr>
                <w:rFonts w:ascii="Times New Roman" w:hAnsi="Times New Roman"/>
                <w:spacing w:val="8"/>
                <w:kern w:val="24"/>
                <w:szCs w:val="21"/>
              </w:rPr>
            </w:pPr>
            <w:r>
              <w:rPr>
                <w:rFonts w:ascii="Times New Roman" w:hAnsi="Times New Roman"/>
                <w:spacing w:val="8"/>
                <w:kern w:val="24"/>
                <w:szCs w:val="21"/>
              </w:rPr>
              <w:t>0.65</w:t>
            </w:r>
          </w:p>
        </w:tc>
      </w:tr>
      <w:tr w:rsidR="00525419">
        <w:trPr>
          <w:trHeight w:val="340"/>
        </w:trPr>
        <w:tc>
          <w:tcPr>
            <w:tcW w:w="1494" w:type="dxa"/>
            <w:tcBorders>
              <w:tl2br w:val="nil"/>
              <w:tr2bl w:val="nil"/>
            </w:tcBorders>
          </w:tcPr>
          <w:p w:rsidR="00525419" w:rsidRDefault="00EE1CF7">
            <w:pPr>
              <w:keepNext/>
              <w:rPr>
                <w:rFonts w:ascii="Times New Roman" w:hAnsi="Times New Roman"/>
                <w:spacing w:val="8"/>
                <w:kern w:val="24"/>
                <w:szCs w:val="20"/>
              </w:rPr>
            </w:pPr>
            <w:r>
              <w:rPr>
                <w:rFonts w:ascii="Times New Roman" w:hAnsi="Times New Roman"/>
                <w:spacing w:val="8"/>
                <w:kern w:val="24"/>
                <w:szCs w:val="20"/>
              </w:rPr>
              <w:t>裂口面积</w:t>
            </w:r>
          </w:p>
        </w:tc>
        <w:tc>
          <w:tcPr>
            <w:tcW w:w="2680" w:type="dxa"/>
            <w:tcBorders>
              <w:tl2br w:val="nil"/>
              <w:tr2bl w:val="nil"/>
            </w:tcBorders>
          </w:tcPr>
          <w:p w:rsidR="00525419" w:rsidRDefault="00EE1CF7">
            <w:pPr>
              <w:keepNext/>
              <w:rPr>
                <w:rFonts w:ascii="Times New Roman" w:hAnsi="Times New Roman"/>
                <w:spacing w:val="8"/>
                <w:kern w:val="24"/>
                <w:szCs w:val="20"/>
              </w:rPr>
            </w:pPr>
            <w:r>
              <w:rPr>
                <w:rFonts w:ascii="Times New Roman" w:hAnsi="Times New Roman"/>
                <w:spacing w:val="8"/>
                <w:kern w:val="24"/>
                <w:szCs w:val="20"/>
              </w:rPr>
              <w:t>R=10mm</w:t>
            </w:r>
            <w:r>
              <w:rPr>
                <w:rFonts w:ascii="Times New Roman" w:hAnsi="Times New Roman"/>
                <w:spacing w:val="8"/>
                <w:kern w:val="24"/>
                <w:szCs w:val="20"/>
              </w:rPr>
              <w:t>（</w:t>
            </w:r>
            <w:r>
              <w:rPr>
                <w:rFonts w:ascii="Times New Roman" w:hAnsi="Times New Roman"/>
                <w:spacing w:val="8"/>
                <w:kern w:val="24"/>
                <w:szCs w:val="20"/>
              </w:rPr>
              <w:t>3.14cm</w:t>
            </w:r>
            <w:r>
              <w:rPr>
                <w:rFonts w:ascii="Times New Roman" w:hAnsi="Times New Roman"/>
                <w:spacing w:val="8"/>
                <w:kern w:val="24"/>
                <w:szCs w:val="20"/>
                <w:vertAlign w:val="superscript"/>
              </w:rPr>
              <w:t>2</w:t>
            </w:r>
            <w:r>
              <w:rPr>
                <w:rFonts w:ascii="Times New Roman" w:hAnsi="Times New Roman"/>
                <w:spacing w:val="8"/>
                <w:kern w:val="24"/>
                <w:szCs w:val="20"/>
              </w:rPr>
              <w:t>）</w:t>
            </w:r>
          </w:p>
        </w:tc>
        <w:tc>
          <w:tcPr>
            <w:tcW w:w="1763" w:type="dxa"/>
            <w:tcBorders>
              <w:tl2br w:val="nil"/>
              <w:tr2bl w:val="nil"/>
            </w:tcBorders>
          </w:tcPr>
          <w:p w:rsidR="00525419" w:rsidRDefault="00EE1CF7">
            <w:pPr>
              <w:keepNext/>
              <w:jc w:val="both"/>
              <w:rPr>
                <w:rFonts w:ascii="Times New Roman" w:hAnsi="Times New Roman"/>
                <w:spacing w:val="8"/>
                <w:kern w:val="24"/>
                <w:szCs w:val="20"/>
              </w:rPr>
            </w:pPr>
            <w:r>
              <w:rPr>
                <w:rFonts w:ascii="Times New Roman" w:hAnsi="Times New Roman"/>
                <w:spacing w:val="8"/>
                <w:kern w:val="24"/>
                <w:szCs w:val="20"/>
              </w:rPr>
              <w:t>裂口上液位高度</w:t>
            </w:r>
          </w:p>
        </w:tc>
        <w:tc>
          <w:tcPr>
            <w:tcW w:w="2416" w:type="dxa"/>
            <w:tcBorders>
              <w:tl2br w:val="nil"/>
              <w:tr2bl w:val="nil"/>
            </w:tcBorders>
          </w:tcPr>
          <w:p w:rsidR="00525419" w:rsidRDefault="00EE1CF7">
            <w:pPr>
              <w:keepNext/>
              <w:rPr>
                <w:rFonts w:ascii="Times New Roman" w:hAnsi="Times New Roman"/>
                <w:spacing w:val="8"/>
                <w:kern w:val="24"/>
                <w:szCs w:val="21"/>
              </w:rPr>
            </w:pPr>
            <w:r>
              <w:rPr>
                <w:rFonts w:ascii="Times New Roman" w:hAnsi="Times New Roman"/>
                <w:spacing w:val="8"/>
                <w:kern w:val="24"/>
                <w:szCs w:val="21"/>
              </w:rPr>
              <w:t>11m</w:t>
            </w:r>
          </w:p>
        </w:tc>
      </w:tr>
    </w:tbl>
    <w:p w:rsidR="00525419" w:rsidRDefault="00EE1CF7">
      <w:pPr>
        <w:spacing w:line="480" w:lineRule="exact"/>
        <w:ind w:firstLineChars="200" w:firstLine="480"/>
        <w:rPr>
          <w:rFonts w:ascii="Times New Roman" w:hAnsi="Times New Roman"/>
          <w:sz w:val="24"/>
          <w:szCs w:val="24"/>
        </w:rPr>
      </w:pPr>
      <w:r>
        <w:rPr>
          <w:rFonts w:ascii="Times New Roman" w:hAnsi="Times New Roman"/>
          <w:sz w:val="24"/>
          <w:szCs w:val="24"/>
        </w:rPr>
        <w:t>由上述公式计算出煤焦油的泄漏速率为</w:t>
      </w:r>
      <w:r>
        <w:rPr>
          <w:rFonts w:ascii="Times New Roman" w:hAnsi="Times New Roman"/>
          <w:sz w:val="24"/>
          <w:szCs w:val="24"/>
        </w:rPr>
        <w:t>4kg/s</w:t>
      </w:r>
      <w:r>
        <w:rPr>
          <w:rFonts w:ascii="Times New Roman" w:hAnsi="Times New Roman"/>
          <w:sz w:val="24"/>
          <w:szCs w:val="24"/>
        </w:rPr>
        <w:t>，事故发生后</w:t>
      </w:r>
      <w:r>
        <w:rPr>
          <w:rFonts w:ascii="Times New Roman" w:hAnsi="Times New Roman"/>
          <w:sz w:val="24"/>
          <w:szCs w:val="24"/>
        </w:rPr>
        <w:t>30min</w:t>
      </w:r>
      <w:r>
        <w:rPr>
          <w:rFonts w:ascii="Times New Roman" w:hAnsi="Times New Roman"/>
          <w:sz w:val="24"/>
          <w:szCs w:val="24"/>
        </w:rPr>
        <w:t>可得到控</w:t>
      </w:r>
      <w:r>
        <w:rPr>
          <w:rFonts w:ascii="Times New Roman" w:hAnsi="Times New Roman"/>
          <w:sz w:val="24"/>
          <w:szCs w:val="24"/>
        </w:rPr>
        <w:lastRenderedPageBreak/>
        <w:t>制，煤焦油的泄漏量为</w:t>
      </w:r>
      <w:r>
        <w:rPr>
          <w:rFonts w:ascii="Times New Roman" w:hAnsi="Times New Roman"/>
          <w:sz w:val="24"/>
          <w:szCs w:val="24"/>
        </w:rPr>
        <w:t>7.2t</w:t>
      </w:r>
      <w:r>
        <w:rPr>
          <w:rFonts w:ascii="Times New Roman" w:hAnsi="Times New Roman"/>
          <w:sz w:val="24"/>
          <w:szCs w:val="24"/>
        </w:rPr>
        <w:t>。</w:t>
      </w:r>
    </w:p>
    <w:p w:rsidR="00525419" w:rsidRDefault="00EE1CF7">
      <w:pPr>
        <w:spacing w:line="480" w:lineRule="exact"/>
        <w:ind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）次生有害气体源项计算</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火灾伴生</w:t>
      </w:r>
      <w:r>
        <w:rPr>
          <w:rFonts w:ascii="Times New Roman" w:hAnsi="Times New Roman"/>
          <w:kern w:val="0"/>
          <w:sz w:val="24"/>
          <w:szCs w:val="24"/>
        </w:rPr>
        <w:t>/</w:t>
      </w:r>
      <w:r>
        <w:rPr>
          <w:rFonts w:ascii="Times New Roman" w:hAnsi="Times New Roman"/>
          <w:kern w:val="0"/>
          <w:sz w:val="24"/>
          <w:szCs w:val="24"/>
        </w:rPr>
        <w:t>次生二氧化硫和一氧化碳污染物产生量计算如下：</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①SO</w:t>
      </w:r>
      <w:r>
        <w:rPr>
          <w:rFonts w:ascii="Times New Roman" w:hAnsi="Times New Roman"/>
          <w:kern w:val="0"/>
          <w:sz w:val="24"/>
          <w:szCs w:val="24"/>
          <w:vertAlign w:val="subscript"/>
        </w:rPr>
        <w:t>2</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火灾伴生</w:t>
      </w:r>
      <w:r>
        <w:rPr>
          <w:rFonts w:ascii="Times New Roman" w:hAnsi="Times New Roman"/>
          <w:kern w:val="0"/>
          <w:sz w:val="24"/>
          <w:szCs w:val="24"/>
        </w:rPr>
        <w:t>/</w:t>
      </w:r>
      <w:r>
        <w:rPr>
          <w:rFonts w:ascii="Times New Roman" w:hAnsi="Times New Roman"/>
          <w:kern w:val="0"/>
          <w:sz w:val="24"/>
          <w:szCs w:val="24"/>
        </w:rPr>
        <w:t>次生二氧化硫产生量按公式</w:t>
      </w:r>
      <w:r>
        <w:rPr>
          <w:rFonts w:ascii="Times New Roman" w:hAnsi="Times New Roman"/>
          <w:kern w:val="0"/>
          <w:sz w:val="24"/>
          <w:szCs w:val="24"/>
        </w:rPr>
        <w:t>G</w:t>
      </w:r>
      <w:r>
        <w:rPr>
          <w:rFonts w:ascii="Times New Roman" w:hAnsi="Times New Roman"/>
          <w:kern w:val="0"/>
          <w:sz w:val="24"/>
          <w:szCs w:val="24"/>
          <w:vertAlign w:val="subscript"/>
        </w:rPr>
        <w:t>二氧化硫</w:t>
      </w:r>
      <w:r>
        <w:rPr>
          <w:rFonts w:ascii="Times New Roman" w:hAnsi="Times New Roman"/>
          <w:kern w:val="0"/>
          <w:sz w:val="24"/>
          <w:szCs w:val="24"/>
        </w:rPr>
        <w:t>=2BS</w:t>
      </w:r>
      <w:r>
        <w:rPr>
          <w:rFonts w:ascii="Times New Roman" w:hAnsi="Times New Roman"/>
          <w:kern w:val="0"/>
          <w:sz w:val="24"/>
          <w:szCs w:val="24"/>
        </w:rPr>
        <w:t>计算：</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其中，</w:t>
      </w:r>
      <w:r>
        <w:rPr>
          <w:rFonts w:ascii="Times New Roman" w:hAnsi="Times New Roman"/>
          <w:kern w:val="0"/>
          <w:sz w:val="24"/>
          <w:szCs w:val="24"/>
        </w:rPr>
        <w:t>G</w:t>
      </w:r>
      <w:r>
        <w:rPr>
          <w:rFonts w:ascii="Times New Roman" w:hAnsi="Times New Roman"/>
          <w:kern w:val="0"/>
          <w:sz w:val="24"/>
          <w:szCs w:val="24"/>
          <w:vertAlign w:val="subscript"/>
        </w:rPr>
        <w:t>二氧化硫</w:t>
      </w:r>
      <w:r>
        <w:rPr>
          <w:rFonts w:ascii="Times New Roman" w:hAnsi="Times New Roman"/>
          <w:kern w:val="0"/>
          <w:sz w:val="24"/>
          <w:szCs w:val="24"/>
        </w:rPr>
        <w:t>—</w:t>
      </w:r>
      <w:r>
        <w:rPr>
          <w:rFonts w:ascii="Times New Roman" w:hAnsi="Times New Roman"/>
          <w:kern w:val="0"/>
          <w:sz w:val="24"/>
          <w:szCs w:val="24"/>
        </w:rPr>
        <w:t>二氧化硫排放速率，</w:t>
      </w:r>
      <w:r>
        <w:rPr>
          <w:rFonts w:ascii="Times New Roman" w:hAnsi="Times New Roman"/>
          <w:kern w:val="0"/>
          <w:sz w:val="24"/>
          <w:szCs w:val="24"/>
        </w:rPr>
        <w:t>kg/h</w:t>
      </w:r>
      <w:r>
        <w:rPr>
          <w:rFonts w:ascii="Times New Roman" w:hAnsi="Times New Roman"/>
          <w:kern w:val="0"/>
          <w:sz w:val="24"/>
          <w:szCs w:val="24"/>
        </w:rPr>
        <w:t>；</w:t>
      </w:r>
    </w:p>
    <w:p w:rsidR="00525419" w:rsidRDefault="00EE1CF7">
      <w:pPr>
        <w:widowControl/>
        <w:spacing w:line="360" w:lineRule="auto"/>
        <w:ind w:firstLineChars="400" w:firstLine="960"/>
        <w:jc w:val="left"/>
        <w:rPr>
          <w:rFonts w:ascii="Times New Roman" w:hAnsi="Times New Roman"/>
          <w:kern w:val="0"/>
          <w:sz w:val="24"/>
          <w:szCs w:val="24"/>
        </w:rPr>
      </w:pPr>
      <w:r>
        <w:rPr>
          <w:rFonts w:ascii="Times New Roman" w:hAnsi="Times New Roman"/>
          <w:kern w:val="0"/>
          <w:sz w:val="24"/>
          <w:szCs w:val="24"/>
        </w:rPr>
        <w:t>B—</w:t>
      </w:r>
      <w:r>
        <w:rPr>
          <w:rFonts w:ascii="Times New Roman" w:hAnsi="Times New Roman"/>
          <w:kern w:val="0"/>
          <w:sz w:val="24"/>
          <w:szCs w:val="24"/>
        </w:rPr>
        <w:t>物质燃烧量，</w:t>
      </w:r>
      <w:r>
        <w:rPr>
          <w:rFonts w:ascii="Times New Roman" w:hAnsi="Times New Roman"/>
          <w:kern w:val="0"/>
          <w:sz w:val="24"/>
          <w:szCs w:val="24"/>
        </w:rPr>
        <w:t>kg/h</w:t>
      </w:r>
      <w:r>
        <w:rPr>
          <w:rFonts w:ascii="Times New Roman" w:hAnsi="Times New Roman"/>
          <w:kern w:val="0"/>
          <w:sz w:val="24"/>
          <w:szCs w:val="24"/>
        </w:rPr>
        <w:t>；按</w:t>
      </w:r>
      <w:r>
        <w:rPr>
          <w:rFonts w:ascii="Times New Roman" w:hAnsi="Times New Roman"/>
          <w:kern w:val="0"/>
          <w:sz w:val="24"/>
          <w:szCs w:val="24"/>
        </w:rPr>
        <w:t>14400kg/h</w:t>
      </w:r>
      <w:r>
        <w:rPr>
          <w:rFonts w:ascii="Times New Roman" w:hAnsi="Times New Roman"/>
          <w:kern w:val="0"/>
          <w:sz w:val="24"/>
          <w:szCs w:val="24"/>
        </w:rPr>
        <w:t>计（泄漏出的煤焦油全部燃烧）；</w:t>
      </w:r>
    </w:p>
    <w:p w:rsidR="00525419" w:rsidRDefault="00EE1CF7">
      <w:pPr>
        <w:widowControl/>
        <w:spacing w:line="360" w:lineRule="auto"/>
        <w:ind w:firstLineChars="400" w:firstLine="960"/>
        <w:jc w:val="left"/>
        <w:rPr>
          <w:rFonts w:ascii="Times New Roman" w:hAnsi="Times New Roman"/>
          <w:kern w:val="0"/>
          <w:sz w:val="24"/>
          <w:szCs w:val="24"/>
        </w:rPr>
      </w:pPr>
      <w:r>
        <w:rPr>
          <w:rFonts w:ascii="Times New Roman" w:hAnsi="Times New Roman"/>
          <w:kern w:val="0"/>
          <w:sz w:val="24"/>
          <w:szCs w:val="24"/>
        </w:rPr>
        <w:t>S—</w:t>
      </w:r>
      <w:r>
        <w:rPr>
          <w:rFonts w:ascii="Times New Roman" w:hAnsi="Times New Roman"/>
          <w:kern w:val="0"/>
          <w:sz w:val="24"/>
          <w:szCs w:val="24"/>
        </w:rPr>
        <w:t>物质中硫的含量，</w:t>
      </w:r>
      <w:r>
        <w:rPr>
          <w:rFonts w:ascii="Times New Roman" w:hAnsi="Times New Roman"/>
          <w:kern w:val="0"/>
          <w:sz w:val="24"/>
          <w:szCs w:val="24"/>
        </w:rPr>
        <w:t>%</w:t>
      </w:r>
      <w:r>
        <w:rPr>
          <w:rFonts w:ascii="Times New Roman" w:hAnsi="Times New Roman"/>
          <w:kern w:val="0"/>
          <w:sz w:val="24"/>
          <w:szCs w:val="24"/>
        </w:rPr>
        <w:t>；按</w:t>
      </w:r>
      <w:r>
        <w:rPr>
          <w:rFonts w:ascii="Times New Roman" w:hAnsi="Times New Roman"/>
          <w:kern w:val="0"/>
          <w:sz w:val="24"/>
          <w:szCs w:val="24"/>
        </w:rPr>
        <w:t>0.21%</w:t>
      </w:r>
      <w:r>
        <w:rPr>
          <w:rFonts w:ascii="Times New Roman" w:hAnsi="Times New Roman"/>
          <w:kern w:val="0"/>
          <w:sz w:val="24"/>
          <w:szCs w:val="24"/>
        </w:rPr>
        <w:t>计。</w:t>
      </w:r>
    </w:p>
    <w:p w:rsidR="00525419" w:rsidRDefault="00EE1CF7">
      <w:pPr>
        <w:widowControl/>
        <w:spacing w:line="360" w:lineRule="auto"/>
        <w:ind w:firstLineChars="233" w:firstLine="559"/>
        <w:jc w:val="left"/>
        <w:rPr>
          <w:rFonts w:ascii="Times New Roman" w:hAnsi="Times New Roman"/>
          <w:kern w:val="0"/>
          <w:sz w:val="24"/>
          <w:szCs w:val="24"/>
        </w:rPr>
      </w:pPr>
      <w:r>
        <w:rPr>
          <w:rFonts w:ascii="Times New Roman" w:hAnsi="Times New Roman"/>
          <w:kern w:val="0"/>
          <w:sz w:val="24"/>
          <w:szCs w:val="24"/>
        </w:rPr>
        <w:t>则</w:t>
      </w:r>
      <w:r>
        <w:rPr>
          <w:rFonts w:ascii="Times New Roman" w:hAnsi="Times New Roman"/>
          <w:kern w:val="0"/>
          <w:sz w:val="24"/>
          <w:szCs w:val="24"/>
        </w:rPr>
        <w:t>SO</w:t>
      </w:r>
      <w:r>
        <w:rPr>
          <w:rFonts w:ascii="Times New Roman" w:hAnsi="Times New Roman"/>
          <w:kern w:val="0"/>
          <w:sz w:val="24"/>
          <w:szCs w:val="24"/>
          <w:vertAlign w:val="subscript"/>
        </w:rPr>
        <w:t>2</w:t>
      </w:r>
      <w:r>
        <w:rPr>
          <w:rFonts w:ascii="Times New Roman" w:hAnsi="Times New Roman"/>
          <w:kern w:val="0"/>
          <w:sz w:val="24"/>
          <w:szCs w:val="24"/>
        </w:rPr>
        <w:t>排放速率为</w:t>
      </w:r>
      <w:r>
        <w:rPr>
          <w:rFonts w:ascii="Times New Roman" w:hAnsi="Times New Roman"/>
          <w:kern w:val="0"/>
          <w:sz w:val="24"/>
          <w:szCs w:val="24"/>
        </w:rPr>
        <w:t>30.24kg/h</w:t>
      </w:r>
      <w:r>
        <w:rPr>
          <w:rFonts w:ascii="Times New Roman" w:hAnsi="Times New Roman"/>
          <w:kern w:val="0"/>
          <w:sz w:val="24"/>
          <w:szCs w:val="24"/>
        </w:rPr>
        <w:t>（</w:t>
      </w:r>
      <w:r>
        <w:rPr>
          <w:rFonts w:ascii="Times New Roman" w:hAnsi="Times New Roman"/>
          <w:kern w:val="0"/>
          <w:sz w:val="24"/>
          <w:szCs w:val="24"/>
        </w:rPr>
        <w:t>0.0084kg/s</w:t>
      </w:r>
      <w:r>
        <w:rPr>
          <w:rFonts w:ascii="Times New Roman" w:hAnsi="Times New Roman"/>
          <w:kern w:val="0"/>
          <w:sz w:val="24"/>
          <w:szCs w:val="24"/>
        </w:rPr>
        <w:t>）。</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②CO</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火灾伴生</w:t>
      </w:r>
      <w:r>
        <w:rPr>
          <w:rFonts w:ascii="Times New Roman" w:hAnsi="Times New Roman"/>
          <w:kern w:val="0"/>
          <w:sz w:val="24"/>
          <w:szCs w:val="24"/>
        </w:rPr>
        <w:t>/</w:t>
      </w:r>
      <w:r>
        <w:rPr>
          <w:rFonts w:ascii="Times New Roman" w:hAnsi="Times New Roman"/>
          <w:kern w:val="0"/>
          <w:sz w:val="24"/>
          <w:szCs w:val="24"/>
        </w:rPr>
        <w:t>次生一氧化碳产生量按公式</w:t>
      </w:r>
      <w:r>
        <w:rPr>
          <w:rFonts w:ascii="Times New Roman" w:hAnsi="Times New Roman"/>
          <w:kern w:val="0"/>
          <w:sz w:val="24"/>
          <w:szCs w:val="24"/>
        </w:rPr>
        <w:t>G</w:t>
      </w:r>
      <w:r>
        <w:rPr>
          <w:rFonts w:ascii="Times New Roman" w:hAnsi="Times New Roman"/>
          <w:kern w:val="0"/>
          <w:sz w:val="24"/>
          <w:szCs w:val="24"/>
          <w:vertAlign w:val="subscript"/>
        </w:rPr>
        <w:t>一氧化碳</w:t>
      </w:r>
      <w:r>
        <w:rPr>
          <w:rFonts w:ascii="Times New Roman" w:hAnsi="Times New Roman"/>
          <w:kern w:val="0"/>
          <w:sz w:val="24"/>
          <w:szCs w:val="24"/>
        </w:rPr>
        <w:t>=2330qCQ</w:t>
      </w:r>
      <w:r>
        <w:rPr>
          <w:rFonts w:ascii="Times New Roman" w:hAnsi="Times New Roman"/>
          <w:kern w:val="0"/>
          <w:sz w:val="24"/>
          <w:szCs w:val="24"/>
        </w:rPr>
        <w:t>计算：</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其中，</w:t>
      </w:r>
      <w:r>
        <w:rPr>
          <w:rFonts w:ascii="Times New Roman" w:hAnsi="Times New Roman"/>
          <w:kern w:val="0"/>
          <w:sz w:val="24"/>
          <w:szCs w:val="24"/>
        </w:rPr>
        <w:t>G</w:t>
      </w:r>
      <w:r>
        <w:rPr>
          <w:rFonts w:ascii="Times New Roman" w:hAnsi="Times New Roman"/>
          <w:kern w:val="0"/>
          <w:sz w:val="24"/>
          <w:szCs w:val="24"/>
          <w:vertAlign w:val="subscript"/>
        </w:rPr>
        <w:t>一氧化碳</w:t>
      </w:r>
      <w:r>
        <w:rPr>
          <w:rFonts w:ascii="Times New Roman" w:hAnsi="Times New Roman"/>
          <w:kern w:val="0"/>
          <w:sz w:val="24"/>
          <w:szCs w:val="24"/>
        </w:rPr>
        <w:t>—</w:t>
      </w:r>
      <w:r>
        <w:rPr>
          <w:rFonts w:ascii="Times New Roman" w:hAnsi="Times New Roman"/>
          <w:kern w:val="0"/>
          <w:sz w:val="24"/>
          <w:szCs w:val="24"/>
        </w:rPr>
        <w:t>一氧化碳产生量，</w:t>
      </w:r>
      <w:r>
        <w:rPr>
          <w:rFonts w:ascii="Times New Roman" w:hAnsi="Times New Roman"/>
          <w:kern w:val="0"/>
          <w:sz w:val="24"/>
          <w:szCs w:val="24"/>
        </w:rPr>
        <w:t>kg/s</w:t>
      </w:r>
      <w:r>
        <w:rPr>
          <w:rFonts w:ascii="Times New Roman" w:hAnsi="Times New Roman"/>
          <w:kern w:val="0"/>
          <w:sz w:val="24"/>
          <w:szCs w:val="24"/>
        </w:rPr>
        <w:t>；</w:t>
      </w:r>
    </w:p>
    <w:p w:rsidR="00525419" w:rsidRDefault="00EE1CF7">
      <w:pPr>
        <w:widowControl/>
        <w:spacing w:line="360" w:lineRule="auto"/>
        <w:ind w:firstLineChars="500" w:firstLine="1200"/>
        <w:jc w:val="left"/>
        <w:rPr>
          <w:rFonts w:ascii="Times New Roman" w:hAnsi="Times New Roman"/>
          <w:kern w:val="0"/>
          <w:sz w:val="24"/>
          <w:szCs w:val="24"/>
        </w:rPr>
      </w:pPr>
      <w:r>
        <w:rPr>
          <w:rFonts w:ascii="Times New Roman" w:hAnsi="Times New Roman"/>
          <w:kern w:val="0"/>
          <w:sz w:val="24"/>
          <w:szCs w:val="24"/>
        </w:rPr>
        <w:t>C—</w:t>
      </w:r>
      <w:r>
        <w:rPr>
          <w:rFonts w:ascii="Times New Roman" w:hAnsi="Times New Roman"/>
          <w:kern w:val="0"/>
          <w:sz w:val="24"/>
          <w:szCs w:val="24"/>
        </w:rPr>
        <w:t>物质中的碳含量，取</w:t>
      </w:r>
      <w:r>
        <w:rPr>
          <w:rFonts w:ascii="Times New Roman" w:hAnsi="Times New Roman"/>
          <w:kern w:val="0"/>
          <w:sz w:val="24"/>
          <w:szCs w:val="24"/>
        </w:rPr>
        <w:t>85%</w:t>
      </w:r>
      <w:r>
        <w:rPr>
          <w:rFonts w:ascii="Times New Roman" w:hAnsi="Times New Roman"/>
          <w:kern w:val="0"/>
          <w:sz w:val="24"/>
          <w:szCs w:val="24"/>
        </w:rPr>
        <w:t>；</w:t>
      </w:r>
    </w:p>
    <w:p w:rsidR="00525419" w:rsidRDefault="00EE1CF7">
      <w:pPr>
        <w:widowControl/>
        <w:spacing w:line="360" w:lineRule="auto"/>
        <w:ind w:firstLineChars="500" w:firstLine="1200"/>
        <w:jc w:val="left"/>
        <w:rPr>
          <w:rFonts w:ascii="Times New Roman" w:hAnsi="Times New Roman"/>
          <w:kern w:val="0"/>
          <w:sz w:val="24"/>
          <w:szCs w:val="24"/>
        </w:rPr>
      </w:pPr>
      <w:r>
        <w:rPr>
          <w:rFonts w:ascii="Times New Roman" w:hAnsi="Times New Roman"/>
          <w:kern w:val="0"/>
          <w:sz w:val="24"/>
          <w:szCs w:val="24"/>
        </w:rPr>
        <w:t>q—</w:t>
      </w:r>
      <w:r>
        <w:rPr>
          <w:rFonts w:ascii="Times New Roman" w:hAnsi="Times New Roman"/>
          <w:kern w:val="0"/>
          <w:sz w:val="24"/>
          <w:szCs w:val="24"/>
        </w:rPr>
        <w:t>化学不完全燃烧值，取</w:t>
      </w:r>
      <w:r>
        <w:rPr>
          <w:rFonts w:ascii="Times New Roman" w:hAnsi="Times New Roman"/>
          <w:kern w:val="0"/>
          <w:sz w:val="24"/>
          <w:szCs w:val="24"/>
        </w:rPr>
        <w:t>1.5%-6.0%</w:t>
      </w:r>
      <w:r>
        <w:rPr>
          <w:rFonts w:ascii="Times New Roman" w:hAnsi="Times New Roman"/>
          <w:kern w:val="0"/>
          <w:sz w:val="24"/>
          <w:szCs w:val="24"/>
        </w:rPr>
        <w:t>；本次取</w:t>
      </w:r>
      <w:r>
        <w:rPr>
          <w:rFonts w:ascii="Times New Roman" w:hAnsi="Times New Roman"/>
          <w:kern w:val="0"/>
          <w:sz w:val="24"/>
          <w:szCs w:val="24"/>
        </w:rPr>
        <w:t>4.0%</w:t>
      </w:r>
      <w:r>
        <w:rPr>
          <w:rFonts w:ascii="Times New Roman" w:hAnsi="Times New Roman" w:hint="eastAsia"/>
          <w:kern w:val="0"/>
          <w:sz w:val="24"/>
          <w:szCs w:val="24"/>
        </w:rPr>
        <w:t>；</w:t>
      </w:r>
    </w:p>
    <w:p w:rsidR="00525419" w:rsidRDefault="00EE1CF7">
      <w:pPr>
        <w:widowControl/>
        <w:spacing w:line="360" w:lineRule="auto"/>
        <w:ind w:firstLineChars="500" w:firstLine="1200"/>
        <w:jc w:val="left"/>
        <w:rPr>
          <w:rFonts w:ascii="Times New Roman" w:hAnsi="Times New Roman"/>
          <w:kern w:val="0"/>
          <w:sz w:val="24"/>
          <w:szCs w:val="24"/>
        </w:rPr>
      </w:pPr>
      <w:r>
        <w:rPr>
          <w:rFonts w:ascii="Times New Roman" w:hAnsi="Times New Roman"/>
          <w:kern w:val="0"/>
          <w:sz w:val="24"/>
          <w:szCs w:val="24"/>
        </w:rPr>
        <w:t>Q—</w:t>
      </w:r>
      <w:r>
        <w:rPr>
          <w:rFonts w:ascii="Times New Roman" w:hAnsi="Times New Roman"/>
          <w:kern w:val="0"/>
          <w:sz w:val="24"/>
          <w:szCs w:val="24"/>
        </w:rPr>
        <w:t>参与燃烧的物质量，</w:t>
      </w:r>
      <w:r>
        <w:rPr>
          <w:rFonts w:ascii="Times New Roman" w:hAnsi="Times New Roman"/>
          <w:kern w:val="0"/>
          <w:sz w:val="24"/>
          <w:szCs w:val="24"/>
        </w:rPr>
        <w:t>t/s</w:t>
      </w:r>
      <w:r>
        <w:rPr>
          <w:rFonts w:ascii="Times New Roman" w:hAnsi="Times New Roman"/>
          <w:kern w:val="0"/>
          <w:sz w:val="24"/>
          <w:szCs w:val="24"/>
        </w:rPr>
        <w:t>；按</w:t>
      </w:r>
      <w:r>
        <w:rPr>
          <w:rFonts w:ascii="Times New Roman" w:hAnsi="Times New Roman"/>
          <w:kern w:val="0"/>
          <w:sz w:val="24"/>
          <w:szCs w:val="24"/>
        </w:rPr>
        <w:t>5.4×10</w:t>
      </w:r>
      <w:r>
        <w:rPr>
          <w:rFonts w:ascii="Times New Roman" w:hAnsi="Times New Roman"/>
          <w:kern w:val="0"/>
          <w:sz w:val="24"/>
          <w:szCs w:val="24"/>
          <w:vertAlign w:val="superscript"/>
        </w:rPr>
        <w:t>-4</w:t>
      </w:r>
      <w:r>
        <w:rPr>
          <w:rFonts w:ascii="Times New Roman" w:hAnsi="Times New Roman"/>
          <w:kern w:val="0"/>
          <w:sz w:val="24"/>
          <w:szCs w:val="24"/>
        </w:rPr>
        <w:t>t/s</w:t>
      </w:r>
      <w:r>
        <w:rPr>
          <w:rFonts w:ascii="Times New Roman" w:hAnsi="Times New Roman"/>
          <w:kern w:val="0"/>
          <w:sz w:val="24"/>
          <w:szCs w:val="24"/>
        </w:rPr>
        <w:t>计（泄漏出的煤焦油全部燃烧），则</w:t>
      </w:r>
      <w:r>
        <w:rPr>
          <w:rFonts w:ascii="Times New Roman" w:hAnsi="Times New Roman"/>
          <w:kern w:val="0"/>
          <w:sz w:val="24"/>
          <w:szCs w:val="24"/>
        </w:rPr>
        <w:t>CO</w:t>
      </w:r>
      <w:r>
        <w:rPr>
          <w:rFonts w:ascii="Times New Roman" w:hAnsi="Times New Roman"/>
          <w:kern w:val="0"/>
          <w:sz w:val="24"/>
          <w:szCs w:val="24"/>
        </w:rPr>
        <w:t>产生量为</w:t>
      </w:r>
      <w:r>
        <w:rPr>
          <w:rFonts w:ascii="Times New Roman" w:hAnsi="Times New Roman"/>
          <w:kern w:val="0"/>
          <w:sz w:val="24"/>
          <w:szCs w:val="24"/>
        </w:rPr>
        <w:t>0.043kg/s</w:t>
      </w:r>
      <w:r>
        <w:rPr>
          <w:rFonts w:ascii="Times New Roman" w:hAnsi="Times New Roman"/>
          <w:kern w:val="0"/>
          <w:sz w:val="24"/>
          <w:szCs w:val="24"/>
        </w:rPr>
        <w:t>。</w:t>
      </w:r>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5.6.4</w:t>
      </w:r>
      <w:r>
        <w:rPr>
          <w:rFonts w:ascii="Times New Roman" w:eastAsia="华文楷体" w:hAnsi="Times New Roman"/>
        </w:rPr>
        <w:t>风险预测与评价</w:t>
      </w:r>
    </w:p>
    <w:p w:rsidR="00525419" w:rsidRDefault="00EE1CF7">
      <w:pPr>
        <w:pStyle w:val="B1"/>
        <w:ind w:firstLine="480"/>
        <w:rPr>
          <w:rFonts w:cs="Times New Roman"/>
        </w:rPr>
      </w:pPr>
      <w:r>
        <w:rPr>
          <w:rFonts w:cs="Times New Roman"/>
        </w:rPr>
        <w:t>本节着重对大气环境风险进行预测与评价，地下水环境风险分析见第</w:t>
      </w:r>
      <w:r>
        <w:rPr>
          <w:rFonts w:cs="Times New Roman"/>
        </w:rPr>
        <w:t>5.2.2</w:t>
      </w:r>
      <w:r>
        <w:rPr>
          <w:rFonts w:cs="Times New Roman"/>
        </w:rPr>
        <w:t>章节。</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5.6.5.1</w:t>
      </w:r>
      <w:r>
        <w:rPr>
          <w:rFonts w:ascii="Times New Roman" w:hAnsi="Times New Roman" w:cs="Times New Roman"/>
          <w:kern w:val="44"/>
          <w:sz w:val="24"/>
          <w:szCs w:val="24"/>
        </w:rPr>
        <w:t>预测模型筛选</w:t>
      </w:r>
    </w:p>
    <w:p w:rsidR="00525419" w:rsidRDefault="00EE1CF7">
      <w:pPr>
        <w:spacing w:line="480" w:lineRule="exact"/>
        <w:ind w:firstLineChars="200" w:firstLine="482"/>
        <w:rPr>
          <w:rFonts w:ascii="Times New Roman" w:hAnsi="Times New Roman"/>
          <w:b/>
          <w:bCs/>
          <w:sz w:val="24"/>
          <w:szCs w:val="24"/>
        </w:rPr>
      </w:pPr>
      <w:r>
        <w:rPr>
          <w:rFonts w:ascii="Times New Roman" w:hAnsi="Times New Roman"/>
          <w:b/>
          <w:bCs/>
          <w:sz w:val="24"/>
          <w:szCs w:val="24"/>
        </w:rPr>
        <w:t>（</w:t>
      </w:r>
      <w:r>
        <w:rPr>
          <w:rFonts w:ascii="Times New Roman" w:hAnsi="Times New Roman"/>
          <w:b/>
          <w:bCs/>
          <w:sz w:val="24"/>
          <w:szCs w:val="24"/>
        </w:rPr>
        <w:t>1</w:t>
      </w:r>
      <w:r>
        <w:rPr>
          <w:rFonts w:ascii="Times New Roman" w:hAnsi="Times New Roman"/>
          <w:b/>
          <w:bCs/>
          <w:sz w:val="24"/>
          <w:szCs w:val="24"/>
        </w:rPr>
        <w:t>）排放形式的确定</w:t>
      </w:r>
    </w:p>
    <w:p w:rsidR="00525419" w:rsidRDefault="00EE1CF7">
      <w:pPr>
        <w:spacing w:line="480" w:lineRule="exact"/>
        <w:ind w:firstLineChars="200" w:firstLine="480"/>
        <w:rPr>
          <w:rFonts w:ascii="Times New Roman" w:hAnsi="Times New Roman"/>
          <w:sz w:val="24"/>
          <w:szCs w:val="24"/>
        </w:rPr>
      </w:pPr>
      <w:r>
        <w:rPr>
          <w:rFonts w:ascii="Times New Roman" w:hAnsi="Times New Roman"/>
          <w:sz w:val="24"/>
          <w:szCs w:val="24"/>
        </w:rPr>
        <w:t>根据导则，判定连续排放还是瞬时排放，可以通过对比排放时间</w:t>
      </w:r>
      <w:r>
        <w:rPr>
          <w:rFonts w:ascii="Times New Roman" w:hAnsi="Times New Roman"/>
          <w:sz w:val="24"/>
          <w:szCs w:val="24"/>
        </w:rPr>
        <w:t>T</w:t>
      </w:r>
      <w:r>
        <w:rPr>
          <w:rFonts w:ascii="Times New Roman" w:hAnsi="Times New Roman"/>
          <w:sz w:val="24"/>
          <w:szCs w:val="24"/>
          <w:vertAlign w:val="subscript"/>
        </w:rPr>
        <w:t>d</w:t>
      </w:r>
      <w:r>
        <w:rPr>
          <w:rFonts w:ascii="Times New Roman" w:hAnsi="Times New Roman"/>
          <w:sz w:val="24"/>
          <w:szCs w:val="24"/>
        </w:rPr>
        <w:t>和污染物到达最近的受体点（网格点或敏感点）的时间</w:t>
      </w:r>
      <w:r>
        <w:rPr>
          <w:rFonts w:ascii="Times New Roman" w:hAnsi="Times New Roman"/>
          <w:sz w:val="24"/>
          <w:szCs w:val="24"/>
        </w:rPr>
        <w:t>T</w:t>
      </w:r>
      <w:r>
        <w:rPr>
          <w:rFonts w:ascii="Times New Roman" w:hAnsi="Times New Roman"/>
          <w:sz w:val="24"/>
          <w:szCs w:val="24"/>
        </w:rPr>
        <w:t>确定。</w:t>
      </w:r>
    </w:p>
    <w:p w:rsidR="00525419" w:rsidRDefault="00EE1CF7">
      <w:pPr>
        <w:autoSpaceDE w:val="0"/>
        <w:autoSpaceDN w:val="0"/>
        <w:adjustRightInd w:val="0"/>
        <w:spacing w:line="500" w:lineRule="exact"/>
        <w:ind w:firstLineChars="600" w:firstLine="1440"/>
        <w:jc w:val="center"/>
        <w:rPr>
          <w:rFonts w:ascii="Times New Roman" w:hAnsi="Times New Roman"/>
          <w:kern w:val="0"/>
          <w:sz w:val="24"/>
          <w:szCs w:val="24"/>
        </w:rPr>
      </w:pPr>
      <w:r>
        <w:rPr>
          <w:rFonts w:ascii="Times New Roman" w:hAnsi="Times New Roman"/>
          <w:kern w:val="0"/>
          <w:sz w:val="24"/>
          <w:szCs w:val="24"/>
        </w:rPr>
        <w:t>T=2X/U</w:t>
      </w:r>
      <w:r>
        <w:rPr>
          <w:rFonts w:ascii="Times New Roman" w:hAnsi="Times New Roman"/>
          <w:kern w:val="0"/>
          <w:sz w:val="24"/>
          <w:szCs w:val="24"/>
          <w:vertAlign w:val="subscript"/>
        </w:rPr>
        <w:t>r</w:t>
      </w:r>
    </w:p>
    <w:p w:rsidR="00525419" w:rsidRDefault="00EE1CF7">
      <w:pPr>
        <w:autoSpaceDE w:val="0"/>
        <w:autoSpaceDN w:val="0"/>
        <w:adjustRightInd w:val="0"/>
        <w:spacing w:line="500" w:lineRule="exact"/>
        <w:ind w:firstLineChars="200" w:firstLine="480"/>
        <w:rPr>
          <w:rFonts w:ascii="Times New Roman" w:hAnsi="Times New Roman"/>
          <w:kern w:val="0"/>
          <w:sz w:val="24"/>
          <w:szCs w:val="24"/>
        </w:rPr>
      </w:pPr>
      <w:r>
        <w:rPr>
          <w:rFonts w:ascii="Times New Roman" w:hAnsi="Times New Roman"/>
          <w:kern w:val="0"/>
          <w:sz w:val="24"/>
          <w:szCs w:val="24"/>
        </w:rPr>
        <w:t>式中：</w:t>
      </w:r>
      <w:r>
        <w:rPr>
          <w:rFonts w:ascii="Times New Roman" w:hAnsi="Times New Roman"/>
          <w:kern w:val="0"/>
          <w:sz w:val="24"/>
          <w:szCs w:val="24"/>
        </w:rPr>
        <w:t>X——</w:t>
      </w:r>
      <w:r>
        <w:rPr>
          <w:rFonts w:ascii="Times New Roman" w:hAnsi="Times New Roman"/>
          <w:kern w:val="0"/>
          <w:sz w:val="24"/>
          <w:szCs w:val="24"/>
        </w:rPr>
        <w:t>事故发生地与计算点的距离，</w:t>
      </w:r>
      <w:r>
        <w:rPr>
          <w:rFonts w:ascii="Times New Roman" w:hAnsi="Times New Roman"/>
          <w:kern w:val="0"/>
          <w:sz w:val="24"/>
          <w:szCs w:val="24"/>
        </w:rPr>
        <w:t>m</w:t>
      </w:r>
      <w:r>
        <w:rPr>
          <w:rFonts w:ascii="Times New Roman" w:hAnsi="Times New Roman"/>
          <w:kern w:val="0"/>
          <w:sz w:val="24"/>
          <w:szCs w:val="24"/>
        </w:rPr>
        <w:t>；</w:t>
      </w:r>
    </w:p>
    <w:p w:rsidR="00525419" w:rsidRDefault="00EE1CF7">
      <w:pPr>
        <w:autoSpaceDE w:val="0"/>
        <w:autoSpaceDN w:val="0"/>
        <w:adjustRightInd w:val="0"/>
        <w:spacing w:line="500" w:lineRule="exact"/>
        <w:ind w:firstLineChars="500" w:firstLine="1200"/>
        <w:rPr>
          <w:rFonts w:ascii="Times New Roman" w:hAnsi="Times New Roman"/>
          <w:kern w:val="0"/>
          <w:sz w:val="24"/>
          <w:szCs w:val="24"/>
        </w:rPr>
      </w:pPr>
      <w:r>
        <w:rPr>
          <w:rFonts w:ascii="Times New Roman" w:hAnsi="Times New Roman"/>
          <w:kern w:val="0"/>
          <w:sz w:val="24"/>
          <w:szCs w:val="24"/>
        </w:rPr>
        <w:t>U</w:t>
      </w:r>
      <w:r>
        <w:rPr>
          <w:rFonts w:ascii="Times New Roman" w:hAnsi="Times New Roman"/>
          <w:kern w:val="0"/>
          <w:sz w:val="24"/>
          <w:szCs w:val="24"/>
          <w:vertAlign w:val="subscript"/>
        </w:rPr>
        <w:t>r</w:t>
      </w:r>
      <w:r>
        <w:rPr>
          <w:rFonts w:ascii="Times New Roman" w:hAnsi="Times New Roman"/>
          <w:kern w:val="0"/>
          <w:sz w:val="24"/>
          <w:szCs w:val="24"/>
        </w:rPr>
        <w:t>——10m</w:t>
      </w:r>
      <w:r>
        <w:rPr>
          <w:rFonts w:ascii="Times New Roman" w:hAnsi="Times New Roman"/>
          <w:kern w:val="0"/>
          <w:sz w:val="24"/>
          <w:szCs w:val="24"/>
        </w:rPr>
        <w:t>高处风速，</w:t>
      </w:r>
      <w:r>
        <w:rPr>
          <w:rFonts w:ascii="Times New Roman" w:hAnsi="Times New Roman"/>
          <w:kern w:val="0"/>
          <w:sz w:val="24"/>
          <w:szCs w:val="24"/>
        </w:rPr>
        <w:t>m/s</w:t>
      </w:r>
      <w:r>
        <w:rPr>
          <w:rFonts w:ascii="Times New Roman" w:hAnsi="Times New Roman"/>
          <w:kern w:val="0"/>
          <w:sz w:val="24"/>
          <w:szCs w:val="24"/>
        </w:rPr>
        <w:t>，取</w:t>
      </w:r>
      <w:r>
        <w:rPr>
          <w:rFonts w:ascii="Times New Roman" w:hAnsi="Times New Roman"/>
          <w:kern w:val="0"/>
          <w:sz w:val="24"/>
          <w:szCs w:val="24"/>
        </w:rPr>
        <w:t>1.62m/s</w:t>
      </w:r>
      <w:r>
        <w:rPr>
          <w:rFonts w:ascii="Times New Roman" w:hAnsi="Times New Roman"/>
          <w:kern w:val="0"/>
          <w:sz w:val="24"/>
          <w:szCs w:val="24"/>
        </w:rPr>
        <w:t>。</w:t>
      </w:r>
    </w:p>
    <w:p w:rsidR="00525419" w:rsidRDefault="00EE1CF7">
      <w:pPr>
        <w:adjustRightInd w:val="0"/>
        <w:spacing w:line="500" w:lineRule="exact"/>
        <w:ind w:firstLineChars="200" w:firstLine="480"/>
        <w:rPr>
          <w:rFonts w:ascii="Times New Roman" w:hAnsi="Times New Roman"/>
          <w:sz w:val="24"/>
          <w:szCs w:val="24"/>
        </w:rPr>
      </w:pPr>
      <w:r>
        <w:rPr>
          <w:rFonts w:ascii="Times New Roman" w:hAnsi="Times New Roman"/>
          <w:kern w:val="0"/>
          <w:sz w:val="24"/>
          <w:szCs w:val="24"/>
        </w:rPr>
        <w:lastRenderedPageBreak/>
        <w:t>当</w:t>
      </w:r>
      <w:r>
        <w:rPr>
          <w:rFonts w:ascii="Times New Roman" w:hAnsi="Times New Roman"/>
          <w:kern w:val="0"/>
          <w:sz w:val="24"/>
          <w:szCs w:val="24"/>
        </w:rPr>
        <w:t>T</w:t>
      </w:r>
      <w:r>
        <w:rPr>
          <w:rFonts w:ascii="Times New Roman" w:hAnsi="Times New Roman"/>
          <w:kern w:val="0"/>
          <w:sz w:val="24"/>
          <w:szCs w:val="24"/>
          <w:vertAlign w:val="subscript"/>
        </w:rPr>
        <w:t>d</w:t>
      </w:r>
      <w:r>
        <w:rPr>
          <w:rFonts w:ascii="Times New Roman" w:hAnsi="Times New Roman"/>
          <w:kern w:val="0"/>
          <w:sz w:val="24"/>
          <w:szCs w:val="24"/>
        </w:rPr>
        <w:t>＞</w:t>
      </w:r>
      <w:r>
        <w:rPr>
          <w:rFonts w:ascii="Times New Roman" w:hAnsi="Times New Roman"/>
          <w:kern w:val="0"/>
          <w:sz w:val="24"/>
          <w:szCs w:val="24"/>
        </w:rPr>
        <w:t>T</w:t>
      </w:r>
      <w:r>
        <w:rPr>
          <w:rFonts w:ascii="Times New Roman" w:hAnsi="Times New Roman"/>
          <w:kern w:val="0"/>
          <w:sz w:val="24"/>
          <w:szCs w:val="24"/>
        </w:rPr>
        <w:t>时，可被认为是连续排放的；当</w:t>
      </w:r>
      <w:r>
        <w:rPr>
          <w:rFonts w:ascii="Times New Roman" w:hAnsi="Times New Roman"/>
          <w:kern w:val="0"/>
          <w:sz w:val="24"/>
          <w:szCs w:val="24"/>
        </w:rPr>
        <w:t>Td≤T</w:t>
      </w:r>
      <w:r>
        <w:rPr>
          <w:rFonts w:ascii="Times New Roman" w:hAnsi="Times New Roman"/>
          <w:kern w:val="0"/>
          <w:sz w:val="24"/>
          <w:szCs w:val="24"/>
        </w:rPr>
        <w:t>时，可被认为是瞬时排放。</w:t>
      </w:r>
    </w:p>
    <w:p w:rsidR="00525419" w:rsidRDefault="00EE1CF7">
      <w:pPr>
        <w:spacing w:line="480" w:lineRule="exact"/>
        <w:ind w:firstLineChars="200" w:firstLine="480"/>
        <w:rPr>
          <w:rFonts w:ascii="Times New Roman" w:hAnsi="Times New Roman"/>
          <w:sz w:val="24"/>
          <w:szCs w:val="24"/>
        </w:rPr>
      </w:pPr>
      <w:r>
        <w:rPr>
          <w:rFonts w:ascii="Times New Roman" w:hAnsi="Times New Roman"/>
          <w:sz w:val="24"/>
          <w:szCs w:val="24"/>
        </w:rPr>
        <w:t>本项目事故情况下，污染物到达最近的敏感点（距离</w:t>
      </w:r>
      <w:r>
        <w:rPr>
          <w:rFonts w:ascii="Times New Roman" w:hAnsi="Times New Roman"/>
          <w:sz w:val="24"/>
          <w:szCs w:val="24"/>
        </w:rPr>
        <w:t>4km</w:t>
      </w:r>
      <w:r>
        <w:rPr>
          <w:rFonts w:ascii="Times New Roman" w:hAnsi="Times New Roman"/>
          <w:sz w:val="24"/>
          <w:szCs w:val="24"/>
        </w:rPr>
        <w:t>）的时间为</w:t>
      </w:r>
      <w:r>
        <w:rPr>
          <w:rFonts w:ascii="Times New Roman" w:hAnsi="Times New Roman"/>
          <w:sz w:val="24"/>
          <w:szCs w:val="24"/>
        </w:rPr>
        <w:t>4938s</w:t>
      </w:r>
      <w:r>
        <w:rPr>
          <w:rFonts w:ascii="Times New Roman" w:hAnsi="Times New Roman"/>
          <w:sz w:val="24"/>
          <w:szCs w:val="24"/>
        </w:rPr>
        <w:t>，污染物排放时间为</w:t>
      </w:r>
      <w:r>
        <w:rPr>
          <w:rFonts w:ascii="Times New Roman" w:hAnsi="Times New Roman"/>
          <w:sz w:val="24"/>
          <w:szCs w:val="24"/>
        </w:rPr>
        <w:t>600s</w:t>
      </w:r>
      <w:r>
        <w:rPr>
          <w:rFonts w:ascii="Times New Roman" w:hAnsi="Times New Roman"/>
          <w:sz w:val="24"/>
          <w:szCs w:val="24"/>
        </w:rPr>
        <w:t>，根据《建设项目环境风险评价技术导则》（</w:t>
      </w:r>
      <w:r>
        <w:rPr>
          <w:rFonts w:ascii="Times New Roman" w:hAnsi="Times New Roman"/>
          <w:sz w:val="24"/>
          <w:szCs w:val="24"/>
        </w:rPr>
        <w:t>HJ169-2018</w:t>
      </w:r>
      <w:r>
        <w:rPr>
          <w:rFonts w:ascii="Times New Roman" w:hAnsi="Times New Roman"/>
          <w:sz w:val="24"/>
          <w:szCs w:val="24"/>
        </w:rPr>
        <w:t>）附录</w:t>
      </w:r>
      <w:r>
        <w:rPr>
          <w:rFonts w:ascii="Times New Roman" w:hAnsi="Times New Roman"/>
          <w:sz w:val="24"/>
          <w:szCs w:val="24"/>
        </w:rPr>
        <w:t>G</w:t>
      </w:r>
      <w:r>
        <w:rPr>
          <w:rFonts w:ascii="Times New Roman" w:hAnsi="Times New Roman"/>
          <w:sz w:val="24"/>
          <w:szCs w:val="24"/>
        </w:rPr>
        <w:t>的规定，本项目事故情况下排放判定为瞬时排放。</w:t>
      </w:r>
    </w:p>
    <w:p w:rsidR="00525419" w:rsidRDefault="00EE1CF7">
      <w:pPr>
        <w:spacing w:line="480" w:lineRule="exact"/>
        <w:ind w:firstLineChars="200" w:firstLine="482"/>
        <w:rPr>
          <w:rFonts w:ascii="Times New Roman" w:hAnsi="Times New Roman"/>
          <w:b/>
          <w:bCs/>
          <w:sz w:val="24"/>
          <w:szCs w:val="24"/>
        </w:rPr>
      </w:pPr>
      <w:r>
        <w:rPr>
          <w:rFonts w:ascii="Times New Roman" w:hAnsi="Times New Roman"/>
          <w:b/>
          <w:bCs/>
          <w:sz w:val="24"/>
          <w:szCs w:val="24"/>
        </w:rPr>
        <w:t>（</w:t>
      </w:r>
      <w:r>
        <w:rPr>
          <w:rFonts w:ascii="Times New Roman" w:hAnsi="Times New Roman"/>
          <w:b/>
          <w:bCs/>
          <w:sz w:val="24"/>
          <w:szCs w:val="24"/>
        </w:rPr>
        <w:t>2</w:t>
      </w:r>
      <w:r>
        <w:rPr>
          <w:rFonts w:ascii="Times New Roman" w:hAnsi="Times New Roman"/>
          <w:b/>
          <w:bCs/>
          <w:sz w:val="24"/>
          <w:szCs w:val="24"/>
        </w:rPr>
        <w:t>）气体性质的确定</w:t>
      </w:r>
    </w:p>
    <w:p w:rsidR="00525419" w:rsidRDefault="00EE1CF7">
      <w:pPr>
        <w:spacing w:line="480" w:lineRule="exact"/>
        <w:ind w:firstLineChars="200" w:firstLine="480"/>
        <w:rPr>
          <w:rFonts w:ascii="Times New Roman" w:hAnsi="Times New Roman"/>
          <w:sz w:val="24"/>
          <w:szCs w:val="24"/>
        </w:rPr>
      </w:pPr>
      <w:r>
        <w:rPr>
          <w:rFonts w:ascii="Times New Roman" w:hAnsi="Times New Roman"/>
          <w:sz w:val="24"/>
          <w:szCs w:val="24"/>
        </w:rPr>
        <w:t>判定烟团</w:t>
      </w:r>
      <w:r>
        <w:rPr>
          <w:rFonts w:ascii="Times New Roman" w:hAnsi="Times New Roman"/>
          <w:sz w:val="24"/>
          <w:szCs w:val="24"/>
        </w:rPr>
        <w:t>/</w:t>
      </w:r>
      <w:r>
        <w:rPr>
          <w:rFonts w:ascii="Times New Roman" w:hAnsi="Times New Roman"/>
          <w:sz w:val="24"/>
          <w:szCs w:val="24"/>
        </w:rPr>
        <w:t>烟羽是否为重质气体，取决于它相对空气的</w:t>
      </w:r>
      <w:r>
        <w:rPr>
          <w:rFonts w:ascii="Times New Roman" w:hAnsi="Times New Roman"/>
          <w:sz w:val="24"/>
          <w:szCs w:val="24"/>
        </w:rPr>
        <w:t>“</w:t>
      </w:r>
      <w:r>
        <w:rPr>
          <w:rFonts w:ascii="Times New Roman" w:hAnsi="Times New Roman"/>
          <w:sz w:val="24"/>
          <w:szCs w:val="24"/>
        </w:rPr>
        <w:t>过剩密度</w:t>
      </w:r>
      <w:r>
        <w:rPr>
          <w:rFonts w:ascii="Times New Roman" w:hAnsi="Times New Roman"/>
          <w:sz w:val="24"/>
          <w:szCs w:val="24"/>
        </w:rPr>
        <w:t>”</w:t>
      </w:r>
      <w:r>
        <w:rPr>
          <w:rFonts w:ascii="Times New Roman" w:hAnsi="Times New Roman"/>
          <w:sz w:val="24"/>
          <w:szCs w:val="24"/>
        </w:rPr>
        <w:t>和环境条件等因素，通常采用理查德森数（</w:t>
      </w:r>
      <w:r>
        <w:rPr>
          <w:rFonts w:ascii="Times New Roman" w:hAnsi="Times New Roman"/>
          <w:sz w:val="24"/>
          <w:szCs w:val="24"/>
        </w:rPr>
        <w:t>R</w:t>
      </w:r>
      <w:r>
        <w:rPr>
          <w:rFonts w:ascii="Times New Roman" w:hAnsi="Times New Roman"/>
          <w:sz w:val="24"/>
          <w:szCs w:val="24"/>
          <w:vertAlign w:val="subscript"/>
        </w:rPr>
        <w:t>i</w:t>
      </w:r>
      <w:r>
        <w:rPr>
          <w:rFonts w:ascii="Times New Roman" w:hAnsi="Times New Roman"/>
          <w:sz w:val="24"/>
          <w:szCs w:val="24"/>
        </w:rPr>
        <w:t>）作为标准进行判定，判断标准为：对于瞬时排放，</w:t>
      </w:r>
      <w:r>
        <w:rPr>
          <w:rFonts w:ascii="Times New Roman" w:hAnsi="Times New Roman"/>
          <w:sz w:val="24"/>
          <w:szCs w:val="24"/>
        </w:rPr>
        <w:t>R</w:t>
      </w:r>
      <w:r>
        <w:rPr>
          <w:rFonts w:ascii="Times New Roman" w:hAnsi="Times New Roman"/>
          <w:sz w:val="24"/>
          <w:szCs w:val="24"/>
          <w:vertAlign w:val="subscript"/>
        </w:rPr>
        <w:t>i</w:t>
      </w:r>
      <w:r>
        <w:rPr>
          <w:rFonts w:ascii="Times New Roman" w:hAnsi="Times New Roman"/>
          <w:sz w:val="24"/>
          <w:szCs w:val="24"/>
        </w:rPr>
        <w:t>＞</w:t>
      </w:r>
      <w:r>
        <w:rPr>
          <w:rFonts w:ascii="Times New Roman" w:hAnsi="Times New Roman"/>
          <w:sz w:val="24"/>
          <w:szCs w:val="24"/>
        </w:rPr>
        <w:t>0.04</w:t>
      </w:r>
      <w:r>
        <w:rPr>
          <w:rFonts w:ascii="Times New Roman" w:hAnsi="Times New Roman"/>
          <w:sz w:val="24"/>
          <w:szCs w:val="24"/>
        </w:rPr>
        <w:t>为重质气体，</w:t>
      </w:r>
      <w:r>
        <w:rPr>
          <w:rFonts w:ascii="Times New Roman" w:hAnsi="Times New Roman"/>
          <w:sz w:val="24"/>
          <w:szCs w:val="24"/>
        </w:rPr>
        <w:t>R</w:t>
      </w:r>
      <w:r>
        <w:rPr>
          <w:rFonts w:ascii="Times New Roman" w:hAnsi="Times New Roman"/>
          <w:sz w:val="24"/>
          <w:szCs w:val="24"/>
          <w:vertAlign w:val="subscript"/>
        </w:rPr>
        <w:t>i</w:t>
      </w:r>
      <w:r>
        <w:rPr>
          <w:rFonts w:ascii="Times New Roman" w:hAnsi="Times New Roman"/>
          <w:sz w:val="24"/>
          <w:szCs w:val="24"/>
        </w:rPr>
        <w:t>≤0.04</w:t>
      </w:r>
      <w:r>
        <w:rPr>
          <w:rFonts w:ascii="Times New Roman" w:hAnsi="Times New Roman"/>
          <w:sz w:val="24"/>
          <w:szCs w:val="24"/>
        </w:rPr>
        <w:t>为轻质气体。</w:t>
      </w:r>
    </w:p>
    <w:p w:rsidR="00525419" w:rsidRDefault="00EE1CF7">
      <w:pPr>
        <w:spacing w:line="480" w:lineRule="exact"/>
        <w:ind w:firstLineChars="200" w:firstLine="480"/>
        <w:rPr>
          <w:rFonts w:ascii="Times New Roman" w:hAnsi="Times New Roman"/>
          <w:sz w:val="24"/>
          <w:szCs w:val="24"/>
        </w:rPr>
      </w:pPr>
      <w:r>
        <w:rPr>
          <w:rFonts w:ascii="Times New Roman" w:hAnsi="Times New Roman"/>
          <w:sz w:val="24"/>
          <w:szCs w:val="24"/>
        </w:rPr>
        <w:t>瞬时排放公式为：</w:t>
      </w:r>
    </w:p>
    <w:p w:rsidR="00525419" w:rsidRDefault="00EE1CF7">
      <w:pPr>
        <w:spacing w:line="360" w:lineRule="auto"/>
        <w:ind w:firstLineChars="300" w:firstLine="630"/>
        <w:jc w:val="center"/>
        <w:rPr>
          <w:rFonts w:ascii="Times New Roman" w:hAnsi="Times New Roman"/>
          <w:sz w:val="24"/>
          <w:szCs w:val="24"/>
        </w:rPr>
      </w:pPr>
      <w:r>
        <w:rPr>
          <w:rFonts w:ascii="Times New Roman" w:hAnsi="Times New Roman"/>
          <w:noProof/>
        </w:rPr>
        <w:drawing>
          <wp:inline distT="0" distB="0" distL="114300" distR="114300">
            <wp:extent cx="2061210" cy="607695"/>
            <wp:effectExtent l="0" t="0" r="15240" b="1905"/>
            <wp:docPr id="1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3"/>
                    <pic:cNvPicPr>
                      <a:picLocks noChangeAspect="1"/>
                    </pic:cNvPicPr>
                  </pic:nvPicPr>
                  <pic:blipFill>
                    <a:blip r:embed="rId43"/>
                    <a:stretch>
                      <a:fillRect/>
                    </a:stretch>
                  </pic:blipFill>
                  <pic:spPr>
                    <a:xfrm>
                      <a:off x="0" y="0"/>
                      <a:ext cx="2061210" cy="607695"/>
                    </a:xfrm>
                    <a:prstGeom prst="rect">
                      <a:avLst/>
                    </a:prstGeom>
                    <a:noFill/>
                    <a:ln>
                      <a:noFill/>
                    </a:ln>
                  </pic:spPr>
                </pic:pic>
              </a:graphicData>
            </a:graphic>
          </wp:inline>
        </w:drawing>
      </w:r>
    </w:p>
    <w:p w:rsidR="00525419" w:rsidRDefault="00EE1CF7">
      <w:pPr>
        <w:autoSpaceDE w:val="0"/>
        <w:autoSpaceDN w:val="0"/>
        <w:adjustRightInd w:val="0"/>
        <w:snapToGrid w:val="0"/>
        <w:spacing w:line="500" w:lineRule="exact"/>
        <w:ind w:firstLineChars="200" w:firstLine="480"/>
        <w:rPr>
          <w:rFonts w:ascii="Times New Roman" w:hAnsi="Times New Roman"/>
          <w:kern w:val="0"/>
          <w:sz w:val="24"/>
          <w:szCs w:val="24"/>
        </w:rPr>
      </w:pPr>
      <w:r>
        <w:rPr>
          <w:rFonts w:ascii="Times New Roman" w:hAnsi="Times New Roman"/>
          <w:kern w:val="0"/>
          <w:sz w:val="24"/>
          <w:szCs w:val="24"/>
        </w:rPr>
        <w:t>式中：</w:t>
      </w:r>
      <w:r>
        <w:rPr>
          <w:rFonts w:ascii="Times New Roman" w:hAnsi="Times New Roman"/>
          <w:kern w:val="0"/>
          <w:sz w:val="24"/>
          <w:szCs w:val="24"/>
        </w:rPr>
        <w:t>ρ</w:t>
      </w:r>
      <w:r>
        <w:rPr>
          <w:rFonts w:ascii="Times New Roman" w:hAnsi="Times New Roman"/>
          <w:kern w:val="0"/>
          <w:sz w:val="24"/>
          <w:szCs w:val="24"/>
          <w:vertAlign w:val="subscript"/>
        </w:rPr>
        <w:t>rel</w:t>
      </w:r>
      <w:r>
        <w:rPr>
          <w:rFonts w:ascii="Times New Roman" w:hAnsi="Times New Roman"/>
          <w:kern w:val="0"/>
          <w:sz w:val="24"/>
          <w:szCs w:val="24"/>
        </w:rPr>
        <w:t>——</w:t>
      </w:r>
      <w:r>
        <w:rPr>
          <w:rFonts w:ascii="Times New Roman" w:hAnsi="Times New Roman"/>
          <w:kern w:val="0"/>
          <w:sz w:val="24"/>
          <w:szCs w:val="24"/>
        </w:rPr>
        <w:t>排放物质进入大气的初始密度，</w:t>
      </w:r>
      <w:r>
        <w:rPr>
          <w:rFonts w:ascii="Times New Roman" w:hAnsi="Times New Roman"/>
          <w:kern w:val="0"/>
          <w:sz w:val="24"/>
          <w:szCs w:val="24"/>
        </w:rPr>
        <w:t>kg/m</w:t>
      </w:r>
      <w:r>
        <w:rPr>
          <w:rFonts w:ascii="Times New Roman" w:hAnsi="Times New Roman"/>
          <w:kern w:val="0"/>
          <w:sz w:val="24"/>
          <w:szCs w:val="24"/>
          <w:vertAlign w:val="superscript"/>
        </w:rPr>
        <w:t>3</w:t>
      </w:r>
      <w:r>
        <w:rPr>
          <w:rFonts w:ascii="Times New Roman" w:hAnsi="Times New Roman"/>
          <w:kern w:val="0"/>
          <w:sz w:val="24"/>
          <w:szCs w:val="24"/>
        </w:rPr>
        <w:t>。</w:t>
      </w:r>
    </w:p>
    <w:p w:rsidR="00525419" w:rsidRDefault="00EE1CF7">
      <w:pPr>
        <w:autoSpaceDE w:val="0"/>
        <w:autoSpaceDN w:val="0"/>
        <w:adjustRightInd w:val="0"/>
        <w:snapToGrid w:val="0"/>
        <w:spacing w:line="500" w:lineRule="exact"/>
        <w:ind w:firstLineChars="500" w:firstLine="1200"/>
        <w:rPr>
          <w:rFonts w:ascii="Times New Roman" w:hAnsi="Times New Roman"/>
          <w:kern w:val="0"/>
          <w:sz w:val="24"/>
          <w:szCs w:val="24"/>
        </w:rPr>
      </w:pPr>
      <w:r>
        <w:rPr>
          <w:rFonts w:ascii="Times New Roman" w:hAnsi="Times New Roman"/>
          <w:kern w:val="0"/>
          <w:sz w:val="24"/>
          <w:szCs w:val="24"/>
        </w:rPr>
        <w:t>ρ</w:t>
      </w:r>
      <w:r>
        <w:rPr>
          <w:rFonts w:ascii="Times New Roman" w:hAnsi="Times New Roman"/>
          <w:kern w:val="0"/>
          <w:sz w:val="24"/>
          <w:szCs w:val="24"/>
          <w:vertAlign w:val="subscript"/>
        </w:rPr>
        <w:t>a</w:t>
      </w:r>
      <w:r>
        <w:rPr>
          <w:rFonts w:ascii="Times New Roman" w:hAnsi="Times New Roman"/>
          <w:kern w:val="0"/>
          <w:sz w:val="24"/>
          <w:szCs w:val="24"/>
        </w:rPr>
        <w:t>——</w:t>
      </w:r>
      <w:r>
        <w:rPr>
          <w:rFonts w:ascii="Times New Roman" w:hAnsi="Times New Roman"/>
          <w:kern w:val="0"/>
          <w:sz w:val="24"/>
          <w:szCs w:val="24"/>
        </w:rPr>
        <w:t>环境空气密度，</w:t>
      </w:r>
      <w:r>
        <w:rPr>
          <w:rFonts w:ascii="Times New Roman" w:hAnsi="Times New Roman"/>
          <w:kern w:val="0"/>
          <w:sz w:val="24"/>
          <w:szCs w:val="24"/>
        </w:rPr>
        <w:t>kg/m</w:t>
      </w:r>
      <w:r>
        <w:rPr>
          <w:rFonts w:ascii="Times New Roman" w:hAnsi="Times New Roman"/>
          <w:kern w:val="0"/>
          <w:sz w:val="24"/>
          <w:szCs w:val="24"/>
          <w:vertAlign w:val="superscript"/>
        </w:rPr>
        <w:t>3</w:t>
      </w:r>
      <w:r>
        <w:rPr>
          <w:rFonts w:ascii="Times New Roman" w:hAnsi="Times New Roman"/>
          <w:kern w:val="0"/>
          <w:sz w:val="24"/>
          <w:szCs w:val="24"/>
        </w:rPr>
        <w:t>；为</w:t>
      </w:r>
      <w:r>
        <w:rPr>
          <w:rFonts w:ascii="Times New Roman" w:hAnsi="Times New Roman"/>
          <w:kern w:val="0"/>
          <w:sz w:val="24"/>
          <w:szCs w:val="24"/>
        </w:rPr>
        <w:t>1.29kg/m</w:t>
      </w:r>
      <w:r>
        <w:rPr>
          <w:rFonts w:ascii="Times New Roman" w:hAnsi="Times New Roman"/>
          <w:kern w:val="0"/>
          <w:sz w:val="24"/>
          <w:szCs w:val="24"/>
          <w:vertAlign w:val="superscript"/>
        </w:rPr>
        <w:t>3</w:t>
      </w:r>
      <w:r>
        <w:rPr>
          <w:rFonts w:ascii="Times New Roman" w:hAnsi="Times New Roman"/>
          <w:kern w:val="0"/>
          <w:sz w:val="24"/>
          <w:szCs w:val="24"/>
        </w:rPr>
        <w:t>。</w:t>
      </w:r>
    </w:p>
    <w:p w:rsidR="00525419" w:rsidRDefault="00EE1CF7">
      <w:pPr>
        <w:autoSpaceDE w:val="0"/>
        <w:autoSpaceDN w:val="0"/>
        <w:adjustRightInd w:val="0"/>
        <w:snapToGrid w:val="0"/>
        <w:spacing w:line="500" w:lineRule="exact"/>
        <w:ind w:firstLineChars="500" w:firstLine="1200"/>
        <w:rPr>
          <w:rFonts w:ascii="Times New Roman" w:hAnsi="Times New Roman"/>
          <w:kern w:val="0"/>
          <w:sz w:val="24"/>
          <w:szCs w:val="24"/>
        </w:rPr>
      </w:pPr>
      <w:r>
        <w:rPr>
          <w:rFonts w:ascii="Times New Roman" w:hAnsi="Times New Roman"/>
          <w:kern w:val="0"/>
          <w:sz w:val="24"/>
          <w:szCs w:val="24"/>
        </w:rPr>
        <w:t>Q——</w:t>
      </w:r>
      <w:r>
        <w:rPr>
          <w:rFonts w:ascii="Times New Roman" w:hAnsi="Times New Roman"/>
          <w:kern w:val="0"/>
          <w:sz w:val="24"/>
          <w:szCs w:val="24"/>
        </w:rPr>
        <w:t>连续排放烟羽的排放速率，</w:t>
      </w:r>
      <w:r>
        <w:rPr>
          <w:rFonts w:ascii="Times New Roman" w:hAnsi="Times New Roman"/>
          <w:kern w:val="0"/>
          <w:sz w:val="24"/>
          <w:szCs w:val="24"/>
        </w:rPr>
        <w:t>kg/s</w:t>
      </w:r>
      <w:r>
        <w:rPr>
          <w:rFonts w:ascii="Times New Roman" w:hAnsi="Times New Roman"/>
          <w:kern w:val="0"/>
          <w:sz w:val="24"/>
          <w:szCs w:val="24"/>
        </w:rPr>
        <w:t>。</w:t>
      </w:r>
    </w:p>
    <w:p w:rsidR="00525419" w:rsidRDefault="00EE1CF7">
      <w:pPr>
        <w:autoSpaceDE w:val="0"/>
        <w:autoSpaceDN w:val="0"/>
        <w:adjustRightInd w:val="0"/>
        <w:snapToGrid w:val="0"/>
        <w:spacing w:line="500" w:lineRule="exact"/>
        <w:ind w:firstLineChars="500" w:firstLine="1200"/>
        <w:rPr>
          <w:rFonts w:ascii="Times New Roman" w:hAnsi="Times New Roman"/>
          <w:kern w:val="0"/>
          <w:sz w:val="24"/>
          <w:szCs w:val="24"/>
        </w:rPr>
      </w:pPr>
      <w:r>
        <w:rPr>
          <w:rFonts w:ascii="Times New Roman" w:hAnsi="Times New Roman"/>
          <w:kern w:val="0"/>
          <w:sz w:val="24"/>
          <w:szCs w:val="24"/>
        </w:rPr>
        <w:t>Q</w:t>
      </w:r>
      <w:r>
        <w:rPr>
          <w:rFonts w:ascii="Times New Roman" w:hAnsi="Times New Roman"/>
          <w:kern w:val="0"/>
          <w:sz w:val="24"/>
          <w:szCs w:val="24"/>
          <w:vertAlign w:val="subscript"/>
        </w:rPr>
        <w:t>t</w:t>
      </w:r>
      <w:r>
        <w:rPr>
          <w:rFonts w:ascii="Times New Roman" w:hAnsi="Times New Roman"/>
          <w:kern w:val="0"/>
          <w:sz w:val="24"/>
          <w:szCs w:val="24"/>
        </w:rPr>
        <w:t>——</w:t>
      </w:r>
      <w:r>
        <w:rPr>
          <w:rFonts w:ascii="Times New Roman" w:hAnsi="Times New Roman"/>
          <w:kern w:val="0"/>
          <w:sz w:val="24"/>
          <w:szCs w:val="24"/>
        </w:rPr>
        <w:t>瞬时排放的物质质量，</w:t>
      </w:r>
      <w:r>
        <w:rPr>
          <w:rFonts w:ascii="Times New Roman" w:hAnsi="Times New Roman"/>
          <w:kern w:val="0"/>
          <w:sz w:val="24"/>
          <w:szCs w:val="24"/>
        </w:rPr>
        <w:t>kg</w:t>
      </w:r>
      <w:r>
        <w:rPr>
          <w:rFonts w:ascii="Times New Roman" w:hAnsi="Times New Roman"/>
          <w:kern w:val="0"/>
          <w:sz w:val="24"/>
          <w:szCs w:val="24"/>
        </w:rPr>
        <w:t>。</w:t>
      </w:r>
    </w:p>
    <w:p w:rsidR="00525419" w:rsidRDefault="00EE1CF7">
      <w:pPr>
        <w:autoSpaceDE w:val="0"/>
        <w:autoSpaceDN w:val="0"/>
        <w:adjustRightInd w:val="0"/>
        <w:snapToGrid w:val="0"/>
        <w:spacing w:line="500" w:lineRule="exact"/>
        <w:ind w:firstLineChars="500" w:firstLine="1200"/>
        <w:rPr>
          <w:rFonts w:ascii="Times New Roman" w:hAnsi="Times New Roman"/>
          <w:kern w:val="0"/>
          <w:sz w:val="24"/>
          <w:szCs w:val="24"/>
        </w:rPr>
      </w:pPr>
      <w:r>
        <w:rPr>
          <w:rFonts w:ascii="Times New Roman" w:hAnsi="Times New Roman"/>
          <w:kern w:val="0"/>
          <w:sz w:val="24"/>
          <w:szCs w:val="24"/>
        </w:rPr>
        <w:t>D</w:t>
      </w:r>
      <w:r>
        <w:rPr>
          <w:rFonts w:ascii="Times New Roman" w:hAnsi="Times New Roman"/>
          <w:kern w:val="0"/>
          <w:sz w:val="24"/>
          <w:szCs w:val="24"/>
          <w:vertAlign w:val="subscript"/>
        </w:rPr>
        <w:t>rel</w:t>
      </w:r>
      <w:r>
        <w:rPr>
          <w:rFonts w:ascii="Times New Roman" w:hAnsi="Times New Roman"/>
          <w:kern w:val="0"/>
          <w:sz w:val="24"/>
          <w:szCs w:val="24"/>
        </w:rPr>
        <w:t>——</w:t>
      </w:r>
      <w:r>
        <w:rPr>
          <w:rFonts w:ascii="Times New Roman" w:hAnsi="Times New Roman"/>
          <w:kern w:val="0"/>
          <w:sz w:val="24"/>
          <w:szCs w:val="24"/>
        </w:rPr>
        <w:t>初始的烟团宽度，即源直径，</w:t>
      </w:r>
      <w:r>
        <w:rPr>
          <w:rFonts w:ascii="Times New Roman" w:hAnsi="Times New Roman"/>
          <w:kern w:val="0"/>
          <w:sz w:val="24"/>
          <w:szCs w:val="24"/>
        </w:rPr>
        <w:t>m</w:t>
      </w:r>
      <w:r>
        <w:rPr>
          <w:rFonts w:ascii="Times New Roman" w:hAnsi="Times New Roman"/>
          <w:kern w:val="0"/>
          <w:sz w:val="24"/>
          <w:szCs w:val="24"/>
        </w:rPr>
        <w:t>。</w:t>
      </w:r>
    </w:p>
    <w:p w:rsidR="00525419" w:rsidRDefault="00EE1CF7">
      <w:pPr>
        <w:adjustRightInd w:val="0"/>
        <w:snapToGrid w:val="0"/>
        <w:spacing w:line="500" w:lineRule="exact"/>
        <w:ind w:firstLineChars="500" w:firstLine="1200"/>
        <w:rPr>
          <w:rFonts w:ascii="Times New Roman" w:hAnsi="Times New Roman"/>
          <w:sz w:val="24"/>
          <w:szCs w:val="24"/>
        </w:rPr>
      </w:pPr>
      <w:r>
        <w:rPr>
          <w:rFonts w:ascii="Times New Roman" w:hAnsi="Times New Roman"/>
          <w:kern w:val="0"/>
          <w:sz w:val="24"/>
          <w:szCs w:val="24"/>
        </w:rPr>
        <w:t>U</w:t>
      </w:r>
      <w:r>
        <w:rPr>
          <w:rFonts w:ascii="Times New Roman" w:hAnsi="Times New Roman"/>
          <w:kern w:val="0"/>
          <w:sz w:val="24"/>
          <w:szCs w:val="24"/>
          <w:vertAlign w:val="subscript"/>
        </w:rPr>
        <w:t>r</w:t>
      </w:r>
      <w:r>
        <w:rPr>
          <w:rFonts w:ascii="Times New Roman" w:hAnsi="Times New Roman"/>
          <w:kern w:val="0"/>
          <w:sz w:val="24"/>
          <w:szCs w:val="24"/>
        </w:rPr>
        <w:t>——10m</w:t>
      </w:r>
      <w:r>
        <w:rPr>
          <w:rFonts w:ascii="Times New Roman" w:hAnsi="Times New Roman"/>
          <w:kern w:val="0"/>
          <w:sz w:val="24"/>
          <w:szCs w:val="24"/>
        </w:rPr>
        <w:t>高处风速，</w:t>
      </w:r>
      <w:r>
        <w:rPr>
          <w:rFonts w:ascii="Times New Roman" w:hAnsi="Times New Roman"/>
          <w:kern w:val="0"/>
          <w:sz w:val="24"/>
          <w:szCs w:val="24"/>
        </w:rPr>
        <w:t>m/s</w:t>
      </w:r>
      <w:r>
        <w:rPr>
          <w:rFonts w:ascii="Times New Roman" w:hAnsi="Times New Roman"/>
          <w:kern w:val="0"/>
          <w:sz w:val="24"/>
          <w:szCs w:val="24"/>
        </w:rPr>
        <w:t>。</w:t>
      </w:r>
    </w:p>
    <w:p w:rsidR="00525419" w:rsidRDefault="00EE1CF7">
      <w:pPr>
        <w:pStyle w:val="B1"/>
        <w:ind w:firstLine="480"/>
        <w:rPr>
          <w:rFonts w:cs="Times New Roman"/>
        </w:rPr>
      </w:pPr>
      <w:r>
        <w:rPr>
          <w:rFonts w:cs="Times New Roman"/>
        </w:rPr>
        <w:t>经计算，本项目事故情况下排放的</w:t>
      </w:r>
      <w:r>
        <w:rPr>
          <w:rFonts w:cs="Times New Roman"/>
        </w:rPr>
        <w:t>SO</w:t>
      </w:r>
      <w:r>
        <w:rPr>
          <w:rFonts w:cs="Times New Roman"/>
          <w:vertAlign w:val="subscript"/>
        </w:rPr>
        <w:t>2</w:t>
      </w:r>
      <w:r>
        <w:rPr>
          <w:rFonts w:cs="Times New Roman"/>
        </w:rPr>
        <w:t>为重质气体，</w:t>
      </w:r>
      <w:r>
        <w:rPr>
          <w:rFonts w:cs="Times New Roman"/>
        </w:rPr>
        <w:t>CO</w:t>
      </w:r>
      <w:r>
        <w:rPr>
          <w:rFonts w:cs="Times New Roman"/>
        </w:rPr>
        <w:t>为轻质气体。</w:t>
      </w:r>
    </w:p>
    <w:p w:rsidR="00525419" w:rsidRDefault="00EE1CF7">
      <w:pPr>
        <w:spacing w:line="480" w:lineRule="exact"/>
        <w:ind w:firstLineChars="200" w:firstLine="482"/>
        <w:rPr>
          <w:rFonts w:ascii="Times New Roman" w:hAnsi="Times New Roman"/>
          <w:b/>
          <w:bCs/>
          <w:sz w:val="24"/>
          <w:szCs w:val="24"/>
        </w:rPr>
      </w:pPr>
      <w:r>
        <w:rPr>
          <w:rFonts w:ascii="Times New Roman" w:hAnsi="Times New Roman"/>
          <w:b/>
          <w:bCs/>
          <w:sz w:val="24"/>
          <w:szCs w:val="24"/>
        </w:rPr>
        <w:t>（</w:t>
      </w:r>
      <w:r>
        <w:rPr>
          <w:rFonts w:ascii="Times New Roman" w:hAnsi="Times New Roman"/>
          <w:b/>
          <w:bCs/>
          <w:sz w:val="24"/>
          <w:szCs w:val="24"/>
        </w:rPr>
        <w:t>3</w:t>
      </w:r>
      <w:r>
        <w:rPr>
          <w:rFonts w:ascii="Times New Roman" w:hAnsi="Times New Roman"/>
          <w:b/>
          <w:bCs/>
          <w:sz w:val="24"/>
          <w:szCs w:val="24"/>
        </w:rPr>
        <w:t>）预测模型的确定</w:t>
      </w:r>
    </w:p>
    <w:p w:rsidR="00525419" w:rsidRDefault="00EE1CF7">
      <w:pPr>
        <w:pStyle w:val="B1"/>
        <w:ind w:firstLine="480"/>
        <w:jc w:val="both"/>
        <w:rPr>
          <w:rFonts w:cs="Times New Roman"/>
        </w:rPr>
      </w:pPr>
      <w:r>
        <w:rPr>
          <w:rFonts w:cs="Times New Roman"/>
        </w:rPr>
        <w:t>本项目位于现有厂区内，地势平坦，事故情况下排放的</w:t>
      </w:r>
      <w:r>
        <w:rPr>
          <w:rFonts w:cs="Times New Roman"/>
        </w:rPr>
        <w:t>SO</w:t>
      </w:r>
      <w:r>
        <w:rPr>
          <w:rFonts w:cs="Times New Roman"/>
          <w:vertAlign w:val="subscript"/>
        </w:rPr>
        <w:t>2</w:t>
      </w:r>
      <w:r>
        <w:rPr>
          <w:rFonts w:cs="Times New Roman"/>
        </w:rPr>
        <w:t>为重质气体，</w:t>
      </w:r>
      <w:r>
        <w:rPr>
          <w:rFonts w:cs="Times New Roman"/>
        </w:rPr>
        <w:t>CO</w:t>
      </w:r>
      <w:r>
        <w:rPr>
          <w:rFonts w:cs="Times New Roman"/>
        </w:rPr>
        <w:t>为轻质气体，根据《建设项目环境风险评价技术导则》（</w:t>
      </w:r>
      <w:r>
        <w:rPr>
          <w:rFonts w:cs="Times New Roman"/>
        </w:rPr>
        <w:t>HJ169-2018</w:t>
      </w:r>
      <w:r>
        <w:rPr>
          <w:rFonts w:cs="Times New Roman"/>
        </w:rPr>
        <w:t>）的规定：</w:t>
      </w:r>
      <w:r>
        <w:rPr>
          <w:rFonts w:cs="Times New Roman"/>
        </w:rPr>
        <w:t>SO</w:t>
      </w:r>
      <w:r>
        <w:rPr>
          <w:rFonts w:cs="Times New Roman"/>
          <w:vertAlign w:val="subscript"/>
        </w:rPr>
        <w:t>2</w:t>
      </w:r>
      <w:r>
        <w:rPr>
          <w:rFonts w:cs="Times New Roman"/>
        </w:rPr>
        <w:t>选用</w:t>
      </w:r>
      <w:r>
        <w:rPr>
          <w:rFonts w:cs="Times New Roman"/>
        </w:rPr>
        <w:t>SLAB</w:t>
      </w:r>
      <w:r>
        <w:rPr>
          <w:rFonts w:cs="Times New Roman"/>
        </w:rPr>
        <w:t>模型进行预测，</w:t>
      </w:r>
      <w:r>
        <w:rPr>
          <w:rFonts w:cs="Times New Roman"/>
        </w:rPr>
        <w:t>CO</w:t>
      </w:r>
      <w:r>
        <w:rPr>
          <w:rFonts w:cs="Times New Roman"/>
        </w:rPr>
        <w:t>选</w:t>
      </w:r>
      <w:bookmarkStart w:id="239" w:name="_Toc528747261"/>
      <w:bookmarkStart w:id="240" w:name="_Toc532680853"/>
      <w:r>
        <w:rPr>
          <w:rFonts w:cs="Times New Roman"/>
        </w:rPr>
        <w:t>用</w:t>
      </w:r>
      <w:r>
        <w:rPr>
          <w:rFonts w:cs="Times New Roman"/>
        </w:rPr>
        <w:t>AFTOX</w:t>
      </w:r>
      <w:r>
        <w:rPr>
          <w:rFonts w:cs="Times New Roman"/>
        </w:rPr>
        <w:t>模型进行预测。</w:t>
      </w:r>
    </w:p>
    <w:bookmarkEnd w:id="239"/>
    <w:bookmarkEnd w:id="240"/>
    <w:p w:rsidR="00525419" w:rsidRDefault="00EE1CF7">
      <w:pPr>
        <w:spacing w:line="360" w:lineRule="auto"/>
        <w:ind w:firstLineChars="200" w:firstLine="482"/>
        <w:rPr>
          <w:rFonts w:ascii="Times New Roman" w:hAnsi="Times New Roman"/>
          <w:b/>
          <w:bCs/>
          <w:snapToGrid w:val="0"/>
          <w:kern w:val="24"/>
          <w:sz w:val="24"/>
          <w:szCs w:val="24"/>
        </w:rPr>
      </w:pPr>
      <w:r>
        <w:rPr>
          <w:rFonts w:ascii="Times New Roman" w:hAnsi="Times New Roman"/>
          <w:b/>
          <w:bCs/>
          <w:snapToGrid w:val="0"/>
          <w:kern w:val="24"/>
          <w:sz w:val="24"/>
          <w:szCs w:val="24"/>
        </w:rPr>
        <w:t>（</w:t>
      </w:r>
      <w:r>
        <w:rPr>
          <w:rFonts w:ascii="Times New Roman" w:hAnsi="Times New Roman"/>
          <w:b/>
          <w:bCs/>
          <w:snapToGrid w:val="0"/>
          <w:kern w:val="24"/>
          <w:sz w:val="24"/>
          <w:szCs w:val="24"/>
        </w:rPr>
        <w:t>4</w:t>
      </w:r>
      <w:r>
        <w:rPr>
          <w:rFonts w:ascii="Times New Roman" w:hAnsi="Times New Roman"/>
          <w:b/>
          <w:bCs/>
          <w:snapToGrid w:val="0"/>
          <w:kern w:val="24"/>
          <w:sz w:val="24"/>
          <w:szCs w:val="24"/>
        </w:rPr>
        <w:t>）气象参数</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本项目环境风险评价等级为一级，需选取最不利气象条件进行后果预测。最不利气象条件取</w:t>
      </w:r>
      <w:r>
        <w:rPr>
          <w:rFonts w:ascii="Times New Roman" w:hAnsi="Times New Roman"/>
          <w:kern w:val="0"/>
          <w:sz w:val="24"/>
          <w:szCs w:val="24"/>
        </w:rPr>
        <w:t>F</w:t>
      </w:r>
      <w:r>
        <w:rPr>
          <w:rFonts w:ascii="Times New Roman" w:hAnsi="Times New Roman"/>
          <w:kern w:val="0"/>
          <w:sz w:val="24"/>
          <w:szCs w:val="24"/>
        </w:rPr>
        <w:t>类稳定度，</w:t>
      </w:r>
      <w:r>
        <w:rPr>
          <w:rFonts w:ascii="Times New Roman" w:hAnsi="Times New Roman"/>
          <w:kern w:val="0"/>
          <w:sz w:val="24"/>
          <w:szCs w:val="24"/>
        </w:rPr>
        <w:t>1.62m/s</w:t>
      </w:r>
      <w:r>
        <w:rPr>
          <w:rFonts w:ascii="Times New Roman" w:hAnsi="Times New Roman"/>
          <w:kern w:val="0"/>
          <w:sz w:val="24"/>
          <w:szCs w:val="24"/>
        </w:rPr>
        <w:t>风速，温度</w:t>
      </w:r>
      <w:r>
        <w:rPr>
          <w:rFonts w:ascii="Times New Roman" w:hAnsi="Times New Roman"/>
          <w:kern w:val="0"/>
          <w:sz w:val="24"/>
          <w:szCs w:val="24"/>
        </w:rPr>
        <w:t>20℃</w:t>
      </w:r>
      <w:r>
        <w:rPr>
          <w:rFonts w:ascii="Times New Roman" w:hAnsi="Times New Roman"/>
          <w:kern w:val="0"/>
          <w:sz w:val="24"/>
          <w:szCs w:val="24"/>
        </w:rPr>
        <w:t>，相对湿度</w:t>
      </w:r>
      <w:r>
        <w:rPr>
          <w:rFonts w:ascii="Times New Roman" w:hAnsi="Times New Roman"/>
          <w:kern w:val="0"/>
          <w:sz w:val="24"/>
          <w:szCs w:val="24"/>
        </w:rPr>
        <w:t>50%</w:t>
      </w:r>
      <w:r>
        <w:rPr>
          <w:rFonts w:ascii="Times New Roman" w:hAnsi="Times New Roman"/>
          <w:kern w:val="0"/>
          <w:sz w:val="24"/>
          <w:szCs w:val="24"/>
        </w:rPr>
        <w:t>。</w:t>
      </w:r>
    </w:p>
    <w:p w:rsidR="00525419" w:rsidRDefault="00EE1CF7">
      <w:pPr>
        <w:spacing w:line="360" w:lineRule="auto"/>
        <w:ind w:firstLineChars="200" w:firstLine="482"/>
        <w:rPr>
          <w:rFonts w:ascii="Times New Roman" w:hAnsi="Times New Roman"/>
          <w:b/>
          <w:bCs/>
          <w:snapToGrid w:val="0"/>
          <w:kern w:val="24"/>
          <w:sz w:val="24"/>
          <w:szCs w:val="24"/>
        </w:rPr>
      </w:pPr>
      <w:r>
        <w:rPr>
          <w:rFonts w:ascii="Times New Roman" w:hAnsi="Times New Roman"/>
          <w:b/>
          <w:bCs/>
          <w:snapToGrid w:val="0"/>
          <w:kern w:val="24"/>
          <w:sz w:val="24"/>
          <w:szCs w:val="24"/>
        </w:rPr>
        <w:t>（</w:t>
      </w:r>
      <w:r>
        <w:rPr>
          <w:rFonts w:ascii="Times New Roman" w:hAnsi="Times New Roman"/>
          <w:b/>
          <w:bCs/>
          <w:snapToGrid w:val="0"/>
          <w:kern w:val="24"/>
          <w:sz w:val="24"/>
          <w:szCs w:val="24"/>
        </w:rPr>
        <w:t>5</w:t>
      </w:r>
      <w:r>
        <w:rPr>
          <w:rFonts w:ascii="Times New Roman" w:hAnsi="Times New Roman"/>
          <w:b/>
          <w:bCs/>
          <w:snapToGrid w:val="0"/>
          <w:kern w:val="24"/>
          <w:sz w:val="24"/>
          <w:szCs w:val="24"/>
        </w:rPr>
        <w:t>）大气毒性终点浓度值选取</w:t>
      </w:r>
    </w:p>
    <w:p w:rsidR="00525419" w:rsidRDefault="00EE1CF7">
      <w:pPr>
        <w:pStyle w:val="B1"/>
        <w:ind w:firstLine="480"/>
        <w:rPr>
          <w:rFonts w:cs="Times New Roman"/>
        </w:rPr>
      </w:pPr>
      <w:r>
        <w:rPr>
          <w:rFonts w:cs="Times New Roman"/>
        </w:rPr>
        <w:t>大气毒性终点浓度即预测评价标准，其具体选取浓度值见表</w:t>
      </w:r>
      <w:r>
        <w:rPr>
          <w:rFonts w:cs="Times New Roman"/>
        </w:rPr>
        <w:t>5.6-24</w:t>
      </w:r>
      <w:r>
        <w:rPr>
          <w:rFonts w:cs="Times New Roman"/>
        </w:rPr>
        <w:t>。</w:t>
      </w:r>
    </w:p>
    <w:p w:rsidR="00525419" w:rsidRDefault="00EE1CF7">
      <w:pPr>
        <w:ind w:firstLineChars="850" w:firstLine="1785"/>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5.6-24   </w:t>
      </w:r>
      <w:r>
        <w:rPr>
          <w:rFonts w:ascii="Times New Roman" w:eastAsia="黑体" w:hAnsi="Times New Roman"/>
          <w:szCs w:val="21"/>
        </w:rPr>
        <w:t>项目大气毒性终点浓度选取一览表</w:t>
      </w:r>
    </w:p>
    <w:tbl>
      <w:tblPr>
        <w:tblW w:w="850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15"/>
        <w:gridCol w:w="1837"/>
        <w:gridCol w:w="1699"/>
        <w:gridCol w:w="2264"/>
        <w:gridCol w:w="1890"/>
      </w:tblGrid>
      <w:tr w:rsidR="00525419">
        <w:trPr>
          <w:trHeight w:val="397"/>
        </w:trPr>
        <w:tc>
          <w:tcPr>
            <w:tcW w:w="815" w:type="dxa"/>
            <w:vAlign w:val="center"/>
          </w:tcPr>
          <w:p w:rsidR="00525419" w:rsidRDefault="00EE1CF7">
            <w:pPr>
              <w:pStyle w:val="B2"/>
              <w:rPr>
                <w:rFonts w:cs="Times New Roman"/>
              </w:rPr>
            </w:pPr>
            <w:r>
              <w:rPr>
                <w:rFonts w:cs="Times New Roman"/>
              </w:rPr>
              <w:lastRenderedPageBreak/>
              <w:t>序号</w:t>
            </w:r>
          </w:p>
        </w:tc>
        <w:tc>
          <w:tcPr>
            <w:tcW w:w="1837" w:type="dxa"/>
            <w:vAlign w:val="center"/>
          </w:tcPr>
          <w:p w:rsidR="00525419" w:rsidRDefault="00EE1CF7">
            <w:pPr>
              <w:pStyle w:val="B2"/>
              <w:rPr>
                <w:rFonts w:cs="Times New Roman"/>
              </w:rPr>
            </w:pPr>
            <w:r>
              <w:rPr>
                <w:rFonts w:cs="Times New Roman"/>
              </w:rPr>
              <w:t>物质名称</w:t>
            </w:r>
          </w:p>
        </w:tc>
        <w:tc>
          <w:tcPr>
            <w:tcW w:w="1699" w:type="dxa"/>
            <w:vAlign w:val="center"/>
          </w:tcPr>
          <w:p w:rsidR="00525419" w:rsidRDefault="00EE1CF7">
            <w:pPr>
              <w:pStyle w:val="B2"/>
              <w:rPr>
                <w:rFonts w:cs="Times New Roman"/>
              </w:rPr>
            </w:pPr>
            <w:r>
              <w:rPr>
                <w:rFonts w:cs="Times New Roman"/>
              </w:rPr>
              <w:t>CAS</w:t>
            </w:r>
            <w:r>
              <w:rPr>
                <w:rFonts w:cs="Times New Roman"/>
              </w:rPr>
              <w:t>号</w:t>
            </w:r>
          </w:p>
        </w:tc>
        <w:tc>
          <w:tcPr>
            <w:tcW w:w="2264" w:type="dxa"/>
            <w:vAlign w:val="center"/>
          </w:tcPr>
          <w:p w:rsidR="00525419" w:rsidRDefault="00EE1CF7">
            <w:pPr>
              <w:pStyle w:val="B2"/>
              <w:rPr>
                <w:rFonts w:cs="Times New Roman"/>
              </w:rPr>
            </w:pPr>
            <w:r>
              <w:rPr>
                <w:rFonts w:cs="Times New Roman"/>
              </w:rPr>
              <w:t>毒性终点浓度</w:t>
            </w:r>
            <w:r>
              <w:rPr>
                <w:rFonts w:cs="Times New Roman"/>
              </w:rPr>
              <w:t>-1/</w:t>
            </w:r>
            <w:r>
              <w:rPr>
                <w:rFonts w:cs="Times New Roman"/>
              </w:rPr>
              <w:t>（</w:t>
            </w:r>
            <w:r>
              <w:rPr>
                <w:rFonts w:cs="Times New Roman"/>
              </w:rPr>
              <w:t>mg/m</w:t>
            </w:r>
            <w:r>
              <w:rPr>
                <w:rFonts w:cs="Times New Roman"/>
                <w:vertAlign w:val="superscript"/>
              </w:rPr>
              <w:t>3</w:t>
            </w:r>
            <w:r>
              <w:rPr>
                <w:rFonts w:cs="Times New Roman"/>
              </w:rPr>
              <w:t>）</w:t>
            </w:r>
          </w:p>
        </w:tc>
        <w:tc>
          <w:tcPr>
            <w:tcW w:w="1890" w:type="dxa"/>
            <w:vAlign w:val="center"/>
          </w:tcPr>
          <w:p w:rsidR="00525419" w:rsidRDefault="00EE1CF7">
            <w:pPr>
              <w:pStyle w:val="B2"/>
              <w:rPr>
                <w:rFonts w:cs="Times New Roman"/>
              </w:rPr>
            </w:pPr>
            <w:r>
              <w:rPr>
                <w:rFonts w:cs="Times New Roman"/>
              </w:rPr>
              <w:t>毒性终点浓度</w:t>
            </w:r>
            <w:r>
              <w:rPr>
                <w:rFonts w:cs="Times New Roman"/>
              </w:rPr>
              <w:t>-2/</w:t>
            </w:r>
            <w:r>
              <w:rPr>
                <w:rFonts w:cs="Times New Roman"/>
              </w:rPr>
              <w:t>（</w:t>
            </w:r>
            <w:r>
              <w:rPr>
                <w:rFonts w:cs="Times New Roman"/>
              </w:rPr>
              <w:t>mg/m</w:t>
            </w:r>
            <w:r>
              <w:rPr>
                <w:rFonts w:cs="Times New Roman"/>
                <w:vertAlign w:val="superscript"/>
              </w:rPr>
              <w:t>3</w:t>
            </w:r>
            <w:r>
              <w:rPr>
                <w:rFonts w:cs="Times New Roman"/>
              </w:rPr>
              <w:t>）</w:t>
            </w:r>
          </w:p>
        </w:tc>
      </w:tr>
      <w:tr w:rsidR="00525419">
        <w:trPr>
          <w:trHeight w:val="397"/>
        </w:trPr>
        <w:tc>
          <w:tcPr>
            <w:tcW w:w="815" w:type="dxa"/>
            <w:vAlign w:val="center"/>
          </w:tcPr>
          <w:p w:rsidR="00525419" w:rsidRDefault="00EE1CF7">
            <w:pPr>
              <w:pStyle w:val="B2"/>
              <w:rPr>
                <w:rFonts w:cs="Times New Roman"/>
              </w:rPr>
            </w:pPr>
            <w:r>
              <w:rPr>
                <w:rFonts w:cs="Times New Roman"/>
              </w:rPr>
              <w:t>1</w:t>
            </w:r>
          </w:p>
        </w:tc>
        <w:tc>
          <w:tcPr>
            <w:tcW w:w="1837" w:type="dxa"/>
            <w:vAlign w:val="center"/>
          </w:tcPr>
          <w:p w:rsidR="00525419" w:rsidRDefault="00EE1CF7">
            <w:pPr>
              <w:pStyle w:val="B2"/>
              <w:rPr>
                <w:rFonts w:cs="Times New Roman"/>
              </w:rPr>
            </w:pPr>
            <w:r>
              <w:rPr>
                <w:rFonts w:cs="Times New Roman"/>
              </w:rPr>
              <w:t>二氧化硫</w:t>
            </w:r>
          </w:p>
        </w:tc>
        <w:tc>
          <w:tcPr>
            <w:tcW w:w="1699" w:type="dxa"/>
            <w:vAlign w:val="center"/>
          </w:tcPr>
          <w:p w:rsidR="00525419" w:rsidRDefault="00EE1CF7">
            <w:pPr>
              <w:pStyle w:val="B2"/>
              <w:rPr>
                <w:rFonts w:cs="Times New Roman"/>
              </w:rPr>
            </w:pPr>
            <w:r>
              <w:rPr>
                <w:rFonts w:cs="Times New Roman"/>
              </w:rPr>
              <w:t>7446-09-5</w:t>
            </w:r>
          </w:p>
        </w:tc>
        <w:tc>
          <w:tcPr>
            <w:tcW w:w="2264" w:type="dxa"/>
            <w:vAlign w:val="center"/>
          </w:tcPr>
          <w:p w:rsidR="00525419" w:rsidRDefault="00EE1CF7">
            <w:pPr>
              <w:pStyle w:val="B2"/>
              <w:rPr>
                <w:rFonts w:cs="Times New Roman"/>
              </w:rPr>
            </w:pPr>
            <w:r>
              <w:rPr>
                <w:rFonts w:cs="Times New Roman"/>
              </w:rPr>
              <w:t>79</w:t>
            </w:r>
          </w:p>
        </w:tc>
        <w:tc>
          <w:tcPr>
            <w:tcW w:w="1890" w:type="dxa"/>
            <w:vAlign w:val="center"/>
          </w:tcPr>
          <w:p w:rsidR="00525419" w:rsidRDefault="00EE1CF7">
            <w:pPr>
              <w:pStyle w:val="B2"/>
              <w:rPr>
                <w:rFonts w:cs="Times New Roman"/>
              </w:rPr>
            </w:pPr>
            <w:r>
              <w:rPr>
                <w:rFonts w:cs="Times New Roman"/>
              </w:rPr>
              <w:t>2</w:t>
            </w:r>
          </w:p>
        </w:tc>
      </w:tr>
      <w:tr w:rsidR="00525419">
        <w:trPr>
          <w:trHeight w:val="397"/>
        </w:trPr>
        <w:tc>
          <w:tcPr>
            <w:tcW w:w="815" w:type="dxa"/>
            <w:vAlign w:val="center"/>
          </w:tcPr>
          <w:p w:rsidR="00525419" w:rsidRDefault="00EE1CF7">
            <w:pPr>
              <w:pStyle w:val="B2"/>
              <w:rPr>
                <w:rFonts w:cs="Times New Roman"/>
              </w:rPr>
            </w:pPr>
            <w:r>
              <w:rPr>
                <w:rFonts w:cs="Times New Roman"/>
              </w:rPr>
              <w:t>2</w:t>
            </w:r>
          </w:p>
        </w:tc>
        <w:tc>
          <w:tcPr>
            <w:tcW w:w="1837" w:type="dxa"/>
            <w:vAlign w:val="center"/>
          </w:tcPr>
          <w:p w:rsidR="00525419" w:rsidRDefault="00EE1CF7">
            <w:pPr>
              <w:pStyle w:val="B2"/>
              <w:rPr>
                <w:rFonts w:cs="Times New Roman"/>
              </w:rPr>
            </w:pPr>
            <w:r>
              <w:rPr>
                <w:rFonts w:cs="Times New Roman"/>
              </w:rPr>
              <w:t>一氧化碳</w:t>
            </w:r>
          </w:p>
        </w:tc>
        <w:tc>
          <w:tcPr>
            <w:tcW w:w="1699" w:type="dxa"/>
            <w:vAlign w:val="center"/>
          </w:tcPr>
          <w:p w:rsidR="00525419" w:rsidRDefault="00EE1CF7">
            <w:pPr>
              <w:pStyle w:val="B2"/>
              <w:rPr>
                <w:rFonts w:cs="Times New Roman"/>
              </w:rPr>
            </w:pPr>
            <w:r>
              <w:rPr>
                <w:rFonts w:cs="Times New Roman"/>
              </w:rPr>
              <w:t>630-08-0</w:t>
            </w:r>
          </w:p>
        </w:tc>
        <w:tc>
          <w:tcPr>
            <w:tcW w:w="2264" w:type="dxa"/>
            <w:vAlign w:val="center"/>
          </w:tcPr>
          <w:p w:rsidR="00525419" w:rsidRDefault="00EE1CF7">
            <w:pPr>
              <w:pStyle w:val="B2"/>
              <w:rPr>
                <w:rFonts w:cs="Times New Roman"/>
              </w:rPr>
            </w:pPr>
            <w:r>
              <w:rPr>
                <w:rFonts w:cs="Times New Roman"/>
              </w:rPr>
              <w:t>380</w:t>
            </w:r>
          </w:p>
        </w:tc>
        <w:tc>
          <w:tcPr>
            <w:tcW w:w="1890" w:type="dxa"/>
            <w:vAlign w:val="center"/>
          </w:tcPr>
          <w:p w:rsidR="00525419" w:rsidRDefault="00EE1CF7">
            <w:pPr>
              <w:pStyle w:val="B2"/>
              <w:rPr>
                <w:rFonts w:cs="Times New Roman"/>
              </w:rPr>
            </w:pPr>
            <w:r>
              <w:rPr>
                <w:rFonts w:cs="Times New Roman"/>
              </w:rPr>
              <w:t>95</w:t>
            </w:r>
          </w:p>
        </w:tc>
      </w:tr>
    </w:tbl>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5.6.5.2</w:t>
      </w:r>
      <w:r>
        <w:rPr>
          <w:rFonts w:ascii="Times New Roman" w:hAnsi="Times New Roman" w:cs="Times New Roman"/>
          <w:kern w:val="44"/>
          <w:sz w:val="24"/>
          <w:szCs w:val="24"/>
        </w:rPr>
        <w:t>预测结果</w:t>
      </w:r>
    </w:p>
    <w:p w:rsidR="00525419" w:rsidRDefault="00EE1CF7">
      <w:pPr>
        <w:pStyle w:val="B1"/>
        <w:ind w:firstLine="480"/>
        <w:rPr>
          <w:rFonts w:cs="Times New Roman"/>
        </w:rPr>
      </w:pPr>
      <w:r>
        <w:rPr>
          <w:rFonts w:cs="Times New Roman"/>
        </w:rPr>
        <w:t>经模型预测，不同事故情况下本项目的影响区域和对关心点的影响结果如下：</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）火灾产生</w:t>
      </w:r>
      <w:r>
        <w:rPr>
          <w:rFonts w:ascii="Times New Roman" w:hAnsi="Times New Roman"/>
          <w:kern w:val="0"/>
          <w:sz w:val="24"/>
          <w:szCs w:val="24"/>
        </w:rPr>
        <w:t>SO</w:t>
      </w:r>
      <w:r>
        <w:rPr>
          <w:rFonts w:ascii="Times New Roman" w:hAnsi="Times New Roman"/>
          <w:kern w:val="0"/>
          <w:sz w:val="24"/>
          <w:szCs w:val="24"/>
          <w:vertAlign w:val="subscript"/>
        </w:rPr>
        <w:t>2</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sym w:font="Wingdings" w:char="F081"/>
      </w:r>
      <w:r>
        <w:rPr>
          <w:rFonts w:ascii="Times New Roman" w:hAnsi="Times New Roman"/>
          <w:kern w:val="0"/>
          <w:sz w:val="24"/>
          <w:szCs w:val="24"/>
        </w:rPr>
        <w:t>轴线的最大浓度</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轴线最大浓度为</w:t>
      </w:r>
      <w:r>
        <w:rPr>
          <w:rFonts w:ascii="Times New Roman" w:hAnsi="Times New Roman"/>
          <w:kern w:val="0"/>
          <w:sz w:val="24"/>
          <w:szCs w:val="24"/>
        </w:rPr>
        <w:t>335mg/m</w:t>
      </w:r>
      <w:r>
        <w:rPr>
          <w:rFonts w:ascii="Times New Roman" w:hAnsi="Times New Roman"/>
          <w:kern w:val="0"/>
          <w:sz w:val="24"/>
          <w:szCs w:val="24"/>
          <w:vertAlign w:val="superscript"/>
        </w:rPr>
        <w:t>3</w:t>
      </w:r>
      <w:r>
        <w:rPr>
          <w:rFonts w:ascii="Times New Roman" w:hAnsi="Times New Roman"/>
          <w:kern w:val="0"/>
          <w:sz w:val="24"/>
          <w:szCs w:val="24"/>
        </w:rPr>
        <w:t>、出现时刻为火灾事故发生后</w:t>
      </w:r>
      <w:r>
        <w:rPr>
          <w:rFonts w:ascii="Times New Roman" w:hAnsi="Times New Roman"/>
          <w:kern w:val="0"/>
          <w:sz w:val="24"/>
          <w:szCs w:val="24"/>
        </w:rPr>
        <w:t>7.7min</w:t>
      </w:r>
      <w:r>
        <w:rPr>
          <w:rFonts w:ascii="Times New Roman" w:hAnsi="Times New Roman"/>
          <w:kern w:val="0"/>
          <w:sz w:val="24"/>
          <w:szCs w:val="24"/>
        </w:rPr>
        <w:t>左右、出现的距离为项目厂界外</w:t>
      </w:r>
      <w:r>
        <w:rPr>
          <w:rFonts w:ascii="Times New Roman" w:hAnsi="Times New Roman"/>
          <w:kern w:val="0"/>
          <w:sz w:val="24"/>
          <w:szCs w:val="24"/>
        </w:rPr>
        <w:t>10m</w:t>
      </w:r>
      <w:r>
        <w:rPr>
          <w:rFonts w:ascii="Times New Roman" w:hAnsi="Times New Roman"/>
          <w:kern w:val="0"/>
          <w:sz w:val="24"/>
          <w:szCs w:val="24"/>
        </w:rPr>
        <w:t>；随着距离的增加，浓度逐渐减小。</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预测</w:t>
      </w:r>
      <w:r>
        <w:rPr>
          <w:rFonts w:ascii="Times New Roman" w:hAnsi="Times New Roman"/>
          <w:kern w:val="0"/>
          <w:sz w:val="24"/>
          <w:szCs w:val="24"/>
        </w:rPr>
        <w:t>SO</w:t>
      </w:r>
      <w:r>
        <w:rPr>
          <w:rFonts w:ascii="Times New Roman" w:hAnsi="Times New Roman"/>
          <w:kern w:val="0"/>
          <w:sz w:val="24"/>
          <w:szCs w:val="24"/>
          <w:vertAlign w:val="subscript"/>
        </w:rPr>
        <w:t>2</w:t>
      </w:r>
      <w:r>
        <w:rPr>
          <w:rFonts w:ascii="Times New Roman" w:hAnsi="Times New Roman"/>
          <w:kern w:val="0"/>
          <w:sz w:val="24"/>
          <w:szCs w:val="24"/>
        </w:rPr>
        <w:t>轴线</w:t>
      </w:r>
      <w:r>
        <w:rPr>
          <w:rFonts w:ascii="Times New Roman" w:hAnsi="Times New Roman"/>
          <w:kern w:val="0"/>
          <w:sz w:val="24"/>
          <w:szCs w:val="24"/>
        </w:rPr>
        <w:t>/</w:t>
      </w:r>
      <w:r>
        <w:rPr>
          <w:rFonts w:ascii="Times New Roman" w:hAnsi="Times New Roman"/>
          <w:kern w:val="0"/>
          <w:sz w:val="24"/>
          <w:szCs w:val="24"/>
        </w:rPr>
        <w:t>质心的最大浓度</w:t>
      </w:r>
      <w:r>
        <w:rPr>
          <w:rFonts w:ascii="Times New Roman" w:hAnsi="Times New Roman"/>
          <w:kern w:val="0"/>
          <w:sz w:val="24"/>
          <w:szCs w:val="24"/>
        </w:rPr>
        <w:t>-</w:t>
      </w:r>
      <w:r>
        <w:rPr>
          <w:rFonts w:ascii="Times New Roman" w:hAnsi="Times New Roman"/>
          <w:kern w:val="0"/>
          <w:sz w:val="24"/>
          <w:szCs w:val="24"/>
        </w:rPr>
        <w:t>距离曲线见图</w:t>
      </w:r>
      <w:r>
        <w:rPr>
          <w:rFonts w:ascii="Times New Roman" w:hAnsi="Times New Roman"/>
          <w:kern w:val="0"/>
          <w:sz w:val="24"/>
          <w:szCs w:val="24"/>
        </w:rPr>
        <w:t>5.6-1</w:t>
      </w:r>
      <w:r>
        <w:rPr>
          <w:rFonts w:ascii="Times New Roman" w:hAnsi="Times New Roman"/>
          <w:kern w:val="0"/>
          <w:sz w:val="24"/>
          <w:szCs w:val="24"/>
        </w:rPr>
        <w:t>。</w:t>
      </w:r>
    </w:p>
    <w:p w:rsidR="00525419" w:rsidRDefault="00525419">
      <w:pPr>
        <w:pStyle w:val="afb"/>
        <w:rPr>
          <w:sz w:val="24"/>
        </w:rPr>
      </w:pPr>
    </w:p>
    <w:p w:rsidR="00525419" w:rsidRDefault="00EE1CF7">
      <w:pPr>
        <w:pStyle w:val="afb"/>
        <w:rPr>
          <w:sz w:val="24"/>
        </w:rPr>
      </w:pPr>
      <w:r>
        <w:rPr>
          <w:noProof/>
        </w:rPr>
        <w:drawing>
          <wp:inline distT="0" distB="0" distL="114300" distR="114300">
            <wp:extent cx="5269865" cy="2648585"/>
            <wp:effectExtent l="0" t="0" r="6985" b="18415"/>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44"/>
                    <a:stretch>
                      <a:fillRect/>
                    </a:stretch>
                  </pic:blipFill>
                  <pic:spPr>
                    <a:xfrm>
                      <a:off x="0" y="0"/>
                      <a:ext cx="5269865" cy="2648585"/>
                    </a:xfrm>
                    <a:prstGeom prst="rect">
                      <a:avLst/>
                    </a:prstGeom>
                    <a:noFill/>
                    <a:ln w="9525">
                      <a:noFill/>
                    </a:ln>
                  </pic:spPr>
                </pic:pic>
              </a:graphicData>
            </a:graphic>
          </wp:inline>
        </w:drawing>
      </w:r>
    </w:p>
    <w:p w:rsidR="00525419" w:rsidRDefault="00EE1CF7">
      <w:pPr>
        <w:widowControl/>
        <w:adjustRightInd w:val="0"/>
        <w:snapToGrid w:val="0"/>
        <w:spacing w:before="120"/>
        <w:jc w:val="center"/>
        <w:rPr>
          <w:rFonts w:ascii="Times New Roman" w:hAnsi="Times New Roman"/>
          <w:b/>
          <w:snapToGrid w:val="0"/>
          <w:kern w:val="0"/>
          <w:sz w:val="24"/>
          <w:szCs w:val="28"/>
        </w:rPr>
      </w:pPr>
      <w:r>
        <w:rPr>
          <w:rFonts w:ascii="Times New Roman" w:hAnsi="Times New Roman"/>
          <w:b/>
          <w:snapToGrid w:val="0"/>
          <w:kern w:val="0"/>
          <w:sz w:val="24"/>
          <w:szCs w:val="28"/>
        </w:rPr>
        <w:t>图</w:t>
      </w:r>
      <w:r>
        <w:rPr>
          <w:rFonts w:ascii="Times New Roman" w:hAnsi="Times New Roman"/>
          <w:b/>
          <w:snapToGrid w:val="0"/>
          <w:kern w:val="0"/>
          <w:sz w:val="24"/>
          <w:szCs w:val="28"/>
        </w:rPr>
        <w:t xml:space="preserve">5.6-1   </w:t>
      </w:r>
      <w:r>
        <w:rPr>
          <w:rFonts w:ascii="Times New Roman" w:hAnsi="Times New Roman"/>
          <w:b/>
          <w:snapToGrid w:val="0"/>
          <w:kern w:val="0"/>
          <w:sz w:val="24"/>
          <w:szCs w:val="28"/>
        </w:rPr>
        <w:t>事故情况下</w:t>
      </w:r>
      <w:r>
        <w:rPr>
          <w:rFonts w:ascii="Times New Roman" w:hAnsi="Times New Roman"/>
          <w:b/>
          <w:snapToGrid w:val="0"/>
          <w:kern w:val="0"/>
          <w:sz w:val="24"/>
          <w:szCs w:val="28"/>
        </w:rPr>
        <w:t>SO</w:t>
      </w:r>
      <w:r>
        <w:rPr>
          <w:rFonts w:ascii="Times New Roman" w:hAnsi="Times New Roman"/>
          <w:b/>
          <w:snapToGrid w:val="0"/>
          <w:kern w:val="0"/>
          <w:sz w:val="24"/>
          <w:szCs w:val="28"/>
          <w:vertAlign w:val="subscript"/>
        </w:rPr>
        <w:t>2</w:t>
      </w:r>
      <w:r>
        <w:rPr>
          <w:rFonts w:ascii="Times New Roman" w:hAnsi="Times New Roman"/>
          <w:b/>
          <w:snapToGrid w:val="0"/>
          <w:kern w:val="0"/>
          <w:sz w:val="24"/>
          <w:szCs w:val="28"/>
        </w:rPr>
        <w:t>轴线</w:t>
      </w:r>
      <w:r>
        <w:rPr>
          <w:rFonts w:ascii="Times New Roman" w:hAnsi="Times New Roman"/>
          <w:b/>
          <w:snapToGrid w:val="0"/>
          <w:kern w:val="0"/>
          <w:sz w:val="24"/>
          <w:szCs w:val="28"/>
        </w:rPr>
        <w:t>/</w:t>
      </w:r>
      <w:r>
        <w:rPr>
          <w:rFonts w:ascii="Times New Roman" w:hAnsi="Times New Roman"/>
          <w:b/>
          <w:snapToGrid w:val="0"/>
          <w:kern w:val="0"/>
          <w:sz w:val="24"/>
          <w:szCs w:val="28"/>
        </w:rPr>
        <w:t>质心最大浓度</w:t>
      </w:r>
      <w:r>
        <w:rPr>
          <w:rFonts w:ascii="Times New Roman" w:hAnsi="Times New Roman"/>
          <w:b/>
          <w:snapToGrid w:val="0"/>
          <w:kern w:val="0"/>
          <w:sz w:val="24"/>
          <w:szCs w:val="28"/>
        </w:rPr>
        <w:t>-</w:t>
      </w:r>
      <w:r>
        <w:rPr>
          <w:rFonts w:ascii="Times New Roman" w:hAnsi="Times New Roman"/>
          <w:b/>
          <w:snapToGrid w:val="0"/>
          <w:kern w:val="0"/>
          <w:sz w:val="24"/>
          <w:szCs w:val="28"/>
        </w:rPr>
        <w:t>距离曲线图</w:t>
      </w:r>
    </w:p>
    <w:p w:rsidR="00525419" w:rsidRDefault="00525419">
      <w:pPr>
        <w:pStyle w:val="afb"/>
        <w:rPr>
          <w:sz w:val="24"/>
        </w:rPr>
      </w:pP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sym w:font="Wingdings" w:char="F082"/>
      </w:r>
      <w:r>
        <w:rPr>
          <w:rFonts w:ascii="Times New Roman" w:hAnsi="Times New Roman"/>
          <w:kern w:val="0"/>
          <w:sz w:val="24"/>
          <w:szCs w:val="24"/>
        </w:rPr>
        <w:t>最大影响范围</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事故情况下，</w:t>
      </w:r>
      <w:r>
        <w:rPr>
          <w:rFonts w:ascii="Times New Roman" w:hAnsi="Times New Roman"/>
          <w:kern w:val="0"/>
          <w:sz w:val="24"/>
          <w:szCs w:val="24"/>
        </w:rPr>
        <w:t>SO</w:t>
      </w:r>
      <w:r>
        <w:rPr>
          <w:rFonts w:ascii="Times New Roman" w:hAnsi="Times New Roman"/>
          <w:kern w:val="0"/>
          <w:sz w:val="24"/>
          <w:szCs w:val="24"/>
          <w:vertAlign w:val="subscript"/>
        </w:rPr>
        <w:t>2</w:t>
      </w:r>
      <w:r>
        <w:rPr>
          <w:rFonts w:ascii="Times New Roman" w:hAnsi="Times New Roman"/>
          <w:kern w:val="0"/>
          <w:sz w:val="24"/>
          <w:szCs w:val="24"/>
        </w:rPr>
        <w:t>各阈值的廓线对应的位置见表</w:t>
      </w:r>
      <w:r>
        <w:rPr>
          <w:rFonts w:ascii="Times New Roman" w:hAnsi="Times New Roman"/>
          <w:kern w:val="0"/>
          <w:sz w:val="24"/>
          <w:szCs w:val="24"/>
        </w:rPr>
        <w:t>5.6-25</w:t>
      </w:r>
      <w:r>
        <w:rPr>
          <w:rFonts w:ascii="Times New Roman" w:hAnsi="Times New Roman"/>
          <w:kern w:val="0"/>
          <w:sz w:val="24"/>
          <w:szCs w:val="24"/>
        </w:rPr>
        <w:t>。</w:t>
      </w:r>
    </w:p>
    <w:p w:rsidR="00525419" w:rsidRDefault="00EE1CF7">
      <w:pPr>
        <w:ind w:firstLineChars="700" w:firstLine="1470"/>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5.6-25   </w:t>
      </w:r>
      <w:r>
        <w:rPr>
          <w:rFonts w:ascii="Times New Roman" w:eastAsia="黑体" w:hAnsi="Times New Roman"/>
          <w:szCs w:val="21"/>
        </w:rPr>
        <w:t>项目事故情况下</w:t>
      </w:r>
      <w:r>
        <w:rPr>
          <w:rFonts w:ascii="Times New Roman" w:eastAsia="黑体" w:hAnsi="Times New Roman"/>
          <w:szCs w:val="21"/>
        </w:rPr>
        <w:t>SO</w:t>
      </w:r>
      <w:r>
        <w:rPr>
          <w:rFonts w:ascii="Times New Roman" w:eastAsia="黑体" w:hAnsi="Times New Roman"/>
          <w:szCs w:val="21"/>
          <w:vertAlign w:val="subscript"/>
        </w:rPr>
        <w:t>2</w:t>
      </w:r>
      <w:r>
        <w:rPr>
          <w:rFonts w:ascii="Times New Roman" w:eastAsia="黑体" w:hAnsi="Times New Roman"/>
          <w:szCs w:val="21"/>
        </w:rPr>
        <w:t>阈值的廓线对应的位置一览表</w:t>
      </w:r>
    </w:p>
    <w:tbl>
      <w:tblPr>
        <w:tblW w:w="850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906"/>
        <w:gridCol w:w="1410"/>
        <w:gridCol w:w="1579"/>
        <w:gridCol w:w="1805"/>
        <w:gridCol w:w="1805"/>
      </w:tblGrid>
      <w:tr w:rsidR="00525419">
        <w:trPr>
          <w:trHeight w:val="397"/>
        </w:trPr>
        <w:tc>
          <w:tcPr>
            <w:tcW w:w="1906" w:type="dxa"/>
            <w:vAlign w:val="center"/>
          </w:tcPr>
          <w:p w:rsidR="00525419" w:rsidRDefault="00EE1CF7">
            <w:pPr>
              <w:pStyle w:val="B2"/>
              <w:rPr>
                <w:rFonts w:cs="Times New Roman"/>
              </w:rPr>
            </w:pPr>
            <w:r>
              <w:rPr>
                <w:rFonts w:cs="Times New Roman"/>
              </w:rPr>
              <w:t>阈值（</w:t>
            </w:r>
            <w:r>
              <w:rPr>
                <w:rFonts w:cs="Times New Roman"/>
              </w:rPr>
              <w:t>mg/m</w:t>
            </w:r>
            <w:r>
              <w:rPr>
                <w:rFonts w:cs="Times New Roman"/>
                <w:vertAlign w:val="superscript"/>
              </w:rPr>
              <w:t>3</w:t>
            </w:r>
            <w:r>
              <w:rPr>
                <w:rFonts w:cs="Times New Roman"/>
              </w:rPr>
              <w:t>）</w:t>
            </w:r>
          </w:p>
        </w:tc>
        <w:tc>
          <w:tcPr>
            <w:tcW w:w="1410" w:type="dxa"/>
            <w:vAlign w:val="center"/>
          </w:tcPr>
          <w:p w:rsidR="00525419" w:rsidRDefault="00EE1CF7">
            <w:pPr>
              <w:pStyle w:val="B2"/>
              <w:rPr>
                <w:rFonts w:cs="Times New Roman"/>
              </w:rPr>
            </w:pPr>
            <w:r>
              <w:rPr>
                <w:rFonts w:cs="Times New Roman"/>
              </w:rPr>
              <w:t>X</w:t>
            </w:r>
            <w:r>
              <w:rPr>
                <w:rFonts w:cs="Times New Roman"/>
              </w:rPr>
              <w:t>起点</w:t>
            </w:r>
            <w:r>
              <w:rPr>
                <w:rFonts w:cs="Times New Roman"/>
              </w:rPr>
              <w:t>(m)</w:t>
            </w:r>
          </w:p>
        </w:tc>
        <w:tc>
          <w:tcPr>
            <w:tcW w:w="1579" w:type="dxa"/>
            <w:vAlign w:val="center"/>
          </w:tcPr>
          <w:p w:rsidR="00525419" w:rsidRDefault="00EE1CF7">
            <w:pPr>
              <w:pStyle w:val="B2"/>
              <w:rPr>
                <w:rFonts w:cs="Times New Roman"/>
              </w:rPr>
            </w:pPr>
            <w:r>
              <w:rPr>
                <w:rFonts w:cs="Times New Roman"/>
              </w:rPr>
              <w:t>X</w:t>
            </w:r>
            <w:r>
              <w:rPr>
                <w:rFonts w:cs="Times New Roman"/>
              </w:rPr>
              <w:t>终点</w:t>
            </w:r>
            <w:r>
              <w:rPr>
                <w:rFonts w:cs="Times New Roman"/>
              </w:rPr>
              <w:t>(m)</w:t>
            </w:r>
          </w:p>
        </w:tc>
        <w:tc>
          <w:tcPr>
            <w:tcW w:w="1805" w:type="dxa"/>
            <w:vAlign w:val="center"/>
          </w:tcPr>
          <w:p w:rsidR="00525419" w:rsidRDefault="00EE1CF7">
            <w:pPr>
              <w:pStyle w:val="B2"/>
              <w:rPr>
                <w:rFonts w:cs="Times New Roman"/>
              </w:rPr>
            </w:pPr>
            <w:r>
              <w:rPr>
                <w:rFonts w:cs="Times New Roman"/>
              </w:rPr>
              <w:t>最大半宽</w:t>
            </w:r>
            <w:r>
              <w:rPr>
                <w:rFonts w:cs="Times New Roman"/>
              </w:rPr>
              <w:t>(m)</w:t>
            </w:r>
          </w:p>
        </w:tc>
        <w:tc>
          <w:tcPr>
            <w:tcW w:w="1805" w:type="dxa"/>
            <w:vAlign w:val="center"/>
          </w:tcPr>
          <w:p w:rsidR="00525419" w:rsidRDefault="00EE1CF7">
            <w:pPr>
              <w:pStyle w:val="B2"/>
              <w:rPr>
                <w:rFonts w:cs="Times New Roman"/>
              </w:rPr>
            </w:pPr>
            <w:r>
              <w:rPr>
                <w:rFonts w:cs="Times New Roman"/>
              </w:rPr>
              <w:t>最大半宽对应</w:t>
            </w:r>
            <w:r>
              <w:rPr>
                <w:rFonts w:cs="Times New Roman"/>
              </w:rPr>
              <w:t>X(m)</w:t>
            </w:r>
          </w:p>
        </w:tc>
      </w:tr>
      <w:tr w:rsidR="00525419">
        <w:trPr>
          <w:trHeight w:val="397"/>
        </w:trPr>
        <w:tc>
          <w:tcPr>
            <w:tcW w:w="1906" w:type="dxa"/>
            <w:vAlign w:val="center"/>
          </w:tcPr>
          <w:p w:rsidR="00525419" w:rsidRDefault="00EE1CF7">
            <w:pPr>
              <w:pStyle w:val="B2"/>
              <w:rPr>
                <w:rFonts w:cs="Times New Roman"/>
              </w:rPr>
            </w:pPr>
            <w:r>
              <w:rPr>
                <w:rFonts w:cs="Times New Roman"/>
                <w:szCs w:val="18"/>
              </w:rPr>
              <w:t>2</w:t>
            </w:r>
          </w:p>
        </w:tc>
        <w:tc>
          <w:tcPr>
            <w:tcW w:w="1410" w:type="dxa"/>
            <w:vAlign w:val="center"/>
          </w:tcPr>
          <w:p w:rsidR="00525419" w:rsidRDefault="00EE1CF7">
            <w:pPr>
              <w:pStyle w:val="B2"/>
              <w:rPr>
                <w:rFonts w:cs="Times New Roman"/>
              </w:rPr>
            </w:pPr>
            <w:r>
              <w:rPr>
                <w:rFonts w:cs="Times New Roman"/>
              </w:rPr>
              <w:t>10</w:t>
            </w:r>
          </w:p>
        </w:tc>
        <w:tc>
          <w:tcPr>
            <w:tcW w:w="1579" w:type="dxa"/>
            <w:vAlign w:val="center"/>
          </w:tcPr>
          <w:p w:rsidR="00525419" w:rsidRDefault="00EE1CF7">
            <w:pPr>
              <w:pStyle w:val="B2"/>
              <w:rPr>
                <w:rFonts w:cs="Times New Roman"/>
              </w:rPr>
            </w:pPr>
            <w:r>
              <w:rPr>
                <w:rFonts w:cs="Times New Roman"/>
              </w:rPr>
              <w:t>1330</w:t>
            </w:r>
          </w:p>
        </w:tc>
        <w:tc>
          <w:tcPr>
            <w:tcW w:w="1805" w:type="dxa"/>
            <w:vAlign w:val="center"/>
          </w:tcPr>
          <w:p w:rsidR="00525419" w:rsidRDefault="00EE1CF7">
            <w:pPr>
              <w:pStyle w:val="B2"/>
              <w:rPr>
                <w:rFonts w:cs="Times New Roman"/>
              </w:rPr>
            </w:pPr>
            <w:r>
              <w:rPr>
                <w:rFonts w:cs="Times New Roman"/>
              </w:rPr>
              <w:t>86</w:t>
            </w:r>
          </w:p>
        </w:tc>
        <w:tc>
          <w:tcPr>
            <w:tcW w:w="1805" w:type="dxa"/>
            <w:vAlign w:val="center"/>
          </w:tcPr>
          <w:p w:rsidR="00525419" w:rsidRDefault="00EE1CF7">
            <w:pPr>
              <w:pStyle w:val="B2"/>
              <w:rPr>
                <w:rFonts w:cs="Times New Roman"/>
              </w:rPr>
            </w:pPr>
            <w:r>
              <w:rPr>
                <w:rFonts w:cs="Times New Roman"/>
              </w:rPr>
              <w:t>1060</w:t>
            </w:r>
          </w:p>
        </w:tc>
      </w:tr>
      <w:tr w:rsidR="00525419">
        <w:trPr>
          <w:trHeight w:val="397"/>
        </w:trPr>
        <w:tc>
          <w:tcPr>
            <w:tcW w:w="1906" w:type="dxa"/>
            <w:vAlign w:val="center"/>
          </w:tcPr>
          <w:p w:rsidR="00525419" w:rsidRDefault="00EE1CF7">
            <w:pPr>
              <w:pStyle w:val="B2"/>
              <w:rPr>
                <w:rFonts w:cs="Times New Roman"/>
                <w:szCs w:val="18"/>
              </w:rPr>
            </w:pPr>
            <w:r>
              <w:rPr>
                <w:rFonts w:cs="Times New Roman"/>
                <w:szCs w:val="18"/>
              </w:rPr>
              <w:lastRenderedPageBreak/>
              <w:t>79</w:t>
            </w:r>
          </w:p>
        </w:tc>
        <w:tc>
          <w:tcPr>
            <w:tcW w:w="1410" w:type="dxa"/>
            <w:vAlign w:val="center"/>
          </w:tcPr>
          <w:p w:rsidR="00525419" w:rsidRDefault="00EE1CF7">
            <w:pPr>
              <w:pStyle w:val="B2"/>
              <w:rPr>
                <w:rFonts w:cs="Times New Roman"/>
              </w:rPr>
            </w:pPr>
            <w:r>
              <w:rPr>
                <w:rFonts w:cs="Times New Roman"/>
              </w:rPr>
              <w:t>10</w:t>
            </w:r>
          </w:p>
        </w:tc>
        <w:tc>
          <w:tcPr>
            <w:tcW w:w="1579" w:type="dxa"/>
            <w:vAlign w:val="center"/>
          </w:tcPr>
          <w:p w:rsidR="00525419" w:rsidRDefault="00EE1CF7">
            <w:pPr>
              <w:pStyle w:val="B2"/>
              <w:rPr>
                <w:rFonts w:cs="Times New Roman"/>
              </w:rPr>
            </w:pPr>
            <w:r>
              <w:rPr>
                <w:rFonts w:cs="Times New Roman"/>
              </w:rPr>
              <w:t>130</w:t>
            </w:r>
          </w:p>
        </w:tc>
        <w:tc>
          <w:tcPr>
            <w:tcW w:w="1805" w:type="dxa"/>
            <w:vAlign w:val="center"/>
          </w:tcPr>
          <w:p w:rsidR="00525419" w:rsidRDefault="00EE1CF7">
            <w:pPr>
              <w:pStyle w:val="B2"/>
              <w:rPr>
                <w:rFonts w:cs="Times New Roman"/>
              </w:rPr>
            </w:pPr>
            <w:r>
              <w:rPr>
                <w:rFonts w:cs="Times New Roman"/>
              </w:rPr>
              <w:t>8</w:t>
            </w:r>
          </w:p>
        </w:tc>
        <w:tc>
          <w:tcPr>
            <w:tcW w:w="1805" w:type="dxa"/>
            <w:vAlign w:val="center"/>
          </w:tcPr>
          <w:p w:rsidR="00525419" w:rsidRDefault="00EE1CF7">
            <w:pPr>
              <w:pStyle w:val="B2"/>
              <w:rPr>
                <w:rFonts w:cs="Times New Roman"/>
              </w:rPr>
            </w:pPr>
            <w:r>
              <w:rPr>
                <w:rFonts w:cs="Times New Roman"/>
              </w:rPr>
              <w:t>60</w:t>
            </w:r>
          </w:p>
        </w:tc>
      </w:tr>
    </w:tbl>
    <w:p w:rsidR="00525419" w:rsidRDefault="00525419">
      <w:pPr>
        <w:pStyle w:val="afb"/>
        <w:rPr>
          <w:rFonts w:eastAsia="黑体"/>
          <w:szCs w:val="21"/>
        </w:rPr>
      </w:pPr>
    </w:p>
    <w:p w:rsidR="00525419" w:rsidRDefault="00EE1CF7" w:rsidP="00EE1CF7">
      <w:pPr>
        <w:pStyle w:val="B3"/>
        <w:spacing w:before="99" w:after="66"/>
        <w:ind w:firstLine="482"/>
        <w:rPr>
          <w:color w:val="auto"/>
        </w:rPr>
      </w:pPr>
      <w:r>
        <w:rPr>
          <w:color w:val="auto"/>
        </w:rPr>
        <w:t>图</w:t>
      </w:r>
      <w:r>
        <w:rPr>
          <w:color w:val="auto"/>
        </w:rPr>
        <w:t xml:space="preserve">5.6-2   </w:t>
      </w:r>
      <w:r>
        <w:rPr>
          <w:color w:val="auto"/>
        </w:rPr>
        <w:t>事故情况</w:t>
      </w:r>
      <w:r>
        <w:rPr>
          <w:color w:val="auto"/>
        </w:rPr>
        <w:t>SO</w:t>
      </w:r>
      <w:r>
        <w:rPr>
          <w:color w:val="auto"/>
          <w:vertAlign w:val="subscript"/>
        </w:rPr>
        <w:t>2</w:t>
      </w:r>
      <w:r>
        <w:rPr>
          <w:color w:val="auto"/>
        </w:rPr>
        <w:t>最大影响范围图</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从表</w:t>
      </w:r>
      <w:r>
        <w:rPr>
          <w:rFonts w:ascii="Times New Roman" w:hAnsi="Times New Roman"/>
          <w:kern w:val="0"/>
          <w:sz w:val="24"/>
          <w:szCs w:val="24"/>
        </w:rPr>
        <w:t>5.6-25</w:t>
      </w:r>
      <w:r>
        <w:rPr>
          <w:rFonts w:ascii="Times New Roman" w:hAnsi="Times New Roman"/>
          <w:kern w:val="0"/>
          <w:sz w:val="24"/>
          <w:szCs w:val="24"/>
        </w:rPr>
        <w:t>可以看出，项目事故情况</w:t>
      </w:r>
      <w:r>
        <w:rPr>
          <w:rFonts w:ascii="Times New Roman" w:hAnsi="Times New Roman"/>
          <w:kern w:val="0"/>
          <w:sz w:val="24"/>
          <w:szCs w:val="24"/>
        </w:rPr>
        <w:t>SO</w:t>
      </w:r>
      <w:r>
        <w:rPr>
          <w:rFonts w:ascii="Times New Roman" w:hAnsi="Times New Roman"/>
          <w:kern w:val="0"/>
          <w:sz w:val="24"/>
          <w:szCs w:val="24"/>
          <w:vertAlign w:val="subscript"/>
        </w:rPr>
        <w:t>2</w:t>
      </w:r>
      <w:r>
        <w:rPr>
          <w:rFonts w:ascii="Times New Roman" w:hAnsi="Times New Roman"/>
          <w:kern w:val="0"/>
          <w:sz w:val="24"/>
          <w:szCs w:val="24"/>
        </w:rPr>
        <w:t>的最大影响范围为距离项目区边界</w:t>
      </w:r>
      <w:r>
        <w:rPr>
          <w:rFonts w:ascii="Times New Roman" w:hAnsi="Times New Roman"/>
          <w:kern w:val="0"/>
          <w:sz w:val="24"/>
          <w:szCs w:val="24"/>
        </w:rPr>
        <w:t>1330m</w:t>
      </w:r>
      <w:r>
        <w:rPr>
          <w:rFonts w:ascii="Times New Roman" w:hAnsi="Times New Roman"/>
          <w:kern w:val="0"/>
          <w:sz w:val="24"/>
          <w:szCs w:val="24"/>
        </w:rPr>
        <w:t>以内，超过</w:t>
      </w:r>
      <w:r>
        <w:rPr>
          <w:rFonts w:ascii="Times New Roman" w:hAnsi="Times New Roman"/>
          <w:kern w:val="0"/>
          <w:sz w:val="24"/>
          <w:szCs w:val="24"/>
        </w:rPr>
        <w:t>1330m</w:t>
      </w:r>
      <w:r>
        <w:rPr>
          <w:rFonts w:ascii="Times New Roman" w:hAnsi="Times New Roman"/>
          <w:kern w:val="0"/>
          <w:sz w:val="24"/>
          <w:szCs w:val="24"/>
        </w:rPr>
        <w:t>后，地面轴线上的</w:t>
      </w:r>
      <w:r>
        <w:rPr>
          <w:rFonts w:ascii="Times New Roman" w:hAnsi="Times New Roman"/>
          <w:kern w:val="0"/>
          <w:sz w:val="24"/>
          <w:szCs w:val="24"/>
        </w:rPr>
        <w:t>SO</w:t>
      </w:r>
      <w:r>
        <w:rPr>
          <w:rFonts w:ascii="Times New Roman" w:hAnsi="Times New Roman"/>
          <w:kern w:val="0"/>
          <w:sz w:val="24"/>
          <w:szCs w:val="24"/>
          <w:vertAlign w:val="subscript"/>
        </w:rPr>
        <w:t>2</w:t>
      </w:r>
      <w:r>
        <w:rPr>
          <w:rFonts w:ascii="Times New Roman" w:hAnsi="Times New Roman"/>
          <w:kern w:val="0"/>
          <w:sz w:val="24"/>
          <w:szCs w:val="24"/>
        </w:rPr>
        <w:t>浓度低于阈值，对地面上的人群健康影响较小。</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sym w:font="Wingdings" w:char="F083"/>
      </w:r>
      <w:r>
        <w:rPr>
          <w:rFonts w:ascii="Times New Roman" w:hAnsi="Times New Roman"/>
          <w:kern w:val="0"/>
          <w:sz w:val="24"/>
          <w:szCs w:val="24"/>
        </w:rPr>
        <w:t>对环境敏感点的影响</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经模型预测，项目事故情况下，</w:t>
      </w:r>
      <w:r>
        <w:rPr>
          <w:rFonts w:ascii="Times New Roman" w:hAnsi="Times New Roman"/>
          <w:kern w:val="0"/>
          <w:sz w:val="24"/>
          <w:szCs w:val="24"/>
        </w:rPr>
        <w:t>SO</w:t>
      </w:r>
      <w:r>
        <w:rPr>
          <w:rFonts w:ascii="Times New Roman" w:hAnsi="Times New Roman"/>
          <w:kern w:val="0"/>
          <w:sz w:val="24"/>
          <w:szCs w:val="24"/>
          <w:vertAlign w:val="subscript"/>
        </w:rPr>
        <w:t>2</w:t>
      </w:r>
      <w:r>
        <w:rPr>
          <w:rFonts w:ascii="Times New Roman" w:hAnsi="Times New Roman"/>
          <w:kern w:val="0"/>
          <w:sz w:val="24"/>
          <w:szCs w:val="24"/>
        </w:rPr>
        <w:t>对周围所有环境敏感点基本没有影响，具体见表</w:t>
      </w:r>
      <w:r>
        <w:rPr>
          <w:rFonts w:ascii="Times New Roman" w:hAnsi="Times New Roman"/>
          <w:kern w:val="0"/>
          <w:sz w:val="24"/>
          <w:szCs w:val="24"/>
        </w:rPr>
        <w:t>5.6-26</w:t>
      </w:r>
      <w:r>
        <w:rPr>
          <w:rFonts w:ascii="Times New Roman" w:hAnsi="Times New Roman"/>
          <w:kern w:val="0"/>
          <w:sz w:val="24"/>
          <w:szCs w:val="24"/>
        </w:rPr>
        <w:t>。</w:t>
      </w:r>
    </w:p>
    <w:p w:rsidR="00525419" w:rsidRDefault="00EE1CF7">
      <w:pPr>
        <w:ind w:firstLineChars="700" w:firstLine="1470"/>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5.6-26  </w:t>
      </w:r>
      <w:r>
        <w:rPr>
          <w:rFonts w:ascii="Times New Roman" w:eastAsia="黑体" w:hAnsi="Times New Roman"/>
          <w:szCs w:val="21"/>
        </w:rPr>
        <w:t>事故情况</w:t>
      </w:r>
      <w:r>
        <w:rPr>
          <w:rFonts w:ascii="Times New Roman" w:eastAsia="黑体" w:hAnsi="Times New Roman"/>
          <w:szCs w:val="21"/>
        </w:rPr>
        <w:t>SO2</w:t>
      </w:r>
      <w:r>
        <w:rPr>
          <w:rFonts w:ascii="Times New Roman" w:eastAsia="黑体" w:hAnsi="Times New Roman"/>
          <w:szCs w:val="21"/>
        </w:rPr>
        <w:t>对环境敏感点的影响一览表</w:t>
      </w:r>
    </w:p>
    <w:tbl>
      <w:tblPr>
        <w:tblW w:w="83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524"/>
        <w:gridCol w:w="532"/>
        <w:gridCol w:w="450"/>
        <w:gridCol w:w="518"/>
        <w:gridCol w:w="1228"/>
        <w:gridCol w:w="613"/>
        <w:gridCol w:w="860"/>
        <w:gridCol w:w="954"/>
        <w:gridCol w:w="886"/>
        <w:gridCol w:w="955"/>
        <w:gridCol w:w="810"/>
      </w:tblGrid>
      <w:tr w:rsidR="00525419">
        <w:trPr>
          <w:trHeight w:val="570"/>
        </w:trPr>
        <w:tc>
          <w:tcPr>
            <w:tcW w:w="52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名称</w:t>
            </w:r>
          </w:p>
        </w:tc>
        <w:tc>
          <w:tcPr>
            <w:tcW w:w="53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 xml:space="preserve">  X  </w:t>
            </w:r>
          </w:p>
        </w:tc>
        <w:tc>
          <w:tcPr>
            <w:tcW w:w="45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 xml:space="preserve">  Y  </w:t>
            </w:r>
          </w:p>
        </w:tc>
        <w:tc>
          <w:tcPr>
            <w:tcW w:w="51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离地高度</w:t>
            </w:r>
          </w:p>
        </w:tc>
        <w:tc>
          <w:tcPr>
            <w:tcW w:w="122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最大浓度</w:t>
            </w:r>
            <w:r>
              <w:rPr>
                <w:rFonts w:ascii="Times New Roman" w:hAnsi="Times New Roman"/>
                <w:kern w:val="0"/>
                <w:szCs w:val="21"/>
                <w:lang w:bidi="ar"/>
              </w:rPr>
              <w:t>|</w:t>
            </w:r>
            <w:r>
              <w:rPr>
                <w:rFonts w:ascii="Times New Roman" w:hAnsi="Times New Roman"/>
                <w:kern w:val="0"/>
                <w:szCs w:val="21"/>
                <w:lang w:bidi="ar"/>
              </w:rPr>
              <w:t>时间</w:t>
            </w:r>
            <w:r>
              <w:rPr>
                <w:rFonts w:ascii="Times New Roman" w:hAnsi="Times New Roman"/>
                <w:kern w:val="0"/>
                <w:szCs w:val="21"/>
                <w:lang w:bidi="ar"/>
              </w:rPr>
              <w:t>(min)</w:t>
            </w:r>
          </w:p>
        </w:tc>
        <w:tc>
          <w:tcPr>
            <w:tcW w:w="613"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5min</w:t>
            </w:r>
          </w:p>
        </w:tc>
        <w:tc>
          <w:tcPr>
            <w:tcW w:w="86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10min</w:t>
            </w:r>
          </w:p>
        </w:tc>
        <w:tc>
          <w:tcPr>
            <w:tcW w:w="95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15min</w:t>
            </w:r>
          </w:p>
        </w:tc>
        <w:tc>
          <w:tcPr>
            <w:tcW w:w="886"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20min</w:t>
            </w:r>
          </w:p>
        </w:tc>
        <w:tc>
          <w:tcPr>
            <w:tcW w:w="955"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25min</w:t>
            </w:r>
          </w:p>
        </w:tc>
        <w:tc>
          <w:tcPr>
            <w:tcW w:w="81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30min</w:t>
            </w:r>
          </w:p>
        </w:tc>
      </w:tr>
      <w:tr w:rsidR="00525419">
        <w:trPr>
          <w:trHeight w:val="570"/>
        </w:trPr>
        <w:tc>
          <w:tcPr>
            <w:tcW w:w="52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鄯善火车站</w:t>
            </w:r>
          </w:p>
        </w:tc>
        <w:tc>
          <w:tcPr>
            <w:tcW w:w="53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2053</w:t>
            </w:r>
          </w:p>
        </w:tc>
        <w:tc>
          <w:tcPr>
            <w:tcW w:w="45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4022</w:t>
            </w:r>
          </w:p>
        </w:tc>
        <w:tc>
          <w:tcPr>
            <w:tcW w:w="51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1228" w:type="dxa"/>
            <w:tcBorders>
              <w:tl2br w:val="nil"/>
              <w:tr2bl w:val="nil"/>
            </w:tcBorders>
            <w:shd w:val="clear" w:color="auto" w:fill="auto"/>
            <w:vAlign w:val="center"/>
          </w:tcPr>
          <w:p w:rsidR="00525419" w:rsidRDefault="00EE1CF7">
            <w:pPr>
              <w:widowControl/>
              <w:jc w:val="center"/>
              <w:rPr>
                <w:rFonts w:ascii="Times New Roman" w:hAnsi="Times New Roman"/>
                <w:szCs w:val="21"/>
              </w:rPr>
            </w:pPr>
            <w:r>
              <w:rPr>
                <w:rFonts w:ascii="Times New Roman" w:hAnsi="Times New Roman"/>
                <w:kern w:val="0"/>
                <w:szCs w:val="24"/>
              </w:rPr>
              <w:t>0.0|5</w:t>
            </w:r>
          </w:p>
        </w:tc>
        <w:tc>
          <w:tcPr>
            <w:tcW w:w="613" w:type="dxa"/>
            <w:tcBorders>
              <w:tl2br w:val="nil"/>
              <w:tr2bl w:val="nil"/>
            </w:tcBorders>
            <w:shd w:val="clear" w:color="auto" w:fill="auto"/>
            <w:vAlign w:val="center"/>
          </w:tcPr>
          <w:p w:rsidR="00525419" w:rsidRDefault="00EE1CF7">
            <w:pPr>
              <w:widowControl/>
              <w:jc w:val="center"/>
              <w:rPr>
                <w:rFonts w:ascii="Times New Roman" w:hAnsi="Times New Roman"/>
                <w:szCs w:val="21"/>
              </w:rPr>
            </w:pPr>
            <w:r>
              <w:rPr>
                <w:rFonts w:ascii="Times New Roman" w:hAnsi="Times New Roman"/>
                <w:kern w:val="0"/>
                <w:szCs w:val="24"/>
              </w:rPr>
              <w:t>0</w:t>
            </w:r>
          </w:p>
        </w:tc>
        <w:tc>
          <w:tcPr>
            <w:tcW w:w="860" w:type="dxa"/>
            <w:tcBorders>
              <w:tl2br w:val="nil"/>
              <w:tr2bl w:val="nil"/>
            </w:tcBorders>
            <w:shd w:val="clear" w:color="auto" w:fill="auto"/>
            <w:vAlign w:val="center"/>
          </w:tcPr>
          <w:p w:rsidR="00525419" w:rsidRDefault="00EE1CF7">
            <w:pPr>
              <w:widowControl/>
              <w:jc w:val="center"/>
              <w:rPr>
                <w:rFonts w:ascii="Times New Roman" w:hAnsi="Times New Roman"/>
                <w:szCs w:val="21"/>
              </w:rPr>
            </w:pPr>
            <w:r>
              <w:rPr>
                <w:rFonts w:ascii="Times New Roman" w:hAnsi="Times New Roman"/>
                <w:kern w:val="0"/>
                <w:szCs w:val="24"/>
              </w:rPr>
              <w:t>0</w:t>
            </w:r>
          </w:p>
        </w:tc>
        <w:tc>
          <w:tcPr>
            <w:tcW w:w="954" w:type="dxa"/>
            <w:tcBorders>
              <w:tl2br w:val="nil"/>
              <w:tr2bl w:val="nil"/>
            </w:tcBorders>
            <w:shd w:val="clear" w:color="auto" w:fill="auto"/>
            <w:vAlign w:val="center"/>
          </w:tcPr>
          <w:p w:rsidR="00525419" w:rsidRDefault="00EE1CF7">
            <w:pPr>
              <w:widowControl/>
              <w:jc w:val="center"/>
              <w:rPr>
                <w:rFonts w:ascii="Times New Roman" w:hAnsi="Times New Roman"/>
                <w:szCs w:val="21"/>
              </w:rPr>
            </w:pPr>
            <w:r>
              <w:rPr>
                <w:rFonts w:ascii="Times New Roman" w:hAnsi="Times New Roman"/>
                <w:kern w:val="0"/>
                <w:szCs w:val="24"/>
              </w:rPr>
              <w:t>0</w:t>
            </w:r>
          </w:p>
        </w:tc>
        <w:tc>
          <w:tcPr>
            <w:tcW w:w="886" w:type="dxa"/>
            <w:tcBorders>
              <w:tl2br w:val="nil"/>
              <w:tr2bl w:val="nil"/>
            </w:tcBorders>
            <w:shd w:val="clear" w:color="auto" w:fill="auto"/>
            <w:vAlign w:val="center"/>
          </w:tcPr>
          <w:p w:rsidR="00525419" w:rsidRDefault="00EE1CF7">
            <w:pPr>
              <w:widowControl/>
              <w:jc w:val="center"/>
              <w:rPr>
                <w:rFonts w:ascii="Times New Roman" w:hAnsi="Times New Roman"/>
                <w:szCs w:val="21"/>
              </w:rPr>
            </w:pPr>
            <w:r>
              <w:rPr>
                <w:rFonts w:ascii="Times New Roman" w:hAnsi="Times New Roman"/>
                <w:kern w:val="0"/>
                <w:szCs w:val="24"/>
              </w:rPr>
              <w:t>0</w:t>
            </w:r>
          </w:p>
        </w:tc>
        <w:tc>
          <w:tcPr>
            <w:tcW w:w="955" w:type="dxa"/>
            <w:tcBorders>
              <w:tl2br w:val="nil"/>
              <w:tr2bl w:val="nil"/>
            </w:tcBorders>
            <w:shd w:val="clear" w:color="auto" w:fill="auto"/>
            <w:vAlign w:val="center"/>
          </w:tcPr>
          <w:p w:rsidR="00525419" w:rsidRDefault="00EE1CF7">
            <w:pPr>
              <w:widowControl/>
              <w:jc w:val="center"/>
              <w:rPr>
                <w:rFonts w:ascii="Times New Roman" w:hAnsi="Times New Roman"/>
                <w:szCs w:val="21"/>
              </w:rPr>
            </w:pPr>
            <w:r>
              <w:rPr>
                <w:rFonts w:ascii="Times New Roman" w:hAnsi="Times New Roman"/>
                <w:kern w:val="0"/>
                <w:szCs w:val="24"/>
              </w:rPr>
              <w:t>0</w:t>
            </w:r>
          </w:p>
        </w:tc>
        <w:tc>
          <w:tcPr>
            <w:tcW w:w="810" w:type="dxa"/>
            <w:tcBorders>
              <w:tl2br w:val="nil"/>
              <w:tr2bl w:val="nil"/>
            </w:tcBorders>
            <w:shd w:val="clear" w:color="auto" w:fill="auto"/>
            <w:vAlign w:val="center"/>
          </w:tcPr>
          <w:p w:rsidR="00525419" w:rsidRDefault="00EE1CF7">
            <w:pPr>
              <w:widowControl/>
              <w:jc w:val="center"/>
              <w:rPr>
                <w:rFonts w:ascii="Times New Roman" w:hAnsi="Times New Roman"/>
                <w:szCs w:val="21"/>
              </w:rPr>
            </w:pPr>
            <w:r>
              <w:rPr>
                <w:rFonts w:ascii="Times New Roman" w:hAnsi="Times New Roman"/>
                <w:kern w:val="0"/>
                <w:szCs w:val="24"/>
              </w:rPr>
              <w:t>0</w:t>
            </w:r>
          </w:p>
        </w:tc>
      </w:tr>
      <w:tr w:rsidR="00525419">
        <w:trPr>
          <w:trHeight w:val="286"/>
        </w:trPr>
        <w:tc>
          <w:tcPr>
            <w:tcW w:w="524"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火车站镇</w:t>
            </w:r>
          </w:p>
        </w:tc>
        <w:tc>
          <w:tcPr>
            <w:tcW w:w="532"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3435</w:t>
            </w:r>
          </w:p>
        </w:tc>
        <w:tc>
          <w:tcPr>
            <w:tcW w:w="450"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2821</w:t>
            </w:r>
          </w:p>
        </w:tc>
        <w:tc>
          <w:tcPr>
            <w:tcW w:w="518" w:type="dxa"/>
            <w:tcBorders>
              <w:tl2br w:val="nil"/>
              <w:tr2bl w:val="nil"/>
            </w:tcBorders>
            <w:shd w:val="clear" w:color="auto" w:fill="auto"/>
            <w:vAlign w:val="center"/>
          </w:tcPr>
          <w:p w:rsidR="00525419" w:rsidRDefault="00EE1CF7">
            <w:pPr>
              <w:widowControl/>
              <w:jc w:val="center"/>
              <w:textAlignment w:val="center"/>
              <w:rPr>
                <w:rFonts w:ascii="Times New Roman" w:hAnsi="Times New Roman"/>
                <w:szCs w:val="21"/>
              </w:rPr>
            </w:pPr>
            <w:r>
              <w:rPr>
                <w:rFonts w:ascii="Times New Roman" w:hAnsi="Times New Roman"/>
                <w:kern w:val="0"/>
                <w:szCs w:val="21"/>
                <w:lang w:bidi="ar"/>
              </w:rPr>
              <w:t>0</w:t>
            </w:r>
          </w:p>
        </w:tc>
        <w:tc>
          <w:tcPr>
            <w:tcW w:w="1228" w:type="dxa"/>
            <w:tcBorders>
              <w:tl2br w:val="nil"/>
              <w:tr2bl w:val="nil"/>
            </w:tcBorders>
            <w:shd w:val="clear" w:color="auto" w:fill="auto"/>
            <w:vAlign w:val="center"/>
          </w:tcPr>
          <w:p w:rsidR="00525419" w:rsidRDefault="00EE1CF7">
            <w:pPr>
              <w:widowControl/>
              <w:jc w:val="center"/>
              <w:rPr>
                <w:rFonts w:ascii="Times New Roman" w:hAnsi="Times New Roman"/>
                <w:szCs w:val="21"/>
              </w:rPr>
            </w:pPr>
            <w:r>
              <w:rPr>
                <w:rFonts w:ascii="Times New Roman" w:hAnsi="Times New Roman"/>
                <w:kern w:val="0"/>
                <w:szCs w:val="24"/>
              </w:rPr>
              <w:t>0.0|5</w:t>
            </w:r>
          </w:p>
        </w:tc>
        <w:tc>
          <w:tcPr>
            <w:tcW w:w="613" w:type="dxa"/>
            <w:tcBorders>
              <w:tl2br w:val="nil"/>
              <w:tr2bl w:val="nil"/>
            </w:tcBorders>
            <w:shd w:val="clear" w:color="auto" w:fill="auto"/>
            <w:vAlign w:val="center"/>
          </w:tcPr>
          <w:p w:rsidR="00525419" w:rsidRDefault="00EE1CF7">
            <w:pPr>
              <w:widowControl/>
              <w:jc w:val="center"/>
              <w:rPr>
                <w:rFonts w:ascii="Times New Roman" w:hAnsi="Times New Roman"/>
                <w:szCs w:val="21"/>
              </w:rPr>
            </w:pPr>
            <w:r>
              <w:rPr>
                <w:rFonts w:ascii="Times New Roman" w:hAnsi="Times New Roman"/>
                <w:kern w:val="0"/>
                <w:szCs w:val="24"/>
              </w:rPr>
              <w:t>0</w:t>
            </w:r>
          </w:p>
        </w:tc>
        <w:tc>
          <w:tcPr>
            <w:tcW w:w="860" w:type="dxa"/>
            <w:tcBorders>
              <w:tl2br w:val="nil"/>
              <w:tr2bl w:val="nil"/>
            </w:tcBorders>
            <w:shd w:val="clear" w:color="auto" w:fill="auto"/>
            <w:vAlign w:val="center"/>
          </w:tcPr>
          <w:p w:rsidR="00525419" w:rsidRDefault="00EE1CF7">
            <w:pPr>
              <w:widowControl/>
              <w:jc w:val="center"/>
              <w:rPr>
                <w:rFonts w:ascii="Times New Roman" w:hAnsi="Times New Roman"/>
                <w:szCs w:val="21"/>
              </w:rPr>
            </w:pPr>
            <w:r>
              <w:rPr>
                <w:rFonts w:ascii="Times New Roman" w:hAnsi="Times New Roman"/>
                <w:kern w:val="0"/>
                <w:szCs w:val="24"/>
              </w:rPr>
              <w:t>0</w:t>
            </w:r>
          </w:p>
        </w:tc>
        <w:tc>
          <w:tcPr>
            <w:tcW w:w="954" w:type="dxa"/>
            <w:tcBorders>
              <w:tl2br w:val="nil"/>
              <w:tr2bl w:val="nil"/>
            </w:tcBorders>
            <w:shd w:val="clear" w:color="auto" w:fill="auto"/>
            <w:vAlign w:val="center"/>
          </w:tcPr>
          <w:p w:rsidR="00525419" w:rsidRDefault="00EE1CF7">
            <w:pPr>
              <w:widowControl/>
              <w:jc w:val="center"/>
              <w:rPr>
                <w:rFonts w:ascii="Times New Roman" w:hAnsi="Times New Roman"/>
                <w:szCs w:val="21"/>
              </w:rPr>
            </w:pPr>
            <w:r>
              <w:rPr>
                <w:rFonts w:ascii="Times New Roman" w:hAnsi="Times New Roman"/>
                <w:kern w:val="0"/>
                <w:szCs w:val="24"/>
              </w:rPr>
              <w:t>0</w:t>
            </w:r>
          </w:p>
        </w:tc>
        <w:tc>
          <w:tcPr>
            <w:tcW w:w="886" w:type="dxa"/>
            <w:tcBorders>
              <w:tl2br w:val="nil"/>
              <w:tr2bl w:val="nil"/>
            </w:tcBorders>
            <w:shd w:val="clear" w:color="auto" w:fill="auto"/>
            <w:vAlign w:val="center"/>
          </w:tcPr>
          <w:p w:rsidR="00525419" w:rsidRDefault="00EE1CF7">
            <w:pPr>
              <w:widowControl/>
              <w:jc w:val="center"/>
              <w:rPr>
                <w:rFonts w:ascii="Times New Roman" w:hAnsi="Times New Roman"/>
                <w:szCs w:val="21"/>
              </w:rPr>
            </w:pPr>
            <w:r>
              <w:rPr>
                <w:rFonts w:ascii="Times New Roman" w:hAnsi="Times New Roman"/>
                <w:kern w:val="0"/>
                <w:szCs w:val="24"/>
              </w:rPr>
              <w:t>0</w:t>
            </w:r>
          </w:p>
        </w:tc>
        <w:tc>
          <w:tcPr>
            <w:tcW w:w="955" w:type="dxa"/>
            <w:tcBorders>
              <w:tl2br w:val="nil"/>
              <w:tr2bl w:val="nil"/>
            </w:tcBorders>
            <w:shd w:val="clear" w:color="auto" w:fill="auto"/>
            <w:vAlign w:val="center"/>
          </w:tcPr>
          <w:p w:rsidR="00525419" w:rsidRDefault="00EE1CF7">
            <w:pPr>
              <w:widowControl/>
              <w:jc w:val="center"/>
              <w:rPr>
                <w:rFonts w:ascii="Times New Roman" w:hAnsi="Times New Roman"/>
                <w:szCs w:val="21"/>
              </w:rPr>
            </w:pPr>
            <w:r>
              <w:rPr>
                <w:rFonts w:ascii="Times New Roman" w:hAnsi="Times New Roman"/>
                <w:kern w:val="0"/>
                <w:szCs w:val="24"/>
              </w:rPr>
              <w:t>0</w:t>
            </w:r>
          </w:p>
        </w:tc>
        <w:tc>
          <w:tcPr>
            <w:tcW w:w="810" w:type="dxa"/>
            <w:tcBorders>
              <w:tl2br w:val="nil"/>
              <w:tr2bl w:val="nil"/>
            </w:tcBorders>
            <w:shd w:val="clear" w:color="auto" w:fill="auto"/>
            <w:vAlign w:val="center"/>
          </w:tcPr>
          <w:p w:rsidR="00525419" w:rsidRDefault="00EE1CF7">
            <w:pPr>
              <w:widowControl/>
              <w:jc w:val="center"/>
              <w:rPr>
                <w:rFonts w:ascii="Times New Roman" w:hAnsi="Times New Roman"/>
                <w:szCs w:val="21"/>
              </w:rPr>
            </w:pPr>
            <w:r>
              <w:rPr>
                <w:rFonts w:ascii="Times New Roman" w:hAnsi="Times New Roman"/>
                <w:kern w:val="0"/>
                <w:szCs w:val="24"/>
              </w:rPr>
              <w:t>0</w:t>
            </w:r>
          </w:p>
        </w:tc>
      </w:tr>
    </w:tbl>
    <w:p w:rsidR="00525419" w:rsidRDefault="00525419">
      <w:pPr>
        <w:widowControl/>
        <w:jc w:val="center"/>
        <w:rPr>
          <w:rFonts w:ascii="Times New Roman" w:hAnsi="Times New Roman"/>
          <w:kern w:val="0"/>
          <w:szCs w:val="24"/>
        </w:rPr>
      </w:pP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2</w:t>
      </w:r>
      <w:r>
        <w:rPr>
          <w:rFonts w:ascii="Times New Roman" w:hAnsi="Times New Roman"/>
          <w:kern w:val="0"/>
          <w:sz w:val="24"/>
          <w:szCs w:val="24"/>
        </w:rPr>
        <w:t>）火灾产生</w:t>
      </w:r>
      <w:r>
        <w:rPr>
          <w:rFonts w:ascii="Times New Roman" w:hAnsi="Times New Roman"/>
          <w:kern w:val="0"/>
          <w:sz w:val="24"/>
          <w:szCs w:val="24"/>
        </w:rPr>
        <w:t>CO</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sym w:font="Wingdings" w:char="F081"/>
      </w:r>
      <w:r>
        <w:rPr>
          <w:rFonts w:ascii="Times New Roman" w:hAnsi="Times New Roman"/>
          <w:kern w:val="0"/>
          <w:sz w:val="24"/>
          <w:szCs w:val="24"/>
        </w:rPr>
        <w:t>轴线的最大浓度</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轴线最大浓度为</w:t>
      </w:r>
      <w:r>
        <w:rPr>
          <w:rFonts w:ascii="Times New Roman" w:hAnsi="Times New Roman"/>
          <w:kern w:val="0"/>
          <w:sz w:val="24"/>
          <w:szCs w:val="24"/>
        </w:rPr>
        <w:t>205mg/m</w:t>
      </w:r>
      <w:r>
        <w:rPr>
          <w:rFonts w:ascii="Times New Roman" w:hAnsi="Times New Roman"/>
          <w:kern w:val="0"/>
          <w:sz w:val="24"/>
          <w:szCs w:val="24"/>
          <w:vertAlign w:val="superscript"/>
        </w:rPr>
        <w:t>3</w:t>
      </w:r>
      <w:r>
        <w:rPr>
          <w:rFonts w:ascii="Times New Roman" w:hAnsi="Times New Roman"/>
          <w:kern w:val="0"/>
          <w:sz w:val="24"/>
          <w:szCs w:val="24"/>
        </w:rPr>
        <w:t>、出现时刻为火灾事故发生</w:t>
      </w:r>
      <w:r>
        <w:rPr>
          <w:rFonts w:ascii="Times New Roman" w:hAnsi="Times New Roman"/>
          <w:kern w:val="0"/>
          <w:sz w:val="24"/>
          <w:szCs w:val="24"/>
        </w:rPr>
        <w:t>0.1min</w:t>
      </w:r>
      <w:r>
        <w:rPr>
          <w:rFonts w:ascii="Times New Roman" w:hAnsi="Times New Roman"/>
          <w:kern w:val="0"/>
          <w:sz w:val="24"/>
          <w:szCs w:val="24"/>
        </w:rPr>
        <w:t>左右、出现的距离为项目厂界外</w:t>
      </w:r>
      <w:r>
        <w:rPr>
          <w:rFonts w:ascii="Times New Roman" w:hAnsi="Times New Roman"/>
          <w:kern w:val="0"/>
          <w:sz w:val="24"/>
          <w:szCs w:val="24"/>
        </w:rPr>
        <w:t>10m</w:t>
      </w:r>
      <w:r>
        <w:rPr>
          <w:rFonts w:ascii="Times New Roman" w:hAnsi="Times New Roman"/>
          <w:kern w:val="0"/>
          <w:sz w:val="24"/>
          <w:szCs w:val="24"/>
        </w:rPr>
        <w:t>；随着距离的增加，浓度逐渐减小。</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预测</w:t>
      </w:r>
      <w:r>
        <w:rPr>
          <w:rFonts w:ascii="Times New Roman" w:hAnsi="Times New Roman"/>
          <w:kern w:val="0"/>
          <w:sz w:val="24"/>
          <w:szCs w:val="24"/>
        </w:rPr>
        <w:t>CO</w:t>
      </w:r>
      <w:r>
        <w:rPr>
          <w:rFonts w:ascii="Times New Roman" w:hAnsi="Times New Roman"/>
          <w:kern w:val="0"/>
          <w:sz w:val="24"/>
          <w:szCs w:val="24"/>
        </w:rPr>
        <w:t>轴线的最大浓度</w:t>
      </w:r>
      <w:r>
        <w:rPr>
          <w:rFonts w:ascii="Times New Roman" w:hAnsi="Times New Roman"/>
          <w:kern w:val="0"/>
          <w:sz w:val="24"/>
          <w:szCs w:val="24"/>
        </w:rPr>
        <w:t>-</w:t>
      </w:r>
      <w:r>
        <w:rPr>
          <w:rFonts w:ascii="Times New Roman" w:hAnsi="Times New Roman"/>
          <w:kern w:val="0"/>
          <w:sz w:val="24"/>
          <w:szCs w:val="24"/>
        </w:rPr>
        <w:t>距离曲线见图</w:t>
      </w:r>
      <w:r>
        <w:rPr>
          <w:rFonts w:ascii="Times New Roman" w:hAnsi="Times New Roman"/>
          <w:kern w:val="0"/>
          <w:sz w:val="24"/>
          <w:szCs w:val="24"/>
        </w:rPr>
        <w:t>5.6-3</w:t>
      </w:r>
      <w:r>
        <w:rPr>
          <w:rFonts w:ascii="Times New Roman" w:hAnsi="Times New Roman"/>
          <w:kern w:val="0"/>
          <w:sz w:val="24"/>
          <w:szCs w:val="24"/>
        </w:rPr>
        <w:t>。</w:t>
      </w:r>
    </w:p>
    <w:p w:rsidR="00525419" w:rsidRDefault="00EE1CF7">
      <w:pPr>
        <w:pStyle w:val="afb"/>
        <w:rPr>
          <w:sz w:val="24"/>
        </w:rPr>
      </w:pPr>
      <w:r>
        <w:rPr>
          <w:noProof/>
        </w:rPr>
        <w:lastRenderedPageBreak/>
        <w:drawing>
          <wp:inline distT="0" distB="0" distL="114300" distR="114300">
            <wp:extent cx="5269865" cy="2648585"/>
            <wp:effectExtent l="0" t="0" r="6985" b="18415"/>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45"/>
                    <a:stretch>
                      <a:fillRect/>
                    </a:stretch>
                  </pic:blipFill>
                  <pic:spPr>
                    <a:xfrm>
                      <a:off x="0" y="0"/>
                      <a:ext cx="5269865" cy="2648585"/>
                    </a:xfrm>
                    <a:prstGeom prst="rect">
                      <a:avLst/>
                    </a:prstGeom>
                    <a:noFill/>
                    <a:ln w="9525">
                      <a:noFill/>
                    </a:ln>
                  </pic:spPr>
                </pic:pic>
              </a:graphicData>
            </a:graphic>
          </wp:inline>
        </w:drawing>
      </w:r>
    </w:p>
    <w:p w:rsidR="00525419" w:rsidRDefault="00EE1CF7">
      <w:pPr>
        <w:widowControl/>
        <w:adjustRightInd w:val="0"/>
        <w:snapToGrid w:val="0"/>
        <w:spacing w:before="120"/>
        <w:jc w:val="center"/>
        <w:rPr>
          <w:rFonts w:ascii="Times New Roman" w:hAnsi="Times New Roman"/>
          <w:b/>
          <w:snapToGrid w:val="0"/>
          <w:kern w:val="0"/>
          <w:sz w:val="24"/>
          <w:szCs w:val="28"/>
        </w:rPr>
      </w:pPr>
      <w:r>
        <w:rPr>
          <w:rFonts w:ascii="Times New Roman" w:hAnsi="Times New Roman"/>
          <w:b/>
          <w:snapToGrid w:val="0"/>
          <w:kern w:val="0"/>
          <w:sz w:val="24"/>
          <w:szCs w:val="28"/>
        </w:rPr>
        <w:t>图</w:t>
      </w:r>
      <w:r>
        <w:rPr>
          <w:rFonts w:ascii="Times New Roman" w:hAnsi="Times New Roman"/>
          <w:b/>
          <w:snapToGrid w:val="0"/>
          <w:kern w:val="0"/>
          <w:sz w:val="24"/>
          <w:szCs w:val="28"/>
        </w:rPr>
        <w:t xml:space="preserve">5.6-3   </w:t>
      </w:r>
      <w:r>
        <w:rPr>
          <w:rFonts w:ascii="Times New Roman" w:hAnsi="Times New Roman"/>
          <w:b/>
          <w:snapToGrid w:val="0"/>
          <w:kern w:val="0"/>
          <w:sz w:val="24"/>
          <w:szCs w:val="28"/>
        </w:rPr>
        <w:t>事故情况下</w:t>
      </w:r>
      <w:r>
        <w:rPr>
          <w:rFonts w:ascii="Times New Roman" w:hAnsi="Times New Roman"/>
          <w:b/>
          <w:snapToGrid w:val="0"/>
          <w:kern w:val="0"/>
          <w:sz w:val="24"/>
          <w:szCs w:val="28"/>
        </w:rPr>
        <w:t>CO</w:t>
      </w:r>
      <w:r>
        <w:rPr>
          <w:rFonts w:ascii="Times New Roman" w:hAnsi="Times New Roman"/>
          <w:b/>
          <w:snapToGrid w:val="0"/>
          <w:kern w:val="0"/>
          <w:sz w:val="24"/>
          <w:szCs w:val="28"/>
        </w:rPr>
        <w:t>轴线最大浓度</w:t>
      </w:r>
      <w:r>
        <w:rPr>
          <w:rFonts w:ascii="Times New Roman" w:hAnsi="Times New Roman"/>
          <w:b/>
          <w:snapToGrid w:val="0"/>
          <w:kern w:val="0"/>
          <w:sz w:val="24"/>
          <w:szCs w:val="28"/>
        </w:rPr>
        <w:t>-</w:t>
      </w:r>
      <w:r>
        <w:rPr>
          <w:rFonts w:ascii="Times New Roman" w:hAnsi="Times New Roman"/>
          <w:b/>
          <w:snapToGrid w:val="0"/>
          <w:kern w:val="0"/>
          <w:sz w:val="24"/>
          <w:szCs w:val="28"/>
        </w:rPr>
        <w:t>距离曲线图</w:t>
      </w:r>
    </w:p>
    <w:p w:rsidR="00525419" w:rsidRDefault="00525419">
      <w:pPr>
        <w:widowControl/>
        <w:jc w:val="center"/>
        <w:rPr>
          <w:rFonts w:ascii="Times New Roman" w:hAnsi="Times New Roman"/>
          <w:kern w:val="0"/>
          <w:szCs w:val="24"/>
        </w:rPr>
      </w:pP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sym w:font="Wingdings" w:char="F082"/>
      </w:r>
      <w:r>
        <w:rPr>
          <w:rFonts w:ascii="Times New Roman" w:hAnsi="Times New Roman"/>
          <w:kern w:val="0"/>
          <w:sz w:val="24"/>
          <w:szCs w:val="24"/>
        </w:rPr>
        <w:t>最大影响范围</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事故情况下，</w:t>
      </w:r>
      <w:r>
        <w:rPr>
          <w:rFonts w:ascii="Times New Roman" w:hAnsi="Times New Roman"/>
          <w:kern w:val="0"/>
          <w:sz w:val="24"/>
          <w:szCs w:val="24"/>
        </w:rPr>
        <w:t>CO</w:t>
      </w:r>
      <w:r>
        <w:rPr>
          <w:rFonts w:ascii="Times New Roman" w:hAnsi="Times New Roman"/>
          <w:kern w:val="0"/>
          <w:sz w:val="24"/>
          <w:szCs w:val="24"/>
        </w:rPr>
        <w:t>各阈值的廓线对应的位置见表</w:t>
      </w:r>
      <w:r>
        <w:rPr>
          <w:rFonts w:ascii="Times New Roman" w:hAnsi="Times New Roman"/>
          <w:kern w:val="0"/>
          <w:sz w:val="24"/>
          <w:szCs w:val="24"/>
        </w:rPr>
        <w:t>5.6-27</w:t>
      </w:r>
      <w:r>
        <w:rPr>
          <w:rFonts w:ascii="Times New Roman" w:hAnsi="Times New Roman"/>
          <w:kern w:val="0"/>
          <w:sz w:val="24"/>
          <w:szCs w:val="24"/>
        </w:rPr>
        <w:t>。</w:t>
      </w:r>
    </w:p>
    <w:p w:rsidR="00525419" w:rsidRDefault="00EE1CF7">
      <w:pPr>
        <w:ind w:firstLineChars="700" w:firstLine="1470"/>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5.6-27   </w:t>
      </w:r>
      <w:r>
        <w:rPr>
          <w:rFonts w:ascii="Times New Roman" w:eastAsia="黑体" w:hAnsi="Times New Roman"/>
          <w:szCs w:val="21"/>
        </w:rPr>
        <w:t>项目事故情况下</w:t>
      </w:r>
      <w:r>
        <w:rPr>
          <w:rFonts w:ascii="Times New Roman" w:eastAsia="黑体" w:hAnsi="Times New Roman"/>
          <w:szCs w:val="21"/>
        </w:rPr>
        <w:t>CO</w:t>
      </w:r>
      <w:r>
        <w:rPr>
          <w:rFonts w:ascii="Times New Roman" w:eastAsia="黑体" w:hAnsi="Times New Roman"/>
          <w:szCs w:val="21"/>
        </w:rPr>
        <w:t>阈值的廓线对应的位置一览表</w:t>
      </w:r>
    </w:p>
    <w:tbl>
      <w:tblPr>
        <w:tblW w:w="850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906"/>
        <w:gridCol w:w="1410"/>
        <w:gridCol w:w="1579"/>
        <w:gridCol w:w="1805"/>
        <w:gridCol w:w="1805"/>
      </w:tblGrid>
      <w:tr w:rsidR="00525419">
        <w:trPr>
          <w:trHeight w:val="397"/>
        </w:trPr>
        <w:tc>
          <w:tcPr>
            <w:tcW w:w="1906"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阈值（</w:t>
            </w:r>
            <w:r>
              <w:rPr>
                <w:rFonts w:ascii="Times New Roman" w:hAnsi="Times New Roman"/>
                <w:kern w:val="0"/>
                <w:szCs w:val="24"/>
              </w:rPr>
              <w:t>mg/m</w:t>
            </w:r>
            <w:r>
              <w:rPr>
                <w:rFonts w:ascii="Times New Roman" w:hAnsi="Times New Roman"/>
                <w:kern w:val="0"/>
                <w:szCs w:val="24"/>
                <w:vertAlign w:val="superscript"/>
              </w:rPr>
              <w:t>3</w:t>
            </w:r>
            <w:r>
              <w:rPr>
                <w:rFonts w:ascii="Times New Roman" w:hAnsi="Times New Roman"/>
                <w:kern w:val="0"/>
                <w:szCs w:val="24"/>
              </w:rPr>
              <w:t>）</w:t>
            </w:r>
          </w:p>
        </w:tc>
        <w:tc>
          <w:tcPr>
            <w:tcW w:w="1410"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X</w:t>
            </w:r>
            <w:r>
              <w:rPr>
                <w:rFonts w:ascii="Times New Roman" w:hAnsi="Times New Roman"/>
                <w:kern w:val="0"/>
                <w:szCs w:val="24"/>
              </w:rPr>
              <w:t>起点</w:t>
            </w:r>
            <w:r>
              <w:rPr>
                <w:rFonts w:ascii="Times New Roman" w:hAnsi="Times New Roman"/>
                <w:kern w:val="0"/>
                <w:szCs w:val="24"/>
              </w:rPr>
              <w:t>(m)</w:t>
            </w:r>
          </w:p>
        </w:tc>
        <w:tc>
          <w:tcPr>
            <w:tcW w:w="157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X</w:t>
            </w:r>
            <w:r>
              <w:rPr>
                <w:rFonts w:ascii="Times New Roman" w:hAnsi="Times New Roman"/>
                <w:kern w:val="0"/>
                <w:szCs w:val="24"/>
              </w:rPr>
              <w:t>终点</w:t>
            </w:r>
            <w:r>
              <w:rPr>
                <w:rFonts w:ascii="Times New Roman" w:hAnsi="Times New Roman"/>
                <w:kern w:val="0"/>
                <w:szCs w:val="24"/>
              </w:rPr>
              <w:t>(m)</w:t>
            </w:r>
          </w:p>
        </w:tc>
        <w:tc>
          <w:tcPr>
            <w:tcW w:w="180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最大半宽</w:t>
            </w:r>
            <w:r>
              <w:rPr>
                <w:rFonts w:ascii="Times New Roman" w:hAnsi="Times New Roman"/>
                <w:kern w:val="0"/>
                <w:szCs w:val="24"/>
              </w:rPr>
              <w:t>(m)</w:t>
            </w:r>
          </w:p>
        </w:tc>
        <w:tc>
          <w:tcPr>
            <w:tcW w:w="180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最大半宽对应</w:t>
            </w:r>
            <w:r>
              <w:rPr>
                <w:rFonts w:ascii="Times New Roman" w:hAnsi="Times New Roman"/>
                <w:kern w:val="0"/>
                <w:szCs w:val="24"/>
              </w:rPr>
              <w:t>X(m)</w:t>
            </w:r>
          </w:p>
        </w:tc>
      </w:tr>
      <w:tr w:rsidR="00525419">
        <w:trPr>
          <w:trHeight w:val="397"/>
        </w:trPr>
        <w:tc>
          <w:tcPr>
            <w:tcW w:w="1906"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18"/>
              </w:rPr>
              <w:t>95</w:t>
            </w:r>
          </w:p>
        </w:tc>
        <w:tc>
          <w:tcPr>
            <w:tcW w:w="1410"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10</w:t>
            </w:r>
          </w:p>
        </w:tc>
        <w:tc>
          <w:tcPr>
            <w:tcW w:w="1579"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10</w:t>
            </w:r>
          </w:p>
        </w:tc>
        <w:tc>
          <w:tcPr>
            <w:tcW w:w="180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w:t>
            </w:r>
          </w:p>
        </w:tc>
        <w:tc>
          <w:tcPr>
            <w:tcW w:w="1805" w:type="dxa"/>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10</w:t>
            </w:r>
          </w:p>
        </w:tc>
      </w:tr>
      <w:tr w:rsidR="00525419">
        <w:trPr>
          <w:trHeight w:val="397"/>
        </w:trPr>
        <w:tc>
          <w:tcPr>
            <w:tcW w:w="1906" w:type="dxa"/>
            <w:vAlign w:val="center"/>
          </w:tcPr>
          <w:p w:rsidR="00525419" w:rsidRDefault="00EE1CF7">
            <w:pPr>
              <w:widowControl/>
              <w:jc w:val="center"/>
              <w:rPr>
                <w:rFonts w:ascii="Times New Roman" w:hAnsi="Times New Roman"/>
                <w:kern w:val="0"/>
                <w:szCs w:val="18"/>
              </w:rPr>
            </w:pPr>
            <w:r>
              <w:rPr>
                <w:rFonts w:ascii="Times New Roman" w:hAnsi="Times New Roman"/>
                <w:kern w:val="0"/>
                <w:szCs w:val="18"/>
              </w:rPr>
              <w:t>380</w:t>
            </w:r>
          </w:p>
        </w:tc>
        <w:tc>
          <w:tcPr>
            <w:tcW w:w="6599" w:type="dxa"/>
            <w:gridSpan w:val="4"/>
            <w:vAlign w:val="center"/>
          </w:tcPr>
          <w:p w:rsidR="00525419" w:rsidRDefault="00EE1CF7">
            <w:pPr>
              <w:widowControl/>
              <w:jc w:val="center"/>
              <w:rPr>
                <w:rFonts w:ascii="Times New Roman" w:hAnsi="Times New Roman"/>
                <w:kern w:val="0"/>
                <w:szCs w:val="24"/>
              </w:rPr>
            </w:pPr>
            <w:r>
              <w:rPr>
                <w:rFonts w:ascii="Times New Roman" w:hAnsi="Times New Roman"/>
                <w:sz w:val="18"/>
                <w:lang w:val="zh-CN"/>
              </w:rPr>
              <w:t>此阈值及以上，无对应位置，因计算浓度均小于此阈值</w:t>
            </w:r>
          </w:p>
        </w:tc>
      </w:tr>
    </w:tbl>
    <w:p w:rsidR="00525419" w:rsidRDefault="00525419">
      <w:pPr>
        <w:widowControl/>
        <w:spacing w:line="360" w:lineRule="auto"/>
        <w:jc w:val="left"/>
        <w:rPr>
          <w:rFonts w:ascii="Times New Roman" w:hAnsi="Times New Roman"/>
        </w:rPr>
      </w:pPr>
    </w:p>
    <w:p w:rsidR="00525419" w:rsidRDefault="00EE1CF7">
      <w:pPr>
        <w:widowControl/>
        <w:adjustRightInd w:val="0"/>
        <w:snapToGrid w:val="0"/>
        <w:spacing w:before="120"/>
        <w:jc w:val="center"/>
        <w:rPr>
          <w:rFonts w:ascii="Times New Roman" w:hAnsi="Times New Roman"/>
          <w:b/>
          <w:snapToGrid w:val="0"/>
          <w:kern w:val="0"/>
          <w:sz w:val="24"/>
          <w:szCs w:val="28"/>
        </w:rPr>
      </w:pPr>
      <w:r>
        <w:rPr>
          <w:rFonts w:ascii="Times New Roman" w:hAnsi="Times New Roman"/>
          <w:b/>
          <w:snapToGrid w:val="0"/>
          <w:kern w:val="0"/>
          <w:sz w:val="24"/>
          <w:szCs w:val="28"/>
        </w:rPr>
        <w:t>图</w:t>
      </w:r>
      <w:r>
        <w:rPr>
          <w:rFonts w:ascii="Times New Roman" w:hAnsi="Times New Roman"/>
          <w:b/>
          <w:snapToGrid w:val="0"/>
          <w:kern w:val="0"/>
          <w:sz w:val="24"/>
          <w:szCs w:val="28"/>
        </w:rPr>
        <w:t xml:space="preserve">5.6-4   </w:t>
      </w:r>
      <w:r>
        <w:rPr>
          <w:rFonts w:ascii="Times New Roman" w:hAnsi="Times New Roman"/>
          <w:b/>
          <w:snapToGrid w:val="0"/>
          <w:kern w:val="0"/>
          <w:sz w:val="24"/>
          <w:szCs w:val="28"/>
        </w:rPr>
        <w:t>事故情况</w:t>
      </w:r>
      <w:r>
        <w:rPr>
          <w:rFonts w:ascii="Times New Roman" w:hAnsi="Times New Roman"/>
          <w:b/>
          <w:snapToGrid w:val="0"/>
          <w:kern w:val="0"/>
          <w:sz w:val="24"/>
          <w:szCs w:val="28"/>
        </w:rPr>
        <w:t>CO</w:t>
      </w:r>
      <w:r>
        <w:rPr>
          <w:rFonts w:ascii="Times New Roman" w:hAnsi="Times New Roman"/>
          <w:b/>
          <w:snapToGrid w:val="0"/>
          <w:kern w:val="0"/>
          <w:sz w:val="24"/>
          <w:szCs w:val="28"/>
        </w:rPr>
        <w:t>最大影响范围图</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从表</w:t>
      </w:r>
      <w:r>
        <w:rPr>
          <w:rFonts w:ascii="Times New Roman" w:hAnsi="Times New Roman"/>
          <w:kern w:val="0"/>
          <w:sz w:val="24"/>
          <w:szCs w:val="24"/>
        </w:rPr>
        <w:t>5.6-27</w:t>
      </w:r>
      <w:r>
        <w:rPr>
          <w:rFonts w:ascii="Times New Roman" w:hAnsi="Times New Roman"/>
          <w:kern w:val="0"/>
          <w:sz w:val="24"/>
          <w:szCs w:val="24"/>
        </w:rPr>
        <w:t>可以看出，项目事故情况</w:t>
      </w:r>
      <w:r>
        <w:rPr>
          <w:rFonts w:ascii="Times New Roman" w:hAnsi="Times New Roman"/>
          <w:kern w:val="0"/>
          <w:sz w:val="24"/>
          <w:szCs w:val="24"/>
        </w:rPr>
        <w:t>CO</w:t>
      </w:r>
      <w:r>
        <w:rPr>
          <w:rFonts w:ascii="Times New Roman" w:hAnsi="Times New Roman"/>
          <w:kern w:val="0"/>
          <w:sz w:val="24"/>
          <w:szCs w:val="24"/>
        </w:rPr>
        <w:t>的最大影响范围为距离项目区边界</w:t>
      </w:r>
      <w:r>
        <w:rPr>
          <w:rFonts w:ascii="Times New Roman" w:hAnsi="Times New Roman"/>
          <w:kern w:val="0"/>
          <w:sz w:val="24"/>
          <w:szCs w:val="24"/>
        </w:rPr>
        <w:t>10m</w:t>
      </w:r>
      <w:r>
        <w:rPr>
          <w:rFonts w:ascii="Times New Roman" w:hAnsi="Times New Roman"/>
          <w:kern w:val="0"/>
          <w:sz w:val="24"/>
          <w:szCs w:val="24"/>
        </w:rPr>
        <w:t>以内，超过</w:t>
      </w:r>
      <w:r>
        <w:rPr>
          <w:rFonts w:ascii="Times New Roman" w:hAnsi="Times New Roman"/>
          <w:kern w:val="0"/>
          <w:sz w:val="24"/>
          <w:szCs w:val="24"/>
        </w:rPr>
        <w:t>10m</w:t>
      </w:r>
      <w:r>
        <w:rPr>
          <w:rFonts w:ascii="Times New Roman" w:hAnsi="Times New Roman"/>
          <w:kern w:val="0"/>
          <w:sz w:val="24"/>
          <w:szCs w:val="24"/>
        </w:rPr>
        <w:t>后，地面轴线上的</w:t>
      </w:r>
      <w:r>
        <w:rPr>
          <w:rFonts w:ascii="Times New Roman" w:hAnsi="Times New Roman"/>
          <w:kern w:val="0"/>
          <w:sz w:val="24"/>
          <w:szCs w:val="24"/>
        </w:rPr>
        <w:t>CO</w:t>
      </w:r>
      <w:r>
        <w:rPr>
          <w:rFonts w:ascii="Times New Roman" w:hAnsi="Times New Roman"/>
          <w:kern w:val="0"/>
          <w:sz w:val="24"/>
          <w:szCs w:val="24"/>
        </w:rPr>
        <w:t>浓度低于阈值，对地面上的人群健康影响较小。</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sym w:font="Wingdings" w:char="F083"/>
      </w:r>
      <w:r>
        <w:rPr>
          <w:rFonts w:ascii="Times New Roman" w:hAnsi="Times New Roman"/>
          <w:kern w:val="0"/>
          <w:sz w:val="24"/>
          <w:szCs w:val="24"/>
        </w:rPr>
        <w:t>对环境敏感点的影响</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经模型预测，项目事故情况下，</w:t>
      </w:r>
      <w:r>
        <w:rPr>
          <w:rFonts w:ascii="Times New Roman" w:hAnsi="Times New Roman"/>
          <w:kern w:val="0"/>
          <w:sz w:val="24"/>
          <w:szCs w:val="24"/>
        </w:rPr>
        <w:t>CO</w:t>
      </w:r>
      <w:r>
        <w:rPr>
          <w:rFonts w:ascii="Times New Roman" w:hAnsi="Times New Roman"/>
          <w:kern w:val="0"/>
          <w:sz w:val="24"/>
          <w:szCs w:val="24"/>
        </w:rPr>
        <w:t>对周围所有环境敏感点基本没有影响，具体见表</w:t>
      </w:r>
      <w:r>
        <w:rPr>
          <w:rFonts w:ascii="Times New Roman" w:hAnsi="Times New Roman"/>
          <w:kern w:val="0"/>
          <w:sz w:val="24"/>
          <w:szCs w:val="24"/>
        </w:rPr>
        <w:t>5.6-28</w:t>
      </w:r>
      <w:r>
        <w:rPr>
          <w:rFonts w:ascii="Times New Roman" w:hAnsi="Times New Roman"/>
          <w:kern w:val="0"/>
          <w:sz w:val="24"/>
          <w:szCs w:val="24"/>
        </w:rPr>
        <w:t>。</w:t>
      </w:r>
    </w:p>
    <w:p w:rsidR="00525419" w:rsidRDefault="00EE1CF7">
      <w:pPr>
        <w:ind w:firstLineChars="700" w:firstLine="1470"/>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5.6-28   </w:t>
      </w:r>
      <w:r>
        <w:rPr>
          <w:rFonts w:ascii="Times New Roman" w:eastAsia="黑体" w:hAnsi="Times New Roman"/>
          <w:szCs w:val="21"/>
        </w:rPr>
        <w:t>事故情况</w:t>
      </w:r>
      <w:r>
        <w:rPr>
          <w:rFonts w:ascii="Times New Roman" w:eastAsia="黑体" w:hAnsi="Times New Roman"/>
          <w:szCs w:val="21"/>
        </w:rPr>
        <w:t>CO</w:t>
      </w:r>
      <w:r>
        <w:rPr>
          <w:rFonts w:ascii="Times New Roman" w:eastAsia="黑体" w:hAnsi="Times New Roman"/>
          <w:szCs w:val="21"/>
        </w:rPr>
        <w:t>对环境敏感点的影响一览表</w:t>
      </w:r>
    </w:p>
    <w:tbl>
      <w:tblPr>
        <w:tblW w:w="85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86"/>
        <w:gridCol w:w="814"/>
        <w:gridCol w:w="706"/>
        <w:gridCol w:w="789"/>
        <w:gridCol w:w="1056"/>
        <w:gridCol w:w="600"/>
        <w:gridCol w:w="693"/>
        <w:gridCol w:w="693"/>
        <w:gridCol w:w="693"/>
        <w:gridCol w:w="693"/>
        <w:gridCol w:w="693"/>
      </w:tblGrid>
      <w:tr w:rsidR="00525419">
        <w:trPr>
          <w:jc w:val="center"/>
        </w:trPr>
        <w:tc>
          <w:tcPr>
            <w:tcW w:w="1086" w:type="dxa"/>
            <w:noWrap/>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敏感点</w:t>
            </w:r>
          </w:p>
          <w:p w:rsidR="00525419" w:rsidRDefault="00EE1CF7">
            <w:pPr>
              <w:widowControl/>
              <w:jc w:val="center"/>
              <w:rPr>
                <w:rFonts w:ascii="Times New Roman" w:hAnsi="Times New Roman"/>
                <w:kern w:val="0"/>
                <w:szCs w:val="24"/>
              </w:rPr>
            </w:pPr>
            <w:r>
              <w:rPr>
                <w:rFonts w:ascii="Times New Roman" w:hAnsi="Times New Roman"/>
                <w:kern w:val="0"/>
                <w:szCs w:val="24"/>
              </w:rPr>
              <w:t>名称</w:t>
            </w:r>
          </w:p>
        </w:tc>
        <w:tc>
          <w:tcPr>
            <w:tcW w:w="814" w:type="dxa"/>
            <w:noWrap/>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X</w:t>
            </w:r>
          </w:p>
        </w:tc>
        <w:tc>
          <w:tcPr>
            <w:tcW w:w="706" w:type="dxa"/>
            <w:noWrap/>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Y</w:t>
            </w:r>
          </w:p>
        </w:tc>
        <w:tc>
          <w:tcPr>
            <w:tcW w:w="789" w:type="dxa"/>
            <w:noWrap/>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离地高度</w:t>
            </w:r>
          </w:p>
        </w:tc>
        <w:tc>
          <w:tcPr>
            <w:tcW w:w="1056" w:type="dxa"/>
            <w:noWrap/>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最大浓度</w:t>
            </w:r>
            <w:r>
              <w:rPr>
                <w:rFonts w:ascii="Times New Roman" w:hAnsi="Times New Roman"/>
                <w:kern w:val="0"/>
                <w:szCs w:val="24"/>
              </w:rPr>
              <w:t>|</w:t>
            </w:r>
            <w:r>
              <w:rPr>
                <w:rFonts w:ascii="Times New Roman" w:hAnsi="Times New Roman"/>
                <w:kern w:val="0"/>
                <w:szCs w:val="24"/>
              </w:rPr>
              <w:t>时间</w:t>
            </w:r>
            <w:r>
              <w:rPr>
                <w:rFonts w:ascii="Times New Roman" w:hAnsi="Times New Roman"/>
                <w:kern w:val="0"/>
                <w:szCs w:val="24"/>
              </w:rPr>
              <w:t>(min)</w:t>
            </w:r>
          </w:p>
        </w:tc>
        <w:tc>
          <w:tcPr>
            <w:tcW w:w="600" w:type="dxa"/>
            <w:noWrap/>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5</w:t>
            </w:r>
          </w:p>
          <w:p w:rsidR="00525419" w:rsidRDefault="00EE1CF7">
            <w:pPr>
              <w:widowControl/>
              <w:jc w:val="center"/>
              <w:rPr>
                <w:rFonts w:ascii="Times New Roman" w:hAnsi="Times New Roman"/>
                <w:kern w:val="0"/>
                <w:szCs w:val="24"/>
              </w:rPr>
            </w:pPr>
            <w:r>
              <w:rPr>
                <w:rFonts w:ascii="Times New Roman" w:hAnsi="Times New Roman"/>
                <w:kern w:val="0"/>
                <w:szCs w:val="24"/>
              </w:rPr>
              <w:t>min</w:t>
            </w:r>
          </w:p>
        </w:tc>
        <w:tc>
          <w:tcPr>
            <w:tcW w:w="693" w:type="dxa"/>
            <w:noWrap/>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10</w:t>
            </w:r>
          </w:p>
          <w:p w:rsidR="00525419" w:rsidRDefault="00EE1CF7">
            <w:pPr>
              <w:widowControl/>
              <w:jc w:val="center"/>
              <w:rPr>
                <w:rFonts w:ascii="Times New Roman" w:hAnsi="Times New Roman"/>
                <w:kern w:val="0"/>
                <w:szCs w:val="24"/>
              </w:rPr>
            </w:pPr>
            <w:r>
              <w:rPr>
                <w:rFonts w:ascii="Times New Roman" w:hAnsi="Times New Roman"/>
                <w:kern w:val="0"/>
                <w:szCs w:val="24"/>
              </w:rPr>
              <w:t>min</w:t>
            </w:r>
          </w:p>
        </w:tc>
        <w:tc>
          <w:tcPr>
            <w:tcW w:w="693" w:type="dxa"/>
            <w:noWrap/>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15</w:t>
            </w:r>
          </w:p>
          <w:p w:rsidR="00525419" w:rsidRDefault="00EE1CF7">
            <w:pPr>
              <w:widowControl/>
              <w:jc w:val="center"/>
              <w:rPr>
                <w:rFonts w:ascii="Times New Roman" w:hAnsi="Times New Roman"/>
                <w:kern w:val="0"/>
                <w:szCs w:val="24"/>
              </w:rPr>
            </w:pPr>
            <w:r>
              <w:rPr>
                <w:rFonts w:ascii="Times New Roman" w:hAnsi="Times New Roman"/>
                <w:kern w:val="0"/>
                <w:szCs w:val="24"/>
              </w:rPr>
              <w:t>min</w:t>
            </w:r>
          </w:p>
        </w:tc>
        <w:tc>
          <w:tcPr>
            <w:tcW w:w="693" w:type="dxa"/>
            <w:noWrap/>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20</w:t>
            </w:r>
          </w:p>
          <w:p w:rsidR="00525419" w:rsidRDefault="00EE1CF7">
            <w:pPr>
              <w:widowControl/>
              <w:jc w:val="center"/>
              <w:rPr>
                <w:rFonts w:ascii="Times New Roman" w:hAnsi="Times New Roman"/>
                <w:kern w:val="0"/>
                <w:szCs w:val="24"/>
              </w:rPr>
            </w:pPr>
            <w:r>
              <w:rPr>
                <w:rFonts w:ascii="Times New Roman" w:hAnsi="Times New Roman"/>
                <w:kern w:val="0"/>
                <w:szCs w:val="24"/>
              </w:rPr>
              <w:t>min</w:t>
            </w:r>
          </w:p>
        </w:tc>
        <w:tc>
          <w:tcPr>
            <w:tcW w:w="693" w:type="dxa"/>
            <w:noWrap/>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25</w:t>
            </w:r>
          </w:p>
          <w:p w:rsidR="00525419" w:rsidRDefault="00EE1CF7">
            <w:pPr>
              <w:widowControl/>
              <w:jc w:val="center"/>
              <w:rPr>
                <w:rFonts w:ascii="Times New Roman" w:hAnsi="Times New Roman"/>
                <w:kern w:val="0"/>
                <w:szCs w:val="24"/>
              </w:rPr>
            </w:pPr>
            <w:r>
              <w:rPr>
                <w:rFonts w:ascii="Times New Roman" w:hAnsi="Times New Roman"/>
                <w:kern w:val="0"/>
                <w:szCs w:val="24"/>
              </w:rPr>
              <w:t>min</w:t>
            </w:r>
          </w:p>
        </w:tc>
        <w:tc>
          <w:tcPr>
            <w:tcW w:w="693" w:type="dxa"/>
            <w:noWrap/>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30</w:t>
            </w:r>
          </w:p>
          <w:p w:rsidR="00525419" w:rsidRDefault="00EE1CF7">
            <w:pPr>
              <w:widowControl/>
              <w:jc w:val="center"/>
              <w:rPr>
                <w:rFonts w:ascii="Times New Roman" w:hAnsi="Times New Roman"/>
                <w:kern w:val="0"/>
                <w:szCs w:val="24"/>
              </w:rPr>
            </w:pPr>
            <w:r>
              <w:rPr>
                <w:rFonts w:ascii="Times New Roman" w:hAnsi="Times New Roman"/>
                <w:kern w:val="0"/>
                <w:szCs w:val="24"/>
              </w:rPr>
              <w:t>min</w:t>
            </w:r>
          </w:p>
        </w:tc>
      </w:tr>
      <w:tr w:rsidR="00525419">
        <w:trPr>
          <w:jc w:val="center"/>
        </w:trPr>
        <w:tc>
          <w:tcPr>
            <w:tcW w:w="1086" w:type="dxa"/>
            <w:noWrap/>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鄯善</w:t>
            </w:r>
          </w:p>
          <w:p w:rsidR="00525419" w:rsidRDefault="00EE1CF7">
            <w:pPr>
              <w:widowControl/>
              <w:jc w:val="center"/>
              <w:rPr>
                <w:rFonts w:ascii="Times New Roman" w:hAnsi="Times New Roman"/>
                <w:kern w:val="0"/>
                <w:szCs w:val="24"/>
              </w:rPr>
            </w:pPr>
            <w:r>
              <w:rPr>
                <w:rFonts w:ascii="Times New Roman" w:hAnsi="Times New Roman"/>
                <w:kern w:val="0"/>
                <w:szCs w:val="24"/>
              </w:rPr>
              <w:t>火车站</w:t>
            </w:r>
          </w:p>
        </w:tc>
        <w:tc>
          <w:tcPr>
            <w:tcW w:w="814" w:type="dxa"/>
            <w:noWrap/>
            <w:vAlign w:val="center"/>
          </w:tcPr>
          <w:p w:rsidR="00525419" w:rsidRDefault="00EE1CF7">
            <w:pPr>
              <w:widowControl/>
              <w:jc w:val="center"/>
              <w:textAlignment w:val="center"/>
              <w:rPr>
                <w:rFonts w:ascii="Times New Roman" w:hAnsi="Times New Roman"/>
                <w:kern w:val="0"/>
                <w:szCs w:val="24"/>
              </w:rPr>
            </w:pPr>
            <w:r>
              <w:rPr>
                <w:rFonts w:ascii="Times New Roman" w:hAnsi="Times New Roman"/>
                <w:kern w:val="0"/>
                <w:szCs w:val="21"/>
                <w:lang w:bidi="ar"/>
              </w:rPr>
              <w:t>2053</w:t>
            </w:r>
          </w:p>
        </w:tc>
        <w:tc>
          <w:tcPr>
            <w:tcW w:w="706" w:type="dxa"/>
            <w:noWrap/>
            <w:vAlign w:val="center"/>
          </w:tcPr>
          <w:p w:rsidR="00525419" w:rsidRDefault="00EE1CF7">
            <w:pPr>
              <w:widowControl/>
              <w:jc w:val="center"/>
              <w:textAlignment w:val="center"/>
              <w:rPr>
                <w:rFonts w:ascii="Times New Roman" w:hAnsi="Times New Roman"/>
                <w:kern w:val="0"/>
                <w:szCs w:val="24"/>
              </w:rPr>
            </w:pPr>
            <w:r>
              <w:rPr>
                <w:rFonts w:ascii="Times New Roman" w:hAnsi="Times New Roman"/>
                <w:kern w:val="0"/>
                <w:szCs w:val="21"/>
                <w:lang w:bidi="ar"/>
              </w:rPr>
              <w:t>4022</w:t>
            </w:r>
          </w:p>
        </w:tc>
        <w:tc>
          <w:tcPr>
            <w:tcW w:w="789" w:type="dxa"/>
            <w:noWrap/>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w:t>
            </w:r>
          </w:p>
        </w:tc>
        <w:tc>
          <w:tcPr>
            <w:tcW w:w="1056" w:type="dxa"/>
            <w:noWrap/>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0.0|5</w:t>
            </w:r>
          </w:p>
        </w:tc>
        <w:tc>
          <w:tcPr>
            <w:tcW w:w="600" w:type="dxa"/>
            <w:noWrap/>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w:t>
            </w:r>
          </w:p>
        </w:tc>
        <w:tc>
          <w:tcPr>
            <w:tcW w:w="693" w:type="dxa"/>
            <w:noWrap/>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w:t>
            </w:r>
          </w:p>
        </w:tc>
        <w:tc>
          <w:tcPr>
            <w:tcW w:w="693" w:type="dxa"/>
            <w:noWrap/>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w:t>
            </w:r>
          </w:p>
        </w:tc>
        <w:tc>
          <w:tcPr>
            <w:tcW w:w="693" w:type="dxa"/>
            <w:noWrap/>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w:t>
            </w:r>
          </w:p>
        </w:tc>
        <w:tc>
          <w:tcPr>
            <w:tcW w:w="693" w:type="dxa"/>
            <w:noWrap/>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w:t>
            </w:r>
          </w:p>
        </w:tc>
        <w:tc>
          <w:tcPr>
            <w:tcW w:w="693" w:type="dxa"/>
            <w:noWrap/>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w:t>
            </w:r>
          </w:p>
        </w:tc>
      </w:tr>
      <w:tr w:rsidR="00525419">
        <w:trPr>
          <w:jc w:val="center"/>
        </w:trPr>
        <w:tc>
          <w:tcPr>
            <w:tcW w:w="1086" w:type="dxa"/>
            <w:noWrap/>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lastRenderedPageBreak/>
              <w:t>火车站镇</w:t>
            </w:r>
          </w:p>
        </w:tc>
        <w:tc>
          <w:tcPr>
            <w:tcW w:w="814" w:type="dxa"/>
            <w:noWrap/>
            <w:vAlign w:val="center"/>
          </w:tcPr>
          <w:p w:rsidR="00525419" w:rsidRDefault="00EE1CF7">
            <w:pPr>
              <w:widowControl/>
              <w:jc w:val="center"/>
              <w:textAlignment w:val="center"/>
              <w:rPr>
                <w:rFonts w:ascii="Times New Roman" w:hAnsi="Times New Roman"/>
                <w:kern w:val="0"/>
                <w:szCs w:val="24"/>
              </w:rPr>
            </w:pPr>
            <w:r>
              <w:rPr>
                <w:rFonts w:ascii="Times New Roman" w:hAnsi="Times New Roman"/>
                <w:kern w:val="0"/>
                <w:szCs w:val="21"/>
                <w:lang w:bidi="ar"/>
              </w:rPr>
              <w:t>3435</w:t>
            </w:r>
          </w:p>
        </w:tc>
        <w:tc>
          <w:tcPr>
            <w:tcW w:w="706" w:type="dxa"/>
            <w:noWrap/>
            <w:vAlign w:val="center"/>
          </w:tcPr>
          <w:p w:rsidR="00525419" w:rsidRDefault="00EE1CF7">
            <w:pPr>
              <w:widowControl/>
              <w:jc w:val="center"/>
              <w:textAlignment w:val="center"/>
              <w:rPr>
                <w:rFonts w:ascii="Times New Roman" w:hAnsi="Times New Roman"/>
                <w:kern w:val="0"/>
                <w:szCs w:val="24"/>
              </w:rPr>
            </w:pPr>
            <w:r>
              <w:rPr>
                <w:rFonts w:ascii="Times New Roman" w:hAnsi="Times New Roman"/>
                <w:kern w:val="0"/>
                <w:szCs w:val="21"/>
                <w:lang w:bidi="ar"/>
              </w:rPr>
              <w:t>2821</w:t>
            </w:r>
          </w:p>
        </w:tc>
        <w:tc>
          <w:tcPr>
            <w:tcW w:w="789" w:type="dxa"/>
            <w:noWrap/>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w:t>
            </w:r>
          </w:p>
        </w:tc>
        <w:tc>
          <w:tcPr>
            <w:tcW w:w="1056" w:type="dxa"/>
            <w:noWrap/>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0.0|5</w:t>
            </w:r>
          </w:p>
        </w:tc>
        <w:tc>
          <w:tcPr>
            <w:tcW w:w="600" w:type="dxa"/>
            <w:noWrap/>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w:t>
            </w:r>
          </w:p>
        </w:tc>
        <w:tc>
          <w:tcPr>
            <w:tcW w:w="693" w:type="dxa"/>
            <w:noWrap/>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w:t>
            </w:r>
          </w:p>
        </w:tc>
        <w:tc>
          <w:tcPr>
            <w:tcW w:w="693" w:type="dxa"/>
            <w:noWrap/>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w:t>
            </w:r>
          </w:p>
        </w:tc>
        <w:tc>
          <w:tcPr>
            <w:tcW w:w="693" w:type="dxa"/>
            <w:noWrap/>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w:t>
            </w:r>
          </w:p>
        </w:tc>
        <w:tc>
          <w:tcPr>
            <w:tcW w:w="693" w:type="dxa"/>
            <w:noWrap/>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w:t>
            </w:r>
          </w:p>
        </w:tc>
        <w:tc>
          <w:tcPr>
            <w:tcW w:w="693" w:type="dxa"/>
            <w:noWrap/>
            <w:vAlign w:val="center"/>
          </w:tcPr>
          <w:p w:rsidR="00525419" w:rsidRDefault="00EE1CF7">
            <w:pPr>
              <w:widowControl/>
              <w:jc w:val="center"/>
              <w:rPr>
                <w:rFonts w:ascii="Times New Roman" w:hAnsi="Times New Roman"/>
                <w:kern w:val="0"/>
                <w:szCs w:val="24"/>
              </w:rPr>
            </w:pPr>
            <w:r>
              <w:rPr>
                <w:rFonts w:ascii="Times New Roman" w:hAnsi="Times New Roman"/>
                <w:kern w:val="0"/>
                <w:szCs w:val="24"/>
              </w:rPr>
              <w:t>0</w:t>
            </w:r>
          </w:p>
        </w:tc>
      </w:tr>
    </w:tbl>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5.6.5.3</w:t>
      </w:r>
      <w:r>
        <w:rPr>
          <w:rFonts w:ascii="Times New Roman" w:hAnsi="Times New Roman" w:cs="Times New Roman"/>
          <w:kern w:val="44"/>
          <w:sz w:val="24"/>
          <w:szCs w:val="24"/>
        </w:rPr>
        <w:t>环境风险评价</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有以上预测结果可知，在距离项目边界</w:t>
      </w:r>
      <w:r>
        <w:rPr>
          <w:rFonts w:ascii="Times New Roman" w:hAnsi="Times New Roman"/>
          <w:kern w:val="0"/>
          <w:sz w:val="24"/>
          <w:szCs w:val="24"/>
        </w:rPr>
        <w:t>2500m</w:t>
      </w:r>
      <w:r>
        <w:rPr>
          <w:rFonts w:ascii="Times New Roman" w:hAnsi="Times New Roman"/>
          <w:kern w:val="0"/>
          <w:sz w:val="24"/>
          <w:szCs w:val="24"/>
        </w:rPr>
        <w:t>范围内，无任何敏感点，不存在集中人群分布，因此，项目事故下泄漏的油品泄漏发生火灾产生</w:t>
      </w:r>
      <w:r>
        <w:rPr>
          <w:rFonts w:ascii="Times New Roman" w:hAnsi="Times New Roman"/>
          <w:kern w:val="0"/>
          <w:sz w:val="24"/>
          <w:szCs w:val="24"/>
        </w:rPr>
        <w:t>SO</w:t>
      </w:r>
      <w:r>
        <w:rPr>
          <w:rFonts w:ascii="Times New Roman" w:hAnsi="Times New Roman"/>
          <w:kern w:val="0"/>
          <w:sz w:val="24"/>
          <w:szCs w:val="24"/>
          <w:vertAlign w:val="subscript"/>
        </w:rPr>
        <w:t>2</w:t>
      </w:r>
      <w:r>
        <w:rPr>
          <w:rFonts w:ascii="Times New Roman" w:hAnsi="Times New Roman"/>
          <w:kern w:val="0"/>
          <w:sz w:val="24"/>
          <w:szCs w:val="24"/>
        </w:rPr>
        <w:t>、</w:t>
      </w:r>
      <w:r>
        <w:rPr>
          <w:rFonts w:ascii="Times New Roman" w:hAnsi="Times New Roman"/>
          <w:kern w:val="0"/>
          <w:sz w:val="24"/>
          <w:szCs w:val="24"/>
        </w:rPr>
        <w:t>CO</w:t>
      </w:r>
      <w:r>
        <w:rPr>
          <w:rFonts w:ascii="Times New Roman" w:hAnsi="Times New Roman"/>
          <w:kern w:val="0"/>
          <w:sz w:val="24"/>
          <w:szCs w:val="24"/>
        </w:rPr>
        <w:t>对周边的人群居住区的居民影响较小。</w:t>
      </w:r>
    </w:p>
    <w:p w:rsidR="00525419" w:rsidRDefault="00EE1CF7" w:rsidP="00EE1CF7">
      <w:pPr>
        <w:pStyle w:val="3a"/>
        <w:spacing w:beforeLines="50" w:before="166" w:after="156" w:line="360" w:lineRule="auto"/>
        <w:jc w:val="left"/>
        <w:rPr>
          <w:rFonts w:ascii="Times New Roman" w:eastAsia="华文楷体" w:hAnsi="Times New Roman"/>
        </w:rPr>
      </w:pPr>
      <w:bookmarkStart w:id="241" w:name="_Toc388894070"/>
      <w:bookmarkStart w:id="242" w:name="_Toc344107134"/>
      <w:r>
        <w:rPr>
          <w:rFonts w:ascii="Times New Roman" w:eastAsia="华文楷体" w:hAnsi="Times New Roman"/>
        </w:rPr>
        <w:t>5.6.6</w:t>
      </w:r>
      <w:bookmarkEnd w:id="241"/>
      <w:bookmarkEnd w:id="242"/>
      <w:r>
        <w:rPr>
          <w:rFonts w:ascii="Times New Roman" w:eastAsia="华文楷体" w:hAnsi="Times New Roman"/>
        </w:rPr>
        <w:t>环境风险管理</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5.6.6.1</w:t>
      </w:r>
      <w:r>
        <w:rPr>
          <w:rFonts w:ascii="Times New Roman" w:hAnsi="Times New Roman" w:cs="Times New Roman"/>
          <w:kern w:val="44"/>
          <w:sz w:val="24"/>
          <w:szCs w:val="24"/>
        </w:rPr>
        <w:t>环境风险管理目标</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环境风险管理目标是采用最低合理可行原则管控环境风险。采取的环境风险防范措施应与社会经济技术发展水平相适应，运用科学的技术手段和管理方法，对环境风险进行有效的预防、监控、响应。</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5.6.6.2</w:t>
      </w:r>
      <w:r>
        <w:rPr>
          <w:rFonts w:ascii="Times New Roman" w:hAnsi="Times New Roman" w:cs="Times New Roman"/>
          <w:kern w:val="44"/>
          <w:sz w:val="24"/>
          <w:szCs w:val="24"/>
        </w:rPr>
        <w:t>环境风险防范措施</w:t>
      </w:r>
    </w:p>
    <w:p w:rsidR="00525419" w:rsidRDefault="00EE1CF7">
      <w:pPr>
        <w:pStyle w:val="2f5"/>
        <w:spacing w:after="0" w:line="360" w:lineRule="auto"/>
        <w:ind w:leftChars="0" w:left="0" w:firstLine="480"/>
        <w:rPr>
          <w:sz w:val="24"/>
        </w:rPr>
      </w:pPr>
      <w:r>
        <w:rPr>
          <w:sz w:val="24"/>
        </w:rPr>
        <w:t>本项目新建工艺生产装置，其余大多依托新疆美汇特石化产品有限公司现工程。本项目新建内容全部为露天装置，且建设场地为新疆美汇特石化产品有限公司现厂区空地上，远离办公生活区。</w:t>
      </w:r>
    </w:p>
    <w:p w:rsidR="00525419" w:rsidRDefault="00EE1CF7">
      <w:pPr>
        <w:pStyle w:val="2f5"/>
        <w:spacing w:after="0" w:line="360" w:lineRule="auto"/>
        <w:ind w:leftChars="0" w:left="0" w:firstLine="480"/>
        <w:rPr>
          <w:sz w:val="24"/>
        </w:rPr>
      </w:pPr>
      <w:r>
        <w:rPr>
          <w:sz w:val="24"/>
        </w:rPr>
        <w:t>新疆美汇特石化产品有限公司现工程从选址、总图布置和建筑安全、危险化学品储运系统、工艺技术设计安全、自动控制设计安全、电气、电讯安全、消防及火灾报警系统、全厂事故、消防水设置</w:t>
      </w:r>
      <w:bookmarkStart w:id="243" w:name="_Toc352020010"/>
      <w:bookmarkStart w:id="244" w:name="_Toc339417243"/>
      <w:r>
        <w:rPr>
          <w:sz w:val="24"/>
        </w:rPr>
        <w:t>储罐区</w:t>
      </w:r>
      <w:bookmarkEnd w:id="243"/>
      <w:bookmarkEnd w:id="244"/>
      <w:r>
        <w:rPr>
          <w:sz w:val="24"/>
        </w:rPr>
        <w:t>等方面严格执行各项设计规范，设置安全风险防范措施，从源头上降低安全事故以及引发环境风险事故的概率。</w:t>
      </w:r>
    </w:p>
    <w:p w:rsidR="00525419" w:rsidRDefault="00EE1CF7">
      <w:pPr>
        <w:pStyle w:val="2f5"/>
        <w:spacing w:after="0" w:line="360" w:lineRule="auto"/>
        <w:ind w:leftChars="0" w:left="0" w:firstLine="480"/>
        <w:rPr>
          <w:sz w:val="24"/>
        </w:rPr>
      </w:pPr>
      <w:r>
        <w:rPr>
          <w:sz w:val="24"/>
        </w:rPr>
        <w:t>针对本项目事故隐患，提出相应的风险防护及应急措施列于表</w:t>
      </w:r>
      <w:r>
        <w:rPr>
          <w:sz w:val="24"/>
        </w:rPr>
        <w:t>5.6-32</w:t>
      </w:r>
      <w:r>
        <w:rPr>
          <w:sz w:val="24"/>
        </w:rPr>
        <w:t>。在做好新疆美汇特石化产品有限公司现工程风险防范措施的基础上，针对本项目与现厂区工程的关系特点，特别要做到以下几点：</w:t>
      </w:r>
    </w:p>
    <w:p w:rsidR="00525419" w:rsidRDefault="00EE1CF7">
      <w:pPr>
        <w:pStyle w:val="2f5"/>
        <w:spacing w:after="0" w:line="360" w:lineRule="auto"/>
        <w:ind w:leftChars="0" w:left="0" w:firstLine="480"/>
        <w:rPr>
          <w:sz w:val="24"/>
        </w:rPr>
      </w:pPr>
      <w:r>
        <w:rPr>
          <w:sz w:val="24"/>
        </w:rPr>
        <w:t>（</w:t>
      </w:r>
      <w:r>
        <w:rPr>
          <w:sz w:val="24"/>
        </w:rPr>
        <w:t>1</w:t>
      </w:r>
      <w:r>
        <w:rPr>
          <w:sz w:val="24"/>
        </w:rPr>
        <w:t>）为满足消防及检修要求，装置周围设消防道路，与新疆美汇特石化产品有限公司现厂区内原有道路相顺接，组成环形消防道路。</w:t>
      </w:r>
    </w:p>
    <w:p w:rsidR="00525419" w:rsidRDefault="00EE1CF7">
      <w:pPr>
        <w:pStyle w:val="2f5"/>
        <w:spacing w:after="0" w:line="360" w:lineRule="auto"/>
        <w:ind w:leftChars="0" w:left="0" w:firstLine="480"/>
        <w:rPr>
          <w:sz w:val="24"/>
        </w:rPr>
      </w:pPr>
      <w:r>
        <w:rPr>
          <w:sz w:val="24"/>
        </w:rPr>
        <w:t>（</w:t>
      </w:r>
      <w:r>
        <w:rPr>
          <w:sz w:val="24"/>
        </w:rPr>
        <w:t>2</w:t>
      </w:r>
      <w:r>
        <w:rPr>
          <w:sz w:val="24"/>
        </w:rPr>
        <w:t>）装置区内各设备之间、设备与建筑物之间的间距满足消防和安全要求，不满足标准要求安全间距的需要拆除，并设防火通道和安全疏散梯等安全防护设施。</w:t>
      </w:r>
    </w:p>
    <w:p w:rsidR="00525419" w:rsidRDefault="00EE1CF7">
      <w:pPr>
        <w:pStyle w:val="2f5"/>
        <w:spacing w:after="0" w:line="360" w:lineRule="auto"/>
        <w:ind w:leftChars="0" w:left="0" w:firstLine="480"/>
        <w:rPr>
          <w:sz w:val="24"/>
        </w:rPr>
      </w:pPr>
      <w:r>
        <w:rPr>
          <w:sz w:val="24"/>
        </w:rPr>
        <w:lastRenderedPageBreak/>
        <w:t>（</w:t>
      </w:r>
      <w:r>
        <w:rPr>
          <w:sz w:val="24"/>
        </w:rPr>
        <w:t>3</w:t>
      </w:r>
      <w:r>
        <w:rPr>
          <w:sz w:val="24"/>
        </w:rPr>
        <w:t>）有明火的设备，远离可能泄漏可燃气体的工艺设备及储罐。</w:t>
      </w:r>
    </w:p>
    <w:p w:rsidR="00525419" w:rsidRDefault="00EE1CF7">
      <w:pPr>
        <w:pStyle w:val="2f5"/>
        <w:spacing w:after="0" w:line="360" w:lineRule="auto"/>
        <w:ind w:leftChars="0" w:left="0" w:firstLine="480"/>
        <w:rPr>
          <w:sz w:val="24"/>
        </w:rPr>
      </w:pPr>
      <w:r>
        <w:rPr>
          <w:sz w:val="24"/>
        </w:rPr>
        <w:t>（</w:t>
      </w:r>
      <w:r>
        <w:rPr>
          <w:sz w:val="24"/>
        </w:rPr>
        <w:t>4</w:t>
      </w:r>
      <w:r>
        <w:rPr>
          <w:sz w:val="24"/>
        </w:rPr>
        <w:t>）设备构架采用钢结构，荷载较大时采用钢与钢筋混凝土的混合结构；设备重量特别大的框架、工艺有特殊要求或腐蚀性严重的框架可采用现浇钢筋混凝土结构，必要时也可采用钢结构。</w:t>
      </w:r>
    </w:p>
    <w:p w:rsidR="00525419" w:rsidRDefault="00EE1CF7">
      <w:pPr>
        <w:spacing w:line="480" w:lineRule="exact"/>
        <w:ind w:firstLineChars="200" w:firstLine="480"/>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5</w:t>
      </w:r>
      <w:r>
        <w:rPr>
          <w:rFonts w:ascii="Times New Roman" w:hAnsi="Times New Roman"/>
          <w:sz w:val="24"/>
          <w:szCs w:val="24"/>
        </w:rPr>
        <w:t>）危险化学品储运系统的设计严格按照《石油化工储运系统罐区设计规范》、《石油化工企业防火设计规范》、《石油库设计规范》的要求进行设计和施工，确保防火间距、消防通道、消防设施等满足规定要求；</w:t>
      </w:r>
    </w:p>
    <w:p w:rsidR="00525419" w:rsidRDefault="00EE1CF7">
      <w:pPr>
        <w:spacing w:line="480" w:lineRule="exact"/>
        <w:ind w:firstLineChars="200" w:firstLine="480"/>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6</w:t>
      </w:r>
      <w:r>
        <w:rPr>
          <w:rFonts w:ascii="Times New Roman" w:hAnsi="Times New Roman"/>
          <w:sz w:val="24"/>
          <w:szCs w:val="24"/>
        </w:rPr>
        <w:t>）罐区及油品装卸区严格按照《建筑物防雷设计规范》、《工业与民用电力装置的接地设计规范》设置防雷击、防静电系统；</w:t>
      </w:r>
    </w:p>
    <w:p w:rsidR="00525419" w:rsidRDefault="00EE1CF7">
      <w:pPr>
        <w:spacing w:line="480" w:lineRule="exact"/>
        <w:ind w:firstLineChars="200" w:firstLine="480"/>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7</w:t>
      </w:r>
      <w:r>
        <w:rPr>
          <w:rFonts w:ascii="Times New Roman" w:hAnsi="Times New Roman"/>
          <w:sz w:val="24"/>
          <w:szCs w:val="24"/>
        </w:rPr>
        <w:t>）按照《石油化工企业可燃气体和有毒气体检测报警设计规范》在罐区设置自动报警设施；</w:t>
      </w:r>
    </w:p>
    <w:p w:rsidR="00525419" w:rsidRDefault="00EE1CF7">
      <w:pPr>
        <w:spacing w:line="480" w:lineRule="exact"/>
        <w:ind w:firstLineChars="200" w:firstLine="480"/>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8</w:t>
      </w:r>
      <w:r>
        <w:rPr>
          <w:rFonts w:ascii="Times New Roman" w:hAnsi="Times New Roman"/>
          <w:sz w:val="24"/>
          <w:szCs w:val="24"/>
        </w:rPr>
        <w:t>）在油品储运过程控制采用</w:t>
      </w:r>
      <w:r>
        <w:rPr>
          <w:rFonts w:ascii="Times New Roman" w:hAnsi="Times New Roman"/>
          <w:sz w:val="24"/>
          <w:szCs w:val="24"/>
        </w:rPr>
        <w:t>DCS</w:t>
      </w:r>
      <w:r>
        <w:rPr>
          <w:rFonts w:ascii="Times New Roman" w:hAnsi="Times New Roman"/>
          <w:sz w:val="24"/>
          <w:szCs w:val="24"/>
        </w:rPr>
        <w:t>系统，并设置越限报警和连锁保护系统，确保在误操作或非正常工况下，对危险物料的安全控制。</w:t>
      </w:r>
    </w:p>
    <w:p w:rsidR="00525419" w:rsidRDefault="00EE1CF7">
      <w:pPr>
        <w:spacing w:line="480" w:lineRule="exact"/>
        <w:ind w:firstLineChars="200" w:firstLine="480"/>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9</w:t>
      </w:r>
      <w:r>
        <w:rPr>
          <w:rFonts w:ascii="Times New Roman" w:hAnsi="Times New Roman"/>
          <w:sz w:val="24"/>
          <w:szCs w:val="24"/>
        </w:rPr>
        <w:t>）与大容量储罐相连接的泵，其紧急截止阀安装在泵及设备的安全距离之外，并可在发生火灾时进行远程紧急制动切断可燃物料。</w:t>
      </w:r>
    </w:p>
    <w:p w:rsidR="00525419" w:rsidRDefault="00EE1CF7">
      <w:pPr>
        <w:spacing w:line="480" w:lineRule="exact"/>
        <w:ind w:firstLineChars="200" w:firstLine="480"/>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10</w:t>
      </w:r>
      <w:r>
        <w:rPr>
          <w:rFonts w:ascii="Times New Roman" w:hAnsi="Times New Roman"/>
          <w:sz w:val="24"/>
          <w:szCs w:val="24"/>
        </w:rPr>
        <w:t>）可燃液体罐区以及装置区分别设置防火堤和围堰，防火堤、围堰的设计均执行国家及行业标准。</w:t>
      </w:r>
    </w:p>
    <w:p w:rsidR="00525419" w:rsidRDefault="00EE1CF7">
      <w:pPr>
        <w:spacing w:line="480" w:lineRule="exact"/>
        <w:ind w:firstLineChars="200" w:firstLine="480"/>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11</w:t>
      </w:r>
      <w:r>
        <w:rPr>
          <w:rFonts w:ascii="Times New Roman" w:hAnsi="Times New Roman"/>
          <w:sz w:val="24"/>
          <w:szCs w:val="24"/>
        </w:rPr>
        <w:t>）储罐防火设施，包括储罐基础、罐体、保温层等采用不燃材料；易燃液体储罐配备液面计、呼吸阀和阻火器；储罐的进油管线末端按至储罐下部，防止液体冲击产生过量静电；储罐保持良好接地、防雷；设倒罐线，在储罐发生事故时易于转送油品。</w:t>
      </w:r>
    </w:p>
    <w:p w:rsidR="00525419" w:rsidRDefault="00EE1CF7">
      <w:pPr>
        <w:spacing w:line="480" w:lineRule="exact"/>
        <w:ind w:firstLineChars="200" w:firstLine="480"/>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12</w:t>
      </w:r>
      <w:r>
        <w:rPr>
          <w:rFonts w:ascii="Times New Roman" w:hAnsi="Times New Roman"/>
          <w:sz w:val="24"/>
          <w:szCs w:val="24"/>
        </w:rPr>
        <w:t>）加强操作人员业务培训，岗位人员必须熟悉储罐布置、管线分布和阀门用途；装卸油品注意液面，确保油品不以储罐溢出；定期检查管道密封性能，保持呼吸阀工作正常；罐内油品按规定控制温度；油罐清理和检修必须按操作规程执行，认真清洗和吹扫，取样分析合格，确认无爆炸危险后进行操作。</w:t>
      </w:r>
    </w:p>
    <w:p w:rsidR="00525419" w:rsidRDefault="00EE1CF7">
      <w:pPr>
        <w:spacing w:line="480" w:lineRule="exact"/>
        <w:ind w:firstLineChars="200" w:firstLine="480"/>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13</w:t>
      </w:r>
      <w:r>
        <w:rPr>
          <w:rFonts w:ascii="Times New Roman" w:hAnsi="Times New Roman"/>
          <w:sz w:val="24"/>
          <w:szCs w:val="24"/>
        </w:rPr>
        <w:t>）在设计中，对可能超压的塔、容器等设备均设有安全阀及压力系统安全排放设施，一旦操作有误，设备超压安全阀起保护作用。当控制失灵或发生事故时，安全阀放空气体先通过泄压管线进入分液罐分除液体后，气体排入火炬系</w:t>
      </w:r>
      <w:r>
        <w:rPr>
          <w:rFonts w:ascii="Times New Roman" w:hAnsi="Times New Roman"/>
          <w:sz w:val="24"/>
          <w:szCs w:val="24"/>
        </w:rPr>
        <w:lastRenderedPageBreak/>
        <w:t>统，从而杜绝设备超压爆炸及危险物料泄漏事故。离心泵出口设置止回阀，以防止高压介质倒流造成事故。装置区四周设置高度不小于</w:t>
      </w:r>
      <w:r>
        <w:rPr>
          <w:rFonts w:ascii="Times New Roman" w:hAnsi="Times New Roman"/>
          <w:sz w:val="24"/>
          <w:szCs w:val="24"/>
        </w:rPr>
        <w:t>150mm</w:t>
      </w:r>
      <w:r>
        <w:rPr>
          <w:rFonts w:ascii="Times New Roman" w:hAnsi="Times New Roman"/>
          <w:sz w:val="24"/>
          <w:szCs w:val="24"/>
        </w:rPr>
        <w:t>的围堰。</w:t>
      </w:r>
    </w:p>
    <w:p w:rsidR="00525419" w:rsidRDefault="00EE1CF7">
      <w:pPr>
        <w:spacing w:line="480" w:lineRule="exact"/>
        <w:ind w:firstLineChars="200" w:firstLine="480"/>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14</w:t>
      </w:r>
      <w:r>
        <w:rPr>
          <w:rFonts w:ascii="Times New Roman" w:hAnsi="Times New Roman"/>
          <w:sz w:val="24"/>
          <w:szCs w:val="24"/>
        </w:rPr>
        <w:t>）工艺装置及辅助生产设施的压力容器、压力管道的设计及制造严格执行《固定式压力容器安全技术监察规程》（</w:t>
      </w:r>
      <w:r>
        <w:rPr>
          <w:rFonts w:ascii="Times New Roman" w:hAnsi="Times New Roman"/>
          <w:sz w:val="24"/>
          <w:szCs w:val="24"/>
        </w:rPr>
        <w:t>TSGR0004-2009</w:t>
      </w:r>
      <w:r>
        <w:rPr>
          <w:rFonts w:ascii="Times New Roman" w:hAnsi="Times New Roman"/>
          <w:sz w:val="24"/>
          <w:szCs w:val="24"/>
        </w:rPr>
        <w:t>）、《工业金属管道设计规范》（</w:t>
      </w:r>
      <w:r>
        <w:rPr>
          <w:rFonts w:ascii="Times New Roman" w:hAnsi="Times New Roman"/>
          <w:sz w:val="24"/>
          <w:szCs w:val="24"/>
        </w:rPr>
        <w:t>GB50316-2000</w:t>
      </w:r>
      <w:r>
        <w:rPr>
          <w:rFonts w:ascii="Times New Roman" w:hAnsi="Times New Roman"/>
          <w:sz w:val="24"/>
          <w:szCs w:val="24"/>
        </w:rPr>
        <w:t>，</w:t>
      </w:r>
      <w:r>
        <w:rPr>
          <w:rFonts w:ascii="Times New Roman" w:hAnsi="Times New Roman"/>
          <w:sz w:val="24"/>
          <w:szCs w:val="24"/>
        </w:rPr>
        <w:t>2008</w:t>
      </w:r>
      <w:r>
        <w:rPr>
          <w:rFonts w:ascii="Times New Roman" w:hAnsi="Times New Roman"/>
          <w:sz w:val="24"/>
          <w:szCs w:val="24"/>
        </w:rPr>
        <w:t>版）及其它有关的标准规范。</w:t>
      </w:r>
    </w:p>
    <w:p w:rsidR="00525419" w:rsidRDefault="00EE1CF7">
      <w:pPr>
        <w:spacing w:line="480" w:lineRule="exact"/>
        <w:ind w:firstLineChars="200" w:firstLine="480"/>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15</w:t>
      </w:r>
      <w:r>
        <w:rPr>
          <w:rFonts w:ascii="Times New Roman" w:hAnsi="Times New Roman"/>
          <w:sz w:val="24"/>
          <w:szCs w:val="24"/>
        </w:rPr>
        <w:t>）对危险物料的安全控制是防火防爆最有效的措施之一，本项目所有易燃易爆物料始终处于密闭的设备和管道中，设备以及管线之间的连接处均采取了可靠的密封措施，防止介质泄漏。</w:t>
      </w:r>
    </w:p>
    <w:p w:rsidR="00525419" w:rsidRDefault="00EE1CF7">
      <w:pPr>
        <w:spacing w:line="480" w:lineRule="exact"/>
        <w:ind w:firstLineChars="200" w:firstLine="480"/>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16</w:t>
      </w:r>
      <w:r>
        <w:rPr>
          <w:rFonts w:ascii="Times New Roman" w:hAnsi="Times New Roman"/>
          <w:sz w:val="24"/>
          <w:szCs w:val="24"/>
        </w:rPr>
        <w:t>）对危险介质的压缩机采用远程停车控制及远程关闭物料阀门等措施，在发生火灾时将可燃物料切断。</w:t>
      </w:r>
    </w:p>
    <w:p w:rsidR="00525419" w:rsidRDefault="00EE1CF7">
      <w:pPr>
        <w:spacing w:line="480" w:lineRule="exact"/>
        <w:ind w:firstLineChars="200" w:firstLine="480"/>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17</w:t>
      </w:r>
      <w:r>
        <w:rPr>
          <w:rFonts w:ascii="Times New Roman" w:hAnsi="Times New Roman"/>
          <w:sz w:val="24"/>
          <w:szCs w:val="24"/>
        </w:rPr>
        <w:t>）为确保装置开停工及检修安全，在各装置有关管道和设备上设置固定式或半固定式吹扫接头，在进出装置边界管道上设置切断阀和盲板。巡检人员配备便携式可燃气体检测报警仪，以便及时发现可能出现的泄漏。</w:t>
      </w:r>
    </w:p>
    <w:p w:rsidR="00525419" w:rsidRDefault="00EE1CF7">
      <w:pPr>
        <w:spacing w:line="480" w:lineRule="exact"/>
        <w:ind w:firstLineChars="200" w:firstLine="480"/>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18</w:t>
      </w:r>
      <w:r>
        <w:rPr>
          <w:rFonts w:ascii="Times New Roman" w:hAnsi="Times New Roman"/>
          <w:sz w:val="24"/>
          <w:szCs w:val="24"/>
        </w:rPr>
        <w:t>）为防止压力设备由于超压发生事故，在适当的位置安装泄压阀。在事故条件下可能处于真空状态下的设备，将采用可承受全真空的设备，在适当的位置安装充压设施。</w:t>
      </w:r>
    </w:p>
    <w:p w:rsidR="00525419" w:rsidRDefault="00EE1CF7">
      <w:pPr>
        <w:spacing w:line="480" w:lineRule="exact"/>
        <w:ind w:firstLineChars="200" w:firstLine="480"/>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19</w:t>
      </w:r>
      <w:r>
        <w:rPr>
          <w:rFonts w:ascii="Times New Roman" w:hAnsi="Times New Roman"/>
          <w:sz w:val="24"/>
          <w:szCs w:val="24"/>
        </w:rPr>
        <w:t>）本项目设备和管道的防腐采用工艺防腐和材料抗腐两个方面的措施，解决设备和管道的腐蚀问题。</w:t>
      </w:r>
    </w:p>
    <w:p w:rsidR="00525419" w:rsidRDefault="00EE1CF7">
      <w:pPr>
        <w:spacing w:line="480" w:lineRule="exact"/>
        <w:ind w:firstLineChars="200" w:firstLine="480"/>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20</w:t>
      </w:r>
      <w:r>
        <w:rPr>
          <w:rFonts w:ascii="Times New Roman" w:hAnsi="Times New Roman"/>
          <w:sz w:val="24"/>
          <w:szCs w:val="24"/>
        </w:rPr>
        <w:t>）加热炉安全保护设施完善。燃料气（油）管线上设置了阻火器，加热炉设长明灯、灭火蒸汽保护系统、瓦斯自动切断系统及火焰监视系统。</w:t>
      </w:r>
    </w:p>
    <w:p w:rsidR="00525419" w:rsidRDefault="00EE1CF7">
      <w:pPr>
        <w:spacing w:line="480" w:lineRule="exact"/>
        <w:ind w:firstLineChars="200" w:firstLine="480"/>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21</w:t>
      </w:r>
      <w:r>
        <w:rPr>
          <w:rFonts w:ascii="Times New Roman" w:hAnsi="Times New Roman"/>
          <w:sz w:val="24"/>
          <w:szCs w:val="24"/>
        </w:rPr>
        <w:t>）在工艺、设备设计过程中，充分考虑了脆性破裂、温差应力破坏、高温蠕变破坏、腐蚀破坏及密封泄漏等因素。根据介质、操作温度、压力和腐蚀情况，设计对装置中重要部位和设备的用材，按规范选择相应的防腐等级，以保证防腐蚀能力，确保设备安全及设备寿命。</w:t>
      </w:r>
    </w:p>
    <w:p w:rsidR="00525419" w:rsidRDefault="00EE1CF7">
      <w:pPr>
        <w:spacing w:line="240" w:lineRule="atLeast"/>
        <w:ind w:firstLineChars="1000" w:firstLine="2100"/>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5.6-29</w:t>
      </w:r>
      <w:r>
        <w:rPr>
          <w:rFonts w:ascii="Times New Roman" w:eastAsia="黑体" w:hAnsi="Times New Roman"/>
          <w:szCs w:val="21"/>
        </w:rPr>
        <w:t xml:space="preserve">　　　建设项目风险防范措施</w:t>
      </w:r>
    </w:p>
    <w:tbl>
      <w:tblPr>
        <w:tblW w:w="832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00"/>
        <w:gridCol w:w="668"/>
        <w:gridCol w:w="5043"/>
        <w:gridCol w:w="2016"/>
      </w:tblGrid>
      <w:tr w:rsidR="00525419">
        <w:trPr>
          <w:cantSplit/>
          <w:tblHeader/>
          <w:jc w:val="center"/>
        </w:trPr>
        <w:tc>
          <w:tcPr>
            <w:tcW w:w="600" w:type="dxa"/>
            <w:tcBorders>
              <w:tl2br w:val="nil"/>
              <w:tr2bl w:val="nil"/>
            </w:tcBorders>
            <w:tcMar>
              <w:left w:w="0" w:type="dxa"/>
              <w:right w:w="0" w:type="dxa"/>
            </w:tcMar>
            <w:vAlign w:val="center"/>
          </w:tcPr>
          <w:p w:rsidR="00525419" w:rsidRDefault="00EE1CF7">
            <w:pPr>
              <w:pStyle w:val="B2"/>
              <w:rPr>
                <w:rFonts w:cs="Times New Roman"/>
              </w:rPr>
            </w:pPr>
            <w:r>
              <w:rPr>
                <w:rFonts w:cs="Times New Roman"/>
              </w:rPr>
              <w:t>事故</w:t>
            </w:r>
          </w:p>
          <w:p w:rsidR="00525419" w:rsidRDefault="00EE1CF7">
            <w:pPr>
              <w:pStyle w:val="B2"/>
              <w:rPr>
                <w:rFonts w:cs="Times New Roman"/>
              </w:rPr>
            </w:pPr>
            <w:r>
              <w:rPr>
                <w:rFonts w:cs="Times New Roman"/>
              </w:rPr>
              <w:t>类型</w:t>
            </w:r>
          </w:p>
        </w:tc>
        <w:tc>
          <w:tcPr>
            <w:tcW w:w="5711" w:type="dxa"/>
            <w:gridSpan w:val="2"/>
            <w:tcBorders>
              <w:tl2br w:val="nil"/>
              <w:tr2bl w:val="nil"/>
            </w:tcBorders>
            <w:tcMar>
              <w:left w:w="0" w:type="dxa"/>
              <w:right w:w="0" w:type="dxa"/>
            </w:tcMar>
            <w:vAlign w:val="center"/>
          </w:tcPr>
          <w:p w:rsidR="00525419" w:rsidRDefault="00EE1CF7">
            <w:pPr>
              <w:pStyle w:val="B2"/>
              <w:rPr>
                <w:rFonts w:cs="Times New Roman"/>
              </w:rPr>
            </w:pPr>
            <w:r>
              <w:rPr>
                <w:rFonts w:cs="Times New Roman"/>
              </w:rPr>
              <w:t>防</w:t>
            </w:r>
            <w:r>
              <w:rPr>
                <w:rFonts w:cs="Times New Roman"/>
              </w:rPr>
              <w:t xml:space="preserve"> </w:t>
            </w:r>
            <w:r>
              <w:rPr>
                <w:rFonts w:cs="Times New Roman"/>
              </w:rPr>
              <w:t>治</w:t>
            </w:r>
            <w:r>
              <w:rPr>
                <w:rFonts w:cs="Times New Roman"/>
              </w:rPr>
              <w:t xml:space="preserve"> </w:t>
            </w:r>
            <w:r>
              <w:rPr>
                <w:rFonts w:cs="Times New Roman"/>
              </w:rPr>
              <w:t>对</w:t>
            </w:r>
            <w:r>
              <w:rPr>
                <w:rFonts w:cs="Times New Roman"/>
              </w:rPr>
              <w:t xml:space="preserve"> </w:t>
            </w:r>
            <w:r>
              <w:rPr>
                <w:rFonts w:cs="Times New Roman"/>
              </w:rPr>
              <w:t>策</w:t>
            </w:r>
          </w:p>
        </w:tc>
        <w:tc>
          <w:tcPr>
            <w:tcW w:w="2016" w:type="dxa"/>
            <w:tcBorders>
              <w:tl2br w:val="nil"/>
              <w:tr2bl w:val="nil"/>
            </w:tcBorders>
            <w:tcMar>
              <w:left w:w="0" w:type="dxa"/>
              <w:right w:w="0" w:type="dxa"/>
            </w:tcMar>
            <w:vAlign w:val="center"/>
          </w:tcPr>
          <w:p w:rsidR="00525419" w:rsidRDefault="00EE1CF7">
            <w:pPr>
              <w:spacing w:line="200" w:lineRule="exact"/>
              <w:jc w:val="center"/>
              <w:rPr>
                <w:rFonts w:ascii="Times New Roman" w:hAnsi="Times New Roman"/>
                <w:sz w:val="19"/>
                <w:szCs w:val="21"/>
              </w:rPr>
            </w:pPr>
            <w:r>
              <w:rPr>
                <w:rFonts w:ascii="Times New Roman" w:hAnsi="Times New Roman"/>
                <w:sz w:val="19"/>
                <w:szCs w:val="21"/>
              </w:rPr>
              <w:t>应急措施</w:t>
            </w:r>
          </w:p>
        </w:tc>
      </w:tr>
      <w:tr w:rsidR="00525419">
        <w:trPr>
          <w:cantSplit/>
          <w:jc w:val="center"/>
        </w:trPr>
        <w:tc>
          <w:tcPr>
            <w:tcW w:w="600" w:type="dxa"/>
            <w:vMerge w:val="restart"/>
            <w:tcBorders>
              <w:tl2br w:val="nil"/>
              <w:tr2bl w:val="nil"/>
            </w:tcBorders>
            <w:tcMar>
              <w:left w:w="0" w:type="dxa"/>
              <w:right w:w="0" w:type="dxa"/>
            </w:tcMar>
            <w:vAlign w:val="center"/>
          </w:tcPr>
          <w:p w:rsidR="00525419" w:rsidRDefault="00EE1CF7">
            <w:pPr>
              <w:pStyle w:val="B2"/>
              <w:rPr>
                <w:rFonts w:cs="Times New Roman"/>
              </w:rPr>
            </w:pPr>
            <w:r>
              <w:rPr>
                <w:rFonts w:cs="Times New Roman"/>
              </w:rPr>
              <w:lastRenderedPageBreak/>
              <w:t>物料</w:t>
            </w:r>
          </w:p>
          <w:p w:rsidR="00525419" w:rsidRDefault="00EE1CF7">
            <w:pPr>
              <w:pStyle w:val="B2"/>
              <w:rPr>
                <w:rFonts w:cs="Times New Roman"/>
              </w:rPr>
            </w:pPr>
            <w:r>
              <w:rPr>
                <w:rFonts w:cs="Times New Roman"/>
              </w:rPr>
              <w:t>泄漏</w:t>
            </w:r>
          </w:p>
        </w:tc>
        <w:tc>
          <w:tcPr>
            <w:tcW w:w="668" w:type="dxa"/>
            <w:tcBorders>
              <w:tl2br w:val="nil"/>
              <w:tr2bl w:val="nil"/>
            </w:tcBorders>
            <w:tcMar>
              <w:left w:w="0" w:type="dxa"/>
              <w:right w:w="0" w:type="dxa"/>
            </w:tcMar>
            <w:vAlign w:val="center"/>
          </w:tcPr>
          <w:p w:rsidR="00525419" w:rsidRDefault="00EE1CF7">
            <w:pPr>
              <w:pStyle w:val="B2"/>
              <w:rPr>
                <w:rFonts w:cs="Times New Roman"/>
              </w:rPr>
            </w:pPr>
            <w:r>
              <w:rPr>
                <w:rFonts w:cs="Times New Roman"/>
              </w:rPr>
              <w:t>防止</w:t>
            </w:r>
          </w:p>
          <w:p w:rsidR="00525419" w:rsidRDefault="00EE1CF7">
            <w:pPr>
              <w:pStyle w:val="B2"/>
              <w:rPr>
                <w:rFonts w:cs="Times New Roman"/>
              </w:rPr>
            </w:pPr>
            <w:r>
              <w:rPr>
                <w:rFonts w:cs="Times New Roman"/>
              </w:rPr>
              <w:t>泄漏</w:t>
            </w:r>
          </w:p>
        </w:tc>
        <w:tc>
          <w:tcPr>
            <w:tcW w:w="5043" w:type="dxa"/>
            <w:tcBorders>
              <w:tl2br w:val="nil"/>
              <w:tr2bl w:val="nil"/>
            </w:tcBorders>
            <w:tcMar>
              <w:left w:w="0" w:type="dxa"/>
              <w:right w:w="0" w:type="dxa"/>
            </w:tcMar>
            <w:vAlign w:val="center"/>
          </w:tcPr>
          <w:p w:rsidR="00525419" w:rsidRDefault="00EE1CF7">
            <w:pPr>
              <w:pStyle w:val="B2"/>
              <w:rPr>
                <w:rFonts w:cs="Times New Roman"/>
              </w:rPr>
            </w:pPr>
            <w:r>
              <w:rPr>
                <w:rFonts w:cs="Times New Roman"/>
              </w:rPr>
              <w:t>1</w:t>
            </w:r>
            <w:r>
              <w:rPr>
                <w:rFonts w:cs="Times New Roman"/>
              </w:rPr>
              <w:t>、搞好设备选型，材质选择应与储存条件相适应，确保加工质量，留有较大的安全系数。</w:t>
            </w:r>
          </w:p>
          <w:p w:rsidR="00525419" w:rsidRDefault="00EE1CF7">
            <w:pPr>
              <w:pStyle w:val="B2"/>
              <w:rPr>
                <w:rFonts w:cs="Times New Roman"/>
              </w:rPr>
            </w:pPr>
            <w:r>
              <w:rPr>
                <w:rFonts w:cs="Times New Roman"/>
              </w:rPr>
              <w:t>2</w:t>
            </w:r>
            <w:r>
              <w:rPr>
                <w:rFonts w:cs="Times New Roman"/>
              </w:rPr>
              <w:t>、应设有相应的检测高液位报警器和高液位停泵设施。</w:t>
            </w:r>
          </w:p>
          <w:p w:rsidR="00525419" w:rsidRDefault="00EE1CF7">
            <w:pPr>
              <w:pStyle w:val="B2"/>
              <w:rPr>
                <w:rFonts w:cs="Times New Roman"/>
              </w:rPr>
            </w:pPr>
            <w:r>
              <w:rPr>
                <w:rFonts w:cs="Times New Roman"/>
              </w:rPr>
              <w:t>3</w:t>
            </w:r>
            <w:r>
              <w:rPr>
                <w:rFonts w:cs="Times New Roman"/>
              </w:rPr>
              <w:t>、定期进行泄漏检查。</w:t>
            </w:r>
          </w:p>
          <w:p w:rsidR="00525419" w:rsidRDefault="00EE1CF7">
            <w:pPr>
              <w:pStyle w:val="B2"/>
              <w:rPr>
                <w:rFonts w:cs="Times New Roman"/>
              </w:rPr>
            </w:pPr>
            <w:r>
              <w:rPr>
                <w:rFonts w:cs="Times New Roman"/>
              </w:rPr>
              <w:t>4</w:t>
            </w:r>
            <w:r>
              <w:rPr>
                <w:rFonts w:cs="Times New Roman"/>
              </w:rPr>
              <w:t>、建立严格的安全操作规程和安全管理制度。</w:t>
            </w:r>
          </w:p>
          <w:p w:rsidR="00525419" w:rsidRDefault="00EE1CF7">
            <w:pPr>
              <w:pStyle w:val="B2"/>
              <w:rPr>
                <w:rFonts w:cs="Times New Roman"/>
              </w:rPr>
            </w:pPr>
            <w:r>
              <w:rPr>
                <w:rFonts w:cs="Times New Roman"/>
              </w:rPr>
              <w:t>5</w:t>
            </w:r>
            <w:r>
              <w:rPr>
                <w:rFonts w:cs="Times New Roman"/>
              </w:rPr>
              <w:t>、严格作业纪律，经常进行安全教育。</w:t>
            </w:r>
          </w:p>
        </w:tc>
        <w:tc>
          <w:tcPr>
            <w:tcW w:w="2016" w:type="dxa"/>
            <w:vMerge w:val="restart"/>
            <w:tcBorders>
              <w:tl2br w:val="nil"/>
              <w:tr2bl w:val="nil"/>
            </w:tcBorders>
            <w:tcMar>
              <w:left w:w="0" w:type="dxa"/>
              <w:right w:w="0" w:type="dxa"/>
            </w:tcMar>
            <w:vAlign w:val="center"/>
          </w:tcPr>
          <w:p w:rsidR="00525419" w:rsidRDefault="00EE1CF7">
            <w:pPr>
              <w:pStyle w:val="B2"/>
              <w:rPr>
                <w:rFonts w:cs="Times New Roman"/>
              </w:rPr>
            </w:pPr>
            <w:r>
              <w:rPr>
                <w:rFonts w:cs="Times New Roman"/>
              </w:rPr>
              <w:t>1</w:t>
            </w:r>
            <w:r>
              <w:rPr>
                <w:rFonts w:cs="Times New Roman"/>
              </w:rPr>
              <w:t>、紧急切断进、出料阀门，降温、泄压，启动紧急防火设施。</w:t>
            </w:r>
          </w:p>
          <w:p w:rsidR="00525419" w:rsidRDefault="00EE1CF7">
            <w:pPr>
              <w:pStyle w:val="B2"/>
              <w:rPr>
                <w:rFonts w:cs="Times New Roman"/>
              </w:rPr>
            </w:pPr>
            <w:r>
              <w:rPr>
                <w:rFonts w:cs="Times New Roman"/>
              </w:rPr>
              <w:t>2</w:t>
            </w:r>
            <w:r>
              <w:rPr>
                <w:rFonts w:cs="Times New Roman"/>
              </w:rPr>
              <w:t>、关闭厂内的所有排水阀，以防泄漏物进入水环境。</w:t>
            </w:r>
          </w:p>
          <w:p w:rsidR="00525419" w:rsidRDefault="00EE1CF7">
            <w:pPr>
              <w:pStyle w:val="B2"/>
              <w:rPr>
                <w:rFonts w:cs="Times New Roman"/>
              </w:rPr>
            </w:pPr>
            <w:r>
              <w:rPr>
                <w:rFonts w:cs="Times New Roman"/>
              </w:rPr>
              <w:t>3</w:t>
            </w:r>
            <w:r>
              <w:rPr>
                <w:rFonts w:cs="Times New Roman"/>
              </w:rPr>
              <w:t>、采取紧急堵漏措施，组织抢险队伍，防止泄漏物继续外溢。</w:t>
            </w:r>
          </w:p>
        </w:tc>
      </w:tr>
      <w:tr w:rsidR="00525419">
        <w:trPr>
          <w:cantSplit/>
          <w:trHeight w:val="1223"/>
          <w:jc w:val="center"/>
        </w:trPr>
        <w:tc>
          <w:tcPr>
            <w:tcW w:w="600" w:type="dxa"/>
            <w:vMerge/>
            <w:tcBorders>
              <w:tl2br w:val="nil"/>
              <w:tr2bl w:val="nil"/>
            </w:tcBorders>
            <w:tcMar>
              <w:left w:w="0" w:type="dxa"/>
              <w:right w:w="0" w:type="dxa"/>
            </w:tcMar>
            <w:vAlign w:val="center"/>
          </w:tcPr>
          <w:p w:rsidR="00525419" w:rsidRDefault="00525419">
            <w:pPr>
              <w:pStyle w:val="B2"/>
              <w:rPr>
                <w:rFonts w:cs="Times New Roman"/>
              </w:rPr>
            </w:pPr>
          </w:p>
        </w:tc>
        <w:tc>
          <w:tcPr>
            <w:tcW w:w="668" w:type="dxa"/>
            <w:tcBorders>
              <w:tl2br w:val="nil"/>
              <w:tr2bl w:val="nil"/>
            </w:tcBorders>
            <w:tcMar>
              <w:left w:w="0" w:type="dxa"/>
              <w:right w:w="0" w:type="dxa"/>
            </w:tcMar>
            <w:vAlign w:val="center"/>
          </w:tcPr>
          <w:p w:rsidR="00525419" w:rsidRDefault="00EE1CF7">
            <w:pPr>
              <w:pStyle w:val="B2"/>
              <w:rPr>
                <w:rFonts w:cs="Times New Roman"/>
              </w:rPr>
            </w:pPr>
            <w:r>
              <w:rPr>
                <w:rFonts w:cs="Times New Roman"/>
              </w:rPr>
              <w:t>防止</w:t>
            </w:r>
          </w:p>
          <w:p w:rsidR="00525419" w:rsidRDefault="00EE1CF7">
            <w:pPr>
              <w:pStyle w:val="B2"/>
              <w:rPr>
                <w:rFonts w:cs="Times New Roman"/>
              </w:rPr>
            </w:pPr>
            <w:r>
              <w:rPr>
                <w:rFonts w:cs="Times New Roman"/>
              </w:rPr>
              <w:t>溢出</w:t>
            </w:r>
          </w:p>
          <w:p w:rsidR="00525419" w:rsidRDefault="00EE1CF7">
            <w:pPr>
              <w:pStyle w:val="B2"/>
              <w:rPr>
                <w:rFonts w:cs="Times New Roman"/>
              </w:rPr>
            </w:pPr>
            <w:r>
              <w:rPr>
                <w:rFonts w:cs="Times New Roman"/>
              </w:rPr>
              <w:t>扩散</w:t>
            </w:r>
          </w:p>
        </w:tc>
        <w:tc>
          <w:tcPr>
            <w:tcW w:w="5043" w:type="dxa"/>
            <w:tcBorders>
              <w:tl2br w:val="nil"/>
              <w:tr2bl w:val="nil"/>
            </w:tcBorders>
            <w:tcMar>
              <w:left w:w="0" w:type="dxa"/>
              <w:right w:w="0" w:type="dxa"/>
            </w:tcMar>
            <w:vAlign w:val="center"/>
          </w:tcPr>
          <w:p w:rsidR="00525419" w:rsidRDefault="00EE1CF7">
            <w:pPr>
              <w:pStyle w:val="B2"/>
              <w:rPr>
                <w:rFonts w:cs="Times New Roman"/>
              </w:rPr>
            </w:pPr>
            <w:r>
              <w:rPr>
                <w:rFonts w:cs="Times New Roman"/>
              </w:rPr>
              <w:t>1</w:t>
            </w:r>
            <w:r>
              <w:rPr>
                <w:rFonts w:cs="Times New Roman"/>
              </w:rPr>
              <w:t>、主要料罐及反应设备四周应设置围墙、排水沟和废水收集池等设施，严禁物料流入水体。</w:t>
            </w:r>
          </w:p>
          <w:p w:rsidR="00525419" w:rsidRDefault="00EE1CF7">
            <w:pPr>
              <w:pStyle w:val="B2"/>
              <w:rPr>
                <w:rFonts w:cs="Times New Roman"/>
              </w:rPr>
            </w:pPr>
            <w:r>
              <w:rPr>
                <w:rFonts w:cs="Times New Roman"/>
              </w:rPr>
              <w:t>2</w:t>
            </w:r>
            <w:r>
              <w:rPr>
                <w:rFonts w:cs="Times New Roman"/>
              </w:rPr>
              <w:t>、贮罐地表铺设混凝土材料。建相应的混凝土坝和深沟设施接收储罐可能的溢出物。</w:t>
            </w:r>
          </w:p>
          <w:p w:rsidR="00525419" w:rsidRDefault="00EE1CF7">
            <w:pPr>
              <w:pStyle w:val="B2"/>
              <w:rPr>
                <w:rFonts w:cs="Times New Roman"/>
              </w:rPr>
            </w:pPr>
            <w:r>
              <w:rPr>
                <w:rFonts w:cs="Times New Roman"/>
              </w:rPr>
              <w:t>3</w:t>
            </w:r>
            <w:r>
              <w:rPr>
                <w:rFonts w:cs="Times New Roman"/>
              </w:rPr>
              <w:t>、设专门处理系统，切水阀设自动安全关闭装置。</w:t>
            </w:r>
          </w:p>
        </w:tc>
        <w:tc>
          <w:tcPr>
            <w:tcW w:w="2016" w:type="dxa"/>
            <w:vMerge/>
            <w:tcBorders>
              <w:tl2br w:val="nil"/>
              <w:tr2bl w:val="nil"/>
            </w:tcBorders>
            <w:tcMar>
              <w:left w:w="0" w:type="dxa"/>
              <w:right w:w="0" w:type="dxa"/>
            </w:tcMar>
            <w:vAlign w:val="center"/>
          </w:tcPr>
          <w:p w:rsidR="00525419" w:rsidRDefault="00525419">
            <w:pPr>
              <w:pStyle w:val="B2"/>
              <w:rPr>
                <w:rFonts w:cs="Times New Roman"/>
              </w:rPr>
            </w:pPr>
          </w:p>
        </w:tc>
      </w:tr>
      <w:tr w:rsidR="00525419">
        <w:trPr>
          <w:cantSplit/>
          <w:trHeight w:val="459"/>
          <w:jc w:val="center"/>
        </w:trPr>
        <w:tc>
          <w:tcPr>
            <w:tcW w:w="600" w:type="dxa"/>
            <w:vMerge/>
            <w:tcBorders>
              <w:tl2br w:val="nil"/>
              <w:tr2bl w:val="nil"/>
            </w:tcBorders>
            <w:tcMar>
              <w:left w:w="0" w:type="dxa"/>
              <w:right w:w="0" w:type="dxa"/>
            </w:tcMar>
            <w:vAlign w:val="center"/>
          </w:tcPr>
          <w:p w:rsidR="00525419" w:rsidRDefault="00525419">
            <w:pPr>
              <w:pStyle w:val="B2"/>
              <w:rPr>
                <w:rFonts w:cs="Times New Roman"/>
              </w:rPr>
            </w:pPr>
          </w:p>
        </w:tc>
        <w:tc>
          <w:tcPr>
            <w:tcW w:w="668" w:type="dxa"/>
            <w:tcBorders>
              <w:tl2br w:val="nil"/>
              <w:tr2bl w:val="nil"/>
            </w:tcBorders>
            <w:tcMar>
              <w:left w:w="0" w:type="dxa"/>
              <w:right w:w="0" w:type="dxa"/>
            </w:tcMar>
            <w:vAlign w:val="center"/>
          </w:tcPr>
          <w:p w:rsidR="00525419" w:rsidRDefault="00EE1CF7">
            <w:pPr>
              <w:pStyle w:val="B2"/>
              <w:rPr>
                <w:rFonts w:cs="Times New Roman"/>
              </w:rPr>
            </w:pPr>
            <w:r>
              <w:rPr>
                <w:rFonts w:cs="Times New Roman"/>
              </w:rPr>
              <w:t>个人</w:t>
            </w:r>
          </w:p>
          <w:p w:rsidR="00525419" w:rsidRDefault="00EE1CF7">
            <w:pPr>
              <w:pStyle w:val="B2"/>
              <w:rPr>
                <w:rFonts w:cs="Times New Roman"/>
              </w:rPr>
            </w:pPr>
            <w:r>
              <w:rPr>
                <w:rFonts w:cs="Times New Roman"/>
              </w:rPr>
              <w:t>防护</w:t>
            </w:r>
          </w:p>
        </w:tc>
        <w:tc>
          <w:tcPr>
            <w:tcW w:w="5043" w:type="dxa"/>
            <w:tcBorders>
              <w:tl2br w:val="nil"/>
              <w:tr2bl w:val="nil"/>
            </w:tcBorders>
            <w:tcMar>
              <w:left w:w="0" w:type="dxa"/>
              <w:right w:w="0" w:type="dxa"/>
            </w:tcMar>
            <w:vAlign w:val="center"/>
          </w:tcPr>
          <w:p w:rsidR="00525419" w:rsidRDefault="00EE1CF7">
            <w:pPr>
              <w:pStyle w:val="B2"/>
              <w:rPr>
                <w:rFonts w:cs="Times New Roman"/>
              </w:rPr>
            </w:pPr>
            <w:r>
              <w:rPr>
                <w:rFonts w:cs="Times New Roman"/>
              </w:rPr>
              <w:t>1</w:t>
            </w:r>
            <w:r>
              <w:rPr>
                <w:rFonts w:cs="Times New Roman"/>
              </w:rPr>
              <w:t>、建立劳动保护规定，配备劳保用品。</w:t>
            </w:r>
          </w:p>
          <w:p w:rsidR="00525419" w:rsidRDefault="00EE1CF7">
            <w:pPr>
              <w:pStyle w:val="B2"/>
              <w:rPr>
                <w:rFonts w:cs="Times New Roman"/>
              </w:rPr>
            </w:pPr>
            <w:r>
              <w:rPr>
                <w:rFonts w:cs="Times New Roman"/>
              </w:rPr>
              <w:t>2</w:t>
            </w:r>
            <w:r>
              <w:rPr>
                <w:rFonts w:cs="Times New Roman"/>
              </w:rPr>
              <w:t>、医务室要建立初期急救措施。</w:t>
            </w:r>
          </w:p>
          <w:p w:rsidR="00525419" w:rsidRDefault="00EE1CF7">
            <w:pPr>
              <w:pStyle w:val="B2"/>
              <w:rPr>
                <w:rFonts w:cs="Times New Roman"/>
              </w:rPr>
            </w:pPr>
            <w:r>
              <w:rPr>
                <w:rFonts w:cs="Times New Roman"/>
              </w:rPr>
              <w:t>3</w:t>
            </w:r>
            <w:r>
              <w:rPr>
                <w:rFonts w:cs="Times New Roman"/>
              </w:rPr>
              <w:t>、生产装置区内设置喷淋，洗眼等设施。</w:t>
            </w:r>
          </w:p>
        </w:tc>
        <w:tc>
          <w:tcPr>
            <w:tcW w:w="2016" w:type="dxa"/>
            <w:vMerge/>
            <w:tcBorders>
              <w:tl2br w:val="nil"/>
              <w:tr2bl w:val="nil"/>
            </w:tcBorders>
            <w:tcMar>
              <w:left w:w="0" w:type="dxa"/>
              <w:right w:w="0" w:type="dxa"/>
            </w:tcMar>
            <w:vAlign w:val="center"/>
          </w:tcPr>
          <w:p w:rsidR="00525419" w:rsidRDefault="00525419">
            <w:pPr>
              <w:pStyle w:val="B2"/>
              <w:rPr>
                <w:rFonts w:cs="Times New Roman"/>
              </w:rPr>
            </w:pPr>
          </w:p>
        </w:tc>
      </w:tr>
      <w:tr w:rsidR="00525419">
        <w:trPr>
          <w:cantSplit/>
          <w:jc w:val="center"/>
        </w:trPr>
        <w:tc>
          <w:tcPr>
            <w:tcW w:w="600" w:type="dxa"/>
            <w:vMerge w:val="restart"/>
            <w:tcBorders>
              <w:tl2br w:val="nil"/>
              <w:tr2bl w:val="nil"/>
            </w:tcBorders>
            <w:tcMar>
              <w:left w:w="0" w:type="dxa"/>
              <w:right w:w="0" w:type="dxa"/>
            </w:tcMar>
            <w:vAlign w:val="center"/>
          </w:tcPr>
          <w:p w:rsidR="00525419" w:rsidRDefault="00EE1CF7">
            <w:pPr>
              <w:pStyle w:val="B2"/>
              <w:rPr>
                <w:rFonts w:cs="Times New Roman"/>
              </w:rPr>
            </w:pPr>
            <w:r>
              <w:rPr>
                <w:rFonts w:cs="Times New Roman"/>
              </w:rPr>
              <w:t>火灾</w:t>
            </w:r>
          </w:p>
        </w:tc>
        <w:tc>
          <w:tcPr>
            <w:tcW w:w="668" w:type="dxa"/>
            <w:tcBorders>
              <w:tl2br w:val="nil"/>
              <w:tr2bl w:val="nil"/>
            </w:tcBorders>
            <w:tcMar>
              <w:left w:w="0" w:type="dxa"/>
              <w:right w:w="0" w:type="dxa"/>
            </w:tcMar>
            <w:vAlign w:val="center"/>
          </w:tcPr>
          <w:p w:rsidR="00525419" w:rsidRDefault="00EE1CF7">
            <w:pPr>
              <w:pStyle w:val="B2"/>
              <w:rPr>
                <w:rFonts w:cs="Times New Roman"/>
              </w:rPr>
            </w:pPr>
            <w:r>
              <w:rPr>
                <w:rFonts w:cs="Times New Roman"/>
              </w:rPr>
              <w:t>设备</w:t>
            </w:r>
          </w:p>
          <w:p w:rsidR="00525419" w:rsidRDefault="00EE1CF7">
            <w:pPr>
              <w:pStyle w:val="B2"/>
              <w:rPr>
                <w:rFonts w:cs="Times New Roman"/>
              </w:rPr>
            </w:pPr>
            <w:r>
              <w:rPr>
                <w:rFonts w:cs="Times New Roman"/>
              </w:rPr>
              <w:t>安全</w:t>
            </w:r>
          </w:p>
          <w:p w:rsidR="00525419" w:rsidRDefault="00EE1CF7">
            <w:pPr>
              <w:pStyle w:val="B2"/>
              <w:rPr>
                <w:rFonts w:cs="Times New Roman"/>
              </w:rPr>
            </w:pPr>
            <w:r>
              <w:rPr>
                <w:rFonts w:cs="Times New Roman"/>
              </w:rPr>
              <w:t>管理</w:t>
            </w:r>
          </w:p>
        </w:tc>
        <w:tc>
          <w:tcPr>
            <w:tcW w:w="5043" w:type="dxa"/>
            <w:tcBorders>
              <w:tl2br w:val="nil"/>
              <w:tr2bl w:val="nil"/>
            </w:tcBorders>
            <w:tcMar>
              <w:left w:w="0" w:type="dxa"/>
              <w:right w:w="0" w:type="dxa"/>
            </w:tcMar>
            <w:vAlign w:val="center"/>
          </w:tcPr>
          <w:p w:rsidR="00525419" w:rsidRDefault="00EE1CF7">
            <w:pPr>
              <w:pStyle w:val="B2"/>
              <w:rPr>
                <w:rFonts w:cs="Times New Roman"/>
              </w:rPr>
            </w:pPr>
            <w:r>
              <w:rPr>
                <w:rFonts w:cs="Times New Roman"/>
              </w:rPr>
              <w:t>1</w:t>
            </w:r>
            <w:r>
              <w:rPr>
                <w:rFonts w:cs="Times New Roman"/>
              </w:rPr>
              <w:t>、根据规定对设备进行安全分级。</w:t>
            </w:r>
          </w:p>
          <w:p w:rsidR="00525419" w:rsidRDefault="00EE1CF7">
            <w:pPr>
              <w:pStyle w:val="B2"/>
              <w:rPr>
                <w:rFonts w:cs="Times New Roman"/>
              </w:rPr>
            </w:pPr>
            <w:r>
              <w:rPr>
                <w:rFonts w:cs="Times New Roman"/>
              </w:rPr>
              <w:t>2</w:t>
            </w:r>
            <w:r>
              <w:rPr>
                <w:rFonts w:cs="Times New Roman"/>
              </w:rPr>
              <w:t>、按分级要求确定检查频率，保存记录以备查。</w:t>
            </w:r>
          </w:p>
          <w:p w:rsidR="00525419" w:rsidRDefault="00EE1CF7">
            <w:pPr>
              <w:pStyle w:val="B2"/>
              <w:rPr>
                <w:rFonts w:cs="Times New Roman"/>
              </w:rPr>
            </w:pPr>
            <w:r>
              <w:rPr>
                <w:rFonts w:cs="Times New Roman"/>
              </w:rPr>
              <w:t>3</w:t>
            </w:r>
            <w:r>
              <w:rPr>
                <w:rFonts w:cs="Times New Roman"/>
              </w:rPr>
              <w:t>、建立完善的消防系统。</w:t>
            </w:r>
          </w:p>
        </w:tc>
        <w:tc>
          <w:tcPr>
            <w:tcW w:w="2016" w:type="dxa"/>
            <w:vMerge w:val="restart"/>
            <w:tcBorders>
              <w:tl2br w:val="nil"/>
              <w:tr2bl w:val="nil"/>
            </w:tcBorders>
            <w:tcMar>
              <w:left w:w="0" w:type="dxa"/>
              <w:right w:w="0" w:type="dxa"/>
            </w:tcMar>
            <w:vAlign w:val="center"/>
          </w:tcPr>
          <w:p w:rsidR="00525419" w:rsidRDefault="00EE1CF7">
            <w:pPr>
              <w:pStyle w:val="B2"/>
              <w:rPr>
                <w:rFonts w:cs="Times New Roman"/>
              </w:rPr>
            </w:pPr>
            <w:r>
              <w:rPr>
                <w:rFonts w:cs="Times New Roman"/>
              </w:rPr>
              <w:t>1</w:t>
            </w:r>
            <w:r>
              <w:rPr>
                <w:rFonts w:cs="Times New Roman"/>
              </w:rPr>
              <w:t>、按照紧急事故汇报程序报告上级管理部门，向消防系统报警。</w:t>
            </w:r>
          </w:p>
          <w:p w:rsidR="00525419" w:rsidRDefault="00EE1CF7">
            <w:pPr>
              <w:pStyle w:val="B2"/>
              <w:rPr>
                <w:rFonts w:cs="Times New Roman"/>
              </w:rPr>
            </w:pPr>
            <w:r>
              <w:rPr>
                <w:rFonts w:cs="Times New Roman"/>
              </w:rPr>
              <w:t>2</w:t>
            </w:r>
            <w:r>
              <w:rPr>
                <w:rFonts w:cs="Times New Roman"/>
              </w:rPr>
              <w:t>、采取紧急工程措施，控制火源、控制可燃气体泄漏防止火灾扩大。</w:t>
            </w:r>
          </w:p>
          <w:p w:rsidR="00525419" w:rsidRDefault="00EE1CF7">
            <w:pPr>
              <w:pStyle w:val="B2"/>
              <w:rPr>
                <w:rFonts w:cs="Times New Roman"/>
              </w:rPr>
            </w:pPr>
            <w:r>
              <w:rPr>
                <w:rFonts w:cs="Times New Roman"/>
              </w:rPr>
              <w:t>3</w:t>
            </w:r>
            <w:r>
              <w:rPr>
                <w:rFonts w:cs="Times New Roman"/>
              </w:rPr>
              <w:t>、消防救火。</w:t>
            </w:r>
          </w:p>
          <w:p w:rsidR="00525419" w:rsidRDefault="00EE1CF7">
            <w:pPr>
              <w:pStyle w:val="B2"/>
              <w:rPr>
                <w:rFonts w:cs="Times New Roman"/>
              </w:rPr>
            </w:pPr>
            <w:r>
              <w:rPr>
                <w:rFonts w:cs="Times New Roman"/>
              </w:rPr>
              <w:t>4</w:t>
            </w:r>
            <w:r>
              <w:rPr>
                <w:rFonts w:cs="Times New Roman"/>
              </w:rPr>
              <w:t>、人员紧急疏散、救护</w:t>
            </w:r>
          </w:p>
          <w:p w:rsidR="00525419" w:rsidRDefault="00EE1CF7">
            <w:pPr>
              <w:pStyle w:val="B2"/>
              <w:rPr>
                <w:rFonts w:cs="Times New Roman"/>
              </w:rPr>
            </w:pPr>
            <w:r>
              <w:rPr>
                <w:rFonts w:cs="Times New Roman"/>
              </w:rPr>
              <w:t>5</w:t>
            </w:r>
            <w:r>
              <w:rPr>
                <w:rFonts w:cs="Times New Roman"/>
              </w:rPr>
              <w:t>、保障运输、物质、通信、宣传等使应急措施顺利实施。</w:t>
            </w:r>
          </w:p>
        </w:tc>
      </w:tr>
      <w:tr w:rsidR="00525419">
        <w:trPr>
          <w:cantSplit/>
          <w:jc w:val="center"/>
        </w:trPr>
        <w:tc>
          <w:tcPr>
            <w:tcW w:w="600" w:type="dxa"/>
            <w:vMerge/>
            <w:tcBorders>
              <w:tl2br w:val="nil"/>
              <w:tr2bl w:val="nil"/>
            </w:tcBorders>
            <w:tcMar>
              <w:left w:w="0" w:type="dxa"/>
              <w:right w:w="0" w:type="dxa"/>
            </w:tcMar>
            <w:vAlign w:val="center"/>
          </w:tcPr>
          <w:p w:rsidR="00525419" w:rsidRDefault="00525419">
            <w:pPr>
              <w:pStyle w:val="B2"/>
              <w:rPr>
                <w:rFonts w:cs="Times New Roman"/>
              </w:rPr>
            </w:pPr>
          </w:p>
        </w:tc>
        <w:tc>
          <w:tcPr>
            <w:tcW w:w="668" w:type="dxa"/>
            <w:tcBorders>
              <w:tl2br w:val="nil"/>
              <w:tr2bl w:val="nil"/>
            </w:tcBorders>
            <w:tcMar>
              <w:left w:w="0" w:type="dxa"/>
              <w:right w:w="0" w:type="dxa"/>
            </w:tcMar>
            <w:vAlign w:val="center"/>
          </w:tcPr>
          <w:p w:rsidR="00525419" w:rsidRDefault="00EE1CF7">
            <w:pPr>
              <w:pStyle w:val="B2"/>
              <w:rPr>
                <w:rFonts w:cs="Times New Roman"/>
              </w:rPr>
            </w:pPr>
            <w:r>
              <w:rPr>
                <w:rFonts w:cs="Times New Roman"/>
              </w:rPr>
              <w:t>火源</w:t>
            </w:r>
          </w:p>
          <w:p w:rsidR="00525419" w:rsidRDefault="00EE1CF7">
            <w:pPr>
              <w:pStyle w:val="B2"/>
              <w:rPr>
                <w:rFonts w:cs="Times New Roman"/>
              </w:rPr>
            </w:pPr>
            <w:r>
              <w:rPr>
                <w:rFonts w:cs="Times New Roman"/>
              </w:rPr>
              <w:t>管理</w:t>
            </w:r>
          </w:p>
        </w:tc>
        <w:tc>
          <w:tcPr>
            <w:tcW w:w="5043" w:type="dxa"/>
            <w:tcBorders>
              <w:tl2br w:val="nil"/>
              <w:tr2bl w:val="nil"/>
            </w:tcBorders>
            <w:tcMar>
              <w:left w:w="0" w:type="dxa"/>
              <w:right w:w="0" w:type="dxa"/>
            </w:tcMar>
            <w:vAlign w:val="center"/>
          </w:tcPr>
          <w:p w:rsidR="00525419" w:rsidRDefault="00EE1CF7">
            <w:pPr>
              <w:pStyle w:val="B2"/>
              <w:rPr>
                <w:rFonts w:cs="Times New Roman"/>
              </w:rPr>
            </w:pPr>
            <w:r>
              <w:rPr>
                <w:rFonts w:cs="Times New Roman"/>
              </w:rPr>
              <w:t>1</w:t>
            </w:r>
            <w:r>
              <w:rPr>
                <w:rFonts w:cs="Times New Roman"/>
              </w:rPr>
              <w:t>、防止机械着火源</w:t>
            </w:r>
            <w:r>
              <w:rPr>
                <w:rFonts w:cs="Times New Roman"/>
              </w:rPr>
              <w:t>(</w:t>
            </w:r>
            <w:r>
              <w:rPr>
                <w:rFonts w:cs="Times New Roman"/>
              </w:rPr>
              <w:t>如撞击、摩擦等</w:t>
            </w:r>
            <w:r>
              <w:rPr>
                <w:rFonts w:cs="Times New Roman"/>
              </w:rPr>
              <w:t>)</w:t>
            </w:r>
            <w:r>
              <w:rPr>
                <w:rFonts w:cs="Times New Roman"/>
              </w:rPr>
              <w:t>。</w:t>
            </w:r>
          </w:p>
          <w:p w:rsidR="00525419" w:rsidRDefault="00EE1CF7">
            <w:pPr>
              <w:pStyle w:val="B2"/>
              <w:rPr>
                <w:rFonts w:cs="Times New Roman"/>
              </w:rPr>
            </w:pPr>
            <w:r>
              <w:rPr>
                <w:rFonts w:cs="Times New Roman"/>
              </w:rPr>
              <w:t>2</w:t>
            </w:r>
            <w:r>
              <w:rPr>
                <w:rFonts w:cs="Times New Roman"/>
              </w:rPr>
              <w:t>、控制高温物体着火源、电器着火源及化学着火源。</w:t>
            </w:r>
          </w:p>
        </w:tc>
        <w:tc>
          <w:tcPr>
            <w:tcW w:w="2016" w:type="dxa"/>
            <w:vMerge/>
            <w:tcBorders>
              <w:tl2br w:val="nil"/>
              <w:tr2bl w:val="nil"/>
            </w:tcBorders>
            <w:tcMar>
              <w:left w:w="0" w:type="dxa"/>
              <w:right w:w="0" w:type="dxa"/>
            </w:tcMar>
            <w:vAlign w:val="center"/>
          </w:tcPr>
          <w:p w:rsidR="00525419" w:rsidRDefault="00525419">
            <w:pPr>
              <w:spacing w:line="200" w:lineRule="exact"/>
              <w:rPr>
                <w:rFonts w:ascii="Times New Roman" w:hAnsi="Times New Roman"/>
                <w:sz w:val="19"/>
                <w:szCs w:val="21"/>
              </w:rPr>
            </w:pPr>
          </w:p>
        </w:tc>
      </w:tr>
      <w:tr w:rsidR="00525419">
        <w:trPr>
          <w:cantSplit/>
          <w:jc w:val="center"/>
        </w:trPr>
        <w:tc>
          <w:tcPr>
            <w:tcW w:w="600" w:type="dxa"/>
            <w:vMerge/>
            <w:tcBorders>
              <w:tl2br w:val="nil"/>
              <w:tr2bl w:val="nil"/>
            </w:tcBorders>
            <w:tcMar>
              <w:left w:w="0" w:type="dxa"/>
              <w:right w:w="0" w:type="dxa"/>
            </w:tcMar>
            <w:vAlign w:val="center"/>
          </w:tcPr>
          <w:p w:rsidR="00525419" w:rsidRDefault="00525419">
            <w:pPr>
              <w:pStyle w:val="B2"/>
              <w:rPr>
                <w:rFonts w:cs="Times New Roman"/>
              </w:rPr>
            </w:pPr>
          </w:p>
        </w:tc>
        <w:tc>
          <w:tcPr>
            <w:tcW w:w="668" w:type="dxa"/>
            <w:tcBorders>
              <w:tl2br w:val="nil"/>
              <w:tr2bl w:val="nil"/>
            </w:tcBorders>
            <w:tcMar>
              <w:left w:w="0" w:type="dxa"/>
              <w:right w:w="0" w:type="dxa"/>
            </w:tcMar>
            <w:vAlign w:val="center"/>
          </w:tcPr>
          <w:p w:rsidR="00525419" w:rsidRDefault="00EE1CF7">
            <w:pPr>
              <w:pStyle w:val="B2"/>
              <w:rPr>
                <w:rFonts w:cs="Times New Roman"/>
              </w:rPr>
            </w:pPr>
            <w:r>
              <w:rPr>
                <w:rFonts w:cs="Times New Roman"/>
              </w:rPr>
              <w:t>贮料</w:t>
            </w:r>
          </w:p>
          <w:p w:rsidR="00525419" w:rsidRDefault="00EE1CF7">
            <w:pPr>
              <w:pStyle w:val="B2"/>
              <w:rPr>
                <w:rFonts w:cs="Times New Roman"/>
              </w:rPr>
            </w:pPr>
            <w:r>
              <w:rPr>
                <w:rFonts w:cs="Times New Roman"/>
              </w:rPr>
              <w:t>管理</w:t>
            </w:r>
          </w:p>
        </w:tc>
        <w:tc>
          <w:tcPr>
            <w:tcW w:w="5043" w:type="dxa"/>
            <w:tcBorders>
              <w:tl2br w:val="nil"/>
              <w:tr2bl w:val="nil"/>
            </w:tcBorders>
            <w:tcMar>
              <w:left w:w="0" w:type="dxa"/>
              <w:right w:w="0" w:type="dxa"/>
            </w:tcMar>
            <w:vAlign w:val="center"/>
          </w:tcPr>
          <w:p w:rsidR="00525419" w:rsidRDefault="00EE1CF7">
            <w:pPr>
              <w:pStyle w:val="B2"/>
              <w:rPr>
                <w:rFonts w:cs="Times New Roman"/>
              </w:rPr>
            </w:pPr>
            <w:r>
              <w:rPr>
                <w:rFonts w:cs="Times New Roman"/>
              </w:rPr>
              <w:t>1</w:t>
            </w:r>
            <w:r>
              <w:rPr>
                <w:rFonts w:cs="Times New Roman"/>
              </w:rPr>
              <w:t>、进行人员培训，使其熟悉各种物料的性能。</w:t>
            </w:r>
          </w:p>
          <w:p w:rsidR="00525419" w:rsidRDefault="00EE1CF7">
            <w:pPr>
              <w:pStyle w:val="B2"/>
              <w:rPr>
                <w:rFonts w:cs="Times New Roman"/>
              </w:rPr>
            </w:pPr>
            <w:r>
              <w:rPr>
                <w:rFonts w:cs="Times New Roman"/>
              </w:rPr>
              <w:t>2</w:t>
            </w:r>
            <w:r>
              <w:rPr>
                <w:rFonts w:cs="Times New Roman"/>
              </w:rPr>
              <w:t>、采取通风手段，并加强监测，使物料控制在爆炸下限。</w:t>
            </w:r>
          </w:p>
        </w:tc>
        <w:tc>
          <w:tcPr>
            <w:tcW w:w="2016" w:type="dxa"/>
            <w:vMerge/>
            <w:tcBorders>
              <w:tl2br w:val="nil"/>
              <w:tr2bl w:val="nil"/>
            </w:tcBorders>
            <w:tcMar>
              <w:left w:w="0" w:type="dxa"/>
              <w:right w:w="0" w:type="dxa"/>
            </w:tcMar>
            <w:vAlign w:val="center"/>
          </w:tcPr>
          <w:p w:rsidR="00525419" w:rsidRDefault="00525419">
            <w:pPr>
              <w:spacing w:line="200" w:lineRule="exact"/>
              <w:rPr>
                <w:rFonts w:ascii="Times New Roman" w:hAnsi="Times New Roman"/>
                <w:sz w:val="19"/>
                <w:szCs w:val="21"/>
              </w:rPr>
            </w:pPr>
          </w:p>
        </w:tc>
      </w:tr>
      <w:tr w:rsidR="00525419">
        <w:trPr>
          <w:cantSplit/>
          <w:jc w:val="center"/>
        </w:trPr>
        <w:tc>
          <w:tcPr>
            <w:tcW w:w="600" w:type="dxa"/>
            <w:vMerge w:val="restart"/>
            <w:tcBorders>
              <w:tl2br w:val="nil"/>
              <w:tr2bl w:val="nil"/>
            </w:tcBorders>
            <w:tcMar>
              <w:left w:w="0" w:type="dxa"/>
              <w:right w:w="0" w:type="dxa"/>
            </w:tcMar>
            <w:vAlign w:val="center"/>
          </w:tcPr>
          <w:p w:rsidR="00525419" w:rsidRDefault="00EE1CF7">
            <w:pPr>
              <w:pStyle w:val="B2"/>
              <w:rPr>
                <w:rFonts w:cs="Times New Roman"/>
              </w:rPr>
            </w:pPr>
            <w:r>
              <w:rPr>
                <w:rFonts w:cs="Times New Roman"/>
              </w:rPr>
              <w:t>爆炸</w:t>
            </w:r>
          </w:p>
        </w:tc>
        <w:tc>
          <w:tcPr>
            <w:tcW w:w="668" w:type="dxa"/>
            <w:tcBorders>
              <w:tl2br w:val="nil"/>
              <w:tr2bl w:val="nil"/>
            </w:tcBorders>
            <w:tcMar>
              <w:left w:w="0" w:type="dxa"/>
              <w:right w:w="0" w:type="dxa"/>
            </w:tcMar>
            <w:vAlign w:val="center"/>
          </w:tcPr>
          <w:p w:rsidR="00525419" w:rsidRDefault="00EE1CF7">
            <w:pPr>
              <w:pStyle w:val="B2"/>
              <w:rPr>
                <w:rFonts w:cs="Times New Roman"/>
              </w:rPr>
            </w:pPr>
            <w:r>
              <w:rPr>
                <w:rFonts w:cs="Times New Roman"/>
              </w:rPr>
              <w:t>防爆</w:t>
            </w:r>
          </w:p>
        </w:tc>
        <w:tc>
          <w:tcPr>
            <w:tcW w:w="5043" w:type="dxa"/>
            <w:tcBorders>
              <w:tl2br w:val="nil"/>
              <w:tr2bl w:val="nil"/>
            </w:tcBorders>
            <w:tcMar>
              <w:left w:w="0" w:type="dxa"/>
              <w:right w:w="0" w:type="dxa"/>
            </w:tcMar>
            <w:vAlign w:val="center"/>
          </w:tcPr>
          <w:p w:rsidR="00525419" w:rsidRDefault="00EE1CF7">
            <w:pPr>
              <w:pStyle w:val="B2"/>
              <w:rPr>
                <w:rFonts w:cs="Times New Roman"/>
              </w:rPr>
            </w:pPr>
            <w:r>
              <w:rPr>
                <w:rFonts w:cs="Times New Roman"/>
              </w:rPr>
              <w:t>1</w:t>
            </w:r>
            <w:r>
              <w:rPr>
                <w:rFonts w:cs="Times New Roman"/>
              </w:rPr>
              <w:t>、严禁生产系统超温超压，设置报警系统。</w:t>
            </w:r>
          </w:p>
          <w:p w:rsidR="00525419" w:rsidRDefault="00EE1CF7">
            <w:pPr>
              <w:pStyle w:val="B2"/>
              <w:rPr>
                <w:rFonts w:cs="Times New Roman"/>
              </w:rPr>
            </w:pPr>
            <w:r>
              <w:rPr>
                <w:rFonts w:cs="Times New Roman"/>
              </w:rPr>
              <w:t>2</w:t>
            </w:r>
            <w:r>
              <w:rPr>
                <w:rFonts w:cs="Times New Roman"/>
              </w:rPr>
              <w:t>、设立防爆检测系统。</w:t>
            </w:r>
          </w:p>
        </w:tc>
        <w:tc>
          <w:tcPr>
            <w:tcW w:w="2016" w:type="dxa"/>
            <w:vMerge/>
            <w:tcBorders>
              <w:tl2br w:val="nil"/>
              <w:tr2bl w:val="nil"/>
            </w:tcBorders>
            <w:tcMar>
              <w:left w:w="0" w:type="dxa"/>
              <w:right w:w="0" w:type="dxa"/>
            </w:tcMar>
            <w:vAlign w:val="center"/>
          </w:tcPr>
          <w:p w:rsidR="00525419" w:rsidRDefault="00525419">
            <w:pPr>
              <w:spacing w:line="200" w:lineRule="exact"/>
              <w:rPr>
                <w:rFonts w:ascii="Times New Roman" w:hAnsi="Times New Roman"/>
                <w:sz w:val="19"/>
                <w:szCs w:val="21"/>
              </w:rPr>
            </w:pPr>
          </w:p>
        </w:tc>
      </w:tr>
      <w:tr w:rsidR="00525419">
        <w:trPr>
          <w:cantSplit/>
          <w:trHeight w:val="468"/>
          <w:jc w:val="center"/>
        </w:trPr>
        <w:tc>
          <w:tcPr>
            <w:tcW w:w="600" w:type="dxa"/>
            <w:vMerge/>
            <w:tcBorders>
              <w:tl2br w:val="nil"/>
              <w:tr2bl w:val="nil"/>
            </w:tcBorders>
            <w:tcMar>
              <w:left w:w="0" w:type="dxa"/>
              <w:right w:w="0" w:type="dxa"/>
            </w:tcMar>
            <w:vAlign w:val="center"/>
          </w:tcPr>
          <w:p w:rsidR="00525419" w:rsidRDefault="00525419">
            <w:pPr>
              <w:pStyle w:val="B2"/>
              <w:rPr>
                <w:rFonts w:cs="Times New Roman"/>
              </w:rPr>
            </w:pPr>
          </w:p>
        </w:tc>
        <w:tc>
          <w:tcPr>
            <w:tcW w:w="668" w:type="dxa"/>
            <w:tcBorders>
              <w:tl2br w:val="nil"/>
              <w:tr2bl w:val="nil"/>
            </w:tcBorders>
            <w:tcMar>
              <w:left w:w="0" w:type="dxa"/>
              <w:right w:w="0" w:type="dxa"/>
            </w:tcMar>
            <w:vAlign w:val="center"/>
          </w:tcPr>
          <w:p w:rsidR="00525419" w:rsidRDefault="00EE1CF7">
            <w:pPr>
              <w:pStyle w:val="B2"/>
              <w:rPr>
                <w:rFonts w:cs="Times New Roman"/>
              </w:rPr>
            </w:pPr>
            <w:r>
              <w:rPr>
                <w:rFonts w:cs="Times New Roman"/>
              </w:rPr>
              <w:t>抗静电</w:t>
            </w:r>
          </w:p>
        </w:tc>
        <w:tc>
          <w:tcPr>
            <w:tcW w:w="5043" w:type="dxa"/>
            <w:tcBorders>
              <w:tl2br w:val="nil"/>
              <w:tr2bl w:val="nil"/>
            </w:tcBorders>
            <w:tcMar>
              <w:left w:w="0" w:type="dxa"/>
              <w:right w:w="0" w:type="dxa"/>
            </w:tcMar>
            <w:vAlign w:val="center"/>
          </w:tcPr>
          <w:p w:rsidR="00525419" w:rsidRDefault="00EE1CF7">
            <w:pPr>
              <w:pStyle w:val="B2"/>
              <w:rPr>
                <w:rFonts w:cs="Times New Roman"/>
              </w:rPr>
            </w:pPr>
            <w:r>
              <w:rPr>
                <w:rFonts w:cs="Times New Roman"/>
              </w:rPr>
              <w:t>1</w:t>
            </w:r>
            <w:r>
              <w:rPr>
                <w:rFonts w:cs="Times New Roman"/>
              </w:rPr>
              <w:t>、贮罐设备设置永久性接地装置。</w:t>
            </w:r>
          </w:p>
          <w:p w:rsidR="00525419" w:rsidRDefault="00EE1CF7">
            <w:pPr>
              <w:pStyle w:val="B2"/>
              <w:rPr>
                <w:rFonts w:cs="Times New Roman"/>
              </w:rPr>
            </w:pPr>
            <w:r>
              <w:rPr>
                <w:rFonts w:cs="Times New Roman"/>
              </w:rPr>
              <w:t>2</w:t>
            </w:r>
            <w:r>
              <w:rPr>
                <w:rFonts w:cs="Times New Roman"/>
              </w:rPr>
              <w:t>、贮罐内设有内导管以防碳水化合物喷溅。</w:t>
            </w:r>
          </w:p>
        </w:tc>
        <w:tc>
          <w:tcPr>
            <w:tcW w:w="2016" w:type="dxa"/>
            <w:vMerge/>
            <w:tcBorders>
              <w:tl2br w:val="nil"/>
              <w:tr2bl w:val="nil"/>
            </w:tcBorders>
            <w:tcMar>
              <w:left w:w="0" w:type="dxa"/>
              <w:right w:w="0" w:type="dxa"/>
            </w:tcMar>
            <w:vAlign w:val="center"/>
          </w:tcPr>
          <w:p w:rsidR="00525419" w:rsidRDefault="00525419">
            <w:pPr>
              <w:spacing w:line="200" w:lineRule="exact"/>
              <w:ind w:firstLineChars="200" w:firstLine="380"/>
              <w:rPr>
                <w:rFonts w:ascii="Times New Roman" w:hAnsi="Times New Roman"/>
                <w:sz w:val="19"/>
                <w:szCs w:val="21"/>
              </w:rPr>
            </w:pPr>
          </w:p>
        </w:tc>
      </w:tr>
    </w:tbl>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5.6.7</w:t>
      </w:r>
      <w:r>
        <w:rPr>
          <w:rFonts w:ascii="Times New Roman" w:eastAsia="华文楷体" w:hAnsi="Times New Roman"/>
        </w:rPr>
        <w:t>应急预案总体要求</w:t>
      </w:r>
    </w:p>
    <w:p w:rsidR="00525419" w:rsidRDefault="00EE1CF7">
      <w:pPr>
        <w:pStyle w:val="B1"/>
        <w:ind w:firstLine="480"/>
        <w:rPr>
          <w:rFonts w:cs="Times New Roman"/>
        </w:rPr>
      </w:pPr>
      <w:r>
        <w:rPr>
          <w:rFonts w:cs="Times New Roman"/>
        </w:rPr>
        <w:t>对于重大或不可接受的风险（主要是物料严重泄漏、火灾爆炸造成重大人员伤害等），制定应急响应方案，建立应急反应体系，当事件一旦发生时可迅速加以控制，使危害和损失降低到尽可能低的程度。作为事故风险防范和应急对策的重要组成部分，应急组织机构应制定应急计划，其基本内容应包括应急组织、应急设施（设备器材）、应急通讯联络、应急监测、应急安全保卫、应急撤离措施、应急救援、应急状态终止、事故后果评价、应急报告等。</w:t>
      </w:r>
    </w:p>
    <w:p w:rsidR="00525419" w:rsidRDefault="00EE1CF7">
      <w:pPr>
        <w:pStyle w:val="B1"/>
        <w:ind w:firstLine="480"/>
        <w:rPr>
          <w:rFonts w:cs="Times New Roman"/>
        </w:rPr>
      </w:pPr>
      <w:r>
        <w:rPr>
          <w:rFonts w:cs="Times New Roman"/>
        </w:rPr>
        <w:lastRenderedPageBreak/>
        <w:t>环评要求建设单位根据本次建设特点修订现有突发环境事件应急预案并进行备案，其主要内容见表</w:t>
      </w:r>
      <w:r>
        <w:rPr>
          <w:rFonts w:cs="Times New Roman"/>
        </w:rPr>
        <w:t>5.6-30</w:t>
      </w:r>
      <w:r>
        <w:rPr>
          <w:rFonts w:cs="Times New Roman"/>
        </w:rPr>
        <w:t>。</w:t>
      </w:r>
    </w:p>
    <w:p w:rsidR="00525419" w:rsidRDefault="00EE1CF7">
      <w:pPr>
        <w:spacing w:line="240" w:lineRule="atLeast"/>
        <w:ind w:firstLineChars="1000" w:firstLine="2100"/>
        <w:rPr>
          <w:rFonts w:ascii="Times New Roman" w:eastAsia="黑体" w:hAnsi="Times New Roman"/>
          <w:szCs w:val="21"/>
        </w:rPr>
      </w:pPr>
      <w:r>
        <w:rPr>
          <w:rFonts w:ascii="Times New Roman" w:eastAsia="黑体" w:hAnsi="Times New Roman"/>
          <w:szCs w:val="21"/>
        </w:rPr>
        <w:t xml:space="preserve">　　表</w:t>
      </w:r>
      <w:r>
        <w:rPr>
          <w:rFonts w:ascii="Times New Roman" w:eastAsia="黑体" w:hAnsi="Times New Roman"/>
          <w:szCs w:val="21"/>
        </w:rPr>
        <w:t xml:space="preserve">5.6-30    </w:t>
      </w:r>
      <w:r>
        <w:rPr>
          <w:rFonts w:ascii="Times New Roman" w:eastAsia="黑体" w:hAnsi="Times New Roman"/>
          <w:szCs w:val="21"/>
        </w:rPr>
        <w:t>应急预案主要内容</w:t>
      </w:r>
    </w:p>
    <w:tbl>
      <w:tblPr>
        <w:tblW w:w="83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5"/>
        <w:gridCol w:w="2803"/>
        <w:gridCol w:w="4880"/>
      </w:tblGrid>
      <w:tr w:rsidR="00525419">
        <w:trPr>
          <w:trHeight w:val="397"/>
          <w:jc w:val="center"/>
        </w:trPr>
        <w:tc>
          <w:tcPr>
            <w:tcW w:w="645" w:type="dxa"/>
            <w:shd w:val="clear" w:color="auto" w:fill="auto"/>
            <w:vAlign w:val="center"/>
          </w:tcPr>
          <w:p w:rsidR="00525419" w:rsidRDefault="00EE1CF7">
            <w:pPr>
              <w:pStyle w:val="B2"/>
              <w:rPr>
                <w:rFonts w:cs="Times New Roman"/>
              </w:rPr>
            </w:pPr>
            <w:r>
              <w:rPr>
                <w:rFonts w:cs="Times New Roman"/>
              </w:rPr>
              <w:t>序号</w:t>
            </w:r>
          </w:p>
        </w:tc>
        <w:tc>
          <w:tcPr>
            <w:tcW w:w="2803" w:type="dxa"/>
            <w:shd w:val="clear" w:color="auto" w:fill="auto"/>
            <w:vAlign w:val="center"/>
          </w:tcPr>
          <w:p w:rsidR="00525419" w:rsidRDefault="00EE1CF7">
            <w:pPr>
              <w:pStyle w:val="B2"/>
              <w:rPr>
                <w:rFonts w:cs="Times New Roman"/>
              </w:rPr>
            </w:pPr>
            <w:r>
              <w:rPr>
                <w:rFonts w:cs="Times New Roman"/>
              </w:rPr>
              <w:t>项目</w:t>
            </w:r>
          </w:p>
        </w:tc>
        <w:tc>
          <w:tcPr>
            <w:tcW w:w="4880" w:type="dxa"/>
            <w:shd w:val="clear" w:color="auto" w:fill="auto"/>
            <w:vAlign w:val="center"/>
          </w:tcPr>
          <w:p w:rsidR="00525419" w:rsidRDefault="00EE1CF7">
            <w:pPr>
              <w:pStyle w:val="B2"/>
              <w:rPr>
                <w:rFonts w:cs="Times New Roman"/>
              </w:rPr>
            </w:pPr>
            <w:r>
              <w:rPr>
                <w:rFonts w:cs="Times New Roman"/>
              </w:rPr>
              <w:t>内容及要求</w:t>
            </w:r>
          </w:p>
        </w:tc>
      </w:tr>
      <w:tr w:rsidR="00525419">
        <w:trPr>
          <w:trHeight w:val="397"/>
          <w:jc w:val="center"/>
        </w:trPr>
        <w:tc>
          <w:tcPr>
            <w:tcW w:w="645" w:type="dxa"/>
            <w:shd w:val="clear" w:color="auto" w:fill="auto"/>
            <w:vAlign w:val="center"/>
          </w:tcPr>
          <w:p w:rsidR="00525419" w:rsidRDefault="00EE1CF7">
            <w:pPr>
              <w:pStyle w:val="B2"/>
              <w:rPr>
                <w:rFonts w:cs="Times New Roman"/>
              </w:rPr>
            </w:pPr>
            <w:r>
              <w:rPr>
                <w:rFonts w:cs="Times New Roman"/>
              </w:rPr>
              <w:t>1</w:t>
            </w:r>
          </w:p>
        </w:tc>
        <w:tc>
          <w:tcPr>
            <w:tcW w:w="2803" w:type="dxa"/>
            <w:shd w:val="clear" w:color="auto" w:fill="auto"/>
            <w:vAlign w:val="center"/>
          </w:tcPr>
          <w:p w:rsidR="00525419" w:rsidRDefault="00EE1CF7">
            <w:pPr>
              <w:pStyle w:val="B2"/>
              <w:rPr>
                <w:rFonts w:cs="Times New Roman"/>
              </w:rPr>
            </w:pPr>
            <w:r>
              <w:rPr>
                <w:rFonts w:cs="Times New Roman"/>
              </w:rPr>
              <w:t>应急计划区</w:t>
            </w:r>
          </w:p>
        </w:tc>
        <w:tc>
          <w:tcPr>
            <w:tcW w:w="4880" w:type="dxa"/>
            <w:shd w:val="clear" w:color="auto" w:fill="auto"/>
            <w:vAlign w:val="center"/>
          </w:tcPr>
          <w:p w:rsidR="00525419" w:rsidRDefault="00EE1CF7">
            <w:pPr>
              <w:pStyle w:val="B2"/>
              <w:rPr>
                <w:rFonts w:cs="Times New Roman"/>
              </w:rPr>
            </w:pPr>
            <w:r>
              <w:rPr>
                <w:rFonts w:cs="Times New Roman"/>
              </w:rPr>
              <w:t>危险目标：装置区、环境保护目标</w:t>
            </w:r>
          </w:p>
        </w:tc>
      </w:tr>
      <w:tr w:rsidR="00525419">
        <w:trPr>
          <w:trHeight w:val="397"/>
          <w:jc w:val="center"/>
        </w:trPr>
        <w:tc>
          <w:tcPr>
            <w:tcW w:w="645" w:type="dxa"/>
            <w:shd w:val="clear" w:color="auto" w:fill="auto"/>
            <w:vAlign w:val="center"/>
          </w:tcPr>
          <w:p w:rsidR="00525419" w:rsidRDefault="00EE1CF7">
            <w:pPr>
              <w:pStyle w:val="B2"/>
              <w:rPr>
                <w:rFonts w:cs="Times New Roman"/>
              </w:rPr>
            </w:pPr>
            <w:r>
              <w:rPr>
                <w:rFonts w:cs="Times New Roman"/>
              </w:rPr>
              <w:t>2</w:t>
            </w:r>
          </w:p>
        </w:tc>
        <w:tc>
          <w:tcPr>
            <w:tcW w:w="2803" w:type="dxa"/>
            <w:shd w:val="clear" w:color="auto" w:fill="auto"/>
            <w:vAlign w:val="center"/>
          </w:tcPr>
          <w:p w:rsidR="00525419" w:rsidRDefault="00EE1CF7">
            <w:pPr>
              <w:pStyle w:val="B2"/>
              <w:rPr>
                <w:rFonts w:cs="Times New Roman"/>
              </w:rPr>
            </w:pPr>
            <w:r>
              <w:rPr>
                <w:rFonts w:cs="Times New Roman"/>
              </w:rPr>
              <w:t>应急组织机构、人员</w:t>
            </w:r>
          </w:p>
        </w:tc>
        <w:tc>
          <w:tcPr>
            <w:tcW w:w="4880" w:type="dxa"/>
            <w:shd w:val="clear" w:color="auto" w:fill="auto"/>
            <w:vAlign w:val="center"/>
          </w:tcPr>
          <w:p w:rsidR="00525419" w:rsidRDefault="00EE1CF7">
            <w:pPr>
              <w:pStyle w:val="B2"/>
              <w:rPr>
                <w:rFonts w:cs="Times New Roman"/>
              </w:rPr>
            </w:pPr>
            <w:r>
              <w:rPr>
                <w:rFonts w:cs="Times New Roman"/>
              </w:rPr>
              <w:t>厂区、地区应急组织机构、人员</w:t>
            </w:r>
          </w:p>
        </w:tc>
      </w:tr>
      <w:tr w:rsidR="00525419">
        <w:trPr>
          <w:trHeight w:val="397"/>
          <w:jc w:val="center"/>
        </w:trPr>
        <w:tc>
          <w:tcPr>
            <w:tcW w:w="645" w:type="dxa"/>
            <w:shd w:val="clear" w:color="auto" w:fill="auto"/>
            <w:vAlign w:val="center"/>
          </w:tcPr>
          <w:p w:rsidR="00525419" w:rsidRDefault="00EE1CF7">
            <w:pPr>
              <w:pStyle w:val="B2"/>
              <w:rPr>
                <w:rFonts w:cs="Times New Roman"/>
              </w:rPr>
            </w:pPr>
            <w:r>
              <w:rPr>
                <w:rFonts w:cs="Times New Roman"/>
              </w:rPr>
              <w:t>3</w:t>
            </w:r>
          </w:p>
        </w:tc>
        <w:tc>
          <w:tcPr>
            <w:tcW w:w="2803" w:type="dxa"/>
            <w:shd w:val="clear" w:color="auto" w:fill="auto"/>
            <w:vAlign w:val="center"/>
          </w:tcPr>
          <w:p w:rsidR="00525419" w:rsidRDefault="00EE1CF7">
            <w:pPr>
              <w:pStyle w:val="B2"/>
              <w:rPr>
                <w:rFonts w:cs="Times New Roman"/>
              </w:rPr>
            </w:pPr>
            <w:r>
              <w:rPr>
                <w:rFonts w:cs="Times New Roman"/>
              </w:rPr>
              <w:t>预案分级响应条件</w:t>
            </w:r>
          </w:p>
        </w:tc>
        <w:tc>
          <w:tcPr>
            <w:tcW w:w="4880" w:type="dxa"/>
            <w:shd w:val="clear" w:color="auto" w:fill="auto"/>
            <w:vAlign w:val="center"/>
          </w:tcPr>
          <w:p w:rsidR="00525419" w:rsidRDefault="00EE1CF7">
            <w:pPr>
              <w:pStyle w:val="B2"/>
              <w:rPr>
                <w:rFonts w:cs="Times New Roman"/>
              </w:rPr>
            </w:pPr>
            <w:r>
              <w:rPr>
                <w:rFonts w:cs="Times New Roman"/>
              </w:rPr>
              <w:t>规定预案级别，分级响应程序及条件</w:t>
            </w:r>
          </w:p>
        </w:tc>
      </w:tr>
      <w:tr w:rsidR="00525419">
        <w:trPr>
          <w:trHeight w:val="397"/>
          <w:jc w:val="center"/>
        </w:trPr>
        <w:tc>
          <w:tcPr>
            <w:tcW w:w="645" w:type="dxa"/>
            <w:shd w:val="clear" w:color="auto" w:fill="auto"/>
            <w:vAlign w:val="center"/>
          </w:tcPr>
          <w:p w:rsidR="00525419" w:rsidRDefault="00EE1CF7">
            <w:pPr>
              <w:pStyle w:val="B2"/>
              <w:rPr>
                <w:rFonts w:cs="Times New Roman"/>
              </w:rPr>
            </w:pPr>
            <w:r>
              <w:rPr>
                <w:rFonts w:cs="Times New Roman"/>
              </w:rPr>
              <w:t>4</w:t>
            </w:r>
          </w:p>
        </w:tc>
        <w:tc>
          <w:tcPr>
            <w:tcW w:w="2803" w:type="dxa"/>
            <w:shd w:val="clear" w:color="auto" w:fill="auto"/>
            <w:vAlign w:val="center"/>
          </w:tcPr>
          <w:p w:rsidR="00525419" w:rsidRDefault="00EE1CF7">
            <w:pPr>
              <w:pStyle w:val="B2"/>
              <w:rPr>
                <w:rFonts w:cs="Times New Roman"/>
              </w:rPr>
            </w:pPr>
            <w:r>
              <w:rPr>
                <w:rFonts w:cs="Times New Roman"/>
              </w:rPr>
              <w:t>应急救援保障</w:t>
            </w:r>
          </w:p>
        </w:tc>
        <w:tc>
          <w:tcPr>
            <w:tcW w:w="4880" w:type="dxa"/>
            <w:shd w:val="clear" w:color="auto" w:fill="auto"/>
            <w:vAlign w:val="center"/>
          </w:tcPr>
          <w:p w:rsidR="00525419" w:rsidRDefault="00EE1CF7">
            <w:pPr>
              <w:pStyle w:val="B2"/>
              <w:rPr>
                <w:rFonts w:cs="Times New Roman"/>
              </w:rPr>
            </w:pPr>
            <w:r>
              <w:rPr>
                <w:rFonts w:cs="Times New Roman"/>
              </w:rPr>
              <w:t>应急设施、设备与器材</w:t>
            </w:r>
          </w:p>
        </w:tc>
      </w:tr>
      <w:tr w:rsidR="00525419">
        <w:trPr>
          <w:trHeight w:val="397"/>
          <w:jc w:val="center"/>
        </w:trPr>
        <w:tc>
          <w:tcPr>
            <w:tcW w:w="645" w:type="dxa"/>
            <w:shd w:val="clear" w:color="auto" w:fill="auto"/>
            <w:vAlign w:val="center"/>
          </w:tcPr>
          <w:p w:rsidR="00525419" w:rsidRDefault="00EE1CF7">
            <w:pPr>
              <w:pStyle w:val="B2"/>
              <w:rPr>
                <w:rFonts w:cs="Times New Roman"/>
              </w:rPr>
            </w:pPr>
            <w:r>
              <w:rPr>
                <w:rFonts w:cs="Times New Roman"/>
              </w:rPr>
              <w:t>5</w:t>
            </w:r>
          </w:p>
        </w:tc>
        <w:tc>
          <w:tcPr>
            <w:tcW w:w="2803" w:type="dxa"/>
            <w:shd w:val="clear" w:color="auto" w:fill="auto"/>
            <w:vAlign w:val="center"/>
          </w:tcPr>
          <w:p w:rsidR="00525419" w:rsidRDefault="00EE1CF7">
            <w:pPr>
              <w:pStyle w:val="B2"/>
              <w:rPr>
                <w:rFonts w:cs="Times New Roman"/>
              </w:rPr>
            </w:pPr>
            <w:r>
              <w:rPr>
                <w:rFonts w:cs="Times New Roman"/>
              </w:rPr>
              <w:t>报警、通讯联络方式</w:t>
            </w:r>
          </w:p>
        </w:tc>
        <w:tc>
          <w:tcPr>
            <w:tcW w:w="4880" w:type="dxa"/>
            <w:shd w:val="clear" w:color="auto" w:fill="auto"/>
            <w:vAlign w:val="center"/>
          </w:tcPr>
          <w:p w:rsidR="00525419" w:rsidRDefault="00EE1CF7">
            <w:pPr>
              <w:pStyle w:val="B2"/>
              <w:rPr>
                <w:rFonts w:cs="Times New Roman"/>
              </w:rPr>
            </w:pPr>
            <w:r>
              <w:rPr>
                <w:rFonts w:cs="Times New Roman"/>
              </w:rPr>
              <w:t>规定应急状态下的报警通讯方式、通知方式和交通保障、管制等相关内容</w:t>
            </w:r>
          </w:p>
        </w:tc>
      </w:tr>
      <w:tr w:rsidR="00525419">
        <w:trPr>
          <w:trHeight w:val="397"/>
          <w:jc w:val="center"/>
        </w:trPr>
        <w:tc>
          <w:tcPr>
            <w:tcW w:w="645" w:type="dxa"/>
            <w:shd w:val="clear" w:color="auto" w:fill="auto"/>
            <w:vAlign w:val="center"/>
          </w:tcPr>
          <w:p w:rsidR="00525419" w:rsidRDefault="00EE1CF7">
            <w:pPr>
              <w:pStyle w:val="B2"/>
              <w:rPr>
                <w:rFonts w:cs="Times New Roman"/>
              </w:rPr>
            </w:pPr>
            <w:r>
              <w:rPr>
                <w:rFonts w:cs="Times New Roman"/>
              </w:rPr>
              <w:t>6</w:t>
            </w:r>
          </w:p>
        </w:tc>
        <w:tc>
          <w:tcPr>
            <w:tcW w:w="2803" w:type="dxa"/>
            <w:shd w:val="clear" w:color="auto" w:fill="auto"/>
            <w:vAlign w:val="center"/>
          </w:tcPr>
          <w:p w:rsidR="00525419" w:rsidRDefault="00EE1CF7">
            <w:pPr>
              <w:pStyle w:val="B2"/>
              <w:rPr>
                <w:rFonts w:cs="Times New Roman"/>
              </w:rPr>
            </w:pPr>
            <w:r>
              <w:rPr>
                <w:rFonts w:cs="Times New Roman"/>
              </w:rPr>
              <w:t>应急环境监测、抢险、救援及控制措施</w:t>
            </w:r>
          </w:p>
        </w:tc>
        <w:tc>
          <w:tcPr>
            <w:tcW w:w="4880" w:type="dxa"/>
            <w:shd w:val="clear" w:color="auto" w:fill="auto"/>
            <w:vAlign w:val="center"/>
          </w:tcPr>
          <w:p w:rsidR="00525419" w:rsidRDefault="00EE1CF7">
            <w:pPr>
              <w:pStyle w:val="B2"/>
              <w:rPr>
                <w:rFonts w:cs="Times New Roman"/>
              </w:rPr>
            </w:pPr>
            <w:r>
              <w:rPr>
                <w:rFonts w:cs="Times New Roman"/>
              </w:rPr>
              <w:t>由专业队伍负责对事故现场进行侦察监测，对事故性质、参数与后果进行评估，为指挥部门提供决策依据</w:t>
            </w:r>
          </w:p>
        </w:tc>
      </w:tr>
      <w:tr w:rsidR="00525419">
        <w:trPr>
          <w:trHeight w:val="397"/>
          <w:jc w:val="center"/>
        </w:trPr>
        <w:tc>
          <w:tcPr>
            <w:tcW w:w="645" w:type="dxa"/>
            <w:shd w:val="clear" w:color="auto" w:fill="auto"/>
            <w:vAlign w:val="center"/>
          </w:tcPr>
          <w:p w:rsidR="00525419" w:rsidRDefault="00EE1CF7">
            <w:pPr>
              <w:pStyle w:val="B2"/>
              <w:rPr>
                <w:rFonts w:cs="Times New Roman"/>
              </w:rPr>
            </w:pPr>
            <w:r>
              <w:rPr>
                <w:rFonts w:cs="Times New Roman"/>
              </w:rPr>
              <w:t>7</w:t>
            </w:r>
          </w:p>
        </w:tc>
        <w:tc>
          <w:tcPr>
            <w:tcW w:w="2803" w:type="dxa"/>
            <w:shd w:val="clear" w:color="auto" w:fill="auto"/>
            <w:vAlign w:val="center"/>
          </w:tcPr>
          <w:p w:rsidR="00525419" w:rsidRDefault="00EE1CF7">
            <w:pPr>
              <w:pStyle w:val="B2"/>
              <w:rPr>
                <w:rFonts w:cs="Times New Roman"/>
              </w:rPr>
            </w:pPr>
            <w:r>
              <w:rPr>
                <w:rFonts w:cs="Times New Roman"/>
              </w:rPr>
              <w:t>应急防护措施</w:t>
            </w:r>
          </w:p>
        </w:tc>
        <w:tc>
          <w:tcPr>
            <w:tcW w:w="4880" w:type="dxa"/>
            <w:shd w:val="clear" w:color="auto" w:fill="auto"/>
            <w:vAlign w:val="center"/>
          </w:tcPr>
          <w:p w:rsidR="00525419" w:rsidRDefault="00EE1CF7">
            <w:pPr>
              <w:pStyle w:val="B2"/>
              <w:rPr>
                <w:rFonts w:cs="Times New Roman"/>
              </w:rPr>
            </w:pPr>
            <w:r>
              <w:rPr>
                <w:rFonts w:cs="Times New Roman"/>
              </w:rPr>
              <w:t>防火区域控制：事故现场与邻近区域；清除污染措施：事故现场与邻近区域；清除污染设备及配置</w:t>
            </w:r>
          </w:p>
        </w:tc>
      </w:tr>
      <w:tr w:rsidR="00525419">
        <w:trPr>
          <w:trHeight w:val="397"/>
          <w:jc w:val="center"/>
        </w:trPr>
        <w:tc>
          <w:tcPr>
            <w:tcW w:w="645" w:type="dxa"/>
            <w:shd w:val="clear" w:color="auto" w:fill="auto"/>
            <w:vAlign w:val="center"/>
          </w:tcPr>
          <w:p w:rsidR="00525419" w:rsidRDefault="00EE1CF7">
            <w:pPr>
              <w:pStyle w:val="B2"/>
              <w:rPr>
                <w:rFonts w:cs="Times New Roman"/>
              </w:rPr>
            </w:pPr>
            <w:r>
              <w:rPr>
                <w:rFonts w:cs="Times New Roman"/>
              </w:rPr>
              <w:t>8</w:t>
            </w:r>
          </w:p>
        </w:tc>
        <w:tc>
          <w:tcPr>
            <w:tcW w:w="2803" w:type="dxa"/>
            <w:shd w:val="clear" w:color="auto" w:fill="auto"/>
            <w:vAlign w:val="center"/>
          </w:tcPr>
          <w:p w:rsidR="00525419" w:rsidRDefault="00EE1CF7">
            <w:pPr>
              <w:pStyle w:val="B2"/>
              <w:rPr>
                <w:rFonts w:cs="Times New Roman"/>
              </w:rPr>
            </w:pPr>
            <w:r>
              <w:rPr>
                <w:rFonts w:cs="Times New Roman"/>
              </w:rPr>
              <w:t>紧急撤离、疏散</w:t>
            </w:r>
          </w:p>
        </w:tc>
        <w:tc>
          <w:tcPr>
            <w:tcW w:w="4880" w:type="dxa"/>
            <w:shd w:val="clear" w:color="auto" w:fill="auto"/>
            <w:vAlign w:val="center"/>
          </w:tcPr>
          <w:p w:rsidR="00525419" w:rsidRDefault="00EE1CF7">
            <w:pPr>
              <w:pStyle w:val="B2"/>
              <w:rPr>
                <w:rFonts w:cs="Times New Roman"/>
              </w:rPr>
            </w:pPr>
            <w:r>
              <w:rPr>
                <w:rFonts w:cs="Times New Roman"/>
              </w:rPr>
              <w:t>毒物应急剂量控制：事故现场、厂区、邻近区；撤离组织计划；医疗救护；公众健康</w:t>
            </w:r>
          </w:p>
        </w:tc>
      </w:tr>
      <w:tr w:rsidR="00525419">
        <w:trPr>
          <w:trHeight w:val="397"/>
          <w:jc w:val="center"/>
        </w:trPr>
        <w:tc>
          <w:tcPr>
            <w:tcW w:w="645" w:type="dxa"/>
            <w:shd w:val="clear" w:color="auto" w:fill="auto"/>
            <w:vAlign w:val="center"/>
          </w:tcPr>
          <w:p w:rsidR="00525419" w:rsidRDefault="00EE1CF7">
            <w:pPr>
              <w:pStyle w:val="B2"/>
              <w:rPr>
                <w:rFonts w:cs="Times New Roman"/>
              </w:rPr>
            </w:pPr>
            <w:r>
              <w:rPr>
                <w:rFonts w:cs="Times New Roman"/>
              </w:rPr>
              <w:t>9</w:t>
            </w:r>
          </w:p>
        </w:tc>
        <w:tc>
          <w:tcPr>
            <w:tcW w:w="2803" w:type="dxa"/>
            <w:shd w:val="clear" w:color="auto" w:fill="auto"/>
            <w:vAlign w:val="center"/>
          </w:tcPr>
          <w:p w:rsidR="00525419" w:rsidRDefault="00EE1CF7">
            <w:pPr>
              <w:pStyle w:val="B2"/>
              <w:rPr>
                <w:rFonts w:cs="Times New Roman"/>
              </w:rPr>
            </w:pPr>
            <w:r>
              <w:rPr>
                <w:rFonts w:cs="Times New Roman"/>
              </w:rPr>
              <w:t>应急救援关闭程序与恢复措施</w:t>
            </w:r>
          </w:p>
        </w:tc>
        <w:tc>
          <w:tcPr>
            <w:tcW w:w="4880" w:type="dxa"/>
            <w:shd w:val="clear" w:color="auto" w:fill="auto"/>
            <w:vAlign w:val="center"/>
          </w:tcPr>
          <w:p w:rsidR="00525419" w:rsidRDefault="00EE1CF7">
            <w:pPr>
              <w:pStyle w:val="B2"/>
              <w:rPr>
                <w:rFonts w:cs="Times New Roman"/>
              </w:rPr>
            </w:pPr>
            <w:r>
              <w:rPr>
                <w:rFonts w:cs="Times New Roman"/>
              </w:rPr>
              <w:t>规定应急状态终止程序；事故现场善后处理，恢复措施；邻近区域接触事故警戒及善后恢复措施</w:t>
            </w:r>
          </w:p>
        </w:tc>
      </w:tr>
      <w:tr w:rsidR="00525419">
        <w:trPr>
          <w:trHeight w:val="397"/>
          <w:jc w:val="center"/>
        </w:trPr>
        <w:tc>
          <w:tcPr>
            <w:tcW w:w="645" w:type="dxa"/>
            <w:shd w:val="clear" w:color="auto" w:fill="auto"/>
            <w:vAlign w:val="center"/>
          </w:tcPr>
          <w:p w:rsidR="00525419" w:rsidRDefault="00EE1CF7">
            <w:pPr>
              <w:pStyle w:val="B2"/>
              <w:rPr>
                <w:rFonts w:cs="Times New Roman"/>
              </w:rPr>
            </w:pPr>
            <w:r>
              <w:rPr>
                <w:rFonts w:cs="Times New Roman"/>
              </w:rPr>
              <w:t>10</w:t>
            </w:r>
          </w:p>
        </w:tc>
        <w:tc>
          <w:tcPr>
            <w:tcW w:w="2803" w:type="dxa"/>
            <w:shd w:val="clear" w:color="auto" w:fill="auto"/>
            <w:vAlign w:val="center"/>
          </w:tcPr>
          <w:p w:rsidR="00525419" w:rsidRDefault="00EE1CF7">
            <w:pPr>
              <w:pStyle w:val="B2"/>
              <w:rPr>
                <w:rFonts w:cs="Times New Roman"/>
              </w:rPr>
            </w:pPr>
            <w:r>
              <w:rPr>
                <w:rFonts w:cs="Times New Roman"/>
              </w:rPr>
              <w:t>培训计划</w:t>
            </w:r>
          </w:p>
        </w:tc>
        <w:tc>
          <w:tcPr>
            <w:tcW w:w="4880" w:type="dxa"/>
            <w:shd w:val="clear" w:color="auto" w:fill="auto"/>
            <w:vAlign w:val="center"/>
          </w:tcPr>
          <w:p w:rsidR="00525419" w:rsidRDefault="00EE1CF7">
            <w:pPr>
              <w:pStyle w:val="B2"/>
              <w:rPr>
                <w:rFonts w:cs="Times New Roman"/>
              </w:rPr>
            </w:pPr>
            <w:r>
              <w:rPr>
                <w:rFonts w:cs="Times New Roman"/>
              </w:rPr>
              <w:t>人员培训；应急预案演练</w:t>
            </w:r>
          </w:p>
        </w:tc>
      </w:tr>
      <w:tr w:rsidR="00525419">
        <w:trPr>
          <w:trHeight w:val="397"/>
          <w:jc w:val="center"/>
        </w:trPr>
        <w:tc>
          <w:tcPr>
            <w:tcW w:w="645" w:type="dxa"/>
            <w:shd w:val="clear" w:color="auto" w:fill="auto"/>
            <w:vAlign w:val="center"/>
          </w:tcPr>
          <w:p w:rsidR="00525419" w:rsidRDefault="00EE1CF7">
            <w:pPr>
              <w:pStyle w:val="B2"/>
              <w:rPr>
                <w:rFonts w:cs="Times New Roman"/>
              </w:rPr>
            </w:pPr>
            <w:r>
              <w:rPr>
                <w:rFonts w:cs="Times New Roman"/>
              </w:rPr>
              <w:t>11</w:t>
            </w:r>
          </w:p>
        </w:tc>
        <w:tc>
          <w:tcPr>
            <w:tcW w:w="2803" w:type="dxa"/>
            <w:shd w:val="clear" w:color="auto" w:fill="auto"/>
            <w:vAlign w:val="center"/>
          </w:tcPr>
          <w:p w:rsidR="00525419" w:rsidRDefault="00EE1CF7">
            <w:pPr>
              <w:pStyle w:val="B2"/>
              <w:rPr>
                <w:rFonts w:cs="Times New Roman"/>
              </w:rPr>
            </w:pPr>
            <w:r>
              <w:rPr>
                <w:rFonts w:cs="Times New Roman"/>
              </w:rPr>
              <w:t>公众教育和信息</w:t>
            </w:r>
          </w:p>
        </w:tc>
        <w:tc>
          <w:tcPr>
            <w:tcW w:w="4880" w:type="dxa"/>
            <w:shd w:val="clear" w:color="auto" w:fill="auto"/>
            <w:vAlign w:val="center"/>
          </w:tcPr>
          <w:p w:rsidR="00525419" w:rsidRDefault="00EE1CF7">
            <w:pPr>
              <w:pStyle w:val="B2"/>
              <w:rPr>
                <w:rFonts w:cs="Times New Roman"/>
              </w:rPr>
            </w:pPr>
            <w:r>
              <w:rPr>
                <w:rFonts w:cs="Times New Roman"/>
              </w:rPr>
              <w:t>公众教育；信息发布</w:t>
            </w:r>
          </w:p>
        </w:tc>
      </w:tr>
    </w:tbl>
    <w:p w:rsidR="00525419" w:rsidRDefault="00EE1CF7">
      <w:pPr>
        <w:pStyle w:val="B1"/>
        <w:ind w:firstLine="480"/>
        <w:rPr>
          <w:rFonts w:cs="Times New Roman"/>
        </w:rPr>
      </w:pPr>
      <w:r>
        <w:rPr>
          <w:rFonts w:cs="Times New Roman"/>
        </w:rPr>
        <w:t>视事故发展情况，鄯善高新技术产业开发区启动《鄯善高新技术产业开发区突发环境事件应急预案》及其相关专项预案，与《新疆美汇特石化产品有限公司突发环境事件应急预案》实施联动救援。鄯善高新技术产业开发区应急救援中心接新疆美汇特石化产品有限公司报警后立即启动应急预案。</w:t>
      </w:r>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5.6.8</w:t>
      </w:r>
      <w:r>
        <w:rPr>
          <w:rFonts w:ascii="Times New Roman" w:eastAsia="华文楷体" w:hAnsi="Times New Roman"/>
        </w:rPr>
        <w:t>评价结果与建议</w:t>
      </w:r>
    </w:p>
    <w:p w:rsidR="00525419" w:rsidRDefault="00EE1CF7">
      <w:pPr>
        <w:pStyle w:val="B1"/>
        <w:ind w:firstLine="480"/>
      </w:pPr>
      <w:r>
        <w:rPr>
          <w:rFonts w:hint="eastAsia"/>
        </w:rPr>
        <w:t>本项目主要风险因素为</w:t>
      </w:r>
      <w:r>
        <w:rPr>
          <w:rFonts w:cs="Times New Roman"/>
        </w:rPr>
        <w:t>储罐发生破裂，导致焦油、柴油、尾油、石脑油、天然气等泄漏，进而可能发生火灾、爆炸等事故。</w:t>
      </w:r>
      <w:r>
        <w:rPr>
          <w:rFonts w:hint="eastAsia"/>
        </w:rPr>
        <w:t>本项目发生泄露事故概率较低，</w:t>
      </w:r>
    </w:p>
    <w:p w:rsidR="00525419" w:rsidRDefault="00EE1CF7">
      <w:pPr>
        <w:pStyle w:val="B1"/>
        <w:ind w:firstLineChars="0" w:firstLine="0"/>
      </w:pPr>
      <w:r>
        <w:rPr>
          <w:rFonts w:hint="eastAsia"/>
        </w:rPr>
        <w:t>影响范围最大为</w:t>
      </w:r>
      <w:r>
        <w:rPr>
          <w:rFonts w:hint="eastAsia"/>
        </w:rPr>
        <w:t>1330m</w:t>
      </w:r>
      <w:r>
        <w:rPr>
          <w:rFonts w:hint="eastAsia"/>
        </w:rPr>
        <w:t>，影响范围内无居民聚集区，对周边的火车站镇及鄯善火车站影响较小，且根据事故特点采取了风险防范措施并制定了突发环境事件应急预案。因此，环境风险是可防控的。</w:t>
      </w:r>
    </w:p>
    <w:p w:rsidR="00525419" w:rsidRDefault="00EE1CF7" w:rsidP="00EE1CF7">
      <w:pPr>
        <w:pStyle w:val="3a"/>
        <w:spacing w:beforeLines="50" w:before="166" w:after="156" w:line="360" w:lineRule="auto"/>
        <w:jc w:val="left"/>
        <w:rPr>
          <w:rFonts w:ascii="Times New Roman" w:eastAsia="华文楷体" w:hAnsi="Times New Roman"/>
        </w:rPr>
      </w:pPr>
      <w:bookmarkStart w:id="245" w:name="_Toc484775650"/>
      <w:r>
        <w:rPr>
          <w:rFonts w:ascii="Times New Roman" w:eastAsia="华文楷体" w:hAnsi="Times New Roman"/>
        </w:rPr>
        <w:lastRenderedPageBreak/>
        <w:t>5.6.9</w:t>
      </w:r>
      <w:r>
        <w:rPr>
          <w:rFonts w:ascii="Times New Roman" w:eastAsia="华文楷体" w:hAnsi="Times New Roman"/>
        </w:rPr>
        <w:t>环境风险评价自查</w:t>
      </w:r>
    </w:p>
    <w:p w:rsidR="00525419" w:rsidRDefault="00EE1CF7">
      <w:pPr>
        <w:pStyle w:val="B1"/>
        <w:ind w:firstLine="480"/>
        <w:rPr>
          <w:rFonts w:cs="Times New Roman"/>
        </w:rPr>
      </w:pPr>
      <w:r>
        <w:rPr>
          <w:rFonts w:cs="Times New Roman"/>
        </w:rPr>
        <w:t>项目环境风险自查表见表</w:t>
      </w:r>
      <w:r>
        <w:rPr>
          <w:rFonts w:cs="Times New Roman"/>
        </w:rPr>
        <w:t>5.6-31</w:t>
      </w:r>
      <w:r>
        <w:rPr>
          <w:rFonts w:cs="Times New Roman"/>
        </w:rPr>
        <w:t>。</w:t>
      </w:r>
    </w:p>
    <w:p w:rsidR="00525419" w:rsidRDefault="00EE1CF7">
      <w:pPr>
        <w:pStyle w:val="B3"/>
        <w:spacing w:beforeLines="0" w:afterLines="0"/>
        <w:ind w:firstLineChars="0" w:firstLine="0"/>
        <w:rPr>
          <w:rFonts w:eastAsia="黑体"/>
          <w:b w:val="0"/>
          <w:snapToGrid/>
          <w:color w:val="auto"/>
          <w:kern w:val="2"/>
          <w:sz w:val="21"/>
          <w:szCs w:val="21"/>
        </w:rPr>
      </w:pPr>
      <w:r>
        <w:rPr>
          <w:rFonts w:eastAsia="黑体"/>
          <w:b w:val="0"/>
          <w:snapToGrid/>
          <w:color w:val="auto"/>
          <w:kern w:val="2"/>
          <w:sz w:val="21"/>
          <w:szCs w:val="21"/>
        </w:rPr>
        <w:t>表</w:t>
      </w:r>
      <w:r>
        <w:rPr>
          <w:rFonts w:eastAsia="黑体"/>
          <w:b w:val="0"/>
          <w:snapToGrid/>
          <w:color w:val="auto"/>
          <w:kern w:val="2"/>
          <w:sz w:val="21"/>
          <w:szCs w:val="21"/>
        </w:rPr>
        <w:t xml:space="preserve">5.6-31    </w:t>
      </w:r>
      <w:r>
        <w:rPr>
          <w:rFonts w:eastAsia="黑体"/>
          <w:b w:val="0"/>
          <w:snapToGrid/>
          <w:color w:val="auto"/>
          <w:kern w:val="2"/>
          <w:sz w:val="21"/>
          <w:szCs w:val="21"/>
        </w:rPr>
        <w:t>环境风险评价自查表</w:t>
      </w:r>
    </w:p>
    <w:tbl>
      <w:tblPr>
        <w:tblW w:w="85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0"/>
        <w:gridCol w:w="892"/>
        <w:gridCol w:w="1147"/>
        <w:gridCol w:w="373"/>
        <w:gridCol w:w="698"/>
        <w:gridCol w:w="464"/>
        <w:gridCol w:w="597"/>
        <w:gridCol w:w="977"/>
        <w:gridCol w:w="189"/>
        <w:gridCol w:w="551"/>
        <w:gridCol w:w="107"/>
        <w:gridCol w:w="322"/>
        <w:gridCol w:w="151"/>
        <w:gridCol w:w="99"/>
        <w:gridCol w:w="1570"/>
      </w:tblGrid>
      <w:tr w:rsidR="00525419">
        <w:trPr>
          <w:trHeight w:val="397"/>
          <w:jc w:val="center"/>
        </w:trPr>
        <w:tc>
          <w:tcPr>
            <w:tcW w:w="1262" w:type="dxa"/>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工作内容</w:t>
            </w:r>
          </w:p>
        </w:tc>
        <w:tc>
          <w:tcPr>
            <w:tcW w:w="7245" w:type="dxa"/>
            <w:gridSpan w:val="13"/>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完成情况</w:t>
            </w:r>
          </w:p>
        </w:tc>
      </w:tr>
      <w:tr w:rsidR="00525419">
        <w:trPr>
          <w:trHeight w:val="397"/>
          <w:jc w:val="center"/>
        </w:trPr>
        <w:tc>
          <w:tcPr>
            <w:tcW w:w="370" w:type="dxa"/>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风险调查</w:t>
            </w:r>
          </w:p>
        </w:tc>
        <w:tc>
          <w:tcPr>
            <w:tcW w:w="892" w:type="dxa"/>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危险物质</w:t>
            </w:r>
          </w:p>
        </w:tc>
        <w:tc>
          <w:tcPr>
            <w:tcW w:w="1147"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名称</w:t>
            </w:r>
          </w:p>
        </w:tc>
        <w:tc>
          <w:tcPr>
            <w:tcW w:w="1071" w:type="dxa"/>
            <w:gridSpan w:val="2"/>
            <w:shd w:val="clear" w:color="auto" w:fill="auto"/>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焦油</w:t>
            </w:r>
          </w:p>
        </w:tc>
        <w:tc>
          <w:tcPr>
            <w:tcW w:w="1061" w:type="dxa"/>
            <w:gridSpan w:val="2"/>
            <w:shd w:val="clear" w:color="auto" w:fill="auto"/>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柴油</w:t>
            </w:r>
          </w:p>
        </w:tc>
        <w:tc>
          <w:tcPr>
            <w:tcW w:w="1166" w:type="dxa"/>
            <w:gridSpan w:val="2"/>
            <w:shd w:val="clear" w:color="auto" w:fill="auto"/>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石脑油</w:t>
            </w:r>
          </w:p>
        </w:tc>
        <w:tc>
          <w:tcPr>
            <w:tcW w:w="1131" w:type="dxa"/>
            <w:gridSpan w:val="4"/>
            <w:shd w:val="clear" w:color="auto" w:fill="auto"/>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尾油</w:t>
            </w:r>
          </w:p>
        </w:tc>
        <w:tc>
          <w:tcPr>
            <w:tcW w:w="1669" w:type="dxa"/>
            <w:gridSpan w:val="2"/>
            <w:shd w:val="clear" w:color="auto" w:fill="auto"/>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液化石油气</w:t>
            </w:r>
          </w:p>
        </w:tc>
      </w:tr>
      <w:tr w:rsidR="00525419">
        <w:trPr>
          <w:trHeight w:val="397"/>
          <w:jc w:val="center"/>
        </w:trPr>
        <w:tc>
          <w:tcPr>
            <w:tcW w:w="370"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892"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1147"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存在总量</w:t>
            </w:r>
            <w:r>
              <w:rPr>
                <w:rFonts w:ascii="Times New Roman" w:hAnsi="Times New Roman"/>
                <w:snapToGrid w:val="0"/>
                <w:kern w:val="0"/>
                <w:szCs w:val="24"/>
              </w:rPr>
              <w:t>/t</w:t>
            </w:r>
          </w:p>
        </w:tc>
        <w:tc>
          <w:tcPr>
            <w:tcW w:w="1071" w:type="dxa"/>
            <w:gridSpan w:val="2"/>
            <w:shd w:val="clear" w:color="auto" w:fill="auto"/>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25200</w:t>
            </w:r>
          </w:p>
        </w:tc>
        <w:tc>
          <w:tcPr>
            <w:tcW w:w="1061" w:type="dxa"/>
            <w:gridSpan w:val="2"/>
            <w:shd w:val="clear" w:color="auto" w:fill="auto"/>
            <w:vAlign w:val="center"/>
          </w:tcPr>
          <w:p w:rsidR="00525419" w:rsidRDefault="00EE1CF7">
            <w:pPr>
              <w:widowControl/>
              <w:jc w:val="center"/>
              <w:rPr>
                <w:rFonts w:ascii="Times New Roman" w:hAnsi="Times New Roman"/>
                <w:kern w:val="0"/>
                <w:szCs w:val="21"/>
              </w:rPr>
            </w:pPr>
            <w:r>
              <w:rPr>
                <w:rFonts w:ascii="Times New Roman" w:hAnsi="Times New Roman"/>
              </w:rPr>
              <w:t>12750</w:t>
            </w:r>
          </w:p>
        </w:tc>
        <w:tc>
          <w:tcPr>
            <w:tcW w:w="1166" w:type="dxa"/>
            <w:gridSpan w:val="2"/>
            <w:shd w:val="clear" w:color="auto" w:fill="auto"/>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3800</w:t>
            </w:r>
          </w:p>
        </w:tc>
        <w:tc>
          <w:tcPr>
            <w:tcW w:w="1131" w:type="dxa"/>
            <w:gridSpan w:val="4"/>
            <w:shd w:val="clear" w:color="auto" w:fill="auto"/>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20000</w:t>
            </w:r>
          </w:p>
        </w:tc>
        <w:tc>
          <w:tcPr>
            <w:tcW w:w="1669" w:type="dxa"/>
            <w:gridSpan w:val="2"/>
            <w:shd w:val="clear" w:color="auto" w:fill="auto"/>
            <w:vAlign w:val="center"/>
          </w:tcPr>
          <w:p w:rsidR="00525419" w:rsidRDefault="00EE1CF7">
            <w:pPr>
              <w:widowControl/>
              <w:jc w:val="center"/>
              <w:rPr>
                <w:rFonts w:ascii="Times New Roman" w:hAnsi="Times New Roman"/>
                <w:kern w:val="0"/>
                <w:szCs w:val="21"/>
              </w:rPr>
            </w:pPr>
            <w:r>
              <w:rPr>
                <w:rFonts w:ascii="Times New Roman" w:hAnsi="Times New Roman"/>
                <w:kern w:val="0"/>
                <w:szCs w:val="21"/>
              </w:rPr>
              <w:t>1980</w:t>
            </w:r>
          </w:p>
        </w:tc>
      </w:tr>
      <w:tr w:rsidR="00525419">
        <w:trPr>
          <w:trHeight w:val="397"/>
          <w:jc w:val="center"/>
        </w:trPr>
        <w:tc>
          <w:tcPr>
            <w:tcW w:w="370"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892" w:type="dxa"/>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环境</w:t>
            </w:r>
          </w:p>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敏感性</w:t>
            </w:r>
          </w:p>
        </w:tc>
        <w:tc>
          <w:tcPr>
            <w:tcW w:w="1147" w:type="dxa"/>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大气</w:t>
            </w:r>
          </w:p>
        </w:tc>
        <w:tc>
          <w:tcPr>
            <w:tcW w:w="3109" w:type="dxa"/>
            <w:gridSpan w:val="5"/>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500 m</w:t>
            </w:r>
            <w:r>
              <w:rPr>
                <w:rFonts w:ascii="Times New Roman" w:hAnsi="Times New Roman"/>
                <w:snapToGrid w:val="0"/>
                <w:kern w:val="0"/>
                <w:szCs w:val="24"/>
              </w:rPr>
              <w:t>范围内人口数</w:t>
            </w:r>
            <w:r>
              <w:rPr>
                <w:rFonts w:ascii="Times New Roman" w:hAnsi="Times New Roman"/>
                <w:snapToGrid w:val="0"/>
                <w:kern w:val="0"/>
                <w:szCs w:val="24"/>
                <w:u w:val="single"/>
              </w:rPr>
              <w:t xml:space="preserve">  0   </w:t>
            </w:r>
            <w:r>
              <w:rPr>
                <w:rFonts w:ascii="Times New Roman" w:hAnsi="Times New Roman"/>
                <w:snapToGrid w:val="0"/>
                <w:kern w:val="0"/>
                <w:szCs w:val="24"/>
              </w:rPr>
              <w:t>人</w:t>
            </w:r>
          </w:p>
        </w:tc>
        <w:tc>
          <w:tcPr>
            <w:tcW w:w="2989" w:type="dxa"/>
            <w:gridSpan w:val="7"/>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5km</w:t>
            </w:r>
            <w:r>
              <w:rPr>
                <w:rFonts w:ascii="Times New Roman" w:hAnsi="Times New Roman"/>
                <w:snapToGrid w:val="0"/>
                <w:kern w:val="0"/>
                <w:szCs w:val="24"/>
              </w:rPr>
              <w:t>范围内人口数</w:t>
            </w:r>
            <w:r>
              <w:rPr>
                <w:rFonts w:ascii="Times New Roman" w:hAnsi="Times New Roman"/>
                <w:snapToGrid w:val="0"/>
                <w:kern w:val="0"/>
                <w:szCs w:val="24"/>
                <w:u w:val="single"/>
              </w:rPr>
              <w:t xml:space="preserve"> 1000-50000  </w:t>
            </w:r>
            <w:r>
              <w:rPr>
                <w:rFonts w:ascii="Times New Roman" w:hAnsi="Times New Roman"/>
                <w:snapToGrid w:val="0"/>
                <w:kern w:val="0"/>
                <w:szCs w:val="24"/>
              </w:rPr>
              <w:t>人</w:t>
            </w:r>
          </w:p>
        </w:tc>
      </w:tr>
      <w:tr w:rsidR="00525419">
        <w:trPr>
          <w:trHeight w:val="397"/>
          <w:jc w:val="center"/>
        </w:trPr>
        <w:tc>
          <w:tcPr>
            <w:tcW w:w="370"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892"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1147"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4528" w:type="dxa"/>
            <w:gridSpan w:val="11"/>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每公里管段周边</w:t>
            </w:r>
            <w:r>
              <w:rPr>
                <w:rFonts w:ascii="Times New Roman" w:hAnsi="Times New Roman"/>
                <w:snapToGrid w:val="0"/>
                <w:kern w:val="0"/>
                <w:szCs w:val="24"/>
              </w:rPr>
              <w:t>200 m</w:t>
            </w:r>
            <w:r>
              <w:rPr>
                <w:rFonts w:ascii="Times New Roman" w:hAnsi="Times New Roman"/>
                <w:snapToGrid w:val="0"/>
                <w:kern w:val="0"/>
                <w:szCs w:val="24"/>
              </w:rPr>
              <w:t>范围内人口数（最大）</w:t>
            </w:r>
          </w:p>
        </w:tc>
        <w:tc>
          <w:tcPr>
            <w:tcW w:w="1570"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w:t>
            </w:r>
          </w:p>
        </w:tc>
      </w:tr>
      <w:tr w:rsidR="00525419">
        <w:trPr>
          <w:trHeight w:val="397"/>
          <w:jc w:val="center"/>
        </w:trPr>
        <w:tc>
          <w:tcPr>
            <w:tcW w:w="370"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892"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1147" w:type="dxa"/>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地表水</w:t>
            </w:r>
          </w:p>
        </w:tc>
        <w:tc>
          <w:tcPr>
            <w:tcW w:w="1535" w:type="dxa"/>
            <w:gridSpan w:val="3"/>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地表水功能</w:t>
            </w:r>
          </w:p>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敏感性</w:t>
            </w:r>
          </w:p>
        </w:tc>
        <w:tc>
          <w:tcPr>
            <w:tcW w:w="1574" w:type="dxa"/>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F1 □</w:t>
            </w:r>
          </w:p>
        </w:tc>
        <w:tc>
          <w:tcPr>
            <w:tcW w:w="1419" w:type="dxa"/>
            <w:gridSpan w:val="6"/>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F2 □</w:t>
            </w:r>
          </w:p>
        </w:tc>
        <w:tc>
          <w:tcPr>
            <w:tcW w:w="1570"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 xml:space="preserve">F3 </w:t>
            </w:r>
            <w:r>
              <w:rPr>
                <w:rFonts w:ascii="Times New Roman" w:hAnsi="Times New Roman"/>
                <w:snapToGrid w:val="0"/>
                <w:kern w:val="0"/>
                <w:szCs w:val="24"/>
              </w:rPr>
              <w:sym w:font="Wingdings 2" w:char="0052"/>
            </w:r>
          </w:p>
        </w:tc>
      </w:tr>
      <w:tr w:rsidR="00525419">
        <w:trPr>
          <w:trHeight w:val="397"/>
          <w:jc w:val="center"/>
        </w:trPr>
        <w:tc>
          <w:tcPr>
            <w:tcW w:w="370"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892"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1147"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1535" w:type="dxa"/>
            <w:gridSpan w:val="3"/>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环境敏感目标</w:t>
            </w:r>
          </w:p>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分级</w:t>
            </w:r>
          </w:p>
        </w:tc>
        <w:tc>
          <w:tcPr>
            <w:tcW w:w="1574" w:type="dxa"/>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S1 □</w:t>
            </w:r>
          </w:p>
        </w:tc>
        <w:tc>
          <w:tcPr>
            <w:tcW w:w="1419" w:type="dxa"/>
            <w:gridSpan w:val="6"/>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S2 □</w:t>
            </w:r>
          </w:p>
        </w:tc>
        <w:tc>
          <w:tcPr>
            <w:tcW w:w="1570"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 xml:space="preserve">S3 </w:t>
            </w:r>
            <w:r>
              <w:rPr>
                <w:rFonts w:ascii="Times New Roman" w:hAnsi="Times New Roman"/>
                <w:snapToGrid w:val="0"/>
                <w:kern w:val="0"/>
                <w:szCs w:val="24"/>
              </w:rPr>
              <w:sym w:font="Wingdings 2" w:char="0052"/>
            </w:r>
          </w:p>
        </w:tc>
      </w:tr>
      <w:tr w:rsidR="00525419">
        <w:trPr>
          <w:trHeight w:val="397"/>
          <w:jc w:val="center"/>
        </w:trPr>
        <w:tc>
          <w:tcPr>
            <w:tcW w:w="370"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892"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1147" w:type="dxa"/>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地下水</w:t>
            </w:r>
          </w:p>
        </w:tc>
        <w:tc>
          <w:tcPr>
            <w:tcW w:w="1535" w:type="dxa"/>
            <w:gridSpan w:val="3"/>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地下水功能</w:t>
            </w:r>
          </w:p>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敏感性</w:t>
            </w:r>
          </w:p>
        </w:tc>
        <w:tc>
          <w:tcPr>
            <w:tcW w:w="1574" w:type="dxa"/>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G1 □</w:t>
            </w:r>
          </w:p>
        </w:tc>
        <w:tc>
          <w:tcPr>
            <w:tcW w:w="1419" w:type="dxa"/>
            <w:gridSpan w:val="6"/>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G2 □</w:t>
            </w:r>
          </w:p>
        </w:tc>
        <w:tc>
          <w:tcPr>
            <w:tcW w:w="1570"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 xml:space="preserve">G3 </w:t>
            </w:r>
            <w:r>
              <w:rPr>
                <w:rFonts w:ascii="Times New Roman" w:hAnsi="Times New Roman"/>
                <w:snapToGrid w:val="0"/>
                <w:kern w:val="0"/>
                <w:szCs w:val="24"/>
              </w:rPr>
              <w:sym w:font="Wingdings 2" w:char="0052"/>
            </w:r>
          </w:p>
        </w:tc>
      </w:tr>
      <w:tr w:rsidR="00525419">
        <w:trPr>
          <w:trHeight w:val="397"/>
          <w:jc w:val="center"/>
        </w:trPr>
        <w:tc>
          <w:tcPr>
            <w:tcW w:w="370"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892"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1147"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1535" w:type="dxa"/>
            <w:gridSpan w:val="3"/>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包气带防污性能</w:t>
            </w:r>
          </w:p>
        </w:tc>
        <w:tc>
          <w:tcPr>
            <w:tcW w:w="1574" w:type="dxa"/>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 xml:space="preserve">D1 </w:t>
            </w:r>
            <w:r>
              <w:rPr>
                <w:rFonts w:ascii="Times New Roman" w:hAnsi="Times New Roman"/>
                <w:snapToGrid w:val="0"/>
                <w:kern w:val="0"/>
                <w:szCs w:val="24"/>
              </w:rPr>
              <w:sym w:font="Wingdings 2" w:char="00A3"/>
            </w:r>
          </w:p>
        </w:tc>
        <w:tc>
          <w:tcPr>
            <w:tcW w:w="1419" w:type="dxa"/>
            <w:gridSpan w:val="6"/>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D2 □</w:t>
            </w:r>
          </w:p>
        </w:tc>
        <w:tc>
          <w:tcPr>
            <w:tcW w:w="1570"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 xml:space="preserve">D3 </w:t>
            </w:r>
            <w:r>
              <w:rPr>
                <w:rFonts w:ascii="Times New Roman" w:hAnsi="Times New Roman"/>
                <w:snapToGrid w:val="0"/>
                <w:kern w:val="0"/>
                <w:szCs w:val="24"/>
              </w:rPr>
              <w:sym w:font="Wingdings 2" w:char="0052"/>
            </w:r>
          </w:p>
        </w:tc>
      </w:tr>
      <w:tr w:rsidR="00525419">
        <w:trPr>
          <w:trHeight w:val="397"/>
          <w:jc w:val="center"/>
        </w:trPr>
        <w:tc>
          <w:tcPr>
            <w:tcW w:w="1262" w:type="dxa"/>
            <w:gridSpan w:val="2"/>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物质及工艺系统危险性</w:t>
            </w:r>
          </w:p>
        </w:tc>
        <w:tc>
          <w:tcPr>
            <w:tcW w:w="1147"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Q</w:t>
            </w:r>
            <w:r>
              <w:rPr>
                <w:rFonts w:ascii="Times New Roman" w:hAnsi="Times New Roman"/>
                <w:snapToGrid w:val="0"/>
                <w:kern w:val="0"/>
                <w:szCs w:val="24"/>
              </w:rPr>
              <w:t>值</w:t>
            </w:r>
          </w:p>
        </w:tc>
        <w:tc>
          <w:tcPr>
            <w:tcW w:w="1535" w:type="dxa"/>
            <w:gridSpan w:val="3"/>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Q</w:t>
            </w:r>
            <w:r>
              <w:rPr>
                <w:rFonts w:ascii="Times New Roman" w:hAnsi="Times New Roman"/>
                <w:snapToGrid w:val="0"/>
                <w:kern w:val="0"/>
                <w:szCs w:val="24"/>
              </w:rPr>
              <w:t>＜</w:t>
            </w:r>
            <w:r>
              <w:rPr>
                <w:rFonts w:ascii="Times New Roman" w:hAnsi="Times New Roman"/>
                <w:snapToGrid w:val="0"/>
                <w:kern w:val="0"/>
                <w:szCs w:val="24"/>
              </w:rPr>
              <w:t>1 □</w:t>
            </w:r>
          </w:p>
        </w:tc>
        <w:tc>
          <w:tcPr>
            <w:tcW w:w="1574" w:type="dxa"/>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1≤Q</w:t>
            </w:r>
            <w:r>
              <w:rPr>
                <w:rFonts w:ascii="Times New Roman" w:hAnsi="Times New Roman"/>
                <w:snapToGrid w:val="0"/>
                <w:kern w:val="0"/>
                <w:szCs w:val="24"/>
              </w:rPr>
              <w:t>＜</w:t>
            </w:r>
            <w:r>
              <w:rPr>
                <w:rFonts w:ascii="Times New Roman" w:hAnsi="Times New Roman"/>
                <w:snapToGrid w:val="0"/>
                <w:kern w:val="0"/>
                <w:szCs w:val="24"/>
              </w:rPr>
              <w:t>10 □</w:t>
            </w:r>
          </w:p>
        </w:tc>
        <w:tc>
          <w:tcPr>
            <w:tcW w:w="1419" w:type="dxa"/>
            <w:gridSpan w:val="6"/>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10≤Q</w:t>
            </w:r>
            <w:r>
              <w:rPr>
                <w:rFonts w:ascii="Times New Roman" w:hAnsi="Times New Roman"/>
                <w:snapToGrid w:val="0"/>
                <w:kern w:val="0"/>
                <w:szCs w:val="24"/>
              </w:rPr>
              <w:t>＜</w:t>
            </w:r>
            <w:r>
              <w:rPr>
                <w:rFonts w:ascii="Times New Roman" w:hAnsi="Times New Roman"/>
                <w:snapToGrid w:val="0"/>
                <w:kern w:val="0"/>
                <w:szCs w:val="24"/>
              </w:rPr>
              <w:t>100 □</w:t>
            </w:r>
          </w:p>
        </w:tc>
        <w:tc>
          <w:tcPr>
            <w:tcW w:w="1570"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Q</w:t>
            </w:r>
            <w:r>
              <w:rPr>
                <w:rFonts w:ascii="Times New Roman" w:hAnsi="Times New Roman"/>
                <w:snapToGrid w:val="0"/>
                <w:kern w:val="0"/>
                <w:szCs w:val="24"/>
              </w:rPr>
              <w:t>＞</w:t>
            </w:r>
            <w:r>
              <w:rPr>
                <w:rFonts w:ascii="Times New Roman" w:hAnsi="Times New Roman"/>
                <w:snapToGrid w:val="0"/>
                <w:kern w:val="0"/>
                <w:szCs w:val="24"/>
              </w:rPr>
              <w:t xml:space="preserve">100 </w:t>
            </w:r>
            <w:r>
              <w:rPr>
                <w:rFonts w:ascii="Times New Roman" w:hAnsi="Times New Roman"/>
                <w:snapToGrid w:val="0"/>
                <w:kern w:val="0"/>
                <w:szCs w:val="24"/>
              </w:rPr>
              <w:sym w:font="Wingdings 2" w:char="0052"/>
            </w:r>
          </w:p>
        </w:tc>
      </w:tr>
      <w:tr w:rsidR="00525419">
        <w:trPr>
          <w:trHeight w:val="397"/>
          <w:jc w:val="center"/>
        </w:trPr>
        <w:tc>
          <w:tcPr>
            <w:tcW w:w="1262" w:type="dxa"/>
            <w:gridSpan w:val="2"/>
            <w:vMerge/>
            <w:shd w:val="clear" w:color="auto" w:fill="auto"/>
            <w:vAlign w:val="center"/>
          </w:tcPr>
          <w:p w:rsidR="00525419" w:rsidRDefault="00525419">
            <w:pPr>
              <w:widowControl/>
              <w:jc w:val="center"/>
              <w:rPr>
                <w:rFonts w:ascii="Times New Roman" w:hAnsi="Times New Roman"/>
                <w:snapToGrid w:val="0"/>
                <w:kern w:val="0"/>
                <w:szCs w:val="24"/>
              </w:rPr>
            </w:pPr>
          </w:p>
        </w:tc>
        <w:tc>
          <w:tcPr>
            <w:tcW w:w="1147"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M</w:t>
            </w:r>
            <w:r>
              <w:rPr>
                <w:rFonts w:ascii="Times New Roman" w:hAnsi="Times New Roman"/>
                <w:snapToGrid w:val="0"/>
                <w:kern w:val="0"/>
                <w:szCs w:val="24"/>
              </w:rPr>
              <w:t>值</w:t>
            </w:r>
          </w:p>
        </w:tc>
        <w:tc>
          <w:tcPr>
            <w:tcW w:w="1535" w:type="dxa"/>
            <w:gridSpan w:val="3"/>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 xml:space="preserve">M1 </w:t>
            </w:r>
            <w:r>
              <w:rPr>
                <w:rFonts w:ascii="Times New Roman" w:hAnsi="Times New Roman"/>
                <w:snapToGrid w:val="0"/>
                <w:kern w:val="0"/>
                <w:szCs w:val="24"/>
              </w:rPr>
              <w:sym w:font="Wingdings 2" w:char="0052"/>
            </w:r>
          </w:p>
        </w:tc>
        <w:tc>
          <w:tcPr>
            <w:tcW w:w="1574" w:type="dxa"/>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 xml:space="preserve">M2 </w:t>
            </w:r>
            <w:r>
              <w:rPr>
                <w:rFonts w:ascii="Times New Roman" w:hAnsi="Times New Roman"/>
                <w:snapToGrid w:val="0"/>
                <w:kern w:val="0"/>
                <w:szCs w:val="24"/>
              </w:rPr>
              <w:sym w:font="Wingdings 2" w:char="00A3"/>
            </w:r>
          </w:p>
        </w:tc>
        <w:tc>
          <w:tcPr>
            <w:tcW w:w="1419" w:type="dxa"/>
            <w:gridSpan w:val="6"/>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M3 □</w:t>
            </w:r>
          </w:p>
        </w:tc>
        <w:tc>
          <w:tcPr>
            <w:tcW w:w="1570"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M4 □</w:t>
            </w:r>
          </w:p>
        </w:tc>
      </w:tr>
      <w:tr w:rsidR="00525419">
        <w:trPr>
          <w:trHeight w:val="397"/>
          <w:jc w:val="center"/>
        </w:trPr>
        <w:tc>
          <w:tcPr>
            <w:tcW w:w="1262" w:type="dxa"/>
            <w:gridSpan w:val="2"/>
            <w:vMerge/>
            <w:shd w:val="clear" w:color="auto" w:fill="auto"/>
            <w:vAlign w:val="center"/>
          </w:tcPr>
          <w:p w:rsidR="00525419" w:rsidRDefault="00525419">
            <w:pPr>
              <w:widowControl/>
              <w:jc w:val="center"/>
              <w:rPr>
                <w:rFonts w:ascii="Times New Roman" w:hAnsi="Times New Roman"/>
                <w:snapToGrid w:val="0"/>
                <w:kern w:val="0"/>
                <w:szCs w:val="24"/>
              </w:rPr>
            </w:pPr>
          </w:p>
        </w:tc>
        <w:tc>
          <w:tcPr>
            <w:tcW w:w="1147"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P</w:t>
            </w:r>
            <w:r>
              <w:rPr>
                <w:rFonts w:ascii="Times New Roman" w:hAnsi="Times New Roman"/>
                <w:snapToGrid w:val="0"/>
                <w:kern w:val="0"/>
                <w:szCs w:val="24"/>
              </w:rPr>
              <w:t>值</w:t>
            </w:r>
          </w:p>
        </w:tc>
        <w:tc>
          <w:tcPr>
            <w:tcW w:w="1535" w:type="dxa"/>
            <w:gridSpan w:val="3"/>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 xml:space="preserve">P1 </w:t>
            </w:r>
            <w:r>
              <w:rPr>
                <w:rFonts w:ascii="Times New Roman" w:hAnsi="Times New Roman"/>
                <w:snapToGrid w:val="0"/>
                <w:kern w:val="0"/>
                <w:szCs w:val="24"/>
              </w:rPr>
              <w:sym w:font="Wingdings 2" w:char="0052"/>
            </w:r>
          </w:p>
        </w:tc>
        <w:tc>
          <w:tcPr>
            <w:tcW w:w="1574" w:type="dxa"/>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P2 □</w:t>
            </w:r>
          </w:p>
        </w:tc>
        <w:tc>
          <w:tcPr>
            <w:tcW w:w="1419" w:type="dxa"/>
            <w:gridSpan w:val="6"/>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P3 □</w:t>
            </w:r>
          </w:p>
        </w:tc>
        <w:tc>
          <w:tcPr>
            <w:tcW w:w="1570"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P4 □</w:t>
            </w:r>
          </w:p>
        </w:tc>
      </w:tr>
      <w:tr w:rsidR="00525419">
        <w:trPr>
          <w:trHeight w:val="397"/>
          <w:jc w:val="center"/>
        </w:trPr>
        <w:tc>
          <w:tcPr>
            <w:tcW w:w="1262" w:type="dxa"/>
            <w:gridSpan w:val="2"/>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环境敏感</w:t>
            </w:r>
          </w:p>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程度</w:t>
            </w:r>
          </w:p>
        </w:tc>
        <w:tc>
          <w:tcPr>
            <w:tcW w:w="1147"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大气</w:t>
            </w:r>
          </w:p>
        </w:tc>
        <w:tc>
          <w:tcPr>
            <w:tcW w:w="1535" w:type="dxa"/>
            <w:gridSpan w:val="3"/>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E1 □</w:t>
            </w:r>
          </w:p>
        </w:tc>
        <w:tc>
          <w:tcPr>
            <w:tcW w:w="2421" w:type="dxa"/>
            <w:gridSpan w:val="5"/>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 xml:space="preserve">E2 </w:t>
            </w:r>
            <w:r>
              <w:rPr>
                <w:rFonts w:ascii="Times New Roman" w:hAnsi="Times New Roman"/>
                <w:snapToGrid w:val="0"/>
                <w:kern w:val="0"/>
                <w:szCs w:val="24"/>
              </w:rPr>
              <w:sym w:font="Wingdings 2" w:char="0052"/>
            </w:r>
          </w:p>
        </w:tc>
        <w:tc>
          <w:tcPr>
            <w:tcW w:w="2142" w:type="dxa"/>
            <w:gridSpan w:val="4"/>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E3 □</w:t>
            </w:r>
          </w:p>
        </w:tc>
      </w:tr>
      <w:tr w:rsidR="00525419">
        <w:trPr>
          <w:trHeight w:val="397"/>
          <w:jc w:val="center"/>
        </w:trPr>
        <w:tc>
          <w:tcPr>
            <w:tcW w:w="1262" w:type="dxa"/>
            <w:gridSpan w:val="2"/>
            <w:vMerge/>
            <w:shd w:val="clear" w:color="auto" w:fill="auto"/>
            <w:vAlign w:val="center"/>
          </w:tcPr>
          <w:p w:rsidR="00525419" w:rsidRDefault="00525419">
            <w:pPr>
              <w:widowControl/>
              <w:jc w:val="center"/>
              <w:rPr>
                <w:rFonts w:ascii="Times New Roman" w:hAnsi="Times New Roman"/>
                <w:snapToGrid w:val="0"/>
                <w:kern w:val="0"/>
                <w:szCs w:val="24"/>
              </w:rPr>
            </w:pPr>
          </w:p>
        </w:tc>
        <w:tc>
          <w:tcPr>
            <w:tcW w:w="1147"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地表水</w:t>
            </w:r>
          </w:p>
        </w:tc>
        <w:tc>
          <w:tcPr>
            <w:tcW w:w="1535" w:type="dxa"/>
            <w:gridSpan w:val="3"/>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E1 □</w:t>
            </w:r>
          </w:p>
        </w:tc>
        <w:tc>
          <w:tcPr>
            <w:tcW w:w="2421" w:type="dxa"/>
            <w:gridSpan w:val="5"/>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E2 □</w:t>
            </w:r>
          </w:p>
        </w:tc>
        <w:tc>
          <w:tcPr>
            <w:tcW w:w="2142" w:type="dxa"/>
            <w:gridSpan w:val="4"/>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 xml:space="preserve">E3 </w:t>
            </w:r>
            <w:r>
              <w:rPr>
                <w:rFonts w:ascii="Times New Roman" w:hAnsi="Times New Roman"/>
                <w:snapToGrid w:val="0"/>
                <w:kern w:val="0"/>
                <w:szCs w:val="24"/>
              </w:rPr>
              <w:sym w:font="Wingdings 2" w:char="0052"/>
            </w:r>
          </w:p>
        </w:tc>
      </w:tr>
      <w:tr w:rsidR="00525419">
        <w:trPr>
          <w:trHeight w:val="397"/>
          <w:jc w:val="center"/>
        </w:trPr>
        <w:tc>
          <w:tcPr>
            <w:tcW w:w="1262" w:type="dxa"/>
            <w:gridSpan w:val="2"/>
            <w:vMerge/>
            <w:shd w:val="clear" w:color="auto" w:fill="auto"/>
            <w:vAlign w:val="center"/>
          </w:tcPr>
          <w:p w:rsidR="00525419" w:rsidRDefault="00525419">
            <w:pPr>
              <w:widowControl/>
              <w:jc w:val="center"/>
              <w:rPr>
                <w:rFonts w:ascii="Times New Roman" w:hAnsi="Times New Roman"/>
                <w:snapToGrid w:val="0"/>
                <w:kern w:val="0"/>
                <w:szCs w:val="24"/>
              </w:rPr>
            </w:pPr>
          </w:p>
        </w:tc>
        <w:tc>
          <w:tcPr>
            <w:tcW w:w="1147"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地下水</w:t>
            </w:r>
          </w:p>
        </w:tc>
        <w:tc>
          <w:tcPr>
            <w:tcW w:w="1535" w:type="dxa"/>
            <w:gridSpan w:val="3"/>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E1 □</w:t>
            </w:r>
          </w:p>
        </w:tc>
        <w:tc>
          <w:tcPr>
            <w:tcW w:w="2421" w:type="dxa"/>
            <w:gridSpan w:val="5"/>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 xml:space="preserve">E2 </w:t>
            </w:r>
            <w:r>
              <w:rPr>
                <w:rFonts w:ascii="Times New Roman" w:hAnsi="Times New Roman"/>
                <w:snapToGrid w:val="0"/>
                <w:kern w:val="0"/>
                <w:szCs w:val="24"/>
              </w:rPr>
              <w:sym w:font="Wingdings 2" w:char="0052"/>
            </w:r>
          </w:p>
        </w:tc>
        <w:tc>
          <w:tcPr>
            <w:tcW w:w="2142" w:type="dxa"/>
            <w:gridSpan w:val="4"/>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E3 □</w:t>
            </w:r>
          </w:p>
        </w:tc>
      </w:tr>
      <w:tr w:rsidR="00525419">
        <w:trPr>
          <w:trHeight w:val="397"/>
          <w:jc w:val="center"/>
        </w:trPr>
        <w:tc>
          <w:tcPr>
            <w:tcW w:w="1262" w:type="dxa"/>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环境风险潜势</w:t>
            </w:r>
          </w:p>
        </w:tc>
        <w:tc>
          <w:tcPr>
            <w:tcW w:w="1147"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Ⅳ</w:t>
            </w:r>
            <w:r>
              <w:rPr>
                <w:rFonts w:ascii="Times New Roman" w:hAnsi="Times New Roman"/>
                <w:snapToGrid w:val="0"/>
                <w:kern w:val="0"/>
                <w:szCs w:val="24"/>
                <w:vertAlign w:val="superscript"/>
              </w:rPr>
              <w:t>+</w:t>
            </w:r>
            <w:r>
              <w:rPr>
                <w:rFonts w:ascii="Times New Roman" w:hAnsi="Times New Roman"/>
                <w:snapToGrid w:val="0"/>
                <w:kern w:val="0"/>
                <w:szCs w:val="24"/>
              </w:rPr>
              <w:t xml:space="preserve"> □</w:t>
            </w:r>
          </w:p>
        </w:tc>
        <w:tc>
          <w:tcPr>
            <w:tcW w:w="1535" w:type="dxa"/>
            <w:gridSpan w:val="3"/>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 xml:space="preserve">Ⅳ </w:t>
            </w:r>
            <w:r>
              <w:rPr>
                <w:rFonts w:ascii="Times New Roman" w:hAnsi="Times New Roman"/>
                <w:snapToGrid w:val="0"/>
                <w:kern w:val="0"/>
                <w:szCs w:val="24"/>
              </w:rPr>
              <w:sym w:font="Wingdings 2" w:char="0052"/>
            </w:r>
          </w:p>
        </w:tc>
        <w:tc>
          <w:tcPr>
            <w:tcW w:w="1574" w:type="dxa"/>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Ⅲ □</w:t>
            </w:r>
          </w:p>
        </w:tc>
        <w:tc>
          <w:tcPr>
            <w:tcW w:w="1419" w:type="dxa"/>
            <w:gridSpan w:val="6"/>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Ⅱ □</w:t>
            </w:r>
          </w:p>
        </w:tc>
        <w:tc>
          <w:tcPr>
            <w:tcW w:w="1570"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I □</w:t>
            </w:r>
          </w:p>
        </w:tc>
      </w:tr>
      <w:tr w:rsidR="00525419">
        <w:trPr>
          <w:trHeight w:val="397"/>
          <w:jc w:val="center"/>
        </w:trPr>
        <w:tc>
          <w:tcPr>
            <w:tcW w:w="1262" w:type="dxa"/>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评价等级</w:t>
            </w:r>
          </w:p>
        </w:tc>
        <w:tc>
          <w:tcPr>
            <w:tcW w:w="1520" w:type="dxa"/>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一级</w:t>
            </w:r>
            <w:r>
              <w:rPr>
                <w:rFonts w:ascii="Times New Roman" w:hAnsi="Times New Roman"/>
                <w:snapToGrid w:val="0"/>
                <w:kern w:val="0"/>
                <w:szCs w:val="24"/>
              </w:rPr>
              <w:sym w:font="Wingdings 2" w:char="0052"/>
            </w:r>
          </w:p>
        </w:tc>
        <w:tc>
          <w:tcPr>
            <w:tcW w:w="1162" w:type="dxa"/>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二级</w:t>
            </w:r>
            <w:r>
              <w:rPr>
                <w:rFonts w:ascii="Times New Roman" w:hAnsi="Times New Roman"/>
                <w:snapToGrid w:val="0"/>
                <w:kern w:val="0"/>
                <w:szCs w:val="24"/>
              </w:rPr>
              <w:sym w:font="Wingdings 2" w:char="00A3"/>
            </w:r>
          </w:p>
        </w:tc>
        <w:tc>
          <w:tcPr>
            <w:tcW w:w="2743" w:type="dxa"/>
            <w:gridSpan w:val="6"/>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三级</w:t>
            </w:r>
            <w:r>
              <w:rPr>
                <w:rFonts w:ascii="Times New Roman" w:hAnsi="Times New Roman"/>
                <w:snapToGrid w:val="0"/>
                <w:kern w:val="0"/>
                <w:szCs w:val="24"/>
              </w:rPr>
              <w:sym w:font="Wingdings 2" w:char="00A3"/>
            </w:r>
          </w:p>
        </w:tc>
        <w:tc>
          <w:tcPr>
            <w:tcW w:w="1820" w:type="dxa"/>
            <w:gridSpan w:val="3"/>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简单分析</w:t>
            </w:r>
            <w:r>
              <w:rPr>
                <w:rFonts w:ascii="Times New Roman" w:hAnsi="Times New Roman"/>
                <w:snapToGrid w:val="0"/>
                <w:kern w:val="0"/>
                <w:szCs w:val="24"/>
              </w:rPr>
              <w:t xml:space="preserve"> □</w:t>
            </w:r>
          </w:p>
        </w:tc>
      </w:tr>
      <w:tr w:rsidR="00525419">
        <w:trPr>
          <w:trHeight w:val="397"/>
          <w:jc w:val="center"/>
        </w:trPr>
        <w:tc>
          <w:tcPr>
            <w:tcW w:w="370" w:type="dxa"/>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风险识别</w:t>
            </w:r>
          </w:p>
        </w:tc>
        <w:tc>
          <w:tcPr>
            <w:tcW w:w="892"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物质</w:t>
            </w:r>
          </w:p>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危险性</w:t>
            </w:r>
          </w:p>
        </w:tc>
        <w:tc>
          <w:tcPr>
            <w:tcW w:w="2682" w:type="dxa"/>
            <w:gridSpan w:val="4"/>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有毒有害</w:t>
            </w:r>
            <w:r>
              <w:rPr>
                <w:rFonts w:ascii="Times New Roman" w:hAnsi="Times New Roman"/>
                <w:snapToGrid w:val="0"/>
                <w:kern w:val="0"/>
                <w:szCs w:val="24"/>
              </w:rPr>
              <w:t xml:space="preserve"> </w:t>
            </w:r>
            <w:r>
              <w:rPr>
                <w:rFonts w:ascii="Times New Roman" w:hAnsi="Times New Roman"/>
                <w:snapToGrid w:val="0"/>
                <w:kern w:val="0"/>
                <w:szCs w:val="24"/>
              </w:rPr>
              <w:sym w:font="Wingdings 2" w:char="00A3"/>
            </w:r>
          </w:p>
        </w:tc>
        <w:tc>
          <w:tcPr>
            <w:tcW w:w="4563" w:type="dxa"/>
            <w:gridSpan w:val="9"/>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易燃易爆</w:t>
            </w:r>
            <w:r>
              <w:rPr>
                <w:rFonts w:ascii="Times New Roman" w:hAnsi="Times New Roman"/>
                <w:snapToGrid w:val="0"/>
                <w:kern w:val="0"/>
                <w:szCs w:val="24"/>
              </w:rPr>
              <w:t xml:space="preserve"> </w:t>
            </w:r>
            <w:r>
              <w:rPr>
                <w:rFonts w:ascii="Times New Roman" w:hAnsi="Times New Roman"/>
                <w:snapToGrid w:val="0"/>
                <w:kern w:val="0"/>
                <w:szCs w:val="24"/>
              </w:rPr>
              <w:sym w:font="Wingdings 2" w:char="0052"/>
            </w:r>
          </w:p>
        </w:tc>
      </w:tr>
      <w:tr w:rsidR="00525419">
        <w:trPr>
          <w:trHeight w:val="397"/>
          <w:jc w:val="center"/>
        </w:trPr>
        <w:tc>
          <w:tcPr>
            <w:tcW w:w="370"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892"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环境风险类别</w:t>
            </w:r>
          </w:p>
        </w:tc>
        <w:tc>
          <w:tcPr>
            <w:tcW w:w="2682" w:type="dxa"/>
            <w:gridSpan w:val="4"/>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泄漏</w:t>
            </w:r>
            <w:r>
              <w:rPr>
                <w:rFonts w:ascii="Times New Roman" w:hAnsi="Times New Roman"/>
                <w:snapToGrid w:val="0"/>
                <w:kern w:val="0"/>
                <w:szCs w:val="24"/>
              </w:rPr>
              <w:t xml:space="preserve"> </w:t>
            </w:r>
            <w:r>
              <w:rPr>
                <w:rFonts w:ascii="Times New Roman" w:hAnsi="Times New Roman"/>
                <w:snapToGrid w:val="0"/>
                <w:kern w:val="0"/>
                <w:szCs w:val="24"/>
              </w:rPr>
              <w:sym w:font="Wingdings 2" w:char="0052"/>
            </w:r>
          </w:p>
        </w:tc>
        <w:tc>
          <w:tcPr>
            <w:tcW w:w="4563" w:type="dxa"/>
            <w:gridSpan w:val="9"/>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火灾、爆炸引发伴生</w:t>
            </w:r>
            <w:r>
              <w:rPr>
                <w:rFonts w:ascii="Times New Roman" w:hAnsi="Times New Roman"/>
                <w:snapToGrid w:val="0"/>
                <w:kern w:val="0"/>
                <w:szCs w:val="24"/>
              </w:rPr>
              <w:t>/</w:t>
            </w:r>
            <w:r>
              <w:rPr>
                <w:rFonts w:ascii="Times New Roman" w:hAnsi="Times New Roman"/>
                <w:snapToGrid w:val="0"/>
                <w:kern w:val="0"/>
                <w:szCs w:val="24"/>
              </w:rPr>
              <w:t>次生污染物排放</w:t>
            </w:r>
            <w:r>
              <w:rPr>
                <w:rFonts w:ascii="Times New Roman" w:hAnsi="Times New Roman"/>
                <w:snapToGrid w:val="0"/>
                <w:kern w:val="0"/>
                <w:szCs w:val="24"/>
              </w:rPr>
              <w:t xml:space="preserve"> </w:t>
            </w:r>
            <w:r>
              <w:rPr>
                <w:rFonts w:ascii="Times New Roman" w:hAnsi="Times New Roman"/>
                <w:snapToGrid w:val="0"/>
                <w:kern w:val="0"/>
                <w:szCs w:val="24"/>
              </w:rPr>
              <w:sym w:font="Wingdings 2" w:char="0052"/>
            </w:r>
          </w:p>
        </w:tc>
      </w:tr>
      <w:tr w:rsidR="00525419">
        <w:trPr>
          <w:trHeight w:val="397"/>
          <w:jc w:val="center"/>
        </w:trPr>
        <w:tc>
          <w:tcPr>
            <w:tcW w:w="370"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892"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影响途径</w:t>
            </w:r>
          </w:p>
        </w:tc>
        <w:tc>
          <w:tcPr>
            <w:tcW w:w="2682" w:type="dxa"/>
            <w:gridSpan w:val="4"/>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大气</w:t>
            </w:r>
            <w:r>
              <w:rPr>
                <w:rFonts w:ascii="Times New Roman" w:hAnsi="Times New Roman"/>
                <w:snapToGrid w:val="0"/>
                <w:kern w:val="0"/>
                <w:szCs w:val="24"/>
              </w:rPr>
              <w:t xml:space="preserve"> </w:t>
            </w:r>
            <w:r>
              <w:rPr>
                <w:rFonts w:ascii="Times New Roman" w:hAnsi="Times New Roman"/>
                <w:snapToGrid w:val="0"/>
                <w:kern w:val="0"/>
                <w:szCs w:val="24"/>
              </w:rPr>
              <w:sym w:font="Wingdings 2" w:char="0052"/>
            </w:r>
          </w:p>
        </w:tc>
        <w:tc>
          <w:tcPr>
            <w:tcW w:w="2314" w:type="dxa"/>
            <w:gridSpan w:val="4"/>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地表水</w:t>
            </w:r>
            <w:r>
              <w:rPr>
                <w:rFonts w:ascii="Times New Roman" w:hAnsi="Times New Roman"/>
                <w:snapToGrid w:val="0"/>
                <w:kern w:val="0"/>
                <w:szCs w:val="24"/>
              </w:rPr>
              <w:t xml:space="preserve"> □</w:t>
            </w:r>
          </w:p>
        </w:tc>
        <w:tc>
          <w:tcPr>
            <w:tcW w:w="2249" w:type="dxa"/>
            <w:gridSpan w:val="5"/>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地下水</w:t>
            </w:r>
            <w:r>
              <w:rPr>
                <w:rFonts w:ascii="Times New Roman" w:hAnsi="Times New Roman"/>
                <w:snapToGrid w:val="0"/>
                <w:kern w:val="0"/>
                <w:szCs w:val="24"/>
              </w:rPr>
              <w:t xml:space="preserve"> </w:t>
            </w:r>
            <w:r>
              <w:rPr>
                <w:rFonts w:ascii="Times New Roman" w:hAnsi="Times New Roman"/>
                <w:snapToGrid w:val="0"/>
                <w:kern w:val="0"/>
                <w:szCs w:val="24"/>
              </w:rPr>
              <w:sym w:font="Wingdings 2" w:char="0052"/>
            </w:r>
          </w:p>
        </w:tc>
      </w:tr>
      <w:tr w:rsidR="00525419">
        <w:trPr>
          <w:trHeight w:val="397"/>
          <w:jc w:val="center"/>
        </w:trPr>
        <w:tc>
          <w:tcPr>
            <w:tcW w:w="1262" w:type="dxa"/>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事故情</w:t>
            </w:r>
          </w:p>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形分析</w:t>
            </w:r>
          </w:p>
        </w:tc>
        <w:tc>
          <w:tcPr>
            <w:tcW w:w="1520" w:type="dxa"/>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源强设定方法</w:t>
            </w:r>
          </w:p>
        </w:tc>
        <w:tc>
          <w:tcPr>
            <w:tcW w:w="1162" w:type="dxa"/>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计算法</w:t>
            </w:r>
            <w:r>
              <w:rPr>
                <w:rFonts w:ascii="Times New Roman" w:hAnsi="Times New Roman"/>
                <w:snapToGrid w:val="0"/>
                <w:kern w:val="0"/>
                <w:szCs w:val="24"/>
              </w:rPr>
              <w:t xml:space="preserve"> </w:t>
            </w:r>
            <w:r>
              <w:rPr>
                <w:rFonts w:ascii="Times New Roman" w:hAnsi="Times New Roman"/>
                <w:snapToGrid w:val="0"/>
                <w:kern w:val="0"/>
                <w:szCs w:val="24"/>
              </w:rPr>
              <w:sym w:font="Wingdings 2" w:char="0052"/>
            </w:r>
          </w:p>
        </w:tc>
        <w:tc>
          <w:tcPr>
            <w:tcW w:w="2314" w:type="dxa"/>
            <w:gridSpan w:val="4"/>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经验估算法</w:t>
            </w:r>
            <w:r>
              <w:rPr>
                <w:rFonts w:ascii="Times New Roman" w:hAnsi="Times New Roman"/>
                <w:snapToGrid w:val="0"/>
                <w:kern w:val="0"/>
                <w:szCs w:val="24"/>
              </w:rPr>
              <w:t xml:space="preserve"> □</w:t>
            </w:r>
          </w:p>
        </w:tc>
        <w:tc>
          <w:tcPr>
            <w:tcW w:w="2249" w:type="dxa"/>
            <w:gridSpan w:val="5"/>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其他估算法</w:t>
            </w:r>
            <w:r>
              <w:rPr>
                <w:rFonts w:ascii="Times New Roman" w:hAnsi="Times New Roman"/>
                <w:snapToGrid w:val="0"/>
                <w:kern w:val="0"/>
                <w:szCs w:val="24"/>
              </w:rPr>
              <w:t xml:space="preserve"> □</w:t>
            </w:r>
          </w:p>
        </w:tc>
      </w:tr>
      <w:tr w:rsidR="00525419">
        <w:trPr>
          <w:trHeight w:val="397"/>
          <w:jc w:val="center"/>
        </w:trPr>
        <w:tc>
          <w:tcPr>
            <w:tcW w:w="370" w:type="dxa"/>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环境风</w:t>
            </w:r>
            <w:r>
              <w:rPr>
                <w:rFonts w:ascii="Times New Roman" w:hAnsi="Times New Roman"/>
                <w:snapToGrid w:val="0"/>
                <w:kern w:val="0"/>
                <w:szCs w:val="24"/>
              </w:rPr>
              <w:lastRenderedPageBreak/>
              <w:t>险预测与评价</w:t>
            </w:r>
          </w:p>
        </w:tc>
        <w:tc>
          <w:tcPr>
            <w:tcW w:w="892" w:type="dxa"/>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lastRenderedPageBreak/>
              <w:t>大气</w:t>
            </w:r>
          </w:p>
        </w:tc>
        <w:tc>
          <w:tcPr>
            <w:tcW w:w="1520" w:type="dxa"/>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预测模型</w:t>
            </w:r>
          </w:p>
        </w:tc>
        <w:tc>
          <w:tcPr>
            <w:tcW w:w="1162" w:type="dxa"/>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SLAB</w:t>
            </w:r>
            <w:r>
              <w:rPr>
                <w:rFonts w:ascii="Times New Roman" w:hAnsi="Times New Roman"/>
                <w:snapToGrid w:val="0"/>
                <w:kern w:val="0"/>
                <w:szCs w:val="24"/>
              </w:rPr>
              <w:sym w:font="Wingdings 2" w:char="0052"/>
            </w:r>
          </w:p>
        </w:tc>
        <w:tc>
          <w:tcPr>
            <w:tcW w:w="2743" w:type="dxa"/>
            <w:gridSpan w:val="6"/>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 xml:space="preserve">AFTOX </w:t>
            </w:r>
            <w:r>
              <w:rPr>
                <w:rFonts w:ascii="Times New Roman" w:hAnsi="Times New Roman"/>
                <w:snapToGrid w:val="0"/>
                <w:kern w:val="0"/>
                <w:szCs w:val="24"/>
              </w:rPr>
              <w:sym w:font="Wingdings 2" w:char="0052"/>
            </w:r>
          </w:p>
        </w:tc>
        <w:tc>
          <w:tcPr>
            <w:tcW w:w="1820" w:type="dxa"/>
            <w:gridSpan w:val="3"/>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其他</w:t>
            </w:r>
            <w:r>
              <w:rPr>
                <w:rFonts w:ascii="Times New Roman" w:hAnsi="Times New Roman"/>
                <w:snapToGrid w:val="0"/>
                <w:kern w:val="0"/>
                <w:szCs w:val="24"/>
              </w:rPr>
              <w:t xml:space="preserve"> □</w:t>
            </w:r>
          </w:p>
        </w:tc>
      </w:tr>
      <w:tr w:rsidR="00525419">
        <w:trPr>
          <w:trHeight w:val="397"/>
          <w:jc w:val="center"/>
        </w:trPr>
        <w:tc>
          <w:tcPr>
            <w:tcW w:w="370"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892"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1520" w:type="dxa"/>
            <w:gridSpan w:val="2"/>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预测结果</w:t>
            </w:r>
          </w:p>
        </w:tc>
        <w:tc>
          <w:tcPr>
            <w:tcW w:w="5725" w:type="dxa"/>
            <w:gridSpan w:val="11"/>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大气毒性终点浓度</w:t>
            </w:r>
            <w:r>
              <w:rPr>
                <w:rFonts w:ascii="Times New Roman" w:hAnsi="Times New Roman"/>
                <w:snapToGrid w:val="0"/>
                <w:kern w:val="0"/>
                <w:szCs w:val="24"/>
              </w:rPr>
              <w:t xml:space="preserve">-1 </w:t>
            </w:r>
            <w:r>
              <w:rPr>
                <w:rFonts w:ascii="Times New Roman" w:hAnsi="Times New Roman"/>
                <w:snapToGrid w:val="0"/>
                <w:kern w:val="0"/>
                <w:szCs w:val="24"/>
              </w:rPr>
              <w:t>最大影响范围</w:t>
            </w:r>
            <w:r>
              <w:rPr>
                <w:rFonts w:ascii="Times New Roman" w:hAnsi="Times New Roman" w:hint="eastAsia"/>
                <w:snapToGrid w:val="0"/>
                <w:kern w:val="0"/>
                <w:szCs w:val="24"/>
                <w:u w:val="single"/>
              </w:rPr>
              <w:t>130</w:t>
            </w:r>
            <w:r>
              <w:rPr>
                <w:rFonts w:ascii="Times New Roman" w:hAnsi="Times New Roman"/>
                <w:snapToGrid w:val="0"/>
                <w:kern w:val="0"/>
                <w:szCs w:val="24"/>
              </w:rPr>
              <w:t>m</w:t>
            </w:r>
          </w:p>
        </w:tc>
      </w:tr>
      <w:tr w:rsidR="00525419">
        <w:trPr>
          <w:trHeight w:val="397"/>
          <w:jc w:val="center"/>
        </w:trPr>
        <w:tc>
          <w:tcPr>
            <w:tcW w:w="370"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892"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1520" w:type="dxa"/>
            <w:gridSpan w:val="2"/>
            <w:vMerge/>
            <w:shd w:val="clear" w:color="auto" w:fill="auto"/>
            <w:vAlign w:val="center"/>
          </w:tcPr>
          <w:p w:rsidR="00525419" w:rsidRDefault="00525419">
            <w:pPr>
              <w:widowControl/>
              <w:jc w:val="center"/>
              <w:rPr>
                <w:rFonts w:ascii="Times New Roman" w:hAnsi="Times New Roman"/>
                <w:snapToGrid w:val="0"/>
                <w:kern w:val="0"/>
                <w:szCs w:val="24"/>
              </w:rPr>
            </w:pPr>
          </w:p>
        </w:tc>
        <w:tc>
          <w:tcPr>
            <w:tcW w:w="5725" w:type="dxa"/>
            <w:gridSpan w:val="11"/>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大气毒性终点浓度</w:t>
            </w:r>
            <w:r>
              <w:rPr>
                <w:rFonts w:ascii="Times New Roman" w:hAnsi="Times New Roman"/>
                <w:snapToGrid w:val="0"/>
                <w:kern w:val="0"/>
                <w:szCs w:val="24"/>
              </w:rPr>
              <w:t xml:space="preserve">-2 </w:t>
            </w:r>
            <w:r>
              <w:rPr>
                <w:rFonts w:ascii="Times New Roman" w:hAnsi="Times New Roman"/>
                <w:snapToGrid w:val="0"/>
                <w:kern w:val="0"/>
                <w:szCs w:val="24"/>
              </w:rPr>
              <w:t>最大影响范围</w:t>
            </w:r>
            <w:r>
              <w:rPr>
                <w:rFonts w:ascii="Times New Roman" w:hAnsi="Times New Roman" w:hint="eastAsia"/>
                <w:snapToGrid w:val="0"/>
                <w:kern w:val="0"/>
                <w:szCs w:val="24"/>
                <w:u w:val="single"/>
              </w:rPr>
              <w:t>1330</w:t>
            </w:r>
            <w:r>
              <w:rPr>
                <w:rFonts w:ascii="Times New Roman" w:hAnsi="Times New Roman"/>
                <w:snapToGrid w:val="0"/>
                <w:kern w:val="0"/>
                <w:szCs w:val="24"/>
              </w:rPr>
              <w:t>m</w:t>
            </w:r>
          </w:p>
        </w:tc>
      </w:tr>
      <w:tr w:rsidR="00525419">
        <w:trPr>
          <w:trHeight w:val="397"/>
          <w:jc w:val="center"/>
        </w:trPr>
        <w:tc>
          <w:tcPr>
            <w:tcW w:w="370"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892" w:type="dxa"/>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地表水</w:t>
            </w:r>
          </w:p>
        </w:tc>
        <w:tc>
          <w:tcPr>
            <w:tcW w:w="7245" w:type="dxa"/>
            <w:gridSpan w:val="13"/>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最近环境敏感目标</w:t>
            </w:r>
            <w:r>
              <w:rPr>
                <w:rFonts w:ascii="Times New Roman" w:hAnsi="Times New Roman"/>
                <w:snapToGrid w:val="0"/>
                <w:kern w:val="0"/>
                <w:szCs w:val="24"/>
              </w:rPr>
              <w:t xml:space="preserve"> </w:t>
            </w:r>
            <w:r>
              <w:rPr>
                <w:rFonts w:ascii="Times New Roman" w:hAnsi="Times New Roman"/>
                <w:snapToGrid w:val="0"/>
                <w:kern w:val="0"/>
                <w:szCs w:val="24"/>
                <w:u w:val="single"/>
              </w:rPr>
              <w:t xml:space="preserve">  /  </w:t>
            </w:r>
            <w:r>
              <w:rPr>
                <w:rFonts w:ascii="Times New Roman" w:hAnsi="Times New Roman"/>
                <w:snapToGrid w:val="0"/>
                <w:kern w:val="0"/>
                <w:szCs w:val="24"/>
              </w:rPr>
              <w:t>，到达时间</w:t>
            </w:r>
            <w:r>
              <w:rPr>
                <w:rFonts w:ascii="Times New Roman" w:hAnsi="Times New Roman"/>
                <w:snapToGrid w:val="0"/>
                <w:kern w:val="0"/>
                <w:szCs w:val="24"/>
                <w:u w:val="single"/>
              </w:rPr>
              <w:t xml:space="preserve">  /  </w:t>
            </w:r>
            <w:r>
              <w:rPr>
                <w:rFonts w:ascii="Times New Roman" w:hAnsi="Times New Roman"/>
                <w:snapToGrid w:val="0"/>
                <w:kern w:val="0"/>
                <w:szCs w:val="24"/>
              </w:rPr>
              <w:t>h</w:t>
            </w:r>
          </w:p>
        </w:tc>
      </w:tr>
      <w:tr w:rsidR="00525419">
        <w:trPr>
          <w:trHeight w:val="397"/>
          <w:jc w:val="center"/>
        </w:trPr>
        <w:tc>
          <w:tcPr>
            <w:tcW w:w="370"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892" w:type="dxa"/>
            <w:vMerge w:val="restart"/>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地下水</w:t>
            </w:r>
          </w:p>
        </w:tc>
        <w:tc>
          <w:tcPr>
            <w:tcW w:w="7245" w:type="dxa"/>
            <w:gridSpan w:val="13"/>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下游厂区边界到达时间</w:t>
            </w:r>
            <w:r>
              <w:rPr>
                <w:rFonts w:ascii="Times New Roman" w:hAnsi="Times New Roman"/>
                <w:snapToGrid w:val="0"/>
                <w:kern w:val="0"/>
                <w:szCs w:val="24"/>
                <w:u w:val="single"/>
              </w:rPr>
              <w:t xml:space="preserve">  /  </w:t>
            </w:r>
            <w:r>
              <w:rPr>
                <w:rFonts w:ascii="Times New Roman" w:hAnsi="Times New Roman"/>
                <w:snapToGrid w:val="0"/>
                <w:kern w:val="0"/>
                <w:szCs w:val="24"/>
              </w:rPr>
              <w:t>d</w:t>
            </w:r>
          </w:p>
        </w:tc>
      </w:tr>
      <w:tr w:rsidR="00525419">
        <w:trPr>
          <w:trHeight w:val="397"/>
          <w:jc w:val="center"/>
        </w:trPr>
        <w:tc>
          <w:tcPr>
            <w:tcW w:w="370"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892" w:type="dxa"/>
            <w:vMerge/>
            <w:shd w:val="clear" w:color="auto" w:fill="auto"/>
            <w:vAlign w:val="center"/>
          </w:tcPr>
          <w:p w:rsidR="00525419" w:rsidRDefault="00525419">
            <w:pPr>
              <w:widowControl/>
              <w:jc w:val="center"/>
              <w:rPr>
                <w:rFonts w:ascii="Times New Roman" w:hAnsi="Times New Roman"/>
                <w:snapToGrid w:val="0"/>
                <w:kern w:val="0"/>
                <w:szCs w:val="24"/>
              </w:rPr>
            </w:pPr>
          </w:p>
        </w:tc>
        <w:tc>
          <w:tcPr>
            <w:tcW w:w="7245" w:type="dxa"/>
            <w:gridSpan w:val="13"/>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最近环境敏感目标</w:t>
            </w:r>
            <w:r>
              <w:rPr>
                <w:rFonts w:ascii="Times New Roman" w:hAnsi="Times New Roman"/>
                <w:snapToGrid w:val="0"/>
                <w:kern w:val="0"/>
                <w:szCs w:val="24"/>
                <w:u w:val="single"/>
              </w:rPr>
              <w:t xml:space="preserve">  /  </w:t>
            </w:r>
            <w:r>
              <w:rPr>
                <w:rFonts w:ascii="Times New Roman" w:hAnsi="Times New Roman"/>
                <w:snapToGrid w:val="0"/>
                <w:kern w:val="0"/>
                <w:szCs w:val="24"/>
              </w:rPr>
              <w:t xml:space="preserve"> </w:t>
            </w:r>
            <w:r>
              <w:rPr>
                <w:rFonts w:ascii="Times New Roman" w:hAnsi="Times New Roman"/>
                <w:snapToGrid w:val="0"/>
                <w:kern w:val="0"/>
                <w:szCs w:val="24"/>
              </w:rPr>
              <w:t>，到达时间</w:t>
            </w:r>
            <w:r>
              <w:rPr>
                <w:rFonts w:ascii="Times New Roman" w:hAnsi="Times New Roman"/>
                <w:snapToGrid w:val="0"/>
                <w:kern w:val="0"/>
                <w:szCs w:val="24"/>
                <w:u w:val="single"/>
              </w:rPr>
              <w:t xml:space="preserve">  /  </w:t>
            </w:r>
            <w:r>
              <w:rPr>
                <w:rFonts w:ascii="Times New Roman" w:hAnsi="Times New Roman"/>
                <w:snapToGrid w:val="0"/>
                <w:kern w:val="0"/>
                <w:szCs w:val="24"/>
              </w:rPr>
              <w:t>d</w:t>
            </w:r>
          </w:p>
        </w:tc>
      </w:tr>
      <w:tr w:rsidR="00525419">
        <w:trPr>
          <w:trHeight w:val="397"/>
          <w:jc w:val="center"/>
        </w:trPr>
        <w:tc>
          <w:tcPr>
            <w:tcW w:w="1262" w:type="dxa"/>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重点风险防范措施</w:t>
            </w:r>
          </w:p>
        </w:tc>
        <w:tc>
          <w:tcPr>
            <w:tcW w:w="7245" w:type="dxa"/>
            <w:gridSpan w:val="13"/>
            <w:shd w:val="clear" w:color="auto" w:fill="auto"/>
            <w:vAlign w:val="center"/>
          </w:tcPr>
          <w:p w:rsidR="00525419" w:rsidRDefault="00EE1CF7">
            <w:pPr>
              <w:widowControl/>
              <w:jc w:val="center"/>
              <w:rPr>
                <w:rFonts w:ascii="Times New Roman" w:hAnsi="Times New Roman"/>
                <w:snapToGrid w:val="0"/>
                <w:kern w:val="0"/>
                <w:szCs w:val="21"/>
              </w:rPr>
            </w:pPr>
            <w:r>
              <w:rPr>
                <w:rFonts w:ascii="Times New Roman" w:hAnsi="Times New Roman"/>
                <w:snapToGrid w:val="0"/>
                <w:kern w:val="0"/>
                <w:szCs w:val="24"/>
              </w:rPr>
              <w:t>厂区采取分区防渗工业技术设计安全防范措施；运输、储存过程风险防控措施；消防火灾控制措施、应急事故池等。</w:t>
            </w:r>
          </w:p>
        </w:tc>
      </w:tr>
      <w:tr w:rsidR="00525419">
        <w:trPr>
          <w:trHeight w:val="397"/>
          <w:jc w:val="center"/>
        </w:trPr>
        <w:tc>
          <w:tcPr>
            <w:tcW w:w="1262" w:type="dxa"/>
            <w:gridSpan w:val="2"/>
            <w:shd w:val="clear" w:color="auto" w:fill="auto"/>
            <w:vAlign w:val="center"/>
          </w:tcPr>
          <w:p w:rsidR="00525419" w:rsidRDefault="00EE1CF7">
            <w:pPr>
              <w:widowControl/>
              <w:jc w:val="center"/>
              <w:rPr>
                <w:rFonts w:ascii="Times New Roman" w:hAnsi="Times New Roman"/>
                <w:snapToGrid w:val="0"/>
                <w:kern w:val="0"/>
                <w:szCs w:val="24"/>
              </w:rPr>
            </w:pPr>
            <w:r>
              <w:rPr>
                <w:rFonts w:ascii="Times New Roman" w:hAnsi="Times New Roman"/>
                <w:snapToGrid w:val="0"/>
                <w:kern w:val="0"/>
                <w:szCs w:val="24"/>
              </w:rPr>
              <w:t>评价结论与建议</w:t>
            </w:r>
          </w:p>
        </w:tc>
        <w:tc>
          <w:tcPr>
            <w:tcW w:w="7245" w:type="dxa"/>
            <w:gridSpan w:val="13"/>
            <w:shd w:val="clear" w:color="auto" w:fill="auto"/>
            <w:vAlign w:val="center"/>
          </w:tcPr>
          <w:p w:rsidR="00525419" w:rsidRDefault="00EE1CF7">
            <w:pPr>
              <w:pStyle w:val="B1"/>
              <w:spacing w:line="240" w:lineRule="auto"/>
              <w:ind w:firstLine="420"/>
              <w:rPr>
                <w:rFonts w:cs="Times New Roman"/>
                <w:snapToGrid w:val="0"/>
                <w:sz w:val="21"/>
              </w:rPr>
            </w:pPr>
            <w:r>
              <w:rPr>
                <w:rFonts w:cs="Times New Roman"/>
                <w:snapToGrid w:val="0"/>
                <w:sz w:val="21"/>
              </w:rPr>
              <w:t>本项目主要风险因素为储罐发生破裂，导致焦油、柴油、尾油、石脑油、天然气等泄漏，进而可能发生火灾、爆炸等事故。根据预测结果，本项目发生泄漏事故时，在最不利气象条件下有大范围超过相关标准限值，但远小于半致死浓度，不会出现生命伤害情况，焦油最大落地浓度在厂区范围内，由于在建立可靠的风险防范措施后，泄漏仅是暂时的，因此其影响也是短暂的，环境风险可控。</w:t>
            </w:r>
          </w:p>
        </w:tc>
      </w:tr>
      <w:tr w:rsidR="00525419">
        <w:trPr>
          <w:trHeight w:val="397"/>
          <w:jc w:val="center"/>
        </w:trPr>
        <w:tc>
          <w:tcPr>
            <w:tcW w:w="8507" w:type="dxa"/>
            <w:gridSpan w:val="15"/>
            <w:shd w:val="clear" w:color="auto" w:fill="auto"/>
            <w:vAlign w:val="center"/>
          </w:tcPr>
          <w:p w:rsidR="00525419" w:rsidRDefault="00EE1CF7">
            <w:pPr>
              <w:widowControl/>
              <w:rPr>
                <w:rFonts w:ascii="Times New Roman" w:hAnsi="Times New Roman"/>
                <w:snapToGrid w:val="0"/>
                <w:kern w:val="0"/>
                <w:szCs w:val="24"/>
              </w:rPr>
            </w:pPr>
            <w:r>
              <w:rPr>
                <w:rFonts w:ascii="Times New Roman" w:hAnsi="Times New Roman"/>
                <w:snapToGrid w:val="0"/>
                <w:kern w:val="0"/>
                <w:szCs w:val="24"/>
              </w:rPr>
              <w:t>注：</w:t>
            </w:r>
            <w:r>
              <w:rPr>
                <w:rFonts w:ascii="Times New Roman" w:hAnsi="Times New Roman"/>
                <w:snapToGrid w:val="0"/>
                <w:kern w:val="0"/>
                <w:szCs w:val="24"/>
              </w:rPr>
              <w:t>“</w:t>
            </w:r>
            <w:r>
              <w:rPr>
                <w:rFonts w:ascii="Times New Roman" w:hAnsi="Times New Roman"/>
                <w:snapToGrid w:val="0"/>
                <w:kern w:val="0"/>
                <w:szCs w:val="24"/>
              </w:rPr>
              <w:sym w:font="Wingdings 2" w:char="00A3"/>
            </w:r>
            <w:r>
              <w:rPr>
                <w:rFonts w:ascii="Times New Roman" w:hAnsi="Times New Roman"/>
                <w:snapToGrid w:val="0"/>
                <w:kern w:val="0"/>
                <w:szCs w:val="24"/>
              </w:rPr>
              <w:t>”</w:t>
            </w:r>
            <w:r>
              <w:rPr>
                <w:rFonts w:ascii="Times New Roman" w:hAnsi="Times New Roman"/>
                <w:snapToGrid w:val="0"/>
                <w:kern w:val="0"/>
                <w:szCs w:val="24"/>
              </w:rPr>
              <w:t>为勾选项</w:t>
            </w:r>
            <w:r>
              <w:rPr>
                <w:rFonts w:ascii="Times New Roman" w:hAnsi="Times New Roman"/>
                <w:snapToGrid w:val="0"/>
                <w:kern w:val="0"/>
                <w:szCs w:val="24"/>
              </w:rPr>
              <w:t>,</w:t>
            </w:r>
            <w:r>
              <w:rPr>
                <w:rFonts w:ascii="Times New Roman" w:hAnsi="Times New Roman"/>
                <w:snapToGrid w:val="0"/>
                <w:kern w:val="0"/>
                <w:szCs w:val="24"/>
              </w:rPr>
              <w:t>；</w:t>
            </w:r>
            <w:r>
              <w:rPr>
                <w:rFonts w:ascii="Times New Roman" w:hAnsi="Times New Roman"/>
                <w:snapToGrid w:val="0"/>
                <w:kern w:val="0"/>
                <w:szCs w:val="24"/>
              </w:rPr>
              <w:t>“___”</w:t>
            </w:r>
            <w:r>
              <w:rPr>
                <w:rFonts w:ascii="Times New Roman" w:hAnsi="Times New Roman"/>
                <w:snapToGrid w:val="0"/>
                <w:kern w:val="0"/>
                <w:szCs w:val="24"/>
              </w:rPr>
              <w:t>为填写项</w:t>
            </w:r>
          </w:p>
        </w:tc>
      </w:tr>
    </w:tbl>
    <w:p w:rsidR="00525419" w:rsidRDefault="00EE1CF7">
      <w:pPr>
        <w:pStyle w:val="1a"/>
        <w:spacing w:before="120" w:after="0" w:line="360" w:lineRule="auto"/>
        <w:jc w:val="center"/>
        <w:rPr>
          <w:rFonts w:ascii="Times New Roman" w:eastAsia="楷体_GB2312" w:hAnsi="Times New Roman"/>
        </w:rPr>
      </w:pPr>
      <w:bookmarkStart w:id="246" w:name="_Toc24002"/>
      <w:r>
        <w:rPr>
          <w:rFonts w:ascii="Times New Roman" w:eastAsia="楷体_GB2312" w:hAnsi="Times New Roman"/>
        </w:rPr>
        <w:t>6</w:t>
      </w:r>
      <w:r>
        <w:rPr>
          <w:rFonts w:ascii="Times New Roman" w:eastAsia="楷体_GB2312" w:hAnsi="Times New Roman"/>
        </w:rPr>
        <w:t xml:space="preserve">　环境保护措施及其可行性论证</w:t>
      </w:r>
      <w:bookmarkEnd w:id="245"/>
      <w:bookmarkEnd w:id="246"/>
    </w:p>
    <w:p w:rsidR="00525419" w:rsidRDefault="00EE1CF7" w:rsidP="00EE1CF7">
      <w:pPr>
        <w:pStyle w:val="2a"/>
        <w:spacing w:beforeLines="50" w:before="166" w:after="166"/>
        <w:ind w:left="578" w:hanging="578"/>
        <w:rPr>
          <w:rFonts w:ascii="Times New Roman" w:eastAsia="楷体_GB2312" w:hAnsi="Times New Roman"/>
          <w:sz w:val="36"/>
        </w:rPr>
      </w:pPr>
      <w:bookmarkStart w:id="247" w:name="_Toc484775652"/>
      <w:bookmarkStart w:id="248" w:name="_Toc13499"/>
      <w:bookmarkStart w:id="249" w:name="_Toc352019926"/>
      <w:bookmarkStart w:id="250" w:name="_Toc339417162"/>
      <w:r>
        <w:rPr>
          <w:rFonts w:ascii="Times New Roman" w:eastAsia="楷体_GB2312" w:hAnsi="Times New Roman"/>
          <w:sz w:val="36"/>
        </w:rPr>
        <w:t>6.1</w:t>
      </w:r>
      <w:r>
        <w:rPr>
          <w:rFonts w:ascii="Times New Roman" w:eastAsia="楷体_GB2312" w:hAnsi="Times New Roman"/>
          <w:sz w:val="36"/>
        </w:rPr>
        <w:t>运营期废气防治措施</w:t>
      </w:r>
      <w:bookmarkEnd w:id="247"/>
      <w:bookmarkEnd w:id="248"/>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6.1.1</w:t>
      </w:r>
      <w:r>
        <w:rPr>
          <w:rFonts w:ascii="Times New Roman" w:eastAsia="华文楷体" w:hAnsi="Times New Roman"/>
        </w:rPr>
        <w:t>生产区废气防治措施</w:t>
      </w:r>
      <w:bookmarkEnd w:id="249"/>
      <w:bookmarkEnd w:id="250"/>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 xml:space="preserve">6.1.1.1 </w:t>
      </w:r>
      <w:r>
        <w:rPr>
          <w:rFonts w:ascii="Times New Roman" w:hAnsi="Times New Roman" w:cs="Times New Roman"/>
          <w:kern w:val="44"/>
          <w:sz w:val="24"/>
          <w:szCs w:val="24"/>
        </w:rPr>
        <w:t>有组织废气</w:t>
      </w:r>
    </w:p>
    <w:p w:rsidR="00525419" w:rsidRDefault="00EE1CF7">
      <w:pPr>
        <w:spacing w:line="460" w:lineRule="exact"/>
        <w:ind w:firstLineChars="200" w:firstLine="480"/>
        <w:rPr>
          <w:rFonts w:ascii="Times New Roman" w:hAnsi="Times New Roman"/>
          <w:snapToGrid w:val="0"/>
          <w:sz w:val="24"/>
        </w:rPr>
      </w:pPr>
      <w:r>
        <w:rPr>
          <w:rFonts w:ascii="Times New Roman" w:hAnsi="Times New Roman" w:hint="eastAsia"/>
          <w:snapToGrid w:val="0"/>
          <w:sz w:val="24"/>
        </w:rPr>
        <w:t>（</w:t>
      </w:r>
      <w:r>
        <w:rPr>
          <w:rFonts w:ascii="Times New Roman" w:hAnsi="Times New Roman" w:hint="eastAsia"/>
          <w:snapToGrid w:val="0"/>
          <w:sz w:val="24"/>
        </w:rPr>
        <w:t>1</w:t>
      </w:r>
      <w:r>
        <w:rPr>
          <w:rFonts w:ascii="Times New Roman" w:hAnsi="Times New Roman" w:hint="eastAsia"/>
          <w:snapToGrid w:val="0"/>
          <w:sz w:val="24"/>
        </w:rPr>
        <w:t>）</w:t>
      </w:r>
      <w:r>
        <w:rPr>
          <w:rFonts w:ascii="Times New Roman" w:hAnsi="Times New Roman"/>
          <w:kern w:val="44"/>
          <w:sz w:val="24"/>
        </w:rPr>
        <w:t>加热炉烟气</w:t>
      </w:r>
    </w:p>
    <w:p w:rsidR="00525419" w:rsidRDefault="00EE1CF7">
      <w:pPr>
        <w:spacing w:line="460" w:lineRule="exact"/>
        <w:ind w:firstLineChars="200" w:firstLine="480"/>
        <w:rPr>
          <w:rFonts w:ascii="Times New Roman" w:hAnsi="Times New Roman"/>
          <w:sz w:val="24"/>
          <w:lang w:val="zh-CN"/>
        </w:rPr>
      </w:pPr>
      <w:r>
        <w:rPr>
          <w:rFonts w:ascii="Times New Roman" w:hAnsi="Times New Roman"/>
          <w:sz w:val="24"/>
          <w:lang w:val="zh-CN"/>
        </w:rPr>
        <w:t>本项目各加热炉以项目自产脱硫干气和天然气为燃料，主要成分为</w:t>
      </w:r>
      <w:r>
        <w:rPr>
          <w:rFonts w:ascii="Times New Roman" w:hAnsi="Times New Roman"/>
          <w:sz w:val="24"/>
          <w:lang w:val="zh-CN"/>
        </w:rPr>
        <w:t>H</w:t>
      </w:r>
      <w:r>
        <w:rPr>
          <w:rFonts w:ascii="Times New Roman" w:hAnsi="Times New Roman"/>
          <w:sz w:val="24"/>
          <w:vertAlign w:val="subscript"/>
          <w:lang w:val="zh-CN"/>
        </w:rPr>
        <w:t>2</w:t>
      </w:r>
      <w:r>
        <w:rPr>
          <w:rFonts w:ascii="Times New Roman" w:hAnsi="Times New Roman"/>
          <w:sz w:val="24"/>
          <w:lang w:val="zh-CN"/>
        </w:rPr>
        <w:t>、</w:t>
      </w:r>
      <w:r>
        <w:rPr>
          <w:rFonts w:ascii="Times New Roman" w:hAnsi="Times New Roman"/>
          <w:sz w:val="24"/>
          <w:lang w:val="zh-CN"/>
        </w:rPr>
        <w:t>CO</w:t>
      </w:r>
      <w:r>
        <w:rPr>
          <w:rFonts w:ascii="Times New Roman" w:hAnsi="Times New Roman"/>
          <w:sz w:val="24"/>
          <w:lang w:val="zh-CN"/>
        </w:rPr>
        <w:t>和烃类，硫含量很少，从根本上减少二氧化硫和烟尘的排放。采用低氮燃烧器，减少了氮氧化物的排放。</w:t>
      </w:r>
      <w:r>
        <w:rPr>
          <w:rFonts w:ascii="Times New Roman" w:hAnsi="Times New Roman"/>
          <w:sz w:val="24"/>
        </w:rPr>
        <w:t>根据《石油炼制工业污染物排放标准编制说明》中相关内容和</w:t>
      </w:r>
      <w:r>
        <w:rPr>
          <w:rFonts w:ascii="Times New Roman" w:hAnsi="Times New Roman"/>
          <w:sz w:val="24"/>
          <w:lang w:val="zh-CN"/>
        </w:rPr>
        <w:t>《石油石化环境保护技术》对加热炉污染物排放情况</w:t>
      </w:r>
      <w:r>
        <w:rPr>
          <w:rFonts w:ascii="Times New Roman" w:hAnsi="Times New Roman"/>
          <w:sz w:val="24"/>
          <w:lang w:val="zh-CN"/>
        </w:rPr>
        <w:t>(</w:t>
      </w:r>
      <w:r>
        <w:rPr>
          <w:rFonts w:ascii="Times New Roman" w:hAnsi="Times New Roman"/>
          <w:sz w:val="24"/>
          <w:lang w:val="zh-CN"/>
        </w:rPr>
        <w:t>以脱硫干气为燃料</w:t>
      </w:r>
      <w:r>
        <w:rPr>
          <w:rFonts w:ascii="Times New Roman" w:hAnsi="Times New Roman"/>
          <w:sz w:val="24"/>
          <w:lang w:val="zh-CN"/>
        </w:rPr>
        <w:t>)</w:t>
      </w:r>
      <w:r>
        <w:rPr>
          <w:rFonts w:ascii="Times New Roman" w:hAnsi="Times New Roman"/>
          <w:sz w:val="24"/>
          <w:lang w:val="zh-CN"/>
        </w:rPr>
        <w:t>，其烟气中二氧化硫排放浓度可控制到</w:t>
      </w:r>
      <w:r>
        <w:rPr>
          <w:rFonts w:ascii="Times New Roman" w:hAnsi="Times New Roman" w:hint="eastAsia"/>
          <w:sz w:val="24"/>
        </w:rPr>
        <w:t>100</w:t>
      </w:r>
      <w:r>
        <w:rPr>
          <w:rFonts w:ascii="Times New Roman" w:hAnsi="Times New Roman"/>
          <w:sz w:val="24"/>
          <w:lang w:val="zh-CN"/>
        </w:rPr>
        <w:t>mg/m</w:t>
      </w:r>
      <w:r>
        <w:rPr>
          <w:rFonts w:ascii="Times New Roman" w:hAnsi="Times New Roman"/>
          <w:sz w:val="24"/>
          <w:vertAlign w:val="superscript"/>
          <w:lang w:val="zh-CN"/>
        </w:rPr>
        <w:t>3</w:t>
      </w:r>
      <w:r>
        <w:rPr>
          <w:rFonts w:ascii="Times New Roman" w:hAnsi="Times New Roman"/>
          <w:sz w:val="24"/>
          <w:lang w:val="zh-CN"/>
        </w:rPr>
        <w:t>、氮氧化物排放浓度可控制</w:t>
      </w:r>
      <w:r>
        <w:rPr>
          <w:rFonts w:ascii="Times New Roman" w:hAnsi="Times New Roman"/>
          <w:sz w:val="24"/>
        </w:rPr>
        <w:t>150</w:t>
      </w:r>
      <w:r>
        <w:rPr>
          <w:rFonts w:ascii="Times New Roman" w:hAnsi="Times New Roman"/>
          <w:sz w:val="24"/>
          <w:lang w:val="zh-CN"/>
        </w:rPr>
        <w:t>mg/m</w:t>
      </w:r>
      <w:r>
        <w:rPr>
          <w:rFonts w:ascii="Times New Roman" w:hAnsi="Times New Roman"/>
          <w:sz w:val="24"/>
          <w:vertAlign w:val="superscript"/>
          <w:lang w:val="zh-CN"/>
        </w:rPr>
        <w:t>3</w:t>
      </w:r>
      <w:r>
        <w:rPr>
          <w:rFonts w:ascii="Times New Roman" w:hAnsi="Times New Roman"/>
          <w:sz w:val="24"/>
          <w:lang w:val="zh-CN"/>
        </w:rPr>
        <w:t>、烟尘排放浓度可控制</w:t>
      </w:r>
      <w:r>
        <w:rPr>
          <w:rFonts w:ascii="Times New Roman" w:hAnsi="Times New Roman"/>
          <w:sz w:val="24"/>
          <w:lang w:val="zh-CN"/>
        </w:rPr>
        <w:t>20mg/m</w:t>
      </w:r>
      <w:r>
        <w:rPr>
          <w:rFonts w:ascii="Times New Roman" w:hAnsi="Times New Roman"/>
          <w:sz w:val="24"/>
          <w:vertAlign w:val="superscript"/>
          <w:lang w:val="zh-CN"/>
        </w:rPr>
        <w:t>3</w:t>
      </w:r>
      <w:r>
        <w:rPr>
          <w:rFonts w:ascii="Times New Roman" w:hAnsi="Times New Roman"/>
          <w:sz w:val="24"/>
          <w:lang w:val="zh-CN"/>
        </w:rPr>
        <w:t>，可达到</w:t>
      </w:r>
      <w:r>
        <w:rPr>
          <w:rFonts w:ascii="Times New Roman" w:hAnsi="Times New Roman"/>
          <w:sz w:val="24"/>
        </w:rPr>
        <w:t>《石油炼制工业污染物排放标准》中</w:t>
      </w:r>
      <w:r>
        <w:rPr>
          <w:rFonts w:ascii="Times New Roman" w:hAnsi="Times New Roman"/>
          <w:sz w:val="24"/>
        </w:rPr>
        <w:t>“</w:t>
      </w:r>
      <w:r>
        <w:rPr>
          <w:rFonts w:ascii="Times New Roman" w:hAnsi="Times New Roman"/>
          <w:sz w:val="24"/>
        </w:rPr>
        <w:t>表</w:t>
      </w:r>
      <w:r>
        <w:rPr>
          <w:rFonts w:ascii="Times New Roman" w:hAnsi="Times New Roman"/>
          <w:sz w:val="24"/>
        </w:rPr>
        <w:t xml:space="preserve">3 </w:t>
      </w:r>
      <w:r>
        <w:rPr>
          <w:rFonts w:ascii="Times New Roman" w:hAnsi="Times New Roman"/>
          <w:sz w:val="24"/>
        </w:rPr>
        <w:t>大气污染物排放限值</w:t>
      </w:r>
      <w:r>
        <w:rPr>
          <w:rFonts w:ascii="Times New Roman" w:hAnsi="Times New Roman"/>
          <w:sz w:val="24"/>
        </w:rPr>
        <w:t>”</w:t>
      </w:r>
      <w:r>
        <w:rPr>
          <w:rFonts w:ascii="Times New Roman" w:hAnsi="Times New Roman"/>
          <w:sz w:val="24"/>
        </w:rPr>
        <w:t>的规定，</w:t>
      </w:r>
      <w:r>
        <w:rPr>
          <w:rFonts w:ascii="Times New Roman" w:hAnsi="Times New Roman"/>
          <w:snapToGrid w:val="0"/>
          <w:sz w:val="24"/>
        </w:rPr>
        <w:t>因此，本项目采用的废气污染防治措施是可行的。</w:t>
      </w:r>
    </w:p>
    <w:p w:rsidR="00525419" w:rsidRDefault="00EE1CF7">
      <w:pPr>
        <w:spacing w:line="460" w:lineRule="exact"/>
        <w:ind w:firstLineChars="200" w:firstLine="480"/>
        <w:rPr>
          <w:rFonts w:ascii="Times New Roman" w:hAnsi="Times New Roman"/>
          <w:sz w:val="24"/>
          <w:szCs w:val="24"/>
        </w:rPr>
      </w:pPr>
      <w:r>
        <w:rPr>
          <w:rFonts w:ascii="Times New Roman" w:hAnsi="Times New Roman" w:hint="eastAsia"/>
          <w:kern w:val="0"/>
          <w:sz w:val="24"/>
        </w:rPr>
        <w:t>（</w:t>
      </w:r>
      <w:r>
        <w:rPr>
          <w:rFonts w:ascii="Times New Roman" w:hAnsi="Times New Roman" w:hint="eastAsia"/>
          <w:kern w:val="0"/>
          <w:sz w:val="24"/>
        </w:rPr>
        <w:t>2</w:t>
      </w:r>
      <w:r>
        <w:rPr>
          <w:rFonts w:ascii="Times New Roman" w:hAnsi="Times New Roman" w:hint="eastAsia"/>
          <w:kern w:val="0"/>
          <w:sz w:val="24"/>
        </w:rPr>
        <w:t>）</w:t>
      </w:r>
      <w:r>
        <w:rPr>
          <w:rFonts w:ascii="Times New Roman" w:hAnsi="Times New Roman"/>
          <w:sz w:val="24"/>
          <w:szCs w:val="24"/>
        </w:rPr>
        <w:t>储罐和装卸系统油气</w:t>
      </w:r>
    </w:p>
    <w:p w:rsidR="00525419" w:rsidRDefault="00EE1CF7">
      <w:pPr>
        <w:spacing w:line="460" w:lineRule="exact"/>
        <w:ind w:firstLineChars="200" w:firstLine="480"/>
        <w:rPr>
          <w:rFonts w:ascii="Times New Roman" w:hAnsi="Times New Roman"/>
          <w:sz w:val="24"/>
          <w:szCs w:val="24"/>
        </w:rPr>
      </w:pPr>
      <w:r>
        <w:rPr>
          <w:rFonts w:ascii="Times New Roman" w:hAnsi="Times New Roman"/>
          <w:sz w:val="24"/>
          <w:lang w:val="zh-CN"/>
        </w:rPr>
        <w:t>现厂区</w:t>
      </w:r>
      <w:r>
        <w:rPr>
          <w:rFonts w:ascii="Times New Roman" w:hAnsi="Times New Roman"/>
          <w:sz w:val="24"/>
          <w:szCs w:val="24"/>
        </w:rPr>
        <w:t>在装卸区、储罐区已经建设了</w:t>
      </w:r>
      <w:r>
        <w:rPr>
          <w:rFonts w:ascii="Times New Roman" w:hAnsi="Times New Roman"/>
          <w:sz w:val="24"/>
          <w:szCs w:val="24"/>
        </w:rPr>
        <w:t>3</w:t>
      </w:r>
      <w:r>
        <w:rPr>
          <w:rFonts w:ascii="Times New Roman" w:hAnsi="Times New Roman"/>
          <w:sz w:val="24"/>
          <w:szCs w:val="24"/>
        </w:rPr>
        <w:t>套油气回收设施，处理规模分别为</w:t>
      </w:r>
      <w:r>
        <w:rPr>
          <w:rFonts w:ascii="Times New Roman" w:hAnsi="Times New Roman"/>
          <w:sz w:val="24"/>
          <w:szCs w:val="24"/>
        </w:rPr>
        <w:t>400m</w:t>
      </w:r>
      <w:r>
        <w:rPr>
          <w:rFonts w:ascii="Times New Roman" w:hAnsi="Times New Roman"/>
          <w:sz w:val="24"/>
          <w:szCs w:val="24"/>
          <w:vertAlign w:val="superscript"/>
        </w:rPr>
        <w:t>3</w:t>
      </w:r>
      <w:r>
        <w:rPr>
          <w:rFonts w:ascii="Times New Roman" w:hAnsi="Times New Roman"/>
          <w:sz w:val="24"/>
          <w:szCs w:val="24"/>
        </w:rPr>
        <w:t>/h</w:t>
      </w:r>
      <w:r>
        <w:rPr>
          <w:rFonts w:ascii="Times New Roman" w:hAnsi="Times New Roman"/>
          <w:sz w:val="24"/>
          <w:szCs w:val="24"/>
        </w:rPr>
        <w:t>、</w:t>
      </w:r>
      <w:r>
        <w:rPr>
          <w:rFonts w:ascii="Times New Roman" w:hAnsi="Times New Roman"/>
          <w:sz w:val="24"/>
          <w:szCs w:val="24"/>
        </w:rPr>
        <w:t>2000m</w:t>
      </w:r>
      <w:r>
        <w:rPr>
          <w:rFonts w:ascii="Times New Roman" w:hAnsi="Times New Roman"/>
          <w:sz w:val="24"/>
          <w:szCs w:val="24"/>
          <w:vertAlign w:val="superscript"/>
        </w:rPr>
        <w:t>3</w:t>
      </w:r>
      <w:r>
        <w:rPr>
          <w:rFonts w:ascii="Times New Roman" w:hAnsi="Times New Roman"/>
          <w:sz w:val="24"/>
          <w:szCs w:val="24"/>
        </w:rPr>
        <w:t>/h</w:t>
      </w:r>
      <w:r>
        <w:rPr>
          <w:rFonts w:ascii="Times New Roman" w:hAnsi="Times New Roman"/>
          <w:sz w:val="24"/>
          <w:szCs w:val="24"/>
        </w:rPr>
        <w:t>、</w:t>
      </w:r>
      <w:r>
        <w:rPr>
          <w:rFonts w:ascii="Times New Roman" w:hAnsi="Times New Roman"/>
          <w:sz w:val="24"/>
          <w:szCs w:val="24"/>
        </w:rPr>
        <w:t>900m</w:t>
      </w:r>
      <w:r>
        <w:rPr>
          <w:rFonts w:ascii="Times New Roman" w:hAnsi="Times New Roman"/>
          <w:sz w:val="24"/>
          <w:szCs w:val="24"/>
          <w:vertAlign w:val="superscript"/>
        </w:rPr>
        <w:t>3</w:t>
      </w:r>
      <w:r>
        <w:rPr>
          <w:rFonts w:ascii="Times New Roman" w:hAnsi="Times New Roman"/>
          <w:sz w:val="24"/>
          <w:szCs w:val="24"/>
        </w:rPr>
        <w:t>/h</w:t>
      </w:r>
      <w:r>
        <w:rPr>
          <w:rFonts w:ascii="Times New Roman" w:hAnsi="Times New Roman"/>
          <w:sz w:val="24"/>
          <w:szCs w:val="24"/>
        </w:rPr>
        <w:t>，排气筒高度</w:t>
      </w:r>
      <w:r>
        <w:rPr>
          <w:rFonts w:ascii="Times New Roman" w:hAnsi="Times New Roman"/>
          <w:sz w:val="24"/>
          <w:szCs w:val="24"/>
        </w:rPr>
        <w:t>15m</w:t>
      </w:r>
      <w:r>
        <w:rPr>
          <w:rFonts w:ascii="Times New Roman" w:hAnsi="Times New Roman"/>
          <w:sz w:val="24"/>
          <w:szCs w:val="24"/>
        </w:rPr>
        <w:t>，采取冷凝</w:t>
      </w:r>
      <w:r>
        <w:rPr>
          <w:rFonts w:ascii="Times New Roman" w:hAnsi="Times New Roman"/>
          <w:sz w:val="24"/>
          <w:szCs w:val="24"/>
        </w:rPr>
        <w:t>-</w:t>
      </w:r>
      <w:r>
        <w:rPr>
          <w:rFonts w:ascii="Times New Roman" w:hAnsi="Times New Roman"/>
          <w:sz w:val="24"/>
          <w:szCs w:val="24"/>
        </w:rPr>
        <w:t>活性炭吸附油气回收</w:t>
      </w:r>
      <w:r>
        <w:rPr>
          <w:rFonts w:ascii="Times New Roman" w:hAnsi="Times New Roman"/>
          <w:sz w:val="24"/>
          <w:szCs w:val="24"/>
        </w:rPr>
        <w:lastRenderedPageBreak/>
        <w:t>工艺。</w:t>
      </w:r>
    </w:p>
    <w:p w:rsidR="00525419" w:rsidRDefault="00EE1CF7">
      <w:pPr>
        <w:spacing w:line="460" w:lineRule="exact"/>
        <w:ind w:firstLineChars="200" w:firstLine="480"/>
        <w:rPr>
          <w:rFonts w:ascii="Times New Roman" w:hAnsi="Times New Roman"/>
          <w:kern w:val="0"/>
          <w:sz w:val="24"/>
          <w:szCs w:val="24"/>
        </w:rPr>
      </w:pPr>
      <w:r>
        <w:rPr>
          <w:rFonts w:ascii="Times New Roman" w:hAnsi="Times New Roman"/>
          <w:kern w:val="0"/>
          <w:sz w:val="24"/>
          <w:szCs w:val="24"/>
        </w:rPr>
        <w:t>从上世纪</w:t>
      </w:r>
      <w:r>
        <w:rPr>
          <w:rFonts w:ascii="Times New Roman" w:hAnsi="Times New Roman"/>
          <w:kern w:val="0"/>
          <w:sz w:val="24"/>
          <w:szCs w:val="24"/>
        </w:rPr>
        <w:t>70</w:t>
      </w:r>
      <w:r>
        <w:rPr>
          <w:rFonts w:ascii="Times New Roman" w:hAnsi="Times New Roman"/>
          <w:kern w:val="0"/>
          <w:sz w:val="24"/>
          <w:szCs w:val="24"/>
        </w:rPr>
        <w:t>年代开始，世界范围内油气回收技术在不断研究和使用中发展、提高、完善。到目前为止，应用较多的有吸收法、吸附法、冷凝法、直接燃烧法、膜分离法等技术。各种油气回收技术方案比选情况详见表</w:t>
      </w:r>
      <w:r>
        <w:rPr>
          <w:rFonts w:ascii="Times New Roman" w:hAnsi="Times New Roman"/>
          <w:kern w:val="0"/>
          <w:sz w:val="24"/>
          <w:szCs w:val="24"/>
        </w:rPr>
        <w:t>6.1-1</w:t>
      </w:r>
      <w:r>
        <w:rPr>
          <w:rFonts w:ascii="Times New Roman" w:hAnsi="Times New Roman"/>
          <w:kern w:val="0"/>
          <w:sz w:val="24"/>
          <w:szCs w:val="24"/>
        </w:rPr>
        <w:t>。</w:t>
      </w:r>
    </w:p>
    <w:p w:rsidR="00525419" w:rsidRDefault="00EE1CF7">
      <w:pPr>
        <w:spacing w:line="480" w:lineRule="exact"/>
        <w:ind w:firstLineChars="900" w:firstLine="1890"/>
        <w:rPr>
          <w:rFonts w:ascii="Times New Roman" w:hAnsi="Times New Roman"/>
          <w:kern w:val="0"/>
          <w:sz w:val="24"/>
          <w:szCs w:val="24"/>
        </w:rPr>
      </w:pPr>
      <w:r>
        <w:rPr>
          <w:rFonts w:ascii="Times New Roman" w:eastAsia="黑体" w:hAnsi="Times New Roman"/>
          <w:szCs w:val="21"/>
        </w:rPr>
        <w:t>表</w:t>
      </w:r>
      <w:r>
        <w:rPr>
          <w:rFonts w:ascii="Times New Roman" w:eastAsia="黑体" w:hAnsi="Times New Roman"/>
          <w:szCs w:val="21"/>
        </w:rPr>
        <w:t xml:space="preserve">6.1-1            </w:t>
      </w:r>
      <w:r>
        <w:rPr>
          <w:rFonts w:ascii="Times New Roman" w:eastAsia="黑体" w:hAnsi="Times New Roman"/>
          <w:szCs w:val="21"/>
        </w:rPr>
        <w:t>油气回收技术方案比选情况表</w:t>
      </w:r>
    </w:p>
    <w:tbl>
      <w:tblPr>
        <w:tblW w:w="852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38"/>
        <w:gridCol w:w="2914"/>
        <w:gridCol w:w="3071"/>
        <w:gridCol w:w="1155"/>
        <w:gridCol w:w="644"/>
      </w:tblGrid>
      <w:tr w:rsidR="00525419">
        <w:trPr>
          <w:jc w:val="center"/>
        </w:trPr>
        <w:tc>
          <w:tcPr>
            <w:tcW w:w="738" w:type="dxa"/>
            <w:tcBorders>
              <w:tl2br w:val="nil"/>
              <w:tr2bl w:val="nil"/>
            </w:tcBorders>
            <w:vAlign w:val="center"/>
          </w:tcPr>
          <w:p w:rsidR="00525419" w:rsidRDefault="00EE1CF7">
            <w:pPr>
              <w:spacing w:line="360" w:lineRule="exact"/>
              <w:jc w:val="center"/>
              <w:rPr>
                <w:rFonts w:ascii="Times New Roman" w:hAnsi="Times New Roman"/>
                <w:kern w:val="0"/>
                <w:szCs w:val="21"/>
              </w:rPr>
            </w:pPr>
            <w:r>
              <w:rPr>
                <w:rFonts w:ascii="Times New Roman" w:hAnsi="Times New Roman"/>
                <w:kern w:val="0"/>
                <w:szCs w:val="21"/>
              </w:rPr>
              <w:t>项目名称</w:t>
            </w:r>
          </w:p>
        </w:tc>
        <w:tc>
          <w:tcPr>
            <w:tcW w:w="2914" w:type="dxa"/>
            <w:tcBorders>
              <w:tl2br w:val="nil"/>
              <w:tr2bl w:val="nil"/>
            </w:tcBorders>
            <w:vAlign w:val="center"/>
          </w:tcPr>
          <w:p w:rsidR="00525419" w:rsidRDefault="00EE1CF7">
            <w:pPr>
              <w:spacing w:line="360" w:lineRule="exact"/>
              <w:jc w:val="center"/>
              <w:rPr>
                <w:rFonts w:ascii="Times New Roman" w:hAnsi="Times New Roman"/>
                <w:kern w:val="0"/>
                <w:szCs w:val="21"/>
              </w:rPr>
            </w:pPr>
            <w:r>
              <w:rPr>
                <w:rFonts w:ascii="Times New Roman" w:hAnsi="Times New Roman"/>
                <w:kern w:val="0"/>
                <w:szCs w:val="21"/>
              </w:rPr>
              <w:t>工艺方法</w:t>
            </w:r>
          </w:p>
        </w:tc>
        <w:tc>
          <w:tcPr>
            <w:tcW w:w="3071" w:type="dxa"/>
            <w:tcBorders>
              <w:tl2br w:val="nil"/>
              <w:tr2bl w:val="nil"/>
            </w:tcBorders>
            <w:vAlign w:val="center"/>
          </w:tcPr>
          <w:p w:rsidR="00525419" w:rsidRDefault="00EE1CF7">
            <w:pPr>
              <w:spacing w:line="360" w:lineRule="exact"/>
              <w:jc w:val="center"/>
              <w:rPr>
                <w:rFonts w:ascii="Times New Roman" w:hAnsi="Times New Roman"/>
                <w:kern w:val="0"/>
                <w:szCs w:val="21"/>
              </w:rPr>
            </w:pPr>
            <w:r>
              <w:rPr>
                <w:rFonts w:ascii="Times New Roman" w:hAnsi="Times New Roman"/>
                <w:kern w:val="0"/>
                <w:szCs w:val="21"/>
              </w:rPr>
              <w:t>优缺点</w:t>
            </w:r>
          </w:p>
        </w:tc>
        <w:tc>
          <w:tcPr>
            <w:tcW w:w="1155" w:type="dxa"/>
            <w:tcBorders>
              <w:tl2br w:val="nil"/>
              <w:tr2bl w:val="nil"/>
            </w:tcBorders>
            <w:vAlign w:val="center"/>
          </w:tcPr>
          <w:p w:rsidR="00525419" w:rsidRDefault="00EE1CF7">
            <w:pPr>
              <w:spacing w:line="360" w:lineRule="exact"/>
              <w:jc w:val="center"/>
              <w:rPr>
                <w:rFonts w:ascii="Times New Roman" w:hAnsi="Times New Roman"/>
                <w:kern w:val="0"/>
                <w:szCs w:val="21"/>
              </w:rPr>
            </w:pPr>
            <w:r>
              <w:rPr>
                <w:rFonts w:ascii="Times New Roman" w:hAnsi="Times New Roman"/>
                <w:kern w:val="0"/>
                <w:szCs w:val="21"/>
              </w:rPr>
              <w:t>目前使用情况</w:t>
            </w:r>
          </w:p>
        </w:tc>
        <w:tc>
          <w:tcPr>
            <w:tcW w:w="644" w:type="dxa"/>
            <w:tcBorders>
              <w:tl2br w:val="nil"/>
              <w:tr2bl w:val="nil"/>
            </w:tcBorders>
            <w:vAlign w:val="center"/>
          </w:tcPr>
          <w:p w:rsidR="00525419" w:rsidRDefault="00EE1CF7">
            <w:pPr>
              <w:spacing w:line="360" w:lineRule="exact"/>
              <w:jc w:val="center"/>
              <w:rPr>
                <w:rFonts w:ascii="Times New Roman" w:hAnsi="Times New Roman"/>
                <w:kern w:val="0"/>
                <w:szCs w:val="21"/>
              </w:rPr>
            </w:pPr>
            <w:r>
              <w:rPr>
                <w:rFonts w:ascii="Times New Roman" w:hAnsi="Times New Roman"/>
                <w:kern w:val="0"/>
                <w:szCs w:val="21"/>
              </w:rPr>
              <w:t>相对投资</w:t>
            </w:r>
          </w:p>
        </w:tc>
      </w:tr>
      <w:tr w:rsidR="00525419">
        <w:trPr>
          <w:jc w:val="center"/>
        </w:trPr>
        <w:tc>
          <w:tcPr>
            <w:tcW w:w="738" w:type="dxa"/>
            <w:tcBorders>
              <w:tl2br w:val="nil"/>
              <w:tr2bl w:val="nil"/>
            </w:tcBorders>
            <w:vAlign w:val="center"/>
          </w:tcPr>
          <w:p w:rsidR="00525419" w:rsidRDefault="00EE1CF7">
            <w:pPr>
              <w:spacing w:line="360" w:lineRule="exact"/>
              <w:jc w:val="center"/>
              <w:rPr>
                <w:rFonts w:ascii="Times New Roman" w:hAnsi="Times New Roman"/>
                <w:kern w:val="0"/>
                <w:szCs w:val="21"/>
              </w:rPr>
            </w:pPr>
            <w:r>
              <w:rPr>
                <w:rFonts w:ascii="Times New Roman" w:hAnsi="Times New Roman"/>
                <w:kern w:val="0"/>
                <w:szCs w:val="21"/>
              </w:rPr>
              <w:t>吸收法</w:t>
            </w:r>
          </w:p>
        </w:tc>
        <w:tc>
          <w:tcPr>
            <w:tcW w:w="2914" w:type="dxa"/>
            <w:tcBorders>
              <w:tl2br w:val="nil"/>
              <w:tr2bl w:val="nil"/>
            </w:tcBorders>
            <w:vAlign w:val="center"/>
          </w:tcPr>
          <w:p w:rsidR="00525419" w:rsidRDefault="00EE1CF7">
            <w:pPr>
              <w:spacing w:line="360" w:lineRule="exact"/>
              <w:rPr>
                <w:rFonts w:ascii="Times New Roman" w:hAnsi="Times New Roman"/>
                <w:kern w:val="0"/>
                <w:szCs w:val="21"/>
              </w:rPr>
            </w:pPr>
            <w:r>
              <w:rPr>
                <w:rFonts w:ascii="Times New Roman" w:hAnsi="Times New Roman"/>
                <w:kern w:val="0"/>
                <w:szCs w:val="21"/>
              </w:rPr>
              <w:t>将含烃油气引入吸收塔，吸收剂与油气逆流接触，油气被吸收，吸收了油气的富吸收剂再经过解吸过程，解吸出来的油气再用油品进行回收。</w:t>
            </w:r>
          </w:p>
        </w:tc>
        <w:tc>
          <w:tcPr>
            <w:tcW w:w="3071" w:type="dxa"/>
            <w:tcBorders>
              <w:tl2br w:val="nil"/>
              <w:tr2bl w:val="nil"/>
            </w:tcBorders>
            <w:vAlign w:val="center"/>
          </w:tcPr>
          <w:p w:rsidR="00525419" w:rsidRDefault="00EE1CF7">
            <w:pPr>
              <w:spacing w:line="360" w:lineRule="exact"/>
              <w:rPr>
                <w:rFonts w:ascii="Times New Roman" w:hAnsi="Times New Roman"/>
                <w:kern w:val="0"/>
                <w:szCs w:val="21"/>
              </w:rPr>
            </w:pPr>
            <w:r>
              <w:rPr>
                <w:rFonts w:ascii="Times New Roman" w:hAnsi="Times New Roman"/>
                <w:kern w:val="0"/>
                <w:szCs w:val="21"/>
              </w:rPr>
              <w:t>处理后的净化气体中烃含量较高，油气回收率在</w:t>
            </w:r>
            <w:r>
              <w:rPr>
                <w:rFonts w:ascii="Times New Roman" w:hAnsi="Times New Roman"/>
                <w:kern w:val="0"/>
                <w:szCs w:val="21"/>
              </w:rPr>
              <w:t>95%</w:t>
            </w:r>
            <w:r>
              <w:rPr>
                <w:rFonts w:ascii="Times New Roman" w:hAnsi="Times New Roman"/>
                <w:kern w:val="0"/>
                <w:szCs w:val="21"/>
              </w:rPr>
              <w:t>左右。</w:t>
            </w:r>
          </w:p>
        </w:tc>
        <w:tc>
          <w:tcPr>
            <w:tcW w:w="1155" w:type="dxa"/>
            <w:tcBorders>
              <w:tl2br w:val="nil"/>
              <w:tr2bl w:val="nil"/>
            </w:tcBorders>
            <w:vAlign w:val="center"/>
          </w:tcPr>
          <w:p w:rsidR="00525419" w:rsidRDefault="00EE1CF7">
            <w:pPr>
              <w:spacing w:line="360" w:lineRule="exact"/>
              <w:rPr>
                <w:rFonts w:ascii="Times New Roman" w:hAnsi="Times New Roman"/>
                <w:kern w:val="0"/>
                <w:szCs w:val="21"/>
              </w:rPr>
            </w:pPr>
            <w:r>
              <w:rPr>
                <w:rFonts w:ascii="Times New Roman" w:hAnsi="Times New Roman"/>
                <w:kern w:val="0"/>
                <w:szCs w:val="21"/>
              </w:rPr>
              <w:t>目前已逐渐被其它方法取代。</w:t>
            </w:r>
          </w:p>
        </w:tc>
        <w:tc>
          <w:tcPr>
            <w:tcW w:w="644" w:type="dxa"/>
            <w:tcBorders>
              <w:tl2br w:val="nil"/>
              <w:tr2bl w:val="nil"/>
            </w:tcBorders>
            <w:vAlign w:val="center"/>
          </w:tcPr>
          <w:p w:rsidR="00525419" w:rsidRDefault="00EE1CF7">
            <w:pPr>
              <w:spacing w:line="360" w:lineRule="exact"/>
              <w:rPr>
                <w:rFonts w:ascii="Times New Roman" w:hAnsi="Times New Roman"/>
                <w:kern w:val="0"/>
                <w:szCs w:val="21"/>
              </w:rPr>
            </w:pPr>
            <w:r>
              <w:rPr>
                <w:rFonts w:ascii="Times New Roman" w:hAnsi="Times New Roman"/>
                <w:kern w:val="0"/>
                <w:szCs w:val="21"/>
              </w:rPr>
              <w:t>中</w:t>
            </w:r>
          </w:p>
        </w:tc>
      </w:tr>
      <w:tr w:rsidR="00525419">
        <w:trPr>
          <w:jc w:val="center"/>
        </w:trPr>
        <w:tc>
          <w:tcPr>
            <w:tcW w:w="738" w:type="dxa"/>
            <w:tcBorders>
              <w:tl2br w:val="nil"/>
              <w:tr2bl w:val="nil"/>
            </w:tcBorders>
            <w:vAlign w:val="center"/>
          </w:tcPr>
          <w:p w:rsidR="00525419" w:rsidRDefault="00EE1CF7">
            <w:pPr>
              <w:spacing w:line="360" w:lineRule="exact"/>
              <w:jc w:val="center"/>
              <w:rPr>
                <w:rFonts w:ascii="Times New Roman" w:hAnsi="Times New Roman"/>
                <w:kern w:val="0"/>
                <w:szCs w:val="21"/>
              </w:rPr>
            </w:pPr>
            <w:r>
              <w:rPr>
                <w:rFonts w:ascii="Times New Roman" w:hAnsi="Times New Roman"/>
                <w:kern w:val="0"/>
                <w:szCs w:val="21"/>
              </w:rPr>
              <w:t>直接燃烧法</w:t>
            </w:r>
          </w:p>
        </w:tc>
        <w:tc>
          <w:tcPr>
            <w:tcW w:w="2914" w:type="dxa"/>
            <w:tcBorders>
              <w:tl2br w:val="nil"/>
              <w:tr2bl w:val="nil"/>
            </w:tcBorders>
            <w:vAlign w:val="center"/>
          </w:tcPr>
          <w:p w:rsidR="00525419" w:rsidRDefault="00EE1CF7">
            <w:pPr>
              <w:spacing w:line="360" w:lineRule="exact"/>
              <w:rPr>
                <w:rFonts w:ascii="Times New Roman" w:hAnsi="Times New Roman"/>
                <w:kern w:val="0"/>
                <w:szCs w:val="21"/>
              </w:rPr>
            </w:pPr>
            <w:r>
              <w:rPr>
                <w:rFonts w:ascii="Times New Roman" w:hAnsi="Times New Roman"/>
                <w:kern w:val="0"/>
                <w:szCs w:val="21"/>
              </w:rPr>
              <w:t>将油气直接氧化燃烧，燃烧产生的二氧化碳、水和空气作为处理后的净化气体直接排放。</w:t>
            </w:r>
          </w:p>
        </w:tc>
        <w:tc>
          <w:tcPr>
            <w:tcW w:w="3071" w:type="dxa"/>
            <w:tcBorders>
              <w:tl2br w:val="nil"/>
              <w:tr2bl w:val="nil"/>
            </w:tcBorders>
            <w:vAlign w:val="center"/>
          </w:tcPr>
          <w:p w:rsidR="00525419" w:rsidRDefault="00EE1CF7">
            <w:pPr>
              <w:spacing w:line="360" w:lineRule="exact"/>
              <w:rPr>
                <w:rFonts w:ascii="Times New Roman" w:hAnsi="Times New Roman"/>
                <w:kern w:val="0"/>
                <w:szCs w:val="21"/>
              </w:rPr>
            </w:pPr>
            <w:r>
              <w:rPr>
                <w:rFonts w:ascii="Times New Roman" w:hAnsi="Times New Roman"/>
                <w:kern w:val="0"/>
                <w:szCs w:val="21"/>
              </w:rPr>
              <w:t>不能回收油品，也没有经济效益，只能作为一种油气排放的处理措施。</w:t>
            </w:r>
          </w:p>
        </w:tc>
        <w:tc>
          <w:tcPr>
            <w:tcW w:w="1155" w:type="dxa"/>
            <w:tcBorders>
              <w:tl2br w:val="nil"/>
              <w:tr2bl w:val="nil"/>
            </w:tcBorders>
            <w:vAlign w:val="center"/>
          </w:tcPr>
          <w:p w:rsidR="00525419" w:rsidRDefault="00EE1CF7">
            <w:pPr>
              <w:spacing w:line="360" w:lineRule="exact"/>
              <w:rPr>
                <w:rFonts w:ascii="Times New Roman" w:hAnsi="Times New Roman"/>
                <w:kern w:val="0"/>
                <w:szCs w:val="21"/>
              </w:rPr>
            </w:pPr>
            <w:r>
              <w:rPr>
                <w:rFonts w:ascii="Times New Roman" w:hAnsi="Times New Roman"/>
                <w:kern w:val="0"/>
                <w:szCs w:val="21"/>
              </w:rPr>
              <w:t>较少应用。</w:t>
            </w:r>
          </w:p>
        </w:tc>
        <w:tc>
          <w:tcPr>
            <w:tcW w:w="644" w:type="dxa"/>
            <w:tcBorders>
              <w:tl2br w:val="nil"/>
              <w:tr2bl w:val="nil"/>
            </w:tcBorders>
            <w:vAlign w:val="center"/>
          </w:tcPr>
          <w:p w:rsidR="00525419" w:rsidRDefault="00EE1CF7">
            <w:pPr>
              <w:spacing w:line="360" w:lineRule="exact"/>
              <w:rPr>
                <w:rFonts w:ascii="Times New Roman" w:hAnsi="Times New Roman"/>
                <w:kern w:val="0"/>
                <w:szCs w:val="21"/>
              </w:rPr>
            </w:pPr>
            <w:r>
              <w:rPr>
                <w:rFonts w:ascii="Times New Roman" w:hAnsi="Times New Roman"/>
                <w:kern w:val="0"/>
                <w:szCs w:val="21"/>
              </w:rPr>
              <w:t>小</w:t>
            </w:r>
          </w:p>
        </w:tc>
      </w:tr>
      <w:tr w:rsidR="00525419">
        <w:trPr>
          <w:jc w:val="center"/>
        </w:trPr>
        <w:tc>
          <w:tcPr>
            <w:tcW w:w="738" w:type="dxa"/>
            <w:tcBorders>
              <w:tl2br w:val="nil"/>
              <w:tr2bl w:val="nil"/>
            </w:tcBorders>
            <w:vAlign w:val="center"/>
          </w:tcPr>
          <w:p w:rsidR="00525419" w:rsidRDefault="00EE1CF7">
            <w:pPr>
              <w:spacing w:line="360" w:lineRule="exact"/>
              <w:jc w:val="center"/>
              <w:rPr>
                <w:rFonts w:ascii="Times New Roman" w:hAnsi="Times New Roman"/>
                <w:kern w:val="0"/>
                <w:szCs w:val="21"/>
              </w:rPr>
            </w:pPr>
            <w:r>
              <w:rPr>
                <w:rFonts w:ascii="Times New Roman" w:hAnsi="Times New Roman"/>
                <w:kern w:val="0"/>
                <w:szCs w:val="21"/>
              </w:rPr>
              <w:t>膜分离法</w:t>
            </w:r>
          </w:p>
        </w:tc>
        <w:tc>
          <w:tcPr>
            <w:tcW w:w="2914" w:type="dxa"/>
            <w:tcBorders>
              <w:tl2br w:val="nil"/>
              <w:tr2bl w:val="nil"/>
            </w:tcBorders>
            <w:vAlign w:val="center"/>
          </w:tcPr>
          <w:p w:rsidR="00525419" w:rsidRDefault="00EE1CF7">
            <w:pPr>
              <w:spacing w:line="360" w:lineRule="exact"/>
              <w:rPr>
                <w:rFonts w:ascii="Times New Roman" w:hAnsi="Times New Roman"/>
                <w:kern w:val="0"/>
                <w:szCs w:val="21"/>
              </w:rPr>
            </w:pPr>
            <w:r>
              <w:rPr>
                <w:rFonts w:ascii="Times New Roman" w:hAnsi="Times New Roman"/>
                <w:kern w:val="0"/>
                <w:szCs w:val="21"/>
              </w:rPr>
              <w:t>油气加压后送至膜分离器，在有机物选择性膜上，油气比空气具有更高的穿透性，含烃气体被分离成两股，一股富油气的穿透物流和一股贫油气的滞留物流。富油气物流中的油气再被油品吸收下来，贫油气的滞留物流作为净化气体排放。</w:t>
            </w:r>
          </w:p>
        </w:tc>
        <w:tc>
          <w:tcPr>
            <w:tcW w:w="3071" w:type="dxa"/>
            <w:tcBorders>
              <w:tl2br w:val="nil"/>
              <w:tr2bl w:val="nil"/>
            </w:tcBorders>
            <w:vAlign w:val="center"/>
          </w:tcPr>
          <w:p w:rsidR="00525419" w:rsidRDefault="00EE1CF7">
            <w:pPr>
              <w:spacing w:line="360" w:lineRule="exact"/>
              <w:rPr>
                <w:rFonts w:ascii="Times New Roman" w:hAnsi="Times New Roman"/>
                <w:kern w:val="0"/>
                <w:szCs w:val="21"/>
              </w:rPr>
            </w:pPr>
            <w:r>
              <w:rPr>
                <w:rFonts w:ascii="Times New Roman" w:hAnsi="Times New Roman"/>
                <w:kern w:val="0"/>
                <w:szCs w:val="21"/>
              </w:rPr>
              <w:t>较新的油气回收技术，其处理能力较小，成本相对较高，只有在排放要求十分严格时才采用。</w:t>
            </w:r>
          </w:p>
        </w:tc>
        <w:tc>
          <w:tcPr>
            <w:tcW w:w="1155" w:type="dxa"/>
            <w:tcBorders>
              <w:tl2br w:val="nil"/>
              <w:tr2bl w:val="nil"/>
            </w:tcBorders>
            <w:vAlign w:val="center"/>
          </w:tcPr>
          <w:p w:rsidR="00525419" w:rsidRDefault="00EE1CF7">
            <w:pPr>
              <w:spacing w:line="360" w:lineRule="exact"/>
              <w:rPr>
                <w:rFonts w:ascii="Times New Roman" w:hAnsi="Times New Roman"/>
                <w:kern w:val="0"/>
                <w:szCs w:val="21"/>
              </w:rPr>
            </w:pPr>
            <w:r>
              <w:rPr>
                <w:rFonts w:ascii="Times New Roman" w:hAnsi="Times New Roman"/>
                <w:kern w:val="0"/>
                <w:szCs w:val="21"/>
              </w:rPr>
              <w:t>较少应用。</w:t>
            </w:r>
          </w:p>
        </w:tc>
        <w:tc>
          <w:tcPr>
            <w:tcW w:w="644" w:type="dxa"/>
            <w:tcBorders>
              <w:tl2br w:val="nil"/>
              <w:tr2bl w:val="nil"/>
            </w:tcBorders>
            <w:vAlign w:val="center"/>
          </w:tcPr>
          <w:p w:rsidR="00525419" w:rsidRDefault="00EE1CF7">
            <w:pPr>
              <w:spacing w:line="360" w:lineRule="exact"/>
              <w:rPr>
                <w:rFonts w:ascii="Times New Roman" w:hAnsi="Times New Roman"/>
                <w:kern w:val="0"/>
                <w:szCs w:val="21"/>
              </w:rPr>
            </w:pPr>
            <w:r>
              <w:rPr>
                <w:rFonts w:ascii="Times New Roman" w:hAnsi="Times New Roman"/>
                <w:kern w:val="0"/>
                <w:szCs w:val="21"/>
              </w:rPr>
              <w:t>大</w:t>
            </w:r>
          </w:p>
        </w:tc>
      </w:tr>
      <w:tr w:rsidR="00525419">
        <w:trPr>
          <w:jc w:val="center"/>
        </w:trPr>
        <w:tc>
          <w:tcPr>
            <w:tcW w:w="738" w:type="dxa"/>
            <w:tcBorders>
              <w:tl2br w:val="nil"/>
              <w:tr2bl w:val="nil"/>
            </w:tcBorders>
            <w:vAlign w:val="center"/>
          </w:tcPr>
          <w:p w:rsidR="00525419" w:rsidRDefault="00EE1CF7">
            <w:pPr>
              <w:spacing w:line="360" w:lineRule="exact"/>
              <w:jc w:val="center"/>
              <w:rPr>
                <w:rFonts w:ascii="Times New Roman" w:hAnsi="Times New Roman"/>
                <w:kern w:val="0"/>
                <w:szCs w:val="21"/>
              </w:rPr>
            </w:pPr>
            <w:r>
              <w:rPr>
                <w:rFonts w:ascii="Times New Roman" w:hAnsi="Times New Roman"/>
                <w:kern w:val="0"/>
                <w:szCs w:val="21"/>
              </w:rPr>
              <w:t>吸附法</w:t>
            </w:r>
          </w:p>
        </w:tc>
        <w:tc>
          <w:tcPr>
            <w:tcW w:w="2914" w:type="dxa"/>
            <w:tcBorders>
              <w:tl2br w:val="nil"/>
              <w:tr2bl w:val="nil"/>
            </w:tcBorders>
            <w:vAlign w:val="center"/>
          </w:tcPr>
          <w:p w:rsidR="00525419" w:rsidRDefault="00EE1CF7">
            <w:pPr>
              <w:spacing w:line="360" w:lineRule="exact"/>
              <w:rPr>
                <w:rFonts w:ascii="Times New Roman" w:hAnsi="Times New Roman"/>
                <w:kern w:val="0"/>
                <w:szCs w:val="21"/>
              </w:rPr>
            </w:pPr>
            <w:r>
              <w:rPr>
                <w:rFonts w:ascii="Times New Roman" w:hAnsi="Times New Roman"/>
                <w:kern w:val="0"/>
                <w:szCs w:val="21"/>
              </w:rPr>
              <w:t>使油气通过充填吸附剂的吸附器，其中的烃类被吸附剂吸附。吸附过程在常温下进行，吸附达到一定的饱和度后，需进行再生。吸附剂再生可以采用蒸汽再生或减压再生，再生过程中脱附出的油气再用油品进行吸收。目前吸附剂一般选用活性炭。</w:t>
            </w:r>
          </w:p>
        </w:tc>
        <w:tc>
          <w:tcPr>
            <w:tcW w:w="3071" w:type="dxa"/>
            <w:tcBorders>
              <w:tl2br w:val="nil"/>
              <w:tr2bl w:val="nil"/>
            </w:tcBorders>
            <w:vAlign w:val="center"/>
          </w:tcPr>
          <w:p w:rsidR="00525419" w:rsidRDefault="00EE1CF7">
            <w:pPr>
              <w:spacing w:line="360" w:lineRule="exact"/>
              <w:rPr>
                <w:rFonts w:ascii="Times New Roman" w:hAnsi="Times New Roman"/>
                <w:kern w:val="0"/>
                <w:szCs w:val="21"/>
              </w:rPr>
            </w:pPr>
            <w:r>
              <w:rPr>
                <w:rFonts w:ascii="Times New Roman" w:hAnsi="Times New Roman"/>
                <w:kern w:val="0"/>
                <w:szCs w:val="21"/>
              </w:rPr>
              <w:t>回收效率高，即使对低浓度含烃气体仍有很强的吸附能力。适用于排放标准要求严格，用其他回收方法难以达到要求的含烃气体处理过程，常作为深度净化或最终控制手段。装置结构简单，易于维修、自动化程度高、工作可靠，特别适用于油品周转较为稳定的汽油油气回收。该法回收效率高，可达</w:t>
            </w:r>
            <w:r>
              <w:rPr>
                <w:rFonts w:ascii="Times New Roman" w:hAnsi="Times New Roman"/>
                <w:kern w:val="0"/>
                <w:szCs w:val="21"/>
              </w:rPr>
              <w:t>95%</w:t>
            </w:r>
            <w:r>
              <w:rPr>
                <w:rFonts w:ascii="Times New Roman" w:hAnsi="Times New Roman"/>
                <w:kern w:val="0"/>
                <w:szCs w:val="21"/>
              </w:rPr>
              <w:t>以上。</w:t>
            </w:r>
          </w:p>
        </w:tc>
        <w:tc>
          <w:tcPr>
            <w:tcW w:w="1155" w:type="dxa"/>
            <w:tcBorders>
              <w:tl2br w:val="nil"/>
              <w:tr2bl w:val="nil"/>
            </w:tcBorders>
            <w:vAlign w:val="center"/>
          </w:tcPr>
          <w:p w:rsidR="00525419" w:rsidRDefault="00EE1CF7">
            <w:pPr>
              <w:spacing w:line="360" w:lineRule="exact"/>
              <w:rPr>
                <w:rFonts w:ascii="Times New Roman" w:hAnsi="Times New Roman"/>
                <w:kern w:val="0"/>
                <w:szCs w:val="21"/>
              </w:rPr>
            </w:pPr>
            <w:r>
              <w:rPr>
                <w:rFonts w:ascii="Times New Roman" w:hAnsi="Times New Roman"/>
                <w:kern w:val="0"/>
                <w:szCs w:val="21"/>
              </w:rPr>
              <w:t>目前油气回收行业的主要流程之一，应用广泛。</w:t>
            </w:r>
          </w:p>
        </w:tc>
        <w:tc>
          <w:tcPr>
            <w:tcW w:w="644" w:type="dxa"/>
            <w:tcBorders>
              <w:tl2br w:val="nil"/>
              <w:tr2bl w:val="nil"/>
            </w:tcBorders>
            <w:vAlign w:val="center"/>
          </w:tcPr>
          <w:p w:rsidR="00525419" w:rsidRDefault="00EE1CF7">
            <w:pPr>
              <w:spacing w:line="360" w:lineRule="exact"/>
              <w:rPr>
                <w:rFonts w:ascii="Times New Roman" w:hAnsi="Times New Roman"/>
                <w:kern w:val="0"/>
                <w:szCs w:val="21"/>
              </w:rPr>
            </w:pPr>
            <w:r>
              <w:rPr>
                <w:rFonts w:ascii="Times New Roman" w:hAnsi="Times New Roman"/>
                <w:kern w:val="0"/>
                <w:szCs w:val="21"/>
              </w:rPr>
              <w:t>大</w:t>
            </w:r>
          </w:p>
        </w:tc>
      </w:tr>
      <w:tr w:rsidR="00525419">
        <w:trPr>
          <w:jc w:val="center"/>
        </w:trPr>
        <w:tc>
          <w:tcPr>
            <w:tcW w:w="738" w:type="dxa"/>
            <w:tcBorders>
              <w:tl2br w:val="nil"/>
              <w:tr2bl w:val="nil"/>
            </w:tcBorders>
            <w:vAlign w:val="center"/>
          </w:tcPr>
          <w:p w:rsidR="00525419" w:rsidRDefault="00EE1CF7">
            <w:pPr>
              <w:spacing w:line="360" w:lineRule="exact"/>
              <w:jc w:val="center"/>
              <w:rPr>
                <w:rFonts w:ascii="Times New Roman" w:hAnsi="Times New Roman"/>
                <w:kern w:val="0"/>
                <w:szCs w:val="21"/>
              </w:rPr>
            </w:pPr>
            <w:r>
              <w:rPr>
                <w:rFonts w:ascii="Times New Roman" w:hAnsi="Times New Roman"/>
                <w:kern w:val="0"/>
                <w:szCs w:val="21"/>
              </w:rPr>
              <w:t>直接冷凝法</w:t>
            </w:r>
          </w:p>
        </w:tc>
        <w:tc>
          <w:tcPr>
            <w:tcW w:w="2914" w:type="dxa"/>
            <w:tcBorders>
              <w:tl2br w:val="nil"/>
              <w:tr2bl w:val="nil"/>
            </w:tcBorders>
            <w:vAlign w:val="center"/>
          </w:tcPr>
          <w:p w:rsidR="00525419" w:rsidRDefault="00EE1CF7">
            <w:pPr>
              <w:spacing w:line="360" w:lineRule="exact"/>
              <w:rPr>
                <w:rFonts w:ascii="Times New Roman" w:hAnsi="Times New Roman"/>
                <w:kern w:val="0"/>
                <w:szCs w:val="21"/>
              </w:rPr>
            </w:pPr>
            <w:r>
              <w:rPr>
                <w:rFonts w:ascii="Times New Roman" w:hAnsi="Times New Roman"/>
                <w:kern w:val="0"/>
                <w:szCs w:val="21"/>
              </w:rPr>
              <w:t>将油气直接冷凝冷却。大部分烃类蒸汽的温度被降到其露点以下时，就可以变成液体而</w:t>
            </w:r>
            <w:r>
              <w:rPr>
                <w:rFonts w:ascii="Times New Roman" w:hAnsi="Times New Roman"/>
                <w:kern w:val="0"/>
                <w:szCs w:val="21"/>
              </w:rPr>
              <w:lastRenderedPageBreak/>
              <w:t>被回收，少量露点很低的油气和不凝的空气通过排放口排入环境空气。空气排放口烃类浓度，只能靠控制冷凝温度来实现。</w:t>
            </w:r>
          </w:p>
        </w:tc>
        <w:tc>
          <w:tcPr>
            <w:tcW w:w="3071" w:type="dxa"/>
            <w:tcBorders>
              <w:tl2br w:val="nil"/>
              <w:tr2bl w:val="nil"/>
            </w:tcBorders>
            <w:vAlign w:val="center"/>
          </w:tcPr>
          <w:p w:rsidR="00525419" w:rsidRDefault="00EE1CF7">
            <w:pPr>
              <w:spacing w:line="360" w:lineRule="exact"/>
              <w:rPr>
                <w:rFonts w:ascii="Times New Roman" w:hAnsi="Times New Roman"/>
                <w:kern w:val="0"/>
                <w:szCs w:val="21"/>
              </w:rPr>
            </w:pPr>
            <w:r>
              <w:rPr>
                <w:rFonts w:ascii="Times New Roman" w:hAnsi="Times New Roman"/>
                <w:kern w:val="0"/>
                <w:szCs w:val="21"/>
              </w:rPr>
              <w:lastRenderedPageBreak/>
              <w:t>工艺流程简单，但由于在低温下操作，对于制冷设备及装置选用的制造材料要求比较严格，操作</w:t>
            </w:r>
            <w:r>
              <w:rPr>
                <w:rFonts w:ascii="Times New Roman" w:hAnsi="Times New Roman"/>
                <w:kern w:val="0"/>
                <w:szCs w:val="21"/>
              </w:rPr>
              <w:lastRenderedPageBreak/>
              <w:t>要求、能耗及投资都比较高。该方法适用于回收高浓度油气及连续运行、负荷比较均衡的场合，否则经济效益就会下降。</w:t>
            </w:r>
          </w:p>
        </w:tc>
        <w:tc>
          <w:tcPr>
            <w:tcW w:w="1155" w:type="dxa"/>
            <w:tcBorders>
              <w:tl2br w:val="nil"/>
              <w:tr2bl w:val="nil"/>
            </w:tcBorders>
            <w:vAlign w:val="center"/>
          </w:tcPr>
          <w:p w:rsidR="00525419" w:rsidRDefault="00EE1CF7">
            <w:pPr>
              <w:spacing w:line="360" w:lineRule="exact"/>
              <w:rPr>
                <w:rFonts w:ascii="Times New Roman" w:hAnsi="Times New Roman"/>
                <w:kern w:val="0"/>
                <w:szCs w:val="21"/>
              </w:rPr>
            </w:pPr>
            <w:r>
              <w:rPr>
                <w:rFonts w:ascii="Times New Roman" w:hAnsi="Times New Roman"/>
                <w:kern w:val="0"/>
                <w:szCs w:val="21"/>
              </w:rPr>
              <w:lastRenderedPageBreak/>
              <w:t>在一定场合适用</w:t>
            </w:r>
          </w:p>
        </w:tc>
        <w:tc>
          <w:tcPr>
            <w:tcW w:w="644" w:type="dxa"/>
            <w:tcBorders>
              <w:tl2br w:val="nil"/>
              <w:tr2bl w:val="nil"/>
            </w:tcBorders>
            <w:vAlign w:val="center"/>
          </w:tcPr>
          <w:p w:rsidR="00525419" w:rsidRDefault="00EE1CF7">
            <w:pPr>
              <w:spacing w:line="360" w:lineRule="exact"/>
              <w:rPr>
                <w:rFonts w:ascii="Times New Roman" w:hAnsi="Times New Roman"/>
                <w:kern w:val="0"/>
                <w:szCs w:val="21"/>
              </w:rPr>
            </w:pPr>
            <w:r>
              <w:rPr>
                <w:rFonts w:ascii="Times New Roman" w:hAnsi="Times New Roman"/>
                <w:kern w:val="0"/>
                <w:szCs w:val="21"/>
              </w:rPr>
              <w:t>中</w:t>
            </w:r>
          </w:p>
        </w:tc>
      </w:tr>
    </w:tbl>
    <w:p w:rsidR="00525419" w:rsidRDefault="00EE1CF7">
      <w:pPr>
        <w:pStyle w:val="1ffffa"/>
        <w:rPr>
          <w:rFonts w:cs="Times New Roman"/>
          <w:kern w:val="2"/>
        </w:rPr>
      </w:pPr>
      <w:r>
        <w:rPr>
          <w:rFonts w:cs="Times New Roman"/>
          <w:kern w:val="2"/>
        </w:rPr>
        <w:t>现厂区油气回收设施采用</w:t>
      </w:r>
      <w:r>
        <w:rPr>
          <w:rFonts w:cs="Times New Roman"/>
          <w:kern w:val="2"/>
        </w:rPr>
        <w:t>“</w:t>
      </w:r>
      <w:r>
        <w:rPr>
          <w:rFonts w:cs="Times New Roman"/>
          <w:kern w:val="2"/>
        </w:rPr>
        <w:t>冷凝</w:t>
      </w:r>
      <w:r>
        <w:rPr>
          <w:rFonts w:cs="Times New Roman"/>
          <w:kern w:val="2"/>
        </w:rPr>
        <w:t>-</w:t>
      </w:r>
      <w:r>
        <w:rPr>
          <w:rFonts w:cs="Times New Roman"/>
          <w:kern w:val="2"/>
        </w:rPr>
        <w:t>活性炭吸附</w:t>
      </w:r>
      <w:r>
        <w:rPr>
          <w:rFonts w:cs="Times New Roman"/>
          <w:kern w:val="2"/>
        </w:rPr>
        <w:t>”</w:t>
      </w:r>
      <w:r>
        <w:rPr>
          <w:rFonts w:cs="Times New Roman"/>
          <w:kern w:val="2"/>
        </w:rPr>
        <w:t>二效复叠的成熟工艺技术。根据表</w:t>
      </w:r>
      <w:r>
        <w:rPr>
          <w:rFonts w:cs="Times New Roman"/>
          <w:kern w:val="2"/>
        </w:rPr>
        <w:t>6.1-1</w:t>
      </w:r>
      <w:r>
        <w:rPr>
          <w:rFonts w:cs="Times New Roman"/>
          <w:kern w:val="2"/>
        </w:rPr>
        <w:t>的对比分析，选用的</w:t>
      </w:r>
      <w:r>
        <w:rPr>
          <w:rFonts w:cs="Times New Roman"/>
          <w:kern w:val="2"/>
        </w:rPr>
        <w:t>“</w:t>
      </w:r>
      <w:r>
        <w:rPr>
          <w:rFonts w:cs="Times New Roman"/>
          <w:kern w:val="2"/>
        </w:rPr>
        <w:t>冷凝</w:t>
      </w:r>
      <w:r>
        <w:rPr>
          <w:rFonts w:cs="Times New Roman"/>
          <w:kern w:val="2"/>
        </w:rPr>
        <w:t>-</w:t>
      </w:r>
      <w:r>
        <w:rPr>
          <w:rFonts w:cs="Times New Roman"/>
          <w:kern w:val="2"/>
        </w:rPr>
        <w:t>活性炭吸附</w:t>
      </w:r>
      <w:r>
        <w:rPr>
          <w:rFonts w:cs="Times New Roman"/>
          <w:kern w:val="2"/>
        </w:rPr>
        <w:t>”</w:t>
      </w:r>
      <w:r>
        <w:rPr>
          <w:rFonts w:cs="Times New Roman"/>
          <w:kern w:val="2"/>
        </w:rPr>
        <w:t>二效复叠工艺技术可使油气回收效率达</w:t>
      </w:r>
      <w:r>
        <w:rPr>
          <w:rFonts w:cs="Times New Roman"/>
          <w:kern w:val="2"/>
        </w:rPr>
        <w:t>98%</w:t>
      </w:r>
      <w:r>
        <w:rPr>
          <w:rFonts w:cs="Times New Roman"/>
          <w:kern w:val="2"/>
        </w:rPr>
        <w:t>，较好的控制油气挥发损失，有效防止烃类废气的装卸挥发，为较好的油气回收处理方案，可以满足</w:t>
      </w:r>
      <w:r>
        <w:rPr>
          <w:rFonts w:cs="Times New Roman"/>
        </w:rPr>
        <w:t>《石油炼制工业污染物排放标准》</w:t>
      </w:r>
      <w:r>
        <w:rPr>
          <w:rFonts w:cs="Times New Roman"/>
          <w:kern w:val="2"/>
        </w:rPr>
        <w:t>（</w:t>
      </w:r>
      <w:r>
        <w:rPr>
          <w:rFonts w:cs="Times New Roman"/>
          <w:kern w:val="2"/>
        </w:rPr>
        <w:t>GB31570-2015</w:t>
      </w:r>
      <w:r>
        <w:rPr>
          <w:rFonts w:cs="Times New Roman"/>
          <w:kern w:val="2"/>
        </w:rPr>
        <w:t>）表</w:t>
      </w:r>
      <w:r>
        <w:rPr>
          <w:rFonts w:cs="Times New Roman"/>
          <w:kern w:val="2"/>
        </w:rPr>
        <w:t>3</w:t>
      </w:r>
      <w:r>
        <w:rPr>
          <w:rFonts w:cs="Times New Roman"/>
          <w:kern w:val="2"/>
        </w:rPr>
        <w:t>有机废气排放口非甲烷总烃去除效率</w:t>
      </w:r>
      <w:r>
        <w:rPr>
          <w:rFonts w:cs="Times New Roman"/>
          <w:kern w:val="2"/>
        </w:rPr>
        <w:t>≥95%</w:t>
      </w:r>
      <w:r>
        <w:rPr>
          <w:rFonts w:cs="Times New Roman"/>
          <w:kern w:val="2"/>
        </w:rPr>
        <w:t>的要求。</w:t>
      </w:r>
    </w:p>
    <w:p w:rsidR="00525419" w:rsidRDefault="00EE1CF7">
      <w:pPr>
        <w:pStyle w:val="1ffffa"/>
        <w:rPr>
          <w:rFonts w:cs="Times New Roman"/>
          <w:lang w:val="zh-CN"/>
        </w:rPr>
      </w:pPr>
      <w:r>
        <w:rPr>
          <w:rFonts w:cs="Times New Roman"/>
          <w:kern w:val="2"/>
        </w:rPr>
        <w:t>此种方法目前在国内建设有多套装置，根据目前的装置运行情况，</w:t>
      </w:r>
      <w:r>
        <w:rPr>
          <w:rFonts w:cs="Times New Roman"/>
        </w:rPr>
        <w:t>措施经济合理、安全可靠，综合考虑技术经济和环境保护，合理可行</w:t>
      </w:r>
      <w:r>
        <w:rPr>
          <w:rFonts w:cs="Times New Roman"/>
          <w:kern w:val="2"/>
        </w:rPr>
        <w:t>。</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6.1.1.2</w:t>
      </w:r>
      <w:r>
        <w:rPr>
          <w:rFonts w:ascii="Times New Roman" w:hAnsi="Times New Roman" w:cs="Times New Roman"/>
          <w:kern w:val="44"/>
          <w:sz w:val="24"/>
          <w:szCs w:val="24"/>
        </w:rPr>
        <w:t>酸性气处理</w:t>
      </w:r>
    </w:p>
    <w:p w:rsidR="00525419" w:rsidRDefault="00EE1CF7">
      <w:pPr>
        <w:autoSpaceDE w:val="0"/>
        <w:autoSpaceDN w:val="0"/>
        <w:adjustRightInd w:val="0"/>
        <w:spacing w:line="360" w:lineRule="auto"/>
        <w:ind w:firstLineChars="200" w:firstLine="480"/>
        <w:rPr>
          <w:rFonts w:ascii="Times New Roman" w:hAnsi="Times New Roman"/>
          <w:sz w:val="24"/>
          <w:lang w:val="zh-CN"/>
        </w:rPr>
      </w:pPr>
      <w:r>
        <w:rPr>
          <w:rFonts w:ascii="Times New Roman" w:hAnsi="Times New Roman"/>
          <w:sz w:val="24"/>
          <w:lang w:val="zh-CN"/>
        </w:rPr>
        <w:t>本项目酸性气主要来自酸性水汽提装置和溶剂再生装置，酸性气体主要污染物为硫化氢，采用酸性气燃烧炉</w:t>
      </w:r>
      <w:r>
        <w:rPr>
          <w:rFonts w:ascii="Times New Roman" w:hAnsi="Times New Roman"/>
          <w:sz w:val="24"/>
          <w:lang w:val="zh-CN"/>
        </w:rPr>
        <w:t>+</w:t>
      </w:r>
      <w:r>
        <w:rPr>
          <w:rFonts w:ascii="Times New Roman" w:hAnsi="Times New Roman"/>
          <w:sz w:val="24"/>
          <w:lang w:val="zh-CN"/>
        </w:rPr>
        <w:t>二级克劳斯制硫。国类目前对含硫化氢的酸性气无害化有两种途径，一是制成硫磺进行回收</w:t>
      </w:r>
      <w:r>
        <w:rPr>
          <w:rFonts w:ascii="Times New Roman" w:hAnsi="Times New Roman"/>
          <w:sz w:val="24"/>
          <w:lang w:val="zh-CN"/>
        </w:rPr>
        <w:t>(</w:t>
      </w:r>
      <w:r>
        <w:rPr>
          <w:rFonts w:ascii="Times New Roman" w:hAnsi="Times New Roman"/>
          <w:sz w:val="24"/>
          <w:lang w:val="zh-CN"/>
        </w:rPr>
        <w:t>国类一般采用克劳斯工艺从硫化氢制取硫磺</w:t>
      </w:r>
      <w:r>
        <w:rPr>
          <w:rFonts w:ascii="Times New Roman" w:hAnsi="Times New Roman"/>
          <w:sz w:val="24"/>
          <w:lang w:val="zh-CN"/>
        </w:rPr>
        <w:t>)</w:t>
      </w:r>
      <w:r>
        <w:rPr>
          <w:rFonts w:ascii="Times New Roman" w:hAnsi="Times New Roman"/>
          <w:sz w:val="24"/>
          <w:lang w:val="zh-CN"/>
        </w:rPr>
        <w:t>，二是直接制成硫酸进行回收。</w:t>
      </w:r>
    </w:p>
    <w:p w:rsidR="00525419" w:rsidRDefault="00EE1CF7">
      <w:pPr>
        <w:autoSpaceDE w:val="0"/>
        <w:autoSpaceDN w:val="0"/>
        <w:adjustRightInd w:val="0"/>
        <w:spacing w:line="360" w:lineRule="auto"/>
        <w:ind w:firstLineChars="200" w:firstLine="480"/>
        <w:rPr>
          <w:rFonts w:ascii="Times New Roman" w:hAnsi="Times New Roman"/>
          <w:sz w:val="24"/>
          <w:lang w:val="zh-CN"/>
        </w:rPr>
      </w:pPr>
      <w:r>
        <w:rPr>
          <w:rFonts w:ascii="Times New Roman" w:hAnsi="Times New Roman"/>
          <w:sz w:val="24"/>
          <w:lang w:val="zh-CN"/>
        </w:rPr>
        <w:t>克劳斯工艺根据酸性气中硫化氢含量的高低不同，主要有部分燃烧法、分流化和直接氧化法。为了提高克劳斯制硫工艺的总硫回收率，克劳斯工艺从常规的克劳斯法发展到二级转化克劳斯法、二级转化</w:t>
      </w:r>
      <w:r>
        <w:rPr>
          <w:rFonts w:ascii="Times New Roman" w:hAnsi="Times New Roman"/>
          <w:sz w:val="24"/>
          <w:lang w:val="zh-CN"/>
        </w:rPr>
        <w:t>+</w:t>
      </w:r>
      <w:r>
        <w:rPr>
          <w:rFonts w:ascii="Times New Roman" w:hAnsi="Times New Roman"/>
          <w:sz w:val="24"/>
          <w:lang w:val="zh-CN"/>
        </w:rPr>
        <w:t>超级克劳斯法、二级转化</w:t>
      </w:r>
      <w:r>
        <w:rPr>
          <w:rFonts w:ascii="Times New Roman" w:hAnsi="Times New Roman"/>
          <w:sz w:val="24"/>
          <w:lang w:val="zh-CN"/>
        </w:rPr>
        <w:t>+</w:t>
      </w:r>
      <w:r>
        <w:rPr>
          <w:rFonts w:ascii="Times New Roman" w:hAnsi="Times New Roman"/>
          <w:sz w:val="24"/>
          <w:lang w:val="zh-CN"/>
        </w:rPr>
        <w:t>加氢还原</w:t>
      </w:r>
      <w:r>
        <w:rPr>
          <w:rFonts w:ascii="Times New Roman" w:hAnsi="Times New Roman"/>
          <w:sz w:val="24"/>
          <w:lang w:val="zh-CN"/>
        </w:rPr>
        <w:t>+</w:t>
      </w:r>
      <w:r>
        <w:rPr>
          <w:rFonts w:ascii="Times New Roman" w:hAnsi="Times New Roman"/>
          <w:sz w:val="24"/>
          <w:lang w:val="zh-CN"/>
        </w:rPr>
        <w:t>超级克劳斯法</w:t>
      </w:r>
      <w:r>
        <w:rPr>
          <w:rFonts w:ascii="Times New Roman" w:hAnsi="Times New Roman"/>
          <w:sz w:val="24"/>
          <w:lang w:val="zh-CN"/>
        </w:rPr>
        <w:t>-99</w:t>
      </w:r>
      <w:r>
        <w:rPr>
          <w:rFonts w:ascii="Times New Roman" w:hAnsi="Times New Roman"/>
          <w:sz w:val="24"/>
          <w:lang w:val="zh-CN"/>
        </w:rPr>
        <w:t>。二级转化克劳斯法、二级转化</w:t>
      </w:r>
      <w:r>
        <w:rPr>
          <w:rFonts w:ascii="Times New Roman" w:hAnsi="Times New Roman"/>
          <w:sz w:val="24"/>
          <w:lang w:val="zh-CN"/>
        </w:rPr>
        <w:t>+</w:t>
      </w:r>
      <w:r>
        <w:rPr>
          <w:rFonts w:ascii="Times New Roman" w:hAnsi="Times New Roman"/>
          <w:sz w:val="24"/>
          <w:lang w:val="zh-CN"/>
        </w:rPr>
        <w:t>超级克劳斯法、二级转化</w:t>
      </w:r>
      <w:r>
        <w:rPr>
          <w:rFonts w:ascii="Times New Roman" w:hAnsi="Times New Roman"/>
          <w:sz w:val="24"/>
          <w:lang w:val="zh-CN"/>
        </w:rPr>
        <w:t>+</w:t>
      </w:r>
      <w:r>
        <w:rPr>
          <w:rFonts w:ascii="Times New Roman" w:hAnsi="Times New Roman"/>
          <w:sz w:val="24"/>
          <w:lang w:val="zh-CN"/>
        </w:rPr>
        <w:t>加氢还原</w:t>
      </w:r>
      <w:r>
        <w:rPr>
          <w:rFonts w:ascii="Times New Roman" w:hAnsi="Times New Roman"/>
          <w:sz w:val="24"/>
          <w:lang w:val="zh-CN"/>
        </w:rPr>
        <w:t>+</w:t>
      </w:r>
      <w:r>
        <w:rPr>
          <w:rFonts w:ascii="Times New Roman" w:hAnsi="Times New Roman"/>
          <w:sz w:val="24"/>
          <w:lang w:val="zh-CN"/>
        </w:rPr>
        <w:t>超级克劳斯法</w:t>
      </w:r>
      <w:r>
        <w:rPr>
          <w:rFonts w:ascii="Times New Roman" w:hAnsi="Times New Roman"/>
          <w:sz w:val="24"/>
          <w:lang w:val="zh-CN"/>
        </w:rPr>
        <w:t>-99</w:t>
      </w:r>
      <w:r>
        <w:rPr>
          <w:rFonts w:ascii="Times New Roman" w:hAnsi="Times New Roman"/>
          <w:sz w:val="24"/>
          <w:lang w:val="zh-CN"/>
        </w:rPr>
        <w:t>的硫回收率</w:t>
      </w:r>
      <w:r>
        <w:rPr>
          <w:rFonts w:ascii="Times New Roman" w:hAnsi="Times New Roman"/>
          <w:sz w:val="24"/>
          <w:lang w:val="zh-CN"/>
        </w:rPr>
        <w:t>(</w:t>
      </w:r>
      <w:r>
        <w:rPr>
          <w:rFonts w:ascii="Times New Roman" w:hAnsi="Times New Roman"/>
          <w:sz w:val="24"/>
          <w:lang w:val="zh-CN"/>
        </w:rPr>
        <w:t>考虑硫蒸汽损失</w:t>
      </w:r>
      <w:r>
        <w:rPr>
          <w:rFonts w:ascii="Times New Roman" w:hAnsi="Times New Roman"/>
          <w:sz w:val="24"/>
          <w:lang w:val="zh-CN"/>
        </w:rPr>
        <w:t>)</w:t>
      </w:r>
      <w:r>
        <w:rPr>
          <w:rFonts w:ascii="Times New Roman" w:hAnsi="Times New Roman"/>
          <w:sz w:val="24"/>
          <w:lang w:val="zh-CN"/>
        </w:rPr>
        <w:t>分别为</w:t>
      </w:r>
      <w:r>
        <w:rPr>
          <w:rFonts w:ascii="Times New Roman" w:hAnsi="Times New Roman"/>
          <w:sz w:val="24"/>
          <w:lang w:val="zh-CN"/>
        </w:rPr>
        <w:t>65.7%</w:t>
      </w:r>
      <w:r>
        <w:rPr>
          <w:rFonts w:ascii="Times New Roman" w:hAnsi="Times New Roman"/>
          <w:sz w:val="24"/>
          <w:lang w:val="zh-CN"/>
        </w:rPr>
        <w:t>、</w:t>
      </w:r>
      <w:r>
        <w:rPr>
          <w:rFonts w:ascii="Times New Roman" w:hAnsi="Times New Roman"/>
          <w:sz w:val="24"/>
          <w:lang w:val="zh-CN"/>
        </w:rPr>
        <w:t>99.3%</w:t>
      </w:r>
      <w:r>
        <w:rPr>
          <w:rFonts w:ascii="Times New Roman" w:hAnsi="Times New Roman"/>
          <w:sz w:val="24"/>
          <w:lang w:val="zh-CN"/>
        </w:rPr>
        <w:t>和</w:t>
      </w:r>
      <w:r>
        <w:rPr>
          <w:rFonts w:ascii="Times New Roman" w:hAnsi="Times New Roman"/>
          <w:sz w:val="24"/>
          <w:lang w:val="zh-CN"/>
        </w:rPr>
        <w:t>99.6%</w:t>
      </w:r>
      <w:r>
        <w:rPr>
          <w:rFonts w:ascii="Times New Roman" w:hAnsi="Times New Roman"/>
          <w:sz w:val="24"/>
          <w:lang w:val="zh-CN"/>
        </w:rPr>
        <w:t>。本项目酸性气中的硫化氢含量不高，且采取了二级转化器</w:t>
      </w:r>
      <w:r>
        <w:rPr>
          <w:rFonts w:ascii="Times New Roman" w:hAnsi="Times New Roman"/>
          <w:sz w:val="24"/>
          <w:lang w:val="zh-CN"/>
        </w:rPr>
        <w:t>+</w:t>
      </w:r>
      <w:r>
        <w:rPr>
          <w:rFonts w:ascii="Times New Roman" w:hAnsi="Times New Roman"/>
          <w:sz w:val="24"/>
          <w:lang w:val="zh-CN"/>
        </w:rPr>
        <w:t>加氢还原，硫回收达到了</w:t>
      </w:r>
      <w:r>
        <w:rPr>
          <w:rFonts w:ascii="Times New Roman" w:hAnsi="Times New Roman"/>
          <w:sz w:val="24"/>
          <w:lang w:val="zh-CN"/>
        </w:rPr>
        <w:t>99.8%</w:t>
      </w:r>
      <w:r>
        <w:rPr>
          <w:rFonts w:ascii="Times New Roman" w:hAnsi="Times New Roman"/>
          <w:sz w:val="24"/>
          <w:lang w:val="zh-CN"/>
        </w:rPr>
        <w:t>以上，且上述处理方法是石油加工行业对酸性气体处理的常用方法，其措施是可行的。</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6.1.1.3</w:t>
      </w:r>
      <w:r>
        <w:rPr>
          <w:rFonts w:ascii="Times New Roman" w:hAnsi="Times New Roman" w:cs="Times New Roman"/>
          <w:kern w:val="44"/>
          <w:sz w:val="24"/>
          <w:szCs w:val="24"/>
        </w:rPr>
        <w:t>硫磺回收尾气处理</w:t>
      </w:r>
    </w:p>
    <w:p w:rsidR="00525419" w:rsidRDefault="00EE1CF7">
      <w:pPr>
        <w:autoSpaceDE w:val="0"/>
        <w:autoSpaceDN w:val="0"/>
        <w:adjustRightInd w:val="0"/>
        <w:spacing w:line="360" w:lineRule="auto"/>
        <w:ind w:firstLineChars="200" w:firstLine="480"/>
        <w:rPr>
          <w:rFonts w:ascii="Times New Roman" w:hAnsi="Times New Roman"/>
          <w:sz w:val="24"/>
          <w:lang w:val="zh-CN"/>
        </w:rPr>
      </w:pPr>
      <w:r>
        <w:rPr>
          <w:rFonts w:ascii="Times New Roman" w:hAnsi="Times New Roman"/>
          <w:sz w:val="24"/>
          <w:lang w:val="zh-CN"/>
        </w:rPr>
        <w:t>硫磺回收尾气处理工艺按其原理大致可分为燃烧处理工艺</w:t>
      </w:r>
      <w:r>
        <w:rPr>
          <w:rFonts w:ascii="Times New Roman" w:hAnsi="Times New Roman"/>
          <w:sz w:val="24"/>
          <w:lang w:val="zh-CN"/>
        </w:rPr>
        <w:t>(</w:t>
      </w:r>
      <w:r>
        <w:rPr>
          <w:rFonts w:ascii="Times New Roman" w:hAnsi="Times New Roman"/>
          <w:sz w:val="24"/>
          <w:lang w:val="zh-CN"/>
        </w:rPr>
        <w:t>有热燃烧和催化燃烧两种方法</w:t>
      </w:r>
      <w:r>
        <w:rPr>
          <w:rFonts w:ascii="Times New Roman" w:hAnsi="Times New Roman"/>
          <w:sz w:val="24"/>
          <w:lang w:val="zh-CN"/>
        </w:rPr>
        <w:t>)</w:t>
      </w:r>
      <w:r>
        <w:rPr>
          <w:rFonts w:ascii="Times New Roman" w:hAnsi="Times New Roman"/>
          <w:sz w:val="24"/>
          <w:lang w:val="zh-CN"/>
        </w:rPr>
        <w:t>、还原</w:t>
      </w:r>
      <w:r>
        <w:rPr>
          <w:rFonts w:ascii="Times New Roman" w:hAnsi="Times New Roman"/>
          <w:sz w:val="24"/>
          <w:lang w:val="zh-CN"/>
        </w:rPr>
        <w:t>-</w:t>
      </w:r>
      <w:r>
        <w:rPr>
          <w:rFonts w:ascii="Times New Roman" w:hAnsi="Times New Roman"/>
          <w:sz w:val="24"/>
          <w:lang w:val="zh-CN"/>
        </w:rPr>
        <w:t>吸收工艺</w:t>
      </w:r>
      <w:r>
        <w:rPr>
          <w:rFonts w:ascii="Times New Roman" w:hAnsi="Times New Roman"/>
          <w:sz w:val="24"/>
          <w:lang w:val="zh-CN"/>
        </w:rPr>
        <w:t>(</w:t>
      </w:r>
      <w:r>
        <w:rPr>
          <w:rFonts w:ascii="Times New Roman" w:hAnsi="Times New Roman"/>
          <w:sz w:val="24"/>
          <w:lang w:val="zh-CN"/>
        </w:rPr>
        <w:t>有斯可特法和比文法</w:t>
      </w:r>
      <w:r>
        <w:rPr>
          <w:rFonts w:ascii="Times New Roman" w:hAnsi="Times New Roman"/>
          <w:sz w:val="24"/>
          <w:lang w:val="zh-CN"/>
        </w:rPr>
        <w:t>)</w:t>
      </w:r>
      <w:r>
        <w:rPr>
          <w:rFonts w:ascii="Times New Roman" w:hAnsi="Times New Roman"/>
          <w:sz w:val="24"/>
          <w:lang w:val="zh-CN"/>
        </w:rPr>
        <w:t>、低温克劳斯法</w:t>
      </w:r>
      <w:r>
        <w:rPr>
          <w:rFonts w:ascii="Times New Roman" w:hAnsi="Times New Roman"/>
          <w:sz w:val="24"/>
          <w:lang w:val="zh-CN"/>
        </w:rPr>
        <w:t>(</w:t>
      </w:r>
      <w:r>
        <w:rPr>
          <w:rFonts w:ascii="Times New Roman" w:hAnsi="Times New Roman"/>
          <w:sz w:val="24"/>
          <w:lang w:val="zh-CN"/>
        </w:rPr>
        <w:t>主要有</w:t>
      </w:r>
      <w:r>
        <w:rPr>
          <w:rFonts w:ascii="Times New Roman" w:hAnsi="Times New Roman"/>
          <w:sz w:val="24"/>
          <w:lang w:val="zh-CN"/>
        </w:rPr>
        <w:t>Clauspol</w:t>
      </w:r>
      <w:r>
        <w:rPr>
          <w:rFonts w:ascii="Times New Roman" w:hAnsi="Times New Roman"/>
          <w:sz w:val="24"/>
          <w:lang w:val="zh-CN"/>
        </w:rPr>
        <w:t>法、</w:t>
      </w:r>
      <w:r>
        <w:rPr>
          <w:rFonts w:ascii="Times New Roman" w:hAnsi="Times New Roman"/>
          <w:sz w:val="24"/>
          <w:lang w:val="zh-CN"/>
        </w:rPr>
        <w:t xml:space="preserve"> Sulfreen</w:t>
      </w:r>
      <w:r>
        <w:rPr>
          <w:rFonts w:ascii="Times New Roman" w:hAnsi="Times New Roman"/>
          <w:sz w:val="24"/>
          <w:lang w:val="zh-CN"/>
        </w:rPr>
        <w:t>法和</w:t>
      </w:r>
      <w:r>
        <w:rPr>
          <w:rFonts w:ascii="Times New Roman" w:hAnsi="Times New Roman"/>
          <w:sz w:val="24"/>
          <w:lang w:val="zh-CN"/>
        </w:rPr>
        <w:t xml:space="preserve"> CBA</w:t>
      </w:r>
      <w:r>
        <w:rPr>
          <w:rFonts w:ascii="Times New Roman" w:hAnsi="Times New Roman"/>
          <w:sz w:val="24"/>
          <w:lang w:val="zh-CN"/>
        </w:rPr>
        <w:t>法</w:t>
      </w:r>
      <w:r>
        <w:rPr>
          <w:rFonts w:ascii="Times New Roman" w:hAnsi="Times New Roman"/>
          <w:sz w:val="24"/>
          <w:lang w:val="zh-CN"/>
        </w:rPr>
        <w:t>)</w:t>
      </w:r>
      <w:r>
        <w:rPr>
          <w:rFonts w:ascii="Times New Roman" w:hAnsi="Times New Roman"/>
          <w:sz w:val="24"/>
          <w:lang w:val="zh-CN"/>
        </w:rPr>
        <w:t>和选择性催化氧化工艺</w:t>
      </w:r>
      <w:r>
        <w:rPr>
          <w:rFonts w:ascii="Times New Roman" w:hAnsi="Times New Roman"/>
          <w:sz w:val="24"/>
          <w:lang w:val="zh-CN"/>
        </w:rPr>
        <w:t>(</w:t>
      </w:r>
      <w:r>
        <w:rPr>
          <w:rFonts w:ascii="Times New Roman" w:hAnsi="Times New Roman"/>
          <w:sz w:val="24"/>
          <w:lang w:val="zh-CN"/>
        </w:rPr>
        <w:t>主要有</w:t>
      </w:r>
      <w:r>
        <w:rPr>
          <w:rFonts w:ascii="Times New Roman" w:hAnsi="Times New Roman"/>
          <w:sz w:val="24"/>
          <w:lang w:val="zh-CN"/>
        </w:rPr>
        <w:t xml:space="preserve">Selectox </w:t>
      </w:r>
      <w:r>
        <w:rPr>
          <w:rFonts w:ascii="Times New Roman" w:hAnsi="Times New Roman"/>
          <w:sz w:val="24"/>
          <w:lang w:val="zh-CN"/>
        </w:rPr>
        <w:t>法和</w:t>
      </w:r>
      <w:r>
        <w:rPr>
          <w:rFonts w:ascii="Times New Roman" w:hAnsi="Times New Roman"/>
          <w:sz w:val="24"/>
          <w:lang w:val="zh-CN"/>
        </w:rPr>
        <w:lastRenderedPageBreak/>
        <w:t>Modop</w:t>
      </w:r>
      <w:r>
        <w:rPr>
          <w:rFonts w:ascii="Times New Roman" w:hAnsi="Times New Roman"/>
          <w:sz w:val="24"/>
          <w:lang w:val="zh-CN"/>
        </w:rPr>
        <w:t>法</w:t>
      </w:r>
      <w:r>
        <w:rPr>
          <w:rFonts w:ascii="Times New Roman" w:hAnsi="Times New Roman"/>
          <w:sz w:val="24"/>
          <w:lang w:val="zh-CN"/>
        </w:rPr>
        <w:t>)</w:t>
      </w:r>
      <w:r>
        <w:rPr>
          <w:rFonts w:ascii="Times New Roman" w:hAnsi="Times New Roman"/>
          <w:sz w:val="24"/>
          <w:lang w:val="zh-CN"/>
        </w:rPr>
        <w:t>四大类。本项目尾气处理采用斯可特法，其功能是把尾气中的</w:t>
      </w:r>
      <w:r>
        <w:rPr>
          <w:rFonts w:ascii="Times New Roman" w:hAnsi="Times New Roman"/>
          <w:sz w:val="24"/>
          <w:lang w:val="zh-CN"/>
        </w:rPr>
        <w:t>SO</w:t>
      </w:r>
      <w:r>
        <w:rPr>
          <w:rFonts w:ascii="Times New Roman" w:hAnsi="Times New Roman"/>
          <w:sz w:val="24"/>
          <w:vertAlign w:val="subscript"/>
          <w:lang w:val="zh-CN"/>
        </w:rPr>
        <w:t>2</w:t>
      </w:r>
      <w:r>
        <w:rPr>
          <w:rFonts w:ascii="Times New Roman" w:hAnsi="Times New Roman"/>
          <w:sz w:val="24"/>
          <w:lang w:val="zh-CN"/>
        </w:rPr>
        <w:t>及有机硫在有氢气的条件下通过催化剂转化</w:t>
      </w:r>
      <w:r>
        <w:rPr>
          <w:rFonts w:ascii="Times New Roman" w:hAnsi="Times New Roman"/>
          <w:sz w:val="24"/>
          <w:lang w:val="zh-CN"/>
        </w:rPr>
        <w:t>H</w:t>
      </w:r>
      <w:r>
        <w:rPr>
          <w:rFonts w:ascii="Times New Roman" w:hAnsi="Times New Roman"/>
          <w:sz w:val="24"/>
          <w:vertAlign w:val="subscript"/>
          <w:lang w:val="zh-CN"/>
        </w:rPr>
        <w:t>2</w:t>
      </w:r>
      <w:r>
        <w:rPr>
          <w:rFonts w:ascii="Times New Roman" w:hAnsi="Times New Roman"/>
          <w:sz w:val="24"/>
          <w:lang w:val="zh-CN"/>
        </w:rPr>
        <w:t>S</w:t>
      </w:r>
      <w:r>
        <w:rPr>
          <w:rFonts w:ascii="Times New Roman" w:hAnsi="Times New Roman"/>
          <w:sz w:val="24"/>
          <w:lang w:val="zh-CN"/>
        </w:rPr>
        <w:t>的过程，在加氢反应器内进行。二是冷却部分，其功能是把高温工艺经二次冷却降至所需温度。三是溶剂吸收及再生部分，其功能是用溶剂把工艺气中的</w:t>
      </w:r>
      <w:r>
        <w:rPr>
          <w:rFonts w:ascii="Times New Roman" w:hAnsi="Times New Roman"/>
          <w:sz w:val="24"/>
          <w:lang w:val="zh-CN"/>
        </w:rPr>
        <w:t>H</w:t>
      </w:r>
      <w:r>
        <w:rPr>
          <w:rFonts w:ascii="Times New Roman" w:hAnsi="Times New Roman"/>
          <w:sz w:val="24"/>
          <w:vertAlign w:val="subscript"/>
          <w:lang w:val="zh-CN"/>
        </w:rPr>
        <w:t>2</w:t>
      </w:r>
      <w:r>
        <w:rPr>
          <w:rFonts w:ascii="Times New Roman" w:hAnsi="Times New Roman"/>
          <w:sz w:val="24"/>
          <w:lang w:val="zh-CN"/>
        </w:rPr>
        <w:t>S</w:t>
      </w:r>
      <w:r>
        <w:rPr>
          <w:rFonts w:ascii="Times New Roman" w:hAnsi="Times New Roman"/>
          <w:sz w:val="24"/>
          <w:lang w:val="zh-CN"/>
        </w:rPr>
        <w:t>脱出，而后再生溶剂并获得酸性气去作为原料气返回上游克劳斯制硫装置。其反应式如下：</w:t>
      </w:r>
    </w:p>
    <w:p w:rsidR="00525419" w:rsidRDefault="00525419">
      <w:pPr>
        <w:pStyle w:val="afb"/>
        <w:spacing w:line="360" w:lineRule="auto"/>
        <w:rPr>
          <w:sz w:val="24"/>
          <w:lang w:val="zh-CN"/>
        </w:rPr>
      </w:pPr>
    </w:p>
    <w:p w:rsidR="00525419" w:rsidRDefault="00525419">
      <w:pPr>
        <w:pStyle w:val="afb"/>
        <w:spacing w:line="360" w:lineRule="auto"/>
        <w:rPr>
          <w:sz w:val="24"/>
          <w:lang w:val="zh-CN"/>
        </w:rPr>
      </w:pPr>
    </w:p>
    <w:p w:rsidR="00525419" w:rsidRDefault="007D0E8A">
      <w:pPr>
        <w:autoSpaceDE w:val="0"/>
        <w:autoSpaceDN w:val="0"/>
        <w:adjustRightInd w:val="0"/>
        <w:spacing w:line="360" w:lineRule="auto"/>
        <w:ind w:firstLineChars="200" w:firstLine="480"/>
        <w:rPr>
          <w:rFonts w:ascii="Times New Roman" w:hAnsi="Times New Roman"/>
          <w:sz w:val="24"/>
          <w:lang w:val="zh-CN"/>
        </w:rPr>
      </w:pPr>
      <w:r>
        <w:rPr>
          <w:rFonts w:ascii="Times New Roman" w:hAnsi="Times New Roman"/>
          <w:sz w:val="24"/>
        </w:rPr>
        <w:pict>
          <v:shape id="图片 1153" o:spid="_x0000_s3154" type="#_x0000_t75" style="position:absolute;left:0;text-align:left;margin-left:45.9pt;margin-top:-6.1pt;width:203.25pt;height:102pt;z-index:251646464;mso-width-relative:page;mso-height-relative:page">
            <v:imagedata r:id="rId46" o:title=""/>
          </v:shape>
        </w:pict>
      </w:r>
    </w:p>
    <w:p w:rsidR="00525419" w:rsidRDefault="00525419">
      <w:pPr>
        <w:autoSpaceDE w:val="0"/>
        <w:autoSpaceDN w:val="0"/>
        <w:adjustRightInd w:val="0"/>
        <w:spacing w:line="360" w:lineRule="auto"/>
        <w:ind w:firstLineChars="200" w:firstLine="480"/>
        <w:rPr>
          <w:rFonts w:ascii="Times New Roman" w:hAnsi="Times New Roman"/>
          <w:sz w:val="24"/>
          <w:lang w:val="zh-CN"/>
        </w:rPr>
      </w:pPr>
    </w:p>
    <w:p w:rsidR="00525419" w:rsidRDefault="00525419">
      <w:pPr>
        <w:autoSpaceDE w:val="0"/>
        <w:autoSpaceDN w:val="0"/>
        <w:adjustRightInd w:val="0"/>
        <w:spacing w:line="360" w:lineRule="auto"/>
        <w:ind w:firstLineChars="200" w:firstLine="480"/>
        <w:rPr>
          <w:rFonts w:ascii="Times New Roman" w:eastAsia="微软雅黑" w:hAnsi="Times New Roman"/>
          <w:sz w:val="24"/>
          <w:lang w:val="zh-CN"/>
        </w:rPr>
      </w:pPr>
    </w:p>
    <w:p w:rsidR="00525419" w:rsidRDefault="00525419">
      <w:pPr>
        <w:pStyle w:val="a2"/>
        <w:spacing w:line="360" w:lineRule="auto"/>
        <w:ind w:firstLineChars="225" w:firstLine="630"/>
        <w:rPr>
          <w:lang w:val="zh-CN"/>
        </w:rPr>
      </w:pPr>
    </w:p>
    <w:p w:rsidR="00525419" w:rsidRDefault="00EE1CF7">
      <w:pPr>
        <w:autoSpaceDE w:val="0"/>
        <w:autoSpaceDN w:val="0"/>
        <w:adjustRightInd w:val="0"/>
        <w:spacing w:line="360" w:lineRule="auto"/>
        <w:ind w:firstLineChars="200" w:firstLine="480"/>
        <w:rPr>
          <w:rFonts w:ascii="Times New Roman" w:hAnsi="Times New Roman"/>
          <w:sz w:val="24"/>
          <w:lang w:val="zh-CN"/>
        </w:rPr>
      </w:pPr>
      <w:r>
        <w:rPr>
          <w:rFonts w:ascii="Times New Roman" w:hAnsi="Times New Roman"/>
          <w:sz w:val="24"/>
          <w:lang w:val="zh-CN"/>
        </w:rPr>
        <w:t>根据</w:t>
      </w:r>
      <w:r>
        <w:rPr>
          <w:rFonts w:ascii="Times New Roman" w:hAnsi="Times New Roman"/>
          <w:sz w:val="24"/>
        </w:rPr>
        <w:t>《石油石化环境保护技术》一书内容，采用</w:t>
      </w:r>
      <w:r>
        <w:rPr>
          <w:rFonts w:ascii="Times New Roman" w:hAnsi="Times New Roman"/>
          <w:sz w:val="24"/>
        </w:rPr>
        <w:t>SCOT</w:t>
      </w:r>
      <w:r>
        <w:rPr>
          <w:rFonts w:ascii="Times New Roman" w:hAnsi="Times New Roman"/>
          <w:sz w:val="24"/>
        </w:rPr>
        <w:t>尾气处理装置与硫收率为</w:t>
      </w:r>
      <w:r>
        <w:rPr>
          <w:rFonts w:ascii="Times New Roman" w:hAnsi="Times New Roman"/>
          <w:sz w:val="24"/>
        </w:rPr>
        <w:t>92-95</w:t>
      </w:r>
      <w:r>
        <w:rPr>
          <w:rFonts w:ascii="Times New Roman" w:hAnsi="Times New Roman"/>
          <w:sz w:val="24"/>
        </w:rPr>
        <w:t>的克劳斯制硫装置配套时，总硫收率可达到</w:t>
      </w:r>
      <w:r>
        <w:rPr>
          <w:rFonts w:ascii="Times New Roman" w:hAnsi="Times New Roman"/>
          <w:sz w:val="24"/>
        </w:rPr>
        <w:t>99.8%</w:t>
      </w:r>
      <w:r>
        <w:rPr>
          <w:rFonts w:ascii="Times New Roman" w:hAnsi="Times New Roman"/>
          <w:sz w:val="24"/>
        </w:rPr>
        <w:t>，净化尾气中硫化氢浓度低于</w:t>
      </w:r>
      <w:r>
        <w:rPr>
          <w:rFonts w:ascii="Times New Roman" w:hAnsi="Times New Roman"/>
          <w:sz w:val="24"/>
        </w:rPr>
        <w:t>200mg/m</w:t>
      </w:r>
      <w:r>
        <w:rPr>
          <w:rFonts w:ascii="Times New Roman" w:hAnsi="Times New Roman"/>
          <w:sz w:val="24"/>
          <w:vertAlign w:val="superscript"/>
        </w:rPr>
        <w:t>3</w:t>
      </w:r>
      <w:r>
        <w:rPr>
          <w:rFonts w:ascii="Times New Roman" w:hAnsi="Times New Roman"/>
          <w:sz w:val="24"/>
        </w:rPr>
        <w:t>，然后通过焚烧处理后，焚烧烟气中的二氧化硫浓度低于</w:t>
      </w:r>
      <w:r>
        <w:rPr>
          <w:rFonts w:ascii="Times New Roman" w:hAnsi="Times New Roman"/>
          <w:sz w:val="24"/>
        </w:rPr>
        <w:t>200mg/m</w:t>
      </w:r>
      <w:r>
        <w:rPr>
          <w:rFonts w:ascii="Times New Roman" w:hAnsi="Times New Roman"/>
          <w:sz w:val="24"/>
          <w:vertAlign w:val="superscript"/>
        </w:rPr>
        <w:t>3</w:t>
      </w:r>
      <w:r>
        <w:rPr>
          <w:rFonts w:ascii="Times New Roman" w:hAnsi="Times New Roman"/>
          <w:sz w:val="24"/>
        </w:rPr>
        <w:t>(</w:t>
      </w:r>
      <w:r>
        <w:rPr>
          <w:rFonts w:ascii="Times New Roman" w:hAnsi="Times New Roman"/>
          <w:sz w:val="24"/>
        </w:rPr>
        <w:t>经焚烧后，烟气体积理论上是</w:t>
      </w:r>
      <w:r>
        <w:rPr>
          <w:rFonts w:ascii="Times New Roman" w:hAnsi="Times New Roman"/>
          <w:sz w:val="24"/>
        </w:rPr>
        <w:t>7.5</w:t>
      </w:r>
      <w:r>
        <w:rPr>
          <w:rFonts w:ascii="Times New Roman" w:hAnsi="Times New Roman"/>
          <w:sz w:val="24"/>
        </w:rPr>
        <w:t>倍于净化尾气的体积</w:t>
      </w:r>
      <w:r>
        <w:rPr>
          <w:rFonts w:ascii="Times New Roman" w:hAnsi="Times New Roman"/>
          <w:sz w:val="24"/>
        </w:rPr>
        <w:t>)</w:t>
      </w:r>
      <w:r>
        <w:rPr>
          <w:rFonts w:ascii="Times New Roman" w:hAnsi="Times New Roman"/>
          <w:sz w:val="24"/>
        </w:rPr>
        <w:t>，远低于</w:t>
      </w:r>
      <w:bookmarkStart w:id="251" w:name="_Hlk41217582"/>
      <w:r>
        <w:rPr>
          <w:rFonts w:ascii="Times New Roman" w:hAnsi="Times New Roman"/>
          <w:sz w:val="24"/>
        </w:rPr>
        <w:t>《</w:t>
      </w:r>
      <w:bookmarkEnd w:id="251"/>
      <w:r>
        <w:rPr>
          <w:rFonts w:ascii="Times New Roman" w:hAnsi="Times New Roman"/>
          <w:sz w:val="24"/>
        </w:rPr>
        <w:t>石油炼制工业污染物排放标准</w:t>
      </w:r>
      <w:bookmarkStart w:id="252" w:name="_Hlk41217594"/>
      <w:r>
        <w:rPr>
          <w:rFonts w:ascii="Times New Roman" w:hAnsi="Times New Roman"/>
          <w:sz w:val="24"/>
        </w:rPr>
        <w:t>》</w:t>
      </w:r>
      <w:bookmarkEnd w:id="252"/>
      <w:r>
        <w:rPr>
          <w:rFonts w:ascii="Times New Roman" w:hAnsi="Times New Roman"/>
          <w:sz w:val="24"/>
        </w:rPr>
        <w:t>的标准</w:t>
      </w:r>
      <w:r>
        <w:rPr>
          <w:rFonts w:ascii="Times New Roman" w:hAnsi="Times New Roman"/>
          <w:sz w:val="24"/>
        </w:rPr>
        <w:t>(</w:t>
      </w:r>
      <w:r>
        <w:rPr>
          <w:rFonts w:ascii="Times New Roman" w:hAnsi="Times New Roman"/>
          <w:sz w:val="24"/>
          <w:lang w:val="zh-CN"/>
        </w:rPr>
        <w:t>SO</w:t>
      </w:r>
      <w:r>
        <w:rPr>
          <w:rFonts w:ascii="Times New Roman" w:hAnsi="Times New Roman"/>
          <w:sz w:val="24"/>
          <w:vertAlign w:val="subscript"/>
          <w:lang w:val="zh-CN"/>
        </w:rPr>
        <w:t>2</w:t>
      </w:r>
      <w:r>
        <w:rPr>
          <w:rFonts w:ascii="Times New Roman" w:hAnsi="Times New Roman"/>
          <w:sz w:val="24"/>
          <w:lang w:val="zh-CN"/>
        </w:rPr>
        <w:t>≤400mg/m</w:t>
      </w:r>
      <w:r>
        <w:rPr>
          <w:rFonts w:ascii="Times New Roman" w:hAnsi="Times New Roman"/>
          <w:sz w:val="24"/>
          <w:vertAlign w:val="superscript"/>
          <w:lang w:val="zh-CN"/>
        </w:rPr>
        <w:t>3</w:t>
      </w:r>
      <w:r>
        <w:rPr>
          <w:rFonts w:ascii="Times New Roman" w:hAnsi="Times New Roman"/>
          <w:sz w:val="24"/>
          <w:lang w:val="zh-CN"/>
        </w:rPr>
        <w:t>)</w:t>
      </w:r>
      <w:r>
        <w:rPr>
          <w:rFonts w:ascii="Times New Roman" w:hAnsi="Times New Roman"/>
          <w:sz w:val="24"/>
          <w:lang w:val="zh-CN"/>
        </w:rPr>
        <w:t>，因此焚烧烟气直接排放到大气中是可行的，且在石油石化行业采取了还原</w:t>
      </w:r>
      <w:r>
        <w:rPr>
          <w:rFonts w:ascii="Times New Roman" w:hAnsi="Times New Roman"/>
          <w:sz w:val="24"/>
          <w:lang w:val="zh-CN"/>
        </w:rPr>
        <w:t>-</w:t>
      </w:r>
      <w:r>
        <w:rPr>
          <w:rFonts w:ascii="Times New Roman" w:hAnsi="Times New Roman"/>
          <w:sz w:val="24"/>
          <w:lang w:val="zh-CN"/>
        </w:rPr>
        <w:t>吸收</w:t>
      </w:r>
      <w:r>
        <w:rPr>
          <w:rFonts w:ascii="Times New Roman" w:hAnsi="Times New Roman"/>
          <w:sz w:val="24"/>
          <w:lang w:val="zh-CN"/>
        </w:rPr>
        <w:t>+</w:t>
      </w:r>
      <w:r>
        <w:rPr>
          <w:rFonts w:ascii="Times New Roman" w:hAnsi="Times New Roman"/>
          <w:sz w:val="24"/>
          <w:lang w:val="zh-CN"/>
        </w:rPr>
        <w:t>焚烧装置对硫磺尾气进行处理后排放是常用方法，其措施是可行的。</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6.1.1.4</w:t>
      </w:r>
      <w:r>
        <w:rPr>
          <w:rFonts w:ascii="Times New Roman" w:hAnsi="Times New Roman" w:cs="Times New Roman"/>
          <w:kern w:val="44"/>
          <w:sz w:val="24"/>
          <w:szCs w:val="24"/>
        </w:rPr>
        <w:t>无组织废气防治措施</w:t>
      </w:r>
    </w:p>
    <w:p w:rsidR="00525419" w:rsidRDefault="00EE1CF7">
      <w:pPr>
        <w:spacing w:line="360" w:lineRule="auto"/>
        <w:ind w:firstLineChars="200" w:firstLine="480"/>
        <w:rPr>
          <w:rFonts w:ascii="Times New Roman" w:hAnsi="Times New Roman"/>
          <w:kern w:val="0"/>
          <w:sz w:val="24"/>
        </w:rPr>
      </w:pPr>
      <w:r>
        <w:rPr>
          <w:rFonts w:ascii="Times New Roman" w:hAnsi="Times New Roman"/>
          <w:kern w:val="0"/>
          <w:sz w:val="24"/>
        </w:rPr>
        <w:t>(1)</w:t>
      </w:r>
      <w:r>
        <w:rPr>
          <w:rFonts w:ascii="Times New Roman" w:hAnsi="Times New Roman"/>
          <w:kern w:val="0"/>
          <w:sz w:val="24"/>
        </w:rPr>
        <w:t>罐区无组织防治措施</w:t>
      </w:r>
    </w:p>
    <w:p w:rsidR="00525419" w:rsidRDefault="00EE1CF7">
      <w:pPr>
        <w:spacing w:line="360" w:lineRule="auto"/>
        <w:ind w:firstLineChars="200" w:firstLine="480"/>
        <w:rPr>
          <w:rFonts w:ascii="Times New Roman" w:hAnsi="Times New Roman"/>
          <w:kern w:val="0"/>
          <w:sz w:val="24"/>
        </w:rPr>
      </w:pPr>
      <w:r>
        <w:rPr>
          <w:rFonts w:ascii="Times New Roman" w:hAnsi="Times New Roman"/>
          <w:kern w:val="0"/>
          <w:sz w:val="24"/>
        </w:rPr>
        <w:t>本项目无组织排放主要为储罐区的装卸过程产生的，减少因罐装及生产损耗对环境产生的污染一直是化工储运专业人员研究的重要课题。在生产实践中，主要以下几个方面进行控制：</w:t>
      </w:r>
    </w:p>
    <w:p w:rsidR="00525419" w:rsidRDefault="00EE1CF7">
      <w:pPr>
        <w:spacing w:line="360" w:lineRule="auto"/>
        <w:ind w:firstLineChars="200" w:firstLine="480"/>
        <w:rPr>
          <w:rFonts w:ascii="Times New Roman" w:hAnsi="Times New Roman"/>
          <w:kern w:val="0"/>
          <w:sz w:val="24"/>
        </w:rPr>
      </w:pPr>
      <w:r>
        <w:rPr>
          <w:rFonts w:ascii="Times New Roman" w:hAnsi="Times New Roman"/>
          <w:kern w:val="0"/>
          <w:sz w:val="24"/>
        </w:rPr>
        <w:t>①</w:t>
      </w:r>
      <w:r>
        <w:rPr>
          <w:rFonts w:ascii="Times New Roman" w:hAnsi="Times New Roman"/>
          <w:kern w:val="0"/>
          <w:sz w:val="24"/>
        </w:rPr>
        <w:t>健全各项规章制度，制定各种操作规程：储罐的密封程度高</w:t>
      </w:r>
      <w:r>
        <w:rPr>
          <w:rFonts w:ascii="Times New Roman" w:hAnsi="Times New Roman"/>
          <w:kern w:val="0"/>
          <w:sz w:val="24"/>
        </w:rPr>
        <w:t xml:space="preserve">, </w:t>
      </w:r>
      <w:r>
        <w:rPr>
          <w:rFonts w:ascii="Times New Roman" w:hAnsi="Times New Roman"/>
          <w:kern w:val="0"/>
          <w:sz w:val="24"/>
        </w:rPr>
        <w:t>自然通风损耗会减少</w:t>
      </w:r>
      <w:r>
        <w:rPr>
          <w:rFonts w:ascii="Times New Roman" w:hAnsi="Times New Roman"/>
          <w:kern w:val="0"/>
          <w:sz w:val="24"/>
        </w:rPr>
        <w:t>,</w:t>
      </w:r>
      <w:r>
        <w:rPr>
          <w:rFonts w:ascii="Times New Roman" w:hAnsi="Times New Roman"/>
          <w:kern w:val="0"/>
          <w:sz w:val="24"/>
        </w:rPr>
        <w:t>要定期对储罐及其附件进行检查、维护和保养；加强对计量器具的管理和维护。计量器具的准确程度是造成计量误差的根本原因</w:t>
      </w:r>
      <w:r>
        <w:rPr>
          <w:rFonts w:ascii="Times New Roman" w:hAnsi="Times New Roman"/>
          <w:kern w:val="0"/>
          <w:sz w:val="24"/>
        </w:rPr>
        <w:t xml:space="preserve">, </w:t>
      </w:r>
      <w:r>
        <w:rPr>
          <w:rFonts w:ascii="Times New Roman" w:hAnsi="Times New Roman"/>
          <w:kern w:val="0"/>
          <w:sz w:val="24"/>
        </w:rPr>
        <w:t>应该按规定对计量器具定期标定</w:t>
      </w:r>
      <w:r>
        <w:rPr>
          <w:rFonts w:ascii="Times New Roman" w:hAnsi="Times New Roman"/>
          <w:kern w:val="0"/>
          <w:sz w:val="24"/>
        </w:rPr>
        <w:t xml:space="preserve">, </w:t>
      </w:r>
      <w:r>
        <w:rPr>
          <w:rFonts w:ascii="Times New Roman" w:hAnsi="Times New Roman"/>
          <w:kern w:val="0"/>
          <w:sz w:val="24"/>
        </w:rPr>
        <w:t>加强维护管理</w:t>
      </w:r>
      <w:r>
        <w:rPr>
          <w:rFonts w:ascii="Times New Roman" w:hAnsi="Times New Roman"/>
          <w:kern w:val="0"/>
          <w:sz w:val="24"/>
        </w:rPr>
        <w:t xml:space="preserve">, </w:t>
      </w:r>
      <w:r>
        <w:rPr>
          <w:rFonts w:ascii="Times New Roman" w:hAnsi="Times New Roman"/>
          <w:kern w:val="0"/>
          <w:sz w:val="24"/>
        </w:rPr>
        <w:t>降低计量误差。</w:t>
      </w:r>
    </w:p>
    <w:p w:rsidR="00525419" w:rsidRDefault="00EE1CF7">
      <w:pPr>
        <w:spacing w:line="360" w:lineRule="auto"/>
        <w:ind w:firstLineChars="200" w:firstLine="480"/>
        <w:rPr>
          <w:rFonts w:ascii="Times New Roman" w:hAnsi="Times New Roman"/>
          <w:kern w:val="0"/>
          <w:sz w:val="24"/>
        </w:rPr>
      </w:pPr>
      <w:r>
        <w:rPr>
          <w:rFonts w:ascii="Times New Roman" w:hAnsi="Times New Roman"/>
          <w:kern w:val="0"/>
          <w:sz w:val="24"/>
        </w:rPr>
        <w:lastRenderedPageBreak/>
        <w:t>②</w:t>
      </w:r>
      <w:r>
        <w:rPr>
          <w:rFonts w:ascii="Times New Roman" w:hAnsi="Times New Roman"/>
          <w:kern w:val="0"/>
          <w:sz w:val="24"/>
        </w:rPr>
        <w:t>加强设备维护保养，所有机泵、管道、阀门、鹤管等连接部位、运转部分鹤静密封点部位都应连接牢固，做到严密、不渗、不漏、不跑气；储罐增上二层密封</w:t>
      </w:r>
      <w:r>
        <w:rPr>
          <w:rFonts w:ascii="Times New Roman" w:hAnsi="Times New Roman"/>
          <w:kern w:val="0"/>
          <w:sz w:val="24"/>
        </w:rPr>
        <w:t xml:space="preserve">, </w:t>
      </w:r>
      <w:r>
        <w:rPr>
          <w:rFonts w:ascii="Times New Roman" w:hAnsi="Times New Roman"/>
          <w:kern w:val="0"/>
          <w:sz w:val="24"/>
        </w:rPr>
        <w:t>减少原料的蒸发损耗。</w:t>
      </w:r>
    </w:p>
    <w:p w:rsidR="00525419" w:rsidRDefault="00EE1CF7">
      <w:pPr>
        <w:spacing w:line="360" w:lineRule="auto"/>
        <w:ind w:firstLineChars="200" w:firstLine="480"/>
        <w:rPr>
          <w:rFonts w:ascii="Times New Roman" w:hAnsi="Times New Roman"/>
          <w:kern w:val="0"/>
          <w:sz w:val="24"/>
        </w:rPr>
      </w:pPr>
      <w:r>
        <w:rPr>
          <w:rFonts w:ascii="Times New Roman" w:hAnsi="Times New Roman"/>
          <w:kern w:val="0"/>
          <w:sz w:val="24"/>
        </w:rPr>
        <w:t>③</w:t>
      </w:r>
      <w:r>
        <w:rPr>
          <w:rFonts w:ascii="Times New Roman" w:hAnsi="Times New Roman"/>
          <w:kern w:val="0"/>
          <w:sz w:val="24"/>
        </w:rPr>
        <w:t>控制装卸的温度和流速，介质温度高、易挥发、流速快、压力高，喷溅、搅动就大，造成的损耗也大。</w:t>
      </w:r>
    </w:p>
    <w:p w:rsidR="00525419" w:rsidRDefault="00EE1CF7">
      <w:pPr>
        <w:spacing w:line="360" w:lineRule="auto"/>
        <w:ind w:firstLineChars="200" w:firstLine="480"/>
        <w:rPr>
          <w:rFonts w:ascii="Times New Roman" w:hAnsi="Times New Roman"/>
          <w:kern w:val="0"/>
          <w:sz w:val="24"/>
        </w:rPr>
      </w:pPr>
      <w:r>
        <w:rPr>
          <w:rFonts w:ascii="Times New Roman" w:hAnsi="Times New Roman"/>
          <w:kern w:val="0"/>
          <w:sz w:val="24"/>
        </w:rPr>
        <w:t>④</w:t>
      </w:r>
      <w:r>
        <w:rPr>
          <w:rFonts w:ascii="Times New Roman" w:hAnsi="Times New Roman"/>
          <w:kern w:val="0"/>
          <w:sz w:val="24"/>
        </w:rPr>
        <w:t>为减少装卸作业中的部分化工品泄漏，采用性能良好的装卸车鹤管，并在易发生滴漏的地方设置吸毡等装置。</w:t>
      </w:r>
    </w:p>
    <w:p w:rsidR="00525419" w:rsidRDefault="00EE1CF7">
      <w:pPr>
        <w:spacing w:line="360" w:lineRule="auto"/>
        <w:ind w:firstLineChars="200" w:firstLine="480"/>
        <w:rPr>
          <w:rFonts w:ascii="Times New Roman" w:hAnsi="Times New Roman"/>
          <w:kern w:val="0"/>
          <w:sz w:val="24"/>
        </w:rPr>
      </w:pPr>
      <w:r>
        <w:rPr>
          <w:rFonts w:ascii="Times New Roman" w:hAnsi="Times New Roman"/>
          <w:kern w:val="0"/>
          <w:sz w:val="24"/>
        </w:rPr>
        <w:t>⑤</w:t>
      </w:r>
      <w:r>
        <w:rPr>
          <w:rFonts w:ascii="Times New Roman" w:hAnsi="Times New Roman"/>
          <w:kern w:val="0"/>
          <w:sz w:val="24"/>
        </w:rPr>
        <w:t>由于罐内排出气体中浓度与环境有关，因此在夏天应采用水喷淋方法降低贮罐的温度，从而减少原料蒸汽的排放。</w:t>
      </w:r>
    </w:p>
    <w:p w:rsidR="00525419" w:rsidRDefault="00EE1CF7">
      <w:pPr>
        <w:spacing w:line="360" w:lineRule="auto"/>
        <w:ind w:firstLineChars="200" w:firstLine="480"/>
        <w:rPr>
          <w:rFonts w:ascii="Times New Roman" w:hAnsi="Times New Roman"/>
          <w:kern w:val="0"/>
          <w:sz w:val="24"/>
        </w:rPr>
      </w:pPr>
      <w:r>
        <w:rPr>
          <w:rFonts w:ascii="Times New Roman" w:hAnsi="Times New Roman"/>
          <w:kern w:val="0"/>
          <w:sz w:val="24"/>
        </w:rPr>
        <w:t>⑥</w:t>
      </w:r>
      <w:r>
        <w:rPr>
          <w:rFonts w:ascii="Times New Roman" w:hAnsi="Times New Roman"/>
          <w:kern w:val="0"/>
          <w:sz w:val="24"/>
        </w:rPr>
        <w:t>缩短进原料的时间间隔</w:t>
      </w:r>
      <w:r>
        <w:rPr>
          <w:rFonts w:ascii="Times New Roman" w:hAnsi="Times New Roman"/>
          <w:kern w:val="0"/>
          <w:sz w:val="24"/>
        </w:rPr>
        <w:t xml:space="preserve">, </w:t>
      </w:r>
      <w:r>
        <w:rPr>
          <w:rFonts w:ascii="Times New Roman" w:hAnsi="Times New Roman"/>
          <w:kern w:val="0"/>
          <w:sz w:val="24"/>
        </w:rPr>
        <w:t>尽可能使储罐保持在较高的液位储存</w:t>
      </w:r>
      <w:r>
        <w:rPr>
          <w:rFonts w:ascii="Times New Roman" w:hAnsi="Times New Roman"/>
          <w:kern w:val="0"/>
          <w:sz w:val="24"/>
        </w:rPr>
        <w:t xml:space="preserve">, </w:t>
      </w:r>
      <w:r>
        <w:rPr>
          <w:rFonts w:ascii="Times New Roman" w:hAnsi="Times New Roman"/>
          <w:kern w:val="0"/>
          <w:sz w:val="24"/>
        </w:rPr>
        <w:t>减少储罐内的气体空间</w:t>
      </w:r>
      <w:r>
        <w:rPr>
          <w:rFonts w:ascii="Times New Roman" w:hAnsi="Times New Roman"/>
          <w:kern w:val="0"/>
          <w:sz w:val="24"/>
        </w:rPr>
        <w:t xml:space="preserve">, </w:t>
      </w:r>
      <w:r>
        <w:rPr>
          <w:rFonts w:ascii="Times New Roman" w:hAnsi="Times New Roman"/>
          <w:kern w:val="0"/>
          <w:sz w:val="24"/>
        </w:rPr>
        <w:t>降低原料的饱和损耗。</w:t>
      </w:r>
    </w:p>
    <w:p w:rsidR="00525419" w:rsidRDefault="00EE1CF7">
      <w:pPr>
        <w:spacing w:line="360" w:lineRule="auto"/>
        <w:ind w:firstLineChars="200" w:firstLine="480"/>
        <w:rPr>
          <w:rFonts w:ascii="Times New Roman" w:hAnsi="Times New Roman"/>
          <w:kern w:val="0"/>
          <w:sz w:val="24"/>
        </w:rPr>
      </w:pPr>
      <w:r>
        <w:rPr>
          <w:rFonts w:ascii="Times New Roman" w:hAnsi="Times New Roman"/>
          <w:kern w:val="0"/>
          <w:sz w:val="24"/>
        </w:rPr>
        <w:t>⑦</w:t>
      </w:r>
      <w:r>
        <w:rPr>
          <w:rFonts w:ascii="Times New Roman" w:hAnsi="Times New Roman"/>
          <w:kern w:val="0"/>
          <w:sz w:val="24"/>
        </w:rPr>
        <w:t>易挥发物质多组分芳烃存储时均采用浮顶罐，以减少存储过程中的无组织排放量。</w:t>
      </w:r>
    </w:p>
    <w:p w:rsidR="00525419" w:rsidRDefault="00EE1CF7">
      <w:pPr>
        <w:spacing w:line="360" w:lineRule="auto"/>
        <w:ind w:firstLineChars="200" w:firstLine="480"/>
        <w:rPr>
          <w:rFonts w:ascii="Times New Roman" w:hAnsi="Times New Roman"/>
          <w:kern w:val="0"/>
          <w:sz w:val="24"/>
        </w:rPr>
      </w:pPr>
      <w:r>
        <w:rPr>
          <w:rFonts w:ascii="Times New Roman" w:hAnsi="Times New Roman"/>
          <w:kern w:val="0"/>
          <w:sz w:val="24"/>
        </w:rPr>
        <w:t>⑧</w:t>
      </w:r>
      <w:r>
        <w:rPr>
          <w:rFonts w:ascii="Times New Roman" w:hAnsi="Times New Roman"/>
          <w:kern w:val="0"/>
          <w:sz w:val="24"/>
        </w:rPr>
        <w:t>油品装车采用下装车方式，降低装车过程的无组织挥发量，此外对挥发油气进行回收处理，设置油气回收设施。</w:t>
      </w:r>
    </w:p>
    <w:p w:rsidR="00525419" w:rsidRDefault="00EE1CF7">
      <w:pPr>
        <w:spacing w:line="360" w:lineRule="auto"/>
        <w:ind w:firstLineChars="200" w:firstLine="480"/>
        <w:rPr>
          <w:rFonts w:ascii="Times New Roman" w:hAnsi="Times New Roman"/>
          <w:kern w:val="0"/>
          <w:sz w:val="24"/>
        </w:rPr>
      </w:pPr>
      <w:r>
        <w:rPr>
          <w:rFonts w:ascii="Times New Roman" w:hAnsi="Times New Roman"/>
          <w:kern w:val="0"/>
          <w:sz w:val="24"/>
        </w:rPr>
        <w:t>生产实践证明，采用以上方法是防止石油化工原料储存及装卸损耗的有效方法。</w:t>
      </w:r>
    </w:p>
    <w:p w:rsidR="00525419" w:rsidRDefault="00EE1CF7">
      <w:pPr>
        <w:spacing w:line="360" w:lineRule="auto"/>
        <w:ind w:firstLineChars="200" w:firstLine="480"/>
        <w:rPr>
          <w:rFonts w:ascii="Times New Roman" w:hAnsi="Times New Roman"/>
          <w:kern w:val="0"/>
          <w:sz w:val="24"/>
        </w:rPr>
      </w:pPr>
      <w:r>
        <w:rPr>
          <w:rFonts w:ascii="Times New Roman" w:hAnsi="Times New Roman"/>
          <w:kern w:val="0"/>
          <w:sz w:val="24"/>
        </w:rPr>
        <w:t>（</w:t>
      </w:r>
      <w:r>
        <w:rPr>
          <w:rFonts w:ascii="Times New Roman" w:hAnsi="Times New Roman"/>
          <w:kern w:val="0"/>
          <w:sz w:val="24"/>
        </w:rPr>
        <w:t>2</w:t>
      </w:r>
      <w:r>
        <w:rPr>
          <w:rFonts w:ascii="Times New Roman" w:hAnsi="Times New Roman"/>
          <w:kern w:val="0"/>
          <w:sz w:val="24"/>
        </w:rPr>
        <w:t>）细颗粒物及挥发性有机物污染防治措施</w:t>
      </w:r>
    </w:p>
    <w:p w:rsidR="00525419" w:rsidRDefault="00EE1CF7">
      <w:pPr>
        <w:spacing w:line="360" w:lineRule="auto"/>
        <w:ind w:firstLineChars="200" w:firstLine="480"/>
        <w:rPr>
          <w:rFonts w:ascii="Times New Roman" w:hAnsi="Times New Roman"/>
          <w:kern w:val="0"/>
          <w:sz w:val="24"/>
        </w:rPr>
      </w:pPr>
      <w:r>
        <w:rPr>
          <w:rFonts w:ascii="Times New Roman" w:hAnsi="Times New Roman"/>
          <w:kern w:val="0"/>
          <w:sz w:val="24"/>
        </w:rPr>
        <w:t>①</w:t>
      </w:r>
      <w:r>
        <w:rPr>
          <w:rFonts w:ascii="Times New Roman" w:hAnsi="Times New Roman"/>
          <w:kern w:val="0"/>
          <w:sz w:val="24"/>
        </w:rPr>
        <w:t>应加强对各类污染源的监管，确保污染治理设施稳定运行，切实落实企业环保责任。鼓励采用低能耗、低污染的生产工艺，提高各个行业的清洁生产水平，降低污染物产生量。</w:t>
      </w:r>
    </w:p>
    <w:p w:rsidR="00525419" w:rsidRDefault="00EE1CF7">
      <w:pPr>
        <w:spacing w:line="360" w:lineRule="auto"/>
        <w:ind w:firstLineChars="200" w:firstLine="480"/>
        <w:rPr>
          <w:rFonts w:ascii="Times New Roman" w:hAnsi="Times New Roman"/>
          <w:kern w:val="0"/>
          <w:sz w:val="24"/>
        </w:rPr>
      </w:pPr>
      <w:r>
        <w:rPr>
          <w:rFonts w:ascii="Times New Roman" w:hAnsi="Times New Roman"/>
          <w:kern w:val="0"/>
          <w:sz w:val="24"/>
        </w:rPr>
        <w:t>②</w:t>
      </w:r>
      <w:r>
        <w:rPr>
          <w:rFonts w:ascii="Times New Roman" w:hAnsi="Times New Roman"/>
          <w:kern w:val="0"/>
          <w:sz w:val="24"/>
        </w:rPr>
        <w:t>厂内燃料煤和渣堆放采用封闭棚，有效减少原煤、渣储存时的无组织排放。</w:t>
      </w:r>
    </w:p>
    <w:p w:rsidR="00525419" w:rsidRDefault="00EE1CF7">
      <w:pPr>
        <w:spacing w:line="360" w:lineRule="auto"/>
        <w:ind w:firstLineChars="200" w:firstLine="480"/>
        <w:rPr>
          <w:rFonts w:ascii="Times New Roman" w:hAnsi="Times New Roman"/>
          <w:kern w:val="0"/>
          <w:sz w:val="24"/>
        </w:rPr>
      </w:pPr>
      <w:r>
        <w:rPr>
          <w:rFonts w:ascii="Times New Roman" w:hAnsi="Times New Roman"/>
          <w:kern w:val="0"/>
          <w:sz w:val="24"/>
        </w:rPr>
        <w:t>③</w:t>
      </w:r>
      <w:r>
        <w:rPr>
          <w:rFonts w:ascii="Times New Roman" w:hAnsi="Times New Roman"/>
          <w:kern w:val="0"/>
          <w:sz w:val="24"/>
        </w:rPr>
        <w:t>用于输送、储存、处理含挥发性有机物物料的生产设施在检维修时清扫气应导入回收或处理装置；发油台对汽车油罐车进行装油设施，应密闭装油并设置油气收集、回收、处理装置，回收或处理装置的非甲烷总烃控制效率应大于</w:t>
      </w:r>
      <w:r>
        <w:rPr>
          <w:rFonts w:ascii="Times New Roman" w:hAnsi="Times New Roman"/>
          <w:kern w:val="0"/>
          <w:sz w:val="24"/>
        </w:rPr>
        <w:t>95%</w:t>
      </w:r>
      <w:r>
        <w:rPr>
          <w:rFonts w:ascii="Times New Roman" w:hAnsi="Times New Roman"/>
          <w:kern w:val="0"/>
          <w:sz w:val="24"/>
        </w:rPr>
        <w:t>；用于储存真实蒸气压</w:t>
      </w:r>
      <w:r>
        <w:rPr>
          <w:rFonts w:ascii="Times New Roman" w:hAnsi="Times New Roman"/>
          <w:kern w:val="0"/>
          <w:sz w:val="24"/>
        </w:rPr>
        <w:t xml:space="preserve">≥5.2 kPa </w:t>
      </w:r>
      <w:r>
        <w:rPr>
          <w:rFonts w:ascii="Times New Roman" w:hAnsi="Times New Roman"/>
          <w:kern w:val="0"/>
          <w:sz w:val="24"/>
        </w:rPr>
        <w:t>但＜</w:t>
      </w:r>
      <w:r>
        <w:rPr>
          <w:rFonts w:ascii="Times New Roman" w:hAnsi="Times New Roman"/>
          <w:kern w:val="0"/>
          <w:sz w:val="24"/>
        </w:rPr>
        <w:t xml:space="preserve">76.6 kPa </w:t>
      </w:r>
      <w:r>
        <w:rPr>
          <w:rFonts w:ascii="Times New Roman" w:hAnsi="Times New Roman"/>
          <w:kern w:val="0"/>
          <w:sz w:val="24"/>
        </w:rPr>
        <w:t>的设计容积</w:t>
      </w:r>
      <w:r>
        <w:rPr>
          <w:rFonts w:ascii="Times New Roman" w:hAnsi="Times New Roman"/>
          <w:kern w:val="0"/>
          <w:sz w:val="24"/>
        </w:rPr>
        <w:t>≥151m</w:t>
      </w:r>
      <w:r>
        <w:rPr>
          <w:rFonts w:ascii="Times New Roman" w:hAnsi="Times New Roman"/>
          <w:kern w:val="0"/>
          <w:sz w:val="24"/>
          <w:vertAlign w:val="superscript"/>
        </w:rPr>
        <w:t>3</w:t>
      </w:r>
      <w:r>
        <w:rPr>
          <w:rFonts w:ascii="Times New Roman" w:hAnsi="Times New Roman"/>
          <w:kern w:val="0"/>
          <w:sz w:val="24"/>
        </w:rPr>
        <w:t>的挥发性有机液体储罐，用于储存真实蒸气压</w:t>
      </w:r>
      <w:r>
        <w:rPr>
          <w:rFonts w:ascii="Times New Roman" w:hAnsi="Times New Roman"/>
          <w:kern w:val="0"/>
          <w:sz w:val="24"/>
        </w:rPr>
        <w:t xml:space="preserve">≥27.6 kPa </w:t>
      </w:r>
      <w:r>
        <w:rPr>
          <w:rFonts w:ascii="Times New Roman" w:hAnsi="Times New Roman"/>
          <w:kern w:val="0"/>
          <w:sz w:val="24"/>
        </w:rPr>
        <w:t>但＜</w:t>
      </w:r>
      <w:r>
        <w:rPr>
          <w:rFonts w:ascii="Times New Roman" w:hAnsi="Times New Roman"/>
          <w:kern w:val="0"/>
          <w:sz w:val="24"/>
        </w:rPr>
        <w:t xml:space="preserve">76.6 kPa </w:t>
      </w:r>
      <w:r>
        <w:rPr>
          <w:rFonts w:ascii="Times New Roman" w:hAnsi="Times New Roman"/>
          <w:kern w:val="0"/>
          <w:sz w:val="24"/>
        </w:rPr>
        <w:t>的设计容积</w:t>
      </w:r>
      <w:r>
        <w:rPr>
          <w:rFonts w:ascii="Times New Roman" w:hAnsi="Times New Roman"/>
          <w:kern w:val="0"/>
          <w:sz w:val="24"/>
        </w:rPr>
        <w:t>≥75 m</w:t>
      </w:r>
      <w:r>
        <w:rPr>
          <w:rFonts w:ascii="Times New Roman" w:hAnsi="Times New Roman"/>
          <w:kern w:val="0"/>
          <w:sz w:val="24"/>
          <w:vertAlign w:val="superscript"/>
        </w:rPr>
        <w:t xml:space="preserve">3 </w:t>
      </w:r>
      <w:r>
        <w:rPr>
          <w:rFonts w:ascii="Times New Roman" w:hAnsi="Times New Roman"/>
          <w:kern w:val="0"/>
          <w:sz w:val="24"/>
        </w:rPr>
        <w:t>但＜</w:t>
      </w:r>
      <w:r>
        <w:rPr>
          <w:rFonts w:ascii="Times New Roman" w:hAnsi="Times New Roman"/>
          <w:kern w:val="0"/>
          <w:sz w:val="24"/>
        </w:rPr>
        <w:t>151 m</w:t>
      </w:r>
      <w:r>
        <w:rPr>
          <w:rFonts w:ascii="Times New Roman" w:hAnsi="Times New Roman"/>
          <w:kern w:val="0"/>
          <w:sz w:val="24"/>
          <w:vertAlign w:val="superscript"/>
        </w:rPr>
        <w:t xml:space="preserve">3 </w:t>
      </w:r>
      <w:r>
        <w:rPr>
          <w:rFonts w:ascii="Times New Roman" w:hAnsi="Times New Roman"/>
          <w:kern w:val="0"/>
          <w:sz w:val="24"/>
        </w:rPr>
        <w:t>的挥发性有机液体储罐应采用内浮顶罐或外浮顶罐，浮盘上的开口、缝</w:t>
      </w:r>
      <w:r>
        <w:rPr>
          <w:rFonts w:ascii="Times New Roman" w:hAnsi="Times New Roman"/>
          <w:kern w:val="0"/>
          <w:sz w:val="24"/>
        </w:rPr>
        <w:lastRenderedPageBreak/>
        <w:t>隙密封设施和浮盘与罐壁的密封设施在工作状态都应是密闭的；或采用非甲烷总烃回收或控制效率大于</w:t>
      </w:r>
      <w:r>
        <w:rPr>
          <w:rFonts w:ascii="Times New Roman" w:hAnsi="Times New Roman"/>
          <w:kern w:val="0"/>
          <w:sz w:val="24"/>
        </w:rPr>
        <w:t>95%</w:t>
      </w:r>
      <w:r>
        <w:rPr>
          <w:rFonts w:ascii="Times New Roman" w:hAnsi="Times New Roman"/>
          <w:kern w:val="0"/>
          <w:sz w:val="24"/>
        </w:rPr>
        <w:t>的呼吸气回收和控制装置；对生产装置排放的含</w:t>
      </w:r>
      <w:r>
        <w:rPr>
          <w:rFonts w:ascii="Times New Roman" w:hAnsi="Times New Roman"/>
          <w:kern w:val="0"/>
          <w:sz w:val="24"/>
        </w:rPr>
        <w:t>VOCs</w:t>
      </w:r>
      <w:r>
        <w:rPr>
          <w:rFonts w:ascii="Times New Roman" w:hAnsi="Times New Roman"/>
          <w:kern w:val="0"/>
          <w:sz w:val="24"/>
        </w:rPr>
        <w:t>工艺排气宜优先回收利用，不能（或不能完全）回收利用的经处理后达标排放；应急情况下的泄放气可导入火炬，经过充分燃烧后排放；油罐及油罐车上实施的各种油气回收技术；对泵、压缩机、阀门、法兰等易发生泄漏的设备与管线组件，制定泄漏检测与修复（</w:t>
      </w:r>
      <w:r>
        <w:rPr>
          <w:rFonts w:ascii="Times New Roman" w:hAnsi="Times New Roman"/>
          <w:kern w:val="0"/>
          <w:sz w:val="24"/>
        </w:rPr>
        <w:t>LDAR</w:t>
      </w:r>
      <w:r>
        <w:rPr>
          <w:rFonts w:ascii="Times New Roman" w:hAnsi="Times New Roman"/>
          <w:kern w:val="0"/>
          <w:sz w:val="24"/>
        </w:rPr>
        <w:t>）计划，定期检测、及时修复，防止或减少跑、冒、滴、漏现象；油类（燃油、溶剂等）储罐宜采用高效密封的内（外）浮顶罐，当采用固定顶罐时，通过密闭排气系统将含</w:t>
      </w:r>
      <w:r>
        <w:rPr>
          <w:rFonts w:ascii="Times New Roman" w:hAnsi="Times New Roman"/>
          <w:kern w:val="0"/>
          <w:sz w:val="24"/>
        </w:rPr>
        <w:t>VOCs</w:t>
      </w:r>
      <w:r>
        <w:rPr>
          <w:rFonts w:ascii="Times New Roman" w:hAnsi="Times New Roman"/>
          <w:kern w:val="0"/>
          <w:sz w:val="24"/>
        </w:rPr>
        <w:t>气体输送至回收设备；油类（燃油、溶剂等）运载工具在装载过程中排放的</w:t>
      </w:r>
      <w:r>
        <w:rPr>
          <w:rFonts w:ascii="Times New Roman" w:hAnsi="Times New Roman"/>
          <w:kern w:val="0"/>
          <w:sz w:val="24"/>
        </w:rPr>
        <w:t>VOCs</w:t>
      </w:r>
      <w:r>
        <w:rPr>
          <w:rFonts w:ascii="Times New Roman" w:hAnsi="Times New Roman"/>
          <w:kern w:val="0"/>
          <w:sz w:val="24"/>
        </w:rPr>
        <w:t>密闭收集输送至回收设备，也可返回储罐或送入气体管网。</w:t>
      </w:r>
    </w:p>
    <w:p w:rsidR="00525419" w:rsidRDefault="00EE1CF7">
      <w:pPr>
        <w:spacing w:line="360" w:lineRule="auto"/>
        <w:ind w:firstLineChars="250" w:firstLine="600"/>
        <w:rPr>
          <w:rFonts w:ascii="Times New Roman" w:hAnsi="Times New Roman"/>
          <w:sz w:val="24"/>
        </w:rPr>
      </w:pPr>
      <w:r>
        <w:rPr>
          <w:rFonts w:ascii="Times New Roman" w:hAnsi="Times New Roman"/>
          <w:sz w:val="24"/>
        </w:rPr>
        <w:t>(3)</w:t>
      </w:r>
      <w:r>
        <w:rPr>
          <w:rFonts w:ascii="Times New Roman" w:hAnsi="Times New Roman"/>
          <w:sz w:val="24"/>
        </w:rPr>
        <w:t>生产装置为设计成密闭的生产系统；易挥发有毒气体的含硫污水采用管道密闭输送；</w:t>
      </w:r>
    </w:p>
    <w:p w:rsidR="00525419" w:rsidRDefault="00EE1CF7">
      <w:pPr>
        <w:topLinePunct/>
        <w:spacing w:line="360" w:lineRule="auto"/>
        <w:ind w:firstLineChars="200" w:firstLine="480"/>
        <w:rPr>
          <w:rFonts w:ascii="Times New Roman" w:hAnsi="Times New Roman"/>
          <w:kern w:val="0"/>
          <w:sz w:val="24"/>
          <w:szCs w:val="24"/>
        </w:rPr>
      </w:pPr>
      <w:r>
        <w:rPr>
          <w:rFonts w:ascii="Times New Roman" w:hAnsi="Times New Roman"/>
          <w:kern w:val="0"/>
          <w:sz w:val="24"/>
          <w:szCs w:val="24"/>
        </w:rPr>
        <w:t>经实践证明，采用上述措施后，可有效地减少油品贮运过程无组织气体的排放，使污染物的无组织排放量降至较低的水平。</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6.1.1.5VOCs</w:t>
      </w:r>
      <w:r>
        <w:rPr>
          <w:rFonts w:ascii="Times New Roman" w:hAnsi="Times New Roman" w:cs="Times New Roman"/>
          <w:kern w:val="44"/>
          <w:sz w:val="24"/>
          <w:szCs w:val="24"/>
        </w:rPr>
        <w:t>无组织排放控制及治理措施</w:t>
      </w:r>
    </w:p>
    <w:p w:rsidR="00525419" w:rsidRDefault="00EE1CF7">
      <w:pPr>
        <w:pStyle w:val="1ffffa"/>
        <w:rPr>
          <w:rFonts w:cs="Times New Roman"/>
        </w:rPr>
      </w:pPr>
      <w:r>
        <w:rPr>
          <w:rFonts w:cs="Times New Roman"/>
        </w:rPr>
        <w:t>（</w:t>
      </w:r>
      <w:r>
        <w:rPr>
          <w:rFonts w:cs="Times New Roman"/>
        </w:rPr>
        <w:t>1</w:t>
      </w:r>
      <w:r>
        <w:rPr>
          <w:rFonts w:cs="Times New Roman"/>
        </w:rPr>
        <w:t>）为减少烃类气体的无组织排放，厂区轻质油品全部采用浮顶罐、内浮顶罐储存。</w:t>
      </w:r>
      <w:r>
        <w:rPr>
          <w:rFonts w:cs="Times New Roman"/>
          <w:szCs w:val="21"/>
        </w:rPr>
        <w:t>污油罐采用压力罐。</w:t>
      </w:r>
      <w:r>
        <w:rPr>
          <w:rFonts w:cs="Times New Roman"/>
        </w:rPr>
        <w:t>储罐除全部采用内浮顶罐储存外，还增设氮封系统，以进一步减少化工产品的挥发。</w:t>
      </w:r>
    </w:p>
    <w:p w:rsidR="00525419" w:rsidRDefault="00EE1CF7">
      <w:pPr>
        <w:pStyle w:val="1ffffa"/>
        <w:rPr>
          <w:rFonts w:cs="Times New Roman"/>
        </w:rPr>
      </w:pPr>
      <w:r>
        <w:rPr>
          <w:rFonts w:cs="Times New Roman"/>
        </w:rPr>
        <w:t>（</w:t>
      </w:r>
      <w:r>
        <w:rPr>
          <w:rFonts w:cs="Times New Roman"/>
        </w:rPr>
        <w:t>2</w:t>
      </w:r>
      <w:r>
        <w:rPr>
          <w:rFonts w:cs="Times New Roman"/>
        </w:rPr>
        <w:t>）产品罐区、装卸的油气回收依托现厂区</w:t>
      </w:r>
      <w:r>
        <w:rPr>
          <w:rFonts w:cs="Times New Roman"/>
          <w:kern w:val="2"/>
        </w:rPr>
        <w:t>油气回收设施</w:t>
      </w:r>
      <w:r>
        <w:rPr>
          <w:rFonts w:cs="Times New Roman"/>
        </w:rPr>
        <w:t>，减少储运、装卸过程的挥发性有机物的排放。</w:t>
      </w:r>
    </w:p>
    <w:p w:rsidR="00525419" w:rsidRDefault="00EE1CF7">
      <w:pPr>
        <w:pStyle w:val="1ffffa"/>
        <w:rPr>
          <w:rFonts w:cs="Times New Roman"/>
        </w:rPr>
      </w:pPr>
      <w:r>
        <w:rPr>
          <w:rFonts w:cs="Times New Roman"/>
        </w:rPr>
        <w:t>（</w:t>
      </w:r>
      <w:r>
        <w:rPr>
          <w:rFonts w:cs="Times New Roman"/>
        </w:rPr>
        <w:t>3</w:t>
      </w:r>
      <w:r>
        <w:rPr>
          <w:rFonts w:cs="Times New Roman"/>
        </w:rPr>
        <w:t>）生产装置、火炬线检修吹扫、排放均采用密闭系统。</w:t>
      </w:r>
    </w:p>
    <w:p w:rsidR="00525419" w:rsidRDefault="00EE1CF7">
      <w:pPr>
        <w:pStyle w:val="1ffffa"/>
        <w:rPr>
          <w:rFonts w:cs="Times New Roman"/>
        </w:rPr>
      </w:pPr>
      <w:r>
        <w:rPr>
          <w:rFonts w:cs="Times New Roman"/>
        </w:rPr>
        <w:t>（</w:t>
      </w:r>
      <w:r>
        <w:rPr>
          <w:rFonts w:cs="Times New Roman"/>
        </w:rPr>
        <w:t>4</w:t>
      </w:r>
      <w:r>
        <w:rPr>
          <w:rFonts w:cs="Times New Roman"/>
        </w:rPr>
        <w:t>）生产工艺装置主要带压管道及塔顶均设置安全阀，在不正常工况下产生的物料等可燃气体均排入火炬系统，少量气体送火炬塔高空燃烧排放。</w:t>
      </w:r>
    </w:p>
    <w:p w:rsidR="00525419" w:rsidRDefault="00EE1CF7">
      <w:pPr>
        <w:pStyle w:val="1ffffa"/>
        <w:rPr>
          <w:rFonts w:cs="Times New Roman"/>
        </w:rPr>
      </w:pPr>
      <w:r>
        <w:rPr>
          <w:rFonts w:cs="Times New Roman"/>
        </w:rPr>
        <w:t>（</w:t>
      </w:r>
      <w:r>
        <w:rPr>
          <w:rFonts w:cs="Times New Roman"/>
        </w:rPr>
        <w:t>5</w:t>
      </w:r>
      <w:r>
        <w:rPr>
          <w:rFonts w:cs="Times New Roman"/>
        </w:rPr>
        <w:t>）污水处理站扩建部分采用密闭系统，将恶臭气体统一输送到恶臭气体处理装置，以减少烃类及恶臭物质的排放。</w:t>
      </w:r>
    </w:p>
    <w:p w:rsidR="00525419" w:rsidRDefault="00EE1CF7">
      <w:pPr>
        <w:pStyle w:val="1ffffa"/>
        <w:rPr>
          <w:rFonts w:cs="Times New Roman"/>
        </w:rPr>
      </w:pPr>
      <w:r>
        <w:rPr>
          <w:rFonts w:cs="Times New Roman"/>
        </w:rPr>
        <w:t>（</w:t>
      </w:r>
      <w:r>
        <w:rPr>
          <w:rFonts w:cs="Times New Roman"/>
        </w:rPr>
        <w:t>6</w:t>
      </w:r>
      <w:r>
        <w:rPr>
          <w:rFonts w:cs="Times New Roman"/>
        </w:rPr>
        <w:t>）设置</w:t>
      </w:r>
      <w:r>
        <w:rPr>
          <w:rFonts w:cs="Times New Roman"/>
        </w:rPr>
        <w:t>LDAR</w:t>
      </w:r>
      <w:r>
        <w:rPr>
          <w:rFonts w:cs="Times New Roman"/>
        </w:rPr>
        <w:t>（泄漏检测与修复）系统，可有效控制</w:t>
      </w:r>
      <w:r>
        <w:rPr>
          <w:rFonts w:cs="Times New Roman"/>
        </w:rPr>
        <w:t>VOCs</w:t>
      </w:r>
      <w:r>
        <w:rPr>
          <w:rFonts w:cs="Times New Roman"/>
        </w:rPr>
        <w:t>的无组织挥发量。</w:t>
      </w:r>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lastRenderedPageBreak/>
        <w:t>6.1.2</w:t>
      </w:r>
      <w:r>
        <w:rPr>
          <w:rFonts w:ascii="Times New Roman" w:eastAsia="华文楷体" w:hAnsi="Times New Roman"/>
        </w:rPr>
        <w:t>工艺气体回收</w:t>
      </w:r>
    </w:p>
    <w:p w:rsidR="00525419" w:rsidRDefault="00EE1CF7">
      <w:pPr>
        <w:topLinePunct/>
        <w:spacing w:line="360" w:lineRule="auto"/>
        <w:ind w:firstLineChars="200" w:firstLine="480"/>
        <w:rPr>
          <w:rFonts w:ascii="Times New Roman" w:hAnsi="Times New Roman"/>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）工艺气体脱硫</w:t>
      </w:r>
    </w:p>
    <w:p w:rsidR="00525419" w:rsidRDefault="00EE1CF7">
      <w:pPr>
        <w:topLinePunct/>
        <w:spacing w:line="360" w:lineRule="auto"/>
        <w:ind w:firstLineChars="200" w:firstLine="480"/>
        <w:rPr>
          <w:rFonts w:ascii="Times New Roman" w:hAnsi="Times New Roman"/>
          <w:kern w:val="0"/>
          <w:sz w:val="24"/>
          <w:szCs w:val="24"/>
        </w:rPr>
      </w:pPr>
      <w:r>
        <w:rPr>
          <w:rFonts w:ascii="Times New Roman" w:hAnsi="Times New Roman"/>
          <w:kern w:val="0"/>
          <w:sz w:val="24"/>
          <w:szCs w:val="24"/>
        </w:rPr>
        <w:t>本项目装置产生的干气脱硫塔进行脱硫，脱硫塔采用填料塔，顶部进入贫胺液，底部进入含硫干气，塔顶送出脱硫后干气，塔底送出富液至溶剂再生单元，溶剂再生塔采用重沸汽提操作，溶剂选用</w:t>
      </w:r>
      <w:bookmarkStart w:id="253" w:name="OLE_LINK5"/>
      <w:r>
        <w:rPr>
          <w:rFonts w:ascii="Times New Roman" w:hAnsi="Times New Roman"/>
          <w:kern w:val="0"/>
          <w:sz w:val="24"/>
          <w:szCs w:val="24"/>
        </w:rPr>
        <w:t>复合型</w:t>
      </w:r>
      <w:r>
        <w:rPr>
          <w:rFonts w:ascii="Times New Roman" w:hAnsi="Times New Roman"/>
          <w:kern w:val="0"/>
          <w:sz w:val="24"/>
          <w:szCs w:val="24"/>
        </w:rPr>
        <w:t>MDEA</w:t>
      </w:r>
      <w:r>
        <w:rPr>
          <w:rFonts w:ascii="Times New Roman" w:hAnsi="Times New Roman"/>
          <w:kern w:val="0"/>
          <w:sz w:val="24"/>
          <w:szCs w:val="24"/>
        </w:rPr>
        <w:t>溶剂</w:t>
      </w:r>
      <w:bookmarkEnd w:id="253"/>
      <w:r>
        <w:rPr>
          <w:rFonts w:ascii="Times New Roman" w:hAnsi="Times New Roman"/>
          <w:kern w:val="0"/>
          <w:sz w:val="24"/>
          <w:szCs w:val="24"/>
        </w:rPr>
        <w:t>，该溶剂具有良好的选择吸收性能、酸性气负荷大、腐蚀轻、溶剂使用浓度高、循环量小、能耗低等特点。工艺气体脱硫采取的措施是可行。</w:t>
      </w:r>
    </w:p>
    <w:p w:rsidR="00525419" w:rsidRDefault="00EE1CF7">
      <w:pPr>
        <w:spacing w:line="360" w:lineRule="auto"/>
        <w:ind w:firstLine="200"/>
        <w:rPr>
          <w:rFonts w:ascii="Times New Roman" w:hAnsi="Times New Roman"/>
        </w:rPr>
      </w:pPr>
      <w:r>
        <w:rPr>
          <w:rFonts w:ascii="Times New Roman" w:hAnsi="Times New Roman"/>
          <w:kern w:val="0"/>
          <w:sz w:val="24"/>
          <w:szCs w:val="24"/>
        </w:rPr>
        <w:t xml:space="preserve">　（</w:t>
      </w:r>
      <w:r>
        <w:rPr>
          <w:rFonts w:ascii="Times New Roman" w:hAnsi="Times New Roman"/>
          <w:kern w:val="0"/>
          <w:sz w:val="24"/>
          <w:szCs w:val="24"/>
        </w:rPr>
        <w:t>2</w:t>
      </w:r>
      <w:r>
        <w:rPr>
          <w:rFonts w:ascii="Times New Roman" w:hAnsi="Times New Roman"/>
          <w:kern w:val="0"/>
          <w:sz w:val="24"/>
          <w:szCs w:val="24"/>
        </w:rPr>
        <w:t>）工艺气体回收作燃料气</w:t>
      </w:r>
    </w:p>
    <w:p w:rsidR="00525419" w:rsidRDefault="00EE1CF7">
      <w:pPr>
        <w:spacing w:line="360" w:lineRule="auto"/>
        <w:ind w:firstLine="200"/>
        <w:rPr>
          <w:rFonts w:ascii="Times New Roman" w:hAnsi="Times New Roman"/>
          <w:kern w:val="0"/>
          <w:sz w:val="24"/>
          <w:szCs w:val="24"/>
        </w:rPr>
      </w:pPr>
      <w:r>
        <w:rPr>
          <w:rFonts w:ascii="Times New Roman" w:hAnsi="Times New Roman"/>
          <w:kern w:val="0"/>
          <w:sz w:val="24"/>
          <w:szCs w:val="24"/>
        </w:rPr>
        <w:t xml:space="preserve">　本项目装置产生的干气收集脱硫后作为加热炉燃料，不仅减少了可燃工艺气体的排放量，且充分利用了有用的物料，符合《中国资源综合利用技术政策大纲》相关规定。</w:t>
      </w:r>
    </w:p>
    <w:p w:rsidR="00525419" w:rsidRDefault="00EE1CF7" w:rsidP="00EE1CF7">
      <w:pPr>
        <w:pStyle w:val="3a"/>
        <w:spacing w:beforeLines="50" w:before="166" w:after="156" w:line="360" w:lineRule="auto"/>
        <w:jc w:val="left"/>
        <w:rPr>
          <w:rFonts w:ascii="Times New Roman" w:hAnsi="Times New Roman"/>
          <w:sz w:val="24"/>
          <w:szCs w:val="24"/>
        </w:rPr>
      </w:pPr>
      <w:bookmarkStart w:id="254" w:name="_Toc352019928"/>
      <w:bookmarkStart w:id="255" w:name="_Toc339417164"/>
      <w:r>
        <w:rPr>
          <w:rFonts w:ascii="Times New Roman" w:eastAsia="华文楷体" w:hAnsi="Times New Roman"/>
        </w:rPr>
        <w:t>6.1.3</w:t>
      </w:r>
      <w:r>
        <w:rPr>
          <w:rFonts w:ascii="Times New Roman" w:eastAsia="华文楷体" w:hAnsi="Times New Roman"/>
        </w:rPr>
        <w:t>非正常工况废气防治措施</w:t>
      </w:r>
      <w:bookmarkEnd w:id="254"/>
      <w:bookmarkEnd w:id="255"/>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本项目新建火炬系统，高压火炬竖筒、低压火炬竖筒、酸性气火炬竖筒共用一座三边形变截面双曲线法兰螺栓连接的塔架集中布置，火炬总高为</w:t>
      </w:r>
      <w:r>
        <w:rPr>
          <w:rFonts w:ascii="Times New Roman" w:hAnsi="Times New Roman"/>
          <w:sz w:val="24"/>
        </w:rPr>
        <w:t>110m</w:t>
      </w:r>
      <w:r>
        <w:rPr>
          <w:rFonts w:ascii="Times New Roman" w:hAnsi="Times New Roman"/>
          <w:sz w:val="24"/>
        </w:rPr>
        <w:t>，塔架垂直高度</w:t>
      </w:r>
      <w:r>
        <w:rPr>
          <w:rFonts w:ascii="Times New Roman" w:hAnsi="Times New Roman"/>
          <w:sz w:val="24"/>
        </w:rPr>
        <w:t>105m</w:t>
      </w:r>
      <w:r>
        <w:rPr>
          <w:rFonts w:ascii="Times New Roman" w:hAnsi="Times New Roman"/>
          <w:sz w:val="24"/>
        </w:rPr>
        <w:t>，根开</w:t>
      </w:r>
      <w:r>
        <w:rPr>
          <w:rFonts w:ascii="Times New Roman" w:hAnsi="Times New Roman"/>
          <w:sz w:val="24"/>
        </w:rPr>
        <w:t>18m</w:t>
      </w:r>
      <w:r>
        <w:rPr>
          <w:rFonts w:ascii="Times New Roman" w:hAnsi="Times New Roman"/>
          <w:sz w:val="24"/>
        </w:rPr>
        <w:t>，采用热浸锌防腐。火矩接收气体为厂区生产装置在事故状态时所排放的可燃和不可燃气体。火炬气到达火炬界区后先进卧式分液罐分离火炬气中可能夹带的可燃液体，再进立式水封罐、通过分子封到达火炬头燃烧。火炬系统的点火系统共设置</w:t>
      </w:r>
      <w:r>
        <w:rPr>
          <w:rFonts w:ascii="Times New Roman" w:hAnsi="Times New Roman"/>
          <w:sz w:val="24"/>
        </w:rPr>
        <w:t xml:space="preserve"> 1 </w:t>
      </w:r>
      <w:r>
        <w:rPr>
          <w:rFonts w:ascii="Times New Roman" w:hAnsi="Times New Roman"/>
          <w:sz w:val="24"/>
        </w:rPr>
        <w:t>台防爆点火控制箱，可手动、自动、远程点火操作。并设手动</w:t>
      </w:r>
      <w:r>
        <w:rPr>
          <w:rFonts w:ascii="Times New Roman" w:hAnsi="Times New Roman"/>
          <w:sz w:val="24"/>
        </w:rPr>
        <w:t>/</w:t>
      </w:r>
      <w:r>
        <w:rPr>
          <w:rFonts w:ascii="Times New Roman" w:hAnsi="Times New Roman"/>
          <w:sz w:val="24"/>
        </w:rPr>
        <w:t>自动切换，点火信号硬接线（或通讯协议）至</w:t>
      </w:r>
      <w:r>
        <w:rPr>
          <w:rFonts w:ascii="Times New Roman" w:hAnsi="Times New Roman"/>
          <w:sz w:val="24"/>
        </w:rPr>
        <w:t>DCS</w:t>
      </w:r>
      <w:r>
        <w:rPr>
          <w:rFonts w:ascii="Times New Roman" w:hAnsi="Times New Roman"/>
          <w:sz w:val="24"/>
        </w:rPr>
        <w:t>机柜间。为了确保点火可靠，设置</w:t>
      </w:r>
      <w:r>
        <w:rPr>
          <w:rFonts w:ascii="Times New Roman" w:hAnsi="Times New Roman"/>
          <w:sz w:val="24"/>
        </w:rPr>
        <w:t>1</w:t>
      </w:r>
      <w:r>
        <w:rPr>
          <w:rFonts w:ascii="Times New Roman" w:hAnsi="Times New Roman"/>
          <w:sz w:val="24"/>
        </w:rPr>
        <w:t>套地面爆燃点火装置作为手动备用点火。</w:t>
      </w:r>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6.1.4</w:t>
      </w:r>
      <w:r>
        <w:rPr>
          <w:rFonts w:ascii="Times New Roman" w:eastAsia="华文楷体" w:hAnsi="Times New Roman"/>
        </w:rPr>
        <w:t>恶臭污染控制措施</w:t>
      </w:r>
    </w:p>
    <w:p w:rsidR="00525419" w:rsidRDefault="00EE1CF7">
      <w:pPr>
        <w:spacing w:line="360" w:lineRule="auto"/>
        <w:ind w:firstLineChars="200" w:firstLine="480"/>
        <w:rPr>
          <w:rFonts w:ascii="Times New Roman" w:hAnsi="Times New Roman"/>
          <w:sz w:val="24"/>
        </w:rPr>
      </w:pPr>
      <w:r>
        <w:rPr>
          <w:rFonts w:ascii="Times New Roman" w:hAnsi="Times New Roman"/>
          <w:kern w:val="0"/>
          <w:sz w:val="24"/>
          <w:szCs w:val="24"/>
        </w:rPr>
        <w:t xml:space="preserve">　</w:t>
      </w:r>
      <w:r>
        <w:rPr>
          <w:rFonts w:ascii="Times New Roman" w:hAnsi="Times New Roman"/>
          <w:sz w:val="24"/>
        </w:rPr>
        <w:t>（</w:t>
      </w:r>
      <w:r>
        <w:rPr>
          <w:rFonts w:ascii="Times New Roman" w:hAnsi="Times New Roman"/>
          <w:sz w:val="24"/>
        </w:rPr>
        <w:t>1</w:t>
      </w:r>
      <w:r>
        <w:rPr>
          <w:rFonts w:ascii="Times New Roman" w:hAnsi="Times New Roman"/>
          <w:sz w:val="24"/>
        </w:rPr>
        <w:t>）针对污水处理站扩建部分恶臭产生源进行加盖封闭，将收集废气到生物滤床处理达标后排放。</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 xml:space="preserve">　（</w:t>
      </w:r>
      <w:r>
        <w:rPr>
          <w:rFonts w:ascii="Times New Roman" w:hAnsi="Times New Roman"/>
          <w:sz w:val="24"/>
        </w:rPr>
        <w:t>2</w:t>
      </w:r>
      <w:r>
        <w:rPr>
          <w:rFonts w:ascii="Times New Roman" w:hAnsi="Times New Roman"/>
          <w:sz w:val="24"/>
        </w:rPr>
        <w:t>）现厂区所有设备的安全阀敞口排放改造为密闭排放，加热炉瓦斯缓冲罐的顶部气相线增加安全阀，而本项目所有设备的安全阀为密闭排放，减少恶臭物质排放。</w:t>
      </w:r>
    </w:p>
    <w:p w:rsidR="00525419" w:rsidRDefault="00EE1CF7">
      <w:pPr>
        <w:spacing w:line="360" w:lineRule="auto"/>
        <w:ind w:firstLineChars="200" w:firstLine="480"/>
        <w:rPr>
          <w:rFonts w:ascii="Times New Roman" w:hAnsi="Times New Roman"/>
          <w:sz w:val="24"/>
        </w:rPr>
      </w:pPr>
      <w:r>
        <w:rPr>
          <w:rFonts w:ascii="Times New Roman" w:hAnsi="Times New Roman"/>
          <w:sz w:val="24"/>
        </w:rPr>
        <w:lastRenderedPageBreak/>
        <w:t>（</w:t>
      </w:r>
      <w:r>
        <w:rPr>
          <w:rFonts w:ascii="Times New Roman" w:hAnsi="Times New Roman"/>
          <w:sz w:val="24"/>
        </w:rPr>
        <w:t>3</w:t>
      </w:r>
      <w:r>
        <w:rPr>
          <w:rFonts w:ascii="Times New Roman" w:hAnsi="Times New Roman"/>
          <w:sz w:val="24"/>
        </w:rPr>
        <w:t>）对生产装置、火炬线进行检修密闭吹扫改造，实现密闭吹扫气进燃料管网系统或火炬系统燃烧后排放，严禁直接排空，减少异味物质排放。</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）厂区生产工艺气经脱硫装置后</w:t>
      </w:r>
      <w:r>
        <w:rPr>
          <w:rFonts w:ascii="Times New Roman" w:hAnsi="Times New Roman"/>
          <w:sz w:val="24"/>
        </w:rPr>
        <w:t>H</w:t>
      </w:r>
      <w:r>
        <w:rPr>
          <w:rFonts w:ascii="Times New Roman" w:hAnsi="Times New Roman"/>
          <w:sz w:val="24"/>
          <w:vertAlign w:val="subscript"/>
        </w:rPr>
        <w:t>2</w:t>
      </w:r>
      <w:r>
        <w:rPr>
          <w:rFonts w:ascii="Times New Roman" w:hAnsi="Times New Roman"/>
          <w:sz w:val="24"/>
        </w:rPr>
        <w:t>S</w:t>
      </w:r>
      <w:r>
        <w:rPr>
          <w:rFonts w:ascii="Times New Roman" w:hAnsi="Times New Roman"/>
          <w:sz w:val="24"/>
        </w:rPr>
        <w:t>少于</w:t>
      </w:r>
      <w:r>
        <w:rPr>
          <w:rFonts w:ascii="Times New Roman" w:hAnsi="Times New Roman"/>
          <w:sz w:val="24"/>
        </w:rPr>
        <w:t>20ppm</w:t>
      </w:r>
      <w:r>
        <w:rPr>
          <w:rFonts w:ascii="Times New Roman" w:hAnsi="Times New Roman"/>
          <w:sz w:val="24"/>
        </w:rPr>
        <w:t>作为燃料气利用，减少异味影响。</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）含硫化氢的酸性气处理</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装置的含</w:t>
      </w:r>
      <w:r>
        <w:rPr>
          <w:rFonts w:ascii="Times New Roman" w:hAnsi="Times New Roman"/>
          <w:sz w:val="24"/>
        </w:rPr>
        <w:t>H</w:t>
      </w:r>
      <w:r>
        <w:rPr>
          <w:rFonts w:ascii="Times New Roman" w:hAnsi="Times New Roman"/>
          <w:sz w:val="24"/>
          <w:vertAlign w:val="subscript"/>
        </w:rPr>
        <w:t>2</w:t>
      </w:r>
      <w:r>
        <w:rPr>
          <w:rFonts w:ascii="Times New Roman" w:hAnsi="Times New Roman"/>
          <w:sz w:val="24"/>
        </w:rPr>
        <w:t>S</w:t>
      </w:r>
      <w:r>
        <w:rPr>
          <w:rFonts w:ascii="Times New Roman" w:hAnsi="Times New Roman"/>
          <w:sz w:val="24"/>
        </w:rPr>
        <w:t>干气、液化气首先进行气体脱硫，脱除的</w:t>
      </w:r>
      <w:r>
        <w:rPr>
          <w:rFonts w:ascii="Times New Roman" w:hAnsi="Times New Roman"/>
          <w:sz w:val="24"/>
        </w:rPr>
        <w:t>H</w:t>
      </w:r>
      <w:r>
        <w:rPr>
          <w:rFonts w:ascii="Times New Roman" w:hAnsi="Times New Roman"/>
          <w:sz w:val="24"/>
          <w:vertAlign w:val="subscript"/>
        </w:rPr>
        <w:t>2</w:t>
      </w:r>
      <w:r>
        <w:rPr>
          <w:rFonts w:ascii="Times New Roman" w:hAnsi="Times New Roman"/>
          <w:sz w:val="24"/>
        </w:rPr>
        <w:t>S</w:t>
      </w:r>
      <w:r>
        <w:rPr>
          <w:rFonts w:ascii="Times New Roman" w:hAnsi="Times New Roman"/>
          <w:sz w:val="24"/>
        </w:rPr>
        <w:t>随富胺液到溶剂再生装置，溶剂再生装置、酸性水汽提装置的酸性气送硫磺回收装置处理，且尾气焚烧后排放，减少了硫化氢恶臭影响。</w:t>
      </w:r>
    </w:p>
    <w:p w:rsidR="00525419" w:rsidRDefault="00EE1CF7">
      <w:pPr>
        <w:adjustRightInd w:val="0"/>
        <w:snapToGrid w:val="0"/>
        <w:spacing w:line="460" w:lineRule="exact"/>
        <w:ind w:firstLineChars="200" w:firstLine="480"/>
        <w:rPr>
          <w:rFonts w:ascii="Times New Roman" w:hAnsi="Times New Roman"/>
          <w:sz w:val="24"/>
        </w:rPr>
      </w:pPr>
      <w:r>
        <w:rPr>
          <w:rFonts w:ascii="Times New Roman" w:hAnsi="Times New Roman"/>
          <w:sz w:val="24"/>
        </w:rPr>
        <w:t>（</w:t>
      </w:r>
      <w:r>
        <w:rPr>
          <w:rFonts w:ascii="Times New Roman" w:hAnsi="Times New Roman"/>
          <w:sz w:val="24"/>
        </w:rPr>
        <w:t>6</w:t>
      </w:r>
      <w:r>
        <w:rPr>
          <w:rFonts w:ascii="Times New Roman" w:hAnsi="Times New Roman"/>
          <w:sz w:val="24"/>
        </w:rPr>
        <w:t>）厂区所有酸性水严禁直接排放到污水处理站，经酸性水汽提处理后排放，且厂区所有酸性气硫磺回收装置处理，一旦硫磺回收装置事故时，酸性气到应急的碱液脱硫装置处理到火炬排放，减少了异味的影响。</w:t>
      </w:r>
    </w:p>
    <w:p w:rsidR="00525419" w:rsidRDefault="00EE1CF7">
      <w:pPr>
        <w:adjustRightInd w:val="0"/>
        <w:snapToGrid w:val="0"/>
        <w:spacing w:line="460" w:lineRule="exact"/>
        <w:ind w:firstLineChars="200" w:firstLine="480"/>
        <w:rPr>
          <w:rFonts w:ascii="Times New Roman" w:hAnsi="Times New Roman"/>
          <w:sz w:val="24"/>
        </w:rPr>
      </w:pPr>
      <w:r>
        <w:rPr>
          <w:rFonts w:ascii="Times New Roman" w:hAnsi="Times New Roman"/>
          <w:sz w:val="24"/>
        </w:rPr>
        <w:t>（</w:t>
      </w:r>
      <w:r>
        <w:rPr>
          <w:rFonts w:ascii="Times New Roman" w:hAnsi="Times New Roman"/>
          <w:sz w:val="24"/>
        </w:rPr>
        <w:t>7</w:t>
      </w:r>
      <w:r>
        <w:rPr>
          <w:rFonts w:ascii="Times New Roman" w:hAnsi="Times New Roman"/>
          <w:sz w:val="24"/>
        </w:rPr>
        <w:t>）对厂区现有储罐进行密闭改造，且整个厂区开展设备泄漏检测与修复，减少异味的产生及排放。</w:t>
      </w:r>
    </w:p>
    <w:p w:rsidR="00525419" w:rsidRDefault="00EE1CF7">
      <w:pPr>
        <w:adjustRightInd w:val="0"/>
        <w:snapToGrid w:val="0"/>
        <w:spacing w:line="460" w:lineRule="exact"/>
        <w:ind w:firstLineChars="200" w:firstLine="480"/>
        <w:rPr>
          <w:rFonts w:ascii="Times New Roman" w:hAnsi="Times New Roman"/>
          <w:sz w:val="24"/>
        </w:rPr>
      </w:pPr>
      <w:r>
        <w:rPr>
          <w:rFonts w:ascii="Times New Roman" w:hAnsi="Times New Roman"/>
          <w:sz w:val="24"/>
        </w:rPr>
        <w:t>通过以上措施，减少了厂区异味及恶臭对外环境的影响，可保障对火车站镇居民区不产生恶臭影响。</w:t>
      </w:r>
    </w:p>
    <w:p w:rsidR="00525419" w:rsidRDefault="00EE1CF7" w:rsidP="00EE1CF7">
      <w:pPr>
        <w:pStyle w:val="2a"/>
        <w:spacing w:beforeLines="50" w:before="166" w:after="166"/>
        <w:ind w:left="578" w:hanging="578"/>
        <w:rPr>
          <w:rFonts w:ascii="Times New Roman" w:eastAsia="楷体_GB2312" w:hAnsi="Times New Roman"/>
          <w:sz w:val="36"/>
        </w:rPr>
      </w:pPr>
      <w:bookmarkStart w:id="256" w:name="_Toc339417165"/>
      <w:bookmarkStart w:id="257" w:name="_Toc19810"/>
      <w:bookmarkStart w:id="258" w:name="_Toc352019929"/>
      <w:bookmarkStart w:id="259" w:name="_Toc484775653"/>
      <w:bookmarkStart w:id="260" w:name="_Toc248716491"/>
      <w:r>
        <w:rPr>
          <w:rFonts w:ascii="Times New Roman" w:eastAsia="楷体_GB2312" w:hAnsi="Times New Roman"/>
          <w:sz w:val="36"/>
        </w:rPr>
        <w:t>6.2</w:t>
      </w:r>
      <w:r>
        <w:rPr>
          <w:rFonts w:ascii="Times New Roman" w:eastAsia="楷体_GB2312" w:hAnsi="Times New Roman"/>
          <w:sz w:val="36"/>
        </w:rPr>
        <w:t>运营期废水防治措施</w:t>
      </w:r>
      <w:bookmarkEnd w:id="256"/>
      <w:bookmarkEnd w:id="257"/>
      <w:bookmarkEnd w:id="258"/>
      <w:bookmarkEnd w:id="259"/>
      <w:bookmarkEnd w:id="260"/>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6.2.1</w:t>
      </w:r>
      <w:r>
        <w:rPr>
          <w:rFonts w:ascii="Times New Roman" w:eastAsia="华文楷体" w:hAnsi="Times New Roman"/>
        </w:rPr>
        <w:t>废水产生情况</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本项目有天然气制氢装置</w:t>
      </w:r>
      <w:r>
        <w:rPr>
          <w:rFonts w:ascii="Times New Roman" w:hAnsi="Times New Roman"/>
          <w:sz w:val="24"/>
          <w:szCs w:val="24"/>
        </w:rPr>
        <w:t>扩容排污器排放污水、焦油</w:t>
      </w:r>
      <w:r>
        <w:rPr>
          <w:rFonts w:ascii="Times New Roman" w:hAnsi="Times New Roman"/>
          <w:sz w:val="24"/>
        </w:rPr>
        <w:t>加氢单元</w:t>
      </w:r>
      <w:r>
        <w:rPr>
          <w:rFonts w:ascii="Times New Roman" w:hAnsi="Times New Roman"/>
          <w:sz w:val="24"/>
          <w:szCs w:val="24"/>
        </w:rPr>
        <w:t>回流罐和高低压分离排放的含硫废水、</w:t>
      </w:r>
      <w:r>
        <w:rPr>
          <w:rFonts w:ascii="Times New Roman" w:hAnsi="Times New Roman"/>
          <w:sz w:val="24"/>
        </w:rPr>
        <w:t>罐区切水排放的含油废水、循环水定期排污、脱盐水站排放的含盐废水和生活污水。</w:t>
      </w:r>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6.2.2</w:t>
      </w:r>
      <w:r>
        <w:rPr>
          <w:rFonts w:ascii="Times New Roman" w:eastAsia="华文楷体" w:hAnsi="Times New Roman"/>
        </w:rPr>
        <w:t>废水处理方案</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bookmarkStart w:id="261" w:name="_Toc339417166"/>
      <w:bookmarkStart w:id="262" w:name="_Toc352019930"/>
      <w:r>
        <w:rPr>
          <w:rFonts w:ascii="Times New Roman" w:hAnsi="Times New Roman" w:cs="Times New Roman"/>
          <w:kern w:val="44"/>
          <w:sz w:val="24"/>
          <w:szCs w:val="24"/>
        </w:rPr>
        <w:t>6.2.2.1</w:t>
      </w:r>
      <w:r>
        <w:rPr>
          <w:rFonts w:ascii="Times New Roman" w:hAnsi="Times New Roman" w:cs="Times New Roman"/>
          <w:kern w:val="44"/>
          <w:sz w:val="24"/>
          <w:szCs w:val="24"/>
        </w:rPr>
        <w:t>含硫废水处理方案</w:t>
      </w:r>
      <w:bookmarkEnd w:id="261"/>
      <w:bookmarkEnd w:id="262"/>
    </w:p>
    <w:p w:rsidR="00525419" w:rsidRDefault="00EE1CF7">
      <w:pPr>
        <w:pStyle w:val="2f5"/>
        <w:spacing w:after="0" w:line="460" w:lineRule="exact"/>
        <w:ind w:leftChars="0" w:left="0" w:firstLine="480"/>
        <w:rPr>
          <w:sz w:val="24"/>
        </w:rPr>
      </w:pPr>
      <w:r>
        <w:rPr>
          <w:sz w:val="24"/>
        </w:rPr>
        <w:t>厂区含硫污水送酸性水汽提装置处理，酸性水汽提采用单塔低压全吹出汽提工艺方案。</w:t>
      </w:r>
    </w:p>
    <w:p w:rsidR="00525419" w:rsidRDefault="00EE1CF7">
      <w:pPr>
        <w:pStyle w:val="2f5"/>
        <w:spacing w:after="0" w:line="460" w:lineRule="exact"/>
        <w:ind w:leftChars="0" w:left="0" w:firstLine="480"/>
        <w:rPr>
          <w:sz w:val="24"/>
        </w:rPr>
      </w:pPr>
      <w:r>
        <w:rPr>
          <w:sz w:val="24"/>
        </w:rPr>
        <w:t>含硫废水可看成是一种硫化氢、氨和二氧化碳等多元水溶液，在水中它们以</w:t>
      </w:r>
      <w:r>
        <w:rPr>
          <w:sz w:val="24"/>
        </w:rPr>
        <w:t>NH</w:t>
      </w:r>
      <w:r>
        <w:rPr>
          <w:sz w:val="24"/>
          <w:vertAlign w:val="subscript"/>
        </w:rPr>
        <w:t>4</w:t>
      </w:r>
      <w:r>
        <w:rPr>
          <w:sz w:val="24"/>
        </w:rPr>
        <w:t>SH</w:t>
      </w:r>
      <w:r>
        <w:rPr>
          <w:sz w:val="24"/>
        </w:rPr>
        <w:t>、</w:t>
      </w:r>
      <w:r>
        <w:rPr>
          <w:sz w:val="24"/>
        </w:rPr>
        <w:t>(NH</w:t>
      </w:r>
      <w:r>
        <w:rPr>
          <w:sz w:val="24"/>
          <w:vertAlign w:val="subscript"/>
        </w:rPr>
        <w:t>4</w:t>
      </w:r>
      <w:r>
        <w:rPr>
          <w:sz w:val="24"/>
        </w:rPr>
        <w:t>)</w:t>
      </w:r>
      <w:r>
        <w:rPr>
          <w:sz w:val="24"/>
          <w:vertAlign w:val="subscript"/>
        </w:rPr>
        <w:t>2</w:t>
      </w:r>
      <w:r>
        <w:rPr>
          <w:sz w:val="24"/>
        </w:rPr>
        <w:t>S</w:t>
      </w:r>
      <w:r>
        <w:rPr>
          <w:sz w:val="24"/>
        </w:rPr>
        <w:t>、</w:t>
      </w:r>
      <w:r>
        <w:rPr>
          <w:sz w:val="24"/>
        </w:rPr>
        <w:t>(NH</w:t>
      </w:r>
      <w:r>
        <w:rPr>
          <w:sz w:val="24"/>
          <w:vertAlign w:val="subscript"/>
        </w:rPr>
        <w:t>4</w:t>
      </w:r>
      <w:r>
        <w:rPr>
          <w:sz w:val="24"/>
        </w:rPr>
        <w:t>)</w:t>
      </w:r>
      <w:r>
        <w:rPr>
          <w:sz w:val="24"/>
          <w:vertAlign w:val="subscript"/>
        </w:rPr>
        <w:t>2</w:t>
      </w:r>
      <w:r>
        <w:rPr>
          <w:sz w:val="24"/>
        </w:rPr>
        <w:t>CO</w:t>
      </w:r>
      <w:r>
        <w:rPr>
          <w:sz w:val="24"/>
          <w:vertAlign w:val="subscript"/>
        </w:rPr>
        <w:t>3</w:t>
      </w:r>
      <w:r>
        <w:rPr>
          <w:sz w:val="24"/>
        </w:rPr>
        <w:t>、</w:t>
      </w:r>
      <w:r>
        <w:rPr>
          <w:sz w:val="24"/>
        </w:rPr>
        <w:t>HN</w:t>
      </w:r>
      <w:r>
        <w:rPr>
          <w:sz w:val="24"/>
          <w:vertAlign w:val="subscript"/>
        </w:rPr>
        <w:t>4</w:t>
      </w:r>
      <w:r>
        <w:rPr>
          <w:sz w:val="24"/>
        </w:rPr>
        <w:t>HCO</w:t>
      </w:r>
      <w:r>
        <w:rPr>
          <w:sz w:val="24"/>
          <w:vertAlign w:val="subscript"/>
        </w:rPr>
        <w:t>3</w:t>
      </w:r>
      <w:r>
        <w:rPr>
          <w:sz w:val="24"/>
        </w:rPr>
        <w:t>等铵盐形式存在，这些弱酸盐在水中</w:t>
      </w:r>
      <w:r>
        <w:rPr>
          <w:sz w:val="24"/>
        </w:rPr>
        <w:lastRenderedPageBreak/>
        <w:t>分解分别产生游离态</w:t>
      </w:r>
      <w:r>
        <w:rPr>
          <w:sz w:val="24"/>
        </w:rPr>
        <w:t>H</w:t>
      </w:r>
      <w:r>
        <w:rPr>
          <w:sz w:val="24"/>
          <w:vertAlign w:val="subscript"/>
        </w:rPr>
        <w:t>2</w:t>
      </w:r>
      <w:r>
        <w:rPr>
          <w:sz w:val="24"/>
        </w:rPr>
        <w:t>S</w:t>
      </w:r>
      <w:r>
        <w:rPr>
          <w:sz w:val="24"/>
        </w:rPr>
        <w:t>、</w:t>
      </w:r>
      <w:r>
        <w:rPr>
          <w:sz w:val="24"/>
        </w:rPr>
        <w:t>NH</w:t>
      </w:r>
      <w:r>
        <w:rPr>
          <w:sz w:val="24"/>
          <w:vertAlign w:val="subscript"/>
        </w:rPr>
        <w:t>3</w:t>
      </w:r>
      <w:r>
        <w:rPr>
          <w:sz w:val="24"/>
        </w:rPr>
        <w:t>和</w:t>
      </w:r>
      <w:r>
        <w:rPr>
          <w:sz w:val="24"/>
        </w:rPr>
        <w:t>CO</w:t>
      </w:r>
      <w:r>
        <w:rPr>
          <w:sz w:val="24"/>
          <w:vertAlign w:val="subscript"/>
        </w:rPr>
        <w:t>2</w:t>
      </w:r>
      <w:r>
        <w:rPr>
          <w:sz w:val="24"/>
        </w:rPr>
        <w:t>。通入水蒸汽进行加热和降低气相中的</w:t>
      </w:r>
      <w:r>
        <w:rPr>
          <w:sz w:val="24"/>
        </w:rPr>
        <w:t>H</w:t>
      </w:r>
      <w:r>
        <w:rPr>
          <w:sz w:val="24"/>
          <w:vertAlign w:val="subscript"/>
        </w:rPr>
        <w:t>2</w:t>
      </w:r>
      <w:r>
        <w:rPr>
          <w:sz w:val="24"/>
        </w:rPr>
        <w:t>S</w:t>
      </w:r>
      <w:r>
        <w:rPr>
          <w:sz w:val="24"/>
        </w:rPr>
        <w:t>、</w:t>
      </w:r>
      <w:r>
        <w:rPr>
          <w:sz w:val="24"/>
        </w:rPr>
        <w:t>NH</w:t>
      </w:r>
      <w:r>
        <w:rPr>
          <w:sz w:val="24"/>
          <w:vertAlign w:val="subscript"/>
        </w:rPr>
        <w:t>3</w:t>
      </w:r>
      <w:r>
        <w:rPr>
          <w:sz w:val="24"/>
        </w:rPr>
        <w:t>和</w:t>
      </w:r>
      <w:r>
        <w:rPr>
          <w:sz w:val="24"/>
        </w:rPr>
        <w:t>CO</w:t>
      </w:r>
      <w:r>
        <w:rPr>
          <w:sz w:val="24"/>
          <w:vertAlign w:val="subscript"/>
        </w:rPr>
        <w:t>2</w:t>
      </w:r>
      <w:r>
        <w:rPr>
          <w:sz w:val="24"/>
        </w:rPr>
        <w:t>分压的双重作用，促进他们从液相进入气相而达到净化水质的目的。工艺流程有单塔低压、单塔加压无侧线抽出、有抽线抽出，双塔加压，高低压等多种。</w:t>
      </w:r>
    </w:p>
    <w:p w:rsidR="00525419" w:rsidRDefault="00EE1CF7">
      <w:pPr>
        <w:pStyle w:val="2f5"/>
        <w:spacing w:after="0" w:line="460" w:lineRule="exact"/>
        <w:ind w:leftChars="0" w:left="0" w:firstLine="480"/>
        <w:rPr>
          <w:sz w:val="24"/>
        </w:rPr>
      </w:pPr>
      <w:r>
        <w:rPr>
          <w:sz w:val="24"/>
        </w:rPr>
        <w:t>单塔低压侧线抽出气提装置在同类装置的生产实践中表明技术成熟，工艺流程简单、投资少、操作费用低的特点，在国内广泛使用。使酸性气中</w:t>
      </w:r>
      <w:r>
        <w:rPr>
          <w:sz w:val="24"/>
        </w:rPr>
        <w:t>H</w:t>
      </w:r>
      <w:r>
        <w:rPr>
          <w:sz w:val="24"/>
          <w:vertAlign w:val="subscript"/>
        </w:rPr>
        <w:t>2</w:t>
      </w:r>
      <w:r>
        <w:rPr>
          <w:sz w:val="24"/>
        </w:rPr>
        <w:t>S</w:t>
      </w:r>
      <w:r>
        <w:rPr>
          <w:sz w:val="24"/>
        </w:rPr>
        <w:t>质量和净化水中的</w:t>
      </w:r>
      <w:r>
        <w:rPr>
          <w:sz w:val="24"/>
        </w:rPr>
        <w:t>H</w:t>
      </w:r>
      <w:r>
        <w:rPr>
          <w:sz w:val="24"/>
          <w:vertAlign w:val="subscript"/>
        </w:rPr>
        <w:t>2</w:t>
      </w:r>
      <w:r>
        <w:rPr>
          <w:sz w:val="24"/>
        </w:rPr>
        <w:t>S</w:t>
      </w:r>
      <w:r>
        <w:rPr>
          <w:sz w:val="24"/>
        </w:rPr>
        <w:t>、</w:t>
      </w:r>
      <w:r>
        <w:rPr>
          <w:sz w:val="24"/>
        </w:rPr>
        <w:t>NH</w:t>
      </w:r>
      <w:r>
        <w:rPr>
          <w:sz w:val="24"/>
          <w:vertAlign w:val="subscript"/>
        </w:rPr>
        <w:t>3</w:t>
      </w:r>
      <w:r>
        <w:rPr>
          <w:sz w:val="24"/>
        </w:rPr>
        <w:t>浓度要求都可获得保证。</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bookmarkStart w:id="263" w:name="_Toc339417167"/>
      <w:bookmarkStart w:id="264" w:name="_Toc352019931"/>
      <w:r>
        <w:rPr>
          <w:rFonts w:ascii="Times New Roman" w:hAnsi="Times New Roman" w:cs="Times New Roman"/>
          <w:kern w:val="44"/>
          <w:sz w:val="24"/>
          <w:szCs w:val="24"/>
        </w:rPr>
        <w:t>6.2.2.2</w:t>
      </w:r>
      <w:r>
        <w:rPr>
          <w:rFonts w:ascii="Times New Roman" w:hAnsi="Times New Roman" w:cs="Times New Roman"/>
          <w:kern w:val="44"/>
          <w:sz w:val="24"/>
          <w:szCs w:val="24"/>
        </w:rPr>
        <w:t>含油废水处理方案</w:t>
      </w:r>
      <w:bookmarkEnd w:id="263"/>
      <w:bookmarkEnd w:id="264"/>
    </w:p>
    <w:p w:rsidR="00525419" w:rsidRDefault="00EE1CF7">
      <w:pPr>
        <w:spacing w:line="360" w:lineRule="auto"/>
        <w:ind w:firstLineChars="200" w:firstLine="480"/>
        <w:rPr>
          <w:rFonts w:ascii="Times New Roman" w:hAnsi="Times New Roman"/>
          <w:sz w:val="24"/>
        </w:rPr>
      </w:pPr>
      <w:r>
        <w:rPr>
          <w:rFonts w:ascii="Times New Roman" w:hAnsi="Times New Roman"/>
          <w:sz w:val="24"/>
        </w:rPr>
        <w:t>本项目罐区切水到现有的污水处理站处理。</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6.2.2.3</w:t>
      </w:r>
      <w:r>
        <w:rPr>
          <w:rFonts w:ascii="Times New Roman" w:hAnsi="Times New Roman" w:cs="Times New Roman"/>
          <w:kern w:val="44"/>
          <w:sz w:val="24"/>
          <w:szCs w:val="24"/>
        </w:rPr>
        <w:t>含盐废水处理方案</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本项目循环水排污进入现有污水处理站进行处理。</w:t>
      </w:r>
    </w:p>
    <w:p w:rsidR="00525419" w:rsidRDefault="00EE1CF7">
      <w:pPr>
        <w:spacing w:line="360" w:lineRule="auto"/>
        <w:ind w:firstLineChars="200" w:firstLine="480"/>
        <w:rPr>
          <w:rFonts w:ascii="Times New Roman" w:hAnsi="Times New Roman"/>
          <w:sz w:val="24"/>
        </w:rPr>
      </w:pPr>
      <w:r>
        <w:rPr>
          <w:rFonts w:ascii="Times New Roman" w:hAnsi="Times New Roman" w:hint="eastAsia"/>
          <w:sz w:val="24"/>
        </w:rPr>
        <w:t>脱盐水站产生含盐废水</w:t>
      </w:r>
      <w:r>
        <w:rPr>
          <w:rFonts w:ascii="Times New Roman" w:hAnsi="Times New Roman"/>
          <w:sz w:val="24"/>
        </w:rPr>
        <w:t>进入浓盐水处理装置处理后作为循环水回用</w:t>
      </w:r>
      <w:r>
        <w:rPr>
          <w:rFonts w:ascii="Times New Roman" w:hAnsi="Times New Roman" w:hint="eastAsia"/>
          <w:sz w:val="24"/>
        </w:rPr>
        <w:t>。</w:t>
      </w: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6.2.2.4</w:t>
      </w:r>
      <w:r>
        <w:rPr>
          <w:rFonts w:ascii="Times New Roman" w:hAnsi="Times New Roman" w:cs="Times New Roman"/>
          <w:kern w:val="44"/>
          <w:sz w:val="24"/>
          <w:szCs w:val="24"/>
        </w:rPr>
        <w:t>生活污水处理方案</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生活污水（食堂含油污水经隔油池处理）由车辆拉运至厂区污水处理站生化处理单元进行处理。</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综上分析，本项目设置的排水系统可以做到</w:t>
      </w:r>
      <w:r>
        <w:rPr>
          <w:rFonts w:ascii="Times New Roman" w:hAnsi="Times New Roman"/>
          <w:sz w:val="24"/>
          <w:szCs w:val="24"/>
        </w:rPr>
        <w:t>“</w:t>
      </w:r>
      <w:r>
        <w:rPr>
          <w:rFonts w:ascii="Times New Roman" w:hAnsi="Times New Roman"/>
          <w:sz w:val="24"/>
          <w:szCs w:val="24"/>
        </w:rPr>
        <w:t>污污分流，清污分流</w:t>
      </w:r>
      <w:r>
        <w:rPr>
          <w:rFonts w:ascii="Times New Roman" w:hAnsi="Times New Roman"/>
          <w:sz w:val="24"/>
          <w:szCs w:val="24"/>
        </w:rPr>
        <w:t>”</w:t>
      </w:r>
      <w:r>
        <w:rPr>
          <w:rFonts w:ascii="Times New Roman" w:hAnsi="Times New Roman"/>
          <w:sz w:val="24"/>
          <w:szCs w:val="24"/>
        </w:rPr>
        <w:t>，然后根据废水的不同水质分别治理，设计合理，符合废水分类处置要求。</w:t>
      </w:r>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6.2.3</w:t>
      </w:r>
      <w:r>
        <w:rPr>
          <w:rFonts w:ascii="Times New Roman" w:eastAsia="华文楷体" w:hAnsi="Times New Roman"/>
        </w:rPr>
        <w:t>污水处理站依托可行性分析</w:t>
      </w:r>
    </w:p>
    <w:p w:rsidR="00525419" w:rsidRDefault="00EE1CF7">
      <w:pPr>
        <w:pStyle w:val="4a"/>
        <w:widowControl/>
        <w:adjustRightInd w:val="0"/>
        <w:snapToGrid w:val="0"/>
        <w:spacing w:before="0" w:after="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6.2.3.1</w:t>
      </w:r>
      <w:r>
        <w:rPr>
          <w:rFonts w:ascii="Times New Roman" w:hAnsi="Times New Roman" w:cs="Times New Roman"/>
          <w:kern w:val="44"/>
          <w:sz w:val="24"/>
          <w:szCs w:val="24"/>
        </w:rPr>
        <w:t>处理规模</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厂区建有污水处理站</w:t>
      </w:r>
      <w:r>
        <w:rPr>
          <w:rFonts w:ascii="Times New Roman" w:hAnsi="Times New Roman"/>
          <w:sz w:val="24"/>
          <w:szCs w:val="24"/>
        </w:rPr>
        <w:t>1</w:t>
      </w:r>
      <w:r>
        <w:rPr>
          <w:rFonts w:ascii="Times New Roman" w:hAnsi="Times New Roman"/>
          <w:sz w:val="24"/>
          <w:szCs w:val="24"/>
        </w:rPr>
        <w:t>座，位于美汇特现厂区西南角，设计处理能力为</w:t>
      </w:r>
      <w:r>
        <w:rPr>
          <w:rFonts w:ascii="Times New Roman" w:hAnsi="Times New Roman"/>
          <w:sz w:val="24"/>
          <w:szCs w:val="24"/>
        </w:rPr>
        <w:t>80m</w:t>
      </w:r>
      <w:r>
        <w:rPr>
          <w:rFonts w:ascii="Times New Roman" w:hAnsi="Times New Roman"/>
          <w:sz w:val="24"/>
          <w:szCs w:val="24"/>
          <w:vertAlign w:val="superscript"/>
        </w:rPr>
        <w:t>3</w:t>
      </w:r>
      <w:r>
        <w:rPr>
          <w:rFonts w:ascii="Times New Roman" w:hAnsi="Times New Roman"/>
          <w:sz w:val="24"/>
          <w:szCs w:val="24"/>
        </w:rPr>
        <w:t>/h</w:t>
      </w:r>
      <w:r>
        <w:rPr>
          <w:rFonts w:ascii="Times New Roman" w:hAnsi="Times New Roman"/>
          <w:sz w:val="24"/>
          <w:szCs w:val="24"/>
        </w:rPr>
        <w:t>，负责处理项目区含油污水（包括装置产生的含油污水和其它含油污水）生活污水等。污水处理站现处理废水量为</w:t>
      </w:r>
      <w:r>
        <w:rPr>
          <w:rFonts w:ascii="Times New Roman" w:hAnsi="Times New Roman"/>
          <w:sz w:val="24"/>
          <w:szCs w:val="24"/>
        </w:rPr>
        <w:t>30 m</w:t>
      </w:r>
      <w:r>
        <w:rPr>
          <w:rFonts w:ascii="Times New Roman" w:hAnsi="Times New Roman"/>
          <w:sz w:val="24"/>
          <w:szCs w:val="24"/>
          <w:vertAlign w:val="superscript"/>
        </w:rPr>
        <w:t>3</w:t>
      </w:r>
      <w:r>
        <w:rPr>
          <w:rFonts w:ascii="Times New Roman" w:hAnsi="Times New Roman"/>
          <w:sz w:val="24"/>
          <w:szCs w:val="24"/>
        </w:rPr>
        <w:t>/h</w:t>
      </w:r>
      <w:r>
        <w:rPr>
          <w:rFonts w:ascii="Times New Roman" w:hAnsi="Times New Roman"/>
          <w:sz w:val="24"/>
          <w:szCs w:val="24"/>
        </w:rPr>
        <w:t>，还有</w:t>
      </w:r>
      <w:r>
        <w:rPr>
          <w:rFonts w:ascii="Times New Roman" w:hAnsi="Times New Roman"/>
          <w:sz w:val="24"/>
          <w:szCs w:val="24"/>
        </w:rPr>
        <w:t>50 m</w:t>
      </w:r>
      <w:r>
        <w:rPr>
          <w:rFonts w:ascii="Times New Roman" w:hAnsi="Times New Roman"/>
          <w:sz w:val="24"/>
          <w:szCs w:val="24"/>
          <w:vertAlign w:val="superscript"/>
        </w:rPr>
        <w:t>3</w:t>
      </w:r>
      <w:r>
        <w:rPr>
          <w:rFonts w:ascii="Times New Roman" w:hAnsi="Times New Roman"/>
          <w:sz w:val="24"/>
          <w:szCs w:val="24"/>
        </w:rPr>
        <w:t>/h</w:t>
      </w:r>
      <w:r>
        <w:rPr>
          <w:rFonts w:ascii="Times New Roman" w:hAnsi="Times New Roman"/>
          <w:sz w:val="24"/>
          <w:szCs w:val="24"/>
        </w:rPr>
        <w:t>富裕量，而本项目需要处理含油废水量</w:t>
      </w:r>
      <w:r>
        <w:rPr>
          <w:rFonts w:ascii="Times New Roman" w:hAnsi="Times New Roman"/>
          <w:sz w:val="24"/>
          <w:szCs w:val="24"/>
        </w:rPr>
        <w:t>20.44m</w:t>
      </w:r>
      <w:r>
        <w:rPr>
          <w:rFonts w:ascii="Times New Roman" w:hAnsi="Times New Roman"/>
          <w:sz w:val="24"/>
          <w:szCs w:val="24"/>
          <w:vertAlign w:val="superscript"/>
        </w:rPr>
        <w:t>3</w:t>
      </w:r>
      <w:r>
        <w:rPr>
          <w:rFonts w:ascii="Times New Roman" w:hAnsi="Times New Roman"/>
          <w:sz w:val="24"/>
          <w:szCs w:val="24"/>
        </w:rPr>
        <w:t>/h</w:t>
      </w:r>
      <w:r>
        <w:rPr>
          <w:rFonts w:ascii="Times New Roman" w:hAnsi="Times New Roman"/>
          <w:sz w:val="24"/>
          <w:szCs w:val="24"/>
        </w:rPr>
        <w:t>，现有的预处理单元处理规模不能满足整个厂区含油废水处理量，因此对依托污水处理站预处理单元进行扩建，增设气浮处理设备（涡凹气浮装置</w:t>
      </w:r>
      <w:r>
        <w:rPr>
          <w:rFonts w:ascii="Times New Roman" w:hAnsi="Times New Roman"/>
          <w:sz w:val="24"/>
          <w:szCs w:val="24"/>
        </w:rPr>
        <w:t>1</w:t>
      </w:r>
      <w:r>
        <w:rPr>
          <w:rFonts w:ascii="Times New Roman" w:hAnsi="Times New Roman"/>
          <w:sz w:val="24"/>
          <w:szCs w:val="24"/>
        </w:rPr>
        <w:t>套</w:t>
      </w:r>
      <w:r>
        <w:rPr>
          <w:rFonts w:ascii="Times New Roman" w:hAnsi="Times New Roman"/>
          <w:sz w:val="24"/>
          <w:szCs w:val="24"/>
        </w:rPr>
        <w:t>+</w:t>
      </w:r>
      <w:r>
        <w:rPr>
          <w:rFonts w:ascii="Times New Roman" w:hAnsi="Times New Roman"/>
          <w:sz w:val="24"/>
          <w:szCs w:val="24"/>
        </w:rPr>
        <w:t>溶气气浮</w:t>
      </w:r>
      <w:r>
        <w:rPr>
          <w:rFonts w:ascii="Times New Roman" w:hAnsi="Times New Roman"/>
          <w:sz w:val="24"/>
          <w:szCs w:val="24"/>
        </w:rPr>
        <w:t>1</w:t>
      </w:r>
      <w:r>
        <w:rPr>
          <w:rFonts w:ascii="Times New Roman" w:hAnsi="Times New Roman"/>
          <w:sz w:val="24"/>
          <w:szCs w:val="24"/>
        </w:rPr>
        <w:t>套），扩建后处理规模不变。</w:t>
      </w:r>
    </w:p>
    <w:p w:rsidR="00525419" w:rsidRDefault="00EE1CF7">
      <w:pPr>
        <w:pStyle w:val="4a"/>
        <w:widowControl/>
        <w:adjustRightInd w:val="0"/>
        <w:snapToGrid w:val="0"/>
        <w:spacing w:before="100" w:after="10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lastRenderedPageBreak/>
        <w:t>6.2.3.2</w:t>
      </w:r>
      <w:r>
        <w:rPr>
          <w:rFonts w:ascii="Times New Roman" w:hAnsi="Times New Roman" w:cs="Times New Roman"/>
          <w:kern w:val="44"/>
          <w:sz w:val="24"/>
          <w:szCs w:val="24"/>
        </w:rPr>
        <w:t>污水处理工艺流程</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现有污水站的处理工艺采用预处理</w:t>
      </w:r>
      <w:r>
        <w:rPr>
          <w:rFonts w:ascii="Times New Roman" w:hAnsi="Times New Roman"/>
          <w:sz w:val="24"/>
          <w:szCs w:val="24"/>
        </w:rPr>
        <w:t xml:space="preserve">+A/O </w:t>
      </w:r>
      <w:r>
        <w:rPr>
          <w:rFonts w:ascii="Times New Roman" w:hAnsi="Times New Roman"/>
          <w:sz w:val="24"/>
          <w:szCs w:val="24"/>
        </w:rPr>
        <w:t>生化处理和</w:t>
      </w:r>
      <w:r>
        <w:rPr>
          <w:rFonts w:ascii="Times New Roman" w:hAnsi="Times New Roman"/>
          <w:sz w:val="24"/>
          <w:szCs w:val="24"/>
        </w:rPr>
        <w:t xml:space="preserve">BAF </w:t>
      </w:r>
      <w:r>
        <w:rPr>
          <w:rFonts w:ascii="Times New Roman" w:hAnsi="Times New Roman"/>
          <w:sz w:val="24"/>
          <w:szCs w:val="24"/>
        </w:rPr>
        <w:t>深度处理</w:t>
      </w:r>
      <w:r>
        <w:rPr>
          <w:rFonts w:ascii="Times New Roman" w:hAnsi="Times New Roman"/>
          <w:sz w:val="24"/>
          <w:szCs w:val="24"/>
        </w:rPr>
        <w:t>+</w:t>
      </w:r>
      <w:r>
        <w:rPr>
          <w:rFonts w:ascii="Times New Roman" w:hAnsi="Times New Roman"/>
          <w:sz w:val="24"/>
          <w:szCs w:val="24"/>
        </w:rPr>
        <w:t>超滤装置处理。本次主要针对预处理单元中的隔油装置进行扩建，增设气浮处理设备（涡凹气浮装置</w:t>
      </w:r>
      <w:r>
        <w:rPr>
          <w:rFonts w:ascii="Times New Roman" w:hAnsi="Times New Roman"/>
          <w:sz w:val="24"/>
          <w:szCs w:val="24"/>
        </w:rPr>
        <w:t>1</w:t>
      </w:r>
      <w:r>
        <w:rPr>
          <w:rFonts w:ascii="Times New Roman" w:hAnsi="Times New Roman"/>
          <w:sz w:val="24"/>
          <w:szCs w:val="24"/>
        </w:rPr>
        <w:t>套</w:t>
      </w:r>
      <w:r>
        <w:rPr>
          <w:rFonts w:ascii="Times New Roman" w:hAnsi="Times New Roman"/>
          <w:sz w:val="24"/>
          <w:szCs w:val="24"/>
        </w:rPr>
        <w:t>+</w:t>
      </w:r>
      <w:r>
        <w:rPr>
          <w:rFonts w:ascii="Times New Roman" w:hAnsi="Times New Roman"/>
          <w:sz w:val="24"/>
          <w:szCs w:val="24"/>
        </w:rPr>
        <w:t>溶气气浮</w:t>
      </w:r>
      <w:r>
        <w:rPr>
          <w:rFonts w:ascii="Times New Roman" w:hAnsi="Times New Roman"/>
          <w:sz w:val="24"/>
          <w:szCs w:val="24"/>
        </w:rPr>
        <w:t>1</w:t>
      </w:r>
      <w:r>
        <w:rPr>
          <w:rFonts w:ascii="Times New Roman" w:hAnsi="Times New Roman"/>
          <w:sz w:val="24"/>
          <w:szCs w:val="24"/>
        </w:rPr>
        <w:t>套），现有污水处理站其他单元工艺流程及规模不变，具体见</w:t>
      </w:r>
      <w:r>
        <w:rPr>
          <w:rFonts w:ascii="Times New Roman" w:hAnsi="Times New Roman"/>
          <w:sz w:val="24"/>
          <w:szCs w:val="24"/>
        </w:rPr>
        <w:t>3.2.4.2</w:t>
      </w:r>
      <w:r>
        <w:rPr>
          <w:rFonts w:ascii="Times New Roman" w:hAnsi="Times New Roman"/>
          <w:sz w:val="24"/>
          <w:szCs w:val="24"/>
        </w:rPr>
        <w:t>章节，预处理工艺流程如下，</w:t>
      </w:r>
    </w:p>
    <w:p w:rsidR="00525419" w:rsidRDefault="00EE1CF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含油污水、锅炉排水、循环水的排污水由厂区自流先进入格栅渠，通过自动细格栅除污机去除生产废水中的固体废物，防止生产废水中的固体废物对后续污水处理系统单元的设备、管道造成损害。自动机械细格栅除污机去除的固体废物通过小推车运走与厂区固体废弃物集中处置。通过格栅渠处理后自流进入集水井</w:t>
      </w:r>
      <w:r>
        <w:rPr>
          <w:rFonts w:ascii="Times New Roman" w:hAnsi="Times New Roman"/>
          <w:sz w:val="24"/>
          <w:szCs w:val="24"/>
        </w:rPr>
        <w:t>I</w:t>
      </w:r>
      <w:r>
        <w:rPr>
          <w:rFonts w:ascii="Times New Roman" w:hAnsi="Times New Roman"/>
          <w:sz w:val="24"/>
          <w:szCs w:val="24"/>
        </w:rPr>
        <w:t>，自流进入组合式隔油池。隔油池的主要作用是完成对浮油的去除和泥水分离，隔油后污水自流进入中间水池，通过二级提升泵提升至调节罐。在调节罐内进行水质的均化和水量的调节，并通过旋流除油器完成对浮油的初步去除。调节后的废水通过调节罐出液阀控制流量均匀进入一、二级气浮池。一级气浮池采用加强型涡凹气浮，为了提高气浮效果，在一级气浮的入口端添加</w:t>
      </w:r>
      <w:r>
        <w:rPr>
          <w:rFonts w:ascii="Times New Roman" w:hAnsi="Times New Roman"/>
          <w:sz w:val="24"/>
          <w:szCs w:val="24"/>
        </w:rPr>
        <w:t>PAC</w:t>
      </w:r>
      <w:r>
        <w:rPr>
          <w:rFonts w:ascii="Times New Roman" w:hAnsi="Times New Roman"/>
          <w:sz w:val="24"/>
          <w:szCs w:val="24"/>
        </w:rPr>
        <w:t>和</w:t>
      </w:r>
      <w:r>
        <w:rPr>
          <w:rFonts w:ascii="Times New Roman" w:hAnsi="Times New Roman"/>
          <w:sz w:val="24"/>
          <w:szCs w:val="24"/>
        </w:rPr>
        <w:t>PAM</w:t>
      </w:r>
      <w:r>
        <w:rPr>
          <w:rFonts w:ascii="Times New Roman" w:hAnsi="Times New Roman"/>
          <w:sz w:val="24"/>
          <w:szCs w:val="24"/>
        </w:rPr>
        <w:t>药剂；二级气浮采用部分回流加压溶气气浮，在此完成对污水中的乳化油的去除。气浮出水自流进入生化处理单元进行生物降解。</w:t>
      </w:r>
    </w:p>
    <w:p w:rsidR="00525419" w:rsidRDefault="007D0E8A">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pict>
          <v:group id="组合 44" o:spid="_x0000_s3155" style="position:absolute;left:0;text-align:left;margin-left:26.05pt;margin-top:10.25pt;width:382.5pt;height:151.95pt;z-index:251682304" coordorigin="2167,1421" coordsize="7650,3039" o:gfxdata="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">
            <v:shape id="文本框 5" o:spid="_x0000_s3156" type="#_x0000_t202" style="position:absolute;left:2167;top:2003;width:3218;height:278" o:gfxdata="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1tZX25AAAA2wAA&#10;AA8AAAAAAAAAAQAgAAAAIgAAAGRycy9kb3ducmV2LnhtbFBLAQIUABQAAAAIAIdO4kAzLwWeOwAA&#10;ADkAAAAQAAAAAAAAAAEAIAAAAAgBAABkcnMvc2hhcGV4bWwueG1sUEsFBgAAAAAGAAYAWwEAALID&#10;AAAAAA==&#10;" filled="f" stroked="f">
              <v:textbox inset="1.42pt,.85pt,1.42pt,.85pt">
                <w:txbxContent>
                  <w:p w:rsidR="00EE1CF7" w:rsidRDefault="00EE1CF7">
                    <w:pPr>
                      <w:rPr>
                        <w:szCs w:val="24"/>
                      </w:rPr>
                    </w:pPr>
                    <w:r>
                      <w:rPr>
                        <w:rFonts w:hint="eastAsia"/>
                        <w:szCs w:val="24"/>
                      </w:rPr>
                      <w:t>含油污水、锅炉排水、循环水排污等</w:t>
                    </w:r>
                  </w:p>
                </w:txbxContent>
              </v:textbox>
            </v:shape>
            <v:shape id="文本框 6" o:spid="_x0000_s3157" type="#_x0000_t202" style="position:absolute;left:5923;top:2003;width:977;height:278" o:gfxdata="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0/UW8AAAA&#10;2wAAAA8AAAAAAAAAAQAgAAAAIgAAAGRycy9kb3ducmV2LnhtbFBLAQIUABQAAAAIAIdO4kAzLwWe&#10;OwAAADkAAAAQAAAAAAAAAAEAIAAAAAsBAABkcnMvc2hhcGV4bWwueG1sUEsFBgAAAAAGAAYAWwEA&#10;ALUDAAAAAA==&#10;">
              <v:textbox inset="1.42pt,0,1.42pt,0">
                <w:txbxContent>
                  <w:p w:rsidR="00EE1CF7" w:rsidRDefault="00EE1CF7">
                    <w:pPr>
                      <w:rPr>
                        <w:szCs w:val="24"/>
                      </w:rPr>
                    </w:pPr>
                    <w:r>
                      <w:rPr>
                        <w:rFonts w:hint="eastAsia"/>
                        <w:szCs w:val="24"/>
                      </w:rPr>
                      <w:t>机械格栅</w:t>
                    </w:r>
                  </w:p>
                </w:txbxContent>
              </v:textbox>
            </v:shape>
            <v:shape id="直接箭头连接符 7" o:spid="_x0000_s3158" type="#_x0000_t32" style="position:absolute;left:5385;top:2166;width:538;height:0" o:gfxdata="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Kzmb4A&#10;AADbAAAADwAAAAAAAAABACAAAAAiAAAAZHJzL2Rvd25yZXYueG1sUEsBAhQAFAAAAAgAh07iQDMv&#10;BZ47AAAAOQAAABAAAAAAAAAAAQAgAAAADQEAAGRycy9zaGFwZXhtbC54bWxQSwUGAAAAAAYABgBb&#10;AQAAtwMAAAAA&#10;">
              <v:stroke endarrow="block"/>
            </v:shape>
            <v:shape id="文本框 8" o:spid="_x0000_s3159" type="#_x0000_t202" style="position:absolute;left:6221;top:1699;width:536;height:278" o:gfxdata="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tVw+vQAA&#10;ANsAAAAPAAAAAAAAAAEAIAAAACIAAABkcnMvZG93bnJldi54bWxQSwECFAAUAAAACACHTuJAMy8F&#10;njsAAAA5AAAAEAAAAAAAAAABACAAAAAMAQAAZHJzL3NoYXBleG1sLnhtbFBLBQYAAAAABgAGAFsB&#10;AAC2AwAAAAA=&#10;" filled="f" stroked="f">
              <v:textbox inset="1.42pt,.85pt,1.42pt,.85pt">
                <w:txbxContent>
                  <w:p w:rsidR="00EE1CF7" w:rsidRDefault="00EE1CF7">
                    <w:pPr>
                      <w:rPr>
                        <w:sz w:val="18"/>
                        <w:szCs w:val="18"/>
                      </w:rPr>
                    </w:pPr>
                    <w:r>
                      <w:rPr>
                        <w:rFonts w:hint="eastAsia"/>
                        <w:sz w:val="18"/>
                        <w:szCs w:val="18"/>
                      </w:rPr>
                      <w:t>栅渣</w:t>
                    </w:r>
                  </w:p>
                </w:txbxContent>
              </v:textbox>
            </v:shape>
            <v:shape id="文本框 9" o:spid="_x0000_s3160" type="#_x0000_t202" style="position:absolute;left:6053;top:1421;width:847;height:278" o:gfxdata="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fCSb4A&#10;AADbAAAADwAAAAAAAAABACAAAAAiAAAAZHJzL2Rvd25yZXYueG1sUEsBAhQAFAAAAAgAh07iQDMv&#10;BZ47AAAAOQAAABAAAAAAAAAAAQAgAAAADQEAAGRycy9zaGFwZXhtbC54bWxQSwUGAAAAAAYABgBb&#10;AQAAtwMAAAAA&#10;" filled="f" stroked="f">
              <v:textbox inset="1.42pt,.85pt,1.42pt,.85pt">
                <w:txbxContent>
                  <w:p w:rsidR="00EE1CF7" w:rsidRDefault="00EE1CF7">
                    <w:pPr>
                      <w:rPr>
                        <w:sz w:val="18"/>
                        <w:szCs w:val="18"/>
                      </w:rPr>
                    </w:pPr>
                    <w:r>
                      <w:rPr>
                        <w:rFonts w:hint="eastAsia"/>
                        <w:sz w:val="18"/>
                        <w:szCs w:val="18"/>
                      </w:rPr>
                      <w:t>栅渣外运</w:t>
                    </w:r>
                  </w:p>
                </w:txbxContent>
              </v:textbox>
            </v:shape>
            <v:shape id="直接箭头连接符 10" o:spid="_x0000_s3161" type="#_x0000_t32" style="position:absolute;left:6900;top:2166;width:538;height:0" o:gfxdata="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9At7r4A&#10;AADbAAAADwAAAAAAAAABACAAAAAiAAAAZHJzL2Rvd25yZXYueG1sUEsBAhQAFAAAAAgAh07iQDMv&#10;BZ47AAAAOQAAABAAAAAAAAAAAQAgAAAADQEAAGRycy9zaGFwZXhtbC54bWxQSwUGAAAAAAYABgBb&#10;AQAAtwMAAAAA&#10;">
              <v:stroke endarrow="block"/>
            </v:shape>
            <v:shape id="文本框 11" o:spid="_x0000_s3162" type="#_x0000_t202" style="position:absolute;left:7438;top:2016;width:799;height:278" o:gfxdata="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SHOA7gAAADbAAAA&#10;DwAAAAAAAAABACAAAAAiAAAAZHJzL2Rvd25yZXYueG1sUEsBAhQAFAAAAAgAh07iQDMvBZ47AAAA&#10;OQAAABAAAAAAAAAAAQAgAAAABwEAAGRycy9zaGFwZXhtbC54bWxQSwUGAAAAAAYABgBbAQAAsQMA&#10;AAAA&#10;">
              <v:textbox inset="1.42pt,0,1.42pt,0">
                <w:txbxContent>
                  <w:p w:rsidR="00EE1CF7" w:rsidRDefault="00EE1CF7">
                    <w:pPr>
                      <w:rPr>
                        <w:szCs w:val="24"/>
                      </w:rPr>
                    </w:pPr>
                    <w:r>
                      <w:rPr>
                        <w:rFonts w:hint="eastAsia"/>
                        <w:szCs w:val="24"/>
                      </w:rPr>
                      <w:t>集水井</w:t>
                    </w:r>
                  </w:p>
                </w:txbxContent>
              </v:textbox>
            </v:shape>
            <v:shape id="直接箭头连接符 12" o:spid="_x0000_s3163" type="#_x0000_t32" style="position:absolute;left:8237;top:2166;width:538;height:0" o:gfxdata="UEsDBAoAAAAAAIdO4kAAAAAAAAAAAAAAAAAEAAAAZHJzL1BLAwQUAAAACACHTuJAxQMcB74AAADb&#10;AAAADwAAAGRycy9kb3ducmV2LnhtbEWPT2sCMRTE74V+h/CE3mpWC4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McB74A&#10;AADbAAAADwAAAAAAAAABACAAAAAiAAAAZHJzL2Rvd25yZXYueG1sUEsBAhQAFAAAAAgAh07iQDMv&#10;BZ47AAAAOQAAABAAAAAAAAAAAQAgAAAADQEAAGRycy9zaGFwZXhtbC54bWxQSwUGAAAAAAYABgBb&#10;AQAAtwMAAAAA&#10;">
              <v:stroke endarrow="block"/>
            </v:shape>
            <v:shape id="文本框 13" o:spid="_x0000_s3164" type="#_x0000_t202" style="position:absolute;left:8775;top:2016;width:799;height:278" o:gfxdata="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RsXi5AAAA2wAA&#10;AA8AAAAAAAAAAQAgAAAAIgAAAGRycy9kb3ducmV2LnhtbFBLAQIUABQAAAAIAIdO4kAzLwWeOwAA&#10;ADkAAAAQAAAAAAAAAAEAIAAAAAgBAABkcnMvc2hhcGV4bWwueG1sUEsFBgAAAAAGAAYAWwEAALID&#10;AAAAAA==&#10;">
              <v:textbox inset="1.42pt,0,1.42pt,0">
                <w:txbxContent>
                  <w:p w:rsidR="00EE1CF7" w:rsidRDefault="00EE1CF7">
                    <w:pPr>
                      <w:rPr>
                        <w:szCs w:val="24"/>
                      </w:rPr>
                    </w:pPr>
                    <w:r>
                      <w:rPr>
                        <w:rFonts w:hint="eastAsia"/>
                        <w:szCs w:val="24"/>
                      </w:rPr>
                      <w:t>隔油池</w:t>
                    </w:r>
                  </w:p>
                </w:txbxContent>
              </v:textbox>
            </v:shape>
            <v:shape id="直接箭头连接符 14" o:spid="_x0000_s3165" type="#_x0000_t32" style="position:absolute;left:9178;top:2294;width:0;height:448" o:gfxdata="UEsDBAoAAAAAAIdO4kAAAAAAAAAAAAAAAAAEAAAAZHJzL1BLAwQUAAAACACHTuJAY3NjfL4AAADb&#10;AAAADwAAAGRycy9kb3ducmV2LnhtbEWPT2sCMRTE7wW/Q3hCbzW7UpZ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NjfL4A&#10;AADbAAAADwAAAAAAAAABACAAAAAiAAAAZHJzL2Rvd25yZXYueG1sUEsBAhQAFAAAAAgAh07iQDMv&#10;BZ47AAAAOQAAABAAAAAAAAAAAQAgAAAADQEAAGRycy9zaGFwZXhtbC54bWxQSwUGAAAAAAYABgBb&#10;AQAAtwMAAAAA&#10;">
              <v:stroke endarrow="block"/>
            </v:shape>
            <v:shape id="文本框 15" o:spid="_x0000_s3166" type="#_x0000_t202" style="position:absolute;left:8564;top:2742;width:1253;height:278" o:gfxdata="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z4qUvQAA&#10;ANsAAAAPAAAAAAAAAAEAIAAAACIAAABkcnMvZG93bnJldi54bWxQSwECFAAUAAAACACHTuJAMy8F&#10;njsAAAA5AAAAEAAAAAAAAAABACAAAAAMAQAAZHJzL3NoYXBleG1sLnhtbFBLBQYAAAAABgAGAFsB&#10;AAC2AwAAAAA=&#10;">
              <v:textbox inset="1.42pt,0,1.42pt,0">
                <w:txbxContent>
                  <w:p w:rsidR="00EE1CF7" w:rsidRDefault="00EE1CF7">
                    <w:pPr>
                      <w:rPr>
                        <w:szCs w:val="24"/>
                      </w:rPr>
                    </w:pPr>
                    <w:r>
                      <w:rPr>
                        <w:rFonts w:hint="eastAsia"/>
                        <w:szCs w:val="24"/>
                      </w:rPr>
                      <w:t>中间水池</w:t>
                    </w:r>
                  </w:p>
                </w:txbxContent>
              </v:textbox>
            </v:shape>
            <v:shape id="直接箭头连接符 16" o:spid="_x0000_s3167" type="#_x0000_t32" style="position:absolute;left:9178;top:3020;width:0;height:448" o:gfxdata="UEsDBAoAAAAAAIdO4kAAAAAAAAAAAAAAAAAEAAAAZHJzL1BLAwQUAAAACACHTuJA/O1YkL4AAADb&#10;AAAADwAAAGRycy9kb3ducmV2LnhtbEWPW2sCMRSE3wv9D+EUfNOsWha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YkL4A&#10;AADbAAAADwAAAAAAAAABACAAAAAiAAAAZHJzL2Rvd25yZXYueG1sUEsBAhQAFAAAAAgAh07iQDMv&#10;BZ47AAAAOQAAABAAAAAAAAAAAQAgAAAADQEAAGRycy9zaGFwZXhtbC54bWxQSwUGAAAAAAYABgBb&#10;AQAAtwMAAAAA&#10;">
              <v:stroke endarrow="block"/>
            </v:shape>
            <v:shape id="文本框 17" o:spid="_x0000_s3168" type="#_x0000_t202" style="position:absolute;left:8564;top:3468;width:1253;height:278" o:gfxdata="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mEuC8AAAA&#10;2wAAAA8AAAAAAAAAAQAgAAAAIgAAAGRycy9kb3ducmV2LnhtbFBLAQIUABQAAAAIAIdO4kAzLwWe&#10;OwAAADkAAAAQAAAAAAAAAAEAIAAAAAsBAABkcnMvc2hhcGV4bWwueG1sUEsFBgAAAAAGAAYAWwEA&#10;ALUDAAAAAA==&#10;">
              <v:textbox inset="1.42pt,0,1.42pt,0">
                <w:txbxContent>
                  <w:p w:rsidR="00EE1CF7" w:rsidRDefault="00EE1CF7">
                    <w:pPr>
                      <w:rPr>
                        <w:szCs w:val="24"/>
                      </w:rPr>
                    </w:pPr>
                    <w:r>
                      <w:rPr>
                        <w:rFonts w:hint="eastAsia"/>
                        <w:szCs w:val="24"/>
                      </w:rPr>
                      <w:t>调节除油罐</w:t>
                    </w:r>
                  </w:p>
                </w:txbxContent>
              </v:textbox>
            </v:shape>
            <v:shape id="直接箭头连接符 18" o:spid="_x0000_s3169" type="#_x0000_t32" style="position:absolute;left:7989;top:3619;width:575;height:0;flip:x" o:gfxdata="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rrqa/&#10;AAAA2wAAAA8AAAAAAAAAAQAgAAAAIgAAAGRycy9kb3ducmV2LnhtbFBLAQIUABQAAAAIAIdO4kAz&#10;LwWeOwAAADkAAAAQAAAAAAAAAAEAIAAAAA4BAABkcnMvc2hhcGV4bWwueG1sUEsFBgAAAAAGAAYA&#10;WwEAALgDAAAAAA==&#10;">
              <v:stroke endarrow="block"/>
            </v:shape>
            <v:shape id="文本框 19" o:spid="_x0000_s3170" type="#_x0000_t202" style="position:absolute;left:7015;top:3468;width:974;height:278" o:gfxdata="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4KQy8AAAA&#10;2wAAAA8AAAAAAAAAAQAgAAAAIgAAAGRycy9kb3ducmV2LnhtbFBLAQIUABQAAAAIAIdO4kAzLwWe&#10;OwAAADkAAAAQAAAAAAAAAAEAIAAAAAsBAABkcnMvc2hhcGV4bWwueG1sUEsFBgAAAAAGAAYAWwEA&#10;ALUDAAAAAA==&#10;">
              <v:textbox inset="1.42pt,0,1.42pt,0">
                <w:txbxContent>
                  <w:p w:rsidR="00EE1CF7" w:rsidRDefault="00EE1CF7">
                    <w:pPr>
                      <w:rPr>
                        <w:szCs w:val="21"/>
                      </w:rPr>
                    </w:pPr>
                    <w:r>
                      <w:rPr>
                        <w:rFonts w:ascii="宋体" w:hAnsi="宋体" w:hint="eastAsia"/>
                        <w:szCs w:val="21"/>
                      </w:rPr>
                      <w:t>涡凹气浮</w:t>
                    </w:r>
                  </w:p>
                </w:txbxContent>
              </v:textbox>
            </v:shape>
            <v:shape id="直接箭头连接符 20" o:spid="_x0000_s3171" type="#_x0000_t32" style="position:absolute;left:6436;top:1628;width:0;height:375;flip:y" o:gfxdata="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jifT7sAAADb&#10;AAAADwAAAAAAAAABACAAAAAiAAAAZHJzL2Rvd25yZXYueG1sUEsBAhQAFAAAAAgAh07iQDMvBZ47&#10;AAAAOQAAABAAAAAAAAAAAQAgAAAACgEAAGRycy9zaGFwZXhtbC54bWxQSwUGAAAAAAYABgBbAQAA&#10;tAMAAAAA&#10;">
              <v:stroke endarrow="block"/>
            </v:shape>
            <v:shape id="直接箭头连接符 21" o:spid="_x0000_s3172" type="#_x0000_t32" style="position:absolute;left:8064;top:2893;width:500;height:0;flip:x" o:gfxdata="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tuilvQAA&#10;ANsAAAAPAAAAAAAAAAEAIAAAACIAAABkcnMvZG93bnJldi54bWxQSwECFAAUAAAACACHTuJAMy8F&#10;njsAAAA5AAAAEAAAAAAAAAABACAAAAAMAQAAZHJzL3NoYXBleG1sLnhtbFBLBQYAAAAABgAGAFsB&#10;AAC2AwAAAAA=&#10;" stroked="f"/>
            <v:shape id="文本框 22" o:spid="_x0000_s3173" type="#_x0000_t202" style="position:absolute;left:7350;top:2765;width:714;height:278" o:gfxdata="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gnpbgAAADbAAAA&#10;DwAAAAAAAAABACAAAAAiAAAAZHJzL2Rvd25yZXYueG1sUEsBAhQAFAAAAAgAh07iQDMvBZ47AAAA&#10;OQAAABAAAAAAAAAAAQAgAAAABwEAAGRycy9zaGFwZXhtbC54bWxQSwUGAAAAAAYABgBbAQAAsQMA&#10;AAAA&#10;">
              <v:textbox inset="1.42pt,0,1.42pt,0">
                <w:txbxContent>
                  <w:p w:rsidR="00EE1CF7" w:rsidRDefault="00EE1CF7">
                    <w:pPr>
                      <w:rPr>
                        <w:szCs w:val="24"/>
                      </w:rPr>
                    </w:pPr>
                    <w:r>
                      <w:rPr>
                        <w:rFonts w:hint="eastAsia"/>
                        <w:szCs w:val="24"/>
                      </w:rPr>
                      <w:t>污油池</w:t>
                    </w:r>
                  </w:p>
                </w:txbxContent>
              </v:textbox>
            </v:shape>
            <v:shape id="直接箭头连接符 23" o:spid="_x0000_s3174" type="#_x0000_t32" style="position:absolute;left:6837;top:2893;width:500;height:0;flip:x" o:gfxdata="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Q+ievQAA&#10;ANsAAAAPAAAAAAAAAAEAIAAAACIAAABkcnMvZG93bnJldi54bWxQSwECFAAUAAAACACHTuJAMy8F&#10;njsAAAA5AAAAEAAAAAAAAAABACAAAAAMAQAAZHJzL3NoYXBleG1sLnhtbFBLBQYAAAAABgAGAFsB&#10;AAC2AwAAAAA=&#10;">
              <v:stroke endarrow="block"/>
            </v:shape>
            <v:shape id="文本框 24" o:spid="_x0000_s3175" type="#_x0000_t202" style="position:absolute;left:5727;top:2751;width:1173;height:278" o:gfxdata="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G/nb4A&#10;AADbAAAADwAAAAAAAAABACAAAAAiAAAAZHJzL2Rvd25yZXYueG1sUEsBAhQAFAAAAAgAh07iQDMv&#10;BZ47AAAAOQAAABAAAAAAAAAAAQAgAAAADQEAAGRycy9zaGFwZXhtbC54bWxQSwUGAAAAAAYABgBb&#10;AQAAtwMAAAAA&#10;" filled="f" stroked="f">
              <v:textbox inset="1.42pt,.85pt,1.42pt,.85pt">
                <w:txbxContent>
                  <w:p w:rsidR="00EE1CF7" w:rsidRDefault="00EE1CF7">
                    <w:pPr>
                      <w:rPr>
                        <w:szCs w:val="24"/>
                      </w:rPr>
                    </w:pPr>
                    <w:r>
                      <w:rPr>
                        <w:rFonts w:hint="eastAsia"/>
                        <w:szCs w:val="24"/>
                      </w:rPr>
                      <w:t>厂区污油罐</w:t>
                    </w:r>
                  </w:p>
                </w:txbxContent>
              </v:textbox>
            </v:shape>
            <v:shape id="文本框 25" o:spid="_x0000_s3176" type="#_x0000_t202" style="position:absolute;left:8138;top:2664;width:237;height:278;mso-wrap-style:none" o:gfxdata="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a5yFvQAA&#10;ANsAAAAPAAAAAAAAAAEAIAAAACIAAABkcnMvZG93bnJldi54bWxQSwECFAAUAAAACACHTuJAMy8F&#10;njsAAAA5AAAAEAAAAAAAAAABACAAAAAMAQAAZHJzL3NoYXBleG1sLnhtbFBLBQYAAAAABgAGAFsB&#10;AAC2AwAAAAA=&#10;" filled="f" stroked="f">
              <v:textbox inset="1.42pt,.85pt,1.42pt,.85pt">
                <w:txbxContent>
                  <w:p w:rsidR="00EE1CF7" w:rsidRDefault="00EE1CF7">
                    <w:pPr>
                      <w:rPr>
                        <w:szCs w:val="24"/>
                      </w:rPr>
                    </w:pPr>
                  </w:p>
                </w:txbxContent>
              </v:textbox>
            </v:shape>
            <v:shape id="直接箭头连接符 26" o:spid="_x0000_s3177" type="#_x0000_t32" style="position:absolute;left:8775;top:3293;width:0;height:175;flip:y" o:gfxdata="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tJXXrsAAADb&#10;AAAADwAAAAAAAAABACAAAAAiAAAAZHJzL2Rvd25yZXYueG1sUEsBAhQAFAAAAAgAh07iQDMvBZ47&#10;AAAAOQAAABAAAAAAAAAAAQAgAAAACgEAAGRycy9zaGFwZXhtbC54bWxQSwUGAAAAAAYABgBbAQAA&#10;tAMAAAAA&#10;"/>
            <v:shape id="直接箭头连接符 28" o:spid="_x0000_s3178" type="#_x0000_t32" style="position:absolute;left:7901;top:3293;width:874;height:0;flip:x" o:gfxdata="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vPKrsAAADb&#10;AAAADwAAAAAAAAABACAAAAAiAAAAZHJzL2Rvd25yZXYueG1sUEsBAhQAFAAAAAgAh07iQDMvBZ47&#10;AAAAOQAAABAAAAAAAAAAAQAgAAAACgEAAGRycy9zaGFwZXhtbC54bWxQSwUGAAAAAAYABgBbAQAA&#10;tAMAAAAA&#10;"/>
            <v:shape id="直接箭头连接符 29" o:spid="_x0000_s3179" type="#_x0000_t32" style="position:absolute;left:7901;top:3043;width:0;height:250;flip:y" o:gfxdata="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4KYMvQAA&#10;ANsAAAAPAAAAAAAAAAEAIAAAACIAAABkcnMvZG93bnJldi54bWxQSwECFAAUAAAACACHTuJAMy8F&#10;njsAAAA5AAAAEAAAAAAAAAABACAAAAAMAQAAZHJzL3NoYXBleG1sLnhtbFBLBQYAAAAABgAGAFsB&#10;AAC2AwAAAAA=&#10;">
              <v:stroke endarrow="block"/>
            </v:shape>
            <v:shape id="文本框 30" o:spid="_x0000_s3180" type="#_x0000_t202" style="position:absolute;left:8138;top:3043;width:536;height:278" o:gfxdata="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7gn6b4A&#10;AADbAAAADwAAAAAAAAABACAAAAAiAAAAZHJzL2Rvd25yZXYueG1sUEsBAhQAFAAAAAgAh07iQDMv&#10;BZ47AAAAOQAAABAAAAAAAAAAAQAgAAAADQEAAGRycy9zaGFwZXhtbC54bWxQSwUGAAAAAAYABgBb&#10;AQAAtwMAAAAA&#10;" filled="f" stroked="f">
              <v:textbox inset="1.42pt,.85pt,1.42pt,.85pt">
                <w:txbxContent>
                  <w:p w:rsidR="00EE1CF7" w:rsidRDefault="00EE1CF7">
                    <w:pPr>
                      <w:rPr>
                        <w:sz w:val="18"/>
                        <w:szCs w:val="18"/>
                      </w:rPr>
                    </w:pPr>
                    <w:r>
                      <w:rPr>
                        <w:rFonts w:hint="eastAsia"/>
                        <w:sz w:val="18"/>
                        <w:szCs w:val="18"/>
                      </w:rPr>
                      <w:t>污油</w:t>
                    </w:r>
                  </w:p>
                </w:txbxContent>
              </v:textbox>
            </v:shape>
            <v:shape id="直接箭头连接符 31" o:spid="_x0000_s3181" type="#_x0000_t32" style="position:absolute;left:6502;top:3619;width:500;height:0;flip:x" o:gfxdata="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fp3gvQAA&#10;ANsAAAAPAAAAAAAAAAEAIAAAACIAAABkcnMvZG93bnJldi54bWxQSwECFAAUAAAACACHTuJAMy8F&#10;njsAAAA5AAAAEAAAAAAAAAABACAAAAAMAQAAZHJzL3NoYXBleG1sLnhtbFBLBQYAAAAABgAGAFsB&#10;AAC2AwAAAAA=&#10;">
              <v:stroke endarrow="block"/>
            </v:shape>
            <v:shape id="文本框 32" o:spid="_x0000_s3182" type="#_x0000_t202" style="position:absolute;left:5528;top:3468;width:974;height:278" o:gfxdata="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P4ro7gAAADbAAAA&#10;DwAAAAAAAAABACAAAAAiAAAAZHJzL2Rvd25yZXYueG1sUEsBAhQAFAAAAAgAh07iQDMvBZ47AAAA&#10;OQAAABAAAAAAAAAAAQAgAAAABwEAAGRycy9zaGFwZXhtbC54bWxQSwUGAAAAAAYABgBbAQAAsQMA&#10;AAAA&#10;">
              <v:textbox inset="1.42pt,0,1.42pt,0">
                <w:txbxContent>
                  <w:p w:rsidR="00EE1CF7" w:rsidRDefault="00EE1CF7">
                    <w:pPr>
                      <w:rPr>
                        <w:szCs w:val="21"/>
                      </w:rPr>
                    </w:pPr>
                    <w:r>
                      <w:rPr>
                        <w:rFonts w:ascii="宋体" w:hAnsi="宋体" w:hint="eastAsia"/>
                        <w:szCs w:val="21"/>
                      </w:rPr>
                      <w:t>溶气气浮</w:t>
                    </w:r>
                  </w:p>
                </w:txbxContent>
              </v:textbox>
            </v:shape>
            <v:shape id="直接箭头连接符 33" o:spid="_x0000_s3183" type="#_x0000_t32" style="position:absolute;left:5028;top:3619;width:500;height:0;flip:x" o:gfxdata="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trAm/&#10;AAAA2wAAAA8AAAAAAAAAAQAgAAAAIgAAAGRycy9kb3ducmV2LnhtbFBLAQIUABQAAAAIAIdO4kAz&#10;LwWeOwAAADkAAAAQAAAAAAAAAAEAIAAAAA4BAABkcnMvc2hhcGV4bWwueG1sUEsFBgAAAAAGAAYA&#10;WwEAALgDAAAAAA==&#10;">
              <v:stroke endarrow="block"/>
            </v:shape>
            <v:shape id="文本框 34" o:spid="_x0000_s3184" type="#_x0000_t202" style="position:absolute;left:3644;top:3468;width:1384;height:278" o:gfxdata="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Vx0Lu5AAAA2wAA&#10;AA8AAAAAAAAAAQAgAAAAIgAAAGRycy9kb3ducmV2LnhtbFBLAQIUABQAAAAIAIdO4kAzLwWeOwAA&#10;ADkAAAAQAAAAAAAAAAEAIAAAAAgBAABkcnMvc2hhcGV4bWwueG1sUEsFBgAAAAAGAAYAWwEAALID&#10;AAAAAA==&#10;" filled="f" stroked="f">
              <v:textbox inset="1.42pt,.85pt,1.42pt,.85pt">
                <w:txbxContent>
                  <w:p w:rsidR="00EE1CF7" w:rsidRDefault="00EE1CF7">
                    <w:pPr>
                      <w:rPr>
                        <w:szCs w:val="24"/>
                      </w:rPr>
                    </w:pPr>
                    <w:r>
                      <w:rPr>
                        <w:rFonts w:hint="eastAsia"/>
                        <w:szCs w:val="24"/>
                      </w:rPr>
                      <w:t>生化处理单元</w:t>
                    </w:r>
                  </w:p>
                </w:txbxContent>
              </v:textbox>
            </v:shape>
            <v:shape id="文本框 35" o:spid="_x0000_s3185" type="#_x0000_t202" style="position:absolute;left:6254;top:4182;width:761;height:278" o:gfxdata="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oSIO8AAAA&#10;2wAAAA8AAAAAAAAAAQAgAAAAIgAAAGRycy9kb3ducmV2LnhtbFBLAQIUABQAAAAIAIdO4kAzLwWe&#10;OwAAADkAAAAQAAAAAAAAAAEAIAAAAAsBAABkcnMvc2hhcGV4bWwueG1sUEsFBgAAAAAGAAYAWwEA&#10;ALUDAAAAAA==&#10;">
              <v:textbox inset="1.42pt,0,1.42pt,0">
                <w:txbxContent>
                  <w:p w:rsidR="00EE1CF7" w:rsidRDefault="00EE1CF7">
                    <w:pPr>
                      <w:rPr>
                        <w:szCs w:val="21"/>
                      </w:rPr>
                    </w:pPr>
                    <w:r>
                      <w:rPr>
                        <w:rFonts w:ascii="宋体" w:hAnsi="宋体" w:hint="eastAsia"/>
                        <w:szCs w:val="21"/>
                      </w:rPr>
                      <w:t>浮渣池</w:t>
                    </w:r>
                  </w:p>
                </w:txbxContent>
              </v:textbox>
            </v:shape>
            <v:shape id="直接箭头连接符 36" o:spid="_x0000_s3186" type="#_x0000_t32" style="position:absolute;left:6148;top:3746;width:0;height:183" o:gfxdata="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0J7xvQAA&#10;ANsAAAAPAAAAAAAAAAEAIAAAACIAAABkcnMvZG93bnJldi54bWxQSwECFAAUAAAACACHTuJAMy8F&#10;njsAAAA5AAAAEAAAAAAAAAABACAAAAAMAQAAZHJzL3NoYXBleG1sLnhtbFBLBQYAAAAABgAGAFsB&#10;AAC2AwAAAAA=&#10;"/>
            <v:shape id="直接箭头连接符 37" o:spid="_x0000_s3187" type="#_x0000_t32" style="position:absolute;left:6148;top:3929;width:1202;height:0" o:gfxdata="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nDtqvQAA&#10;ANsAAAAPAAAAAAAAAAEAIAAAACIAAABkcnMvZG93bnJldi54bWxQSwECFAAUAAAACACHTuJAMy8F&#10;njsAAAA5AAAAEAAAAAAAAAABACAAAAAMAQAAZHJzL3NoYXBleG1sLnhtbFBLBQYAAAAABgAGAFsB&#10;AAC2AwAAAAA=&#10;"/>
            <v:shape id="直接箭头连接符 38" o:spid="_x0000_s3188" type="#_x0000_t32" style="position:absolute;left:7350;top:3746;width:0;height:183" o:gfxdata="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daMevQAA&#10;ANsAAAAPAAAAAAAAAAEAIAAAACIAAABkcnMvZG93bnJldi54bWxQSwECFAAUAAAACACHTuJAMy8F&#10;njsAAAA5AAAAEAAAAAAAAAABACAAAAAMAQAAZHJzL3NoYXBleG1sLnhtbFBLBQYAAAAABgAGAFsB&#10;AAC2AwAAAAA=&#10;"/>
            <v:shape id="直接箭头连接符 39" o:spid="_x0000_s3189" type="#_x0000_t32" style="position:absolute;left:6662;top:3929;width:0;height:253" o:gfxdata="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9OR+/&#10;AAAA2wAAAA8AAAAAAAAAAQAgAAAAIgAAAGRycy9kb3ducmV2LnhtbFBLAQIUABQAAAAIAIdO4kAz&#10;LwWeOwAAADkAAAAQAAAAAAAAAAEAIAAAAA4BAABkcnMvc2hhcGV4bWwueG1sUEsFBgAAAAAGAAYA&#10;WwEAALgDAAAAAA==&#10;">
              <v:stroke endarrow="block"/>
            </v:shape>
            <v:shape id="文本框 40" o:spid="_x0000_s3190" type="#_x0000_t202" style="position:absolute;left:6221;top:3746;width:464;height:278" o:gfxdata="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TtVL4A&#10;AADbAAAADwAAAAAAAAABACAAAAAiAAAAZHJzL2Rvd25yZXYueG1sUEsBAhQAFAAAAAgAh07iQDMv&#10;BZ47AAAAOQAAABAAAAAAAAAAAQAgAAAADQEAAGRycy9zaGFwZXhtbC54bWxQSwUGAAAAAAYABgBb&#10;AQAAtwMAAAAA&#10;" filled="f" stroked="f">
              <v:textbox inset="1.42pt,.85pt,1.42pt,.85pt">
                <w:txbxContent>
                  <w:p w:rsidR="00EE1CF7" w:rsidRDefault="00EE1CF7">
                    <w:pPr>
                      <w:rPr>
                        <w:sz w:val="18"/>
                        <w:szCs w:val="18"/>
                      </w:rPr>
                    </w:pPr>
                    <w:r>
                      <w:rPr>
                        <w:rFonts w:hint="eastAsia"/>
                        <w:sz w:val="18"/>
                        <w:szCs w:val="18"/>
                      </w:rPr>
                      <w:t>浮渣</w:t>
                    </w:r>
                  </w:p>
                </w:txbxContent>
              </v:textbox>
            </v:shape>
            <v:shape id="文本框 41" o:spid="_x0000_s3191" type="#_x0000_t202" style="position:absolute;left:6873;top:3746;width:464;height:278" o:gfxdata="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hIz74A&#10;AADbAAAADwAAAAAAAAABACAAAAAiAAAAZHJzL2Rvd25yZXYueG1sUEsBAhQAFAAAAAgAh07iQDMv&#10;BZ47AAAAOQAAABAAAAAAAAAAAQAgAAAADQEAAGRycy9zaGFwZXhtbC54bWxQSwUGAAAAAAYABgBb&#10;AQAAtwMAAAAA&#10;" filled="f" stroked="f">
              <v:textbox inset="1.42pt,.85pt,1.42pt,.85pt">
                <w:txbxContent>
                  <w:p w:rsidR="00EE1CF7" w:rsidRDefault="00EE1CF7">
                    <w:pPr>
                      <w:rPr>
                        <w:sz w:val="18"/>
                        <w:szCs w:val="18"/>
                      </w:rPr>
                    </w:pPr>
                    <w:r>
                      <w:rPr>
                        <w:rFonts w:hint="eastAsia"/>
                        <w:sz w:val="18"/>
                        <w:szCs w:val="18"/>
                      </w:rPr>
                      <w:t>浮渣</w:t>
                    </w:r>
                  </w:p>
                </w:txbxContent>
              </v:textbox>
            </v:shape>
            <v:shape id="直接箭头连接符 42" o:spid="_x0000_s3192" type="#_x0000_t32" style="position:absolute;left:7015;top:4321;width:511;height:12" o:gfxdata="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JaBugAAANsA&#10;AAAPAAAAAAAAAAEAIAAAACIAAABkcnMvZG93bnJldi54bWxQSwECFAAUAAAACACHTuJAMy8FnjsA&#10;AAA5AAAAEAAAAAAAAAABACAAAAAJAQAAZHJzL3NoYXBleG1sLnhtbFBLBQYAAAAABgAGAFsBAACz&#10;AwAAAAA=&#10;">
              <v:stroke endarrow="block"/>
            </v:shape>
            <v:shape id="文本框 43" o:spid="_x0000_s3193" type="#_x0000_t202" style="position:absolute;left:7526;top:4182;width:847;height:278" o:gfxdata="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t5Jr4A&#10;AADbAAAADwAAAAAAAAABACAAAAAiAAAAZHJzL2Rvd25yZXYueG1sUEsBAhQAFAAAAAgAh07iQDMv&#10;BZ47AAAAOQAAABAAAAAAAAAAAQAgAAAADQEAAGRycy9zaGFwZXhtbC54bWxQSwUGAAAAAAYABgBb&#10;AQAAtwMAAAAA&#10;" filled="f" stroked="f">
              <v:textbox inset="1.42pt,.85pt,1.42pt,.85pt">
                <w:txbxContent>
                  <w:p w:rsidR="00EE1CF7" w:rsidRDefault="00EE1CF7">
                    <w:pPr>
                      <w:rPr>
                        <w:sz w:val="18"/>
                        <w:szCs w:val="18"/>
                      </w:rPr>
                    </w:pPr>
                    <w:r>
                      <w:rPr>
                        <w:rFonts w:hint="eastAsia"/>
                        <w:sz w:val="18"/>
                        <w:szCs w:val="18"/>
                      </w:rPr>
                      <w:t>资质单位</w:t>
                    </w:r>
                  </w:p>
                </w:txbxContent>
              </v:textbox>
            </v:shape>
          </v:group>
        </w:pict>
      </w:r>
      <w:r w:rsidR="00EE1CF7">
        <w:rPr>
          <w:rFonts w:ascii="Times New Roman" w:hAnsi="Times New Roman"/>
          <w:sz w:val="24"/>
          <w:szCs w:val="24"/>
        </w:rPr>
        <w:t>预处理工艺流程见图</w:t>
      </w:r>
      <w:r w:rsidR="00EE1CF7">
        <w:rPr>
          <w:rFonts w:ascii="Times New Roman" w:hAnsi="Times New Roman"/>
          <w:sz w:val="24"/>
          <w:szCs w:val="24"/>
        </w:rPr>
        <w:t>6.2-1</w:t>
      </w:r>
      <w:r w:rsidR="00EE1CF7">
        <w:rPr>
          <w:rFonts w:ascii="Times New Roman" w:hAnsi="Times New Roman"/>
          <w:sz w:val="24"/>
          <w:szCs w:val="24"/>
        </w:rPr>
        <w:t>。</w:t>
      </w:r>
    </w:p>
    <w:p w:rsidR="00525419" w:rsidRDefault="00525419">
      <w:pPr>
        <w:adjustRightInd w:val="0"/>
        <w:snapToGrid w:val="0"/>
        <w:spacing w:line="360" w:lineRule="auto"/>
        <w:ind w:firstLine="555"/>
        <w:rPr>
          <w:rFonts w:ascii="Times New Roman" w:hAnsi="Times New Roman"/>
          <w:sz w:val="24"/>
          <w:szCs w:val="24"/>
        </w:rPr>
      </w:pPr>
    </w:p>
    <w:p w:rsidR="00525419" w:rsidRDefault="007D0E8A">
      <w:pPr>
        <w:tabs>
          <w:tab w:val="left" w:pos="1390"/>
        </w:tabs>
        <w:adjustRightInd w:val="0"/>
        <w:snapToGrid w:val="0"/>
        <w:spacing w:line="360" w:lineRule="auto"/>
        <w:ind w:firstLine="555"/>
        <w:rPr>
          <w:rFonts w:ascii="Times New Roman" w:hAnsi="Times New Roman"/>
          <w:sz w:val="24"/>
          <w:szCs w:val="24"/>
        </w:rPr>
      </w:pPr>
      <w:r>
        <w:rPr>
          <w:rFonts w:ascii="Times New Roman" w:hAnsi="Times New Roman"/>
          <w:sz w:val="24"/>
          <w:szCs w:val="24"/>
        </w:rPr>
        <w:pict>
          <v:shape id="文本框 70" o:spid="_x0000_s3194" type="#_x0000_t202" style="position:absolute;left:0;text-align:left;margin-left:299.05pt;margin-top:12.55pt;width:38.7pt;height:20.4pt;z-index:251686400;mso-width-relative:page;mso-height-relative:page" o:gfxdata="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UAgO22wAAAAkBAAAPAAAAAAAAAAEAIAAA&#10;ACIAAABkcnMvZG93bnJldi54bWxQSwECFAAUAAAACACHTuJAG0k845cBAAALAwAADgAAAAAAAAAB&#10;ACAAAAAqAQAAZHJzL2Uyb0RvYy54bWxQSwUGAAAAAAYABgBZAQAAMwUAAAAA&#10;" filled="f" stroked="f" strokeweight="1.25pt">
            <v:textbox>
              <w:txbxContent>
                <w:p w:rsidR="00EE1CF7" w:rsidRDefault="00EE1CF7">
                  <w:pPr>
                    <w:rPr>
                      <w:sz w:val="18"/>
                      <w:szCs w:val="18"/>
                    </w:rPr>
                  </w:pPr>
                  <w:r>
                    <w:rPr>
                      <w:rFonts w:hint="eastAsia"/>
                      <w:sz w:val="18"/>
                      <w:szCs w:val="18"/>
                    </w:rPr>
                    <w:t>污油</w:t>
                  </w:r>
                </w:p>
              </w:txbxContent>
            </v:textbox>
          </v:shape>
        </w:pict>
      </w:r>
      <w:r>
        <w:rPr>
          <w:rFonts w:ascii="Times New Roman" w:hAnsi="Times New Roman"/>
          <w:sz w:val="24"/>
          <w:szCs w:val="24"/>
        </w:rPr>
        <w:pict>
          <v:line id="直接连接符 71" o:spid="_x0000_s3195" style="position:absolute;left:0;text-align:left;z-index:251683328;mso-width-relative:page;mso-height-relative:page" from="360.05pt,14.5pt" to="360.1pt,23.2pt" o:gfxdata="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WJ6BW1gAAAAkBAAAPAAAAAAAA&#10;AAEAIAAAACIAAABkcnMvZG93bnJldi54bWxQSwECFAAUAAAACACHTuJAA2NeqtsBAACZAwAADgAA&#10;AAAAAAABACAAAAAlAQAAZHJzL2Uyb0RvYy54bWxQSwUGAAAAAAYABgBZAQAAcgUAAAAA&#10;" strokeweight=".5pt"/>
        </w:pict>
      </w:r>
      <w:r w:rsidR="00EE1CF7">
        <w:rPr>
          <w:rFonts w:ascii="Times New Roman" w:hAnsi="Times New Roman"/>
          <w:sz w:val="24"/>
          <w:szCs w:val="24"/>
        </w:rPr>
        <w:tab/>
      </w:r>
    </w:p>
    <w:p w:rsidR="00525419" w:rsidRDefault="007D0E8A">
      <w:pPr>
        <w:adjustRightInd w:val="0"/>
        <w:snapToGrid w:val="0"/>
        <w:spacing w:line="360" w:lineRule="auto"/>
        <w:ind w:firstLine="555"/>
        <w:rPr>
          <w:rFonts w:ascii="Times New Roman" w:hAnsi="Times New Roman"/>
          <w:sz w:val="24"/>
          <w:szCs w:val="24"/>
        </w:rPr>
      </w:pPr>
      <w:r>
        <w:rPr>
          <w:rFonts w:ascii="Times New Roman" w:hAnsi="Times New Roman"/>
          <w:sz w:val="24"/>
          <w:szCs w:val="24"/>
        </w:rPr>
        <w:pict>
          <v:line id="直接连接符 72" o:spid="_x0000_s3196" style="position:absolute;left:0;text-align:left;z-index:251685376;mso-width-relative:page;mso-height-relative:page" from="299.65pt,3.4pt" to="300.1pt,14.7pt" o:gfxdata="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ynND7XAAAA&#10;CAEAAA8AAAAAAAAAAQAgAAAAIgAAAGRycy9kb3ducmV2LnhtbFBLAQIUABQAAAAIAIdO4kApeoav&#10;5QEAAJ8DAAAOAAAAAAAAAAEAIAAAACYBAABkcnMvZTJvRG9jLnhtbFBLBQYAAAAABgAGAFkBAAB9&#10;BQAAAAA=&#10;" strokeweight="1.25pt">
            <v:stroke endarrow="block"/>
          </v:line>
        </w:pict>
      </w:r>
      <w:r>
        <w:rPr>
          <w:rFonts w:ascii="Times New Roman" w:hAnsi="Times New Roman"/>
          <w:sz w:val="24"/>
          <w:szCs w:val="24"/>
        </w:rPr>
        <w:pict>
          <v:line id="直接连接符 73" o:spid="_x0000_s3197" style="position:absolute;left:0;text-align:left;flip:y;z-index:251684352;mso-width-relative:page;mso-height-relative:page" from="299.1pt,2.6pt" to="360.05pt,3.55pt" o:gfxdata="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8j90HXAAAA&#10;BwEAAA8AAAAAAAAAAQAgAAAAIgAAAGRycy9kb3ducmV2LnhtbFBLAQIUABQAAAAIAIdO4kA0ScZ3&#10;5QEAAKUDAAAOAAAAAAAAAAEAIAAAACYBAABkcnMvZTJvRG9jLnhtbFBLBQYAAAAABgAGAFkBAAB9&#10;BQAAAAA=&#10;" strokeweight=".5pt"/>
        </w:pict>
      </w:r>
    </w:p>
    <w:p w:rsidR="00525419" w:rsidRDefault="00525419">
      <w:pPr>
        <w:adjustRightInd w:val="0"/>
        <w:snapToGrid w:val="0"/>
        <w:spacing w:line="360" w:lineRule="auto"/>
        <w:ind w:firstLine="555"/>
        <w:rPr>
          <w:rFonts w:ascii="Times New Roman" w:hAnsi="Times New Roman"/>
          <w:sz w:val="24"/>
          <w:szCs w:val="24"/>
        </w:rPr>
      </w:pPr>
    </w:p>
    <w:p w:rsidR="00525419" w:rsidRDefault="00525419">
      <w:pPr>
        <w:adjustRightInd w:val="0"/>
        <w:snapToGrid w:val="0"/>
        <w:spacing w:line="360" w:lineRule="auto"/>
        <w:ind w:firstLine="555"/>
        <w:rPr>
          <w:rFonts w:ascii="Times New Roman" w:hAnsi="Times New Roman"/>
          <w:sz w:val="24"/>
          <w:szCs w:val="24"/>
        </w:rPr>
      </w:pPr>
    </w:p>
    <w:p w:rsidR="00525419" w:rsidRDefault="00525419">
      <w:pPr>
        <w:adjustRightInd w:val="0"/>
        <w:snapToGrid w:val="0"/>
        <w:spacing w:line="360" w:lineRule="auto"/>
        <w:ind w:firstLine="555"/>
        <w:rPr>
          <w:rFonts w:ascii="Times New Roman" w:hAnsi="Times New Roman"/>
          <w:sz w:val="24"/>
          <w:szCs w:val="24"/>
        </w:rPr>
      </w:pPr>
    </w:p>
    <w:p w:rsidR="00525419" w:rsidRDefault="00525419">
      <w:pPr>
        <w:adjustRightInd w:val="0"/>
        <w:snapToGrid w:val="0"/>
        <w:spacing w:line="360" w:lineRule="auto"/>
        <w:ind w:firstLine="555"/>
        <w:rPr>
          <w:rFonts w:ascii="Times New Roman" w:hAnsi="Times New Roman"/>
          <w:sz w:val="24"/>
          <w:szCs w:val="24"/>
        </w:rPr>
      </w:pPr>
    </w:p>
    <w:p w:rsidR="00525419" w:rsidRDefault="00EE1CF7">
      <w:pPr>
        <w:autoSpaceDE w:val="0"/>
        <w:autoSpaceDN w:val="0"/>
        <w:adjustRightInd w:val="0"/>
        <w:ind w:firstLineChars="850" w:firstLine="2048"/>
        <w:jc w:val="left"/>
        <w:rPr>
          <w:rFonts w:ascii="Times New Roman" w:hAnsi="Times New Roman"/>
          <w:b/>
          <w:kern w:val="0"/>
          <w:sz w:val="24"/>
          <w:szCs w:val="24"/>
        </w:rPr>
      </w:pPr>
      <w:r>
        <w:rPr>
          <w:rFonts w:ascii="Times New Roman" w:hAnsi="Times New Roman"/>
          <w:b/>
          <w:kern w:val="0"/>
          <w:sz w:val="24"/>
          <w:szCs w:val="24"/>
        </w:rPr>
        <w:t>图</w:t>
      </w:r>
      <w:r>
        <w:rPr>
          <w:rFonts w:ascii="Times New Roman" w:hAnsi="Times New Roman"/>
          <w:b/>
          <w:kern w:val="0"/>
          <w:sz w:val="24"/>
          <w:szCs w:val="24"/>
        </w:rPr>
        <w:t xml:space="preserve">6.2-1      </w:t>
      </w:r>
      <w:r>
        <w:rPr>
          <w:rFonts w:ascii="Times New Roman" w:hAnsi="Times New Roman"/>
          <w:b/>
          <w:kern w:val="0"/>
          <w:sz w:val="24"/>
          <w:szCs w:val="24"/>
        </w:rPr>
        <w:t>预处理工艺流程图</w:t>
      </w:r>
    </w:p>
    <w:p w:rsidR="00525419" w:rsidRDefault="00525419">
      <w:pPr>
        <w:adjustRightInd w:val="0"/>
        <w:spacing w:line="240" w:lineRule="atLeast"/>
        <w:jc w:val="center"/>
        <w:textAlignment w:val="baseline"/>
        <w:rPr>
          <w:rFonts w:ascii="Times New Roman" w:hAnsi="Times New Roman"/>
          <w:kern w:val="0"/>
          <w:sz w:val="24"/>
          <w:szCs w:val="24"/>
        </w:rPr>
      </w:pPr>
    </w:p>
    <w:p w:rsidR="00525419" w:rsidRDefault="00EE1CF7">
      <w:pPr>
        <w:pStyle w:val="4a"/>
        <w:widowControl/>
        <w:adjustRightInd w:val="0"/>
        <w:snapToGrid w:val="0"/>
        <w:spacing w:before="120" w:after="120" w:line="360" w:lineRule="auto"/>
        <w:jc w:val="left"/>
        <w:rPr>
          <w:rFonts w:ascii="Times New Roman" w:hAnsi="Times New Roman" w:cs="Times New Roman"/>
          <w:kern w:val="44"/>
          <w:sz w:val="24"/>
          <w:szCs w:val="24"/>
        </w:rPr>
      </w:pPr>
      <w:r>
        <w:rPr>
          <w:rFonts w:ascii="Times New Roman" w:hAnsi="Times New Roman" w:cs="Times New Roman"/>
          <w:kern w:val="44"/>
          <w:sz w:val="24"/>
          <w:szCs w:val="24"/>
        </w:rPr>
        <w:t>6.2.3.3</w:t>
      </w:r>
      <w:r>
        <w:rPr>
          <w:rFonts w:ascii="Times New Roman" w:hAnsi="Times New Roman" w:cs="Times New Roman"/>
          <w:kern w:val="44"/>
          <w:sz w:val="24"/>
          <w:szCs w:val="24"/>
        </w:rPr>
        <w:t>污水处理站出水回用可行性分析</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根据验收监测数据，超滤装置出口水质监测结果能够满足《循环冷却水用再生水水质标准》（</w:t>
      </w:r>
      <w:r>
        <w:rPr>
          <w:rFonts w:ascii="Times New Roman" w:hAnsi="Times New Roman"/>
          <w:sz w:val="24"/>
        </w:rPr>
        <w:t>HG/T3923-2007</w:t>
      </w:r>
      <w:r>
        <w:rPr>
          <w:rFonts w:ascii="Times New Roman" w:hAnsi="Times New Roman"/>
          <w:sz w:val="24"/>
        </w:rPr>
        <w:t>）中水质指标的要求。</w:t>
      </w:r>
    </w:p>
    <w:p w:rsidR="00525419" w:rsidRDefault="00EE1CF7">
      <w:pPr>
        <w:adjustRightInd w:val="0"/>
        <w:snapToGrid w:val="0"/>
        <w:spacing w:line="240" w:lineRule="atLeast"/>
        <w:ind w:firstLineChars="500" w:firstLine="1050"/>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6.2-1</w:t>
      </w:r>
      <w:r>
        <w:rPr>
          <w:rFonts w:ascii="Times New Roman" w:eastAsia="黑体" w:hAnsi="Times New Roman"/>
          <w:szCs w:val="21"/>
        </w:rPr>
        <w:t xml:space="preserve">　　超滤装置出口水质监测结果</w:t>
      </w:r>
      <w:r>
        <w:rPr>
          <w:rFonts w:ascii="Times New Roman" w:eastAsia="黑体" w:hAnsi="Times New Roman"/>
          <w:szCs w:val="21"/>
        </w:rPr>
        <w:t xml:space="preserve"> </w:t>
      </w:r>
      <w:r>
        <w:rPr>
          <w:rFonts w:ascii="Times New Roman" w:eastAsia="黑体" w:hAnsi="Times New Roman"/>
          <w:szCs w:val="21"/>
        </w:rPr>
        <w:t>单位：</w:t>
      </w:r>
      <w:r>
        <w:rPr>
          <w:rFonts w:ascii="Times New Roman" w:eastAsia="黑体" w:hAnsi="Times New Roman"/>
          <w:szCs w:val="21"/>
        </w:rPr>
        <w:t>mg/L</w:t>
      </w:r>
      <w:r>
        <w:rPr>
          <w:rFonts w:ascii="Times New Roman" w:eastAsia="黑体" w:hAnsi="Times New Roman"/>
          <w:szCs w:val="21"/>
        </w:rPr>
        <w:t>，</w:t>
      </w:r>
      <w:r>
        <w:rPr>
          <w:rFonts w:ascii="Times New Roman" w:eastAsia="黑体" w:hAnsi="Times New Roman"/>
          <w:szCs w:val="21"/>
        </w:rPr>
        <w:t>pH</w:t>
      </w:r>
      <w:r>
        <w:rPr>
          <w:rFonts w:ascii="Times New Roman" w:eastAsia="黑体" w:hAnsi="Times New Roman"/>
          <w:szCs w:val="21"/>
        </w:rPr>
        <w:t>无量纲</w:t>
      </w:r>
    </w:p>
    <w:tbl>
      <w:tblPr>
        <w:tblW w:w="85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57"/>
        <w:gridCol w:w="983"/>
        <w:gridCol w:w="982"/>
        <w:gridCol w:w="842"/>
        <w:gridCol w:w="842"/>
        <w:gridCol w:w="700"/>
        <w:gridCol w:w="898"/>
        <w:gridCol w:w="1062"/>
        <w:gridCol w:w="845"/>
      </w:tblGrid>
      <w:tr w:rsidR="00525419">
        <w:trPr>
          <w:trHeight w:val="347"/>
          <w:jc w:val="center"/>
        </w:trPr>
        <w:tc>
          <w:tcPr>
            <w:tcW w:w="1357" w:type="dxa"/>
            <w:tcBorders>
              <w:tl2br w:val="nil"/>
              <w:tr2bl w:val="nil"/>
            </w:tcBorders>
            <w:vAlign w:val="center"/>
          </w:tcPr>
          <w:p w:rsidR="00525419" w:rsidRDefault="00EE1CF7">
            <w:pPr>
              <w:pStyle w:val="aff1"/>
              <w:spacing w:line="240" w:lineRule="atLeast"/>
              <w:ind w:firstLineChars="0" w:firstLine="0"/>
              <w:jc w:val="center"/>
              <w:rPr>
                <w:rFonts w:ascii="Times New Roman" w:hAnsi="Times New Roman" w:cs="Times New Roman"/>
              </w:rPr>
            </w:pPr>
            <w:r>
              <w:rPr>
                <w:rFonts w:ascii="Times New Roman" w:hAnsi="Times New Roman" w:cs="Times New Roman"/>
              </w:rPr>
              <w:t>监测项目</w:t>
            </w:r>
          </w:p>
        </w:tc>
        <w:tc>
          <w:tcPr>
            <w:tcW w:w="983" w:type="dxa"/>
            <w:tcBorders>
              <w:tl2br w:val="nil"/>
              <w:tr2bl w:val="nil"/>
            </w:tcBorders>
            <w:vAlign w:val="center"/>
          </w:tcPr>
          <w:p w:rsidR="00525419" w:rsidRDefault="00EE1CF7">
            <w:pPr>
              <w:widowControl/>
              <w:spacing w:line="240" w:lineRule="atLeast"/>
              <w:jc w:val="center"/>
              <w:textAlignment w:val="center"/>
              <w:rPr>
                <w:rFonts w:ascii="Times New Roman" w:hAnsi="Times New Roman"/>
                <w:sz w:val="22"/>
              </w:rPr>
            </w:pPr>
            <w:r>
              <w:rPr>
                <w:rFonts w:ascii="Times New Roman" w:hAnsi="Times New Roman"/>
                <w:kern w:val="0"/>
                <w:szCs w:val="21"/>
              </w:rPr>
              <w:t>pH</w:t>
            </w:r>
          </w:p>
        </w:tc>
        <w:tc>
          <w:tcPr>
            <w:tcW w:w="982" w:type="dxa"/>
            <w:tcBorders>
              <w:tl2br w:val="nil"/>
              <w:tr2bl w:val="nil"/>
            </w:tcBorders>
            <w:vAlign w:val="center"/>
          </w:tcPr>
          <w:p w:rsidR="00525419" w:rsidRDefault="00EE1CF7">
            <w:pPr>
              <w:widowControl/>
              <w:spacing w:line="240" w:lineRule="atLeast"/>
              <w:jc w:val="center"/>
              <w:textAlignment w:val="center"/>
              <w:rPr>
                <w:rFonts w:ascii="Times New Roman" w:hAnsi="Times New Roman"/>
                <w:sz w:val="22"/>
              </w:rPr>
            </w:pPr>
            <w:r>
              <w:rPr>
                <w:rFonts w:ascii="Times New Roman" w:hAnsi="Times New Roman"/>
                <w:kern w:val="0"/>
                <w:szCs w:val="21"/>
              </w:rPr>
              <w:t>悬浮物</w:t>
            </w:r>
          </w:p>
        </w:tc>
        <w:tc>
          <w:tcPr>
            <w:tcW w:w="842" w:type="dxa"/>
            <w:tcBorders>
              <w:tl2br w:val="nil"/>
              <w:tr2bl w:val="nil"/>
            </w:tcBorders>
            <w:vAlign w:val="center"/>
          </w:tcPr>
          <w:p w:rsidR="00525419" w:rsidRDefault="00EE1CF7">
            <w:pPr>
              <w:widowControl/>
              <w:spacing w:line="240" w:lineRule="atLeast"/>
              <w:jc w:val="center"/>
              <w:textAlignment w:val="center"/>
              <w:rPr>
                <w:rFonts w:ascii="Times New Roman" w:hAnsi="Times New Roman"/>
                <w:sz w:val="22"/>
              </w:rPr>
            </w:pPr>
            <w:r>
              <w:rPr>
                <w:rFonts w:ascii="Times New Roman" w:hAnsi="Times New Roman"/>
                <w:kern w:val="0"/>
                <w:szCs w:val="21"/>
              </w:rPr>
              <w:t>CODcr</w:t>
            </w:r>
          </w:p>
        </w:tc>
        <w:tc>
          <w:tcPr>
            <w:tcW w:w="842" w:type="dxa"/>
            <w:tcBorders>
              <w:tl2br w:val="nil"/>
              <w:tr2bl w:val="nil"/>
            </w:tcBorders>
            <w:vAlign w:val="center"/>
          </w:tcPr>
          <w:p w:rsidR="00525419" w:rsidRDefault="00EE1CF7">
            <w:pPr>
              <w:widowControl/>
              <w:spacing w:line="240" w:lineRule="atLeast"/>
              <w:jc w:val="center"/>
              <w:textAlignment w:val="center"/>
              <w:rPr>
                <w:rFonts w:ascii="Times New Roman" w:hAnsi="Times New Roman"/>
                <w:sz w:val="22"/>
              </w:rPr>
            </w:pPr>
            <w:r>
              <w:rPr>
                <w:rFonts w:ascii="Times New Roman" w:hAnsi="Times New Roman"/>
                <w:kern w:val="0"/>
                <w:szCs w:val="21"/>
              </w:rPr>
              <w:t>BOD</w:t>
            </w:r>
            <w:r>
              <w:rPr>
                <w:rFonts w:ascii="Times New Roman" w:hAnsi="Times New Roman"/>
                <w:kern w:val="0"/>
                <w:szCs w:val="21"/>
                <w:vertAlign w:val="subscript"/>
              </w:rPr>
              <w:t>5</w:t>
            </w:r>
          </w:p>
        </w:tc>
        <w:tc>
          <w:tcPr>
            <w:tcW w:w="700" w:type="dxa"/>
            <w:tcBorders>
              <w:tl2br w:val="nil"/>
              <w:tr2bl w:val="nil"/>
            </w:tcBorders>
            <w:vAlign w:val="center"/>
          </w:tcPr>
          <w:p w:rsidR="00525419" w:rsidRDefault="00EE1CF7">
            <w:pPr>
              <w:widowControl/>
              <w:spacing w:line="240" w:lineRule="atLeast"/>
              <w:jc w:val="center"/>
              <w:textAlignment w:val="center"/>
              <w:rPr>
                <w:rFonts w:ascii="Times New Roman" w:hAnsi="Times New Roman"/>
                <w:sz w:val="22"/>
              </w:rPr>
            </w:pPr>
            <w:r>
              <w:rPr>
                <w:rFonts w:ascii="Times New Roman" w:hAnsi="Times New Roman"/>
                <w:kern w:val="0"/>
                <w:szCs w:val="21"/>
              </w:rPr>
              <w:t>氨氮</w:t>
            </w:r>
          </w:p>
        </w:tc>
        <w:tc>
          <w:tcPr>
            <w:tcW w:w="898" w:type="dxa"/>
            <w:tcBorders>
              <w:tl2br w:val="nil"/>
              <w:tr2bl w:val="nil"/>
            </w:tcBorders>
            <w:vAlign w:val="center"/>
          </w:tcPr>
          <w:p w:rsidR="00525419" w:rsidRDefault="00EE1CF7">
            <w:pPr>
              <w:widowControl/>
              <w:spacing w:line="240" w:lineRule="atLeast"/>
              <w:jc w:val="center"/>
              <w:textAlignment w:val="center"/>
              <w:rPr>
                <w:rFonts w:ascii="Times New Roman" w:hAnsi="Times New Roman"/>
                <w:sz w:val="22"/>
              </w:rPr>
            </w:pPr>
            <w:r>
              <w:rPr>
                <w:rFonts w:ascii="Times New Roman" w:hAnsi="Times New Roman"/>
                <w:kern w:val="0"/>
                <w:szCs w:val="21"/>
              </w:rPr>
              <w:t>挥发酚</w:t>
            </w:r>
          </w:p>
        </w:tc>
        <w:tc>
          <w:tcPr>
            <w:tcW w:w="1062" w:type="dxa"/>
            <w:tcBorders>
              <w:tl2br w:val="nil"/>
              <w:tr2bl w:val="nil"/>
            </w:tcBorders>
            <w:vAlign w:val="center"/>
          </w:tcPr>
          <w:p w:rsidR="00525419" w:rsidRDefault="00EE1CF7">
            <w:pPr>
              <w:widowControl/>
              <w:spacing w:line="240" w:lineRule="atLeast"/>
              <w:jc w:val="center"/>
              <w:textAlignment w:val="center"/>
              <w:rPr>
                <w:rFonts w:ascii="Times New Roman" w:hAnsi="Times New Roman"/>
                <w:sz w:val="22"/>
              </w:rPr>
            </w:pPr>
            <w:r>
              <w:rPr>
                <w:rFonts w:ascii="Times New Roman" w:hAnsi="Times New Roman"/>
                <w:kern w:val="0"/>
                <w:szCs w:val="21"/>
              </w:rPr>
              <w:t>石油类</w:t>
            </w:r>
          </w:p>
        </w:tc>
        <w:tc>
          <w:tcPr>
            <w:tcW w:w="845" w:type="dxa"/>
            <w:tcBorders>
              <w:tl2br w:val="nil"/>
              <w:tr2bl w:val="nil"/>
            </w:tcBorders>
            <w:vAlign w:val="center"/>
          </w:tcPr>
          <w:p w:rsidR="00525419" w:rsidRDefault="00EE1CF7">
            <w:pPr>
              <w:widowControl/>
              <w:spacing w:line="240" w:lineRule="atLeast"/>
              <w:jc w:val="center"/>
              <w:textAlignment w:val="center"/>
              <w:rPr>
                <w:rFonts w:ascii="Times New Roman" w:hAnsi="Times New Roman"/>
                <w:sz w:val="22"/>
              </w:rPr>
            </w:pPr>
            <w:r>
              <w:rPr>
                <w:rFonts w:ascii="Times New Roman" w:hAnsi="Times New Roman"/>
                <w:kern w:val="0"/>
                <w:szCs w:val="21"/>
              </w:rPr>
              <w:t>硫化</w:t>
            </w:r>
            <w:r>
              <w:rPr>
                <w:rFonts w:ascii="Times New Roman" w:hAnsi="Times New Roman"/>
                <w:kern w:val="0"/>
                <w:szCs w:val="21"/>
              </w:rPr>
              <w:lastRenderedPageBreak/>
              <w:t>物</w:t>
            </w:r>
          </w:p>
        </w:tc>
      </w:tr>
      <w:tr w:rsidR="00525419">
        <w:trPr>
          <w:trHeight w:val="195"/>
          <w:jc w:val="center"/>
        </w:trPr>
        <w:tc>
          <w:tcPr>
            <w:tcW w:w="1357" w:type="dxa"/>
            <w:tcBorders>
              <w:tl2br w:val="nil"/>
              <w:tr2bl w:val="nil"/>
            </w:tcBorders>
            <w:vAlign w:val="center"/>
          </w:tcPr>
          <w:p w:rsidR="00525419" w:rsidRDefault="00EE1CF7">
            <w:pPr>
              <w:pStyle w:val="aff1"/>
              <w:spacing w:line="240" w:lineRule="atLeast"/>
              <w:ind w:firstLineChars="0" w:firstLine="0"/>
              <w:jc w:val="center"/>
              <w:rPr>
                <w:rFonts w:ascii="Times New Roman" w:hAnsi="Times New Roman" w:cs="Times New Roman"/>
              </w:rPr>
            </w:pPr>
            <w:r>
              <w:rPr>
                <w:rFonts w:ascii="Times New Roman" w:hAnsi="Times New Roman" w:cs="Times New Roman"/>
              </w:rPr>
              <w:lastRenderedPageBreak/>
              <w:t>监测值</w:t>
            </w:r>
          </w:p>
        </w:tc>
        <w:tc>
          <w:tcPr>
            <w:tcW w:w="983" w:type="dxa"/>
            <w:tcBorders>
              <w:tl2br w:val="nil"/>
              <w:tr2bl w:val="nil"/>
            </w:tcBorders>
            <w:vAlign w:val="center"/>
          </w:tcPr>
          <w:p w:rsidR="00525419" w:rsidRDefault="00EE1CF7">
            <w:pPr>
              <w:widowControl/>
              <w:spacing w:line="240" w:lineRule="atLeast"/>
              <w:jc w:val="center"/>
              <w:textAlignment w:val="center"/>
              <w:rPr>
                <w:rFonts w:ascii="Times New Roman" w:hAnsi="Times New Roman"/>
                <w:szCs w:val="21"/>
              </w:rPr>
            </w:pPr>
            <w:r>
              <w:rPr>
                <w:rFonts w:ascii="Times New Roman" w:hAnsi="Times New Roman"/>
                <w:szCs w:val="21"/>
              </w:rPr>
              <w:t>8.2-8.4</w:t>
            </w:r>
          </w:p>
        </w:tc>
        <w:tc>
          <w:tcPr>
            <w:tcW w:w="982" w:type="dxa"/>
            <w:tcBorders>
              <w:tl2br w:val="nil"/>
              <w:tr2bl w:val="nil"/>
            </w:tcBorders>
            <w:vAlign w:val="center"/>
          </w:tcPr>
          <w:p w:rsidR="00525419" w:rsidRDefault="00EE1CF7">
            <w:pPr>
              <w:widowControl/>
              <w:spacing w:line="240" w:lineRule="atLeast"/>
              <w:jc w:val="center"/>
              <w:textAlignment w:val="center"/>
              <w:rPr>
                <w:rFonts w:ascii="Times New Roman" w:hAnsi="Times New Roman"/>
                <w:szCs w:val="21"/>
              </w:rPr>
            </w:pPr>
            <w:r>
              <w:rPr>
                <w:rFonts w:ascii="Times New Roman" w:hAnsi="Times New Roman"/>
                <w:szCs w:val="21"/>
              </w:rPr>
              <w:t>8</w:t>
            </w:r>
          </w:p>
        </w:tc>
        <w:tc>
          <w:tcPr>
            <w:tcW w:w="842" w:type="dxa"/>
            <w:tcBorders>
              <w:tl2br w:val="nil"/>
              <w:tr2bl w:val="nil"/>
            </w:tcBorders>
            <w:vAlign w:val="center"/>
          </w:tcPr>
          <w:p w:rsidR="00525419" w:rsidRDefault="00EE1CF7">
            <w:pPr>
              <w:widowControl/>
              <w:spacing w:line="240" w:lineRule="atLeast"/>
              <w:jc w:val="center"/>
              <w:textAlignment w:val="center"/>
              <w:rPr>
                <w:rFonts w:ascii="Times New Roman" w:hAnsi="Times New Roman"/>
                <w:szCs w:val="21"/>
              </w:rPr>
            </w:pPr>
            <w:r>
              <w:rPr>
                <w:rFonts w:ascii="Times New Roman" w:hAnsi="Times New Roman"/>
                <w:szCs w:val="21"/>
              </w:rPr>
              <w:t>8</w:t>
            </w:r>
          </w:p>
        </w:tc>
        <w:tc>
          <w:tcPr>
            <w:tcW w:w="842" w:type="dxa"/>
            <w:tcBorders>
              <w:tl2br w:val="nil"/>
              <w:tr2bl w:val="nil"/>
            </w:tcBorders>
            <w:vAlign w:val="center"/>
          </w:tcPr>
          <w:p w:rsidR="00525419" w:rsidRDefault="00EE1CF7">
            <w:pPr>
              <w:widowControl/>
              <w:spacing w:line="240" w:lineRule="atLeast"/>
              <w:jc w:val="center"/>
              <w:textAlignment w:val="center"/>
              <w:rPr>
                <w:rFonts w:ascii="Times New Roman" w:hAnsi="Times New Roman"/>
                <w:szCs w:val="21"/>
              </w:rPr>
            </w:pPr>
            <w:r>
              <w:rPr>
                <w:rFonts w:ascii="Times New Roman" w:hAnsi="Times New Roman"/>
                <w:szCs w:val="21"/>
              </w:rPr>
              <w:t>1.5</w:t>
            </w:r>
          </w:p>
        </w:tc>
        <w:tc>
          <w:tcPr>
            <w:tcW w:w="700" w:type="dxa"/>
            <w:tcBorders>
              <w:tl2br w:val="nil"/>
              <w:tr2bl w:val="nil"/>
            </w:tcBorders>
            <w:vAlign w:val="center"/>
          </w:tcPr>
          <w:p w:rsidR="00525419" w:rsidRDefault="00EE1CF7">
            <w:pPr>
              <w:widowControl/>
              <w:spacing w:line="240" w:lineRule="atLeast"/>
              <w:jc w:val="center"/>
              <w:textAlignment w:val="center"/>
              <w:rPr>
                <w:rFonts w:ascii="Times New Roman" w:hAnsi="Times New Roman"/>
                <w:szCs w:val="21"/>
              </w:rPr>
            </w:pPr>
            <w:r>
              <w:rPr>
                <w:rFonts w:ascii="Times New Roman" w:hAnsi="Times New Roman"/>
                <w:szCs w:val="21"/>
              </w:rPr>
              <w:t>0.118</w:t>
            </w:r>
          </w:p>
        </w:tc>
        <w:tc>
          <w:tcPr>
            <w:tcW w:w="898" w:type="dxa"/>
            <w:tcBorders>
              <w:tl2br w:val="nil"/>
              <w:tr2bl w:val="nil"/>
            </w:tcBorders>
            <w:vAlign w:val="center"/>
          </w:tcPr>
          <w:p w:rsidR="00525419" w:rsidRDefault="00EE1CF7">
            <w:pPr>
              <w:widowControl/>
              <w:spacing w:line="240" w:lineRule="atLeast"/>
              <w:jc w:val="center"/>
              <w:textAlignment w:val="center"/>
              <w:rPr>
                <w:rFonts w:ascii="Times New Roman" w:hAnsi="Times New Roman"/>
                <w:szCs w:val="21"/>
              </w:rPr>
            </w:pPr>
            <w:r>
              <w:rPr>
                <w:rFonts w:ascii="Times New Roman" w:hAnsi="Times New Roman"/>
                <w:szCs w:val="21"/>
              </w:rPr>
              <w:t>0.0009</w:t>
            </w:r>
          </w:p>
        </w:tc>
        <w:tc>
          <w:tcPr>
            <w:tcW w:w="1062" w:type="dxa"/>
            <w:tcBorders>
              <w:tl2br w:val="nil"/>
              <w:tr2bl w:val="nil"/>
            </w:tcBorders>
            <w:vAlign w:val="center"/>
          </w:tcPr>
          <w:p w:rsidR="00525419" w:rsidRDefault="00EE1CF7">
            <w:pPr>
              <w:widowControl/>
              <w:spacing w:line="240" w:lineRule="atLeast"/>
              <w:jc w:val="center"/>
              <w:textAlignment w:val="center"/>
              <w:rPr>
                <w:rFonts w:ascii="Times New Roman" w:hAnsi="Times New Roman"/>
                <w:szCs w:val="21"/>
              </w:rPr>
            </w:pPr>
            <w:r>
              <w:rPr>
                <w:rFonts w:ascii="Times New Roman" w:hAnsi="Times New Roman"/>
                <w:szCs w:val="21"/>
              </w:rPr>
              <w:t>0.003</w:t>
            </w:r>
          </w:p>
        </w:tc>
        <w:tc>
          <w:tcPr>
            <w:tcW w:w="845" w:type="dxa"/>
            <w:tcBorders>
              <w:tl2br w:val="nil"/>
              <w:tr2bl w:val="nil"/>
            </w:tcBorders>
            <w:vAlign w:val="center"/>
          </w:tcPr>
          <w:p w:rsidR="00525419" w:rsidRDefault="00EE1CF7">
            <w:pPr>
              <w:widowControl/>
              <w:spacing w:line="240" w:lineRule="atLeast"/>
              <w:jc w:val="center"/>
              <w:textAlignment w:val="center"/>
              <w:rPr>
                <w:rFonts w:ascii="Times New Roman" w:hAnsi="Times New Roman"/>
                <w:szCs w:val="21"/>
              </w:rPr>
            </w:pPr>
            <w:r>
              <w:rPr>
                <w:rFonts w:ascii="Times New Roman" w:hAnsi="Times New Roman"/>
                <w:szCs w:val="21"/>
              </w:rPr>
              <w:t>0.0117</w:t>
            </w:r>
          </w:p>
        </w:tc>
      </w:tr>
      <w:tr w:rsidR="00525419">
        <w:trPr>
          <w:trHeight w:val="405"/>
          <w:jc w:val="center"/>
        </w:trPr>
        <w:tc>
          <w:tcPr>
            <w:tcW w:w="1357" w:type="dxa"/>
            <w:tcBorders>
              <w:tl2br w:val="nil"/>
              <w:tr2bl w:val="nil"/>
            </w:tcBorders>
            <w:vAlign w:val="center"/>
          </w:tcPr>
          <w:p w:rsidR="00525419" w:rsidRDefault="00EE1CF7">
            <w:pPr>
              <w:pStyle w:val="aff1"/>
              <w:spacing w:line="240" w:lineRule="atLeast"/>
              <w:ind w:firstLineChars="0" w:firstLine="0"/>
              <w:jc w:val="center"/>
              <w:rPr>
                <w:rFonts w:ascii="Times New Roman" w:hAnsi="Times New Roman" w:cs="Times New Roman"/>
              </w:rPr>
            </w:pPr>
            <w:r>
              <w:rPr>
                <w:rFonts w:ascii="Times New Roman" w:hAnsi="Times New Roman" w:cs="Times New Roman"/>
              </w:rPr>
              <w:t>回用标准值</w:t>
            </w:r>
          </w:p>
        </w:tc>
        <w:tc>
          <w:tcPr>
            <w:tcW w:w="983" w:type="dxa"/>
            <w:tcBorders>
              <w:tl2br w:val="nil"/>
              <w:tr2bl w:val="nil"/>
            </w:tcBorders>
            <w:vAlign w:val="center"/>
          </w:tcPr>
          <w:p w:rsidR="00525419" w:rsidRDefault="00EE1CF7">
            <w:pPr>
              <w:widowControl/>
              <w:spacing w:line="240" w:lineRule="atLeast"/>
              <w:jc w:val="center"/>
              <w:textAlignment w:val="center"/>
              <w:rPr>
                <w:rFonts w:ascii="Times New Roman" w:hAnsi="Times New Roman"/>
                <w:szCs w:val="21"/>
              </w:rPr>
            </w:pPr>
            <w:r>
              <w:rPr>
                <w:rFonts w:ascii="Times New Roman" w:hAnsi="Times New Roman"/>
                <w:szCs w:val="21"/>
              </w:rPr>
              <w:t>6-9</w:t>
            </w:r>
          </w:p>
        </w:tc>
        <w:tc>
          <w:tcPr>
            <w:tcW w:w="982" w:type="dxa"/>
            <w:tcBorders>
              <w:tl2br w:val="nil"/>
              <w:tr2bl w:val="nil"/>
            </w:tcBorders>
            <w:vAlign w:val="center"/>
          </w:tcPr>
          <w:p w:rsidR="00525419" w:rsidRDefault="00EE1CF7">
            <w:pPr>
              <w:widowControl/>
              <w:spacing w:line="240" w:lineRule="atLeast"/>
              <w:jc w:val="center"/>
              <w:textAlignment w:val="center"/>
              <w:rPr>
                <w:rFonts w:ascii="Times New Roman" w:hAnsi="Times New Roman"/>
                <w:szCs w:val="21"/>
              </w:rPr>
            </w:pPr>
            <w:r>
              <w:rPr>
                <w:rFonts w:ascii="Times New Roman" w:hAnsi="Times New Roman"/>
                <w:szCs w:val="21"/>
              </w:rPr>
              <w:t>≤20</w:t>
            </w:r>
          </w:p>
        </w:tc>
        <w:tc>
          <w:tcPr>
            <w:tcW w:w="842" w:type="dxa"/>
            <w:tcBorders>
              <w:tl2br w:val="nil"/>
              <w:tr2bl w:val="nil"/>
            </w:tcBorders>
            <w:vAlign w:val="center"/>
          </w:tcPr>
          <w:p w:rsidR="00525419" w:rsidRDefault="00EE1CF7">
            <w:pPr>
              <w:widowControl/>
              <w:spacing w:line="240" w:lineRule="atLeast"/>
              <w:jc w:val="center"/>
              <w:textAlignment w:val="center"/>
              <w:rPr>
                <w:rFonts w:ascii="Times New Roman" w:hAnsi="Times New Roman"/>
                <w:szCs w:val="21"/>
              </w:rPr>
            </w:pPr>
            <w:r>
              <w:rPr>
                <w:rFonts w:ascii="Times New Roman" w:hAnsi="Times New Roman"/>
                <w:szCs w:val="21"/>
              </w:rPr>
              <w:t>≤80</w:t>
            </w:r>
          </w:p>
        </w:tc>
        <w:tc>
          <w:tcPr>
            <w:tcW w:w="842" w:type="dxa"/>
            <w:tcBorders>
              <w:tl2br w:val="nil"/>
              <w:tr2bl w:val="nil"/>
            </w:tcBorders>
            <w:vAlign w:val="center"/>
          </w:tcPr>
          <w:p w:rsidR="00525419" w:rsidRDefault="00EE1CF7">
            <w:pPr>
              <w:widowControl/>
              <w:spacing w:line="240" w:lineRule="atLeast"/>
              <w:jc w:val="center"/>
              <w:textAlignment w:val="center"/>
              <w:rPr>
                <w:rFonts w:ascii="Times New Roman" w:hAnsi="Times New Roman"/>
                <w:szCs w:val="21"/>
              </w:rPr>
            </w:pPr>
            <w:r>
              <w:rPr>
                <w:rFonts w:ascii="Times New Roman" w:hAnsi="Times New Roman"/>
                <w:szCs w:val="21"/>
              </w:rPr>
              <w:t>≤5</w:t>
            </w:r>
          </w:p>
        </w:tc>
        <w:tc>
          <w:tcPr>
            <w:tcW w:w="700" w:type="dxa"/>
            <w:tcBorders>
              <w:tl2br w:val="nil"/>
              <w:tr2bl w:val="nil"/>
            </w:tcBorders>
            <w:vAlign w:val="center"/>
          </w:tcPr>
          <w:p w:rsidR="00525419" w:rsidRDefault="00EE1CF7">
            <w:pPr>
              <w:widowControl/>
              <w:spacing w:line="240" w:lineRule="atLeast"/>
              <w:jc w:val="center"/>
              <w:textAlignment w:val="center"/>
              <w:rPr>
                <w:rFonts w:ascii="Times New Roman" w:hAnsi="Times New Roman"/>
                <w:szCs w:val="21"/>
              </w:rPr>
            </w:pPr>
            <w:r>
              <w:rPr>
                <w:rFonts w:ascii="Times New Roman" w:hAnsi="Times New Roman"/>
                <w:szCs w:val="21"/>
              </w:rPr>
              <w:t>≤15</w:t>
            </w:r>
          </w:p>
        </w:tc>
        <w:tc>
          <w:tcPr>
            <w:tcW w:w="898" w:type="dxa"/>
            <w:tcBorders>
              <w:tl2br w:val="nil"/>
              <w:tr2bl w:val="nil"/>
            </w:tcBorders>
            <w:vAlign w:val="center"/>
          </w:tcPr>
          <w:p w:rsidR="00525419" w:rsidRDefault="00EE1CF7">
            <w:pPr>
              <w:widowControl/>
              <w:spacing w:line="240" w:lineRule="atLeast"/>
              <w:jc w:val="center"/>
              <w:textAlignment w:val="center"/>
              <w:rPr>
                <w:rFonts w:ascii="Times New Roman" w:hAnsi="Times New Roman"/>
                <w:szCs w:val="21"/>
              </w:rPr>
            </w:pPr>
            <w:r>
              <w:rPr>
                <w:rFonts w:ascii="Times New Roman" w:hAnsi="Times New Roman"/>
                <w:szCs w:val="21"/>
              </w:rPr>
              <w:t>/</w:t>
            </w:r>
          </w:p>
        </w:tc>
        <w:tc>
          <w:tcPr>
            <w:tcW w:w="1062" w:type="dxa"/>
            <w:tcBorders>
              <w:tl2br w:val="nil"/>
              <w:tr2bl w:val="nil"/>
            </w:tcBorders>
            <w:vAlign w:val="center"/>
          </w:tcPr>
          <w:p w:rsidR="00525419" w:rsidRDefault="00EE1CF7">
            <w:pPr>
              <w:widowControl/>
              <w:spacing w:line="240" w:lineRule="atLeast"/>
              <w:jc w:val="center"/>
              <w:textAlignment w:val="center"/>
              <w:rPr>
                <w:rFonts w:ascii="Times New Roman" w:hAnsi="Times New Roman"/>
                <w:szCs w:val="21"/>
              </w:rPr>
            </w:pPr>
            <w:r>
              <w:rPr>
                <w:rFonts w:ascii="Times New Roman" w:hAnsi="Times New Roman"/>
                <w:szCs w:val="21"/>
              </w:rPr>
              <w:t>≤0.5</w:t>
            </w:r>
          </w:p>
        </w:tc>
        <w:tc>
          <w:tcPr>
            <w:tcW w:w="845" w:type="dxa"/>
            <w:tcBorders>
              <w:tl2br w:val="nil"/>
              <w:tr2bl w:val="nil"/>
            </w:tcBorders>
            <w:vAlign w:val="center"/>
          </w:tcPr>
          <w:p w:rsidR="00525419" w:rsidRDefault="00EE1CF7">
            <w:pPr>
              <w:widowControl/>
              <w:spacing w:line="240" w:lineRule="atLeast"/>
              <w:jc w:val="center"/>
              <w:textAlignment w:val="center"/>
              <w:rPr>
                <w:rFonts w:ascii="Times New Roman" w:hAnsi="Times New Roman"/>
                <w:szCs w:val="21"/>
              </w:rPr>
            </w:pPr>
            <w:r>
              <w:rPr>
                <w:rFonts w:ascii="Times New Roman" w:hAnsi="Times New Roman"/>
                <w:szCs w:val="21"/>
              </w:rPr>
              <w:t>≤0.1</w:t>
            </w:r>
          </w:p>
        </w:tc>
      </w:tr>
    </w:tbl>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从表</w:t>
      </w:r>
      <w:r>
        <w:rPr>
          <w:rFonts w:ascii="Times New Roman" w:hAnsi="Times New Roman"/>
          <w:sz w:val="24"/>
        </w:rPr>
        <w:t>6.2-1</w:t>
      </w:r>
      <w:r>
        <w:rPr>
          <w:rFonts w:ascii="Times New Roman" w:hAnsi="Times New Roman"/>
          <w:sz w:val="24"/>
        </w:rPr>
        <w:t>出水口水质监测结果，正常情况下，废水经处理后能达到《循环冷却水用再生水水质标准》（</w:t>
      </w:r>
      <w:r>
        <w:rPr>
          <w:rFonts w:ascii="Times New Roman" w:hAnsi="Times New Roman"/>
          <w:sz w:val="24"/>
        </w:rPr>
        <w:t>HG/T3923-2007</w:t>
      </w:r>
      <w:r>
        <w:rPr>
          <w:rFonts w:ascii="Times New Roman" w:hAnsi="Times New Roman"/>
          <w:sz w:val="24"/>
        </w:rPr>
        <w:t>）中水质指标的要求，因此本项目废水经处理后作为工业循环用水在技术上是可行的。</w:t>
      </w:r>
    </w:p>
    <w:p w:rsidR="00525419" w:rsidRDefault="00EE1CF7">
      <w:pPr>
        <w:pStyle w:val="4a"/>
        <w:widowControl/>
        <w:adjustRightInd w:val="0"/>
        <w:snapToGrid w:val="0"/>
        <w:spacing w:before="120" w:after="120" w:line="360" w:lineRule="auto"/>
        <w:jc w:val="left"/>
        <w:rPr>
          <w:rFonts w:ascii="Times New Roman" w:hAnsi="Times New Roman" w:cs="Times New Roman"/>
          <w:sz w:val="24"/>
        </w:rPr>
      </w:pPr>
      <w:r>
        <w:rPr>
          <w:rFonts w:ascii="Times New Roman" w:hAnsi="Times New Roman" w:cs="Times New Roman"/>
          <w:kern w:val="44"/>
          <w:sz w:val="24"/>
          <w:szCs w:val="24"/>
        </w:rPr>
        <w:t>6.2.3.4</w:t>
      </w:r>
      <w:r>
        <w:rPr>
          <w:rFonts w:ascii="Times New Roman" w:hAnsi="Times New Roman" w:cs="Times New Roman"/>
          <w:kern w:val="44"/>
          <w:sz w:val="24"/>
          <w:szCs w:val="24"/>
        </w:rPr>
        <w:t>浓盐水处理站出水回用可行性分析</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本项目脱盐水站产生的浓盐水进入配套的浓盐水处理装置进行处理，</w:t>
      </w:r>
      <w:r>
        <w:rPr>
          <w:rFonts w:ascii="Times New Roman" w:hAnsi="Times New Roman"/>
          <w:sz w:val="24"/>
          <w:szCs w:val="24"/>
        </w:rPr>
        <w:t>出水进入循环水系统，</w:t>
      </w:r>
      <w:r>
        <w:rPr>
          <w:rFonts w:ascii="Times New Roman" w:hAnsi="Times New Roman"/>
          <w:sz w:val="24"/>
        </w:rPr>
        <w:t>该处理装置设计产水量为</w:t>
      </w:r>
      <w:r>
        <w:rPr>
          <w:rFonts w:ascii="Times New Roman" w:hAnsi="Times New Roman"/>
          <w:sz w:val="24"/>
        </w:rPr>
        <w:t>30m</w:t>
      </w:r>
      <w:r>
        <w:rPr>
          <w:rFonts w:ascii="Times New Roman" w:hAnsi="Times New Roman"/>
          <w:sz w:val="24"/>
          <w:vertAlign w:val="superscript"/>
        </w:rPr>
        <w:t>3</w:t>
      </w:r>
      <w:r>
        <w:rPr>
          <w:rFonts w:ascii="Times New Roman" w:hAnsi="Times New Roman"/>
          <w:sz w:val="24"/>
        </w:rPr>
        <w:t>/h</w:t>
      </w:r>
      <w:r>
        <w:rPr>
          <w:rFonts w:ascii="Times New Roman" w:hAnsi="Times New Roman"/>
          <w:sz w:val="24"/>
        </w:rPr>
        <w:t>，出水水质达到工业循环水进水要求，硬度</w:t>
      </w:r>
      <w:r>
        <w:rPr>
          <w:rFonts w:ascii="Times New Roman" w:hAnsi="Times New Roman"/>
          <w:sz w:val="24"/>
        </w:rPr>
        <w:t>≤30mg/L</w:t>
      </w:r>
      <w:r>
        <w:rPr>
          <w:rFonts w:ascii="Times New Roman" w:hAnsi="Times New Roman"/>
          <w:sz w:val="24"/>
        </w:rPr>
        <w:t>，浊度</w:t>
      </w:r>
      <w:r>
        <w:rPr>
          <w:rFonts w:ascii="Times New Roman" w:hAnsi="Times New Roman"/>
          <w:sz w:val="24"/>
        </w:rPr>
        <w:t>≤10NTU</w:t>
      </w:r>
      <w:r>
        <w:rPr>
          <w:rFonts w:ascii="Times New Roman" w:hAnsi="Times New Roman"/>
          <w:sz w:val="24"/>
        </w:rPr>
        <w:t>，</w:t>
      </w:r>
      <w:r>
        <w:rPr>
          <w:rFonts w:ascii="Times New Roman" w:hAnsi="Times New Roman"/>
          <w:sz w:val="24"/>
          <w:szCs w:val="24"/>
        </w:rPr>
        <w:t>其工艺流程如下：</w:t>
      </w:r>
    </w:p>
    <w:p w:rsidR="00525419" w:rsidRDefault="00EE1CF7">
      <w:pPr>
        <w:pStyle w:val="2e"/>
        <w:ind w:leftChars="0" w:left="0"/>
        <w:rPr>
          <w:sz w:val="24"/>
          <w:szCs w:val="24"/>
        </w:rPr>
      </w:pPr>
      <w:r>
        <w:rPr>
          <w:noProof/>
        </w:rPr>
        <w:drawing>
          <wp:inline distT="0" distB="0" distL="114300" distR="114300">
            <wp:extent cx="5273675" cy="1392555"/>
            <wp:effectExtent l="0" t="0" r="3175" b="17145"/>
            <wp:docPr id="3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pic:cNvPicPr>
                      <a:picLocks noChangeAspect="1"/>
                    </pic:cNvPicPr>
                  </pic:nvPicPr>
                  <pic:blipFill>
                    <a:blip r:embed="rId16"/>
                    <a:stretch>
                      <a:fillRect/>
                    </a:stretch>
                  </pic:blipFill>
                  <pic:spPr>
                    <a:xfrm>
                      <a:off x="0" y="0"/>
                      <a:ext cx="5273675" cy="1392555"/>
                    </a:xfrm>
                    <a:prstGeom prst="rect">
                      <a:avLst/>
                    </a:prstGeom>
                    <a:noFill/>
                    <a:ln>
                      <a:noFill/>
                    </a:ln>
                  </pic:spPr>
                </pic:pic>
              </a:graphicData>
            </a:graphic>
          </wp:inline>
        </w:drawing>
      </w:r>
    </w:p>
    <w:p w:rsidR="00525419" w:rsidRDefault="00EE1CF7">
      <w:pPr>
        <w:adjustRightInd w:val="0"/>
        <w:snapToGrid w:val="0"/>
        <w:spacing w:line="360" w:lineRule="auto"/>
        <w:rPr>
          <w:rFonts w:ascii="Times New Roman" w:hAnsi="Times New Roman"/>
          <w:b/>
          <w:bCs/>
          <w:sz w:val="24"/>
        </w:rPr>
      </w:pPr>
      <w:r>
        <w:rPr>
          <w:rFonts w:ascii="Times New Roman" w:hAnsi="Times New Roman"/>
          <w:b/>
          <w:bCs/>
          <w:sz w:val="24"/>
        </w:rPr>
        <w:t xml:space="preserve">  </w:t>
      </w:r>
      <w:r>
        <w:rPr>
          <w:rFonts w:ascii="Times New Roman" w:hAnsi="Times New Roman"/>
          <w:b/>
          <w:kern w:val="0"/>
          <w:sz w:val="24"/>
        </w:rPr>
        <w:t xml:space="preserve">　</w:t>
      </w:r>
      <w:r>
        <w:rPr>
          <w:rFonts w:ascii="Times New Roman" w:hAnsi="Times New Roman"/>
          <w:b/>
          <w:kern w:val="0"/>
          <w:sz w:val="24"/>
        </w:rPr>
        <w:t xml:space="preserve">         </w:t>
      </w:r>
      <w:r>
        <w:rPr>
          <w:rFonts w:ascii="Times New Roman" w:hAnsi="Times New Roman"/>
          <w:b/>
          <w:kern w:val="0"/>
          <w:sz w:val="24"/>
        </w:rPr>
        <w:t>图</w:t>
      </w:r>
      <w:r>
        <w:rPr>
          <w:rFonts w:ascii="Times New Roman" w:hAnsi="Times New Roman"/>
          <w:b/>
          <w:kern w:val="0"/>
          <w:sz w:val="24"/>
        </w:rPr>
        <w:t>3.2-8</w:t>
      </w:r>
      <w:r>
        <w:rPr>
          <w:rFonts w:ascii="Times New Roman" w:hAnsi="Times New Roman"/>
          <w:b/>
          <w:kern w:val="0"/>
          <w:sz w:val="24"/>
        </w:rPr>
        <w:t xml:space="preserve">　　浓盐水处理装置工艺流程</w:t>
      </w:r>
    </w:p>
    <w:p w:rsidR="00525419" w:rsidRDefault="00EE1CF7">
      <w:pPr>
        <w:pStyle w:val="affffe"/>
        <w:spacing w:line="360" w:lineRule="auto"/>
        <w:ind w:firstLine="480"/>
        <w:jc w:val="both"/>
        <w:rPr>
          <w:rFonts w:ascii="Times New Roman"/>
          <w:sz w:val="24"/>
        </w:rPr>
      </w:pPr>
      <w:r>
        <w:rPr>
          <w:rFonts w:ascii="Times New Roman"/>
          <w:sz w:val="24"/>
        </w:rPr>
        <w:t>本项目脱盐水站浓盐水产生量为</w:t>
      </w:r>
      <w:r>
        <w:rPr>
          <w:rFonts w:ascii="Times New Roman"/>
          <w:sz w:val="24"/>
        </w:rPr>
        <w:t>8.5m</w:t>
      </w:r>
      <w:r>
        <w:rPr>
          <w:rFonts w:ascii="Times New Roman"/>
          <w:sz w:val="24"/>
          <w:vertAlign w:val="superscript"/>
        </w:rPr>
        <w:t>3</w:t>
      </w:r>
      <w:r>
        <w:rPr>
          <w:rFonts w:ascii="Times New Roman"/>
          <w:sz w:val="24"/>
        </w:rPr>
        <w:t>/h</w:t>
      </w:r>
      <w:r>
        <w:rPr>
          <w:rFonts w:ascii="Times New Roman"/>
          <w:sz w:val="24"/>
        </w:rPr>
        <w:t>，浓盐水处理装置采用</w:t>
      </w:r>
      <w:r>
        <w:rPr>
          <w:rFonts w:ascii="Times New Roman"/>
          <w:sz w:val="24"/>
        </w:rPr>
        <w:t>“</w:t>
      </w:r>
      <w:r>
        <w:rPr>
          <w:rFonts w:ascii="Times New Roman"/>
          <w:sz w:val="24"/>
        </w:rPr>
        <w:t>高效沉淀</w:t>
      </w:r>
      <w:r>
        <w:rPr>
          <w:rFonts w:ascii="Times New Roman"/>
          <w:sz w:val="24"/>
        </w:rPr>
        <w:t>+</w:t>
      </w:r>
      <w:r>
        <w:rPr>
          <w:rFonts w:ascii="Times New Roman"/>
          <w:sz w:val="24"/>
        </w:rPr>
        <w:t>全自动过滤</w:t>
      </w:r>
      <w:r>
        <w:rPr>
          <w:rFonts w:ascii="Times New Roman"/>
          <w:sz w:val="24"/>
        </w:rPr>
        <w:t>”</w:t>
      </w:r>
      <w:r>
        <w:rPr>
          <w:rFonts w:ascii="Times New Roman"/>
          <w:sz w:val="24"/>
        </w:rPr>
        <w:t>处理工艺，处理完的水进入循环水系统回用，满足本项目浓盐水处理水质要求。</w:t>
      </w:r>
    </w:p>
    <w:p w:rsidR="00525419" w:rsidRDefault="00EE1CF7" w:rsidP="00EE1CF7">
      <w:pPr>
        <w:pStyle w:val="3a"/>
        <w:spacing w:beforeLines="50" w:before="166" w:after="156" w:line="360" w:lineRule="auto"/>
        <w:jc w:val="left"/>
        <w:rPr>
          <w:rFonts w:ascii="Times New Roman" w:eastAsia="华文楷体" w:hAnsi="Times New Roman"/>
        </w:rPr>
      </w:pPr>
      <w:bookmarkStart w:id="265" w:name="_Toc341966333"/>
      <w:bookmarkStart w:id="266" w:name="_Toc365985847"/>
      <w:bookmarkStart w:id="267" w:name="_Toc399496561"/>
      <w:bookmarkStart w:id="268" w:name="_Toc341966650"/>
      <w:bookmarkStart w:id="269" w:name="_Toc410121466"/>
      <w:r>
        <w:rPr>
          <w:rFonts w:ascii="Times New Roman" w:eastAsia="华文楷体" w:hAnsi="Times New Roman"/>
        </w:rPr>
        <w:t>6.</w:t>
      </w:r>
      <w:bookmarkEnd w:id="265"/>
      <w:bookmarkEnd w:id="266"/>
      <w:bookmarkEnd w:id="267"/>
      <w:bookmarkEnd w:id="268"/>
      <w:r>
        <w:rPr>
          <w:rFonts w:ascii="Times New Roman" w:eastAsia="华文楷体" w:hAnsi="Times New Roman"/>
        </w:rPr>
        <w:t>2.4</w:t>
      </w:r>
      <w:r>
        <w:rPr>
          <w:rFonts w:ascii="Times New Roman" w:eastAsia="华文楷体" w:hAnsi="Times New Roman"/>
        </w:rPr>
        <w:t>事故池依托的合理性分析</w:t>
      </w:r>
      <w:bookmarkEnd w:id="269"/>
    </w:p>
    <w:p w:rsidR="00525419" w:rsidRDefault="00EE1CF7">
      <w:pPr>
        <w:spacing w:line="500" w:lineRule="exact"/>
        <w:ind w:firstLineChars="200" w:firstLine="480"/>
        <w:rPr>
          <w:rFonts w:ascii="Times New Roman" w:hAnsi="Times New Roman"/>
          <w:sz w:val="24"/>
        </w:rPr>
      </w:pPr>
      <w:r>
        <w:rPr>
          <w:rFonts w:ascii="Times New Roman" w:hAnsi="Times New Roman"/>
          <w:sz w:val="24"/>
        </w:rPr>
        <w:t>根据《石油化工企业设计防火规范》（</w:t>
      </w:r>
      <w:r>
        <w:rPr>
          <w:rFonts w:ascii="Times New Roman" w:hAnsi="Times New Roman"/>
          <w:sz w:val="24"/>
        </w:rPr>
        <w:t>GB50160-2008</w:t>
      </w:r>
      <w:r>
        <w:rPr>
          <w:rFonts w:ascii="Times New Roman" w:hAnsi="Times New Roman"/>
          <w:sz w:val="24"/>
        </w:rPr>
        <w:t>）中</w:t>
      </w:r>
      <w:r>
        <w:rPr>
          <w:rFonts w:ascii="Times New Roman" w:hAnsi="Times New Roman"/>
          <w:sz w:val="24"/>
        </w:rPr>
        <w:t>“8.4.3</w:t>
      </w:r>
      <w:r>
        <w:rPr>
          <w:rFonts w:ascii="Times New Roman" w:hAnsi="Times New Roman"/>
          <w:sz w:val="24"/>
        </w:rPr>
        <w:t>工艺装置、辅助生产设施及建筑物的消防用水量计算应符合下列规定</w:t>
      </w:r>
      <w:r>
        <w:rPr>
          <w:rFonts w:ascii="Times New Roman" w:hAnsi="Times New Roman"/>
          <w:sz w:val="24"/>
        </w:rPr>
        <w:t>”</w:t>
      </w:r>
      <w:r>
        <w:rPr>
          <w:rFonts w:ascii="Times New Roman" w:hAnsi="Times New Roman"/>
          <w:sz w:val="24"/>
        </w:rPr>
        <w:t>，</w:t>
      </w:r>
      <w:r>
        <w:rPr>
          <w:rFonts w:ascii="Times New Roman" w:hAnsi="Times New Roman"/>
          <w:kern w:val="0"/>
          <w:sz w:val="24"/>
          <w:szCs w:val="24"/>
        </w:rPr>
        <w:t>厂区</w:t>
      </w:r>
      <w:r>
        <w:rPr>
          <w:rFonts w:ascii="Times New Roman" w:hAnsi="Times New Roman"/>
          <w:sz w:val="24"/>
        </w:rPr>
        <w:t>消防系统设计最大流量</w:t>
      </w:r>
      <w:r>
        <w:rPr>
          <w:rFonts w:ascii="Times New Roman" w:hAnsi="Times New Roman"/>
          <w:sz w:val="24"/>
        </w:rPr>
        <w:t>230L/s</w:t>
      </w:r>
      <w:r>
        <w:rPr>
          <w:rFonts w:ascii="Times New Roman" w:hAnsi="Times New Roman"/>
          <w:sz w:val="24"/>
        </w:rPr>
        <w:t>，</w:t>
      </w:r>
      <w:r>
        <w:rPr>
          <w:rFonts w:ascii="Times New Roman" w:hAnsi="Times New Roman"/>
          <w:kern w:val="0"/>
          <w:sz w:val="24"/>
          <w:szCs w:val="24"/>
        </w:rPr>
        <w:t>火灾延续供水时间</w:t>
      </w:r>
      <w:r>
        <w:rPr>
          <w:rFonts w:ascii="Times New Roman" w:hAnsi="Times New Roman"/>
          <w:kern w:val="0"/>
          <w:sz w:val="24"/>
          <w:szCs w:val="24"/>
        </w:rPr>
        <w:t>3h</w:t>
      </w:r>
      <w:r>
        <w:rPr>
          <w:rFonts w:ascii="Times New Roman" w:hAnsi="Times New Roman"/>
          <w:kern w:val="0"/>
          <w:sz w:val="24"/>
          <w:szCs w:val="24"/>
        </w:rPr>
        <w:t>。</w:t>
      </w:r>
      <w:r>
        <w:rPr>
          <w:rFonts w:ascii="Times New Roman" w:hAnsi="Times New Roman"/>
          <w:sz w:val="24"/>
        </w:rPr>
        <w:t>厂区现有消防系统设计流量</w:t>
      </w:r>
      <w:r>
        <w:rPr>
          <w:rFonts w:ascii="Times New Roman" w:hAnsi="Times New Roman"/>
          <w:sz w:val="24"/>
        </w:rPr>
        <w:t>334L/s</w:t>
      </w:r>
      <w:r>
        <w:rPr>
          <w:rFonts w:ascii="Times New Roman" w:hAnsi="Times New Roman"/>
          <w:sz w:val="24"/>
        </w:rPr>
        <w:t>，管网工作压力</w:t>
      </w:r>
      <w:r>
        <w:rPr>
          <w:rFonts w:ascii="Times New Roman" w:hAnsi="Times New Roman"/>
          <w:sz w:val="24"/>
        </w:rPr>
        <w:t>1.2MPa</w:t>
      </w:r>
      <w:r>
        <w:rPr>
          <w:rFonts w:ascii="Times New Roman" w:hAnsi="Times New Roman"/>
          <w:sz w:val="24"/>
        </w:rPr>
        <w:t>，一次最大消防用水量为</w:t>
      </w:r>
      <w:r>
        <w:rPr>
          <w:rFonts w:ascii="Times New Roman" w:hAnsi="Times New Roman"/>
          <w:sz w:val="24"/>
        </w:rPr>
        <w:t>3607.2m</w:t>
      </w:r>
      <w:r>
        <w:rPr>
          <w:rFonts w:ascii="Times New Roman" w:hAnsi="Times New Roman"/>
          <w:sz w:val="24"/>
          <w:vertAlign w:val="superscript"/>
        </w:rPr>
        <w:t>3</w:t>
      </w:r>
      <w:r>
        <w:rPr>
          <w:rFonts w:ascii="Times New Roman" w:hAnsi="Times New Roman"/>
          <w:sz w:val="24"/>
        </w:rPr>
        <w:t>。本项目消防水流量</w:t>
      </w:r>
      <w:r>
        <w:rPr>
          <w:rFonts w:ascii="Times New Roman" w:hAnsi="Times New Roman"/>
          <w:sz w:val="24"/>
        </w:rPr>
        <w:t>300L/s</w:t>
      </w:r>
      <w:r>
        <w:rPr>
          <w:rFonts w:ascii="Times New Roman" w:hAnsi="Times New Roman"/>
          <w:sz w:val="24"/>
        </w:rPr>
        <w:t>，一次最大消防用水量为</w:t>
      </w:r>
      <w:r>
        <w:rPr>
          <w:rFonts w:ascii="Times New Roman" w:hAnsi="Times New Roman"/>
          <w:sz w:val="24"/>
        </w:rPr>
        <w:t>3240m</w:t>
      </w:r>
      <w:r>
        <w:rPr>
          <w:rFonts w:ascii="Times New Roman" w:hAnsi="Times New Roman"/>
          <w:sz w:val="24"/>
          <w:vertAlign w:val="superscript"/>
        </w:rPr>
        <w:t>3</w:t>
      </w:r>
      <w:r>
        <w:rPr>
          <w:rFonts w:ascii="Times New Roman" w:hAnsi="Times New Roman"/>
          <w:sz w:val="24"/>
        </w:rPr>
        <w:t>。公司循环水场西侧原有</w:t>
      </w:r>
      <w:r>
        <w:rPr>
          <w:rFonts w:ascii="Times New Roman" w:hAnsi="Times New Roman"/>
          <w:sz w:val="24"/>
        </w:rPr>
        <w:t>4</w:t>
      </w:r>
      <w:r>
        <w:rPr>
          <w:rFonts w:ascii="Times New Roman" w:hAnsi="Times New Roman"/>
          <w:sz w:val="24"/>
        </w:rPr>
        <w:t>座</w:t>
      </w:r>
      <w:r>
        <w:rPr>
          <w:rFonts w:ascii="Times New Roman" w:hAnsi="Times New Roman"/>
          <w:sz w:val="24"/>
        </w:rPr>
        <w:t>2000m</w:t>
      </w:r>
      <w:r>
        <w:rPr>
          <w:rFonts w:ascii="Times New Roman" w:hAnsi="Times New Roman"/>
          <w:sz w:val="24"/>
          <w:vertAlign w:val="superscript"/>
        </w:rPr>
        <w:t>3</w:t>
      </w:r>
      <w:r>
        <w:rPr>
          <w:rFonts w:ascii="Times New Roman" w:hAnsi="Times New Roman"/>
          <w:sz w:val="24"/>
        </w:rPr>
        <w:t>消防水罐和新建</w:t>
      </w:r>
      <w:r>
        <w:rPr>
          <w:rFonts w:ascii="Times New Roman" w:hAnsi="Times New Roman"/>
          <w:sz w:val="24"/>
        </w:rPr>
        <w:t>2</w:t>
      </w:r>
      <w:r>
        <w:rPr>
          <w:rFonts w:ascii="Times New Roman" w:hAnsi="Times New Roman"/>
          <w:sz w:val="24"/>
        </w:rPr>
        <w:t>座</w:t>
      </w:r>
      <w:r>
        <w:rPr>
          <w:rFonts w:ascii="Times New Roman" w:hAnsi="Times New Roman"/>
          <w:sz w:val="24"/>
        </w:rPr>
        <w:t>1000m</w:t>
      </w:r>
      <w:r>
        <w:rPr>
          <w:rFonts w:ascii="Times New Roman" w:hAnsi="Times New Roman"/>
          <w:sz w:val="24"/>
          <w:vertAlign w:val="superscript"/>
        </w:rPr>
        <w:t>3</w:t>
      </w:r>
      <w:r>
        <w:rPr>
          <w:rFonts w:ascii="Times New Roman" w:hAnsi="Times New Roman"/>
          <w:sz w:val="24"/>
        </w:rPr>
        <w:t>消防水罐，总储量为</w:t>
      </w:r>
      <w:r>
        <w:rPr>
          <w:rFonts w:ascii="Times New Roman" w:hAnsi="Times New Roman"/>
          <w:sz w:val="24"/>
        </w:rPr>
        <w:t>10000m</w:t>
      </w:r>
      <w:r>
        <w:rPr>
          <w:rFonts w:ascii="Times New Roman" w:hAnsi="Times New Roman"/>
          <w:sz w:val="24"/>
          <w:vertAlign w:val="superscript"/>
        </w:rPr>
        <w:t>3</w:t>
      </w:r>
      <w:r>
        <w:rPr>
          <w:rFonts w:ascii="Times New Roman" w:hAnsi="Times New Roman"/>
          <w:sz w:val="24"/>
        </w:rPr>
        <w:t>，消防水系统满足本项目需要。</w:t>
      </w:r>
    </w:p>
    <w:p w:rsidR="00525419" w:rsidRDefault="00EE1CF7">
      <w:pPr>
        <w:spacing w:line="460" w:lineRule="exact"/>
        <w:ind w:firstLineChars="200" w:firstLine="480"/>
        <w:rPr>
          <w:rFonts w:ascii="Times New Roman" w:hAnsi="Times New Roman"/>
          <w:sz w:val="24"/>
        </w:rPr>
      </w:pPr>
      <w:r>
        <w:rPr>
          <w:rFonts w:ascii="Times New Roman" w:hAnsi="Times New Roman"/>
          <w:sz w:val="24"/>
        </w:rPr>
        <w:lastRenderedPageBreak/>
        <w:t>发生事故时，待处理的污水、工艺装置区或储罐区围堰内的物料及受污染的消防水全部由废水管道收集后贮存于事故水池内，以防止对周边水体环境造成污染及危害。</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根据《水体污染防控紧急措施设计导则》，事故储存设施总有效容积：</w:t>
      </w:r>
    </w:p>
    <w:p w:rsidR="00525419" w:rsidRDefault="00EE1CF7">
      <w:pPr>
        <w:spacing w:line="360" w:lineRule="auto"/>
        <w:ind w:firstLineChars="200" w:firstLine="482"/>
        <w:rPr>
          <w:rFonts w:ascii="Times New Roman" w:hAnsi="Times New Roman"/>
          <w:b/>
          <w:bCs/>
          <w:sz w:val="24"/>
          <w:szCs w:val="24"/>
        </w:rPr>
      </w:pPr>
      <w:r>
        <w:rPr>
          <w:rFonts w:ascii="Times New Roman" w:hAnsi="Times New Roman"/>
          <w:b/>
          <w:bCs/>
          <w:sz w:val="24"/>
          <w:szCs w:val="24"/>
        </w:rPr>
        <w:t>（</w:t>
      </w:r>
      <w:r>
        <w:rPr>
          <w:rFonts w:ascii="Times New Roman" w:hAnsi="Times New Roman"/>
          <w:b/>
          <w:bCs/>
          <w:sz w:val="24"/>
          <w:szCs w:val="24"/>
        </w:rPr>
        <w:t>1</w:t>
      </w:r>
      <w:r>
        <w:rPr>
          <w:rFonts w:ascii="Times New Roman" w:hAnsi="Times New Roman"/>
          <w:b/>
          <w:bCs/>
          <w:sz w:val="24"/>
          <w:szCs w:val="24"/>
        </w:rPr>
        <w:t>）</w:t>
      </w:r>
      <w:r>
        <w:rPr>
          <w:rFonts w:ascii="Times New Roman" w:hAnsi="Times New Roman"/>
          <w:b/>
          <w:bCs/>
          <w:sz w:val="24"/>
          <w:szCs w:val="24"/>
        </w:rPr>
        <w:t>V</w:t>
      </w:r>
      <w:r>
        <w:rPr>
          <w:rFonts w:ascii="Times New Roman" w:hAnsi="Times New Roman"/>
          <w:b/>
          <w:bCs/>
          <w:sz w:val="24"/>
          <w:szCs w:val="24"/>
          <w:vertAlign w:val="subscript"/>
        </w:rPr>
        <w:t>总</w:t>
      </w:r>
      <w:r>
        <w:rPr>
          <w:rFonts w:ascii="Times New Roman" w:hAnsi="Times New Roman"/>
          <w:b/>
          <w:bCs/>
          <w:sz w:val="24"/>
          <w:szCs w:val="24"/>
        </w:rPr>
        <w:t xml:space="preserve">= </w:t>
      </w:r>
      <w:r>
        <w:rPr>
          <w:rFonts w:ascii="Times New Roman" w:hAnsi="Times New Roman"/>
          <w:b/>
          <w:bCs/>
          <w:sz w:val="24"/>
          <w:szCs w:val="24"/>
        </w:rPr>
        <w:t>（</w:t>
      </w:r>
      <w:r>
        <w:rPr>
          <w:rFonts w:ascii="Times New Roman" w:hAnsi="Times New Roman"/>
          <w:b/>
          <w:bCs/>
          <w:sz w:val="24"/>
          <w:szCs w:val="24"/>
        </w:rPr>
        <w:t>V</w:t>
      </w:r>
      <w:r>
        <w:rPr>
          <w:rFonts w:ascii="Times New Roman" w:hAnsi="Times New Roman"/>
          <w:b/>
          <w:bCs/>
          <w:sz w:val="24"/>
          <w:szCs w:val="24"/>
          <w:vertAlign w:val="subscript"/>
        </w:rPr>
        <w:t>1</w:t>
      </w:r>
      <w:r>
        <w:rPr>
          <w:rFonts w:ascii="Times New Roman" w:hAnsi="Times New Roman"/>
          <w:b/>
          <w:bCs/>
          <w:sz w:val="24"/>
          <w:szCs w:val="24"/>
        </w:rPr>
        <w:t>+ V</w:t>
      </w:r>
      <w:r>
        <w:rPr>
          <w:rFonts w:ascii="Times New Roman" w:hAnsi="Times New Roman"/>
          <w:b/>
          <w:bCs/>
          <w:sz w:val="24"/>
          <w:szCs w:val="24"/>
          <w:vertAlign w:val="subscript"/>
        </w:rPr>
        <w:t>2</w:t>
      </w:r>
      <w:r>
        <w:rPr>
          <w:rFonts w:ascii="Times New Roman" w:hAnsi="Times New Roman"/>
          <w:b/>
          <w:bCs/>
          <w:sz w:val="24"/>
          <w:szCs w:val="24"/>
        </w:rPr>
        <w:t>- V</w:t>
      </w:r>
      <w:r>
        <w:rPr>
          <w:rFonts w:ascii="Times New Roman" w:hAnsi="Times New Roman"/>
          <w:b/>
          <w:bCs/>
          <w:sz w:val="24"/>
          <w:szCs w:val="24"/>
          <w:vertAlign w:val="subscript"/>
        </w:rPr>
        <w:t>3</w:t>
      </w:r>
      <w:r>
        <w:rPr>
          <w:rFonts w:ascii="Times New Roman" w:hAnsi="Times New Roman"/>
          <w:b/>
          <w:bCs/>
          <w:sz w:val="24"/>
          <w:szCs w:val="24"/>
        </w:rPr>
        <w:t>）</w:t>
      </w:r>
      <w:r>
        <w:rPr>
          <w:rFonts w:ascii="Times New Roman" w:hAnsi="Times New Roman"/>
          <w:b/>
          <w:bCs/>
          <w:sz w:val="24"/>
          <w:szCs w:val="24"/>
        </w:rPr>
        <w:t>max + V</w:t>
      </w:r>
      <w:r>
        <w:rPr>
          <w:rFonts w:ascii="Times New Roman" w:hAnsi="Times New Roman"/>
          <w:b/>
          <w:bCs/>
          <w:sz w:val="24"/>
          <w:szCs w:val="24"/>
          <w:vertAlign w:val="subscript"/>
        </w:rPr>
        <w:t>4</w:t>
      </w:r>
      <w:r>
        <w:rPr>
          <w:rFonts w:ascii="Times New Roman" w:hAnsi="Times New Roman"/>
          <w:b/>
          <w:bCs/>
          <w:sz w:val="24"/>
          <w:szCs w:val="24"/>
        </w:rPr>
        <w:t>+ V</w:t>
      </w:r>
      <w:r>
        <w:rPr>
          <w:rFonts w:ascii="Times New Roman" w:hAnsi="Times New Roman"/>
          <w:b/>
          <w:bCs/>
          <w:sz w:val="24"/>
          <w:szCs w:val="24"/>
          <w:vertAlign w:val="subscript"/>
        </w:rPr>
        <w:t>5</w:t>
      </w:r>
      <w:r>
        <w:rPr>
          <w:rFonts w:ascii="Times New Roman" w:hAnsi="Times New Roman"/>
          <w:b/>
          <w:bCs/>
          <w:sz w:val="24"/>
          <w:szCs w:val="24"/>
        </w:rPr>
        <w:t xml:space="preserve">　</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注：</w:t>
      </w:r>
      <w:r>
        <w:rPr>
          <w:rFonts w:ascii="Times New Roman" w:hAnsi="Times New Roman"/>
          <w:sz w:val="24"/>
          <w:szCs w:val="24"/>
        </w:rPr>
        <w:t xml:space="preserve"> V1——</w:t>
      </w:r>
      <w:r>
        <w:rPr>
          <w:rFonts w:ascii="Times New Roman" w:hAnsi="Times New Roman"/>
          <w:sz w:val="24"/>
          <w:szCs w:val="24"/>
        </w:rPr>
        <w:t>收集系统范围内发生事故的一个罐组或一套装置的物料量。</w:t>
      </w:r>
    </w:p>
    <w:p w:rsidR="00525419" w:rsidRDefault="00EE1CF7">
      <w:pPr>
        <w:spacing w:line="360" w:lineRule="auto"/>
        <w:ind w:firstLineChars="450" w:firstLine="1080"/>
        <w:rPr>
          <w:rFonts w:ascii="Times New Roman" w:hAnsi="Times New Roman"/>
          <w:sz w:val="24"/>
          <w:szCs w:val="24"/>
        </w:rPr>
      </w:pPr>
      <w:r>
        <w:rPr>
          <w:rFonts w:ascii="Times New Roman" w:hAnsi="Times New Roman"/>
          <w:sz w:val="24"/>
          <w:szCs w:val="24"/>
        </w:rPr>
        <w:t>V</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sz w:val="24"/>
          <w:szCs w:val="24"/>
        </w:rPr>
        <w:t>发生事故的储罐或装置的消防水量，</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w:t>
      </w:r>
    </w:p>
    <w:p w:rsidR="00525419" w:rsidRDefault="00EE1CF7">
      <w:pPr>
        <w:spacing w:line="360" w:lineRule="auto"/>
        <w:ind w:firstLineChars="450" w:firstLine="1080"/>
        <w:rPr>
          <w:rFonts w:ascii="Times New Roman" w:hAnsi="Times New Roman"/>
          <w:sz w:val="24"/>
          <w:szCs w:val="24"/>
        </w:rPr>
      </w:pPr>
      <w:r>
        <w:rPr>
          <w:rFonts w:ascii="Times New Roman" w:hAnsi="Times New Roman"/>
          <w:sz w:val="24"/>
          <w:szCs w:val="24"/>
        </w:rPr>
        <w:t>V</w:t>
      </w:r>
      <w:r>
        <w:rPr>
          <w:rFonts w:ascii="Times New Roman" w:hAnsi="Times New Roman"/>
          <w:sz w:val="24"/>
          <w:szCs w:val="24"/>
          <w:vertAlign w:val="subscript"/>
        </w:rPr>
        <w:t>2</w:t>
      </w:r>
      <w:r>
        <w:rPr>
          <w:rFonts w:ascii="Times New Roman" w:hAnsi="Times New Roman"/>
          <w:sz w:val="24"/>
          <w:szCs w:val="24"/>
        </w:rPr>
        <w:t>=∑Q</w:t>
      </w:r>
      <w:r>
        <w:rPr>
          <w:rFonts w:ascii="Times New Roman" w:hAnsi="Times New Roman"/>
          <w:sz w:val="24"/>
          <w:szCs w:val="24"/>
          <w:vertAlign w:val="subscript"/>
        </w:rPr>
        <w:t>消</w:t>
      </w:r>
      <w:r>
        <w:rPr>
          <w:rFonts w:ascii="Times New Roman" w:hAnsi="Times New Roman"/>
          <w:sz w:val="24"/>
          <w:szCs w:val="24"/>
        </w:rPr>
        <w:t>t</w:t>
      </w:r>
      <w:r>
        <w:rPr>
          <w:rFonts w:ascii="Times New Roman" w:hAnsi="Times New Roman"/>
          <w:sz w:val="24"/>
          <w:szCs w:val="24"/>
          <w:vertAlign w:val="subscript"/>
        </w:rPr>
        <w:t>消</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Q</w:t>
      </w:r>
      <w:r>
        <w:rPr>
          <w:rFonts w:ascii="Times New Roman" w:hAnsi="Times New Roman"/>
          <w:sz w:val="24"/>
          <w:szCs w:val="24"/>
          <w:vertAlign w:val="subscript"/>
        </w:rPr>
        <w:t>消</w:t>
      </w:r>
      <w:r>
        <w:rPr>
          <w:rFonts w:ascii="Times New Roman" w:hAnsi="Times New Roman"/>
          <w:sz w:val="24"/>
          <w:szCs w:val="24"/>
        </w:rPr>
        <w:t>——</w:t>
      </w:r>
      <w:r>
        <w:rPr>
          <w:rFonts w:ascii="Times New Roman" w:hAnsi="Times New Roman"/>
          <w:sz w:val="24"/>
          <w:szCs w:val="24"/>
        </w:rPr>
        <w:t>发生事故的储罐或装置的同时使用的消防设施给水流量，</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/h</w:t>
      </w:r>
      <w:r>
        <w:rPr>
          <w:rFonts w:ascii="Times New Roman" w:hAnsi="Times New Roman"/>
          <w:sz w:val="24"/>
          <w:szCs w:val="24"/>
        </w:rPr>
        <w:t>；</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t</w:t>
      </w:r>
      <w:r>
        <w:rPr>
          <w:rFonts w:ascii="Times New Roman" w:hAnsi="Times New Roman"/>
          <w:sz w:val="24"/>
          <w:szCs w:val="24"/>
          <w:vertAlign w:val="subscript"/>
        </w:rPr>
        <w:t>消</w:t>
      </w:r>
      <w:r>
        <w:rPr>
          <w:rFonts w:ascii="Times New Roman" w:hAnsi="Times New Roman"/>
          <w:sz w:val="24"/>
          <w:szCs w:val="24"/>
        </w:rPr>
        <w:t>——</w:t>
      </w:r>
      <w:r>
        <w:rPr>
          <w:rFonts w:ascii="Times New Roman" w:hAnsi="Times New Roman"/>
          <w:sz w:val="24"/>
          <w:szCs w:val="24"/>
        </w:rPr>
        <w:t>消防设施对应的设计消防历时，</w:t>
      </w:r>
      <w:r>
        <w:rPr>
          <w:rFonts w:ascii="Times New Roman" w:hAnsi="Times New Roman"/>
          <w:sz w:val="24"/>
          <w:szCs w:val="24"/>
        </w:rPr>
        <w:t>h</w:t>
      </w:r>
      <w:r>
        <w:rPr>
          <w:rFonts w:ascii="Times New Roman" w:hAnsi="Times New Roman"/>
          <w:sz w:val="24"/>
          <w:szCs w:val="24"/>
        </w:rPr>
        <w:t>；</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V</w:t>
      </w:r>
      <w:r>
        <w:rPr>
          <w:rFonts w:ascii="Times New Roman" w:hAnsi="Times New Roman"/>
          <w:sz w:val="24"/>
          <w:szCs w:val="24"/>
          <w:vertAlign w:val="subscript"/>
        </w:rPr>
        <w:t>3</w:t>
      </w:r>
      <w:r>
        <w:rPr>
          <w:rFonts w:ascii="Times New Roman" w:hAnsi="Times New Roman"/>
          <w:sz w:val="24"/>
          <w:szCs w:val="24"/>
        </w:rPr>
        <w:t>——</w:t>
      </w:r>
      <w:r>
        <w:rPr>
          <w:rFonts w:ascii="Times New Roman" w:hAnsi="Times New Roman"/>
          <w:sz w:val="24"/>
          <w:szCs w:val="24"/>
        </w:rPr>
        <w:t>发生事故时可以转输到其他储存或处理设施的物料量，</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V</w:t>
      </w:r>
      <w:r>
        <w:rPr>
          <w:rFonts w:ascii="Times New Roman" w:hAnsi="Times New Roman"/>
          <w:sz w:val="24"/>
          <w:szCs w:val="24"/>
          <w:vertAlign w:val="subscript"/>
        </w:rPr>
        <w:t>4</w:t>
      </w:r>
      <w:r>
        <w:rPr>
          <w:rFonts w:ascii="Times New Roman" w:hAnsi="Times New Roman"/>
          <w:sz w:val="24"/>
          <w:szCs w:val="24"/>
        </w:rPr>
        <w:t>——</w:t>
      </w:r>
      <w:r>
        <w:rPr>
          <w:rFonts w:ascii="Times New Roman" w:hAnsi="Times New Roman"/>
          <w:sz w:val="24"/>
          <w:szCs w:val="24"/>
        </w:rPr>
        <w:t>发生事故时仍必须进入该收集系统的生产废水量，</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w:t>
      </w:r>
    </w:p>
    <w:p w:rsidR="00525419" w:rsidRDefault="00EE1CF7">
      <w:pPr>
        <w:spacing w:line="360" w:lineRule="auto"/>
        <w:ind w:leftChars="228" w:left="959" w:hangingChars="200" w:hanging="48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V</w:t>
      </w:r>
      <w:r>
        <w:rPr>
          <w:rFonts w:ascii="Times New Roman" w:hAnsi="Times New Roman"/>
          <w:sz w:val="24"/>
          <w:szCs w:val="24"/>
          <w:vertAlign w:val="subscript"/>
        </w:rPr>
        <w:t>5</w:t>
      </w:r>
      <w:r>
        <w:rPr>
          <w:rFonts w:ascii="Times New Roman" w:hAnsi="Times New Roman"/>
          <w:sz w:val="24"/>
          <w:szCs w:val="24"/>
        </w:rPr>
        <w:t>——</w:t>
      </w:r>
      <w:r>
        <w:rPr>
          <w:rFonts w:ascii="Times New Roman" w:hAnsi="Times New Roman"/>
          <w:sz w:val="24"/>
          <w:szCs w:val="24"/>
        </w:rPr>
        <w:t>发生事故时可能进入该收集系统的降雨量，计算公式为：</w:t>
      </w:r>
    </w:p>
    <w:p w:rsidR="00525419" w:rsidRDefault="00EE1CF7">
      <w:pPr>
        <w:spacing w:line="360" w:lineRule="auto"/>
        <w:ind w:leftChars="228" w:left="961" w:hangingChars="200" w:hanging="482"/>
        <w:rPr>
          <w:rFonts w:ascii="Times New Roman" w:hAnsi="Times New Roman"/>
          <w:b/>
          <w:bCs/>
          <w:sz w:val="24"/>
          <w:szCs w:val="24"/>
        </w:rPr>
      </w:pPr>
      <w:r>
        <w:rPr>
          <w:rFonts w:ascii="Times New Roman" w:hAnsi="Times New Roman"/>
          <w:b/>
          <w:bCs/>
          <w:sz w:val="24"/>
          <w:szCs w:val="24"/>
        </w:rPr>
        <w:t>（</w:t>
      </w:r>
      <w:r>
        <w:rPr>
          <w:rFonts w:ascii="Times New Roman" w:hAnsi="Times New Roman"/>
          <w:b/>
          <w:bCs/>
          <w:sz w:val="24"/>
          <w:szCs w:val="24"/>
        </w:rPr>
        <w:t>2</w:t>
      </w:r>
      <w:r>
        <w:rPr>
          <w:rFonts w:ascii="Times New Roman" w:hAnsi="Times New Roman"/>
          <w:b/>
          <w:bCs/>
          <w:sz w:val="24"/>
          <w:szCs w:val="24"/>
        </w:rPr>
        <w:t>）</w:t>
      </w:r>
      <w:r>
        <w:rPr>
          <w:rFonts w:ascii="Times New Roman" w:hAnsi="Times New Roman"/>
          <w:b/>
          <w:bCs/>
          <w:sz w:val="24"/>
          <w:szCs w:val="24"/>
        </w:rPr>
        <w:t>V</w:t>
      </w:r>
      <w:r>
        <w:rPr>
          <w:rFonts w:ascii="Times New Roman" w:hAnsi="Times New Roman"/>
          <w:b/>
          <w:bCs/>
          <w:sz w:val="24"/>
          <w:szCs w:val="24"/>
          <w:vertAlign w:val="subscript"/>
        </w:rPr>
        <w:t>5</w:t>
      </w:r>
      <w:r>
        <w:rPr>
          <w:rFonts w:ascii="Times New Roman" w:hAnsi="Times New Roman"/>
          <w:b/>
          <w:bCs/>
          <w:sz w:val="24"/>
          <w:szCs w:val="24"/>
        </w:rPr>
        <w:t>=10qF</w:t>
      </w:r>
      <w:r>
        <w:rPr>
          <w:rFonts w:ascii="Times New Roman" w:hAnsi="Times New Roman"/>
          <w:b/>
          <w:bCs/>
          <w:sz w:val="24"/>
          <w:szCs w:val="24"/>
        </w:rPr>
        <w:t>；</w:t>
      </w:r>
    </w:p>
    <w:p w:rsidR="00525419" w:rsidRDefault="00EE1CF7">
      <w:pPr>
        <w:spacing w:line="360" w:lineRule="auto"/>
        <w:ind w:leftChars="456" w:left="958"/>
        <w:rPr>
          <w:rFonts w:ascii="Times New Roman" w:hAnsi="Times New Roman"/>
          <w:sz w:val="24"/>
          <w:szCs w:val="24"/>
        </w:rPr>
      </w:pPr>
      <w:r>
        <w:rPr>
          <w:rFonts w:ascii="Times New Roman" w:hAnsi="Times New Roman"/>
          <w:sz w:val="24"/>
          <w:szCs w:val="24"/>
        </w:rPr>
        <w:t>q——</w:t>
      </w:r>
      <w:r>
        <w:rPr>
          <w:rFonts w:ascii="Times New Roman" w:hAnsi="Times New Roman"/>
          <w:sz w:val="24"/>
          <w:szCs w:val="24"/>
        </w:rPr>
        <w:t>降雨强度，</w:t>
      </w:r>
      <w:r>
        <w:rPr>
          <w:rFonts w:ascii="Times New Roman" w:hAnsi="Times New Roman"/>
          <w:sz w:val="24"/>
          <w:szCs w:val="24"/>
        </w:rPr>
        <w:t>mm</w:t>
      </w:r>
      <w:r>
        <w:rPr>
          <w:rFonts w:ascii="Times New Roman" w:hAnsi="Times New Roman"/>
          <w:sz w:val="24"/>
          <w:szCs w:val="24"/>
        </w:rPr>
        <w:t>；</w:t>
      </w:r>
    </w:p>
    <w:p w:rsidR="00525419" w:rsidRDefault="00EE1CF7">
      <w:pPr>
        <w:spacing w:line="360" w:lineRule="auto"/>
        <w:ind w:leftChars="456" w:left="958"/>
        <w:rPr>
          <w:rFonts w:ascii="Times New Roman" w:hAnsi="Times New Roman"/>
          <w:sz w:val="24"/>
          <w:szCs w:val="24"/>
        </w:rPr>
      </w:pPr>
      <w:r>
        <w:rPr>
          <w:rFonts w:ascii="Times New Roman" w:hAnsi="Times New Roman"/>
          <w:sz w:val="24"/>
          <w:szCs w:val="24"/>
        </w:rPr>
        <w:t>F——</w:t>
      </w:r>
      <w:r>
        <w:rPr>
          <w:rFonts w:ascii="Times New Roman" w:hAnsi="Times New Roman"/>
          <w:sz w:val="24"/>
          <w:szCs w:val="24"/>
        </w:rPr>
        <w:t>必须进入事故废水收集系统的雨水汇水面积，</w:t>
      </w:r>
      <w:r>
        <w:rPr>
          <w:rFonts w:ascii="Times New Roman" w:hAnsi="Times New Roman"/>
          <w:sz w:val="24"/>
          <w:szCs w:val="24"/>
        </w:rPr>
        <w:t>ha</w:t>
      </w:r>
      <w:r>
        <w:rPr>
          <w:rFonts w:ascii="Times New Roman" w:hAnsi="Times New Roman"/>
          <w:sz w:val="24"/>
          <w:szCs w:val="24"/>
        </w:rPr>
        <w:t>。</w:t>
      </w:r>
    </w:p>
    <w:p w:rsidR="00525419" w:rsidRDefault="00EE1CF7">
      <w:pPr>
        <w:widowControl/>
        <w:autoSpaceDE w:val="0"/>
        <w:autoSpaceDN w:val="0"/>
        <w:adjustRightInd w:val="0"/>
        <w:snapToGrid w:val="0"/>
        <w:spacing w:line="360" w:lineRule="auto"/>
        <w:ind w:firstLineChars="400" w:firstLine="960"/>
        <w:rPr>
          <w:rFonts w:ascii="Times New Roman" w:hAnsi="Times New Roman"/>
          <w:sz w:val="24"/>
          <w:szCs w:val="24"/>
        </w:rPr>
      </w:pPr>
      <w:r>
        <w:rPr>
          <w:rFonts w:ascii="Times New Roman" w:hAnsi="Times New Roman"/>
          <w:sz w:val="24"/>
          <w:szCs w:val="24"/>
        </w:rPr>
        <w:t>降雨强度</w:t>
      </w:r>
      <w:r>
        <w:rPr>
          <w:rFonts w:ascii="Times New Roman" w:hAnsi="Times New Roman"/>
          <w:sz w:val="24"/>
          <w:szCs w:val="24"/>
        </w:rPr>
        <w:t>q</w:t>
      </w:r>
      <w:r>
        <w:rPr>
          <w:rFonts w:ascii="Times New Roman" w:hAnsi="Times New Roman"/>
          <w:sz w:val="24"/>
          <w:szCs w:val="24"/>
        </w:rPr>
        <w:t>的计算按平均日降水量计算：</w:t>
      </w:r>
    </w:p>
    <w:p w:rsidR="00525419" w:rsidRDefault="00EE1CF7">
      <w:pPr>
        <w:widowControl/>
        <w:autoSpaceDE w:val="0"/>
        <w:autoSpaceDN w:val="0"/>
        <w:adjustRightInd w:val="0"/>
        <w:snapToGrid w:val="0"/>
        <w:spacing w:line="360" w:lineRule="auto"/>
        <w:ind w:firstLineChars="200" w:firstLine="482"/>
        <w:rPr>
          <w:rFonts w:ascii="Times New Roman" w:hAnsi="Times New Roman"/>
          <w:b/>
          <w:bCs/>
          <w:sz w:val="24"/>
          <w:szCs w:val="24"/>
        </w:rPr>
      </w:pPr>
      <w:r>
        <w:rPr>
          <w:rFonts w:ascii="Times New Roman" w:hAnsi="Times New Roman"/>
          <w:b/>
          <w:bCs/>
          <w:sz w:val="24"/>
          <w:szCs w:val="24"/>
        </w:rPr>
        <w:t>（</w:t>
      </w:r>
      <w:r>
        <w:rPr>
          <w:rFonts w:ascii="Times New Roman" w:hAnsi="Times New Roman"/>
          <w:b/>
          <w:bCs/>
          <w:sz w:val="24"/>
          <w:szCs w:val="24"/>
        </w:rPr>
        <w:t>3</w:t>
      </w:r>
      <w:r>
        <w:rPr>
          <w:rFonts w:ascii="Times New Roman" w:hAnsi="Times New Roman"/>
          <w:b/>
          <w:bCs/>
          <w:sz w:val="24"/>
          <w:szCs w:val="24"/>
        </w:rPr>
        <w:t>）</w:t>
      </w:r>
      <w:r>
        <w:rPr>
          <w:rFonts w:ascii="Times New Roman" w:hAnsi="Times New Roman"/>
          <w:b/>
          <w:bCs/>
          <w:sz w:val="24"/>
          <w:szCs w:val="24"/>
        </w:rPr>
        <w:t>q=q</w:t>
      </w:r>
      <w:r>
        <w:rPr>
          <w:rFonts w:ascii="Times New Roman" w:hAnsi="Times New Roman"/>
          <w:b/>
          <w:bCs/>
          <w:sz w:val="24"/>
          <w:szCs w:val="24"/>
          <w:vertAlign w:val="subscript"/>
        </w:rPr>
        <w:t>a</w:t>
      </w:r>
      <w:r>
        <w:rPr>
          <w:rFonts w:ascii="Times New Roman" w:hAnsi="Times New Roman"/>
          <w:b/>
          <w:bCs/>
          <w:sz w:val="24"/>
          <w:szCs w:val="24"/>
        </w:rPr>
        <w:t>/n</w:t>
      </w:r>
    </w:p>
    <w:p w:rsidR="00525419" w:rsidRDefault="00EE1CF7">
      <w:pPr>
        <w:widowControl/>
        <w:autoSpaceDE w:val="0"/>
        <w:autoSpaceDN w:val="0"/>
        <w:adjustRightInd w:val="0"/>
        <w:snapToGrid w:val="0"/>
        <w:spacing w:line="360" w:lineRule="auto"/>
        <w:ind w:firstLineChars="400" w:firstLine="960"/>
        <w:rPr>
          <w:rFonts w:ascii="Times New Roman" w:hAnsi="Times New Roman"/>
          <w:sz w:val="24"/>
          <w:szCs w:val="24"/>
        </w:rPr>
      </w:pPr>
      <w:r>
        <w:rPr>
          <w:rFonts w:ascii="Times New Roman" w:hAnsi="Times New Roman"/>
          <w:sz w:val="24"/>
          <w:szCs w:val="24"/>
        </w:rPr>
        <w:t>q</w:t>
      </w:r>
      <w:r>
        <w:rPr>
          <w:rFonts w:ascii="Times New Roman" w:hAnsi="Times New Roman"/>
          <w:sz w:val="24"/>
          <w:szCs w:val="24"/>
          <w:vertAlign w:val="subscript"/>
        </w:rPr>
        <w:t>a</w:t>
      </w:r>
      <w:r>
        <w:rPr>
          <w:rFonts w:ascii="Times New Roman" w:hAnsi="Times New Roman"/>
          <w:sz w:val="24"/>
          <w:szCs w:val="24"/>
        </w:rPr>
        <w:t>——</w:t>
      </w:r>
      <w:r>
        <w:rPr>
          <w:rFonts w:ascii="Times New Roman" w:hAnsi="Times New Roman"/>
          <w:sz w:val="24"/>
          <w:szCs w:val="24"/>
        </w:rPr>
        <w:t>年平均降雨量，</w:t>
      </w:r>
      <w:r>
        <w:rPr>
          <w:rFonts w:ascii="Times New Roman" w:hAnsi="Times New Roman"/>
          <w:sz w:val="24"/>
          <w:szCs w:val="24"/>
        </w:rPr>
        <w:t>mm</w:t>
      </w:r>
      <w:r>
        <w:rPr>
          <w:rFonts w:ascii="Times New Roman" w:hAnsi="Times New Roman"/>
          <w:sz w:val="24"/>
          <w:szCs w:val="24"/>
        </w:rPr>
        <w:t>，所在地区近年为</w:t>
      </w:r>
      <w:r>
        <w:rPr>
          <w:rFonts w:ascii="Times New Roman" w:hAnsi="Times New Roman"/>
          <w:sz w:val="24"/>
          <w:szCs w:val="24"/>
        </w:rPr>
        <w:t>25.3mm</w:t>
      </w:r>
      <w:r>
        <w:rPr>
          <w:rFonts w:ascii="Times New Roman" w:hAnsi="Times New Roman"/>
          <w:sz w:val="24"/>
          <w:szCs w:val="24"/>
        </w:rPr>
        <w:t>；</w:t>
      </w:r>
    </w:p>
    <w:p w:rsidR="00525419" w:rsidRDefault="00EE1CF7">
      <w:pPr>
        <w:widowControl/>
        <w:autoSpaceDE w:val="0"/>
        <w:autoSpaceDN w:val="0"/>
        <w:adjustRightInd w:val="0"/>
        <w:snapToGrid w:val="0"/>
        <w:spacing w:line="360" w:lineRule="auto"/>
        <w:ind w:firstLine="560"/>
        <w:rPr>
          <w:rFonts w:ascii="Times New Roman" w:hAnsi="Times New Roman"/>
          <w:sz w:val="24"/>
          <w:szCs w:val="24"/>
        </w:rPr>
      </w:pPr>
      <w:r>
        <w:rPr>
          <w:rFonts w:ascii="Times New Roman" w:hAnsi="Times New Roman"/>
          <w:sz w:val="24"/>
          <w:szCs w:val="24"/>
        </w:rPr>
        <w:t xml:space="preserve">   n——</w:t>
      </w:r>
      <w:r>
        <w:rPr>
          <w:rFonts w:ascii="Times New Roman" w:hAnsi="Times New Roman"/>
          <w:sz w:val="24"/>
          <w:szCs w:val="24"/>
        </w:rPr>
        <w:t>年平均降雨日数，</w:t>
      </w:r>
      <w:r>
        <w:rPr>
          <w:rFonts w:ascii="Times New Roman" w:hAnsi="Times New Roman"/>
          <w:sz w:val="24"/>
          <w:szCs w:val="24"/>
        </w:rPr>
        <w:t>d</w:t>
      </w:r>
      <w:r>
        <w:rPr>
          <w:rFonts w:ascii="Times New Roman" w:hAnsi="Times New Roman"/>
          <w:sz w:val="24"/>
          <w:szCs w:val="24"/>
        </w:rPr>
        <w:t>，所在地区近年为</w:t>
      </w:r>
      <w:r>
        <w:rPr>
          <w:rFonts w:ascii="Times New Roman" w:hAnsi="Times New Roman"/>
          <w:sz w:val="24"/>
          <w:szCs w:val="24"/>
        </w:rPr>
        <w:t>21.7d</w:t>
      </w:r>
      <w:r>
        <w:rPr>
          <w:rFonts w:ascii="Times New Roman" w:hAnsi="Times New Roman"/>
          <w:sz w:val="24"/>
          <w:szCs w:val="24"/>
        </w:rPr>
        <w:t>。</w:t>
      </w:r>
    </w:p>
    <w:p w:rsidR="00525419" w:rsidRDefault="00EE1CF7">
      <w:pPr>
        <w:widowControl/>
        <w:autoSpaceDE w:val="0"/>
        <w:autoSpaceDN w:val="0"/>
        <w:adjustRightInd w:val="0"/>
        <w:snapToGrid w:val="0"/>
        <w:spacing w:line="360" w:lineRule="auto"/>
        <w:ind w:firstLine="560"/>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4</w:t>
      </w:r>
      <w:r>
        <w:rPr>
          <w:rFonts w:ascii="Times New Roman" w:hAnsi="Times New Roman"/>
          <w:bCs/>
          <w:sz w:val="24"/>
          <w:szCs w:val="24"/>
        </w:rPr>
        <w:t>）计算结果：</w:t>
      </w:r>
    </w:p>
    <w:p w:rsidR="00525419" w:rsidRDefault="00EE1CF7">
      <w:pPr>
        <w:widowControl/>
        <w:autoSpaceDE w:val="0"/>
        <w:autoSpaceDN w:val="0"/>
        <w:adjustRightInd w:val="0"/>
        <w:snapToGrid w:val="0"/>
        <w:spacing w:line="360" w:lineRule="auto"/>
        <w:ind w:firstLine="560"/>
        <w:rPr>
          <w:rFonts w:ascii="Times New Roman" w:hAnsi="Times New Roman"/>
          <w:bCs/>
          <w:sz w:val="24"/>
          <w:szCs w:val="24"/>
        </w:rPr>
      </w:pPr>
      <w:r>
        <w:rPr>
          <w:rFonts w:ascii="Times New Roman" w:hAnsi="Times New Roman"/>
          <w:bCs/>
          <w:sz w:val="24"/>
          <w:szCs w:val="24"/>
        </w:rPr>
        <w:t>装置</w:t>
      </w:r>
      <w:r>
        <w:rPr>
          <w:rFonts w:ascii="Times New Roman" w:hAnsi="Times New Roman"/>
          <w:sz w:val="24"/>
          <w:szCs w:val="24"/>
        </w:rPr>
        <w:t>的物料量</w:t>
      </w:r>
      <w:r>
        <w:rPr>
          <w:rFonts w:ascii="Times New Roman" w:hAnsi="Times New Roman"/>
          <w:bCs/>
          <w:sz w:val="24"/>
          <w:szCs w:val="24"/>
        </w:rPr>
        <w:t>为</w:t>
      </w:r>
      <w:r>
        <w:rPr>
          <w:rFonts w:ascii="Times New Roman" w:hAnsi="Times New Roman"/>
          <w:bCs/>
          <w:sz w:val="24"/>
          <w:szCs w:val="24"/>
        </w:rPr>
        <w:t>200m</w:t>
      </w:r>
      <w:r>
        <w:rPr>
          <w:rFonts w:ascii="Times New Roman" w:hAnsi="Times New Roman"/>
          <w:bCs/>
          <w:sz w:val="24"/>
          <w:szCs w:val="24"/>
          <w:vertAlign w:val="superscript"/>
        </w:rPr>
        <w:t>3</w:t>
      </w:r>
      <w:r>
        <w:rPr>
          <w:rFonts w:ascii="Times New Roman" w:hAnsi="Times New Roman"/>
          <w:bCs/>
          <w:sz w:val="24"/>
          <w:szCs w:val="24"/>
        </w:rPr>
        <w:t>，则</w:t>
      </w:r>
      <w:r>
        <w:rPr>
          <w:rFonts w:ascii="Times New Roman" w:hAnsi="Times New Roman"/>
          <w:sz w:val="24"/>
          <w:szCs w:val="24"/>
        </w:rPr>
        <w:t>V</w:t>
      </w:r>
      <w:r>
        <w:rPr>
          <w:rFonts w:ascii="Times New Roman" w:hAnsi="Times New Roman"/>
          <w:sz w:val="24"/>
          <w:szCs w:val="24"/>
          <w:vertAlign w:val="subscript"/>
        </w:rPr>
        <w:t>1</w:t>
      </w:r>
      <w:r>
        <w:rPr>
          <w:rFonts w:ascii="Times New Roman" w:hAnsi="Times New Roman"/>
          <w:bCs/>
          <w:sz w:val="24"/>
          <w:szCs w:val="24"/>
        </w:rPr>
        <w:t>取值为</w:t>
      </w:r>
      <w:r>
        <w:rPr>
          <w:rFonts w:ascii="Times New Roman" w:hAnsi="Times New Roman"/>
          <w:bCs/>
          <w:sz w:val="24"/>
          <w:szCs w:val="24"/>
        </w:rPr>
        <w:t>200m</w:t>
      </w:r>
      <w:r>
        <w:rPr>
          <w:rFonts w:ascii="Times New Roman" w:hAnsi="Times New Roman"/>
          <w:bCs/>
          <w:sz w:val="24"/>
          <w:szCs w:val="24"/>
          <w:vertAlign w:val="superscript"/>
        </w:rPr>
        <w:t>3</w:t>
      </w:r>
    </w:p>
    <w:p w:rsidR="00525419" w:rsidRDefault="00EE1CF7">
      <w:pPr>
        <w:widowControl/>
        <w:autoSpaceDE w:val="0"/>
        <w:autoSpaceDN w:val="0"/>
        <w:adjustRightInd w:val="0"/>
        <w:snapToGrid w:val="0"/>
        <w:spacing w:line="360" w:lineRule="auto"/>
        <w:ind w:firstLine="560"/>
        <w:rPr>
          <w:rFonts w:ascii="Times New Roman" w:hAnsi="Times New Roman"/>
          <w:bCs/>
          <w:sz w:val="24"/>
          <w:szCs w:val="24"/>
        </w:rPr>
      </w:pPr>
      <w:r>
        <w:rPr>
          <w:rFonts w:ascii="Times New Roman" w:hAnsi="Times New Roman"/>
          <w:bCs/>
          <w:sz w:val="24"/>
          <w:szCs w:val="24"/>
        </w:rPr>
        <w:t>装置发生火灾时，一次消防水量为</w:t>
      </w:r>
      <w:r>
        <w:rPr>
          <w:rFonts w:ascii="Times New Roman" w:hAnsi="Times New Roman"/>
          <w:bCs/>
          <w:sz w:val="24"/>
          <w:szCs w:val="24"/>
        </w:rPr>
        <w:t>3240m</w:t>
      </w:r>
      <w:r>
        <w:rPr>
          <w:rFonts w:ascii="Times New Roman" w:hAnsi="Times New Roman"/>
          <w:bCs/>
          <w:sz w:val="24"/>
          <w:szCs w:val="24"/>
          <w:vertAlign w:val="superscript"/>
        </w:rPr>
        <w:t>3</w:t>
      </w:r>
      <w:r>
        <w:rPr>
          <w:rFonts w:ascii="Times New Roman" w:hAnsi="Times New Roman"/>
          <w:bCs/>
          <w:sz w:val="24"/>
          <w:szCs w:val="24"/>
        </w:rPr>
        <w:t>，即</w:t>
      </w:r>
      <w:r>
        <w:rPr>
          <w:rFonts w:ascii="Times New Roman" w:hAnsi="Times New Roman"/>
          <w:bCs/>
          <w:sz w:val="24"/>
          <w:szCs w:val="24"/>
        </w:rPr>
        <w:t>V</w:t>
      </w:r>
      <w:r>
        <w:rPr>
          <w:rFonts w:ascii="Times New Roman" w:hAnsi="Times New Roman"/>
          <w:bCs/>
          <w:sz w:val="24"/>
          <w:szCs w:val="24"/>
          <w:vertAlign w:val="subscript"/>
        </w:rPr>
        <w:t>2</w:t>
      </w:r>
      <w:r>
        <w:rPr>
          <w:rFonts w:ascii="Times New Roman" w:hAnsi="Times New Roman"/>
          <w:bCs/>
          <w:sz w:val="24"/>
          <w:szCs w:val="24"/>
        </w:rPr>
        <w:t>=3240m</w:t>
      </w:r>
      <w:r>
        <w:rPr>
          <w:rFonts w:ascii="Times New Roman" w:hAnsi="Times New Roman"/>
          <w:bCs/>
          <w:sz w:val="24"/>
          <w:szCs w:val="24"/>
          <w:vertAlign w:val="superscript"/>
        </w:rPr>
        <w:t>3</w:t>
      </w:r>
      <w:r>
        <w:rPr>
          <w:rFonts w:ascii="Times New Roman" w:hAnsi="Times New Roman"/>
          <w:bCs/>
          <w:sz w:val="24"/>
          <w:szCs w:val="24"/>
        </w:rPr>
        <w:t>。</w:t>
      </w:r>
    </w:p>
    <w:p w:rsidR="00525419" w:rsidRDefault="00EE1CF7">
      <w:pPr>
        <w:widowControl/>
        <w:autoSpaceDE w:val="0"/>
        <w:autoSpaceDN w:val="0"/>
        <w:adjustRightInd w:val="0"/>
        <w:snapToGrid w:val="0"/>
        <w:spacing w:line="360" w:lineRule="auto"/>
        <w:ind w:firstLine="560"/>
        <w:rPr>
          <w:rFonts w:ascii="Times New Roman" w:hAnsi="Times New Roman"/>
          <w:bCs/>
          <w:sz w:val="24"/>
          <w:szCs w:val="24"/>
        </w:rPr>
      </w:pPr>
      <w:r>
        <w:rPr>
          <w:rFonts w:ascii="Times New Roman" w:hAnsi="Times New Roman"/>
          <w:sz w:val="24"/>
          <w:szCs w:val="24"/>
        </w:rPr>
        <w:t>发生事故时可以转输到其他储存或处理设施的物料量</w:t>
      </w:r>
      <w:r>
        <w:rPr>
          <w:rFonts w:ascii="Times New Roman" w:hAnsi="Times New Roman"/>
          <w:bCs/>
          <w:sz w:val="24"/>
          <w:szCs w:val="24"/>
        </w:rPr>
        <w:t>V</w:t>
      </w:r>
      <w:r>
        <w:rPr>
          <w:rFonts w:ascii="Times New Roman" w:hAnsi="Times New Roman"/>
          <w:bCs/>
          <w:sz w:val="24"/>
          <w:szCs w:val="24"/>
          <w:vertAlign w:val="subscript"/>
        </w:rPr>
        <w:t>3</w:t>
      </w:r>
      <w:r>
        <w:rPr>
          <w:rFonts w:ascii="Times New Roman" w:hAnsi="Times New Roman"/>
          <w:bCs/>
          <w:sz w:val="24"/>
          <w:szCs w:val="24"/>
        </w:rPr>
        <w:t>=0</w:t>
      </w:r>
      <w:r>
        <w:rPr>
          <w:rFonts w:ascii="Times New Roman" w:hAnsi="Times New Roman"/>
          <w:bCs/>
          <w:sz w:val="24"/>
          <w:szCs w:val="24"/>
        </w:rPr>
        <w:t>；</w:t>
      </w:r>
    </w:p>
    <w:p w:rsidR="00525419" w:rsidRDefault="00EE1CF7">
      <w:pPr>
        <w:widowControl/>
        <w:autoSpaceDE w:val="0"/>
        <w:autoSpaceDN w:val="0"/>
        <w:adjustRightInd w:val="0"/>
        <w:snapToGrid w:val="0"/>
        <w:spacing w:line="360" w:lineRule="auto"/>
        <w:ind w:firstLine="560"/>
        <w:rPr>
          <w:rFonts w:ascii="Times New Roman" w:hAnsi="Times New Roman"/>
          <w:bCs/>
          <w:sz w:val="24"/>
          <w:szCs w:val="24"/>
        </w:rPr>
      </w:pPr>
      <w:r>
        <w:rPr>
          <w:rFonts w:ascii="Times New Roman" w:hAnsi="Times New Roman"/>
          <w:bCs/>
          <w:sz w:val="24"/>
          <w:szCs w:val="24"/>
        </w:rPr>
        <w:t>进入收集系统的生产废水量：</w:t>
      </w:r>
      <w:r>
        <w:rPr>
          <w:rFonts w:ascii="Times New Roman" w:hAnsi="Times New Roman"/>
          <w:bCs/>
          <w:sz w:val="24"/>
          <w:szCs w:val="24"/>
        </w:rPr>
        <w:t>V</w:t>
      </w:r>
      <w:r>
        <w:rPr>
          <w:rFonts w:ascii="Times New Roman" w:hAnsi="Times New Roman"/>
          <w:bCs/>
          <w:sz w:val="24"/>
          <w:szCs w:val="24"/>
          <w:vertAlign w:val="subscript"/>
        </w:rPr>
        <w:t>4</w:t>
      </w:r>
      <w:r>
        <w:rPr>
          <w:rFonts w:ascii="Times New Roman" w:hAnsi="Times New Roman"/>
          <w:bCs/>
          <w:sz w:val="24"/>
          <w:szCs w:val="24"/>
        </w:rPr>
        <w:t>=0m</w:t>
      </w:r>
      <w:r>
        <w:rPr>
          <w:rFonts w:ascii="Times New Roman" w:hAnsi="Times New Roman"/>
          <w:bCs/>
          <w:sz w:val="24"/>
          <w:szCs w:val="24"/>
          <w:vertAlign w:val="superscript"/>
        </w:rPr>
        <w:t>3</w:t>
      </w:r>
      <w:r>
        <w:rPr>
          <w:rFonts w:ascii="Times New Roman" w:hAnsi="Times New Roman"/>
          <w:bCs/>
          <w:sz w:val="24"/>
          <w:szCs w:val="24"/>
        </w:rPr>
        <w:t>；</w:t>
      </w:r>
    </w:p>
    <w:p w:rsidR="00525419" w:rsidRDefault="00EE1CF7">
      <w:pPr>
        <w:widowControl/>
        <w:autoSpaceDE w:val="0"/>
        <w:autoSpaceDN w:val="0"/>
        <w:adjustRightInd w:val="0"/>
        <w:snapToGrid w:val="0"/>
        <w:spacing w:line="360" w:lineRule="auto"/>
        <w:ind w:firstLine="560"/>
        <w:rPr>
          <w:rFonts w:ascii="Times New Roman" w:hAnsi="Times New Roman"/>
          <w:bCs/>
          <w:sz w:val="24"/>
          <w:szCs w:val="24"/>
        </w:rPr>
      </w:pPr>
      <w:r>
        <w:rPr>
          <w:rFonts w:ascii="Times New Roman" w:hAnsi="Times New Roman"/>
          <w:bCs/>
          <w:sz w:val="24"/>
          <w:szCs w:val="24"/>
        </w:rPr>
        <w:t>V</w:t>
      </w:r>
      <w:r>
        <w:rPr>
          <w:rFonts w:ascii="Times New Roman" w:hAnsi="Times New Roman"/>
          <w:bCs/>
          <w:sz w:val="24"/>
          <w:szCs w:val="24"/>
          <w:vertAlign w:val="subscript"/>
        </w:rPr>
        <w:t>5</w:t>
      </w:r>
      <w:r>
        <w:rPr>
          <w:rFonts w:ascii="Times New Roman" w:hAnsi="Times New Roman"/>
          <w:bCs/>
          <w:sz w:val="24"/>
          <w:szCs w:val="24"/>
        </w:rPr>
        <w:t>=10qF=10×25.3/21.7×21.1427=246.5m³</w:t>
      </w:r>
      <w:r>
        <w:rPr>
          <w:rFonts w:ascii="Times New Roman" w:hAnsi="Times New Roman"/>
          <w:bCs/>
          <w:sz w:val="24"/>
          <w:szCs w:val="24"/>
        </w:rPr>
        <w:t>。</w:t>
      </w:r>
    </w:p>
    <w:p w:rsidR="00525419" w:rsidRDefault="00EE1CF7">
      <w:pPr>
        <w:widowControl/>
        <w:autoSpaceDE w:val="0"/>
        <w:autoSpaceDN w:val="0"/>
        <w:adjustRightInd w:val="0"/>
        <w:snapToGrid w:val="0"/>
        <w:spacing w:line="360" w:lineRule="auto"/>
        <w:ind w:firstLine="560"/>
        <w:rPr>
          <w:rFonts w:ascii="Times New Roman" w:hAnsi="Times New Roman"/>
          <w:bCs/>
          <w:sz w:val="24"/>
          <w:szCs w:val="24"/>
          <w:vertAlign w:val="superscript"/>
        </w:rPr>
      </w:pPr>
      <w:r>
        <w:rPr>
          <w:rFonts w:ascii="Times New Roman" w:hAnsi="Times New Roman"/>
          <w:bCs/>
          <w:sz w:val="24"/>
          <w:szCs w:val="24"/>
        </w:rPr>
        <w:t>V</w:t>
      </w:r>
      <w:r>
        <w:rPr>
          <w:rFonts w:ascii="Times New Roman" w:hAnsi="Times New Roman"/>
          <w:bCs/>
          <w:sz w:val="24"/>
          <w:szCs w:val="24"/>
          <w:vertAlign w:val="subscript"/>
        </w:rPr>
        <w:t>总</w:t>
      </w:r>
      <w:r>
        <w:rPr>
          <w:rFonts w:ascii="Times New Roman" w:hAnsi="Times New Roman"/>
          <w:bCs/>
          <w:sz w:val="24"/>
          <w:szCs w:val="24"/>
        </w:rPr>
        <w:t>=</w:t>
      </w:r>
      <w:r>
        <w:rPr>
          <w:rFonts w:ascii="Times New Roman" w:hAnsi="Times New Roman"/>
          <w:bCs/>
          <w:sz w:val="24"/>
          <w:szCs w:val="24"/>
        </w:rPr>
        <w:t>（</w:t>
      </w:r>
      <w:r>
        <w:rPr>
          <w:rFonts w:ascii="Times New Roman" w:hAnsi="Times New Roman"/>
          <w:bCs/>
          <w:sz w:val="24"/>
          <w:szCs w:val="24"/>
        </w:rPr>
        <w:t>V</w:t>
      </w:r>
      <w:r>
        <w:rPr>
          <w:rFonts w:ascii="Times New Roman" w:hAnsi="Times New Roman"/>
          <w:bCs/>
          <w:sz w:val="24"/>
          <w:szCs w:val="24"/>
          <w:vertAlign w:val="subscript"/>
        </w:rPr>
        <w:t>1</w:t>
      </w:r>
      <w:r>
        <w:rPr>
          <w:rFonts w:ascii="Times New Roman" w:hAnsi="Times New Roman"/>
          <w:bCs/>
          <w:sz w:val="24"/>
          <w:szCs w:val="24"/>
        </w:rPr>
        <w:t>+V</w:t>
      </w:r>
      <w:r>
        <w:rPr>
          <w:rFonts w:ascii="Times New Roman" w:hAnsi="Times New Roman"/>
          <w:bCs/>
          <w:sz w:val="24"/>
          <w:szCs w:val="24"/>
          <w:vertAlign w:val="subscript"/>
        </w:rPr>
        <w:t>2</w:t>
      </w:r>
      <w:r>
        <w:rPr>
          <w:rFonts w:ascii="Times New Roman" w:hAnsi="Times New Roman"/>
          <w:bCs/>
          <w:sz w:val="24"/>
          <w:szCs w:val="24"/>
        </w:rPr>
        <w:t>-V</w:t>
      </w:r>
      <w:r>
        <w:rPr>
          <w:rFonts w:ascii="Times New Roman" w:hAnsi="Times New Roman"/>
          <w:bCs/>
          <w:sz w:val="24"/>
          <w:szCs w:val="24"/>
          <w:vertAlign w:val="subscript"/>
        </w:rPr>
        <w:t>3</w:t>
      </w:r>
      <w:r>
        <w:rPr>
          <w:rFonts w:ascii="Times New Roman" w:hAnsi="Times New Roman"/>
          <w:bCs/>
          <w:sz w:val="24"/>
          <w:szCs w:val="24"/>
        </w:rPr>
        <w:t>）</w:t>
      </w:r>
      <w:r>
        <w:rPr>
          <w:rFonts w:ascii="Times New Roman" w:hAnsi="Times New Roman"/>
          <w:bCs/>
          <w:sz w:val="24"/>
          <w:szCs w:val="24"/>
        </w:rPr>
        <w:t>max+V</w:t>
      </w:r>
      <w:r>
        <w:rPr>
          <w:rFonts w:ascii="Times New Roman" w:hAnsi="Times New Roman"/>
          <w:bCs/>
          <w:sz w:val="24"/>
          <w:szCs w:val="24"/>
          <w:vertAlign w:val="subscript"/>
        </w:rPr>
        <w:t>4</w:t>
      </w:r>
      <w:r>
        <w:rPr>
          <w:rFonts w:ascii="Times New Roman" w:hAnsi="Times New Roman"/>
          <w:bCs/>
          <w:sz w:val="24"/>
          <w:szCs w:val="24"/>
        </w:rPr>
        <w:t>+V</w:t>
      </w:r>
      <w:r>
        <w:rPr>
          <w:rFonts w:ascii="Times New Roman" w:hAnsi="Times New Roman"/>
          <w:bCs/>
          <w:sz w:val="24"/>
          <w:szCs w:val="24"/>
          <w:vertAlign w:val="subscript"/>
        </w:rPr>
        <w:t>5</w:t>
      </w:r>
      <w:r>
        <w:rPr>
          <w:rFonts w:ascii="Times New Roman" w:hAnsi="Times New Roman"/>
          <w:bCs/>
          <w:sz w:val="24"/>
          <w:szCs w:val="24"/>
        </w:rPr>
        <w:t>=</w:t>
      </w:r>
      <w:r>
        <w:rPr>
          <w:rFonts w:ascii="Times New Roman" w:hAnsi="Times New Roman"/>
          <w:bCs/>
          <w:sz w:val="24"/>
          <w:szCs w:val="24"/>
        </w:rPr>
        <w:t>（</w:t>
      </w:r>
      <w:r>
        <w:rPr>
          <w:rFonts w:ascii="Times New Roman" w:hAnsi="Times New Roman"/>
          <w:bCs/>
          <w:sz w:val="24"/>
          <w:szCs w:val="24"/>
        </w:rPr>
        <w:t>200+3240-0</w:t>
      </w:r>
      <w:r>
        <w:rPr>
          <w:rFonts w:ascii="Times New Roman" w:hAnsi="Times New Roman"/>
          <w:bCs/>
          <w:sz w:val="24"/>
          <w:szCs w:val="24"/>
        </w:rPr>
        <w:t>）</w:t>
      </w:r>
      <w:r>
        <w:rPr>
          <w:rFonts w:ascii="Times New Roman" w:hAnsi="Times New Roman"/>
          <w:bCs/>
          <w:sz w:val="24"/>
          <w:szCs w:val="24"/>
        </w:rPr>
        <w:t>+0+246.5=3686.5m</w:t>
      </w:r>
      <w:r>
        <w:rPr>
          <w:rFonts w:ascii="Times New Roman" w:hAnsi="Times New Roman"/>
          <w:bCs/>
          <w:sz w:val="24"/>
          <w:szCs w:val="24"/>
          <w:vertAlign w:val="superscript"/>
        </w:rPr>
        <w:t>3</w:t>
      </w:r>
    </w:p>
    <w:p w:rsidR="00525419" w:rsidRDefault="00EE1CF7">
      <w:pPr>
        <w:widowControl/>
        <w:autoSpaceDE w:val="0"/>
        <w:autoSpaceDN w:val="0"/>
        <w:adjustRightInd w:val="0"/>
        <w:snapToGrid w:val="0"/>
        <w:spacing w:line="360" w:lineRule="auto"/>
        <w:ind w:firstLine="560"/>
        <w:rPr>
          <w:rFonts w:ascii="Times New Roman" w:hAnsi="Times New Roman"/>
          <w:bCs/>
          <w:sz w:val="24"/>
          <w:szCs w:val="24"/>
        </w:rPr>
      </w:pPr>
      <w:r>
        <w:rPr>
          <w:rFonts w:ascii="Times New Roman" w:hAnsi="Times New Roman"/>
          <w:bCs/>
          <w:sz w:val="24"/>
          <w:szCs w:val="24"/>
        </w:rPr>
        <w:t>本项目发生火灾时，装置发生火灾时需要事故水池收集的污水量最大，为</w:t>
      </w:r>
      <w:r>
        <w:rPr>
          <w:rFonts w:ascii="Times New Roman" w:hAnsi="Times New Roman"/>
          <w:bCs/>
          <w:sz w:val="24"/>
          <w:szCs w:val="24"/>
        </w:rPr>
        <w:t>3686.5m</w:t>
      </w:r>
      <w:r>
        <w:rPr>
          <w:rFonts w:ascii="Times New Roman" w:hAnsi="Times New Roman"/>
          <w:bCs/>
          <w:sz w:val="24"/>
          <w:szCs w:val="24"/>
          <w:vertAlign w:val="superscript"/>
        </w:rPr>
        <w:t>3</w:t>
      </w:r>
      <w:r>
        <w:rPr>
          <w:rFonts w:ascii="Times New Roman" w:hAnsi="Times New Roman"/>
          <w:bCs/>
          <w:sz w:val="24"/>
          <w:szCs w:val="24"/>
        </w:rPr>
        <w:t>。</w:t>
      </w:r>
    </w:p>
    <w:p w:rsidR="00525419" w:rsidRDefault="00EE1CF7">
      <w:pPr>
        <w:widowControl/>
        <w:autoSpaceDE w:val="0"/>
        <w:autoSpaceDN w:val="0"/>
        <w:adjustRightInd w:val="0"/>
        <w:snapToGrid w:val="0"/>
        <w:spacing w:line="360" w:lineRule="auto"/>
        <w:ind w:firstLine="560"/>
        <w:rPr>
          <w:rFonts w:ascii="Times New Roman" w:hAnsi="Times New Roman"/>
          <w:sz w:val="24"/>
          <w:szCs w:val="24"/>
        </w:rPr>
      </w:pPr>
      <w:r>
        <w:rPr>
          <w:rFonts w:ascii="Times New Roman" w:hAnsi="Times New Roman"/>
          <w:sz w:val="24"/>
          <w:szCs w:val="24"/>
        </w:rPr>
        <w:lastRenderedPageBreak/>
        <w:t>根据计算，</w:t>
      </w:r>
      <w:r>
        <w:rPr>
          <w:rFonts w:ascii="Times New Roman" w:hAnsi="Times New Roman"/>
          <w:bCs/>
          <w:sz w:val="24"/>
          <w:szCs w:val="24"/>
        </w:rPr>
        <w:t>装置</w:t>
      </w:r>
      <w:r>
        <w:rPr>
          <w:rFonts w:ascii="Times New Roman" w:hAnsi="Times New Roman"/>
          <w:sz w:val="24"/>
          <w:szCs w:val="24"/>
        </w:rPr>
        <w:t>发生火灾时需要事故水池收容的最大污水量为</w:t>
      </w:r>
      <w:r>
        <w:rPr>
          <w:rFonts w:ascii="Times New Roman" w:hAnsi="Times New Roman"/>
          <w:bCs/>
          <w:sz w:val="24"/>
          <w:szCs w:val="24"/>
        </w:rPr>
        <w:t>3686.5</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bCs/>
          <w:sz w:val="24"/>
          <w:szCs w:val="24"/>
        </w:rPr>
        <w:t>，</w:t>
      </w:r>
      <w:r>
        <w:rPr>
          <w:rFonts w:ascii="Times New Roman" w:hAnsi="Times New Roman"/>
          <w:sz w:val="24"/>
          <w:szCs w:val="24"/>
        </w:rPr>
        <w:t>现有厂区有容积</w:t>
      </w:r>
      <w:r>
        <w:rPr>
          <w:rFonts w:ascii="Times New Roman" w:hAnsi="Times New Roman"/>
          <w:sz w:val="24"/>
          <w:szCs w:val="24"/>
        </w:rPr>
        <w:t>2×2600m</w:t>
      </w:r>
      <w:r>
        <w:rPr>
          <w:rFonts w:ascii="Times New Roman" w:hAnsi="Times New Roman"/>
          <w:sz w:val="24"/>
          <w:szCs w:val="24"/>
          <w:vertAlign w:val="superscript"/>
        </w:rPr>
        <w:t>3</w:t>
      </w:r>
      <w:r>
        <w:rPr>
          <w:rFonts w:ascii="Times New Roman" w:hAnsi="Times New Roman"/>
          <w:sz w:val="24"/>
          <w:szCs w:val="24"/>
        </w:rPr>
        <w:t>的事故水池，能够满足事故状态需要。事故污水及消防水经装置围堰或储罐防火堤收集，经污水管线送入污水处理站处理。</w:t>
      </w:r>
    </w:p>
    <w:p w:rsidR="00525419" w:rsidRDefault="00EE1CF7" w:rsidP="00EE1CF7">
      <w:pPr>
        <w:pStyle w:val="2a"/>
        <w:spacing w:beforeLines="50" w:before="166" w:after="166"/>
        <w:ind w:left="578" w:hanging="578"/>
        <w:rPr>
          <w:rFonts w:ascii="Times New Roman" w:eastAsia="楷体_GB2312" w:hAnsi="Times New Roman"/>
          <w:sz w:val="36"/>
        </w:rPr>
      </w:pPr>
      <w:bookmarkStart w:id="270" w:name="_Toc31396"/>
      <w:bookmarkStart w:id="271" w:name="_Toc484775654"/>
      <w:r>
        <w:rPr>
          <w:rFonts w:ascii="Times New Roman" w:eastAsia="楷体_GB2312" w:hAnsi="Times New Roman"/>
          <w:sz w:val="36"/>
        </w:rPr>
        <w:t>6.3</w:t>
      </w:r>
      <w:r>
        <w:rPr>
          <w:rFonts w:ascii="Times New Roman" w:eastAsia="楷体_GB2312" w:hAnsi="Times New Roman"/>
          <w:sz w:val="36"/>
        </w:rPr>
        <w:t>地下水环境保护防治措施</w:t>
      </w:r>
      <w:bookmarkEnd w:id="270"/>
      <w:bookmarkEnd w:id="271"/>
    </w:p>
    <w:p w:rsidR="00525419" w:rsidRDefault="00EE1CF7">
      <w:pPr>
        <w:pStyle w:val="a2"/>
        <w:spacing w:line="360" w:lineRule="auto"/>
        <w:ind w:firstLine="480"/>
        <w:rPr>
          <w:rFonts w:eastAsia="宋体"/>
          <w:sz w:val="24"/>
          <w:szCs w:val="24"/>
        </w:rPr>
      </w:pPr>
      <w:r>
        <w:rPr>
          <w:rFonts w:eastAsia="宋体"/>
          <w:sz w:val="24"/>
          <w:szCs w:val="24"/>
        </w:rPr>
        <w:t>本项目地下水污染防治措施按照</w:t>
      </w:r>
      <w:r>
        <w:rPr>
          <w:rFonts w:eastAsia="宋体"/>
          <w:sz w:val="24"/>
          <w:szCs w:val="24"/>
        </w:rPr>
        <w:t>“</w:t>
      </w:r>
      <w:r>
        <w:rPr>
          <w:rFonts w:eastAsia="宋体"/>
          <w:sz w:val="24"/>
          <w:szCs w:val="24"/>
        </w:rPr>
        <w:t>源头控制、分区防治、污染监控、应急响应</w:t>
      </w:r>
      <w:r>
        <w:rPr>
          <w:rFonts w:eastAsia="宋体"/>
          <w:sz w:val="24"/>
          <w:szCs w:val="24"/>
        </w:rPr>
        <w:t>”</w:t>
      </w:r>
      <w:r>
        <w:rPr>
          <w:rFonts w:eastAsia="宋体"/>
          <w:sz w:val="24"/>
          <w:szCs w:val="24"/>
        </w:rPr>
        <w:t>相结合的原则，从污染物的产生、入渗、扩散、应急响应全方位进行控制。从原料产品储存、装卸、运输、生产过程、污染处理设施等全过程控制，即从源头到末端全过程控制。</w:t>
      </w:r>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6.3.1</w:t>
      </w:r>
      <w:r>
        <w:rPr>
          <w:rFonts w:ascii="Times New Roman" w:eastAsia="华文楷体" w:hAnsi="Times New Roman"/>
        </w:rPr>
        <w:t>污染源控制措施要求</w:t>
      </w:r>
    </w:p>
    <w:p w:rsidR="00525419" w:rsidRDefault="00EE1CF7">
      <w:pPr>
        <w:pStyle w:val="a2"/>
        <w:spacing w:line="360" w:lineRule="auto"/>
        <w:ind w:firstLine="480"/>
        <w:rPr>
          <w:rFonts w:eastAsia="宋体"/>
          <w:sz w:val="24"/>
          <w:szCs w:val="24"/>
        </w:rPr>
      </w:pPr>
      <w:r>
        <w:rPr>
          <w:rFonts w:eastAsia="宋体"/>
          <w:sz w:val="24"/>
          <w:szCs w:val="24"/>
        </w:rPr>
        <w:t>严格按照国家相关规范要求，对工艺、管道、设备、储罐采取相应的措施，以防止和降低污染物的跑、冒、滴、漏，将环境风险事故降低到最低。优化排水系统设计，管线敷设尽量采用</w:t>
      </w:r>
      <w:r>
        <w:rPr>
          <w:rFonts w:eastAsia="宋体"/>
          <w:sz w:val="24"/>
          <w:szCs w:val="24"/>
        </w:rPr>
        <w:t>“</w:t>
      </w:r>
      <w:r>
        <w:rPr>
          <w:rFonts w:eastAsia="宋体"/>
          <w:sz w:val="24"/>
          <w:szCs w:val="24"/>
        </w:rPr>
        <w:t>可视化</w:t>
      </w:r>
      <w:r>
        <w:rPr>
          <w:rFonts w:eastAsia="宋体"/>
          <w:sz w:val="24"/>
          <w:szCs w:val="24"/>
        </w:rPr>
        <w:t>”</w:t>
      </w:r>
      <w:r>
        <w:rPr>
          <w:rFonts w:eastAsia="宋体"/>
          <w:sz w:val="24"/>
          <w:szCs w:val="24"/>
        </w:rPr>
        <w:t>原则，即管道尽可能地上敷设，做到污染物</w:t>
      </w:r>
      <w:r>
        <w:rPr>
          <w:rFonts w:eastAsia="宋体"/>
          <w:sz w:val="24"/>
          <w:szCs w:val="24"/>
        </w:rPr>
        <w:t>“</w:t>
      </w:r>
      <w:r>
        <w:rPr>
          <w:rFonts w:eastAsia="宋体"/>
          <w:sz w:val="24"/>
          <w:szCs w:val="24"/>
        </w:rPr>
        <w:t>早发现、早处理</w:t>
      </w:r>
      <w:r>
        <w:rPr>
          <w:rFonts w:eastAsia="宋体"/>
          <w:sz w:val="24"/>
          <w:szCs w:val="24"/>
        </w:rPr>
        <w:t>”</w:t>
      </w:r>
      <w:r>
        <w:rPr>
          <w:rFonts w:eastAsia="宋体"/>
          <w:sz w:val="24"/>
          <w:szCs w:val="24"/>
        </w:rPr>
        <w:t>，以减少由于埋地管道泄漏而可能造成的地下水污染。</w:t>
      </w:r>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6.3.2</w:t>
      </w:r>
      <w:r>
        <w:rPr>
          <w:rFonts w:ascii="Times New Roman" w:eastAsia="华文楷体" w:hAnsi="Times New Roman"/>
        </w:rPr>
        <w:t>厂区分区防渗措施要求</w:t>
      </w:r>
    </w:p>
    <w:p w:rsidR="00525419" w:rsidRDefault="00EE1CF7">
      <w:pPr>
        <w:pStyle w:val="a2"/>
        <w:spacing w:line="360" w:lineRule="auto"/>
        <w:ind w:firstLine="480"/>
        <w:rPr>
          <w:rFonts w:eastAsia="宋体"/>
          <w:sz w:val="24"/>
          <w:szCs w:val="24"/>
        </w:rPr>
      </w:pPr>
      <w:r>
        <w:rPr>
          <w:rFonts w:eastAsia="宋体"/>
          <w:sz w:val="24"/>
          <w:szCs w:val="24"/>
        </w:rPr>
        <w:t>对厂区可能泄漏污染物的地面进行防渗处理，可有效防治污染物渗入地下，并及时地将泄漏、渗漏的污染物收集并进行集中处理。</w:t>
      </w:r>
    </w:p>
    <w:p w:rsidR="00525419" w:rsidRDefault="00EE1CF7">
      <w:pPr>
        <w:pStyle w:val="a2"/>
        <w:spacing w:line="360" w:lineRule="auto"/>
        <w:ind w:firstLine="480"/>
        <w:jc w:val="both"/>
        <w:rPr>
          <w:rFonts w:eastAsia="宋体"/>
          <w:sz w:val="24"/>
          <w:szCs w:val="24"/>
        </w:rPr>
      </w:pPr>
      <w:r>
        <w:rPr>
          <w:rFonts w:eastAsia="宋体"/>
          <w:sz w:val="24"/>
          <w:szCs w:val="24"/>
        </w:rPr>
        <w:t>根据本项目各新建生产功能单元可能泄漏至地面区域的污染物性质和生产单元的构筑方式，将厂区划分为重点污染防治区、一般污染防治区和简单防渗区。</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）地下水防治分区</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根据石油化工工程物料或者污染物泄漏的途径和生产功能单元所处的位置，将厂区划分为非污染防治区、一般污染防治区和重点污染防治区。</w:t>
      </w:r>
    </w:p>
    <w:p w:rsidR="00525419" w:rsidRDefault="00EE1CF7">
      <w:pPr>
        <w:autoSpaceDE w:val="0"/>
        <w:autoSpaceDN w:val="0"/>
        <w:adjustRightIn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①</w:t>
      </w:r>
      <w:r>
        <w:rPr>
          <w:rFonts w:ascii="Times New Roman" w:hAnsi="Times New Roman"/>
          <w:kern w:val="0"/>
          <w:sz w:val="24"/>
          <w:szCs w:val="24"/>
        </w:rPr>
        <w:t>一般污染防治区：对地下水环境有污染的物料或污染物泄漏后，可及时发现和处理的区域或部位。</w:t>
      </w:r>
    </w:p>
    <w:p w:rsidR="00525419" w:rsidRDefault="00EE1CF7">
      <w:pPr>
        <w:autoSpaceDE w:val="0"/>
        <w:autoSpaceDN w:val="0"/>
        <w:adjustRightInd w:val="0"/>
        <w:spacing w:line="360" w:lineRule="auto"/>
        <w:ind w:firstLineChars="200" w:firstLine="480"/>
        <w:rPr>
          <w:rFonts w:ascii="Times New Roman" w:hAnsi="Times New Roman"/>
          <w:sz w:val="24"/>
          <w:lang w:val="zh-CN"/>
        </w:rPr>
      </w:pPr>
      <w:r>
        <w:rPr>
          <w:rFonts w:ascii="Times New Roman" w:hAnsi="Times New Roman"/>
          <w:sz w:val="24"/>
          <w:lang w:val="zh-CN"/>
        </w:rPr>
        <w:t>本项目一</w:t>
      </w:r>
      <w:r>
        <w:rPr>
          <w:rFonts w:ascii="Times New Roman" w:hAnsi="Times New Roman"/>
          <w:sz w:val="24"/>
        </w:rPr>
        <w:t>般污染防治区主要包括危害较小的生产装置区及辅助设施区，主要包括工艺生产装置地面、装卸站、油气回收设施界区内地面。</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lastRenderedPageBreak/>
        <w:t>②</w:t>
      </w:r>
      <w:r>
        <w:rPr>
          <w:rFonts w:ascii="Times New Roman" w:hAnsi="Times New Roman"/>
          <w:kern w:val="0"/>
          <w:sz w:val="24"/>
          <w:szCs w:val="24"/>
        </w:rPr>
        <w:t>重点污染防治区：对地下水环境有污染的物料或污染物泄漏后，不能及时发现和处理的区域或部位。</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sz w:val="24"/>
          <w:lang w:val="zh-CN"/>
        </w:rPr>
        <w:t>本项目重点污染防治区指危害性较大的生产装置、污水管线。主要包括罐区、污水处理装置等</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③</w:t>
      </w:r>
      <w:r>
        <w:rPr>
          <w:rFonts w:ascii="Times New Roman" w:hAnsi="Times New Roman"/>
          <w:kern w:val="0"/>
          <w:sz w:val="24"/>
          <w:szCs w:val="24"/>
        </w:rPr>
        <w:t>非污染防治区：一般和重点污染防治区以外的区域或部位。</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2</w:t>
      </w:r>
      <w:r>
        <w:rPr>
          <w:rFonts w:ascii="Times New Roman" w:hAnsi="Times New Roman"/>
          <w:kern w:val="0"/>
          <w:sz w:val="24"/>
          <w:szCs w:val="24"/>
        </w:rPr>
        <w:t>）厂区污染防治分区</w:t>
      </w:r>
    </w:p>
    <w:p w:rsidR="00525419" w:rsidRDefault="00EE1CF7">
      <w:pPr>
        <w:pStyle w:val="a2"/>
        <w:spacing w:line="360" w:lineRule="auto"/>
        <w:ind w:firstLine="480"/>
        <w:jc w:val="both"/>
        <w:rPr>
          <w:rFonts w:eastAsia="宋体"/>
          <w:sz w:val="24"/>
          <w:szCs w:val="24"/>
        </w:rPr>
      </w:pPr>
      <w:r>
        <w:rPr>
          <w:rFonts w:eastAsia="宋体"/>
          <w:sz w:val="24"/>
          <w:szCs w:val="24"/>
        </w:rPr>
        <w:t>全厂污染区按照</w:t>
      </w:r>
      <w:r>
        <w:rPr>
          <w:rFonts w:eastAsia="宋体"/>
          <w:sz w:val="24"/>
          <w:szCs w:val="24"/>
          <w:lang w:val="zh-CN"/>
        </w:rPr>
        <w:t>《环境影响评价技术导则</w:t>
      </w:r>
      <w:r>
        <w:rPr>
          <w:rFonts w:eastAsia="宋体"/>
          <w:sz w:val="24"/>
          <w:szCs w:val="24"/>
          <w:lang w:val="zh-CN"/>
        </w:rPr>
        <w:t>·</w:t>
      </w:r>
      <w:r>
        <w:rPr>
          <w:rFonts w:eastAsia="宋体"/>
          <w:sz w:val="24"/>
          <w:szCs w:val="24"/>
          <w:lang w:val="zh-CN"/>
        </w:rPr>
        <w:t>地下水环境》（</w:t>
      </w:r>
      <w:r>
        <w:rPr>
          <w:rFonts w:eastAsia="宋体"/>
          <w:sz w:val="24"/>
          <w:szCs w:val="24"/>
          <w:lang w:val="zh-CN"/>
        </w:rPr>
        <w:t>HJ610-2016</w:t>
      </w:r>
      <w:r>
        <w:rPr>
          <w:rFonts w:eastAsia="宋体"/>
          <w:sz w:val="24"/>
          <w:szCs w:val="24"/>
          <w:lang w:val="zh-CN"/>
        </w:rPr>
        <w:t>）污染防控对策中</w:t>
      </w:r>
      <w:r>
        <w:rPr>
          <w:rFonts w:eastAsia="宋体"/>
          <w:sz w:val="24"/>
          <w:szCs w:val="24"/>
          <w:lang w:val="zh-CN"/>
        </w:rPr>
        <w:t>“</w:t>
      </w:r>
      <w:r>
        <w:rPr>
          <w:rFonts w:eastAsia="宋体"/>
          <w:sz w:val="24"/>
          <w:szCs w:val="24"/>
          <w:lang w:val="zh-CN"/>
        </w:rPr>
        <w:t>源头控制</w:t>
      </w:r>
      <w:r>
        <w:rPr>
          <w:rFonts w:eastAsia="宋体"/>
          <w:sz w:val="24"/>
          <w:szCs w:val="24"/>
          <w:lang w:val="zh-CN"/>
        </w:rPr>
        <w:t>”</w:t>
      </w:r>
      <w:r>
        <w:rPr>
          <w:rFonts w:eastAsia="宋体"/>
          <w:sz w:val="24"/>
          <w:szCs w:val="24"/>
          <w:lang w:val="zh-CN"/>
        </w:rPr>
        <w:t>和</w:t>
      </w:r>
      <w:r>
        <w:rPr>
          <w:rFonts w:eastAsia="宋体"/>
          <w:sz w:val="24"/>
          <w:szCs w:val="24"/>
          <w:lang w:val="zh-CN"/>
        </w:rPr>
        <w:t>“</w:t>
      </w:r>
      <w:r>
        <w:rPr>
          <w:rFonts w:eastAsia="宋体"/>
          <w:sz w:val="24"/>
          <w:szCs w:val="24"/>
          <w:lang w:val="zh-CN"/>
        </w:rPr>
        <w:t>分区防控</w:t>
      </w:r>
      <w:r>
        <w:rPr>
          <w:rFonts w:eastAsia="宋体"/>
          <w:sz w:val="24"/>
          <w:szCs w:val="24"/>
          <w:lang w:val="zh-CN"/>
        </w:rPr>
        <w:t>”</w:t>
      </w:r>
      <w:r>
        <w:rPr>
          <w:rFonts w:eastAsia="宋体"/>
          <w:sz w:val="24"/>
          <w:szCs w:val="24"/>
          <w:lang w:val="zh-CN"/>
        </w:rPr>
        <w:t>要求以及</w:t>
      </w:r>
      <w:r>
        <w:rPr>
          <w:rFonts w:eastAsia="宋体"/>
          <w:sz w:val="24"/>
          <w:szCs w:val="24"/>
        </w:rPr>
        <w:t>《石油化工工程防渗技术规范》（</w:t>
      </w:r>
      <w:r>
        <w:rPr>
          <w:rFonts w:eastAsia="宋体"/>
          <w:sz w:val="24"/>
          <w:szCs w:val="24"/>
        </w:rPr>
        <w:t>GB/T50934-2013</w:t>
      </w:r>
      <w:r>
        <w:rPr>
          <w:rFonts w:eastAsia="宋体"/>
          <w:sz w:val="24"/>
          <w:szCs w:val="24"/>
        </w:rPr>
        <w:t>）相应标准要求铺设防渗层。目前厂区防渗区划分见表</w:t>
      </w:r>
      <w:r>
        <w:rPr>
          <w:rFonts w:eastAsia="宋体"/>
          <w:sz w:val="24"/>
          <w:szCs w:val="24"/>
        </w:rPr>
        <w:t>6.3-1</w:t>
      </w:r>
      <w:r>
        <w:rPr>
          <w:rFonts w:eastAsia="宋体"/>
          <w:sz w:val="24"/>
          <w:szCs w:val="24"/>
        </w:rPr>
        <w:t>和图</w:t>
      </w:r>
      <w:r>
        <w:rPr>
          <w:rFonts w:eastAsia="宋体"/>
          <w:sz w:val="24"/>
          <w:szCs w:val="24"/>
        </w:rPr>
        <w:t>6.3-1</w:t>
      </w:r>
      <w:r>
        <w:rPr>
          <w:rFonts w:eastAsia="宋体"/>
          <w:sz w:val="24"/>
          <w:szCs w:val="24"/>
        </w:rPr>
        <w:t>。</w:t>
      </w:r>
    </w:p>
    <w:p w:rsidR="00525419" w:rsidRDefault="00EE1CF7">
      <w:pPr>
        <w:autoSpaceDE w:val="0"/>
        <w:autoSpaceDN w:val="0"/>
        <w:adjustRightInd w:val="0"/>
        <w:spacing w:line="240" w:lineRule="atLeast"/>
        <w:ind w:firstLineChars="1100" w:firstLine="2310"/>
        <w:rPr>
          <w:rFonts w:ascii="Times New Roman" w:eastAsia="黑体" w:hAnsi="Times New Roman"/>
          <w:szCs w:val="21"/>
          <w:lang w:val="zh-CN"/>
        </w:rPr>
      </w:pPr>
      <w:r>
        <w:rPr>
          <w:rFonts w:ascii="Times New Roman" w:eastAsia="黑体" w:hAnsi="Times New Roman"/>
          <w:szCs w:val="21"/>
          <w:lang w:val="zh-CN"/>
        </w:rPr>
        <w:t>表</w:t>
      </w:r>
      <w:r>
        <w:rPr>
          <w:rFonts w:ascii="Times New Roman" w:eastAsia="黑体" w:hAnsi="Times New Roman"/>
          <w:szCs w:val="21"/>
          <w:lang w:val="zh-CN"/>
        </w:rPr>
        <w:t>6.</w:t>
      </w:r>
      <w:r>
        <w:rPr>
          <w:rFonts w:ascii="Times New Roman" w:eastAsia="黑体" w:hAnsi="Times New Roman"/>
          <w:szCs w:val="21"/>
        </w:rPr>
        <w:t>3</w:t>
      </w:r>
      <w:r>
        <w:rPr>
          <w:rFonts w:ascii="Times New Roman" w:eastAsia="黑体" w:hAnsi="Times New Roman"/>
          <w:szCs w:val="21"/>
          <w:lang w:val="zh-CN"/>
        </w:rPr>
        <w:t xml:space="preserve">-1  </w:t>
      </w:r>
      <w:r>
        <w:rPr>
          <w:rFonts w:ascii="Times New Roman" w:eastAsia="黑体" w:hAnsi="Times New Roman"/>
          <w:szCs w:val="21"/>
        </w:rPr>
        <w:t xml:space="preserve">    </w:t>
      </w:r>
      <w:r>
        <w:rPr>
          <w:rFonts w:ascii="Times New Roman" w:eastAsia="黑体" w:hAnsi="Times New Roman"/>
          <w:szCs w:val="21"/>
          <w:lang w:val="zh-CN"/>
        </w:rPr>
        <w:t>厂区污染防治分区要求</w:t>
      </w:r>
    </w:p>
    <w:tbl>
      <w:tblPr>
        <w:tblW w:w="827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19"/>
        <w:gridCol w:w="1074"/>
        <w:gridCol w:w="2132"/>
        <w:gridCol w:w="2615"/>
        <w:gridCol w:w="1725"/>
        <w:gridCol w:w="13"/>
      </w:tblGrid>
      <w:tr w:rsidR="00525419">
        <w:trPr>
          <w:gridAfter w:val="1"/>
          <w:wAfter w:w="13" w:type="dxa"/>
          <w:trHeight w:val="582"/>
          <w:tblHeader/>
          <w:jc w:val="center"/>
        </w:trPr>
        <w:tc>
          <w:tcPr>
            <w:tcW w:w="719" w:type="dxa"/>
            <w:tcBorders>
              <w:tl2br w:val="nil"/>
              <w:tr2bl w:val="nil"/>
            </w:tcBorders>
            <w:vAlign w:val="center"/>
          </w:tcPr>
          <w:p w:rsidR="00525419" w:rsidRDefault="00EE1CF7">
            <w:pPr>
              <w:widowControl/>
              <w:snapToGrid w:val="0"/>
              <w:jc w:val="center"/>
              <w:rPr>
                <w:rFonts w:ascii="Times New Roman" w:hAnsi="Times New Roman"/>
                <w:szCs w:val="21"/>
              </w:rPr>
            </w:pPr>
            <w:r>
              <w:rPr>
                <w:rFonts w:ascii="Times New Roman" w:hAnsi="Times New Roman"/>
                <w:szCs w:val="21"/>
              </w:rPr>
              <w:t>序号</w:t>
            </w:r>
          </w:p>
        </w:tc>
        <w:tc>
          <w:tcPr>
            <w:tcW w:w="3206" w:type="dxa"/>
            <w:gridSpan w:val="2"/>
            <w:tcBorders>
              <w:tl2br w:val="nil"/>
              <w:tr2bl w:val="nil"/>
            </w:tcBorders>
            <w:vAlign w:val="center"/>
          </w:tcPr>
          <w:p w:rsidR="00525419" w:rsidRDefault="00EE1CF7">
            <w:pPr>
              <w:widowControl/>
              <w:snapToGrid w:val="0"/>
              <w:jc w:val="center"/>
              <w:rPr>
                <w:rFonts w:ascii="Times New Roman" w:hAnsi="Times New Roman"/>
                <w:szCs w:val="21"/>
              </w:rPr>
            </w:pPr>
            <w:r>
              <w:rPr>
                <w:rFonts w:ascii="Times New Roman" w:hAnsi="Times New Roman"/>
                <w:szCs w:val="21"/>
              </w:rPr>
              <w:t>装置、单元名称</w:t>
            </w:r>
          </w:p>
        </w:tc>
        <w:tc>
          <w:tcPr>
            <w:tcW w:w="2615" w:type="dxa"/>
            <w:tcBorders>
              <w:tl2br w:val="nil"/>
              <w:tr2bl w:val="nil"/>
            </w:tcBorders>
            <w:vAlign w:val="center"/>
          </w:tcPr>
          <w:p w:rsidR="00525419" w:rsidRDefault="00EE1CF7">
            <w:pPr>
              <w:widowControl/>
              <w:snapToGrid w:val="0"/>
              <w:jc w:val="center"/>
              <w:rPr>
                <w:rFonts w:ascii="Times New Roman" w:hAnsi="Times New Roman"/>
                <w:szCs w:val="21"/>
              </w:rPr>
            </w:pPr>
            <w:r>
              <w:rPr>
                <w:rFonts w:ascii="Times New Roman" w:hAnsi="Times New Roman"/>
                <w:szCs w:val="21"/>
              </w:rPr>
              <w:t>污染防渗区及部位</w:t>
            </w:r>
          </w:p>
        </w:tc>
        <w:tc>
          <w:tcPr>
            <w:tcW w:w="1725" w:type="dxa"/>
            <w:tcBorders>
              <w:tl2br w:val="nil"/>
              <w:tr2bl w:val="nil"/>
            </w:tcBorders>
            <w:vAlign w:val="center"/>
          </w:tcPr>
          <w:p w:rsidR="00525419" w:rsidRDefault="00EE1CF7">
            <w:pPr>
              <w:widowControl/>
              <w:snapToGrid w:val="0"/>
              <w:jc w:val="center"/>
              <w:rPr>
                <w:rFonts w:ascii="Times New Roman" w:hAnsi="Times New Roman"/>
                <w:szCs w:val="21"/>
              </w:rPr>
            </w:pPr>
            <w:r>
              <w:rPr>
                <w:rFonts w:ascii="Times New Roman" w:hAnsi="Times New Roman"/>
                <w:szCs w:val="21"/>
              </w:rPr>
              <w:t>污染防治区类别</w:t>
            </w:r>
          </w:p>
        </w:tc>
      </w:tr>
      <w:tr w:rsidR="00525419">
        <w:trPr>
          <w:gridAfter w:val="1"/>
          <w:wAfter w:w="13" w:type="dxa"/>
          <w:trHeight w:val="274"/>
          <w:jc w:val="center"/>
        </w:trPr>
        <w:tc>
          <w:tcPr>
            <w:tcW w:w="719" w:type="dxa"/>
            <w:tcBorders>
              <w:tl2br w:val="nil"/>
              <w:tr2bl w:val="nil"/>
            </w:tcBorders>
            <w:vAlign w:val="center"/>
          </w:tcPr>
          <w:p w:rsidR="00525419" w:rsidRDefault="00EE1CF7">
            <w:pPr>
              <w:widowControl/>
              <w:snapToGrid w:val="0"/>
              <w:jc w:val="center"/>
              <w:rPr>
                <w:rFonts w:ascii="Times New Roman" w:hAnsi="Times New Roman"/>
                <w:szCs w:val="21"/>
              </w:rPr>
            </w:pPr>
            <w:r>
              <w:rPr>
                <w:rFonts w:ascii="Times New Roman" w:hAnsi="Times New Roman"/>
                <w:szCs w:val="21"/>
              </w:rPr>
              <w:t>1</w:t>
            </w:r>
          </w:p>
        </w:tc>
        <w:tc>
          <w:tcPr>
            <w:tcW w:w="7546" w:type="dxa"/>
            <w:gridSpan w:val="4"/>
            <w:tcBorders>
              <w:tl2br w:val="nil"/>
              <w:tr2bl w:val="nil"/>
            </w:tcBorders>
            <w:vAlign w:val="center"/>
          </w:tcPr>
          <w:p w:rsidR="00525419" w:rsidRDefault="00EE1CF7">
            <w:pPr>
              <w:widowControl/>
              <w:snapToGrid w:val="0"/>
              <w:rPr>
                <w:rFonts w:ascii="Times New Roman" w:hAnsi="Times New Roman"/>
                <w:szCs w:val="21"/>
              </w:rPr>
            </w:pPr>
            <w:r>
              <w:rPr>
                <w:rFonts w:ascii="Times New Roman" w:hAnsi="Times New Roman"/>
                <w:szCs w:val="21"/>
              </w:rPr>
              <w:t>工艺生产装置</w:t>
            </w:r>
          </w:p>
        </w:tc>
      </w:tr>
      <w:tr w:rsidR="00525419">
        <w:trPr>
          <w:gridAfter w:val="1"/>
          <w:wAfter w:w="13" w:type="dxa"/>
          <w:trHeight w:val="250"/>
          <w:tblHeader/>
          <w:jc w:val="center"/>
        </w:trPr>
        <w:tc>
          <w:tcPr>
            <w:tcW w:w="719" w:type="dxa"/>
            <w:tcBorders>
              <w:tl2br w:val="nil"/>
              <w:tr2bl w:val="nil"/>
            </w:tcBorders>
            <w:vAlign w:val="center"/>
          </w:tcPr>
          <w:p w:rsidR="00525419" w:rsidRDefault="00EE1CF7">
            <w:pPr>
              <w:widowControl/>
              <w:snapToGrid w:val="0"/>
              <w:jc w:val="center"/>
              <w:rPr>
                <w:rFonts w:ascii="Times New Roman" w:hAnsi="Times New Roman"/>
                <w:szCs w:val="21"/>
              </w:rPr>
            </w:pPr>
            <w:r>
              <w:rPr>
                <w:rFonts w:ascii="Times New Roman" w:hAnsi="Times New Roman"/>
                <w:szCs w:val="21"/>
              </w:rPr>
              <w:t>1.1</w:t>
            </w:r>
          </w:p>
        </w:tc>
        <w:tc>
          <w:tcPr>
            <w:tcW w:w="3206" w:type="dxa"/>
            <w:gridSpan w:val="2"/>
            <w:tcBorders>
              <w:tl2br w:val="nil"/>
              <w:tr2bl w:val="nil"/>
            </w:tcBorders>
            <w:vAlign w:val="center"/>
          </w:tcPr>
          <w:p w:rsidR="00525419" w:rsidRDefault="00EE1CF7">
            <w:pPr>
              <w:widowControl/>
              <w:snapToGrid w:val="0"/>
              <w:jc w:val="center"/>
              <w:rPr>
                <w:rFonts w:ascii="Times New Roman" w:hAnsi="Times New Roman"/>
                <w:szCs w:val="21"/>
              </w:rPr>
            </w:pPr>
            <w:r>
              <w:rPr>
                <w:rFonts w:ascii="Times New Roman" w:hAnsi="Times New Roman"/>
                <w:szCs w:val="21"/>
              </w:rPr>
              <w:t>地面</w:t>
            </w:r>
          </w:p>
        </w:tc>
        <w:tc>
          <w:tcPr>
            <w:tcW w:w="2615" w:type="dxa"/>
            <w:tcBorders>
              <w:tl2br w:val="nil"/>
              <w:tr2bl w:val="nil"/>
            </w:tcBorders>
            <w:vAlign w:val="center"/>
          </w:tcPr>
          <w:p w:rsidR="00525419" w:rsidRDefault="00EE1CF7">
            <w:pPr>
              <w:widowControl/>
              <w:snapToGrid w:val="0"/>
              <w:rPr>
                <w:rFonts w:ascii="Times New Roman" w:hAnsi="Times New Roman"/>
                <w:szCs w:val="21"/>
              </w:rPr>
            </w:pPr>
            <w:r>
              <w:rPr>
                <w:rFonts w:ascii="Times New Roman" w:hAnsi="Times New Roman"/>
                <w:szCs w:val="21"/>
              </w:rPr>
              <w:t>-</w:t>
            </w:r>
          </w:p>
        </w:tc>
        <w:tc>
          <w:tcPr>
            <w:tcW w:w="1725" w:type="dxa"/>
            <w:tcBorders>
              <w:tl2br w:val="nil"/>
              <w:tr2bl w:val="nil"/>
            </w:tcBorders>
            <w:vAlign w:val="center"/>
          </w:tcPr>
          <w:p w:rsidR="00525419" w:rsidRDefault="00EE1CF7">
            <w:pPr>
              <w:widowControl/>
              <w:snapToGrid w:val="0"/>
              <w:jc w:val="center"/>
              <w:rPr>
                <w:rFonts w:ascii="Times New Roman" w:hAnsi="Times New Roman"/>
                <w:szCs w:val="21"/>
              </w:rPr>
            </w:pPr>
            <w:r>
              <w:rPr>
                <w:rFonts w:ascii="Times New Roman" w:hAnsi="Times New Roman"/>
                <w:szCs w:val="21"/>
              </w:rPr>
              <w:t>一般</w:t>
            </w:r>
          </w:p>
        </w:tc>
      </w:tr>
      <w:tr w:rsidR="00525419">
        <w:trPr>
          <w:gridAfter w:val="1"/>
          <w:wAfter w:w="13" w:type="dxa"/>
          <w:trHeight w:val="409"/>
          <w:tblHeader/>
          <w:jc w:val="center"/>
        </w:trPr>
        <w:tc>
          <w:tcPr>
            <w:tcW w:w="719" w:type="dxa"/>
            <w:tcBorders>
              <w:tl2br w:val="nil"/>
              <w:tr2bl w:val="nil"/>
            </w:tcBorders>
            <w:vAlign w:val="center"/>
          </w:tcPr>
          <w:p w:rsidR="00525419" w:rsidRDefault="00EE1CF7">
            <w:pPr>
              <w:widowControl/>
              <w:snapToGrid w:val="0"/>
              <w:jc w:val="center"/>
              <w:rPr>
                <w:rFonts w:ascii="Times New Roman" w:hAnsi="Times New Roman"/>
                <w:szCs w:val="21"/>
              </w:rPr>
            </w:pPr>
            <w:r>
              <w:rPr>
                <w:rFonts w:ascii="Times New Roman" w:hAnsi="Times New Roman"/>
                <w:szCs w:val="21"/>
              </w:rPr>
              <w:t>1.2</w:t>
            </w:r>
          </w:p>
        </w:tc>
        <w:tc>
          <w:tcPr>
            <w:tcW w:w="3206" w:type="dxa"/>
            <w:gridSpan w:val="2"/>
            <w:tcBorders>
              <w:tl2br w:val="nil"/>
              <w:tr2bl w:val="nil"/>
            </w:tcBorders>
            <w:vAlign w:val="center"/>
          </w:tcPr>
          <w:p w:rsidR="00525419" w:rsidRDefault="00EE1CF7">
            <w:pPr>
              <w:widowControl/>
              <w:snapToGrid w:val="0"/>
              <w:jc w:val="center"/>
              <w:rPr>
                <w:rFonts w:ascii="Times New Roman" w:hAnsi="Times New Roman"/>
                <w:szCs w:val="21"/>
              </w:rPr>
            </w:pPr>
            <w:r>
              <w:rPr>
                <w:rFonts w:ascii="Times New Roman" w:hAnsi="Times New Roman"/>
                <w:szCs w:val="21"/>
              </w:rPr>
              <w:t>地下罐</w:t>
            </w:r>
          </w:p>
        </w:tc>
        <w:tc>
          <w:tcPr>
            <w:tcW w:w="2615" w:type="dxa"/>
            <w:tcBorders>
              <w:tl2br w:val="nil"/>
              <w:tr2bl w:val="nil"/>
            </w:tcBorders>
            <w:vAlign w:val="center"/>
          </w:tcPr>
          <w:p w:rsidR="00525419" w:rsidRDefault="00EE1CF7">
            <w:pPr>
              <w:widowControl/>
              <w:snapToGrid w:val="0"/>
              <w:rPr>
                <w:rFonts w:ascii="Times New Roman" w:hAnsi="Times New Roman"/>
                <w:szCs w:val="21"/>
              </w:rPr>
            </w:pPr>
            <w:r>
              <w:rPr>
                <w:rFonts w:ascii="Times New Roman" w:hAnsi="Times New Roman"/>
                <w:szCs w:val="21"/>
              </w:rPr>
              <w:t>各种地下污油罐等基础的底板及壁板</w:t>
            </w:r>
          </w:p>
        </w:tc>
        <w:tc>
          <w:tcPr>
            <w:tcW w:w="1725" w:type="dxa"/>
            <w:tcBorders>
              <w:tl2br w:val="nil"/>
              <w:tr2bl w:val="nil"/>
            </w:tcBorders>
            <w:vAlign w:val="center"/>
          </w:tcPr>
          <w:p w:rsidR="00525419" w:rsidRDefault="00EE1CF7">
            <w:pPr>
              <w:widowControl/>
              <w:snapToGrid w:val="0"/>
              <w:jc w:val="center"/>
              <w:rPr>
                <w:rFonts w:ascii="Times New Roman" w:hAnsi="Times New Roman"/>
                <w:szCs w:val="21"/>
              </w:rPr>
            </w:pPr>
            <w:r>
              <w:rPr>
                <w:rFonts w:ascii="Times New Roman" w:hAnsi="Times New Roman"/>
                <w:szCs w:val="21"/>
              </w:rPr>
              <w:t>重点</w:t>
            </w:r>
          </w:p>
        </w:tc>
      </w:tr>
      <w:tr w:rsidR="00525419">
        <w:trPr>
          <w:gridAfter w:val="1"/>
          <w:wAfter w:w="13" w:type="dxa"/>
          <w:trHeight w:val="545"/>
          <w:jc w:val="center"/>
        </w:trPr>
        <w:tc>
          <w:tcPr>
            <w:tcW w:w="719" w:type="dxa"/>
            <w:tcBorders>
              <w:tl2br w:val="nil"/>
              <w:tr2bl w:val="nil"/>
            </w:tcBorders>
            <w:vAlign w:val="center"/>
          </w:tcPr>
          <w:p w:rsidR="00525419" w:rsidRDefault="00EE1CF7">
            <w:pPr>
              <w:widowControl/>
              <w:snapToGrid w:val="0"/>
              <w:jc w:val="center"/>
              <w:rPr>
                <w:rFonts w:ascii="Times New Roman" w:hAnsi="Times New Roman"/>
                <w:szCs w:val="21"/>
              </w:rPr>
            </w:pPr>
            <w:r>
              <w:rPr>
                <w:rFonts w:ascii="Times New Roman" w:hAnsi="Times New Roman"/>
                <w:szCs w:val="21"/>
              </w:rPr>
              <w:t>1.3</w:t>
            </w:r>
          </w:p>
        </w:tc>
        <w:tc>
          <w:tcPr>
            <w:tcW w:w="3206" w:type="dxa"/>
            <w:gridSpan w:val="2"/>
            <w:tcBorders>
              <w:tl2br w:val="nil"/>
              <w:tr2bl w:val="nil"/>
            </w:tcBorders>
            <w:vAlign w:val="center"/>
          </w:tcPr>
          <w:p w:rsidR="00525419" w:rsidRDefault="00EE1CF7">
            <w:pPr>
              <w:snapToGrid w:val="0"/>
              <w:jc w:val="center"/>
              <w:rPr>
                <w:rFonts w:ascii="Times New Roman" w:hAnsi="Times New Roman"/>
                <w:szCs w:val="21"/>
              </w:rPr>
            </w:pPr>
            <w:r>
              <w:rPr>
                <w:rFonts w:ascii="Times New Roman" w:hAnsi="Times New Roman"/>
                <w:szCs w:val="21"/>
              </w:rPr>
              <w:t>生产污水沟</w:t>
            </w:r>
          </w:p>
        </w:tc>
        <w:tc>
          <w:tcPr>
            <w:tcW w:w="2615" w:type="dxa"/>
            <w:tcBorders>
              <w:tl2br w:val="nil"/>
              <w:tr2bl w:val="nil"/>
            </w:tcBorders>
            <w:vAlign w:val="center"/>
          </w:tcPr>
          <w:p w:rsidR="00525419" w:rsidRDefault="00EE1CF7">
            <w:pPr>
              <w:widowControl/>
              <w:snapToGrid w:val="0"/>
              <w:rPr>
                <w:rFonts w:ascii="Times New Roman" w:hAnsi="Times New Roman"/>
                <w:szCs w:val="21"/>
              </w:rPr>
            </w:pPr>
            <w:r>
              <w:rPr>
                <w:rFonts w:ascii="Times New Roman" w:hAnsi="Times New Roman"/>
                <w:szCs w:val="21"/>
              </w:rPr>
              <w:t>机泵边沟和生产污水明沟的底板及壁板</w:t>
            </w:r>
          </w:p>
        </w:tc>
        <w:tc>
          <w:tcPr>
            <w:tcW w:w="1725" w:type="dxa"/>
            <w:tcBorders>
              <w:tl2br w:val="nil"/>
              <w:tr2bl w:val="nil"/>
            </w:tcBorders>
            <w:vAlign w:val="center"/>
          </w:tcPr>
          <w:p w:rsidR="00525419" w:rsidRDefault="00EE1CF7">
            <w:pPr>
              <w:widowControl/>
              <w:snapToGrid w:val="0"/>
              <w:jc w:val="center"/>
              <w:rPr>
                <w:rFonts w:ascii="Times New Roman" w:hAnsi="Times New Roman"/>
                <w:szCs w:val="21"/>
              </w:rPr>
            </w:pPr>
            <w:r>
              <w:rPr>
                <w:rFonts w:ascii="Times New Roman" w:hAnsi="Times New Roman"/>
                <w:szCs w:val="21"/>
              </w:rPr>
              <w:t>重点</w:t>
            </w:r>
          </w:p>
        </w:tc>
      </w:tr>
      <w:tr w:rsidR="00525419">
        <w:trPr>
          <w:gridAfter w:val="1"/>
          <w:wAfter w:w="13" w:type="dxa"/>
          <w:trHeight w:val="128"/>
          <w:jc w:val="center"/>
        </w:trPr>
        <w:tc>
          <w:tcPr>
            <w:tcW w:w="719" w:type="dxa"/>
            <w:tcBorders>
              <w:tl2br w:val="nil"/>
              <w:tr2bl w:val="nil"/>
            </w:tcBorders>
            <w:vAlign w:val="center"/>
          </w:tcPr>
          <w:p w:rsidR="00525419" w:rsidRDefault="00EE1CF7">
            <w:pPr>
              <w:widowControl/>
              <w:snapToGrid w:val="0"/>
              <w:jc w:val="center"/>
              <w:rPr>
                <w:rFonts w:ascii="Times New Roman" w:hAnsi="Times New Roman"/>
                <w:szCs w:val="21"/>
              </w:rPr>
            </w:pPr>
            <w:r>
              <w:rPr>
                <w:rFonts w:ascii="Times New Roman" w:hAnsi="Times New Roman"/>
                <w:szCs w:val="21"/>
              </w:rPr>
              <w:t>2</w:t>
            </w:r>
          </w:p>
        </w:tc>
        <w:tc>
          <w:tcPr>
            <w:tcW w:w="7546" w:type="dxa"/>
            <w:gridSpan w:val="4"/>
            <w:tcBorders>
              <w:tl2br w:val="nil"/>
              <w:tr2bl w:val="nil"/>
            </w:tcBorders>
            <w:vAlign w:val="center"/>
          </w:tcPr>
          <w:p w:rsidR="00525419" w:rsidRDefault="00EE1CF7">
            <w:pPr>
              <w:widowControl/>
              <w:snapToGrid w:val="0"/>
              <w:rPr>
                <w:rFonts w:ascii="Times New Roman" w:hAnsi="Times New Roman"/>
                <w:szCs w:val="21"/>
              </w:rPr>
            </w:pPr>
            <w:r>
              <w:rPr>
                <w:rFonts w:ascii="Times New Roman" w:hAnsi="Times New Roman"/>
                <w:szCs w:val="21"/>
              </w:rPr>
              <w:t>储运设施</w:t>
            </w:r>
          </w:p>
        </w:tc>
      </w:tr>
      <w:tr w:rsidR="00525419">
        <w:trPr>
          <w:gridAfter w:val="1"/>
          <w:wAfter w:w="13" w:type="dxa"/>
          <w:trHeight w:val="340"/>
          <w:jc w:val="center"/>
        </w:trPr>
        <w:tc>
          <w:tcPr>
            <w:tcW w:w="719" w:type="dxa"/>
            <w:vMerge w:val="restart"/>
            <w:tcBorders>
              <w:tl2br w:val="nil"/>
              <w:tr2bl w:val="nil"/>
            </w:tcBorders>
            <w:vAlign w:val="center"/>
          </w:tcPr>
          <w:p w:rsidR="00525419" w:rsidRDefault="00EE1CF7">
            <w:pPr>
              <w:snapToGrid w:val="0"/>
              <w:jc w:val="center"/>
              <w:rPr>
                <w:rFonts w:ascii="Times New Roman" w:hAnsi="Times New Roman"/>
                <w:szCs w:val="21"/>
              </w:rPr>
            </w:pPr>
            <w:r>
              <w:rPr>
                <w:rFonts w:ascii="Times New Roman" w:hAnsi="Times New Roman"/>
                <w:szCs w:val="21"/>
              </w:rPr>
              <w:t>2.1</w:t>
            </w:r>
          </w:p>
        </w:tc>
        <w:tc>
          <w:tcPr>
            <w:tcW w:w="3206" w:type="dxa"/>
            <w:gridSpan w:val="2"/>
            <w:vMerge w:val="restart"/>
            <w:tcBorders>
              <w:tl2br w:val="nil"/>
              <w:tr2bl w:val="nil"/>
            </w:tcBorders>
            <w:vAlign w:val="center"/>
          </w:tcPr>
          <w:p w:rsidR="00525419" w:rsidRDefault="00EE1CF7">
            <w:pPr>
              <w:snapToGrid w:val="0"/>
              <w:jc w:val="center"/>
              <w:rPr>
                <w:rFonts w:ascii="Times New Roman" w:hAnsi="Times New Roman"/>
                <w:szCs w:val="21"/>
              </w:rPr>
            </w:pPr>
            <w:r>
              <w:rPr>
                <w:rFonts w:ascii="Times New Roman" w:hAnsi="Times New Roman"/>
                <w:szCs w:val="21"/>
              </w:rPr>
              <w:t>罐区</w:t>
            </w:r>
          </w:p>
        </w:tc>
        <w:tc>
          <w:tcPr>
            <w:tcW w:w="2615" w:type="dxa"/>
            <w:tcBorders>
              <w:tl2br w:val="nil"/>
              <w:tr2bl w:val="nil"/>
            </w:tcBorders>
            <w:vAlign w:val="center"/>
          </w:tcPr>
          <w:p w:rsidR="00525419" w:rsidRDefault="00EE1CF7">
            <w:pPr>
              <w:widowControl/>
              <w:snapToGrid w:val="0"/>
              <w:rPr>
                <w:rFonts w:ascii="Times New Roman" w:hAnsi="Times New Roman"/>
                <w:szCs w:val="21"/>
              </w:rPr>
            </w:pPr>
            <w:r>
              <w:rPr>
                <w:rFonts w:ascii="Times New Roman" w:hAnsi="Times New Roman"/>
                <w:szCs w:val="21"/>
              </w:rPr>
              <w:t>环墙式和护坡式罐基础</w:t>
            </w:r>
          </w:p>
        </w:tc>
        <w:tc>
          <w:tcPr>
            <w:tcW w:w="1725" w:type="dxa"/>
            <w:tcBorders>
              <w:tl2br w:val="nil"/>
              <w:tr2bl w:val="nil"/>
            </w:tcBorders>
            <w:vAlign w:val="center"/>
          </w:tcPr>
          <w:p w:rsidR="00525419" w:rsidRDefault="00EE1CF7">
            <w:pPr>
              <w:widowControl/>
              <w:snapToGrid w:val="0"/>
              <w:jc w:val="center"/>
              <w:rPr>
                <w:rFonts w:ascii="Times New Roman" w:hAnsi="Times New Roman"/>
                <w:szCs w:val="21"/>
              </w:rPr>
            </w:pPr>
            <w:r>
              <w:rPr>
                <w:rFonts w:ascii="Times New Roman" w:hAnsi="Times New Roman"/>
                <w:szCs w:val="21"/>
              </w:rPr>
              <w:t>重点</w:t>
            </w:r>
          </w:p>
        </w:tc>
      </w:tr>
      <w:tr w:rsidR="00525419">
        <w:trPr>
          <w:gridAfter w:val="1"/>
          <w:wAfter w:w="13" w:type="dxa"/>
          <w:trHeight w:val="340"/>
          <w:jc w:val="center"/>
        </w:trPr>
        <w:tc>
          <w:tcPr>
            <w:tcW w:w="719" w:type="dxa"/>
            <w:vMerge/>
            <w:tcBorders>
              <w:tl2br w:val="nil"/>
              <w:tr2bl w:val="nil"/>
            </w:tcBorders>
            <w:vAlign w:val="center"/>
          </w:tcPr>
          <w:p w:rsidR="00525419" w:rsidRDefault="00525419">
            <w:pPr>
              <w:snapToGrid w:val="0"/>
              <w:jc w:val="center"/>
              <w:rPr>
                <w:rFonts w:ascii="Times New Roman" w:hAnsi="Times New Roman"/>
                <w:szCs w:val="21"/>
              </w:rPr>
            </w:pPr>
          </w:p>
        </w:tc>
        <w:tc>
          <w:tcPr>
            <w:tcW w:w="3206" w:type="dxa"/>
            <w:gridSpan w:val="2"/>
            <w:vMerge/>
            <w:tcBorders>
              <w:tl2br w:val="nil"/>
              <w:tr2bl w:val="nil"/>
            </w:tcBorders>
            <w:vAlign w:val="center"/>
          </w:tcPr>
          <w:p w:rsidR="00525419" w:rsidRDefault="00525419">
            <w:pPr>
              <w:snapToGrid w:val="0"/>
              <w:jc w:val="center"/>
              <w:rPr>
                <w:rFonts w:ascii="Times New Roman" w:hAnsi="Times New Roman"/>
                <w:szCs w:val="21"/>
              </w:rPr>
            </w:pPr>
          </w:p>
        </w:tc>
        <w:tc>
          <w:tcPr>
            <w:tcW w:w="2615" w:type="dxa"/>
            <w:tcBorders>
              <w:tl2br w:val="nil"/>
              <w:tr2bl w:val="nil"/>
            </w:tcBorders>
            <w:vAlign w:val="center"/>
          </w:tcPr>
          <w:p w:rsidR="00525419" w:rsidRDefault="00EE1CF7">
            <w:pPr>
              <w:widowControl/>
              <w:snapToGrid w:val="0"/>
              <w:rPr>
                <w:rFonts w:ascii="Times New Roman" w:hAnsi="Times New Roman"/>
                <w:szCs w:val="21"/>
              </w:rPr>
            </w:pPr>
            <w:r>
              <w:rPr>
                <w:rFonts w:ascii="Times New Roman" w:hAnsi="Times New Roman"/>
                <w:szCs w:val="21"/>
              </w:rPr>
              <w:t>承台式罐基础</w:t>
            </w:r>
          </w:p>
        </w:tc>
        <w:tc>
          <w:tcPr>
            <w:tcW w:w="1725" w:type="dxa"/>
            <w:tcBorders>
              <w:tl2br w:val="nil"/>
              <w:tr2bl w:val="nil"/>
            </w:tcBorders>
            <w:vAlign w:val="center"/>
          </w:tcPr>
          <w:p w:rsidR="00525419" w:rsidRDefault="00EE1CF7">
            <w:pPr>
              <w:widowControl/>
              <w:snapToGrid w:val="0"/>
              <w:jc w:val="center"/>
              <w:rPr>
                <w:rFonts w:ascii="Times New Roman" w:hAnsi="Times New Roman"/>
                <w:szCs w:val="21"/>
              </w:rPr>
            </w:pPr>
            <w:r>
              <w:rPr>
                <w:rFonts w:ascii="Times New Roman" w:hAnsi="Times New Roman"/>
                <w:szCs w:val="21"/>
              </w:rPr>
              <w:t>重点</w:t>
            </w:r>
          </w:p>
        </w:tc>
      </w:tr>
      <w:tr w:rsidR="00525419">
        <w:trPr>
          <w:gridAfter w:val="1"/>
          <w:wAfter w:w="13" w:type="dxa"/>
          <w:trHeight w:val="340"/>
          <w:jc w:val="center"/>
        </w:trPr>
        <w:tc>
          <w:tcPr>
            <w:tcW w:w="719" w:type="dxa"/>
            <w:vMerge/>
            <w:tcBorders>
              <w:tl2br w:val="nil"/>
              <w:tr2bl w:val="nil"/>
            </w:tcBorders>
            <w:vAlign w:val="center"/>
          </w:tcPr>
          <w:p w:rsidR="00525419" w:rsidRDefault="00525419">
            <w:pPr>
              <w:snapToGrid w:val="0"/>
              <w:jc w:val="center"/>
              <w:rPr>
                <w:rFonts w:ascii="Times New Roman" w:hAnsi="Times New Roman"/>
                <w:szCs w:val="21"/>
              </w:rPr>
            </w:pPr>
          </w:p>
        </w:tc>
        <w:tc>
          <w:tcPr>
            <w:tcW w:w="3206" w:type="dxa"/>
            <w:gridSpan w:val="2"/>
            <w:vMerge/>
            <w:tcBorders>
              <w:tl2br w:val="nil"/>
              <w:tr2bl w:val="nil"/>
            </w:tcBorders>
            <w:vAlign w:val="center"/>
          </w:tcPr>
          <w:p w:rsidR="00525419" w:rsidRDefault="00525419">
            <w:pPr>
              <w:snapToGrid w:val="0"/>
              <w:jc w:val="center"/>
              <w:rPr>
                <w:rFonts w:ascii="Times New Roman" w:hAnsi="Times New Roman"/>
                <w:szCs w:val="21"/>
              </w:rPr>
            </w:pPr>
          </w:p>
        </w:tc>
        <w:tc>
          <w:tcPr>
            <w:tcW w:w="2615" w:type="dxa"/>
            <w:tcBorders>
              <w:tl2br w:val="nil"/>
              <w:tr2bl w:val="nil"/>
            </w:tcBorders>
            <w:vAlign w:val="center"/>
          </w:tcPr>
          <w:p w:rsidR="00525419" w:rsidRDefault="00EE1CF7">
            <w:pPr>
              <w:widowControl/>
              <w:snapToGrid w:val="0"/>
              <w:rPr>
                <w:rFonts w:ascii="Times New Roman" w:hAnsi="Times New Roman"/>
                <w:szCs w:val="21"/>
              </w:rPr>
            </w:pPr>
            <w:r>
              <w:rPr>
                <w:rFonts w:ascii="Times New Roman" w:hAnsi="Times New Roman"/>
                <w:szCs w:val="21"/>
              </w:rPr>
              <w:t>储罐到防火堤之间的地面及防火堤</w:t>
            </w:r>
          </w:p>
        </w:tc>
        <w:tc>
          <w:tcPr>
            <w:tcW w:w="1725" w:type="dxa"/>
            <w:tcBorders>
              <w:tl2br w:val="nil"/>
              <w:tr2bl w:val="nil"/>
            </w:tcBorders>
            <w:vAlign w:val="center"/>
          </w:tcPr>
          <w:p w:rsidR="00525419" w:rsidRDefault="00EE1CF7">
            <w:pPr>
              <w:widowControl/>
              <w:snapToGrid w:val="0"/>
              <w:jc w:val="center"/>
              <w:rPr>
                <w:rFonts w:ascii="Times New Roman" w:hAnsi="Times New Roman"/>
                <w:szCs w:val="21"/>
              </w:rPr>
            </w:pPr>
            <w:r>
              <w:rPr>
                <w:rFonts w:ascii="Times New Roman" w:hAnsi="Times New Roman"/>
                <w:szCs w:val="21"/>
              </w:rPr>
              <w:t>重点</w:t>
            </w:r>
          </w:p>
        </w:tc>
      </w:tr>
      <w:tr w:rsidR="00525419">
        <w:trPr>
          <w:gridAfter w:val="1"/>
          <w:wAfter w:w="13" w:type="dxa"/>
          <w:trHeight w:val="136"/>
          <w:jc w:val="center"/>
        </w:trPr>
        <w:tc>
          <w:tcPr>
            <w:tcW w:w="719" w:type="dxa"/>
            <w:tcBorders>
              <w:tl2br w:val="nil"/>
              <w:tr2bl w:val="nil"/>
            </w:tcBorders>
            <w:vAlign w:val="center"/>
          </w:tcPr>
          <w:p w:rsidR="00525419" w:rsidRDefault="00EE1CF7">
            <w:pPr>
              <w:widowControl/>
              <w:snapToGrid w:val="0"/>
              <w:jc w:val="center"/>
              <w:rPr>
                <w:rFonts w:ascii="Times New Roman" w:hAnsi="Times New Roman"/>
                <w:szCs w:val="21"/>
              </w:rPr>
            </w:pPr>
            <w:r>
              <w:rPr>
                <w:rFonts w:ascii="Times New Roman" w:hAnsi="Times New Roman"/>
                <w:szCs w:val="21"/>
              </w:rPr>
              <w:t>2.2</w:t>
            </w:r>
          </w:p>
        </w:tc>
        <w:tc>
          <w:tcPr>
            <w:tcW w:w="3206" w:type="dxa"/>
            <w:gridSpan w:val="2"/>
            <w:tcBorders>
              <w:tl2br w:val="nil"/>
              <w:tr2bl w:val="nil"/>
            </w:tcBorders>
            <w:vAlign w:val="center"/>
          </w:tcPr>
          <w:p w:rsidR="00525419" w:rsidRDefault="00EE1CF7">
            <w:pPr>
              <w:widowControl/>
              <w:snapToGrid w:val="0"/>
              <w:jc w:val="center"/>
              <w:rPr>
                <w:rFonts w:ascii="Times New Roman" w:hAnsi="Times New Roman"/>
                <w:szCs w:val="21"/>
              </w:rPr>
            </w:pPr>
            <w:r>
              <w:rPr>
                <w:rFonts w:ascii="Times New Roman" w:hAnsi="Times New Roman"/>
                <w:szCs w:val="21"/>
              </w:rPr>
              <w:t>装卸站</w:t>
            </w:r>
          </w:p>
        </w:tc>
        <w:tc>
          <w:tcPr>
            <w:tcW w:w="2615" w:type="dxa"/>
            <w:tcBorders>
              <w:tl2br w:val="nil"/>
              <w:tr2bl w:val="nil"/>
            </w:tcBorders>
            <w:vAlign w:val="center"/>
          </w:tcPr>
          <w:p w:rsidR="00525419" w:rsidRDefault="00EE1CF7">
            <w:pPr>
              <w:widowControl/>
              <w:snapToGrid w:val="0"/>
              <w:rPr>
                <w:rFonts w:ascii="Times New Roman" w:hAnsi="Times New Roman"/>
                <w:szCs w:val="21"/>
              </w:rPr>
            </w:pPr>
            <w:r>
              <w:rPr>
                <w:rFonts w:ascii="Times New Roman" w:hAnsi="Times New Roman"/>
                <w:szCs w:val="21"/>
              </w:rPr>
              <w:t>装卸车栈台界区内的地面</w:t>
            </w:r>
          </w:p>
        </w:tc>
        <w:tc>
          <w:tcPr>
            <w:tcW w:w="1725" w:type="dxa"/>
            <w:tcBorders>
              <w:tl2br w:val="nil"/>
              <w:tr2bl w:val="nil"/>
            </w:tcBorders>
            <w:vAlign w:val="center"/>
          </w:tcPr>
          <w:p w:rsidR="00525419" w:rsidRDefault="00EE1CF7">
            <w:pPr>
              <w:widowControl/>
              <w:snapToGrid w:val="0"/>
              <w:jc w:val="center"/>
              <w:rPr>
                <w:rFonts w:ascii="Times New Roman" w:hAnsi="Times New Roman"/>
                <w:szCs w:val="21"/>
              </w:rPr>
            </w:pPr>
            <w:r>
              <w:rPr>
                <w:rFonts w:ascii="Times New Roman" w:hAnsi="Times New Roman"/>
                <w:szCs w:val="21"/>
              </w:rPr>
              <w:t>一般</w:t>
            </w:r>
          </w:p>
        </w:tc>
      </w:tr>
      <w:tr w:rsidR="00525419">
        <w:trPr>
          <w:gridAfter w:val="1"/>
          <w:wAfter w:w="13" w:type="dxa"/>
          <w:trHeight w:val="268"/>
          <w:jc w:val="center"/>
        </w:trPr>
        <w:tc>
          <w:tcPr>
            <w:tcW w:w="719" w:type="dxa"/>
            <w:tcBorders>
              <w:tl2br w:val="nil"/>
              <w:tr2bl w:val="nil"/>
            </w:tcBorders>
            <w:vAlign w:val="center"/>
          </w:tcPr>
          <w:p w:rsidR="00525419" w:rsidRDefault="00EE1CF7">
            <w:pPr>
              <w:widowControl/>
              <w:snapToGrid w:val="0"/>
              <w:jc w:val="center"/>
              <w:rPr>
                <w:rFonts w:ascii="Times New Roman" w:hAnsi="Times New Roman"/>
                <w:szCs w:val="21"/>
              </w:rPr>
            </w:pPr>
            <w:r>
              <w:rPr>
                <w:rFonts w:ascii="Times New Roman" w:hAnsi="Times New Roman"/>
                <w:szCs w:val="21"/>
              </w:rPr>
              <w:t>2.3</w:t>
            </w:r>
          </w:p>
        </w:tc>
        <w:tc>
          <w:tcPr>
            <w:tcW w:w="3206" w:type="dxa"/>
            <w:gridSpan w:val="2"/>
            <w:tcBorders>
              <w:tl2br w:val="nil"/>
              <w:tr2bl w:val="nil"/>
            </w:tcBorders>
            <w:vAlign w:val="center"/>
          </w:tcPr>
          <w:p w:rsidR="00525419" w:rsidRDefault="00EE1CF7">
            <w:pPr>
              <w:widowControl/>
              <w:snapToGrid w:val="0"/>
              <w:jc w:val="center"/>
              <w:rPr>
                <w:rFonts w:ascii="Times New Roman" w:hAnsi="Times New Roman"/>
                <w:szCs w:val="21"/>
              </w:rPr>
            </w:pPr>
            <w:r>
              <w:rPr>
                <w:rFonts w:ascii="Times New Roman" w:hAnsi="Times New Roman"/>
                <w:szCs w:val="21"/>
              </w:rPr>
              <w:t>油气回收设施</w:t>
            </w:r>
          </w:p>
        </w:tc>
        <w:tc>
          <w:tcPr>
            <w:tcW w:w="2615" w:type="dxa"/>
            <w:tcBorders>
              <w:tl2br w:val="nil"/>
              <w:tr2bl w:val="nil"/>
            </w:tcBorders>
            <w:vAlign w:val="center"/>
          </w:tcPr>
          <w:p w:rsidR="00525419" w:rsidRDefault="00EE1CF7">
            <w:pPr>
              <w:widowControl/>
              <w:snapToGrid w:val="0"/>
              <w:rPr>
                <w:rFonts w:ascii="Times New Roman" w:hAnsi="Times New Roman"/>
                <w:szCs w:val="21"/>
              </w:rPr>
            </w:pPr>
            <w:r>
              <w:rPr>
                <w:rFonts w:ascii="Times New Roman" w:hAnsi="Times New Roman"/>
                <w:szCs w:val="21"/>
              </w:rPr>
              <w:t>油气回收设施界区内的地面</w:t>
            </w:r>
          </w:p>
        </w:tc>
        <w:tc>
          <w:tcPr>
            <w:tcW w:w="1725" w:type="dxa"/>
            <w:tcBorders>
              <w:tl2br w:val="nil"/>
              <w:tr2bl w:val="nil"/>
            </w:tcBorders>
            <w:vAlign w:val="center"/>
          </w:tcPr>
          <w:p w:rsidR="00525419" w:rsidRDefault="00EE1CF7">
            <w:pPr>
              <w:widowControl/>
              <w:snapToGrid w:val="0"/>
              <w:jc w:val="center"/>
              <w:rPr>
                <w:rFonts w:ascii="Times New Roman" w:hAnsi="Times New Roman"/>
                <w:szCs w:val="21"/>
              </w:rPr>
            </w:pPr>
            <w:r>
              <w:rPr>
                <w:rFonts w:ascii="Times New Roman" w:hAnsi="Times New Roman"/>
                <w:szCs w:val="21"/>
              </w:rPr>
              <w:t>一般</w:t>
            </w:r>
          </w:p>
        </w:tc>
      </w:tr>
      <w:tr w:rsidR="00525419">
        <w:trPr>
          <w:gridAfter w:val="1"/>
          <w:wAfter w:w="13" w:type="dxa"/>
          <w:trHeight w:val="272"/>
          <w:jc w:val="center"/>
        </w:trPr>
        <w:tc>
          <w:tcPr>
            <w:tcW w:w="719" w:type="dxa"/>
            <w:tcBorders>
              <w:tl2br w:val="nil"/>
              <w:tr2bl w:val="nil"/>
            </w:tcBorders>
            <w:vAlign w:val="center"/>
          </w:tcPr>
          <w:p w:rsidR="00525419" w:rsidRDefault="00EE1CF7">
            <w:pPr>
              <w:widowControl/>
              <w:snapToGrid w:val="0"/>
              <w:jc w:val="center"/>
              <w:rPr>
                <w:rFonts w:ascii="Times New Roman" w:hAnsi="Times New Roman"/>
                <w:szCs w:val="21"/>
              </w:rPr>
            </w:pPr>
            <w:r>
              <w:rPr>
                <w:rFonts w:ascii="Times New Roman" w:hAnsi="Times New Roman"/>
                <w:szCs w:val="21"/>
              </w:rPr>
              <w:t>3</w:t>
            </w:r>
          </w:p>
        </w:tc>
        <w:tc>
          <w:tcPr>
            <w:tcW w:w="7546" w:type="dxa"/>
            <w:gridSpan w:val="4"/>
            <w:tcBorders>
              <w:tl2br w:val="nil"/>
              <w:tr2bl w:val="nil"/>
            </w:tcBorders>
            <w:vAlign w:val="center"/>
          </w:tcPr>
          <w:p w:rsidR="00525419" w:rsidRDefault="00EE1CF7">
            <w:pPr>
              <w:widowControl/>
              <w:snapToGrid w:val="0"/>
              <w:rPr>
                <w:rFonts w:ascii="Times New Roman" w:hAnsi="Times New Roman"/>
                <w:szCs w:val="21"/>
              </w:rPr>
            </w:pPr>
            <w:r>
              <w:rPr>
                <w:rFonts w:ascii="Times New Roman" w:hAnsi="Times New Roman"/>
                <w:szCs w:val="21"/>
              </w:rPr>
              <w:t>公用工程</w:t>
            </w:r>
          </w:p>
        </w:tc>
      </w:tr>
      <w:tr w:rsidR="00525419">
        <w:trPr>
          <w:trHeight w:val="107"/>
          <w:jc w:val="center"/>
        </w:trPr>
        <w:tc>
          <w:tcPr>
            <w:tcW w:w="719" w:type="dxa"/>
            <w:tcBorders>
              <w:tl2br w:val="nil"/>
              <w:tr2bl w:val="nil"/>
            </w:tcBorders>
            <w:vAlign w:val="center"/>
          </w:tcPr>
          <w:p w:rsidR="00525419" w:rsidRDefault="00EE1CF7">
            <w:pPr>
              <w:widowControl/>
              <w:snapToGrid w:val="0"/>
              <w:jc w:val="center"/>
              <w:rPr>
                <w:rFonts w:ascii="Times New Roman" w:hAnsi="Times New Roman"/>
                <w:szCs w:val="21"/>
              </w:rPr>
            </w:pPr>
            <w:r>
              <w:rPr>
                <w:rFonts w:ascii="Times New Roman" w:hAnsi="Times New Roman"/>
                <w:szCs w:val="21"/>
              </w:rPr>
              <w:t>3.1</w:t>
            </w:r>
          </w:p>
        </w:tc>
        <w:tc>
          <w:tcPr>
            <w:tcW w:w="1074" w:type="dxa"/>
            <w:tcBorders>
              <w:tl2br w:val="nil"/>
              <w:tr2bl w:val="nil"/>
            </w:tcBorders>
            <w:vAlign w:val="center"/>
          </w:tcPr>
          <w:p w:rsidR="00525419" w:rsidRDefault="00EE1CF7">
            <w:pPr>
              <w:widowControl/>
              <w:snapToGrid w:val="0"/>
              <w:jc w:val="center"/>
              <w:rPr>
                <w:rFonts w:ascii="Times New Roman" w:hAnsi="Times New Roman"/>
                <w:szCs w:val="21"/>
              </w:rPr>
            </w:pPr>
            <w:r>
              <w:rPr>
                <w:rFonts w:ascii="Times New Roman" w:hAnsi="Times New Roman"/>
                <w:szCs w:val="21"/>
              </w:rPr>
              <w:t>污水处理</w:t>
            </w:r>
          </w:p>
        </w:tc>
        <w:tc>
          <w:tcPr>
            <w:tcW w:w="2132" w:type="dxa"/>
            <w:tcBorders>
              <w:tl2br w:val="nil"/>
              <w:tr2bl w:val="nil"/>
            </w:tcBorders>
            <w:vAlign w:val="center"/>
          </w:tcPr>
          <w:p w:rsidR="00525419" w:rsidRDefault="00EE1CF7">
            <w:pPr>
              <w:widowControl/>
              <w:snapToGrid w:val="0"/>
              <w:jc w:val="center"/>
              <w:rPr>
                <w:rFonts w:ascii="Times New Roman" w:hAnsi="Times New Roman"/>
                <w:szCs w:val="21"/>
              </w:rPr>
            </w:pPr>
            <w:r>
              <w:rPr>
                <w:rFonts w:ascii="Times New Roman" w:hAnsi="Times New Roman"/>
                <w:szCs w:val="21"/>
              </w:rPr>
              <w:t>新建的地下生产污水管道</w:t>
            </w:r>
          </w:p>
        </w:tc>
        <w:tc>
          <w:tcPr>
            <w:tcW w:w="2615" w:type="dxa"/>
            <w:tcBorders>
              <w:tl2br w:val="nil"/>
              <w:tr2bl w:val="nil"/>
            </w:tcBorders>
            <w:vAlign w:val="center"/>
          </w:tcPr>
          <w:p w:rsidR="00525419" w:rsidRDefault="00EE1CF7">
            <w:pPr>
              <w:widowControl/>
              <w:snapToGrid w:val="0"/>
              <w:rPr>
                <w:rFonts w:ascii="Times New Roman" w:hAnsi="Times New Roman"/>
                <w:szCs w:val="21"/>
              </w:rPr>
            </w:pPr>
            <w:r>
              <w:rPr>
                <w:rFonts w:ascii="Times New Roman" w:hAnsi="Times New Roman"/>
                <w:szCs w:val="21"/>
              </w:rPr>
              <w:t>地下生产污水管道</w:t>
            </w:r>
            <w:r>
              <w:rPr>
                <w:rFonts w:ascii="Times New Roman" w:hAnsi="Times New Roman"/>
                <w:szCs w:val="21"/>
              </w:rPr>
              <w:t xml:space="preserve"> </w:t>
            </w:r>
          </w:p>
        </w:tc>
        <w:tc>
          <w:tcPr>
            <w:tcW w:w="1738" w:type="dxa"/>
            <w:gridSpan w:val="2"/>
            <w:tcBorders>
              <w:tl2br w:val="nil"/>
              <w:tr2bl w:val="nil"/>
            </w:tcBorders>
            <w:vAlign w:val="center"/>
          </w:tcPr>
          <w:p w:rsidR="00525419" w:rsidRDefault="00EE1CF7">
            <w:pPr>
              <w:widowControl/>
              <w:snapToGrid w:val="0"/>
              <w:jc w:val="center"/>
              <w:rPr>
                <w:rFonts w:ascii="Times New Roman" w:hAnsi="Times New Roman"/>
                <w:szCs w:val="21"/>
              </w:rPr>
            </w:pPr>
            <w:r>
              <w:rPr>
                <w:rFonts w:ascii="Times New Roman" w:hAnsi="Times New Roman"/>
                <w:szCs w:val="21"/>
              </w:rPr>
              <w:t>重点</w:t>
            </w:r>
          </w:p>
        </w:tc>
      </w:tr>
      <w:tr w:rsidR="00525419">
        <w:trPr>
          <w:trHeight w:val="103"/>
          <w:jc w:val="center"/>
        </w:trPr>
        <w:tc>
          <w:tcPr>
            <w:tcW w:w="719" w:type="dxa"/>
            <w:tcBorders>
              <w:tl2br w:val="nil"/>
              <w:tr2bl w:val="nil"/>
            </w:tcBorders>
            <w:vAlign w:val="center"/>
          </w:tcPr>
          <w:p w:rsidR="00525419" w:rsidRDefault="00EE1CF7">
            <w:pPr>
              <w:snapToGrid w:val="0"/>
              <w:jc w:val="center"/>
              <w:rPr>
                <w:rFonts w:ascii="Times New Roman" w:hAnsi="Times New Roman"/>
                <w:szCs w:val="21"/>
              </w:rPr>
            </w:pPr>
            <w:r>
              <w:rPr>
                <w:rFonts w:ascii="Times New Roman" w:hAnsi="Times New Roman"/>
                <w:szCs w:val="21"/>
              </w:rPr>
              <w:t>3.2</w:t>
            </w:r>
          </w:p>
        </w:tc>
        <w:tc>
          <w:tcPr>
            <w:tcW w:w="3206" w:type="dxa"/>
            <w:gridSpan w:val="2"/>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lang w:val="zh-CN"/>
              </w:rPr>
            </w:pPr>
            <w:r>
              <w:rPr>
                <w:rFonts w:ascii="Times New Roman" w:hAnsi="Times New Roman"/>
                <w:szCs w:val="21"/>
                <w:lang w:val="zh-CN"/>
              </w:rPr>
              <w:t>系统管廊</w:t>
            </w:r>
          </w:p>
        </w:tc>
        <w:tc>
          <w:tcPr>
            <w:tcW w:w="2615" w:type="dxa"/>
            <w:tcBorders>
              <w:tl2br w:val="nil"/>
              <w:tr2bl w:val="nil"/>
            </w:tcBorders>
            <w:vAlign w:val="center"/>
          </w:tcPr>
          <w:p w:rsidR="00525419" w:rsidRDefault="00EE1CF7">
            <w:pPr>
              <w:autoSpaceDE w:val="0"/>
              <w:autoSpaceDN w:val="0"/>
              <w:adjustRightInd w:val="0"/>
              <w:spacing w:line="240" w:lineRule="atLeast"/>
              <w:rPr>
                <w:rFonts w:ascii="Times New Roman" w:hAnsi="Times New Roman"/>
                <w:szCs w:val="21"/>
                <w:lang w:val="zh-CN"/>
              </w:rPr>
            </w:pPr>
            <w:r>
              <w:rPr>
                <w:rFonts w:ascii="Times New Roman" w:hAnsi="Times New Roman"/>
                <w:szCs w:val="21"/>
                <w:lang w:val="zh-CN"/>
              </w:rPr>
              <w:t>系统管廊集中阀门区的地面</w:t>
            </w:r>
          </w:p>
        </w:tc>
        <w:tc>
          <w:tcPr>
            <w:tcW w:w="1738" w:type="dxa"/>
            <w:gridSpan w:val="2"/>
            <w:tcBorders>
              <w:tl2br w:val="nil"/>
              <w:tr2bl w:val="nil"/>
            </w:tcBorders>
            <w:vAlign w:val="center"/>
          </w:tcPr>
          <w:p w:rsidR="00525419" w:rsidRDefault="00EE1CF7">
            <w:pPr>
              <w:autoSpaceDE w:val="0"/>
              <w:autoSpaceDN w:val="0"/>
              <w:adjustRightInd w:val="0"/>
              <w:spacing w:line="240" w:lineRule="atLeast"/>
              <w:ind w:firstLineChars="200" w:firstLine="420"/>
              <w:rPr>
                <w:rFonts w:ascii="Times New Roman" w:hAnsi="Times New Roman"/>
                <w:szCs w:val="21"/>
                <w:lang w:val="zh-CN"/>
              </w:rPr>
            </w:pPr>
            <w:r>
              <w:rPr>
                <w:rFonts w:ascii="Times New Roman" w:hAnsi="Times New Roman"/>
                <w:szCs w:val="21"/>
                <w:lang w:val="zh-CN"/>
              </w:rPr>
              <w:t>一般</w:t>
            </w:r>
          </w:p>
        </w:tc>
      </w:tr>
    </w:tbl>
    <w:p w:rsidR="00525419" w:rsidRDefault="00525419" w:rsidP="00EE1CF7">
      <w:pPr>
        <w:pStyle w:val="a2"/>
        <w:ind w:firstLine="482"/>
        <w:rPr>
          <w:rFonts w:eastAsia="宋体"/>
          <w:b/>
          <w:sz w:val="24"/>
          <w:szCs w:val="24"/>
        </w:rPr>
      </w:pPr>
    </w:p>
    <w:p w:rsidR="00525419" w:rsidRDefault="00525419">
      <w:pPr>
        <w:pStyle w:val="a2"/>
        <w:ind w:firstLine="482"/>
        <w:rPr>
          <w:rFonts w:eastAsia="宋体"/>
          <w:b/>
          <w:sz w:val="24"/>
          <w:szCs w:val="24"/>
        </w:rPr>
      </w:pPr>
    </w:p>
    <w:p w:rsidR="00525419" w:rsidRDefault="00525419">
      <w:pPr>
        <w:pStyle w:val="a2"/>
        <w:ind w:firstLine="482"/>
        <w:rPr>
          <w:rFonts w:eastAsia="宋体"/>
          <w:b/>
          <w:sz w:val="24"/>
          <w:szCs w:val="24"/>
        </w:rPr>
      </w:pPr>
    </w:p>
    <w:p w:rsidR="00525419" w:rsidRDefault="00525419">
      <w:pPr>
        <w:pStyle w:val="a2"/>
        <w:ind w:firstLine="482"/>
        <w:rPr>
          <w:rFonts w:eastAsia="宋体"/>
          <w:b/>
          <w:sz w:val="24"/>
          <w:szCs w:val="24"/>
        </w:rPr>
      </w:pPr>
    </w:p>
    <w:p w:rsidR="00525419" w:rsidRDefault="00525419">
      <w:pPr>
        <w:pStyle w:val="a2"/>
        <w:ind w:firstLine="482"/>
        <w:rPr>
          <w:rFonts w:eastAsia="宋体"/>
          <w:b/>
          <w:sz w:val="24"/>
          <w:szCs w:val="24"/>
        </w:rPr>
      </w:pPr>
    </w:p>
    <w:p w:rsidR="00525419" w:rsidRDefault="00525419">
      <w:pPr>
        <w:pStyle w:val="a2"/>
        <w:ind w:firstLine="482"/>
        <w:rPr>
          <w:rFonts w:eastAsia="宋体"/>
          <w:b/>
          <w:sz w:val="24"/>
          <w:szCs w:val="24"/>
        </w:rPr>
      </w:pPr>
    </w:p>
    <w:p w:rsidR="00525419" w:rsidRDefault="00525419">
      <w:pPr>
        <w:pStyle w:val="a2"/>
        <w:ind w:firstLine="482"/>
        <w:rPr>
          <w:rFonts w:eastAsia="宋体"/>
          <w:b/>
          <w:sz w:val="24"/>
          <w:szCs w:val="24"/>
        </w:rPr>
      </w:pPr>
    </w:p>
    <w:p w:rsidR="00525419" w:rsidRDefault="00525419">
      <w:pPr>
        <w:pStyle w:val="a2"/>
        <w:ind w:firstLine="482"/>
        <w:rPr>
          <w:rFonts w:eastAsia="宋体"/>
          <w:b/>
          <w:sz w:val="24"/>
          <w:szCs w:val="24"/>
        </w:rPr>
      </w:pPr>
    </w:p>
    <w:p w:rsidR="00525419" w:rsidRDefault="00525419">
      <w:pPr>
        <w:pStyle w:val="a2"/>
        <w:ind w:firstLine="482"/>
        <w:rPr>
          <w:rFonts w:eastAsia="宋体"/>
          <w:b/>
          <w:sz w:val="24"/>
          <w:szCs w:val="24"/>
        </w:rPr>
      </w:pPr>
    </w:p>
    <w:p w:rsidR="00525419" w:rsidRDefault="00EE1CF7">
      <w:pPr>
        <w:pStyle w:val="a2"/>
        <w:ind w:firstLineChars="1000" w:firstLine="2409"/>
        <w:rPr>
          <w:rFonts w:eastAsia="宋体"/>
          <w:b/>
          <w:sz w:val="24"/>
          <w:szCs w:val="24"/>
        </w:rPr>
      </w:pPr>
      <w:r>
        <w:rPr>
          <w:rFonts w:eastAsia="宋体"/>
          <w:b/>
          <w:sz w:val="24"/>
          <w:szCs w:val="24"/>
        </w:rPr>
        <w:t>图</w:t>
      </w:r>
      <w:r>
        <w:rPr>
          <w:rFonts w:eastAsia="宋体"/>
          <w:b/>
          <w:sz w:val="24"/>
          <w:szCs w:val="24"/>
        </w:rPr>
        <w:t>6.3-1</w:t>
      </w:r>
      <w:r>
        <w:rPr>
          <w:rFonts w:eastAsia="宋体"/>
          <w:b/>
          <w:sz w:val="24"/>
          <w:szCs w:val="24"/>
        </w:rPr>
        <w:t xml:space="preserve">　　厂区防渗分区图</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）防渗标准</w:t>
      </w:r>
    </w:p>
    <w:p w:rsidR="00525419" w:rsidRDefault="00EE1CF7">
      <w:pPr>
        <w:widowControl/>
        <w:spacing w:line="360" w:lineRule="auto"/>
        <w:ind w:firstLineChars="200" w:firstLine="472"/>
        <w:jc w:val="left"/>
        <w:rPr>
          <w:rFonts w:ascii="Times New Roman" w:hAnsi="Times New Roman"/>
          <w:spacing w:val="-2"/>
          <w:kern w:val="0"/>
          <w:sz w:val="24"/>
          <w:szCs w:val="24"/>
        </w:rPr>
      </w:pPr>
      <w:r>
        <w:rPr>
          <w:rFonts w:ascii="Times New Roman" w:hAnsi="Times New Roman"/>
          <w:spacing w:val="-2"/>
          <w:kern w:val="0"/>
          <w:sz w:val="24"/>
          <w:szCs w:val="24"/>
        </w:rPr>
        <w:t>防渗工程的设计标准应符合下列要求：</w:t>
      </w:r>
    </w:p>
    <w:p w:rsidR="00525419" w:rsidRDefault="00EE1CF7">
      <w:pPr>
        <w:widowControl/>
        <w:spacing w:line="360" w:lineRule="auto"/>
        <w:ind w:firstLineChars="200" w:firstLine="472"/>
        <w:jc w:val="left"/>
        <w:rPr>
          <w:rFonts w:ascii="Times New Roman" w:hAnsi="Times New Roman"/>
          <w:spacing w:val="-2"/>
          <w:kern w:val="0"/>
          <w:sz w:val="24"/>
          <w:szCs w:val="24"/>
        </w:rPr>
      </w:pPr>
      <w:r>
        <w:rPr>
          <w:rFonts w:ascii="Times New Roman" w:hAnsi="Times New Roman"/>
          <w:spacing w:val="-2"/>
          <w:kern w:val="0"/>
          <w:sz w:val="24"/>
          <w:szCs w:val="24"/>
        </w:rPr>
        <w:t>①</w:t>
      </w:r>
      <w:r>
        <w:rPr>
          <w:rFonts w:ascii="Times New Roman" w:hAnsi="Times New Roman"/>
          <w:spacing w:val="-2"/>
          <w:kern w:val="0"/>
          <w:sz w:val="24"/>
          <w:szCs w:val="24"/>
        </w:rPr>
        <w:t>石油化工防渗工程的设计使用年限宜按</w:t>
      </w:r>
      <w:r>
        <w:rPr>
          <w:rFonts w:ascii="Times New Roman" w:hAnsi="Times New Roman"/>
          <w:spacing w:val="-2"/>
          <w:kern w:val="0"/>
          <w:sz w:val="24"/>
          <w:szCs w:val="24"/>
        </w:rPr>
        <w:t>50</w:t>
      </w:r>
      <w:r>
        <w:rPr>
          <w:rFonts w:ascii="Times New Roman" w:hAnsi="Times New Roman"/>
          <w:spacing w:val="-2"/>
          <w:kern w:val="0"/>
          <w:sz w:val="24"/>
          <w:szCs w:val="24"/>
        </w:rPr>
        <w:t>年进行设计。</w:t>
      </w:r>
    </w:p>
    <w:p w:rsidR="00525419" w:rsidRDefault="00EE1CF7">
      <w:pPr>
        <w:autoSpaceDE w:val="0"/>
        <w:autoSpaceDN w:val="0"/>
        <w:adjustRightInd w:val="0"/>
        <w:spacing w:line="360" w:lineRule="auto"/>
        <w:ind w:firstLineChars="200" w:firstLine="472"/>
        <w:rPr>
          <w:rFonts w:ascii="Times New Roman" w:hAnsi="Times New Roman"/>
          <w:spacing w:val="-2"/>
          <w:kern w:val="0"/>
          <w:sz w:val="24"/>
          <w:szCs w:val="24"/>
        </w:rPr>
      </w:pPr>
      <w:r>
        <w:rPr>
          <w:rFonts w:ascii="Times New Roman" w:hAnsi="Times New Roman"/>
          <w:spacing w:val="-2"/>
          <w:kern w:val="0"/>
          <w:sz w:val="24"/>
          <w:szCs w:val="24"/>
        </w:rPr>
        <w:t>②</w:t>
      </w:r>
      <w:r>
        <w:rPr>
          <w:rFonts w:ascii="Times New Roman" w:hAnsi="Times New Roman"/>
          <w:spacing w:val="-2"/>
          <w:kern w:val="0"/>
          <w:sz w:val="24"/>
          <w:szCs w:val="24"/>
        </w:rPr>
        <w:t>污染防治区应设置防渗层，防渗层的渗透系数不应大于</w:t>
      </w:r>
      <w:r>
        <w:rPr>
          <w:rFonts w:ascii="Times New Roman" w:hAnsi="Times New Roman"/>
          <w:spacing w:val="-2"/>
          <w:kern w:val="0"/>
          <w:sz w:val="24"/>
          <w:szCs w:val="24"/>
        </w:rPr>
        <w:t>1.0×10</w:t>
      </w:r>
      <w:r>
        <w:rPr>
          <w:rFonts w:ascii="Times New Roman" w:hAnsi="Times New Roman"/>
          <w:spacing w:val="-2"/>
          <w:kern w:val="0"/>
          <w:sz w:val="24"/>
          <w:szCs w:val="24"/>
          <w:vertAlign w:val="superscript"/>
        </w:rPr>
        <w:t>-7</w:t>
      </w:r>
      <w:r>
        <w:rPr>
          <w:rFonts w:ascii="Times New Roman" w:hAnsi="Times New Roman"/>
          <w:spacing w:val="-2"/>
          <w:kern w:val="0"/>
          <w:sz w:val="24"/>
          <w:szCs w:val="24"/>
        </w:rPr>
        <w:t>cm/s</w:t>
      </w:r>
      <w:r>
        <w:rPr>
          <w:rFonts w:ascii="Times New Roman" w:hAnsi="Times New Roman"/>
          <w:spacing w:val="-2"/>
          <w:kern w:val="0"/>
          <w:sz w:val="24"/>
          <w:szCs w:val="24"/>
        </w:rPr>
        <w:t>。一般污染防治区的防渗性能应与</w:t>
      </w:r>
      <w:r>
        <w:rPr>
          <w:rFonts w:ascii="Times New Roman" w:hAnsi="Times New Roman"/>
          <w:spacing w:val="-2"/>
          <w:kern w:val="0"/>
          <w:sz w:val="24"/>
          <w:szCs w:val="24"/>
        </w:rPr>
        <w:t>1.5m</w:t>
      </w:r>
      <w:r>
        <w:rPr>
          <w:rFonts w:ascii="Times New Roman" w:hAnsi="Times New Roman"/>
          <w:spacing w:val="-2"/>
          <w:kern w:val="0"/>
          <w:sz w:val="24"/>
          <w:szCs w:val="24"/>
        </w:rPr>
        <w:t>厚粘土层（渗透系数</w:t>
      </w:r>
      <w:r>
        <w:rPr>
          <w:rFonts w:ascii="Times New Roman" w:hAnsi="Times New Roman"/>
          <w:spacing w:val="-2"/>
          <w:kern w:val="0"/>
          <w:sz w:val="24"/>
          <w:szCs w:val="24"/>
        </w:rPr>
        <w:t>1.0×10</w:t>
      </w:r>
      <w:r>
        <w:rPr>
          <w:rFonts w:ascii="Times New Roman" w:hAnsi="Times New Roman"/>
          <w:spacing w:val="-2"/>
          <w:kern w:val="0"/>
          <w:sz w:val="24"/>
          <w:szCs w:val="24"/>
          <w:vertAlign w:val="superscript"/>
        </w:rPr>
        <w:t>-7</w:t>
      </w:r>
      <w:r>
        <w:rPr>
          <w:rFonts w:ascii="Times New Roman" w:hAnsi="Times New Roman"/>
          <w:spacing w:val="-2"/>
          <w:kern w:val="0"/>
          <w:sz w:val="24"/>
          <w:szCs w:val="24"/>
        </w:rPr>
        <w:t>cm/s</w:t>
      </w:r>
      <w:r>
        <w:rPr>
          <w:rFonts w:ascii="Times New Roman" w:hAnsi="Times New Roman"/>
          <w:spacing w:val="-2"/>
          <w:kern w:val="0"/>
          <w:sz w:val="24"/>
          <w:szCs w:val="24"/>
        </w:rPr>
        <w:t>）等效；重点污染防治区的防渗性能应与</w:t>
      </w:r>
      <w:r>
        <w:rPr>
          <w:rFonts w:ascii="Times New Roman" w:hAnsi="Times New Roman"/>
          <w:spacing w:val="-2"/>
          <w:kern w:val="0"/>
          <w:sz w:val="24"/>
          <w:szCs w:val="24"/>
        </w:rPr>
        <w:t>6.0m</w:t>
      </w:r>
      <w:r>
        <w:rPr>
          <w:rFonts w:ascii="Times New Roman" w:hAnsi="Times New Roman"/>
          <w:spacing w:val="-2"/>
          <w:kern w:val="0"/>
          <w:sz w:val="24"/>
          <w:szCs w:val="24"/>
        </w:rPr>
        <w:t>厚粘土层（渗透系数</w:t>
      </w:r>
      <w:r>
        <w:rPr>
          <w:rFonts w:ascii="Times New Roman" w:hAnsi="Times New Roman"/>
          <w:spacing w:val="-2"/>
          <w:kern w:val="0"/>
          <w:sz w:val="24"/>
          <w:szCs w:val="24"/>
        </w:rPr>
        <w:t>1.0×10</w:t>
      </w:r>
      <w:r>
        <w:rPr>
          <w:rFonts w:ascii="Times New Roman" w:hAnsi="Times New Roman"/>
          <w:spacing w:val="-2"/>
          <w:kern w:val="0"/>
          <w:sz w:val="24"/>
          <w:szCs w:val="24"/>
          <w:vertAlign w:val="superscript"/>
        </w:rPr>
        <w:t>-7</w:t>
      </w:r>
      <w:r>
        <w:rPr>
          <w:rFonts w:ascii="Times New Roman" w:hAnsi="Times New Roman"/>
          <w:spacing w:val="-2"/>
          <w:kern w:val="0"/>
          <w:sz w:val="24"/>
          <w:szCs w:val="24"/>
        </w:rPr>
        <w:t>cm/s</w:t>
      </w:r>
      <w:r>
        <w:rPr>
          <w:rFonts w:ascii="Times New Roman" w:hAnsi="Times New Roman"/>
          <w:spacing w:val="-2"/>
          <w:kern w:val="0"/>
          <w:sz w:val="24"/>
          <w:szCs w:val="24"/>
        </w:rPr>
        <w:t>）等效。</w:t>
      </w:r>
    </w:p>
    <w:p w:rsidR="00525419" w:rsidRDefault="00EE1CF7">
      <w:pPr>
        <w:autoSpaceDE w:val="0"/>
        <w:autoSpaceDN w:val="0"/>
        <w:adjustRightInd w:val="0"/>
        <w:spacing w:line="360" w:lineRule="auto"/>
        <w:ind w:firstLineChars="200" w:firstLine="472"/>
        <w:rPr>
          <w:rFonts w:ascii="Times New Roman" w:hAnsi="Times New Roman"/>
          <w:spacing w:val="-2"/>
          <w:kern w:val="0"/>
          <w:sz w:val="24"/>
          <w:szCs w:val="24"/>
          <w:lang w:val="zh-CN"/>
        </w:rPr>
      </w:pPr>
      <w:r>
        <w:rPr>
          <w:rFonts w:ascii="Times New Roman" w:hAnsi="Times New Roman"/>
          <w:spacing w:val="-2"/>
          <w:kern w:val="0"/>
          <w:sz w:val="24"/>
          <w:szCs w:val="24"/>
        </w:rPr>
        <w:t>③</w:t>
      </w:r>
      <w:r>
        <w:rPr>
          <w:rFonts w:ascii="Times New Roman" w:hAnsi="Times New Roman"/>
          <w:spacing w:val="-2"/>
          <w:kern w:val="0"/>
          <w:sz w:val="24"/>
          <w:szCs w:val="24"/>
        </w:rPr>
        <w:t>简单防渗区</w:t>
      </w:r>
      <w:r>
        <w:rPr>
          <w:rFonts w:ascii="Times New Roman" w:hAnsi="Times New Roman"/>
          <w:spacing w:val="-2"/>
          <w:kern w:val="0"/>
          <w:sz w:val="24"/>
          <w:szCs w:val="24"/>
          <w:lang w:val="zh-CN"/>
        </w:rPr>
        <w:t>按常规建筑结构要求进行地面处理。</w:t>
      </w:r>
    </w:p>
    <w:p w:rsidR="00525419" w:rsidRDefault="00EE1CF7">
      <w:pPr>
        <w:autoSpaceDE w:val="0"/>
        <w:autoSpaceDN w:val="0"/>
        <w:adjustRightInd w:val="0"/>
        <w:spacing w:line="360" w:lineRule="auto"/>
        <w:ind w:firstLineChars="200" w:firstLine="480"/>
        <w:rPr>
          <w:rFonts w:ascii="Times New Roman" w:hAnsi="Times New Roman"/>
          <w:sz w:val="24"/>
          <w:lang w:val="zh-CN"/>
        </w:rPr>
      </w:pPr>
      <w:r>
        <w:rPr>
          <w:rFonts w:ascii="Times New Roman" w:hAnsi="Times New Roman"/>
          <w:sz w:val="24"/>
          <w:lang w:val="zh-CN"/>
        </w:rPr>
        <w:t>防渗结构要求见表</w:t>
      </w:r>
      <w:r>
        <w:rPr>
          <w:rFonts w:ascii="Times New Roman" w:hAnsi="Times New Roman"/>
          <w:sz w:val="24"/>
          <w:lang w:val="zh-CN"/>
        </w:rPr>
        <w:t>6.</w:t>
      </w:r>
      <w:r>
        <w:rPr>
          <w:rFonts w:ascii="Times New Roman" w:hAnsi="Times New Roman"/>
          <w:sz w:val="24"/>
        </w:rPr>
        <w:t>3</w:t>
      </w:r>
      <w:r>
        <w:rPr>
          <w:rFonts w:ascii="Times New Roman" w:hAnsi="Times New Roman"/>
          <w:sz w:val="24"/>
          <w:lang w:val="zh-CN"/>
        </w:rPr>
        <w:t>-2</w:t>
      </w:r>
      <w:r>
        <w:rPr>
          <w:rFonts w:ascii="Times New Roman" w:hAnsi="Times New Roman"/>
          <w:sz w:val="24"/>
          <w:lang w:val="zh-CN"/>
        </w:rPr>
        <w:t>。</w:t>
      </w:r>
    </w:p>
    <w:p w:rsidR="00525419" w:rsidRDefault="00EE1CF7">
      <w:pPr>
        <w:spacing w:line="240" w:lineRule="atLeast"/>
        <w:ind w:firstLineChars="1600" w:firstLine="3360"/>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6.3-2   </w:t>
      </w:r>
      <w:r>
        <w:rPr>
          <w:rFonts w:ascii="Times New Roman" w:eastAsia="黑体" w:hAnsi="Times New Roman"/>
          <w:szCs w:val="21"/>
        </w:rPr>
        <w:t>典型防渗结构</w:t>
      </w:r>
    </w:p>
    <w:tbl>
      <w:tblPr>
        <w:tblW w:w="83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30"/>
        <w:gridCol w:w="1381"/>
        <w:gridCol w:w="5305"/>
      </w:tblGrid>
      <w:tr w:rsidR="00525419">
        <w:trPr>
          <w:trHeight w:val="243"/>
        </w:trPr>
        <w:tc>
          <w:tcPr>
            <w:tcW w:w="3011" w:type="dxa"/>
            <w:gridSpan w:val="2"/>
            <w:tcBorders>
              <w:tl2br w:val="nil"/>
              <w:tr2bl w:val="nil"/>
            </w:tcBorders>
            <w:tcMar>
              <w:left w:w="0" w:type="dxa"/>
              <w:right w:w="0" w:type="dxa"/>
            </w:tcMar>
            <w:vAlign w:val="center"/>
          </w:tcPr>
          <w:p w:rsidR="00525419" w:rsidRDefault="00EE1CF7">
            <w:pPr>
              <w:pStyle w:val="4fff2"/>
              <w:snapToGrid w:val="0"/>
              <w:spacing w:after="0" w:line="240" w:lineRule="exact"/>
              <w:ind w:leftChars="0" w:left="0"/>
              <w:jc w:val="center"/>
              <w:rPr>
                <w:sz w:val="18"/>
                <w:szCs w:val="18"/>
              </w:rPr>
            </w:pPr>
            <w:r>
              <w:rPr>
                <w:sz w:val="18"/>
                <w:szCs w:val="18"/>
              </w:rPr>
              <w:t>型式</w:t>
            </w:r>
          </w:p>
        </w:tc>
        <w:tc>
          <w:tcPr>
            <w:tcW w:w="5305" w:type="dxa"/>
            <w:tcBorders>
              <w:tl2br w:val="nil"/>
              <w:tr2bl w:val="nil"/>
            </w:tcBorders>
            <w:tcMar>
              <w:left w:w="0" w:type="dxa"/>
              <w:right w:w="0" w:type="dxa"/>
            </w:tcMar>
            <w:vAlign w:val="center"/>
          </w:tcPr>
          <w:p w:rsidR="00525419" w:rsidRDefault="00EE1CF7">
            <w:pPr>
              <w:pStyle w:val="4fff2"/>
              <w:snapToGrid w:val="0"/>
              <w:spacing w:after="0" w:line="240" w:lineRule="exact"/>
              <w:ind w:leftChars="0" w:left="0"/>
              <w:jc w:val="center"/>
              <w:rPr>
                <w:sz w:val="18"/>
                <w:szCs w:val="18"/>
              </w:rPr>
            </w:pPr>
            <w:r>
              <w:rPr>
                <w:sz w:val="18"/>
                <w:szCs w:val="18"/>
              </w:rPr>
              <w:t>说</w:t>
            </w:r>
            <w:r>
              <w:rPr>
                <w:sz w:val="18"/>
                <w:szCs w:val="18"/>
              </w:rPr>
              <w:t xml:space="preserve">  </w:t>
            </w:r>
            <w:r>
              <w:rPr>
                <w:sz w:val="18"/>
                <w:szCs w:val="18"/>
              </w:rPr>
              <w:t>明</w:t>
            </w:r>
          </w:p>
        </w:tc>
      </w:tr>
      <w:tr w:rsidR="00525419">
        <w:tc>
          <w:tcPr>
            <w:tcW w:w="1630" w:type="dxa"/>
            <w:vMerge w:val="restart"/>
            <w:tcBorders>
              <w:tl2br w:val="nil"/>
              <w:tr2bl w:val="nil"/>
            </w:tcBorders>
            <w:tcMar>
              <w:left w:w="0" w:type="dxa"/>
              <w:right w:w="0" w:type="dxa"/>
            </w:tcMar>
            <w:vAlign w:val="center"/>
          </w:tcPr>
          <w:p w:rsidR="00525419" w:rsidRDefault="00EE1CF7">
            <w:pPr>
              <w:pStyle w:val="4fff2"/>
              <w:snapToGrid w:val="0"/>
              <w:spacing w:after="0" w:line="240" w:lineRule="exact"/>
              <w:ind w:leftChars="0" w:left="0"/>
              <w:jc w:val="center"/>
              <w:rPr>
                <w:sz w:val="18"/>
                <w:szCs w:val="18"/>
              </w:rPr>
            </w:pPr>
            <w:r>
              <w:rPr>
                <w:sz w:val="18"/>
                <w:szCs w:val="18"/>
              </w:rPr>
              <w:t>重点污染防治区</w:t>
            </w:r>
          </w:p>
          <w:p w:rsidR="00525419" w:rsidRDefault="00525419">
            <w:pPr>
              <w:pStyle w:val="4fff2"/>
              <w:snapToGrid w:val="0"/>
              <w:spacing w:after="0" w:line="240" w:lineRule="exact"/>
              <w:ind w:leftChars="0" w:left="0"/>
              <w:jc w:val="center"/>
              <w:rPr>
                <w:sz w:val="18"/>
                <w:szCs w:val="18"/>
              </w:rPr>
            </w:pPr>
          </w:p>
        </w:tc>
        <w:tc>
          <w:tcPr>
            <w:tcW w:w="1381" w:type="dxa"/>
            <w:tcBorders>
              <w:tl2br w:val="nil"/>
              <w:tr2bl w:val="nil"/>
            </w:tcBorders>
            <w:tcMar>
              <w:left w:w="0" w:type="dxa"/>
              <w:right w:w="0" w:type="dxa"/>
            </w:tcMar>
            <w:vAlign w:val="center"/>
          </w:tcPr>
          <w:p w:rsidR="00525419" w:rsidRDefault="00EE1CF7">
            <w:pPr>
              <w:pStyle w:val="4fff2"/>
              <w:snapToGrid w:val="0"/>
              <w:spacing w:after="0" w:line="240" w:lineRule="exact"/>
              <w:ind w:leftChars="0" w:left="0"/>
              <w:jc w:val="center"/>
              <w:rPr>
                <w:sz w:val="18"/>
                <w:szCs w:val="18"/>
              </w:rPr>
            </w:pPr>
            <w:r>
              <w:rPr>
                <w:sz w:val="18"/>
                <w:szCs w:val="18"/>
              </w:rPr>
              <w:t>刚性防渗结构</w:t>
            </w:r>
          </w:p>
        </w:tc>
        <w:tc>
          <w:tcPr>
            <w:tcW w:w="5305" w:type="dxa"/>
            <w:tcBorders>
              <w:tl2br w:val="nil"/>
              <w:tr2bl w:val="nil"/>
            </w:tcBorders>
            <w:tcMar>
              <w:left w:w="0" w:type="dxa"/>
              <w:right w:w="0" w:type="dxa"/>
            </w:tcMar>
            <w:vAlign w:val="center"/>
          </w:tcPr>
          <w:p w:rsidR="00525419" w:rsidRDefault="00EE1CF7">
            <w:pPr>
              <w:pStyle w:val="4fff2"/>
              <w:snapToGrid w:val="0"/>
              <w:spacing w:after="0" w:line="240" w:lineRule="exact"/>
              <w:ind w:leftChars="0" w:left="0"/>
              <w:jc w:val="center"/>
              <w:rPr>
                <w:sz w:val="18"/>
                <w:szCs w:val="18"/>
              </w:rPr>
            </w:pPr>
            <w:r>
              <w:rPr>
                <w:sz w:val="18"/>
                <w:szCs w:val="18"/>
              </w:rPr>
              <w:t>厚度不小于</w:t>
            </w:r>
            <w:r>
              <w:rPr>
                <w:sz w:val="18"/>
                <w:szCs w:val="18"/>
              </w:rPr>
              <w:t>150mm</w:t>
            </w:r>
            <w:r>
              <w:rPr>
                <w:sz w:val="18"/>
                <w:szCs w:val="18"/>
              </w:rPr>
              <w:t>水泥基渗透结晶型抗渗混凝土</w:t>
            </w:r>
            <w:r>
              <w:rPr>
                <w:sz w:val="18"/>
                <w:szCs w:val="18"/>
              </w:rPr>
              <w:t>+</w:t>
            </w:r>
            <w:r>
              <w:rPr>
                <w:sz w:val="18"/>
                <w:szCs w:val="18"/>
              </w:rPr>
              <w:t>厚度不低于</w:t>
            </w:r>
            <w:r>
              <w:rPr>
                <w:sz w:val="18"/>
                <w:szCs w:val="18"/>
              </w:rPr>
              <w:t>0</w:t>
            </w:r>
            <w:r>
              <w:rPr>
                <w:sz w:val="18"/>
                <w:szCs w:val="18"/>
              </w:rPr>
              <w:t>．</w:t>
            </w:r>
            <w:r>
              <w:rPr>
                <w:sz w:val="18"/>
                <w:szCs w:val="18"/>
              </w:rPr>
              <w:t>8mm</w:t>
            </w:r>
            <w:r>
              <w:rPr>
                <w:sz w:val="18"/>
                <w:szCs w:val="18"/>
              </w:rPr>
              <w:t>水泥基渗透结晶型抗渗涂层</w:t>
            </w:r>
          </w:p>
        </w:tc>
      </w:tr>
      <w:tr w:rsidR="00525419">
        <w:tc>
          <w:tcPr>
            <w:tcW w:w="1630" w:type="dxa"/>
            <w:vMerge/>
            <w:tcBorders>
              <w:tl2br w:val="nil"/>
              <w:tr2bl w:val="nil"/>
            </w:tcBorders>
            <w:tcMar>
              <w:left w:w="0" w:type="dxa"/>
              <w:right w:w="0" w:type="dxa"/>
            </w:tcMar>
            <w:vAlign w:val="center"/>
          </w:tcPr>
          <w:p w:rsidR="00525419" w:rsidRDefault="00525419">
            <w:pPr>
              <w:pStyle w:val="4fff2"/>
              <w:snapToGrid w:val="0"/>
              <w:spacing w:after="0" w:line="240" w:lineRule="exact"/>
              <w:ind w:leftChars="0" w:left="0"/>
              <w:jc w:val="center"/>
              <w:rPr>
                <w:sz w:val="18"/>
                <w:szCs w:val="18"/>
              </w:rPr>
            </w:pPr>
          </w:p>
        </w:tc>
        <w:tc>
          <w:tcPr>
            <w:tcW w:w="1381" w:type="dxa"/>
            <w:tcBorders>
              <w:tl2br w:val="nil"/>
              <w:tr2bl w:val="nil"/>
            </w:tcBorders>
            <w:tcMar>
              <w:left w:w="0" w:type="dxa"/>
              <w:right w:w="0" w:type="dxa"/>
            </w:tcMar>
            <w:vAlign w:val="center"/>
          </w:tcPr>
          <w:p w:rsidR="00525419" w:rsidRDefault="00EE1CF7">
            <w:pPr>
              <w:pStyle w:val="4fff2"/>
              <w:snapToGrid w:val="0"/>
              <w:spacing w:after="0" w:line="240" w:lineRule="exact"/>
              <w:ind w:leftChars="0" w:left="0"/>
              <w:jc w:val="center"/>
              <w:rPr>
                <w:sz w:val="18"/>
                <w:szCs w:val="18"/>
              </w:rPr>
            </w:pPr>
            <w:r>
              <w:rPr>
                <w:sz w:val="18"/>
                <w:szCs w:val="18"/>
              </w:rPr>
              <w:t>复合防渗结构</w:t>
            </w:r>
          </w:p>
        </w:tc>
        <w:tc>
          <w:tcPr>
            <w:tcW w:w="5305" w:type="dxa"/>
            <w:tcBorders>
              <w:tl2br w:val="nil"/>
              <w:tr2bl w:val="nil"/>
            </w:tcBorders>
            <w:tcMar>
              <w:left w:w="0" w:type="dxa"/>
              <w:right w:w="0" w:type="dxa"/>
            </w:tcMar>
            <w:vAlign w:val="center"/>
          </w:tcPr>
          <w:p w:rsidR="00525419" w:rsidRDefault="00EE1CF7">
            <w:pPr>
              <w:pStyle w:val="4fff2"/>
              <w:snapToGrid w:val="0"/>
              <w:spacing w:after="0" w:line="240" w:lineRule="exact"/>
              <w:ind w:leftChars="0" w:left="0"/>
              <w:jc w:val="center"/>
              <w:rPr>
                <w:sz w:val="18"/>
                <w:szCs w:val="18"/>
              </w:rPr>
            </w:pPr>
            <w:r>
              <w:rPr>
                <w:sz w:val="18"/>
                <w:szCs w:val="18"/>
              </w:rPr>
              <w:t>厚度不低于</w:t>
            </w:r>
            <w:r>
              <w:rPr>
                <w:sz w:val="18"/>
                <w:szCs w:val="18"/>
              </w:rPr>
              <w:t>1.5mm</w:t>
            </w:r>
            <w:r>
              <w:rPr>
                <w:sz w:val="18"/>
                <w:szCs w:val="18"/>
              </w:rPr>
              <w:t>土工膜</w:t>
            </w:r>
            <w:r>
              <w:rPr>
                <w:sz w:val="18"/>
                <w:szCs w:val="18"/>
              </w:rPr>
              <w:t>+</w:t>
            </w:r>
            <w:r>
              <w:rPr>
                <w:sz w:val="18"/>
                <w:szCs w:val="18"/>
              </w:rPr>
              <w:t>厚度不小于</w:t>
            </w:r>
            <w:r>
              <w:rPr>
                <w:sz w:val="18"/>
                <w:szCs w:val="18"/>
              </w:rPr>
              <w:t>100mm</w:t>
            </w:r>
            <w:r>
              <w:rPr>
                <w:sz w:val="18"/>
                <w:szCs w:val="18"/>
              </w:rPr>
              <w:t>水泥基渗透结晶型抗渗混凝土，抗渗混凝土渗漏系数不大于</w:t>
            </w:r>
            <w:r>
              <w:rPr>
                <w:sz w:val="18"/>
                <w:szCs w:val="18"/>
              </w:rPr>
              <w:t>1×10</w:t>
            </w:r>
            <w:r>
              <w:rPr>
                <w:sz w:val="18"/>
                <w:szCs w:val="18"/>
                <w:vertAlign w:val="superscript"/>
              </w:rPr>
              <w:t>-6</w:t>
            </w:r>
            <w:r>
              <w:rPr>
                <w:sz w:val="18"/>
                <w:szCs w:val="18"/>
              </w:rPr>
              <w:t>cm</w:t>
            </w:r>
            <w:r>
              <w:rPr>
                <w:sz w:val="18"/>
                <w:szCs w:val="18"/>
              </w:rPr>
              <w:t>／</w:t>
            </w:r>
            <w:r>
              <w:rPr>
                <w:sz w:val="18"/>
                <w:szCs w:val="18"/>
              </w:rPr>
              <w:t>s</w:t>
            </w:r>
          </w:p>
        </w:tc>
      </w:tr>
      <w:tr w:rsidR="00525419">
        <w:tc>
          <w:tcPr>
            <w:tcW w:w="1630" w:type="dxa"/>
            <w:vMerge w:val="restart"/>
            <w:tcBorders>
              <w:tl2br w:val="nil"/>
              <w:tr2bl w:val="nil"/>
            </w:tcBorders>
            <w:tcMar>
              <w:left w:w="0" w:type="dxa"/>
              <w:right w:w="0" w:type="dxa"/>
            </w:tcMar>
            <w:vAlign w:val="center"/>
          </w:tcPr>
          <w:p w:rsidR="00525419" w:rsidRDefault="00EE1CF7">
            <w:pPr>
              <w:pStyle w:val="4fff2"/>
              <w:snapToGrid w:val="0"/>
              <w:spacing w:after="0" w:line="240" w:lineRule="exact"/>
              <w:ind w:leftChars="0" w:left="0"/>
              <w:jc w:val="center"/>
              <w:rPr>
                <w:sz w:val="18"/>
                <w:szCs w:val="18"/>
              </w:rPr>
            </w:pPr>
            <w:r>
              <w:rPr>
                <w:sz w:val="18"/>
                <w:szCs w:val="18"/>
              </w:rPr>
              <w:t>一般污染防治区</w:t>
            </w:r>
          </w:p>
          <w:p w:rsidR="00525419" w:rsidRDefault="00525419">
            <w:pPr>
              <w:pStyle w:val="4fff2"/>
              <w:snapToGrid w:val="0"/>
              <w:spacing w:after="0" w:line="240" w:lineRule="exact"/>
              <w:ind w:leftChars="0" w:left="0"/>
              <w:jc w:val="center"/>
              <w:rPr>
                <w:sz w:val="18"/>
                <w:szCs w:val="18"/>
              </w:rPr>
            </w:pPr>
          </w:p>
        </w:tc>
        <w:tc>
          <w:tcPr>
            <w:tcW w:w="1381" w:type="dxa"/>
            <w:tcBorders>
              <w:tl2br w:val="nil"/>
              <w:tr2bl w:val="nil"/>
            </w:tcBorders>
            <w:tcMar>
              <w:left w:w="0" w:type="dxa"/>
              <w:right w:w="0" w:type="dxa"/>
            </w:tcMar>
            <w:vAlign w:val="center"/>
          </w:tcPr>
          <w:p w:rsidR="00525419" w:rsidRDefault="00EE1CF7">
            <w:pPr>
              <w:pStyle w:val="4fff2"/>
              <w:snapToGrid w:val="0"/>
              <w:spacing w:after="0" w:line="240" w:lineRule="exact"/>
              <w:ind w:leftChars="0" w:left="0"/>
              <w:jc w:val="center"/>
              <w:rPr>
                <w:sz w:val="18"/>
                <w:szCs w:val="18"/>
              </w:rPr>
            </w:pPr>
            <w:r>
              <w:rPr>
                <w:sz w:val="18"/>
                <w:szCs w:val="18"/>
              </w:rPr>
              <w:t>刚性防渗结构</w:t>
            </w:r>
          </w:p>
        </w:tc>
        <w:tc>
          <w:tcPr>
            <w:tcW w:w="5305" w:type="dxa"/>
            <w:tcBorders>
              <w:tl2br w:val="nil"/>
              <w:tr2bl w:val="nil"/>
            </w:tcBorders>
            <w:tcMar>
              <w:left w:w="0" w:type="dxa"/>
              <w:right w:w="0" w:type="dxa"/>
            </w:tcMar>
            <w:vAlign w:val="center"/>
          </w:tcPr>
          <w:p w:rsidR="00525419" w:rsidRDefault="00EE1CF7">
            <w:pPr>
              <w:pStyle w:val="4fff2"/>
              <w:snapToGrid w:val="0"/>
              <w:spacing w:after="0" w:line="240" w:lineRule="exact"/>
              <w:ind w:leftChars="0" w:left="0"/>
              <w:jc w:val="center"/>
              <w:rPr>
                <w:sz w:val="18"/>
                <w:szCs w:val="18"/>
              </w:rPr>
            </w:pPr>
            <w:r>
              <w:rPr>
                <w:sz w:val="18"/>
                <w:szCs w:val="18"/>
              </w:rPr>
              <w:t>厚度不小于</w:t>
            </w:r>
            <w:r>
              <w:rPr>
                <w:sz w:val="18"/>
                <w:szCs w:val="18"/>
              </w:rPr>
              <w:t>100mm</w:t>
            </w:r>
            <w:r>
              <w:rPr>
                <w:sz w:val="18"/>
                <w:szCs w:val="18"/>
              </w:rPr>
              <w:t>水泥基渗透结晶型抗渗混凝，防渗结构层渗漏系数渗漏系数不大于</w:t>
            </w:r>
            <w:r>
              <w:rPr>
                <w:sz w:val="18"/>
                <w:szCs w:val="18"/>
              </w:rPr>
              <w:t>1×10</w:t>
            </w:r>
            <w:r>
              <w:rPr>
                <w:sz w:val="18"/>
                <w:szCs w:val="18"/>
                <w:vertAlign w:val="superscript"/>
              </w:rPr>
              <w:t>-8</w:t>
            </w:r>
            <w:r>
              <w:rPr>
                <w:sz w:val="18"/>
                <w:szCs w:val="18"/>
              </w:rPr>
              <w:t>cm</w:t>
            </w:r>
            <w:r>
              <w:rPr>
                <w:sz w:val="18"/>
                <w:szCs w:val="18"/>
              </w:rPr>
              <w:t>／</w:t>
            </w:r>
            <w:r>
              <w:rPr>
                <w:sz w:val="18"/>
                <w:szCs w:val="18"/>
              </w:rPr>
              <w:t>s</w:t>
            </w:r>
          </w:p>
        </w:tc>
      </w:tr>
      <w:tr w:rsidR="00525419">
        <w:tc>
          <w:tcPr>
            <w:tcW w:w="1630" w:type="dxa"/>
            <w:vMerge/>
            <w:tcBorders>
              <w:tl2br w:val="nil"/>
              <w:tr2bl w:val="nil"/>
            </w:tcBorders>
            <w:tcMar>
              <w:left w:w="0" w:type="dxa"/>
              <w:right w:w="0" w:type="dxa"/>
            </w:tcMar>
            <w:vAlign w:val="center"/>
          </w:tcPr>
          <w:p w:rsidR="00525419" w:rsidRDefault="00525419">
            <w:pPr>
              <w:pStyle w:val="4fff2"/>
              <w:snapToGrid w:val="0"/>
              <w:spacing w:after="0" w:line="240" w:lineRule="exact"/>
              <w:ind w:leftChars="0" w:left="0"/>
              <w:jc w:val="center"/>
              <w:rPr>
                <w:sz w:val="18"/>
                <w:szCs w:val="18"/>
              </w:rPr>
            </w:pPr>
          </w:p>
        </w:tc>
        <w:tc>
          <w:tcPr>
            <w:tcW w:w="1381" w:type="dxa"/>
            <w:tcBorders>
              <w:tl2br w:val="nil"/>
              <w:tr2bl w:val="nil"/>
            </w:tcBorders>
            <w:tcMar>
              <w:left w:w="0" w:type="dxa"/>
              <w:right w:w="0" w:type="dxa"/>
            </w:tcMar>
            <w:vAlign w:val="center"/>
          </w:tcPr>
          <w:p w:rsidR="00525419" w:rsidRDefault="00EE1CF7">
            <w:pPr>
              <w:pStyle w:val="4fff2"/>
              <w:snapToGrid w:val="0"/>
              <w:spacing w:after="0" w:line="240" w:lineRule="exact"/>
              <w:ind w:leftChars="0" w:left="0"/>
              <w:jc w:val="center"/>
              <w:rPr>
                <w:sz w:val="18"/>
                <w:szCs w:val="18"/>
              </w:rPr>
            </w:pPr>
            <w:r>
              <w:rPr>
                <w:sz w:val="18"/>
                <w:szCs w:val="18"/>
              </w:rPr>
              <w:t>柔性防渗结构</w:t>
            </w:r>
          </w:p>
        </w:tc>
        <w:tc>
          <w:tcPr>
            <w:tcW w:w="5305" w:type="dxa"/>
            <w:tcBorders>
              <w:tl2br w:val="nil"/>
              <w:tr2bl w:val="nil"/>
            </w:tcBorders>
            <w:tcMar>
              <w:left w:w="0" w:type="dxa"/>
              <w:right w:w="0" w:type="dxa"/>
            </w:tcMar>
            <w:vAlign w:val="center"/>
          </w:tcPr>
          <w:p w:rsidR="00525419" w:rsidRDefault="00EE1CF7">
            <w:pPr>
              <w:pStyle w:val="4fff2"/>
              <w:snapToGrid w:val="0"/>
              <w:spacing w:after="0" w:line="240" w:lineRule="exact"/>
              <w:ind w:leftChars="0" w:left="0"/>
              <w:jc w:val="center"/>
              <w:rPr>
                <w:sz w:val="18"/>
                <w:szCs w:val="18"/>
              </w:rPr>
            </w:pPr>
            <w:r>
              <w:rPr>
                <w:sz w:val="18"/>
                <w:szCs w:val="18"/>
              </w:rPr>
              <w:t>土工膜及上下保护层结构，土工膜厚度不低于</w:t>
            </w:r>
            <w:r>
              <w:rPr>
                <w:sz w:val="18"/>
                <w:szCs w:val="18"/>
              </w:rPr>
              <w:t>1.5mm</w:t>
            </w:r>
            <w:r>
              <w:rPr>
                <w:sz w:val="18"/>
                <w:szCs w:val="18"/>
              </w:rPr>
              <w:t>，土工布保护层规格不低于</w:t>
            </w:r>
            <w:r>
              <w:rPr>
                <w:sz w:val="18"/>
                <w:szCs w:val="18"/>
              </w:rPr>
              <w:t>600g</w:t>
            </w:r>
            <w:r>
              <w:rPr>
                <w:sz w:val="18"/>
                <w:szCs w:val="18"/>
              </w:rPr>
              <w:t>／</w:t>
            </w:r>
            <w:r>
              <w:rPr>
                <w:sz w:val="18"/>
                <w:szCs w:val="18"/>
              </w:rPr>
              <w:t>m</w:t>
            </w:r>
            <w:r>
              <w:rPr>
                <w:sz w:val="18"/>
                <w:szCs w:val="18"/>
                <w:vertAlign w:val="superscript"/>
              </w:rPr>
              <w:t>2</w:t>
            </w:r>
            <w:r>
              <w:rPr>
                <w:sz w:val="18"/>
                <w:szCs w:val="18"/>
              </w:rPr>
              <w:t>，中细砂或土层做保护层时，厚度不低于</w:t>
            </w:r>
            <w:r>
              <w:rPr>
                <w:sz w:val="18"/>
                <w:szCs w:val="18"/>
              </w:rPr>
              <w:t>20cm</w:t>
            </w:r>
          </w:p>
        </w:tc>
      </w:tr>
    </w:tbl>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6.3.3</w:t>
      </w:r>
      <w:r>
        <w:rPr>
          <w:rFonts w:ascii="Times New Roman" w:eastAsia="华文楷体" w:hAnsi="Times New Roman"/>
        </w:rPr>
        <w:t>设备安装、维修和管理措施</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为减少设施可能滴漏对环境造成污染，建设单位应从设备布置、维修和管理各个方面采取综合措施，保证设施正常运转，减少污染物滴漏量，从源头上减少对地下水污染的可能性。应取以下但不限于以下措施：</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）所有设备、管道、储罐等的布置、安装维修和维护要符合行业标准，采取必要的防渗漏措施。</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）设施的管理、维修实行专门厂长负责、专人专管制度，将环保责任落</w:t>
      </w:r>
      <w:r>
        <w:rPr>
          <w:rFonts w:ascii="Times New Roman" w:hAnsi="Times New Roman"/>
          <w:sz w:val="24"/>
        </w:rPr>
        <w:lastRenderedPageBreak/>
        <w:t>实到人，确保设施的正常运转。</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）全厂各装置之间管道采用架空敷设，便于及时发现渗漏，防止地下水污染。</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）生产装置区域内易产生泄漏的设备应尽可能集中布置，对于易泄漏的区域地面应采用不渗透的建筑材料铺砌地面，并设置围堰。</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）为了防止物料泄漏到地面上，对于储存和输送有毒有害介质的设备和管线排液阀门应设为双阀，设备及管道排放出的各种含有毒有害介质液体，应加以收集，不任意排放。</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6</w:t>
      </w:r>
      <w:r>
        <w:rPr>
          <w:rFonts w:ascii="Times New Roman" w:hAnsi="Times New Roman"/>
          <w:sz w:val="24"/>
        </w:rPr>
        <w:t>）检修、拆卸时必须采取措施，集中收集，不得任意排放，少量残液或冲洗水必须进入围堰内的地漏，集中回收，分质处理。</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7</w:t>
      </w:r>
      <w:r>
        <w:rPr>
          <w:rFonts w:ascii="Times New Roman" w:hAnsi="Times New Roman"/>
          <w:sz w:val="24"/>
        </w:rPr>
        <w:t>）对于各装置污染区域内地面初期雨水、地面冲洗水应全部收集和处置。</w:t>
      </w:r>
    </w:p>
    <w:p w:rsidR="00525419" w:rsidRDefault="00EE1CF7" w:rsidP="00EE1CF7">
      <w:pPr>
        <w:pStyle w:val="3a"/>
        <w:spacing w:beforeLines="50" w:before="166" w:after="156" w:line="360" w:lineRule="auto"/>
        <w:jc w:val="left"/>
        <w:rPr>
          <w:rFonts w:ascii="Times New Roman" w:eastAsia="华文楷体" w:hAnsi="Times New Roman"/>
        </w:rPr>
      </w:pPr>
      <w:bookmarkStart w:id="272" w:name="_Toc484775655"/>
      <w:bookmarkStart w:id="273" w:name="_Toc352019935"/>
      <w:bookmarkStart w:id="274" w:name="_Toc339417170"/>
      <w:bookmarkStart w:id="275" w:name="_Toc248716492"/>
      <w:r>
        <w:rPr>
          <w:rFonts w:ascii="Times New Roman" w:eastAsia="华文楷体" w:hAnsi="Times New Roman"/>
        </w:rPr>
        <w:t>6.3.4</w:t>
      </w:r>
      <w:r>
        <w:rPr>
          <w:rFonts w:ascii="Times New Roman" w:eastAsia="华文楷体" w:hAnsi="Times New Roman"/>
        </w:rPr>
        <w:t>地下水监控管理要求</w:t>
      </w:r>
    </w:p>
    <w:p w:rsidR="00525419" w:rsidRDefault="00EE1CF7">
      <w:pPr>
        <w:spacing w:line="360" w:lineRule="auto"/>
        <w:ind w:firstLineChars="200" w:firstLine="480"/>
        <w:rPr>
          <w:rFonts w:ascii="Times New Roman" w:hAnsi="Times New Roman"/>
        </w:rPr>
      </w:pPr>
      <w:r>
        <w:rPr>
          <w:rFonts w:ascii="Times New Roman" w:hAnsi="Times New Roman"/>
          <w:sz w:val="24"/>
        </w:rPr>
        <w:t>根据《环境影响评价技术导则地下水环境》（</w:t>
      </w:r>
      <w:r>
        <w:rPr>
          <w:rFonts w:ascii="Times New Roman" w:hAnsi="Times New Roman"/>
          <w:sz w:val="24"/>
        </w:rPr>
        <w:t>HJ610-2016</w:t>
      </w:r>
      <w:r>
        <w:rPr>
          <w:rFonts w:ascii="Times New Roman" w:hAnsi="Times New Roman"/>
          <w:sz w:val="24"/>
        </w:rPr>
        <w:t>），本项目需要制定地下水污染监控措施</w:t>
      </w:r>
      <w:r>
        <w:rPr>
          <w:rFonts w:ascii="Times New Roman" w:hAnsi="Times New Roman"/>
        </w:rPr>
        <w:t>：</w:t>
      </w:r>
    </w:p>
    <w:p w:rsidR="00525419" w:rsidRDefault="00EE1CF7">
      <w:pPr>
        <w:numPr>
          <w:ilvl w:val="0"/>
          <w:numId w:val="123"/>
        </w:numPr>
        <w:spacing w:line="360" w:lineRule="auto"/>
        <w:ind w:firstLineChars="200" w:firstLine="480"/>
        <w:rPr>
          <w:rFonts w:ascii="Times New Roman" w:hAnsi="Times New Roman"/>
          <w:sz w:val="24"/>
        </w:rPr>
      </w:pPr>
      <w:r>
        <w:rPr>
          <w:rFonts w:ascii="Times New Roman" w:hAnsi="Times New Roman"/>
          <w:sz w:val="24"/>
        </w:rPr>
        <w:t>地下水监测计划</w:t>
      </w:r>
    </w:p>
    <w:p w:rsidR="00525419" w:rsidRDefault="00EE1CF7">
      <w:pPr>
        <w:autoSpaceDE w:val="0"/>
        <w:autoSpaceDN w:val="0"/>
        <w:adjustRightInd w:val="0"/>
        <w:spacing w:line="360" w:lineRule="auto"/>
        <w:ind w:firstLineChars="200" w:firstLine="480"/>
        <w:textAlignment w:val="baseline"/>
        <w:rPr>
          <w:rFonts w:ascii="Times New Roman" w:hAnsi="Times New Roman"/>
          <w:kern w:val="0"/>
          <w:sz w:val="24"/>
          <w:szCs w:val="24"/>
        </w:rPr>
      </w:pPr>
      <w:r>
        <w:rPr>
          <w:rFonts w:ascii="Times New Roman" w:hAnsi="Times New Roman"/>
          <w:kern w:val="0"/>
          <w:sz w:val="24"/>
          <w:szCs w:val="24"/>
        </w:rPr>
        <w:t>目前尚没有针对建设项目地下水环境监测的法律法规或规程规范，本项目地下水环境监测主要参考《地下水环境监测技术规范》（</w:t>
      </w:r>
      <w:r>
        <w:rPr>
          <w:rFonts w:ascii="Times New Roman" w:hAnsi="Times New Roman"/>
          <w:kern w:val="0"/>
          <w:sz w:val="24"/>
          <w:szCs w:val="24"/>
        </w:rPr>
        <w:t>HJ/T164</w:t>
      </w:r>
      <w:r>
        <w:rPr>
          <w:rFonts w:ascii="Times New Roman" w:hAnsi="Times New Roman"/>
          <w:kern w:val="0"/>
          <w:sz w:val="24"/>
          <w:szCs w:val="24"/>
        </w:rPr>
        <w:t>－</w:t>
      </w:r>
      <w:r>
        <w:rPr>
          <w:rFonts w:ascii="Times New Roman" w:hAnsi="Times New Roman"/>
          <w:kern w:val="0"/>
          <w:sz w:val="24"/>
          <w:szCs w:val="24"/>
        </w:rPr>
        <w:t>2004</w:t>
      </w:r>
      <w:r>
        <w:rPr>
          <w:rFonts w:ascii="Times New Roman" w:hAnsi="Times New Roman"/>
          <w:kern w:val="0"/>
          <w:sz w:val="24"/>
          <w:szCs w:val="24"/>
        </w:rPr>
        <w:t>），结合区域含水层系统和地下水径流系统特征，考虑潜在污染源、环境保护目标等因素，并结合模型模拟预测的结果来布置地下水监测点。</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）监测井布设</w:t>
      </w:r>
    </w:p>
    <w:p w:rsidR="00525419" w:rsidRDefault="00EE1CF7">
      <w:pPr>
        <w:autoSpaceDE w:val="0"/>
        <w:autoSpaceDN w:val="0"/>
        <w:adjustRightInd w:val="0"/>
        <w:spacing w:line="360" w:lineRule="auto"/>
        <w:ind w:firstLineChars="200" w:firstLine="480"/>
        <w:textAlignment w:val="baseline"/>
        <w:rPr>
          <w:rFonts w:ascii="Times New Roman" w:hAnsi="Times New Roman"/>
          <w:kern w:val="0"/>
          <w:sz w:val="24"/>
          <w:szCs w:val="24"/>
        </w:rPr>
      </w:pPr>
      <w:r>
        <w:rPr>
          <w:rFonts w:ascii="Times New Roman" w:hAnsi="Times New Roman"/>
          <w:kern w:val="0"/>
          <w:sz w:val="24"/>
          <w:szCs w:val="24"/>
        </w:rPr>
        <w:t>依据地下水监测原则，结合区域水文地质条件，在厂区周边至少应设置三口地下水水质监控井，区域地下水流向为从北向南，第一口设在项目区上游广汇天然气有限公司水井（项目区北侧</w:t>
      </w:r>
      <w:r>
        <w:rPr>
          <w:rFonts w:ascii="Times New Roman" w:hAnsi="Times New Roman"/>
          <w:kern w:val="0"/>
          <w:sz w:val="24"/>
          <w:szCs w:val="24"/>
        </w:rPr>
        <w:t>4km</w:t>
      </w:r>
      <w:r>
        <w:rPr>
          <w:rFonts w:ascii="Times New Roman" w:hAnsi="Times New Roman"/>
          <w:kern w:val="0"/>
          <w:sz w:val="24"/>
          <w:szCs w:val="24"/>
        </w:rPr>
        <w:t>），作为对照井；第二口设置项目区自有水井，作为污染扩散监测井；第三口设置在项目区下游七克台镇地下水，作为污染监视监测井，监控井布点见图</w:t>
      </w:r>
      <w:r>
        <w:rPr>
          <w:rFonts w:ascii="Times New Roman" w:hAnsi="Times New Roman"/>
          <w:kern w:val="0"/>
          <w:sz w:val="24"/>
          <w:szCs w:val="24"/>
        </w:rPr>
        <w:t>6.3-1</w:t>
      </w:r>
      <w:r>
        <w:rPr>
          <w:rFonts w:ascii="Times New Roman" w:hAnsi="Times New Roman"/>
          <w:kern w:val="0"/>
          <w:sz w:val="24"/>
          <w:szCs w:val="24"/>
        </w:rPr>
        <w:t>。</w:t>
      </w:r>
    </w:p>
    <w:p w:rsidR="00525419" w:rsidRDefault="00EE1CF7">
      <w:pPr>
        <w:pStyle w:val="afb"/>
        <w:rPr>
          <w:sz w:val="24"/>
        </w:rPr>
      </w:pPr>
      <w:r>
        <w:rPr>
          <w:noProof/>
        </w:rPr>
        <w:drawing>
          <wp:anchor distT="0" distB="0" distL="114300" distR="114300" simplePos="0" relativeHeight="251628032" behindDoc="0" locked="0" layoutInCell="1" allowOverlap="1">
            <wp:simplePos x="0" y="0"/>
            <wp:positionH relativeFrom="column">
              <wp:posOffset>4602480</wp:posOffset>
            </wp:positionH>
            <wp:positionV relativeFrom="paragraph">
              <wp:posOffset>41275</wp:posOffset>
            </wp:positionV>
            <wp:extent cx="1097915" cy="782320"/>
            <wp:effectExtent l="9525" t="9525" r="16510" b="27305"/>
            <wp:wrapNone/>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47"/>
                    <a:stretch>
                      <a:fillRect/>
                    </a:stretch>
                  </pic:blipFill>
                  <pic:spPr>
                    <a:xfrm>
                      <a:off x="0" y="0"/>
                      <a:ext cx="1097915" cy="782320"/>
                    </a:xfrm>
                    <a:prstGeom prst="rect">
                      <a:avLst/>
                    </a:prstGeom>
                    <a:noFill/>
                    <a:ln>
                      <a:solidFill>
                        <a:schemeClr val="tx1"/>
                      </a:solidFill>
                    </a:ln>
                  </pic:spPr>
                </pic:pic>
              </a:graphicData>
            </a:graphic>
          </wp:anchor>
        </w:drawing>
      </w:r>
    </w:p>
    <w:p w:rsidR="00525419" w:rsidRDefault="00EE1CF7">
      <w:pPr>
        <w:pStyle w:val="afb"/>
        <w:jc w:val="center"/>
        <w:rPr>
          <w:b/>
          <w:bCs/>
          <w:sz w:val="24"/>
        </w:rPr>
      </w:pPr>
      <w:r>
        <w:rPr>
          <w:b/>
          <w:bCs/>
          <w:sz w:val="24"/>
        </w:rPr>
        <w:t>图</w:t>
      </w:r>
      <w:r>
        <w:rPr>
          <w:b/>
          <w:bCs/>
          <w:sz w:val="24"/>
        </w:rPr>
        <w:t xml:space="preserve">6.3-1   </w:t>
      </w:r>
      <w:r>
        <w:rPr>
          <w:b/>
          <w:bCs/>
          <w:sz w:val="24"/>
        </w:rPr>
        <w:t>本项目监控井布点图</w:t>
      </w:r>
    </w:p>
    <w:p w:rsidR="00525419" w:rsidRDefault="00EE1CF7">
      <w:pPr>
        <w:autoSpaceDE w:val="0"/>
        <w:autoSpaceDN w:val="0"/>
        <w:adjustRightInd w:val="0"/>
        <w:spacing w:line="360" w:lineRule="auto"/>
        <w:ind w:firstLineChars="200" w:firstLine="480"/>
        <w:textAlignment w:val="baseline"/>
        <w:rPr>
          <w:rFonts w:ascii="Times New Roman" w:hAnsi="Times New Roman"/>
          <w:kern w:val="0"/>
          <w:sz w:val="24"/>
          <w:szCs w:val="24"/>
        </w:rPr>
      </w:pPr>
      <w:r>
        <w:rPr>
          <w:rFonts w:ascii="Times New Roman" w:hAnsi="Times New Roman"/>
          <w:kern w:val="0"/>
          <w:sz w:val="24"/>
          <w:szCs w:val="24"/>
        </w:rPr>
        <w:lastRenderedPageBreak/>
        <w:t>监测项目：</w:t>
      </w:r>
      <w:r>
        <w:rPr>
          <w:rFonts w:ascii="Times New Roman" w:hAnsi="Times New Roman"/>
          <w:kern w:val="0"/>
          <w:sz w:val="24"/>
          <w:szCs w:val="24"/>
        </w:rPr>
        <w:t>pH</w:t>
      </w:r>
      <w:r>
        <w:rPr>
          <w:rFonts w:ascii="Times New Roman" w:hAnsi="Times New Roman"/>
          <w:kern w:val="0"/>
          <w:sz w:val="24"/>
          <w:szCs w:val="24"/>
        </w:rPr>
        <w:t>、氨氮、硝酸盐、亚硝酸盐、挥发性酚类、氰化物、砷、汞、铬（六价）、总硬度、铅、氟、镉、铁、锰、溶解性总固体、高锰酸盐指数、硫酸盐、氯化物、总大肠菌群、石油类等共</w:t>
      </w:r>
      <w:r>
        <w:rPr>
          <w:rFonts w:ascii="Times New Roman" w:hAnsi="Times New Roman"/>
          <w:kern w:val="0"/>
          <w:sz w:val="24"/>
          <w:szCs w:val="24"/>
        </w:rPr>
        <w:t>21</w:t>
      </w:r>
      <w:r>
        <w:rPr>
          <w:rFonts w:ascii="Times New Roman" w:hAnsi="Times New Roman"/>
          <w:kern w:val="0"/>
          <w:sz w:val="24"/>
          <w:szCs w:val="24"/>
        </w:rPr>
        <w:t>项。</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监测频率：参照《地下水环境监测技术规范》</w:t>
      </w:r>
      <w:r>
        <w:rPr>
          <w:rFonts w:ascii="Times New Roman" w:hAnsi="Times New Roman"/>
          <w:sz w:val="24"/>
        </w:rPr>
        <w:t>(HJ/T164-2004)</w:t>
      </w:r>
      <w:r>
        <w:rPr>
          <w:rFonts w:ascii="Times New Roman" w:hAnsi="Times New Roman"/>
          <w:sz w:val="24"/>
        </w:rPr>
        <w:t>的要求，对照井每年枯水期采样一次；</w:t>
      </w:r>
      <w:r>
        <w:rPr>
          <w:rFonts w:ascii="Times New Roman" w:hAnsi="Times New Roman"/>
          <w:kern w:val="0"/>
          <w:sz w:val="24"/>
          <w:szCs w:val="24"/>
        </w:rPr>
        <w:t>污染监视监测井、污染扩散监测井</w:t>
      </w:r>
      <w:r>
        <w:rPr>
          <w:rFonts w:ascii="Times New Roman" w:hAnsi="Times New Roman"/>
          <w:sz w:val="24"/>
        </w:rPr>
        <w:t>每两个月采样一次，每年</w:t>
      </w:r>
      <w:r>
        <w:rPr>
          <w:rFonts w:ascii="Times New Roman" w:hAnsi="Times New Roman"/>
          <w:sz w:val="24"/>
        </w:rPr>
        <w:t>6</w:t>
      </w:r>
      <w:r>
        <w:rPr>
          <w:rFonts w:ascii="Times New Roman" w:hAnsi="Times New Roman"/>
          <w:sz w:val="24"/>
        </w:rPr>
        <w:t>次；遇到特殊情况或发生污染事故，应随时增加采样频次。</w:t>
      </w:r>
    </w:p>
    <w:p w:rsidR="00525419" w:rsidRDefault="00EE1CF7">
      <w:pPr>
        <w:autoSpaceDE w:val="0"/>
        <w:autoSpaceDN w:val="0"/>
        <w:adjustRightInd w:val="0"/>
        <w:spacing w:line="360" w:lineRule="auto"/>
        <w:ind w:firstLineChars="200" w:firstLine="480"/>
        <w:textAlignment w:val="baseline"/>
        <w:rPr>
          <w:rFonts w:ascii="Times New Roman" w:hAnsi="Times New Roman"/>
          <w:kern w:val="0"/>
          <w:sz w:val="24"/>
          <w:szCs w:val="24"/>
        </w:rPr>
      </w:pPr>
      <w:r>
        <w:rPr>
          <w:rFonts w:ascii="Times New Roman" w:hAnsi="Times New Roman"/>
          <w:sz w:val="24"/>
        </w:rPr>
        <w:t xml:space="preserve"> </w:t>
      </w:r>
      <w:r>
        <w:rPr>
          <w:rFonts w:ascii="Times New Roman" w:hAnsi="Times New Roman"/>
          <w:kern w:val="0"/>
          <w:sz w:val="24"/>
          <w:szCs w:val="24"/>
        </w:rPr>
        <w:t>（</w:t>
      </w:r>
      <w:r>
        <w:rPr>
          <w:rFonts w:ascii="Times New Roman" w:hAnsi="Times New Roman"/>
          <w:kern w:val="0"/>
          <w:sz w:val="24"/>
          <w:szCs w:val="24"/>
        </w:rPr>
        <w:t>3</w:t>
      </w:r>
      <w:r>
        <w:rPr>
          <w:rFonts w:ascii="Times New Roman" w:hAnsi="Times New Roman"/>
          <w:kern w:val="0"/>
          <w:sz w:val="24"/>
          <w:szCs w:val="24"/>
        </w:rPr>
        <w:t>）地下水监测管理</w:t>
      </w:r>
    </w:p>
    <w:p w:rsidR="00525419" w:rsidRDefault="00EE1CF7">
      <w:pPr>
        <w:autoSpaceDE w:val="0"/>
        <w:autoSpaceDN w:val="0"/>
        <w:adjustRightInd w:val="0"/>
        <w:spacing w:line="360" w:lineRule="auto"/>
        <w:ind w:firstLineChars="200" w:firstLine="480"/>
        <w:textAlignment w:val="baseline"/>
        <w:rPr>
          <w:rFonts w:ascii="Times New Roman" w:hAnsi="Times New Roman"/>
          <w:kern w:val="0"/>
          <w:sz w:val="24"/>
          <w:szCs w:val="24"/>
        </w:rPr>
      </w:pPr>
      <w:r>
        <w:rPr>
          <w:rFonts w:ascii="Times New Roman" w:hAnsi="Times New Roman"/>
          <w:kern w:val="0"/>
          <w:sz w:val="24"/>
          <w:szCs w:val="24"/>
        </w:rPr>
        <w:t>为保证地下水监测有效、有序管理，须制定相关规定、明确职责，采取以下管理措施和技术措施：</w:t>
      </w:r>
    </w:p>
    <w:p w:rsidR="00525419" w:rsidRDefault="00EE1CF7">
      <w:pPr>
        <w:autoSpaceDE w:val="0"/>
        <w:autoSpaceDN w:val="0"/>
        <w:adjustRightInd w:val="0"/>
        <w:spacing w:line="360" w:lineRule="auto"/>
        <w:ind w:firstLineChars="200" w:firstLine="480"/>
        <w:textAlignment w:val="baseline"/>
        <w:rPr>
          <w:rFonts w:ascii="Times New Roman" w:hAnsi="Times New Roman"/>
          <w:kern w:val="0"/>
          <w:sz w:val="24"/>
          <w:szCs w:val="24"/>
        </w:rPr>
      </w:pPr>
      <w:r>
        <w:rPr>
          <w:rFonts w:ascii="Times New Roman" w:hAnsi="Times New Roman"/>
          <w:kern w:val="0"/>
          <w:sz w:val="24"/>
          <w:szCs w:val="24"/>
        </w:rPr>
        <w:t>1</w:t>
      </w:r>
      <w:r>
        <w:rPr>
          <w:rFonts w:ascii="Times New Roman" w:hAnsi="Times New Roman"/>
          <w:kern w:val="0"/>
          <w:sz w:val="24"/>
          <w:szCs w:val="24"/>
        </w:rPr>
        <w:t>）管理措施</w:t>
      </w:r>
    </w:p>
    <w:p w:rsidR="00525419" w:rsidRDefault="00EE1CF7">
      <w:pPr>
        <w:autoSpaceDE w:val="0"/>
        <w:autoSpaceDN w:val="0"/>
        <w:adjustRightInd w:val="0"/>
        <w:spacing w:line="360" w:lineRule="auto"/>
        <w:ind w:firstLineChars="200" w:firstLine="480"/>
        <w:textAlignment w:val="baseline"/>
        <w:rPr>
          <w:rFonts w:ascii="Times New Roman" w:hAnsi="Times New Roman"/>
          <w:kern w:val="0"/>
          <w:sz w:val="24"/>
          <w:szCs w:val="24"/>
        </w:rPr>
      </w:pPr>
      <w:r>
        <w:rPr>
          <w:rFonts w:ascii="Times New Roman" w:hAnsi="Times New Roman"/>
          <w:kern w:val="0"/>
          <w:sz w:val="24"/>
          <w:szCs w:val="24"/>
        </w:rPr>
        <w:t>①</w:t>
      </w:r>
      <w:r>
        <w:rPr>
          <w:rFonts w:ascii="Times New Roman" w:hAnsi="Times New Roman"/>
          <w:kern w:val="0"/>
          <w:sz w:val="24"/>
          <w:szCs w:val="24"/>
        </w:rPr>
        <w:t>防止地下水污染管理的职责属于环保管理部门的职责之一，应指派专人负责防止地下水污染管理工作。</w:t>
      </w:r>
    </w:p>
    <w:p w:rsidR="00525419" w:rsidRDefault="00EE1CF7">
      <w:pPr>
        <w:autoSpaceDE w:val="0"/>
        <w:autoSpaceDN w:val="0"/>
        <w:adjustRightInd w:val="0"/>
        <w:spacing w:line="360" w:lineRule="auto"/>
        <w:ind w:firstLineChars="200" w:firstLine="480"/>
        <w:textAlignment w:val="baseline"/>
        <w:rPr>
          <w:rFonts w:ascii="Times New Roman" w:hAnsi="Times New Roman"/>
          <w:kern w:val="0"/>
          <w:sz w:val="24"/>
          <w:szCs w:val="24"/>
        </w:rPr>
      </w:pPr>
      <w:r>
        <w:rPr>
          <w:rFonts w:ascii="Times New Roman" w:hAnsi="Times New Roman"/>
          <w:kern w:val="0"/>
          <w:sz w:val="24"/>
          <w:szCs w:val="24"/>
        </w:rPr>
        <w:t>②</w:t>
      </w:r>
      <w:r>
        <w:rPr>
          <w:rFonts w:ascii="Times New Roman" w:hAnsi="Times New Roman"/>
          <w:kern w:val="0"/>
          <w:sz w:val="24"/>
          <w:szCs w:val="24"/>
        </w:rPr>
        <w:t>应委托具有监测资质的单位负责地下水监测工作，按要求及时分析整理原始资料、监测报告的编写工作。</w:t>
      </w:r>
    </w:p>
    <w:p w:rsidR="00525419" w:rsidRDefault="00EE1CF7">
      <w:pPr>
        <w:autoSpaceDE w:val="0"/>
        <w:autoSpaceDN w:val="0"/>
        <w:adjustRightInd w:val="0"/>
        <w:spacing w:line="360" w:lineRule="auto"/>
        <w:ind w:firstLineChars="200" w:firstLine="480"/>
        <w:textAlignment w:val="baseline"/>
        <w:rPr>
          <w:rFonts w:ascii="Times New Roman" w:hAnsi="Times New Roman"/>
          <w:kern w:val="0"/>
          <w:sz w:val="24"/>
          <w:szCs w:val="24"/>
        </w:rPr>
      </w:pPr>
      <w:r>
        <w:rPr>
          <w:rFonts w:ascii="Times New Roman" w:hAnsi="Times New Roman"/>
          <w:kern w:val="0"/>
          <w:sz w:val="24"/>
          <w:szCs w:val="24"/>
        </w:rPr>
        <w:t>③</w:t>
      </w:r>
      <w:r>
        <w:rPr>
          <w:rFonts w:ascii="Times New Roman" w:hAnsi="Times New Roman"/>
          <w:kern w:val="0"/>
          <w:sz w:val="24"/>
          <w:szCs w:val="24"/>
        </w:rPr>
        <w:t>建立地下水监测数据信息管理系统。</w:t>
      </w:r>
    </w:p>
    <w:p w:rsidR="00525419" w:rsidRDefault="00EE1CF7">
      <w:pPr>
        <w:autoSpaceDE w:val="0"/>
        <w:autoSpaceDN w:val="0"/>
        <w:adjustRightInd w:val="0"/>
        <w:spacing w:line="360" w:lineRule="auto"/>
        <w:ind w:firstLineChars="200" w:firstLine="480"/>
        <w:textAlignment w:val="baseline"/>
        <w:rPr>
          <w:rFonts w:ascii="Times New Roman" w:hAnsi="Times New Roman"/>
          <w:kern w:val="0"/>
          <w:sz w:val="24"/>
          <w:szCs w:val="24"/>
        </w:rPr>
      </w:pPr>
      <w:r>
        <w:rPr>
          <w:rFonts w:ascii="Times New Roman" w:hAnsi="Times New Roman"/>
          <w:kern w:val="0"/>
          <w:sz w:val="24"/>
          <w:szCs w:val="24"/>
        </w:rPr>
        <w:t>④</w:t>
      </w:r>
      <w:r>
        <w:rPr>
          <w:rFonts w:ascii="Times New Roman" w:hAnsi="Times New Roman"/>
          <w:kern w:val="0"/>
          <w:sz w:val="24"/>
          <w:szCs w:val="24"/>
        </w:rPr>
        <w:t>根据实际情况，按事故的性质、类型、影响范围、严重后果分等级地制订相应的预案。在制定预案时要根据项目环境污染事故潜在威胁的情况，认真细致地考虑各项影响因素，适当的时候组织有关部门、人员进行演练，不断补充完善。</w:t>
      </w:r>
    </w:p>
    <w:p w:rsidR="00525419" w:rsidRDefault="00EE1CF7">
      <w:pPr>
        <w:autoSpaceDE w:val="0"/>
        <w:autoSpaceDN w:val="0"/>
        <w:adjustRightInd w:val="0"/>
        <w:spacing w:line="360" w:lineRule="auto"/>
        <w:ind w:firstLineChars="200" w:firstLine="480"/>
        <w:textAlignment w:val="baseline"/>
        <w:rPr>
          <w:rFonts w:ascii="Times New Roman" w:hAnsi="Times New Roman"/>
          <w:kern w:val="0"/>
          <w:sz w:val="24"/>
          <w:szCs w:val="24"/>
        </w:rPr>
      </w:pPr>
      <w:r>
        <w:rPr>
          <w:rFonts w:ascii="Times New Roman" w:hAnsi="Times New Roman"/>
          <w:kern w:val="0"/>
          <w:sz w:val="24"/>
          <w:szCs w:val="24"/>
        </w:rPr>
        <w:t>2</w:t>
      </w:r>
      <w:r>
        <w:rPr>
          <w:rFonts w:ascii="Times New Roman" w:hAnsi="Times New Roman"/>
          <w:kern w:val="0"/>
          <w:sz w:val="24"/>
          <w:szCs w:val="24"/>
        </w:rPr>
        <w:t>）技术措施：</w:t>
      </w:r>
    </w:p>
    <w:p w:rsidR="00525419" w:rsidRDefault="00EE1CF7">
      <w:pPr>
        <w:autoSpaceDE w:val="0"/>
        <w:autoSpaceDN w:val="0"/>
        <w:adjustRightInd w:val="0"/>
        <w:spacing w:line="360" w:lineRule="auto"/>
        <w:ind w:firstLineChars="200" w:firstLine="480"/>
        <w:textAlignment w:val="baseline"/>
        <w:rPr>
          <w:rFonts w:ascii="Times New Roman" w:hAnsi="Times New Roman"/>
          <w:kern w:val="0"/>
          <w:sz w:val="24"/>
          <w:szCs w:val="24"/>
        </w:rPr>
      </w:pPr>
      <w:r>
        <w:rPr>
          <w:rFonts w:ascii="Times New Roman" w:hAnsi="Times New Roman"/>
          <w:kern w:val="0"/>
          <w:sz w:val="24"/>
          <w:szCs w:val="24"/>
        </w:rPr>
        <w:t>①</w:t>
      </w:r>
      <w:r>
        <w:rPr>
          <w:rFonts w:ascii="Times New Roman" w:hAnsi="Times New Roman"/>
          <w:kern w:val="0"/>
          <w:sz w:val="24"/>
          <w:szCs w:val="24"/>
        </w:rPr>
        <w:t>按照《地下水环境监测技术规范》（</w:t>
      </w:r>
      <w:r>
        <w:rPr>
          <w:rFonts w:ascii="Times New Roman" w:hAnsi="Times New Roman"/>
          <w:kern w:val="0"/>
          <w:sz w:val="24"/>
          <w:szCs w:val="24"/>
        </w:rPr>
        <w:t>HJ/T164-2004</w:t>
      </w:r>
      <w:r>
        <w:rPr>
          <w:rFonts w:ascii="Times New Roman" w:hAnsi="Times New Roman"/>
          <w:kern w:val="0"/>
          <w:sz w:val="24"/>
          <w:szCs w:val="24"/>
        </w:rPr>
        <w:t>）要求，及时上报监测数据和有关表格。</w:t>
      </w:r>
    </w:p>
    <w:p w:rsidR="00525419" w:rsidRDefault="00EE1CF7">
      <w:pPr>
        <w:autoSpaceDE w:val="0"/>
        <w:autoSpaceDN w:val="0"/>
        <w:adjustRightInd w:val="0"/>
        <w:spacing w:line="360" w:lineRule="auto"/>
        <w:ind w:firstLineChars="200" w:firstLine="480"/>
        <w:textAlignment w:val="baseline"/>
        <w:rPr>
          <w:rFonts w:ascii="Times New Roman" w:hAnsi="Times New Roman"/>
          <w:kern w:val="0"/>
          <w:sz w:val="24"/>
          <w:szCs w:val="24"/>
        </w:rPr>
      </w:pPr>
      <w:r>
        <w:rPr>
          <w:rFonts w:ascii="Times New Roman" w:hAnsi="Times New Roman"/>
          <w:kern w:val="0"/>
          <w:sz w:val="24"/>
          <w:szCs w:val="24"/>
        </w:rPr>
        <w:t>②</w:t>
      </w:r>
      <w:r>
        <w:rPr>
          <w:rFonts w:ascii="Times New Roman" w:hAnsi="Times New Roman"/>
          <w:kern w:val="0"/>
          <w:sz w:val="24"/>
          <w:szCs w:val="24"/>
        </w:rPr>
        <w:t>在日常例行监测中，一旦发现地下水水质监测数据异常，应尽快核查数据，确保数据的正确性。并将核查过的监测数据通告安全环保部门，由专人负责对数据进行分析、核实，并密切关注生产设施的运行情况，为防止地下水污染采取措施提供正确的依据。应采取的措施如下：</w:t>
      </w:r>
    </w:p>
    <w:p w:rsidR="00525419" w:rsidRDefault="00EE1CF7">
      <w:pPr>
        <w:autoSpaceDE w:val="0"/>
        <w:autoSpaceDN w:val="0"/>
        <w:adjustRightInd w:val="0"/>
        <w:spacing w:line="360" w:lineRule="auto"/>
        <w:ind w:firstLineChars="200" w:firstLine="480"/>
        <w:textAlignment w:val="baseline"/>
        <w:rPr>
          <w:rFonts w:ascii="Times New Roman" w:hAnsi="Times New Roman"/>
          <w:kern w:val="0"/>
          <w:sz w:val="24"/>
          <w:szCs w:val="24"/>
        </w:rPr>
      </w:pPr>
      <w:r>
        <w:rPr>
          <w:rFonts w:ascii="Times New Roman" w:hAnsi="Times New Roman"/>
          <w:kern w:val="0"/>
          <w:sz w:val="24"/>
          <w:szCs w:val="24"/>
        </w:rPr>
        <w:t>了解项目运行是否出现异常情况，出现异常情况的装置、原因。加大监测密度，分析变化动向。</w:t>
      </w:r>
    </w:p>
    <w:p w:rsidR="00525419" w:rsidRDefault="00EE1CF7">
      <w:pPr>
        <w:autoSpaceDE w:val="0"/>
        <w:autoSpaceDN w:val="0"/>
        <w:adjustRightInd w:val="0"/>
        <w:spacing w:line="360" w:lineRule="auto"/>
        <w:ind w:firstLineChars="200" w:firstLine="480"/>
        <w:textAlignment w:val="baseline"/>
        <w:rPr>
          <w:rFonts w:ascii="Times New Roman" w:hAnsi="Times New Roman"/>
          <w:kern w:val="0"/>
          <w:sz w:val="24"/>
          <w:szCs w:val="24"/>
        </w:rPr>
      </w:pPr>
      <w:r>
        <w:rPr>
          <w:rFonts w:ascii="Times New Roman" w:hAnsi="Times New Roman"/>
          <w:kern w:val="0"/>
          <w:sz w:val="24"/>
          <w:szCs w:val="24"/>
        </w:rPr>
        <w:t>③</w:t>
      </w:r>
      <w:r>
        <w:rPr>
          <w:rFonts w:ascii="Times New Roman" w:hAnsi="Times New Roman"/>
          <w:kern w:val="0"/>
          <w:sz w:val="24"/>
          <w:szCs w:val="24"/>
        </w:rPr>
        <w:t>周期性地编写地下水动态监测报告。</w:t>
      </w:r>
    </w:p>
    <w:p w:rsidR="00525419" w:rsidRDefault="00EE1CF7">
      <w:pPr>
        <w:autoSpaceDE w:val="0"/>
        <w:autoSpaceDN w:val="0"/>
        <w:adjustRightInd w:val="0"/>
        <w:spacing w:line="360" w:lineRule="auto"/>
        <w:ind w:firstLineChars="200" w:firstLine="480"/>
        <w:textAlignment w:val="baseline"/>
        <w:rPr>
          <w:rFonts w:ascii="Times New Roman" w:hAnsi="Times New Roman"/>
          <w:kern w:val="0"/>
          <w:sz w:val="24"/>
          <w:szCs w:val="24"/>
        </w:rPr>
      </w:pPr>
      <w:r>
        <w:rPr>
          <w:rFonts w:ascii="Times New Roman" w:hAnsi="Times New Roman"/>
          <w:kern w:val="0"/>
          <w:sz w:val="24"/>
          <w:szCs w:val="24"/>
        </w:rPr>
        <w:lastRenderedPageBreak/>
        <w:t>④</w:t>
      </w:r>
      <w:r>
        <w:rPr>
          <w:rFonts w:ascii="Times New Roman" w:hAnsi="Times New Roman"/>
          <w:kern w:val="0"/>
          <w:sz w:val="24"/>
          <w:szCs w:val="24"/>
        </w:rPr>
        <w:t>定期对厂区储罐、法兰、阀门、管道等进行检查。</w:t>
      </w:r>
    </w:p>
    <w:p w:rsidR="00525419" w:rsidRDefault="00EE1CF7">
      <w:pPr>
        <w:autoSpaceDE w:val="0"/>
        <w:autoSpaceDN w:val="0"/>
        <w:adjustRightInd w:val="0"/>
        <w:spacing w:line="360" w:lineRule="auto"/>
        <w:ind w:firstLineChars="200" w:firstLine="480"/>
        <w:textAlignment w:val="baseline"/>
        <w:rPr>
          <w:rFonts w:ascii="Times New Roman" w:hAnsi="Times New Roman"/>
          <w:kern w:val="0"/>
          <w:sz w:val="24"/>
          <w:szCs w:val="24"/>
        </w:rPr>
      </w:pPr>
      <w:r>
        <w:rPr>
          <w:rFonts w:ascii="Times New Roman" w:hAnsi="Times New Roman"/>
          <w:kern w:val="0"/>
          <w:sz w:val="24"/>
          <w:szCs w:val="24"/>
        </w:rPr>
        <w:t>制定风险事故应急预案的目的是为了在发生风险事故时，能以最快的速度发挥最大的效能，有序地实施救援，尽快控制事态的发展，降低事故对潜水和承压水含水层的污染。针对应急工作需要，参照相关技术导则，结合地下水污染治理的技术特点，制定地下水污染应急治理程序。</w:t>
      </w:r>
    </w:p>
    <w:p w:rsidR="00525419" w:rsidRDefault="00EE1CF7">
      <w:pPr>
        <w:autoSpaceDE w:val="0"/>
        <w:autoSpaceDN w:val="0"/>
        <w:adjustRightInd w:val="0"/>
        <w:spacing w:line="360" w:lineRule="auto"/>
        <w:ind w:firstLineChars="200" w:firstLine="480"/>
        <w:textAlignment w:val="baseline"/>
        <w:rPr>
          <w:rFonts w:ascii="Times New Roman" w:hAnsi="Times New Roman"/>
          <w:kern w:val="0"/>
          <w:sz w:val="24"/>
          <w:szCs w:val="24"/>
        </w:rPr>
      </w:pPr>
      <w:r>
        <w:rPr>
          <w:rFonts w:ascii="Times New Roman" w:hAnsi="Times New Roman"/>
          <w:kern w:val="0"/>
          <w:sz w:val="24"/>
          <w:szCs w:val="24"/>
        </w:rPr>
        <w:t>应采取如下污染治理措施：</w:t>
      </w:r>
    </w:p>
    <w:p w:rsidR="00525419" w:rsidRDefault="00EE1CF7">
      <w:pPr>
        <w:autoSpaceDE w:val="0"/>
        <w:autoSpaceDN w:val="0"/>
        <w:adjustRightInd w:val="0"/>
        <w:spacing w:line="360" w:lineRule="auto"/>
        <w:ind w:firstLineChars="200" w:firstLine="480"/>
        <w:textAlignment w:val="baseline"/>
        <w:rPr>
          <w:rFonts w:ascii="Times New Roman" w:hAnsi="Times New Roman"/>
          <w:kern w:val="0"/>
          <w:sz w:val="24"/>
          <w:szCs w:val="24"/>
        </w:rPr>
      </w:pPr>
      <w:r>
        <w:rPr>
          <w:rFonts w:ascii="Times New Roman" w:hAnsi="Times New Roman"/>
          <w:kern w:val="0"/>
          <w:sz w:val="24"/>
          <w:szCs w:val="24"/>
        </w:rPr>
        <w:t>1</w:t>
      </w:r>
      <w:r>
        <w:rPr>
          <w:rFonts w:ascii="Times New Roman" w:hAnsi="Times New Roman"/>
          <w:kern w:val="0"/>
          <w:sz w:val="24"/>
          <w:szCs w:val="24"/>
        </w:rPr>
        <w:t>）一旦发生地下水污染事故，应立即启动应急预案。</w:t>
      </w:r>
    </w:p>
    <w:p w:rsidR="00525419" w:rsidRDefault="00EE1CF7">
      <w:pPr>
        <w:autoSpaceDE w:val="0"/>
        <w:autoSpaceDN w:val="0"/>
        <w:adjustRightInd w:val="0"/>
        <w:spacing w:line="360" w:lineRule="auto"/>
        <w:ind w:firstLineChars="200" w:firstLine="480"/>
        <w:textAlignment w:val="baseline"/>
        <w:rPr>
          <w:rFonts w:ascii="Times New Roman" w:hAnsi="Times New Roman"/>
          <w:kern w:val="0"/>
          <w:sz w:val="24"/>
          <w:szCs w:val="24"/>
        </w:rPr>
      </w:pPr>
      <w:r>
        <w:rPr>
          <w:rFonts w:ascii="Times New Roman" w:hAnsi="Times New Roman"/>
          <w:kern w:val="0"/>
          <w:sz w:val="24"/>
          <w:szCs w:val="24"/>
        </w:rPr>
        <w:t>2</w:t>
      </w:r>
      <w:r>
        <w:rPr>
          <w:rFonts w:ascii="Times New Roman" w:hAnsi="Times New Roman"/>
          <w:kern w:val="0"/>
          <w:sz w:val="24"/>
          <w:szCs w:val="24"/>
        </w:rPr>
        <w:t>）查明并切断水污染源。</w:t>
      </w:r>
    </w:p>
    <w:p w:rsidR="00525419" w:rsidRDefault="00EE1CF7">
      <w:pPr>
        <w:autoSpaceDE w:val="0"/>
        <w:autoSpaceDN w:val="0"/>
        <w:adjustRightInd w:val="0"/>
        <w:spacing w:line="360" w:lineRule="auto"/>
        <w:ind w:firstLineChars="200" w:firstLine="480"/>
        <w:textAlignment w:val="baseline"/>
        <w:rPr>
          <w:rFonts w:ascii="Times New Roman" w:hAnsi="Times New Roman"/>
          <w:kern w:val="0"/>
          <w:sz w:val="24"/>
          <w:szCs w:val="24"/>
        </w:rPr>
      </w:pPr>
      <w:r>
        <w:rPr>
          <w:rFonts w:ascii="Times New Roman" w:hAnsi="Times New Roman"/>
          <w:kern w:val="0"/>
          <w:sz w:val="24"/>
          <w:szCs w:val="24"/>
        </w:rPr>
        <w:t>3</w:t>
      </w:r>
      <w:r>
        <w:rPr>
          <w:rFonts w:ascii="Times New Roman" w:hAnsi="Times New Roman"/>
          <w:kern w:val="0"/>
          <w:sz w:val="24"/>
          <w:szCs w:val="24"/>
        </w:rPr>
        <w:t>）探明地下水污染深度、范围和污染程度。</w:t>
      </w:r>
    </w:p>
    <w:p w:rsidR="00525419" w:rsidRDefault="00EE1CF7">
      <w:pPr>
        <w:autoSpaceDE w:val="0"/>
        <w:autoSpaceDN w:val="0"/>
        <w:adjustRightInd w:val="0"/>
        <w:spacing w:line="360" w:lineRule="auto"/>
        <w:ind w:firstLineChars="200" w:firstLine="480"/>
        <w:textAlignment w:val="baseline"/>
        <w:rPr>
          <w:rFonts w:ascii="Times New Roman" w:hAnsi="Times New Roman"/>
          <w:kern w:val="0"/>
          <w:sz w:val="24"/>
          <w:szCs w:val="24"/>
        </w:rPr>
      </w:pPr>
      <w:r>
        <w:rPr>
          <w:rFonts w:ascii="Times New Roman" w:hAnsi="Times New Roman"/>
          <w:kern w:val="0"/>
          <w:sz w:val="24"/>
          <w:szCs w:val="24"/>
        </w:rPr>
        <w:t>4</w:t>
      </w:r>
      <w:r>
        <w:rPr>
          <w:rFonts w:ascii="Times New Roman" w:hAnsi="Times New Roman"/>
          <w:kern w:val="0"/>
          <w:sz w:val="24"/>
          <w:szCs w:val="24"/>
        </w:rPr>
        <w:t>）依据探明的地下水污染情况，合理布置截渗井，并进行试抽工作。</w:t>
      </w:r>
    </w:p>
    <w:p w:rsidR="00525419" w:rsidRDefault="00EE1CF7">
      <w:pPr>
        <w:autoSpaceDE w:val="0"/>
        <w:autoSpaceDN w:val="0"/>
        <w:adjustRightInd w:val="0"/>
        <w:spacing w:line="360" w:lineRule="auto"/>
        <w:ind w:firstLineChars="200" w:firstLine="480"/>
        <w:textAlignment w:val="baseline"/>
        <w:rPr>
          <w:rFonts w:ascii="Times New Roman" w:hAnsi="Times New Roman"/>
          <w:kern w:val="0"/>
          <w:sz w:val="24"/>
          <w:szCs w:val="24"/>
        </w:rPr>
      </w:pPr>
      <w:r>
        <w:rPr>
          <w:rFonts w:ascii="Times New Roman" w:hAnsi="Times New Roman"/>
          <w:kern w:val="0"/>
          <w:sz w:val="24"/>
          <w:szCs w:val="24"/>
        </w:rPr>
        <w:t>5</w:t>
      </w:r>
      <w:r>
        <w:rPr>
          <w:rFonts w:ascii="Times New Roman" w:hAnsi="Times New Roman"/>
          <w:kern w:val="0"/>
          <w:sz w:val="24"/>
          <w:szCs w:val="24"/>
        </w:rPr>
        <w:t>）依据抽水设计方案进行施工，抽取被污染的地下水体，并依据各井孔出水情况进行调整。</w:t>
      </w:r>
    </w:p>
    <w:p w:rsidR="00525419" w:rsidRDefault="00EE1CF7">
      <w:pPr>
        <w:autoSpaceDE w:val="0"/>
        <w:autoSpaceDN w:val="0"/>
        <w:adjustRightInd w:val="0"/>
        <w:spacing w:line="360" w:lineRule="auto"/>
        <w:ind w:firstLineChars="200" w:firstLine="480"/>
        <w:textAlignment w:val="baseline"/>
        <w:rPr>
          <w:rFonts w:ascii="Times New Roman" w:hAnsi="Times New Roman"/>
          <w:kern w:val="0"/>
          <w:sz w:val="24"/>
          <w:szCs w:val="24"/>
        </w:rPr>
      </w:pPr>
      <w:r>
        <w:rPr>
          <w:rFonts w:ascii="Times New Roman" w:hAnsi="Times New Roman"/>
          <w:kern w:val="0"/>
          <w:sz w:val="24"/>
          <w:szCs w:val="24"/>
        </w:rPr>
        <w:t>6</w:t>
      </w:r>
      <w:r>
        <w:rPr>
          <w:rFonts w:ascii="Times New Roman" w:hAnsi="Times New Roman"/>
          <w:kern w:val="0"/>
          <w:sz w:val="24"/>
          <w:szCs w:val="24"/>
        </w:rPr>
        <w:t>）将抽取的地下水进行集中收集处理，并送有资质化验室进行化验分析。</w:t>
      </w:r>
    </w:p>
    <w:p w:rsidR="00525419" w:rsidRDefault="00EE1CF7">
      <w:pPr>
        <w:autoSpaceDE w:val="0"/>
        <w:autoSpaceDN w:val="0"/>
        <w:adjustRightInd w:val="0"/>
        <w:spacing w:line="360" w:lineRule="auto"/>
        <w:ind w:firstLineChars="200" w:firstLine="480"/>
        <w:textAlignment w:val="baseline"/>
        <w:rPr>
          <w:rFonts w:ascii="Times New Roman" w:hAnsi="Times New Roman"/>
          <w:kern w:val="0"/>
          <w:sz w:val="24"/>
          <w:szCs w:val="24"/>
        </w:rPr>
      </w:pPr>
      <w:r>
        <w:rPr>
          <w:rFonts w:ascii="Times New Roman" w:hAnsi="Times New Roman"/>
          <w:kern w:val="0"/>
          <w:sz w:val="24"/>
          <w:szCs w:val="24"/>
        </w:rPr>
        <w:t>7</w:t>
      </w:r>
      <w:r>
        <w:rPr>
          <w:rFonts w:ascii="Times New Roman" w:hAnsi="Times New Roman"/>
          <w:kern w:val="0"/>
          <w:sz w:val="24"/>
          <w:szCs w:val="24"/>
        </w:rPr>
        <w:t>）当地下水中的特征污染物浓度满足地下水功能区划的标准后，逐步停止抽水，并进行土壤修复治理工作。</w:t>
      </w:r>
    </w:p>
    <w:p w:rsidR="00525419" w:rsidRDefault="00EE1CF7">
      <w:pPr>
        <w:autoSpaceDE w:val="0"/>
        <w:autoSpaceDN w:val="0"/>
        <w:adjustRightIn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相关建议</w:t>
      </w:r>
    </w:p>
    <w:p w:rsidR="00525419" w:rsidRDefault="00EE1CF7">
      <w:pPr>
        <w:autoSpaceDE w:val="0"/>
        <w:autoSpaceDN w:val="0"/>
        <w:adjustRightInd w:val="0"/>
        <w:spacing w:line="360" w:lineRule="auto"/>
        <w:ind w:firstLineChars="200" w:firstLine="480"/>
        <w:textAlignment w:val="baseline"/>
        <w:rPr>
          <w:rFonts w:ascii="Times New Roman" w:hAnsi="Times New Roman"/>
          <w:kern w:val="0"/>
          <w:sz w:val="24"/>
          <w:szCs w:val="24"/>
        </w:rPr>
      </w:pPr>
      <w:r>
        <w:rPr>
          <w:rFonts w:ascii="Times New Roman" w:hAnsi="Times New Roman"/>
          <w:kern w:val="0"/>
          <w:sz w:val="24"/>
          <w:szCs w:val="24"/>
        </w:rPr>
        <w:t>1</w:t>
      </w:r>
      <w:r>
        <w:rPr>
          <w:rFonts w:ascii="Times New Roman" w:hAnsi="Times New Roman"/>
          <w:kern w:val="0"/>
          <w:sz w:val="24"/>
          <w:szCs w:val="24"/>
        </w:rPr>
        <w:t>）地下水污染具有不易发现和一旦污染很难治理的特点，因此，防止地下水污染应遵循源头控制、防止渗漏、污染监测及事故应急处理的主动及被动防渗相结合的原则。</w:t>
      </w:r>
    </w:p>
    <w:p w:rsidR="00525419" w:rsidRDefault="00EE1CF7">
      <w:pPr>
        <w:autoSpaceDE w:val="0"/>
        <w:autoSpaceDN w:val="0"/>
        <w:adjustRightInd w:val="0"/>
        <w:spacing w:line="360" w:lineRule="auto"/>
        <w:ind w:firstLineChars="200" w:firstLine="480"/>
        <w:textAlignment w:val="baseline"/>
        <w:rPr>
          <w:rFonts w:ascii="Times New Roman" w:hAnsi="Times New Roman"/>
          <w:kern w:val="0"/>
          <w:sz w:val="24"/>
          <w:szCs w:val="24"/>
        </w:rPr>
      </w:pPr>
      <w:r>
        <w:rPr>
          <w:rFonts w:ascii="Times New Roman" w:hAnsi="Times New Roman"/>
          <w:kern w:val="0"/>
          <w:sz w:val="24"/>
          <w:szCs w:val="24"/>
        </w:rPr>
        <w:t>2</w:t>
      </w:r>
      <w:r>
        <w:rPr>
          <w:rFonts w:ascii="Times New Roman" w:hAnsi="Times New Roman"/>
          <w:kern w:val="0"/>
          <w:sz w:val="24"/>
          <w:szCs w:val="24"/>
        </w:rPr>
        <w:t>）地下水污染情况勘察是一项专业性很强的工作，一旦发生污染事故，应委托具有水文地质勘察资质的单位查明地下水污染情况。</w:t>
      </w:r>
    </w:p>
    <w:p w:rsidR="00525419" w:rsidRDefault="00EE1CF7">
      <w:pPr>
        <w:autoSpaceDE w:val="0"/>
        <w:autoSpaceDN w:val="0"/>
        <w:adjustRightIn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3</w:t>
      </w:r>
      <w:r>
        <w:rPr>
          <w:rFonts w:ascii="Times New Roman" w:hAnsi="Times New Roman"/>
          <w:kern w:val="0"/>
          <w:sz w:val="24"/>
          <w:szCs w:val="24"/>
        </w:rPr>
        <w:t>）当污染事故发生后，污染物首先渗透到不饱和层，然后依据污染物的特性、土壤结构以及场地状况等因素，污染物可能渗透至含水层，而污染地下水。地下水一旦污染，治理非常困难，建设单位应重视地下水污染预防的重要性，确保各项预防措施落实到位、运行正常。</w:t>
      </w:r>
    </w:p>
    <w:p w:rsidR="00525419" w:rsidRDefault="00525419">
      <w:pPr>
        <w:pStyle w:val="afb"/>
      </w:pPr>
    </w:p>
    <w:p w:rsidR="00525419" w:rsidRDefault="00EE1CF7" w:rsidP="00EE1CF7">
      <w:pPr>
        <w:pStyle w:val="2a"/>
        <w:spacing w:beforeLines="50" w:before="166" w:after="166"/>
        <w:ind w:left="578" w:hanging="578"/>
        <w:rPr>
          <w:rFonts w:ascii="Times New Roman" w:eastAsia="楷体_GB2312" w:hAnsi="Times New Roman"/>
          <w:sz w:val="36"/>
        </w:rPr>
      </w:pPr>
      <w:bookmarkStart w:id="276" w:name="_Toc23916"/>
      <w:r>
        <w:rPr>
          <w:rFonts w:ascii="Times New Roman" w:eastAsia="楷体_GB2312" w:hAnsi="Times New Roman"/>
          <w:sz w:val="36"/>
        </w:rPr>
        <w:lastRenderedPageBreak/>
        <w:t>6.4</w:t>
      </w:r>
      <w:r>
        <w:rPr>
          <w:rFonts w:ascii="Times New Roman" w:eastAsia="楷体_GB2312" w:hAnsi="Times New Roman"/>
          <w:sz w:val="36"/>
        </w:rPr>
        <w:t>运营期噪声防治措施</w:t>
      </w:r>
      <w:bookmarkEnd w:id="272"/>
      <w:bookmarkEnd w:id="273"/>
      <w:bookmarkEnd w:id="274"/>
      <w:bookmarkEnd w:id="275"/>
      <w:bookmarkEnd w:id="276"/>
    </w:p>
    <w:p w:rsidR="00525419" w:rsidRDefault="00EE1CF7">
      <w:pPr>
        <w:spacing w:line="360" w:lineRule="auto"/>
        <w:ind w:firstLineChars="200" w:firstLine="480"/>
        <w:rPr>
          <w:rFonts w:ascii="Times New Roman" w:hAnsi="Times New Roman"/>
          <w:sz w:val="24"/>
        </w:rPr>
      </w:pPr>
      <w:r>
        <w:rPr>
          <w:rFonts w:ascii="Times New Roman" w:hAnsi="Times New Roman"/>
          <w:sz w:val="24"/>
        </w:rPr>
        <w:t>噪声污染主要从声源、传播途径和受体防护三个方面进行防治。本项目选用低噪声设备，采用设备消声、隔振、减振等措施从声源上控制噪声。采用隔声、吸声等措施在传播途径上降噪。</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本项目新建设工艺生装置及装卸区。全部为露天装置，且建设场地为新疆美汇特石化产品有限公司现厂区空地上，远离办公生活区。根据本项目的特点，目前企业已采取的噪声防治措施如下：</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）泵机组和电机处设隔声罩或局部隔声罩、内衬吸声材料；</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）电机部分根据型号配置消声器；</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）泵的进出口接管做挠性连接或弹性连接；</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）泵机组做金属弹簧、橡胶减震器等隔振、减振处理；</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）设备等设置隔声罩；</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6</w:t>
      </w:r>
      <w:r>
        <w:rPr>
          <w:rFonts w:ascii="Times New Roman" w:hAnsi="Times New Roman"/>
          <w:sz w:val="24"/>
        </w:rPr>
        <w:t>）风机进、出口加设合型号的消声器；</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7</w:t>
      </w:r>
      <w:r>
        <w:rPr>
          <w:rFonts w:ascii="Times New Roman" w:hAnsi="Times New Roman"/>
          <w:sz w:val="24"/>
        </w:rPr>
        <w:t>）选用低噪声风机；</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8</w:t>
      </w:r>
      <w:r>
        <w:rPr>
          <w:rFonts w:ascii="Times New Roman" w:hAnsi="Times New Roman"/>
          <w:sz w:val="24"/>
        </w:rPr>
        <w:t>）对震动较大的风机机组的基础采用隔振与减振措施，其管路选用弹性软连接。</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w:t>
      </w:r>
      <w:r>
        <w:rPr>
          <w:rFonts w:ascii="Times New Roman" w:hAnsi="Times New Roman"/>
          <w:sz w:val="24"/>
        </w:rPr>
        <w:t xml:space="preserve"> </w:t>
      </w:r>
      <w:r>
        <w:rPr>
          <w:rFonts w:ascii="Times New Roman" w:hAnsi="Times New Roman"/>
          <w:sz w:val="24"/>
        </w:rPr>
        <w:t>烟气通过风机与排气筒时顺利排出，不反复折叠和产生湍流；除尘风机与排气筒之间设置为软连接。</w:t>
      </w:r>
    </w:p>
    <w:p w:rsidR="00525419" w:rsidRDefault="00EE1CF7">
      <w:pPr>
        <w:spacing w:line="360" w:lineRule="auto"/>
        <w:ind w:firstLineChars="200" w:firstLine="480"/>
        <w:rPr>
          <w:rFonts w:ascii="Times New Roman" w:hAnsi="Times New Roman"/>
          <w:sz w:val="24"/>
        </w:rPr>
      </w:pPr>
      <w:r>
        <w:rPr>
          <w:rFonts w:ascii="Times New Roman" w:hAnsi="Times New Roman"/>
          <w:sz w:val="24"/>
          <w:szCs w:val="24"/>
        </w:rPr>
        <w:t>根据现状声环境监测结果，目前企业厂界噪声昼夜间监测值满足《工业企业厂界环境噪声排放标准》</w:t>
      </w:r>
      <w:r>
        <w:rPr>
          <w:rFonts w:ascii="Times New Roman" w:hAnsi="Times New Roman"/>
          <w:sz w:val="24"/>
          <w:szCs w:val="24"/>
        </w:rPr>
        <w:t>3</w:t>
      </w:r>
      <w:r>
        <w:rPr>
          <w:rFonts w:ascii="Times New Roman" w:hAnsi="Times New Roman"/>
          <w:sz w:val="24"/>
          <w:szCs w:val="24"/>
        </w:rPr>
        <w:t>类功能区排放标准（昼间</w:t>
      </w:r>
      <w:r>
        <w:rPr>
          <w:rFonts w:ascii="Times New Roman" w:hAnsi="Times New Roman"/>
          <w:sz w:val="24"/>
          <w:szCs w:val="24"/>
        </w:rPr>
        <w:t>65dB(A)</w:t>
      </w:r>
      <w:r>
        <w:rPr>
          <w:rFonts w:ascii="Times New Roman" w:hAnsi="Times New Roman"/>
          <w:sz w:val="24"/>
          <w:szCs w:val="24"/>
        </w:rPr>
        <w:t>，夜间</w:t>
      </w:r>
      <w:r>
        <w:rPr>
          <w:rFonts w:ascii="Times New Roman" w:hAnsi="Times New Roman"/>
          <w:sz w:val="24"/>
          <w:szCs w:val="24"/>
        </w:rPr>
        <w:t>55dB(A)</w:t>
      </w:r>
      <w:r>
        <w:rPr>
          <w:rFonts w:ascii="Times New Roman" w:hAnsi="Times New Roman"/>
          <w:sz w:val="24"/>
          <w:szCs w:val="24"/>
        </w:rPr>
        <w:t>）要求，</w:t>
      </w:r>
      <w:r>
        <w:rPr>
          <w:rFonts w:ascii="Times New Roman" w:hAnsi="Times New Roman"/>
          <w:sz w:val="24"/>
        </w:rPr>
        <w:t>因此噪声防治措施可行。</w:t>
      </w:r>
    </w:p>
    <w:p w:rsidR="00525419" w:rsidRDefault="00EE1CF7" w:rsidP="00EE1CF7">
      <w:pPr>
        <w:pStyle w:val="2a"/>
        <w:spacing w:beforeLines="50" w:before="166" w:after="166"/>
        <w:ind w:left="578" w:hanging="578"/>
        <w:rPr>
          <w:rFonts w:ascii="Times New Roman" w:eastAsia="楷体_GB2312" w:hAnsi="Times New Roman"/>
          <w:sz w:val="36"/>
        </w:rPr>
      </w:pPr>
      <w:bookmarkStart w:id="277" w:name="_Toc388894077"/>
      <w:bookmarkStart w:id="278" w:name="_Toc12513"/>
      <w:bookmarkStart w:id="279" w:name="_Toc484775656"/>
      <w:r>
        <w:rPr>
          <w:rFonts w:ascii="Times New Roman" w:eastAsia="楷体_GB2312" w:hAnsi="Times New Roman"/>
          <w:sz w:val="36"/>
        </w:rPr>
        <w:t>6.</w:t>
      </w:r>
      <w:bookmarkEnd w:id="277"/>
      <w:r>
        <w:rPr>
          <w:rFonts w:ascii="Times New Roman" w:eastAsia="楷体_GB2312" w:hAnsi="Times New Roman"/>
          <w:sz w:val="36"/>
        </w:rPr>
        <w:t>5</w:t>
      </w:r>
      <w:r>
        <w:rPr>
          <w:rFonts w:ascii="Times New Roman" w:eastAsia="楷体_GB2312" w:hAnsi="Times New Roman"/>
          <w:sz w:val="36"/>
        </w:rPr>
        <w:t>运营期固体废物污染防治措施</w:t>
      </w:r>
      <w:bookmarkEnd w:id="278"/>
      <w:bookmarkEnd w:id="279"/>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6.5.1</w:t>
      </w:r>
      <w:r>
        <w:rPr>
          <w:rFonts w:ascii="Times New Roman" w:eastAsia="华文楷体" w:hAnsi="Times New Roman"/>
        </w:rPr>
        <w:t>固体废物收集污染防治措施</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本项目新增生活垃圾通过垃圾箱定点集中收集，减少了因垃圾乱堆乱放造成的环境影响；新增浮渣收集到浮渣池；危险废物收集到专用密闭式收集容器。收</w:t>
      </w:r>
      <w:r>
        <w:rPr>
          <w:rFonts w:ascii="Times New Roman" w:hAnsi="Times New Roman"/>
          <w:sz w:val="24"/>
        </w:rPr>
        <w:lastRenderedPageBreak/>
        <w:t>集危险废物的密闭容器上贴有标签，在标签上详细标明危险废物的名称、重量、成分、特性以及发生泄漏、扩散污染事故时的应急措施和补救方法。</w:t>
      </w:r>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6.5.2</w:t>
      </w:r>
      <w:r>
        <w:rPr>
          <w:rFonts w:ascii="Times New Roman" w:eastAsia="华文楷体" w:hAnsi="Times New Roman"/>
        </w:rPr>
        <w:t>固体废物贮存污染防治措施</w:t>
      </w:r>
    </w:p>
    <w:p w:rsidR="00525419" w:rsidRDefault="00EE1CF7">
      <w:pPr>
        <w:spacing w:line="360" w:lineRule="auto"/>
        <w:ind w:firstLineChars="200" w:firstLine="480"/>
        <w:rPr>
          <w:rFonts w:ascii="Times New Roman" w:hAnsi="Times New Roman"/>
          <w:sz w:val="24"/>
        </w:rPr>
      </w:pPr>
      <w:r>
        <w:rPr>
          <w:rFonts w:ascii="Times New Roman" w:hAnsi="Times New Roman"/>
          <w:sz w:val="24"/>
          <w:lang w:val="zh-CN"/>
        </w:rPr>
        <w:t>生活垃圾在厂内设垃圾箱暂存，采取及时清运。</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厂区现工程建成的危险废物暂存间采取了</w:t>
      </w:r>
      <w:r>
        <w:rPr>
          <w:rFonts w:ascii="Times New Roman" w:hAnsi="Times New Roman"/>
          <w:sz w:val="24"/>
        </w:rPr>
        <w:t>“</w:t>
      </w:r>
      <w:r>
        <w:rPr>
          <w:rFonts w:ascii="Times New Roman" w:hAnsi="Times New Roman"/>
          <w:sz w:val="24"/>
        </w:rPr>
        <w:t>四防</w:t>
      </w:r>
      <w:r>
        <w:rPr>
          <w:rFonts w:ascii="Times New Roman" w:hAnsi="Times New Roman"/>
          <w:sz w:val="24"/>
        </w:rPr>
        <w:t>”</w:t>
      </w:r>
      <w:r>
        <w:rPr>
          <w:rFonts w:ascii="Times New Roman" w:hAnsi="Times New Roman"/>
          <w:sz w:val="24"/>
        </w:rPr>
        <w:t>（防风、</w:t>
      </w:r>
      <w:r>
        <w:rPr>
          <w:rFonts w:ascii="Times New Roman" w:hAnsi="Times New Roman"/>
          <w:sz w:val="24"/>
        </w:rPr>
        <w:t xml:space="preserve"> </w:t>
      </w:r>
      <w:r>
        <w:rPr>
          <w:rFonts w:ascii="Times New Roman" w:hAnsi="Times New Roman"/>
          <w:sz w:val="24"/>
        </w:rPr>
        <w:t>防雨、</w:t>
      </w:r>
      <w:r>
        <w:rPr>
          <w:rFonts w:ascii="Times New Roman" w:hAnsi="Times New Roman"/>
          <w:sz w:val="24"/>
        </w:rPr>
        <w:t xml:space="preserve"> </w:t>
      </w:r>
      <w:r>
        <w:rPr>
          <w:rFonts w:ascii="Times New Roman" w:hAnsi="Times New Roman"/>
          <w:sz w:val="24"/>
        </w:rPr>
        <w:t>防晒、</w:t>
      </w:r>
      <w:r>
        <w:rPr>
          <w:rFonts w:ascii="Times New Roman" w:hAnsi="Times New Roman"/>
          <w:sz w:val="24"/>
        </w:rPr>
        <w:t xml:space="preserve"> </w:t>
      </w:r>
      <w:r>
        <w:rPr>
          <w:rFonts w:ascii="Times New Roman" w:hAnsi="Times New Roman"/>
          <w:sz w:val="24"/>
        </w:rPr>
        <w:t>防渗漏）、分区堆放及警示标识，厂区已建成的危险废物贮存场所的建设、管理和运营符合《危险废物贮存污染控制标准》</w:t>
      </w:r>
      <w:r>
        <w:rPr>
          <w:rFonts w:ascii="Times New Roman" w:hAnsi="Times New Roman"/>
          <w:sz w:val="24"/>
        </w:rPr>
        <w:t>(GB18597-2001)</w:t>
      </w:r>
      <w:r>
        <w:rPr>
          <w:rFonts w:ascii="Times New Roman" w:hAnsi="Times New Roman"/>
          <w:sz w:val="24"/>
        </w:rPr>
        <w:t>、《危险废物污染防治技术政策》的要求。</w:t>
      </w:r>
    </w:p>
    <w:p w:rsidR="00525419" w:rsidRDefault="00EE1CF7">
      <w:pPr>
        <w:spacing w:line="360" w:lineRule="auto"/>
        <w:ind w:firstLineChars="200" w:firstLine="480"/>
        <w:rPr>
          <w:rFonts w:ascii="Times New Roman" w:hAnsi="Times New Roman"/>
          <w:sz w:val="24"/>
        </w:rPr>
      </w:pPr>
      <w:r>
        <w:rPr>
          <w:rFonts w:ascii="Times New Roman" w:hAnsi="Times New Roman"/>
          <w:sz w:val="24"/>
          <w:szCs w:val="24"/>
        </w:rPr>
        <w:t>本项目产生的废催化剂、油泥等危险废物在厂区危险废物暂存间临时贮存，定期交由有资质单位处置。本项目在厂区贮存的危险废物</w:t>
      </w:r>
      <w:r>
        <w:rPr>
          <w:rFonts w:ascii="Times New Roman" w:hAnsi="Times New Roman"/>
          <w:sz w:val="24"/>
        </w:rPr>
        <w:t>与现有工程产生的危险废物是相同的或类似的，且进行的不同危险废物分区堆放，杜绝了不相容的危险废物混堆混放，因此依托厂区现危险废物库房临时贮存本项目产生的危险废物是可行的。</w:t>
      </w:r>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6.5.3</w:t>
      </w:r>
      <w:r>
        <w:rPr>
          <w:rFonts w:ascii="Times New Roman" w:eastAsia="华文楷体" w:hAnsi="Times New Roman"/>
        </w:rPr>
        <w:t>固体废物处理处置污染防治措施</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生活垃圾委托环卫部门统一清运。</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本项目危险废物采用专门的车辆，密闭运输到有资质单位处置，严格禁止抛洒滴漏，杜绝在运输过程中造成环境的二次污染。</w:t>
      </w:r>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6.5.4</w:t>
      </w:r>
      <w:r>
        <w:rPr>
          <w:rFonts w:ascii="Times New Roman" w:eastAsia="华文楷体" w:hAnsi="Times New Roman"/>
        </w:rPr>
        <w:t>固体废物安全处理处置可靠性分析</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）生活垃圾</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生活垃圾委托火车站镇环卫部门统一清运，定期拉运至火车站镇生活垃圾填埋场填埋。</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）危险废物</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本项目清罐、塔等检修油泥及气浮单元产生的浮渣、废催化剂等危险废物均送有处理资质单位处置；废瓷球等一般工业固废交由厂家回收。</w:t>
      </w:r>
    </w:p>
    <w:p w:rsidR="00525419" w:rsidRDefault="00EE1CF7">
      <w:pPr>
        <w:pStyle w:val="2f5"/>
        <w:spacing w:after="0" w:line="360" w:lineRule="auto"/>
        <w:ind w:leftChars="0" w:left="0" w:firstLine="480"/>
        <w:rPr>
          <w:sz w:val="24"/>
        </w:rPr>
      </w:pPr>
      <w:r>
        <w:rPr>
          <w:sz w:val="24"/>
        </w:rPr>
        <w:t>本项目固体废物综合处置率达</w:t>
      </w:r>
      <w:r>
        <w:rPr>
          <w:sz w:val="24"/>
        </w:rPr>
        <w:t>100%</w:t>
      </w:r>
      <w:r>
        <w:rPr>
          <w:sz w:val="24"/>
        </w:rPr>
        <w:t>，在落实好固废安全处置的情况下，不</w:t>
      </w:r>
      <w:r>
        <w:rPr>
          <w:sz w:val="24"/>
        </w:rPr>
        <w:lastRenderedPageBreak/>
        <w:t>会造成二次污染，不会对周围环境造成影响，其固废防治措施是可行的。</w:t>
      </w:r>
    </w:p>
    <w:p w:rsidR="00525419" w:rsidRDefault="00EE1CF7" w:rsidP="00EE1CF7">
      <w:pPr>
        <w:pStyle w:val="2a"/>
        <w:spacing w:beforeLines="50" w:before="166" w:after="166"/>
        <w:ind w:left="578" w:hanging="578"/>
        <w:rPr>
          <w:rFonts w:ascii="Times New Roman" w:eastAsia="楷体_GB2312" w:hAnsi="Times New Roman"/>
          <w:sz w:val="36"/>
        </w:rPr>
      </w:pPr>
      <w:bookmarkStart w:id="280" w:name="_Toc20672"/>
      <w:r>
        <w:rPr>
          <w:rFonts w:ascii="Times New Roman" w:eastAsia="楷体_GB2312" w:hAnsi="Times New Roman"/>
          <w:sz w:val="36"/>
        </w:rPr>
        <w:t>6.6</w:t>
      </w:r>
      <w:r>
        <w:rPr>
          <w:rFonts w:ascii="Times New Roman" w:eastAsia="楷体_GB2312" w:hAnsi="Times New Roman"/>
          <w:sz w:val="36"/>
        </w:rPr>
        <w:t>土壤污染治理措施</w:t>
      </w:r>
      <w:bookmarkEnd w:id="280"/>
    </w:p>
    <w:p w:rsidR="00525419" w:rsidRDefault="00EE1CF7">
      <w:pPr>
        <w:autoSpaceDE w:val="0"/>
        <w:autoSpaceDN w:val="0"/>
        <w:adjustRightInd w:val="0"/>
        <w:spacing w:after="120" w:line="360" w:lineRule="auto"/>
        <w:ind w:firstLineChars="200" w:firstLine="480"/>
        <w:rPr>
          <w:rFonts w:ascii="Times New Roman" w:hAnsi="Times New Roman"/>
          <w:sz w:val="24"/>
          <w:szCs w:val="24"/>
        </w:rPr>
      </w:pPr>
      <w:r>
        <w:rPr>
          <w:rFonts w:ascii="Times New Roman" w:hAnsi="Times New Roman"/>
          <w:sz w:val="24"/>
          <w:szCs w:val="24"/>
        </w:rPr>
        <w:t>根据现状调查，本建设项目占地范围内的土壤环境质量不存在超标点位，因此无需采取土壤修复措施。对于项目后续建设、运行，需从以下方面采取污染防治措施。</w:t>
      </w:r>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6.6.1</w:t>
      </w:r>
      <w:r>
        <w:rPr>
          <w:rFonts w:ascii="Times New Roman" w:eastAsia="华文楷体" w:hAnsi="Times New Roman"/>
        </w:rPr>
        <w:t>源头控制措施</w:t>
      </w:r>
    </w:p>
    <w:p w:rsidR="00525419" w:rsidRDefault="00EE1CF7">
      <w:pPr>
        <w:autoSpaceDE w:val="0"/>
        <w:autoSpaceDN w:val="0"/>
        <w:adjustRightInd w:val="0"/>
        <w:spacing w:after="120" w:line="360" w:lineRule="auto"/>
        <w:ind w:firstLineChars="200" w:firstLine="480"/>
        <w:rPr>
          <w:rFonts w:ascii="Times New Roman" w:hAnsi="Times New Roman"/>
          <w:sz w:val="24"/>
          <w:szCs w:val="24"/>
        </w:rPr>
      </w:pPr>
      <w:r>
        <w:rPr>
          <w:rFonts w:ascii="Times New Roman" w:hAnsi="Times New Roman"/>
          <w:sz w:val="24"/>
          <w:szCs w:val="24"/>
        </w:rPr>
        <w:t>对于大气污染物，应实现达标排放，有效消灭各种无组织废气排放源，减少土壤累积污染影响。</w:t>
      </w:r>
    </w:p>
    <w:p w:rsidR="00525419" w:rsidRDefault="00EE1CF7">
      <w:pPr>
        <w:autoSpaceDE w:val="0"/>
        <w:autoSpaceDN w:val="0"/>
        <w:adjustRightInd w:val="0"/>
        <w:spacing w:after="120" w:line="360" w:lineRule="auto"/>
        <w:ind w:firstLineChars="200" w:firstLine="480"/>
        <w:rPr>
          <w:rFonts w:ascii="Times New Roman" w:hAnsi="Times New Roman"/>
          <w:sz w:val="24"/>
          <w:szCs w:val="24"/>
        </w:rPr>
      </w:pPr>
      <w:r>
        <w:rPr>
          <w:rFonts w:ascii="Times New Roman" w:hAnsi="Times New Roman"/>
          <w:sz w:val="24"/>
          <w:szCs w:val="24"/>
        </w:rPr>
        <w:t>对储罐区、装置区、污水处理站可能产生的物料泄露等问题，严格按照国家相关规范要求，对工艺、管道、设备、储罐采取相应的措施，以防止和降低污染物的跑、冒、滴、漏，将环境风险事故降低到最低。优化排水系统设计，管线敷设尽量采用</w:t>
      </w:r>
      <w:r>
        <w:rPr>
          <w:rFonts w:ascii="Times New Roman" w:hAnsi="Times New Roman"/>
          <w:sz w:val="24"/>
          <w:szCs w:val="24"/>
        </w:rPr>
        <w:t>“</w:t>
      </w:r>
      <w:r>
        <w:rPr>
          <w:rFonts w:ascii="Times New Roman" w:hAnsi="Times New Roman"/>
          <w:sz w:val="24"/>
          <w:szCs w:val="24"/>
        </w:rPr>
        <w:t>可视化</w:t>
      </w:r>
      <w:r>
        <w:rPr>
          <w:rFonts w:ascii="Times New Roman" w:hAnsi="Times New Roman"/>
          <w:sz w:val="24"/>
          <w:szCs w:val="24"/>
        </w:rPr>
        <w:t>”</w:t>
      </w:r>
      <w:r>
        <w:rPr>
          <w:rFonts w:ascii="Times New Roman" w:hAnsi="Times New Roman"/>
          <w:sz w:val="24"/>
          <w:szCs w:val="24"/>
        </w:rPr>
        <w:t>原则，即管道尽可能地上敷设，做到污染物</w:t>
      </w:r>
      <w:r>
        <w:rPr>
          <w:rFonts w:ascii="Times New Roman" w:hAnsi="Times New Roman"/>
          <w:sz w:val="24"/>
          <w:szCs w:val="24"/>
        </w:rPr>
        <w:t>“</w:t>
      </w:r>
      <w:r>
        <w:rPr>
          <w:rFonts w:ascii="Times New Roman" w:hAnsi="Times New Roman"/>
          <w:sz w:val="24"/>
          <w:szCs w:val="24"/>
        </w:rPr>
        <w:t>早发现、早处理</w:t>
      </w:r>
      <w:r>
        <w:rPr>
          <w:rFonts w:ascii="Times New Roman" w:hAnsi="Times New Roman"/>
          <w:sz w:val="24"/>
          <w:szCs w:val="24"/>
        </w:rPr>
        <w:t>”</w:t>
      </w:r>
      <w:r>
        <w:rPr>
          <w:rFonts w:ascii="Times New Roman" w:hAnsi="Times New Roman"/>
          <w:sz w:val="24"/>
          <w:szCs w:val="24"/>
        </w:rPr>
        <w:t>，以减少由于埋地管道泄漏而可能造成的土壤污染。</w:t>
      </w:r>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6.6.2</w:t>
      </w:r>
      <w:r>
        <w:rPr>
          <w:rFonts w:ascii="Times New Roman" w:eastAsia="华文楷体" w:hAnsi="Times New Roman"/>
        </w:rPr>
        <w:t>过程控制措施</w:t>
      </w:r>
    </w:p>
    <w:p w:rsidR="00525419" w:rsidRDefault="00EE1CF7">
      <w:pPr>
        <w:autoSpaceDE w:val="0"/>
        <w:autoSpaceDN w:val="0"/>
        <w:adjustRightInd w:val="0"/>
        <w:spacing w:after="120" w:line="360" w:lineRule="auto"/>
        <w:ind w:firstLineChars="200" w:firstLine="480"/>
        <w:rPr>
          <w:rFonts w:ascii="Times New Roman" w:hAnsi="Times New Roman"/>
          <w:sz w:val="24"/>
          <w:szCs w:val="24"/>
        </w:rPr>
      </w:pPr>
      <w:r>
        <w:rPr>
          <w:rFonts w:ascii="Times New Roman" w:hAnsi="Times New Roman"/>
          <w:sz w:val="24"/>
          <w:szCs w:val="24"/>
        </w:rPr>
        <w:t>根据行业特点与占地范围内的土壤特性，参照《石油化工工程防渗技术规范》（</w:t>
      </w:r>
      <w:r>
        <w:rPr>
          <w:rFonts w:ascii="Times New Roman" w:hAnsi="Times New Roman"/>
          <w:sz w:val="24"/>
          <w:szCs w:val="24"/>
        </w:rPr>
        <w:t>GB/T50934-2013</w:t>
      </w:r>
      <w:r>
        <w:rPr>
          <w:rFonts w:ascii="Times New Roman" w:hAnsi="Times New Roman"/>
          <w:sz w:val="24"/>
          <w:szCs w:val="24"/>
        </w:rPr>
        <w:t>）中的技术要求采取过程阻断、污染物削减和分区防控措施。</w:t>
      </w:r>
    </w:p>
    <w:p w:rsidR="00525419" w:rsidRDefault="00EE1CF7">
      <w:pPr>
        <w:autoSpaceDE w:val="0"/>
        <w:autoSpaceDN w:val="0"/>
        <w:adjustRightInd w:val="0"/>
        <w:spacing w:after="120" w:line="360" w:lineRule="auto"/>
        <w:ind w:firstLineChars="200" w:firstLine="480"/>
        <w:rPr>
          <w:rFonts w:ascii="Times New Roman" w:hAnsi="Times New Roman"/>
          <w:kern w:val="0"/>
          <w:sz w:val="24"/>
          <w:szCs w:val="24"/>
        </w:rPr>
      </w:pPr>
      <w:r>
        <w:rPr>
          <w:rFonts w:ascii="Times New Roman" w:hAnsi="Times New Roman"/>
          <w:kern w:val="0"/>
          <w:sz w:val="24"/>
          <w:szCs w:val="24"/>
        </w:rPr>
        <w:t>针对装置区、装卸区、储罐区及污水处理装置采取相应的防渗措施，可以有效阻隔泄漏污染物与土壤之间的传播途径。</w:t>
      </w:r>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6.6.3</w:t>
      </w:r>
      <w:r>
        <w:rPr>
          <w:rFonts w:ascii="Times New Roman" w:eastAsia="华文楷体" w:hAnsi="Times New Roman"/>
        </w:rPr>
        <w:t>跟踪监测</w:t>
      </w:r>
    </w:p>
    <w:p w:rsidR="00525419" w:rsidRDefault="00EE1CF7">
      <w:pPr>
        <w:autoSpaceDE w:val="0"/>
        <w:autoSpaceDN w:val="0"/>
        <w:adjustRightInd w:val="0"/>
        <w:spacing w:after="120" w:line="360" w:lineRule="auto"/>
        <w:ind w:firstLineChars="200" w:firstLine="480"/>
        <w:rPr>
          <w:rFonts w:ascii="Times New Roman" w:hAnsi="Times New Roman"/>
          <w:sz w:val="24"/>
          <w:szCs w:val="24"/>
        </w:rPr>
      </w:pPr>
      <w:r>
        <w:rPr>
          <w:rFonts w:ascii="Times New Roman" w:hAnsi="Times New Roman"/>
          <w:sz w:val="24"/>
          <w:szCs w:val="24"/>
        </w:rPr>
        <w:t>本项目应每</w:t>
      </w:r>
      <w:r>
        <w:rPr>
          <w:rFonts w:ascii="Times New Roman" w:hAnsi="Times New Roman"/>
          <w:sz w:val="24"/>
          <w:szCs w:val="24"/>
        </w:rPr>
        <w:t>5</w:t>
      </w:r>
      <w:r>
        <w:rPr>
          <w:rFonts w:ascii="Times New Roman" w:hAnsi="Times New Roman"/>
          <w:sz w:val="24"/>
          <w:szCs w:val="24"/>
        </w:rPr>
        <w:t>年开展一次跟踪监测工作，监测点位布设见表</w:t>
      </w:r>
      <w:r>
        <w:rPr>
          <w:rFonts w:ascii="Times New Roman" w:hAnsi="Times New Roman"/>
          <w:sz w:val="24"/>
          <w:szCs w:val="24"/>
        </w:rPr>
        <w:t>6.6-1</w:t>
      </w:r>
      <w:r>
        <w:rPr>
          <w:rFonts w:ascii="Times New Roman" w:hAnsi="Times New Roman"/>
          <w:sz w:val="24"/>
          <w:szCs w:val="24"/>
        </w:rPr>
        <w:t>。</w:t>
      </w:r>
    </w:p>
    <w:p w:rsidR="00525419" w:rsidRDefault="00EE1CF7">
      <w:pPr>
        <w:autoSpaceDE w:val="0"/>
        <w:autoSpaceDN w:val="0"/>
        <w:adjustRightInd w:val="0"/>
        <w:jc w:val="center"/>
        <w:rPr>
          <w:rFonts w:ascii="Times New Roman" w:eastAsia="黑体" w:hAnsi="Times New Roman"/>
          <w:kern w:val="0"/>
          <w:szCs w:val="21"/>
        </w:rPr>
      </w:pPr>
      <w:r>
        <w:rPr>
          <w:rFonts w:ascii="Times New Roman" w:eastAsia="黑体" w:hAnsi="Times New Roman"/>
          <w:kern w:val="0"/>
          <w:szCs w:val="21"/>
        </w:rPr>
        <w:t>表</w:t>
      </w:r>
      <w:r>
        <w:rPr>
          <w:rFonts w:ascii="Times New Roman" w:eastAsia="黑体" w:hAnsi="Times New Roman"/>
          <w:kern w:val="0"/>
          <w:szCs w:val="21"/>
        </w:rPr>
        <w:t xml:space="preserve">6.6-1      </w:t>
      </w:r>
      <w:r>
        <w:rPr>
          <w:rFonts w:ascii="Times New Roman" w:eastAsia="黑体" w:hAnsi="Times New Roman"/>
          <w:kern w:val="0"/>
          <w:szCs w:val="21"/>
        </w:rPr>
        <w:t>土壤监测点布设方案一览表</w:t>
      </w:r>
    </w:p>
    <w:tbl>
      <w:tblPr>
        <w:tblW w:w="85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81"/>
        <w:gridCol w:w="877"/>
        <w:gridCol w:w="2159"/>
        <w:gridCol w:w="984"/>
        <w:gridCol w:w="2277"/>
        <w:gridCol w:w="1633"/>
      </w:tblGrid>
      <w:tr w:rsidR="00525419">
        <w:trPr>
          <w:trHeight w:val="397"/>
        </w:trPr>
        <w:tc>
          <w:tcPr>
            <w:tcW w:w="581" w:type="dxa"/>
            <w:vAlign w:val="center"/>
          </w:tcPr>
          <w:p w:rsidR="00525419" w:rsidRDefault="00EE1CF7">
            <w:pPr>
              <w:pStyle w:val="B2"/>
              <w:rPr>
                <w:rFonts w:cs="Times New Roman"/>
              </w:rPr>
            </w:pPr>
            <w:r>
              <w:rPr>
                <w:rFonts w:cs="Times New Roman"/>
              </w:rPr>
              <w:t>序号</w:t>
            </w:r>
          </w:p>
        </w:tc>
        <w:tc>
          <w:tcPr>
            <w:tcW w:w="877" w:type="dxa"/>
            <w:vAlign w:val="center"/>
          </w:tcPr>
          <w:p w:rsidR="00525419" w:rsidRDefault="00EE1CF7">
            <w:pPr>
              <w:pStyle w:val="B2"/>
              <w:rPr>
                <w:rFonts w:cs="Times New Roman"/>
              </w:rPr>
            </w:pPr>
            <w:r>
              <w:rPr>
                <w:rFonts w:cs="Times New Roman"/>
              </w:rPr>
              <w:t>区域</w:t>
            </w:r>
          </w:p>
        </w:tc>
        <w:tc>
          <w:tcPr>
            <w:tcW w:w="2159" w:type="dxa"/>
            <w:vAlign w:val="center"/>
          </w:tcPr>
          <w:p w:rsidR="00525419" w:rsidRDefault="00EE1CF7">
            <w:pPr>
              <w:pStyle w:val="B2"/>
              <w:rPr>
                <w:rFonts w:cs="Times New Roman"/>
              </w:rPr>
            </w:pPr>
            <w:r>
              <w:rPr>
                <w:rFonts w:cs="Times New Roman"/>
              </w:rPr>
              <w:t>监测点名称</w:t>
            </w:r>
          </w:p>
        </w:tc>
        <w:tc>
          <w:tcPr>
            <w:tcW w:w="984" w:type="dxa"/>
            <w:vAlign w:val="center"/>
          </w:tcPr>
          <w:p w:rsidR="00525419" w:rsidRDefault="00EE1CF7">
            <w:pPr>
              <w:pStyle w:val="B2"/>
              <w:rPr>
                <w:rFonts w:cs="Times New Roman"/>
              </w:rPr>
            </w:pPr>
            <w:r>
              <w:rPr>
                <w:rFonts w:cs="Times New Roman"/>
              </w:rPr>
              <w:t>距离</w:t>
            </w:r>
          </w:p>
        </w:tc>
        <w:tc>
          <w:tcPr>
            <w:tcW w:w="2277" w:type="dxa"/>
            <w:vAlign w:val="center"/>
          </w:tcPr>
          <w:p w:rsidR="00525419" w:rsidRDefault="00EE1CF7">
            <w:pPr>
              <w:pStyle w:val="B2"/>
              <w:rPr>
                <w:rFonts w:cs="Times New Roman"/>
              </w:rPr>
            </w:pPr>
            <w:r>
              <w:rPr>
                <w:rFonts w:cs="Times New Roman"/>
              </w:rPr>
              <w:t>取样深度</w:t>
            </w:r>
          </w:p>
        </w:tc>
        <w:tc>
          <w:tcPr>
            <w:tcW w:w="1633" w:type="dxa"/>
            <w:vAlign w:val="center"/>
          </w:tcPr>
          <w:p w:rsidR="00525419" w:rsidRDefault="00EE1CF7">
            <w:pPr>
              <w:pStyle w:val="B2"/>
              <w:rPr>
                <w:rFonts w:cs="Times New Roman"/>
              </w:rPr>
            </w:pPr>
            <w:r>
              <w:rPr>
                <w:rFonts w:cs="Times New Roman"/>
              </w:rPr>
              <w:t>监测因子</w:t>
            </w:r>
          </w:p>
        </w:tc>
      </w:tr>
      <w:tr w:rsidR="00525419">
        <w:trPr>
          <w:trHeight w:val="90"/>
        </w:trPr>
        <w:tc>
          <w:tcPr>
            <w:tcW w:w="581" w:type="dxa"/>
            <w:vAlign w:val="center"/>
          </w:tcPr>
          <w:p w:rsidR="00525419" w:rsidRDefault="00EE1CF7">
            <w:pPr>
              <w:pStyle w:val="B2"/>
              <w:rPr>
                <w:rFonts w:cs="Times New Roman"/>
              </w:rPr>
            </w:pPr>
            <w:r>
              <w:rPr>
                <w:rFonts w:cs="Times New Roman"/>
              </w:rPr>
              <w:t>1#</w:t>
            </w:r>
          </w:p>
        </w:tc>
        <w:tc>
          <w:tcPr>
            <w:tcW w:w="877" w:type="dxa"/>
            <w:vMerge w:val="restart"/>
            <w:vAlign w:val="center"/>
          </w:tcPr>
          <w:p w:rsidR="00525419" w:rsidRDefault="00EE1CF7">
            <w:pPr>
              <w:pStyle w:val="B2"/>
              <w:rPr>
                <w:rFonts w:cs="Times New Roman"/>
              </w:rPr>
            </w:pPr>
            <w:r>
              <w:rPr>
                <w:rFonts w:cs="Times New Roman"/>
              </w:rPr>
              <w:t>项目</w:t>
            </w:r>
          </w:p>
          <w:p w:rsidR="00525419" w:rsidRDefault="00EE1CF7">
            <w:pPr>
              <w:pStyle w:val="B2"/>
              <w:rPr>
                <w:rFonts w:cs="Times New Roman"/>
              </w:rPr>
            </w:pPr>
            <w:r>
              <w:rPr>
                <w:rFonts w:cs="Times New Roman"/>
              </w:rPr>
              <w:lastRenderedPageBreak/>
              <w:t>区内</w:t>
            </w:r>
          </w:p>
        </w:tc>
        <w:tc>
          <w:tcPr>
            <w:tcW w:w="2159" w:type="dxa"/>
            <w:vAlign w:val="center"/>
          </w:tcPr>
          <w:p w:rsidR="00525419" w:rsidRDefault="00EE1CF7">
            <w:pPr>
              <w:pStyle w:val="B2"/>
              <w:rPr>
                <w:rFonts w:cs="Times New Roman"/>
              </w:rPr>
            </w:pPr>
            <w:r>
              <w:rPr>
                <w:rFonts w:cs="Times New Roman"/>
                <w:lang w:val="zh-CN"/>
              </w:rPr>
              <w:lastRenderedPageBreak/>
              <w:t>项目区东侧储罐区</w:t>
            </w:r>
          </w:p>
        </w:tc>
        <w:tc>
          <w:tcPr>
            <w:tcW w:w="984" w:type="dxa"/>
            <w:vAlign w:val="center"/>
          </w:tcPr>
          <w:p w:rsidR="00525419" w:rsidRDefault="00EE1CF7">
            <w:pPr>
              <w:pStyle w:val="B2"/>
              <w:rPr>
                <w:rFonts w:cs="Times New Roman"/>
              </w:rPr>
            </w:pPr>
            <w:r>
              <w:rPr>
                <w:rFonts w:cs="Times New Roman"/>
              </w:rPr>
              <w:t>-</w:t>
            </w:r>
          </w:p>
        </w:tc>
        <w:tc>
          <w:tcPr>
            <w:tcW w:w="2277" w:type="dxa"/>
            <w:vAlign w:val="center"/>
          </w:tcPr>
          <w:p w:rsidR="00525419" w:rsidRDefault="00EE1CF7">
            <w:pPr>
              <w:pStyle w:val="B2"/>
              <w:rPr>
                <w:rFonts w:cs="Times New Roman"/>
              </w:rPr>
            </w:pPr>
            <w:r>
              <w:rPr>
                <w:rFonts w:cs="Times New Roman"/>
              </w:rPr>
              <w:t>柱状样</w:t>
            </w:r>
            <w:r>
              <w:rPr>
                <w:rFonts w:cs="Times New Roman"/>
              </w:rPr>
              <w:t>0.5m</w:t>
            </w:r>
            <w:r>
              <w:rPr>
                <w:rFonts w:cs="Times New Roman"/>
              </w:rPr>
              <w:t>、</w:t>
            </w:r>
            <w:r>
              <w:rPr>
                <w:rFonts w:cs="Times New Roman"/>
              </w:rPr>
              <w:t>1m</w:t>
            </w:r>
            <w:r>
              <w:rPr>
                <w:rFonts w:cs="Times New Roman"/>
              </w:rPr>
              <w:t>、</w:t>
            </w:r>
            <w:r>
              <w:rPr>
                <w:rFonts w:cs="Times New Roman"/>
              </w:rPr>
              <w:t>1.5m</w:t>
            </w:r>
          </w:p>
        </w:tc>
        <w:tc>
          <w:tcPr>
            <w:tcW w:w="1633" w:type="dxa"/>
            <w:vMerge w:val="restart"/>
            <w:vAlign w:val="center"/>
          </w:tcPr>
          <w:p w:rsidR="00525419" w:rsidRDefault="00EE1CF7">
            <w:pPr>
              <w:pStyle w:val="B2"/>
              <w:rPr>
                <w:rFonts w:cs="Times New Roman"/>
              </w:rPr>
            </w:pPr>
            <w:r>
              <w:rPr>
                <w:rFonts w:cs="Times New Roman"/>
              </w:rPr>
              <w:t>砷、镉、铬（六</w:t>
            </w:r>
            <w:r>
              <w:rPr>
                <w:rFonts w:cs="Times New Roman"/>
              </w:rPr>
              <w:lastRenderedPageBreak/>
              <w:t>价）、铜、铅、汞、镍、石油烃（</w:t>
            </w:r>
            <w:r>
              <w:rPr>
                <w:rFonts w:cs="Times New Roman"/>
              </w:rPr>
              <w:t>C</w:t>
            </w:r>
            <w:r>
              <w:rPr>
                <w:rFonts w:cs="Times New Roman"/>
                <w:vertAlign w:val="subscript"/>
              </w:rPr>
              <w:t>10</w:t>
            </w:r>
            <w:r>
              <w:rPr>
                <w:rFonts w:cs="Times New Roman"/>
              </w:rPr>
              <w:t>-C</w:t>
            </w:r>
            <w:r>
              <w:rPr>
                <w:rFonts w:cs="Times New Roman"/>
                <w:vertAlign w:val="subscript"/>
              </w:rPr>
              <w:t>40</w:t>
            </w:r>
            <w:r>
              <w:rPr>
                <w:rFonts w:cs="Times New Roman"/>
              </w:rPr>
              <w:t>）、</w:t>
            </w:r>
            <w:r>
              <w:rPr>
                <w:rFonts w:cs="Times New Roman"/>
              </w:rPr>
              <w:t>pH</w:t>
            </w:r>
          </w:p>
        </w:tc>
      </w:tr>
      <w:tr w:rsidR="00525419">
        <w:trPr>
          <w:trHeight w:val="397"/>
        </w:trPr>
        <w:tc>
          <w:tcPr>
            <w:tcW w:w="581" w:type="dxa"/>
            <w:vAlign w:val="center"/>
          </w:tcPr>
          <w:p w:rsidR="00525419" w:rsidRDefault="00EE1CF7">
            <w:pPr>
              <w:pStyle w:val="B2"/>
              <w:rPr>
                <w:rFonts w:cs="Times New Roman"/>
              </w:rPr>
            </w:pPr>
            <w:r>
              <w:rPr>
                <w:rFonts w:cs="Times New Roman"/>
              </w:rPr>
              <w:lastRenderedPageBreak/>
              <w:t>2#</w:t>
            </w:r>
          </w:p>
        </w:tc>
        <w:tc>
          <w:tcPr>
            <w:tcW w:w="877" w:type="dxa"/>
            <w:vMerge/>
            <w:vAlign w:val="center"/>
          </w:tcPr>
          <w:p w:rsidR="00525419" w:rsidRDefault="00525419">
            <w:pPr>
              <w:pStyle w:val="B2"/>
              <w:rPr>
                <w:rFonts w:cs="Times New Roman"/>
                <w:lang w:val="zh-CN"/>
              </w:rPr>
            </w:pPr>
          </w:p>
        </w:tc>
        <w:tc>
          <w:tcPr>
            <w:tcW w:w="2159" w:type="dxa"/>
            <w:vAlign w:val="center"/>
          </w:tcPr>
          <w:p w:rsidR="00525419" w:rsidRDefault="00EE1CF7">
            <w:pPr>
              <w:pStyle w:val="B2"/>
              <w:rPr>
                <w:rFonts w:cs="Times New Roman"/>
              </w:rPr>
            </w:pPr>
            <w:r>
              <w:rPr>
                <w:rFonts w:cs="Times New Roman"/>
                <w:lang w:val="zh-CN"/>
              </w:rPr>
              <w:t>项目区</w:t>
            </w:r>
          </w:p>
        </w:tc>
        <w:tc>
          <w:tcPr>
            <w:tcW w:w="984" w:type="dxa"/>
            <w:vAlign w:val="center"/>
          </w:tcPr>
          <w:p w:rsidR="00525419" w:rsidRDefault="00EE1CF7">
            <w:pPr>
              <w:pStyle w:val="B2"/>
              <w:rPr>
                <w:rFonts w:cs="Times New Roman"/>
              </w:rPr>
            </w:pPr>
            <w:r>
              <w:rPr>
                <w:rFonts w:cs="Times New Roman"/>
              </w:rPr>
              <w:t>-</w:t>
            </w:r>
          </w:p>
        </w:tc>
        <w:tc>
          <w:tcPr>
            <w:tcW w:w="2277" w:type="dxa"/>
            <w:vAlign w:val="center"/>
          </w:tcPr>
          <w:p w:rsidR="00525419" w:rsidRDefault="00EE1CF7">
            <w:pPr>
              <w:pStyle w:val="B2"/>
              <w:rPr>
                <w:rFonts w:cs="Times New Roman"/>
              </w:rPr>
            </w:pPr>
            <w:r>
              <w:rPr>
                <w:rFonts w:cs="Times New Roman"/>
              </w:rPr>
              <w:t>柱状样</w:t>
            </w:r>
            <w:r>
              <w:rPr>
                <w:rFonts w:cs="Times New Roman"/>
              </w:rPr>
              <w:t>0.5m</w:t>
            </w:r>
            <w:r>
              <w:rPr>
                <w:rFonts w:cs="Times New Roman"/>
              </w:rPr>
              <w:t>、</w:t>
            </w:r>
            <w:r>
              <w:rPr>
                <w:rFonts w:cs="Times New Roman"/>
              </w:rPr>
              <w:t>1m</w:t>
            </w:r>
            <w:r>
              <w:rPr>
                <w:rFonts w:cs="Times New Roman"/>
              </w:rPr>
              <w:t>、</w:t>
            </w:r>
            <w:r>
              <w:rPr>
                <w:rFonts w:cs="Times New Roman"/>
              </w:rPr>
              <w:t>1.5m</w:t>
            </w:r>
          </w:p>
        </w:tc>
        <w:tc>
          <w:tcPr>
            <w:tcW w:w="1633" w:type="dxa"/>
            <w:vMerge/>
            <w:vAlign w:val="center"/>
          </w:tcPr>
          <w:p w:rsidR="00525419" w:rsidRDefault="00525419">
            <w:pPr>
              <w:pStyle w:val="B2"/>
              <w:rPr>
                <w:rFonts w:cs="Times New Roman"/>
              </w:rPr>
            </w:pPr>
          </w:p>
        </w:tc>
      </w:tr>
      <w:tr w:rsidR="00525419">
        <w:trPr>
          <w:trHeight w:val="397"/>
        </w:trPr>
        <w:tc>
          <w:tcPr>
            <w:tcW w:w="581" w:type="dxa"/>
            <w:vAlign w:val="center"/>
          </w:tcPr>
          <w:p w:rsidR="00525419" w:rsidRDefault="00EE1CF7">
            <w:pPr>
              <w:pStyle w:val="B2"/>
              <w:rPr>
                <w:rFonts w:cs="Times New Roman"/>
              </w:rPr>
            </w:pPr>
            <w:r>
              <w:rPr>
                <w:rFonts w:cs="Times New Roman"/>
              </w:rPr>
              <w:t>3#</w:t>
            </w:r>
          </w:p>
        </w:tc>
        <w:tc>
          <w:tcPr>
            <w:tcW w:w="877" w:type="dxa"/>
            <w:vMerge/>
            <w:vAlign w:val="center"/>
          </w:tcPr>
          <w:p w:rsidR="00525419" w:rsidRDefault="00525419">
            <w:pPr>
              <w:pStyle w:val="B2"/>
              <w:rPr>
                <w:rFonts w:cs="Times New Roman"/>
                <w:lang w:val="zh-CN"/>
              </w:rPr>
            </w:pPr>
          </w:p>
        </w:tc>
        <w:tc>
          <w:tcPr>
            <w:tcW w:w="2159" w:type="dxa"/>
            <w:vAlign w:val="center"/>
          </w:tcPr>
          <w:p w:rsidR="00525419" w:rsidRDefault="00EE1CF7">
            <w:pPr>
              <w:pStyle w:val="B2"/>
              <w:rPr>
                <w:rFonts w:cs="Times New Roman"/>
              </w:rPr>
            </w:pPr>
            <w:r>
              <w:rPr>
                <w:rFonts w:cs="Times New Roman"/>
                <w:lang w:val="zh-CN"/>
              </w:rPr>
              <w:t>项目区西侧储罐区</w:t>
            </w:r>
          </w:p>
        </w:tc>
        <w:tc>
          <w:tcPr>
            <w:tcW w:w="984" w:type="dxa"/>
            <w:vAlign w:val="center"/>
          </w:tcPr>
          <w:p w:rsidR="00525419" w:rsidRDefault="00EE1CF7">
            <w:pPr>
              <w:pStyle w:val="B2"/>
              <w:rPr>
                <w:rFonts w:cs="Times New Roman"/>
              </w:rPr>
            </w:pPr>
            <w:r>
              <w:rPr>
                <w:rFonts w:cs="Times New Roman"/>
              </w:rPr>
              <w:t>-</w:t>
            </w:r>
          </w:p>
        </w:tc>
        <w:tc>
          <w:tcPr>
            <w:tcW w:w="2277" w:type="dxa"/>
            <w:vAlign w:val="center"/>
          </w:tcPr>
          <w:p w:rsidR="00525419" w:rsidRDefault="00EE1CF7">
            <w:pPr>
              <w:pStyle w:val="B2"/>
              <w:rPr>
                <w:rFonts w:cs="Times New Roman"/>
              </w:rPr>
            </w:pPr>
            <w:r>
              <w:rPr>
                <w:rFonts w:cs="Times New Roman"/>
              </w:rPr>
              <w:t>柱状样</w:t>
            </w:r>
            <w:r>
              <w:rPr>
                <w:rFonts w:cs="Times New Roman"/>
              </w:rPr>
              <w:t>0.5m</w:t>
            </w:r>
            <w:r>
              <w:rPr>
                <w:rFonts w:cs="Times New Roman"/>
              </w:rPr>
              <w:t>、</w:t>
            </w:r>
            <w:r>
              <w:rPr>
                <w:rFonts w:cs="Times New Roman"/>
              </w:rPr>
              <w:t>1m</w:t>
            </w:r>
            <w:r>
              <w:rPr>
                <w:rFonts w:cs="Times New Roman"/>
              </w:rPr>
              <w:t>、</w:t>
            </w:r>
            <w:r>
              <w:rPr>
                <w:rFonts w:cs="Times New Roman"/>
              </w:rPr>
              <w:t>1.5m</w:t>
            </w:r>
          </w:p>
        </w:tc>
        <w:tc>
          <w:tcPr>
            <w:tcW w:w="1633" w:type="dxa"/>
            <w:vMerge/>
            <w:vAlign w:val="center"/>
          </w:tcPr>
          <w:p w:rsidR="00525419" w:rsidRDefault="00525419">
            <w:pPr>
              <w:pStyle w:val="B2"/>
              <w:rPr>
                <w:rFonts w:cs="Times New Roman"/>
              </w:rPr>
            </w:pPr>
          </w:p>
        </w:tc>
      </w:tr>
      <w:tr w:rsidR="00525419">
        <w:trPr>
          <w:trHeight w:val="581"/>
        </w:trPr>
        <w:tc>
          <w:tcPr>
            <w:tcW w:w="581" w:type="dxa"/>
            <w:vAlign w:val="center"/>
          </w:tcPr>
          <w:p w:rsidR="00525419" w:rsidRDefault="00EE1CF7">
            <w:pPr>
              <w:pStyle w:val="B2"/>
              <w:rPr>
                <w:rFonts w:cs="Times New Roman"/>
              </w:rPr>
            </w:pPr>
            <w:r>
              <w:rPr>
                <w:rFonts w:cs="Times New Roman"/>
              </w:rPr>
              <w:t>4#</w:t>
            </w:r>
          </w:p>
        </w:tc>
        <w:tc>
          <w:tcPr>
            <w:tcW w:w="877" w:type="dxa"/>
            <w:vMerge w:val="restart"/>
            <w:vAlign w:val="center"/>
          </w:tcPr>
          <w:p w:rsidR="00525419" w:rsidRDefault="00EE1CF7">
            <w:pPr>
              <w:pStyle w:val="B2"/>
              <w:rPr>
                <w:rFonts w:cs="Times New Roman"/>
              </w:rPr>
            </w:pPr>
            <w:r>
              <w:rPr>
                <w:rFonts w:cs="Times New Roman"/>
              </w:rPr>
              <w:t>项目</w:t>
            </w:r>
          </w:p>
          <w:p w:rsidR="00525419" w:rsidRDefault="00EE1CF7">
            <w:pPr>
              <w:pStyle w:val="B2"/>
              <w:rPr>
                <w:rFonts w:cs="Times New Roman"/>
              </w:rPr>
            </w:pPr>
            <w:r>
              <w:rPr>
                <w:rFonts w:cs="Times New Roman"/>
              </w:rPr>
              <w:t>区外</w:t>
            </w:r>
          </w:p>
        </w:tc>
        <w:tc>
          <w:tcPr>
            <w:tcW w:w="2159" w:type="dxa"/>
            <w:vAlign w:val="center"/>
          </w:tcPr>
          <w:p w:rsidR="00525419" w:rsidRDefault="00EE1CF7">
            <w:pPr>
              <w:pStyle w:val="B2"/>
              <w:rPr>
                <w:rFonts w:cs="Times New Roman"/>
              </w:rPr>
            </w:pPr>
            <w:r>
              <w:rPr>
                <w:rFonts w:cs="Times New Roman"/>
              </w:rPr>
              <w:t>厂区北侧</w:t>
            </w:r>
          </w:p>
        </w:tc>
        <w:tc>
          <w:tcPr>
            <w:tcW w:w="984" w:type="dxa"/>
            <w:vAlign w:val="center"/>
          </w:tcPr>
          <w:p w:rsidR="00525419" w:rsidRDefault="00EE1CF7">
            <w:pPr>
              <w:pStyle w:val="B2"/>
              <w:rPr>
                <w:rFonts w:cs="Times New Roman"/>
              </w:rPr>
            </w:pPr>
            <w:r>
              <w:rPr>
                <w:rFonts w:cs="Times New Roman"/>
              </w:rPr>
              <w:t>50m</w:t>
            </w:r>
          </w:p>
        </w:tc>
        <w:tc>
          <w:tcPr>
            <w:tcW w:w="2277" w:type="dxa"/>
            <w:vAlign w:val="center"/>
          </w:tcPr>
          <w:p w:rsidR="00525419" w:rsidRDefault="00EE1CF7">
            <w:pPr>
              <w:pStyle w:val="B2"/>
              <w:rPr>
                <w:rFonts w:cs="Times New Roman"/>
              </w:rPr>
            </w:pPr>
            <w:r>
              <w:rPr>
                <w:rFonts w:cs="Times New Roman"/>
              </w:rPr>
              <w:t>表层样</w:t>
            </w:r>
            <w:r>
              <w:rPr>
                <w:rFonts w:cs="Times New Roman"/>
              </w:rPr>
              <w:t>0.2m</w:t>
            </w:r>
          </w:p>
        </w:tc>
        <w:tc>
          <w:tcPr>
            <w:tcW w:w="1633" w:type="dxa"/>
            <w:vMerge/>
            <w:vAlign w:val="center"/>
          </w:tcPr>
          <w:p w:rsidR="00525419" w:rsidRDefault="00525419">
            <w:pPr>
              <w:pStyle w:val="B2"/>
              <w:rPr>
                <w:rFonts w:cs="Times New Roman"/>
              </w:rPr>
            </w:pPr>
          </w:p>
        </w:tc>
      </w:tr>
      <w:tr w:rsidR="00525419">
        <w:trPr>
          <w:trHeight w:val="397"/>
        </w:trPr>
        <w:tc>
          <w:tcPr>
            <w:tcW w:w="581" w:type="dxa"/>
            <w:vAlign w:val="center"/>
          </w:tcPr>
          <w:p w:rsidR="00525419" w:rsidRDefault="00EE1CF7">
            <w:pPr>
              <w:pStyle w:val="B2"/>
              <w:rPr>
                <w:rFonts w:cs="Times New Roman"/>
              </w:rPr>
            </w:pPr>
            <w:r>
              <w:rPr>
                <w:rFonts w:cs="Times New Roman"/>
              </w:rPr>
              <w:t>5#</w:t>
            </w:r>
          </w:p>
        </w:tc>
        <w:tc>
          <w:tcPr>
            <w:tcW w:w="877" w:type="dxa"/>
            <w:vMerge/>
            <w:vAlign w:val="center"/>
          </w:tcPr>
          <w:p w:rsidR="00525419" w:rsidRDefault="00525419">
            <w:pPr>
              <w:pStyle w:val="B2"/>
              <w:rPr>
                <w:rFonts w:cs="Times New Roman"/>
              </w:rPr>
            </w:pPr>
          </w:p>
        </w:tc>
        <w:tc>
          <w:tcPr>
            <w:tcW w:w="2159" w:type="dxa"/>
            <w:vAlign w:val="center"/>
          </w:tcPr>
          <w:p w:rsidR="00525419" w:rsidRDefault="00EE1CF7">
            <w:pPr>
              <w:pStyle w:val="B2"/>
              <w:rPr>
                <w:rFonts w:cs="Times New Roman"/>
              </w:rPr>
            </w:pPr>
            <w:r>
              <w:rPr>
                <w:rFonts w:cs="Times New Roman"/>
              </w:rPr>
              <w:t>厂区南侧</w:t>
            </w:r>
          </w:p>
        </w:tc>
        <w:tc>
          <w:tcPr>
            <w:tcW w:w="984" w:type="dxa"/>
            <w:vAlign w:val="center"/>
          </w:tcPr>
          <w:p w:rsidR="00525419" w:rsidRDefault="00EE1CF7">
            <w:pPr>
              <w:pStyle w:val="B2"/>
              <w:rPr>
                <w:rFonts w:cs="Times New Roman"/>
              </w:rPr>
            </w:pPr>
            <w:r>
              <w:rPr>
                <w:rFonts w:cs="Times New Roman"/>
              </w:rPr>
              <w:t>50m</w:t>
            </w:r>
          </w:p>
        </w:tc>
        <w:tc>
          <w:tcPr>
            <w:tcW w:w="2277" w:type="dxa"/>
            <w:vAlign w:val="center"/>
          </w:tcPr>
          <w:p w:rsidR="00525419" w:rsidRDefault="00EE1CF7">
            <w:pPr>
              <w:pStyle w:val="B2"/>
              <w:rPr>
                <w:rFonts w:cs="Times New Roman"/>
              </w:rPr>
            </w:pPr>
            <w:r>
              <w:rPr>
                <w:rFonts w:cs="Times New Roman"/>
              </w:rPr>
              <w:t>表层样</w:t>
            </w:r>
            <w:r>
              <w:rPr>
                <w:rFonts w:cs="Times New Roman"/>
              </w:rPr>
              <w:t>0.2m</w:t>
            </w:r>
          </w:p>
        </w:tc>
        <w:tc>
          <w:tcPr>
            <w:tcW w:w="1633" w:type="dxa"/>
            <w:vMerge/>
            <w:vAlign w:val="center"/>
          </w:tcPr>
          <w:p w:rsidR="00525419" w:rsidRDefault="00525419">
            <w:pPr>
              <w:pStyle w:val="B2"/>
              <w:rPr>
                <w:rFonts w:cs="Times New Roman"/>
              </w:rPr>
            </w:pPr>
          </w:p>
        </w:tc>
      </w:tr>
      <w:tr w:rsidR="00525419">
        <w:trPr>
          <w:trHeight w:val="397"/>
        </w:trPr>
        <w:tc>
          <w:tcPr>
            <w:tcW w:w="581" w:type="dxa"/>
            <w:vAlign w:val="center"/>
          </w:tcPr>
          <w:p w:rsidR="00525419" w:rsidRDefault="00EE1CF7">
            <w:pPr>
              <w:pStyle w:val="B2"/>
              <w:rPr>
                <w:rFonts w:cs="Times New Roman"/>
              </w:rPr>
            </w:pPr>
            <w:r>
              <w:rPr>
                <w:rFonts w:cs="Times New Roman"/>
              </w:rPr>
              <w:t>6#</w:t>
            </w:r>
          </w:p>
        </w:tc>
        <w:tc>
          <w:tcPr>
            <w:tcW w:w="877" w:type="dxa"/>
            <w:vAlign w:val="center"/>
          </w:tcPr>
          <w:p w:rsidR="00525419" w:rsidRDefault="00EE1CF7">
            <w:pPr>
              <w:pStyle w:val="B2"/>
              <w:rPr>
                <w:rFonts w:cs="Times New Roman"/>
              </w:rPr>
            </w:pPr>
            <w:r>
              <w:rPr>
                <w:rFonts w:cs="Times New Roman"/>
              </w:rPr>
              <w:t>项目</w:t>
            </w:r>
          </w:p>
          <w:p w:rsidR="00525419" w:rsidRDefault="00EE1CF7">
            <w:pPr>
              <w:pStyle w:val="B2"/>
              <w:rPr>
                <w:rFonts w:cs="Times New Roman"/>
              </w:rPr>
            </w:pPr>
            <w:r>
              <w:rPr>
                <w:rFonts w:cs="Times New Roman"/>
              </w:rPr>
              <w:t>区内</w:t>
            </w:r>
          </w:p>
        </w:tc>
        <w:tc>
          <w:tcPr>
            <w:tcW w:w="2159" w:type="dxa"/>
            <w:vAlign w:val="center"/>
          </w:tcPr>
          <w:p w:rsidR="00525419" w:rsidRDefault="00EE1CF7">
            <w:pPr>
              <w:pStyle w:val="B2"/>
              <w:rPr>
                <w:rFonts w:cs="Times New Roman"/>
              </w:rPr>
            </w:pPr>
            <w:r>
              <w:rPr>
                <w:rFonts w:cs="Times New Roman"/>
              </w:rPr>
              <w:t xml:space="preserve"> </w:t>
            </w:r>
            <w:r>
              <w:rPr>
                <w:rFonts w:cs="Times New Roman"/>
                <w:lang w:val="zh-CN"/>
              </w:rPr>
              <w:t>项目区</w:t>
            </w:r>
          </w:p>
        </w:tc>
        <w:tc>
          <w:tcPr>
            <w:tcW w:w="984" w:type="dxa"/>
            <w:vAlign w:val="center"/>
          </w:tcPr>
          <w:p w:rsidR="00525419" w:rsidRDefault="00EE1CF7">
            <w:pPr>
              <w:pStyle w:val="B2"/>
              <w:rPr>
                <w:rFonts w:cs="Times New Roman"/>
              </w:rPr>
            </w:pPr>
            <w:r>
              <w:rPr>
                <w:rFonts w:cs="Times New Roman"/>
              </w:rPr>
              <w:t>-</w:t>
            </w:r>
          </w:p>
        </w:tc>
        <w:tc>
          <w:tcPr>
            <w:tcW w:w="2277" w:type="dxa"/>
            <w:vAlign w:val="center"/>
          </w:tcPr>
          <w:p w:rsidR="00525419" w:rsidRDefault="00EE1CF7">
            <w:pPr>
              <w:pStyle w:val="B2"/>
              <w:rPr>
                <w:rFonts w:cs="Times New Roman"/>
              </w:rPr>
            </w:pPr>
            <w:r>
              <w:rPr>
                <w:rFonts w:cs="Times New Roman"/>
              </w:rPr>
              <w:t>表层样</w:t>
            </w:r>
            <w:r>
              <w:rPr>
                <w:rFonts w:cs="Times New Roman"/>
              </w:rPr>
              <w:t>0.2m</w:t>
            </w:r>
          </w:p>
        </w:tc>
        <w:tc>
          <w:tcPr>
            <w:tcW w:w="1633" w:type="dxa"/>
            <w:vAlign w:val="center"/>
          </w:tcPr>
          <w:p w:rsidR="00525419" w:rsidRDefault="00EE1CF7">
            <w:pPr>
              <w:pStyle w:val="B2"/>
              <w:rPr>
                <w:rFonts w:cs="Times New Roman"/>
              </w:rPr>
            </w:pPr>
            <w:r>
              <w:rPr>
                <w:rFonts w:cs="Times New Roman"/>
              </w:rPr>
              <w:t>GB36600</w:t>
            </w:r>
            <w:r>
              <w:rPr>
                <w:rFonts w:cs="Times New Roman"/>
              </w:rPr>
              <w:t>基本项目</w:t>
            </w:r>
            <w:r>
              <w:rPr>
                <w:rFonts w:cs="Times New Roman"/>
              </w:rPr>
              <w:t>45</w:t>
            </w:r>
            <w:r>
              <w:rPr>
                <w:rFonts w:cs="Times New Roman"/>
              </w:rPr>
              <w:t>项</w:t>
            </w:r>
          </w:p>
        </w:tc>
      </w:tr>
    </w:tbl>
    <w:p w:rsidR="00525419" w:rsidRDefault="00525419">
      <w:pPr>
        <w:rPr>
          <w:rFonts w:ascii="Times New Roman" w:hAnsi="Times New Roman"/>
        </w:rPr>
      </w:pPr>
    </w:p>
    <w:p w:rsidR="00525419" w:rsidRDefault="00EE1CF7">
      <w:pPr>
        <w:rPr>
          <w:rFonts w:ascii="Times New Roman" w:eastAsia="楷体_GB2312" w:hAnsi="Times New Roman"/>
          <w:sz w:val="44"/>
        </w:rPr>
      </w:pPr>
      <w:r>
        <w:rPr>
          <w:rFonts w:ascii="Times New Roman" w:eastAsia="楷体_GB2312" w:hAnsi="Times New Roman"/>
          <w:sz w:val="44"/>
        </w:rPr>
        <w:br w:type="page"/>
      </w:r>
    </w:p>
    <w:p w:rsidR="00525419" w:rsidRDefault="00EE1CF7">
      <w:pPr>
        <w:pStyle w:val="1a"/>
        <w:spacing w:before="120" w:after="0" w:line="360" w:lineRule="auto"/>
        <w:jc w:val="center"/>
        <w:rPr>
          <w:rFonts w:ascii="Times New Roman" w:eastAsia="楷体_GB2312" w:hAnsi="Times New Roman"/>
        </w:rPr>
      </w:pPr>
      <w:bookmarkStart w:id="281" w:name="_Toc9354"/>
      <w:r>
        <w:rPr>
          <w:rFonts w:ascii="Times New Roman" w:eastAsia="楷体_GB2312" w:hAnsi="Times New Roman"/>
        </w:rPr>
        <w:lastRenderedPageBreak/>
        <w:t>7</w:t>
      </w:r>
      <w:r>
        <w:rPr>
          <w:rFonts w:ascii="Times New Roman" w:eastAsia="楷体_GB2312" w:hAnsi="Times New Roman"/>
        </w:rPr>
        <w:t>环境影响经济损益分析</w:t>
      </w:r>
      <w:bookmarkEnd w:id="281"/>
    </w:p>
    <w:p w:rsidR="00525419" w:rsidRDefault="00EE1CF7">
      <w:pPr>
        <w:autoSpaceDE w:val="0"/>
        <w:autoSpaceDN w:val="0"/>
        <w:adjustRightInd w:val="0"/>
        <w:spacing w:line="360" w:lineRule="auto"/>
        <w:ind w:firstLineChars="200" w:firstLine="480"/>
        <w:rPr>
          <w:rFonts w:ascii="Times New Roman" w:hAnsi="Times New Roman"/>
          <w:sz w:val="24"/>
        </w:rPr>
      </w:pPr>
      <w:r>
        <w:rPr>
          <w:rFonts w:ascii="Times New Roman" w:hAnsi="Times New Roman"/>
          <w:sz w:val="24"/>
        </w:rPr>
        <w:t>根据本项目的经济效益、社会效益和环境效益进行分析比较，通过对环保投资的具体分析，得出工程环境保护与经济之间的相互促进，相互制约的关系。分析建设项目的社会、经济和环境损益，评价建设项目环境保护投资的合理性以及环境保护投资的效益，促进项目建设的社会、经济和环境效益的协调统一和可持续发展。</w:t>
      </w:r>
    </w:p>
    <w:p w:rsidR="00525419" w:rsidRDefault="00EE1CF7" w:rsidP="00EE1CF7">
      <w:pPr>
        <w:pStyle w:val="2a"/>
        <w:spacing w:beforeLines="50" w:before="166" w:after="166"/>
        <w:ind w:left="578" w:hanging="578"/>
        <w:rPr>
          <w:rFonts w:ascii="Times New Roman" w:eastAsia="楷体_GB2312" w:hAnsi="Times New Roman"/>
          <w:sz w:val="36"/>
        </w:rPr>
      </w:pPr>
      <w:bookmarkStart w:id="282" w:name="_Toc302147684"/>
      <w:bookmarkStart w:id="283" w:name="_Toc330205342"/>
      <w:bookmarkStart w:id="284" w:name="_Toc291756845"/>
      <w:bookmarkStart w:id="285" w:name="_Toc363496091"/>
      <w:bookmarkStart w:id="286" w:name="_Toc354837542"/>
      <w:bookmarkStart w:id="287" w:name="_Toc335315189"/>
      <w:bookmarkStart w:id="288" w:name="_Toc322967138"/>
      <w:bookmarkStart w:id="289" w:name="_Toc410121555"/>
      <w:bookmarkStart w:id="290" w:name="_Toc296333761"/>
      <w:bookmarkStart w:id="291" w:name="_Toc399496914"/>
      <w:bookmarkStart w:id="292" w:name="_Toc12650"/>
      <w:r>
        <w:rPr>
          <w:rFonts w:ascii="Times New Roman" w:eastAsia="楷体_GB2312" w:hAnsi="Times New Roman"/>
          <w:sz w:val="36"/>
        </w:rPr>
        <w:t>7.</w:t>
      </w:r>
      <w:bookmarkEnd w:id="282"/>
      <w:bookmarkEnd w:id="283"/>
      <w:bookmarkEnd w:id="284"/>
      <w:bookmarkEnd w:id="285"/>
      <w:bookmarkEnd w:id="286"/>
      <w:bookmarkEnd w:id="287"/>
      <w:bookmarkEnd w:id="288"/>
      <w:bookmarkEnd w:id="289"/>
      <w:bookmarkEnd w:id="290"/>
      <w:bookmarkEnd w:id="291"/>
      <w:r>
        <w:rPr>
          <w:rFonts w:ascii="Times New Roman" w:eastAsia="楷体_GB2312" w:hAnsi="Times New Roman"/>
          <w:sz w:val="36"/>
        </w:rPr>
        <w:t>1</w:t>
      </w:r>
      <w:r>
        <w:rPr>
          <w:rFonts w:ascii="Times New Roman" w:eastAsia="楷体_GB2312" w:hAnsi="Times New Roman"/>
          <w:sz w:val="36"/>
        </w:rPr>
        <w:t>经济效益分析</w:t>
      </w:r>
      <w:bookmarkEnd w:id="292"/>
    </w:p>
    <w:p w:rsidR="00525419" w:rsidRDefault="00EE1CF7">
      <w:pPr>
        <w:pStyle w:val="B1"/>
        <w:ind w:firstLine="480"/>
        <w:rPr>
          <w:rFonts w:cs="Times New Roman"/>
        </w:rPr>
      </w:pPr>
      <w:r>
        <w:rPr>
          <w:rFonts w:cs="Times New Roman"/>
        </w:rPr>
        <w:t>项目可研中财务评价结果表明，项目投产后，经济效益良好。项目总投资</w:t>
      </w:r>
      <w:r>
        <w:rPr>
          <w:rFonts w:cs="Times New Roman"/>
        </w:rPr>
        <w:t>76371</w:t>
      </w:r>
      <w:r>
        <w:rPr>
          <w:rFonts w:cs="Times New Roman"/>
        </w:rPr>
        <w:t>万元，内部收益率</w:t>
      </w:r>
      <w:r>
        <w:rPr>
          <w:rFonts w:cs="Times New Roman"/>
          <w:szCs w:val="21"/>
        </w:rPr>
        <w:t>27.28</w:t>
      </w:r>
      <w:r>
        <w:rPr>
          <w:rFonts w:cs="Times New Roman"/>
        </w:rPr>
        <w:t>%</w:t>
      </w:r>
      <w:r>
        <w:rPr>
          <w:rFonts w:cs="Times New Roman"/>
        </w:rPr>
        <w:t>，在其经营期内，</w:t>
      </w:r>
      <w:r>
        <w:rPr>
          <w:rFonts w:cs="Times New Roman"/>
          <w:szCs w:val="21"/>
        </w:rPr>
        <w:t>项目投资财务净现值（税后）</w:t>
      </w:r>
      <w:r>
        <w:rPr>
          <w:rFonts w:cs="Times New Roman"/>
          <w:szCs w:val="21"/>
        </w:rPr>
        <w:t>99698</w:t>
      </w:r>
      <w:r>
        <w:rPr>
          <w:rFonts w:cs="Times New Roman"/>
          <w:szCs w:val="21"/>
        </w:rPr>
        <w:t>万元</w:t>
      </w:r>
      <w:r>
        <w:rPr>
          <w:rFonts w:cs="Times New Roman"/>
        </w:rPr>
        <w:t>，投资回收年限</w:t>
      </w:r>
      <w:r>
        <w:rPr>
          <w:rFonts w:cs="Times New Roman"/>
        </w:rPr>
        <w:t>5.15</w:t>
      </w:r>
      <w:r>
        <w:rPr>
          <w:rFonts w:cs="Times New Roman"/>
        </w:rPr>
        <w:t>年（税后）。表明本项目具有较强的抗风险能力。从以上数据可以看出，项目财务效益好，并具有较强的抗风险能力及借款偿还能力，因此本项目建设具有较好的经济效益。</w:t>
      </w:r>
    </w:p>
    <w:p w:rsidR="00525419" w:rsidRDefault="00EE1CF7" w:rsidP="00EE1CF7">
      <w:pPr>
        <w:pStyle w:val="2a"/>
        <w:spacing w:beforeLines="50" w:before="166" w:after="166"/>
        <w:ind w:left="578" w:hanging="578"/>
        <w:rPr>
          <w:rFonts w:ascii="Times New Roman" w:eastAsia="楷体_GB2312" w:hAnsi="Times New Roman"/>
          <w:sz w:val="36"/>
        </w:rPr>
      </w:pPr>
      <w:bookmarkStart w:id="293" w:name="_Toc19136"/>
      <w:r>
        <w:rPr>
          <w:rFonts w:ascii="Times New Roman" w:eastAsia="楷体_GB2312" w:hAnsi="Times New Roman"/>
          <w:sz w:val="36"/>
        </w:rPr>
        <w:t>7.2</w:t>
      </w:r>
      <w:r>
        <w:rPr>
          <w:rFonts w:ascii="Times New Roman" w:eastAsia="楷体_GB2312" w:hAnsi="Times New Roman"/>
          <w:sz w:val="36"/>
        </w:rPr>
        <w:t>社会效益分析</w:t>
      </w:r>
      <w:bookmarkEnd w:id="293"/>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该项目的建成投产将产生以下几方面的社会效益：</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）满足区域经济和社会发展的需要</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本项目合理利用焦油，实现资源利用的效益最大化，提高产品质量，满足社会发展对其下游产品的需求。</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）符合企业发展战略方向</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极大地提升了企业的市场竞争力和盈利的空间。本项目的建设适应市场需求，符合企业发展战略，可形成一体化规模经济，增强企业创效能力。</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）满足企业经济效益最大化的需要</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国内的石化行业都朝着大型化发展，以降低单位加工成本，提高竞争力。国内石化企业发展很快，加工规模不断增大；本项目的建设可以提高配套加工手段，提高产品质量，有利于提高企业经济效益，增强企业的抗风险能力。</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）创造就业机会，为社会安定做出贡献</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随着项目的建成，能提供一定数量人员的劳动就业机会，提高当地人民群众</w:t>
      </w:r>
      <w:r>
        <w:rPr>
          <w:rFonts w:ascii="Times New Roman" w:hAnsi="Times New Roman"/>
          <w:sz w:val="24"/>
        </w:rPr>
        <w:lastRenderedPageBreak/>
        <w:t>的生活水平，这在一定程度上减轻了国家的负担，维护了社会安定。</w:t>
      </w:r>
    </w:p>
    <w:p w:rsidR="00525419" w:rsidRDefault="00EE1CF7" w:rsidP="00EE1CF7">
      <w:pPr>
        <w:pStyle w:val="2a"/>
        <w:spacing w:beforeLines="50" w:before="166" w:after="166"/>
        <w:ind w:left="578" w:hanging="578"/>
        <w:rPr>
          <w:rFonts w:ascii="Times New Roman" w:eastAsia="楷体_GB2312" w:hAnsi="Times New Roman"/>
          <w:sz w:val="36"/>
        </w:rPr>
      </w:pPr>
      <w:bookmarkStart w:id="294" w:name="_Toc352020039"/>
      <w:bookmarkStart w:id="295" w:name="_Toc191098255"/>
      <w:bookmarkStart w:id="296" w:name="_Toc174516536"/>
      <w:bookmarkStart w:id="297" w:name="_Toc112474401"/>
      <w:bookmarkStart w:id="298" w:name="_Toc248716542"/>
      <w:bookmarkStart w:id="299" w:name="_Toc22874623"/>
      <w:bookmarkStart w:id="300" w:name="_Toc142816762"/>
      <w:bookmarkStart w:id="301" w:name="_Toc339417271"/>
      <w:bookmarkStart w:id="302" w:name="_Toc149708460"/>
      <w:bookmarkStart w:id="303" w:name="_Toc183921331"/>
      <w:bookmarkStart w:id="304" w:name="_Toc116871684"/>
      <w:bookmarkStart w:id="305" w:name="_Toc193613849"/>
      <w:bookmarkStart w:id="306" w:name="_Toc193354511"/>
      <w:bookmarkStart w:id="307" w:name="_Toc176689324"/>
      <w:bookmarkStart w:id="308" w:name="_Toc174339580"/>
      <w:bookmarkStart w:id="309" w:name="_Toc189621106"/>
      <w:bookmarkStart w:id="310" w:name="_Toc204657356"/>
      <w:bookmarkStart w:id="311" w:name="_Toc149708640"/>
      <w:bookmarkStart w:id="312" w:name="_Toc175453246"/>
      <w:bookmarkStart w:id="313" w:name="_Toc29904"/>
      <w:bookmarkStart w:id="314" w:name="_Toc192383422"/>
      <w:r>
        <w:rPr>
          <w:rFonts w:ascii="Times New Roman" w:eastAsia="楷体_GB2312" w:hAnsi="Times New Roman"/>
          <w:sz w:val="36"/>
        </w:rPr>
        <w:t>7.3</w:t>
      </w:r>
      <w:r>
        <w:rPr>
          <w:rFonts w:ascii="Times New Roman" w:eastAsia="楷体_GB2312" w:hAnsi="Times New Roman"/>
          <w:sz w:val="36"/>
        </w:rPr>
        <w:t>环境经济损益分析</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7.3.1</w:t>
      </w:r>
      <w:r>
        <w:rPr>
          <w:rFonts w:ascii="Times New Roman" w:eastAsia="华文楷体" w:hAnsi="Times New Roman"/>
        </w:rPr>
        <w:t>环保投资</w:t>
      </w:r>
    </w:p>
    <w:p w:rsidR="00525419" w:rsidRDefault="00EE1CF7">
      <w:pPr>
        <w:autoSpaceDE w:val="0"/>
        <w:autoSpaceDN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依据《建设项目环境保护设计规定》中的有关内容，环保设施划分的基本原则是，凡属于污染治理环境保护所需的设施、装置和工程设施，属生产工艺需要又为环境保护服务的设施，为保证生产有良好环境所采取的防尘、绿化设施均属环保设施。环保投资主要是防治污染、美化环境的资金投入。</w:t>
      </w:r>
    </w:p>
    <w:p w:rsidR="00525419" w:rsidRDefault="00EE1CF7">
      <w:pPr>
        <w:autoSpaceDE w:val="0"/>
        <w:autoSpaceDN w:val="0"/>
        <w:adjustRightInd w:val="0"/>
        <w:spacing w:after="120" w:line="360" w:lineRule="auto"/>
        <w:ind w:firstLineChars="200" w:firstLine="480"/>
        <w:rPr>
          <w:rFonts w:ascii="Times New Roman" w:hAnsi="Times New Roman"/>
          <w:kern w:val="0"/>
          <w:sz w:val="24"/>
          <w:szCs w:val="24"/>
        </w:rPr>
      </w:pPr>
      <w:r>
        <w:rPr>
          <w:rFonts w:ascii="Times New Roman" w:hAnsi="Times New Roman"/>
          <w:sz w:val="24"/>
        </w:rPr>
        <w:t>变更后本项目</w:t>
      </w:r>
      <w:r>
        <w:rPr>
          <w:rFonts w:ascii="Times New Roman" w:hAnsi="Times New Roman"/>
          <w:kern w:val="0"/>
          <w:sz w:val="24"/>
          <w:szCs w:val="24"/>
        </w:rPr>
        <w:t>总投资为</w:t>
      </w:r>
      <w:r>
        <w:rPr>
          <w:rFonts w:ascii="Times New Roman" w:hAnsi="Times New Roman"/>
          <w:sz w:val="24"/>
          <w:szCs w:val="24"/>
        </w:rPr>
        <w:t>76371</w:t>
      </w:r>
      <w:r>
        <w:rPr>
          <w:rFonts w:ascii="Times New Roman" w:hAnsi="Times New Roman"/>
          <w:kern w:val="0"/>
          <w:sz w:val="24"/>
          <w:szCs w:val="24"/>
        </w:rPr>
        <w:t>万元，其中环保投资</w:t>
      </w:r>
      <w:r>
        <w:rPr>
          <w:rFonts w:ascii="Times New Roman" w:hAnsi="Times New Roman" w:hint="eastAsia"/>
          <w:kern w:val="0"/>
          <w:sz w:val="24"/>
          <w:szCs w:val="24"/>
        </w:rPr>
        <w:t>14623</w:t>
      </w:r>
      <w:r>
        <w:rPr>
          <w:rFonts w:ascii="Times New Roman" w:hAnsi="Times New Roman"/>
          <w:kern w:val="0"/>
          <w:sz w:val="24"/>
          <w:szCs w:val="24"/>
        </w:rPr>
        <w:t>万元，环保投资占项目总投资的</w:t>
      </w:r>
      <w:r>
        <w:rPr>
          <w:rFonts w:ascii="Times New Roman" w:hAnsi="Times New Roman" w:hint="eastAsia"/>
          <w:kern w:val="0"/>
          <w:sz w:val="24"/>
          <w:szCs w:val="24"/>
        </w:rPr>
        <w:t>19</w:t>
      </w:r>
      <w:r>
        <w:rPr>
          <w:rFonts w:ascii="Times New Roman" w:hAnsi="Times New Roman"/>
          <w:kern w:val="0"/>
          <w:sz w:val="24"/>
          <w:szCs w:val="24"/>
        </w:rPr>
        <w:t>%</w:t>
      </w:r>
      <w:r>
        <w:rPr>
          <w:rFonts w:ascii="Times New Roman" w:hAnsi="Times New Roman"/>
          <w:kern w:val="0"/>
          <w:sz w:val="24"/>
          <w:szCs w:val="24"/>
        </w:rPr>
        <w:t>。变更后项目主要环保设施见表</w:t>
      </w:r>
      <w:r>
        <w:rPr>
          <w:rFonts w:ascii="Times New Roman" w:hAnsi="Times New Roman"/>
          <w:kern w:val="0"/>
          <w:sz w:val="24"/>
          <w:szCs w:val="24"/>
        </w:rPr>
        <w:t>7.3-1</w:t>
      </w:r>
      <w:r>
        <w:rPr>
          <w:rFonts w:ascii="Times New Roman" w:hAnsi="Times New Roman"/>
          <w:kern w:val="0"/>
          <w:sz w:val="24"/>
          <w:szCs w:val="24"/>
        </w:rPr>
        <w:t>。</w:t>
      </w:r>
    </w:p>
    <w:p w:rsidR="00525419" w:rsidRDefault="00EE1CF7">
      <w:pPr>
        <w:ind w:firstLineChars="900" w:firstLine="1890"/>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7.3-1</w:t>
      </w:r>
      <w:r>
        <w:rPr>
          <w:rFonts w:ascii="Times New Roman" w:eastAsia="黑体" w:hAnsi="Times New Roman"/>
          <w:szCs w:val="21"/>
        </w:rPr>
        <w:t xml:space="preserve">　</w:t>
      </w:r>
      <w:r>
        <w:rPr>
          <w:rFonts w:ascii="Times New Roman" w:eastAsia="黑体" w:hAnsi="Times New Roman"/>
          <w:szCs w:val="21"/>
        </w:rPr>
        <w:t xml:space="preserve">        </w:t>
      </w:r>
      <w:r>
        <w:rPr>
          <w:rFonts w:ascii="Times New Roman" w:eastAsia="黑体" w:hAnsi="Times New Roman"/>
          <w:szCs w:val="21"/>
        </w:rPr>
        <w:t>建设项目环保投入一览表</w:t>
      </w:r>
    </w:p>
    <w:tbl>
      <w:tblPr>
        <w:tblW w:w="841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5"/>
        <w:gridCol w:w="1162"/>
        <w:gridCol w:w="1162"/>
        <w:gridCol w:w="3622"/>
        <w:gridCol w:w="731"/>
        <w:gridCol w:w="1275"/>
      </w:tblGrid>
      <w:tr w:rsidR="00525419">
        <w:trPr>
          <w:trHeight w:val="148"/>
        </w:trPr>
        <w:tc>
          <w:tcPr>
            <w:tcW w:w="2789" w:type="dxa"/>
            <w:gridSpan w:val="3"/>
            <w:vMerge w:val="restart"/>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污染源</w:t>
            </w:r>
          </w:p>
        </w:tc>
        <w:tc>
          <w:tcPr>
            <w:tcW w:w="3622" w:type="dxa"/>
            <w:vMerge w:val="restart"/>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环保措施与风险防范措施</w:t>
            </w:r>
          </w:p>
        </w:tc>
        <w:tc>
          <w:tcPr>
            <w:tcW w:w="2006" w:type="dxa"/>
            <w:gridSpan w:val="2"/>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环保投入</w:t>
            </w:r>
          </w:p>
        </w:tc>
      </w:tr>
      <w:tr w:rsidR="00525419">
        <w:trPr>
          <w:trHeight w:val="264"/>
        </w:trPr>
        <w:tc>
          <w:tcPr>
            <w:tcW w:w="2789" w:type="dxa"/>
            <w:gridSpan w:val="3"/>
            <w:vMerge/>
            <w:tcBorders>
              <w:tl2br w:val="nil"/>
              <w:tr2bl w:val="nil"/>
            </w:tcBorders>
            <w:vAlign w:val="center"/>
          </w:tcPr>
          <w:p w:rsidR="00525419" w:rsidRDefault="00525419">
            <w:pPr>
              <w:autoSpaceDE w:val="0"/>
              <w:autoSpaceDN w:val="0"/>
              <w:spacing w:before="100" w:beforeAutospacing="1" w:afterAutospacing="1"/>
              <w:jc w:val="center"/>
              <w:rPr>
                <w:rFonts w:ascii="Times New Roman" w:hAnsi="Times New Roman"/>
                <w:kern w:val="0"/>
                <w:szCs w:val="21"/>
              </w:rPr>
            </w:pPr>
          </w:p>
        </w:tc>
        <w:tc>
          <w:tcPr>
            <w:tcW w:w="3622" w:type="dxa"/>
            <w:vMerge/>
            <w:tcBorders>
              <w:tl2br w:val="nil"/>
              <w:tr2bl w:val="nil"/>
            </w:tcBorders>
            <w:vAlign w:val="center"/>
          </w:tcPr>
          <w:p w:rsidR="00525419" w:rsidRDefault="00525419">
            <w:pPr>
              <w:autoSpaceDE w:val="0"/>
              <w:autoSpaceDN w:val="0"/>
              <w:spacing w:before="100" w:beforeAutospacing="1" w:afterAutospacing="1"/>
              <w:jc w:val="center"/>
              <w:rPr>
                <w:rFonts w:ascii="Times New Roman" w:hAnsi="Times New Roman"/>
                <w:kern w:val="0"/>
                <w:szCs w:val="21"/>
              </w:rPr>
            </w:pPr>
          </w:p>
        </w:tc>
        <w:tc>
          <w:tcPr>
            <w:tcW w:w="731"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数量</w:t>
            </w:r>
          </w:p>
        </w:tc>
        <w:tc>
          <w:tcPr>
            <w:tcW w:w="1275"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建设费用</w:t>
            </w:r>
          </w:p>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（万元）</w:t>
            </w:r>
          </w:p>
        </w:tc>
      </w:tr>
      <w:tr w:rsidR="00525419">
        <w:trPr>
          <w:trHeight w:val="344"/>
        </w:trPr>
        <w:tc>
          <w:tcPr>
            <w:tcW w:w="465" w:type="dxa"/>
            <w:vMerge w:val="restart"/>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bookmarkStart w:id="315" w:name="_Hlk389162532"/>
            <w:bookmarkStart w:id="316" w:name="_Hlk419922381"/>
            <w:r>
              <w:rPr>
                <w:rFonts w:ascii="Times New Roman" w:hAnsi="Times New Roman"/>
                <w:kern w:val="0"/>
                <w:szCs w:val="21"/>
              </w:rPr>
              <w:t>废气</w:t>
            </w:r>
          </w:p>
        </w:tc>
        <w:tc>
          <w:tcPr>
            <w:tcW w:w="1162" w:type="dxa"/>
            <w:vMerge w:val="restart"/>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hint="eastAsia"/>
                <w:kern w:val="0"/>
                <w:szCs w:val="21"/>
              </w:rPr>
              <w:t>有组织</w:t>
            </w:r>
          </w:p>
        </w:tc>
        <w:tc>
          <w:tcPr>
            <w:tcW w:w="1162"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hint="eastAsia"/>
                <w:kern w:val="0"/>
                <w:szCs w:val="21"/>
              </w:rPr>
              <w:t>储罐和装卸系统油气</w:t>
            </w:r>
          </w:p>
        </w:tc>
        <w:tc>
          <w:tcPr>
            <w:tcW w:w="3622"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hint="eastAsia"/>
                <w:kern w:val="0"/>
                <w:szCs w:val="21"/>
              </w:rPr>
              <w:t>油气回收装置、底部装载等</w:t>
            </w:r>
          </w:p>
        </w:tc>
        <w:tc>
          <w:tcPr>
            <w:tcW w:w="731"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hint="eastAsia"/>
                <w:kern w:val="0"/>
                <w:szCs w:val="21"/>
              </w:rPr>
              <w:t>3</w:t>
            </w:r>
            <w:r>
              <w:rPr>
                <w:rFonts w:ascii="Times New Roman" w:hAnsi="Times New Roman"/>
                <w:kern w:val="0"/>
                <w:szCs w:val="21"/>
              </w:rPr>
              <w:t>套</w:t>
            </w:r>
          </w:p>
        </w:tc>
        <w:tc>
          <w:tcPr>
            <w:tcW w:w="1275"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0</w:t>
            </w:r>
            <w:r>
              <w:rPr>
                <w:rFonts w:ascii="Times New Roman" w:hAnsi="Times New Roman"/>
                <w:kern w:val="0"/>
                <w:szCs w:val="21"/>
              </w:rPr>
              <w:t>（依托）</w:t>
            </w:r>
          </w:p>
        </w:tc>
      </w:tr>
      <w:tr w:rsidR="00525419">
        <w:trPr>
          <w:trHeight w:val="344"/>
        </w:trPr>
        <w:tc>
          <w:tcPr>
            <w:tcW w:w="465" w:type="dxa"/>
            <w:vMerge/>
            <w:tcBorders>
              <w:tl2br w:val="nil"/>
              <w:tr2bl w:val="nil"/>
            </w:tcBorders>
            <w:vAlign w:val="center"/>
          </w:tcPr>
          <w:p w:rsidR="00525419" w:rsidRDefault="00525419">
            <w:pPr>
              <w:autoSpaceDE w:val="0"/>
              <w:autoSpaceDN w:val="0"/>
              <w:spacing w:before="100" w:beforeAutospacing="1" w:afterAutospacing="1"/>
              <w:jc w:val="center"/>
              <w:rPr>
                <w:rFonts w:ascii="Times New Roman" w:hAnsi="Times New Roman"/>
                <w:kern w:val="0"/>
                <w:szCs w:val="21"/>
              </w:rPr>
            </w:pPr>
          </w:p>
        </w:tc>
        <w:tc>
          <w:tcPr>
            <w:tcW w:w="1162" w:type="dxa"/>
            <w:vMerge/>
            <w:tcBorders>
              <w:tl2br w:val="nil"/>
              <w:tr2bl w:val="nil"/>
            </w:tcBorders>
            <w:vAlign w:val="center"/>
          </w:tcPr>
          <w:p w:rsidR="00525419" w:rsidRDefault="00525419">
            <w:pPr>
              <w:autoSpaceDE w:val="0"/>
              <w:autoSpaceDN w:val="0"/>
              <w:spacing w:before="100" w:beforeAutospacing="1" w:afterAutospacing="1"/>
              <w:jc w:val="center"/>
              <w:rPr>
                <w:rFonts w:ascii="Times New Roman" w:hAnsi="Times New Roman"/>
                <w:kern w:val="0"/>
                <w:szCs w:val="21"/>
              </w:rPr>
            </w:pPr>
          </w:p>
        </w:tc>
        <w:tc>
          <w:tcPr>
            <w:tcW w:w="1162"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hint="eastAsia"/>
                <w:kern w:val="0"/>
                <w:szCs w:val="21"/>
              </w:rPr>
              <w:t>各类加热炉</w:t>
            </w:r>
          </w:p>
        </w:tc>
        <w:tc>
          <w:tcPr>
            <w:tcW w:w="3622"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hint="eastAsia"/>
                <w:kern w:val="0"/>
                <w:szCs w:val="21"/>
              </w:rPr>
              <w:t>低氮燃烧器</w:t>
            </w:r>
            <w:r>
              <w:rPr>
                <w:rFonts w:ascii="Times New Roman" w:hAnsi="Times New Roman" w:hint="eastAsia"/>
                <w:kern w:val="0"/>
                <w:szCs w:val="21"/>
              </w:rPr>
              <w:t>+</w:t>
            </w:r>
            <w:r>
              <w:rPr>
                <w:rFonts w:ascii="Times New Roman" w:hAnsi="Times New Roman" w:hint="eastAsia"/>
                <w:kern w:val="0"/>
                <w:szCs w:val="21"/>
              </w:rPr>
              <w:t>高空排气筒</w:t>
            </w:r>
          </w:p>
        </w:tc>
        <w:tc>
          <w:tcPr>
            <w:tcW w:w="731"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hint="eastAsia"/>
                <w:kern w:val="0"/>
                <w:szCs w:val="21"/>
              </w:rPr>
              <w:t>4</w:t>
            </w:r>
            <w:r>
              <w:rPr>
                <w:rFonts w:ascii="Times New Roman" w:hAnsi="Times New Roman" w:hint="eastAsia"/>
                <w:kern w:val="0"/>
                <w:szCs w:val="21"/>
              </w:rPr>
              <w:t>套</w:t>
            </w:r>
          </w:p>
        </w:tc>
        <w:tc>
          <w:tcPr>
            <w:tcW w:w="1275"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hint="eastAsia"/>
                <w:kern w:val="0"/>
                <w:szCs w:val="21"/>
              </w:rPr>
              <w:t>20</w:t>
            </w:r>
          </w:p>
        </w:tc>
      </w:tr>
      <w:tr w:rsidR="00525419">
        <w:trPr>
          <w:trHeight w:val="359"/>
        </w:trPr>
        <w:tc>
          <w:tcPr>
            <w:tcW w:w="465" w:type="dxa"/>
            <w:vMerge/>
            <w:tcBorders>
              <w:tl2br w:val="nil"/>
              <w:tr2bl w:val="nil"/>
            </w:tcBorders>
            <w:vAlign w:val="center"/>
          </w:tcPr>
          <w:p w:rsidR="00525419" w:rsidRDefault="00525419">
            <w:pPr>
              <w:autoSpaceDE w:val="0"/>
              <w:autoSpaceDN w:val="0"/>
              <w:spacing w:before="100" w:beforeAutospacing="1" w:afterAutospacing="1"/>
              <w:jc w:val="center"/>
              <w:rPr>
                <w:rFonts w:ascii="Times New Roman" w:hAnsi="Times New Roman"/>
                <w:kern w:val="0"/>
                <w:szCs w:val="21"/>
              </w:rPr>
            </w:pPr>
          </w:p>
        </w:tc>
        <w:tc>
          <w:tcPr>
            <w:tcW w:w="1162" w:type="dxa"/>
            <w:vMerge/>
            <w:tcBorders>
              <w:tl2br w:val="nil"/>
              <w:tr2bl w:val="nil"/>
            </w:tcBorders>
            <w:vAlign w:val="center"/>
          </w:tcPr>
          <w:p w:rsidR="00525419" w:rsidRDefault="00525419">
            <w:pPr>
              <w:autoSpaceDE w:val="0"/>
              <w:autoSpaceDN w:val="0"/>
              <w:spacing w:before="100" w:beforeAutospacing="1" w:afterAutospacing="1"/>
              <w:jc w:val="center"/>
              <w:rPr>
                <w:rFonts w:ascii="Times New Roman" w:hAnsi="Times New Roman"/>
                <w:kern w:val="0"/>
                <w:szCs w:val="21"/>
              </w:rPr>
            </w:pPr>
          </w:p>
        </w:tc>
        <w:tc>
          <w:tcPr>
            <w:tcW w:w="1162"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酸性气体</w:t>
            </w:r>
          </w:p>
        </w:tc>
        <w:tc>
          <w:tcPr>
            <w:tcW w:w="3622"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硫磺回收装置</w:t>
            </w:r>
            <w:r>
              <w:rPr>
                <w:rFonts w:ascii="Times New Roman" w:hAnsi="Times New Roman"/>
                <w:kern w:val="0"/>
                <w:szCs w:val="21"/>
              </w:rPr>
              <w:t>(</w:t>
            </w:r>
            <w:r>
              <w:rPr>
                <w:rFonts w:ascii="Times New Roman" w:hAnsi="Times New Roman"/>
                <w:kern w:val="0"/>
                <w:szCs w:val="21"/>
              </w:rPr>
              <w:t>包括尾气焚烧</w:t>
            </w:r>
            <w:r>
              <w:rPr>
                <w:rFonts w:ascii="Times New Roman" w:hAnsi="Times New Roman"/>
                <w:kern w:val="0"/>
                <w:szCs w:val="21"/>
              </w:rPr>
              <w:t>)</w:t>
            </w:r>
          </w:p>
        </w:tc>
        <w:tc>
          <w:tcPr>
            <w:tcW w:w="731"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套</w:t>
            </w:r>
          </w:p>
        </w:tc>
        <w:tc>
          <w:tcPr>
            <w:tcW w:w="1275"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hint="eastAsia"/>
                <w:kern w:val="0"/>
                <w:szCs w:val="21"/>
              </w:rPr>
              <w:t>12000</w:t>
            </w:r>
          </w:p>
        </w:tc>
      </w:tr>
      <w:tr w:rsidR="00525419">
        <w:trPr>
          <w:trHeight w:val="359"/>
        </w:trPr>
        <w:tc>
          <w:tcPr>
            <w:tcW w:w="465" w:type="dxa"/>
            <w:vMerge/>
            <w:tcBorders>
              <w:tl2br w:val="nil"/>
              <w:tr2bl w:val="nil"/>
            </w:tcBorders>
            <w:vAlign w:val="center"/>
          </w:tcPr>
          <w:p w:rsidR="00525419" w:rsidRDefault="00525419">
            <w:pPr>
              <w:autoSpaceDE w:val="0"/>
              <w:autoSpaceDN w:val="0"/>
              <w:spacing w:before="100" w:beforeAutospacing="1" w:afterAutospacing="1"/>
              <w:jc w:val="center"/>
              <w:rPr>
                <w:rFonts w:ascii="Times New Roman" w:hAnsi="Times New Roman"/>
                <w:kern w:val="0"/>
                <w:szCs w:val="21"/>
              </w:rPr>
            </w:pPr>
          </w:p>
        </w:tc>
        <w:tc>
          <w:tcPr>
            <w:tcW w:w="1162" w:type="dxa"/>
            <w:vMerge/>
            <w:tcBorders>
              <w:tl2br w:val="nil"/>
              <w:tr2bl w:val="nil"/>
            </w:tcBorders>
            <w:vAlign w:val="center"/>
          </w:tcPr>
          <w:p w:rsidR="00525419" w:rsidRDefault="00525419">
            <w:pPr>
              <w:autoSpaceDE w:val="0"/>
              <w:autoSpaceDN w:val="0"/>
              <w:spacing w:before="100" w:beforeAutospacing="1" w:afterAutospacing="1"/>
              <w:jc w:val="center"/>
              <w:rPr>
                <w:rFonts w:ascii="Times New Roman" w:hAnsi="Times New Roman"/>
                <w:kern w:val="0"/>
                <w:szCs w:val="21"/>
              </w:rPr>
            </w:pPr>
          </w:p>
        </w:tc>
        <w:tc>
          <w:tcPr>
            <w:tcW w:w="1162"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火炬</w:t>
            </w:r>
          </w:p>
        </w:tc>
        <w:tc>
          <w:tcPr>
            <w:tcW w:w="3622"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w:t>
            </w:r>
          </w:p>
        </w:tc>
        <w:tc>
          <w:tcPr>
            <w:tcW w:w="731"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w:t>
            </w:r>
          </w:p>
        </w:tc>
        <w:tc>
          <w:tcPr>
            <w:tcW w:w="1275"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500</w:t>
            </w:r>
          </w:p>
        </w:tc>
      </w:tr>
      <w:tr w:rsidR="00525419">
        <w:trPr>
          <w:trHeight w:val="359"/>
        </w:trPr>
        <w:tc>
          <w:tcPr>
            <w:tcW w:w="465" w:type="dxa"/>
            <w:vMerge/>
            <w:tcBorders>
              <w:tl2br w:val="nil"/>
              <w:tr2bl w:val="nil"/>
            </w:tcBorders>
            <w:vAlign w:val="center"/>
          </w:tcPr>
          <w:p w:rsidR="00525419" w:rsidRDefault="00525419">
            <w:pPr>
              <w:autoSpaceDE w:val="0"/>
              <w:autoSpaceDN w:val="0"/>
              <w:spacing w:before="100" w:beforeAutospacing="1" w:afterAutospacing="1"/>
              <w:jc w:val="center"/>
              <w:rPr>
                <w:rFonts w:ascii="Times New Roman" w:hAnsi="Times New Roman"/>
                <w:kern w:val="0"/>
                <w:szCs w:val="21"/>
              </w:rPr>
            </w:pPr>
          </w:p>
        </w:tc>
        <w:tc>
          <w:tcPr>
            <w:tcW w:w="1162" w:type="dxa"/>
            <w:vMerge/>
            <w:tcBorders>
              <w:tl2br w:val="nil"/>
              <w:tr2bl w:val="nil"/>
            </w:tcBorders>
            <w:vAlign w:val="center"/>
          </w:tcPr>
          <w:p w:rsidR="00525419" w:rsidRDefault="00525419">
            <w:pPr>
              <w:autoSpaceDE w:val="0"/>
              <w:autoSpaceDN w:val="0"/>
              <w:spacing w:before="100" w:beforeAutospacing="1" w:afterAutospacing="1"/>
              <w:jc w:val="center"/>
              <w:rPr>
                <w:rFonts w:ascii="Times New Roman" w:hAnsi="Times New Roman"/>
                <w:kern w:val="0"/>
                <w:szCs w:val="21"/>
              </w:rPr>
            </w:pPr>
          </w:p>
        </w:tc>
        <w:tc>
          <w:tcPr>
            <w:tcW w:w="1162"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hint="eastAsia"/>
                <w:kern w:val="0"/>
                <w:szCs w:val="21"/>
              </w:rPr>
              <w:t>恶臭</w:t>
            </w:r>
          </w:p>
        </w:tc>
        <w:tc>
          <w:tcPr>
            <w:tcW w:w="3622"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hint="eastAsia"/>
                <w:kern w:val="0"/>
                <w:szCs w:val="21"/>
              </w:rPr>
              <w:t>污水处理站恶臭处理装置</w:t>
            </w:r>
          </w:p>
        </w:tc>
        <w:tc>
          <w:tcPr>
            <w:tcW w:w="731"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hint="eastAsia"/>
                <w:kern w:val="0"/>
                <w:szCs w:val="21"/>
              </w:rPr>
              <w:t>1</w:t>
            </w:r>
            <w:r>
              <w:rPr>
                <w:rFonts w:ascii="Times New Roman" w:hAnsi="Times New Roman" w:hint="eastAsia"/>
                <w:kern w:val="0"/>
                <w:szCs w:val="21"/>
              </w:rPr>
              <w:t>套</w:t>
            </w:r>
          </w:p>
        </w:tc>
        <w:tc>
          <w:tcPr>
            <w:tcW w:w="1275"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0</w:t>
            </w:r>
            <w:r>
              <w:rPr>
                <w:rFonts w:ascii="Times New Roman" w:hAnsi="Times New Roman"/>
                <w:kern w:val="0"/>
                <w:szCs w:val="21"/>
              </w:rPr>
              <w:t>（依托）</w:t>
            </w:r>
          </w:p>
        </w:tc>
      </w:tr>
      <w:tr w:rsidR="00525419">
        <w:trPr>
          <w:trHeight w:val="90"/>
        </w:trPr>
        <w:tc>
          <w:tcPr>
            <w:tcW w:w="465" w:type="dxa"/>
            <w:vMerge/>
            <w:tcBorders>
              <w:tl2br w:val="nil"/>
              <w:tr2bl w:val="nil"/>
            </w:tcBorders>
            <w:vAlign w:val="center"/>
          </w:tcPr>
          <w:p w:rsidR="00525419" w:rsidRDefault="00525419">
            <w:pPr>
              <w:autoSpaceDE w:val="0"/>
              <w:autoSpaceDN w:val="0"/>
              <w:spacing w:before="100" w:beforeAutospacing="1" w:afterAutospacing="1"/>
              <w:jc w:val="center"/>
              <w:rPr>
                <w:rFonts w:ascii="Times New Roman" w:hAnsi="Times New Roman"/>
                <w:kern w:val="0"/>
                <w:szCs w:val="21"/>
              </w:rPr>
            </w:pPr>
          </w:p>
        </w:tc>
        <w:tc>
          <w:tcPr>
            <w:tcW w:w="2324" w:type="dxa"/>
            <w:gridSpan w:val="2"/>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hint="eastAsia"/>
                <w:kern w:val="0"/>
                <w:szCs w:val="21"/>
              </w:rPr>
              <w:t>装置区及储罐区无组织排放</w:t>
            </w:r>
          </w:p>
        </w:tc>
        <w:tc>
          <w:tcPr>
            <w:tcW w:w="3622"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hint="eastAsia"/>
                <w:kern w:val="0"/>
                <w:szCs w:val="21"/>
              </w:rPr>
              <w:t>采用浮顶罐及内浮顶罐，</w:t>
            </w:r>
            <w:r>
              <w:rPr>
                <w:rFonts w:ascii="Times New Roman" w:hAnsi="Times New Roman"/>
                <w:kern w:val="0"/>
                <w:szCs w:val="21"/>
              </w:rPr>
              <w:t>健全各项规章制度</w:t>
            </w:r>
            <w:r>
              <w:rPr>
                <w:rFonts w:ascii="Times New Roman" w:hAnsi="Times New Roman" w:hint="eastAsia"/>
                <w:kern w:val="0"/>
                <w:szCs w:val="21"/>
              </w:rPr>
              <w:t>、</w:t>
            </w:r>
            <w:r>
              <w:rPr>
                <w:rFonts w:ascii="Times New Roman" w:hAnsi="Times New Roman"/>
                <w:kern w:val="0"/>
                <w:szCs w:val="21"/>
              </w:rPr>
              <w:t>加强设备维护保养</w:t>
            </w:r>
            <w:r>
              <w:rPr>
                <w:rFonts w:ascii="Times New Roman" w:hAnsi="Times New Roman" w:hint="eastAsia"/>
                <w:kern w:val="0"/>
                <w:szCs w:val="21"/>
              </w:rPr>
              <w:t>等措施</w:t>
            </w:r>
          </w:p>
        </w:tc>
        <w:tc>
          <w:tcPr>
            <w:tcW w:w="731"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hint="eastAsia"/>
                <w:kern w:val="0"/>
                <w:szCs w:val="21"/>
              </w:rPr>
              <w:t>/</w:t>
            </w:r>
          </w:p>
        </w:tc>
        <w:tc>
          <w:tcPr>
            <w:tcW w:w="1275"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0</w:t>
            </w:r>
            <w:r>
              <w:rPr>
                <w:rFonts w:ascii="Times New Roman" w:hAnsi="Times New Roman"/>
                <w:kern w:val="0"/>
                <w:szCs w:val="21"/>
              </w:rPr>
              <w:t>（依托）</w:t>
            </w:r>
          </w:p>
        </w:tc>
      </w:tr>
      <w:bookmarkEnd w:id="315"/>
      <w:bookmarkEnd w:id="316"/>
      <w:tr w:rsidR="00525419">
        <w:trPr>
          <w:trHeight w:val="264"/>
        </w:trPr>
        <w:tc>
          <w:tcPr>
            <w:tcW w:w="465" w:type="dxa"/>
            <w:vMerge w:val="restart"/>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废水</w:t>
            </w:r>
          </w:p>
        </w:tc>
        <w:tc>
          <w:tcPr>
            <w:tcW w:w="2324" w:type="dxa"/>
            <w:gridSpan w:val="2"/>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含油废水及生活污水等</w:t>
            </w:r>
          </w:p>
        </w:tc>
        <w:tc>
          <w:tcPr>
            <w:tcW w:w="3622" w:type="dxa"/>
            <w:tcBorders>
              <w:tl2br w:val="nil"/>
              <w:tr2bl w:val="nil"/>
            </w:tcBorders>
            <w:vAlign w:val="center"/>
          </w:tcPr>
          <w:p w:rsidR="00525419" w:rsidRDefault="00EE1CF7">
            <w:pPr>
              <w:pStyle w:val="af5"/>
              <w:jc w:val="center"/>
              <w:rPr>
                <w:rFonts w:ascii="Times New Roman" w:hAnsi="Times New Roman"/>
                <w:szCs w:val="21"/>
              </w:rPr>
            </w:pPr>
            <w:r>
              <w:rPr>
                <w:rFonts w:ascii="Times New Roman" w:hAnsi="Times New Roman" w:hint="eastAsia"/>
                <w:szCs w:val="21"/>
              </w:rPr>
              <w:t>现有</w:t>
            </w:r>
            <w:r>
              <w:rPr>
                <w:rFonts w:ascii="Times New Roman" w:hAnsi="Times New Roman"/>
                <w:szCs w:val="21"/>
              </w:rPr>
              <w:t>污水处理站</w:t>
            </w:r>
            <w:r>
              <w:rPr>
                <w:rFonts w:ascii="Times New Roman" w:hAnsi="Times New Roman" w:hint="eastAsia"/>
                <w:szCs w:val="21"/>
              </w:rPr>
              <w:t>扩建</w:t>
            </w:r>
            <w:r>
              <w:rPr>
                <w:rFonts w:hint="eastAsia"/>
              </w:rPr>
              <w:t>溶气气浮和溶气气浮池</w:t>
            </w:r>
          </w:p>
        </w:tc>
        <w:tc>
          <w:tcPr>
            <w:tcW w:w="731"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hint="eastAsia"/>
                <w:kern w:val="0"/>
                <w:szCs w:val="21"/>
              </w:rPr>
              <w:t>/</w:t>
            </w:r>
          </w:p>
        </w:tc>
        <w:tc>
          <w:tcPr>
            <w:tcW w:w="1275"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hint="eastAsia"/>
                <w:kern w:val="0"/>
                <w:szCs w:val="21"/>
              </w:rPr>
              <w:t>80</w:t>
            </w:r>
          </w:p>
        </w:tc>
      </w:tr>
      <w:tr w:rsidR="00525419">
        <w:trPr>
          <w:trHeight w:val="204"/>
        </w:trPr>
        <w:tc>
          <w:tcPr>
            <w:tcW w:w="465" w:type="dxa"/>
            <w:vMerge/>
            <w:tcBorders>
              <w:tl2br w:val="nil"/>
              <w:tr2bl w:val="nil"/>
            </w:tcBorders>
            <w:vAlign w:val="center"/>
          </w:tcPr>
          <w:p w:rsidR="00525419" w:rsidRDefault="00525419">
            <w:pPr>
              <w:autoSpaceDE w:val="0"/>
              <w:autoSpaceDN w:val="0"/>
              <w:spacing w:before="100" w:beforeAutospacing="1" w:afterAutospacing="1"/>
              <w:jc w:val="center"/>
              <w:rPr>
                <w:rFonts w:ascii="Times New Roman" w:hAnsi="Times New Roman"/>
                <w:kern w:val="0"/>
                <w:szCs w:val="21"/>
              </w:rPr>
            </w:pPr>
          </w:p>
        </w:tc>
        <w:tc>
          <w:tcPr>
            <w:tcW w:w="2324" w:type="dxa"/>
            <w:gridSpan w:val="2"/>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含硫污水</w:t>
            </w:r>
          </w:p>
        </w:tc>
        <w:tc>
          <w:tcPr>
            <w:tcW w:w="3622"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污水汽提装置及回用注水管</w:t>
            </w:r>
          </w:p>
        </w:tc>
        <w:tc>
          <w:tcPr>
            <w:tcW w:w="731"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套</w:t>
            </w:r>
          </w:p>
        </w:tc>
        <w:tc>
          <w:tcPr>
            <w:tcW w:w="1275"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1500</w:t>
            </w:r>
          </w:p>
        </w:tc>
      </w:tr>
      <w:tr w:rsidR="00525419">
        <w:trPr>
          <w:trHeight w:val="341"/>
        </w:trPr>
        <w:tc>
          <w:tcPr>
            <w:tcW w:w="465" w:type="dxa"/>
            <w:vMerge/>
            <w:tcBorders>
              <w:tl2br w:val="nil"/>
              <w:tr2bl w:val="nil"/>
            </w:tcBorders>
            <w:vAlign w:val="center"/>
          </w:tcPr>
          <w:p w:rsidR="00525419" w:rsidRDefault="00525419">
            <w:pPr>
              <w:autoSpaceDE w:val="0"/>
              <w:autoSpaceDN w:val="0"/>
              <w:spacing w:before="100" w:beforeAutospacing="1" w:afterAutospacing="1"/>
              <w:jc w:val="center"/>
              <w:rPr>
                <w:rFonts w:ascii="Times New Roman" w:hAnsi="Times New Roman"/>
                <w:kern w:val="0"/>
                <w:szCs w:val="21"/>
              </w:rPr>
            </w:pPr>
          </w:p>
        </w:tc>
        <w:tc>
          <w:tcPr>
            <w:tcW w:w="2324" w:type="dxa"/>
            <w:gridSpan w:val="2"/>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浓盐水</w:t>
            </w:r>
          </w:p>
        </w:tc>
        <w:tc>
          <w:tcPr>
            <w:tcW w:w="3622"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浓盐水处理装置</w:t>
            </w:r>
          </w:p>
        </w:tc>
        <w:tc>
          <w:tcPr>
            <w:tcW w:w="731"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套</w:t>
            </w:r>
          </w:p>
        </w:tc>
        <w:tc>
          <w:tcPr>
            <w:tcW w:w="1275"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300</w:t>
            </w:r>
          </w:p>
        </w:tc>
      </w:tr>
      <w:tr w:rsidR="00525419">
        <w:trPr>
          <w:trHeight w:val="298"/>
        </w:trPr>
        <w:tc>
          <w:tcPr>
            <w:tcW w:w="2789" w:type="dxa"/>
            <w:gridSpan w:val="3"/>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固体废物</w:t>
            </w:r>
          </w:p>
        </w:tc>
        <w:tc>
          <w:tcPr>
            <w:tcW w:w="3622"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固废分类存放场所，包括一般固体废物及危险废物暂存间</w:t>
            </w:r>
          </w:p>
        </w:tc>
        <w:tc>
          <w:tcPr>
            <w:tcW w:w="731"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w:t>
            </w:r>
          </w:p>
        </w:tc>
        <w:tc>
          <w:tcPr>
            <w:tcW w:w="1275"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0</w:t>
            </w:r>
            <w:r>
              <w:rPr>
                <w:rFonts w:ascii="Times New Roman" w:hAnsi="Times New Roman"/>
                <w:kern w:val="0"/>
                <w:szCs w:val="21"/>
              </w:rPr>
              <w:t>（依托）</w:t>
            </w:r>
          </w:p>
        </w:tc>
      </w:tr>
      <w:tr w:rsidR="00525419">
        <w:trPr>
          <w:trHeight w:val="177"/>
        </w:trPr>
        <w:tc>
          <w:tcPr>
            <w:tcW w:w="2789" w:type="dxa"/>
            <w:gridSpan w:val="3"/>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噪声</w:t>
            </w:r>
          </w:p>
        </w:tc>
        <w:tc>
          <w:tcPr>
            <w:tcW w:w="3622"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隔声罩、减振垫、消声器</w:t>
            </w:r>
          </w:p>
        </w:tc>
        <w:tc>
          <w:tcPr>
            <w:tcW w:w="731"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w:t>
            </w:r>
          </w:p>
        </w:tc>
        <w:tc>
          <w:tcPr>
            <w:tcW w:w="1275"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65</w:t>
            </w:r>
          </w:p>
        </w:tc>
      </w:tr>
      <w:tr w:rsidR="00525419">
        <w:trPr>
          <w:trHeight w:val="618"/>
        </w:trPr>
        <w:tc>
          <w:tcPr>
            <w:tcW w:w="2789" w:type="dxa"/>
            <w:gridSpan w:val="3"/>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其他</w:t>
            </w:r>
          </w:p>
        </w:tc>
        <w:tc>
          <w:tcPr>
            <w:tcW w:w="3622"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设置监测采样口、自动监测设备和污染源排放口标识</w:t>
            </w:r>
          </w:p>
        </w:tc>
        <w:tc>
          <w:tcPr>
            <w:tcW w:w="731"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w:t>
            </w:r>
          </w:p>
        </w:tc>
        <w:tc>
          <w:tcPr>
            <w:tcW w:w="1275"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15</w:t>
            </w:r>
          </w:p>
        </w:tc>
      </w:tr>
      <w:tr w:rsidR="00525419">
        <w:trPr>
          <w:trHeight w:val="119"/>
        </w:trPr>
        <w:tc>
          <w:tcPr>
            <w:tcW w:w="2789" w:type="dxa"/>
            <w:gridSpan w:val="3"/>
            <w:vMerge w:val="restart"/>
            <w:tcBorders>
              <w:tl2br w:val="nil"/>
              <w:tr2bl w:val="nil"/>
            </w:tcBorders>
            <w:vAlign w:val="center"/>
          </w:tcPr>
          <w:p w:rsidR="00525419" w:rsidRDefault="00525419">
            <w:pPr>
              <w:autoSpaceDE w:val="0"/>
              <w:autoSpaceDN w:val="0"/>
              <w:spacing w:before="100" w:beforeAutospacing="1" w:afterAutospacing="1"/>
              <w:jc w:val="center"/>
              <w:rPr>
                <w:rFonts w:ascii="Times New Roman" w:hAnsi="Times New Roman"/>
                <w:kern w:val="0"/>
                <w:szCs w:val="21"/>
              </w:rPr>
            </w:pPr>
          </w:p>
          <w:p w:rsidR="00525419" w:rsidRDefault="00525419">
            <w:pPr>
              <w:autoSpaceDE w:val="0"/>
              <w:autoSpaceDN w:val="0"/>
              <w:spacing w:before="100" w:beforeAutospacing="1" w:afterAutospacing="1"/>
              <w:jc w:val="center"/>
              <w:rPr>
                <w:rFonts w:ascii="Times New Roman" w:hAnsi="Times New Roman"/>
                <w:kern w:val="0"/>
                <w:szCs w:val="21"/>
              </w:rPr>
            </w:pPr>
          </w:p>
          <w:p w:rsidR="00525419" w:rsidRDefault="00525419">
            <w:pPr>
              <w:autoSpaceDE w:val="0"/>
              <w:autoSpaceDN w:val="0"/>
              <w:spacing w:before="100" w:beforeAutospacing="1" w:afterAutospacing="1"/>
              <w:jc w:val="center"/>
              <w:rPr>
                <w:rFonts w:ascii="Times New Roman" w:hAnsi="Times New Roman"/>
                <w:kern w:val="0"/>
                <w:szCs w:val="21"/>
              </w:rPr>
            </w:pPr>
          </w:p>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事故及风险防范措施</w:t>
            </w:r>
          </w:p>
        </w:tc>
        <w:tc>
          <w:tcPr>
            <w:tcW w:w="3622"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火灾自动报警及消防联动系统</w:t>
            </w:r>
          </w:p>
        </w:tc>
        <w:tc>
          <w:tcPr>
            <w:tcW w:w="731"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w:t>
            </w:r>
          </w:p>
        </w:tc>
        <w:tc>
          <w:tcPr>
            <w:tcW w:w="1275"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30</w:t>
            </w:r>
          </w:p>
        </w:tc>
      </w:tr>
      <w:tr w:rsidR="00525419">
        <w:trPr>
          <w:trHeight w:val="90"/>
        </w:trPr>
        <w:tc>
          <w:tcPr>
            <w:tcW w:w="2789" w:type="dxa"/>
            <w:gridSpan w:val="3"/>
            <w:vMerge/>
            <w:tcBorders>
              <w:tl2br w:val="nil"/>
              <w:tr2bl w:val="nil"/>
            </w:tcBorders>
            <w:vAlign w:val="center"/>
          </w:tcPr>
          <w:p w:rsidR="00525419" w:rsidRDefault="00525419">
            <w:pPr>
              <w:autoSpaceDE w:val="0"/>
              <w:autoSpaceDN w:val="0"/>
              <w:spacing w:before="100" w:beforeAutospacing="1" w:afterAutospacing="1"/>
              <w:jc w:val="center"/>
              <w:rPr>
                <w:rFonts w:ascii="Times New Roman" w:hAnsi="Times New Roman"/>
                <w:kern w:val="0"/>
                <w:szCs w:val="21"/>
              </w:rPr>
            </w:pPr>
          </w:p>
        </w:tc>
        <w:tc>
          <w:tcPr>
            <w:tcW w:w="3622"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防火救火器材和消防设施</w:t>
            </w:r>
          </w:p>
        </w:tc>
        <w:tc>
          <w:tcPr>
            <w:tcW w:w="731"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w:t>
            </w:r>
          </w:p>
        </w:tc>
        <w:tc>
          <w:tcPr>
            <w:tcW w:w="1275"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20</w:t>
            </w:r>
          </w:p>
        </w:tc>
      </w:tr>
      <w:tr w:rsidR="00525419">
        <w:trPr>
          <w:trHeight w:val="312"/>
        </w:trPr>
        <w:tc>
          <w:tcPr>
            <w:tcW w:w="2789" w:type="dxa"/>
            <w:gridSpan w:val="3"/>
            <w:vMerge/>
            <w:tcBorders>
              <w:tl2br w:val="nil"/>
              <w:tr2bl w:val="nil"/>
            </w:tcBorders>
            <w:vAlign w:val="center"/>
          </w:tcPr>
          <w:p w:rsidR="00525419" w:rsidRDefault="00525419">
            <w:pPr>
              <w:autoSpaceDE w:val="0"/>
              <w:autoSpaceDN w:val="0"/>
              <w:spacing w:before="100" w:beforeAutospacing="1" w:afterAutospacing="1"/>
              <w:jc w:val="center"/>
              <w:rPr>
                <w:rFonts w:ascii="Times New Roman" w:hAnsi="Times New Roman"/>
                <w:kern w:val="0"/>
                <w:szCs w:val="21"/>
              </w:rPr>
            </w:pPr>
          </w:p>
        </w:tc>
        <w:tc>
          <w:tcPr>
            <w:tcW w:w="3622"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可燃气体报警系统</w:t>
            </w:r>
          </w:p>
        </w:tc>
        <w:tc>
          <w:tcPr>
            <w:tcW w:w="731"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w:t>
            </w:r>
          </w:p>
        </w:tc>
        <w:tc>
          <w:tcPr>
            <w:tcW w:w="1275"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20</w:t>
            </w:r>
          </w:p>
        </w:tc>
      </w:tr>
      <w:tr w:rsidR="00525419">
        <w:trPr>
          <w:trHeight w:val="193"/>
        </w:trPr>
        <w:tc>
          <w:tcPr>
            <w:tcW w:w="2789" w:type="dxa"/>
            <w:gridSpan w:val="3"/>
            <w:vMerge/>
            <w:tcBorders>
              <w:tl2br w:val="nil"/>
              <w:tr2bl w:val="nil"/>
            </w:tcBorders>
            <w:vAlign w:val="center"/>
          </w:tcPr>
          <w:p w:rsidR="00525419" w:rsidRDefault="00525419">
            <w:pPr>
              <w:autoSpaceDE w:val="0"/>
              <w:autoSpaceDN w:val="0"/>
              <w:spacing w:before="100" w:beforeAutospacing="1" w:afterAutospacing="1"/>
              <w:jc w:val="center"/>
              <w:rPr>
                <w:rFonts w:ascii="Times New Roman" w:hAnsi="Times New Roman"/>
                <w:kern w:val="0"/>
                <w:szCs w:val="21"/>
              </w:rPr>
            </w:pPr>
          </w:p>
        </w:tc>
        <w:tc>
          <w:tcPr>
            <w:tcW w:w="3622"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工业电视监控系统设备</w:t>
            </w:r>
          </w:p>
        </w:tc>
        <w:tc>
          <w:tcPr>
            <w:tcW w:w="731"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w:t>
            </w:r>
          </w:p>
        </w:tc>
        <w:tc>
          <w:tcPr>
            <w:tcW w:w="1275"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10</w:t>
            </w:r>
          </w:p>
        </w:tc>
      </w:tr>
      <w:tr w:rsidR="00525419">
        <w:trPr>
          <w:trHeight w:val="131"/>
        </w:trPr>
        <w:tc>
          <w:tcPr>
            <w:tcW w:w="2789" w:type="dxa"/>
            <w:gridSpan w:val="3"/>
            <w:vMerge/>
            <w:tcBorders>
              <w:tl2br w:val="nil"/>
              <w:tr2bl w:val="nil"/>
            </w:tcBorders>
            <w:vAlign w:val="center"/>
          </w:tcPr>
          <w:p w:rsidR="00525419" w:rsidRDefault="00525419">
            <w:pPr>
              <w:autoSpaceDE w:val="0"/>
              <w:autoSpaceDN w:val="0"/>
              <w:spacing w:before="100" w:beforeAutospacing="1" w:afterAutospacing="1"/>
              <w:jc w:val="center"/>
              <w:rPr>
                <w:rFonts w:ascii="Times New Roman" w:hAnsi="Times New Roman"/>
                <w:kern w:val="0"/>
                <w:szCs w:val="21"/>
              </w:rPr>
            </w:pPr>
          </w:p>
        </w:tc>
        <w:tc>
          <w:tcPr>
            <w:tcW w:w="3622"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通讯设施</w:t>
            </w:r>
          </w:p>
        </w:tc>
        <w:tc>
          <w:tcPr>
            <w:tcW w:w="731"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w:t>
            </w:r>
          </w:p>
        </w:tc>
        <w:tc>
          <w:tcPr>
            <w:tcW w:w="1275"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1</w:t>
            </w:r>
          </w:p>
        </w:tc>
      </w:tr>
      <w:tr w:rsidR="00525419">
        <w:trPr>
          <w:trHeight w:val="90"/>
        </w:trPr>
        <w:tc>
          <w:tcPr>
            <w:tcW w:w="2789" w:type="dxa"/>
            <w:gridSpan w:val="3"/>
            <w:vMerge/>
            <w:tcBorders>
              <w:tl2br w:val="nil"/>
              <w:tr2bl w:val="nil"/>
            </w:tcBorders>
            <w:vAlign w:val="center"/>
          </w:tcPr>
          <w:p w:rsidR="00525419" w:rsidRDefault="00525419">
            <w:pPr>
              <w:autoSpaceDE w:val="0"/>
              <w:autoSpaceDN w:val="0"/>
              <w:spacing w:before="100" w:beforeAutospacing="1" w:afterAutospacing="1"/>
              <w:jc w:val="center"/>
              <w:rPr>
                <w:rFonts w:ascii="Times New Roman" w:hAnsi="Times New Roman"/>
                <w:kern w:val="0"/>
                <w:szCs w:val="21"/>
              </w:rPr>
            </w:pPr>
          </w:p>
        </w:tc>
        <w:tc>
          <w:tcPr>
            <w:tcW w:w="3622"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应急处置设施及物资及个人防护用品及急救物品</w:t>
            </w:r>
          </w:p>
        </w:tc>
        <w:tc>
          <w:tcPr>
            <w:tcW w:w="731"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w:t>
            </w:r>
          </w:p>
        </w:tc>
        <w:tc>
          <w:tcPr>
            <w:tcW w:w="1275"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2</w:t>
            </w:r>
          </w:p>
        </w:tc>
      </w:tr>
      <w:tr w:rsidR="00525419">
        <w:trPr>
          <w:trHeight w:val="193"/>
        </w:trPr>
        <w:tc>
          <w:tcPr>
            <w:tcW w:w="2789" w:type="dxa"/>
            <w:gridSpan w:val="3"/>
            <w:vMerge/>
            <w:tcBorders>
              <w:tl2br w:val="nil"/>
              <w:tr2bl w:val="nil"/>
            </w:tcBorders>
            <w:vAlign w:val="center"/>
          </w:tcPr>
          <w:p w:rsidR="00525419" w:rsidRDefault="00525419">
            <w:pPr>
              <w:autoSpaceDE w:val="0"/>
              <w:autoSpaceDN w:val="0"/>
              <w:spacing w:before="100" w:beforeAutospacing="1" w:afterAutospacing="1"/>
              <w:jc w:val="center"/>
              <w:rPr>
                <w:rFonts w:ascii="Times New Roman" w:hAnsi="Times New Roman"/>
                <w:kern w:val="0"/>
                <w:szCs w:val="21"/>
              </w:rPr>
            </w:pPr>
          </w:p>
        </w:tc>
        <w:tc>
          <w:tcPr>
            <w:tcW w:w="3622"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装置区渗漏、渗透防治</w:t>
            </w:r>
          </w:p>
        </w:tc>
        <w:tc>
          <w:tcPr>
            <w:tcW w:w="731"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w:t>
            </w:r>
          </w:p>
        </w:tc>
        <w:tc>
          <w:tcPr>
            <w:tcW w:w="1275"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50</w:t>
            </w:r>
          </w:p>
        </w:tc>
      </w:tr>
      <w:tr w:rsidR="00525419">
        <w:trPr>
          <w:trHeight w:val="563"/>
        </w:trPr>
        <w:tc>
          <w:tcPr>
            <w:tcW w:w="2789" w:type="dxa"/>
            <w:gridSpan w:val="3"/>
            <w:vMerge/>
            <w:tcBorders>
              <w:tl2br w:val="nil"/>
              <w:tr2bl w:val="nil"/>
            </w:tcBorders>
            <w:vAlign w:val="center"/>
          </w:tcPr>
          <w:p w:rsidR="00525419" w:rsidRDefault="00525419">
            <w:pPr>
              <w:autoSpaceDE w:val="0"/>
              <w:autoSpaceDN w:val="0"/>
              <w:spacing w:before="100" w:beforeAutospacing="1" w:afterAutospacing="1"/>
              <w:jc w:val="center"/>
              <w:rPr>
                <w:rFonts w:ascii="Times New Roman" w:hAnsi="Times New Roman"/>
                <w:kern w:val="0"/>
                <w:szCs w:val="21"/>
              </w:rPr>
            </w:pPr>
          </w:p>
        </w:tc>
        <w:tc>
          <w:tcPr>
            <w:tcW w:w="3622"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装置区、储罐泄漏应急设施</w:t>
            </w:r>
            <w:r>
              <w:rPr>
                <w:rFonts w:ascii="Times New Roman" w:hAnsi="Times New Roman"/>
                <w:kern w:val="0"/>
                <w:szCs w:val="21"/>
              </w:rPr>
              <w:t>(</w:t>
            </w:r>
            <w:r>
              <w:rPr>
                <w:rFonts w:ascii="Times New Roman" w:hAnsi="Times New Roman"/>
                <w:kern w:val="0"/>
                <w:szCs w:val="21"/>
              </w:rPr>
              <w:t>包括厂区罐区、装置区设置围堰等</w:t>
            </w:r>
            <w:r>
              <w:rPr>
                <w:rFonts w:ascii="Times New Roman" w:hAnsi="Times New Roman"/>
                <w:kern w:val="0"/>
                <w:szCs w:val="21"/>
              </w:rPr>
              <w:t>)</w:t>
            </w:r>
          </w:p>
        </w:tc>
        <w:tc>
          <w:tcPr>
            <w:tcW w:w="731"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w:t>
            </w:r>
          </w:p>
        </w:tc>
        <w:tc>
          <w:tcPr>
            <w:tcW w:w="1275"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0</w:t>
            </w:r>
            <w:r>
              <w:rPr>
                <w:rFonts w:ascii="Times New Roman" w:hAnsi="Times New Roman"/>
                <w:kern w:val="0"/>
                <w:szCs w:val="21"/>
              </w:rPr>
              <w:t>（依托）</w:t>
            </w:r>
          </w:p>
        </w:tc>
      </w:tr>
      <w:tr w:rsidR="00525419">
        <w:trPr>
          <w:trHeight w:val="119"/>
        </w:trPr>
        <w:tc>
          <w:tcPr>
            <w:tcW w:w="2789" w:type="dxa"/>
            <w:gridSpan w:val="3"/>
            <w:vMerge/>
            <w:tcBorders>
              <w:tl2br w:val="nil"/>
              <w:tr2bl w:val="nil"/>
            </w:tcBorders>
            <w:vAlign w:val="center"/>
          </w:tcPr>
          <w:p w:rsidR="00525419" w:rsidRDefault="00525419">
            <w:pPr>
              <w:autoSpaceDE w:val="0"/>
              <w:autoSpaceDN w:val="0"/>
              <w:spacing w:before="100" w:beforeAutospacing="1" w:afterAutospacing="1"/>
              <w:jc w:val="center"/>
              <w:rPr>
                <w:rFonts w:ascii="Times New Roman" w:hAnsi="Times New Roman"/>
                <w:kern w:val="0"/>
                <w:szCs w:val="21"/>
              </w:rPr>
            </w:pPr>
          </w:p>
        </w:tc>
        <w:tc>
          <w:tcPr>
            <w:tcW w:w="3622"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事故池</w:t>
            </w:r>
          </w:p>
        </w:tc>
        <w:tc>
          <w:tcPr>
            <w:tcW w:w="731"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w:t>
            </w:r>
          </w:p>
        </w:tc>
        <w:tc>
          <w:tcPr>
            <w:tcW w:w="1275"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0</w:t>
            </w:r>
            <w:r>
              <w:rPr>
                <w:rFonts w:ascii="Times New Roman" w:hAnsi="Times New Roman"/>
                <w:kern w:val="0"/>
                <w:szCs w:val="21"/>
              </w:rPr>
              <w:t>（依托）</w:t>
            </w:r>
          </w:p>
        </w:tc>
      </w:tr>
      <w:tr w:rsidR="00525419">
        <w:trPr>
          <w:trHeight w:val="193"/>
        </w:trPr>
        <w:tc>
          <w:tcPr>
            <w:tcW w:w="2789" w:type="dxa"/>
            <w:gridSpan w:val="3"/>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w:t>
            </w:r>
            <w:r>
              <w:rPr>
                <w:rFonts w:ascii="Times New Roman" w:hAnsi="Times New Roman"/>
                <w:kern w:val="0"/>
                <w:szCs w:val="21"/>
              </w:rPr>
              <w:t>以新带老</w:t>
            </w:r>
            <w:r>
              <w:rPr>
                <w:rFonts w:ascii="Times New Roman" w:hAnsi="Times New Roman"/>
                <w:kern w:val="0"/>
                <w:szCs w:val="21"/>
              </w:rPr>
              <w:t>”</w:t>
            </w:r>
            <w:r>
              <w:rPr>
                <w:rFonts w:ascii="Times New Roman" w:hAnsi="Times New Roman"/>
                <w:kern w:val="0"/>
                <w:szCs w:val="21"/>
              </w:rPr>
              <w:t>措施</w:t>
            </w:r>
          </w:p>
        </w:tc>
        <w:tc>
          <w:tcPr>
            <w:tcW w:w="3622"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煤场及灰渣场封闭存储</w:t>
            </w:r>
          </w:p>
        </w:tc>
        <w:tc>
          <w:tcPr>
            <w:tcW w:w="731"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hint="eastAsia"/>
                <w:kern w:val="0"/>
                <w:szCs w:val="21"/>
              </w:rPr>
              <w:t>/</w:t>
            </w:r>
          </w:p>
        </w:tc>
        <w:tc>
          <w:tcPr>
            <w:tcW w:w="1275"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hint="eastAsia"/>
                <w:kern w:val="0"/>
                <w:szCs w:val="21"/>
              </w:rPr>
              <w:t>10</w:t>
            </w:r>
          </w:p>
        </w:tc>
      </w:tr>
      <w:tr w:rsidR="00525419">
        <w:trPr>
          <w:trHeight w:val="357"/>
        </w:trPr>
        <w:tc>
          <w:tcPr>
            <w:tcW w:w="2789" w:type="dxa"/>
            <w:gridSpan w:val="3"/>
            <w:tcBorders>
              <w:tl2br w:val="nil"/>
              <w:tr2bl w:val="nil"/>
            </w:tcBorders>
            <w:vAlign w:val="center"/>
          </w:tcPr>
          <w:p w:rsidR="00525419" w:rsidRDefault="00525419">
            <w:pPr>
              <w:autoSpaceDE w:val="0"/>
              <w:autoSpaceDN w:val="0"/>
              <w:spacing w:before="100" w:beforeAutospacing="1" w:afterAutospacing="1"/>
              <w:jc w:val="center"/>
              <w:rPr>
                <w:rFonts w:ascii="Times New Roman" w:hAnsi="Times New Roman"/>
                <w:kern w:val="0"/>
                <w:szCs w:val="21"/>
              </w:rPr>
            </w:pPr>
          </w:p>
        </w:tc>
        <w:tc>
          <w:tcPr>
            <w:tcW w:w="3622"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kern w:val="0"/>
                <w:szCs w:val="21"/>
              </w:rPr>
              <w:t>共计</w:t>
            </w:r>
          </w:p>
        </w:tc>
        <w:tc>
          <w:tcPr>
            <w:tcW w:w="731" w:type="dxa"/>
            <w:tcBorders>
              <w:tl2br w:val="nil"/>
              <w:tr2bl w:val="nil"/>
            </w:tcBorders>
            <w:vAlign w:val="center"/>
          </w:tcPr>
          <w:p w:rsidR="00525419" w:rsidRDefault="00525419">
            <w:pPr>
              <w:autoSpaceDE w:val="0"/>
              <w:autoSpaceDN w:val="0"/>
              <w:spacing w:before="100" w:beforeAutospacing="1" w:afterAutospacing="1"/>
              <w:jc w:val="center"/>
              <w:rPr>
                <w:rFonts w:ascii="Times New Roman" w:hAnsi="Times New Roman"/>
                <w:kern w:val="0"/>
                <w:szCs w:val="21"/>
              </w:rPr>
            </w:pPr>
          </w:p>
        </w:tc>
        <w:tc>
          <w:tcPr>
            <w:tcW w:w="1275" w:type="dxa"/>
            <w:tcBorders>
              <w:tl2br w:val="nil"/>
              <w:tr2bl w:val="nil"/>
            </w:tcBorders>
            <w:vAlign w:val="center"/>
          </w:tcPr>
          <w:p w:rsidR="00525419" w:rsidRDefault="00EE1CF7">
            <w:pPr>
              <w:autoSpaceDE w:val="0"/>
              <w:autoSpaceDN w:val="0"/>
              <w:spacing w:before="100" w:beforeAutospacing="1" w:afterAutospacing="1"/>
              <w:jc w:val="center"/>
              <w:rPr>
                <w:rFonts w:ascii="Times New Roman" w:hAnsi="Times New Roman"/>
                <w:kern w:val="0"/>
                <w:szCs w:val="21"/>
              </w:rPr>
            </w:pPr>
            <w:r>
              <w:rPr>
                <w:rFonts w:ascii="Times New Roman" w:hAnsi="Times New Roman" w:hint="eastAsia"/>
                <w:kern w:val="0"/>
                <w:szCs w:val="21"/>
              </w:rPr>
              <w:t>14623</w:t>
            </w:r>
          </w:p>
        </w:tc>
      </w:tr>
    </w:tbl>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7.3.2</w:t>
      </w:r>
      <w:r>
        <w:rPr>
          <w:rFonts w:ascii="Times New Roman" w:eastAsia="华文楷体" w:hAnsi="Times New Roman"/>
        </w:rPr>
        <w:t>环境效益分析</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根据工程分析和环境影响预测结果可知，本项目建成投产后，产生的废水、废气、噪声等将对周围环境产生一定的影响，因此必须采取相应的环境保护措施加以控制，并保证相应的环保资金投入，使项目建成后生产过程中产生的各类污染物对周围环境影响降低到最小程度。</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hint="eastAsia"/>
          <w:sz w:val="24"/>
        </w:rPr>
        <w:t>1</w:t>
      </w:r>
      <w:r>
        <w:rPr>
          <w:rFonts w:ascii="Times New Roman" w:hAnsi="Times New Roman"/>
          <w:sz w:val="24"/>
        </w:rPr>
        <w:t>）废气治理环境效益分析</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本项目废气主要为</w:t>
      </w:r>
      <w:r>
        <w:rPr>
          <w:rFonts w:ascii="Times New Roman" w:hAnsi="Times New Roman" w:hint="eastAsia"/>
          <w:sz w:val="24"/>
        </w:rPr>
        <w:t>制氢转化炉及加氢</w:t>
      </w:r>
      <w:r>
        <w:rPr>
          <w:rFonts w:ascii="Times New Roman" w:hAnsi="Times New Roman"/>
          <w:sz w:val="24"/>
        </w:rPr>
        <w:t>加热炉燃烧烟气，其污染因子主要为</w:t>
      </w:r>
      <w:r>
        <w:rPr>
          <w:rFonts w:ascii="Times New Roman" w:hAnsi="Times New Roman"/>
          <w:sz w:val="24"/>
        </w:rPr>
        <w:t>SO</w:t>
      </w:r>
      <w:r>
        <w:rPr>
          <w:rFonts w:ascii="Times New Roman" w:hAnsi="Times New Roman"/>
          <w:sz w:val="24"/>
          <w:vertAlign w:val="subscript"/>
        </w:rPr>
        <w:t>2</w:t>
      </w:r>
      <w:r>
        <w:rPr>
          <w:rFonts w:ascii="Times New Roman" w:hAnsi="Times New Roman"/>
          <w:sz w:val="24"/>
        </w:rPr>
        <w:t>、</w:t>
      </w:r>
      <w:r>
        <w:rPr>
          <w:rFonts w:ascii="Times New Roman" w:hAnsi="Times New Roman"/>
          <w:sz w:val="24"/>
        </w:rPr>
        <w:t>NOx</w:t>
      </w:r>
      <w:r>
        <w:rPr>
          <w:rFonts w:ascii="Times New Roman" w:hAnsi="Times New Roman"/>
          <w:sz w:val="24"/>
        </w:rPr>
        <w:t>和烟尘。采用燃烧低硫燃料、控制燃烧温度等方式控制燃烧过程</w:t>
      </w:r>
      <w:r>
        <w:rPr>
          <w:rFonts w:ascii="Times New Roman" w:hAnsi="Times New Roman" w:hint="eastAsia"/>
          <w:sz w:val="24"/>
        </w:rPr>
        <w:t>污染物</w:t>
      </w:r>
      <w:r>
        <w:rPr>
          <w:rFonts w:ascii="Times New Roman" w:hAnsi="Times New Roman"/>
          <w:sz w:val="24"/>
        </w:rPr>
        <w:t>生成，生成烟气通过烟囱高空排放，经严格采取污染防治措施后，可确保烟气排放符合国家标准。</w:t>
      </w:r>
      <w:r>
        <w:rPr>
          <w:rFonts w:ascii="Times New Roman" w:hAnsi="Times New Roman" w:hint="eastAsia"/>
          <w:sz w:val="24"/>
        </w:rPr>
        <w:t>硫磺回收尾气通过采用燃烧</w:t>
      </w:r>
      <w:r>
        <w:rPr>
          <w:rFonts w:ascii="Times New Roman" w:hAnsi="Times New Roman" w:hint="eastAsia"/>
          <w:sz w:val="24"/>
        </w:rPr>
        <w:t>+</w:t>
      </w:r>
      <w:r>
        <w:rPr>
          <w:rFonts w:ascii="Times New Roman" w:hAnsi="Times New Roman" w:hint="eastAsia"/>
          <w:sz w:val="24"/>
        </w:rPr>
        <w:t>高空排放的方式进行处理，满足</w:t>
      </w:r>
      <w:r>
        <w:rPr>
          <w:rFonts w:ascii="Times New Roman" w:hAnsi="Times New Roman"/>
          <w:sz w:val="24"/>
        </w:rPr>
        <w:t>《石油炼制工业污染物排放标准》（</w:t>
      </w:r>
      <w:r>
        <w:rPr>
          <w:rFonts w:ascii="Times New Roman" w:hAnsi="Times New Roman"/>
          <w:sz w:val="24"/>
        </w:rPr>
        <w:t>GB31570-2015</w:t>
      </w:r>
      <w:r>
        <w:rPr>
          <w:rFonts w:ascii="Times New Roman" w:hAnsi="Times New Roman"/>
          <w:sz w:val="24"/>
        </w:rPr>
        <w:t>）</w:t>
      </w:r>
      <w:r>
        <w:rPr>
          <w:rFonts w:ascii="Times New Roman" w:hAnsi="Times New Roman" w:hint="eastAsia"/>
          <w:sz w:val="24"/>
        </w:rPr>
        <w:t>相关标准；</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sz w:val="24"/>
        </w:rPr>
        <w:t>本项目</w:t>
      </w:r>
      <w:r>
        <w:rPr>
          <w:rFonts w:ascii="Times New Roman" w:hAnsi="Times New Roman" w:hint="eastAsia"/>
          <w:sz w:val="24"/>
        </w:rPr>
        <w:t>储罐及</w:t>
      </w:r>
      <w:r>
        <w:rPr>
          <w:rFonts w:ascii="Times New Roman" w:hAnsi="Times New Roman"/>
          <w:sz w:val="24"/>
        </w:rPr>
        <w:t>装卸</w:t>
      </w:r>
      <w:r>
        <w:rPr>
          <w:rFonts w:ascii="Times New Roman" w:hAnsi="Times New Roman" w:hint="eastAsia"/>
          <w:sz w:val="24"/>
        </w:rPr>
        <w:t>台产生的</w:t>
      </w:r>
      <w:r>
        <w:rPr>
          <w:rFonts w:ascii="Times New Roman" w:hAnsi="Times New Roman"/>
          <w:sz w:val="24"/>
        </w:rPr>
        <w:t>油气</w:t>
      </w:r>
      <w:r>
        <w:rPr>
          <w:rFonts w:ascii="Times New Roman" w:hAnsi="Times New Roman" w:hint="eastAsia"/>
          <w:sz w:val="24"/>
        </w:rPr>
        <w:t>依托现有的</w:t>
      </w:r>
      <w:r>
        <w:rPr>
          <w:rFonts w:ascii="Times New Roman" w:hAnsi="Times New Roman"/>
          <w:sz w:val="24"/>
        </w:rPr>
        <w:t>3</w:t>
      </w:r>
      <w:r>
        <w:rPr>
          <w:rFonts w:ascii="Times New Roman" w:hAnsi="Times New Roman"/>
          <w:sz w:val="24"/>
        </w:rPr>
        <w:t>套油气回收设施</w:t>
      </w:r>
      <w:r>
        <w:rPr>
          <w:rFonts w:ascii="Times New Roman" w:hAnsi="Times New Roman" w:hint="eastAsia"/>
          <w:sz w:val="24"/>
        </w:rPr>
        <w:t>进行处理，处理后通过</w:t>
      </w:r>
      <w:r>
        <w:rPr>
          <w:rFonts w:ascii="Times New Roman" w:hAnsi="Times New Roman" w:hint="eastAsia"/>
          <w:sz w:val="24"/>
        </w:rPr>
        <w:t>15m</w:t>
      </w:r>
      <w:r>
        <w:rPr>
          <w:rFonts w:ascii="Times New Roman" w:hAnsi="Times New Roman" w:hint="eastAsia"/>
          <w:sz w:val="24"/>
        </w:rPr>
        <w:t>高排放筒排放，</w:t>
      </w:r>
      <w:r>
        <w:rPr>
          <w:rFonts w:ascii="Times New Roman" w:hAnsi="Times New Roman"/>
          <w:sz w:val="24"/>
        </w:rPr>
        <w:t>可以满足《石油炼制工业污染物排放标准》（</w:t>
      </w:r>
      <w:r>
        <w:rPr>
          <w:rFonts w:ascii="Times New Roman" w:hAnsi="Times New Roman"/>
          <w:sz w:val="24"/>
        </w:rPr>
        <w:t>GB31570-2015</w:t>
      </w:r>
      <w:r>
        <w:rPr>
          <w:rFonts w:ascii="Times New Roman" w:hAnsi="Times New Roman"/>
          <w:sz w:val="24"/>
        </w:rPr>
        <w:t>）表</w:t>
      </w:r>
      <w:r>
        <w:rPr>
          <w:rFonts w:ascii="Times New Roman" w:hAnsi="Times New Roman"/>
          <w:sz w:val="24"/>
        </w:rPr>
        <w:t>3</w:t>
      </w:r>
      <w:r>
        <w:rPr>
          <w:rFonts w:ascii="Times New Roman" w:hAnsi="Times New Roman"/>
          <w:sz w:val="24"/>
        </w:rPr>
        <w:t>有机废气排放口非甲烷总烃去除效率</w:t>
      </w:r>
      <w:r>
        <w:rPr>
          <w:rFonts w:ascii="Times New Roman" w:hAnsi="Times New Roman"/>
          <w:sz w:val="24"/>
        </w:rPr>
        <w:t>≥95%</w:t>
      </w:r>
      <w:r>
        <w:rPr>
          <w:rFonts w:ascii="Times New Roman" w:hAnsi="Times New Roman"/>
          <w:sz w:val="24"/>
        </w:rPr>
        <w:t>的要求。</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hint="eastAsia"/>
          <w:sz w:val="24"/>
        </w:rPr>
        <w:t>本项目扩建气浮池产生的恶臭集中收集，依托现有恶臭处理装置处理后达标排放。</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hint="eastAsia"/>
          <w:sz w:val="24"/>
        </w:rPr>
        <w:t>针对无组织排放非甲烷总烃，采取</w:t>
      </w:r>
      <w:r>
        <w:rPr>
          <w:rFonts w:ascii="Times New Roman" w:hAnsi="Times New Roman"/>
          <w:sz w:val="24"/>
        </w:rPr>
        <w:t>健全各项规章制度</w:t>
      </w:r>
      <w:r>
        <w:rPr>
          <w:rFonts w:ascii="Times New Roman" w:hAnsi="Times New Roman" w:hint="eastAsia"/>
          <w:sz w:val="24"/>
        </w:rPr>
        <w:t>、</w:t>
      </w:r>
      <w:r>
        <w:rPr>
          <w:rFonts w:ascii="Times New Roman" w:hAnsi="Times New Roman"/>
          <w:sz w:val="24"/>
        </w:rPr>
        <w:t>加强设备维护保养</w:t>
      </w:r>
      <w:r>
        <w:rPr>
          <w:rFonts w:ascii="Times New Roman" w:hAnsi="Times New Roman" w:hint="eastAsia"/>
          <w:sz w:val="24"/>
        </w:rPr>
        <w:t>，</w:t>
      </w:r>
      <w:r>
        <w:rPr>
          <w:rFonts w:ascii="Times New Roman" w:hAnsi="Times New Roman"/>
          <w:sz w:val="24"/>
        </w:rPr>
        <w:t>采用浮顶罐、内浮顶罐储存</w:t>
      </w:r>
      <w:r>
        <w:rPr>
          <w:rFonts w:ascii="Times New Roman" w:hAnsi="Times New Roman" w:hint="eastAsia"/>
          <w:sz w:val="24"/>
        </w:rPr>
        <w:t>等措施减少</w:t>
      </w:r>
      <w:r>
        <w:rPr>
          <w:rFonts w:ascii="Times New Roman" w:hAnsi="Times New Roman"/>
          <w:sz w:val="24"/>
        </w:rPr>
        <w:t>储运、装卸过程的挥发性有机物的排放</w:t>
      </w:r>
      <w:r>
        <w:rPr>
          <w:rFonts w:ascii="Times New Roman" w:hAnsi="Times New Roman" w:hint="eastAsia"/>
          <w:sz w:val="24"/>
        </w:rPr>
        <w:t>。</w:t>
      </w:r>
    </w:p>
    <w:p w:rsidR="00525419" w:rsidRDefault="00EE1CF7">
      <w:pPr>
        <w:adjustRightInd w:val="0"/>
        <w:snapToGrid w:val="0"/>
        <w:spacing w:line="360" w:lineRule="auto"/>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2</w:t>
      </w:r>
      <w:r>
        <w:rPr>
          <w:rFonts w:ascii="Times New Roman" w:hAnsi="Times New Roman" w:hint="eastAsia"/>
          <w:sz w:val="24"/>
        </w:rPr>
        <w:t>）</w:t>
      </w:r>
      <w:r>
        <w:rPr>
          <w:rFonts w:ascii="Times New Roman" w:hAnsi="Times New Roman"/>
          <w:sz w:val="24"/>
        </w:rPr>
        <w:t>废</w:t>
      </w:r>
      <w:r>
        <w:rPr>
          <w:rFonts w:ascii="Times New Roman" w:hAnsi="Times New Roman" w:hint="eastAsia"/>
          <w:sz w:val="24"/>
        </w:rPr>
        <w:t>水</w:t>
      </w:r>
      <w:r>
        <w:rPr>
          <w:rFonts w:ascii="Times New Roman" w:hAnsi="Times New Roman"/>
          <w:sz w:val="24"/>
        </w:rPr>
        <w:t>治理环境效益分析</w:t>
      </w:r>
    </w:p>
    <w:p w:rsidR="00525419" w:rsidRDefault="00525419">
      <w:pPr>
        <w:spacing w:line="360" w:lineRule="auto"/>
        <w:ind w:firstLineChars="200" w:firstLine="480"/>
        <w:rPr>
          <w:rFonts w:ascii="Times New Roman" w:hAnsi="Times New Roman"/>
          <w:sz w:val="24"/>
        </w:rPr>
      </w:pPr>
    </w:p>
    <w:p w:rsidR="00525419" w:rsidRDefault="00EE1CF7">
      <w:pPr>
        <w:spacing w:line="360" w:lineRule="auto"/>
        <w:ind w:firstLineChars="200" w:firstLine="480"/>
        <w:rPr>
          <w:rFonts w:ascii="Times New Roman" w:hAnsi="Times New Roman"/>
          <w:sz w:val="24"/>
        </w:rPr>
      </w:pPr>
      <w:r>
        <w:rPr>
          <w:rFonts w:ascii="Times New Roman" w:hAnsi="Times New Roman"/>
          <w:sz w:val="24"/>
        </w:rPr>
        <w:t>本项目营运期产生的废水包括生产废水和生活污水，生产工艺废水主要有生产装置回流罐及分离器排放的含硫废水、循环水排污及脱盐水站排放的浓盐水、罐区产生的含油废水。</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本项目的含硫废水到酸性水汽提装置处理后用于</w:t>
      </w:r>
      <w:r>
        <w:rPr>
          <w:rFonts w:ascii="Times New Roman" w:hAnsi="Times New Roman" w:hint="eastAsia"/>
          <w:sz w:val="24"/>
        </w:rPr>
        <w:t>工艺</w:t>
      </w:r>
      <w:r>
        <w:rPr>
          <w:rFonts w:ascii="Times New Roman" w:hAnsi="Times New Roman"/>
          <w:sz w:val="24"/>
        </w:rPr>
        <w:t>注水；含油废水及循环水排污与生活污水送到污水处理站进行处理；浓盐水进入浓盐水处理装置处理后作为循环水回用。</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hint="eastAsia"/>
          <w:sz w:val="24"/>
        </w:rPr>
        <w:t>3</w:t>
      </w:r>
      <w:r>
        <w:rPr>
          <w:rFonts w:ascii="Times New Roman" w:hAnsi="Times New Roman"/>
          <w:sz w:val="24"/>
        </w:rPr>
        <w:t>）噪声治理环境效益分析</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本项目产生的噪声主要是机泵产生的中、高频气流噪声。本项目选用高效能、低能耗、低噪声的设备，安装消声器，将高噪声设备集中布置在厂区中间，可减轻噪声污染，达到治理效果。</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hint="eastAsia"/>
          <w:sz w:val="24"/>
        </w:rPr>
        <w:t>4</w:t>
      </w:r>
      <w:r>
        <w:rPr>
          <w:rFonts w:ascii="Times New Roman" w:hAnsi="Times New Roman"/>
          <w:sz w:val="24"/>
        </w:rPr>
        <w:t>）固废治理环境效益分析</w:t>
      </w:r>
    </w:p>
    <w:p w:rsidR="00525419" w:rsidRDefault="00EE1CF7">
      <w:pPr>
        <w:spacing w:line="360" w:lineRule="auto"/>
        <w:ind w:firstLineChars="200" w:firstLine="480"/>
        <w:rPr>
          <w:rFonts w:ascii="Times New Roman" w:hAnsi="Times New Roman"/>
        </w:rPr>
      </w:pPr>
      <w:r>
        <w:rPr>
          <w:rFonts w:ascii="Times New Roman" w:hAnsi="Times New Roman"/>
          <w:sz w:val="24"/>
        </w:rPr>
        <w:t>本项目产生的固体废物特别是危险废物进行全过程严格管理和安全处置，在落实好固废安全处置的情况下，不会造成二次污染，不会对周围环境造成影响。</w:t>
      </w:r>
    </w:p>
    <w:p w:rsidR="00525419" w:rsidRDefault="00EE1CF7">
      <w:pPr>
        <w:spacing w:line="360" w:lineRule="auto"/>
        <w:ind w:firstLineChars="200" w:firstLine="480"/>
        <w:rPr>
          <w:rFonts w:ascii="Times New Roman" w:hAnsi="Times New Roman"/>
          <w:sz w:val="24"/>
          <w:szCs w:val="24"/>
        </w:rPr>
      </w:pPr>
      <w:r>
        <w:rPr>
          <w:rFonts w:ascii="Times New Roman" w:hAnsi="Times New Roman" w:hint="eastAsia"/>
          <w:sz w:val="24"/>
          <w:szCs w:val="24"/>
        </w:rPr>
        <w:t>综上所述，</w:t>
      </w:r>
      <w:r>
        <w:rPr>
          <w:rFonts w:ascii="Times New Roman" w:hAnsi="Times New Roman"/>
          <w:sz w:val="24"/>
          <w:szCs w:val="24"/>
        </w:rPr>
        <w:t>说明</w:t>
      </w:r>
      <w:r>
        <w:rPr>
          <w:rFonts w:ascii="Times New Roman" w:hAnsi="Times New Roman" w:hint="eastAsia"/>
          <w:sz w:val="24"/>
          <w:szCs w:val="24"/>
        </w:rPr>
        <w:t>本项目的</w:t>
      </w:r>
      <w:r>
        <w:rPr>
          <w:rFonts w:ascii="Times New Roman" w:hAnsi="Times New Roman"/>
          <w:sz w:val="24"/>
          <w:szCs w:val="24"/>
        </w:rPr>
        <w:t>环保投资取得的环境经济效益是显著的，明显减少了污染，达到了保护环境的最终目标；这完全符合我国环境保护管理工作一贯坚持的经济效益、社会效益和环境效益三统一的原则，同时也符合经济与环境协调持续发展的基本原则。</w:t>
      </w:r>
    </w:p>
    <w:p w:rsidR="00525419" w:rsidRDefault="00EE1CF7" w:rsidP="00EE1CF7">
      <w:pPr>
        <w:pStyle w:val="2a"/>
        <w:spacing w:beforeLines="50" w:before="166" w:after="166"/>
        <w:ind w:left="578" w:hanging="578"/>
        <w:rPr>
          <w:rFonts w:ascii="Times New Roman" w:eastAsia="楷体_GB2312" w:hAnsi="Times New Roman"/>
          <w:sz w:val="36"/>
        </w:rPr>
      </w:pPr>
      <w:bookmarkStart w:id="317" w:name="_Toc12954"/>
      <w:r>
        <w:rPr>
          <w:rFonts w:ascii="Times New Roman" w:eastAsia="楷体_GB2312" w:hAnsi="Times New Roman"/>
          <w:sz w:val="36"/>
        </w:rPr>
        <w:t>7.4</w:t>
      </w:r>
      <w:r>
        <w:rPr>
          <w:rFonts w:ascii="Times New Roman" w:eastAsia="楷体_GB2312" w:hAnsi="Times New Roman"/>
          <w:sz w:val="36"/>
        </w:rPr>
        <w:t>小结</w:t>
      </w:r>
      <w:bookmarkEnd w:id="317"/>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结合本项目带来的环境损失、产生的经济效益和社会效益以及项目的环保投入和产生的环境效益进行综合分析和比较，本项目的建设在创造良好经济效益和社会效益的同时，对环境的影响有限，经采取污染防治措施后，能够将项目带来的环境损失降到很低程度。</w:t>
      </w:r>
    </w:p>
    <w:p w:rsidR="00525419" w:rsidRDefault="00EE1CF7">
      <w:pPr>
        <w:rPr>
          <w:rFonts w:ascii="Times New Roman" w:eastAsia="楷体_GB2312" w:hAnsi="Times New Roman"/>
          <w:sz w:val="44"/>
        </w:rPr>
      </w:pPr>
      <w:bookmarkStart w:id="318" w:name="_Toc484775665"/>
      <w:r>
        <w:rPr>
          <w:rFonts w:ascii="Times New Roman" w:eastAsia="楷体_GB2312" w:hAnsi="Times New Roman"/>
          <w:sz w:val="44"/>
        </w:rPr>
        <w:br w:type="page"/>
      </w:r>
    </w:p>
    <w:p w:rsidR="00525419" w:rsidRDefault="00EE1CF7">
      <w:pPr>
        <w:pStyle w:val="1a"/>
        <w:spacing w:before="120" w:after="0" w:line="360" w:lineRule="auto"/>
        <w:jc w:val="center"/>
        <w:rPr>
          <w:rFonts w:ascii="Times New Roman" w:eastAsia="楷体_GB2312" w:hAnsi="Times New Roman"/>
        </w:rPr>
      </w:pPr>
      <w:bookmarkStart w:id="319" w:name="_Toc10940"/>
      <w:r>
        <w:rPr>
          <w:rFonts w:ascii="Times New Roman" w:eastAsia="楷体_GB2312" w:hAnsi="Times New Roman"/>
        </w:rPr>
        <w:t>8</w:t>
      </w:r>
      <w:r>
        <w:rPr>
          <w:rFonts w:ascii="Times New Roman" w:eastAsia="楷体_GB2312" w:hAnsi="Times New Roman"/>
        </w:rPr>
        <w:t>环境管理与监测计划</w:t>
      </w:r>
      <w:bookmarkEnd w:id="318"/>
      <w:bookmarkEnd w:id="319"/>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为了贯彻执行国家和地方环境保护法律、法规、政策与标准，及时掌握和了解污染控制措施的效果，以及项目所在区域环境质量的变化情况，更好地监控环保设施的运行情况，协调与地方环保职能部门和其它有关部门的工作，同时保证企业生产管理和环境管理的正常运作，建立环境管理体系与监测制度是非常必要和重要的。</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环境管理体系与监测机构的建立能够帮助企业及早发现问题，使企业在发展生产的同时节约能源、降低原材料的消耗，控制污染物排放量，减轻污染物排放对环境产生的影响，为企业创造更好的经济效益和环境效益，树立良好的社会形象。</w:t>
      </w:r>
    </w:p>
    <w:p w:rsidR="00525419" w:rsidRDefault="00EE1CF7" w:rsidP="00EE1CF7">
      <w:pPr>
        <w:pStyle w:val="2a"/>
        <w:spacing w:beforeLines="50" w:before="166" w:after="166"/>
        <w:ind w:left="578" w:hanging="578"/>
        <w:rPr>
          <w:rFonts w:ascii="Times New Roman" w:eastAsia="楷体_GB2312" w:hAnsi="Times New Roman"/>
          <w:sz w:val="36"/>
        </w:rPr>
      </w:pPr>
      <w:bookmarkStart w:id="320" w:name="_Toc15750"/>
      <w:r>
        <w:rPr>
          <w:rFonts w:ascii="Times New Roman" w:eastAsia="楷体_GB2312" w:hAnsi="Times New Roman"/>
          <w:sz w:val="36"/>
        </w:rPr>
        <w:t>8.1</w:t>
      </w:r>
      <w:r>
        <w:rPr>
          <w:rFonts w:ascii="Times New Roman" w:eastAsia="楷体_GB2312" w:hAnsi="Times New Roman"/>
          <w:sz w:val="36"/>
        </w:rPr>
        <w:t>环境保护管理</w:t>
      </w:r>
      <w:bookmarkEnd w:id="320"/>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8.1.1</w:t>
      </w:r>
      <w:r>
        <w:rPr>
          <w:rFonts w:ascii="Times New Roman" w:eastAsia="华文楷体" w:hAnsi="Times New Roman"/>
        </w:rPr>
        <w:t>环境管理机构设置</w:t>
      </w:r>
    </w:p>
    <w:p w:rsidR="00525419" w:rsidRDefault="00EE1CF7">
      <w:pPr>
        <w:spacing w:line="480" w:lineRule="exact"/>
        <w:ind w:firstLineChars="200" w:firstLine="480"/>
        <w:rPr>
          <w:rFonts w:ascii="Times New Roman" w:hAnsi="Times New Roman"/>
          <w:sz w:val="24"/>
          <w:szCs w:val="24"/>
        </w:rPr>
      </w:pPr>
      <w:r>
        <w:rPr>
          <w:rFonts w:ascii="Times New Roman" w:hAnsi="Times New Roman"/>
          <w:sz w:val="24"/>
          <w:szCs w:val="24"/>
        </w:rPr>
        <w:t>新疆美汇特石化产品有限公司实行企业总经理领导下的</w:t>
      </w:r>
      <w:r>
        <w:rPr>
          <w:rFonts w:ascii="Times New Roman" w:hAnsi="Times New Roman"/>
          <w:sz w:val="24"/>
          <w:szCs w:val="24"/>
        </w:rPr>
        <w:t>“</w:t>
      </w:r>
      <w:r>
        <w:rPr>
          <w:rFonts w:ascii="Times New Roman" w:hAnsi="Times New Roman"/>
          <w:sz w:val="24"/>
          <w:szCs w:val="24"/>
        </w:rPr>
        <w:t>一人主管，分工负责；职能部门，各负其责；落实基层，监督考核</w:t>
      </w:r>
      <w:r>
        <w:rPr>
          <w:rFonts w:ascii="Times New Roman" w:hAnsi="Times New Roman"/>
          <w:sz w:val="24"/>
          <w:szCs w:val="24"/>
        </w:rPr>
        <w:t>”</w:t>
      </w:r>
      <w:r>
        <w:rPr>
          <w:rFonts w:ascii="Times New Roman" w:hAnsi="Times New Roman"/>
          <w:sz w:val="24"/>
          <w:szCs w:val="24"/>
        </w:rPr>
        <w:t>的原则，建立以企业领导为核心，技术部为基础的全员责任制的环境管理体系。使环境管理贯穿于企业管理的整个过程，并落实到企业的各个层次，分解到生产的各个环节。节能环保日常管理归部门技术部，为全厂环境保护的职能机构，配备</w:t>
      </w:r>
      <w:r>
        <w:rPr>
          <w:rFonts w:ascii="Times New Roman" w:hAnsi="Times New Roman"/>
          <w:sz w:val="24"/>
          <w:szCs w:val="24"/>
        </w:rPr>
        <w:t>3</w:t>
      </w:r>
      <w:r>
        <w:rPr>
          <w:rFonts w:ascii="Times New Roman" w:hAnsi="Times New Roman"/>
          <w:sz w:val="24"/>
          <w:szCs w:val="24"/>
        </w:rPr>
        <w:t>名专职人员，其中管理干部</w:t>
      </w:r>
      <w:r>
        <w:rPr>
          <w:rFonts w:ascii="Times New Roman" w:hAnsi="Times New Roman"/>
          <w:sz w:val="24"/>
          <w:szCs w:val="24"/>
        </w:rPr>
        <w:t>1</w:t>
      </w:r>
      <w:r>
        <w:rPr>
          <w:rFonts w:ascii="Times New Roman" w:hAnsi="Times New Roman"/>
          <w:sz w:val="24"/>
          <w:szCs w:val="24"/>
        </w:rPr>
        <w:t>人，技术人员</w:t>
      </w:r>
      <w:r>
        <w:rPr>
          <w:rFonts w:ascii="Times New Roman" w:hAnsi="Times New Roman"/>
          <w:sz w:val="24"/>
          <w:szCs w:val="24"/>
        </w:rPr>
        <w:t>2</w:t>
      </w:r>
      <w:r>
        <w:rPr>
          <w:rFonts w:ascii="Times New Roman" w:hAnsi="Times New Roman"/>
          <w:sz w:val="24"/>
          <w:szCs w:val="24"/>
        </w:rPr>
        <w:t>人，任务为专职负责组织、落实、监督全厂的环保工作。公司制定了《新疆美汇特石化产品有限公司环境管理制度》等专项环境管理制度。</w:t>
      </w:r>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8.1.2</w:t>
      </w:r>
      <w:r>
        <w:rPr>
          <w:rFonts w:ascii="Times New Roman" w:eastAsia="华文楷体" w:hAnsi="Times New Roman"/>
        </w:rPr>
        <w:t>环境管理机构职责</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环境管理机构负责项目建设期与运营期的环境管理与环境监测工作，主要职责：</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）编制、提出项目建设期、运营期的短期环境保护计划及长远环境保护计划；</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2</w:t>
      </w:r>
      <w:r>
        <w:rPr>
          <w:rFonts w:ascii="Times New Roman" w:hAnsi="Times New Roman"/>
          <w:kern w:val="0"/>
          <w:sz w:val="24"/>
          <w:szCs w:val="24"/>
        </w:rPr>
        <w:t>）贯彻落实国家和地方的环境保护法律、法规、政策和标准，直接接受行业主管部门、各级环境保护局的监督、领导，配合环境保护主管部门作好环保工作；</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3</w:t>
      </w:r>
      <w:r>
        <w:rPr>
          <w:rFonts w:ascii="Times New Roman" w:hAnsi="Times New Roman"/>
          <w:kern w:val="0"/>
          <w:sz w:val="24"/>
          <w:szCs w:val="24"/>
        </w:rPr>
        <w:t>）制定和实施环境监测方案，负责所有环保设施的日常运行管理，保障各环保设施的正常运行，并对环保设施的改进提出积极的建议；</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4</w:t>
      </w:r>
      <w:r>
        <w:rPr>
          <w:rFonts w:ascii="Times New Roman" w:hAnsi="Times New Roman"/>
          <w:kern w:val="0"/>
          <w:sz w:val="24"/>
          <w:szCs w:val="24"/>
        </w:rPr>
        <w:t>）在项目建设阶段负责监督环保设施的施工、安装、调试等，落实项目项目的环境保护</w:t>
      </w:r>
      <w:r>
        <w:rPr>
          <w:rFonts w:ascii="Times New Roman" w:hAnsi="Times New Roman"/>
          <w:kern w:val="0"/>
          <w:sz w:val="24"/>
          <w:szCs w:val="24"/>
        </w:rPr>
        <w:t>“</w:t>
      </w:r>
      <w:r>
        <w:rPr>
          <w:rFonts w:ascii="Times New Roman" w:hAnsi="Times New Roman"/>
          <w:kern w:val="0"/>
          <w:sz w:val="24"/>
          <w:szCs w:val="24"/>
        </w:rPr>
        <w:t>三同时</w:t>
      </w:r>
      <w:r>
        <w:rPr>
          <w:rFonts w:ascii="Times New Roman" w:hAnsi="Times New Roman"/>
          <w:kern w:val="0"/>
          <w:sz w:val="24"/>
          <w:szCs w:val="24"/>
        </w:rPr>
        <w:t>”</w:t>
      </w:r>
      <w:r>
        <w:rPr>
          <w:rFonts w:ascii="Times New Roman" w:hAnsi="Times New Roman"/>
          <w:kern w:val="0"/>
          <w:sz w:val="24"/>
          <w:szCs w:val="24"/>
        </w:rPr>
        <w:t>制度；</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5</w:t>
      </w:r>
      <w:r>
        <w:rPr>
          <w:rFonts w:ascii="Times New Roman" w:hAnsi="Times New Roman"/>
          <w:kern w:val="0"/>
          <w:sz w:val="24"/>
          <w:szCs w:val="24"/>
        </w:rPr>
        <w:t>）监督污染物总量排放及达标情况，确保污染物排放达到国家排放标准和总量控制指标；</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6</w:t>
      </w:r>
      <w:r>
        <w:rPr>
          <w:rFonts w:ascii="Times New Roman" w:hAnsi="Times New Roman"/>
          <w:kern w:val="0"/>
          <w:sz w:val="24"/>
          <w:szCs w:val="24"/>
        </w:rPr>
        <w:t>）负责环保设施竣工验收工作；</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7</w:t>
      </w:r>
      <w:r>
        <w:rPr>
          <w:rFonts w:ascii="Times New Roman" w:hAnsi="Times New Roman"/>
          <w:kern w:val="0"/>
          <w:sz w:val="24"/>
          <w:szCs w:val="24"/>
        </w:rPr>
        <w:t>）负责对职工环保宣传教育工作及检查、监督各岗位环保制度的执行情况；</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8</w:t>
      </w:r>
      <w:r>
        <w:rPr>
          <w:rFonts w:ascii="Times New Roman" w:hAnsi="Times New Roman"/>
          <w:kern w:val="0"/>
          <w:sz w:val="24"/>
          <w:szCs w:val="24"/>
        </w:rPr>
        <w:t>）领导并组织环境监测工作，建立污染源与监测档案，定期向主管部门及环保部门上报监测报表。</w:t>
      </w:r>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8.1.3</w:t>
      </w:r>
      <w:r>
        <w:rPr>
          <w:rFonts w:ascii="Times New Roman" w:eastAsia="华文楷体" w:hAnsi="Times New Roman"/>
        </w:rPr>
        <w:t>运营期环境保护管理</w:t>
      </w:r>
    </w:p>
    <w:p w:rsidR="00525419" w:rsidRDefault="00EE1CF7">
      <w:pPr>
        <w:spacing w:line="360" w:lineRule="auto"/>
        <w:ind w:firstLineChars="200" w:firstLine="482"/>
        <w:rPr>
          <w:rFonts w:ascii="Times New Roman" w:hAnsi="Times New Roman"/>
          <w:b/>
          <w:bCs/>
          <w:sz w:val="24"/>
          <w:szCs w:val="24"/>
        </w:rPr>
      </w:pPr>
      <w:r>
        <w:rPr>
          <w:rFonts w:ascii="Times New Roman" w:hAnsi="Times New Roman"/>
          <w:b/>
          <w:bCs/>
          <w:sz w:val="24"/>
          <w:szCs w:val="24"/>
        </w:rPr>
        <w:t>（</w:t>
      </w:r>
      <w:r>
        <w:rPr>
          <w:rFonts w:ascii="Times New Roman" w:hAnsi="Times New Roman"/>
          <w:b/>
          <w:bCs/>
          <w:sz w:val="24"/>
          <w:szCs w:val="24"/>
        </w:rPr>
        <w:t>1</w:t>
      </w:r>
      <w:r>
        <w:rPr>
          <w:rFonts w:ascii="Times New Roman" w:hAnsi="Times New Roman"/>
          <w:b/>
          <w:bCs/>
          <w:sz w:val="24"/>
          <w:szCs w:val="24"/>
        </w:rPr>
        <w:t>）环境管理指标</w:t>
      </w:r>
      <w:r>
        <w:rPr>
          <w:rFonts w:ascii="Times New Roman" w:hAnsi="Times New Roman"/>
          <w:b/>
          <w:bCs/>
          <w:sz w:val="24"/>
          <w:szCs w:val="24"/>
        </w:rPr>
        <w:t xml:space="preserve"> </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制定环境保护计划指标和环境质量监控指标。主要包括生产新鲜水用量、循环用水量、废水排放量、二氧化硫和氮氧化物年排放量、固体废物处理处置量等指标。</w:t>
      </w:r>
    </w:p>
    <w:p w:rsidR="00525419" w:rsidRDefault="00EE1CF7">
      <w:pPr>
        <w:spacing w:line="360" w:lineRule="auto"/>
        <w:ind w:firstLineChars="200" w:firstLine="482"/>
        <w:rPr>
          <w:rFonts w:ascii="Times New Roman" w:hAnsi="Times New Roman"/>
          <w:b/>
          <w:bCs/>
          <w:sz w:val="24"/>
          <w:szCs w:val="24"/>
        </w:rPr>
      </w:pPr>
      <w:r>
        <w:rPr>
          <w:rFonts w:ascii="Times New Roman" w:hAnsi="Times New Roman"/>
          <w:b/>
          <w:bCs/>
          <w:sz w:val="24"/>
          <w:szCs w:val="24"/>
        </w:rPr>
        <w:t>（</w:t>
      </w:r>
      <w:r>
        <w:rPr>
          <w:rFonts w:ascii="Times New Roman" w:hAnsi="Times New Roman"/>
          <w:b/>
          <w:bCs/>
          <w:sz w:val="24"/>
          <w:szCs w:val="24"/>
        </w:rPr>
        <w:t>2</w:t>
      </w:r>
      <w:r>
        <w:rPr>
          <w:rFonts w:ascii="Times New Roman" w:hAnsi="Times New Roman"/>
          <w:b/>
          <w:bCs/>
          <w:sz w:val="24"/>
          <w:szCs w:val="24"/>
        </w:rPr>
        <w:t>）污染物排放总量控制</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开展污染源调查，建立污染源动态数据库，摸清排放规律；查清污染物产生源，从源头减少产生量，并提出减少措施；建立环境保护管理指标体系，实施排放监管；强化环保装置（设施）的管理；尽量实施连续自动监测，加强内部控制。</w:t>
      </w:r>
    </w:p>
    <w:p w:rsidR="00525419" w:rsidRDefault="00EE1CF7">
      <w:pPr>
        <w:spacing w:line="360" w:lineRule="auto"/>
        <w:ind w:firstLineChars="200" w:firstLine="482"/>
        <w:rPr>
          <w:rFonts w:ascii="Times New Roman" w:hAnsi="Times New Roman"/>
          <w:b/>
          <w:bCs/>
          <w:sz w:val="24"/>
          <w:szCs w:val="24"/>
        </w:rPr>
      </w:pPr>
      <w:r>
        <w:rPr>
          <w:rFonts w:ascii="Times New Roman" w:hAnsi="Times New Roman"/>
          <w:b/>
          <w:bCs/>
          <w:sz w:val="24"/>
          <w:szCs w:val="24"/>
        </w:rPr>
        <w:t>（</w:t>
      </w:r>
      <w:r>
        <w:rPr>
          <w:rFonts w:ascii="Times New Roman" w:hAnsi="Times New Roman"/>
          <w:b/>
          <w:bCs/>
          <w:sz w:val="24"/>
          <w:szCs w:val="24"/>
        </w:rPr>
        <w:t>3</w:t>
      </w:r>
      <w:r>
        <w:rPr>
          <w:rFonts w:ascii="Times New Roman" w:hAnsi="Times New Roman"/>
          <w:b/>
          <w:bCs/>
          <w:sz w:val="24"/>
          <w:szCs w:val="24"/>
        </w:rPr>
        <w:t>）污染源及污染物排放监督管理</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①</w:t>
      </w:r>
      <w:r>
        <w:rPr>
          <w:rFonts w:ascii="Times New Roman" w:hAnsi="Times New Roman"/>
          <w:sz w:val="24"/>
          <w:szCs w:val="24"/>
        </w:rPr>
        <w:t>停工阶段环保管理</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生产装置停工检修方案中，必须要有切实可行的控制排污的环保措施。</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设备中液体物料倒空时，能返回储罐的一律返回原储罐，不能返回的要放入污油罐。</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管线、机泵、阀门等中残存的少量物料必须收集，不得乱排放。</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可燃性气体、设备及管线进行氮气或蒸汽吹扫时产生的气体送火炬燃烧后排放，不得直接排入大气中。</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物料到完后，冲洗设备、管线产生的废水要处理。</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设备中的固体废物要按规范收集贮存，然后安全处理处置。</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环保设施要在装置吹扫倒空后再停车。</w:t>
      </w:r>
    </w:p>
    <w:p w:rsidR="00525419" w:rsidRDefault="00EE1CF7">
      <w:pPr>
        <w:spacing w:line="360" w:lineRule="auto"/>
        <w:ind w:firstLine="200"/>
        <w:rPr>
          <w:rFonts w:ascii="Times New Roman" w:hAnsi="Times New Roman"/>
          <w:kern w:val="0"/>
          <w:sz w:val="24"/>
        </w:rPr>
      </w:pPr>
      <w:r>
        <w:rPr>
          <w:rFonts w:ascii="Times New Roman" w:hAnsi="Times New Roman"/>
          <w:kern w:val="0"/>
          <w:sz w:val="24"/>
        </w:rPr>
        <w:t xml:space="preserve">　　</w:t>
      </w:r>
      <w:r>
        <w:rPr>
          <w:rFonts w:ascii="Times New Roman" w:hAnsi="Times New Roman"/>
          <w:sz w:val="24"/>
          <w:szCs w:val="24"/>
        </w:rPr>
        <w:t>②</w:t>
      </w:r>
      <w:r>
        <w:rPr>
          <w:rFonts w:ascii="Times New Roman" w:hAnsi="Times New Roman"/>
          <w:kern w:val="0"/>
          <w:sz w:val="24"/>
        </w:rPr>
        <w:t>检修阶段环保管理</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加强检修期间的巡回检查工作，特别对存有物料的储罐要作为巡检重点，按时记录各物料储罐的液位，防止发生跑、冒、窜料现象。</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换热器及其它设备时产生的各种废液要分类收集后安全处理处置。</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设备及管线中清理出的固体废物（如油泥、罐底泥）要规范收集储存后，安全处理处置。</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环保预处理设施要提前检修，以便为生产装置检修后开车创造条件。</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消音、减震等环保设施要在开车前完成检修，恢复正常工作状态。</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装置和管线在检修完成后，要进行泄漏检测。</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③</w:t>
      </w:r>
      <w:r>
        <w:rPr>
          <w:rFonts w:ascii="Times New Roman" w:hAnsi="Times New Roman"/>
          <w:sz w:val="24"/>
          <w:szCs w:val="24"/>
        </w:rPr>
        <w:t>开工阶段环保管理</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各生产单位在开工方案中要有具体的环保规定和环保治理设施开车方案。</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明确各单位（装置）环保预处理设施开工时间，保证主体装置开工后产生的污染物得到及时处理。</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装置在进料前必须检查有关设备管线的阀门是否关闭，防止发生跑料事故。</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用有机物料置换氮气时，要将废气排入火炬燃烧掉排放。</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污水处理站做好接纳开工期间相对高浓度废水的准备工作，确保废水水质不造成污水处理的冲击。</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④</w:t>
      </w:r>
      <w:r>
        <w:rPr>
          <w:rFonts w:ascii="Times New Roman" w:hAnsi="Times New Roman"/>
          <w:sz w:val="24"/>
          <w:szCs w:val="24"/>
        </w:rPr>
        <w:t>事故状态下的环保管理</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根据事故风险源及事故类型，制定相应防止污染事故处理预案，加强检查，及时发现易出现大气污染事故的泄漏事故，如阀门破损或泄漏等；在下雨、罐切水、油罐或物料储罐冒顶、油罐或物料储罐损坏等造成的跑油、跑料事故。</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建立环境风险应急预案，配备相应的应急物资，发生事故时，启动应急响应程序，且针对事故采取应急措施。所有的处理程序按照应急预案来做。</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⑤</w:t>
      </w:r>
      <w:r>
        <w:rPr>
          <w:rFonts w:ascii="Times New Roman" w:hAnsi="Times New Roman"/>
          <w:sz w:val="24"/>
          <w:szCs w:val="24"/>
        </w:rPr>
        <w:t>环境风险管理</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开展环境风险评估和应急资源调查。</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在开展环境风险评估和应急资源调查的基础上制定有效的防范措施，并定期开展监督、检查、评估，采取措施降低风险和危害。</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编制环境应急预案，根据有关要求，结合实际情况，开展环境应急预案的培训、宣传和必要的应急演练，发生或者可能发生突发环境事件时及时启动环境应急预案</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⑥</w:t>
      </w:r>
      <w:r>
        <w:rPr>
          <w:rFonts w:ascii="Times New Roman" w:hAnsi="Times New Roman"/>
          <w:sz w:val="24"/>
          <w:szCs w:val="24"/>
        </w:rPr>
        <w:t>环境保护设施运行监督</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环保预处理设施要纳入生产单元岗位责任制，每天进行巡检，一旦发现异常要及时维修。</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环保设施的运行应纳入生产调度部门正常管理，做到生产负荷调整与环保设施运行平衡。</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环保设施的维护、保养、更新应纳入企业设备管理的考核体系。</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⑦</w:t>
      </w:r>
      <w:r>
        <w:rPr>
          <w:rFonts w:ascii="Times New Roman" w:hAnsi="Times New Roman"/>
          <w:kern w:val="44"/>
          <w:sz w:val="24"/>
          <w:szCs w:val="24"/>
        </w:rPr>
        <w:t>环境管理台账要求</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建立监测数据统计台账、污染源台账；环保指标、目标分解考核台账；污染物排放总量台账；固体废物处理处置台账；</w:t>
      </w:r>
      <w:r>
        <w:rPr>
          <w:rFonts w:ascii="Times New Roman" w:hAnsi="Times New Roman"/>
          <w:sz w:val="24"/>
          <w:szCs w:val="24"/>
        </w:rPr>
        <w:t>“</w:t>
      </w:r>
      <w:r>
        <w:rPr>
          <w:rFonts w:ascii="Times New Roman" w:hAnsi="Times New Roman"/>
          <w:sz w:val="24"/>
          <w:szCs w:val="24"/>
        </w:rPr>
        <w:t>三废</w:t>
      </w:r>
      <w:r>
        <w:rPr>
          <w:rFonts w:ascii="Times New Roman" w:hAnsi="Times New Roman"/>
          <w:sz w:val="24"/>
          <w:szCs w:val="24"/>
        </w:rPr>
        <w:t>”</w:t>
      </w:r>
      <w:r>
        <w:rPr>
          <w:rFonts w:ascii="Times New Roman" w:hAnsi="Times New Roman"/>
          <w:sz w:val="24"/>
          <w:szCs w:val="24"/>
        </w:rPr>
        <w:t>综合利用台账；环保治理台账；环保设施开、停工、维修记录台账；清洁生产审核台账；环保宣传、培训、教育台账；环保污染事故台账；其它环保台账。</w:t>
      </w:r>
    </w:p>
    <w:p w:rsidR="00525419" w:rsidRDefault="00EE1CF7">
      <w:pPr>
        <w:pStyle w:val="a2"/>
        <w:spacing w:line="360" w:lineRule="auto"/>
        <w:ind w:firstLine="480"/>
        <w:jc w:val="both"/>
        <w:rPr>
          <w:rFonts w:eastAsia="宋体"/>
          <w:sz w:val="24"/>
          <w:szCs w:val="24"/>
        </w:rPr>
      </w:pPr>
      <w:r>
        <w:rPr>
          <w:rFonts w:eastAsia="宋体"/>
          <w:sz w:val="24"/>
          <w:szCs w:val="24"/>
        </w:rPr>
        <w:t>a</w:t>
      </w:r>
      <w:r>
        <w:rPr>
          <w:rFonts w:eastAsia="宋体"/>
          <w:sz w:val="24"/>
          <w:szCs w:val="24"/>
        </w:rPr>
        <w:t>、制定自行监测方案</w:t>
      </w:r>
    </w:p>
    <w:p w:rsidR="00525419" w:rsidRDefault="00EE1CF7">
      <w:pPr>
        <w:pStyle w:val="a2"/>
        <w:spacing w:line="360" w:lineRule="auto"/>
        <w:ind w:firstLine="480"/>
        <w:jc w:val="both"/>
        <w:rPr>
          <w:rFonts w:eastAsia="宋体"/>
          <w:sz w:val="24"/>
          <w:szCs w:val="24"/>
        </w:rPr>
      </w:pPr>
      <w:r>
        <w:rPr>
          <w:rFonts w:eastAsia="宋体"/>
          <w:sz w:val="24"/>
          <w:szCs w:val="24"/>
        </w:rPr>
        <w:t>从企业自行监测开展情况简介、监测方案（包括监测点位、监测项目及监测频次、监测方法及使用仪器要求、监测结果评价标准等）、自动监测方案、监测信息公布（包括公布方式、分布内容、公布时限）等方面制定自行监测方案。</w:t>
      </w:r>
    </w:p>
    <w:p w:rsidR="00525419" w:rsidRDefault="00EE1CF7">
      <w:pPr>
        <w:pStyle w:val="a2"/>
        <w:spacing w:line="360" w:lineRule="auto"/>
        <w:ind w:firstLine="480"/>
        <w:jc w:val="both"/>
        <w:rPr>
          <w:rFonts w:eastAsia="宋体"/>
          <w:sz w:val="24"/>
          <w:szCs w:val="24"/>
        </w:rPr>
      </w:pPr>
      <w:r>
        <w:rPr>
          <w:rFonts w:eastAsia="宋体"/>
          <w:sz w:val="24"/>
          <w:szCs w:val="24"/>
        </w:rPr>
        <w:t>b</w:t>
      </w:r>
      <w:r>
        <w:rPr>
          <w:rFonts w:eastAsia="宋体"/>
          <w:sz w:val="24"/>
          <w:szCs w:val="24"/>
        </w:rPr>
        <w:t>、明确台账记录明细</w:t>
      </w:r>
    </w:p>
    <w:p w:rsidR="00525419" w:rsidRDefault="00EE1CF7">
      <w:pPr>
        <w:pStyle w:val="a2"/>
        <w:spacing w:line="360" w:lineRule="auto"/>
        <w:ind w:firstLine="480"/>
        <w:jc w:val="both"/>
        <w:rPr>
          <w:rFonts w:eastAsia="宋体"/>
          <w:sz w:val="24"/>
          <w:szCs w:val="24"/>
        </w:rPr>
      </w:pPr>
      <w:r>
        <w:rPr>
          <w:rFonts w:eastAsia="宋体"/>
          <w:sz w:val="24"/>
          <w:szCs w:val="24"/>
        </w:rPr>
        <w:t>要有外排废水检测台账、加热炉烟气监测台账、厂界噪声监测台账、固体废物接受转移处置台账</w:t>
      </w:r>
      <w:r>
        <w:rPr>
          <w:rFonts w:eastAsia="宋体"/>
          <w:sz w:val="24"/>
          <w:szCs w:val="24"/>
        </w:rPr>
        <w:t> </w:t>
      </w:r>
      <w:r>
        <w:rPr>
          <w:rFonts w:eastAsia="宋体"/>
          <w:sz w:val="24"/>
          <w:szCs w:val="24"/>
        </w:rPr>
        <w:t>等台账；自动监测设备运维记录、各类原始记录内容应完整并有相关人员签字，保存三年。</w:t>
      </w:r>
    </w:p>
    <w:p w:rsidR="00525419" w:rsidRDefault="00EE1CF7">
      <w:pPr>
        <w:pStyle w:val="a2"/>
        <w:spacing w:line="360" w:lineRule="auto"/>
        <w:ind w:firstLine="480"/>
        <w:jc w:val="both"/>
        <w:rPr>
          <w:rFonts w:eastAsia="宋体"/>
          <w:sz w:val="24"/>
          <w:szCs w:val="24"/>
        </w:rPr>
      </w:pPr>
      <w:r>
        <w:rPr>
          <w:rFonts w:eastAsia="宋体"/>
          <w:sz w:val="24"/>
          <w:szCs w:val="24"/>
        </w:rPr>
        <w:t>c</w:t>
      </w:r>
      <w:r>
        <w:rPr>
          <w:rFonts w:eastAsia="宋体"/>
          <w:sz w:val="24"/>
          <w:szCs w:val="24"/>
        </w:rPr>
        <w:t>、监测报告制度</w:t>
      </w:r>
    </w:p>
    <w:p w:rsidR="00525419" w:rsidRDefault="00EE1CF7">
      <w:pPr>
        <w:pStyle w:val="a2"/>
        <w:spacing w:line="360" w:lineRule="auto"/>
        <w:ind w:firstLine="480"/>
        <w:jc w:val="both"/>
        <w:rPr>
          <w:rFonts w:eastAsia="宋体"/>
          <w:sz w:val="24"/>
          <w:szCs w:val="24"/>
        </w:rPr>
      </w:pPr>
      <w:r>
        <w:rPr>
          <w:rFonts w:eastAsia="宋体"/>
          <w:sz w:val="24"/>
          <w:szCs w:val="24"/>
        </w:rPr>
        <w:t>每次监测完毕，应及时整理数据编写报告，作为企业环境监测档案，并需按上级环保主管部门的要求，按季、年将分析报告及时上报当地环保局。</w:t>
      </w:r>
    </w:p>
    <w:p w:rsidR="00525419" w:rsidRDefault="00EE1CF7" w:rsidP="00EE1CF7">
      <w:pPr>
        <w:pStyle w:val="2a"/>
        <w:spacing w:beforeLines="50" w:before="166" w:after="166"/>
        <w:ind w:left="578" w:hanging="578"/>
        <w:rPr>
          <w:rFonts w:ascii="Times New Roman" w:eastAsia="楷体_GB2312" w:hAnsi="Times New Roman"/>
          <w:sz w:val="36"/>
        </w:rPr>
      </w:pPr>
      <w:bookmarkStart w:id="321" w:name="_Toc484775667"/>
      <w:bookmarkStart w:id="322" w:name="_Toc9352"/>
      <w:r>
        <w:rPr>
          <w:rFonts w:ascii="Times New Roman" w:eastAsia="楷体_GB2312" w:hAnsi="Times New Roman"/>
          <w:sz w:val="36"/>
        </w:rPr>
        <w:t>8.2</w:t>
      </w:r>
      <w:r>
        <w:rPr>
          <w:rFonts w:ascii="Times New Roman" w:eastAsia="楷体_GB2312" w:hAnsi="Times New Roman"/>
          <w:sz w:val="36"/>
        </w:rPr>
        <w:t>环境监测计划</w:t>
      </w:r>
      <w:bookmarkEnd w:id="321"/>
      <w:bookmarkEnd w:id="322"/>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8.2.1</w:t>
      </w:r>
      <w:r>
        <w:rPr>
          <w:rFonts w:ascii="Times New Roman" w:eastAsia="华文楷体" w:hAnsi="Times New Roman"/>
        </w:rPr>
        <w:t>污染源监测计划</w:t>
      </w:r>
    </w:p>
    <w:p w:rsidR="00525419" w:rsidRDefault="00EE1CF7">
      <w:pPr>
        <w:snapToGrid w:val="0"/>
        <w:spacing w:line="360" w:lineRule="auto"/>
        <w:ind w:firstLine="482"/>
        <w:rPr>
          <w:rFonts w:ascii="Times New Roman" w:hAnsi="Times New Roman"/>
          <w:sz w:val="24"/>
          <w:szCs w:val="20"/>
        </w:rPr>
      </w:pPr>
      <w:r>
        <w:rPr>
          <w:rFonts w:ascii="Times New Roman" w:hAnsi="Times New Roman"/>
          <w:sz w:val="24"/>
          <w:szCs w:val="20"/>
        </w:rPr>
        <w:t>按照《排污许可证申请与核发技术规范</w:t>
      </w:r>
      <w:r>
        <w:rPr>
          <w:rFonts w:ascii="Times New Roman" w:hAnsi="Times New Roman"/>
          <w:sz w:val="24"/>
          <w:szCs w:val="20"/>
        </w:rPr>
        <w:t xml:space="preserve"> </w:t>
      </w:r>
      <w:r>
        <w:rPr>
          <w:rFonts w:ascii="Times New Roman" w:hAnsi="Times New Roman"/>
          <w:sz w:val="24"/>
          <w:szCs w:val="20"/>
        </w:rPr>
        <w:t>石化工业》</w:t>
      </w:r>
      <w:r>
        <w:rPr>
          <w:rFonts w:ascii="Times New Roman" w:hAnsi="Times New Roman"/>
          <w:sz w:val="24"/>
          <w:szCs w:val="20"/>
        </w:rPr>
        <w:t>(HJ 853-2017)</w:t>
      </w:r>
      <w:r>
        <w:rPr>
          <w:rFonts w:ascii="Times New Roman" w:hAnsi="Times New Roman"/>
          <w:sz w:val="24"/>
          <w:szCs w:val="20"/>
        </w:rPr>
        <w:t>，制定项目污染源监测计划，具体如下：</w:t>
      </w:r>
    </w:p>
    <w:p w:rsidR="00525419" w:rsidRDefault="00EE1CF7">
      <w:pPr>
        <w:jc w:val="center"/>
        <w:rPr>
          <w:rFonts w:ascii="Times New Roman" w:eastAsia="黑体" w:hAnsi="Times New Roman"/>
          <w:szCs w:val="21"/>
        </w:rPr>
      </w:pPr>
      <w:r>
        <w:rPr>
          <w:rFonts w:ascii="Times New Roman" w:hAnsi="Times New Roman"/>
        </w:rPr>
        <w:t>表</w:t>
      </w:r>
      <w:r>
        <w:rPr>
          <w:rFonts w:ascii="Times New Roman" w:hAnsi="Times New Roman"/>
        </w:rPr>
        <w:t>8.2-1</w:t>
      </w:r>
      <w:r>
        <w:rPr>
          <w:rFonts w:ascii="Times New Roman" w:hAnsi="Times New Roman"/>
        </w:rPr>
        <w:t xml:space="preserve">　</w:t>
      </w:r>
      <w:r>
        <w:rPr>
          <w:rFonts w:ascii="Times New Roman" w:hAnsi="Times New Roman"/>
        </w:rPr>
        <w:t xml:space="preserve">   </w:t>
      </w:r>
      <w:r>
        <w:rPr>
          <w:rFonts w:ascii="Times New Roman" w:eastAsia="黑体" w:hAnsi="Times New Roman"/>
          <w:szCs w:val="21"/>
        </w:rPr>
        <w:t>污染源监测计划表</w:t>
      </w:r>
    </w:p>
    <w:tbl>
      <w:tblPr>
        <w:tblW w:w="85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40"/>
        <w:gridCol w:w="1434"/>
        <w:gridCol w:w="1538"/>
        <w:gridCol w:w="1613"/>
        <w:gridCol w:w="1349"/>
        <w:gridCol w:w="2039"/>
      </w:tblGrid>
      <w:tr w:rsidR="00525419">
        <w:trPr>
          <w:jc w:val="center"/>
        </w:trPr>
        <w:tc>
          <w:tcPr>
            <w:tcW w:w="1974" w:type="dxa"/>
            <w:gridSpan w:val="2"/>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类别</w:t>
            </w:r>
          </w:p>
        </w:tc>
        <w:tc>
          <w:tcPr>
            <w:tcW w:w="1538"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监测因子</w:t>
            </w:r>
          </w:p>
        </w:tc>
        <w:tc>
          <w:tcPr>
            <w:tcW w:w="1613"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监测点位置</w:t>
            </w:r>
          </w:p>
        </w:tc>
        <w:tc>
          <w:tcPr>
            <w:tcW w:w="1349"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监测频次</w:t>
            </w:r>
          </w:p>
        </w:tc>
        <w:tc>
          <w:tcPr>
            <w:tcW w:w="2039"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控制指标</w:t>
            </w:r>
          </w:p>
        </w:tc>
      </w:tr>
      <w:tr w:rsidR="00525419">
        <w:trPr>
          <w:trHeight w:val="574"/>
          <w:jc w:val="center"/>
        </w:trPr>
        <w:tc>
          <w:tcPr>
            <w:tcW w:w="540"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有组织排放废气</w:t>
            </w:r>
          </w:p>
        </w:tc>
        <w:tc>
          <w:tcPr>
            <w:tcW w:w="1434"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加热炉烟气</w:t>
            </w:r>
          </w:p>
        </w:tc>
        <w:tc>
          <w:tcPr>
            <w:tcW w:w="1538"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颗粒物、</w:t>
            </w:r>
            <w:r>
              <w:rPr>
                <w:rFonts w:ascii="Times New Roman" w:hAnsi="Times New Roman"/>
                <w:szCs w:val="21"/>
              </w:rPr>
              <w:t>SO</w:t>
            </w:r>
            <w:r>
              <w:rPr>
                <w:rFonts w:ascii="Times New Roman" w:hAnsi="Times New Roman"/>
                <w:szCs w:val="21"/>
                <w:vertAlign w:val="subscript"/>
              </w:rPr>
              <w:t>2</w:t>
            </w:r>
          </w:p>
          <w:p w:rsidR="00525419" w:rsidRDefault="00EE1CF7">
            <w:pPr>
              <w:rPr>
                <w:rFonts w:ascii="Times New Roman" w:hAnsi="Times New Roman"/>
                <w:szCs w:val="21"/>
              </w:rPr>
            </w:pPr>
            <w:r>
              <w:rPr>
                <w:rFonts w:ascii="Times New Roman" w:hAnsi="Times New Roman"/>
                <w:szCs w:val="21"/>
              </w:rPr>
              <w:t>NOx</w:t>
            </w:r>
          </w:p>
        </w:tc>
        <w:tc>
          <w:tcPr>
            <w:tcW w:w="1613" w:type="dxa"/>
            <w:tcBorders>
              <w:tl2br w:val="nil"/>
              <w:tr2bl w:val="nil"/>
            </w:tcBorders>
            <w:vAlign w:val="center"/>
          </w:tcPr>
          <w:p w:rsidR="00525419" w:rsidRDefault="00EE1CF7">
            <w:pPr>
              <w:rPr>
                <w:rFonts w:ascii="Times New Roman" w:hAnsi="Times New Roman"/>
              </w:rPr>
            </w:pPr>
            <w:r>
              <w:rPr>
                <w:rFonts w:ascii="Times New Roman" w:hAnsi="Times New Roman"/>
              </w:rPr>
              <w:t>排气筒采样口</w:t>
            </w:r>
          </w:p>
        </w:tc>
        <w:tc>
          <w:tcPr>
            <w:tcW w:w="1349" w:type="dxa"/>
            <w:tcBorders>
              <w:tl2br w:val="nil"/>
              <w:tr2bl w:val="nil"/>
            </w:tcBorders>
            <w:vAlign w:val="center"/>
          </w:tcPr>
          <w:p w:rsidR="00525419" w:rsidRDefault="00EE1CF7">
            <w:pPr>
              <w:pStyle w:val="B2"/>
              <w:jc w:val="both"/>
              <w:rPr>
                <w:rFonts w:cs="Times New Roman"/>
                <w:szCs w:val="21"/>
              </w:rPr>
            </w:pPr>
            <w:r>
              <w:rPr>
                <w:rFonts w:cs="Times New Roman"/>
                <w:lang w:val="zh-CN"/>
              </w:rPr>
              <w:t>自动监测，</w:t>
            </w:r>
            <w:r>
              <w:rPr>
                <w:rFonts w:cs="Times New Roman" w:hint="eastAsia"/>
                <w:lang w:val="zh-CN"/>
              </w:rPr>
              <w:t>每半年对比监测</w:t>
            </w:r>
            <w:r>
              <w:rPr>
                <w:rFonts w:cs="Times New Roman" w:hint="eastAsia"/>
              </w:rPr>
              <w:t>1</w:t>
            </w:r>
            <w:r>
              <w:rPr>
                <w:rFonts w:cs="Times New Roman" w:hint="eastAsia"/>
              </w:rPr>
              <w:t>次</w:t>
            </w:r>
          </w:p>
        </w:tc>
        <w:tc>
          <w:tcPr>
            <w:tcW w:w="2039"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达到《石油炼制工业污染物排放标准》</w:t>
            </w:r>
            <w:r>
              <w:rPr>
                <w:rFonts w:ascii="Times New Roman" w:hAnsi="Times New Roman"/>
                <w:szCs w:val="21"/>
              </w:rPr>
              <w:t>(GB31570-2015)</w:t>
            </w:r>
            <w:r>
              <w:rPr>
                <w:rFonts w:ascii="Times New Roman" w:hAnsi="Times New Roman"/>
                <w:szCs w:val="21"/>
              </w:rPr>
              <w:t>中</w:t>
            </w:r>
            <w:r>
              <w:rPr>
                <w:rFonts w:ascii="Times New Roman" w:hAnsi="Times New Roman"/>
                <w:szCs w:val="21"/>
              </w:rPr>
              <w:t>“</w:t>
            </w:r>
            <w:r>
              <w:rPr>
                <w:rFonts w:ascii="Times New Roman" w:hAnsi="Times New Roman"/>
                <w:szCs w:val="21"/>
              </w:rPr>
              <w:t>表</w:t>
            </w:r>
            <w:r>
              <w:rPr>
                <w:rFonts w:ascii="Times New Roman" w:hAnsi="Times New Roman"/>
                <w:szCs w:val="21"/>
              </w:rPr>
              <w:t xml:space="preserve">3 </w:t>
            </w:r>
            <w:r>
              <w:rPr>
                <w:rFonts w:ascii="Times New Roman" w:hAnsi="Times New Roman"/>
                <w:szCs w:val="21"/>
              </w:rPr>
              <w:t>大气污染物排放限值</w:t>
            </w:r>
            <w:r>
              <w:rPr>
                <w:rFonts w:ascii="Times New Roman" w:hAnsi="Times New Roman"/>
                <w:szCs w:val="21"/>
              </w:rPr>
              <w:t>”</w:t>
            </w:r>
          </w:p>
        </w:tc>
      </w:tr>
      <w:tr w:rsidR="00525419">
        <w:trPr>
          <w:trHeight w:val="90"/>
          <w:jc w:val="center"/>
        </w:trPr>
        <w:tc>
          <w:tcPr>
            <w:tcW w:w="540" w:type="dxa"/>
            <w:vMerge/>
            <w:tcBorders>
              <w:tl2br w:val="nil"/>
              <w:tr2bl w:val="nil"/>
            </w:tcBorders>
            <w:vAlign w:val="center"/>
          </w:tcPr>
          <w:p w:rsidR="00525419" w:rsidRDefault="00525419">
            <w:pPr>
              <w:rPr>
                <w:rFonts w:ascii="Times New Roman" w:hAnsi="Times New Roman"/>
                <w:szCs w:val="21"/>
              </w:rPr>
            </w:pPr>
          </w:p>
        </w:tc>
        <w:tc>
          <w:tcPr>
            <w:tcW w:w="1434"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油气回收设施废气</w:t>
            </w:r>
          </w:p>
        </w:tc>
        <w:tc>
          <w:tcPr>
            <w:tcW w:w="1538"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出口流量；非甲烷总烃</w:t>
            </w:r>
          </w:p>
        </w:tc>
        <w:tc>
          <w:tcPr>
            <w:tcW w:w="1613" w:type="dxa"/>
            <w:tcBorders>
              <w:tl2br w:val="nil"/>
              <w:tr2bl w:val="nil"/>
            </w:tcBorders>
            <w:vAlign w:val="center"/>
          </w:tcPr>
          <w:p w:rsidR="00525419" w:rsidRDefault="00EE1CF7">
            <w:pPr>
              <w:rPr>
                <w:rFonts w:ascii="Times New Roman" w:hAnsi="Times New Roman"/>
                <w:kern w:val="0"/>
                <w:szCs w:val="21"/>
              </w:rPr>
            </w:pPr>
            <w:r>
              <w:rPr>
                <w:rFonts w:ascii="Times New Roman" w:hAnsi="Times New Roman"/>
                <w:szCs w:val="21"/>
              </w:rPr>
              <w:t>油气回收设施进、出口</w:t>
            </w:r>
          </w:p>
        </w:tc>
        <w:tc>
          <w:tcPr>
            <w:tcW w:w="1349"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每月</w:t>
            </w:r>
            <w:r>
              <w:rPr>
                <w:rFonts w:ascii="Times New Roman" w:hAnsi="Times New Roman"/>
                <w:szCs w:val="21"/>
              </w:rPr>
              <w:t>1</w:t>
            </w:r>
            <w:r>
              <w:rPr>
                <w:rFonts w:ascii="Times New Roman" w:hAnsi="Times New Roman"/>
                <w:szCs w:val="21"/>
              </w:rPr>
              <w:t>次</w:t>
            </w:r>
          </w:p>
        </w:tc>
        <w:tc>
          <w:tcPr>
            <w:tcW w:w="2039" w:type="dxa"/>
            <w:vMerge/>
            <w:tcBorders>
              <w:tl2br w:val="nil"/>
              <w:tr2bl w:val="nil"/>
            </w:tcBorders>
            <w:vAlign w:val="center"/>
          </w:tcPr>
          <w:p w:rsidR="00525419" w:rsidRDefault="00525419">
            <w:pPr>
              <w:rPr>
                <w:rFonts w:ascii="Times New Roman" w:hAnsi="Times New Roman"/>
                <w:szCs w:val="21"/>
              </w:rPr>
            </w:pPr>
          </w:p>
        </w:tc>
      </w:tr>
      <w:tr w:rsidR="00525419">
        <w:trPr>
          <w:trHeight w:val="210"/>
          <w:jc w:val="center"/>
        </w:trPr>
        <w:tc>
          <w:tcPr>
            <w:tcW w:w="540" w:type="dxa"/>
            <w:vMerge/>
            <w:tcBorders>
              <w:tl2br w:val="nil"/>
              <w:tr2bl w:val="nil"/>
            </w:tcBorders>
            <w:vAlign w:val="center"/>
          </w:tcPr>
          <w:p w:rsidR="00525419" w:rsidRDefault="00525419">
            <w:pPr>
              <w:rPr>
                <w:rFonts w:ascii="Times New Roman" w:hAnsi="Times New Roman"/>
                <w:szCs w:val="21"/>
              </w:rPr>
            </w:pPr>
          </w:p>
        </w:tc>
        <w:tc>
          <w:tcPr>
            <w:tcW w:w="1434" w:type="dxa"/>
            <w:tcBorders>
              <w:tl2br w:val="nil"/>
              <w:tr2bl w:val="nil"/>
            </w:tcBorders>
            <w:vAlign w:val="center"/>
          </w:tcPr>
          <w:p w:rsidR="00525419" w:rsidRDefault="00EE1CF7">
            <w:pPr>
              <w:rPr>
                <w:rFonts w:ascii="Times New Roman" w:hAnsi="Times New Roman"/>
                <w:szCs w:val="21"/>
              </w:rPr>
            </w:pPr>
            <w:r>
              <w:rPr>
                <w:rFonts w:ascii="Times New Roman" w:hAnsi="Times New Roman" w:hint="eastAsia"/>
                <w:szCs w:val="21"/>
              </w:rPr>
              <w:t>硫磺回收尾气焚烧炉</w:t>
            </w:r>
            <w:r>
              <w:rPr>
                <w:rFonts w:ascii="Times New Roman" w:hAnsi="Times New Roman"/>
                <w:szCs w:val="21"/>
              </w:rPr>
              <w:t xml:space="preserve">烟气　</w:t>
            </w:r>
          </w:p>
        </w:tc>
        <w:tc>
          <w:tcPr>
            <w:tcW w:w="1538"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1613" w:type="dxa"/>
            <w:tcBorders>
              <w:tl2br w:val="nil"/>
              <w:tr2bl w:val="nil"/>
            </w:tcBorders>
            <w:vAlign w:val="center"/>
          </w:tcPr>
          <w:p w:rsidR="00525419" w:rsidRDefault="00EE1CF7">
            <w:pPr>
              <w:rPr>
                <w:rFonts w:ascii="Times New Roman" w:hAnsi="Times New Roman"/>
                <w:szCs w:val="21"/>
              </w:rPr>
            </w:pPr>
            <w:r>
              <w:rPr>
                <w:rFonts w:ascii="Times New Roman" w:hAnsi="Times New Roman"/>
                <w:kern w:val="0"/>
                <w:szCs w:val="21"/>
              </w:rPr>
              <w:t>排气筒</w:t>
            </w:r>
            <w:r>
              <w:rPr>
                <w:rFonts w:ascii="Times New Roman" w:hAnsi="Times New Roman"/>
                <w:szCs w:val="21"/>
              </w:rPr>
              <w:t>采样口</w:t>
            </w:r>
          </w:p>
        </w:tc>
        <w:tc>
          <w:tcPr>
            <w:tcW w:w="1349" w:type="dxa"/>
            <w:tcBorders>
              <w:tl2br w:val="nil"/>
              <w:tr2bl w:val="nil"/>
            </w:tcBorders>
            <w:vAlign w:val="center"/>
          </w:tcPr>
          <w:p w:rsidR="00525419" w:rsidRDefault="00EE1CF7">
            <w:pPr>
              <w:rPr>
                <w:rFonts w:ascii="Times New Roman" w:hAnsi="Times New Roman"/>
                <w:szCs w:val="21"/>
              </w:rPr>
            </w:pPr>
            <w:r>
              <w:rPr>
                <w:rFonts w:ascii="Times New Roman" w:hAnsi="Times New Roman"/>
                <w:lang w:val="zh-CN"/>
              </w:rPr>
              <w:t>自动监测，</w:t>
            </w:r>
            <w:r>
              <w:rPr>
                <w:rFonts w:hint="eastAsia"/>
                <w:lang w:val="zh-CN"/>
              </w:rPr>
              <w:t>每半年对比监测</w:t>
            </w:r>
            <w:r>
              <w:rPr>
                <w:rFonts w:hint="eastAsia"/>
              </w:rPr>
              <w:t>1</w:t>
            </w:r>
            <w:r>
              <w:rPr>
                <w:rFonts w:hint="eastAsia"/>
              </w:rPr>
              <w:t>次</w:t>
            </w:r>
          </w:p>
        </w:tc>
        <w:tc>
          <w:tcPr>
            <w:tcW w:w="2039" w:type="dxa"/>
            <w:vMerge/>
            <w:tcBorders>
              <w:tl2br w:val="nil"/>
              <w:tr2bl w:val="nil"/>
            </w:tcBorders>
            <w:vAlign w:val="center"/>
          </w:tcPr>
          <w:p w:rsidR="00525419" w:rsidRDefault="00525419">
            <w:pPr>
              <w:rPr>
                <w:rFonts w:ascii="Times New Roman" w:hAnsi="Times New Roman"/>
                <w:szCs w:val="21"/>
              </w:rPr>
            </w:pPr>
          </w:p>
        </w:tc>
      </w:tr>
      <w:tr w:rsidR="00525419">
        <w:trPr>
          <w:trHeight w:val="1020"/>
          <w:jc w:val="center"/>
        </w:trPr>
        <w:tc>
          <w:tcPr>
            <w:tcW w:w="540"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无组织废气</w:t>
            </w:r>
          </w:p>
        </w:tc>
        <w:tc>
          <w:tcPr>
            <w:tcW w:w="1434"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厂界污染物</w:t>
            </w:r>
          </w:p>
        </w:tc>
        <w:tc>
          <w:tcPr>
            <w:tcW w:w="1538"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非甲烷总烃、</w:t>
            </w:r>
            <w:r>
              <w:rPr>
                <w:rFonts w:ascii="Times New Roman" w:hAnsi="Times New Roman"/>
                <w:szCs w:val="21"/>
              </w:rPr>
              <w:t xml:space="preserve"> </w:t>
            </w:r>
            <w:r>
              <w:rPr>
                <w:rFonts w:ascii="Times New Roman" w:hAnsi="Times New Roman"/>
                <w:szCs w:val="21"/>
              </w:rPr>
              <w:t>颗粒物、</w:t>
            </w:r>
            <w:r>
              <w:rPr>
                <w:rFonts w:ascii="Times New Roman" w:hAnsi="Times New Roman"/>
                <w:szCs w:val="21"/>
              </w:rPr>
              <w:t xml:space="preserve"> </w:t>
            </w:r>
            <w:r>
              <w:rPr>
                <w:rFonts w:ascii="Times New Roman" w:hAnsi="Times New Roman"/>
                <w:szCs w:val="21"/>
              </w:rPr>
              <w:t>氨、硫化氢</w:t>
            </w:r>
          </w:p>
        </w:tc>
        <w:tc>
          <w:tcPr>
            <w:tcW w:w="1613" w:type="dxa"/>
            <w:tcBorders>
              <w:tl2br w:val="nil"/>
              <w:tr2bl w:val="nil"/>
            </w:tcBorders>
            <w:vAlign w:val="center"/>
          </w:tcPr>
          <w:p w:rsidR="00525419" w:rsidRDefault="00EE1CF7">
            <w:pPr>
              <w:rPr>
                <w:rFonts w:ascii="Times New Roman" w:hAnsi="Times New Roman"/>
                <w:szCs w:val="21"/>
              </w:rPr>
            </w:pPr>
            <w:r>
              <w:rPr>
                <w:rFonts w:ascii="Times New Roman" w:hAnsi="Times New Roman"/>
                <w:kern w:val="0"/>
                <w:szCs w:val="21"/>
                <w:lang w:val="zh-CN"/>
              </w:rPr>
              <w:t>监测污染物监控点设在厂界外</w:t>
            </w:r>
            <w:r>
              <w:rPr>
                <w:rFonts w:ascii="Times New Roman" w:hAnsi="Times New Roman"/>
                <w:kern w:val="0"/>
                <w:szCs w:val="21"/>
                <w:lang w:val="zh-CN"/>
              </w:rPr>
              <w:t>10m</w:t>
            </w:r>
            <w:r>
              <w:rPr>
                <w:rFonts w:ascii="Times New Roman" w:hAnsi="Times New Roman"/>
                <w:kern w:val="0"/>
                <w:szCs w:val="21"/>
                <w:lang w:val="zh-CN"/>
              </w:rPr>
              <w:t>范围内浓度最高点</w:t>
            </w:r>
          </w:p>
        </w:tc>
        <w:tc>
          <w:tcPr>
            <w:tcW w:w="1349" w:type="dxa"/>
            <w:tcBorders>
              <w:tl2br w:val="nil"/>
              <w:tr2bl w:val="nil"/>
            </w:tcBorders>
            <w:vAlign w:val="center"/>
          </w:tcPr>
          <w:p w:rsidR="00525419" w:rsidRDefault="00EE1CF7">
            <w:pPr>
              <w:rPr>
                <w:rFonts w:ascii="Times New Roman" w:hAnsi="Times New Roman"/>
                <w:szCs w:val="21"/>
              </w:rPr>
            </w:pPr>
            <w:r>
              <w:rPr>
                <w:rFonts w:ascii="Times New Roman" w:hAnsi="Times New Roman"/>
                <w:lang w:val="zh-CN"/>
              </w:rPr>
              <w:t>每季度</w:t>
            </w:r>
            <w:r>
              <w:rPr>
                <w:rFonts w:ascii="Times New Roman" w:hAnsi="Times New Roman"/>
                <w:lang w:val="zh-CN"/>
              </w:rPr>
              <w:t>1</w:t>
            </w:r>
            <w:r>
              <w:rPr>
                <w:rFonts w:ascii="Times New Roman" w:hAnsi="Times New Roman"/>
                <w:lang w:val="zh-CN"/>
              </w:rPr>
              <w:t>次</w:t>
            </w:r>
          </w:p>
        </w:tc>
        <w:tc>
          <w:tcPr>
            <w:tcW w:w="2039"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《石油炼制工业污染物排放标准》</w:t>
            </w:r>
            <w:r>
              <w:rPr>
                <w:rFonts w:ascii="Times New Roman" w:hAnsi="Times New Roman"/>
                <w:szCs w:val="21"/>
              </w:rPr>
              <w:t>(GB31570-2015)</w:t>
            </w:r>
            <w:r>
              <w:rPr>
                <w:rFonts w:ascii="Times New Roman" w:hAnsi="Times New Roman"/>
                <w:szCs w:val="21"/>
              </w:rPr>
              <w:t>中</w:t>
            </w:r>
            <w:r>
              <w:rPr>
                <w:rFonts w:ascii="Times New Roman" w:hAnsi="Times New Roman"/>
                <w:szCs w:val="21"/>
              </w:rPr>
              <w:t>“</w:t>
            </w:r>
            <w:r>
              <w:rPr>
                <w:rFonts w:ascii="Times New Roman" w:hAnsi="Times New Roman"/>
                <w:szCs w:val="21"/>
              </w:rPr>
              <w:t>表</w:t>
            </w:r>
            <w:r>
              <w:rPr>
                <w:rFonts w:ascii="Times New Roman" w:hAnsi="Times New Roman"/>
                <w:szCs w:val="21"/>
              </w:rPr>
              <w:t xml:space="preserve">5 </w:t>
            </w:r>
            <w:r>
              <w:rPr>
                <w:rFonts w:ascii="Times New Roman" w:hAnsi="Times New Roman"/>
                <w:szCs w:val="21"/>
              </w:rPr>
              <w:t>企业边界大气污染物浓度限值</w:t>
            </w:r>
            <w:r>
              <w:rPr>
                <w:rFonts w:ascii="Times New Roman" w:hAnsi="Times New Roman"/>
                <w:szCs w:val="21"/>
              </w:rPr>
              <w:t>”</w:t>
            </w:r>
            <w:r>
              <w:rPr>
                <w:rFonts w:ascii="Times New Roman" w:hAnsi="Times New Roman"/>
                <w:szCs w:val="21"/>
              </w:rPr>
              <w:t>的规定。</w:t>
            </w:r>
          </w:p>
        </w:tc>
      </w:tr>
      <w:tr w:rsidR="00525419">
        <w:trPr>
          <w:trHeight w:val="195"/>
          <w:jc w:val="center"/>
        </w:trPr>
        <w:tc>
          <w:tcPr>
            <w:tcW w:w="540" w:type="dxa"/>
            <w:vMerge/>
            <w:tcBorders>
              <w:tl2br w:val="nil"/>
              <w:tr2bl w:val="nil"/>
            </w:tcBorders>
            <w:vAlign w:val="center"/>
          </w:tcPr>
          <w:p w:rsidR="00525419" w:rsidRDefault="00525419">
            <w:pPr>
              <w:rPr>
                <w:rFonts w:ascii="Times New Roman" w:hAnsi="Times New Roman"/>
                <w:szCs w:val="21"/>
              </w:rPr>
            </w:pPr>
          </w:p>
        </w:tc>
        <w:tc>
          <w:tcPr>
            <w:tcW w:w="1434"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泵、</w:t>
            </w:r>
            <w:r>
              <w:rPr>
                <w:rFonts w:ascii="Times New Roman" w:hAnsi="Times New Roman"/>
                <w:szCs w:val="21"/>
              </w:rPr>
              <w:t xml:space="preserve"> </w:t>
            </w:r>
            <w:r>
              <w:rPr>
                <w:rFonts w:ascii="Times New Roman" w:hAnsi="Times New Roman"/>
                <w:szCs w:val="21"/>
              </w:rPr>
              <w:t>压缩机、</w:t>
            </w:r>
            <w:r>
              <w:rPr>
                <w:rFonts w:ascii="Times New Roman" w:hAnsi="Times New Roman"/>
                <w:szCs w:val="21"/>
              </w:rPr>
              <w:t xml:space="preserve"> </w:t>
            </w:r>
            <w:r>
              <w:rPr>
                <w:rFonts w:ascii="Times New Roman" w:hAnsi="Times New Roman"/>
                <w:szCs w:val="21"/>
              </w:rPr>
              <w:t>阀门、</w:t>
            </w:r>
            <w:r>
              <w:rPr>
                <w:rFonts w:ascii="Times New Roman" w:hAnsi="Times New Roman"/>
                <w:szCs w:val="21"/>
              </w:rPr>
              <w:t xml:space="preserve"> </w:t>
            </w:r>
            <w:r>
              <w:rPr>
                <w:rFonts w:ascii="Times New Roman" w:hAnsi="Times New Roman"/>
                <w:szCs w:val="21"/>
              </w:rPr>
              <w:t>开口阀或开口管线、气体</w:t>
            </w:r>
            <w:r>
              <w:rPr>
                <w:rFonts w:ascii="Times New Roman" w:hAnsi="Times New Roman"/>
                <w:szCs w:val="21"/>
              </w:rPr>
              <w:t>/</w:t>
            </w:r>
            <w:r>
              <w:rPr>
                <w:rFonts w:ascii="Times New Roman" w:hAnsi="Times New Roman"/>
                <w:szCs w:val="21"/>
              </w:rPr>
              <w:t>蒸气泄压设备、</w:t>
            </w:r>
            <w:r>
              <w:rPr>
                <w:rFonts w:ascii="Times New Roman" w:hAnsi="Times New Roman"/>
                <w:szCs w:val="21"/>
              </w:rPr>
              <w:t xml:space="preserve"> </w:t>
            </w:r>
            <w:r>
              <w:rPr>
                <w:rFonts w:ascii="Times New Roman" w:hAnsi="Times New Roman"/>
                <w:szCs w:val="21"/>
              </w:rPr>
              <w:t>取样连接系统</w:t>
            </w:r>
          </w:p>
        </w:tc>
        <w:tc>
          <w:tcPr>
            <w:tcW w:w="1538" w:type="dxa"/>
            <w:vMerge w:val="restart"/>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挥发性有机物</w:t>
            </w:r>
          </w:p>
        </w:tc>
        <w:tc>
          <w:tcPr>
            <w:tcW w:w="1613" w:type="dxa"/>
            <w:vMerge w:val="restart"/>
            <w:tcBorders>
              <w:tl2br w:val="nil"/>
              <w:tr2bl w:val="nil"/>
            </w:tcBorders>
            <w:vAlign w:val="center"/>
          </w:tcPr>
          <w:p w:rsidR="00525419" w:rsidRDefault="00EE1CF7">
            <w:pPr>
              <w:rPr>
                <w:rFonts w:ascii="Times New Roman" w:hAnsi="Times New Roman"/>
                <w:kern w:val="0"/>
                <w:szCs w:val="21"/>
                <w:lang w:val="zh-CN"/>
              </w:rPr>
            </w:pPr>
            <w:r>
              <w:rPr>
                <w:rFonts w:ascii="Times New Roman" w:hAnsi="Times New Roman"/>
                <w:kern w:val="0"/>
                <w:szCs w:val="21"/>
                <w:lang w:val="zh-CN"/>
              </w:rPr>
              <w:t>可能发生泄漏排放设备或装置的相关部位</w:t>
            </w:r>
          </w:p>
        </w:tc>
        <w:tc>
          <w:tcPr>
            <w:tcW w:w="1349" w:type="dxa"/>
            <w:tcBorders>
              <w:tl2br w:val="nil"/>
              <w:tr2bl w:val="nil"/>
            </w:tcBorders>
            <w:vAlign w:val="center"/>
          </w:tcPr>
          <w:p w:rsidR="00525419" w:rsidRDefault="00EE1CF7">
            <w:pPr>
              <w:rPr>
                <w:rFonts w:ascii="Times New Roman" w:hAnsi="Times New Roman"/>
                <w:szCs w:val="21"/>
              </w:rPr>
            </w:pPr>
            <w:r>
              <w:rPr>
                <w:rFonts w:ascii="Times New Roman" w:hAnsi="Times New Roman"/>
                <w:lang w:val="zh-CN"/>
              </w:rPr>
              <w:t>每季度</w:t>
            </w:r>
            <w:r>
              <w:rPr>
                <w:rFonts w:ascii="Times New Roman" w:hAnsi="Times New Roman"/>
                <w:lang w:val="zh-CN"/>
              </w:rPr>
              <w:t>1</w:t>
            </w:r>
            <w:r>
              <w:rPr>
                <w:rFonts w:ascii="Times New Roman" w:hAnsi="Times New Roman"/>
                <w:lang w:val="zh-CN"/>
              </w:rPr>
              <w:t>次</w:t>
            </w:r>
          </w:p>
        </w:tc>
        <w:tc>
          <w:tcPr>
            <w:tcW w:w="2039"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r>
      <w:tr w:rsidR="00525419">
        <w:trPr>
          <w:trHeight w:val="135"/>
          <w:jc w:val="center"/>
        </w:trPr>
        <w:tc>
          <w:tcPr>
            <w:tcW w:w="540" w:type="dxa"/>
            <w:vMerge/>
            <w:tcBorders>
              <w:tl2br w:val="nil"/>
              <w:tr2bl w:val="nil"/>
            </w:tcBorders>
            <w:vAlign w:val="center"/>
          </w:tcPr>
          <w:p w:rsidR="00525419" w:rsidRDefault="00525419">
            <w:pPr>
              <w:rPr>
                <w:rFonts w:ascii="Times New Roman" w:hAnsi="Times New Roman"/>
                <w:szCs w:val="21"/>
              </w:rPr>
            </w:pPr>
          </w:p>
        </w:tc>
        <w:tc>
          <w:tcPr>
            <w:tcW w:w="1434"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法兰及其他连接件、</w:t>
            </w:r>
            <w:r>
              <w:rPr>
                <w:rFonts w:ascii="Times New Roman" w:hAnsi="Times New Roman"/>
                <w:szCs w:val="21"/>
              </w:rPr>
              <w:t xml:space="preserve"> </w:t>
            </w:r>
            <w:r>
              <w:rPr>
                <w:rFonts w:ascii="Times New Roman" w:hAnsi="Times New Roman"/>
                <w:szCs w:val="21"/>
              </w:rPr>
              <w:t>其他密封设备</w:t>
            </w:r>
          </w:p>
        </w:tc>
        <w:tc>
          <w:tcPr>
            <w:tcW w:w="1538" w:type="dxa"/>
            <w:vMerge/>
            <w:tcBorders>
              <w:tl2br w:val="nil"/>
              <w:tr2bl w:val="nil"/>
            </w:tcBorders>
            <w:vAlign w:val="center"/>
          </w:tcPr>
          <w:p w:rsidR="00525419" w:rsidRDefault="00525419">
            <w:pPr>
              <w:rPr>
                <w:rFonts w:ascii="Times New Roman" w:hAnsi="Times New Roman"/>
                <w:szCs w:val="21"/>
              </w:rPr>
            </w:pPr>
          </w:p>
        </w:tc>
        <w:tc>
          <w:tcPr>
            <w:tcW w:w="1613" w:type="dxa"/>
            <w:vMerge/>
            <w:tcBorders>
              <w:tl2br w:val="nil"/>
              <w:tr2bl w:val="nil"/>
            </w:tcBorders>
            <w:vAlign w:val="center"/>
          </w:tcPr>
          <w:p w:rsidR="00525419" w:rsidRDefault="00525419">
            <w:pPr>
              <w:rPr>
                <w:rFonts w:ascii="Times New Roman" w:hAnsi="Times New Roman"/>
                <w:kern w:val="0"/>
                <w:szCs w:val="21"/>
                <w:lang w:val="zh-CN"/>
              </w:rPr>
            </w:pPr>
          </w:p>
        </w:tc>
        <w:tc>
          <w:tcPr>
            <w:tcW w:w="1349"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每半年</w:t>
            </w:r>
            <w:r>
              <w:rPr>
                <w:rFonts w:ascii="Times New Roman" w:hAnsi="Times New Roman"/>
                <w:lang w:val="zh-CN"/>
              </w:rPr>
              <w:t>1</w:t>
            </w:r>
            <w:r>
              <w:rPr>
                <w:rFonts w:ascii="Times New Roman" w:hAnsi="Times New Roman"/>
                <w:lang w:val="zh-CN"/>
              </w:rPr>
              <w:t>次</w:t>
            </w:r>
          </w:p>
        </w:tc>
        <w:tc>
          <w:tcPr>
            <w:tcW w:w="2039"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w:t>
            </w:r>
          </w:p>
        </w:tc>
      </w:tr>
      <w:tr w:rsidR="00525419">
        <w:trPr>
          <w:trHeight w:val="712"/>
          <w:jc w:val="center"/>
        </w:trPr>
        <w:tc>
          <w:tcPr>
            <w:tcW w:w="54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噪声</w:t>
            </w:r>
          </w:p>
        </w:tc>
        <w:tc>
          <w:tcPr>
            <w:tcW w:w="1434"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场界噪声</w:t>
            </w:r>
          </w:p>
        </w:tc>
        <w:tc>
          <w:tcPr>
            <w:tcW w:w="1538"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Leq</w:t>
            </w:r>
            <w:r>
              <w:rPr>
                <w:rFonts w:ascii="Times New Roman" w:hAnsi="Times New Roman"/>
                <w:szCs w:val="21"/>
              </w:rPr>
              <w:t>（</w:t>
            </w:r>
            <w:r>
              <w:rPr>
                <w:rFonts w:ascii="Times New Roman" w:hAnsi="Times New Roman"/>
                <w:szCs w:val="21"/>
              </w:rPr>
              <w:t>A</w:t>
            </w:r>
            <w:r>
              <w:rPr>
                <w:rFonts w:ascii="Times New Roman" w:hAnsi="Times New Roman"/>
                <w:szCs w:val="21"/>
              </w:rPr>
              <w:t>）</w:t>
            </w:r>
          </w:p>
        </w:tc>
        <w:tc>
          <w:tcPr>
            <w:tcW w:w="1613"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场界四周</w:t>
            </w:r>
          </w:p>
        </w:tc>
        <w:tc>
          <w:tcPr>
            <w:tcW w:w="1349"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每季度</w:t>
            </w:r>
            <w:r>
              <w:rPr>
                <w:rFonts w:ascii="Times New Roman" w:hAnsi="Times New Roman"/>
                <w:szCs w:val="21"/>
              </w:rPr>
              <w:t>1</w:t>
            </w:r>
            <w:r>
              <w:rPr>
                <w:rFonts w:ascii="Times New Roman" w:hAnsi="Times New Roman"/>
                <w:szCs w:val="21"/>
              </w:rPr>
              <w:t>次</w:t>
            </w:r>
          </w:p>
        </w:tc>
        <w:tc>
          <w:tcPr>
            <w:tcW w:w="2039"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GB12348-2008</w:t>
            </w:r>
            <w:r>
              <w:rPr>
                <w:rFonts w:ascii="Times New Roman" w:hAnsi="Times New Roman"/>
                <w:szCs w:val="21"/>
              </w:rPr>
              <w:t>中</w:t>
            </w:r>
            <w:r>
              <w:rPr>
                <w:rFonts w:ascii="Times New Roman" w:hAnsi="Times New Roman"/>
                <w:szCs w:val="21"/>
              </w:rPr>
              <w:t>3</w:t>
            </w:r>
            <w:r>
              <w:rPr>
                <w:rFonts w:ascii="Times New Roman" w:hAnsi="Times New Roman"/>
                <w:szCs w:val="21"/>
              </w:rPr>
              <w:t>类标准</w:t>
            </w:r>
          </w:p>
        </w:tc>
      </w:tr>
      <w:tr w:rsidR="00525419">
        <w:trPr>
          <w:trHeight w:val="1395"/>
          <w:jc w:val="center"/>
        </w:trPr>
        <w:tc>
          <w:tcPr>
            <w:tcW w:w="540"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废水</w:t>
            </w:r>
          </w:p>
        </w:tc>
        <w:tc>
          <w:tcPr>
            <w:tcW w:w="1434"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污水处理</w:t>
            </w:r>
          </w:p>
        </w:tc>
        <w:tc>
          <w:tcPr>
            <w:tcW w:w="1538"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pH</w:t>
            </w:r>
            <w:r>
              <w:rPr>
                <w:rFonts w:ascii="Times New Roman" w:hAnsi="Times New Roman"/>
                <w:szCs w:val="21"/>
              </w:rPr>
              <w:t>、</w:t>
            </w:r>
            <w:r>
              <w:rPr>
                <w:rFonts w:ascii="Times New Roman" w:hAnsi="Times New Roman"/>
                <w:szCs w:val="21"/>
              </w:rPr>
              <w:t>SS</w:t>
            </w:r>
            <w:r>
              <w:rPr>
                <w:rFonts w:ascii="Times New Roman" w:hAnsi="Times New Roman"/>
                <w:szCs w:val="21"/>
              </w:rPr>
              <w:t>、</w:t>
            </w:r>
            <w:r>
              <w:rPr>
                <w:rFonts w:ascii="Times New Roman" w:hAnsi="Times New Roman"/>
                <w:szCs w:val="21"/>
              </w:rPr>
              <w:t>COD</w:t>
            </w:r>
            <w:r>
              <w:rPr>
                <w:rFonts w:ascii="Times New Roman" w:hAnsi="Times New Roman"/>
                <w:szCs w:val="21"/>
              </w:rPr>
              <w:t>、</w:t>
            </w:r>
            <w:r>
              <w:rPr>
                <w:rFonts w:ascii="Times New Roman" w:hAnsi="Times New Roman"/>
                <w:szCs w:val="21"/>
              </w:rPr>
              <w:t>BOD</w:t>
            </w:r>
            <w:r>
              <w:rPr>
                <w:rFonts w:ascii="Times New Roman" w:hAnsi="Times New Roman"/>
                <w:szCs w:val="21"/>
                <w:vertAlign w:val="subscript"/>
              </w:rPr>
              <w:t>5</w:t>
            </w:r>
            <w:r>
              <w:rPr>
                <w:rFonts w:ascii="Times New Roman" w:hAnsi="Times New Roman"/>
                <w:szCs w:val="21"/>
              </w:rPr>
              <w:t>、</w:t>
            </w:r>
            <w:r>
              <w:rPr>
                <w:rFonts w:ascii="Times New Roman" w:hAnsi="Times New Roman"/>
                <w:szCs w:val="21"/>
              </w:rPr>
              <w:t>NH</w:t>
            </w:r>
            <w:r>
              <w:rPr>
                <w:rFonts w:ascii="Times New Roman" w:hAnsi="Times New Roman"/>
                <w:szCs w:val="21"/>
                <w:vertAlign w:val="subscript"/>
              </w:rPr>
              <w:t>3</w:t>
            </w:r>
            <w:r>
              <w:rPr>
                <w:rFonts w:ascii="Times New Roman" w:hAnsi="Times New Roman"/>
                <w:szCs w:val="21"/>
              </w:rPr>
              <w:t>-N</w:t>
            </w:r>
            <w:r>
              <w:rPr>
                <w:rFonts w:ascii="Times New Roman" w:hAnsi="Times New Roman"/>
                <w:szCs w:val="21"/>
              </w:rPr>
              <w:t>、石油类、硫化物、挥发酚</w:t>
            </w:r>
          </w:p>
        </w:tc>
        <w:tc>
          <w:tcPr>
            <w:tcW w:w="1613"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超滤装置排放口</w:t>
            </w:r>
          </w:p>
        </w:tc>
        <w:tc>
          <w:tcPr>
            <w:tcW w:w="1349"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每半年</w:t>
            </w:r>
            <w:r>
              <w:rPr>
                <w:rFonts w:ascii="Times New Roman" w:hAnsi="Times New Roman"/>
                <w:szCs w:val="21"/>
              </w:rPr>
              <w:t>1</w:t>
            </w:r>
            <w:r>
              <w:rPr>
                <w:rFonts w:ascii="Times New Roman" w:hAnsi="Times New Roman"/>
                <w:szCs w:val="21"/>
              </w:rPr>
              <w:t>次</w:t>
            </w:r>
          </w:p>
        </w:tc>
        <w:tc>
          <w:tcPr>
            <w:tcW w:w="2039" w:type="dxa"/>
            <w:tcBorders>
              <w:tl2br w:val="nil"/>
              <w:tr2bl w:val="nil"/>
            </w:tcBorders>
            <w:vAlign w:val="center"/>
          </w:tcPr>
          <w:p w:rsidR="00525419" w:rsidRDefault="00EE1CF7">
            <w:pPr>
              <w:rPr>
                <w:rFonts w:ascii="Times New Roman" w:hAnsi="Times New Roman"/>
                <w:szCs w:val="21"/>
              </w:rPr>
            </w:pPr>
            <w:r>
              <w:rPr>
                <w:rFonts w:ascii="Times New Roman" w:hAnsi="Times New Roman"/>
                <w:szCs w:val="21"/>
              </w:rPr>
              <w:t>废水处理后回用，不外排</w:t>
            </w:r>
          </w:p>
        </w:tc>
      </w:tr>
    </w:tbl>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8.2.2</w:t>
      </w:r>
      <w:r>
        <w:rPr>
          <w:rFonts w:ascii="Times New Roman" w:eastAsia="华文楷体" w:hAnsi="Times New Roman"/>
        </w:rPr>
        <w:t>环境质量监测计划</w:t>
      </w:r>
    </w:p>
    <w:p w:rsidR="00525419" w:rsidRDefault="00EE1CF7">
      <w:pPr>
        <w:spacing w:line="360" w:lineRule="auto"/>
        <w:ind w:firstLineChars="200" w:firstLine="480"/>
        <w:rPr>
          <w:rFonts w:ascii="Times New Roman" w:hAnsi="Times New Roman"/>
        </w:rPr>
      </w:pPr>
      <w:r>
        <w:rPr>
          <w:rFonts w:ascii="Times New Roman" w:hAnsi="Times New Roman"/>
          <w:sz w:val="24"/>
          <w:szCs w:val="24"/>
        </w:rPr>
        <w:t>根据本项目周围的敏感区域分布及相关技术规范要求，本项目环境质量监测计划见表</w:t>
      </w:r>
      <w:r>
        <w:rPr>
          <w:rFonts w:ascii="Times New Roman" w:hAnsi="Times New Roman"/>
          <w:sz w:val="24"/>
          <w:szCs w:val="24"/>
        </w:rPr>
        <w:t>8.2-2</w:t>
      </w:r>
      <w:r>
        <w:rPr>
          <w:rFonts w:ascii="Times New Roman" w:hAnsi="Times New Roman"/>
          <w:sz w:val="24"/>
          <w:szCs w:val="24"/>
        </w:rPr>
        <w:t>。</w:t>
      </w:r>
    </w:p>
    <w:p w:rsidR="00525419" w:rsidRDefault="00EE1CF7">
      <w:pPr>
        <w:rPr>
          <w:rFonts w:ascii="Times New Roman" w:eastAsia="黑体" w:hAnsi="Times New Roman"/>
        </w:rPr>
      </w:pPr>
      <w:r>
        <w:rPr>
          <w:rFonts w:ascii="Times New Roman" w:eastAsia="黑体" w:hAnsi="Times New Roman"/>
        </w:rPr>
        <w:t xml:space="preserve">　　　　　</w:t>
      </w:r>
      <w:r>
        <w:rPr>
          <w:rFonts w:ascii="Times New Roman" w:eastAsia="黑体" w:hAnsi="Times New Roman"/>
        </w:rPr>
        <w:t xml:space="preserve">     </w:t>
      </w:r>
      <w:r>
        <w:rPr>
          <w:rFonts w:ascii="Times New Roman" w:eastAsia="黑体" w:hAnsi="Times New Roman"/>
        </w:rPr>
        <w:t>表</w:t>
      </w:r>
      <w:r>
        <w:rPr>
          <w:rFonts w:ascii="Times New Roman" w:eastAsia="黑体" w:hAnsi="Times New Roman"/>
        </w:rPr>
        <w:t>8.2-</w:t>
      </w:r>
      <w:r>
        <w:rPr>
          <w:rFonts w:ascii="Times New Roman" w:eastAsia="黑体" w:hAnsi="Times New Roman" w:hint="eastAsia"/>
        </w:rPr>
        <w:t>2</w:t>
      </w:r>
      <w:r>
        <w:rPr>
          <w:rFonts w:ascii="Times New Roman" w:eastAsia="黑体" w:hAnsi="Times New Roman"/>
        </w:rPr>
        <w:t xml:space="preserve">　</w:t>
      </w:r>
      <w:r>
        <w:rPr>
          <w:rFonts w:ascii="Times New Roman" w:eastAsia="黑体" w:hAnsi="Times New Roman"/>
        </w:rPr>
        <w:t xml:space="preserve">     </w:t>
      </w:r>
      <w:r>
        <w:rPr>
          <w:rFonts w:ascii="Times New Roman" w:eastAsia="黑体" w:hAnsi="Times New Roman"/>
        </w:rPr>
        <w:t>环境质量监测计划表</w:t>
      </w:r>
    </w:p>
    <w:tbl>
      <w:tblPr>
        <w:tblW w:w="85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85"/>
        <w:gridCol w:w="1459"/>
        <w:gridCol w:w="2100"/>
        <w:gridCol w:w="1347"/>
        <w:gridCol w:w="2522"/>
      </w:tblGrid>
      <w:tr w:rsidR="00525419">
        <w:trPr>
          <w:jc w:val="center"/>
        </w:trPr>
        <w:tc>
          <w:tcPr>
            <w:tcW w:w="1085"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类别</w:t>
            </w:r>
          </w:p>
        </w:tc>
        <w:tc>
          <w:tcPr>
            <w:tcW w:w="1459"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监测点位置</w:t>
            </w:r>
          </w:p>
        </w:tc>
        <w:tc>
          <w:tcPr>
            <w:tcW w:w="2100"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监测因子</w:t>
            </w:r>
          </w:p>
        </w:tc>
        <w:tc>
          <w:tcPr>
            <w:tcW w:w="1347"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监测频率</w:t>
            </w:r>
          </w:p>
        </w:tc>
        <w:tc>
          <w:tcPr>
            <w:tcW w:w="2522"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控制指标</w:t>
            </w:r>
          </w:p>
        </w:tc>
      </w:tr>
      <w:tr w:rsidR="00525419">
        <w:trPr>
          <w:trHeight w:val="499"/>
          <w:jc w:val="center"/>
        </w:trPr>
        <w:tc>
          <w:tcPr>
            <w:tcW w:w="1085" w:type="dxa"/>
            <w:vMerge w:val="restart"/>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环境空气</w:t>
            </w:r>
          </w:p>
        </w:tc>
        <w:tc>
          <w:tcPr>
            <w:tcW w:w="1459"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lang w:val="zh-CN"/>
              </w:rPr>
              <w:t>项目区</w:t>
            </w:r>
          </w:p>
        </w:tc>
        <w:tc>
          <w:tcPr>
            <w:tcW w:w="2100" w:type="dxa"/>
            <w:vMerge w:val="restart"/>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r>
              <w:rPr>
                <w:rFonts w:ascii="Times New Roman" w:hAnsi="Times New Roman"/>
                <w:szCs w:val="21"/>
              </w:rPr>
              <w:t>、</w:t>
            </w:r>
            <w:r>
              <w:rPr>
                <w:rFonts w:ascii="Times New Roman" w:hAnsi="Times New Roman"/>
                <w:szCs w:val="21"/>
              </w:rPr>
              <w:t>NO</w:t>
            </w:r>
            <w:r>
              <w:rPr>
                <w:rFonts w:ascii="Times New Roman" w:hAnsi="Times New Roman"/>
                <w:szCs w:val="21"/>
                <w:vertAlign w:val="subscript"/>
              </w:rPr>
              <w:t>2</w:t>
            </w:r>
            <w:r>
              <w:rPr>
                <w:rFonts w:ascii="Times New Roman" w:hAnsi="Times New Roman"/>
                <w:szCs w:val="21"/>
              </w:rPr>
              <w:t>、</w:t>
            </w:r>
            <w:r>
              <w:rPr>
                <w:rFonts w:ascii="Times New Roman" w:hAnsi="Times New Roman"/>
                <w:szCs w:val="21"/>
              </w:rPr>
              <w:t>PM</w:t>
            </w:r>
            <w:r>
              <w:rPr>
                <w:rFonts w:ascii="Times New Roman" w:hAnsi="Times New Roman"/>
                <w:szCs w:val="21"/>
                <w:vertAlign w:val="subscript"/>
              </w:rPr>
              <w:t>10</w:t>
            </w:r>
            <w:r>
              <w:rPr>
                <w:rFonts w:ascii="Times New Roman" w:hAnsi="Times New Roman"/>
                <w:szCs w:val="21"/>
              </w:rPr>
              <w:t>、硫化氢、氨和非甲烷总烃</w:t>
            </w:r>
          </w:p>
        </w:tc>
        <w:tc>
          <w:tcPr>
            <w:tcW w:w="1347" w:type="dxa"/>
            <w:vMerge w:val="restart"/>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每半年</w:t>
            </w:r>
            <w:r>
              <w:rPr>
                <w:rFonts w:ascii="Times New Roman" w:hAnsi="Times New Roman"/>
                <w:szCs w:val="21"/>
              </w:rPr>
              <w:t>1</w:t>
            </w:r>
            <w:r>
              <w:rPr>
                <w:rFonts w:ascii="Times New Roman" w:hAnsi="Times New Roman"/>
                <w:szCs w:val="21"/>
              </w:rPr>
              <w:t>次</w:t>
            </w:r>
          </w:p>
        </w:tc>
        <w:tc>
          <w:tcPr>
            <w:tcW w:w="2522" w:type="dxa"/>
            <w:vMerge w:val="restart"/>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《环境空气质量标准》（</w:t>
            </w:r>
            <w:r>
              <w:rPr>
                <w:rFonts w:ascii="Times New Roman" w:hAnsi="Times New Roman"/>
                <w:szCs w:val="21"/>
              </w:rPr>
              <w:t>GB3095-2012</w:t>
            </w:r>
            <w:r>
              <w:rPr>
                <w:rFonts w:ascii="Times New Roman" w:hAnsi="Times New Roman"/>
                <w:szCs w:val="21"/>
              </w:rPr>
              <w:t>）中二级标准和《大气污染物综合排放标准详解》</w:t>
            </w:r>
          </w:p>
        </w:tc>
      </w:tr>
      <w:tr w:rsidR="00525419">
        <w:trPr>
          <w:trHeight w:val="899"/>
          <w:jc w:val="center"/>
        </w:trPr>
        <w:tc>
          <w:tcPr>
            <w:tcW w:w="1085" w:type="dxa"/>
            <w:vMerge/>
            <w:tcBorders>
              <w:tl2br w:val="nil"/>
              <w:tr2bl w:val="nil"/>
            </w:tcBorders>
            <w:vAlign w:val="center"/>
          </w:tcPr>
          <w:p w:rsidR="00525419" w:rsidRDefault="00525419">
            <w:pPr>
              <w:jc w:val="center"/>
              <w:rPr>
                <w:rFonts w:ascii="Times New Roman" w:hAnsi="Times New Roman"/>
                <w:szCs w:val="21"/>
              </w:rPr>
            </w:pPr>
          </w:p>
        </w:tc>
        <w:tc>
          <w:tcPr>
            <w:tcW w:w="1459" w:type="dxa"/>
            <w:tcBorders>
              <w:tl2br w:val="nil"/>
              <w:tr2bl w:val="nil"/>
            </w:tcBorders>
            <w:vAlign w:val="center"/>
          </w:tcPr>
          <w:p w:rsidR="00525419" w:rsidRDefault="00EE1CF7">
            <w:pPr>
              <w:jc w:val="center"/>
              <w:rPr>
                <w:rFonts w:ascii="Times New Roman" w:hAnsi="Times New Roman"/>
                <w:szCs w:val="21"/>
                <w:lang w:val="zh-CN"/>
              </w:rPr>
            </w:pPr>
            <w:r>
              <w:rPr>
                <w:rFonts w:ascii="Times New Roman" w:hAnsi="Times New Roman"/>
                <w:szCs w:val="21"/>
                <w:lang w:val="zh-CN"/>
              </w:rPr>
              <w:t>下风向（西北侧）</w:t>
            </w:r>
            <w:r>
              <w:rPr>
                <w:rFonts w:ascii="Times New Roman" w:hAnsi="Times New Roman"/>
                <w:szCs w:val="21"/>
              </w:rPr>
              <w:t>500m</w:t>
            </w:r>
          </w:p>
        </w:tc>
        <w:tc>
          <w:tcPr>
            <w:tcW w:w="2100" w:type="dxa"/>
            <w:vMerge/>
            <w:tcBorders>
              <w:tl2br w:val="nil"/>
              <w:tr2bl w:val="nil"/>
            </w:tcBorders>
            <w:vAlign w:val="center"/>
          </w:tcPr>
          <w:p w:rsidR="00525419" w:rsidRDefault="00525419">
            <w:pPr>
              <w:jc w:val="center"/>
              <w:rPr>
                <w:rFonts w:ascii="Times New Roman" w:hAnsi="Times New Roman"/>
                <w:szCs w:val="21"/>
              </w:rPr>
            </w:pPr>
          </w:p>
        </w:tc>
        <w:tc>
          <w:tcPr>
            <w:tcW w:w="1347" w:type="dxa"/>
            <w:vMerge/>
            <w:tcBorders>
              <w:tl2br w:val="nil"/>
              <w:tr2bl w:val="nil"/>
            </w:tcBorders>
            <w:vAlign w:val="center"/>
          </w:tcPr>
          <w:p w:rsidR="00525419" w:rsidRDefault="00525419">
            <w:pPr>
              <w:jc w:val="center"/>
              <w:rPr>
                <w:rFonts w:ascii="Times New Roman" w:hAnsi="Times New Roman"/>
                <w:szCs w:val="21"/>
              </w:rPr>
            </w:pPr>
          </w:p>
        </w:tc>
        <w:tc>
          <w:tcPr>
            <w:tcW w:w="2522" w:type="dxa"/>
            <w:vMerge/>
            <w:tcBorders>
              <w:tl2br w:val="nil"/>
              <w:tr2bl w:val="nil"/>
            </w:tcBorders>
            <w:vAlign w:val="center"/>
          </w:tcPr>
          <w:p w:rsidR="00525419" w:rsidRDefault="00525419">
            <w:pPr>
              <w:jc w:val="center"/>
              <w:rPr>
                <w:rFonts w:ascii="Times New Roman" w:hAnsi="Times New Roman"/>
                <w:szCs w:val="21"/>
              </w:rPr>
            </w:pPr>
          </w:p>
        </w:tc>
      </w:tr>
      <w:tr w:rsidR="00525419">
        <w:trPr>
          <w:trHeight w:val="450"/>
          <w:jc w:val="center"/>
        </w:trPr>
        <w:tc>
          <w:tcPr>
            <w:tcW w:w="1085"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地下水</w:t>
            </w:r>
          </w:p>
          <w:p w:rsidR="00525419" w:rsidRDefault="00EE1CF7">
            <w:pPr>
              <w:jc w:val="center"/>
              <w:rPr>
                <w:rFonts w:ascii="Times New Roman" w:hAnsi="Times New Roman"/>
                <w:szCs w:val="21"/>
              </w:rPr>
            </w:pPr>
            <w:r>
              <w:rPr>
                <w:rFonts w:ascii="Times New Roman" w:hAnsi="Times New Roman"/>
                <w:szCs w:val="21"/>
              </w:rPr>
              <w:t>环境</w:t>
            </w:r>
          </w:p>
        </w:tc>
        <w:tc>
          <w:tcPr>
            <w:tcW w:w="1459"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3</w:t>
            </w:r>
            <w:r>
              <w:rPr>
                <w:rFonts w:ascii="Times New Roman" w:hAnsi="Times New Roman"/>
                <w:szCs w:val="21"/>
              </w:rPr>
              <w:t>口地下水</w:t>
            </w:r>
          </w:p>
          <w:p w:rsidR="00525419" w:rsidRDefault="00EE1CF7">
            <w:pPr>
              <w:jc w:val="center"/>
              <w:rPr>
                <w:rFonts w:ascii="Times New Roman" w:hAnsi="Times New Roman"/>
                <w:szCs w:val="21"/>
              </w:rPr>
            </w:pPr>
            <w:r>
              <w:rPr>
                <w:rFonts w:ascii="Times New Roman" w:hAnsi="Times New Roman"/>
                <w:szCs w:val="21"/>
              </w:rPr>
              <w:t>监控井</w:t>
            </w:r>
          </w:p>
        </w:tc>
        <w:tc>
          <w:tcPr>
            <w:tcW w:w="2100"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pH</w:t>
            </w:r>
            <w:r>
              <w:rPr>
                <w:rFonts w:ascii="Times New Roman" w:hAnsi="Times New Roman"/>
                <w:szCs w:val="21"/>
              </w:rPr>
              <w:t>、氨氮、硝酸盐、亚硝酸盐、挥发性酚类、氰化物、砷、汞、铬（六价）、总硬度、铅、氟、镉、铁、锰、溶解性总固体、高锰酸盐指数、硫酸盐、氯化物、总大肠菌群、石油类</w:t>
            </w:r>
          </w:p>
        </w:tc>
        <w:tc>
          <w:tcPr>
            <w:tcW w:w="1347"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对照井每年枯水期采样一次；</w:t>
            </w:r>
            <w:r>
              <w:rPr>
                <w:rFonts w:ascii="Times New Roman" w:hAnsi="Times New Roman"/>
                <w:kern w:val="0"/>
                <w:szCs w:val="21"/>
              </w:rPr>
              <w:t>污染监视监测井、污染扩散监测井</w:t>
            </w:r>
            <w:r>
              <w:rPr>
                <w:rFonts w:ascii="Times New Roman" w:hAnsi="Times New Roman"/>
                <w:szCs w:val="21"/>
              </w:rPr>
              <w:t>每两个月采样一次，每年</w:t>
            </w:r>
            <w:r>
              <w:rPr>
                <w:rFonts w:ascii="Times New Roman" w:hAnsi="Times New Roman"/>
                <w:szCs w:val="21"/>
              </w:rPr>
              <w:t>6</w:t>
            </w:r>
            <w:r>
              <w:rPr>
                <w:rFonts w:ascii="Times New Roman" w:hAnsi="Times New Roman"/>
                <w:szCs w:val="21"/>
              </w:rPr>
              <w:t>次</w:t>
            </w:r>
          </w:p>
        </w:tc>
        <w:tc>
          <w:tcPr>
            <w:tcW w:w="2522"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《地下水质量标准》（</w:t>
            </w:r>
            <w:r>
              <w:rPr>
                <w:rFonts w:ascii="Times New Roman" w:hAnsi="Times New Roman"/>
                <w:szCs w:val="21"/>
              </w:rPr>
              <w:t>GB/T14848-2017</w:t>
            </w:r>
            <w:r>
              <w:rPr>
                <w:rFonts w:ascii="Times New Roman" w:hAnsi="Times New Roman"/>
                <w:szCs w:val="21"/>
              </w:rPr>
              <w:t>）的</w:t>
            </w:r>
            <w:r>
              <w:rPr>
                <w:rFonts w:ascii="Times New Roman" w:hAnsi="Times New Roman"/>
                <w:szCs w:val="21"/>
              </w:rPr>
              <w:t>Ⅲ</w:t>
            </w:r>
            <w:r>
              <w:rPr>
                <w:rFonts w:ascii="Times New Roman" w:hAnsi="Times New Roman"/>
                <w:szCs w:val="21"/>
              </w:rPr>
              <w:t>类标准</w:t>
            </w:r>
          </w:p>
        </w:tc>
      </w:tr>
      <w:tr w:rsidR="00525419">
        <w:trPr>
          <w:trHeight w:val="1518"/>
          <w:jc w:val="center"/>
        </w:trPr>
        <w:tc>
          <w:tcPr>
            <w:tcW w:w="1085" w:type="dxa"/>
            <w:vMerge w:val="restart"/>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土壤环境</w:t>
            </w:r>
          </w:p>
        </w:tc>
        <w:tc>
          <w:tcPr>
            <w:tcW w:w="1459" w:type="dxa"/>
            <w:tcBorders>
              <w:tl2br w:val="nil"/>
              <w:tr2bl w:val="nil"/>
            </w:tcBorders>
            <w:vAlign w:val="center"/>
          </w:tcPr>
          <w:p w:rsidR="00525419" w:rsidRDefault="00EE1CF7">
            <w:pPr>
              <w:pStyle w:val="B2"/>
              <w:jc w:val="both"/>
              <w:rPr>
                <w:rFonts w:cs="Times New Roman"/>
              </w:rPr>
            </w:pPr>
            <w:r>
              <w:rPr>
                <w:rFonts w:cs="Times New Roman"/>
              </w:rPr>
              <w:t>采样点位及采样深度见</w:t>
            </w:r>
            <w:r>
              <w:rPr>
                <w:rFonts w:cs="Times New Roman"/>
              </w:rPr>
              <w:t>6.6.3</w:t>
            </w:r>
            <w:r>
              <w:rPr>
                <w:rFonts w:cs="Times New Roman"/>
              </w:rPr>
              <w:t>章节</w:t>
            </w:r>
          </w:p>
        </w:tc>
        <w:tc>
          <w:tcPr>
            <w:tcW w:w="2100"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rPr>
              <w:t>砷、镉、铬（六价）、铜、铅、汞、镍、石油烃（</w:t>
            </w:r>
            <w:r>
              <w:rPr>
                <w:rFonts w:ascii="Times New Roman" w:hAnsi="Times New Roman"/>
              </w:rPr>
              <w:t>C</w:t>
            </w:r>
            <w:r>
              <w:rPr>
                <w:rFonts w:ascii="Times New Roman" w:hAnsi="Times New Roman"/>
                <w:vertAlign w:val="subscript"/>
              </w:rPr>
              <w:t>10</w:t>
            </w:r>
            <w:r>
              <w:rPr>
                <w:rFonts w:ascii="Times New Roman" w:hAnsi="Times New Roman"/>
              </w:rPr>
              <w:t>-C</w:t>
            </w:r>
            <w:r>
              <w:rPr>
                <w:rFonts w:ascii="Times New Roman" w:hAnsi="Times New Roman"/>
                <w:vertAlign w:val="subscript"/>
              </w:rPr>
              <w:t>40</w:t>
            </w:r>
            <w:r>
              <w:rPr>
                <w:rFonts w:ascii="Times New Roman" w:hAnsi="Times New Roman"/>
              </w:rPr>
              <w:t>）、</w:t>
            </w:r>
            <w:r>
              <w:rPr>
                <w:rFonts w:ascii="Times New Roman" w:hAnsi="Times New Roman"/>
              </w:rPr>
              <w:t>pH</w:t>
            </w:r>
          </w:p>
        </w:tc>
        <w:tc>
          <w:tcPr>
            <w:tcW w:w="1347" w:type="dxa"/>
            <w:vMerge w:val="restart"/>
            <w:tcBorders>
              <w:tl2br w:val="nil"/>
              <w:tr2bl w:val="nil"/>
            </w:tcBorders>
            <w:vAlign w:val="center"/>
          </w:tcPr>
          <w:p w:rsidR="00525419" w:rsidRDefault="00EE1CF7">
            <w:pPr>
              <w:jc w:val="center"/>
              <w:rPr>
                <w:rFonts w:ascii="Times New Roman" w:hAnsi="Times New Roman"/>
                <w:szCs w:val="21"/>
              </w:rPr>
            </w:pPr>
            <w:r>
              <w:rPr>
                <w:rFonts w:ascii="Times New Roman" w:hAnsi="Times New Roman"/>
                <w:szCs w:val="21"/>
              </w:rPr>
              <w:t>每</w:t>
            </w:r>
            <w:r>
              <w:rPr>
                <w:rFonts w:ascii="Times New Roman" w:hAnsi="Times New Roman"/>
                <w:szCs w:val="21"/>
              </w:rPr>
              <w:t>5</w:t>
            </w:r>
            <w:r>
              <w:rPr>
                <w:rFonts w:ascii="Times New Roman" w:hAnsi="Times New Roman"/>
                <w:szCs w:val="21"/>
              </w:rPr>
              <w:t>年</w:t>
            </w:r>
            <w:r>
              <w:rPr>
                <w:rFonts w:ascii="Times New Roman" w:hAnsi="Times New Roman"/>
                <w:szCs w:val="21"/>
              </w:rPr>
              <w:t>1</w:t>
            </w:r>
            <w:r>
              <w:rPr>
                <w:rFonts w:ascii="Times New Roman" w:hAnsi="Times New Roman"/>
                <w:szCs w:val="21"/>
              </w:rPr>
              <w:t>次</w:t>
            </w:r>
          </w:p>
        </w:tc>
        <w:tc>
          <w:tcPr>
            <w:tcW w:w="2522" w:type="dxa"/>
            <w:vMerge w:val="restart"/>
            <w:tcBorders>
              <w:tl2br w:val="nil"/>
              <w:tr2bl w:val="nil"/>
            </w:tcBorders>
            <w:vAlign w:val="center"/>
          </w:tcPr>
          <w:p w:rsidR="00525419" w:rsidRDefault="00EE1CF7">
            <w:pPr>
              <w:jc w:val="center"/>
              <w:rPr>
                <w:rFonts w:ascii="Times New Roman" w:hAnsi="Times New Roman"/>
                <w:szCs w:val="21"/>
              </w:rPr>
            </w:pPr>
            <w:r>
              <w:rPr>
                <w:rFonts w:ascii="Times New Roman" w:hAnsi="Times New Roman"/>
              </w:rPr>
              <w:t>《土壤环境质量</w:t>
            </w:r>
            <w:r>
              <w:rPr>
                <w:rFonts w:ascii="Times New Roman" w:hAnsi="Times New Roman"/>
              </w:rPr>
              <w:t xml:space="preserve"> </w:t>
            </w:r>
            <w:r>
              <w:rPr>
                <w:rFonts w:ascii="Times New Roman" w:hAnsi="Times New Roman"/>
              </w:rPr>
              <w:t>建设用地土壤污染风险管控标准</w:t>
            </w:r>
            <w:r>
              <w:rPr>
                <w:rFonts w:ascii="Times New Roman" w:hAnsi="Times New Roman"/>
              </w:rPr>
              <w:t>(</w:t>
            </w:r>
            <w:r>
              <w:rPr>
                <w:rFonts w:ascii="Times New Roman" w:hAnsi="Times New Roman"/>
              </w:rPr>
              <w:t>试行</w:t>
            </w:r>
            <w:r>
              <w:rPr>
                <w:rFonts w:ascii="Times New Roman" w:hAnsi="Times New Roman"/>
              </w:rPr>
              <w:t>)</w:t>
            </w:r>
            <w:r>
              <w:rPr>
                <w:rFonts w:ascii="Times New Roman" w:hAnsi="Times New Roman"/>
              </w:rPr>
              <w:t>》</w:t>
            </w:r>
            <w:r>
              <w:rPr>
                <w:rFonts w:ascii="Times New Roman" w:hAnsi="Times New Roman"/>
              </w:rPr>
              <w:t>(GB36600-2018)</w:t>
            </w:r>
            <w:r>
              <w:rPr>
                <w:rFonts w:ascii="Times New Roman" w:hAnsi="Times New Roman"/>
              </w:rPr>
              <w:t>中的第二类用地筛选值</w:t>
            </w:r>
          </w:p>
        </w:tc>
      </w:tr>
      <w:tr w:rsidR="00525419">
        <w:trPr>
          <w:trHeight w:val="450"/>
          <w:jc w:val="center"/>
        </w:trPr>
        <w:tc>
          <w:tcPr>
            <w:tcW w:w="1085" w:type="dxa"/>
            <w:vMerge/>
            <w:tcBorders>
              <w:tl2br w:val="nil"/>
              <w:tr2bl w:val="nil"/>
            </w:tcBorders>
            <w:vAlign w:val="center"/>
          </w:tcPr>
          <w:p w:rsidR="00525419" w:rsidRDefault="00525419">
            <w:pPr>
              <w:jc w:val="center"/>
              <w:rPr>
                <w:rFonts w:ascii="Times New Roman" w:hAnsi="Times New Roman"/>
                <w:szCs w:val="21"/>
              </w:rPr>
            </w:pPr>
          </w:p>
        </w:tc>
        <w:tc>
          <w:tcPr>
            <w:tcW w:w="1459" w:type="dxa"/>
            <w:tcBorders>
              <w:tl2br w:val="nil"/>
              <w:tr2bl w:val="nil"/>
            </w:tcBorders>
            <w:vAlign w:val="center"/>
          </w:tcPr>
          <w:p w:rsidR="00525419" w:rsidRDefault="00EE1CF7">
            <w:pPr>
              <w:pStyle w:val="B2"/>
              <w:rPr>
                <w:rFonts w:cs="Times New Roman"/>
              </w:rPr>
            </w:pPr>
            <w:r>
              <w:rPr>
                <w:rFonts w:cs="Times New Roman"/>
              </w:rPr>
              <w:t xml:space="preserve"> </w:t>
            </w:r>
            <w:r>
              <w:rPr>
                <w:rFonts w:cs="Times New Roman"/>
                <w:lang w:val="zh-CN"/>
              </w:rPr>
              <w:t>项目区</w:t>
            </w:r>
          </w:p>
        </w:tc>
        <w:tc>
          <w:tcPr>
            <w:tcW w:w="2100" w:type="dxa"/>
            <w:tcBorders>
              <w:tl2br w:val="nil"/>
              <w:tr2bl w:val="nil"/>
            </w:tcBorders>
            <w:vAlign w:val="center"/>
          </w:tcPr>
          <w:p w:rsidR="00525419" w:rsidRDefault="00EE1CF7">
            <w:pPr>
              <w:jc w:val="center"/>
              <w:rPr>
                <w:rFonts w:ascii="Times New Roman" w:hAnsi="Times New Roman"/>
                <w:szCs w:val="21"/>
              </w:rPr>
            </w:pPr>
            <w:r>
              <w:rPr>
                <w:rFonts w:ascii="Times New Roman" w:hAnsi="Times New Roman"/>
              </w:rPr>
              <w:t>GB36600</w:t>
            </w:r>
            <w:r>
              <w:rPr>
                <w:rFonts w:ascii="Times New Roman" w:hAnsi="Times New Roman"/>
              </w:rPr>
              <w:t>基本项目</w:t>
            </w:r>
            <w:r>
              <w:rPr>
                <w:rFonts w:ascii="Times New Roman" w:hAnsi="Times New Roman"/>
              </w:rPr>
              <w:t>45</w:t>
            </w:r>
            <w:r>
              <w:rPr>
                <w:rFonts w:ascii="Times New Roman" w:hAnsi="Times New Roman"/>
              </w:rPr>
              <w:t>项</w:t>
            </w:r>
          </w:p>
        </w:tc>
        <w:tc>
          <w:tcPr>
            <w:tcW w:w="1347" w:type="dxa"/>
            <w:vMerge/>
            <w:tcBorders>
              <w:tl2br w:val="nil"/>
              <w:tr2bl w:val="nil"/>
            </w:tcBorders>
            <w:vAlign w:val="center"/>
          </w:tcPr>
          <w:p w:rsidR="00525419" w:rsidRDefault="00525419">
            <w:pPr>
              <w:jc w:val="center"/>
              <w:rPr>
                <w:rFonts w:ascii="Times New Roman" w:hAnsi="Times New Roman"/>
                <w:szCs w:val="21"/>
              </w:rPr>
            </w:pPr>
          </w:p>
        </w:tc>
        <w:tc>
          <w:tcPr>
            <w:tcW w:w="2522" w:type="dxa"/>
            <w:vMerge/>
            <w:tcBorders>
              <w:tl2br w:val="nil"/>
              <w:tr2bl w:val="nil"/>
            </w:tcBorders>
            <w:vAlign w:val="center"/>
          </w:tcPr>
          <w:p w:rsidR="00525419" w:rsidRDefault="00525419">
            <w:pPr>
              <w:jc w:val="center"/>
              <w:rPr>
                <w:rFonts w:ascii="Times New Roman" w:hAnsi="Times New Roman"/>
                <w:szCs w:val="21"/>
              </w:rPr>
            </w:pPr>
          </w:p>
        </w:tc>
      </w:tr>
    </w:tbl>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8.2.3</w:t>
      </w:r>
      <w:r>
        <w:rPr>
          <w:rFonts w:ascii="Times New Roman" w:eastAsia="华文楷体" w:hAnsi="Times New Roman"/>
        </w:rPr>
        <w:t>监测机构和设备</w:t>
      </w:r>
    </w:p>
    <w:p w:rsidR="00525419" w:rsidRDefault="00EE1CF7">
      <w:pPr>
        <w:widowControl/>
        <w:spacing w:line="360" w:lineRule="auto"/>
        <w:ind w:firstLineChars="200" w:firstLine="480"/>
        <w:jc w:val="left"/>
        <w:rPr>
          <w:rFonts w:ascii="Times New Roman" w:hAnsi="Times New Roman"/>
          <w:sz w:val="24"/>
          <w:szCs w:val="21"/>
        </w:rPr>
      </w:pPr>
      <w:r>
        <w:rPr>
          <w:rFonts w:ascii="Times New Roman" w:hAnsi="Times New Roman"/>
          <w:kern w:val="0"/>
          <w:sz w:val="24"/>
          <w:szCs w:val="24"/>
          <w:lang w:bidi="ar"/>
        </w:rPr>
        <w:t>项目不设立专门环境监测机构，污染源及环境质量监测项目可委托具有相关资质单位承担。</w:t>
      </w:r>
    </w:p>
    <w:p w:rsidR="00525419" w:rsidRDefault="00EE1CF7" w:rsidP="00EE1CF7">
      <w:pPr>
        <w:pStyle w:val="2a"/>
        <w:spacing w:beforeLines="50" w:before="166" w:after="166"/>
        <w:ind w:left="578" w:hanging="578"/>
        <w:rPr>
          <w:rFonts w:ascii="Times New Roman" w:eastAsia="楷体_GB2312" w:hAnsi="Times New Roman"/>
          <w:sz w:val="36"/>
        </w:rPr>
      </w:pPr>
      <w:bookmarkStart w:id="323" w:name="_Toc21473"/>
      <w:bookmarkStart w:id="324" w:name="_Toc7821"/>
      <w:r>
        <w:rPr>
          <w:rFonts w:ascii="Times New Roman" w:eastAsia="楷体_GB2312" w:hAnsi="Times New Roman"/>
          <w:sz w:val="36"/>
        </w:rPr>
        <w:t>8.3</w:t>
      </w:r>
      <w:r>
        <w:rPr>
          <w:rFonts w:ascii="Times New Roman" w:eastAsia="楷体_GB2312" w:hAnsi="Times New Roman"/>
          <w:sz w:val="36"/>
        </w:rPr>
        <w:t>排污口设置及规范化管理</w:t>
      </w:r>
      <w:bookmarkEnd w:id="323"/>
      <w:bookmarkEnd w:id="324"/>
    </w:p>
    <w:p w:rsidR="00525419" w:rsidRDefault="00EE1CF7">
      <w:pPr>
        <w:spacing w:line="360" w:lineRule="auto"/>
        <w:ind w:firstLineChars="200" w:firstLine="480"/>
        <w:jc w:val="left"/>
        <w:rPr>
          <w:rFonts w:ascii="Times New Roman" w:hAnsi="Times New Roman"/>
          <w:sz w:val="24"/>
          <w:szCs w:val="21"/>
        </w:rPr>
      </w:pPr>
      <w:r>
        <w:rPr>
          <w:rFonts w:ascii="Times New Roman" w:hAnsi="Times New Roman"/>
          <w:sz w:val="24"/>
          <w:szCs w:val="21"/>
        </w:rPr>
        <w:t>排污口是企业排放污染物进入环境的通道，强化排污口的管理是实施污染物总量控制的基础工作之一，也是区域环境管理逐步实现污染物排放科学化、定量化的重要手段。</w:t>
      </w:r>
    </w:p>
    <w:p w:rsidR="00525419" w:rsidRDefault="00EE1CF7" w:rsidP="00EE1CF7">
      <w:pPr>
        <w:pStyle w:val="3a"/>
        <w:spacing w:beforeLines="50" w:before="166" w:after="156" w:line="360" w:lineRule="auto"/>
        <w:jc w:val="left"/>
        <w:rPr>
          <w:rFonts w:ascii="Times New Roman" w:eastAsia="华文楷体" w:hAnsi="Times New Roman"/>
        </w:rPr>
      </w:pPr>
      <w:bookmarkStart w:id="325" w:name="_Toc31830"/>
      <w:bookmarkStart w:id="326" w:name="_Toc10852"/>
      <w:r>
        <w:rPr>
          <w:rFonts w:ascii="Times New Roman" w:eastAsia="华文楷体" w:hAnsi="Times New Roman"/>
        </w:rPr>
        <w:t>8.3.1</w:t>
      </w:r>
      <w:r>
        <w:rPr>
          <w:rFonts w:ascii="Times New Roman" w:eastAsia="华文楷体" w:hAnsi="Times New Roman"/>
        </w:rPr>
        <w:t>排污口规范化管理的基本原则</w:t>
      </w:r>
      <w:bookmarkEnd w:id="325"/>
      <w:bookmarkEnd w:id="326"/>
    </w:p>
    <w:p w:rsidR="00525419" w:rsidRDefault="00EE1CF7">
      <w:pPr>
        <w:spacing w:line="360" w:lineRule="auto"/>
        <w:ind w:firstLineChars="200" w:firstLine="480"/>
        <w:jc w:val="left"/>
        <w:rPr>
          <w:rFonts w:ascii="Times New Roman" w:hAnsi="Times New Roman"/>
          <w:sz w:val="24"/>
          <w:szCs w:val="21"/>
        </w:rPr>
      </w:pPr>
      <w:r>
        <w:rPr>
          <w:rFonts w:ascii="Times New Roman" w:hAnsi="Times New Roman"/>
          <w:sz w:val="24"/>
          <w:szCs w:val="21"/>
        </w:rPr>
        <w:t>（</w:t>
      </w:r>
      <w:r>
        <w:rPr>
          <w:rFonts w:ascii="Times New Roman" w:hAnsi="Times New Roman"/>
          <w:sz w:val="24"/>
          <w:szCs w:val="21"/>
        </w:rPr>
        <w:t>1</w:t>
      </w:r>
      <w:r>
        <w:rPr>
          <w:rFonts w:ascii="Times New Roman" w:hAnsi="Times New Roman"/>
          <w:sz w:val="24"/>
          <w:szCs w:val="21"/>
        </w:rPr>
        <w:t>）凡向环境排放污染物的一切排污口必须进行规范化管理；</w:t>
      </w:r>
    </w:p>
    <w:p w:rsidR="00525419" w:rsidRDefault="00EE1CF7">
      <w:pPr>
        <w:spacing w:line="360" w:lineRule="auto"/>
        <w:ind w:firstLineChars="200" w:firstLine="480"/>
        <w:jc w:val="left"/>
        <w:rPr>
          <w:rFonts w:ascii="Times New Roman" w:hAnsi="Times New Roman"/>
          <w:sz w:val="24"/>
          <w:szCs w:val="21"/>
        </w:rPr>
      </w:pPr>
      <w:r>
        <w:rPr>
          <w:rFonts w:ascii="Times New Roman" w:hAnsi="Times New Roman"/>
          <w:sz w:val="24"/>
          <w:szCs w:val="21"/>
        </w:rPr>
        <w:t>（</w:t>
      </w:r>
      <w:r>
        <w:rPr>
          <w:rFonts w:ascii="Times New Roman" w:hAnsi="Times New Roman"/>
          <w:sz w:val="24"/>
          <w:szCs w:val="21"/>
        </w:rPr>
        <w:t>2</w:t>
      </w:r>
      <w:r>
        <w:rPr>
          <w:rFonts w:ascii="Times New Roman" w:hAnsi="Times New Roman"/>
          <w:sz w:val="24"/>
          <w:szCs w:val="21"/>
        </w:rPr>
        <w:t>）将总量控制的污染物排污口及行业特征污染物排放口列为管理的重点；</w:t>
      </w:r>
    </w:p>
    <w:p w:rsidR="00525419" w:rsidRDefault="00EE1CF7">
      <w:pPr>
        <w:spacing w:line="360" w:lineRule="auto"/>
        <w:ind w:firstLineChars="200" w:firstLine="480"/>
        <w:jc w:val="left"/>
        <w:rPr>
          <w:rFonts w:ascii="Times New Roman" w:hAnsi="Times New Roman"/>
          <w:sz w:val="24"/>
          <w:szCs w:val="21"/>
        </w:rPr>
      </w:pPr>
      <w:r>
        <w:rPr>
          <w:rFonts w:ascii="Times New Roman" w:hAnsi="Times New Roman"/>
          <w:sz w:val="24"/>
          <w:szCs w:val="21"/>
        </w:rPr>
        <w:t>（</w:t>
      </w:r>
      <w:r>
        <w:rPr>
          <w:rFonts w:ascii="Times New Roman" w:hAnsi="Times New Roman"/>
          <w:sz w:val="24"/>
          <w:szCs w:val="21"/>
        </w:rPr>
        <w:t>3</w:t>
      </w:r>
      <w:r>
        <w:rPr>
          <w:rFonts w:ascii="Times New Roman" w:hAnsi="Times New Roman"/>
          <w:sz w:val="24"/>
          <w:szCs w:val="21"/>
        </w:rPr>
        <w:t>）排污口设置应便于采样和计量监测，便于日常现场监督和检查；</w:t>
      </w:r>
    </w:p>
    <w:p w:rsidR="00525419" w:rsidRDefault="00EE1CF7">
      <w:pPr>
        <w:spacing w:line="360" w:lineRule="auto"/>
        <w:ind w:firstLineChars="200" w:firstLine="480"/>
        <w:jc w:val="left"/>
        <w:rPr>
          <w:rFonts w:ascii="Times New Roman" w:hAnsi="Times New Roman"/>
          <w:sz w:val="24"/>
          <w:szCs w:val="21"/>
        </w:rPr>
      </w:pPr>
      <w:r>
        <w:rPr>
          <w:rFonts w:ascii="Times New Roman" w:hAnsi="Times New Roman"/>
          <w:sz w:val="24"/>
          <w:szCs w:val="21"/>
        </w:rPr>
        <w:t>（</w:t>
      </w:r>
      <w:r>
        <w:rPr>
          <w:rFonts w:ascii="Times New Roman" w:hAnsi="Times New Roman"/>
          <w:sz w:val="24"/>
          <w:szCs w:val="21"/>
        </w:rPr>
        <w:t>4</w:t>
      </w:r>
      <w:r>
        <w:rPr>
          <w:rFonts w:ascii="Times New Roman" w:hAnsi="Times New Roman"/>
          <w:sz w:val="24"/>
          <w:szCs w:val="21"/>
        </w:rPr>
        <w:t>）如实向生态环境主管部门申报排污口位置，排污种类、数量、浓度与排放去向等。</w:t>
      </w:r>
    </w:p>
    <w:p w:rsidR="00525419" w:rsidRDefault="00EE1CF7" w:rsidP="00EE1CF7">
      <w:pPr>
        <w:pStyle w:val="3a"/>
        <w:spacing w:beforeLines="50" w:before="166" w:after="156" w:line="360" w:lineRule="auto"/>
        <w:jc w:val="left"/>
        <w:rPr>
          <w:rFonts w:ascii="Times New Roman" w:eastAsia="华文楷体" w:hAnsi="Times New Roman"/>
        </w:rPr>
      </w:pPr>
      <w:bookmarkStart w:id="327" w:name="_Toc32176"/>
      <w:r>
        <w:rPr>
          <w:rFonts w:ascii="Times New Roman" w:eastAsia="华文楷体" w:hAnsi="Times New Roman"/>
        </w:rPr>
        <w:t>8.3.2</w:t>
      </w:r>
      <w:r>
        <w:rPr>
          <w:rFonts w:ascii="Times New Roman" w:eastAsia="华文楷体" w:hAnsi="Times New Roman"/>
        </w:rPr>
        <w:t>排污口的技术要求</w:t>
      </w:r>
      <w:bookmarkEnd w:id="327"/>
    </w:p>
    <w:p w:rsidR="00525419" w:rsidRDefault="00EE1CF7">
      <w:pPr>
        <w:spacing w:line="360" w:lineRule="auto"/>
        <w:ind w:firstLineChars="200" w:firstLine="480"/>
        <w:jc w:val="left"/>
        <w:rPr>
          <w:rFonts w:ascii="Times New Roman" w:hAnsi="Times New Roman"/>
          <w:sz w:val="24"/>
          <w:szCs w:val="21"/>
        </w:rPr>
      </w:pPr>
      <w:r>
        <w:rPr>
          <w:rFonts w:ascii="Times New Roman" w:hAnsi="Times New Roman"/>
          <w:sz w:val="24"/>
          <w:szCs w:val="21"/>
        </w:rPr>
        <w:t>（</w:t>
      </w:r>
      <w:r>
        <w:rPr>
          <w:rFonts w:ascii="Times New Roman" w:hAnsi="Times New Roman"/>
          <w:sz w:val="24"/>
          <w:szCs w:val="21"/>
        </w:rPr>
        <w:t>1</w:t>
      </w:r>
      <w:r>
        <w:rPr>
          <w:rFonts w:ascii="Times New Roman" w:hAnsi="Times New Roman"/>
          <w:sz w:val="24"/>
          <w:szCs w:val="21"/>
        </w:rPr>
        <w:t>）排污口的位置必须合理确定，按规定要求进行规范化管理。</w:t>
      </w:r>
    </w:p>
    <w:p w:rsidR="00525419" w:rsidRDefault="00EE1CF7">
      <w:pPr>
        <w:spacing w:line="360" w:lineRule="auto"/>
        <w:ind w:firstLineChars="200" w:firstLine="480"/>
        <w:jc w:val="left"/>
        <w:rPr>
          <w:rFonts w:ascii="Times New Roman" w:hAnsi="Times New Roman"/>
          <w:sz w:val="24"/>
          <w:szCs w:val="21"/>
        </w:rPr>
      </w:pPr>
      <w:r>
        <w:rPr>
          <w:rFonts w:ascii="Times New Roman" w:hAnsi="Times New Roman"/>
          <w:sz w:val="24"/>
          <w:szCs w:val="21"/>
        </w:rPr>
        <w:t>（</w:t>
      </w:r>
      <w:r>
        <w:rPr>
          <w:rFonts w:ascii="Times New Roman" w:hAnsi="Times New Roman"/>
          <w:sz w:val="24"/>
          <w:szCs w:val="21"/>
        </w:rPr>
        <w:t>2</w:t>
      </w:r>
      <w:r>
        <w:rPr>
          <w:rFonts w:ascii="Times New Roman" w:hAnsi="Times New Roman"/>
          <w:sz w:val="24"/>
          <w:szCs w:val="21"/>
        </w:rPr>
        <w:t>）具体位置应符合《污染源监测技术规范》的规定与要求。</w:t>
      </w:r>
    </w:p>
    <w:p w:rsidR="00525419" w:rsidRDefault="00EE1CF7" w:rsidP="00EE1CF7">
      <w:pPr>
        <w:pStyle w:val="3a"/>
        <w:spacing w:beforeLines="50" w:before="166" w:after="156" w:line="360" w:lineRule="auto"/>
        <w:jc w:val="left"/>
        <w:rPr>
          <w:rFonts w:ascii="Times New Roman" w:eastAsia="华文楷体" w:hAnsi="Times New Roman"/>
        </w:rPr>
      </w:pPr>
      <w:bookmarkStart w:id="328" w:name="_Toc19875"/>
      <w:bookmarkStart w:id="329" w:name="_Toc20908"/>
      <w:r>
        <w:rPr>
          <w:rFonts w:ascii="Times New Roman" w:eastAsia="华文楷体" w:hAnsi="Times New Roman"/>
        </w:rPr>
        <w:t>8.3.3</w:t>
      </w:r>
      <w:r>
        <w:rPr>
          <w:rFonts w:ascii="Times New Roman" w:eastAsia="华文楷体" w:hAnsi="Times New Roman"/>
        </w:rPr>
        <w:t>排污口立标管理</w:t>
      </w:r>
      <w:bookmarkEnd w:id="328"/>
      <w:bookmarkEnd w:id="329"/>
    </w:p>
    <w:p w:rsidR="00525419" w:rsidRDefault="00EE1CF7">
      <w:pPr>
        <w:spacing w:line="360" w:lineRule="auto"/>
        <w:ind w:firstLineChars="200" w:firstLine="480"/>
        <w:rPr>
          <w:rFonts w:ascii="Times New Roman" w:hAnsi="Times New Roman"/>
          <w:sz w:val="24"/>
          <w:szCs w:val="21"/>
        </w:rPr>
      </w:pPr>
      <w:r>
        <w:rPr>
          <w:rFonts w:ascii="Times New Roman" w:hAnsi="Times New Roman"/>
          <w:sz w:val="24"/>
          <w:szCs w:val="21"/>
        </w:rPr>
        <w:t>（</w:t>
      </w:r>
      <w:r>
        <w:rPr>
          <w:rFonts w:ascii="Times New Roman" w:hAnsi="Times New Roman"/>
          <w:sz w:val="24"/>
          <w:szCs w:val="21"/>
        </w:rPr>
        <w:t>1</w:t>
      </w:r>
      <w:r>
        <w:rPr>
          <w:rFonts w:ascii="Times New Roman" w:hAnsi="Times New Roman"/>
          <w:sz w:val="24"/>
          <w:szCs w:val="21"/>
        </w:rPr>
        <w:t>）企业污染物排放口的标志，应按国家《环境保护图形标志排放口</w:t>
      </w:r>
      <w:r>
        <w:rPr>
          <w:rFonts w:ascii="Times New Roman" w:hAnsi="Times New Roman"/>
          <w:sz w:val="24"/>
          <w:szCs w:val="21"/>
        </w:rPr>
        <w:t>(</w:t>
      </w:r>
      <w:r>
        <w:rPr>
          <w:rFonts w:ascii="Times New Roman" w:hAnsi="Times New Roman"/>
          <w:sz w:val="24"/>
          <w:szCs w:val="21"/>
        </w:rPr>
        <w:t>源</w:t>
      </w:r>
      <w:r>
        <w:rPr>
          <w:rFonts w:ascii="Times New Roman" w:hAnsi="Times New Roman"/>
          <w:sz w:val="24"/>
          <w:szCs w:val="21"/>
        </w:rPr>
        <w:t>)</w:t>
      </w:r>
      <w:r>
        <w:rPr>
          <w:rFonts w:ascii="Times New Roman" w:hAnsi="Times New Roman"/>
          <w:sz w:val="24"/>
          <w:szCs w:val="21"/>
        </w:rPr>
        <w:t>》</w:t>
      </w:r>
      <w:r>
        <w:rPr>
          <w:rFonts w:ascii="Times New Roman" w:hAnsi="Times New Roman"/>
          <w:sz w:val="24"/>
          <w:szCs w:val="21"/>
        </w:rPr>
        <w:t>(15562.1-1995)</w:t>
      </w:r>
      <w:r>
        <w:rPr>
          <w:rFonts w:ascii="Times New Roman" w:hAnsi="Times New Roman"/>
          <w:sz w:val="24"/>
          <w:szCs w:val="21"/>
        </w:rPr>
        <w:t>及《环境保护图形标志固体废物贮存</w:t>
      </w:r>
      <w:r>
        <w:rPr>
          <w:rFonts w:ascii="Times New Roman" w:hAnsi="Times New Roman"/>
          <w:sz w:val="24"/>
          <w:szCs w:val="21"/>
        </w:rPr>
        <w:t>(</w:t>
      </w:r>
      <w:r>
        <w:rPr>
          <w:rFonts w:ascii="Times New Roman" w:hAnsi="Times New Roman"/>
          <w:sz w:val="24"/>
          <w:szCs w:val="21"/>
        </w:rPr>
        <w:t>处置</w:t>
      </w:r>
      <w:r>
        <w:rPr>
          <w:rFonts w:ascii="Times New Roman" w:hAnsi="Times New Roman"/>
          <w:sz w:val="24"/>
          <w:szCs w:val="21"/>
        </w:rPr>
        <w:t>)</w:t>
      </w:r>
      <w:r>
        <w:rPr>
          <w:rFonts w:ascii="Times New Roman" w:hAnsi="Times New Roman"/>
          <w:sz w:val="24"/>
          <w:szCs w:val="21"/>
        </w:rPr>
        <w:t>场》</w:t>
      </w:r>
      <w:r>
        <w:rPr>
          <w:rFonts w:ascii="Times New Roman" w:hAnsi="Times New Roman"/>
          <w:sz w:val="24"/>
          <w:szCs w:val="21"/>
        </w:rPr>
        <w:t>(15562.2-1995)</w:t>
      </w:r>
      <w:r>
        <w:rPr>
          <w:rFonts w:ascii="Times New Roman" w:hAnsi="Times New Roman"/>
          <w:sz w:val="24"/>
          <w:szCs w:val="21"/>
        </w:rPr>
        <w:t>的规定，设置国家环保总局统一制作的环境保护图形标志牌。示例见表</w:t>
      </w:r>
      <w:r>
        <w:rPr>
          <w:rFonts w:ascii="Times New Roman" w:hAnsi="Times New Roman"/>
          <w:sz w:val="24"/>
          <w:szCs w:val="21"/>
        </w:rPr>
        <w:t>8.3-1</w:t>
      </w:r>
      <w:r>
        <w:rPr>
          <w:rFonts w:ascii="Times New Roman" w:hAnsi="Times New Roman"/>
          <w:sz w:val="24"/>
          <w:szCs w:val="21"/>
        </w:rPr>
        <w:t>。</w:t>
      </w:r>
    </w:p>
    <w:p w:rsidR="00525419" w:rsidRDefault="00EE1CF7">
      <w:pPr>
        <w:jc w:val="center"/>
        <w:rPr>
          <w:rFonts w:ascii="Times New Roman" w:eastAsia="黑体" w:hAnsi="Times New Roman"/>
        </w:rPr>
      </w:pPr>
      <w:r>
        <w:rPr>
          <w:rFonts w:ascii="Times New Roman" w:eastAsia="黑体" w:hAnsi="Times New Roman"/>
        </w:rPr>
        <w:t>表</w:t>
      </w:r>
      <w:r>
        <w:rPr>
          <w:rFonts w:ascii="Times New Roman" w:eastAsia="黑体" w:hAnsi="Times New Roman"/>
        </w:rPr>
        <w:t xml:space="preserve">8.3-1      </w:t>
      </w:r>
      <w:r>
        <w:rPr>
          <w:rFonts w:ascii="Times New Roman" w:eastAsia="黑体" w:hAnsi="Times New Roman"/>
        </w:rPr>
        <w:t>排污口图形标志示例</w:t>
      </w:r>
    </w:p>
    <w:tbl>
      <w:tblPr>
        <w:tblW w:w="89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32"/>
        <w:gridCol w:w="1854"/>
        <w:gridCol w:w="1854"/>
        <w:gridCol w:w="1858"/>
        <w:gridCol w:w="1800"/>
      </w:tblGrid>
      <w:tr w:rsidR="00525419">
        <w:trPr>
          <w:trHeight w:val="275"/>
        </w:trPr>
        <w:tc>
          <w:tcPr>
            <w:tcW w:w="1632" w:type="dxa"/>
            <w:vAlign w:val="center"/>
          </w:tcPr>
          <w:p w:rsidR="00525419" w:rsidRDefault="00EE1CF7">
            <w:pPr>
              <w:jc w:val="center"/>
              <w:rPr>
                <w:rFonts w:ascii="Times New Roman" w:hAnsi="Times New Roman"/>
                <w:snapToGrid w:val="0"/>
                <w:szCs w:val="24"/>
              </w:rPr>
            </w:pPr>
            <w:r>
              <w:rPr>
                <w:rFonts w:ascii="Times New Roman" w:hAnsi="Times New Roman"/>
                <w:snapToGrid w:val="0"/>
                <w:szCs w:val="24"/>
              </w:rPr>
              <w:t>排放口</w:t>
            </w:r>
          </w:p>
        </w:tc>
        <w:tc>
          <w:tcPr>
            <w:tcW w:w="1854" w:type="dxa"/>
            <w:vAlign w:val="center"/>
          </w:tcPr>
          <w:p w:rsidR="00525419" w:rsidRDefault="00EE1CF7">
            <w:pPr>
              <w:jc w:val="center"/>
              <w:rPr>
                <w:rFonts w:ascii="Times New Roman" w:hAnsi="Times New Roman"/>
                <w:snapToGrid w:val="0"/>
                <w:szCs w:val="24"/>
              </w:rPr>
            </w:pPr>
            <w:r>
              <w:rPr>
                <w:rFonts w:ascii="Times New Roman" w:hAnsi="Times New Roman"/>
                <w:snapToGrid w:val="0"/>
                <w:szCs w:val="24"/>
              </w:rPr>
              <w:t>废水排口</w:t>
            </w:r>
          </w:p>
        </w:tc>
        <w:tc>
          <w:tcPr>
            <w:tcW w:w="1854" w:type="dxa"/>
            <w:vAlign w:val="center"/>
          </w:tcPr>
          <w:p w:rsidR="00525419" w:rsidRDefault="00EE1CF7">
            <w:pPr>
              <w:jc w:val="center"/>
              <w:rPr>
                <w:rFonts w:ascii="Times New Roman" w:hAnsi="Times New Roman"/>
                <w:snapToGrid w:val="0"/>
                <w:szCs w:val="24"/>
              </w:rPr>
            </w:pPr>
            <w:r>
              <w:rPr>
                <w:rFonts w:ascii="Times New Roman" w:hAnsi="Times New Roman"/>
                <w:snapToGrid w:val="0"/>
                <w:szCs w:val="24"/>
              </w:rPr>
              <w:t>废气排口</w:t>
            </w:r>
          </w:p>
        </w:tc>
        <w:tc>
          <w:tcPr>
            <w:tcW w:w="1858" w:type="dxa"/>
            <w:vAlign w:val="center"/>
          </w:tcPr>
          <w:p w:rsidR="00525419" w:rsidRDefault="00EE1CF7">
            <w:pPr>
              <w:jc w:val="center"/>
              <w:rPr>
                <w:rFonts w:ascii="Times New Roman" w:hAnsi="Times New Roman"/>
                <w:snapToGrid w:val="0"/>
                <w:szCs w:val="24"/>
              </w:rPr>
            </w:pPr>
            <w:r>
              <w:rPr>
                <w:rFonts w:ascii="Times New Roman" w:hAnsi="Times New Roman"/>
                <w:snapToGrid w:val="0"/>
                <w:szCs w:val="24"/>
              </w:rPr>
              <w:t>噪声源</w:t>
            </w:r>
          </w:p>
        </w:tc>
        <w:tc>
          <w:tcPr>
            <w:tcW w:w="1800" w:type="dxa"/>
            <w:vAlign w:val="center"/>
          </w:tcPr>
          <w:p w:rsidR="00525419" w:rsidRDefault="00EE1CF7">
            <w:pPr>
              <w:jc w:val="center"/>
              <w:rPr>
                <w:rFonts w:ascii="Times New Roman" w:hAnsi="Times New Roman"/>
                <w:snapToGrid w:val="0"/>
                <w:szCs w:val="24"/>
              </w:rPr>
            </w:pPr>
            <w:r>
              <w:rPr>
                <w:rFonts w:ascii="Times New Roman" w:hAnsi="Times New Roman"/>
                <w:snapToGrid w:val="0"/>
                <w:szCs w:val="24"/>
              </w:rPr>
              <w:t>固废堆场</w:t>
            </w:r>
          </w:p>
        </w:tc>
      </w:tr>
      <w:tr w:rsidR="00525419">
        <w:trPr>
          <w:trHeight w:val="1525"/>
        </w:trPr>
        <w:tc>
          <w:tcPr>
            <w:tcW w:w="1632" w:type="dxa"/>
            <w:vAlign w:val="center"/>
          </w:tcPr>
          <w:p w:rsidR="00525419" w:rsidRDefault="00EE1CF7">
            <w:pPr>
              <w:jc w:val="center"/>
              <w:rPr>
                <w:rFonts w:ascii="Times New Roman" w:hAnsi="Times New Roman"/>
                <w:snapToGrid w:val="0"/>
                <w:szCs w:val="24"/>
              </w:rPr>
            </w:pPr>
            <w:r>
              <w:rPr>
                <w:rFonts w:ascii="Times New Roman" w:hAnsi="Times New Roman"/>
                <w:snapToGrid w:val="0"/>
                <w:szCs w:val="24"/>
              </w:rPr>
              <w:t>图形符号</w:t>
            </w:r>
          </w:p>
        </w:tc>
        <w:tc>
          <w:tcPr>
            <w:tcW w:w="1854" w:type="dxa"/>
            <w:vAlign w:val="center"/>
          </w:tcPr>
          <w:p w:rsidR="00525419" w:rsidRDefault="00EE1CF7">
            <w:pPr>
              <w:jc w:val="center"/>
              <w:rPr>
                <w:rFonts w:ascii="Times New Roman" w:hAnsi="Times New Roman"/>
                <w:snapToGrid w:val="0"/>
                <w:szCs w:val="24"/>
              </w:rPr>
            </w:pPr>
            <w:r>
              <w:rPr>
                <w:rFonts w:ascii="Times New Roman" w:hAnsi="Times New Roman"/>
                <w:noProof/>
                <w:sz w:val="28"/>
                <w:szCs w:val="20"/>
              </w:rPr>
              <w:drawing>
                <wp:anchor distT="0" distB="0" distL="114300" distR="114300" simplePos="0" relativeHeight="251620864" behindDoc="0" locked="0" layoutInCell="1" allowOverlap="1">
                  <wp:simplePos x="0" y="0"/>
                  <wp:positionH relativeFrom="column">
                    <wp:posOffset>2540</wp:posOffset>
                  </wp:positionH>
                  <wp:positionV relativeFrom="paragraph">
                    <wp:posOffset>12700</wp:posOffset>
                  </wp:positionV>
                  <wp:extent cx="948055" cy="948055"/>
                  <wp:effectExtent l="0" t="0" r="4445" b="4445"/>
                  <wp:wrapNone/>
                  <wp:docPr id="18" name="Picture 166" descr="说明: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6" descr="说明: 001"/>
                          <pic:cNvPicPr>
                            <a:picLocks noChangeAspect="1"/>
                          </pic:cNvPicPr>
                        </pic:nvPicPr>
                        <pic:blipFill>
                          <a:blip r:embed="rId48">
                            <a:lum contrast="11999"/>
                          </a:blip>
                          <a:stretch>
                            <a:fillRect/>
                          </a:stretch>
                        </pic:blipFill>
                        <pic:spPr>
                          <a:xfrm>
                            <a:off x="0" y="0"/>
                            <a:ext cx="948055" cy="948055"/>
                          </a:xfrm>
                          <a:prstGeom prst="rect">
                            <a:avLst/>
                          </a:prstGeom>
                          <a:noFill/>
                          <a:ln>
                            <a:noFill/>
                          </a:ln>
                        </pic:spPr>
                      </pic:pic>
                    </a:graphicData>
                  </a:graphic>
                </wp:anchor>
              </w:drawing>
            </w:r>
          </w:p>
        </w:tc>
        <w:tc>
          <w:tcPr>
            <w:tcW w:w="1854" w:type="dxa"/>
            <w:vAlign w:val="center"/>
          </w:tcPr>
          <w:p w:rsidR="00525419" w:rsidRDefault="00EE1CF7">
            <w:pPr>
              <w:jc w:val="center"/>
              <w:rPr>
                <w:rFonts w:ascii="Times New Roman" w:hAnsi="Times New Roman"/>
                <w:snapToGrid w:val="0"/>
                <w:szCs w:val="24"/>
              </w:rPr>
            </w:pPr>
            <w:r>
              <w:rPr>
                <w:rFonts w:ascii="Times New Roman" w:hAnsi="Times New Roman"/>
                <w:noProof/>
                <w:sz w:val="28"/>
                <w:szCs w:val="20"/>
              </w:rPr>
              <w:drawing>
                <wp:anchor distT="0" distB="0" distL="114300" distR="114300" simplePos="0" relativeHeight="251621888" behindDoc="0" locked="0" layoutInCell="1" allowOverlap="1">
                  <wp:simplePos x="0" y="0"/>
                  <wp:positionH relativeFrom="column">
                    <wp:posOffset>-3810</wp:posOffset>
                  </wp:positionH>
                  <wp:positionV relativeFrom="paragraph">
                    <wp:posOffset>13970</wp:posOffset>
                  </wp:positionV>
                  <wp:extent cx="952500" cy="944880"/>
                  <wp:effectExtent l="0" t="0" r="0" b="7620"/>
                  <wp:wrapNone/>
                  <wp:docPr id="20" name="Picture 167" descr="说明: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67" descr="说明: 002"/>
                          <pic:cNvPicPr>
                            <a:picLocks noChangeAspect="1"/>
                          </pic:cNvPicPr>
                        </pic:nvPicPr>
                        <pic:blipFill>
                          <a:blip r:embed="rId49"/>
                          <a:stretch>
                            <a:fillRect/>
                          </a:stretch>
                        </pic:blipFill>
                        <pic:spPr>
                          <a:xfrm>
                            <a:off x="0" y="0"/>
                            <a:ext cx="952500" cy="944880"/>
                          </a:xfrm>
                          <a:prstGeom prst="rect">
                            <a:avLst/>
                          </a:prstGeom>
                          <a:noFill/>
                          <a:ln>
                            <a:noFill/>
                          </a:ln>
                        </pic:spPr>
                      </pic:pic>
                    </a:graphicData>
                  </a:graphic>
                </wp:anchor>
              </w:drawing>
            </w:r>
          </w:p>
        </w:tc>
        <w:tc>
          <w:tcPr>
            <w:tcW w:w="1858" w:type="dxa"/>
            <w:vAlign w:val="center"/>
          </w:tcPr>
          <w:p w:rsidR="00525419" w:rsidRDefault="00EE1CF7">
            <w:pPr>
              <w:jc w:val="center"/>
              <w:rPr>
                <w:rFonts w:ascii="Times New Roman" w:hAnsi="Times New Roman"/>
                <w:snapToGrid w:val="0"/>
                <w:szCs w:val="24"/>
              </w:rPr>
            </w:pPr>
            <w:r>
              <w:rPr>
                <w:rFonts w:ascii="Times New Roman" w:hAnsi="Times New Roman"/>
                <w:noProof/>
                <w:sz w:val="28"/>
                <w:szCs w:val="20"/>
              </w:rPr>
              <w:drawing>
                <wp:anchor distT="0" distB="0" distL="114300" distR="114300" simplePos="0" relativeHeight="251622912" behindDoc="0" locked="0" layoutInCell="1" allowOverlap="1">
                  <wp:simplePos x="0" y="0"/>
                  <wp:positionH relativeFrom="column">
                    <wp:posOffset>28575</wp:posOffset>
                  </wp:positionH>
                  <wp:positionV relativeFrom="paragraph">
                    <wp:posOffset>10795</wp:posOffset>
                  </wp:positionV>
                  <wp:extent cx="952500" cy="942975"/>
                  <wp:effectExtent l="0" t="0" r="0" b="9525"/>
                  <wp:wrapNone/>
                  <wp:docPr id="17" name="Picture 168" descr="说明: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8" descr="说明: 003"/>
                          <pic:cNvPicPr>
                            <a:picLocks noChangeAspect="1"/>
                          </pic:cNvPicPr>
                        </pic:nvPicPr>
                        <pic:blipFill>
                          <a:blip r:embed="rId50"/>
                          <a:stretch>
                            <a:fillRect/>
                          </a:stretch>
                        </pic:blipFill>
                        <pic:spPr>
                          <a:xfrm>
                            <a:off x="0" y="0"/>
                            <a:ext cx="952500" cy="942975"/>
                          </a:xfrm>
                          <a:prstGeom prst="rect">
                            <a:avLst/>
                          </a:prstGeom>
                          <a:noFill/>
                          <a:ln>
                            <a:noFill/>
                          </a:ln>
                        </pic:spPr>
                      </pic:pic>
                    </a:graphicData>
                  </a:graphic>
                </wp:anchor>
              </w:drawing>
            </w:r>
          </w:p>
        </w:tc>
        <w:tc>
          <w:tcPr>
            <w:tcW w:w="1800" w:type="dxa"/>
            <w:vAlign w:val="center"/>
          </w:tcPr>
          <w:p w:rsidR="00525419" w:rsidRDefault="00EE1CF7">
            <w:pPr>
              <w:jc w:val="center"/>
              <w:rPr>
                <w:rFonts w:ascii="Times New Roman" w:hAnsi="Times New Roman"/>
                <w:snapToGrid w:val="0"/>
                <w:szCs w:val="24"/>
              </w:rPr>
            </w:pPr>
            <w:r>
              <w:rPr>
                <w:rFonts w:ascii="Times New Roman" w:hAnsi="Times New Roman"/>
                <w:noProof/>
                <w:sz w:val="28"/>
                <w:szCs w:val="20"/>
              </w:rPr>
              <w:drawing>
                <wp:anchor distT="0" distB="0" distL="114300" distR="114300" simplePos="0" relativeHeight="251623936" behindDoc="0" locked="0" layoutInCell="1" allowOverlap="1">
                  <wp:simplePos x="0" y="0"/>
                  <wp:positionH relativeFrom="column">
                    <wp:posOffset>-6350</wp:posOffset>
                  </wp:positionH>
                  <wp:positionV relativeFrom="paragraph">
                    <wp:posOffset>21590</wp:posOffset>
                  </wp:positionV>
                  <wp:extent cx="952500" cy="946785"/>
                  <wp:effectExtent l="0" t="0" r="0" b="5715"/>
                  <wp:wrapNone/>
                  <wp:docPr id="19" name="Picture 169" descr="说明: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69" descr="说明: 004"/>
                          <pic:cNvPicPr>
                            <a:picLocks noChangeAspect="1"/>
                          </pic:cNvPicPr>
                        </pic:nvPicPr>
                        <pic:blipFill>
                          <a:blip r:embed="rId51"/>
                          <a:stretch>
                            <a:fillRect/>
                          </a:stretch>
                        </pic:blipFill>
                        <pic:spPr>
                          <a:xfrm>
                            <a:off x="0" y="0"/>
                            <a:ext cx="952500" cy="946785"/>
                          </a:xfrm>
                          <a:prstGeom prst="rect">
                            <a:avLst/>
                          </a:prstGeom>
                          <a:noFill/>
                          <a:ln>
                            <a:noFill/>
                          </a:ln>
                        </pic:spPr>
                      </pic:pic>
                    </a:graphicData>
                  </a:graphic>
                </wp:anchor>
              </w:drawing>
            </w:r>
          </w:p>
        </w:tc>
      </w:tr>
      <w:tr w:rsidR="00525419">
        <w:trPr>
          <w:trHeight w:val="165"/>
        </w:trPr>
        <w:tc>
          <w:tcPr>
            <w:tcW w:w="1632" w:type="dxa"/>
            <w:vAlign w:val="center"/>
          </w:tcPr>
          <w:p w:rsidR="00525419" w:rsidRDefault="00EE1CF7">
            <w:pPr>
              <w:jc w:val="center"/>
              <w:rPr>
                <w:rFonts w:ascii="Times New Roman" w:hAnsi="Times New Roman"/>
                <w:snapToGrid w:val="0"/>
                <w:szCs w:val="24"/>
              </w:rPr>
            </w:pPr>
            <w:r>
              <w:rPr>
                <w:rFonts w:ascii="Times New Roman" w:hAnsi="Times New Roman"/>
                <w:snapToGrid w:val="0"/>
                <w:szCs w:val="24"/>
              </w:rPr>
              <w:t>背景颜色</w:t>
            </w:r>
          </w:p>
        </w:tc>
        <w:tc>
          <w:tcPr>
            <w:tcW w:w="7366" w:type="dxa"/>
            <w:gridSpan w:val="4"/>
            <w:vAlign w:val="center"/>
          </w:tcPr>
          <w:p w:rsidR="00525419" w:rsidRDefault="00EE1CF7">
            <w:pPr>
              <w:jc w:val="center"/>
              <w:rPr>
                <w:rFonts w:ascii="Times New Roman" w:hAnsi="Times New Roman"/>
                <w:snapToGrid w:val="0"/>
                <w:szCs w:val="24"/>
              </w:rPr>
            </w:pPr>
            <w:r>
              <w:rPr>
                <w:rFonts w:ascii="Times New Roman" w:hAnsi="Times New Roman"/>
                <w:snapToGrid w:val="0"/>
                <w:szCs w:val="24"/>
              </w:rPr>
              <w:t>绿色</w:t>
            </w:r>
          </w:p>
        </w:tc>
      </w:tr>
      <w:tr w:rsidR="00525419">
        <w:trPr>
          <w:trHeight w:val="297"/>
        </w:trPr>
        <w:tc>
          <w:tcPr>
            <w:tcW w:w="1632" w:type="dxa"/>
            <w:vAlign w:val="center"/>
          </w:tcPr>
          <w:p w:rsidR="00525419" w:rsidRDefault="00EE1CF7">
            <w:pPr>
              <w:jc w:val="center"/>
              <w:rPr>
                <w:rFonts w:ascii="Times New Roman" w:hAnsi="Times New Roman"/>
                <w:snapToGrid w:val="0"/>
                <w:szCs w:val="24"/>
              </w:rPr>
            </w:pPr>
            <w:r>
              <w:rPr>
                <w:rFonts w:ascii="Times New Roman" w:hAnsi="Times New Roman"/>
                <w:snapToGrid w:val="0"/>
                <w:szCs w:val="24"/>
              </w:rPr>
              <w:t>图形颜色</w:t>
            </w:r>
          </w:p>
        </w:tc>
        <w:tc>
          <w:tcPr>
            <w:tcW w:w="7366" w:type="dxa"/>
            <w:gridSpan w:val="4"/>
            <w:vAlign w:val="center"/>
          </w:tcPr>
          <w:p w:rsidR="00525419" w:rsidRDefault="00EE1CF7">
            <w:pPr>
              <w:jc w:val="center"/>
              <w:rPr>
                <w:rFonts w:ascii="Times New Roman" w:hAnsi="Times New Roman"/>
                <w:snapToGrid w:val="0"/>
                <w:szCs w:val="24"/>
              </w:rPr>
            </w:pPr>
            <w:r>
              <w:rPr>
                <w:rFonts w:ascii="Times New Roman" w:hAnsi="Times New Roman"/>
                <w:snapToGrid w:val="0"/>
                <w:szCs w:val="24"/>
              </w:rPr>
              <w:t>白色</w:t>
            </w:r>
          </w:p>
        </w:tc>
      </w:tr>
    </w:tbl>
    <w:p w:rsidR="00525419" w:rsidRDefault="00EE1CF7">
      <w:pPr>
        <w:spacing w:line="360" w:lineRule="auto"/>
        <w:ind w:firstLineChars="200" w:firstLine="480"/>
        <w:jc w:val="left"/>
        <w:rPr>
          <w:rFonts w:ascii="Times New Roman" w:hAnsi="Times New Roman"/>
          <w:sz w:val="24"/>
          <w:szCs w:val="21"/>
        </w:rPr>
      </w:pPr>
      <w:r>
        <w:rPr>
          <w:rFonts w:ascii="Times New Roman" w:hAnsi="Times New Roman"/>
          <w:sz w:val="24"/>
          <w:szCs w:val="21"/>
        </w:rPr>
        <w:t>（</w:t>
      </w:r>
      <w:r>
        <w:rPr>
          <w:rFonts w:ascii="Times New Roman" w:hAnsi="Times New Roman"/>
          <w:sz w:val="24"/>
          <w:szCs w:val="21"/>
        </w:rPr>
        <w:t>2</w:t>
      </w:r>
      <w:r>
        <w:rPr>
          <w:rFonts w:ascii="Times New Roman" w:hAnsi="Times New Roman"/>
          <w:sz w:val="24"/>
          <w:szCs w:val="21"/>
        </w:rPr>
        <w:t>）标志牌设置位置应距排污口或采样点较近且醒目处，设置高度一般为标志牌上缘距离地面约</w:t>
      </w:r>
      <w:r>
        <w:rPr>
          <w:rFonts w:ascii="Times New Roman" w:hAnsi="Times New Roman"/>
          <w:sz w:val="24"/>
          <w:szCs w:val="21"/>
        </w:rPr>
        <w:t>2m</w:t>
      </w:r>
      <w:r>
        <w:rPr>
          <w:rFonts w:ascii="Times New Roman" w:hAnsi="Times New Roman"/>
          <w:sz w:val="24"/>
          <w:szCs w:val="21"/>
        </w:rPr>
        <w:t>；</w:t>
      </w:r>
    </w:p>
    <w:p w:rsidR="00525419" w:rsidRDefault="00EE1CF7">
      <w:pPr>
        <w:spacing w:line="360" w:lineRule="auto"/>
        <w:ind w:firstLineChars="200" w:firstLine="480"/>
        <w:jc w:val="left"/>
        <w:rPr>
          <w:rFonts w:ascii="Times New Roman" w:hAnsi="Times New Roman"/>
          <w:sz w:val="24"/>
          <w:szCs w:val="21"/>
        </w:rPr>
      </w:pPr>
      <w:r>
        <w:rPr>
          <w:rFonts w:ascii="Times New Roman" w:hAnsi="Times New Roman"/>
          <w:sz w:val="24"/>
          <w:szCs w:val="21"/>
        </w:rPr>
        <w:t>（</w:t>
      </w:r>
      <w:r>
        <w:rPr>
          <w:rFonts w:ascii="Times New Roman" w:hAnsi="Times New Roman"/>
          <w:sz w:val="24"/>
          <w:szCs w:val="21"/>
        </w:rPr>
        <w:t>3</w:t>
      </w:r>
      <w:r>
        <w:rPr>
          <w:rFonts w:ascii="Times New Roman" w:hAnsi="Times New Roman"/>
          <w:sz w:val="24"/>
          <w:szCs w:val="21"/>
        </w:rPr>
        <w:t>）重点排污单位排污口设立式标志牌，一般单位排污口可设立式或平面固定式提示性环保图形标志牌。</w:t>
      </w:r>
    </w:p>
    <w:p w:rsidR="00525419" w:rsidRDefault="00EE1CF7" w:rsidP="00EE1CF7">
      <w:pPr>
        <w:pStyle w:val="3a"/>
        <w:spacing w:beforeLines="50" w:before="166" w:after="156" w:line="360" w:lineRule="auto"/>
        <w:jc w:val="left"/>
        <w:rPr>
          <w:rFonts w:ascii="Times New Roman" w:eastAsia="华文楷体" w:hAnsi="Times New Roman"/>
        </w:rPr>
      </w:pPr>
      <w:bookmarkStart w:id="330" w:name="_Toc13208"/>
      <w:bookmarkStart w:id="331" w:name="_Toc26763"/>
      <w:r>
        <w:rPr>
          <w:rFonts w:ascii="Times New Roman" w:eastAsia="华文楷体" w:hAnsi="Times New Roman"/>
        </w:rPr>
        <w:t>8.3.4</w:t>
      </w:r>
      <w:r>
        <w:rPr>
          <w:rFonts w:ascii="Times New Roman" w:eastAsia="华文楷体" w:hAnsi="Times New Roman"/>
        </w:rPr>
        <w:t>排污口建档管理</w:t>
      </w:r>
      <w:bookmarkEnd w:id="330"/>
      <w:bookmarkEnd w:id="331"/>
    </w:p>
    <w:p w:rsidR="00525419" w:rsidRDefault="00EE1CF7">
      <w:pPr>
        <w:spacing w:line="360" w:lineRule="auto"/>
        <w:ind w:firstLineChars="200" w:firstLine="480"/>
        <w:jc w:val="left"/>
        <w:rPr>
          <w:rFonts w:ascii="Times New Roman" w:hAnsi="Times New Roman"/>
          <w:sz w:val="24"/>
          <w:szCs w:val="21"/>
        </w:rPr>
      </w:pPr>
      <w:r>
        <w:rPr>
          <w:rFonts w:ascii="Times New Roman" w:hAnsi="Times New Roman"/>
          <w:sz w:val="24"/>
          <w:szCs w:val="21"/>
        </w:rPr>
        <w:t>（</w:t>
      </w:r>
      <w:r>
        <w:rPr>
          <w:rFonts w:ascii="Times New Roman" w:hAnsi="Times New Roman"/>
          <w:sz w:val="24"/>
          <w:szCs w:val="21"/>
        </w:rPr>
        <w:t>1</w:t>
      </w:r>
      <w:r>
        <w:rPr>
          <w:rFonts w:ascii="Times New Roman" w:hAnsi="Times New Roman"/>
          <w:sz w:val="24"/>
          <w:szCs w:val="21"/>
        </w:rPr>
        <w:t>）使用《中华人民共和国规范化排污口标志登记证》，并按要求填写有关内容；</w:t>
      </w:r>
    </w:p>
    <w:p w:rsidR="00525419" w:rsidRDefault="00EE1CF7">
      <w:pPr>
        <w:spacing w:line="360" w:lineRule="auto"/>
        <w:ind w:firstLineChars="200" w:firstLine="480"/>
        <w:jc w:val="left"/>
        <w:rPr>
          <w:rFonts w:ascii="Times New Roman" w:hAnsi="Times New Roman"/>
          <w:sz w:val="24"/>
          <w:szCs w:val="21"/>
        </w:rPr>
      </w:pPr>
      <w:r>
        <w:rPr>
          <w:rFonts w:ascii="Times New Roman" w:hAnsi="Times New Roman"/>
          <w:sz w:val="24"/>
          <w:szCs w:val="21"/>
        </w:rPr>
        <w:t>（</w:t>
      </w:r>
      <w:r>
        <w:rPr>
          <w:rFonts w:ascii="Times New Roman" w:hAnsi="Times New Roman"/>
          <w:sz w:val="24"/>
          <w:szCs w:val="21"/>
        </w:rPr>
        <w:t>2</w:t>
      </w:r>
      <w:r>
        <w:rPr>
          <w:rFonts w:ascii="Times New Roman" w:hAnsi="Times New Roman"/>
          <w:sz w:val="24"/>
          <w:szCs w:val="21"/>
        </w:rPr>
        <w:t>）严格按照环境管理监控计划及排污口管理内容要求，在工程建成后将主要污染物种类、数量、排放浓度与去向，立标及环保设施运行情况记录在案，并及时上报；</w:t>
      </w:r>
    </w:p>
    <w:p w:rsidR="00525419" w:rsidRDefault="00EE1CF7">
      <w:pPr>
        <w:spacing w:line="360" w:lineRule="auto"/>
        <w:ind w:firstLineChars="200" w:firstLine="480"/>
        <w:jc w:val="left"/>
        <w:rPr>
          <w:rFonts w:ascii="Times New Roman" w:hAnsi="Times New Roman"/>
          <w:sz w:val="24"/>
          <w:szCs w:val="21"/>
        </w:rPr>
      </w:pPr>
      <w:r>
        <w:rPr>
          <w:rFonts w:ascii="Times New Roman" w:hAnsi="Times New Roman"/>
          <w:sz w:val="24"/>
          <w:szCs w:val="21"/>
        </w:rPr>
        <w:t>（</w:t>
      </w:r>
      <w:r>
        <w:rPr>
          <w:rFonts w:ascii="Times New Roman" w:hAnsi="Times New Roman"/>
          <w:sz w:val="24"/>
          <w:szCs w:val="21"/>
        </w:rPr>
        <w:t>3</w:t>
      </w:r>
      <w:r>
        <w:rPr>
          <w:rFonts w:ascii="Times New Roman" w:hAnsi="Times New Roman"/>
          <w:sz w:val="24"/>
          <w:szCs w:val="21"/>
        </w:rPr>
        <w:t>）选派有专业技能环保人员对排污口进行管理，做到责任明确、奖罚分明。</w:t>
      </w:r>
    </w:p>
    <w:p w:rsidR="00525419" w:rsidRDefault="00EE1CF7" w:rsidP="00EE1CF7">
      <w:pPr>
        <w:pStyle w:val="3a"/>
        <w:spacing w:beforeLines="50" w:before="166" w:after="156" w:line="360" w:lineRule="auto"/>
        <w:jc w:val="left"/>
        <w:rPr>
          <w:rFonts w:ascii="Times New Roman" w:eastAsia="华文楷体" w:hAnsi="Times New Roman"/>
        </w:rPr>
      </w:pPr>
      <w:r>
        <w:rPr>
          <w:rFonts w:ascii="Times New Roman" w:eastAsia="华文楷体" w:hAnsi="Times New Roman"/>
        </w:rPr>
        <w:t>8.3.5</w:t>
      </w:r>
      <w:r>
        <w:rPr>
          <w:rFonts w:ascii="Times New Roman" w:eastAsia="华文楷体" w:hAnsi="Times New Roman"/>
        </w:rPr>
        <w:t>排污许可制度</w:t>
      </w:r>
    </w:p>
    <w:p w:rsidR="00525419" w:rsidRDefault="00EE1CF7">
      <w:pPr>
        <w:spacing w:line="360" w:lineRule="auto"/>
        <w:ind w:firstLineChars="200" w:firstLine="480"/>
        <w:jc w:val="left"/>
        <w:rPr>
          <w:rFonts w:ascii="Times New Roman" w:hAnsi="Times New Roman"/>
          <w:sz w:val="24"/>
          <w:szCs w:val="21"/>
        </w:rPr>
      </w:pPr>
      <w:r>
        <w:rPr>
          <w:rFonts w:ascii="Times New Roman" w:hAnsi="Times New Roman"/>
          <w:sz w:val="24"/>
          <w:szCs w:val="21"/>
        </w:rPr>
        <w:t>根据《排污许可管理办法</w:t>
      </w:r>
      <w:r>
        <w:rPr>
          <w:rFonts w:ascii="Times New Roman" w:hAnsi="Times New Roman"/>
          <w:sz w:val="24"/>
          <w:szCs w:val="21"/>
        </w:rPr>
        <w:t>(</w:t>
      </w:r>
      <w:r>
        <w:rPr>
          <w:rFonts w:ascii="Times New Roman" w:hAnsi="Times New Roman"/>
          <w:sz w:val="24"/>
          <w:szCs w:val="21"/>
        </w:rPr>
        <w:t>试行</w:t>
      </w:r>
      <w:r>
        <w:rPr>
          <w:rFonts w:ascii="Times New Roman" w:hAnsi="Times New Roman"/>
          <w:sz w:val="24"/>
          <w:szCs w:val="21"/>
        </w:rPr>
        <w:t>)</w:t>
      </w:r>
      <w:r>
        <w:rPr>
          <w:rFonts w:ascii="Times New Roman" w:hAnsi="Times New Roman"/>
          <w:sz w:val="24"/>
          <w:szCs w:val="21"/>
        </w:rPr>
        <w:t>》有关规定：排污单位应当依法持有排污许可证，并按照排污许可证的规定排放污染物。应当取得排污许可证而未取得的，不得排放污染物。排污单位生产经营场所所在地设区的市级生态环境主管部门负责排污许可证核发。</w:t>
      </w:r>
    </w:p>
    <w:p w:rsidR="00525419" w:rsidRDefault="00EE1CF7" w:rsidP="00EE1CF7">
      <w:pPr>
        <w:pStyle w:val="2a"/>
        <w:spacing w:beforeLines="50" w:before="166" w:after="166"/>
        <w:ind w:left="578" w:hanging="578"/>
        <w:rPr>
          <w:rFonts w:ascii="Times New Roman" w:eastAsia="楷体_GB2312" w:hAnsi="Times New Roman"/>
          <w:sz w:val="36"/>
        </w:rPr>
      </w:pPr>
      <w:bookmarkStart w:id="332" w:name="_Toc15309"/>
      <w:r>
        <w:rPr>
          <w:rFonts w:ascii="Times New Roman" w:eastAsia="楷体_GB2312" w:hAnsi="Times New Roman"/>
          <w:sz w:val="36"/>
        </w:rPr>
        <w:t>8.4</w:t>
      </w:r>
      <w:r>
        <w:rPr>
          <w:rFonts w:ascii="Times New Roman" w:eastAsia="楷体_GB2312" w:hAnsi="Times New Roman"/>
          <w:sz w:val="36"/>
        </w:rPr>
        <w:t>污染物排放清单</w:t>
      </w:r>
      <w:bookmarkEnd w:id="332"/>
    </w:p>
    <w:p w:rsidR="00525419" w:rsidRDefault="00EE1CF7">
      <w:pPr>
        <w:autoSpaceDE w:val="0"/>
        <w:autoSpaceDN w:val="0"/>
        <w:adjustRightInd w:val="0"/>
        <w:spacing w:line="360" w:lineRule="auto"/>
        <w:ind w:firstLineChars="200" w:firstLine="480"/>
        <w:rPr>
          <w:rFonts w:ascii="Times New Roman" w:hAnsi="Times New Roman"/>
          <w:bCs/>
          <w:kern w:val="0"/>
          <w:sz w:val="24"/>
          <w:szCs w:val="24"/>
        </w:rPr>
      </w:pPr>
      <w:r>
        <w:rPr>
          <w:rFonts w:ascii="Times New Roman" w:hAnsi="Times New Roman"/>
          <w:bCs/>
          <w:kern w:val="0"/>
          <w:sz w:val="24"/>
          <w:szCs w:val="24"/>
        </w:rPr>
        <w:t>根据工程分析及环境治理措施，对本次环评污染物排放源及排放量进行梳理，形成污染源排放清单，见表</w:t>
      </w:r>
      <w:r>
        <w:rPr>
          <w:rFonts w:ascii="Times New Roman" w:hAnsi="Times New Roman"/>
          <w:bCs/>
          <w:kern w:val="0"/>
          <w:sz w:val="24"/>
          <w:szCs w:val="24"/>
        </w:rPr>
        <w:t>8.4-1</w:t>
      </w:r>
      <w:r>
        <w:rPr>
          <w:rFonts w:ascii="Times New Roman" w:hAnsi="Times New Roman"/>
          <w:bCs/>
          <w:kern w:val="0"/>
          <w:sz w:val="24"/>
          <w:szCs w:val="24"/>
        </w:rPr>
        <w:t>。</w:t>
      </w:r>
    </w:p>
    <w:p w:rsidR="00525419" w:rsidRDefault="00525419">
      <w:pPr>
        <w:pStyle w:val="2e"/>
        <w:ind w:leftChars="0" w:left="0"/>
      </w:pPr>
    </w:p>
    <w:p w:rsidR="00525419" w:rsidRDefault="00525419">
      <w:pPr>
        <w:pStyle w:val="2e"/>
        <w:ind w:leftChars="0" w:left="0"/>
        <w:sectPr w:rsidR="00525419">
          <w:pgSz w:w="11906" w:h="16838"/>
          <w:pgMar w:top="1440" w:right="1803" w:bottom="1440" w:left="1803" w:header="851" w:footer="992" w:gutter="0"/>
          <w:cols w:space="0"/>
          <w:docGrid w:type="lines" w:linePitch="332"/>
        </w:sectPr>
      </w:pPr>
    </w:p>
    <w:p w:rsidR="00525419" w:rsidRDefault="00EE1CF7">
      <w:pPr>
        <w:jc w:val="center"/>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8.4-1</w:t>
      </w:r>
      <w:r>
        <w:rPr>
          <w:rFonts w:ascii="Times New Roman" w:eastAsia="黑体" w:hAnsi="Times New Roman"/>
          <w:szCs w:val="21"/>
        </w:rPr>
        <w:t xml:space="preserve">　</w:t>
      </w:r>
      <w:r>
        <w:rPr>
          <w:rFonts w:ascii="Times New Roman" w:eastAsia="黑体" w:hAnsi="Times New Roman"/>
          <w:szCs w:val="21"/>
        </w:rPr>
        <w:t xml:space="preserve">     </w:t>
      </w:r>
      <w:r>
        <w:rPr>
          <w:rFonts w:ascii="Times New Roman" w:eastAsia="黑体" w:hAnsi="Times New Roman"/>
          <w:szCs w:val="21"/>
        </w:rPr>
        <w:t xml:space="preserve">　污染源排放清单</w:t>
      </w:r>
    </w:p>
    <w:tbl>
      <w:tblPr>
        <w:tblW w:w="147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4"/>
        <w:gridCol w:w="1053"/>
        <w:gridCol w:w="1192"/>
        <w:gridCol w:w="1210"/>
        <w:gridCol w:w="1106"/>
        <w:gridCol w:w="1042"/>
        <w:gridCol w:w="1269"/>
        <w:gridCol w:w="1254"/>
        <w:gridCol w:w="1688"/>
        <w:gridCol w:w="3013"/>
        <w:gridCol w:w="1047"/>
      </w:tblGrid>
      <w:tr w:rsidR="00525419">
        <w:trPr>
          <w:trHeight w:val="90"/>
          <w:jc w:val="center"/>
        </w:trPr>
        <w:tc>
          <w:tcPr>
            <w:tcW w:w="864" w:type="dxa"/>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污染物类型</w:t>
            </w:r>
          </w:p>
        </w:tc>
        <w:tc>
          <w:tcPr>
            <w:tcW w:w="1053" w:type="dxa"/>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排放形式</w:t>
            </w:r>
          </w:p>
        </w:tc>
        <w:tc>
          <w:tcPr>
            <w:tcW w:w="1192" w:type="dxa"/>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区域</w:t>
            </w:r>
          </w:p>
        </w:tc>
        <w:tc>
          <w:tcPr>
            <w:tcW w:w="1210" w:type="dxa"/>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排放源</w:t>
            </w:r>
          </w:p>
        </w:tc>
        <w:tc>
          <w:tcPr>
            <w:tcW w:w="1106" w:type="dxa"/>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污染物类型</w:t>
            </w:r>
          </w:p>
        </w:tc>
        <w:tc>
          <w:tcPr>
            <w:tcW w:w="1042" w:type="dxa"/>
            <w:vMerge w:val="restart"/>
            <w:tcBorders>
              <w:tl2br w:val="nil"/>
              <w:tr2bl w:val="nil"/>
            </w:tcBorders>
            <w:vAlign w:val="center"/>
          </w:tcPr>
          <w:p w:rsidR="00525419" w:rsidRDefault="00EE1CF7">
            <w:pPr>
              <w:autoSpaceDE w:val="0"/>
              <w:autoSpaceDN w:val="0"/>
              <w:adjustRightInd w:val="0"/>
              <w:jc w:val="center"/>
              <w:rPr>
                <w:rFonts w:ascii="Times New Roman" w:eastAsiaTheme="minorEastAsia" w:hAnsi="Times New Roman"/>
                <w:kern w:val="0"/>
                <w:szCs w:val="21"/>
              </w:rPr>
            </w:pPr>
            <w:r>
              <w:rPr>
                <w:rFonts w:ascii="Times New Roman" w:eastAsiaTheme="minorEastAsia" w:hAnsi="Times New Roman"/>
                <w:kern w:val="0"/>
                <w:szCs w:val="21"/>
              </w:rPr>
              <w:t>排放浓度</w:t>
            </w:r>
          </w:p>
          <w:p w:rsidR="00525419" w:rsidRDefault="00EE1CF7">
            <w:pPr>
              <w:autoSpaceDE w:val="0"/>
              <w:autoSpaceDN w:val="0"/>
              <w:adjustRightInd w:val="0"/>
              <w:jc w:val="center"/>
              <w:rPr>
                <w:rFonts w:ascii="Times New Roman" w:eastAsiaTheme="minorEastAsia" w:hAnsi="Times New Roman"/>
                <w:kern w:val="0"/>
                <w:szCs w:val="21"/>
              </w:rPr>
            </w:pPr>
            <w:r>
              <w:rPr>
                <w:rFonts w:ascii="Times New Roman" w:eastAsiaTheme="minorEastAsia" w:hAnsi="Times New Roman"/>
                <w:kern w:val="0"/>
                <w:szCs w:val="21"/>
              </w:rPr>
              <w:t>（</w:t>
            </w:r>
            <w:r>
              <w:rPr>
                <w:rFonts w:ascii="Times New Roman" w:eastAsiaTheme="minorEastAsia" w:hAnsi="Times New Roman"/>
                <w:kern w:val="0"/>
                <w:szCs w:val="21"/>
              </w:rPr>
              <w:t>mg/m</w:t>
            </w:r>
            <w:r>
              <w:rPr>
                <w:rFonts w:ascii="Times New Roman" w:eastAsiaTheme="minorEastAsia" w:hAnsi="Times New Roman"/>
                <w:kern w:val="0"/>
                <w:szCs w:val="21"/>
                <w:vertAlign w:val="superscript"/>
              </w:rPr>
              <w:t>3</w:t>
            </w:r>
            <w:r>
              <w:rPr>
                <w:rFonts w:ascii="Times New Roman" w:eastAsiaTheme="minorEastAsia" w:hAnsi="Times New Roman"/>
                <w:kern w:val="0"/>
                <w:szCs w:val="21"/>
              </w:rPr>
              <w:t>）</w:t>
            </w:r>
          </w:p>
        </w:tc>
        <w:tc>
          <w:tcPr>
            <w:tcW w:w="1269" w:type="dxa"/>
            <w:vMerge w:val="restart"/>
            <w:tcBorders>
              <w:tl2br w:val="nil"/>
              <w:tr2bl w:val="nil"/>
            </w:tcBorders>
            <w:vAlign w:val="center"/>
          </w:tcPr>
          <w:p w:rsidR="00525419" w:rsidRDefault="00EE1CF7">
            <w:pPr>
              <w:autoSpaceDE w:val="0"/>
              <w:autoSpaceDN w:val="0"/>
              <w:adjustRightInd w:val="0"/>
              <w:jc w:val="center"/>
              <w:rPr>
                <w:rFonts w:ascii="Times New Roman" w:eastAsiaTheme="minorEastAsia" w:hAnsi="Times New Roman"/>
                <w:kern w:val="0"/>
                <w:szCs w:val="21"/>
              </w:rPr>
            </w:pPr>
            <w:r>
              <w:rPr>
                <w:rFonts w:ascii="Times New Roman" w:eastAsiaTheme="minorEastAsia" w:hAnsi="Times New Roman"/>
                <w:kern w:val="0"/>
                <w:szCs w:val="21"/>
              </w:rPr>
              <w:t>排放量</w:t>
            </w:r>
          </w:p>
          <w:p w:rsidR="00525419" w:rsidRDefault="00EE1CF7">
            <w:pPr>
              <w:autoSpaceDE w:val="0"/>
              <w:autoSpaceDN w:val="0"/>
              <w:adjustRightInd w:val="0"/>
              <w:jc w:val="center"/>
              <w:rPr>
                <w:rFonts w:ascii="Times New Roman" w:eastAsiaTheme="minorEastAsia" w:hAnsi="Times New Roman"/>
                <w:kern w:val="0"/>
                <w:szCs w:val="21"/>
              </w:rPr>
            </w:pPr>
            <w:r>
              <w:rPr>
                <w:rFonts w:ascii="Times New Roman" w:eastAsiaTheme="minorEastAsia" w:hAnsi="Times New Roman"/>
                <w:kern w:val="0"/>
                <w:szCs w:val="21"/>
              </w:rPr>
              <w:t>（</w:t>
            </w:r>
            <w:r>
              <w:rPr>
                <w:rFonts w:ascii="Times New Roman" w:eastAsiaTheme="minorEastAsia" w:hAnsi="Times New Roman"/>
                <w:kern w:val="0"/>
                <w:szCs w:val="21"/>
              </w:rPr>
              <w:t>t/a</w:t>
            </w:r>
            <w:r>
              <w:rPr>
                <w:rFonts w:ascii="Times New Roman" w:eastAsiaTheme="minorEastAsia" w:hAnsi="Times New Roman"/>
                <w:kern w:val="0"/>
                <w:szCs w:val="21"/>
              </w:rPr>
              <w:t>）</w:t>
            </w:r>
          </w:p>
        </w:tc>
        <w:tc>
          <w:tcPr>
            <w:tcW w:w="1254"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排放标准</w:t>
            </w:r>
          </w:p>
        </w:tc>
        <w:tc>
          <w:tcPr>
            <w:tcW w:w="1688" w:type="dxa"/>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拟采取的环境保护措施</w:t>
            </w:r>
          </w:p>
        </w:tc>
        <w:tc>
          <w:tcPr>
            <w:tcW w:w="3013" w:type="dxa"/>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执行标准</w:t>
            </w:r>
          </w:p>
        </w:tc>
        <w:tc>
          <w:tcPr>
            <w:tcW w:w="1047" w:type="dxa"/>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环境风险防范措施</w:t>
            </w:r>
          </w:p>
        </w:tc>
      </w:tr>
      <w:tr w:rsidR="00525419">
        <w:trPr>
          <w:trHeight w:val="50"/>
          <w:jc w:val="center"/>
        </w:trPr>
        <w:tc>
          <w:tcPr>
            <w:tcW w:w="86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5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92"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210"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06"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42" w:type="dxa"/>
            <w:vMerge/>
            <w:tcBorders>
              <w:tl2br w:val="nil"/>
              <w:tr2bl w:val="nil"/>
            </w:tcBorders>
            <w:vAlign w:val="center"/>
          </w:tcPr>
          <w:p w:rsidR="00525419" w:rsidRDefault="00525419">
            <w:pPr>
              <w:autoSpaceDE w:val="0"/>
              <w:autoSpaceDN w:val="0"/>
              <w:adjustRightInd w:val="0"/>
              <w:jc w:val="center"/>
              <w:rPr>
                <w:rFonts w:ascii="Times New Roman" w:eastAsiaTheme="minorEastAsia" w:hAnsi="Times New Roman"/>
                <w:kern w:val="0"/>
                <w:szCs w:val="21"/>
              </w:rPr>
            </w:pPr>
          </w:p>
        </w:tc>
        <w:tc>
          <w:tcPr>
            <w:tcW w:w="1269" w:type="dxa"/>
            <w:vMerge/>
            <w:tcBorders>
              <w:tl2br w:val="nil"/>
              <w:tr2bl w:val="nil"/>
            </w:tcBorders>
            <w:vAlign w:val="center"/>
          </w:tcPr>
          <w:p w:rsidR="00525419" w:rsidRDefault="00525419">
            <w:pPr>
              <w:autoSpaceDE w:val="0"/>
              <w:autoSpaceDN w:val="0"/>
              <w:adjustRightInd w:val="0"/>
              <w:jc w:val="center"/>
              <w:rPr>
                <w:rFonts w:ascii="Times New Roman" w:eastAsiaTheme="minorEastAsia" w:hAnsi="Times New Roman"/>
                <w:kern w:val="0"/>
                <w:szCs w:val="21"/>
              </w:rPr>
            </w:pPr>
          </w:p>
        </w:tc>
        <w:tc>
          <w:tcPr>
            <w:tcW w:w="1254" w:type="dxa"/>
            <w:tcBorders>
              <w:tl2br w:val="nil"/>
              <w:tr2bl w:val="nil"/>
            </w:tcBorders>
            <w:vAlign w:val="center"/>
          </w:tcPr>
          <w:p w:rsidR="00525419" w:rsidRDefault="00EE1CF7">
            <w:pPr>
              <w:widowControl/>
              <w:autoSpaceDE w:val="0"/>
              <w:autoSpaceDN w:val="0"/>
              <w:adjustRightInd w:val="0"/>
              <w:jc w:val="center"/>
              <w:rPr>
                <w:rFonts w:ascii="Times New Roman" w:eastAsiaTheme="minorEastAsia" w:hAnsi="Times New Roman"/>
                <w:kern w:val="0"/>
                <w:szCs w:val="21"/>
              </w:rPr>
            </w:pPr>
            <w:r>
              <w:rPr>
                <w:rFonts w:ascii="Times New Roman" w:eastAsiaTheme="minorEastAsia" w:hAnsi="Times New Roman"/>
                <w:kern w:val="0"/>
                <w:szCs w:val="21"/>
              </w:rPr>
              <w:t>浓度</w:t>
            </w:r>
          </w:p>
          <w:p w:rsidR="00525419" w:rsidRDefault="00EE1CF7">
            <w:pPr>
              <w:widowControl/>
              <w:autoSpaceDE w:val="0"/>
              <w:autoSpaceDN w:val="0"/>
              <w:adjustRightInd w:val="0"/>
              <w:jc w:val="center"/>
              <w:rPr>
                <w:rFonts w:ascii="Times New Roman" w:eastAsiaTheme="minorEastAsia" w:hAnsi="Times New Roman"/>
                <w:kern w:val="0"/>
                <w:szCs w:val="21"/>
              </w:rPr>
            </w:pPr>
            <w:r>
              <w:rPr>
                <w:rFonts w:ascii="Times New Roman" w:eastAsiaTheme="minorEastAsia" w:hAnsi="Times New Roman"/>
                <w:kern w:val="0"/>
                <w:szCs w:val="21"/>
              </w:rPr>
              <w:t>（</w:t>
            </w:r>
            <w:r>
              <w:rPr>
                <w:rFonts w:ascii="Times New Roman" w:eastAsiaTheme="minorEastAsia" w:hAnsi="Times New Roman"/>
                <w:kern w:val="0"/>
                <w:szCs w:val="21"/>
              </w:rPr>
              <w:t>mg/ m</w:t>
            </w:r>
            <w:r>
              <w:rPr>
                <w:rFonts w:ascii="Times New Roman" w:eastAsiaTheme="minorEastAsia" w:hAnsi="Times New Roman"/>
                <w:kern w:val="0"/>
                <w:szCs w:val="21"/>
                <w:vertAlign w:val="superscript"/>
              </w:rPr>
              <w:t>3</w:t>
            </w:r>
            <w:r>
              <w:rPr>
                <w:rFonts w:ascii="Times New Roman" w:eastAsiaTheme="minorEastAsia" w:hAnsi="Times New Roman"/>
                <w:kern w:val="0"/>
                <w:szCs w:val="21"/>
              </w:rPr>
              <w:t>）</w:t>
            </w:r>
          </w:p>
        </w:tc>
        <w:tc>
          <w:tcPr>
            <w:tcW w:w="1688" w:type="dxa"/>
            <w:vMerge/>
            <w:tcBorders>
              <w:tl2br w:val="nil"/>
              <w:tr2bl w:val="nil"/>
            </w:tcBorders>
            <w:vAlign w:val="center"/>
          </w:tcPr>
          <w:p w:rsidR="00525419" w:rsidRDefault="00525419">
            <w:pPr>
              <w:widowControl/>
              <w:autoSpaceDE w:val="0"/>
              <w:autoSpaceDN w:val="0"/>
              <w:adjustRightInd w:val="0"/>
              <w:jc w:val="center"/>
              <w:rPr>
                <w:rFonts w:ascii="Times New Roman" w:eastAsiaTheme="minorEastAsia" w:hAnsi="Times New Roman"/>
                <w:kern w:val="0"/>
                <w:szCs w:val="21"/>
              </w:rPr>
            </w:pPr>
          </w:p>
        </w:tc>
        <w:tc>
          <w:tcPr>
            <w:tcW w:w="301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47"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r>
      <w:tr w:rsidR="00525419">
        <w:trPr>
          <w:trHeight w:val="296"/>
          <w:jc w:val="center"/>
        </w:trPr>
        <w:tc>
          <w:tcPr>
            <w:tcW w:w="864" w:type="dxa"/>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大气污染物</w:t>
            </w:r>
          </w:p>
        </w:tc>
        <w:tc>
          <w:tcPr>
            <w:tcW w:w="1053" w:type="dxa"/>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有组织</w:t>
            </w:r>
          </w:p>
        </w:tc>
        <w:tc>
          <w:tcPr>
            <w:tcW w:w="1192" w:type="dxa"/>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天然气制氢</w:t>
            </w:r>
          </w:p>
        </w:tc>
        <w:tc>
          <w:tcPr>
            <w:tcW w:w="1210" w:type="dxa"/>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转化炉烟囱</w:t>
            </w:r>
          </w:p>
        </w:tc>
        <w:tc>
          <w:tcPr>
            <w:tcW w:w="1106"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颗粒物</w:t>
            </w:r>
          </w:p>
        </w:tc>
        <w:tc>
          <w:tcPr>
            <w:tcW w:w="104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6</w:t>
            </w:r>
          </w:p>
        </w:tc>
        <w:tc>
          <w:tcPr>
            <w:tcW w:w="1269"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3.23</w:t>
            </w:r>
          </w:p>
        </w:tc>
        <w:tc>
          <w:tcPr>
            <w:tcW w:w="1254"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20</w:t>
            </w:r>
          </w:p>
        </w:tc>
        <w:tc>
          <w:tcPr>
            <w:tcW w:w="1688" w:type="dxa"/>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清洁燃料及低氮燃烧器</w:t>
            </w:r>
          </w:p>
        </w:tc>
        <w:tc>
          <w:tcPr>
            <w:tcW w:w="3013" w:type="dxa"/>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《石油炼制工业污染物排放标准》</w:t>
            </w:r>
            <w:r>
              <w:rPr>
                <w:rFonts w:ascii="Times New Roman" w:eastAsiaTheme="minorEastAsia" w:hAnsi="Times New Roman"/>
                <w:sz w:val="21"/>
                <w:szCs w:val="21"/>
              </w:rPr>
              <w:t>(GB31570-2015)</w:t>
            </w:r>
            <w:r>
              <w:rPr>
                <w:rFonts w:ascii="Times New Roman" w:eastAsiaTheme="minorEastAsia" w:hAnsi="Times New Roman"/>
                <w:sz w:val="21"/>
                <w:szCs w:val="21"/>
              </w:rPr>
              <w:t>中</w:t>
            </w:r>
            <w:r>
              <w:rPr>
                <w:rFonts w:ascii="Times New Roman" w:eastAsiaTheme="minorEastAsia" w:hAnsi="Times New Roman"/>
                <w:sz w:val="21"/>
                <w:szCs w:val="21"/>
              </w:rPr>
              <w:t>“</w:t>
            </w:r>
            <w:r>
              <w:rPr>
                <w:rFonts w:ascii="Times New Roman" w:eastAsiaTheme="minorEastAsia" w:hAnsi="Times New Roman"/>
                <w:sz w:val="21"/>
                <w:szCs w:val="21"/>
              </w:rPr>
              <w:t>表</w:t>
            </w:r>
            <w:r>
              <w:rPr>
                <w:rFonts w:ascii="Times New Roman" w:eastAsiaTheme="minorEastAsia" w:hAnsi="Times New Roman"/>
                <w:sz w:val="21"/>
                <w:szCs w:val="21"/>
              </w:rPr>
              <w:t xml:space="preserve">3 </w:t>
            </w:r>
            <w:r>
              <w:rPr>
                <w:rFonts w:ascii="Times New Roman" w:eastAsiaTheme="minorEastAsia" w:hAnsi="Times New Roman"/>
                <w:sz w:val="21"/>
                <w:szCs w:val="21"/>
              </w:rPr>
              <w:t>大气污染物排放限值</w:t>
            </w:r>
            <w:r>
              <w:rPr>
                <w:rFonts w:ascii="Times New Roman" w:eastAsiaTheme="minorEastAsia" w:hAnsi="Times New Roman"/>
                <w:sz w:val="21"/>
                <w:szCs w:val="21"/>
              </w:rPr>
              <w:t>”</w:t>
            </w:r>
          </w:p>
        </w:tc>
        <w:tc>
          <w:tcPr>
            <w:tcW w:w="1047" w:type="dxa"/>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r>
      <w:tr w:rsidR="00525419">
        <w:trPr>
          <w:trHeight w:val="50"/>
          <w:jc w:val="center"/>
        </w:trPr>
        <w:tc>
          <w:tcPr>
            <w:tcW w:w="86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5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92"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210"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06"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二氧化硫</w:t>
            </w:r>
          </w:p>
        </w:tc>
        <w:tc>
          <w:tcPr>
            <w:tcW w:w="104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7.54</w:t>
            </w:r>
          </w:p>
        </w:tc>
        <w:tc>
          <w:tcPr>
            <w:tcW w:w="1269"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4.06</w:t>
            </w:r>
          </w:p>
        </w:tc>
        <w:tc>
          <w:tcPr>
            <w:tcW w:w="1254"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100</w:t>
            </w:r>
          </w:p>
        </w:tc>
        <w:tc>
          <w:tcPr>
            <w:tcW w:w="1688"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301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47"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r>
      <w:tr w:rsidR="00525419">
        <w:trPr>
          <w:trHeight w:val="50"/>
          <w:jc w:val="center"/>
        </w:trPr>
        <w:tc>
          <w:tcPr>
            <w:tcW w:w="86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5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92"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210"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06"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氮氧化物</w:t>
            </w:r>
          </w:p>
        </w:tc>
        <w:tc>
          <w:tcPr>
            <w:tcW w:w="104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100.42</w:t>
            </w:r>
          </w:p>
        </w:tc>
        <w:tc>
          <w:tcPr>
            <w:tcW w:w="1269"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54.08</w:t>
            </w:r>
          </w:p>
        </w:tc>
        <w:tc>
          <w:tcPr>
            <w:tcW w:w="1254"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150</w:t>
            </w:r>
          </w:p>
        </w:tc>
        <w:tc>
          <w:tcPr>
            <w:tcW w:w="1688"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301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47"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r>
      <w:tr w:rsidR="00525419">
        <w:trPr>
          <w:trHeight w:val="90"/>
          <w:jc w:val="center"/>
        </w:trPr>
        <w:tc>
          <w:tcPr>
            <w:tcW w:w="86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5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92" w:type="dxa"/>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焦油加氢</w:t>
            </w:r>
          </w:p>
        </w:tc>
        <w:tc>
          <w:tcPr>
            <w:tcW w:w="1210" w:type="dxa"/>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加热炉烟囱</w:t>
            </w:r>
          </w:p>
        </w:tc>
        <w:tc>
          <w:tcPr>
            <w:tcW w:w="1106"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颗粒物</w:t>
            </w:r>
          </w:p>
        </w:tc>
        <w:tc>
          <w:tcPr>
            <w:tcW w:w="104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2.30</w:t>
            </w:r>
          </w:p>
        </w:tc>
        <w:tc>
          <w:tcPr>
            <w:tcW w:w="1269"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0.28</w:t>
            </w:r>
          </w:p>
        </w:tc>
        <w:tc>
          <w:tcPr>
            <w:tcW w:w="1254"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20</w:t>
            </w:r>
          </w:p>
        </w:tc>
        <w:tc>
          <w:tcPr>
            <w:tcW w:w="1688"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301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47"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r>
      <w:tr w:rsidR="00525419">
        <w:trPr>
          <w:trHeight w:val="50"/>
          <w:jc w:val="center"/>
        </w:trPr>
        <w:tc>
          <w:tcPr>
            <w:tcW w:w="86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5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92"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210"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06"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二氧化硫</w:t>
            </w:r>
          </w:p>
        </w:tc>
        <w:tc>
          <w:tcPr>
            <w:tcW w:w="104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2.88</w:t>
            </w:r>
          </w:p>
        </w:tc>
        <w:tc>
          <w:tcPr>
            <w:tcW w:w="1269"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0.35</w:t>
            </w:r>
          </w:p>
        </w:tc>
        <w:tc>
          <w:tcPr>
            <w:tcW w:w="1254"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100</w:t>
            </w:r>
          </w:p>
        </w:tc>
        <w:tc>
          <w:tcPr>
            <w:tcW w:w="1688"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301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47"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r>
      <w:tr w:rsidR="00525419">
        <w:trPr>
          <w:trHeight w:val="50"/>
          <w:jc w:val="center"/>
        </w:trPr>
        <w:tc>
          <w:tcPr>
            <w:tcW w:w="86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5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92"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210"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06"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氮氧化物</w:t>
            </w:r>
          </w:p>
        </w:tc>
        <w:tc>
          <w:tcPr>
            <w:tcW w:w="104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86.34</w:t>
            </w:r>
          </w:p>
        </w:tc>
        <w:tc>
          <w:tcPr>
            <w:tcW w:w="1269"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10.38</w:t>
            </w:r>
          </w:p>
        </w:tc>
        <w:tc>
          <w:tcPr>
            <w:tcW w:w="1254"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150</w:t>
            </w:r>
          </w:p>
        </w:tc>
        <w:tc>
          <w:tcPr>
            <w:tcW w:w="1688"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301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47"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r>
      <w:tr w:rsidR="00525419">
        <w:trPr>
          <w:trHeight w:val="50"/>
          <w:jc w:val="center"/>
        </w:trPr>
        <w:tc>
          <w:tcPr>
            <w:tcW w:w="86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5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92"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210" w:type="dxa"/>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hint="eastAsia"/>
                <w:sz w:val="21"/>
                <w:szCs w:val="21"/>
              </w:rPr>
              <w:t>加氢分馏加热炉</w:t>
            </w:r>
          </w:p>
        </w:tc>
        <w:tc>
          <w:tcPr>
            <w:tcW w:w="1106"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颗粒物</w:t>
            </w:r>
          </w:p>
        </w:tc>
        <w:tc>
          <w:tcPr>
            <w:tcW w:w="104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2.30</w:t>
            </w:r>
          </w:p>
        </w:tc>
        <w:tc>
          <w:tcPr>
            <w:tcW w:w="1269"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0.23</w:t>
            </w:r>
          </w:p>
        </w:tc>
        <w:tc>
          <w:tcPr>
            <w:tcW w:w="1254"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20</w:t>
            </w:r>
          </w:p>
        </w:tc>
        <w:tc>
          <w:tcPr>
            <w:tcW w:w="1688"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301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47"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r>
      <w:tr w:rsidR="00525419">
        <w:trPr>
          <w:trHeight w:val="50"/>
          <w:jc w:val="center"/>
        </w:trPr>
        <w:tc>
          <w:tcPr>
            <w:tcW w:w="86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5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92"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210"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06"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二氧化硫</w:t>
            </w:r>
          </w:p>
        </w:tc>
        <w:tc>
          <w:tcPr>
            <w:tcW w:w="104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2.88</w:t>
            </w:r>
          </w:p>
        </w:tc>
        <w:tc>
          <w:tcPr>
            <w:tcW w:w="1269"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0.29</w:t>
            </w:r>
          </w:p>
        </w:tc>
        <w:tc>
          <w:tcPr>
            <w:tcW w:w="1254"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100</w:t>
            </w:r>
          </w:p>
        </w:tc>
        <w:tc>
          <w:tcPr>
            <w:tcW w:w="1688"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301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47"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r>
      <w:tr w:rsidR="00525419">
        <w:trPr>
          <w:trHeight w:val="345"/>
          <w:jc w:val="center"/>
        </w:trPr>
        <w:tc>
          <w:tcPr>
            <w:tcW w:w="86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5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92"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210"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06"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氮氧化物</w:t>
            </w:r>
          </w:p>
        </w:tc>
        <w:tc>
          <w:tcPr>
            <w:tcW w:w="104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86.34</w:t>
            </w:r>
          </w:p>
        </w:tc>
        <w:tc>
          <w:tcPr>
            <w:tcW w:w="1269"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8.79</w:t>
            </w:r>
          </w:p>
        </w:tc>
        <w:tc>
          <w:tcPr>
            <w:tcW w:w="1254"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150</w:t>
            </w:r>
          </w:p>
        </w:tc>
        <w:tc>
          <w:tcPr>
            <w:tcW w:w="1688"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301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47"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r>
      <w:tr w:rsidR="00525419">
        <w:trPr>
          <w:trHeight w:val="50"/>
          <w:jc w:val="center"/>
        </w:trPr>
        <w:tc>
          <w:tcPr>
            <w:tcW w:w="86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5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92" w:type="dxa"/>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硫磺回收</w:t>
            </w:r>
          </w:p>
        </w:tc>
        <w:tc>
          <w:tcPr>
            <w:tcW w:w="1210" w:type="dxa"/>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焚烧炉烟囱</w:t>
            </w:r>
          </w:p>
        </w:tc>
        <w:tc>
          <w:tcPr>
            <w:tcW w:w="1106"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颗粒物</w:t>
            </w:r>
          </w:p>
        </w:tc>
        <w:tc>
          <w:tcPr>
            <w:tcW w:w="104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50</w:t>
            </w:r>
          </w:p>
        </w:tc>
        <w:tc>
          <w:tcPr>
            <w:tcW w:w="1269"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6.29</w:t>
            </w:r>
          </w:p>
        </w:tc>
        <w:tc>
          <w:tcPr>
            <w:tcW w:w="1254"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c>
          <w:tcPr>
            <w:tcW w:w="1688" w:type="dxa"/>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脱硫、低氮燃烧</w:t>
            </w:r>
          </w:p>
        </w:tc>
        <w:tc>
          <w:tcPr>
            <w:tcW w:w="301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47"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r>
      <w:tr w:rsidR="00525419">
        <w:trPr>
          <w:trHeight w:val="50"/>
          <w:jc w:val="center"/>
        </w:trPr>
        <w:tc>
          <w:tcPr>
            <w:tcW w:w="86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5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92"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210"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06"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二氧化硫</w:t>
            </w:r>
          </w:p>
        </w:tc>
        <w:tc>
          <w:tcPr>
            <w:tcW w:w="104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200</w:t>
            </w:r>
          </w:p>
        </w:tc>
        <w:tc>
          <w:tcPr>
            <w:tcW w:w="1269"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25.17</w:t>
            </w:r>
          </w:p>
        </w:tc>
        <w:tc>
          <w:tcPr>
            <w:tcW w:w="1254"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400</w:t>
            </w:r>
          </w:p>
        </w:tc>
        <w:tc>
          <w:tcPr>
            <w:tcW w:w="1688"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301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47"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r>
      <w:tr w:rsidR="00525419">
        <w:trPr>
          <w:trHeight w:val="50"/>
          <w:jc w:val="center"/>
        </w:trPr>
        <w:tc>
          <w:tcPr>
            <w:tcW w:w="86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5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92"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210"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06"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氮氧化物</w:t>
            </w:r>
          </w:p>
        </w:tc>
        <w:tc>
          <w:tcPr>
            <w:tcW w:w="104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14</w:t>
            </w:r>
          </w:p>
        </w:tc>
        <w:tc>
          <w:tcPr>
            <w:tcW w:w="1269"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1.76</w:t>
            </w:r>
          </w:p>
        </w:tc>
        <w:tc>
          <w:tcPr>
            <w:tcW w:w="1254"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c>
          <w:tcPr>
            <w:tcW w:w="1688"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301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47"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r>
      <w:tr w:rsidR="00525419">
        <w:trPr>
          <w:trHeight w:val="50"/>
          <w:jc w:val="center"/>
        </w:trPr>
        <w:tc>
          <w:tcPr>
            <w:tcW w:w="86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53"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无组织</w:t>
            </w:r>
          </w:p>
        </w:tc>
        <w:tc>
          <w:tcPr>
            <w:tcW w:w="119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装置区、储罐区</w:t>
            </w:r>
          </w:p>
        </w:tc>
        <w:tc>
          <w:tcPr>
            <w:tcW w:w="1210"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设备、法兰、储罐等</w:t>
            </w:r>
          </w:p>
        </w:tc>
        <w:tc>
          <w:tcPr>
            <w:tcW w:w="1106"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VOCs</w:t>
            </w:r>
            <w:r>
              <w:rPr>
                <w:rFonts w:ascii="Times New Roman" w:eastAsiaTheme="minorEastAsia" w:hAnsi="Times New Roman"/>
                <w:sz w:val="21"/>
                <w:szCs w:val="21"/>
              </w:rPr>
              <w:t>（以非甲烷总烃计）</w:t>
            </w:r>
          </w:p>
        </w:tc>
        <w:tc>
          <w:tcPr>
            <w:tcW w:w="104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c>
          <w:tcPr>
            <w:tcW w:w="1269"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54.47</w:t>
            </w:r>
          </w:p>
        </w:tc>
        <w:tc>
          <w:tcPr>
            <w:tcW w:w="1254"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4</w:t>
            </w:r>
          </w:p>
        </w:tc>
        <w:tc>
          <w:tcPr>
            <w:tcW w:w="1688"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油气回收处理设施，密闭等，去除效率</w:t>
            </w:r>
            <w:r>
              <w:rPr>
                <w:rFonts w:ascii="Times New Roman" w:eastAsiaTheme="minorEastAsia" w:hAnsi="Times New Roman"/>
                <w:sz w:val="21"/>
                <w:szCs w:val="21"/>
              </w:rPr>
              <w:t>≥95%</w:t>
            </w:r>
          </w:p>
        </w:tc>
        <w:tc>
          <w:tcPr>
            <w:tcW w:w="3013"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《石油炼制工业污染物排放标准》</w:t>
            </w:r>
            <w:r>
              <w:rPr>
                <w:rFonts w:ascii="Times New Roman" w:eastAsiaTheme="minorEastAsia" w:hAnsi="Times New Roman"/>
                <w:sz w:val="21"/>
                <w:szCs w:val="21"/>
              </w:rPr>
              <w:t>(GB31570-2015)</w:t>
            </w:r>
            <w:r>
              <w:rPr>
                <w:rFonts w:ascii="Times New Roman" w:eastAsiaTheme="minorEastAsia" w:hAnsi="Times New Roman"/>
                <w:sz w:val="21"/>
                <w:szCs w:val="21"/>
              </w:rPr>
              <w:t>中</w:t>
            </w:r>
            <w:r>
              <w:rPr>
                <w:rFonts w:ascii="Times New Roman" w:eastAsiaTheme="minorEastAsia" w:hAnsi="Times New Roman"/>
                <w:sz w:val="21"/>
                <w:szCs w:val="21"/>
              </w:rPr>
              <w:t>“</w:t>
            </w:r>
            <w:r>
              <w:rPr>
                <w:rFonts w:ascii="Times New Roman" w:eastAsiaTheme="minorEastAsia" w:hAnsi="Times New Roman"/>
                <w:sz w:val="21"/>
                <w:szCs w:val="21"/>
              </w:rPr>
              <w:t>表</w:t>
            </w:r>
            <w:r>
              <w:rPr>
                <w:rFonts w:ascii="Times New Roman" w:eastAsiaTheme="minorEastAsia" w:hAnsi="Times New Roman"/>
                <w:sz w:val="21"/>
                <w:szCs w:val="21"/>
              </w:rPr>
              <w:t xml:space="preserve">5 </w:t>
            </w:r>
            <w:r>
              <w:rPr>
                <w:rFonts w:ascii="Times New Roman" w:eastAsiaTheme="minorEastAsia" w:hAnsi="Times New Roman"/>
                <w:sz w:val="21"/>
                <w:szCs w:val="21"/>
              </w:rPr>
              <w:t>企业边界大气污染物浓度限值</w:t>
            </w:r>
            <w:r>
              <w:rPr>
                <w:rFonts w:ascii="Times New Roman" w:eastAsiaTheme="minorEastAsia" w:hAnsi="Times New Roman"/>
                <w:sz w:val="21"/>
                <w:szCs w:val="21"/>
              </w:rPr>
              <w:t>”</w:t>
            </w:r>
            <w:r>
              <w:rPr>
                <w:rFonts w:ascii="Times New Roman" w:eastAsiaTheme="minorEastAsia" w:hAnsi="Times New Roman"/>
                <w:sz w:val="21"/>
                <w:szCs w:val="21"/>
              </w:rPr>
              <w:t>的规定</w:t>
            </w:r>
          </w:p>
        </w:tc>
        <w:tc>
          <w:tcPr>
            <w:tcW w:w="1047"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火炬、可燃气体报警系统</w:t>
            </w:r>
          </w:p>
        </w:tc>
      </w:tr>
      <w:tr w:rsidR="00525419">
        <w:trPr>
          <w:trHeight w:val="50"/>
          <w:jc w:val="center"/>
        </w:trPr>
        <w:tc>
          <w:tcPr>
            <w:tcW w:w="864" w:type="dxa"/>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水污</w:t>
            </w:r>
          </w:p>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染物</w:t>
            </w:r>
          </w:p>
        </w:tc>
        <w:tc>
          <w:tcPr>
            <w:tcW w:w="1053" w:type="dxa"/>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有组织</w:t>
            </w:r>
          </w:p>
        </w:tc>
        <w:tc>
          <w:tcPr>
            <w:tcW w:w="119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储运装置</w:t>
            </w:r>
          </w:p>
        </w:tc>
        <w:tc>
          <w:tcPr>
            <w:tcW w:w="1210"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含油废水</w:t>
            </w:r>
          </w:p>
        </w:tc>
        <w:tc>
          <w:tcPr>
            <w:tcW w:w="2148" w:type="dxa"/>
            <w:gridSpan w:val="2"/>
            <w:tcBorders>
              <w:tl2br w:val="nil"/>
              <w:tr2bl w:val="nil"/>
            </w:tcBorders>
            <w:vAlign w:val="center"/>
          </w:tcPr>
          <w:p w:rsidR="00525419" w:rsidRDefault="00EE1CF7">
            <w:pPr>
              <w:pStyle w:val="afffffffffffffffffffffffffffffffffff5"/>
              <w:spacing w:line="240" w:lineRule="auto"/>
              <w:ind w:firstLineChars="0" w:firstLine="0"/>
              <w:rPr>
                <w:rFonts w:ascii="Times New Roman" w:eastAsiaTheme="minorEastAsia" w:hAnsi="Times New Roman"/>
                <w:sz w:val="21"/>
                <w:szCs w:val="21"/>
              </w:rPr>
            </w:pPr>
            <w:r>
              <w:rPr>
                <w:rFonts w:ascii="Times New Roman" w:eastAsiaTheme="minorEastAsia" w:hAnsi="Times New Roman"/>
                <w:sz w:val="21"/>
                <w:szCs w:val="21"/>
              </w:rPr>
              <w:t>排放量：</w:t>
            </w:r>
            <w:r>
              <w:rPr>
                <w:rFonts w:ascii="Times New Roman" w:eastAsiaTheme="minorEastAsia" w:hAnsi="Times New Roman"/>
                <w:sz w:val="21"/>
                <w:szCs w:val="21"/>
              </w:rPr>
              <w:t>0.2t/h</w:t>
            </w:r>
          </w:p>
          <w:p w:rsidR="00525419" w:rsidRDefault="00EE1CF7">
            <w:pPr>
              <w:pStyle w:val="afffffffffffffffffffffffffffffffffff5"/>
              <w:spacing w:line="240" w:lineRule="auto"/>
              <w:ind w:firstLineChars="0" w:firstLine="0"/>
              <w:rPr>
                <w:rFonts w:ascii="Times New Roman" w:eastAsiaTheme="minorEastAsia" w:hAnsi="Times New Roman"/>
                <w:kern w:val="0"/>
                <w:sz w:val="21"/>
                <w:szCs w:val="21"/>
              </w:rPr>
            </w:pPr>
            <w:r>
              <w:rPr>
                <w:rFonts w:ascii="Times New Roman" w:eastAsiaTheme="minorEastAsia" w:hAnsi="Times New Roman"/>
                <w:sz w:val="21"/>
                <w:szCs w:val="21"/>
              </w:rPr>
              <w:t>COD</w:t>
            </w:r>
            <w:r>
              <w:rPr>
                <w:rFonts w:ascii="Times New Roman" w:eastAsiaTheme="minorEastAsia" w:hAnsi="Times New Roman"/>
                <w:sz w:val="21"/>
                <w:szCs w:val="21"/>
              </w:rPr>
              <w:t>：</w:t>
            </w:r>
            <w:r>
              <w:rPr>
                <w:rFonts w:ascii="Times New Roman" w:eastAsiaTheme="minorEastAsia" w:hAnsi="Times New Roman"/>
                <w:sz w:val="21"/>
                <w:szCs w:val="21"/>
              </w:rPr>
              <w:t>1000</w:t>
            </w:r>
            <w:r>
              <w:rPr>
                <w:rFonts w:ascii="Times New Roman" w:eastAsiaTheme="minorEastAsia" w:hAnsi="Times New Roman"/>
                <w:kern w:val="0"/>
                <w:sz w:val="21"/>
                <w:szCs w:val="21"/>
              </w:rPr>
              <w:t>mg/L</w:t>
            </w:r>
          </w:p>
          <w:p w:rsidR="00525419" w:rsidRDefault="00EE1CF7">
            <w:pPr>
              <w:pStyle w:val="afffffffffffffffffffffffffffffffffff5"/>
              <w:spacing w:line="240" w:lineRule="auto"/>
              <w:ind w:firstLineChars="0" w:firstLine="0"/>
              <w:rPr>
                <w:rFonts w:ascii="Times New Roman" w:eastAsiaTheme="minorEastAsia" w:hAnsi="Times New Roman"/>
                <w:kern w:val="0"/>
                <w:sz w:val="21"/>
                <w:szCs w:val="21"/>
              </w:rPr>
            </w:pPr>
            <w:r>
              <w:rPr>
                <w:rFonts w:ascii="Times New Roman" w:eastAsiaTheme="minorEastAsia" w:hAnsi="Times New Roman"/>
                <w:kern w:val="0"/>
                <w:sz w:val="21"/>
                <w:szCs w:val="21"/>
              </w:rPr>
              <w:t>石油类：</w:t>
            </w:r>
            <w:r>
              <w:rPr>
                <w:rFonts w:ascii="Times New Roman" w:eastAsiaTheme="minorEastAsia" w:hAnsi="Times New Roman"/>
                <w:kern w:val="0"/>
                <w:sz w:val="21"/>
                <w:szCs w:val="21"/>
              </w:rPr>
              <w:t>800mg/L</w:t>
            </w:r>
          </w:p>
        </w:tc>
        <w:tc>
          <w:tcPr>
            <w:tcW w:w="1269"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0</w:t>
            </w:r>
          </w:p>
        </w:tc>
        <w:tc>
          <w:tcPr>
            <w:tcW w:w="1254"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c>
          <w:tcPr>
            <w:tcW w:w="1688" w:type="dxa"/>
            <w:vMerge w:val="restart"/>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进入污水处理站处理达标后作为循环水回用</w:t>
            </w:r>
          </w:p>
        </w:tc>
        <w:tc>
          <w:tcPr>
            <w:tcW w:w="3013" w:type="dxa"/>
            <w:vMerge w:val="restart"/>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《循环冷却水用再生水水质标准》（</w:t>
            </w:r>
            <w:r>
              <w:rPr>
                <w:rFonts w:ascii="Times New Roman" w:eastAsiaTheme="minorEastAsia" w:hAnsi="Times New Roman"/>
                <w:sz w:val="21"/>
                <w:szCs w:val="21"/>
              </w:rPr>
              <w:t>HJ/T3923-2007</w:t>
            </w:r>
            <w:r>
              <w:rPr>
                <w:rFonts w:ascii="Times New Roman" w:eastAsiaTheme="minorEastAsia" w:hAnsi="Times New Roman"/>
                <w:sz w:val="21"/>
                <w:szCs w:val="21"/>
              </w:rPr>
              <w:t>）</w:t>
            </w:r>
          </w:p>
        </w:tc>
        <w:tc>
          <w:tcPr>
            <w:tcW w:w="1047" w:type="dxa"/>
            <w:vMerge w:val="restart"/>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做好分区防渗，以防污染土壤、地下水</w:t>
            </w:r>
          </w:p>
        </w:tc>
      </w:tr>
      <w:tr w:rsidR="00525419">
        <w:trPr>
          <w:trHeight w:val="50"/>
          <w:jc w:val="center"/>
        </w:trPr>
        <w:tc>
          <w:tcPr>
            <w:tcW w:w="86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5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9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循环水系统</w:t>
            </w:r>
          </w:p>
        </w:tc>
        <w:tc>
          <w:tcPr>
            <w:tcW w:w="1210"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循环水</w:t>
            </w:r>
          </w:p>
        </w:tc>
        <w:tc>
          <w:tcPr>
            <w:tcW w:w="2148" w:type="dxa"/>
            <w:gridSpan w:val="2"/>
            <w:vMerge w:val="restart"/>
            <w:tcBorders>
              <w:tl2br w:val="nil"/>
              <w:tr2bl w:val="nil"/>
            </w:tcBorders>
            <w:vAlign w:val="center"/>
          </w:tcPr>
          <w:p w:rsidR="00525419" w:rsidRDefault="00EE1CF7">
            <w:pPr>
              <w:rPr>
                <w:rFonts w:ascii="Times New Roman" w:eastAsiaTheme="minorEastAsia" w:hAnsi="Times New Roman"/>
                <w:szCs w:val="21"/>
              </w:rPr>
            </w:pPr>
            <w:r>
              <w:rPr>
                <w:rFonts w:ascii="Times New Roman" w:eastAsiaTheme="minorEastAsia" w:hAnsi="Times New Roman"/>
                <w:szCs w:val="21"/>
              </w:rPr>
              <w:t>排放量：</w:t>
            </w:r>
            <w:r>
              <w:rPr>
                <w:rFonts w:ascii="Times New Roman" w:eastAsiaTheme="minorEastAsia" w:hAnsi="Times New Roman"/>
                <w:szCs w:val="21"/>
              </w:rPr>
              <w:t>11.5t/h</w:t>
            </w:r>
          </w:p>
          <w:p w:rsidR="00525419" w:rsidRDefault="00EE1CF7">
            <w:pPr>
              <w:rPr>
                <w:rFonts w:ascii="Times New Roman" w:eastAsiaTheme="minorEastAsia" w:hAnsi="Times New Roman"/>
                <w:szCs w:val="21"/>
              </w:rPr>
            </w:pPr>
            <w:r>
              <w:rPr>
                <w:rFonts w:ascii="Times New Roman" w:eastAsiaTheme="minorEastAsia" w:hAnsi="Times New Roman"/>
                <w:szCs w:val="21"/>
              </w:rPr>
              <w:t>COD:60</w:t>
            </w:r>
            <w:r>
              <w:rPr>
                <w:rFonts w:ascii="Times New Roman" w:eastAsiaTheme="minorEastAsia" w:hAnsi="Times New Roman"/>
                <w:kern w:val="0"/>
                <w:szCs w:val="21"/>
              </w:rPr>
              <w:t>mg/L</w:t>
            </w:r>
          </w:p>
          <w:p w:rsidR="00525419" w:rsidRDefault="00EE1CF7">
            <w:pPr>
              <w:rPr>
                <w:rFonts w:ascii="Times New Roman" w:eastAsiaTheme="minorEastAsia" w:hAnsi="Times New Roman"/>
                <w:szCs w:val="21"/>
              </w:rPr>
            </w:pPr>
            <w:r>
              <w:rPr>
                <w:rFonts w:ascii="Times New Roman" w:eastAsiaTheme="minorEastAsia" w:hAnsi="Times New Roman"/>
                <w:szCs w:val="21"/>
              </w:rPr>
              <w:t>TDS:1500</w:t>
            </w:r>
            <w:r>
              <w:rPr>
                <w:rFonts w:ascii="Times New Roman" w:eastAsiaTheme="minorEastAsia" w:hAnsi="Times New Roman"/>
                <w:kern w:val="0"/>
                <w:szCs w:val="21"/>
              </w:rPr>
              <w:t>mg/L</w:t>
            </w:r>
          </w:p>
        </w:tc>
        <w:tc>
          <w:tcPr>
            <w:tcW w:w="1269"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0</w:t>
            </w:r>
          </w:p>
        </w:tc>
        <w:tc>
          <w:tcPr>
            <w:tcW w:w="1254"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c>
          <w:tcPr>
            <w:tcW w:w="1688"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301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47"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r>
      <w:tr w:rsidR="00525419">
        <w:trPr>
          <w:trHeight w:val="50"/>
          <w:jc w:val="center"/>
        </w:trPr>
        <w:tc>
          <w:tcPr>
            <w:tcW w:w="86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5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9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脱盐水装置</w:t>
            </w:r>
          </w:p>
        </w:tc>
        <w:tc>
          <w:tcPr>
            <w:tcW w:w="1210"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脱盐水</w:t>
            </w:r>
          </w:p>
        </w:tc>
        <w:tc>
          <w:tcPr>
            <w:tcW w:w="2148" w:type="dxa"/>
            <w:gridSpan w:val="2"/>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269"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0</w:t>
            </w:r>
          </w:p>
        </w:tc>
        <w:tc>
          <w:tcPr>
            <w:tcW w:w="1254"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c>
          <w:tcPr>
            <w:tcW w:w="1688"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301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47"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r>
      <w:tr w:rsidR="00525419">
        <w:trPr>
          <w:trHeight w:val="50"/>
          <w:jc w:val="center"/>
        </w:trPr>
        <w:tc>
          <w:tcPr>
            <w:tcW w:w="86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5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92" w:type="dxa"/>
            <w:tcBorders>
              <w:tl2br w:val="nil"/>
              <w:tr2bl w:val="nil"/>
            </w:tcBorders>
            <w:vAlign w:val="center"/>
          </w:tcPr>
          <w:p w:rsidR="00525419" w:rsidRDefault="00EE1CF7">
            <w:pPr>
              <w:pStyle w:val="afffffffffffffffffffffffffffffffffff5"/>
              <w:spacing w:line="240" w:lineRule="auto"/>
              <w:ind w:firstLineChars="0" w:firstLine="0"/>
              <w:jc w:val="left"/>
              <w:rPr>
                <w:rFonts w:ascii="Times New Roman" w:eastAsiaTheme="minorEastAsia" w:hAnsi="Times New Roman"/>
                <w:sz w:val="21"/>
                <w:szCs w:val="21"/>
              </w:rPr>
            </w:pPr>
            <w:r>
              <w:rPr>
                <w:rFonts w:ascii="Times New Roman" w:eastAsiaTheme="minorEastAsia" w:hAnsi="Times New Roman"/>
                <w:sz w:val="21"/>
                <w:szCs w:val="21"/>
              </w:rPr>
              <w:t>职工</w:t>
            </w:r>
          </w:p>
        </w:tc>
        <w:tc>
          <w:tcPr>
            <w:tcW w:w="1210" w:type="dxa"/>
            <w:tcBorders>
              <w:tl2br w:val="nil"/>
              <w:tr2bl w:val="nil"/>
            </w:tcBorders>
            <w:vAlign w:val="center"/>
          </w:tcPr>
          <w:p w:rsidR="00525419" w:rsidRDefault="00EE1CF7">
            <w:pPr>
              <w:pStyle w:val="afffffffffffffffffffffffffffffffffff5"/>
              <w:spacing w:line="240" w:lineRule="auto"/>
              <w:ind w:firstLineChars="0" w:firstLine="0"/>
              <w:jc w:val="left"/>
              <w:rPr>
                <w:rFonts w:ascii="Times New Roman" w:eastAsiaTheme="minorEastAsia" w:hAnsi="Times New Roman"/>
                <w:sz w:val="21"/>
                <w:szCs w:val="21"/>
              </w:rPr>
            </w:pPr>
            <w:r>
              <w:rPr>
                <w:rFonts w:ascii="Times New Roman" w:eastAsiaTheme="minorEastAsia" w:hAnsi="Times New Roman"/>
                <w:sz w:val="21"/>
                <w:szCs w:val="21"/>
              </w:rPr>
              <w:t>生活污水</w:t>
            </w:r>
          </w:p>
        </w:tc>
        <w:tc>
          <w:tcPr>
            <w:tcW w:w="2148" w:type="dxa"/>
            <w:gridSpan w:val="2"/>
            <w:tcBorders>
              <w:tl2br w:val="nil"/>
              <w:tr2bl w:val="nil"/>
            </w:tcBorders>
            <w:vAlign w:val="center"/>
          </w:tcPr>
          <w:p w:rsidR="00525419" w:rsidRDefault="00EE1CF7">
            <w:pPr>
              <w:pStyle w:val="afffffffffffffffffffffffffffffffffff5"/>
              <w:spacing w:line="240" w:lineRule="auto"/>
              <w:ind w:firstLineChars="0" w:firstLine="0"/>
              <w:jc w:val="left"/>
              <w:rPr>
                <w:rFonts w:ascii="Times New Roman" w:eastAsiaTheme="minorEastAsia" w:hAnsi="Times New Roman"/>
                <w:sz w:val="21"/>
                <w:szCs w:val="21"/>
              </w:rPr>
            </w:pPr>
            <w:r>
              <w:rPr>
                <w:rFonts w:ascii="Times New Roman" w:eastAsiaTheme="minorEastAsia" w:hAnsi="Times New Roman"/>
                <w:sz w:val="21"/>
                <w:szCs w:val="21"/>
              </w:rPr>
              <w:t>排放量：</w:t>
            </w:r>
            <w:r>
              <w:rPr>
                <w:rFonts w:ascii="Times New Roman" w:eastAsiaTheme="minorEastAsia" w:hAnsi="Times New Roman"/>
                <w:sz w:val="21"/>
                <w:szCs w:val="21"/>
              </w:rPr>
              <w:t>0.24t/h</w:t>
            </w:r>
          </w:p>
          <w:p w:rsidR="00525419" w:rsidRDefault="00EE1CF7">
            <w:pPr>
              <w:pStyle w:val="afffffffffffffffffffffffffffffffffff5"/>
              <w:spacing w:line="240" w:lineRule="auto"/>
              <w:ind w:firstLineChars="0" w:firstLine="0"/>
              <w:jc w:val="left"/>
              <w:rPr>
                <w:rFonts w:ascii="Times New Roman" w:eastAsiaTheme="minorEastAsia" w:hAnsi="Times New Roman"/>
                <w:sz w:val="21"/>
                <w:szCs w:val="21"/>
              </w:rPr>
            </w:pPr>
            <w:r>
              <w:rPr>
                <w:rFonts w:ascii="Times New Roman" w:eastAsiaTheme="minorEastAsia" w:hAnsi="Times New Roman"/>
                <w:sz w:val="21"/>
                <w:szCs w:val="21"/>
              </w:rPr>
              <w:t>COD:300mg/L</w:t>
            </w:r>
          </w:p>
          <w:p w:rsidR="00525419" w:rsidRDefault="00EE1CF7">
            <w:pPr>
              <w:pStyle w:val="afffffffffffffffffffffffffffffffffff5"/>
              <w:spacing w:line="240" w:lineRule="auto"/>
              <w:ind w:firstLineChars="0" w:firstLine="0"/>
              <w:jc w:val="left"/>
              <w:rPr>
                <w:rFonts w:ascii="Times New Roman" w:eastAsiaTheme="minorEastAsia" w:hAnsi="Times New Roman"/>
                <w:sz w:val="21"/>
                <w:szCs w:val="21"/>
              </w:rPr>
            </w:pPr>
            <w:r>
              <w:rPr>
                <w:rFonts w:ascii="Times New Roman" w:eastAsiaTheme="minorEastAsia" w:hAnsi="Times New Roman"/>
                <w:sz w:val="21"/>
                <w:szCs w:val="21"/>
              </w:rPr>
              <w:t>BOD:150mg/L</w:t>
            </w:r>
          </w:p>
          <w:p w:rsidR="00525419" w:rsidRDefault="00EE1CF7">
            <w:pPr>
              <w:pStyle w:val="afffffffffffffffffffffffffffffffffff5"/>
              <w:spacing w:line="240" w:lineRule="auto"/>
              <w:ind w:firstLineChars="0" w:firstLine="0"/>
              <w:jc w:val="left"/>
              <w:rPr>
                <w:rFonts w:ascii="Times New Roman" w:eastAsiaTheme="minorEastAsia" w:hAnsi="Times New Roman"/>
                <w:sz w:val="21"/>
                <w:szCs w:val="21"/>
              </w:rPr>
            </w:pPr>
            <w:r>
              <w:rPr>
                <w:rFonts w:ascii="Times New Roman" w:eastAsiaTheme="minorEastAsia" w:hAnsi="Times New Roman"/>
                <w:sz w:val="21"/>
                <w:szCs w:val="21"/>
              </w:rPr>
              <w:t xml:space="preserve"> SS:100mg/L</w:t>
            </w:r>
          </w:p>
        </w:tc>
        <w:tc>
          <w:tcPr>
            <w:tcW w:w="1269"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0</w:t>
            </w:r>
          </w:p>
        </w:tc>
        <w:tc>
          <w:tcPr>
            <w:tcW w:w="1254"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c>
          <w:tcPr>
            <w:tcW w:w="1688" w:type="dxa"/>
            <w:vMerge/>
            <w:tcBorders>
              <w:tl2br w:val="nil"/>
              <w:tr2bl w:val="nil"/>
            </w:tcBorders>
            <w:vAlign w:val="center"/>
          </w:tcPr>
          <w:p w:rsidR="00525419" w:rsidRDefault="00525419">
            <w:pPr>
              <w:pStyle w:val="afffffffffffffffffffffffffffffffffff5"/>
              <w:spacing w:line="240" w:lineRule="auto"/>
              <w:ind w:firstLineChars="0" w:firstLine="0"/>
              <w:jc w:val="left"/>
              <w:rPr>
                <w:rFonts w:ascii="Times New Roman" w:eastAsiaTheme="minorEastAsia" w:hAnsi="Times New Roman"/>
                <w:sz w:val="21"/>
                <w:szCs w:val="21"/>
              </w:rPr>
            </w:pPr>
          </w:p>
        </w:tc>
        <w:tc>
          <w:tcPr>
            <w:tcW w:w="301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47"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r>
      <w:tr w:rsidR="00525419">
        <w:trPr>
          <w:trHeight w:val="50"/>
          <w:jc w:val="center"/>
        </w:trPr>
        <w:tc>
          <w:tcPr>
            <w:tcW w:w="86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5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92" w:type="dxa"/>
            <w:tcBorders>
              <w:tl2br w:val="nil"/>
              <w:tr2bl w:val="nil"/>
            </w:tcBorders>
            <w:vAlign w:val="center"/>
          </w:tcPr>
          <w:p w:rsidR="00525419" w:rsidRDefault="00EE1CF7">
            <w:pPr>
              <w:pStyle w:val="afffffffffffffffffffffffffffffffffff5"/>
              <w:spacing w:line="240" w:lineRule="auto"/>
              <w:ind w:firstLineChars="0" w:firstLine="0"/>
              <w:jc w:val="left"/>
              <w:rPr>
                <w:rFonts w:ascii="Times New Roman" w:eastAsiaTheme="minorEastAsia" w:hAnsi="Times New Roman"/>
                <w:sz w:val="21"/>
                <w:szCs w:val="21"/>
              </w:rPr>
            </w:pPr>
            <w:r>
              <w:rPr>
                <w:rFonts w:ascii="Times New Roman" w:eastAsiaTheme="minorEastAsia" w:hAnsi="Times New Roman"/>
                <w:sz w:val="21"/>
                <w:szCs w:val="21"/>
              </w:rPr>
              <w:t>天然气制氢</w:t>
            </w:r>
          </w:p>
        </w:tc>
        <w:tc>
          <w:tcPr>
            <w:tcW w:w="1210" w:type="dxa"/>
            <w:tcBorders>
              <w:tl2br w:val="nil"/>
              <w:tr2bl w:val="nil"/>
            </w:tcBorders>
            <w:vAlign w:val="center"/>
          </w:tcPr>
          <w:p w:rsidR="00525419" w:rsidRDefault="00EE1CF7">
            <w:pPr>
              <w:pStyle w:val="afffffffffffffffffffffffffffffffffff5"/>
              <w:spacing w:line="240" w:lineRule="auto"/>
              <w:ind w:firstLineChars="0" w:firstLine="0"/>
              <w:jc w:val="left"/>
              <w:rPr>
                <w:rFonts w:ascii="Times New Roman" w:eastAsiaTheme="minorEastAsia" w:hAnsi="Times New Roman"/>
                <w:sz w:val="21"/>
                <w:szCs w:val="21"/>
              </w:rPr>
            </w:pPr>
            <w:r>
              <w:rPr>
                <w:rFonts w:ascii="Times New Roman" w:eastAsiaTheme="minorEastAsia" w:hAnsi="Times New Roman"/>
                <w:sz w:val="21"/>
                <w:szCs w:val="21"/>
              </w:rPr>
              <w:t>连续扩容器排水</w:t>
            </w:r>
          </w:p>
        </w:tc>
        <w:tc>
          <w:tcPr>
            <w:tcW w:w="2148" w:type="dxa"/>
            <w:gridSpan w:val="2"/>
            <w:tcBorders>
              <w:tl2br w:val="nil"/>
              <w:tr2bl w:val="nil"/>
            </w:tcBorders>
            <w:vAlign w:val="center"/>
          </w:tcPr>
          <w:p w:rsidR="00525419" w:rsidRDefault="00EE1CF7">
            <w:pPr>
              <w:pStyle w:val="afffffffffffffffffffffffffffffffffff5"/>
              <w:spacing w:line="240" w:lineRule="auto"/>
              <w:ind w:firstLineChars="0" w:firstLine="0"/>
              <w:jc w:val="left"/>
              <w:rPr>
                <w:rFonts w:ascii="Times New Roman" w:eastAsiaTheme="minorEastAsia" w:hAnsi="Times New Roman"/>
                <w:sz w:val="21"/>
                <w:szCs w:val="21"/>
              </w:rPr>
            </w:pPr>
            <w:r>
              <w:rPr>
                <w:rFonts w:ascii="Times New Roman" w:eastAsiaTheme="minorEastAsia" w:hAnsi="Times New Roman"/>
                <w:sz w:val="21"/>
                <w:szCs w:val="21"/>
              </w:rPr>
              <w:t>废水量：</w:t>
            </w:r>
            <w:r>
              <w:rPr>
                <w:rFonts w:ascii="Times New Roman" w:eastAsiaTheme="minorEastAsia" w:hAnsi="Times New Roman" w:hint="eastAsia"/>
                <w:sz w:val="21"/>
                <w:szCs w:val="21"/>
              </w:rPr>
              <w:t>0.4</w:t>
            </w:r>
            <w:r>
              <w:rPr>
                <w:rFonts w:ascii="Times New Roman" w:eastAsiaTheme="minorEastAsia" w:hAnsi="Times New Roman"/>
                <w:sz w:val="21"/>
                <w:szCs w:val="21"/>
              </w:rPr>
              <w:t>t/h</w:t>
            </w:r>
          </w:p>
          <w:p w:rsidR="00525419" w:rsidRDefault="00EE1CF7">
            <w:pPr>
              <w:pStyle w:val="afffffffffffffffffffffffffffffffffff5"/>
              <w:spacing w:line="240" w:lineRule="auto"/>
              <w:ind w:firstLineChars="0" w:firstLine="0"/>
              <w:jc w:val="left"/>
              <w:rPr>
                <w:rFonts w:ascii="Times New Roman" w:eastAsiaTheme="minorEastAsia" w:hAnsi="Times New Roman"/>
                <w:sz w:val="21"/>
                <w:szCs w:val="21"/>
              </w:rPr>
            </w:pPr>
            <w:r>
              <w:rPr>
                <w:rFonts w:ascii="Times New Roman" w:eastAsiaTheme="minorEastAsia" w:hAnsi="Times New Roman"/>
                <w:sz w:val="21"/>
                <w:szCs w:val="21"/>
              </w:rPr>
              <w:t>COD:60mg/L</w:t>
            </w:r>
          </w:p>
        </w:tc>
        <w:tc>
          <w:tcPr>
            <w:tcW w:w="1269"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0</w:t>
            </w:r>
          </w:p>
        </w:tc>
        <w:tc>
          <w:tcPr>
            <w:tcW w:w="1254"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c>
          <w:tcPr>
            <w:tcW w:w="1688" w:type="dxa"/>
            <w:vMerge/>
            <w:tcBorders>
              <w:tl2br w:val="nil"/>
              <w:tr2bl w:val="nil"/>
            </w:tcBorders>
            <w:vAlign w:val="center"/>
          </w:tcPr>
          <w:p w:rsidR="00525419" w:rsidRDefault="00525419">
            <w:pPr>
              <w:pStyle w:val="afffffffffffffffffffffffffffffffffff5"/>
              <w:spacing w:line="240" w:lineRule="auto"/>
              <w:ind w:firstLineChars="0" w:firstLine="0"/>
              <w:jc w:val="left"/>
              <w:rPr>
                <w:rFonts w:ascii="Times New Roman" w:eastAsiaTheme="minorEastAsia" w:hAnsi="Times New Roman"/>
                <w:sz w:val="21"/>
                <w:szCs w:val="21"/>
              </w:rPr>
            </w:pPr>
          </w:p>
        </w:tc>
        <w:tc>
          <w:tcPr>
            <w:tcW w:w="301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47"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r>
      <w:tr w:rsidR="00525419">
        <w:trPr>
          <w:trHeight w:val="50"/>
          <w:jc w:val="center"/>
        </w:trPr>
        <w:tc>
          <w:tcPr>
            <w:tcW w:w="86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5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92" w:type="dxa"/>
            <w:tcBorders>
              <w:tl2br w:val="nil"/>
              <w:tr2bl w:val="nil"/>
            </w:tcBorders>
            <w:vAlign w:val="center"/>
          </w:tcPr>
          <w:p w:rsidR="00525419" w:rsidRDefault="00EE1CF7">
            <w:pPr>
              <w:pStyle w:val="afffffffffffffffffffffffffffffffffff5"/>
              <w:spacing w:line="240" w:lineRule="auto"/>
              <w:ind w:firstLineChars="0" w:firstLine="0"/>
              <w:jc w:val="left"/>
              <w:rPr>
                <w:rFonts w:ascii="Times New Roman" w:eastAsiaTheme="minorEastAsia" w:hAnsi="Times New Roman"/>
                <w:sz w:val="21"/>
                <w:szCs w:val="21"/>
              </w:rPr>
            </w:pPr>
            <w:r>
              <w:rPr>
                <w:rFonts w:ascii="Times New Roman" w:eastAsiaTheme="minorEastAsia" w:hAnsi="Times New Roman"/>
                <w:sz w:val="21"/>
                <w:szCs w:val="21"/>
              </w:rPr>
              <w:t>焦油加氢</w:t>
            </w:r>
          </w:p>
        </w:tc>
        <w:tc>
          <w:tcPr>
            <w:tcW w:w="1210" w:type="dxa"/>
            <w:tcBorders>
              <w:tl2br w:val="nil"/>
              <w:tr2bl w:val="nil"/>
            </w:tcBorders>
            <w:vAlign w:val="center"/>
          </w:tcPr>
          <w:p w:rsidR="00525419" w:rsidRDefault="00EE1CF7">
            <w:pPr>
              <w:pStyle w:val="afffffffffffffffffffffffffffffffffff5"/>
              <w:spacing w:line="240" w:lineRule="auto"/>
              <w:ind w:firstLineChars="0" w:firstLine="0"/>
              <w:jc w:val="left"/>
              <w:rPr>
                <w:rFonts w:ascii="Times New Roman" w:eastAsiaTheme="minorEastAsia" w:hAnsi="Times New Roman"/>
                <w:sz w:val="21"/>
                <w:szCs w:val="21"/>
              </w:rPr>
            </w:pPr>
            <w:r>
              <w:rPr>
                <w:rFonts w:ascii="Times New Roman" w:eastAsiaTheme="minorEastAsia" w:hAnsi="Times New Roman"/>
                <w:sz w:val="21"/>
                <w:szCs w:val="21"/>
              </w:rPr>
              <w:t>含硫废水</w:t>
            </w:r>
          </w:p>
        </w:tc>
        <w:tc>
          <w:tcPr>
            <w:tcW w:w="2148" w:type="dxa"/>
            <w:gridSpan w:val="2"/>
            <w:tcBorders>
              <w:tl2br w:val="nil"/>
              <w:tr2bl w:val="nil"/>
            </w:tcBorders>
            <w:vAlign w:val="center"/>
          </w:tcPr>
          <w:p w:rsidR="00525419" w:rsidRDefault="00EE1CF7">
            <w:pPr>
              <w:pStyle w:val="afffffffffffffffffffffffffffffffffff5"/>
              <w:spacing w:line="240" w:lineRule="auto"/>
              <w:ind w:firstLineChars="0" w:firstLine="0"/>
              <w:jc w:val="left"/>
              <w:rPr>
                <w:rFonts w:ascii="Times New Roman" w:eastAsiaTheme="minorEastAsia" w:hAnsi="Times New Roman"/>
                <w:sz w:val="21"/>
                <w:szCs w:val="21"/>
              </w:rPr>
            </w:pPr>
            <w:r>
              <w:rPr>
                <w:rFonts w:ascii="Times New Roman" w:eastAsiaTheme="minorEastAsia" w:hAnsi="Times New Roman"/>
                <w:sz w:val="21"/>
                <w:szCs w:val="21"/>
              </w:rPr>
              <w:t>废水量：</w:t>
            </w:r>
            <w:r>
              <w:rPr>
                <w:rFonts w:ascii="Times New Roman" w:eastAsiaTheme="minorEastAsia" w:hAnsi="Times New Roman" w:hint="eastAsia"/>
                <w:sz w:val="21"/>
                <w:szCs w:val="21"/>
              </w:rPr>
              <w:t>17.5</w:t>
            </w:r>
            <w:r>
              <w:rPr>
                <w:rFonts w:ascii="Times New Roman" w:eastAsiaTheme="minorEastAsia" w:hAnsi="Times New Roman"/>
                <w:sz w:val="21"/>
                <w:szCs w:val="21"/>
              </w:rPr>
              <w:t>t/h</w:t>
            </w:r>
          </w:p>
          <w:p w:rsidR="00525419" w:rsidRDefault="00EE1CF7">
            <w:pPr>
              <w:pStyle w:val="afffffffffffffffffffffffffffffffffff5"/>
              <w:spacing w:line="240" w:lineRule="auto"/>
              <w:ind w:firstLineChars="0" w:firstLine="0"/>
              <w:jc w:val="left"/>
              <w:rPr>
                <w:rFonts w:ascii="Times New Roman" w:eastAsiaTheme="minorEastAsia" w:hAnsi="Times New Roman"/>
                <w:sz w:val="21"/>
                <w:szCs w:val="21"/>
              </w:rPr>
            </w:pPr>
            <w:r>
              <w:rPr>
                <w:rFonts w:ascii="Times New Roman" w:eastAsiaTheme="minorEastAsia" w:hAnsi="Times New Roman"/>
                <w:sz w:val="21"/>
                <w:szCs w:val="21"/>
              </w:rPr>
              <w:t>COD</w:t>
            </w:r>
            <w:r>
              <w:rPr>
                <w:rFonts w:ascii="Times New Roman" w:eastAsiaTheme="minorEastAsia" w:hAnsi="Times New Roman"/>
                <w:sz w:val="21"/>
                <w:szCs w:val="21"/>
              </w:rPr>
              <w:t>：</w:t>
            </w:r>
            <w:r>
              <w:rPr>
                <w:rFonts w:ascii="Times New Roman" w:eastAsiaTheme="minorEastAsia" w:hAnsi="Times New Roman"/>
                <w:sz w:val="21"/>
                <w:szCs w:val="21"/>
              </w:rPr>
              <w:t>40000mg/L</w:t>
            </w:r>
            <w:r>
              <w:rPr>
                <w:rFonts w:ascii="Times New Roman" w:eastAsiaTheme="minorEastAsia" w:hAnsi="Times New Roman"/>
                <w:sz w:val="21"/>
                <w:szCs w:val="21"/>
              </w:rPr>
              <w:t>；</w:t>
            </w:r>
          </w:p>
          <w:p w:rsidR="00525419" w:rsidRDefault="00EE1CF7">
            <w:pPr>
              <w:pStyle w:val="afffffffffffffffffffffffffffffffffff5"/>
              <w:spacing w:line="240" w:lineRule="auto"/>
              <w:ind w:firstLineChars="0" w:firstLine="0"/>
              <w:jc w:val="left"/>
              <w:rPr>
                <w:rFonts w:ascii="Times New Roman" w:eastAsiaTheme="minorEastAsia" w:hAnsi="Times New Roman"/>
                <w:sz w:val="21"/>
                <w:szCs w:val="21"/>
              </w:rPr>
            </w:pPr>
            <w:r>
              <w:rPr>
                <w:rFonts w:ascii="Times New Roman" w:eastAsiaTheme="minorEastAsia" w:hAnsi="Times New Roman"/>
                <w:sz w:val="21"/>
                <w:szCs w:val="21"/>
              </w:rPr>
              <w:t>氨氮：</w:t>
            </w:r>
            <w:r>
              <w:rPr>
                <w:rFonts w:ascii="Times New Roman" w:eastAsiaTheme="minorEastAsia" w:hAnsi="Times New Roman"/>
                <w:sz w:val="21"/>
                <w:szCs w:val="21"/>
              </w:rPr>
              <w:t>4000mg/L</w:t>
            </w:r>
            <w:r>
              <w:rPr>
                <w:rFonts w:ascii="Times New Roman" w:eastAsiaTheme="minorEastAsia" w:hAnsi="Times New Roman"/>
                <w:sz w:val="21"/>
                <w:szCs w:val="21"/>
              </w:rPr>
              <w:t>；</w:t>
            </w:r>
          </w:p>
          <w:p w:rsidR="00525419" w:rsidRDefault="00EE1CF7">
            <w:pPr>
              <w:pStyle w:val="afffffffffffffffffffffffffffffffffff5"/>
              <w:spacing w:line="240" w:lineRule="auto"/>
              <w:ind w:firstLineChars="0" w:firstLine="0"/>
              <w:jc w:val="left"/>
              <w:rPr>
                <w:rFonts w:ascii="Times New Roman" w:eastAsiaTheme="minorEastAsia" w:hAnsi="Times New Roman"/>
                <w:sz w:val="21"/>
                <w:szCs w:val="21"/>
              </w:rPr>
            </w:pPr>
            <w:r>
              <w:rPr>
                <w:rFonts w:ascii="Times New Roman" w:eastAsiaTheme="minorEastAsia" w:hAnsi="Times New Roman"/>
                <w:sz w:val="21"/>
                <w:szCs w:val="21"/>
              </w:rPr>
              <w:t>石油类：</w:t>
            </w:r>
            <w:r>
              <w:rPr>
                <w:rFonts w:ascii="Times New Roman" w:eastAsiaTheme="minorEastAsia" w:hAnsi="Times New Roman"/>
                <w:sz w:val="21"/>
                <w:szCs w:val="21"/>
              </w:rPr>
              <w:t>500mg/L</w:t>
            </w:r>
            <w:r>
              <w:rPr>
                <w:rFonts w:ascii="Times New Roman" w:eastAsiaTheme="minorEastAsia" w:hAnsi="Times New Roman"/>
                <w:sz w:val="21"/>
                <w:szCs w:val="21"/>
              </w:rPr>
              <w:t>；</w:t>
            </w:r>
          </w:p>
          <w:p w:rsidR="00525419" w:rsidRDefault="00EE1CF7">
            <w:pPr>
              <w:pStyle w:val="afffffffffffffffffffffffffffffffffff5"/>
              <w:spacing w:line="240" w:lineRule="auto"/>
              <w:ind w:firstLineChars="0" w:firstLine="0"/>
              <w:jc w:val="left"/>
              <w:rPr>
                <w:rFonts w:ascii="Times New Roman" w:eastAsiaTheme="minorEastAsia" w:hAnsi="Times New Roman"/>
                <w:sz w:val="21"/>
                <w:szCs w:val="21"/>
              </w:rPr>
            </w:pPr>
            <w:r>
              <w:rPr>
                <w:rFonts w:ascii="Times New Roman" w:eastAsiaTheme="minorEastAsia" w:hAnsi="Times New Roman"/>
                <w:sz w:val="21"/>
                <w:szCs w:val="21"/>
              </w:rPr>
              <w:t>硫化物：</w:t>
            </w:r>
            <w:r>
              <w:rPr>
                <w:rFonts w:ascii="Times New Roman" w:eastAsiaTheme="minorEastAsia" w:hAnsi="Times New Roman"/>
                <w:sz w:val="21"/>
                <w:szCs w:val="21"/>
              </w:rPr>
              <w:t>8000mg/L</w:t>
            </w:r>
          </w:p>
        </w:tc>
        <w:tc>
          <w:tcPr>
            <w:tcW w:w="1269"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0</w:t>
            </w:r>
          </w:p>
        </w:tc>
        <w:tc>
          <w:tcPr>
            <w:tcW w:w="1254"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c>
          <w:tcPr>
            <w:tcW w:w="1688" w:type="dxa"/>
            <w:tcBorders>
              <w:tl2br w:val="nil"/>
              <w:tr2bl w:val="nil"/>
            </w:tcBorders>
            <w:vAlign w:val="center"/>
          </w:tcPr>
          <w:p w:rsidR="00525419" w:rsidRDefault="00EE1CF7">
            <w:pPr>
              <w:pStyle w:val="afffffffffffffffffffffffffffffffffff5"/>
              <w:spacing w:line="240" w:lineRule="auto"/>
              <w:ind w:firstLineChars="0" w:firstLine="0"/>
              <w:jc w:val="left"/>
              <w:rPr>
                <w:rFonts w:ascii="Times New Roman" w:eastAsiaTheme="minorEastAsia" w:hAnsi="Times New Roman"/>
                <w:sz w:val="21"/>
                <w:szCs w:val="21"/>
              </w:rPr>
            </w:pPr>
            <w:r>
              <w:rPr>
                <w:rFonts w:ascii="Times New Roman" w:eastAsiaTheme="minorEastAsia" w:hAnsi="Times New Roman"/>
                <w:sz w:val="21"/>
                <w:szCs w:val="21"/>
              </w:rPr>
              <w:t>进入酸性水汽提装置处理后全部用于注水</w:t>
            </w:r>
          </w:p>
        </w:tc>
        <w:tc>
          <w:tcPr>
            <w:tcW w:w="3013"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c>
          <w:tcPr>
            <w:tcW w:w="1047"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r>
      <w:tr w:rsidR="00525419">
        <w:trPr>
          <w:trHeight w:val="50"/>
          <w:jc w:val="center"/>
        </w:trPr>
        <w:tc>
          <w:tcPr>
            <w:tcW w:w="864"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噪声</w:t>
            </w:r>
          </w:p>
        </w:tc>
        <w:tc>
          <w:tcPr>
            <w:tcW w:w="1053"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c>
          <w:tcPr>
            <w:tcW w:w="119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装置区</w:t>
            </w:r>
          </w:p>
        </w:tc>
        <w:tc>
          <w:tcPr>
            <w:tcW w:w="1210"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hint="eastAsia"/>
                <w:sz w:val="21"/>
                <w:szCs w:val="21"/>
              </w:rPr>
              <w:t>制氢转化炉</w:t>
            </w:r>
            <w:r>
              <w:rPr>
                <w:rFonts w:ascii="Times New Roman" w:eastAsiaTheme="minorEastAsia" w:hAnsi="Times New Roman"/>
                <w:sz w:val="21"/>
                <w:szCs w:val="21"/>
              </w:rPr>
              <w:t>、压缩机、风机、空冷器等</w:t>
            </w:r>
          </w:p>
        </w:tc>
        <w:tc>
          <w:tcPr>
            <w:tcW w:w="2148" w:type="dxa"/>
            <w:gridSpan w:val="2"/>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源强为</w:t>
            </w:r>
            <w:r>
              <w:rPr>
                <w:rFonts w:ascii="Times New Roman" w:eastAsiaTheme="minorEastAsia" w:hAnsi="Times New Roman"/>
                <w:sz w:val="21"/>
                <w:szCs w:val="21"/>
              </w:rPr>
              <w:t>85-100dB(A)</w:t>
            </w:r>
          </w:p>
        </w:tc>
        <w:tc>
          <w:tcPr>
            <w:tcW w:w="1269" w:type="dxa"/>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254"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昼间</w:t>
            </w:r>
            <w:r>
              <w:rPr>
                <w:rFonts w:ascii="Times New Roman" w:eastAsiaTheme="minorEastAsia" w:hAnsi="Times New Roman"/>
                <w:sz w:val="21"/>
                <w:szCs w:val="21"/>
              </w:rPr>
              <w:t>≤65 dB(A</w:t>
            </w:r>
            <w:r>
              <w:rPr>
                <w:rFonts w:ascii="Times New Roman" w:eastAsiaTheme="minorEastAsia" w:hAnsi="Times New Roman"/>
                <w:sz w:val="21"/>
                <w:szCs w:val="21"/>
              </w:rPr>
              <w:t>；夜间</w:t>
            </w:r>
            <w:r>
              <w:rPr>
                <w:rFonts w:ascii="Times New Roman" w:eastAsiaTheme="minorEastAsia" w:hAnsi="Times New Roman"/>
                <w:sz w:val="21"/>
                <w:szCs w:val="21"/>
              </w:rPr>
              <w:t>≤55 dB(A</w:t>
            </w:r>
          </w:p>
        </w:tc>
        <w:tc>
          <w:tcPr>
            <w:tcW w:w="1688"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设备减噪：强噪车间封闭或隔声室，强噪风机进气口装消声器。</w:t>
            </w:r>
          </w:p>
        </w:tc>
        <w:tc>
          <w:tcPr>
            <w:tcW w:w="3013"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达到《工业企业厂界环境噪声排放标准》（</w:t>
            </w:r>
            <w:r>
              <w:rPr>
                <w:rFonts w:ascii="Times New Roman" w:eastAsiaTheme="minorEastAsia" w:hAnsi="Times New Roman"/>
                <w:sz w:val="21"/>
                <w:szCs w:val="21"/>
              </w:rPr>
              <w:t>GB12348-2008</w:t>
            </w:r>
            <w:r>
              <w:rPr>
                <w:rFonts w:ascii="Times New Roman" w:eastAsiaTheme="minorEastAsia" w:hAnsi="Times New Roman"/>
                <w:sz w:val="21"/>
                <w:szCs w:val="21"/>
              </w:rPr>
              <w:t>）</w:t>
            </w:r>
            <w:r>
              <w:rPr>
                <w:rFonts w:ascii="Times New Roman" w:eastAsiaTheme="minorEastAsia" w:hAnsi="Times New Roman"/>
                <w:sz w:val="21"/>
                <w:szCs w:val="21"/>
              </w:rPr>
              <w:t>3</w:t>
            </w:r>
            <w:r>
              <w:rPr>
                <w:rFonts w:ascii="Times New Roman" w:eastAsiaTheme="minorEastAsia" w:hAnsi="Times New Roman"/>
                <w:sz w:val="21"/>
                <w:szCs w:val="21"/>
              </w:rPr>
              <w:t>类功能区限值</w:t>
            </w:r>
          </w:p>
        </w:tc>
        <w:tc>
          <w:tcPr>
            <w:tcW w:w="1047"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r>
      <w:tr w:rsidR="00525419">
        <w:trPr>
          <w:trHeight w:val="505"/>
          <w:jc w:val="center"/>
        </w:trPr>
        <w:tc>
          <w:tcPr>
            <w:tcW w:w="864" w:type="dxa"/>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固体</w:t>
            </w:r>
          </w:p>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废物</w:t>
            </w:r>
          </w:p>
        </w:tc>
        <w:tc>
          <w:tcPr>
            <w:tcW w:w="1053"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c>
          <w:tcPr>
            <w:tcW w:w="119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职工</w:t>
            </w:r>
          </w:p>
        </w:tc>
        <w:tc>
          <w:tcPr>
            <w:tcW w:w="1210"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c>
          <w:tcPr>
            <w:tcW w:w="2148" w:type="dxa"/>
            <w:gridSpan w:val="2"/>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生活垃圾</w:t>
            </w:r>
          </w:p>
        </w:tc>
        <w:tc>
          <w:tcPr>
            <w:tcW w:w="1269"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30t/a</w:t>
            </w:r>
          </w:p>
        </w:tc>
        <w:tc>
          <w:tcPr>
            <w:tcW w:w="1254"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c>
          <w:tcPr>
            <w:tcW w:w="1688"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集中收集，定期由环卫部门拉运至生活垃圾填埋场填埋</w:t>
            </w:r>
          </w:p>
        </w:tc>
        <w:tc>
          <w:tcPr>
            <w:tcW w:w="3013"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《生活垃圾填埋场污染控制标准》（</w:t>
            </w:r>
            <w:r>
              <w:rPr>
                <w:rFonts w:ascii="Times New Roman" w:eastAsiaTheme="minorEastAsia" w:hAnsi="Times New Roman"/>
                <w:sz w:val="21"/>
                <w:szCs w:val="21"/>
              </w:rPr>
              <w:t>GB16889-2008</w:t>
            </w:r>
            <w:r>
              <w:rPr>
                <w:rFonts w:ascii="Times New Roman" w:eastAsiaTheme="minorEastAsia" w:hAnsi="Times New Roman"/>
                <w:sz w:val="21"/>
                <w:szCs w:val="21"/>
              </w:rPr>
              <w:t>）</w:t>
            </w:r>
          </w:p>
        </w:tc>
        <w:tc>
          <w:tcPr>
            <w:tcW w:w="1047"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r>
      <w:tr w:rsidR="00525419">
        <w:trPr>
          <w:trHeight w:val="336"/>
          <w:jc w:val="center"/>
        </w:trPr>
        <w:tc>
          <w:tcPr>
            <w:tcW w:w="86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53" w:type="dxa"/>
            <w:vMerge w:val="restart"/>
            <w:tcBorders>
              <w:tl2br w:val="nil"/>
              <w:tr2bl w:val="nil"/>
            </w:tcBorders>
            <w:vAlign w:val="center"/>
          </w:tcPr>
          <w:p w:rsidR="00525419" w:rsidRDefault="00EE1CF7">
            <w:pPr>
              <w:pStyle w:val="afffffffffffffffffffffffffffffffffff5"/>
              <w:spacing w:line="240" w:lineRule="auto"/>
              <w:ind w:firstLineChars="0" w:firstLine="0"/>
              <w:rPr>
                <w:rFonts w:ascii="Times New Roman" w:eastAsiaTheme="minorEastAsia" w:hAnsi="Times New Roman"/>
                <w:sz w:val="21"/>
                <w:szCs w:val="21"/>
              </w:rPr>
            </w:pPr>
            <w:r>
              <w:rPr>
                <w:rFonts w:ascii="Times New Roman" w:eastAsiaTheme="minorEastAsia" w:hAnsi="Times New Roman"/>
                <w:sz w:val="21"/>
                <w:szCs w:val="21"/>
              </w:rPr>
              <w:t>一般工业固废</w:t>
            </w:r>
          </w:p>
        </w:tc>
        <w:tc>
          <w:tcPr>
            <w:tcW w:w="119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天然气制氢</w:t>
            </w:r>
          </w:p>
        </w:tc>
        <w:tc>
          <w:tcPr>
            <w:tcW w:w="1210" w:type="dxa"/>
            <w:tcBorders>
              <w:tl2br w:val="nil"/>
              <w:tr2bl w:val="nil"/>
            </w:tcBorders>
            <w:vAlign w:val="center"/>
          </w:tcPr>
          <w:p w:rsidR="00525419" w:rsidRDefault="00EE1CF7">
            <w:pPr>
              <w:spacing w:line="240" w:lineRule="exact"/>
              <w:rPr>
                <w:rFonts w:ascii="Times New Roman" w:eastAsiaTheme="minorEastAsia" w:hAnsi="Times New Roman"/>
                <w:szCs w:val="21"/>
              </w:rPr>
            </w:pPr>
            <w:r>
              <w:rPr>
                <w:rFonts w:ascii="Times New Roman" w:eastAsiaTheme="minorEastAsia" w:hAnsi="Times New Roman"/>
                <w:szCs w:val="21"/>
              </w:rPr>
              <w:t>PSA</w:t>
            </w:r>
            <w:r>
              <w:rPr>
                <w:rFonts w:ascii="Times New Roman" w:eastAsiaTheme="minorEastAsia" w:hAnsi="Times New Roman"/>
                <w:szCs w:val="21"/>
              </w:rPr>
              <w:t>吸附塔</w:t>
            </w:r>
          </w:p>
        </w:tc>
        <w:tc>
          <w:tcPr>
            <w:tcW w:w="2148" w:type="dxa"/>
            <w:gridSpan w:val="2"/>
            <w:tcBorders>
              <w:tl2br w:val="nil"/>
              <w:tr2bl w:val="nil"/>
            </w:tcBorders>
            <w:vAlign w:val="center"/>
          </w:tcPr>
          <w:p w:rsidR="00525419" w:rsidRDefault="00EE1CF7">
            <w:pPr>
              <w:spacing w:line="240" w:lineRule="exact"/>
              <w:jc w:val="center"/>
              <w:rPr>
                <w:rFonts w:ascii="Times New Roman" w:eastAsiaTheme="minorEastAsia" w:hAnsi="Times New Roman"/>
                <w:szCs w:val="21"/>
              </w:rPr>
            </w:pPr>
            <w:r>
              <w:rPr>
                <w:rFonts w:ascii="Times New Roman" w:eastAsiaTheme="minorEastAsia" w:hAnsi="Times New Roman"/>
                <w:szCs w:val="21"/>
              </w:rPr>
              <w:t>废吸附剂</w:t>
            </w:r>
          </w:p>
        </w:tc>
        <w:tc>
          <w:tcPr>
            <w:tcW w:w="1269"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21.03t/a</w:t>
            </w:r>
          </w:p>
        </w:tc>
        <w:tc>
          <w:tcPr>
            <w:tcW w:w="1254"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c>
          <w:tcPr>
            <w:tcW w:w="1688" w:type="dxa"/>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堆存在一般固废堆放场，厂家回收</w:t>
            </w:r>
          </w:p>
        </w:tc>
        <w:tc>
          <w:tcPr>
            <w:tcW w:w="3013" w:type="dxa"/>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《一般工业固体废物贮存、处置场污染控制标准》</w:t>
            </w:r>
            <w:r>
              <w:rPr>
                <w:rFonts w:ascii="Times New Roman" w:eastAsiaTheme="minorEastAsia" w:hAnsi="Times New Roman"/>
                <w:sz w:val="21"/>
                <w:szCs w:val="21"/>
              </w:rPr>
              <w:t>(GB18599-2001)</w:t>
            </w:r>
          </w:p>
        </w:tc>
        <w:tc>
          <w:tcPr>
            <w:tcW w:w="1047" w:type="dxa"/>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r>
      <w:tr w:rsidR="00525419">
        <w:trPr>
          <w:trHeight w:val="90"/>
          <w:jc w:val="center"/>
        </w:trPr>
        <w:tc>
          <w:tcPr>
            <w:tcW w:w="86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53" w:type="dxa"/>
            <w:vMerge/>
            <w:tcBorders>
              <w:tl2br w:val="nil"/>
              <w:tr2bl w:val="nil"/>
            </w:tcBorders>
            <w:vAlign w:val="center"/>
          </w:tcPr>
          <w:p w:rsidR="00525419" w:rsidRDefault="00525419">
            <w:pPr>
              <w:pStyle w:val="afffffffffffffffffffffffffffffffffff5"/>
              <w:spacing w:line="240" w:lineRule="auto"/>
              <w:ind w:firstLineChars="0" w:firstLine="0"/>
              <w:rPr>
                <w:rFonts w:ascii="Times New Roman" w:eastAsiaTheme="minorEastAsia" w:hAnsi="Times New Roman"/>
                <w:sz w:val="21"/>
                <w:szCs w:val="21"/>
              </w:rPr>
            </w:pPr>
          </w:p>
        </w:tc>
        <w:tc>
          <w:tcPr>
            <w:tcW w:w="119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焦油加氢、硫磺回收</w:t>
            </w:r>
          </w:p>
        </w:tc>
        <w:tc>
          <w:tcPr>
            <w:tcW w:w="1210"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各类反应器</w:t>
            </w:r>
          </w:p>
        </w:tc>
        <w:tc>
          <w:tcPr>
            <w:tcW w:w="2148" w:type="dxa"/>
            <w:gridSpan w:val="2"/>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废瓷球</w:t>
            </w:r>
          </w:p>
        </w:tc>
        <w:tc>
          <w:tcPr>
            <w:tcW w:w="1269"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2.774t/a</w:t>
            </w:r>
          </w:p>
        </w:tc>
        <w:tc>
          <w:tcPr>
            <w:tcW w:w="1254"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c>
          <w:tcPr>
            <w:tcW w:w="1688"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301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47"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r>
      <w:tr w:rsidR="00525419">
        <w:trPr>
          <w:trHeight w:val="334"/>
          <w:jc w:val="center"/>
        </w:trPr>
        <w:tc>
          <w:tcPr>
            <w:tcW w:w="86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53" w:type="dxa"/>
            <w:vMerge w:val="restart"/>
            <w:tcBorders>
              <w:tl2br w:val="nil"/>
              <w:tr2bl w:val="nil"/>
            </w:tcBorders>
            <w:vAlign w:val="center"/>
          </w:tcPr>
          <w:p w:rsidR="00525419" w:rsidRDefault="00EE1CF7">
            <w:pPr>
              <w:pStyle w:val="afffffffffffffffffffffffffffffffffff5"/>
              <w:spacing w:line="240" w:lineRule="auto"/>
              <w:ind w:firstLineChars="0" w:firstLine="0"/>
              <w:rPr>
                <w:rFonts w:ascii="Times New Roman" w:eastAsiaTheme="minorEastAsia" w:hAnsi="Times New Roman"/>
                <w:sz w:val="21"/>
                <w:szCs w:val="21"/>
              </w:rPr>
            </w:pPr>
            <w:r>
              <w:rPr>
                <w:rFonts w:ascii="Times New Roman" w:eastAsiaTheme="minorEastAsia" w:hAnsi="Times New Roman"/>
                <w:sz w:val="21"/>
                <w:szCs w:val="21"/>
              </w:rPr>
              <w:t>危险废物</w:t>
            </w:r>
          </w:p>
        </w:tc>
        <w:tc>
          <w:tcPr>
            <w:tcW w:w="119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储运工程</w:t>
            </w:r>
          </w:p>
        </w:tc>
        <w:tc>
          <w:tcPr>
            <w:tcW w:w="1210"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储罐油泥</w:t>
            </w:r>
          </w:p>
        </w:tc>
        <w:tc>
          <w:tcPr>
            <w:tcW w:w="2148" w:type="dxa"/>
            <w:gridSpan w:val="2"/>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HW08</w:t>
            </w:r>
            <w:r>
              <w:rPr>
                <w:rFonts w:ascii="Times New Roman" w:eastAsiaTheme="minorEastAsia" w:hAnsi="Times New Roman"/>
                <w:sz w:val="21"/>
                <w:szCs w:val="21"/>
              </w:rPr>
              <w:t>废矿物油与含矿物油废物</w:t>
            </w:r>
          </w:p>
        </w:tc>
        <w:tc>
          <w:tcPr>
            <w:tcW w:w="1269"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hint="eastAsia"/>
                <w:sz w:val="21"/>
                <w:szCs w:val="21"/>
              </w:rPr>
              <w:t>15</w:t>
            </w:r>
            <w:r>
              <w:rPr>
                <w:rFonts w:ascii="Times New Roman" w:eastAsiaTheme="minorEastAsia" w:hAnsi="Times New Roman"/>
                <w:sz w:val="21"/>
                <w:szCs w:val="21"/>
              </w:rPr>
              <w:t>t/a</w:t>
            </w:r>
          </w:p>
        </w:tc>
        <w:tc>
          <w:tcPr>
            <w:tcW w:w="1254"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c>
          <w:tcPr>
            <w:tcW w:w="1688" w:type="dxa"/>
            <w:vMerge w:val="restart"/>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危险固废委托有资质单位处理</w:t>
            </w:r>
          </w:p>
        </w:tc>
        <w:tc>
          <w:tcPr>
            <w:tcW w:w="3013" w:type="dxa"/>
            <w:vMerge w:val="restart"/>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《危险废物贮存污染控制标准》</w:t>
            </w:r>
            <w:r>
              <w:rPr>
                <w:rFonts w:ascii="Times New Roman" w:eastAsiaTheme="minorEastAsia" w:hAnsi="Times New Roman"/>
                <w:sz w:val="21"/>
                <w:szCs w:val="21"/>
              </w:rPr>
              <w:t>(GB18597-2001)</w:t>
            </w:r>
          </w:p>
        </w:tc>
        <w:tc>
          <w:tcPr>
            <w:tcW w:w="1047" w:type="dxa"/>
            <w:vMerge w:val="restart"/>
            <w:tcBorders>
              <w:tl2br w:val="nil"/>
              <w:tr2bl w:val="nil"/>
            </w:tcBorders>
            <w:vAlign w:val="center"/>
          </w:tcPr>
          <w:p w:rsidR="00525419" w:rsidRDefault="00525419">
            <w:pPr>
              <w:pStyle w:val="afffffffffffffffffffffffffffffffffff5"/>
              <w:spacing w:line="240" w:lineRule="auto"/>
              <w:ind w:firstLineChars="0" w:firstLine="0"/>
              <w:rPr>
                <w:rFonts w:ascii="Times New Roman" w:eastAsiaTheme="minorEastAsia" w:hAnsi="Times New Roman"/>
                <w:sz w:val="21"/>
                <w:szCs w:val="21"/>
              </w:rPr>
            </w:pPr>
          </w:p>
          <w:p w:rsidR="00525419" w:rsidRDefault="00525419">
            <w:pPr>
              <w:pStyle w:val="afffffffffffffffffffffffffffffffffff5"/>
              <w:spacing w:line="240" w:lineRule="auto"/>
              <w:ind w:firstLineChars="0" w:firstLine="0"/>
              <w:rPr>
                <w:rFonts w:ascii="Times New Roman" w:eastAsiaTheme="minorEastAsia" w:hAnsi="Times New Roman"/>
                <w:sz w:val="21"/>
                <w:szCs w:val="21"/>
              </w:rPr>
            </w:pPr>
          </w:p>
          <w:p w:rsidR="00525419" w:rsidRDefault="00525419">
            <w:pPr>
              <w:pStyle w:val="afffffffffffffffffffffffffffffffffff5"/>
              <w:spacing w:line="240" w:lineRule="auto"/>
              <w:ind w:firstLineChars="0" w:firstLine="0"/>
              <w:rPr>
                <w:rFonts w:ascii="Times New Roman" w:eastAsiaTheme="minorEastAsia" w:hAnsi="Times New Roman"/>
                <w:sz w:val="21"/>
                <w:szCs w:val="21"/>
              </w:rPr>
            </w:pPr>
          </w:p>
          <w:p w:rsidR="00525419" w:rsidRDefault="00525419">
            <w:pPr>
              <w:pStyle w:val="afffffffffffffffffffffffffffffffffff5"/>
              <w:spacing w:line="240" w:lineRule="auto"/>
              <w:ind w:firstLineChars="0" w:firstLine="0"/>
              <w:rPr>
                <w:rFonts w:ascii="Times New Roman" w:eastAsiaTheme="minorEastAsia" w:hAnsi="Times New Roman"/>
                <w:sz w:val="21"/>
                <w:szCs w:val="21"/>
              </w:rPr>
            </w:pPr>
          </w:p>
          <w:p w:rsidR="00525419" w:rsidRDefault="00525419">
            <w:pPr>
              <w:pStyle w:val="afffffffffffffffffffffffffffffffffff5"/>
              <w:spacing w:line="240" w:lineRule="auto"/>
              <w:ind w:firstLineChars="0" w:firstLine="0"/>
              <w:rPr>
                <w:rFonts w:ascii="Times New Roman" w:eastAsiaTheme="minorEastAsia" w:hAnsi="Times New Roman"/>
                <w:sz w:val="21"/>
                <w:szCs w:val="21"/>
              </w:rPr>
            </w:pPr>
          </w:p>
          <w:p w:rsidR="00525419" w:rsidRDefault="00EE1CF7">
            <w:pPr>
              <w:pStyle w:val="afffffffffffffffffffffffffffffffffff5"/>
              <w:spacing w:line="240" w:lineRule="auto"/>
              <w:ind w:firstLineChars="0" w:firstLine="0"/>
              <w:rPr>
                <w:rFonts w:ascii="Times New Roman" w:eastAsiaTheme="minorEastAsia" w:hAnsi="Times New Roman"/>
                <w:sz w:val="21"/>
                <w:szCs w:val="21"/>
              </w:rPr>
            </w:pPr>
            <w:r>
              <w:rPr>
                <w:rFonts w:ascii="Times New Roman" w:eastAsiaTheme="minorEastAsia" w:hAnsi="Times New Roman"/>
                <w:sz w:val="21"/>
                <w:szCs w:val="21"/>
              </w:rPr>
              <w:t>危险废物</w:t>
            </w:r>
          </w:p>
          <w:p w:rsidR="00525419" w:rsidRDefault="00EE1CF7">
            <w:pPr>
              <w:pStyle w:val="afffffffffffffffffffffffffffffffffff5"/>
              <w:spacing w:line="240" w:lineRule="auto"/>
              <w:ind w:firstLineChars="0" w:firstLine="0"/>
              <w:rPr>
                <w:rFonts w:ascii="Times New Roman" w:eastAsiaTheme="minorEastAsia" w:hAnsi="Times New Roman"/>
                <w:sz w:val="21"/>
                <w:szCs w:val="21"/>
              </w:rPr>
            </w:pPr>
            <w:r>
              <w:rPr>
                <w:rFonts w:ascii="Times New Roman" w:eastAsiaTheme="minorEastAsia" w:hAnsi="Times New Roman"/>
                <w:sz w:val="21"/>
                <w:szCs w:val="21"/>
              </w:rPr>
              <w:t>暂存间</w:t>
            </w:r>
            <w:r>
              <w:rPr>
                <w:rFonts w:ascii="Times New Roman" w:eastAsiaTheme="minorEastAsia" w:hAnsi="Times New Roman"/>
                <w:sz w:val="21"/>
                <w:szCs w:val="21"/>
              </w:rPr>
              <w:t>“</w:t>
            </w:r>
            <w:r>
              <w:rPr>
                <w:rFonts w:ascii="Times New Roman" w:eastAsiaTheme="minorEastAsia" w:hAnsi="Times New Roman"/>
                <w:sz w:val="21"/>
                <w:szCs w:val="21"/>
              </w:rPr>
              <w:t>四防</w:t>
            </w:r>
            <w:r>
              <w:rPr>
                <w:rFonts w:ascii="Times New Roman" w:eastAsiaTheme="minorEastAsia" w:hAnsi="Times New Roman"/>
                <w:sz w:val="21"/>
                <w:szCs w:val="21"/>
              </w:rPr>
              <w:t>”</w:t>
            </w:r>
          </w:p>
        </w:tc>
      </w:tr>
      <w:tr w:rsidR="00525419">
        <w:trPr>
          <w:trHeight w:val="90"/>
          <w:jc w:val="center"/>
        </w:trPr>
        <w:tc>
          <w:tcPr>
            <w:tcW w:w="86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5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92" w:type="dxa"/>
            <w:tcBorders>
              <w:tl2br w:val="nil"/>
              <w:tr2bl w:val="nil"/>
            </w:tcBorders>
            <w:vAlign w:val="center"/>
          </w:tcPr>
          <w:p w:rsidR="00525419" w:rsidRDefault="00EE1CF7">
            <w:pPr>
              <w:widowControl/>
              <w:jc w:val="center"/>
              <w:textAlignment w:val="center"/>
              <w:rPr>
                <w:rFonts w:ascii="Times New Roman" w:eastAsiaTheme="minorEastAsia" w:hAnsi="Times New Roman"/>
                <w:szCs w:val="21"/>
              </w:rPr>
            </w:pPr>
            <w:r>
              <w:rPr>
                <w:rFonts w:ascii="Times New Roman" w:eastAsiaTheme="minorEastAsia" w:hAnsi="Times New Roman"/>
                <w:kern w:val="0"/>
                <w:szCs w:val="21"/>
                <w:lang w:bidi="ar"/>
              </w:rPr>
              <w:t>公用工程</w:t>
            </w:r>
          </w:p>
        </w:tc>
        <w:tc>
          <w:tcPr>
            <w:tcW w:w="1210" w:type="dxa"/>
            <w:tcBorders>
              <w:tl2br w:val="nil"/>
              <w:tr2bl w:val="nil"/>
            </w:tcBorders>
            <w:vAlign w:val="center"/>
          </w:tcPr>
          <w:p w:rsidR="00525419" w:rsidRDefault="00EE1CF7">
            <w:pPr>
              <w:widowControl/>
              <w:jc w:val="center"/>
              <w:textAlignment w:val="center"/>
              <w:rPr>
                <w:rFonts w:ascii="Times New Roman" w:eastAsiaTheme="minorEastAsia" w:hAnsi="Times New Roman"/>
                <w:szCs w:val="21"/>
              </w:rPr>
            </w:pPr>
            <w:r>
              <w:rPr>
                <w:rFonts w:ascii="Times New Roman" w:eastAsiaTheme="minorEastAsia" w:hAnsi="Times New Roman"/>
                <w:kern w:val="0"/>
                <w:szCs w:val="21"/>
                <w:lang w:bidi="ar"/>
              </w:rPr>
              <w:t>气浮单元浮渣</w:t>
            </w:r>
          </w:p>
        </w:tc>
        <w:tc>
          <w:tcPr>
            <w:tcW w:w="2148" w:type="dxa"/>
            <w:gridSpan w:val="2"/>
            <w:tcBorders>
              <w:tl2br w:val="nil"/>
              <w:tr2bl w:val="nil"/>
            </w:tcBorders>
            <w:vAlign w:val="center"/>
          </w:tcPr>
          <w:p w:rsidR="00525419" w:rsidRDefault="00EE1CF7">
            <w:pPr>
              <w:widowControl/>
              <w:jc w:val="center"/>
              <w:textAlignment w:val="center"/>
              <w:rPr>
                <w:rFonts w:ascii="Times New Roman" w:eastAsiaTheme="minorEastAsia" w:hAnsi="Times New Roman"/>
                <w:szCs w:val="21"/>
              </w:rPr>
            </w:pPr>
            <w:r>
              <w:rPr>
                <w:rFonts w:ascii="Times New Roman" w:eastAsiaTheme="minorEastAsia" w:hAnsi="Times New Roman"/>
                <w:szCs w:val="21"/>
              </w:rPr>
              <w:t>HW08</w:t>
            </w:r>
            <w:r>
              <w:rPr>
                <w:rFonts w:ascii="Times New Roman" w:eastAsiaTheme="minorEastAsia" w:hAnsi="Times New Roman"/>
                <w:szCs w:val="21"/>
              </w:rPr>
              <w:t>废矿物油与含矿物油废物</w:t>
            </w:r>
          </w:p>
        </w:tc>
        <w:tc>
          <w:tcPr>
            <w:tcW w:w="1269" w:type="dxa"/>
            <w:tcBorders>
              <w:tl2br w:val="nil"/>
              <w:tr2bl w:val="nil"/>
            </w:tcBorders>
            <w:vAlign w:val="center"/>
          </w:tcPr>
          <w:p w:rsidR="00525419" w:rsidRDefault="00EE1CF7">
            <w:pPr>
              <w:widowControl/>
              <w:jc w:val="center"/>
              <w:textAlignment w:val="center"/>
              <w:rPr>
                <w:rFonts w:ascii="Times New Roman" w:eastAsiaTheme="minorEastAsia" w:hAnsi="Times New Roman"/>
                <w:szCs w:val="21"/>
              </w:rPr>
            </w:pPr>
            <w:r>
              <w:rPr>
                <w:rFonts w:ascii="Times New Roman" w:eastAsiaTheme="minorEastAsia" w:hAnsi="Times New Roman"/>
                <w:szCs w:val="21"/>
              </w:rPr>
              <w:t>11.8t/a</w:t>
            </w:r>
          </w:p>
        </w:tc>
        <w:tc>
          <w:tcPr>
            <w:tcW w:w="1254" w:type="dxa"/>
            <w:tcBorders>
              <w:tl2br w:val="nil"/>
              <w:tr2bl w:val="nil"/>
            </w:tcBorders>
            <w:vAlign w:val="center"/>
          </w:tcPr>
          <w:p w:rsidR="00525419" w:rsidRDefault="00EE1CF7">
            <w:pPr>
              <w:widowControl/>
              <w:jc w:val="center"/>
              <w:textAlignment w:val="center"/>
              <w:rPr>
                <w:rFonts w:ascii="Times New Roman" w:eastAsiaTheme="minorEastAsia" w:hAnsi="Times New Roman"/>
                <w:szCs w:val="21"/>
              </w:rPr>
            </w:pPr>
            <w:r>
              <w:rPr>
                <w:rFonts w:ascii="Times New Roman" w:eastAsiaTheme="minorEastAsia" w:hAnsi="Times New Roman"/>
                <w:szCs w:val="21"/>
              </w:rPr>
              <w:t>/</w:t>
            </w:r>
          </w:p>
        </w:tc>
        <w:tc>
          <w:tcPr>
            <w:tcW w:w="1688"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301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47" w:type="dxa"/>
            <w:vMerge/>
            <w:tcBorders>
              <w:tl2br w:val="nil"/>
              <w:tr2bl w:val="nil"/>
            </w:tcBorders>
            <w:vAlign w:val="center"/>
          </w:tcPr>
          <w:p w:rsidR="00525419" w:rsidRDefault="00525419">
            <w:pPr>
              <w:pStyle w:val="afffffffffffffffffffffffffffffffffff5"/>
              <w:spacing w:line="240" w:lineRule="auto"/>
              <w:ind w:firstLineChars="0" w:firstLine="0"/>
              <w:rPr>
                <w:rFonts w:ascii="Times New Roman" w:eastAsiaTheme="minorEastAsia" w:hAnsi="Times New Roman"/>
                <w:sz w:val="21"/>
                <w:szCs w:val="21"/>
              </w:rPr>
            </w:pPr>
          </w:p>
        </w:tc>
      </w:tr>
      <w:tr w:rsidR="00525419">
        <w:trPr>
          <w:trHeight w:val="312"/>
          <w:jc w:val="center"/>
        </w:trPr>
        <w:tc>
          <w:tcPr>
            <w:tcW w:w="86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5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9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加氢反应器、</w:t>
            </w:r>
            <w:r>
              <w:rPr>
                <w:rFonts w:ascii="Times New Roman" w:eastAsiaTheme="minorEastAsia" w:hAnsi="Times New Roman" w:hint="eastAsia"/>
                <w:sz w:val="21"/>
                <w:szCs w:val="21"/>
              </w:rPr>
              <w:t>制氢转化炉</w:t>
            </w:r>
          </w:p>
        </w:tc>
        <w:tc>
          <w:tcPr>
            <w:tcW w:w="1210"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废加氢催化剂、废转化催化剂</w:t>
            </w:r>
          </w:p>
        </w:tc>
        <w:tc>
          <w:tcPr>
            <w:tcW w:w="2148" w:type="dxa"/>
            <w:gridSpan w:val="2"/>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HW46</w:t>
            </w:r>
            <w:r>
              <w:rPr>
                <w:rFonts w:ascii="Times New Roman" w:eastAsiaTheme="minorEastAsia" w:hAnsi="Times New Roman"/>
                <w:sz w:val="21"/>
                <w:szCs w:val="21"/>
              </w:rPr>
              <w:t>含镍废物</w:t>
            </w:r>
          </w:p>
        </w:tc>
        <w:tc>
          <w:tcPr>
            <w:tcW w:w="1269"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8.68</w:t>
            </w:r>
          </w:p>
        </w:tc>
        <w:tc>
          <w:tcPr>
            <w:tcW w:w="1254"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c>
          <w:tcPr>
            <w:tcW w:w="1688"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301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47"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r>
      <w:tr w:rsidR="00525419">
        <w:trPr>
          <w:trHeight w:val="50"/>
          <w:jc w:val="center"/>
        </w:trPr>
        <w:tc>
          <w:tcPr>
            <w:tcW w:w="86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5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9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氧化锌脱硫反应器</w:t>
            </w:r>
          </w:p>
        </w:tc>
        <w:tc>
          <w:tcPr>
            <w:tcW w:w="1210"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废脱氯剂、废脱硫剂</w:t>
            </w:r>
          </w:p>
        </w:tc>
        <w:tc>
          <w:tcPr>
            <w:tcW w:w="2148" w:type="dxa"/>
            <w:gridSpan w:val="2"/>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HW23</w:t>
            </w:r>
            <w:r>
              <w:rPr>
                <w:rFonts w:ascii="Times New Roman" w:eastAsiaTheme="minorEastAsia" w:hAnsi="Times New Roman"/>
                <w:sz w:val="21"/>
                <w:szCs w:val="21"/>
              </w:rPr>
              <w:t>含锌废物</w:t>
            </w:r>
          </w:p>
        </w:tc>
        <w:tc>
          <w:tcPr>
            <w:tcW w:w="1269"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21.64</w:t>
            </w:r>
          </w:p>
        </w:tc>
        <w:tc>
          <w:tcPr>
            <w:tcW w:w="1254"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c>
          <w:tcPr>
            <w:tcW w:w="1688"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301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47"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r>
      <w:tr w:rsidR="00525419">
        <w:trPr>
          <w:trHeight w:val="50"/>
          <w:jc w:val="center"/>
        </w:trPr>
        <w:tc>
          <w:tcPr>
            <w:tcW w:w="86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5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9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中温变换反应器</w:t>
            </w:r>
          </w:p>
        </w:tc>
        <w:tc>
          <w:tcPr>
            <w:tcW w:w="1210"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废中变催化剂</w:t>
            </w:r>
          </w:p>
        </w:tc>
        <w:tc>
          <w:tcPr>
            <w:tcW w:w="2148" w:type="dxa"/>
            <w:gridSpan w:val="2"/>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HW06</w:t>
            </w:r>
            <w:r>
              <w:rPr>
                <w:rFonts w:ascii="Times New Roman" w:eastAsiaTheme="minorEastAsia" w:hAnsi="Times New Roman"/>
                <w:sz w:val="21"/>
                <w:szCs w:val="21"/>
              </w:rPr>
              <w:t>有机溶剂废物</w:t>
            </w:r>
          </w:p>
        </w:tc>
        <w:tc>
          <w:tcPr>
            <w:tcW w:w="1269"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14.37</w:t>
            </w:r>
          </w:p>
        </w:tc>
        <w:tc>
          <w:tcPr>
            <w:tcW w:w="1254"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c>
          <w:tcPr>
            <w:tcW w:w="1688"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301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47"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r>
      <w:tr w:rsidR="00525419">
        <w:trPr>
          <w:trHeight w:val="50"/>
          <w:jc w:val="center"/>
        </w:trPr>
        <w:tc>
          <w:tcPr>
            <w:tcW w:w="86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5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9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焦油加氢、硫磺回收</w:t>
            </w:r>
          </w:p>
        </w:tc>
        <w:tc>
          <w:tcPr>
            <w:tcW w:w="1210"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废催化剂</w:t>
            </w:r>
          </w:p>
        </w:tc>
        <w:tc>
          <w:tcPr>
            <w:tcW w:w="2148" w:type="dxa"/>
            <w:gridSpan w:val="2"/>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HW50</w:t>
            </w:r>
            <w:r>
              <w:rPr>
                <w:rFonts w:ascii="Times New Roman" w:eastAsiaTheme="minorEastAsia" w:hAnsi="Times New Roman"/>
                <w:sz w:val="21"/>
                <w:szCs w:val="21"/>
              </w:rPr>
              <w:t>废催化剂</w:t>
            </w:r>
          </w:p>
        </w:tc>
        <w:tc>
          <w:tcPr>
            <w:tcW w:w="1269"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31.11</w:t>
            </w:r>
          </w:p>
        </w:tc>
        <w:tc>
          <w:tcPr>
            <w:tcW w:w="1254"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c>
          <w:tcPr>
            <w:tcW w:w="1688"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301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47"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r>
      <w:tr w:rsidR="00525419">
        <w:trPr>
          <w:trHeight w:val="50"/>
          <w:jc w:val="center"/>
        </w:trPr>
        <w:tc>
          <w:tcPr>
            <w:tcW w:w="86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5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9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Claus</w:t>
            </w:r>
            <w:r>
              <w:rPr>
                <w:rFonts w:ascii="Times New Roman" w:eastAsiaTheme="minorEastAsia" w:hAnsi="Times New Roman"/>
                <w:sz w:val="21"/>
                <w:szCs w:val="21"/>
              </w:rPr>
              <w:t>反应器、汽提塔、溶剂再生器</w:t>
            </w:r>
          </w:p>
        </w:tc>
        <w:tc>
          <w:tcPr>
            <w:tcW w:w="1210"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废克劳斯催化剂、废脱硫剂、废活性炭</w:t>
            </w:r>
          </w:p>
        </w:tc>
        <w:tc>
          <w:tcPr>
            <w:tcW w:w="2148" w:type="dxa"/>
            <w:gridSpan w:val="2"/>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HW08</w:t>
            </w:r>
            <w:r>
              <w:rPr>
                <w:rFonts w:ascii="Times New Roman" w:eastAsiaTheme="minorEastAsia" w:hAnsi="Times New Roman"/>
                <w:sz w:val="21"/>
                <w:szCs w:val="21"/>
              </w:rPr>
              <w:t>废矿物油与含矿物油废物</w:t>
            </w:r>
          </w:p>
        </w:tc>
        <w:tc>
          <w:tcPr>
            <w:tcW w:w="1269"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6</w:t>
            </w:r>
          </w:p>
        </w:tc>
        <w:tc>
          <w:tcPr>
            <w:tcW w:w="1254"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c>
          <w:tcPr>
            <w:tcW w:w="1688"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3013"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047"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r>
    </w:tbl>
    <w:p w:rsidR="00525419" w:rsidRDefault="00525419" w:rsidP="00EE1CF7">
      <w:pPr>
        <w:pStyle w:val="2a"/>
        <w:spacing w:beforeLines="50" w:before="166" w:after="166"/>
        <w:rPr>
          <w:rFonts w:ascii="Times New Roman" w:eastAsia="楷体_GB2312" w:hAnsi="Times New Roman"/>
          <w:sz w:val="36"/>
        </w:rPr>
        <w:sectPr w:rsidR="00525419">
          <w:pgSz w:w="16838" w:h="11906" w:orient="landscape"/>
          <w:pgMar w:top="1803" w:right="1440" w:bottom="1803" w:left="1440" w:header="851" w:footer="992" w:gutter="0"/>
          <w:cols w:space="0"/>
          <w:docGrid w:type="lines" w:linePitch="332"/>
        </w:sectPr>
      </w:pPr>
    </w:p>
    <w:p w:rsidR="00525419" w:rsidRDefault="00EE1CF7" w:rsidP="00EE1CF7">
      <w:pPr>
        <w:pStyle w:val="2a"/>
        <w:spacing w:beforeLines="50" w:before="166" w:after="166"/>
        <w:ind w:left="578" w:hanging="578"/>
        <w:rPr>
          <w:rFonts w:ascii="Times New Roman" w:eastAsia="楷体_GB2312" w:hAnsi="Times New Roman"/>
          <w:sz w:val="36"/>
        </w:rPr>
      </w:pPr>
      <w:bookmarkStart w:id="333" w:name="_Toc14548"/>
      <w:r>
        <w:rPr>
          <w:rFonts w:ascii="Times New Roman" w:eastAsia="楷体_GB2312" w:hAnsi="Times New Roman"/>
          <w:sz w:val="36"/>
        </w:rPr>
        <w:t>8.5</w:t>
      </w:r>
      <w:r>
        <w:rPr>
          <w:rFonts w:ascii="Times New Roman" w:eastAsia="楷体_GB2312" w:hAnsi="Times New Roman"/>
          <w:sz w:val="36"/>
        </w:rPr>
        <w:t>环境保护</w:t>
      </w:r>
      <w:r>
        <w:rPr>
          <w:rFonts w:ascii="Times New Roman" w:eastAsia="楷体_GB2312" w:hAnsi="Times New Roman"/>
          <w:sz w:val="36"/>
        </w:rPr>
        <w:t>“</w:t>
      </w:r>
      <w:r>
        <w:rPr>
          <w:rFonts w:ascii="Times New Roman" w:eastAsia="楷体_GB2312" w:hAnsi="Times New Roman"/>
          <w:sz w:val="36"/>
        </w:rPr>
        <w:t>三同时</w:t>
      </w:r>
      <w:r>
        <w:rPr>
          <w:rFonts w:ascii="Times New Roman" w:eastAsia="楷体_GB2312" w:hAnsi="Times New Roman"/>
          <w:sz w:val="36"/>
        </w:rPr>
        <w:t>”</w:t>
      </w:r>
      <w:r>
        <w:rPr>
          <w:rFonts w:ascii="Times New Roman" w:eastAsia="楷体_GB2312" w:hAnsi="Times New Roman"/>
          <w:sz w:val="36"/>
        </w:rPr>
        <w:t>验收</w:t>
      </w:r>
      <w:bookmarkEnd w:id="333"/>
    </w:p>
    <w:p w:rsidR="00525419" w:rsidRDefault="00EE1CF7">
      <w:pPr>
        <w:spacing w:line="360" w:lineRule="auto"/>
        <w:ind w:firstLine="480"/>
        <w:rPr>
          <w:rFonts w:ascii="Times New Roman" w:hAnsi="Times New Roman"/>
          <w:sz w:val="24"/>
          <w:szCs w:val="24"/>
        </w:rPr>
      </w:pPr>
      <w:r>
        <w:rPr>
          <w:rFonts w:ascii="Times New Roman" w:hAnsi="Times New Roman"/>
          <w:sz w:val="24"/>
          <w:szCs w:val="24"/>
        </w:rPr>
        <w:t>项目</w:t>
      </w:r>
      <w:r>
        <w:rPr>
          <w:rFonts w:ascii="Times New Roman" w:hAnsi="Times New Roman"/>
          <w:sz w:val="24"/>
          <w:szCs w:val="24"/>
        </w:rPr>
        <w:t>“</w:t>
      </w:r>
      <w:r>
        <w:rPr>
          <w:rFonts w:ascii="Times New Roman" w:hAnsi="Times New Roman"/>
          <w:sz w:val="24"/>
          <w:szCs w:val="24"/>
        </w:rPr>
        <w:t>三同时</w:t>
      </w:r>
      <w:r>
        <w:rPr>
          <w:rFonts w:ascii="Times New Roman" w:hAnsi="Times New Roman"/>
          <w:sz w:val="24"/>
          <w:szCs w:val="24"/>
        </w:rPr>
        <w:t>”</w:t>
      </w:r>
      <w:r>
        <w:rPr>
          <w:rFonts w:ascii="Times New Roman" w:hAnsi="Times New Roman"/>
          <w:sz w:val="24"/>
          <w:szCs w:val="24"/>
        </w:rPr>
        <w:t>环保设施验收清单列入表</w:t>
      </w:r>
      <w:r>
        <w:rPr>
          <w:rFonts w:ascii="Times New Roman" w:hAnsi="Times New Roman"/>
          <w:sz w:val="24"/>
          <w:szCs w:val="24"/>
        </w:rPr>
        <w:t>8.5-1</w:t>
      </w:r>
      <w:r>
        <w:rPr>
          <w:rFonts w:ascii="Times New Roman" w:hAnsi="Times New Roman"/>
          <w:sz w:val="24"/>
          <w:szCs w:val="24"/>
        </w:rPr>
        <w:t>。</w:t>
      </w:r>
    </w:p>
    <w:p w:rsidR="00525419" w:rsidRDefault="00EE1CF7">
      <w:pPr>
        <w:ind w:firstLineChars="700" w:firstLine="1470"/>
        <w:rPr>
          <w:rFonts w:ascii="Times New Roman" w:eastAsia="黑体" w:hAnsi="Times New Roman"/>
          <w:szCs w:val="21"/>
        </w:rPr>
      </w:pPr>
      <w:r>
        <w:rPr>
          <w:rFonts w:ascii="Times New Roman" w:eastAsia="黑体" w:hAnsi="Times New Roman"/>
          <w:szCs w:val="21"/>
        </w:rPr>
        <w:t>表</w:t>
      </w:r>
      <w:r>
        <w:rPr>
          <w:rFonts w:ascii="Times New Roman" w:eastAsia="黑体" w:hAnsi="Times New Roman"/>
          <w:szCs w:val="21"/>
        </w:rPr>
        <w:t xml:space="preserve">8.5-1   </w:t>
      </w:r>
      <w:r>
        <w:rPr>
          <w:rFonts w:ascii="Times New Roman" w:eastAsia="黑体" w:hAnsi="Times New Roman"/>
          <w:szCs w:val="21"/>
        </w:rPr>
        <w:t xml:space="preserve">　　　</w:t>
      </w:r>
      <w:r>
        <w:rPr>
          <w:rFonts w:ascii="Times New Roman" w:eastAsia="黑体" w:hAnsi="Times New Roman"/>
          <w:szCs w:val="21"/>
        </w:rPr>
        <w:t>“</w:t>
      </w:r>
      <w:r>
        <w:rPr>
          <w:rFonts w:ascii="Times New Roman" w:eastAsia="黑体" w:hAnsi="Times New Roman"/>
          <w:szCs w:val="21"/>
        </w:rPr>
        <w:t>三同时</w:t>
      </w:r>
      <w:r>
        <w:rPr>
          <w:rFonts w:ascii="Times New Roman" w:eastAsia="黑体" w:hAnsi="Times New Roman"/>
          <w:szCs w:val="21"/>
        </w:rPr>
        <w:t>”</w:t>
      </w:r>
      <w:r>
        <w:rPr>
          <w:rFonts w:ascii="Times New Roman" w:eastAsia="黑体" w:hAnsi="Times New Roman"/>
          <w:szCs w:val="21"/>
        </w:rPr>
        <w:t>验收一览表</w:t>
      </w:r>
    </w:p>
    <w:tbl>
      <w:tblPr>
        <w:tblW w:w="922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44"/>
        <w:gridCol w:w="1502"/>
        <w:gridCol w:w="1145"/>
        <w:gridCol w:w="1853"/>
        <w:gridCol w:w="1827"/>
        <w:gridCol w:w="2056"/>
      </w:tblGrid>
      <w:tr w:rsidR="00525419">
        <w:trPr>
          <w:trHeight w:hRule="exact" w:val="340"/>
          <w:tblHeader/>
          <w:jc w:val="center"/>
        </w:trPr>
        <w:tc>
          <w:tcPr>
            <w:tcW w:w="2346" w:type="dxa"/>
            <w:gridSpan w:val="2"/>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项目</w:t>
            </w:r>
          </w:p>
        </w:tc>
        <w:tc>
          <w:tcPr>
            <w:tcW w:w="6881" w:type="dxa"/>
            <w:gridSpan w:val="4"/>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验收内容</w:t>
            </w:r>
          </w:p>
        </w:tc>
      </w:tr>
      <w:tr w:rsidR="00525419">
        <w:trPr>
          <w:trHeight w:hRule="exact" w:val="340"/>
          <w:tblHeader/>
          <w:jc w:val="center"/>
        </w:trPr>
        <w:tc>
          <w:tcPr>
            <w:tcW w:w="2346" w:type="dxa"/>
            <w:gridSpan w:val="2"/>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2998" w:type="dxa"/>
            <w:gridSpan w:val="2"/>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环保措施</w:t>
            </w:r>
          </w:p>
        </w:tc>
        <w:tc>
          <w:tcPr>
            <w:tcW w:w="1827"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监测（或验收）内容</w:t>
            </w:r>
          </w:p>
        </w:tc>
        <w:tc>
          <w:tcPr>
            <w:tcW w:w="2056"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控制指标</w:t>
            </w:r>
          </w:p>
        </w:tc>
      </w:tr>
      <w:tr w:rsidR="00525419">
        <w:trPr>
          <w:trHeight w:hRule="exact" w:val="576"/>
          <w:jc w:val="center"/>
        </w:trPr>
        <w:tc>
          <w:tcPr>
            <w:tcW w:w="844" w:type="dxa"/>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废气治理</w:t>
            </w:r>
          </w:p>
        </w:tc>
        <w:tc>
          <w:tcPr>
            <w:tcW w:w="150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非正常工艺气</w:t>
            </w:r>
          </w:p>
        </w:tc>
        <w:tc>
          <w:tcPr>
            <w:tcW w:w="2998" w:type="dxa"/>
            <w:gridSpan w:val="2"/>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非正常气回收及其火炬系统</w:t>
            </w:r>
          </w:p>
        </w:tc>
        <w:tc>
          <w:tcPr>
            <w:tcW w:w="1827"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建设及依托情况</w:t>
            </w:r>
          </w:p>
        </w:tc>
        <w:tc>
          <w:tcPr>
            <w:tcW w:w="2056"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r>
      <w:tr w:rsidR="00525419">
        <w:trPr>
          <w:trHeight w:val="1330"/>
          <w:jc w:val="center"/>
        </w:trPr>
        <w:tc>
          <w:tcPr>
            <w:tcW w:w="84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50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罐区及装卸无组织挥发性有机物</w:t>
            </w:r>
          </w:p>
        </w:tc>
        <w:tc>
          <w:tcPr>
            <w:tcW w:w="2998" w:type="dxa"/>
            <w:gridSpan w:val="2"/>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依托油气回收</w:t>
            </w:r>
            <w:r>
              <w:rPr>
                <w:rFonts w:ascii="Times New Roman" w:eastAsiaTheme="minorEastAsia" w:hAnsi="Times New Roman" w:hint="eastAsia"/>
                <w:sz w:val="21"/>
                <w:szCs w:val="21"/>
              </w:rPr>
              <w:t>装置</w:t>
            </w:r>
          </w:p>
        </w:tc>
        <w:tc>
          <w:tcPr>
            <w:tcW w:w="1827"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非甲烷总烃的排放浓度及排放速率</w:t>
            </w:r>
          </w:p>
        </w:tc>
        <w:tc>
          <w:tcPr>
            <w:tcW w:w="2056"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《石油炼制工业污染物排放标准》</w:t>
            </w:r>
            <w:r>
              <w:rPr>
                <w:rFonts w:ascii="Times New Roman" w:eastAsiaTheme="minorEastAsia" w:hAnsi="Times New Roman"/>
                <w:sz w:val="21"/>
                <w:szCs w:val="21"/>
              </w:rPr>
              <w:t>(GB31570-2015)</w:t>
            </w:r>
            <w:r>
              <w:rPr>
                <w:rFonts w:ascii="Times New Roman" w:eastAsiaTheme="minorEastAsia" w:hAnsi="Times New Roman"/>
                <w:sz w:val="21"/>
                <w:szCs w:val="21"/>
              </w:rPr>
              <w:t>中</w:t>
            </w:r>
            <w:r>
              <w:rPr>
                <w:rFonts w:ascii="Times New Roman" w:eastAsiaTheme="minorEastAsia" w:hAnsi="Times New Roman"/>
                <w:sz w:val="21"/>
                <w:szCs w:val="21"/>
              </w:rPr>
              <w:t>“</w:t>
            </w:r>
            <w:r>
              <w:rPr>
                <w:rFonts w:ascii="Times New Roman" w:eastAsiaTheme="minorEastAsia" w:hAnsi="Times New Roman"/>
                <w:sz w:val="21"/>
                <w:szCs w:val="21"/>
              </w:rPr>
              <w:t>表</w:t>
            </w:r>
            <w:r>
              <w:rPr>
                <w:rFonts w:ascii="Times New Roman" w:eastAsiaTheme="minorEastAsia" w:hAnsi="Times New Roman"/>
                <w:sz w:val="21"/>
                <w:szCs w:val="21"/>
              </w:rPr>
              <w:t xml:space="preserve">5 </w:t>
            </w:r>
            <w:r>
              <w:rPr>
                <w:rFonts w:ascii="Times New Roman" w:eastAsiaTheme="minorEastAsia" w:hAnsi="Times New Roman"/>
                <w:sz w:val="21"/>
                <w:szCs w:val="21"/>
              </w:rPr>
              <w:t>企业边界大气污染物浓度限值</w:t>
            </w:r>
            <w:r>
              <w:rPr>
                <w:rFonts w:ascii="Times New Roman" w:eastAsiaTheme="minorEastAsia" w:hAnsi="Times New Roman"/>
                <w:sz w:val="21"/>
                <w:szCs w:val="21"/>
              </w:rPr>
              <w:t>”</w:t>
            </w:r>
          </w:p>
        </w:tc>
      </w:tr>
      <w:tr w:rsidR="00525419">
        <w:trPr>
          <w:trHeight w:hRule="exact" w:val="743"/>
          <w:jc w:val="center"/>
        </w:trPr>
        <w:tc>
          <w:tcPr>
            <w:tcW w:w="84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50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hint="eastAsia"/>
                <w:sz w:val="21"/>
                <w:szCs w:val="21"/>
              </w:rPr>
              <w:t>转化炉、</w:t>
            </w:r>
            <w:r>
              <w:rPr>
                <w:rFonts w:ascii="Times New Roman" w:eastAsiaTheme="minorEastAsia" w:hAnsi="Times New Roman"/>
                <w:sz w:val="21"/>
                <w:szCs w:val="21"/>
              </w:rPr>
              <w:t>加热炉烟气</w:t>
            </w:r>
          </w:p>
        </w:tc>
        <w:tc>
          <w:tcPr>
            <w:tcW w:w="2998" w:type="dxa"/>
            <w:gridSpan w:val="2"/>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低氮燃烧</w:t>
            </w:r>
            <w:r>
              <w:rPr>
                <w:rFonts w:ascii="Times New Roman" w:eastAsiaTheme="minorEastAsia" w:hAnsi="Times New Roman" w:hint="eastAsia"/>
                <w:sz w:val="21"/>
                <w:szCs w:val="21"/>
              </w:rPr>
              <w:t>+</w:t>
            </w:r>
            <w:r>
              <w:rPr>
                <w:rFonts w:ascii="Times New Roman" w:eastAsiaTheme="minorEastAsia" w:hAnsi="Times New Roman" w:hint="eastAsia"/>
                <w:sz w:val="21"/>
                <w:szCs w:val="21"/>
              </w:rPr>
              <w:t>高空排放</w:t>
            </w:r>
          </w:p>
        </w:tc>
        <w:tc>
          <w:tcPr>
            <w:tcW w:w="1827"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烟囱采样口烟尘、</w:t>
            </w:r>
            <w:r>
              <w:rPr>
                <w:rFonts w:ascii="Times New Roman" w:eastAsiaTheme="minorEastAsia" w:hAnsi="Times New Roman"/>
                <w:sz w:val="21"/>
                <w:szCs w:val="21"/>
              </w:rPr>
              <w:t>SO</w:t>
            </w:r>
            <w:r>
              <w:rPr>
                <w:rFonts w:ascii="Times New Roman" w:eastAsiaTheme="minorEastAsia" w:hAnsi="Times New Roman"/>
                <w:sz w:val="21"/>
                <w:szCs w:val="21"/>
                <w:vertAlign w:val="subscript"/>
              </w:rPr>
              <w:t>2</w:t>
            </w:r>
            <w:r>
              <w:rPr>
                <w:rFonts w:ascii="Times New Roman" w:eastAsiaTheme="minorEastAsia" w:hAnsi="Times New Roman"/>
                <w:sz w:val="21"/>
                <w:szCs w:val="21"/>
              </w:rPr>
              <w:t>和</w:t>
            </w:r>
            <w:r>
              <w:rPr>
                <w:rFonts w:ascii="Times New Roman" w:eastAsiaTheme="minorEastAsia" w:hAnsi="Times New Roman"/>
                <w:sz w:val="21"/>
                <w:szCs w:val="21"/>
              </w:rPr>
              <w:t>NOx</w:t>
            </w:r>
          </w:p>
        </w:tc>
        <w:tc>
          <w:tcPr>
            <w:tcW w:w="2056" w:type="dxa"/>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《石油炼制工业污染物排放标准》</w:t>
            </w:r>
            <w:r>
              <w:rPr>
                <w:rFonts w:ascii="Times New Roman" w:eastAsiaTheme="minorEastAsia" w:hAnsi="Times New Roman"/>
                <w:sz w:val="21"/>
                <w:szCs w:val="21"/>
              </w:rPr>
              <w:t>(GB31570-2015)</w:t>
            </w:r>
            <w:r>
              <w:rPr>
                <w:rFonts w:ascii="Times New Roman" w:eastAsiaTheme="minorEastAsia" w:hAnsi="Times New Roman"/>
                <w:sz w:val="21"/>
                <w:szCs w:val="21"/>
              </w:rPr>
              <w:t>中</w:t>
            </w:r>
            <w:r>
              <w:rPr>
                <w:rFonts w:ascii="Times New Roman" w:eastAsiaTheme="minorEastAsia" w:hAnsi="Times New Roman"/>
                <w:sz w:val="21"/>
                <w:szCs w:val="21"/>
              </w:rPr>
              <w:t>“</w:t>
            </w:r>
            <w:r>
              <w:rPr>
                <w:rFonts w:ascii="Times New Roman" w:eastAsiaTheme="minorEastAsia" w:hAnsi="Times New Roman"/>
                <w:sz w:val="21"/>
                <w:szCs w:val="21"/>
              </w:rPr>
              <w:t>表</w:t>
            </w:r>
            <w:r>
              <w:rPr>
                <w:rFonts w:ascii="Times New Roman" w:eastAsiaTheme="minorEastAsia" w:hAnsi="Times New Roman"/>
                <w:sz w:val="21"/>
                <w:szCs w:val="21"/>
              </w:rPr>
              <w:t>3</w:t>
            </w:r>
            <w:r>
              <w:rPr>
                <w:rFonts w:ascii="Times New Roman" w:eastAsiaTheme="minorEastAsia" w:hAnsi="Times New Roman"/>
                <w:sz w:val="21"/>
                <w:szCs w:val="21"/>
              </w:rPr>
              <w:t>大气污染物排放限值</w:t>
            </w:r>
            <w:r>
              <w:rPr>
                <w:rFonts w:ascii="Times New Roman" w:eastAsiaTheme="minorEastAsia" w:hAnsi="Times New Roman"/>
                <w:sz w:val="21"/>
                <w:szCs w:val="21"/>
              </w:rPr>
              <w:t>”</w:t>
            </w:r>
          </w:p>
        </w:tc>
      </w:tr>
      <w:tr w:rsidR="00525419">
        <w:trPr>
          <w:trHeight w:hRule="exact" w:val="927"/>
          <w:jc w:val="center"/>
        </w:trPr>
        <w:tc>
          <w:tcPr>
            <w:tcW w:w="84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50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硫磺尾气处理</w:t>
            </w:r>
          </w:p>
        </w:tc>
        <w:tc>
          <w:tcPr>
            <w:tcW w:w="2998" w:type="dxa"/>
            <w:gridSpan w:val="2"/>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尾气焚烧设施</w:t>
            </w:r>
            <w:r>
              <w:rPr>
                <w:rFonts w:ascii="Times New Roman" w:eastAsiaTheme="minorEastAsia" w:hAnsi="Times New Roman"/>
                <w:sz w:val="21"/>
                <w:szCs w:val="21"/>
              </w:rPr>
              <w:t>+</w:t>
            </w:r>
            <w:r>
              <w:rPr>
                <w:rFonts w:ascii="Times New Roman" w:eastAsiaTheme="minorEastAsia" w:hAnsi="Times New Roman" w:hint="eastAsia"/>
                <w:sz w:val="21"/>
                <w:szCs w:val="21"/>
              </w:rPr>
              <w:t>高空排放</w:t>
            </w:r>
          </w:p>
        </w:tc>
        <w:tc>
          <w:tcPr>
            <w:tcW w:w="1827"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烟囱采样口烟尘、</w:t>
            </w:r>
            <w:r>
              <w:rPr>
                <w:rFonts w:ascii="Times New Roman" w:eastAsiaTheme="minorEastAsia" w:hAnsi="Times New Roman"/>
                <w:sz w:val="21"/>
                <w:szCs w:val="21"/>
              </w:rPr>
              <w:t>SO</w:t>
            </w:r>
            <w:r>
              <w:rPr>
                <w:rFonts w:ascii="Times New Roman" w:eastAsiaTheme="minorEastAsia" w:hAnsi="Times New Roman"/>
                <w:sz w:val="21"/>
                <w:szCs w:val="21"/>
                <w:vertAlign w:val="subscript"/>
              </w:rPr>
              <w:t>2</w:t>
            </w:r>
            <w:r>
              <w:rPr>
                <w:rFonts w:ascii="Times New Roman" w:eastAsiaTheme="minorEastAsia" w:hAnsi="Times New Roman"/>
                <w:sz w:val="21"/>
                <w:szCs w:val="21"/>
              </w:rPr>
              <w:t>和</w:t>
            </w:r>
            <w:r>
              <w:rPr>
                <w:rFonts w:ascii="Times New Roman" w:eastAsiaTheme="minorEastAsia" w:hAnsi="Times New Roman"/>
                <w:sz w:val="21"/>
                <w:szCs w:val="21"/>
              </w:rPr>
              <w:t>NOx</w:t>
            </w:r>
          </w:p>
        </w:tc>
        <w:tc>
          <w:tcPr>
            <w:tcW w:w="2056"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r>
      <w:tr w:rsidR="00525419">
        <w:trPr>
          <w:trHeight w:hRule="exact" w:val="1339"/>
          <w:jc w:val="center"/>
        </w:trPr>
        <w:tc>
          <w:tcPr>
            <w:tcW w:w="84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50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hint="eastAsia"/>
                <w:sz w:val="21"/>
                <w:szCs w:val="21"/>
              </w:rPr>
              <w:t>气浮池恶臭</w:t>
            </w:r>
          </w:p>
        </w:tc>
        <w:tc>
          <w:tcPr>
            <w:tcW w:w="2998" w:type="dxa"/>
            <w:gridSpan w:val="2"/>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hint="eastAsia"/>
                <w:sz w:val="21"/>
                <w:szCs w:val="21"/>
              </w:rPr>
              <w:t>经</w:t>
            </w:r>
            <w:r>
              <w:rPr>
                <w:rFonts w:ascii="Times New Roman" w:eastAsiaTheme="minorEastAsia" w:hAnsi="Times New Roman"/>
                <w:sz w:val="21"/>
                <w:szCs w:val="21"/>
              </w:rPr>
              <w:t>生物滤床等除臭设备处理后通过</w:t>
            </w:r>
            <w:r>
              <w:rPr>
                <w:rFonts w:ascii="Times New Roman" w:eastAsiaTheme="minorEastAsia" w:hAnsi="Times New Roman"/>
                <w:sz w:val="21"/>
                <w:szCs w:val="21"/>
              </w:rPr>
              <w:t>15m</w:t>
            </w:r>
            <w:r>
              <w:rPr>
                <w:rFonts w:ascii="Times New Roman" w:eastAsiaTheme="minorEastAsia" w:hAnsi="Times New Roman"/>
                <w:sz w:val="21"/>
                <w:szCs w:val="21"/>
              </w:rPr>
              <w:t>高排气筒排放</w:t>
            </w:r>
          </w:p>
        </w:tc>
        <w:tc>
          <w:tcPr>
            <w:tcW w:w="1827"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建设及依托情况</w:t>
            </w:r>
          </w:p>
        </w:tc>
        <w:tc>
          <w:tcPr>
            <w:tcW w:w="2056"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《恶臭污染物排放标准》</w:t>
            </w:r>
            <w:r>
              <w:rPr>
                <w:rFonts w:ascii="Times New Roman" w:eastAsiaTheme="minorEastAsia" w:hAnsi="Times New Roman"/>
                <w:sz w:val="21"/>
                <w:szCs w:val="21"/>
              </w:rPr>
              <w:t>(GB14554-93)</w:t>
            </w:r>
            <w:r>
              <w:rPr>
                <w:rFonts w:ascii="Times New Roman" w:eastAsiaTheme="minorEastAsia" w:hAnsi="Times New Roman"/>
                <w:sz w:val="21"/>
                <w:szCs w:val="21"/>
              </w:rPr>
              <w:t>中</w:t>
            </w:r>
            <w:r>
              <w:rPr>
                <w:rFonts w:ascii="Times New Roman" w:eastAsiaTheme="minorEastAsia" w:hAnsi="Times New Roman"/>
                <w:sz w:val="21"/>
                <w:szCs w:val="21"/>
              </w:rPr>
              <w:t>“</w:t>
            </w:r>
            <w:r>
              <w:rPr>
                <w:rFonts w:ascii="Times New Roman" w:eastAsiaTheme="minorEastAsia" w:hAnsi="Times New Roman"/>
                <w:sz w:val="21"/>
                <w:szCs w:val="21"/>
              </w:rPr>
              <w:t>表</w:t>
            </w:r>
            <w:r>
              <w:rPr>
                <w:rFonts w:ascii="Times New Roman" w:eastAsiaTheme="minorEastAsia" w:hAnsi="Times New Roman"/>
                <w:sz w:val="21"/>
                <w:szCs w:val="21"/>
              </w:rPr>
              <w:t xml:space="preserve">1 </w:t>
            </w:r>
            <w:r>
              <w:rPr>
                <w:rFonts w:ascii="Times New Roman" w:eastAsiaTheme="minorEastAsia" w:hAnsi="Times New Roman"/>
                <w:sz w:val="21"/>
                <w:szCs w:val="21"/>
              </w:rPr>
              <w:t>恶臭污染物厂界标准值</w:t>
            </w:r>
            <w:r>
              <w:rPr>
                <w:rFonts w:ascii="Times New Roman" w:eastAsiaTheme="minorEastAsia" w:hAnsi="Times New Roman"/>
                <w:sz w:val="21"/>
                <w:szCs w:val="21"/>
              </w:rPr>
              <w:t>”</w:t>
            </w:r>
            <w:r>
              <w:rPr>
                <w:rFonts w:ascii="Times New Roman" w:eastAsiaTheme="minorEastAsia" w:hAnsi="Times New Roman"/>
                <w:sz w:val="21"/>
                <w:szCs w:val="21"/>
              </w:rPr>
              <w:t>的二级标准</w:t>
            </w:r>
          </w:p>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r>
      <w:tr w:rsidR="00525419">
        <w:trPr>
          <w:trHeight w:val="3151"/>
          <w:jc w:val="center"/>
        </w:trPr>
        <w:tc>
          <w:tcPr>
            <w:tcW w:w="84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50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无组织废气</w:t>
            </w:r>
          </w:p>
        </w:tc>
        <w:tc>
          <w:tcPr>
            <w:tcW w:w="2998" w:type="dxa"/>
            <w:gridSpan w:val="2"/>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对泵、压缩机、阀门、法兰等易发生泄漏的设备与管线组件，制定泄漏检测与修复（</w:t>
            </w:r>
            <w:r>
              <w:rPr>
                <w:rFonts w:ascii="Times New Roman" w:eastAsiaTheme="minorEastAsia" w:hAnsi="Times New Roman"/>
                <w:sz w:val="21"/>
                <w:szCs w:val="21"/>
              </w:rPr>
              <w:t>LDAR</w:t>
            </w:r>
            <w:r>
              <w:rPr>
                <w:rFonts w:ascii="Times New Roman" w:eastAsiaTheme="minorEastAsia" w:hAnsi="Times New Roman"/>
                <w:sz w:val="21"/>
                <w:szCs w:val="21"/>
              </w:rPr>
              <w:t>）计划，定期检测、及时修复，防止或减少跑、冒、滴、漏现象；对生产装置排放的含</w:t>
            </w:r>
            <w:r>
              <w:rPr>
                <w:rFonts w:ascii="Times New Roman" w:eastAsiaTheme="minorEastAsia" w:hAnsi="Times New Roman"/>
                <w:sz w:val="21"/>
                <w:szCs w:val="21"/>
              </w:rPr>
              <w:t>VOCs</w:t>
            </w:r>
            <w:r>
              <w:rPr>
                <w:rFonts w:ascii="Times New Roman" w:eastAsiaTheme="minorEastAsia" w:hAnsi="Times New Roman"/>
                <w:sz w:val="21"/>
                <w:szCs w:val="21"/>
              </w:rPr>
              <w:t>工艺排气宜优先回收利用，应急情况下的泄放气导入火炬，经过充分燃烧后排放；油罐车配备相应的油气油气回收系统；储罐宜采用高效密封的内（外）浮顶罐等。</w:t>
            </w:r>
          </w:p>
        </w:tc>
        <w:tc>
          <w:tcPr>
            <w:tcW w:w="1827"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厂界的非甲烷总烃、硫化氢、氨浓度值</w:t>
            </w:r>
          </w:p>
        </w:tc>
        <w:tc>
          <w:tcPr>
            <w:tcW w:w="2056"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《石油炼制工业污染物排放标准》</w:t>
            </w:r>
            <w:r>
              <w:rPr>
                <w:rFonts w:ascii="Times New Roman" w:eastAsiaTheme="minorEastAsia" w:hAnsi="Times New Roman"/>
                <w:sz w:val="21"/>
                <w:szCs w:val="21"/>
              </w:rPr>
              <w:t>(GB31570-2015)</w:t>
            </w:r>
            <w:r>
              <w:rPr>
                <w:rFonts w:ascii="Times New Roman" w:eastAsiaTheme="minorEastAsia" w:hAnsi="Times New Roman"/>
                <w:sz w:val="21"/>
                <w:szCs w:val="21"/>
              </w:rPr>
              <w:t>中</w:t>
            </w:r>
            <w:r>
              <w:rPr>
                <w:rFonts w:ascii="Times New Roman" w:eastAsiaTheme="minorEastAsia" w:hAnsi="Times New Roman"/>
                <w:sz w:val="21"/>
                <w:szCs w:val="21"/>
              </w:rPr>
              <w:t>“</w:t>
            </w:r>
            <w:r>
              <w:rPr>
                <w:rFonts w:ascii="Times New Roman" w:eastAsiaTheme="minorEastAsia" w:hAnsi="Times New Roman"/>
                <w:sz w:val="21"/>
                <w:szCs w:val="21"/>
              </w:rPr>
              <w:t>表</w:t>
            </w:r>
            <w:r>
              <w:rPr>
                <w:rFonts w:ascii="Times New Roman" w:eastAsiaTheme="minorEastAsia" w:hAnsi="Times New Roman"/>
                <w:sz w:val="21"/>
                <w:szCs w:val="21"/>
              </w:rPr>
              <w:t xml:space="preserve">5 </w:t>
            </w:r>
            <w:r>
              <w:rPr>
                <w:rFonts w:ascii="Times New Roman" w:eastAsiaTheme="minorEastAsia" w:hAnsi="Times New Roman"/>
                <w:sz w:val="21"/>
                <w:szCs w:val="21"/>
              </w:rPr>
              <w:t>企业边界大气污染物浓度限值</w:t>
            </w:r>
            <w:r>
              <w:rPr>
                <w:rFonts w:ascii="Times New Roman" w:eastAsiaTheme="minorEastAsia" w:hAnsi="Times New Roman"/>
                <w:sz w:val="21"/>
                <w:szCs w:val="21"/>
              </w:rPr>
              <w:t>”</w:t>
            </w:r>
            <w:r>
              <w:rPr>
                <w:rFonts w:ascii="Times New Roman" w:eastAsiaTheme="minorEastAsia" w:hAnsi="Times New Roman"/>
                <w:sz w:val="21"/>
                <w:szCs w:val="21"/>
              </w:rPr>
              <w:t>的规定</w:t>
            </w:r>
          </w:p>
        </w:tc>
      </w:tr>
      <w:tr w:rsidR="00525419">
        <w:trPr>
          <w:trHeight w:hRule="exact" w:val="1598"/>
          <w:jc w:val="center"/>
        </w:trPr>
        <w:tc>
          <w:tcPr>
            <w:tcW w:w="844"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噪声防治</w:t>
            </w:r>
          </w:p>
        </w:tc>
        <w:tc>
          <w:tcPr>
            <w:tcW w:w="150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c>
          <w:tcPr>
            <w:tcW w:w="2998" w:type="dxa"/>
            <w:gridSpan w:val="2"/>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设备减噪：强噪车间封闭或隔声室，强噪风机进气口装消声器。</w:t>
            </w:r>
          </w:p>
        </w:tc>
        <w:tc>
          <w:tcPr>
            <w:tcW w:w="1827"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厂界</w:t>
            </w:r>
            <w:r>
              <w:rPr>
                <w:rFonts w:ascii="Times New Roman" w:eastAsiaTheme="minorEastAsia" w:hAnsi="Times New Roman"/>
                <w:sz w:val="21"/>
                <w:szCs w:val="21"/>
              </w:rPr>
              <w:t>4</w:t>
            </w:r>
            <w:r>
              <w:rPr>
                <w:rFonts w:ascii="Times New Roman" w:eastAsiaTheme="minorEastAsia" w:hAnsi="Times New Roman"/>
                <w:sz w:val="21"/>
                <w:szCs w:val="21"/>
              </w:rPr>
              <w:t>个监测点的昼夜等效声级</w:t>
            </w:r>
          </w:p>
        </w:tc>
        <w:tc>
          <w:tcPr>
            <w:tcW w:w="2056" w:type="dxa"/>
            <w:tcBorders>
              <w:tl2br w:val="nil"/>
              <w:tr2bl w:val="nil"/>
            </w:tcBorders>
            <w:vAlign w:val="center"/>
          </w:tcPr>
          <w:p w:rsidR="00525419" w:rsidRDefault="00EE1CF7">
            <w:pPr>
              <w:pStyle w:val="afffffffffffffffffffffffffffffffffff5"/>
              <w:spacing w:line="240" w:lineRule="auto"/>
              <w:ind w:firstLineChars="0" w:firstLine="0"/>
              <w:rPr>
                <w:rFonts w:ascii="Times New Roman" w:eastAsiaTheme="minorEastAsia" w:hAnsi="Times New Roman"/>
                <w:sz w:val="21"/>
                <w:szCs w:val="21"/>
              </w:rPr>
            </w:pPr>
            <w:r>
              <w:rPr>
                <w:rFonts w:ascii="Times New Roman" w:eastAsiaTheme="minorEastAsia" w:hAnsi="Times New Roman"/>
                <w:sz w:val="21"/>
                <w:szCs w:val="21"/>
              </w:rPr>
              <w:t>《工业企业厂界环境噪声排放标准》（</w:t>
            </w:r>
            <w:r>
              <w:rPr>
                <w:rFonts w:ascii="Times New Roman" w:eastAsiaTheme="minorEastAsia" w:hAnsi="Times New Roman"/>
                <w:sz w:val="21"/>
                <w:szCs w:val="21"/>
              </w:rPr>
              <w:t>GB12348-2008</w:t>
            </w:r>
            <w:r>
              <w:rPr>
                <w:rFonts w:ascii="Times New Roman" w:eastAsiaTheme="minorEastAsia" w:hAnsi="Times New Roman"/>
                <w:sz w:val="21"/>
                <w:szCs w:val="21"/>
              </w:rPr>
              <w:t>）</w:t>
            </w:r>
            <w:r>
              <w:rPr>
                <w:rFonts w:ascii="Times New Roman" w:eastAsiaTheme="minorEastAsia" w:hAnsi="Times New Roman"/>
                <w:sz w:val="21"/>
                <w:szCs w:val="21"/>
              </w:rPr>
              <w:t>3</w:t>
            </w:r>
            <w:r>
              <w:rPr>
                <w:rFonts w:ascii="Times New Roman" w:eastAsiaTheme="minorEastAsia" w:hAnsi="Times New Roman"/>
                <w:sz w:val="21"/>
                <w:szCs w:val="21"/>
              </w:rPr>
              <w:t>类功能区限值</w:t>
            </w:r>
          </w:p>
        </w:tc>
      </w:tr>
      <w:tr w:rsidR="00525419">
        <w:trPr>
          <w:trHeight w:val="597"/>
          <w:jc w:val="center"/>
        </w:trPr>
        <w:tc>
          <w:tcPr>
            <w:tcW w:w="844" w:type="dxa"/>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废水处理</w:t>
            </w:r>
          </w:p>
        </w:tc>
        <w:tc>
          <w:tcPr>
            <w:tcW w:w="150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含硫污水</w:t>
            </w:r>
          </w:p>
        </w:tc>
        <w:tc>
          <w:tcPr>
            <w:tcW w:w="2998" w:type="dxa"/>
            <w:gridSpan w:val="2"/>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酸性水汽提装置</w:t>
            </w:r>
          </w:p>
        </w:tc>
        <w:tc>
          <w:tcPr>
            <w:tcW w:w="1827"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建设情况，废水经其处理后用于注水，不外排</w:t>
            </w:r>
          </w:p>
        </w:tc>
        <w:tc>
          <w:tcPr>
            <w:tcW w:w="2056"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r>
      <w:tr w:rsidR="00525419">
        <w:trPr>
          <w:trHeight w:val="1128"/>
          <w:jc w:val="center"/>
        </w:trPr>
        <w:tc>
          <w:tcPr>
            <w:tcW w:w="84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50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含油废水、生活污水等</w:t>
            </w:r>
          </w:p>
        </w:tc>
        <w:tc>
          <w:tcPr>
            <w:tcW w:w="2998" w:type="dxa"/>
            <w:gridSpan w:val="2"/>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现有污水处理站</w:t>
            </w:r>
          </w:p>
        </w:tc>
        <w:tc>
          <w:tcPr>
            <w:tcW w:w="1827"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废水经污水处理站处理达标后回用，不外排</w:t>
            </w:r>
          </w:p>
        </w:tc>
        <w:tc>
          <w:tcPr>
            <w:tcW w:w="2056"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r>
      <w:tr w:rsidR="00525419">
        <w:trPr>
          <w:trHeight w:val="1128"/>
          <w:jc w:val="center"/>
        </w:trPr>
        <w:tc>
          <w:tcPr>
            <w:tcW w:w="844"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502"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浓盐水</w:t>
            </w:r>
          </w:p>
        </w:tc>
        <w:tc>
          <w:tcPr>
            <w:tcW w:w="2998" w:type="dxa"/>
            <w:gridSpan w:val="2"/>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浓盐水处理装置</w:t>
            </w:r>
          </w:p>
        </w:tc>
        <w:tc>
          <w:tcPr>
            <w:tcW w:w="1827"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浓盐水进入浓盐水处理装置后作为循环水使用</w:t>
            </w:r>
          </w:p>
        </w:tc>
        <w:tc>
          <w:tcPr>
            <w:tcW w:w="2056"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r>
      <w:tr w:rsidR="00525419">
        <w:trPr>
          <w:trHeight w:hRule="exact" w:val="2290"/>
          <w:jc w:val="center"/>
        </w:trPr>
        <w:tc>
          <w:tcPr>
            <w:tcW w:w="2346" w:type="dxa"/>
            <w:gridSpan w:val="2"/>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排放口规范设置</w:t>
            </w:r>
          </w:p>
        </w:tc>
        <w:tc>
          <w:tcPr>
            <w:tcW w:w="2998" w:type="dxa"/>
            <w:gridSpan w:val="2"/>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设置标志牌和取样口</w:t>
            </w:r>
          </w:p>
        </w:tc>
        <w:tc>
          <w:tcPr>
            <w:tcW w:w="1827"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lang w:val="zh-CN"/>
              </w:rPr>
              <w:t>污染物排放口</w:t>
            </w:r>
            <w:r>
              <w:rPr>
                <w:rFonts w:ascii="Times New Roman" w:eastAsiaTheme="minorEastAsia" w:hAnsi="Times New Roman"/>
                <w:sz w:val="21"/>
                <w:szCs w:val="21"/>
                <w:lang w:val="zh-CN"/>
              </w:rPr>
              <w:t>(</w:t>
            </w:r>
            <w:r>
              <w:rPr>
                <w:rFonts w:ascii="Times New Roman" w:eastAsiaTheme="minorEastAsia" w:hAnsi="Times New Roman"/>
                <w:sz w:val="21"/>
                <w:szCs w:val="21"/>
                <w:lang w:val="zh-CN"/>
              </w:rPr>
              <w:t>源</w:t>
            </w:r>
            <w:r>
              <w:rPr>
                <w:rFonts w:ascii="Times New Roman" w:eastAsiaTheme="minorEastAsia" w:hAnsi="Times New Roman"/>
                <w:sz w:val="21"/>
                <w:szCs w:val="21"/>
                <w:lang w:val="zh-CN"/>
              </w:rPr>
              <w:t>)</w:t>
            </w:r>
            <w:r>
              <w:rPr>
                <w:rFonts w:ascii="Times New Roman" w:eastAsiaTheme="minorEastAsia" w:hAnsi="Times New Roman"/>
                <w:sz w:val="21"/>
                <w:szCs w:val="21"/>
                <w:lang w:val="zh-CN"/>
              </w:rPr>
              <w:t>和固体废物贮存、处置场按《排污口规范化整治技术要求</w:t>
            </w:r>
            <w:r>
              <w:rPr>
                <w:rFonts w:ascii="Times New Roman" w:eastAsiaTheme="minorEastAsia" w:hAnsi="Times New Roman"/>
                <w:sz w:val="21"/>
                <w:szCs w:val="21"/>
                <w:lang w:val="zh-CN"/>
              </w:rPr>
              <w:t>(</w:t>
            </w:r>
            <w:r>
              <w:rPr>
                <w:rFonts w:ascii="Times New Roman" w:eastAsiaTheme="minorEastAsia" w:hAnsi="Times New Roman"/>
                <w:sz w:val="21"/>
                <w:szCs w:val="21"/>
                <w:lang w:val="zh-CN"/>
              </w:rPr>
              <w:t>试行</w:t>
            </w:r>
            <w:r>
              <w:rPr>
                <w:rFonts w:ascii="Times New Roman" w:eastAsiaTheme="minorEastAsia" w:hAnsi="Times New Roman"/>
                <w:sz w:val="21"/>
                <w:szCs w:val="21"/>
                <w:lang w:val="zh-CN"/>
              </w:rPr>
              <w:t>)</w:t>
            </w:r>
            <w:r>
              <w:rPr>
                <w:rFonts w:ascii="Times New Roman" w:eastAsiaTheme="minorEastAsia" w:hAnsi="Times New Roman"/>
                <w:sz w:val="21"/>
                <w:szCs w:val="21"/>
                <w:lang w:val="zh-CN"/>
              </w:rPr>
              <w:t>》（国家环保局</w:t>
            </w:r>
            <w:r>
              <w:rPr>
                <w:rFonts w:ascii="Times New Roman" w:eastAsiaTheme="minorEastAsia" w:hAnsi="Times New Roman"/>
                <w:sz w:val="21"/>
                <w:szCs w:val="21"/>
                <w:lang w:val="zh-CN"/>
              </w:rPr>
              <w:t> </w:t>
            </w:r>
            <w:r>
              <w:rPr>
                <w:rFonts w:ascii="Times New Roman" w:eastAsiaTheme="minorEastAsia" w:hAnsi="Times New Roman"/>
                <w:sz w:val="21"/>
                <w:szCs w:val="21"/>
                <w:lang w:val="zh-CN"/>
              </w:rPr>
              <w:t>环监</w:t>
            </w:r>
            <w:r>
              <w:rPr>
                <w:rFonts w:ascii="Times New Roman" w:eastAsiaTheme="minorEastAsia" w:hAnsi="Times New Roman"/>
                <w:sz w:val="21"/>
                <w:szCs w:val="21"/>
                <w:lang w:val="zh-CN"/>
              </w:rPr>
              <w:t>[1996]470</w:t>
            </w:r>
            <w:r>
              <w:rPr>
                <w:rFonts w:ascii="Times New Roman" w:eastAsiaTheme="minorEastAsia" w:hAnsi="Times New Roman"/>
                <w:sz w:val="21"/>
                <w:szCs w:val="21"/>
                <w:lang w:val="zh-CN"/>
              </w:rPr>
              <w:t>号）的要求设置环境保护图形标志牌、采样口及采样平台。</w:t>
            </w:r>
          </w:p>
        </w:tc>
        <w:tc>
          <w:tcPr>
            <w:tcW w:w="2056"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r>
      <w:tr w:rsidR="00525419">
        <w:trPr>
          <w:trHeight w:hRule="exact" w:val="349"/>
          <w:jc w:val="center"/>
        </w:trPr>
        <w:tc>
          <w:tcPr>
            <w:tcW w:w="2346" w:type="dxa"/>
            <w:gridSpan w:val="2"/>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环境管理</w:t>
            </w:r>
          </w:p>
        </w:tc>
        <w:tc>
          <w:tcPr>
            <w:tcW w:w="4825" w:type="dxa"/>
            <w:gridSpan w:val="3"/>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lang w:val="zh-CN"/>
              </w:rPr>
            </w:pPr>
            <w:r>
              <w:rPr>
                <w:rFonts w:ascii="Times New Roman" w:eastAsiaTheme="minorEastAsia" w:hAnsi="Times New Roman"/>
                <w:sz w:val="21"/>
                <w:szCs w:val="21"/>
              </w:rPr>
              <w:t>建设环境管理机构、地下水监测井布置</w:t>
            </w:r>
          </w:p>
        </w:tc>
        <w:tc>
          <w:tcPr>
            <w:tcW w:w="2056"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r>
      <w:tr w:rsidR="00525419">
        <w:trPr>
          <w:trHeight w:hRule="exact" w:val="890"/>
          <w:jc w:val="center"/>
        </w:trPr>
        <w:tc>
          <w:tcPr>
            <w:tcW w:w="2346" w:type="dxa"/>
            <w:gridSpan w:val="2"/>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风险防范设施及应急措施</w:t>
            </w:r>
          </w:p>
        </w:tc>
        <w:tc>
          <w:tcPr>
            <w:tcW w:w="2998" w:type="dxa"/>
            <w:gridSpan w:val="2"/>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消防及火灾和可燃气体检测报警</w:t>
            </w:r>
          </w:p>
        </w:tc>
        <w:tc>
          <w:tcPr>
            <w:tcW w:w="1827"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依托罐区配备情况</w:t>
            </w:r>
          </w:p>
        </w:tc>
        <w:tc>
          <w:tcPr>
            <w:tcW w:w="2056"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r>
      <w:tr w:rsidR="00525419">
        <w:trPr>
          <w:trHeight w:val="165"/>
          <w:jc w:val="center"/>
        </w:trPr>
        <w:tc>
          <w:tcPr>
            <w:tcW w:w="2346" w:type="dxa"/>
            <w:gridSpan w:val="2"/>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45" w:type="dxa"/>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储罐泄漏应急设施</w:t>
            </w:r>
          </w:p>
        </w:tc>
        <w:tc>
          <w:tcPr>
            <w:tcW w:w="1853"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围堰、防火堤设置</w:t>
            </w:r>
          </w:p>
        </w:tc>
        <w:tc>
          <w:tcPr>
            <w:tcW w:w="1827"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依托罐区配备情况</w:t>
            </w:r>
          </w:p>
        </w:tc>
        <w:tc>
          <w:tcPr>
            <w:tcW w:w="2056"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r>
      <w:tr w:rsidR="00525419">
        <w:trPr>
          <w:trHeight w:val="525"/>
          <w:jc w:val="center"/>
        </w:trPr>
        <w:tc>
          <w:tcPr>
            <w:tcW w:w="2346" w:type="dxa"/>
            <w:gridSpan w:val="2"/>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145"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853"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储罐区监控设备</w:t>
            </w:r>
          </w:p>
        </w:tc>
        <w:tc>
          <w:tcPr>
            <w:tcW w:w="1827"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依托罐区配备情况</w:t>
            </w:r>
          </w:p>
        </w:tc>
        <w:tc>
          <w:tcPr>
            <w:tcW w:w="2056"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r>
      <w:tr w:rsidR="00525419">
        <w:trPr>
          <w:trHeight w:val="240"/>
          <w:jc w:val="center"/>
        </w:trPr>
        <w:tc>
          <w:tcPr>
            <w:tcW w:w="2346" w:type="dxa"/>
            <w:gridSpan w:val="2"/>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2998" w:type="dxa"/>
            <w:gridSpan w:val="2"/>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防火救火器材和消防设施</w:t>
            </w:r>
          </w:p>
        </w:tc>
        <w:tc>
          <w:tcPr>
            <w:tcW w:w="1827" w:type="dxa"/>
            <w:vMerge w:val="restart"/>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依托的配备情况</w:t>
            </w:r>
          </w:p>
        </w:tc>
        <w:tc>
          <w:tcPr>
            <w:tcW w:w="2056"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r>
      <w:tr w:rsidR="00525419">
        <w:trPr>
          <w:trHeight w:val="184"/>
          <w:jc w:val="center"/>
        </w:trPr>
        <w:tc>
          <w:tcPr>
            <w:tcW w:w="2346" w:type="dxa"/>
            <w:gridSpan w:val="2"/>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2998" w:type="dxa"/>
            <w:gridSpan w:val="2"/>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1827" w:type="dxa"/>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2056"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r>
      <w:tr w:rsidR="00525419">
        <w:trPr>
          <w:trHeight w:hRule="exact" w:val="588"/>
          <w:jc w:val="center"/>
        </w:trPr>
        <w:tc>
          <w:tcPr>
            <w:tcW w:w="2346" w:type="dxa"/>
            <w:gridSpan w:val="2"/>
            <w:vMerge/>
            <w:tcBorders>
              <w:tl2br w:val="nil"/>
              <w:tr2bl w:val="nil"/>
            </w:tcBorders>
            <w:vAlign w:val="center"/>
          </w:tcPr>
          <w:p w:rsidR="00525419" w:rsidRDefault="00525419">
            <w:pPr>
              <w:pStyle w:val="afffffffffffffffffffffffffffffffffff5"/>
              <w:spacing w:line="240" w:lineRule="auto"/>
              <w:ind w:firstLineChars="0" w:firstLine="0"/>
              <w:jc w:val="center"/>
              <w:rPr>
                <w:rFonts w:ascii="Times New Roman" w:eastAsiaTheme="minorEastAsia" w:hAnsi="Times New Roman"/>
                <w:sz w:val="21"/>
                <w:szCs w:val="21"/>
              </w:rPr>
            </w:pPr>
          </w:p>
        </w:tc>
        <w:tc>
          <w:tcPr>
            <w:tcW w:w="2998" w:type="dxa"/>
            <w:gridSpan w:val="2"/>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个人防护用品及急救物品</w:t>
            </w:r>
          </w:p>
        </w:tc>
        <w:tc>
          <w:tcPr>
            <w:tcW w:w="1827"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依托的配备情况</w:t>
            </w:r>
          </w:p>
        </w:tc>
        <w:tc>
          <w:tcPr>
            <w:tcW w:w="2056"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r>
      <w:tr w:rsidR="00525419">
        <w:trPr>
          <w:trHeight w:hRule="exact" w:val="514"/>
          <w:jc w:val="center"/>
        </w:trPr>
        <w:tc>
          <w:tcPr>
            <w:tcW w:w="2346" w:type="dxa"/>
            <w:gridSpan w:val="2"/>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r>
              <w:rPr>
                <w:rFonts w:ascii="Times New Roman" w:eastAsiaTheme="minorEastAsia" w:hAnsi="Times New Roman"/>
                <w:sz w:val="21"/>
                <w:szCs w:val="21"/>
              </w:rPr>
              <w:t>以新带老</w:t>
            </w:r>
            <w:r>
              <w:rPr>
                <w:rFonts w:ascii="Times New Roman" w:eastAsiaTheme="minorEastAsia" w:hAnsi="Times New Roman"/>
                <w:sz w:val="21"/>
                <w:szCs w:val="21"/>
              </w:rPr>
              <w:t>”</w:t>
            </w:r>
            <w:r>
              <w:rPr>
                <w:rFonts w:ascii="Times New Roman" w:eastAsiaTheme="minorEastAsia" w:hAnsi="Times New Roman"/>
                <w:sz w:val="21"/>
                <w:szCs w:val="21"/>
              </w:rPr>
              <w:t>措施</w:t>
            </w:r>
          </w:p>
        </w:tc>
        <w:tc>
          <w:tcPr>
            <w:tcW w:w="2998" w:type="dxa"/>
            <w:gridSpan w:val="2"/>
            <w:tcBorders>
              <w:tl2br w:val="nil"/>
              <w:tr2bl w:val="nil"/>
            </w:tcBorders>
            <w:vAlign w:val="center"/>
          </w:tcPr>
          <w:p w:rsidR="00525419" w:rsidRDefault="00EE1CF7">
            <w:pPr>
              <w:pStyle w:val="afffffffffffffffffffffffffffffffffff5"/>
              <w:spacing w:line="240" w:lineRule="auto"/>
              <w:ind w:firstLineChars="0" w:firstLine="0"/>
              <w:jc w:val="left"/>
              <w:rPr>
                <w:rFonts w:ascii="Times New Roman" w:eastAsiaTheme="minorEastAsia" w:hAnsi="Times New Roman"/>
                <w:sz w:val="21"/>
                <w:szCs w:val="21"/>
              </w:rPr>
            </w:pPr>
            <w:r>
              <w:rPr>
                <w:rFonts w:ascii="Times New Roman" w:eastAsiaTheme="minorEastAsia" w:hAnsi="Times New Roman"/>
                <w:sz w:val="21"/>
                <w:szCs w:val="21"/>
              </w:rPr>
              <w:t>煤场、灰渣场封闭存储；</w:t>
            </w:r>
          </w:p>
        </w:tc>
        <w:tc>
          <w:tcPr>
            <w:tcW w:w="1827"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建设情况</w:t>
            </w:r>
          </w:p>
        </w:tc>
        <w:tc>
          <w:tcPr>
            <w:tcW w:w="2056" w:type="dxa"/>
            <w:tcBorders>
              <w:tl2br w:val="nil"/>
              <w:tr2bl w:val="nil"/>
            </w:tcBorders>
            <w:vAlign w:val="center"/>
          </w:tcPr>
          <w:p w:rsidR="00525419" w:rsidRDefault="00EE1CF7">
            <w:pPr>
              <w:pStyle w:val="afffffffffffffffffffffffffffffffffff5"/>
              <w:spacing w:line="240" w:lineRule="auto"/>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w:t>
            </w:r>
          </w:p>
        </w:tc>
      </w:tr>
    </w:tbl>
    <w:p w:rsidR="00525419" w:rsidRDefault="00525419">
      <w:pPr>
        <w:rPr>
          <w:rFonts w:ascii="Times New Roman" w:hAnsi="Times New Roman"/>
        </w:rPr>
      </w:pPr>
    </w:p>
    <w:p w:rsidR="00525419" w:rsidRDefault="00EE1CF7">
      <w:pPr>
        <w:rPr>
          <w:rFonts w:ascii="Times New Roman" w:eastAsia="楷体_GB2312" w:hAnsi="Times New Roman"/>
          <w:sz w:val="44"/>
        </w:rPr>
      </w:pPr>
      <w:bookmarkStart w:id="334" w:name="_Toc484775669"/>
      <w:r>
        <w:rPr>
          <w:rFonts w:ascii="Times New Roman" w:eastAsia="楷体_GB2312" w:hAnsi="Times New Roman"/>
          <w:sz w:val="44"/>
        </w:rPr>
        <w:br w:type="page"/>
      </w:r>
    </w:p>
    <w:p w:rsidR="00525419" w:rsidRDefault="00EE1CF7">
      <w:pPr>
        <w:pStyle w:val="1a"/>
        <w:spacing w:before="120" w:after="0" w:line="360" w:lineRule="auto"/>
        <w:jc w:val="center"/>
        <w:rPr>
          <w:rFonts w:ascii="Times New Roman" w:eastAsia="楷体_GB2312" w:hAnsi="Times New Roman"/>
        </w:rPr>
      </w:pPr>
      <w:bookmarkStart w:id="335" w:name="_Toc8027"/>
      <w:r>
        <w:rPr>
          <w:rFonts w:ascii="Times New Roman" w:eastAsia="楷体_GB2312" w:hAnsi="Times New Roman"/>
        </w:rPr>
        <w:t>9</w:t>
      </w:r>
      <w:r>
        <w:rPr>
          <w:rFonts w:ascii="Times New Roman" w:eastAsia="楷体_GB2312" w:hAnsi="Times New Roman"/>
        </w:rPr>
        <w:t>环境影响评价结论</w:t>
      </w:r>
      <w:bookmarkEnd w:id="334"/>
      <w:bookmarkEnd w:id="335"/>
    </w:p>
    <w:p w:rsidR="00525419" w:rsidRDefault="00EE1CF7" w:rsidP="00EE1CF7">
      <w:pPr>
        <w:pStyle w:val="2a"/>
        <w:spacing w:beforeLines="50" w:before="166" w:after="166"/>
        <w:ind w:left="578" w:hanging="578"/>
        <w:rPr>
          <w:rFonts w:ascii="Times New Roman" w:eastAsia="楷体_GB2312" w:hAnsi="Times New Roman"/>
          <w:sz w:val="36"/>
        </w:rPr>
      </w:pPr>
      <w:bookmarkStart w:id="336" w:name="_Toc410121609"/>
      <w:bookmarkStart w:id="337" w:name="_Toc484775670"/>
      <w:bookmarkStart w:id="338" w:name="_Toc32541"/>
      <w:r>
        <w:rPr>
          <w:rFonts w:ascii="Times New Roman" w:eastAsia="楷体_GB2312" w:hAnsi="Times New Roman"/>
          <w:sz w:val="36"/>
        </w:rPr>
        <w:t>9.1</w:t>
      </w:r>
      <w:r>
        <w:rPr>
          <w:rFonts w:ascii="Times New Roman" w:eastAsia="楷体_GB2312" w:hAnsi="Times New Roman"/>
          <w:sz w:val="36"/>
        </w:rPr>
        <w:t>项目概况</w:t>
      </w:r>
      <w:bookmarkEnd w:id="336"/>
      <w:bookmarkEnd w:id="337"/>
      <w:bookmarkEnd w:id="338"/>
    </w:p>
    <w:p w:rsidR="00525419" w:rsidRDefault="00EE1CF7">
      <w:pPr>
        <w:pStyle w:val="afff8"/>
        <w:adjustRightInd/>
        <w:spacing w:before="0" w:beforeAutospacing="0" w:after="0" w:afterAutospacing="0" w:line="360" w:lineRule="auto"/>
        <w:ind w:firstLineChars="200" w:firstLine="480"/>
        <w:jc w:val="both"/>
        <w:rPr>
          <w:rFonts w:ascii="Times New Roman" w:eastAsia="宋体"/>
          <w:bCs/>
          <w:color w:val="auto"/>
        </w:rPr>
      </w:pPr>
      <w:r>
        <w:rPr>
          <w:rFonts w:ascii="Times New Roman" w:eastAsia="宋体"/>
          <w:color w:val="auto"/>
          <w:szCs w:val="21"/>
        </w:rPr>
        <w:t>新疆美汇特石化产品有限公司投资建设的新疆美汇特石化产品有限公司</w:t>
      </w:r>
      <w:r>
        <w:rPr>
          <w:rFonts w:ascii="Times New Roman" w:eastAsia="宋体"/>
          <w:color w:val="auto"/>
          <w:szCs w:val="21"/>
        </w:rPr>
        <w:t>40</w:t>
      </w:r>
      <w:r>
        <w:rPr>
          <w:rFonts w:ascii="Times New Roman" w:eastAsia="宋体"/>
          <w:color w:val="auto"/>
          <w:szCs w:val="21"/>
        </w:rPr>
        <w:t>万吨</w:t>
      </w:r>
      <w:r>
        <w:rPr>
          <w:rFonts w:ascii="Times New Roman" w:eastAsia="宋体"/>
          <w:color w:val="auto"/>
          <w:szCs w:val="21"/>
        </w:rPr>
        <w:t>/</w:t>
      </w:r>
      <w:r>
        <w:rPr>
          <w:rFonts w:ascii="Times New Roman" w:eastAsia="宋体"/>
          <w:color w:val="auto"/>
          <w:szCs w:val="21"/>
        </w:rPr>
        <w:t>年煤焦油加氢及配套项目（变更）</w:t>
      </w:r>
      <w:r>
        <w:rPr>
          <w:rFonts w:ascii="Times New Roman" w:eastAsia="宋体"/>
          <w:color w:val="auto"/>
        </w:rPr>
        <w:t>位于鄯善高新技术产业开发区（鄯善工业园区）石化产业园，</w:t>
      </w:r>
      <w:r>
        <w:rPr>
          <w:rFonts w:ascii="Times New Roman" w:eastAsia="宋体"/>
          <w:color w:val="auto"/>
          <w:szCs w:val="24"/>
        </w:rPr>
        <w:t>厂址中心地理坐标为</w:t>
      </w:r>
      <w:r>
        <w:rPr>
          <w:rFonts w:ascii="Times New Roman" w:eastAsia="宋体"/>
          <w:color w:val="auto"/>
          <w:szCs w:val="24"/>
        </w:rPr>
        <w:t>E90°27'46.24"</w:t>
      </w:r>
      <w:r>
        <w:rPr>
          <w:rFonts w:ascii="Times New Roman" w:eastAsia="宋体"/>
          <w:color w:val="auto"/>
          <w:szCs w:val="24"/>
        </w:rPr>
        <w:t>，</w:t>
      </w:r>
      <w:r>
        <w:rPr>
          <w:rFonts w:ascii="Times New Roman" w:eastAsia="宋体"/>
          <w:color w:val="auto"/>
          <w:szCs w:val="24"/>
        </w:rPr>
        <w:t>N43°3'33.20"</w:t>
      </w:r>
      <w:r>
        <w:rPr>
          <w:rFonts w:ascii="Times New Roman" w:eastAsia="宋体"/>
          <w:color w:val="auto"/>
          <w:szCs w:val="24"/>
        </w:rPr>
        <w:t>。</w:t>
      </w:r>
    </w:p>
    <w:p w:rsidR="00525419" w:rsidRDefault="00EE1CF7">
      <w:pPr>
        <w:spacing w:line="360" w:lineRule="auto"/>
        <w:ind w:firstLineChars="200" w:firstLine="480"/>
        <w:rPr>
          <w:rFonts w:ascii="Times New Roman" w:hAnsi="Times New Roman"/>
          <w:sz w:val="24"/>
          <w:szCs w:val="24"/>
        </w:rPr>
      </w:pPr>
      <w:bookmarkStart w:id="339" w:name="_Toc410121610"/>
      <w:bookmarkStart w:id="340" w:name="_Toc484775671"/>
      <w:r>
        <w:rPr>
          <w:rFonts w:ascii="Times New Roman" w:hAnsi="Times New Roman"/>
          <w:sz w:val="24"/>
          <w:szCs w:val="24"/>
        </w:rPr>
        <w:t>本项目建设</w:t>
      </w:r>
      <w:r>
        <w:rPr>
          <w:rFonts w:ascii="Times New Roman" w:hAnsi="Times New Roman"/>
          <w:sz w:val="24"/>
          <w:szCs w:val="24"/>
        </w:rPr>
        <w:t>40</w:t>
      </w:r>
      <w:r>
        <w:rPr>
          <w:rFonts w:ascii="Times New Roman" w:hAnsi="Times New Roman"/>
          <w:sz w:val="24"/>
          <w:szCs w:val="24"/>
        </w:rPr>
        <w:t>万吨</w:t>
      </w:r>
      <w:r>
        <w:rPr>
          <w:rFonts w:ascii="Times New Roman" w:hAnsi="Times New Roman"/>
          <w:sz w:val="24"/>
          <w:szCs w:val="24"/>
        </w:rPr>
        <w:t>/</w:t>
      </w:r>
      <w:r>
        <w:rPr>
          <w:rFonts w:ascii="Times New Roman" w:hAnsi="Times New Roman"/>
          <w:sz w:val="24"/>
          <w:szCs w:val="24"/>
        </w:rPr>
        <w:t>年煤焦油加氢装置、</w:t>
      </w:r>
      <w:r>
        <w:rPr>
          <w:rFonts w:ascii="Times New Roman" w:hAnsi="Times New Roman"/>
          <w:sz w:val="24"/>
          <w:szCs w:val="24"/>
        </w:rPr>
        <w:t>25000Nm</w:t>
      </w:r>
      <w:r>
        <w:rPr>
          <w:rFonts w:ascii="Times New Roman" w:hAnsi="Times New Roman"/>
          <w:sz w:val="24"/>
          <w:szCs w:val="24"/>
          <w:vertAlign w:val="superscript"/>
        </w:rPr>
        <w:t>3</w:t>
      </w:r>
      <w:r>
        <w:rPr>
          <w:rFonts w:ascii="Times New Roman" w:hAnsi="Times New Roman"/>
          <w:sz w:val="24"/>
          <w:szCs w:val="24"/>
        </w:rPr>
        <w:t>/h</w:t>
      </w:r>
      <w:r>
        <w:rPr>
          <w:rFonts w:ascii="Times New Roman" w:hAnsi="Times New Roman"/>
          <w:sz w:val="24"/>
          <w:szCs w:val="24"/>
        </w:rPr>
        <w:t>天然气制氢装置、</w:t>
      </w:r>
      <w:r>
        <w:rPr>
          <w:rFonts w:ascii="Times New Roman" w:hAnsi="Times New Roman"/>
          <w:sz w:val="24"/>
          <w:szCs w:val="24"/>
        </w:rPr>
        <w:t>1.5</w:t>
      </w:r>
      <w:r>
        <w:rPr>
          <w:rFonts w:ascii="Times New Roman" w:hAnsi="Times New Roman"/>
          <w:sz w:val="24"/>
          <w:szCs w:val="24"/>
        </w:rPr>
        <w:t>万吨</w:t>
      </w:r>
      <w:r>
        <w:rPr>
          <w:rFonts w:ascii="Times New Roman" w:hAnsi="Times New Roman"/>
          <w:sz w:val="24"/>
          <w:szCs w:val="24"/>
        </w:rPr>
        <w:t>/</w:t>
      </w:r>
      <w:r>
        <w:rPr>
          <w:rFonts w:ascii="Times New Roman" w:hAnsi="Times New Roman"/>
          <w:sz w:val="24"/>
          <w:szCs w:val="24"/>
        </w:rPr>
        <w:t>年硫磺回收装置（含</w:t>
      </w:r>
      <w:r>
        <w:rPr>
          <w:rFonts w:ascii="Times New Roman" w:hAnsi="Times New Roman"/>
          <w:sz w:val="24"/>
          <w:szCs w:val="24"/>
        </w:rPr>
        <w:t>55t/h</w:t>
      </w:r>
      <w:r>
        <w:rPr>
          <w:rFonts w:ascii="Times New Roman" w:hAnsi="Times New Roman"/>
          <w:sz w:val="24"/>
          <w:szCs w:val="24"/>
        </w:rPr>
        <w:t>酸性水汽提单元、</w:t>
      </w:r>
      <w:r>
        <w:rPr>
          <w:rFonts w:ascii="Times New Roman" w:hAnsi="Times New Roman"/>
          <w:sz w:val="24"/>
          <w:szCs w:val="24"/>
        </w:rPr>
        <w:t>40t/h</w:t>
      </w:r>
      <w:r>
        <w:rPr>
          <w:rFonts w:ascii="Times New Roman" w:hAnsi="Times New Roman"/>
          <w:sz w:val="24"/>
          <w:szCs w:val="24"/>
        </w:rPr>
        <w:t>溶剂再生单元及</w:t>
      </w:r>
      <w:r>
        <w:rPr>
          <w:rFonts w:ascii="Times New Roman" w:hAnsi="Times New Roman"/>
          <w:sz w:val="24"/>
          <w:szCs w:val="24"/>
        </w:rPr>
        <w:t>1.5</w:t>
      </w:r>
      <w:r>
        <w:rPr>
          <w:rFonts w:ascii="Times New Roman" w:hAnsi="Times New Roman"/>
          <w:sz w:val="24"/>
          <w:szCs w:val="24"/>
        </w:rPr>
        <w:t>万吨</w:t>
      </w:r>
      <w:r>
        <w:rPr>
          <w:rFonts w:ascii="Times New Roman" w:hAnsi="Times New Roman"/>
          <w:sz w:val="24"/>
          <w:szCs w:val="24"/>
        </w:rPr>
        <w:t>/</w:t>
      </w:r>
      <w:r>
        <w:rPr>
          <w:rFonts w:ascii="Times New Roman" w:hAnsi="Times New Roman"/>
          <w:sz w:val="24"/>
          <w:szCs w:val="24"/>
        </w:rPr>
        <w:t>年硫磺回收单元）和辅助设施及公用工程组成。</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本项目以煤焦油为原料主要生产柴油、石脑油和尾油等，本项目所选用的工艺技术具有高度的先进性和可靠性，从而保证能生产高质量、高规格的产品。主要产品为柴油、石脑油和尾油，提高了产品的附加值，增加了煤焦油的经济价值，合理的利用了资源。该项目对保证该公司产业链完整和资源充分合理利用十分重要，本项目的实施能促进当地循环经济的发展，从而提高资源利用率，增加企业经济效益。</w:t>
      </w:r>
    </w:p>
    <w:p w:rsidR="00525419" w:rsidRDefault="00EE1CF7" w:rsidP="00EE1CF7">
      <w:pPr>
        <w:pStyle w:val="2a"/>
        <w:spacing w:beforeLines="50" w:before="166" w:after="166"/>
        <w:ind w:left="578" w:hanging="578"/>
        <w:rPr>
          <w:rFonts w:ascii="Times New Roman" w:eastAsia="楷体_GB2312" w:hAnsi="Times New Roman"/>
          <w:sz w:val="36"/>
        </w:rPr>
      </w:pPr>
      <w:bookmarkStart w:id="341" w:name="_Toc24895"/>
      <w:r>
        <w:rPr>
          <w:rFonts w:ascii="Times New Roman" w:eastAsia="楷体_GB2312" w:hAnsi="Times New Roman"/>
          <w:sz w:val="36"/>
        </w:rPr>
        <w:t xml:space="preserve">9.2 </w:t>
      </w:r>
      <w:r>
        <w:rPr>
          <w:rFonts w:ascii="Times New Roman" w:eastAsia="楷体_GB2312" w:hAnsi="Times New Roman"/>
          <w:sz w:val="36"/>
        </w:rPr>
        <w:t>环境质量现状</w:t>
      </w:r>
      <w:bookmarkEnd w:id="339"/>
      <w:bookmarkEnd w:id="340"/>
      <w:r>
        <w:rPr>
          <w:rFonts w:ascii="Times New Roman" w:eastAsia="楷体_GB2312" w:hAnsi="Times New Roman"/>
          <w:sz w:val="36"/>
        </w:rPr>
        <w:t>评价结论</w:t>
      </w:r>
      <w:bookmarkEnd w:id="341"/>
    </w:p>
    <w:p w:rsidR="00525419" w:rsidRDefault="00EE1CF7" w:rsidP="00EE1CF7">
      <w:pPr>
        <w:spacing w:beforeLines="25" w:before="83" w:afterLines="25" w:after="83" w:line="360" w:lineRule="auto"/>
        <w:ind w:firstLineChars="200" w:firstLine="420"/>
        <w:rPr>
          <w:rFonts w:ascii="Times New Roman" w:hAnsi="Times New Roman"/>
          <w:kern w:val="0"/>
          <w:sz w:val="24"/>
          <w:szCs w:val="24"/>
        </w:rPr>
      </w:pPr>
      <w:r>
        <w:rPr>
          <w:rFonts w:ascii="Times New Roman" w:hAnsi="Times New Roman"/>
        </w:rPr>
        <w:t>（</w:t>
      </w:r>
      <w:r>
        <w:rPr>
          <w:rFonts w:ascii="Times New Roman" w:hAnsi="Times New Roman"/>
        </w:rPr>
        <w:t>1</w:t>
      </w:r>
      <w:r>
        <w:rPr>
          <w:rFonts w:ascii="Times New Roman" w:hAnsi="Times New Roman"/>
        </w:rPr>
        <w:t>）</w:t>
      </w:r>
      <w:r>
        <w:rPr>
          <w:rFonts w:ascii="Times New Roman" w:hAnsi="Times New Roman"/>
          <w:kern w:val="0"/>
          <w:sz w:val="24"/>
          <w:szCs w:val="24"/>
        </w:rPr>
        <w:t>本项目所在区域</w:t>
      </w:r>
      <w:r>
        <w:rPr>
          <w:rFonts w:ascii="Times New Roman" w:hAnsi="Times New Roman"/>
          <w:kern w:val="0"/>
          <w:sz w:val="24"/>
          <w:szCs w:val="24"/>
        </w:rPr>
        <w:t>SO</w:t>
      </w:r>
      <w:r>
        <w:rPr>
          <w:rFonts w:ascii="Times New Roman" w:hAnsi="Times New Roman"/>
          <w:kern w:val="0"/>
          <w:sz w:val="24"/>
          <w:szCs w:val="24"/>
          <w:vertAlign w:val="subscript"/>
        </w:rPr>
        <w:t>2</w:t>
      </w:r>
      <w:r>
        <w:rPr>
          <w:rFonts w:ascii="Times New Roman" w:hAnsi="Times New Roman"/>
          <w:kern w:val="0"/>
          <w:sz w:val="24"/>
          <w:szCs w:val="24"/>
        </w:rPr>
        <w:t>、</w:t>
      </w:r>
      <w:r>
        <w:rPr>
          <w:rFonts w:ascii="Times New Roman" w:hAnsi="Times New Roman"/>
          <w:kern w:val="0"/>
          <w:sz w:val="24"/>
          <w:szCs w:val="24"/>
        </w:rPr>
        <w:t>NO</w:t>
      </w:r>
      <w:r>
        <w:rPr>
          <w:rFonts w:ascii="Times New Roman" w:hAnsi="Times New Roman"/>
          <w:kern w:val="0"/>
          <w:sz w:val="24"/>
          <w:szCs w:val="24"/>
          <w:vertAlign w:val="subscript"/>
        </w:rPr>
        <w:t>2</w:t>
      </w:r>
      <w:r>
        <w:rPr>
          <w:rFonts w:ascii="Times New Roman" w:hAnsi="Times New Roman"/>
          <w:kern w:val="0"/>
          <w:sz w:val="24"/>
          <w:szCs w:val="24"/>
        </w:rPr>
        <w:t>年平均、</w:t>
      </w:r>
      <w:r>
        <w:rPr>
          <w:rFonts w:ascii="Times New Roman" w:hAnsi="Times New Roman"/>
          <w:kern w:val="0"/>
          <w:sz w:val="24"/>
          <w:szCs w:val="24"/>
        </w:rPr>
        <w:t>CO</w:t>
      </w:r>
      <w:r>
        <w:rPr>
          <w:rFonts w:ascii="Times New Roman" w:hAnsi="Times New Roman"/>
          <w:kern w:val="0"/>
          <w:sz w:val="24"/>
          <w:szCs w:val="24"/>
        </w:rPr>
        <w:t>第</w:t>
      </w:r>
      <w:r>
        <w:rPr>
          <w:rFonts w:ascii="Times New Roman" w:hAnsi="Times New Roman"/>
          <w:kern w:val="0"/>
          <w:sz w:val="24"/>
          <w:szCs w:val="24"/>
        </w:rPr>
        <w:t>95</w:t>
      </w:r>
      <w:r>
        <w:rPr>
          <w:rFonts w:ascii="Times New Roman" w:hAnsi="Times New Roman"/>
          <w:kern w:val="0"/>
          <w:sz w:val="24"/>
          <w:szCs w:val="24"/>
        </w:rPr>
        <w:t>百分位数</w:t>
      </w:r>
      <w:r>
        <w:rPr>
          <w:rFonts w:ascii="Times New Roman" w:hAnsi="Times New Roman"/>
          <w:kern w:val="0"/>
          <w:sz w:val="24"/>
          <w:szCs w:val="24"/>
        </w:rPr>
        <w:t>24h</w:t>
      </w:r>
      <w:r>
        <w:rPr>
          <w:rFonts w:ascii="Times New Roman" w:hAnsi="Times New Roman"/>
          <w:kern w:val="0"/>
          <w:sz w:val="24"/>
          <w:szCs w:val="24"/>
        </w:rPr>
        <w:t>平均、</w:t>
      </w:r>
      <w:r>
        <w:rPr>
          <w:rFonts w:ascii="Times New Roman" w:hAnsi="Times New Roman"/>
          <w:kern w:val="0"/>
          <w:sz w:val="24"/>
          <w:szCs w:val="24"/>
        </w:rPr>
        <w:t>O</w:t>
      </w:r>
      <w:r>
        <w:rPr>
          <w:rFonts w:ascii="Times New Roman" w:hAnsi="Times New Roman"/>
          <w:kern w:val="0"/>
          <w:sz w:val="24"/>
          <w:szCs w:val="24"/>
          <w:vertAlign w:val="subscript"/>
        </w:rPr>
        <w:t>3</w:t>
      </w:r>
      <w:r>
        <w:rPr>
          <w:rFonts w:ascii="Times New Roman" w:hAnsi="Times New Roman"/>
          <w:kern w:val="0"/>
          <w:sz w:val="24"/>
          <w:szCs w:val="24"/>
        </w:rPr>
        <w:t>第</w:t>
      </w:r>
      <w:r>
        <w:rPr>
          <w:rFonts w:ascii="Times New Roman" w:hAnsi="Times New Roman"/>
          <w:kern w:val="0"/>
          <w:sz w:val="24"/>
          <w:szCs w:val="24"/>
        </w:rPr>
        <w:t>90</w:t>
      </w:r>
      <w:r>
        <w:rPr>
          <w:rFonts w:ascii="Times New Roman" w:hAnsi="Times New Roman"/>
          <w:kern w:val="0"/>
          <w:sz w:val="24"/>
          <w:szCs w:val="24"/>
        </w:rPr>
        <w:t>百分位数日最大</w:t>
      </w:r>
      <w:r>
        <w:rPr>
          <w:rFonts w:ascii="Times New Roman" w:hAnsi="Times New Roman"/>
          <w:kern w:val="0"/>
          <w:sz w:val="24"/>
          <w:szCs w:val="24"/>
        </w:rPr>
        <w:t>8</w:t>
      </w:r>
      <w:r>
        <w:rPr>
          <w:rFonts w:ascii="Times New Roman" w:hAnsi="Times New Roman"/>
          <w:kern w:val="0"/>
          <w:sz w:val="24"/>
          <w:szCs w:val="24"/>
        </w:rPr>
        <w:t>小时平均浓度均满足《环境空气质量标准》（</w:t>
      </w:r>
      <w:r>
        <w:rPr>
          <w:rFonts w:ascii="Times New Roman" w:hAnsi="Times New Roman"/>
          <w:kern w:val="0"/>
          <w:sz w:val="24"/>
          <w:szCs w:val="24"/>
        </w:rPr>
        <w:t>GB3095-2012</w:t>
      </w:r>
      <w:r>
        <w:rPr>
          <w:rFonts w:ascii="Times New Roman" w:hAnsi="Times New Roman"/>
          <w:kern w:val="0"/>
          <w:sz w:val="24"/>
          <w:szCs w:val="24"/>
        </w:rPr>
        <w:t>）的二级标准要求；</w:t>
      </w:r>
      <w:r>
        <w:rPr>
          <w:rFonts w:ascii="Times New Roman" w:hAnsi="Times New Roman"/>
          <w:kern w:val="0"/>
          <w:sz w:val="24"/>
          <w:szCs w:val="24"/>
        </w:rPr>
        <w:t>PM</w:t>
      </w:r>
      <w:r>
        <w:rPr>
          <w:rFonts w:ascii="Times New Roman" w:hAnsi="Times New Roman"/>
          <w:kern w:val="0"/>
          <w:sz w:val="24"/>
          <w:szCs w:val="24"/>
          <w:vertAlign w:val="subscript"/>
        </w:rPr>
        <w:t>10</w:t>
      </w:r>
      <w:r>
        <w:rPr>
          <w:rFonts w:ascii="Times New Roman" w:hAnsi="Times New Roman"/>
          <w:kern w:val="0"/>
          <w:sz w:val="24"/>
          <w:szCs w:val="24"/>
        </w:rPr>
        <w:t>、</w:t>
      </w:r>
      <w:r>
        <w:rPr>
          <w:rFonts w:ascii="Times New Roman" w:hAnsi="Times New Roman"/>
          <w:kern w:val="0"/>
          <w:sz w:val="24"/>
          <w:szCs w:val="24"/>
        </w:rPr>
        <w:t>PM</w:t>
      </w:r>
      <w:r>
        <w:rPr>
          <w:rFonts w:ascii="Times New Roman" w:hAnsi="Times New Roman"/>
          <w:kern w:val="0"/>
          <w:sz w:val="24"/>
          <w:szCs w:val="24"/>
          <w:vertAlign w:val="subscript"/>
        </w:rPr>
        <w:t>2.5</w:t>
      </w:r>
      <w:r>
        <w:rPr>
          <w:rFonts w:ascii="Times New Roman" w:hAnsi="Times New Roman"/>
          <w:kern w:val="0"/>
          <w:sz w:val="24"/>
          <w:szCs w:val="24"/>
        </w:rPr>
        <w:t>年平均均超过《环境空气质量标准》（</w:t>
      </w:r>
      <w:r>
        <w:rPr>
          <w:rFonts w:ascii="Times New Roman" w:hAnsi="Times New Roman"/>
          <w:kern w:val="0"/>
          <w:sz w:val="24"/>
          <w:szCs w:val="24"/>
        </w:rPr>
        <w:t>GB3095-2012</w:t>
      </w:r>
      <w:r>
        <w:rPr>
          <w:rFonts w:ascii="Times New Roman" w:hAnsi="Times New Roman"/>
          <w:kern w:val="0"/>
          <w:sz w:val="24"/>
          <w:szCs w:val="24"/>
        </w:rPr>
        <w:t>）的二级标准要求，本项目所在区域为非达标区域。</w:t>
      </w:r>
    </w:p>
    <w:p w:rsidR="00525419" w:rsidRDefault="00EE1CF7">
      <w:pPr>
        <w:pStyle w:val="B1"/>
        <w:ind w:firstLine="480"/>
        <w:rPr>
          <w:rFonts w:cs="Times New Roman"/>
        </w:rPr>
      </w:pPr>
      <w:r>
        <w:rPr>
          <w:rFonts w:cs="Times New Roman"/>
        </w:rPr>
        <w:t>各监测点</w:t>
      </w:r>
      <w:r>
        <w:rPr>
          <w:rFonts w:cs="Times New Roman"/>
        </w:rPr>
        <w:t>NMHC</w:t>
      </w:r>
      <w:r>
        <w:rPr>
          <w:rFonts w:cs="Times New Roman"/>
        </w:rPr>
        <w:t>浓度满足</w:t>
      </w:r>
      <w:r>
        <w:rPr>
          <w:rFonts w:cs="Times New Roman"/>
          <w:snapToGrid w:val="0"/>
        </w:rPr>
        <w:t>《大气污染物综合排放标准详解》中一次值要求，</w:t>
      </w:r>
      <w:r>
        <w:rPr>
          <w:rFonts w:cs="Times New Roman"/>
          <w:snapToGrid w:val="0"/>
        </w:rPr>
        <w:t>H</w:t>
      </w:r>
      <w:r>
        <w:rPr>
          <w:rFonts w:cs="Times New Roman"/>
          <w:snapToGrid w:val="0"/>
          <w:vertAlign w:val="subscript"/>
        </w:rPr>
        <w:t>2</w:t>
      </w:r>
      <w:r>
        <w:rPr>
          <w:rFonts w:cs="Times New Roman"/>
          <w:snapToGrid w:val="0"/>
        </w:rPr>
        <w:t>S</w:t>
      </w:r>
      <w:r>
        <w:rPr>
          <w:rFonts w:cs="Times New Roman"/>
          <w:snapToGrid w:val="0"/>
        </w:rPr>
        <w:t>、氨浓度满足</w:t>
      </w:r>
      <w:r>
        <w:rPr>
          <w:rFonts w:cs="Times New Roman"/>
        </w:rPr>
        <w:t>《环境影响评价技术导则</w:t>
      </w:r>
      <w:r>
        <w:rPr>
          <w:rFonts w:cs="Times New Roman"/>
        </w:rPr>
        <w:t xml:space="preserve"> </w:t>
      </w:r>
      <w:r>
        <w:rPr>
          <w:rFonts w:cs="Times New Roman"/>
        </w:rPr>
        <w:t>大气环境》（</w:t>
      </w:r>
      <w:r>
        <w:rPr>
          <w:rFonts w:cs="Times New Roman"/>
        </w:rPr>
        <w:t>HJ2.2-2018</w:t>
      </w:r>
      <w:r>
        <w:rPr>
          <w:rFonts w:cs="Times New Roman"/>
        </w:rPr>
        <w:t>）中附录</w:t>
      </w:r>
      <w:r>
        <w:rPr>
          <w:rFonts w:cs="Times New Roman"/>
        </w:rPr>
        <w:t>D</w:t>
      </w:r>
      <w:r>
        <w:rPr>
          <w:rFonts w:cs="Times New Roman"/>
        </w:rPr>
        <w:t>中其他污染物空气质量浓度参考限值。</w:t>
      </w:r>
    </w:p>
    <w:p w:rsidR="00525419" w:rsidRDefault="00EE1CF7">
      <w:pPr>
        <w:pStyle w:val="B1"/>
        <w:ind w:firstLine="480"/>
        <w:rPr>
          <w:rFonts w:cs="Times New Roman"/>
        </w:rPr>
      </w:pPr>
      <w:r>
        <w:rPr>
          <w:rFonts w:cs="Times New Roman"/>
        </w:rPr>
        <w:t>（</w:t>
      </w:r>
      <w:r>
        <w:rPr>
          <w:rFonts w:cs="Times New Roman"/>
        </w:rPr>
        <w:t>2</w:t>
      </w:r>
      <w:r>
        <w:rPr>
          <w:rFonts w:cs="Times New Roman"/>
        </w:rPr>
        <w:t>）项目区地下水水质符合《地下水质量标准》（</w:t>
      </w:r>
      <w:r>
        <w:rPr>
          <w:rFonts w:cs="Times New Roman"/>
        </w:rPr>
        <w:t>GB/T14848-2017</w:t>
      </w:r>
      <w:r>
        <w:rPr>
          <w:rFonts w:cs="Times New Roman"/>
        </w:rPr>
        <w:t>）</w:t>
      </w:r>
      <w:r>
        <w:rPr>
          <w:rFonts w:cs="Times New Roman"/>
        </w:rPr>
        <w:t>Ⅲ</w:t>
      </w:r>
      <w:r>
        <w:rPr>
          <w:rFonts w:cs="Times New Roman"/>
        </w:rPr>
        <w:t>类标准，石油类满足《地表水环境质量标准》（</w:t>
      </w:r>
      <w:r>
        <w:rPr>
          <w:rFonts w:cs="Times New Roman"/>
        </w:rPr>
        <w:t>GB3838-2002</w:t>
      </w:r>
      <w:r>
        <w:rPr>
          <w:rFonts w:cs="Times New Roman"/>
        </w:rPr>
        <w:t>）中的</w:t>
      </w:r>
      <w:r>
        <w:rPr>
          <w:rFonts w:cs="Times New Roman"/>
        </w:rPr>
        <w:t>Ⅲ</w:t>
      </w:r>
      <w:r>
        <w:rPr>
          <w:rFonts w:cs="Times New Roman"/>
        </w:rPr>
        <w:t>类标准。</w:t>
      </w:r>
    </w:p>
    <w:p w:rsidR="00525419" w:rsidRDefault="00EE1CF7">
      <w:pPr>
        <w:pStyle w:val="B1"/>
        <w:ind w:firstLine="480"/>
        <w:rPr>
          <w:rFonts w:cs="Times New Roman"/>
        </w:rPr>
      </w:pPr>
      <w:r>
        <w:rPr>
          <w:rFonts w:cs="Times New Roman"/>
        </w:rPr>
        <w:t>（</w:t>
      </w:r>
      <w:r>
        <w:rPr>
          <w:rFonts w:cs="Times New Roman"/>
        </w:rPr>
        <w:t>3</w:t>
      </w:r>
      <w:r>
        <w:rPr>
          <w:rFonts w:cs="Times New Roman"/>
        </w:rPr>
        <w:t>）厂址区域声环境质量符合《声环境质量标准》中的</w:t>
      </w:r>
      <w:r>
        <w:rPr>
          <w:rFonts w:cs="Times New Roman"/>
        </w:rPr>
        <w:t>3</w:t>
      </w:r>
      <w:r>
        <w:rPr>
          <w:rFonts w:cs="Times New Roman"/>
        </w:rPr>
        <w:t>类区标准。</w:t>
      </w:r>
    </w:p>
    <w:p w:rsidR="00525419" w:rsidRDefault="00EE1CF7">
      <w:pPr>
        <w:pStyle w:val="B1"/>
        <w:ind w:firstLine="480"/>
        <w:rPr>
          <w:rFonts w:cs="Times New Roman"/>
        </w:rPr>
      </w:pPr>
      <w:r>
        <w:rPr>
          <w:rFonts w:cs="Times New Roman"/>
        </w:rPr>
        <w:t>（</w:t>
      </w:r>
      <w:r>
        <w:rPr>
          <w:rFonts w:cs="Times New Roman"/>
        </w:rPr>
        <w:t>4</w:t>
      </w:r>
      <w:r>
        <w:rPr>
          <w:rFonts w:cs="Times New Roman"/>
        </w:rPr>
        <w:t>）厂址周边</w:t>
      </w:r>
      <w:r>
        <w:rPr>
          <w:rFonts w:cs="Times New Roman"/>
          <w:lang w:val="zh-CN"/>
        </w:rPr>
        <w:t>各个监测点土壤中的各监测因子均能满足《土壤环境质量标准</w:t>
      </w:r>
      <w:r>
        <w:rPr>
          <w:rFonts w:cs="Times New Roman"/>
          <w:lang w:val="zh-CN"/>
        </w:rPr>
        <w:t xml:space="preserve"> </w:t>
      </w:r>
      <w:r>
        <w:rPr>
          <w:rFonts w:cs="Times New Roman"/>
          <w:lang w:val="zh-CN"/>
        </w:rPr>
        <w:t>建设用地土壤污染风险管控标准》（</w:t>
      </w:r>
      <w:r>
        <w:rPr>
          <w:rFonts w:cs="Times New Roman"/>
          <w:lang w:val="zh-CN"/>
        </w:rPr>
        <w:t>GB36600-2018</w:t>
      </w:r>
      <w:r>
        <w:rPr>
          <w:rFonts w:cs="Times New Roman"/>
          <w:lang w:val="zh-CN"/>
        </w:rPr>
        <w:t>）第二类用地筛选限值要求。</w:t>
      </w:r>
    </w:p>
    <w:p w:rsidR="00525419" w:rsidRDefault="00EE1CF7" w:rsidP="00EE1CF7">
      <w:pPr>
        <w:pStyle w:val="2a"/>
        <w:spacing w:beforeLines="50" w:before="166" w:after="166"/>
        <w:ind w:left="578" w:hanging="578"/>
        <w:rPr>
          <w:rFonts w:ascii="Times New Roman" w:eastAsia="楷体_GB2312" w:hAnsi="Times New Roman"/>
          <w:sz w:val="36"/>
        </w:rPr>
      </w:pPr>
      <w:bookmarkStart w:id="342" w:name="_Toc484775672"/>
      <w:bookmarkStart w:id="343" w:name="_Toc17491"/>
      <w:r>
        <w:rPr>
          <w:rFonts w:ascii="Times New Roman" w:eastAsia="楷体_GB2312" w:hAnsi="Times New Roman"/>
          <w:sz w:val="36"/>
        </w:rPr>
        <w:t xml:space="preserve">9.3 </w:t>
      </w:r>
      <w:bookmarkEnd w:id="342"/>
      <w:r>
        <w:rPr>
          <w:rFonts w:ascii="Times New Roman" w:eastAsia="楷体_GB2312" w:hAnsi="Times New Roman"/>
          <w:sz w:val="36"/>
        </w:rPr>
        <w:t>工程分析结论</w:t>
      </w:r>
      <w:bookmarkEnd w:id="343"/>
    </w:p>
    <w:p w:rsidR="00525419" w:rsidRDefault="00EE1CF7">
      <w:pPr>
        <w:spacing w:line="360" w:lineRule="auto"/>
        <w:ind w:firstLine="426"/>
        <w:rPr>
          <w:rFonts w:ascii="Times New Roman" w:hAnsi="Times New Roman"/>
          <w:sz w:val="24"/>
          <w:szCs w:val="24"/>
        </w:rPr>
      </w:pPr>
      <w:r>
        <w:rPr>
          <w:rFonts w:ascii="Times New Roman" w:hAnsi="Times New Roman"/>
          <w:sz w:val="24"/>
          <w:szCs w:val="24"/>
        </w:rPr>
        <w:t>本项目废气污染源主要有生产装置加热炉及焚烧炉烟气</w:t>
      </w:r>
      <w:r>
        <w:rPr>
          <w:rFonts w:ascii="Times New Roman" w:hAnsi="Times New Roman" w:hint="eastAsia"/>
          <w:sz w:val="24"/>
          <w:szCs w:val="24"/>
        </w:rPr>
        <w:t>、</w:t>
      </w:r>
      <w:r>
        <w:rPr>
          <w:rFonts w:ascii="Times New Roman" w:hAnsi="Times New Roman"/>
          <w:sz w:val="24"/>
          <w:szCs w:val="24"/>
        </w:rPr>
        <w:t>罐区油品储运的大、小呼吸等无组织排放挥发损失和油的装车和卸车无组织排放挥发损失排放的废气，主要污染物有</w:t>
      </w:r>
      <w:r>
        <w:rPr>
          <w:rFonts w:ascii="Times New Roman" w:hAnsi="Times New Roman"/>
          <w:sz w:val="24"/>
          <w:szCs w:val="24"/>
        </w:rPr>
        <w:t>SO</w:t>
      </w:r>
      <w:r>
        <w:rPr>
          <w:rFonts w:ascii="Times New Roman" w:hAnsi="Times New Roman"/>
          <w:sz w:val="24"/>
          <w:szCs w:val="24"/>
          <w:vertAlign w:val="subscript"/>
        </w:rPr>
        <w:t>2</w:t>
      </w:r>
      <w:r>
        <w:rPr>
          <w:rFonts w:ascii="Times New Roman" w:hAnsi="Times New Roman"/>
          <w:sz w:val="24"/>
          <w:szCs w:val="24"/>
          <w:vertAlign w:val="subscript"/>
        </w:rPr>
        <w:t>、</w:t>
      </w:r>
      <w:r>
        <w:rPr>
          <w:rFonts w:ascii="Times New Roman" w:hAnsi="Times New Roman"/>
          <w:sz w:val="24"/>
          <w:szCs w:val="24"/>
        </w:rPr>
        <w:t>NOx</w:t>
      </w:r>
      <w:r>
        <w:rPr>
          <w:rFonts w:ascii="Times New Roman" w:hAnsi="Times New Roman"/>
          <w:sz w:val="24"/>
          <w:szCs w:val="24"/>
        </w:rPr>
        <w:t>、烟尘和</w:t>
      </w:r>
      <w:r>
        <w:rPr>
          <w:rFonts w:ascii="Times New Roman" w:hAnsi="Times New Roman"/>
          <w:sz w:val="24"/>
          <w:szCs w:val="24"/>
        </w:rPr>
        <w:t>VOCs</w:t>
      </w:r>
      <w:r>
        <w:rPr>
          <w:rFonts w:ascii="Times New Roman" w:hAnsi="Times New Roman"/>
          <w:sz w:val="24"/>
          <w:szCs w:val="24"/>
        </w:rPr>
        <w:t>（以非甲烷总烃计）。正常情况下，项目外排污染物</w:t>
      </w:r>
      <w:r>
        <w:rPr>
          <w:rFonts w:ascii="Times New Roman" w:hAnsi="Times New Roman"/>
          <w:sz w:val="24"/>
          <w:szCs w:val="24"/>
        </w:rPr>
        <w:t>SO</w:t>
      </w:r>
      <w:r>
        <w:rPr>
          <w:rFonts w:ascii="Times New Roman" w:hAnsi="Times New Roman"/>
          <w:sz w:val="24"/>
          <w:szCs w:val="24"/>
          <w:vertAlign w:val="subscript"/>
        </w:rPr>
        <w:t>2</w:t>
      </w:r>
      <w:r>
        <w:rPr>
          <w:rFonts w:ascii="Times New Roman" w:hAnsi="Times New Roman"/>
          <w:sz w:val="24"/>
          <w:szCs w:val="24"/>
        </w:rPr>
        <w:t>29.87t/a</w:t>
      </w:r>
      <w:r>
        <w:rPr>
          <w:rFonts w:ascii="Times New Roman" w:hAnsi="Times New Roman"/>
          <w:sz w:val="24"/>
          <w:szCs w:val="24"/>
        </w:rPr>
        <w:t>、</w:t>
      </w:r>
      <w:r>
        <w:rPr>
          <w:rFonts w:ascii="Times New Roman" w:hAnsi="Times New Roman"/>
          <w:sz w:val="24"/>
          <w:szCs w:val="24"/>
        </w:rPr>
        <w:t>NO</w:t>
      </w:r>
      <w:r>
        <w:rPr>
          <w:rFonts w:ascii="Times New Roman" w:hAnsi="Times New Roman"/>
          <w:sz w:val="24"/>
          <w:szCs w:val="24"/>
          <w:vertAlign w:val="subscript"/>
        </w:rPr>
        <w:t>x</w:t>
      </w:r>
      <w:r>
        <w:rPr>
          <w:rFonts w:ascii="Times New Roman" w:hAnsi="Times New Roman"/>
          <w:sz w:val="24"/>
          <w:szCs w:val="24"/>
        </w:rPr>
        <w:t>75.02 t/a</w:t>
      </w:r>
      <w:r>
        <w:rPr>
          <w:rFonts w:ascii="Times New Roman" w:hAnsi="Times New Roman"/>
          <w:sz w:val="24"/>
          <w:szCs w:val="24"/>
        </w:rPr>
        <w:t>、烟尘</w:t>
      </w:r>
      <w:r>
        <w:rPr>
          <w:rFonts w:ascii="Times New Roman" w:hAnsi="Times New Roman"/>
          <w:sz w:val="24"/>
          <w:szCs w:val="24"/>
        </w:rPr>
        <w:t>10.04t/a</w:t>
      </w:r>
      <w:r>
        <w:rPr>
          <w:rFonts w:ascii="Times New Roman" w:hAnsi="Times New Roman"/>
          <w:sz w:val="24"/>
          <w:szCs w:val="24"/>
        </w:rPr>
        <w:t>、</w:t>
      </w:r>
      <w:r>
        <w:rPr>
          <w:rFonts w:ascii="Times New Roman" w:hAnsi="Times New Roman"/>
          <w:sz w:val="24"/>
          <w:szCs w:val="24"/>
        </w:rPr>
        <w:t>VOCs</w:t>
      </w:r>
      <w:r>
        <w:rPr>
          <w:rFonts w:ascii="Times New Roman" w:hAnsi="Times New Roman"/>
          <w:sz w:val="24"/>
          <w:szCs w:val="24"/>
        </w:rPr>
        <w:t>（以非甲烷总烃计）</w:t>
      </w:r>
      <w:r>
        <w:rPr>
          <w:rFonts w:ascii="Times New Roman" w:hAnsi="Times New Roman"/>
          <w:sz w:val="24"/>
          <w:szCs w:val="24"/>
        </w:rPr>
        <w:t>54.47 t/a</w:t>
      </w:r>
      <w:r>
        <w:rPr>
          <w:rFonts w:ascii="Times New Roman" w:hAnsi="Times New Roman"/>
          <w:sz w:val="24"/>
          <w:szCs w:val="24"/>
        </w:rPr>
        <w:t>。</w:t>
      </w:r>
    </w:p>
    <w:p w:rsidR="00525419" w:rsidRDefault="00EE1CF7">
      <w:pPr>
        <w:spacing w:line="360" w:lineRule="auto"/>
        <w:ind w:firstLine="426"/>
        <w:rPr>
          <w:rFonts w:ascii="Times New Roman" w:hAnsi="Times New Roman"/>
          <w:sz w:val="24"/>
        </w:rPr>
      </w:pPr>
      <w:r>
        <w:rPr>
          <w:rFonts w:ascii="Times New Roman" w:hAnsi="Times New Roman" w:hint="eastAsia"/>
          <w:sz w:val="24"/>
        </w:rPr>
        <w:t>本项目</w:t>
      </w:r>
      <w:r>
        <w:rPr>
          <w:rFonts w:ascii="Times New Roman" w:hAnsi="Times New Roman"/>
          <w:sz w:val="24"/>
        </w:rPr>
        <w:t>产生的酸性污水经汽提装置处理后用于</w:t>
      </w:r>
      <w:r>
        <w:rPr>
          <w:rFonts w:ascii="Times New Roman" w:hAnsi="Times New Roman" w:hint="eastAsia"/>
          <w:sz w:val="24"/>
        </w:rPr>
        <w:t>工艺</w:t>
      </w:r>
      <w:r>
        <w:rPr>
          <w:rFonts w:ascii="Times New Roman" w:hAnsi="Times New Roman"/>
          <w:sz w:val="24"/>
        </w:rPr>
        <w:t>注水；</w:t>
      </w:r>
      <w:r>
        <w:rPr>
          <w:rFonts w:ascii="Times New Roman" w:hAnsi="Times New Roman" w:hint="eastAsia"/>
          <w:kern w:val="0"/>
          <w:sz w:val="24"/>
          <w:szCs w:val="24"/>
        </w:rPr>
        <w:t>脱盐水站产生含盐废水</w:t>
      </w:r>
      <w:r>
        <w:rPr>
          <w:rFonts w:ascii="Times New Roman" w:hAnsi="Times New Roman"/>
          <w:sz w:val="24"/>
        </w:rPr>
        <w:t>进入浓盐水处理装置处理后作为循环水回用；含油污水、生活污水及其它废水到依托厂区污水处理装置处理后达到《循环冷却水用再生水水质标准》（</w:t>
      </w:r>
      <w:r>
        <w:rPr>
          <w:rFonts w:ascii="Times New Roman" w:hAnsi="Times New Roman"/>
          <w:sz w:val="24"/>
        </w:rPr>
        <w:t>HJ/T3923-2007</w:t>
      </w:r>
      <w:r>
        <w:rPr>
          <w:rFonts w:ascii="Times New Roman" w:hAnsi="Times New Roman"/>
          <w:sz w:val="24"/>
        </w:rPr>
        <w:t>）用于厂区循环冷却补水，不外排。</w:t>
      </w:r>
    </w:p>
    <w:p w:rsidR="00525419" w:rsidRDefault="00EE1CF7">
      <w:pPr>
        <w:spacing w:line="360" w:lineRule="auto"/>
        <w:ind w:firstLineChars="200" w:firstLine="480"/>
        <w:rPr>
          <w:rFonts w:ascii="Times New Roman" w:hAnsi="Times New Roman"/>
          <w:sz w:val="24"/>
          <w:szCs w:val="24"/>
        </w:rPr>
      </w:pPr>
      <w:r>
        <w:rPr>
          <w:rFonts w:ascii="Times New Roman" w:hAnsi="Times New Roman"/>
          <w:sz w:val="24"/>
          <w:szCs w:val="24"/>
        </w:rPr>
        <w:t>固体废物主要有</w:t>
      </w:r>
      <w:r>
        <w:rPr>
          <w:rFonts w:ascii="Times New Roman" w:hAnsi="Times New Roman"/>
          <w:sz w:val="24"/>
        </w:rPr>
        <w:t>生活垃圾、危险废物：气浮单元产生的浮渣、油罐检修油泥、反应器产生的废催化剂、废保护剂等、一般工业固体废物</w:t>
      </w:r>
      <w:r>
        <w:rPr>
          <w:rFonts w:ascii="Times New Roman" w:hAnsi="Times New Roman" w:hint="eastAsia"/>
          <w:sz w:val="24"/>
        </w:rPr>
        <w:t>包括</w:t>
      </w:r>
      <w:r>
        <w:rPr>
          <w:rFonts w:ascii="Times New Roman" w:hAnsi="Times New Roman"/>
          <w:sz w:val="24"/>
        </w:rPr>
        <w:t>废瓷球、废吸附等。</w:t>
      </w:r>
      <w:r>
        <w:rPr>
          <w:rFonts w:ascii="Times New Roman" w:hAnsi="Times New Roman"/>
          <w:sz w:val="24"/>
          <w:szCs w:val="24"/>
        </w:rPr>
        <w:t>生活垃圾送当地生活垃圾填埋场卫生填埋；危险废物委托有资质单位处置，</w:t>
      </w:r>
      <w:r>
        <w:rPr>
          <w:rFonts w:ascii="Times New Roman" w:hAnsi="Times New Roman"/>
          <w:sz w:val="24"/>
        </w:rPr>
        <w:t>一般工业固体废物在厂区堆存，</w:t>
      </w:r>
      <w:r>
        <w:rPr>
          <w:rFonts w:ascii="Times New Roman" w:hAnsi="Times New Roman" w:hint="eastAsia"/>
          <w:sz w:val="24"/>
        </w:rPr>
        <w:t>由厂家回收</w:t>
      </w:r>
      <w:r>
        <w:rPr>
          <w:rFonts w:ascii="Times New Roman" w:hAnsi="Times New Roman"/>
          <w:sz w:val="24"/>
        </w:rPr>
        <w:t>。</w:t>
      </w:r>
    </w:p>
    <w:p w:rsidR="00525419" w:rsidRDefault="00EE1CF7" w:rsidP="00EE1CF7">
      <w:pPr>
        <w:pStyle w:val="2a"/>
        <w:spacing w:beforeLines="50" w:before="166" w:after="166"/>
        <w:ind w:left="578" w:hanging="578"/>
        <w:rPr>
          <w:rFonts w:ascii="Times New Roman" w:eastAsia="楷体_GB2312" w:hAnsi="Times New Roman"/>
          <w:sz w:val="36"/>
        </w:rPr>
      </w:pPr>
      <w:bookmarkStart w:id="344" w:name="_Toc484775673"/>
      <w:bookmarkStart w:id="345" w:name="_Toc5532"/>
      <w:r>
        <w:rPr>
          <w:rFonts w:ascii="Times New Roman" w:eastAsia="楷体_GB2312" w:hAnsi="Times New Roman"/>
          <w:sz w:val="36"/>
        </w:rPr>
        <w:t xml:space="preserve">9.4 </w:t>
      </w:r>
      <w:r>
        <w:rPr>
          <w:rFonts w:ascii="Times New Roman" w:eastAsia="楷体_GB2312" w:hAnsi="Times New Roman"/>
          <w:sz w:val="36"/>
        </w:rPr>
        <w:t>环境影响</w:t>
      </w:r>
      <w:bookmarkEnd w:id="344"/>
      <w:r>
        <w:rPr>
          <w:rFonts w:ascii="Times New Roman" w:eastAsia="楷体_GB2312" w:hAnsi="Times New Roman"/>
          <w:sz w:val="36"/>
        </w:rPr>
        <w:t>评价结论</w:t>
      </w:r>
      <w:bookmarkEnd w:id="345"/>
    </w:p>
    <w:p w:rsidR="00525419" w:rsidRDefault="00EE1CF7">
      <w:pPr>
        <w:spacing w:line="360" w:lineRule="auto"/>
        <w:ind w:firstLineChars="200" w:firstLine="480"/>
        <w:rPr>
          <w:rFonts w:ascii="Times New Roman" w:hAnsi="Times New Roman"/>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w:t>
      </w:r>
      <w:r>
        <w:rPr>
          <w:rFonts w:ascii="Times New Roman" w:hAnsi="Times New Roman"/>
          <w:sz w:val="24"/>
          <w:szCs w:val="24"/>
        </w:rPr>
        <w:t>大气环境影响分析</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hint="eastAsia"/>
          <w:kern w:val="0"/>
          <w:sz w:val="24"/>
          <w:szCs w:val="24"/>
        </w:rPr>
        <w:t>本项目</w:t>
      </w:r>
      <w:r>
        <w:rPr>
          <w:rFonts w:ascii="Times New Roman" w:hAnsi="Times New Roman"/>
          <w:kern w:val="0"/>
          <w:sz w:val="24"/>
          <w:szCs w:val="24"/>
        </w:rPr>
        <w:t>落地浓度与现状监测值逐日叠加后，</w:t>
      </w:r>
      <w:r>
        <w:rPr>
          <w:rFonts w:ascii="Times New Roman" w:hAnsi="Times New Roman"/>
          <w:kern w:val="0"/>
          <w:sz w:val="24"/>
          <w:szCs w:val="24"/>
        </w:rPr>
        <w:t>SO</w:t>
      </w:r>
      <w:r>
        <w:rPr>
          <w:rFonts w:ascii="Times New Roman" w:hAnsi="Times New Roman"/>
          <w:kern w:val="0"/>
          <w:sz w:val="24"/>
          <w:szCs w:val="24"/>
          <w:vertAlign w:val="subscript"/>
        </w:rPr>
        <w:t>2</w:t>
      </w:r>
      <w:r>
        <w:rPr>
          <w:rFonts w:ascii="Times New Roman" w:hAnsi="Times New Roman"/>
          <w:kern w:val="0"/>
          <w:sz w:val="24"/>
          <w:szCs w:val="24"/>
        </w:rPr>
        <w:t>日保证率浓度、年均浓度均未出现超标现象；</w:t>
      </w:r>
      <w:r>
        <w:rPr>
          <w:rFonts w:ascii="Times New Roman" w:hAnsi="Times New Roman"/>
          <w:kern w:val="0"/>
          <w:sz w:val="24"/>
          <w:szCs w:val="24"/>
        </w:rPr>
        <w:t>NO</w:t>
      </w:r>
      <w:r>
        <w:rPr>
          <w:rFonts w:ascii="Times New Roman" w:hAnsi="Times New Roman"/>
          <w:kern w:val="0"/>
          <w:sz w:val="24"/>
          <w:szCs w:val="24"/>
          <w:vertAlign w:val="subscript"/>
        </w:rPr>
        <w:t>2</w:t>
      </w:r>
      <w:r>
        <w:rPr>
          <w:rFonts w:ascii="Times New Roman" w:hAnsi="Times New Roman"/>
          <w:kern w:val="0"/>
          <w:sz w:val="24"/>
          <w:szCs w:val="24"/>
        </w:rPr>
        <w:t>年均浓度均未出现超标现象，日保证率网格点浓度超标，超标原因是</w:t>
      </w:r>
      <w:r>
        <w:rPr>
          <w:rFonts w:ascii="Times New Roman" w:hAnsi="Times New Roman"/>
          <w:kern w:val="0"/>
          <w:sz w:val="24"/>
          <w:szCs w:val="24"/>
        </w:rPr>
        <w:t>NO</w:t>
      </w:r>
      <w:r>
        <w:rPr>
          <w:rFonts w:ascii="Times New Roman" w:hAnsi="Times New Roman"/>
          <w:kern w:val="0"/>
          <w:sz w:val="24"/>
          <w:szCs w:val="24"/>
          <w:vertAlign w:val="subscript"/>
        </w:rPr>
        <w:t>2</w:t>
      </w:r>
      <w:r>
        <w:rPr>
          <w:rFonts w:ascii="Times New Roman" w:hAnsi="Times New Roman"/>
          <w:kern w:val="0"/>
          <w:sz w:val="24"/>
          <w:szCs w:val="24"/>
        </w:rPr>
        <w:t>背景值较高（</w:t>
      </w:r>
      <w:r>
        <w:rPr>
          <w:rFonts w:ascii="Times New Roman" w:hAnsi="Times New Roman"/>
          <w:kern w:val="0"/>
          <w:sz w:val="24"/>
          <w:szCs w:val="24"/>
        </w:rPr>
        <w:t>73ug/m</w:t>
      </w:r>
      <w:r>
        <w:rPr>
          <w:rFonts w:ascii="Times New Roman" w:hAnsi="Times New Roman"/>
          <w:kern w:val="0"/>
          <w:sz w:val="24"/>
          <w:szCs w:val="24"/>
          <w:vertAlign w:val="superscript"/>
        </w:rPr>
        <w:t>3</w:t>
      </w:r>
      <w:r>
        <w:rPr>
          <w:rFonts w:ascii="Times New Roman" w:hAnsi="Times New Roman"/>
          <w:kern w:val="0"/>
          <w:sz w:val="24"/>
          <w:szCs w:val="24"/>
        </w:rPr>
        <w:t>），本项目排放</w:t>
      </w:r>
      <w:r>
        <w:rPr>
          <w:rFonts w:ascii="Times New Roman" w:hAnsi="Times New Roman"/>
          <w:kern w:val="0"/>
          <w:sz w:val="24"/>
          <w:szCs w:val="24"/>
        </w:rPr>
        <w:t>NO</w:t>
      </w:r>
      <w:r>
        <w:rPr>
          <w:rFonts w:ascii="Times New Roman" w:hAnsi="Times New Roman"/>
          <w:kern w:val="0"/>
          <w:sz w:val="24"/>
          <w:szCs w:val="24"/>
          <w:vertAlign w:val="subscript"/>
        </w:rPr>
        <w:t>2</w:t>
      </w:r>
      <w:r>
        <w:rPr>
          <w:rFonts w:ascii="Times New Roman" w:hAnsi="Times New Roman"/>
          <w:kern w:val="0"/>
          <w:sz w:val="24"/>
          <w:szCs w:val="24"/>
        </w:rPr>
        <w:t>的最大日均贡献值＜</w:t>
      </w:r>
      <w:r>
        <w:rPr>
          <w:rFonts w:ascii="Times New Roman" w:hAnsi="Times New Roman"/>
          <w:kern w:val="0"/>
          <w:sz w:val="24"/>
          <w:szCs w:val="24"/>
        </w:rPr>
        <w:t>5%</w:t>
      </w:r>
      <w:r>
        <w:rPr>
          <w:rFonts w:ascii="Times New Roman" w:hAnsi="Times New Roman"/>
          <w:kern w:val="0"/>
          <w:sz w:val="24"/>
          <w:szCs w:val="24"/>
        </w:rPr>
        <w:t>，；</w:t>
      </w:r>
      <w:r>
        <w:rPr>
          <w:rFonts w:ascii="Times New Roman" w:hAnsi="Times New Roman"/>
          <w:kern w:val="0"/>
          <w:sz w:val="24"/>
          <w:szCs w:val="24"/>
        </w:rPr>
        <w:t>PM</w:t>
      </w:r>
      <w:r>
        <w:rPr>
          <w:rFonts w:ascii="Times New Roman" w:hAnsi="Times New Roman"/>
          <w:kern w:val="0"/>
          <w:sz w:val="24"/>
          <w:szCs w:val="24"/>
          <w:vertAlign w:val="subscript"/>
        </w:rPr>
        <w:t>10</w:t>
      </w:r>
      <w:r>
        <w:rPr>
          <w:rFonts w:ascii="Times New Roman" w:hAnsi="Times New Roman"/>
          <w:kern w:val="0"/>
          <w:sz w:val="24"/>
          <w:szCs w:val="24"/>
        </w:rPr>
        <w:t>日保证率浓度、年均浓度均出现超标现象，超标原因是</w:t>
      </w:r>
      <w:r>
        <w:rPr>
          <w:rFonts w:ascii="Times New Roman" w:hAnsi="Times New Roman"/>
          <w:kern w:val="0"/>
          <w:sz w:val="24"/>
          <w:szCs w:val="24"/>
        </w:rPr>
        <w:t>PM</w:t>
      </w:r>
      <w:r>
        <w:rPr>
          <w:rFonts w:ascii="Times New Roman" w:hAnsi="Times New Roman"/>
          <w:kern w:val="0"/>
          <w:sz w:val="24"/>
          <w:szCs w:val="24"/>
          <w:vertAlign w:val="subscript"/>
        </w:rPr>
        <w:t>10</w:t>
      </w:r>
      <w:r>
        <w:rPr>
          <w:rFonts w:ascii="Times New Roman" w:hAnsi="Times New Roman"/>
          <w:kern w:val="0"/>
          <w:sz w:val="24"/>
          <w:szCs w:val="24"/>
        </w:rPr>
        <w:t>背景值高，与项目区地处荒漠，风沙大、自然背景值高的自然气象条件有关，本项目排放污染物</w:t>
      </w:r>
      <w:r>
        <w:rPr>
          <w:rFonts w:ascii="Times New Roman" w:hAnsi="Times New Roman"/>
          <w:kern w:val="0"/>
          <w:sz w:val="24"/>
          <w:szCs w:val="24"/>
        </w:rPr>
        <w:t>PM</w:t>
      </w:r>
      <w:r>
        <w:rPr>
          <w:rFonts w:ascii="Times New Roman" w:hAnsi="Times New Roman"/>
          <w:kern w:val="0"/>
          <w:sz w:val="24"/>
          <w:szCs w:val="24"/>
          <w:vertAlign w:val="subscript"/>
        </w:rPr>
        <w:t>10</w:t>
      </w:r>
      <w:r>
        <w:rPr>
          <w:rFonts w:ascii="Times New Roman" w:hAnsi="Times New Roman"/>
          <w:kern w:val="0"/>
          <w:sz w:val="24"/>
          <w:szCs w:val="24"/>
        </w:rPr>
        <w:t>的最大日均贡献值＜</w:t>
      </w:r>
      <w:r>
        <w:rPr>
          <w:rFonts w:ascii="Times New Roman" w:hAnsi="Times New Roman"/>
          <w:kern w:val="0"/>
          <w:sz w:val="24"/>
          <w:szCs w:val="24"/>
        </w:rPr>
        <w:t>1%</w:t>
      </w:r>
      <w:r>
        <w:rPr>
          <w:rFonts w:ascii="Times New Roman" w:hAnsi="Times New Roman"/>
          <w:kern w:val="0"/>
          <w:sz w:val="24"/>
          <w:szCs w:val="24"/>
        </w:rPr>
        <w:t>，年均贡献值＜</w:t>
      </w:r>
      <w:r>
        <w:rPr>
          <w:rFonts w:ascii="Times New Roman" w:hAnsi="Times New Roman"/>
          <w:kern w:val="0"/>
          <w:sz w:val="24"/>
          <w:szCs w:val="24"/>
        </w:rPr>
        <w:t>1%</w:t>
      </w:r>
      <w:r>
        <w:rPr>
          <w:rFonts w:ascii="Times New Roman" w:hAnsi="Times New Roman"/>
          <w:kern w:val="0"/>
          <w:sz w:val="24"/>
          <w:szCs w:val="24"/>
        </w:rPr>
        <w:t>。</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本项目的特征污染物非甲烷总烃叠加值占标率均＜</w:t>
      </w:r>
      <w:r>
        <w:rPr>
          <w:rFonts w:ascii="Times New Roman" w:hAnsi="Times New Roman"/>
          <w:kern w:val="0"/>
          <w:sz w:val="24"/>
          <w:szCs w:val="24"/>
        </w:rPr>
        <w:t>50%</w:t>
      </w:r>
      <w:r>
        <w:rPr>
          <w:rFonts w:ascii="Times New Roman" w:hAnsi="Times New Roman"/>
          <w:kern w:val="0"/>
          <w:sz w:val="24"/>
          <w:szCs w:val="24"/>
        </w:rPr>
        <w:t>。</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总体来说，本项目建设对区域大气污染物的污染贡献在可接受范围内。</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）水环境影响分析</w:t>
      </w:r>
    </w:p>
    <w:p w:rsidR="00525419" w:rsidRDefault="00EE1CF7">
      <w:pPr>
        <w:widowControl/>
        <w:adjustRightInd w:val="0"/>
        <w:snapToGrid w:val="0"/>
        <w:spacing w:line="360" w:lineRule="auto"/>
        <w:ind w:firstLineChars="200" w:firstLine="480"/>
        <w:rPr>
          <w:rFonts w:ascii="Times New Roman" w:hAnsi="Times New Roman"/>
          <w:sz w:val="24"/>
          <w:szCs w:val="24"/>
          <w:lang w:bidi="ar"/>
        </w:rPr>
      </w:pPr>
      <w:r>
        <w:rPr>
          <w:rFonts w:ascii="Times New Roman" w:hAnsi="Times New Roman" w:hint="eastAsia"/>
          <w:sz w:val="24"/>
          <w:szCs w:val="24"/>
        </w:rPr>
        <w:t>根据预测结果，</w:t>
      </w:r>
      <w:r>
        <w:rPr>
          <w:rFonts w:ascii="Times New Roman" w:hAnsi="Times New Roman"/>
          <w:sz w:val="24"/>
          <w:szCs w:val="24"/>
        </w:rPr>
        <w:t>发现污染事故后，及时关闭物料阀门，在</w:t>
      </w:r>
      <w:r>
        <w:rPr>
          <w:rFonts w:ascii="Times New Roman" w:hAnsi="Times New Roman"/>
          <w:sz w:val="24"/>
          <w:szCs w:val="24"/>
        </w:rPr>
        <w:t>24h</w:t>
      </w:r>
      <w:r>
        <w:rPr>
          <w:rFonts w:ascii="Times New Roman" w:hAnsi="Times New Roman"/>
          <w:sz w:val="24"/>
          <w:szCs w:val="24"/>
        </w:rPr>
        <w:t>之内将污染物料清理完毕，不考虑包气带的降解作用，物料渗入地下，</w:t>
      </w:r>
      <w:r>
        <w:rPr>
          <w:rFonts w:ascii="Times New Roman" w:hAnsi="Times New Roman"/>
          <w:sz w:val="24"/>
          <w:szCs w:val="24"/>
        </w:rPr>
        <w:t>100d</w:t>
      </w: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年、</w:t>
      </w:r>
      <w:r>
        <w:rPr>
          <w:rFonts w:ascii="Times New Roman" w:hAnsi="Times New Roman"/>
          <w:sz w:val="24"/>
          <w:szCs w:val="24"/>
        </w:rPr>
        <w:t>1000d</w:t>
      </w:r>
      <w:r>
        <w:rPr>
          <w:rFonts w:ascii="Times New Roman" w:hAnsi="Times New Roman"/>
          <w:sz w:val="24"/>
          <w:szCs w:val="24"/>
        </w:rPr>
        <w:t>、</w:t>
      </w:r>
      <w:r>
        <w:rPr>
          <w:rFonts w:ascii="Times New Roman" w:hAnsi="Times New Roman"/>
          <w:sz w:val="24"/>
          <w:szCs w:val="24"/>
        </w:rPr>
        <w:t>10</w:t>
      </w:r>
      <w:r>
        <w:rPr>
          <w:rFonts w:ascii="Times New Roman" w:hAnsi="Times New Roman"/>
          <w:sz w:val="24"/>
          <w:szCs w:val="24"/>
        </w:rPr>
        <w:t>年之后在</w:t>
      </w:r>
      <w:r>
        <w:rPr>
          <w:rFonts w:ascii="Times New Roman" w:hAnsi="Times New Roman"/>
          <w:sz w:val="24"/>
          <w:szCs w:val="24"/>
        </w:rPr>
        <w:t>20m</w:t>
      </w:r>
      <w:r>
        <w:rPr>
          <w:rFonts w:ascii="Times New Roman" w:hAnsi="Times New Roman"/>
          <w:sz w:val="24"/>
          <w:szCs w:val="24"/>
        </w:rPr>
        <w:t>、</w:t>
      </w:r>
      <w:r>
        <w:rPr>
          <w:rFonts w:ascii="Times New Roman" w:hAnsi="Times New Roman"/>
          <w:sz w:val="24"/>
          <w:szCs w:val="24"/>
        </w:rPr>
        <w:t>80m</w:t>
      </w:r>
      <w:r>
        <w:rPr>
          <w:rFonts w:ascii="Times New Roman" w:hAnsi="Times New Roman"/>
          <w:sz w:val="24"/>
          <w:szCs w:val="24"/>
        </w:rPr>
        <w:t>、</w:t>
      </w:r>
      <w:r>
        <w:rPr>
          <w:rFonts w:ascii="Times New Roman" w:hAnsi="Times New Roman"/>
          <w:sz w:val="24"/>
          <w:szCs w:val="24"/>
        </w:rPr>
        <w:t>220m</w:t>
      </w:r>
      <w:r>
        <w:rPr>
          <w:rFonts w:ascii="Times New Roman" w:hAnsi="Times New Roman"/>
          <w:sz w:val="24"/>
          <w:szCs w:val="24"/>
        </w:rPr>
        <w:t>、</w:t>
      </w:r>
      <w:r>
        <w:rPr>
          <w:rFonts w:ascii="Times New Roman" w:hAnsi="Times New Roman"/>
          <w:sz w:val="24"/>
          <w:szCs w:val="24"/>
        </w:rPr>
        <w:t>800m</w:t>
      </w:r>
      <w:r>
        <w:rPr>
          <w:rFonts w:ascii="Times New Roman" w:hAnsi="Times New Roman"/>
          <w:sz w:val="24"/>
          <w:szCs w:val="24"/>
        </w:rPr>
        <w:t>处地下水中石油类出现最大浓度，分别在</w:t>
      </w:r>
      <w:r>
        <w:rPr>
          <w:rFonts w:ascii="Times New Roman" w:hAnsi="Times New Roman"/>
          <w:sz w:val="24"/>
          <w:szCs w:val="24"/>
        </w:rPr>
        <w:t>80m</w:t>
      </w:r>
      <w:r>
        <w:rPr>
          <w:rFonts w:ascii="Times New Roman" w:hAnsi="Times New Roman"/>
          <w:sz w:val="24"/>
          <w:szCs w:val="24"/>
        </w:rPr>
        <w:t>、</w:t>
      </w:r>
      <w:r>
        <w:rPr>
          <w:rFonts w:ascii="Times New Roman" w:hAnsi="Times New Roman"/>
          <w:sz w:val="24"/>
          <w:szCs w:val="24"/>
        </w:rPr>
        <w:t>190m</w:t>
      </w:r>
      <w:r>
        <w:rPr>
          <w:rFonts w:ascii="Times New Roman" w:hAnsi="Times New Roman"/>
          <w:sz w:val="24"/>
          <w:szCs w:val="24"/>
        </w:rPr>
        <w:t>、</w:t>
      </w:r>
      <w:r>
        <w:rPr>
          <w:rFonts w:ascii="Times New Roman" w:hAnsi="Times New Roman"/>
          <w:sz w:val="24"/>
          <w:szCs w:val="24"/>
        </w:rPr>
        <w:t>390m</w:t>
      </w:r>
      <w:r>
        <w:rPr>
          <w:rFonts w:ascii="Times New Roman" w:hAnsi="Times New Roman"/>
          <w:sz w:val="24"/>
          <w:szCs w:val="24"/>
        </w:rPr>
        <w:t>、</w:t>
      </w:r>
      <w:r>
        <w:rPr>
          <w:rFonts w:ascii="Times New Roman" w:hAnsi="Times New Roman"/>
          <w:sz w:val="24"/>
          <w:szCs w:val="24"/>
        </w:rPr>
        <w:t>1100m</w:t>
      </w:r>
      <w:r>
        <w:rPr>
          <w:rFonts w:ascii="Times New Roman" w:hAnsi="Times New Roman"/>
          <w:sz w:val="24"/>
          <w:szCs w:val="24"/>
        </w:rPr>
        <w:t>以外均满足</w:t>
      </w:r>
      <w:r>
        <w:rPr>
          <w:rFonts w:ascii="Times New Roman" w:hAnsi="Times New Roman"/>
          <w:sz w:val="24"/>
          <w:szCs w:val="24"/>
          <w:lang w:bidi="ar"/>
        </w:rPr>
        <w:t>《地表水环境质量标准》（</w:t>
      </w:r>
      <w:r>
        <w:rPr>
          <w:rFonts w:ascii="Times New Roman" w:hAnsi="Times New Roman"/>
          <w:sz w:val="24"/>
          <w:szCs w:val="24"/>
          <w:lang w:bidi="ar"/>
        </w:rPr>
        <w:t>GB3838-2002</w:t>
      </w:r>
      <w:r>
        <w:rPr>
          <w:rFonts w:ascii="Times New Roman" w:hAnsi="Times New Roman"/>
          <w:sz w:val="24"/>
          <w:szCs w:val="24"/>
          <w:lang w:bidi="ar"/>
        </w:rPr>
        <w:t>）中的</w:t>
      </w:r>
      <w:r>
        <w:rPr>
          <w:rFonts w:ascii="Times New Roman" w:eastAsia="仿宋" w:hAnsi="Times New Roman"/>
          <w:sz w:val="24"/>
          <w:szCs w:val="24"/>
          <w:lang w:bidi="ar"/>
        </w:rPr>
        <w:t>Ⅲ</w:t>
      </w:r>
      <w:r>
        <w:rPr>
          <w:rFonts w:ascii="Times New Roman" w:hAnsi="Times New Roman"/>
          <w:sz w:val="24"/>
          <w:szCs w:val="24"/>
          <w:lang w:bidi="ar"/>
        </w:rPr>
        <w:t>类标准限值。</w:t>
      </w:r>
      <w:r>
        <w:rPr>
          <w:rFonts w:ascii="Times New Roman" w:hAnsi="Times New Roman"/>
          <w:sz w:val="24"/>
          <w:szCs w:val="24"/>
        </w:rPr>
        <w:t>由于</w:t>
      </w:r>
      <w:r>
        <w:rPr>
          <w:rFonts w:ascii="Times New Roman" w:hAnsi="Times New Roman"/>
          <w:snapToGrid w:val="0"/>
          <w:sz w:val="24"/>
          <w:szCs w:val="24"/>
        </w:rPr>
        <w:t>本工程储罐区建设有完备的防渗措施，从根源上防止地下水污染的形成，</w:t>
      </w:r>
      <w:r>
        <w:rPr>
          <w:rFonts w:ascii="Times New Roman" w:hAnsi="Times New Roman"/>
          <w:sz w:val="24"/>
          <w:szCs w:val="24"/>
        </w:rPr>
        <w:t>因此在正常状况下的污染物在对地下水的影响相对不大。非正常状况下，通过布设监控井及时发现储罐渗漏污染地下水现象，并采取进一步应急响应措施阻止污染范围持续扩大。</w:t>
      </w:r>
    </w:p>
    <w:p w:rsidR="00525419" w:rsidRDefault="00EE1CF7">
      <w:pPr>
        <w:pStyle w:val="afd"/>
        <w:spacing w:after="0" w:line="360" w:lineRule="auto"/>
        <w:ind w:leftChars="0" w:left="0" w:firstLineChars="200" w:firstLine="480"/>
        <w:jc w:val="left"/>
        <w:rPr>
          <w:kern w:val="2"/>
          <w:sz w:val="24"/>
          <w:lang w:bidi="ar"/>
        </w:rPr>
      </w:pPr>
      <w:r>
        <w:rPr>
          <w:kern w:val="2"/>
          <w:sz w:val="24"/>
          <w:lang w:bidi="ar"/>
        </w:rPr>
        <w:t>综合以上模拟预测可以看出，确保防渗措施和渗漏检测有效这两项工作对于</w:t>
      </w:r>
    </w:p>
    <w:p w:rsidR="00525419" w:rsidRDefault="00EE1CF7">
      <w:pPr>
        <w:autoSpaceDE w:val="0"/>
        <w:autoSpaceDN w:val="0"/>
        <w:adjustRightInd w:val="0"/>
        <w:snapToGrid w:val="0"/>
        <w:spacing w:line="360" w:lineRule="auto"/>
        <w:rPr>
          <w:rFonts w:ascii="Times New Roman" w:hAnsi="Times New Roman"/>
          <w:sz w:val="24"/>
          <w:szCs w:val="24"/>
        </w:rPr>
      </w:pPr>
      <w:r>
        <w:rPr>
          <w:rFonts w:ascii="Times New Roman" w:hAnsi="Times New Roman"/>
          <w:sz w:val="24"/>
          <w:szCs w:val="24"/>
          <w:lang w:bidi="ar"/>
        </w:rPr>
        <w:t>防止地下水遭受污染具有非常重要的意义，监控井合理布设和适当的监控周期布设是控制非正常状况影响范围的重要手段，要通过各种措施避免跑冒滴漏、非正常工况时的泄露等事故工况的发生，从源头入手保护地下水。</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）噪声影响分析</w:t>
      </w:r>
    </w:p>
    <w:p w:rsidR="00525419" w:rsidRDefault="00EE1CF7">
      <w:pPr>
        <w:widowControl/>
        <w:spacing w:line="360" w:lineRule="auto"/>
        <w:ind w:firstLineChars="200" w:firstLine="480"/>
        <w:jc w:val="left"/>
        <w:rPr>
          <w:rFonts w:ascii="Times New Roman" w:hAnsi="Times New Roman"/>
          <w:kern w:val="0"/>
          <w:sz w:val="24"/>
          <w:szCs w:val="24"/>
        </w:rPr>
      </w:pPr>
      <w:bookmarkStart w:id="346" w:name="_Toc188612340"/>
      <w:bookmarkStart w:id="347" w:name="_Toc181360359"/>
      <w:bookmarkStart w:id="348" w:name="_Toc225053541"/>
      <w:r>
        <w:rPr>
          <w:rFonts w:ascii="Times New Roman" w:hAnsi="Times New Roman"/>
          <w:kern w:val="0"/>
          <w:sz w:val="24"/>
          <w:szCs w:val="24"/>
        </w:rPr>
        <w:t>本建设项目运行后厂界昼间噪声在</w:t>
      </w:r>
      <w:r>
        <w:rPr>
          <w:rFonts w:ascii="Times New Roman" w:hAnsi="Times New Roman"/>
          <w:kern w:val="0"/>
          <w:sz w:val="24"/>
          <w:szCs w:val="24"/>
        </w:rPr>
        <w:t>51.2-54.0dB</w:t>
      </w:r>
      <w:r>
        <w:rPr>
          <w:rFonts w:ascii="Times New Roman" w:hAnsi="Times New Roman"/>
          <w:kern w:val="0"/>
          <w:sz w:val="24"/>
          <w:szCs w:val="24"/>
        </w:rPr>
        <w:t>（</w:t>
      </w:r>
      <w:r>
        <w:rPr>
          <w:rFonts w:ascii="Times New Roman" w:hAnsi="Times New Roman"/>
          <w:kern w:val="0"/>
          <w:sz w:val="24"/>
          <w:szCs w:val="24"/>
        </w:rPr>
        <w:t>A</w:t>
      </w:r>
      <w:r>
        <w:rPr>
          <w:rFonts w:ascii="Times New Roman" w:hAnsi="Times New Roman"/>
          <w:kern w:val="0"/>
          <w:sz w:val="24"/>
          <w:szCs w:val="24"/>
        </w:rPr>
        <w:t>），夜间噪声在</w:t>
      </w:r>
      <w:r>
        <w:rPr>
          <w:rFonts w:ascii="Times New Roman" w:hAnsi="Times New Roman"/>
          <w:kern w:val="0"/>
          <w:sz w:val="24"/>
          <w:szCs w:val="24"/>
        </w:rPr>
        <w:t>50.6-52.8dB</w:t>
      </w:r>
      <w:r>
        <w:rPr>
          <w:rFonts w:ascii="Times New Roman" w:hAnsi="Times New Roman"/>
          <w:kern w:val="0"/>
          <w:sz w:val="24"/>
          <w:szCs w:val="24"/>
        </w:rPr>
        <w:t>（</w:t>
      </w:r>
      <w:r>
        <w:rPr>
          <w:rFonts w:ascii="Times New Roman" w:hAnsi="Times New Roman"/>
          <w:kern w:val="0"/>
          <w:sz w:val="24"/>
          <w:szCs w:val="24"/>
        </w:rPr>
        <w:t>A</w:t>
      </w:r>
      <w:r>
        <w:rPr>
          <w:rFonts w:ascii="Times New Roman" w:hAnsi="Times New Roman"/>
          <w:kern w:val="0"/>
          <w:sz w:val="24"/>
          <w:szCs w:val="24"/>
        </w:rPr>
        <w:t>）之间，满足《工业企业厂界环境噪声排放标准》（</w:t>
      </w:r>
      <w:r>
        <w:rPr>
          <w:rFonts w:ascii="Times New Roman" w:hAnsi="Times New Roman"/>
          <w:kern w:val="0"/>
          <w:sz w:val="24"/>
          <w:szCs w:val="24"/>
        </w:rPr>
        <w:t>GB12348</w:t>
      </w:r>
      <w:r>
        <w:rPr>
          <w:rFonts w:ascii="Times New Roman" w:hAnsi="Times New Roman"/>
          <w:kern w:val="0"/>
          <w:sz w:val="24"/>
          <w:szCs w:val="24"/>
        </w:rPr>
        <w:t>－</w:t>
      </w:r>
      <w:r>
        <w:rPr>
          <w:rFonts w:ascii="Times New Roman" w:hAnsi="Times New Roman"/>
          <w:kern w:val="0"/>
          <w:sz w:val="24"/>
          <w:szCs w:val="24"/>
        </w:rPr>
        <w:t>2008</w:t>
      </w:r>
      <w:r>
        <w:rPr>
          <w:rFonts w:ascii="Times New Roman" w:hAnsi="Times New Roman"/>
          <w:kern w:val="0"/>
          <w:sz w:val="24"/>
          <w:szCs w:val="24"/>
        </w:rPr>
        <w:t>）中</w:t>
      </w:r>
      <w:r>
        <w:rPr>
          <w:rFonts w:ascii="Times New Roman" w:hAnsi="Times New Roman"/>
          <w:kern w:val="0"/>
          <w:sz w:val="24"/>
          <w:szCs w:val="24"/>
        </w:rPr>
        <w:t>3</w:t>
      </w:r>
      <w:r>
        <w:rPr>
          <w:rFonts w:ascii="Times New Roman" w:hAnsi="Times New Roman"/>
          <w:kern w:val="0"/>
          <w:sz w:val="24"/>
          <w:szCs w:val="24"/>
        </w:rPr>
        <w:t>类标准，本项目建设中，通过对装置噪声源强的控制，并加强绿化措施，不会对周围声环境造成污染。</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）固废影响分析</w:t>
      </w:r>
      <w:bookmarkEnd w:id="346"/>
      <w:bookmarkEnd w:id="347"/>
      <w:bookmarkEnd w:id="348"/>
    </w:p>
    <w:p w:rsidR="00525419" w:rsidRDefault="00EE1CF7">
      <w:pPr>
        <w:spacing w:line="360" w:lineRule="auto"/>
        <w:ind w:firstLineChars="200" w:firstLine="480"/>
        <w:rPr>
          <w:rFonts w:ascii="Times New Roman" w:hAnsi="Times New Roman"/>
          <w:sz w:val="24"/>
        </w:rPr>
      </w:pPr>
      <w:r>
        <w:rPr>
          <w:rFonts w:ascii="Times New Roman" w:hAnsi="Times New Roman"/>
          <w:sz w:val="24"/>
        </w:rPr>
        <w:t>正常情况，生活垃圾委托环卫部门统一清运。本项目危险废物采用专门的车辆，密闭运输到有资质单位处置，严格严格禁止抛洒滴漏，杜绝在运输过程中造成环境的二次污染。本项目运营期间产生的固体废物在各环节采取了相应的污染防治措施，且得到了安全处理处置，在加强管理的情况下，固体废物对环境产生影响较小。</w:t>
      </w:r>
    </w:p>
    <w:p w:rsidR="00525419" w:rsidRDefault="00EE1CF7">
      <w:pPr>
        <w:pStyle w:val="afb"/>
        <w:spacing w:line="360" w:lineRule="auto"/>
        <w:ind w:firstLineChars="200" w:firstLine="480"/>
        <w:rPr>
          <w:sz w:val="24"/>
        </w:rPr>
      </w:pPr>
      <w:r>
        <w:rPr>
          <w:sz w:val="24"/>
        </w:rPr>
        <w:t>（</w:t>
      </w:r>
      <w:r>
        <w:rPr>
          <w:sz w:val="24"/>
        </w:rPr>
        <w:t>5</w:t>
      </w:r>
      <w:r>
        <w:rPr>
          <w:sz w:val="24"/>
        </w:rPr>
        <w:t>）土壤环境</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在防渗系统正常运行的情况下，本项目含石油烃物料向地下渗透将得到很好的控制，不会对土壤环境的造成污染。</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在事故情况下，物料中的石油烃因防渗层破坏通过垂直入渗方式进行土壤，在土壤中不断积累浓度，但未超出《土壤环境质量</w:t>
      </w:r>
      <w:r>
        <w:rPr>
          <w:rFonts w:ascii="Times New Roman" w:hAnsi="Times New Roman"/>
          <w:kern w:val="0"/>
          <w:sz w:val="24"/>
          <w:szCs w:val="24"/>
        </w:rPr>
        <w:t xml:space="preserve"> </w:t>
      </w:r>
      <w:r>
        <w:rPr>
          <w:rFonts w:ascii="Times New Roman" w:hAnsi="Times New Roman"/>
          <w:kern w:val="0"/>
          <w:sz w:val="24"/>
          <w:szCs w:val="24"/>
        </w:rPr>
        <w:t>建设用地土壤污染风险管控标准》（</w:t>
      </w:r>
      <w:r>
        <w:rPr>
          <w:rFonts w:ascii="Times New Roman" w:hAnsi="Times New Roman"/>
          <w:kern w:val="0"/>
          <w:sz w:val="24"/>
          <w:szCs w:val="24"/>
        </w:rPr>
        <w:t>GB36600-2018</w:t>
      </w:r>
      <w:r>
        <w:rPr>
          <w:rFonts w:ascii="Times New Roman" w:hAnsi="Times New Roman"/>
          <w:kern w:val="0"/>
          <w:sz w:val="24"/>
          <w:szCs w:val="24"/>
        </w:rPr>
        <w:t>）表</w:t>
      </w:r>
      <w:r>
        <w:rPr>
          <w:rFonts w:ascii="Times New Roman" w:hAnsi="Times New Roman"/>
          <w:kern w:val="0"/>
          <w:sz w:val="24"/>
          <w:szCs w:val="24"/>
        </w:rPr>
        <w:t>2</w:t>
      </w:r>
      <w:r>
        <w:rPr>
          <w:rFonts w:ascii="Times New Roman" w:hAnsi="Times New Roman"/>
          <w:kern w:val="0"/>
          <w:sz w:val="24"/>
          <w:szCs w:val="24"/>
        </w:rPr>
        <w:t>中的建设用地土壤污染风险筛选值。</w:t>
      </w:r>
    </w:p>
    <w:p w:rsidR="00525419" w:rsidRDefault="00EE1CF7">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因此，在加强环境风险管理及应急处理的前提下，项目对土壤环境的影响是可以接受的。</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6</w:t>
      </w:r>
      <w:r>
        <w:rPr>
          <w:rFonts w:ascii="Times New Roman" w:hAnsi="Times New Roman"/>
          <w:sz w:val="24"/>
        </w:rPr>
        <w:t>）环境风险</w:t>
      </w:r>
    </w:p>
    <w:p w:rsidR="00525419" w:rsidRDefault="00EE1CF7">
      <w:pPr>
        <w:pStyle w:val="B1"/>
        <w:ind w:firstLine="480"/>
      </w:pPr>
      <w:r>
        <w:rPr>
          <w:rFonts w:hint="eastAsia"/>
        </w:rPr>
        <w:t>本项目主要风险因素为</w:t>
      </w:r>
      <w:r>
        <w:rPr>
          <w:rFonts w:cs="Times New Roman"/>
        </w:rPr>
        <w:t>储罐发生破裂，导致焦油、柴油、尾油、石脑油、天然气等泄漏，进而可能发生火灾、爆炸等事故。</w:t>
      </w:r>
      <w:r>
        <w:rPr>
          <w:rFonts w:hint="eastAsia"/>
        </w:rPr>
        <w:t>本项目发生泄露事故概率较低，</w:t>
      </w:r>
    </w:p>
    <w:p w:rsidR="00525419" w:rsidRDefault="00EE1CF7">
      <w:pPr>
        <w:pStyle w:val="B1"/>
        <w:ind w:firstLineChars="0" w:firstLine="0"/>
      </w:pPr>
      <w:r>
        <w:rPr>
          <w:rFonts w:hint="eastAsia"/>
        </w:rPr>
        <w:t>影响范围最大为</w:t>
      </w:r>
      <w:r>
        <w:rPr>
          <w:rFonts w:hint="eastAsia"/>
        </w:rPr>
        <w:t>1330m</w:t>
      </w:r>
      <w:r>
        <w:rPr>
          <w:rFonts w:hint="eastAsia"/>
        </w:rPr>
        <w:t>，影响范围内无居民聚集区，对周边的火车站镇及鄯善火车站影响较小，且根据事故特点采取了风险防范措施并制定了突发环境事件应急预案。因此，环境风险是可防控的。</w:t>
      </w:r>
    </w:p>
    <w:p w:rsidR="00525419" w:rsidRDefault="00EE1CF7" w:rsidP="00EE1CF7">
      <w:pPr>
        <w:pStyle w:val="2a"/>
        <w:spacing w:beforeLines="50" w:before="166" w:after="166"/>
        <w:ind w:left="578" w:hanging="578"/>
        <w:rPr>
          <w:rFonts w:ascii="Times New Roman" w:eastAsia="楷体_GB2312" w:hAnsi="Times New Roman"/>
          <w:sz w:val="36"/>
        </w:rPr>
      </w:pPr>
      <w:bookmarkStart w:id="349" w:name="_Toc11617"/>
      <w:bookmarkStart w:id="350" w:name="_Toc484775674"/>
      <w:r>
        <w:rPr>
          <w:rFonts w:ascii="Times New Roman" w:eastAsia="楷体_GB2312" w:hAnsi="Times New Roman"/>
          <w:sz w:val="36"/>
        </w:rPr>
        <w:t xml:space="preserve">9.5 </w:t>
      </w:r>
      <w:r>
        <w:rPr>
          <w:rFonts w:ascii="Times New Roman" w:eastAsia="楷体_GB2312" w:hAnsi="Times New Roman"/>
          <w:sz w:val="36"/>
        </w:rPr>
        <w:t>公众意见采纳情况</w:t>
      </w:r>
      <w:bookmarkEnd w:id="349"/>
      <w:bookmarkEnd w:id="350"/>
    </w:p>
    <w:p w:rsidR="00525419" w:rsidRDefault="00EE1CF7">
      <w:pPr>
        <w:spacing w:line="460" w:lineRule="exact"/>
        <w:ind w:firstLineChars="200" w:firstLine="480"/>
        <w:rPr>
          <w:rFonts w:ascii="Times New Roman" w:hAnsi="Times New Roman"/>
          <w:sz w:val="24"/>
        </w:rPr>
      </w:pPr>
      <w:bookmarkStart w:id="351" w:name="_Toc484775675"/>
      <w:r>
        <w:rPr>
          <w:rFonts w:ascii="Times New Roman" w:hAnsi="Times New Roman"/>
          <w:sz w:val="24"/>
        </w:rPr>
        <w:t>建设单位根据《环境影响评价公众参与办法》（生态环境部令</w:t>
      </w:r>
      <w:r>
        <w:rPr>
          <w:rFonts w:ascii="Times New Roman" w:hAnsi="Times New Roman"/>
          <w:sz w:val="24"/>
        </w:rPr>
        <w:t xml:space="preserve"> </w:t>
      </w:r>
      <w:r>
        <w:rPr>
          <w:rFonts w:ascii="Times New Roman" w:hAnsi="Times New Roman"/>
          <w:sz w:val="24"/>
        </w:rPr>
        <w:t>第</w:t>
      </w:r>
      <w:r>
        <w:rPr>
          <w:rFonts w:ascii="Times New Roman" w:hAnsi="Times New Roman"/>
          <w:sz w:val="24"/>
        </w:rPr>
        <w:t xml:space="preserve"> 4 </w:t>
      </w:r>
      <w:r>
        <w:rPr>
          <w:rFonts w:ascii="Times New Roman" w:hAnsi="Times New Roman"/>
          <w:sz w:val="24"/>
        </w:rPr>
        <w:t>号）的要求，进行了三次网络公示，项目的建设得到公众的理解与支持，在第二次网络公示的同时，通过吐鲁番日报纸进行了两次信息公开，并在火车站镇通过张贴公告的方式进行了信息公开，公示期间均没有收到反馈，结果表明，本项目公众支持度较高。</w:t>
      </w:r>
    </w:p>
    <w:p w:rsidR="00525419" w:rsidRDefault="00EE1CF7" w:rsidP="00EE1CF7">
      <w:pPr>
        <w:pStyle w:val="2a"/>
        <w:spacing w:beforeLines="50" w:before="166" w:after="166"/>
        <w:ind w:left="578" w:hanging="578"/>
        <w:rPr>
          <w:rFonts w:ascii="Times New Roman" w:eastAsia="楷体_GB2312" w:hAnsi="Times New Roman"/>
          <w:sz w:val="36"/>
        </w:rPr>
      </w:pPr>
      <w:bookmarkStart w:id="352" w:name="_Toc4512"/>
      <w:r>
        <w:rPr>
          <w:rFonts w:ascii="Times New Roman" w:eastAsia="楷体_GB2312" w:hAnsi="Times New Roman"/>
          <w:sz w:val="36"/>
        </w:rPr>
        <w:t>9.6</w:t>
      </w:r>
      <w:bookmarkEnd w:id="351"/>
      <w:r>
        <w:rPr>
          <w:rFonts w:ascii="Times New Roman" w:eastAsia="楷体_GB2312" w:hAnsi="Times New Roman"/>
          <w:sz w:val="36"/>
        </w:rPr>
        <w:t>污染防治措施结论</w:t>
      </w:r>
      <w:bookmarkEnd w:id="352"/>
    </w:p>
    <w:p w:rsidR="00525419" w:rsidRDefault="00EE1CF7">
      <w:pPr>
        <w:spacing w:line="460" w:lineRule="exact"/>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）环境空气污染防治措施</w:t>
      </w:r>
    </w:p>
    <w:p w:rsidR="00525419" w:rsidRDefault="00EE1CF7">
      <w:pPr>
        <w:spacing w:line="460" w:lineRule="exact"/>
        <w:ind w:firstLineChars="200" w:firstLine="480"/>
        <w:rPr>
          <w:rFonts w:ascii="Times New Roman" w:hAnsi="Times New Roman"/>
          <w:sz w:val="24"/>
        </w:rPr>
      </w:pPr>
      <w:r>
        <w:rPr>
          <w:rFonts w:ascii="Times New Roman" w:hAnsi="Times New Roman"/>
          <w:sz w:val="24"/>
        </w:rPr>
        <w:t>本项目各加热炉以项目自产燃料气和天然气为燃料，并采用低氮燃烧器，减少了主要污染物的排放；本项目在装卸区、储罐区依托现厂区油气回收设施，采取冷凝</w:t>
      </w:r>
      <w:r>
        <w:rPr>
          <w:rFonts w:ascii="Times New Roman" w:hAnsi="Times New Roman"/>
          <w:sz w:val="24"/>
        </w:rPr>
        <w:t>+</w:t>
      </w:r>
      <w:r>
        <w:rPr>
          <w:rFonts w:ascii="Times New Roman" w:hAnsi="Times New Roman"/>
          <w:sz w:val="24"/>
        </w:rPr>
        <w:t>活性炭吸附油气回收工艺，较好的控制油气挥发损失，有效防止烃类废气的装卸挥发；确保系统中各类设备、管道的密闭性，防止污染物放散和泄漏；稳定生产操作而暂排出的可燃气体、发生事故或安全阀泄放时排出的可燃气体、开停工及检修时，泄压放空排出的可燃气体等短时间间断排放的可燃气体等非正常工况排放的废气全部进入火炬系统燃烧后高空排放。</w:t>
      </w:r>
      <w:r>
        <w:rPr>
          <w:rFonts w:ascii="Times New Roman" w:hAnsi="Times New Roman"/>
          <w:sz w:val="24"/>
          <w:lang w:val="zh-CN"/>
        </w:rPr>
        <w:t>本项目酸性气主采用酸性气燃烧炉</w:t>
      </w:r>
      <w:r>
        <w:rPr>
          <w:rFonts w:ascii="Times New Roman" w:hAnsi="Times New Roman"/>
          <w:sz w:val="24"/>
          <w:lang w:val="zh-CN"/>
        </w:rPr>
        <w:t>+</w:t>
      </w:r>
      <w:r>
        <w:rPr>
          <w:rFonts w:ascii="Times New Roman" w:hAnsi="Times New Roman"/>
          <w:sz w:val="24"/>
          <w:lang w:val="zh-CN"/>
        </w:rPr>
        <w:t>二级克劳斯制硫。硫磺回收尾气采取了还原</w:t>
      </w:r>
      <w:r>
        <w:rPr>
          <w:rFonts w:ascii="Times New Roman" w:hAnsi="Times New Roman"/>
          <w:sz w:val="24"/>
          <w:lang w:val="zh-CN"/>
        </w:rPr>
        <w:t>-</w:t>
      </w:r>
      <w:r>
        <w:rPr>
          <w:rFonts w:ascii="Times New Roman" w:hAnsi="Times New Roman"/>
          <w:sz w:val="24"/>
          <w:lang w:val="zh-CN"/>
        </w:rPr>
        <w:t>吸收</w:t>
      </w:r>
      <w:r>
        <w:rPr>
          <w:rFonts w:ascii="Times New Roman" w:hAnsi="Times New Roman"/>
          <w:sz w:val="24"/>
          <w:lang w:val="zh-CN"/>
        </w:rPr>
        <w:t>+</w:t>
      </w:r>
      <w:r>
        <w:rPr>
          <w:rFonts w:ascii="Times New Roman" w:hAnsi="Times New Roman"/>
          <w:sz w:val="24"/>
          <w:lang w:val="zh-CN"/>
        </w:rPr>
        <w:t>焚烧对硫磺尾气进行处理后高空排放。</w:t>
      </w:r>
    </w:p>
    <w:p w:rsidR="00525419" w:rsidRDefault="00EE1CF7">
      <w:pPr>
        <w:spacing w:line="460" w:lineRule="exact"/>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）水污染防治措施</w:t>
      </w:r>
    </w:p>
    <w:p w:rsidR="00525419" w:rsidRDefault="00EE1CF7">
      <w:pPr>
        <w:spacing w:line="360" w:lineRule="auto"/>
        <w:ind w:firstLine="426"/>
        <w:rPr>
          <w:rFonts w:ascii="Times New Roman" w:hAnsi="Times New Roman"/>
          <w:sz w:val="24"/>
        </w:rPr>
      </w:pPr>
      <w:r>
        <w:rPr>
          <w:rFonts w:ascii="Times New Roman" w:hAnsi="Times New Roman"/>
          <w:sz w:val="24"/>
        </w:rPr>
        <w:t>本项目设置的排水系统可以做到</w:t>
      </w:r>
      <w:r>
        <w:rPr>
          <w:rFonts w:ascii="Times New Roman" w:hAnsi="Times New Roman"/>
          <w:sz w:val="24"/>
        </w:rPr>
        <w:t>“</w:t>
      </w:r>
      <w:r>
        <w:rPr>
          <w:rFonts w:ascii="Times New Roman" w:hAnsi="Times New Roman"/>
          <w:sz w:val="24"/>
        </w:rPr>
        <w:t>污污分流，清污分流</w:t>
      </w:r>
      <w:r>
        <w:rPr>
          <w:rFonts w:ascii="Times New Roman" w:hAnsi="Times New Roman"/>
          <w:sz w:val="24"/>
        </w:rPr>
        <w:t>”</w:t>
      </w:r>
      <w:r>
        <w:rPr>
          <w:rFonts w:ascii="Times New Roman" w:hAnsi="Times New Roman"/>
          <w:sz w:val="24"/>
        </w:rPr>
        <w:t>，然后根据废水的不同水质分别治理，</w:t>
      </w:r>
      <w:r>
        <w:rPr>
          <w:rFonts w:ascii="Times New Roman" w:hAnsi="Times New Roman" w:hint="eastAsia"/>
          <w:sz w:val="24"/>
        </w:rPr>
        <w:t>其中</w:t>
      </w:r>
      <w:r>
        <w:rPr>
          <w:rFonts w:ascii="Times New Roman" w:hAnsi="Times New Roman" w:hint="eastAsia"/>
          <w:kern w:val="0"/>
          <w:sz w:val="24"/>
          <w:szCs w:val="24"/>
        </w:rPr>
        <w:t>脱盐水站产生含盐废水</w:t>
      </w:r>
      <w:r>
        <w:rPr>
          <w:rFonts w:ascii="Times New Roman" w:hAnsi="Times New Roman"/>
          <w:sz w:val="24"/>
        </w:rPr>
        <w:t>进入浓盐水处理装置处理后作为循环水回用；含油污水、生活污水及其它废水到依托厂区污水处理装置处理后达到《循环冷却水用再生水水质标准》（</w:t>
      </w:r>
      <w:r>
        <w:rPr>
          <w:rFonts w:ascii="Times New Roman" w:hAnsi="Times New Roman"/>
          <w:sz w:val="24"/>
        </w:rPr>
        <w:t>HJ/T3923-2007</w:t>
      </w:r>
      <w:r>
        <w:rPr>
          <w:rFonts w:ascii="Times New Roman" w:hAnsi="Times New Roman"/>
          <w:sz w:val="24"/>
        </w:rPr>
        <w:t>）用于厂区循环冷却补水，不外排。</w:t>
      </w:r>
    </w:p>
    <w:p w:rsidR="00525419" w:rsidRDefault="00EE1CF7">
      <w:pPr>
        <w:spacing w:line="460" w:lineRule="exact"/>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）噪声污染防治措施</w:t>
      </w:r>
    </w:p>
    <w:p w:rsidR="00525419" w:rsidRDefault="00EE1CF7">
      <w:pPr>
        <w:spacing w:line="460" w:lineRule="exact"/>
        <w:ind w:firstLineChars="200" w:firstLine="480"/>
        <w:rPr>
          <w:rFonts w:ascii="Times New Roman" w:hAnsi="Times New Roman"/>
          <w:sz w:val="24"/>
        </w:rPr>
      </w:pPr>
      <w:r>
        <w:rPr>
          <w:rFonts w:ascii="Times New Roman" w:hAnsi="Times New Roman"/>
          <w:sz w:val="24"/>
        </w:rPr>
        <w:t>尽量选用低噪声设备，并要求制造厂家采取消音措施，将噪声控制在允许范围之内；针对不同的高噪声设备，采取针对性较强的措施。对强噪声设备采用安装吸声、消声材料措施。对空气流动噪声采用在气流通道上安装消声器装置以降低噪声；项目完成后，应尽可能增加绿化面积，以便起到隔声和衰减噪声的作用。</w:t>
      </w:r>
    </w:p>
    <w:p w:rsidR="00525419" w:rsidRDefault="00EE1CF7">
      <w:pPr>
        <w:spacing w:line="460" w:lineRule="exact"/>
        <w:ind w:firstLineChars="200" w:firstLine="48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）固废污染防治措施</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生活垃圾委托环卫部门统一清运</w:t>
      </w:r>
      <w:r>
        <w:rPr>
          <w:rFonts w:ascii="Times New Roman" w:hAnsi="Times New Roman" w:hint="eastAsia"/>
          <w:sz w:val="24"/>
        </w:rPr>
        <w:t>；</w:t>
      </w:r>
      <w:r>
        <w:rPr>
          <w:rFonts w:ascii="Times New Roman" w:hAnsi="Times New Roman"/>
          <w:sz w:val="24"/>
        </w:rPr>
        <w:t>危险废物采用专门的车辆，密闭运输到有资质单位处置，严格严格禁止抛洒滴漏，杜绝在运输过程中造成环境的二次污染</w:t>
      </w:r>
      <w:r>
        <w:rPr>
          <w:rFonts w:ascii="Times New Roman" w:hAnsi="Times New Roman" w:hint="eastAsia"/>
          <w:sz w:val="24"/>
        </w:rPr>
        <w:t>；</w:t>
      </w:r>
    </w:p>
    <w:p w:rsidR="00525419" w:rsidRDefault="00EE1CF7">
      <w:pPr>
        <w:spacing w:line="360" w:lineRule="auto"/>
        <w:rPr>
          <w:rFonts w:ascii="Times New Roman" w:hAnsi="Times New Roman"/>
          <w:sz w:val="24"/>
        </w:rPr>
      </w:pPr>
      <w:r>
        <w:rPr>
          <w:rFonts w:ascii="Times New Roman" w:hAnsi="Times New Roman" w:hint="eastAsia"/>
          <w:sz w:val="24"/>
        </w:rPr>
        <w:t>废瓷球等一般工业固体废物在厂区暂存，由厂家回收处理。</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）土壤、地下水</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①</w:t>
      </w:r>
      <w:r>
        <w:rPr>
          <w:rFonts w:ascii="Times New Roman" w:hAnsi="Times New Roman"/>
          <w:sz w:val="24"/>
        </w:rPr>
        <w:t>严格按照国家相关规范要求，对工艺、管道、设备、储罐采取相应的措施，以防止和降低污染物的跑、冒、滴、漏，将环境风险事故降低到最低。优化排水系统设计，管线敷设尽量采用</w:t>
      </w:r>
      <w:r>
        <w:rPr>
          <w:rFonts w:ascii="Times New Roman" w:hAnsi="Times New Roman"/>
          <w:sz w:val="24"/>
        </w:rPr>
        <w:t>“</w:t>
      </w:r>
      <w:r>
        <w:rPr>
          <w:rFonts w:ascii="Times New Roman" w:hAnsi="Times New Roman"/>
          <w:sz w:val="24"/>
        </w:rPr>
        <w:t>可视化</w:t>
      </w:r>
      <w:r>
        <w:rPr>
          <w:rFonts w:ascii="Times New Roman" w:hAnsi="Times New Roman"/>
          <w:sz w:val="24"/>
        </w:rPr>
        <w:t>”</w:t>
      </w:r>
      <w:r>
        <w:rPr>
          <w:rFonts w:ascii="Times New Roman" w:hAnsi="Times New Roman"/>
          <w:sz w:val="24"/>
        </w:rPr>
        <w:t>原则，即管道尽可能地上敷设，做到污染物</w:t>
      </w:r>
      <w:r>
        <w:rPr>
          <w:rFonts w:ascii="Times New Roman" w:hAnsi="Times New Roman"/>
          <w:sz w:val="24"/>
        </w:rPr>
        <w:t>“</w:t>
      </w:r>
      <w:r>
        <w:rPr>
          <w:rFonts w:ascii="Times New Roman" w:hAnsi="Times New Roman"/>
          <w:sz w:val="24"/>
        </w:rPr>
        <w:t>早发现、早处理</w:t>
      </w:r>
      <w:r>
        <w:rPr>
          <w:rFonts w:ascii="Times New Roman" w:hAnsi="Times New Roman"/>
          <w:sz w:val="24"/>
        </w:rPr>
        <w:t>”</w:t>
      </w:r>
      <w:r>
        <w:rPr>
          <w:rFonts w:ascii="Times New Roman" w:hAnsi="Times New Roman"/>
          <w:sz w:val="24"/>
        </w:rPr>
        <w:t>，以减少由于埋地管道泄漏而可能造成的地下水污染。</w:t>
      </w:r>
    </w:p>
    <w:p w:rsidR="00525419" w:rsidRDefault="00EE1CF7">
      <w:pPr>
        <w:spacing w:line="360" w:lineRule="auto"/>
        <w:ind w:firstLineChars="200" w:firstLine="480"/>
        <w:rPr>
          <w:rFonts w:ascii="Times New Roman" w:hAnsi="Times New Roman"/>
          <w:sz w:val="24"/>
          <w:lang w:val="zh-CN"/>
        </w:rPr>
      </w:pPr>
      <w:r>
        <w:rPr>
          <w:rFonts w:ascii="Times New Roman" w:hAnsi="Times New Roman"/>
          <w:sz w:val="24"/>
        </w:rPr>
        <w:t>②</w:t>
      </w:r>
      <w:r>
        <w:rPr>
          <w:rFonts w:ascii="Times New Roman" w:hAnsi="Times New Roman"/>
          <w:sz w:val="24"/>
        </w:rPr>
        <w:t>根据本项目各新建生产功能单元可能泄漏至地面区域的污染物性质和生产单元的构筑方式，将厂区划分为重点污染防治区、一般污染防治区和简单防渗区。</w:t>
      </w:r>
      <w:r>
        <w:rPr>
          <w:rFonts w:ascii="Times New Roman" w:hAnsi="Times New Roman"/>
          <w:sz w:val="24"/>
          <w:lang w:val="zh-CN"/>
        </w:rPr>
        <w:t>一般污染区防渗层的防渗性能不应低于</w:t>
      </w:r>
      <w:r>
        <w:rPr>
          <w:rFonts w:ascii="Times New Roman" w:hAnsi="Times New Roman"/>
          <w:sz w:val="24"/>
          <w:lang w:val="zh-CN"/>
        </w:rPr>
        <w:t>1.5m</w:t>
      </w:r>
      <w:r>
        <w:rPr>
          <w:rFonts w:ascii="Times New Roman" w:hAnsi="Times New Roman"/>
          <w:sz w:val="24"/>
          <w:lang w:val="zh-CN"/>
        </w:rPr>
        <w:t>厚渗透系数为</w:t>
      </w:r>
      <w:r>
        <w:rPr>
          <w:rFonts w:ascii="Times New Roman" w:hAnsi="Times New Roman"/>
          <w:sz w:val="24"/>
          <w:lang w:val="zh-CN"/>
        </w:rPr>
        <w:t>1.0×10</w:t>
      </w:r>
      <w:r>
        <w:rPr>
          <w:rFonts w:ascii="Times New Roman" w:hAnsi="Times New Roman"/>
          <w:sz w:val="24"/>
          <w:vertAlign w:val="superscript"/>
          <w:lang w:val="zh-CN"/>
        </w:rPr>
        <w:t>-7</w:t>
      </w:r>
      <w:r>
        <w:rPr>
          <w:rFonts w:ascii="Times New Roman" w:hAnsi="Times New Roman"/>
          <w:sz w:val="24"/>
          <w:lang w:val="zh-CN"/>
        </w:rPr>
        <w:t xml:space="preserve"> cm/s</w:t>
      </w:r>
      <w:r>
        <w:rPr>
          <w:rFonts w:ascii="Times New Roman" w:hAnsi="Times New Roman"/>
          <w:sz w:val="24"/>
          <w:lang w:val="zh-CN"/>
        </w:rPr>
        <w:t>的黏土层的防渗性能。重点污染防治区的单元防渗层的防渗性能不应低于</w:t>
      </w:r>
      <w:r>
        <w:rPr>
          <w:rFonts w:ascii="Times New Roman" w:hAnsi="Times New Roman"/>
          <w:sz w:val="24"/>
          <w:lang w:val="zh-CN"/>
        </w:rPr>
        <w:t>6m</w:t>
      </w:r>
      <w:r>
        <w:rPr>
          <w:rFonts w:ascii="Times New Roman" w:hAnsi="Times New Roman"/>
          <w:sz w:val="24"/>
          <w:lang w:val="zh-CN"/>
        </w:rPr>
        <w:t>厚渗透系数为</w:t>
      </w:r>
      <w:r>
        <w:rPr>
          <w:rFonts w:ascii="Times New Roman" w:hAnsi="Times New Roman"/>
          <w:sz w:val="24"/>
          <w:lang w:val="zh-CN"/>
        </w:rPr>
        <w:t>1.0×10</w:t>
      </w:r>
      <w:r>
        <w:rPr>
          <w:rFonts w:ascii="Times New Roman" w:hAnsi="Times New Roman"/>
          <w:sz w:val="24"/>
          <w:vertAlign w:val="superscript"/>
          <w:lang w:val="zh-CN"/>
        </w:rPr>
        <w:t>-7</w:t>
      </w:r>
      <w:r>
        <w:rPr>
          <w:rFonts w:ascii="Times New Roman" w:hAnsi="Times New Roman"/>
          <w:sz w:val="24"/>
          <w:lang w:val="zh-CN"/>
        </w:rPr>
        <w:t xml:space="preserve"> cm/s</w:t>
      </w:r>
      <w:r>
        <w:rPr>
          <w:rFonts w:ascii="Times New Roman" w:hAnsi="Times New Roman"/>
          <w:sz w:val="24"/>
          <w:lang w:val="zh-CN"/>
        </w:rPr>
        <w:t>的黏土层的防渗性能。防渗的设计应该满足《石油化工工程防渗技术规范》</w:t>
      </w:r>
      <w:r>
        <w:rPr>
          <w:rFonts w:ascii="Times New Roman" w:hAnsi="Times New Roman"/>
          <w:sz w:val="24"/>
          <w:lang w:val="zh-CN"/>
        </w:rPr>
        <w:t>(GB/T50934-2013)</w:t>
      </w:r>
      <w:r>
        <w:rPr>
          <w:rFonts w:ascii="Times New Roman" w:hAnsi="Times New Roman"/>
          <w:sz w:val="24"/>
          <w:lang w:val="zh-CN"/>
        </w:rPr>
        <w:t>中</w:t>
      </w:r>
      <w:r>
        <w:rPr>
          <w:rFonts w:ascii="Times New Roman" w:hAnsi="Times New Roman"/>
          <w:sz w:val="24"/>
          <w:lang w:val="zh-CN"/>
        </w:rPr>
        <w:t xml:space="preserve">“5 </w:t>
      </w:r>
      <w:r>
        <w:rPr>
          <w:rFonts w:ascii="Times New Roman" w:hAnsi="Times New Roman"/>
          <w:sz w:val="24"/>
          <w:lang w:val="zh-CN"/>
        </w:rPr>
        <w:t>设计</w:t>
      </w:r>
      <w:r>
        <w:rPr>
          <w:rFonts w:ascii="Times New Roman" w:hAnsi="Times New Roman"/>
          <w:sz w:val="24"/>
          <w:lang w:val="zh-CN"/>
        </w:rPr>
        <w:t>”</w:t>
      </w:r>
      <w:r>
        <w:rPr>
          <w:rFonts w:ascii="Times New Roman" w:hAnsi="Times New Roman"/>
          <w:sz w:val="24"/>
          <w:lang w:val="zh-CN"/>
        </w:rPr>
        <w:t>相应要求。</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6</w:t>
      </w:r>
      <w:r>
        <w:rPr>
          <w:rFonts w:ascii="Times New Roman" w:hAnsi="Times New Roman"/>
          <w:sz w:val="24"/>
        </w:rPr>
        <w:t>）风险防范措施及应急措施</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本项目从平面布置、工艺及技术方案选择、自动控制、电气、电信、消防和火灾报警系统等方面在设计上考虑了风险防范措施，项目设置有环境风险事故水三级防控体系，防止事故情况下事故废水进入厂外。</w:t>
      </w:r>
    </w:p>
    <w:p w:rsidR="00525419" w:rsidRDefault="00EE1CF7">
      <w:pPr>
        <w:spacing w:line="480" w:lineRule="exact"/>
        <w:ind w:firstLineChars="200" w:firstLine="480"/>
        <w:jc w:val="left"/>
        <w:rPr>
          <w:rFonts w:ascii="Times New Roman" w:hAnsi="Times New Roman"/>
          <w:sz w:val="24"/>
          <w:szCs w:val="24"/>
        </w:rPr>
      </w:pPr>
      <w:r>
        <w:rPr>
          <w:rFonts w:ascii="Times New Roman" w:hAnsi="Times New Roman"/>
          <w:sz w:val="24"/>
          <w:szCs w:val="24"/>
        </w:rPr>
        <w:t>新疆美汇特石化产品有限公司编制了现厂区的应急预案，本项目投入生产前，新疆美汇特石化产品有限公司对现厂区的环境应急预案备案文件进行修订，把本项目纳入整个新疆美汇特石化产品有限公司环境应急预案中，以防范本项目关键装置和储存设施等发生重大火灾、爆炸、泄漏事故而引发的环境风险。与园区的应急预案相衔接，在发生超出事故企业自身解决能力突发环境事件时能有效的进行应急联动。预案明确各级应急指挥徒闻更机构的设置、职责要求，并制定各类环境风险事故应急、救援措施；同时明确各级预案的职责、启动机制、联动方式，为控制本项目可能发生的各类、各级环境风险事故，降低并最终消除其环境影响，提供有效组织保障、措施保障，可将环境风险事故造成的环境影响控制在可接受范围内。</w:t>
      </w:r>
    </w:p>
    <w:p w:rsidR="00525419" w:rsidRDefault="00EE1CF7" w:rsidP="00EE1CF7">
      <w:pPr>
        <w:pStyle w:val="2a"/>
        <w:spacing w:beforeLines="50" w:before="166" w:after="166"/>
        <w:ind w:left="578" w:hanging="578"/>
        <w:rPr>
          <w:rFonts w:ascii="Times New Roman" w:eastAsia="楷体_GB2312" w:hAnsi="Times New Roman"/>
          <w:sz w:val="36"/>
        </w:rPr>
      </w:pPr>
      <w:bookmarkStart w:id="353" w:name="_Toc484775676"/>
      <w:bookmarkStart w:id="354" w:name="_Toc14059"/>
      <w:r>
        <w:rPr>
          <w:rFonts w:ascii="Times New Roman" w:eastAsia="楷体_GB2312" w:hAnsi="Times New Roman"/>
          <w:sz w:val="36"/>
        </w:rPr>
        <w:t xml:space="preserve">9.7 </w:t>
      </w:r>
      <w:r>
        <w:rPr>
          <w:rFonts w:ascii="Times New Roman" w:eastAsia="楷体_GB2312" w:hAnsi="Times New Roman"/>
          <w:sz w:val="36"/>
        </w:rPr>
        <w:t>环境影响经济损益</w:t>
      </w:r>
      <w:bookmarkEnd w:id="353"/>
      <w:r>
        <w:rPr>
          <w:rFonts w:ascii="Times New Roman" w:eastAsia="楷体_GB2312" w:hAnsi="Times New Roman"/>
          <w:sz w:val="36"/>
        </w:rPr>
        <w:t>结论</w:t>
      </w:r>
      <w:bookmarkEnd w:id="354"/>
    </w:p>
    <w:p w:rsidR="00525419" w:rsidRDefault="00EE1CF7">
      <w:pPr>
        <w:spacing w:line="480" w:lineRule="exact"/>
        <w:ind w:firstLineChars="200" w:firstLine="480"/>
        <w:jc w:val="left"/>
        <w:rPr>
          <w:rFonts w:ascii="Times New Roman" w:hAnsi="Times New Roman"/>
          <w:sz w:val="24"/>
          <w:szCs w:val="24"/>
        </w:rPr>
      </w:pPr>
      <w:r>
        <w:rPr>
          <w:rFonts w:ascii="Times New Roman" w:hAnsi="Times New Roman"/>
          <w:sz w:val="24"/>
        </w:rPr>
        <w:t>变更后本项目</w:t>
      </w:r>
      <w:r>
        <w:rPr>
          <w:rFonts w:ascii="Times New Roman" w:hAnsi="Times New Roman"/>
          <w:kern w:val="0"/>
          <w:sz w:val="24"/>
          <w:szCs w:val="24"/>
        </w:rPr>
        <w:t>总投资为</w:t>
      </w:r>
      <w:r>
        <w:rPr>
          <w:rFonts w:ascii="Times New Roman" w:hAnsi="Times New Roman"/>
          <w:sz w:val="24"/>
          <w:szCs w:val="24"/>
        </w:rPr>
        <w:t>76371</w:t>
      </w:r>
      <w:r>
        <w:rPr>
          <w:rFonts w:ascii="Times New Roman" w:hAnsi="Times New Roman"/>
          <w:kern w:val="0"/>
          <w:sz w:val="24"/>
          <w:szCs w:val="24"/>
        </w:rPr>
        <w:t>万元，其中环保投资</w:t>
      </w:r>
      <w:r>
        <w:rPr>
          <w:rFonts w:ascii="Times New Roman" w:hAnsi="Times New Roman" w:hint="eastAsia"/>
          <w:kern w:val="0"/>
          <w:sz w:val="24"/>
          <w:szCs w:val="24"/>
        </w:rPr>
        <w:t>14623</w:t>
      </w:r>
      <w:r>
        <w:rPr>
          <w:rFonts w:ascii="Times New Roman" w:hAnsi="Times New Roman"/>
          <w:kern w:val="0"/>
          <w:sz w:val="24"/>
          <w:szCs w:val="24"/>
        </w:rPr>
        <w:t>万元，环保投资占项目总投资的</w:t>
      </w:r>
      <w:r>
        <w:rPr>
          <w:rFonts w:ascii="Times New Roman" w:hAnsi="Times New Roman" w:hint="eastAsia"/>
          <w:kern w:val="0"/>
          <w:sz w:val="24"/>
          <w:szCs w:val="24"/>
        </w:rPr>
        <w:t>19</w:t>
      </w:r>
      <w:r>
        <w:rPr>
          <w:rFonts w:ascii="Times New Roman" w:hAnsi="Times New Roman"/>
          <w:kern w:val="0"/>
          <w:sz w:val="24"/>
          <w:szCs w:val="24"/>
        </w:rPr>
        <w:t>%</w:t>
      </w:r>
      <w:r>
        <w:rPr>
          <w:rFonts w:ascii="Times New Roman" w:hAnsi="Times New Roman"/>
          <w:kern w:val="0"/>
          <w:sz w:val="24"/>
          <w:szCs w:val="24"/>
        </w:rPr>
        <w:t>。</w:t>
      </w:r>
    </w:p>
    <w:p w:rsidR="00525419" w:rsidRDefault="00EE1CF7">
      <w:pPr>
        <w:spacing w:line="360" w:lineRule="auto"/>
        <w:ind w:firstLineChars="200" w:firstLine="480"/>
        <w:rPr>
          <w:rFonts w:ascii="Times New Roman" w:hAnsi="Times New Roman"/>
          <w:sz w:val="24"/>
          <w:szCs w:val="24"/>
        </w:rPr>
      </w:pPr>
      <w:bookmarkStart w:id="355" w:name="_Toc484775677"/>
      <w:r>
        <w:rPr>
          <w:rFonts w:ascii="Times New Roman" w:hAnsi="Times New Roman"/>
          <w:sz w:val="24"/>
          <w:szCs w:val="24"/>
        </w:rPr>
        <w:t>结合本项目带来的环境损失、产生的经济效益和社会效益以及项目的环保投入和产生的环境效益进行综合分析和比较，本项目的建设在创造良好经济效益和社会效益的同时，对环境的影响有限，经采取污染防治措施后，能够将项目带来的环境损失降到很低程度。</w:t>
      </w:r>
    </w:p>
    <w:p w:rsidR="00525419" w:rsidRDefault="00EE1CF7" w:rsidP="00EE1CF7">
      <w:pPr>
        <w:pStyle w:val="2a"/>
        <w:spacing w:beforeLines="50" w:before="166" w:after="166"/>
        <w:ind w:left="578" w:hanging="578"/>
        <w:rPr>
          <w:rFonts w:ascii="Times New Roman" w:eastAsia="楷体_GB2312" w:hAnsi="Times New Roman"/>
          <w:sz w:val="36"/>
        </w:rPr>
      </w:pPr>
      <w:bookmarkStart w:id="356" w:name="_Toc4836"/>
      <w:r>
        <w:rPr>
          <w:rFonts w:ascii="Times New Roman" w:eastAsia="楷体_GB2312" w:hAnsi="Times New Roman"/>
          <w:sz w:val="36"/>
        </w:rPr>
        <w:t xml:space="preserve">9.8 </w:t>
      </w:r>
      <w:r>
        <w:rPr>
          <w:rFonts w:ascii="Times New Roman" w:eastAsia="楷体_GB2312" w:hAnsi="Times New Roman"/>
          <w:sz w:val="36"/>
        </w:rPr>
        <w:t>环境管理与监测计划</w:t>
      </w:r>
      <w:bookmarkEnd w:id="355"/>
      <w:bookmarkEnd w:id="356"/>
    </w:p>
    <w:p w:rsidR="00525419" w:rsidRDefault="00EE1CF7">
      <w:pPr>
        <w:spacing w:line="460" w:lineRule="exact"/>
        <w:ind w:firstLineChars="200" w:firstLine="480"/>
        <w:rPr>
          <w:rFonts w:ascii="Times New Roman" w:hAnsi="Times New Roman"/>
          <w:sz w:val="24"/>
        </w:rPr>
      </w:pPr>
      <w:r>
        <w:rPr>
          <w:rFonts w:ascii="Times New Roman" w:hAnsi="Times New Roman"/>
          <w:sz w:val="24"/>
        </w:rPr>
        <w:t>本项目从建设阶段、生产运行阶段提出具体环境管理要求。给出污染物排放清单，</w:t>
      </w:r>
      <w:r>
        <w:rPr>
          <w:rFonts w:ascii="Times New Roman" w:hAnsi="Times New Roman"/>
          <w:sz w:val="24"/>
        </w:rPr>
        <w:t xml:space="preserve"> </w:t>
      </w:r>
      <w:r>
        <w:rPr>
          <w:rFonts w:ascii="Times New Roman" w:hAnsi="Times New Roman"/>
          <w:sz w:val="24"/>
        </w:rPr>
        <w:t>明确污染物排放的管理要求。提出建立日常环境管理制度、组织机构和环境管理台账相关要求，明确各项环境保护设施和措施的建设、运行及维护费用保障计划</w:t>
      </w:r>
      <w:r>
        <w:rPr>
          <w:rFonts w:ascii="Times New Roman" w:hAnsi="Times New Roman" w:hint="eastAsia"/>
          <w:sz w:val="24"/>
        </w:rPr>
        <w:t>，</w:t>
      </w:r>
      <w:r>
        <w:rPr>
          <w:rFonts w:ascii="Times New Roman" w:hAnsi="Times New Roman"/>
          <w:sz w:val="24"/>
        </w:rPr>
        <w:t>给出了污染源监测计划和环境质量监测计划。</w:t>
      </w:r>
    </w:p>
    <w:p w:rsidR="00525419" w:rsidRDefault="00EE1CF7" w:rsidP="00EE1CF7">
      <w:pPr>
        <w:pStyle w:val="2a"/>
        <w:spacing w:beforeLines="50" w:before="166" w:after="166"/>
        <w:ind w:left="578" w:hanging="578"/>
        <w:rPr>
          <w:rFonts w:ascii="Times New Roman" w:eastAsia="楷体_GB2312" w:hAnsi="Times New Roman"/>
          <w:sz w:val="36"/>
        </w:rPr>
      </w:pPr>
      <w:bookmarkStart w:id="357" w:name="_Toc484775678"/>
      <w:bookmarkStart w:id="358" w:name="_Toc5535"/>
      <w:r>
        <w:rPr>
          <w:rFonts w:ascii="Times New Roman" w:eastAsia="楷体_GB2312" w:hAnsi="Times New Roman"/>
          <w:sz w:val="36"/>
        </w:rPr>
        <w:t>9.9</w:t>
      </w:r>
      <w:bookmarkEnd w:id="357"/>
      <w:r>
        <w:rPr>
          <w:rFonts w:ascii="Times New Roman" w:eastAsia="楷体_GB2312" w:hAnsi="Times New Roman"/>
          <w:sz w:val="36"/>
        </w:rPr>
        <w:t>总体结论</w:t>
      </w:r>
      <w:bookmarkEnd w:id="358"/>
    </w:p>
    <w:p w:rsidR="00525419" w:rsidRDefault="00EE1CF7">
      <w:pPr>
        <w:pStyle w:val="B1"/>
        <w:ind w:firstLine="480"/>
        <w:rPr>
          <w:rFonts w:cs="Times New Roman"/>
        </w:rPr>
      </w:pPr>
      <w:bookmarkStart w:id="359" w:name="_Toc335315210"/>
      <w:bookmarkStart w:id="360" w:name="_Toc410121614"/>
      <w:bookmarkStart w:id="361" w:name="_Toc399496962"/>
      <w:bookmarkStart w:id="362" w:name="_Toc388894145"/>
      <w:bookmarkStart w:id="363" w:name="_Toc484775679"/>
      <w:bookmarkStart w:id="364" w:name="_Toc354837563"/>
      <w:r>
        <w:rPr>
          <w:rFonts w:cs="Times New Roman"/>
        </w:rPr>
        <w:t>新疆美汇特石化产品有限公司</w:t>
      </w:r>
      <w:r>
        <w:rPr>
          <w:rFonts w:cs="Times New Roman"/>
        </w:rPr>
        <w:t>40</w:t>
      </w:r>
      <w:r>
        <w:rPr>
          <w:rFonts w:cs="Times New Roman"/>
        </w:rPr>
        <w:t>万吨</w:t>
      </w:r>
      <w:r>
        <w:rPr>
          <w:rFonts w:cs="Times New Roman"/>
        </w:rPr>
        <w:t>/</w:t>
      </w:r>
      <w:r>
        <w:rPr>
          <w:rFonts w:cs="Times New Roman"/>
        </w:rPr>
        <w:t>年煤焦油加氢及配套项目（变更）符合国家产业政策和地方环保要求，选址符合《鄯善高新技术产业开发区（鄯善工业园区）总体规划》、规划环境影响评价结论及审查意见；建设项目生产符合清洁生产要求；各项污染治理得当，经有效处理后可使污染物稳定达到相关排放标准要求，对外环境影响不大，不会降低区域功能类别；项目制定环境风险应急预案，经采取有效的事故防范和减缓措施后，项目环境风险是可防控的；通过公众参与调查，没有收到反对项目建设的意见；项目建成后，具有一定的环境、社会和经济效益；因此，在认真落实本项目的各项污染防治措施的前提下，从环保的角度来说，该项目建设是可行的。</w:t>
      </w:r>
    </w:p>
    <w:p w:rsidR="00525419" w:rsidRDefault="00EE1CF7" w:rsidP="00EE1CF7">
      <w:pPr>
        <w:pStyle w:val="2a"/>
        <w:spacing w:beforeLines="50" w:before="166" w:after="166"/>
        <w:ind w:left="578" w:hanging="578"/>
        <w:rPr>
          <w:rFonts w:ascii="Times New Roman" w:eastAsia="楷体_GB2312" w:hAnsi="Times New Roman"/>
          <w:sz w:val="36"/>
        </w:rPr>
      </w:pPr>
      <w:bookmarkStart w:id="365" w:name="_Toc6893"/>
      <w:r>
        <w:rPr>
          <w:rFonts w:ascii="Times New Roman" w:eastAsia="楷体_GB2312" w:hAnsi="Times New Roman"/>
          <w:sz w:val="36"/>
        </w:rPr>
        <w:t xml:space="preserve">9.10 </w:t>
      </w:r>
      <w:r>
        <w:rPr>
          <w:rFonts w:ascii="Times New Roman" w:eastAsia="楷体_GB2312" w:hAnsi="Times New Roman"/>
          <w:sz w:val="36"/>
        </w:rPr>
        <w:t>建议</w:t>
      </w:r>
      <w:bookmarkEnd w:id="359"/>
      <w:r>
        <w:rPr>
          <w:rFonts w:ascii="Times New Roman" w:eastAsia="楷体_GB2312" w:hAnsi="Times New Roman"/>
          <w:sz w:val="36"/>
        </w:rPr>
        <w:t>与要求</w:t>
      </w:r>
      <w:bookmarkEnd w:id="360"/>
      <w:bookmarkEnd w:id="361"/>
      <w:bookmarkEnd w:id="362"/>
      <w:bookmarkEnd w:id="363"/>
      <w:bookmarkEnd w:id="364"/>
      <w:bookmarkEnd w:id="365"/>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）加强固体废物在厂内堆存期间的环境管理。固体废物在厂内暂存期间应根据《危险废物管理暂行办法》加强管理，堆放场地应有防渗、防流失措施，运输过程应防止抛洒泄漏。</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）加强本项目的环境管理和环境监测。设专职环境管理人员，按本报告书中的要求认真落实环境监测计划；各排污口的设置和管理应按有关规定执行。</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）加强生产过程的管理，杜绝跑、冒、滴、漏现象的发生。建立健全环保规章制度，并严格进行管理。</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）加强对废气治理措施管理，确保各设备运行正常。</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）建全并完善环境管理体系、规章制度，把污染预防、节能降耗贯彻到生产全过程中。要求对与环境影响密切相关的岗位，制定严格的操作程序和有效的监控机制，使各类清洁生产技术措施产生最佳效果。</w:t>
      </w:r>
    </w:p>
    <w:p w:rsidR="00525419" w:rsidRDefault="00EE1CF7">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6</w:t>
      </w:r>
      <w:r>
        <w:rPr>
          <w:rFonts w:ascii="Times New Roman" w:hAnsi="Times New Roman"/>
          <w:sz w:val="24"/>
        </w:rPr>
        <w:t>）厂区日常环境应急管理中，要全面排查污染隐患，落实各种应急保障措施，加强应急培训与演练。</w:t>
      </w:r>
    </w:p>
    <w:p w:rsidR="00525419" w:rsidRDefault="00525419">
      <w:pPr>
        <w:rPr>
          <w:rFonts w:ascii="Times New Roman" w:hAnsi="Times New Roman"/>
        </w:rPr>
      </w:pPr>
    </w:p>
    <w:p w:rsidR="00525419" w:rsidRDefault="00525419">
      <w:pPr>
        <w:rPr>
          <w:rFonts w:ascii="Times New Roman" w:hAnsi="Times New Roman"/>
        </w:rPr>
      </w:pPr>
    </w:p>
    <w:p w:rsidR="00525419" w:rsidRDefault="00525419">
      <w:pPr>
        <w:rPr>
          <w:rFonts w:ascii="Times New Roman" w:hAnsi="Times New Roman"/>
        </w:rPr>
      </w:pPr>
    </w:p>
    <w:sectPr w:rsidR="00525419">
      <w:pgSz w:w="11906" w:h="16838"/>
      <w:pgMar w:top="1440" w:right="1803" w:bottom="1440" w:left="1803" w:header="851" w:footer="992" w:gutter="0"/>
      <w:cols w:space="0"/>
      <w:docGrid w:type="lines"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0E8A" w:rsidRDefault="007D0E8A">
      <w:r>
        <w:separator/>
      </w:r>
    </w:p>
  </w:endnote>
  <w:endnote w:type="continuationSeparator" w:id="0">
    <w:p w:rsidR="007D0E8A" w:rsidRDefault="007D0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华文中宋">
    <w:panose1 w:val="02010600040101010101"/>
    <w:charset w:val="86"/>
    <w:family w:val="auto"/>
    <w:pitch w:val="variable"/>
    <w:sig w:usb0="00000287" w:usb1="080F0000" w:usb2="00000010" w:usb3="00000000" w:csb0="0004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方正宋三简体">
    <w:altName w:val="宋体"/>
    <w:charset w:val="86"/>
    <w:family w:val="auto"/>
    <w:pitch w:val="default"/>
    <w:sig w:usb0="00000000" w:usb1="00000000" w:usb2="00000000" w:usb3="00000000" w:csb0="00040000" w:csb1="00000000"/>
  </w:font>
  <w:font w:name="楷体_GB2312">
    <w:altName w:val="楷体"/>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G Times">
    <w:altName w:val="Times New Roman"/>
    <w:charset w:val="00"/>
    <w:family w:val="roman"/>
    <w:pitch w:val="variable"/>
    <w:sig w:usb0="00000007" w:usb1="00000000" w:usb2="00000000" w:usb3="00000000" w:csb0="00000093" w:csb1="00000000"/>
  </w:font>
  <w:font w:name="汉鼎简书宋">
    <w:altName w:val="宋体"/>
    <w:charset w:val="86"/>
    <w:family w:val="auto"/>
    <w:pitch w:val="default"/>
    <w:sig w:usb0="00000000" w:usb1="00000000" w:usb2="00000010" w:usb3="00000000" w:csb0="00040000" w:csb1="00000000"/>
  </w:font>
  <w:font w:name="Times">
    <w:altName w:val="Times New Roman"/>
    <w:panose1 w:val="02020603050405020304"/>
    <w:charset w:val="00"/>
    <w:family w:val="roman"/>
    <w:pitch w:val="variable"/>
    <w:sig w:usb0="00000007" w:usb1="00000000" w:usb2="00000000" w:usb3="00000000" w:csb0="00000093" w:csb1="00000000"/>
  </w:font>
  <w:font w:name="MS Shell Dlg">
    <w:altName w:val="Microsoft Sans Serif"/>
    <w:panose1 w:val="020B0604020202020204"/>
    <w:charset w:val="00"/>
    <w:family w:val="auto"/>
    <w:pitch w:val="default"/>
    <w:sig w:usb0="00000000" w:usb1="00000000" w:usb2="00000008" w:usb3="00000000" w:csb0="000101FF" w:csb1="00000000"/>
  </w:font>
  <w:font w:name="TimesNewRoman">
    <w:altName w:val="Times New Roman"/>
    <w:charset w:val="00"/>
    <w:family w:val="auto"/>
    <w:pitch w:val="default"/>
    <w:sig w:usb0="00000000" w:usb1="00000000" w:usb2="00000010" w:usb3="00000000" w:csb0="00060001" w:csb1="00000000"/>
  </w:font>
  <w:font w:name="華康中楷體">
    <w:altName w:val="Microsoft JhengHei"/>
    <w:charset w:val="88"/>
    <w:family w:val="auto"/>
    <w:pitch w:val="default"/>
    <w:sig w:usb0="00000000" w:usb1="00000000" w:usb2="00000010" w:usb3="00000000" w:csb0="00100000" w:csb1="00000000"/>
  </w:font>
  <w:font w:name="Tms Rmn">
    <w:panose1 w:val="02020603040505020304"/>
    <w:charset w:val="00"/>
    <w:family w:val="roman"/>
    <w:notTrueType/>
    <w:pitch w:val="variable"/>
    <w:sig w:usb0="00000003" w:usb1="00000000" w:usb2="00000000" w:usb3="00000000" w:csb0="00000001" w:csb1="00000000"/>
  </w:font>
  <w:font w:name="??">
    <w:altName w:val="Times New Roman"/>
    <w:charset w:val="00"/>
    <w:family w:val="auto"/>
    <w:pitch w:val="default"/>
    <w:sig w:usb0="00000000" w:usb1="00000000" w:usb2="00000000" w:usb3="00000000" w:csb0="00000001" w:csb1="00000000"/>
  </w:font>
  <w:font w:name="Symusic">
    <w:altName w:val="Segoe Print"/>
    <w:charset w:val="00"/>
    <w:family w:val="auto"/>
    <w:pitch w:val="default"/>
    <w:sig w:usb0="00000000"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Times New Roman”“">
    <w:altName w:val="宋体"/>
    <w:charset w:val="86"/>
    <w:family w:val="auto"/>
    <w:pitch w:val="default"/>
    <w:sig w:usb0="00000000" w:usb1="00000000" w:usb2="00000010" w:usb3="00000000" w:csb0="00040000" w:csb1="00000000"/>
  </w:font>
  <w:font w:name="仿宋体">
    <w:altName w:val="宋体"/>
    <w:charset w:val="86"/>
    <w:family w:val="auto"/>
    <w:pitch w:val="default"/>
    <w:sig w:usb0="00000000" w:usb1="00000000" w:usb2="00000010" w:usb3="00000000" w:csb0="00040000" w:csb1="00000000"/>
  </w:font>
  <w:font w:name="ˎ̥">
    <w:altName w:val="Times New Roman"/>
    <w:charset w:val="00"/>
    <w:family w:val="auto"/>
    <w:pitch w:val="default"/>
    <w:sig w:usb0="00000000" w:usb1="00000000" w:usb2="00000000" w:usb3="00000000" w:csb0="00040001" w:csb1="00000000"/>
  </w:font>
  <w:font w:name="方正书宋简体">
    <w:altName w:val="宋体"/>
    <w:charset w:val="86"/>
    <w:family w:val="auto"/>
    <w:pitch w:val="default"/>
    <w:sig w:usb0="00000000" w:usb1="00000000" w:usb2="00000000" w:usb3="00000000" w:csb0="00040000" w:csb1="00000000"/>
  </w:font>
  <w:font w:name="华文细黑">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Mincho">
    <w:altName w:val="明朝"/>
    <w:panose1 w:val="02020609040305080305"/>
    <w:charset w:val="80"/>
    <w:family w:val="roma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 Hei">
    <w:altName w:val="宋体"/>
    <w:charset w:val="86"/>
    <w:family w:val="auto"/>
    <w:pitch w:val="default"/>
    <w:sig w:usb0="00000000" w:usb1="0000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华文宋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PFAMNC+Arial">
    <w:altName w:val="宋体"/>
    <w:charset w:val="86"/>
    <w:family w:val="auto"/>
    <w:pitch w:val="default"/>
    <w:sig w:usb0="00000000" w:usb1="00000000" w:usb2="00000010" w:usb3="00000000" w:csb0="00040000" w:csb1="00000000"/>
  </w:font>
  <w:font w:name="Arial Gras">
    <w:altName w:val="Arial"/>
    <w:charset w:val="00"/>
    <w:family w:val="auto"/>
    <w:pitch w:val="default"/>
    <w:sig w:usb0="00000000" w:usb1="00000000" w:usb2="00000000" w:usb3="00000000" w:csb0="00000001" w:csb1="00000000"/>
  </w:font>
  <w:font w:name="華康細圓體">
    <w:altName w:val="Microsoft JhengHei"/>
    <w:charset w:val="88"/>
    <w:family w:val="auto"/>
    <w:pitch w:val="default"/>
    <w:sig w:usb0="00000000" w:usb1="00000000" w:usb2="00000010" w:usb3="00000000" w:csb0="00100000" w:csb1="00000000"/>
  </w:font>
  <w:font w:name="Baskerville Old Face">
    <w:panose1 w:val="02020602080505020303"/>
    <w:charset w:val="00"/>
    <w:family w:val="roman"/>
    <w:pitch w:val="variable"/>
    <w:sig w:usb0="00000003" w:usb1="00000000" w:usb2="00000000" w:usb3="00000000" w:csb0="00000001" w:csb1="00000000"/>
  </w:font>
  <w:font w:name="華康楷書體W5">
    <w:altName w:val="宋体"/>
    <w:charset w:val="88"/>
    <w:family w:val="auto"/>
    <w:pitch w:val="default"/>
    <w:sig w:usb0="00000000" w:usb1="00000000" w:usb2="00000010" w:usb3="00000000" w:csb0="00100000" w:csb1="00000000"/>
  </w:font>
  <w:font w:name="DFKai-SB">
    <w:panose1 w:val="03000509000000000000"/>
    <w:charset w:val="88"/>
    <w:family w:val="script"/>
    <w:pitch w:val="fixed"/>
    <w:sig w:usb0="00000003" w:usb1="080E0000" w:usb2="00000016" w:usb3="00000000" w:csb0="00100001" w:csb1="00000000"/>
  </w:font>
  <w:font w:name="楷体">
    <w:panose1 w:val="02010609060101010101"/>
    <w:charset w:val="86"/>
    <w:family w:val="modern"/>
    <w:pitch w:val="fixed"/>
    <w:sig w:usb0="800002BF" w:usb1="38CF7CFA" w:usb2="00000016" w:usb3="00000000" w:csb0="00040001" w:csb1="00000000"/>
  </w:font>
  <w:font w:name="Century Schoolbook">
    <w:charset w:val="00"/>
    <w:family w:val="roman"/>
    <w:pitch w:val="variable"/>
    <w:sig w:usb0="00000287" w:usb1="00000000" w:usb2="00000000" w:usb3="00000000" w:csb0="0000009F" w:csb1="00000000"/>
  </w:font>
  <w:font w:name="Times New Roman Bold">
    <w:altName w:val="Times New Roman"/>
    <w:panose1 w:val="02020803070505020304"/>
    <w:charset w:val="00"/>
    <w:family w:val="auto"/>
    <w:pitch w:val="default"/>
    <w:sig w:usb0="00000000" w:usb1="00000000" w:usb2="00000000" w:usb3="00000000" w:csb0="006609FE" w:csb1="00BD5CC0"/>
  </w:font>
  <w:font w:name="Univers">
    <w:altName w:val="Arial"/>
    <w:charset w:val="00"/>
    <w:family w:val="swiss"/>
    <w:pitch w:val="variable"/>
    <w:sig w:usb0="00000007" w:usb1="00000000" w:usb2="00000000" w:usb3="00000000" w:csb0="00000093" w:csb1="00000000"/>
  </w:font>
  <w:font w:name="文鼎CS中宋">
    <w:altName w:val="宋体"/>
    <w:charset w:val="86"/>
    <w:family w:val="auto"/>
    <w:pitch w:val="default"/>
    <w:sig w:usb0="00000000" w:usb1="00000000" w:usb2="00000010" w:usb3="00000000" w:csb0="00040000" w:csb1="00000000"/>
  </w:font>
  <w:font w:name="????">
    <w:altName w:val="Malgun Gothic"/>
    <w:charset w:val="81"/>
    <w:family w:val="auto"/>
    <w:pitch w:val="default"/>
    <w:sig w:usb0="00000000" w:usb1="00000000" w:usb2="00000010" w:usb3="00000000" w:csb0="00080000" w:csb1="00000000"/>
  </w:font>
  <w:font w:name="微软雅黑">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 w:name="TimesNewRomanPSMT">
    <w:altName w:val="方正舒体"/>
    <w:charset w:val="86"/>
    <w:family w:val="auto"/>
    <w:pitch w:val="default"/>
    <w:sig w:usb0="00000000" w:usb1="00000000" w:usb2="00000010" w:usb3="00000000" w:csb0="0004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CF7" w:rsidRDefault="007D0E8A">
    <w:pPr>
      <w:pStyle w:val="aff9"/>
      <w:jc w:val="center"/>
    </w:pPr>
    <w: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93173248;mso-wrap-style:none;mso-position-horizontal:center;mso-position-horizontal-relative:margin;mso-width-relative:page;mso-height-relative:page" o:preferrelative="t" filled="f" stroked="f">
          <v:textbox style="mso-fit-shape-to-text:t" inset="0,0,0,0">
            <w:txbxContent>
              <w:p w:rsidR="00EE1CF7" w:rsidRDefault="00EE1CF7">
                <w:pPr>
                  <w:pStyle w:val="aff9"/>
                  <w:jc w:val="center"/>
                </w:pPr>
                <w:r>
                  <w:fldChar w:fldCharType="begin"/>
                </w:r>
                <w:r>
                  <w:instrText xml:space="preserve"> PAGE   \* MERGEFORMAT </w:instrText>
                </w:r>
                <w:r>
                  <w:fldChar w:fldCharType="separate"/>
                </w:r>
                <w:r w:rsidR="00FE095A" w:rsidRPr="00FE095A">
                  <w:rPr>
                    <w:noProof/>
                    <w:lang w:val="zh-CN"/>
                  </w:rPr>
                  <w:t>13</w:t>
                </w:r>
                <w:r>
                  <w:rPr>
                    <w:lang w:val="zh-CN"/>
                  </w:rPr>
                  <w:fldChar w:fldCharType="end"/>
                </w:r>
              </w:p>
            </w:txbxContent>
          </v:textbox>
          <w10:wrap anchorx="margin"/>
        </v:shape>
      </w:pict>
    </w:r>
  </w:p>
  <w:p w:rsidR="00EE1CF7" w:rsidRDefault="00EE1CF7">
    <w:pPr>
      <w:pStyle w:val="aff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CF7" w:rsidRDefault="007D0E8A">
    <w:pPr>
      <w:pStyle w:val="aff9"/>
      <w:jc w:val="center"/>
    </w:pPr>
    <w:r>
      <w:pict>
        <v:shapetype id="_x0000_t202" coordsize="21600,21600" o:spt="202" path="m,l,21600r21600,l21600,xe">
          <v:stroke joinstyle="miter"/>
          <v:path gradientshapeok="t" o:connecttype="rect"/>
        </v:shapetype>
        <v:shape id="文本框 1656" o:spid="_x0000_s2050" type="#_x0000_t202" style="position:absolute;left:0;text-align:left;margin-left:0;margin-top:0;width:2in;height:2in;z-index:251658240;mso-wrap-style:none;mso-position-horizontal:center;mso-position-horizontal-relative:margin;mso-width-relative:page;mso-height-relative:page" o:preferrelative="t" filled="f" stroked="f">
          <v:textbox style="mso-fit-shape-to-text:t" inset="0,0,0,0">
            <w:txbxContent>
              <w:p w:rsidR="00EE1CF7" w:rsidRDefault="00EE1CF7">
                <w:pPr>
                  <w:pStyle w:val="aff9"/>
                  <w:jc w:val="center"/>
                </w:pPr>
                <w:r>
                  <w:fldChar w:fldCharType="begin"/>
                </w:r>
                <w:r>
                  <w:instrText xml:space="preserve"> PAGE   \* MERGEFORMAT </w:instrText>
                </w:r>
                <w:r>
                  <w:fldChar w:fldCharType="separate"/>
                </w:r>
                <w:r w:rsidR="00FE095A" w:rsidRPr="00FE095A">
                  <w:rPr>
                    <w:noProof/>
                    <w:lang w:val="zh-CN"/>
                  </w:rPr>
                  <w:t>259</w:t>
                </w:r>
                <w:r>
                  <w:rPr>
                    <w:lang w:val="zh-CN"/>
                  </w:rPr>
                  <w:fldChar w:fldCharType="end"/>
                </w:r>
              </w:p>
            </w:txbxContent>
          </v:textbox>
          <w10:wrap anchorx="margin"/>
        </v:shape>
      </w:pict>
    </w:r>
  </w:p>
  <w:p w:rsidR="00EE1CF7" w:rsidRDefault="00EE1CF7">
    <w:pPr>
      <w:pStyle w:val="aff9"/>
    </w:pPr>
    <w:r>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0E8A" w:rsidRDefault="007D0E8A">
      <w:r>
        <w:separator/>
      </w:r>
    </w:p>
  </w:footnote>
  <w:footnote w:type="continuationSeparator" w:id="0">
    <w:p w:rsidR="007D0E8A" w:rsidRDefault="007D0E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CF7" w:rsidRDefault="00EE1CF7">
    <w:pPr>
      <w:pStyle w:val="affc"/>
    </w:pPr>
    <w:r>
      <w:rPr>
        <w:rFonts w:ascii="Times New Roman" w:hAnsi="Times New Roman"/>
      </w:rPr>
      <w:t>新疆美汇特石化产品有限公司</w:t>
    </w:r>
    <w:r>
      <w:rPr>
        <w:rFonts w:ascii="Times New Roman" w:hAnsi="Times New Roman"/>
      </w:rPr>
      <w:t>40</w:t>
    </w:r>
    <w:r>
      <w:rPr>
        <w:rFonts w:ascii="Times New Roman" w:hAnsi="Times New Roman"/>
      </w:rPr>
      <w:t>万吨</w:t>
    </w:r>
    <w:r>
      <w:rPr>
        <w:rFonts w:ascii="Times New Roman" w:hAnsi="Times New Roman"/>
      </w:rPr>
      <w:t>/</w:t>
    </w:r>
    <w:r>
      <w:rPr>
        <w:rFonts w:ascii="Times New Roman" w:hAnsi="Times New Roman"/>
      </w:rPr>
      <w:t>年煤焦油加氢及配套项目（变更）</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CF7" w:rsidRDefault="00EE1CF7">
    <w:pPr>
      <w:pStyle w:val="affc"/>
    </w:pPr>
    <w:r>
      <w:rPr>
        <w:rFonts w:ascii="Times New Roman" w:hAnsi="Times New Roman"/>
      </w:rPr>
      <w:t>新疆美汇特石化产品有限公司</w:t>
    </w:r>
    <w:r>
      <w:rPr>
        <w:rFonts w:ascii="Times New Roman" w:hAnsi="Times New Roman"/>
      </w:rPr>
      <w:t>40</w:t>
    </w:r>
    <w:r>
      <w:rPr>
        <w:rFonts w:ascii="Times New Roman" w:hAnsi="Times New Roman"/>
      </w:rPr>
      <w:t>万吨</w:t>
    </w:r>
    <w:r>
      <w:rPr>
        <w:rFonts w:ascii="Times New Roman" w:hAnsi="Times New Roman"/>
      </w:rPr>
      <w:t>/</w:t>
    </w:r>
    <w:r>
      <w:rPr>
        <w:rFonts w:ascii="Times New Roman" w:hAnsi="Times New Roman"/>
      </w:rPr>
      <w:t>年煤焦油加氢及配套项目（变更）</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81BDEE5"/>
    <w:multiLevelType w:val="singleLevel"/>
    <w:tmpl w:val="881BDEE5"/>
    <w:lvl w:ilvl="0">
      <w:start w:val="1"/>
      <w:numFmt w:val="decimal"/>
      <w:suff w:val="nothing"/>
      <w:lvlText w:val="（%1）"/>
      <w:lvlJc w:val="left"/>
    </w:lvl>
  </w:abstractNum>
  <w:abstractNum w:abstractNumId="1" w15:restartNumberingAfterBreak="0">
    <w:nsid w:val="CA376F25"/>
    <w:multiLevelType w:val="singleLevel"/>
    <w:tmpl w:val="CA376F25"/>
    <w:lvl w:ilvl="0">
      <w:start w:val="8"/>
      <w:numFmt w:val="decimal"/>
      <w:suff w:val="nothing"/>
      <w:lvlText w:val="%1、"/>
      <w:lvlJc w:val="left"/>
    </w:lvl>
  </w:abstractNum>
  <w:abstractNum w:abstractNumId="2" w15:restartNumberingAfterBreak="0">
    <w:nsid w:val="F5F43A07"/>
    <w:multiLevelType w:val="singleLevel"/>
    <w:tmpl w:val="F5F43A07"/>
    <w:lvl w:ilvl="0">
      <w:start w:val="9"/>
      <w:numFmt w:val="decimal"/>
      <w:suff w:val="nothing"/>
      <w:lvlText w:val="（%1）"/>
      <w:lvlJc w:val="left"/>
    </w:lvl>
  </w:abstractNum>
  <w:abstractNum w:abstractNumId="3" w15:restartNumberingAfterBreak="0">
    <w:nsid w:val="FCC85EF3"/>
    <w:multiLevelType w:val="singleLevel"/>
    <w:tmpl w:val="FCC85EF3"/>
    <w:lvl w:ilvl="0">
      <w:start w:val="1"/>
      <w:numFmt w:val="decimal"/>
      <w:suff w:val="nothing"/>
      <w:lvlText w:val="（%1）"/>
      <w:lvlJc w:val="left"/>
    </w:lvl>
  </w:abstractNum>
  <w:abstractNum w:abstractNumId="4" w15:restartNumberingAfterBreak="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5" w15:restartNumberingAfterBreak="0">
    <w:nsid w:val="FFFFFF7D"/>
    <w:multiLevelType w:val="singleLevel"/>
    <w:tmpl w:val="FFFFFF7D"/>
    <w:lvl w:ilvl="0">
      <w:start w:val="1"/>
      <w:numFmt w:val="decimal"/>
      <w:pStyle w:val="4"/>
      <w:lvlText w:val="%1."/>
      <w:lvlJc w:val="left"/>
      <w:pPr>
        <w:tabs>
          <w:tab w:val="left" w:pos="1620"/>
        </w:tabs>
        <w:ind w:leftChars="600" w:left="1620" w:hangingChars="200" w:hanging="360"/>
      </w:pPr>
    </w:lvl>
  </w:abstractNum>
  <w:abstractNum w:abstractNumId="6"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7" w15:restartNumberingAfterBreak="0">
    <w:nsid w:val="FFFFFF80"/>
    <w:multiLevelType w:val="singleLevel"/>
    <w:tmpl w:val="FFFFFF80"/>
    <w:lvl w:ilvl="0">
      <w:start w:val="1"/>
      <w:numFmt w:val="bullet"/>
      <w:pStyle w:val="50"/>
      <w:lvlText w:val=""/>
      <w:lvlJc w:val="left"/>
      <w:pPr>
        <w:tabs>
          <w:tab w:val="left" w:pos="2040"/>
        </w:tabs>
        <w:ind w:leftChars="800" w:left="2040" w:hangingChars="200" w:hanging="360"/>
      </w:pPr>
      <w:rPr>
        <w:rFonts w:ascii="Wingdings" w:hAnsi="Wingdings" w:hint="default"/>
      </w:rPr>
    </w:lvl>
  </w:abstractNum>
  <w:abstractNum w:abstractNumId="8" w15:restartNumberingAfterBreak="0">
    <w:nsid w:val="FFFFFF81"/>
    <w:multiLevelType w:val="singleLevel"/>
    <w:tmpl w:val="FFFFFF81"/>
    <w:lvl w:ilvl="0">
      <w:start w:val="1"/>
      <w:numFmt w:val="bullet"/>
      <w:pStyle w:val="40"/>
      <w:lvlText w:val=""/>
      <w:lvlJc w:val="left"/>
      <w:pPr>
        <w:tabs>
          <w:tab w:val="left" w:pos="1620"/>
        </w:tabs>
        <w:ind w:leftChars="600" w:left="1620" w:hangingChars="200" w:hanging="360"/>
      </w:pPr>
      <w:rPr>
        <w:rFonts w:ascii="Wingdings" w:hAnsi="Wingdings" w:hint="default"/>
      </w:rPr>
    </w:lvl>
  </w:abstractNum>
  <w:abstractNum w:abstractNumId="9" w15:restartNumberingAfterBreak="0">
    <w:nsid w:val="FFFFFF82"/>
    <w:multiLevelType w:val="singleLevel"/>
    <w:tmpl w:val="FFFFFF82"/>
    <w:lvl w:ilvl="0">
      <w:start w:val="1"/>
      <w:numFmt w:val="bullet"/>
      <w:pStyle w:val="30"/>
      <w:lvlText w:val=""/>
      <w:lvlJc w:val="left"/>
      <w:pPr>
        <w:tabs>
          <w:tab w:val="left" w:pos="1200"/>
        </w:tabs>
        <w:ind w:leftChars="400" w:left="1200" w:hangingChars="200" w:hanging="360"/>
      </w:pPr>
      <w:rPr>
        <w:rFonts w:ascii="Wingdings" w:hAnsi="Wingdings" w:hint="default"/>
      </w:rPr>
    </w:lvl>
  </w:abstractNum>
  <w:abstractNum w:abstractNumId="10" w15:restartNumberingAfterBreak="0">
    <w:nsid w:val="FFFFFF83"/>
    <w:multiLevelType w:val="singleLevel"/>
    <w:tmpl w:val="FFFFFF83"/>
    <w:lvl w:ilvl="0">
      <w:start w:val="1"/>
      <w:numFmt w:val="bullet"/>
      <w:pStyle w:val="2"/>
      <w:lvlText w:val=""/>
      <w:lvlJc w:val="left"/>
      <w:pPr>
        <w:tabs>
          <w:tab w:val="left" w:pos="780"/>
        </w:tabs>
        <w:ind w:leftChars="200" w:left="780" w:hangingChars="200" w:hanging="360"/>
      </w:pPr>
      <w:rPr>
        <w:rFonts w:ascii="Wingdings" w:hAnsi="Wingdings" w:hint="default"/>
      </w:rPr>
    </w:lvl>
  </w:abstractNum>
  <w:abstractNum w:abstractNumId="11" w15:restartNumberingAfterBreak="0">
    <w:nsid w:val="008C3B3A"/>
    <w:multiLevelType w:val="multilevel"/>
    <w:tmpl w:val="008C3B3A"/>
    <w:lvl w:ilvl="0">
      <w:start w:val="1"/>
      <w:numFmt w:val="decimal"/>
      <w:pStyle w:val="24"/>
      <w:lvlText w:val="2.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57B66C0"/>
    <w:multiLevelType w:val="multilevel"/>
    <w:tmpl w:val="057B66C0"/>
    <w:lvl w:ilvl="0">
      <w:start w:val="1"/>
      <w:numFmt w:val="decimal"/>
      <w:pStyle w:val="500"/>
      <w:lvlText w:val="9.%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05BC3F2D"/>
    <w:multiLevelType w:val="multilevel"/>
    <w:tmpl w:val="05BC3F2D"/>
    <w:lvl w:ilvl="0">
      <w:start w:val="1"/>
      <w:numFmt w:val="decimal"/>
      <w:pStyle w:val="38"/>
      <w:lvlText w:val="6.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05EC6C8F"/>
    <w:multiLevelType w:val="multilevel"/>
    <w:tmpl w:val="05EC6C8F"/>
    <w:lvl w:ilvl="0">
      <w:start w:val="1"/>
      <w:numFmt w:val="decimal"/>
      <w:pStyle w:val="68"/>
      <w:lvlText w:val="1.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0B41005D"/>
    <w:multiLevelType w:val="multilevel"/>
    <w:tmpl w:val="0B41005D"/>
    <w:lvl w:ilvl="0">
      <w:start w:val="1"/>
      <w:numFmt w:val="decimal"/>
      <w:pStyle w:val="15"/>
      <w:lvlText w:val="4.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B6C6798"/>
    <w:multiLevelType w:val="multilevel"/>
    <w:tmpl w:val="0B6C6798"/>
    <w:lvl w:ilvl="0">
      <w:start w:val="1"/>
      <w:numFmt w:val="decimal"/>
      <w:pStyle w:val="89"/>
      <w:lvlText w:val="5.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0BAE3C38"/>
    <w:multiLevelType w:val="multilevel"/>
    <w:tmpl w:val="0BAE3C38"/>
    <w:lvl w:ilvl="0">
      <w:start w:val="1"/>
      <w:numFmt w:val="decimal"/>
      <w:pStyle w:val="32"/>
      <w:lvlText w:val="11.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0C9A17A8"/>
    <w:multiLevelType w:val="multilevel"/>
    <w:tmpl w:val="0C9A17A8"/>
    <w:lvl w:ilvl="0">
      <w:start w:val="1"/>
      <w:numFmt w:val="decimal"/>
      <w:pStyle w:val="100"/>
      <w:lvlText w:val="9.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15465B3"/>
    <w:multiLevelType w:val="multilevel"/>
    <w:tmpl w:val="115465B3"/>
    <w:lvl w:ilvl="0">
      <w:start w:val="1"/>
      <w:numFmt w:val="decimal"/>
      <w:pStyle w:val="53"/>
      <w:lvlText w:val="1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1372250E"/>
    <w:multiLevelType w:val="multilevel"/>
    <w:tmpl w:val="1372250E"/>
    <w:lvl w:ilvl="0">
      <w:start w:val="1"/>
      <w:numFmt w:val="decimal"/>
      <w:pStyle w:val="109"/>
      <w:lvlText w:val="13.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1372391F"/>
    <w:multiLevelType w:val="multilevel"/>
    <w:tmpl w:val="1372391F"/>
    <w:lvl w:ilvl="0">
      <w:start w:val="1"/>
      <w:numFmt w:val="decimal"/>
      <w:pStyle w:val="86"/>
      <w:lvlText w:val="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13FD0736"/>
    <w:multiLevelType w:val="multilevel"/>
    <w:tmpl w:val="13FD0736"/>
    <w:lvl w:ilvl="0">
      <w:start w:val="1"/>
      <w:numFmt w:val="decimal"/>
      <w:pStyle w:val="105"/>
      <w:lvlText w:val="11.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14D56C76"/>
    <w:multiLevelType w:val="multilevel"/>
    <w:tmpl w:val="14D56C76"/>
    <w:lvl w:ilvl="0">
      <w:start w:val="1"/>
      <w:numFmt w:val="decimal"/>
      <w:pStyle w:val="a"/>
      <w:lvlText w:val="%1)"/>
      <w:lvlJc w:val="left"/>
      <w:pPr>
        <w:tabs>
          <w:tab w:val="left" w:pos="840"/>
        </w:tabs>
        <w:ind w:left="-60" w:firstLine="480"/>
      </w:pPr>
      <w:rPr>
        <w:rFonts w:hint="eastAsia"/>
      </w:rPr>
    </w:lvl>
    <w:lvl w:ilvl="1">
      <w:start w:val="1"/>
      <w:numFmt w:val="upperLetter"/>
      <w:lvlText w:val="%2．"/>
      <w:lvlJc w:val="left"/>
      <w:pPr>
        <w:tabs>
          <w:tab w:val="left" w:pos="840"/>
        </w:tabs>
        <w:ind w:left="840" w:hanging="4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15:restartNumberingAfterBreak="0">
    <w:nsid w:val="15D4290A"/>
    <w:multiLevelType w:val="multilevel"/>
    <w:tmpl w:val="15D4290A"/>
    <w:lvl w:ilvl="0">
      <w:start w:val="1"/>
      <w:numFmt w:val="decimal"/>
      <w:pStyle w:val="300"/>
      <w:lvlText w:val="4.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171404F5"/>
    <w:multiLevelType w:val="multilevel"/>
    <w:tmpl w:val="171404F5"/>
    <w:lvl w:ilvl="0">
      <w:start w:val="1"/>
      <w:numFmt w:val="decimal"/>
      <w:pStyle w:val="78"/>
      <w:lvlText w:val="3.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183F5C15"/>
    <w:multiLevelType w:val="multilevel"/>
    <w:tmpl w:val="183F5C15"/>
    <w:lvl w:ilvl="0">
      <w:start w:val="1"/>
      <w:numFmt w:val="decimal"/>
      <w:pStyle w:val="76"/>
      <w:lvlText w:val="3.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18731DDF"/>
    <w:multiLevelType w:val="multilevel"/>
    <w:tmpl w:val="18731DDF"/>
    <w:lvl w:ilvl="0">
      <w:start w:val="1"/>
      <w:numFmt w:val="decimal"/>
      <w:pStyle w:val="88"/>
      <w:lvlText w:val="5.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1A0737C0"/>
    <w:multiLevelType w:val="multilevel"/>
    <w:tmpl w:val="1A0737C0"/>
    <w:lvl w:ilvl="0">
      <w:start w:val="1"/>
      <w:numFmt w:val="decimal"/>
      <w:pStyle w:val="17"/>
      <w:lvlText w:val="10.1.%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9" w15:restartNumberingAfterBreak="0">
    <w:nsid w:val="1B0B2E69"/>
    <w:multiLevelType w:val="multilevel"/>
    <w:tmpl w:val="1B0B2E69"/>
    <w:lvl w:ilvl="0">
      <w:start w:val="1"/>
      <w:numFmt w:val="decimal"/>
      <w:pStyle w:val="36"/>
      <w:lvlText w:val="5.6.%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1C4D5E4A"/>
    <w:multiLevelType w:val="multilevel"/>
    <w:tmpl w:val="1C4D5E4A"/>
    <w:lvl w:ilvl="0">
      <w:start w:val="1"/>
      <w:numFmt w:val="decimal"/>
      <w:pStyle w:val="42"/>
      <w:lvlText w:val="6.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1C7C66B5"/>
    <w:multiLevelType w:val="multilevel"/>
    <w:tmpl w:val="1C7C66B5"/>
    <w:lvl w:ilvl="0">
      <w:start w:val="1"/>
      <w:numFmt w:val="decimal"/>
      <w:pStyle w:val="108"/>
      <w:lvlText w:val="1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1DF03496"/>
    <w:multiLevelType w:val="multilevel"/>
    <w:tmpl w:val="1DF03496"/>
    <w:lvl w:ilvl="0">
      <w:start w:val="1"/>
      <w:numFmt w:val="decimal"/>
      <w:pStyle w:val="1"/>
      <w:isLgl/>
      <w:suff w:val="space"/>
      <w:lvlText w:val="%1"/>
      <w:lvlJc w:val="left"/>
      <w:pPr>
        <w:ind w:left="0" w:firstLine="0"/>
      </w:pPr>
      <w:rPr>
        <w:rFonts w:ascii="Times New Roman" w:eastAsia="黑体" w:hAnsi="Times New Roman" w:hint="default"/>
        <w:b w:val="0"/>
        <w:i w:val="0"/>
        <w:sz w:val="32"/>
        <w:szCs w:val="32"/>
      </w:rPr>
    </w:lvl>
    <w:lvl w:ilvl="1">
      <w:start w:val="1"/>
      <w:numFmt w:val="decimal"/>
      <w:isLgl/>
      <w:suff w:val="space"/>
      <w:lvlText w:val="%1.%2"/>
      <w:lvlJc w:val="left"/>
      <w:pPr>
        <w:ind w:left="0" w:firstLine="0"/>
      </w:pPr>
      <w:rPr>
        <w:rFonts w:ascii="Times New Roman" w:eastAsia="黑体" w:hAnsi="Times New Roman" w:hint="default"/>
        <w:b w:val="0"/>
        <w:i w:val="0"/>
        <w:sz w:val="28"/>
        <w:szCs w:val="28"/>
      </w:rPr>
    </w:lvl>
    <w:lvl w:ilvl="2">
      <w:start w:val="1"/>
      <w:numFmt w:val="decimal"/>
      <w:isLgl/>
      <w:suff w:val="space"/>
      <w:lvlText w:val="%1.%2.%3"/>
      <w:lvlJc w:val="left"/>
      <w:pPr>
        <w:ind w:left="0" w:firstLine="0"/>
      </w:pPr>
      <w:rPr>
        <w:rFonts w:ascii="Times New Roman" w:eastAsia="黑体" w:hAnsi="Times New Roman" w:hint="default"/>
        <w:b w:val="0"/>
        <w:i w:val="0"/>
        <w:sz w:val="24"/>
        <w:szCs w:val="24"/>
      </w:rPr>
    </w:lvl>
    <w:lvl w:ilvl="3">
      <w:start w:val="1"/>
      <w:numFmt w:val="decimal"/>
      <w:isLgl/>
      <w:suff w:val="space"/>
      <w:lvlText w:val="%1.%2.%3.%4"/>
      <w:lvlJc w:val="left"/>
      <w:pPr>
        <w:ind w:left="0" w:firstLine="0"/>
      </w:pPr>
      <w:rPr>
        <w:rFonts w:ascii="Times New Roman" w:eastAsia="黑体" w:hAnsi="Times New Roman" w:hint="default"/>
        <w:b w:val="0"/>
        <w:i w:val="0"/>
        <w:sz w:val="24"/>
        <w:szCs w:val="24"/>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33" w15:restartNumberingAfterBreak="0">
    <w:nsid w:val="1FAD789E"/>
    <w:multiLevelType w:val="multilevel"/>
    <w:tmpl w:val="1FAD789E"/>
    <w:lvl w:ilvl="0">
      <w:start w:val="1"/>
      <w:numFmt w:val="decimal"/>
      <w:pStyle w:val="16"/>
      <w:lvlText w:val="10.%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1FD44048"/>
    <w:multiLevelType w:val="singleLevel"/>
    <w:tmpl w:val="1FD44048"/>
    <w:lvl w:ilvl="0">
      <w:start w:val="4"/>
      <w:numFmt w:val="decimal"/>
      <w:suff w:val="nothing"/>
      <w:lvlText w:val="（%1）"/>
      <w:lvlJc w:val="left"/>
    </w:lvl>
  </w:abstractNum>
  <w:abstractNum w:abstractNumId="35" w15:restartNumberingAfterBreak="0">
    <w:nsid w:val="20243E04"/>
    <w:multiLevelType w:val="multilevel"/>
    <w:tmpl w:val="20243E04"/>
    <w:lvl w:ilvl="0">
      <w:start w:val="1"/>
      <w:numFmt w:val="decimal"/>
      <w:pStyle w:val="91"/>
      <w:lvlText w:val="6.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206C1521"/>
    <w:multiLevelType w:val="multilevel"/>
    <w:tmpl w:val="206C1521"/>
    <w:lvl w:ilvl="0">
      <w:start w:val="1"/>
      <w:numFmt w:val="decimal"/>
      <w:pStyle w:val="96"/>
      <w:lvlText w:val="8.%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21394ABF"/>
    <w:multiLevelType w:val="multilevel"/>
    <w:tmpl w:val="21394ABF"/>
    <w:lvl w:ilvl="0">
      <w:start w:val="1"/>
      <w:numFmt w:val="decimal"/>
      <w:pStyle w:val="90"/>
      <w:lvlText w:val="6.%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21B0188A"/>
    <w:multiLevelType w:val="multilevel"/>
    <w:tmpl w:val="21B0188A"/>
    <w:lvl w:ilvl="0">
      <w:start w:val="1"/>
      <w:numFmt w:val="decimal"/>
      <w:pStyle w:val="8"/>
      <w:lvlText w:val="2.8.%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230A74BE"/>
    <w:multiLevelType w:val="multilevel"/>
    <w:tmpl w:val="230A74BE"/>
    <w:lvl w:ilvl="0">
      <w:start w:val="1"/>
      <w:numFmt w:val="decimal"/>
      <w:pStyle w:val="69"/>
      <w:lvlText w:val="1.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24760544"/>
    <w:multiLevelType w:val="multilevel"/>
    <w:tmpl w:val="24760544"/>
    <w:lvl w:ilvl="0">
      <w:start w:val="1"/>
      <w:numFmt w:val="decimal"/>
      <w:pStyle w:val="11"/>
      <w:lvlText w:val="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24FDC6FE"/>
    <w:multiLevelType w:val="singleLevel"/>
    <w:tmpl w:val="24FDC6FE"/>
    <w:lvl w:ilvl="0">
      <w:start w:val="1"/>
      <w:numFmt w:val="decimal"/>
      <w:suff w:val="nothing"/>
      <w:lvlText w:val="（%1）"/>
      <w:lvlJc w:val="left"/>
    </w:lvl>
  </w:abstractNum>
  <w:abstractNum w:abstractNumId="42" w15:restartNumberingAfterBreak="0">
    <w:nsid w:val="270B7F63"/>
    <w:multiLevelType w:val="multilevel"/>
    <w:tmpl w:val="270B7F63"/>
    <w:lvl w:ilvl="0">
      <w:start w:val="1"/>
      <w:numFmt w:val="decimal"/>
      <w:pStyle w:val="84"/>
      <w:lvlText w:val="4.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289E60D2"/>
    <w:multiLevelType w:val="multilevel"/>
    <w:tmpl w:val="289E60D2"/>
    <w:lvl w:ilvl="0">
      <w:start w:val="1"/>
      <w:numFmt w:val="decimal"/>
      <w:pStyle w:val="43"/>
      <w:lvlText w:val="6.6.%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29781A33"/>
    <w:multiLevelType w:val="multilevel"/>
    <w:tmpl w:val="29781A33"/>
    <w:lvl w:ilvl="0">
      <w:start w:val="1"/>
      <w:numFmt w:val="decimal"/>
      <w:pStyle w:val="107"/>
      <w:lvlText w:val="12.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2B4F4098"/>
    <w:multiLevelType w:val="multilevel"/>
    <w:tmpl w:val="2B4F4098"/>
    <w:lvl w:ilvl="0">
      <w:start w:val="1"/>
      <w:numFmt w:val="decimal"/>
      <w:pStyle w:val="55"/>
      <w:lvlText w:val="13.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2BF22E87"/>
    <w:multiLevelType w:val="multilevel"/>
    <w:tmpl w:val="2BF22E87"/>
    <w:lvl w:ilvl="0">
      <w:start w:val="1"/>
      <w:numFmt w:val="decimal"/>
      <w:pStyle w:val="66"/>
      <w:lvlText w:val="1.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2C01590A"/>
    <w:multiLevelType w:val="multilevel"/>
    <w:tmpl w:val="2C01590A"/>
    <w:lvl w:ilvl="0">
      <w:start w:val="1"/>
      <w:numFmt w:val="decimal"/>
      <w:pStyle w:val="51"/>
      <w:lvlText w:val="9.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2D0C70C1"/>
    <w:multiLevelType w:val="multilevel"/>
    <w:tmpl w:val="2D0C70C1"/>
    <w:lvl w:ilvl="0">
      <w:start w:val="1"/>
      <w:numFmt w:val="decimal"/>
      <w:pStyle w:val="14"/>
      <w:lvlText w:val="4.%1"/>
      <w:lvlJc w:val="left"/>
      <w:pPr>
        <w:ind w:left="420" w:hanging="420"/>
      </w:pPr>
      <w:rPr>
        <w:rFonts w:hint="eastAsia"/>
      </w:rPr>
    </w:lvl>
    <w:lvl w:ilvl="1">
      <w:start w:val="8"/>
      <w:numFmt w:val="japaneseCounting"/>
      <w:lvlText w:val="第%2章"/>
      <w:lvlJc w:val="left"/>
      <w:pPr>
        <w:tabs>
          <w:tab w:val="left" w:pos="1860"/>
        </w:tabs>
        <w:ind w:left="1860" w:hanging="144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2DE44728"/>
    <w:multiLevelType w:val="multilevel"/>
    <w:tmpl w:val="2DE44728"/>
    <w:lvl w:ilvl="0">
      <w:start w:val="1"/>
      <w:numFmt w:val="decimal"/>
      <w:pStyle w:val="57"/>
      <w:lvlText w:val="14.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2E1A5AB3"/>
    <w:multiLevelType w:val="multilevel"/>
    <w:tmpl w:val="2E1A5AB3"/>
    <w:lvl w:ilvl="0">
      <w:start w:val="1"/>
      <w:numFmt w:val="decimal"/>
      <w:pStyle w:val="13"/>
      <w:lvlText w:val="3.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2E58153A"/>
    <w:multiLevelType w:val="multilevel"/>
    <w:tmpl w:val="2E58153A"/>
    <w:lvl w:ilvl="0">
      <w:start w:val="1"/>
      <w:numFmt w:val="decimal"/>
      <w:pStyle w:val="82"/>
      <w:lvlText w:val="4.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31262F52"/>
    <w:multiLevelType w:val="multilevel"/>
    <w:tmpl w:val="31262F52"/>
    <w:lvl w:ilvl="0">
      <w:start w:val="1"/>
      <w:numFmt w:val="decimal"/>
      <w:pStyle w:val="19"/>
      <w:lvlText w:val="10.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316E0D1B"/>
    <w:multiLevelType w:val="multilevel"/>
    <w:tmpl w:val="316E0D1B"/>
    <w:lvl w:ilvl="0">
      <w:start w:val="1"/>
      <w:numFmt w:val="decimal"/>
      <w:pStyle w:val="400"/>
      <w:lvlText w:val="6.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326747FA"/>
    <w:multiLevelType w:val="multilevel"/>
    <w:tmpl w:val="326747FA"/>
    <w:lvl w:ilvl="0">
      <w:start w:val="1"/>
      <w:numFmt w:val="decimal"/>
      <w:pStyle w:val="99"/>
      <w:lvlText w:val="9.%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3280164E"/>
    <w:multiLevelType w:val="multilevel"/>
    <w:tmpl w:val="3280164E"/>
    <w:lvl w:ilvl="0">
      <w:start w:val="1"/>
      <w:numFmt w:val="decimal"/>
      <w:pStyle w:val="93"/>
      <w:lvlText w:val="7.%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341A023D"/>
    <w:multiLevelType w:val="multilevel"/>
    <w:tmpl w:val="341A023D"/>
    <w:lvl w:ilvl="0">
      <w:start w:val="1"/>
      <w:numFmt w:val="decimal"/>
      <w:pStyle w:val="31"/>
      <w:lvlText w:val="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346A0F6E"/>
    <w:multiLevelType w:val="multilevel"/>
    <w:tmpl w:val="346A0F6E"/>
    <w:lvl w:ilvl="0">
      <w:start w:val="1"/>
      <w:numFmt w:val="decimal"/>
      <w:pStyle w:val="47"/>
      <w:lvlText w:val="7.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348C15B7"/>
    <w:multiLevelType w:val="multilevel"/>
    <w:tmpl w:val="348C15B7"/>
    <w:lvl w:ilvl="0">
      <w:start w:val="1"/>
      <w:numFmt w:val="decimal"/>
      <w:pStyle w:val="44"/>
      <w:lvlText w:val="6.8.%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34F25D7B"/>
    <w:multiLevelType w:val="multilevel"/>
    <w:tmpl w:val="34F25D7B"/>
    <w:lvl w:ilvl="0">
      <w:start w:val="1"/>
      <w:numFmt w:val="decimal"/>
      <w:pStyle w:val="58"/>
      <w:lvlText w:val="14.10.%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352C22B2"/>
    <w:multiLevelType w:val="multilevel"/>
    <w:tmpl w:val="352C22B2"/>
    <w:lvl w:ilvl="0">
      <w:start w:val="1"/>
      <w:numFmt w:val="decimal"/>
      <w:pStyle w:val="23"/>
      <w:lvlText w:val="1.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35320E79"/>
    <w:multiLevelType w:val="multilevel"/>
    <w:tmpl w:val="35320E79"/>
    <w:lvl w:ilvl="0">
      <w:start w:val="1"/>
      <w:numFmt w:val="decimal"/>
      <w:pStyle w:val="85"/>
      <w:lvlText w:val="4.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354C66B7"/>
    <w:multiLevelType w:val="multilevel"/>
    <w:tmpl w:val="354C66B7"/>
    <w:lvl w:ilvl="0">
      <w:start w:val="1"/>
      <w:numFmt w:val="decimal"/>
      <w:pStyle w:val="110"/>
      <w:lvlText w:val="3.2.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36D710F7"/>
    <w:multiLevelType w:val="multilevel"/>
    <w:tmpl w:val="36D710F7"/>
    <w:lvl w:ilvl="0">
      <w:start w:val="1"/>
      <w:numFmt w:val="decimal"/>
      <w:pStyle w:val="18"/>
      <w:lvlText w:val="10.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37DB1A41"/>
    <w:multiLevelType w:val="multilevel"/>
    <w:tmpl w:val="37DB1A41"/>
    <w:lvl w:ilvl="0">
      <w:start w:val="1"/>
      <w:numFmt w:val="decimal"/>
      <w:pStyle w:val="64"/>
      <w:lvlText w:val="1.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37F15829"/>
    <w:multiLevelType w:val="multilevel"/>
    <w:tmpl w:val="37F15829"/>
    <w:lvl w:ilvl="0">
      <w:start w:val="1"/>
      <w:numFmt w:val="decimal"/>
      <w:pStyle w:val="28"/>
      <w:lvlText w:val="3.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389C7F01"/>
    <w:multiLevelType w:val="multilevel"/>
    <w:tmpl w:val="389C7F01"/>
    <w:lvl w:ilvl="0">
      <w:start w:val="1"/>
      <w:numFmt w:val="decimal"/>
      <w:pStyle w:val="62"/>
      <w:lvlText w:val="1.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15:restartNumberingAfterBreak="0">
    <w:nsid w:val="39D84DC6"/>
    <w:multiLevelType w:val="multilevel"/>
    <w:tmpl w:val="39D84DC6"/>
    <w:lvl w:ilvl="0">
      <w:start w:val="1"/>
      <w:numFmt w:val="decimal"/>
      <w:pStyle w:val="35"/>
      <w:lvlText w:val="5.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3BC77D00"/>
    <w:multiLevelType w:val="multilevel"/>
    <w:tmpl w:val="3BC77D00"/>
    <w:lvl w:ilvl="0">
      <w:start w:val="1"/>
      <w:numFmt w:val="decimal"/>
      <w:pStyle w:val="9"/>
      <w:lvlText w:val="2.8.%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9" w15:restartNumberingAfterBreak="0">
    <w:nsid w:val="3D680DCE"/>
    <w:multiLevelType w:val="multilevel"/>
    <w:tmpl w:val="3D680DCE"/>
    <w:lvl w:ilvl="0">
      <w:start w:val="1"/>
      <w:numFmt w:val="decimal"/>
      <w:pStyle w:val="92"/>
      <w:lvlText w:val="8.%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0" w15:restartNumberingAfterBreak="0">
    <w:nsid w:val="3D8150AD"/>
    <w:multiLevelType w:val="multilevel"/>
    <w:tmpl w:val="3D8150AD"/>
    <w:lvl w:ilvl="0">
      <w:start w:val="1"/>
      <w:numFmt w:val="decimal"/>
      <w:pStyle w:val="59"/>
      <w:lvlText w:val="第%1章"/>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3E34BB60"/>
    <w:multiLevelType w:val="singleLevel"/>
    <w:tmpl w:val="3E34BB60"/>
    <w:lvl w:ilvl="0">
      <w:start w:val="1"/>
      <w:numFmt w:val="decimal"/>
      <w:suff w:val="nothing"/>
      <w:lvlText w:val="（%1）"/>
      <w:lvlJc w:val="left"/>
    </w:lvl>
  </w:abstractNum>
  <w:abstractNum w:abstractNumId="72" w15:restartNumberingAfterBreak="0">
    <w:nsid w:val="401C3C1C"/>
    <w:multiLevelType w:val="multilevel"/>
    <w:tmpl w:val="401C3C1C"/>
    <w:lvl w:ilvl="0">
      <w:start w:val="1"/>
      <w:numFmt w:val="decimal"/>
      <w:pStyle w:val="a0"/>
      <w:lvlText w:val="%1)"/>
      <w:lvlJc w:val="left"/>
      <w:pPr>
        <w:tabs>
          <w:tab w:val="left" w:pos="1021"/>
        </w:tabs>
        <w:ind w:left="0" w:firstLine="482"/>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3" w15:restartNumberingAfterBreak="0">
    <w:nsid w:val="437A55B4"/>
    <w:multiLevelType w:val="multilevel"/>
    <w:tmpl w:val="437A55B4"/>
    <w:lvl w:ilvl="0">
      <w:start w:val="1"/>
      <w:numFmt w:val="decimal"/>
      <w:pStyle w:val="75"/>
      <w:lvlText w:val="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4" w15:restartNumberingAfterBreak="0">
    <w:nsid w:val="450A5E48"/>
    <w:multiLevelType w:val="multilevel"/>
    <w:tmpl w:val="450A5E48"/>
    <w:lvl w:ilvl="0">
      <w:start w:val="1"/>
      <w:numFmt w:val="decimal"/>
      <w:pStyle w:val="72"/>
      <w:lvlText w:val="1.6.%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450D4B6D"/>
    <w:multiLevelType w:val="multilevel"/>
    <w:tmpl w:val="450D4B6D"/>
    <w:lvl w:ilvl="0">
      <w:start w:val="1"/>
      <w:numFmt w:val="decimal"/>
      <w:pStyle w:val="41"/>
      <w:lvlText w:val="6.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45963D3F"/>
    <w:multiLevelType w:val="multilevel"/>
    <w:tmpl w:val="45963D3F"/>
    <w:lvl w:ilvl="0">
      <w:start w:val="1"/>
      <w:numFmt w:val="decimal"/>
      <w:pStyle w:val="48"/>
      <w:lvlText w:val="7.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7" w15:restartNumberingAfterBreak="0">
    <w:nsid w:val="49662681"/>
    <w:multiLevelType w:val="singleLevel"/>
    <w:tmpl w:val="49662681"/>
    <w:lvl w:ilvl="0">
      <w:start w:val="1"/>
      <w:numFmt w:val="decimal"/>
      <w:suff w:val="nothing"/>
      <w:lvlText w:val="（%1）"/>
      <w:lvlJc w:val="left"/>
    </w:lvl>
  </w:abstractNum>
  <w:abstractNum w:abstractNumId="78" w15:restartNumberingAfterBreak="0">
    <w:nsid w:val="4AA5580E"/>
    <w:multiLevelType w:val="multilevel"/>
    <w:tmpl w:val="4AA5580E"/>
    <w:lvl w:ilvl="0">
      <w:start w:val="1"/>
      <w:numFmt w:val="decimal"/>
      <w:pStyle w:val="10"/>
      <w:lvlText w:val="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9" w15:restartNumberingAfterBreak="0">
    <w:nsid w:val="4AB24EF6"/>
    <w:multiLevelType w:val="multilevel"/>
    <w:tmpl w:val="4AB24EF6"/>
    <w:lvl w:ilvl="0">
      <w:start w:val="1"/>
      <w:numFmt w:val="decimal"/>
      <w:pStyle w:val="20"/>
      <w:lvlText w:val="16.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0" w15:restartNumberingAfterBreak="0">
    <w:nsid w:val="4DC25E71"/>
    <w:multiLevelType w:val="multilevel"/>
    <w:tmpl w:val="4DC25E71"/>
    <w:lvl w:ilvl="0">
      <w:start w:val="1"/>
      <w:numFmt w:val="decimal"/>
      <w:pStyle w:val="101"/>
      <w:lvlText w:val="10.%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1" w15:restartNumberingAfterBreak="0">
    <w:nsid w:val="4EDB6711"/>
    <w:multiLevelType w:val="multilevel"/>
    <w:tmpl w:val="4EDB6711"/>
    <w:lvl w:ilvl="0">
      <w:start w:val="1"/>
      <w:numFmt w:val="decimal"/>
      <w:pStyle w:val="104"/>
      <w:lvlText w:val="11.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2" w15:restartNumberingAfterBreak="0">
    <w:nsid w:val="4F583312"/>
    <w:multiLevelType w:val="multilevel"/>
    <w:tmpl w:val="4F583312"/>
    <w:lvl w:ilvl="0">
      <w:start w:val="1"/>
      <w:numFmt w:val="decimal"/>
      <w:pStyle w:val="310"/>
      <w:lvlText w:val="1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3" w15:restartNumberingAfterBreak="0">
    <w:nsid w:val="505F0F27"/>
    <w:multiLevelType w:val="multilevel"/>
    <w:tmpl w:val="505F0F27"/>
    <w:lvl w:ilvl="0">
      <w:start w:val="1"/>
      <w:numFmt w:val="decimal"/>
      <w:pStyle w:val="52"/>
      <w:lvlText w:val="10.%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4" w15:restartNumberingAfterBreak="0">
    <w:nsid w:val="51737858"/>
    <w:multiLevelType w:val="multilevel"/>
    <w:tmpl w:val="51737858"/>
    <w:lvl w:ilvl="0">
      <w:start w:val="1"/>
      <w:numFmt w:val="decimal"/>
      <w:pStyle w:val="81"/>
      <w:lvlText w:val="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15:restartNumberingAfterBreak="0">
    <w:nsid w:val="51D108DE"/>
    <w:multiLevelType w:val="multilevel"/>
    <w:tmpl w:val="51D108DE"/>
    <w:lvl w:ilvl="0">
      <w:start w:val="1"/>
      <w:numFmt w:val="decimal"/>
      <w:pStyle w:val="54"/>
      <w:lvlText w:val="1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6" w15:restartNumberingAfterBreak="0">
    <w:nsid w:val="55015168"/>
    <w:multiLevelType w:val="multilevel"/>
    <w:tmpl w:val="55015168"/>
    <w:lvl w:ilvl="0">
      <w:start w:val="1"/>
      <w:numFmt w:val="decimal"/>
      <w:pStyle w:val="65"/>
      <w:lvlText w:val="1.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7" w15:restartNumberingAfterBreak="0">
    <w:nsid w:val="55962AB7"/>
    <w:multiLevelType w:val="multilevel"/>
    <w:tmpl w:val="55962AB7"/>
    <w:lvl w:ilvl="0">
      <w:start w:val="1"/>
      <w:numFmt w:val="decimal"/>
      <w:pStyle w:val="34"/>
      <w:lvlText w:val="5.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8" w15:restartNumberingAfterBreak="0">
    <w:nsid w:val="573C6215"/>
    <w:multiLevelType w:val="multilevel"/>
    <w:tmpl w:val="573C6215"/>
    <w:lvl w:ilvl="0">
      <w:start w:val="1"/>
      <w:numFmt w:val="decimal"/>
      <w:pStyle w:val="45"/>
      <w:lvlText w:val="%1"/>
      <w:lvlJc w:val="left"/>
      <w:pPr>
        <w:tabs>
          <w:tab w:val="left" w:pos="425"/>
        </w:tabs>
        <w:ind w:left="425" w:hanging="425"/>
      </w:pPr>
    </w:lvl>
    <w:lvl w:ilvl="1">
      <w:start w:val="1"/>
      <w:numFmt w:val="decimal"/>
      <w:lvlText w:val="%1.%2"/>
      <w:lvlJc w:val="left"/>
      <w:pPr>
        <w:tabs>
          <w:tab w:val="left" w:pos="992"/>
        </w:tabs>
        <w:ind w:left="992" w:hanging="567"/>
      </w:pPr>
    </w:lvl>
    <w:lvl w:ilvl="2">
      <w:start w:val="1"/>
      <w:numFmt w:val="decimal"/>
      <w:pStyle w:val="33"/>
      <w:lvlText w:val="%1.%2.%3"/>
      <w:lvlJc w:val="left"/>
      <w:pPr>
        <w:tabs>
          <w:tab w:val="left" w:pos="1571"/>
        </w:tabs>
        <w:ind w:left="1418" w:hanging="567"/>
      </w:pPr>
    </w:lvl>
    <w:lvl w:ilvl="3">
      <w:start w:val="1"/>
      <w:numFmt w:val="decimal"/>
      <w:lvlText w:val="%1.%2.%3.%4"/>
      <w:lvlJc w:val="left"/>
      <w:pPr>
        <w:tabs>
          <w:tab w:val="left" w:pos="2356"/>
        </w:tabs>
        <w:ind w:left="1984" w:hanging="708"/>
      </w:pPr>
    </w:lvl>
    <w:lvl w:ilvl="4">
      <w:start w:val="1"/>
      <w:numFmt w:val="decimal"/>
      <w:lvlText w:val="%1.%2.%3.%4.%5"/>
      <w:lvlJc w:val="left"/>
      <w:pPr>
        <w:tabs>
          <w:tab w:val="left" w:pos="3141"/>
        </w:tabs>
        <w:ind w:left="2551" w:hanging="850"/>
      </w:pPr>
    </w:lvl>
    <w:lvl w:ilvl="5">
      <w:start w:val="1"/>
      <w:numFmt w:val="decimal"/>
      <w:lvlText w:val="%1.%2.%3.%4.%5.%6"/>
      <w:lvlJc w:val="left"/>
      <w:pPr>
        <w:tabs>
          <w:tab w:val="left" w:pos="3566"/>
        </w:tabs>
        <w:ind w:left="3260" w:hanging="1134"/>
      </w:pPr>
    </w:lvl>
    <w:lvl w:ilvl="6">
      <w:start w:val="1"/>
      <w:numFmt w:val="decimal"/>
      <w:lvlText w:val="%1.%2.%3.%4.%5.%6.%7"/>
      <w:lvlJc w:val="left"/>
      <w:pPr>
        <w:tabs>
          <w:tab w:val="left" w:pos="4351"/>
        </w:tabs>
        <w:ind w:left="3827" w:hanging="1276"/>
      </w:pPr>
    </w:lvl>
    <w:lvl w:ilvl="7">
      <w:start w:val="1"/>
      <w:numFmt w:val="decimal"/>
      <w:lvlText w:val="%1.%2.%3.%4.%5.%6.%7.%8"/>
      <w:lvlJc w:val="left"/>
      <w:pPr>
        <w:tabs>
          <w:tab w:val="left" w:pos="5136"/>
        </w:tabs>
        <w:ind w:left="4394" w:hanging="1418"/>
      </w:pPr>
    </w:lvl>
    <w:lvl w:ilvl="8">
      <w:start w:val="1"/>
      <w:numFmt w:val="decimal"/>
      <w:lvlText w:val="%1.%2.%3.%4.%5.%6.%7.%8.%9"/>
      <w:lvlJc w:val="left"/>
      <w:pPr>
        <w:tabs>
          <w:tab w:val="left" w:pos="5562"/>
        </w:tabs>
        <w:ind w:left="5102" w:hanging="1700"/>
      </w:pPr>
    </w:lvl>
  </w:abstractNum>
  <w:abstractNum w:abstractNumId="89" w15:restartNumberingAfterBreak="0">
    <w:nsid w:val="57AD5B81"/>
    <w:multiLevelType w:val="multilevel"/>
    <w:tmpl w:val="57AD5B81"/>
    <w:lvl w:ilvl="0">
      <w:start w:val="1"/>
      <w:numFmt w:val="decimal"/>
      <w:pStyle w:val="27"/>
      <w:lvlText w:val="2.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0" w15:restartNumberingAfterBreak="0">
    <w:nsid w:val="5AC45BB0"/>
    <w:multiLevelType w:val="multilevel"/>
    <w:tmpl w:val="5AC45BB0"/>
    <w:lvl w:ilvl="0">
      <w:start w:val="1"/>
      <w:numFmt w:val="decimal"/>
      <w:pStyle w:val="94"/>
      <w:lvlText w:val="7.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1" w15:restartNumberingAfterBreak="0">
    <w:nsid w:val="5D0605C8"/>
    <w:multiLevelType w:val="multilevel"/>
    <w:tmpl w:val="5D0605C8"/>
    <w:lvl w:ilvl="0">
      <w:start w:val="1"/>
      <w:numFmt w:val="decimal"/>
      <w:pStyle w:val="106"/>
      <w:lvlText w:val="1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2" w15:restartNumberingAfterBreak="0">
    <w:nsid w:val="5D6B2D3A"/>
    <w:multiLevelType w:val="multilevel"/>
    <w:tmpl w:val="5D6B2D3A"/>
    <w:lvl w:ilvl="0">
      <w:start w:val="1"/>
      <w:numFmt w:val="decimal"/>
      <w:pStyle w:val="95"/>
      <w:lvlText w:val="7.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3" w15:restartNumberingAfterBreak="0">
    <w:nsid w:val="5EE1357A"/>
    <w:multiLevelType w:val="multilevel"/>
    <w:tmpl w:val="5EE1357A"/>
    <w:lvl w:ilvl="0">
      <w:start w:val="1"/>
      <w:numFmt w:val="decimal"/>
      <w:pStyle w:val="83"/>
      <w:lvlText w:val="4.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4" w15:restartNumberingAfterBreak="0">
    <w:nsid w:val="634D4A46"/>
    <w:multiLevelType w:val="multilevel"/>
    <w:tmpl w:val="634D4A46"/>
    <w:lvl w:ilvl="0">
      <w:start w:val="1"/>
      <w:numFmt w:val="decimal"/>
      <w:pStyle w:val="79"/>
      <w:lvlText w:val="3.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5" w15:restartNumberingAfterBreak="0">
    <w:nsid w:val="639B6ECC"/>
    <w:multiLevelType w:val="multilevel"/>
    <w:tmpl w:val="639B6ECC"/>
    <w:lvl w:ilvl="0">
      <w:start w:val="1"/>
      <w:numFmt w:val="decimal"/>
      <w:pStyle w:val="7"/>
      <w:lvlText w:val="2.6.%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6" w15:restartNumberingAfterBreak="0">
    <w:nsid w:val="66330335"/>
    <w:multiLevelType w:val="multilevel"/>
    <w:tmpl w:val="66330335"/>
    <w:lvl w:ilvl="0">
      <w:start w:val="1"/>
      <w:numFmt w:val="decimal"/>
      <w:pStyle w:val="37"/>
      <w:lvlText w:val="6.%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7" w15:restartNumberingAfterBreak="0">
    <w:nsid w:val="66B56975"/>
    <w:multiLevelType w:val="multilevel"/>
    <w:tmpl w:val="66B56975"/>
    <w:lvl w:ilvl="0">
      <w:start w:val="1"/>
      <w:numFmt w:val="decimal"/>
      <w:pStyle w:val="70"/>
      <w:lvlText w:val="1.6.%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8" w15:restartNumberingAfterBreak="0">
    <w:nsid w:val="67894FF3"/>
    <w:multiLevelType w:val="multilevel"/>
    <w:tmpl w:val="67894FF3"/>
    <w:lvl w:ilvl="0">
      <w:start w:val="1"/>
      <w:numFmt w:val="decimal"/>
      <w:pStyle w:val="71"/>
      <w:lvlText w:val="1.6.%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9" w15:restartNumberingAfterBreak="0">
    <w:nsid w:val="68DD21A8"/>
    <w:multiLevelType w:val="multilevel"/>
    <w:tmpl w:val="68DD21A8"/>
    <w:lvl w:ilvl="0">
      <w:start w:val="1"/>
      <w:numFmt w:val="decimal"/>
      <w:pStyle w:val="39"/>
      <w:lvlText w:val="6.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0" w15:restartNumberingAfterBreak="0">
    <w:nsid w:val="6A1D277F"/>
    <w:multiLevelType w:val="multilevel"/>
    <w:tmpl w:val="6A1D277F"/>
    <w:lvl w:ilvl="0">
      <w:start w:val="1"/>
      <w:numFmt w:val="decimal"/>
      <w:pStyle w:val="74"/>
      <w:lvlText w:val="2.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1" w15:restartNumberingAfterBreak="0">
    <w:nsid w:val="6BC83161"/>
    <w:multiLevelType w:val="multilevel"/>
    <w:tmpl w:val="6BC83161"/>
    <w:lvl w:ilvl="0">
      <w:start w:val="1"/>
      <w:numFmt w:val="decimal"/>
      <w:pStyle w:val="330"/>
      <w:lvlText w:val="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2" w15:restartNumberingAfterBreak="0">
    <w:nsid w:val="6C1B0B29"/>
    <w:multiLevelType w:val="multilevel"/>
    <w:tmpl w:val="6C1B0B29"/>
    <w:lvl w:ilvl="0">
      <w:start w:val="1"/>
      <w:numFmt w:val="decimal"/>
      <w:pStyle w:val="73"/>
      <w:lvlText w:val="2.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3" w15:restartNumberingAfterBreak="0">
    <w:nsid w:val="6F8E7232"/>
    <w:multiLevelType w:val="multilevel"/>
    <w:tmpl w:val="6F8E7232"/>
    <w:lvl w:ilvl="0">
      <w:start w:val="1"/>
      <w:numFmt w:val="decimal"/>
      <w:pStyle w:val="09"/>
      <w:lvlText w:val="表%1、"/>
      <w:lvlJc w:val="left"/>
      <w:pPr>
        <w:tabs>
          <w:tab w:val="left" w:pos="720"/>
        </w:tabs>
        <w:ind w:left="-32767" w:firstLine="32767"/>
      </w:pPr>
      <w:rPr>
        <w:rFonts w:eastAsia="幼圆" w:hint="eastAsia"/>
        <w:b w:val="0"/>
        <w:i w:val="0"/>
        <w:sz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4" w15:restartNumberingAfterBreak="0">
    <w:nsid w:val="70C7607B"/>
    <w:multiLevelType w:val="multilevel"/>
    <w:tmpl w:val="70C7607B"/>
    <w:lvl w:ilvl="0">
      <w:start w:val="1"/>
      <w:numFmt w:val="decimal"/>
      <w:pStyle w:val="46"/>
      <w:lvlText w:val="7.%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5" w15:restartNumberingAfterBreak="0">
    <w:nsid w:val="724E6AC0"/>
    <w:multiLevelType w:val="multilevel"/>
    <w:tmpl w:val="724E6AC0"/>
    <w:lvl w:ilvl="0">
      <w:start w:val="1"/>
      <w:numFmt w:val="decimal"/>
      <w:pStyle w:val="98"/>
      <w:lvlText w:val="8.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6" w15:restartNumberingAfterBreak="0">
    <w:nsid w:val="72FC75C0"/>
    <w:multiLevelType w:val="multilevel"/>
    <w:tmpl w:val="72FC75C0"/>
    <w:lvl w:ilvl="0">
      <w:start w:val="1"/>
      <w:numFmt w:val="decimal"/>
      <w:pStyle w:val="450"/>
      <w:lvlText w:val="6.10.%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7" w15:restartNumberingAfterBreak="0">
    <w:nsid w:val="73E90630"/>
    <w:multiLevelType w:val="multilevel"/>
    <w:tmpl w:val="73E90630"/>
    <w:lvl w:ilvl="0">
      <w:start w:val="1"/>
      <w:numFmt w:val="decimal"/>
      <w:pStyle w:val="22"/>
      <w:lvlText w:val="1.5.%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8" w15:restartNumberingAfterBreak="0">
    <w:nsid w:val="75A76BF1"/>
    <w:multiLevelType w:val="multilevel"/>
    <w:tmpl w:val="75A76BF1"/>
    <w:lvl w:ilvl="0">
      <w:start w:val="1"/>
      <w:numFmt w:val="decimal"/>
      <w:pStyle w:val="56"/>
      <w:lvlText w:val="1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9" w15:restartNumberingAfterBreak="0">
    <w:nsid w:val="75CC63CB"/>
    <w:multiLevelType w:val="multilevel"/>
    <w:tmpl w:val="75CC63CB"/>
    <w:lvl w:ilvl="0">
      <w:start w:val="1"/>
      <w:numFmt w:val="decimal"/>
      <w:pStyle w:val="102"/>
      <w:lvlText w:val="10.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0" w15:restartNumberingAfterBreak="0">
    <w:nsid w:val="77EF6A85"/>
    <w:multiLevelType w:val="multilevel"/>
    <w:tmpl w:val="77EF6A85"/>
    <w:lvl w:ilvl="0">
      <w:start w:val="1"/>
      <w:numFmt w:val="decimal"/>
      <w:pStyle w:val="6"/>
      <w:lvlText w:val="2.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1" w15:restartNumberingAfterBreak="0">
    <w:nsid w:val="781A49CE"/>
    <w:multiLevelType w:val="multilevel"/>
    <w:tmpl w:val="781A49CE"/>
    <w:lvl w:ilvl="0">
      <w:start w:val="1"/>
      <w:numFmt w:val="decimal"/>
      <w:pStyle w:val="25"/>
      <w:lvlText w:val="2.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2" w15:restartNumberingAfterBreak="0">
    <w:nsid w:val="793711F2"/>
    <w:multiLevelType w:val="multilevel"/>
    <w:tmpl w:val="793711F2"/>
    <w:lvl w:ilvl="0">
      <w:start w:val="1"/>
      <w:numFmt w:val="decimal"/>
      <w:pStyle w:val="80"/>
      <w:lvlText w:val="3.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3" w15:restartNumberingAfterBreak="0">
    <w:nsid w:val="79F874B2"/>
    <w:multiLevelType w:val="multilevel"/>
    <w:tmpl w:val="79F874B2"/>
    <w:lvl w:ilvl="0">
      <w:start w:val="1"/>
      <w:numFmt w:val="decimal"/>
      <w:pStyle w:val="103"/>
      <w:lvlText w:val="1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4" w15:restartNumberingAfterBreak="0">
    <w:nsid w:val="7A514A64"/>
    <w:multiLevelType w:val="multilevel"/>
    <w:tmpl w:val="7A514A64"/>
    <w:lvl w:ilvl="0">
      <w:start w:val="1"/>
      <w:numFmt w:val="decimal"/>
      <w:pStyle w:val="29"/>
      <w:lvlText w:val="4.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5" w15:restartNumberingAfterBreak="0">
    <w:nsid w:val="7B73411B"/>
    <w:multiLevelType w:val="multilevel"/>
    <w:tmpl w:val="7B73411B"/>
    <w:lvl w:ilvl="0">
      <w:start w:val="1"/>
      <w:numFmt w:val="decimal"/>
      <w:pStyle w:val="87"/>
      <w:lvlText w:val="5.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6" w15:restartNumberingAfterBreak="0">
    <w:nsid w:val="7BE001B7"/>
    <w:multiLevelType w:val="multilevel"/>
    <w:tmpl w:val="7BE001B7"/>
    <w:lvl w:ilvl="0">
      <w:start w:val="1"/>
      <w:numFmt w:val="decimal"/>
      <w:pStyle w:val="49"/>
      <w:lvlText w:val="8.%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7" w15:restartNumberingAfterBreak="0">
    <w:nsid w:val="7C313A52"/>
    <w:multiLevelType w:val="multilevel"/>
    <w:tmpl w:val="7C313A52"/>
    <w:lvl w:ilvl="0">
      <w:start w:val="1"/>
      <w:numFmt w:val="decimal"/>
      <w:pStyle w:val="26"/>
      <w:lvlText w:val="2.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8" w15:restartNumberingAfterBreak="0">
    <w:nsid w:val="7C3C6930"/>
    <w:multiLevelType w:val="multilevel"/>
    <w:tmpl w:val="7C3C6930"/>
    <w:lvl w:ilvl="0">
      <w:start w:val="1"/>
      <w:numFmt w:val="decimal"/>
      <w:pStyle w:val="77"/>
      <w:lvlText w:val="3.2.%1"/>
      <w:lvlJc w:val="left"/>
      <w:pPr>
        <w:ind w:left="960" w:hanging="420"/>
      </w:pPr>
      <w:rPr>
        <w:rFonts w:hint="eastAsia"/>
      </w:rPr>
    </w:lvl>
    <w:lvl w:ilvl="1">
      <w:start w:val="1"/>
      <w:numFmt w:val="lowerLetter"/>
      <w:lvlText w:val="%2)"/>
      <w:lvlJc w:val="left"/>
      <w:pPr>
        <w:ind w:left="1380" w:hanging="420"/>
      </w:pPr>
    </w:lvl>
    <w:lvl w:ilvl="2">
      <w:start w:val="1"/>
      <w:numFmt w:val="lowerRoman"/>
      <w:lvlText w:val="%3."/>
      <w:lvlJc w:val="right"/>
      <w:pPr>
        <w:ind w:left="1800" w:hanging="420"/>
      </w:pPr>
    </w:lvl>
    <w:lvl w:ilvl="3">
      <w:start w:val="1"/>
      <w:numFmt w:val="decimal"/>
      <w:lvlText w:val="%4."/>
      <w:lvlJc w:val="left"/>
      <w:pPr>
        <w:ind w:left="2220" w:hanging="420"/>
      </w:pPr>
    </w:lvl>
    <w:lvl w:ilvl="4">
      <w:start w:val="1"/>
      <w:numFmt w:val="lowerLetter"/>
      <w:lvlText w:val="%5)"/>
      <w:lvlJc w:val="left"/>
      <w:pPr>
        <w:ind w:left="2640" w:hanging="420"/>
      </w:pPr>
    </w:lvl>
    <w:lvl w:ilvl="5">
      <w:start w:val="1"/>
      <w:numFmt w:val="lowerRoman"/>
      <w:lvlText w:val="%6."/>
      <w:lvlJc w:val="right"/>
      <w:pPr>
        <w:ind w:left="3060" w:hanging="420"/>
      </w:pPr>
    </w:lvl>
    <w:lvl w:ilvl="6">
      <w:start w:val="1"/>
      <w:numFmt w:val="decimal"/>
      <w:lvlText w:val="%7."/>
      <w:lvlJc w:val="left"/>
      <w:pPr>
        <w:ind w:left="3480" w:hanging="420"/>
      </w:pPr>
    </w:lvl>
    <w:lvl w:ilvl="7">
      <w:start w:val="1"/>
      <w:numFmt w:val="lowerLetter"/>
      <w:lvlText w:val="%8)"/>
      <w:lvlJc w:val="left"/>
      <w:pPr>
        <w:ind w:left="3900" w:hanging="420"/>
      </w:pPr>
    </w:lvl>
    <w:lvl w:ilvl="8">
      <w:start w:val="1"/>
      <w:numFmt w:val="lowerRoman"/>
      <w:lvlText w:val="%9."/>
      <w:lvlJc w:val="right"/>
      <w:pPr>
        <w:ind w:left="4320" w:hanging="420"/>
      </w:pPr>
    </w:lvl>
  </w:abstractNum>
  <w:abstractNum w:abstractNumId="119" w15:restartNumberingAfterBreak="0">
    <w:nsid w:val="7C5F2EBA"/>
    <w:multiLevelType w:val="multilevel"/>
    <w:tmpl w:val="7C5F2EBA"/>
    <w:lvl w:ilvl="0">
      <w:start w:val="1"/>
      <w:numFmt w:val="decimal"/>
      <w:pStyle w:val="67"/>
      <w:lvlText w:val="1.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0" w15:restartNumberingAfterBreak="0">
    <w:nsid w:val="7C90015E"/>
    <w:multiLevelType w:val="multilevel"/>
    <w:tmpl w:val="7C90015E"/>
    <w:lvl w:ilvl="0">
      <w:start w:val="1"/>
      <w:numFmt w:val="decimal"/>
      <w:pStyle w:val="21"/>
      <w:lvlText w:val="1.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1" w15:restartNumberingAfterBreak="0">
    <w:nsid w:val="7CA47141"/>
    <w:multiLevelType w:val="multilevel"/>
    <w:tmpl w:val="7CA47141"/>
    <w:lvl w:ilvl="0">
      <w:start w:val="1"/>
      <w:numFmt w:val="decimal"/>
      <w:pStyle w:val="97"/>
      <w:lvlText w:val="8.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2" w15:restartNumberingAfterBreak="0">
    <w:nsid w:val="7EE5773F"/>
    <w:multiLevelType w:val="multilevel"/>
    <w:tmpl w:val="7EE5773F"/>
    <w:lvl w:ilvl="0">
      <w:start w:val="1"/>
      <w:numFmt w:val="decimal"/>
      <w:pStyle w:val="12"/>
      <w:lvlText w:val="3.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8"/>
  </w:num>
  <w:num w:numId="2">
    <w:abstractNumId w:val="9"/>
  </w:num>
  <w:num w:numId="3">
    <w:abstractNumId w:val="6"/>
  </w:num>
  <w:num w:numId="4">
    <w:abstractNumId w:val="10"/>
  </w:num>
  <w:num w:numId="5">
    <w:abstractNumId w:val="7"/>
  </w:num>
  <w:num w:numId="6">
    <w:abstractNumId w:val="5"/>
  </w:num>
  <w:num w:numId="7">
    <w:abstractNumId w:val="4"/>
  </w:num>
  <w:num w:numId="8">
    <w:abstractNumId w:val="56"/>
  </w:num>
  <w:num w:numId="9">
    <w:abstractNumId w:val="110"/>
  </w:num>
  <w:num w:numId="10">
    <w:abstractNumId w:val="95"/>
  </w:num>
  <w:num w:numId="11">
    <w:abstractNumId w:val="38"/>
  </w:num>
  <w:num w:numId="12">
    <w:abstractNumId w:val="68"/>
  </w:num>
  <w:num w:numId="13">
    <w:abstractNumId w:val="78"/>
  </w:num>
  <w:num w:numId="14">
    <w:abstractNumId w:val="40"/>
  </w:num>
  <w:num w:numId="15">
    <w:abstractNumId w:val="122"/>
  </w:num>
  <w:num w:numId="16">
    <w:abstractNumId w:val="50"/>
  </w:num>
  <w:num w:numId="17">
    <w:abstractNumId w:val="48"/>
  </w:num>
  <w:num w:numId="18">
    <w:abstractNumId w:val="15"/>
  </w:num>
  <w:num w:numId="19">
    <w:abstractNumId w:val="33"/>
  </w:num>
  <w:num w:numId="20">
    <w:abstractNumId w:val="28"/>
  </w:num>
  <w:num w:numId="21">
    <w:abstractNumId w:val="63"/>
  </w:num>
  <w:num w:numId="22">
    <w:abstractNumId w:val="52"/>
  </w:num>
  <w:num w:numId="23">
    <w:abstractNumId w:val="79"/>
  </w:num>
  <w:num w:numId="24">
    <w:abstractNumId w:val="120"/>
  </w:num>
  <w:num w:numId="25">
    <w:abstractNumId w:val="107"/>
  </w:num>
  <w:num w:numId="26">
    <w:abstractNumId w:val="60"/>
  </w:num>
  <w:num w:numId="27">
    <w:abstractNumId w:val="11"/>
  </w:num>
  <w:num w:numId="28">
    <w:abstractNumId w:val="111"/>
  </w:num>
  <w:num w:numId="29">
    <w:abstractNumId w:val="117"/>
  </w:num>
  <w:num w:numId="30">
    <w:abstractNumId w:val="89"/>
  </w:num>
  <w:num w:numId="31">
    <w:abstractNumId w:val="65"/>
  </w:num>
  <w:num w:numId="32">
    <w:abstractNumId w:val="114"/>
  </w:num>
  <w:num w:numId="33">
    <w:abstractNumId w:val="24"/>
  </w:num>
  <w:num w:numId="34">
    <w:abstractNumId w:val="82"/>
  </w:num>
  <w:num w:numId="35">
    <w:abstractNumId w:val="17"/>
  </w:num>
  <w:num w:numId="36">
    <w:abstractNumId w:val="101"/>
  </w:num>
  <w:num w:numId="37">
    <w:abstractNumId w:val="87"/>
  </w:num>
  <w:num w:numId="38">
    <w:abstractNumId w:val="67"/>
  </w:num>
  <w:num w:numId="39">
    <w:abstractNumId w:val="29"/>
  </w:num>
  <w:num w:numId="40">
    <w:abstractNumId w:val="96"/>
  </w:num>
  <w:num w:numId="41">
    <w:abstractNumId w:val="13"/>
  </w:num>
  <w:num w:numId="42">
    <w:abstractNumId w:val="99"/>
  </w:num>
  <w:num w:numId="43">
    <w:abstractNumId w:val="53"/>
  </w:num>
  <w:num w:numId="44">
    <w:abstractNumId w:val="75"/>
  </w:num>
  <w:num w:numId="45">
    <w:abstractNumId w:val="30"/>
  </w:num>
  <w:num w:numId="46">
    <w:abstractNumId w:val="43"/>
  </w:num>
  <w:num w:numId="47">
    <w:abstractNumId w:val="58"/>
  </w:num>
  <w:num w:numId="48">
    <w:abstractNumId w:val="106"/>
  </w:num>
  <w:num w:numId="49">
    <w:abstractNumId w:val="104"/>
  </w:num>
  <w:num w:numId="50">
    <w:abstractNumId w:val="57"/>
  </w:num>
  <w:num w:numId="51">
    <w:abstractNumId w:val="76"/>
  </w:num>
  <w:num w:numId="52">
    <w:abstractNumId w:val="116"/>
  </w:num>
  <w:num w:numId="53">
    <w:abstractNumId w:val="12"/>
  </w:num>
  <w:num w:numId="54">
    <w:abstractNumId w:val="47"/>
  </w:num>
  <w:num w:numId="55">
    <w:abstractNumId w:val="83"/>
  </w:num>
  <w:num w:numId="56">
    <w:abstractNumId w:val="19"/>
  </w:num>
  <w:num w:numId="57">
    <w:abstractNumId w:val="85"/>
  </w:num>
  <w:num w:numId="58">
    <w:abstractNumId w:val="45"/>
  </w:num>
  <w:num w:numId="59">
    <w:abstractNumId w:val="108"/>
  </w:num>
  <w:num w:numId="60">
    <w:abstractNumId w:val="49"/>
  </w:num>
  <w:num w:numId="61">
    <w:abstractNumId w:val="59"/>
  </w:num>
  <w:num w:numId="62">
    <w:abstractNumId w:val="70"/>
  </w:num>
  <w:num w:numId="63">
    <w:abstractNumId w:val="66"/>
  </w:num>
  <w:num w:numId="64">
    <w:abstractNumId w:val="64"/>
  </w:num>
  <w:num w:numId="65">
    <w:abstractNumId w:val="86"/>
  </w:num>
  <w:num w:numId="66">
    <w:abstractNumId w:val="46"/>
  </w:num>
  <w:num w:numId="67">
    <w:abstractNumId w:val="119"/>
  </w:num>
  <w:num w:numId="68">
    <w:abstractNumId w:val="14"/>
  </w:num>
  <w:num w:numId="69">
    <w:abstractNumId w:val="39"/>
  </w:num>
  <w:num w:numId="70">
    <w:abstractNumId w:val="97"/>
  </w:num>
  <w:num w:numId="71">
    <w:abstractNumId w:val="98"/>
  </w:num>
  <w:num w:numId="72">
    <w:abstractNumId w:val="74"/>
  </w:num>
  <w:num w:numId="73">
    <w:abstractNumId w:val="102"/>
  </w:num>
  <w:num w:numId="74">
    <w:abstractNumId w:val="100"/>
  </w:num>
  <w:num w:numId="75">
    <w:abstractNumId w:val="73"/>
  </w:num>
  <w:num w:numId="76">
    <w:abstractNumId w:val="26"/>
  </w:num>
  <w:num w:numId="77">
    <w:abstractNumId w:val="118"/>
  </w:num>
  <w:num w:numId="78">
    <w:abstractNumId w:val="25"/>
  </w:num>
  <w:num w:numId="79">
    <w:abstractNumId w:val="94"/>
  </w:num>
  <w:num w:numId="80">
    <w:abstractNumId w:val="112"/>
  </w:num>
  <w:num w:numId="81">
    <w:abstractNumId w:val="84"/>
  </w:num>
  <w:num w:numId="82">
    <w:abstractNumId w:val="51"/>
  </w:num>
  <w:num w:numId="83">
    <w:abstractNumId w:val="93"/>
  </w:num>
  <w:num w:numId="84">
    <w:abstractNumId w:val="42"/>
  </w:num>
  <w:num w:numId="85">
    <w:abstractNumId w:val="61"/>
  </w:num>
  <w:num w:numId="86">
    <w:abstractNumId w:val="21"/>
  </w:num>
  <w:num w:numId="87">
    <w:abstractNumId w:val="115"/>
  </w:num>
  <w:num w:numId="88">
    <w:abstractNumId w:val="27"/>
  </w:num>
  <w:num w:numId="89">
    <w:abstractNumId w:val="16"/>
  </w:num>
  <w:num w:numId="90">
    <w:abstractNumId w:val="37"/>
  </w:num>
  <w:num w:numId="91">
    <w:abstractNumId w:val="35"/>
  </w:num>
  <w:num w:numId="92">
    <w:abstractNumId w:val="69"/>
  </w:num>
  <w:num w:numId="93">
    <w:abstractNumId w:val="55"/>
  </w:num>
  <w:num w:numId="94">
    <w:abstractNumId w:val="90"/>
  </w:num>
  <w:num w:numId="95">
    <w:abstractNumId w:val="92"/>
  </w:num>
  <w:num w:numId="96">
    <w:abstractNumId w:val="36"/>
  </w:num>
  <w:num w:numId="97">
    <w:abstractNumId w:val="121"/>
  </w:num>
  <w:num w:numId="98">
    <w:abstractNumId w:val="105"/>
  </w:num>
  <w:num w:numId="99">
    <w:abstractNumId w:val="54"/>
  </w:num>
  <w:num w:numId="100">
    <w:abstractNumId w:val="18"/>
  </w:num>
  <w:num w:numId="101">
    <w:abstractNumId w:val="80"/>
  </w:num>
  <w:num w:numId="102">
    <w:abstractNumId w:val="109"/>
  </w:num>
  <w:num w:numId="103">
    <w:abstractNumId w:val="113"/>
  </w:num>
  <w:num w:numId="104">
    <w:abstractNumId w:val="81"/>
  </w:num>
  <w:num w:numId="105">
    <w:abstractNumId w:val="22"/>
  </w:num>
  <w:num w:numId="106">
    <w:abstractNumId w:val="91"/>
  </w:num>
  <w:num w:numId="107">
    <w:abstractNumId w:val="44"/>
  </w:num>
  <w:num w:numId="108">
    <w:abstractNumId w:val="31"/>
  </w:num>
  <w:num w:numId="109">
    <w:abstractNumId w:val="20"/>
  </w:num>
  <w:num w:numId="110">
    <w:abstractNumId w:val="62"/>
  </w:num>
  <w:num w:numId="111">
    <w:abstractNumId w:val="103"/>
  </w:num>
  <w:num w:numId="112">
    <w:abstractNumId w:val="88"/>
  </w:num>
  <w:num w:numId="113">
    <w:abstractNumId w:val="23"/>
  </w:num>
  <w:num w:numId="114">
    <w:abstractNumId w:val="72"/>
  </w:num>
  <w:num w:numId="115">
    <w:abstractNumId w:val="32"/>
  </w:num>
  <w:num w:numId="116">
    <w:abstractNumId w:val="1"/>
  </w:num>
  <w:num w:numId="117">
    <w:abstractNumId w:val="3"/>
  </w:num>
  <w:num w:numId="118">
    <w:abstractNumId w:val="41"/>
  </w:num>
  <w:num w:numId="119">
    <w:abstractNumId w:val="2"/>
  </w:num>
  <w:num w:numId="120">
    <w:abstractNumId w:val="0"/>
  </w:num>
  <w:num w:numId="121">
    <w:abstractNumId w:val="34"/>
  </w:num>
  <w:num w:numId="122">
    <w:abstractNumId w:val="71"/>
  </w:num>
  <w:num w:numId="123">
    <w:abstractNumId w:val="77"/>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HorizontalSpacing w:val="210"/>
  <w:drawingGridVerticalSpacing w:val="166"/>
  <w:displayVerticalDrawingGridEvery w:val="2"/>
  <w:noPunctuationKerning/>
  <w:characterSpacingControl w:val="compressPunctuation"/>
  <w:hdrShapeDefaults>
    <o:shapedefaults v:ext="edit" spidmax="3198" strokecolor="#739cc3">
      <v:fill angle="9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rsids>
    <w:rsidRoot w:val="00172A27"/>
    <w:rsid w:val="00002CCA"/>
    <w:rsid w:val="000104A7"/>
    <w:rsid w:val="00083349"/>
    <w:rsid w:val="00087D31"/>
    <w:rsid w:val="000D149F"/>
    <w:rsid w:val="000E0110"/>
    <w:rsid w:val="000E48E9"/>
    <w:rsid w:val="000F5673"/>
    <w:rsid w:val="00100BE8"/>
    <w:rsid w:val="00106D5B"/>
    <w:rsid w:val="00112656"/>
    <w:rsid w:val="001321DB"/>
    <w:rsid w:val="00142149"/>
    <w:rsid w:val="00152DC7"/>
    <w:rsid w:val="00157E12"/>
    <w:rsid w:val="00172A27"/>
    <w:rsid w:val="0018342B"/>
    <w:rsid w:val="00185359"/>
    <w:rsid w:val="002123BE"/>
    <w:rsid w:val="00213F01"/>
    <w:rsid w:val="0024238A"/>
    <w:rsid w:val="002838A4"/>
    <w:rsid w:val="002A1095"/>
    <w:rsid w:val="002B152B"/>
    <w:rsid w:val="002C712D"/>
    <w:rsid w:val="002D0F8A"/>
    <w:rsid w:val="002E10B3"/>
    <w:rsid w:val="002F13CE"/>
    <w:rsid w:val="00326C3A"/>
    <w:rsid w:val="00397605"/>
    <w:rsid w:val="003A601E"/>
    <w:rsid w:val="00431752"/>
    <w:rsid w:val="00433EE6"/>
    <w:rsid w:val="004376AC"/>
    <w:rsid w:val="00454B8A"/>
    <w:rsid w:val="00455D73"/>
    <w:rsid w:val="004616D9"/>
    <w:rsid w:val="00467540"/>
    <w:rsid w:val="00467573"/>
    <w:rsid w:val="004866E9"/>
    <w:rsid w:val="00490497"/>
    <w:rsid w:val="004B3780"/>
    <w:rsid w:val="00525419"/>
    <w:rsid w:val="00536F6D"/>
    <w:rsid w:val="00543BDC"/>
    <w:rsid w:val="0054622F"/>
    <w:rsid w:val="005F1771"/>
    <w:rsid w:val="00627C87"/>
    <w:rsid w:val="00670B3B"/>
    <w:rsid w:val="006A3383"/>
    <w:rsid w:val="006B0299"/>
    <w:rsid w:val="006C3043"/>
    <w:rsid w:val="00703862"/>
    <w:rsid w:val="00716097"/>
    <w:rsid w:val="00761827"/>
    <w:rsid w:val="00767791"/>
    <w:rsid w:val="007B5BC2"/>
    <w:rsid w:val="007D0E8A"/>
    <w:rsid w:val="007D4585"/>
    <w:rsid w:val="00815759"/>
    <w:rsid w:val="00825560"/>
    <w:rsid w:val="0085337A"/>
    <w:rsid w:val="00862B7C"/>
    <w:rsid w:val="00862C6C"/>
    <w:rsid w:val="00877CC7"/>
    <w:rsid w:val="00887699"/>
    <w:rsid w:val="00894B33"/>
    <w:rsid w:val="008A0E68"/>
    <w:rsid w:val="008C329C"/>
    <w:rsid w:val="009548A6"/>
    <w:rsid w:val="009774F8"/>
    <w:rsid w:val="00997C98"/>
    <w:rsid w:val="009A7102"/>
    <w:rsid w:val="009B08C7"/>
    <w:rsid w:val="009D4076"/>
    <w:rsid w:val="009F78EC"/>
    <w:rsid w:val="00A023B6"/>
    <w:rsid w:val="00A04FAD"/>
    <w:rsid w:val="00A31DCA"/>
    <w:rsid w:val="00A840F8"/>
    <w:rsid w:val="00AC145A"/>
    <w:rsid w:val="00AD6B32"/>
    <w:rsid w:val="00B00EB6"/>
    <w:rsid w:val="00B104E0"/>
    <w:rsid w:val="00B62C3E"/>
    <w:rsid w:val="00B72C91"/>
    <w:rsid w:val="00BD1F74"/>
    <w:rsid w:val="00BD30AB"/>
    <w:rsid w:val="00BE168E"/>
    <w:rsid w:val="00BF584C"/>
    <w:rsid w:val="00C1123B"/>
    <w:rsid w:val="00C52308"/>
    <w:rsid w:val="00C55602"/>
    <w:rsid w:val="00C67158"/>
    <w:rsid w:val="00C75200"/>
    <w:rsid w:val="00C80E8E"/>
    <w:rsid w:val="00C82732"/>
    <w:rsid w:val="00CA0547"/>
    <w:rsid w:val="00CA2E8C"/>
    <w:rsid w:val="00CE057D"/>
    <w:rsid w:val="00CE2C2F"/>
    <w:rsid w:val="00D00A6C"/>
    <w:rsid w:val="00D06239"/>
    <w:rsid w:val="00D24DAD"/>
    <w:rsid w:val="00D439ED"/>
    <w:rsid w:val="00D71382"/>
    <w:rsid w:val="00D751A3"/>
    <w:rsid w:val="00D9027D"/>
    <w:rsid w:val="00DC4B8F"/>
    <w:rsid w:val="00DC5A75"/>
    <w:rsid w:val="00DD7444"/>
    <w:rsid w:val="00DF2F1E"/>
    <w:rsid w:val="00DF3BD0"/>
    <w:rsid w:val="00E72BCB"/>
    <w:rsid w:val="00E87B0C"/>
    <w:rsid w:val="00EB7F83"/>
    <w:rsid w:val="00EC6F90"/>
    <w:rsid w:val="00EE1CF7"/>
    <w:rsid w:val="00EF12D2"/>
    <w:rsid w:val="00EF7C81"/>
    <w:rsid w:val="00F3319E"/>
    <w:rsid w:val="00F539CC"/>
    <w:rsid w:val="00F638CE"/>
    <w:rsid w:val="00F73362"/>
    <w:rsid w:val="00FB118D"/>
    <w:rsid w:val="00FB6AB8"/>
    <w:rsid w:val="00FC3028"/>
    <w:rsid w:val="00FC500F"/>
    <w:rsid w:val="00FE095A"/>
    <w:rsid w:val="014315F3"/>
    <w:rsid w:val="01456390"/>
    <w:rsid w:val="01690804"/>
    <w:rsid w:val="01C85155"/>
    <w:rsid w:val="03CF022B"/>
    <w:rsid w:val="050317BA"/>
    <w:rsid w:val="05372878"/>
    <w:rsid w:val="05483DEF"/>
    <w:rsid w:val="054C2DD7"/>
    <w:rsid w:val="05D740C1"/>
    <w:rsid w:val="06823986"/>
    <w:rsid w:val="06E34236"/>
    <w:rsid w:val="07A40890"/>
    <w:rsid w:val="07D55736"/>
    <w:rsid w:val="082730CD"/>
    <w:rsid w:val="083962C2"/>
    <w:rsid w:val="083A7955"/>
    <w:rsid w:val="08B23344"/>
    <w:rsid w:val="08CE5BFC"/>
    <w:rsid w:val="08E86E68"/>
    <w:rsid w:val="093F4BE5"/>
    <w:rsid w:val="0962374E"/>
    <w:rsid w:val="09DD2547"/>
    <w:rsid w:val="09E6729E"/>
    <w:rsid w:val="0AD70188"/>
    <w:rsid w:val="0B3C0D84"/>
    <w:rsid w:val="0B5C242E"/>
    <w:rsid w:val="0BF42590"/>
    <w:rsid w:val="0C0C18D2"/>
    <w:rsid w:val="0C5D5767"/>
    <w:rsid w:val="0CEB222A"/>
    <w:rsid w:val="0D333B0B"/>
    <w:rsid w:val="0D557602"/>
    <w:rsid w:val="0D835800"/>
    <w:rsid w:val="0DCD6C4D"/>
    <w:rsid w:val="0E347FDD"/>
    <w:rsid w:val="0E557711"/>
    <w:rsid w:val="0FC66C97"/>
    <w:rsid w:val="0FC74D18"/>
    <w:rsid w:val="10CB5415"/>
    <w:rsid w:val="10FA418C"/>
    <w:rsid w:val="11575255"/>
    <w:rsid w:val="11A967B6"/>
    <w:rsid w:val="11D243AD"/>
    <w:rsid w:val="11E37286"/>
    <w:rsid w:val="125D3053"/>
    <w:rsid w:val="135A4A4C"/>
    <w:rsid w:val="137B69F7"/>
    <w:rsid w:val="13C54AB3"/>
    <w:rsid w:val="148B6780"/>
    <w:rsid w:val="14D26837"/>
    <w:rsid w:val="14FE4281"/>
    <w:rsid w:val="1590560C"/>
    <w:rsid w:val="16C563BD"/>
    <w:rsid w:val="17005DEC"/>
    <w:rsid w:val="184651E0"/>
    <w:rsid w:val="19472BAD"/>
    <w:rsid w:val="196A10E5"/>
    <w:rsid w:val="19910C2D"/>
    <w:rsid w:val="1B437F54"/>
    <w:rsid w:val="1C026AF1"/>
    <w:rsid w:val="1C1A596A"/>
    <w:rsid w:val="1C606275"/>
    <w:rsid w:val="1C956AD6"/>
    <w:rsid w:val="1CC51D4B"/>
    <w:rsid w:val="1D327677"/>
    <w:rsid w:val="1D6700BF"/>
    <w:rsid w:val="1D8E2D87"/>
    <w:rsid w:val="1E0B0ACC"/>
    <w:rsid w:val="1E10386A"/>
    <w:rsid w:val="1E5E47E0"/>
    <w:rsid w:val="1F13649B"/>
    <w:rsid w:val="1F286E07"/>
    <w:rsid w:val="1F516372"/>
    <w:rsid w:val="1FC20077"/>
    <w:rsid w:val="204A6553"/>
    <w:rsid w:val="20D60C6F"/>
    <w:rsid w:val="21CD69FF"/>
    <w:rsid w:val="22740986"/>
    <w:rsid w:val="231B3F11"/>
    <w:rsid w:val="231C116D"/>
    <w:rsid w:val="23A621FF"/>
    <w:rsid w:val="241E5424"/>
    <w:rsid w:val="24221A35"/>
    <w:rsid w:val="24384DFC"/>
    <w:rsid w:val="24A65956"/>
    <w:rsid w:val="24DE4792"/>
    <w:rsid w:val="251531B3"/>
    <w:rsid w:val="2527576D"/>
    <w:rsid w:val="25753231"/>
    <w:rsid w:val="257B49F4"/>
    <w:rsid w:val="26315605"/>
    <w:rsid w:val="26684AD1"/>
    <w:rsid w:val="272D1C82"/>
    <w:rsid w:val="273F1C2D"/>
    <w:rsid w:val="279D2697"/>
    <w:rsid w:val="27F26538"/>
    <w:rsid w:val="28153013"/>
    <w:rsid w:val="288A405C"/>
    <w:rsid w:val="292C281F"/>
    <w:rsid w:val="294B1BBC"/>
    <w:rsid w:val="29D51C14"/>
    <w:rsid w:val="29F311D8"/>
    <w:rsid w:val="2B591205"/>
    <w:rsid w:val="2C3E3898"/>
    <w:rsid w:val="2CF660F0"/>
    <w:rsid w:val="2CF775D2"/>
    <w:rsid w:val="2DC52D35"/>
    <w:rsid w:val="2EC53B86"/>
    <w:rsid w:val="2F543FCD"/>
    <w:rsid w:val="2FF8699A"/>
    <w:rsid w:val="302E74E2"/>
    <w:rsid w:val="3081019E"/>
    <w:rsid w:val="30AE7FEB"/>
    <w:rsid w:val="30DE6618"/>
    <w:rsid w:val="31AE25C0"/>
    <w:rsid w:val="329E216A"/>
    <w:rsid w:val="32ED3D28"/>
    <w:rsid w:val="32F608E1"/>
    <w:rsid w:val="33121B0B"/>
    <w:rsid w:val="332F4DD4"/>
    <w:rsid w:val="33396D97"/>
    <w:rsid w:val="34065FF9"/>
    <w:rsid w:val="34250992"/>
    <w:rsid w:val="34982526"/>
    <w:rsid w:val="35355339"/>
    <w:rsid w:val="358B07D9"/>
    <w:rsid w:val="35A156B4"/>
    <w:rsid w:val="36475788"/>
    <w:rsid w:val="36731629"/>
    <w:rsid w:val="36D725DE"/>
    <w:rsid w:val="36EF6645"/>
    <w:rsid w:val="37041BDA"/>
    <w:rsid w:val="37352B77"/>
    <w:rsid w:val="377B0862"/>
    <w:rsid w:val="38130170"/>
    <w:rsid w:val="38FB7E62"/>
    <w:rsid w:val="39414D35"/>
    <w:rsid w:val="3974420B"/>
    <w:rsid w:val="39B16890"/>
    <w:rsid w:val="3A0B1B72"/>
    <w:rsid w:val="3A2C048D"/>
    <w:rsid w:val="3A684CE9"/>
    <w:rsid w:val="3B00415A"/>
    <w:rsid w:val="3BC637DD"/>
    <w:rsid w:val="3BE25712"/>
    <w:rsid w:val="3C0C2F30"/>
    <w:rsid w:val="3C5470CF"/>
    <w:rsid w:val="3D65439B"/>
    <w:rsid w:val="3DBF70D8"/>
    <w:rsid w:val="3DCD5E53"/>
    <w:rsid w:val="3DDF1ADA"/>
    <w:rsid w:val="3DF667D1"/>
    <w:rsid w:val="3E513F8B"/>
    <w:rsid w:val="3EEF32D7"/>
    <w:rsid w:val="3F162C99"/>
    <w:rsid w:val="3F3B6C41"/>
    <w:rsid w:val="3F513DDF"/>
    <w:rsid w:val="3F5A6E8B"/>
    <w:rsid w:val="3FC441B5"/>
    <w:rsid w:val="401C491E"/>
    <w:rsid w:val="41060CC0"/>
    <w:rsid w:val="41583DA9"/>
    <w:rsid w:val="415C114C"/>
    <w:rsid w:val="418E2952"/>
    <w:rsid w:val="41BA3A68"/>
    <w:rsid w:val="42540A46"/>
    <w:rsid w:val="428777FA"/>
    <w:rsid w:val="42F331B4"/>
    <w:rsid w:val="432C5BD1"/>
    <w:rsid w:val="449057BC"/>
    <w:rsid w:val="449423E1"/>
    <w:rsid w:val="44A179C7"/>
    <w:rsid w:val="44D973F3"/>
    <w:rsid w:val="44E8345C"/>
    <w:rsid w:val="454D3B2E"/>
    <w:rsid w:val="45852602"/>
    <w:rsid w:val="459C563B"/>
    <w:rsid w:val="469544C2"/>
    <w:rsid w:val="47222191"/>
    <w:rsid w:val="47615E95"/>
    <w:rsid w:val="47761D85"/>
    <w:rsid w:val="477C2C48"/>
    <w:rsid w:val="48422F83"/>
    <w:rsid w:val="48A25E78"/>
    <w:rsid w:val="48EC0A67"/>
    <w:rsid w:val="49B54BCA"/>
    <w:rsid w:val="4A012F03"/>
    <w:rsid w:val="4A302D08"/>
    <w:rsid w:val="4B4C6DE2"/>
    <w:rsid w:val="4C602605"/>
    <w:rsid w:val="4CC0757E"/>
    <w:rsid w:val="4D0C2481"/>
    <w:rsid w:val="4DB06E9E"/>
    <w:rsid w:val="4E28286D"/>
    <w:rsid w:val="4F26376B"/>
    <w:rsid w:val="4F2A043B"/>
    <w:rsid w:val="4FB37061"/>
    <w:rsid w:val="5020309D"/>
    <w:rsid w:val="504C29D2"/>
    <w:rsid w:val="523A7C65"/>
    <w:rsid w:val="529857F3"/>
    <w:rsid w:val="52CE4C72"/>
    <w:rsid w:val="53122175"/>
    <w:rsid w:val="53234355"/>
    <w:rsid w:val="545028CD"/>
    <w:rsid w:val="554A7026"/>
    <w:rsid w:val="55B409CE"/>
    <w:rsid w:val="55C757F9"/>
    <w:rsid w:val="560C269B"/>
    <w:rsid w:val="56FD263C"/>
    <w:rsid w:val="57523A44"/>
    <w:rsid w:val="57B70047"/>
    <w:rsid w:val="589A3382"/>
    <w:rsid w:val="58FB54BC"/>
    <w:rsid w:val="58FE5CD9"/>
    <w:rsid w:val="59120166"/>
    <w:rsid w:val="59300299"/>
    <w:rsid w:val="5AAA7221"/>
    <w:rsid w:val="5B5E13BC"/>
    <w:rsid w:val="5B91278B"/>
    <w:rsid w:val="5BAA5CD3"/>
    <w:rsid w:val="5C5A4DA0"/>
    <w:rsid w:val="5CA34C44"/>
    <w:rsid w:val="5E4C7D9C"/>
    <w:rsid w:val="5F064977"/>
    <w:rsid w:val="5F4927E4"/>
    <w:rsid w:val="5F576C98"/>
    <w:rsid w:val="5F7E3D42"/>
    <w:rsid w:val="5FCB0445"/>
    <w:rsid w:val="5FFF4CA1"/>
    <w:rsid w:val="60335F8F"/>
    <w:rsid w:val="60A85D17"/>
    <w:rsid w:val="60AD6EE5"/>
    <w:rsid w:val="60F2435C"/>
    <w:rsid w:val="612102C9"/>
    <w:rsid w:val="614D73FB"/>
    <w:rsid w:val="61BB5290"/>
    <w:rsid w:val="61E43526"/>
    <w:rsid w:val="61EA16D1"/>
    <w:rsid w:val="630F477E"/>
    <w:rsid w:val="636F353D"/>
    <w:rsid w:val="6384592A"/>
    <w:rsid w:val="63C86911"/>
    <w:rsid w:val="651B19E8"/>
    <w:rsid w:val="655C08A4"/>
    <w:rsid w:val="65B96E11"/>
    <w:rsid w:val="67D312DB"/>
    <w:rsid w:val="67E30681"/>
    <w:rsid w:val="68880A1C"/>
    <w:rsid w:val="6A050197"/>
    <w:rsid w:val="6AE32B52"/>
    <w:rsid w:val="6B1F038B"/>
    <w:rsid w:val="6B1F2C38"/>
    <w:rsid w:val="6B306B94"/>
    <w:rsid w:val="6B7F1833"/>
    <w:rsid w:val="6BD35D7B"/>
    <w:rsid w:val="6C1A3151"/>
    <w:rsid w:val="6CA0724B"/>
    <w:rsid w:val="6CD30A24"/>
    <w:rsid w:val="6D331987"/>
    <w:rsid w:val="6D612E22"/>
    <w:rsid w:val="6D9554AD"/>
    <w:rsid w:val="6D961955"/>
    <w:rsid w:val="6E173C3B"/>
    <w:rsid w:val="6EEC1AB6"/>
    <w:rsid w:val="6F1A39EC"/>
    <w:rsid w:val="6F2A7474"/>
    <w:rsid w:val="6F602A22"/>
    <w:rsid w:val="6F9F283B"/>
    <w:rsid w:val="6FCE4B2C"/>
    <w:rsid w:val="6FE839B6"/>
    <w:rsid w:val="705C21B9"/>
    <w:rsid w:val="708F15AC"/>
    <w:rsid w:val="70936722"/>
    <w:rsid w:val="70D14837"/>
    <w:rsid w:val="71C1387A"/>
    <w:rsid w:val="722939AF"/>
    <w:rsid w:val="72297E4F"/>
    <w:rsid w:val="72B93E5C"/>
    <w:rsid w:val="72E75276"/>
    <w:rsid w:val="73814321"/>
    <w:rsid w:val="73F03CAE"/>
    <w:rsid w:val="746074FC"/>
    <w:rsid w:val="746D32D6"/>
    <w:rsid w:val="74E91030"/>
    <w:rsid w:val="74F62FF3"/>
    <w:rsid w:val="75B32FBA"/>
    <w:rsid w:val="762843B2"/>
    <w:rsid w:val="762C176C"/>
    <w:rsid w:val="766E4925"/>
    <w:rsid w:val="76EF6E8B"/>
    <w:rsid w:val="76FF301B"/>
    <w:rsid w:val="775173F4"/>
    <w:rsid w:val="78150104"/>
    <w:rsid w:val="78577209"/>
    <w:rsid w:val="786B3064"/>
    <w:rsid w:val="78A8434C"/>
    <w:rsid w:val="78A91B62"/>
    <w:rsid w:val="78C55A16"/>
    <w:rsid w:val="78D6764B"/>
    <w:rsid w:val="78FE2189"/>
    <w:rsid w:val="7909111F"/>
    <w:rsid w:val="79606A73"/>
    <w:rsid w:val="79A17870"/>
    <w:rsid w:val="7A2B5F47"/>
    <w:rsid w:val="7AE018CC"/>
    <w:rsid w:val="7BDF3902"/>
    <w:rsid w:val="7C7466F1"/>
    <w:rsid w:val="7CA561C8"/>
    <w:rsid w:val="7DCB7E38"/>
    <w:rsid w:val="7E5A12B0"/>
    <w:rsid w:val="7E6E2D75"/>
    <w:rsid w:val="7EB96DF7"/>
    <w:rsid w:val="7F4E494D"/>
    <w:rsid w:val="7FD43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198" strokecolor="#739cc3">
      <v:fill angle="90" type="gradient">
        <o:fill v:ext="view" type="gradientUnscaled"/>
      </v:fill>
      <v:stroke color="#739cc3" weight="1.25pt"/>
    </o:shapedefaults>
    <o:shapelayout v:ext="edit">
      <o:idmap v:ext="edit" data="1,3"/>
      <o:rules v:ext="edit">
        <o:r id="V:Rule1" type="callout" idref="#Rounded Rectangular Callout 1032"/>
        <o:r id="V:Rule2" type="callout" idref="#_x0000_s3150"/>
        <o:r id="V:Rule3" type="connector" idref="#Straight Connector 1534"/>
        <o:r id="V:Rule4" type="connector" idref="#Straight Connector 1122"/>
        <o:r id="V:Rule5" type="connector" idref="#Straight Connector 2336"/>
        <o:r id="V:Rule6" type="connector" idref="#Straight Connector 1775"/>
        <o:r id="V:Rule7" type="connector" idref="#直接箭头连接符 14"/>
        <o:r id="V:Rule8" type="connector" idref="#Straight Connector 1995"/>
        <o:r id="V:Rule9" type="connector" idref="#Straight Connector 1748"/>
        <o:r id="V:Rule10" type="connector" idref="#Straight Connector 1891"/>
        <o:r id="V:Rule11" type="connector" idref="#Straight Connector 1772"/>
        <o:r id="V:Rule12" type="connector" idref="#Straight Connector 1664"/>
        <o:r id="V:Rule13" type="connector" idref="#Straight Connector 2247"/>
        <o:r id="V:Rule14" type="connector" idref="#Straight Connector 2337"/>
        <o:r id="V:Rule15" type="connector" idref="#Straight Connector 2277"/>
        <o:r id="V:Rule16" type="connector" idref="#Straight Connector 1789"/>
        <o:r id="V:Rule17" type="connector" idref="#Straight Connector 1771"/>
        <o:r id="V:Rule18" type="connector" idref="#Straight Connector 1649"/>
        <o:r id="V:Rule19" type="connector" idref="#Straight Connector 1992"/>
        <o:r id="V:Rule20" type="connector" idref="#Straight Connector 1569"/>
        <o:r id="V:Rule21" type="connector" idref="#Straight Connector 1636"/>
        <o:r id="V:Rule22" type="connector" idref="#Straight Connector 1506"/>
        <o:r id="V:Rule23" type="connector" idref="#Straight Connector 1785"/>
        <o:r id="V:Rule24" type="connector" idref="#Straight Connector 1676"/>
        <o:r id="V:Rule25" type="connector" idref="#直接箭头连接符 38"/>
        <o:r id="V:Rule26" type="connector" idref="#Straight Connector 1615"/>
        <o:r id="V:Rule27" type="connector" idref="#Straight Connector 1561"/>
        <o:r id="V:Rule28" type="connector" idref="#Straight Connector 2269"/>
        <o:r id="V:Rule29" type="connector" idref="#Straight Connector 1778"/>
        <o:r id="V:Rule30" type="connector" idref="#Straight Connector 2252"/>
        <o:r id="V:Rule31" type="connector" idref="#Straight Connector 1752"/>
        <o:r id="V:Rule32" type="connector" idref="#Straight Connector 1965"/>
        <o:r id="V:Rule33" type="connector" idref="#Straight Connector 2239"/>
        <o:r id="V:Rule34" type="connector" idref="#Straight Connector 2297"/>
        <o:r id="V:Rule35" type="connector" idref="#Straight Connector 1543"/>
        <o:r id="V:Rule36" type="connector" idref="#Straight Connector 2286"/>
        <o:r id="V:Rule37" type="connector" idref="#Straight Connector 1625"/>
        <o:r id="V:Rule38" type="connector" idref="#Straight Connector 1098"/>
        <o:r id="V:Rule39" type="connector" idref="#Straight Connector 1680"/>
        <o:r id="V:Rule40" type="connector" idref="#Straight Connector 1678"/>
        <o:r id="V:Rule41" type="connector" idref="#Straight Connector 2257"/>
        <o:r id="V:Rule42" type="connector" idref="#Straight Connector 2236"/>
        <o:r id="V:Rule43" type="connector" idref="#Straight Connector 1642"/>
        <o:r id="V:Rule44" type="connector" idref="#Straight Connector 1854"/>
        <o:r id="V:Rule45" type="connector" idref="#Straight Connector 2264"/>
        <o:r id="V:Rule46" type="connector" idref="#Straight Connector 2335"/>
        <o:r id="V:Rule47" type="connector" idref="#Straight Connector 1573"/>
        <o:r id="V:Rule48" type="connector" idref="#Straight Connector 2249"/>
        <o:r id="V:Rule49" type="connector" idref="#Straight Connector 1802"/>
        <o:r id="V:Rule50" type="connector" idref="#Straight Connector 1547"/>
        <o:r id="V:Rule51" type="connector" idref="#Straight Connector 1934"/>
        <o:r id="V:Rule52" type="connector" idref="#Straight Connector 2395"/>
        <o:r id="V:Rule53" type="connector" idref="#Straight Connector 1503"/>
        <o:r id="V:Rule54" type="connector" idref="#Straight Connector 1807"/>
        <o:r id="V:Rule55" type="connector" idref="#Straight Connector 2291"/>
        <o:r id="V:Rule56" type="connector" idref="#Straight Connector 1171"/>
        <o:r id="V:Rule57" type="connector" idref="#Straight Connector 1952"/>
        <o:r id="V:Rule58" type="connector" idref="#Straight Connector 2323"/>
        <o:r id="V:Rule59" type="connector" idref="#Straight Connector 2310"/>
        <o:r id="V:Rule60" type="connector" idref="#Straight Connector 1889"/>
        <o:r id="V:Rule61" type="connector" idref="#Straight Connector 2304"/>
        <o:r id="V:Rule62" type="connector" idref="#Straight Connector 1495"/>
        <o:r id="V:Rule63" type="connector" idref="#Straight Connector 1787"/>
        <o:r id="V:Rule64" type="connector" idref="#Straight Connector 1851"/>
        <o:r id="V:Rule65" type="connector" idref="#Straight Connector 1937"/>
        <o:r id="V:Rule66" type="connector" idref="#Straight Connector 1797"/>
        <o:r id="V:Rule67" type="connector" idref="#Straight Connector 1127"/>
        <o:r id="V:Rule68" type="connector" idref="#Straight Connector 2265"/>
        <o:r id="V:Rule69" type="connector" idref="#Straight Connector 1671"/>
        <o:r id="V:Rule70" type="connector" idref="#Straight Connector 2397"/>
        <o:r id="V:Rule71" type="connector" idref="#Straight Connector 1989"/>
        <o:r id="V:Rule72" type="connector" idref="#Straight Connector 2285"/>
        <o:r id="V:Rule73" type="connector" idref="#Straight Connector 1938"/>
        <o:r id="V:Rule74" type="connector" idref="#Straight Connector 1585"/>
        <o:r id="V:Rule75" type="connector" idref="#Straight Connector 1904"/>
        <o:r id="V:Rule76" type="connector" idref="#Straight Connector 2268"/>
        <o:r id="V:Rule77" type="connector" idref="#Straight Connector 2280"/>
        <o:r id="V:Rule78" type="connector" idref="#Straight Connector 1556"/>
        <o:r id="V:Rule79" type="connector" idref="#Straight Connector 1614"/>
        <o:r id="V:Rule80" type="connector" idref="#Straight Connector 1507"/>
        <o:r id="V:Rule81" type="connector" idref="#Straight Connector 1102"/>
        <o:r id="V:Rule82" type="connector" idref="#Straight Connector 1617"/>
        <o:r id="V:Rule83" type="connector" idref="#Straight Connector 1116"/>
        <o:r id="V:Rule84" type="connector" idref="#Straight Connector 2258"/>
        <o:r id="V:Rule85" type="connector" idref="#Straight Connector 1943"/>
        <o:r id="V:Rule86" type="connector" idref="#Straight Connector 1656"/>
        <o:r id="V:Rule87" type="connector" idref="#Straight Connector 2346"/>
        <o:r id="V:Rule88" type="connector" idref="#Straight Connector 2340"/>
        <o:r id="V:Rule89" type="connector" idref="#Straight Connector 2260"/>
        <o:r id="V:Rule90" type="connector" idref="#Straight Connector 2317"/>
        <o:r id="V:Rule91" type="connector" idref="#Straight Connector 1875"/>
        <o:r id="V:Rule92" type="connector" idref="#Straight Connector 1173"/>
        <o:r id="V:Rule93" type="connector" idref="#Straight Connector 1100"/>
        <o:r id="V:Rule94" type="connector" idref="#Straight Connector 1566"/>
        <o:r id="V:Rule95" type="connector" idref="#Straight Connector 1874"/>
        <o:r id="V:Rule96" type="connector" idref="#Straight Connector 1512"/>
        <o:r id="V:Rule97" type="connector" idref="#Straight Connector 2042"/>
        <o:r id="V:Rule98" type="connector" idref="#Straight Connector 1825"/>
        <o:r id="V:Rule99" type="connector" idref="#Straight Connector 1533"/>
        <o:r id="V:Rule100" type="connector" idref="#直接箭头连接符 42"/>
        <o:r id="V:Rule101" type="connector" idref="#Straight Connector 1646"/>
        <o:r id="V:Rule102" type="connector" idref="#Straight Connector 1096"/>
        <o:r id="V:Rule103" type="connector" idref="#Straight Connector 1941"/>
        <o:r id="V:Rule104" type="connector" idref="#直接箭头连接符 31"/>
        <o:r id="V:Rule105" type="connector" idref="#Straight Connector 2305"/>
        <o:r id="V:Rule106" type="connector" idref="#Straight Connector 1661"/>
        <o:r id="V:Rule107" type="connector" idref="#Straight Connector 1883"/>
        <o:r id="V:Rule108" type="connector" idref="#Straight Connector 1605"/>
        <o:r id="V:Rule109" type="connector" idref="#Straight Connector 1871"/>
        <o:r id="V:Rule110" type="connector" idref="#Straight Connector 2002"/>
        <o:r id="V:Rule111" type="connector" idref="#Straight Connector 2393"/>
        <o:r id="V:Rule112" type="connector" idref="#Straight Connector 1881"/>
        <o:r id="V:Rule113" type="connector" idref="#Straight Connector 1948"/>
        <o:r id="V:Rule114" type="connector" idref="#Straight Connector 1672"/>
        <o:r id="V:Rule115" type="connector" idref="#Straight Connector 1897"/>
        <o:r id="V:Rule116" type="connector" idref="#Straight Connector 1942"/>
        <o:r id="V:Rule117" type="connector" idref="#Straight Connector 2344"/>
        <o:r id="V:Rule118" type="connector" idref="#Straight Connector 2314"/>
        <o:r id="V:Rule119" type="connector" idref="#直接箭头连接符 7"/>
        <o:r id="V:Rule120" type="connector" idref="#Straight Connector 1794"/>
        <o:r id="V:Rule121" type="connector" idref="#Straight Connector 1755"/>
        <o:r id="V:Rule122" type="connector" idref="#Straight Connector 1591"/>
        <o:r id="V:Rule123" type="connector" idref="#Straight Connector 1757"/>
        <o:r id="V:Rule124" type="connector" idref="#Straight Connector 1877"/>
        <o:r id="V:Rule125" type="connector" idref="#Straight Connector 1163"/>
        <o:r id="V:Rule126" type="connector" idref="#直接箭头连接符 26"/>
        <o:r id="V:Rule127" type="connector" idref="#直接箭头连接符 21"/>
        <o:r id="V:Rule128" type="connector" idref="#Straight Connector 1535"/>
        <o:r id="V:Rule129" type="connector" idref="#Straight Connector 1963"/>
        <o:r id="V:Rule130" type="connector" idref="#Straight Connector 1164"/>
        <o:r id="V:Rule131" type="connector" idref="#Straight Connector 1791"/>
        <o:r id="V:Rule132" type="connector" idref="#Straight Connector 1999"/>
        <o:r id="V:Rule133" type="connector" idref="#Straight Connector 1782"/>
        <o:r id="V:Rule134" type="connector" idref="#Straight Connector 1167"/>
        <o:r id="V:Rule135" type="connector" idref="#Straight Connector 1640"/>
        <o:r id="V:Rule136" type="connector" idref="#Straight Connector 1872"/>
        <o:r id="V:Rule137" type="connector" idref="#Straight Connector 1896"/>
        <o:r id="V:Rule138" type="connector" idref="#Straight Connector 1949"/>
        <o:r id="V:Rule139" type="connector" idref="#Straight Connector 2278"/>
        <o:r id="V:Rule140" type="connector" idref="#Straight Connector 1833"/>
        <o:r id="V:Rule141" type="connector" idref="#Straight Connector 1931"/>
        <o:r id="V:Rule142" type="connector" idref="#Straight Connector 2273"/>
        <o:r id="V:Rule143" type="connector" idref="#Straight Connector 1632"/>
        <o:r id="V:Rule144" type="connector" idref="#Straight Connector 1850"/>
        <o:r id="V:Rule145" type="connector" idref="#Straight Connector 1500"/>
        <o:r id="V:Rule146" type="connector" idref="#Straight Connector 1998"/>
        <o:r id="V:Rule147" type="connector" idref="#Straight Connector 1539"/>
        <o:r id="V:Rule148" type="connector" idref="#Straight Connector 1950"/>
        <o:r id="V:Rule149" type="connector" idref="#Straight Connector 1104"/>
        <o:r id="V:Rule150" type="connector" idref="#Straight Connector 1855"/>
        <o:r id="V:Rule151" type="connector" idref="#Straight Connector 1767"/>
        <o:r id="V:Rule152" type="connector" idref="#Straight Connector 1109"/>
        <o:r id="V:Rule153" type="connector" idref="#Straight Connector 1655"/>
        <o:r id="V:Rule154" type="connector" idref="#Straight Connector 1951"/>
        <o:r id="V:Rule155" type="connector" idref="#Straight Connector 1966"/>
        <o:r id="V:Rule156" type="connector" idref="#Straight Connector 1523"/>
        <o:r id="V:Rule157" type="connector" idref="#Straight Connector 1604"/>
        <o:r id="V:Rule158" type="connector" idref="#直接箭头连接符 33"/>
        <o:r id="V:Rule159" type="connector" idref="#Straight Connector 2045"/>
        <o:r id="V:Rule160" type="connector" idref="#Straight Connector 2318"/>
        <o:r id="V:Rule161" type="connector" idref="#Straight Connector 2272"/>
        <o:r id="V:Rule162" type="connector" idref="#Straight Connector 1554"/>
        <o:r id="V:Rule163" type="connector" idref="#Straight Connector 1769"/>
        <o:r id="V:Rule164" type="connector" idref="#Straight Connector 1621"/>
        <o:r id="V:Rule165" type="connector" idref="#直接箭头连接符 23"/>
        <o:r id="V:Rule166" type="connector" idref="#Straight Connector 1902"/>
        <o:r id="V:Rule167" type="connector" idref="#Straight Connector 1849"/>
        <o:r id="V:Rule168" type="connector" idref="#Straight Connector 1524"/>
        <o:r id="V:Rule169" type="connector" idref="#Straight Connector 2308"/>
        <o:r id="V:Rule170" type="connector" idref="#Straight Connector 1485"/>
        <o:r id="V:Rule171" type="connector" idref="#Straight Connector 1557"/>
        <o:r id="V:Rule172" type="connector" idref="#Straight Connector 1643"/>
        <o:r id="V:Rule173" type="connector" idref="#Straight Connector 1723"/>
        <o:r id="V:Rule174" type="connector" idref="#Straight Connector 1627"/>
        <o:r id="V:Rule175" type="connector" idref="#Straight Connector 2261"/>
        <o:r id="V:Rule176" type="connector" idref="#Straight Connector 2312"/>
        <o:r id="V:Rule177" type="connector" idref="#Straight Connector 1558"/>
        <o:r id="V:Rule178" type="connector" idref="#Straight Connector 1530"/>
        <o:r id="V:Rule179" type="connector" idref="#Straight Connector 1991"/>
        <o:r id="V:Rule180" type="connector" idref="#Straight Connector 2334"/>
        <o:r id="V:Rule181" type="connector" idref="#Straight Connector 2296"/>
        <o:r id="V:Rule182" type="connector" idref="#Straight Connector 2398"/>
        <o:r id="V:Rule183" type="connector" idref="#Straight Connector 1764"/>
        <o:r id="V:Rule184" type="connector" idref="#Straight Connector 1856"/>
        <o:r id="V:Rule185" type="connector" idref="#Straight Connector 1590"/>
        <o:r id="V:Rule186" type="connector" idref="#Straight Connector 1515"/>
        <o:r id="V:Rule187" type="connector" idref="#直接箭头连接符 10"/>
        <o:r id="V:Rule188" type="connector" idref="#Straight Connector 2251"/>
        <o:r id="V:Rule189" type="connector" idref="#Straight Connector 2329"/>
        <o:r id="V:Rule190" type="connector" idref="#Straight Connector 1774"/>
        <o:r id="V:Rule191" type="connector" idref="#Straight Connector 1753"/>
        <o:r id="V:Rule192" type="connector" idref="#Straight Connector 1988"/>
        <o:r id="V:Rule193" type="connector" idref="#Straight Connector 1650"/>
        <o:r id="V:Rule194" type="connector" idref="#Straight Connector 1593"/>
        <o:r id="V:Rule195" type="connector" idref="#Straight Connector 1722"/>
        <o:r id="V:Rule196" type="connector" idref="#Straight Connector 2332"/>
        <o:r id="V:Rule197" type="connector" idref="#Straight Connector 1121"/>
        <o:r id="V:Rule198" type="connector" idref="#Straight Connector 2330"/>
        <o:r id="V:Rule199" type="connector" idref="#Straight Connector 1502"/>
        <o:r id="V:Rule200" type="connector" idref="#Straight Connector 1996"/>
        <o:r id="V:Rule201" type="connector" idref="#Straight Connector 2263"/>
        <o:r id="V:Rule202" type="connector" idref="#Straight Connector 1663"/>
        <o:r id="V:Rule203" type="connector" idref="#Straight Connector 2301"/>
        <o:r id="V:Rule204" type="connector" idref="#Straight Connector 2313"/>
        <o:r id="V:Rule205" type="connector" idref="#Straight Connector 1613"/>
        <o:r id="V:Rule206" type="connector" idref="#Straight Connector 1945"/>
        <o:r id="V:Rule207" type="connector" idref="#Straight Connector 1750"/>
        <o:r id="V:Rule208" type="connector" idref="#Straight Connector 1169"/>
        <o:r id="V:Rule209" type="connector" idref="#直接箭头连接符 37"/>
        <o:r id="V:Rule210" type="connector" idref="#Straight Connector 1907"/>
        <o:r id="V:Rule211" type="connector" idref="#Straight Connector 2240"/>
        <o:r id="V:Rule212" type="connector" idref="#Straight Connector 2294"/>
        <o:r id="V:Rule213" type="connector" idref="#Straight Connector 1112"/>
        <o:r id="V:Rule214" type="connector" idref="#Straight Connector 2241"/>
        <o:r id="V:Rule215" type="connector" idref="#Straight Connector 1630"/>
        <o:r id="V:Rule216" type="connector" idref="#Straight Connector 1608"/>
        <o:r id="V:Rule217" type="connector" idref="#Straight Connector 2328"/>
        <o:r id="V:Rule218" type="connector" idref="#Straight Connector 2320"/>
        <o:r id="V:Rule219" type="connector" idref="#Straight Connector 1639"/>
        <o:r id="V:Rule220" type="connector" idref="#Straight Connector 1175"/>
        <o:r id="V:Rule221" type="connector" idref="#Straight Connector 1084"/>
        <o:r id="V:Rule222" type="connector" idref="#Straight Connector 1779"/>
        <o:r id="V:Rule223" type="connector" idref="#Straight Connector 1069"/>
        <o:r id="V:Rule224" type="connector" idref="#Straight Connector 1628"/>
        <o:r id="V:Rule225" type="connector" idref="#Straight Connector 1746"/>
        <o:r id="V:Rule226" type="connector" idref="#Straight Connector 1496"/>
        <o:r id="V:Rule227" type="connector" idref="#Straight Connector 1959"/>
        <o:r id="V:Rule228" type="connector" idref="#Straight Connector 1165"/>
        <o:r id="V:Rule229" type="connector" idref="#Straight Connector 2399"/>
        <o:r id="V:Rule230" type="connector" idref="#Straight Connector 1838"/>
        <o:r id="V:Rule231" type="connector" idref="#Straight Connector 1124"/>
        <o:r id="V:Rule232" type="connector" idref="#Straight Connector 1837"/>
        <o:r id="V:Rule233" type="connector" idref="#Straight Connector 1652"/>
        <o:r id="V:Rule234" type="connector" idref="#Straight Connector 2267"/>
        <o:r id="V:Rule235" type="connector" idref="#Straight Connector 1982"/>
        <o:r id="V:Rule236" type="connector" idref="#Straight Connector 1796"/>
        <o:r id="V:Rule237" type="connector" idref="#Straight Connector 2306"/>
        <o:r id="V:Rule238" type="connector" idref="#Straight Connector 1993"/>
        <o:r id="V:Rule239" type="connector" idref="#Straight Connector 1960"/>
        <o:r id="V:Rule240" type="connector" idref="#Straight Connector 2299"/>
        <o:r id="V:Rule241" type="connector" idref="#直接箭头连接符 16"/>
        <o:r id="V:Rule242" type="connector" idref="#Straight Connector 1083"/>
        <o:r id="V:Rule243" type="connector" idref="#Elbow Connector 2235"/>
        <o:r id="V:Rule244" type="connector" idref="#Straight Connector 2295"/>
        <o:r id="V:Rule245" type="connector" idref="#Straight Connector 1106"/>
        <o:r id="V:Rule246" type="connector" idref="#Straight Connector 1868"/>
        <o:r id="V:Rule247" type="connector" idref="#Straight Connector 1575"/>
        <o:r id="V:Rule248" type="connector" idref="#Straight Connector 1848"/>
        <o:r id="V:Rule249" type="connector" idref="#Straight Connector 1114"/>
        <o:r id="V:Rule250" type="connector" idref="#Straight Connector 1542"/>
        <o:r id="V:Rule251" type="connector" idref="#Straight Connector 1118"/>
        <o:r id="V:Rule252" type="connector" idref="#Straight Connector 1983"/>
        <o:r id="V:Rule253" type="connector" idref="#Straight Connector 2105"/>
        <o:r id="V:Rule254" type="connector" idref="#Straight Connector 1526"/>
        <o:r id="V:Rule255" type="connector" idref="#直接箭头连接符 12"/>
        <o:r id="V:Rule256" type="connector" idref="#Straight Connector 1595"/>
        <o:r id="V:Rule257" type="connector" idref="#Straight Connector 1670"/>
        <o:r id="V:Rule258" type="connector" idref="#Straight Connector 2396"/>
        <o:r id="V:Rule259" type="connector" idref="#Straight Connector 1898"/>
        <o:r id="V:Rule260" type="connector" idref="#Straight Connector 1762"/>
        <o:r id="V:Rule261" type="connector" idref="#Straight Connector 1727"/>
        <o:r id="V:Rule262" type="connector" idref="#Straight Connector 1546"/>
        <o:r id="V:Rule263" type="connector" idref="#Straight Connector 1654"/>
        <o:r id="V:Rule264" type="connector" idref="#Straight Connector 1600"/>
        <o:r id="V:Rule265" type="connector" idref="#Straight Connector 1527"/>
        <o:r id="V:Rule266" type="connector" idref="#Straight Connector 1616"/>
        <o:r id="V:Rule267" type="connector" idref="#Straight Connector 1516"/>
        <o:r id="V:Rule268" type="connector" idref="#Straight Connector 1725"/>
        <o:r id="V:Rule269" type="connector" idref="#Straight Connector 1961"/>
        <o:r id="V:Rule270" type="connector" idref="#Straight Connector 2262"/>
        <o:r id="V:Rule271" type="connector" idref="#Straight Connector 1964"/>
        <o:r id="V:Rule272" type="connector" idref="#Straight Connector 1749"/>
        <o:r id="V:Rule273" type="connector" idref="#Straight Connector 1088"/>
        <o:r id="V:Rule274" type="connector" idref="#Straight Connector 1930"/>
        <o:r id="V:Rule275" type="connector" idref="#直接箭头连接符 39"/>
        <o:r id="V:Rule276" type="connector" idref="#Straight Connector 1624"/>
        <o:r id="V:Rule277" type="connector" idref="#Straight Connector 1633"/>
        <o:r id="V:Rule278" type="connector" idref="#Straight Connector 1760"/>
        <o:r id="V:Rule279" type="connector" idref="#Straight Connector 1792"/>
        <o:r id="V:Rule280" type="connector" idref="#直接箭头连接符 28"/>
        <o:r id="V:Rule281" type="connector" idref="#Straight Connector 1071"/>
        <o:r id="V:Rule282" type="connector" idref="#Straight Connector 2237"/>
        <o:r id="V:Rule283" type="connector" idref="#Straight Connector 2245"/>
        <o:r id="V:Rule284" type="connector" idref="#Straight Connector 1751"/>
        <o:r id="V:Rule285" type="connector" idref="#Straight Connector 1685"/>
        <o:r id="V:Rule286" type="connector" idref="#Straight Connector 1953"/>
        <o:r id="V:Rule287" type="connector" idref="#Straight Connector 2197"/>
        <o:r id="V:Rule288" type="connector" idref="#Straight Connector 1946"/>
        <o:r id="V:Rule289" type="connector" idref="#Straight Connector 1786"/>
        <o:r id="V:Rule290" type="connector" idref="#Straight Connector 1587"/>
        <o:r id="V:Rule291" type="connector" idref="#Straight Connector 2321"/>
        <o:r id="V:Rule292" type="connector" idref="#Straight Connector 1610"/>
        <o:r id="V:Rule293" type="connector" idref="#Straight Connector 2319"/>
        <o:r id="V:Rule294" type="connector" idref="#Straight Connector 1540"/>
        <o:r id="V:Rule295" type="connector" idref="#Straight Connector 2001"/>
        <o:r id="V:Rule296" type="connector" idref="#Straight Connector 1682"/>
        <o:r id="V:Rule297" type="connector" idref="#Straight Connector 1509"/>
        <o:r id="V:Rule298" type="connector" idref="#Straight Connector 1766"/>
        <o:r id="V:Rule299" type="connector" idref="#Straight Connector 2289"/>
        <o:r id="V:Rule300" type="connector" idref="#Straight Connector 2275"/>
        <o:r id="V:Rule301" type="connector" idref="#Straight Connector 2000"/>
        <o:r id="V:Rule302" type="connector" idref="#直接箭头连接符 29"/>
        <o:r id="V:Rule303" type="connector" idref="#Straight Connector 1852"/>
        <o:r id="V:Rule304" type="connector" idref="#Straight Connector 1886"/>
        <o:r id="V:Rule305" type="connector" idref="#Straight Connector 1635"/>
        <o:r id="V:Rule306" type="connector" idref="#Straight Connector 1078"/>
        <o:r id="V:Rule307" type="connector" idref="#Straight Connector 2271"/>
        <o:r id="V:Rule308" type="connector" idref="#Straight Connector 2394"/>
        <o:r id="V:Rule309" type="connector" idref="#Straight Connector 1491"/>
        <o:r id="V:Rule310" type="connector" idref="#Straight Connector 1537"/>
        <o:r id="V:Rule311" type="connector" idref="#Straight Connector 1602"/>
        <o:r id="V:Rule312" type="connector" idref="#Straight Connector 1597"/>
        <o:r id="V:Rule313" type="connector" idref="#Straight Connector 2004"/>
        <o:r id="V:Rule314" type="connector" idref="#Straight Connector 1839"/>
        <o:r id="V:Rule315" type="connector" idref="#Straight Connector 1808"/>
        <o:r id="V:Rule316" type="connector" idref="#Straight Connector 1093"/>
        <o:r id="V:Rule317" type="connector" idref="#Straight Connector 1824"/>
        <o:r id="V:Rule318" type="connector" idref="#Straight Connector 2255"/>
        <o:r id="V:Rule319" type="connector" idref="#Straight Connector 1074"/>
        <o:r id="V:Rule320" type="connector" idref="#Straight Connector 1107"/>
        <o:r id="V:Rule321" type="connector" idref="#Straight Connector 1517"/>
        <o:r id="V:Rule322" type="connector" idref="#Straight Connector 1667"/>
        <o:r id="V:Rule323" type="connector" idref="#Straight Connector 1962"/>
        <o:r id="V:Rule324" type="connector" idref="#Straight Connector 1493"/>
        <o:r id="V:Rule325" type="connector" idref="#Straight Connector 1784"/>
        <o:r id="V:Rule326" type="connector" idref="#Straight Connector 1489"/>
        <o:r id="V:Rule327" type="connector" idref="#Straight Connector 1113"/>
        <o:r id="V:Rule328" type="connector" idref="#Straight Connector 1892"/>
        <o:r id="V:Rule329" type="connector" idref="#Straight Connector 1565"/>
        <o:r id="V:Rule330" type="connector" idref="#Straight Connector 2347"/>
        <o:r id="V:Rule331" type="connector" idref="#Straight Connector 1684"/>
        <o:r id="V:Rule332" type="connector" idref="#Straight Connector 1901"/>
        <o:r id="V:Rule333" type="connector" idref="#Straight Connector 1484"/>
        <o:r id="V:Rule334" type="connector" idref="#Straight Connector 2248"/>
        <o:r id="V:Rule335" type="connector" idref="#Straight Connector 1549"/>
        <o:r id="V:Rule336" type="connector" idref="#Straight Connector 1504"/>
        <o:r id="V:Rule337" type="connector" idref="#Straight Connector 1843"/>
        <o:r id="V:Rule338" type="connector" idref="#Straight Connector 1758"/>
        <o:r id="V:Rule339" type="connector" idref="#Straight Connector 2279"/>
        <o:r id="V:Rule340" type="connector" idref="#Straight Connector 1799"/>
        <o:r id="V:Rule341" type="connector" idref="#Straight Connector 1177"/>
        <o:r id="V:Rule342" type="connector" idref="#Straight Connector 2246"/>
        <o:r id="V:Rule343" type="connector" idref="#Straight Connector 1801"/>
        <o:r id="V:Rule344" type="connector" idref="#Straight Connector 2307"/>
        <o:r id="V:Rule345" type="connector" idref="#直接箭头连接符 36"/>
        <o:r id="V:Rule346" type="connector" idref="#Straight Connector 1518"/>
        <o:r id="V:Rule347" type="connector" idref="#Straight Connector 1623"/>
        <o:r id="V:Rule348" type="connector" idref="#Straight Connector 2300"/>
        <o:r id="V:Rule349" type="connector" idref="#Straight Connector 1876"/>
        <o:r id="V:Rule350" type="connector" idref="#Straight Connector 2238"/>
        <o:r id="V:Rule351" type="connector" idref="#Straight Connector 1805"/>
        <o:r id="V:Rule352" type="connector" idref="#Straight Connector 1531"/>
        <o:r id="V:Rule353" type="connector" idref="#Straight Connector 1666"/>
        <o:r id="V:Rule354" type="connector" idref="#Straight Connector 1763"/>
        <o:r id="V:Rule355" type="connector" idref="#Straight Connector 1647"/>
        <o:r id="V:Rule356" type="connector" idref="#Straight Connector 2043"/>
        <o:r id="V:Rule357" type="connector" idref="#Straight Connector 1606"/>
        <o:r id="V:Rule358" type="connector" idref="#Straight Connector 1869"/>
        <o:r id="V:Rule359" type="connector" idref="#Straight Connector 1123"/>
        <o:r id="V:Rule360" type="connector" idref="#Straight Connector 2046"/>
        <o:r id="V:Rule361" type="connector" idref="#Straight Connector 1906"/>
        <o:r id="V:Rule362" type="connector" idref="#Straight Connector 1903"/>
        <o:r id="V:Rule363" type="connector" idref="#Straight Connector 1068"/>
        <o:r id="V:Rule364" type="connector" idref="#Straight Connector 2287"/>
        <o:r id="V:Rule365" type="connector" idref="#Straight Connector 1494"/>
        <o:r id="V:Rule366" type="connector" idref="#Straight Connector 1756"/>
        <o:r id="V:Rule367" type="connector" idref="#Straight Connector 1726"/>
        <o:r id="V:Rule368" type="connector" idref="#Straight Connector 1641"/>
        <o:r id="V:Rule369" type="connector" idref="#Straight Connector 1674"/>
        <o:r id="V:Rule370" type="connector" idref="#Straight Connector 1990"/>
        <o:r id="V:Rule371" type="connector" idref="#Straight Connector 1669"/>
        <o:r id="V:Rule372" type="connector" idref="#直接箭头连接符 20"/>
        <o:r id="V:Rule373" type="connector" idref="#Straight Connector 1870"/>
        <o:r id="V:Rule374" type="connector" idref="#Straight Connector 1532"/>
        <o:r id="V:Rule375" type="connector" idref="#Straight Connector 1079"/>
        <o:r id="V:Rule376" type="connector" idref="#Straight Connector 1085"/>
        <o:r id="V:Rule377" type="connector" idref="#Straight Connector 1936"/>
        <o:r id="V:Rule378" type="connector" idref="#Straight Connector 2266"/>
        <o:r id="V:Rule379" type="connector" idref="#Straight Connector 1935"/>
        <o:r id="V:Rule380" type="connector" idref="#直接箭头连接符 18"/>
        <o:r id="V:Rule381" type="connector" idref="#Straight Connector 2250"/>
        <o:r id="V:Rule382" type="connector" idref="#Straight Connector 2284"/>
        <o:r id="V:Rule383" type="connector" idref="#Straight Connector 1563"/>
        <o:r id="V:Rule384" type="connector" idref="#Straight Connector 1836"/>
        <o:r id="V:Rule385" type="connector" idref="#Straight Connector 2325"/>
        <o:r id="V:Rule386" type="connector" idref="#Straight Connector 1939"/>
        <o:r id="V:Rule387" type="connector" idref="#Straight Connector 1928"/>
        <o:r id="V:Rule388" type="connector" idref="#Straight Connector 1544"/>
        <o:r id="V:Rule389" type="connector" idref="#Straight Connector 1545"/>
        <o:r id="V:Rule390" type="connector" idref="#Straight Connector 1658"/>
      </o:rules>
    </o:shapelayout>
  </w:shapeDefaults>
  <w:decimalSymbol w:val="."/>
  <w:listSeparator w:val=","/>
  <w14:docId w14:val="6B986596"/>
  <w15:docId w15:val="{752F18F6-F371-4C4F-A202-7EBDD78F4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iPriority="99" w:unhideWhenUsed="1"/>
    <w:lsdException w:name="toa heading" w:semiHidden="1" w:unhideWhenUsed="1" w:qFormat="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qFormat="1"/>
    <w:lsdException w:name="Date" w:unhideWhenUsed="1" w:qFormat="1"/>
    <w:lsdException w:name="Body Text First Indent"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unhideWhenUsed="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jc w:val="both"/>
    </w:pPr>
    <w:rPr>
      <w:rFonts w:ascii="Calibri" w:hAnsi="Calibri"/>
      <w:kern w:val="2"/>
      <w:sz w:val="21"/>
      <w:szCs w:val="22"/>
    </w:rPr>
  </w:style>
  <w:style w:type="paragraph" w:styleId="1a">
    <w:name w:val="heading 1"/>
    <w:basedOn w:val="a1"/>
    <w:next w:val="a1"/>
    <w:link w:val="1b"/>
    <w:qFormat/>
    <w:pPr>
      <w:keepNext/>
      <w:keepLines/>
      <w:spacing w:before="340" w:after="330" w:line="578" w:lineRule="auto"/>
      <w:outlineLvl w:val="0"/>
    </w:pPr>
    <w:rPr>
      <w:b/>
      <w:bCs/>
      <w:kern w:val="44"/>
      <w:sz w:val="44"/>
      <w:szCs w:val="44"/>
    </w:rPr>
  </w:style>
  <w:style w:type="paragraph" w:styleId="2a">
    <w:name w:val="heading 2"/>
    <w:basedOn w:val="a1"/>
    <w:next w:val="a1"/>
    <w:link w:val="2b"/>
    <w:qFormat/>
    <w:pPr>
      <w:keepNext/>
      <w:keepLines/>
      <w:spacing w:beforeLines="100" w:afterLines="50" w:line="360" w:lineRule="auto"/>
      <w:jc w:val="left"/>
      <w:outlineLvl w:val="1"/>
    </w:pPr>
    <w:rPr>
      <w:rFonts w:ascii="Arial" w:eastAsia="黑体" w:hAnsi="Arial"/>
      <w:b/>
      <w:bCs/>
      <w:kern w:val="0"/>
      <w:sz w:val="32"/>
      <w:szCs w:val="32"/>
    </w:rPr>
  </w:style>
  <w:style w:type="paragraph" w:styleId="3a">
    <w:name w:val="heading 3"/>
    <w:basedOn w:val="a1"/>
    <w:next w:val="a1"/>
    <w:link w:val="3b"/>
    <w:qFormat/>
    <w:pPr>
      <w:keepNext/>
      <w:keepLines/>
      <w:spacing w:before="260" w:after="260" w:line="416" w:lineRule="auto"/>
      <w:outlineLvl w:val="2"/>
    </w:pPr>
    <w:rPr>
      <w:b/>
      <w:bCs/>
      <w:kern w:val="0"/>
      <w:sz w:val="32"/>
      <w:szCs w:val="32"/>
    </w:rPr>
  </w:style>
  <w:style w:type="paragraph" w:styleId="4a">
    <w:name w:val="heading 4"/>
    <w:basedOn w:val="a1"/>
    <w:next w:val="a1"/>
    <w:link w:val="4b"/>
    <w:unhideWhenUsed/>
    <w:qFormat/>
    <w:pPr>
      <w:keepNext/>
      <w:keepLines/>
      <w:spacing w:before="280" w:after="290" w:line="376" w:lineRule="auto"/>
      <w:outlineLvl w:val="3"/>
    </w:pPr>
    <w:rPr>
      <w:rFonts w:ascii="Cambria" w:hAnsi="Cambria" w:cs="黑体"/>
      <w:b/>
      <w:bCs/>
      <w:sz w:val="28"/>
      <w:szCs w:val="28"/>
    </w:rPr>
  </w:style>
  <w:style w:type="paragraph" w:styleId="5a">
    <w:name w:val="heading 5"/>
    <w:basedOn w:val="a1"/>
    <w:next w:val="a2"/>
    <w:link w:val="5b"/>
    <w:qFormat/>
    <w:pPr>
      <w:keepNext/>
      <w:keepLines/>
      <w:tabs>
        <w:tab w:val="left" w:pos="2300"/>
      </w:tabs>
      <w:spacing w:before="280" w:after="290" w:line="376" w:lineRule="auto"/>
      <w:ind w:left="1008" w:hanging="432"/>
      <w:outlineLvl w:val="4"/>
    </w:pPr>
    <w:rPr>
      <w:b/>
      <w:bCs/>
      <w:kern w:val="0"/>
      <w:sz w:val="28"/>
      <w:szCs w:val="28"/>
    </w:rPr>
  </w:style>
  <w:style w:type="paragraph" w:styleId="60">
    <w:name w:val="heading 6"/>
    <w:basedOn w:val="a1"/>
    <w:next w:val="a1"/>
    <w:link w:val="61"/>
    <w:qFormat/>
    <w:pPr>
      <w:keepNext/>
      <w:keepLines/>
      <w:tabs>
        <w:tab w:val="left" w:pos="2720"/>
      </w:tabs>
      <w:spacing w:before="240" w:after="64" w:line="320" w:lineRule="auto"/>
      <w:ind w:left="1152" w:hanging="432"/>
      <w:outlineLvl w:val="5"/>
    </w:pPr>
    <w:rPr>
      <w:rFonts w:ascii="Calibri Light" w:hAnsi="Calibri Light"/>
      <w:b/>
      <w:bCs/>
      <w:sz w:val="24"/>
      <w:szCs w:val="24"/>
    </w:rPr>
  </w:style>
  <w:style w:type="paragraph" w:styleId="7a">
    <w:name w:val="heading 7"/>
    <w:basedOn w:val="a1"/>
    <w:next w:val="a1"/>
    <w:link w:val="7b"/>
    <w:qFormat/>
    <w:pPr>
      <w:keepNext/>
      <w:keepLines/>
      <w:tabs>
        <w:tab w:val="left" w:pos="3140"/>
      </w:tabs>
      <w:spacing w:before="240" w:after="64" w:line="320" w:lineRule="auto"/>
      <w:ind w:left="1296" w:hanging="288"/>
      <w:outlineLvl w:val="6"/>
    </w:pPr>
    <w:rPr>
      <w:b/>
      <w:bCs/>
      <w:sz w:val="24"/>
      <w:szCs w:val="24"/>
    </w:rPr>
  </w:style>
  <w:style w:type="paragraph" w:styleId="8a">
    <w:name w:val="heading 8"/>
    <w:basedOn w:val="a1"/>
    <w:next w:val="a1"/>
    <w:link w:val="8b"/>
    <w:qFormat/>
    <w:pPr>
      <w:keepNext/>
      <w:keepLines/>
      <w:tabs>
        <w:tab w:val="left" w:pos="3560"/>
      </w:tabs>
      <w:spacing w:before="240" w:after="64" w:line="320" w:lineRule="auto"/>
      <w:ind w:left="1440" w:hanging="432"/>
      <w:outlineLvl w:val="7"/>
    </w:pPr>
    <w:rPr>
      <w:rFonts w:ascii="Calibri Light" w:hAnsi="Calibri Light"/>
      <w:kern w:val="0"/>
      <w:sz w:val="24"/>
      <w:szCs w:val="24"/>
    </w:rPr>
  </w:style>
  <w:style w:type="paragraph" w:styleId="9a">
    <w:name w:val="heading 9"/>
    <w:basedOn w:val="a1"/>
    <w:next w:val="a1"/>
    <w:link w:val="9b"/>
    <w:qFormat/>
    <w:pPr>
      <w:keepNext/>
      <w:keepLines/>
      <w:tabs>
        <w:tab w:val="left" w:pos="3980"/>
      </w:tabs>
      <w:spacing w:before="240" w:after="64" w:line="320" w:lineRule="auto"/>
      <w:ind w:left="1584" w:hanging="144"/>
      <w:outlineLvl w:val="8"/>
    </w:pPr>
    <w:rPr>
      <w:rFonts w:ascii="Calibri Light" w:hAnsi="Calibri Light"/>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link w:val="a6"/>
    <w:qFormat/>
    <w:pPr>
      <w:adjustRightInd w:val="0"/>
      <w:snapToGrid w:val="0"/>
      <w:spacing w:line="520" w:lineRule="exact"/>
      <w:ind w:firstLineChars="200" w:firstLine="420"/>
      <w:jc w:val="left"/>
    </w:pPr>
    <w:rPr>
      <w:rFonts w:ascii="Times New Roman" w:eastAsia="仿宋_GB2312" w:hAnsi="Times New Roman"/>
      <w:kern w:val="0"/>
      <w:sz w:val="28"/>
      <w:szCs w:val="20"/>
    </w:rPr>
  </w:style>
  <w:style w:type="paragraph" w:styleId="3c">
    <w:name w:val="List 3"/>
    <w:basedOn w:val="a1"/>
    <w:qFormat/>
    <w:pPr>
      <w:ind w:leftChars="400" w:left="100" w:hangingChars="200" w:hanging="200"/>
    </w:pPr>
    <w:rPr>
      <w:rFonts w:ascii="Times New Roman" w:hAnsi="Times New Roman"/>
      <w:szCs w:val="24"/>
    </w:rPr>
  </w:style>
  <w:style w:type="paragraph" w:styleId="7c">
    <w:name w:val="toc 7"/>
    <w:basedOn w:val="a1"/>
    <w:next w:val="a1"/>
    <w:qFormat/>
    <w:pPr>
      <w:ind w:leftChars="1200" w:left="2520"/>
    </w:pPr>
  </w:style>
  <w:style w:type="paragraph" w:styleId="2c">
    <w:name w:val="List Number 2"/>
    <w:basedOn w:val="a1"/>
    <w:qFormat/>
    <w:pPr>
      <w:tabs>
        <w:tab w:val="left" w:pos="780"/>
      </w:tabs>
      <w:ind w:left="780" w:hanging="360"/>
    </w:pPr>
    <w:rPr>
      <w:rFonts w:ascii="Times New Roman" w:hAnsi="Times New Roman"/>
      <w:szCs w:val="20"/>
    </w:rPr>
  </w:style>
  <w:style w:type="paragraph" w:styleId="a7">
    <w:name w:val="table of authorities"/>
    <w:basedOn w:val="a1"/>
    <w:next w:val="a1"/>
    <w:semiHidden/>
    <w:qFormat/>
    <w:pPr>
      <w:ind w:leftChars="200" w:left="420"/>
    </w:pPr>
    <w:rPr>
      <w:rFonts w:ascii="Times New Roman" w:hAnsi="Times New Roman"/>
      <w:szCs w:val="24"/>
    </w:rPr>
  </w:style>
  <w:style w:type="paragraph" w:styleId="a8">
    <w:name w:val="Note Heading"/>
    <w:basedOn w:val="a1"/>
    <w:next w:val="a1"/>
    <w:link w:val="a9"/>
    <w:qFormat/>
    <w:pPr>
      <w:jc w:val="center"/>
    </w:pPr>
    <w:rPr>
      <w:rFonts w:ascii="Times New Roman" w:hAnsi="Times New Roman"/>
      <w:kern w:val="0"/>
      <w:sz w:val="20"/>
      <w:szCs w:val="20"/>
    </w:rPr>
  </w:style>
  <w:style w:type="paragraph" w:styleId="40">
    <w:name w:val="List Bullet 4"/>
    <w:basedOn w:val="a1"/>
    <w:qFormat/>
    <w:pPr>
      <w:numPr>
        <w:numId w:val="1"/>
      </w:numPr>
    </w:pPr>
    <w:rPr>
      <w:rFonts w:ascii="Times New Roman" w:hAnsi="Times New Roman"/>
      <w:szCs w:val="24"/>
    </w:rPr>
  </w:style>
  <w:style w:type="paragraph" w:styleId="aa">
    <w:name w:val="E-mail Signature"/>
    <w:basedOn w:val="a1"/>
    <w:link w:val="ab"/>
    <w:qFormat/>
    <w:rPr>
      <w:rFonts w:ascii="Times New Roman" w:hAnsi="Times New Roman"/>
      <w:szCs w:val="24"/>
    </w:rPr>
  </w:style>
  <w:style w:type="paragraph" w:styleId="ac">
    <w:name w:val="List Number"/>
    <w:basedOn w:val="ad"/>
    <w:qFormat/>
    <w:pPr>
      <w:widowControl/>
      <w:overflowPunct w:val="0"/>
      <w:autoSpaceDE w:val="0"/>
      <w:autoSpaceDN w:val="0"/>
      <w:adjustRightInd w:val="0"/>
      <w:spacing w:after="160"/>
      <w:ind w:left="720" w:hanging="360"/>
      <w:jc w:val="left"/>
      <w:textAlignment w:val="baseline"/>
    </w:pPr>
    <w:rPr>
      <w:rFonts w:ascii="Times New Roman" w:eastAsia="宋体"/>
      <w:kern w:val="0"/>
      <w:sz w:val="20"/>
    </w:rPr>
  </w:style>
  <w:style w:type="paragraph" w:styleId="ad">
    <w:name w:val="List"/>
    <w:basedOn w:val="a1"/>
    <w:qFormat/>
    <w:pPr>
      <w:ind w:left="420" w:hanging="420"/>
    </w:pPr>
    <w:rPr>
      <w:rFonts w:ascii="黑体" w:eastAsia="黑体" w:hAnsi="Times New Roman"/>
      <w:sz w:val="24"/>
      <w:szCs w:val="20"/>
    </w:rPr>
  </w:style>
  <w:style w:type="paragraph" w:styleId="ae">
    <w:name w:val="caption"/>
    <w:basedOn w:val="a1"/>
    <w:next w:val="a1"/>
    <w:link w:val="af"/>
    <w:qFormat/>
    <w:rPr>
      <w:rFonts w:ascii="Calibri Light" w:eastAsia="黑体" w:hAnsi="Calibri Light"/>
      <w:kern w:val="0"/>
      <w:sz w:val="20"/>
      <w:szCs w:val="20"/>
    </w:rPr>
  </w:style>
  <w:style w:type="paragraph" w:styleId="af0">
    <w:name w:val="List Bullet"/>
    <w:basedOn w:val="a1"/>
    <w:qFormat/>
    <w:pPr>
      <w:tabs>
        <w:tab w:val="left" w:pos="360"/>
      </w:tabs>
      <w:ind w:left="360" w:hanging="360"/>
    </w:pPr>
    <w:rPr>
      <w:rFonts w:ascii="Times New Roman" w:hAnsi="Times New Roman"/>
      <w:szCs w:val="24"/>
    </w:rPr>
  </w:style>
  <w:style w:type="paragraph" w:styleId="af1">
    <w:name w:val="envelope address"/>
    <w:basedOn w:val="a1"/>
    <w:qFormat/>
    <w:pPr>
      <w:framePr w:w="7920" w:h="1980" w:hRule="exact" w:hSpace="180" w:wrap="around" w:hAnchor="page" w:xAlign="center" w:yAlign="bottom"/>
      <w:ind w:leftChars="1400" w:left="100"/>
    </w:pPr>
    <w:rPr>
      <w:rFonts w:ascii="Arial" w:hAnsi="Arial" w:cs="Arial"/>
      <w:szCs w:val="24"/>
    </w:rPr>
  </w:style>
  <w:style w:type="paragraph" w:styleId="af2">
    <w:name w:val="Document Map"/>
    <w:basedOn w:val="a1"/>
    <w:link w:val="af3"/>
    <w:unhideWhenUsed/>
    <w:qFormat/>
    <w:rPr>
      <w:rFonts w:ascii="宋体"/>
      <w:sz w:val="18"/>
      <w:szCs w:val="18"/>
    </w:rPr>
  </w:style>
  <w:style w:type="paragraph" w:styleId="af4">
    <w:name w:val="toa heading"/>
    <w:basedOn w:val="a1"/>
    <w:next w:val="a1"/>
    <w:qFormat/>
    <w:pPr>
      <w:spacing w:before="120"/>
    </w:pPr>
    <w:rPr>
      <w:rFonts w:ascii="Arial" w:hAnsi="Arial"/>
      <w:sz w:val="24"/>
      <w:szCs w:val="20"/>
    </w:rPr>
  </w:style>
  <w:style w:type="paragraph" w:styleId="af5">
    <w:name w:val="annotation text"/>
    <w:basedOn w:val="a1"/>
    <w:link w:val="af6"/>
    <w:unhideWhenUsed/>
    <w:qFormat/>
    <w:pPr>
      <w:jc w:val="left"/>
    </w:pPr>
    <w:rPr>
      <w:kern w:val="0"/>
      <w:sz w:val="20"/>
      <w:szCs w:val="20"/>
    </w:rPr>
  </w:style>
  <w:style w:type="paragraph" w:styleId="af7">
    <w:name w:val="Salutation"/>
    <w:basedOn w:val="a1"/>
    <w:next w:val="a1"/>
    <w:link w:val="af8"/>
    <w:qFormat/>
    <w:rPr>
      <w:rFonts w:ascii="Times New Roman" w:hAnsi="Times New Roman"/>
      <w:szCs w:val="24"/>
    </w:rPr>
  </w:style>
  <w:style w:type="paragraph" w:styleId="3d">
    <w:name w:val="Body Text 3"/>
    <w:basedOn w:val="a1"/>
    <w:link w:val="3e"/>
    <w:qFormat/>
    <w:pPr>
      <w:spacing w:after="120"/>
    </w:pPr>
    <w:rPr>
      <w:rFonts w:ascii="Times New Roman" w:hAnsi="Times New Roman"/>
      <w:kern w:val="0"/>
      <w:sz w:val="16"/>
      <w:szCs w:val="16"/>
    </w:rPr>
  </w:style>
  <w:style w:type="paragraph" w:styleId="af9">
    <w:name w:val="Closing"/>
    <w:basedOn w:val="a1"/>
    <w:link w:val="afa"/>
    <w:qFormat/>
    <w:pPr>
      <w:ind w:leftChars="2100" w:left="100"/>
    </w:pPr>
    <w:rPr>
      <w:rFonts w:ascii="Times New Roman" w:hAnsi="Times New Roman"/>
      <w:szCs w:val="24"/>
    </w:rPr>
  </w:style>
  <w:style w:type="paragraph" w:styleId="30">
    <w:name w:val="List Bullet 3"/>
    <w:basedOn w:val="a1"/>
    <w:qFormat/>
    <w:pPr>
      <w:numPr>
        <w:numId w:val="2"/>
      </w:numPr>
    </w:pPr>
    <w:rPr>
      <w:rFonts w:ascii="Times New Roman" w:hAnsi="Times New Roman"/>
      <w:szCs w:val="24"/>
    </w:rPr>
  </w:style>
  <w:style w:type="paragraph" w:styleId="afb">
    <w:name w:val="Body Text"/>
    <w:basedOn w:val="a1"/>
    <w:link w:val="afc"/>
    <w:qFormat/>
    <w:pPr>
      <w:spacing w:after="120"/>
    </w:pPr>
    <w:rPr>
      <w:rFonts w:ascii="Times New Roman" w:hAnsi="Times New Roman"/>
      <w:kern w:val="0"/>
      <w:sz w:val="20"/>
      <w:szCs w:val="24"/>
    </w:rPr>
  </w:style>
  <w:style w:type="paragraph" w:styleId="afd">
    <w:name w:val="Body Text Indent"/>
    <w:basedOn w:val="a1"/>
    <w:link w:val="afe"/>
    <w:qFormat/>
    <w:pPr>
      <w:spacing w:after="120"/>
      <w:ind w:leftChars="200" w:left="420"/>
    </w:pPr>
    <w:rPr>
      <w:rFonts w:ascii="Times New Roman" w:hAnsi="Times New Roman"/>
      <w:kern w:val="0"/>
      <w:sz w:val="20"/>
      <w:szCs w:val="24"/>
    </w:rPr>
  </w:style>
  <w:style w:type="paragraph" w:styleId="3">
    <w:name w:val="List Number 3"/>
    <w:basedOn w:val="a1"/>
    <w:qFormat/>
    <w:pPr>
      <w:numPr>
        <w:numId w:val="3"/>
      </w:numPr>
    </w:pPr>
    <w:rPr>
      <w:rFonts w:ascii="Times New Roman" w:hAnsi="Times New Roman"/>
      <w:szCs w:val="24"/>
    </w:rPr>
  </w:style>
  <w:style w:type="paragraph" w:styleId="2d">
    <w:name w:val="List 2"/>
    <w:basedOn w:val="a1"/>
    <w:qFormat/>
    <w:pPr>
      <w:ind w:leftChars="200" w:left="100" w:hangingChars="200" w:hanging="200"/>
    </w:pPr>
    <w:rPr>
      <w:rFonts w:ascii="Times New Roman" w:hAnsi="Times New Roman"/>
      <w:szCs w:val="24"/>
    </w:rPr>
  </w:style>
  <w:style w:type="paragraph" w:styleId="aff">
    <w:name w:val="List Continue"/>
    <w:basedOn w:val="a1"/>
    <w:qFormat/>
    <w:pPr>
      <w:spacing w:after="120"/>
      <w:ind w:leftChars="200" w:left="420"/>
    </w:pPr>
    <w:rPr>
      <w:rFonts w:ascii="Times New Roman" w:hAnsi="Times New Roman"/>
      <w:szCs w:val="24"/>
    </w:rPr>
  </w:style>
  <w:style w:type="paragraph" w:styleId="aff0">
    <w:name w:val="Block Text"/>
    <w:basedOn w:val="a1"/>
    <w:qFormat/>
    <w:pPr>
      <w:widowControl/>
      <w:ind w:left="113" w:right="113"/>
      <w:jc w:val="center"/>
    </w:pPr>
    <w:rPr>
      <w:rFonts w:ascii="宋体" w:hAnsi="宋体"/>
      <w:kern w:val="0"/>
      <w:szCs w:val="24"/>
    </w:rPr>
  </w:style>
  <w:style w:type="paragraph" w:styleId="2">
    <w:name w:val="List Bullet 2"/>
    <w:basedOn w:val="a1"/>
    <w:qFormat/>
    <w:pPr>
      <w:numPr>
        <w:numId w:val="4"/>
      </w:numPr>
    </w:pPr>
    <w:rPr>
      <w:rFonts w:ascii="Times New Roman" w:hAnsi="Times New Roman"/>
      <w:szCs w:val="24"/>
    </w:rPr>
  </w:style>
  <w:style w:type="paragraph" w:styleId="HTML">
    <w:name w:val="HTML Address"/>
    <w:basedOn w:val="a1"/>
    <w:link w:val="HTML0"/>
    <w:qFormat/>
    <w:rPr>
      <w:rFonts w:ascii="Times New Roman" w:hAnsi="Times New Roman"/>
      <w:i/>
      <w:iCs/>
      <w:szCs w:val="24"/>
    </w:rPr>
  </w:style>
  <w:style w:type="paragraph" w:styleId="5c">
    <w:name w:val="toc 5"/>
    <w:basedOn w:val="a1"/>
    <w:next w:val="a1"/>
    <w:qFormat/>
    <w:pPr>
      <w:ind w:leftChars="800" w:left="1680"/>
    </w:pPr>
  </w:style>
  <w:style w:type="paragraph" w:styleId="3f">
    <w:name w:val="toc 3"/>
    <w:basedOn w:val="a1"/>
    <w:next w:val="a1"/>
    <w:unhideWhenUsed/>
    <w:qFormat/>
    <w:pPr>
      <w:ind w:leftChars="400" w:left="840"/>
    </w:pPr>
  </w:style>
  <w:style w:type="paragraph" w:styleId="aff1">
    <w:name w:val="Plain Text"/>
    <w:basedOn w:val="a1"/>
    <w:link w:val="aff2"/>
    <w:qFormat/>
    <w:pPr>
      <w:spacing w:line="360" w:lineRule="auto"/>
      <w:ind w:firstLineChars="200" w:firstLine="200"/>
    </w:pPr>
    <w:rPr>
      <w:rFonts w:ascii="宋体" w:hAnsi="Courier New" w:cs="黑体"/>
    </w:rPr>
  </w:style>
  <w:style w:type="paragraph" w:styleId="50">
    <w:name w:val="List Bullet 5"/>
    <w:basedOn w:val="a1"/>
    <w:qFormat/>
    <w:pPr>
      <w:numPr>
        <w:numId w:val="5"/>
      </w:numPr>
    </w:pPr>
    <w:rPr>
      <w:rFonts w:ascii="宋体" w:hAnsi="宋体" w:hint="eastAsia"/>
      <w:sz w:val="24"/>
      <w:szCs w:val="24"/>
    </w:rPr>
  </w:style>
  <w:style w:type="paragraph" w:styleId="4">
    <w:name w:val="List Number 4"/>
    <w:basedOn w:val="a1"/>
    <w:qFormat/>
    <w:pPr>
      <w:numPr>
        <w:numId w:val="6"/>
      </w:numPr>
    </w:pPr>
    <w:rPr>
      <w:rFonts w:ascii="Times New Roman" w:hAnsi="Times New Roman"/>
      <w:szCs w:val="24"/>
    </w:rPr>
  </w:style>
  <w:style w:type="paragraph" w:styleId="8c">
    <w:name w:val="toc 8"/>
    <w:basedOn w:val="a1"/>
    <w:next w:val="a1"/>
    <w:qFormat/>
    <w:pPr>
      <w:ind w:leftChars="1400" w:left="2940"/>
    </w:pPr>
  </w:style>
  <w:style w:type="paragraph" w:styleId="aff3">
    <w:name w:val="Date"/>
    <w:basedOn w:val="a1"/>
    <w:next w:val="a1"/>
    <w:link w:val="aff4"/>
    <w:unhideWhenUsed/>
    <w:qFormat/>
    <w:pPr>
      <w:ind w:leftChars="2500" w:left="100"/>
    </w:pPr>
    <w:rPr>
      <w:kern w:val="0"/>
      <w:sz w:val="20"/>
      <w:szCs w:val="20"/>
    </w:rPr>
  </w:style>
  <w:style w:type="paragraph" w:styleId="2e">
    <w:name w:val="Body Text Indent 2"/>
    <w:basedOn w:val="a1"/>
    <w:link w:val="2f"/>
    <w:qFormat/>
    <w:pPr>
      <w:spacing w:after="120" w:line="480" w:lineRule="auto"/>
      <w:ind w:leftChars="200" w:left="420"/>
    </w:pPr>
    <w:rPr>
      <w:rFonts w:ascii="Times New Roman" w:hAnsi="Times New Roman"/>
      <w:kern w:val="0"/>
      <w:sz w:val="20"/>
      <w:szCs w:val="20"/>
    </w:rPr>
  </w:style>
  <w:style w:type="paragraph" w:styleId="aff5">
    <w:name w:val="endnote text"/>
    <w:basedOn w:val="a1"/>
    <w:link w:val="aff6"/>
    <w:semiHidden/>
    <w:qFormat/>
    <w:pPr>
      <w:snapToGrid w:val="0"/>
      <w:jc w:val="left"/>
    </w:pPr>
    <w:rPr>
      <w:rFonts w:ascii="Times New Roman" w:hAnsi="Times New Roman"/>
      <w:szCs w:val="21"/>
    </w:rPr>
  </w:style>
  <w:style w:type="paragraph" w:styleId="5d">
    <w:name w:val="List Continue 5"/>
    <w:basedOn w:val="a1"/>
    <w:qFormat/>
    <w:pPr>
      <w:spacing w:after="120"/>
      <w:ind w:leftChars="1000" w:left="2100"/>
    </w:pPr>
    <w:rPr>
      <w:rFonts w:ascii="Times New Roman" w:hAnsi="Times New Roman"/>
      <w:szCs w:val="24"/>
    </w:rPr>
  </w:style>
  <w:style w:type="paragraph" w:styleId="aff7">
    <w:name w:val="Balloon Text"/>
    <w:basedOn w:val="a1"/>
    <w:link w:val="aff8"/>
    <w:unhideWhenUsed/>
    <w:qFormat/>
    <w:rPr>
      <w:sz w:val="18"/>
      <w:szCs w:val="18"/>
    </w:rPr>
  </w:style>
  <w:style w:type="paragraph" w:styleId="aff9">
    <w:name w:val="footer"/>
    <w:basedOn w:val="a1"/>
    <w:link w:val="affa"/>
    <w:uiPriority w:val="99"/>
    <w:unhideWhenUsed/>
    <w:qFormat/>
    <w:pPr>
      <w:tabs>
        <w:tab w:val="center" w:pos="4153"/>
        <w:tab w:val="right" w:pos="8306"/>
      </w:tabs>
      <w:snapToGrid w:val="0"/>
      <w:jc w:val="left"/>
    </w:pPr>
    <w:rPr>
      <w:sz w:val="18"/>
      <w:szCs w:val="18"/>
    </w:rPr>
  </w:style>
  <w:style w:type="paragraph" w:styleId="affb">
    <w:name w:val="envelope return"/>
    <w:basedOn w:val="a1"/>
    <w:qFormat/>
    <w:rPr>
      <w:rFonts w:ascii="Arial" w:hAnsi="Arial" w:cs="Arial"/>
      <w:szCs w:val="24"/>
    </w:rPr>
  </w:style>
  <w:style w:type="paragraph" w:styleId="affc">
    <w:name w:val="header"/>
    <w:basedOn w:val="a1"/>
    <w:link w:val="affd"/>
    <w:unhideWhenUsed/>
    <w:qFormat/>
    <w:pPr>
      <w:pBdr>
        <w:bottom w:val="single" w:sz="6" w:space="1" w:color="auto"/>
      </w:pBdr>
      <w:tabs>
        <w:tab w:val="center" w:pos="4153"/>
        <w:tab w:val="right" w:pos="8306"/>
      </w:tabs>
      <w:snapToGrid w:val="0"/>
      <w:jc w:val="center"/>
    </w:pPr>
    <w:rPr>
      <w:sz w:val="18"/>
      <w:szCs w:val="18"/>
    </w:rPr>
  </w:style>
  <w:style w:type="paragraph" w:styleId="affe">
    <w:name w:val="Signature"/>
    <w:basedOn w:val="a1"/>
    <w:link w:val="afff"/>
    <w:qFormat/>
    <w:pPr>
      <w:ind w:leftChars="2100" w:left="100"/>
    </w:pPr>
    <w:rPr>
      <w:rFonts w:ascii="Times New Roman" w:hAnsi="Times New Roman"/>
      <w:szCs w:val="24"/>
    </w:rPr>
  </w:style>
  <w:style w:type="paragraph" w:styleId="1c">
    <w:name w:val="toc 1"/>
    <w:basedOn w:val="a1"/>
    <w:next w:val="a1"/>
    <w:unhideWhenUsed/>
    <w:qFormat/>
  </w:style>
  <w:style w:type="paragraph" w:styleId="4c">
    <w:name w:val="List Continue 4"/>
    <w:basedOn w:val="a1"/>
    <w:qFormat/>
    <w:pPr>
      <w:spacing w:after="120"/>
      <w:ind w:leftChars="800" w:left="1680"/>
    </w:pPr>
    <w:rPr>
      <w:rFonts w:ascii="Times New Roman" w:hAnsi="Times New Roman"/>
      <w:szCs w:val="24"/>
    </w:rPr>
  </w:style>
  <w:style w:type="paragraph" w:styleId="4d">
    <w:name w:val="toc 4"/>
    <w:basedOn w:val="a1"/>
    <w:next w:val="a1"/>
    <w:qFormat/>
    <w:pPr>
      <w:ind w:leftChars="600" w:left="1260"/>
    </w:pPr>
  </w:style>
  <w:style w:type="paragraph" w:styleId="afff0">
    <w:name w:val="index heading"/>
    <w:basedOn w:val="a1"/>
    <w:next w:val="1d"/>
    <w:semiHidden/>
    <w:qFormat/>
    <w:rPr>
      <w:rFonts w:ascii="Arial" w:hAnsi="Arial" w:cs="Arial"/>
      <w:b/>
      <w:bCs/>
      <w:szCs w:val="24"/>
    </w:rPr>
  </w:style>
  <w:style w:type="paragraph" w:styleId="1d">
    <w:name w:val="index 1"/>
    <w:basedOn w:val="a1"/>
    <w:next w:val="a1"/>
    <w:qFormat/>
    <w:pPr>
      <w:spacing w:line="480" w:lineRule="exact"/>
      <w:ind w:leftChars="-98" w:left="-206" w:firstLineChars="93" w:firstLine="205"/>
      <w:jc w:val="center"/>
    </w:pPr>
    <w:rPr>
      <w:rFonts w:ascii="Times New Roman" w:hAnsi="Times New Roman"/>
      <w:color w:val="000000"/>
      <w:spacing w:val="20"/>
      <w:sz w:val="18"/>
      <w:szCs w:val="20"/>
    </w:rPr>
  </w:style>
  <w:style w:type="paragraph" w:styleId="afff1">
    <w:name w:val="Subtitle"/>
    <w:basedOn w:val="a1"/>
    <w:next w:val="a1"/>
    <w:link w:val="afff2"/>
    <w:qFormat/>
    <w:pPr>
      <w:adjustRightInd w:val="0"/>
      <w:snapToGrid w:val="0"/>
      <w:spacing w:before="240" w:after="60" w:line="312" w:lineRule="atLeast"/>
      <w:ind w:firstLineChars="200" w:firstLine="200"/>
      <w:jc w:val="center"/>
      <w:outlineLvl w:val="1"/>
    </w:pPr>
    <w:rPr>
      <w:rFonts w:ascii="Cambria" w:hAnsi="Cambria"/>
      <w:b/>
      <w:bCs/>
      <w:kern w:val="28"/>
      <w:sz w:val="32"/>
      <w:szCs w:val="32"/>
    </w:rPr>
  </w:style>
  <w:style w:type="paragraph" w:styleId="5">
    <w:name w:val="List Number 5"/>
    <w:basedOn w:val="a1"/>
    <w:qFormat/>
    <w:pPr>
      <w:numPr>
        <w:numId w:val="7"/>
      </w:numPr>
    </w:pPr>
    <w:rPr>
      <w:rFonts w:ascii="Times New Roman" w:hAnsi="Times New Roman"/>
      <w:szCs w:val="24"/>
    </w:rPr>
  </w:style>
  <w:style w:type="paragraph" w:styleId="afff3">
    <w:name w:val="footnote text"/>
    <w:basedOn w:val="a1"/>
    <w:link w:val="afff4"/>
    <w:qFormat/>
    <w:pPr>
      <w:snapToGrid w:val="0"/>
      <w:jc w:val="left"/>
    </w:pPr>
    <w:rPr>
      <w:rFonts w:ascii="Times New Roman" w:hAnsi="Times New Roman"/>
      <w:sz w:val="18"/>
      <w:szCs w:val="18"/>
    </w:rPr>
  </w:style>
  <w:style w:type="paragraph" w:styleId="63">
    <w:name w:val="toc 6"/>
    <w:basedOn w:val="a1"/>
    <w:next w:val="a1"/>
    <w:qFormat/>
    <w:pPr>
      <w:ind w:leftChars="1000" w:left="2100"/>
    </w:pPr>
  </w:style>
  <w:style w:type="paragraph" w:styleId="5e">
    <w:name w:val="List 5"/>
    <w:basedOn w:val="a1"/>
    <w:qFormat/>
    <w:pPr>
      <w:ind w:leftChars="800" w:left="100" w:hangingChars="200" w:hanging="200"/>
    </w:pPr>
    <w:rPr>
      <w:rFonts w:ascii="Times New Roman" w:hAnsi="Times New Roman"/>
      <w:szCs w:val="24"/>
    </w:rPr>
  </w:style>
  <w:style w:type="paragraph" w:styleId="3f0">
    <w:name w:val="Body Text Indent 3"/>
    <w:basedOn w:val="a1"/>
    <w:link w:val="3f1"/>
    <w:qFormat/>
    <w:pPr>
      <w:spacing w:after="120"/>
      <w:ind w:leftChars="200" w:left="420"/>
    </w:pPr>
    <w:rPr>
      <w:rFonts w:ascii="Times New Roman" w:hAnsi="Times New Roman"/>
      <w:sz w:val="16"/>
      <w:szCs w:val="16"/>
    </w:rPr>
  </w:style>
  <w:style w:type="paragraph" w:styleId="afff5">
    <w:name w:val="table of figures"/>
    <w:basedOn w:val="a1"/>
    <w:next w:val="a1"/>
    <w:qFormat/>
    <w:pPr>
      <w:spacing w:line="360" w:lineRule="auto"/>
      <w:ind w:leftChars="200" w:left="200" w:hangingChars="200" w:hanging="200"/>
    </w:pPr>
    <w:rPr>
      <w:rFonts w:ascii="Times New Roman" w:hAnsi="Times New Roman"/>
      <w:sz w:val="24"/>
      <w:szCs w:val="20"/>
    </w:rPr>
  </w:style>
  <w:style w:type="paragraph" w:styleId="2f0">
    <w:name w:val="toc 2"/>
    <w:basedOn w:val="a1"/>
    <w:next w:val="a1"/>
    <w:unhideWhenUsed/>
    <w:qFormat/>
    <w:pPr>
      <w:ind w:leftChars="200" w:left="420"/>
    </w:pPr>
  </w:style>
  <w:style w:type="paragraph" w:styleId="9c">
    <w:name w:val="toc 9"/>
    <w:basedOn w:val="a1"/>
    <w:next w:val="a1"/>
    <w:qFormat/>
    <w:pPr>
      <w:ind w:leftChars="1600" w:left="3360"/>
    </w:pPr>
  </w:style>
  <w:style w:type="paragraph" w:styleId="2f1">
    <w:name w:val="Body Text 2"/>
    <w:basedOn w:val="a1"/>
    <w:link w:val="2f2"/>
    <w:unhideWhenUsed/>
    <w:qFormat/>
    <w:pPr>
      <w:spacing w:after="120" w:line="480" w:lineRule="auto"/>
    </w:pPr>
    <w:rPr>
      <w:kern w:val="0"/>
      <w:sz w:val="20"/>
      <w:szCs w:val="20"/>
    </w:rPr>
  </w:style>
  <w:style w:type="paragraph" w:styleId="4e">
    <w:name w:val="List 4"/>
    <w:basedOn w:val="a1"/>
    <w:qFormat/>
    <w:pPr>
      <w:ind w:leftChars="600" w:left="100" w:hangingChars="200" w:hanging="200"/>
    </w:pPr>
    <w:rPr>
      <w:rFonts w:ascii="Times New Roman" w:hAnsi="Times New Roman"/>
      <w:szCs w:val="24"/>
    </w:rPr>
  </w:style>
  <w:style w:type="paragraph" w:styleId="2f3">
    <w:name w:val="List Continue 2"/>
    <w:basedOn w:val="a1"/>
    <w:qFormat/>
    <w:pPr>
      <w:spacing w:after="120"/>
      <w:ind w:leftChars="400" w:left="840"/>
    </w:pPr>
    <w:rPr>
      <w:rFonts w:ascii="Times New Roman" w:hAnsi="Times New Roman"/>
      <w:szCs w:val="24"/>
    </w:rPr>
  </w:style>
  <w:style w:type="paragraph" w:styleId="afff6">
    <w:name w:val="Message Header"/>
    <w:basedOn w:val="a1"/>
    <w:link w:val="afff7"/>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Cs w:val="24"/>
    </w:rPr>
  </w:style>
  <w:style w:type="paragraph" w:styleId="HTML1">
    <w:name w:val="HTML Preformatted"/>
    <w:basedOn w:val="a1"/>
    <w:link w:val="HTML2"/>
    <w:qFormat/>
    <w:rPr>
      <w:rFonts w:ascii="Courier New" w:hAnsi="Courier New" w:cs="Courier New"/>
      <w:sz w:val="20"/>
      <w:szCs w:val="20"/>
    </w:rPr>
  </w:style>
  <w:style w:type="paragraph" w:styleId="afff8">
    <w:name w:val="Normal (Web)"/>
    <w:basedOn w:val="a1"/>
    <w:link w:val="afff9"/>
    <w:qFormat/>
    <w:pPr>
      <w:widowControl/>
      <w:adjustRightInd w:val="0"/>
      <w:spacing w:before="100" w:beforeAutospacing="1" w:after="100" w:afterAutospacing="1" w:line="360" w:lineRule="atLeast"/>
      <w:jc w:val="left"/>
      <w:textAlignment w:val="baseline"/>
    </w:pPr>
    <w:rPr>
      <w:rFonts w:ascii="Arial Unicode MS" w:eastAsia="Arial Unicode MS" w:hAnsi="Times New Roman"/>
      <w:color w:val="000000"/>
      <w:kern w:val="0"/>
      <w:sz w:val="24"/>
      <w:szCs w:val="20"/>
    </w:rPr>
  </w:style>
  <w:style w:type="paragraph" w:styleId="3f2">
    <w:name w:val="List Continue 3"/>
    <w:basedOn w:val="a1"/>
    <w:qFormat/>
    <w:pPr>
      <w:spacing w:after="120"/>
      <w:ind w:leftChars="600" w:left="1260"/>
    </w:pPr>
    <w:rPr>
      <w:rFonts w:ascii="Times New Roman" w:hAnsi="Times New Roman"/>
      <w:szCs w:val="24"/>
    </w:rPr>
  </w:style>
  <w:style w:type="paragraph" w:styleId="2f4">
    <w:name w:val="index 2"/>
    <w:basedOn w:val="a1"/>
    <w:next w:val="a1"/>
    <w:qFormat/>
    <w:pPr>
      <w:tabs>
        <w:tab w:val="left" w:pos="907"/>
      </w:tabs>
      <w:adjustRightInd w:val="0"/>
      <w:spacing w:line="280" w:lineRule="exact"/>
      <w:ind w:firstLineChars="200" w:firstLine="420"/>
      <w:jc w:val="center"/>
      <w:textAlignment w:val="baseline"/>
    </w:pPr>
    <w:rPr>
      <w:rFonts w:ascii="宋体" w:hAnsi="宋体"/>
      <w:color w:val="000000"/>
      <w:kern w:val="0"/>
      <w:sz w:val="24"/>
      <w:szCs w:val="20"/>
    </w:rPr>
  </w:style>
  <w:style w:type="paragraph" w:styleId="afffa">
    <w:name w:val="Title"/>
    <w:basedOn w:val="a1"/>
    <w:next w:val="a1"/>
    <w:link w:val="afffb"/>
    <w:qFormat/>
    <w:pPr>
      <w:adjustRightInd w:val="0"/>
      <w:snapToGrid w:val="0"/>
      <w:spacing w:before="240" w:after="60" w:line="520" w:lineRule="exact"/>
      <w:ind w:firstLineChars="200" w:firstLine="200"/>
      <w:jc w:val="center"/>
      <w:outlineLvl w:val="0"/>
    </w:pPr>
    <w:rPr>
      <w:rFonts w:ascii="Cambria" w:hAnsi="Cambria"/>
      <w:b/>
      <w:bCs/>
      <w:kern w:val="0"/>
      <w:sz w:val="32"/>
      <w:szCs w:val="32"/>
    </w:rPr>
  </w:style>
  <w:style w:type="paragraph" w:styleId="afffc">
    <w:name w:val="annotation subject"/>
    <w:basedOn w:val="af5"/>
    <w:next w:val="af5"/>
    <w:link w:val="afffd"/>
    <w:unhideWhenUsed/>
    <w:qFormat/>
    <w:rPr>
      <w:b/>
      <w:bCs/>
    </w:rPr>
  </w:style>
  <w:style w:type="paragraph" w:styleId="afffe">
    <w:name w:val="Body Text First Indent"/>
    <w:basedOn w:val="afb"/>
    <w:link w:val="affff"/>
    <w:qFormat/>
    <w:pPr>
      <w:ind w:firstLineChars="100" w:firstLine="420"/>
    </w:pPr>
  </w:style>
  <w:style w:type="paragraph" w:styleId="2f5">
    <w:name w:val="Body Text First Indent 2"/>
    <w:basedOn w:val="afd"/>
    <w:next w:val="a1"/>
    <w:link w:val="2f6"/>
    <w:qFormat/>
    <w:pPr>
      <w:ind w:firstLineChars="200" w:firstLine="420"/>
    </w:pPr>
  </w:style>
  <w:style w:type="table" w:styleId="affff0">
    <w:name w:val="Table Grid"/>
    <w:basedOn w:val="a4"/>
    <w:qFormat/>
    <w:pPr>
      <w:widowControl w:val="0"/>
      <w:jc w:val="both"/>
    </w:pPr>
    <w:rPr>
      <w:rFonts w:ascii="宋体" w:hAnsi="宋体"/>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1">
    <w:name w:val="Table Theme"/>
    <w:basedOn w:val="a4"/>
    <w:qFormat/>
    <w:pPr>
      <w:widowControl w:val="0"/>
      <w:spacing w:line="5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4"/>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2f7">
    <w:name w:val="Table Colorful 2"/>
    <w:basedOn w:val="a4"/>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3f3">
    <w:name w:val="Table Colorful 3"/>
    <w:basedOn w:val="a4"/>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shd w:val="solid" w:color="000000" w:fill="FFFFFF"/>
      </w:tcPr>
    </w:tblStylePr>
  </w:style>
  <w:style w:type="table" w:styleId="affff2">
    <w:name w:val="Table Elegant"/>
    <w:basedOn w:val="a4"/>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1f">
    <w:name w:val="Table Classic 1"/>
    <w:basedOn w:val="a4"/>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StylePr>
    <w:tblStylePr w:type="swCell">
      <w:rPr>
        <w:b/>
        <w:bCs/>
      </w:rPr>
    </w:tblStylePr>
  </w:style>
  <w:style w:type="table" w:styleId="2f8">
    <w:name w:val="Table Classic 2"/>
    <w:basedOn w:val="a4"/>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3f4">
    <w:name w:val="Table Classic 3"/>
    <w:basedOn w:val="a4"/>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StylePr>
  </w:style>
  <w:style w:type="table" w:styleId="4f">
    <w:name w:val="Table Classic 4"/>
    <w:basedOn w:val="a4"/>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StylePr>
    <w:tblStylePr w:type="nwCell">
      <w:rPr>
        <w:b/>
        <w:bCs/>
      </w:rPr>
    </w:tblStylePr>
    <w:tblStylePr w:type="swCell">
      <w:rPr>
        <w:color w:val="000080"/>
      </w:rPr>
    </w:tblStylePr>
  </w:style>
  <w:style w:type="table" w:styleId="1f0">
    <w:name w:val="Table Simple 1"/>
    <w:basedOn w:val="a4"/>
    <w:qFormat/>
    <w:pPr>
      <w:widowControl w:val="0"/>
      <w:jc w:val="both"/>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f9">
    <w:name w:val="Table Simple 2"/>
    <w:basedOn w:val="a4"/>
    <w:qFormat/>
    <w:pPr>
      <w:widowControl w:val="0"/>
      <w:jc w:val="both"/>
    </w:p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StylePr>
    <w:tblStylePr w:type="swCell">
      <w:rPr>
        <w:b/>
        <w:bCs/>
      </w:rPr>
    </w:tblStylePr>
  </w:style>
  <w:style w:type="table" w:styleId="3f5">
    <w:name w:val="Table Simple 3"/>
    <w:basedOn w:val="a4"/>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1f1">
    <w:name w:val="Table Subtle 1"/>
    <w:basedOn w:val="a4"/>
    <w:qFormat/>
    <w:pPr>
      <w:widowControl w:val="0"/>
      <w:jc w:val="both"/>
    </w:pPr>
    <w:tblPr>
      <w:tblStyleRowBandSize w:val="1"/>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StylePr>
    <w:tblStylePr w:type="swCell">
      <w:rPr>
        <w:b/>
        <w:bCs/>
      </w:rPr>
    </w:tblStylePr>
  </w:style>
  <w:style w:type="table" w:styleId="2fa">
    <w:name w:val="Table Subtle 2"/>
    <w:basedOn w:val="a4"/>
    <w:qFormat/>
    <w:pPr>
      <w:widowControl w:val="0"/>
      <w:jc w:val="both"/>
    </w:pPr>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StylePr>
    <w:tblStylePr w:type="swCell">
      <w:rPr>
        <w:b/>
        <w:bCs/>
      </w:rPr>
    </w:tblStylePr>
  </w:style>
  <w:style w:type="table" w:styleId="1f2">
    <w:name w:val="Table 3D effects 1"/>
    <w:basedOn w:val="a4"/>
    <w:qFormat/>
    <w:pPr>
      <w:widowControl w:val="0"/>
      <w:jc w:val="both"/>
    </w:pP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StylePr>
  </w:style>
  <w:style w:type="table" w:styleId="2fb">
    <w:name w:val="Table 3D effects 2"/>
    <w:basedOn w:val="a4"/>
    <w:qFormat/>
    <w:pPr>
      <w:widowControl w:val="0"/>
      <w:jc w:val="both"/>
    </w:pPr>
    <w:tblPr>
      <w:tblStyleRowBandSize w:val="1"/>
    </w:tblPr>
    <w:tcPr>
      <w:shd w:val="solid" w:color="C0C0C0" w:fill="FFFFFF"/>
    </w:tcPr>
    <w:tblStylePr w:type="firstRow">
      <w:rPr>
        <w:b/>
        <w:bCs/>
      </w:r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StylePr>
  </w:style>
  <w:style w:type="table" w:styleId="3f6">
    <w:name w:val="Table 3D effects 3"/>
    <w:basedOn w:val="a4"/>
    <w:qFormat/>
    <w:pPr>
      <w:widowControl w:val="0"/>
      <w:jc w:val="both"/>
    </w:pPr>
    <w:tblPr>
      <w:tblStyleRowBandSize w:val="1"/>
      <w:tblStyleColBandSize w:val="1"/>
    </w:tblPr>
    <w:tblStylePr w:type="firstRow">
      <w:rPr>
        <w:b/>
        <w:bCs/>
      </w:r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StylePr>
  </w:style>
  <w:style w:type="table" w:styleId="1f3">
    <w:name w:val="Table List 1"/>
    <w:basedOn w:val="a4"/>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2fc">
    <w:name w:val="Table List 2"/>
    <w:basedOn w:val="a4"/>
    <w:qFormat/>
    <w:pPr>
      <w:widowControl w:val="0"/>
      <w:jc w:val="both"/>
    </w:pPr>
    <w:tblPr>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3f7">
    <w:name w:val="Table List 3"/>
    <w:basedOn w:val="a4"/>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StylePr>
  </w:style>
  <w:style w:type="table" w:styleId="4f0">
    <w:name w:val="Table List 4"/>
    <w:basedOn w:val="a4"/>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f">
    <w:name w:val="Table List 5"/>
    <w:basedOn w:val="a4"/>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StylePr>
  </w:style>
  <w:style w:type="table" w:styleId="6a">
    <w:name w:val="Table List 6"/>
    <w:basedOn w:val="a4"/>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d">
    <w:name w:val="Table List 7"/>
    <w:basedOn w:val="a4"/>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8d">
    <w:name w:val="Table List 8"/>
    <w:basedOn w:val="a4"/>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ff3">
    <w:name w:val="Table Contemporary"/>
    <w:basedOn w:val="a4"/>
    <w:qFormat/>
    <w:pPr>
      <w:widowControl w:val="0"/>
      <w:jc w:val="both"/>
    </w:pPr>
    <w:tblPr>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1f4">
    <w:name w:val="Table Columns 1"/>
    <w:basedOn w:val="a4"/>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2fd">
    <w:name w:val="Table Columns 2"/>
    <w:basedOn w:val="a4"/>
    <w:qFormat/>
    <w:pPr>
      <w:widowControl w:val="0"/>
      <w:jc w:val="both"/>
    </w:pPr>
    <w:rPr>
      <w:b/>
      <w:bCs/>
    </w:rPr>
    <w:tblPr>
      <w:tblStyleColBandSize w:val="1"/>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3f8">
    <w:name w:val="Table Columns 3"/>
    <w:basedOn w:val="a4"/>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styleId="4f1">
    <w:name w:val="Table Columns 4"/>
    <w:basedOn w:val="a4"/>
    <w:qFormat/>
    <w:pPr>
      <w:widowControl w:val="0"/>
      <w:jc w:val="both"/>
    </w:pPr>
    <w:tblPr>
      <w:tblStyleColBandSize w:val="1"/>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4"/>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styleId="1f5">
    <w:name w:val="Table Grid 1"/>
    <w:basedOn w:val="a4"/>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tblStylePr w:type="nwCell">
      <w:tblPr/>
      <w:tcPr>
        <w:tcBorders>
          <w:top w:val="nil"/>
          <w:left w:val="nil"/>
          <w:bottom w:val="nil"/>
          <w:right w:val="nil"/>
          <w:insideH w:val="nil"/>
          <w:insideV w:val="nil"/>
          <w:tl2br w:val="single" w:sz="6" w:space="0" w:color="000000"/>
          <w:tr2bl w:val="nil"/>
        </w:tcBorders>
      </w:tcPr>
    </w:tblStylePr>
  </w:style>
  <w:style w:type="table" w:styleId="2fe">
    <w:name w:val="Table Grid 2"/>
    <w:basedOn w:val="a4"/>
    <w:qFormat/>
    <w:pPr>
      <w:widowControl w:val="0"/>
      <w:jc w:val="both"/>
    </w:p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StylePr>
    <w:tblStylePr w:type="lastCol">
      <w:rPr>
        <w:b/>
        <w:bCs/>
      </w:rPr>
    </w:tblStylePr>
  </w:style>
  <w:style w:type="table" w:styleId="3f9">
    <w:name w:val="Table Grid 3"/>
    <w:basedOn w:val="a4"/>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StylePr>
    <w:tblStylePr w:type="lastCol">
      <w:rPr>
        <w:b/>
        <w:bCs/>
      </w:rPr>
    </w:tblStylePr>
    <w:tblStylePr w:type="nwCell">
      <w:tblPr/>
      <w:tcPr>
        <w:tcBorders>
          <w:top w:val="nil"/>
          <w:left w:val="nil"/>
          <w:bottom w:val="nil"/>
          <w:right w:val="nil"/>
          <w:insideH w:val="nil"/>
          <w:insideV w:val="nil"/>
          <w:tl2br w:val="single" w:sz="6" w:space="0" w:color="000000"/>
          <w:tr2bl w:val="nil"/>
        </w:tcBorders>
      </w:tcPr>
    </w:tblStylePr>
  </w:style>
  <w:style w:type="table" w:styleId="4f2">
    <w:name w:val="Table Grid 4"/>
    <w:basedOn w:val="a4"/>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StylePr>
  </w:style>
  <w:style w:type="table" w:styleId="5f1">
    <w:name w:val="Table Grid 5"/>
    <w:basedOn w:val="a4"/>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StylePr>
    <w:tblStylePr w:type="lastCol">
      <w:rPr>
        <w:b/>
        <w:bCs/>
      </w:rPr>
    </w:tblStylePr>
    <w:tblStylePr w:type="nwCell">
      <w:tblPr/>
      <w:tcPr>
        <w:tcBorders>
          <w:top w:val="nil"/>
          <w:left w:val="nil"/>
          <w:bottom w:val="nil"/>
          <w:right w:val="nil"/>
          <w:insideH w:val="nil"/>
          <w:insideV w:val="nil"/>
          <w:tl2br w:val="single" w:sz="6" w:space="0" w:color="000000"/>
          <w:tr2bl w:val="nil"/>
        </w:tcBorders>
      </w:tcPr>
    </w:tblStylePr>
  </w:style>
  <w:style w:type="table" w:styleId="6b">
    <w:name w:val="Table Grid 6"/>
    <w:basedOn w:val="a4"/>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StylePr>
    <w:tblStylePr w:type="nwCell">
      <w:tblPr/>
      <w:tcPr>
        <w:tcBorders>
          <w:top w:val="nil"/>
          <w:left w:val="nil"/>
          <w:bottom w:val="nil"/>
          <w:right w:val="nil"/>
          <w:insideH w:val="nil"/>
          <w:insideV w:val="nil"/>
          <w:tl2br w:val="single" w:sz="6" w:space="0" w:color="000000"/>
          <w:tr2bl w:val="nil"/>
        </w:tcBorders>
      </w:tcPr>
    </w:tblStylePr>
  </w:style>
  <w:style w:type="table" w:styleId="7e">
    <w:name w:val="Table Grid 7"/>
    <w:basedOn w:val="a4"/>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StylePr>
    <w:tblStylePr w:type="lastCol">
      <w:rPr>
        <w:b w:val="0"/>
        <w:bCs w:val="0"/>
      </w:rPr>
    </w:tblStylePr>
    <w:tblStylePr w:type="nwCell">
      <w:tblPr/>
      <w:tcPr>
        <w:tcBorders>
          <w:top w:val="nil"/>
          <w:left w:val="nil"/>
          <w:bottom w:val="nil"/>
          <w:right w:val="nil"/>
          <w:insideH w:val="nil"/>
          <w:insideV w:val="nil"/>
          <w:tl2br w:val="single" w:sz="6" w:space="0" w:color="000000"/>
          <w:tr2bl w:val="nil"/>
        </w:tcBorders>
      </w:tcPr>
    </w:tblStylePr>
  </w:style>
  <w:style w:type="table" w:styleId="8e">
    <w:name w:val="Table Grid 8"/>
    <w:basedOn w:val="a4"/>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1f6">
    <w:name w:val="Table Web 1"/>
    <w:basedOn w:val="a4"/>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2ff">
    <w:name w:val="Table Web 2"/>
    <w:basedOn w:val="a4"/>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3fa">
    <w:name w:val="Table Web 3"/>
    <w:basedOn w:val="a4"/>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affff4">
    <w:name w:val="Table Professional"/>
    <w:basedOn w:val="a4"/>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character" w:styleId="affff5">
    <w:name w:val="Strong"/>
    <w:uiPriority w:val="22"/>
    <w:qFormat/>
    <w:rPr>
      <w:b/>
      <w:bCs/>
    </w:rPr>
  </w:style>
  <w:style w:type="character" w:styleId="affff6">
    <w:name w:val="endnote reference"/>
    <w:qFormat/>
  </w:style>
  <w:style w:type="character" w:styleId="affff7">
    <w:name w:val="page number"/>
    <w:basedOn w:val="a3"/>
    <w:qFormat/>
  </w:style>
  <w:style w:type="character" w:styleId="affff8">
    <w:name w:val="FollowedHyperlink"/>
    <w:unhideWhenUsed/>
    <w:qFormat/>
    <w:rPr>
      <w:color w:val="954F72"/>
      <w:u w:val="single"/>
    </w:rPr>
  </w:style>
  <w:style w:type="character" w:styleId="affff9">
    <w:name w:val="Emphasis"/>
    <w:qFormat/>
    <w:rPr>
      <w:i/>
      <w:iCs/>
    </w:rPr>
  </w:style>
  <w:style w:type="character" w:styleId="affffa">
    <w:name w:val="line number"/>
    <w:basedOn w:val="a3"/>
    <w:qFormat/>
  </w:style>
  <w:style w:type="character" w:styleId="HTML3">
    <w:name w:val="HTML Definition"/>
    <w:qFormat/>
    <w:rPr>
      <w:i/>
      <w:iCs/>
    </w:rPr>
  </w:style>
  <w:style w:type="character" w:styleId="HTML4">
    <w:name w:val="HTML Typewriter"/>
    <w:qFormat/>
    <w:rPr>
      <w:rFonts w:ascii="Courier New" w:hAnsi="Courier New" w:cs="Courier New"/>
      <w:sz w:val="20"/>
      <w:szCs w:val="20"/>
    </w:rPr>
  </w:style>
  <w:style w:type="character" w:styleId="HTML5">
    <w:name w:val="HTML Acronym"/>
    <w:basedOn w:val="a3"/>
    <w:qFormat/>
  </w:style>
  <w:style w:type="character" w:styleId="HTML6">
    <w:name w:val="HTML Variable"/>
    <w:qFormat/>
    <w:rPr>
      <w:i/>
      <w:iCs/>
    </w:rPr>
  </w:style>
  <w:style w:type="character" w:styleId="affffb">
    <w:name w:val="Hyperlink"/>
    <w:unhideWhenUsed/>
    <w:qFormat/>
    <w:rPr>
      <w:color w:val="0563C1"/>
      <w:u w:val="single"/>
    </w:rPr>
  </w:style>
  <w:style w:type="character" w:styleId="HTML7">
    <w:name w:val="HTML Code"/>
    <w:qFormat/>
    <w:rPr>
      <w:rFonts w:ascii="Courier New" w:hAnsi="Courier New" w:cs="Courier New"/>
      <w:sz w:val="20"/>
      <w:szCs w:val="20"/>
    </w:rPr>
  </w:style>
  <w:style w:type="character" w:styleId="affffc">
    <w:name w:val="annotation reference"/>
    <w:unhideWhenUsed/>
    <w:qFormat/>
    <w:rPr>
      <w:sz w:val="21"/>
      <w:szCs w:val="21"/>
    </w:rPr>
  </w:style>
  <w:style w:type="character" w:styleId="HTML8">
    <w:name w:val="HTML Cite"/>
    <w:qFormat/>
    <w:rPr>
      <w:i/>
      <w:iCs/>
    </w:rPr>
  </w:style>
  <w:style w:type="character" w:styleId="affffd">
    <w:name w:val="footnote reference"/>
    <w:qFormat/>
    <w:rPr>
      <w:vertAlign w:val="superscript"/>
    </w:rPr>
  </w:style>
  <w:style w:type="character" w:styleId="HTML9">
    <w:name w:val="HTML Keyboard"/>
    <w:qFormat/>
    <w:rPr>
      <w:rFonts w:ascii="Courier New" w:hAnsi="Courier New" w:cs="Courier New"/>
      <w:sz w:val="20"/>
      <w:szCs w:val="20"/>
    </w:rPr>
  </w:style>
  <w:style w:type="character" w:styleId="HTMLa">
    <w:name w:val="HTML Sample"/>
    <w:qFormat/>
    <w:rPr>
      <w:rFonts w:ascii="Courier New" w:hAnsi="Courier New" w:cs="Courier New"/>
    </w:rPr>
  </w:style>
  <w:style w:type="paragraph" w:customStyle="1" w:styleId="affffe">
    <w:name w:val="表格内"/>
    <w:basedOn w:val="a1"/>
    <w:semiHidden/>
    <w:qFormat/>
    <w:pPr>
      <w:adjustRightInd w:val="0"/>
      <w:spacing w:line="240" w:lineRule="atLeast"/>
      <w:jc w:val="center"/>
      <w:textAlignment w:val="baseline"/>
    </w:pPr>
    <w:rPr>
      <w:rFonts w:ascii="宋体" w:hAnsi="Times New Roman"/>
      <w:kern w:val="0"/>
      <w:szCs w:val="20"/>
    </w:rPr>
  </w:style>
  <w:style w:type="paragraph" w:customStyle="1" w:styleId="Char">
    <w:name w:val="Char"/>
    <w:basedOn w:val="af2"/>
    <w:qFormat/>
    <w:pPr>
      <w:shd w:val="clear" w:color="auto" w:fill="000080"/>
      <w:adjustRightInd w:val="0"/>
      <w:spacing w:line="436" w:lineRule="exact"/>
      <w:ind w:left="357"/>
      <w:jc w:val="left"/>
      <w:outlineLvl w:val="3"/>
    </w:pPr>
    <w:rPr>
      <w:rFonts w:ascii="Times New Roman" w:hAnsi="Times New Roman"/>
      <w:sz w:val="21"/>
      <w:szCs w:val="20"/>
    </w:rPr>
  </w:style>
  <w:style w:type="paragraph" w:customStyle="1" w:styleId="105051">
    <w:name w:val="标题 1 + 段前: 0.5 行 段后: 0.5 行1"/>
    <w:basedOn w:val="a1"/>
    <w:qFormat/>
    <w:pPr>
      <w:jc w:val="center"/>
      <w:outlineLvl w:val="0"/>
    </w:pPr>
    <w:rPr>
      <w:rFonts w:ascii="宋体" w:hAnsi="Times New Roman" w:cs="宋体"/>
      <w:b/>
      <w:color w:val="000000"/>
      <w:kern w:val="0"/>
      <w:sz w:val="36"/>
      <w:szCs w:val="36"/>
    </w:rPr>
  </w:style>
  <w:style w:type="paragraph" w:customStyle="1" w:styleId="3fb">
    <w:name w:val="大华农3级标题"/>
    <w:basedOn w:val="a1"/>
    <w:qFormat/>
    <w:pPr>
      <w:keepNext/>
      <w:keepLines/>
      <w:spacing w:before="120" w:after="120" w:line="360" w:lineRule="auto"/>
      <w:outlineLvl w:val="2"/>
    </w:pPr>
    <w:rPr>
      <w:rFonts w:ascii="Times New Roman" w:hAnsi="Times New Roman"/>
      <w:b/>
      <w:bCs/>
      <w:sz w:val="28"/>
      <w:szCs w:val="32"/>
    </w:rPr>
  </w:style>
  <w:style w:type="paragraph" w:customStyle="1" w:styleId="afffff">
    <w:name w:val="表格"/>
    <w:basedOn w:val="a1"/>
    <w:link w:val="Char0"/>
    <w:qFormat/>
    <w:pPr>
      <w:jc w:val="center"/>
    </w:pPr>
    <w:rPr>
      <w:rFonts w:ascii="Times New Roman" w:hAnsi="Times New Roman"/>
      <w:szCs w:val="24"/>
    </w:rPr>
  </w:style>
  <w:style w:type="paragraph" w:customStyle="1" w:styleId="1f7">
    <w:name w:val="1表格"/>
    <w:basedOn w:val="a1"/>
    <w:link w:val="1Char"/>
    <w:qFormat/>
    <w:pPr>
      <w:snapToGrid w:val="0"/>
      <w:spacing w:line="360" w:lineRule="auto"/>
      <w:ind w:firstLineChars="200" w:firstLine="420"/>
      <w:jc w:val="center"/>
      <w:outlineLvl w:val="4"/>
    </w:pPr>
    <w:rPr>
      <w:rFonts w:ascii="Times New Roman" w:hAnsi="Times New Roman"/>
      <w:spacing w:val="4"/>
      <w:kern w:val="0"/>
      <w:sz w:val="24"/>
      <w:szCs w:val="24"/>
    </w:rPr>
  </w:style>
  <w:style w:type="paragraph" w:customStyle="1" w:styleId="afffff0">
    <w:name w:val="表头"/>
    <w:basedOn w:val="a1"/>
    <w:next w:val="a1"/>
    <w:link w:val="CharChar"/>
    <w:qFormat/>
    <w:pPr>
      <w:adjustRightInd w:val="0"/>
      <w:snapToGrid w:val="0"/>
      <w:spacing w:beforeLines="50" w:line="360" w:lineRule="auto"/>
      <w:ind w:firstLineChars="100" w:firstLine="210"/>
    </w:pPr>
    <w:rPr>
      <w:rFonts w:eastAsia="黑体" w:cs="黑体"/>
      <w:szCs w:val="24"/>
    </w:rPr>
  </w:style>
  <w:style w:type="paragraph" w:customStyle="1" w:styleId="1f8">
    <w:name w:val="1正文"/>
    <w:basedOn w:val="a1"/>
    <w:link w:val="1Char0"/>
    <w:qFormat/>
    <w:pPr>
      <w:spacing w:line="360" w:lineRule="auto"/>
      <w:ind w:firstLineChars="200" w:firstLine="480"/>
    </w:pPr>
    <w:rPr>
      <w:rFonts w:ascii="Times New Roman" w:hAnsi="Times New Roman"/>
      <w:color w:val="000000"/>
      <w:kern w:val="0"/>
      <w:sz w:val="24"/>
      <w:szCs w:val="24"/>
    </w:rPr>
  </w:style>
  <w:style w:type="paragraph" w:customStyle="1" w:styleId="afffff1">
    <w:name w:val="表内文字"/>
    <w:basedOn w:val="a1"/>
    <w:qFormat/>
    <w:pPr>
      <w:adjustRightInd w:val="0"/>
      <w:snapToGrid w:val="0"/>
      <w:spacing w:line="360" w:lineRule="auto"/>
      <w:jc w:val="center"/>
    </w:pPr>
    <w:rPr>
      <w:rFonts w:ascii="Times New Roman" w:hAnsi="Times New Roman"/>
      <w:szCs w:val="21"/>
    </w:rPr>
  </w:style>
  <w:style w:type="paragraph" w:customStyle="1" w:styleId="afffff2">
    <w:name w:val="正文(首行缩进)"/>
    <w:basedOn w:val="a1"/>
    <w:next w:val="a1"/>
    <w:link w:val="Char1"/>
    <w:qFormat/>
    <w:pPr>
      <w:spacing w:line="360" w:lineRule="auto"/>
      <w:ind w:firstLineChars="225" w:firstLine="540"/>
    </w:pPr>
    <w:rPr>
      <w:rFonts w:ascii="Times New Roman" w:hAnsi="Times New Roman"/>
      <w:snapToGrid w:val="0"/>
      <w:color w:val="000000"/>
      <w:kern w:val="0"/>
      <w:sz w:val="24"/>
      <w:szCs w:val="24"/>
    </w:rPr>
  </w:style>
  <w:style w:type="paragraph" w:customStyle="1" w:styleId="Default">
    <w:name w:val="Default"/>
    <w:next w:val="2f5"/>
    <w:link w:val="DefaultCharChar"/>
    <w:qFormat/>
    <w:pPr>
      <w:widowControl w:val="0"/>
      <w:autoSpaceDE w:val="0"/>
      <w:autoSpaceDN w:val="0"/>
      <w:adjustRightInd w:val="0"/>
    </w:pPr>
    <w:rPr>
      <w:rFonts w:ascii="宋体"/>
      <w:color w:val="000000"/>
      <w:sz w:val="24"/>
      <w:szCs w:val="24"/>
    </w:rPr>
  </w:style>
  <w:style w:type="paragraph" w:customStyle="1" w:styleId="abgwz">
    <w:name w:val="abgwz"/>
    <w:basedOn w:val="a1"/>
    <w:qFormat/>
    <w:pPr>
      <w:widowControl/>
      <w:spacing w:line="240" w:lineRule="atLeast"/>
      <w:jc w:val="center"/>
    </w:pPr>
    <w:rPr>
      <w:szCs w:val="21"/>
    </w:rPr>
  </w:style>
  <w:style w:type="paragraph" w:customStyle="1" w:styleId="afffff3">
    <w:name w:val="表内字"/>
    <w:link w:val="Char2"/>
    <w:qFormat/>
    <w:pPr>
      <w:spacing w:line="312" w:lineRule="auto"/>
      <w:jc w:val="center"/>
    </w:pPr>
    <w:rPr>
      <w:color w:val="000000"/>
      <w:kern w:val="2"/>
      <w:sz w:val="21"/>
      <w:szCs w:val="22"/>
    </w:rPr>
  </w:style>
  <w:style w:type="paragraph" w:customStyle="1" w:styleId="afffff4">
    <w:name w:val="较紧表格"/>
    <w:basedOn w:val="a1"/>
    <w:qFormat/>
    <w:pPr>
      <w:spacing w:beforeLines="10" w:afterLines="10"/>
      <w:jc w:val="center"/>
    </w:pPr>
    <w:rPr>
      <w:rFonts w:ascii="Times New Roman" w:hAnsi="Times New Roman"/>
      <w:szCs w:val="24"/>
    </w:rPr>
  </w:style>
  <w:style w:type="paragraph" w:customStyle="1" w:styleId="afffff5">
    <w:name w:val="表文字"/>
    <w:link w:val="Char10"/>
    <w:qFormat/>
    <w:pPr>
      <w:spacing w:line="300" w:lineRule="exact"/>
    </w:pPr>
    <w:rPr>
      <w:szCs w:val="21"/>
    </w:rPr>
  </w:style>
  <w:style w:type="paragraph" w:customStyle="1" w:styleId="130">
    <w:name w:val="正文小四首缩1.3行距"/>
    <w:basedOn w:val="a1"/>
    <w:link w:val="13Char"/>
    <w:qFormat/>
    <w:pPr>
      <w:spacing w:line="312" w:lineRule="auto"/>
      <w:ind w:firstLineChars="200" w:firstLine="420"/>
    </w:pPr>
    <w:rPr>
      <w:rFonts w:ascii="Times New Roman" w:hAnsi="Times New Roman"/>
      <w:kern w:val="0"/>
      <w:sz w:val="24"/>
      <w:szCs w:val="24"/>
    </w:rPr>
  </w:style>
  <w:style w:type="paragraph" w:customStyle="1" w:styleId="ParaChar">
    <w:name w:val="默认段落字体 Para Char"/>
    <w:basedOn w:val="a1"/>
    <w:qFormat/>
    <w:pPr>
      <w:spacing w:before="60" w:after="60" w:line="360" w:lineRule="auto"/>
      <w:ind w:firstLine="482"/>
    </w:pPr>
    <w:rPr>
      <w:rFonts w:ascii="Times New Roman" w:hAnsi="Times New Roman"/>
      <w:sz w:val="24"/>
      <w:szCs w:val="20"/>
    </w:rPr>
  </w:style>
  <w:style w:type="paragraph" w:customStyle="1" w:styleId="600">
    <w:name w:val="样式60"/>
    <w:basedOn w:val="a1"/>
    <w:link w:val="60Char"/>
    <w:qFormat/>
    <w:pPr>
      <w:keepNext/>
      <w:keepLines/>
      <w:spacing w:before="260" w:after="260" w:line="416" w:lineRule="auto"/>
      <w:outlineLvl w:val="1"/>
    </w:pPr>
    <w:rPr>
      <w:rFonts w:ascii="Times New Roman" w:hAnsi="Times New Roman"/>
      <w:b/>
      <w:bCs/>
      <w:kern w:val="0"/>
      <w:sz w:val="32"/>
      <w:szCs w:val="32"/>
    </w:rPr>
  </w:style>
  <w:style w:type="paragraph" w:customStyle="1" w:styleId="630">
    <w:name w:val="样式63"/>
    <w:basedOn w:val="a1"/>
    <w:link w:val="63Char"/>
    <w:qFormat/>
    <w:pPr>
      <w:keepNext/>
      <w:keepLines/>
      <w:spacing w:before="120" w:after="120" w:line="415" w:lineRule="auto"/>
      <w:outlineLvl w:val="2"/>
    </w:pPr>
    <w:rPr>
      <w:rFonts w:ascii="Times New Roman" w:hAnsi="Times New Roman"/>
      <w:b/>
      <w:bCs/>
      <w:kern w:val="0"/>
      <w:sz w:val="30"/>
      <w:szCs w:val="30"/>
    </w:rPr>
  </w:style>
  <w:style w:type="paragraph" w:customStyle="1" w:styleId="2ff0">
    <w:name w:val="样式2"/>
    <w:basedOn w:val="2a"/>
    <w:link w:val="2Char"/>
    <w:qFormat/>
    <w:pPr>
      <w:spacing w:beforeLines="0" w:afterLines="0" w:line="416" w:lineRule="auto"/>
      <w:jc w:val="both"/>
    </w:pPr>
    <w:rPr>
      <w:rFonts w:ascii="Calibri Light" w:eastAsia="宋体" w:hAnsi="Calibri Light"/>
    </w:rPr>
  </w:style>
  <w:style w:type="paragraph" w:customStyle="1" w:styleId="afffff6">
    <w:name w:val="红墩子正文"/>
    <w:basedOn w:val="a1"/>
    <w:qFormat/>
    <w:pPr>
      <w:spacing w:line="360" w:lineRule="auto"/>
      <w:ind w:firstLineChars="200" w:firstLine="560"/>
    </w:pPr>
    <w:rPr>
      <w:rFonts w:ascii="宋体" w:hAnsi="宋体"/>
      <w:sz w:val="28"/>
      <w:szCs w:val="28"/>
    </w:rPr>
  </w:style>
  <w:style w:type="paragraph" w:customStyle="1" w:styleId="TOC1">
    <w:name w:val="TOC 标题1"/>
    <w:basedOn w:val="1a"/>
    <w:next w:val="a1"/>
    <w:qFormat/>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1f9">
    <w:name w:val="样式1"/>
    <w:basedOn w:val="1a"/>
    <w:link w:val="1Char1"/>
    <w:qFormat/>
    <w:pPr>
      <w:jc w:val="center"/>
    </w:pPr>
  </w:style>
  <w:style w:type="paragraph" w:customStyle="1" w:styleId="31">
    <w:name w:val="样式3"/>
    <w:basedOn w:val="2ff0"/>
    <w:link w:val="3Char"/>
    <w:qFormat/>
    <w:pPr>
      <w:numPr>
        <w:numId w:val="8"/>
      </w:numPr>
      <w:tabs>
        <w:tab w:val="left" w:pos="360"/>
      </w:tabs>
      <w:ind w:left="360" w:hangingChars="200" w:hanging="360"/>
    </w:pPr>
  </w:style>
  <w:style w:type="paragraph" w:customStyle="1" w:styleId="1fa">
    <w:name w:val="列出段落1"/>
    <w:basedOn w:val="a1"/>
    <w:qFormat/>
    <w:pPr>
      <w:ind w:firstLineChars="200" w:firstLine="420"/>
    </w:pPr>
  </w:style>
  <w:style w:type="paragraph" w:customStyle="1" w:styleId="4f3">
    <w:name w:val="样式4"/>
    <w:basedOn w:val="3a"/>
    <w:link w:val="4Char"/>
    <w:qFormat/>
    <w:rPr>
      <w:sz w:val="30"/>
      <w:szCs w:val="30"/>
    </w:rPr>
  </w:style>
  <w:style w:type="paragraph" w:customStyle="1" w:styleId="5f2">
    <w:name w:val="样式5"/>
    <w:basedOn w:val="3a"/>
    <w:link w:val="5Char"/>
    <w:qFormat/>
    <w:pPr>
      <w:spacing w:before="120" w:after="120" w:line="415" w:lineRule="auto"/>
    </w:pPr>
    <w:rPr>
      <w:sz w:val="30"/>
      <w:szCs w:val="30"/>
    </w:rPr>
  </w:style>
  <w:style w:type="paragraph" w:customStyle="1" w:styleId="6">
    <w:name w:val="样式6"/>
    <w:basedOn w:val="5f2"/>
    <w:link w:val="6Char"/>
    <w:qFormat/>
    <w:pPr>
      <w:numPr>
        <w:numId w:val="9"/>
      </w:numPr>
    </w:pPr>
  </w:style>
  <w:style w:type="paragraph" w:customStyle="1" w:styleId="7">
    <w:name w:val="样式7"/>
    <w:basedOn w:val="6"/>
    <w:link w:val="7Char"/>
    <w:qFormat/>
    <w:pPr>
      <w:numPr>
        <w:numId w:val="10"/>
      </w:numPr>
    </w:pPr>
  </w:style>
  <w:style w:type="paragraph" w:customStyle="1" w:styleId="8">
    <w:name w:val="样式8"/>
    <w:basedOn w:val="7"/>
    <w:link w:val="8Char"/>
    <w:qFormat/>
    <w:pPr>
      <w:numPr>
        <w:numId w:val="11"/>
      </w:numPr>
    </w:pPr>
  </w:style>
  <w:style w:type="paragraph" w:customStyle="1" w:styleId="9">
    <w:name w:val="样式9"/>
    <w:basedOn w:val="31"/>
    <w:link w:val="9Char"/>
    <w:qFormat/>
    <w:pPr>
      <w:numPr>
        <w:numId w:val="12"/>
      </w:numPr>
    </w:pPr>
  </w:style>
  <w:style w:type="paragraph" w:customStyle="1" w:styleId="10">
    <w:name w:val="样式10"/>
    <w:basedOn w:val="31"/>
    <w:link w:val="10Char"/>
    <w:qFormat/>
    <w:pPr>
      <w:numPr>
        <w:numId w:val="13"/>
      </w:numPr>
    </w:pPr>
  </w:style>
  <w:style w:type="paragraph" w:customStyle="1" w:styleId="11">
    <w:name w:val="样式11"/>
    <w:basedOn w:val="2a"/>
    <w:link w:val="11Char"/>
    <w:qFormat/>
    <w:pPr>
      <w:numPr>
        <w:numId w:val="14"/>
      </w:numPr>
      <w:spacing w:beforeLines="0" w:afterLines="0" w:line="416" w:lineRule="auto"/>
      <w:jc w:val="both"/>
    </w:pPr>
    <w:rPr>
      <w:rFonts w:ascii="Calibri Light" w:eastAsia="宋体" w:hAnsi="Calibri Light"/>
    </w:rPr>
  </w:style>
  <w:style w:type="paragraph" w:customStyle="1" w:styleId="afffff7">
    <w:name w:val="图表标题"/>
    <w:basedOn w:val="a1"/>
    <w:link w:val="Char3"/>
    <w:qFormat/>
    <w:pPr>
      <w:spacing w:line="600" w:lineRule="exact"/>
      <w:jc w:val="center"/>
    </w:pPr>
    <w:rPr>
      <w:rFonts w:ascii="Arial" w:eastAsia="黑体" w:hAnsi="Arial"/>
      <w:kern w:val="0"/>
      <w:sz w:val="24"/>
      <w:szCs w:val="24"/>
    </w:rPr>
  </w:style>
  <w:style w:type="paragraph" w:customStyle="1" w:styleId="12">
    <w:name w:val="样式12"/>
    <w:basedOn w:val="8"/>
    <w:link w:val="12Char"/>
    <w:qFormat/>
    <w:pPr>
      <w:numPr>
        <w:numId w:val="15"/>
      </w:numPr>
    </w:pPr>
  </w:style>
  <w:style w:type="paragraph" w:customStyle="1" w:styleId="13">
    <w:name w:val="样式13"/>
    <w:basedOn w:val="12"/>
    <w:link w:val="13Char0"/>
    <w:qFormat/>
    <w:pPr>
      <w:numPr>
        <w:numId w:val="16"/>
      </w:numPr>
    </w:pPr>
  </w:style>
  <w:style w:type="paragraph" w:customStyle="1" w:styleId="14">
    <w:name w:val="样式14"/>
    <w:basedOn w:val="11"/>
    <w:link w:val="14Char"/>
    <w:qFormat/>
    <w:pPr>
      <w:numPr>
        <w:numId w:val="17"/>
      </w:numPr>
    </w:pPr>
  </w:style>
  <w:style w:type="paragraph" w:customStyle="1" w:styleId="15">
    <w:name w:val="样式15"/>
    <w:basedOn w:val="12"/>
    <w:link w:val="15Char"/>
    <w:qFormat/>
    <w:pPr>
      <w:numPr>
        <w:numId w:val="18"/>
      </w:numPr>
    </w:pPr>
  </w:style>
  <w:style w:type="paragraph" w:customStyle="1" w:styleId="16">
    <w:name w:val="样式16"/>
    <w:basedOn w:val="10"/>
    <w:link w:val="16Char"/>
    <w:qFormat/>
    <w:pPr>
      <w:numPr>
        <w:numId w:val="19"/>
      </w:numPr>
    </w:pPr>
  </w:style>
  <w:style w:type="paragraph" w:customStyle="1" w:styleId="17">
    <w:name w:val="样式17"/>
    <w:basedOn w:val="a1"/>
    <w:link w:val="17Char"/>
    <w:qFormat/>
    <w:pPr>
      <w:numPr>
        <w:numId w:val="20"/>
      </w:numPr>
      <w:autoSpaceDE w:val="0"/>
      <w:autoSpaceDN w:val="0"/>
      <w:adjustRightInd w:val="0"/>
      <w:snapToGrid w:val="0"/>
      <w:spacing w:line="360" w:lineRule="auto"/>
      <w:jc w:val="left"/>
    </w:pPr>
    <w:rPr>
      <w:rFonts w:ascii="Times New Roman" w:hAnsi="Times New Roman"/>
      <w:kern w:val="0"/>
      <w:sz w:val="24"/>
      <w:szCs w:val="24"/>
    </w:rPr>
  </w:style>
  <w:style w:type="paragraph" w:customStyle="1" w:styleId="18">
    <w:name w:val="样式18"/>
    <w:basedOn w:val="12"/>
    <w:link w:val="18Char"/>
    <w:qFormat/>
    <w:pPr>
      <w:numPr>
        <w:numId w:val="21"/>
      </w:numPr>
    </w:pPr>
  </w:style>
  <w:style w:type="paragraph" w:customStyle="1" w:styleId="19">
    <w:name w:val="样式19"/>
    <w:basedOn w:val="18"/>
    <w:link w:val="19Char"/>
    <w:qFormat/>
    <w:pPr>
      <w:numPr>
        <w:numId w:val="22"/>
      </w:numPr>
      <w:tabs>
        <w:tab w:val="left" w:pos="360"/>
        <w:tab w:val="left" w:pos="1080"/>
      </w:tabs>
      <w:ind w:leftChars="600" w:left="0" w:hangingChars="200" w:hanging="200"/>
    </w:pPr>
  </w:style>
  <w:style w:type="paragraph" w:customStyle="1" w:styleId="afffff8">
    <w:name w:val="表注"/>
    <w:basedOn w:val="a1"/>
    <w:link w:val="Char4"/>
    <w:qFormat/>
    <w:pPr>
      <w:autoSpaceDE w:val="0"/>
      <w:autoSpaceDN w:val="0"/>
      <w:adjustRightInd w:val="0"/>
      <w:spacing w:afterLines="100"/>
    </w:pPr>
    <w:rPr>
      <w:rFonts w:ascii="Arial" w:hAnsi="Arial"/>
      <w:kern w:val="0"/>
      <w:sz w:val="20"/>
      <w:szCs w:val="21"/>
    </w:rPr>
  </w:style>
  <w:style w:type="paragraph" w:customStyle="1" w:styleId="afffff9">
    <w:name w:val="表格文字"/>
    <w:basedOn w:val="a1"/>
    <w:link w:val="Char5"/>
    <w:qFormat/>
    <w:pPr>
      <w:jc w:val="center"/>
    </w:pPr>
    <w:rPr>
      <w:rFonts w:ascii="仿宋_GB2312" w:eastAsia="仿宋_GB2312" w:hAnsi="宋体"/>
      <w:color w:val="000000"/>
      <w:spacing w:val="6"/>
      <w:kern w:val="0"/>
      <w:sz w:val="20"/>
      <w:szCs w:val="20"/>
    </w:rPr>
  </w:style>
  <w:style w:type="paragraph" w:customStyle="1" w:styleId="20">
    <w:name w:val="样式20"/>
    <w:basedOn w:val="5f2"/>
    <w:link w:val="20Char"/>
    <w:qFormat/>
    <w:pPr>
      <w:numPr>
        <w:numId w:val="23"/>
      </w:numPr>
    </w:pPr>
    <w:rPr>
      <w:rFonts w:ascii="Times New Roman" w:hAnsi="Times New Roman"/>
    </w:rPr>
  </w:style>
  <w:style w:type="paragraph" w:customStyle="1" w:styleId="21">
    <w:name w:val="样式21"/>
    <w:basedOn w:val="20"/>
    <w:link w:val="21Char"/>
    <w:qFormat/>
    <w:pPr>
      <w:numPr>
        <w:numId w:val="24"/>
      </w:numPr>
      <w:tabs>
        <w:tab w:val="left" w:pos="360"/>
      </w:tabs>
    </w:pPr>
  </w:style>
  <w:style w:type="paragraph" w:customStyle="1" w:styleId="22">
    <w:name w:val="样式22"/>
    <w:basedOn w:val="a1"/>
    <w:link w:val="22Char"/>
    <w:qFormat/>
    <w:pPr>
      <w:numPr>
        <w:numId w:val="25"/>
      </w:numPr>
      <w:autoSpaceDE w:val="0"/>
      <w:autoSpaceDN w:val="0"/>
      <w:adjustRightInd w:val="0"/>
      <w:snapToGrid w:val="0"/>
      <w:spacing w:line="360" w:lineRule="auto"/>
      <w:ind w:firstLineChars="200" w:firstLine="200"/>
      <w:jc w:val="left"/>
    </w:pPr>
    <w:rPr>
      <w:rFonts w:ascii="Times New Roman" w:hAnsi="Times New Roman"/>
      <w:kern w:val="0"/>
      <w:sz w:val="24"/>
      <w:szCs w:val="24"/>
    </w:rPr>
  </w:style>
  <w:style w:type="paragraph" w:customStyle="1" w:styleId="23">
    <w:name w:val="样式23"/>
    <w:basedOn w:val="21"/>
    <w:link w:val="23Char"/>
    <w:qFormat/>
    <w:pPr>
      <w:numPr>
        <w:numId w:val="26"/>
      </w:numPr>
    </w:pPr>
  </w:style>
  <w:style w:type="paragraph" w:customStyle="1" w:styleId="24">
    <w:name w:val="样式24"/>
    <w:basedOn w:val="13"/>
    <w:link w:val="24Char"/>
    <w:qFormat/>
    <w:pPr>
      <w:numPr>
        <w:numId w:val="27"/>
      </w:numPr>
    </w:pPr>
  </w:style>
  <w:style w:type="paragraph" w:customStyle="1" w:styleId="25">
    <w:name w:val="样式25"/>
    <w:basedOn w:val="24"/>
    <w:link w:val="25Char"/>
    <w:qFormat/>
    <w:pPr>
      <w:numPr>
        <w:numId w:val="28"/>
      </w:numPr>
    </w:pPr>
  </w:style>
  <w:style w:type="paragraph" w:customStyle="1" w:styleId="26">
    <w:name w:val="样式26"/>
    <w:basedOn w:val="24"/>
    <w:link w:val="26Char"/>
    <w:qFormat/>
    <w:pPr>
      <w:numPr>
        <w:numId w:val="29"/>
      </w:numPr>
    </w:pPr>
  </w:style>
  <w:style w:type="paragraph" w:customStyle="1" w:styleId="27">
    <w:name w:val="样式27"/>
    <w:basedOn w:val="25"/>
    <w:link w:val="27Char"/>
    <w:qFormat/>
    <w:pPr>
      <w:numPr>
        <w:numId w:val="30"/>
      </w:numPr>
    </w:pPr>
  </w:style>
  <w:style w:type="paragraph" w:customStyle="1" w:styleId="28">
    <w:name w:val="样式28"/>
    <w:basedOn w:val="26"/>
    <w:link w:val="28Char"/>
    <w:qFormat/>
    <w:pPr>
      <w:numPr>
        <w:numId w:val="31"/>
      </w:numPr>
    </w:pPr>
  </w:style>
  <w:style w:type="paragraph" w:customStyle="1" w:styleId="29">
    <w:name w:val="样式29"/>
    <w:basedOn w:val="26"/>
    <w:link w:val="29Char"/>
    <w:qFormat/>
    <w:pPr>
      <w:numPr>
        <w:numId w:val="32"/>
      </w:numPr>
    </w:pPr>
  </w:style>
  <w:style w:type="paragraph" w:customStyle="1" w:styleId="215">
    <w:name w:val="标准文本 首行缩进:2 字符 行距1.5倍"/>
    <w:basedOn w:val="a1"/>
    <w:link w:val="215Char"/>
    <w:qFormat/>
    <w:pPr>
      <w:adjustRightInd w:val="0"/>
      <w:snapToGrid w:val="0"/>
      <w:spacing w:line="520" w:lineRule="exact"/>
      <w:ind w:firstLineChars="200" w:firstLine="480"/>
      <w:textAlignment w:val="center"/>
    </w:pPr>
    <w:rPr>
      <w:rFonts w:ascii="Times New Roman" w:hAnsi="宋体"/>
      <w:bCs/>
      <w:kern w:val="0"/>
      <w:sz w:val="24"/>
      <w:szCs w:val="24"/>
      <w:lang w:val="zh-CN"/>
    </w:rPr>
  </w:style>
  <w:style w:type="paragraph" w:customStyle="1" w:styleId="300">
    <w:name w:val="样式30"/>
    <w:basedOn w:val="26"/>
    <w:link w:val="30Char"/>
    <w:qFormat/>
    <w:pPr>
      <w:numPr>
        <w:numId w:val="33"/>
      </w:numPr>
    </w:pPr>
  </w:style>
  <w:style w:type="paragraph" w:customStyle="1" w:styleId="Char20">
    <w:name w:val="Char2"/>
    <w:basedOn w:val="a1"/>
    <w:qFormat/>
    <w:rPr>
      <w:rFonts w:ascii="Times New Roman" w:hAnsi="Times New Roman"/>
      <w:szCs w:val="20"/>
    </w:rPr>
  </w:style>
  <w:style w:type="paragraph" w:customStyle="1" w:styleId="2ff1">
    <w:name w:val="样式 报告书正文 + 首行缩进:  2 字符"/>
    <w:basedOn w:val="a1"/>
    <w:link w:val="2Char1"/>
    <w:qFormat/>
    <w:pPr>
      <w:tabs>
        <w:tab w:val="left" w:pos="6300"/>
      </w:tabs>
      <w:spacing w:beforeLines="50" w:line="360" w:lineRule="auto"/>
      <w:ind w:firstLineChars="196" w:firstLine="478"/>
      <w:outlineLvl w:val="2"/>
    </w:pPr>
    <w:rPr>
      <w:rFonts w:ascii="宋体" w:hAnsi="宋体"/>
      <w:spacing w:val="2"/>
      <w:kern w:val="0"/>
      <w:sz w:val="24"/>
      <w:szCs w:val="24"/>
    </w:rPr>
  </w:style>
  <w:style w:type="paragraph" w:customStyle="1" w:styleId="afffffa">
    <w:name w:val="金光华表文字"/>
    <w:basedOn w:val="a1"/>
    <w:qFormat/>
    <w:pPr>
      <w:widowControl/>
      <w:spacing w:before="60" w:after="60"/>
      <w:jc w:val="center"/>
    </w:pPr>
    <w:rPr>
      <w:rFonts w:ascii="Times New Roman" w:hAnsi="Times New Roman"/>
      <w:kern w:val="0"/>
      <w:szCs w:val="21"/>
    </w:rPr>
  </w:style>
  <w:style w:type="paragraph" w:customStyle="1" w:styleId="afffffb">
    <w:name w:val="金光华表头"/>
    <w:basedOn w:val="a1"/>
    <w:qFormat/>
    <w:pPr>
      <w:widowControl/>
      <w:spacing w:line="360" w:lineRule="auto"/>
      <w:ind w:firstLine="794"/>
      <w:jc w:val="left"/>
    </w:pPr>
    <w:rPr>
      <w:rFonts w:ascii="Times New Roman" w:hAnsi="Times New Roman"/>
      <w:kern w:val="0"/>
      <w:sz w:val="24"/>
      <w:szCs w:val="24"/>
    </w:rPr>
  </w:style>
  <w:style w:type="paragraph" w:customStyle="1" w:styleId="afffffc">
    <w:name w:val="金光华文本正文"/>
    <w:basedOn w:val="a1"/>
    <w:link w:val="CharChar0"/>
    <w:qFormat/>
    <w:pPr>
      <w:tabs>
        <w:tab w:val="left" w:pos="6840"/>
      </w:tabs>
      <w:spacing w:line="360" w:lineRule="auto"/>
      <w:ind w:firstLine="510"/>
    </w:pPr>
    <w:rPr>
      <w:rFonts w:ascii="宋体" w:hAnsi="宋体" w:cs="黑体"/>
      <w:sz w:val="24"/>
      <w:szCs w:val="24"/>
    </w:rPr>
  </w:style>
  <w:style w:type="paragraph" w:customStyle="1" w:styleId="p0">
    <w:name w:val="p0"/>
    <w:basedOn w:val="a1"/>
    <w:link w:val="p0CharChar"/>
    <w:qFormat/>
    <w:pPr>
      <w:widowControl/>
    </w:pPr>
    <w:rPr>
      <w:rFonts w:ascii="Times New Roman" w:hAnsi="Times New Roman"/>
      <w:kern w:val="0"/>
      <w:sz w:val="20"/>
      <w:szCs w:val="21"/>
    </w:rPr>
  </w:style>
  <w:style w:type="paragraph" w:customStyle="1" w:styleId="210">
    <w:name w:val="正文首行缩进 21"/>
    <w:basedOn w:val="a1"/>
    <w:qFormat/>
    <w:pPr>
      <w:spacing w:after="120" w:line="360" w:lineRule="auto"/>
      <w:ind w:leftChars="200" w:left="420" w:firstLineChars="200" w:firstLine="420"/>
    </w:pPr>
    <w:rPr>
      <w:rFonts w:ascii="Times New Roman" w:hAnsi="Times New Roman"/>
      <w:sz w:val="24"/>
      <w:szCs w:val="24"/>
    </w:rPr>
  </w:style>
  <w:style w:type="paragraph" w:customStyle="1" w:styleId="310">
    <w:name w:val="样式31"/>
    <w:basedOn w:val="16"/>
    <w:link w:val="31Char"/>
    <w:qFormat/>
    <w:pPr>
      <w:numPr>
        <w:numId w:val="34"/>
      </w:numPr>
    </w:pPr>
    <w:rPr>
      <w:rFonts w:ascii="Times New Roman" w:hAnsi="Times New Roman"/>
    </w:rPr>
  </w:style>
  <w:style w:type="paragraph" w:customStyle="1" w:styleId="32">
    <w:name w:val="样式32"/>
    <w:basedOn w:val="19"/>
    <w:link w:val="32Char"/>
    <w:qFormat/>
    <w:pPr>
      <w:numPr>
        <w:numId w:val="35"/>
      </w:numPr>
      <w:tabs>
        <w:tab w:val="clear" w:pos="360"/>
      </w:tabs>
    </w:pPr>
    <w:rPr>
      <w:rFonts w:ascii="Times New Roman" w:hAnsi="Times New Roman"/>
    </w:rPr>
  </w:style>
  <w:style w:type="paragraph" w:customStyle="1" w:styleId="330">
    <w:name w:val="样式33"/>
    <w:basedOn w:val="14"/>
    <w:link w:val="33Char"/>
    <w:qFormat/>
    <w:pPr>
      <w:numPr>
        <w:numId w:val="36"/>
      </w:numPr>
    </w:pPr>
    <w:rPr>
      <w:rFonts w:ascii="Times New Roman" w:hAnsi="Times New Roman"/>
    </w:rPr>
  </w:style>
  <w:style w:type="paragraph" w:customStyle="1" w:styleId="34">
    <w:name w:val="样式34"/>
    <w:basedOn w:val="15"/>
    <w:link w:val="34Char"/>
    <w:qFormat/>
    <w:pPr>
      <w:numPr>
        <w:numId w:val="37"/>
      </w:numPr>
    </w:pPr>
    <w:rPr>
      <w:rFonts w:ascii="Times New Roman" w:hAnsi="Times New Roman"/>
    </w:rPr>
  </w:style>
  <w:style w:type="paragraph" w:customStyle="1" w:styleId="35">
    <w:name w:val="样式35"/>
    <w:basedOn w:val="34"/>
    <w:link w:val="35Char"/>
    <w:qFormat/>
    <w:pPr>
      <w:numPr>
        <w:numId w:val="38"/>
      </w:numPr>
    </w:pPr>
  </w:style>
  <w:style w:type="paragraph" w:customStyle="1" w:styleId="36">
    <w:name w:val="样式36"/>
    <w:basedOn w:val="35"/>
    <w:link w:val="36Char"/>
    <w:qFormat/>
    <w:pPr>
      <w:numPr>
        <w:numId w:val="39"/>
      </w:numPr>
      <w:tabs>
        <w:tab w:val="left" w:pos="360"/>
      </w:tabs>
    </w:pPr>
  </w:style>
  <w:style w:type="paragraph" w:customStyle="1" w:styleId="37">
    <w:name w:val="样式37"/>
    <w:basedOn w:val="330"/>
    <w:link w:val="37Char"/>
    <w:qFormat/>
    <w:pPr>
      <w:numPr>
        <w:numId w:val="40"/>
      </w:numPr>
    </w:pPr>
  </w:style>
  <w:style w:type="paragraph" w:customStyle="1" w:styleId="38">
    <w:name w:val="样式38"/>
    <w:basedOn w:val="26"/>
    <w:link w:val="38Char"/>
    <w:qFormat/>
    <w:pPr>
      <w:numPr>
        <w:numId w:val="41"/>
      </w:numPr>
    </w:pPr>
  </w:style>
  <w:style w:type="paragraph" w:customStyle="1" w:styleId="39">
    <w:name w:val="样式39"/>
    <w:basedOn w:val="21"/>
    <w:link w:val="39Char"/>
    <w:qFormat/>
    <w:pPr>
      <w:numPr>
        <w:numId w:val="42"/>
      </w:numPr>
    </w:pPr>
  </w:style>
  <w:style w:type="paragraph" w:customStyle="1" w:styleId="400">
    <w:name w:val="样式40"/>
    <w:basedOn w:val="15"/>
    <w:link w:val="40Char"/>
    <w:qFormat/>
    <w:pPr>
      <w:numPr>
        <w:numId w:val="43"/>
      </w:numPr>
    </w:pPr>
    <w:rPr>
      <w:rFonts w:ascii="Times New Roman" w:hAnsi="Times New Roman"/>
    </w:rPr>
  </w:style>
  <w:style w:type="paragraph" w:customStyle="1" w:styleId="41">
    <w:name w:val="样式41"/>
    <w:basedOn w:val="400"/>
    <w:link w:val="41Char"/>
    <w:qFormat/>
    <w:pPr>
      <w:numPr>
        <w:numId w:val="44"/>
      </w:numPr>
    </w:pPr>
  </w:style>
  <w:style w:type="paragraph" w:customStyle="1" w:styleId="42">
    <w:name w:val="样式42"/>
    <w:basedOn w:val="41"/>
    <w:link w:val="42Char"/>
    <w:qFormat/>
    <w:pPr>
      <w:numPr>
        <w:numId w:val="45"/>
      </w:numPr>
      <w:tabs>
        <w:tab w:val="left" w:pos="360"/>
      </w:tabs>
    </w:pPr>
  </w:style>
  <w:style w:type="paragraph" w:customStyle="1" w:styleId="43">
    <w:name w:val="样式43"/>
    <w:basedOn w:val="4f3"/>
    <w:link w:val="43Char"/>
    <w:qFormat/>
    <w:pPr>
      <w:numPr>
        <w:numId w:val="46"/>
      </w:numPr>
      <w:spacing w:before="120" w:after="120" w:line="415" w:lineRule="auto"/>
    </w:pPr>
    <w:rPr>
      <w:rFonts w:ascii="Times New Roman" w:hAnsi="Times New Roman"/>
    </w:rPr>
  </w:style>
  <w:style w:type="paragraph" w:customStyle="1" w:styleId="44">
    <w:name w:val="样式44"/>
    <w:basedOn w:val="43"/>
    <w:link w:val="44Char"/>
    <w:qFormat/>
    <w:pPr>
      <w:numPr>
        <w:numId w:val="47"/>
      </w:numPr>
    </w:pPr>
  </w:style>
  <w:style w:type="paragraph" w:customStyle="1" w:styleId="450">
    <w:name w:val="样式45"/>
    <w:basedOn w:val="44"/>
    <w:link w:val="45Char"/>
    <w:qFormat/>
    <w:pPr>
      <w:numPr>
        <w:numId w:val="48"/>
      </w:numPr>
      <w:tabs>
        <w:tab w:val="left" w:pos="360"/>
      </w:tabs>
    </w:pPr>
  </w:style>
  <w:style w:type="paragraph" w:customStyle="1" w:styleId="46">
    <w:name w:val="样式46"/>
    <w:basedOn w:val="2ff0"/>
    <w:link w:val="46Char"/>
    <w:qFormat/>
    <w:pPr>
      <w:numPr>
        <w:numId w:val="49"/>
      </w:numPr>
    </w:pPr>
    <w:rPr>
      <w:rFonts w:ascii="Times New Roman" w:hAnsi="Times New Roman"/>
    </w:rPr>
  </w:style>
  <w:style w:type="paragraph" w:customStyle="1" w:styleId="47">
    <w:name w:val="样式47"/>
    <w:basedOn w:val="43"/>
    <w:link w:val="47Char"/>
    <w:qFormat/>
    <w:pPr>
      <w:numPr>
        <w:numId w:val="50"/>
      </w:numPr>
    </w:pPr>
  </w:style>
  <w:style w:type="paragraph" w:customStyle="1" w:styleId="48">
    <w:name w:val="样式48"/>
    <w:basedOn w:val="47"/>
    <w:link w:val="48Char"/>
    <w:qFormat/>
    <w:pPr>
      <w:numPr>
        <w:numId w:val="51"/>
      </w:numPr>
      <w:tabs>
        <w:tab w:val="left" w:pos="360"/>
      </w:tabs>
    </w:pPr>
  </w:style>
  <w:style w:type="paragraph" w:customStyle="1" w:styleId="49">
    <w:name w:val="样式49"/>
    <w:basedOn w:val="10"/>
    <w:link w:val="49Char"/>
    <w:qFormat/>
    <w:pPr>
      <w:numPr>
        <w:numId w:val="52"/>
      </w:numPr>
    </w:pPr>
  </w:style>
  <w:style w:type="paragraph" w:customStyle="1" w:styleId="500">
    <w:name w:val="样式50"/>
    <w:basedOn w:val="10"/>
    <w:link w:val="50Char"/>
    <w:qFormat/>
    <w:pPr>
      <w:numPr>
        <w:numId w:val="53"/>
      </w:numPr>
    </w:pPr>
  </w:style>
  <w:style w:type="paragraph" w:customStyle="1" w:styleId="51">
    <w:name w:val="样式51"/>
    <w:basedOn w:val="47"/>
    <w:link w:val="51Char"/>
    <w:qFormat/>
    <w:pPr>
      <w:numPr>
        <w:numId w:val="54"/>
      </w:numPr>
    </w:pPr>
  </w:style>
  <w:style w:type="paragraph" w:customStyle="1" w:styleId="52">
    <w:name w:val="样式52"/>
    <w:basedOn w:val="10"/>
    <w:link w:val="52Char"/>
    <w:qFormat/>
    <w:pPr>
      <w:numPr>
        <w:numId w:val="55"/>
      </w:numPr>
    </w:pPr>
  </w:style>
  <w:style w:type="paragraph" w:customStyle="1" w:styleId="53">
    <w:name w:val="样式53"/>
    <w:basedOn w:val="10"/>
    <w:link w:val="53Char"/>
    <w:qFormat/>
    <w:pPr>
      <w:numPr>
        <w:numId w:val="56"/>
      </w:numPr>
    </w:pPr>
  </w:style>
  <w:style w:type="paragraph" w:customStyle="1" w:styleId="54">
    <w:name w:val="样式54"/>
    <w:basedOn w:val="46"/>
    <w:link w:val="54Char"/>
    <w:qFormat/>
    <w:pPr>
      <w:numPr>
        <w:numId w:val="57"/>
      </w:numPr>
    </w:pPr>
  </w:style>
  <w:style w:type="paragraph" w:customStyle="1" w:styleId="55">
    <w:name w:val="样式55"/>
    <w:basedOn w:val="32"/>
    <w:link w:val="55Char"/>
    <w:qFormat/>
    <w:pPr>
      <w:numPr>
        <w:numId w:val="58"/>
      </w:numPr>
    </w:pPr>
  </w:style>
  <w:style w:type="paragraph" w:customStyle="1" w:styleId="56">
    <w:name w:val="样式56"/>
    <w:basedOn w:val="46"/>
    <w:link w:val="56Char"/>
    <w:qFormat/>
    <w:pPr>
      <w:numPr>
        <w:numId w:val="59"/>
      </w:numPr>
    </w:pPr>
  </w:style>
  <w:style w:type="paragraph" w:customStyle="1" w:styleId="57">
    <w:name w:val="样式57"/>
    <w:basedOn w:val="48"/>
    <w:link w:val="57Char"/>
    <w:qFormat/>
    <w:pPr>
      <w:numPr>
        <w:numId w:val="60"/>
      </w:numPr>
    </w:pPr>
  </w:style>
  <w:style w:type="paragraph" w:customStyle="1" w:styleId="58">
    <w:name w:val="样式58"/>
    <w:basedOn w:val="57"/>
    <w:link w:val="58Char"/>
    <w:qFormat/>
    <w:pPr>
      <w:numPr>
        <w:numId w:val="61"/>
      </w:numPr>
    </w:pPr>
  </w:style>
  <w:style w:type="paragraph" w:customStyle="1" w:styleId="59">
    <w:name w:val="样式59"/>
    <w:basedOn w:val="1f9"/>
    <w:link w:val="59Char"/>
    <w:qFormat/>
    <w:pPr>
      <w:numPr>
        <w:numId w:val="62"/>
      </w:numPr>
    </w:pPr>
    <w:rPr>
      <w:rFonts w:ascii="Times New Roman" w:hAnsi="Times New Roman"/>
    </w:rPr>
  </w:style>
  <w:style w:type="paragraph" w:customStyle="1" w:styleId="610">
    <w:name w:val="样式61"/>
    <w:basedOn w:val="4f3"/>
    <w:link w:val="61Char"/>
    <w:qFormat/>
    <w:pPr>
      <w:spacing w:before="120" w:after="120" w:line="415" w:lineRule="auto"/>
    </w:pPr>
    <w:rPr>
      <w:rFonts w:ascii="Times New Roman" w:hAnsi="Times New Roman"/>
    </w:rPr>
  </w:style>
  <w:style w:type="paragraph" w:customStyle="1" w:styleId="62">
    <w:name w:val="样式62"/>
    <w:basedOn w:val="5f2"/>
    <w:link w:val="62Char"/>
    <w:qFormat/>
    <w:pPr>
      <w:numPr>
        <w:numId w:val="63"/>
      </w:numPr>
    </w:pPr>
    <w:rPr>
      <w:rFonts w:ascii="Times New Roman" w:hAnsi="Times New Roman"/>
    </w:rPr>
  </w:style>
  <w:style w:type="paragraph" w:customStyle="1" w:styleId="64">
    <w:name w:val="样式64"/>
    <w:basedOn w:val="630"/>
    <w:link w:val="64Char"/>
    <w:qFormat/>
    <w:pPr>
      <w:numPr>
        <w:numId w:val="64"/>
      </w:numPr>
      <w:tabs>
        <w:tab w:val="left" w:pos="360"/>
      </w:tabs>
      <w:ind w:left="0" w:hangingChars="200" w:hanging="200"/>
    </w:pPr>
  </w:style>
  <w:style w:type="paragraph" w:customStyle="1" w:styleId="65">
    <w:name w:val="样式65"/>
    <w:basedOn w:val="630"/>
    <w:link w:val="65Char"/>
    <w:qFormat/>
    <w:pPr>
      <w:numPr>
        <w:numId w:val="65"/>
      </w:numPr>
      <w:ind w:hangingChars="200" w:hanging="200"/>
    </w:pPr>
  </w:style>
  <w:style w:type="paragraph" w:customStyle="1" w:styleId="66">
    <w:name w:val="样式66"/>
    <w:basedOn w:val="65"/>
    <w:link w:val="66Char"/>
    <w:qFormat/>
    <w:pPr>
      <w:numPr>
        <w:numId w:val="66"/>
      </w:numPr>
      <w:tabs>
        <w:tab w:val="left" w:pos="360"/>
      </w:tabs>
      <w:ind w:hanging="200"/>
    </w:pPr>
  </w:style>
  <w:style w:type="paragraph" w:customStyle="1" w:styleId="67">
    <w:name w:val="样式67"/>
    <w:basedOn w:val="66"/>
    <w:link w:val="67Char"/>
    <w:qFormat/>
    <w:pPr>
      <w:numPr>
        <w:numId w:val="67"/>
      </w:numPr>
    </w:pPr>
  </w:style>
  <w:style w:type="paragraph" w:customStyle="1" w:styleId="68">
    <w:name w:val="样式68"/>
    <w:basedOn w:val="12"/>
    <w:link w:val="68Char"/>
    <w:qFormat/>
    <w:pPr>
      <w:numPr>
        <w:numId w:val="68"/>
      </w:numPr>
    </w:pPr>
  </w:style>
  <w:style w:type="paragraph" w:customStyle="1" w:styleId="69">
    <w:name w:val="样式69"/>
    <w:basedOn w:val="67"/>
    <w:link w:val="69Char"/>
    <w:qFormat/>
    <w:pPr>
      <w:numPr>
        <w:numId w:val="69"/>
      </w:numPr>
    </w:pPr>
  </w:style>
  <w:style w:type="paragraph" w:customStyle="1" w:styleId="Para">
    <w:name w:val="默认段落字体 Para"/>
    <w:basedOn w:val="a1"/>
    <w:qFormat/>
    <w:rPr>
      <w:rFonts w:ascii="Times New Roman" w:hAnsi="Times New Roman"/>
      <w:szCs w:val="24"/>
    </w:rPr>
  </w:style>
  <w:style w:type="paragraph" w:customStyle="1" w:styleId="70">
    <w:name w:val="样式70"/>
    <w:basedOn w:val="69"/>
    <w:link w:val="70Char"/>
    <w:qFormat/>
    <w:pPr>
      <w:numPr>
        <w:numId w:val="70"/>
      </w:numPr>
    </w:pPr>
  </w:style>
  <w:style w:type="paragraph" w:customStyle="1" w:styleId="71">
    <w:name w:val="样式71"/>
    <w:basedOn w:val="24"/>
    <w:link w:val="71Char"/>
    <w:qFormat/>
    <w:pPr>
      <w:numPr>
        <w:numId w:val="71"/>
      </w:numPr>
    </w:pPr>
  </w:style>
  <w:style w:type="paragraph" w:customStyle="1" w:styleId="72">
    <w:name w:val="样式72"/>
    <w:basedOn w:val="67"/>
    <w:link w:val="72Char"/>
    <w:qFormat/>
    <w:pPr>
      <w:numPr>
        <w:numId w:val="72"/>
      </w:numPr>
    </w:pPr>
  </w:style>
  <w:style w:type="paragraph" w:customStyle="1" w:styleId="73">
    <w:name w:val="样式73"/>
    <w:basedOn w:val="610"/>
    <w:link w:val="73Char"/>
    <w:qFormat/>
    <w:pPr>
      <w:numPr>
        <w:numId w:val="73"/>
      </w:numPr>
    </w:pPr>
  </w:style>
  <w:style w:type="paragraph" w:customStyle="1" w:styleId="0">
    <w:name w:val="0表图标题"/>
    <w:basedOn w:val="a1"/>
    <w:link w:val="0Char"/>
    <w:qFormat/>
    <w:pPr>
      <w:tabs>
        <w:tab w:val="left" w:pos="4140"/>
      </w:tabs>
      <w:adjustRightInd w:val="0"/>
      <w:snapToGrid w:val="0"/>
      <w:spacing w:line="360" w:lineRule="auto"/>
      <w:ind w:firstLineChars="200" w:firstLine="480"/>
      <w:jc w:val="center"/>
    </w:pPr>
    <w:rPr>
      <w:rFonts w:ascii="黑体" w:eastAsia="黑体" w:hAnsi="黑体"/>
      <w:color w:val="000000"/>
      <w:kern w:val="0"/>
      <w:sz w:val="24"/>
      <w:szCs w:val="24"/>
    </w:rPr>
  </w:style>
  <w:style w:type="paragraph" w:customStyle="1" w:styleId="74">
    <w:name w:val="样式74"/>
    <w:basedOn w:val="610"/>
    <w:link w:val="74Char"/>
    <w:qFormat/>
    <w:pPr>
      <w:numPr>
        <w:numId w:val="74"/>
      </w:numPr>
    </w:pPr>
  </w:style>
  <w:style w:type="paragraph" w:customStyle="1" w:styleId="afffffd">
    <w:name w:val="正文＋黑体"/>
    <w:basedOn w:val="a1"/>
    <w:link w:val="Char6"/>
    <w:qFormat/>
    <w:pPr>
      <w:spacing w:beforeLines="50" w:afterLines="50"/>
      <w:ind w:firstLineChars="200" w:firstLine="480"/>
      <w:jc w:val="left"/>
    </w:pPr>
    <w:rPr>
      <w:rFonts w:ascii="Arial" w:eastAsia="黑体" w:hAnsi="Arial"/>
      <w:kern w:val="0"/>
      <w:sz w:val="24"/>
      <w:szCs w:val="24"/>
    </w:rPr>
  </w:style>
  <w:style w:type="paragraph" w:customStyle="1" w:styleId="75">
    <w:name w:val="样式75"/>
    <w:basedOn w:val="10"/>
    <w:link w:val="75Char"/>
    <w:qFormat/>
    <w:pPr>
      <w:numPr>
        <w:numId w:val="75"/>
      </w:numPr>
    </w:pPr>
  </w:style>
  <w:style w:type="paragraph" w:customStyle="1" w:styleId="76">
    <w:name w:val="样式76"/>
    <w:basedOn w:val="73"/>
    <w:link w:val="76Char"/>
    <w:qFormat/>
    <w:pPr>
      <w:numPr>
        <w:numId w:val="76"/>
      </w:numPr>
    </w:pPr>
  </w:style>
  <w:style w:type="paragraph" w:customStyle="1" w:styleId="77">
    <w:name w:val="样式77"/>
    <w:basedOn w:val="afffff2"/>
    <w:link w:val="77Char"/>
    <w:qFormat/>
    <w:pPr>
      <w:numPr>
        <w:numId w:val="77"/>
      </w:numPr>
      <w:spacing w:line="240" w:lineRule="auto"/>
      <w:ind w:left="0" w:firstLineChars="0" w:firstLine="0"/>
    </w:pPr>
    <w:rPr>
      <w:rFonts w:ascii="Calibri" w:hAnsi="Calibri"/>
      <w:color w:val="auto"/>
      <w:kern w:val="2"/>
      <w:sz w:val="21"/>
      <w:szCs w:val="22"/>
    </w:rPr>
  </w:style>
  <w:style w:type="paragraph" w:customStyle="1" w:styleId="78">
    <w:name w:val="样式78"/>
    <w:basedOn w:val="74"/>
    <w:link w:val="78Char"/>
    <w:qFormat/>
    <w:pPr>
      <w:numPr>
        <w:numId w:val="78"/>
      </w:numPr>
    </w:pPr>
  </w:style>
  <w:style w:type="paragraph" w:customStyle="1" w:styleId="79">
    <w:name w:val="样式79"/>
    <w:basedOn w:val="76"/>
    <w:link w:val="79Char"/>
    <w:qFormat/>
    <w:pPr>
      <w:numPr>
        <w:numId w:val="79"/>
      </w:numPr>
    </w:pPr>
  </w:style>
  <w:style w:type="paragraph" w:customStyle="1" w:styleId="150">
    <w:name w:val="正文 小四 行距: 1.5 倍行距"/>
    <w:basedOn w:val="a1"/>
    <w:qFormat/>
    <w:pPr>
      <w:spacing w:line="360" w:lineRule="auto"/>
      <w:ind w:firstLineChars="200" w:firstLine="480"/>
    </w:pPr>
    <w:rPr>
      <w:rFonts w:ascii="Times New Roman" w:hAnsi="Times New Roman" w:cs="宋体"/>
      <w:sz w:val="24"/>
      <w:szCs w:val="20"/>
    </w:rPr>
  </w:style>
  <w:style w:type="paragraph" w:customStyle="1" w:styleId="80">
    <w:name w:val="样式80"/>
    <w:basedOn w:val="75"/>
    <w:link w:val="80Char"/>
    <w:qFormat/>
    <w:pPr>
      <w:numPr>
        <w:numId w:val="80"/>
      </w:numPr>
    </w:pPr>
  </w:style>
  <w:style w:type="paragraph" w:customStyle="1" w:styleId="81">
    <w:name w:val="样式81"/>
    <w:basedOn w:val="75"/>
    <w:link w:val="81Char"/>
    <w:qFormat/>
    <w:pPr>
      <w:numPr>
        <w:numId w:val="81"/>
      </w:numPr>
    </w:pPr>
  </w:style>
  <w:style w:type="paragraph" w:customStyle="1" w:styleId="82">
    <w:name w:val="样式82"/>
    <w:basedOn w:val="76"/>
    <w:link w:val="82Char"/>
    <w:qFormat/>
    <w:pPr>
      <w:numPr>
        <w:numId w:val="82"/>
      </w:numPr>
    </w:pPr>
  </w:style>
  <w:style w:type="paragraph" w:customStyle="1" w:styleId="83">
    <w:name w:val="样式83"/>
    <w:basedOn w:val="82"/>
    <w:link w:val="83Char"/>
    <w:qFormat/>
    <w:pPr>
      <w:numPr>
        <w:numId w:val="83"/>
      </w:numPr>
      <w:tabs>
        <w:tab w:val="left" w:pos="360"/>
      </w:tabs>
    </w:pPr>
  </w:style>
  <w:style w:type="paragraph" w:customStyle="1" w:styleId="84">
    <w:name w:val="样式84"/>
    <w:basedOn w:val="79"/>
    <w:link w:val="84Char"/>
    <w:qFormat/>
    <w:pPr>
      <w:numPr>
        <w:numId w:val="84"/>
      </w:numPr>
    </w:pPr>
  </w:style>
  <w:style w:type="paragraph" w:customStyle="1" w:styleId="85">
    <w:name w:val="样式85"/>
    <w:basedOn w:val="79"/>
    <w:link w:val="85Char"/>
    <w:qFormat/>
    <w:pPr>
      <w:numPr>
        <w:numId w:val="85"/>
      </w:numPr>
    </w:pPr>
  </w:style>
  <w:style w:type="paragraph" w:customStyle="1" w:styleId="86">
    <w:name w:val="样式86"/>
    <w:basedOn w:val="81"/>
    <w:link w:val="86Char"/>
    <w:qFormat/>
    <w:pPr>
      <w:numPr>
        <w:numId w:val="86"/>
      </w:numPr>
    </w:pPr>
  </w:style>
  <w:style w:type="paragraph" w:customStyle="1" w:styleId="87">
    <w:name w:val="样式87"/>
    <w:basedOn w:val="83"/>
    <w:link w:val="87Char"/>
    <w:qFormat/>
    <w:pPr>
      <w:numPr>
        <w:numId w:val="87"/>
      </w:numPr>
    </w:pPr>
  </w:style>
  <w:style w:type="paragraph" w:customStyle="1" w:styleId="88">
    <w:name w:val="样式88"/>
    <w:basedOn w:val="85"/>
    <w:link w:val="88Char"/>
    <w:qFormat/>
    <w:pPr>
      <w:numPr>
        <w:numId w:val="88"/>
      </w:numPr>
    </w:pPr>
  </w:style>
  <w:style w:type="paragraph" w:customStyle="1" w:styleId="89">
    <w:name w:val="样式89"/>
    <w:basedOn w:val="87"/>
    <w:link w:val="89Char"/>
    <w:qFormat/>
    <w:pPr>
      <w:numPr>
        <w:numId w:val="89"/>
      </w:numPr>
    </w:pPr>
  </w:style>
  <w:style w:type="paragraph" w:customStyle="1" w:styleId="90">
    <w:name w:val="样式90"/>
    <w:basedOn w:val="86"/>
    <w:link w:val="90Char"/>
    <w:qFormat/>
    <w:pPr>
      <w:numPr>
        <w:numId w:val="90"/>
      </w:numPr>
    </w:pPr>
  </w:style>
  <w:style w:type="paragraph" w:customStyle="1" w:styleId="91">
    <w:name w:val="样式91"/>
    <w:basedOn w:val="87"/>
    <w:link w:val="91Char"/>
    <w:qFormat/>
    <w:pPr>
      <w:numPr>
        <w:numId w:val="91"/>
      </w:numPr>
    </w:pPr>
  </w:style>
  <w:style w:type="paragraph" w:customStyle="1" w:styleId="92">
    <w:name w:val="样式92"/>
    <w:basedOn w:val="86"/>
    <w:link w:val="92Char"/>
    <w:qFormat/>
    <w:pPr>
      <w:numPr>
        <w:numId w:val="92"/>
      </w:numPr>
    </w:pPr>
  </w:style>
  <w:style w:type="paragraph" w:customStyle="1" w:styleId="93">
    <w:name w:val="样式93"/>
    <w:basedOn w:val="92"/>
    <w:link w:val="93Char"/>
    <w:qFormat/>
    <w:pPr>
      <w:numPr>
        <w:numId w:val="93"/>
      </w:numPr>
    </w:pPr>
  </w:style>
  <w:style w:type="paragraph" w:customStyle="1" w:styleId="94">
    <w:name w:val="样式94"/>
    <w:basedOn w:val="89"/>
    <w:link w:val="94Char"/>
    <w:qFormat/>
    <w:pPr>
      <w:numPr>
        <w:numId w:val="94"/>
      </w:numPr>
    </w:pPr>
  </w:style>
  <w:style w:type="paragraph" w:customStyle="1" w:styleId="95">
    <w:name w:val="样式95"/>
    <w:basedOn w:val="91"/>
    <w:link w:val="95Char"/>
    <w:qFormat/>
    <w:pPr>
      <w:numPr>
        <w:numId w:val="95"/>
      </w:numPr>
    </w:pPr>
  </w:style>
  <w:style w:type="paragraph" w:customStyle="1" w:styleId="96">
    <w:name w:val="样式96"/>
    <w:basedOn w:val="93"/>
    <w:link w:val="96Char"/>
    <w:qFormat/>
    <w:pPr>
      <w:numPr>
        <w:numId w:val="96"/>
      </w:numPr>
    </w:pPr>
  </w:style>
  <w:style w:type="paragraph" w:customStyle="1" w:styleId="97">
    <w:name w:val="样式97"/>
    <w:basedOn w:val="91"/>
    <w:link w:val="97Char"/>
    <w:qFormat/>
    <w:pPr>
      <w:numPr>
        <w:numId w:val="97"/>
      </w:numPr>
    </w:pPr>
  </w:style>
  <w:style w:type="paragraph" w:customStyle="1" w:styleId="98">
    <w:name w:val="样式98"/>
    <w:basedOn w:val="89"/>
    <w:link w:val="98Char"/>
    <w:qFormat/>
    <w:pPr>
      <w:numPr>
        <w:numId w:val="98"/>
      </w:numPr>
    </w:pPr>
  </w:style>
  <w:style w:type="paragraph" w:customStyle="1" w:styleId="99">
    <w:name w:val="样式99"/>
    <w:basedOn w:val="90"/>
    <w:link w:val="99Char"/>
    <w:qFormat/>
    <w:pPr>
      <w:numPr>
        <w:numId w:val="99"/>
      </w:numPr>
    </w:pPr>
  </w:style>
  <w:style w:type="paragraph" w:customStyle="1" w:styleId="100">
    <w:name w:val="样式100"/>
    <w:basedOn w:val="78"/>
    <w:link w:val="100Char"/>
    <w:qFormat/>
    <w:pPr>
      <w:numPr>
        <w:numId w:val="100"/>
      </w:numPr>
    </w:pPr>
  </w:style>
  <w:style w:type="paragraph" w:customStyle="1" w:styleId="101">
    <w:name w:val="样式101"/>
    <w:basedOn w:val="99"/>
    <w:link w:val="101Char"/>
    <w:qFormat/>
    <w:pPr>
      <w:numPr>
        <w:numId w:val="101"/>
      </w:numPr>
    </w:pPr>
  </w:style>
  <w:style w:type="paragraph" w:customStyle="1" w:styleId="102">
    <w:name w:val="样式102"/>
    <w:basedOn w:val="78"/>
    <w:link w:val="102Char"/>
    <w:qFormat/>
    <w:pPr>
      <w:numPr>
        <w:numId w:val="102"/>
      </w:numPr>
    </w:pPr>
  </w:style>
  <w:style w:type="paragraph" w:customStyle="1" w:styleId="103">
    <w:name w:val="样式103"/>
    <w:basedOn w:val="86"/>
    <w:link w:val="103Char"/>
    <w:qFormat/>
    <w:pPr>
      <w:numPr>
        <w:numId w:val="103"/>
      </w:numPr>
    </w:pPr>
  </w:style>
  <w:style w:type="paragraph" w:customStyle="1" w:styleId="104">
    <w:name w:val="样式104"/>
    <w:basedOn w:val="102"/>
    <w:link w:val="104Char"/>
    <w:qFormat/>
    <w:pPr>
      <w:numPr>
        <w:numId w:val="104"/>
      </w:numPr>
    </w:pPr>
  </w:style>
  <w:style w:type="paragraph" w:customStyle="1" w:styleId="105">
    <w:name w:val="样式105"/>
    <w:basedOn w:val="104"/>
    <w:link w:val="105Char"/>
    <w:qFormat/>
    <w:pPr>
      <w:numPr>
        <w:numId w:val="105"/>
      </w:numPr>
      <w:tabs>
        <w:tab w:val="left" w:pos="360"/>
      </w:tabs>
    </w:pPr>
  </w:style>
  <w:style w:type="paragraph" w:customStyle="1" w:styleId="106">
    <w:name w:val="样式106"/>
    <w:basedOn w:val="103"/>
    <w:link w:val="106Char"/>
    <w:qFormat/>
    <w:pPr>
      <w:numPr>
        <w:numId w:val="106"/>
      </w:numPr>
    </w:pPr>
  </w:style>
  <w:style w:type="paragraph" w:customStyle="1" w:styleId="107">
    <w:name w:val="样式107"/>
    <w:basedOn w:val="104"/>
    <w:link w:val="107Char"/>
    <w:qFormat/>
    <w:pPr>
      <w:numPr>
        <w:numId w:val="107"/>
      </w:numPr>
    </w:pPr>
  </w:style>
  <w:style w:type="paragraph" w:customStyle="1" w:styleId="108">
    <w:name w:val="样式108"/>
    <w:basedOn w:val="103"/>
    <w:link w:val="108Char"/>
    <w:qFormat/>
    <w:pPr>
      <w:numPr>
        <w:numId w:val="108"/>
      </w:numPr>
    </w:pPr>
  </w:style>
  <w:style w:type="paragraph" w:customStyle="1" w:styleId="1fb">
    <w:name w:val="表格1"/>
    <w:basedOn w:val="a1"/>
    <w:link w:val="1Char2"/>
    <w:qFormat/>
    <w:pPr>
      <w:tabs>
        <w:tab w:val="left" w:pos="3105"/>
      </w:tabs>
      <w:spacing w:line="240" w:lineRule="exact"/>
      <w:jc w:val="center"/>
    </w:pPr>
    <w:rPr>
      <w:rFonts w:ascii="宋体" w:hAnsi="宋体"/>
      <w:kern w:val="0"/>
      <w:sz w:val="18"/>
      <w:szCs w:val="21"/>
    </w:rPr>
  </w:style>
  <w:style w:type="paragraph" w:customStyle="1" w:styleId="afffffe">
    <w:name w:val="表格名称"/>
    <w:basedOn w:val="a1"/>
    <w:link w:val="CharChar1"/>
    <w:qFormat/>
    <w:pPr>
      <w:spacing w:beforeLines="50"/>
      <w:ind w:firstLineChars="450" w:firstLine="946"/>
    </w:pPr>
    <w:rPr>
      <w:rFonts w:ascii="华文中宋" w:eastAsia="华文中宋" w:hAnsi="华文中宋"/>
      <w:b/>
      <w:color w:val="000000"/>
      <w:kern w:val="0"/>
      <w:sz w:val="20"/>
      <w:szCs w:val="21"/>
    </w:rPr>
  </w:style>
  <w:style w:type="paragraph" w:customStyle="1" w:styleId="2ff2">
    <w:name w:val="表格2"/>
    <w:basedOn w:val="a1"/>
    <w:qFormat/>
    <w:pPr>
      <w:tabs>
        <w:tab w:val="left" w:pos="3105"/>
      </w:tabs>
      <w:spacing w:line="240" w:lineRule="atLeast"/>
      <w:ind w:leftChars="-52" w:left="-52" w:rightChars="-52" w:right="-125" w:hangingChars="59" w:hanging="124"/>
      <w:jc w:val="center"/>
    </w:pPr>
    <w:rPr>
      <w:rFonts w:ascii="华文中宋" w:eastAsia="华文中宋" w:hAnsi="华文中宋"/>
      <w:szCs w:val="21"/>
    </w:rPr>
  </w:style>
  <w:style w:type="paragraph" w:customStyle="1" w:styleId="109">
    <w:name w:val="样式109"/>
    <w:basedOn w:val="104"/>
    <w:link w:val="109Char"/>
    <w:qFormat/>
    <w:pPr>
      <w:numPr>
        <w:numId w:val="109"/>
      </w:numPr>
    </w:pPr>
  </w:style>
  <w:style w:type="paragraph" w:customStyle="1" w:styleId="110">
    <w:name w:val="样式110"/>
    <w:basedOn w:val="4a"/>
    <w:link w:val="110Char"/>
    <w:qFormat/>
    <w:pPr>
      <w:numPr>
        <w:numId w:val="110"/>
      </w:numPr>
      <w:spacing w:before="240" w:after="120" w:line="360" w:lineRule="auto"/>
      <w:jc w:val="left"/>
    </w:pPr>
    <w:rPr>
      <w:rFonts w:ascii="Arial" w:eastAsia="黑体" w:hAnsi="Arial" w:cs="Times New Roman"/>
      <w:kern w:val="0"/>
    </w:rPr>
  </w:style>
  <w:style w:type="paragraph" w:customStyle="1" w:styleId="1fc">
    <w:name w:val="正文1"/>
    <w:basedOn w:val="a1"/>
    <w:link w:val="NormalChar"/>
    <w:qFormat/>
    <w:pPr>
      <w:overflowPunct w:val="0"/>
      <w:autoSpaceDE w:val="0"/>
      <w:autoSpaceDN w:val="0"/>
      <w:adjustRightInd w:val="0"/>
      <w:spacing w:line="300" w:lineRule="auto"/>
      <w:ind w:left="964"/>
      <w:textAlignment w:val="baseline"/>
    </w:pPr>
    <w:rPr>
      <w:rFonts w:ascii="宋体"/>
      <w:kern w:val="0"/>
      <w:sz w:val="24"/>
      <w:szCs w:val="20"/>
    </w:rPr>
  </w:style>
  <w:style w:type="paragraph" w:customStyle="1" w:styleId="affffff">
    <w:name w:val="段落"/>
    <w:basedOn w:val="a1"/>
    <w:unhideWhenUsed/>
    <w:qFormat/>
    <w:pPr>
      <w:tabs>
        <w:tab w:val="left" w:pos="1021"/>
      </w:tabs>
      <w:spacing w:line="360" w:lineRule="auto"/>
      <w:ind w:firstLineChars="200" w:firstLine="560"/>
      <w:jc w:val="left"/>
    </w:pPr>
    <w:rPr>
      <w:rFonts w:hint="eastAsia"/>
      <w:kern w:val="24"/>
      <w:sz w:val="28"/>
    </w:rPr>
  </w:style>
  <w:style w:type="paragraph" w:customStyle="1" w:styleId="z-1">
    <w:name w:val="z-窗体底端1"/>
    <w:basedOn w:val="a1"/>
    <w:next w:val="a1"/>
    <w:link w:val="z-Char1"/>
    <w:qFormat/>
    <w:pPr>
      <w:widowControl/>
      <w:pBdr>
        <w:top w:val="single" w:sz="6" w:space="1" w:color="auto"/>
      </w:pBdr>
      <w:jc w:val="center"/>
    </w:pPr>
    <w:rPr>
      <w:rFonts w:ascii="Arial" w:hAnsi="Arial" w:cs="黑体"/>
      <w:vanish/>
      <w:color w:val="000000"/>
      <w:sz w:val="16"/>
      <w:szCs w:val="16"/>
    </w:rPr>
  </w:style>
  <w:style w:type="paragraph" w:customStyle="1" w:styleId="xl31">
    <w:name w:val="xl31"/>
    <w:basedOn w:val="a1"/>
    <w:qFormat/>
    <w:pPr>
      <w:widowControl/>
      <w:spacing w:before="100" w:beforeAutospacing="1" w:after="100" w:afterAutospacing="1" w:line="360" w:lineRule="auto"/>
      <w:ind w:firstLineChars="200" w:firstLine="200"/>
      <w:jc w:val="center"/>
    </w:pPr>
    <w:rPr>
      <w:rFonts w:ascii="Arial Unicode MS" w:eastAsia="Arial Unicode MS" w:hAnsi="Arial Unicode MS"/>
      <w:b/>
      <w:bCs/>
      <w:kern w:val="0"/>
      <w:sz w:val="24"/>
      <w:szCs w:val="24"/>
    </w:rPr>
  </w:style>
  <w:style w:type="paragraph" w:customStyle="1" w:styleId="420">
    <w:name w:val="正文格式42"/>
    <w:basedOn w:val="a1"/>
    <w:qFormat/>
    <w:pPr>
      <w:spacing w:line="360" w:lineRule="auto"/>
      <w:ind w:firstLine="482"/>
    </w:pPr>
    <w:rPr>
      <w:rFonts w:ascii="Times New Roman" w:hAnsi="Times New Roman"/>
      <w:sz w:val="24"/>
      <w:szCs w:val="24"/>
    </w:rPr>
  </w:style>
  <w:style w:type="paragraph" w:customStyle="1" w:styleId="5f3">
    <w:name w:val="表内5"/>
    <w:basedOn w:val="a1"/>
    <w:qFormat/>
    <w:pPr>
      <w:adjustRightInd w:val="0"/>
      <w:snapToGrid w:val="0"/>
      <w:spacing w:line="360" w:lineRule="auto"/>
    </w:pPr>
    <w:rPr>
      <w:rFonts w:ascii="Times New Roman" w:hAnsi="Times New Roman"/>
      <w:szCs w:val="20"/>
    </w:rPr>
  </w:style>
  <w:style w:type="paragraph" w:customStyle="1" w:styleId="5f4">
    <w:name w:val="表内宋5中"/>
    <w:basedOn w:val="a1"/>
    <w:link w:val="5Char0"/>
    <w:qFormat/>
    <w:pPr>
      <w:adjustRightInd w:val="0"/>
      <w:snapToGrid w:val="0"/>
      <w:ind w:left="-48"/>
      <w:jc w:val="center"/>
      <w:textAlignment w:val="baseline"/>
    </w:pPr>
    <w:rPr>
      <w:rFonts w:ascii="Times New Roman" w:hAnsi="Times New Roman"/>
      <w:color w:val="000000"/>
      <w:kern w:val="0"/>
      <w:sz w:val="20"/>
      <w:szCs w:val="21"/>
    </w:rPr>
  </w:style>
  <w:style w:type="paragraph" w:customStyle="1" w:styleId="fu">
    <w:name w:val="fu正文"/>
    <w:basedOn w:val="a1"/>
    <w:link w:val="fuChar"/>
    <w:qFormat/>
    <w:pPr>
      <w:spacing w:line="360" w:lineRule="auto"/>
      <w:ind w:firstLineChars="200" w:firstLine="200"/>
    </w:pPr>
    <w:rPr>
      <w:rFonts w:ascii="Times New Roman" w:hAnsi="Times New Roman"/>
      <w:color w:val="000000"/>
      <w:kern w:val="0"/>
      <w:sz w:val="24"/>
      <w:szCs w:val="24"/>
    </w:rPr>
  </w:style>
  <w:style w:type="paragraph" w:customStyle="1" w:styleId="affffff0">
    <w:name w:val="首行缩进"/>
    <w:basedOn w:val="a1"/>
    <w:qFormat/>
    <w:pPr>
      <w:spacing w:line="380" w:lineRule="exact"/>
      <w:jc w:val="center"/>
    </w:pPr>
    <w:rPr>
      <w:rFonts w:ascii="Times New Roman" w:hAnsi="Times New Roman"/>
      <w:color w:val="FF0000"/>
      <w:sz w:val="24"/>
      <w:szCs w:val="24"/>
    </w:rPr>
  </w:style>
  <w:style w:type="paragraph" w:customStyle="1" w:styleId="xl28">
    <w:name w:val="xl2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Times New Roman" w:eastAsia="Arial Unicode MS" w:hAnsi="Times New Roman"/>
      <w:kern w:val="0"/>
      <w:sz w:val="24"/>
      <w:szCs w:val="24"/>
    </w:rPr>
  </w:style>
  <w:style w:type="paragraph" w:customStyle="1" w:styleId="CharCharCharCharCharChar1Char">
    <w:name w:val="Char Char Char Char Char Char1 Char"/>
    <w:basedOn w:val="a1"/>
    <w:qFormat/>
    <w:rPr>
      <w:rFonts w:ascii="Times New Roman" w:hAnsi="Times New Roman"/>
      <w:szCs w:val="24"/>
    </w:rPr>
  </w:style>
  <w:style w:type="paragraph" w:customStyle="1" w:styleId="CharCharChar1Char">
    <w:name w:val="Char Char Char1 Char"/>
    <w:basedOn w:val="a1"/>
    <w:qFormat/>
    <w:rPr>
      <w:rFonts w:ascii="Times New Roman" w:hAnsi="Times New Roman"/>
      <w:szCs w:val="24"/>
    </w:rPr>
  </w:style>
  <w:style w:type="paragraph" w:customStyle="1" w:styleId="1fd">
    <w:name w:val="图表目录1"/>
    <w:basedOn w:val="1fc"/>
    <w:next w:val="1fc"/>
    <w:qFormat/>
    <w:pPr>
      <w:tabs>
        <w:tab w:val="right" w:leader="dot" w:pos="8051"/>
      </w:tabs>
      <w:spacing w:line="360" w:lineRule="atLeast"/>
      <w:ind w:left="840" w:hanging="840"/>
      <w:jc w:val="left"/>
    </w:pPr>
    <w:rPr>
      <w:rFonts w:hAnsi="Times New Roman"/>
    </w:rPr>
  </w:style>
  <w:style w:type="paragraph" w:customStyle="1" w:styleId="9d">
    <w:name w:val="9"/>
    <w:basedOn w:val="a1"/>
    <w:next w:val="afd"/>
    <w:qFormat/>
    <w:pPr>
      <w:spacing w:line="400" w:lineRule="exact"/>
      <w:ind w:firstLineChars="215" w:firstLine="516"/>
    </w:pPr>
    <w:rPr>
      <w:rFonts w:ascii="Times New Roman" w:hAnsi="Times New Roman"/>
      <w:sz w:val="24"/>
      <w:szCs w:val="24"/>
    </w:rPr>
  </w:style>
  <w:style w:type="paragraph" w:customStyle="1" w:styleId="8f">
    <w:name w:val="8"/>
    <w:basedOn w:val="a1"/>
    <w:next w:val="afd"/>
    <w:qFormat/>
    <w:pPr>
      <w:spacing w:line="400" w:lineRule="exact"/>
      <w:ind w:firstLineChars="215" w:firstLine="516"/>
    </w:pPr>
    <w:rPr>
      <w:rFonts w:ascii="Times New Roman" w:hAnsi="Times New Roman"/>
      <w:sz w:val="24"/>
      <w:szCs w:val="24"/>
    </w:rPr>
  </w:style>
  <w:style w:type="paragraph" w:customStyle="1" w:styleId="7f">
    <w:name w:val="7"/>
    <w:basedOn w:val="a1"/>
    <w:next w:val="afd"/>
    <w:qFormat/>
    <w:pPr>
      <w:spacing w:line="400" w:lineRule="exact"/>
      <w:ind w:firstLineChars="215" w:firstLine="516"/>
    </w:pPr>
    <w:rPr>
      <w:rFonts w:ascii="Times New Roman" w:hAnsi="Times New Roman"/>
      <w:sz w:val="24"/>
      <w:szCs w:val="24"/>
    </w:rPr>
  </w:style>
  <w:style w:type="paragraph" w:customStyle="1" w:styleId="6c">
    <w:name w:val="6"/>
    <w:basedOn w:val="a1"/>
    <w:next w:val="a2"/>
    <w:qFormat/>
    <w:pPr>
      <w:ind w:firstLine="420"/>
    </w:pPr>
    <w:rPr>
      <w:rFonts w:ascii="Times New Roman" w:hAnsi="Times New Roman"/>
      <w:szCs w:val="21"/>
    </w:rPr>
  </w:style>
  <w:style w:type="paragraph" w:customStyle="1" w:styleId="5f5">
    <w:name w:val="5"/>
    <w:basedOn w:val="a1"/>
    <w:next w:val="afd"/>
    <w:link w:val="5Char1"/>
    <w:qFormat/>
    <w:pPr>
      <w:ind w:left="540"/>
    </w:pPr>
    <w:rPr>
      <w:rFonts w:ascii="Times New Roman" w:hAnsi="Times New Roman"/>
      <w:kern w:val="0"/>
      <w:sz w:val="36"/>
      <w:szCs w:val="20"/>
    </w:rPr>
  </w:style>
  <w:style w:type="paragraph" w:customStyle="1" w:styleId="affffff1">
    <w:name w:val="表格标题"/>
    <w:basedOn w:val="a1"/>
    <w:next w:val="aff1"/>
    <w:qFormat/>
    <w:pPr>
      <w:keepNext/>
      <w:widowControl/>
      <w:overflowPunct w:val="0"/>
      <w:adjustRightInd w:val="0"/>
      <w:snapToGrid w:val="0"/>
      <w:spacing w:before="360" w:after="120" w:line="480" w:lineRule="exact"/>
      <w:jc w:val="center"/>
      <w:textAlignment w:val="baseline"/>
    </w:pPr>
    <w:rPr>
      <w:rFonts w:ascii="Arial" w:eastAsia="黑体" w:hAnsi="Arial"/>
      <w:kern w:val="0"/>
      <w:sz w:val="24"/>
      <w:szCs w:val="20"/>
    </w:rPr>
  </w:style>
  <w:style w:type="paragraph" w:customStyle="1" w:styleId="06">
    <w:name w:val="标题06"/>
    <w:basedOn w:val="a1"/>
    <w:qFormat/>
    <w:pPr>
      <w:adjustRightInd w:val="0"/>
      <w:spacing w:before="2040" w:line="400" w:lineRule="atLeast"/>
      <w:textAlignment w:val="baseline"/>
    </w:pPr>
    <w:rPr>
      <w:rFonts w:ascii="Times New Roman" w:eastAsia="黑体" w:hAnsi="Times New Roman"/>
      <w:spacing w:val="10"/>
      <w:kern w:val="0"/>
      <w:sz w:val="28"/>
      <w:szCs w:val="20"/>
    </w:rPr>
  </w:style>
  <w:style w:type="paragraph" w:customStyle="1" w:styleId="1fe">
    <w:name w:val="表1"/>
    <w:next w:val="a1"/>
    <w:qFormat/>
    <w:pPr>
      <w:adjustRightInd w:val="0"/>
      <w:snapToGrid w:val="0"/>
      <w:jc w:val="center"/>
    </w:pPr>
    <w:rPr>
      <w:sz w:val="21"/>
    </w:rPr>
  </w:style>
  <w:style w:type="paragraph" w:customStyle="1" w:styleId="xl24">
    <w:name w:val="xl24"/>
    <w:basedOn w:val="a1"/>
    <w:qFormat/>
    <w:pPr>
      <w:widowControl/>
      <w:pBdr>
        <w:bottom w:val="single" w:sz="4" w:space="0" w:color="auto"/>
        <w:right w:val="single" w:sz="4" w:space="0" w:color="auto"/>
      </w:pBdr>
      <w:spacing w:before="100" w:beforeAutospacing="1" w:after="100" w:afterAutospacing="1"/>
      <w:jc w:val="center"/>
    </w:pPr>
    <w:rPr>
      <w:rFonts w:ascii="Times New Roman" w:hAnsi="Times New Roman"/>
      <w:kern w:val="0"/>
      <w:szCs w:val="21"/>
    </w:rPr>
  </w:style>
  <w:style w:type="paragraph" w:customStyle="1" w:styleId="WPSPlain">
    <w:name w:val="WPS Plain"/>
    <w:qFormat/>
  </w:style>
  <w:style w:type="paragraph" w:customStyle="1" w:styleId="1ff">
    <w:name w:val="样式1－表头"/>
    <w:basedOn w:val="a1"/>
    <w:qFormat/>
    <w:pPr>
      <w:adjustRightInd w:val="0"/>
      <w:snapToGrid w:val="0"/>
      <w:spacing w:beforeLines="50" w:afterLines="50" w:line="336" w:lineRule="auto"/>
      <w:jc w:val="center"/>
    </w:pPr>
    <w:rPr>
      <w:rFonts w:ascii="Times New Roman" w:eastAsia="黑体" w:hAnsi="Times New Roman"/>
      <w:spacing w:val="6"/>
      <w:sz w:val="24"/>
      <w:szCs w:val="20"/>
    </w:rPr>
  </w:style>
  <w:style w:type="paragraph" w:customStyle="1" w:styleId="1ff0">
    <w:name w:val="尾注文本1"/>
    <w:basedOn w:val="1fc"/>
    <w:qFormat/>
    <w:pPr>
      <w:spacing w:line="360" w:lineRule="atLeast"/>
      <w:ind w:left="0"/>
      <w:jc w:val="left"/>
    </w:pPr>
    <w:rPr>
      <w:rFonts w:hAnsi="Times New Roman"/>
      <w:sz w:val="21"/>
    </w:rPr>
  </w:style>
  <w:style w:type="paragraph" w:customStyle="1" w:styleId="affffff2">
    <w:name w:val="正文样式"/>
    <w:basedOn w:val="a1"/>
    <w:link w:val="Char11"/>
    <w:qFormat/>
    <w:pPr>
      <w:spacing w:line="360" w:lineRule="auto"/>
      <w:ind w:firstLineChars="200" w:firstLine="480"/>
    </w:pPr>
    <w:rPr>
      <w:rFonts w:ascii="宋体" w:hAnsi="宋体"/>
      <w:color w:val="000000"/>
      <w:kern w:val="0"/>
      <w:sz w:val="24"/>
      <w:szCs w:val="24"/>
    </w:rPr>
  </w:style>
  <w:style w:type="paragraph" w:customStyle="1" w:styleId="affffff3">
    <w:name w:val="前言、引言标题"/>
    <w:next w:val="a1"/>
    <w:qFormat/>
    <w:pPr>
      <w:shd w:val="clear" w:color="FFFFFF" w:fill="FFFFFF"/>
      <w:tabs>
        <w:tab w:val="left" w:pos="1443"/>
      </w:tabs>
      <w:spacing w:before="640" w:after="560"/>
      <w:ind w:left="1443" w:hanging="720"/>
      <w:jc w:val="center"/>
      <w:outlineLvl w:val="0"/>
    </w:pPr>
    <w:rPr>
      <w:rFonts w:ascii="黑体" w:eastAsia="黑体"/>
      <w:sz w:val="32"/>
    </w:rPr>
  </w:style>
  <w:style w:type="paragraph" w:customStyle="1" w:styleId="affffff4">
    <w:name w:val="陈策次目录"/>
    <w:basedOn w:val="a1"/>
    <w:qFormat/>
    <w:pPr>
      <w:widowControl/>
      <w:adjustRightInd w:val="0"/>
      <w:snapToGrid w:val="0"/>
      <w:spacing w:line="360" w:lineRule="auto"/>
      <w:ind w:firstLineChars="200" w:firstLine="552"/>
    </w:pPr>
    <w:rPr>
      <w:rFonts w:ascii="Arial Narrow" w:eastAsia="华文中宋" w:hAnsi="Arial Narrow"/>
      <w:sz w:val="24"/>
      <w:szCs w:val="24"/>
    </w:rPr>
  </w:style>
  <w:style w:type="paragraph" w:customStyle="1" w:styleId="font5">
    <w:name w:val="font5"/>
    <w:basedOn w:val="a1"/>
    <w:qFormat/>
    <w:pPr>
      <w:widowControl/>
      <w:adjustRightInd w:val="0"/>
      <w:snapToGrid w:val="0"/>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affffff5">
    <w:name w:val="一级条标题"/>
    <w:basedOn w:val="1a"/>
    <w:next w:val="4a"/>
    <w:qFormat/>
    <w:pPr>
      <w:widowControl/>
      <w:tabs>
        <w:tab w:val="left" w:pos="1983"/>
      </w:tabs>
      <w:spacing w:before="0" w:after="0" w:line="240" w:lineRule="auto"/>
      <w:ind w:left="1983" w:hanging="420"/>
      <w:outlineLvl w:val="2"/>
    </w:pPr>
    <w:rPr>
      <w:rFonts w:ascii="黑体" w:eastAsia="黑体" w:hAnsi="Times New Roman"/>
      <w:b w:val="0"/>
      <w:bCs w:val="0"/>
      <w:kern w:val="0"/>
      <w:sz w:val="21"/>
      <w:szCs w:val="20"/>
    </w:rPr>
  </w:style>
  <w:style w:type="paragraph" w:customStyle="1" w:styleId="affffff6">
    <w:name w:val="奇数页眉"/>
    <w:basedOn w:val="affc"/>
    <w:qFormat/>
    <w:pPr>
      <w:widowControl/>
      <w:adjustRightInd w:val="0"/>
      <w:ind w:firstLineChars="200" w:firstLine="480"/>
      <w:jc w:val="right"/>
    </w:pPr>
    <w:rPr>
      <w:rFonts w:ascii="宋体" w:hAnsi="Times New Roman"/>
      <w:i/>
      <w:iCs/>
      <w:sz w:val="24"/>
    </w:rPr>
  </w:style>
  <w:style w:type="paragraph" w:customStyle="1" w:styleId="affffff7">
    <w:name w:val="偶数页眉"/>
    <w:basedOn w:val="affc"/>
    <w:qFormat/>
    <w:pPr>
      <w:widowControl/>
      <w:adjustRightInd w:val="0"/>
      <w:ind w:firstLineChars="200" w:firstLine="480"/>
      <w:jc w:val="left"/>
    </w:pPr>
    <w:rPr>
      <w:rFonts w:ascii="宋体" w:hAnsi="Times New Roman"/>
      <w:i/>
      <w:iCs/>
      <w:sz w:val="24"/>
    </w:rPr>
  </w:style>
  <w:style w:type="paragraph" w:customStyle="1" w:styleId="affffff8">
    <w:name w:val="奇数页脚"/>
    <w:basedOn w:val="aff9"/>
    <w:qFormat/>
    <w:pPr>
      <w:widowControl/>
      <w:tabs>
        <w:tab w:val="clear" w:pos="4153"/>
        <w:tab w:val="clear" w:pos="8306"/>
        <w:tab w:val="center" w:pos="4320"/>
        <w:tab w:val="right" w:pos="8640"/>
      </w:tabs>
      <w:adjustRightInd w:val="0"/>
      <w:spacing w:line="360" w:lineRule="auto"/>
      <w:ind w:firstLineChars="200" w:firstLine="480"/>
      <w:jc w:val="right"/>
    </w:pPr>
    <w:rPr>
      <w:rFonts w:ascii="宋体" w:hAnsi="Times New Roman"/>
      <w:i/>
      <w:sz w:val="24"/>
    </w:rPr>
  </w:style>
  <w:style w:type="paragraph" w:customStyle="1" w:styleId="font6">
    <w:name w:val="font6"/>
    <w:basedOn w:val="a1"/>
    <w:qFormat/>
    <w:pPr>
      <w:widowControl/>
      <w:spacing w:before="100" w:beforeAutospacing="1" w:after="100" w:afterAutospacing="1" w:line="360" w:lineRule="auto"/>
      <w:ind w:firstLineChars="200" w:firstLine="200"/>
      <w:jc w:val="left"/>
    </w:pPr>
    <w:rPr>
      <w:rFonts w:ascii="Times New Roman" w:eastAsia="Arial Unicode MS" w:hAnsi="Times New Roman"/>
      <w:kern w:val="0"/>
      <w:sz w:val="24"/>
      <w:szCs w:val="24"/>
    </w:rPr>
  </w:style>
  <w:style w:type="paragraph" w:customStyle="1" w:styleId="font7">
    <w:name w:val="font7"/>
    <w:basedOn w:val="a1"/>
    <w:qFormat/>
    <w:pPr>
      <w:widowControl/>
      <w:spacing w:before="100" w:beforeAutospacing="1" w:after="100" w:afterAutospacing="1" w:line="360" w:lineRule="auto"/>
      <w:ind w:firstLineChars="200" w:firstLine="200"/>
      <w:jc w:val="left"/>
    </w:pPr>
    <w:rPr>
      <w:rFonts w:ascii="Times New Roman" w:eastAsia="Arial Unicode MS" w:hAnsi="Times New Roman"/>
      <w:b/>
      <w:bCs/>
      <w:kern w:val="0"/>
      <w:sz w:val="24"/>
      <w:szCs w:val="24"/>
    </w:rPr>
  </w:style>
  <w:style w:type="paragraph" w:customStyle="1" w:styleId="xl25">
    <w:name w:val="xl2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Arial Unicode MS" w:eastAsia="Arial Unicode MS" w:hAnsi="Arial Unicode MS"/>
      <w:kern w:val="0"/>
      <w:sz w:val="24"/>
      <w:szCs w:val="24"/>
    </w:rPr>
  </w:style>
  <w:style w:type="paragraph" w:customStyle="1" w:styleId="xl26">
    <w:name w:val="xl2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Arial Unicode MS" w:eastAsia="Arial Unicode MS" w:hAnsi="Arial Unicode MS"/>
      <w:b/>
      <w:bCs/>
      <w:kern w:val="0"/>
      <w:sz w:val="24"/>
      <w:szCs w:val="24"/>
    </w:rPr>
  </w:style>
  <w:style w:type="paragraph" w:customStyle="1" w:styleId="xl27">
    <w:name w:val="xl2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Arial Unicode MS" w:eastAsia="Arial Unicode MS" w:hAnsi="Arial Unicode MS"/>
      <w:b/>
      <w:bCs/>
      <w:kern w:val="0"/>
      <w:sz w:val="24"/>
      <w:szCs w:val="24"/>
    </w:rPr>
  </w:style>
  <w:style w:type="paragraph" w:customStyle="1" w:styleId="xl29">
    <w:name w:val="xl2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Arial Unicode MS" w:eastAsia="Arial Unicode MS" w:hAnsi="Arial Unicode MS"/>
      <w:b/>
      <w:bCs/>
      <w:kern w:val="0"/>
      <w:sz w:val="24"/>
      <w:szCs w:val="24"/>
    </w:rPr>
  </w:style>
  <w:style w:type="paragraph" w:customStyle="1" w:styleId="xl30">
    <w:name w:val="xl30"/>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Arial Unicode MS" w:eastAsia="Arial Unicode MS" w:hAnsi="Arial Unicode MS"/>
      <w:kern w:val="0"/>
      <w:sz w:val="24"/>
      <w:szCs w:val="24"/>
    </w:rPr>
  </w:style>
  <w:style w:type="paragraph" w:customStyle="1" w:styleId="xl32">
    <w:name w:val="xl32"/>
    <w:basedOn w:val="a1"/>
    <w:qFormat/>
    <w:pPr>
      <w:widowControl/>
      <w:spacing w:before="100" w:beforeAutospacing="1" w:after="100" w:afterAutospacing="1" w:line="360" w:lineRule="auto"/>
      <w:ind w:firstLineChars="200" w:firstLine="200"/>
      <w:jc w:val="left"/>
    </w:pPr>
    <w:rPr>
      <w:rFonts w:ascii="Arial Unicode MS" w:eastAsia="Arial Unicode MS" w:hAnsi="Arial Unicode MS"/>
      <w:kern w:val="0"/>
      <w:sz w:val="24"/>
      <w:szCs w:val="24"/>
    </w:rPr>
  </w:style>
  <w:style w:type="paragraph" w:customStyle="1" w:styleId="xl33">
    <w:name w:val="xl33"/>
    <w:basedOn w:val="a1"/>
    <w:qFormat/>
    <w:pPr>
      <w:widowControl/>
      <w:spacing w:before="100" w:beforeAutospacing="1" w:after="100" w:afterAutospacing="1" w:line="360" w:lineRule="auto"/>
      <w:ind w:firstLineChars="200" w:firstLine="200"/>
      <w:jc w:val="center"/>
    </w:pPr>
    <w:rPr>
      <w:rFonts w:ascii="Arial Unicode MS" w:eastAsia="Arial Unicode MS" w:hAnsi="Arial Unicode MS"/>
      <w:b/>
      <w:bCs/>
      <w:kern w:val="0"/>
      <w:sz w:val="32"/>
      <w:szCs w:val="32"/>
    </w:rPr>
  </w:style>
  <w:style w:type="paragraph" w:customStyle="1" w:styleId="xl34">
    <w:name w:val="xl34"/>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textAlignment w:val="center"/>
    </w:pPr>
    <w:rPr>
      <w:rFonts w:ascii="Arial Unicode MS" w:eastAsia="Arial Unicode MS" w:hAnsi="Arial Unicode MS"/>
      <w:kern w:val="0"/>
      <w:sz w:val="24"/>
      <w:szCs w:val="24"/>
    </w:rPr>
  </w:style>
  <w:style w:type="paragraph" w:customStyle="1" w:styleId="xl35">
    <w:name w:val="xl35"/>
    <w:basedOn w:val="a1"/>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200"/>
      <w:jc w:val="left"/>
    </w:pPr>
    <w:rPr>
      <w:rFonts w:ascii="Arial Unicode MS" w:eastAsia="Arial Unicode MS" w:hAnsi="Arial Unicode MS"/>
      <w:kern w:val="0"/>
      <w:sz w:val="24"/>
      <w:szCs w:val="24"/>
    </w:rPr>
  </w:style>
  <w:style w:type="paragraph" w:customStyle="1" w:styleId="font8">
    <w:name w:val="font8"/>
    <w:basedOn w:val="a1"/>
    <w:qFormat/>
    <w:pPr>
      <w:widowControl/>
      <w:spacing w:before="100" w:beforeAutospacing="1" w:after="100" w:afterAutospacing="1" w:line="360" w:lineRule="auto"/>
      <w:ind w:firstLineChars="200" w:firstLine="200"/>
      <w:jc w:val="left"/>
    </w:pPr>
    <w:rPr>
      <w:rFonts w:ascii="Times New Roman" w:eastAsia="Arial Unicode MS" w:hAnsi="Times New Roman"/>
      <w:b/>
      <w:bCs/>
      <w:kern w:val="0"/>
      <w:sz w:val="20"/>
      <w:szCs w:val="20"/>
    </w:rPr>
  </w:style>
  <w:style w:type="paragraph" w:customStyle="1" w:styleId="xl36">
    <w:name w:val="xl3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Times New Roman" w:eastAsia="Arial Unicode MS" w:hAnsi="Times New Roman"/>
      <w:kern w:val="0"/>
      <w:sz w:val="20"/>
      <w:szCs w:val="20"/>
    </w:rPr>
  </w:style>
  <w:style w:type="paragraph" w:customStyle="1" w:styleId="xl37">
    <w:name w:val="xl3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Arial Unicode MS" w:eastAsia="Arial Unicode MS" w:hAnsi="Arial Unicode MS"/>
      <w:kern w:val="0"/>
      <w:sz w:val="20"/>
      <w:szCs w:val="20"/>
    </w:rPr>
  </w:style>
  <w:style w:type="paragraph" w:customStyle="1" w:styleId="xl40">
    <w:name w:val="xl40"/>
    <w:basedOn w:val="a1"/>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Arial Unicode MS" w:eastAsia="Arial Unicode MS" w:hAnsi="Arial Unicode MS"/>
      <w:kern w:val="0"/>
      <w:sz w:val="20"/>
      <w:szCs w:val="20"/>
    </w:rPr>
  </w:style>
  <w:style w:type="paragraph" w:customStyle="1" w:styleId="xl38">
    <w:name w:val="xl38"/>
    <w:basedOn w:val="a1"/>
    <w:qFormat/>
    <w:pPr>
      <w:widowControl/>
      <w:pBdr>
        <w:bottom w:val="single" w:sz="4" w:space="0" w:color="000000"/>
        <w:right w:val="single" w:sz="4" w:space="0" w:color="000000"/>
      </w:pBdr>
      <w:spacing w:before="100" w:beforeAutospacing="1" w:after="100" w:afterAutospacing="1" w:line="360" w:lineRule="auto"/>
      <w:ind w:firstLineChars="200" w:firstLine="200"/>
      <w:jc w:val="left"/>
      <w:textAlignment w:val="top"/>
    </w:pPr>
    <w:rPr>
      <w:rFonts w:ascii="Arial Unicode MS" w:eastAsia="Arial Unicode MS" w:hAnsi="Arial Unicode MS"/>
      <w:kern w:val="0"/>
      <w:sz w:val="20"/>
      <w:szCs w:val="20"/>
    </w:rPr>
  </w:style>
  <w:style w:type="paragraph" w:customStyle="1" w:styleId="xl39">
    <w:name w:val="xl39"/>
    <w:basedOn w:val="a1"/>
    <w:qFormat/>
    <w:pPr>
      <w:widowControl/>
      <w:spacing w:before="100" w:beforeAutospacing="1" w:after="100" w:afterAutospacing="1" w:line="360" w:lineRule="auto"/>
      <w:ind w:firstLineChars="200" w:firstLine="200"/>
      <w:jc w:val="left"/>
    </w:pPr>
    <w:rPr>
      <w:rFonts w:ascii="Arial Unicode MS" w:eastAsia="Arial Unicode MS" w:hAnsi="Arial Unicode MS"/>
      <w:kern w:val="0"/>
      <w:sz w:val="20"/>
      <w:szCs w:val="20"/>
    </w:rPr>
  </w:style>
  <w:style w:type="paragraph" w:customStyle="1" w:styleId="xl41">
    <w:name w:val="xl41"/>
    <w:basedOn w:val="a1"/>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Arial Unicode MS" w:eastAsia="Arial Unicode MS" w:hAnsi="Arial Unicode MS"/>
      <w:kern w:val="0"/>
      <w:sz w:val="20"/>
      <w:szCs w:val="20"/>
    </w:rPr>
  </w:style>
  <w:style w:type="paragraph" w:customStyle="1" w:styleId="xl42">
    <w:name w:val="xl4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Times New Roman" w:eastAsia="Arial Unicode MS" w:hAnsi="Times New Roman"/>
      <w:kern w:val="0"/>
      <w:sz w:val="20"/>
      <w:szCs w:val="20"/>
    </w:rPr>
  </w:style>
  <w:style w:type="paragraph" w:customStyle="1" w:styleId="xl43">
    <w:name w:val="xl43"/>
    <w:basedOn w:val="a1"/>
    <w:qFormat/>
    <w:pPr>
      <w:widowControl/>
      <w:pBdr>
        <w:top w:val="single" w:sz="8" w:space="0" w:color="auto"/>
        <w:left w:val="single" w:sz="8" w:space="0" w:color="auto"/>
        <w:bottom w:val="single" w:sz="4" w:space="0" w:color="auto"/>
        <w:right w:val="single" w:sz="4" w:space="0" w:color="auto"/>
      </w:pBdr>
      <w:spacing w:before="100" w:beforeAutospacing="1" w:after="100" w:afterAutospacing="1" w:line="360" w:lineRule="auto"/>
      <w:ind w:firstLineChars="200" w:firstLine="200"/>
      <w:jc w:val="center"/>
      <w:textAlignment w:val="center"/>
    </w:pPr>
    <w:rPr>
      <w:rFonts w:ascii="Arial Unicode MS" w:eastAsia="Arial Unicode MS" w:hAnsi="Arial Unicode MS"/>
      <w:kern w:val="0"/>
      <w:sz w:val="20"/>
      <w:szCs w:val="20"/>
    </w:rPr>
  </w:style>
  <w:style w:type="paragraph" w:customStyle="1" w:styleId="xl44">
    <w:name w:val="xl44"/>
    <w:basedOn w:val="a1"/>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textAlignment w:val="center"/>
    </w:pPr>
    <w:rPr>
      <w:rFonts w:ascii="Arial Unicode MS" w:eastAsia="Arial Unicode MS" w:hAnsi="Arial Unicode MS"/>
      <w:kern w:val="0"/>
      <w:sz w:val="20"/>
      <w:szCs w:val="20"/>
    </w:rPr>
  </w:style>
  <w:style w:type="paragraph" w:customStyle="1" w:styleId="xl45">
    <w:name w:val="xl45"/>
    <w:basedOn w:val="a1"/>
    <w:qFormat/>
    <w:pPr>
      <w:widowControl/>
      <w:pBdr>
        <w:top w:val="single" w:sz="8" w:space="0" w:color="auto"/>
        <w:left w:val="single" w:sz="4" w:space="0" w:color="auto"/>
        <w:bottom w:val="single" w:sz="4" w:space="0" w:color="auto"/>
        <w:right w:val="single" w:sz="8" w:space="0" w:color="auto"/>
      </w:pBdr>
      <w:spacing w:before="100" w:beforeAutospacing="1" w:after="100" w:afterAutospacing="1" w:line="360" w:lineRule="auto"/>
      <w:ind w:firstLineChars="200" w:firstLine="200"/>
      <w:jc w:val="center"/>
      <w:textAlignment w:val="center"/>
    </w:pPr>
    <w:rPr>
      <w:rFonts w:ascii="Arial Unicode MS" w:eastAsia="Arial Unicode MS" w:hAnsi="Arial Unicode MS"/>
      <w:kern w:val="0"/>
      <w:sz w:val="20"/>
      <w:szCs w:val="20"/>
    </w:rPr>
  </w:style>
  <w:style w:type="paragraph" w:customStyle="1" w:styleId="xl46">
    <w:name w:val="xl46"/>
    <w:basedOn w:val="a1"/>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Arial Unicode MS" w:eastAsia="Arial Unicode MS" w:hAnsi="Arial Unicode MS"/>
      <w:kern w:val="0"/>
      <w:sz w:val="20"/>
      <w:szCs w:val="20"/>
    </w:rPr>
  </w:style>
  <w:style w:type="paragraph" w:customStyle="1" w:styleId="xl47">
    <w:name w:val="xl4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Arial Unicode MS" w:eastAsia="Arial Unicode MS" w:hAnsi="Arial Unicode MS"/>
      <w:kern w:val="0"/>
      <w:sz w:val="20"/>
      <w:szCs w:val="20"/>
    </w:rPr>
  </w:style>
  <w:style w:type="paragraph" w:customStyle="1" w:styleId="xl48">
    <w:name w:val="xl48"/>
    <w:basedOn w:val="a1"/>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Chars="200" w:firstLine="200"/>
      <w:jc w:val="left"/>
    </w:pPr>
    <w:rPr>
      <w:rFonts w:ascii="Arial Unicode MS" w:eastAsia="Arial Unicode MS" w:hAnsi="Arial Unicode MS"/>
      <w:kern w:val="0"/>
      <w:sz w:val="20"/>
      <w:szCs w:val="20"/>
    </w:rPr>
  </w:style>
  <w:style w:type="paragraph" w:customStyle="1" w:styleId="xl49">
    <w:name w:val="xl4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Arial Unicode MS" w:eastAsia="Arial Unicode MS" w:hAnsi="Arial Unicode MS"/>
      <w:kern w:val="0"/>
      <w:sz w:val="20"/>
      <w:szCs w:val="20"/>
    </w:rPr>
  </w:style>
  <w:style w:type="paragraph" w:customStyle="1" w:styleId="xl50">
    <w:name w:val="xl50"/>
    <w:basedOn w:val="a1"/>
    <w:qFormat/>
    <w:pPr>
      <w:widowControl/>
      <w:pBdr>
        <w:left w:val="single" w:sz="8"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Arial Unicode MS" w:eastAsia="Arial Unicode MS" w:hAnsi="Arial Unicode MS"/>
      <w:kern w:val="0"/>
      <w:sz w:val="20"/>
      <w:szCs w:val="20"/>
    </w:rPr>
  </w:style>
  <w:style w:type="paragraph" w:customStyle="1" w:styleId="xl51">
    <w:name w:val="xl51"/>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Arial Unicode MS" w:eastAsia="Arial Unicode MS" w:hAnsi="Arial Unicode MS"/>
      <w:kern w:val="0"/>
      <w:sz w:val="20"/>
      <w:szCs w:val="20"/>
    </w:rPr>
  </w:style>
  <w:style w:type="paragraph" w:customStyle="1" w:styleId="xl52">
    <w:name w:val="xl52"/>
    <w:basedOn w:val="a1"/>
    <w:qFormat/>
    <w:pPr>
      <w:widowControl/>
      <w:pBdr>
        <w:top w:val="single" w:sz="4" w:space="0" w:color="auto"/>
        <w:left w:val="single" w:sz="8" w:space="0" w:color="auto"/>
        <w:bottom w:val="single" w:sz="8" w:space="0" w:color="auto"/>
        <w:right w:val="single" w:sz="4" w:space="0" w:color="auto"/>
      </w:pBdr>
      <w:spacing w:before="100" w:beforeAutospacing="1" w:after="100" w:afterAutospacing="1" w:line="360" w:lineRule="auto"/>
      <w:ind w:firstLineChars="200" w:firstLine="200"/>
      <w:jc w:val="left"/>
    </w:pPr>
    <w:rPr>
      <w:rFonts w:ascii="Arial Unicode MS" w:eastAsia="Arial Unicode MS" w:hAnsi="Arial Unicode MS"/>
      <w:kern w:val="0"/>
      <w:sz w:val="20"/>
      <w:szCs w:val="20"/>
    </w:rPr>
  </w:style>
  <w:style w:type="paragraph" w:customStyle="1" w:styleId="font0">
    <w:name w:val="font0"/>
    <w:basedOn w:val="a1"/>
    <w:qFormat/>
    <w:pPr>
      <w:widowControl/>
      <w:spacing w:before="100" w:beforeAutospacing="1" w:after="100" w:afterAutospacing="1" w:line="360" w:lineRule="auto"/>
      <w:ind w:firstLineChars="200" w:firstLine="200"/>
      <w:jc w:val="left"/>
    </w:pPr>
    <w:rPr>
      <w:rFonts w:ascii="宋体" w:hAnsi="宋体" w:hint="eastAsia"/>
      <w:kern w:val="0"/>
      <w:sz w:val="24"/>
      <w:szCs w:val="24"/>
    </w:rPr>
  </w:style>
  <w:style w:type="paragraph" w:customStyle="1" w:styleId="font9">
    <w:name w:val="font9"/>
    <w:basedOn w:val="a1"/>
    <w:qFormat/>
    <w:pPr>
      <w:widowControl/>
      <w:spacing w:before="100" w:beforeAutospacing="1" w:after="100" w:afterAutospacing="1" w:line="360" w:lineRule="auto"/>
      <w:ind w:firstLineChars="200" w:firstLine="200"/>
      <w:jc w:val="left"/>
    </w:pPr>
    <w:rPr>
      <w:rFonts w:ascii="宋体" w:hAnsi="宋体" w:hint="eastAsia"/>
      <w:b/>
      <w:bCs/>
      <w:kern w:val="0"/>
      <w:sz w:val="24"/>
      <w:szCs w:val="28"/>
    </w:rPr>
  </w:style>
  <w:style w:type="paragraph" w:customStyle="1" w:styleId="font10">
    <w:name w:val="font10"/>
    <w:basedOn w:val="a1"/>
    <w:qFormat/>
    <w:pPr>
      <w:widowControl/>
      <w:spacing w:before="100" w:beforeAutospacing="1" w:after="100" w:afterAutospacing="1" w:line="360" w:lineRule="auto"/>
      <w:ind w:firstLineChars="200" w:firstLine="200"/>
      <w:jc w:val="left"/>
    </w:pPr>
    <w:rPr>
      <w:rFonts w:ascii="Times New Roman" w:eastAsia="Arial Unicode MS" w:hAnsi="Times New Roman"/>
      <w:b/>
      <w:bCs/>
      <w:kern w:val="0"/>
      <w:sz w:val="24"/>
      <w:szCs w:val="28"/>
    </w:rPr>
  </w:style>
  <w:style w:type="paragraph" w:customStyle="1" w:styleId="font11">
    <w:name w:val="font11"/>
    <w:basedOn w:val="a1"/>
    <w:qFormat/>
    <w:pPr>
      <w:widowControl/>
      <w:spacing w:before="100" w:beforeAutospacing="1" w:after="100" w:afterAutospacing="1" w:line="360" w:lineRule="auto"/>
      <w:ind w:firstLineChars="200" w:firstLine="200"/>
      <w:jc w:val="left"/>
    </w:pPr>
    <w:rPr>
      <w:rFonts w:ascii="宋体" w:hAnsi="宋体" w:hint="eastAsia"/>
      <w:kern w:val="0"/>
      <w:sz w:val="24"/>
      <w:szCs w:val="28"/>
    </w:rPr>
  </w:style>
  <w:style w:type="paragraph" w:customStyle="1" w:styleId="font12">
    <w:name w:val="font12"/>
    <w:basedOn w:val="a1"/>
    <w:qFormat/>
    <w:pPr>
      <w:widowControl/>
      <w:spacing w:before="100" w:beforeAutospacing="1" w:after="100" w:afterAutospacing="1" w:line="360" w:lineRule="auto"/>
      <w:ind w:firstLineChars="200" w:firstLine="200"/>
      <w:jc w:val="left"/>
    </w:pPr>
    <w:rPr>
      <w:rFonts w:ascii="宋体" w:hAnsi="宋体" w:hint="eastAsia"/>
      <w:i/>
      <w:iCs/>
      <w:kern w:val="0"/>
      <w:sz w:val="24"/>
      <w:szCs w:val="24"/>
    </w:rPr>
  </w:style>
  <w:style w:type="paragraph" w:customStyle="1" w:styleId="font13">
    <w:name w:val="font13"/>
    <w:basedOn w:val="a1"/>
    <w:qFormat/>
    <w:pPr>
      <w:widowControl/>
      <w:spacing w:before="100" w:beforeAutospacing="1" w:after="100" w:afterAutospacing="1" w:line="360" w:lineRule="auto"/>
      <w:ind w:firstLineChars="200" w:firstLine="200"/>
      <w:jc w:val="left"/>
    </w:pPr>
    <w:rPr>
      <w:rFonts w:ascii="Times New Roman" w:eastAsia="Arial Unicode MS" w:hAnsi="Times New Roman"/>
      <w:i/>
      <w:iCs/>
      <w:kern w:val="0"/>
      <w:sz w:val="24"/>
      <w:szCs w:val="24"/>
    </w:rPr>
  </w:style>
  <w:style w:type="paragraph" w:customStyle="1" w:styleId="xl53">
    <w:name w:val="xl53"/>
    <w:basedOn w:val="a1"/>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center"/>
    </w:pPr>
    <w:rPr>
      <w:rFonts w:ascii="Times New Roman" w:eastAsia="Arial Unicode MS" w:hAnsi="Times New Roman"/>
      <w:kern w:val="0"/>
      <w:sz w:val="24"/>
      <w:szCs w:val="24"/>
    </w:rPr>
  </w:style>
  <w:style w:type="paragraph" w:customStyle="1" w:styleId="xl54">
    <w:name w:val="xl54"/>
    <w:basedOn w:val="a1"/>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Chars="200" w:firstLine="200"/>
      <w:jc w:val="left"/>
      <w:textAlignment w:val="center"/>
    </w:pPr>
    <w:rPr>
      <w:rFonts w:ascii="Arial Unicode MS" w:eastAsia="Arial Unicode MS" w:hAnsi="Arial Unicode MS"/>
      <w:b/>
      <w:bCs/>
      <w:kern w:val="0"/>
      <w:sz w:val="24"/>
      <w:szCs w:val="24"/>
    </w:rPr>
  </w:style>
  <w:style w:type="paragraph" w:customStyle="1" w:styleId="xl55">
    <w:name w:val="xl5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center"/>
    </w:pPr>
    <w:rPr>
      <w:rFonts w:ascii="Times New Roman" w:eastAsia="Arial Unicode MS" w:hAnsi="Times New Roman"/>
      <w:kern w:val="0"/>
      <w:sz w:val="24"/>
      <w:szCs w:val="24"/>
    </w:rPr>
  </w:style>
  <w:style w:type="paragraph" w:customStyle="1" w:styleId="xl56">
    <w:name w:val="xl56"/>
    <w:basedOn w:val="a1"/>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200"/>
      <w:jc w:val="left"/>
      <w:textAlignment w:val="center"/>
    </w:pPr>
    <w:rPr>
      <w:rFonts w:ascii="Arial Unicode MS" w:eastAsia="Arial Unicode MS" w:hAnsi="Arial Unicode MS"/>
      <w:kern w:val="0"/>
      <w:sz w:val="24"/>
      <w:szCs w:val="24"/>
    </w:rPr>
  </w:style>
  <w:style w:type="paragraph" w:customStyle="1" w:styleId="xl57">
    <w:name w:val="xl57"/>
    <w:basedOn w:val="a1"/>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200"/>
      <w:jc w:val="left"/>
      <w:textAlignment w:val="center"/>
    </w:pPr>
    <w:rPr>
      <w:rFonts w:ascii="Arial Unicode MS" w:eastAsia="Arial Unicode MS" w:hAnsi="Arial Unicode MS"/>
      <w:kern w:val="0"/>
      <w:sz w:val="24"/>
      <w:szCs w:val="24"/>
    </w:rPr>
  </w:style>
  <w:style w:type="paragraph" w:customStyle="1" w:styleId="xl58">
    <w:name w:val="xl58"/>
    <w:basedOn w:val="a1"/>
    <w:qFormat/>
    <w:pPr>
      <w:widowControl/>
      <w:pBdr>
        <w:top w:val="single" w:sz="4" w:space="0" w:color="auto"/>
        <w:left w:val="single" w:sz="4" w:space="0" w:color="auto"/>
        <w:right w:val="single" w:sz="8" w:space="0" w:color="auto"/>
      </w:pBdr>
      <w:spacing w:before="100" w:beforeAutospacing="1" w:after="100" w:afterAutospacing="1" w:line="360" w:lineRule="auto"/>
      <w:ind w:firstLineChars="200" w:firstLine="200"/>
      <w:jc w:val="left"/>
      <w:textAlignment w:val="center"/>
    </w:pPr>
    <w:rPr>
      <w:rFonts w:ascii="Arial Unicode MS" w:eastAsia="Arial Unicode MS" w:hAnsi="Arial Unicode MS"/>
      <w:kern w:val="0"/>
      <w:sz w:val="24"/>
      <w:szCs w:val="24"/>
    </w:rPr>
  </w:style>
  <w:style w:type="paragraph" w:customStyle="1" w:styleId="xl59">
    <w:name w:val="xl59"/>
    <w:basedOn w:val="a1"/>
    <w:qFormat/>
    <w:pPr>
      <w:widowControl/>
      <w:pBdr>
        <w:top w:val="single" w:sz="4" w:space="0" w:color="auto"/>
        <w:left w:val="single" w:sz="8" w:space="0" w:color="auto"/>
        <w:bottom w:val="single" w:sz="8" w:space="0" w:color="auto"/>
        <w:right w:val="single" w:sz="4" w:space="0" w:color="auto"/>
      </w:pBdr>
      <w:spacing w:before="100" w:beforeAutospacing="1" w:after="100" w:afterAutospacing="1" w:line="360" w:lineRule="auto"/>
      <w:ind w:firstLineChars="200" w:firstLine="200"/>
      <w:jc w:val="center"/>
      <w:textAlignment w:val="center"/>
    </w:pPr>
    <w:rPr>
      <w:rFonts w:ascii="Arial Unicode MS" w:eastAsia="Arial Unicode MS" w:hAnsi="Arial Unicode MS"/>
      <w:kern w:val="0"/>
      <w:sz w:val="24"/>
      <w:szCs w:val="24"/>
    </w:rPr>
  </w:style>
  <w:style w:type="paragraph" w:customStyle="1" w:styleId="xl60">
    <w:name w:val="xl60"/>
    <w:basedOn w:val="a1"/>
    <w:qFormat/>
    <w:pPr>
      <w:widowControl/>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Chars="200" w:firstLine="200"/>
      <w:jc w:val="left"/>
      <w:textAlignment w:val="center"/>
    </w:pPr>
    <w:rPr>
      <w:rFonts w:ascii="Arial Unicode MS" w:eastAsia="Arial Unicode MS" w:hAnsi="Arial Unicode MS"/>
      <w:kern w:val="0"/>
      <w:sz w:val="24"/>
      <w:szCs w:val="24"/>
    </w:rPr>
  </w:style>
  <w:style w:type="paragraph" w:customStyle="1" w:styleId="xl61">
    <w:name w:val="xl61"/>
    <w:basedOn w:val="a1"/>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center"/>
    </w:pPr>
    <w:rPr>
      <w:rFonts w:ascii="Arial Unicode MS" w:eastAsia="Arial Unicode MS" w:hAnsi="Arial Unicode MS"/>
      <w:kern w:val="0"/>
      <w:sz w:val="24"/>
      <w:szCs w:val="24"/>
    </w:rPr>
  </w:style>
  <w:style w:type="paragraph" w:customStyle="1" w:styleId="xl62">
    <w:name w:val="xl62"/>
    <w:basedOn w:val="a1"/>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360" w:lineRule="auto"/>
      <w:ind w:firstLineChars="200" w:firstLine="200"/>
      <w:jc w:val="center"/>
      <w:textAlignment w:val="center"/>
    </w:pPr>
    <w:rPr>
      <w:rFonts w:ascii="Arial Unicode MS" w:eastAsia="Arial Unicode MS" w:hAnsi="Arial Unicode MS"/>
      <w:b/>
      <w:bCs/>
      <w:kern w:val="0"/>
      <w:sz w:val="24"/>
      <w:szCs w:val="24"/>
    </w:rPr>
  </w:style>
  <w:style w:type="paragraph" w:customStyle="1" w:styleId="xl63">
    <w:name w:val="xl63"/>
    <w:basedOn w:val="a1"/>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360" w:lineRule="auto"/>
      <w:ind w:firstLineChars="200" w:firstLine="200"/>
      <w:jc w:val="left"/>
      <w:textAlignment w:val="center"/>
    </w:pPr>
    <w:rPr>
      <w:rFonts w:ascii="Arial Unicode MS" w:eastAsia="Arial Unicode MS" w:hAnsi="Arial Unicode MS"/>
      <w:b/>
      <w:bCs/>
      <w:kern w:val="0"/>
      <w:sz w:val="24"/>
      <w:szCs w:val="24"/>
    </w:rPr>
  </w:style>
  <w:style w:type="paragraph" w:customStyle="1" w:styleId="xl64">
    <w:name w:val="xl64"/>
    <w:basedOn w:val="a1"/>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center"/>
    </w:pPr>
    <w:rPr>
      <w:rFonts w:ascii="Arial Unicode MS" w:eastAsia="Arial Unicode MS" w:hAnsi="Arial Unicode MS"/>
      <w:kern w:val="0"/>
      <w:sz w:val="24"/>
      <w:szCs w:val="24"/>
    </w:rPr>
  </w:style>
  <w:style w:type="paragraph" w:customStyle="1" w:styleId="xl65">
    <w:name w:val="xl65"/>
    <w:basedOn w:val="a1"/>
    <w:qFormat/>
    <w:pPr>
      <w:widowControl/>
      <w:spacing w:before="100" w:beforeAutospacing="1" w:after="100" w:afterAutospacing="1" w:line="360" w:lineRule="auto"/>
      <w:ind w:firstLineChars="200" w:firstLine="200"/>
      <w:jc w:val="left"/>
    </w:pPr>
    <w:rPr>
      <w:rFonts w:ascii="Arial Unicode MS" w:eastAsia="Arial Unicode MS" w:hAnsi="Arial Unicode MS"/>
      <w:kern w:val="0"/>
      <w:sz w:val="24"/>
      <w:szCs w:val="24"/>
    </w:rPr>
  </w:style>
  <w:style w:type="paragraph" w:customStyle="1" w:styleId="xl66">
    <w:name w:val="xl66"/>
    <w:basedOn w:val="a1"/>
    <w:qFormat/>
    <w:pPr>
      <w:widowControl/>
      <w:pBdr>
        <w:top w:val="single" w:sz="8" w:space="0" w:color="auto"/>
        <w:left w:val="single" w:sz="8" w:space="0" w:color="auto"/>
        <w:bottom w:val="single" w:sz="4" w:space="0" w:color="auto"/>
        <w:right w:val="single" w:sz="4" w:space="0" w:color="auto"/>
      </w:pBdr>
      <w:spacing w:before="100" w:beforeAutospacing="1" w:after="100" w:afterAutospacing="1" w:line="360" w:lineRule="auto"/>
      <w:ind w:firstLineChars="200" w:firstLine="200"/>
      <w:jc w:val="center"/>
      <w:textAlignment w:val="center"/>
    </w:pPr>
    <w:rPr>
      <w:rFonts w:ascii="Arial Unicode MS" w:eastAsia="Arial Unicode MS" w:hAnsi="Arial Unicode MS"/>
      <w:kern w:val="0"/>
      <w:sz w:val="24"/>
      <w:szCs w:val="24"/>
    </w:rPr>
  </w:style>
  <w:style w:type="paragraph" w:customStyle="1" w:styleId="xl67">
    <w:name w:val="xl67"/>
    <w:basedOn w:val="a1"/>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textAlignment w:val="center"/>
    </w:pPr>
    <w:rPr>
      <w:rFonts w:ascii="Arial Unicode MS" w:eastAsia="Arial Unicode MS" w:hAnsi="Arial Unicode MS"/>
      <w:kern w:val="0"/>
      <w:sz w:val="24"/>
      <w:szCs w:val="24"/>
    </w:rPr>
  </w:style>
  <w:style w:type="paragraph" w:customStyle="1" w:styleId="xl68">
    <w:name w:val="xl6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textAlignment w:val="center"/>
    </w:pPr>
    <w:rPr>
      <w:rFonts w:ascii="Arial Unicode MS" w:eastAsia="Arial Unicode MS" w:hAnsi="Arial Unicode MS"/>
      <w:kern w:val="0"/>
      <w:sz w:val="24"/>
      <w:szCs w:val="24"/>
    </w:rPr>
  </w:style>
  <w:style w:type="paragraph" w:customStyle="1" w:styleId="xl69">
    <w:name w:val="xl69"/>
    <w:basedOn w:val="a1"/>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Chars="200" w:firstLine="200"/>
      <w:jc w:val="center"/>
      <w:textAlignment w:val="center"/>
    </w:pPr>
    <w:rPr>
      <w:rFonts w:ascii="Arial Unicode MS" w:eastAsia="Arial Unicode MS" w:hAnsi="Arial Unicode MS"/>
      <w:kern w:val="0"/>
      <w:sz w:val="24"/>
      <w:szCs w:val="24"/>
    </w:rPr>
  </w:style>
  <w:style w:type="paragraph" w:customStyle="1" w:styleId="xl70">
    <w:name w:val="xl70"/>
    <w:basedOn w:val="a1"/>
    <w:qFormat/>
    <w:pPr>
      <w:widowControl/>
      <w:spacing w:before="100" w:beforeAutospacing="1" w:after="100" w:afterAutospacing="1" w:line="360" w:lineRule="auto"/>
      <w:ind w:firstLineChars="200" w:firstLine="200"/>
      <w:jc w:val="center"/>
      <w:textAlignment w:val="center"/>
    </w:pPr>
    <w:rPr>
      <w:rFonts w:ascii="Arial Unicode MS" w:eastAsia="Arial Unicode MS" w:hAnsi="Arial Unicode MS"/>
      <w:b/>
      <w:bCs/>
      <w:kern w:val="0"/>
      <w:sz w:val="36"/>
      <w:szCs w:val="36"/>
    </w:rPr>
  </w:style>
  <w:style w:type="paragraph" w:customStyle="1" w:styleId="xl71">
    <w:name w:val="xl71"/>
    <w:basedOn w:val="a1"/>
    <w:qFormat/>
    <w:pPr>
      <w:widowControl/>
      <w:pBdr>
        <w:top w:val="single" w:sz="8" w:space="0" w:color="auto"/>
        <w:left w:val="single" w:sz="4" w:space="0" w:color="auto"/>
        <w:bottom w:val="single" w:sz="4" w:space="0" w:color="auto"/>
        <w:right w:val="single" w:sz="8" w:space="0" w:color="auto"/>
      </w:pBdr>
      <w:spacing w:before="100" w:beforeAutospacing="1" w:after="100" w:afterAutospacing="1" w:line="360" w:lineRule="auto"/>
      <w:ind w:firstLineChars="200" w:firstLine="200"/>
      <w:jc w:val="center"/>
      <w:textAlignment w:val="center"/>
    </w:pPr>
    <w:rPr>
      <w:rFonts w:ascii="Arial Unicode MS" w:eastAsia="Arial Unicode MS" w:hAnsi="Arial Unicode MS"/>
      <w:kern w:val="0"/>
      <w:sz w:val="24"/>
      <w:szCs w:val="24"/>
    </w:rPr>
  </w:style>
  <w:style w:type="paragraph" w:customStyle="1" w:styleId="xl72">
    <w:name w:val="xl72"/>
    <w:basedOn w:val="a1"/>
    <w:qFormat/>
    <w:pPr>
      <w:widowControl/>
      <w:pBdr>
        <w:top w:val="single" w:sz="4" w:space="0" w:color="auto"/>
        <w:bottom w:val="single" w:sz="4" w:space="0" w:color="auto"/>
        <w:right w:val="single" w:sz="8" w:space="0" w:color="auto"/>
      </w:pBdr>
      <w:spacing w:before="100" w:beforeAutospacing="1" w:after="100" w:afterAutospacing="1" w:line="360" w:lineRule="auto"/>
      <w:ind w:firstLineChars="200" w:firstLine="200"/>
      <w:jc w:val="center"/>
      <w:textAlignment w:val="center"/>
    </w:pPr>
    <w:rPr>
      <w:rFonts w:ascii="Arial Unicode MS" w:eastAsia="Arial Unicode MS" w:hAnsi="Arial Unicode MS"/>
      <w:kern w:val="0"/>
      <w:sz w:val="24"/>
      <w:szCs w:val="24"/>
    </w:rPr>
  </w:style>
  <w:style w:type="paragraph" w:customStyle="1" w:styleId="affffff9">
    <w:name w:val="图表正文"/>
    <w:basedOn w:val="a1"/>
    <w:qFormat/>
    <w:pPr>
      <w:widowControl/>
      <w:spacing w:line="360" w:lineRule="atLeast"/>
      <w:ind w:firstLineChars="200" w:firstLine="420"/>
      <w:jc w:val="center"/>
    </w:pPr>
    <w:rPr>
      <w:rFonts w:ascii="宋体" w:hAnsi="宋体"/>
      <w:snapToGrid w:val="0"/>
      <w:kern w:val="0"/>
      <w:szCs w:val="24"/>
    </w:rPr>
  </w:style>
  <w:style w:type="paragraph" w:customStyle="1" w:styleId="-">
    <w:name w:val="可研-正文"/>
    <w:basedOn w:val="a1"/>
    <w:qFormat/>
    <w:pPr>
      <w:widowControl/>
      <w:spacing w:line="520" w:lineRule="exact"/>
      <w:ind w:firstLineChars="200" w:firstLine="200"/>
    </w:pPr>
    <w:rPr>
      <w:rFonts w:ascii="宋体" w:hAnsi="Times New Roman"/>
      <w:sz w:val="24"/>
      <w:szCs w:val="24"/>
    </w:rPr>
  </w:style>
  <w:style w:type="paragraph" w:customStyle="1" w:styleId="affffffa">
    <w:name w:val="偶数页脚"/>
    <w:basedOn w:val="aff9"/>
    <w:qFormat/>
    <w:pPr>
      <w:framePr w:wrap="around" w:vAnchor="text" w:hAnchor="margin" w:xAlign="outside" w:y="1"/>
      <w:widowControl/>
      <w:tabs>
        <w:tab w:val="clear" w:pos="4153"/>
        <w:tab w:val="clear" w:pos="8306"/>
        <w:tab w:val="center" w:pos="4320"/>
        <w:tab w:val="right" w:pos="8640"/>
      </w:tabs>
      <w:adjustRightInd w:val="0"/>
      <w:spacing w:line="360" w:lineRule="auto"/>
      <w:ind w:firstLineChars="200" w:firstLine="360"/>
    </w:pPr>
    <w:rPr>
      <w:rFonts w:ascii="宋体" w:hAnsi="Times New Roman"/>
      <w:sz w:val="24"/>
    </w:rPr>
  </w:style>
  <w:style w:type="paragraph" w:customStyle="1" w:styleId="-0">
    <w:name w:val="可研-表格正文"/>
    <w:basedOn w:val="-"/>
    <w:qFormat/>
    <w:pPr>
      <w:widowControl w:val="0"/>
      <w:spacing w:line="0" w:lineRule="atLeast"/>
      <w:ind w:firstLineChars="0" w:firstLine="0"/>
    </w:pPr>
  </w:style>
  <w:style w:type="paragraph" w:customStyle="1" w:styleId="-1">
    <w:name w:val="可研-节标题"/>
    <w:next w:val="-"/>
    <w:qFormat/>
    <w:pPr>
      <w:spacing w:line="360" w:lineRule="auto"/>
      <w:outlineLvl w:val="1"/>
    </w:pPr>
    <w:rPr>
      <w:b/>
      <w:sz w:val="28"/>
      <w:szCs w:val="30"/>
    </w:rPr>
  </w:style>
  <w:style w:type="paragraph" w:customStyle="1" w:styleId="affffffb">
    <w:name w:val="小四表文左齐"/>
    <w:basedOn w:val="a1"/>
    <w:qFormat/>
    <w:pPr>
      <w:spacing w:line="480" w:lineRule="exact"/>
      <w:jc w:val="center"/>
    </w:pPr>
    <w:rPr>
      <w:rFonts w:ascii="Times New Roman" w:hAnsi="Times New Roman"/>
      <w:color w:val="FF0000"/>
      <w:spacing w:val="20"/>
      <w:szCs w:val="20"/>
    </w:rPr>
  </w:style>
  <w:style w:type="paragraph" w:customStyle="1" w:styleId="affffffc">
    <w:name w:val="页号"/>
    <w:basedOn w:val="aff9"/>
    <w:qFormat/>
    <w:pPr>
      <w:tabs>
        <w:tab w:val="clear" w:pos="4153"/>
        <w:tab w:val="clear" w:pos="8306"/>
        <w:tab w:val="center" w:pos="4320"/>
        <w:tab w:val="right" w:pos="8640"/>
      </w:tabs>
      <w:adjustRightInd w:val="0"/>
      <w:snapToGrid/>
      <w:jc w:val="center"/>
      <w:textAlignment w:val="baseline"/>
    </w:pPr>
    <w:rPr>
      <w:rFonts w:ascii="宋体" w:hAnsi="Arial"/>
      <w:spacing w:val="3"/>
      <w:kern w:val="24"/>
      <w:sz w:val="24"/>
      <w:szCs w:val="20"/>
    </w:rPr>
  </w:style>
  <w:style w:type="paragraph" w:customStyle="1" w:styleId="CharCharCharCharCharCharChar">
    <w:name w:val="Char Char Char Char Char Char Char"/>
    <w:basedOn w:val="a1"/>
    <w:qFormat/>
    <w:pPr>
      <w:widowControl/>
      <w:spacing w:after="160" w:line="240" w:lineRule="exact"/>
      <w:jc w:val="left"/>
    </w:pPr>
    <w:rPr>
      <w:rFonts w:ascii="Verdana" w:hAnsi="Verdana"/>
      <w:kern w:val="0"/>
      <w:sz w:val="20"/>
      <w:szCs w:val="20"/>
      <w:lang w:eastAsia="en-US"/>
    </w:rPr>
  </w:style>
  <w:style w:type="paragraph" w:customStyle="1" w:styleId="affffffd">
    <w:name w:val="正文表格"/>
    <w:basedOn w:val="a1"/>
    <w:qFormat/>
    <w:pPr>
      <w:keepNext/>
      <w:keepLines/>
      <w:tabs>
        <w:tab w:val="center" w:pos="6804"/>
      </w:tabs>
      <w:overflowPunct w:val="0"/>
      <w:adjustRightInd w:val="0"/>
      <w:spacing w:before="80"/>
      <w:jc w:val="center"/>
      <w:textAlignment w:val="bottom"/>
    </w:pPr>
    <w:rPr>
      <w:rFonts w:ascii="Times New Roman" w:hAnsi="Times New Roman"/>
      <w:kern w:val="0"/>
      <w:sz w:val="28"/>
      <w:szCs w:val="20"/>
    </w:rPr>
  </w:style>
  <w:style w:type="paragraph" w:customStyle="1" w:styleId="affffffe">
    <w:name w:val="悬挂式正文"/>
    <w:basedOn w:val="a1"/>
    <w:qFormat/>
    <w:pPr>
      <w:tabs>
        <w:tab w:val="center" w:pos="6804"/>
        <w:tab w:val="right" w:pos="7371"/>
      </w:tabs>
      <w:overflowPunct w:val="0"/>
      <w:adjustRightInd w:val="0"/>
      <w:spacing w:line="360" w:lineRule="auto"/>
      <w:ind w:left="1701" w:hanging="1134"/>
      <w:textAlignment w:val="baseline"/>
    </w:pPr>
    <w:rPr>
      <w:rFonts w:ascii="Times New Roman" w:hAnsi="Times New Roman"/>
      <w:kern w:val="0"/>
      <w:sz w:val="28"/>
      <w:szCs w:val="20"/>
    </w:rPr>
  </w:style>
  <w:style w:type="paragraph" w:customStyle="1" w:styleId="3wf">
    <w:name w:val="样式3wf"/>
    <w:basedOn w:val="2ff0"/>
    <w:qFormat/>
    <w:pPr>
      <w:tabs>
        <w:tab w:val="left" w:pos="1040"/>
      </w:tabs>
      <w:autoSpaceDE w:val="0"/>
      <w:autoSpaceDN w:val="0"/>
      <w:adjustRightInd w:val="0"/>
      <w:snapToGrid w:val="0"/>
      <w:spacing w:before="120" w:line="240" w:lineRule="auto"/>
      <w:ind w:left="1040" w:hanging="420"/>
      <w:jc w:val="center"/>
      <w:textAlignment w:val="baseline"/>
      <w:outlineLvl w:val="9"/>
    </w:pPr>
    <w:rPr>
      <w:rFonts w:ascii="Times New Roman" w:hAnsi="Times New Roman"/>
      <w:b w:val="0"/>
      <w:bCs w:val="0"/>
      <w:kern w:val="2"/>
      <w:sz w:val="21"/>
      <w:szCs w:val="21"/>
    </w:rPr>
  </w:style>
  <w:style w:type="paragraph" w:customStyle="1" w:styleId="afffffff">
    <w:name w:val="项目点符号"/>
    <w:basedOn w:val="a1"/>
    <w:qFormat/>
    <w:pPr>
      <w:spacing w:line="360" w:lineRule="auto"/>
      <w:ind w:firstLineChars="198" w:firstLine="539"/>
    </w:pPr>
    <w:rPr>
      <w:rFonts w:ascii="Times New Roman" w:hAnsi="宋体"/>
      <w:color w:val="000000"/>
      <w:spacing w:val="16"/>
      <w:sz w:val="24"/>
      <w:szCs w:val="24"/>
    </w:rPr>
  </w:style>
  <w:style w:type="paragraph" w:customStyle="1" w:styleId="262">
    <w:name w:val="样式 样式2 + 段前: 6 磅 行距: 单倍行距2"/>
    <w:basedOn w:val="2ff0"/>
    <w:qFormat/>
    <w:pPr>
      <w:tabs>
        <w:tab w:val="left" w:pos="1040"/>
      </w:tabs>
      <w:autoSpaceDE w:val="0"/>
      <w:autoSpaceDN w:val="0"/>
      <w:adjustRightInd w:val="0"/>
      <w:snapToGrid w:val="0"/>
      <w:spacing w:before="120" w:line="240" w:lineRule="auto"/>
      <w:ind w:left="1040" w:hanging="420"/>
      <w:jc w:val="center"/>
      <w:textAlignment w:val="baseline"/>
      <w:outlineLvl w:val="9"/>
    </w:pPr>
    <w:rPr>
      <w:rFonts w:ascii="Times New Roman" w:hAnsi="Times New Roman"/>
      <w:b w:val="0"/>
      <w:bCs w:val="0"/>
      <w:spacing w:val="-16"/>
      <w:kern w:val="2"/>
      <w:sz w:val="21"/>
      <w:szCs w:val="21"/>
    </w:rPr>
  </w:style>
  <w:style w:type="paragraph" w:customStyle="1" w:styleId="xl23">
    <w:name w:val="xl23"/>
    <w:basedOn w:val="a1"/>
    <w:qFormat/>
    <w:pPr>
      <w:widowControl/>
      <w:spacing w:before="100" w:beforeAutospacing="1" w:after="100" w:afterAutospacing="1"/>
      <w:jc w:val="center"/>
    </w:pPr>
    <w:rPr>
      <w:rFonts w:ascii="宋体" w:hAnsi="宋体"/>
      <w:kern w:val="0"/>
      <w:sz w:val="24"/>
      <w:szCs w:val="24"/>
    </w:rPr>
  </w:style>
  <w:style w:type="paragraph" w:customStyle="1" w:styleId="220">
    <w:name w:val="样式 样式 首行缩进:  2 字符 + 首行缩进:  2 字符"/>
    <w:basedOn w:val="a1"/>
    <w:qFormat/>
    <w:pPr>
      <w:ind w:firstLineChars="200" w:firstLine="587"/>
    </w:pPr>
    <w:rPr>
      <w:rFonts w:ascii="宋体" w:hAnsi="Times New Roman"/>
      <w:sz w:val="27"/>
      <w:szCs w:val="27"/>
    </w:rPr>
  </w:style>
  <w:style w:type="paragraph" w:customStyle="1" w:styleId="S">
    <w:name w:val="S表格"/>
    <w:basedOn w:val="a1"/>
    <w:qFormat/>
    <w:pPr>
      <w:spacing w:before="240" w:line="360" w:lineRule="auto"/>
      <w:outlineLvl w:val="2"/>
    </w:pPr>
    <w:rPr>
      <w:rFonts w:ascii="Times New Roman" w:hAnsi="Times New Roman"/>
      <w:bCs/>
      <w:sz w:val="24"/>
      <w:szCs w:val="24"/>
    </w:rPr>
  </w:style>
  <w:style w:type="paragraph" w:customStyle="1" w:styleId="1ff1">
    <w:name w:val="正文样式1"/>
    <w:basedOn w:val="a1"/>
    <w:link w:val="1Char10"/>
    <w:qFormat/>
    <w:pPr>
      <w:snapToGrid w:val="0"/>
      <w:spacing w:line="460" w:lineRule="exact"/>
      <w:jc w:val="center"/>
      <w:outlineLvl w:val="0"/>
    </w:pPr>
    <w:rPr>
      <w:rFonts w:ascii="Times New Roman" w:hAnsi="Times New Roman"/>
      <w:spacing w:val="16"/>
      <w:kern w:val="0"/>
      <w:sz w:val="24"/>
      <w:szCs w:val="24"/>
    </w:rPr>
  </w:style>
  <w:style w:type="paragraph" w:customStyle="1" w:styleId="2ff3">
    <w:name w:val="正文 + 首行缩进:  2 字符"/>
    <w:basedOn w:val="a1"/>
    <w:qFormat/>
    <w:pPr>
      <w:spacing w:line="460" w:lineRule="atLeast"/>
      <w:ind w:firstLineChars="200" w:firstLine="528"/>
    </w:pPr>
    <w:rPr>
      <w:rFonts w:ascii="Times New Roman" w:hAnsi="Times New Roman"/>
      <w:spacing w:val="12"/>
      <w:sz w:val="24"/>
      <w:szCs w:val="20"/>
    </w:rPr>
  </w:style>
  <w:style w:type="paragraph" w:customStyle="1" w:styleId="afffffff0">
    <w:name w:val="表题"/>
    <w:basedOn w:val="a1"/>
    <w:qFormat/>
    <w:pPr>
      <w:keepNext/>
      <w:spacing w:line="460" w:lineRule="atLeast"/>
      <w:jc w:val="center"/>
    </w:pPr>
    <w:rPr>
      <w:rFonts w:ascii="Times New Roman" w:hAnsi="Times New Roman"/>
      <w:b/>
      <w:spacing w:val="12"/>
      <w:w w:val="90"/>
      <w:sz w:val="24"/>
      <w:szCs w:val="24"/>
    </w:rPr>
  </w:style>
  <w:style w:type="paragraph" w:customStyle="1" w:styleId="222">
    <w:name w:val="样式 样式 样式 首行缩进:  2 字符 + 首行缩进:  2 字符 + 首行缩进:  2 字符"/>
    <w:basedOn w:val="220"/>
    <w:qFormat/>
    <w:pPr>
      <w:ind w:firstLine="567"/>
    </w:pPr>
    <w:rPr>
      <w:szCs w:val="20"/>
    </w:rPr>
  </w:style>
  <w:style w:type="paragraph" w:customStyle="1" w:styleId="1ff2">
    <w:name w:val="样式 标题 1 + 自动设置"/>
    <w:basedOn w:val="1a"/>
    <w:qFormat/>
    <w:pPr>
      <w:tabs>
        <w:tab w:val="left" w:pos="360"/>
        <w:tab w:val="left" w:pos="700"/>
      </w:tabs>
      <w:autoSpaceDE w:val="0"/>
      <w:autoSpaceDN w:val="0"/>
      <w:adjustRightInd w:val="0"/>
      <w:spacing w:before="0" w:after="0" w:line="360" w:lineRule="auto"/>
      <w:ind w:left="431" w:hanging="431"/>
      <w:jc w:val="center"/>
    </w:pPr>
    <w:rPr>
      <w:rFonts w:ascii="Times New Roman" w:hAnsi="Times New Roman"/>
      <w:sz w:val="28"/>
      <w:szCs w:val="20"/>
    </w:rPr>
  </w:style>
  <w:style w:type="paragraph" w:customStyle="1" w:styleId="afffffff1">
    <w:name w:val="表名"/>
    <w:basedOn w:val="a1"/>
    <w:link w:val="Char7"/>
    <w:qFormat/>
    <w:pPr>
      <w:overflowPunct w:val="0"/>
      <w:spacing w:before="120"/>
      <w:textAlignment w:val="baseline"/>
    </w:pPr>
    <w:rPr>
      <w:rFonts w:ascii="Arial" w:eastAsia="黑体" w:hAnsi="Arial"/>
      <w:sz w:val="24"/>
      <w:szCs w:val="20"/>
    </w:rPr>
  </w:style>
  <w:style w:type="paragraph" w:customStyle="1" w:styleId="afffffff2">
    <w:name w:val="表字"/>
    <w:basedOn w:val="a1"/>
    <w:qFormat/>
    <w:pPr>
      <w:jc w:val="center"/>
    </w:pPr>
    <w:rPr>
      <w:rFonts w:ascii="宋体" w:hAnsi="Times New Roman"/>
      <w:szCs w:val="20"/>
    </w:rPr>
  </w:style>
  <w:style w:type="paragraph" w:customStyle="1" w:styleId="1ff3">
    <w:name w:val="表格样式1"/>
    <w:basedOn w:val="a1"/>
    <w:qFormat/>
    <w:pPr>
      <w:adjustRightInd w:val="0"/>
      <w:spacing w:line="20" w:lineRule="atLeast"/>
      <w:jc w:val="center"/>
      <w:textAlignment w:val="baseline"/>
    </w:pPr>
    <w:rPr>
      <w:rFonts w:ascii="宋体" w:hAnsi="Times New Roman"/>
      <w:kern w:val="0"/>
      <w:szCs w:val="20"/>
    </w:rPr>
  </w:style>
  <w:style w:type="paragraph" w:customStyle="1" w:styleId="afffffff3">
    <w:name w:val="二级条标题"/>
    <w:basedOn w:val="affffff5"/>
    <w:next w:val="a1"/>
    <w:qFormat/>
    <w:pPr>
      <w:tabs>
        <w:tab w:val="clear" w:pos="1983"/>
        <w:tab w:val="left" w:pos="360"/>
      </w:tabs>
      <w:ind w:left="0" w:firstLine="0"/>
      <w:outlineLvl w:val="3"/>
    </w:pPr>
  </w:style>
  <w:style w:type="paragraph" w:customStyle="1" w:styleId="afffffff4">
    <w:name w:val="三级条标题"/>
    <w:basedOn w:val="afffffff3"/>
    <w:next w:val="a1"/>
    <w:qFormat/>
    <w:pPr>
      <w:outlineLvl w:val="4"/>
    </w:pPr>
  </w:style>
  <w:style w:type="paragraph" w:customStyle="1" w:styleId="afffffff5">
    <w:name w:val="四级条标题"/>
    <w:basedOn w:val="afffffff4"/>
    <w:next w:val="a1"/>
    <w:qFormat/>
    <w:pPr>
      <w:outlineLvl w:val="5"/>
    </w:pPr>
  </w:style>
  <w:style w:type="paragraph" w:customStyle="1" w:styleId="afffffff6">
    <w:name w:val="五级条标题"/>
    <w:basedOn w:val="afffffff5"/>
    <w:next w:val="a1"/>
    <w:qFormat/>
    <w:pPr>
      <w:outlineLvl w:val="6"/>
    </w:pPr>
  </w:style>
  <w:style w:type="paragraph" w:customStyle="1" w:styleId="afffffff7">
    <w:name w:val="注×："/>
    <w:qFormat/>
    <w:pPr>
      <w:widowControl w:val="0"/>
      <w:tabs>
        <w:tab w:val="left" w:pos="630"/>
      </w:tabs>
      <w:autoSpaceDE w:val="0"/>
      <w:autoSpaceDN w:val="0"/>
      <w:jc w:val="both"/>
    </w:pPr>
    <w:rPr>
      <w:rFonts w:ascii="宋体"/>
      <w:sz w:val="18"/>
    </w:rPr>
  </w:style>
  <w:style w:type="paragraph" w:customStyle="1" w:styleId="141512">
    <w:name w:val="样式 样式 方正宋三简体 14 磅 行距: 1.5 倍行距1 + 首行缩进:  2 字符"/>
    <w:basedOn w:val="a1"/>
    <w:qFormat/>
    <w:pPr>
      <w:ind w:firstLineChars="200" w:firstLine="200"/>
    </w:pPr>
    <w:rPr>
      <w:rFonts w:ascii="宋体" w:hAnsi="方正宋三简体" w:cs="宋体"/>
      <w:sz w:val="27"/>
      <w:szCs w:val="27"/>
    </w:rPr>
  </w:style>
  <w:style w:type="paragraph" w:customStyle="1" w:styleId="afffffff8">
    <w:name w:val="奉读大示，心折殊深。"/>
    <w:qFormat/>
    <w:pPr>
      <w:widowControl w:val="0"/>
      <w:jc w:val="both"/>
    </w:pPr>
    <w:rPr>
      <w:kern w:val="2"/>
      <w:sz w:val="21"/>
    </w:rPr>
  </w:style>
  <w:style w:type="paragraph" w:customStyle="1" w:styleId="afffffff9">
    <w:name w:val="样式"/>
    <w:basedOn w:val="a1"/>
    <w:next w:val="3f0"/>
    <w:qFormat/>
    <w:pPr>
      <w:tabs>
        <w:tab w:val="left" w:pos="6720"/>
      </w:tabs>
      <w:spacing w:line="360" w:lineRule="auto"/>
      <w:ind w:firstLineChars="200" w:firstLine="480"/>
    </w:pPr>
    <w:rPr>
      <w:rFonts w:ascii="楷体_GB2312" w:eastAsia="楷体_GB2312" w:hAnsi="Times New Roman"/>
      <w:sz w:val="24"/>
      <w:szCs w:val="24"/>
    </w:rPr>
  </w:style>
  <w:style w:type="paragraph" w:customStyle="1" w:styleId="afffffffa">
    <w:name w:val="表内容"/>
    <w:basedOn w:val="a1"/>
    <w:qFormat/>
    <w:pPr>
      <w:widowControl/>
      <w:autoSpaceDE w:val="0"/>
      <w:autoSpaceDN w:val="0"/>
      <w:adjustRightInd w:val="0"/>
      <w:jc w:val="center"/>
      <w:textAlignment w:val="bottom"/>
    </w:pPr>
    <w:rPr>
      <w:rFonts w:ascii="Times New Roman" w:hAnsi="Times New Roman"/>
      <w:smallCaps/>
      <w:kern w:val="0"/>
      <w:szCs w:val="20"/>
    </w:rPr>
  </w:style>
  <w:style w:type="paragraph" w:customStyle="1" w:styleId="3Arial">
    <w:name w:val="样式 标题 3 + Arial"/>
    <w:basedOn w:val="a1"/>
    <w:qFormat/>
    <w:rPr>
      <w:rFonts w:ascii="Times New Roman" w:hAnsi="Times New Roman"/>
      <w:szCs w:val="20"/>
    </w:rPr>
  </w:style>
  <w:style w:type="paragraph" w:customStyle="1" w:styleId="211">
    <w:name w:val="正文文本缩进 21"/>
    <w:basedOn w:val="a1"/>
    <w:qFormat/>
    <w:pPr>
      <w:adjustRightInd w:val="0"/>
      <w:spacing w:line="360" w:lineRule="auto"/>
      <w:ind w:firstLine="510"/>
      <w:textAlignment w:val="baseline"/>
    </w:pPr>
    <w:rPr>
      <w:rFonts w:ascii="宋体" w:hAnsi="宋体"/>
      <w:sz w:val="28"/>
      <w:szCs w:val="20"/>
    </w:rPr>
  </w:style>
  <w:style w:type="paragraph" w:customStyle="1" w:styleId="BodyTextFirstIndent3">
    <w:name w:val="Body Text First Indent3"/>
    <w:basedOn w:val="afb"/>
    <w:qFormat/>
    <w:pPr>
      <w:adjustRightInd w:val="0"/>
      <w:spacing w:after="0" w:line="312" w:lineRule="auto"/>
      <w:ind w:firstLine="567"/>
      <w:textAlignment w:val="baseline"/>
    </w:pPr>
    <w:rPr>
      <w:sz w:val="28"/>
      <w:szCs w:val="20"/>
    </w:rPr>
  </w:style>
  <w:style w:type="paragraph" w:customStyle="1" w:styleId="3fc">
    <w:name w:val="正文标题3"/>
    <w:basedOn w:val="3a"/>
    <w:qFormat/>
    <w:pPr>
      <w:spacing w:before="0" w:after="0" w:line="240" w:lineRule="auto"/>
    </w:pPr>
    <w:rPr>
      <w:rFonts w:ascii="Times New Roman" w:eastAsia="黑体" w:hAnsi="Times New Roman"/>
      <w:b w:val="0"/>
      <w:kern w:val="2"/>
      <w:sz w:val="28"/>
    </w:rPr>
  </w:style>
  <w:style w:type="paragraph" w:customStyle="1" w:styleId="2ff4">
    <w:name w:val="页脚2"/>
    <w:basedOn w:val="1fc"/>
    <w:qFormat/>
    <w:pPr>
      <w:tabs>
        <w:tab w:val="center" w:pos="4153"/>
        <w:tab w:val="right" w:pos="8306"/>
      </w:tabs>
      <w:spacing w:line="240" w:lineRule="atLeast"/>
      <w:ind w:left="0"/>
      <w:jc w:val="left"/>
    </w:pPr>
    <w:rPr>
      <w:rFonts w:hAnsi="Times New Roman"/>
      <w:sz w:val="18"/>
    </w:rPr>
  </w:style>
  <w:style w:type="paragraph" w:customStyle="1" w:styleId="afffffffb">
    <w:name w:val="表号"/>
    <w:basedOn w:val="afffff3"/>
    <w:next w:val="afffff3"/>
    <w:link w:val="Char21"/>
    <w:qFormat/>
    <w:pPr>
      <w:tabs>
        <w:tab w:val="left" w:pos="360"/>
      </w:tabs>
      <w:spacing w:line="240" w:lineRule="atLeast"/>
      <w:ind w:left="360" w:hanging="360"/>
      <w:jc w:val="right"/>
    </w:pPr>
    <w:rPr>
      <w:rFonts w:ascii="黑体" w:eastAsia="黑体"/>
      <w:color w:val="auto"/>
      <w:kern w:val="0"/>
      <w:sz w:val="20"/>
      <w:szCs w:val="20"/>
    </w:rPr>
  </w:style>
  <w:style w:type="paragraph" w:customStyle="1" w:styleId="font1">
    <w:name w:val="font1"/>
    <w:basedOn w:val="a1"/>
    <w:qFormat/>
    <w:pPr>
      <w:widowControl/>
      <w:spacing w:before="100" w:beforeAutospacing="1" w:after="100" w:afterAutospacing="1"/>
      <w:jc w:val="left"/>
    </w:pPr>
    <w:rPr>
      <w:rFonts w:ascii="宋体" w:hAnsi="宋体" w:hint="eastAsia"/>
      <w:kern w:val="0"/>
      <w:sz w:val="24"/>
      <w:szCs w:val="24"/>
    </w:rPr>
  </w:style>
  <w:style w:type="paragraph" w:customStyle="1" w:styleId="afffffffc">
    <w:name w:val="规划正文样式"/>
    <w:basedOn w:val="a1"/>
    <w:qFormat/>
    <w:pPr>
      <w:spacing w:line="400" w:lineRule="exact"/>
      <w:ind w:firstLineChars="200" w:firstLine="480"/>
    </w:pPr>
    <w:rPr>
      <w:rFonts w:ascii="Times New Roman" w:hAnsi="Times New Roman"/>
      <w:sz w:val="24"/>
      <w:szCs w:val="24"/>
    </w:rPr>
  </w:style>
  <w:style w:type="paragraph" w:customStyle="1" w:styleId="afffffffd">
    <w:name w:val="章标题(不加入目录内)"/>
    <w:basedOn w:val="afffa"/>
    <w:qFormat/>
    <w:pPr>
      <w:keepLines/>
      <w:pageBreakBefore/>
      <w:adjustRightInd/>
      <w:snapToGrid/>
      <w:spacing w:after="120" w:line="240" w:lineRule="auto"/>
      <w:ind w:firstLineChars="0" w:firstLine="0"/>
      <w:outlineLvl w:val="9"/>
    </w:pPr>
    <w:rPr>
      <w:rFonts w:ascii="Times New Roman" w:eastAsia="黑体" w:hAnsi="Times New Roman"/>
      <w:bCs w:val="0"/>
      <w:kern w:val="2"/>
      <w:sz w:val="36"/>
      <w:szCs w:val="20"/>
    </w:rPr>
  </w:style>
  <w:style w:type="paragraph" w:customStyle="1" w:styleId="afffffffe">
    <w:name w:val="灯泡注释(打印无效)"/>
    <w:basedOn w:val="afffe"/>
    <w:qFormat/>
    <w:pPr>
      <w:snapToGrid w:val="0"/>
      <w:spacing w:after="0"/>
      <w:ind w:firstLineChars="0" w:firstLine="0"/>
    </w:pPr>
    <w:rPr>
      <w:i/>
      <w:vanish/>
      <w:color w:val="FF0000"/>
      <w:szCs w:val="21"/>
    </w:rPr>
  </w:style>
  <w:style w:type="paragraph" w:customStyle="1" w:styleId="CharCharChar1CharCharCharCharCharChar">
    <w:name w:val="正文文本最新 Char Char Char1 Char Char Char Char Char Char"/>
    <w:qFormat/>
    <w:pPr>
      <w:spacing w:line="360" w:lineRule="auto"/>
      <w:ind w:firstLineChars="200" w:firstLine="200"/>
      <w:jc w:val="both"/>
    </w:pPr>
    <w:rPr>
      <w:b/>
      <w:bCs/>
      <w:kern w:val="2"/>
      <w:sz w:val="28"/>
      <w:szCs w:val="24"/>
    </w:rPr>
  </w:style>
  <w:style w:type="paragraph" w:customStyle="1" w:styleId="CharCharChar">
    <w:name w:val="自定义正文 Char Char Char"/>
    <w:qFormat/>
    <w:pPr>
      <w:widowControl w:val="0"/>
      <w:adjustRightInd w:val="0"/>
      <w:snapToGrid w:val="0"/>
      <w:spacing w:line="360" w:lineRule="auto"/>
      <w:ind w:firstLine="510"/>
      <w:jc w:val="both"/>
    </w:pPr>
    <w:rPr>
      <w:spacing w:val="-2"/>
      <w:kern w:val="2"/>
      <w:sz w:val="28"/>
      <w:szCs w:val="24"/>
    </w:rPr>
  </w:style>
  <w:style w:type="paragraph" w:customStyle="1" w:styleId="04">
    <w:name w:val="04"/>
    <w:basedOn w:val="a1"/>
    <w:qFormat/>
    <w:pPr>
      <w:spacing w:line="312" w:lineRule="auto"/>
    </w:pPr>
    <w:rPr>
      <w:rFonts w:ascii="Times New Roman" w:eastAsia="华文仿宋" w:hAnsi="Times New Roman"/>
      <w:sz w:val="24"/>
      <w:szCs w:val="30"/>
    </w:rPr>
  </w:style>
  <w:style w:type="paragraph" w:customStyle="1" w:styleId="CharCharChar1CharCharCharCharChar">
    <w:name w:val="正文文本最新 Char Char Char1 Char Char Char Char Char"/>
    <w:qFormat/>
    <w:pPr>
      <w:spacing w:line="360" w:lineRule="auto"/>
      <w:ind w:firstLineChars="200" w:firstLine="200"/>
      <w:jc w:val="both"/>
    </w:pPr>
    <w:rPr>
      <w:bCs/>
      <w:kern w:val="2"/>
      <w:sz w:val="28"/>
      <w:szCs w:val="24"/>
    </w:rPr>
  </w:style>
  <w:style w:type="paragraph" w:customStyle="1" w:styleId="CharCharCharChar">
    <w:name w:val="Char Char Char Char"/>
    <w:basedOn w:val="a1"/>
    <w:qFormat/>
    <w:rPr>
      <w:rFonts w:ascii="Times New Roman" w:hAnsi="Times New Roman"/>
      <w:szCs w:val="24"/>
    </w:rPr>
  </w:style>
  <w:style w:type="paragraph" w:customStyle="1" w:styleId="affffffff">
    <w:name w:val="正文文"/>
    <w:basedOn w:val="a1"/>
    <w:next w:val="a1"/>
    <w:qFormat/>
    <w:pPr>
      <w:spacing w:beforeLines="25" w:afterLines="25" w:line="440" w:lineRule="exact"/>
      <w:ind w:firstLineChars="200" w:firstLine="200"/>
    </w:pPr>
    <w:rPr>
      <w:rFonts w:ascii="Times New Roman" w:hAnsi="Times New Roman" w:cs="宋体"/>
      <w:sz w:val="24"/>
      <w:szCs w:val="20"/>
    </w:rPr>
  </w:style>
  <w:style w:type="paragraph" w:customStyle="1" w:styleId="11H10505">
    <w:name w:val="样式 标题 1一级标题一级标题(章)标题1章节H1一、章 + 段前: 0.5 行 段后: 0.5 行"/>
    <w:basedOn w:val="1a"/>
    <w:qFormat/>
    <w:pPr>
      <w:pageBreakBefore/>
      <w:spacing w:beforeLines="50" w:afterLines="50" w:line="360" w:lineRule="auto"/>
    </w:pPr>
    <w:rPr>
      <w:rFonts w:ascii="Times New Roman" w:eastAsia="黑体" w:hAnsi="Times New Roman" w:cs="宋体"/>
      <w:b w:val="0"/>
      <w:bCs w:val="0"/>
      <w:sz w:val="30"/>
      <w:szCs w:val="20"/>
    </w:rPr>
  </w:style>
  <w:style w:type="paragraph" w:customStyle="1" w:styleId="affffffff0">
    <w:name w:val="表中"/>
    <w:qFormat/>
    <w:pPr>
      <w:widowControl w:val="0"/>
      <w:jc w:val="center"/>
    </w:pPr>
    <w:rPr>
      <w:kern w:val="2"/>
      <w:sz w:val="21"/>
      <w:szCs w:val="21"/>
    </w:rPr>
  </w:style>
  <w:style w:type="paragraph" w:customStyle="1" w:styleId="CharCharCharCharCharChar">
    <w:name w:val="Char Char Char Char Char Char"/>
    <w:basedOn w:val="a1"/>
    <w:qFormat/>
    <w:rPr>
      <w:rFonts w:ascii="Times New Roman" w:hAnsi="Times New Roman"/>
      <w:sz w:val="24"/>
      <w:szCs w:val="24"/>
    </w:rPr>
  </w:style>
  <w:style w:type="paragraph" w:customStyle="1" w:styleId="affffffff1">
    <w:name w:val="正文(首行缩进)宋旭峰"/>
    <w:basedOn w:val="a2"/>
    <w:qFormat/>
    <w:pPr>
      <w:adjustRightInd/>
      <w:snapToGrid/>
      <w:spacing w:line="460" w:lineRule="exact"/>
      <w:ind w:firstLineChars="0" w:firstLine="0"/>
      <w:contextualSpacing/>
      <w:jc w:val="both"/>
    </w:pPr>
    <w:rPr>
      <w:rFonts w:eastAsia="黑体"/>
      <w:snapToGrid w:val="0"/>
      <w:color w:val="000000"/>
      <w:spacing w:val="16"/>
      <w:sz w:val="24"/>
      <w:szCs w:val="24"/>
    </w:rPr>
  </w:style>
  <w:style w:type="paragraph" w:customStyle="1" w:styleId="affffffff2">
    <w:name w:val="正文内容"/>
    <w:basedOn w:val="a1"/>
    <w:qFormat/>
    <w:pPr>
      <w:adjustRightInd w:val="0"/>
      <w:snapToGrid w:val="0"/>
      <w:spacing w:line="360" w:lineRule="auto"/>
      <w:ind w:firstLineChars="200" w:firstLine="496"/>
    </w:pPr>
    <w:rPr>
      <w:rFonts w:ascii="宋体" w:hAnsi="宋体"/>
      <w:snapToGrid w:val="0"/>
      <w:spacing w:val="4"/>
      <w:kern w:val="0"/>
      <w:sz w:val="24"/>
      <w:szCs w:val="20"/>
    </w:rPr>
  </w:style>
  <w:style w:type="paragraph" w:customStyle="1" w:styleId="affffffff3">
    <w:name w:val="表文"/>
    <w:next w:val="a1"/>
    <w:link w:val="Char8"/>
    <w:qFormat/>
    <w:pPr>
      <w:spacing w:line="340" w:lineRule="exact"/>
      <w:jc w:val="center"/>
    </w:pPr>
    <w:rPr>
      <w:rFonts w:ascii="宋体" w:hAnsi="宋体"/>
      <w:kern w:val="2"/>
      <w:sz w:val="21"/>
      <w:szCs w:val="22"/>
    </w:rPr>
  </w:style>
  <w:style w:type="paragraph" w:customStyle="1" w:styleId="2ff5">
    <w:name w:val="表格文字2"/>
    <w:basedOn w:val="afffff9"/>
    <w:qFormat/>
    <w:pPr>
      <w:adjustRightInd w:val="0"/>
      <w:spacing w:before="60"/>
      <w:textAlignment w:val="baseline"/>
    </w:pPr>
    <w:rPr>
      <w:rFonts w:ascii="宋体" w:eastAsia="宋体" w:hAnsi="Times New Roman"/>
      <w:color w:val="auto"/>
      <w:spacing w:val="0"/>
      <w:sz w:val="24"/>
    </w:rPr>
  </w:style>
  <w:style w:type="paragraph" w:customStyle="1" w:styleId="1ff4">
    <w:name w:val="表文1"/>
    <w:basedOn w:val="affffffff3"/>
    <w:qFormat/>
    <w:pPr>
      <w:widowControl w:val="0"/>
      <w:spacing w:line="500" w:lineRule="exact"/>
      <w:jc w:val="both"/>
    </w:pPr>
    <w:rPr>
      <w:rFonts w:ascii="CG Times" w:hAnsi="CG Times"/>
    </w:rPr>
  </w:style>
  <w:style w:type="paragraph" w:customStyle="1" w:styleId="cd1">
    <w:name w:val="cd1"/>
    <w:basedOn w:val="a1"/>
    <w:qFormat/>
    <w:pPr>
      <w:spacing w:before="120"/>
      <w:jc w:val="center"/>
    </w:pPr>
    <w:rPr>
      <w:rFonts w:ascii="Times New Roman" w:eastAsia="黑体" w:hAnsi="Times New Roman"/>
      <w:b/>
      <w:sz w:val="24"/>
      <w:szCs w:val="20"/>
    </w:rPr>
  </w:style>
  <w:style w:type="paragraph" w:customStyle="1" w:styleId="head">
    <w:name w:val="head"/>
    <w:basedOn w:val="a1"/>
    <w:next w:val="afffe"/>
    <w:qFormat/>
    <w:pPr>
      <w:keepNext/>
      <w:keepLines/>
      <w:snapToGrid w:val="0"/>
      <w:spacing w:before="120" w:after="120" w:line="360" w:lineRule="auto"/>
      <w:jc w:val="left"/>
    </w:pPr>
    <w:rPr>
      <w:rFonts w:ascii="宋体" w:hAnsi="宋体" w:cs="宋体"/>
      <w:sz w:val="32"/>
      <w:szCs w:val="32"/>
    </w:rPr>
  </w:style>
  <w:style w:type="paragraph" w:customStyle="1" w:styleId="PSPSPSPS">
    <w:name w:val="PSPSPSPS"/>
    <w:basedOn w:val="a1"/>
    <w:qFormat/>
    <w:pPr>
      <w:adjustRightInd w:val="0"/>
      <w:spacing w:line="600" w:lineRule="atLeast"/>
      <w:textAlignment w:val="baseline"/>
    </w:pPr>
    <w:rPr>
      <w:rFonts w:ascii="Times New Roman" w:hAnsi="Times New Roman"/>
      <w:kern w:val="0"/>
      <w:sz w:val="28"/>
      <w:szCs w:val="28"/>
    </w:rPr>
  </w:style>
  <w:style w:type="paragraph" w:customStyle="1" w:styleId="CharCharChar1Char1">
    <w:name w:val="Char Char Char1 Char1"/>
    <w:basedOn w:val="a1"/>
    <w:qFormat/>
    <w:rPr>
      <w:rFonts w:ascii="Times New Roman" w:hAnsi="Times New Roman"/>
      <w:szCs w:val="21"/>
    </w:rPr>
  </w:style>
  <w:style w:type="paragraph" w:customStyle="1" w:styleId="affffffff4">
    <w:name w:val="正文王"/>
    <w:basedOn w:val="a1"/>
    <w:qFormat/>
    <w:pPr>
      <w:adjustRightInd w:val="0"/>
      <w:snapToGrid w:val="0"/>
      <w:spacing w:line="360" w:lineRule="auto"/>
      <w:ind w:firstLineChars="200" w:firstLine="200"/>
    </w:pPr>
    <w:rPr>
      <w:rFonts w:ascii="Times New Roman" w:hAnsi="Times New Roman"/>
      <w:sz w:val="24"/>
      <w:szCs w:val="24"/>
    </w:rPr>
  </w:style>
  <w:style w:type="paragraph" w:customStyle="1" w:styleId="affffffff5">
    <w:name w:val="燕山正文"/>
    <w:basedOn w:val="a1"/>
    <w:link w:val="Char9"/>
    <w:qFormat/>
    <w:pPr>
      <w:tabs>
        <w:tab w:val="left" w:pos="4680"/>
      </w:tabs>
      <w:adjustRightInd w:val="0"/>
      <w:snapToGrid w:val="0"/>
      <w:spacing w:line="360" w:lineRule="auto"/>
      <w:ind w:firstLineChars="200" w:firstLine="560"/>
      <w:jc w:val="left"/>
    </w:pPr>
    <w:rPr>
      <w:rFonts w:ascii="宋体" w:hAnsi="宋体"/>
      <w:color w:val="000000"/>
      <w:kern w:val="0"/>
      <w:sz w:val="28"/>
      <w:szCs w:val="28"/>
    </w:rPr>
  </w:style>
  <w:style w:type="paragraph" w:customStyle="1" w:styleId="350">
    <w:name w:val="样式 燕山正文 + 首行缩进:  3.5 字符"/>
    <w:basedOn w:val="affffffff5"/>
    <w:qFormat/>
    <w:pPr>
      <w:tabs>
        <w:tab w:val="clear" w:pos="4680"/>
      </w:tabs>
      <w:ind w:firstLine="520"/>
      <w:jc w:val="both"/>
    </w:pPr>
    <w:rPr>
      <w:rFonts w:ascii="Times New Roman" w:hAnsi="Times New Roman"/>
      <w:color w:val="auto"/>
      <w:spacing w:val="10"/>
      <w:sz w:val="24"/>
      <w:szCs w:val="24"/>
    </w:rPr>
  </w:style>
  <w:style w:type="paragraph" w:customStyle="1" w:styleId="affffffff6">
    <w:name w:val="表头文字"/>
    <w:basedOn w:val="a1"/>
    <w:qFormat/>
    <w:pPr>
      <w:widowControl/>
      <w:adjustRightInd w:val="0"/>
      <w:snapToGrid w:val="0"/>
      <w:spacing w:line="360" w:lineRule="exact"/>
      <w:textAlignment w:val="baseline"/>
    </w:pPr>
    <w:rPr>
      <w:rFonts w:ascii="Times New Roman" w:hAnsi="Times New Roman"/>
      <w:b/>
      <w:kern w:val="0"/>
      <w:szCs w:val="20"/>
    </w:rPr>
  </w:style>
  <w:style w:type="paragraph" w:customStyle="1" w:styleId="Char1CharCharChar">
    <w:name w:val="Char1 Char Char Char"/>
    <w:basedOn w:val="a1"/>
    <w:qFormat/>
    <w:rPr>
      <w:rFonts w:ascii="Times New Roman" w:hAnsi="Times New Roman"/>
      <w:sz w:val="24"/>
      <w:szCs w:val="24"/>
    </w:rPr>
  </w:style>
  <w:style w:type="paragraph" w:customStyle="1" w:styleId="-2">
    <w:name w:val="正文-叶"/>
    <w:basedOn w:val="a1"/>
    <w:qFormat/>
    <w:pPr>
      <w:topLinePunct/>
      <w:spacing w:line="312" w:lineRule="auto"/>
      <w:ind w:firstLineChars="200" w:firstLine="465"/>
    </w:pPr>
    <w:rPr>
      <w:rFonts w:ascii="Times New Roman" w:hAnsi="Times New Roman"/>
      <w:sz w:val="24"/>
      <w:szCs w:val="20"/>
    </w:rPr>
  </w:style>
  <w:style w:type="paragraph" w:customStyle="1" w:styleId="affffffff7">
    <w:name w:val="附录标识"/>
    <w:basedOn w:val="a1"/>
    <w:qFormat/>
    <w:pPr>
      <w:widowControl/>
      <w:shd w:val="clear" w:color="FFFFFF" w:fill="FFFFFF"/>
      <w:tabs>
        <w:tab w:val="left" w:pos="420"/>
        <w:tab w:val="left" w:pos="6405"/>
      </w:tabs>
      <w:spacing w:before="640" w:after="200"/>
      <w:ind w:left="420" w:hanging="420"/>
      <w:jc w:val="center"/>
      <w:outlineLvl w:val="0"/>
    </w:pPr>
    <w:rPr>
      <w:rFonts w:ascii="黑体" w:eastAsia="黑体" w:hAnsi="Times New Roman"/>
      <w:kern w:val="0"/>
      <w:szCs w:val="20"/>
    </w:rPr>
  </w:style>
  <w:style w:type="paragraph" w:customStyle="1" w:styleId="affffffff8">
    <w:name w:val="附录章标题"/>
    <w:next w:val="a1"/>
    <w:qFormat/>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ffffff9">
    <w:name w:val="附录一级条标题"/>
    <w:basedOn w:val="affffffff8"/>
    <w:next w:val="a1"/>
    <w:qFormat/>
    <w:pPr>
      <w:tabs>
        <w:tab w:val="left" w:pos="828"/>
        <w:tab w:val="left" w:pos="1260"/>
      </w:tabs>
      <w:autoSpaceDN w:val="0"/>
      <w:spacing w:beforeLines="0" w:afterLines="0"/>
      <w:ind w:left="828" w:hanging="240"/>
      <w:outlineLvl w:val="2"/>
    </w:pPr>
  </w:style>
  <w:style w:type="paragraph" w:customStyle="1" w:styleId="affffffffa">
    <w:name w:val="附录二级条标题"/>
    <w:basedOn w:val="affffffff9"/>
    <w:next w:val="a1"/>
    <w:qFormat/>
    <w:pPr>
      <w:tabs>
        <w:tab w:val="clear" w:pos="828"/>
        <w:tab w:val="clear" w:pos="1260"/>
        <w:tab w:val="left" w:pos="360"/>
        <w:tab w:val="left" w:pos="1680"/>
      </w:tabs>
      <w:ind w:left="360" w:hanging="360"/>
      <w:outlineLvl w:val="3"/>
    </w:pPr>
  </w:style>
  <w:style w:type="paragraph" w:customStyle="1" w:styleId="affffffffb">
    <w:name w:val="附录三级条标题"/>
    <w:basedOn w:val="affffffffa"/>
    <w:next w:val="a1"/>
    <w:qFormat/>
    <w:pPr>
      <w:tabs>
        <w:tab w:val="clear" w:pos="360"/>
        <w:tab w:val="clear" w:pos="1680"/>
        <w:tab w:val="left" w:pos="1068"/>
        <w:tab w:val="left" w:pos="2100"/>
      </w:tabs>
      <w:ind w:left="1068"/>
      <w:outlineLvl w:val="4"/>
    </w:pPr>
  </w:style>
  <w:style w:type="paragraph" w:customStyle="1" w:styleId="CharCharCharCharCharCharCharCharCharCharChar1Char">
    <w:name w:val="Char Char Char Char Char Char Char Char Char Char Char1 Char"/>
    <w:basedOn w:val="a1"/>
    <w:next w:val="a1"/>
    <w:semiHidden/>
    <w:qFormat/>
    <w:pPr>
      <w:spacing w:line="336" w:lineRule="auto"/>
      <w:ind w:firstLineChars="200" w:firstLine="200"/>
    </w:pPr>
    <w:rPr>
      <w:rFonts w:ascii="宋体" w:eastAsia="汉鼎简书宋" w:hAnsi="宋体" w:cs="宋体"/>
      <w:spacing w:val="4"/>
      <w:sz w:val="24"/>
      <w:szCs w:val="24"/>
    </w:rPr>
  </w:style>
  <w:style w:type="paragraph" w:customStyle="1" w:styleId="affffffffc">
    <w:name w:val="表"/>
    <w:basedOn w:val="a1"/>
    <w:qFormat/>
    <w:pPr>
      <w:jc w:val="center"/>
    </w:pPr>
    <w:rPr>
      <w:rFonts w:ascii="宋体" w:hAnsi="宋体"/>
      <w:spacing w:val="-10"/>
      <w:kern w:val="0"/>
      <w:szCs w:val="21"/>
    </w:rPr>
  </w:style>
  <w:style w:type="paragraph" w:customStyle="1" w:styleId="1ff5">
    <w:name w:val="日期1"/>
    <w:basedOn w:val="a1"/>
    <w:next w:val="a1"/>
    <w:qFormat/>
    <w:pPr>
      <w:adjustRightInd w:val="0"/>
      <w:textAlignment w:val="baseline"/>
    </w:pPr>
    <w:rPr>
      <w:rFonts w:ascii="Times New Roman" w:hAnsi="Times New Roman"/>
      <w:szCs w:val="20"/>
    </w:rPr>
  </w:style>
  <w:style w:type="paragraph" w:customStyle="1" w:styleId="CharCharCharChar1">
    <w:name w:val="Char Char Char Char1"/>
    <w:basedOn w:val="a1"/>
    <w:qFormat/>
    <w:pPr>
      <w:widowControl/>
      <w:spacing w:after="160" w:line="240" w:lineRule="exact"/>
      <w:jc w:val="left"/>
    </w:pPr>
    <w:rPr>
      <w:rFonts w:ascii="Verdana" w:hAnsi="Verdana"/>
      <w:kern w:val="0"/>
      <w:sz w:val="20"/>
      <w:szCs w:val="20"/>
      <w:lang w:eastAsia="en-US"/>
    </w:rPr>
  </w:style>
  <w:style w:type="paragraph" w:customStyle="1" w:styleId="1324">
    <w:name w:val="宋体 13 磅 行距: 固定值 24 磅"/>
    <w:basedOn w:val="a1"/>
    <w:qFormat/>
    <w:pPr>
      <w:spacing w:line="480" w:lineRule="exact"/>
      <w:ind w:firstLineChars="200" w:firstLine="520"/>
    </w:pPr>
    <w:rPr>
      <w:rFonts w:ascii="宋体" w:hAnsi="宋体" w:cs="宋体"/>
      <w:sz w:val="26"/>
      <w:szCs w:val="20"/>
    </w:rPr>
  </w:style>
  <w:style w:type="paragraph" w:customStyle="1" w:styleId="111">
    <w:name w:val="正文11"/>
    <w:link w:val="1Char11"/>
    <w:qFormat/>
    <w:pPr>
      <w:widowControl w:val="0"/>
      <w:adjustRightInd w:val="0"/>
      <w:spacing w:line="360" w:lineRule="atLeast"/>
      <w:textAlignment w:val="baseline"/>
    </w:pPr>
    <w:rPr>
      <w:rFonts w:ascii="宋体"/>
      <w:sz w:val="24"/>
      <w:szCs w:val="22"/>
    </w:rPr>
  </w:style>
  <w:style w:type="paragraph" w:customStyle="1" w:styleId="112">
    <w:name w:val="图表目录11"/>
    <w:basedOn w:val="111"/>
    <w:next w:val="111"/>
    <w:qFormat/>
    <w:pPr>
      <w:tabs>
        <w:tab w:val="right" w:leader="dot" w:pos="8051"/>
      </w:tabs>
      <w:ind w:left="840" w:hanging="840"/>
    </w:pPr>
  </w:style>
  <w:style w:type="paragraph" w:customStyle="1" w:styleId="CharCharCharCharCharChar2">
    <w:name w:val="Char Char Char Char Char Char2"/>
    <w:basedOn w:val="a1"/>
    <w:qFormat/>
    <w:rPr>
      <w:rFonts w:ascii="Times New Roman" w:hAnsi="Times New Roman"/>
      <w:sz w:val="24"/>
      <w:szCs w:val="24"/>
    </w:rPr>
  </w:style>
  <w:style w:type="paragraph" w:customStyle="1" w:styleId="113">
    <w:name w:val="尾注文本11"/>
    <w:basedOn w:val="111"/>
    <w:qFormat/>
    <w:rPr>
      <w:sz w:val="21"/>
    </w:rPr>
  </w:style>
  <w:style w:type="paragraph" w:customStyle="1" w:styleId="affffffffd">
    <w:name w:val="表格文字居中"/>
    <w:basedOn w:val="afffe"/>
    <w:link w:val="CharChar2"/>
    <w:qFormat/>
    <w:pPr>
      <w:tabs>
        <w:tab w:val="left" w:pos="628"/>
        <w:tab w:val="left" w:pos="1727"/>
        <w:tab w:val="left" w:pos="1884"/>
      </w:tabs>
      <w:snapToGrid w:val="0"/>
      <w:spacing w:after="0"/>
      <w:ind w:firstLineChars="200" w:firstLine="0"/>
      <w:jc w:val="center"/>
    </w:pPr>
    <w:rPr>
      <w:bCs/>
      <w:sz w:val="18"/>
      <w:szCs w:val="18"/>
    </w:rPr>
  </w:style>
  <w:style w:type="paragraph" w:customStyle="1" w:styleId="3H3H31H32H33u3111Heading3-oldBoldHeadbh">
    <w:name w:val="样式 标题 3H3H31H32H33u3条标题1.1.1Heading 3 - oldBold Headbh..."/>
    <w:basedOn w:val="5a"/>
    <w:qFormat/>
    <w:pPr>
      <w:tabs>
        <w:tab w:val="clear" w:pos="2300"/>
      </w:tabs>
      <w:ind w:left="0" w:firstLine="0"/>
    </w:pPr>
    <w:rPr>
      <w:rFonts w:ascii="Times New Roman" w:hAnsi="Times New Roman" w:cs="宋体"/>
      <w:sz w:val="24"/>
      <w:szCs w:val="20"/>
    </w:rPr>
  </w:style>
  <w:style w:type="paragraph" w:customStyle="1" w:styleId="230">
    <w:name w:val="样式 行距: 固定值 23 磅"/>
    <w:basedOn w:val="5a"/>
    <w:qFormat/>
    <w:pPr>
      <w:tabs>
        <w:tab w:val="clear" w:pos="2300"/>
      </w:tabs>
      <w:spacing w:line="460" w:lineRule="exact"/>
      <w:ind w:left="0" w:firstLine="0"/>
    </w:pPr>
    <w:rPr>
      <w:rFonts w:ascii="Times New Roman" w:hAnsi="Times New Roman" w:cs="宋体"/>
      <w:sz w:val="24"/>
      <w:szCs w:val="20"/>
    </w:rPr>
  </w:style>
  <w:style w:type="paragraph" w:customStyle="1" w:styleId="4f4">
    <w:name w:val="【标题4】"/>
    <w:basedOn w:val="a1"/>
    <w:qFormat/>
    <w:pPr>
      <w:keepLines/>
      <w:spacing w:before="120" w:after="120"/>
      <w:jc w:val="left"/>
      <w:outlineLvl w:val="3"/>
    </w:pPr>
    <w:rPr>
      <w:rFonts w:ascii="Times New Roman" w:hAnsi="Times New Roman" w:cs="宋体"/>
      <w:b/>
      <w:bCs/>
      <w:sz w:val="24"/>
      <w:szCs w:val="20"/>
    </w:rPr>
  </w:style>
  <w:style w:type="paragraph" w:customStyle="1" w:styleId="affffffffe">
    <w:name w:val="表、图名"/>
    <w:basedOn w:val="a1"/>
    <w:link w:val="Chara"/>
    <w:qFormat/>
    <w:pPr>
      <w:adjustRightInd w:val="0"/>
      <w:snapToGrid w:val="0"/>
      <w:jc w:val="center"/>
    </w:pPr>
    <w:rPr>
      <w:rFonts w:ascii="黑体" w:eastAsia="黑体" w:hAnsi="宋体"/>
      <w:color w:val="000000"/>
      <w:kern w:val="0"/>
      <w:sz w:val="20"/>
      <w:szCs w:val="18"/>
    </w:rPr>
  </w:style>
  <w:style w:type="paragraph" w:customStyle="1" w:styleId="afffffffff">
    <w:name w:val="表格中"/>
    <w:basedOn w:val="a1"/>
    <w:qFormat/>
    <w:pPr>
      <w:spacing w:line="280" w:lineRule="exact"/>
      <w:jc w:val="center"/>
    </w:pPr>
    <w:rPr>
      <w:rFonts w:ascii="宋体" w:hAnsi="Times New Roman"/>
      <w:sz w:val="18"/>
      <w:szCs w:val="24"/>
    </w:rPr>
  </w:style>
  <w:style w:type="paragraph" w:customStyle="1" w:styleId="1ff6">
    <w:name w:val="段落1"/>
    <w:basedOn w:val="a1"/>
    <w:link w:val="1Char3"/>
    <w:qFormat/>
    <w:pPr>
      <w:adjustRightInd w:val="0"/>
      <w:spacing w:line="400" w:lineRule="atLeast"/>
      <w:ind w:firstLine="510"/>
      <w:textAlignment w:val="baseline"/>
    </w:pPr>
    <w:rPr>
      <w:rFonts w:ascii="Times New Roman" w:hAnsi="Times New Roman"/>
      <w:spacing w:val="4"/>
      <w:kern w:val="0"/>
      <w:sz w:val="24"/>
      <w:szCs w:val="20"/>
    </w:rPr>
  </w:style>
  <w:style w:type="paragraph" w:customStyle="1" w:styleId="10303">
    <w:name w:val="样式 标题 1第一标题 + 段前: 0.3 行 段后: 0.3 行"/>
    <w:basedOn w:val="1a"/>
    <w:qFormat/>
    <w:pPr>
      <w:autoSpaceDE w:val="0"/>
      <w:autoSpaceDN w:val="0"/>
      <w:adjustRightInd w:val="0"/>
      <w:spacing w:beforeLines="50" w:afterLines="30" w:line="240" w:lineRule="auto"/>
    </w:pPr>
    <w:rPr>
      <w:rFonts w:ascii="Times New Roman" w:eastAsia="黑体" w:hAnsi="Times New Roman" w:cs="宋体"/>
      <w:b w:val="0"/>
      <w:bCs w:val="0"/>
      <w:kern w:val="0"/>
      <w:sz w:val="32"/>
      <w:szCs w:val="20"/>
      <w:lang w:val="zh-CN"/>
    </w:rPr>
  </w:style>
  <w:style w:type="paragraph" w:customStyle="1" w:styleId="afffffffff0">
    <w:name w:val="注"/>
    <w:basedOn w:val="a1"/>
    <w:next w:val="a1"/>
    <w:link w:val="Charb"/>
    <w:qFormat/>
    <w:pPr>
      <w:widowControl/>
      <w:spacing w:before="60" w:after="60" w:line="312" w:lineRule="auto"/>
      <w:ind w:firstLineChars="200" w:firstLine="480"/>
    </w:pPr>
    <w:rPr>
      <w:rFonts w:ascii="Times New Roman" w:eastAsia="黑体" w:hAnsi="Times New Roman"/>
      <w:color w:val="000000"/>
      <w:kern w:val="0"/>
      <w:sz w:val="20"/>
      <w:szCs w:val="20"/>
    </w:rPr>
  </w:style>
  <w:style w:type="paragraph" w:customStyle="1" w:styleId="1ff7">
    <w:name w:val="表头1"/>
    <w:basedOn w:val="a1"/>
    <w:link w:val="1Char4"/>
    <w:qFormat/>
    <w:pPr>
      <w:spacing w:before="120"/>
      <w:jc w:val="center"/>
    </w:pPr>
    <w:rPr>
      <w:rFonts w:ascii="宋体" w:eastAsia="黑体" w:hAnsi="宋体"/>
      <w:color w:val="000000"/>
      <w:spacing w:val="-2"/>
      <w:kern w:val="0"/>
      <w:sz w:val="24"/>
      <w:szCs w:val="24"/>
    </w:rPr>
  </w:style>
  <w:style w:type="paragraph" w:customStyle="1" w:styleId="3fd">
    <w:name w:val="表体正文3"/>
    <w:basedOn w:val="a1"/>
    <w:next w:val="a1"/>
    <w:qFormat/>
    <w:pPr>
      <w:jc w:val="center"/>
    </w:pPr>
    <w:rPr>
      <w:rFonts w:ascii="宋体" w:hAnsi="宋体"/>
      <w:spacing w:val="-2"/>
      <w:sz w:val="18"/>
      <w:szCs w:val="24"/>
    </w:rPr>
  </w:style>
  <w:style w:type="paragraph" w:customStyle="1" w:styleId="3fe">
    <w:name w:val="标题样式3"/>
    <w:basedOn w:val="3a"/>
    <w:qFormat/>
    <w:pPr>
      <w:spacing w:before="0" w:after="0" w:line="360" w:lineRule="auto"/>
    </w:pPr>
    <w:rPr>
      <w:rFonts w:ascii="黑体" w:eastAsia="黑体" w:hAnsi="Times New Roman"/>
      <w:bCs w:val="0"/>
      <w:kern w:val="2"/>
      <w:sz w:val="24"/>
      <w:szCs w:val="24"/>
    </w:rPr>
  </w:style>
  <w:style w:type="paragraph" w:customStyle="1" w:styleId="afffffffff1">
    <w:name w:val="表样式"/>
    <w:basedOn w:val="a1"/>
    <w:qFormat/>
    <w:pPr>
      <w:jc w:val="center"/>
    </w:pPr>
    <w:rPr>
      <w:rFonts w:ascii="仿宋_GB2312" w:eastAsia="黑体" w:hAnsi="Times New Roman"/>
      <w:szCs w:val="24"/>
    </w:rPr>
  </w:style>
  <w:style w:type="paragraph" w:customStyle="1" w:styleId="hb3">
    <w:name w:val="hb3"/>
    <w:basedOn w:val="3a"/>
    <w:qFormat/>
    <w:pPr>
      <w:adjustRightInd w:val="0"/>
      <w:spacing w:before="0" w:after="180" w:line="240" w:lineRule="auto"/>
      <w:textAlignment w:val="baseline"/>
    </w:pPr>
    <w:rPr>
      <w:rFonts w:ascii="宋体" w:hAnsi="宋体" w:cs="宋体"/>
      <w:bCs w:val="0"/>
      <w:sz w:val="24"/>
      <w:szCs w:val="24"/>
    </w:rPr>
  </w:style>
  <w:style w:type="paragraph" w:customStyle="1" w:styleId="hb4">
    <w:name w:val="hb4"/>
    <w:basedOn w:val="4a"/>
    <w:qFormat/>
    <w:pPr>
      <w:tabs>
        <w:tab w:val="left" w:pos="1880"/>
      </w:tabs>
      <w:spacing w:beforeLines="50" w:afterLines="50" w:line="529" w:lineRule="exact"/>
    </w:pPr>
    <w:rPr>
      <w:rFonts w:ascii="宋体" w:hAnsi="Arial" w:cs="宋体"/>
      <w:bCs w:val="0"/>
      <w:kern w:val="0"/>
      <w:sz w:val="24"/>
      <w:szCs w:val="24"/>
    </w:rPr>
  </w:style>
  <w:style w:type="paragraph" w:customStyle="1" w:styleId="1ff8">
    <w:name w:val="标题样式1"/>
    <w:basedOn w:val="1a"/>
    <w:qFormat/>
    <w:pPr>
      <w:adjustRightInd w:val="0"/>
      <w:spacing w:before="0" w:after="0" w:line="360" w:lineRule="auto"/>
      <w:jc w:val="left"/>
      <w:textAlignment w:val="baseline"/>
    </w:pPr>
    <w:rPr>
      <w:rFonts w:ascii="黑体" w:eastAsia="黑体" w:hAnsi="Times New Roman"/>
      <w:bCs w:val="0"/>
      <w:sz w:val="24"/>
      <w:szCs w:val="20"/>
    </w:rPr>
  </w:style>
  <w:style w:type="paragraph" w:customStyle="1" w:styleId="2ff6">
    <w:name w:val="标题样式2"/>
    <w:basedOn w:val="2a"/>
    <w:qFormat/>
    <w:pPr>
      <w:tabs>
        <w:tab w:val="left" w:pos="851"/>
        <w:tab w:val="left" w:pos="1040"/>
      </w:tabs>
      <w:adjustRightInd w:val="0"/>
      <w:spacing w:beforeLines="0" w:afterLines="0"/>
      <w:ind w:left="851" w:hanging="567"/>
      <w:textAlignment w:val="baseline"/>
    </w:pPr>
    <w:rPr>
      <w:rFonts w:ascii="黑体"/>
      <w:bCs w:val="0"/>
      <w:sz w:val="24"/>
      <w:szCs w:val="24"/>
    </w:rPr>
  </w:style>
  <w:style w:type="paragraph" w:customStyle="1" w:styleId="afffffffff2">
    <w:name w:val="图号样式"/>
    <w:basedOn w:val="a1"/>
    <w:qFormat/>
    <w:pPr>
      <w:spacing w:line="360" w:lineRule="auto"/>
      <w:jc w:val="center"/>
    </w:pPr>
    <w:rPr>
      <w:rFonts w:ascii="Times New Roman" w:hAnsi="Times New Roman"/>
      <w:sz w:val="24"/>
      <w:szCs w:val="24"/>
    </w:rPr>
  </w:style>
  <w:style w:type="paragraph" w:customStyle="1" w:styleId="1000">
    <w:name w:val="图号样式100"/>
    <w:basedOn w:val="afb"/>
    <w:qFormat/>
    <w:pPr>
      <w:widowControl/>
      <w:spacing w:after="0" w:line="360" w:lineRule="auto"/>
      <w:jc w:val="center"/>
    </w:pPr>
    <w:rPr>
      <w:rFonts w:ascii="宋体" w:hAnsi="宋体"/>
      <w:sz w:val="24"/>
    </w:rPr>
  </w:style>
  <w:style w:type="paragraph" w:customStyle="1" w:styleId="4f5">
    <w:name w:val="标题样式4"/>
    <w:basedOn w:val="4a"/>
    <w:qFormat/>
    <w:pPr>
      <w:tabs>
        <w:tab w:val="left" w:pos="1880"/>
      </w:tabs>
      <w:spacing w:before="0" w:after="0" w:line="360" w:lineRule="auto"/>
    </w:pPr>
    <w:rPr>
      <w:rFonts w:ascii="黑体" w:eastAsia="黑体" w:hAnsi="Arial" w:cs="Times New Roman"/>
      <w:kern w:val="0"/>
      <w:sz w:val="24"/>
    </w:rPr>
  </w:style>
  <w:style w:type="paragraph" w:customStyle="1" w:styleId="1001">
    <w:name w:val="正文样式100"/>
    <w:basedOn w:val="a1"/>
    <w:qFormat/>
    <w:pPr>
      <w:spacing w:line="360" w:lineRule="auto"/>
      <w:ind w:firstLineChars="200" w:firstLine="480"/>
    </w:pPr>
    <w:rPr>
      <w:rFonts w:ascii="宋体" w:hAnsi="宋体" w:cs="Courier New"/>
      <w:color w:val="000000"/>
      <w:sz w:val="24"/>
      <w:szCs w:val="24"/>
    </w:rPr>
  </w:style>
  <w:style w:type="paragraph" w:customStyle="1" w:styleId="2ff7">
    <w:name w:val="样式 首行缩进:  2 字符"/>
    <w:basedOn w:val="a1"/>
    <w:qFormat/>
    <w:pPr>
      <w:topLinePunct/>
      <w:spacing w:line="529" w:lineRule="exact"/>
      <w:ind w:firstLineChars="200" w:firstLine="480"/>
    </w:pPr>
    <w:rPr>
      <w:rFonts w:ascii="Times New Roman" w:eastAsia="汉鼎简书宋" w:hAnsi="Times New Roman"/>
      <w:sz w:val="24"/>
      <w:szCs w:val="20"/>
    </w:rPr>
  </w:style>
  <w:style w:type="paragraph" w:customStyle="1" w:styleId="CharCharChar1CharCharCharCharCharCharCharCharCharChar">
    <w:name w:val="Char Char Char1 Char Char Char Char Char Char Char Char Char Char"/>
    <w:basedOn w:val="a1"/>
    <w:qFormat/>
    <w:rPr>
      <w:rFonts w:ascii="Times New Roman" w:hAnsi="Times New Roman"/>
      <w:szCs w:val="24"/>
    </w:rPr>
  </w:style>
  <w:style w:type="paragraph" w:customStyle="1" w:styleId="afffffffff3">
    <w:name w:val="一级"/>
    <w:basedOn w:val="a1"/>
    <w:qFormat/>
    <w:pPr>
      <w:keepNext/>
      <w:keepLines/>
      <w:spacing w:beforeLines="50" w:afterLines="50" w:line="360" w:lineRule="auto"/>
      <w:jc w:val="left"/>
      <w:outlineLvl w:val="0"/>
    </w:pPr>
    <w:rPr>
      <w:rFonts w:ascii="Times New Roman" w:eastAsia="黑体" w:hAnsi="Times New Roman" w:cs="宋体"/>
      <w:b/>
      <w:color w:val="000000"/>
      <w:kern w:val="44"/>
      <w:sz w:val="32"/>
      <w:szCs w:val="20"/>
    </w:rPr>
  </w:style>
  <w:style w:type="paragraph" w:customStyle="1" w:styleId="2ff8">
    <w:name w:val="2级"/>
    <w:basedOn w:val="2a"/>
    <w:qFormat/>
    <w:pPr>
      <w:tabs>
        <w:tab w:val="left" w:pos="851"/>
        <w:tab w:val="left" w:pos="1040"/>
      </w:tabs>
      <w:spacing w:beforeLines="0" w:afterLines="0"/>
      <w:ind w:left="851" w:hanging="567"/>
    </w:pPr>
    <w:rPr>
      <w:rFonts w:ascii="Times New Roman" w:hAnsi="Times New Roman"/>
      <w:sz w:val="30"/>
    </w:rPr>
  </w:style>
  <w:style w:type="paragraph" w:customStyle="1" w:styleId="4f6">
    <w:name w:val="4级"/>
    <w:basedOn w:val="4a"/>
    <w:qFormat/>
    <w:pPr>
      <w:tabs>
        <w:tab w:val="left" w:pos="1880"/>
      </w:tabs>
      <w:spacing w:before="40" w:after="40" w:line="360" w:lineRule="auto"/>
    </w:pPr>
    <w:rPr>
      <w:rFonts w:ascii="Times New Roman" w:eastAsia="仿宋_GB2312" w:hAnsi="Times New Roman" w:cs="Times New Roman"/>
      <w:kern w:val="0"/>
      <w:sz w:val="24"/>
    </w:rPr>
  </w:style>
  <w:style w:type="paragraph" w:customStyle="1" w:styleId="afffffffff4">
    <w:name w:val="表头名称"/>
    <w:basedOn w:val="a2"/>
    <w:qFormat/>
    <w:pPr>
      <w:autoSpaceDE w:val="0"/>
      <w:autoSpaceDN w:val="0"/>
      <w:snapToGrid/>
      <w:spacing w:line="360" w:lineRule="auto"/>
      <w:ind w:firstLineChars="0" w:firstLine="0"/>
      <w:jc w:val="center"/>
    </w:pPr>
    <w:rPr>
      <w:rFonts w:ascii="黑体" w:eastAsia="黑体" w:hAnsi="宋体"/>
      <w:sz w:val="24"/>
    </w:rPr>
  </w:style>
  <w:style w:type="paragraph" w:customStyle="1" w:styleId="afffffffff5">
    <w:name w:val="表格内容格式"/>
    <w:basedOn w:val="a1"/>
    <w:qFormat/>
    <w:pPr>
      <w:adjustRightInd w:val="0"/>
      <w:spacing w:line="240" w:lineRule="atLeast"/>
      <w:textAlignment w:val="baseline"/>
    </w:pPr>
    <w:rPr>
      <w:rFonts w:ascii="宋体" w:hAnsi="宋体"/>
      <w:snapToGrid w:val="0"/>
      <w:color w:val="000000"/>
      <w:kern w:val="0"/>
      <w:szCs w:val="20"/>
    </w:rPr>
  </w:style>
  <w:style w:type="paragraph" w:customStyle="1" w:styleId="ParaCharCharCharChar">
    <w:name w:val="默认段落字体 Para Char Char Char Char"/>
    <w:basedOn w:val="a1"/>
    <w:qFormat/>
    <w:pPr>
      <w:spacing w:line="360" w:lineRule="auto"/>
      <w:ind w:firstLineChars="200" w:firstLine="200"/>
    </w:pPr>
    <w:rPr>
      <w:rFonts w:ascii="宋体" w:hAnsi="宋体" w:cs="宋体"/>
      <w:sz w:val="24"/>
      <w:szCs w:val="20"/>
    </w:rPr>
  </w:style>
  <w:style w:type="paragraph" w:customStyle="1" w:styleId="2wang20505">
    <w:name w:val="样式 标题 2wang2 + 段前: 0.5 行 段后: 0.5 行"/>
    <w:basedOn w:val="2a"/>
    <w:semiHidden/>
    <w:qFormat/>
    <w:pPr>
      <w:tabs>
        <w:tab w:val="left" w:pos="851"/>
        <w:tab w:val="left" w:pos="1040"/>
      </w:tabs>
      <w:spacing w:beforeLines="50" w:after="260" w:line="440" w:lineRule="exact"/>
      <w:ind w:left="851" w:hanging="567"/>
    </w:pPr>
    <w:rPr>
      <w:rFonts w:ascii="Times New Roman" w:hAnsi="Times New Roman" w:cs="宋体"/>
      <w:b w:val="0"/>
      <w:bCs w:val="0"/>
      <w:sz w:val="30"/>
      <w:szCs w:val="20"/>
    </w:rPr>
  </w:style>
  <w:style w:type="paragraph" w:customStyle="1" w:styleId="3ff">
    <w:name w:val="3级"/>
    <w:basedOn w:val="3a"/>
    <w:semiHidden/>
    <w:qFormat/>
    <w:pPr>
      <w:spacing w:beforeLines="50" w:afterLines="50" w:line="440" w:lineRule="exact"/>
      <w:jc w:val="left"/>
    </w:pPr>
    <w:rPr>
      <w:rFonts w:ascii="Times New Roman" w:eastAsia="黑体" w:hAnsi="Times New Roman" w:cs="宋体"/>
      <w:b w:val="0"/>
      <w:kern w:val="2"/>
      <w:sz w:val="28"/>
      <w:szCs w:val="20"/>
    </w:rPr>
  </w:style>
  <w:style w:type="paragraph" w:customStyle="1" w:styleId="40505">
    <w:name w:val="样式 4级 + 段前: 0.5 行 段后: 0.5 行"/>
    <w:basedOn w:val="4f6"/>
    <w:semiHidden/>
    <w:qFormat/>
    <w:pPr>
      <w:spacing w:beforeLines="50" w:afterLines="50" w:line="440" w:lineRule="exact"/>
      <w:jc w:val="left"/>
    </w:pPr>
    <w:rPr>
      <w:rFonts w:eastAsia="黑体" w:cs="宋体"/>
      <w:b w:val="0"/>
      <w:bCs w:val="0"/>
      <w:szCs w:val="20"/>
    </w:rPr>
  </w:style>
  <w:style w:type="paragraph" w:customStyle="1" w:styleId="1ff9">
    <w:name w:val="1级"/>
    <w:basedOn w:val="1a"/>
    <w:qFormat/>
    <w:pPr>
      <w:spacing w:beforeLines="50" w:afterLines="50" w:line="440" w:lineRule="exact"/>
    </w:pPr>
    <w:rPr>
      <w:rFonts w:ascii="Times New Roman" w:eastAsia="黑体" w:hAnsi="Times New Roman"/>
      <w:b w:val="0"/>
      <w:bCs w:val="0"/>
      <w:sz w:val="32"/>
    </w:rPr>
  </w:style>
  <w:style w:type="paragraph" w:customStyle="1" w:styleId="5f6">
    <w:name w:val="5级"/>
    <w:basedOn w:val="5a"/>
    <w:qFormat/>
    <w:pPr>
      <w:tabs>
        <w:tab w:val="clear" w:pos="2300"/>
      </w:tabs>
      <w:spacing w:beforeLines="50" w:afterLines="50" w:line="440" w:lineRule="exact"/>
      <w:ind w:left="0" w:firstLine="0"/>
    </w:pPr>
    <w:rPr>
      <w:rFonts w:ascii="Times New Roman" w:eastAsia="黑体" w:hAnsi="宋体" w:cs="宋体"/>
      <w:b w:val="0"/>
      <w:sz w:val="24"/>
      <w:szCs w:val="20"/>
    </w:rPr>
  </w:style>
  <w:style w:type="paragraph" w:customStyle="1" w:styleId="afffffffff6">
    <w:name w:val="基准标题"/>
    <w:basedOn w:val="a1"/>
    <w:semiHidden/>
    <w:qFormat/>
    <w:pPr>
      <w:adjustRightInd w:val="0"/>
      <w:snapToGrid w:val="0"/>
      <w:spacing w:beforeLines="20" w:afterLines="20" w:line="312" w:lineRule="auto"/>
      <w:jc w:val="center"/>
    </w:pPr>
    <w:rPr>
      <w:rFonts w:ascii="Times New Roman" w:hAnsi="Times New Roman"/>
      <w:kern w:val="0"/>
      <w:szCs w:val="21"/>
    </w:rPr>
  </w:style>
  <w:style w:type="paragraph" w:customStyle="1" w:styleId="afffffffff7">
    <w:name w:val="基准页眉样式"/>
    <w:basedOn w:val="a1"/>
    <w:qFormat/>
    <w:pPr>
      <w:spacing w:beforeLines="30" w:afterLines="30"/>
      <w:jc w:val="center"/>
    </w:pPr>
    <w:rPr>
      <w:rFonts w:ascii="Times New Roman" w:hAnsi="Times New Roman"/>
      <w:szCs w:val="24"/>
    </w:rPr>
  </w:style>
  <w:style w:type="paragraph" w:customStyle="1" w:styleId="afffffffff8">
    <w:name w:val="二级"/>
    <w:basedOn w:val="2ff8"/>
    <w:qFormat/>
    <w:pPr>
      <w:jc w:val="both"/>
    </w:pPr>
    <w:rPr>
      <w:rFonts w:cs="宋体"/>
      <w:szCs w:val="20"/>
    </w:rPr>
  </w:style>
  <w:style w:type="paragraph" w:customStyle="1" w:styleId="afffffffff9">
    <w:name w:val="三级"/>
    <w:basedOn w:val="3ff"/>
    <w:link w:val="Charc"/>
    <w:qFormat/>
    <w:rPr>
      <w:bCs w:val="0"/>
    </w:rPr>
  </w:style>
  <w:style w:type="paragraph" w:customStyle="1" w:styleId="afffffffffa">
    <w:name w:val="四级"/>
    <w:basedOn w:val="4a"/>
    <w:link w:val="Chard"/>
    <w:qFormat/>
    <w:pPr>
      <w:tabs>
        <w:tab w:val="left" w:pos="1880"/>
      </w:tabs>
      <w:spacing w:before="10" w:after="10" w:line="440" w:lineRule="exact"/>
      <w:jc w:val="left"/>
    </w:pPr>
    <w:rPr>
      <w:rFonts w:ascii="Times New Roman" w:eastAsia="黑体" w:hAnsi="Times New Roman" w:cs="Times New Roman"/>
      <w:b w:val="0"/>
      <w:kern w:val="0"/>
      <w:sz w:val="24"/>
    </w:rPr>
  </w:style>
  <w:style w:type="paragraph" w:customStyle="1" w:styleId="114">
    <w:name w:val="11"/>
    <w:basedOn w:val="a1"/>
    <w:semiHidden/>
    <w:qFormat/>
    <w:pPr>
      <w:tabs>
        <w:tab w:val="left" w:pos="2490"/>
      </w:tabs>
      <w:spacing w:beforeLines="50" w:afterLines="50"/>
      <w:jc w:val="left"/>
      <w:outlineLvl w:val="1"/>
    </w:pPr>
    <w:rPr>
      <w:rFonts w:ascii="Times New Roman" w:eastAsia="黑体" w:hAnsi="Times New Roman" w:cs="宋体"/>
      <w:bCs/>
      <w:sz w:val="30"/>
      <w:szCs w:val="20"/>
    </w:rPr>
  </w:style>
  <w:style w:type="paragraph" w:customStyle="1" w:styleId="331">
    <w:name w:val="33"/>
    <w:basedOn w:val="a1"/>
    <w:semiHidden/>
    <w:qFormat/>
    <w:pPr>
      <w:tabs>
        <w:tab w:val="left" w:pos="720"/>
      </w:tabs>
      <w:spacing w:beforeLines="50" w:afterLines="50"/>
      <w:jc w:val="left"/>
      <w:outlineLvl w:val="2"/>
    </w:pPr>
    <w:rPr>
      <w:rFonts w:ascii="Times New Roman" w:eastAsia="黑体" w:hAnsi="Times New Roman" w:cs="宋体"/>
      <w:bCs/>
      <w:sz w:val="28"/>
      <w:szCs w:val="20"/>
    </w:rPr>
  </w:style>
  <w:style w:type="paragraph" w:customStyle="1" w:styleId="3ff0">
    <w:name w:val="3级题"/>
    <w:basedOn w:val="3ff"/>
    <w:qFormat/>
    <w:pPr>
      <w:jc w:val="both"/>
    </w:pPr>
  </w:style>
  <w:style w:type="paragraph" w:customStyle="1" w:styleId="440">
    <w:name w:val="44"/>
    <w:basedOn w:val="4a"/>
    <w:semiHidden/>
    <w:qFormat/>
    <w:pPr>
      <w:tabs>
        <w:tab w:val="left" w:pos="1880"/>
      </w:tabs>
      <w:spacing w:beforeLines="50" w:afterLines="50" w:line="440" w:lineRule="exact"/>
      <w:jc w:val="left"/>
    </w:pPr>
    <w:rPr>
      <w:rFonts w:ascii="Times New Roman" w:eastAsia="黑体" w:hAnsi="Times New Roman" w:cs="宋体"/>
      <w:b w:val="0"/>
      <w:kern w:val="0"/>
      <w:sz w:val="24"/>
      <w:szCs w:val="20"/>
    </w:rPr>
  </w:style>
  <w:style w:type="paragraph" w:customStyle="1" w:styleId="4f7">
    <w:name w:val="4标"/>
    <w:basedOn w:val="a1"/>
    <w:qFormat/>
    <w:pPr>
      <w:keepNext/>
      <w:keepLines/>
      <w:spacing w:beforeLines="50" w:afterLines="50"/>
      <w:outlineLvl w:val="3"/>
    </w:pPr>
    <w:rPr>
      <w:rFonts w:ascii="Times New Roman" w:eastAsia="黑体" w:hAnsi="Times New Roman" w:cs="宋体"/>
      <w:szCs w:val="20"/>
    </w:rPr>
  </w:style>
  <w:style w:type="paragraph" w:customStyle="1" w:styleId="4f8">
    <w:name w:val="4级标"/>
    <w:basedOn w:val="4f6"/>
    <w:next w:val="4f6"/>
    <w:semiHidden/>
    <w:qFormat/>
    <w:pPr>
      <w:spacing w:beforeLines="50" w:afterLines="50" w:line="440" w:lineRule="exact"/>
      <w:jc w:val="left"/>
    </w:pPr>
    <w:rPr>
      <w:rFonts w:eastAsia="黑体" w:cs="宋体"/>
      <w:b w:val="0"/>
      <w:bCs w:val="0"/>
      <w:szCs w:val="20"/>
    </w:rPr>
  </w:style>
  <w:style w:type="paragraph" w:customStyle="1" w:styleId="wang1">
    <w:name w:val="wang1级"/>
    <w:basedOn w:val="1a"/>
    <w:semiHidden/>
    <w:qFormat/>
    <w:pPr>
      <w:spacing w:beforeLines="50" w:afterLines="50" w:line="440" w:lineRule="exact"/>
      <w:jc w:val="left"/>
    </w:pPr>
    <w:rPr>
      <w:rFonts w:ascii="黑体" w:eastAsia="黑体" w:hAnsi="Times New Roman" w:cs="宋体"/>
      <w:bCs w:val="0"/>
      <w:kern w:val="0"/>
      <w:sz w:val="32"/>
      <w:szCs w:val="20"/>
    </w:rPr>
  </w:style>
  <w:style w:type="paragraph" w:customStyle="1" w:styleId="xl73">
    <w:name w:val="xl73"/>
    <w:basedOn w:val="a1"/>
    <w:qFormat/>
    <w:pPr>
      <w:widowControl/>
      <w:pBdr>
        <w:top w:val="single" w:sz="4" w:space="0" w:color="000000"/>
        <w:left w:val="single" w:sz="4" w:space="0" w:color="000000"/>
        <w:right w:val="single" w:sz="4" w:space="0" w:color="000000"/>
      </w:pBdr>
      <w:spacing w:before="100" w:beforeAutospacing="1" w:after="100" w:afterAutospacing="1"/>
      <w:jc w:val="center"/>
    </w:pPr>
    <w:rPr>
      <w:rFonts w:ascii="Times New Roman" w:hAnsi="Times New Roman"/>
      <w:szCs w:val="21"/>
    </w:rPr>
  </w:style>
  <w:style w:type="paragraph" w:customStyle="1" w:styleId="xl74">
    <w:name w:val="xl74"/>
    <w:basedOn w:val="a1"/>
    <w:qFormat/>
    <w:pPr>
      <w:widowControl/>
      <w:pBdr>
        <w:left w:val="single" w:sz="4" w:space="0" w:color="000000"/>
        <w:right w:val="single" w:sz="4" w:space="0" w:color="000000"/>
      </w:pBdr>
      <w:spacing w:before="100" w:beforeAutospacing="1" w:after="100" w:afterAutospacing="1"/>
      <w:jc w:val="center"/>
    </w:pPr>
    <w:rPr>
      <w:rFonts w:ascii="Times New Roman" w:hAnsi="Times New Roman"/>
      <w:szCs w:val="21"/>
    </w:rPr>
  </w:style>
  <w:style w:type="paragraph" w:customStyle="1" w:styleId="xl75">
    <w:name w:val="xl75"/>
    <w:basedOn w:val="a1"/>
    <w:qFormat/>
    <w:pPr>
      <w:widowControl/>
      <w:pBdr>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Cs w:val="21"/>
    </w:rPr>
  </w:style>
  <w:style w:type="paragraph" w:customStyle="1" w:styleId="afffffffffb">
    <w:name w:val="保留正文"/>
    <w:basedOn w:val="afb"/>
    <w:semiHidden/>
    <w:qFormat/>
    <w:pPr>
      <w:keepNext/>
      <w:widowControl/>
      <w:overflowPunct w:val="0"/>
      <w:autoSpaceDE w:val="0"/>
      <w:autoSpaceDN w:val="0"/>
      <w:adjustRightInd w:val="0"/>
      <w:spacing w:after="160"/>
      <w:jc w:val="left"/>
      <w:textAlignment w:val="baseline"/>
    </w:pPr>
    <w:rPr>
      <w:szCs w:val="20"/>
    </w:rPr>
  </w:style>
  <w:style w:type="paragraph" w:customStyle="1" w:styleId="afffffffffc">
    <w:name w:val="编号结尾"/>
    <w:basedOn w:val="ac"/>
    <w:next w:val="afb"/>
    <w:semiHidden/>
    <w:qFormat/>
    <w:pPr>
      <w:spacing w:after="240"/>
    </w:pPr>
  </w:style>
  <w:style w:type="paragraph" w:customStyle="1" w:styleId="afffffffffd">
    <w:name w:val="编号引导"/>
    <w:basedOn w:val="ac"/>
    <w:next w:val="ac"/>
    <w:semiHidden/>
    <w:qFormat/>
    <w:pPr>
      <w:spacing w:before="80"/>
    </w:pPr>
  </w:style>
  <w:style w:type="paragraph" w:customStyle="1" w:styleId="afffffffffe">
    <w:name w:val="表名称"/>
    <w:basedOn w:val="ad"/>
    <w:semiHidden/>
    <w:qFormat/>
    <w:pPr>
      <w:widowControl/>
      <w:tabs>
        <w:tab w:val="left" w:pos="720"/>
      </w:tabs>
      <w:overflowPunct w:val="0"/>
      <w:autoSpaceDE w:val="0"/>
      <w:autoSpaceDN w:val="0"/>
      <w:adjustRightInd w:val="0"/>
      <w:spacing w:after="80" w:line="300" w:lineRule="exact"/>
      <w:ind w:left="0" w:firstLine="0"/>
      <w:jc w:val="center"/>
      <w:textAlignment w:val="baseline"/>
    </w:pPr>
    <w:rPr>
      <w:rFonts w:ascii="Times New Roman" w:eastAsia="宋体" w:cs="宋体"/>
      <w:sz w:val="20"/>
    </w:rPr>
  </w:style>
  <w:style w:type="paragraph" w:customStyle="1" w:styleId="affffffffff">
    <w:name w:val="表尾"/>
    <w:basedOn w:val="a1"/>
    <w:semiHidden/>
    <w:qFormat/>
    <w:pPr>
      <w:tabs>
        <w:tab w:val="left" w:pos="1021"/>
      </w:tabs>
      <w:spacing w:line="200" w:lineRule="exact"/>
    </w:pPr>
    <w:rPr>
      <w:rFonts w:ascii="Times New Roman" w:hAnsi="Times New Roman"/>
      <w:sz w:val="10"/>
      <w:szCs w:val="20"/>
    </w:rPr>
  </w:style>
  <w:style w:type="paragraph" w:customStyle="1" w:styleId="affffffffff0">
    <w:name w:val="单位名称"/>
    <w:basedOn w:val="a1"/>
    <w:semiHidden/>
    <w:qFormat/>
    <w:pPr>
      <w:widowControl/>
      <w:overflowPunct w:val="0"/>
      <w:autoSpaceDE w:val="0"/>
      <w:autoSpaceDN w:val="0"/>
      <w:adjustRightInd w:val="0"/>
      <w:spacing w:before="120" w:after="80"/>
      <w:jc w:val="center"/>
      <w:textAlignment w:val="baseline"/>
    </w:pPr>
    <w:rPr>
      <w:rFonts w:ascii="Times New Roman" w:hAnsi="Times New Roman"/>
      <w:b/>
      <w:sz w:val="28"/>
      <w:szCs w:val="20"/>
    </w:rPr>
  </w:style>
  <w:style w:type="paragraph" w:customStyle="1" w:styleId="affffffffff1">
    <w:name w:val="地址"/>
    <w:basedOn w:val="a1"/>
    <w:semiHidden/>
    <w:qFormat/>
    <w:pPr>
      <w:keepLines/>
      <w:widowControl/>
      <w:overflowPunct w:val="0"/>
      <w:autoSpaceDE w:val="0"/>
      <w:autoSpaceDN w:val="0"/>
      <w:adjustRightInd w:val="0"/>
      <w:jc w:val="center"/>
      <w:textAlignment w:val="baseline"/>
    </w:pPr>
    <w:rPr>
      <w:rFonts w:ascii="Times New Roman" w:hAnsi="Times New Roman"/>
      <w:sz w:val="20"/>
      <w:szCs w:val="20"/>
    </w:rPr>
  </w:style>
  <w:style w:type="paragraph" w:customStyle="1" w:styleId="affffffffff2">
    <w:name w:val="副题封页"/>
    <w:basedOn w:val="a1"/>
    <w:next w:val="afb"/>
    <w:semiHidden/>
    <w:qFormat/>
    <w:pPr>
      <w:keepNext/>
      <w:widowControl/>
      <w:overflowPunct w:val="0"/>
      <w:autoSpaceDE w:val="0"/>
      <w:autoSpaceDN w:val="0"/>
      <w:adjustRightInd w:val="0"/>
      <w:spacing w:before="240" w:after="480"/>
      <w:jc w:val="center"/>
      <w:textAlignment w:val="baseline"/>
    </w:pPr>
    <w:rPr>
      <w:rFonts w:ascii="Times New Roman" w:hAnsi="Times New Roman"/>
      <w:i/>
      <w:kern w:val="28"/>
      <w:sz w:val="32"/>
      <w:szCs w:val="20"/>
    </w:rPr>
  </w:style>
  <w:style w:type="paragraph" w:customStyle="1" w:styleId="affffffffff3">
    <w:name w:val="回信地址"/>
    <w:basedOn w:val="affffffffff1"/>
    <w:semiHidden/>
    <w:qFormat/>
  </w:style>
  <w:style w:type="paragraph" w:customStyle="1" w:styleId="affffffffff4">
    <w:name w:val="基准脚注"/>
    <w:basedOn w:val="a1"/>
    <w:semiHidden/>
    <w:qFormat/>
    <w:pPr>
      <w:widowControl/>
      <w:tabs>
        <w:tab w:val="left" w:pos="187"/>
      </w:tabs>
      <w:overflowPunct w:val="0"/>
      <w:autoSpaceDE w:val="0"/>
      <w:autoSpaceDN w:val="0"/>
      <w:adjustRightInd w:val="0"/>
      <w:spacing w:line="220" w:lineRule="exact"/>
      <w:ind w:left="187" w:hanging="187"/>
      <w:jc w:val="left"/>
      <w:textAlignment w:val="baseline"/>
    </w:pPr>
    <w:rPr>
      <w:rFonts w:ascii="Times New Roman" w:hAnsi="Times New Roman"/>
      <w:sz w:val="18"/>
      <w:szCs w:val="20"/>
    </w:rPr>
  </w:style>
  <w:style w:type="paragraph" w:customStyle="1" w:styleId="affffffffff5">
    <w:name w:val="基准篇眉"/>
    <w:basedOn w:val="a1"/>
    <w:qFormat/>
    <w:pPr>
      <w:keepLines/>
      <w:widowControl/>
      <w:tabs>
        <w:tab w:val="center" w:pos="7200"/>
        <w:tab w:val="right" w:pos="14400"/>
      </w:tabs>
      <w:overflowPunct w:val="0"/>
      <w:autoSpaceDE w:val="0"/>
      <w:autoSpaceDN w:val="0"/>
      <w:adjustRightInd w:val="0"/>
      <w:jc w:val="center"/>
      <w:textAlignment w:val="baseline"/>
    </w:pPr>
    <w:rPr>
      <w:rFonts w:ascii="Times New Roman" w:hAnsi="Times New Roman"/>
      <w:spacing w:val="80"/>
      <w:sz w:val="20"/>
      <w:szCs w:val="20"/>
    </w:rPr>
  </w:style>
  <w:style w:type="paragraph" w:customStyle="1" w:styleId="affffffffff6">
    <w:name w:val="基准篇头"/>
    <w:basedOn w:val="a1"/>
    <w:next w:val="afb"/>
    <w:semiHidden/>
    <w:qFormat/>
    <w:pPr>
      <w:keepNext/>
      <w:widowControl/>
      <w:overflowPunct w:val="0"/>
      <w:autoSpaceDE w:val="0"/>
      <w:autoSpaceDN w:val="0"/>
      <w:adjustRightInd w:val="0"/>
      <w:spacing w:before="240" w:after="120"/>
      <w:jc w:val="left"/>
      <w:textAlignment w:val="baseline"/>
    </w:pPr>
    <w:rPr>
      <w:rFonts w:ascii="Arial" w:hAnsi="Arial"/>
      <w:b/>
      <w:kern w:val="28"/>
      <w:sz w:val="36"/>
      <w:szCs w:val="20"/>
    </w:rPr>
  </w:style>
  <w:style w:type="paragraph" w:customStyle="1" w:styleId="affffffffff7">
    <w:name w:val="块引用"/>
    <w:basedOn w:val="a1"/>
    <w:semiHidden/>
    <w:qFormat/>
    <w:pPr>
      <w:keepLines/>
      <w:widowControl/>
      <w:overflowPunct w:val="0"/>
      <w:autoSpaceDE w:val="0"/>
      <w:autoSpaceDN w:val="0"/>
      <w:adjustRightInd w:val="0"/>
      <w:ind w:left="360" w:right="360"/>
      <w:jc w:val="center"/>
      <w:textAlignment w:val="baseline"/>
    </w:pPr>
    <w:rPr>
      <w:rFonts w:ascii="Times New Roman" w:hAnsi="Times New Roman"/>
      <w:i/>
      <w:sz w:val="20"/>
      <w:szCs w:val="20"/>
    </w:rPr>
  </w:style>
  <w:style w:type="paragraph" w:customStyle="1" w:styleId="affffffffff8">
    <w:name w:val="列表结尾"/>
    <w:basedOn w:val="ad"/>
    <w:next w:val="afb"/>
    <w:semiHidden/>
    <w:qFormat/>
    <w:pPr>
      <w:widowControl/>
      <w:tabs>
        <w:tab w:val="left" w:pos="720"/>
      </w:tabs>
      <w:overflowPunct w:val="0"/>
      <w:autoSpaceDE w:val="0"/>
      <w:autoSpaceDN w:val="0"/>
      <w:adjustRightInd w:val="0"/>
      <w:spacing w:after="240"/>
      <w:ind w:left="720" w:hanging="360"/>
      <w:jc w:val="left"/>
      <w:textAlignment w:val="baseline"/>
    </w:pPr>
    <w:rPr>
      <w:rFonts w:ascii="Times New Roman" w:eastAsia="宋体"/>
      <w:kern w:val="0"/>
      <w:sz w:val="20"/>
    </w:rPr>
  </w:style>
  <w:style w:type="paragraph" w:customStyle="1" w:styleId="affffffffff9">
    <w:name w:val="列表引导"/>
    <w:basedOn w:val="ad"/>
    <w:next w:val="ad"/>
    <w:semiHidden/>
    <w:qFormat/>
    <w:pPr>
      <w:widowControl/>
      <w:tabs>
        <w:tab w:val="left" w:pos="720"/>
      </w:tabs>
      <w:overflowPunct w:val="0"/>
      <w:autoSpaceDE w:val="0"/>
      <w:autoSpaceDN w:val="0"/>
      <w:adjustRightInd w:val="0"/>
      <w:spacing w:before="80" w:after="80"/>
      <w:ind w:left="720" w:hanging="360"/>
      <w:jc w:val="left"/>
      <w:textAlignment w:val="baseline"/>
    </w:pPr>
    <w:rPr>
      <w:rFonts w:ascii="Times New Roman" w:eastAsia="宋体"/>
      <w:kern w:val="0"/>
      <w:sz w:val="20"/>
    </w:rPr>
  </w:style>
  <w:style w:type="paragraph" w:customStyle="1" w:styleId="affffffffffa">
    <w:name w:val="偶数页脚注"/>
    <w:basedOn w:val="aff9"/>
    <w:semiHidden/>
    <w:qFormat/>
    <w:pPr>
      <w:keepLines/>
      <w:widowControl/>
      <w:tabs>
        <w:tab w:val="clear" w:pos="4153"/>
        <w:tab w:val="clear" w:pos="8306"/>
        <w:tab w:val="right" w:pos="0"/>
        <w:tab w:val="center" w:pos="7200"/>
        <w:tab w:val="right" w:pos="14400"/>
      </w:tabs>
      <w:overflowPunct w:val="0"/>
      <w:autoSpaceDE w:val="0"/>
      <w:autoSpaceDN w:val="0"/>
      <w:adjustRightInd w:val="0"/>
      <w:snapToGrid/>
      <w:jc w:val="right"/>
      <w:textAlignment w:val="baseline"/>
    </w:pPr>
    <w:rPr>
      <w:rFonts w:ascii="Times New Roman" w:hAnsi="Times New Roman"/>
      <w:spacing w:val="80"/>
      <w:sz w:val="20"/>
      <w:szCs w:val="20"/>
    </w:rPr>
  </w:style>
  <w:style w:type="paragraph" w:customStyle="1" w:styleId="affffffffffb">
    <w:name w:val="偶数页篇眉"/>
    <w:basedOn w:val="affc"/>
    <w:semiHidden/>
    <w:qFormat/>
    <w:pPr>
      <w:keepLines/>
      <w:widowControl/>
      <w:pBdr>
        <w:bottom w:val="none" w:sz="0" w:space="0" w:color="auto"/>
      </w:pBdr>
      <w:tabs>
        <w:tab w:val="clear" w:pos="4153"/>
        <w:tab w:val="clear" w:pos="8306"/>
        <w:tab w:val="right" w:pos="0"/>
        <w:tab w:val="center" w:pos="7200"/>
        <w:tab w:val="right" w:pos="14400"/>
      </w:tabs>
      <w:overflowPunct w:val="0"/>
      <w:autoSpaceDE w:val="0"/>
      <w:autoSpaceDN w:val="0"/>
      <w:adjustRightInd w:val="0"/>
      <w:snapToGrid/>
      <w:jc w:val="right"/>
      <w:textAlignment w:val="baseline"/>
    </w:pPr>
    <w:rPr>
      <w:rFonts w:ascii="Times New Roman" w:hAnsi="Times New Roman"/>
      <w:spacing w:val="80"/>
      <w:sz w:val="20"/>
      <w:szCs w:val="20"/>
    </w:rPr>
  </w:style>
  <w:style w:type="paragraph" w:customStyle="1" w:styleId="affffffffffc">
    <w:name w:val="奇数页脚注"/>
    <w:basedOn w:val="aff9"/>
    <w:semiHidden/>
    <w:qFormat/>
    <w:pPr>
      <w:keepLines/>
      <w:widowControl/>
      <w:tabs>
        <w:tab w:val="clear" w:pos="4153"/>
        <w:tab w:val="clear" w:pos="8306"/>
        <w:tab w:val="center" w:pos="7200"/>
        <w:tab w:val="right" w:pos="14400"/>
      </w:tabs>
      <w:overflowPunct w:val="0"/>
      <w:autoSpaceDE w:val="0"/>
      <w:autoSpaceDN w:val="0"/>
      <w:adjustRightInd w:val="0"/>
      <w:snapToGrid/>
      <w:jc w:val="center"/>
      <w:textAlignment w:val="baseline"/>
    </w:pPr>
    <w:rPr>
      <w:rFonts w:ascii="Times New Roman" w:hAnsi="Times New Roman"/>
      <w:spacing w:val="80"/>
      <w:sz w:val="20"/>
      <w:szCs w:val="20"/>
    </w:rPr>
  </w:style>
  <w:style w:type="paragraph" w:customStyle="1" w:styleId="affffffffffd">
    <w:name w:val="奇数页篇眉"/>
    <w:basedOn w:val="affc"/>
    <w:semiHidden/>
    <w:qFormat/>
    <w:pPr>
      <w:keepLines/>
      <w:widowControl/>
      <w:pBdr>
        <w:bottom w:val="none" w:sz="0" w:space="0" w:color="auto"/>
      </w:pBdr>
      <w:tabs>
        <w:tab w:val="clear" w:pos="4153"/>
        <w:tab w:val="clear" w:pos="8306"/>
        <w:tab w:val="center" w:pos="7200"/>
        <w:tab w:val="right" w:pos="14400"/>
      </w:tabs>
      <w:overflowPunct w:val="0"/>
      <w:autoSpaceDE w:val="0"/>
      <w:autoSpaceDN w:val="0"/>
      <w:adjustRightInd w:val="0"/>
      <w:snapToGrid/>
      <w:textAlignment w:val="baseline"/>
    </w:pPr>
    <w:rPr>
      <w:rFonts w:ascii="Times New Roman" w:hAnsi="Times New Roman"/>
      <w:spacing w:val="80"/>
      <w:sz w:val="20"/>
      <w:szCs w:val="20"/>
    </w:rPr>
  </w:style>
  <w:style w:type="paragraph" w:customStyle="1" w:styleId="affffffffffe">
    <w:name w:val="首页脚注"/>
    <w:basedOn w:val="aff9"/>
    <w:semiHidden/>
    <w:qFormat/>
    <w:pPr>
      <w:keepLines/>
      <w:widowControl/>
      <w:tabs>
        <w:tab w:val="clear" w:pos="4153"/>
        <w:tab w:val="clear" w:pos="8306"/>
        <w:tab w:val="center" w:pos="7200"/>
      </w:tabs>
      <w:overflowPunct w:val="0"/>
      <w:autoSpaceDE w:val="0"/>
      <w:autoSpaceDN w:val="0"/>
      <w:adjustRightInd w:val="0"/>
      <w:snapToGrid/>
      <w:jc w:val="center"/>
      <w:textAlignment w:val="baseline"/>
    </w:pPr>
    <w:rPr>
      <w:rFonts w:ascii="Times New Roman" w:hAnsi="Times New Roman"/>
      <w:spacing w:val="80"/>
      <w:sz w:val="20"/>
      <w:szCs w:val="20"/>
    </w:rPr>
  </w:style>
  <w:style w:type="paragraph" w:customStyle="1" w:styleId="afffffffffff">
    <w:name w:val="首页篇眉"/>
    <w:basedOn w:val="affc"/>
    <w:semiHidden/>
    <w:qFormat/>
    <w:pPr>
      <w:keepLines/>
      <w:widowControl/>
      <w:pBdr>
        <w:bottom w:val="none" w:sz="0" w:space="0" w:color="auto"/>
      </w:pBdr>
      <w:tabs>
        <w:tab w:val="clear" w:pos="4153"/>
        <w:tab w:val="clear" w:pos="8306"/>
        <w:tab w:val="center" w:pos="7200"/>
      </w:tabs>
      <w:overflowPunct w:val="0"/>
      <w:autoSpaceDE w:val="0"/>
      <w:autoSpaceDN w:val="0"/>
      <w:adjustRightInd w:val="0"/>
      <w:snapToGrid/>
      <w:textAlignment w:val="baseline"/>
    </w:pPr>
    <w:rPr>
      <w:rFonts w:ascii="Times New Roman" w:hAnsi="Times New Roman"/>
      <w:spacing w:val="80"/>
      <w:sz w:val="20"/>
      <w:szCs w:val="20"/>
    </w:rPr>
  </w:style>
  <w:style w:type="paragraph" w:customStyle="1" w:styleId="afffffffffff0">
    <w:name w:val="图片"/>
    <w:basedOn w:val="a1"/>
    <w:next w:val="ae"/>
    <w:semiHidden/>
    <w:qFormat/>
    <w:pPr>
      <w:keepNext/>
      <w:widowControl/>
      <w:overflowPunct w:val="0"/>
      <w:autoSpaceDE w:val="0"/>
      <w:autoSpaceDN w:val="0"/>
      <w:adjustRightInd w:val="0"/>
      <w:spacing w:before="120" w:after="240"/>
      <w:jc w:val="center"/>
      <w:textAlignment w:val="baseline"/>
    </w:pPr>
    <w:rPr>
      <w:rFonts w:ascii="Times New Roman" w:hAnsi="Times New Roman"/>
      <w:sz w:val="20"/>
      <w:szCs w:val="20"/>
    </w:rPr>
  </w:style>
  <w:style w:type="paragraph" w:customStyle="1" w:styleId="afffffffffff1">
    <w:name w:val="文档卷标"/>
    <w:basedOn w:val="affffffffff6"/>
    <w:semiHidden/>
    <w:qFormat/>
    <w:pPr>
      <w:spacing w:after="360"/>
    </w:pPr>
    <w:rPr>
      <w:rFonts w:ascii="Times New Roman" w:hAnsi="Times New Roman"/>
    </w:rPr>
  </w:style>
  <w:style w:type="paragraph" w:customStyle="1" w:styleId="afffffffffff2">
    <w:name w:val="项目符号结尾"/>
    <w:basedOn w:val="af0"/>
    <w:next w:val="afb"/>
    <w:semiHidden/>
    <w:qFormat/>
    <w:pPr>
      <w:widowControl/>
      <w:tabs>
        <w:tab w:val="clear" w:pos="360"/>
      </w:tabs>
      <w:overflowPunct w:val="0"/>
      <w:autoSpaceDE w:val="0"/>
      <w:autoSpaceDN w:val="0"/>
      <w:adjustRightInd w:val="0"/>
      <w:spacing w:after="240"/>
      <w:ind w:left="720"/>
      <w:jc w:val="left"/>
      <w:textAlignment w:val="baseline"/>
    </w:pPr>
    <w:rPr>
      <w:kern w:val="0"/>
      <w:sz w:val="20"/>
      <w:szCs w:val="20"/>
    </w:rPr>
  </w:style>
  <w:style w:type="paragraph" w:customStyle="1" w:styleId="afffffffffff3">
    <w:name w:val="项目符号引导"/>
    <w:basedOn w:val="af0"/>
    <w:next w:val="af0"/>
    <w:semiHidden/>
    <w:qFormat/>
    <w:pPr>
      <w:widowControl/>
      <w:tabs>
        <w:tab w:val="clear" w:pos="360"/>
      </w:tabs>
      <w:overflowPunct w:val="0"/>
      <w:autoSpaceDE w:val="0"/>
      <w:autoSpaceDN w:val="0"/>
      <w:adjustRightInd w:val="0"/>
      <w:spacing w:before="80" w:after="160"/>
      <w:ind w:left="720"/>
      <w:jc w:val="left"/>
      <w:textAlignment w:val="baseline"/>
    </w:pPr>
    <w:rPr>
      <w:kern w:val="0"/>
      <w:sz w:val="20"/>
      <w:szCs w:val="20"/>
    </w:rPr>
  </w:style>
  <w:style w:type="paragraph" w:customStyle="1" w:styleId="afffffffffff4">
    <w:name w:val="主题封页"/>
    <w:basedOn w:val="affffffffff6"/>
    <w:next w:val="affffffffff2"/>
    <w:semiHidden/>
    <w:qFormat/>
    <w:pPr>
      <w:spacing w:before="720" w:after="160"/>
      <w:jc w:val="center"/>
    </w:pPr>
    <w:rPr>
      <w:sz w:val="40"/>
    </w:rPr>
  </w:style>
  <w:style w:type="paragraph" w:customStyle="1" w:styleId="afffffffffff5">
    <w:name w:val="主题线"/>
    <w:basedOn w:val="a1"/>
    <w:next w:val="afb"/>
    <w:semiHidden/>
    <w:qFormat/>
    <w:pPr>
      <w:widowControl/>
      <w:overflowPunct w:val="0"/>
      <w:autoSpaceDE w:val="0"/>
      <w:autoSpaceDN w:val="0"/>
      <w:adjustRightInd w:val="0"/>
      <w:jc w:val="left"/>
      <w:textAlignment w:val="baseline"/>
    </w:pPr>
    <w:rPr>
      <w:rFonts w:ascii="Times New Roman" w:hAnsi="Times New Roman"/>
      <w:i/>
      <w:kern w:val="0"/>
      <w:sz w:val="20"/>
      <w:szCs w:val="20"/>
      <w:u w:val="single"/>
    </w:rPr>
  </w:style>
  <w:style w:type="paragraph" w:customStyle="1" w:styleId="afffffffffff6">
    <w:name w:val="冯正文"/>
    <w:basedOn w:val="a1"/>
    <w:semiHidden/>
    <w:qFormat/>
    <w:pPr>
      <w:spacing w:beforeLines="25" w:afterLines="25" w:line="400" w:lineRule="exact"/>
      <w:ind w:firstLineChars="200" w:firstLine="200"/>
    </w:pPr>
    <w:rPr>
      <w:rFonts w:ascii="Times New Roman" w:hAnsi="Times New Roman" w:cs="宋体"/>
      <w:sz w:val="24"/>
      <w:szCs w:val="20"/>
    </w:rPr>
  </w:style>
  <w:style w:type="paragraph" w:customStyle="1" w:styleId="1ffa">
    <w:name w:val="1表"/>
    <w:basedOn w:val="a1"/>
    <w:semiHidden/>
    <w:qFormat/>
    <w:pPr>
      <w:spacing w:beforeLines="25" w:afterLines="25" w:line="400" w:lineRule="exact"/>
      <w:jc w:val="center"/>
    </w:pPr>
    <w:rPr>
      <w:rFonts w:ascii="Times New Roman" w:eastAsia="黑体" w:hAnsi="Times New Roman" w:cs="宋体"/>
      <w:sz w:val="24"/>
      <w:szCs w:val="20"/>
    </w:rPr>
  </w:style>
  <w:style w:type="paragraph" w:customStyle="1" w:styleId="afffffffffff7">
    <w:name w:val="正"/>
    <w:basedOn w:val="a1"/>
    <w:link w:val="Char12"/>
    <w:semiHidden/>
    <w:qFormat/>
    <w:pPr>
      <w:spacing w:beforeLines="25" w:afterLines="25" w:line="440" w:lineRule="exact"/>
      <w:ind w:firstLineChars="200" w:firstLine="200"/>
    </w:pPr>
    <w:rPr>
      <w:rFonts w:ascii="Times New Roman" w:hAnsi="Times New Roman"/>
      <w:kern w:val="0"/>
      <w:sz w:val="24"/>
      <w:szCs w:val="20"/>
    </w:rPr>
  </w:style>
  <w:style w:type="paragraph" w:customStyle="1" w:styleId="afffffffffff8">
    <w:name w:val="图表名称"/>
    <w:next w:val="a1"/>
    <w:link w:val="Chare"/>
    <w:qFormat/>
    <w:pPr>
      <w:spacing w:before="25" w:after="25" w:line="360" w:lineRule="auto"/>
      <w:jc w:val="center"/>
    </w:pPr>
    <w:rPr>
      <w:rFonts w:eastAsia="黑体"/>
      <w:b/>
      <w:bCs/>
      <w:sz w:val="24"/>
      <w:szCs w:val="21"/>
    </w:rPr>
  </w:style>
  <w:style w:type="paragraph" w:customStyle="1" w:styleId="CharCharCharCharCharCharChar1">
    <w:name w:val="Char Char Char Char Char Char Char1"/>
    <w:basedOn w:val="a1"/>
    <w:qFormat/>
    <w:pPr>
      <w:spacing w:line="360" w:lineRule="auto"/>
      <w:ind w:firstLineChars="200" w:firstLine="200"/>
    </w:pPr>
    <w:rPr>
      <w:rFonts w:ascii="宋体" w:hAnsi="宋体" w:cs="宋体"/>
      <w:sz w:val="24"/>
      <w:szCs w:val="24"/>
    </w:rPr>
  </w:style>
  <w:style w:type="paragraph" w:customStyle="1" w:styleId="4f9">
    <w:name w:val="正文4"/>
    <w:qFormat/>
    <w:pPr>
      <w:widowControl w:val="0"/>
      <w:adjustRightInd w:val="0"/>
      <w:spacing w:line="360" w:lineRule="atLeast"/>
      <w:textAlignment w:val="baseline"/>
    </w:pPr>
    <w:rPr>
      <w:rFonts w:ascii="宋体"/>
      <w:sz w:val="24"/>
    </w:rPr>
  </w:style>
  <w:style w:type="paragraph" w:customStyle="1" w:styleId="221">
    <w:name w:val="样式 样式 正文首行缩进 + 首行缩进:  2 字符 + 首行缩进:  2 字符"/>
    <w:basedOn w:val="a1"/>
    <w:qFormat/>
    <w:pPr>
      <w:topLinePunct/>
      <w:adjustRightInd w:val="0"/>
      <w:snapToGrid w:val="0"/>
      <w:spacing w:line="360" w:lineRule="auto"/>
      <w:ind w:firstLine="480"/>
      <w:textAlignment w:val="baseline"/>
    </w:pPr>
    <w:rPr>
      <w:rFonts w:ascii="Times New Roman" w:eastAsia="Times New Roman" w:hAnsi="宋体"/>
      <w:kern w:val="0"/>
      <w:sz w:val="24"/>
      <w:szCs w:val="20"/>
    </w:rPr>
  </w:style>
  <w:style w:type="paragraph" w:customStyle="1" w:styleId="TimesNewRoman">
    <w:name w:val="样式 纯文本 + Times New Roman 四号"/>
    <w:basedOn w:val="aff1"/>
    <w:link w:val="TimesNewRomanChar"/>
    <w:qFormat/>
    <w:pPr>
      <w:spacing w:line="240" w:lineRule="auto"/>
      <w:ind w:firstLine="640"/>
    </w:pPr>
    <w:rPr>
      <w:rFonts w:ascii="Times New Roman" w:hAnsi="Times New Roman"/>
      <w:sz w:val="28"/>
      <w:szCs w:val="21"/>
    </w:rPr>
  </w:style>
  <w:style w:type="paragraph" w:customStyle="1" w:styleId="afffffffffff9">
    <w:name w:val="正文++++++++++"/>
    <w:basedOn w:val="a1"/>
    <w:link w:val="Charf"/>
    <w:qFormat/>
    <w:pPr>
      <w:ind w:firstLineChars="200" w:firstLine="534"/>
    </w:pPr>
    <w:rPr>
      <w:rFonts w:ascii="Times New Roman" w:hAnsi="Times New Roman"/>
      <w:kern w:val="0"/>
      <w:sz w:val="24"/>
      <w:szCs w:val="20"/>
    </w:rPr>
  </w:style>
  <w:style w:type="paragraph" w:customStyle="1" w:styleId="2ff9">
    <w:name w:val="样式 小四 首行缩进:  2 字符"/>
    <w:basedOn w:val="a1"/>
    <w:qFormat/>
    <w:pPr>
      <w:spacing w:line="300" w:lineRule="auto"/>
      <w:ind w:firstLineChars="200" w:firstLine="480"/>
    </w:pPr>
    <w:rPr>
      <w:rFonts w:ascii="Times New Roman" w:hAnsi="Times New Roman"/>
      <w:color w:val="000000"/>
      <w:sz w:val="24"/>
      <w:szCs w:val="20"/>
    </w:rPr>
  </w:style>
  <w:style w:type="paragraph" w:customStyle="1" w:styleId="4fa">
    <w:name w:val="标题 4 + 四号"/>
    <w:basedOn w:val="3a"/>
    <w:qFormat/>
    <w:pPr>
      <w:tabs>
        <w:tab w:val="left" w:pos="1440"/>
      </w:tabs>
      <w:spacing w:before="0"/>
      <w:ind w:left="720" w:hanging="720"/>
    </w:pPr>
    <w:rPr>
      <w:rFonts w:ascii="Times New Roman" w:hAnsi="Times New Roman"/>
      <w:kern w:val="2"/>
      <w:sz w:val="28"/>
      <w:szCs w:val="28"/>
    </w:rPr>
  </w:style>
  <w:style w:type="paragraph" w:customStyle="1" w:styleId="1196">
    <w:name w:val="样式 目录 1 + 首行缩进:  1.96 字符"/>
    <w:basedOn w:val="1c"/>
    <w:qFormat/>
    <w:pPr>
      <w:tabs>
        <w:tab w:val="left" w:pos="480"/>
        <w:tab w:val="left" w:pos="900"/>
        <w:tab w:val="right" w:leader="dot" w:pos="6375"/>
      </w:tabs>
      <w:spacing w:before="120" w:after="120"/>
      <w:ind w:leftChars="100" w:left="100" w:rightChars="100" w:right="100" w:firstLineChars="196" w:firstLine="551"/>
      <w:jc w:val="left"/>
    </w:pPr>
    <w:rPr>
      <w:rFonts w:ascii="宋体" w:hAnsi="宋体" w:cs="宋体"/>
      <w:i/>
      <w:iCs/>
      <w:caps/>
      <w:szCs w:val="21"/>
    </w:rPr>
  </w:style>
  <w:style w:type="paragraph" w:customStyle="1" w:styleId="afffffffffffa">
    <w:name w:val="表格表题"/>
    <w:basedOn w:val="a1"/>
    <w:qFormat/>
    <w:pPr>
      <w:widowControl/>
      <w:spacing w:beforeLines="50"/>
      <w:jc w:val="center"/>
    </w:pPr>
    <w:rPr>
      <w:rFonts w:ascii="宋体" w:hAnsi="宋体"/>
      <w:sz w:val="24"/>
      <w:szCs w:val="24"/>
    </w:rPr>
  </w:style>
  <w:style w:type="paragraph" w:customStyle="1" w:styleId="afffffffffffb">
    <w:name w:val="正文表头"/>
    <w:basedOn w:val="a1"/>
    <w:next w:val="affffffd"/>
    <w:qFormat/>
    <w:pPr>
      <w:keepNext/>
      <w:tabs>
        <w:tab w:val="center" w:pos="4253"/>
        <w:tab w:val="right" w:pos="8505"/>
      </w:tabs>
      <w:overflowPunct w:val="0"/>
      <w:adjustRightInd w:val="0"/>
      <w:spacing w:before="120" w:line="360" w:lineRule="auto"/>
      <w:jc w:val="center"/>
      <w:textAlignment w:val="baseline"/>
    </w:pPr>
    <w:rPr>
      <w:rFonts w:ascii="Times New Roman" w:eastAsia="黑体" w:hAnsi="Times New Roman"/>
      <w:kern w:val="0"/>
      <w:sz w:val="28"/>
      <w:szCs w:val="20"/>
    </w:rPr>
  </w:style>
  <w:style w:type="paragraph" w:customStyle="1" w:styleId="afffffffffffc">
    <w:name w:val="报告"/>
    <w:basedOn w:val="a1"/>
    <w:link w:val="Charf0"/>
    <w:qFormat/>
    <w:pPr>
      <w:spacing w:line="440" w:lineRule="exact"/>
      <w:ind w:firstLineChars="196" w:firstLine="451"/>
    </w:pPr>
    <w:rPr>
      <w:rFonts w:ascii="宋体" w:hAnsi="宋体"/>
      <w:spacing w:val="-5"/>
      <w:sz w:val="24"/>
      <w:szCs w:val="32"/>
    </w:rPr>
  </w:style>
  <w:style w:type="paragraph" w:customStyle="1" w:styleId="afffffffffffd">
    <w:name w:val="标准"/>
    <w:basedOn w:val="a1"/>
    <w:link w:val="Charf1"/>
    <w:qFormat/>
    <w:pPr>
      <w:adjustRightInd w:val="0"/>
      <w:spacing w:line="480" w:lineRule="exact"/>
      <w:textAlignment w:val="baseline"/>
    </w:pPr>
    <w:rPr>
      <w:rFonts w:ascii="Times New Roman" w:hAnsi="Times New Roman"/>
      <w:kern w:val="0"/>
      <w:sz w:val="28"/>
      <w:szCs w:val="20"/>
    </w:rPr>
  </w:style>
  <w:style w:type="paragraph" w:customStyle="1" w:styleId="1ffb">
    <w:name w:val="公式样式1"/>
    <w:basedOn w:val="a1"/>
    <w:qFormat/>
    <w:pPr>
      <w:jc w:val="center"/>
    </w:pPr>
    <w:rPr>
      <w:rFonts w:ascii="Times New Roman" w:hAnsi="Times New Roman"/>
      <w:color w:val="000000"/>
      <w:szCs w:val="24"/>
    </w:rPr>
  </w:style>
  <w:style w:type="paragraph" w:customStyle="1" w:styleId="afffffffffffe">
    <w:name w:val="特殊标题３"/>
    <w:basedOn w:val="a1"/>
    <w:qFormat/>
    <w:pPr>
      <w:overflowPunct w:val="0"/>
      <w:autoSpaceDE w:val="0"/>
      <w:autoSpaceDN w:val="0"/>
      <w:adjustRightInd w:val="0"/>
      <w:spacing w:line="360" w:lineRule="auto"/>
      <w:textAlignment w:val="baseline"/>
    </w:pPr>
    <w:rPr>
      <w:rFonts w:ascii="Times New Roman" w:eastAsia="仿宋_GB2312" w:hAnsi="Times New Roman"/>
      <w:kern w:val="0"/>
      <w:sz w:val="28"/>
      <w:szCs w:val="20"/>
    </w:rPr>
  </w:style>
  <w:style w:type="paragraph" w:customStyle="1" w:styleId="410">
    <w:name w:val="小4黑居中行1"/>
    <w:qFormat/>
    <w:pPr>
      <w:widowControl w:val="0"/>
      <w:tabs>
        <w:tab w:val="right" w:leader="middleDot" w:pos="8222"/>
      </w:tabs>
      <w:jc w:val="center"/>
    </w:pPr>
    <w:rPr>
      <w:rFonts w:ascii="仿宋_GB2312" w:eastAsia="仿宋_GB2312" w:hAnsi="宋体"/>
      <w:kern w:val="2"/>
      <w:sz w:val="24"/>
      <w:szCs w:val="24"/>
    </w:rPr>
  </w:style>
  <w:style w:type="paragraph" w:customStyle="1" w:styleId="affffffffffff">
    <w:name w:val="封面标题"/>
    <w:basedOn w:val="a1"/>
    <w:next w:val="a1"/>
    <w:qFormat/>
    <w:pPr>
      <w:tabs>
        <w:tab w:val="center" w:pos="6804"/>
        <w:tab w:val="right" w:pos="7371"/>
      </w:tabs>
      <w:overflowPunct w:val="0"/>
      <w:adjustRightInd w:val="0"/>
      <w:spacing w:line="360" w:lineRule="auto"/>
      <w:jc w:val="center"/>
      <w:textAlignment w:val="baseline"/>
    </w:pPr>
    <w:rPr>
      <w:rFonts w:ascii="Arial" w:eastAsia="黑体" w:hAnsi="Times New Roman"/>
      <w:color w:val="FF0000"/>
      <w:spacing w:val="20"/>
      <w:kern w:val="52"/>
      <w:sz w:val="72"/>
      <w:szCs w:val="20"/>
    </w:rPr>
  </w:style>
  <w:style w:type="paragraph" w:customStyle="1" w:styleId="121111111111">
    <w:name w:val="121111111111"/>
    <w:basedOn w:val="a1"/>
    <w:qFormat/>
    <w:pPr>
      <w:spacing w:line="460" w:lineRule="atLeast"/>
      <w:jc w:val="center"/>
    </w:pPr>
    <w:rPr>
      <w:rFonts w:ascii="Times New Roman" w:eastAsia="黑体" w:hAnsi="Times New Roman"/>
      <w:color w:val="000000"/>
      <w:spacing w:val="16"/>
      <w:sz w:val="24"/>
      <w:szCs w:val="24"/>
    </w:rPr>
  </w:style>
  <w:style w:type="paragraph" w:customStyle="1" w:styleId="120">
    <w:name w:val="排序（1）（2）"/>
    <w:basedOn w:val="a1"/>
    <w:qFormat/>
    <w:pPr>
      <w:spacing w:line="460" w:lineRule="atLeast"/>
    </w:pPr>
    <w:rPr>
      <w:rFonts w:ascii="Times New Roman" w:hAnsi="Times New Roman"/>
      <w:spacing w:val="12"/>
      <w:sz w:val="24"/>
      <w:szCs w:val="24"/>
    </w:rPr>
  </w:style>
  <w:style w:type="paragraph" w:customStyle="1" w:styleId="2ffa">
    <w:name w:val="样式 标题 2 + 黑体 小三"/>
    <w:basedOn w:val="2a"/>
    <w:qFormat/>
    <w:pPr>
      <w:tabs>
        <w:tab w:val="left" w:pos="851"/>
        <w:tab w:val="left" w:pos="1040"/>
      </w:tabs>
      <w:adjustRightInd w:val="0"/>
      <w:snapToGrid w:val="0"/>
      <w:spacing w:beforeLines="0" w:afterLines="0"/>
      <w:ind w:left="851" w:firstLineChars="200" w:firstLine="562"/>
      <w:jc w:val="both"/>
    </w:pPr>
    <w:rPr>
      <w:rFonts w:ascii="黑体" w:hAnsi="黑体"/>
      <w:sz w:val="28"/>
    </w:rPr>
  </w:style>
  <w:style w:type="paragraph" w:customStyle="1" w:styleId="affffffffffff0">
    <w:name w:val="表格文字左"/>
    <w:basedOn w:val="a1"/>
    <w:qFormat/>
    <w:pPr>
      <w:spacing w:line="240" w:lineRule="atLeast"/>
      <w:jc w:val="center"/>
    </w:pPr>
    <w:rPr>
      <w:rFonts w:ascii="宋体" w:hAnsi="宋体"/>
      <w:color w:val="000000"/>
      <w:kern w:val="0"/>
      <w:sz w:val="24"/>
      <w:szCs w:val="24"/>
    </w:rPr>
  </w:style>
  <w:style w:type="paragraph" w:customStyle="1" w:styleId="affffffffffff1">
    <w:name w:val="调研内容"/>
    <w:basedOn w:val="a1"/>
    <w:qFormat/>
    <w:pPr>
      <w:spacing w:line="360" w:lineRule="auto"/>
    </w:pPr>
    <w:rPr>
      <w:rFonts w:ascii="Times New Roman" w:hAnsi="Times New Roman"/>
      <w:szCs w:val="20"/>
    </w:rPr>
  </w:style>
  <w:style w:type="paragraph" w:customStyle="1" w:styleId="xl22">
    <w:name w:val="xl2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4"/>
      <w:szCs w:val="24"/>
    </w:rPr>
  </w:style>
  <w:style w:type="paragraph" w:customStyle="1" w:styleId="mytext11">
    <w:name w:val="mytext11"/>
    <w:basedOn w:val="a1"/>
    <w:qFormat/>
    <w:pPr>
      <w:widowControl/>
      <w:spacing w:before="100" w:beforeAutospacing="1" w:after="100" w:afterAutospacing="1"/>
      <w:jc w:val="left"/>
    </w:pPr>
    <w:rPr>
      <w:rFonts w:ascii="宋体" w:hAnsi="宋体" w:cs="宋体"/>
      <w:color w:val="000000"/>
      <w:kern w:val="0"/>
      <w:sz w:val="24"/>
      <w:szCs w:val="24"/>
    </w:rPr>
  </w:style>
  <w:style w:type="paragraph" w:customStyle="1" w:styleId="affffffffffff2">
    <w:name w:val="二级无标题条"/>
    <w:basedOn w:val="a1"/>
    <w:qFormat/>
    <w:rPr>
      <w:rFonts w:ascii="Times New Roman" w:hAnsi="Times New Roman"/>
      <w:szCs w:val="24"/>
    </w:rPr>
  </w:style>
  <w:style w:type="paragraph" w:customStyle="1" w:styleId="3ff1">
    <w:name w:val="正文文本3"/>
    <w:basedOn w:val="a1"/>
    <w:next w:val="a1"/>
    <w:qFormat/>
    <w:pPr>
      <w:widowControl/>
      <w:autoSpaceDE w:val="0"/>
      <w:autoSpaceDN w:val="0"/>
      <w:adjustRightInd w:val="0"/>
      <w:spacing w:before="60" w:after="60"/>
      <w:jc w:val="left"/>
    </w:pPr>
    <w:rPr>
      <w:rFonts w:ascii="宋体" w:hAnsi="Times New Roman"/>
      <w:kern w:val="0"/>
      <w:sz w:val="24"/>
      <w:szCs w:val="24"/>
      <w:lang w:eastAsia="en-US"/>
    </w:rPr>
  </w:style>
  <w:style w:type="paragraph" w:customStyle="1" w:styleId="2ffb">
    <w:name w:val="样式 标题2　自动设置"/>
    <w:basedOn w:val="2a"/>
    <w:qFormat/>
    <w:pPr>
      <w:tabs>
        <w:tab w:val="left" w:pos="0"/>
        <w:tab w:val="left" w:pos="360"/>
        <w:tab w:val="left" w:pos="851"/>
        <w:tab w:val="left" w:pos="1040"/>
      </w:tabs>
      <w:spacing w:beforeLines="0" w:afterLines="0" w:line="240" w:lineRule="auto"/>
      <w:ind w:left="851" w:hanging="567"/>
      <w:jc w:val="both"/>
    </w:pPr>
    <w:rPr>
      <w:rFonts w:ascii="宋体" w:eastAsia="宋体" w:hAnsi="宋体" w:cs="宋体"/>
      <w:sz w:val="28"/>
      <w:szCs w:val="20"/>
    </w:rPr>
  </w:style>
  <w:style w:type="paragraph" w:customStyle="1" w:styleId="333CharTimesNew3">
    <w:name w:val="样式 标题 3样式　标题 3　自动设置标题 3 Char章 + Times New 表题3"/>
    <w:basedOn w:val="3a"/>
    <w:qFormat/>
    <w:pPr>
      <w:tabs>
        <w:tab w:val="left" w:pos="360"/>
        <w:tab w:val="left" w:pos="3800"/>
        <w:tab w:val="left" w:pos="5200"/>
      </w:tabs>
      <w:autoSpaceDE w:val="0"/>
      <w:autoSpaceDN w:val="0"/>
      <w:adjustRightInd w:val="0"/>
      <w:spacing w:before="0" w:after="120" w:line="240" w:lineRule="auto"/>
    </w:pPr>
    <w:rPr>
      <w:rFonts w:ascii="Times New Roman" w:hAnsi="Times New Roman" w:cs="宋体"/>
      <w:kern w:val="2"/>
      <w:sz w:val="28"/>
      <w:szCs w:val="28"/>
    </w:rPr>
  </w:style>
  <w:style w:type="paragraph" w:customStyle="1" w:styleId="TY">
    <w:name w:val="TY"/>
    <w:basedOn w:val="a1"/>
    <w:qFormat/>
    <w:pPr>
      <w:adjustRightInd w:val="0"/>
      <w:snapToGrid w:val="0"/>
      <w:spacing w:before="40" w:after="40"/>
    </w:pPr>
    <w:rPr>
      <w:rFonts w:ascii="Times New Roman" w:hAnsi="Times New Roman"/>
      <w:szCs w:val="20"/>
    </w:rPr>
  </w:style>
  <w:style w:type="paragraph" w:customStyle="1" w:styleId="affffffffffff3">
    <w:name w:val="报告书"/>
    <w:basedOn w:val="a1"/>
    <w:qFormat/>
    <w:pPr>
      <w:adjustRightInd w:val="0"/>
      <w:snapToGrid w:val="0"/>
      <w:spacing w:beforeLines="50" w:afterLines="50" w:line="312" w:lineRule="auto"/>
      <w:jc w:val="center"/>
    </w:pPr>
    <w:rPr>
      <w:rFonts w:ascii="Times" w:eastAsia="黑体" w:hAnsi="Times"/>
      <w:snapToGrid w:val="0"/>
      <w:spacing w:val="16"/>
      <w:kern w:val="0"/>
      <w:sz w:val="72"/>
      <w:szCs w:val="24"/>
    </w:rPr>
  </w:style>
  <w:style w:type="paragraph" w:customStyle="1" w:styleId="affffffffffff4">
    <w:name w:val="表格内容居中"/>
    <w:basedOn w:val="a1"/>
    <w:qFormat/>
    <w:pPr>
      <w:overflowPunct w:val="0"/>
      <w:adjustRightInd w:val="0"/>
      <w:snapToGrid w:val="0"/>
      <w:spacing w:line="460" w:lineRule="exact"/>
      <w:jc w:val="center"/>
      <w:textAlignment w:val="baseline"/>
    </w:pPr>
    <w:rPr>
      <w:rFonts w:ascii="仿宋_GB2312" w:eastAsia="仿宋_GB2312" w:hAnsi="宋体"/>
      <w:spacing w:val="12"/>
      <w:kern w:val="0"/>
      <w:szCs w:val="21"/>
    </w:rPr>
  </w:style>
  <w:style w:type="paragraph" w:customStyle="1" w:styleId="00">
    <w:name w:val="0"/>
    <w:basedOn w:val="a1"/>
    <w:qFormat/>
    <w:pPr>
      <w:widowControl/>
      <w:snapToGrid w:val="0"/>
      <w:spacing w:line="365" w:lineRule="atLeast"/>
      <w:ind w:left="1"/>
      <w:textAlignment w:val="bottom"/>
    </w:pPr>
    <w:rPr>
      <w:rFonts w:ascii="Times New Roman" w:hAnsi="Times New Roman"/>
      <w:kern w:val="0"/>
      <w:sz w:val="20"/>
      <w:szCs w:val="20"/>
    </w:rPr>
  </w:style>
  <w:style w:type="paragraph" w:customStyle="1" w:styleId="1ffc">
    <w:name w:val="表格内容1"/>
    <w:basedOn w:val="aff1"/>
    <w:qFormat/>
    <w:pPr>
      <w:tabs>
        <w:tab w:val="left" w:pos="2880"/>
      </w:tabs>
      <w:adjustRightInd w:val="0"/>
      <w:snapToGrid w:val="0"/>
      <w:spacing w:line="240" w:lineRule="auto"/>
      <w:ind w:firstLineChars="0" w:firstLine="0"/>
      <w:jc w:val="center"/>
    </w:pPr>
    <w:rPr>
      <w:rFonts w:ascii="Times New Roman" w:hAnsi="Times New Roman"/>
      <w:bCs/>
      <w:sz w:val="18"/>
      <w:szCs w:val="21"/>
    </w:rPr>
  </w:style>
  <w:style w:type="paragraph" w:customStyle="1" w:styleId="xl82">
    <w:name w:val="xl82"/>
    <w:basedOn w:val="a1"/>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MTDisplayEquation">
    <w:name w:val="MTDisplayEquation"/>
    <w:basedOn w:val="a1"/>
    <w:next w:val="a1"/>
    <w:qFormat/>
    <w:pPr>
      <w:tabs>
        <w:tab w:val="center" w:pos="4160"/>
        <w:tab w:val="right" w:pos="8320"/>
      </w:tabs>
      <w:spacing w:line="460" w:lineRule="exact"/>
      <w:ind w:firstLineChars="200" w:firstLine="420"/>
    </w:pPr>
    <w:rPr>
      <w:rFonts w:ascii="方正宋三简体" w:hAnsi="Times New Roman"/>
      <w:szCs w:val="24"/>
    </w:rPr>
  </w:style>
  <w:style w:type="paragraph" w:customStyle="1" w:styleId="212">
    <w:name w:val="样式 首行缩进:  2 字符1"/>
    <w:basedOn w:val="a1"/>
    <w:qFormat/>
    <w:pPr>
      <w:ind w:firstLineChars="200" w:firstLine="560"/>
    </w:pPr>
    <w:rPr>
      <w:rFonts w:ascii="Times New Roman" w:hAnsi="Times New Roman" w:cs="宋体"/>
      <w:sz w:val="28"/>
      <w:szCs w:val="20"/>
    </w:rPr>
  </w:style>
  <w:style w:type="paragraph" w:customStyle="1" w:styleId="ParaCharCharChar1CharCharCharChar">
    <w:name w:val="默认段落字体 Para Char Char Char1 Char Char Char Char"/>
    <w:basedOn w:val="a1"/>
    <w:qFormat/>
    <w:rPr>
      <w:rFonts w:ascii="Times New Roman" w:hAnsi="Times New Roman"/>
      <w:sz w:val="24"/>
      <w:szCs w:val="24"/>
    </w:rPr>
  </w:style>
  <w:style w:type="paragraph" w:customStyle="1" w:styleId="7f0">
    <w:name w:val="正文7"/>
    <w:qFormat/>
    <w:pPr>
      <w:widowControl w:val="0"/>
      <w:adjustRightInd w:val="0"/>
      <w:spacing w:line="360" w:lineRule="atLeast"/>
      <w:textAlignment w:val="baseline"/>
    </w:pPr>
    <w:rPr>
      <w:rFonts w:ascii="宋体"/>
      <w:sz w:val="24"/>
    </w:rPr>
  </w:style>
  <w:style w:type="paragraph" w:customStyle="1" w:styleId="affffffffffff5">
    <w:name w:val="报告正文"/>
    <w:basedOn w:val="a1"/>
    <w:link w:val="Charf2"/>
    <w:qFormat/>
    <w:pPr>
      <w:tabs>
        <w:tab w:val="left" w:pos="0"/>
      </w:tabs>
      <w:spacing w:line="360" w:lineRule="auto"/>
      <w:ind w:firstLineChars="200" w:firstLine="200"/>
    </w:pPr>
    <w:rPr>
      <w:rFonts w:ascii="Times New Roman" w:hAnsi="Times New Roman"/>
      <w:color w:val="000000"/>
      <w:kern w:val="0"/>
      <w:sz w:val="24"/>
      <w:szCs w:val="24"/>
    </w:rPr>
  </w:style>
  <w:style w:type="paragraph" w:customStyle="1" w:styleId="3ff2">
    <w:name w:val="报告标题3"/>
    <w:basedOn w:val="3a"/>
    <w:qFormat/>
    <w:pPr>
      <w:tabs>
        <w:tab w:val="left" w:pos="0"/>
      </w:tabs>
      <w:spacing w:before="0" w:after="0" w:line="360" w:lineRule="auto"/>
      <w:jc w:val="left"/>
    </w:pPr>
    <w:rPr>
      <w:rFonts w:ascii="Arial" w:hAnsi="Arial"/>
      <w:bCs w:val="0"/>
      <w:color w:val="000000"/>
      <w:kern w:val="2"/>
      <w:sz w:val="24"/>
    </w:rPr>
  </w:style>
  <w:style w:type="paragraph" w:customStyle="1" w:styleId="223">
    <w:name w:val="样式 正文 + 首行缩进:  2 字符 + 宋体 四号 首行缩进:  2 字符"/>
    <w:basedOn w:val="a1"/>
    <w:qFormat/>
    <w:pPr>
      <w:spacing w:line="480" w:lineRule="exact"/>
      <w:ind w:firstLineChars="200" w:firstLine="200"/>
    </w:pPr>
    <w:rPr>
      <w:rFonts w:ascii="宋体" w:hAnsi="宋体"/>
      <w:sz w:val="28"/>
      <w:szCs w:val="20"/>
    </w:rPr>
  </w:style>
  <w:style w:type="paragraph" w:customStyle="1" w:styleId="CharCharCharCharCharCharCharCharCharCharCharChar1CharCharCharCharCharCharCharCharCharCharCharChar1Char">
    <w:name w:val="Char Char Char Char Char Char Char Char Char Char Char Char1 Char Char Char Char Char Char Char Char Char Char Char Char1 Char"/>
    <w:basedOn w:val="a1"/>
    <w:next w:val="a1"/>
    <w:semiHidden/>
    <w:qFormat/>
    <w:pPr>
      <w:spacing w:line="336" w:lineRule="auto"/>
      <w:ind w:firstLineChars="200" w:firstLine="200"/>
    </w:pPr>
    <w:rPr>
      <w:rFonts w:ascii="宋体" w:eastAsia="汉鼎简书宋" w:hAnsi="宋体" w:cs="宋体"/>
      <w:sz w:val="24"/>
      <w:szCs w:val="24"/>
    </w:rPr>
  </w:style>
  <w:style w:type="paragraph" w:customStyle="1" w:styleId="affffffffffff6">
    <w:name w:val="正文格式"/>
    <w:basedOn w:val="afffe"/>
    <w:link w:val="Charf3"/>
    <w:qFormat/>
    <w:pPr>
      <w:spacing w:line="460" w:lineRule="exact"/>
      <w:ind w:firstLineChars="200" w:firstLine="480"/>
      <w:jc w:val="left"/>
    </w:pPr>
    <w:rPr>
      <w:sz w:val="24"/>
      <w:szCs w:val="20"/>
    </w:rPr>
  </w:style>
  <w:style w:type="paragraph" w:customStyle="1" w:styleId="09366181">
    <w:name w:val="样式 (符号) 宋体 首行缩进:  0.93 厘米 段前: 6 磅 段后: 6 磅 行距: 固定值 18 磅1"/>
    <w:basedOn w:val="a1"/>
    <w:qFormat/>
    <w:pPr>
      <w:spacing w:before="160" w:after="160" w:line="320" w:lineRule="exact"/>
      <w:ind w:firstLine="527"/>
    </w:pPr>
    <w:rPr>
      <w:rFonts w:ascii="Times New Roman" w:hAnsi="宋体"/>
      <w:sz w:val="24"/>
      <w:szCs w:val="20"/>
    </w:rPr>
  </w:style>
  <w:style w:type="paragraph" w:customStyle="1" w:styleId="075">
    <w:name w:val="样式  + 首行缩进:  0.75 厘米"/>
    <w:basedOn w:val="a1"/>
    <w:qFormat/>
    <w:pPr>
      <w:ind w:firstLine="425"/>
      <w:jc w:val="left"/>
    </w:pPr>
    <w:rPr>
      <w:rFonts w:ascii="Times New Roman" w:hAnsi="Times New Roman"/>
      <w:bCs/>
      <w:sz w:val="24"/>
      <w:szCs w:val="24"/>
    </w:rPr>
  </w:style>
  <w:style w:type="paragraph" w:customStyle="1" w:styleId="CharCharCharCharCharChar1Char1">
    <w:name w:val="Char Char Char Char Char Char1 Char1"/>
    <w:basedOn w:val="a1"/>
    <w:qFormat/>
    <w:rPr>
      <w:rFonts w:ascii="Times New Roman" w:hAnsi="Times New Roman"/>
      <w:szCs w:val="24"/>
    </w:rPr>
  </w:style>
  <w:style w:type="paragraph" w:customStyle="1" w:styleId="affffffffffff7">
    <w:name w:val="表内格式"/>
    <w:basedOn w:val="a1"/>
    <w:link w:val="Char13"/>
    <w:qFormat/>
    <w:pPr>
      <w:jc w:val="center"/>
    </w:pPr>
    <w:rPr>
      <w:rFonts w:ascii="Times New Roman" w:hAnsi="Times New Roman"/>
      <w:kern w:val="0"/>
      <w:sz w:val="18"/>
      <w:szCs w:val="20"/>
    </w:rPr>
  </w:style>
  <w:style w:type="paragraph" w:customStyle="1" w:styleId="1ffd">
    <w:name w:val="表头样式1"/>
    <w:basedOn w:val="a1"/>
    <w:link w:val="1Char12"/>
    <w:qFormat/>
    <w:pPr>
      <w:spacing w:beforeLines="50"/>
      <w:jc w:val="center"/>
    </w:pPr>
    <w:rPr>
      <w:rFonts w:ascii="Times New Roman" w:eastAsia="黑体" w:hAnsi="Times New Roman"/>
      <w:b/>
      <w:kern w:val="0"/>
      <w:sz w:val="24"/>
      <w:szCs w:val="20"/>
    </w:rPr>
  </w:style>
  <w:style w:type="paragraph" w:customStyle="1" w:styleId="4fb">
    <w:name w:val="文章标题4"/>
    <w:basedOn w:val="a1"/>
    <w:qFormat/>
    <w:pPr>
      <w:spacing w:line="440" w:lineRule="exact"/>
    </w:pPr>
    <w:rPr>
      <w:b/>
      <w:sz w:val="24"/>
      <w:szCs w:val="21"/>
    </w:rPr>
  </w:style>
  <w:style w:type="paragraph" w:customStyle="1" w:styleId="affffffffffff8">
    <w:name w:val="表格正文"/>
    <w:link w:val="Charf4"/>
    <w:qFormat/>
    <w:pPr>
      <w:widowControl w:val="0"/>
      <w:spacing w:line="360" w:lineRule="exact"/>
      <w:ind w:firstLine="85"/>
      <w:jc w:val="center"/>
    </w:pPr>
    <w:rPr>
      <w:rFonts w:ascii="宋体" w:hAnsi="宋体"/>
      <w:bCs/>
      <w:szCs w:val="21"/>
    </w:rPr>
  </w:style>
  <w:style w:type="paragraph" w:customStyle="1" w:styleId="TimesNewRoman22">
    <w:name w:val="样式 样式 样式 样式 纯文本 + Times New Roman + 首行缩进:  2 字符 + 首行缩进:  2 字符 + ..."/>
    <w:basedOn w:val="a1"/>
    <w:qFormat/>
    <w:pPr>
      <w:adjustRightInd w:val="0"/>
      <w:spacing w:line="360" w:lineRule="auto"/>
      <w:ind w:firstLineChars="200" w:firstLine="482"/>
    </w:pPr>
    <w:rPr>
      <w:rFonts w:ascii="Arial" w:hAnsi="Arial"/>
      <w:bCs/>
      <w:sz w:val="24"/>
      <w:szCs w:val="20"/>
    </w:rPr>
  </w:style>
  <w:style w:type="paragraph" w:customStyle="1" w:styleId="affffffffffff9">
    <w:name w:val="初设正文"/>
    <w:basedOn w:val="a1"/>
    <w:qFormat/>
    <w:pPr>
      <w:spacing w:after="120" w:line="440" w:lineRule="exact"/>
      <w:ind w:left="425" w:firstLine="425"/>
    </w:pPr>
    <w:rPr>
      <w:rFonts w:ascii="Arial" w:hAnsi="Arial"/>
      <w:kern w:val="0"/>
      <w:sz w:val="24"/>
      <w:szCs w:val="20"/>
    </w:rPr>
  </w:style>
  <w:style w:type="paragraph" w:customStyle="1" w:styleId="07415">
    <w:name w:val="样式 宋体 小四 首行缩进:  0.74 厘米 行距: 1.5 倍行距"/>
    <w:basedOn w:val="a1"/>
    <w:qFormat/>
    <w:pPr>
      <w:tabs>
        <w:tab w:val="left" w:pos="885"/>
      </w:tabs>
      <w:spacing w:line="360" w:lineRule="auto"/>
      <w:ind w:left="885" w:hanging="405"/>
    </w:pPr>
    <w:rPr>
      <w:rFonts w:ascii="Arial" w:hAnsi="Arial"/>
      <w:sz w:val="24"/>
      <w:szCs w:val="24"/>
    </w:rPr>
  </w:style>
  <w:style w:type="paragraph" w:customStyle="1" w:styleId="Char14">
    <w:name w:val="Char1"/>
    <w:basedOn w:val="a1"/>
    <w:qFormat/>
    <w:pPr>
      <w:spacing w:line="360" w:lineRule="auto"/>
      <w:ind w:firstLineChars="200" w:firstLine="200"/>
    </w:pPr>
    <w:rPr>
      <w:rFonts w:ascii="宋体" w:hAnsi="宋体" w:cs="宋体"/>
      <w:sz w:val="24"/>
      <w:szCs w:val="24"/>
    </w:rPr>
  </w:style>
  <w:style w:type="paragraph" w:customStyle="1" w:styleId="affffffffffffa">
    <w:name w:val="字元 字元"/>
    <w:basedOn w:val="a1"/>
    <w:qFormat/>
    <w:pPr>
      <w:widowControl/>
      <w:jc w:val="left"/>
    </w:pPr>
    <w:rPr>
      <w:rFonts w:ascii="宋体" w:hAnsi="宋体" w:cs="宋体"/>
      <w:kern w:val="0"/>
      <w:sz w:val="24"/>
      <w:szCs w:val="24"/>
    </w:rPr>
  </w:style>
  <w:style w:type="paragraph" w:customStyle="1" w:styleId="1ffe">
    <w:name w:val="1）"/>
    <w:basedOn w:val="a1"/>
    <w:qFormat/>
    <w:pPr>
      <w:spacing w:line="440" w:lineRule="exact"/>
      <w:ind w:firstLine="454"/>
    </w:pPr>
    <w:rPr>
      <w:rFonts w:ascii="宋体" w:hAnsi="Times New Roman"/>
      <w:sz w:val="24"/>
      <w:szCs w:val="24"/>
    </w:rPr>
  </w:style>
  <w:style w:type="paragraph" w:customStyle="1" w:styleId="affffffffffffb">
    <w:name w:val="样式表"/>
    <w:basedOn w:val="ae"/>
    <w:link w:val="Charf5"/>
    <w:qFormat/>
    <w:pPr>
      <w:widowControl/>
      <w:spacing w:beforeLines="50" w:afterLines="50"/>
      <w:jc w:val="center"/>
    </w:pPr>
    <w:rPr>
      <w:rFonts w:ascii="Times New Roman" w:hAnsi="Times New Roman"/>
      <w:color w:val="000000"/>
      <w:sz w:val="24"/>
      <w:szCs w:val="24"/>
    </w:rPr>
  </w:style>
  <w:style w:type="paragraph" w:customStyle="1" w:styleId="affffffffffffc">
    <w:name w:val="报告正文文字"/>
    <w:basedOn w:val="a1"/>
    <w:qFormat/>
    <w:pPr>
      <w:widowControl/>
      <w:autoSpaceDE w:val="0"/>
      <w:autoSpaceDN w:val="0"/>
      <w:spacing w:line="360" w:lineRule="auto"/>
      <w:ind w:firstLineChars="200" w:firstLine="480"/>
    </w:pPr>
    <w:rPr>
      <w:rFonts w:ascii="宋体" w:hAnsi="宋体"/>
      <w:color w:val="000000"/>
      <w:spacing w:val="4"/>
      <w:kern w:val="0"/>
      <w:sz w:val="24"/>
      <w:szCs w:val="20"/>
    </w:rPr>
  </w:style>
  <w:style w:type="paragraph" w:customStyle="1" w:styleId="affffffffffffd">
    <w:name w:val="文字"/>
    <w:basedOn w:val="a1"/>
    <w:semiHidden/>
    <w:qFormat/>
    <w:pPr>
      <w:widowControl/>
      <w:spacing w:line="360" w:lineRule="auto"/>
      <w:ind w:firstLineChars="200" w:firstLine="482"/>
    </w:pPr>
    <w:rPr>
      <w:rFonts w:ascii="Arial" w:hAnsi="Arial"/>
      <w:snapToGrid w:val="0"/>
      <w:color w:val="000000"/>
      <w:kern w:val="28"/>
      <w:sz w:val="24"/>
      <w:szCs w:val="20"/>
    </w:rPr>
  </w:style>
  <w:style w:type="paragraph" w:customStyle="1" w:styleId="affffffffffffe">
    <w:name w:val="样式 样式表格"/>
    <w:basedOn w:val="afffffffffffff"/>
    <w:qFormat/>
    <w:pPr>
      <w:jc w:val="center"/>
    </w:pPr>
    <w:rPr>
      <w:rFonts w:cs="宋体"/>
      <w:szCs w:val="20"/>
    </w:rPr>
  </w:style>
  <w:style w:type="paragraph" w:customStyle="1" w:styleId="afffffffffffff">
    <w:name w:val="样式表格"/>
    <w:basedOn w:val="a1"/>
    <w:qFormat/>
    <w:pPr>
      <w:widowControl/>
      <w:spacing w:line="360" w:lineRule="auto"/>
      <w:ind w:firstLineChars="200" w:firstLine="420"/>
    </w:pPr>
    <w:rPr>
      <w:rFonts w:ascii="Times New Roman" w:hAnsi="Times New Roman"/>
      <w:color w:val="000000"/>
      <w:kern w:val="0"/>
      <w:sz w:val="24"/>
      <w:szCs w:val="24"/>
    </w:rPr>
  </w:style>
  <w:style w:type="paragraph" w:customStyle="1" w:styleId="afffffffffffff0">
    <w:name w:val="样式 样式表格 + 居中"/>
    <w:basedOn w:val="afffffffffffff"/>
    <w:qFormat/>
    <w:pPr>
      <w:jc w:val="center"/>
    </w:pPr>
    <w:rPr>
      <w:rFonts w:cs="宋体"/>
      <w:szCs w:val="20"/>
    </w:rPr>
  </w:style>
  <w:style w:type="paragraph" w:customStyle="1" w:styleId="1fff">
    <w:name w:val="表格文字最后1行"/>
    <w:next w:val="a1"/>
    <w:qFormat/>
    <w:pPr>
      <w:spacing w:afterLines="20" w:line="264" w:lineRule="auto"/>
      <w:jc w:val="center"/>
    </w:pPr>
    <w:rPr>
      <w:rFonts w:eastAsia="仿宋_GB2312"/>
      <w:kern w:val="2"/>
      <w:sz w:val="21"/>
      <w:szCs w:val="24"/>
    </w:rPr>
  </w:style>
  <w:style w:type="paragraph" w:customStyle="1" w:styleId="2ffc">
    <w:name w:val="样式 样式表格 + 首行缩进:  2 字符"/>
    <w:basedOn w:val="afffffffffffff"/>
    <w:qFormat/>
    <w:rPr>
      <w:rFonts w:cs="宋体"/>
      <w:kern w:val="2"/>
      <w:szCs w:val="20"/>
    </w:rPr>
  </w:style>
  <w:style w:type="paragraph" w:customStyle="1" w:styleId="Charf6">
    <w:name w:val="文本框五号加粗 Char"/>
    <w:next w:val="a1"/>
    <w:qFormat/>
    <w:pPr>
      <w:spacing w:line="300" w:lineRule="auto"/>
      <w:jc w:val="center"/>
    </w:pPr>
    <w:rPr>
      <w:rFonts w:eastAsia="仿宋_GB2312"/>
      <w:b/>
      <w:kern w:val="2"/>
      <w:sz w:val="21"/>
      <w:szCs w:val="24"/>
    </w:rPr>
  </w:style>
  <w:style w:type="paragraph" w:customStyle="1" w:styleId="wtext">
    <w:name w:val="wtext"/>
    <w:basedOn w:val="a1"/>
    <w:qFormat/>
    <w:pPr>
      <w:widowControl/>
      <w:spacing w:before="100" w:beforeAutospacing="1" w:after="100" w:afterAutospacing="1" w:line="360" w:lineRule="auto"/>
      <w:ind w:firstLineChars="200" w:firstLine="480"/>
    </w:pPr>
    <w:rPr>
      <w:rFonts w:ascii="Arial" w:hAnsi="Arial" w:cs="Arial"/>
      <w:kern w:val="0"/>
      <w:sz w:val="24"/>
      <w:szCs w:val="24"/>
    </w:rPr>
  </w:style>
  <w:style w:type="paragraph" w:customStyle="1" w:styleId="Charf7">
    <w:name w:val="表 头 Char"/>
    <w:basedOn w:val="a1"/>
    <w:qFormat/>
    <w:pPr>
      <w:adjustRightInd w:val="0"/>
      <w:spacing w:before="120" w:after="120" w:line="360" w:lineRule="atLeast"/>
      <w:ind w:firstLineChars="200" w:firstLine="420"/>
      <w:jc w:val="center"/>
    </w:pPr>
    <w:rPr>
      <w:rFonts w:ascii="Times New Roman" w:eastAsia="黑体" w:hAnsi="Times New Roman"/>
      <w:spacing w:val="10"/>
      <w:kern w:val="0"/>
      <w:sz w:val="24"/>
      <w:szCs w:val="20"/>
    </w:rPr>
  </w:style>
  <w:style w:type="paragraph" w:customStyle="1" w:styleId="afffffffffffff1">
    <w:name w:val="表格文字独行"/>
    <w:next w:val="a1"/>
    <w:qFormat/>
    <w:pPr>
      <w:spacing w:beforeLines="20" w:afterLines="20" w:line="264" w:lineRule="auto"/>
      <w:jc w:val="center"/>
    </w:pPr>
    <w:rPr>
      <w:rFonts w:eastAsia="仿宋_GB2312"/>
      <w:sz w:val="21"/>
      <w:szCs w:val="24"/>
    </w:rPr>
  </w:style>
  <w:style w:type="paragraph" w:customStyle="1" w:styleId="ParaCharCharCharCharCharChar1CharCharCharChar">
    <w:name w:val="默认段落字体 Para Char Char Char Char Char Char1 Char Char Char Char"/>
    <w:basedOn w:val="a1"/>
    <w:qFormat/>
    <w:pPr>
      <w:snapToGrid w:val="0"/>
      <w:spacing w:line="360" w:lineRule="auto"/>
      <w:ind w:firstLineChars="200" w:firstLine="200"/>
    </w:pPr>
    <w:rPr>
      <w:rFonts w:ascii="Times New Roman" w:eastAsia="仿宋_GB2312" w:hAnsi="Times New Roman"/>
      <w:sz w:val="24"/>
      <w:szCs w:val="24"/>
    </w:rPr>
  </w:style>
  <w:style w:type="paragraph" w:customStyle="1" w:styleId="1fff0">
    <w:name w:val="表格文字第1行"/>
    <w:next w:val="a1"/>
    <w:qFormat/>
    <w:pPr>
      <w:spacing w:beforeLines="20" w:line="264" w:lineRule="auto"/>
      <w:jc w:val="center"/>
    </w:pPr>
    <w:rPr>
      <w:rFonts w:eastAsia="仿宋_GB2312"/>
      <w:kern w:val="2"/>
      <w:sz w:val="21"/>
      <w:szCs w:val="24"/>
    </w:rPr>
  </w:style>
  <w:style w:type="paragraph" w:customStyle="1" w:styleId="2ffd">
    <w:name w:val="正文2"/>
    <w:basedOn w:val="a1"/>
    <w:link w:val="2Char0"/>
    <w:qFormat/>
    <w:pPr>
      <w:adjustRightInd w:val="0"/>
      <w:spacing w:line="312" w:lineRule="atLeast"/>
      <w:ind w:firstLineChars="200" w:firstLine="420"/>
      <w:jc w:val="center"/>
    </w:pPr>
    <w:rPr>
      <w:rFonts w:ascii="Times New Roman" w:hAnsi="Times New Roman"/>
      <w:kern w:val="0"/>
      <w:sz w:val="24"/>
      <w:szCs w:val="20"/>
    </w:rPr>
  </w:style>
  <w:style w:type="paragraph" w:customStyle="1" w:styleId="afffffffffffff2">
    <w:name w:val="表文左对齐"/>
    <w:basedOn w:val="a1"/>
    <w:qFormat/>
    <w:pPr>
      <w:adjustRightInd w:val="0"/>
      <w:snapToGrid w:val="0"/>
      <w:spacing w:line="360" w:lineRule="exact"/>
      <w:ind w:firstLineChars="200" w:hanging="2"/>
      <w:jc w:val="center"/>
    </w:pPr>
    <w:rPr>
      <w:rFonts w:ascii="Times New Roman" w:hAnsi="宋体"/>
      <w:sz w:val="24"/>
      <w:szCs w:val="24"/>
    </w:rPr>
  </w:style>
  <w:style w:type="paragraph" w:customStyle="1" w:styleId="afffffffffffff3">
    <w:name w:val="a"/>
    <w:basedOn w:val="a1"/>
    <w:qFormat/>
    <w:pPr>
      <w:widowControl/>
      <w:spacing w:before="100" w:beforeAutospacing="1" w:after="100" w:afterAutospacing="1" w:line="360" w:lineRule="auto"/>
      <w:ind w:firstLineChars="200" w:firstLine="420"/>
    </w:pPr>
    <w:rPr>
      <w:rFonts w:ascii="宋体" w:hAnsi="宋体" w:cs="宋体"/>
      <w:kern w:val="0"/>
      <w:sz w:val="24"/>
      <w:szCs w:val="24"/>
    </w:rPr>
  </w:style>
  <w:style w:type="paragraph" w:customStyle="1" w:styleId="afffffffffffff4">
    <w:name w:val="样式 样式表格 +"/>
    <w:basedOn w:val="afffffffffffff"/>
    <w:qFormat/>
    <w:pPr>
      <w:jc w:val="left"/>
    </w:pPr>
    <w:rPr>
      <w:rFonts w:cs="宋体"/>
      <w:szCs w:val="20"/>
    </w:rPr>
  </w:style>
  <w:style w:type="paragraph" w:customStyle="1" w:styleId="afffffffffffff5">
    <w:name w:val="表的格式（小四）"/>
    <w:basedOn w:val="a1"/>
    <w:qFormat/>
    <w:pPr>
      <w:adjustRightInd w:val="0"/>
      <w:spacing w:line="360" w:lineRule="atLeast"/>
      <w:ind w:firstLineChars="200" w:firstLine="420"/>
    </w:pPr>
    <w:rPr>
      <w:rFonts w:ascii="Times New Roman" w:hAnsi="Times New Roman"/>
      <w:color w:val="000000"/>
      <w:kern w:val="0"/>
      <w:sz w:val="24"/>
      <w:szCs w:val="20"/>
    </w:rPr>
  </w:style>
  <w:style w:type="paragraph" w:customStyle="1" w:styleId="afffffffffffff6">
    <w:name w:val="表、图名宋旭峰"/>
    <w:basedOn w:val="a1"/>
    <w:link w:val="Charf8"/>
    <w:qFormat/>
    <w:pPr>
      <w:spacing w:beforeLines="50" w:line="360" w:lineRule="auto"/>
      <w:ind w:firstLineChars="200" w:firstLine="420"/>
    </w:pPr>
    <w:rPr>
      <w:rFonts w:ascii="黑体" w:eastAsia="黑体" w:hAnsi="Times New Roman"/>
      <w:color w:val="000000"/>
      <w:kern w:val="0"/>
      <w:sz w:val="24"/>
      <w:szCs w:val="24"/>
    </w:rPr>
  </w:style>
  <w:style w:type="paragraph" w:customStyle="1" w:styleId="afffffffffffff7">
    <w:name w:val="表体宋旭峰"/>
    <w:basedOn w:val="a1"/>
    <w:link w:val="Charf9"/>
    <w:qFormat/>
    <w:pPr>
      <w:overflowPunct w:val="0"/>
      <w:spacing w:line="280" w:lineRule="atLeast"/>
      <w:ind w:firstLineChars="200" w:firstLine="420"/>
      <w:textAlignment w:val="baseline"/>
    </w:pPr>
    <w:rPr>
      <w:rFonts w:ascii="Times New Roman" w:hAnsi="Courier New"/>
      <w:snapToGrid w:val="0"/>
      <w:color w:val="000000"/>
      <w:kern w:val="24"/>
      <w:sz w:val="18"/>
      <w:szCs w:val="20"/>
    </w:rPr>
  </w:style>
  <w:style w:type="paragraph" w:customStyle="1" w:styleId="font14">
    <w:name w:val="font14"/>
    <w:basedOn w:val="a1"/>
    <w:qFormat/>
    <w:pPr>
      <w:widowControl/>
      <w:spacing w:before="100" w:beforeAutospacing="1" w:after="100" w:afterAutospacing="1" w:line="360" w:lineRule="auto"/>
      <w:ind w:firstLineChars="200" w:firstLine="420"/>
    </w:pPr>
    <w:rPr>
      <w:rFonts w:ascii="Times New Roman" w:hAnsi="Times New Roman"/>
      <w:color w:val="0000FF"/>
      <w:kern w:val="0"/>
      <w:sz w:val="24"/>
      <w:szCs w:val="24"/>
    </w:rPr>
  </w:style>
  <w:style w:type="paragraph" w:customStyle="1" w:styleId="CharChar3">
    <w:name w:val="文本匡小五号 Char Char"/>
    <w:qFormat/>
    <w:pPr>
      <w:jc w:val="center"/>
    </w:pPr>
    <w:rPr>
      <w:rFonts w:eastAsia="仿宋_GB2312"/>
      <w:sz w:val="18"/>
      <w:szCs w:val="24"/>
    </w:rPr>
  </w:style>
  <w:style w:type="paragraph" w:customStyle="1" w:styleId="afffffffffffff8">
    <w:name w:val="表格五号两端齐"/>
    <w:basedOn w:val="a1"/>
    <w:qFormat/>
    <w:pPr>
      <w:widowControl/>
      <w:spacing w:beforeLines="20" w:afterLines="20" w:line="264" w:lineRule="auto"/>
      <w:ind w:firstLineChars="200" w:firstLine="420"/>
    </w:pPr>
    <w:rPr>
      <w:rFonts w:ascii="Times New Roman" w:eastAsia="仿宋_GB2312" w:hAnsi="Times New Roman"/>
      <w:color w:val="000000"/>
      <w:kern w:val="0"/>
      <w:sz w:val="24"/>
      <w:szCs w:val="24"/>
    </w:rPr>
  </w:style>
  <w:style w:type="paragraph" w:customStyle="1" w:styleId="afffffffffffff9">
    <w:name w:val="文本框；六号"/>
    <w:basedOn w:val="CharChar3"/>
    <w:qFormat/>
    <w:rPr>
      <w:sz w:val="15"/>
    </w:rPr>
  </w:style>
  <w:style w:type="paragraph" w:customStyle="1" w:styleId="1fff1">
    <w:name w:val="样式 段落1 + 红色"/>
    <w:basedOn w:val="1ff6"/>
    <w:qFormat/>
    <w:pPr>
      <w:widowControl/>
      <w:tabs>
        <w:tab w:val="left" w:pos="180"/>
        <w:tab w:val="left" w:pos="3420"/>
        <w:tab w:val="left" w:pos="4140"/>
        <w:tab w:val="left" w:pos="5580"/>
      </w:tabs>
      <w:adjustRightInd/>
      <w:spacing w:line="360" w:lineRule="auto"/>
      <w:ind w:firstLineChars="200" w:firstLine="480"/>
      <w:textAlignment w:val="auto"/>
    </w:pPr>
    <w:rPr>
      <w:spacing w:val="0"/>
      <w:szCs w:val="24"/>
    </w:rPr>
  </w:style>
  <w:style w:type="paragraph" w:customStyle="1" w:styleId="xl76">
    <w:name w:val="xl76"/>
    <w:basedOn w:val="a1"/>
    <w:qFormat/>
    <w:pPr>
      <w:widowControl/>
      <w:pBdr>
        <w:bottom w:val="single" w:sz="12" w:space="0" w:color="auto"/>
      </w:pBdr>
      <w:spacing w:before="100" w:beforeAutospacing="1" w:after="100" w:afterAutospacing="1" w:line="360" w:lineRule="auto"/>
      <w:ind w:firstLineChars="200" w:firstLine="420"/>
    </w:pPr>
    <w:rPr>
      <w:rFonts w:ascii="宋体" w:hAnsi="宋体" w:cs="宋体"/>
      <w:kern w:val="0"/>
      <w:sz w:val="24"/>
      <w:szCs w:val="24"/>
    </w:rPr>
  </w:style>
  <w:style w:type="paragraph" w:customStyle="1" w:styleId="xl77">
    <w:name w:val="xl77"/>
    <w:basedOn w:val="a1"/>
    <w:qFormat/>
    <w:pPr>
      <w:widowControl/>
      <w:pBdr>
        <w:bottom w:val="single" w:sz="8" w:space="0" w:color="auto"/>
        <w:right w:val="single" w:sz="8" w:space="0" w:color="auto"/>
      </w:pBdr>
      <w:spacing w:before="100" w:beforeAutospacing="1" w:after="100" w:afterAutospacing="1" w:line="360" w:lineRule="auto"/>
      <w:ind w:firstLineChars="200" w:firstLine="420"/>
    </w:pPr>
    <w:rPr>
      <w:rFonts w:ascii="Times New Roman" w:hAnsi="Times New Roman"/>
      <w:color w:val="FF0000"/>
      <w:kern w:val="0"/>
      <w:sz w:val="24"/>
      <w:szCs w:val="24"/>
    </w:rPr>
  </w:style>
  <w:style w:type="paragraph" w:customStyle="1" w:styleId="xl78">
    <w:name w:val="xl78"/>
    <w:basedOn w:val="a1"/>
    <w:qFormat/>
    <w:pPr>
      <w:widowControl/>
      <w:pBdr>
        <w:bottom w:val="single" w:sz="8" w:space="0" w:color="auto"/>
        <w:right w:val="single" w:sz="8" w:space="0" w:color="auto"/>
      </w:pBdr>
      <w:spacing w:before="100" w:beforeAutospacing="1" w:after="100" w:afterAutospacing="1" w:line="360" w:lineRule="auto"/>
      <w:ind w:firstLineChars="200" w:firstLine="420"/>
    </w:pPr>
    <w:rPr>
      <w:rFonts w:ascii="宋体" w:hAnsi="宋体" w:cs="宋体"/>
      <w:color w:val="0000FF"/>
      <w:kern w:val="0"/>
      <w:sz w:val="24"/>
      <w:szCs w:val="24"/>
    </w:rPr>
  </w:style>
  <w:style w:type="paragraph" w:customStyle="1" w:styleId="xl79">
    <w:name w:val="xl79"/>
    <w:basedOn w:val="a1"/>
    <w:qFormat/>
    <w:pPr>
      <w:widowControl/>
      <w:pBdr>
        <w:top w:val="single" w:sz="12" w:space="0" w:color="auto"/>
        <w:left w:val="single" w:sz="12" w:space="0" w:color="auto"/>
        <w:right w:val="single" w:sz="8" w:space="0" w:color="auto"/>
      </w:pBdr>
      <w:spacing w:before="100" w:beforeAutospacing="1" w:after="100" w:afterAutospacing="1" w:line="360" w:lineRule="auto"/>
      <w:ind w:firstLineChars="200" w:firstLine="420"/>
    </w:pPr>
    <w:rPr>
      <w:rFonts w:ascii="Times New Roman" w:hAnsi="Times New Roman"/>
      <w:color w:val="000000"/>
      <w:kern w:val="0"/>
      <w:sz w:val="24"/>
      <w:szCs w:val="24"/>
    </w:rPr>
  </w:style>
  <w:style w:type="paragraph" w:customStyle="1" w:styleId="xl80">
    <w:name w:val="xl80"/>
    <w:basedOn w:val="a1"/>
    <w:qFormat/>
    <w:pPr>
      <w:widowControl/>
      <w:pBdr>
        <w:bottom w:val="single" w:sz="8" w:space="0" w:color="auto"/>
        <w:right w:val="single" w:sz="8" w:space="0" w:color="auto"/>
      </w:pBdr>
      <w:spacing w:before="100" w:beforeAutospacing="1" w:after="100" w:afterAutospacing="1" w:line="360" w:lineRule="auto"/>
      <w:ind w:firstLineChars="200" w:firstLine="420"/>
    </w:pPr>
    <w:rPr>
      <w:rFonts w:ascii="Times New Roman" w:hAnsi="Times New Roman"/>
      <w:color w:val="0000FF"/>
      <w:kern w:val="0"/>
      <w:sz w:val="24"/>
      <w:szCs w:val="24"/>
    </w:rPr>
  </w:style>
  <w:style w:type="paragraph" w:customStyle="1" w:styleId="xl81">
    <w:name w:val="xl81"/>
    <w:basedOn w:val="a1"/>
    <w:qFormat/>
    <w:pPr>
      <w:widowControl/>
      <w:pBdr>
        <w:left w:val="single" w:sz="8" w:space="0" w:color="auto"/>
        <w:right w:val="single" w:sz="8" w:space="0" w:color="auto"/>
      </w:pBdr>
      <w:spacing w:before="100" w:beforeAutospacing="1" w:after="100" w:afterAutospacing="1" w:line="360" w:lineRule="auto"/>
      <w:ind w:firstLineChars="200" w:firstLine="420"/>
    </w:pPr>
    <w:rPr>
      <w:rFonts w:ascii="Times New Roman" w:hAnsi="Times New Roman"/>
      <w:color w:val="000000"/>
      <w:kern w:val="0"/>
      <w:sz w:val="24"/>
      <w:szCs w:val="24"/>
    </w:rPr>
  </w:style>
  <w:style w:type="paragraph" w:customStyle="1" w:styleId="xl83">
    <w:name w:val="xl83"/>
    <w:basedOn w:val="a1"/>
    <w:qFormat/>
    <w:pPr>
      <w:widowControl/>
      <w:pBdr>
        <w:bottom w:val="single" w:sz="8" w:space="0" w:color="auto"/>
        <w:right w:val="single" w:sz="8" w:space="0" w:color="auto"/>
      </w:pBdr>
      <w:spacing w:before="100" w:beforeAutospacing="1" w:after="100" w:afterAutospacing="1" w:line="360" w:lineRule="auto"/>
      <w:ind w:firstLineChars="200" w:firstLine="420"/>
    </w:pPr>
    <w:rPr>
      <w:rFonts w:ascii="Times New Roman" w:hAnsi="Times New Roman"/>
      <w:color w:val="000000"/>
      <w:kern w:val="0"/>
      <w:sz w:val="24"/>
      <w:szCs w:val="24"/>
    </w:rPr>
  </w:style>
  <w:style w:type="paragraph" w:customStyle="1" w:styleId="afffffffffffffa">
    <w:name w:val="样式 样式表格 + 宋体"/>
    <w:basedOn w:val="afffffffffffff"/>
    <w:qFormat/>
    <w:rPr>
      <w:rFonts w:ascii="宋体" w:hAnsi="宋体" w:cs="宋体"/>
      <w:szCs w:val="20"/>
    </w:rPr>
  </w:style>
  <w:style w:type="paragraph" w:customStyle="1" w:styleId="xl84">
    <w:name w:val="xl84"/>
    <w:basedOn w:val="a1"/>
    <w:qFormat/>
    <w:pPr>
      <w:widowControl/>
      <w:pBdr>
        <w:left w:val="single" w:sz="8" w:space="0" w:color="auto"/>
      </w:pBdr>
      <w:spacing w:before="100" w:beforeAutospacing="1" w:after="100" w:afterAutospacing="1" w:line="360" w:lineRule="auto"/>
      <w:ind w:firstLineChars="200" w:firstLine="420"/>
      <w:textAlignment w:val="top"/>
    </w:pPr>
    <w:rPr>
      <w:rFonts w:ascii="Times New Roman" w:hAnsi="Times New Roman"/>
      <w:color w:val="000000"/>
      <w:kern w:val="0"/>
      <w:sz w:val="24"/>
      <w:szCs w:val="24"/>
    </w:rPr>
  </w:style>
  <w:style w:type="paragraph" w:customStyle="1" w:styleId="xl85">
    <w:name w:val="xl85"/>
    <w:basedOn w:val="a1"/>
    <w:qFormat/>
    <w:pPr>
      <w:widowControl/>
      <w:spacing w:before="100" w:beforeAutospacing="1" w:after="100" w:afterAutospacing="1" w:line="360" w:lineRule="auto"/>
      <w:ind w:firstLineChars="200" w:firstLine="420"/>
      <w:textAlignment w:val="top"/>
    </w:pPr>
    <w:rPr>
      <w:rFonts w:ascii="Times New Roman" w:hAnsi="Times New Roman"/>
      <w:color w:val="000000"/>
      <w:kern w:val="0"/>
      <w:sz w:val="24"/>
      <w:szCs w:val="24"/>
    </w:rPr>
  </w:style>
  <w:style w:type="paragraph" w:customStyle="1" w:styleId="xl86">
    <w:name w:val="xl86"/>
    <w:basedOn w:val="a1"/>
    <w:qFormat/>
    <w:pPr>
      <w:widowControl/>
      <w:pBdr>
        <w:left w:val="single" w:sz="8" w:space="0" w:color="auto"/>
        <w:bottom w:val="single" w:sz="12" w:space="0" w:color="auto"/>
      </w:pBdr>
      <w:spacing w:before="100" w:beforeAutospacing="1" w:after="100" w:afterAutospacing="1" w:line="360" w:lineRule="auto"/>
      <w:ind w:firstLineChars="200" w:firstLine="420"/>
      <w:textAlignment w:val="top"/>
    </w:pPr>
    <w:rPr>
      <w:rFonts w:ascii="Times New Roman" w:hAnsi="Times New Roman"/>
      <w:color w:val="000000"/>
      <w:kern w:val="0"/>
      <w:sz w:val="24"/>
      <w:szCs w:val="24"/>
    </w:rPr>
  </w:style>
  <w:style w:type="paragraph" w:customStyle="1" w:styleId="xl87">
    <w:name w:val="xl87"/>
    <w:basedOn w:val="a1"/>
    <w:qFormat/>
    <w:pPr>
      <w:widowControl/>
      <w:pBdr>
        <w:bottom w:val="single" w:sz="12" w:space="0" w:color="auto"/>
      </w:pBdr>
      <w:spacing w:before="100" w:beforeAutospacing="1" w:after="100" w:afterAutospacing="1" w:line="360" w:lineRule="auto"/>
      <w:ind w:firstLineChars="200" w:firstLine="420"/>
      <w:textAlignment w:val="top"/>
    </w:pPr>
    <w:rPr>
      <w:rFonts w:ascii="Times New Roman" w:hAnsi="Times New Roman"/>
      <w:color w:val="000000"/>
      <w:kern w:val="0"/>
      <w:sz w:val="24"/>
      <w:szCs w:val="24"/>
    </w:rPr>
  </w:style>
  <w:style w:type="paragraph" w:customStyle="1" w:styleId="xl88">
    <w:name w:val="xl88"/>
    <w:basedOn w:val="a1"/>
    <w:qFormat/>
    <w:pPr>
      <w:widowControl/>
      <w:pBdr>
        <w:left w:val="single" w:sz="8" w:space="0" w:color="auto"/>
        <w:bottom w:val="single" w:sz="12" w:space="0" w:color="auto"/>
      </w:pBdr>
      <w:spacing w:before="100" w:beforeAutospacing="1" w:after="100" w:afterAutospacing="1" w:line="360" w:lineRule="auto"/>
      <w:ind w:firstLineChars="200" w:firstLine="420"/>
    </w:pPr>
    <w:rPr>
      <w:rFonts w:ascii="宋体" w:hAnsi="宋体" w:cs="宋体"/>
      <w:kern w:val="0"/>
      <w:sz w:val="24"/>
      <w:szCs w:val="24"/>
    </w:rPr>
  </w:style>
  <w:style w:type="paragraph" w:customStyle="1" w:styleId="xl89">
    <w:name w:val="xl89"/>
    <w:basedOn w:val="a1"/>
    <w:qFormat/>
    <w:pPr>
      <w:widowControl/>
      <w:pBdr>
        <w:left w:val="single" w:sz="8" w:space="0" w:color="auto"/>
        <w:right w:val="single" w:sz="8" w:space="0" w:color="auto"/>
      </w:pBdr>
      <w:spacing w:before="100" w:beforeAutospacing="1" w:after="100" w:afterAutospacing="1" w:line="360" w:lineRule="auto"/>
      <w:ind w:firstLineChars="200" w:firstLine="420"/>
    </w:pPr>
    <w:rPr>
      <w:rFonts w:ascii="宋体" w:hAnsi="宋体" w:cs="宋体"/>
      <w:color w:val="000000"/>
      <w:kern w:val="0"/>
      <w:sz w:val="24"/>
      <w:szCs w:val="24"/>
    </w:rPr>
  </w:style>
  <w:style w:type="paragraph" w:customStyle="1" w:styleId="xl90">
    <w:name w:val="xl90"/>
    <w:basedOn w:val="a1"/>
    <w:qFormat/>
    <w:pPr>
      <w:widowControl/>
      <w:pBdr>
        <w:top w:val="single" w:sz="8" w:space="0" w:color="auto"/>
        <w:left w:val="single" w:sz="8" w:space="0" w:color="auto"/>
        <w:right w:val="single" w:sz="12" w:space="0" w:color="auto"/>
      </w:pBdr>
      <w:spacing w:before="100" w:beforeAutospacing="1" w:after="100" w:afterAutospacing="1" w:line="360" w:lineRule="auto"/>
      <w:ind w:firstLineChars="200" w:firstLine="420"/>
    </w:pPr>
    <w:rPr>
      <w:rFonts w:ascii="Times New Roman" w:hAnsi="Times New Roman"/>
      <w:color w:val="000000"/>
      <w:kern w:val="0"/>
      <w:sz w:val="24"/>
      <w:szCs w:val="24"/>
    </w:rPr>
  </w:style>
  <w:style w:type="paragraph" w:customStyle="1" w:styleId="xl91">
    <w:name w:val="xl91"/>
    <w:basedOn w:val="a1"/>
    <w:qFormat/>
    <w:pPr>
      <w:widowControl/>
      <w:pBdr>
        <w:left w:val="single" w:sz="8" w:space="0" w:color="auto"/>
        <w:bottom w:val="single" w:sz="8" w:space="0" w:color="auto"/>
        <w:right w:val="single" w:sz="12" w:space="0" w:color="auto"/>
      </w:pBdr>
      <w:spacing w:before="100" w:beforeAutospacing="1" w:after="100" w:afterAutospacing="1" w:line="360" w:lineRule="auto"/>
      <w:ind w:firstLineChars="200" w:firstLine="420"/>
    </w:pPr>
    <w:rPr>
      <w:rFonts w:ascii="Times New Roman" w:hAnsi="Times New Roman"/>
      <w:color w:val="000000"/>
      <w:kern w:val="0"/>
      <w:sz w:val="24"/>
      <w:szCs w:val="24"/>
    </w:rPr>
  </w:style>
  <w:style w:type="paragraph" w:customStyle="1" w:styleId="xl92">
    <w:name w:val="xl92"/>
    <w:basedOn w:val="a1"/>
    <w:qFormat/>
    <w:pPr>
      <w:widowControl/>
      <w:pBdr>
        <w:top w:val="single" w:sz="8" w:space="0" w:color="auto"/>
        <w:left w:val="single" w:sz="8" w:space="0" w:color="auto"/>
        <w:right w:val="single" w:sz="8" w:space="0" w:color="auto"/>
      </w:pBdr>
      <w:spacing w:before="100" w:beforeAutospacing="1" w:after="100" w:afterAutospacing="1" w:line="360" w:lineRule="auto"/>
      <w:ind w:firstLineChars="200" w:firstLine="420"/>
    </w:pPr>
    <w:rPr>
      <w:rFonts w:ascii="Times New Roman" w:hAnsi="Times New Roman"/>
      <w:color w:val="000000"/>
      <w:kern w:val="0"/>
      <w:sz w:val="24"/>
      <w:szCs w:val="24"/>
    </w:rPr>
  </w:style>
  <w:style w:type="paragraph" w:customStyle="1" w:styleId="xl93">
    <w:name w:val="xl93"/>
    <w:basedOn w:val="a1"/>
    <w:qFormat/>
    <w:pPr>
      <w:widowControl/>
      <w:pBdr>
        <w:left w:val="single" w:sz="8" w:space="0" w:color="auto"/>
        <w:bottom w:val="single" w:sz="8" w:space="0" w:color="auto"/>
        <w:right w:val="single" w:sz="8" w:space="0" w:color="auto"/>
      </w:pBdr>
      <w:spacing w:before="100" w:beforeAutospacing="1" w:after="100" w:afterAutospacing="1" w:line="360" w:lineRule="auto"/>
      <w:ind w:firstLineChars="200" w:firstLine="420"/>
    </w:pPr>
    <w:rPr>
      <w:rFonts w:ascii="Times New Roman" w:hAnsi="Times New Roman"/>
      <w:color w:val="000000"/>
      <w:kern w:val="0"/>
      <w:sz w:val="24"/>
      <w:szCs w:val="24"/>
    </w:rPr>
  </w:style>
  <w:style w:type="paragraph" w:customStyle="1" w:styleId="xl94">
    <w:name w:val="xl94"/>
    <w:basedOn w:val="a1"/>
    <w:qFormat/>
    <w:pPr>
      <w:widowControl/>
      <w:pBdr>
        <w:bottom w:val="single" w:sz="8" w:space="0" w:color="auto"/>
        <w:right w:val="single" w:sz="8" w:space="0" w:color="auto"/>
      </w:pBdr>
      <w:spacing w:before="100" w:beforeAutospacing="1" w:after="100" w:afterAutospacing="1" w:line="360" w:lineRule="auto"/>
      <w:ind w:firstLineChars="200" w:firstLine="420"/>
      <w:textAlignment w:val="top"/>
    </w:pPr>
    <w:rPr>
      <w:rFonts w:ascii="Times New Roman" w:hAnsi="Times New Roman"/>
      <w:color w:val="000000"/>
      <w:kern w:val="0"/>
      <w:sz w:val="24"/>
      <w:szCs w:val="24"/>
    </w:rPr>
  </w:style>
  <w:style w:type="paragraph" w:customStyle="1" w:styleId="xl95">
    <w:name w:val="xl95"/>
    <w:basedOn w:val="a1"/>
    <w:qFormat/>
    <w:pPr>
      <w:widowControl/>
      <w:pBdr>
        <w:bottom w:val="single" w:sz="8" w:space="0" w:color="auto"/>
        <w:right w:val="single" w:sz="8" w:space="0" w:color="auto"/>
      </w:pBdr>
      <w:spacing w:before="100" w:beforeAutospacing="1" w:after="100" w:afterAutospacing="1" w:line="360" w:lineRule="auto"/>
      <w:ind w:firstLineChars="200" w:firstLine="420"/>
      <w:textAlignment w:val="top"/>
    </w:pPr>
    <w:rPr>
      <w:rFonts w:ascii="Times New Roman" w:hAnsi="Times New Roman"/>
      <w:color w:val="000000"/>
      <w:kern w:val="0"/>
      <w:sz w:val="24"/>
      <w:szCs w:val="24"/>
    </w:rPr>
  </w:style>
  <w:style w:type="paragraph" w:customStyle="1" w:styleId="xl96">
    <w:name w:val="xl96"/>
    <w:basedOn w:val="a1"/>
    <w:qFormat/>
    <w:pPr>
      <w:widowControl/>
      <w:pBdr>
        <w:left w:val="single" w:sz="8" w:space="0" w:color="auto"/>
        <w:bottom w:val="single" w:sz="8" w:space="0" w:color="auto"/>
        <w:right w:val="single" w:sz="8" w:space="0" w:color="auto"/>
      </w:pBdr>
      <w:spacing w:before="100" w:beforeAutospacing="1" w:after="100" w:afterAutospacing="1" w:line="360" w:lineRule="auto"/>
      <w:ind w:firstLineChars="200" w:firstLine="420"/>
    </w:pPr>
    <w:rPr>
      <w:rFonts w:ascii="宋体" w:hAnsi="宋体" w:cs="宋体"/>
      <w:kern w:val="0"/>
      <w:sz w:val="24"/>
      <w:szCs w:val="24"/>
    </w:rPr>
  </w:style>
  <w:style w:type="paragraph" w:customStyle="1" w:styleId="xl97">
    <w:name w:val="xl97"/>
    <w:basedOn w:val="a1"/>
    <w:qFormat/>
    <w:pPr>
      <w:widowControl/>
      <w:pBdr>
        <w:bottom w:val="single" w:sz="8" w:space="0" w:color="auto"/>
      </w:pBdr>
      <w:shd w:val="clear" w:color="auto" w:fill="FFFF00"/>
      <w:spacing w:before="100" w:beforeAutospacing="1" w:after="100" w:afterAutospacing="1" w:line="360" w:lineRule="auto"/>
      <w:ind w:firstLineChars="200" w:firstLine="420"/>
    </w:pPr>
    <w:rPr>
      <w:rFonts w:ascii="Times New Roman" w:hAnsi="Times New Roman"/>
      <w:color w:val="000000"/>
      <w:kern w:val="0"/>
      <w:sz w:val="24"/>
      <w:szCs w:val="24"/>
    </w:rPr>
  </w:style>
  <w:style w:type="paragraph" w:customStyle="1" w:styleId="xl98">
    <w:name w:val="xl98"/>
    <w:basedOn w:val="a1"/>
    <w:qFormat/>
    <w:pPr>
      <w:widowControl/>
      <w:pBdr>
        <w:bottom w:val="single" w:sz="8" w:space="0" w:color="auto"/>
        <w:right w:val="single" w:sz="8" w:space="0" w:color="auto"/>
      </w:pBdr>
      <w:shd w:val="clear" w:color="auto" w:fill="FFFF00"/>
      <w:spacing w:before="100" w:beforeAutospacing="1" w:after="100" w:afterAutospacing="1" w:line="360" w:lineRule="auto"/>
      <w:ind w:firstLineChars="200" w:firstLine="420"/>
      <w:jc w:val="center"/>
    </w:pPr>
    <w:rPr>
      <w:rFonts w:ascii="宋体" w:hAnsi="宋体" w:cs="宋体"/>
      <w:color w:val="000000"/>
      <w:kern w:val="0"/>
      <w:sz w:val="24"/>
      <w:szCs w:val="24"/>
    </w:rPr>
  </w:style>
  <w:style w:type="paragraph" w:customStyle="1" w:styleId="xl99">
    <w:name w:val="xl99"/>
    <w:basedOn w:val="a1"/>
    <w:qFormat/>
    <w:pPr>
      <w:widowControl/>
      <w:pBdr>
        <w:bottom w:val="single" w:sz="8" w:space="0" w:color="auto"/>
        <w:right w:val="single" w:sz="8" w:space="0" w:color="auto"/>
      </w:pBdr>
      <w:spacing w:before="100" w:beforeAutospacing="1" w:after="100" w:afterAutospacing="1" w:line="360" w:lineRule="auto"/>
      <w:ind w:firstLineChars="200" w:firstLine="420"/>
      <w:textAlignment w:val="top"/>
    </w:pPr>
    <w:rPr>
      <w:rFonts w:ascii="Times New Roman" w:hAnsi="Times New Roman"/>
      <w:color w:val="000000"/>
      <w:kern w:val="0"/>
      <w:sz w:val="24"/>
      <w:szCs w:val="24"/>
    </w:rPr>
  </w:style>
  <w:style w:type="paragraph" w:customStyle="1" w:styleId="xl100">
    <w:name w:val="xl100"/>
    <w:basedOn w:val="a1"/>
    <w:qFormat/>
    <w:pPr>
      <w:widowControl/>
      <w:pBdr>
        <w:left w:val="single" w:sz="12" w:space="0" w:color="auto"/>
        <w:bottom w:val="single" w:sz="8" w:space="0" w:color="auto"/>
        <w:right w:val="single" w:sz="8" w:space="0" w:color="auto"/>
      </w:pBdr>
      <w:spacing w:before="100" w:beforeAutospacing="1" w:after="100" w:afterAutospacing="1" w:line="360" w:lineRule="auto"/>
      <w:ind w:firstLineChars="200" w:firstLine="420"/>
      <w:jc w:val="center"/>
    </w:pPr>
    <w:rPr>
      <w:rFonts w:ascii="宋体" w:hAnsi="宋体" w:cs="宋体"/>
      <w:color w:val="000000"/>
      <w:kern w:val="0"/>
      <w:sz w:val="24"/>
      <w:szCs w:val="24"/>
    </w:rPr>
  </w:style>
  <w:style w:type="paragraph" w:customStyle="1" w:styleId="xl101">
    <w:name w:val="xl101"/>
    <w:basedOn w:val="a1"/>
    <w:qFormat/>
    <w:pPr>
      <w:widowControl/>
      <w:pBdr>
        <w:top w:val="single" w:sz="8" w:space="0" w:color="auto"/>
        <w:left w:val="single" w:sz="12" w:space="0" w:color="auto"/>
        <w:right w:val="single" w:sz="8" w:space="0" w:color="auto"/>
      </w:pBdr>
      <w:spacing w:before="100" w:beforeAutospacing="1" w:after="100" w:afterAutospacing="1" w:line="360" w:lineRule="auto"/>
      <w:ind w:firstLineChars="200" w:firstLine="420"/>
      <w:jc w:val="center"/>
    </w:pPr>
    <w:rPr>
      <w:rFonts w:ascii="宋体" w:hAnsi="宋体" w:cs="宋体"/>
      <w:color w:val="000000"/>
      <w:kern w:val="0"/>
      <w:sz w:val="24"/>
      <w:szCs w:val="24"/>
    </w:rPr>
  </w:style>
  <w:style w:type="paragraph" w:customStyle="1" w:styleId="xl102">
    <w:name w:val="xl102"/>
    <w:basedOn w:val="a1"/>
    <w:qFormat/>
    <w:pPr>
      <w:widowControl/>
      <w:pBdr>
        <w:left w:val="single" w:sz="12" w:space="0" w:color="auto"/>
        <w:right w:val="single" w:sz="8" w:space="0" w:color="auto"/>
      </w:pBdr>
      <w:spacing w:before="100" w:beforeAutospacing="1" w:after="100" w:afterAutospacing="1" w:line="360" w:lineRule="auto"/>
      <w:ind w:firstLineChars="200" w:firstLine="420"/>
      <w:jc w:val="center"/>
    </w:pPr>
    <w:rPr>
      <w:rFonts w:ascii="宋体" w:hAnsi="宋体" w:cs="宋体"/>
      <w:color w:val="000000"/>
      <w:kern w:val="0"/>
      <w:sz w:val="24"/>
      <w:szCs w:val="24"/>
    </w:rPr>
  </w:style>
  <w:style w:type="paragraph" w:customStyle="1" w:styleId="xl103">
    <w:name w:val="xl103"/>
    <w:basedOn w:val="a1"/>
    <w:qFormat/>
    <w:pPr>
      <w:widowControl/>
      <w:pBdr>
        <w:top w:val="single" w:sz="8" w:space="0" w:color="auto"/>
        <w:left w:val="single" w:sz="8" w:space="0" w:color="auto"/>
        <w:right w:val="single" w:sz="8" w:space="0" w:color="auto"/>
      </w:pBdr>
      <w:spacing w:before="100" w:beforeAutospacing="1" w:after="100" w:afterAutospacing="1" w:line="360" w:lineRule="auto"/>
      <w:ind w:firstLineChars="200" w:firstLine="420"/>
      <w:jc w:val="center"/>
    </w:pPr>
    <w:rPr>
      <w:rFonts w:ascii="宋体" w:hAnsi="宋体" w:cs="宋体"/>
      <w:color w:val="000000"/>
      <w:kern w:val="0"/>
      <w:sz w:val="24"/>
      <w:szCs w:val="24"/>
    </w:rPr>
  </w:style>
  <w:style w:type="paragraph" w:customStyle="1" w:styleId="xl104">
    <w:name w:val="xl104"/>
    <w:basedOn w:val="a1"/>
    <w:qFormat/>
    <w:pPr>
      <w:widowControl/>
      <w:pBdr>
        <w:top w:val="single" w:sz="8" w:space="0" w:color="auto"/>
        <w:right w:val="single" w:sz="8" w:space="0" w:color="auto"/>
      </w:pBdr>
      <w:spacing w:before="100" w:beforeAutospacing="1" w:after="100" w:afterAutospacing="1" w:line="360" w:lineRule="auto"/>
      <w:ind w:firstLineChars="200" w:firstLine="420"/>
      <w:jc w:val="center"/>
    </w:pPr>
    <w:rPr>
      <w:rFonts w:ascii="宋体" w:hAnsi="宋体" w:cs="宋体"/>
      <w:color w:val="000000"/>
      <w:kern w:val="0"/>
      <w:sz w:val="24"/>
      <w:szCs w:val="24"/>
    </w:rPr>
  </w:style>
  <w:style w:type="paragraph" w:customStyle="1" w:styleId="xl105">
    <w:name w:val="xl105"/>
    <w:basedOn w:val="a1"/>
    <w:qFormat/>
    <w:pPr>
      <w:widowControl/>
      <w:pBdr>
        <w:right w:val="single" w:sz="8" w:space="0" w:color="auto"/>
      </w:pBdr>
      <w:spacing w:before="100" w:beforeAutospacing="1" w:after="100" w:afterAutospacing="1" w:line="360" w:lineRule="auto"/>
      <w:ind w:firstLineChars="200" w:firstLine="420"/>
      <w:jc w:val="center"/>
    </w:pPr>
    <w:rPr>
      <w:rFonts w:ascii="宋体" w:hAnsi="宋体" w:cs="宋体"/>
      <w:color w:val="000000"/>
      <w:kern w:val="0"/>
      <w:sz w:val="24"/>
      <w:szCs w:val="24"/>
    </w:rPr>
  </w:style>
  <w:style w:type="paragraph" w:customStyle="1" w:styleId="xl106">
    <w:name w:val="xl106"/>
    <w:basedOn w:val="a1"/>
    <w:qFormat/>
    <w:pPr>
      <w:widowControl/>
      <w:pBdr>
        <w:bottom w:val="single" w:sz="8" w:space="0" w:color="auto"/>
        <w:right w:val="single" w:sz="8" w:space="0" w:color="auto"/>
      </w:pBdr>
      <w:spacing w:before="100" w:beforeAutospacing="1" w:after="100" w:afterAutospacing="1" w:line="360" w:lineRule="auto"/>
      <w:ind w:firstLineChars="200" w:firstLine="420"/>
      <w:jc w:val="center"/>
    </w:pPr>
    <w:rPr>
      <w:rFonts w:ascii="宋体" w:hAnsi="宋体" w:cs="宋体"/>
      <w:color w:val="000000"/>
      <w:kern w:val="0"/>
      <w:sz w:val="24"/>
      <w:szCs w:val="24"/>
    </w:rPr>
  </w:style>
  <w:style w:type="paragraph" w:customStyle="1" w:styleId="xl107">
    <w:name w:val="xl107"/>
    <w:basedOn w:val="a1"/>
    <w:qFormat/>
    <w:pPr>
      <w:widowControl/>
      <w:pBdr>
        <w:top w:val="single" w:sz="8" w:space="0" w:color="auto"/>
        <w:left w:val="single" w:sz="8" w:space="0" w:color="auto"/>
        <w:right w:val="single" w:sz="8" w:space="0" w:color="auto"/>
      </w:pBdr>
      <w:spacing w:before="100" w:beforeAutospacing="1" w:after="100" w:afterAutospacing="1" w:line="360" w:lineRule="auto"/>
      <w:ind w:firstLineChars="200" w:firstLine="420"/>
      <w:jc w:val="center"/>
    </w:pPr>
    <w:rPr>
      <w:rFonts w:ascii="Times New Roman" w:hAnsi="Times New Roman"/>
      <w:color w:val="000000"/>
      <w:kern w:val="0"/>
      <w:sz w:val="24"/>
      <w:szCs w:val="24"/>
    </w:rPr>
  </w:style>
  <w:style w:type="paragraph" w:customStyle="1" w:styleId="xl108">
    <w:name w:val="xl108"/>
    <w:basedOn w:val="a1"/>
    <w:qFormat/>
    <w:pPr>
      <w:widowControl/>
      <w:pBdr>
        <w:left w:val="single" w:sz="8" w:space="0" w:color="auto"/>
        <w:bottom w:val="single" w:sz="8" w:space="0" w:color="auto"/>
        <w:right w:val="single" w:sz="8" w:space="0" w:color="auto"/>
      </w:pBdr>
      <w:spacing w:before="100" w:beforeAutospacing="1" w:after="100" w:afterAutospacing="1" w:line="360" w:lineRule="auto"/>
      <w:ind w:firstLineChars="200" w:firstLine="420"/>
      <w:jc w:val="center"/>
    </w:pPr>
    <w:rPr>
      <w:rFonts w:ascii="Times New Roman" w:hAnsi="Times New Roman"/>
      <w:color w:val="000000"/>
      <w:kern w:val="0"/>
      <w:sz w:val="24"/>
      <w:szCs w:val="24"/>
    </w:rPr>
  </w:style>
  <w:style w:type="paragraph" w:customStyle="1" w:styleId="2ffe">
    <w:name w:val="段落2"/>
    <w:basedOn w:val="a1"/>
    <w:qFormat/>
    <w:pPr>
      <w:adjustRightInd w:val="0"/>
      <w:spacing w:line="440" w:lineRule="atLeast"/>
      <w:ind w:firstLineChars="200" w:firstLine="420"/>
    </w:pPr>
    <w:rPr>
      <w:rFonts w:ascii="Times New Roman" w:hAnsi="Times New Roman"/>
      <w:spacing w:val="6"/>
      <w:sz w:val="24"/>
      <w:szCs w:val="20"/>
    </w:rPr>
  </w:style>
  <w:style w:type="paragraph" w:customStyle="1" w:styleId="afffffffffffffb">
    <w:name w:val="表中字样"/>
    <w:basedOn w:val="a1"/>
    <w:qFormat/>
    <w:pPr>
      <w:adjustRightInd w:val="0"/>
      <w:spacing w:line="320" w:lineRule="atLeast"/>
      <w:ind w:firstLineChars="200" w:firstLine="420"/>
      <w:jc w:val="center"/>
    </w:pPr>
    <w:rPr>
      <w:rFonts w:ascii="Times New Roman" w:hAnsi="Times New Roman"/>
      <w:spacing w:val="4"/>
      <w:sz w:val="24"/>
      <w:szCs w:val="20"/>
    </w:rPr>
  </w:style>
  <w:style w:type="paragraph" w:customStyle="1" w:styleId="PhoneNumber">
    <w:name w:val="Phone Number"/>
    <w:basedOn w:val="afb"/>
    <w:qFormat/>
    <w:pPr>
      <w:widowControl/>
      <w:overflowPunct w:val="0"/>
      <w:autoSpaceDE w:val="0"/>
      <w:autoSpaceDN w:val="0"/>
      <w:adjustRightInd w:val="0"/>
      <w:spacing w:after="160" w:line="360" w:lineRule="auto"/>
      <w:ind w:firstLineChars="200" w:firstLine="420"/>
      <w:textAlignment w:val="baseline"/>
    </w:pPr>
    <w:rPr>
      <w:b/>
      <w:szCs w:val="20"/>
    </w:rPr>
  </w:style>
  <w:style w:type="paragraph" w:customStyle="1" w:styleId="afffffffffffffc">
    <w:name w:val="姓名"/>
    <w:basedOn w:val="afb"/>
    <w:qFormat/>
    <w:pPr>
      <w:keepNext/>
      <w:widowControl/>
      <w:overflowPunct w:val="0"/>
      <w:autoSpaceDE w:val="0"/>
      <w:autoSpaceDN w:val="0"/>
      <w:adjustRightInd w:val="0"/>
      <w:spacing w:after="160" w:line="360" w:lineRule="auto"/>
      <w:ind w:firstLineChars="200" w:firstLine="420"/>
      <w:textAlignment w:val="baseline"/>
    </w:pPr>
    <w:rPr>
      <w:rFonts w:ascii="Arial" w:hAnsi="Arial"/>
      <w:b/>
      <w:sz w:val="24"/>
      <w:szCs w:val="20"/>
    </w:rPr>
  </w:style>
  <w:style w:type="paragraph" w:customStyle="1" w:styleId="afffffffffffffd">
    <w:name w:val="目标"/>
    <w:basedOn w:val="afb"/>
    <w:qFormat/>
    <w:pPr>
      <w:widowControl/>
      <w:overflowPunct w:val="0"/>
      <w:autoSpaceDE w:val="0"/>
      <w:autoSpaceDN w:val="0"/>
      <w:adjustRightInd w:val="0"/>
      <w:spacing w:before="320" w:line="360" w:lineRule="auto"/>
      <w:ind w:firstLineChars="200" w:firstLine="420"/>
      <w:textAlignment w:val="baseline"/>
    </w:pPr>
    <w:rPr>
      <w:rFonts w:ascii="Arial" w:hAnsi="Arial"/>
      <w:i/>
      <w:sz w:val="18"/>
      <w:szCs w:val="20"/>
    </w:rPr>
  </w:style>
  <w:style w:type="paragraph" w:customStyle="1" w:styleId="afffffffffffffe">
    <w:name w:val="城市"/>
    <w:basedOn w:val="afb"/>
    <w:qFormat/>
    <w:pPr>
      <w:keepNext/>
      <w:widowControl/>
      <w:overflowPunct w:val="0"/>
      <w:autoSpaceDE w:val="0"/>
      <w:autoSpaceDN w:val="0"/>
      <w:adjustRightInd w:val="0"/>
      <w:spacing w:after="0" w:line="360" w:lineRule="auto"/>
      <w:ind w:firstLineChars="200" w:firstLine="420"/>
      <w:textAlignment w:val="baseline"/>
    </w:pPr>
    <w:rPr>
      <w:b/>
      <w:i/>
      <w:szCs w:val="20"/>
    </w:rPr>
  </w:style>
  <w:style w:type="paragraph" w:customStyle="1" w:styleId="affffffffffffff">
    <w:name w:val="研究单位"/>
    <w:basedOn w:val="afb"/>
    <w:qFormat/>
    <w:pPr>
      <w:keepNext/>
      <w:widowControl/>
      <w:overflowPunct w:val="0"/>
      <w:autoSpaceDE w:val="0"/>
      <w:autoSpaceDN w:val="0"/>
      <w:adjustRightInd w:val="0"/>
      <w:spacing w:before="160" w:after="0" w:line="360" w:lineRule="auto"/>
      <w:ind w:firstLineChars="200" w:firstLine="420"/>
      <w:textAlignment w:val="baseline"/>
    </w:pPr>
    <w:rPr>
      <w:rFonts w:ascii="Arial" w:hAnsi="Arial"/>
      <w:b/>
      <w:szCs w:val="20"/>
    </w:rPr>
  </w:style>
  <w:style w:type="paragraph" w:customStyle="1" w:styleId="affffffffffffff0">
    <w:name w:val="实现"/>
    <w:basedOn w:val="affffffffffffff"/>
    <w:qFormat/>
    <w:pPr>
      <w:spacing w:before="0" w:after="80"/>
    </w:pPr>
    <w:rPr>
      <w:rFonts w:ascii="Times New Roman" w:hAnsi="Times New Roman"/>
      <w:b w:val="0"/>
    </w:rPr>
  </w:style>
  <w:style w:type="paragraph" w:customStyle="1" w:styleId="2fff">
    <w:name w:val="列表2"/>
    <w:basedOn w:val="1fff2"/>
    <w:qFormat/>
    <w:pPr>
      <w:pBdr>
        <w:left w:val="none" w:sz="0" w:space="0" w:color="auto"/>
      </w:pBdr>
    </w:pPr>
  </w:style>
  <w:style w:type="paragraph" w:customStyle="1" w:styleId="1fff2">
    <w:name w:val="列表1"/>
    <w:basedOn w:val="ad"/>
    <w:qFormat/>
    <w:pPr>
      <w:widowControl/>
      <w:pBdr>
        <w:left w:val="single" w:sz="6" w:space="23" w:color="auto"/>
      </w:pBdr>
      <w:tabs>
        <w:tab w:val="left" w:pos="720"/>
      </w:tabs>
      <w:overflowPunct w:val="0"/>
      <w:autoSpaceDE w:val="0"/>
      <w:autoSpaceDN w:val="0"/>
      <w:adjustRightInd w:val="0"/>
      <w:spacing w:after="80" w:line="360" w:lineRule="auto"/>
      <w:ind w:left="720" w:firstLineChars="200" w:firstLine="0"/>
      <w:textAlignment w:val="baseline"/>
    </w:pPr>
    <w:rPr>
      <w:rFonts w:ascii="Times New Roman" w:eastAsia="宋体"/>
      <w:kern w:val="0"/>
      <w:sz w:val="20"/>
    </w:rPr>
  </w:style>
  <w:style w:type="paragraph" w:customStyle="1" w:styleId="affffffffffffff1">
    <w:name w:val="节副题"/>
    <w:basedOn w:val="2a"/>
    <w:qFormat/>
    <w:pPr>
      <w:widowControl/>
      <w:tabs>
        <w:tab w:val="left" w:pos="540"/>
        <w:tab w:val="left" w:pos="851"/>
        <w:tab w:val="left" w:pos="1040"/>
      </w:tabs>
      <w:overflowPunct w:val="0"/>
      <w:autoSpaceDE w:val="0"/>
      <w:autoSpaceDN w:val="0"/>
      <w:adjustRightInd w:val="0"/>
      <w:snapToGrid w:val="0"/>
      <w:spacing w:beforeLines="0" w:afterLines="0" w:line="240" w:lineRule="auto"/>
      <w:ind w:left="851" w:hanging="567"/>
      <w:jc w:val="both"/>
      <w:textAlignment w:val="baseline"/>
      <w:outlineLvl w:val="9"/>
    </w:pPr>
    <w:rPr>
      <w:rFonts w:eastAsia="宋体"/>
      <w:bCs w:val="0"/>
      <w:sz w:val="20"/>
      <w:szCs w:val="20"/>
    </w:rPr>
  </w:style>
  <w:style w:type="paragraph" w:customStyle="1" w:styleId="affffffffffffff2">
    <w:name w:val="个人情况"/>
    <w:basedOn w:val="afb"/>
    <w:qFormat/>
    <w:pPr>
      <w:widowControl/>
      <w:overflowPunct w:val="0"/>
      <w:autoSpaceDE w:val="0"/>
      <w:autoSpaceDN w:val="0"/>
      <w:adjustRightInd w:val="0"/>
      <w:spacing w:after="160" w:line="360" w:lineRule="auto"/>
      <w:ind w:firstLineChars="200" w:firstLine="420"/>
      <w:textAlignment w:val="baseline"/>
    </w:pPr>
    <w:rPr>
      <w:szCs w:val="20"/>
    </w:rPr>
  </w:style>
  <w:style w:type="paragraph" w:customStyle="1" w:styleId="4fc">
    <w:name w:val="列表4"/>
    <w:basedOn w:val="1fff2"/>
    <w:qFormat/>
    <w:pPr>
      <w:pBdr>
        <w:left w:val="none" w:sz="0" w:space="0" w:color="auto"/>
      </w:pBdr>
      <w:ind w:left="1080"/>
    </w:pPr>
  </w:style>
  <w:style w:type="paragraph" w:customStyle="1" w:styleId="3ff3">
    <w:name w:val="列表3"/>
    <w:basedOn w:val="1fff2"/>
    <w:qFormat/>
    <w:pPr>
      <w:pBdr>
        <w:left w:val="none" w:sz="0" w:space="0" w:color="auto"/>
      </w:pBdr>
      <w:ind w:left="1440"/>
    </w:pPr>
  </w:style>
  <w:style w:type="paragraph" w:customStyle="1" w:styleId="5f7">
    <w:name w:val="列表5"/>
    <w:basedOn w:val="1fff2"/>
    <w:qFormat/>
    <w:pPr>
      <w:pBdr>
        <w:left w:val="none" w:sz="0" w:space="0" w:color="auto"/>
      </w:pBdr>
      <w:ind w:left="1800"/>
    </w:pPr>
  </w:style>
  <w:style w:type="paragraph" w:customStyle="1" w:styleId="Address">
    <w:name w:val="Address"/>
    <w:basedOn w:val="afb"/>
    <w:qFormat/>
    <w:pPr>
      <w:keepLines/>
      <w:widowControl/>
      <w:overflowPunct w:val="0"/>
      <w:autoSpaceDE w:val="0"/>
      <w:autoSpaceDN w:val="0"/>
      <w:adjustRightInd w:val="0"/>
      <w:spacing w:after="0" w:line="360" w:lineRule="auto"/>
      <w:ind w:firstLineChars="200" w:firstLine="420"/>
      <w:textAlignment w:val="baseline"/>
    </w:pPr>
    <w:rPr>
      <w:szCs w:val="20"/>
    </w:rPr>
  </w:style>
  <w:style w:type="paragraph" w:customStyle="1" w:styleId="CompanyName">
    <w:name w:val="Company Name"/>
    <w:basedOn w:val="afb"/>
    <w:qFormat/>
    <w:pPr>
      <w:widowControl/>
      <w:overflowPunct w:val="0"/>
      <w:autoSpaceDE w:val="0"/>
      <w:autoSpaceDN w:val="0"/>
      <w:adjustRightInd w:val="0"/>
      <w:spacing w:after="0" w:line="360" w:lineRule="auto"/>
      <w:ind w:firstLineChars="200" w:firstLine="420"/>
      <w:textAlignment w:val="baseline"/>
    </w:pPr>
    <w:rPr>
      <w:caps/>
      <w:szCs w:val="20"/>
    </w:rPr>
  </w:style>
  <w:style w:type="paragraph" w:customStyle="1" w:styleId="DocumentLabel">
    <w:name w:val="Document Label"/>
    <w:basedOn w:val="a1"/>
    <w:qFormat/>
    <w:pPr>
      <w:keepNext/>
      <w:widowControl/>
      <w:overflowPunct w:val="0"/>
      <w:autoSpaceDE w:val="0"/>
      <w:autoSpaceDN w:val="0"/>
      <w:adjustRightInd w:val="0"/>
      <w:spacing w:before="240" w:after="360" w:line="360" w:lineRule="auto"/>
      <w:ind w:firstLineChars="200" w:firstLine="420"/>
      <w:textAlignment w:val="baseline"/>
    </w:pPr>
    <w:rPr>
      <w:rFonts w:ascii="Times New Roman" w:hAnsi="Times New Roman"/>
      <w:b/>
      <w:kern w:val="28"/>
      <w:sz w:val="36"/>
      <w:szCs w:val="20"/>
    </w:rPr>
  </w:style>
  <w:style w:type="paragraph" w:customStyle="1" w:styleId="FooterEven">
    <w:name w:val="Footer Even"/>
    <w:basedOn w:val="aff9"/>
    <w:qFormat/>
    <w:pPr>
      <w:keepLines/>
      <w:widowControl/>
      <w:tabs>
        <w:tab w:val="clear" w:pos="4153"/>
        <w:tab w:val="clear" w:pos="8306"/>
        <w:tab w:val="center" w:pos="4320"/>
        <w:tab w:val="right" w:pos="8640"/>
      </w:tabs>
      <w:overflowPunct w:val="0"/>
      <w:autoSpaceDE w:val="0"/>
      <w:autoSpaceDN w:val="0"/>
      <w:adjustRightInd w:val="0"/>
      <w:snapToGrid/>
      <w:ind w:firstLineChars="200" w:firstLine="420"/>
      <w:textAlignment w:val="baseline"/>
    </w:pPr>
    <w:rPr>
      <w:rFonts w:ascii="Times New Roman" w:hAnsi="Times New Roman"/>
      <w:kern w:val="0"/>
      <w:sz w:val="20"/>
      <w:szCs w:val="20"/>
    </w:rPr>
  </w:style>
  <w:style w:type="paragraph" w:customStyle="1" w:styleId="FooterFirst">
    <w:name w:val="Footer First"/>
    <w:basedOn w:val="aff9"/>
    <w:qFormat/>
    <w:pPr>
      <w:keepLines/>
      <w:widowControl/>
      <w:tabs>
        <w:tab w:val="clear" w:pos="4153"/>
        <w:tab w:val="clear" w:pos="8306"/>
        <w:tab w:val="center" w:pos="4320"/>
      </w:tabs>
      <w:overflowPunct w:val="0"/>
      <w:autoSpaceDE w:val="0"/>
      <w:autoSpaceDN w:val="0"/>
      <w:adjustRightInd w:val="0"/>
      <w:snapToGrid/>
      <w:ind w:firstLineChars="200" w:firstLine="420"/>
      <w:jc w:val="center"/>
      <w:textAlignment w:val="baseline"/>
    </w:pPr>
    <w:rPr>
      <w:rFonts w:ascii="Times New Roman" w:hAnsi="Times New Roman"/>
      <w:kern w:val="0"/>
      <w:sz w:val="20"/>
      <w:szCs w:val="20"/>
    </w:rPr>
  </w:style>
  <w:style w:type="paragraph" w:customStyle="1" w:styleId="FooterOdd">
    <w:name w:val="Footer Odd"/>
    <w:basedOn w:val="aff9"/>
    <w:qFormat/>
    <w:pPr>
      <w:keepLines/>
      <w:widowControl/>
      <w:tabs>
        <w:tab w:val="clear" w:pos="4153"/>
        <w:tab w:val="clear" w:pos="8306"/>
        <w:tab w:val="right" w:pos="0"/>
        <w:tab w:val="center" w:pos="4320"/>
        <w:tab w:val="right" w:pos="8640"/>
      </w:tabs>
      <w:overflowPunct w:val="0"/>
      <w:autoSpaceDE w:val="0"/>
      <w:autoSpaceDN w:val="0"/>
      <w:adjustRightInd w:val="0"/>
      <w:snapToGrid/>
      <w:ind w:firstLineChars="200" w:firstLine="420"/>
      <w:jc w:val="right"/>
      <w:textAlignment w:val="baseline"/>
    </w:pPr>
    <w:rPr>
      <w:rFonts w:ascii="Times New Roman" w:hAnsi="Times New Roman"/>
      <w:kern w:val="0"/>
      <w:sz w:val="20"/>
      <w:szCs w:val="20"/>
    </w:rPr>
  </w:style>
  <w:style w:type="paragraph" w:customStyle="1" w:styleId="FootnoteBase">
    <w:name w:val="Footnote Base"/>
    <w:basedOn w:val="a1"/>
    <w:qFormat/>
    <w:pPr>
      <w:widowControl/>
      <w:tabs>
        <w:tab w:val="left" w:pos="187"/>
      </w:tabs>
      <w:overflowPunct w:val="0"/>
      <w:autoSpaceDE w:val="0"/>
      <w:autoSpaceDN w:val="0"/>
      <w:adjustRightInd w:val="0"/>
      <w:spacing w:line="220" w:lineRule="exact"/>
      <w:ind w:left="187" w:firstLineChars="200" w:hanging="187"/>
      <w:textAlignment w:val="baseline"/>
    </w:pPr>
    <w:rPr>
      <w:rFonts w:ascii="Times New Roman" w:hAnsi="Times New Roman"/>
      <w:kern w:val="0"/>
      <w:sz w:val="18"/>
      <w:szCs w:val="20"/>
    </w:rPr>
  </w:style>
  <w:style w:type="paragraph" w:customStyle="1" w:styleId="HeaderBase">
    <w:name w:val="Header Base"/>
    <w:basedOn w:val="a1"/>
    <w:qFormat/>
    <w:pPr>
      <w:keepLines/>
      <w:widowControl/>
      <w:tabs>
        <w:tab w:val="center" w:pos="4320"/>
        <w:tab w:val="right" w:pos="8640"/>
      </w:tabs>
      <w:overflowPunct w:val="0"/>
      <w:autoSpaceDE w:val="0"/>
      <w:autoSpaceDN w:val="0"/>
      <w:adjustRightInd w:val="0"/>
      <w:spacing w:line="360" w:lineRule="auto"/>
      <w:ind w:firstLineChars="200" w:firstLine="420"/>
      <w:textAlignment w:val="baseline"/>
    </w:pPr>
    <w:rPr>
      <w:rFonts w:ascii="Times New Roman" w:hAnsi="Times New Roman"/>
      <w:kern w:val="0"/>
      <w:sz w:val="20"/>
      <w:szCs w:val="20"/>
    </w:rPr>
  </w:style>
  <w:style w:type="paragraph" w:customStyle="1" w:styleId="HeaderEven">
    <w:name w:val="Header Even"/>
    <w:basedOn w:val="affc"/>
    <w:qFormat/>
    <w:pPr>
      <w:keepLines/>
      <w:widowControl/>
      <w:pBdr>
        <w:bottom w:val="none" w:sz="0" w:space="0" w:color="auto"/>
      </w:pBdr>
      <w:tabs>
        <w:tab w:val="clear" w:pos="4153"/>
        <w:tab w:val="clear" w:pos="8306"/>
        <w:tab w:val="center" w:pos="4320"/>
        <w:tab w:val="right" w:pos="8640"/>
      </w:tabs>
      <w:overflowPunct w:val="0"/>
      <w:autoSpaceDE w:val="0"/>
      <w:autoSpaceDN w:val="0"/>
      <w:adjustRightInd w:val="0"/>
      <w:snapToGrid/>
      <w:ind w:firstLineChars="200" w:firstLine="420"/>
      <w:jc w:val="left"/>
      <w:textAlignment w:val="baseline"/>
    </w:pPr>
    <w:rPr>
      <w:rFonts w:ascii="Times New Roman" w:hAnsi="Times New Roman"/>
      <w:kern w:val="0"/>
      <w:sz w:val="20"/>
      <w:szCs w:val="20"/>
    </w:rPr>
  </w:style>
  <w:style w:type="paragraph" w:customStyle="1" w:styleId="HeaderFirst">
    <w:name w:val="Header First"/>
    <w:basedOn w:val="affc"/>
    <w:qFormat/>
    <w:pPr>
      <w:keepLines/>
      <w:widowControl/>
      <w:pBdr>
        <w:bottom w:val="none" w:sz="0" w:space="0" w:color="auto"/>
      </w:pBdr>
      <w:tabs>
        <w:tab w:val="clear" w:pos="4153"/>
        <w:tab w:val="clear" w:pos="8306"/>
        <w:tab w:val="center" w:pos="4320"/>
      </w:tabs>
      <w:overflowPunct w:val="0"/>
      <w:autoSpaceDE w:val="0"/>
      <w:autoSpaceDN w:val="0"/>
      <w:adjustRightInd w:val="0"/>
      <w:snapToGrid/>
      <w:ind w:firstLineChars="200" w:firstLine="420"/>
      <w:textAlignment w:val="baseline"/>
    </w:pPr>
    <w:rPr>
      <w:rFonts w:ascii="Times New Roman" w:hAnsi="Times New Roman"/>
      <w:kern w:val="0"/>
      <w:sz w:val="20"/>
      <w:szCs w:val="20"/>
    </w:rPr>
  </w:style>
  <w:style w:type="paragraph" w:customStyle="1" w:styleId="HeaderOdd">
    <w:name w:val="Header Odd"/>
    <w:basedOn w:val="affc"/>
    <w:qFormat/>
    <w:pPr>
      <w:keepLines/>
      <w:widowControl/>
      <w:pBdr>
        <w:bottom w:val="none" w:sz="0" w:space="0" w:color="auto"/>
      </w:pBdr>
      <w:tabs>
        <w:tab w:val="clear" w:pos="4153"/>
        <w:tab w:val="clear" w:pos="8306"/>
        <w:tab w:val="right" w:pos="0"/>
        <w:tab w:val="center" w:pos="4320"/>
        <w:tab w:val="right" w:pos="8640"/>
      </w:tabs>
      <w:overflowPunct w:val="0"/>
      <w:autoSpaceDE w:val="0"/>
      <w:autoSpaceDN w:val="0"/>
      <w:adjustRightInd w:val="0"/>
      <w:snapToGrid/>
      <w:ind w:firstLineChars="200" w:firstLine="420"/>
      <w:jc w:val="right"/>
      <w:textAlignment w:val="baseline"/>
    </w:pPr>
    <w:rPr>
      <w:rFonts w:ascii="Times New Roman" w:hAnsi="Times New Roman"/>
      <w:kern w:val="0"/>
      <w:sz w:val="20"/>
      <w:szCs w:val="20"/>
    </w:rPr>
  </w:style>
  <w:style w:type="paragraph" w:customStyle="1" w:styleId="HeadingBase">
    <w:name w:val="Heading Base"/>
    <w:basedOn w:val="a1"/>
    <w:next w:val="afb"/>
    <w:qFormat/>
    <w:pPr>
      <w:keepNext/>
      <w:keepLines/>
      <w:widowControl/>
      <w:overflowPunct w:val="0"/>
      <w:autoSpaceDE w:val="0"/>
      <w:autoSpaceDN w:val="0"/>
      <w:adjustRightInd w:val="0"/>
      <w:spacing w:before="240" w:after="120" w:line="360" w:lineRule="auto"/>
      <w:ind w:firstLineChars="200" w:firstLine="420"/>
      <w:textAlignment w:val="baseline"/>
    </w:pPr>
    <w:rPr>
      <w:rFonts w:ascii="Arial" w:hAnsi="Arial"/>
      <w:b/>
      <w:kern w:val="28"/>
      <w:sz w:val="36"/>
      <w:szCs w:val="20"/>
    </w:rPr>
  </w:style>
  <w:style w:type="paragraph" w:customStyle="1" w:styleId="JobTitle">
    <w:name w:val="Job Title"/>
    <w:basedOn w:val="afb"/>
    <w:qFormat/>
    <w:pPr>
      <w:keepLines/>
      <w:widowControl/>
      <w:overflowPunct w:val="0"/>
      <w:autoSpaceDE w:val="0"/>
      <w:autoSpaceDN w:val="0"/>
      <w:adjustRightInd w:val="0"/>
      <w:spacing w:after="0" w:line="360" w:lineRule="auto"/>
      <w:ind w:left="187" w:firstLineChars="200" w:firstLine="420"/>
      <w:textAlignment w:val="baseline"/>
    </w:pPr>
    <w:rPr>
      <w:i/>
      <w:szCs w:val="20"/>
    </w:rPr>
  </w:style>
  <w:style w:type="paragraph" w:customStyle="1" w:styleId="ListBulletFirst">
    <w:name w:val="List Bullet First"/>
    <w:basedOn w:val="af0"/>
    <w:next w:val="af0"/>
    <w:qFormat/>
    <w:pPr>
      <w:widowControl/>
      <w:tabs>
        <w:tab w:val="clear" w:pos="360"/>
      </w:tabs>
      <w:overflowPunct w:val="0"/>
      <w:autoSpaceDE w:val="0"/>
      <w:autoSpaceDN w:val="0"/>
      <w:adjustRightInd w:val="0"/>
      <w:spacing w:before="80" w:after="160" w:line="360" w:lineRule="auto"/>
      <w:ind w:left="720" w:firstLineChars="200" w:firstLine="200"/>
      <w:textAlignment w:val="baseline"/>
    </w:pPr>
    <w:rPr>
      <w:kern w:val="0"/>
      <w:sz w:val="20"/>
      <w:szCs w:val="20"/>
    </w:rPr>
  </w:style>
  <w:style w:type="paragraph" w:customStyle="1" w:styleId="ListBulletLast">
    <w:name w:val="List Bullet Last"/>
    <w:basedOn w:val="af0"/>
    <w:next w:val="afb"/>
    <w:qFormat/>
    <w:pPr>
      <w:widowControl/>
      <w:tabs>
        <w:tab w:val="clear" w:pos="360"/>
      </w:tabs>
      <w:overflowPunct w:val="0"/>
      <w:autoSpaceDE w:val="0"/>
      <w:autoSpaceDN w:val="0"/>
      <w:adjustRightInd w:val="0"/>
      <w:spacing w:after="240" w:line="360" w:lineRule="auto"/>
      <w:ind w:left="720" w:firstLineChars="200" w:firstLine="200"/>
      <w:textAlignment w:val="baseline"/>
    </w:pPr>
    <w:rPr>
      <w:kern w:val="0"/>
      <w:sz w:val="20"/>
      <w:szCs w:val="20"/>
    </w:rPr>
  </w:style>
  <w:style w:type="paragraph" w:customStyle="1" w:styleId="ListFirst">
    <w:name w:val="List First"/>
    <w:basedOn w:val="ad"/>
    <w:next w:val="ad"/>
    <w:qFormat/>
    <w:pPr>
      <w:widowControl/>
      <w:tabs>
        <w:tab w:val="left" w:pos="720"/>
      </w:tabs>
      <w:overflowPunct w:val="0"/>
      <w:autoSpaceDE w:val="0"/>
      <w:autoSpaceDN w:val="0"/>
      <w:adjustRightInd w:val="0"/>
      <w:spacing w:before="80" w:after="80" w:line="360" w:lineRule="auto"/>
      <w:ind w:left="720" w:firstLineChars="200" w:hanging="360"/>
      <w:textAlignment w:val="baseline"/>
    </w:pPr>
    <w:rPr>
      <w:rFonts w:ascii="Times New Roman" w:eastAsia="宋体"/>
      <w:kern w:val="0"/>
      <w:sz w:val="20"/>
    </w:rPr>
  </w:style>
  <w:style w:type="paragraph" w:customStyle="1" w:styleId="ListLast">
    <w:name w:val="List Last"/>
    <w:basedOn w:val="ad"/>
    <w:next w:val="afb"/>
    <w:qFormat/>
    <w:pPr>
      <w:widowControl/>
      <w:tabs>
        <w:tab w:val="left" w:pos="720"/>
      </w:tabs>
      <w:overflowPunct w:val="0"/>
      <w:autoSpaceDE w:val="0"/>
      <w:autoSpaceDN w:val="0"/>
      <w:adjustRightInd w:val="0"/>
      <w:spacing w:after="240" w:line="360" w:lineRule="auto"/>
      <w:ind w:left="720" w:firstLineChars="200" w:hanging="360"/>
      <w:textAlignment w:val="baseline"/>
    </w:pPr>
    <w:rPr>
      <w:rFonts w:ascii="Times New Roman" w:eastAsia="宋体"/>
      <w:kern w:val="0"/>
      <w:sz w:val="20"/>
    </w:rPr>
  </w:style>
  <w:style w:type="paragraph" w:customStyle="1" w:styleId="ListNumberFirst">
    <w:name w:val="List Number First"/>
    <w:basedOn w:val="ac"/>
    <w:next w:val="ac"/>
    <w:qFormat/>
    <w:pPr>
      <w:spacing w:before="80" w:line="360" w:lineRule="auto"/>
      <w:ind w:firstLineChars="200" w:firstLine="200"/>
      <w:jc w:val="both"/>
    </w:pPr>
  </w:style>
  <w:style w:type="paragraph" w:customStyle="1" w:styleId="ListNumberLast">
    <w:name w:val="List Number Last"/>
    <w:basedOn w:val="ac"/>
    <w:next w:val="afb"/>
    <w:qFormat/>
    <w:pPr>
      <w:spacing w:after="240" w:line="360" w:lineRule="auto"/>
      <w:ind w:firstLineChars="200" w:firstLine="200"/>
      <w:jc w:val="both"/>
    </w:pPr>
  </w:style>
  <w:style w:type="paragraph" w:customStyle="1" w:styleId="Name">
    <w:name w:val="Name"/>
    <w:basedOn w:val="afb"/>
    <w:qFormat/>
    <w:pPr>
      <w:keepNext/>
      <w:widowControl/>
      <w:tabs>
        <w:tab w:val="right" w:pos="3960"/>
      </w:tabs>
      <w:overflowPunct w:val="0"/>
      <w:autoSpaceDE w:val="0"/>
      <w:autoSpaceDN w:val="0"/>
      <w:adjustRightInd w:val="0"/>
      <w:spacing w:before="120" w:after="0" w:line="360" w:lineRule="auto"/>
      <w:ind w:firstLineChars="200" w:firstLine="420"/>
      <w:textAlignment w:val="baseline"/>
    </w:pPr>
    <w:rPr>
      <w:rFonts w:ascii="Arial" w:hAnsi="Arial"/>
      <w:b/>
      <w:szCs w:val="20"/>
    </w:rPr>
  </w:style>
  <w:style w:type="paragraph" w:customStyle="1" w:styleId="Picture">
    <w:name w:val="Picture"/>
    <w:basedOn w:val="afb"/>
    <w:qFormat/>
    <w:pPr>
      <w:keepNext/>
      <w:widowControl/>
      <w:overflowPunct w:val="0"/>
      <w:autoSpaceDE w:val="0"/>
      <w:autoSpaceDN w:val="0"/>
      <w:adjustRightInd w:val="0"/>
      <w:spacing w:after="160" w:line="360" w:lineRule="auto"/>
      <w:ind w:firstLineChars="200" w:firstLine="420"/>
      <w:jc w:val="center"/>
      <w:textAlignment w:val="baseline"/>
    </w:pPr>
    <w:rPr>
      <w:szCs w:val="20"/>
    </w:rPr>
  </w:style>
  <w:style w:type="paragraph" w:customStyle="1" w:styleId="SectionHeading">
    <w:name w:val="Section Heading"/>
    <w:basedOn w:val="HeadingBase"/>
    <w:next w:val="afb"/>
    <w:qFormat/>
    <w:pPr>
      <w:spacing w:after="0"/>
    </w:pPr>
    <w:rPr>
      <w:rFonts w:ascii="Times New Roman" w:hAnsi="Times New Roman"/>
      <w:sz w:val="28"/>
    </w:rPr>
  </w:style>
  <w:style w:type="paragraph" w:customStyle="1" w:styleId="SubtitleCover">
    <w:name w:val="Subtitle Cover"/>
    <w:basedOn w:val="a1"/>
    <w:next w:val="afb"/>
    <w:qFormat/>
    <w:pPr>
      <w:keepNext/>
      <w:widowControl/>
      <w:overflowPunct w:val="0"/>
      <w:autoSpaceDE w:val="0"/>
      <w:autoSpaceDN w:val="0"/>
      <w:adjustRightInd w:val="0"/>
      <w:spacing w:before="240" w:after="160" w:line="360" w:lineRule="auto"/>
      <w:ind w:firstLineChars="200" w:firstLine="420"/>
      <w:jc w:val="center"/>
      <w:textAlignment w:val="baseline"/>
    </w:pPr>
    <w:rPr>
      <w:rFonts w:ascii="Arial" w:hAnsi="Arial"/>
      <w:i/>
      <w:kern w:val="28"/>
      <w:sz w:val="36"/>
      <w:szCs w:val="20"/>
    </w:rPr>
  </w:style>
  <w:style w:type="paragraph" w:customStyle="1" w:styleId="TitleCover">
    <w:name w:val="Title Cover"/>
    <w:basedOn w:val="HeadingBase"/>
    <w:next w:val="a1"/>
    <w:qFormat/>
    <w:pPr>
      <w:spacing w:before="720" w:after="160"/>
      <w:jc w:val="center"/>
    </w:pPr>
    <w:rPr>
      <w:sz w:val="48"/>
    </w:rPr>
  </w:style>
  <w:style w:type="paragraph" w:customStyle="1" w:styleId="1fff3">
    <w:name w:val="表中文字1"/>
    <w:basedOn w:val="a1"/>
    <w:qFormat/>
    <w:pPr>
      <w:spacing w:line="440" w:lineRule="exact"/>
      <w:ind w:firstLineChars="200" w:firstLine="420"/>
    </w:pPr>
    <w:rPr>
      <w:rFonts w:ascii="Times New Roman" w:hAnsi="Times New Roman"/>
      <w:sz w:val="28"/>
      <w:szCs w:val="24"/>
    </w:rPr>
  </w:style>
  <w:style w:type="paragraph" w:customStyle="1" w:styleId="affffffffffffff3">
    <w:name w:val="韩奇"/>
    <w:basedOn w:val="a1"/>
    <w:qFormat/>
    <w:pPr>
      <w:adjustRightInd w:val="0"/>
      <w:spacing w:line="480" w:lineRule="atLeast"/>
      <w:ind w:firstLineChars="200" w:firstLine="560"/>
    </w:pPr>
    <w:rPr>
      <w:rFonts w:ascii="Times New Roman" w:eastAsia="楷体_GB2312" w:hAnsi="Times New Roman"/>
      <w:kern w:val="0"/>
      <w:sz w:val="28"/>
      <w:szCs w:val="20"/>
    </w:rPr>
  </w:style>
  <w:style w:type="paragraph" w:customStyle="1" w:styleId="affffffffffffff4">
    <w:name w:val="表 头"/>
    <w:basedOn w:val="a1"/>
    <w:qFormat/>
    <w:pPr>
      <w:adjustRightInd w:val="0"/>
      <w:spacing w:before="120" w:after="120" w:line="360" w:lineRule="atLeast"/>
      <w:ind w:firstLineChars="200" w:firstLine="420"/>
      <w:jc w:val="center"/>
    </w:pPr>
    <w:rPr>
      <w:rFonts w:ascii="Times New Roman" w:eastAsia="黑体" w:hAnsi="Times New Roman"/>
      <w:spacing w:val="10"/>
      <w:kern w:val="0"/>
      <w:sz w:val="24"/>
      <w:szCs w:val="20"/>
    </w:rPr>
  </w:style>
  <w:style w:type="paragraph" w:customStyle="1" w:styleId="Charfa">
    <w:name w:val="段落 Char"/>
    <w:basedOn w:val="a1"/>
    <w:qFormat/>
    <w:pPr>
      <w:spacing w:line="440" w:lineRule="exact"/>
      <w:ind w:firstLineChars="200" w:firstLine="504"/>
      <w:textAlignment w:val="baseline"/>
    </w:pPr>
    <w:rPr>
      <w:rFonts w:ascii="Times New Roman" w:hAnsi="Times New Roman"/>
      <w:color w:val="000000"/>
      <w:spacing w:val="6"/>
      <w:kern w:val="24"/>
      <w:sz w:val="24"/>
      <w:szCs w:val="24"/>
    </w:rPr>
  </w:style>
  <w:style w:type="paragraph" w:customStyle="1" w:styleId="1fff4">
    <w:name w:val="字母1"/>
    <w:basedOn w:val="a1"/>
    <w:qFormat/>
    <w:pPr>
      <w:spacing w:before="60" w:after="60" w:line="480" w:lineRule="exact"/>
      <w:ind w:firstLineChars="200" w:firstLine="420"/>
      <w:textAlignment w:val="baseline"/>
    </w:pPr>
    <w:rPr>
      <w:rFonts w:ascii="Times New Roman" w:hAnsi="Times New Roman"/>
      <w:spacing w:val="6"/>
      <w:kern w:val="0"/>
      <w:sz w:val="24"/>
      <w:szCs w:val="24"/>
    </w:rPr>
  </w:style>
  <w:style w:type="paragraph" w:customStyle="1" w:styleId="2fff0">
    <w:name w:val="字母2"/>
    <w:basedOn w:val="a1"/>
    <w:qFormat/>
    <w:pPr>
      <w:spacing w:before="60" w:after="60" w:line="440" w:lineRule="exact"/>
      <w:ind w:firstLineChars="200" w:firstLine="420"/>
      <w:textAlignment w:val="baseline"/>
    </w:pPr>
    <w:rPr>
      <w:rFonts w:ascii="Times New Roman" w:hAnsi="Times New Roman"/>
      <w:spacing w:val="6"/>
      <w:kern w:val="0"/>
      <w:sz w:val="24"/>
      <w:szCs w:val="24"/>
    </w:rPr>
  </w:style>
  <w:style w:type="paragraph" w:customStyle="1" w:styleId="affffffffffffff5">
    <w:name w:val="段落黑"/>
    <w:basedOn w:val="a1"/>
    <w:qFormat/>
    <w:pPr>
      <w:spacing w:after="60" w:line="440" w:lineRule="exact"/>
      <w:ind w:firstLineChars="100" w:firstLine="244"/>
    </w:pPr>
    <w:rPr>
      <w:rFonts w:ascii="Times New Roman" w:eastAsia="黑体" w:hAnsi="Times New Roman"/>
      <w:spacing w:val="2"/>
      <w:kern w:val="0"/>
      <w:sz w:val="24"/>
      <w:szCs w:val="24"/>
    </w:rPr>
  </w:style>
  <w:style w:type="paragraph" w:customStyle="1" w:styleId="405050">
    <w:name w:val="样式 标题 4 + 段前: 0.5 行 段后: 0.5 行"/>
    <w:basedOn w:val="4a"/>
    <w:qFormat/>
    <w:pPr>
      <w:tabs>
        <w:tab w:val="left" w:pos="1880"/>
      </w:tabs>
      <w:adjustRightInd w:val="0"/>
      <w:snapToGrid w:val="0"/>
      <w:spacing w:before="50" w:after="50" w:line="400" w:lineRule="atLeast"/>
      <w:jc w:val="left"/>
    </w:pPr>
    <w:rPr>
      <w:rFonts w:ascii="Times New Roman" w:hAnsi="Times New Roman" w:cs="Times New Roman"/>
      <w:b w:val="0"/>
      <w:bCs w:val="0"/>
      <w:kern w:val="0"/>
    </w:rPr>
  </w:style>
  <w:style w:type="paragraph" w:customStyle="1" w:styleId="1fff5">
    <w:name w:val="样式 段落黑 + 首行缩进:  1 字符"/>
    <w:basedOn w:val="affffffffffffff5"/>
    <w:qFormat/>
    <w:pPr>
      <w:spacing w:after="0" w:line="480" w:lineRule="exact"/>
      <w:ind w:firstLine="100"/>
    </w:pPr>
    <w:rPr>
      <w:szCs w:val="20"/>
    </w:rPr>
  </w:style>
  <w:style w:type="paragraph" w:customStyle="1" w:styleId="affffffffffffff6">
    <w:name w:val="样式 表格内容 +"/>
    <w:basedOn w:val="aff1"/>
    <w:qFormat/>
    <w:pPr>
      <w:adjustRightInd w:val="0"/>
      <w:snapToGrid w:val="0"/>
      <w:spacing w:line="320" w:lineRule="exact"/>
      <w:ind w:firstLine="420"/>
      <w:jc w:val="center"/>
    </w:pPr>
    <w:rPr>
      <w:rFonts w:ascii="Times New Roman" w:hAnsi="Times New Roman"/>
      <w:sz w:val="24"/>
    </w:rPr>
  </w:style>
  <w:style w:type="paragraph" w:customStyle="1" w:styleId="405051">
    <w:name w:val="样式 标题 4 + 段前: 0.5 行 段后: 0.5 行1"/>
    <w:basedOn w:val="4a"/>
    <w:qFormat/>
    <w:pPr>
      <w:tabs>
        <w:tab w:val="left" w:pos="1880"/>
      </w:tabs>
      <w:adjustRightInd w:val="0"/>
      <w:snapToGrid w:val="0"/>
      <w:spacing w:before="50" w:after="50" w:line="320" w:lineRule="atLeast"/>
      <w:jc w:val="left"/>
    </w:pPr>
    <w:rPr>
      <w:rFonts w:ascii="Times New Roman" w:hAnsi="Times New Roman" w:cs="Times New Roman"/>
      <w:b w:val="0"/>
      <w:bCs w:val="0"/>
      <w:kern w:val="0"/>
    </w:rPr>
  </w:style>
  <w:style w:type="paragraph" w:customStyle="1" w:styleId="2220">
    <w:name w:val="样式 标题 2样式 2 + 首行缩进:  2 字符"/>
    <w:basedOn w:val="2a"/>
    <w:next w:val="2a"/>
    <w:qFormat/>
    <w:pPr>
      <w:tabs>
        <w:tab w:val="left" w:pos="540"/>
        <w:tab w:val="left" w:pos="851"/>
        <w:tab w:val="left" w:pos="1040"/>
      </w:tabs>
      <w:autoSpaceDE w:val="0"/>
      <w:autoSpaceDN w:val="0"/>
      <w:adjustRightInd w:val="0"/>
      <w:snapToGrid w:val="0"/>
      <w:spacing w:beforeLines="0" w:afterLines="0"/>
      <w:ind w:left="4536" w:hanging="576"/>
      <w:jc w:val="both"/>
      <w:textAlignment w:val="baseline"/>
    </w:pPr>
    <w:rPr>
      <w:rFonts w:ascii="Times New Roman" w:hAnsi="Times New Roman"/>
      <w:b w:val="0"/>
      <w:bCs w:val="0"/>
      <w:spacing w:val="4"/>
      <w:sz w:val="30"/>
    </w:rPr>
  </w:style>
  <w:style w:type="paragraph" w:customStyle="1" w:styleId="2278">
    <w:name w:val="样式 标题 2样式 2 + 段后: 7.8 磅"/>
    <w:basedOn w:val="2a"/>
    <w:qFormat/>
    <w:pPr>
      <w:tabs>
        <w:tab w:val="left" w:pos="540"/>
        <w:tab w:val="left" w:pos="851"/>
        <w:tab w:val="left" w:pos="1040"/>
      </w:tabs>
      <w:autoSpaceDE w:val="0"/>
      <w:autoSpaceDN w:val="0"/>
      <w:adjustRightInd w:val="0"/>
      <w:snapToGrid w:val="0"/>
      <w:spacing w:beforeLines="0" w:afterLines="0"/>
      <w:ind w:left="4680" w:hanging="567"/>
      <w:jc w:val="both"/>
    </w:pPr>
    <w:rPr>
      <w:rFonts w:ascii="Times New Roman" w:hAnsi="Times New Roman"/>
      <w:b w:val="0"/>
      <w:bCs w:val="0"/>
      <w:spacing w:val="4"/>
      <w:sz w:val="30"/>
      <w:szCs w:val="30"/>
    </w:rPr>
  </w:style>
  <w:style w:type="paragraph" w:customStyle="1" w:styleId="378">
    <w:name w:val="样式 标题 3 + 段后: 7.8 磅"/>
    <w:basedOn w:val="3a"/>
    <w:qFormat/>
    <w:pPr>
      <w:autoSpaceDE w:val="0"/>
      <w:autoSpaceDN w:val="0"/>
      <w:adjustRightInd w:val="0"/>
      <w:snapToGrid w:val="0"/>
      <w:spacing w:beforeLines="50" w:afterLines="50" w:line="360" w:lineRule="exact"/>
      <w:textAlignment w:val="baseline"/>
    </w:pPr>
    <w:rPr>
      <w:rFonts w:ascii="Times New Roman" w:eastAsia="黑体" w:hAnsi="Times New Roman"/>
      <w:b w:val="0"/>
      <w:bCs w:val="0"/>
      <w:spacing w:val="4"/>
      <w:sz w:val="28"/>
      <w:szCs w:val="28"/>
    </w:rPr>
  </w:style>
  <w:style w:type="paragraph" w:customStyle="1" w:styleId="1221">
    <w:name w:val="样式 段落1 + 首行缩进:  2 字符 行距: 固定值 21 磅"/>
    <w:basedOn w:val="1ff6"/>
    <w:qFormat/>
    <w:pPr>
      <w:spacing w:line="420" w:lineRule="exact"/>
      <w:ind w:firstLineChars="200" w:firstLine="504"/>
    </w:pPr>
    <w:rPr>
      <w:spacing w:val="6"/>
      <w:kern w:val="2"/>
      <w:szCs w:val="24"/>
    </w:rPr>
  </w:style>
  <w:style w:type="paragraph" w:customStyle="1" w:styleId="401">
    <w:name w:val="样式 标题 4 + 首行缩进:  0 字符"/>
    <w:basedOn w:val="4a"/>
    <w:qFormat/>
    <w:pPr>
      <w:tabs>
        <w:tab w:val="left" w:pos="1880"/>
      </w:tabs>
      <w:adjustRightInd w:val="0"/>
      <w:snapToGrid w:val="0"/>
      <w:spacing w:before="0" w:after="0" w:line="320" w:lineRule="atLeast"/>
      <w:ind w:left="4680"/>
      <w:jc w:val="left"/>
    </w:pPr>
    <w:rPr>
      <w:rFonts w:ascii="Times New Roman" w:hAnsi="Times New Roman" w:cs="Times New Roman"/>
      <w:b w:val="0"/>
      <w:bCs w:val="0"/>
      <w:spacing w:val="4"/>
      <w:kern w:val="0"/>
      <w:szCs w:val="20"/>
    </w:rPr>
  </w:style>
  <w:style w:type="paragraph" w:customStyle="1" w:styleId="121">
    <w:name w:val="样式 目录 1 + 首行缩进:  2 字符"/>
    <w:basedOn w:val="1c"/>
    <w:qFormat/>
    <w:pPr>
      <w:tabs>
        <w:tab w:val="right" w:leader="dot" w:pos="9174"/>
      </w:tabs>
      <w:spacing w:beforeLines="50" w:afterLines="50" w:line="400" w:lineRule="exact"/>
      <w:ind w:firstLineChars="200" w:firstLine="420"/>
      <w:textAlignment w:val="baseline"/>
    </w:pPr>
    <w:rPr>
      <w:rFonts w:ascii="Times New Roman" w:eastAsia="黑体" w:hAnsi="Times New Roman"/>
      <w:b/>
      <w:bCs/>
      <w:caps/>
      <w:sz w:val="28"/>
      <w:szCs w:val="44"/>
    </w:rPr>
  </w:style>
  <w:style w:type="paragraph" w:customStyle="1" w:styleId="2100">
    <w:name w:val="样式 段落2 + 10 磅"/>
    <w:basedOn w:val="2ffe"/>
    <w:qFormat/>
    <w:pPr>
      <w:spacing w:before="120" w:after="120" w:line="480" w:lineRule="exact"/>
      <w:jc w:val="left"/>
      <w:textAlignment w:val="baseline"/>
    </w:pPr>
    <w:rPr>
      <w:kern w:val="0"/>
      <w:sz w:val="20"/>
    </w:rPr>
  </w:style>
  <w:style w:type="paragraph" w:customStyle="1" w:styleId="10505">
    <w:name w:val="样式 目录 1 + 段前: 0.5 行 段后: 0.5 行"/>
    <w:basedOn w:val="1c"/>
    <w:qFormat/>
    <w:pPr>
      <w:tabs>
        <w:tab w:val="right" w:leader="dot" w:pos="9174"/>
      </w:tabs>
      <w:spacing w:before="120" w:after="120" w:line="400" w:lineRule="exact"/>
      <w:ind w:firstLineChars="200" w:firstLine="200"/>
      <w:textAlignment w:val="baseline"/>
    </w:pPr>
    <w:rPr>
      <w:rFonts w:ascii="Times New Roman" w:eastAsia="黑体" w:hAnsi="Times New Roman"/>
      <w:b/>
      <w:bCs/>
      <w:caps/>
      <w:spacing w:val="6"/>
      <w:sz w:val="24"/>
      <w:szCs w:val="24"/>
    </w:rPr>
  </w:style>
  <w:style w:type="paragraph" w:customStyle="1" w:styleId="224">
    <w:name w:val="样式 四号 首行缩进:  2 字符 + 首行缩进:  2 字符"/>
    <w:basedOn w:val="a1"/>
    <w:qFormat/>
    <w:pPr>
      <w:spacing w:line="440" w:lineRule="exact"/>
      <w:ind w:firstLineChars="200" w:firstLine="504"/>
    </w:pPr>
    <w:rPr>
      <w:rFonts w:ascii="宋体" w:hAnsi="宋体"/>
      <w:spacing w:val="6"/>
      <w:sz w:val="24"/>
      <w:szCs w:val="28"/>
    </w:rPr>
  </w:style>
  <w:style w:type="paragraph" w:customStyle="1" w:styleId="0502">
    <w:name w:val="样式 图表名称 + 段前: 0.5 行 段后: 0.2 行"/>
    <w:basedOn w:val="afffffffffff8"/>
    <w:qFormat/>
    <w:pPr>
      <w:widowControl w:val="0"/>
      <w:spacing w:beforeLines="50" w:afterLines="20" w:line="400" w:lineRule="exact"/>
      <w:ind w:firstLineChars="200" w:firstLine="471"/>
    </w:pPr>
    <w:rPr>
      <w:b w:val="0"/>
      <w:bCs w:val="0"/>
      <w:szCs w:val="24"/>
    </w:rPr>
  </w:style>
  <w:style w:type="paragraph" w:customStyle="1" w:styleId="2fff1">
    <w:name w:val="表头2"/>
    <w:basedOn w:val="a1"/>
    <w:next w:val="a1"/>
    <w:qFormat/>
    <w:pPr>
      <w:adjustRightInd w:val="0"/>
      <w:snapToGrid w:val="0"/>
      <w:spacing w:beforeLines="50" w:line="360" w:lineRule="auto"/>
      <w:ind w:firstLineChars="200" w:firstLine="420"/>
      <w:jc w:val="center"/>
    </w:pPr>
    <w:rPr>
      <w:rFonts w:ascii="楷体_GB2312" w:eastAsia="楷体_GB2312" w:hAnsi="宋体"/>
      <w:b/>
      <w:spacing w:val="10"/>
      <w:sz w:val="24"/>
      <w:szCs w:val="24"/>
    </w:rPr>
  </w:style>
  <w:style w:type="paragraph" w:customStyle="1" w:styleId="001">
    <w:name w:val="正文001"/>
    <w:basedOn w:val="a1"/>
    <w:link w:val="001Char"/>
    <w:qFormat/>
    <w:pPr>
      <w:spacing w:before="60" w:line="360" w:lineRule="auto"/>
      <w:ind w:firstLineChars="200" w:firstLine="200"/>
    </w:pPr>
    <w:rPr>
      <w:rFonts w:ascii="Arial" w:hAnsi="Arial"/>
      <w:kern w:val="0"/>
      <w:sz w:val="24"/>
      <w:szCs w:val="20"/>
    </w:rPr>
  </w:style>
  <w:style w:type="paragraph" w:customStyle="1" w:styleId="2fff2">
    <w:name w:val="2级标题"/>
    <w:basedOn w:val="a1"/>
    <w:qFormat/>
    <w:pPr>
      <w:spacing w:before="60" w:line="460" w:lineRule="exact"/>
      <w:ind w:firstLineChars="200" w:firstLine="420"/>
      <w:outlineLvl w:val="1"/>
    </w:pPr>
    <w:rPr>
      <w:rFonts w:ascii="Arial" w:hAnsi="Arial" w:cs="Arial"/>
      <w:b/>
      <w:sz w:val="28"/>
      <w:szCs w:val="20"/>
    </w:rPr>
  </w:style>
  <w:style w:type="paragraph" w:customStyle="1" w:styleId="1fff6">
    <w:name w:val="1级标题"/>
    <w:basedOn w:val="a1"/>
    <w:qFormat/>
    <w:pPr>
      <w:spacing w:before="60" w:line="460" w:lineRule="exact"/>
      <w:ind w:firstLineChars="200" w:firstLine="420"/>
      <w:outlineLvl w:val="0"/>
    </w:pPr>
    <w:rPr>
      <w:rFonts w:ascii="Arial" w:hAnsi="Arial" w:cs="Arial"/>
      <w:b/>
      <w:sz w:val="32"/>
      <w:szCs w:val="20"/>
    </w:rPr>
  </w:style>
  <w:style w:type="paragraph" w:customStyle="1" w:styleId="affffffffffffff7">
    <w:name w:val="图文框"/>
    <w:basedOn w:val="a1"/>
    <w:qFormat/>
    <w:pPr>
      <w:widowControl/>
      <w:spacing w:line="360" w:lineRule="auto"/>
      <w:ind w:firstLineChars="200" w:firstLine="420"/>
      <w:jc w:val="center"/>
    </w:pPr>
    <w:rPr>
      <w:rFonts w:ascii="宋体" w:hAnsi="宋体"/>
      <w:sz w:val="24"/>
      <w:szCs w:val="24"/>
    </w:rPr>
  </w:style>
  <w:style w:type="paragraph" w:customStyle="1" w:styleId="2fff3">
    <w:name w:val="环标2"/>
    <w:basedOn w:val="2a"/>
    <w:qFormat/>
    <w:pPr>
      <w:tabs>
        <w:tab w:val="left" w:pos="540"/>
        <w:tab w:val="left" w:pos="851"/>
        <w:tab w:val="left" w:pos="1040"/>
      </w:tabs>
      <w:autoSpaceDE w:val="0"/>
      <w:autoSpaceDN w:val="0"/>
      <w:adjustRightInd w:val="0"/>
      <w:snapToGrid w:val="0"/>
      <w:spacing w:beforeLines="0" w:afterLines="0" w:line="312" w:lineRule="atLeast"/>
      <w:ind w:left="4536" w:hanging="576"/>
      <w:jc w:val="both"/>
      <w:textAlignment w:val="baseline"/>
    </w:pPr>
    <w:rPr>
      <w:rFonts w:ascii="黑体"/>
      <w:b w:val="0"/>
      <w:bCs w:val="0"/>
      <w:sz w:val="28"/>
      <w:szCs w:val="20"/>
    </w:rPr>
  </w:style>
  <w:style w:type="paragraph" w:customStyle="1" w:styleId="01">
    <w:name w:val="正文01"/>
    <w:basedOn w:val="a1"/>
    <w:link w:val="01Char"/>
    <w:qFormat/>
    <w:pPr>
      <w:spacing w:before="60" w:line="460" w:lineRule="exact"/>
      <w:ind w:firstLineChars="200" w:firstLine="200"/>
    </w:pPr>
    <w:rPr>
      <w:rFonts w:ascii="Arial" w:hAnsi="Arial"/>
      <w:kern w:val="0"/>
      <w:sz w:val="24"/>
      <w:szCs w:val="20"/>
    </w:rPr>
  </w:style>
  <w:style w:type="paragraph" w:customStyle="1" w:styleId="affffffffffffff8">
    <w:name w:val="表格文字（居中）"/>
    <w:basedOn w:val="a1"/>
    <w:qFormat/>
    <w:pPr>
      <w:spacing w:line="360" w:lineRule="auto"/>
      <w:ind w:firstLineChars="200" w:firstLine="420"/>
      <w:jc w:val="center"/>
    </w:pPr>
    <w:rPr>
      <w:rFonts w:ascii="Times New Roman" w:hAnsi="Times New Roman"/>
      <w:sz w:val="24"/>
      <w:szCs w:val="24"/>
    </w:rPr>
  </w:style>
  <w:style w:type="paragraph" w:customStyle="1" w:styleId="affffffffffffff9">
    <w:name w:val="表格文字两端对齐"/>
    <w:basedOn w:val="a1"/>
    <w:semiHidden/>
    <w:qFormat/>
    <w:pPr>
      <w:spacing w:line="300" w:lineRule="auto"/>
      <w:ind w:firstLineChars="200" w:firstLine="420"/>
      <w:jc w:val="center"/>
    </w:pPr>
    <w:rPr>
      <w:rFonts w:ascii="Arial Narrow" w:eastAsia="仿宋_GB2312" w:hAnsi="Arial Narrow"/>
      <w:color w:val="000000"/>
      <w:kern w:val="0"/>
      <w:sz w:val="24"/>
      <w:szCs w:val="24"/>
    </w:rPr>
  </w:style>
  <w:style w:type="paragraph" w:customStyle="1" w:styleId="311">
    <w:name w:val="正文文本 31"/>
    <w:basedOn w:val="a1"/>
    <w:qFormat/>
    <w:pPr>
      <w:adjustRightInd w:val="0"/>
      <w:spacing w:line="360" w:lineRule="atLeast"/>
      <w:ind w:firstLineChars="200" w:firstLine="420"/>
      <w:jc w:val="center"/>
      <w:textAlignment w:val="baseline"/>
    </w:pPr>
    <w:rPr>
      <w:sz w:val="16"/>
      <w:szCs w:val="16"/>
    </w:rPr>
  </w:style>
  <w:style w:type="paragraph" w:customStyle="1" w:styleId="affffffffffffffa">
    <w:name w:val="居中正文"/>
    <w:basedOn w:val="afffe"/>
    <w:link w:val="Charfb"/>
    <w:qFormat/>
    <w:pPr>
      <w:adjustRightInd w:val="0"/>
      <w:spacing w:before="120" w:after="0" w:line="360" w:lineRule="auto"/>
      <w:ind w:firstLineChars="0" w:firstLine="0"/>
      <w:jc w:val="center"/>
    </w:pPr>
    <w:rPr>
      <w:rFonts w:ascii="宋体"/>
      <w:kern w:val="28"/>
      <w:sz w:val="24"/>
      <w:szCs w:val="20"/>
    </w:rPr>
  </w:style>
  <w:style w:type="paragraph" w:customStyle="1" w:styleId="a30">
    <w:name w:val="a3"/>
    <w:basedOn w:val="a1"/>
    <w:link w:val="a3Char"/>
    <w:qFormat/>
    <w:pPr>
      <w:widowControl/>
      <w:spacing w:before="100" w:beforeAutospacing="1" w:after="100" w:afterAutospacing="1" w:line="360" w:lineRule="auto"/>
      <w:ind w:firstLineChars="200" w:firstLine="420"/>
    </w:pPr>
    <w:rPr>
      <w:rFonts w:ascii="宋体" w:hAnsi="宋体"/>
      <w:color w:val="000000"/>
      <w:kern w:val="0"/>
      <w:sz w:val="24"/>
      <w:szCs w:val="24"/>
    </w:rPr>
  </w:style>
  <w:style w:type="paragraph" w:customStyle="1" w:styleId="affffffffffffffb">
    <w:name w:val="法规列表"/>
    <w:basedOn w:val="a1"/>
    <w:semiHidden/>
    <w:qFormat/>
    <w:pPr>
      <w:tabs>
        <w:tab w:val="left" w:pos="420"/>
      </w:tabs>
      <w:spacing w:beforeLines="50" w:line="360" w:lineRule="auto"/>
      <w:ind w:left="420" w:firstLineChars="200" w:hanging="420"/>
    </w:pPr>
    <w:rPr>
      <w:rFonts w:ascii="Times New Roman" w:eastAsia="仿宋_GB2312" w:hAnsi="Times New Roman"/>
      <w:sz w:val="24"/>
      <w:szCs w:val="24"/>
    </w:rPr>
  </w:style>
  <w:style w:type="paragraph" w:customStyle="1" w:styleId="affffffffffffffc">
    <w:name w:val="图表名"/>
    <w:basedOn w:val="a1"/>
    <w:semiHidden/>
    <w:qFormat/>
    <w:pPr>
      <w:spacing w:beforeLines="30" w:afterLines="20" w:line="440" w:lineRule="exact"/>
      <w:ind w:firstLineChars="200" w:firstLine="480"/>
      <w:jc w:val="center"/>
    </w:pPr>
    <w:rPr>
      <w:rFonts w:ascii="Times New Roman" w:eastAsia="黑体" w:hAnsi="Times New Roman"/>
      <w:sz w:val="24"/>
      <w:szCs w:val="24"/>
    </w:rPr>
  </w:style>
  <w:style w:type="paragraph" w:customStyle="1" w:styleId="affffffffffffffd">
    <w:name w:val="表体"/>
    <w:basedOn w:val="afffff0"/>
    <w:qFormat/>
    <w:pPr>
      <w:overflowPunct w:val="0"/>
      <w:snapToGrid/>
      <w:spacing w:beforeLines="0" w:line="360" w:lineRule="exact"/>
      <w:ind w:left="-57" w:right="-57" w:firstLineChars="0" w:firstLine="420"/>
      <w:jc w:val="center"/>
      <w:textAlignment w:val="baseline"/>
    </w:pPr>
    <w:rPr>
      <w:rFonts w:ascii="宋体" w:eastAsia="宋体" w:hAnsi="Times New Roman"/>
      <w:color w:val="000080"/>
      <w:kern w:val="24"/>
      <w:sz w:val="24"/>
      <w:szCs w:val="20"/>
    </w:rPr>
  </w:style>
  <w:style w:type="paragraph" w:customStyle="1" w:styleId="affffffffffffffe">
    <w:name w:val="表后空行"/>
    <w:basedOn w:val="a1"/>
    <w:qFormat/>
    <w:pPr>
      <w:overflowPunct w:val="0"/>
      <w:adjustRightInd w:val="0"/>
      <w:spacing w:line="360" w:lineRule="auto"/>
      <w:textAlignment w:val="baseline"/>
    </w:pPr>
    <w:rPr>
      <w:rFonts w:ascii="Times New Roman" w:hAnsi="Times New Roman"/>
      <w:color w:val="000000"/>
      <w:kern w:val="28"/>
      <w:sz w:val="10"/>
      <w:szCs w:val="20"/>
    </w:rPr>
  </w:style>
  <w:style w:type="paragraph" w:customStyle="1" w:styleId="afffffffffffffff">
    <w:name w:val="公式"/>
    <w:basedOn w:val="a1"/>
    <w:qFormat/>
    <w:pPr>
      <w:keepLines/>
      <w:wordWrap w:val="0"/>
      <w:topLinePunct/>
      <w:spacing w:line="360" w:lineRule="auto"/>
      <w:ind w:rightChars="-50" w:right="-120" w:firstLineChars="200" w:firstLine="200"/>
      <w:outlineLvl w:val="2"/>
    </w:pPr>
    <w:rPr>
      <w:rFonts w:ascii="Times New Roman" w:eastAsia="黑体" w:hAnsi="Times New Roman"/>
      <w:bCs/>
      <w:color w:val="000000"/>
      <w:kern w:val="0"/>
      <w:sz w:val="24"/>
      <w:szCs w:val="32"/>
    </w:rPr>
  </w:style>
  <w:style w:type="paragraph" w:customStyle="1" w:styleId="EIA2">
    <w:name w:val="EIA标题2"/>
    <w:basedOn w:val="2a"/>
    <w:semiHidden/>
    <w:qFormat/>
    <w:pPr>
      <w:tabs>
        <w:tab w:val="left" w:pos="360"/>
        <w:tab w:val="left" w:pos="540"/>
        <w:tab w:val="left" w:pos="851"/>
        <w:tab w:val="left" w:pos="1040"/>
      </w:tabs>
      <w:autoSpaceDE w:val="0"/>
      <w:autoSpaceDN w:val="0"/>
      <w:adjustRightInd w:val="0"/>
      <w:snapToGrid w:val="0"/>
      <w:spacing w:beforeLines="0" w:afterLines="0" w:line="440" w:lineRule="exact"/>
      <w:ind w:left="360" w:hanging="360"/>
      <w:jc w:val="both"/>
    </w:pPr>
    <w:rPr>
      <w:rFonts w:ascii="Times New Roman" w:hAnsi="Times New Roman"/>
      <w:b w:val="0"/>
      <w:bCs w:val="0"/>
      <w:color w:val="000000"/>
      <w:sz w:val="24"/>
      <w:szCs w:val="24"/>
    </w:rPr>
  </w:style>
  <w:style w:type="paragraph" w:customStyle="1" w:styleId="EIA3">
    <w:name w:val="EIA标题3"/>
    <w:basedOn w:val="3a"/>
    <w:semiHidden/>
    <w:qFormat/>
    <w:pPr>
      <w:tabs>
        <w:tab w:val="left" w:pos="360"/>
      </w:tabs>
      <w:autoSpaceDE w:val="0"/>
      <w:autoSpaceDN w:val="0"/>
      <w:adjustRightInd w:val="0"/>
      <w:snapToGrid w:val="0"/>
      <w:spacing w:beforeLines="50" w:afterLines="50" w:line="440" w:lineRule="exact"/>
      <w:ind w:left="360" w:hanging="360"/>
    </w:pPr>
    <w:rPr>
      <w:rFonts w:ascii="Times New Roman" w:eastAsia="楷体_GB2312" w:hAnsi="Times New Roman"/>
      <w:b w:val="0"/>
      <w:bCs w:val="0"/>
      <w:kern w:val="2"/>
      <w:sz w:val="24"/>
      <w:szCs w:val="24"/>
    </w:rPr>
  </w:style>
  <w:style w:type="paragraph" w:customStyle="1" w:styleId="EIA">
    <w:name w:val="EIA正文"/>
    <w:basedOn w:val="a1"/>
    <w:semiHidden/>
    <w:qFormat/>
    <w:pPr>
      <w:spacing w:line="360" w:lineRule="auto"/>
      <w:ind w:firstLineChars="200" w:firstLine="578"/>
    </w:pPr>
    <w:rPr>
      <w:rFonts w:ascii="宋体" w:hAnsi="宋体"/>
      <w:sz w:val="24"/>
      <w:szCs w:val="24"/>
    </w:rPr>
  </w:style>
  <w:style w:type="paragraph" w:customStyle="1" w:styleId="BodyText22">
    <w:name w:val="Body Text 22"/>
    <w:basedOn w:val="a1"/>
    <w:semiHidden/>
    <w:qFormat/>
    <w:pPr>
      <w:adjustRightInd w:val="0"/>
      <w:spacing w:line="440" w:lineRule="atLeast"/>
      <w:ind w:firstLineChars="200" w:firstLine="480"/>
      <w:textAlignment w:val="baseline"/>
    </w:pPr>
    <w:rPr>
      <w:rFonts w:ascii="Times New Roman" w:eastAsia="仿宋_GB2312" w:hAnsi="Times New Roman"/>
      <w:sz w:val="24"/>
      <w:szCs w:val="20"/>
    </w:rPr>
  </w:style>
  <w:style w:type="paragraph" w:customStyle="1" w:styleId="afffffffffffffff0">
    <w:name w:val="小五居左"/>
    <w:semiHidden/>
    <w:qFormat/>
    <w:pPr>
      <w:adjustRightInd w:val="0"/>
      <w:snapToGrid w:val="0"/>
      <w:jc w:val="both"/>
    </w:pPr>
    <w:rPr>
      <w:rFonts w:ascii="Calibri" w:hAnsi="Calibri"/>
      <w:sz w:val="21"/>
      <w:szCs w:val="21"/>
    </w:rPr>
  </w:style>
  <w:style w:type="paragraph" w:customStyle="1" w:styleId="afffffffffffffff1">
    <w:name w:val="小五"/>
    <w:basedOn w:val="a1"/>
    <w:semiHidden/>
    <w:qFormat/>
    <w:pPr>
      <w:autoSpaceDE w:val="0"/>
      <w:autoSpaceDN w:val="0"/>
      <w:adjustRightInd w:val="0"/>
      <w:snapToGrid w:val="0"/>
      <w:spacing w:line="360" w:lineRule="auto"/>
      <w:ind w:firstLineChars="200" w:firstLine="420"/>
      <w:jc w:val="center"/>
    </w:pPr>
    <w:rPr>
      <w:rFonts w:ascii="宋体" w:hAnsi="宋体"/>
      <w:kern w:val="0"/>
      <w:sz w:val="18"/>
      <w:szCs w:val="18"/>
    </w:rPr>
  </w:style>
  <w:style w:type="paragraph" w:customStyle="1" w:styleId="afffffffffffffff2">
    <w:name w:val="表格文字中对齐"/>
    <w:basedOn w:val="a1"/>
    <w:qFormat/>
    <w:pPr>
      <w:spacing w:line="300" w:lineRule="auto"/>
      <w:ind w:firstLineChars="200" w:firstLine="420"/>
      <w:jc w:val="center"/>
    </w:pPr>
    <w:rPr>
      <w:rFonts w:ascii="Times New Roman" w:hAnsi="Times New Roman"/>
      <w:color w:val="000000"/>
      <w:kern w:val="0"/>
      <w:sz w:val="24"/>
      <w:szCs w:val="24"/>
    </w:rPr>
  </w:style>
  <w:style w:type="paragraph" w:customStyle="1" w:styleId="afffffffffffffff3">
    <w:name w:val="表中字"/>
    <w:semiHidden/>
    <w:qFormat/>
    <w:pPr>
      <w:widowControl w:val="0"/>
      <w:adjustRightInd w:val="0"/>
      <w:snapToGrid w:val="0"/>
      <w:jc w:val="center"/>
    </w:pPr>
    <w:rPr>
      <w:w w:val="90"/>
      <w:sz w:val="21"/>
    </w:rPr>
  </w:style>
  <w:style w:type="paragraph" w:customStyle="1" w:styleId="122">
    <w:name w:val="1标题2级"/>
    <w:basedOn w:val="a1"/>
    <w:semiHidden/>
    <w:qFormat/>
    <w:pPr>
      <w:snapToGrid w:val="0"/>
      <w:spacing w:line="360" w:lineRule="auto"/>
      <w:ind w:firstLineChars="200" w:firstLine="420"/>
      <w:outlineLvl w:val="1"/>
    </w:pPr>
    <w:rPr>
      <w:rFonts w:ascii="Times New Roman" w:eastAsia="仿宋_GB2312" w:hAnsi="Times New Roman"/>
      <w:b/>
      <w:sz w:val="32"/>
      <w:szCs w:val="20"/>
    </w:rPr>
  </w:style>
  <w:style w:type="paragraph" w:customStyle="1" w:styleId="afffffffffffffff4">
    <w:name w:val="表前文字"/>
    <w:basedOn w:val="a1"/>
    <w:qFormat/>
    <w:pPr>
      <w:spacing w:line="360" w:lineRule="auto"/>
      <w:ind w:firstLineChars="200" w:firstLine="420"/>
      <w:jc w:val="center"/>
    </w:pPr>
    <w:rPr>
      <w:rFonts w:ascii="宋体" w:hAnsi="宋体"/>
      <w:sz w:val="24"/>
      <w:szCs w:val="24"/>
    </w:rPr>
  </w:style>
  <w:style w:type="paragraph" w:customStyle="1" w:styleId="afffffffffffffff5">
    <w:name w:val="文本框"/>
    <w:basedOn w:val="a1"/>
    <w:qFormat/>
    <w:pPr>
      <w:autoSpaceDE w:val="0"/>
      <w:autoSpaceDN w:val="0"/>
      <w:adjustRightInd w:val="0"/>
      <w:spacing w:line="360" w:lineRule="auto"/>
      <w:ind w:firstLineChars="200" w:firstLine="420"/>
    </w:pPr>
    <w:rPr>
      <w:rFonts w:ascii="宋体" w:hAnsi="宋体" w:cs="宋体"/>
      <w:bCs/>
      <w:color w:val="000000"/>
      <w:kern w:val="0"/>
      <w:sz w:val="24"/>
      <w:szCs w:val="24"/>
      <w:lang w:val="zh-CN"/>
    </w:rPr>
  </w:style>
  <w:style w:type="paragraph" w:customStyle="1" w:styleId="afffffffffffffff6">
    <w:name w:val="文本框图"/>
    <w:basedOn w:val="afffffffffffffff5"/>
    <w:qFormat/>
    <w:rPr>
      <w:bCs w:val="0"/>
    </w:rPr>
  </w:style>
  <w:style w:type="paragraph" w:customStyle="1" w:styleId="afffffffffffffff7">
    <w:name w:val="文本框图片"/>
    <w:basedOn w:val="a1"/>
    <w:qFormat/>
    <w:pPr>
      <w:autoSpaceDE w:val="0"/>
      <w:autoSpaceDN w:val="0"/>
      <w:adjustRightInd w:val="0"/>
      <w:spacing w:line="360" w:lineRule="auto"/>
      <w:ind w:firstLineChars="200" w:firstLine="420"/>
    </w:pPr>
    <w:rPr>
      <w:rFonts w:ascii="宋体" w:hAnsi="宋体" w:cs="宋体"/>
      <w:bCs/>
      <w:color w:val="000000"/>
      <w:kern w:val="0"/>
      <w:sz w:val="24"/>
      <w:szCs w:val="24"/>
      <w:lang w:val="zh-CN"/>
    </w:rPr>
  </w:style>
  <w:style w:type="paragraph" w:customStyle="1" w:styleId="afffffffffffffff8">
    <w:name w:val="简单回函地址"/>
    <w:basedOn w:val="a1"/>
    <w:qFormat/>
    <w:pPr>
      <w:spacing w:line="360" w:lineRule="auto"/>
      <w:ind w:firstLineChars="200" w:firstLine="420"/>
    </w:pPr>
    <w:rPr>
      <w:rFonts w:ascii="Times New Roman" w:hAnsi="Times New Roman"/>
      <w:sz w:val="24"/>
      <w:szCs w:val="20"/>
    </w:rPr>
  </w:style>
  <w:style w:type="paragraph" w:customStyle="1" w:styleId="3ff4">
    <w:name w:val="3级标题"/>
    <w:basedOn w:val="a1"/>
    <w:link w:val="3CharChar"/>
    <w:qFormat/>
    <w:pPr>
      <w:spacing w:before="300" w:line="460" w:lineRule="exact"/>
      <w:ind w:firstLineChars="200" w:firstLine="420"/>
      <w:outlineLvl w:val="2"/>
    </w:pPr>
    <w:rPr>
      <w:rFonts w:ascii="Arial" w:hAnsi="Arial"/>
      <w:b/>
      <w:bCs/>
      <w:kern w:val="0"/>
      <w:sz w:val="24"/>
      <w:szCs w:val="28"/>
    </w:rPr>
  </w:style>
  <w:style w:type="paragraph" w:customStyle="1" w:styleId="afffffffffffffff9">
    <w:name w:val="新正文"/>
    <w:basedOn w:val="a1"/>
    <w:qFormat/>
    <w:pPr>
      <w:spacing w:before="60" w:line="460" w:lineRule="exact"/>
      <w:ind w:firstLineChars="200" w:firstLine="200"/>
    </w:pPr>
    <w:rPr>
      <w:rFonts w:ascii="Times New Roman" w:hAnsi="Times New Roman"/>
      <w:sz w:val="24"/>
      <w:szCs w:val="20"/>
    </w:rPr>
  </w:style>
  <w:style w:type="paragraph" w:customStyle="1" w:styleId="2fff4">
    <w:name w:val="样式 表格文字 + 首行缩进:  2 字符"/>
    <w:basedOn w:val="afffff9"/>
    <w:qFormat/>
    <w:pPr>
      <w:tabs>
        <w:tab w:val="left" w:pos="3060"/>
      </w:tabs>
      <w:adjustRightInd w:val="0"/>
      <w:snapToGrid w:val="0"/>
      <w:ind w:firstLineChars="200" w:firstLine="420"/>
    </w:pPr>
    <w:rPr>
      <w:rFonts w:hAnsi="MS Shell Dlg" w:cs="宋体"/>
      <w:snapToGrid w:val="0"/>
      <w:color w:val="auto"/>
      <w:spacing w:val="0"/>
      <w:sz w:val="24"/>
    </w:rPr>
  </w:style>
  <w:style w:type="paragraph" w:customStyle="1" w:styleId="1fff7">
    <w:name w:val="报告1"/>
    <w:basedOn w:val="afffffffffffc"/>
    <w:qFormat/>
    <w:pPr>
      <w:adjustRightInd w:val="0"/>
      <w:spacing w:line="360" w:lineRule="auto"/>
      <w:ind w:firstLineChars="200" w:firstLine="505"/>
    </w:pPr>
    <w:rPr>
      <w:rFonts w:ascii="TimesNewRoman" w:hAnsi="TimesNewRoman"/>
      <w:spacing w:val="0"/>
      <w:kern w:val="24"/>
      <w:szCs w:val="20"/>
    </w:rPr>
  </w:style>
  <w:style w:type="paragraph" w:customStyle="1" w:styleId="body1">
    <w:name w:val="body 1"/>
    <w:basedOn w:val="a1"/>
    <w:qFormat/>
    <w:pPr>
      <w:adjustRightInd w:val="0"/>
      <w:spacing w:line="360" w:lineRule="atLeast"/>
      <w:ind w:firstLineChars="200" w:firstLine="420"/>
      <w:textAlignment w:val="baseline"/>
    </w:pPr>
    <w:rPr>
      <w:rFonts w:ascii="華康中楷體" w:eastAsia="華康中楷體" w:hAnsi="Times New Roman"/>
      <w:spacing w:val="60"/>
      <w:kern w:val="0"/>
      <w:sz w:val="24"/>
      <w:szCs w:val="20"/>
      <w:lang w:eastAsia="zh-TW"/>
    </w:rPr>
  </w:style>
  <w:style w:type="paragraph" w:customStyle="1" w:styleId="afffffffffffffffa">
    <w:name w:val="报告表正文"/>
    <w:basedOn w:val="a1"/>
    <w:qFormat/>
    <w:pPr>
      <w:adjustRightInd w:val="0"/>
      <w:spacing w:line="312" w:lineRule="auto"/>
      <w:ind w:left="113" w:right="113" w:firstLineChars="200" w:firstLine="482"/>
    </w:pPr>
    <w:rPr>
      <w:rFonts w:ascii="Times New Roman" w:hAnsi="Times New Roman"/>
      <w:kern w:val="0"/>
      <w:sz w:val="24"/>
      <w:szCs w:val="20"/>
    </w:rPr>
  </w:style>
  <w:style w:type="paragraph" w:customStyle="1" w:styleId="ST201">
    <w:name w:val="ST20_1"/>
    <w:basedOn w:val="a1"/>
    <w:link w:val="ST201Char"/>
    <w:qFormat/>
    <w:pPr>
      <w:adjustRightInd w:val="0"/>
      <w:spacing w:line="360" w:lineRule="auto"/>
      <w:ind w:firstLineChars="200" w:firstLine="420"/>
      <w:jc w:val="center"/>
      <w:textAlignment w:val="baseline"/>
    </w:pPr>
    <w:rPr>
      <w:rFonts w:ascii="宋体" w:hAnsi="Times New Roman"/>
      <w:kern w:val="0"/>
      <w:sz w:val="24"/>
      <w:szCs w:val="20"/>
    </w:rPr>
  </w:style>
  <w:style w:type="paragraph" w:customStyle="1" w:styleId="Indent1">
    <w:name w:val="Indent1"/>
    <w:basedOn w:val="a1"/>
    <w:qFormat/>
    <w:pPr>
      <w:overflowPunct w:val="0"/>
      <w:autoSpaceDE w:val="0"/>
      <w:autoSpaceDN w:val="0"/>
      <w:adjustRightInd w:val="0"/>
      <w:spacing w:line="360" w:lineRule="auto"/>
      <w:ind w:left="1440" w:firstLineChars="200" w:hanging="720"/>
      <w:textAlignment w:val="baseline"/>
    </w:pPr>
    <w:rPr>
      <w:rFonts w:ascii="Arial" w:hAnsi="Arial"/>
      <w:kern w:val="0"/>
      <w:sz w:val="22"/>
      <w:szCs w:val="20"/>
    </w:rPr>
  </w:style>
  <w:style w:type="paragraph" w:customStyle="1" w:styleId="text">
    <w:name w:val="text"/>
    <w:basedOn w:val="a1"/>
    <w:qFormat/>
    <w:pPr>
      <w:widowControl/>
      <w:spacing w:line="360" w:lineRule="auto"/>
      <w:ind w:firstLineChars="200" w:firstLine="420"/>
    </w:pPr>
    <w:rPr>
      <w:rFonts w:ascii="Courier New" w:eastAsia="Arial Unicode MS" w:hAnsi="Courier New" w:cs="Courier New"/>
      <w:color w:val="000000"/>
      <w:kern w:val="0"/>
      <w:sz w:val="22"/>
    </w:rPr>
  </w:style>
  <w:style w:type="paragraph" w:customStyle="1" w:styleId="DocumentMap1">
    <w:name w:val="Document Map1"/>
    <w:basedOn w:val="a1"/>
    <w:qFormat/>
    <w:pPr>
      <w:shd w:val="clear" w:color="auto" w:fill="000080"/>
      <w:adjustRightInd w:val="0"/>
      <w:spacing w:line="360" w:lineRule="auto"/>
      <w:ind w:firstLineChars="200" w:firstLine="420"/>
      <w:textAlignment w:val="baseline"/>
    </w:pPr>
    <w:rPr>
      <w:rFonts w:ascii="宋体" w:hAnsi="Times New Roman"/>
      <w:kern w:val="0"/>
      <w:sz w:val="24"/>
      <w:szCs w:val="20"/>
    </w:rPr>
  </w:style>
  <w:style w:type="paragraph" w:customStyle="1" w:styleId="BodyText21">
    <w:name w:val="Body Text 21"/>
    <w:basedOn w:val="a1"/>
    <w:qFormat/>
    <w:pPr>
      <w:adjustRightInd w:val="0"/>
      <w:spacing w:line="360" w:lineRule="atLeast"/>
      <w:ind w:firstLineChars="200" w:firstLine="425"/>
      <w:textAlignment w:val="baseline"/>
    </w:pPr>
    <w:rPr>
      <w:rFonts w:ascii="宋体" w:hAnsi="Times New Roman"/>
      <w:kern w:val="0"/>
      <w:sz w:val="24"/>
      <w:szCs w:val="20"/>
    </w:rPr>
  </w:style>
  <w:style w:type="paragraph" w:customStyle="1" w:styleId="IDCA-Head2ndLine">
    <w:name w:val="IDC A-Head (2nd Line)"/>
    <w:basedOn w:val="a1"/>
    <w:next w:val="a1"/>
    <w:qFormat/>
    <w:pPr>
      <w:widowControl/>
      <w:spacing w:line="360" w:lineRule="auto"/>
      <w:ind w:firstLineChars="200" w:firstLine="420"/>
      <w:jc w:val="center"/>
    </w:pPr>
    <w:rPr>
      <w:rFonts w:ascii="Times New Roman" w:hAnsi="Times New Roman"/>
      <w:caps/>
      <w:kern w:val="0"/>
      <w:sz w:val="24"/>
      <w:szCs w:val="20"/>
    </w:rPr>
  </w:style>
  <w:style w:type="paragraph" w:customStyle="1" w:styleId="afffffffffffffffb">
    <w:name w:val="单元格"/>
    <w:basedOn w:val="a1"/>
    <w:qFormat/>
    <w:pPr>
      <w:spacing w:line="360" w:lineRule="auto"/>
      <w:ind w:firstLineChars="200" w:firstLine="420"/>
      <w:jc w:val="center"/>
    </w:pPr>
    <w:rPr>
      <w:rFonts w:ascii="楷体_GB2312" w:eastAsia="楷体_GB2312" w:hAnsi="Times New Roman"/>
      <w:sz w:val="24"/>
      <w:szCs w:val="20"/>
    </w:rPr>
  </w:style>
  <w:style w:type="paragraph" w:customStyle="1" w:styleId="151">
    <w:name w:val="样式 (符号) 宋体 小四 居中 行距: 1.5 倍行距"/>
    <w:basedOn w:val="a1"/>
    <w:qFormat/>
    <w:pPr>
      <w:spacing w:line="360" w:lineRule="auto"/>
      <w:ind w:firstLineChars="200" w:firstLine="420"/>
      <w:jc w:val="center"/>
    </w:pPr>
    <w:rPr>
      <w:rFonts w:ascii="Times New Roman" w:hAnsi="宋体" w:cs="宋体"/>
      <w:sz w:val="24"/>
      <w:szCs w:val="20"/>
    </w:rPr>
  </w:style>
  <w:style w:type="paragraph" w:customStyle="1" w:styleId="352">
    <w:name w:val="样式 燕山正文 + 首行缩进:  3.5 字符2"/>
    <w:basedOn w:val="a1"/>
    <w:qFormat/>
    <w:pPr>
      <w:tabs>
        <w:tab w:val="left" w:pos="4680"/>
      </w:tabs>
      <w:adjustRightInd w:val="0"/>
      <w:snapToGrid w:val="0"/>
      <w:spacing w:line="360" w:lineRule="auto"/>
      <w:ind w:firstLineChars="200" w:firstLine="420"/>
    </w:pPr>
    <w:rPr>
      <w:rFonts w:ascii="楷体_GB2312" w:eastAsia="楷体_GB2312" w:hAnsi="Times New Roman"/>
      <w:sz w:val="24"/>
      <w:szCs w:val="24"/>
    </w:rPr>
  </w:style>
  <w:style w:type="paragraph" w:customStyle="1" w:styleId="afffffffffffffffc">
    <w:name w:val="正文首行缩进＋湿地"/>
    <w:basedOn w:val="a1"/>
    <w:qFormat/>
    <w:pPr>
      <w:spacing w:line="440" w:lineRule="exact"/>
      <w:ind w:firstLineChars="225" w:firstLine="540"/>
    </w:pPr>
    <w:rPr>
      <w:rFonts w:ascii="仿宋_GB2312" w:eastAsia="仿宋_GB2312" w:hAnsi="宋体"/>
      <w:kern w:val="0"/>
      <w:sz w:val="28"/>
      <w:szCs w:val="20"/>
    </w:rPr>
  </w:style>
  <w:style w:type="paragraph" w:customStyle="1" w:styleId="1fff8">
    <w:name w:val="图标1"/>
    <w:qFormat/>
    <w:pPr>
      <w:jc w:val="center"/>
    </w:pPr>
    <w:rPr>
      <w:kern w:val="2"/>
      <w:sz w:val="21"/>
      <w:szCs w:val="21"/>
    </w:rPr>
  </w:style>
  <w:style w:type="paragraph" w:customStyle="1" w:styleId="5f8">
    <w:name w:val="标题5"/>
    <w:next w:val="a2"/>
    <w:qFormat/>
    <w:pPr>
      <w:spacing w:line="360" w:lineRule="auto"/>
    </w:pPr>
    <w:rPr>
      <w:rFonts w:ascii="宋体" w:hAnsi="宋体"/>
      <w:b/>
      <w:bCs/>
      <w:kern w:val="2"/>
      <w:sz w:val="24"/>
      <w:szCs w:val="24"/>
    </w:rPr>
  </w:style>
  <w:style w:type="paragraph" w:customStyle="1" w:styleId="5f9">
    <w:name w:val="样式 表内5 + (符号) 宋体 两端对齐 行距: 单倍行距"/>
    <w:basedOn w:val="a1"/>
    <w:link w:val="5Char2"/>
    <w:qFormat/>
    <w:pPr>
      <w:adjustRightInd w:val="0"/>
      <w:snapToGrid w:val="0"/>
      <w:spacing w:line="360" w:lineRule="auto"/>
      <w:ind w:firstLineChars="200" w:firstLine="420"/>
    </w:pPr>
    <w:rPr>
      <w:rFonts w:ascii="宋体" w:eastAsia="楷体_GB2312" w:hAnsi="宋体"/>
      <w:sz w:val="24"/>
      <w:szCs w:val="20"/>
    </w:rPr>
  </w:style>
  <w:style w:type="paragraph" w:customStyle="1" w:styleId="afffffffffffffffd">
    <w:name w:val="首行缩进正文"/>
    <w:basedOn w:val="a1"/>
    <w:link w:val="Char15"/>
    <w:qFormat/>
    <w:pPr>
      <w:adjustRightInd w:val="0"/>
      <w:snapToGrid w:val="0"/>
      <w:spacing w:beforeLines="50" w:line="300" w:lineRule="auto"/>
      <w:ind w:firstLineChars="200" w:firstLine="480"/>
    </w:pPr>
    <w:rPr>
      <w:rFonts w:ascii="Times New Roman" w:hAnsi="Times New Roman"/>
      <w:kern w:val="0"/>
      <w:sz w:val="24"/>
      <w:szCs w:val="24"/>
    </w:rPr>
  </w:style>
  <w:style w:type="paragraph" w:customStyle="1" w:styleId="afffffffffffffffe">
    <w:name w:val="图片样式"/>
    <w:basedOn w:val="a1"/>
    <w:link w:val="Charfc"/>
    <w:qFormat/>
    <w:pPr>
      <w:spacing w:line="360" w:lineRule="auto"/>
      <w:ind w:firstLineChars="200" w:firstLine="420"/>
      <w:jc w:val="center"/>
    </w:pPr>
    <w:rPr>
      <w:rFonts w:ascii="Times New Roman" w:hAnsi="Times New Roman"/>
      <w:kern w:val="0"/>
      <w:sz w:val="24"/>
      <w:szCs w:val="20"/>
    </w:rPr>
  </w:style>
  <w:style w:type="paragraph" w:customStyle="1" w:styleId="affffffffffffffff">
    <w:name w:val="题注（图、表）"/>
    <w:basedOn w:val="a1"/>
    <w:link w:val="Charfd"/>
    <w:qFormat/>
    <w:pPr>
      <w:adjustRightInd w:val="0"/>
      <w:snapToGrid w:val="0"/>
      <w:spacing w:before="160" w:after="156" w:line="400" w:lineRule="exact"/>
      <w:ind w:firstLineChars="200" w:firstLine="420"/>
      <w:jc w:val="center"/>
    </w:pPr>
    <w:rPr>
      <w:rFonts w:ascii="Arial" w:eastAsia="黑体" w:hAnsi="Arial"/>
      <w:kern w:val="0"/>
      <w:sz w:val="24"/>
      <w:szCs w:val="24"/>
    </w:rPr>
  </w:style>
  <w:style w:type="paragraph" w:customStyle="1" w:styleId="affffffffffffffff0">
    <w:name w:val="表格式"/>
    <w:basedOn w:val="ad"/>
    <w:link w:val="Char16"/>
    <w:qFormat/>
    <w:pPr>
      <w:spacing w:beforeLines="50" w:afterLines="50" w:line="240" w:lineRule="exact"/>
      <w:ind w:left="0" w:firstLineChars="200" w:firstLine="0"/>
      <w:jc w:val="center"/>
    </w:pPr>
    <w:rPr>
      <w:rFonts w:ascii="宋体" w:eastAsia="宋体"/>
      <w:kern w:val="0"/>
      <w:sz w:val="20"/>
    </w:rPr>
  </w:style>
  <w:style w:type="paragraph" w:customStyle="1" w:styleId="0001">
    <w:name w:val="正文0001"/>
    <w:basedOn w:val="a1"/>
    <w:qFormat/>
    <w:pPr>
      <w:spacing w:line="360" w:lineRule="auto"/>
      <w:ind w:firstLineChars="200" w:firstLine="560"/>
    </w:pPr>
    <w:rPr>
      <w:rFonts w:ascii="宋体" w:hAnsi="宋体"/>
      <w:color w:val="000000"/>
      <w:sz w:val="28"/>
      <w:szCs w:val="28"/>
    </w:rPr>
  </w:style>
  <w:style w:type="paragraph" w:customStyle="1" w:styleId="affffffffffffffff1">
    <w:name w:val="正文 + 采用"/>
    <w:basedOn w:val="a1"/>
    <w:qFormat/>
    <w:pPr>
      <w:adjustRightInd w:val="0"/>
      <w:snapToGrid w:val="0"/>
      <w:spacing w:line="360" w:lineRule="auto"/>
      <w:ind w:firstLineChars="200" w:firstLine="480"/>
    </w:pPr>
    <w:rPr>
      <w:rFonts w:ascii="Times New Roman" w:hAnsi="Times New Roman"/>
      <w:sz w:val="24"/>
      <w:szCs w:val="24"/>
    </w:rPr>
  </w:style>
  <w:style w:type="paragraph" w:customStyle="1" w:styleId="affffffffffffffff2">
    <w:name w:val="表格编号"/>
    <w:basedOn w:val="affffffffffffffff1"/>
    <w:next w:val="affffffffffffffff1"/>
    <w:qFormat/>
    <w:pPr>
      <w:spacing w:line="240" w:lineRule="auto"/>
      <w:ind w:firstLineChars="0" w:firstLine="0"/>
    </w:pPr>
    <w:rPr>
      <w:sz w:val="21"/>
      <w:szCs w:val="21"/>
    </w:rPr>
  </w:style>
  <w:style w:type="paragraph" w:customStyle="1" w:styleId="TimesNewRoman2">
    <w:name w:val="样式 正文（首行缩进两字） + Times New Roman 首行缩进:  2 字符"/>
    <w:basedOn w:val="a2"/>
    <w:qFormat/>
    <w:pPr>
      <w:adjustRightInd/>
      <w:snapToGrid/>
      <w:spacing w:line="360" w:lineRule="auto"/>
      <w:ind w:firstLine="480"/>
      <w:jc w:val="both"/>
    </w:pPr>
    <w:rPr>
      <w:rFonts w:ascii="宋体" w:eastAsia="宋体"/>
      <w:kern w:val="2"/>
      <w:sz w:val="21"/>
      <w:szCs w:val="24"/>
    </w:rPr>
  </w:style>
  <w:style w:type="paragraph" w:customStyle="1" w:styleId="affffffffffffffff3">
    <w:name w:val="表格 + 小五"/>
    <w:basedOn w:val="afffff"/>
    <w:qFormat/>
    <w:pPr>
      <w:adjustRightInd w:val="0"/>
      <w:snapToGrid w:val="0"/>
      <w:spacing w:line="360" w:lineRule="exact"/>
    </w:pPr>
    <w:rPr>
      <w:sz w:val="18"/>
      <w:szCs w:val="21"/>
    </w:rPr>
  </w:style>
  <w:style w:type="paragraph" w:customStyle="1" w:styleId="Char210">
    <w:name w:val="Char21"/>
    <w:basedOn w:val="a1"/>
    <w:qFormat/>
    <w:pPr>
      <w:spacing w:line="360" w:lineRule="auto"/>
      <w:ind w:firstLineChars="200" w:firstLine="200"/>
    </w:pPr>
    <w:rPr>
      <w:rFonts w:ascii="宋体" w:hAnsi="宋体" w:cs="宋体"/>
      <w:sz w:val="24"/>
      <w:szCs w:val="24"/>
    </w:rPr>
  </w:style>
  <w:style w:type="paragraph" w:customStyle="1" w:styleId="077204">
    <w:name w:val="样式 首行缩进:  0.77 厘米 行距: 固定值 20 磅4"/>
    <w:basedOn w:val="a1"/>
    <w:qFormat/>
    <w:pPr>
      <w:spacing w:line="440" w:lineRule="exact"/>
      <w:ind w:firstLineChars="200" w:firstLine="480"/>
    </w:pPr>
    <w:rPr>
      <w:rFonts w:ascii="Arial" w:hAnsi="Arial" w:cs="Arial"/>
      <w:color w:val="000000"/>
      <w:kern w:val="0"/>
      <w:sz w:val="24"/>
      <w:szCs w:val="24"/>
    </w:rPr>
  </w:style>
  <w:style w:type="paragraph" w:customStyle="1" w:styleId="CM55">
    <w:name w:val="CM55"/>
    <w:basedOn w:val="Default"/>
    <w:next w:val="Default"/>
    <w:qFormat/>
    <w:pPr>
      <w:spacing w:after="470"/>
    </w:pPr>
    <w:rPr>
      <w:rFonts w:ascii="Times New Roman"/>
      <w:color w:val="auto"/>
    </w:rPr>
  </w:style>
  <w:style w:type="paragraph" w:customStyle="1" w:styleId="8f0">
    <w:name w:val="河石管道 表头8"/>
    <w:qFormat/>
    <w:pPr>
      <w:jc w:val="center"/>
    </w:pPr>
    <w:rPr>
      <w:b/>
      <w:bCs/>
      <w:sz w:val="18"/>
    </w:rPr>
  </w:style>
  <w:style w:type="paragraph" w:customStyle="1" w:styleId="CM56">
    <w:name w:val="CM56"/>
    <w:basedOn w:val="Default"/>
    <w:next w:val="Default"/>
    <w:qFormat/>
    <w:pPr>
      <w:spacing w:after="598"/>
    </w:pPr>
    <w:rPr>
      <w:rFonts w:ascii="Times New Roman"/>
      <w:color w:val="auto"/>
    </w:rPr>
  </w:style>
  <w:style w:type="paragraph" w:customStyle="1" w:styleId="5fa">
    <w:name w:val="河石管道 表格正文5"/>
    <w:qFormat/>
    <w:pPr>
      <w:spacing w:line="0" w:lineRule="atLeast"/>
      <w:jc w:val="both"/>
    </w:pPr>
    <w:rPr>
      <w:kern w:val="2"/>
      <w:sz w:val="18"/>
    </w:rPr>
  </w:style>
  <w:style w:type="paragraph" w:customStyle="1" w:styleId="CM4">
    <w:name w:val="CM4"/>
    <w:basedOn w:val="Default"/>
    <w:next w:val="Default"/>
    <w:qFormat/>
    <w:pPr>
      <w:spacing w:line="463" w:lineRule="atLeast"/>
    </w:pPr>
    <w:rPr>
      <w:rFonts w:ascii="Times New Roman"/>
      <w:color w:val="auto"/>
    </w:rPr>
  </w:style>
  <w:style w:type="paragraph" w:customStyle="1" w:styleId="CM57">
    <w:name w:val="CM57"/>
    <w:basedOn w:val="Default"/>
    <w:next w:val="Default"/>
    <w:qFormat/>
    <w:pPr>
      <w:spacing w:after="318"/>
    </w:pPr>
    <w:rPr>
      <w:rFonts w:ascii="Times New Roman"/>
      <w:color w:val="auto"/>
    </w:rPr>
  </w:style>
  <w:style w:type="paragraph" w:customStyle="1" w:styleId="CM58">
    <w:name w:val="CM58"/>
    <w:basedOn w:val="Default"/>
    <w:next w:val="Default"/>
    <w:qFormat/>
    <w:pPr>
      <w:spacing w:after="155"/>
    </w:pPr>
    <w:rPr>
      <w:rFonts w:ascii="Times New Roman"/>
      <w:color w:val="auto"/>
    </w:rPr>
  </w:style>
  <w:style w:type="paragraph" w:customStyle="1" w:styleId="CM5">
    <w:name w:val="CM5"/>
    <w:basedOn w:val="Default"/>
    <w:next w:val="Default"/>
    <w:qFormat/>
    <w:pPr>
      <w:spacing w:line="460" w:lineRule="atLeast"/>
    </w:pPr>
    <w:rPr>
      <w:rFonts w:ascii="Times New Roman"/>
      <w:color w:val="auto"/>
    </w:rPr>
  </w:style>
  <w:style w:type="paragraph" w:customStyle="1" w:styleId="CM6">
    <w:name w:val="CM6"/>
    <w:basedOn w:val="Default"/>
    <w:next w:val="Default"/>
    <w:qFormat/>
    <w:pPr>
      <w:spacing w:line="460" w:lineRule="atLeast"/>
    </w:pPr>
    <w:rPr>
      <w:rFonts w:ascii="Times New Roman"/>
      <w:color w:val="auto"/>
    </w:rPr>
  </w:style>
  <w:style w:type="paragraph" w:customStyle="1" w:styleId="CM7">
    <w:name w:val="CM7"/>
    <w:basedOn w:val="Default"/>
    <w:next w:val="Default"/>
    <w:qFormat/>
    <w:pPr>
      <w:spacing w:line="460" w:lineRule="atLeast"/>
    </w:pPr>
    <w:rPr>
      <w:rFonts w:ascii="Times New Roman"/>
      <w:color w:val="auto"/>
    </w:rPr>
  </w:style>
  <w:style w:type="paragraph" w:customStyle="1" w:styleId="5fb">
    <w:name w:val="表文5号"/>
    <w:basedOn w:val="a1"/>
    <w:qFormat/>
    <w:pPr>
      <w:snapToGrid w:val="0"/>
      <w:spacing w:line="360" w:lineRule="auto"/>
      <w:ind w:firstLineChars="200" w:firstLine="420"/>
      <w:jc w:val="center"/>
    </w:pPr>
    <w:rPr>
      <w:rFonts w:ascii="Times New Roman" w:hAnsi="Times New Roman"/>
      <w:sz w:val="24"/>
      <w:szCs w:val="24"/>
    </w:rPr>
  </w:style>
  <w:style w:type="paragraph" w:customStyle="1" w:styleId="CM59">
    <w:name w:val="CM59"/>
    <w:basedOn w:val="Default"/>
    <w:next w:val="Default"/>
    <w:qFormat/>
    <w:pPr>
      <w:spacing w:after="145"/>
    </w:pPr>
    <w:rPr>
      <w:rFonts w:ascii="Times New Roman"/>
      <w:color w:val="auto"/>
    </w:rPr>
  </w:style>
  <w:style w:type="paragraph" w:customStyle="1" w:styleId="1fff9">
    <w:name w:val="1正文段落"/>
    <w:basedOn w:val="a1"/>
    <w:link w:val="1Char5"/>
    <w:qFormat/>
    <w:pPr>
      <w:spacing w:line="360" w:lineRule="auto"/>
      <w:ind w:firstLineChars="200" w:firstLine="480"/>
    </w:pPr>
    <w:rPr>
      <w:rFonts w:ascii="Times New Roman" w:hAnsi="Times New Roman"/>
      <w:snapToGrid w:val="0"/>
      <w:kern w:val="0"/>
      <w:sz w:val="24"/>
      <w:szCs w:val="24"/>
    </w:rPr>
  </w:style>
  <w:style w:type="paragraph" w:customStyle="1" w:styleId="CM65">
    <w:name w:val="CM65"/>
    <w:basedOn w:val="Default"/>
    <w:next w:val="Default"/>
    <w:qFormat/>
    <w:pPr>
      <w:spacing w:after="52"/>
    </w:pPr>
    <w:rPr>
      <w:rFonts w:ascii="Times New Roman"/>
      <w:color w:val="auto"/>
    </w:rPr>
  </w:style>
  <w:style w:type="paragraph" w:customStyle="1" w:styleId="CM61">
    <w:name w:val="CM61"/>
    <w:basedOn w:val="Default"/>
    <w:next w:val="Default"/>
    <w:qFormat/>
    <w:pPr>
      <w:spacing w:after="68"/>
    </w:pPr>
    <w:rPr>
      <w:rFonts w:ascii="Times New Roman"/>
      <w:color w:val="auto"/>
    </w:rPr>
  </w:style>
  <w:style w:type="paragraph" w:customStyle="1" w:styleId="CM60">
    <w:name w:val="CM60"/>
    <w:basedOn w:val="Default"/>
    <w:next w:val="Default"/>
    <w:qFormat/>
    <w:pPr>
      <w:spacing w:after="240"/>
    </w:pPr>
    <w:rPr>
      <w:rFonts w:ascii="Times New Roman"/>
      <w:color w:val="auto"/>
    </w:rPr>
  </w:style>
  <w:style w:type="paragraph" w:customStyle="1" w:styleId="Char110">
    <w:name w:val="Char11"/>
    <w:basedOn w:val="a1"/>
    <w:qFormat/>
    <w:pPr>
      <w:widowControl/>
      <w:spacing w:line="360" w:lineRule="auto"/>
      <w:ind w:firstLineChars="200" w:firstLine="200"/>
    </w:pPr>
    <w:rPr>
      <w:rFonts w:ascii="宋体" w:hAnsi="宋体" w:cs="宋体"/>
      <w:bCs/>
      <w:kern w:val="0"/>
      <w:sz w:val="24"/>
      <w:szCs w:val="24"/>
    </w:rPr>
  </w:style>
  <w:style w:type="paragraph" w:customStyle="1" w:styleId="affffffffffffffff4">
    <w:name w:val="表格侧编号"/>
    <w:next w:val="a1"/>
    <w:qFormat/>
    <w:pPr>
      <w:widowControl w:val="0"/>
      <w:jc w:val="center"/>
    </w:pPr>
    <w:rPr>
      <w:rFonts w:ascii="宋体" w:hAnsi="宋体"/>
      <w:kern w:val="2"/>
      <w:sz w:val="24"/>
      <w:szCs w:val="24"/>
    </w:rPr>
  </w:style>
  <w:style w:type="paragraph" w:customStyle="1" w:styleId="CM63">
    <w:name w:val="CM63"/>
    <w:basedOn w:val="Default"/>
    <w:next w:val="Default"/>
    <w:qFormat/>
    <w:pPr>
      <w:spacing w:after="415"/>
    </w:pPr>
    <w:rPr>
      <w:rFonts w:ascii="Times New Roman"/>
      <w:color w:val="auto"/>
    </w:rPr>
  </w:style>
  <w:style w:type="paragraph" w:customStyle="1" w:styleId="CM62">
    <w:name w:val="CM62"/>
    <w:basedOn w:val="Default"/>
    <w:next w:val="Default"/>
    <w:qFormat/>
    <w:pPr>
      <w:spacing w:after="185"/>
    </w:pPr>
    <w:rPr>
      <w:rFonts w:ascii="Times New Roman"/>
      <w:color w:val="auto"/>
    </w:rPr>
  </w:style>
  <w:style w:type="paragraph" w:customStyle="1" w:styleId="152">
    <w:name w:val="1.5行"/>
    <w:basedOn w:val="a1"/>
    <w:qFormat/>
    <w:pPr>
      <w:adjustRightInd w:val="0"/>
      <w:snapToGrid w:val="0"/>
      <w:spacing w:line="360" w:lineRule="auto"/>
      <w:ind w:firstLineChars="200" w:firstLine="560"/>
    </w:pPr>
    <w:rPr>
      <w:rFonts w:ascii="宋体" w:hAnsi="Times New Roman"/>
      <w:sz w:val="28"/>
      <w:szCs w:val="24"/>
    </w:rPr>
  </w:style>
  <w:style w:type="paragraph" w:customStyle="1" w:styleId="CM64">
    <w:name w:val="CM64"/>
    <w:basedOn w:val="Default"/>
    <w:next w:val="Default"/>
    <w:qFormat/>
    <w:pPr>
      <w:spacing w:after="5355"/>
    </w:pPr>
    <w:rPr>
      <w:rFonts w:ascii="Times New Roman"/>
      <w:color w:val="auto"/>
    </w:rPr>
  </w:style>
  <w:style w:type="paragraph" w:customStyle="1" w:styleId="CM35">
    <w:name w:val="CM35"/>
    <w:basedOn w:val="Default"/>
    <w:next w:val="Default"/>
    <w:qFormat/>
    <w:pPr>
      <w:spacing w:line="223" w:lineRule="atLeast"/>
    </w:pPr>
    <w:rPr>
      <w:rFonts w:ascii="Times New Roman"/>
      <w:color w:val="auto"/>
    </w:rPr>
  </w:style>
  <w:style w:type="paragraph" w:customStyle="1" w:styleId="CM36">
    <w:name w:val="CM36"/>
    <w:basedOn w:val="Default"/>
    <w:next w:val="Default"/>
    <w:qFormat/>
    <w:pPr>
      <w:spacing w:line="266" w:lineRule="atLeast"/>
    </w:pPr>
    <w:rPr>
      <w:rFonts w:ascii="Times New Roman"/>
      <w:color w:val="auto"/>
    </w:rPr>
  </w:style>
  <w:style w:type="paragraph" w:customStyle="1" w:styleId="CM39">
    <w:name w:val="CM39"/>
    <w:basedOn w:val="Default"/>
    <w:next w:val="Default"/>
    <w:qFormat/>
    <w:pPr>
      <w:spacing w:line="271" w:lineRule="atLeast"/>
    </w:pPr>
    <w:rPr>
      <w:rFonts w:ascii="Times New Roman"/>
      <w:color w:val="auto"/>
    </w:rPr>
  </w:style>
  <w:style w:type="paragraph" w:customStyle="1" w:styleId="CM40">
    <w:name w:val="CM40"/>
    <w:basedOn w:val="Default"/>
    <w:next w:val="Default"/>
    <w:qFormat/>
    <w:pPr>
      <w:spacing w:line="280" w:lineRule="atLeast"/>
    </w:pPr>
    <w:rPr>
      <w:rFonts w:ascii="Times New Roman"/>
      <w:color w:val="auto"/>
    </w:rPr>
  </w:style>
  <w:style w:type="paragraph" w:customStyle="1" w:styleId="CM42">
    <w:name w:val="CM42"/>
    <w:basedOn w:val="Default"/>
    <w:next w:val="Default"/>
    <w:qFormat/>
    <w:pPr>
      <w:spacing w:line="236" w:lineRule="atLeast"/>
    </w:pPr>
    <w:rPr>
      <w:rFonts w:ascii="Times New Roman"/>
      <w:color w:val="auto"/>
    </w:rPr>
  </w:style>
  <w:style w:type="paragraph" w:customStyle="1" w:styleId="CM66">
    <w:name w:val="CM66"/>
    <w:basedOn w:val="Default"/>
    <w:next w:val="Default"/>
    <w:qFormat/>
    <w:pPr>
      <w:spacing w:after="830"/>
    </w:pPr>
    <w:rPr>
      <w:rFonts w:ascii="Times New Roman"/>
      <w:color w:val="auto"/>
    </w:rPr>
  </w:style>
  <w:style w:type="paragraph" w:customStyle="1" w:styleId="CM44">
    <w:name w:val="CM44"/>
    <w:basedOn w:val="Default"/>
    <w:next w:val="Default"/>
    <w:qFormat/>
    <w:rPr>
      <w:rFonts w:ascii="Times New Roman"/>
      <w:color w:val="auto"/>
    </w:rPr>
  </w:style>
  <w:style w:type="paragraph" w:customStyle="1" w:styleId="CM48">
    <w:name w:val="CM48"/>
    <w:basedOn w:val="Default"/>
    <w:next w:val="Default"/>
    <w:qFormat/>
    <w:pPr>
      <w:spacing w:line="460" w:lineRule="atLeast"/>
    </w:pPr>
    <w:rPr>
      <w:rFonts w:ascii="Times New Roman"/>
      <w:color w:val="auto"/>
    </w:rPr>
  </w:style>
  <w:style w:type="paragraph" w:customStyle="1" w:styleId="CM49">
    <w:name w:val="CM49"/>
    <w:basedOn w:val="Default"/>
    <w:next w:val="Default"/>
    <w:qFormat/>
    <w:pPr>
      <w:spacing w:line="460" w:lineRule="atLeast"/>
    </w:pPr>
    <w:rPr>
      <w:rFonts w:ascii="Times New Roman"/>
      <w:color w:val="auto"/>
    </w:rPr>
  </w:style>
  <w:style w:type="paragraph" w:customStyle="1" w:styleId="1fffa">
    <w:name w:val="表格文字1"/>
    <w:basedOn w:val="a1"/>
    <w:qFormat/>
    <w:pPr>
      <w:autoSpaceDE w:val="0"/>
      <w:autoSpaceDN w:val="0"/>
      <w:adjustRightInd w:val="0"/>
      <w:spacing w:line="360" w:lineRule="auto"/>
      <w:ind w:firstLineChars="200" w:firstLine="420"/>
      <w:jc w:val="center"/>
    </w:pPr>
    <w:rPr>
      <w:rFonts w:ascii="宋体" w:hAnsi="宋体"/>
      <w:snapToGrid w:val="0"/>
      <w:kern w:val="0"/>
      <w:sz w:val="24"/>
      <w:szCs w:val="20"/>
    </w:rPr>
  </w:style>
  <w:style w:type="paragraph" w:customStyle="1" w:styleId="07720">
    <w:name w:val="样式 首行缩进:  0.77 厘米 行距: 固定值 20 磅"/>
    <w:basedOn w:val="a1"/>
    <w:qFormat/>
    <w:pPr>
      <w:spacing w:line="360" w:lineRule="auto"/>
      <w:ind w:firstLineChars="200" w:firstLine="435"/>
    </w:pPr>
    <w:rPr>
      <w:rFonts w:ascii="Times New Roman" w:hAnsi="Times New Roman"/>
      <w:sz w:val="24"/>
      <w:szCs w:val="20"/>
    </w:rPr>
  </w:style>
  <w:style w:type="paragraph" w:customStyle="1" w:styleId="CharCharChar0">
    <w:name w:val="二级标题 Char Char Char"/>
    <w:basedOn w:val="a1"/>
    <w:next w:val="a1"/>
    <w:qFormat/>
    <w:pPr>
      <w:spacing w:line="529" w:lineRule="exact"/>
      <w:ind w:firstLineChars="200" w:firstLine="200"/>
    </w:pPr>
    <w:rPr>
      <w:rFonts w:ascii="宋体" w:hAnsi="宋体" w:cs="宋体"/>
      <w:sz w:val="24"/>
      <w:szCs w:val="24"/>
    </w:rPr>
  </w:style>
  <w:style w:type="paragraph" w:customStyle="1" w:styleId="115">
    <w:name w:val="列出段落11"/>
    <w:basedOn w:val="a1"/>
    <w:link w:val="Charfe"/>
    <w:qFormat/>
    <w:pPr>
      <w:spacing w:line="360" w:lineRule="auto"/>
      <w:ind w:firstLineChars="200" w:firstLine="420"/>
    </w:pPr>
    <w:rPr>
      <w:kern w:val="0"/>
      <w:sz w:val="24"/>
      <w:szCs w:val="20"/>
    </w:rPr>
  </w:style>
  <w:style w:type="paragraph" w:customStyle="1" w:styleId="123">
    <w:name w:val="样式 (符号) 宋体 行距: 最小值 12 磅"/>
    <w:basedOn w:val="a1"/>
    <w:qFormat/>
    <w:pPr>
      <w:spacing w:line="360" w:lineRule="auto"/>
      <w:ind w:firstLineChars="200" w:firstLine="420"/>
    </w:pPr>
    <w:rPr>
      <w:rFonts w:ascii="Times New Roman" w:hAnsi="宋体" w:cs="宋体"/>
      <w:sz w:val="24"/>
      <w:szCs w:val="20"/>
    </w:rPr>
  </w:style>
  <w:style w:type="paragraph" w:customStyle="1" w:styleId="171">
    <w:name w:val="样式 首行缩进:  1.71 字符"/>
    <w:basedOn w:val="a1"/>
    <w:qFormat/>
    <w:pPr>
      <w:spacing w:line="360" w:lineRule="auto"/>
      <w:ind w:right="26" w:firstLineChars="171" w:firstLine="410"/>
    </w:pPr>
    <w:rPr>
      <w:rFonts w:ascii="Times New Roman" w:hAnsi="宋体"/>
      <w:color w:val="000000"/>
      <w:sz w:val="24"/>
      <w:szCs w:val="20"/>
    </w:rPr>
  </w:style>
  <w:style w:type="paragraph" w:customStyle="1" w:styleId="CharCharCharCharCharCharCharCharCharChar">
    <w:name w:val="Char Char Char Char Char Char Char Char Char Char"/>
    <w:basedOn w:val="a1"/>
    <w:next w:val="a1"/>
    <w:qFormat/>
    <w:pPr>
      <w:spacing w:line="360" w:lineRule="auto"/>
      <w:ind w:firstLineChars="200" w:firstLine="200"/>
    </w:pPr>
    <w:rPr>
      <w:rFonts w:ascii="宋体" w:hAnsi="宋体" w:cs="宋体"/>
      <w:sz w:val="24"/>
      <w:szCs w:val="24"/>
    </w:rPr>
  </w:style>
  <w:style w:type="paragraph" w:customStyle="1" w:styleId="xl109">
    <w:name w:val="xl109"/>
    <w:basedOn w:val="a1"/>
    <w:qFormat/>
    <w:pPr>
      <w:widowControl/>
      <w:pBdr>
        <w:left w:val="single" w:sz="8" w:space="0" w:color="auto"/>
        <w:bottom w:val="single" w:sz="8" w:space="0" w:color="auto"/>
        <w:right w:val="single" w:sz="8" w:space="0" w:color="auto"/>
      </w:pBdr>
      <w:spacing w:before="100" w:beforeAutospacing="1" w:after="100" w:afterAutospacing="1" w:line="360" w:lineRule="auto"/>
      <w:ind w:firstLineChars="200" w:firstLine="420"/>
    </w:pPr>
    <w:rPr>
      <w:rFonts w:ascii="Times New Roman" w:hAnsi="Times New Roman"/>
      <w:color w:val="000000"/>
      <w:kern w:val="0"/>
      <w:sz w:val="24"/>
      <w:szCs w:val="24"/>
    </w:rPr>
  </w:style>
  <w:style w:type="paragraph" w:customStyle="1" w:styleId="xl110">
    <w:name w:val="xl110"/>
    <w:basedOn w:val="a1"/>
    <w:qFormat/>
    <w:pPr>
      <w:widowControl/>
      <w:pBdr>
        <w:left w:val="single" w:sz="12" w:space="0" w:color="auto"/>
        <w:right w:val="single" w:sz="8" w:space="0" w:color="auto"/>
      </w:pBdr>
      <w:spacing w:before="100" w:beforeAutospacing="1" w:after="100" w:afterAutospacing="1" w:line="360" w:lineRule="auto"/>
      <w:ind w:firstLineChars="200" w:firstLine="420"/>
    </w:pPr>
    <w:rPr>
      <w:rFonts w:ascii="宋体" w:hAnsi="宋体" w:cs="宋体"/>
      <w:color w:val="000000"/>
      <w:kern w:val="0"/>
      <w:sz w:val="24"/>
      <w:szCs w:val="24"/>
    </w:rPr>
  </w:style>
  <w:style w:type="paragraph" w:customStyle="1" w:styleId="xl111">
    <w:name w:val="xl111"/>
    <w:basedOn w:val="a1"/>
    <w:qFormat/>
    <w:pPr>
      <w:widowControl/>
      <w:pBdr>
        <w:top w:val="single" w:sz="8" w:space="0" w:color="auto"/>
        <w:left w:val="single" w:sz="8" w:space="0" w:color="auto"/>
        <w:right w:val="single" w:sz="8" w:space="0" w:color="auto"/>
      </w:pBdr>
      <w:spacing w:before="100" w:beforeAutospacing="1" w:after="100" w:afterAutospacing="1" w:line="360" w:lineRule="auto"/>
      <w:ind w:firstLineChars="200" w:firstLine="420"/>
      <w:jc w:val="center"/>
    </w:pPr>
    <w:rPr>
      <w:rFonts w:ascii="Times New Roman" w:hAnsi="Times New Roman"/>
      <w:color w:val="000000"/>
      <w:kern w:val="0"/>
      <w:sz w:val="24"/>
      <w:szCs w:val="24"/>
    </w:rPr>
  </w:style>
  <w:style w:type="paragraph" w:customStyle="1" w:styleId="xl112">
    <w:name w:val="xl112"/>
    <w:basedOn w:val="a1"/>
    <w:qFormat/>
    <w:pPr>
      <w:widowControl/>
      <w:pBdr>
        <w:left w:val="single" w:sz="8" w:space="0" w:color="auto"/>
        <w:bottom w:val="single" w:sz="8" w:space="0" w:color="auto"/>
        <w:right w:val="single" w:sz="8" w:space="0" w:color="auto"/>
      </w:pBdr>
      <w:spacing w:before="100" w:beforeAutospacing="1" w:after="100" w:afterAutospacing="1" w:line="360" w:lineRule="auto"/>
      <w:ind w:firstLineChars="200" w:firstLine="420"/>
      <w:jc w:val="center"/>
    </w:pPr>
    <w:rPr>
      <w:rFonts w:ascii="Times New Roman" w:hAnsi="Times New Roman"/>
      <w:color w:val="000000"/>
      <w:kern w:val="0"/>
      <w:sz w:val="24"/>
      <w:szCs w:val="24"/>
    </w:rPr>
  </w:style>
  <w:style w:type="paragraph" w:customStyle="1" w:styleId="xl113">
    <w:name w:val="xl113"/>
    <w:basedOn w:val="a1"/>
    <w:qFormat/>
    <w:pPr>
      <w:widowControl/>
      <w:pBdr>
        <w:top w:val="single" w:sz="8" w:space="0" w:color="auto"/>
        <w:right w:val="single" w:sz="8" w:space="0" w:color="auto"/>
      </w:pBdr>
      <w:spacing w:before="100" w:beforeAutospacing="1" w:after="100" w:afterAutospacing="1" w:line="360" w:lineRule="auto"/>
      <w:ind w:firstLineChars="200" w:firstLine="420"/>
      <w:jc w:val="center"/>
    </w:pPr>
    <w:rPr>
      <w:rFonts w:ascii="宋体" w:hAnsi="宋体" w:cs="宋体"/>
      <w:color w:val="000000"/>
      <w:kern w:val="0"/>
      <w:sz w:val="24"/>
      <w:szCs w:val="24"/>
    </w:rPr>
  </w:style>
  <w:style w:type="paragraph" w:customStyle="1" w:styleId="xl114">
    <w:name w:val="xl114"/>
    <w:basedOn w:val="a1"/>
    <w:qFormat/>
    <w:pPr>
      <w:widowControl/>
      <w:pBdr>
        <w:top w:val="single" w:sz="8" w:space="0" w:color="auto"/>
        <w:left w:val="single" w:sz="8" w:space="0" w:color="auto"/>
      </w:pBdr>
      <w:spacing w:before="100" w:beforeAutospacing="1" w:after="100" w:afterAutospacing="1" w:line="360" w:lineRule="auto"/>
      <w:ind w:firstLineChars="200" w:firstLine="420"/>
      <w:jc w:val="center"/>
    </w:pPr>
    <w:rPr>
      <w:rFonts w:ascii="Times New Roman" w:hAnsi="Times New Roman"/>
      <w:color w:val="000000"/>
      <w:kern w:val="0"/>
      <w:sz w:val="24"/>
      <w:szCs w:val="24"/>
    </w:rPr>
  </w:style>
  <w:style w:type="paragraph" w:customStyle="1" w:styleId="xl115">
    <w:name w:val="xl115"/>
    <w:basedOn w:val="a1"/>
    <w:qFormat/>
    <w:pPr>
      <w:widowControl/>
      <w:pBdr>
        <w:left w:val="single" w:sz="8" w:space="0" w:color="auto"/>
        <w:bottom w:val="single" w:sz="8" w:space="0" w:color="auto"/>
      </w:pBdr>
      <w:spacing w:before="100" w:beforeAutospacing="1" w:after="100" w:afterAutospacing="1" w:line="360" w:lineRule="auto"/>
      <w:ind w:firstLineChars="200" w:firstLine="420"/>
      <w:jc w:val="center"/>
    </w:pPr>
    <w:rPr>
      <w:rFonts w:ascii="Times New Roman" w:hAnsi="Times New Roman"/>
      <w:color w:val="000000"/>
      <w:kern w:val="0"/>
      <w:sz w:val="24"/>
      <w:szCs w:val="24"/>
    </w:rPr>
  </w:style>
  <w:style w:type="paragraph" w:customStyle="1" w:styleId="xl116">
    <w:name w:val="xl116"/>
    <w:basedOn w:val="a1"/>
    <w:qFormat/>
    <w:pPr>
      <w:widowControl/>
      <w:pBdr>
        <w:left w:val="single" w:sz="8" w:space="0" w:color="auto"/>
      </w:pBdr>
      <w:spacing w:before="100" w:beforeAutospacing="1" w:after="100" w:afterAutospacing="1" w:line="360" w:lineRule="auto"/>
      <w:ind w:firstLineChars="200" w:firstLine="420"/>
      <w:jc w:val="center"/>
      <w:textAlignment w:val="top"/>
    </w:pPr>
    <w:rPr>
      <w:rFonts w:ascii="Times New Roman" w:hAnsi="Times New Roman"/>
      <w:color w:val="000000"/>
      <w:kern w:val="0"/>
      <w:sz w:val="24"/>
      <w:szCs w:val="24"/>
    </w:rPr>
  </w:style>
  <w:style w:type="paragraph" w:customStyle="1" w:styleId="xl117">
    <w:name w:val="xl117"/>
    <w:basedOn w:val="a1"/>
    <w:qFormat/>
    <w:pPr>
      <w:widowControl/>
      <w:spacing w:before="100" w:beforeAutospacing="1" w:after="100" w:afterAutospacing="1" w:line="360" w:lineRule="auto"/>
      <w:ind w:firstLineChars="200" w:firstLine="420"/>
      <w:jc w:val="center"/>
      <w:textAlignment w:val="top"/>
    </w:pPr>
    <w:rPr>
      <w:rFonts w:ascii="Times New Roman" w:hAnsi="Times New Roman"/>
      <w:color w:val="000000"/>
      <w:kern w:val="0"/>
      <w:sz w:val="24"/>
      <w:szCs w:val="24"/>
    </w:rPr>
  </w:style>
  <w:style w:type="paragraph" w:customStyle="1" w:styleId="xl118">
    <w:name w:val="xl118"/>
    <w:basedOn w:val="a1"/>
    <w:qFormat/>
    <w:pPr>
      <w:widowControl/>
      <w:pBdr>
        <w:right w:val="single" w:sz="8" w:space="0" w:color="auto"/>
      </w:pBdr>
      <w:spacing w:before="100" w:beforeAutospacing="1" w:after="100" w:afterAutospacing="1" w:line="360" w:lineRule="auto"/>
      <w:ind w:firstLineChars="200" w:firstLine="420"/>
      <w:jc w:val="center"/>
      <w:textAlignment w:val="top"/>
    </w:pPr>
    <w:rPr>
      <w:rFonts w:ascii="Times New Roman" w:hAnsi="Times New Roman"/>
      <w:color w:val="000000"/>
      <w:kern w:val="0"/>
      <w:sz w:val="24"/>
      <w:szCs w:val="24"/>
    </w:rPr>
  </w:style>
  <w:style w:type="paragraph" w:customStyle="1" w:styleId="xl119">
    <w:name w:val="xl119"/>
    <w:basedOn w:val="a1"/>
    <w:qFormat/>
    <w:pPr>
      <w:widowControl/>
      <w:pBdr>
        <w:left w:val="single" w:sz="8" w:space="0" w:color="auto"/>
        <w:bottom w:val="single" w:sz="12" w:space="0" w:color="auto"/>
      </w:pBdr>
      <w:spacing w:before="100" w:beforeAutospacing="1" w:after="100" w:afterAutospacing="1" w:line="360" w:lineRule="auto"/>
      <w:ind w:firstLineChars="200" w:firstLine="420"/>
      <w:jc w:val="center"/>
      <w:textAlignment w:val="top"/>
    </w:pPr>
    <w:rPr>
      <w:rFonts w:ascii="Times New Roman" w:hAnsi="Times New Roman"/>
      <w:color w:val="000000"/>
      <w:kern w:val="0"/>
      <w:sz w:val="24"/>
      <w:szCs w:val="24"/>
    </w:rPr>
  </w:style>
  <w:style w:type="paragraph" w:customStyle="1" w:styleId="xl120">
    <w:name w:val="xl120"/>
    <w:basedOn w:val="a1"/>
    <w:qFormat/>
    <w:pPr>
      <w:widowControl/>
      <w:pBdr>
        <w:bottom w:val="single" w:sz="12" w:space="0" w:color="auto"/>
      </w:pBdr>
      <w:spacing w:before="100" w:beforeAutospacing="1" w:after="100" w:afterAutospacing="1" w:line="360" w:lineRule="auto"/>
      <w:ind w:firstLineChars="200" w:firstLine="420"/>
      <w:jc w:val="center"/>
      <w:textAlignment w:val="top"/>
    </w:pPr>
    <w:rPr>
      <w:rFonts w:ascii="Times New Roman" w:hAnsi="Times New Roman"/>
      <w:color w:val="000000"/>
      <w:kern w:val="0"/>
      <w:sz w:val="24"/>
      <w:szCs w:val="24"/>
    </w:rPr>
  </w:style>
  <w:style w:type="paragraph" w:customStyle="1" w:styleId="xl121">
    <w:name w:val="xl121"/>
    <w:basedOn w:val="a1"/>
    <w:qFormat/>
    <w:pPr>
      <w:widowControl/>
      <w:pBdr>
        <w:bottom w:val="single" w:sz="12" w:space="0" w:color="auto"/>
        <w:right w:val="single" w:sz="8" w:space="0" w:color="auto"/>
      </w:pBdr>
      <w:spacing w:before="100" w:beforeAutospacing="1" w:after="100" w:afterAutospacing="1" w:line="360" w:lineRule="auto"/>
      <w:ind w:firstLineChars="200" w:firstLine="420"/>
      <w:jc w:val="center"/>
      <w:textAlignment w:val="top"/>
    </w:pPr>
    <w:rPr>
      <w:rFonts w:ascii="Times New Roman" w:hAnsi="Times New Roman"/>
      <w:color w:val="000000"/>
      <w:kern w:val="0"/>
      <w:sz w:val="24"/>
      <w:szCs w:val="24"/>
    </w:rPr>
  </w:style>
  <w:style w:type="paragraph" w:customStyle="1" w:styleId="xl122">
    <w:name w:val="xl122"/>
    <w:basedOn w:val="a1"/>
    <w:qFormat/>
    <w:pPr>
      <w:widowControl/>
      <w:pBdr>
        <w:left w:val="single" w:sz="8" w:space="0" w:color="auto"/>
        <w:bottom w:val="single" w:sz="12" w:space="0" w:color="auto"/>
      </w:pBdr>
      <w:spacing w:before="100" w:beforeAutospacing="1" w:after="100" w:afterAutospacing="1" w:line="360" w:lineRule="auto"/>
      <w:ind w:firstLineChars="200" w:firstLine="420"/>
      <w:jc w:val="center"/>
    </w:pPr>
    <w:rPr>
      <w:rFonts w:ascii="宋体" w:hAnsi="宋体" w:cs="宋体"/>
      <w:kern w:val="0"/>
      <w:sz w:val="24"/>
      <w:szCs w:val="24"/>
    </w:rPr>
  </w:style>
  <w:style w:type="paragraph" w:customStyle="1" w:styleId="xl123">
    <w:name w:val="xl123"/>
    <w:basedOn w:val="a1"/>
    <w:qFormat/>
    <w:pPr>
      <w:widowControl/>
      <w:pBdr>
        <w:top w:val="single" w:sz="8" w:space="0" w:color="auto"/>
        <w:left w:val="single" w:sz="8" w:space="0" w:color="auto"/>
        <w:right w:val="single" w:sz="8" w:space="0" w:color="auto"/>
      </w:pBdr>
      <w:spacing w:before="100" w:beforeAutospacing="1" w:after="100" w:afterAutospacing="1" w:line="360" w:lineRule="auto"/>
      <w:ind w:firstLineChars="200" w:firstLine="420"/>
      <w:jc w:val="center"/>
      <w:textAlignment w:val="top"/>
    </w:pPr>
    <w:rPr>
      <w:rFonts w:ascii="Times New Roman" w:hAnsi="Times New Roman"/>
      <w:color w:val="000000"/>
      <w:kern w:val="0"/>
      <w:sz w:val="24"/>
      <w:szCs w:val="24"/>
    </w:rPr>
  </w:style>
  <w:style w:type="paragraph" w:customStyle="1" w:styleId="xl124">
    <w:name w:val="xl124"/>
    <w:basedOn w:val="a1"/>
    <w:qFormat/>
    <w:pPr>
      <w:widowControl/>
      <w:pBdr>
        <w:left w:val="single" w:sz="8" w:space="0" w:color="auto"/>
        <w:bottom w:val="single" w:sz="8" w:space="0" w:color="auto"/>
        <w:right w:val="single" w:sz="8" w:space="0" w:color="auto"/>
      </w:pBdr>
      <w:spacing w:before="100" w:beforeAutospacing="1" w:after="100" w:afterAutospacing="1" w:line="360" w:lineRule="auto"/>
      <w:ind w:firstLineChars="200" w:firstLine="420"/>
      <w:jc w:val="center"/>
      <w:textAlignment w:val="top"/>
    </w:pPr>
    <w:rPr>
      <w:rFonts w:ascii="Times New Roman" w:hAnsi="Times New Roman"/>
      <w:color w:val="000000"/>
      <w:kern w:val="0"/>
      <w:sz w:val="24"/>
      <w:szCs w:val="24"/>
    </w:rPr>
  </w:style>
  <w:style w:type="paragraph" w:customStyle="1" w:styleId="xl125">
    <w:name w:val="xl125"/>
    <w:basedOn w:val="a1"/>
    <w:qFormat/>
    <w:pPr>
      <w:widowControl/>
      <w:pBdr>
        <w:left w:val="single" w:sz="8" w:space="0" w:color="auto"/>
      </w:pBdr>
      <w:spacing w:before="100" w:beforeAutospacing="1" w:after="100" w:afterAutospacing="1" w:line="360" w:lineRule="auto"/>
      <w:ind w:firstLineChars="200" w:firstLine="420"/>
      <w:jc w:val="center"/>
      <w:textAlignment w:val="top"/>
    </w:pPr>
    <w:rPr>
      <w:rFonts w:ascii="宋体" w:hAnsi="宋体" w:cs="宋体"/>
      <w:color w:val="000000"/>
      <w:kern w:val="0"/>
      <w:sz w:val="24"/>
      <w:szCs w:val="24"/>
    </w:rPr>
  </w:style>
  <w:style w:type="paragraph" w:customStyle="1" w:styleId="y">
    <w:name w:val="y表格"/>
    <w:basedOn w:val="afb"/>
    <w:qFormat/>
    <w:pPr>
      <w:widowControl/>
      <w:adjustRightInd w:val="0"/>
      <w:snapToGrid w:val="0"/>
      <w:spacing w:after="0" w:line="360" w:lineRule="auto"/>
      <w:ind w:firstLineChars="200" w:firstLine="420"/>
      <w:jc w:val="center"/>
      <w:textAlignment w:val="baseline"/>
    </w:pPr>
    <w:rPr>
      <w:rFonts w:ascii="宋体" w:hAnsi="宋体" w:hint="eastAsia"/>
      <w:sz w:val="24"/>
      <w:szCs w:val="20"/>
    </w:rPr>
  </w:style>
  <w:style w:type="paragraph" w:customStyle="1" w:styleId="PlainText1">
    <w:name w:val="Plain Text1"/>
    <w:basedOn w:val="a1"/>
    <w:qFormat/>
    <w:pPr>
      <w:autoSpaceDE w:val="0"/>
      <w:autoSpaceDN w:val="0"/>
      <w:adjustRightInd w:val="0"/>
      <w:spacing w:line="360" w:lineRule="auto"/>
      <w:ind w:firstLineChars="200" w:firstLine="420"/>
      <w:textAlignment w:val="baseline"/>
    </w:pPr>
    <w:rPr>
      <w:rFonts w:ascii="宋体" w:hAnsi="Tms Rmn"/>
      <w:kern w:val="0"/>
      <w:sz w:val="24"/>
      <w:szCs w:val="20"/>
    </w:rPr>
  </w:style>
  <w:style w:type="paragraph" w:customStyle="1" w:styleId="AFTERTITLE">
    <w:name w:val="AFTERTITLE"/>
    <w:basedOn w:val="a1"/>
    <w:qFormat/>
    <w:pPr>
      <w:widowControl/>
      <w:spacing w:afterLines="25" w:line="360" w:lineRule="atLeast"/>
      <w:ind w:firstLineChars="200" w:firstLine="200"/>
      <w:jc w:val="center"/>
    </w:pPr>
    <w:rPr>
      <w:rFonts w:ascii="Times New Roman" w:hAnsi="Times New Roman"/>
      <w:b/>
      <w:caps/>
      <w:kern w:val="0"/>
      <w:sz w:val="24"/>
      <w:szCs w:val="20"/>
    </w:rPr>
  </w:style>
  <w:style w:type="paragraph" w:customStyle="1" w:styleId="affffffffffffffff5">
    <w:name w:val="表中正文居中"/>
    <w:semiHidden/>
    <w:qFormat/>
    <w:pPr>
      <w:spacing w:before="120" w:after="120" w:line="240" w:lineRule="atLeast"/>
      <w:jc w:val="center"/>
    </w:pPr>
    <w:rPr>
      <w:rFonts w:ascii="宋体"/>
      <w:kern w:val="2"/>
      <w:sz w:val="21"/>
    </w:rPr>
  </w:style>
  <w:style w:type="paragraph" w:customStyle="1" w:styleId="085">
    <w:name w:val="样式 样式表格 + 首行缩进:  0.85 厘米"/>
    <w:basedOn w:val="afffffffffffff"/>
    <w:qFormat/>
    <w:rPr>
      <w:rFonts w:cs="宋体"/>
      <w:szCs w:val="20"/>
    </w:rPr>
  </w:style>
  <w:style w:type="paragraph" w:customStyle="1" w:styleId="CharCharCharCharCharCharCharCharChar1CharCharCharChar">
    <w:name w:val="Char Char Char Char Char Char Char Char Char1 Char Char Char Char"/>
    <w:basedOn w:val="a1"/>
    <w:qFormat/>
    <w:pPr>
      <w:spacing w:line="360" w:lineRule="auto"/>
      <w:ind w:firstLineChars="200" w:firstLine="420"/>
    </w:pPr>
    <w:rPr>
      <w:rFonts w:ascii="Times New Roman" w:hAnsi="Times New Roman"/>
      <w:sz w:val="24"/>
      <w:szCs w:val="20"/>
    </w:rPr>
  </w:style>
  <w:style w:type="paragraph" w:customStyle="1" w:styleId="CharCharCharCharCharCharCharChar2CharCharCharCharCharCharCharCharCharCharCharCharCharCharCharCharCharCharChar">
    <w:name w:val="Char Char Char Char Char Char Char Char2 Char Char Char Char Char Char Char Char Char Char Char Char Char Char Char Char Char Char Char"/>
    <w:basedOn w:val="a1"/>
    <w:next w:val="a1"/>
    <w:semiHidden/>
    <w:qFormat/>
    <w:pPr>
      <w:spacing w:line="336" w:lineRule="auto"/>
      <w:ind w:firstLineChars="200" w:firstLine="200"/>
    </w:pPr>
    <w:rPr>
      <w:rFonts w:ascii="宋体" w:eastAsia="汉鼎简书宋" w:hAnsi="宋体" w:cs="宋体"/>
      <w:spacing w:val="4"/>
      <w:sz w:val="24"/>
      <w:szCs w:val="24"/>
    </w:rPr>
  </w:style>
  <w:style w:type="paragraph" w:customStyle="1" w:styleId="CharCharCharCharCharCharCharChar2CharCharCharCharCharCharCharCharCharChar1">
    <w:name w:val="Char Char Char Char Char Char Char Char2 Char Char Char Char Char Char Char Char Char Char1"/>
    <w:basedOn w:val="a1"/>
    <w:next w:val="a1"/>
    <w:semiHidden/>
    <w:qFormat/>
    <w:pPr>
      <w:spacing w:line="336" w:lineRule="auto"/>
      <w:ind w:firstLineChars="200" w:firstLine="200"/>
    </w:pPr>
    <w:rPr>
      <w:rFonts w:ascii="宋体" w:eastAsia="汉鼎简书宋" w:hAnsi="宋体" w:cs="宋体"/>
      <w:spacing w:val="4"/>
      <w:sz w:val="24"/>
      <w:szCs w:val="24"/>
    </w:rPr>
  </w:style>
  <w:style w:type="paragraph" w:customStyle="1" w:styleId="MFSCharChar">
    <w:name w:val="MFS正文 Char Char"/>
    <w:basedOn w:val="afffe"/>
    <w:qFormat/>
    <w:pPr>
      <w:adjustRightInd w:val="0"/>
      <w:snapToGrid w:val="0"/>
      <w:spacing w:before="93" w:line="360" w:lineRule="auto"/>
      <w:ind w:firstLineChars="200" w:firstLine="487"/>
    </w:pPr>
    <w:rPr>
      <w:rFonts w:eastAsia="楷体_GB2312"/>
      <w:sz w:val="24"/>
    </w:rPr>
  </w:style>
  <w:style w:type="paragraph" w:customStyle="1" w:styleId="1fffb">
    <w:name w:val="正文 1"/>
    <w:basedOn w:val="a1"/>
    <w:qFormat/>
    <w:pPr>
      <w:spacing w:line="480" w:lineRule="exact"/>
      <w:ind w:firstLineChars="200" w:firstLine="567"/>
    </w:pPr>
    <w:rPr>
      <w:rFonts w:ascii="Times New Roman" w:hAnsi="Times New Roman"/>
      <w:sz w:val="28"/>
      <w:szCs w:val="24"/>
    </w:rPr>
  </w:style>
  <w:style w:type="paragraph" w:customStyle="1" w:styleId="MFSChar">
    <w:name w:val="MFS正文 Char"/>
    <w:basedOn w:val="afffe"/>
    <w:qFormat/>
    <w:pPr>
      <w:adjustRightInd w:val="0"/>
      <w:snapToGrid w:val="0"/>
      <w:spacing w:before="93" w:line="360" w:lineRule="auto"/>
      <w:ind w:firstLineChars="200" w:firstLine="200"/>
    </w:pPr>
    <w:rPr>
      <w:rFonts w:eastAsia="楷体_GB2312"/>
      <w:sz w:val="24"/>
    </w:rPr>
  </w:style>
  <w:style w:type="paragraph" w:customStyle="1" w:styleId="1520">
    <w:name w:val="样式 黑色 行距: 1.5 倍行距 首行缩进:  2 字符"/>
    <w:basedOn w:val="a1"/>
    <w:qFormat/>
    <w:pPr>
      <w:spacing w:line="360" w:lineRule="auto"/>
      <w:ind w:firstLineChars="200" w:firstLine="480"/>
    </w:pPr>
    <w:rPr>
      <w:rFonts w:ascii="Times New Roman" w:eastAsia="楷体_GB2312" w:hAnsi="Times New Roman" w:cs="宋体"/>
      <w:color w:val="000000"/>
      <w:sz w:val="24"/>
      <w:szCs w:val="20"/>
    </w:rPr>
  </w:style>
  <w:style w:type="paragraph" w:customStyle="1" w:styleId="CharCharChar1">
    <w:name w:val="正文格式 Char Char Char"/>
    <w:basedOn w:val="a1"/>
    <w:link w:val="CharCharCharChar0"/>
    <w:qFormat/>
    <w:pPr>
      <w:spacing w:line="360" w:lineRule="auto"/>
      <w:ind w:firstLineChars="200" w:firstLine="544"/>
    </w:pPr>
    <w:rPr>
      <w:rFonts w:ascii="Times New Roman" w:hAnsi="Times New Roman"/>
      <w:spacing w:val="4"/>
      <w:kern w:val="0"/>
      <w:sz w:val="24"/>
      <w:szCs w:val="24"/>
    </w:rPr>
  </w:style>
  <w:style w:type="paragraph" w:customStyle="1" w:styleId="dandan6-13CharCharChar">
    <w:name w:val="dandan6-13正文 Char Char Char"/>
    <w:basedOn w:val="a1"/>
    <w:next w:val="a1"/>
    <w:qFormat/>
    <w:pPr>
      <w:keepNext/>
      <w:keepLines/>
      <w:widowControl/>
      <w:adjustRightInd w:val="0"/>
      <w:spacing w:before="40" w:after="40" w:line="360" w:lineRule="auto"/>
      <w:ind w:firstLineChars="200" w:firstLine="200"/>
      <w:textAlignment w:val="baseline"/>
    </w:pPr>
    <w:rPr>
      <w:rFonts w:ascii="Times New Roman" w:hAnsi="Times New Roman" w:cs="宋体"/>
      <w:kern w:val="0"/>
      <w:sz w:val="24"/>
      <w:szCs w:val="28"/>
    </w:rPr>
  </w:style>
  <w:style w:type="paragraph" w:customStyle="1" w:styleId="ZW">
    <w:name w:val="ZW"/>
    <w:basedOn w:val="a1"/>
    <w:qFormat/>
    <w:pPr>
      <w:adjustRightInd w:val="0"/>
      <w:spacing w:line="300" w:lineRule="auto"/>
      <w:ind w:firstLineChars="200" w:firstLine="200"/>
    </w:pPr>
    <w:rPr>
      <w:rFonts w:ascii="Times New Roman" w:hAnsi="Times New Roman" w:cs="宋体"/>
      <w:sz w:val="24"/>
      <w:szCs w:val="24"/>
    </w:rPr>
  </w:style>
  <w:style w:type="paragraph" w:customStyle="1" w:styleId="affffffffffffffff6">
    <w:name w:val="正文样式一"/>
    <w:basedOn w:val="a1"/>
    <w:qFormat/>
    <w:pPr>
      <w:adjustRightInd w:val="0"/>
      <w:spacing w:line="400" w:lineRule="atLeast"/>
      <w:ind w:firstLineChars="200" w:firstLine="510"/>
      <w:textAlignment w:val="baseline"/>
    </w:pPr>
    <w:rPr>
      <w:rFonts w:ascii="Times New Roman" w:hAnsi="Times New Roman"/>
      <w:kern w:val="0"/>
      <w:sz w:val="24"/>
      <w:szCs w:val="20"/>
    </w:rPr>
  </w:style>
  <w:style w:type="paragraph" w:customStyle="1" w:styleId="biao2">
    <w:name w:val="biao2"/>
    <w:basedOn w:val="a1"/>
    <w:qFormat/>
    <w:pPr>
      <w:widowControl/>
      <w:adjustRightInd w:val="0"/>
      <w:spacing w:before="100" w:after="100" w:line="360" w:lineRule="auto"/>
      <w:ind w:firstLineChars="200" w:firstLine="420"/>
      <w:jc w:val="center"/>
      <w:textAlignment w:val="center"/>
    </w:pPr>
    <w:rPr>
      <w:rFonts w:ascii="??" w:hAnsi="??"/>
      <w:color w:val="000000"/>
      <w:kern w:val="0"/>
      <w:sz w:val="27"/>
      <w:szCs w:val="20"/>
    </w:rPr>
  </w:style>
  <w:style w:type="paragraph" w:customStyle="1" w:styleId="1fffc">
    <w:name w:val="普通(网站)1"/>
    <w:basedOn w:val="a1"/>
    <w:qFormat/>
    <w:pPr>
      <w:adjustRightInd w:val="0"/>
      <w:spacing w:line="360" w:lineRule="auto"/>
      <w:ind w:firstLineChars="200" w:firstLine="420"/>
      <w:textAlignment w:val="baseline"/>
    </w:pPr>
    <w:rPr>
      <w:rFonts w:ascii="Times New Roman" w:hAnsi="Times New Roman"/>
      <w:sz w:val="24"/>
      <w:szCs w:val="20"/>
    </w:rPr>
  </w:style>
  <w:style w:type="paragraph" w:customStyle="1" w:styleId="-3">
    <w:name w:val="-"/>
    <w:basedOn w:val="a1"/>
    <w:qFormat/>
    <w:pPr>
      <w:widowControl/>
      <w:spacing w:before="100" w:beforeAutospacing="1" w:after="100" w:afterAutospacing="1" w:line="360" w:lineRule="auto"/>
      <w:ind w:firstLineChars="200" w:firstLine="420"/>
    </w:pPr>
    <w:rPr>
      <w:rFonts w:ascii="宋体" w:hAnsi="宋体"/>
      <w:kern w:val="0"/>
      <w:sz w:val="24"/>
      <w:szCs w:val="24"/>
    </w:rPr>
  </w:style>
  <w:style w:type="paragraph" w:customStyle="1" w:styleId="3ff5">
    <w:name w:val="正文样式3"/>
    <w:basedOn w:val="a1"/>
    <w:qFormat/>
    <w:pPr>
      <w:adjustRightInd w:val="0"/>
      <w:spacing w:line="20" w:lineRule="atLeast"/>
      <w:ind w:firstLineChars="200" w:firstLine="420"/>
      <w:jc w:val="center"/>
    </w:pPr>
    <w:rPr>
      <w:rFonts w:ascii="Times New Roman" w:hAnsi="Times New Roman"/>
      <w:kern w:val="0"/>
      <w:sz w:val="24"/>
      <w:szCs w:val="20"/>
    </w:rPr>
  </w:style>
  <w:style w:type="paragraph" w:customStyle="1" w:styleId="CharCharChar1CharCharCharCharCharCharChar">
    <w:name w:val="Char Char Char1 Char Char Char Char Char Char Char"/>
    <w:basedOn w:val="a1"/>
    <w:qFormat/>
    <w:pPr>
      <w:spacing w:line="360" w:lineRule="auto"/>
      <w:ind w:firstLineChars="200" w:firstLine="420"/>
    </w:pPr>
    <w:rPr>
      <w:rFonts w:ascii="Times New Roman" w:hAnsi="Times New Roman"/>
      <w:sz w:val="24"/>
      <w:szCs w:val="24"/>
    </w:rPr>
  </w:style>
  <w:style w:type="paragraph" w:customStyle="1" w:styleId="4fd">
    <w:name w:val="宏福4"/>
    <w:basedOn w:val="a1"/>
    <w:qFormat/>
    <w:pPr>
      <w:adjustRightInd w:val="0"/>
      <w:spacing w:line="400" w:lineRule="atLeast"/>
      <w:ind w:firstLineChars="200" w:firstLine="567"/>
      <w:textAlignment w:val="baseline"/>
    </w:pPr>
    <w:rPr>
      <w:rFonts w:ascii="Times New Roman" w:hAnsi="Times New Roman"/>
      <w:sz w:val="28"/>
      <w:szCs w:val="20"/>
    </w:rPr>
  </w:style>
  <w:style w:type="paragraph" w:customStyle="1" w:styleId="CharCharChar10">
    <w:name w:val="Char Char Char1"/>
    <w:basedOn w:val="a1"/>
    <w:qFormat/>
    <w:pPr>
      <w:widowControl/>
      <w:spacing w:after="160" w:line="240" w:lineRule="exact"/>
      <w:ind w:firstLineChars="200" w:firstLine="420"/>
    </w:pPr>
    <w:rPr>
      <w:rFonts w:ascii="Verdana" w:hAnsi="Verdana"/>
      <w:kern w:val="0"/>
      <w:sz w:val="20"/>
      <w:szCs w:val="20"/>
      <w:lang w:eastAsia="en-US"/>
    </w:rPr>
  </w:style>
  <w:style w:type="paragraph" w:customStyle="1" w:styleId="affffffffffffffff7">
    <w:name w:val="农业部一"/>
    <w:next w:val="afb"/>
    <w:qFormat/>
    <w:pPr>
      <w:widowControl w:val="0"/>
      <w:topLinePunct/>
      <w:spacing w:line="360" w:lineRule="atLeast"/>
      <w:jc w:val="center"/>
    </w:pPr>
    <w:rPr>
      <w:kern w:val="2"/>
      <w:sz w:val="24"/>
      <w:szCs w:val="24"/>
    </w:rPr>
  </w:style>
  <w:style w:type="paragraph" w:customStyle="1" w:styleId="CharCharCharChar1CharCharChar">
    <w:name w:val="Char Char Char Char1 Char Char Char"/>
    <w:basedOn w:val="a1"/>
    <w:next w:val="a1"/>
    <w:semiHidden/>
    <w:qFormat/>
    <w:pPr>
      <w:spacing w:line="336" w:lineRule="auto"/>
      <w:ind w:firstLineChars="200" w:firstLine="200"/>
    </w:pPr>
    <w:rPr>
      <w:rFonts w:ascii="宋体" w:eastAsia="汉鼎简书宋" w:hAnsi="宋体" w:cs="宋体"/>
      <w:spacing w:val="4"/>
      <w:sz w:val="24"/>
      <w:szCs w:val="24"/>
    </w:rPr>
  </w:style>
  <w:style w:type="paragraph" w:customStyle="1" w:styleId="CharCharChar1CharCharChar1Char">
    <w:name w:val="Char Char Char1 Char Char Char1 Char"/>
    <w:basedOn w:val="a1"/>
    <w:qFormat/>
    <w:pPr>
      <w:spacing w:line="360" w:lineRule="auto"/>
      <w:ind w:firstLineChars="200" w:firstLine="420"/>
    </w:pPr>
    <w:rPr>
      <w:rFonts w:ascii="Times New Roman" w:hAnsi="Times New Roman"/>
      <w:sz w:val="24"/>
      <w:szCs w:val="20"/>
    </w:rPr>
  </w:style>
  <w:style w:type="paragraph" w:customStyle="1" w:styleId="CharCharChar1CharCharCharCharCharCharCharCharCharCharCharCharChar">
    <w:name w:val="Char Char Char1 Char Char Char Char Char Char Char Char Char Char Char Char Char"/>
    <w:basedOn w:val="a1"/>
    <w:qFormat/>
    <w:pPr>
      <w:spacing w:line="360" w:lineRule="auto"/>
      <w:ind w:firstLineChars="200" w:firstLine="420"/>
    </w:pPr>
    <w:rPr>
      <w:rFonts w:ascii="Times New Roman" w:hAnsi="Times New Roman"/>
      <w:sz w:val="24"/>
      <w:szCs w:val="20"/>
    </w:rPr>
  </w:style>
  <w:style w:type="paragraph" w:customStyle="1" w:styleId="160">
    <w:name w:val="16"/>
    <w:basedOn w:val="a1"/>
    <w:qFormat/>
    <w:pPr>
      <w:widowControl/>
      <w:snapToGrid w:val="0"/>
      <w:spacing w:before="100" w:beforeAutospacing="1" w:after="100" w:afterAutospacing="1" w:line="440" w:lineRule="atLeast"/>
      <w:ind w:firstLineChars="200" w:firstLine="420"/>
    </w:pPr>
    <w:rPr>
      <w:rFonts w:ascii="Times New Roman" w:hAnsi="Times New Roman"/>
      <w:kern w:val="0"/>
      <w:sz w:val="24"/>
      <w:szCs w:val="20"/>
    </w:rPr>
  </w:style>
  <w:style w:type="paragraph" w:customStyle="1" w:styleId="Charff">
    <w:name w:val="热电厂正文 Char"/>
    <w:basedOn w:val="a1"/>
    <w:qFormat/>
    <w:pPr>
      <w:spacing w:line="440" w:lineRule="exact"/>
      <w:ind w:firstLineChars="200" w:firstLine="480"/>
    </w:pPr>
    <w:rPr>
      <w:rFonts w:ascii="Times New Roman" w:hAnsi="Times New Roman"/>
      <w:sz w:val="24"/>
      <w:szCs w:val="20"/>
    </w:rPr>
  </w:style>
  <w:style w:type="paragraph" w:customStyle="1" w:styleId="10a">
    <w:name w:val="报告标题10"/>
    <w:basedOn w:val="1a"/>
    <w:qFormat/>
    <w:pPr>
      <w:spacing w:line="360" w:lineRule="auto"/>
    </w:pPr>
    <w:rPr>
      <w:rFonts w:ascii="黑体" w:eastAsia="黑体" w:hAnsi="宋体"/>
      <w:b w:val="0"/>
      <w:spacing w:val="4"/>
      <w:kern w:val="0"/>
      <w:sz w:val="32"/>
      <w:szCs w:val="20"/>
    </w:rPr>
  </w:style>
  <w:style w:type="paragraph" w:customStyle="1" w:styleId="affffffffffffffff8">
    <w:name w:val="封面标准文稿编辑信息"/>
    <w:qFormat/>
    <w:pPr>
      <w:spacing w:before="180" w:line="180" w:lineRule="exact"/>
      <w:jc w:val="center"/>
    </w:pPr>
    <w:rPr>
      <w:rFonts w:ascii="宋体"/>
      <w:sz w:val="21"/>
    </w:rPr>
  </w:style>
  <w:style w:type="paragraph" w:customStyle="1" w:styleId="CharCharCharCharCharChar1">
    <w:name w:val="Char Char Char Char Char Char1"/>
    <w:basedOn w:val="a1"/>
    <w:next w:val="a1"/>
    <w:qFormat/>
    <w:pPr>
      <w:spacing w:line="336" w:lineRule="auto"/>
      <w:ind w:firstLineChars="200" w:firstLine="200"/>
    </w:pPr>
    <w:rPr>
      <w:rFonts w:ascii="宋体" w:eastAsia="汉鼎简书宋" w:hAnsi="宋体"/>
      <w:spacing w:val="4"/>
      <w:sz w:val="24"/>
      <w:szCs w:val="20"/>
    </w:rPr>
  </w:style>
  <w:style w:type="paragraph" w:customStyle="1" w:styleId="CharCharCharChar2">
    <w:name w:val="热电厂正文 Char Char Char Char"/>
    <w:basedOn w:val="a1"/>
    <w:link w:val="CharCharCharCharChar"/>
    <w:qFormat/>
    <w:pPr>
      <w:spacing w:line="440" w:lineRule="exact"/>
      <w:ind w:firstLineChars="200" w:firstLine="480"/>
    </w:pPr>
    <w:rPr>
      <w:rFonts w:ascii="Times New Roman" w:hAnsi="Times New Roman"/>
      <w:kern w:val="0"/>
      <w:sz w:val="24"/>
      <w:szCs w:val="20"/>
    </w:rPr>
  </w:style>
  <w:style w:type="paragraph" w:customStyle="1" w:styleId="153">
    <w:name w:val="15"/>
    <w:basedOn w:val="a1"/>
    <w:qFormat/>
    <w:pPr>
      <w:widowControl/>
      <w:snapToGrid w:val="0"/>
      <w:spacing w:before="100" w:beforeAutospacing="1" w:after="100" w:afterAutospacing="1" w:line="440" w:lineRule="atLeast"/>
      <w:ind w:firstLineChars="200" w:firstLine="420"/>
    </w:pPr>
    <w:rPr>
      <w:rFonts w:ascii="Times New Roman" w:hAnsi="Times New Roman"/>
      <w:spacing w:val="20"/>
      <w:kern w:val="0"/>
      <w:sz w:val="24"/>
      <w:szCs w:val="20"/>
    </w:rPr>
  </w:style>
  <w:style w:type="paragraph" w:customStyle="1" w:styleId="CharChar4">
    <w:name w:val="批注框文本 Char Char"/>
    <w:basedOn w:val="a1"/>
    <w:qFormat/>
    <w:pPr>
      <w:spacing w:line="360" w:lineRule="auto"/>
      <w:ind w:firstLineChars="200" w:firstLine="420"/>
    </w:pPr>
    <w:rPr>
      <w:rFonts w:ascii="Times New Roman" w:hAnsi="Times New Roman"/>
      <w:sz w:val="18"/>
      <w:szCs w:val="20"/>
    </w:rPr>
  </w:style>
  <w:style w:type="paragraph" w:customStyle="1" w:styleId="CharCharCharCharCharCharCharCharCharCharCharChar">
    <w:name w:val="Char Char Char Char Char Char Char Char Char Char Char Char"/>
    <w:basedOn w:val="a1"/>
    <w:qFormat/>
    <w:pPr>
      <w:spacing w:line="360" w:lineRule="auto"/>
      <w:ind w:firstLineChars="200" w:firstLine="420"/>
    </w:pPr>
    <w:rPr>
      <w:rFonts w:ascii="Times New Roman" w:hAnsi="Times New Roman"/>
      <w:sz w:val="24"/>
      <w:szCs w:val="20"/>
    </w:rPr>
  </w:style>
  <w:style w:type="paragraph" w:customStyle="1" w:styleId="1110">
    <w:name w:val="1.1.1报告标题"/>
    <w:qFormat/>
    <w:pPr>
      <w:adjustRightInd w:val="0"/>
      <w:snapToGrid w:val="0"/>
      <w:spacing w:line="360" w:lineRule="auto"/>
      <w:outlineLvl w:val="2"/>
    </w:pPr>
    <w:rPr>
      <w:rFonts w:eastAsia="黑体"/>
      <w:color w:val="000000"/>
      <w:kern w:val="2"/>
      <w:sz w:val="28"/>
    </w:rPr>
  </w:style>
  <w:style w:type="paragraph" w:customStyle="1" w:styleId="Charff0">
    <w:name w:val="四 Char"/>
    <w:basedOn w:val="a1"/>
    <w:link w:val="CharChar5"/>
    <w:qFormat/>
    <w:pPr>
      <w:spacing w:line="336" w:lineRule="auto"/>
      <w:ind w:firstLineChars="200" w:firstLine="200"/>
    </w:pPr>
    <w:rPr>
      <w:rFonts w:cs="黑体"/>
      <w:color w:val="000000"/>
      <w:sz w:val="28"/>
      <w:szCs w:val="21"/>
    </w:rPr>
  </w:style>
  <w:style w:type="paragraph" w:customStyle="1" w:styleId="affffffffffffffff9">
    <w:name w:val="表内"/>
    <w:basedOn w:val="a1"/>
    <w:next w:val="a1"/>
    <w:qFormat/>
    <w:pPr>
      <w:adjustRightInd w:val="0"/>
      <w:snapToGrid w:val="0"/>
      <w:spacing w:before="120" w:after="120" w:line="288" w:lineRule="auto"/>
      <w:ind w:firstLineChars="200" w:firstLine="420"/>
      <w:jc w:val="center"/>
    </w:pPr>
    <w:rPr>
      <w:rFonts w:ascii="Times New Roman" w:hAnsi="Times New Roman"/>
      <w:snapToGrid w:val="0"/>
      <w:sz w:val="24"/>
      <w:szCs w:val="20"/>
    </w:rPr>
  </w:style>
  <w:style w:type="paragraph" w:customStyle="1" w:styleId="4-001001">
    <w:name w:val="样式 标题 4 + 黑色 左侧:  -0.01 厘米 首行缩进:  0.01 厘米"/>
    <w:basedOn w:val="4a"/>
    <w:qFormat/>
    <w:pPr>
      <w:tabs>
        <w:tab w:val="left" w:pos="1080"/>
        <w:tab w:val="left" w:pos="1880"/>
      </w:tabs>
      <w:adjustRightInd w:val="0"/>
      <w:snapToGrid w:val="0"/>
      <w:spacing w:before="156" w:after="0" w:line="312" w:lineRule="auto"/>
      <w:ind w:left="864" w:firstLineChars="200" w:hanging="864"/>
      <w:jc w:val="left"/>
    </w:pPr>
    <w:rPr>
      <w:rFonts w:ascii="仿宋_GB2312" w:eastAsia="仿宋_GB2312" w:hAnsi="Arial" w:cs="Times New Roman"/>
      <w:b w:val="0"/>
      <w:bCs w:val="0"/>
      <w:color w:val="000000"/>
      <w:kern w:val="0"/>
      <w:szCs w:val="20"/>
    </w:rPr>
  </w:style>
  <w:style w:type="paragraph" w:customStyle="1" w:styleId="CharCharCharCharCharCharCharCharCharCharCharCharCharCharCharCharChar">
    <w:name w:val="Char Char Char Char Char Char Char Char Char Char Char Char Char Char Char Char Char"/>
    <w:basedOn w:val="a1"/>
    <w:next w:val="a1"/>
    <w:qFormat/>
    <w:pPr>
      <w:spacing w:line="336" w:lineRule="auto"/>
      <w:ind w:firstLineChars="200" w:firstLine="200"/>
    </w:pPr>
    <w:rPr>
      <w:rFonts w:ascii="宋体" w:eastAsia="汉鼎简书宋" w:hAnsi="宋体"/>
      <w:spacing w:val="4"/>
      <w:sz w:val="24"/>
      <w:szCs w:val="20"/>
    </w:rPr>
  </w:style>
  <w:style w:type="paragraph" w:customStyle="1" w:styleId="CharCharCharCharCharCharCharChar1">
    <w:name w:val="Char Char Char Char Char Char Char Char1"/>
    <w:basedOn w:val="a1"/>
    <w:next w:val="a1"/>
    <w:qFormat/>
    <w:pPr>
      <w:spacing w:line="336" w:lineRule="auto"/>
      <w:ind w:firstLineChars="200" w:firstLine="200"/>
    </w:pPr>
    <w:rPr>
      <w:rFonts w:ascii="宋体" w:eastAsia="汉鼎简书宋" w:hAnsi="宋体"/>
      <w:spacing w:val="4"/>
      <w:sz w:val="24"/>
      <w:szCs w:val="20"/>
    </w:rPr>
  </w:style>
  <w:style w:type="paragraph" w:customStyle="1" w:styleId="1fffd">
    <w:name w:val="样式 标题 1 + 宋体 黑色"/>
    <w:basedOn w:val="1a"/>
    <w:qFormat/>
    <w:pPr>
      <w:pageBreakBefore/>
      <w:topLinePunct/>
      <w:adjustRightInd w:val="0"/>
      <w:snapToGrid w:val="0"/>
      <w:spacing w:before="0" w:after="240" w:line="240" w:lineRule="auto"/>
      <w:jc w:val="center"/>
    </w:pPr>
    <w:rPr>
      <w:rFonts w:ascii="宋体" w:hAnsi="宋体"/>
      <w:caps/>
      <w:snapToGrid w:val="0"/>
      <w:color w:val="000000"/>
      <w:spacing w:val="20"/>
      <w:kern w:val="16"/>
      <w:sz w:val="36"/>
      <w:szCs w:val="20"/>
    </w:rPr>
  </w:style>
  <w:style w:type="paragraph" w:customStyle="1" w:styleId="2fff5">
    <w:name w:val="表格填充2"/>
    <w:basedOn w:val="1fffe"/>
    <w:qFormat/>
    <w:pPr>
      <w:adjustRightInd w:val="0"/>
      <w:snapToGrid w:val="0"/>
      <w:spacing w:line="260" w:lineRule="exact"/>
    </w:pPr>
    <w:rPr>
      <w:rFonts w:ascii="宋体" w:hAnsi="宋体"/>
      <w:color w:val="000000"/>
      <w:kern w:val="0"/>
      <w:sz w:val="21"/>
    </w:rPr>
  </w:style>
  <w:style w:type="paragraph" w:customStyle="1" w:styleId="1fffe">
    <w:name w:val="表格填充1"/>
    <w:basedOn w:val="a1"/>
    <w:qFormat/>
    <w:pPr>
      <w:spacing w:line="360" w:lineRule="auto"/>
      <w:ind w:firstLineChars="200" w:firstLine="420"/>
      <w:jc w:val="center"/>
    </w:pPr>
    <w:rPr>
      <w:rFonts w:ascii="Times New Roman" w:hAnsi="Times New Roman"/>
      <w:snapToGrid w:val="0"/>
      <w:sz w:val="30"/>
      <w:szCs w:val="20"/>
    </w:rPr>
  </w:style>
  <w:style w:type="paragraph" w:customStyle="1" w:styleId="CharCharCharCharCharCharCharChar2CharCharCharCharCharCharChar">
    <w:name w:val="Char Char Char Char Char Char Char Char2 Char Char Char Char Char Char Char"/>
    <w:basedOn w:val="a1"/>
    <w:next w:val="a1"/>
    <w:qFormat/>
    <w:pPr>
      <w:spacing w:line="336" w:lineRule="auto"/>
      <w:ind w:firstLineChars="200" w:firstLine="200"/>
    </w:pPr>
    <w:rPr>
      <w:rFonts w:ascii="宋体" w:eastAsia="汉鼎简书宋" w:hAnsi="宋体"/>
      <w:spacing w:val="4"/>
      <w:sz w:val="24"/>
      <w:szCs w:val="20"/>
    </w:rPr>
  </w:style>
  <w:style w:type="paragraph" w:customStyle="1" w:styleId="CharCharChar1CharCharChar">
    <w:name w:val="Char Char Char1 Char Char Char"/>
    <w:basedOn w:val="a1"/>
    <w:qFormat/>
    <w:pPr>
      <w:spacing w:line="360" w:lineRule="auto"/>
      <w:ind w:firstLineChars="200" w:firstLine="420"/>
    </w:pPr>
    <w:rPr>
      <w:rFonts w:ascii="Times New Roman" w:hAnsi="Times New Roman"/>
      <w:sz w:val="24"/>
      <w:szCs w:val="20"/>
    </w:rPr>
  </w:style>
  <w:style w:type="paragraph" w:customStyle="1" w:styleId="CharCharCharCharCharCharCharChar2CharCharCharCharCharCharCharCharCharCharCharCharCharCharChar">
    <w:name w:val="Char Char Char Char Char Char Char Char2 Char Char Char Char Char Char Char Char Char Char Char Char Char Char Char"/>
    <w:basedOn w:val="a1"/>
    <w:next w:val="a1"/>
    <w:qFormat/>
    <w:pPr>
      <w:spacing w:line="336" w:lineRule="auto"/>
      <w:ind w:firstLineChars="200" w:firstLine="200"/>
    </w:pPr>
    <w:rPr>
      <w:rFonts w:ascii="Times New Roman" w:hAnsi="Times New Roman"/>
      <w:spacing w:val="4"/>
      <w:sz w:val="24"/>
      <w:szCs w:val="20"/>
    </w:rPr>
  </w:style>
  <w:style w:type="paragraph" w:customStyle="1" w:styleId="312">
    <w:name w:val="标题 31"/>
    <w:basedOn w:val="a1"/>
    <w:next w:val="a2"/>
    <w:qFormat/>
    <w:pPr>
      <w:keepNext/>
      <w:keepLines/>
      <w:spacing w:before="120" w:after="120" w:line="336" w:lineRule="auto"/>
      <w:ind w:firstLineChars="200" w:firstLine="200"/>
      <w:outlineLvl w:val="2"/>
    </w:pPr>
    <w:rPr>
      <w:rFonts w:ascii="Times New Roman" w:hAnsi="Times New Roman" w:hint="eastAsia"/>
      <w:b/>
      <w:sz w:val="26"/>
      <w:szCs w:val="20"/>
    </w:rPr>
  </w:style>
  <w:style w:type="paragraph" w:customStyle="1" w:styleId="CharCharCharCharCharCharCharCharChar">
    <w:name w:val="Char Char Char Char Char Char Char Char Char"/>
    <w:basedOn w:val="a1"/>
    <w:qFormat/>
    <w:pPr>
      <w:spacing w:line="360" w:lineRule="auto"/>
      <w:ind w:firstLineChars="200" w:firstLine="420"/>
    </w:pPr>
    <w:rPr>
      <w:rFonts w:ascii="Times New Roman" w:hAnsi="Times New Roman"/>
      <w:sz w:val="24"/>
      <w:szCs w:val="20"/>
    </w:rPr>
  </w:style>
  <w:style w:type="paragraph" w:customStyle="1" w:styleId="CharCharCharCharCharCharCharCharCharCharCharChar1CharCharCharCharCharCharCharCharChar">
    <w:name w:val="Char Char Char Char Char Char Char Char Char Char Char Char1 Char Char Char Char Char Char Char Char Char"/>
    <w:basedOn w:val="a1"/>
    <w:next w:val="a1"/>
    <w:qFormat/>
    <w:pPr>
      <w:spacing w:line="336" w:lineRule="auto"/>
      <w:ind w:firstLineChars="200" w:firstLine="200"/>
    </w:pPr>
    <w:rPr>
      <w:rFonts w:ascii="宋体" w:eastAsia="汉鼎简书宋" w:hAnsi="宋体" w:hint="eastAsia"/>
      <w:sz w:val="24"/>
      <w:szCs w:val="20"/>
    </w:rPr>
  </w:style>
  <w:style w:type="paragraph" w:customStyle="1" w:styleId="170">
    <w:name w:val="17"/>
    <w:basedOn w:val="a1"/>
    <w:qFormat/>
    <w:pPr>
      <w:widowControl/>
      <w:snapToGrid w:val="0"/>
      <w:spacing w:before="100" w:beforeAutospacing="1" w:after="100" w:afterAutospacing="1" w:line="360" w:lineRule="auto"/>
      <w:ind w:firstLineChars="200" w:firstLine="420"/>
    </w:pPr>
    <w:rPr>
      <w:rFonts w:ascii="宋体" w:hAnsi="宋体"/>
      <w:color w:val="000000"/>
      <w:spacing w:val="4"/>
      <w:kern w:val="0"/>
      <w:sz w:val="24"/>
      <w:szCs w:val="20"/>
    </w:rPr>
  </w:style>
  <w:style w:type="paragraph" w:customStyle="1" w:styleId="CharCharChar1CharCharCharCharCharCharCharCharChar">
    <w:name w:val="Char Char Char1 Char Char Char Char Char Char Char Char Char"/>
    <w:basedOn w:val="a1"/>
    <w:qFormat/>
    <w:pPr>
      <w:spacing w:line="360" w:lineRule="auto"/>
      <w:ind w:firstLineChars="200" w:firstLine="420"/>
    </w:pPr>
    <w:rPr>
      <w:rFonts w:ascii="Times New Roman" w:hAnsi="Times New Roman"/>
      <w:sz w:val="24"/>
      <w:szCs w:val="20"/>
    </w:rPr>
  </w:style>
  <w:style w:type="paragraph" w:customStyle="1" w:styleId="1010">
    <w:name w:val="报告标题10.1"/>
    <w:basedOn w:val="2a"/>
    <w:qFormat/>
    <w:pPr>
      <w:tabs>
        <w:tab w:val="left" w:pos="540"/>
        <w:tab w:val="left" w:pos="851"/>
        <w:tab w:val="left" w:pos="1040"/>
      </w:tabs>
      <w:autoSpaceDE w:val="0"/>
      <w:autoSpaceDN w:val="0"/>
      <w:snapToGrid w:val="0"/>
      <w:spacing w:beforeLines="0" w:afterLines="0" w:line="240" w:lineRule="auto"/>
      <w:ind w:left="851" w:hanging="567"/>
      <w:jc w:val="both"/>
    </w:pPr>
    <w:rPr>
      <w:rFonts w:ascii="Times New Roman" w:hAnsi="Times New Roman"/>
      <w:bCs w:val="0"/>
      <w:szCs w:val="20"/>
    </w:rPr>
  </w:style>
  <w:style w:type="paragraph" w:customStyle="1" w:styleId="2fff6">
    <w:name w:val="样式 四号 首行缩进:  2 字符"/>
    <w:basedOn w:val="a1"/>
    <w:qFormat/>
    <w:pPr>
      <w:spacing w:line="480" w:lineRule="atLeast"/>
      <w:ind w:firstLineChars="200" w:firstLine="200"/>
    </w:pPr>
    <w:rPr>
      <w:rFonts w:ascii="Times New Roman" w:hAnsi="Times New Roman"/>
      <w:sz w:val="24"/>
      <w:szCs w:val="20"/>
    </w:rPr>
  </w:style>
  <w:style w:type="paragraph" w:customStyle="1" w:styleId="116">
    <w:name w:val="1.1报告标题"/>
    <w:basedOn w:val="2a"/>
    <w:qFormat/>
    <w:pPr>
      <w:tabs>
        <w:tab w:val="left" w:pos="540"/>
        <w:tab w:val="left" w:pos="851"/>
        <w:tab w:val="left" w:pos="1040"/>
      </w:tabs>
      <w:autoSpaceDE w:val="0"/>
      <w:autoSpaceDN w:val="0"/>
      <w:adjustRightInd w:val="0"/>
      <w:snapToGrid w:val="0"/>
      <w:spacing w:beforeLines="0" w:afterLines="0"/>
      <w:ind w:left="851" w:hanging="567"/>
      <w:jc w:val="both"/>
    </w:pPr>
    <w:rPr>
      <w:rFonts w:ascii="Times New Roman" w:hAnsi="Times New Roman"/>
      <w:bCs w:val="0"/>
      <w:spacing w:val="4"/>
      <w:szCs w:val="20"/>
    </w:rPr>
  </w:style>
  <w:style w:type="paragraph" w:customStyle="1" w:styleId="CharCharCharCharCharCharCharChar2CharCharCharCharCharCharCharCharChar">
    <w:name w:val="Char Char Char Char Char Char Char Char2 Char Char Char Char Char Char Char Char Char"/>
    <w:basedOn w:val="a1"/>
    <w:next w:val="a1"/>
    <w:qFormat/>
    <w:pPr>
      <w:spacing w:line="336" w:lineRule="auto"/>
      <w:ind w:firstLineChars="200" w:firstLine="200"/>
    </w:pPr>
    <w:rPr>
      <w:rFonts w:ascii="宋体" w:eastAsia="汉鼎简书宋" w:hAnsi="宋体"/>
      <w:spacing w:val="4"/>
      <w:sz w:val="24"/>
      <w:szCs w:val="20"/>
    </w:rPr>
  </w:style>
  <w:style w:type="paragraph" w:customStyle="1" w:styleId="1111">
    <w:name w:val="1.1.1.1报告标题"/>
    <w:qFormat/>
    <w:pPr>
      <w:spacing w:line="360" w:lineRule="auto"/>
    </w:pPr>
    <w:rPr>
      <w:rFonts w:eastAsia="黑体"/>
      <w:spacing w:val="4"/>
      <w:kern w:val="2"/>
      <w:sz w:val="24"/>
    </w:rPr>
  </w:style>
  <w:style w:type="paragraph" w:customStyle="1" w:styleId="180">
    <w:name w:val="18"/>
    <w:basedOn w:val="a1"/>
    <w:qFormat/>
    <w:pPr>
      <w:widowControl/>
      <w:snapToGrid w:val="0"/>
      <w:spacing w:before="100" w:beforeAutospacing="1" w:after="100" w:afterAutospacing="1" w:line="360" w:lineRule="auto"/>
      <w:ind w:firstLineChars="200" w:firstLine="420"/>
    </w:pPr>
    <w:rPr>
      <w:rFonts w:ascii="Times New Roman" w:hAnsi="Times New Roman"/>
      <w:kern w:val="0"/>
      <w:sz w:val="24"/>
      <w:szCs w:val="20"/>
    </w:rPr>
  </w:style>
  <w:style w:type="paragraph" w:customStyle="1" w:styleId="affffffffffffffffa">
    <w:name w:val="表注+左对齐"/>
    <w:basedOn w:val="a1"/>
    <w:qFormat/>
    <w:pPr>
      <w:widowControl/>
      <w:adjustRightInd w:val="0"/>
      <w:snapToGrid w:val="0"/>
      <w:spacing w:line="240" w:lineRule="atLeast"/>
      <w:ind w:firstLineChars="200" w:firstLine="420"/>
      <w:textAlignment w:val="baseline"/>
    </w:pPr>
    <w:rPr>
      <w:rFonts w:ascii="仿宋_GB2312" w:eastAsia="仿宋_GB2312" w:hAnsi="Times New Roman"/>
      <w:sz w:val="18"/>
      <w:szCs w:val="20"/>
    </w:rPr>
  </w:style>
  <w:style w:type="paragraph" w:customStyle="1" w:styleId="CharCharCharCharCharCharCharChar2CharCharCharCharCharCharCharCharCharCharCharCharChar">
    <w:name w:val="Char Char Char Char Char Char Char Char2 Char Char Char Char Char Char Char Char Char Char Char Char Char"/>
    <w:basedOn w:val="a1"/>
    <w:next w:val="a1"/>
    <w:qFormat/>
    <w:pPr>
      <w:spacing w:line="336" w:lineRule="auto"/>
      <w:ind w:firstLineChars="200" w:firstLine="200"/>
    </w:pPr>
    <w:rPr>
      <w:rFonts w:ascii="宋体" w:eastAsia="汉鼎简书宋" w:hAnsi="宋体"/>
      <w:spacing w:val="4"/>
      <w:sz w:val="24"/>
      <w:szCs w:val="20"/>
    </w:rPr>
  </w:style>
  <w:style w:type="paragraph" w:customStyle="1" w:styleId="CharCharCharCharCharCharCharCharCharCharCharCharCharChar">
    <w:name w:val="Char Char Char Char Char Char Char Char Char Char Char Char Char Char"/>
    <w:basedOn w:val="a1"/>
    <w:next w:val="a1"/>
    <w:qFormat/>
    <w:pPr>
      <w:spacing w:line="336" w:lineRule="auto"/>
      <w:ind w:firstLineChars="200" w:firstLine="200"/>
    </w:pPr>
    <w:rPr>
      <w:rFonts w:ascii="宋体" w:eastAsia="汉鼎简书宋" w:hAnsi="宋体"/>
      <w:spacing w:val="4"/>
      <w:sz w:val="24"/>
      <w:szCs w:val="20"/>
    </w:rPr>
  </w:style>
  <w:style w:type="paragraph" w:customStyle="1" w:styleId="CharCharCharCharCharCharCharCharCharCharCharChar1CharCharCharCharCharCharCharCharCharCharCharChar1">
    <w:name w:val="Char Char Char Char Char Char Char Char Char Char Char Char1 Char Char Char Char Char Char Char Char Char Char Char Char1"/>
    <w:basedOn w:val="a1"/>
    <w:next w:val="a1"/>
    <w:qFormat/>
    <w:pPr>
      <w:spacing w:line="336" w:lineRule="auto"/>
      <w:ind w:firstLineChars="200" w:firstLine="200"/>
    </w:pPr>
    <w:rPr>
      <w:rFonts w:ascii="宋体" w:eastAsia="汉鼎简书宋" w:hAnsi="宋体"/>
      <w:spacing w:val="4"/>
      <w:sz w:val="24"/>
      <w:szCs w:val="20"/>
    </w:rPr>
  </w:style>
  <w:style w:type="paragraph" w:customStyle="1" w:styleId="CharCharCharCharCharCharCharChar2">
    <w:name w:val="Char Char Char Char Char Char Char Char2"/>
    <w:basedOn w:val="a1"/>
    <w:next w:val="a1"/>
    <w:qFormat/>
    <w:pPr>
      <w:spacing w:line="336" w:lineRule="auto"/>
      <w:ind w:firstLineChars="200" w:firstLine="200"/>
    </w:pPr>
    <w:rPr>
      <w:rFonts w:ascii="宋体" w:eastAsia="汉鼎简书宋" w:hAnsi="宋体"/>
      <w:spacing w:val="4"/>
      <w:sz w:val="24"/>
      <w:szCs w:val="20"/>
    </w:rPr>
  </w:style>
  <w:style w:type="paragraph" w:customStyle="1" w:styleId="CharCharCharChar1CharCharCharCharCharChar">
    <w:name w:val="Char Char Char Char1 Char Char Char Char Char Char"/>
    <w:basedOn w:val="a1"/>
    <w:next w:val="a1"/>
    <w:semiHidden/>
    <w:qFormat/>
    <w:pPr>
      <w:spacing w:line="336" w:lineRule="auto"/>
      <w:ind w:firstLineChars="200" w:firstLine="200"/>
    </w:pPr>
    <w:rPr>
      <w:rFonts w:ascii="宋体" w:eastAsia="汉鼎简书宋" w:hAnsi="宋体" w:cs="宋体"/>
      <w:spacing w:val="4"/>
      <w:sz w:val="24"/>
      <w:szCs w:val="24"/>
    </w:rPr>
  </w:style>
  <w:style w:type="paragraph" w:customStyle="1" w:styleId="090">
    <w:name w:val="样式 样式表 + 首行缩进:  0.9 厘米"/>
    <w:basedOn w:val="affffffffffffb"/>
    <w:qFormat/>
    <w:pPr>
      <w:spacing w:before="50" w:after="50"/>
    </w:pPr>
    <w:rPr>
      <w:szCs w:val="20"/>
    </w:rPr>
  </w:style>
  <w:style w:type="paragraph" w:customStyle="1" w:styleId="affffffffffffffffb">
    <w:name w:val="红"/>
    <w:basedOn w:val="a1"/>
    <w:qFormat/>
    <w:pPr>
      <w:widowControl/>
      <w:spacing w:after="100" w:line="360" w:lineRule="auto"/>
      <w:ind w:firstLineChars="200" w:firstLine="420"/>
    </w:pPr>
    <w:rPr>
      <w:rFonts w:ascii="Times New Roman" w:hAnsi="Times New Roman"/>
      <w:b/>
      <w:kern w:val="0"/>
      <w:sz w:val="28"/>
      <w:szCs w:val="20"/>
    </w:rPr>
  </w:style>
  <w:style w:type="paragraph" w:customStyle="1" w:styleId="CharCharCharCharCharCharCharChar2CharCharCharCharCharCharCharCharCharCharCharCharCharCharCharCharCharCharChar1">
    <w:name w:val="Char Char Char Char Char Char Char Char2 Char Char Char Char Char Char Char Char Char Char Char Char Char Char Char Char Char Char Char1"/>
    <w:basedOn w:val="a1"/>
    <w:next w:val="a1"/>
    <w:semiHidden/>
    <w:qFormat/>
    <w:pPr>
      <w:snapToGrid w:val="0"/>
      <w:spacing w:line="336" w:lineRule="auto"/>
      <w:ind w:firstLineChars="200" w:firstLine="200"/>
    </w:pPr>
    <w:rPr>
      <w:rFonts w:ascii="Times New Roman" w:hAnsi="Times New Roman"/>
      <w:color w:val="000000"/>
      <w:sz w:val="24"/>
      <w:szCs w:val="24"/>
    </w:rPr>
  </w:style>
  <w:style w:type="paragraph" w:customStyle="1" w:styleId="CharCharCharChar1CharCharCharCharChar">
    <w:name w:val="Char Char Char Char1 Char Char Char Char Char"/>
    <w:basedOn w:val="a1"/>
    <w:next w:val="a1"/>
    <w:semiHidden/>
    <w:qFormat/>
    <w:pPr>
      <w:spacing w:line="336" w:lineRule="auto"/>
      <w:ind w:firstLineChars="200" w:firstLine="200"/>
    </w:pPr>
    <w:rPr>
      <w:rFonts w:ascii="宋体" w:eastAsia="汉鼎简书宋" w:hAnsi="宋体" w:cs="宋体"/>
      <w:spacing w:val="4"/>
      <w:sz w:val="24"/>
      <w:szCs w:val="24"/>
    </w:rPr>
  </w:style>
  <w:style w:type="paragraph" w:customStyle="1" w:styleId="CharCharCharCharCharCharCharChar2CharCharCharCharCharCharCharCharCharCharCharCharCharCharCharCharCharCharCharCharChar">
    <w:name w:val="Char Char Char Char Char Char Char Char2 Char Char Char Char Char Char Char Char Char Char Char Char Char Char Char Char Char Char Char Char Char"/>
    <w:basedOn w:val="a1"/>
    <w:next w:val="a1"/>
    <w:semiHidden/>
    <w:qFormat/>
    <w:pPr>
      <w:snapToGrid w:val="0"/>
      <w:spacing w:line="336" w:lineRule="auto"/>
      <w:ind w:firstLineChars="200" w:firstLine="200"/>
    </w:pPr>
    <w:rPr>
      <w:rFonts w:ascii="Times New Roman" w:hAnsi="Times New Roman"/>
      <w:color w:val="000000"/>
      <w:sz w:val="24"/>
      <w:szCs w:val="24"/>
    </w:rPr>
  </w:style>
  <w:style w:type="paragraph" w:customStyle="1" w:styleId="T">
    <w:name w:val="T表格"/>
    <w:basedOn w:val="Default"/>
    <w:next w:val="Default"/>
    <w:qFormat/>
    <w:rPr>
      <w:color w:val="auto"/>
      <w:sz w:val="20"/>
      <w:szCs w:val="20"/>
    </w:rPr>
  </w:style>
  <w:style w:type="paragraph" w:customStyle="1" w:styleId="affffffffffffffffc">
    <w:name w:val="亚行正文"/>
    <w:basedOn w:val="a1"/>
    <w:link w:val="Charff1"/>
    <w:qFormat/>
    <w:pPr>
      <w:spacing w:line="480" w:lineRule="exact"/>
      <w:ind w:firstLineChars="200" w:firstLine="480"/>
    </w:pPr>
    <w:rPr>
      <w:rFonts w:eastAsia="Times" w:cs="黑体"/>
      <w:color w:val="000000"/>
      <w:sz w:val="24"/>
      <w:szCs w:val="24"/>
    </w:rPr>
  </w:style>
  <w:style w:type="paragraph" w:customStyle="1" w:styleId="111111">
    <w:name w:val="111111正文"/>
    <w:basedOn w:val="a1"/>
    <w:link w:val="111111CharChar"/>
    <w:semiHidden/>
    <w:qFormat/>
    <w:pPr>
      <w:spacing w:line="360" w:lineRule="auto"/>
      <w:ind w:firstLineChars="200" w:firstLine="200"/>
    </w:pPr>
    <w:rPr>
      <w:rFonts w:ascii="Times New Roman" w:hAnsi="Times New Roman"/>
      <w:kern w:val="0"/>
      <w:sz w:val="24"/>
      <w:szCs w:val="24"/>
    </w:rPr>
  </w:style>
  <w:style w:type="paragraph" w:customStyle="1" w:styleId="154">
    <w:name w:val="表格15"/>
    <w:basedOn w:val="a1"/>
    <w:link w:val="15Char0"/>
    <w:qFormat/>
    <w:pPr>
      <w:adjustRightInd w:val="0"/>
      <w:snapToGrid w:val="0"/>
      <w:spacing w:line="300" w:lineRule="exact"/>
      <w:jc w:val="center"/>
      <w:textAlignment w:val="baseline"/>
    </w:pPr>
    <w:rPr>
      <w:rFonts w:ascii="宋体" w:hAnsi="Times New Roman"/>
      <w:kern w:val="0"/>
      <w:sz w:val="20"/>
      <w:szCs w:val="28"/>
    </w:rPr>
  </w:style>
  <w:style w:type="paragraph" w:customStyle="1" w:styleId="1ffff">
    <w:name w:val="样式1－王鹏"/>
    <w:basedOn w:val="a1"/>
    <w:semiHidden/>
    <w:qFormat/>
    <w:pPr>
      <w:adjustRightInd w:val="0"/>
      <w:snapToGrid w:val="0"/>
      <w:spacing w:beforeLines="50" w:afterLines="50" w:line="360" w:lineRule="auto"/>
      <w:ind w:firstLineChars="249" w:firstLine="627"/>
    </w:pPr>
    <w:rPr>
      <w:rFonts w:ascii="宋体" w:hAnsi="宋体" w:cs="Arial"/>
      <w:bCs/>
      <w:spacing w:val="6"/>
      <w:sz w:val="24"/>
      <w:szCs w:val="20"/>
    </w:rPr>
  </w:style>
  <w:style w:type="paragraph" w:customStyle="1" w:styleId="181">
    <w:name w:val="表格18"/>
    <w:basedOn w:val="a1"/>
    <w:qFormat/>
    <w:pPr>
      <w:widowControl/>
      <w:spacing w:line="360" w:lineRule="exact"/>
      <w:jc w:val="center"/>
    </w:pPr>
    <w:rPr>
      <w:rFonts w:ascii="宋体" w:hAnsi="Times New Roman"/>
      <w:color w:val="000000"/>
      <w:szCs w:val="21"/>
    </w:rPr>
  </w:style>
  <w:style w:type="paragraph" w:customStyle="1" w:styleId="1ffff0">
    <w:name w:val="付正文1"/>
    <w:basedOn w:val="fu"/>
    <w:next w:val="fu"/>
    <w:link w:val="1Char6"/>
    <w:qFormat/>
    <w:rPr>
      <w:rFonts w:ascii="宋体" w:hAnsi="宋体"/>
    </w:rPr>
  </w:style>
  <w:style w:type="paragraph" w:customStyle="1" w:styleId="affffffffffffffffd">
    <w:name w:val="付正文"/>
    <w:basedOn w:val="a1"/>
    <w:link w:val="CharChar6"/>
    <w:semiHidden/>
    <w:qFormat/>
    <w:pPr>
      <w:spacing w:line="360" w:lineRule="auto"/>
      <w:ind w:firstLineChars="200" w:firstLine="200"/>
    </w:pPr>
    <w:rPr>
      <w:rFonts w:ascii="宋体" w:hAnsi="Times New Roman"/>
      <w:color w:val="000000"/>
      <w:kern w:val="0"/>
      <w:sz w:val="24"/>
      <w:szCs w:val="21"/>
    </w:rPr>
  </w:style>
  <w:style w:type="paragraph" w:customStyle="1" w:styleId="1-">
    <w:name w:val="1-正文"/>
    <w:basedOn w:val="a1"/>
    <w:link w:val="1-Char"/>
    <w:qFormat/>
    <w:pPr>
      <w:spacing w:line="360" w:lineRule="auto"/>
      <w:ind w:firstLineChars="200" w:firstLine="200"/>
    </w:pPr>
    <w:rPr>
      <w:rFonts w:ascii="宋体" w:hAnsi="宋体"/>
      <w:kern w:val="0"/>
      <w:sz w:val="24"/>
      <w:szCs w:val="24"/>
    </w:rPr>
  </w:style>
  <w:style w:type="paragraph" w:customStyle="1" w:styleId="200">
    <w:name w:val="表格20"/>
    <w:basedOn w:val="a1"/>
    <w:qFormat/>
    <w:pPr>
      <w:widowControl/>
      <w:spacing w:line="400" w:lineRule="exact"/>
      <w:jc w:val="center"/>
    </w:pPr>
    <w:rPr>
      <w:rFonts w:ascii="宋体" w:hAnsi="Times New Roman"/>
      <w:color w:val="000000"/>
      <w:szCs w:val="21"/>
    </w:rPr>
  </w:style>
  <w:style w:type="paragraph" w:customStyle="1" w:styleId="10b">
    <w:name w:val="正文样式10"/>
    <w:basedOn w:val="a1"/>
    <w:link w:val="10Char0"/>
    <w:qFormat/>
    <w:pPr>
      <w:spacing w:line="360" w:lineRule="auto"/>
      <w:ind w:firstLineChars="200" w:firstLine="480"/>
    </w:pPr>
    <w:rPr>
      <w:rFonts w:ascii="宋体" w:hAnsi="宋体"/>
      <w:bCs/>
      <w:color w:val="000000"/>
      <w:kern w:val="0"/>
      <w:sz w:val="24"/>
      <w:szCs w:val="20"/>
      <w:lang w:val="zh-CN"/>
    </w:rPr>
  </w:style>
  <w:style w:type="paragraph" w:customStyle="1" w:styleId="131">
    <w:name w:val="表格13"/>
    <w:basedOn w:val="a1"/>
    <w:link w:val="13Char1"/>
    <w:qFormat/>
    <w:pPr>
      <w:adjustRightInd w:val="0"/>
      <w:snapToGrid w:val="0"/>
      <w:spacing w:line="260" w:lineRule="exact"/>
      <w:jc w:val="center"/>
      <w:textAlignment w:val="baseline"/>
    </w:pPr>
    <w:rPr>
      <w:rFonts w:ascii="宋体" w:hAnsi="Times New Roman"/>
      <w:kern w:val="0"/>
      <w:sz w:val="20"/>
      <w:szCs w:val="28"/>
    </w:rPr>
  </w:style>
  <w:style w:type="paragraph" w:customStyle="1" w:styleId="Char22">
    <w:name w:val="样式 样式 正文首行缩进正文首行缩进 Char + 首行缩进:  2 字符 + 首行缩进:  2 字符"/>
    <w:basedOn w:val="a1"/>
    <w:semiHidden/>
    <w:qFormat/>
    <w:pPr>
      <w:adjustRightInd w:val="0"/>
      <w:snapToGrid w:val="0"/>
      <w:spacing w:line="360" w:lineRule="auto"/>
      <w:ind w:firstLineChars="200" w:firstLine="480"/>
      <w:textAlignment w:val="baseline"/>
    </w:pPr>
    <w:rPr>
      <w:rFonts w:ascii="宋体" w:hAnsi="Times New Roman" w:cs="宋体"/>
      <w:sz w:val="24"/>
      <w:szCs w:val="20"/>
      <w:lang w:val="zh-CN"/>
    </w:rPr>
  </w:style>
  <w:style w:type="paragraph" w:customStyle="1" w:styleId="3x">
    <w:name w:val="标题3x"/>
    <w:basedOn w:val="a1"/>
    <w:link w:val="3xChar"/>
    <w:qFormat/>
    <w:pPr>
      <w:keepNext/>
      <w:keepLines/>
      <w:spacing w:before="120" w:line="360" w:lineRule="auto"/>
      <w:outlineLvl w:val="2"/>
    </w:pPr>
    <w:rPr>
      <w:rFonts w:ascii="黑体" w:eastAsia="黑体" w:hAnsi="Times New Roman"/>
      <w:b/>
      <w:bCs/>
      <w:color w:val="000000"/>
      <w:kern w:val="0"/>
      <w:sz w:val="24"/>
      <w:szCs w:val="24"/>
      <w:lang w:val="zh-CN"/>
    </w:rPr>
  </w:style>
  <w:style w:type="paragraph" w:customStyle="1" w:styleId="dan6-16">
    <w:name w:val="dan6-16正文"/>
    <w:basedOn w:val="a1"/>
    <w:qFormat/>
    <w:pPr>
      <w:spacing w:before="40" w:after="40" w:line="360" w:lineRule="auto"/>
      <w:ind w:firstLineChars="200" w:firstLine="200"/>
    </w:pPr>
    <w:rPr>
      <w:rFonts w:ascii="Times New Roman" w:hAnsi="Times New Roman"/>
      <w:sz w:val="24"/>
      <w:szCs w:val="24"/>
    </w:rPr>
  </w:style>
  <w:style w:type="paragraph" w:customStyle="1" w:styleId="CharCharCharCharCharCharCharCharCharCharCharCharCharCharCharChar">
    <w:name w:val="Char Char Char Char Char Char Char Char Char Char Char Char Char Char Char Char"/>
    <w:basedOn w:val="a1"/>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50">
    <w:name w:val="Char5"/>
    <w:basedOn w:val="a1"/>
    <w:next w:val="a1"/>
    <w:qFormat/>
    <w:pPr>
      <w:spacing w:line="360" w:lineRule="auto"/>
      <w:ind w:firstLineChars="200" w:firstLine="200"/>
    </w:pPr>
    <w:rPr>
      <w:rFonts w:ascii="Times New Roman" w:eastAsia="Times" w:hAnsi="Times New Roman"/>
      <w:b/>
      <w:bCs/>
      <w:szCs w:val="21"/>
    </w:rPr>
  </w:style>
  <w:style w:type="paragraph" w:customStyle="1" w:styleId="affffffffffffffffe">
    <w:name w:val="封面正文"/>
    <w:semiHidden/>
    <w:qFormat/>
    <w:pPr>
      <w:jc w:val="both"/>
    </w:pPr>
  </w:style>
  <w:style w:type="paragraph" w:customStyle="1" w:styleId="afffffffffffffffff">
    <w:name w:val="左五"/>
    <w:basedOn w:val="a1"/>
    <w:semiHidden/>
    <w:qFormat/>
    <w:pPr>
      <w:adjustRightInd w:val="0"/>
      <w:snapToGrid w:val="0"/>
      <w:spacing w:line="280" w:lineRule="exact"/>
      <w:jc w:val="left"/>
    </w:pPr>
    <w:rPr>
      <w:rFonts w:ascii="宋体" w:hAnsi="Symusic"/>
      <w:color w:val="000000"/>
      <w:sz w:val="18"/>
      <w:szCs w:val="24"/>
    </w:rPr>
  </w:style>
  <w:style w:type="paragraph" w:customStyle="1" w:styleId="afffffffffffffffff0">
    <w:name w:val="左侧"/>
    <w:semiHidden/>
    <w:qFormat/>
    <w:pPr>
      <w:spacing w:line="280" w:lineRule="exact"/>
      <w:jc w:val="center"/>
    </w:pPr>
    <w:rPr>
      <w:rFonts w:ascii="Batang" w:hAnsi="Batang"/>
      <w:color w:val="000000"/>
      <w:sz w:val="21"/>
    </w:rPr>
  </w:style>
  <w:style w:type="paragraph" w:customStyle="1" w:styleId="2fff7">
    <w:name w:val="框图格式2"/>
    <w:basedOn w:val="a1"/>
    <w:semiHidden/>
    <w:qFormat/>
    <w:rPr>
      <w:rFonts w:ascii="Times New Roman" w:hAnsi="Times New Roman"/>
      <w:sz w:val="18"/>
      <w:szCs w:val="24"/>
    </w:rPr>
  </w:style>
  <w:style w:type="paragraph" w:customStyle="1" w:styleId="afffffffffffffffff1">
    <w:name w:val="目录"/>
    <w:basedOn w:val="a1"/>
    <w:semiHidden/>
    <w:qFormat/>
    <w:pPr>
      <w:tabs>
        <w:tab w:val="right" w:leader="dot" w:pos="8505"/>
      </w:tabs>
      <w:overflowPunct w:val="0"/>
      <w:adjustRightInd w:val="0"/>
      <w:spacing w:line="360" w:lineRule="auto"/>
      <w:ind w:left="568" w:right="851" w:hanging="284"/>
      <w:textAlignment w:val="baseline"/>
    </w:pPr>
    <w:rPr>
      <w:rFonts w:ascii="Times New Roman" w:hAnsi="Times New Roman"/>
      <w:kern w:val="0"/>
      <w:sz w:val="28"/>
      <w:szCs w:val="20"/>
    </w:rPr>
  </w:style>
  <w:style w:type="paragraph" w:customStyle="1" w:styleId="afffffffffffffffff2">
    <w:name w:val="流程图"/>
    <w:basedOn w:val="a1"/>
    <w:semiHidden/>
    <w:qFormat/>
    <w:pPr>
      <w:spacing w:line="320" w:lineRule="exact"/>
      <w:jc w:val="center"/>
    </w:pPr>
    <w:rPr>
      <w:rFonts w:ascii="宋体" w:hAnsi="Times New Roman"/>
      <w:sz w:val="24"/>
      <w:szCs w:val="24"/>
    </w:rPr>
  </w:style>
  <w:style w:type="paragraph" w:customStyle="1" w:styleId="CharCharChar1CharCharChar1CharCharCharCharCharChar1CharCharChar1Char">
    <w:name w:val="Char Char Char1 Char Char Char1 Char Char Char Char Char Char1 Char Char Char1 Char"/>
    <w:basedOn w:val="a1"/>
    <w:semiHidden/>
    <w:qFormat/>
    <w:rPr>
      <w:rFonts w:ascii="Times New Roman" w:hAnsi="Times New Roman"/>
      <w:szCs w:val="24"/>
    </w:rPr>
  </w:style>
  <w:style w:type="paragraph" w:customStyle="1" w:styleId="2CharCharCharCharCharCharCharCharCharChar">
    <w:name w:val="2 Char Char Char Char Char Char Char Char Char Char"/>
    <w:basedOn w:val="a1"/>
    <w:semiHidden/>
    <w:qFormat/>
    <w:rPr>
      <w:rFonts w:ascii="Times New Roman" w:hAnsi="Times New Roman"/>
      <w:szCs w:val="24"/>
    </w:rPr>
  </w:style>
  <w:style w:type="paragraph" w:customStyle="1" w:styleId="BG1">
    <w:name w:val="BG1"/>
    <w:basedOn w:val="a1"/>
    <w:semiHidden/>
    <w:qFormat/>
    <w:pPr>
      <w:autoSpaceDE w:val="0"/>
      <w:autoSpaceDN w:val="0"/>
      <w:jc w:val="center"/>
    </w:pPr>
    <w:rPr>
      <w:rFonts w:ascii="Times New Roman" w:hAnsi="Times New Roman"/>
      <w:color w:val="000000"/>
      <w:kern w:val="0"/>
      <w:szCs w:val="24"/>
    </w:rPr>
  </w:style>
  <w:style w:type="paragraph" w:customStyle="1" w:styleId="afffffffffffffffff3">
    <w:name w:val="表内式样"/>
    <w:semiHidden/>
    <w:qFormat/>
    <w:pPr>
      <w:keepLines/>
      <w:widowControl w:val="0"/>
      <w:kinsoku w:val="0"/>
      <w:overflowPunct w:val="0"/>
      <w:adjustRightInd w:val="0"/>
      <w:spacing w:line="360" w:lineRule="atLeast"/>
      <w:jc w:val="center"/>
    </w:pPr>
    <w:rPr>
      <w:rFonts w:ascii="宋体"/>
      <w:kern w:val="21"/>
      <w:sz w:val="21"/>
    </w:rPr>
  </w:style>
  <w:style w:type="paragraph" w:customStyle="1" w:styleId="afffffffffffffffff4">
    <w:name w:val="框图内容"/>
    <w:basedOn w:val="a1"/>
    <w:semiHidden/>
    <w:qFormat/>
    <w:pPr>
      <w:jc w:val="center"/>
    </w:pPr>
    <w:rPr>
      <w:rFonts w:ascii="宋体" w:hAnsi="Times New Roman"/>
      <w:szCs w:val="24"/>
    </w:rPr>
  </w:style>
  <w:style w:type="paragraph" w:customStyle="1" w:styleId="999">
    <w:name w:val="正文999"/>
    <w:basedOn w:val="a1"/>
    <w:semiHidden/>
    <w:qFormat/>
    <w:pPr>
      <w:spacing w:line="360" w:lineRule="auto"/>
      <w:ind w:firstLineChars="200" w:firstLine="480"/>
    </w:pPr>
    <w:rPr>
      <w:rFonts w:ascii="宋体" w:hAnsi="宋体"/>
      <w:sz w:val="24"/>
      <w:szCs w:val="24"/>
    </w:rPr>
  </w:style>
  <w:style w:type="paragraph" w:customStyle="1" w:styleId="afffffffffffffffff5">
    <w:name w:val="图号"/>
    <w:basedOn w:val="1ff7"/>
    <w:semiHidden/>
    <w:qFormat/>
    <w:pPr>
      <w:adjustRightInd w:val="0"/>
      <w:snapToGrid w:val="0"/>
      <w:spacing w:before="0" w:line="360" w:lineRule="auto"/>
    </w:pPr>
    <w:rPr>
      <w:rFonts w:ascii="Times New Roman" w:hAnsi="Times New Roman"/>
      <w:spacing w:val="0"/>
    </w:rPr>
  </w:style>
  <w:style w:type="paragraph" w:customStyle="1" w:styleId="Char1CharCharChar1">
    <w:name w:val="Char1 Char Char Char1"/>
    <w:basedOn w:val="a1"/>
    <w:qFormat/>
    <w:rPr>
      <w:rFonts w:ascii="Times New Roman" w:hAnsi="Times New Roman"/>
      <w:sz w:val="24"/>
      <w:szCs w:val="20"/>
    </w:rPr>
  </w:style>
  <w:style w:type="paragraph" w:customStyle="1" w:styleId="411111111H4Subsection1111411111">
    <w:name w:val="样式 标题 4条标题1.1.1.1款标题1.1.1.1H4Subsection1.1.1.1标题 4.1.1.1.1...1"/>
    <w:basedOn w:val="4a"/>
    <w:semiHidden/>
    <w:qFormat/>
    <w:pPr>
      <w:tabs>
        <w:tab w:val="left" w:pos="1880"/>
      </w:tabs>
      <w:adjustRightInd w:val="0"/>
      <w:snapToGrid w:val="0"/>
      <w:spacing w:before="0" w:after="0" w:line="312" w:lineRule="auto"/>
      <w:ind w:firstLine="57"/>
      <w:jc w:val="left"/>
      <w:textAlignment w:val="baseline"/>
    </w:pPr>
    <w:rPr>
      <w:rFonts w:ascii="宋体" w:hAnsi="宋体" w:cs="宋体"/>
      <w:b w:val="0"/>
      <w:kern w:val="0"/>
      <w:sz w:val="24"/>
      <w:szCs w:val="20"/>
    </w:rPr>
  </w:style>
  <w:style w:type="paragraph" w:customStyle="1" w:styleId="2fff8">
    <w:name w:val="表标题2"/>
    <w:basedOn w:val="a1"/>
    <w:next w:val="a1"/>
    <w:semiHidden/>
    <w:qFormat/>
    <w:pPr>
      <w:spacing w:before="120" w:after="120" w:line="300" w:lineRule="auto"/>
      <w:jc w:val="center"/>
    </w:pPr>
    <w:rPr>
      <w:rFonts w:ascii="Times New Roman" w:hAnsi="Times New Roman"/>
      <w:szCs w:val="20"/>
    </w:rPr>
  </w:style>
  <w:style w:type="paragraph" w:customStyle="1" w:styleId="03">
    <w:name w:val="03节"/>
    <w:basedOn w:val="a1"/>
    <w:next w:val="afb"/>
    <w:semiHidden/>
    <w:qFormat/>
    <w:pPr>
      <w:tabs>
        <w:tab w:val="left" w:pos="360"/>
        <w:tab w:val="left" w:pos="480"/>
        <w:tab w:val="left" w:pos="2040"/>
      </w:tabs>
      <w:spacing w:before="240" w:after="240" w:line="560" w:lineRule="atLeast"/>
      <w:ind w:leftChars="800" w:left="800" w:hangingChars="200" w:hanging="1320"/>
      <w:jc w:val="left"/>
      <w:outlineLvl w:val="0"/>
    </w:pPr>
    <w:rPr>
      <w:rFonts w:ascii="幼圆" w:eastAsia="幼圆" w:hAnsi="Times New Roman"/>
      <w:b/>
      <w:sz w:val="24"/>
      <w:szCs w:val="20"/>
    </w:rPr>
  </w:style>
  <w:style w:type="paragraph" w:customStyle="1" w:styleId="09">
    <w:name w:val="09点"/>
    <w:basedOn w:val="a1"/>
    <w:semiHidden/>
    <w:qFormat/>
    <w:pPr>
      <w:numPr>
        <w:numId w:val="111"/>
      </w:numPr>
      <w:tabs>
        <w:tab w:val="clear" w:pos="720"/>
        <w:tab w:val="left" w:pos="870"/>
      </w:tabs>
      <w:autoSpaceDE w:val="0"/>
      <w:autoSpaceDN w:val="0"/>
      <w:adjustRightInd w:val="0"/>
      <w:spacing w:before="60" w:after="60" w:line="288" w:lineRule="auto"/>
      <w:ind w:left="0" w:firstLine="0"/>
    </w:pPr>
    <w:rPr>
      <w:rFonts w:ascii="宋体" w:hAnsi="Times New Roman"/>
      <w:sz w:val="24"/>
      <w:szCs w:val="20"/>
    </w:rPr>
  </w:style>
  <w:style w:type="paragraph" w:customStyle="1" w:styleId="afffffffffffffffff6">
    <w:name w:val="表标头"/>
    <w:basedOn w:val="a1"/>
    <w:semiHidden/>
    <w:qFormat/>
    <w:pPr>
      <w:spacing w:before="60" w:after="60" w:line="240" w:lineRule="atLeast"/>
      <w:jc w:val="center"/>
    </w:pPr>
    <w:rPr>
      <w:rFonts w:ascii="Times New Roman" w:hAnsi="Times New Roman"/>
      <w:b/>
      <w:bCs/>
      <w:sz w:val="24"/>
      <w:szCs w:val="24"/>
    </w:rPr>
  </w:style>
  <w:style w:type="paragraph" w:customStyle="1" w:styleId="afffffffffffffffff7">
    <w:name w:val="图标题"/>
    <w:basedOn w:val="a1"/>
    <w:next w:val="a1"/>
    <w:semiHidden/>
    <w:qFormat/>
    <w:pPr>
      <w:autoSpaceDE w:val="0"/>
      <w:autoSpaceDN w:val="0"/>
      <w:adjustRightInd w:val="0"/>
      <w:spacing w:before="60" w:after="120" w:line="400" w:lineRule="atLeast"/>
      <w:jc w:val="center"/>
      <w:textAlignment w:val="baseline"/>
    </w:pPr>
    <w:rPr>
      <w:rFonts w:ascii="Times New Roman" w:hAnsi="Times New Roman"/>
      <w:b/>
      <w:spacing w:val="2"/>
      <w:kern w:val="0"/>
      <w:sz w:val="24"/>
      <w:szCs w:val="20"/>
    </w:rPr>
  </w:style>
  <w:style w:type="paragraph" w:customStyle="1" w:styleId="a00">
    <w:name w:val="a0"/>
    <w:basedOn w:val="a1"/>
    <w:semiHidden/>
    <w:qFormat/>
    <w:pPr>
      <w:widowControl/>
      <w:spacing w:before="100" w:beforeAutospacing="1" w:after="100" w:afterAutospacing="1"/>
      <w:jc w:val="left"/>
    </w:pPr>
    <w:rPr>
      <w:rFonts w:ascii="宋体" w:hAnsi="宋体"/>
      <w:color w:val="000000"/>
      <w:kern w:val="0"/>
      <w:sz w:val="24"/>
      <w:szCs w:val="24"/>
    </w:rPr>
  </w:style>
  <w:style w:type="paragraph" w:customStyle="1" w:styleId="a10">
    <w:name w:val="a1"/>
    <w:basedOn w:val="a1"/>
    <w:link w:val="a1Char"/>
    <w:qFormat/>
    <w:pPr>
      <w:widowControl/>
      <w:spacing w:before="100" w:beforeAutospacing="1" w:after="100" w:afterAutospacing="1"/>
      <w:jc w:val="left"/>
    </w:pPr>
    <w:rPr>
      <w:rFonts w:ascii="宋体" w:hAnsi="宋体"/>
      <w:color w:val="000000"/>
      <w:kern w:val="0"/>
      <w:sz w:val="24"/>
      <w:szCs w:val="24"/>
    </w:rPr>
  </w:style>
  <w:style w:type="paragraph" w:customStyle="1" w:styleId="afffffffffffffffff8">
    <w:name w:val="电镀正文"/>
    <w:basedOn w:val="a2"/>
    <w:semiHidden/>
    <w:qFormat/>
    <w:pPr>
      <w:adjustRightInd/>
      <w:snapToGrid/>
      <w:spacing w:line="312" w:lineRule="auto"/>
      <w:ind w:firstLine="200"/>
      <w:jc w:val="both"/>
    </w:pPr>
    <w:rPr>
      <w:rFonts w:ascii="宋体" w:eastAsia="宋体" w:hAnsi="宋体"/>
      <w:kern w:val="2"/>
      <w:sz w:val="24"/>
      <w:szCs w:val="24"/>
    </w:rPr>
  </w:style>
  <w:style w:type="paragraph" w:customStyle="1" w:styleId="afffffffffffffffff9">
    <w:name w:val="表题注"/>
    <w:basedOn w:val="a1"/>
    <w:semiHidden/>
    <w:qFormat/>
    <w:pPr>
      <w:adjustRightInd w:val="0"/>
      <w:spacing w:line="0" w:lineRule="atLeast"/>
      <w:ind w:firstLineChars="200" w:firstLine="200"/>
      <w:jc w:val="center"/>
      <w:textAlignment w:val="baseline"/>
    </w:pPr>
    <w:rPr>
      <w:rFonts w:ascii="Times New Roman" w:hAnsi="Times New Roman" w:cs="Century"/>
      <w:b/>
      <w:bCs/>
      <w:spacing w:val="10"/>
      <w:kern w:val="0"/>
      <w:sz w:val="24"/>
      <w:szCs w:val="21"/>
    </w:rPr>
  </w:style>
  <w:style w:type="paragraph" w:customStyle="1" w:styleId="afffffffffffffffffa">
    <w:name w:val="佛表"/>
    <w:basedOn w:val="ad"/>
    <w:qFormat/>
    <w:pPr>
      <w:spacing w:line="0" w:lineRule="atLeast"/>
      <w:ind w:left="0" w:firstLine="0"/>
      <w:jc w:val="center"/>
    </w:pPr>
    <w:rPr>
      <w:rFonts w:ascii="宋体" w:eastAsia="宋体" w:hAnsi="宋体"/>
      <w:sz w:val="21"/>
      <w:szCs w:val="24"/>
    </w:rPr>
  </w:style>
  <w:style w:type="paragraph" w:customStyle="1" w:styleId="afffffffffffffffffb">
    <w:name w:val="风险评价正文"/>
    <w:basedOn w:val="a1"/>
    <w:semiHidden/>
    <w:qFormat/>
    <w:pPr>
      <w:spacing w:line="324" w:lineRule="auto"/>
      <w:ind w:firstLineChars="200" w:firstLine="512"/>
    </w:pPr>
    <w:rPr>
      <w:rFonts w:ascii="Times New Roman" w:hAnsi="Times New Roman"/>
      <w:color w:val="000000"/>
      <w:spacing w:val="8"/>
      <w:sz w:val="24"/>
      <w:szCs w:val="24"/>
    </w:rPr>
  </w:style>
  <w:style w:type="paragraph" w:customStyle="1" w:styleId="2TimesNewRoman">
    <w:name w:val="样式 表格2 + Times New Roman"/>
    <w:basedOn w:val="a1"/>
    <w:semiHidden/>
    <w:qFormat/>
    <w:pPr>
      <w:spacing w:beforeLines="5"/>
      <w:jc w:val="center"/>
    </w:pPr>
    <w:rPr>
      <w:rFonts w:ascii="Times New Roman" w:eastAsia="Times New Roman" w:hAnsi="Times New Roman" w:cs="Century"/>
      <w:szCs w:val="20"/>
      <w:lang w:val="zh-CN"/>
    </w:rPr>
  </w:style>
  <w:style w:type="paragraph" w:customStyle="1" w:styleId="afffffffffffffffffc">
    <w:name w:val="表中居中文字"/>
    <w:basedOn w:val="a1"/>
    <w:qFormat/>
    <w:pPr>
      <w:autoSpaceDE w:val="0"/>
      <w:autoSpaceDN w:val="0"/>
      <w:adjustRightInd w:val="0"/>
      <w:spacing w:line="324" w:lineRule="auto"/>
      <w:ind w:firstLine="450"/>
    </w:pPr>
    <w:rPr>
      <w:rFonts w:ascii="宋体" w:hAnsi="Times New Roman"/>
      <w:color w:val="000000"/>
      <w:sz w:val="18"/>
      <w:szCs w:val="20"/>
    </w:rPr>
  </w:style>
  <w:style w:type="paragraph" w:customStyle="1" w:styleId="10c">
    <w:name w:val="表格内10"/>
    <w:basedOn w:val="a1"/>
    <w:next w:val="a1"/>
    <w:semiHidden/>
    <w:qFormat/>
    <w:pPr>
      <w:spacing w:line="360" w:lineRule="auto"/>
      <w:jc w:val="center"/>
    </w:pPr>
    <w:rPr>
      <w:rFonts w:ascii="Times New Roman" w:hAnsi="Times New Roman"/>
      <w:sz w:val="20"/>
      <w:szCs w:val="20"/>
    </w:rPr>
  </w:style>
  <w:style w:type="paragraph" w:customStyle="1" w:styleId="afffffffffffffffffd">
    <w:name w:val="图题"/>
    <w:basedOn w:val="3a"/>
    <w:semiHidden/>
    <w:qFormat/>
    <w:pPr>
      <w:adjustRightInd w:val="0"/>
      <w:snapToGrid w:val="0"/>
      <w:spacing w:before="0" w:after="0" w:line="288" w:lineRule="auto"/>
      <w:jc w:val="center"/>
      <w:outlineLvl w:val="9"/>
    </w:pPr>
    <w:rPr>
      <w:rFonts w:ascii="Times New Roman" w:hAnsi="Times New Roman"/>
      <w:bCs w:val="0"/>
      <w:kern w:val="2"/>
      <w:sz w:val="24"/>
      <w:szCs w:val="24"/>
    </w:rPr>
  </w:style>
  <w:style w:type="paragraph" w:customStyle="1" w:styleId="5fc">
    <w:name w:val="表内5中"/>
    <w:basedOn w:val="a1"/>
    <w:semiHidden/>
    <w:qFormat/>
    <w:pPr>
      <w:adjustRightInd w:val="0"/>
      <w:snapToGrid w:val="0"/>
      <w:jc w:val="center"/>
    </w:pPr>
    <w:rPr>
      <w:rFonts w:ascii="宋体" w:hAnsi="Times New Roman"/>
      <w:szCs w:val="20"/>
    </w:rPr>
  </w:style>
  <w:style w:type="paragraph" w:customStyle="1" w:styleId="afffffffffffffffffe">
    <w:name w:val="表内文字小"/>
    <w:basedOn w:val="a1"/>
    <w:semiHidden/>
    <w:qFormat/>
    <w:pPr>
      <w:adjustRightInd w:val="0"/>
      <w:snapToGrid w:val="0"/>
      <w:spacing w:before="48"/>
      <w:jc w:val="center"/>
    </w:pPr>
    <w:rPr>
      <w:rFonts w:ascii="宋体" w:hAnsi="Times"/>
      <w:sz w:val="18"/>
      <w:szCs w:val="20"/>
    </w:rPr>
  </w:style>
  <w:style w:type="paragraph" w:customStyle="1" w:styleId="pl">
    <w:name w:val="pl正文"/>
    <w:basedOn w:val="a1"/>
    <w:semiHidden/>
    <w:qFormat/>
    <w:pPr>
      <w:snapToGrid w:val="0"/>
      <w:spacing w:line="360" w:lineRule="auto"/>
      <w:ind w:firstLine="492"/>
    </w:pPr>
    <w:rPr>
      <w:rFonts w:ascii="宋体" w:hAnsi="宋体"/>
      <w:color w:val="000000"/>
      <w:spacing w:val="6"/>
      <w:sz w:val="28"/>
      <w:szCs w:val="20"/>
    </w:rPr>
  </w:style>
  <w:style w:type="paragraph" w:customStyle="1" w:styleId="225">
    <w:name w:val="样式 题注 + 首行缩进:  2 字符2"/>
    <w:basedOn w:val="ae"/>
    <w:semiHidden/>
    <w:qFormat/>
    <w:pPr>
      <w:keepNext/>
      <w:adjustRightInd w:val="0"/>
      <w:spacing w:beforeLines="50" w:line="360" w:lineRule="auto"/>
      <w:ind w:firstLineChars="100" w:firstLine="240"/>
      <w:jc w:val="center"/>
    </w:pPr>
    <w:rPr>
      <w:rFonts w:ascii="黑体" w:hAnsi="宋体"/>
      <w:sz w:val="24"/>
    </w:rPr>
  </w:style>
  <w:style w:type="paragraph" w:customStyle="1" w:styleId="1ffff1">
    <w:name w:val="列表项目符号1."/>
    <w:basedOn w:val="a1"/>
    <w:semiHidden/>
    <w:qFormat/>
    <w:pPr>
      <w:keepNext/>
      <w:adjustRightInd w:val="0"/>
      <w:spacing w:line="312" w:lineRule="atLeast"/>
      <w:ind w:left="425" w:hanging="425"/>
      <w:jc w:val="left"/>
      <w:textAlignment w:val="baseline"/>
    </w:pPr>
    <w:rPr>
      <w:rFonts w:ascii="宋体" w:hAnsi="宋体"/>
      <w:kern w:val="0"/>
      <w:szCs w:val="20"/>
    </w:rPr>
  </w:style>
  <w:style w:type="paragraph" w:customStyle="1" w:styleId="6d">
    <w:name w:val="标题6"/>
    <w:basedOn w:val="a1"/>
    <w:next w:val="afffe"/>
    <w:semiHidden/>
    <w:qFormat/>
    <w:pPr>
      <w:keepNext/>
      <w:tabs>
        <w:tab w:val="left" w:pos="540"/>
        <w:tab w:val="left" w:pos="840"/>
      </w:tabs>
      <w:spacing w:line="360" w:lineRule="auto"/>
      <w:ind w:left="540" w:hanging="180"/>
      <w:jc w:val="left"/>
      <w:outlineLvl w:val="5"/>
    </w:pPr>
    <w:rPr>
      <w:rFonts w:ascii="宋体" w:hAnsi="宋体"/>
      <w:kern w:val="0"/>
      <w:sz w:val="24"/>
      <w:szCs w:val="20"/>
    </w:rPr>
  </w:style>
  <w:style w:type="paragraph" w:customStyle="1" w:styleId="ArialCharChar">
    <w:name w:val="样式 题注 + (西文) Arial (中文) 黑体 小四 Char Char"/>
    <w:basedOn w:val="ae"/>
    <w:link w:val="ArialCharCharChar"/>
    <w:qFormat/>
    <w:pPr>
      <w:keepNext/>
      <w:tabs>
        <w:tab w:val="left" w:pos="1200"/>
        <w:tab w:val="left" w:pos="1620"/>
      </w:tabs>
      <w:adjustRightInd w:val="0"/>
      <w:snapToGrid w:val="0"/>
      <w:ind w:leftChars="400" w:left="1620" w:hangingChars="200" w:hanging="360"/>
      <w:jc w:val="center"/>
    </w:pPr>
    <w:rPr>
      <w:rFonts w:ascii="Arial" w:hAnsi="Arial"/>
      <w:sz w:val="24"/>
    </w:rPr>
  </w:style>
  <w:style w:type="paragraph" w:customStyle="1" w:styleId="2fff9">
    <w:name w:val="新标题2"/>
    <w:basedOn w:val="a1"/>
    <w:next w:val="afffe"/>
    <w:semiHidden/>
    <w:qFormat/>
    <w:pPr>
      <w:keepNext/>
      <w:tabs>
        <w:tab w:val="left" w:pos="1620"/>
      </w:tabs>
      <w:spacing w:before="50" w:after="50" w:line="360" w:lineRule="auto"/>
      <w:ind w:leftChars="600" w:left="1620" w:hangingChars="200" w:hanging="360"/>
      <w:jc w:val="left"/>
    </w:pPr>
    <w:rPr>
      <w:rFonts w:ascii="宋体" w:hAnsi="宋体"/>
      <w:sz w:val="28"/>
      <w:szCs w:val="20"/>
    </w:rPr>
  </w:style>
  <w:style w:type="paragraph" w:customStyle="1" w:styleId="5152">
    <w:name w:val="样式 标题 51)项标5 + 首行缩进:  2 字符"/>
    <w:basedOn w:val="5a"/>
    <w:semiHidden/>
    <w:qFormat/>
    <w:pPr>
      <w:tabs>
        <w:tab w:val="clear" w:pos="2300"/>
        <w:tab w:val="left" w:pos="360"/>
        <w:tab w:val="left" w:pos="2040"/>
      </w:tabs>
      <w:spacing w:before="0" w:after="0" w:line="360" w:lineRule="auto"/>
      <w:ind w:leftChars="800" w:left="-20" w:hangingChars="200" w:hanging="360"/>
      <w:jc w:val="left"/>
    </w:pPr>
    <w:rPr>
      <w:rFonts w:ascii="宋体" w:hAnsi="Times New Roman"/>
      <w:b w:val="0"/>
      <w:bCs w:val="0"/>
      <w:szCs w:val="20"/>
    </w:rPr>
  </w:style>
  <w:style w:type="paragraph" w:customStyle="1" w:styleId="680">
    <w:name w:val="样式 标题 6无节标题8二级项 + 首行缩进:  0 厘米"/>
    <w:basedOn w:val="6d"/>
    <w:next w:val="6d"/>
    <w:semiHidden/>
    <w:qFormat/>
    <w:pPr>
      <w:tabs>
        <w:tab w:val="clear" w:pos="540"/>
        <w:tab w:val="clear" w:pos="840"/>
        <w:tab w:val="left" w:pos="780"/>
      </w:tabs>
      <w:snapToGrid w:val="0"/>
      <w:ind w:leftChars="200" w:left="780" w:hangingChars="200" w:hanging="360"/>
      <w:outlineLvl w:val="9"/>
    </w:pPr>
  </w:style>
  <w:style w:type="paragraph" w:customStyle="1" w:styleId="31113CharChar3Char3111111-">
    <w:name w:val="样式 样式 样式 样式 标题 31.1.1条标题 3 Char Char标题 3 Char标3§1.1.1.. (1.1.1)-..."/>
    <w:basedOn w:val="31113CharChar3Char3111111-0"/>
    <w:semiHidden/>
    <w:qFormat/>
    <w:pPr>
      <w:tabs>
        <w:tab w:val="left" w:pos="360"/>
        <w:tab w:val="left" w:pos="1200"/>
      </w:tabs>
      <w:ind w:leftChars="400" w:left="0" w:hangingChars="200" w:hanging="360"/>
    </w:pPr>
  </w:style>
  <w:style w:type="paragraph" w:customStyle="1" w:styleId="31113CharChar3Char3111111-0">
    <w:name w:val="样式 样式 样式 标题 31.1.1条标题 3 Char Char标题 3 Char标3§1.1.1.. (1.1.1)- ....."/>
    <w:basedOn w:val="31113CharChar3Char3111111-1"/>
    <w:semiHidden/>
    <w:qFormat/>
    <w:pPr>
      <w:adjustRightInd w:val="0"/>
      <w:snapToGrid w:val="0"/>
    </w:pPr>
  </w:style>
  <w:style w:type="paragraph" w:customStyle="1" w:styleId="31113CharChar3Char3111111-1">
    <w:name w:val="样式 样式 标题 31.1.1条标题 3 Char Char标题 3 Char标3§1.1.1.. (1.1.1)- ... +..."/>
    <w:basedOn w:val="31113CharChar3Char3111111-2"/>
    <w:semiHidden/>
    <w:qFormat/>
    <w:pPr>
      <w:adjustRightInd/>
      <w:snapToGrid/>
      <w:spacing w:before="50"/>
      <w:ind w:left="50" w:firstLine="0"/>
    </w:pPr>
    <w:rPr>
      <w:rFonts w:ascii="Arial" w:hAnsi="Arial"/>
    </w:rPr>
  </w:style>
  <w:style w:type="paragraph" w:customStyle="1" w:styleId="31113CharChar3Char3111111-2">
    <w:name w:val="样式 标题 31.1.1条标题 3 Char Char标题 3 Char标3§1.1.1.. (1.1.1)- ..."/>
    <w:basedOn w:val="3a"/>
    <w:semiHidden/>
    <w:qFormat/>
    <w:pPr>
      <w:tabs>
        <w:tab w:val="left" w:pos="709"/>
      </w:tabs>
      <w:adjustRightInd w:val="0"/>
      <w:snapToGrid w:val="0"/>
      <w:spacing w:before="0" w:after="0" w:line="360" w:lineRule="auto"/>
      <w:ind w:left="709" w:hanging="709"/>
      <w:jc w:val="left"/>
    </w:pPr>
    <w:rPr>
      <w:rFonts w:ascii="Times New Roman" w:hAnsi="Times New Roman"/>
      <w:b w:val="0"/>
      <w:bCs w:val="0"/>
      <w:color w:val="000000"/>
      <w:kern w:val="2"/>
      <w:sz w:val="28"/>
      <w:szCs w:val="20"/>
    </w:rPr>
  </w:style>
  <w:style w:type="paragraph" w:customStyle="1" w:styleId="11Char1-1PartH1H11H12H13H111H121H">
    <w:name w:val="样式 标题 1标题 1 Char标1第一章可研-标题 1PartH1H11H12H13H111H121H..."/>
    <w:basedOn w:val="1a"/>
    <w:semiHidden/>
    <w:qFormat/>
    <w:pPr>
      <w:widowControl/>
      <w:tabs>
        <w:tab w:val="left" w:pos="1620"/>
      </w:tabs>
      <w:spacing w:beforeLines="100" w:afterLines="100" w:line="480" w:lineRule="auto"/>
      <w:ind w:leftChars="600" w:left="1620" w:hangingChars="200" w:hanging="360"/>
      <w:jc w:val="left"/>
    </w:pPr>
    <w:rPr>
      <w:rFonts w:ascii="黑体" w:hAnsi="宋体"/>
      <w:b w:val="0"/>
      <w:kern w:val="2"/>
      <w:sz w:val="28"/>
    </w:rPr>
  </w:style>
  <w:style w:type="paragraph" w:customStyle="1" w:styleId="124">
    <w:name w:val="列表项目符号1.缩2"/>
    <w:basedOn w:val="a1"/>
    <w:semiHidden/>
    <w:qFormat/>
    <w:pPr>
      <w:widowControl/>
      <w:tabs>
        <w:tab w:val="left" w:pos="945"/>
      </w:tabs>
      <w:adjustRightInd w:val="0"/>
      <w:ind w:firstLine="425"/>
      <w:jc w:val="left"/>
      <w:textAlignment w:val="baseline"/>
    </w:pPr>
    <w:rPr>
      <w:rFonts w:ascii="宋体" w:hAnsi="宋体"/>
      <w:kern w:val="0"/>
      <w:sz w:val="24"/>
      <w:szCs w:val="20"/>
    </w:rPr>
  </w:style>
  <w:style w:type="paragraph" w:customStyle="1" w:styleId="21121122Char1Heading2211">
    <w:name w:val="样式 标题 21.1标题 21.1标题2标题 2 Char1节_Heading 2标2二级标题1.1标题一..."/>
    <w:basedOn w:val="2a"/>
    <w:semiHidden/>
    <w:qFormat/>
    <w:pPr>
      <w:tabs>
        <w:tab w:val="left" w:pos="851"/>
        <w:tab w:val="left" w:pos="1040"/>
        <w:tab w:val="left" w:pos="4900"/>
      </w:tabs>
      <w:snapToGrid w:val="0"/>
      <w:spacing w:beforeLines="50" w:afterLines="0"/>
      <w:ind w:left="851" w:hanging="567"/>
      <w:jc w:val="both"/>
    </w:pPr>
    <w:rPr>
      <w:rFonts w:ascii="Times New Roman" w:eastAsia="宋体" w:hAnsi="Times New Roman" w:cs="宋体"/>
      <w:bCs w:val="0"/>
      <w:sz w:val="30"/>
    </w:rPr>
  </w:style>
  <w:style w:type="paragraph" w:customStyle="1" w:styleId="affffffffffffffffff">
    <w:name w:val="码头表"/>
    <w:basedOn w:val="afffffffffffffffffa"/>
    <w:qFormat/>
    <w:pPr>
      <w:spacing w:line="240" w:lineRule="auto"/>
    </w:pPr>
    <w:rPr>
      <w:color w:val="000000"/>
      <w:sz w:val="18"/>
    </w:rPr>
  </w:style>
  <w:style w:type="paragraph" w:customStyle="1" w:styleId="3ff6">
    <w:name w:val="表标题3"/>
    <w:basedOn w:val="a1"/>
    <w:semiHidden/>
    <w:qFormat/>
    <w:pPr>
      <w:keepNext/>
      <w:widowControl/>
      <w:autoSpaceDE w:val="0"/>
      <w:autoSpaceDN w:val="0"/>
      <w:adjustRightInd w:val="0"/>
      <w:spacing w:before="180" w:after="120" w:line="408" w:lineRule="atLeast"/>
      <w:jc w:val="center"/>
      <w:textAlignment w:val="baseline"/>
    </w:pPr>
    <w:rPr>
      <w:rFonts w:ascii="Times New Roman" w:hAnsi="Times New Roman"/>
      <w:b/>
      <w:spacing w:val="2"/>
      <w:kern w:val="0"/>
      <w:sz w:val="28"/>
      <w:szCs w:val="20"/>
    </w:rPr>
  </w:style>
  <w:style w:type="paragraph" w:customStyle="1" w:styleId="1ffff2">
    <w:name w:val="文本框1"/>
    <w:basedOn w:val="a1"/>
    <w:semiHidden/>
    <w:qFormat/>
    <w:pPr>
      <w:autoSpaceDE w:val="0"/>
      <w:autoSpaceDN w:val="0"/>
      <w:adjustRightInd w:val="0"/>
      <w:spacing w:line="288" w:lineRule="auto"/>
      <w:ind w:firstLine="482"/>
      <w:jc w:val="left"/>
      <w:textAlignment w:val="baseline"/>
    </w:pPr>
    <w:rPr>
      <w:rFonts w:ascii="Times New Roman" w:hAnsi="Times New Roman"/>
      <w:sz w:val="24"/>
      <w:szCs w:val="20"/>
    </w:rPr>
  </w:style>
  <w:style w:type="paragraph" w:customStyle="1" w:styleId="affffffffffffffffff0">
    <w:name w:val="插图"/>
    <w:basedOn w:val="a1"/>
    <w:next w:val="a1"/>
    <w:qFormat/>
    <w:pPr>
      <w:keepLines/>
      <w:autoSpaceDE w:val="0"/>
      <w:autoSpaceDN w:val="0"/>
      <w:adjustRightInd w:val="0"/>
      <w:spacing w:before="360" w:after="300" w:line="567" w:lineRule="atLeast"/>
      <w:ind w:right="238" w:firstLine="482"/>
      <w:jc w:val="center"/>
      <w:textAlignment w:val="baseline"/>
    </w:pPr>
    <w:rPr>
      <w:rFonts w:ascii="Times New Roman" w:hAnsi="Times New Roman"/>
      <w:kern w:val="0"/>
      <w:sz w:val="24"/>
      <w:szCs w:val="20"/>
    </w:rPr>
  </w:style>
  <w:style w:type="paragraph" w:customStyle="1" w:styleId="affffffffffffffffff1">
    <w:name w:val="程序"/>
    <w:basedOn w:val="a1"/>
    <w:semiHidden/>
    <w:qFormat/>
    <w:pPr>
      <w:autoSpaceDE w:val="0"/>
      <w:autoSpaceDN w:val="0"/>
      <w:adjustRightInd w:val="0"/>
      <w:spacing w:line="240" w:lineRule="atLeast"/>
      <w:ind w:right="238" w:firstLine="510"/>
      <w:jc w:val="left"/>
      <w:textAlignment w:val="baseline"/>
    </w:pPr>
    <w:rPr>
      <w:rFonts w:ascii="Courier New" w:hAnsi="Courier New"/>
      <w:kern w:val="0"/>
      <w:sz w:val="24"/>
      <w:szCs w:val="20"/>
    </w:rPr>
  </w:style>
  <w:style w:type="paragraph" w:customStyle="1" w:styleId="affffffffffffffffff2">
    <w:name w:val="方程"/>
    <w:basedOn w:val="a1"/>
    <w:semiHidden/>
    <w:qFormat/>
    <w:pPr>
      <w:overflowPunct w:val="0"/>
      <w:autoSpaceDE w:val="0"/>
      <w:autoSpaceDN w:val="0"/>
      <w:adjustRightInd w:val="0"/>
      <w:spacing w:before="60" w:after="60" w:line="400" w:lineRule="atLeast"/>
      <w:ind w:right="238" w:firstLine="482"/>
      <w:jc w:val="center"/>
      <w:textAlignment w:val="bottom"/>
    </w:pPr>
    <w:rPr>
      <w:rFonts w:ascii="Times New Roman" w:hAnsi="Times New Roman"/>
      <w:kern w:val="0"/>
      <w:sz w:val="24"/>
      <w:szCs w:val="20"/>
    </w:rPr>
  </w:style>
  <w:style w:type="paragraph" w:customStyle="1" w:styleId="affffffffffffffffff3">
    <w:name w:val="横页眉"/>
    <w:basedOn w:val="a1"/>
    <w:next w:val="affc"/>
    <w:semiHidden/>
    <w:qFormat/>
    <w:pPr>
      <w:pBdr>
        <w:bottom w:val="double" w:sz="6" w:space="1" w:color="auto"/>
      </w:pBdr>
      <w:tabs>
        <w:tab w:val="center" w:pos="6623"/>
        <w:tab w:val="right" w:pos="13245"/>
      </w:tabs>
      <w:autoSpaceDE w:val="0"/>
      <w:autoSpaceDN w:val="0"/>
      <w:adjustRightInd w:val="0"/>
      <w:spacing w:line="276" w:lineRule="auto"/>
      <w:ind w:firstLine="454"/>
      <w:jc w:val="left"/>
      <w:textAlignment w:val="baseline"/>
    </w:pPr>
    <w:rPr>
      <w:rFonts w:ascii="Times New Roman" w:hAnsi="Times New Roman"/>
      <w:kern w:val="0"/>
      <w:sz w:val="28"/>
      <w:szCs w:val="20"/>
    </w:rPr>
  </w:style>
  <w:style w:type="paragraph" w:customStyle="1" w:styleId="1ffff3">
    <w:name w:val="框图1"/>
    <w:basedOn w:val="a1"/>
    <w:semiHidden/>
    <w:qFormat/>
    <w:pPr>
      <w:autoSpaceDE w:val="0"/>
      <w:autoSpaceDN w:val="0"/>
      <w:adjustRightInd w:val="0"/>
      <w:spacing w:line="240" w:lineRule="atLeast"/>
      <w:ind w:firstLine="482"/>
      <w:jc w:val="center"/>
      <w:textAlignment w:val="baseline"/>
    </w:pPr>
    <w:rPr>
      <w:rFonts w:ascii="Times New Roman" w:hAnsi="Times New Roman"/>
      <w:kern w:val="0"/>
      <w:sz w:val="18"/>
      <w:szCs w:val="20"/>
    </w:rPr>
  </w:style>
  <w:style w:type="paragraph" w:customStyle="1" w:styleId="affffffffffffffffff4">
    <w:name w:val="篇名"/>
    <w:basedOn w:val="a1"/>
    <w:next w:val="a1"/>
    <w:semiHidden/>
    <w:qFormat/>
    <w:pPr>
      <w:autoSpaceDE w:val="0"/>
      <w:autoSpaceDN w:val="0"/>
      <w:adjustRightInd w:val="0"/>
      <w:snapToGrid w:val="0"/>
      <w:spacing w:before="120" w:after="240" w:line="400" w:lineRule="exact"/>
      <w:ind w:firstLine="567"/>
      <w:jc w:val="center"/>
      <w:textAlignment w:val="baseline"/>
    </w:pPr>
    <w:rPr>
      <w:rFonts w:ascii="黑体" w:eastAsia="黑体" w:hAnsi="Courier New"/>
      <w:kern w:val="0"/>
      <w:sz w:val="32"/>
      <w:szCs w:val="20"/>
    </w:rPr>
  </w:style>
  <w:style w:type="paragraph" w:customStyle="1" w:styleId="411111111H4Subsection111141111">
    <w:name w:val="样式 标题 4条标题1.1.1.1款标题1.1.1.1H4Subsection1.1.1.1标题 4.1.1.1.1..."/>
    <w:basedOn w:val="4a"/>
    <w:semiHidden/>
    <w:qFormat/>
    <w:pPr>
      <w:tabs>
        <w:tab w:val="left" w:pos="1880"/>
      </w:tabs>
      <w:adjustRightInd w:val="0"/>
      <w:snapToGrid w:val="0"/>
      <w:spacing w:before="0" w:after="0" w:line="360" w:lineRule="auto"/>
      <w:jc w:val="left"/>
      <w:textAlignment w:val="baseline"/>
    </w:pPr>
    <w:rPr>
      <w:rFonts w:ascii="Times New Roman" w:hAnsi="Times New Roman" w:cs="宋体"/>
      <w:b w:val="0"/>
      <w:kern w:val="0"/>
      <w:sz w:val="24"/>
      <w:szCs w:val="20"/>
    </w:rPr>
  </w:style>
  <w:style w:type="paragraph" w:customStyle="1" w:styleId="affffffffffffffffff5">
    <w:name w:val="正文首行缩进两字"/>
    <w:basedOn w:val="a1"/>
    <w:semiHidden/>
    <w:qFormat/>
    <w:pPr>
      <w:adjustRightInd w:val="0"/>
      <w:snapToGrid w:val="0"/>
      <w:spacing w:line="360" w:lineRule="auto"/>
      <w:ind w:firstLineChars="200" w:firstLine="480"/>
    </w:pPr>
    <w:rPr>
      <w:rFonts w:ascii="宋体" w:hAnsi="宋体"/>
      <w:sz w:val="24"/>
      <w:szCs w:val="24"/>
    </w:rPr>
  </w:style>
  <w:style w:type="paragraph" w:customStyle="1" w:styleId="44CharCharCharCharCharCharCharCharCharCharC">
    <w:name w:val="样式 标题 4标题 4 Char Char Char Char Char Char Char Char Char Char C..."/>
    <w:basedOn w:val="4a"/>
    <w:semiHidden/>
    <w:qFormat/>
    <w:pPr>
      <w:tabs>
        <w:tab w:val="left" w:pos="1880"/>
      </w:tabs>
      <w:overflowPunct w:val="0"/>
      <w:autoSpaceDE w:val="0"/>
      <w:autoSpaceDN w:val="0"/>
      <w:adjustRightInd w:val="0"/>
      <w:snapToGrid w:val="0"/>
      <w:spacing w:beforeLines="50" w:after="0" w:line="360" w:lineRule="auto"/>
      <w:ind w:firstLine="454"/>
      <w:jc w:val="left"/>
      <w:textAlignment w:val="baseline"/>
    </w:pPr>
    <w:rPr>
      <w:rFonts w:ascii="黑体" w:hAnsi="黑体" w:cs="Times New Roman"/>
      <w:spacing w:val="10"/>
      <w:kern w:val="0"/>
      <w:sz w:val="24"/>
      <w:szCs w:val="20"/>
    </w:rPr>
  </w:style>
  <w:style w:type="paragraph" w:customStyle="1" w:styleId="02">
    <w:name w:val="0表格文字 五号 常规"/>
    <w:basedOn w:val="a1"/>
    <w:semiHidden/>
    <w:qFormat/>
    <w:pPr>
      <w:autoSpaceDE w:val="0"/>
      <w:autoSpaceDN w:val="0"/>
      <w:adjustRightInd w:val="0"/>
      <w:spacing w:before="60" w:after="60" w:line="324" w:lineRule="auto"/>
      <w:ind w:firstLine="454"/>
      <w:jc w:val="center"/>
    </w:pPr>
    <w:rPr>
      <w:rFonts w:ascii="Times New Roman" w:hAnsi="Times New Roman"/>
      <w:sz w:val="24"/>
      <w:szCs w:val="20"/>
    </w:rPr>
  </w:style>
  <w:style w:type="paragraph" w:customStyle="1" w:styleId="320">
    <w:name w:val="表格 32"/>
    <w:basedOn w:val="a1"/>
    <w:qFormat/>
    <w:pPr>
      <w:autoSpaceDE w:val="0"/>
      <w:autoSpaceDN w:val="0"/>
      <w:adjustRightInd w:val="0"/>
      <w:snapToGrid w:val="0"/>
      <w:spacing w:line="324" w:lineRule="auto"/>
      <w:ind w:firstLine="454"/>
      <w:jc w:val="center"/>
    </w:pPr>
    <w:rPr>
      <w:rFonts w:ascii="Times New Roman" w:hAnsi="Times New Roman"/>
      <w:kern w:val="0"/>
      <w:sz w:val="24"/>
      <w:szCs w:val="20"/>
    </w:rPr>
  </w:style>
  <w:style w:type="paragraph" w:customStyle="1" w:styleId="affffffffffffffffff6">
    <w:name w:val="表标题（自定义）"/>
    <w:semiHidden/>
    <w:qFormat/>
    <w:pPr>
      <w:spacing w:before="60" w:line="300" w:lineRule="auto"/>
      <w:jc w:val="center"/>
    </w:pPr>
    <w:rPr>
      <w:b/>
      <w:sz w:val="24"/>
    </w:rPr>
  </w:style>
  <w:style w:type="paragraph" w:customStyle="1" w:styleId="36625">
    <w:name w:val="样式 标题 3 + 四号 段前: 6 磅 段后: 6 磅 行距: 固定值 25 磅"/>
    <w:basedOn w:val="3a"/>
    <w:semiHidden/>
    <w:qFormat/>
    <w:pPr>
      <w:tabs>
        <w:tab w:val="left" w:pos="420"/>
      </w:tabs>
      <w:adjustRightInd w:val="0"/>
      <w:spacing w:before="0" w:after="120" w:line="336" w:lineRule="auto"/>
      <w:ind w:firstLine="482"/>
      <w:textAlignment w:val="baseline"/>
    </w:pPr>
    <w:rPr>
      <w:rFonts w:ascii="Times New Roman" w:hAnsi="Times New Roman"/>
      <w:b w:val="0"/>
      <w:sz w:val="28"/>
      <w:szCs w:val="20"/>
    </w:rPr>
  </w:style>
  <w:style w:type="paragraph" w:customStyle="1" w:styleId="2fffa">
    <w:name w:val="样式 标题 2"/>
    <w:basedOn w:val="2a"/>
    <w:semiHidden/>
    <w:qFormat/>
    <w:pPr>
      <w:tabs>
        <w:tab w:val="left" w:pos="851"/>
        <w:tab w:val="left" w:pos="1040"/>
      </w:tabs>
      <w:adjustRightInd w:val="0"/>
      <w:snapToGrid w:val="0"/>
      <w:spacing w:before="260" w:afterLines="0" w:line="324" w:lineRule="auto"/>
      <w:ind w:left="851" w:firstLine="454"/>
      <w:textAlignment w:val="top"/>
    </w:pPr>
    <w:rPr>
      <w:rFonts w:ascii="仿宋_GB2312" w:eastAsia="仿宋_GB2312" w:hAnsi="宋体"/>
      <w:sz w:val="30"/>
    </w:rPr>
  </w:style>
  <w:style w:type="paragraph" w:customStyle="1" w:styleId="affffffffffffffffff7">
    <w:name w:val="广西炼油"/>
    <w:basedOn w:val="a2"/>
    <w:semiHidden/>
    <w:qFormat/>
    <w:pPr>
      <w:adjustRightInd/>
      <w:snapToGrid/>
      <w:spacing w:before="5" w:line="360" w:lineRule="auto"/>
      <w:ind w:firstLineChars="0" w:firstLine="480"/>
      <w:jc w:val="both"/>
    </w:pPr>
    <w:rPr>
      <w:rFonts w:eastAsia="宋体"/>
      <w:kern w:val="2"/>
    </w:rPr>
  </w:style>
  <w:style w:type="paragraph" w:customStyle="1" w:styleId="2Char2">
    <w:name w:val="表格2 Char"/>
    <w:basedOn w:val="a1"/>
    <w:semiHidden/>
    <w:qFormat/>
    <w:pPr>
      <w:spacing w:line="280" w:lineRule="exact"/>
      <w:ind w:firstLine="454"/>
      <w:jc w:val="center"/>
    </w:pPr>
    <w:rPr>
      <w:rFonts w:ascii="宋体" w:hAnsi="宋体"/>
      <w:color w:val="000000"/>
      <w:sz w:val="24"/>
      <w:szCs w:val="20"/>
    </w:rPr>
  </w:style>
  <w:style w:type="paragraph" w:customStyle="1" w:styleId="2fffb">
    <w:name w:val="样式 正文缩进 + 首行缩进:  2 字符"/>
    <w:basedOn w:val="a2"/>
    <w:semiHidden/>
    <w:qFormat/>
    <w:pPr>
      <w:adjustRightInd/>
      <w:snapToGrid/>
      <w:spacing w:line="360" w:lineRule="auto"/>
      <w:ind w:firstLine="480"/>
      <w:jc w:val="both"/>
    </w:pPr>
    <w:rPr>
      <w:rFonts w:ascii="宋体" w:eastAsia="宋体" w:hAnsi="宋体"/>
    </w:rPr>
  </w:style>
  <w:style w:type="paragraph" w:customStyle="1" w:styleId="affffffffffffffffff8">
    <w:name w:val="图标标题"/>
    <w:basedOn w:val="a1"/>
    <w:semiHidden/>
    <w:qFormat/>
    <w:pPr>
      <w:widowControl/>
      <w:adjustRightInd w:val="0"/>
      <w:snapToGrid w:val="0"/>
      <w:spacing w:line="240" w:lineRule="atLeast"/>
      <w:ind w:firstLine="454"/>
      <w:jc w:val="center"/>
    </w:pPr>
    <w:rPr>
      <w:rFonts w:ascii="Times New Roman" w:eastAsia="黑体" w:hAnsi="Times New Roman"/>
      <w:b/>
      <w:bCs/>
      <w:sz w:val="24"/>
      <w:szCs w:val="20"/>
    </w:rPr>
  </w:style>
  <w:style w:type="paragraph" w:customStyle="1" w:styleId="affffffffffffffffff9">
    <w:name w:val="目次、标准名称标题"/>
    <w:basedOn w:val="a1"/>
    <w:next w:val="a1"/>
    <w:qFormat/>
    <w:pPr>
      <w:widowControl/>
      <w:shd w:val="clear" w:color="FFFFFF" w:fill="FFFFFF"/>
      <w:spacing w:beforeLines="5" w:after="560" w:line="460" w:lineRule="exact"/>
      <w:jc w:val="center"/>
      <w:outlineLvl w:val="0"/>
    </w:pPr>
    <w:rPr>
      <w:rFonts w:ascii="黑体" w:eastAsia="黑体" w:hAnsi="Times New Roman"/>
      <w:kern w:val="0"/>
      <w:sz w:val="32"/>
      <w:szCs w:val="20"/>
    </w:rPr>
  </w:style>
  <w:style w:type="paragraph" w:customStyle="1" w:styleId="2TimesNewRomanChar">
    <w:name w:val="正文首行缩进 2 + Times New Roman Char"/>
    <w:basedOn w:val="a1"/>
    <w:link w:val="2TimesNewRomanCharChar"/>
    <w:semiHidden/>
    <w:qFormat/>
    <w:pPr>
      <w:tabs>
        <w:tab w:val="left" w:pos="0"/>
        <w:tab w:val="left" w:pos="870"/>
        <w:tab w:val="left" w:pos="3150"/>
      </w:tabs>
      <w:autoSpaceDE w:val="0"/>
      <w:autoSpaceDN w:val="0"/>
      <w:spacing w:line="360" w:lineRule="auto"/>
      <w:ind w:firstLineChars="200" w:firstLine="480"/>
    </w:pPr>
    <w:rPr>
      <w:rFonts w:ascii="Times New Roman" w:hAnsi="Times New Roman"/>
      <w:kern w:val="0"/>
      <w:sz w:val="24"/>
      <w:szCs w:val="24"/>
    </w:rPr>
  </w:style>
  <w:style w:type="paragraph" w:customStyle="1" w:styleId="2TimesNewRoman0">
    <w:name w:val="正文首行缩进 2 + Times New Roman"/>
    <w:basedOn w:val="a1"/>
    <w:link w:val="2TimesNewRomanChar1"/>
    <w:qFormat/>
    <w:pPr>
      <w:tabs>
        <w:tab w:val="left" w:pos="0"/>
        <w:tab w:val="left" w:pos="870"/>
        <w:tab w:val="left" w:pos="3150"/>
      </w:tabs>
      <w:autoSpaceDE w:val="0"/>
      <w:autoSpaceDN w:val="0"/>
      <w:spacing w:line="360" w:lineRule="auto"/>
      <w:ind w:firstLineChars="200" w:firstLine="480"/>
    </w:pPr>
    <w:rPr>
      <w:rFonts w:ascii="Times New Roman" w:hAnsi="Times New Roman"/>
      <w:kern w:val="0"/>
      <w:sz w:val="24"/>
      <w:szCs w:val="24"/>
    </w:rPr>
  </w:style>
  <w:style w:type="paragraph" w:customStyle="1" w:styleId="351">
    <w:name w:val="样式 燕山正文 + 首行缩进:  3.5 字符1"/>
    <w:basedOn w:val="affffffff5"/>
    <w:semiHidden/>
    <w:qFormat/>
    <w:pPr>
      <w:ind w:firstLine="200"/>
      <w:jc w:val="both"/>
    </w:pPr>
    <w:rPr>
      <w:rFonts w:cs="宋体"/>
      <w:szCs w:val="20"/>
    </w:rPr>
  </w:style>
  <w:style w:type="paragraph" w:customStyle="1" w:styleId="Charff2">
    <w:name w:val="表题 Char"/>
    <w:basedOn w:val="a1"/>
    <w:semiHidden/>
    <w:qFormat/>
    <w:pPr>
      <w:spacing w:line="360" w:lineRule="auto"/>
      <w:jc w:val="center"/>
    </w:pPr>
    <w:rPr>
      <w:rFonts w:ascii="黑体" w:eastAsia="黑体" w:hAnsi="Times New Roman"/>
      <w:bCs/>
      <w:sz w:val="28"/>
      <w:szCs w:val="28"/>
    </w:rPr>
  </w:style>
  <w:style w:type="paragraph" w:customStyle="1" w:styleId="affffffffffffffffffa">
    <w:name w:val="样式 汇通仓储正文 + 宋体"/>
    <w:basedOn w:val="a1"/>
    <w:semiHidden/>
    <w:qFormat/>
    <w:pPr>
      <w:snapToGrid w:val="0"/>
      <w:spacing w:line="324" w:lineRule="auto"/>
      <w:ind w:firstLineChars="200" w:firstLine="200"/>
    </w:pPr>
    <w:rPr>
      <w:rFonts w:ascii="宋体" w:hAnsi="宋体"/>
      <w:color w:val="000000"/>
      <w:sz w:val="24"/>
      <w:szCs w:val="20"/>
    </w:rPr>
  </w:style>
  <w:style w:type="paragraph" w:customStyle="1" w:styleId="affffffffffffffffffb">
    <w:name w:val="附录四级条标题"/>
    <w:basedOn w:val="affffffffb"/>
    <w:next w:val="4a"/>
    <w:qFormat/>
    <w:pPr>
      <w:tabs>
        <w:tab w:val="clear" w:pos="1068"/>
        <w:tab w:val="clear" w:pos="2100"/>
        <w:tab w:val="left" w:pos="960"/>
      </w:tabs>
      <w:ind w:left="960"/>
      <w:outlineLvl w:val="5"/>
    </w:pPr>
  </w:style>
  <w:style w:type="paragraph" w:customStyle="1" w:styleId="affffffffffffffffffc">
    <w:name w:val="附录五级条标题"/>
    <w:basedOn w:val="affffffffffffffffffb"/>
    <w:next w:val="4a"/>
    <w:qFormat/>
    <w:pPr>
      <w:tabs>
        <w:tab w:val="clear" w:pos="960"/>
        <w:tab w:val="left" w:pos="435"/>
      </w:tabs>
      <w:ind w:left="435" w:hanging="165"/>
      <w:outlineLvl w:val="6"/>
    </w:pPr>
  </w:style>
  <w:style w:type="paragraph" w:customStyle="1" w:styleId="xl19">
    <w:name w:val="xl19"/>
    <w:basedOn w:val="a1"/>
    <w:semiHidden/>
    <w:qFormat/>
    <w:pPr>
      <w:widowControl/>
      <w:pBdr>
        <w:top w:val="single" w:sz="4" w:space="0" w:color="auto"/>
        <w:left w:val="single" w:sz="4" w:space="0" w:color="auto"/>
        <w:bottom w:val="single" w:sz="4" w:space="0" w:color="auto"/>
        <w:right w:val="single" w:sz="4" w:space="0" w:color="auto"/>
      </w:pBdr>
      <w:spacing w:beforeLines="5" w:beforeAutospacing="1" w:after="100" w:afterAutospacing="1"/>
      <w:jc w:val="center"/>
    </w:pPr>
    <w:rPr>
      <w:rFonts w:ascii="宋体" w:hAnsi="宋体" w:cs="Arial Unicode MS" w:hint="eastAsia"/>
      <w:kern w:val="0"/>
      <w:sz w:val="24"/>
      <w:szCs w:val="24"/>
    </w:rPr>
  </w:style>
  <w:style w:type="paragraph" w:customStyle="1" w:styleId="affffffffffffffffffd">
    <w:name w:val="注意"/>
    <w:basedOn w:val="a1"/>
    <w:next w:val="afffe"/>
    <w:semiHidden/>
    <w:qFormat/>
    <w:pPr>
      <w:keepNext/>
      <w:spacing w:beforeLines="5"/>
      <w:ind w:firstLine="198"/>
      <w:jc w:val="left"/>
    </w:pPr>
    <w:rPr>
      <w:rFonts w:ascii="宋体" w:eastAsia="楷体_GB2312" w:hAnsi="宋体"/>
      <w:color w:val="000000"/>
      <w:szCs w:val="28"/>
    </w:rPr>
  </w:style>
  <w:style w:type="paragraph" w:customStyle="1" w:styleId="-0061">
    <w:name w:val="样式 表格文字居中 + 右侧:  -0.06 字符1"/>
    <w:basedOn w:val="affffffffd"/>
    <w:qFormat/>
    <w:pPr>
      <w:keepNext/>
      <w:tabs>
        <w:tab w:val="clear" w:pos="628"/>
        <w:tab w:val="clear" w:pos="1727"/>
        <w:tab w:val="clear" w:pos="1884"/>
      </w:tabs>
      <w:adjustRightInd w:val="0"/>
      <w:spacing w:beforeLines="5" w:after="120"/>
      <w:ind w:rightChars="-6" w:right="-14" w:firstLineChars="0"/>
    </w:pPr>
    <w:rPr>
      <w:rFonts w:hAnsi="宋体"/>
      <w:bCs w:val="0"/>
      <w:snapToGrid w:val="0"/>
      <w:color w:val="000000"/>
    </w:rPr>
  </w:style>
  <w:style w:type="paragraph" w:customStyle="1" w:styleId="affffffffffffffffffe">
    <w:name w:val="表格文字中"/>
    <w:basedOn w:val="a1"/>
    <w:next w:val="afffe"/>
    <w:semiHidden/>
    <w:qFormat/>
    <w:pPr>
      <w:tabs>
        <w:tab w:val="left" w:pos="1727"/>
        <w:tab w:val="left" w:pos="1884"/>
      </w:tabs>
      <w:autoSpaceDE w:val="0"/>
      <w:autoSpaceDN w:val="0"/>
      <w:adjustRightInd w:val="0"/>
      <w:snapToGrid w:val="0"/>
      <w:spacing w:beforeLines="5" w:line="324" w:lineRule="auto"/>
      <w:jc w:val="center"/>
    </w:pPr>
    <w:rPr>
      <w:rFonts w:ascii="宋体" w:hAnsi="Times New Roman"/>
      <w:color w:val="0000FF"/>
      <w:kern w:val="0"/>
      <w:sz w:val="24"/>
      <w:szCs w:val="24"/>
    </w:rPr>
  </w:style>
  <w:style w:type="paragraph" w:customStyle="1" w:styleId="afffffffffffffffffff">
    <w:name w:val="广东表"/>
    <w:basedOn w:val="afffff"/>
    <w:semiHidden/>
    <w:qFormat/>
    <w:pPr>
      <w:adjustRightInd w:val="0"/>
      <w:ind w:left="1035" w:hangingChars="450" w:hanging="1035"/>
      <w:textAlignment w:val="baseline"/>
    </w:pPr>
    <w:rPr>
      <w:spacing w:val="10"/>
      <w:kern w:val="0"/>
      <w:szCs w:val="20"/>
    </w:rPr>
  </w:style>
  <w:style w:type="paragraph" w:customStyle="1" w:styleId="afffffffffffffffffff0">
    <w:name w:val="广西表"/>
    <w:basedOn w:val="afffffffffffffffffff"/>
    <w:semiHidden/>
    <w:qFormat/>
    <w:pPr>
      <w:ind w:left="0" w:firstLineChars="0" w:firstLine="0"/>
    </w:pPr>
  </w:style>
  <w:style w:type="paragraph" w:customStyle="1" w:styleId="afffffffffffffffffff1">
    <w:name w:val="钢铁表"/>
    <w:basedOn w:val="a1"/>
    <w:semiHidden/>
    <w:qFormat/>
    <w:pPr>
      <w:adjustRightInd w:val="0"/>
      <w:snapToGrid w:val="0"/>
      <w:spacing w:line="324" w:lineRule="auto"/>
      <w:ind w:firstLineChars="200" w:firstLine="200"/>
    </w:pPr>
    <w:rPr>
      <w:rFonts w:ascii="Times New Roman" w:hAnsi="Times New Roman"/>
      <w:snapToGrid w:val="0"/>
      <w:sz w:val="24"/>
      <w:szCs w:val="24"/>
    </w:rPr>
  </w:style>
  <w:style w:type="paragraph" w:customStyle="1" w:styleId="2054">
    <w:name w:val="样式 普通段落 + 首行缩进:  2 字符 段前: 0.5 行4"/>
    <w:basedOn w:val="a1"/>
    <w:semiHidden/>
    <w:qFormat/>
    <w:pPr>
      <w:adjustRightInd w:val="0"/>
      <w:snapToGrid w:val="0"/>
      <w:spacing w:line="324" w:lineRule="auto"/>
      <w:ind w:leftChars="-50" w:left="-120" w:rightChars="-50" w:right="-120" w:firstLineChars="200" w:firstLine="420"/>
    </w:pPr>
    <w:rPr>
      <w:rFonts w:ascii="Times New Roman" w:hAnsi="Times New Roman"/>
      <w:szCs w:val="24"/>
    </w:rPr>
  </w:style>
  <w:style w:type="paragraph" w:customStyle="1" w:styleId="1ffff4">
    <w:name w:val="样式 正文首行缩进 + 首行缩进:  1 字符"/>
    <w:basedOn w:val="afffe"/>
    <w:qFormat/>
    <w:pPr>
      <w:spacing w:after="0" w:line="360" w:lineRule="auto"/>
      <w:ind w:firstLineChars="200" w:firstLine="560"/>
      <w:jc w:val="left"/>
    </w:pPr>
    <w:rPr>
      <w:rFonts w:ascii="宋体" w:hAnsi="宋体"/>
      <w:sz w:val="28"/>
      <w:szCs w:val="28"/>
    </w:rPr>
  </w:style>
  <w:style w:type="paragraph" w:customStyle="1" w:styleId="41111411114Char1111Char4">
    <w:name w:val="样式 标题 41.1.1.1标题 4.1.1.1.1标题 4 Char款1.1.1.1 Char标4 + 两端对齐"/>
    <w:basedOn w:val="4a"/>
    <w:semiHidden/>
    <w:qFormat/>
    <w:pPr>
      <w:tabs>
        <w:tab w:val="left" w:pos="864"/>
        <w:tab w:val="left" w:pos="1880"/>
        <w:tab w:val="left" w:pos="2115"/>
      </w:tabs>
      <w:snapToGrid w:val="0"/>
      <w:spacing w:before="0" w:after="0" w:line="360" w:lineRule="auto"/>
      <w:ind w:left="864" w:hanging="864"/>
      <w:jc w:val="left"/>
      <w:textAlignment w:val="baseline"/>
    </w:pPr>
    <w:rPr>
      <w:rFonts w:ascii="宋体" w:hAnsi="Arial" w:cs="Times New Roman"/>
      <w:bCs w:val="0"/>
      <w:kern w:val="0"/>
    </w:rPr>
  </w:style>
  <w:style w:type="paragraph" w:customStyle="1" w:styleId="21121122Char12Heading202">
    <w:name w:val="样式 标题 21.1标题 21.1标题2标题 2 Char1节标2_Heading 2一级条 + 段前: 0....2"/>
    <w:basedOn w:val="a1"/>
    <w:next w:val="afffe"/>
    <w:semiHidden/>
    <w:qFormat/>
    <w:pPr>
      <w:keepNext/>
      <w:widowControl/>
      <w:spacing w:before="120" w:after="120" w:line="324" w:lineRule="auto"/>
      <w:ind w:firstLineChars="200" w:firstLine="200"/>
      <w:jc w:val="center"/>
    </w:pPr>
    <w:rPr>
      <w:rFonts w:ascii="宋体" w:hAnsi="宋体"/>
      <w:kern w:val="0"/>
      <w:sz w:val="24"/>
      <w:szCs w:val="24"/>
    </w:rPr>
  </w:style>
  <w:style w:type="paragraph" w:customStyle="1" w:styleId="21121122Char12Heading203">
    <w:name w:val="样式 标题 21.1标题 21.1标题2标题 2 Char1节标2_Heading 2一级条 + 段前: 0....3"/>
    <w:basedOn w:val="afffe"/>
    <w:next w:val="afffe"/>
    <w:semiHidden/>
    <w:qFormat/>
    <w:pPr>
      <w:tabs>
        <w:tab w:val="left" w:pos="628"/>
        <w:tab w:val="left" w:pos="1727"/>
        <w:tab w:val="left" w:pos="1884"/>
        <w:tab w:val="left" w:pos="4900"/>
      </w:tabs>
      <w:adjustRightInd w:val="0"/>
      <w:spacing w:beforeLines="50" w:afterLines="50" w:line="360" w:lineRule="auto"/>
      <w:ind w:left="-200" w:firstLineChars="0" w:firstLine="0"/>
      <w:jc w:val="left"/>
    </w:pPr>
    <w:rPr>
      <w:rFonts w:ascii="宋体" w:eastAsia="黑体" w:hAnsi="宋体"/>
      <w:sz w:val="28"/>
      <w:szCs w:val="28"/>
    </w:rPr>
  </w:style>
  <w:style w:type="paragraph" w:customStyle="1" w:styleId="2fffc">
    <w:name w:val="样式 样式 样式2 + + 小四"/>
    <w:basedOn w:val="2fffd"/>
    <w:semiHidden/>
    <w:qFormat/>
    <w:rPr>
      <w:bCs w:val="0"/>
    </w:rPr>
  </w:style>
  <w:style w:type="paragraph" w:customStyle="1" w:styleId="2fffd">
    <w:name w:val="样式 样式2 +"/>
    <w:basedOn w:val="2ff0"/>
    <w:semiHidden/>
    <w:qFormat/>
    <w:pPr>
      <w:widowControl/>
      <w:tabs>
        <w:tab w:val="left" w:pos="1040"/>
      </w:tabs>
      <w:spacing w:beforeLines="100" w:line="520" w:lineRule="exact"/>
      <w:ind w:left="1040" w:hanging="420"/>
      <w:jc w:val="left"/>
      <w:outlineLvl w:val="9"/>
    </w:pPr>
    <w:rPr>
      <w:rFonts w:ascii="宋体" w:hAnsi="Times New Roman"/>
      <w:b w:val="0"/>
      <w:caps/>
      <w:sz w:val="24"/>
      <w:szCs w:val="24"/>
    </w:rPr>
  </w:style>
  <w:style w:type="paragraph" w:customStyle="1" w:styleId="afffffffffffffffffff2">
    <w:name w:val="样式 表格 + (符号) 宋体 自动设置"/>
    <w:basedOn w:val="afffff"/>
    <w:semiHidden/>
    <w:qFormat/>
    <w:pPr>
      <w:widowControl/>
      <w:adjustRightInd w:val="0"/>
      <w:spacing w:line="440" w:lineRule="exact"/>
      <w:ind w:firstLineChars="200" w:firstLine="200"/>
      <w:jc w:val="left"/>
    </w:pPr>
    <w:rPr>
      <w:rFonts w:ascii="宋体"/>
      <w:kern w:val="0"/>
      <w:sz w:val="24"/>
    </w:rPr>
  </w:style>
  <w:style w:type="paragraph" w:customStyle="1" w:styleId="21121122Char12Heading206">
    <w:name w:val="样式 标题 21.1标题 21.1标题2标题 2 Char1节标2_Heading 2一级条 + 段前: 0....6"/>
    <w:basedOn w:val="2a"/>
    <w:semiHidden/>
    <w:qFormat/>
    <w:pPr>
      <w:widowControl/>
      <w:tabs>
        <w:tab w:val="left" w:pos="851"/>
        <w:tab w:val="left" w:pos="1040"/>
        <w:tab w:val="left" w:pos="1275"/>
      </w:tabs>
      <w:spacing w:beforeLines="50" w:after="260" w:line="240" w:lineRule="auto"/>
      <w:ind w:left="1275" w:firstLineChars="200" w:firstLine="200"/>
    </w:pPr>
    <w:rPr>
      <w:rFonts w:ascii="黑体"/>
      <w:b w:val="0"/>
      <w:sz w:val="28"/>
      <w:szCs w:val="28"/>
    </w:rPr>
  </w:style>
  <w:style w:type="paragraph" w:customStyle="1" w:styleId="11Char105052">
    <w:name w:val="样式 标题 1标题 1 Char标1章 + 段前: 0.5 行 段后: 0.5 行2"/>
    <w:basedOn w:val="1a"/>
    <w:semiHidden/>
    <w:qFormat/>
    <w:pPr>
      <w:widowControl/>
      <w:tabs>
        <w:tab w:val="left" w:pos="855"/>
      </w:tabs>
      <w:spacing w:beforeLines="100" w:afterLines="100" w:line="480" w:lineRule="auto"/>
      <w:ind w:left="855" w:firstLineChars="200" w:hanging="420"/>
      <w:jc w:val="left"/>
    </w:pPr>
    <w:rPr>
      <w:rFonts w:ascii="黑体" w:eastAsia="黑体" w:hAnsi="Arial"/>
      <w:b w:val="0"/>
      <w:bCs w:val="0"/>
      <w:kern w:val="24"/>
      <w:sz w:val="28"/>
      <w:szCs w:val="28"/>
    </w:rPr>
  </w:style>
  <w:style w:type="paragraph" w:customStyle="1" w:styleId="2221">
    <w:name w:val="表标题222"/>
    <w:basedOn w:val="2fffc"/>
    <w:semiHidden/>
    <w:qFormat/>
    <w:pPr>
      <w:adjustRightInd w:val="0"/>
      <w:snapToGrid w:val="0"/>
      <w:spacing w:line="240" w:lineRule="auto"/>
      <w:ind w:leftChars="-50" w:left="-120" w:rightChars="-50" w:right="-120"/>
    </w:pPr>
  </w:style>
  <w:style w:type="paragraph" w:customStyle="1" w:styleId="c">
    <w:name w:val="c"/>
    <w:qFormat/>
    <w:pPr>
      <w:widowControl w:val="0"/>
      <w:autoSpaceDE w:val="0"/>
      <w:autoSpaceDN w:val="0"/>
      <w:adjustRightInd w:val="0"/>
      <w:jc w:val="both"/>
    </w:pPr>
    <w:rPr>
      <w:rFonts w:ascii="Arial" w:hAnsi="Arial"/>
      <w:sz w:val="24"/>
    </w:rPr>
  </w:style>
  <w:style w:type="paragraph" w:customStyle="1" w:styleId="afffffffffffffffffff3">
    <w:name w:val="样式 题注"/>
    <w:basedOn w:val="ae"/>
    <w:semiHidden/>
    <w:qFormat/>
    <w:pPr>
      <w:keepNext/>
      <w:jc w:val="center"/>
    </w:pPr>
    <w:rPr>
      <w:rFonts w:ascii="Arial" w:hAnsi="Arial"/>
      <w:sz w:val="24"/>
    </w:rPr>
  </w:style>
  <w:style w:type="paragraph" w:customStyle="1" w:styleId="CharChar7">
    <w:name w:val="海南化工城正文 Char Char"/>
    <w:basedOn w:val="a1"/>
    <w:link w:val="CharCharChar2"/>
    <w:qFormat/>
    <w:pPr>
      <w:spacing w:line="324" w:lineRule="auto"/>
      <w:ind w:firstLineChars="200" w:firstLine="480"/>
    </w:pPr>
    <w:rPr>
      <w:rFonts w:ascii="宋体" w:hAnsi="宋体"/>
      <w:kern w:val="0"/>
      <w:sz w:val="24"/>
      <w:szCs w:val="24"/>
    </w:rPr>
  </w:style>
  <w:style w:type="paragraph" w:customStyle="1" w:styleId="3CharCharCharCharCharCharChar">
    <w:name w:val="3 Char Char Char Char Char Char Char"/>
    <w:basedOn w:val="a1"/>
    <w:semiHidden/>
    <w:qFormat/>
    <w:pPr>
      <w:adjustRightInd w:val="0"/>
      <w:snapToGrid w:val="0"/>
      <w:spacing w:line="400" w:lineRule="exact"/>
      <w:ind w:firstLineChars="200" w:firstLine="200"/>
    </w:pPr>
    <w:rPr>
      <w:rFonts w:ascii="Times New Roman" w:hAnsi="Times New Roman"/>
      <w:sz w:val="24"/>
      <w:szCs w:val="20"/>
    </w:rPr>
  </w:style>
  <w:style w:type="paragraph" w:customStyle="1" w:styleId="Char30">
    <w:name w:val="Char3"/>
    <w:basedOn w:val="a1"/>
    <w:qFormat/>
    <w:rPr>
      <w:rFonts w:ascii="Times New Roman" w:hAnsi="Times New Roman"/>
      <w:szCs w:val="24"/>
    </w:rPr>
  </w:style>
  <w:style w:type="paragraph" w:customStyle="1" w:styleId="charff3">
    <w:name w:val="char"/>
    <w:basedOn w:val="a1"/>
    <w:semiHidden/>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afffffffffffffffffff4">
    <w:name w:val="样式－表"/>
    <w:basedOn w:val="a1"/>
    <w:semiHidden/>
    <w:qFormat/>
    <w:pPr>
      <w:adjustRightInd w:val="0"/>
      <w:snapToGrid w:val="0"/>
      <w:spacing w:before="62"/>
      <w:jc w:val="center"/>
    </w:pPr>
    <w:rPr>
      <w:rFonts w:ascii="Times New Roman" w:hAnsi="Times New Roman"/>
      <w:snapToGrid w:val="0"/>
      <w:color w:val="000000"/>
      <w:kern w:val="0"/>
      <w:sz w:val="24"/>
      <w:szCs w:val="20"/>
    </w:rPr>
  </w:style>
  <w:style w:type="paragraph" w:customStyle="1" w:styleId="afffffffffffffffffff5">
    <w:name w:val="附件标题"/>
    <w:semiHidden/>
    <w:qFormat/>
    <w:pPr>
      <w:spacing w:line="360" w:lineRule="auto"/>
      <w:jc w:val="center"/>
    </w:pPr>
    <w:rPr>
      <w:rFonts w:ascii="宋体" w:eastAsia="黑体"/>
      <w:kern w:val="2"/>
      <w:sz w:val="24"/>
    </w:rPr>
  </w:style>
  <w:style w:type="paragraph" w:customStyle="1" w:styleId="afffffffffffffffffff6">
    <w:name w:val="表格文本"/>
    <w:basedOn w:val="a1"/>
    <w:next w:val="a1"/>
    <w:qFormat/>
    <w:pPr>
      <w:spacing w:line="240" w:lineRule="exact"/>
    </w:pPr>
    <w:rPr>
      <w:rFonts w:ascii="Times New Roman" w:hAnsi="Times New Roman"/>
      <w:szCs w:val="20"/>
    </w:rPr>
  </w:style>
  <w:style w:type="paragraph" w:customStyle="1" w:styleId="table">
    <w:name w:val="table"/>
    <w:basedOn w:val="a1"/>
    <w:qFormat/>
    <w:pPr>
      <w:widowControl/>
      <w:spacing w:line="240" w:lineRule="exact"/>
      <w:jc w:val="left"/>
    </w:pPr>
    <w:rPr>
      <w:rFonts w:ascii="Arial" w:hAnsi="Arial"/>
      <w:kern w:val="0"/>
      <w:sz w:val="18"/>
      <w:szCs w:val="24"/>
      <w:lang w:eastAsia="en-US"/>
    </w:rPr>
  </w:style>
  <w:style w:type="paragraph" w:customStyle="1" w:styleId="-4">
    <w:name w:val="正文-使用"/>
    <w:basedOn w:val="a1"/>
    <w:qFormat/>
    <w:pPr>
      <w:adjustRightInd w:val="0"/>
      <w:snapToGrid w:val="0"/>
      <w:spacing w:line="360" w:lineRule="auto"/>
      <w:ind w:firstLine="482"/>
    </w:pPr>
    <w:rPr>
      <w:rFonts w:ascii="Times New Roman" w:hAnsi="Times New Roman"/>
      <w:sz w:val="24"/>
      <w:szCs w:val="20"/>
    </w:rPr>
  </w:style>
  <w:style w:type="paragraph" w:customStyle="1" w:styleId="z-10">
    <w:name w:val="z-窗体顶端1"/>
    <w:basedOn w:val="a1"/>
    <w:next w:val="a1"/>
    <w:link w:val="z-Char"/>
    <w:qFormat/>
    <w:pPr>
      <w:pBdr>
        <w:bottom w:val="single" w:sz="6" w:space="1" w:color="auto"/>
      </w:pBdr>
      <w:adjustRightInd w:val="0"/>
      <w:snapToGrid w:val="0"/>
      <w:jc w:val="center"/>
    </w:pPr>
    <w:rPr>
      <w:rFonts w:ascii="Arial" w:hAnsi="Arial" w:cs="Arial"/>
      <w:vanish/>
      <w:sz w:val="16"/>
      <w:szCs w:val="16"/>
    </w:rPr>
  </w:style>
  <w:style w:type="paragraph" w:customStyle="1" w:styleId="541">
    <w:name w:val="表内541"/>
    <w:basedOn w:val="a1"/>
    <w:semiHidden/>
    <w:qFormat/>
    <w:pPr>
      <w:adjustRightInd w:val="0"/>
      <w:snapToGrid w:val="0"/>
      <w:spacing w:line="300" w:lineRule="auto"/>
      <w:jc w:val="center"/>
    </w:pPr>
    <w:rPr>
      <w:rFonts w:ascii="宋体" w:hAnsi="宋体" w:cs="宋体"/>
      <w:szCs w:val="20"/>
    </w:rPr>
  </w:style>
  <w:style w:type="paragraph" w:customStyle="1" w:styleId="117">
    <w:name w:val="燕山正文11"/>
    <w:basedOn w:val="a1"/>
    <w:semiHidden/>
    <w:qFormat/>
    <w:pPr>
      <w:tabs>
        <w:tab w:val="left" w:pos="4680"/>
      </w:tabs>
      <w:adjustRightInd w:val="0"/>
      <w:snapToGrid w:val="0"/>
      <w:spacing w:line="440" w:lineRule="exact"/>
      <w:ind w:firstLineChars="200" w:firstLine="480"/>
    </w:pPr>
    <w:rPr>
      <w:rFonts w:ascii="楷体_GB2312" w:eastAsia="楷体_GB2312" w:hAnsi="宋体" w:cs="宋体"/>
      <w:bCs/>
      <w:sz w:val="24"/>
      <w:szCs w:val="24"/>
    </w:rPr>
  </w:style>
  <w:style w:type="paragraph" w:customStyle="1" w:styleId="afffffffffffffffffff7">
    <w:name w:val="表格题头"/>
    <w:basedOn w:val="a1"/>
    <w:link w:val="Charff4"/>
    <w:qFormat/>
    <w:pPr>
      <w:snapToGrid w:val="0"/>
      <w:spacing w:line="360" w:lineRule="auto"/>
      <w:jc w:val="center"/>
    </w:pPr>
    <w:rPr>
      <w:rFonts w:ascii="Times New Roman" w:eastAsia="仿宋_GB2312" w:hAnsi="Times New Roman"/>
      <w:kern w:val="0"/>
      <w:sz w:val="24"/>
      <w:szCs w:val="24"/>
    </w:rPr>
  </w:style>
  <w:style w:type="paragraph" w:customStyle="1" w:styleId="118">
    <w:name w:val="纯文本11"/>
    <w:basedOn w:val="a1"/>
    <w:qFormat/>
    <w:pPr>
      <w:adjustRightInd w:val="0"/>
    </w:pPr>
    <w:rPr>
      <w:rFonts w:ascii="宋体" w:hAnsi="Courier New"/>
      <w:szCs w:val="20"/>
    </w:rPr>
  </w:style>
  <w:style w:type="paragraph" w:customStyle="1" w:styleId="afffffffffffffffffff8">
    <w:name w:val="表左"/>
    <w:basedOn w:val="a1"/>
    <w:qFormat/>
    <w:pPr>
      <w:spacing w:line="280" w:lineRule="exact"/>
      <w:jc w:val="left"/>
    </w:pPr>
    <w:rPr>
      <w:rFonts w:ascii="Times New Roman" w:hAnsi="Times New Roman"/>
      <w:color w:val="000000"/>
      <w:sz w:val="18"/>
      <w:szCs w:val="24"/>
    </w:rPr>
  </w:style>
  <w:style w:type="paragraph" w:customStyle="1" w:styleId="Char1CharCharCharCharCharChar">
    <w:name w:val="Char1 Char Char Char Char Char Char"/>
    <w:basedOn w:val="a1"/>
    <w:qFormat/>
    <w:pPr>
      <w:widowControl/>
      <w:spacing w:after="160" w:line="240" w:lineRule="exact"/>
      <w:jc w:val="left"/>
    </w:pPr>
    <w:rPr>
      <w:rFonts w:ascii="Verdana" w:hAnsi="Verdana"/>
      <w:kern w:val="0"/>
      <w:sz w:val="20"/>
      <w:szCs w:val="20"/>
      <w:lang w:eastAsia="en-US"/>
    </w:rPr>
  </w:style>
  <w:style w:type="paragraph" w:customStyle="1" w:styleId="afffffffffffffffffff9">
    <w:name w:val="表格内字体"/>
    <w:basedOn w:val="affffffffffff6"/>
    <w:next w:val="affffffffffff6"/>
    <w:link w:val="Charff5"/>
    <w:qFormat/>
    <w:pPr>
      <w:spacing w:line="240" w:lineRule="auto"/>
      <w:ind w:firstLineChars="0" w:firstLine="0"/>
      <w:jc w:val="center"/>
    </w:pPr>
    <w:rPr>
      <w:rFonts w:ascii="宋体" w:hAnsi="宋体"/>
      <w:color w:val="000000"/>
      <w:sz w:val="20"/>
      <w:szCs w:val="21"/>
    </w:rPr>
  </w:style>
  <w:style w:type="paragraph" w:customStyle="1" w:styleId="-30">
    <w:name w:val="正文-3"/>
    <w:basedOn w:val="a1"/>
    <w:link w:val="-3Char"/>
    <w:qFormat/>
    <w:pPr>
      <w:adjustRightInd w:val="0"/>
      <w:snapToGrid w:val="0"/>
      <w:spacing w:line="360" w:lineRule="auto"/>
      <w:ind w:firstLineChars="200" w:firstLine="560"/>
    </w:pPr>
    <w:rPr>
      <w:rFonts w:ascii="宋体" w:hAnsi="宋体"/>
      <w:kern w:val="0"/>
      <w:sz w:val="28"/>
      <w:szCs w:val="28"/>
    </w:rPr>
  </w:style>
  <w:style w:type="paragraph" w:customStyle="1" w:styleId="3ff7">
    <w:name w:val="正文3"/>
    <w:qFormat/>
    <w:pPr>
      <w:widowControl w:val="0"/>
      <w:adjustRightInd w:val="0"/>
      <w:spacing w:line="360" w:lineRule="atLeast"/>
      <w:textAlignment w:val="baseline"/>
    </w:pPr>
    <w:rPr>
      <w:rFonts w:ascii="宋体"/>
      <w:sz w:val="24"/>
    </w:rPr>
  </w:style>
  <w:style w:type="paragraph" w:customStyle="1" w:styleId="2fffe">
    <w:name w:val="图表目录2"/>
    <w:basedOn w:val="3ff7"/>
    <w:next w:val="3ff7"/>
    <w:qFormat/>
    <w:pPr>
      <w:tabs>
        <w:tab w:val="right" w:leader="dot" w:pos="8051"/>
      </w:tabs>
      <w:ind w:left="840" w:hanging="840"/>
    </w:pPr>
  </w:style>
  <w:style w:type="paragraph" w:customStyle="1" w:styleId="2ffff">
    <w:name w:val="尾注文本2"/>
    <w:basedOn w:val="3ff7"/>
    <w:qFormat/>
    <w:rPr>
      <w:sz w:val="21"/>
    </w:rPr>
  </w:style>
  <w:style w:type="paragraph" w:customStyle="1" w:styleId="226">
    <w:name w:val="正文文本缩进 22"/>
    <w:basedOn w:val="a1"/>
    <w:qFormat/>
    <w:pPr>
      <w:adjustRightInd w:val="0"/>
      <w:spacing w:line="360" w:lineRule="auto"/>
      <w:ind w:firstLine="510"/>
      <w:textAlignment w:val="baseline"/>
    </w:pPr>
    <w:rPr>
      <w:rFonts w:ascii="宋体" w:hAnsi="宋体"/>
      <w:sz w:val="28"/>
      <w:szCs w:val="20"/>
    </w:rPr>
  </w:style>
  <w:style w:type="paragraph" w:customStyle="1" w:styleId="3ff8">
    <w:name w:val="页脚3"/>
    <w:basedOn w:val="3ff7"/>
    <w:qFormat/>
    <w:pPr>
      <w:tabs>
        <w:tab w:val="center" w:pos="4153"/>
        <w:tab w:val="right" w:pos="8306"/>
      </w:tabs>
      <w:spacing w:line="240" w:lineRule="atLeast"/>
    </w:pPr>
    <w:rPr>
      <w:sz w:val="18"/>
    </w:rPr>
  </w:style>
  <w:style w:type="paragraph" w:customStyle="1" w:styleId="2ffff0">
    <w:name w:val="日期2"/>
    <w:basedOn w:val="a1"/>
    <w:next w:val="a1"/>
    <w:qFormat/>
    <w:pPr>
      <w:adjustRightInd w:val="0"/>
      <w:textAlignment w:val="baseline"/>
    </w:pPr>
    <w:rPr>
      <w:rFonts w:ascii="Times New Roman" w:hAnsi="Times New Roman"/>
      <w:szCs w:val="20"/>
    </w:rPr>
  </w:style>
  <w:style w:type="paragraph" w:customStyle="1" w:styleId="321">
    <w:name w:val="正文文本 32"/>
    <w:basedOn w:val="a1"/>
    <w:semiHidden/>
    <w:qFormat/>
    <w:pPr>
      <w:adjustRightInd w:val="0"/>
      <w:spacing w:line="360" w:lineRule="atLeast"/>
      <w:ind w:firstLineChars="200" w:firstLine="420"/>
      <w:jc w:val="center"/>
      <w:textAlignment w:val="baseline"/>
    </w:pPr>
    <w:rPr>
      <w:rFonts w:ascii="仿宋体" w:eastAsia="仿宋体" w:hAnsi="宋体"/>
      <w:kern w:val="0"/>
      <w:sz w:val="24"/>
      <w:szCs w:val="20"/>
    </w:rPr>
  </w:style>
  <w:style w:type="paragraph" w:customStyle="1" w:styleId="2ffff1">
    <w:name w:val="列出段落2"/>
    <w:basedOn w:val="a1"/>
    <w:qFormat/>
    <w:pPr>
      <w:spacing w:line="360" w:lineRule="auto"/>
      <w:ind w:firstLineChars="200" w:firstLine="420"/>
    </w:pPr>
    <w:rPr>
      <w:sz w:val="24"/>
    </w:rPr>
  </w:style>
  <w:style w:type="paragraph" w:customStyle="1" w:styleId="2ffff2">
    <w:name w:val="普通(网站)2"/>
    <w:basedOn w:val="a1"/>
    <w:qFormat/>
    <w:pPr>
      <w:adjustRightInd w:val="0"/>
      <w:spacing w:line="360" w:lineRule="auto"/>
      <w:ind w:firstLineChars="200" w:firstLine="420"/>
      <w:textAlignment w:val="baseline"/>
    </w:pPr>
    <w:rPr>
      <w:rFonts w:ascii="Times New Roman" w:hAnsi="Times New Roman"/>
      <w:sz w:val="24"/>
      <w:szCs w:val="20"/>
    </w:rPr>
  </w:style>
  <w:style w:type="paragraph" w:customStyle="1" w:styleId="Style22">
    <w:name w:val="_Style 22"/>
    <w:basedOn w:val="a1"/>
    <w:qFormat/>
    <w:pPr>
      <w:snapToGrid w:val="0"/>
      <w:spacing w:line="360" w:lineRule="auto"/>
      <w:ind w:firstLineChars="200" w:firstLine="200"/>
    </w:pPr>
    <w:rPr>
      <w:rFonts w:ascii="Times New Roman" w:hAnsi="Times New Roman"/>
      <w:szCs w:val="20"/>
    </w:rPr>
  </w:style>
  <w:style w:type="paragraph" w:customStyle="1" w:styleId="2210">
    <w:name w:val="样式 样式 样式 样式 正文 首行缩进 + 首行缩进:  2 字符 行距: 单倍行距 + 首行缩进:  2 字符 + 小四 首行...1"/>
    <w:basedOn w:val="a1"/>
    <w:link w:val="221Char"/>
    <w:qFormat/>
    <w:pPr>
      <w:spacing w:line="312" w:lineRule="auto"/>
      <w:ind w:firstLineChars="200" w:firstLine="480"/>
    </w:pPr>
    <w:rPr>
      <w:rFonts w:ascii="Times New Roman" w:hAnsi="Times New Roman"/>
      <w:kern w:val="0"/>
      <w:sz w:val="24"/>
      <w:szCs w:val="20"/>
    </w:rPr>
  </w:style>
  <w:style w:type="paragraph" w:customStyle="1" w:styleId="227">
    <w:name w:val="样式 样式 样式 正文 首行缩进 + 首行缩进:  2 字符 行距: 单倍行距 + 首行缩进:  2 字符 + 小四 首行缩进..."/>
    <w:basedOn w:val="a1"/>
    <w:link w:val="22Char0"/>
    <w:qFormat/>
    <w:pPr>
      <w:spacing w:line="312" w:lineRule="auto"/>
      <w:ind w:firstLineChars="200" w:firstLine="200"/>
    </w:pPr>
    <w:rPr>
      <w:rFonts w:ascii="Times New Roman" w:hAnsi="Times New Roman"/>
      <w:kern w:val="0"/>
      <w:sz w:val="24"/>
      <w:szCs w:val="20"/>
    </w:rPr>
  </w:style>
  <w:style w:type="paragraph" w:customStyle="1" w:styleId="2222">
    <w:name w:val="样式 样式 样式 样式 正文 首行缩进 + 首行缩进:  2 字符 行距: 单倍行距 + 首行缩进:  2 字符 + 小四 首行...2"/>
    <w:basedOn w:val="227"/>
    <w:link w:val="222Char"/>
    <w:qFormat/>
    <w:pPr>
      <w:ind w:firstLine="480"/>
    </w:pPr>
    <w:rPr>
      <w:rFonts w:ascii="Arial" w:hAnsi="Arial"/>
    </w:rPr>
  </w:style>
  <w:style w:type="paragraph" w:customStyle="1" w:styleId="T0">
    <w:name w:val="T正文"/>
    <w:qFormat/>
    <w:pPr>
      <w:widowControl w:val="0"/>
      <w:adjustRightInd w:val="0"/>
      <w:snapToGrid w:val="0"/>
      <w:spacing w:line="360" w:lineRule="auto"/>
      <w:ind w:firstLine="200"/>
      <w:jc w:val="both"/>
    </w:pPr>
    <w:rPr>
      <w:rFonts w:eastAsia="楷体_GB2312"/>
      <w:sz w:val="28"/>
    </w:rPr>
  </w:style>
  <w:style w:type="paragraph" w:customStyle="1" w:styleId="4fe">
    <w:name w:val="4级标题"/>
    <w:basedOn w:val="4a"/>
    <w:link w:val="4Char0"/>
    <w:qFormat/>
    <w:pPr>
      <w:widowControl/>
      <w:tabs>
        <w:tab w:val="left" w:pos="1080"/>
        <w:tab w:val="left" w:pos="1880"/>
      </w:tabs>
      <w:adjustRightInd w:val="0"/>
      <w:snapToGrid w:val="0"/>
      <w:spacing w:before="156" w:after="156" w:line="360" w:lineRule="auto"/>
      <w:ind w:left="862" w:hanging="862"/>
    </w:pPr>
    <w:rPr>
      <w:rFonts w:ascii="Times New Roman" w:hAnsi="Times New Roman" w:cs="Times New Roman"/>
      <w:bCs w:val="0"/>
      <w:kern w:val="0"/>
    </w:rPr>
  </w:style>
  <w:style w:type="paragraph" w:customStyle="1" w:styleId="-10">
    <w:name w:val="正文-1"/>
    <w:basedOn w:val="a1"/>
    <w:link w:val="-1Char"/>
    <w:qFormat/>
    <w:pPr>
      <w:shd w:val="clear" w:color="auto" w:fill="FFFFFF"/>
      <w:spacing w:line="360" w:lineRule="auto"/>
      <w:ind w:firstLineChars="200" w:firstLine="200"/>
      <w:jc w:val="left"/>
    </w:pPr>
    <w:rPr>
      <w:rFonts w:ascii="宋体" w:hAnsi="宋体"/>
      <w:kern w:val="0"/>
      <w:sz w:val="24"/>
      <w:szCs w:val="24"/>
      <w:lang w:val="zh-CN"/>
    </w:rPr>
  </w:style>
  <w:style w:type="paragraph" w:customStyle="1" w:styleId="33">
    <w:name w:val="3  级标题"/>
    <w:basedOn w:val="3ff4"/>
    <w:link w:val="3CharChar0"/>
    <w:qFormat/>
    <w:pPr>
      <w:numPr>
        <w:ilvl w:val="2"/>
        <w:numId w:val="112"/>
      </w:numPr>
      <w:tabs>
        <w:tab w:val="clear" w:pos="1571"/>
        <w:tab w:val="left" w:pos="360"/>
        <w:tab w:val="left" w:pos="425"/>
      </w:tabs>
      <w:adjustRightInd w:val="0"/>
      <w:snapToGrid w:val="0"/>
      <w:spacing w:beforeLines="150" w:after="50" w:line="360" w:lineRule="auto"/>
      <w:ind w:left="0" w:firstLineChars="0" w:firstLine="0"/>
    </w:pPr>
    <w:rPr>
      <w:rFonts w:ascii="黑体" w:eastAsia="黑体" w:hAnsi="宋体" w:cs="黑体"/>
      <w:kern w:val="2"/>
      <w:szCs w:val="26"/>
    </w:rPr>
  </w:style>
  <w:style w:type="paragraph" w:customStyle="1" w:styleId="45">
    <w:name w:val="4  级标题"/>
    <w:basedOn w:val="4fe"/>
    <w:link w:val="4CharChar"/>
    <w:qFormat/>
    <w:pPr>
      <w:numPr>
        <w:numId w:val="112"/>
      </w:numPr>
      <w:tabs>
        <w:tab w:val="clear" w:pos="425"/>
        <w:tab w:val="clear" w:pos="1080"/>
        <w:tab w:val="clear" w:pos="1880"/>
        <w:tab w:val="left" w:pos="360"/>
      </w:tabs>
      <w:spacing w:before="240" w:after="0"/>
      <w:ind w:left="1133" w:hanging="1133"/>
    </w:pPr>
    <w:rPr>
      <w:rFonts w:ascii="黑体" w:eastAsia="黑体" w:hAnsi="Calibri" w:cs="黑体"/>
      <w:b w:val="0"/>
      <w:kern w:val="2"/>
      <w:sz w:val="24"/>
    </w:rPr>
  </w:style>
  <w:style w:type="paragraph" w:customStyle="1" w:styleId="p19">
    <w:name w:val="p19"/>
    <w:basedOn w:val="a1"/>
    <w:qFormat/>
    <w:pPr>
      <w:widowControl/>
      <w:ind w:firstLine="420"/>
    </w:pPr>
    <w:rPr>
      <w:rFonts w:ascii="仿宋_GB2312" w:eastAsia="仿宋_GB2312" w:hAnsi="宋体" w:cs="宋体"/>
      <w:kern w:val="0"/>
      <w:sz w:val="28"/>
      <w:szCs w:val="28"/>
    </w:rPr>
  </w:style>
  <w:style w:type="paragraph" w:customStyle="1" w:styleId="CCCharCharCharCharCharChar">
    <w:name w:val="CC Char Char Char Char Char Char"/>
    <w:basedOn w:val="2e"/>
    <w:next w:val="2e"/>
    <w:qFormat/>
    <w:pPr>
      <w:ind w:leftChars="100" w:left="630" w:rightChars="100" w:right="100"/>
    </w:pPr>
    <w:rPr>
      <w:szCs w:val="24"/>
    </w:rPr>
  </w:style>
  <w:style w:type="paragraph" w:customStyle="1" w:styleId="a">
    <w:name w:val="附件列表"/>
    <w:basedOn w:val="afffff2"/>
    <w:qFormat/>
    <w:pPr>
      <w:numPr>
        <w:numId w:val="113"/>
      </w:numPr>
      <w:tabs>
        <w:tab w:val="clear" w:pos="840"/>
        <w:tab w:val="left" w:pos="425"/>
        <w:tab w:val="left" w:pos="4584"/>
      </w:tabs>
      <w:adjustRightInd w:val="0"/>
      <w:snapToGrid w:val="0"/>
      <w:ind w:left="425" w:firstLineChars="0" w:firstLine="0"/>
    </w:pPr>
    <w:rPr>
      <w:rFonts w:eastAsia="仿宋_GB2312"/>
      <w:bCs/>
      <w:color w:val="auto"/>
      <w:sz w:val="21"/>
      <w:szCs w:val="21"/>
    </w:rPr>
  </w:style>
  <w:style w:type="paragraph" w:customStyle="1" w:styleId="1ffff5">
    <w:name w:val="修订1"/>
    <w:hidden/>
    <w:semiHidden/>
    <w:qFormat/>
    <w:rPr>
      <w:rFonts w:ascii="Calibri" w:hAnsi="Calibri"/>
      <w:kern w:val="2"/>
      <w:sz w:val="21"/>
      <w:szCs w:val="22"/>
    </w:rPr>
  </w:style>
  <w:style w:type="paragraph" w:customStyle="1" w:styleId="a0">
    <w:name w:val="正文缩进排序"/>
    <w:basedOn w:val="afffff2"/>
    <w:qFormat/>
    <w:pPr>
      <w:numPr>
        <w:numId w:val="114"/>
      </w:numPr>
      <w:tabs>
        <w:tab w:val="clear" w:pos="1021"/>
        <w:tab w:val="left" w:pos="425"/>
        <w:tab w:val="left" w:pos="4584"/>
      </w:tabs>
      <w:adjustRightInd w:val="0"/>
      <w:snapToGrid w:val="0"/>
      <w:ind w:left="425" w:firstLineChars="0" w:firstLine="0"/>
    </w:pPr>
    <w:rPr>
      <w:rFonts w:eastAsia="仿宋_GB2312"/>
      <w:bCs/>
      <w:color w:val="auto"/>
    </w:rPr>
  </w:style>
  <w:style w:type="paragraph" w:customStyle="1" w:styleId="afffffffffffffffffffa">
    <w:name w:val="热电厂正文"/>
    <w:basedOn w:val="a1"/>
    <w:qFormat/>
    <w:pPr>
      <w:spacing w:line="440" w:lineRule="exact"/>
      <w:ind w:firstLineChars="200" w:firstLine="480"/>
    </w:pPr>
    <w:rPr>
      <w:rFonts w:ascii="Times New Roman" w:hAnsi="Times New Roman"/>
      <w:sz w:val="24"/>
      <w:szCs w:val="24"/>
    </w:rPr>
  </w:style>
  <w:style w:type="paragraph" w:customStyle="1" w:styleId="05">
    <w:name w:val="正文0"/>
    <w:basedOn w:val="a1"/>
    <w:link w:val="0Char0"/>
    <w:qFormat/>
    <w:pPr>
      <w:shd w:val="clear" w:color="auto" w:fill="FFFFFF"/>
      <w:spacing w:line="360" w:lineRule="auto"/>
      <w:ind w:firstLineChars="200" w:firstLine="200"/>
      <w:jc w:val="left"/>
    </w:pPr>
    <w:rPr>
      <w:rFonts w:ascii="宋体" w:hAnsi="宋体"/>
      <w:kern w:val="0"/>
      <w:sz w:val="24"/>
      <w:szCs w:val="24"/>
      <w:lang w:val="zh-CN"/>
    </w:rPr>
  </w:style>
  <w:style w:type="paragraph" w:customStyle="1" w:styleId="441">
    <w:name w:val="标题44"/>
    <w:basedOn w:val="4a"/>
    <w:qFormat/>
    <w:pPr>
      <w:tabs>
        <w:tab w:val="left" w:pos="1880"/>
      </w:tabs>
      <w:adjustRightInd w:val="0"/>
      <w:snapToGrid w:val="0"/>
      <w:spacing w:before="0" w:after="0" w:line="360" w:lineRule="auto"/>
    </w:pPr>
    <w:rPr>
      <w:rFonts w:ascii="Times New Roman" w:eastAsia="黑体" w:hAnsi="Times New Roman" w:cs="Times New Roman"/>
      <w:b w:val="0"/>
      <w:snapToGrid w:val="0"/>
      <w:kern w:val="0"/>
      <w:sz w:val="24"/>
      <w:szCs w:val="24"/>
    </w:rPr>
  </w:style>
  <w:style w:type="paragraph" w:customStyle="1" w:styleId="CharCharCharCharCharCharCharCharCharCharCharCharCharCharCharCharCharCharChar">
    <w:name w:val="Char Char Char Char Char Char Char Char Char Char Char Char Char Char Char Char Char Char Char"/>
    <w:basedOn w:val="a1"/>
    <w:qFormat/>
    <w:pPr>
      <w:spacing w:line="360" w:lineRule="auto"/>
      <w:ind w:firstLineChars="200" w:firstLine="200"/>
    </w:pPr>
    <w:rPr>
      <w:rFonts w:ascii="宋体" w:hAnsi="宋体" w:cs="宋体"/>
      <w:sz w:val="24"/>
      <w:szCs w:val="24"/>
    </w:rPr>
  </w:style>
  <w:style w:type="paragraph" w:customStyle="1" w:styleId="1H1H11H12Ab1MainHeadingH-1h1NonumberPap">
    <w:name w:val="样式 标题 1H1H11H12第A章第*部分b1Main HeadingH-1h1No numberPap..."/>
    <w:basedOn w:val="1a"/>
    <w:qFormat/>
    <w:pPr>
      <w:adjustRightInd w:val="0"/>
      <w:snapToGrid w:val="0"/>
      <w:spacing w:beforeLines="50" w:after="0" w:line="360" w:lineRule="auto"/>
      <w:ind w:firstLineChars="200" w:firstLine="560"/>
    </w:pPr>
    <w:rPr>
      <w:rFonts w:ascii="黑体" w:eastAsia="黑体" w:hAnsi="宋体" w:cs="宋体" w:hint="eastAsia"/>
      <w:b w:val="0"/>
      <w:bCs w:val="0"/>
      <w:sz w:val="28"/>
      <w:szCs w:val="20"/>
    </w:rPr>
  </w:style>
  <w:style w:type="paragraph" w:customStyle="1" w:styleId="155">
    <w:name w:val="样式 宋体 小四 行距: 1.5 倍行距"/>
    <w:basedOn w:val="a1"/>
    <w:link w:val="15Char1"/>
    <w:qFormat/>
    <w:pPr>
      <w:spacing w:line="500" w:lineRule="atLeast"/>
      <w:ind w:firstLineChars="200" w:firstLine="200"/>
    </w:pPr>
    <w:rPr>
      <w:rFonts w:ascii="宋体" w:hAnsi="宋体"/>
      <w:kern w:val="0"/>
      <w:sz w:val="28"/>
      <w:szCs w:val="20"/>
    </w:rPr>
  </w:style>
  <w:style w:type="paragraph" w:customStyle="1" w:styleId="0916">
    <w:name w:val="0916正文样式"/>
    <w:basedOn w:val="a1"/>
    <w:link w:val="0916Char"/>
    <w:qFormat/>
    <w:pPr>
      <w:adjustRightInd w:val="0"/>
      <w:snapToGrid w:val="0"/>
      <w:spacing w:line="336" w:lineRule="auto"/>
      <w:ind w:firstLineChars="200" w:firstLine="200"/>
    </w:pPr>
    <w:rPr>
      <w:rFonts w:ascii="宋体" w:hAnsi="ˎ̥"/>
      <w:snapToGrid w:val="0"/>
      <w:kern w:val="0"/>
      <w:sz w:val="28"/>
      <w:szCs w:val="28"/>
    </w:rPr>
  </w:style>
  <w:style w:type="paragraph" w:customStyle="1" w:styleId="2TimesNewRoman780">
    <w:name w:val="样式 标题 2 + (西文) Times New Roman (中文) 宋体 段前: 7.8 磅 段后: 0 磅 行距:..."/>
    <w:basedOn w:val="2a"/>
    <w:qFormat/>
    <w:pPr>
      <w:tabs>
        <w:tab w:val="left" w:pos="0"/>
        <w:tab w:val="left" w:pos="53"/>
        <w:tab w:val="left" w:pos="430"/>
        <w:tab w:val="left" w:pos="735"/>
      </w:tabs>
      <w:adjustRightInd w:val="0"/>
      <w:snapToGrid w:val="0"/>
      <w:spacing w:beforeLines="50" w:afterLines="0"/>
      <w:jc w:val="both"/>
    </w:pPr>
    <w:rPr>
      <w:rFonts w:ascii="Times New Roman" w:eastAsia="宋体" w:hAnsi="Times New Roman"/>
      <w:sz w:val="30"/>
      <w:szCs w:val="20"/>
    </w:rPr>
  </w:style>
  <w:style w:type="paragraph" w:customStyle="1" w:styleId="1ffff6">
    <w:name w:val="样式 标题 1 +"/>
    <w:basedOn w:val="1a"/>
    <w:qFormat/>
    <w:pPr>
      <w:tabs>
        <w:tab w:val="left" w:pos="2040"/>
      </w:tabs>
      <w:spacing w:before="0" w:after="0" w:line="360" w:lineRule="auto"/>
      <w:ind w:leftChars="800" w:left="2040" w:hangingChars="200" w:hanging="360"/>
    </w:pPr>
    <w:rPr>
      <w:rFonts w:ascii="Times New Roman" w:eastAsia="黑体" w:hAnsi="Times New Roman"/>
      <w:b w:val="0"/>
      <w:kern w:val="0"/>
      <w:sz w:val="32"/>
      <w:szCs w:val="20"/>
    </w:rPr>
  </w:style>
  <w:style w:type="paragraph" w:customStyle="1" w:styleId="2ffff3">
    <w:name w:val="正文缩进2个字符"/>
    <w:basedOn w:val="a1"/>
    <w:link w:val="2Char3"/>
    <w:qFormat/>
    <w:pPr>
      <w:spacing w:line="360" w:lineRule="auto"/>
      <w:ind w:firstLineChars="200" w:firstLine="200"/>
    </w:pPr>
    <w:rPr>
      <w:kern w:val="0"/>
      <w:sz w:val="28"/>
      <w:szCs w:val="28"/>
    </w:rPr>
  </w:style>
  <w:style w:type="paragraph" w:customStyle="1" w:styleId="TOC11">
    <w:name w:val="TOC 标题11"/>
    <w:basedOn w:val="1a"/>
    <w:next w:val="a1"/>
    <w:qFormat/>
    <w:pPr>
      <w:widowControl/>
      <w:tabs>
        <w:tab w:val="left" w:pos="2040"/>
      </w:tabs>
      <w:spacing w:before="480" w:after="0" w:line="276" w:lineRule="auto"/>
      <w:ind w:leftChars="800" w:left="2040" w:hangingChars="200" w:hanging="360"/>
      <w:jc w:val="left"/>
      <w:outlineLvl w:val="9"/>
    </w:pPr>
    <w:rPr>
      <w:rFonts w:ascii="Cambria" w:hAnsi="Cambria" w:cs="Cambria"/>
      <w:color w:val="365F91"/>
      <w:kern w:val="0"/>
      <w:sz w:val="28"/>
      <w:szCs w:val="28"/>
    </w:rPr>
  </w:style>
  <w:style w:type="paragraph" w:customStyle="1" w:styleId="Char1CharCharCharCharCharCharCharCharCharCharCharChar">
    <w:name w:val="Char1 Char Char Char Char Char Char Char Char Char Char Char Char"/>
    <w:basedOn w:val="a1"/>
    <w:qFormat/>
    <w:rPr>
      <w:rFonts w:ascii="Times New Roman" w:hAnsi="Times New Roman"/>
      <w:sz w:val="24"/>
      <w:szCs w:val="24"/>
    </w:rPr>
  </w:style>
  <w:style w:type="paragraph" w:customStyle="1" w:styleId="Char1CharCharCharCharCharCharCharCharCharCharCharChar1">
    <w:name w:val="Char1 Char Char Char Char Char Char Char Char Char Char Char Char1"/>
    <w:basedOn w:val="a1"/>
    <w:qFormat/>
    <w:rPr>
      <w:rFonts w:ascii="Times New Roman" w:hAnsi="Times New Roman"/>
      <w:sz w:val="24"/>
      <w:szCs w:val="24"/>
    </w:rPr>
  </w:style>
  <w:style w:type="paragraph" w:customStyle="1" w:styleId="1ffff7">
    <w:name w:val="无间隔1"/>
    <w:qFormat/>
    <w:pPr>
      <w:widowControl w:val="0"/>
      <w:jc w:val="both"/>
    </w:pPr>
    <w:rPr>
      <w:rFonts w:ascii="Calibri" w:hAnsi="Calibri" w:cs="Calibri"/>
      <w:kern w:val="2"/>
      <w:sz w:val="21"/>
      <w:szCs w:val="21"/>
    </w:rPr>
  </w:style>
  <w:style w:type="paragraph" w:customStyle="1" w:styleId="-OPCC">
    <w:name w:val="图-题注（OPCC）"/>
    <w:basedOn w:val="ae"/>
    <w:link w:val="-OPCCChar"/>
    <w:qFormat/>
    <w:pPr>
      <w:spacing w:line="336" w:lineRule="auto"/>
      <w:jc w:val="center"/>
    </w:pPr>
    <w:rPr>
      <w:rFonts w:ascii="Calibri" w:hAnsi="Calibri" w:cs="黑体"/>
      <w:snapToGrid w:val="0"/>
      <w:kern w:val="2"/>
      <w:sz w:val="24"/>
      <w:szCs w:val="24"/>
    </w:rPr>
  </w:style>
  <w:style w:type="paragraph" w:customStyle="1" w:styleId="zwb-">
    <w:name w:val="zwb-正文"/>
    <w:basedOn w:val="a1"/>
    <w:link w:val="zwb-Char"/>
    <w:qFormat/>
    <w:pPr>
      <w:spacing w:line="360" w:lineRule="auto"/>
      <w:ind w:firstLineChars="200" w:firstLine="480"/>
    </w:pPr>
    <w:rPr>
      <w:rFonts w:ascii="Times New Roman" w:hAnsi="Times New Roman"/>
      <w:kern w:val="0"/>
      <w:sz w:val="24"/>
      <w:szCs w:val="24"/>
    </w:rPr>
  </w:style>
  <w:style w:type="paragraph" w:customStyle="1" w:styleId="zwb-0">
    <w:name w:val="zwb-报告正文"/>
    <w:basedOn w:val="a1"/>
    <w:qFormat/>
    <w:pPr>
      <w:spacing w:line="360" w:lineRule="auto"/>
      <w:ind w:firstLineChars="200" w:firstLine="480"/>
    </w:pPr>
    <w:rPr>
      <w:rFonts w:ascii="Times New Roman" w:hAnsi="Times New Roman"/>
      <w:sz w:val="24"/>
      <w:szCs w:val="24"/>
    </w:rPr>
  </w:style>
  <w:style w:type="paragraph" w:customStyle="1" w:styleId="1ffff8">
    <w:name w:val="引用1"/>
    <w:basedOn w:val="a1"/>
    <w:next w:val="a1"/>
    <w:link w:val="Charff6"/>
    <w:qFormat/>
    <w:pPr>
      <w:spacing w:line="360" w:lineRule="auto"/>
      <w:ind w:firstLineChars="200" w:firstLine="200"/>
    </w:pPr>
    <w:rPr>
      <w:rFonts w:ascii="Times New Roman" w:hAnsi="Times New Roman"/>
      <w:i/>
      <w:iCs/>
      <w:color w:val="000000"/>
      <w:sz w:val="24"/>
      <w:szCs w:val="24"/>
    </w:rPr>
  </w:style>
  <w:style w:type="paragraph" w:customStyle="1" w:styleId="afffffffffffffffffffb">
    <w:name w:val="报告书正文"/>
    <w:basedOn w:val="a1"/>
    <w:link w:val="Charff7"/>
    <w:semiHidden/>
    <w:qFormat/>
    <w:pPr>
      <w:spacing w:line="360" w:lineRule="auto"/>
      <w:ind w:firstLineChars="200" w:firstLine="480"/>
    </w:pPr>
    <w:rPr>
      <w:rFonts w:ascii="Times New Roman" w:hAnsi="Times New Roman"/>
      <w:kern w:val="0"/>
      <w:sz w:val="24"/>
      <w:szCs w:val="24"/>
    </w:rPr>
  </w:style>
  <w:style w:type="paragraph" w:customStyle="1" w:styleId="1ffff9">
    <w:name w:val="已访问的超链接1"/>
    <w:qFormat/>
    <w:pPr>
      <w:widowControl w:val="0"/>
      <w:jc w:val="both"/>
    </w:pPr>
    <w:rPr>
      <w:kern w:val="2"/>
      <w:sz w:val="21"/>
      <w:szCs w:val="24"/>
    </w:rPr>
  </w:style>
  <w:style w:type="paragraph" w:customStyle="1" w:styleId="reader-word-layer">
    <w:name w:val="reader-word-layer"/>
    <w:basedOn w:val="a1"/>
    <w:qFormat/>
    <w:pPr>
      <w:widowControl/>
      <w:spacing w:before="100" w:beforeAutospacing="1" w:after="100" w:afterAutospacing="1"/>
      <w:jc w:val="left"/>
    </w:pPr>
    <w:rPr>
      <w:rFonts w:ascii="宋体" w:hAnsi="宋体" w:cs="宋体"/>
      <w:kern w:val="0"/>
      <w:sz w:val="24"/>
      <w:szCs w:val="24"/>
    </w:rPr>
  </w:style>
  <w:style w:type="paragraph" w:customStyle="1" w:styleId="119">
    <w:name w:val="修订11"/>
    <w:hidden/>
    <w:semiHidden/>
    <w:qFormat/>
    <w:rPr>
      <w:rFonts w:ascii="Calibri" w:hAnsi="Calibri" w:cs="Calibri"/>
      <w:kern w:val="2"/>
      <w:sz w:val="21"/>
      <w:szCs w:val="22"/>
    </w:rPr>
  </w:style>
  <w:style w:type="paragraph" w:customStyle="1" w:styleId="afffffffffffffffffffc">
    <w:name w:val="表格居中"/>
    <w:qFormat/>
    <w:pPr>
      <w:jc w:val="center"/>
    </w:pPr>
    <w:rPr>
      <w:rFonts w:ascii="宋体" w:hAnsi="宋体"/>
      <w:bCs/>
      <w:kern w:val="2"/>
      <w:sz w:val="21"/>
      <w:szCs w:val="21"/>
    </w:rPr>
  </w:style>
  <w:style w:type="paragraph" w:customStyle="1" w:styleId="4ff">
    <w:name w:val="正文文本4"/>
    <w:basedOn w:val="a1"/>
    <w:next w:val="a1"/>
    <w:qFormat/>
    <w:pPr>
      <w:widowControl/>
      <w:autoSpaceDE w:val="0"/>
      <w:autoSpaceDN w:val="0"/>
      <w:adjustRightInd w:val="0"/>
      <w:spacing w:before="60" w:after="60"/>
      <w:jc w:val="left"/>
    </w:pPr>
    <w:rPr>
      <w:rFonts w:ascii="宋体" w:hAnsi="Times New Roman"/>
      <w:kern w:val="0"/>
      <w:sz w:val="24"/>
      <w:szCs w:val="24"/>
      <w:lang w:eastAsia="en-US"/>
    </w:rPr>
  </w:style>
  <w:style w:type="paragraph" w:customStyle="1" w:styleId="5fd">
    <w:name w:val="正文5"/>
    <w:qFormat/>
    <w:pPr>
      <w:widowControl w:val="0"/>
      <w:adjustRightInd w:val="0"/>
      <w:spacing w:line="360" w:lineRule="atLeast"/>
      <w:textAlignment w:val="baseline"/>
    </w:pPr>
    <w:rPr>
      <w:rFonts w:ascii="宋体"/>
      <w:sz w:val="24"/>
    </w:rPr>
  </w:style>
  <w:style w:type="paragraph" w:customStyle="1" w:styleId="3ff9">
    <w:name w:val="图表目录3"/>
    <w:basedOn w:val="5fd"/>
    <w:next w:val="5fd"/>
    <w:qFormat/>
    <w:pPr>
      <w:tabs>
        <w:tab w:val="right" w:leader="dot" w:pos="8051"/>
      </w:tabs>
      <w:ind w:left="840" w:hanging="840"/>
    </w:pPr>
  </w:style>
  <w:style w:type="paragraph" w:customStyle="1" w:styleId="3ffa">
    <w:name w:val="尾注文本3"/>
    <w:basedOn w:val="5fd"/>
    <w:qFormat/>
    <w:rPr>
      <w:sz w:val="21"/>
    </w:rPr>
  </w:style>
  <w:style w:type="paragraph" w:customStyle="1" w:styleId="231">
    <w:name w:val="正文文本缩进 23"/>
    <w:basedOn w:val="a1"/>
    <w:qFormat/>
    <w:pPr>
      <w:adjustRightInd w:val="0"/>
      <w:spacing w:line="360" w:lineRule="auto"/>
      <w:ind w:firstLine="510"/>
      <w:textAlignment w:val="baseline"/>
    </w:pPr>
    <w:rPr>
      <w:rFonts w:ascii="宋体" w:hAnsi="宋体"/>
      <w:sz w:val="28"/>
      <w:szCs w:val="20"/>
    </w:rPr>
  </w:style>
  <w:style w:type="paragraph" w:customStyle="1" w:styleId="4ff0">
    <w:name w:val="页脚4"/>
    <w:basedOn w:val="5fd"/>
    <w:qFormat/>
    <w:pPr>
      <w:tabs>
        <w:tab w:val="center" w:pos="4153"/>
        <w:tab w:val="right" w:pos="8306"/>
      </w:tabs>
      <w:spacing w:line="240" w:lineRule="atLeast"/>
    </w:pPr>
    <w:rPr>
      <w:sz w:val="18"/>
    </w:rPr>
  </w:style>
  <w:style w:type="paragraph" w:customStyle="1" w:styleId="3ffb">
    <w:name w:val="日期3"/>
    <w:basedOn w:val="a1"/>
    <w:next w:val="a1"/>
    <w:qFormat/>
    <w:pPr>
      <w:adjustRightInd w:val="0"/>
      <w:textAlignment w:val="baseline"/>
    </w:pPr>
    <w:rPr>
      <w:rFonts w:ascii="Times New Roman" w:hAnsi="Times New Roman"/>
      <w:szCs w:val="20"/>
    </w:rPr>
  </w:style>
  <w:style w:type="paragraph" w:customStyle="1" w:styleId="332">
    <w:name w:val="正文文本 33"/>
    <w:basedOn w:val="a1"/>
    <w:semiHidden/>
    <w:qFormat/>
    <w:pPr>
      <w:adjustRightInd w:val="0"/>
      <w:spacing w:line="360" w:lineRule="atLeast"/>
      <w:ind w:firstLineChars="200" w:firstLine="420"/>
      <w:jc w:val="center"/>
      <w:textAlignment w:val="baseline"/>
    </w:pPr>
    <w:rPr>
      <w:rFonts w:ascii="仿宋体" w:eastAsia="仿宋体" w:hAnsi="宋体"/>
      <w:kern w:val="0"/>
      <w:sz w:val="24"/>
      <w:szCs w:val="20"/>
    </w:rPr>
  </w:style>
  <w:style w:type="paragraph" w:customStyle="1" w:styleId="3ffc">
    <w:name w:val="列出段落3"/>
    <w:basedOn w:val="a1"/>
    <w:qFormat/>
    <w:pPr>
      <w:spacing w:line="360" w:lineRule="auto"/>
      <w:ind w:firstLineChars="200" w:firstLine="420"/>
    </w:pPr>
    <w:rPr>
      <w:sz w:val="24"/>
    </w:rPr>
  </w:style>
  <w:style w:type="paragraph" w:customStyle="1" w:styleId="3ffd">
    <w:name w:val="普通(网站)3"/>
    <w:basedOn w:val="a1"/>
    <w:qFormat/>
    <w:pPr>
      <w:adjustRightInd w:val="0"/>
      <w:spacing w:line="360" w:lineRule="auto"/>
      <w:ind w:firstLineChars="200" w:firstLine="420"/>
      <w:textAlignment w:val="baseline"/>
    </w:pPr>
    <w:rPr>
      <w:rFonts w:ascii="Times New Roman" w:hAnsi="Times New Roman"/>
      <w:sz w:val="24"/>
      <w:szCs w:val="20"/>
    </w:rPr>
  </w:style>
  <w:style w:type="paragraph" w:customStyle="1" w:styleId="TOC2">
    <w:name w:val="TOC 标题2"/>
    <w:basedOn w:val="1a"/>
    <w:next w:val="a1"/>
    <w:qFormat/>
    <w:pPr>
      <w:widowControl/>
      <w:tabs>
        <w:tab w:val="left" w:pos="2040"/>
      </w:tabs>
      <w:spacing w:before="480" w:after="0" w:line="276" w:lineRule="auto"/>
      <w:ind w:leftChars="800" w:left="2040" w:hangingChars="200" w:hanging="360"/>
      <w:jc w:val="left"/>
      <w:outlineLvl w:val="9"/>
    </w:pPr>
    <w:rPr>
      <w:rFonts w:ascii="Cambria" w:hAnsi="Cambria" w:cs="Cambria"/>
      <w:color w:val="365F91"/>
      <w:kern w:val="0"/>
      <w:sz w:val="28"/>
      <w:szCs w:val="28"/>
    </w:rPr>
  </w:style>
  <w:style w:type="paragraph" w:customStyle="1" w:styleId="2ffff4">
    <w:name w:val="无间隔2"/>
    <w:qFormat/>
    <w:pPr>
      <w:widowControl w:val="0"/>
      <w:jc w:val="both"/>
    </w:pPr>
    <w:rPr>
      <w:rFonts w:ascii="Calibri" w:hAnsi="Calibri" w:cs="Calibri"/>
      <w:kern w:val="2"/>
      <w:sz w:val="21"/>
      <w:szCs w:val="21"/>
    </w:rPr>
  </w:style>
  <w:style w:type="paragraph" w:customStyle="1" w:styleId="afffffffffffffffffffd">
    <w:name w:val="报告表内字"/>
    <w:qFormat/>
    <w:pPr>
      <w:spacing w:line="320" w:lineRule="exact"/>
      <w:jc w:val="center"/>
    </w:pPr>
    <w:rPr>
      <w:bCs/>
      <w:kern w:val="2"/>
      <w:sz w:val="21"/>
      <w:szCs w:val="21"/>
    </w:rPr>
  </w:style>
  <w:style w:type="paragraph" w:customStyle="1" w:styleId="afffffffffffffffffffe">
    <w:name w:val="传统正文"/>
    <w:basedOn w:val="a1"/>
    <w:semiHidden/>
    <w:qFormat/>
    <w:pPr>
      <w:adjustRightInd w:val="0"/>
      <w:snapToGrid w:val="0"/>
      <w:spacing w:beforeLines="50" w:afterLines="50" w:line="360" w:lineRule="auto"/>
      <w:ind w:firstLineChars="200" w:firstLine="480"/>
    </w:pPr>
    <w:rPr>
      <w:rFonts w:ascii="Times New Roman" w:hAnsi="Times New Roman"/>
      <w:bCs/>
      <w:sz w:val="24"/>
      <w:szCs w:val="24"/>
    </w:rPr>
  </w:style>
  <w:style w:type="paragraph" w:customStyle="1" w:styleId="1ffffa">
    <w:name w:val="正文（1）"/>
    <w:basedOn w:val="a2"/>
    <w:next w:val="afffe"/>
    <w:qFormat/>
    <w:pPr>
      <w:spacing w:line="360" w:lineRule="auto"/>
      <w:ind w:firstLine="480"/>
      <w:jc w:val="both"/>
    </w:pPr>
    <w:rPr>
      <w:rFonts w:eastAsia="宋体" w:cs="宋体"/>
      <w:sz w:val="24"/>
      <w:szCs w:val="24"/>
    </w:rPr>
  </w:style>
  <w:style w:type="paragraph" w:customStyle="1" w:styleId="1">
    <w:name w:val="1级样式."/>
    <w:basedOn w:val="a1"/>
    <w:qFormat/>
    <w:pPr>
      <w:keepNext/>
      <w:keepLines/>
      <w:numPr>
        <w:numId w:val="115"/>
      </w:numPr>
      <w:spacing w:beforeLines="50" w:afterLines="100" w:line="360" w:lineRule="auto"/>
      <w:jc w:val="left"/>
      <w:outlineLvl w:val="0"/>
    </w:pPr>
    <w:rPr>
      <w:rFonts w:ascii="Times New Roman" w:eastAsia="黑体" w:hAnsi="Times New Roman"/>
      <w:color w:val="000000"/>
      <w:kern w:val="44"/>
      <w:sz w:val="36"/>
      <w:szCs w:val="36"/>
    </w:rPr>
  </w:style>
  <w:style w:type="paragraph" w:customStyle="1" w:styleId="4ff1">
    <w:name w:val="4级样式"/>
    <w:basedOn w:val="4a"/>
    <w:qFormat/>
    <w:pPr>
      <w:spacing w:before="0" w:after="0" w:line="360" w:lineRule="auto"/>
    </w:pPr>
    <w:rPr>
      <w:rFonts w:ascii="Times New Roman" w:hAnsi="Times New Roman" w:cs="Times New Roman"/>
      <w:bCs w:val="0"/>
      <w:color w:val="000000"/>
      <w:kern w:val="0"/>
      <w:sz w:val="24"/>
      <w:szCs w:val="24"/>
    </w:rPr>
  </w:style>
  <w:style w:type="paragraph" w:customStyle="1" w:styleId="affffffffffffffffffff">
    <w:name w:val="环评正文"/>
    <w:basedOn w:val="1a"/>
    <w:link w:val="Charff8"/>
    <w:qFormat/>
    <w:pPr>
      <w:tabs>
        <w:tab w:val="left" w:pos="454"/>
      </w:tabs>
      <w:spacing w:before="0" w:after="0" w:line="400" w:lineRule="exact"/>
      <w:ind w:firstLine="482"/>
      <w:outlineLvl w:val="9"/>
    </w:pPr>
    <w:rPr>
      <w:rFonts w:ascii="Times New Roman" w:eastAsia="仿宋_GB2312" w:hAnsi="Times New Roman"/>
      <w:sz w:val="24"/>
      <w:szCs w:val="28"/>
    </w:rPr>
  </w:style>
  <w:style w:type="paragraph" w:customStyle="1" w:styleId="1ffffb">
    <w:name w:val="正文文本1"/>
    <w:basedOn w:val="a1"/>
    <w:next w:val="a1"/>
    <w:qFormat/>
    <w:pPr>
      <w:widowControl/>
      <w:autoSpaceDE w:val="0"/>
      <w:autoSpaceDN w:val="0"/>
      <w:adjustRightInd w:val="0"/>
      <w:spacing w:before="60" w:after="60"/>
      <w:jc w:val="left"/>
    </w:pPr>
    <w:rPr>
      <w:rFonts w:ascii="宋体" w:hAnsi="Times New Roman"/>
      <w:kern w:val="0"/>
      <w:sz w:val="24"/>
      <w:szCs w:val="24"/>
      <w:lang w:eastAsia="en-US"/>
    </w:rPr>
  </w:style>
  <w:style w:type="paragraph" w:customStyle="1" w:styleId="CharCharCharCharCharChar1Char3">
    <w:name w:val="Char Char Char Char Char Char1 Char3"/>
    <w:basedOn w:val="a1"/>
    <w:qFormat/>
    <w:rPr>
      <w:rFonts w:ascii="Times New Roman" w:hAnsi="Times New Roman"/>
      <w:szCs w:val="24"/>
    </w:rPr>
  </w:style>
  <w:style w:type="paragraph" w:customStyle="1" w:styleId="CharCharChar1Char2">
    <w:name w:val="Char Char Char1 Char2"/>
    <w:basedOn w:val="a1"/>
    <w:semiHidden/>
    <w:qFormat/>
    <w:rPr>
      <w:rFonts w:ascii="Times New Roman" w:hAnsi="Times New Roman"/>
      <w:szCs w:val="24"/>
    </w:rPr>
  </w:style>
  <w:style w:type="paragraph" w:customStyle="1" w:styleId="6e">
    <w:name w:val="正文6"/>
    <w:qFormat/>
    <w:pPr>
      <w:widowControl w:val="0"/>
      <w:adjustRightInd w:val="0"/>
      <w:spacing w:line="360" w:lineRule="atLeast"/>
      <w:textAlignment w:val="baseline"/>
    </w:pPr>
    <w:rPr>
      <w:rFonts w:ascii="宋体"/>
      <w:sz w:val="24"/>
    </w:rPr>
  </w:style>
  <w:style w:type="paragraph" w:customStyle="1" w:styleId="4ff2">
    <w:name w:val="图表目录4"/>
    <w:basedOn w:val="6e"/>
    <w:next w:val="6e"/>
    <w:qFormat/>
    <w:pPr>
      <w:tabs>
        <w:tab w:val="right" w:leader="dot" w:pos="8051"/>
      </w:tabs>
      <w:ind w:left="840" w:hanging="840"/>
    </w:pPr>
  </w:style>
  <w:style w:type="paragraph" w:customStyle="1" w:styleId="4ff3">
    <w:name w:val="尾注文本4"/>
    <w:basedOn w:val="6e"/>
    <w:qFormat/>
    <w:rPr>
      <w:sz w:val="21"/>
    </w:rPr>
  </w:style>
  <w:style w:type="paragraph" w:customStyle="1" w:styleId="CharCharCharCharCharCharChar3">
    <w:name w:val="Char Char Char Char Char Char Char3"/>
    <w:basedOn w:val="a1"/>
    <w:qFormat/>
    <w:pPr>
      <w:widowControl/>
      <w:spacing w:after="160" w:line="240" w:lineRule="exact"/>
      <w:jc w:val="left"/>
    </w:pPr>
    <w:rPr>
      <w:rFonts w:ascii="Verdana" w:hAnsi="Verdana"/>
      <w:kern w:val="0"/>
      <w:sz w:val="20"/>
      <w:szCs w:val="20"/>
      <w:lang w:eastAsia="en-US"/>
    </w:rPr>
  </w:style>
  <w:style w:type="paragraph" w:customStyle="1" w:styleId="5fe">
    <w:name w:val="页脚5"/>
    <w:basedOn w:val="6e"/>
    <w:qFormat/>
    <w:pPr>
      <w:tabs>
        <w:tab w:val="center" w:pos="4153"/>
        <w:tab w:val="right" w:pos="8306"/>
      </w:tabs>
      <w:spacing w:line="240" w:lineRule="atLeast"/>
    </w:pPr>
    <w:rPr>
      <w:sz w:val="18"/>
    </w:rPr>
  </w:style>
  <w:style w:type="paragraph" w:customStyle="1" w:styleId="CharCharCharCharCharChar3">
    <w:name w:val="Char Char Char Char Char Char3"/>
    <w:basedOn w:val="a1"/>
    <w:qFormat/>
    <w:rPr>
      <w:rFonts w:ascii="Times New Roman" w:hAnsi="Times New Roman"/>
      <w:sz w:val="24"/>
      <w:szCs w:val="24"/>
    </w:rPr>
  </w:style>
  <w:style w:type="paragraph" w:customStyle="1" w:styleId="Char1CharCharChar2">
    <w:name w:val="Char1 Char Char Char2"/>
    <w:basedOn w:val="a1"/>
    <w:qFormat/>
    <w:rPr>
      <w:rFonts w:ascii="Times New Roman" w:hAnsi="Times New Roman"/>
      <w:sz w:val="24"/>
      <w:szCs w:val="24"/>
    </w:rPr>
  </w:style>
  <w:style w:type="paragraph" w:customStyle="1" w:styleId="CharCharCharCharCharCharCharCharCharCharChar1Char1">
    <w:name w:val="Char Char Char Char Char Char Char Char Char Char Char1 Char1"/>
    <w:basedOn w:val="a1"/>
    <w:next w:val="a1"/>
    <w:semiHidden/>
    <w:qFormat/>
    <w:pPr>
      <w:spacing w:line="336" w:lineRule="auto"/>
      <w:ind w:firstLineChars="200" w:firstLine="200"/>
    </w:pPr>
    <w:rPr>
      <w:rFonts w:ascii="宋体" w:eastAsia="汉鼎简书宋" w:hAnsi="宋体" w:cs="宋体"/>
      <w:spacing w:val="4"/>
      <w:sz w:val="24"/>
      <w:szCs w:val="24"/>
    </w:rPr>
  </w:style>
  <w:style w:type="paragraph" w:customStyle="1" w:styleId="4ff4">
    <w:name w:val="日期4"/>
    <w:basedOn w:val="a1"/>
    <w:next w:val="a1"/>
    <w:qFormat/>
    <w:pPr>
      <w:adjustRightInd w:val="0"/>
      <w:textAlignment w:val="baseline"/>
    </w:pPr>
    <w:rPr>
      <w:rFonts w:ascii="Times New Roman" w:hAnsi="Times New Roman"/>
      <w:szCs w:val="20"/>
    </w:rPr>
  </w:style>
  <w:style w:type="paragraph" w:customStyle="1" w:styleId="CharCharCharChar4">
    <w:name w:val="Char Char Char Char4"/>
    <w:basedOn w:val="a1"/>
    <w:qFormat/>
    <w:pPr>
      <w:widowControl/>
      <w:spacing w:after="160" w:line="240" w:lineRule="exact"/>
      <w:jc w:val="left"/>
    </w:pPr>
    <w:rPr>
      <w:rFonts w:ascii="Verdana" w:hAnsi="Verdana"/>
      <w:kern w:val="0"/>
      <w:sz w:val="20"/>
      <w:szCs w:val="20"/>
      <w:lang w:eastAsia="en-US"/>
    </w:rPr>
  </w:style>
  <w:style w:type="paragraph" w:customStyle="1" w:styleId="CharCharChar1CharCharCharCharCharCharCharCharCharChar1">
    <w:name w:val="Char Char Char1 Char Char Char Char Char Char Char Char Char Char1"/>
    <w:basedOn w:val="a1"/>
    <w:qFormat/>
    <w:rPr>
      <w:rFonts w:ascii="Times New Roman" w:hAnsi="Times New Roman"/>
      <w:szCs w:val="24"/>
    </w:rPr>
  </w:style>
  <w:style w:type="paragraph" w:customStyle="1" w:styleId="CharCharCharCharCharCharCharCharCharCharCharChar1CharCharCharCharCharCharCharCharCharCharCharChar1Char1">
    <w:name w:val="Char Char Char Char Char Char Char Char Char Char Char Char1 Char Char Char Char Char Char Char Char Char Char Char Char1 Char1"/>
    <w:basedOn w:val="a1"/>
    <w:next w:val="a1"/>
    <w:semiHidden/>
    <w:qFormat/>
    <w:pPr>
      <w:spacing w:line="336" w:lineRule="auto"/>
      <w:ind w:firstLineChars="200" w:firstLine="200"/>
    </w:pPr>
    <w:rPr>
      <w:rFonts w:ascii="宋体" w:eastAsia="汉鼎简书宋" w:hAnsi="宋体" w:cs="宋体"/>
      <w:sz w:val="24"/>
      <w:szCs w:val="24"/>
    </w:rPr>
  </w:style>
  <w:style w:type="paragraph" w:customStyle="1" w:styleId="Char17">
    <w:name w:val="Char17"/>
    <w:basedOn w:val="a1"/>
    <w:qFormat/>
    <w:pPr>
      <w:spacing w:line="360" w:lineRule="auto"/>
      <w:ind w:firstLineChars="200" w:firstLine="200"/>
    </w:pPr>
    <w:rPr>
      <w:rFonts w:ascii="宋体" w:hAnsi="宋体" w:cs="宋体"/>
      <w:sz w:val="24"/>
      <w:szCs w:val="24"/>
    </w:rPr>
  </w:style>
  <w:style w:type="paragraph" w:customStyle="1" w:styleId="2ffff5">
    <w:name w:val="字元 字元2"/>
    <w:basedOn w:val="a1"/>
    <w:qFormat/>
    <w:pPr>
      <w:widowControl/>
      <w:jc w:val="left"/>
    </w:pPr>
    <w:rPr>
      <w:rFonts w:ascii="宋体" w:hAnsi="宋体" w:cs="宋体"/>
      <w:kern w:val="0"/>
      <w:sz w:val="24"/>
      <w:szCs w:val="24"/>
    </w:rPr>
  </w:style>
  <w:style w:type="paragraph" w:customStyle="1" w:styleId="Char220">
    <w:name w:val="Char22"/>
    <w:basedOn w:val="a1"/>
    <w:qFormat/>
    <w:pPr>
      <w:spacing w:line="360" w:lineRule="auto"/>
      <w:ind w:firstLineChars="200" w:firstLine="200"/>
    </w:pPr>
    <w:rPr>
      <w:rFonts w:ascii="Times New Roman" w:hAnsi="Times New Roman"/>
      <w:color w:val="000000"/>
      <w:sz w:val="24"/>
      <w:szCs w:val="24"/>
    </w:rPr>
  </w:style>
  <w:style w:type="paragraph" w:customStyle="1" w:styleId="340">
    <w:name w:val="正文文本 34"/>
    <w:basedOn w:val="a1"/>
    <w:semiHidden/>
    <w:qFormat/>
    <w:pPr>
      <w:adjustRightInd w:val="0"/>
      <w:spacing w:line="360" w:lineRule="atLeast"/>
      <w:ind w:firstLineChars="200" w:firstLine="420"/>
      <w:jc w:val="center"/>
      <w:textAlignment w:val="baseline"/>
    </w:pPr>
    <w:rPr>
      <w:rFonts w:ascii="仿宋体" w:eastAsia="仿宋体" w:hAnsi="宋体"/>
      <w:kern w:val="0"/>
      <w:sz w:val="24"/>
      <w:szCs w:val="20"/>
    </w:rPr>
  </w:style>
  <w:style w:type="paragraph" w:customStyle="1" w:styleId="4ff5">
    <w:name w:val="列出段落4"/>
    <w:basedOn w:val="a1"/>
    <w:qFormat/>
    <w:pPr>
      <w:spacing w:line="360" w:lineRule="auto"/>
      <w:ind w:firstLineChars="200" w:firstLine="420"/>
    </w:pPr>
    <w:rPr>
      <w:sz w:val="24"/>
    </w:rPr>
  </w:style>
  <w:style w:type="paragraph" w:customStyle="1" w:styleId="CharCharCharCharCharCharCharCharCharChar2">
    <w:name w:val="Char Char Char Char Char Char Char Char Char Char2"/>
    <w:basedOn w:val="a1"/>
    <w:next w:val="a1"/>
    <w:qFormat/>
    <w:pPr>
      <w:spacing w:line="360" w:lineRule="auto"/>
      <w:ind w:firstLineChars="200" w:firstLine="200"/>
    </w:pPr>
    <w:rPr>
      <w:rFonts w:ascii="宋体" w:hAnsi="宋体" w:cs="宋体"/>
      <w:sz w:val="24"/>
      <w:szCs w:val="24"/>
    </w:rPr>
  </w:style>
  <w:style w:type="paragraph" w:customStyle="1" w:styleId="CharCharCharCharCharCharCharCharChar1CharCharCharChar3">
    <w:name w:val="Char Char Char Char Char Char Char Char Char1 Char Char Char Char3"/>
    <w:basedOn w:val="a1"/>
    <w:qFormat/>
    <w:pPr>
      <w:spacing w:line="360" w:lineRule="auto"/>
      <w:ind w:firstLineChars="200" w:firstLine="420"/>
    </w:pPr>
    <w:rPr>
      <w:rFonts w:ascii="Times New Roman" w:hAnsi="Times New Roman"/>
      <w:sz w:val="24"/>
      <w:szCs w:val="20"/>
    </w:rPr>
  </w:style>
  <w:style w:type="paragraph" w:customStyle="1" w:styleId="CharCharCharCharCharCharCharChar2CharCharCharCharCharCharCharCharCharCharCharCharCharCharCharCharCharCharChar2">
    <w:name w:val="Char Char Char Char Char Char Char Char2 Char Char Char Char Char Char Char Char Char Char Char Char Char Char Char Char Char Char Char2"/>
    <w:basedOn w:val="a1"/>
    <w:next w:val="a1"/>
    <w:semiHidden/>
    <w:qFormat/>
    <w:pPr>
      <w:spacing w:line="336" w:lineRule="auto"/>
      <w:ind w:firstLineChars="200" w:firstLine="200"/>
    </w:pPr>
    <w:rPr>
      <w:rFonts w:ascii="宋体" w:eastAsia="汉鼎简书宋" w:hAnsi="宋体" w:cs="宋体"/>
      <w:spacing w:val="4"/>
      <w:sz w:val="24"/>
      <w:szCs w:val="24"/>
    </w:rPr>
  </w:style>
  <w:style w:type="paragraph" w:customStyle="1" w:styleId="CharCharCharCharCharCharCharChar2CharCharCharCharCharCharCharCharCharChar11">
    <w:name w:val="Char Char Char Char Char Char Char Char2 Char Char Char Char Char Char Char Char Char Char11"/>
    <w:basedOn w:val="a1"/>
    <w:next w:val="a1"/>
    <w:semiHidden/>
    <w:qFormat/>
    <w:pPr>
      <w:spacing w:line="336" w:lineRule="auto"/>
      <w:ind w:firstLineChars="200" w:firstLine="200"/>
    </w:pPr>
    <w:rPr>
      <w:rFonts w:ascii="宋体" w:eastAsia="汉鼎简书宋" w:hAnsi="宋体" w:cs="宋体"/>
      <w:spacing w:val="4"/>
      <w:sz w:val="24"/>
      <w:szCs w:val="24"/>
    </w:rPr>
  </w:style>
  <w:style w:type="paragraph" w:customStyle="1" w:styleId="4ff6">
    <w:name w:val="普通(网站)4"/>
    <w:basedOn w:val="a1"/>
    <w:qFormat/>
    <w:pPr>
      <w:adjustRightInd w:val="0"/>
      <w:spacing w:line="360" w:lineRule="auto"/>
      <w:ind w:firstLineChars="200" w:firstLine="420"/>
      <w:textAlignment w:val="baseline"/>
    </w:pPr>
    <w:rPr>
      <w:rFonts w:ascii="Times New Roman" w:hAnsi="Times New Roman"/>
      <w:sz w:val="24"/>
      <w:szCs w:val="20"/>
    </w:rPr>
  </w:style>
  <w:style w:type="paragraph" w:customStyle="1" w:styleId="CharCharChar1CharCharCharCharCharCharChar1">
    <w:name w:val="Char Char Char1 Char Char Char Char Char Char Char1"/>
    <w:basedOn w:val="a1"/>
    <w:qFormat/>
    <w:pPr>
      <w:spacing w:line="360" w:lineRule="auto"/>
      <w:ind w:firstLineChars="200" w:firstLine="420"/>
    </w:pPr>
    <w:rPr>
      <w:rFonts w:ascii="Times New Roman" w:hAnsi="Times New Roman"/>
      <w:sz w:val="24"/>
      <w:szCs w:val="24"/>
    </w:rPr>
  </w:style>
  <w:style w:type="paragraph" w:customStyle="1" w:styleId="CharCharChar12">
    <w:name w:val="Char Char Char12"/>
    <w:basedOn w:val="a1"/>
    <w:semiHidden/>
    <w:qFormat/>
    <w:pPr>
      <w:widowControl/>
      <w:spacing w:after="160" w:line="240" w:lineRule="exact"/>
      <w:ind w:firstLineChars="200" w:firstLine="420"/>
    </w:pPr>
    <w:rPr>
      <w:rFonts w:ascii="Verdana" w:hAnsi="Verdana"/>
      <w:kern w:val="0"/>
      <w:sz w:val="20"/>
      <w:szCs w:val="20"/>
      <w:lang w:eastAsia="en-US"/>
    </w:rPr>
  </w:style>
  <w:style w:type="paragraph" w:customStyle="1" w:styleId="CharCharCharChar1CharCharChar1">
    <w:name w:val="Char Char Char Char1 Char Char Char1"/>
    <w:basedOn w:val="a1"/>
    <w:next w:val="a1"/>
    <w:semiHidden/>
    <w:qFormat/>
    <w:pPr>
      <w:spacing w:line="336" w:lineRule="auto"/>
      <w:ind w:firstLineChars="200" w:firstLine="200"/>
    </w:pPr>
    <w:rPr>
      <w:rFonts w:ascii="宋体" w:eastAsia="汉鼎简书宋" w:hAnsi="宋体" w:cs="宋体"/>
      <w:spacing w:val="4"/>
      <w:sz w:val="24"/>
      <w:szCs w:val="24"/>
    </w:rPr>
  </w:style>
  <w:style w:type="paragraph" w:customStyle="1" w:styleId="CharCharChar1CharCharChar1Char1">
    <w:name w:val="Char Char Char1 Char Char Char1 Char1"/>
    <w:basedOn w:val="a1"/>
    <w:qFormat/>
    <w:pPr>
      <w:spacing w:line="360" w:lineRule="auto"/>
      <w:ind w:firstLineChars="200" w:firstLine="420"/>
    </w:pPr>
    <w:rPr>
      <w:rFonts w:ascii="Times New Roman" w:hAnsi="Times New Roman"/>
      <w:sz w:val="24"/>
      <w:szCs w:val="20"/>
    </w:rPr>
  </w:style>
  <w:style w:type="paragraph" w:customStyle="1" w:styleId="CharCharChar1CharCharCharCharCharCharCharCharCharCharCharCharChar1">
    <w:name w:val="Char Char Char1 Char Char Char Char Char Char Char Char Char Char Char Char Char1"/>
    <w:basedOn w:val="a1"/>
    <w:qFormat/>
    <w:pPr>
      <w:spacing w:line="360" w:lineRule="auto"/>
      <w:ind w:firstLineChars="200" w:firstLine="420"/>
    </w:pPr>
    <w:rPr>
      <w:rFonts w:ascii="Times New Roman" w:hAnsi="Times New Roman"/>
      <w:sz w:val="24"/>
      <w:szCs w:val="20"/>
    </w:rPr>
  </w:style>
  <w:style w:type="paragraph" w:customStyle="1" w:styleId="CharCharCharCharCharChar11">
    <w:name w:val="Char Char Char Char Char Char11"/>
    <w:basedOn w:val="a1"/>
    <w:next w:val="a1"/>
    <w:qFormat/>
    <w:pPr>
      <w:spacing w:line="336" w:lineRule="auto"/>
      <w:ind w:firstLineChars="200" w:firstLine="200"/>
    </w:pPr>
    <w:rPr>
      <w:rFonts w:ascii="宋体" w:eastAsia="汉鼎简书宋" w:hAnsi="宋体"/>
      <w:spacing w:val="4"/>
      <w:sz w:val="24"/>
      <w:szCs w:val="20"/>
    </w:rPr>
  </w:style>
  <w:style w:type="paragraph" w:customStyle="1" w:styleId="CharCharCharCharCharCharCharCharCharCharCharChar3">
    <w:name w:val="Char Char Char Char Char Char Char Char Char Char Char Char3"/>
    <w:basedOn w:val="a1"/>
    <w:qFormat/>
    <w:pPr>
      <w:spacing w:line="360" w:lineRule="auto"/>
      <w:ind w:firstLineChars="200" w:firstLine="420"/>
    </w:pPr>
    <w:rPr>
      <w:rFonts w:ascii="Times New Roman" w:hAnsi="Times New Roman"/>
      <w:sz w:val="24"/>
      <w:szCs w:val="20"/>
    </w:rPr>
  </w:style>
  <w:style w:type="paragraph" w:customStyle="1" w:styleId="CharCharCharCharCharCharCharCharCharCharCharCharCharCharCharCharChar1">
    <w:name w:val="Char Char Char Char Char Char Char Char Char Char Char Char Char Char Char Char Char1"/>
    <w:basedOn w:val="a1"/>
    <w:next w:val="a1"/>
    <w:qFormat/>
    <w:pPr>
      <w:spacing w:line="336" w:lineRule="auto"/>
      <w:ind w:firstLineChars="200" w:firstLine="200"/>
    </w:pPr>
    <w:rPr>
      <w:rFonts w:ascii="宋体" w:eastAsia="汉鼎简书宋" w:hAnsi="宋体"/>
      <w:spacing w:val="4"/>
      <w:sz w:val="24"/>
      <w:szCs w:val="20"/>
    </w:rPr>
  </w:style>
  <w:style w:type="paragraph" w:customStyle="1" w:styleId="CharCharCharCharCharCharCharChar11">
    <w:name w:val="Char Char Char Char Char Char Char Char11"/>
    <w:basedOn w:val="a1"/>
    <w:next w:val="a1"/>
    <w:qFormat/>
    <w:pPr>
      <w:spacing w:line="336" w:lineRule="auto"/>
      <w:ind w:firstLineChars="200" w:firstLine="200"/>
    </w:pPr>
    <w:rPr>
      <w:rFonts w:ascii="宋体" w:eastAsia="汉鼎简书宋" w:hAnsi="宋体"/>
      <w:spacing w:val="4"/>
      <w:sz w:val="24"/>
      <w:szCs w:val="20"/>
    </w:rPr>
  </w:style>
  <w:style w:type="paragraph" w:customStyle="1" w:styleId="CharCharCharCharCharCharCharChar2CharCharCharCharCharCharChar1">
    <w:name w:val="Char Char Char Char Char Char Char Char2 Char Char Char Char Char Char Char1"/>
    <w:basedOn w:val="a1"/>
    <w:next w:val="a1"/>
    <w:qFormat/>
    <w:pPr>
      <w:spacing w:line="336" w:lineRule="auto"/>
      <w:ind w:firstLineChars="200" w:firstLine="200"/>
    </w:pPr>
    <w:rPr>
      <w:rFonts w:ascii="宋体" w:eastAsia="汉鼎简书宋" w:hAnsi="宋体"/>
      <w:spacing w:val="4"/>
      <w:sz w:val="24"/>
      <w:szCs w:val="20"/>
    </w:rPr>
  </w:style>
  <w:style w:type="paragraph" w:customStyle="1" w:styleId="CharCharChar1CharCharChar1">
    <w:name w:val="Char Char Char1 Char Char Char1"/>
    <w:basedOn w:val="a1"/>
    <w:qFormat/>
    <w:pPr>
      <w:spacing w:line="360" w:lineRule="auto"/>
      <w:ind w:firstLineChars="200" w:firstLine="420"/>
    </w:pPr>
    <w:rPr>
      <w:rFonts w:ascii="Times New Roman" w:hAnsi="Times New Roman"/>
      <w:sz w:val="24"/>
      <w:szCs w:val="20"/>
    </w:rPr>
  </w:style>
  <w:style w:type="paragraph" w:customStyle="1" w:styleId="CharCharCharCharCharCharCharChar2CharCharCharCharCharCharCharCharCharCharCharCharCharCharChar1">
    <w:name w:val="Char Char Char Char Char Char Char Char2 Char Char Char Char Char Char Char Char Char Char Char Char Char Char Char1"/>
    <w:basedOn w:val="a1"/>
    <w:next w:val="a1"/>
    <w:qFormat/>
    <w:pPr>
      <w:spacing w:line="336" w:lineRule="auto"/>
      <w:ind w:firstLineChars="200" w:firstLine="200"/>
    </w:pPr>
    <w:rPr>
      <w:rFonts w:ascii="Times New Roman" w:hAnsi="Times New Roman"/>
      <w:spacing w:val="4"/>
      <w:sz w:val="24"/>
      <w:szCs w:val="20"/>
    </w:rPr>
  </w:style>
  <w:style w:type="paragraph" w:customStyle="1" w:styleId="CharCharCharCharCharCharCharCharChar2">
    <w:name w:val="Char Char Char Char Char Char Char Char Char2"/>
    <w:basedOn w:val="a1"/>
    <w:qFormat/>
    <w:pPr>
      <w:spacing w:line="360" w:lineRule="auto"/>
      <w:ind w:firstLineChars="200" w:firstLine="420"/>
    </w:pPr>
    <w:rPr>
      <w:rFonts w:ascii="Times New Roman" w:hAnsi="Times New Roman"/>
      <w:sz w:val="24"/>
      <w:szCs w:val="20"/>
    </w:rPr>
  </w:style>
  <w:style w:type="paragraph" w:customStyle="1" w:styleId="CharCharCharCharCharCharCharCharCharCharCharChar1CharCharCharCharCharCharCharCharChar1">
    <w:name w:val="Char Char Char Char Char Char Char Char Char Char Char Char1 Char Char Char Char Char Char Char Char Char1"/>
    <w:basedOn w:val="a1"/>
    <w:next w:val="a1"/>
    <w:qFormat/>
    <w:pPr>
      <w:spacing w:line="336" w:lineRule="auto"/>
      <w:ind w:firstLineChars="200" w:firstLine="200"/>
    </w:pPr>
    <w:rPr>
      <w:rFonts w:ascii="宋体" w:eastAsia="汉鼎简书宋" w:hAnsi="宋体" w:hint="eastAsia"/>
      <w:sz w:val="24"/>
      <w:szCs w:val="20"/>
    </w:rPr>
  </w:style>
  <w:style w:type="paragraph" w:customStyle="1" w:styleId="CharCharChar1CharCharCharCharCharCharCharCharChar1">
    <w:name w:val="Char Char Char1 Char Char Char Char Char Char Char Char Char1"/>
    <w:basedOn w:val="a1"/>
    <w:qFormat/>
    <w:pPr>
      <w:spacing w:line="360" w:lineRule="auto"/>
      <w:ind w:firstLineChars="200" w:firstLine="420"/>
    </w:pPr>
    <w:rPr>
      <w:rFonts w:ascii="Times New Roman" w:hAnsi="Times New Roman"/>
      <w:sz w:val="24"/>
      <w:szCs w:val="20"/>
    </w:rPr>
  </w:style>
  <w:style w:type="paragraph" w:customStyle="1" w:styleId="CharCharCharCharCharCharCharChar2CharCharCharCharCharCharCharCharChar1">
    <w:name w:val="Char Char Char Char Char Char Char Char2 Char Char Char Char Char Char Char Char Char1"/>
    <w:basedOn w:val="a1"/>
    <w:next w:val="a1"/>
    <w:qFormat/>
    <w:pPr>
      <w:spacing w:line="336" w:lineRule="auto"/>
      <w:ind w:firstLineChars="200" w:firstLine="200"/>
    </w:pPr>
    <w:rPr>
      <w:rFonts w:ascii="宋体" w:eastAsia="汉鼎简书宋" w:hAnsi="宋体"/>
      <w:spacing w:val="4"/>
      <w:sz w:val="24"/>
      <w:szCs w:val="20"/>
    </w:rPr>
  </w:style>
  <w:style w:type="paragraph" w:customStyle="1" w:styleId="CharCharCharCharCharCharCharChar2CharCharCharCharCharCharCharCharCharCharCharCharChar1">
    <w:name w:val="Char Char Char Char Char Char Char Char2 Char Char Char Char Char Char Char Char Char Char Char Char Char1"/>
    <w:basedOn w:val="a1"/>
    <w:next w:val="a1"/>
    <w:qFormat/>
    <w:pPr>
      <w:spacing w:line="336" w:lineRule="auto"/>
      <w:ind w:firstLineChars="200" w:firstLine="200"/>
    </w:pPr>
    <w:rPr>
      <w:rFonts w:ascii="宋体" w:eastAsia="汉鼎简书宋" w:hAnsi="宋体"/>
      <w:spacing w:val="4"/>
      <w:sz w:val="24"/>
      <w:szCs w:val="20"/>
    </w:rPr>
  </w:style>
  <w:style w:type="paragraph" w:customStyle="1" w:styleId="CharCharCharCharCharCharCharCharCharCharCharCharCharChar1">
    <w:name w:val="Char Char Char Char Char Char Char Char Char Char Char Char Char Char1"/>
    <w:basedOn w:val="a1"/>
    <w:next w:val="a1"/>
    <w:qFormat/>
    <w:pPr>
      <w:spacing w:line="336" w:lineRule="auto"/>
      <w:ind w:firstLineChars="200" w:firstLine="200"/>
    </w:pPr>
    <w:rPr>
      <w:rFonts w:ascii="宋体" w:eastAsia="汉鼎简书宋" w:hAnsi="宋体"/>
      <w:spacing w:val="4"/>
      <w:sz w:val="24"/>
      <w:szCs w:val="20"/>
    </w:rPr>
  </w:style>
  <w:style w:type="paragraph" w:customStyle="1" w:styleId="CharCharCharCharCharCharCharCharCharCharCharChar1CharCharCharCharCharCharCharCharCharCharCharChar11">
    <w:name w:val="Char Char Char Char Char Char Char Char Char Char Char Char1 Char Char Char Char Char Char Char Char Char Char Char Char11"/>
    <w:basedOn w:val="a1"/>
    <w:next w:val="a1"/>
    <w:qFormat/>
    <w:pPr>
      <w:spacing w:line="336" w:lineRule="auto"/>
      <w:ind w:firstLineChars="200" w:firstLine="200"/>
    </w:pPr>
    <w:rPr>
      <w:rFonts w:ascii="宋体" w:eastAsia="汉鼎简书宋" w:hAnsi="宋体"/>
      <w:spacing w:val="4"/>
      <w:sz w:val="24"/>
      <w:szCs w:val="20"/>
    </w:rPr>
  </w:style>
  <w:style w:type="paragraph" w:customStyle="1" w:styleId="CharCharCharCharCharCharCharChar21">
    <w:name w:val="Char Char Char Char Char Char Char Char21"/>
    <w:basedOn w:val="a1"/>
    <w:next w:val="a1"/>
    <w:qFormat/>
    <w:pPr>
      <w:spacing w:line="336" w:lineRule="auto"/>
      <w:ind w:firstLineChars="200" w:firstLine="200"/>
    </w:pPr>
    <w:rPr>
      <w:rFonts w:ascii="宋体" w:eastAsia="汉鼎简书宋" w:hAnsi="宋体"/>
      <w:spacing w:val="4"/>
      <w:sz w:val="24"/>
      <w:szCs w:val="20"/>
    </w:rPr>
  </w:style>
  <w:style w:type="paragraph" w:customStyle="1" w:styleId="CharCharCharChar1CharCharCharCharCharChar1">
    <w:name w:val="Char Char Char Char1 Char Char Char Char Char Char1"/>
    <w:basedOn w:val="a1"/>
    <w:next w:val="a1"/>
    <w:semiHidden/>
    <w:qFormat/>
    <w:pPr>
      <w:spacing w:line="336" w:lineRule="auto"/>
      <w:ind w:firstLineChars="200" w:firstLine="200"/>
    </w:pPr>
    <w:rPr>
      <w:rFonts w:ascii="宋体" w:eastAsia="汉鼎简书宋" w:hAnsi="宋体" w:cs="宋体"/>
      <w:spacing w:val="4"/>
      <w:sz w:val="24"/>
      <w:szCs w:val="24"/>
    </w:rPr>
  </w:style>
  <w:style w:type="paragraph" w:customStyle="1" w:styleId="CharCharCharCharCharCharCharChar2CharCharCharCharCharCharCharCharCharCharCharCharCharCharCharCharCharCharChar11">
    <w:name w:val="Char Char Char Char Char Char Char Char2 Char Char Char Char Char Char Char Char Char Char Char Char Char Char Char Char Char Char Char11"/>
    <w:basedOn w:val="a1"/>
    <w:next w:val="a1"/>
    <w:semiHidden/>
    <w:qFormat/>
    <w:pPr>
      <w:snapToGrid w:val="0"/>
      <w:spacing w:line="336" w:lineRule="auto"/>
      <w:ind w:firstLineChars="200" w:firstLine="200"/>
    </w:pPr>
    <w:rPr>
      <w:rFonts w:ascii="Times New Roman" w:hAnsi="Times New Roman"/>
      <w:color w:val="000000"/>
      <w:sz w:val="24"/>
      <w:szCs w:val="24"/>
    </w:rPr>
  </w:style>
  <w:style w:type="paragraph" w:customStyle="1" w:styleId="CharCharCharChar1CharCharCharCharChar1">
    <w:name w:val="Char Char Char Char1 Char Char Char Char Char1"/>
    <w:basedOn w:val="a1"/>
    <w:next w:val="a1"/>
    <w:semiHidden/>
    <w:qFormat/>
    <w:pPr>
      <w:spacing w:line="336" w:lineRule="auto"/>
      <w:ind w:firstLineChars="200" w:firstLine="200"/>
    </w:pPr>
    <w:rPr>
      <w:rFonts w:ascii="宋体" w:eastAsia="汉鼎简书宋" w:hAnsi="宋体" w:cs="宋体"/>
      <w:spacing w:val="4"/>
      <w:sz w:val="24"/>
      <w:szCs w:val="24"/>
    </w:rPr>
  </w:style>
  <w:style w:type="paragraph" w:customStyle="1" w:styleId="CharCharCharCharCharCharCharChar2CharCharCharCharCharCharCharCharCharCharCharCharCharCharCharCharCharCharCharCharChar1">
    <w:name w:val="Char Char Char Char Char Char Char Char2 Char Char Char Char Char Char Char Char Char Char Char Char Char Char Char Char Char Char Char Char Char1"/>
    <w:basedOn w:val="a1"/>
    <w:next w:val="a1"/>
    <w:semiHidden/>
    <w:qFormat/>
    <w:pPr>
      <w:snapToGrid w:val="0"/>
      <w:spacing w:line="336" w:lineRule="auto"/>
      <w:ind w:firstLineChars="200" w:firstLine="200"/>
    </w:pPr>
    <w:rPr>
      <w:rFonts w:ascii="Times New Roman" w:hAnsi="Times New Roman"/>
      <w:color w:val="000000"/>
      <w:sz w:val="24"/>
      <w:szCs w:val="24"/>
    </w:rPr>
  </w:style>
  <w:style w:type="paragraph" w:customStyle="1" w:styleId="CharCharCharCharCharCharCharCharCharCharCharCharCharCharCharChar2">
    <w:name w:val="Char Char Char Char Char Char Char Char Char Char Char Char Char Char Char Char2"/>
    <w:basedOn w:val="a1"/>
    <w:qFormat/>
    <w:pPr>
      <w:widowControl/>
      <w:spacing w:after="160" w:line="240" w:lineRule="exact"/>
      <w:jc w:val="left"/>
    </w:pPr>
    <w:rPr>
      <w:rFonts w:ascii="Arial" w:eastAsia="Times New Roman" w:hAnsi="Arial" w:cs="Verdana"/>
      <w:b/>
      <w:kern w:val="0"/>
      <w:sz w:val="24"/>
      <w:szCs w:val="20"/>
      <w:lang w:eastAsia="en-US"/>
    </w:rPr>
  </w:style>
  <w:style w:type="paragraph" w:customStyle="1" w:styleId="4ff7">
    <w:name w:val="表标题4"/>
    <w:basedOn w:val="a1"/>
    <w:semiHidden/>
    <w:qFormat/>
    <w:pPr>
      <w:keepNext/>
      <w:widowControl/>
      <w:autoSpaceDE w:val="0"/>
      <w:autoSpaceDN w:val="0"/>
      <w:adjustRightInd w:val="0"/>
      <w:spacing w:before="180" w:after="120" w:line="408" w:lineRule="atLeast"/>
      <w:jc w:val="center"/>
      <w:textAlignment w:val="baseline"/>
    </w:pPr>
    <w:rPr>
      <w:rFonts w:ascii="Times New Roman" w:hAnsi="Times New Roman"/>
      <w:b/>
      <w:spacing w:val="2"/>
      <w:kern w:val="0"/>
      <w:sz w:val="28"/>
      <w:szCs w:val="20"/>
    </w:rPr>
  </w:style>
  <w:style w:type="paragraph" w:customStyle="1" w:styleId="Char32">
    <w:name w:val="Char32"/>
    <w:basedOn w:val="a1"/>
    <w:semiHidden/>
    <w:qFormat/>
    <w:rPr>
      <w:rFonts w:ascii="Times New Roman" w:hAnsi="Times New Roman"/>
      <w:szCs w:val="24"/>
    </w:rPr>
  </w:style>
  <w:style w:type="paragraph" w:customStyle="1" w:styleId="CharCharCharCharCharCharCharCharCharCharCharCharCharCharCharCharCharCharChar2">
    <w:name w:val="Char Char Char Char Char Char Char Char Char Char Char Char Char Char Char Char Char Char Char2"/>
    <w:basedOn w:val="a1"/>
    <w:qFormat/>
    <w:pPr>
      <w:spacing w:line="360" w:lineRule="auto"/>
      <w:ind w:firstLineChars="200" w:firstLine="200"/>
    </w:pPr>
    <w:rPr>
      <w:rFonts w:ascii="宋体" w:hAnsi="宋体" w:cs="宋体"/>
      <w:sz w:val="24"/>
      <w:szCs w:val="24"/>
    </w:rPr>
  </w:style>
  <w:style w:type="paragraph" w:customStyle="1" w:styleId="Char1CharCharChar11">
    <w:name w:val="Char1 Char Char Char11"/>
    <w:basedOn w:val="a1"/>
    <w:qFormat/>
    <w:rPr>
      <w:rFonts w:ascii="Times New Roman" w:hAnsi="Times New Roman"/>
      <w:szCs w:val="24"/>
    </w:rPr>
  </w:style>
  <w:style w:type="paragraph" w:customStyle="1" w:styleId="TOC3">
    <w:name w:val="TOC 标题3"/>
    <w:basedOn w:val="1a"/>
    <w:next w:val="a1"/>
    <w:qFormat/>
    <w:pPr>
      <w:widowControl/>
      <w:tabs>
        <w:tab w:val="left" w:pos="2040"/>
      </w:tabs>
      <w:spacing w:before="480" w:after="0" w:line="276" w:lineRule="auto"/>
      <w:ind w:leftChars="800" w:left="2040" w:hangingChars="200" w:hanging="360"/>
      <w:jc w:val="left"/>
      <w:outlineLvl w:val="9"/>
    </w:pPr>
    <w:rPr>
      <w:rFonts w:ascii="Cambria" w:hAnsi="Cambria" w:cs="Cambria"/>
      <w:color w:val="365F91"/>
      <w:kern w:val="0"/>
      <w:sz w:val="28"/>
      <w:szCs w:val="28"/>
    </w:rPr>
  </w:style>
  <w:style w:type="paragraph" w:customStyle="1" w:styleId="3ffe">
    <w:name w:val="无间隔3"/>
    <w:qFormat/>
    <w:pPr>
      <w:widowControl w:val="0"/>
      <w:jc w:val="both"/>
    </w:pPr>
    <w:rPr>
      <w:rFonts w:ascii="Calibri" w:hAnsi="Calibri" w:cs="Calibri"/>
      <w:kern w:val="2"/>
      <w:sz w:val="21"/>
      <w:szCs w:val="21"/>
    </w:rPr>
  </w:style>
  <w:style w:type="paragraph" w:customStyle="1" w:styleId="156">
    <w:name w:val="样式 四号 行距: 1.5 倍行距"/>
    <w:basedOn w:val="a1"/>
    <w:qFormat/>
    <w:pPr>
      <w:spacing w:line="360" w:lineRule="auto"/>
    </w:pPr>
    <w:rPr>
      <w:rFonts w:ascii="Times New Roman" w:eastAsia="黑体" w:hAnsi="Times New Roman" w:cs="宋体"/>
      <w:sz w:val="28"/>
      <w:szCs w:val="20"/>
    </w:rPr>
  </w:style>
  <w:style w:type="paragraph" w:customStyle="1" w:styleId="CharCharCharCharCharCharCharCharCharCharCharChar1CharCharCharChar">
    <w:name w:val="Char Char Char Char Char Char Char Char Char Char Char Char1 Char Char Char Char"/>
    <w:basedOn w:val="a1"/>
    <w:next w:val="a1"/>
    <w:semiHidden/>
    <w:qFormat/>
    <w:pPr>
      <w:spacing w:line="336" w:lineRule="auto"/>
      <w:ind w:firstLineChars="200" w:firstLine="200"/>
    </w:pPr>
    <w:rPr>
      <w:rFonts w:ascii="宋体" w:eastAsia="汉鼎简书宋" w:hAnsi="宋体" w:cs="宋体"/>
      <w:sz w:val="24"/>
      <w:szCs w:val="24"/>
    </w:rPr>
  </w:style>
  <w:style w:type="paragraph" w:customStyle="1" w:styleId="cjk">
    <w:name w:val="cjk"/>
    <w:basedOn w:val="a1"/>
    <w:qFormat/>
    <w:pPr>
      <w:widowControl/>
      <w:spacing w:before="100" w:beforeAutospacing="1" w:after="100" w:afterAutospacing="1"/>
      <w:jc w:val="left"/>
    </w:pPr>
    <w:rPr>
      <w:rFonts w:ascii="宋体" w:hAnsi="宋体" w:cs="宋体"/>
      <w:kern w:val="0"/>
      <w:sz w:val="24"/>
      <w:szCs w:val="24"/>
    </w:rPr>
  </w:style>
  <w:style w:type="paragraph" w:customStyle="1" w:styleId="affffffffffffffffffff0">
    <w:name w:val="缩进"/>
    <w:basedOn w:val="a1"/>
    <w:link w:val="Char18"/>
    <w:qFormat/>
    <w:pPr>
      <w:spacing w:line="360" w:lineRule="auto"/>
      <w:ind w:firstLineChars="200" w:firstLine="200"/>
    </w:pPr>
    <w:rPr>
      <w:rFonts w:cs="黑体"/>
      <w:szCs w:val="24"/>
    </w:rPr>
  </w:style>
  <w:style w:type="paragraph" w:customStyle="1" w:styleId="affffffffffffffffffff1">
    <w:name w:val="表格小"/>
    <w:basedOn w:val="a1"/>
    <w:qFormat/>
    <w:pPr>
      <w:jc w:val="center"/>
    </w:pPr>
    <w:rPr>
      <w:rFonts w:ascii="Times New Roman" w:hAnsi="Times New Roman"/>
      <w:sz w:val="18"/>
      <w:szCs w:val="24"/>
    </w:rPr>
  </w:style>
  <w:style w:type="paragraph" w:customStyle="1" w:styleId="Normal1">
    <w:name w:val="Normal+1"/>
    <w:basedOn w:val="Default"/>
    <w:next w:val="Default"/>
    <w:qFormat/>
    <w:pPr>
      <w:spacing w:before="300"/>
    </w:pPr>
    <w:rPr>
      <w:color w:val="auto"/>
    </w:rPr>
  </w:style>
  <w:style w:type="paragraph" w:customStyle="1" w:styleId="myformatcontentChar">
    <w:name w:val="myformat_content Char"/>
    <w:basedOn w:val="a1"/>
    <w:qFormat/>
    <w:pPr>
      <w:spacing w:beforeLines="50" w:afterLines="50" w:line="360" w:lineRule="exact"/>
      <w:ind w:firstLineChars="200" w:firstLine="480"/>
    </w:pPr>
    <w:rPr>
      <w:rFonts w:ascii="Times New Roman" w:hAnsi="Times New Roman"/>
      <w:sz w:val="24"/>
      <w:szCs w:val="24"/>
    </w:rPr>
  </w:style>
  <w:style w:type="paragraph" w:customStyle="1" w:styleId="157">
    <w:name w:val="样式 行距: 1.5 倍行距"/>
    <w:basedOn w:val="a1"/>
    <w:qFormat/>
    <w:pPr>
      <w:tabs>
        <w:tab w:val="left" w:pos="630"/>
      </w:tabs>
      <w:spacing w:line="360" w:lineRule="auto"/>
    </w:pPr>
    <w:rPr>
      <w:rFonts w:ascii="宋体" w:hAnsi="宋体"/>
      <w:color w:val="000000"/>
      <w:sz w:val="24"/>
      <w:szCs w:val="20"/>
    </w:rPr>
  </w:style>
  <w:style w:type="paragraph" w:customStyle="1" w:styleId="213">
    <w:name w:val="样式 正文首行缩进 + 首行缩进:  2 字符1"/>
    <w:basedOn w:val="afffe"/>
    <w:qFormat/>
    <w:pPr>
      <w:spacing w:after="0" w:line="360" w:lineRule="auto"/>
      <w:ind w:firstLineChars="200" w:firstLine="480"/>
    </w:pPr>
    <w:rPr>
      <w:sz w:val="24"/>
    </w:rPr>
  </w:style>
  <w:style w:type="paragraph" w:customStyle="1" w:styleId="1ffffc">
    <w:name w:val="正文位子1"/>
    <w:basedOn w:val="afb"/>
    <w:qFormat/>
    <w:pPr>
      <w:wordWrap w:val="0"/>
      <w:topLinePunct/>
      <w:autoSpaceDN w:val="0"/>
      <w:spacing w:after="0"/>
      <w:jc w:val="center"/>
    </w:pPr>
    <w:rPr>
      <w:rFonts w:eastAsia="楷体_GB2312"/>
      <w:w w:val="90"/>
    </w:rPr>
  </w:style>
  <w:style w:type="paragraph" w:customStyle="1" w:styleId="zw0">
    <w:name w:val="zw"/>
    <w:basedOn w:val="a1"/>
    <w:qFormat/>
    <w:pPr>
      <w:widowControl/>
      <w:spacing w:before="30"/>
      <w:ind w:left="100" w:right="100"/>
    </w:pPr>
    <w:rPr>
      <w:rFonts w:ascii="方正书宋简体" w:eastAsia="方正书宋简体" w:hAnsi="宋体"/>
      <w:color w:val="000000"/>
      <w:kern w:val="0"/>
      <w:szCs w:val="21"/>
    </w:rPr>
  </w:style>
  <w:style w:type="paragraph" w:customStyle="1" w:styleId="affffffffffffffffffff2">
    <w:name w:val="项目"/>
    <w:basedOn w:val="a1"/>
    <w:qFormat/>
    <w:pPr>
      <w:tabs>
        <w:tab w:val="left" w:pos="360"/>
      </w:tabs>
      <w:adjustRightInd w:val="0"/>
      <w:spacing w:line="360" w:lineRule="atLeast"/>
      <w:ind w:left="360" w:hanging="360"/>
      <w:textAlignment w:val="baseline"/>
    </w:pPr>
    <w:rPr>
      <w:rFonts w:ascii="Times New Roman" w:hAnsi="Times New Roman"/>
      <w:sz w:val="24"/>
      <w:szCs w:val="24"/>
    </w:rPr>
  </w:style>
  <w:style w:type="paragraph" w:customStyle="1" w:styleId="3111BSH-3BT33h33rdlevelH3l3CT3Cha">
    <w:name w:val="样式 标题 3条标题1.1.1BSH-3BT33h33rd levelH3l3CT二级节名标题 3 Cha..."/>
    <w:basedOn w:val="3a"/>
    <w:qFormat/>
    <w:pPr>
      <w:spacing w:before="0" w:after="0" w:line="360" w:lineRule="auto"/>
    </w:pPr>
    <w:rPr>
      <w:rFonts w:ascii="Times New Roman" w:hAnsi="Times New Roman" w:cs="宋体"/>
      <w:kern w:val="2"/>
      <w:sz w:val="28"/>
      <w:szCs w:val="20"/>
    </w:rPr>
  </w:style>
  <w:style w:type="paragraph" w:customStyle="1" w:styleId="affffffffffffffffffff3">
    <w:name w:val="通州正文"/>
    <w:next w:val="a1"/>
    <w:qFormat/>
    <w:pPr>
      <w:spacing w:line="360" w:lineRule="auto"/>
      <w:ind w:firstLine="480"/>
    </w:pPr>
    <w:rPr>
      <w:rFonts w:ascii="宋体" w:hAnsi="宋体"/>
      <w:kern w:val="2"/>
      <w:sz w:val="24"/>
      <w:szCs w:val="24"/>
    </w:rPr>
  </w:style>
  <w:style w:type="paragraph" w:customStyle="1" w:styleId="affffffffffffffffffff4">
    <w:name w:val="正正文"/>
    <w:basedOn w:val="a1"/>
    <w:link w:val="Charff9"/>
    <w:qFormat/>
    <w:pPr>
      <w:spacing w:before="240" w:after="120" w:line="360" w:lineRule="auto"/>
      <w:ind w:firstLineChars="200" w:firstLine="480"/>
    </w:pPr>
    <w:rPr>
      <w:rFonts w:ascii="宋体" w:hAnsi="宋体"/>
      <w:snapToGrid w:val="0"/>
      <w:kern w:val="0"/>
      <w:sz w:val="24"/>
      <w:szCs w:val="24"/>
    </w:rPr>
  </w:style>
  <w:style w:type="paragraph" w:customStyle="1" w:styleId="S0">
    <w:name w:val="正文段落S"/>
    <w:basedOn w:val="a1"/>
    <w:qFormat/>
    <w:pPr>
      <w:spacing w:line="360" w:lineRule="auto"/>
      <w:ind w:firstLineChars="200" w:firstLine="420"/>
    </w:pPr>
    <w:rPr>
      <w:rFonts w:ascii="Times New Roman" w:eastAsia="仿宋_GB2312" w:hAnsi="Times New Roman"/>
      <w:snapToGrid w:val="0"/>
      <w:kern w:val="0"/>
      <w:sz w:val="24"/>
      <w:szCs w:val="20"/>
    </w:rPr>
  </w:style>
  <w:style w:type="paragraph" w:customStyle="1" w:styleId="fontviewtitle">
    <w:name w:val="font_viewtitle"/>
    <w:basedOn w:val="a1"/>
    <w:qFormat/>
    <w:pPr>
      <w:widowControl/>
      <w:spacing w:before="111" w:after="111"/>
      <w:jc w:val="left"/>
    </w:pPr>
    <w:rPr>
      <w:rFonts w:ascii="宋体" w:hAnsi="宋体" w:cs="宋体"/>
      <w:kern w:val="0"/>
      <w:sz w:val="24"/>
      <w:szCs w:val="24"/>
    </w:rPr>
  </w:style>
  <w:style w:type="paragraph" w:customStyle="1" w:styleId="0CharChar">
    <w:name w:val="样式 居中 首行缩进:  0 字符 Char Char"/>
    <w:basedOn w:val="a1"/>
    <w:next w:val="a1"/>
    <w:link w:val="0CharCharChar"/>
    <w:qFormat/>
    <w:pPr>
      <w:tabs>
        <w:tab w:val="left" w:pos="9128"/>
      </w:tabs>
      <w:snapToGrid w:val="0"/>
      <w:jc w:val="center"/>
    </w:pPr>
    <w:rPr>
      <w:rFonts w:ascii="宋体" w:hAnsi="宋体"/>
      <w:color w:val="000000"/>
      <w:kern w:val="0"/>
      <w:sz w:val="18"/>
      <w:szCs w:val="18"/>
    </w:rPr>
  </w:style>
  <w:style w:type="paragraph" w:customStyle="1" w:styleId="07">
    <w:name w:val="样式 居中 首行缩进:  0 字符"/>
    <w:basedOn w:val="a1"/>
    <w:next w:val="a1"/>
    <w:link w:val="0Char1"/>
    <w:qFormat/>
    <w:pPr>
      <w:tabs>
        <w:tab w:val="left" w:pos="9128"/>
      </w:tabs>
      <w:spacing w:line="500" w:lineRule="exact"/>
      <w:jc w:val="center"/>
    </w:pPr>
    <w:rPr>
      <w:rFonts w:ascii="Times New Roman" w:eastAsia="仿宋_GB2312" w:hAnsi="Times New Roman"/>
      <w:kern w:val="0"/>
      <w:sz w:val="20"/>
      <w:szCs w:val="20"/>
    </w:rPr>
  </w:style>
  <w:style w:type="paragraph" w:customStyle="1" w:styleId="affffffffffffffffffff5">
    <w:name w:val="设计文本"/>
    <w:basedOn w:val="a1"/>
    <w:qFormat/>
    <w:pPr>
      <w:jc w:val="center"/>
    </w:pPr>
    <w:rPr>
      <w:rFonts w:ascii="Times New Roman" w:hAnsi="Times New Roman"/>
      <w:sz w:val="24"/>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1"/>
    <w:qFormat/>
    <w:rPr>
      <w:rFonts w:ascii="Times New Roman" w:hAnsi="Times New Roman"/>
      <w:szCs w:val="24"/>
    </w:rPr>
  </w:style>
  <w:style w:type="paragraph" w:customStyle="1" w:styleId="2105">
    <w:name w:val="样式 标题 2 + 段前: 1 行 段后: 0.5 行"/>
    <w:basedOn w:val="2a"/>
    <w:qFormat/>
    <w:pPr>
      <w:spacing w:line="500" w:lineRule="exact"/>
      <w:jc w:val="both"/>
    </w:pPr>
    <w:rPr>
      <w:rFonts w:cs="宋体"/>
      <w:b w:val="0"/>
      <w:bCs w:val="0"/>
      <w:sz w:val="28"/>
      <w:szCs w:val="20"/>
    </w:rPr>
  </w:style>
  <w:style w:type="paragraph" w:customStyle="1" w:styleId="m">
    <w:name w:val="正文（首行缩进两字）m"/>
    <w:basedOn w:val="a2"/>
    <w:qFormat/>
    <w:pPr>
      <w:tabs>
        <w:tab w:val="left" w:pos="1848"/>
        <w:tab w:val="left" w:pos="6061"/>
        <w:tab w:val="left" w:pos="8665"/>
      </w:tabs>
      <w:adjustRightInd/>
      <w:spacing w:beforeLines="50" w:line="460" w:lineRule="exact"/>
      <w:ind w:firstLine="480"/>
      <w:jc w:val="both"/>
    </w:pPr>
    <w:rPr>
      <w:rFonts w:ascii="宋体" w:eastAsia="宋体" w:hAnsi="宋体"/>
      <w:kern w:val="2"/>
      <w:sz w:val="24"/>
    </w:rPr>
  </w:style>
  <w:style w:type="paragraph" w:customStyle="1" w:styleId="-Char">
    <w:name w:val="乐山-正文 Char"/>
    <w:basedOn w:val="a1"/>
    <w:next w:val="a1"/>
    <w:qFormat/>
    <w:pPr>
      <w:spacing w:line="440" w:lineRule="exact"/>
      <w:ind w:firstLineChars="200" w:firstLine="200"/>
    </w:pPr>
    <w:rPr>
      <w:rFonts w:ascii="Arial" w:eastAsia="华文细黑" w:hAnsi="Arial" w:cs="宋体"/>
      <w:szCs w:val="20"/>
    </w:rPr>
  </w:style>
  <w:style w:type="paragraph" w:customStyle="1" w:styleId="-5">
    <w:name w:val="乐山-正文"/>
    <w:basedOn w:val="a1"/>
    <w:next w:val="a1"/>
    <w:qFormat/>
    <w:pPr>
      <w:spacing w:line="440" w:lineRule="exact"/>
      <w:ind w:firstLineChars="200" w:firstLine="200"/>
    </w:pPr>
    <w:rPr>
      <w:rFonts w:ascii="Arial" w:eastAsia="华文细黑" w:hAnsi="Arial" w:cs="宋体"/>
      <w:szCs w:val="20"/>
    </w:rPr>
  </w:style>
  <w:style w:type="paragraph" w:customStyle="1" w:styleId="affffffffffffffffffff6">
    <w:name w:val="正文仿宋"/>
    <w:basedOn w:val="a1"/>
    <w:semiHidden/>
    <w:qFormat/>
    <w:pPr>
      <w:adjustRightInd w:val="0"/>
      <w:snapToGrid w:val="0"/>
      <w:spacing w:line="360" w:lineRule="auto"/>
      <w:ind w:firstLine="567"/>
    </w:pPr>
    <w:rPr>
      <w:rFonts w:ascii="Times New Roman" w:eastAsia="仿宋_GB2312" w:hAnsi="Times New Roman"/>
      <w:snapToGrid w:val="0"/>
      <w:kern w:val="0"/>
      <w:sz w:val="24"/>
      <w:szCs w:val="20"/>
    </w:rPr>
  </w:style>
  <w:style w:type="paragraph" w:customStyle="1" w:styleId="-50">
    <w:name w:val="文-5"/>
    <w:basedOn w:val="a1"/>
    <w:qFormat/>
    <w:pPr>
      <w:adjustRightInd w:val="0"/>
      <w:snapToGrid w:val="0"/>
      <w:spacing w:line="360" w:lineRule="exact"/>
      <w:jc w:val="center"/>
    </w:pPr>
    <w:rPr>
      <w:rFonts w:ascii="黑体" w:eastAsia="黑体" w:hAnsi="宋体"/>
      <w:snapToGrid w:val="0"/>
      <w:kern w:val="0"/>
      <w:szCs w:val="21"/>
    </w:rPr>
  </w:style>
  <w:style w:type="paragraph" w:customStyle="1" w:styleId="content">
    <w:name w:val="content"/>
    <w:basedOn w:val="a1"/>
    <w:qFormat/>
    <w:pPr>
      <w:widowControl/>
      <w:spacing w:before="100" w:beforeAutospacing="1" w:after="100" w:afterAutospacing="1"/>
      <w:jc w:val="left"/>
    </w:pPr>
    <w:rPr>
      <w:rFonts w:ascii="宋体" w:hAnsi="宋体" w:cs="宋体"/>
      <w:kern w:val="0"/>
      <w:sz w:val="22"/>
    </w:rPr>
  </w:style>
  <w:style w:type="paragraph" w:customStyle="1" w:styleId="affffffffffffffffffff7">
    <w:name w:val="依据文字"/>
    <w:basedOn w:val="2f5"/>
    <w:semiHidden/>
    <w:qFormat/>
    <w:pPr>
      <w:tabs>
        <w:tab w:val="left" w:pos="420"/>
        <w:tab w:val="left" w:pos="870"/>
        <w:tab w:val="left" w:pos="3150"/>
      </w:tabs>
      <w:autoSpaceDE w:val="0"/>
      <w:autoSpaceDN w:val="0"/>
      <w:adjustRightInd w:val="0"/>
      <w:spacing w:before="60" w:after="0" w:line="336" w:lineRule="auto"/>
      <w:ind w:leftChars="0" w:left="0" w:firstLineChars="0" w:firstLine="527"/>
      <w:textAlignment w:val="baseline"/>
    </w:pPr>
    <w:rPr>
      <w:rFonts w:ascii="宋体"/>
      <w:sz w:val="24"/>
      <w:szCs w:val="20"/>
    </w:rPr>
  </w:style>
  <w:style w:type="paragraph" w:customStyle="1" w:styleId="affffffffffffffffffff8">
    <w:name w:val="右侧"/>
    <w:semiHidden/>
    <w:qFormat/>
    <w:pPr>
      <w:spacing w:line="280" w:lineRule="exact"/>
      <w:jc w:val="right"/>
    </w:pPr>
    <w:rPr>
      <w:rFonts w:ascii="Batang" w:hAnsi="Batang"/>
      <w:color w:val="000000"/>
      <w:sz w:val="18"/>
    </w:rPr>
  </w:style>
  <w:style w:type="paragraph" w:customStyle="1" w:styleId="1ffffd">
    <w:name w:val="目录1"/>
    <w:basedOn w:val="1c"/>
    <w:next w:val="1c"/>
    <w:qFormat/>
    <w:pPr>
      <w:widowControl/>
      <w:tabs>
        <w:tab w:val="left" w:leader="dot" w:pos="8492"/>
        <w:tab w:val="right" w:leader="dot" w:pos="8525"/>
      </w:tabs>
      <w:adjustRightInd w:val="0"/>
      <w:spacing w:before="120" w:afterLines="50" w:line="360" w:lineRule="auto"/>
      <w:jc w:val="left"/>
      <w:textAlignment w:val="baseline"/>
    </w:pPr>
    <w:rPr>
      <w:rFonts w:ascii="宋体" w:hAnsi="Times New Roman"/>
      <w:bCs/>
      <w:color w:val="000000"/>
      <w:kern w:val="0"/>
      <w:sz w:val="24"/>
      <w:szCs w:val="24"/>
      <w:u w:color="000000"/>
      <w:lang w:val="zh-CN"/>
    </w:rPr>
  </w:style>
  <w:style w:type="paragraph" w:customStyle="1" w:styleId="3fff">
    <w:name w:val="目录3"/>
    <w:basedOn w:val="a1"/>
    <w:next w:val="a1"/>
    <w:qFormat/>
    <w:pPr>
      <w:widowControl/>
      <w:tabs>
        <w:tab w:val="left" w:leader="dot" w:pos="8492"/>
      </w:tabs>
      <w:spacing w:line="748" w:lineRule="atLeast"/>
      <w:ind w:left="419" w:firstLine="419"/>
    </w:pPr>
    <w:rPr>
      <w:rFonts w:ascii="宋体" w:hAnsi="Times New Roman"/>
      <w:color w:val="000000"/>
      <w:kern w:val="0"/>
      <w:szCs w:val="20"/>
      <w:u w:color="000000"/>
    </w:rPr>
  </w:style>
  <w:style w:type="paragraph" w:customStyle="1" w:styleId="affffffffffffffffffff9">
    <w:name w:val="右五"/>
    <w:basedOn w:val="afffffffffffffffff"/>
    <w:next w:val="a1"/>
    <w:semiHidden/>
    <w:qFormat/>
    <w:pPr>
      <w:jc w:val="right"/>
    </w:pPr>
  </w:style>
  <w:style w:type="paragraph" w:customStyle="1" w:styleId="1ffffe">
    <w:name w:val="样式 标题 1 + 加粗"/>
    <w:basedOn w:val="1a"/>
    <w:qFormat/>
    <w:pPr>
      <w:spacing w:before="100" w:beforeAutospacing="1" w:after="100" w:afterAutospacing="1" w:line="360" w:lineRule="auto"/>
    </w:pPr>
    <w:rPr>
      <w:rFonts w:ascii="Times New Roman" w:eastAsia="黑体" w:hAnsi="Arial" w:cs="Arial"/>
      <w:sz w:val="32"/>
      <w:vertAlign w:val="superscript"/>
    </w:rPr>
  </w:style>
  <w:style w:type="paragraph" w:customStyle="1" w:styleId="214">
    <w:name w:val="样式 图表 + 首行缩进:  2 字符1"/>
    <w:basedOn w:val="a1"/>
    <w:semiHidden/>
    <w:qFormat/>
    <w:pPr>
      <w:adjustRightInd w:val="0"/>
      <w:snapToGrid w:val="0"/>
      <w:spacing w:beforeLines="20" w:afterLines="20"/>
      <w:ind w:leftChars="-50" w:left="-102" w:rightChars="-50" w:right="-105" w:hanging="3"/>
      <w:jc w:val="center"/>
    </w:pPr>
    <w:rPr>
      <w:rFonts w:ascii="Times New Roman" w:eastAsia="仿宋_GB2312" w:hAnsi="Times New Roman"/>
      <w:color w:val="000000"/>
      <w:szCs w:val="24"/>
    </w:rPr>
  </w:style>
  <w:style w:type="paragraph" w:customStyle="1" w:styleId="affffffffffffffffffffa">
    <w:name w:val="正文仿宋小四"/>
    <w:basedOn w:val="a1"/>
    <w:semiHidden/>
    <w:qFormat/>
    <w:pPr>
      <w:adjustRightInd w:val="0"/>
      <w:snapToGrid w:val="0"/>
      <w:spacing w:line="360" w:lineRule="auto"/>
      <w:ind w:firstLineChars="200" w:firstLine="480"/>
    </w:pPr>
    <w:rPr>
      <w:rFonts w:ascii="Times New Roman" w:eastAsia="仿宋_GB2312" w:hAnsi="Times New Roman"/>
      <w:sz w:val="24"/>
      <w:szCs w:val="24"/>
    </w:rPr>
  </w:style>
  <w:style w:type="paragraph" w:customStyle="1" w:styleId="affffffffffffffffffffb">
    <w:name w:val="正文单倍行距"/>
    <w:basedOn w:val="a1"/>
    <w:semiHidden/>
    <w:qFormat/>
    <w:pPr>
      <w:tabs>
        <w:tab w:val="left" w:pos="8640"/>
      </w:tabs>
      <w:snapToGrid w:val="0"/>
      <w:ind w:firstLineChars="200" w:firstLine="200"/>
    </w:pPr>
    <w:rPr>
      <w:rFonts w:ascii="Times New Roman" w:eastAsia="仿宋_GB2312" w:hAnsi="Times New Roman"/>
      <w:sz w:val="24"/>
      <w:szCs w:val="24"/>
    </w:rPr>
  </w:style>
  <w:style w:type="paragraph" w:customStyle="1" w:styleId="GB23121">
    <w:name w:val="样式 仿宋_GB2312 小四1"/>
    <w:basedOn w:val="a1"/>
    <w:semiHidden/>
    <w:qFormat/>
    <w:pPr>
      <w:adjustRightInd w:val="0"/>
      <w:spacing w:line="360" w:lineRule="auto"/>
      <w:ind w:firstLineChars="200" w:firstLine="480"/>
      <w:textAlignment w:val="baseline"/>
    </w:pPr>
    <w:rPr>
      <w:rFonts w:ascii="Times New Roman" w:eastAsia="仿宋_GB2312" w:hAnsi="Times New Roman"/>
      <w:kern w:val="0"/>
      <w:sz w:val="24"/>
      <w:szCs w:val="24"/>
    </w:rPr>
  </w:style>
  <w:style w:type="paragraph" w:customStyle="1" w:styleId="affffffffffffffffffffc">
    <w:name w:val="湛江码头表"/>
    <w:basedOn w:val="a1"/>
    <w:semiHidden/>
    <w:qFormat/>
    <w:pPr>
      <w:jc w:val="center"/>
    </w:pPr>
    <w:rPr>
      <w:rFonts w:ascii="Times New Roman" w:eastAsia="仿宋_GB2312" w:hAnsi="Times New Roman"/>
      <w:kern w:val="0"/>
      <w:szCs w:val="24"/>
      <w:lang w:eastAsia="zh-TW"/>
    </w:rPr>
  </w:style>
  <w:style w:type="paragraph" w:customStyle="1" w:styleId="affffffffffffffffffffd">
    <w:name w:val="注："/>
    <w:next w:val="a1"/>
    <w:semiHidden/>
    <w:qFormat/>
    <w:pPr>
      <w:widowControl w:val="0"/>
      <w:tabs>
        <w:tab w:val="left" w:pos="895"/>
      </w:tabs>
      <w:autoSpaceDE w:val="0"/>
      <w:autoSpaceDN w:val="0"/>
      <w:ind w:left="895" w:hanging="420"/>
      <w:jc w:val="both"/>
    </w:pPr>
    <w:rPr>
      <w:rFonts w:ascii="宋体"/>
      <w:sz w:val="18"/>
    </w:rPr>
  </w:style>
  <w:style w:type="paragraph" w:customStyle="1" w:styleId="CharCharCharCharCharCharChar0">
    <w:name w:val="样式 正文缩进正文（首行缩进两字）正文（首行缩进两字） Char Char Char Char Char Char Char..."/>
    <w:basedOn w:val="a2"/>
    <w:semiHidden/>
    <w:qFormat/>
    <w:pPr>
      <w:tabs>
        <w:tab w:val="left" w:pos="3360"/>
      </w:tabs>
      <w:spacing w:line="360" w:lineRule="auto"/>
      <w:ind w:firstLine="480"/>
      <w:jc w:val="both"/>
      <w:textAlignment w:val="baseline"/>
    </w:pPr>
    <w:rPr>
      <w:rFonts w:ascii="楷体_GB2312" w:eastAsia="楷体_GB2312"/>
      <w:snapToGrid w:val="0"/>
      <w:sz w:val="24"/>
      <w:szCs w:val="24"/>
    </w:rPr>
  </w:style>
  <w:style w:type="paragraph" w:customStyle="1" w:styleId="affffffffffffffffffffe">
    <w:name w:val="正文居中"/>
    <w:basedOn w:val="afffe"/>
    <w:semiHidden/>
    <w:qFormat/>
    <w:pPr>
      <w:tabs>
        <w:tab w:val="left" w:pos="1960"/>
        <w:tab w:val="left" w:pos="2380"/>
        <w:tab w:val="left" w:pos="3080"/>
      </w:tabs>
      <w:adjustRightInd w:val="0"/>
      <w:spacing w:before="48" w:after="0" w:line="360" w:lineRule="auto"/>
      <w:ind w:firstLineChars="200" w:firstLine="480"/>
      <w:textAlignment w:val="baseline"/>
    </w:pPr>
    <w:rPr>
      <w:rFonts w:ascii="宋体" w:hAnsi="宋体" w:cs="Courier New"/>
      <w:sz w:val="24"/>
      <w:lang w:val="zh-CN"/>
    </w:rPr>
  </w:style>
  <w:style w:type="paragraph" w:customStyle="1" w:styleId="afffffffffffffffffffff">
    <w:name w:val="正文图小四"/>
    <w:basedOn w:val="a1"/>
    <w:semiHidden/>
    <w:qFormat/>
    <w:pPr>
      <w:adjustRightInd w:val="0"/>
      <w:snapToGrid w:val="0"/>
      <w:jc w:val="center"/>
      <w:textAlignment w:val="baseline"/>
    </w:pPr>
    <w:rPr>
      <w:rFonts w:ascii="宋体" w:hAnsi="Times New Roman"/>
      <w:kern w:val="0"/>
      <w:sz w:val="24"/>
      <w:szCs w:val="24"/>
    </w:rPr>
  </w:style>
  <w:style w:type="paragraph" w:customStyle="1" w:styleId="205">
    <w:name w:val="样式 标题 2 + 段后: 0.5 行"/>
    <w:basedOn w:val="2a"/>
    <w:semiHidden/>
    <w:qFormat/>
    <w:pPr>
      <w:tabs>
        <w:tab w:val="left" w:pos="630"/>
        <w:tab w:val="left" w:pos="840"/>
        <w:tab w:val="left" w:pos="1287"/>
        <w:tab w:val="left" w:pos="3920"/>
        <w:tab w:val="left" w:pos="5670"/>
      </w:tabs>
      <w:adjustRightInd w:val="0"/>
      <w:spacing w:beforeLines="10" w:line="240" w:lineRule="auto"/>
      <w:ind w:firstLine="567"/>
      <w:contextualSpacing/>
      <w:jc w:val="both"/>
    </w:pPr>
    <w:rPr>
      <w:rFonts w:ascii="黑体" w:eastAsia="仿宋_GB2312" w:hAnsi="Batang"/>
      <w:b w:val="0"/>
      <w:bCs w:val="0"/>
      <w:color w:val="000000"/>
      <w:sz w:val="30"/>
    </w:rPr>
  </w:style>
  <w:style w:type="paragraph" w:customStyle="1" w:styleId="4ff8">
    <w:name w:val="标题4 样式"/>
    <w:basedOn w:val="a1"/>
    <w:qFormat/>
    <w:pPr>
      <w:spacing w:before="120" w:line="360" w:lineRule="auto"/>
    </w:pPr>
    <w:rPr>
      <w:rFonts w:ascii="Times New Roman" w:eastAsia="黑体" w:hAnsi="Times New Roman" w:cs="宋体"/>
      <w:b/>
      <w:bCs/>
      <w:sz w:val="24"/>
      <w:szCs w:val="20"/>
    </w:rPr>
  </w:style>
  <w:style w:type="paragraph" w:customStyle="1" w:styleId="afffffffffffffffffffff0">
    <w:name w:val="讲稿"/>
    <w:basedOn w:val="a1"/>
    <w:qFormat/>
    <w:pPr>
      <w:ind w:firstLine="431"/>
    </w:pPr>
    <w:rPr>
      <w:rFonts w:ascii="Arial" w:hAnsi="Arial"/>
      <w:kern w:val="0"/>
      <w:szCs w:val="20"/>
    </w:rPr>
  </w:style>
  <w:style w:type="paragraph" w:customStyle="1" w:styleId="afffffffffffffffffffff1">
    <w:name w:val="项目编号"/>
    <w:basedOn w:val="a1"/>
    <w:next w:val="a1"/>
    <w:qFormat/>
    <w:pPr>
      <w:spacing w:before="120" w:after="120" w:line="360" w:lineRule="auto"/>
    </w:pPr>
    <w:rPr>
      <w:rFonts w:ascii="Times New Roman" w:hAnsi="Times New Roman"/>
      <w:sz w:val="24"/>
      <w:szCs w:val="20"/>
    </w:rPr>
  </w:style>
  <w:style w:type="paragraph" w:customStyle="1" w:styleId="228">
    <w:name w:val="样式 正文 首行缩进:  2 字符 + 首行缩进:  2 字符"/>
    <w:basedOn w:val="a1"/>
    <w:qFormat/>
    <w:pPr>
      <w:spacing w:line="480" w:lineRule="exact"/>
      <w:ind w:firstLineChars="200" w:firstLine="560"/>
    </w:pPr>
    <w:rPr>
      <w:rFonts w:ascii="Times New Roman" w:hAnsi="Times New Roman"/>
      <w:sz w:val="28"/>
      <w:szCs w:val="20"/>
    </w:rPr>
  </w:style>
  <w:style w:type="paragraph" w:customStyle="1" w:styleId="3fff0">
    <w:name w:val="封面3"/>
    <w:basedOn w:val="2ffff6"/>
    <w:qFormat/>
    <w:rPr>
      <w:rFonts w:ascii="宋体" w:hAnsi="宋体"/>
      <w:sz w:val="96"/>
      <w:szCs w:val="96"/>
    </w:rPr>
  </w:style>
  <w:style w:type="paragraph" w:customStyle="1" w:styleId="2ffff6">
    <w:name w:val="封面2"/>
    <w:basedOn w:val="a1"/>
    <w:qFormat/>
    <w:pPr>
      <w:jc w:val="center"/>
    </w:pPr>
    <w:rPr>
      <w:rFonts w:ascii="Times New Roman" w:hAnsi="Times New Roman"/>
      <w:b/>
      <w:sz w:val="44"/>
      <w:szCs w:val="24"/>
    </w:rPr>
  </w:style>
  <w:style w:type="paragraph" w:customStyle="1" w:styleId="4ff9">
    <w:name w:val="封面4"/>
    <w:basedOn w:val="1fffff"/>
    <w:qFormat/>
    <w:pPr>
      <w:snapToGrid w:val="0"/>
      <w:spacing w:line="240" w:lineRule="auto"/>
      <w:jc w:val="center"/>
    </w:pPr>
    <w:rPr>
      <w:sz w:val="36"/>
    </w:rPr>
  </w:style>
  <w:style w:type="paragraph" w:customStyle="1" w:styleId="1fffff">
    <w:name w:val="封面1"/>
    <w:basedOn w:val="a1"/>
    <w:qFormat/>
    <w:pPr>
      <w:spacing w:line="300" w:lineRule="auto"/>
      <w:jc w:val="left"/>
    </w:pPr>
    <w:rPr>
      <w:rFonts w:ascii="Times New Roman" w:hAnsi="Times New Roman"/>
      <w:b/>
      <w:bCs/>
      <w:color w:val="000000"/>
      <w:sz w:val="32"/>
      <w:szCs w:val="24"/>
      <w:bdr w:val="single" w:sz="4" w:space="0" w:color="auto"/>
    </w:rPr>
  </w:style>
  <w:style w:type="paragraph" w:customStyle="1" w:styleId="afffffffffffffffffffff2">
    <w:name w:val="表底说明"/>
    <w:basedOn w:val="a1"/>
    <w:link w:val="Charffa"/>
    <w:qFormat/>
    <w:rPr>
      <w:rFonts w:ascii="Times New Roman" w:hAnsi="Times New Roman"/>
      <w:kern w:val="0"/>
      <w:sz w:val="18"/>
      <w:szCs w:val="24"/>
    </w:rPr>
  </w:style>
  <w:style w:type="paragraph" w:customStyle="1" w:styleId="afffffffffffffffffffff3">
    <w:name w:val="责任页"/>
    <w:basedOn w:val="a1"/>
    <w:qFormat/>
    <w:pPr>
      <w:spacing w:line="300" w:lineRule="auto"/>
    </w:pPr>
    <w:rPr>
      <w:rFonts w:ascii="Times New Roman" w:hAnsi="Times New Roman"/>
      <w:sz w:val="28"/>
      <w:szCs w:val="24"/>
    </w:rPr>
  </w:style>
  <w:style w:type="paragraph" w:customStyle="1" w:styleId="5ff">
    <w:name w:val="封面5"/>
    <w:basedOn w:val="a1"/>
    <w:qFormat/>
    <w:pPr>
      <w:snapToGrid w:val="0"/>
    </w:pPr>
    <w:rPr>
      <w:rFonts w:ascii="Times New Roman" w:hAnsi="Times New Roman"/>
      <w:szCs w:val="24"/>
    </w:rPr>
  </w:style>
  <w:style w:type="paragraph" w:customStyle="1" w:styleId="afffffffffffffffffffff4">
    <w:name w:val="自制表格"/>
    <w:basedOn w:val="a1"/>
    <w:next w:val="a1"/>
    <w:qFormat/>
    <w:pPr>
      <w:spacing w:after="120"/>
    </w:pPr>
    <w:rPr>
      <w:rFonts w:ascii="宋体" w:hAnsi="Times New Roman"/>
      <w:kern w:val="10"/>
      <w:sz w:val="28"/>
      <w:szCs w:val="20"/>
    </w:rPr>
  </w:style>
  <w:style w:type="paragraph" w:customStyle="1" w:styleId="afffffffffffffffffffff5">
    <w:name w:val="表格名和图名"/>
    <w:basedOn w:val="a1"/>
    <w:qFormat/>
    <w:pPr>
      <w:spacing w:line="360" w:lineRule="auto"/>
      <w:jc w:val="center"/>
    </w:pPr>
    <w:rPr>
      <w:rFonts w:ascii="Times New Roman" w:hAnsi="Times New Roman"/>
      <w:color w:val="000000"/>
      <w:sz w:val="24"/>
      <w:szCs w:val="24"/>
    </w:rPr>
  </w:style>
  <w:style w:type="paragraph" w:customStyle="1" w:styleId="TAB">
    <w:name w:val="TAB"/>
    <w:basedOn w:val="afb"/>
    <w:qFormat/>
    <w:pPr>
      <w:widowControl/>
      <w:spacing w:before="60" w:after="60"/>
      <w:jc w:val="left"/>
    </w:pPr>
    <w:rPr>
      <w:rFonts w:ascii="Arial" w:hAnsi="Arial"/>
      <w:sz w:val="18"/>
      <w:szCs w:val="20"/>
    </w:rPr>
  </w:style>
  <w:style w:type="paragraph" w:customStyle="1" w:styleId="1fffff0">
    <w:name w:val="1名"/>
    <w:basedOn w:val="a1"/>
    <w:qFormat/>
    <w:pPr>
      <w:spacing w:before="120"/>
    </w:pPr>
    <w:rPr>
      <w:rFonts w:ascii="宋体" w:hAnsi="Times New Roman"/>
      <w:sz w:val="28"/>
      <w:szCs w:val="20"/>
    </w:rPr>
  </w:style>
  <w:style w:type="paragraph" w:customStyle="1" w:styleId="afffffffffffffffffffff6">
    <w:name w:val="我的正文"/>
    <w:basedOn w:val="a1"/>
    <w:link w:val="Charffb"/>
    <w:qFormat/>
    <w:pPr>
      <w:spacing w:line="440" w:lineRule="exact"/>
      <w:ind w:firstLineChars="200" w:firstLine="200"/>
    </w:pPr>
    <w:rPr>
      <w:rFonts w:ascii="Times New Roman" w:hAnsi="Times New Roman"/>
      <w:kern w:val="0"/>
      <w:sz w:val="24"/>
      <w:szCs w:val="24"/>
    </w:rPr>
  </w:style>
  <w:style w:type="paragraph" w:customStyle="1" w:styleId="C0">
    <w:name w:val="标题 C"/>
    <w:basedOn w:val="a1"/>
    <w:qFormat/>
    <w:pPr>
      <w:kinsoku w:val="0"/>
      <w:wordWrap w:val="0"/>
      <w:adjustRightInd w:val="0"/>
      <w:spacing w:before="60" w:after="60" w:line="120" w:lineRule="atLeast"/>
      <w:textAlignment w:val="baseline"/>
    </w:pPr>
    <w:rPr>
      <w:rFonts w:ascii="Times New Roman" w:hAnsi="Times New Roman"/>
      <w:spacing w:val="32"/>
      <w:kern w:val="0"/>
      <w:sz w:val="24"/>
      <w:szCs w:val="20"/>
    </w:rPr>
  </w:style>
  <w:style w:type="paragraph" w:customStyle="1" w:styleId="afffffffffffffffffffff7">
    <w:name w:val="正文标准样式"/>
    <w:basedOn w:val="a1"/>
    <w:qFormat/>
    <w:pPr>
      <w:adjustRightInd w:val="0"/>
      <w:spacing w:line="300" w:lineRule="auto"/>
      <w:ind w:firstLine="482"/>
      <w:textAlignment w:val="baseline"/>
    </w:pPr>
    <w:rPr>
      <w:rFonts w:ascii="Times New Roman" w:hAnsi="Times New Roman"/>
      <w:kern w:val="0"/>
      <w:sz w:val="24"/>
      <w:szCs w:val="20"/>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1"/>
    <w:next w:val="a1"/>
    <w:qFormat/>
    <w:pPr>
      <w:spacing w:line="360" w:lineRule="auto"/>
      <w:ind w:firstLineChars="200" w:firstLine="200"/>
    </w:pPr>
    <w:rPr>
      <w:rFonts w:ascii="宋体" w:hAnsi="宋体" w:cs="宋体"/>
      <w:sz w:val="24"/>
      <w:szCs w:val="24"/>
    </w:rPr>
  </w:style>
  <w:style w:type="paragraph" w:customStyle="1" w:styleId="afffffffffffffffffffff8">
    <w:name w:val="自定义正文"/>
    <w:basedOn w:val="a1"/>
    <w:qFormat/>
    <w:pPr>
      <w:adjustRightInd w:val="0"/>
      <w:spacing w:line="360" w:lineRule="auto"/>
      <w:ind w:firstLine="560"/>
    </w:pPr>
    <w:rPr>
      <w:rFonts w:ascii="Times New Roman" w:hAnsi="Times New Roman"/>
      <w:kern w:val="0"/>
      <w:sz w:val="28"/>
      <w:szCs w:val="20"/>
    </w:rPr>
  </w:style>
  <w:style w:type="paragraph" w:customStyle="1" w:styleId="afffffffffffffffffffff9">
    <w:name w:val="表格，五宋"/>
    <w:qFormat/>
    <w:pPr>
      <w:adjustRightInd w:val="0"/>
      <w:spacing w:line="360" w:lineRule="exact"/>
      <w:jc w:val="center"/>
    </w:pPr>
    <w:rPr>
      <w:sz w:val="21"/>
    </w:rPr>
  </w:style>
  <w:style w:type="paragraph" w:customStyle="1" w:styleId="afffffffffffffffffffffa">
    <w:name w:val="密级编号"/>
    <w:basedOn w:val="a1"/>
    <w:qFormat/>
    <w:pPr>
      <w:adjustRightInd w:val="0"/>
      <w:jc w:val="center"/>
      <w:textAlignment w:val="baseline"/>
    </w:pPr>
    <w:rPr>
      <w:rFonts w:ascii="仿宋_GB2312" w:eastAsia="仿宋_GB2312" w:hAnsi="Times New Roman"/>
      <w:kern w:val="0"/>
      <w:sz w:val="24"/>
      <w:szCs w:val="20"/>
    </w:rPr>
  </w:style>
  <w:style w:type="paragraph" w:customStyle="1" w:styleId="2ffff7">
    <w:name w:val="样式 正文首行缩进 2 + (符号) 宋体"/>
    <w:basedOn w:val="2f5"/>
    <w:link w:val="2Char4"/>
    <w:qFormat/>
    <w:pPr>
      <w:spacing w:after="0" w:line="360" w:lineRule="auto"/>
      <w:ind w:leftChars="0" w:left="0" w:firstLine="200"/>
    </w:pPr>
    <w:rPr>
      <w:rFonts w:ascii="宋体"/>
      <w:sz w:val="24"/>
    </w:rPr>
  </w:style>
  <w:style w:type="paragraph" w:customStyle="1" w:styleId="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w:basedOn w:val="a1"/>
    <w:qFormat/>
    <w:rPr>
      <w:rFonts w:ascii="Times New Roman" w:hAnsi="Times New Roman"/>
      <w:szCs w:val="24"/>
    </w:rPr>
  </w:style>
  <w:style w:type="paragraph" w:customStyle="1" w:styleId="13Char2">
    <w:name w:val="样式 正文文本缩进 + 行距: 多倍行距 1.3 字行 Char"/>
    <w:basedOn w:val="afd"/>
    <w:qFormat/>
    <w:pPr>
      <w:autoSpaceDE w:val="0"/>
      <w:autoSpaceDN w:val="0"/>
      <w:adjustRightInd w:val="0"/>
      <w:snapToGrid w:val="0"/>
      <w:spacing w:after="0" w:line="360" w:lineRule="auto"/>
      <w:ind w:leftChars="0" w:left="0"/>
      <w:textAlignment w:val="baseline"/>
    </w:pPr>
    <w:rPr>
      <w:rFonts w:ascii="黑体" w:eastAsia="黑体" w:hAnsi="宋体"/>
      <w:b/>
      <w:color w:val="000000"/>
      <w:sz w:val="24"/>
    </w:rPr>
  </w:style>
  <w:style w:type="paragraph" w:customStyle="1" w:styleId="CharCharChar3">
    <w:name w:val="正文(首行缩进) Char Char Char"/>
    <w:basedOn w:val="a1"/>
    <w:link w:val="CharCharCharChar3"/>
    <w:qFormat/>
    <w:pPr>
      <w:spacing w:line="360" w:lineRule="auto"/>
      <w:ind w:firstLineChars="200" w:firstLine="480"/>
    </w:pPr>
    <w:rPr>
      <w:rFonts w:ascii="Times New Roman" w:hAnsi="Times New Roman"/>
      <w:snapToGrid w:val="0"/>
      <w:kern w:val="0"/>
      <w:sz w:val="24"/>
      <w:szCs w:val="24"/>
    </w:rPr>
  </w:style>
  <w:style w:type="paragraph" w:customStyle="1" w:styleId="CharCharCharCharCharCharCharCharCharCharChar">
    <w:name w:val="Char Char Char Char Char Char Char Char Char Char Char"/>
    <w:basedOn w:val="a1"/>
    <w:qFormat/>
    <w:rPr>
      <w:rFonts w:ascii="Times New Roman" w:hAnsi="Times New Roman"/>
      <w:szCs w:val="24"/>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a1"/>
    <w:qFormat/>
    <w:rPr>
      <w:rFonts w:ascii="Times New Roman" w:hAnsi="Times New Roman"/>
      <w:szCs w:val="24"/>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1"/>
    <w:qFormat/>
    <w:rPr>
      <w:rFonts w:ascii="Times New Roman" w:hAnsi="Times New Roman"/>
      <w:szCs w:val="24"/>
    </w:rPr>
  </w:style>
  <w:style w:type="paragraph" w:customStyle="1" w:styleId="2ffff8">
    <w:name w:val="样式 正文首行缩进 2 + (符号) 宋体 + (符号) 宋体"/>
    <w:basedOn w:val="2ffff7"/>
    <w:link w:val="2CharChar"/>
    <w:qFormat/>
  </w:style>
  <w:style w:type="paragraph" w:customStyle="1" w:styleId="229">
    <w:name w:val="样式 标题 + 两端对齐 左侧:  2.2 厘米"/>
    <w:basedOn w:val="afffa"/>
    <w:qFormat/>
    <w:pPr>
      <w:tabs>
        <w:tab w:val="left" w:pos="0"/>
      </w:tabs>
      <w:adjustRightInd/>
      <w:snapToGrid/>
      <w:spacing w:before="0" w:after="100" w:afterAutospacing="1" w:line="360" w:lineRule="auto"/>
      <w:ind w:left="1247" w:firstLineChars="0" w:hanging="57"/>
      <w:jc w:val="left"/>
    </w:pPr>
    <w:rPr>
      <w:rFonts w:ascii="楷体_GB2312" w:eastAsia="隶书" w:hAnsi="Arial" w:cs="宋体"/>
      <w:kern w:val="2"/>
      <w:sz w:val="44"/>
      <w:szCs w:val="20"/>
    </w:rPr>
  </w:style>
  <w:style w:type="paragraph" w:customStyle="1" w:styleId="2211">
    <w:name w:val="样式 标题 + 两端对齐 左侧:  2.2 厘米1"/>
    <w:basedOn w:val="afffa"/>
    <w:qFormat/>
    <w:pPr>
      <w:tabs>
        <w:tab w:val="left" w:pos="0"/>
      </w:tabs>
      <w:adjustRightInd/>
      <w:snapToGrid/>
      <w:spacing w:before="0" w:after="100" w:afterAutospacing="1" w:line="360" w:lineRule="auto"/>
      <w:ind w:left="1247" w:firstLineChars="0" w:hanging="57"/>
      <w:jc w:val="both"/>
    </w:pPr>
    <w:rPr>
      <w:rFonts w:ascii="楷体_GB2312" w:eastAsia="隶书" w:hAnsi="Arial" w:cs="宋体"/>
      <w:kern w:val="2"/>
      <w:szCs w:val="20"/>
    </w:rPr>
  </w:style>
  <w:style w:type="paragraph" w:customStyle="1" w:styleId="afffffffffffffffffffffb">
    <w:name w:val="样式 标题 + 两端对齐"/>
    <w:basedOn w:val="afffa"/>
    <w:qFormat/>
    <w:pPr>
      <w:tabs>
        <w:tab w:val="left" w:pos="0"/>
      </w:tabs>
      <w:adjustRightInd/>
      <w:snapToGrid/>
      <w:spacing w:before="0" w:after="100" w:afterAutospacing="1" w:line="360" w:lineRule="auto"/>
      <w:ind w:left="57" w:firstLineChars="0" w:hanging="57"/>
    </w:pPr>
    <w:rPr>
      <w:rFonts w:ascii="隶书" w:eastAsia="隶书" w:hAnsi="Arial" w:cs="宋体"/>
      <w:kern w:val="2"/>
      <w:sz w:val="44"/>
      <w:szCs w:val="44"/>
    </w:rPr>
  </w:style>
  <w:style w:type="paragraph" w:customStyle="1" w:styleId="afffffffffffffffffffffc">
    <w:name w:val="样式 标题 + 居中"/>
    <w:basedOn w:val="afffa"/>
    <w:qFormat/>
    <w:pPr>
      <w:tabs>
        <w:tab w:val="left" w:pos="0"/>
      </w:tabs>
      <w:adjustRightInd/>
      <w:snapToGrid/>
      <w:spacing w:before="0" w:after="100" w:afterAutospacing="1" w:line="360" w:lineRule="auto"/>
      <w:ind w:left="57" w:firstLineChars="0" w:hanging="57"/>
    </w:pPr>
    <w:rPr>
      <w:rFonts w:ascii="楷体_GB2312" w:eastAsia="隶书" w:hAnsi="Arial" w:cs="宋体"/>
      <w:kern w:val="2"/>
      <w:sz w:val="36"/>
      <w:szCs w:val="20"/>
    </w:rPr>
  </w:style>
  <w:style w:type="paragraph" w:customStyle="1" w:styleId="126">
    <w:name w:val="样式 正文文本缩进 + 首行缩进:  1 字符 行距: 固定值 26 磅"/>
    <w:basedOn w:val="a1"/>
    <w:qFormat/>
    <w:pPr>
      <w:spacing w:line="360" w:lineRule="auto"/>
      <w:ind w:firstLine="561"/>
      <w:jc w:val="left"/>
    </w:pPr>
    <w:rPr>
      <w:rFonts w:ascii="Times New Roman" w:hAnsi="Times New Roman"/>
      <w:sz w:val="24"/>
      <w:szCs w:val="20"/>
    </w:rPr>
  </w:style>
  <w:style w:type="paragraph" w:customStyle="1" w:styleId="afffffffffffffffffffffd">
    <w:name w:val="环保专篇"/>
    <w:link w:val="Charffc"/>
    <w:qFormat/>
    <w:pPr>
      <w:spacing w:line="360" w:lineRule="auto"/>
      <w:ind w:firstLineChars="200" w:firstLine="200"/>
      <w:jc w:val="both"/>
    </w:pPr>
    <w:rPr>
      <w:sz w:val="24"/>
      <w:szCs w:val="24"/>
    </w:rPr>
  </w:style>
  <w:style w:type="paragraph" w:customStyle="1" w:styleId="2135">
    <w:name w:val="样式 化工城正文 + 首行缩进:  2 字符 行距: 多倍行距 1.35 字行"/>
    <w:basedOn w:val="a1"/>
    <w:qFormat/>
    <w:pPr>
      <w:spacing w:line="324" w:lineRule="auto"/>
      <w:ind w:firstLineChars="200" w:firstLine="480"/>
    </w:pPr>
    <w:rPr>
      <w:rFonts w:ascii="宋体" w:hAnsi="宋体" w:cs="宋体"/>
      <w:sz w:val="24"/>
      <w:szCs w:val="20"/>
    </w:rPr>
  </w:style>
  <w:style w:type="paragraph" w:customStyle="1" w:styleId="Char40">
    <w:name w:val="Char4"/>
    <w:basedOn w:val="a1"/>
    <w:qFormat/>
    <w:rPr>
      <w:rFonts w:ascii="Times New Roman" w:hAnsi="Times New Roman"/>
      <w:szCs w:val="24"/>
    </w:rPr>
  </w:style>
  <w:style w:type="paragraph" w:customStyle="1" w:styleId="afffffffffffffffffffffe">
    <w:name w:val="报告书表格"/>
    <w:basedOn w:val="a1"/>
    <w:link w:val="Charffd"/>
    <w:qFormat/>
    <w:pPr>
      <w:adjustRightInd w:val="0"/>
      <w:spacing w:before="60" w:after="60" w:line="240" w:lineRule="atLeast"/>
      <w:jc w:val="center"/>
      <w:textAlignment w:val="baseline"/>
    </w:pPr>
    <w:rPr>
      <w:rFonts w:ascii="Times New Roman" w:hAnsi="Times New Roman"/>
      <w:kern w:val="0"/>
      <w:szCs w:val="20"/>
    </w:rPr>
  </w:style>
  <w:style w:type="paragraph" w:customStyle="1" w:styleId="Char60">
    <w:name w:val="Char6"/>
    <w:basedOn w:val="a1"/>
    <w:qFormat/>
    <w:rPr>
      <w:rFonts w:ascii="Times New Roman" w:hAnsi="Times New Roman"/>
      <w:szCs w:val="24"/>
    </w:rPr>
  </w:style>
  <w:style w:type="paragraph" w:customStyle="1" w:styleId="CharCharCharChar1Char11">
    <w:name w:val="正文（首行缩进两字） Char Char Char Char1 Char11"/>
    <w:basedOn w:val="a1"/>
    <w:next w:val="a2"/>
    <w:semiHidden/>
    <w:qFormat/>
    <w:pPr>
      <w:spacing w:line="440" w:lineRule="exact"/>
      <w:ind w:firstLineChars="200" w:firstLine="200"/>
    </w:pPr>
    <w:rPr>
      <w:rFonts w:ascii="Arial" w:hAnsi="Arial"/>
      <w:sz w:val="24"/>
      <w:szCs w:val="24"/>
    </w:rPr>
  </w:style>
  <w:style w:type="paragraph" w:customStyle="1" w:styleId="2ffff9">
    <w:name w:val="正文（首行式样2）"/>
    <w:basedOn w:val="a2"/>
    <w:qFormat/>
    <w:pPr>
      <w:adjustRightInd/>
      <w:snapToGrid/>
      <w:spacing w:line="540" w:lineRule="exact"/>
      <w:ind w:rightChars="-6" w:right="-13" w:firstLine="560"/>
      <w:jc w:val="both"/>
    </w:pPr>
    <w:rPr>
      <w:kern w:val="2"/>
    </w:rPr>
  </w:style>
  <w:style w:type="paragraph" w:customStyle="1" w:styleId="2ffffa">
    <w:name w:val="正文(首行缩进两字2)"/>
    <w:basedOn w:val="a2"/>
    <w:qFormat/>
    <w:pPr>
      <w:adjustRightInd/>
      <w:snapToGrid/>
      <w:spacing w:line="480" w:lineRule="exact"/>
      <w:ind w:rightChars="-6" w:right="-13" w:firstLine="560"/>
      <w:jc w:val="both"/>
    </w:pPr>
    <w:rPr>
      <w:kern w:val="2"/>
    </w:rPr>
  </w:style>
  <w:style w:type="paragraph" w:customStyle="1" w:styleId="2ffffb">
    <w:name w:val="样式 四号2"/>
    <w:basedOn w:val="a1"/>
    <w:qFormat/>
    <w:pPr>
      <w:spacing w:line="440" w:lineRule="exact"/>
      <w:ind w:firstLineChars="200" w:firstLine="200"/>
    </w:pPr>
    <w:rPr>
      <w:rFonts w:ascii="Times New Roman" w:hAnsi="Times New Roman"/>
      <w:kern w:val="0"/>
      <w:sz w:val="28"/>
      <w:szCs w:val="24"/>
    </w:rPr>
  </w:style>
  <w:style w:type="paragraph" w:customStyle="1" w:styleId="CharCharCharCharCharCharCharCharCharCharCharChar1">
    <w:name w:val="Char Char Char Char Char Char Char Char Char Char Char Char1"/>
    <w:basedOn w:val="a1"/>
    <w:next w:val="a1"/>
    <w:qFormat/>
    <w:pPr>
      <w:spacing w:line="360" w:lineRule="auto"/>
      <w:ind w:firstLineChars="200" w:firstLine="200"/>
    </w:pPr>
    <w:rPr>
      <w:rFonts w:ascii="宋体" w:hAnsi="宋体" w:cs="宋体"/>
      <w:sz w:val="24"/>
      <w:szCs w:val="24"/>
    </w:rPr>
  </w:style>
  <w:style w:type="paragraph" w:customStyle="1" w:styleId="2ffffc">
    <w:name w:val="样式 标题 2 + 黑色"/>
    <w:basedOn w:val="2a"/>
    <w:next w:val="2f5"/>
    <w:qFormat/>
    <w:pPr>
      <w:snapToGrid w:val="0"/>
      <w:spacing w:beforeLines="0" w:beforeAutospacing="1" w:afterLines="0"/>
      <w:jc w:val="both"/>
    </w:pPr>
    <w:rPr>
      <w:rFonts w:ascii="黑体"/>
      <w:color w:val="000000"/>
      <w:kern w:val="18"/>
      <w:sz w:val="30"/>
      <w:szCs w:val="30"/>
    </w:rPr>
  </w:style>
  <w:style w:type="paragraph" w:customStyle="1" w:styleId="affffffffffffffffffffff">
    <w:name w:val="小节标题"/>
    <w:basedOn w:val="a1"/>
    <w:next w:val="a1"/>
    <w:qFormat/>
    <w:pPr>
      <w:widowControl/>
      <w:spacing w:before="175" w:after="102" w:line="782" w:lineRule="atLeast"/>
      <w:textAlignment w:val="baseline"/>
    </w:pPr>
    <w:rPr>
      <w:rFonts w:ascii="Times New Roman" w:eastAsia="黑体" w:hAnsi="Times New Roman"/>
      <w:color w:val="000000"/>
      <w:kern w:val="0"/>
      <w:szCs w:val="20"/>
      <w:u w:color="000000"/>
    </w:rPr>
  </w:style>
  <w:style w:type="paragraph" w:customStyle="1" w:styleId="Char2CharCharCharCharCharCharCharCharCharCharCharCharCharCharChar">
    <w:name w:val="Char2 Char Char Char Char Char Char Char Char Char Char Char Char Char Char Char"/>
    <w:basedOn w:val="a1"/>
    <w:qFormat/>
    <w:rPr>
      <w:rFonts w:ascii="Arial" w:hAnsi="Arial"/>
      <w:snapToGrid w:val="0"/>
      <w:szCs w:val="21"/>
    </w:rPr>
  </w:style>
  <w:style w:type="paragraph" w:customStyle="1" w:styleId="affffffffffffffffffffff0">
    <w:name w:val="编号正文缩进"/>
    <w:basedOn w:val="Default"/>
    <w:next w:val="Default"/>
    <w:qFormat/>
    <w:rPr>
      <w:color w:val="auto"/>
    </w:rPr>
  </w:style>
  <w:style w:type="paragraph" w:customStyle="1" w:styleId="affffffffffffffffffffff1">
    <w:name w:val="居中"/>
    <w:basedOn w:val="a1"/>
    <w:qFormat/>
    <w:pPr>
      <w:spacing w:line="360" w:lineRule="auto"/>
      <w:ind w:firstLineChars="200" w:firstLine="560"/>
      <w:jc w:val="center"/>
    </w:pPr>
    <w:rPr>
      <w:rFonts w:ascii="Times New Roman" w:eastAsia="华文楷体" w:hAnsi="Times New Roman"/>
      <w:b/>
      <w:sz w:val="30"/>
    </w:rPr>
  </w:style>
  <w:style w:type="paragraph" w:customStyle="1" w:styleId="CharChar1CharCharCharCharCharChar">
    <w:name w:val="Char Char1 Char Char Char Char Char Char"/>
    <w:basedOn w:val="a1"/>
    <w:qFormat/>
    <w:rPr>
      <w:rFonts w:ascii="Times New Roman" w:hAnsi="Times New Roman"/>
      <w:szCs w:val="24"/>
    </w:rPr>
  </w:style>
  <w:style w:type="paragraph" w:customStyle="1" w:styleId="Char150">
    <w:name w:val="Char15"/>
    <w:basedOn w:val="a1"/>
    <w:qFormat/>
    <w:rPr>
      <w:rFonts w:ascii="Times New Roman" w:hAnsi="Times New Roman"/>
      <w:szCs w:val="24"/>
    </w:rPr>
  </w:style>
  <w:style w:type="paragraph" w:customStyle="1" w:styleId="4ffa">
    <w:name w:val="无间隔4"/>
    <w:basedOn w:val="a1"/>
    <w:qFormat/>
    <w:rPr>
      <w:rFonts w:ascii="Times New Roman" w:hAnsi="Times New Roman"/>
      <w:szCs w:val="32"/>
    </w:rPr>
  </w:style>
  <w:style w:type="paragraph" w:customStyle="1" w:styleId="1fffff1">
    <w:name w:val="明显引用1"/>
    <w:basedOn w:val="a1"/>
    <w:next w:val="a1"/>
    <w:link w:val="Charffe"/>
    <w:qFormat/>
    <w:pPr>
      <w:ind w:left="720" w:right="720"/>
    </w:pPr>
    <w:rPr>
      <w:rFonts w:ascii="Times New Roman" w:hAnsi="Times New Roman"/>
      <w:b/>
      <w:i/>
      <w:kern w:val="0"/>
      <w:sz w:val="20"/>
      <w:szCs w:val="20"/>
    </w:rPr>
  </w:style>
  <w:style w:type="paragraph" w:customStyle="1" w:styleId="2ffffd">
    <w:name w:val="小标题2"/>
    <w:basedOn w:val="3a"/>
    <w:next w:val="a2"/>
    <w:qFormat/>
    <w:pPr>
      <w:adjustRightInd w:val="0"/>
      <w:spacing w:before="120" w:after="120" w:line="300" w:lineRule="auto"/>
      <w:ind w:left="284"/>
      <w:jc w:val="left"/>
      <w:textAlignment w:val="baseline"/>
      <w:outlineLvl w:val="9"/>
    </w:pPr>
    <w:rPr>
      <w:rFonts w:ascii="Times New Roman" w:hAnsi="Times New Roman"/>
      <w:b w:val="0"/>
      <w:bCs w:val="0"/>
      <w:kern w:val="2"/>
      <w:sz w:val="28"/>
      <w:szCs w:val="20"/>
    </w:rPr>
  </w:style>
  <w:style w:type="paragraph" w:customStyle="1" w:styleId="2ffffe">
    <w:name w:val="样式 标题 2 + 四号"/>
    <w:basedOn w:val="2a"/>
    <w:qFormat/>
    <w:pPr>
      <w:adjustRightInd w:val="0"/>
      <w:snapToGrid w:val="0"/>
      <w:spacing w:beforeLines="0" w:after="60" w:line="416" w:lineRule="auto"/>
      <w:jc w:val="both"/>
    </w:pPr>
    <w:rPr>
      <w:color w:val="000000"/>
      <w:sz w:val="28"/>
    </w:rPr>
  </w:style>
  <w:style w:type="paragraph" w:customStyle="1" w:styleId="1fffff2">
    <w:name w:val="正文小四缩1"/>
    <w:basedOn w:val="a1"/>
    <w:qFormat/>
    <w:pPr>
      <w:adjustRightInd w:val="0"/>
      <w:spacing w:before="120" w:line="460" w:lineRule="atLeast"/>
      <w:ind w:firstLine="454"/>
      <w:jc w:val="left"/>
      <w:textAlignment w:val="baseline"/>
    </w:pPr>
    <w:rPr>
      <w:rFonts w:ascii="Times New Roman" w:hAnsi="Times New Roman"/>
      <w:kern w:val="0"/>
      <w:sz w:val="28"/>
      <w:szCs w:val="20"/>
    </w:rPr>
  </w:style>
  <w:style w:type="paragraph" w:customStyle="1" w:styleId="affffffffffffffffffffff2">
    <w:name w:val="正文小四缩"/>
    <w:basedOn w:val="a1"/>
    <w:qFormat/>
    <w:pPr>
      <w:adjustRightInd w:val="0"/>
      <w:spacing w:before="120" w:line="420" w:lineRule="atLeast"/>
      <w:ind w:firstLine="510"/>
      <w:textAlignment w:val="baseline"/>
    </w:pPr>
    <w:rPr>
      <w:rFonts w:ascii="宋体" w:hAnsi="Times New Roman"/>
      <w:bCs/>
      <w:kern w:val="0"/>
      <w:sz w:val="24"/>
      <w:szCs w:val="20"/>
    </w:rPr>
  </w:style>
  <w:style w:type="paragraph" w:customStyle="1" w:styleId="affffffffffffffffffffff3">
    <w:name w:val="报告正文小四"/>
    <w:basedOn w:val="a1"/>
    <w:link w:val="Charfff"/>
    <w:qFormat/>
    <w:pPr>
      <w:adjustRightInd w:val="0"/>
      <w:snapToGrid w:val="0"/>
      <w:spacing w:before="120" w:line="420" w:lineRule="atLeast"/>
      <w:ind w:firstLine="510"/>
    </w:pPr>
    <w:rPr>
      <w:rFonts w:ascii="Times New Roman" w:hAnsi="Times New Roman"/>
      <w:kern w:val="0"/>
      <w:sz w:val="24"/>
      <w:szCs w:val="20"/>
    </w:rPr>
  </w:style>
  <w:style w:type="paragraph" w:customStyle="1" w:styleId="158">
    <w:name w:val="样式 宋体 小四 黑色 左 行距: 1.5 倍行距"/>
    <w:basedOn w:val="a1"/>
    <w:next w:val="a1"/>
    <w:qFormat/>
    <w:pPr>
      <w:autoSpaceDE w:val="0"/>
      <w:autoSpaceDN w:val="0"/>
      <w:adjustRightInd w:val="0"/>
      <w:jc w:val="left"/>
    </w:pPr>
    <w:rPr>
      <w:rFonts w:ascii="宋体" w:hAnsi="Times New Roman"/>
      <w:kern w:val="0"/>
      <w:sz w:val="24"/>
      <w:szCs w:val="24"/>
    </w:rPr>
  </w:style>
  <w:style w:type="paragraph" w:customStyle="1" w:styleId="affffffffffffffffffffff4">
    <w:name w:val="行距"/>
    <w:qFormat/>
    <w:pPr>
      <w:spacing w:line="520" w:lineRule="exact"/>
      <w:ind w:firstLineChars="200" w:firstLine="200"/>
      <w:jc w:val="both"/>
    </w:pPr>
    <w:rPr>
      <w:kern w:val="2"/>
      <w:sz w:val="28"/>
      <w:szCs w:val="24"/>
    </w:rPr>
  </w:style>
  <w:style w:type="paragraph" w:customStyle="1" w:styleId="1-1">
    <w:name w:val="1-表头1"/>
    <w:basedOn w:val="a1"/>
    <w:qFormat/>
    <w:pPr>
      <w:spacing w:line="360" w:lineRule="auto"/>
      <w:jc w:val="center"/>
    </w:pPr>
    <w:rPr>
      <w:rFonts w:ascii="Times New Roman" w:eastAsia="Times New Roman" w:hAnsi="Times New Roman"/>
      <w:szCs w:val="20"/>
    </w:rPr>
  </w:style>
  <w:style w:type="paragraph" w:customStyle="1" w:styleId="1fffff3">
    <w:name w:val="自正文1"/>
    <w:basedOn w:val="a1"/>
    <w:qFormat/>
    <w:pPr>
      <w:tabs>
        <w:tab w:val="left" w:pos="0"/>
      </w:tabs>
      <w:adjustRightInd w:val="0"/>
      <w:snapToGrid w:val="0"/>
      <w:spacing w:line="400" w:lineRule="exact"/>
      <w:ind w:firstLine="480"/>
      <w:jc w:val="left"/>
      <w:textAlignment w:val="baseline"/>
    </w:pPr>
    <w:rPr>
      <w:rFonts w:ascii="宋体" w:hAnsi="Times New Roman"/>
      <w:kern w:val="24"/>
      <w:sz w:val="24"/>
      <w:szCs w:val="20"/>
    </w:rPr>
  </w:style>
  <w:style w:type="paragraph" w:customStyle="1" w:styleId="mhy">
    <w:name w:val="mhy"/>
    <w:basedOn w:val="a1"/>
    <w:qFormat/>
    <w:pPr>
      <w:jc w:val="left"/>
    </w:pPr>
    <w:rPr>
      <w:rFonts w:ascii="Times New Roman" w:hAnsi="Times New Roman"/>
      <w:sz w:val="24"/>
      <w:szCs w:val="24"/>
    </w:rPr>
  </w:style>
  <w:style w:type="paragraph" w:customStyle="1" w:styleId="affffffffffffffffffffff5">
    <w:name w:val="列项——（一级）"/>
    <w:qFormat/>
    <w:pPr>
      <w:widowControl w:val="0"/>
      <w:tabs>
        <w:tab w:val="left" w:pos="420"/>
        <w:tab w:val="left" w:pos="854"/>
      </w:tabs>
      <w:ind w:leftChars="200" w:left="420" w:hangingChars="200" w:hanging="420"/>
      <w:jc w:val="both"/>
    </w:pPr>
    <w:rPr>
      <w:rFonts w:ascii="宋体"/>
      <w:sz w:val="21"/>
    </w:rPr>
  </w:style>
  <w:style w:type="paragraph" w:customStyle="1" w:styleId="lff">
    <w:name w:val="lff"/>
    <w:basedOn w:val="afffe"/>
    <w:link w:val="lffChar"/>
    <w:qFormat/>
    <w:pPr>
      <w:snapToGrid w:val="0"/>
      <w:spacing w:after="0" w:line="360" w:lineRule="auto"/>
      <w:ind w:firstLineChars="200" w:firstLine="422"/>
    </w:pPr>
    <w:rPr>
      <w:rFonts w:ascii="宋体" w:hAnsi="宋体"/>
      <w:b/>
      <w:color w:val="0000FF"/>
      <w:szCs w:val="21"/>
    </w:rPr>
  </w:style>
  <w:style w:type="paragraph" w:customStyle="1" w:styleId="affffffffffffffffffffff6">
    <w:name w:val="表格小四"/>
    <w:basedOn w:val="a1"/>
    <w:qFormat/>
    <w:pPr>
      <w:adjustRightInd w:val="0"/>
      <w:snapToGrid w:val="0"/>
      <w:spacing w:beforeLines="20" w:afterLines="20" w:line="360" w:lineRule="auto"/>
      <w:jc w:val="center"/>
    </w:pPr>
    <w:rPr>
      <w:rFonts w:ascii="宋体" w:hAnsi="宋体"/>
      <w:color w:val="0000FF"/>
      <w:spacing w:val="6"/>
      <w:szCs w:val="21"/>
    </w:rPr>
  </w:style>
  <w:style w:type="paragraph" w:customStyle="1" w:styleId="4ffb">
    <w:name w:val="编号4号"/>
    <w:basedOn w:val="a1"/>
    <w:qFormat/>
    <w:pPr>
      <w:widowControl/>
      <w:snapToGrid w:val="0"/>
      <w:spacing w:line="312" w:lineRule="auto"/>
    </w:pPr>
    <w:rPr>
      <w:rFonts w:ascii="Arial" w:hAnsi="Arial" w:cs="Arial"/>
      <w:szCs w:val="24"/>
    </w:rPr>
  </w:style>
  <w:style w:type="paragraph" w:customStyle="1" w:styleId="099">
    <w:name w:val="样式 首行缩进:  0.99 厘米"/>
    <w:basedOn w:val="a1"/>
    <w:qFormat/>
    <w:pPr>
      <w:adjustRightInd w:val="0"/>
      <w:snapToGrid w:val="0"/>
      <w:spacing w:line="500" w:lineRule="exact"/>
      <w:ind w:firstLineChars="200" w:firstLine="560"/>
    </w:pPr>
    <w:rPr>
      <w:rFonts w:ascii="仿宋_GB2312" w:eastAsia="仿宋_GB2312" w:hAnsi="Times New Roman"/>
      <w:color w:val="000000"/>
      <w:sz w:val="28"/>
      <w:szCs w:val="24"/>
    </w:rPr>
  </w:style>
  <w:style w:type="paragraph" w:customStyle="1" w:styleId="1074">
    <w:name w:val="样式 标题 1 + 首行缩进:  0.74 厘米"/>
    <w:basedOn w:val="1a"/>
    <w:qFormat/>
    <w:pPr>
      <w:spacing w:line="240" w:lineRule="exact"/>
      <w:ind w:firstLine="422"/>
    </w:pPr>
    <w:rPr>
      <w:rFonts w:ascii="Times New Roman" w:hAnsi="Times New Roman" w:cs="宋体"/>
      <w:sz w:val="32"/>
      <w:szCs w:val="20"/>
    </w:rPr>
  </w:style>
  <w:style w:type="paragraph" w:customStyle="1" w:styleId="212H2h21121111211Char11">
    <w:name w:val="样式 标题 21标题2H2h2第一层条1.1标题 2节标题 1.11.1标题2节标题 1.1 Char1.1..."/>
    <w:basedOn w:val="2a"/>
    <w:link w:val="212H2h21121111211Char11Char"/>
    <w:qFormat/>
    <w:pPr>
      <w:spacing w:beforeLines="0" w:afterLines="0" w:line="415" w:lineRule="auto"/>
      <w:ind w:firstLineChars="200" w:firstLine="420"/>
      <w:jc w:val="both"/>
    </w:pPr>
    <w:rPr>
      <w:rFonts w:eastAsia="宋体"/>
      <w:sz w:val="30"/>
      <w:szCs w:val="20"/>
    </w:rPr>
  </w:style>
  <w:style w:type="paragraph" w:customStyle="1" w:styleId="212H2h21121111211Char110">
    <w:name w:val="样式 样式 标题 21标题2H2h2第一层条1.1标题 2节标题 1.11.1标题2节标题 1.1 Char1.1... + 加..."/>
    <w:basedOn w:val="212H2h21121111211Char11"/>
    <w:link w:val="212H2h21121111211Char11Char0"/>
    <w:qFormat/>
    <w:rPr>
      <w:spacing w:val="8"/>
      <w:sz w:val="28"/>
    </w:rPr>
  </w:style>
  <w:style w:type="paragraph" w:customStyle="1" w:styleId="1fffff4">
    <w:name w:val="样式 标题 1 + 三号"/>
    <w:basedOn w:val="1a"/>
    <w:qFormat/>
    <w:pPr>
      <w:spacing w:line="240" w:lineRule="exact"/>
    </w:pPr>
    <w:rPr>
      <w:rFonts w:ascii="Times New Roman" w:hAnsi="Times New Roman"/>
      <w:sz w:val="36"/>
    </w:rPr>
  </w:style>
  <w:style w:type="paragraph" w:customStyle="1" w:styleId="3074">
    <w:name w:val="样式 标题 3 + 首行缩进:  0.74 厘米"/>
    <w:basedOn w:val="3a"/>
    <w:qFormat/>
    <w:pPr>
      <w:spacing w:before="0" w:after="0" w:line="240" w:lineRule="auto"/>
      <w:ind w:firstLine="420"/>
    </w:pPr>
    <w:rPr>
      <w:rFonts w:ascii="Times New Roman" w:hAnsi="Times New Roman" w:cs="宋体"/>
      <w:kern w:val="2"/>
      <w:sz w:val="28"/>
      <w:szCs w:val="20"/>
    </w:rPr>
  </w:style>
  <w:style w:type="paragraph" w:customStyle="1" w:styleId="Title1">
    <w:name w:val="Title1"/>
    <w:basedOn w:val="a1"/>
    <w:qFormat/>
    <w:pPr>
      <w:keepNext/>
      <w:tabs>
        <w:tab w:val="left" w:pos="936"/>
      </w:tabs>
      <w:overflowPunct w:val="0"/>
      <w:autoSpaceDE w:val="0"/>
      <w:autoSpaceDN w:val="0"/>
      <w:adjustRightInd w:val="0"/>
      <w:spacing w:before="160" w:after="80"/>
      <w:textAlignment w:val="baseline"/>
    </w:pPr>
    <w:rPr>
      <w:rFonts w:ascii="Times New Roman" w:eastAsia="Mincho" w:hAnsi="Times New Roman"/>
      <w:b/>
      <w:kern w:val="0"/>
      <w:sz w:val="24"/>
      <w:szCs w:val="20"/>
      <w:lang w:eastAsia="ja-JP"/>
    </w:rPr>
  </w:style>
  <w:style w:type="paragraph" w:customStyle="1" w:styleId="140">
    <w:name w:val="14"/>
    <w:basedOn w:val="a1"/>
    <w:next w:val="aff1"/>
    <w:qFormat/>
    <w:rPr>
      <w:rFonts w:ascii="宋体" w:hAnsi="Courier New"/>
      <w:szCs w:val="20"/>
    </w:rPr>
  </w:style>
  <w:style w:type="paragraph" w:customStyle="1" w:styleId="msonormalcxspmiddle">
    <w:name w:val="msonormalcxspmiddle"/>
    <w:basedOn w:val="a1"/>
    <w:qFormat/>
    <w:pPr>
      <w:widowControl/>
      <w:spacing w:before="100" w:beforeAutospacing="1" w:after="100" w:afterAutospacing="1"/>
      <w:jc w:val="left"/>
    </w:pPr>
    <w:rPr>
      <w:rFonts w:ascii="宋体" w:hAnsi="宋体" w:cs="宋体"/>
      <w:kern w:val="0"/>
      <w:sz w:val="24"/>
      <w:szCs w:val="24"/>
    </w:rPr>
  </w:style>
  <w:style w:type="paragraph" w:customStyle="1" w:styleId="zxz5">
    <w:name w:val="zxz5"/>
    <w:next w:val="a1"/>
    <w:qFormat/>
    <w:pPr>
      <w:tabs>
        <w:tab w:val="left" w:pos="0"/>
      </w:tabs>
      <w:jc w:val="center"/>
    </w:pPr>
    <w:rPr>
      <w:rFonts w:ascii="宋体" w:eastAsia="Times New Roman" w:hAnsi="宋体" w:cs="宋体"/>
      <w:bCs/>
      <w:kern w:val="2"/>
      <w:sz w:val="18"/>
      <w:szCs w:val="18"/>
    </w:rPr>
  </w:style>
  <w:style w:type="paragraph" w:customStyle="1" w:styleId="CharCharChar1CharCharCharChar">
    <w:name w:val="Char Char Char1 Char Char Char Char"/>
    <w:basedOn w:val="a1"/>
    <w:next w:val="a1"/>
    <w:qFormat/>
    <w:pPr>
      <w:spacing w:line="360" w:lineRule="auto"/>
      <w:ind w:firstLineChars="200" w:firstLine="200"/>
    </w:pPr>
    <w:rPr>
      <w:rFonts w:ascii="宋体" w:eastAsia="汉鼎简书宋" w:hAnsi="宋体" w:cs="宋体"/>
      <w:sz w:val="24"/>
      <w:szCs w:val="24"/>
    </w:rPr>
  </w:style>
  <w:style w:type="paragraph" w:customStyle="1" w:styleId="1fffff5">
    <w:name w:val="表名1"/>
    <w:basedOn w:val="afffffff1"/>
    <w:semiHidden/>
    <w:qFormat/>
    <w:pPr>
      <w:keepNext/>
      <w:adjustRightInd w:val="0"/>
      <w:snapToGrid w:val="0"/>
      <w:spacing w:before="0"/>
      <w:jc w:val="center"/>
    </w:pPr>
    <w:rPr>
      <w:rFonts w:ascii="Times New Roman" w:hAnsi="Times New Roman"/>
      <w:kern w:val="24"/>
      <w:sz w:val="21"/>
      <w:szCs w:val="21"/>
    </w:rPr>
  </w:style>
  <w:style w:type="paragraph" w:customStyle="1" w:styleId="Charfff0">
    <w:name w:val="文本匡小五号 Char"/>
    <w:semiHidden/>
    <w:qFormat/>
    <w:pPr>
      <w:snapToGrid w:val="0"/>
      <w:spacing w:line="100" w:lineRule="atLeast"/>
      <w:jc w:val="center"/>
    </w:pPr>
    <w:rPr>
      <w:rFonts w:eastAsia="仿宋_GB2312"/>
      <w:snapToGrid w:val="0"/>
      <w:sz w:val="21"/>
      <w:szCs w:val="21"/>
    </w:rPr>
  </w:style>
  <w:style w:type="paragraph" w:customStyle="1" w:styleId="5ff0">
    <w:name w:val="文本框5号两端齐"/>
    <w:basedOn w:val="a1"/>
    <w:semiHidden/>
    <w:qFormat/>
    <w:pPr>
      <w:widowControl/>
    </w:pPr>
    <w:rPr>
      <w:rFonts w:ascii="Times New Roman" w:eastAsia="仿宋_GB2312" w:hAnsi="Times New Roman"/>
      <w:szCs w:val="21"/>
    </w:rPr>
  </w:style>
  <w:style w:type="paragraph" w:customStyle="1" w:styleId="affffffffffffffffffffff7">
    <w:name w:val="文本框文字"/>
    <w:basedOn w:val="a1"/>
    <w:semiHidden/>
    <w:qFormat/>
    <w:pPr>
      <w:adjustRightInd w:val="0"/>
      <w:jc w:val="center"/>
      <w:textAlignment w:val="baseline"/>
    </w:pPr>
    <w:rPr>
      <w:rFonts w:ascii="Times New Roman" w:hAnsi="Times New Roman"/>
      <w:kern w:val="0"/>
      <w:szCs w:val="20"/>
    </w:rPr>
  </w:style>
  <w:style w:type="paragraph" w:customStyle="1" w:styleId="affffffffffffffffffffff8">
    <w:name w:val="文本框五号"/>
    <w:semiHidden/>
    <w:qFormat/>
    <w:pPr>
      <w:adjustRightInd w:val="0"/>
      <w:spacing w:line="240" w:lineRule="atLeast"/>
      <w:jc w:val="center"/>
    </w:pPr>
    <w:rPr>
      <w:rFonts w:eastAsia="仿宋_GB2312"/>
      <w:snapToGrid w:val="0"/>
      <w:kern w:val="2"/>
      <w:sz w:val="21"/>
      <w:szCs w:val="21"/>
    </w:rPr>
  </w:style>
  <w:style w:type="paragraph" w:customStyle="1" w:styleId="Charfff1">
    <w:name w:val="文本框五号 Char"/>
    <w:semiHidden/>
    <w:qFormat/>
    <w:pPr>
      <w:jc w:val="center"/>
    </w:pPr>
    <w:rPr>
      <w:rFonts w:eastAsia="仿宋_GB2312"/>
      <w:kern w:val="2"/>
      <w:sz w:val="21"/>
      <w:szCs w:val="21"/>
    </w:rPr>
  </w:style>
  <w:style w:type="paragraph" w:customStyle="1" w:styleId="159">
    <w:name w:val="文本框五号1.5倍行距"/>
    <w:basedOn w:val="Charfff1"/>
    <w:semiHidden/>
    <w:qFormat/>
    <w:pPr>
      <w:spacing w:line="360" w:lineRule="auto"/>
    </w:pPr>
  </w:style>
  <w:style w:type="paragraph" w:customStyle="1" w:styleId="affffffffffffffffffffff9">
    <w:name w:val="正文图"/>
    <w:basedOn w:val="a1"/>
    <w:semiHidden/>
    <w:qFormat/>
    <w:pPr>
      <w:adjustRightInd w:val="0"/>
      <w:snapToGrid w:val="0"/>
      <w:spacing w:before="40"/>
      <w:jc w:val="center"/>
      <w:textAlignment w:val="baseline"/>
    </w:pPr>
    <w:rPr>
      <w:rFonts w:ascii="宋体" w:hAnsi="Times New Roman"/>
      <w:kern w:val="0"/>
      <w:sz w:val="24"/>
      <w:szCs w:val="20"/>
    </w:rPr>
  </w:style>
  <w:style w:type="paragraph" w:customStyle="1" w:styleId="affffffffffffffffffffffa">
    <w:name w:val="正文图竖五"/>
    <w:basedOn w:val="a1"/>
    <w:semiHidden/>
    <w:qFormat/>
    <w:pPr>
      <w:jc w:val="center"/>
    </w:pPr>
    <w:rPr>
      <w:rFonts w:ascii="Times New Roman" w:eastAsia="仿宋_GB2312" w:hAnsi="Times New Roman"/>
      <w:color w:val="000000"/>
      <w:kern w:val="0"/>
      <w:szCs w:val="21"/>
    </w:rPr>
  </w:style>
  <w:style w:type="paragraph" w:customStyle="1" w:styleId="affffffffffffffffffffffb">
    <w:name w:val="正文图五"/>
    <w:basedOn w:val="a1"/>
    <w:semiHidden/>
    <w:qFormat/>
    <w:pPr>
      <w:adjustRightInd w:val="0"/>
      <w:snapToGrid w:val="0"/>
      <w:jc w:val="center"/>
    </w:pPr>
    <w:rPr>
      <w:rFonts w:ascii="Times New Roman" w:eastAsia="仿宋_GB2312" w:hAnsi="Times New Roman"/>
      <w:snapToGrid w:val="0"/>
      <w:spacing w:val="6"/>
      <w:szCs w:val="20"/>
    </w:rPr>
  </w:style>
  <w:style w:type="paragraph" w:customStyle="1" w:styleId="111H1h11headingHeader1stPageh1chapte">
    <w:name w:val="样式 标题 1标题 1宋旭峰标题1章节H1h11headingHeader 1st Pageh1 chapte..."/>
    <w:basedOn w:val="1a"/>
    <w:semiHidden/>
    <w:qFormat/>
    <w:pPr>
      <w:adjustRightInd w:val="0"/>
      <w:snapToGrid w:val="0"/>
      <w:spacing w:before="0" w:after="156" w:line="360" w:lineRule="auto"/>
      <w:jc w:val="left"/>
    </w:pPr>
    <w:rPr>
      <w:rFonts w:ascii="Times New Roman" w:eastAsia="黑体" w:hAnsi="Times New Roman"/>
      <w:kern w:val="2"/>
      <w:sz w:val="32"/>
      <w:szCs w:val="30"/>
    </w:rPr>
  </w:style>
  <w:style w:type="paragraph" w:customStyle="1" w:styleId="puce">
    <w:name w:val="puce"/>
    <w:basedOn w:val="a1"/>
    <w:semiHidden/>
    <w:qFormat/>
    <w:pPr>
      <w:widowControl/>
      <w:tabs>
        <w:tab w:val="left" w:pos="567"/>
        <w:tab w:val="left" w:pos="1200"/>
      </w:tabs>
      <w:adjustRightInd w:val="0"/>
      <w:snapToGrid w:val="0"/>
      <w:spacing w:line="360" w:lineRule="auto"/>
      <w:ind w:firstLineChars="200" w:firstLine="480"/>
    </w:pPr>
    <w:rPr>
      <w:rFonts w:ascii="Arial" w:hAnsi="Arial"/>
      <w:snapToGrid w:val="0"/>
      <w:color w:val="FF00FF"/>
      <w:kern w:val="0"/>
      <w:sz w:val="24"/>
      <w:szCs w:val="24"/>
    </w:rPr>
  </w:style>
  <w:style w:type="paragraph" w:customStyle="1" w:styleId="Content0">
    <w:name w:val="Content"/>
    <w:basedOn w:val="a1"/>
    <w:semiHidden/>
    <w:qFormat/>
    <w:pPr>
      <w:widowControl/>
      <w:tabs>
        <w:tab w:val="left" w:pos="9480"/>
        <w:tab w:val="left" w:pos="9600"/>
      </w:tabs>
      <w:spacing w:before="120" w:after="120" w:line="240" w:lineRule="atLeast"/>
      <w:jc w:val="center"/>
    </w:pPr>
    <w:rPr>
      <w:rFonts w:ascii="Arial" w:hAnsi="Arial"/>
      <w:b/>
      <w:kern w:val="0"/>
      <w:sz w:val="28"/>
      <w:szCs w:val="20"/>
    </w:rPr>
  </w:style>
  <w:style w:type="paragraph" w:customStyle="1" w:styleId="couv">
    <w:name w:val="couv"/>
    <w:basedOn w:val="a1"/>
    <w:semiHidden/>
    <w:qFormat/>
    <w:pPr>
      <w:widowControl/>
      <w:spacing w:before="120" w:after="120"/>
      <w:ind w:firstLineChars="200" w:firstLine="200"/>
      <w:jc w:val="center"/>
    </w:pPr>
    <w:rPr>
      <w:rFonts w:ascii="Times New Roman" w:hAnsi="Times New Roman"/>
      <w:b/>
      <w:kern w:val="0"/>
      <w:sz w:val="40"/>
      <w:szCs w:val="20"/>
    </w:rPr>
  </w:style>
  <w:style w:type="paragraph" w:customStyle="1" w:styleId="MG">
    <w:name w:val="MG"/>
    <w:basedOn w:val="1a"/>
    <w:semiHidden/>
    <w:qFormat/>
    <w:pPr>
      <w:widowControl/>
      <w:tabs>
        <w:tab w:val="left" w:pos="2260"/>
        <w:tab w:val="left" w:pos="2820"/>
        <w:tab w:val="left" w:pos="3420"/>
      </w:tabs>
      <w:adjustRightInd w:val="0"/>
      <w:snapToGrid w:val="0"/>
      <w:spacing w:before="440" w:after="0" w:line="240" w:lineRule="auto"/>
      <w:ind w:left="851" w:right="-28" w:hanging="851"/>
    </w:pPr>
    <w:rPr>
      <w:rFonts w:ascii="Arial" w:hAnsi="Arial"/>
      <w:bCs w:val="0"/>
      <w:kern w:val="0"/>
      <w:sz w:val="22"/>
      <w:szCs w:val="20"/>
    </w:rPr>
  </w:style>
  <w:style w:type="paragraph" w:customStyle="1" w:styleId="M0">
    <w:name w:val="M"/>
    <w:basedOn w:val="1a"/>
    <w:semiHidden/>
    <w:qFormat/>
    <w:pPr>
      <w:widowControl/>
      <w:tabs>
        <w:tab w:val="left" w:pos="2260"/>
        <w:tab w:val="left" w:pos="2820"/>
        <w:tab w:val="left" w:pos="3420"/>
      </w:tabs>
      <w:adjustRightInd w:val="0"/>
      <w:snapToGrid w:val="0"/>
      <w:spacing w:before="440" w:after="0" w:line="240" w:lineRule="auto"/>
      <w:ind w:left="851" w:right="-28" w:hanging="851"/>
    </w:pPr>
    <w:rPr>
      <w:rFonts w:ascii="Arial" w:hAnsi="Arial"/>
      <w:b w:val="0"/>
      <w:bCs w:val="0"/>
      <w:kern w:val="0"/>
      <w:sz w:val="22"/>
      <w:szCs w:val="20"/>
    </w:rPr>
  </w:style>
  <w:style w:type="paragraph" w:customStyle="1" w:styleId="GM">
    <w:name w:val="GM"/>
    <w:basedOn w:val="1a"/>
    <w:semiHidden/>
    <w:qFormat/>
    <w:pPr>
      <w:widowControl/>
      <w:tabs>
        <w:tab w:val="left" w:pos="2260"/>
        <w:tab w:val="left" w:pos="2820"/>
        <w:tab w:val="left" w:pos="3420"/>
      </w:tabs>
      <w:adjustRightInd w:val="0"/>
      <w:snapToGrid w:val="0"/>
      <w:spacing w:before="240" w:after="0" w:line="240" w:lineRule="auto"/>
      <w:ind w:left="851" w:right="-28" w:hanging="851"/>
    </w:pPr>
    <w:rPr>
      <w:rFonts w:ascii="Arial" w:hAnsi="Arial"/>
      <w:bCs w:val="0"/>
      <w:kern w:val="0"/>
      <w:sz w:val="22"/>
      <w:szCs w:val="20"/>
    </w:rPr>
  </w:style>
  <w:style w:type="paragraph" w:customStyle="1" w:styleId="Texte">
    <w:name w:val="Texte"/>
    <w:basedOn w:val="a1"/>
    <w:semiHidden/>
    <w:qFormat/>
    <w:pPr>
      <w:widowControl/>
      <w:spacing w:before="120" w:after="120"/>
      <w:ind w:left="851" w:firstLineChars="200" w:firstLine="200"/>
    </w:pPr>
    <w:rPr>
      <w:rFonts w:ascii="Arial" w:hAnsi="Arial"/>
      <w:kern w:val="0"/>
      <w:sz w:val="22"/>
      <w:szCs w:val="20"/>
    </w:rPr>
  </w:style>
  <w:style w:type="paragraph" w:customStyle="1" w:styleId="ENUM">
    <w:name w:val="ENUM"/>
    <w:basedOn w:val="a1"/>
    <w:semiHidden/>
    <w:qFormat/>
    <w:pPr>
      <w:widowControl/>
      <w:tabs>
        <w:tab w:val="left" w:pos="840"/>
        <w:tab w:val="left" w:pos="1418"/>
      </w:tabs>
      <w:spacing w:before="60" w:after="60"/>
      <w:ind w:left="1418" w:firstLineChars="200" w:hanging="284"/>
    </w:pPr>
    <w:rPr>
      <w:rFonts w:ascii="Arial" w:hAnsi="Arial"/>
      <w:kern w:val="0"/>
      <w:sz w:val="22"/>
      <w:szCs w:val="20"/>
    </w:rPr>
  </w:style>
  <w:style w:type="paragraph" w:customStyle="1" w:styleId="2fffff">
    <w:name w:val="標準インデント　2"/>
    <w:basedOn w:val="a2"/>
    <w:semiHidden/>
    <w:qFormat/>
    <w:pPr>
      <w:overflowPunct w:val="0"/>
      <w:autoSpaceDE w:val="0"/>
      <w:autoSpaceDN w:val="0"/>
      <w:snapToGrid/>
      <w:spacing w:line="240" w:lineRule="auto"/>
      <w:ind w:left="2900" w:firstLineChars="0" w:hanging="2038"/>
      <w:textAlignment w:val="baseline"/>
    </w:pPr>
    <w:rPr>
      <w:rFonts w:eastAsia="MS Mincho"/>
      <w:sz w:val="20"/>
      <w:lang w:eastAsia="ja-JP"/>
    </w:rPr>
  </w:style>
  <w:style w:type="paragraph" w:customStyle="1" w:styleId="affffffffffffffffffffffc">
    <w:name w:val="——"/>
    <w:basedOn w:val="Texte"/>
    <w:semiHidden/>
    <w:qFormat/>
    <w:pPr>
      <w:ind w:left="0" w:firstLineChars="300" w:firstLine="660"/>
    </w:pPr>
  </w:style>
  <w:style w:type="paragraph" w:customStyle="1" w:styleId="-40">
    <w:name w:val="标-4"/>
    <w:basedOn w:val="a1"/>
    <w:semiHidden/>
    <w:qFormat/>
    <w:pPr>
      <w:spacing w:before="120"/>
      <w:ind w:left="851" w:hanging="851"/>
    </w:pPr>
    <w:rPr>
      <w:rFonts w:ascii="Times New Roman" w:hAnsi="Times New Roman"/>
      <w:sz w:val="24"/>
      <w:szCs w:val="20"/>
    </w:rPr>
  </w:style>
  <w:style w:type="paragraph" w:customStyle="1" w:styleId="-11">
    <w:name w:val="文-1"/>
    <w:basedOn w:val="a1"/>
    <w:semiHidden/>
    <w:qFormat/>
    <w:pPr>
      <w:spacing w:before="120"/>
      <w:ind w:left="851" w:firstLine="482"/>
    </w:pPr>
    <w:rPr>
      <w:rFonts w:ascii="Times New Roman" w:hAnsi="Times New Roman"/>
      <w:sz w:val="24"/>
      <w:szCs w:val="20"/>
    </w:rPr>
  </w:style>
  <w:style w:type="paragraph" w:customStyle="1" w:styleId="15a">
    <w:name w:val="样式 小四 加粗 行距: 1.5 倍行距"/>
    <w:basedOn w:val="a1"/>
    <w:semiHidden/>
    <w:qFormat/>
    <w:pPr>
      <w:spacing w:line="360" w:lineRule="auto"/>
    </w:pPr>
    <w:rPr>
      <w:rFonts w:ascii="Times New Roman" w:hAnsi="Times New Roman" w:cs="宋体"/>
      <w:b/>
      <w:bCs/>
      <w:sz w:val="24"/>
      <w:szCs w:val="20"/>
    </w:rPr>
  </w:style>
  <w:style w:type="paragraph" w:customStyle="1" w:styleId="820">
    <w:name w:val="样式 正文(首行缩进) + 8 磅 加粗 首行缩进:  2 字符"/>
    <w:basedOn w:val="a1"/>
    <w:semiHidden/>
    <w:qFormat/>
    <w:pPr>
      <w:adjustRightInd w:val="0"/>
      <w:snapToGrid w:val="0"/>
      <w:ind w:firstLineChars="200" w:firstLine="200"/>
    </w:pPr>
    <w:rPr>
      <w:rFonts w:ascii="Times New Roman" w:hAnsi="Times New Roman" w:cs="宋体"/>
      <w:b/>
      <w:bCs/>
      <w:snapToGrid w:val="0"/>
      <w:kern w:val="0"/>
      <w:sz w:val="16"/>
      <w:szCs w:val="20"/>
    </w:rPr>
  </w:style>
  <w:style w:type="paragraph" w:customStyle="1" w:styleId="2211H2h22Header2ndPageABCh2mainhead">
    <w:name w:val="样式 标题 2标题21.1H2h2第一层条2Header 2nd PageA.B.C.h2 main head..."/>
    <w:basedOn w:val="2a"/>
    <w:semiHidden/>
    <w:qFormat/>
    <w:pPr>
      <w:snapToGrid w:val="0"/>
      <w:spacing w:beforeLines="0" w:afterLines="0"/>
      <w:jc w:val="both"/>
    </w:pPr>
    <w:rPr>
      <w:rFonts w:ascii="Times New Roman" w:hAnsi="Times New Roman"/>
      <w:bCs w:val="0"/>
      <w:sz w:val="30"/>
      <w:szCs w:val="30"/>
    </w:rPr>
  </w:style>
  <w:style w:type="paragraph" w:customStyle="1" w:styleId="821">
    <w:name w:val="样式 正文(首行缩进) + 8 磅 加粗 首行缩进:  2 字符1"/>
    <w:basedOn w:val="a1"/>
    <w:semiHidden/>
    <w:qFormat/>
    <w:pPr>
      <w:adjustRightInd w:val="0"/>
      <w:snapToGrid w:val="0"/>
      <w:ind w:firstLineChars="200" w:firstLine="200"/>
    </w:pPr>
    <w:rPr>
      <w:rFonts w:ascii="Times New Roman" w:hAnsi="Times New Roman" w:cs="宋体"/>
      <w:b/>
      <w:bCs/>
      <w:snapToGrid w:val="0"/>
      <w:kern w:val="0"/>
      <w:sz w:val="16"/>
      <w:szCs w:val="20"/>
    </w:rPr>
  </w:style>
  <w:style w:type="paragraph" w:customStyle="1" w:styleId="affffffffffffffffffffffd">
    <w:name w:val="表格内文字"/>
    <w:semiHidden/>
    <w:qFormat/>
    <w:pPr>
      <w:keepNext/>
      <w:widowControl w:val="0"/>
      <w:spacing w:line="240" w:lineRule="atLeast"/>
      <w:jc w:val="center"/>
    </w:pPr>
    <w:rPr>
      <w:rFonts w:ascii="宋体" w:hAnsi="宋体"/>
      <w:w w:val="90"/>
    </w:rPr>
  </w:style>
  <w:style w:type="paragraph" w:customStyle="1" w:styleId="affffffffffffffffffffffe">
    <w:name w:val="样式 样式 表格 + (符号) 宋体 五号 居中 + 小五"/>
    <w:basedOn w:val="a1"/>
    <w:semiHidden/>
    <w:qFormat/>
    <w:pPr>
      <w:kinsoku w:val="0"/>
      <w:overflowPunct w:val="0"/>
      <w:adjustRightInd w:val="0"/>
      <w:snapToGrid w:val="0"/>
      <w:jc w:val="center"/>
    </w:pPr>
    <w:rPr>
      <w:rFonts w:ascii="Times New Roman" w:hAnsi="Times New Roman"/>
      <w:snapToGrid w:val="0"/>
      <w:kern w:val="0"/>
      <w:sz w:val="18"/>
      <w:szCs w:val="21"/>
    </w:rPr>
  </w:style>
  <w:style w:type="paragraph" w:customStyle="1" w:styleId="afffffffffffffffffffffff">
    <w:name w:val="样式 表格 + 居中"/>
    <w:basedOn w:val="a1"/>
    <w:semiHidden/>
    <w:qFormat/>
    <w:pPr>
      <w:kinsoku w:val="0"/>
      <w:overflowPunct w:val="0"/>
      <w:adjustRightInd w:val="0"/>
      <w:snapToGrid w:val="0"/>
      <w:jc w:val="center"/>
    </w:pPr>
    <w:rPr>
      <w:rFonts w:ascii="Times New Roman" w:hAnsi="Times New Roman"/>
      <w:snapToGrid w:val="0"/>
      <w:color w:val="000000"/>
      <w:kern w:val="0"/>
      <w:sz w:val="24"/>
      <w:szCs w:val="24"/>
    </w:rPr>
  </w:style>
  <w:style w:type="paragraph" w:customStyle="1" w:styleId="Charfff2">
    <w:name w:val="Char 正文"/>
    <w:basedOn w:val="1a"/>
    <w:semiHidden/>
    <w:qFormat/>
    <w:pPr>
      <w:adjustRightInd w:val="0"/>
      <w:snapToGrid w:val="0"/>
      <w:spacing w:before="240" w:after="240" w:line="348" w:lineRule="auto"/>
    </w:pPr>
    <w:rPr>
      <w:rFonts w:ascii="Tahoma" w:hAnsi="Tahoma"/>
      <w:bCs w:val="0"/>
      <w:sz w:val="24"/>
      <w:szCs w:val="20"/>
    </w:rPr>
  </w:style>
  <w:style w:type="paragraph" w:customStyle="1" w:styleId="afffffffffffffffffffffff0">
    <w:name w:val="正文（缩进）"/>
    <w:basedOn w:val="a1"/>
    <w:semiHidden/>
    <w:qFormat/>
    <w:pPr>
      <w:adjustRightInd w:val="0"/>
      <w:snapToGrid w:val="0"/>
      <w:spacing w:line="360" w:lineRule="auto"/>
      <w:ind w:firstLineChars="200" w:firstLine="200"/>
    </w:pPr>
    <w:rPr>
      <w:rFonts w:ascii="Times New Roman" w:hAnsi="Times New Roman"/>
      <w:snapToGrid w:val="0"/>
      <w:kern w:val="0"/>
      <w:sz w:val="24"/>
      <w:szCs w:val="24"/>
    </w:rPr>
  </w:style>
  <w:style w:type="paragraph" w:customStyle="1" w:styleId="251">
    <w:name w:val="样式 表格 + 左  25 字符1"/>
    <w:basedOn w:val="afffff"/>
    <w:semiHidden/>
    <w:qFormat/>
    <w:pPr>
      <w:widowControl/>
    </w:pPr>
    <w:rPr>
      <w:rFonts w:hAnsi="宋体" w:cs="宋体"/>
      <w:kern w:val="0"/>
      <w:sz w:val="18"/>
      <w:szCs w:val="20"/>
    </w:rPr>
  </w:style>
  <w:style w:type="paragraph" w:customStyle="1" w:styleId="2lxb2211H2h2Char41SeHea">
    <w:name w:val="样式 标题 2二级标题标题 lxb2标题21.1H2h2第一层条二级标题 Char单位名4.1SeHea..."/>
    <w:basedOn w:val="afffffffffffffffffffb"/>
    <w:next w:val="afffffffffffffffffffb"/>
    <w:semiHidden/>
    <w:qFormat/>
    <w:pPr>
      <w:ind w:firstLineChars="0" w:firstLine="0"/>
    </w:pPr>
    <w:rPr>
      <w:rFonts w:eastAsia="黑体" w:cs="宋体"/>
      <w:b/>
    </w:rPr>
  </w:style>
  <w:style w:type="paragraph" w:customStyle="1" w:styleId="CharChar8">
    <w:name w:val="表题 Char Char"/>
    <w:basedOn w:val="a1"/>
    <w:link w:val="CharCharChar4"/>
    <w:qFormat/>
    <w:pPr>
      <w:spacing w:line="360" w:lineRule="auto"/>
      <w:ind w:firstLineChars="200" w:firstLine="480"/>
    </w:pPr>
    <w:rPr>
      <w:rFonts w:ascii="宋体" w:hAnsi="宋体"/>
      <w:bCs/>
      <w:kern w:val="0"/>
      <w:sz w:val="24"/>
      <w:szCs w:val="24"/>
    </w:rPr>
  </w:style>
  <w:style w:type="paragraph" w:customStyle="1" w:styleId="402">
    <w:name w:val="样式 二号 居中 行距: 固定值 40 磅"/>
    <w:basedOn w:val="a1"/>
    <w:qFormat/>
    <w:pPr>
      <w:adjustRightInd w:val="0"/>
      <w:spacing w:line="800" w:lineRule="exact"/>
      <w:jc w:val="center"/>
      <w:textAlignment w:val="baseline"/>
    </w:pPr>
    <w:rPr>
      <w:rFonts w:ascii="Times New Roman" w:hAnsi="Times New Roman" w:cs="宋体"/>
      <w:spacing w:val="-2"/>
      <w:kern w:val="0"/>
      <w:sz w:val="44"/>
      <w:szCs w:val="20"/>
    </w:rPr>
  </w:style>
  <w:style w:type="paragraph" w:customStyle="1" w:styleId="afffffffffffffffffffffff1">
    <w:name w:val="标准段落"/>
    <w:basedOn w:val="a1"/>
    <w:next w:val="a1"/>
    <w:link w:val="Charfff3"/>
    <w:qFormat/>
    <w:pPr>
      <w:spacing w:line="500" w:lineRule="exact"/>
      <w:ind w:firstLineChars="200" w:firstLine="560"/>
    </w:pPr>
    <w:rPr>
      <w:rFonts w:ascii="Times New Roman" w:hAnsi="宋体"/>
      <w:sz w:val="28"/>
      <w:szCs w:val="28"/>
    </w:rPr>
  </w:style>
  <w:style w:type="paragraph" w:customStyle="1" w:styleId="3fff1">
    <w:name w:val="样式 样式 标题 3 + 宋体 小四 + 非加粗"/>
    <w:basedOn w:val="4a"/>
    <w:next w:val="4a"/>
    <w:link w:val="3Char0"/>
    <w:qFormat/>
    <w:pPr>
      <w:widowControl/>
      <w:snapToGrid w:val="0"/>
      <w:spacing w:before="200" w:after="80" w:line="240" w:lineRule="auto"/>
      <w:jc w:val="left"/>
    </w:pPr>
    <w:rPr>
      <w:rFonts w:ascii="宋体" w:hAnsi="宋体" w:cs="Times New Roman"/>
      <w:b w:val="0"/>
      <w:i/>
      <w:iCs/>
      <w:kern w:val="0"/>
      <w:sz w:val="24"/>
      <w:szCs w:val="24"/>
      <w:lang w:eastAsia="en-US" w:bidi="en-US"/>
    </w:rPr>
  </w:style>
  <w:style w:type="paragraph" w:customStyle="1" w:styleId="afffffffffffffffffffffff2">
    <w:name w:val="正文！"/>
    <w:basedOn w:val="a1"/>
    <w:qFormat/>
    <w:pPr>
      <w:spacing w:line="500" w:lineRule="exact"/>
      <w:ind w:firstLine="482"/>
    </w:pPr>
    <w:rPr>
      <w:rFonts w:ascii="楷体_GB2312" w:hAnsi="Times New Roman" w:cs="宋体"/>
      <w:sz w:val="24"/>
      <w:szCs w:val="20"/>
    </w:rPr>
  </w:style>
  <w:style w:type="paragraph" w:customStyle="1" w:styleId="2H211lxb211h2CharChar">
    <w:name w:val="样式 标题 2节H2节标题 1.1二级标题标题 lxb21.1h2第一层条二级标题 Char表标题单位名... Char"/>
    <w:basedOn w:val="2a"/>
    <w:link w:val="2H211lxb211h2CharCharChar"/>
    <w:qFormat/>
    <w:pPr>
      <w:overflowPunct w:val="0"/>
      <w:autoSpaceDE w:val="0"/>
      <w:autoSpaceDN w:val="0"/>
      <w:adjustRightInd w:val="0"/>
      <w:spacing w:beforeLines="0" w:afterLines="0"/>
      <w:ind w:left="314" w:hanging="314"/>
      <w:jc w:val="both"/>
      <w:textAlignment w:val="baseline"/>
    </w:pPr>
    <w:rPr>
      <w:rFonts w:ascii="黑体" w:hAnsi="宋体"/>
      <w:b w:val="0"/>
      <w:color w:val="000000"/>
      <w:sz w:val="28"/>
      <w:szCs w:val="28"/>
    </w:rPr>
  </w:style>
  <w:style w:type="paragraph" w:customStyle="1" w:styleId="afffffffffffffffffffffff3">
    <w:name w:val="样式 图表头 + (符号) 黑体 红色"/>
    <w:basedOn w:val="a1"/>
    <w:link w:val="CharChar9"/>
    <w:qFormat/>
    <w:pPr>
      <w:adjustRightInd w:val="0"/>
      <w:jc w:val="center"/>
      <w:textAlignment w:val="baseline"/>
    </w:pPr>
    <w:rPr>
      <w:rFonts w:ascii="黑体" w:eastAsia="仿宋_GB2312" w:cs="黑体"/>
      <w:color w:val="FF0000"/>
      <w:spacing w:val="5"/>
      <w:sz w:val="24"/>
    </w:rPr>
  </w:style>
  <w:style w:type="paragraph" w:customStyle="1" w:styleId="afffffffffffffffffffffff4">
    <w:name w:val="表头标题"/>
    <w:basedOn w:val="a1"/>
    <w:qFormat/>
    <w:pPr>
      <w:spacing w:line="240" w:lineRule="atLeast"/>
      <w:jc w:val="center"/>
    </w:pPr>
    <w:rPr>
      <w:rFonts w:ascii="黑体" w:eastAsia="黑体" w:hAnsi="Times New Roman"/>
      <w:szCs w:val="21"/>
    </w:rPr>
  </w:style>
  <w:style w:type="paragraph" w:customStyle="1" w:styleId="afffffffffffffffffffffff5">
    <w:name w:val="山焦报告正文"/>
    <w:basedOn w:val="a1"/>
    <w:qFormat/>
    <w:pPr>
      <w:adjustRightInd w:val="0"/>
      <w:snapToGrid w:val="0"/>
      <w:spacing w:beforeLines="25" w:line="440" w:lineRule="exact"/>
      <w:ind w:firstLineChars="200" w:firstLine="200"/>
    </w:pPr>
    <w:rPr>
      <w:rFonts w:ascii="Times New Roman" w:hAnsi="Times New Roman"/>
      <w:color w:val="000000"/>
      <w:sz w:val="24"/>
      <w:szCs w:val="24"/>
    </w:rPr>
  </w:style>
  <w:style w:type="paragraph" w:customStyle="1" w:styleId="CharCharCharCharCharCharCharCharCharCharCharCharChar">
    <w:name w:val="Char Char Char Char Char Char Char Char Char Char Char Char Char"/>
    <w:basedOn w:val="a1"/>
    <w:next w:val="a1"/>
    <w:qFormat/>
    <w:pPr>
      <w:spacing w:line="360" w:lineRule="auto"/>
      <w:ind w:firstLineChars="200" w:firstLine="200"/>
    </w:pPr>
    <w:rPr>
      <w:rFonts w:ascii="Times New Roman" w:hAnsi="Times New Roman"/>
      <w:sz w:val="24"/>
      <w:szCs w:val="24"/>
    </w:rPr>
  </w:style>
  <w:style w:type="paragraph" w:customStyle="1" w:styleId="afffffffffffffffffffffff6">
    <w:name w:val="正文缩"/>
    <w:basedOn w:val="a1"/>
    <w:next w:val="2e"/>
    <w:link w:val="Charfff4"/>
    <w:qFormat/>
    <w:pPr>
      <w:spacing w:line="360" w:lineRule="auto"/>
      <w:ind w:firstLineChars="5" w:firstLine="12"/>
      <w:jc w:val="left"/>
    </w:pPr>
    <w:rPr>
      <w:rFonts w:eastAsia="仿宋_GB2312" w:hAnsi="宋体" w:cs="黑体"/>
      <w:sz w:val="28"/>
    </w:rPr>
  </w:style>
  <w:style w:type="paragraph" w:customStyle="1" w:styleId="tille4">
    <w:name w:val="样式 tille4 +"/>
    <w:basedOn w:val="a1"/>
    <w:link w:val="tille4Char"/>
    <w:qFormat/>
    <w:pPr>
      <w:ind w:firstLineChars="200" w:firstLine="200"/>
      <w:jc w:val="left"/>
    </w:pPr>
    <w:rPr>
      <w:rFonts w:ascii="Arial" w:hAnsi="Arial" w:cs="黑体"/>
      <w:b/>
      <w:bCs/>
      <w:sz w:val="24"/>
      <w:szCs w:val="32"/>
    </w:rPr>
  </w:style>
  <w:style w:type="paragraph" w:customStyle="1" w:styleId="afffffffffffffffffffffff7">
    <w:name w:val="正文."/>
    <w:basedOn w:val="a1"/>
    <w:link w:val="Charfff5"/>
    <w:qFormat/>
    <w:pPr>
      <w:tabs>
        <w:tab w:val="left" w:pos="567"/>
      </w:tabs>
      <w:adjustRightInd w:val="0"/>
      <w:snapToGrid w:val="0"/>
      <w:spacing w:line="440" w:lineRule="atLeast"/>
      <w:ind w:firstLineChars="200" w:firstLine="480"/>
    </w:pPr>
    <w:rPr>
      <w:rFonts w:ascii="宋体" w:hAnsi="宋体" w:cs="黑体"/>
      <w:snapToGrid w:val="0"/>
      <w:sz w:val="24"/>
      <w:szCs w:val="24"/>
    </w:rPr>
  </w:style>
  <w:style w:type="paragraph" w:customStyle="1" w:styleId="afffffffffffffffffffffff8">
    <w:name w:val="正文段落（宋旭峰）"/>
    <w:basedOn w:val="a1"/>
    <w:link w:val="Charfff6"/>
    <w:qFormat/>
    <w:pPr>
      <w:spacing w:line="360" w:lineRule="auto"/>
      <w:ind w:firstLineChars="200" w:firstLine="200"/>
      <w:jc w:val="left"/>
    </w:pPr>
    <w:rPr>
      <w:rFonts w:cs="黑体"/>
      <w:snapToGrid w:val="0"/>
      <w:sz w:val="24"/>
      <w:szCs w:val="24"/>
    </w:rPr>
  </w:style>
  <w:style w:type="paragraph" w:customStyle="1" w:styleId="2GB2312">
    <w:name w:val="样式 正文文本缩进 2 + (中文) 仿宋_GB2312 小四"/>
    <w:basedOn w:val="2e"/>
    <w:link w:val="2GB2312Char"/>
    <w:qFormat/>
    <w:rPr>
      <w:rFonts w:ascii="Calibri" w:hAnsi="Calibri" w:cs="黑体"/>
      <w:kern w:val="2"/>
      <w:sz w:val="24"/>
      <w:szCs w:val="24"/>
    </w:rPr>
  </w:style>
  <w:style w:type="paragraph" w:customStyle="1" w:styleId="afffffffffffffffffffffff9">
    <w:name w:val="表格上标"/>
    <w:basedOn w:val="aff1"/>
    <w:link w:val="Charfff7"/>
    <w:qFormat/>
    <w:pPr>
      <w:spacing w:line="360" w:lineRule="exact"/>
      <w:ind w:firstLineChars="0" w:firstLine="0"/>
      <w:jc w:val="center"/>
    </w:pPr>
    <w:rPr>
      <w:rFonts w:ascii="Calibri" w:hAnsi="Calibri"/>
      <w:sz w:val="18"/>
      <w:szCs w:val="18"/>
      <w:vertAlign w:val="superscript"/>
    </w:rPr>
  </w:style>
  <w:style w:type="paragraph" w:customStyle="1" w:styleId="afffffffffffffffffffffffa">
    <w:name w:val="文章正文"/>
    <w:basedOn w:val="a1"/>
    <w:link w:val="Charfff8"/>
    <w:qFormat/>
    <w:pPr>
      <w:spacing w:beforeLines="50" w:afterLines="50" w:line="360" w:lineRule="auto"/>
      <w:ind w:firstLineChars="200" w:firstLine="480"/>
    </w:pPr>
    <w:rPr>
      <w:rFonts w:ascii="宋体" w:hAnsi="宋体" w:cs="黑体"/>
      <w:sz w:val="24"/>
      <w:szCs w:val="24"/>
    </w:rPr>
  </w:style>
  <w:style w:type="paragraph" w:customStyle="1" w:styleId="afffffffffffffffffffffffb">
    <w:name w:val="★居中"/>
    <w:basedOn w:val="a1"/>
    <w:link w:val="Charfff9"/>
    <w:qFormat/>
    <w:pPr>
      <w:widowControl/>
      <w:jc w:val="center"/>
    </w:pPr>
    <w:rPr>
      <w:rFonts w:eastAsia="仿宋_GB2312" w:cs="黑体"/>
      <w:sz w:val="24"/>
      <w:szCs w:val="21"/>
    </w:rPr>
  </w:style>
  <w:style w:type="paragraph" w:customStyle="1" w:styleId="2fffff0">
    <w:name w:val="★正文缩进2字符"/>
    <w:basedOn w:val="a1"/>
    <w:link w:val="2Char5"/>
    <w:qFormat/>
    <w:pPr>
      <w:widowControl/>
      <w:spacing w:line="360" w:lineRule="auto"/>
      <w:ind w:firstLine="482"/>
      <w:jc w:val="left"/>
    </w:pPr>
    <w:rPr>
      <w:rFonts w:eastAsia="仿宋_GB2312" w:cs="黑体"/>
      <w:color w:val="000000"/>
      <w:sz w:val="24"/>
      <w:szCs w:val="24"/>
    </w:rPr>
  </w:style>
  <w:style w:type="paragraph" w:customStyle="1" w:styleId="afffffffffffffffffffffffc">
    <w:name w:val="正文小四"/>
    <w:link w:val="Charfffa"/>
    <w:qFormat/>
    <w:pPr>
      <w:spacing w:line="360" w:lineRule="auto"/>
      <w:ind w:firstLineChars="200" w:firstLine="480"/>
      <w:jc w:val="both"/>
    </w:pPr>
    <w:rPr>
      <w:rFonts w:ascii="Calibri" w:hAnsi="Calibri" w:cs="黑体"/>
      <w:kern w:val="2"/>
      <w:sz w:val="24"/>
      <w:szCs w:val="24"/>
    </w:rPr>
  </w:style>
  <w:style w:type="paragraph" w:customStyle="1" w:styleId="000">
    <w:name w:val="000"/>
    <w:basedOn w:val="a1"/>
    <w:link w:val="000Char"/>
    <w:qFormat/>
    <w:pPr>
      <w:spacing w:line="360" w:lineRule="auto"/>
      <w:ind w:firstLineChars="200" w:firstLine="480"/>
    </w:pPr>
    <w:rPr>
      <w:rFonts w:cs="黑体"/>
      <w:sz w:val="24"/>
      <w:szCs w:val="24"/>
    </w:rPr>
  </w:style>
  <w:style w:type="paragraph" w:customStyle="1" w:styleId="1fffff6">
    <w:name w:val="正文缩1"/>
    <w:basedOn w:val="a1"/>
    <w:link w:val="1Char7"/>
    <w:qFormat/>
    <w:pPr>
      <w:adjustRightInd w:val="0"/>
      <w:snapToGrid w:val="0"/>
      <w:spacing w:line="360" w:lineRule="auto"/>
      <w:ind w:firstLineChars="200" w:firstLine="480"/>
    </w:pPr>
    <w:rPr>
      <w:rFonts w:cs="黑体"/>
      <w:sz w:val="24"/>
    </w:rPr>
  </w:style>
  <w:style w:type="paragraph" w:customStyle="1" w:styleId="1-0">
    <w:name w:val="1-正文样式"/>
    <w:basedOn w:val="a1"/>
    <w:link w:val="1-Char0"/>
    <w:qFormat/>
    <w:pPr>
      <w:spacing w:afterLines="50" w:line="360" w:lineRule="auto"/>
      <w:ind w:firstLineChars="200" w:firstLine="200"/>
    </w:pPr>
    <w:rPr>
      <w:rFonts w:cs="黑体"/>
      <w:sz w:val="24"/>
      <w:szCs w:val="24"/>
    </w:rPr>
  </w:style>
  <w:style w:type="paragraph" w:customStyle="1" w:styleId="afffffffffffffffffffffffd">
    <w:name w:val="表格内正文"/>
    <w:link w:val="Charfffb"/>
    <w:qFormat/>
    <w:pPr>
      <w:widowControl w:val="0"/>
      <w:spacing w:line="360" w:lineRule="exact"/>
      <w:ind w:firstLineChars="200" w:firstLine="420"/>
      <w:jc w:val="both"/>
    </w:pPr>
    <w:rPr>
      <w:rFonts w:ascii="Calibri" w:hAnsi="Calibri" w:cs="黑体"/>
      <w:kern w:val="2"/>
      <w:sz w:val="21"/>
      <w:szCs w:val="24"/>
    </w:rPr>
  </w:style>
  <w:style w:type="paragraph" w:customStyle="1" w:styleId="2Char6">
    <w:name w:val="正文 + 首行缩进:  2 字符 Char"/>
    <w:basedOn w:val="a1"/>
    <w:link w:val="2CharChar0"/>
    <w:qFormat/>
    <w:pPr>
      <w:spacing w:line="360" w:lineRule="auto"/>
      <w:ind w:firstLineChars="200" w:firstLine="480"/>
    </w:pPr>
    <w:rPr>
      <w:rFonts w:cs="黑体"/>
      <w:sz w:val="24"/>
      <w:szCs w:val="24"/>
    </w:rPr>
  </w:style>
  <w:style w:type="paragraph" w:customStyle="1" w:styleId="2GB23120">
    <w:name w:val="样式 正文文本缩进 2 + (中文) 仿宋_GB2312 小四 红色"/>
    <w:basedOn w:val="2e"/>
    <w:link w:val="2GB2312Char0"/>
    <w:qFormat/>
    <w:rPr>
      <w:rFonts w:ascii="Calibri" w:hAnsi="Calibri" w:cs="黑体"/>
      <w:color w:val="FF0000"/>
      <w:kern w:val="2"/>
      <w:sz w:val="24"/>
      <w:szCs w:val="24"/>
    </w:rPr>
  </w:style>
  <w:style w:type="paragraph" w:customStyle="1" w:styleId="afffffffffffffffffffffffe">
    <w:name w:val="图头"/>
    <w:basedOn w:val="a2"/>
    <w:next w:val="a1"/>
    <w:link w:val="Charfffc"/>
    <w:qFormat/>
    <w:pPr>
      <w:adjustRightInd/>
      <w:snapToGrid/>
      <w:spacing w:line="360" w:lineRule="auto"/>
      <w:ind w:firstLineChars="0" w:firstLine="0"/>
      <w:jc w:val="center"/>
    </w:pPr>
    <w:rPr>
      <w:rFonts w:ascii="Calibri" w:eastAsia="宋体" w:hAnsi="宋体" w:cs="黑体"/>
      <w:b/>
      <w:color w:val="000000"/>
      <w:kern w:val="2"/>
      <w:szCs w:val="24"/>
    </w:rPr>
  </w:style>
  <w:style w:type="paragraph" w:customStyle="1" w:styleId="2head08h2MajorHeadingMajorHeading12Char">
    <w:name w:val="样式 标题 2节head 08h2Major HeadingMajor Heading1标题 2 Char + 段后..."/>
    <w:basedOn w:val="2a"/>
    <w:qFormat/>
    <w:pPr>
      <w:tabs>
        <w:tab w:val="left" w:pos="540"/>
      </w:tabs>
      <w:spacing w:beforeLines="50" w:after="156"/>
      <w:jc w:val="both"/>
    </w:pPr>
    <w:rPr>
      <w:rFonts w:ascii="Times New Roman" w:eastAsia="楷体_GB2312" w:hAnsi="Times New Roman" w:cs="宋体"/>
      <w:bCs w:val="0"/>
      <w:sz w:val="24"/>
      <w:szCs w:val="20"/>
    </w:rPr>
  </w:style>
  <w:style w:type="paragraph" w:customStyle="1" w:styleId="cdb">
    <w:name w:val="cdb"/>
    <w:basedOn w:val="a1"/>
    <w:qFormat/>
    <w:pPr>
      <w:spacing w:before="120"/>
      <w:ind w:left="851" w:firstLine="482"/>
    </w:pPr>
    <w:rPr>
      <w:rFonts w:ascii="Times New Roman" w:hAnsi="Times New Roman"/>
      <w:sz w:val="24"/>
      <w:szCs w:val="20"/>
    </w:rPr>
  </w:style>
  <w:style w:type="paragraph" w:customStyle="1" w:styleId="zxz">
    <w:name w:val="表格—zxz"/>
    <w:basedOn w:val="a1"/>
    <w:qFormat/>
    <w:pPr>
      <w:spacing w:line="360" w:lineRule="auto"/>
    </w:pPr>
    <w:rPr>
      <w:rFonts w:ascii="Times New Roman" w:hAnsi="Times New Roman"/>
      <w:sz w:val="18"/>
      <w:szCs w:val="18"/>
    </w:rPr>
  </w:style>
  <w:style w:type="paragraph" w:customStyle="1" w:styleId="p9">
    <w:name w:val="p9"/>
    <w:basedOn w:val="a1"/>
    <w:qFormat/>
    <w:pPr>
      <w:widowControl/>
      <w:spacing w:before="100" w:beforeAutospacing="1" w:after="100" w:afterAutospacing="1" w:line="432" w:lineRule="auto"/>
      <w:jc w:val="left"/>
    </w:pPr>
    <w:rPr>
      <w:rFonts w:ascii="ˎ̥" w:hAnsi="ˎ̥" w:cs="宋体"/>
      <w:color w:val="000000"/>
      <w:kern w:val="0"/>
      <w:sz w:val="18"/>
      <w:szCs w:val="18"/>
    </w:rPr>
  </w:style>
  <w:style w:type="paragraph" w:customStyle="1" w:styleId="CM70">
    <w:name w:val="CM70"/>
    <w:basedOn w:val="Default"/>
    <w:next w:val="Default"/>
    <w:qFormat/>
    <w:pPr>
      <w:spacing w:after="255"/>
    </w:pPr>
    <w:rPr>
      <w:rFonts w:ascii="Sim Hei" w:eastAsia="Sim Hei"/>
      <w:color w:val="auto"/>
    </w:rPr>
  </w:style>
  <w:style w:type="paragraph" w:customStyle="1" w:styleId="techdata">
    <w:name w:val="tech data"/>
    <w:basedOn w:val="a1"/>
    <w:next w:val="a1"/>
    <w:qFormat/>
    <w:pPr>
      <w:widowControl/>
      <w:tabs>
        <w:tab w:val="left" w:pos="5670"/>
      </w:tabs>
      <w:spacing w:before="80"/>
    </w:pPr>
    <w:rPr>
      <w:rFonts w:ascii="Arial" w:hAnsi="Arial"/>
      <w:kern w:val="0"/>
      <w:sz w:val="24"/>
      <w:szCs w:val="20"/>
    </w:rPr>
  </w:style>
  <w:style w:type="paragraph" w:customStyle="1" w:styleId="11-h11stlevelSectionHeadl1b1111">
    <w:name w:val="样式 标题 1章标题 1-*+h11st levelSection Headl1b1标题 1 1 + 宋体 小...1"/>
    <w:basedOn w:val="1a"/>
    <w:qFormat/>
    <w:pPr>
      <w:snapToGrid w:val="0"/>
      <w:spacing w:before="0" w:after="0" w:line="360" w:lineRule="auto"/>
      <w:textAlignment w:val="baseline"/>
    </w:pPr>
    <w:rPr>
      <w:rFonts w:ascii="宋体" w:hAnsi="宋体" w:cs="宋体"/>
      <w:sz w:val="28"/>
      <w:szCs w:val="20"/>
    </w:rPr>
  </w:style>
  <w:style w:type="paragraph" w:customStyle="1" w:styleId="CharCharCharChar1CharCharCharCharCharCharCharCharCharChar">
    <w:name w:val="Char Char Char Char1 Char Char Char Char Char Char Char Char Char Char"/>
    <w:basedOn w:val="a1"/>
    <w:qFormat/>
    <w:pPr>
      <w:tabs>
        <w:tab w:val="left" w:pos="2580"/>
      </w:tabs>
      <w:ind w:left="2580" w:hanging="420"/>
    </w:pPr>
    <w:rPr>
      <w:rFonts w:ascii="Times New Roman" w:hAnsi="Times New Roman"/>
      <w:szCs w:val="21"/>
    </w:rPr>
  </w:style>
  <w:style w:type="paragraph" w:customStyle="1" w:styleId="affffffffffffffffffffffff">
    <w:name w:val="a)"/>
    <w:basedOn w:val="a1"/>
    <w:qFormat/>
    <w:pPr>
      <w:autoSpaceDE w:val="0"/>
      <w:autoSpaceDN w:val="0"/>
      <w:adjustRightInd w:val="0"/>
      <w:spacing w:line="360" w:lineRule="auto"/>
      <w:ind w:firstLine="567"/>
      <w:textAlignment w:val="baseline"/>
    </w:pPr>
    <w:rPr>
      <w:rFonts w:ascii="Times New Roman" w:hAnsi="Times New Roman"/>
      <w:kern w:val="0"/>
      <w:sz w:val="28"/>
      <w:szCs w:val="20"/>
    </w:rPr>
  </w:style>
  <w:style w:type="paragraph" w:customStyle="1" w:styleId="1fffff7">
    <w:name w:val="正文1缩进"/>
    <w:basedOn w:val="1fc"/>
    <w:qFormat/>
    <w:pPr>
      <w:snapToGrid w:val="0"/>
      <w:spacing w:beforeLines="50" w:afterLines="50" w:line="380" w:lineRule="atLeast"/>
      <w:ind w:leftChars="410" w:left="984" w:firstLineChars="2" w:firstLine="5"/>
      <w:textAlignment w:val="auto"/>
    </w:pPr>
    <w:rPr>
      <w:rFonts w:hAnsi="宋体"/>
      <w:snapToGrid w:val="0"/>
      <w:color w:val="000000"/>
      <w:szCs w:val="24"/>
    </w:rPr>
  </w:style>
  <w:style w:type="paragraph" w:customStyle="1" w:styleId="1fffff8">
    <w:name w:val="标书正文1"/>
    <w:basedOn w:val="a1"/>
    <w:qFormat/>
    <w:pPr>
      <w:spacing w:before="100" w:after="100" w:line="440" w:lineRule="atLeast"/>
      <w:ind w:leftChars="85" w:left="180" w:hanging="2"/>
    </w:pPr>
    <w:rPr>
      <w:rFonts w:ascii="仿宋_GB2312" w:eastAsia="仿宋_GB2312" w:hAnsi="宋体"/>
      <w:bCs/>
      <w:color w:val="000000"/>
      <w:spacing w:val="20"/>
      <w:sz w:val="28"/>
      <w:szCs w:val="20"/>
    </w:rPr>
  </w:style>
  <w:style w:type="paragraph" w:customStyle="1" w:styleId="3fff2">
    <w:name w:val="样式 标题 3 + (西文) 宋体 (中文) 宋体"/>
    <w:basedOn w:val="3a"/>
    <w:qFormat/>
    <w:pPr>
      <w:spacing w:before="0" w:after="0" w:line="360" w:lineRule="auto"/>
      <w:jc w:val="left"/>
    </w:pPr>
    <w:rPr>
      <w:rFonts w:ascii="宋体" w:hAnsi="宋体"/>
      <w:bCs w:val="0"/>
      <w:kern w:val="2"/>
      <w:sz w:val="24"/>
    </w:rPr>
  </w:style>
  <w:style w:type="paragraph" w:customStyle="1" w:styleId="CharCharChar40">
    <w:name w:val="Char Char Char4"/>
    <w:basedOn w:val="a1"/>
    <w:qFormat/>
    <w:rPr>
      <w:rFonts w:ascii="Times New Roman" w:hAnsi="Times New Roman"/>
      <w:szCs w:val="21"/>
    </w:rPr>
  </w:style>
  <w:style w:type="paragraph" w:customStyle="1" w:styleId="CharChar1CharCharChar">
    <w:name w:val="Char Char1 Char Char Char"/>
    <w:basedOn w:val="a1"/>
    <w:qFormat/>
    <w:rPr>
      <w:rFonts w:ascii="Times New Roman" w:hAnsi="Times New Roman"/>
      <w:szCs w:val="21"/>
    </w:rPr>
  </w:style>
  <w:style w:type="paragraph" w:customStyle="1" w:styleId="affffffffffffffffffffffff0">
    <w:name w:val="表格右齐"/>
    <w:basedOn w:val="a1"/>
    <w:qFormat/>
    <w:pPr>
      <w:tabs>
        <w:tab w:val="left" w:pos="425"/>
      </w:tabs>
      <w:spacing w:line="360" w:lineRule="auto"/>
      <w:ind w:left="425" w:hanging="425"/>
    </w:pPr>
    <w:rPr>
      <w:rFonts w:ascii="Times New Roman" w:hAnsi="Times New Roman"/>
      <w:b/>
      <w:bCs/>
      <w:sz w:val="28"/>
      <w:szCs w:val="28"/>
    </w:rPr>
  </w:style>
  <w:style w:type="paragraph" w:customStyle="1" w:styleId="125">
    <w:name w:val="样式 公式1 + 首行缩进:  2 字符"/>
    <w:basedOn w:val="a1"/>
    <w:qFormat/>
    <w:pPr>
      <w:spacing w:line="1000" w:lineRule="exact"/>
      <w:ind w:firstLineChars="400" w:firstLine="400"/>
      <w:textAlignment w:val="baseline"/>
    </w:pPr>
    <w:rPr>
      <w:rFonts w:ascii="Times New Roman" w:hAnsi="Times New Roman" w:cs="宋体"/>
      <w:b/>
      <w:kern w:val="0"/>
      <w:sz w:val="28"/>
      <w:szCs w:val="20"/>
    </w:rPr>
  </w:style>
  <w:style w:type="paragraph" w:customStyle="1" w:styleId="GB2312">
    <w:name w:val="样式 (中文) 仿宋_GB2312 小四 红色 居中"/>
    <w:basedOn w:val="a1"/>
    <w:qFormat/>
    <w:pPr>
      <w:jc w:val="center"/>
    </w:pPr>
    <w:rPr>
      <w:rFonts w:ascii="Times New Roman" w:hAnsi="Times New Roman" w:cs="宋体"/>
      <w:color w:val="FF0000"/>
      <w:sz w:val="24"/>
      <w:szCs w:val="20"/>
    </w:rPr>
  </w:style>
  <w:style w:type="paragraph" w:customStyle="1" w:styleId="Normalgras">
    <w:name w:val="Normal gras"/>
    <w:basedOn w:val="a1"/>
    <w:next w:val="a1"/>
    <w:qFormat/>
    <w:pPr>
      <w:widowControl/>
      <w:tabs>
        <w:tab w:val="left" w:pos="288"/>
      </w:tabs>
      <w:suppressAutoHyphens/>
      <w:spacing w:after="120"/>
    </w:pPr>
    <w:rPr>
      <w:rFonts w:ascii="Arial" w:hAnsi="Arial"/>
      <w:b/>
      <w:kern w:val="0"/>
      <w:sz w:val="24"/>
      <w:szCs w:val="20"/>
    </w:rPr>
  </w:style>
  <w:style w:type="paragraph" w:customStyle="1" w:styleId="cucd-2">
    <w:name w:val="cucd-2"/>
    <w:next w:val="cucd-3"/>
    <w:qFormat/>
    <w:pPr>
      <w:tabs>
        <w:tab w:val="left" w:pos="567"/>
      </w:tabs>
      <w:spacing w:line="360" w:lineRule="auto"/>
      <w:ind w:left="567" w:hanging="567"/>
      <w:outlineLvl w:val="1"/>
    </w:pPr>
    <w:rPr>
      <w:rFonts w:eastAsia="黑体"/>
      <w:b/>
      <w:kern w:val="2"/>
      <w:sz w:val="30"/>
      <w:szCs w:val="24"/>
    </w:rPr>
  </w:style>
  <w:style w:type="paragraph" w:customStyle="1" w:styleId="cucd-3">
    <w:name w:val="cucd-3"/>
    <w:next w:val="cucd-4"/>
    <w:qFormat/>
    <w:pPr>
      <w:tabs>
        <w:tab w:val="left" w:pos="1820"/>
      </w:tabs>
      <w:spacing w:line="360" w:lineRule="auto"/>
      <w:ind w:left="1820" w:hanging="420"/>
      <w:outlineLvl w:val="2"/>
    </w:pPr>
    <w:rPr>
      <w:b/>
      <w:kern w:val="2"/>
      <w:sz w:val="28"/>
      <w:szCs w:val="24"/>
    </w:rPr>
  </w:style>
  <w:style w:type="paragraph" w:customStyle="1" w:styleId="cucd-4">
    <w:name w:val="cucd-4"/>
    <w:next w:val="cucd-0"/>
    <w:qFormat/>
    <w:pPr>
      <w:tabs>
        <w:tab w:val="left" w:pos="2240"/>
      </w:tabs>
      <w:spacing w:line="360" w:lineRule="auto"/>
      <w:ind w:left="2240" w:hanging="420"/>
      <w:outlineLvl w:val="3"/>
    </w:pPr>
    <w:rPr>
      <w:b/>
      <w:kern w:val="2"/>
      <w:sz w:val="24"/>
      <w:szCs w:val="24"/>
    </w:rPr>
  </w:style>
  <w:style w:type="paragraph" w:customStyle="1" w:styleId="cucd-0">
    <w:name w:val="cucd-0"/>
    <w:qFormat/>
    <w:pPr>
      <w:spacing w:line="360" w:lineRule="auto"/>
      <w:ind w:firstLineChars="200" w:firstLine="480"/>
    </w:pPr>
    <w:rPr>
      <w:kern w:val="2"/>
      <w:sz w:val="24"/>
      <w:szCs w:val="24"/>
    </w:rPr>
  </w:style>
  <w:style w:type="paragraph" w:customStyle="1" w:styleId="affffffffffffffffffffffff1">
    <w:name w:val="表心"/>
    <w:basedOn w:val="a1"/>
    <w:qFormat/>
    <w:pPr>
      <w:adjustRightInd w:val="0"/>
      <w:spacing w:before="30" w:after="30"/>
      <w:jc w:val="left"/>
      <w:textAlignment w:val="baseline"/>
    </w:pPr>
    <w:rPr>
      <w:rFonts w:ascii="宋体" w:hAnsi="Times New Roman"/>
      <w:sz w:val="24"/>
      <w:szCs w:val="20"/>
    </w:rPr>
  </w:style>
  <w:style w:type="paragraph" w:customStyle="1" w:styleId="2fffff1">
    <w:name w:val="技术标题2"/>
    <w:basedOn w:val="a1"/>
    <w:qFormat/>
    <w:pPr>
      <w:keepNext/>
      <w:keepLines/>
      <w:adjustRightInd w:val="0"/>
      <w:snapToGrid w:val="0"/>
      <w:spacing w:beforeLines="150" w:afterLines="50"/>
      <w:outlineLvl w:val="3"/>
    </w:pPr>
    <w:rPr>
      <w:rFonts w:ascii="Arial" w:hAnsi="Arial"/>
      <w:b/>
      <w:bCs/>
      <w:color w:val="000000"/>
      <w:sz w:val="32"/>
      <w:szCs w:val="28"/>
    </w:rPr>
  </w:style>
  <w:style w:type="paragraph" w:customStyle="1" w:styleId="DefinitionTerm">
    <w:name w:val="Definition Term"/>
    <w:basedOn w:val="a1"/>
    <w:next w:val="a1"/>
    <w:qFormat/>
    <w:pPr>
      <w:autoSpaceDE w:val="0"/>
      <w:autoSpaceDN w:val="0"/>
      <w:adjustRightInd w:val="0"/>
      <w:jc w:val="left"/>
    </w:pPr>
    <w:rPr>
      <w:rFonts w:ascii="Times New Roman" w:hAnsi="Times New Roman"/>
      <w:kern w:val="0"/>
      <w:sz w:val="24"/>
      <w:szCs w:val="20"/>
    </w:rPr>
  </w:style>
  <w:style w:type="paragraph" w:customStyle="1" w:styleId="1233">
    <w:name w:val="1233"/>
    <w:basedOn w:val="a1"/>
    <w:qFormat/>
    <w:pPr>
      <w:spacing w:before="100" w:beforeAutospacing="1" w:line="360" w:lineRule="auto"/>
      <w:ind w:firstLineChars="200" w:firstLine="480"/>
    </w:pPr>
    <w:rPr>
      <w:rFonts w:ascii="Times New Roman" w:hAnsi="Times New Roman"/>
      <w:sz w:val="24"/>
      <w:szCs w:val="24"/>
    </w:rPr>
  </w:style>
  <w:style w:type="paragraph" w:customStyle="1" w:styleId="affffffffffffffffffffffff2">
    <w:name w:val="文档标签"/>
    <w:basedOn w:val="a1"/>
    <w:qFormat/>
    <w:pPr>
      <w:keepNext/>
      <w:keepLines/>
      <w:widowControl/>
      <w:spacing w:before="400" w:after="120" w:line="240" w:lineRule="atLeast"/>
      <w:jc w:val="left"/>
    </w:pPr>
    <w:rPr>
      <w:rFonts w:ascii="Arial Black" w:hAnsi="Arial Black"/>
      <w:spacing w:val="-100"/>
      <w:kern w:val="28"/>
      <w:sz w:val="108"/>
      <w:szCs w:val="20"/>
    </w:rPr>
  </w:style>
  <w:style w:type="paragraph" w:customStyle="1" w:styleId="9e">
    <w:name w:val="标题9"/>
    <w:basedOn w:val="a1"/>
    <w:qFormat/>
    <w:pPr>
      <w:tabs>
        <w:tab w:val="left" w:pos="1054"/>
      </w:tabs>
      <w:spacing w:line="360" w:lineRule="auto"/>
      <w:ind w:left="425" w:hanging="425"/>
    </w:pPr>
    <w:rPr>
      <w:rFonts w:ascii="宋体" w:hAnsi="宋体"/>
      <w:b/>
      <w:spacing w:val="20"/>
      <w:sz w:val="28"/>
      <w:szCs w:val="28"/>
    </w:rPr>
  </w:style>
  <w:style w:type="paragraph" w:customStyle="1" w:styleId="127">
    <w:name w:val="12"/>
    <w:basedOn w:val="a1"/>
    <w:qFormat/>
    <w:rPr>
      <w:rFonts w:ascii="Times New Roman" w:hAnsi="Times New Roman"/>
      <w:szCs w:val="21"/>
    </w:rPr>
  </w:style>
  <w:style w:type="paragraph" w:customStyle="1" w:styleId="zmzw">
    <w:name w:val="zmzw"/>
    <w:basedOn w:val="a1"/>
    <w:qFormat/>
    <w:pPr>
      <w:spacing w:line="360" w:lineRule="auto"/>
    </w:pPr>
    <w:rPr>
      <w:rFonts w:ascii="Times New Roman" w:hAnsi="Times New Roman"/>
      <w:sz w:val="28"/>
      <w:szCs w:val="20"/>
    </w:rPr>
  </w:style>
  <w:style w:type="paragraph" w:customStyle="1" w:styleId="buttonp6">
    <w:name w:val="buttonp6"/>
    <w:basedOn w:val="a1"/>
    <w:qFormat/>
    <w:pPr>
      <w:widowControl/>
      <w:spacing w:before="150" w:line="300" w:lineRule="atLeast"/>
      <w:jc w:val="left"/>
    </w:pPr>
    <w:rPr>
      <w:rFonts w:ascii="宋体" w:hAnsi="宋体" w:cs="宋体"/>
      <w:kern w:val="0"/>
      <w:sz w:val="24"/>
      <w:szCs w:val="24"/>
    </w:rPr>
  </w:style>
  <w:style w:type="paragraph" w:customStyle="1" w:styleId="010">
    <w:name w:val="表格01"/>
    <w:basedOn w:val="a1"/>
    <w:qFormat/>
    <w:pPr>
      <w:spacing w:before="100" w:beforeAutospacing="1" w:line="240" w:lineRule="atLeast"/>
    </w:pPr>
    <w:rPr>
      <w:rFonts w:ascii="Times New Roman" w:hAnsi="Times New Roman"/>
      <w:bCs/>
      <w:sz w:val="24"/>
      <w:szCs w:val="24"/>
    </w:rPr>
  </w:style>
  <w:style w:type="paragraph" w:customStyle="1" w:styleId="ptopnav">
    <w:name w:val="p_topnav"/>
    <w:basedOn w:val="a1"/>
    <w:qFormat/>
    <w:pPr>
      <w:widowControl/>
      <w:spacing w:before="100" w:beforeAutospacing="1" w:after="150"/>
      <w:ind w:firstLine="225"/>
      <w:jc w:val="left"/>
    </w:pPr>
    <w:rPr>
      <w:rFonts w:ascii="宋体" w:hAnsi="宋体" w:cs="宋体"/>
      <w:color w:val="FB7C30"/>
      <w:kern w:val="0"/>
      <w:sz w:val="18"/>
      <w:szCs w:val="18"/>
    </w:rPr>
  </w:style>
  <w:style w:type="paragraph" w:customStyle="1" w:styleId="CharCharCharCharCharCharCharCharChar1CharCharCharCharCharCharCharCharCharCharCharCharCharCharCharChar">
    <w:name w:val="Char Char Char Char Char Char Char Char Char1 Char Char Char Char Char Char Char Char Char Char Char Char Char Char Char Char"/>
    <w:basedOn w:val="a1"/>
    <w:qFormat/>
    <w:rPr>
      <w:rFonts w:ascii="Times New Roman" w:hAnsi="Times New Roman"/>
      <w:szCs w:val="21"/>
    </w:rPr>
  </w:style>
  <w:style w:type="paragraph" w:customStyle="1" w:styleId="11-h11stlevelSectionHeadl1b111">
    <w:name w:val="样式 标题 1章标题 1-*+h11st levelSection Headl1b1标题 1 1 + 宋体 小..."/>
    <w:basedOn w:val="1a"/>
    <w:qFormat/>
    <w:pPr>
      <w:tabs>
        <w:tab w:val="left" w:pos="432"/>
      </w:tabs>
      <w:snapToGrid w:val="0"/>
      <w:spacing w:before="0" w:after="0" w:line="360" w:lineRule="auto"/>
      <w:jc w:val="left"/>
      <w:textAlignment w:val="baseline"/>
    </w:pPr>
    <w:rPr>
      <w:rFonts w:ascii="宋体" w:hAnsi="宋体" w:cs="宋体"/>
      <w:sz w:val="24"/>
      <w:szCs w:val="20"/>
    </w:rPr>
  </w:style>
  <w:style w:type="paragraph" w:customStyle="1" w:styleId="hblack">
    <w:name w:val="h_black"/>
    <w:basedOn w:val="a1"/>
    <w:qFormat/>
    <w:pPr>
      <w:widowControl/>
      <w:spacing w:before="100" w:beforeAutospacing="1" w:after="100" w:afterAutospacing="1" w:line="300" w:lineRule="atLeast"/>
      <w:jc w:val="left"/>
    </w:pPr>
    <w:rPr>
      <w:rFonts w:ascii="ˎ̥" w:hAnsi="ˎ̥"/>
      <w:color w:val="333333"/>
      <w:kern w:val="0"/>
      <w:sz w:val="18"/>
      <w:szCs w:val="18"/>
    </w:rPr>
  </w:style>
  <w:style w:type="paragraph" w:customStyle="1" w:styleId="Normal10">
    <w:name w:val="Normal 1"/>
    <w:basedOn w:val="a1"/>
    <w:next w:val="a1"/>
    <w:qFormat/>
    <w:pPr>
      <w:widowControl/>
      <w:tabs>
        <w:tab w:val="left" w:pos="284"/>
        <w:tab w:val="left" w:pos="3168"/>
        <w:tab w:val="left" w:pos="7488"/>
        <w:tab w:val="left" w:pos="8208"/>
        <w:tab w:val="left" w:pos="8928"/>
        <w:tab w:val="left" w:pos="9648"/>
      </w:tabs>
      <w:spacing w:after="80"/>
    </w:pPr>
    <w:rPr>
      <w:rFonts w:ascii="Arial" w:hAnsi="Arial"/>
      <w:b/>
      <w:kern w:val="0"/>
      <w:sz w:val="24"/>
      <w:szCs w:val="20"/>
    </w:rPr>
  </w:style>
  <w:style w:type="paragraph" w:customStyle="1" w:styleId="GB2312004-004-004">
    <w:name w:val="样式 (中文) 仿宋_GB2312 小四 悬挂缩进: 0.04 字符 左  -0.04 字符 首行缩进:  -0.04 ..."/>
    <w:basedOn w:val="a1"/>
    <w:qFormat/>
    <w:pPr>
      <w:ind w:leftChars="-4" w:left="2" w:hangingChars="4" w:hanging="10"/>
    </w:pPr>
    <w:rPr>
      <w:rFonts w:ascii="Times New Roman" w:hAnsi="Times New Roman" w:cs="宋体"/>
      <w:sz w:val="24"/>
      <w:szCs w:val="20"/>
    </w:rPr>
  </w:style>
  <w:style w:type="paragraph" w:customStyle="1" w:styleId="song1375">
    <w:name w:val="正文段落（song1375）"/>
    <w:basedOn w:val="a1"/>
    <w:qFormat/>
    <w:pPr>
      <w:spacing w:line="360" w:lineRule="auto"/>
      <w:ind w:firstLineChars="200" w:firstLine="200"/>
      <w:jc w:val="left"/>
    </w:pPr>
    <w:rPr>
      <w:rFonts w:ascii="Times New Roman" w:hAnsi="Times New Roman"/>
      <w:snapToGrid w:val="0"/>
      <w:kern w:val="0"/>
      <w:sz w:val="24"/>
      <w:szCs w:val="24"/>
    </w:rPr>
  </w:style>
  <w:style w:type="paragraph" w:customStyle="1" w:styleId="Listepuces2">
    <w:name w:val="Liste puces 2"/>
    <w:basedOn w:val="a1"/>
    <w:qFormat/>
    <w:pPr>
      <w:widowControl/>
      <w:spacing w:before="40"/>
      <w:ind w:left="-288" w:firstLine="288"/>
    </w:pPr>
    <w:rPr>
      <w:rFonts w:ascii="Arial" w:hAnsi="Arial"/>
      <w:kern w:val="0"/>
      <w:sz w:val="24"/>
      <w:szCs w:val="20"/>
    </w:rPr>
  </w:style>
  <w:style w:type="paragraph" w:customStyle="1" w:styleId="GB2312007-008-0">
    <w:name w:val="样式 (中文) 仿宋_GB2312 小四 居中 悬挂缩进: 0.07 字符 左  -0.08 字符 首行缩进:  -0..."/>
    <w:basedOn w:val="a1"/>
    <w:qFormat/>
    <w:pPr>
      <w:ind w:leftChars="-8" w:left="-8" w:hangingChars="7" w:hanging="17"/>
      <w:jc w:val="center"/>
    </w:pPr>
    <w:rPr>
      <w:rFonts w:ascii="Times New Roman" w:hAnsi="Times New Roman" w:cs="宋体"/>
      <w:sz w:val="24"/>
      <w:szCs w:val="20"/>
    </w:rPr>
  </w:style>
  <w:style w:type="paragraph" w:customStyle="1" w:styleId="GB2312001-001-0">
    <w:name w:val="样式 (中文) 仿宋_GB2312 小四 居中 悬挂缩进: 0.01 字符 左  -0.01 字符 首行缩进:  -0..."/>
    <w:basedOn w:val="a1"/>
    <w:qFormat/>
    <w:pPr>
      <w:ind w:hangingChars="1" w:hanging="2"/>
      <w:jc w:val="center"/>
    </w:pPr>
    <w:rPr>
      <w:rFonts w:ascii="Times New Roman" w:hAnsi="Times New Roman" w:cs="宋体"/>
      <w:sz w:val="24"/>
      <w:szCs w:val="20"/>
    </w:rPr>
  </w:style>
  <w:style w:type="paragraph" w:customStyle="1" w:styleId="030">
    <w:name w:val="表格03"/>
    <w:basedOn w:val="a1"/>
    <w:qFormat/>
    <w:pPr>
      <w:spacing w:line="400" w:lineRule="exact"/>
      <w:jc w:val="center"/>
    </w:pPr>
    <w:rPr>
      <w:rFonts w:ascii="Times New Roman" w:hAnsi="Times New Roman"/>
      <w:szCs w:val="21"/>
    </w:rPr>
  </w:style>
  <w:style w:type="paragraph" w:customStyle="1" w:styleId="cucd-1">
    <w:name w:val="cucd-1"/>
    <w:next w:val="cucd-2"/>
    <w:qFormat/>
    <w:pPr>
      <w:pageBreakBefore/>
      <w:tabs>
        <w:tab w:val="left" w:pos="425"/>
      </w:tabs>
      <w:spacing w:beforeLines="100" w:afterLines="50" w:line="360" w:lineRule="auto"/>
      <w:ind w:left="425" w:hanging="425"/>
      <w:jc w:val="center"/>
      <w:outlineLvl w:val="0"/>
    </w:pPr>
    <w:rPr>
      <w:rFonts w:eastAsia="黑体"/>
      <w:b/>
      <w:kern w:val="2"/>
      <w:sz w:val="36"/>
      <w:szCs w:val="24"/>
    </w:rPr>
  </w:style>
  <w:style w:type="paragraph" w:customStyle="1" w:styleId="3H3H31H32111">
    <w:name w:val="样式 样式 标题 3小节标题头小标题H3H31H32条标题1.1.1 + 华文宋体 加粗 + 四号"/>
    <w:basedOn w:val="3H3H31H321110"/>
    <w:qFormat/>
    <w:pPr>
      <w:spacing w:before="120" w:after="120"/>
    </w:pPr>
    <w:rPr>
      <w:sz w:val="28"/>
    </w:rPr>
  </w:style>
  <w:style w:type="paragraph" w:customStyle="1" w:styleId="3H3H31H321110">
    <w:name w:val="样式 标题 3小节标题头小标题H3H31H32条标题1.1.1 + 华文宋体 加粗"/>
    <w:basedOn w:val="3a"/>
    <w:qFormat/>
    <w:pPr>
      <w:spacing w:line="360" w:lineRule="auto"/>
    </w:pPr>
    <w:rPr>
      <w:rFonts w:ascii="华文宋体" w:eastAsia="华文宋体" w:hAnsi="华文宋体"/>
      <w:kern w:val="2"/>
      <w:sz w:val="24"/>
    </w:rPr>
  </w:style>
  <w:style w:type="paragraph" w:customStyle="1" w:styleId="-12">
    <w:name w:val="附件标题-1"/>
    <w:basedOn w:val="a1"/>
    <w:qFormat/>
    <w:pPr>
      <w:spacing w:beforeLines="50" w:afterLines="50"/>
      <w:jc w:val="center"/>
    </w:pPr>
    <w:rPr>
      <w:rFonts w:ascii="Times New Roman" w:eastAsia="黑体" w:hAnsi="Times New Roman"/>
      <w:sz w:val="32"/>
      <w:szCs w:val="24"/>
    </w:rPr>
  </w:style>
  <w:style w:type="paragraph" w:customStyle="1" w:styleId="3fff3">
    <w:name w:val="我的标题3"/>
    <w:basedOn w:val="a1"/>
    <w:qFormat/>
    <w:pPr>
      <w:adjustRightInd w:val="0"/>
      <w:snapToGrid w:val="0"/>
      <w:spacing w:beforeLines="50" w:afterLines="50" w:line="360" w:lineRule="auto"/>
      <w:ind w:rightChars="100" w:right="210"/>
      <w:outlineLvl w:val="2"/>
    </w:pPr>
    <w:rPr>
      <w:rFonts w:ascii="宋体" w:hAnsi="宋体"/>
      <w:b/>
      <w:bCs/>
      <w:szCs w:val="21"/>
    </w:rPr>
  </w:style>
  <w:style w:type="paragraph" w:customStyle="1" w:styleId="CharCharChar1CharCharCharCharCharCharCharCharCharCharCharChar1CharCharCharCharCharCharCharCharCharChar">
    <w:name w:val="Char Char Char1 Char Char Char Char Char Char Char Char Char Char Char Char1 Char Char Char Char Char Char Char Char Char Char"/>
    <w:basedOn w:val="a1"/>
    <w:qFormat/>
    <w:pPr>
      <w:tabs>
        <w:tab w:val="left" w:pos="540"/>
      </w:tabs>
      <w:ind w:firstLineChars="200" w:firstLine="480"/>
    </w:pPr>
    <w:rPr>
      <w:rFonts w:ascii="宋体" w:hAnsi="宋体"/>
      <w:szCs w:val="24"/>
    </w:rPr>
  </w:style>
  <w:style w:type="paragraph" w:customStyle="1" w:styleId="-6">
    <w:name w:val="张希柱-正文"/>
    <w:basedOn w:val="a1"/>
    <w:qFormat/>
    <w:pPr>
      <w:spacing w:line="360" w:lineRule="auto"/>
      <w:ind w:firstLineChars="200" w:firstLine="200"/>
    </w:pPr>
    <w:rPr>
      <w:rFonts w:ascii="Times New Roman" w:hAnsi="Times New Roman"/>
      <w:snapToGrid w:val="0"/>
      <w:kern w:val="0"/>
      <w:sz w:val="24"/>
      <w:szCs w:val="24"/>
    </w:rPr>
  </w:style>
  <w:style w:type="paragraph" w:customStyle="1" w:styleId="affffffffffffffffffffffff3">
    <w:name w:val="正文小三仿宋"/>
    <w:basedOn w:val="a1"/>
    <w:qFormat/>
    <w:pPr>
      <w:spacing w:line="600" w:lineRule="exact"/>
    </w:pPr>
    <w:rPr>
      <w:rFonts w:ascii="仿宋" w:eastAsia="仿宋_GB2312" w:hAnsi="仿宋"/>
      <w:sz w:val="30"/>
      <w:szCs w:val="32"/>
    </w:rPr>
  </w:style>
  <w:style w:type="paragraph" w:customStyle="1" w:styleId="Einzeilig">
    <w:name w:val="Einzeilig"/>
    <w:basedOn w:val="a1"/>
    <w:qFormat/>
    <w:pPr>
      <w:widowControl/>
      <w:tabs>
        <w:tab w:val="left" w:pos="1740"/>
      </w:tabs>
      <w:spacing w:line="240" w:lineRule="atLeast"/>
      <w:ind w:left="1740" w:hanging="420"/>
      <w:jc w:val="left"/>
    </w:pPr>
    <w:rPr>
      <w:rFonts w:ascii="Arial" w:hAnsi="Arial"/>
      <w:kern w:val="0"/>
      <w:sz w:val="24"/>
      <w:szCs w:val="20"/>
    </w:rPr>
  </w:style>
  <w:style w:type="paragraph" w:customStyle="1" w:styleId="4ffc">
    <w:name w:val="样式 标题4"/>
    <w:basedOn w:val="affffffffffffffffffffffff4"/>
    <w:qFormat/>
    <w:pPr>
      <w:tabs>
        <w:tab w:val="left" w:pos="540"/>
      </w:tabs>
      <w:ind w:left="540" w:firstLineChars="0" w:firstLine="0"/>
      <w:outlineLvl w:val="3"/>
    </w:pPr>
    <w:rPr>
      <w:rFonts w:hAnsi="Times New Roman"/>
    </w:rPr>
  </w:style>
  <w:style w:type="paragraph" w:customStyle="1" w:styleId="affffffffffffffffffffffff4">
    <w:name w:val="样式 正文"/>
    <w:basedOn w:val="a1"/>
    <w:qFormat/>
    <w:pPr>
      <w:spacing w:line="360" w:lineRule="auto"/>
      <w:ind w:firstLineChars="200" w:firstLine="200"/>
    </w:pPr>
    <w:rPr>
      <w:rFonts w:ascii="宋体" w:hAnsi="宋体" w:cs="宋体"/>
      <w:color w:val="000000"/>
      <w:sz w:val="28"/>
      <w:szCs w:val="28"/>
    </w:rPr>
  </w:style>
  <w:style w:type="paragraph" w:customStyle="1" w:styleId="affffffffffffffffffffffff5">
    <w:name w:val="标准中文版式_正文"/>
    <w:basedOn w:val="a1"/>
    <w:qFormat/>
    <w:pPr>
      <w:spacing w:before="30" w:line="360" w:lineRule="auto"/>
    </w:pPr>
    <w:rPr>
      <w:rFonts w:ascii="Arial" w:hAnsi="Arial"/>
      <w:sz w:val="24"/>
      <w:szCs w:val="20"/>
    </w:rPr>
  </w:style>
  <w:style w:type="paragraph" w:customStyle="1" w:styleId="outlineheader1">
    <w:name w:val="outline header 1"/>
    <w:basedOn w:val="a1"/>
    <w:next w:val="a1"/>
    <w:qFormat/>
    <w:pPr>
      <w:widowControl/>
      <w:tabs>
        <w:tab w:val="left" w:pos="4260"/>
      </w:tabs>
      <w:ind w:right="-12"/>
    </w:pPr>
    <w:rPr>
      <w:rFonts w:ascii="Arial" w:hAnsi="Arial"/>
      <w:color w:val="0000FF"/>
      <w:kern w:val="0"/>
      <w:sz w:val="24"/>
      <w:szCs w:val="20"/>
      <w:lang w:eastAsia="en-US"/>
    </w:rPr>
  </w:style>
  <w:style w:type="paragraph" w:customStyle="1" w:styleId="Standard">
    <w:name w:val="Standard"/>
    <w:basedOn w:val="a1"/>
    <w:next w:val="a1"/>
    <w:qFormat/>
    <w:pPr>
      <w:autoSpaceDE w:val="0"/>
      <w:autoSpaceDN w:val="0"/>
      <w:adjustRightInd w:val="0"/>
      <w:jc w:val="left"/>
    </w:pPr>
    <w:rPr>
      <w:rFonts w:ascii="Arial" w:hAnsi="Arial" w:cs="Arial"/>
      <w:kern w:val="0"/>
      <w:sz w:val="24"/>
      <w:szCs w:val="24"/>
    </w:rPr>
  </w:style>
  <w:style w:type="paragraph" w:customStyle="1" w:styleId="puces">
    <w:name w:val="puces"/>
    <w:basedOn w:val="Normalpuces"/>
    <w:qFormat/>
    <w:pPr>
      <w:tabs>
        <w:tab w:val="left" w:pos="360"/>
      </w:tabs>
      <w:spacing w:before="40" w:after="160" w:line="360" w:lineRule="auto"/>
      <w:ind w:left="360" w:hanging="360"/>
    </w:pPr>
    <w:rPr>
      <w:sz w:val="22"/>
    </w:rPr>
  </w:style>
  <w:style w:type="paragraph" w:customStyle="1" w:styleId="Normalpuces">
    <w:name w:val="Normal puces"/>
    <w:basedOn w:val="a1"/>
    <w:qFormat/>
    <w:pPr>
      <w:widowControl/>
      <w:tabs>
        <w:tab w:val="left" w:pos="980"/>
      </w:tabs>
      <w:spacing w:before="360"/>
      <w:ind w:left="980" w:hanging="420"/>
    </w:pPr>
    <w:rPr>
      <w:rFonts w:ascii="Arial" w:hAnsi="Arial"/>
      <w:b/>
      <w:kern w:val="0"/>
      <w:sz w:val="24"/>
      <w:szCs w:val="20"/>
    </w:rPr>
  </w:style>
  <w:style w:type="paragraph" w:customStyle="1" w:styleId="ZWCharChar">
    <w:name w:val="ZW Char Char"/>
    <w:basedOn w:val="a1"/>
    <w:qFormat/>
    <w:pPr>
      <w:spacing w:beforeLines="20"/>
      <w:ind w:firstLineChars="200" w:firstLine="200"/>
    </w:pPr>
    <w:rPr>
      <w:rFonts w:ascii="Times New Roman" w:hAnsi="Times New Roman"/>
      <w:sz w:val="24"/>
      <w:szCs w:val="24"/>
    </w:rPr>
  </w:style>
  <w:style w:type="paragraph" w:customStyle="1" w:styleId="1q">
    <w:name w:val="标题1q"/>
    <w:basedOn w:val="1a"/>
    <w:qFormat/>
    <w:pPr>
      <w:tabs>
        <w:tab w:val="left" w:pos="432"/>
      </w:tabs>
      <w:spacing w:line="440" w:lineRule="exact"/>
      <w:ind w:left="431" w:firstLineChars="200" w:firstLine="200"/>
      <w:jc w:val="center"/>
    </w:pPr>
    <w:rPr>
      <w:rFonts w:ascii="宋体" w:hAnsi="宋体" w:cs="宋体"/>
      <w:sz w:val="32"/>
      <w:szCs w:val="32"/>
    </w:rPr>
  </w:style>
  <w:style w:type="paragraph" w:customStyle="1" w:styleId="CharCharCharCharCharCharCharCharChar1CharCharCharChar1">
    <w:name w:val="Char Char Char Char Char Char Char Char Char1 Char Char Char Char1"/>
    <w:basedOn w:val="a1"/>
    <w:qFormat/>
    <w:pPr>
      <w:tabs>
        <w:tab w:val="left" w:pos="980"/>
      </w:tabs>
      <w:ind w:left="980" w:hanging="420"/>
    </w:pPr>
    <w:rPr>
      <w:rFonts w:ascii="Times New Roman" w:hAnsi="Times New Roman"/>
      <w:szCs w:val="21"/>
    </w:rPr>
  </w:style>
  <w:style w:type="paragraph" w:customStyle="1" w:styleId="imagesubtitle">
    <w:name w:val="image_subtitle"/>
    <w:basedOn w:val="a1"/>
    <w:qFormat/>
    <w:pPr>
      <w:widowControl/>
      <w:jc w:val="left"/>
    </w:pPr>
    <w:rPr>
      <w:rFonts w:ascii="宋体" w:hAnsi="宋体" w:cs="宋体"/>
      <w:kern w:val="0"/>
      <w:sz w:val="15"/>
      <w:szCs w:val="15"/>
    </w:rPr>
  </w:style>
  <w:style w:type="paragraph" w:customStyle="1" w:styleId="7f1">
    <w:name w:val="标题7"/>
    <w:basedOn w:val="60"/>
    <w:qFormat/>
    <w:pPr>
      <w:tabs>
        <w:tab w:val="clear" w:pos="2720"/>
        <w:tab w:val="left" w:pos="3060"/>
      </w:tabs>
      <w:spacing w:before="120" w:after="0" w:line="240" w:lineRule="auto"/>
      <w:ind w:left="0" w:hanging="420"/>
      <w:jc w:val="left"/>
    </w:pPr>
    <w:rPr>
      <w:rFonts w:ascii="Arial" w:eastAsia="黑体" w:hAnsi="Arial"/>
      <w:bCs w:val="0"/>
    </w:rPr>
  </w:style>
  <w:style w:type="paragraph" w:customStyle="1" w:styleId="Char90">
    <w:name w:val="Char9"/>
    <w:basedOn w:val="a1"/>
    <w:qFormat/>
    <w:rPr>
      <w:rFonts w:ascii="Times New Roman" w:hAnsi="Times New Roman"/>
      <w:szCs w:val="21"/>
    </w:rPr>
  </w:style>
  <w:style w:type="paragraph" w:customStyle="1" w:styleId="msolistparagraph0">
    <w:name w:val="msolistparagraph"/>
    <w:basedOn w:val="a1"/>
    <w:qFormat/>
    <w:pPr>
      <w:widowControl/>
      <w:spacing w:before="100" w:beforeAutospacing="1" w:after="100" w:afterAutospacing="1"/>
      <w:jc w:val="left"/>
    </w:pPr>
    <w:rPr>
      <w:rFonts w:ascii="宋体" w:hAnsi="宋体"/>
      <w:kern w:val="0"/>
      <w:sz w:val="24"/>
      <w:szCs w:val="24"/>
    </w:rPr>
  </w:style>
  <w:style w:type="paragraph" w:customStyle="1" w:styleId="cucd-TB">
    <w:name w:val="cucd-TB"/>
    <w:qFormat/>
    <w:pPr>
      <w:spacing w:line="360" w:lineRule="auto"/>
      <w:jc w:val="center"/>
    </w:pPr>
    <w:rPr>
      <w:kern w:val="2"/>
      <w:sz w:val="21"/>
      <w:szCs w:val="24"/>
    </w:rPr>
  </w:style>
  <w:style w:type="paragraph" w:customStyle="1" w:styleId="CharCharCharChar1Char">
    <w:name w:val="Char Char Char Char1 Char"/>
    <w:basedOn w:val="a1"/>
    <w:qFormat/>
    <w:rPr>
      <w:rFonts w:ascii="Times New Roman" w:hAnsi="Times New Roman"/>
      <w:szCs w:val="21"/>
    </w:rPr>
  </w:style>
  <w:style w:type="paragraph" w:customStyle="1" w:styleId="normalpuces0">
    <w:name w:val="normal puces"/>
    <w:basedOn w:val="a1"/>
    <w:qFormat/>
    <w:pPr>
      <w:widowControl/>
      <w:tabs>
        <w:tab w:val="left" w:pos="360"/>
      </w:tabs>
      <w:spacing w:before="40"/>
      <w:ind w:left="360" w:hanging="360"/>
    </w:pPr>
    <w:rPr>
      <w:rFonts w:ascii="Arial" w:hAnsi="Arial"/>
      <w:kern w:val="0"/>
      <w:sz w:val="24"/>
      <w:szCs w:val="20"/>
    </w:rPr>
  </w:style>
  <w:style w:type="paragraph" w:customStyle="1" w:styleId="ZWCharCharChar">
    <w:name w:val="ZW Char Char Char"/>
    <w:basedOn w:val="a1"/>
    <w:qFormat/>
    <w:pPr>
      <w:spacing w:beforeLines="20"/>
      <w:ind w:firstLineChars="200" w:firstLine="200"/>
    </w:pPr>
    <w:rPr>
      <w:rFonts w:ascii="Times New Roman" w:hAnsi="Times New Roman"/>
      <w:sz w:val="24"/>
      <w:szCs w:val="24"/>
    </w:rPr>
  </w:style>
  <w:style w:type="paragraph" w:customStyle="1" w:styleId="GB2312152">
    <w:name w:val="样式 (中文) 仿宋_GB2312 小四 行距: 1.5 倍行距 首行缩进:  2 字符"/>
    <w:basedOn w:val="a1"/>
    <w:qFormat/>
    <w:pPr>
      <w:spacing w:line="360" w:lineRule="auto"/>
      <w:ind w:firstLineChars="200" w:firstLine="480"/>
    </w:pPr>
    <w:rPr>
      <w:rFonts w:ascii="Times New Roman" w:hAnsi="Times New Roman" w:cs="宋体"/>
      <w:sz w:val="24"/>
      <w:szCs w:val="20"/>
    </w:rPr>
  </w:style>
  <w:style w:type="paragraph" w:customStyle="1" w:styleId="BGWZ2">
    <w:name w:val="BGWZ2"/>
    <w:basedOn w:val="BGWZ1"/>
    <w:qFormat/>
    <w:rPr>
      <w:sz w:val="18"/>
    </w:rPr>
  </w:style>
  <w:style w:type="paragraph" w:customStyle="1" w:styleId="BGWZ1">
    <w:name w:val="BGWZ1"/>
    <w:basedOn w:val="a1"/>
    <w:qFormat/>
    <w:pPr>
      <w:snapToGrid w:val="0"/>
      <w:spacing w:line="300" w:lineRule="exact"/>
      <w:jc w:val="center"/>
    </w:pPr>
    <w:rPr>
      <w:rFonts w:ascii="Times New Roman" w:hAnsi="Times New Roman"/>
      <w:snapToGrid w:val="0"/>
      <w:kern w:val="0"/>
      <w:szCs w:val="21"/>
      <w:lang w:eastAsia="zh-TW"/>
    </w:rPr>
  </w:style>
  <w:style w:type="paragraph" w:customStyle="1" w:styleId="10215">
    <w:name w:val="样式 四号 首行缩进:  1.02 厘米 行距: 1.5 倍行距"/>
    <w:basedOn w:val="a1"/>
    <w:qFormat/>
    <w:pPr>
      <w:adjustRightInd w:val="0"/>
      <w:snapToGrid w:val="0"/>
      <w:spacing w:line="360" w:lineRule="auto"/>
      <w:ind w:firstLine="454"/>
    </w:pPr>
    <w:rPr>
      <w:rFonts w:ascii="Times New Roman" w:hAnsi="Times New Roman"/>
      <w:sz w:val="24"/>
      <w:szCs w:val="24"/>
    </w:rPr>
  </w:style>
  <w:style w:type="paragraph" w:customStyle="1" w:styleId="affffffffffffffffffffffff6">
    <w:name w:val="表蕊"/>
    <w:basedOn w:val="a1"/>
    <w:qFormat/>
    <w:pPr>
      <w:adjustRightInd w:val="0"/>
      <w:spacing w:line="320" w:lineRule="atLeast"/>
      <w:jc w:val="left"/>
      <w:textAlignment w:val="baseline"/>
    </w:pPr>
    <w:rPr>
      <w:rFonts w:ascii="Times New Roman" w:eastAsia="楷体_GB2312" w:hAnsi="Times New Roman"/>
      <w:spacing w:val="-10"/>
      <w:kern w:val="0"/>
      <w:szCs w:val="21"/>
    </w:rPr>
  </w:style>
  <w:style w:type="paragraph" w:customStyle="1" w:styleId="2fffff2">
    <w:name w:val="样式 标题2"/>
    <w:basedOn w:val="affffffffffffffffffffffff4"/>
    <w:qFormat/>
    <w:pPr>
      <w:tabs>
        <w:tab w:val="left" w:pos="315"/>
      </w:tabs>
      <w:ind w:left="315" w:firstLineChars="0" w:firstLine="0"/>
      <w:outlineLvl w:val="1"/>
    </w:pPr>
    <w:rPr>
      <w:b/>
    </w:rPr>
  </w:style>
  <w:style w:type="paragraph" w:customStyle="1" w:styleId="CM1">
    <w:name w:val="CM1"/>
    <w:basedOn w:val="a1"/>
    <w:next w:val="a1"/>
    <w:qFormat/>
    <w:pPr>
      <w:autoSpaceDE w:val="0"/>
      <w:autoSpaceDN w:val="0"/>
      <w:adjustRightInd w:val="0"/>
      <w:spacing w:line="276" w:lineRule="atLeast"/>
      <w:jc w:val="left"/>
    </w:pPr>
    <w:rPr>
      <w:rFonts w:ascii="PFAMNC+Arial" w:eastAsia="PFAMNC+Arial" w:hAnsi="Times New Roman"/>
      <w:kern w:val="0"/>
      <w:sz w:val="24"/>
      <w:szCs w:val="24"/>
    </w:rPr>
  </w:style>
  <w:style w:type="paragraph" w:customStyle="1" w:styleId="Char91">
    <w:name w:val="Char91"/>
    <w:basedOn w:val="a1"/>
    <w:qFormat/>
    <w:rPr>
      <w:rFonts w:ascii="Times New Roman" w:hAnsi="Times New Roman"/>
      <w:szCs w:val="21"/>
    </w:rPr>
  </w:style>
  <w:style w:type="paragraph" w:customStyle="1" w:styleId="z3">
    <w:name w:val="z3"/>
    <w:basedOn w:val="3a"/>
    <w:qFormat/>
    <w:pPr>
      <w:spacing w:before="0" w:after="0" w:line="240" w:lineRule="auto"/>
      <w:jc w:val="left"/>
    </w:pPr>
    <w:rPr>
      <w:rFonts w:ascii="楷体_GB2312" w:eastAsia="楷体_GB2312" w:hAnsi="Times New Roman"/>
      <w:color w:val="000000"/>
      <w:kern w:val="2"/>
      <w:sz w:val="30"/>
    </w:rPr>
  </w:style>
  <w:style w:type="paragraph" w:customStyle="1" w:styleId="GB231215">
    <w:name w:val="样式 (中文) 仿宋_GB2312 小四 居中 行距: 1.5 倍行距"/>
    <w:basedOn w:val="a1"/>
    <w:qFormat/>
    <w:pPr>
      <w:spacing w:line="360" w:lineRule="auto"/>
      <w:jc w:val="center"/>
    </w:pPr>
    <w:rPr>
      <w:rFonts w:ascii="Times New Roman" w:hAnsi="Times New Roman" w:cs="宋体"/>
      <w:sz w:val="24"/>
      <w:szCs w:val="20"/>
    </w:rPr>
  </w:style>
  <w:style w:type="paragraph" w:customStyle="1" w:styleId="Titres1repageoffre">
    <w:name w:val="Titres 1ère page offre"/>
    <w:basedOn w:val="a1"/>
    <w:qFormat/>
    <w:pPr>
      <w:widowControl/>
      <w:jc w:val="center"/>
    </w:pPr>
    <w:rPr>
      <w:rFonts w:ascii="Arial Gras" w:hAnsi="Arial Gras"/>
      <w:b/>
      <w:kern w:val="0"/>
      <w:sz w:val="36"/>
      <w:szCs w:val="20"/>
    </w:rPr>
  </w:style>
  <w:style w:type="paragraph" w:customStyle="1" w:styleId="zxz-">
    <w:name w:val="zxz-表头"/>
    <w:qFormat/>
    <w:pPr>
      <w:jc w:val="center"/>
    </w:pPr>
    <w:rPr>
      <w:rFonts w:ascii="宋体" w:eastAsia="黑体" w:hAnsi="宋体"/>
      <w:snapToGrid w:val="0"/>
      <w:sz w:val="21"/>
      <w:szCs w:val="21"/>
    </w:rPr>
  </w:style>
  <w:style w:type="paragraph" w:customStyle="1" w:styleId="5ff1">
    <w:name w:val="5号表文"/>
    <w:qFormat/>
    <w:pPr>
      <w:widowControl w:val="0"/>
      <w:kinsoku w:val="0"/>
      <w:autoSpaceDE w:val="0"/>
      <w:autoSpaceDN w:val="0"/>
      <w:adjustRightInd w:val="0"/>
      <w:snapToGrid w:val="0"/>
      <w:spacing w:line="500" w:lineRule="exact"/>
      <w:jc w:val="both"/>
    </w:pPr>
    <w:rPr>
      <w:rFonts w:ascii="仿宋_GB2312" w:eastAsia="仿宋_GB2312" w:cs="仿宋_GB2312"/>
      <w:b/>
      <w:bCs/>
      <w:sz w:val="21"/>
      <w:szCs w:val="21"/>
    </w:rPr>
  </w:style>
  <w:style w:type="paragraph" w:customStyle="1" w:styleId="affffffffffffffffffffffff7">
    <w:name w:val="圖"/>
    <w:basedOn w:val="afd"/>
    <w:qFormat/>
    <w:pPr>
      <w:adjustRightInd w:val="0"/>
      <w:spacing w:after="0" w:line="360" w:lineRule="exact"/>
      <w:ind w:leftChars="0" w:left="0" w:firstLine="840"/>
      <w:jc w:val="center"/>
      <w:textAlignment w:val="baseline"/>
    </w:pPr>
    <w:rPr>
      <w:rFonts w:ascii="Arial" w:eastAsia="華康細圓體" w:hAnsi="Arial"/>
      <w:sz w:val="22"/>
      <w:szCs w:val="20"/>
      <w:lang w:eastAsia="zh-TW"/>
    </w:rPr>
  </w:style>
  <w:style w:type="paragraph" w:customStyle="1" w:styleId="CM2">
    <w:name w:val="CM2"/>
    <w:basedOn w:val="Default"/>
    <w:next w:val="Default"/>
    <w:qFormat/>
    <w:pPr>
      <w:spacing w:line="231" w:lineRule="atLeast"/>
    </w:pPr>
    <w:rPr>
      <w:rFonts w:ascii="Times New Roman"/>
      <w:color w:val="auto"/>
    </w:rPr>
  </w:style>
  <w:style w:type="paragraph" w:customStyle="1" w:styleId="2GB2312GB2312">
    <w:name w:val="样式 正文文本缩进 2 + (西文) 仿宋_GB2312 (中文) 仿宋_GB2312 小四 居中 行距: 单倍行距 ..."/>
    <w:basedOn w:val="2e"/>
    <w:qFormat/>
    <w:pPr>
      <w:spacing w:line="240" w:lineRule="auto"/>
      <w:ind w:leftChars="0" w:left="0"/>
      <w:jc w:val="center"/>
    </w:pPr>
    <w:rPr>
      <w:rFonts w:ascii="仿宋_GB2312" w:cs="宋体"/>
      <w:sz w:val="24"/>
    </w:rPr>
  </w:style>
  <w:style w:type="paragraph" w:customStyle="1" w:styleId="CM83">
    <w:name w:val="CM83"/>
    <w:basedOn w:val="Default"/>
    <w:next w:val="Default"/>
    <w:qFormat/>
    <w:pPr>
      <w:spacing w:line="626" w:lineRule="atLeast"/>
    </w:pPr>
    <w:rPr>
      <w:rFonts w:ascii="华文中宋" w:eastAsia="华文中宋" w:cs="华文中宋"/>
      <w:color w:val="auto"/>
    </w:rPr>
  </w:style>
  <w:style w:type="paragraph" w:customStyle="1" w:styleId="ParaCharCharCharCharCharCharCharCharCharChar">
    <w:name w:val="默认段落字体 Para Char Char Char Char Char Char Char Char Char Char"/>
    <w:basedOn w:val="3a"/>
    <w:qFormat/>
    <w:pPr>
      <w:tabs>
        <w:tab w:val="left" w:pos="360"/>
        <w:tab w:val="left" w:pos="900"/>
      </w:tabs>
      <w:snapToGrid w:val="0"/>
      <w:spacing w:before="120" w:after="120" w:line="360" w:lineRule="auto"/>
      <w:ind w:leftChars="-12" w:left="542" w:firstLineChars="200" w:firstLine="200"/>
      <w:jc w:val="left"/>
    </w:pPr>
    <w:rPr>
      <w:rFonts w:ascii="Times New Roman" w:eastAsia="黑体" w:hAnsi="Times New Roman"/>
      <w:b w:val="0"/>
      <w:bCs w:val="0"/>
      <w:snapToGrid w:val="0"/>
      <w:kern w:val="2"/>
      <w:sz w:val="24"/>
      <w:szCs w:val="24"/>
    </w:rPr>
  </w:style>
  <w:style w:type="paragraph" w:customStyle="1" w:styleId="1fffff9">
    <w:name w:val="表格內文1"/>
    <w:basedOn w:val="a1"/>
    <w:qFormat/>
    <w:pPr>
      <w:tabs>
        <w:tab w:val="left" w:pos="227"/>
      </w:tabs>
      <w:adjustRightInd w:val="0"/>
      <w:snapToGrid w:val="0"/>
      <w:spacing w:line="240" w:lineRule="atLeast"/>
    </w:pPr>
    <w:rPr>
      <w:rFonts w:ascii="Baskerville Old Face" w:eastAsia="華康楷書體W5" w:hAnsi="Baskerville Old Face"/>
      <w:snapToGrid w:val="0"/>
      <w:kern w:val="0"/>
      <w:sz w:val="24"/>
      <w:szCs w:val="20"/>
      <w:lang w:eastAsia="zh-TW"/>
    </w:rPr>
  </w:style>
  <w:style w:type="paragraph" w:customStyle="1" w:styleId="CharChara">
    <w:name w:val="无间隔 Char Char"/>
    <w:qFormat/>
    <w:rPr>
      <w:rFonts w:ascii="Calibri" w:hAnsi="Calibri"/>
      <w:sz w:val="22"/>
      <w:szCs w:val="21"/>
    </w:rPr>
  </w:style>
  <w:style w:type="paragraph" w:customStyle="1" w:styleId="affffffffffffffffffffffff8">
    <w:name w:val="表序号"/>
    <w:basedOn w:val="5a"/>
    <w:qFormat/>
    <w:pPr>
      <w:tabs>
        <w:tab w:val="clear" w:pos="2300"/>
        <w:tab w:val="left" w:pos="780"/>
      </w:tabs>
      <w:spacing w:before="0" w:after="0" w:line="360" w:lineRule="auto"/>
      <w:ind w:leftChars="800" w:left="360" w:hangingChars="200" w:hanging="1134"/>
      <w:jc w:val="center"/>
    </w:pPr>
    <w:rPr>
      <w:rFonts w:ascii="宋体" w:hAnsi="Arial" w:cs="宋体"/>
      <w:sz w:val="24"/>
      <w:szCs w:val="24"/>
    </w:rPr>
  </w:style>
  <w:style w:type="paragraph" w:customStyle="1" w:styleId="CM180">
    <w:name w:val="CM180"/>
    <w:basedOn w:val="Default"/>
    <w:next w:val="Default"/>
    <w:qFormat/>
    <w:pPr>
      <w:spacing w:after="338"/>
    </w:pPr>
    <w:rPr>
      <w:rFonts w:ascii="华文中宋" w:eastAsia="华文中宋" w:cs="华文中宋"/>
      <w:color w:val="auto"/>
    </w:rPr>
  </w:style>
  <w:style w:type="paragraph" w:customStyle="1" w:styleId="CharChar2Char">
    <w:name w:val="Char Char2 Char"/>
    <w:basedOn w:val="a1"/>
    <w:qFormat/>
    <w:rPr>
      <w:rFonts w:ascii="Times New Roman" w:hAnsi="Times New Roman"/>
      <w:szCs w:val="21"/>
    </w:rPr>
  </w:style>
  <w:style w:type="paragraph" w:customStyle="1" w:styleId="GB23120">
    <w:name w:val="样式 (中文) 仿宋_GB2312 小四 居中"/>
    <w:basedOn w:val="a1"/>
    <w:qFormat/>
    <w:pPr>
      <w:jc w:val="center"/>
    </w:pPr>
    <w:rPr>
      <w:rFonts w:ascii="Times New Roman" w:hAnsi="Times New Roman" w:cs="宋体"/>
      <w:sz w:val="24"/>
      <w:szCs w:val="20"/>
    </w:rPr>
  </w:style>
  <w:style w:type="paragraph" w:customStyle="1" w:styleId="2GB23121502">
    <w:name w:val="样式 正文文本缩进 2 + (中文) 仿宋_GB2312 小四 行距: 1.5 倍行距 左  0 字符 首行缩进:  2..."/>
    <w:basedOn w:val="2e"/>
    <w:qFormat/>
    <w:pPr>
      <w:spacing w:line="360" w:lineRule="auto"/>
      <w:ind w:leftChars="0" w:left="0" w:firstLineChars="225" w:firstLine="540"/>
    </w:pPr>
    <w:rPr>
      <w:rFonts w:cs="宋体"/>
      <w:sz w:val="24"/>
    </w:rPr>
  </w:style>
  <w:style w:type="paragraph" w:customStyle="1" w:styleId="affffffffffffffffffffffff9">
    <w:name w:val="辅助"/>
    <w:basedOn w:val="a1"/>
    <w:qFormat/>
    <w:pPr>
      <w:spacing w:line="360" w:lineRule="auto"/>
      <w:ind w:firstLineChars="200" w:firstLine="480"/>
    </w:pPr>
    <w:rPr>
      <w:rFonts w:ascii="Times New Roman" w:eastAsia="楷体_GB2312" w:hAnsi="Times New Roman"/>
      <w:i/>
      <w:vanish/>
      <w:color w:val="808080"/>
      <w:kern w:val="0"/>
      <w:sz w:val="18"/>
      <w:szCs w:val="24"/>
    </w:rPr>
  </w:style>
  <w:style w:type="paragraph" w:customStyle="1" w:styleId="affffffffffffffffffffffffa">
    <w:name w:val="表格头"/>
    <w:qFormat/>
    <w:pPr>
      <w:spacing w:before="120" w:after="120" w:line="480" w:lineRule="atLeast"/>
      <w:jc w:val="center"/>
    </w:pPr>
    <w:rPr>
      <w:sz w:val="24"/>
    </w:rPr>
  </w:style>
  <w:style w:type="paragraph" w:customStyle="1" w:styleId="AODocTxt">
    <w:name w:val="AODocTxt"/>
    <w:basedOn w:val="a1"/>
    <w:qFormat/>
    <w:pPr>
      <w:widowControl/>
      <w:tabs>
        <w:tab w:val="left" w:pos="1425"/>
      </w:tabs>
      <w:spacing w:before="240" w:line="260" w:lineRule="atLeast"/>
      <w:ind w:left="1425" w:hanging="720"/>
    </w:pPr>
    <w:rPr>
      <w:rFonts w:ascii="Times New Roman" w:hAnsi="Times New Roman"/>
      <w:kern w:val="0"/>
      <w:sz w:val="22"/>
      <w:szCs w:val="20"/>
      <w:lang w:eastAsia="en-US"/>
    </w:rPr>
  </w:style>
  <w:style w:type="paragraph" w:customStyle="1" w:styleId="p2">
    <w:name w:val="p2"/>
    <w:basedOn w:val="a1"/>
    <w:qFormat/>
    <w:pPr>
      <w:tabs>
        <w:tab w:val="left" w:pos="1445"/>
      </w:tabs>
      <w:autoSpaceDE w:val="0"/>
      <w:autoSpaceDN w:val="0"/>
      <w:adjustRightInd w:val="0"/>
      <w:spacing w:line="240" w:lineRule="atLeast"/>
      <w:ind w:left="5"/>
    </w:pPr>
    <w:rPr>
      <w:rFonts w:ascii="Times New Roman" w:hAnsi="Times New Roman"/>
      <w:kern w:val="0"/>
      <w:sz w:val="24"/>
      <w:szCs w:val="20"/>
    </w:rPr>
  </w:style>
  <w:style w:type="paragraph" w:customStyle="1" w:styleId="GB231210">
    <w:name w:val="样式 (中文) 仿宋_GB2312 小四 居中1"/>
    <w:basedOn w:val="a1"/>
    <w:qFormat/>
    <w:pPr>
      <w:jc w:val="center"/>
    </w:pPr>
    <w:rPr>
      <w:rFonts w:ascii="Times New Roman" w:hAnsi="Times New Roman" w:cs="宋体"/>
      <w:kern w:val="0"/>
      <w:sz w:val="24"/>
      <w:szCs w:val="20"/>
    </w:rPr>
  </w:style>
  <w:style w:type="paragraph" w:customStyle="1" w:styleId="3fff4">
    <w:name w:val="正文文字3"/>
    <w:basedOn w:val="a1"/>
    <w:qFormat/>
    <w:pPr>
      <w:spacing w:before="60" w:after="60" w:line="500" w:lineRule="exact"/>
      <w:ind w:left="1021" w:firstLine="567"/>
    </w:pPr>
    <w:rPr>
      <w:rFonts w:ascii="Times New Roman" w:hAnsi="Times New Roman"/>
      <w:sz w:val="28"/>
      <w:szCs w:val="20"/>
    </w:rPr>
  </w:style>
  <w:style w:type="paragraph" w:customStyle="1" w:styleId="DefaultText1">
    <w:name w:val="Default Text:1"/>
    <w:basedOn w:val="a1"/>
    <w:qFormat/>
    <w:pPr>
      <w:widowControl/>
      <w:overflowPunct w:val="0"/>
      <w:autoSpaceDE w:val="0"/>
      <w:autoSpaceDN w:val="0"/>
      <w:adjustRightInd w:val="0"/>
      <w:jc w:val="left"/>
      <w:textAlignment w:val="baseline"/>
    </w:pPr>
    <w:rPr>
      <w:rFonts w:ascii="Times New Roman" w:hAnsi="Times New Roman"/>
      <w:kern w:val="0"/>
      <w:sz w:val="24"/>
      <w:szCs w:val="20"/>
    </w:rPr>
  </w:style>
  <w:style w:type="paragraph" w:customStyle="1" w:styleId="1fffffa">
    <w:name w:val="说明1"/>
    <w:basedOn w:val="a1"/>
    <w:qFormat/>
    <w:pPr>
      <w:keepLines/>
      <w:widowControl/>
      <w:suppressLineNumbers/>
      <w:suppressAutoHyphens/>
      <w:spacing w:before="60" w:after="60" w:line="320" w:lineRule="atLeast"/>
    </w:pPr>
    <w:rPr>
      <w:rFonts w:ascii="Times New Roman" w:hAnsi="Times New Roman"/>
      <w:kern w:val="21"/>
      <w:szCs w:val="20"/>
    </w:rPr>
  </w:style>
  <w:style w:type="paragraph" w:customStyle="1" w:styleId="Standardip">
    <w:name w:val="Standard_ip"/>
    <w:basedOn w:val="a1"/>
    <w:next w:val="a1"/>
    <w:qFormat/>
    <w:pPr>
      <w:widowControl/>
      <w:tabs>
        <w:tab w:val="left" w:pos="2126"/>
        <w:tab w:val="right" w:pos="4678"/>
        <w:tab w:val="left" w:pos="6095"/>
        <w:tab w:val="right" w:pos="8505"/>
      </w:tabs>
      <w:ind w:left="992"/>
    </w:pPr>
    <w:rPr>
      <w:rFonts w:ascii="Arial" w:hAnsi="Arial"/>
      <w:kern w:val="0"/>
      <w:sz w:val="20"/>
      <w:szCs w:val="20"/>
    </w:rPr>
  </w:style>
  <w:style w:type="paragraph" w:customStyle="1" w:styleId="Einruecken04">
    <w:name w:val="Einruecken 0.4"/>
    <w:basedOn w:val="a1"/>
    <w:qFormat/>
    <w:pPr>
      <w:widowControl/>
      <w:tabs>
        <w:tab w:val="left" w:pos="2268"/>
        <w:tab w:val="left" w:pos="4253"/>
        <w:tab w:val="left" w:pos="4820"/>
      </w:tabs>
      <w:ind w:left="1361" w:right="851" w:hanging="227"/>
      <w:jc w:val="left"/>
    </w:pPr>
    <w:rPr>
      <w:rFonts w:ascii="Arial" w:hAnsi="Arial"/>
      <w:kern w:val="0"/>
      <w:sz w:val="20"/>
      <w:szCs w:val="20"/>
    </w:rPr>
  </w:style>
  <w:style w:type="paragraph" w:customStyle="1" w:styleId="affffffffffffffffffffffffb">
    <w:name w:val="样本"/>
    <w:basedOn w:val="a1"/>
    <w:qFormat/>
    <w:pPr>
      <w:spacing w:before="100" w:after="100" w:line="500" w:lineRule="exact"/>
      <w:ind w:firstLineChars="200" w:firstLine="200"/>
    </w:pPr>
    <w:rPr>
      <w:rFonts w:ascii="Times New Roman" w:hAnsi="Times New Roman"/>
      <w:kern w:val="44"/>
      <w:sz w:val="28"/>
      <w:szCs w:val="20"/>
    </w:rPr>
  </w:style>
  <w:style w:type="paragraph" w:customStyle="1" w:styleId="affffffffffffffffffffffffc">
    <w:name w:val="★表格居中"/>
    <w:basedOn w:val="a1"/>
    <w:qFormat/>
    <w:pPr>
      <w:widowControl/>
      <w:jc w:val="center"/>
    </w:pPr>
    <w:rPr>
      <w:rFonts w:ascii="Times New Roman" w:eastAsia="仿宋_GB2312" w:hAnsi="Times New Roman" w:cs="宋体"/>
      <w:kern w:val="0"/>
      <w:sz w:val="24"/>
      <w:szCs w:val="20"/>
    </w:rPr>
  </w:style>
  <w:style w:type="paragraph" w:customStyle="1" w:styleId="2fffff3">
    <w:name w:val="我的标题2"/>
    <w:basedOn w:val="a1"/>
    <w:qFormat/>
    <w:pPr>
      <w:tabs>
        <w:tab w:val="left" w:pos="0"/>
      </w:tabs>
      <w:adjustRightInd w:val="0"/>
      <w:snapToGrid w:val="0"/>
      <w:spacing w:beforeLines="50" w:afterLines="50" w:line="360" w:lineRule="auto"/>
      <w:ind w:rightChars="100" w:right="210"/>
      <w:jc w:val="center"/>
      <w:outlineLvl w:val="1"/>
    </w:pPr>
    <w:rPr>
      <w:rFonts w:ascii="宋体" w:hAnsi="宋体"/>
      <w:b/>
      <w:sz w:val="28"/>
      <w:szCs w:val="28"/>
    </w:rPr>
  </w:style>
  <w:style w:type="paragraph" w:customStyle="1" w:styleId="1CharChar">
    <w:name w:val="样式1 Char Char"/>
    <w:basedOn w:val="a1"/>
    <w:qFormat/>
    <w:pPr>
      <w:spacing w:line="360" w:lineRule="auto"/>
      <w:jc w:val="left"/>
    </w:pPr>
    <w:rPr>
      <w:rFonts w:ascii="宋体" w:hAnsi="宋体" w:cs="Arial"/>
      <w:sz w:val="28"/>
      <w:szCs w:val="28"/>
    </w:rPr>
  </w:style>
  <w:style w:type="paragraph" w:customStyle="1" w:styleId="YHY">
    <w:name w:val="YHY"/>
    <w:basedOn w:val="a1"/>
    <w:qFormat/>
    <w:pPr>
      <w:spacing w:beforeLines="50" w:afterLines="50" w:line="360" w:lineRule="auto"/>
      <w:ind w:firstLineChars="200" w:firstLine="200"/>
    </w:pPr>
    <w:rPr>
      <w:rFonts w:ascii="Times New Roman" w:hAnsi="Times New Roman" w:cs="宋体"/>
      <w:sz w:val="24"/>
      <w:szCs w:val="24"/>
    </w:rPr>
  </w:style>
  <w:style w:type="paragraph" w:customStyle="1" w:styleId="affffffffffffffffffffffffd">
    <w:name w:val="标书正文"/>
    <w:basedOn w:val="a1"/>
    <w:qFormat/>
    <w:pPr>
      <w:spacing w:before="100" w:after="100" w:line="440" w:lineRule="atLeast"/>
      <w:ind w:leftChars="45" w:left="94" w:firstLineChars="26" w:firstLine="83"/>
    </w:pPr>
    <w:rPr>
      <w:rFonts w:ascii="仿宋_GB2312" w:eastAsia="仿宋_GB2312" w:hAnsi="宋体"/>
      <w:bCs/>
      <w:color w:val="000000"/>
      <w:spacing w:val="20"/>
      <w:sz w:val="28"/>
      <w:szCs w:val="20"/>
    </w:rPr>
  </w:style>
  <w:style w:type="paragraph" w:customStyle="1" w:styleId="1fffffb">
    <w:name w:val="样式 标题 1"/>
    <w:basedOn w:val="affffffffffffffffffffffff4"/>
    <w:qFormat/>
    <w:pPr>
      <w:ind w:firstLineChars="0" w:firstLine="0"/>
      <w:jc w:val="center"/>
      <w:outlineLvl w:val="0"/>
    </w:pPr>
    <w:rPr>
      <w:b/>
      <w:sz w:val="32"/>
      <w:szCs w:val="32"/>
    </w:rPr>
  </w:style>
  <w:style w:type="paragraph" w:customStyle="1" w:styleId="CharCharCharCharCharCharCharCharChar1Char">
    <w:name w:val="Char Char Char Char Char Char Char Char Char1 Char"/>
    <w:basedOn w:val="a1"/>
    <w:qFormat/>
    <w:rPr>
      <w:rFonts w:ascii="Times New Roman" w:hAnsi="Times New Roman"/>
      <w:szCs w:val="21"/>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a1"/>
    <w:qFormat/>
    <w:rPr>
      <w:rFonts w:ascii="Times New Roman" w:hAnsi="Times New Roman"/>
      <w:szCs w:val="21"/>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1"/>
    <w:qFormat/>
    <w:rPr>
      <w:rFonts w:ascii="Times New Roman" w:hAnsi="Times New Roman"/>
      <w:sz w:val="24"/>
      <w:szCs w:val="24"/>
    </w:rPr>
  </w:style>
  <w:style w:type="paragraph" w:customStyle="1" w:styleId="StandardOhneEinzug">
    <w:name w:val="StandardOhneEinzug"/>
    <w:basedOn w:val="a1"/>
    <w:qFormat/>
    <w:pPr>
      <w:widowControl/>
      <w:tabs>
        <w:tab w:val="left" w:pos="4776"/>
      </w:tabs>
      <w:spacing w:after="240" w:line="288" w:lineRule="auto"/>
      <w:ind w:left="4394" w:hanging="1418"/>
      <w:jc w:val="left"/>
    </w:pPr>
    <w:rPr>
      <w:rFonts w:ascii="Arial" w:hAnsi="Arial"/>
      <w:kern w:val="0"/>
      <w:sz w:val="22"/>
      <w:szCs w:val="20"/>
    </w:rPr>
  </w:style>
  <w:style w:type="paragraph" w:customStyle="1" w:styleId="0990">
    <w:name w:val="样式 表、图名宋旭峰 + 首行缩进:  0.99 厘米"/>
    <w:basedOn w:val="afffffffffffff6"/>
    <w:qFormat/>
    <w:pPr>
      <w:tabs>
        <w:tab w:val="left" w:pos="2178"/>
      </w:tabs>
      <w:spacing w:beforeLines="0"/>
      <w:ind w:firstLineChars="0" w:firstLine="0"/>
      <w:jc w:val="center"/>
    </w:pPr>
    <w:rPr>
      <w:rFonts w:ascii="Times New Roman" w:cs="宋体"/>
      <w:color w:val="auto"/>
      <w:kern w:val="2"/>
      <w:sz w:val="21"/>
      <w:szCs w:val="20"/>
    </w:rPr>
  </w:style>
  <w:style w:type="paragraph" w:customStyle="1" w:styleId="020">
    <w:name w:val="表格02左"/>
    <w:basedOn w:val="a1"/>
    <w:qFormat/>
    <w:pPr>
      <w:spacing w:line="400" w:lineRule="exact"/>
      <w:jc w:val="left"/>
    </w:pPr>
    <w:rPr>
      <w:rFonts w:ascii="Times New Roman" w:hAnsi="Times New Roman"/>
      <w:snapToGrid w:val="0"/>
      <w:kern w:val="0"/>
      <w:sz w:val="24"/>
      <w:szCs w:val="24"/>
    </w:rPr>
  </w:style>
  <w:style w:type="paragraph" w:customStyle="1" w:styleId="313">
    <w:name w:val="3.1"/>
    <w:basedOn w:val="a1"/>
    <w:qFormat/>
    <w:pPr>
      <w:spacing w:before="240" w:after="120" w:line="360" w:lineRule="exact"/>
      <w:jc w:val="left"/>
    </w:pPr>
    <w:rPr>
      <w:rFonts w:ascii="Times New Roman" w:eastAsia="DFKai-SB" w:hAnsi="Times New Roman"/>
      <w:sz w:val="28"/>
      <w:szCs w:val="20"/>
      <w:lang w:eastAsia="zh-TW"/>
    </w:rPr>
  </w:style>
  <w:style w:type="paragraph" w:customStyle="1" w:styleId="2fffff4">
    <w:name w:val="标2"/>
    <w:basedOn w:val="2a"/>
    <w:next w:val="aff1"/>
    <w:qFormat/>
    <w:pPr>
      <w:tabs>
        <w:tab w:val="left" w:pos="992"/>
        <w:tab w:val="center" w:pos="6804"/>
        <w:tab w:val="right" w:pos="7371"/>
      </w:tabs>
      <w:overflowPunct w:val="0"/>
      <w:adjustRightInd w:val="0"/>
      <w:spacing w:beforeLines="0" w:afterLines="0" w:line="500" w:lineRule="exact"/>
      <w:ind w:left="992" w:hanging="567"/>
      <w:textAlignment w:val="baseline"/>
    </w:pPr>
    <w:rPr>
      <w:bCs w:val="0"/>
      <w:sz w:val="28"/>
      <w:szCs w:val="20"/>
    </w:rPr>
  </w:style>
  <w:style w:type="paragraph" w:customStyle="1" w:styleId="2fffff5">
    <w:name w:val="样式 标题 2 + (西文) 宋体 (中文) 宋体"/>
    <w:basedOn w:val="2a"/>
    <w:qFormat/>
    <w:pPr>
      <w:widowControl/>
      <w:adjustRightInd w:val="0"/>
      <w:snapToGrid w:val="0"/>
      <w:spacing w:beforeLines="0" w:after="156" w:line="600" w:lineRule="exact"/>
    </w:pPr>
    <w:rPr>
      <w:rFonts w:ascii="宋体" w:eastAsia="宋体" w:hAnsi="宋体"/>
      <w:b w:val="0"/>
      <w:bCs w:val="0"/>
      <w:sz w:val="28"/>
      <w:szCs w:val="28"/>
    </w:rPr>
  </w:style>
  <w:style w:type="paragraph" w:customStyle="1" w:styleId="ltext2">
    <w:name w:val="l_text2"/>
    <w:basedOn w:val="a1"/>
    <w:qFormat/>
    <w:pPr>
      <w:widowControl/>
      <w:overflowPunct w:val="0"/>
      <w:autoSpaceDE w:val="0"/>
      <w:autoSpaceDN w:val="0"/>
      <w:adjustRightInd w:val="0"/>
      <w:jc w:val="center"/>
      <w:textAlignment w:val="baseline"/>
    </w:pPr>
    <w:rPr>
      <w:rFonts w:ascii="楷体" w:eastAsia="楷体" w:hAnsi="Times New Roman" w:cs="楷体"/>
      <w:kern w:val="0"/>
      <w:position w:val="-30"/>
      <w:sz w:val="22"/>
    </w:rPr>
  </w:style>
  <w:style w:type="paragraph" w:customStyle="1" w:styleId="CM8">
    <w:name w:val="CM8"/>
    <w:basedOn w:val="Default"/>
    <w:next w:val="Default"/>
    <w:qFormat/>
    <w:pPr>
      <w:spacing w:line="260" w:lineRule="atLeast"/>
    </w:pPr>
    <w:rPr>
      <w:rFonts w:ascii="Sim Hei" w:eastAsia="Sim Hei"/>
      <w:color w:val="auto"/>
    </w:rPr>
  </w:style>
  <w:style w:type="paragraph" w:customStyle="1" w:styleId="2fffff6">
    <w:name w:val="标题 2 黑体 小四"/>
    <w:basedOn w:val="HTML"/>
    <w:qFormat/>
    <w:rPr>
      <w:rFonts w:ascii="宋体" w:eastAsia="黑体" w:hAnsi="宋体"/>
      <w:sz w:val="24"/>
    </w:rPr>
  </w:style>
  <w:style w:type="paragraph" w:customStyle="1" w:styleId="affffffffffffffffffffffffe">
    <w:name w:val="首消息标题"/>
    <w:basedOn w:val="afff6"/>
    <w:next w:val="afff6"/>
    <w:qFormat/>
    <w:pPr>
      <w:keepLines/>
      <w:widowControl/>
      <w:pBdr>
        <w:top w:val="none" w:sz="0" w:space="0" w:color="auto"/>
        <w:left w:val="none" w:sz="0" w:space="0" w:color="auto"/>
        <w:bottom w:val="none" w:sz="0" w:space="0" w:color="auto"/>
        <w:right w:val="none" w:sz="0" w:space="0" w:color="auto"/>
      </w:pBdr>
      <w:shd w:val="clear" w:color="auto" w:fill="auto"/>
      <w:tabs>
        <w:tab w:val="left" w:pos="720"/>
        <w:tab w:val="left" w:pos="4320"/>
        <w:tab w:val="left" w:pos="5040"/>
        <w:tab w:val="right" w:pos="8640"/>
      </w:tabs>
      <w:spacing w:after="40" w:line="440" w:lineRule="atLeast"/>
      <w:ind w:leftChars="0" w:left="0" w:firstLineChars="0" w:firstLine="0"/>
      <w:jc w:val="left"/>
    </w:pPr>
    <w:rPr>
      <w:rFonts w:cs="Times New Roman"/>
      <w:spacing w:val="-5"/>
      <w:kern w:val="0"/>
      <w:szCs w:val="20"/>
    </w:rPr>
  </w:style>
  <w:style w:type="paragraph" w:customStyle="1" w:styleId="13315">
    <w:name w:val="样式 标题 1 + 小四 段前: 3 磅 段后: 3 磅 行距: 1.5 倍行距"/>
    <w:basedOn w:val="1a"/>
    <w:qFormat/>
    <w:pPr>
      <w:tabs>
        <w:tab w:val="left" w:pos="980"/>
      </w:tabs>
      <w:adjustRightInd w:val="0"/>
      <w:spacing w:before="120" w:after="120" w:line="360" w:lineRule="auto"/>
      <w:ind w:hanging="420"/>
      <w:jc w:val="left"/>
      <w:textAlignment w:val="baseline"/>
    </w:pPr>
    <w:rPr>
      <w:rFonts w:ascii="Times New Roman" w:hAnsi="Times New Roman" w:cs="宋体"/>
      <w:sz w:val="24"/>
      <w:szCs w:val="20"/>
    </w:rPr>
  </w:style>
  <w:style w:type="paragraph" w:customStyle="1" w:styleId="Adresseclient">
    <w:name w:val="Adresse client"/>
    <w:basedOn w:val="a1"/>
    <w:qFormat/>
    <w:pPr>
      <w:widowControl/>
      <w:spacing w:before="120"/>
      <w:ind w:right="1021"/>
      <w:jc w:val="right"/>
    </w:pPr>
    <w:rPr>
      <w:rFonts w:ascii="Arial Gras" w:hAnsi="Arial Gras"/>
      <w:b/>
      <w:kern w:val="0"/>
      <w:sz w:val="36"/>
      <w:szCs w:val="20"/>
    </w:rPr>
  </w:style>
  <w:style w:type="paragraph" w:customStyle="1" w:styleId="3fff5">
    <w:name w:val="样式 样式 标题3 + 小四"/>
    <w:basedOn w:val="3fff6"/>
    <w:qFormat/>
    <w:rPr>
      <w:bCs/>
      <w:sz w:val="24"/>
    </w:rPr>
  </w:style>
  <w:style w:type="paragraph" w:customStyle="1" w:styleId="3fff6">
    <w:name w:val="样式 标题3"/>
    <w:basedOn w:val="affffffffffffffffffffffff4"/>
    <w:qFormat/>
    <w:pPr>
      <w:tabs>
        <w:tab w:val="left" w:pos="1366"/>
      </w:tabs>
      <w:ind w:firstLineChars="0" w:firstLine="0"/>
      <w:outlineLvl w:val="2"/>
    </w:pPr>
    <w:rPr>
      <w:b/>
    </w:rPr>
  </w:style>
  <w:style w:type="paragraph" w:customStyle="1" w:styleId="Char05">
    <w:name w:val="样式 表格文字 Char + 段前: 0.5 行"/>
    <w:basedOn w:val="a1"/>
    <w:qFormat/>
    <w:pPr>
      <w:spacing w:beforeLines="50"/>
      <w:jc w:val="center"/>
    </w:pPr>
    <w:rPr>
      <w:rFonts w:ascii="Times New Roman" w:hAnsi="Times New Roman"/>
      <w:sz w:val="24"/>
      <w:szCs w:val="20"/>
    </w:rPr>
  </w:style>
  <w:style w:type="paragraph" w:customStyle="1" w:styleId="tinytext">
    <w:name w:val="tinytext"/>
    <w:basedOn w:val="a1"/>
    <w:qFormat/>
    <w:pPr>
      <w:widowControl/>
      <w:spacing w:before="100" w:beforeAutospacing="1" w:after="100" w:afterAutospacing="1"/>
      <w:ind w:firstLine="480"/>
      <w:jc w:val="left"/>
    </w:pPr>
    <w:rPr>
      <w:rFonts w:ascii="宋体" w:hAnsi="宋体" w:cs="宋体"/>
      <w:kern w:val="0"/>
      <w:sz w:val="24"/>
      <w:szCs w:val="24"/>
    </w:rPr>
  </w:style>
  <w:style w:type="paragraph" w:customStyle="1" w:styleId="1fffffc">
    <w:name w:val="样式 标题1"/>
    <w:basedOn w:val="affffffffffffffffffffffff4"/>
    <w:qFormat/>
    <w:pPr>
      <w:tabs>
        <w:tab w:val="left" w:pos="0"/>
      </w:tabs>
      <w:ind w:firstLineChars="0" w:firstLine="0"/>
      <w:outlineLvl w:val="0"/>
    </w:pPr>
    <w:rPr>
      <w:b/>
    </w:rPr>
  </w:style>
  <w:style w:type="paragraph" w:customStyle="1" w:styleId="ltext">
    <w:name w:val="l_text"/>
    <w:basedOn w:val="a1"/>
    <w:qFormat/>
    <w:pPr>
      <w:widowControl/>
      <w:overflowPunct w:val="0"/>
      <w:autoSpaceDE w:val="0"/>
      <w:autoSpaceDN w:val="0"/>
      <w:adjustRightInd w:val="0"/>
      <w:spacing w:line="360" w:lineRule="auto"/>
      <w:ind w:firstLine="567"/>
      <w:textAlignment w:val="baseline"/>
    </w:pPr>
    <w:rPr>
      <w:rFonts w:ascii="宋体" w:hAnsi="Times New Roman"/>
      <w:kern w:val="0"/>
      <w:sz w:val="24"/>
      <w:szCs w:val="20"/>
    </w:rPr>
  </w:style>
  <w:style w:type="paragraph" w:customStyle="1" w:styleId="CharCharCharCharCharCharCharCharCharCharCharCharCharCharCharCharCharCharCharCharCharCharCharCharCharCharCharCharCharCharCharCharCharCharCharCharCharCharCharChar0">
    <w:name w:val="正文（首行缩进两字） Char Char Char Char Char Char Char Char Char Char Char Char Char Char Char Char Char Char Char Char Char Char Char Char Char Char Char Char Char Char Char Char Char Char Char Char Char Char Char Char"/>
    <w:basedOn w:val="a1"/>
    <w:next w:val="a1"/>
    <w:qFormat/>
    <w:pPr>
      <w:spacing w:after="120"/>
      <w:ind w:leftChars="700" w:left="1440" w:rightChars="700" w:right="1440"/>
    </w:pPr>
    <w:rPr>
      <w:rFonts w:ascii="Times New Roman" w:hAnsi="Times New Roman"/>
      <w:szCs w:val="24"/>
    </w:rPr>
  </w:style>
  <w:style w:type="paragraph" w:customStyle="1" w:styleId="1fffffd">
    <w:name w:val="字元 字元1"/>
    <w:basedOn w:val="a1"/>
    <w:qFormat/>
    <w:pPr>
      <w:tabs>
        <w:tab w:val="left" w:pos="780"/>
      </w:tabs>
      <w:ind w:left="780" w:hanging="360"/>
    </w:pPr>
    <w:rPr>
      <w:rFonts w:ascii="Times New Roman" w:hAnsi="Times New Roman"/>
      <w:sz w:val="24"/>
      <w:szCs w:val="24"/>
    </w:rPr>
  </w:style>
  <w:style w:type="paragraph" w:customStyle="1" w:styleId="CharCharCharCharCharCharCharCharChar1CharCharChar1Char">
    <w:name w:val="Char Char Char Char Char Char Char Char Char1 Char Char Char1 Char"/>
    <w:basedOn w:val="a1"/>
    <w:qFormat/>
    <w:rPr>
      <w:rFonts w:ascii="Times New Roman" w:hAnsi="Times New Roman"/>
      <w:szCs w:val="21"/>
    </w:rPr>
  </w:style>
  <w:style w:type="paragraph" w:customStyle="1" w:styleId="myfont9new">
    <w:name w:val="myfont9new"/>
    <w:basedOn w:val="a1"/>
    <w:qFormat/>
    <w:pPr>
      <w:widowControl/>
      <w:spacing w:before="100" w:beforeAutospacing="1" w:after="100" w:afterAutospacing="1"/>
      <w:jc w:val="left"/>
    </w:pPr>
    <w:rPr>
      <w:rFonts w:ascii="宋体" w:hAnsi="宋体"/>
      <w:kern w:val="0"/>
      <w:sz w:val="24"/>
      <w:szCs w:val="24"/>
    </w:rPr>
  </w:style>
  <w:style w:type="paragraph" w:customStyle="1" w:styleId="22Char22Char1Charb2Char1Char11CharCh">
    <w:name w:val="样式 标题 2标题 2 Char2标题 2 Char1 Charb2 Char1 Char节标题 1.1 Char Ch..."/>
    <w:basedOn w:val="2a"/>
    <w:qFormat/>
    <w:pPr>
      <w:widowControl/>
      <w:tabs>
        <w:tab w:val="left" w:pos="0"/>
        <w:tab w:val="left" w:pos="240"/>
      </w:tabs>
      <w:spacing w:beforeLines="0" w:afterLines="0"/>
    </w:pPr>
    <w:rPr>
      <w:rFonts w:ascii="宋体" w:eastAsia="宋体" w:hAnsi="宋体"/>
      <w:sz w:val="24"/>
      <w:szCs w:val="24"/>
    </w:rPr>
  </w:style>
  <w:style w:type="paragraph" w:customStyle="1" w:styleId="10d">
    <w:name w:val="10"/>
    <w:basedOn w:val="a1"/>
    <w:next w:val="afff8"/>
    <w:qFormat/>
    <w:pPr>
      <w:widowControl/>
      <w:spacing w:before="100" w:beforeAutospacing="1" w:after="100" w:afterAutospacing="1"/>
      <w:jc w:val="left"/>
    </w:pPr>
    <w:rPr>
      <w:rFonts w:ascii="宋体" w:hAnsi="宋体"/>
      <w:color w:val="000000"/>
      <w:kern w:val="0"/>
      <w:sz w:val="24"/>
      <w:szCs w:val="24"/>
    </w:rPr>
  </w:style>
  <w:style w:type="paragraph" w:customStyle="1" w:styleId="Lgende1">
    <w:name w:val="Légende1"/>
    <w:basedOn w:val="a1"/>
    <w:next w:val="a1"/>
    <w:qFormat/>
    <w:pPr>
      <w:widowControl/>
      <w:tabs>
        <w:tab w:val="left" w:pos="1276"/>
      </w:tabs>
      <w:suppressAutoHyphens/>
      <w:spacing w:before="40" w:after="40"/>
    </w:pPr>
    <w:rPr>
      <w:rFonts w:ascii="Arial" w:hAnsi="Arial" w:cs="Arial"/>
      <w:b/>
      <w:bCs/>
      <w:kern w:val="0"/>
      <w:sz w:val="24"/>
      <w:szCs w:val="24"/>
      <w:lang w:eastAsia="ar-SA"/>
    </w:rPr>
  </w:style>
  <w:style w:type="paragraph" w:customStyle="1" w:styleId="normalpuces2">
    <w:name w:val="normal puces 2"/>
    <w:basedOn w:val="a1"/>
    <w:qFormat/>
    <w:pPr>
      <w:widowControl/>
      <w:tabs>
        <w:tab w:val="left" w:pos="420"/>
      </w:tabs>
      <w:spacing w:before="40"/>
      <w:ind w:left="420" w:hanging="420"/>
    </w:pPr>
    <w:rPr>
      <w:rFonts w:ascii="Arial" w:hAnsi="Arial"/>
      <w:kern w:val="0"/>
      <w:sz w:val="24"/>
      <w:szCs w:val="20"/>
    </w:rPr>
  </w:style>
  <w:style w:type="paragraph" w:customStyle="1" w:styleId="CM14">
    <w:name w:val="CM14"/>
    <w:basedOn w:val="a1"/>
    <w:next w:val="a1"/>
    <w:qFormat/>
    <w:pPr>
      <w:autoSpaceDE w:val="0"/>
      <w:autoSpaceDN w:val="0"/>
      <w:adjustRightInd w:val="0"/>
      <w:spacing w:line="533" w:lineRule="atLeast"/>
      <w:jc w:val="left"/>
    </w:pPr>
    <w:rPr>
      <w:rFonts w:ascii="华文中宋" w:eastAsia="华文中宋" w:hAnsi="Times New Roman" w:cs="华文中宋"/>
      <w:kern w:val="0"/>
      <w:sz w:val="24"/>
      <w:szCs w:val="24"/>
    </w:rPr>
  </w:style>
  <w:style w:type="paragraph" w:customStyle="1" w:styleId="ParaCharCharCharCharCharCharChar">
    <w:name w:val="默认段落字体 Para Char Char Char Char Char Char Char"/>
    <w:basedOn w:val="a1"/>
    <w:qFormat/>
    <w:pPr>
      <w:spacing w:line="360" w:lineRule="auto"/>
      <w:ind w:firstLineChars="200" w:firstLine="200"/>
    </w:pPr>
    <w:rPr>
      <w:rFonts w:ascii="宋体" w:hAnsi="宋体" w:cs="宋体"/>
      <w:sz w:val="24"/>
      <w:szCs w:val="24"/>
    </w:rPr>
  </w:style>
  <w:style w:type="paragraph" w:customStyle="1" w:styleId="20505">
    <w:name w:val="样式 标题 2 + 段前: 0.5 行 段后: 0.5 行"/>
    <w:basedOn w:val="2a"/>
    <w:qFormat/>
    <w:pPr>
      <w:widowControl/>
      <w:adjustRightInd w:val="0"/>
      <w:snapToGrid w:val="0"/>
      <w:spacing w:beforeLines="0" w:after="156" w:line="600" w:lineRule="exact"/>
    </w:pPr>
    <w:rPr>
      <w:rFonts w:ascii="Times New Roman" w:eastAsia="宋体" w:hAnsi="Times New Roman" w:cs="宋体"/>
      <w:sz w:val="30"/>
      <w:szCs w:val="20"/>
    </w:rPr>
  </w:style>
  <w:style w:type="paragraph" w:customStyle="1" w:styleId="2GB231200">
    <w:name w:val="样式 正文文本缩进 2 + (中文) 仿宋_GB2312 小四 居中 行距: 单倍行距 左  0 字符"/>
    <w:basedOn w:val="2e"/>
    <w:qFormat/>
    <w:pPr>
      <w:spacing w:line="240" w:lineRule="auto"/>
      <w:ind w:leftChars="0" w:left="0"/>
      <w:jc w:val="center"/>
    </w:pPr>
    <w:rPr>
      <w:rFonts w:cs="宋体"/>
      <w:sz w:val="24"/>
    </w:rPr>
  </w:style>
  <w:style w:type="paragraph" w:customStyle="1" w:styleId="CharChar1Char">
    <w:name w:val="Char Char1 Char"/>
    <w:basedOn w:val="a1"/>
    <w:qFormat/>
    <w:rPr>
      <w:rFonts w:ascii="仿宋_GB2312" w:eastAsia="仿宋_GB2312" w:hAnsi="Times New Roman"/>
      <w:b/>
      <w:sz w:val="32"/>
      <w:szCs w:val="32"/>
    </w:rPr>
  </w:style>
  <w:style w:type="paragraph" w:customStyle="1" w:styleId="afffffffffffffffffffffffff">
    <w:name w:val="样式 表格文字"/>
    <w:basedOn w:val="affffffffffffffffffffffff4"/>
    <w:qFormat/>
    <w:pPr>
      <w:spacing w:beforeLines="25" w:afterLines="25" w:line="240" w:lineRule="auto"/>
      <w:ind w:firstLineChars="0" w:firstLine="0"/>
    </w:pPr>
    <w:rPr>
      <w:sz w:val="24"/>
      <w:szCs w:val="24"/>
    </w:rPr>
  </w:style>
  <w:style w:type="paragraph" w:customStyle="1" w:styleId="1112">
    <w:name w:val="正文111"/>
    <w:basedOn w:val="a2"/>
    <w:qFormat/>
    <w:pPr>
      <w:adjustRightInd/>
      <w:snapToGrid/>
      <w:spacing w:afterLines="25" w:line="360" w:lineRule="auto"/>
      <w:ind w:firstLine="200"/>
      <w:jc w:val="both"/>
    </w:pPr>
    <w:rPr>
      <w:rFonts w:eastAsia="宋体"/>
      <w:kern w:val="2"/>
      <w:sz w:val="24"/>
      <w:szCs w:val="24"/>
    </w:rPr>
  </w:style>
  <w:style w:type="paragraph" w:customStyle="1" w:styleId="TechData0">
    <w:name w:val="Tech Data"/>
    <w:basedOn w:val="a1"/>
    <w:qFormat/>
    <w:pPr>
      <w:widowControl/>
      <w:tabs>
        <w:tab w:val="left" w:pos="6237"/>
      </w:tabs>
      <w:suppressAutoHyphens/>
      <w:spacing w:before="60" w:after="60"/>
      <w:ind w:firstLine="227"/>
    </w:pPr>
    <w:rPr>
      <w:rFonts w:ascii="Arial" w:hAnsi="Arial"/>
      <w:kern w:val="0"/>
      <w:sz w:val="24"/>
      <w:szCs w:val="20"/>
    </w:rPr>
  </w:style>
  <w:style w:type="paragraph" w:customStyle="1" w:styleId="520">
    <w:name w:val="样式 样式5 + 首行缩进:  2 字符"/>
    <w:basedOn w:val="a1"/>
    <w:qFormat/>
    <w:pPr>
      <w:keepNext/>
      <w:keepLines/>
      <w:ind w:firstLineChars="200" w:firstLine="560"/>
      <w:outlineLvl w:val="2"/>
    </w:pPr>
    <w:rPr>
      <w:rFonts w:ascii="Times New Roman" w:eastAsia="Times New Roman" w:hAnsi="Times New Roman" w:cs="宋体"/>
      <w:sz w:val="28"/>
      <w:szCs w:val="20"/>
    </w:rPr>
  </w:style>
  <w:style w:type="paragraph" w:customStyle="1" w:styleId="22a">
    <w:name w:val="样式 样式2 + 首行缩进:  2 字符"/>
    <w:basedOn w:val="a1"/>
    <w:qFormat/>
    <w:pPr>
      <w:keepNext/>
      <w:ind w:firstLineChars="200" w:firstLine="560"/>
      <w:jc w:val="left"/>
      <w:outlineLvl w:val="1"/>
    </w:pPr>
    <w:rPr>
      <w:rFonts w:ascii="黑体" w:eastAsia="Times New Roman" w:hAnsi="Times New Roman" w:cs="宋体"/>
      <w:b/>
      <w:sz w:val="28"/>
      <w:szCs w:val="20"/>
    </w:rPr>
  </w:style>
  <w:style w:type="paragraph" w:customStyle="1" w:styleId="3415151113h33rdlevelH3">
    <w:name w:val="样式 标题 34号宋体左齐行距1.5倍四号宋体左齐行距1.5倍小标题条标题1.1.13h33rd levelH3..."/>
    <w:basedOn w:val="3a"/>
    <w:qFormat/>
    <w:pPr>
      <w:spacing w:before="0" w:after="0" w:line="360" w:lineRule="auto"/>
    </w:pPr>
    <w:rPr>
      <w:rFonts w:ascii="Times New Roman" w:eastAsia="黑体" w:hAnsi="Times New Roman" w:cs="宋体"/>
      <w:b w:val="0"/>
      <w:bCs w:val="0"/>
      <w:kern w:val="2"/>
      <w:sz w:val="28"/>
      <w:szCs w:val="20"/>
    </w:rPr>
  </w:style>
  <w:style w:type="paragraph" w:customStyle="1" w:styleId="22CharTimesNewRoman1">
    <w:name w:val="样式 标题 2标题 2 Char + (西文) Times New Roman (中文) 宋体 四号 非加粗 段前: ...1"/>
    <w:basedOn w:val="2a"/>
    <w:qFormat/>
    <w:pPr>
      <w:adjustRightInd w:val="0"/>
      <w:spacing w:beforeLines="0" w:afterLines="0"/>
      <w:jc w:val="both"/>
      <w:textAlignment w:val="baseline"/>
    </w:pPr>
    <w:rPr>
      <w:rFonts w:ascii="Times New Roman" w:hAnsi="Times New Roman" w:cs="宋体"/>
      <w:b w:val="0"/>
      <w:bCs w:val="0"/>
      <w:sz w:val="28"/>
      <w:szCs w:val="20"/>
    </w:rPr>
  </w:style>
  <w:style w:type="paragraph" w:customStyle="1" w:styleId="1510">
    <w:name w:val="样式 四号 行距: 1.5 倍行距1"/>
    <w:basedOn w:val="a1"/>
    <w:qFormat/>
    <w:pPr>
      <w:spacing w:line="360" w:lineRule="auto"/>
    </w:pPr>
    <w:rPr>
      <w:rFonts w:ascii="Times New Roman" w:eastAsia="黑体" w:hAnsi="Times New Roman" w:cs="宋体"/>
      <w:sz w:val="28"/>
      <w:szCs w:val="20"/>
    </w:rPr>
  </w:style>
  <w:style w:type="paragraph" w:customStyle="1" w:styleId="22CharTimesNewRoman">
    <w:name w:val="样式 标题 2标题 2 Char + (西文) Times New Roman (中文) 宋体 四号 非加粗 行距: ..."/>
    <w:basedOn w:val="2a"/>
    <w:qFormat/>
    <w:pPr>
      <w:adjustRightInd w:val="0"/>
      <w:spacing w:beforeLines="0" w:afterLines="0"/>
      <w:jc w:val="both"/>
      <w:textAlignment w:val="baseline"/>
    </w:pPr>
    <w:rPr>
      <w:rFonts w:ascii="Times New Roman" w:hAnsi="Times New Roman" w:cs="宋体"/>
      <w:b w:val="0"/>
      <w:bCs w:val="0"/>
      <w:sz w:val="28"/>
      <w:szCs w:val="20"/>
    </w:rPr>
  </w:style>
  <w:style w:type="paragraph" w:customStyle="1" w:styleId="1521">
    <w:name w:val="样式 小四 行距: 1.5 倍行距2"/>
    <w:basedOn w:val="a1"/>
    <w:qFormat/>
    <w:pPr>
      <w:spacing w:line="360" w:lineRule="auto"/>
      <w:ind w:firstLineChars="200" w:firstLine="480"/>
    </w:pPr>
    <w:rPr>
      <w:rFonts w:ascii="Times New Roman" w:hAnsi="Times New Roman" w:cs="宋体"/>
      <w:sz w:val="26"/>
      <w:szCs w:val="20"/>
    </w:rPr>
  </w:style>
  <w:style w:type="paragraph" w:customStyle="1" w:styleId="zhang">
    <w:name w:val="zhang正文"/>
    <w:basedOn w:val="afd"/>
    <w:qFormat/>
    <w:pPr>
      <w:autoSpaceDE w:val="0"/>
      <w:autoSpaceDN w:val="0"/>
      <w:adjustRightInd w:val="0"/>
      <w:snapToGrid w:val="0"/>
      <w:spacing w:after="0" w:line="560" w:lineRule="exact"/>
      <w:ind w:leftChars="0" w:left="0" w:firstLineChars="192" w:firstLine="192"/>
      <w:textAlignment w:val="baseline"/>
    </w:pPr>
    <w:rPr>
      <w:sz w:val="28"/>
      <w:szCs w:val="20"/>
    </w:rPr>
  </w:style>
  <w:style w:type="paragraph" w:customStyle="1" w:styleId="CM164">
    <w:name w:val="CM164"/>
    <w:basedOn w:val="Default"/>
    <w:next w:val="Default"/>
    <w:qFormat/>
    <w:pPr>
      <w:spacing w:after="120"/>
    </w:pPr>
    <w:rPr>
      <w:color w:val="auto"/>
    </w:rPr>
  </w:style>
  <w:style w:type="paragraph" w:customStyle="1" w:styleId="ParaCharCharCharCharChar">
    <w:name w:val="默认段落字体 Para Char Char Char Char Char"/>
    <w:basedOn w:val="a1"/>
    <w:qFormat/>
    <w:rPr>
      <w:rFonts w:ascii="宋体" w:hAnsi="宋体"/>
      <w:b/>
      <w:color w:val="000000"/>
      <w:sz w:val="24"/>
      <w:szCs w:val="24"/>
    </w:rPr>
  </w:style>
  <w:style w:type="paragraph" w:customStyle="1" w:styleId="216">
    <w:name w:val="标题 21"/>
    <w:basedOn w:val="a1"/>
    <w:next w:val="a1"/>
    <w:qFormat/>
    <w:pPr>
      <w:snapToGrid w:val="0"/>
      <w:spacing w:line="360" w:lineRule="auto"/>
      <w:outlineLvl w:val="1"/>
    </w:pPr>
    <w:rPr>
      <w:rFonts w:ascii="仿宋_GB2312" w:eastAsia="仿宋_GB2312" w:hAnsi="Arial" w:hint="eastAsia"/>
      <w:sz w:val="28"/>
      <w:szCs w:val="20"/>
    </w:rPr>
  </w:style>
  <w:style w:type="paragraph" w:customStyle="1" w:styleId="1fffffe">
    <w:name w:val="批注框文本1"/>
    <w:basedOn w:val="a1"/>
    <w:qFormat/>
    <w:rPr>
      <w:rFonts w:ascii="Times New Roman" w:hAnsi="Times New Roman" w:hint="eastAsia"/>
      <w:sz w:val="18"/>
      <w:szCs w:val="20"/>
    </w:rPr>
  </w:style>
  <w:style w:type="paragraph" w:customStyle="1" w:styleId="3fff7">
    <w:name w:val="正文缩进3"/>
    <w:basedOn w:val="a1"/>
    <w:qFormat/>
    <w:pPr>
      <w:ind w:firstLine="420"/>
    </w:pPr>
    <w:rPr>
      <w:rFonts w:ascii="Times New Roman" w:hAnsi="Times New Roman" w:hint="eastAsia"/>
      <w:szCs w:val="20"/>
    </w:rPr>
  </w:style>
  <w:style w:type="paragraph" w:customStyle="1" w:styleId="xl126">
    <w:name w:val="xl12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rPr>
  </w:style>
  <w:style w:type="paragraph" w:customStyle="1" w:styleId="xl127">
    <w:name w:val="xl12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128">
    <w:name w:val="xl12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129">
    <w:name w:val="xl12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宋体"/>
      <w:kern w:val="0"/>
      <w:sz w:val="22"/>
    </w:rPr>
  </w:style>
  <w:style w:type="paragraph" w:customStyle="1" w:styleId="xl130">
    <w:name w:val="xl130"/>
    <w:basedOn w:val="a1"/>
    <w:qFormat/>
    <w:pPr>
      <w:widowControl/>
      <w:pBdr>
        <w:top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宋体"/>
      <w:kern w:val="0"/>
      <w:sz w:val="22"/>
    </w:rPr>
  </w:style>
  <w:style w:type="paragraph" w:customStyle="1" w:styleId="xl131">
    <w:name w:val="xl131"/>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132">
    <w:name w:val="xl13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133">
    <w:name w:val="xl13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rPr>
  </w:style>
  <w:style w:type="paragraph" w:customStyle="1" w:styleId="xl134">
    <w:name w:val="xl134"/>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2"/>
    </w:rPr>
  </w:style>
  <w:style w:type="paragraph" w:customStyle="1" w:styleId="xl135">
    <w:name w:val="xl13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rPr>
  </w:style>
  <w:style w:type="paragraph" w:customStyle="1" w:styleId="xl136">
    <w:name w:val="xl13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2"/>
    </w:rPr>
  </w:style>
  <w:style w:type="paragraph" w:customStyle="1" w:styleId="xl137">
    <w:name w:val="xl13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2"/>
    </w:rPr>
  </w:style>
  <w:style w:type="paragraph" w:customStyle="1" w:styleId="xl138">
    <w:name w:val="xl13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rPr>
  </w:style>
  <w:style w:type="paragraph" w:customStyle="1" w:styleId="xl139">
    <w:name w:val="xl13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2"/>
    </w:rPr>
  </w:style>
  <w:style w:type="paragraph" w:customStyle="1" w:styleId="xl140">
    <w:name w:val="xl140"/>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2"/>
    </w:rPr>
  </w:style>
  <w:style w:type="paragraph" w:customStyle="1" w:styleId="xl141">
    <w:name w:val="xl141"/>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rPr>
  </w:style>
  <w:style w:type="paragraph" w:customStyle="1" w:styleId="xl142">
    <w:name w:val="xl142"/>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宋体"/>
      <w:b/>
      <w:bCs/>
      <w:kern w:val="0"/>
      <w:sz w:val="24"/>
      <w:szCs w:val="24"/>
    </w:rPr>
  </w:style>
  <w:style w:type="paragraph" w:customStyle="1" w:styleId="xl143">
    <w:name w:val="xl14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144">
    <w:name w:val="xl144"/>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华文中宋" w:eastAsia="华文中宋" w:hAnsi="华文中宋" w:cs="宋体"/>
      <w:kern w:val="0"/>
      <w:sz w:val="22"/>
    </w:rPr>
  </w:style>
  <w:style w:type="paragraph" w:customStyle="1" w:styleId="xl145">
    <w:name w:val="xl14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20"/>
      <w:szCs w:val="20"/>
    </w:rPr>
  </w:style>
  <w:style w:type="paragraph" w:customStyle="1" w:styleId="xl146">
    <w:name w:val="xl14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宋体"/>
      <w:b/>
      <w:bCs/>
      <w:kern w:val="0"/>
      <w:sz w:val="22"/>
    </w:rPr>
  </w:style>
  <w:style w:type="paragraph" w:customStyle="1" w:styleId="xl147">
    <w:name w:val="xl14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2"/>
    </w:rPr>
  </w:style>
  <w:style w:type="paragraph" w:customStyle="1" w:styleId="xl148">
    <w:name w:val="xl14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22"/>
    </w:rPr>
  </w:style>
  <w:style w:type="paragraph" w:customStyle="1" w:styleId="xl149">
    <w:name w:val="xl14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22"/>
    </w:rPr>
  </w:style>
  <w:style w:type="paragraph" w:customStyle="1" w:styleId="xl150">
    <w:name w:val="xl150"/>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22"/>
    </w:rPr>
  </w:style>
  <w:style w:type="paragraph" w:customStyle="1" w:styleId="xl151">
    <w:name w:val="xl151"/>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rPr>
  </w:style>
  <w:style w:type="paragraph" w:customStyle="1" w:styleId="xl152">
    <w:name w:val="xl15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2"/>
    </w:rPr>
  </w:style>
  <w:style w:type="paragraph" w:customStyle="1" w:styleId="xl153">
    <w:name w:val="xl15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rPr>
  </w:style>
  <w:style w:type="paragraph" w:customStyle="1" w:styleId="xl154">
    <w:name w:val="xl154"/>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rPr>
  </w:style>
  <w:style w:type="paragraph" w:customStyle="1" w:styleId="xl155">
    <w:name w:val="xl15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rPr>
  </w:style>
  <w:style w:type="paragraph" w:customStyle="1" w:styleId="xl156">
    <w:name w:val="xl15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22"/>
    </w:rPr>
  </w:style>
  <w:style w:type="paragraph" w:customStyle="1" w:styleId="xl157">
    <w:name w:val="xl15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rPr>
  </w:style>
  <w:style w:type="paragraph" w:customStyle="1" w:styleId="xl158">
    <w:name w:val="xl15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rPr>
  </w:style>
  <w:style w:type="paragraph" w:customStyle="1" w:styleId="xl159">
    <w:name w:val="xl15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rPr>
  </w:style>
  <w:style w:type="paragraph" w:customStyle="1" w:styleId="xl160">
    <w:name w:val="xl160"/>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rPr>
  </w:style>
  <w:style w:type="paragraph" w:customStyle="1" w:styleId="xl161">
    <w:name w:val="xl161"/>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rPr>
  </w:style>
  <w:style w:type="paragraph" w:customStyle="1" w:styleId="xl162">
    <w:name w:val="xl16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22"/>
    </w:rPr>
  </w:style>
  <w:style w:type="paragraph" w:customStyle="1" w:styleId="xl163">
    <w:name w:val="xl16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rPr>
  </w:style>
  <w:style w:type="paragraph" w:customStyle="1" w:styleId="xl164">
    <w:name w:val="xl164"/>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22"/>
    </w:rPr>
  </w:style>
  <w:style w:type="paragraph" w:customStyle="1" w:styleId="xl165">
    <w:name w:val="xl16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rPr>
  </w:style>
  <w:style w:type="paragraph" w:customStyle="1" w:styleId="xl166">
    <w:name w:val="xl16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2"/>
    </w:rPr>
  </w:style>
  <w:style w:type="paragraph" w:customStyle="1" w:styleId="xl167">
    <w:name w:val="xl16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rPr>
  </w:style>
  <w:style w:type="paragraph" w:customStyle="1" w:styleId="xl168">
    <w:name w:val="xl16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rPr>
  </w:style>
  <w:style w:type="paragraph" w:customStyle="1" w:styleId="xl169">
    <w:name w:val="xl16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rPr>
  </w:style>
  <w:style w:type="paragraph" w:customStyle="1" w:styleId="xl170">
    <w:name w:val="xl170"/>
    <w:basedOn w:val="a1"/>
    <w:qFormat/>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22"/>
    </w:rPr>
  </w:style>
  <w:style w:type="paragraph" w:customStyle="1" w:styleId="xl171">
    <w:name w:val="xl171"/>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宋体"/>
      <w:kern w:val="0"/>
      <w:sz w:val="22"/>
    </w:rPr>
  </w:style>
  <w:style w:type="paragraph" w:customStyle="1" w:styleId="xl172">
    <w:name w:val="xl172"/>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2"/>
    </w:rPr>
  </w:style>
  <w:style w:type="paragraph" w:customStyle="1" w:styleId="xl173">
    <w:name w:val="xl173"/>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宋体"/>
      <w:b/>
      <w:bCs/>
      <w:kern w:val="0"/>
      <w:sz w:val="22"/>
    </w:rPr>
  </w:style>
  <w:style w:type="paragraph" w:customStyle="1" w:styleId="xl174">
    <w:name w:val="xl174"/>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宋体"/>
      <w:b/>
      <w:bCs/>
      <w:kern w:val="0"/>
      <w:sz w:val="22"/>
    </w:rPr>
  </w:style>
  <w:style w:type="paragraph" w:customStyle="1" w:styleId="xl175">
    <w:name w:val="xl17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rPr>
  </w:style>
  <w:style w:type="paragraph" w:customStyle="1" w:styleId="xl176">
    <w:name w:val="xl17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rPr>
  </w:style>
  <w:style w:type="paragraph" w:customStyle="1" w:styleId="xl177">
    <w:name w:val="xl17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rPr>
  </w:style>
  <w:style w:type="paragraph" w:customStyle="1" w:styleId="xl178">
    <w:name w:val="xl17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rPr>
  </w:style>
  <w:style w:type="paragraph" w:customStyle="1" w:styleId="xl179">
    <w:name w:val="xl179"/>
    <w:basedOn w:val="a1"/>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rPr>
  </w:style>
  <w:style w:type="paragraph" w:customStyle="1" w:styleId="xl180">
    <w:name w:val="xl180"/>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rPr>
  </w:style>
  <w:style w:type="paragraph" w:customStyle="1" w:styleId="xl181">
    <w:name w:val="xl181"/>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22"/>
    </w:rPr>
  </w:style>
  <w:style w:type="paragraph" w:customStyle="1" w:styleId="xl182">
    <w:name w:val="xl18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rPr>
  </w:style>
  <w:style w:type="paragraph" w:customStyle="1" w:styleId="xl183">
    <w:name w:val="xl18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rPr>
  </w:style>
  <w:style w:type="paragraph" w:customStyle="1" w:styleId="xl184">
    <w:name w:val="xl184"/>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rPr>
  </w:style>
  <w:style w:type="paragraph" w:customStyle="1" w:styleId="xl185">
    <w:name w:val="xl185"/>
    <w:basedOn w:val="a1"/>
    <w:qFormat/>
    <w:pPr>
      <w:widowControl/>
      <w:pBdr>
        <w:bottom w:val="single" w:sz="4" w:space="0" w:color="auto"/>
        <w:right w:val="single" w:sz="4" w:space="0" w:color="auto"/>
      </w:pBdr>
      <w:spacing w:before="100" w:beforeAutospacing="1" w:after="100" w:afterAutospacing="1"/>
      <w:jc w:val="left"/>
      <w:textAlignment w:val="center"/>
    </w:pPr>
    <w:rPr>
      <w:rFonts w:ascii="宋体" w:hAnsi="宋体" w:cs="宋体"/>
      <w:kern w:val="0"/>
      <w:sz w:val="22"/>
    </w:rPr>
  </w:style>
  <w:style w:type="paragraph" w:customStyle="1" w:styleId="xl186">
    <w:name w:val="xl186"/>
    <w:basedOn w:val="a1"/>
    <w:qFormat/>
    <w:pPr>
      <w:widowControl/>
      <w:pBdr>
        <w:bottom w:val="single" w:sz="4" w:space="0" w:color="auto"/>
        <w:right w:val="single" w:sz="4" w:space="0" w:color="auto"/>
      </w:pBdr>
      <w:spacing w:before="100" w:beforeAutospacing="1" w:after="100" w:afterAutospacing="1"/>
      <w:jc w:val="left"/>
      <w:textAlignment w:val="center"/>
    </w:pPr>
    <w:rPr>
      <w:rFonts w:ascii="宋体" w:hAnsi="宋体" w:cs="宋体"/>
      <w:kern w:val="0"/>
      <w:sz w:val="22"/>
    </w:rPr>
  </w:style>
  <w:style w:type="paragraph" w:customStyle="1" w:styleId="xl187">
    <w:name w:val="xl18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rPr>
  </w:style>
  <w:style w:type="paragraph" w:customStyle="1" w:styleId="xl188">
    <w:name w:val="xl188"/>
    <w:basedOn w:val="a1"/>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rPr>
  </w:style>
  <w:style w:type="paragraph" w:customStyle="1" w:styleId="xl189">
    <w:name w:val="xl189"/>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rPr>
  </w:style>
  <w:style w:type="paragraph" w:customStyle="1" w:styleId="xl190">
    <w:name w:val="xl190"/>
    <w:basedOn w:val="a1"/>
    <w:qFormat/>
    <w:pPr>
      <w:widowControl/>
      <w:pBdr>
        <w:bottom w:val="single" w:sz="4" w:space="0" w:color="auto"/>
        <w:right w:val="single" w:sz="4" w:space="0" w:color="auto"/>
      </w:pBdr>
      <w:spacing w:before="100" w:beforeAutospacing="1" w:after="100" w:afterAutospacing="1"/>
      <w:jc w:val="center"/>
      <w:textAlignment w:val="center"/>
    </w:pPr>
    <w:rPr>
      <w:rFonts w:ascii="Arial Narrow" w:hAnsi="Arial Narrow" w:cs="宋体"/>
      <w:b/>
      <w:bCs/>
      <w:kern w:val="0"/>
      <w:sz w:val="22"/>
    </w:rPr>
  </w:style>
  <w:style w:type="paragraph" w:customStyle="1" w:styleId="xl191">
    <w:name w:val="xl191"/>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rPr>
  </w:style>
  <w:style w:type="paragraph" w:customStyle="1" w:styleId="xl192">
    <w:name w:val="xl19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2"/>
    </w:rPr>
  </w:style>
  <w:style w:type="paragraph" w:customStyle="1" w:styleId="xl193">
    <w:name w:val="xl19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宋体"/>
      <w:b/>
      <w:bCs/>
      <w:kern w:val="0"/>
      <w:sz w:val="22"/>
    </w:rPr>
  </w:style>
  <w:style w:type="paragraph" w:customStyle="1" w:styleId="xl194">
    <w:name w:val="xl194"/>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宋体"/>
      <w:kern w:val="0"/>
      <w:sz w:val="22"/>
    </w:rPr>
  </w:style>
  <w:style w:type="paragraph" w:customStyle="1" w:styleId="xl195">
    <w:name w:val="xl19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宋体"/>
      <w:kern w:val="0"/>
      <w:sz w:val="22"/>
    </w:rPr>
  </w:style>
  <w:style w:type="paragraph" w:customStyle="1" w:styleId="xl196">
    <w:name w:val="xl19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2"/>
    </w:rPr>
  </w:style>
  <w:style w:type="paragraph" w:customStyle="1" w:styleId="xl197">
    <w:name w:val="xl19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rPr>
  </w:style>
  <w:style w:type="paragraph" w:customStyle="1" w:styleId="xl198">
    <w:name w:val="xl19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cs="宋体"/>
      <w:kern w:val="0"/>
      <w:sz w:val="22"/>
    </w:rPr>
  </w:style>
  <w:style w:type="paragraph" w:customStyle="1" w:styleId="xl199">
    <w:name w:val="xl19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rPr>
  </w:style>
  <w:style w:type="paragraph" w:customStyle="1" w:styleId="xl200">
    <w:name w:val="xl200"/>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宋体"/>
      <w:kern w:val="0"/>
      <w:sz w:val="22"/>
    </w:rPr>
  </w:style>
  <w:style w:type="paragraph" w:customStyle="1" w:styleId="xl201">
    <w:name w:val="xl201"/>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2"/>
    </w:rPr>
  </w:style>
  <w:style w:type="paragraph" w:customStyle="1" w:styleId="xl202">
    <w:name w:val="xl20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宋体"/>
      <w:b/>
      <w:bCs/>
      <w:kern w:val="0"/>
      <w:sz w:val="22"/>
    </w:rPr>
  </w:style>
  <w:style w:type="paragraph" w:customStyle="1" w:styleId="xl203">
    <w:name w:val="xl20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宋体"/>
      <w:b/>
      <w:bCs/>
      <w:kern w:val="0"/>
      <w:sz w:val="22"/>
    </w:rPr>
  </w:style>
  <w:style w:type="paragraph" w:customStyle="1" w:styleId="xl204">
    <w:name w:val="xl204"/>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hAnsi="Arial Narrow" w:cs="宋体"/>
      <w:b/>
      <w:bCs/>
      <w:kern w:val="0"/>
      <w:sz w:val="22"/>
    </w:rPr>
  </w:style>
  <w:style w:type="paragraph" w:customStyle="1" w:styleId="xl205">
    <w:name w:val="xl20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hAnsi="Arial Narrow" w:cs="宋体"/>
      <w:b/>
      <w:bCs/>
      <w:kern w:val="0"/>
      <w:sz w:val="22"/>
    </w:rPr>
  </w:style>
  <w:style w:type="paragraph" w:customStyle="1" w:styleId="xl206">
    <w:name w:val="xl20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2"/>
    </w:rPr>
  </w:style>
  <w:style w:type="paragraph" w:customStyle="1" w:styleId="xl207">
    <w:name w:val="xl20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宋体"/>
      <w:kern w:val="0"/>
      <w:sz w:val="22"/>
    </w:rPr>
  </w:style>
  <w:style w:type="paragraph" w:customStyle="1" w:styleId="xl208">
    <w:name w:val="xl20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0"/>
      <w:szCs w:val="20"/>
    </w:rPr>
  </w:style>
  <w:style w:type="paragraph" w:customStyle="1" w:styleId="xl209">
    <w:name w:val="xl20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b/>
      <w:bCs/>
      <w:kern w:val="0"/>
      <w:sz w:val="22"/>
    </w:rPr>
  </w:style>
  <w:style w:type="paragraph" w:customStyle="1" w:styleId="xl210">
    <w:name w:val="xl210"/>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kern w:val="0"/>
      <w:sz w:val="22"/>
    </w:rPr>
  </w:style>
  <w:style w:type="paragraph" w:customStyle="1" w:styleId="xl211">
    <w:name w:val="xl211"/>
    <w:basedOn w:val="a1"/>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2"/>
    </w:rPr>
  </w:style>
  <w:style w:type="paragraph" w:customStyle="1" w:styleId="xl212">
    <w:name w:val="xl21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华文中宋" w:eastAsia="华文中宋" w:hAnsi="华文中宋" w:cs="宋体"/>
      <w:kern w:val="0"/>
      <w:sz w:val="22"/>
    </w:rPr>
  </w:style>
  <w:style w:type="paragraph" w:customStyle="1" w:styleId="xl213">
    <w:name w:val="xl213"/>
    <w:basedOn w:val="a1"/>
    <w:qFormat/>
    <w:pPr>
      <w:widowControl/>
      <w:pBdr>
        <w:left w:val="single" w:sz="4" w:space="0" w:color="auto"/>
        <w:right w:val="single" w:sz="4" w:space="0" w:color="auto"/>
      </w:pBdr>
      <w:spacing w:before="100" w:beforeAutospacing="1" w:after="100" w:afterAutospacing="1"/>
      <w:jc w:val="left"/>
      <w:textAlignment w:val="center"/>
    </w:pPr>
    <w:rPr>
      <w:rFonts w:ascii="宋体" w:hAnsi="宋体" w:cs="宋体"/>
      <w:b/>
      <w:bCs/>
      <w:kern w:val="0"/>
      <w:sz w:val="22"/>
    </w:rPr>
  </w:style>
  <w:style w:type="paragraph" w:customStyle="1" w:styleId="xl214">
    <w:name w:val="xl214"/>
    <w:basedOn w:val="a1"/>
    <w:qFormat/>
    <w:pPr>
      <w:widowControl/>
      <w:pBdr>
        <w:left w:val="single" w:sz="4" w:space="0" w:color="auto"/>
        <w:right w:val="single" w:sz="4" w:space="0" w:color="auto"/>
      </w:pBdr>
      <w:spacing w:before="100" w:beforeAutospacing="1" w:after="100" w:afterAutospacing="1"/>
      <w:jc w:val="center"/>
      <w:textAlignment w:val="center"/>
    </w:pPr>
    <w:rPr>
      <w:rFonts w:ascii="Arial Narrow" w:hAnsi="Arial Narrow" w:cs="宋体"/>
      <w:b/>
      <w:bCs/>
      <w:kern w:val="0"/>
      <w:sz w:val="22"/>
    </w:rPr>
  </w:style>
  <w:style w:type="paragraph" w:customStyle="1" w:styleId="xl215">
    <w:name w:val="xl21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华文中宋" w:eastAsia="华文中宋" w:hAnsi="华文中宋" w:cs="宋体"/>
      <w:b/>
      <w:bCs/>
      <w:kern w:val="0"/>
      <w:sz w:val="22"/>
    </w:rPr>
  </w:style>
  <w:style w:type="paragraph" w:customStyle="1" w:styleId="xl216">
    <w:name w:val="xl21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华文中宋" w:eastAsia="华文中宋" w:hAnsi="华文中宋" w:cs="宋体"/>
      <w:kern w:val="0"/>
      <w:sz w:val="22"/>
    </w:rPr>
  </w:style>
  <w:style w:type="paragraph" w:customStyle="1" w:styleId="xl217">
    <w:name w:val="xl21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华文中宋" w:eastAsia="华文中宋" w:hAnsi="华文中宋" w:cs="宋体"/>
      <w:b/>
      <w:bCs/>
      <w:kern w:val="0"/>
      <w:sz w:val="22"/>
    </w:rPr>
  </w:style>
  <w:style w:type="paragraph" w:customStyle="1" w:styleId="xl218">
    <w:name w:val="xl21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华文中宋" w:eastAsia="华文中宋" w:hAnsi="华文中宋" w:cs="宋体"/>
      <w:kern w:val="0"/>
      <w:sz w:val="22"/>
    </w:rPr>
  </w:style>
  <w:style w:type="paragraph" w:customStyle="1" w:styleId="xl219">
    <w:name w:val="xl219"/>
    <w:basedOn w:val="a1"/>
    <w:qFormat/>
    <w:pPr>
      <w:widowControl/>
      <w:pBdr>
        <w:left w:val="single" w:sz="4" w:space="0" w:color="auto"/>
        <w:bottom w:val="single" w:sz="4" w:space="0" w:color="auto"/>
        <w:right w:val="single" w:sz="4" w:space="0" w:color="auto"/>
      </w:pBdr>
      <w:spacing w:before="100" w:beforeAutospacing="1" w:after="100" w:afterAutospacing="1"/>
      <w:textAlignment w:val="center"/>
    </w:pPr>
    <w:rPr>
      <w:rFonts w:ascii="华文中宋" w:eastAsia="华文中宋" w:hAnsi="华文中宋" w:cs="宋体"/>
      <w:kern w:val="0"/>
      <w:sz w:val="22"/>
    </w:rPr>
  </w:style>
  <w:style w:type="paragraph" w:customStyle="1" w:styleId="xl220">
    <w:name w:val="xl220"/>
    <w:basedOn w:val="a1"/>
    <w:qFormat/>
    <w:pPr>
      <w:widowControl/>
      <w:pBdr>
        <w:bottom w:val="single" w:sz="4" w:space="0" w:color="auto"/>
        <w:right w:val="single" w:sz="4" w:space="0" w:color="auto"/>
      </w:pBdr>
      <w:spacing w:before="100" w:beforeAutospacing="1" w:after="100" w:afterAutospacing="1"/>
      <w:jc w:val="center"/>
      <w:textAlignment w:val="center"/>
    </w:pPr>
    <w:rPr>
      <w:rFonts w:ascii="华文中宋" w:eastAsia="华文中宋" w:hAnsi="华文中宋" w:cs="宋体"/>
      <w:kern w:val="0"/>
      <w:sz w:val="22"/>
    </w:rPr>
  </w:style>
  <w:style w:type="paragraph" w:customStyle="1" w:styleId="xl221">
    <w:name w:val="xl221"/>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华文中宋" w:eastAsia="华文中宋" w:hAnsi="华文中宋" w:cs="宋体"/>
      <w:b/>
      <w:bCs/>
      <w:kern w:val="0"/>
      <w:sz w:val="24"/>
      <w:szCs w:val="24"/>
    </w:rPr>
  </w:style>
  <w:style w:type="paragraph" w:customStyle="1" w:styleId="xl222">
    <w:name w:val="xl22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华文中宋" w:eastAsia="华文中宋" w:hAnsi="华文中宋" w:cs="宋体"/>
      <w:kern w:val="0"/>
      <w:sz w:val="24"/>
      <w:szCs w:val="24"/>
    </w:rPr>
  </w:style>
  <w:style w:type="paragraph" w:customStyle="1" w:styleId="xl223">
    <w:name w:val="xl22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华文中宋" w:eastAsia="华文中宋" w:hAnsi="华文中宋" w:cs="宋体"/>
      <w:kern w:val="0"/>
      <w:sz w:val="24"/>
      <w:szCs w:val="24"/>
    </w:rPr>
  </w:style>
  <w:style w:type="paragraph" w:customStyle="1" w:styleId="xl224">
    <w:name w:val="xl224"/>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华文中宋" w:eastAsia="华文中宋" w:hAnsi="华文中宋" w:cs="宋体"/>
      <w:kern w:val="0"/>
      <w:sz w:val="24"/>
      <w:szCs w:val="24"/>
    </w:rPr>
  </w:style>
  <w:style w:type="paragraph" w:customStyle="1" w:styleId="xl225">
    <w:name w:val="xl225"/>
    <w:basedOn w:val="a1"/>
    <w:qFormat/>
    <w:pPr>
      <w:widowControl/>
      <w:pBdr>
        <w:top w:val="single" w:sz="4" w:space="0" w:color="auto"/>
        <w:bottom w:val="single" w:sz="4" w:space="0" w:color="auto"/>
        <w:right w:val="single" w:sz="4" w:space="0" w:color="auto"/>
      </w:pBdr>
      <w:spacing w:before="100" w:beforeAutospacing="1" w:after="100" w:afterAutospacing="1"/>
      <w:jc w:val="center"/>
    </w:pPr>
    <w:rPr>
      <w:rFonts w:ascii="华文中宋" w:eastAsia="华文中宋" w:hAnsi="华文中宋" w:cs="宋体"/>
      <w:kern w:val="0"/>
      <w:sz w:val="24"/>
      <w:szCs w:val="24"/>
    </w:rPr>
  </w:style>
  <w:style w:type="paragraph" w:customStyle="1" w:styleId="xl226">
    <w:name w:val="xl226"/>
    <w:basedOn w:val="a1"/>
    <w:qFormat/>
    <w:pPr>
      <w:widowControl/>
      <w:pBdr>
        <w:left w:val="single" w:sz="4" w:space="0" w:color="auto"/>
        <w:bottom w:val="single" w:sz="4" w:space="0" w:color="auto"/>
        <w:right w:val="single" w:sz="4" w:space="0" w:color="auto"/>
      </w:pBdr>
      <w:spacing w:before="100" w:beforeAutospacing="1" w:after="100" w:afterAutospacing="1"/>
    </w:pPr>
    <w:rPr>
      <w:rFonts w:ascii="华文中宋" w:eastAsia="华文中宋" w:hAnsi="华文中宋" w:cs="宋体"/>
      <w:kern w:val="0"/>
      <w:sz w:val="24"/>
      <w:szCs w:val="24"/>
    </w:rPr>
  </w:style>
  <w:style w:type="paragraph" w:customStyle="1" w:styleId="xl227">
    <w:name w:val="xl227"/>
    <w:basedOn w:val="a1"/>
    <w:qFormat/>
    <w:pPr>
      <w:widowControl/>
      <w:pBdr>
        <w:bottom w:val="single" w:sz="4" w:space="0" w:color="auto"/>
        <w:right w:val="single" w:sz="4" w:space="0" w:color="auto"/>
      </w:pBdr>
      <w:spacing w:before="100" w:beforeAutospacing="1" w:after="100" w:afterAutospacing="1"/>
      <w:jc w:val="center"/>
    </w:pPr>
    <w:rPr>
      <w:rFonts w:ascii="华文中宋" w:eastAsia="华文中宋" w:hAnsi="华文中宋" w:cs="宋体"/>
      <w:kern w:val="0"/>
      <w:sz w:val="24"/>
      <w:szCs w:val="24"/>
    </w:rPr>
  </w:style>
  <w:style w:type="paragraph" w:customStyle="1" w:styleId="xl228">
    <w:name w:val="xl228"/>
    <w:basedOn w:val="a1"/>
    <w:qFormat/>
    <w:pPr>
      <w:widowControl/>
      <w:pBdr>
        <w:bottom w:val="single" w:sz="4" w:space="0" w:color="auto"/>
        <w:right w:val="single" w:sz="4" w:space="0" w:color="auto"/>
      </w:pBdr>
      <w:spacing w:before="100" w:beforeAutospacing="1" w:after="100" w:afterAutospacing="1"/>
      <w:jc w:val="center"/>
      <w:textAlignment w:val="center"/>
    </w:pPr>
    <w:rPr>
      <w:rFonts w:ascii="华文中宋" w:eastAsia="华文中宋" w:hAnsi="华文中宋" w:cs="宋体"/>
      <w:kern w:val="0"/>
      <w:sz w:val="24"/>
      <w:szCs w:val="24"/>
    </w:rPr>
  </w:style>
  <w:style w:type="paragraph" w:customStyle="1" w:styleId="xl229">
    <w:name w:val="xl22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22"/>
    </w:rPr>
  </w:style>
  <w:style w:type="paragraph" w:customStyle="1" w:styleId="xl230">
    <w:name w:val="xl230"/>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231">
    <w:name w:val="xl231"/>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32">
    <w:name w:val="xl23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233">
    <w:name w:val="xl23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34">
    <w:name w:val="xl234"/>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24"/>
      <w:szCs w:val="24"/>
    </w:rPr>
  </w:style>
  <w:style w:type="paragraph" w:customStyle="1" w:styleId="xl235">
    <w:name w:val="xl23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236">
    <w:name w:val="xl236"/>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37">
    <w:name w:val="xl23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38">
    <w:name w:val="xl23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239">
    <w:name w:val="xl239"/>
    <w:basedOn w:val="a1"/>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240">
    <w:name w:val="xl240"/>
    <w:basedOn w:val="a1"/>
    <w:qFormat/>
    <w:pPr>
      <w:widowControl/>
      <w:pBdr>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241">
    <w:name w:val="xl241"/>
    <w:basedOn w:val="a1"/>
    <w:qFormat/>
    <w:pPr>
      <w:widowControl/>
      <w:pBdr>
        <w:bottom w:val="single" w:sz="4"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xl242">
    <w:name w:val="xl242"/>
    <w:basedOn w:val="a1"/>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Arial Narrow" w:hAnsi="Arial Narrow" w:cs="宋体"/>
      <w:b/>
      <w:bCs/>
      <w:kern w:val="0"/>
      <w:sz w:val="24"/>
      <w:szCs w:val="24"/>
    </w:rPr>
  </w:style>
  <w:style w:type="paragraph" w:customStyle="1" w:styleId="xl243">
    <w:name w:val="xl243"/>
    <w:basedOn w:val="a1"/>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Arial Narrow" w:hAnsi="Arial Narrow" w:cs="宋体"/>
      <w:b/>
      <w:bCs/>
      <w:kern w:val="0"/>
      <w:sz w:val="22"/>
    </w:rPr>
  </w:style>
  <w:style w:type="paragraph" w:customStyle="1" w:styleId="ParaCharCharCharCharCharCharCharCharChar1CharCharCharCharCharCharChar">
    <w:name w:val="默认段落字体 Para Char Char Char Char Char Char Char Char Char1 Char Char Char Char Char Char Char"/>
    <w:basedOn w:val="af2"/>
    <w:qFormat/>
    <w:pPr>
      <w:shd w:val="clear" w:color="auto" w:fill="000080"/>
    </w:pPr>
    <w:rPr>
      <w:rFonts w:ascii="Tahoma" w:hAnsi="Tahoma" w:cs="Tahoma"/>
      <w:sz w:val="24"/>
      <w:szCs w:val="24"/>
    </w:rPr>
  </w:style>
  <w:style w:type="paragraph" w:customStyle="1" w:styleId="2fffff7">
    <w:name w:val="纯文本2"/>
    <w:basedOn w:val="a1"/>
    <w:qFormat/>
    <w:rPr>
      <w:rFonts w:ascii="Times New Roman" w:eastAsia="仿宋_GB2312" w:hAnsi="Times New Roman"/>
      <w:color w:val="0000FF"/>
      <w:sz w:val="28"/>
      <w:szCs w:val="24"/>
    </w:rPr>
  </w:style>
  <w:style w:type="paragraph" w:customStyle="1" w:styleId="Char1CharCharCharCharCharChar1">
    <w:name w:val="Char1 Char Char Char Char Char Char1"/>
    <w:basedOn w:val="a1"/>
    <w:qFormat/>
    <w:pPr>
      <w:spacing w:line="360" w:lineRule="auto"/>
      <w:ind w:firstLineChars="200" w:firstLine="200"/>
    </w:pPr>
    <w:rPr>
      <w:rFonts w:ascii="宋体" w:hAnsi="宋体" w:cs="宋体"/>
      <w:sz w:val="24"/>
      <w:szCs w:val="24"/>
    </w:rPr>
  </w:style>
  <w:style w:type="paragraph" w:customStyle="1" w:styleId="11a">
    <w:name w:val="普通(网站)11"/>
    <w:basedOn w:val="a1"/>
    <w:qFormat/>
    <w:pPr>
      <w:widowControl/>
      <w:spacing w:before="100" w:beforeAutospacing="1" w:after="100" w:afterAutospacing="1"/>
      <w:jc w:val="left"/>
    </w:pPr>
    <w:rPr>
      <w:rFonts w:ascii="??" w:hAnsi="??"/>
      <w:sz w:val="18"/>
      <w:szCs w:val="20"/>
    </w:rPr>
  </w:style>
  <w:style w:type="paragraph" w:customStyle="1" w:styleId="2110">
    <w:name w:val="标题 211"/>
    <w:basedOn w:val="a1"/>
    <w:next w:val="a1"/>
    <w:qFormat/>
    <w:pPr>
      <w:snapToGrid w:val="0"/>
      <w:spacing w:line="360" w:lineRule="auto"/>
      <w:outlineLvl w:val="1"/>
    </w:pPr>
    <w:rPr>
      <w:rFonts w:ascii="仿宋_GB2312" w:eastAsia="仿宋_GB2312" w:hAnsi="Arial"/>
      <w:sz w:val="28"/>
      <w:szCs w:val="20"/>
    </w:rPr>
  </w:style>
  <w:style w:type="paragraph" w:customStyle="1" w:styleId="11b">
    <w:name w:val="批注框文本11"/>
    <w:basedOn w:val="a1"/>
    <w:qFormat/>
    <w:rPr>
      <w:rFonts w:ascii="Times New Roman" w:hAnsi="Times New Roman"/>
      <w:sz w:val="18"/>
      <w:szCs w:val="20"/>
    </w:rPr>
  </w:style>
  <w:style w:type="paragraph" w:customStyle="1" w:styleId="afffffffffffffffffffffffff0">
    <w:name w:val="三塘湖"/>
    <w:basedOn w:val="a1"/>
    <w:link w:val="Charfffd"/>
    <w:qFormat/>
    <w:pPr>
      <w:spacing w:line="500" w:lineRule="exact"/>
      <w:ind w:firstLineChars="200" w:firstLine="200"/>
      <w:jc w:val="left"/>
    </w:pPr>
    <w:rPr>
      <w:rFonts w:ascii="Arial Narrow" w:eastAsia="汉鼎简书宋" w:hAnsi="Arial Narrow"/>
      <w:bCs/>
      <w:kern w:val="0"/>
      <w:sz w:val="24"/>
      <w:szCs w:val="24"/>
    </w:rPr>
  </w:style>
  <w:style w:type="paragraph" w:customStyle="1" w:styleId="CharCharCharChar5">
    <w:name w:val="表头 Char Char Char Char"/>
    <w:basedOn w:val="a1"/>
    <w:qFormat/>
    <w:pPr>
      <w:tabs>
        <w:tab w:val="left" w:pos="0"/>
      </w:tabs>
      <w:spacing w:line="360" w:lineRule="auto"/>
      <w:ind w:firstLineChars="200" w:firstLine="200"/>
    </w:pPr>
    <w:rPr>
      <w:rFonts w:ascii="Arial Unicode MS" w:hAnsi="Arial Unicode MS"/>
      <w:b/>
      <w:szCs w:val="20"/>
    </w:rPr>
  </w:style>
  <w:style w:type="paragraph" w:customStyle="1" w:styleId="afffffffffffffffffffffffff1">
    <w:name w:val="三塘湖正文"/>
    <w:basedOn w:val="afffffffffffffffffffffffff0"/>
    <w:link w:val="Charfffe"/>
    <w:qFormat/>
    <w:rPr>
      <w:snapToGrid w:val="0"/>
    </w:rPr>
  </w:style>
  <w:style w:type="paragraph" w:customStyle="1" w:styleId="2fffff8">
    <w:name w:val="大华农2级标题"/>
    <w:basedOn w:val="a1"/>
    <w:qFormat/>
    <w:pPr>
      <w:keepNext/>
      <w:keepLines/>
      <w:snapToGrid w:val="0"/>
      <w:spacing w:before="480" w:after="120" w:line="360" w:lineRule="auto"/>
      <w:outlineLvl w:val="1"/>
    </w:pPr>
    <w:rPr>
      <w:rFonts w:ascii="Times New Roman" w:hAnsi="Times New Roman"/>
      <w:b/>
      <w:bCs/>
      <w:sz w:val="32"/>
      <w:szCs w:val="28"/>
    </w:rPr>
  </w:style>
  <w:style w:type="paragraph" w:customStyle="1" w:styleId="1522">
    <w:name w:val="样式 四号 黑色 行距: 1.5 倍行距 首行缩进:  2 字符"/>
    <w:basedOn w:val="a1"/>
    <w:qFormat/>
    <w:pPr>
      <w:spacing w:line="360" w:lineRule="auto"/>
      <w:ind w:firstLineChars="200" w:firstLine="560"/>
    </w:pPr>
    <w:rPr>
      <w:rFonts w:ascii="Times New Roman" w:eastAsia="仿宋_GB2312" w:hAnsi="Times New Roman" w:cs="宋体"/>
      <w:color w:val="000000"/>
      <w:sz w:val="28"/>
      <w:szCs w:val="20"/>
    </w:rPr>
  </w:style>
  <w:style w:type="paragraph" w:customStyle="1" w:styleId="3fff8">
    <w:name w:val="样式 标题 3 + (符号) 宋体 四号 加粗"/>
    <w:basedOn w:val="3a"/>
    <w:qFormat/>
    <w:pPr>
      <w:autoSpaceDE w:val="0"/>
      <w:autoSpaceDN w:val="0"/>
      <w:adjustRightInd w:val="0"/>
      <w:snapToGrid w:val="0"/>
      <w:spacing w:beforeLines="50" w:line="360" w:lineRule="auto"/>
    </w:pPr>
    <w:rPr>
      <w:rFonts w:ascii="黑体" w:eastAsia="黑体" w:hAnsi="宋体"/>
      <w:color w:val="000000"/>
      <w:sz w:val="28"/>
      <w:szCs w:val="20"/>
    </w:rPr>
  </w:style>
  <w:style w:type="paragraph" w:customStyle="1" w:styleId="305">
    <w:name w:val="样式 样式 标题 3 + (符号) 宋体 四号 加粗 + 段前: 0.5 行"/>
    <w:basedOn w:val="3fff8"/>
    <w:qFormat/>
    <w:pPr>
      <w:spacing w:beforeLines="100"/>
    </w:pPr>
    <w:rPr>
      <w:rFonts w:cs="宋体"/>
    </w:rPr>
  </w:style>
  <w:style w:type="paragraph" w:customStyle="1" w:styleId="afffffffffffffffffffffffff2">
    <w:name w:val="样式 正文文本缩进 + 宋体"/>
    <w:basedOn w:val="afd"/>
    <w:qFormat/>
    <w:pPr>
      <w:spacing w:after="0" w:line="360" w:lineRule="auto"/>
      <w:ind w:leftChars="0" w:left="0" w:firstLineChars="192" w:firstLine="192"/>
    </w:pPr>
    <w:rPr>
      <w:rFonts w:ascii="宋体" w:hAnsi="宋体" w:cs="宋体"/>
      <w:color w:val="000000"/>
      <w:sz w:val="28"/>
      <w:szCs w:val="20"/>
    </w:rPr>
  </w:style>
  <w:style w:type="paragraph" w:customStyle="1" w:styleId="192">
    <w:name w:val="样式 样式 正文文本缩进 + 宋体 + 首行缩进:  1.92 字符"/>
    <w:basedOn w:val="afffffffffffffffffffffffff2"/>
    <w:qFormat/>
    <w:pPr>
      <w:spacing w:before="100" w:beforeAutospacing="1" w:after="100" w:afterAutospacing="1"/>
    </w:pPr>
  </w:style>
  <w:style w:type="paragraph" w:customStyle="1" w:styleId="192192">
    <w:name w:val="样式 样式 样式 正文文本缩进 + 宋体 + 首行缩进:  1.92 字符 + 首行缩进:  1.92 字符"/>
    <w:basedOn w:val="192"/>
    <w:qFormat/>
    <w:pPr>
      <w:spacing w:before="0" w:beforeAutospacing="0" w:after="0" w:afterAutospacing="0"/>
    </w:pPr>
  </w:style>
  <w:style w:type="paragraph" w:customStyle="1" w:styleId="1150">
    <w:name w:val="样式 标题 1 + 宋体 小二 加粗 居中 行距: 1.5 倍行距"/>
    <w:basedOn w:val="1a"/>
    <w:qFormat/>
    <w:pPr>
      <w:pageBreakBefore/>
      <w:spacing w:before="0" w:after="0" w:line="360" w:lineRule="auto"/>
      <w:jc w:val="center"/>
    </w:pPr>
    <w:rPr>
      <w:rFonts w:ascii="宋体" w:hAnsi="宋体" w:cs="宋体"/>
      <w:color w:val="000000"/>
      <w:kern w:val="2"/>
      <w:sz w:val="36"/>
      <w:szCs w:val="20"/>
    </w:rPr>
  </w:style>
  <w:style w:type="paragraph" w:customStyle="1" w:styleId="afffffffffffffffffffffffff3">
    <w:name w:val="样式 四号"/>
    <w:basedOn w:val="a1"/>
    <w:qFormat/>
    <w:pPr>
      <w:ind w:firstLineChars="200" w:firstLine="560"/>
    </w:pPr>
    <w:rPr>
      <w:rFonts w:ascii="Times New Roman" w:hAnsi="Times New Roman"/>
      <w:sz w:val="28"/>
      <w:szCs w:val="20"/>
    </w:rPr>
  </w:style>
  <w:style w:type="paragraph" w:customStyle="1" w:styleId="2223">
    <w:name w:val="样式 样式 首行缩进:  2 字符 + 首行缩进:  2 字符2"/>
    <w:basedOn w:val="a1"/>
    <w:qFormat/>
    <w:pPr>
      <w:spacing w:line="440" w:lineRule="exact"/>
      <w:ind w:firstLineChars="200" w:firstLine="584"/>
    </w:pPr>
    <w:rPr>
      <w:rFonts w:ascii="Times New Roman" w:eastAsia="楷体_GB2312" w:hAnsi="Times New Roman"/>
      <w:spacing w:val="6"/>
      <w:kern w:val="0"/>
      <w:sz w:val="28"/>
      <w:szCs w:val="20"/>
    </w:rPr>
  </w:style>
  <w:style w:type="paragraph" w:customStyle="1" w:styleId="Tblhead">
    <w:name w:val="Tblhead"/>
    <w:basedOn w:val="a1"/>
    <w:next w:val="a1"/>
    <w:qFormat/>
    <w:pPr>
      <w:pageBreakBefore/>
      <w:suppressAutoHyphens/>
      <w:autoSpaceDE w:val="0"/>
      <w:autoSpaceDN w:val="0"/>
      <w:adjustRightInd w:val="0"/>
      <w:jc w:val="center"/>
    </w:pPr>
    <w:rPr>
      <w:rFonts w:ascii="宋体" w:hAnsi="Times New Roman" w:hint="eastAsia"/>
      <w:spacing w:val="-3"/>
      <w:kern w:val="0"/>
      <w:sz w:val="24"/>
      <w:szCs w:val="20"/>
    </w:rPr>
  </w:style>
  <w:style w:type="paragraph" w:customStyle="1" w:styleId="afffffffffffffffffffffffff4">
    <w:name w:val="正文表标题"/>
    <w:next w:val="a1"/>
    <w:qFormat/>
    <w:pPr>
      <w:jc w:val="center"/>
    </w:pPr>
    <w:rPr>
      <w:rFonts w:ascii="黑体" w:eastAsia="黑体"/>
      <w:sz w:val="21"/>
    </w:rPr>
  </w:style>
  <w:style w:type="paragraph" w:customStyle="1" w:styleId="union">
    <w:name w:val="union"/>
    <w:basedOn w:val="a1"/>
    <w:qFormat/>
    <w:pPr>
      <w:widowControl/>
      <w:spacing w:before="100" w:beforeAutospacing="1" w:after="100" w:afterAutospacing="1"/>
      <w:jc w:val="left"/>
    </w:pPr>
    <w:rPr>
      <w:rFonts w:ascii="宋体" w:hAnsi="宋体" w:cs="宋体"/>
      <w:kern w:val="0"/>
      <w:sz w:val="24"/>
      <w:szCs w:val="24"/>
    </w:rPr>
  </w:style>
  <w:style w:type="paragraph" w:customStyle="1" w:styleId="LXF">
    <w:name w:val="正文LXF"/>
    <w:basedOn w:val="a1"/>
    <w:qFormat/>
    <w:pPr>
      <w:spacing w:line="580" w:lineRule="atLeast"/>
      <w:ind w:firstLineChars="200" w:firstLine="200"/>
    </w:pPr>
    <w:rPr>
      <w:rFonts w:ascii="Times New Roman" w:hAnsi="Times New Roman"/>
      <w:sz w:val="28"/>
      <w:szCs w:val="20"/>
    </w:rPr>
  </w:style>
  <w:style w:type="paragraph" w:customStyle="1" w:styleId="p15">
    <w:name w:val="p15"/>
    <w:basedOn w:val="a1"/>
    <w:qFormat/>
    <w:pPr>
      <w:widowControl/>
      <w:spacing w:before="100" w:after="100"/>
      <w:jc w:val="left"/>
    </w:pPr>
    <w:rPr>
      <w:rFonts w:ascii="宋体" w:hAnsi="宋体" w:cs="宋体"/>
      <w:kern w:val="0"/>
      <w:sz w:val="24"/>
      <w:szCs w:val="24"/>
    </w:rPr>
  </w:style>
  <w:style w:type="paragraph" w:customStyle="1" w:styleId="afffffffffffffffffffffffff5">
    <w:name w:val="表格中文字"/>
    <w:basedOn w:val="a1"/>
    <w:link w:val="Charffff"/>
    <w:qFormat/>
    <w:pPr>
      <w:adjustRightInd w:val="0"/>
      <w:snapToGrid w:val="0"/>
      <w:jc w:val="center"/>
    </w:pPr>
    <w:rPr>
      <w:rFonts w:cs="黑体"/>
      <w:kern w:val="18"/>
      <w:szCs w:val="21"/>
    </w:rPr>
  </w:style>
  <w:style w:type="paragraph" w:customStyle="1" w:styleId="HTML10">
    <w:name w:val="HTML 预设格式1"/>
    <w:basedOn w:val="a1"/>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customStyle="1" w:styleId="afffffffffffffffffffffffff6">
    <w:name w:val="正本文字"/>
    <w:basedOn w:val="a1"/>
    <w:link w:val="Charffff0"/>
    <w:qFormat/>
    <w:pPr>
      <w:adjustRightInd w:val="0"/>
      <w:snapToGrid w:val="0"/>
      <w:spacing w:line="360" w:lineRule="auto"/>
      <w:ind w:firstLineChars="200" w:firstLine="200"/>
      <w:jc w:val="left"/>
    </w:pPr>
    <w:rPr>
      <w:rFonts w:cs="黑体"/>
      <w:kern w:val="18"/>
      <w:sz w:val="24"/>
    </w:rPr>
  </w:style>
  <w:style w:type="paragraph" w:customStyle="1" w:styleId="da">
    <w:name w:val="da"/>
    <w:basedOn w:val="a1"/>
    <w:qFormat/>
    <w:pPr>
      <w:widowControl/>
      <w:spacing w:before="100" w:beforeAutospacing="1" w:after="100" w:afterAutospacing="1" w:line="270" w:lineRule="atLeast"/>
      <w:jc w:val="left"/>
    </w:pPr>
    <w:rPr>
      <w:rFonts w:ascii="宋体" w:hAnsi="宋体"/>
      <w:kern w:val="0"/>
      <w:szCs w:val="21"/>
    </w:rPr>
  </w:style>
  <w:style w:type="paragraph" w:customStyle="1" w:styleId="topxiao">
    <w:name w:val="topxiao"/>
    <w:basedOn w:val="a1"/>
    <w:qFormat/>
    <w:pPr>
      <w:widowControl/>
      <w:spacing w:before="100" w:beforeAutospacing="1" w:after="100" w:afterAutospacing="1"/>
      <w:jc w:val="left"/>
    </w:pPr>
    <w:rPr>
      <w:rFonts w:ascii="宋体" w:hAnsi="宋体"/>
      <w:color w:val="FFFFFF"/>
      <w:kern w:val="0"/>
      <w:sz w:val="18"/>
      <w:szCs w:val="18"/>
    </w:rPr>
  </w:style>
  <w:style w:type="paragraph" w:customStyle="1" w:styleId="Char120">
    <w:name w:val="Char12"/>
    <w:basedOn w:val="a1"/>
    <w:qFormat/>
    <w:pPr>
      <w:adjustRightInd w:val="0"/>
      <w:spacing w:line="360" w:lineRule="atLeast"/>
      <w:jc w:val="left"/>
      <w:textAlignment w:val="baseline"/>
    </w:pPr>
    <w:rPr>
      <w:rFonts w:ascii="Tahoma" w:hAnsi="Tahoma"/>
      <w:kern w:val="0"/>
      <w:sz w:val="24"/>
      <w:szCs w:val="20"/>
    </w:rPr>
  </w:style>
  <w:style w:type="paragraph" w:customStyle="1" w:styleId="style1">
    <w:name w:val="style1"/>
    <w:basedOn w:val="a1"/>
    <w:qFormat/>
    <w:pPr>
      <w:widowControl/>
      <w:spacing w:before="100" w:beforeAutospacing="1" w:after="100" w:afterAutospacing="1"/>
      <w:jc w:val="left"/>
    </w:pPr>
    <w:rPr>
      <w:rFonts w:ascii="宋体" w:hAnsi="宋体"/>
      <w:b/>
      <w:bCs/>
      <w:color w:val="FF6600"/>
      <w:kern w:val="0"/>
      <w:sz w:val="24"/>
      <w:szCs w:val="24"/>
    </w:rPr>
  </w:style>
  <w:style w:type="paragraph" w:customStyle="1" w:styleId="fborder">
    <w:name w:val="fborder"/>
    <w:basedOn w:val="a1"/>
    <w:qFormat/>
    <w:pPr>
      <w:widowControl/>
      <w:pBdr>
        <w:top w:val="single" w:sz="6" w:space="0" w:color="FF9900"/>
        <w:left w:val="single" w:sz="6" w:space="0" w:color="FF9900"/>
        <w:bottom w:val="single" w:sz="6" w:space="0" w:color="FF9900"/>
        <w:right w:val="single" w:sz="6" w:space="0" w:color="FF9900"/>
      </w:pBdr>
      <w:shd w:val="clear" w:color="auto" w:fill="F6F6F6"/>
      <w:spacing w:before="100" w:beforeAutospacing="1" w:after="100" w:afterAutospacing="1"/>
      <w:jc w:val="left"/>
    </w:pPr>
    <w:rPr>
      <w:rFonts w:ascii="宋体" w:hAnsi="宋体"/>
      <w:kern w:val="0"/>
      <w:sz w:val="18"/>
      <w:szCs w:val="18"/>
    </w:rPr>
  </w:style>
  <w:style w:type="paragraph" w:customStyle="1" w:styleId="CharChar20">
    <w:name w:val="Char Char2"/>
    <w:basedOn w:val="a1"/>
    <w:qFormat/>
    <w:rPr>
      <w:rFonts w:ascii="Times New Roman" w:hAnsi="Times New Roman"/>
      <w:sz w:val="28"/>
      <w:szCs w:val="20"/>
    </w:rPr>
  </w:style>
  <w:style w:type="paragraph" w:customStyle="1" w:styleId="1ffffff">
    <w:name w:val="文档结构图1"/>
    <w:basedOn w:val="a1"/>
    <w:qFormat/>
    <w:rPr>
      <w:rFonts w:ascii="宋体" w:hAnsi="Times New Roman"/>
      <w:sz w:val="18"/>
      <w:szCs w:val="18"/>
    </w:rPr>
  </w:style>
  <w:style w:type="paragraph" w:customStyle="1" w:styleId="217">
    <w:name w:val="正文文本 21"/>
    <w:basedOn w:val="a1"/>
    <w:qFormat/>
    <w:pPr>
      <w:spacing w:after="120" w:line="480" w:lineRule="auto"/>
    </w:pPr>
    <w:rPr>
      <w:rFonts w:ascii="Times New Roman" w:hAnsi="Times New Roman"/>
      <w:sz w:val="28"/>
      <w:szCs w:val="24"/>
    </w:rPr>
  </w:style>
  <w:style w:type="paragraph" w:customStyle="1" w:styleId="11c">
    <w:name w:val="索引 11"/>
    <w:basedOn w:val="a1"/>
    <w:next w:val="a1"/>
    <w:qFormat/>
    <w:pPr>
      <w:spacing w:line="300" w:lineRule="exact"/>
    </w:pPr>
    <w:rPr>
      <w:rFonts w:ascii="Times New Roman" w:hAnsi="Times New Roman"/>
      <w:szCs w:val="24"/>
    </w:rPr>
  </w:style>
  <w:style w:type="paragraph" w:customStyle="1" w:styleId="cuborder">
    <w:name w:val="cuborder"/>
    <w:basedOn w:val="a1"/>
    <w:qFormat/>
    <w:pPr>
      <w:widowControl/>
      <w:pBdr>
        <w:top w:val="double" w:sz="2" w:space="0" w:color="FF9900"/>
        <w:left w:val="double" w:sz="4" w:space="0" w:color="FF9900"/>
        <w:bottom w:val="double" w:sz="4" w:space="0" w:color="FF9900"/>
        <w:right w:val="double" w:sz="4" w:space="0" w:color="FF9900"/>
      </w:pBdr>
      <w:spacing w:before="100" w:beforeAutospacing="1" w:after="100" w:afterAutospacing="1"/>
      <w:jc w:val="left"/>
    </w:pPr>
    <w:rPr>
      <w:rFonts w:ascii="宋体" w:hAnsi="宋体"/>
      <w:kern w:val="0"/>
      <w:sz w:val="18"/>
      <w:szCs w:val="18"/>
    </w:rPr>
  </w:style>
  <w:style w:type="paragraph" w:customStyle="1" w:styleId="314">
    <w:name w:val="正文文本缩进 31"/>
    <w:basedOn w:val="a1"/>
    <w:qFormat/>
    <w:pPr>
      <w:spacing w:after="120"/>
      <w:ind w:leftChars="200" w:left="420"/>
    </w:pPr>
    <w:rPr>
      <w:rFonts w:ascii="Times New Roman" w:hAnsi="Times New Roman"/>
      <w:sz w:val="16"/>
      <w:szCs w:val="16"/>
    </w:rPr>
  </w:style>
  <w:style w:type="paragraph" w:customStyle="1" w:styleId="1ffffff0">
    <w:name w:val="正文文本缩进1"/>
    <w:basedOn w:val="a1"/>
    <w:qFormat/>
    <w:pPr>
      <w:spacing w:after="120"/>
      <w:ind w:leftChars="200" w:left="420"/>
    </w:pPr>
    <w:rPr>
      <w:rFonts w:ascii="Times New Roman" w:hAnsi="Times New Roman"/>
      <w:szCs w:val="24"/>
    </w:rPr>
  </w:style>
  <w:style w:type="paragraph" w:customStyle="1" w:styleId="Char140">
    <w:name w:val="Char14"/>
    <w:basedOn w:val="a1"/>
    <w:qFormat/>
    <w:pPr>
      <w:adjustRightInd w:val="0"/>
      <w:spacing w:line="360" w:lineRule="atLeast"/>
      <w:jc w:val="left"/>
      <w:textAlignment w:val="baseline"/>
    </w:pPr>
    <w:rPr>
      <w:rFonts w:ascii="Tahoma" w:hAnsi="Tahoma"/>
      <w:kern w:val="0"/>
      <w:sz w:val="24"/>
      <w:szCs w:val="20"/>
    </w:rPr>
  </w:style>
  <w:style w:type="paragraph" w:customStyle="1" w:styleId="xiao">
    <w:name w:val="xiao"/>
    <w:basedOn w:val="a1"/>
    <w:qFormat/>
    <w:pPr>
      <w:widowControl/>
      <w:spacing w:before="100" w:beforeAutospacing="1" w:after="100" w:afterAutospacing="1"/>
      <w:jc w:val="left"/>
    </w:pPr>
    <w:rPr>
      <w:rFonts w:ascii="宋体" w:hAnsi="宋体"/>
      <w:kern w:val="0"/>
      <w:sz w:val="18"/>
      <w:szCs w:val="18"/>
    </w:rPr>
  </w:style>
  <w:style w:type="paragraph" w:customStyle="1" w:styleId="2fffff9">
    <w:name w:val="标题 2 + 左"/>
    <w:basedOn w:val="2a"/>
    <w:qFormat/>
    <w:pPr>
      <w:spacing w:beforeLines="0" w:afterLines="0" w:line="240" w:lineRule="auto"/>
    </w:pPr>
    <w:rPr>
      <w:rFonts w:cs="宋体"/>
      <w:sz w:val="24"/>
      <w:szCs w:val="20"/>
    </w:rPr>
  </w:style>
  <w:style w:type="paragraph" w:customStyle="1" w:styleId="Char130">
    <w:name w:val="Char13"/>
    <w:basedOn w:val="a1"/>
    <w:qFormat/>
    <w:pPr>
      <w:adjustRightInd w:val="0"/>
      <w:spacing w:line="360" w:lineRule="atLeast"/>
      <w:jc w:val="left"/>
      <w:textAlignment w:val="baseline"/>
    </w:pPr>
    <w:rPr>
      <w:rFonts w:ascii="Tahoma" w:hAnsi="Tahoma"/>
      <w:kern w:val="0"/>
      <w:sz w:val="24"/>
      <w:szCs w:val="20"/>
    </w:rPr>
  </w:style>
  <w:style w:type="paragraph" w:customStyle="1" w:styleId="CharCharCharCharCharCharCharCharCharCharCharChar1CharCharCharCharCharCharCharCharCharCharCharCharCharCharCharCharCharChar1CharCharChar1CharCharCharCharCharCharCharCharChar">
    <w:name w:val="Char Char Char Char Char Char Char Char Char Char Char Char1 Char Char Char Char Char Char Char Char Char Char Char Char Char Char Char Char Char Char1 Char Char Char1 Char Char Char Char Char Char Char Char Char"/>
    <w:basedOn w:val="a1"/>
    <w:qFormat/>
    <w:rPr>
      <w:rFonts w:ascii="Times New Roman" w:hAnsi="Times New Roman"/>
      <w:szCs w:val="20"/>
    </w:rPr>
  </w:style>
  <w:style w:type="paragraph" w:customStyle="1" w:styleId="11d">
    <w:name w:val="日期11"/>
    <w:basedOn w:val="a1"/>
    <w:next w:val="a1"/>
    <w:qFormat/>
    <w:pPr>
      <w:ind w:leftChars="2500" w:left="100"/>
    </w:pPr>
    <w:rPr>
      <w:rFonts w:ascii="Times New Roman" w:hAnsi="Times New Roman"/>
      <w:b/>
      <w:bCs/>
      <w:sz w:val="30"/>
      <w:szCs w:val="24"/>
    </w:rPr>
  </w:style>
  <w:style w:type="paragraph" w:customStyle="1" w:styleId="afffffffffffffffffffffffff7">
    <w:name w:val="正文 + 宋体"/>
    <w:basedOn w:val="a1"/>
    <w:qFormat/>
    <w:pPr>
      <w:spacing w:line="600" w:lineRule="exact"/>
    </w:pPr>
    <w:rPr>
      <w:rFonts w:ascii="宋体" w:hAnsi="宋体"/>
      <w:bCs/>
      <w:sz w:val="24"/>
      <w:szCs w:val="24"/>
    </w:rPr>
  </w:style>
  <w:style w:type="paragraph" w:customStyle="1" w:styleId="CharCharCharChar1CharCharChar3CharCharChar">
    <w:name w:val="Char Char Char Char1 Char Char Char3 Char Char Char"/>
    <w:basedOn w:val="a1"/>
    <w:qFormat/>
    <w:pPr>
      <w:widowControl/>
      <w:spacing w:after="160" w:line="240" w:lineRule="exact"/>
      <w:jc w:val="left"/>
    </w:pPr>
    <w:rPr>
      <w:rFonts w:ascii="Verdana" w:hAnsi="Verdana" w:cs="Verdana"/>
      <w:kern w:val="0"/>
      <w:sz w:val="20"/>
      <w:szCs w:val="20"/>
      <w:lang w:eastAsia="en-US"/>
    </w:rPr>
  </w:style>
  <w:style w:type="paragraph" w:customStyle="1" w:styleId="New">
    <w:name w:val="正文 New"/>
    <w:qFormat/>
    <w:pPr>
      <w:widowControl w:val="0"/>
      <w:jc w:val="both"/>
    </w:pPr>
    <w:rPr>
      <w:kern w:val="2"/>
      <w:sz w:val="21"/>
      <w:szCs w:val="24"/>
    </w:rPr>
  </w:style>
  <w:style w:type="paragraph" w:customStyle="1" w:styleId="afffffffffffffffffffffffff8">
    <w:name w:val="样式 四号 加粗"/>
    <w:basedOn w:val="a1"/>
    <w:qFormat/>
    <w:pPr>
      <w:keepNext/>
      <w:spacing w:line="360" w:lineRule="auto"/>
      <w:jc w:val="left"/>
    </w:pPr>
    <w:rPr>
      <w:rFonts w:ascii="Times New Roman" w:hAnsi="Times New Roman"/>
      <w:b/>
      <w:sz w:val="28"/>
      <w:szCs w:val="28"/>
    </w:rPr>
  </w:style>
  <w:style w:type="paragraph" w:customStyle="1" w:styleId="BIGBOLD">
    <w:name w:val="BIG BOLD"/>
    <w:basedOn w:val="a1"/>
    <w:qFormat/>
    <w:pPr>
      <w:tabs>
        <w:tab w:val="left" w:leader="underscore" w:pos="1134"/>
      </w:tabs>
    </w:pPr>
    <w:rPr>
      <w:rFonts w:ascii="Times New Roman" w:hAnsi="Times New Roman"/>
      <w:szCs w:val="20"/>
    </w:rPr>
  </w:style>
  <w:style w:type="paragraph" w:customStyle="1" w:styleId="211h2l22ndlevelTitre22Header2">
    <w:name w:val="样式 标题 2节标题 1.1h2l22nd levelTitre22Header 2节节标题一级节名标题 ..."/>
    <w:basedOn w:val="2a"/>
    <w:qFormat/>
    <w:pPr>
      <w:spacing w:beforeLines="50" w:after="120"/>
      <w:jc w:val="both"/>
    </w:pPr>
  </w:style>
  <w:style w:type="paragraph" w:customStyle="1" w:styleId="218">
    <w:name w:val="正文21"/>
    <w:basedOn w:val="a1"/>
    <w:qFormat/>
    <w:pPr>
      <w:adjustRightInd w:val="0"/>
      <w:snapToGrid w:val="0"/>
      <w:spacing w:line="440" w:lineRule="atLeast"/>
      <w:ind w:firstLine="567"/>
    </w:pPr>
    <w:rPr>
      <w:rFonts w:ascii="Times New Roman" w:hAnsi="Times New Roman"/>
      <w:sz w:val="24"/>
      <w:szCs w:val="20"/>
    </w:rPr>
  </w:style>
  <w:style w:type="paragraph" w:customStyle="1" w:styleId="1ffffff1">
    <w:name w:val="封面项目名称1"/>
    <w:basedOn w:val="a1"/>
    <w:next w:val="a1"/>
    <w:qFormat/>
    <w:pPr>
      <w:widowControl/>
      <w:spacing w:line="160" w:lineRule="atLeast"/>
      <w:jc w:val="center"/>
      <w:outlineLvl w:val="7"/>
    </w:pPr>
    <w:rPr>
      <w:rFonts w:ascii="Times New Roman" w:hAnsi="Times New Roman"/>
      <w:b/>
      <w:snapToGrid w:val="0"/>
      <w:color w:val="000000"/>
      <w:spacing w:val="20"/>
      <w:w w:val="120"/>
      <w:kern w:val="48"/>
      <w:sz w:val="60"/>
      <w:szCs w:val="52"/>
    </w:rPr>
  </w:style>
  <w:style w:type="paragraph" w:customStyle="1" w:styleId="afffffffffffffffffffffffff9">
    <w:name w:val="正文不空"/>
    <w:basedOn w:val="a1"/>
    <w:qFormat/>
    <w:pPr>
      <w:spacing w:line="480" w:lineRule="exact"/>
      <w:ind w:firstLineChars="200" w:firstLine="200"/>
    </w:pPr>
    <w:rPr>
      <w:rFonts w:ascii="宋体" w:hAnsi="Times New Roman"/>
      <w:sz w:val="28"/>
      <w:szCs w:val="20"/>
    </w:rPr>
  </w:style>
  <w:style w:type="paragraph" w:customStyle="1" w:styleId="31113CharChar3Charh33heading3-bodyh3">
    <w:name w:val="样式 标题 31.1.1条标题 3 Char Char标题 3 Charh33heading 3- bodyh3..."/>
    <w:basedOn w:val="3a"/>
    <w:qFormat/>
    <w:pPr>
      <w:spacing w:before="0" w:after="0" w:line="360" w:lineRule="auto"/>
    </w:pPr>
    <w:rPr>
      <w:rFonts w:ascii="黑体" w:hAnsi="Times New Roman" w:cs="宋体"/>
      <w:color w:val="000000"/>
      <w:kern w:val="2"/>
      <w:sz w:val="28"/>
      <w:szCs w:val="20"/>
    </w:rPr>
  </w:style>
  <w:style w:type="paragraph" w:customStyle="1" w:styleId="reader-word-layerreader-word-s1-4">
    <w:name w:val="reader-word-layer reader-word-s1-4"/>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1-3">
    <w:name w:val="reader-word-layer reader-word-s1-3"/>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1-3reader-word-s1-7">
    <w:name w:val="reader-word-layer reader-word-s1-3 reader-word-s1-7"/>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1-3reader-word-s1-23">
    <w:name w:val="reader-word-layer reader-word-s1-3 reader-word-s1-23"/>
    <w:basedOn w:val="a1"/>
    <w:qFormat/>
    <w:pPr>
      <w:widowControl/>
      <w:spacing w:before="100" w:beforeAutospacing="1" w:after="100" w:afterAutospacing="1"/>
      <w:jc w:val="left"/>
    </w:pPr>
    <w:rPr>
      <w:rFonts w:ascii="宋体" w:hAnsi="宋体" w:cs="宋体"/>
      <w:kern w:val="0"/>
      <w:sz w:val="24"/>
      <w:szCs w:val="24"/>
    </w:rPr>
  </w:style>
  <w:style w:type="paragraph" w:customStyle="1" w:styleId="Normal2">
    <w:name w:val="Normal+2"/>
    <w:basedOn w:val="Default"/>
    <w:next w:val="Default"/>
    <w:qFormat/>
    <w:rPr>
      <w:color w:val="auto"/>
    </w:rPr>
  </w:style>
  <w:style w:type="paragraph" w:customStyle="1" w:styleId="afffffffffffffffffffffffffa">
    <w:name w:val="表格注"/>
    <w:basedOn w:val="a1"/>
    <w:next w:val="a1"/>
    <w:qFormat/>
    <w:pPr>
      <w:spacing w:line="240" w:lineRule="exact"/>
      <w:jc w:val="left"/>
    </w:pPr>
    <w:rPr>
      <w:rFonts w:ascii="Times New Roman" w:hAnsi="Times New Roman"/>
      <w:sz w:val="18"/>
      <w:szCs w:val="24"/>
    </w:rPr>
  </w:style>
  <w:style w:type="paragraph" w:customStyle="1" w:styleId="CharCharCharCharCharCharCharCharCharChar1">
    <w:name w:val="Char Char Char Char Char Char Char Char Char Char1"/>
    <w:basedOn w:val="a1"/>
    <w:qFormat/>
    <w:pPr>
      <w:snapToGrid w:val="0"/>
      <w:spacing w:line="360" w:lineRule="auto"/>
      <w:ind w:firstLineChars="200" w:firstLine="200"/>
    </w:pPr>
    <w:rPr>
      <w:rFonts w:ascii="Times New Roman" w:eastAsia="仿宋_GB2312" w:hAnsi="Times New Roman"/>
      <w:sz w:val="24"/>
      <w:szCs w:val="24"/>
    </w:rPr>
  </w:style>
  <w:style w:type="paragraph" w:customStyle="1" w:styleId="CharCharCharCharCharCharCharCharCharCharCharChar1CharCharCharChar1">
    <w:name w:val="Char Char Char Char Char Char Char Char Char Char Char Char1 Char Char Char Char1"/>
    <w:basedOn w:val="a1"/>
    <w:next w:val="a1"/>
    <w:semiHidden/>
    <w:qFormat/>
    <w:pPr>
      <w:spacing w:line="336" w:lineRule="auto"/>
      <w:ind w:firstLineChars="200" w:firstLine="200"/>
    </w:pPr>
    <w:rPr>
      <w:rFonts w:ascii="宋体" w:eastAsia="汉鼎简书宋" w:hAnsi="宋体" w:cs="宋体"/>
      <w:sz w:val="24"/>
      <w:szCs w:val="24"/>
    </w:rPr>
  </w:style>
  <w:style w:type="paragraph" w:customStyle="1" w:styleId="Char160">
    <w:name w:val="Char16"/>
    <w:basedOn w:val="a1"/>
    <w:qFormat/>
    <w:rPr>
      <w:rFonts w:ascii="Times New Roman" w:hAnsi="Times New Roman"/>
      <w:szCs w:val="24"/>
    </w:rPr>
  </w:style>
  <w:style w:type="paragraph" w:customStyle="1" w:styleId="CharCharCharCharCharCharChar2">
    <w:name w:val="Char Char Char Char Char Char Char2"/>
    <w:basedOn w:val="a1"/>
    <w:qFormat/>
    <w:pPr>
      <w:widowControl/>
      <w:spacing w:after="160" w:line="240" w:lineRule="exact"/>
      <w:jc w:val="left"/>
    </w:pPr>
    <w:rPr>
      <w:rFonts w:ascii="Times New Roman" w:hAnsi="Times New Roman"/>
      <w:szCs w:val="20"/>
    </w:rPr>
  </w:style>
  <w:style w:type="paragraph" w:customStyle="1" w:styleId="CharCharCharCharCharCharCharCharCharCharCharCharCharCharCharChar1">
    <w:name w:val="Char Char Char Char Char Char Char Char Char Char Char Char Char Char Char Char1"/>
    <w:basedOn w:val="a1"/>
    <w:qFormat/>
    <w:rPr>
      <w:rFonts w:ascii="Times New Roman" w:hAnsi="Times New Roman"/>
      <w:szCs w:val="24"/>
    </w:rPr>
  </w:style>
  <w:style w:type="paragraph" w:customStyle="1" w:styleId="CharCharCharChar30">
    <w:name w:val="Char Char Char Char3"/>
    <w:basedOn w:val="a1"/>
    <w:qFormat/>
    <w:pPr>
      <w:snapToGrid w:val="0"/>
      <w:spacing w:line="440" w:lineRule="atLeast"/>
    </w:pPr>
    <w:rPr>
      <w:rFonts w:ascii="宋体" w:hAnsi="Times New Roman"/>
      <w:sz w:val="24"/>
      <w:szCs w:val="24"/>
    </w:rPr>
  </w:style>
  <w:style w:type="paragraph" w:customStyle="1" w:styleId="CharCharCharCharCharCharCharCharCharCharCharChar2">
    <w:name w:val="Char Char Char Char Char Char Char Char Char Char Char Char2"/>
    <w:basedOn w:val="a1"/>
    <w:qFormat/>
    <w:pPr>
      <w:snapToGrid w:val="0"/>
      <w:spacing w:line="360" w:lineRule="auto"/>
      <w:ind w:firstLineChars="200" w:firstLine="200"/>
    </w:pPr>
    <w:rPr>
      <w:rFonts w:ascii="Times New Roman" w:eastAsia="仿宋_GB2312" w:hAnsi="Times New Roman"/>
      <w:sz w:val="24"/>
      <w:szCs w:val="24"/>
    </w:rPr>
  </w:style>
  <w:style w:type="paragraph" w:customStyle="1" w:styleId="CharCharChar30">
    <w:name w:val="Char Char Char3"/>
    <w:basedOn w:val="a1"/>
    <w:qFormat/>
    <w:rPr>
      <w:rFonts w:ascii="Times New Roman" w:hAnsi="Times New Roman"/>
      <w:szCs w:val="24"/>
    </w:rPr>
  </w:style>
  <w:style w:type="paragraph" w:customStyle="1" w:styleId="CharCharCharCharChar1">
    <w:name w:val="Char Char Char Char Char1"/>
    <w:basedOn w:val="a1"/>
    <w:qFormat/>
    <w:pPr>
      <w:widowControl/>
      <w:spacing w:after="160" w:line="240" w:lineRule="exact"/>
      <w:ind w:firstLineChars="200" w:firstLine="640"/>
      <w:jc w:val="left"/>
    </w:pPr>
    <w:rPr>
      <w:rFonts w:ascii="仿宋_GB2312" w:eastAsia="仿宋_GB2312" w:hAnsi="仿宋_GB2312"/>
      <w:color w:val="000000"/>
      <w:sz w:val="32"/>
      <w:szCs w:val="20"/>
    </w:rPr>
  </w:style>
  <w:style w:type="paragraph" w:customStyle="1" w:styleId="CharCharChar1CharCharCharCharCharCharCharCharCharCharCharCharCharCharCharCharCharCharChar1">
    <w:name w:val="Char Char Char1 Char Char Char Char Char Char Char Char Char Char Char Char Char Char Char Char Char Char Char1"/>
    <w:basedOn w:val="a1"/>
    <w:qFormat/>
    <w:rPr>
      <w:rFonts w:ascii="Times New Roman" w:hAnsi="Times New Roman"/>
      <w:szCs w:val="24"/>
    </w:rPr>
  </w:style>
  <w:style w:type="paragraph" w:customStyle="1" w:styleId="CharCharCharCharCharCharCharCharChar1">
    <w:name w:val="Char Char Char Char Char Char Char Char Char1"/>
    <w:basedOn w:val="a1"/>
    <w:qFormat/>
    <w:rPr>
      <w:rFonts w:ascii="Times New Roman" w:hAnsi="Times New Roman"/>
      <w:szCs w:val="24"/>
    </w:rPr>
  </w:style>
  <w:style w:type="paragraph" w:customStyle="1" w:styleId="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1"/>
    <w:basedOn w:val="a1"/>
    <w:next w:val="a1"/>
    <w:qFormat/>
    <w:pPr>
      <w:spacing w:line="360" w:lineRule="auto"/>
      <w:ind w:firstLineChars="200" w:firstLine="200"/>
    </w:pPr>
    <w:rPr>
      <w:rFonts w:ascii="宋体" w:hAnsi="宋体" w:cs="宋体"/>
      <w:sz w:val="24"/>
      <w:szCs w:val="24"/>
    </w:rPr>
  </w:style>
  <w:style w:type="paragraph" w:customStyle="1" w:styleId="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1"/>
    <w:basedOn w:val="a1"/>
    <w:qFormat/>
    <w:rPr>
      <w:rFonts w:ascii="Times New Roman" w:hAnsi="Times New Roman"/>
      <w:szCs w:val="24"/>
    </w:rPr>
  </w:style>
  <w:style w:type="paragraph" w:customStyle="1" w:styleId="CharCharCharCharCharCharCharCharCharCharChar1">
    <w:name w:val="Char Char Char Char Char Char Char Char Char Char Char1"/>
    <w:basedOn w:val="a1"/>
    <w:qFormat/>
    <w:rPr>
      <w:rFonts w:ascii="Times New Roman" w:hAnsi="Times New Roman"/>
      <w:szCs w:val="24"/>
    </w:rPr>
  </w:style>
  <w:style w:type="paragraph" w:customStyle="1" w:styleId="CharCharCharCharCharCharCharCharCharCharCharCharCharCharCharCharCharCharCharCharCharCharChar1">
    <w:name w:val="Char Char Char Char Char Char Char Char Char Char Char Char Char Char Char Char Char Char Char Char Char Char Char1"/>
    <w:basedOn w:val="a1"/>
    <w:qFormat/>
    <w:rPr>
      <w:rFonts w:ascii="Times New Roman" w:hAnsi="Times New Roman"/>
      <w:szCs w:val="24"/>
    </w:rPr>
  </w:style>
  <w:style w:type="paragraph" w:customStyle="1" w:styleId="CharCharCharCharCharCharCharCharCharCharCharCharCharCharCharCharCharCharCharCharCharCharCharCharCharChar1">
    <w:name w:val="Char Char Char Char Char Char Char Char Char Char Char Char Char Char Char Char Char Char Char Char Char Char Char Char Char Char1"/>
    <w:basedOn w:val="a1"/>
    <w:qFormat/>
    <w:rPr>
      <w:rFonts w:ascii="Times New Roman" w:hAnsi="Times New Roman"/>
      <w:szCs w:val="24"/>
    </w:rPr>
  </w:style>
  <w:style w:type="paragraph" w:customStyle="1" w:styleId="Char31">
    <w:name w:val="Char31"/>
    <w:basedOn w:val="a1"/>
    <w:qFormat/>
    <w:rPr>
      <w:rFonts w:ascii="Times New Roman" w:hAnsi="Times New Roman"/>
      <w:szCs w:val="24"/>
    </w:rPr>
  </w:style>
  <w:style w:type="paragraph" w:customStyle="1" w:styleId="Char41">
    <w:name w:val="Char41"/>
    <w:basedOn w:val="a1"/>
    <w:qFormat/>
    <w:rPr>
      <w:rFonts w:ascii="Times New Roman" w:hAnsi="Times New Roman"/>
      <w:szCs w:val="24"/>
    </w:rPr>
  </w:style>
  <w:style w:type="paragraph" w:customStyle="1" w:styleId="Char61">
    <w:name w:val="Char61"/>
    <w:basedOn w:val="a1"/>
    <w:qFormat/>
    <w:rPr>
      <w:rFonts w:ascii="Times New Roman" w:hAnsi="Times New Roman"/>
      <w:szCs w:val="24"/>
    </w:rPr>
  </w:style>
  <w:style w:type="paragraph" w:customStyle="1" w:styleId="CharCharCharCharCharCharCharCharCharCharCharChar11">
    <w:name w:val="Char Char Char Char Char Char Char Char Char Char Char Char11"/>
    <w:basedOn w:val="a1"/>
    <w:next w:val="a1"/>
    <w:qFormat/>
    <w:pPr>
      <w:spacing w:line="360" w:lineRule="auto"/>
      <w:ind w:firstLineChars="200" w:firstLine="200"/>
    </w:pPr>
    <w:rPr>
      <w:rFonts w:ascii="宋体" w:hAnsi="宋体" w:cs="宋体"/>
      <w:sz w:val="24"/>
      <w:szCs w:val="24"/>
    </w:rPr>
  </w:style>
  <w:style w:type="paragraph" w:customStyle="1" w:styleId="CharCharCharCharCharChar1Char2">
    <w:name w:val="Char Char Char Char Char Char1 Char2"/>
    <w:basedOn w:val="a1"/>
    <w:qFormat/>
    <w:rPr>
      <w:rFonts w:ascii="Times New Roman" w:hAnsi="Times New Roman"/>
      <w:szCs w:val="24"/>
    </w:rPr>
  </w:style>
  <w:style w:type="paragraph" w:customStyle="1" w:styleId="Char2CharCharCharCharCharCharCharCharCharCharCharCharCharCharChar1">
    <w:name w:val="Char2 Char Char Char Char Char Char Char Char Char Char Char Char Char Char Char1"/>
    <w:basedOn w:val="a1"/>
    <w:qFormat/>
    <w:rPr>
      <w:rFonts w:ascii="Arial" w:hAnsi="Arial"/>
      <w:snapToGrid w:val="0"/>
      <w:szCs w:val="21"/>
    </w:rPr>
  </w:style>
  <w:style w:type="paragraph" w:customStyle="1" w:styleId="CharChar1CharCharCharCharCharChar1">
    <w:name w:val="Char Char1 Char Char Char Char Char Char1"/>
    <w:basedOn w:val="a1"/>
    <w:qFormat/>
    <w:rPr>
      <w:rFonts w:ascii="Times New Roman" w:hAnsi="Times New Roman"/>
      <w:szCs w:val="24"/>
    </w:rPr>
  </w:style>
  <w:style w:type="paragraph" w:customStyle="1" w:styleId="CharCharCharCharCharCharCharCharCharCharCharCharCharCharCharCharCharCharChar1">
    <w:name w:val="Char Char Char Char Char Char Char Char Char Char Char Char Char Char Char Char Char Char Char1"/>
    <w:basedOn w:val="a1"/>
    <w:qFormat/>
    <w:rPr>
      <w:rFonts w:ascii="Times New Roman" w:hAnsi="Times New Roman"/>
      <w:szCs w:val="24"/>
    </w:rPr>
  </w:style>
  <w:style w:type="paragraph" w:customStyle="1" w:styleId="CharCharChar1CharCharCharChar1">
    <w:name w:val="Char Char Char1 Char Char Char Char1"/>
    <w:basedOn w:val="a1"/>
    <w:next w:val="a1"/>
    <w:semiHidden/>
    <w:qFormat/>
    <w:pPr>
      <w:spacing w:line="360" w:lineRule="auto"/>
      <w:ind w:firstLineChars="200" w:firstLine="200"/>
    </w:pPr>
    <w:rPr>
      <w:rFonts w:ascii="宋体" w:eastAsia="汉鼎简书宋" w:hAnsi="宋体" w:cs="宋体"/>
      <w:sz w:val="24"/>
      <w:szCs w:val="24"/>
    </w:rPr>
  </w:style>
  <w:style w:type="paragraph" w:customStyle="1" w:styleId="CharCharCharCharCharCharCharCharCharCharCharCharChar1">
    <w:name w:val="Char Char Char Char Char Char Char Char Char Char Char Char Char1"/>
    <w:basedOn w:val="a1"/>
    <w:next w:val="a1"/>
    <w:qFormat/>
    <w:pPr>
      <w:spacing w:line="360" w:lineRule="auto"/>
      <w:ind w:firstLineChars="200" w:firstLine="200"/>
    </w:pPr>
    <w:rPr>
      <w:rFonts w:ascii="Times New Roman" w:hAnsi="Times New Roman"/>
      <w:sz w:val="24"/>
      <w:szCs w:val="24"/>
    </w:rPr>
  </w:style>
  <w:style w:type="paragraph" w:customStyle="1" w:styleId="CharCharCharChar1CharCharCharCharCharCharCharCharCharChar1">
    <w:name w:val="Char Char Char Char1 Char Char Char Char Char Char Char Char Char Char1"/>
    <w:basedOn w:val="a1"/>
    <w:qFormat/>
    <w:pPr>
      <w:tabs>
        <w:tab w:val="left" w:pos="2580"/>
      </w:tabs>
      <w:ind w:left="2580" w:hanging="420"/>
    </w:pPr>
    <w:rPr>
      <w:rFonts w:ascii="Times New Roman" w:hAnsi="Times New Roman"/>
      <w:szCs w:val="21"/>
    </w:rPr>
  </w:style>
  <w:style w:type="paragraph" w:customStyle="1" w:styleId="CharCharChar41">
    <w:name w:val="Char Char Char41"/>
    <w:basedOn w:val="a1"/>
    <w:qFormat/>
    <w:rPr>
      <w:rFonts w:ascii="Times New Roman" w:hAnsi="Times New Roman"/>
      <w:szCs w:val="21"/>
    </w:rPr>
  </w:style>
  <w:style w:type="paragraph" w:customStyle="1" w:styleId="CharChar1CharCharChar1">
    <w:name w:val="Char Char1 Char Char Char1"/>
    <w:basedOn w:val="a1"/>
    <w:qFormat/>
    <w:rPr>
      <w:rFonts w:ascii="Times New Roman" w:hAnsi="Times New Roman"/>
      <w:szCs w:val="21"/>
    </w:rPr>
  </w:style>
  <w:style w:type="paragraph" w:customStyle="1" w:styleId="CharCharChar1CharCharCharCharCharCharCharCharCharCharCharChar1CharCharCharCharCharCharCharCharCharChar1">
    <w:name w:val="Char Char Char1 Char Char Char Char Char Char Char Char Char Char Char Char1 Char Char Char Char Char Char Char Char Char Char1"/>
    <w:basedOn w:val="a1"/>
    <w:qFormat/>
    <w:pPr>
      <w:tabs>
        <w:tab w:val="left" w:pos="540"/>
      </w:tabs>
      <w:ind w:firstLineChars="200" w:firstLine="480"/>
    </w:pPr>
    <w:rPr>
      <w:rFonts w:ascii="宋体" w:hAnsi="宋体"/>
      <w:szCs w:val="24"/>
    </w:rPr>
  </w:style>
  <w:style w:type="paragraph" w:customStyle="1" w:styleId="CharCharCharCharCharCharCharCharChar1CharCharCharChar2">
    <w:name w:val="Char Char Char Char Char Char Char Char Char1 Char Char Char Char2"/>
    <w:basedOn w:val="a1"/>
    <w:qFormat/>
    <w:pPr>
      <w:tabs>
        <w:tab w:val="left" w:pos="980"/>
      </w:tabs>
      <w:ind w:left="980" w:hanging="420"/>
    </w:pPr>
    <w:rPr>
      <w:rFonts w:ascii="Times New Roman" w:hAnsi="Times New Roman"/>
      <w:szCs w:val="21"/>
    </w:rPr>
  </w:style>
  <w:style w:type="paragraph" w:customStyle="1" w:styleId="CharCharCharChar1Char1">
    <w:name w:val="Char Char Char Char1 Char1"/>
    <w:basedOn w:val="a1"/>
    <w:qFormat/>
    <w:rPr>
      <w:rFonts w:ascii="Times New Roman" w:hAnsi="Times New Roman"/>
      <w:szCs w:val="21"/>
    </w:rPr>
  </w:style>
  <w:style w:type="paragraph" w:customStyle="1" w:styleId="Char92">
    <w:name w:val="Char92"/>
    <w:basedOn w:val="a1"/>
    <w:qFormat/>
    <w:rPr>
      <w:rFonts w:ascii="Times New Roman" w:hAnsi="Times New Roman"/>
      <w:szCs w:val="21"/>
    </w:rPr>
  </w:style>
  <w:style w:type="paragraph" w:customStyle="1" w:styleId="CharChar2Char1">
    <w:name w:val="Char Char2 Char1"/>
    <w:basedOn w:val="a1"/>
    <w:qFormat/>
    <w:rPr>
      <w:rFonts w:ascii="Times New Roman" w:hAnsi="Times New Roman"/>
      <w:szCs w:val="21"/>
    </w:rPr>
  </w:style>
  <w:style w:type="paragraph" w:customStyle="1" w:styleId="CharCharCharCharCharCharCharCharChar1Char1">
    <w:name w:val="Char Char Char Char Char Char Char Char Char1 Char1"/>
    <w:basedOn w:val="a1"/>
    <w:qFormat/>
    <w:rPr>
      <w:rFonts w:ascii="Times New Roman" w:hAnsi="Times New Roman"/>
      <w:szCs w:val="21"/>
    </w:rPr>
  </w:style>
  <w:style w:type="paragraph" w:customStyle="1" w:styleId="CharCharCharCharCharCharCharCharChar1CharCharCharCharCharCharCharCharCharCharCharCharChar1">
    <w:name w:val="Char Char Char Char Char Char Char Char Char1 Char Char Char Char Char Char Char Char Char Char Char Char Char1"/>
    <w:basedOn w:val="a1"/>
    <w:qFormat/>
    <w:rPr>
      <w:rFonts w:ascii="Times New Roman" w:hAnsi="Times New Roman"/>
      <w:szCs w:val="21"/>
    </w:rPr>
  </w:style>
  <w:style w:type="paragraph" w:customStyle="1" w:styleId="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1"/>
    <w:basedOn w:val="a1"/>
    <w:qFormat/>
    <w:rPr>
      <w:rFonts w:ascii="Times New Roman" w:hAnsi="Times New Roman"/>
      <w:sz w:val="24"/>
      <w:szCs w:val="24"/>
    </w:rPr>
  </w:style>
  <w:style w:type="paragraph" w:customStyle="1" w:styleId="11e">
    <w:name w:val="字元 字元11"/>
    <w:basedOn w:val="a1"/>
    <w:qFormat/>
    <w:pPr>
      <w:tabs>
        <w:tab w:val="left" w:pos="780"/>
      </w:tabs>
      <w:ind w:left="780" w:hanging="360"/>
    </w:pPr>
    <w:rPr>
      <w:rFonts w:ascii="Times New Roman" w:hAnsi="Times New Roman"/>
      <w:sz w:val="24"/>
      <w:szCs w:val="24"/>
    </w:rPr>
  </w:style>
  <w:style w:type="paragraph" w:customStyle="1" w:styleId="CharCharCharCharCharCharCharCharChar1CharCharChar1Char1">
    <w:name w:val="Char Char Char Char Char Char Char Char Char1 Char Char Char1 Char1"/>
    <w:basedOn w:val="a1"/>
    <w:qFormat/>
    <w:rPr>
      <w:rFonts w:ascii="Times New Roman" w:hAnsi="Times New Roman"/>
      <w:szCs w:val="21"/>
    </w:rPr>
  </w:style>
  <w:style w:type="paragraph" w:customStyle="1" w:styleId="CharChar1Char1">
    <w:name w:val="Char Char1 Char1"/>
    <w:basedOn w:val="a1"/>
    <w:qFormat/>
    <w:rPr>
      <w:rFonts w:ascii="仿宋_GB2312" w:eastAsia="仿宋_GB2312" w:hAnsi="Times New Roman"/>
      <w:b/>
      <w:sz w:val="32"/>
      <w:szCs w:val="32"/>
    </w:rPr>
  </w:style>
  <w:style w:type="paragraph" w:customStyle="1" w:styleId="Char1CharCharCharCharCharChar2">
    <w:name w:val="Char1 Char Char Char Char Char Char2"/>
    <w:basedOn w:val="a1"/>
    <w:qFormat/>
    <w:pPr>
      <w:spacing w:line="360" w:lineRule="auto"/>
      <w:ind w:firstLineChars="200" w:firstLine="200"/>
    </w:pPr>
    <w:rPr>
      <w:rFonts w:ascii="宋体" w:hAnsi="宋体" w:cs="宋体"/>
      <w:sz w:val="24"/>
      <w:szCs w:val="24"/>
    </w:rPr>
  </w:style>
  <w:style w:type="paragraph" w:customStyle="1" w:styleId="22b">
    <w:name w:val="标题 22"/>
    <w:basedOn w:val="a1"/>
    <w:next w:val="a1"/>
    <w:qFormat/>
    <w:pPr>
      <w:snapToGrid w:val="0"/>
      <w:spacing w:line="360" w:lineRule="auto"/>
      <w:outlineLvl w:val="1"/>
    </w:pPr>
    <w:rPr>
      <w:rFonts w:ascii="仿宋_GB2312" w:eastAsia="仿宋_GB2312" w:hAnsi="Arial" w:hint="eastAsia"/>
      <w:sz w:val="28"/>
      <w:szCs w:val="20"/>
    </w:rPr>
  </w:style>
  <w:style w:type="paragraph" w:customStyle="1" w:styleId="2fffffa">
    <w:name w:val="批注框文本2"/>
    <w:basedOn w:val="a1"/>
    <w:qFormat/>
    <w:rPr>
      <w:rFonts w:ascii="Times New Roman" w:hAnsi="Times New Roman" w:hint="eastAsia"/>
      <w:sz w:val="18"/>
      <w:szCs w:val="20"/>
    </w:rPr>
  </w:style>
  <w:style w:type="paragraph" w:customStyle="1" w:styleId="4ffd">
    <w:name w:val="正文缩进4"/>
    <w:basedOn w:val="a1"/>
    <w:qFormat/>
    <w:pPr>
      <w:ind w:firstLine="420"/>
    </w:pPr>
    <w:rPr>
      <w:rFonts w:ascii="Times New Roman" w:hAnsi="Times New Roman" w:hint="eastAsia"/>
      <w:szCs w:val="20"/>
    </w:rPr>
  </w:style>
  <w:style w:type="paragraph" w:customStyle="1" w:styleId="716">
    <w:name w:val="正文7.16"/>
    <w:basedOn w:val="a1"/>
    <w:qFormat/>
    <w:pPr>
      <w:spacing w:line="360" w:lineRule="auto"/>
      <w:ind w:firstLineChars="200" w:firstLine="200"/>
    </w:pPr>
    <w:rPr>
      <w:rFonts w:ascii="Times New Roman" w:hAnsi="Times New Roman"/>
      <w:sz w:val="24"/>
      <w:szCs w:val="24"/>
    </w:rPr>
  </w:style>
  <w:style w:type="paragraph" w:customStyle="1" w:styleId="GB2312150">
    <w:name w:val="样式 仿宋_GB2312 四号 黑色 行距: 1.5 倍行距"/>
    <w:basedOn w:val="a1"/>
    <w:qFormat/>
    <w:pPr>
      <w:spacing w:line="480" w:lineRule="exact"/>
      <w:ind w:firstLineChars="200" w:firstLine="200"/>
    </w:pPr>
    <w:rPr>
      <w:rFonts w:ascii="仿宋_GB2312" w:eastAsia="仿宋_GB2312" w:hAnsi="宋体" w:cs="宋体"/>
      <w:color w:val="000000"/>
      <w:sz w:val="28"/>
      <w:szCs w:val="20"/>
    </w:rPr>
  </w:style>
  <w:style w:type="paragraph" w:customStyle="1" w:styleId="1ffffff2">
    <w:name w:val="封面标准号1"/>
    <w:qFormat/>
    <w:pPr>
      <w:widowControl w:val="0"/>
      <w:kinsoku w:val="0"/>
      <w:overflowPunct w:val="0"/>
      <w:autoSpaceDE w:val="0"/>
      <w:autoSpaceDN w:val="0"/>
      <w:spacing w:before="308"/>
      <w:jc w:val="right"/>
      <w:textAlignment w:val="center"/>
    </w:pPr>
    <w:rPr>
      <w:sz w:val="28"/>
    </w:rPr>
  </w:style>
  <w:style w:type="paragraph" w:customStyle="1" w:styleId="2000">
    <w:name w:val="样式 标题 2 + 左侧:  0 厘米 首行缩进:  0 厘米"/>
    <w:basedOn w:val="2a"/>
    <w:qFormat/>
    <w:pPr>
      <w:adjustRightInd w:val="0"/>
      <w:snapToGrid w:val="0"/>
      <w:spacing w:beforeLines="0" w:afterLines="0"/>
      <w:jc w:val="center"/>
    </w:pPr>
    <w:rPr>
      <w:rFonts w:ascii="Times New Roman" w:eastAsia="宋体" w:hAnsi="Times New Roman" w:cs="宋体"/>
      <w:b w:val="0"/>
      <w:bCs w:val="0"/>
      <w:snapToGrid w:val="0"/>
      <w:sz w:val="28"/>
      <w:szCs w:val="20"/>
    </w:rPr>
  </w:style>
  <w:style w:type="paragraph" w:customStyle="1" w:styleId="2002">
    <w:name w:val="样式 标题 2 + 左侧:  0 厘米 首行缩进:  0 厘米 行距: 2 倍行距"/>
    <w:basedOn w:val="2a"/>
    <w:qFormat/>
    <w:pPr>
      <w:adjustRightInd w:val="0"/>
      <w:snapToGrid w:val="0"/>
      <w:spacing w:beforeLines="0" w:afterLines="0" w:line="480" w:lineRule="auto"/>
      <w:jc w:val="center"/>
    </w:pPr>
    <w:rPr>
      <w:rFonts w:ascii="Times New Roman" w:eastAsia="宋体" w:hAnsi="Times New Roman" w:cs="宋体"/>
      <w:b w:val="0"/>
      <w:bCs w:val="0"/>
      <w:snapToGrid w:val="0"/>
      <w:sz w:val="28"/>
      <w:szCs w:val="20"/>
    </w:rPr>
  </w:style>
  <w:style w:type="paragraph" w:customStyle="1" w:styleId="CharCharCharCharCharCharCharCharCharCharCharCharCharCharChar">
    <w:name w:val="Char Char Char Char Char Char Char Char Char Char Char Char Char Char Char"/>
    <w:basedOn w:val="a1"/>
    <w:semiHidden/>
    <w:qFormat/>
    <w:rPr>
      <w:rFonts w:ascii="Times New Roman" w:hAnsi="Times New Roman"/>
      <w:szCs w:val="24"/>
    </w:rPr>
  </w:style>
  <w:style w:type="paragraph" w:customStyle="1" w:styleId="afffffffffffffffffffffffffb">
    <w:name w:val="中文报告书样式"/>
    <w:basedOn w:val="a1"/>
    <w:link w:val="Charffff1"/>
    <w:semiHidden/>
    <w:qFormat/>
    <w:pPr>
      <w:adjustRightInd w:val="0"/>
      <w:spacing w:line="520" w:lineRule="exact"/>
      <w:ind w:firstLine="578"/>
      <w:textAlignment w:val="baseline"/>
    </w:pPr>
    <w:rPr>
      <w:rFonts w:ascii="Times New Roman" w:hAnsi="Times New Roman"/>
      <w:kern w:val="24"/>
      <w:sz w:val="28"/>
      <w:szCs w:val="20"/>
    </w:rPr>
  </w:style>
  <w:style w:type="paragraph" w:customStyle="1" w:styleId="afffffffffffffffffffffffffc">
    <w:name w:val="标题后正文"/>
    <w:basedOn w:val="a1"/>
    <w:qFormat/>
    <w:pPr>
      <w:adjustRightInd w:val="0"/>
      <w:spacing w:line="360" w:lineRule="auto"/>
      <w:ind w:firstLineChars="200" w:firstLine="200"/>
      <w:textAlignment w:val="baseline"/>
    </w:pPr>
    <w:rPr>
      <w:rFonts w:ascii="Arial" w:hAnsi="Arial"/>
      <w:snapToGrid w:val="0"/>
      <w:kern w:val="28"/>
      <w:sz w:val="24"/>
      <w:szCs w:val="20"/>
    </w:rPr>
  </w:style>
  <w:style w:type="paragraph" w:customStyle="1" w:styleId="a20">
    <w:name w:val="a2"/>
    <w:basedOn w:val="2a"/>
    <w:link w:val="a2Char"/>
    <w:qFormat/>
    <w:pPr>
      <w:spacing w:beforeLines="0" w:afterLines="0"/>
      <w:jc w:val="both"/>
    </w:pPr>
    <w:rPr>
      <w:rFonts w:ascii="宋体" w:eastAsia="宋体" w:hAnsi="宋体"/>
      <w:color w:val="000000"/>
    </w:rPr>
  </w:style>
  <w:style w:type="paragraph" w:customStyle="1" w:styleId="a40">
    <w:name w:val="a4"/>
    <w:basedOn w:val="1f8"/>
    <w:link w:val="a4Char"/>
    <w:qFormat/>
    <w:pPr>
      <w:ind w:firstLineChars="0" w:firstLine="0"/>
      <w:outlineLvl w:val="3"/>
    </w:pPr>
    <w:rPr>
      <w:b/>
    </w:rPr>
  </w:style>
  <w:style w:type="paragraph" w:customStyle="1" w:styleId="1ffffff3">
    <w:name w:val="1表头"/>
    <w:basedOn w:val="1f8"/>
    <w:link w:val="1Char8"/>
    <w:qFormat/>
    <w:pPr>
      <w:ind w:firstLine="482"/>
    </w:pPr>
    <w:rPr>
      <w:b/>
    </w:rPr>
  </w:style>
  <w:style w:type="paragraph" w:customStyle="1" w:styleId="afffffffffffffffffffffffffd">
    <w:name w:val="题注 + 居中!"/>
    <w:basedOn w:val="ae"/>
    <w:link w:val="Charffff2"/>
    <w:qFormat/>
    <w:pPr>
      <w:adjustRightInd w:val="0"/>
      <w:snapToGrid w:val="0"/>
      <w:jc w:val="center"/>
    </w:pPr>
    <w:rPr>
      <w:rFonts w:ascii="黑体" w:hAnsi="Arial"/>
      <w:sz w:val="24"/>
      <w:szCs w:val="24"/>
    </w:rPr>
  </w:style>
  <w:style w:type="paragraph" w:customStyle="1" w:styleId="1a3">
    <w:name w:val="1a3"/>
    <w:basedOn w:val="a1"/>
    <w:link w:val="1a3Char"/>
    <w:qFormat/>
    <w:pPr>
      <w:spacing w:line="360" w:lineRule="auto"/>
      <w:outlineLvl w:val="2"/>
    </w:pPr>
    <w:rPr>
      <w:rFonts w:ascii="宋体" w:hAnsi="宋体"/>
      <w:b/>
      <w:color w:val="000000"/>
      <w:kern w:val="0"/>
      <w:sz w:val="30"/>
      <w:szCs w:val="30"/>
    </w:rPr>
  </w:style>
  <w:style w:type="paragraph" w:customStyle="1" w:styleId="50098">
    <w:name w:val="样式 表内小5 + 左侧:  0 厘米 悬挂缩进: 0.98 字符"/>
    <w:basedOn w:val="a1"/>
    <w:qFormat/>
    <w:pPr>
      <w:adjustRightInd w:val="0"/>
      <w:snapToGrid w:val="0"/>
      <w:spacing w:line="300" w:lineRule="auto"/>
      <w:ind w:leftChars="-200" w:left="289" w:hanging="769"/>
    </w:pPr>
    <w:rPr>
      <w:rFonts w:ascii="宋体" w:hAnsi="宋体" w:cs="宋体"/>
      <w:sz w:val="18"/>
      <w:szCs w:val="20"/>
    </w:rPr>
  </w:style>
  <w:style w:type="paragraph" w:customStyle="1" w:styleId="afffffffffffffffffffffffffe">
    <w:name w:val="列表项目"/>
    <w:basedOn w:val="af0"/>
    <w:qFormat/>
    <w:pPr>
      <w:tabs>
        <w:tab w:val="clear" w:pos="360"/>
      </w:tabs>
      <w:spacing w:before="360" w:line="360" w:lineRule="auto"/>
      <w:ind w:left="0" w:firstLine="0"/>
      <w:jc w:val="center"/>
      <w:outlineLvl w:val="0"/>
    </w:pPr>
    <w:rPr>
      <w:rFonts w:ascii="黑体" w:eastAsia="黑体"/>
      <w:b/>
      <w:sz w:val="32"/>
      <w:szCs w:val="32"/>
    </w:rPr>
  </w:style>
  <w:style w:type="paragraph" w:customStyle="1" w:styleId="2fffffb">
    <w:name w:val="2"/>
    <w:basedOn w:val="a1"/>
    <w:next w:val="aff1"/>
    <w:qFormat/>
    <w:rPr>
      <w:rFonts w:ascii="宋体" w:hAnsi="Courier New"/>
      <w:szCs w:val="21"/>
    </w:rPr>
  </w:style>
  <w:style w:type="paragraph" w:customStyle="1" w:styleId="315">
    <w:name w:val="样式 标题 3 + 小四 行距: 1.5 倍行距"/>
    <w:basedOn w:val="3a"/>
    <w:qFormat/>
    <w:pPr>
      <w:tabs>
        <w:tab w:val="left" w:pos="720"/>
      </w:tabs>
      <w:spacing w:before="0" w:after="0" w:line="360" w:lineRule="auto"/>
      <w:ind w:left="720" w:hanging="720"/>
    </w:pPr>
    <w:rPr>
      <w:rFonts w:ascii="Times New Roman" w:hAnsi="Times New Roman"/>
      <w:b w:val="0"/>
      <w:bCs w:val="0"/>
      <w:snapToGrid w:val="0"/>
      <w:color w:val="000000"/>
      <w:sz w:val="28"/>
      <w:szCs w:val="20"/>
    </w:rPr>
  </w:style>
  <w:style w:type="paragraph" w:customStyle="1" w:styleId="8f1">
    <w:name w:val="表8"/>
    <w:basedOn w:val="a1"/>
    <w:qFormat/>
    <w:pPr>
      <w:jc w:val="center"/>
    </w:pPr>
    <w:rPr>
      <w:rFonts w:ascii="Times New Roman" w:hAnsi="Times New Roman"/>
      <w:b/>
      <w:szCs w:val="21"/>
    </w:rPr>
  </w:style>
  <w:style w:type="paragraph" w:customStyle="1" w:styleId="128">
    <w:name w:val="表12"/>
    <w:basedOn w:val="a1"/>
    <w:qFormat/>
    <w:pPr>
      <w:spacing w:line="360" w:lineRule="auto"/>
      <w:jc w:val="center"/>
    </w:pPr>
    <w:rPr>
      <w:rFonts w:ascii="Times New Roman" w:hAnsi="Times New Roman"/>
      <w:b/>
      <w:sz w:val="24"/>
      <w:szCs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1"/>
    <w:qFormat/>
    <w:pPr>
      <w:spacing w:line="360" w:lineRule="auto"/>
      <w:ind w:firstLineChars="200" w:firstLine="200"/>
    </w:pPr>
    <w:rPr>
      <w:rFonts w:ascii="宋体" w:hAnsi="宋体" w:cs="宋体"/>
      <w:sz w:val="24"/>
      <w:szCs w:val="24"/>
    </w:rPr>
  </w:style>
  <w:style w:type="paragraph" w:customStyle="1" w:styleId="affffffffffffffffffffffffff">
    <w:name w:val="环正文"/>
    <w:basedOn w:val="a1"/>
    <w:qFormat/>
    <w:pPr>
      <w:suppressAutoHyphens/>
      <w:adjustRightInd w:val="0"/>
      <w:spacing w:line="360" w:lineRule="auto"/>
      <w:ind w:right="6" w:firstLineChars="200" w:firstLine="480"/>
      <w:textAlignment w:val="baseline"/>
    </w:pPr>
    <w:rPr>
      <w:rFonts w:ascii="宋体" w:hAnsi="宋体"/>
      <w:color w:val="000000"/>
      <w:kern w:val="0"/>
      <w:sz w:val="24"/>
      <w:szCs w:val="20"/>
    </w:rPr>
  </w:style>
  <w:style w:type="paragraph" w:customStyle="1" w:styleId="129">
    <w:name w:val="字元 字元12"/>
    <w:basedOn w:val="a1"/>
    <w:qFormat/>
    <w:rPr>
      <w:rFonts w:ascii="Times New Roman" w:hAnsi="Times New Roman"/>
      <w:sz w:val="24"/>
      <w:szCs w:val="24"/>
    </w:rPr>
  </w:style>
  <w:style w:type="paragraph" w:customStyle="1" w:styleId="1ffffff4">
    <w:name w:val="样式1 正文"/>
    <w:basedOn w:val="aff1"/>
    <w:qFormat/>
    <w:pPr>
      <w:snapToGrid w:val="0"/>
      <w:spacing w:line="420" w:lineRule="auto"/>
      <w:ind w:firstLineChars="0" w:firstLine="0"/>
    </w:pPr>
    <w:rPr>
      <w:rFonts w:hAnsi="宋体" w:cs="Courier New"/>
      <w:szCs w:val="21"/>
    </w:rPr>
  </w:style>
  <w:style w:type="paragraph" w:customStyle="1" w:styleId="Date1">
    <w:name w:val="Date1"/>
    <w:basedOn w:val="a1"/>
    <w:next w:val="a1"/>
    <w:qFormat/>
    <w:pPr>
      <w:adjustRightInd w:val="0"/>
      <w:textAlignment w:val="baseline"/>
    </w:pPr>
    <w:rPr>
      <w:rFonts w:ascii="Times New Roman" w:hAnsi="Times New Roman"/>
      <w:szCs w:val="24"/>
    </w:rPr>
  </w:style>
  <w:style w:type="paragraph" w:customStyle="1" w:styleId="affffffffffffffffffffffffff0">
    <w:name w:val="图表文字"/>
    <w:basedOn w:val="a1"/>
    <w:qFormat/>
    <w:pPr>
      <w:jc w:val="center"/>
    </w:pPr>
    <w:rPr>
      <w:rFonts w:ascii="仿宋_GB2312" w:eastAsia="仿宋_GB2312" w:hAnsi="Times New Roman"/>
      <w:szCs w:val="24"/>
    </w:rPr>
  </w:style>
  <w:style w:type="paragraph" w:customStyle="1" w:styleId="Char3CharChar2">
    <w:name w:val="Char3 Char Char2"/>
    <w:basedOn w:val="a1"/>
    <w:qFormat/>
    <w:rPr>
      <w:rFonts w:ascii="Times New Roman" w:hAnsi="Times New Roman"/>
      <w:kern w:val="0"/>
      <w:sz w:val="24"/>
      <w:szCs w:val="24"/>
    </w:rPr>
  </w:style>
  <w:style w:type="paragraph" w:customStyle="1" w:styleId="Char3CharChar">
    <w:name w:val="Char3 Char Char"/>
    <w:basedOn w:val="a1"/>
    <w:qFormat/>
    <w:rPr>
      <w:rFonts w:ascii="Times New Roman" w:hAnsi="Times New Roman"/>
      <w:kern w:val="0"/>
      <w:sz w:val="24"/>
      <w:szCs w:val="24"/>
    </w:rPr>
  </w:style>
  <w:style w:type="paragraph" w:customStyle="1" w:styleId="Char3CharChar1">
    <w:name w:val="Char3 Char Char1"/>
    <w:basedOn w:val="a1"/>
    <w:qFormat/>
    <w:rPr>
      <w:rFonts w:ascii="Times New Roman" w:hAnsi="Times New Roman"/>
      <w:kern w:val="0"/>
      <w:sz w:val="24"/>
      <w:szCs w:val="24"/>
    </w:rPr>
  </w:style>
  <w:style w:type="paragraph" w:customStyle="1" w:styleId="Char3CharChar2CharCharChar">
    <w:name w:val="Char3 Char Char2 Char Char Char"/>
    <w:basedOn w:val="a1"/>
    <w:qFormat/>
    <w:rPr>
      <w:rFonts w:ascii="Times New Roman" w:hAnsi="Times New Roman"/>
      <w:kern w:val="0"/>
      <w:sz w:val="24"/>
      <w:szCs w:val="24"/>
    </w:rPr>
  </w:style>
  <w:style w:type="paragraph" w:customStyle="1" w:styleId="11Char105051">
    <w:name w:val="样式 标题 1标题 1 Char标1章 + 段前: 0.5 行 段后: 0.5 行1"/>
    <w:basedOn w:val="1a"/>
    <w:qFormat/>
    <w:pPr>
      <w:tabs>
        <w:tab w:val="left" w:pos="425"/>
      </w:tabs>
      <w:autoSpaceDE w:val="0"/>
      <w:autoSpaceDN w:val="0"/>
      <w:adjustRightInd w:val="0"/>
      <w:snapToGrid w:val="0"/>
      <w:spacing w:beforeLines="50" w:afterLines="50" w:line="240" w:lineRule="auto"/>
      <w:ind w:left="105" w:hanging="425"/>
    </w:pPr>
    <w:rPr>
      <w:rFonts w:ascii="宋体" w:hAnsi="宋体"/>
      <w:caps/>
      <w:color w:val="000000"/>
      <w:kern w:val="2"/>
      <w:sz w:val="24"/>
      <w:szCs w:val="20"/>
      <w:lang w:val="zh-CN"/>
    </w:rPr>
  </w:style>
  <w:style w:type="paragraph" w:customStyle="1" w:styleId="1ffffff5">
    <w:name w:val="样式 标题 1 + 两端对齐"/>
    <w:basedOn w:val="1a"/>
    <w:qFormat/>
    <w:pPr>
      <w:pageBreakBefore/>
      <w:widowControl/>
      <w:tabs>
        <w:tab w:val="left" w:pos="420"/>
      </w:tabs>
      <w:adjustRightInd w:val="0"/>
      <w:snapToGrid w:val="0"/>
      <w:spacing w:before="0" w:after="0" w:line="300" w:lineRule="auto"/>
      <w:jc w:val="center"/>
    </w:pPr>
    <w:rPr>
      <w:rFonts w:ascii="仿宋_GB2312" w:eastAsia="仿宋_GB2312" w:hAnsi="Times New Roman" w:cs="宋体"/>
      <w:b w:val="0"/>
      <w:bCs w:val="0"/>
      <w:snapToGrid w:val="0"/>
      <w:kern w:val="0"/>
      <w:sz w:val="32"/>
      <w:szCs w:val="32"/>
    </w:rPr>
  </w:style>
  <w:style w:type="paragraph" w:customStyle="1" w:styleId="Table-IS">
    <w:name w:val="Table-I(S)"/>
    <w:basedOn w:val="a1"/>
    <w:qFormat/>
    <w:pPr>
      <w:tabs>
        <w:tab w:val="left" w:pos="2160"/>
        <w:tab w:val="left" w:pos="3840"/>
        <w:tab w:val="left" w:pos="5280"/>
      </w:tabs>
      <w:spacing w:line="0" w:lineRule="atLeast"/>
      <w:jc w:val="center"/>
    </w:pPr>
    <w:rPr>
      <w:rFonts w:ascii="Tahoma" w:eastAsia="华文中宋" w:hAnsi="Tahoma" w:hint="eastAsia"/>
      <w:sz w:val="18"/>
      <w:szCs w:val="20"/>
    </w:rPr>
  </w:style>
  <w:style w:type="paragraph" w:customStyle="1" w:styleId="2fffffc">
    <w:name w:val="默认段落字体2"/>
    <w:basedOn w:val="a1"/>
    <w:semiHidden/>
    <w:qFormat/>
    <w:pPr>
      <w:snapToGrid w:val="0"/>
    </w:pPr>
    <w:rPr>
      <w:rFonts w:ascii="Arial" w:hAnsi="Arial"/>
      <w:szCs w:val="21"/>
    </w:rPr>
  </w:style>
  <w:style w:type="paragraph" w:customStyle="1" w:styleId="affffffffffffffffffffffffff1">
    <w:name w:val="图表"/>
    <w:link w:val="Charffff3"/>
    <w:qFormat/>
    <w:pPr>
      <w:jc w:val="center"/>
    </w:pPr>
    <w:rPr>
      <w:rFonts w:ascii="宋体" w:hAnsi="宋体" w:cs="黑体"/>
      <w:kern w:val="2"/>
      <w:sz w:val="21"/>
      <w:szCs w:val="24"/>
    </w:rPr>
  </w:style>
  <w:style w:type="paragraph" w:customStyle="1" w:styleId="Main">
    <w:name w:val="Main"/>
    <w:basedOn w:val="a1"/>
    <w:qFormat/>
    <w:pPr>
      <w:spacing w:line="480" w:lineRule="atLeast"/>
      <w:ind w:leftChars="400" w:left="400" w:right="400" w:firstLine="200"/>
    </w:pPr>
    <w:rPr>
      <w:rFonts w:ascii="Tahoma" w:hAnsi="Tahoma" w:hint="eastAsia"/>
      <w:szCs w:val="20"/>
    </w:rPr>
  </w:style>
  <w:style w:type="paragraph" w:customStyle="1" w:styleId="590">
    <w:name w:val="表内5中9"/>
    <w:basedOn w:val="a1"/>
    <w:qFormat/>
    <w:pPr>
      <w:adjustRightInd w:val="0"/>
      <w:snapToGrid w:val="0"/>
    </w:pPr>
    <w:rPr>
      <w:rFonts w:ascii="宋体" w:hAnsi="Times New Roman"/>
      <w:szCs w:val="21"/>
    </w:rPr>
  </w:style>
  <w:style w:type="paragraph" w:customStyle="1" w:styleId="631">
    <w:name w:val="表题63"/>
    <w:basedOn w:val="afd"/>
    <w:qFormat/>
    <w:pPr>
      <w:tabs>
        <w:tab w:val="left" w:pos="4305"/>
      </w:tabs>
      <w:adjustRightInd w:val="0"/>
      <w:snapToGrid w:val="0"/>
      <w:spacing w:after="0"/>
      <w:ind w:leftChars="0" w:left="0" w:firstLineChars="200" w:firstLine="480"/>
      <w:jc w:val="center"/>
    </w:pPr>
    <w:rPr>
      <w:rFonts w:ascii="仿宋_GB2312" w:eastAsia="仿宋_GB2312" w:hAnsi="宋体"/>
      <w:sz w:val="24"/>
      <w:szCs w:val="20"/>
    </w:rPr>
  </w:style>
  <w:style w:type="paragraph" w:customStyle="1" w:styleId="CharCharChar1CharCharChar1CharCharChar1CharCharChar">
    <w:name w:val="Char Char Char1 Char Char Char1 Char Char Char1 Char Char Char 字元 字元"/>
    <w:basedOn w:val="a1"/>
    <w:qFormat/>
    <w:pPr>
      <w:spacing w:line="400" w:lineRule="exact"/>
      <w:jc w:val="center"/>
    </w:pPr>
    <w:rPr>
      <w:rFonts w:ascii="仿宋_GB2312" w:eastAsia="仿宋_GB2312" w:hAnsi="Times New Roman"/>
      <w:sz w:val="24"/>
      <w:szCs w:val="24"/>
    </w:rPr>
  </w:style>
  <w:style w:type="paragraph" w:customStyle="1" w:styleId="affffffffffffffffffffffffff2">
    <w:name w:val="正文段落"/>
    <w:basedOn w:val="a1"/>
    <w:qFormat/>
    <w:pPr>
      <w:autoSpaceDE w:val="0"/>
      <w:autoSpaceDN w:val="0"/>
      <w:adjustRightInd w:val="0"/>
      <w:spacing w:line="500" w:lineRule="exact"/>
      <w:ind w:firstLineChars="200" w:firstLine="200"/>
      <w:textAlignment w:val="baseline"/>
    </w:pPr>
    <w:rPr>
      <w:rFonts w:ascii="宋体" w:eastAsia="仿宋_GB2312" w:hAnsi="Tms Rmn"/>
      <w:kern w:val="0"/>
      <w:sz w:val="28"/>
      <w:szCs w:val="20"/>
    </w:rPr>
  </w:style>
  <w:style w:type="paragraph" w:customStyle="1" w:styleId="5ff2">
    <w:name w:val="样式 表内小5 + 黑体 加粗 倾斜 下划线"/>
    <w:basedOn w:val="a1"/>
    <w:link w:val="5Char3"/>
    <w:qFormat/>
    <w:pPr>
      <w:adjustRightInd w:val="0"/>
      <w:snapToGrid w:val="0"/>
      <w:spacing w:line="300" w:lineRule="auto"/>
    </w:pPr>
    <w:rPr>
      <w:rFonts w:ascii="黑体" w:eastAsia="黑体" w:hAnsi="黑体"/>
      <w:b/>
      <w:bCs/>
      <w:i/>
      <w:iCs/>
      <w:sz w:val="18"/>
      <w:szCs w:val="24"/>
      <w:u w:val="single"/>
    </w:rPr>
  </w:style>
  <w:style w:type="paragraph" w:customStyle="1" w:styleId="5ff3">
    <w:name w:val="表内小5"/>
    <w:basedOn w:val="a1"/>
    <w:link w:val="5Char4"/>
    <w:qFormat/>
    <w:pPr>
      <w:adjustRightInd w:val="0"/>
      <w:snapToGrid w:val="0"/>
      <w:spacing w:line="300" w:lineRule="auto"/>
    </w:pPr>
    <w:rPr>
      <w:rFonts w:ascii="宋体" w:hAnsi="宋体"/>
      <w:sz w:val="18"/>
      <w:szCs w:val="24"/>
    </w:rPr>
  </w:style>
  <w:style w:type="paragraph" w:customStyle="1" w:styleId="540">
    <w:name w:val="表内5中4"/>
    <w:basedOn w:val="a1"/>
    <w:qFormat/>
    <w:pPr>
      <w:adjustRightInd w:val="0"/>
      <w:snapToGrid w:val="0"/>
      <w:jc w:val="center"/>
    </w:pPr>
    <w:rPr>
      <w:rFonts w:ascii="宋体" w:hAnsi="Times New Roman"/>
      <w:bCs/>
      <w:szCs w:val="20"/>
    </w:rPr>
  </w:style>
  <w:style w:type="paragraph" w:customStyle="1" w:styleId="affffffffffffffffffffffffff3">
    <w:name w:val="注解"/>
    <w:qFormat/>
    <w:pPr>
      <w:widowControl w:val="0"/>
      <w:autoSpaceDE w:val="0"/>
      <w:autoSpaceDN w:val="0"/>
      <w:adjustRightInd w:val="0"/>
      <w:jc w:val="center"/>
    </w:pPr>
    <w:rPr>
      <w:rFonts w:ascii="宋体" w:hAnsi="Arial Black"/>
      <w:kern w:val="2"/>
      <w:sz w:val="21"/>
    </w:rPr>
  </w:style>
  <w:style w:type="paragraph" w:customStyle="1" w:styleId="affffffffffffffffffffffffff4">
    <w:name w:val="样式 (西文) 宋体"/>
    <w:basedOn w:val="a1"/>
    <w:qFormat/>
    <w:pPr>
      <w:spacing w:line="500" w:lineRule="exact"/>
      <w:ind w:firstLineChars="200" w:firstLine="560"/>
    </w:pPr>
    <w:rPr>
      <w:rFonts w:ascii="Times New Roman" w:eastAsia="仿宋_GB2312" w:hAnsi="Times New Roman" w:cs="宋体"/>
      <w:sz w:val="28"/>
      <w:szCs w:val="20"/>
    </w:rPr>
  </w:style>
  <w:style w:type="paragraph" w:customStyle="1" w:styleId="affffffffffffffffffffffffff5">
    <w:name w:val="注释"/>
    <w:basedOn w:val="a1"/>
    <w:qFormat/>
    <w:pPr>
      <w:spacing w:before="60" w:line="360" w:lineRule="exact"/>
      <w:ind w:firstLineChars="200" w:firstLine="200"/>
    </w:pPr>
    <w:rPr>
      <w:rFonts w:ascii="Times New Roman" w:hAnsi="Times New Roman"/>
      <w:kern w:val="0"/>
      <w:szCs w:val="21"/>
    </w:rPr>
  </w:style>
  <w:style w:type="paragraph" w:customStyle="1" w:styleId="affffffffffffffffffffffffff6">
    <w:name w:val="紧凑表格"/>
    <w:basedOn w:val="a1"/>
    <w:link w:val="Charffff4"/>
    <w:qFormat/>
    <w:pPr>
      <w:jc w:val="center"/>
    </w:pPr>
    <w:rPr>
      <w:rFonts w:ascii="Times New Roman" w:hAnsi="Times New Roman"/>
      <w:szCs w:val="24"/>
    </w:rPr>
  </w:style>
  <w:style w:type="paragraph" w:customStyle="1" w:styleId="affffffffffffffffffffffffff7">
    <w:name w:val="小五表格"/>
    <w:basedOn w:val="a1"/>
    <w:qFormat/>
    <w:pPr>
      <w:widowControl/>
      <w:adjustRightInd w:val="0"/>
      <w:jc w:val="center"/>
      <w:textAlignment w:val="baseline"/>
    </w:pPr>
    <w:rPr>
      <w:rFonts w:ascii="Times New Roman" w:hAnsi="Times New Roman"/>
      <w:kern w:val="0"/>
      <w:sz w:val="18"/>
      <w:szCs w:val="20"/>
    </w:rPr>
  </w:style>
  <w:style w:type="paragraph" w:customStyle="1" w:styleId="810">
    <w:name w:val="标题 81"/>
    <w:basedOn w:val="a1"/>
    <w:next w:val="a1"/>
    <w:qFormat/>
    <w:pPr>
      <w:keepNext/>
      <w:keepLines/>
      <w:adjustRightInd w:val="0"/>
      <w:spacing w:before="240" w:after="64" w:line="320" w:lineRule="atLeast"/>
      <w:textAlignment w:val="baseline"/>
    </w:pPr>
    <w:rPr>
      <w:rFonts w:ascii="宋体" w:hAnsi="Times New Roman"/>
      <w:kern w:val="0"/>
      <w:szCs w:val="20"/>
    </w:rPr>
  </w:style>
  <w:style w:type="paragraph" w:customStyle="1" w:styleId="ST2046">
    <w:name w:val="ST20_46"/>
    <w:basedOn w:val="a1"/>
    <w:next w:val="a1"/>
    <w:semiHidden/>
    <w:qFormat/>
    <w:pPr>
      <w:tabs>
        <w:tab w:val="left" w:pos="720"/>
      </w:tabs>
      <w:autoSpaceDE w:val="0"/>
      <w:autoSpaceDN w:val="0"/>
      <w:adjustRightInd w:val="0"/>
      <w:spacing w:after="240" w:line="360" w:lineRule="atLeast"/>
      <w:ind w:left="720" w:hanging="360"/>
      <w:jc w:val="left"/>
      <w:textAlignment w:val="baseline"/>
    </w:pPr>
    <w:rPr>
      <w:rFonts w:ascii="宋体" w:hAnsi="Tms Rmn"/>
      <w:kern w:val="0"/>
      <w:sz w:val="28"/>
      <w:szCs w:val="21"/>
    </w:rPr>
  </w:style>
  <w:style w:type="paragraph" w:customStyle="1" w:styleId="ST2047">
    <w:name w:val="ST20_47"/>
    <w:basedOn w:val="a1"/>
    <w:semiHidden/>
    <w:qFormat/>
    <w:pPr>
      <w:autoSpaceDE w:val="0"/>
      <w:autoSpaceDN w:val="0"/>
      <w:adjustRightInd w:val="0"/>
      <w:spacing w:after="160" w:line="360" w:lineRule="atLeast"/>
      <w:ind w:left="360"/>
      <w:jc w:val="left"/>
      <w:textAlignment w:val="baseline"/>
    </w:pPr>
    <w:rPr>
      <w:rFonts w:ascii="宋体" w:hAnsi="Tms Rmn"/>
      <w:kern w:val="0"/>
      <w:sz w:val="28"/>
      <w:szCs w:val="21"/>
    </w:rPr>
  </w:style>
  <w:style w:type="paragraph" w:customStyle="1" w:styleId="31113CharChar3Char3111111-3">
    <w:name w:val="样式 标题 3条1.1.1标题 3 Char Char标题 3 Char标3§1.1.1.. (1.1.1)- ..."/>
    <w:basedOn w:val="3a"/>
    <w:semiHidden/>
    <w:qFormat/>
    <w:pPr>
      <w:adjustRightInd w:val="0"/>
      <w:spacing w:before="120" w:after="120" w:line="500" w:lineRule="exact"/>
      <w:jc w:val="left"/>
      <w:textAlignment w:val="baseline"/>
    </w:pPr>
    <w:rPr>
      <w:rFonts w:ascii="Arial" w:hAnsi="Arial" w:cs="宋体"/>
      <w:b w:val="0"/>
      <w:sz w:val="24"/>
      <w:szCs w:val="24"/>
    </w:rPr>
  </w:style>
  <w:style w:type="paragraph" w:customStyle="1" w:styleId="CharCharChar1CharCharCharChar2">
    <w:name w:val="Char Char Char1 Char Char Char Char2"/>
    <w:basedOn w:val="a1"/>
    <w:qFormat/>
    <w:rPr>
      <w:rFonts w:ascii="Times New Roman" w:hAnsi="Times New Roman"/>
      <w:sz w:val="24"/>
      <w:szCs w:val="24"/>
    </w:rPr>
  </w:style>
  <w:style w:type="paragraph" w:customStyle="1" w:styleId="affffffffffffffffffffffffff8">
    <w:name w:val="大标题"/>
    <w:basedOn w:val="1a"/>
    <w:qFormat/>
    <w:pPr>
      <w:tabs>
        <w:tab w:val="left" w:pos="425"/>
        <w:tab w:val="left" w:pos="8640"/>
      </w:tabs>
      <w:spacing w:afterLines="100" w:line="480" w:lineRule="auto"/>
      <w:ind w:left="425" w:firstLineChars="200" w:firstLine="200"/>
      <w:jc w:val="center"/>
    </w:pPr>
    <w:rPr>
      <w:rFonts w:ascii="Times New Roman" w:hAnsi="Times New Roman"/>
      <w:color w:val="000000"/>
    </w:rPr>
  </w:style>
  <w:style w:type="paragraph" w:customStyle="1" w:styleId="affffffffffffffffffffffffff9">
    <w:name w:val="小表格"/>
    <w:basedOn w:val="a1"/>
    <w:qFormat/>
    <w:pPr>
      <w:autoSpaceDE w:val="0"/>
      <w:autoSpaceDN w:val="0"/>
      <w:adjustRightInd w:val="0"/>
      <w:snapToGrid w:val="0"/>
      <w:spacing w:line="360" w:lineRule="auto"/>
      <w:jc w:val="center"/>
    </w:pPr>
    <w:rPr>
      <w:rFonts w:ascii="仿宋_GB2312" w:hAnsi="Times New Roman"/>
      <w:kern w:val="0"/>
      <w:szCs w:val="20"/>
    </w:rPr>
  </w:style>
  <w:style w:type="paragraph" w:customStyle="1" w:styleId="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w:basedOn w:val="a1"/>
    <w:qFormat/>
    <w:rPr>
      <w:rFonts w:ascii="Times New Roman" w:hAnsi="Times New Roman"/>
      <w:szCs w:val="24"/>
    </w:rPr>
  </w:style>
  <w:style w:type="paragraph" w:customStyle="1" w:styleId="affffffffffffffffffffffffffa">
    <w:name w:val="表格文字小四"/>
    <w:basedOn w:val="a1"/>
    <w:next w:val="a1"/>
    <w:qFormat/>
    <w:pPr>
      <w:jc w:val="center"/>
    </w:pPr>
    <w:rPr>
      <w:rFonts w:ascii="Times" w:hAnsi="Times"/>
      <w:kern w:val="24"/>
      <w:sz w:val="24"/>
      <w:szCs w:val="24"/>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1"/>
    <w:qFormat/>
    <w:rPr>
      <w:rFonts w:ascii="Times New Roman" w:hAnsi="Times New Roman"/>
      <w:szCs w:val="24"/>
    </w:rPr>
  </w:style>
  <w:style w:type="paragraph" w:customStyle="1" w:styleId="1CharCharChar1CharCharCharCharCharCharCharCharCharChar">
    <w:name w:val="正文首行缩进1 Char Char Char1 Char Char Char Char Char Char Char Char Char Char"/>
    <w:basedOn w:val="a1"/>
    <w:next w:val="a1"/>
    <w:qFormat/>
    <w:rPr>
      <w:rFonts w:ascii="Times New Roman" w:hAnsi="Times New Roman"/>
      <w:sz w:val="30"/>
      <w:szCs w:val="24"/>
    </w:rPr>
  </w:style>
  <w:style w:type="paragraph" w:customStyle="1" w:styleId="affffffffffffffffffffffffffb">
    <w:name w:val="陆晶 正文"/>
    <w:basedOn w:val="a1"/>
    <w:link w:val="Charffff5"/>
    <w:qFormat/>
    <w:pPr>
      <w:tabs>
        <w:tab w:val="left" w:pos="5580"/>
      </w:tabs>
      <w:spacing w:line="360" w:lineRule="auto"/>
      <w:ind w:firstLineChars="200" w:firstLine="504"/>
    </w:pPr>
    <w:rPr>
      <w:rFonts w:ascii="Times New Roman" w:hAnsi="Times New Roman"/>
      <w:color w:val="000000"/>
      <w:spacing w:val="6"/>
      <w:kern w:val="0"/>
      <w:sz w:val="24"/>
      <w:szCs w:val="24"/>
      <w:lang w:val="zh-CN"/>
    </w:rPr>
  </w:style>
  <w:style w:type="paragraph" w:customStyle="1" w:styleId="affffffffffffffffffffffffffc">
    <w:name w:val="陆晶 表格式"/>
    <w:basedOn w:val="a1"/>
    <w:qFormat/>
    <w:pPr>
      <w:tabs>
        <w:tab w:val="left" w:pos="637"/>
      </w:tabs>
      <w:jc w:val="center"/>
    </w:pPr>
    <w:rPr>
      <w:rFonts w:ascii="Times New Roman" w:hAnsi="Times New Roman"/>
      <w:color w:val="000000"/>
      <w:szCs w:val="18"/>
    </w:rPr>
  </w:style>
  <w:style w:type="paragraph" w:customStyle="1" w:styleId="affffffffffffffffffffffffffd">
    <w:name w:val="表格内容自定"/>
    <w:basedOn w:val="a1"/>
    <w:qFormat/>
    <w:pPr>
      <w:spacing w:line="280" w:lineRule="exact"/>
      <w:jc w:val="center"/>
    </w:pPr>
    <w:rPr>
      <w:rFonts w:ascii="Times New Roman" w:hAnsi="Times New Roman"/>
      <w:kern w:val="0"/>
      <w:sz w:val="18"/>
      <w:szCs w:val="21"/>
    </w:rPr>
  </w:style>
  <w:style w:type="paragraph" w:customStyle="1" w:styleId="3TimesNewRoman">
    <w:name w:val="样式 标题3 + Times New Roman 黑色"/>
    <w:basedOn w:val="3a"/>
    <w:qFormat/>
    <w:pPr>
      <w:widowControl/>
      <w:spacing w:before="80" w:after="0" w:line="500" w:lineRule="exact"/>
      <w:ind w:left="180"/>
      <w:jc w:val="left"/>
    </w:pPr>
    <w:rPr>
      <w:rFonts w:ascii="Times New Roman" w:eastAsia="黑体" w:hAnsi="Times New Roman"/>
      <w:b w:val="0"/>
      <w:bCs w:val="0"/>
      <w:color w:val="000000"/>
      <w:kern w:val="2"/>
      <w:sz w:val="24"/>
      <w:szCs w:val="20"/>
      <w:lang w:val="zh-CN"/>
    </w:rPr>
  </w:style>
  <w:style w:type="paragraph" w:customStyle="1" w:styleId="GB231211">
    <w:name w:val="样式 样式 (中文) 仿宋_GB2312 居中1 + 小四"/>
    <w:basedOn w:val="a1"/>
    <w:qFormat/>
    <w:pPr>
      <w:ind w:leftChars="-57" w:left="-120" w:rightChars="-51" w:right="-107"/>
      <w:jc w:val="center"/>
    </w:pPr>
    <w:rPr>
      <w:rFonts w:ascii="宋体" w:hAnsi="宋体" w:cs="宋体"/>
      <w:sz w:val="18"/>
      <w:szCs w:val="18"/>
    </w:rPr>
  </w:style>
  <w:style w:type="paragraph" w:customStyle="1" w:styleId="affffffffffffffffffffffffffe">
    <w:name w:val="陆晶  图标"/>
    <w:basedOn w:val="a1"/>
    <w:link w:val="Charffff6"/>
    <w:qFormat/>
    <w:pPr>
      <w:jc w:val="center"/>
    </w:pPr>
    <w:rPr>
      <w:rFonts w:ascii="Times New Roman" w:eastAsia="黑体" w:hAnsi="Times New Roman"/>
      <w:sz w:val="28"/>
      <w:szCs w:val="24"/>
    </w:rPr>
  </w:style>
  <w:style w:type="paragraph" w:customStyle="1" w:styleId="6f">
    <w:name w:val="样式 正文缩进 + 宋体 段后: 6 磅 行距: 单倍行距"/>
    <w:basedOn w:val="a2"/>
    <w:qFormat/>
    <w:pPr>
      <w:adjustRightInd/>
      <w:snapToGrid/>
      <w:spacing w:after="120" w:line="300" w:lineRule="auto"/>
      <w:ind w:firstLine="200"/>
    </w:pPr>
    <w:rPr>
      <w:rFonts w:ascii="宋体" w:eastAsia="宋体" w:hAnsi="宋体" w:cs="宋体"/>
      <w:color w:val="000000"/>
      <w:kern w:val="2"/>
      <w:sz w:val="24"/>
    </w:rPr>
  </w:style>
  <w:style w:type="paragraph" w:customStyle="1" w:styleId="gb1">
    <w:name w:val="gb1"/>
    <w:basedOn w:val="a1"/>
    <w:qFormat/>
    <w:pPr>
      <w:widowControl/>
      <w:tabs>
        <w:tab w:val="left" w:pos="227"/>
      </w:tabs>
      <w:overflowPunct w:val="0"/>
      <w:autoSpaceDE w:val="0"/>
      <w:autoSpaceDN w:val="0"/>
      <w:adjustRightInd w:val="0"/>
      <w:spacing w:before="120" w:after="120"/>
      <w:textAlignment w:val="baseline"/>
    </w:pPr>
    <w:rPr>
      <w:rFonts w:ascii="Arial" w:eastAsia="仿宋体" w:hAnsi="Arial"/>
      <w:kern w:val="0"/>
      <w:szCs w:val="20"/>
    </w:rPr>
  </w:style>
  <w:style w:type="paragraph" w:customStyle="1" w:styleId="1-1chapH1ChapterHeadlinePartH11H12">
    <w:name w:val="样式 标题 1合同标题卷标题可研-标题 1章chapH1Chapter HeadlinePartH11H12..."/>
    <w:basedOn w:val="1a"/>
    <w:qFormat/>
    <w:pPr>
      <w:widowControl/>
      <w:spacing w:beforeLines="50" w:afterLines="50" w:line="240" w:lineRule="auto"/>
      <w:jc w:val="left"/>
    </w:pPr>
    <w:rPr>
      <w:rFonts w:ascii="Times New Roman" w:hAnsi="Times New Roman" w:cs="宋体"/>
      <w:snapToGrid w:val="0"/>
      <w:spacing w:val="20"/>
      <w:kern w:val="28"/>
      <w:sz w:val="28"/>
      <w:szCs w:val="20"/>
    </w:rPr>
  </w:style>
  <w:style w:type="paragraph" w:customStyle="1" w:styleId="31113CharChar3Char3CharCharCharCha">
    <w:name w:val="样式 标题 31.1.1条标题 3 Char Char标题 3 Char标题 3 Char Char Char Cha..."/>
    <w:basedOn w:val="3a"/>
    <w:qFormat/>
    <w:pPr>
      <w:spacing w:before="120" w:after="120" w:line="300" w:lineRule="auto"/>
      <w:jc w:val="left"/>
    </w:pPr>
    <w:rPr>
      <w:rFonts w:ascii="宋体" w:hAnsi="Times New Roman" w:cs="宋体"/>
      <w:color w:val="000000"/>
      <w:kern w:val="2"/>
      <w:sz w:val="28"/>
      <w:szCs w:val="20"/>
    </w:rPr>
  </w:style>
  <w:style w:type="paragraph" w:customStyle="1" w:styleId="afffffffffffffffffffffffffff">
    <w:name w:val="表格备注"/>
    <w:basedOn w:val="7a"/>
    <w:next w:val="afffe"/>
    <w:qFormat/>
    <w:pPr>
      <w:tabs>
        <w:tab w:val="clear" w:pos="3140"/>
        <w:tab w:val="left" w:pos="560"/>
      </w:tabs>
      <w:spacing w:before="0" w:after="0" w:line="336" w:lineRule="auto"/>
      <w:ind w:left="0" w:firstLine="0"/>
      <w:jc w:val="center"/>
    </w:pPr>
    <w:rPr>
      <w:rFonts w:ascii="黑体" w:hAnsi="Times New Roman"/>
      <w:b w:val="0"/>
      <w:bCs w:val="0"/>
      <w:sz w:val="21"/>
      <w:szCs w:val="21"/>
    </w:rPr>
  </w:style>
  <w:style w:type="paragraph" w:customStyle="1" w:styleId="afffffffffffffffffffffffffff0">
    <w:name w:val="表栏文字"/>
    <w:basedOn w:val="a1"/>
    <w:qFormat/>
    <w:pPr>
      <w:keepLines/>
      <w:widowControl/>
      <w:autoSpaceDE w:val="0"/>
      <w:autoSpaceDN w:val="0"/>
      <w:spacing w:before="120" w:line="300" w:lineRule="auto"/>
      <w:ind w:firstLine="454"/>
      <w:jc w:val="center"/>
      <w:textAlignment w:val="baseline"/>
    </w:pPr>
    <w:rPr>
      <w:rFonts w:ascii="Century Schoolbook" w:hAnsi="Century Schoolbook"/>
      <w:b/>
      <w:color w:val="000000"/>
      <w:kern w:val="21"/>
      <w:sz w:val="24"/>
      <w:szCs w:val="20"/>
    </w:rPr>
  </w:style>
  <w:style w:type="paragraph" w:customStyle="1" w:styleId="zxl152">
    <w:name w:val="zxl行距: 1.5 倍行距 首行缩进:  2 字符"/>
    <w:basedOn w:val="a1"/>
    <w:next w:val="a1"/>
    <w:qFormat/>
    <w:pPr>
      <w:adjustRightInd w:val="0"/>
      <w:snapToGrid w:val="0"/>
      <w:spacing w:line="300" w:lineRule="auto"/>
      <w:jc w:val="center"/>
    </w:pPr>
    <w:rPr>
      <w:rFonts w:ascii="宋体" w:hAnsi="宋体"/>
      <w:b/>
      <w:sz w:val="24"/>
      <w:szCs w:val="24"/>
    </w:rPr>
  </w:style>
  <w:style w:type="paragraph" w:customStyle="1" w:styleId="afffffffffffffffffffffffffff1">
    <w:name w:val="样式 列表 + 居中"/>
    <w:basedOn w:val="ad"/>
    <w:qFormat/>
    <w:pPr>
      <w:snapToGrid w:val="0"/>
      <w:ind w:left="0" w:firstLine="0"/>
      <w:jc w:val="center"/>
    </w:pPr>
    <w:rPr>
      <w:rFonts w:ascii="Times New Roman" w:eastAsia="宋体"/>
      <w:sz w:val="21"/>
    </w:rPr>
  </w:style>
  <w:style w:type="paragraph" w:customStyle="1" w:styleId="085015015">
    <w:name w:val="样式 黑色 首行缩进:  0.85 厘米 段前: 0.15 行 段后: 0.15 行"/>
    <w:basedOn w:val="a1"/>
    <w:qFormat/>
    <w:pPr>
      <w:spacing w:line="360" w:lineRule="auto"/>
      <w:ind w:firstLine="482"/>
    </w:pPr>
    <w:rPr>
      <w:rFonts w:ascii="宋体" w:hAnsi="Times New Roman"/>
      <w:color w:val="000000"/>
      <w:sz w:val="24"/>
      <w:szCs w:val="20"/>
    </w:rPr>
  </w:style>
  <w:style w:type="paragraph" w:customStyle="1" w:styleId="1ffffff6">
    <w:name w:val="标1"/>
    <w:basedOn w:val="a1"/>
    <w:qFormat/>
    <w:pPr>
      <w:tabs>
        <w:tab w:val="left" w:pos="839"/>
      </w:tabs>
      <w:adjustRightInd w:val="0"/>
      <w:spacing w:line="288" w:lineRule="auto"/>
      <w:ind w:right="-34"/>
      <w:textAlignment w:val="baseline"/>
    </w:pPr>
    <w:rPr>
      <w:rFonts w:ascii="Times New Roman" w:eastAsia="楷体_GB2312" w:hAnsi="Times New Roman"/>
      <w:kern w:val="0"/>
      <w:sz w:val="32"/>
      <w:szCs w:val="20"/>
    </w:rPr>
  </w:style>
  <w:style w:type="paragraph" w:customStyle="1" w:styleId="A11">
    <w:name w:val="A1"/>
    <w:basedOn w:val="1a"/>
    <w:qFormat/>
    <w:pPr>
      <w:spacing w:before="0" w:after="0" w:line="240" w:lineRule="auto"/>
    </w:pPr>
    <w:rPr>
      <w:rFonts w:ascii="宋体" w:hAnsi="宋体"/>
      <w:sz w:val="24"/>
      <w:szCs w:val="24"/>
    </w:rPr>
  </w:style>
  <w:style w:type="paragraph" w:customStyle="1" w:styleId="afffffffffffffffffffffffffff2">
    <w:name w:val="样式 表格 + 宋体 居中"/>
    <w:basedOn w:val="a1"/>
    <w:qFormat/>
    <w:pPr>
      <w:jc w:val="center"/>
      <w:textAlignment w:val="center"/>
    </w:pPr>
    <w:rPr>
      <w:rFonts w:ascii="Times New Roman" w:hAnsi="Times New Roman"/>
      <w:sz w:val="24"/>
      <w:szCs w:val="24"/>
    </w:rPr>
  </w:style>
  <w:style w:type="paragraph" w:customStyle="1" w:styleId="780">
    <w:name w:val="样式 图表名称 + 段前: 7.8 磅"/>
    <w:basedOn w:val="a1"/>
    <w:qFormat/>
    <w:pPr>
      <w:spacing w:beforeLines="50" w:line="360" w:lineRule="auto"/>
      <w:jc w:val="center"/>
    </w:pPr>
    <w:rPr>
      <w:rFonts w:ascii="Times New Roman" w:hAnsi="Times New Roman" w:cs="宋体"/>
      <w:sz w:val="24"/>
      <w:szCs w:val="20"/>
    </w:rPr>
  </w:style>
  <w:style w:type="paragraph" w:customStyle="1" w:styleId="bh1">
    <w:name w:val="bh1"/>
    <w:basedOn w:val="a1"/>
    <w:qFormat/>
    <w:pPr>
      <w:widowControl/>
      <w:jc w:val="left"/>
    </w:pPr>
    <w:rPr>
      <w:rFonts w:ascii="宋体" w:hAnsi="宋体" w:cs="宋体"/>
      <w:kern w:val="0"/>
      <w:sz w:val="24"/>
      <w:szCs w:val="24"/>
    </w:rPr>
  </w:style>
  <w:style w:type="paragraph" w:customStyle="1" w:styleId="B">
    <w:name w:val="B"/>
    <w:basedOn w:val="a1"/>
    <w:link w:val="BChar"/>
    <w:qFormat/>
    <w:pPr>
      <w:snapToGrid w:val="0"/>
      <w:spacing w:line="360" w:lineRule="auto"/>
      <w:ind w:firstLineChars="200" w:firstLine="487"/>
    </w:pPr>
    <w:rPr>
      <w:rFonts w:ascii="宋体" w:hAnsi="宋体" w:cs="黑体"/>
      <w:bCs/>
      <w:snapToGrid w:val="0"/>
      <w:kern w:val="11"/>
      <w:sz w:val="24"/>
      <w:szCs w:val="24"/>
    </w:rPr>
  </w:style>
  <w:style w:type="paragraph" w:customStyle="1" w:styleId="A31">
    <w:name w:val="A3"/>
    <w:basedOn w:val="3a"/>
    <w:link w:val="A3Char0"/>
    <w:qFormat/>
    <w:pPr>
      <w:spacing w:line="415" w:lineRule="auto"/>
    </w:pPr>
    <w:rPr>
      <w:rFonts w:cs="黑体"/>
      <w:b w:val="0"/>
      <w:kern w:val="2"/>
      <w:sz w:val="28"/>
      <w:szCs w:val="28"/>
    </w:rPr>
  </w:style>
  <w:style w:type="paragraph" w:customStyle="1" w:styleId="afffffffffffffffffffffffffff3">
    <w:name w:val="文档二级标题"/>
    <w:basedOn w:val="a1"/>
    <w:qFormat/>
    <w:rPr>
      <w:rFonts w:ascii="楷体_GB2312" w:eastAsia="楷体_GB2312" w:hAnsi="华文仿宋"/>
      <w:sz w:val="28"/>
      <w:szCs w:val="24"/>
    </w:rPr>
  </w:style>
  <w:style w:type="paragraph" w:customStyle="1" w:styleId="afffffffffffffffffffffffffff4">
    <w:name w:val="电镀表"/>
    <w:basedOn w:val="a1"/>
    <w:qFormat/>
    <w:pPr>
      <w:autoSpaceDE w:val="0"/>
      <w:autoSpaceDN w:val="0"/>
      <w:adjustRightInd w:val="0"/>
      <w:snapToGrid w:val="0"/>
      <w:textAlignment w:val="center"/>
    </w:pPr>
    <w:rPr>
      <w:rFonts w:ascii="Times New Roman" w:hAnsi="Times New Roman"/>
      <w:kern w:val="0"/>
      <w:szCs w:val="21"/>
    </w:rPr>
  </w:style>
  <w:style w:type="paragraph" w:customStyle="1" w:styleId="08515">
    <w:name w:val="样式 宋体 小四 两端对齐 首行缩进:  0.85 厘米 行距: 1.5 倍行距"/>
    <w:basedOn w:val="a1"/>
    <w:qFormat/>
    <w:pPr>
      <w:widowControl/>
      <w:spacing w:line="360" w:lineRule="auto"/>
      <w:ind w:firstLine="482"/>
    </w:pPr>
    <w:rPr>
      <w:rFonts w:ascii="Times New Roman" w:hAnsi="Times New Roman"/>
      <w:kern w:val="0"/>
      <w:sz w:val="24"/>
      <w:szCs w:val="20"/>
    </w:rPr>
  </w:style>
  <w:style w:type="paragraph" w:customStyle="1" w:styleId="PlainTe">
    <w:name w:val="Plain Te"/>
    <w:basedOn w:val="a1"/>
    <w:qFormat/>
    <w:pPr>
      <w:widowControl/>
      <w:jc w:val="left"/>
    </w:pPr>
    <w:rPr>
      <w:rFonts w:ascii="宋体" w:hAnsi="Courier New"/>
      <w:kern w:val="0"/>
      <w:szCs w:val="21"/>
    </w:rPr>
  </w:style>
  <w:style w:type="paragraph" w:customStyle="1" w:styleId="0150152">
    <w:name w:val="样式 段前: 0.15 行 段后: 0.15 行 首行缩进:  2 字符"/>
    <w:basedOn w:val="a1"/>
    <w:qFormat/>
    <w:pPr>
      <w:spacing w:line="360" w:lineRule="auto"/>
      <w:ind w:firstLineChars="200" w:firstLine="200"/>
    </w:pPr>
    <w:rPr>
      <w:rFonts w:ascii="宋体" w:hAnsi="Times New Roman"/>
      <w:sz w:val="24"/>
      <w:szCs w:val="20"/>
    </w:rPr>
  </w:style>
  <w:style w:type="paragraph" w:customStyle="1" w:styleId="CharChar1CharCharCharChar">
    <w:name w:val="Char Char1 Char Char Char Char"/>
    <w:basedOn w:val="a1"/>
    <w:qFormat/>
    <w:rPr>
      <w:rFonts w:ascii="Times New Roman" w:hAnsi="Times New Roman"/>
      <w:szCs w:val="24"/>
    </w:rPr>
  </w:style>
  <w:style w:type="paragraph" w:customStyle="1" w:styleId="afffffffffffffffffffffffffff5">
    <w:name w:val="標準（日本語）"/>
    <w:basedOn w:val="a1"/>
    <w:qFormat/>
    <w:pPr>
      <w:overflowPunct w:val="0"/>
      <w:adjustRightInd w:val="0"/>
      <w:spacing w:afterLines="50"/>
    </w:pPr>
    <w:rPr>
      <w:rFonts w:ascii="Times New Roman" w:eastAsia="MS Mincho" w:hAnsi="Times New Roman"/>
      <w:snapToGrid w:val="0"/>
      <w:kern w:val="0"/>
      <w:sz w:val="24"/>
      <w:szCs w:val="24"/>
      <w:lang w:eastAsia="ja-JP"/>
    </w:rPr>
  </w:style>
  <w:style w:type="paragraph" w:customStyle="1" w:styleId="afffffffffffffffffffffffffff6">
    <w:name w:val="敏感表"/>
    <w:basedOn w:val="a1"/>
    <w:next w:val="a1"/>
    <w:qFormat/>
    <w:pPr>
      <w:topLinePunct/>
      <w:adjustRightInd w:val="0"/>
      <w:spacing w:line="240" w:lineRule="atLeast"/>
      <w:jc w:val="center"/>
      <w:textAlignment w:val="bottom"/>
    </w:pPr>
    <w:rPr>
      <w:rFonts w:ascii="Times New Roman" w:hAnsi="Times New Roman"/>
      <w:kern w:val="0"/>
      <w:szCs w:val="20"/>
    </w:rPr>
  </w:style>
  <w:style w:type="paragraph" w:customStyle="1" w:styleId="p16">
    <w:name w:val="p16"/>
    <w:basedOn w:val="a1"/>
    <w:qFormat/>
    <w:pPr>
      <w:widowControl/>
      <w:jc w:val="left"/>
    </w:pPr>
    <w:rPr>
      <w:rFonts w:ascii="Times New Roman" w:hAnsi="Times New Roman"/>
      <w:kern w:val="0"/>
      <w:sz w:val="18"/>
      <w:szCs w:val="18"/>
    </w:rPr>
  </w:style>
  <w:style w:type="paragraph" w:customStyle="1" w:styleId="CharCharCharCharCharCharCharCharCharCharCharChar12">
    <w:name w:val="Char Char Char Char Char Char Char Char Char Char Char Char12"/>
    <w:basedOn w:val="a1"/>
    <w:next w:val="a1"/>
    <w:qFormat/>
    <w:pPr>
      <w:spacing w:line="360" w:lineRule="auto"/>
      <w:ind w:firstLineChars="200" w:firstLine="200"/>
    </w:pPr>
    <w:rPr>
      <w:rFonts w:ascii="宋体" w:hAnsi="宋体" w:cs="宋体"/>
      <w:sz w:val="24"/>
      <w:szCs w:val="24"/>
    </w:rPr>
  </w:style>
  <w:style w:type="paragraph" w:customStyle="1" w:styleId="219">
    <w:name w:val="样式 我的式样 + 首行缩进:  2 字符1"/>
    <w:basedOn w:val="a1"/>
    <w:qFormat/>
    <w:pPr>
      <w:spacing w:line="360" w:lineRule="auto"/>
      <w:ind w:firstLineChars="200" w:firstLine="200"/>
    </w:pPr>
    <w:rPr>
      <w:rFonts w:ascii="Times New Roman" w:eastAsia="仿宋_GB2312" w:hAnsi="Times New Roman" w:cs="宋体"/>
      <w:kern w:val="0"/>
      <w:sz w:val="28"/>
      <w:szCs w:val="20"/>
    </w:rPr>
  </w:style>
  <w:style w:type="paragraph" w:customStyle="1" w:styleId="3fff9">
    <w:name w:val="3号宋体正文"/>
    <w:basedOn w:val="a1"/>
    <w:qFormat/>
    <w:pPr>
      <w:spacing w:line="360" w:lineRule="auto"/>
      <w:ind w:firstLine="624"/>
    </w:pPr>
    <w:rPr>
      <w:rFonts w:ascii="宋体" w:hAnsi="Courier New" w:cs="Courier New"/>
      <w:sz w:val="30"/>
      <w:szCs w:val="21"/>
    </w:rPr>
  </w:style>
  <w:style w:type="paragraph" w:customStyle="1" w:styleId="Style10">
    <w:name w:val="_Style 1"/>
    <w:next w:val="a1"/>
    <w:qFormat/>
    <w:pPr>
      <w:widowControl w:val="0"/>
      <w:jc w:val="both"/>
    </w:pPr>
    <w:rPr>
      <w:rFonts w:ascii="Calibri" w:hAnsi="Calibri" w:hint="eastAsia"/>
      <w:kern w:val="2"/>
      <w:sz w:val="21"/>
    </w:rPr>
  </w:style>
  <w:style w:type="paragraph" w:customStyle="1" w:styleId="p17">
    <w:name w:val="p17"/>
    <w:basedOn w:val="a1"/>
    <w:qFormat/>
    <w:pPr>
      <w:widowControl/>
    </w:pPr>
    <w:rPr>
      <w:rFonts w:ascii="Times New Roman" w:hAnsi="Times New Roman"/>
      <w:kern w:val="0"/>
      <w:szCs w:val="21"/>
    </w:rPr>
  </w:style>
  <w:style w:type="paragraph" w:customStyle="1" w:styleId="p18">
    <w:name w:val="p18"/>
    <w:basedOn w:val="a1"/>
    <w:qFormat/>
    <w:pPr>
      <w:widowControl/>
      <w:pBdr>
        <w:bottom w:val="single" w:sz="6" w:space="1" w:color="000000"/>
      </w:pBdr>
      <w:jc w:val="center"/>
    </w:pPr>
    <w:rPr>
      <w:rFonts w:ascii="Times New Roman" w:hAnsi="Times New Roman"/>
      <w:kern w:val="0"/>
      <w:sz w:val="18"/>
      <w:szCs w:val="18"/>
    </w:rPr>
  </w:style>
  <w:style w:type="paragraph" w:customStyle="1" w:styleId="afffffffffffffffffffffffffff7">
    <w:name w:val="表头标题格式"/>
    <w:basedOn w:val="a1"/>
    <w:qFormat/>
    <w:pPr>
      <w:tabs>
        <w:tab w:val="left" w:pos="360"/>
        <w:tab w:val="left" w:pos="1620"/>
      </w:tabs>
      <w:spacing w:line="360" w:lineRule="auto"/>
      <w:jc w:val="center"/>
    </w:pPr>
    <w:rPr>
      <w:rFonts w:ascii="黑体" w:eastAsia="黑体" w:hAnsi="宋体" w:cs="宋体"/>
      <w:b/>
      <w:bCs/>
      <w:sz w:val="24"/>
      <w:szCs w:val="20"/>
    </w:rPr>
  </w:style>
  <w:style w:type="paragraph" w:customStyle="1" w:styleId="J">
    <w:name w:val="J【表中文字】"/>
    <w:basedOn w:val="a1"/>
    <w:qFormat/>
    <w:pPr>
      <w:jc w:val="center"/>
      <w:textAlignment w:val="center"/>
    </w:pPr>
    <w:rPr>
      <w:rFonts w:ascii="Times New Roman" w:hAnsi="Times New Roman" w:cs="宋体"/>
      <w:szCs w:val="21"/>
    </w:rPr>
  </w:style>
  <w:style w:type="paragraph" w:customStyle="1" w:styleId="afffffffffffffffffffffffffff8">
    <w:name w:val="样式 王效杰正文 + 黑色"/>
    <w:basedOn w:val="a1"/>
    <w:link w:val="Charffff7"/>
    <w:qFormat/>
    <w:pPr>
      <w:snapToGrid w:val="0"/>
      <w:spacing w:line="360" w:lineRule="auto"/>
      <w:ind w:firstLineChars="192" w:firstLine="538"/>
    </w:pPr>
    <w:rPr>
      <w:rFonts w:ascii="宋体" w:hAnsi="宋体"/>
      <w:color w:val="000000"/>
      <w:sz w:val="28"/>
      <w:szCs w:val="28"/>
    </w:rPr>
  </w:style>
  <w:style w:type="paragraph" w:customStyle="1" w:styleId="afffffffffffffffffffffffffff9">
    <w:name w:val="五级"/>
    <w:basedOn w:val="afffffffffa"/>
    <w:link w:val="Charffff8"/>
    <w:qFormat/>
    <w:pPr>
      <w:widowControl/>
      <w:tabs>
        <w:tab w:val="clear" w:pos="1880"/>
      </w:tabs>
      <w:spacing w:before="0" w:after="0" w:line="240" w:lineRule="auto"/>
      <w:outlineLvl w:val="4"/>
    </w:pPr>
    <w:rPr>
      <w:rFonts w:eastAsia="宋体" w:cs="Arial"/>
      <w:sz w:val="32"/>
      <w:szCs w:val="32"/>
    </w:rPr>
  </w:style>
  <w:style w:type="paragraph" w:customStyle="1" w:styleId="afffffffffffffffffffffffffffa">
    <w:name w:val="排版正文"/>
    <w:link w:val="Charffff9"/>
    <w:qFormat/>
    <w:pPr>
      <w:widowControl w:val="0"/>
      <w:spacing w:line="460" w:lineRule="exact"/>
      <w:ind w:firstLineChars="200" w:firstLine="200"/>
      <w:jc w:val="both"/>
    </w:pPr>
    <w:rPr>
      <w:rFonts w:ascii="仿宋_GB2312" w:eastAsia="仿宋_GB2312" w:hAnsi="Calibri" w:cs="黑体"/>
      <w:spacing w:val="8"/>
      <w:kern w:val="2"/>
      <w:sz w:val="28"/>
      <w:szCs w:val="22"/>
    </w:rPr>
  </w:style>
  <w:style w:type="paragraph" w:customStyle="1" w:styleId="tb">
    <w:name w:val="tb正文"/>
    <w:basedOn w:val="a1"/>
    <w:link w:val="tbCharChar"/>
    <w:qFormat/>
    <w:pPr>
      <w:adjustRightInd w:val="0"/>
      <w:spacing w:line="440" w:lineRule="exact"/>
      <w:ind w:firstLineChars="200" w:firstLine="200"/>
      <w:textAlignment w:val="baseline"/>
    </w:pPr>
    <w:rPr>
      <w:rFonts w:ascii="宋体" w:hAnsi="宋体" w:cs="黑体"/>
      <w:sz w:val="24"/>
      <w:szCs w:val="24"/>
    </w:rPr>
  </w:style>
  <w:style w:type="paragraph" w:customStyle="1" w:styleId="UP">
    <w:name w:val="UP正文"/>
    <w:basedOn w:val="a1"/>
    <w:link w:val="UPChar"/>
    <w:qFormat/>
    <w:pPr>
      <w:spacing w:line="360" w:lineRule="auto"/>
      <w:ind w:leftChars="200" w:left="420" w:firstLineChars="200" w:firstLine="420"/>
    </w:pPr>
    <w:rPr>
      <w:rFonts w:ascii="Tahoma" w:cs="宋体"/>
    </w:rPr>
  </w:style>
  <w:style w:type="paragraph" w:customStyle="1" w:styleId="afffffffffffffffffffffffffffb">
    <w:name w:val="王效杰正文"/>
    <w:basedOn w:val="a1"/>
    <w:link w:val="Charffffa"/>
    <w:qFormat/>
    <w:pPr>
      <w:spacing w:line="360" w:lineRule="auto"/>
      <w:ind w:firstLineChars="200" w:firstLine="200"/>
    </w:pPr>
    <w:rPr>
      <w:rFonts w:eastAsia="楷体_GB2312" w:cs="宋体"/>
      <w:sz w:val="28"/>
      <w:szCs w:val="28"/>
    </w:rPr>
  </w:style>
  <w:style w:type="paragraph" w:customStyle="1" w:styleId="GB23122">
    <w:name w:val="样式 楷体_GB2312 小四 居中 行距: 单倍行距"/>
    <w:basedOn w:val="a1"/>
    <w:link w:val="GB2312Char"/>
    <w:qFormat/>
    <w:pPr>
      <w:jc w:val="center"/>
    </w:pPr>
    <w:rPr>
      <w:rFonts w:eastAsia="楷体_GB2312" w:cs="宋体"/>
      <w:sz w:val="24"/>
      <w:szCs w:val="24"/>
    </w:rPr>
  </w:style>
  <w:style w:type="paragraph" w:customStyle="1" w:styleId="WWL">
    <w:name w:val="WWL正文"/>
    <w:basedOn w:val="a1"/>
    <w:link w:val="WWLChar"/>
    <w:qFormat/>
    <w:pPr>
      <w:shd w:val="clear" w:color="auto" w:fill="FFFFFF"/>
      <w:spacing w:line="540" w:lineRule="exact"/>
      <w:ind w:firstLineChars="200" w:firstLine="560"/>
    </w:pPr>
    <w:rPr>
      <w:rFonts w:ascii="宋体" w:hAnsi="宋体" w:cs="黑体"/>
      <w:color w:val="FF0000"/>
      <w:sz w:val="28"/>
      <w:szCs w:val="28"/>
      <w:shd w:val="clear" w:color="auto" w:fill="FFFFFF"/>
      <w:lang w:val="zh-CN"/>
    </w:rPr>
  </w:style>
  <w:style w:type="paragraph" w:customStyle="1" w:styleId="afffffffffffffffffffffffffffc">
    <w:name w:val="杨柳"/>
    <w:basedOn w:val="a1"/>
    <w:link w:val="Charffffb"/>
    <w:qFormat/>
    <w:pPr>
      <w:spacing w:line="540" w:lineRule="exact"/>
      <w:ind w:firstLineChars="200" w:firstLine="560"/>
    </w:pPr>
    <w:rPr>
      <w:rFonts w:cs="宋体"/>
      <w:sz w:val="28"/>
    </w:rPr>
  </w:style>
  <w:style w:type="paragraph" w:customStyle="1" w:styleId="4ffe">
    <w:name w:val="内容4"/>
    <w:basedOn w:val="a1"/>
    <w:link w:val="4Char1"/>
    <w:qFormat/>
    <w:pPr>
      <w:spacing w:line="480" w:lineRule="exact"/>
      <w:ind w:firstLineChars="200" w:firstLine="200"/>
    </w:pPr>
    <w:rPr>
      <w:rFonts w:cs="黑体"/>
      <w:sz w:val="24"/>
      <w:szCs w:val="28"/>
    </w:rPr>
  </w:style>
  <w:style w:type="paragraph" w:customStyle="1" w:styleId="afffffffffffffffffffffffffffd">
    <w:name w:val="真正的正文"/>
    <w:basedOn w:val="a1"/>
    <w:link w:val="Charffffc"/>
    <w:qFormat/>
    <w:pPr>
      <w:spacing w:line="360" w:lineRule="auto"/>
      <w:ind w:firstLineChars="200" w:firstLine="560"/>
    </w:pPr>
    <w:rPr>
      <w:rFonts w:eastAsia="仿宋_GB2312" w:cs="宋体"/>
      <w:sz w:val="28"/>
    </w:rPr>
  </w:style>
  <w:style w:type="paragraph" w:customStyle="1" w:styleId="2110505TimesNeCharCharCharCharCharCharCharCharCharCharCharCharCharCharCharCharCharCharCharCharCharCharCharCharCharCharCharCharCharCharCharCharCharCharChar">
    <w:name w:val="样式 样式 样式 标题 2 + 段前: 1 行 段后: 1 行 + 段前: 0.5 行 段后: 0.5 行 + Times Ne... Char Char Char Char Char Char Char Char Char Char Char Char Char Char Char Char Char Char Char Char Char Char Char Char Char Char Char Char Char Char Char Char Char Char Char"/>
    <w:basedOn w:val="a1"/>
    <w:link w:val="2110505TimesNeCharCharCharCharCharCharCharCharCharCharCharCharCharCharCharCharCharCharCharCharCharCharCharCharCharCharCharCharCharCharCharCharCharCharCharChar"/>
    <w:qFormat/>
    <w:pPr>
      <w:keepNext/>
      <w:keepLines/>
      <w:spacing w:before="50" w:after="50" w:line="480" w:lineRule="exact"/>
      <w:outlineLvl w:val="1"/>
    </w:pPr>
    <w:rPr>
      <w:rFonts w:ascii="Arial" w:hAnsi="Arial" w:cs="黑体"/>
      <w:b/>
      <w:sz w:val="28"/>
      <w:szCs w:val="32"/>
    </w:rPr>
  </w:style>
  <w:style w:type="paragraph" w:customStyle="1" w:styleId="2fffffd">
    <w:name w:val="样式 样式 正文文本 2 + + 两端对齐"/>
    <w:basedOn w:val="a1"/>
    <w:link w:val="2Char7"/>
    <w:qFormat/>
    <w:pPr>
      <w:adjustRightInd w:val="0"/>
      <w:snapToGrid w:val="0"/>
      <w:spacing w:line="360" w:lineRule="exact"/>
      <w:jc w:val="center"/>
    </w:pPr>
    <w:rPr>
      <w:rFonts w:cs="宋体"/>
      <w:color w:val="000000"/>
      <w:sz w:val="24"/>
    </w:rPr>
  </w:style>
  <w:style w:type="paragraph" w:customStyle="1" w:styleId="24CharChar">
    <w:name w:val="样式 样式 四号 加粗 居中 行距: 固定值 24 磅 + 非加粗 Char Char"/>
    <w:basedOn w:val="a1"/>
    <w:link w:val="24CharCharChar"/>
    <w:qFormat/>
    <w:pPr>
      <w:keepNext/>
      <w:keepLines/>
      <w:widowControl/>
      <w:spacing w:before="120" w:after="120" w:line="480" w:lineRule="exact"/>
      <w:jc w:val="center"/>
      <w:outlineLvl w:val="0"/>
    </w:pPr>
    <w:rPr>
      <w:rFonts w:ascii="宋体" w:hAnsi="宋体" w:cs="宋体"/>
      <w:b/>
      <w:bCs/>
      <w:kern w:val="44"/>
      <w:sz w:val="28"/>
      <w:szCs w:val="28"/>
    </w:rPr>
  </w:style>
  <w:style w:type="paragraph" w:customStyle="1" w:styleId="2fffffe">
    <w:name w:val="样式 标题 2 + 黑体 非加粗 黑色"/>
    <w:basedOn w:val="2a"/>
    <w:link w:val="2Char8"/>
    <w:qFormat/>
    <w:pPr>
      <w:widowControl/>
      <w:spacing w:beforeLines="0" w:afterLines="0"/>
    </w:pPr>
    <w:rPr>
      <w:rFonts w:ascii="黑体" w:hAnsi="黑体" w:cs="宋体"/>
      <w:b w:val="0"/>
      <w:bCs w:val="0"/>
      <w:color w:val="000000"/>
      <w:kern w:val="2"/>
      <w:szCs w:val="28"/>
    </w:rPr>
  </w:style>
  <w:style w:type="paragraph" w:customStyle="1" w:styleId="afffffffffffffffffffffffffffe">
    <w:name w:val="缩进正文"/>
    <w:basedOn w:val="a1"/>
    <w:link w:val="Char19"/>
    <w:qFormat/>
    <w:pPr>
      <w:spacing w:line="360" w:lineRule="auto"/>
      <w:ind w:firstLine="454"/>
      <w:jc w:val="left"/>
    </w:pPr>
    <w:rPr>
      <w:rFonts w:cs="宋体"/>
      <w:sz w:val="24"/>
    </w:rPr>
  </w:style>
  <w:style w:type="paragraph" w:customStyle="1" w:styleId="-7">
    <w:name w:val="表格正文-左齐"/>
    <w:basedOn w:val="a1"/>
    <w:link w:val="-Char0"/>
    <w:qFormat/>
    <w:pPr>
      <w:spacing w:before="100" w:line="360" w:lineRule="auto"/>
    </w:pPr>
    <w:rPr>
      <w:rFonts w:cs="黑体"/>
      <w:sz w:val="24"/>
      <w:szCs w:val="24"/>
    </w:rPr>
  </w:style>
  <w:style w:type="paragraph" w:customStyle="1" w:styleId="affffffffffffffffffffffffffff">
    <w:name w:val="缩进正文上标"/>
    <w:basedOn w:val="afffffffffffffffffffffffffffe"/>
    <w:next w:val="afffffffffffffffffffffffffffe"/>
    <w:link w:val="Charffffd"/>
    <w:qFormat/>
    <w:rPr>
      <w:kern w:val="28"/>
      <w:vertAlign w:val="superscript"/>
    </w:rPr>
  </w:style>
  <w:style w:type="paragraph" w:customStyle="1" w:styleId="-8">
    <w:name w:val="表格正文-左齐下标"/>
    <w:basedOn w:val="-7"/>
    <w:next w:val="-7"/>
    <w:link w:val="-Char1"/>
    <w:qFormat/>
    <w:rPr>
      <w:vertAlign w:val="subscript"/>
    </w:rPr>
  </w:style>
  <w:style w:type="paragraph" w:customStyle="1" w:styleId="1ffffff7">
    <w:name w:val="样式 标题 1 + 非加粗"/>
    <w:basedOn w:val="1a"/>
    <w:link w:val="1Char9"/>
    <w:qFormat/>
    <w:pPr>
      <w:spacing w:beforeLines="50" w:afterLines="50" w:line="360" w:lineRule="exact"/>
      <w:jc w:val="center"/>
    </w:pPr>
    <w:rPr>
      <w:rFonts w:cs="黑体"/>
      <w:bCs w:val="0"/>
      <w:sz w:val="32"/>
    </w:rPr>
  </w:style>
  <w:style w:type="paragraph" w:customStyle="1" w:styleId="8CharCharChar">
    <w:name w:val="8 Char Char Char"/>
    <w:basedOn w:val="a1"/>
    <w:link w:val="8CharCharCharChar"/>
    <w:semiHidden/>
    <w:qFormat/>
    <w:pPr>
      <w:spacing w:line="360" w:lineRule="auto"/>
      <w:ind w:firstLineChars="200" w:firstLine="480"/>
    </w:pPr>
    <w:rPr>
      <w:rFonts w:cs="黑体"/>
      <w:kern w:val="10"/>
      <w:sz w:val="24"/>
      <w:szCs w:val="24"/>
    </w:rPr>
  </w:style>
  <w:style w:type="paragraph" w:customStyle="1" w:styleId="003">
    <w:name w:val="标题003"/>
    <w:basedOn w:val="3a"/>
    <w:link w:val="003Char"/>
    <w:qFormat/>
    <w:pPr>
      <w:adjustRightInd w:val="0"/>
      <w:snapToGrid w:val="0"/>
      <w:spacing w:beforeLines="50" w:afterLines="50" w:line="360" w:lineRule="auto"/>
    </w:pPr>
    <w:rPr>
      <w:rFonts w:cs="黑体"/>
      <w:bCs w:val="0"/>
      <w:kern w:val="2"/>
      <w:sz w:val="28"/>
      <w:szCs w:val="28"/>
    </w:rPr>
  </w:style>
  <w:style w:type="paragraph" w:customStyle="1" w:styleId="GB23123">
    <w:name w:val="样式 样式 楷体_GB2312 小四 居中 行距: 单倍行距 + 宋体"/>
    <w:basedOn w:val="GB23122"/>
    <w:link w:val="GB2312Char0"/>
    <w:qFormat/>
  </w:style>
  <w:style w:type="paragraph" w:customStyle="1" w:styleId="reader-word-layerreader-word-s2-7reader-word-s2-19">
    <w:name w:val="reader-word-layer reader-word-s2-7 reader-word-s2-19"/>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30-3">
    <w:name w:val="reader-word-layer reader-word-s30-3"/>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3-23">
    <w:name w:val="reader-word-layer reader-word-s3-23"/>
    <w:basedOn w:val="a1"/>
    <w:qFormat/>
    <w:pPr>
      <w:widowControl/>
      <w:spacing w:before="100" w:beforeAutospacing="1" w:after="100" w:afterAutospacing="1"/>
      <w:jc w:val="left"/>
    </w:pPr>
    <w:rPr>
      <w:rFonts w:ascii="宋体" w:hAnsi="宋体" w:cs="宋体"/>
      <w:kern w:val="0"/>
      <w:sz w:val="24"/>
      <w:szCs w:val="24"/>
    </w:rPr>
  </w:style>
  <w:style w:type="paragraph" w:customStyle="1" w:styleId="10224">
    <w:name w:val="样式 纯文本 + 三号 首行缩进:  1.02 厘米 行距: 最小值 24 磅"/>
    <w:basedOn w:val="aff1"/>
    <w:next w:val="afb"/>
    <w:qFormat/>
    <w:pPr>
      <w:autoSpaceDE w:val="0"/>
      <w:autoSpaceDN w:val="0"/>
      <w:adjustRightInd w:val="0"/>
      <w:spacing w:line="480" w:lineRule="atLeast"/>
      <w:ind w:firstLineChars="0" w:firstLine="580"/>
      <w:textAlignment w:val="baseline"/>
    </w:pPr>
    <w:rPr>
      <w:rFonts w:hAnsi="Tms Rmn" w:cs="宋体"/>
      <w:sz w:val="32"/>
    </w:rPr>
  </w:style>
  <w:style w:type="paragraph" w:customStyle="1" w:styleId="CharChar1CharChar">
    <w:name w:val="Char Char1 Char Char"/>
    <w:basedOn w:val="a1"/>
    <w:qFormat/>
    <w:rPr>
      <w:rFonts w:ascii="Times New Roman" w:hAnsi="Times New Roman"/>
      <w:szCs w:val="24"/>
    </w:rPr>
  </w:style>
  <w:style w:type="paragraph" w:customStyle="1" w:styleId="reader-word-layerreader-word-s2-0">
    <w:name w:val="reader-word-layer reader-word-s2-0"/>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4-21">
    <w:name w:val="reader-word-layer reader-word-s4-21"/>
    <w:basedOn w:val="a1"/>
    <w:qFormat/>
    <w:pPr>
      <w:widowControl/>
      <w:spacing w:before="100" w:beforeAutospacing="1" w:after="100" w:afterAutospacing="1"/>
      <w:jc w:val="left"/>
    </w:pPr>
    <w:rPr>
      <w:rFonts w:ascii="宋体" w:hAnsi="宋体" w:cs="宋体"/>
      <w:kern w:val="0"/>
      <w:sz w:val="24"/>
      <w:szCs w:val="24"/>
    </w:rPr>
  </w:style>
  <w:style w:type="paragraph" w:customStyle="1" w:styleId="nilo4">
    <w:name w:val="nilo_标题4"/>
    <w:basedOn w:val="a1"/>
    <w:qFormat/>
    <w:pPr>
      <w:tabs>
        <w:tab w:val="left" w:pos="210"/>
      </w:tabs>
      <w:spacing w:line="360" w:lineRule="auto"/>
      <w:outlineLvl w:val="4"/>
    </w:pPr>
    <w:rPr>
      <w:rFonts w:ascii="黑体" w:eastAsia="黑体" w:hAnsi="宋体"/>
      <w:b/>
      <w:szCs w:val="20"/>
    </w:rPr>
  </w:style>
  <w:style w:type="paragraph" w:customStyle="1" w:styleId="Legal3L2">
    <w:name w:val="Legal3_L2"/>
    <w:basedOn w:val="Legal3L1"/>
    <w:next w:val="afb"/>
    <w:qFormat/>
    <w:pPr>
      <w:tabs>
        <w:tab w:val="left" w:pos="1140"/>
      </w:tabs>
      <w:ind w:left="1140" w:hanging="420"/>
      <w:outlineLvl w:val="1"/>
    </w:pPr>
  </w:style>
  <w:style w:type="paragraph" w:customStyle="1" w:styleId="Legal3L1">
    <w:name w:val="Legal3_L1"/>
    <w:basedOn w:val="a1"/>
    <w:next w:val="afb"/>
    <w:qFormat/>
    <w:pPr>
      <w:widowControl/>
      <w:tabs>
        <w:tab w:val="left" w:pos="720"/>
      </w:tabs>
      <w:spacing w:after="240"/>
      <w:jc w:val="left"/>
      <w:outlineLvl w:val="0"/>
    </w:pPr>
    <w:rPr>
      <w:rFonts w:ascii="Times New Roman Bold" w:hAnsi="Times New Roman Bold"/>
      <w:b/>
      <w:kern w:val="0"/>
      <w:sz w:val="24"/>
      <w:szCs w:val="24"/>
      <w:lang w:eastAsia="en-US"/>
    </w:rPr>
  </w:style>
  <w:style w:type="paragraph" w:customStyle="1" w:styleId="GB2312GB2312">
    <w:name w:val="样式 样式 样式 楷体_GB2312 小四 居中 行距: 单倍行距 + 宋体 + 楷体_GB2312"/>
    <w:basedOn w:val="GB23123"/>
    <w:qFormat/>
  </w:style>
  <w:style w:type="paragraph" w:customStyle="1" w:styleId="affffffffffffffffffffffffffff0">
    <w:name w:val="正文（修改）"/>
    <w:basedOn w:val="a1"/>
    <w:qFormat/>
    <w:pPr>
      <w:spacing w:line="360" w:lineRule="auto"/>
      <w:ind w:firstLineChars="200" w:firstLine="200"/>
    </w:pPr>
    <w:rPr>
      <w:rFonts w:ascii="Times New Roman" w:hAnsi="Times New Roman" w:cs="宋体"/>
      <w:kern w:val="0"/>
      <w:sz w:val="24"/>
      <w:szCs w:val="28"/>
    </w:rPr>
  </w:style>
  <w:style w:type="paragraph" w:customStyle="1" w:styleId="0991">
    <w:name w:val="样式 宋体 黑色 首行缩进:  0.99 厘米"/>
    <w:basedOn w:val="a1"/>
    <w:qFormat/>
    <w:rPr>
      <w:rFonts w:ascii="宋体" w:hAnsi="宋体" w:cs="宋体"/>
      <w:color w:val="000000"/>
      <w:szCs w:val="20"/>
    </w:rPr>
  </w:style>
  <w:style w:type="paragraph" w:customStyle="1" w:styleId="reader-word-layerreader-word-s11-5">
    <w:name w:val="reader-word-layer reader-word-s11-5"/>
    <w:basedOn w:val="a1"/>
    <w:qFormat/>
    <w:pPr>
      <w:widowControl/>
      <w:spacing w:before="100" w:beforeAutospacing="1" w:after="100" w:afterAutospacing="1"/>
      <w:jc w:val="left"/>
    </w:pPr>
    <w:rPr>
      <w:rFonts w:ascii="宋体" w:hAnsi="宋体" w:cs="宋体"/>
      <w:kern w:val="0"/>
      <w:sz w:val="24"/>
      <w:szCs w:val="24"/>
    </w:rPr>
  </w:style>
  <w:style w:type="paragraph" w:customStyle="1" w:styleId="Achievement">
    <w:name w:val="Achievement"/>
    <w:basedOn w:val="afb"/>
    <w:qFormat/>
    <w:pPr>
      <w:widowControl/>
      <w:tabs>
        <w:tab w:val="left" w:pos="420"/>
      </w:tabs>
      <w:spacing w:after="60" w:line="220" w:lineRule="atLeast"/>
      <w:ind w:left="420" w:right="-360" w:hanging="420"/>
      <w:jc w:val="left"/>
    </w:pPr>
    <w:rPr>
      <w:szCs w:val="20"/>
    </w:rPr>
  </w:style>
  <w:style w:type="paragraph" w:customStyle="1" w:styleId="Bullet">
    <w:name w:val="Bullet"/>
    <w:basedOn w:val="a1"/>
    <w:qFormat/>
    <w:pPr>
      <w:widowControl/>
      <w:tabs>
        <w:tab w:val="left" w:pos="360"/>
      </w:tabs>
      <w:spacing w:before="120"/>
      <w:ind w:left="360" w:hanging="360"/>
      <w:jc w:val="left"/>
    </w:pPr>
    <w:rPr>
      <w:rFonts w:ascii="Univers" w:hAnsi="Univers"/>
      <w:kern w:val="0"/>
      <w:sz w:val="22"/>
      <w:szCs w:val="20"/>
      <w:lang w:eastAsia="en-US"/>
    </w:rPr>
  </w:style>
  <w:style w:type="paragraph" w:customStyle="1" w:styleId="-154">
    <w:name w:val="样式 宋体 小四 加粗 右侧:  -1.54 厘米"/>
    <w:basedOn w:val="a1"/>
    <w:qFormat/>
    <w:pPr>
      <w:ind w:right="-874"/>
    </w:pPr>
    <w:rPr>
      <w:rFonts w:ascii="宋体" w:hAnsi="宋体"/>
      <w:b/>
      <w:bCs/>
      <w:sz w:val="28"/>
      <w:szCs w:val="20"/>
    </w:rPr>
  </w:style>
  <w:style w:type="paragraph" w:customStyle="1" w:styleId="affffffffffffffffffffffffffff1">
    <w:name w:val="验收报告正文"/>
    <w:basedOn w:val="afb"/>
    <w:qFormat/>
    <w:rPr>
      <w:szCs w:val="21"/>
    </w:rPr>
  </w:style>
  <w:style w:type="paragraph" w:customStyle="1" w:styleId="reader-word-layerreader-word-s19-3">
    <w:name w:val="reader-word-layer reader-word-s19-3"/>
    <w:basedOn w:val="a1"/>
    <w:qFormat/>
    <w:pPr>
      <w:widowControl/>
      <w:spacing w:before="100" w:beforeAutospacing="1" w:after="100" w:afterAutospacing="1"/>
      <w:jc w:val="left"/>
    </w:pPr>
    <w:rPr>
      <w:rFonts w:ascii="宋体" w:hAnsi="宋体" w:cs="宋体"/>
      <w:kern w:val="0"/>
      <w:sz w:val="24"/>
      <w:szCs w:val="24"/>
    </w:rPr>
  </w:style>
  <w:style w:type="paragraph" w:customStyle="1" w:styleId="Tabelle">
    <w:name w:val="Tabelle"/>
    <w:basedOn w:val="a1"/>
    <w:qFormat/>
    <w:pPr>
      <w:widowControl/>
      <w:autoSpaceDE w:val="0"/>
      <w:autoSpaceDN w:val="0"/>
      <w:adjustRightInd w:val="0"/>
      <w:spacing w:before="80" w:after="80" w:line="300" w:lineRule="auto"/>
      <w:jc w:val="center"/>
    </w:pPr>
    <w:rPr>
      <w:rFonts w:ascii="Arial" w:hAnsi="Arial"/>
      <w:kern w:val="0"/>
      <w:sz w:val="20"/>
      <w:szCs w:val="20"/>
    </w:rPr>
  </w:style>
  <w:style w:type="paragraph" w:customStyle="1" w:styleId="ParaCharCharCharCharCharCharCharCharCharCharCharCharChar">
    <w:name w:val="默认段落字体 Para Char Char Char Char Char Char Char Char Char Char Char Char Char"/>
    <w:basedOn w:val="a1"/>
    <w:qFormat/>
    <w:pPr>
      <w:widowControl/>
      <w:jc w:val="left"/>
    </w:pPr>
    <w:rPr>
      <w:rFonts w:ascii="宋体" w:hAnsi="宋体" w:cs="宋体"/>
      <w:kern w:val="0"/>
      <w:sz w:val="24"/>
      <w:szCs w:val="24"/>
    </w:rPr>
  </w:style>
  <w:style w:type="paragraph" w:customStyle="1" w:styleId="reader-word-layerreader-word-s4-19">
    <w:name w:val="reader-word-layer reader-word-s4-19"/>
    <w:basedOn w:val="a1"/>
    <w:qFormat/>
    <w:pPr>
      <w:widowControl/>
      <w:spacing w:before="100" w:beforeAutospacing="1" w:after="100" w:afterAutospacing="1"/>
      <w:jc w:val="left"/>
    </w:pPr>
    <w:rPr>
      <w:rFonts w:ascii="宋体" w:hAnsi="宋体" w:cs="宋体"/>
      <w:kern w:val="0"/>
      <w:sz w:val="24"/>
      <w:szCs w:val="24"/>
    </w:rPr>
  </w:style>
  <w:style w:type="paragraph" w:customStyle="1" w:styleId="Char1CharCharCharCharCharCharCharCharChar1">
    <w:name w:val="Char1 Char Char Char Char Char Char Char Char Char1"/>
    <w:basedOn w:val="a1"/>
    <w:qFormat/>
    <w:rPr>
      <w:rFonts w:ascii="楷体_GB2312" w:eastAsia="楷体_GB2312" w:hAnsi="Times New Roman"/>
      <w:sz w:val="28"/>
      <w:szCs w:val="24"/>
    </w:rPr>
  </w:style>
  <w:style w:type="paragraph" w:customStyle="1" w:styleId="CharCharCharCharCharCharCharChar">
    <w:name w:val="Char Char Char Char Char Char Char Char"/>
    <w:basedOn w:val="a1"/>
    <w:qFormat/>
    <w:rPr>
      <w:rFonts w:ascii="Times New Roman" w:hAnsi="Times New Roman"/>
      <w:szCs w:val="24"/>
    </w:rPr>
  </w:style>
  <w:style w:type="paragraph" w:customStyle="1" w:styleId="2ffffff">
    <w:name w:val="样式 验收报告正文 + 首行缩进:  2 字符"/>
    <w:basedOn w:val="affffffffffffffffffffffffffff1"/>
    <w:qFormat/>
    <w:pPr>
      <w:spacing w:after="0"/>
      <w:ind w:firstLineChars="200" w:firstLine="200"/>
    </w:pPr>
    <w:rPr>
      <w:rFonts w:eastAsia="仿宋_GB2312" w:cs="宋体"/>
      <w:sz w:val="28"/>
      <w:szCs w:val="20"/>
    </w:rPr>
  </w:style>
  <w:style w:type="paragraph" w:customStyle="1" w:styleId="reader-word-layerreader-word-s17-1">
    <w:name w:val="reader-word-layer reader-word-s17-1"/>
    <w:basedOn w:val="a1"/>
    <w:qFormat/>
    <w:pPr>
      <w:widowControl/>
      <w:spacing w:before="100" w:beforeAutospacing="1" w:after="100" w:afterAutospacing="1"/>
      <w:jc w:val="left"/>
    </w:pPr>
    <w:rPr>
      <w:rFonts w:ascii="宋体" w:hAnsi="宋体" w:cs="宋体"/>
      <w:kern w:val="0"/>
      <w:sz w:val="24"/>
      <w:szCs w:val="24"/>
    </w:rPr>
  </w:style>
  <w:style w:type="paragraph" w:customStyle="1" w:styleId="1ffffff8">
    <w:name w:val="验收报告标题1"/>
    <w:basedOn w:val="1a"/>
    <w:qFormat/>
    <w:pPr>
      <w:spacing w:before="0" w:after="10" w:line="240" w:lineRule="auto"/>
    </w:pPr>
    <w:rPr>
      <w:rFonts w:ascii="Times New Roman" w:eastAsia="仿宋_GB2312" w:hAnsi="Times New Roman"/>
      <w:sz w:val="30"/>
    </w:rPr>
  </w:style>
  <w:style w:type="paragraph" w:customStyle="1" w:styleId="CharChar1CharCharCharCharCharCharChar1">
    <w:name w:val="Char Char1 Char Char Char Char Char Char Char1"/>
    <w:basedOn w:val="a1"/>
    <w:qFormat/>
    <w:pPr>
      <w:widowControl/>
      <w:spacing w:after="160" w:line="240" w:lineRule="exact"/>
      <w:jc w:val="left"/>
    </w:pPr>
    <w:rPr>
      <w:rFonts w:ascii="Arial" w:eastAsia="Times New Roman" w:hAnsi="Arial" w:cs="Verdana"/>
      <w:b/>
      <w:kern w:val="0"/>
      <w:sz w:val="24"/>
      <w:szCs w:val="24"/>
      <w:lang w:eastAsia="en-US"/>
    </w:rPr>
  </w:style>
  <w:style w:type="paragraph" w:customStyle="1" w:styleId="1ffffff9">
    <w:name w:val="编号 标题 1"/>
    <w:basedOn w:val="1a"/>
    <w:qFormat/>
    <w:pPr>
      <w:spacing w:before="0" w:after="120" w:line="360" w:lineRule="auto"/>
      <w:ind w:firstLine="141"/>
    </w:pPr>
    <w:rPr>
      <w:rFonts w:ascii="宋体" w:hAnsi="宋体" w:cs="宋体"/>
      <w:kern w:val="2"/>
      <w:sz w:val="24"/>
      <w:szCs w:val="24"/>
    </w:rPr>
  </w:style>
  <w:style w:type="paragraph" w:customStyle="1" w:styleId="5-1">
    <w:name w:val="标题 5-1"/>
    <w:qFormat/>
    <w:pPr>
      <w:tabs>
        <w:tab w:val="left" w:pos="1304"/>
        <w:tab w:val="left" w:pos="2160"/>
      </w:tabs>
      <w:spacing w:before="60" w:after="60"/>
      <w:ind w:left="1304" w:hanging="567"/>
      <w:jc w:val="both"/>
    </w:pPr>
    <w:rPr>
      <w:rFonts w:ascii="Arial" w:hAnsi="Arial"/>
      <w:sz w:val="24"/>
    </w:rPr>
  </w:style>
  <w:style w:type="paragraph" w:customStyle="1" w:styleId="Style11">
    <w:name w:val="Style1"/>
    <w:basedOn w:val="a1"/>
    <w:qFormat/>
    <w:pPr>
      <w:widowControl/>
      <w:tabs>
        <w:tab w:val="left" w:pos="720"/>
        <w:tab w:val="left" w:pos="1440"/>
        <w:tab w:val="left" w:pos="2016"/>
        <w:tab w:val="left" w:pos="2160"/>
        <w:tab w:val="left" w:pos="2592"/>
        <w:tab w:val="left" w:pos="3168"/>
        <w:tab w:val="left" w:pos="10440"/>
      </w:tabs>
      <w:ind w:left="1440" w:hanging="1440"/>
    </w:pPr>
    <w:rPr>
      <w:rFonts w:ascii="Times New Roman" w:hAnsi="Times New Roman"/>
      <w:kern w:val="0"/>
      <w:sz w:val="24"/>
      <w:szCs w:val="20"/>
      <w:lang w:eastAsia="en-US"/>
    </w:rPr>
  </w:style>
  <w:style w:type="paragraph" w:customStyle="1" w:styleId="pa-3">
    <w:name w:val="pa-3"/>
    <w:basedOn w:val="a1"/>
    <w:qFormat/>
    <w:pPr>
      <w:widowControl/>
      <w:spacing w:line="360" w:lineRule="atLeast"/>
      <w:ind w:firstLine="640"/>
    </w:pPr>
    <w:rPr>
      <w:rFonts w:ascii="宋体" w:hAnsi="宋体" w:cs="宋体"/>
      <w:kern w:val="0"/>
      <w:sz w:val="24"/>
      <w:szCs w:val="24"/>
    </w:rPr>
  </w:style>
  <w:style w:type="paragraph" w:customStyle="1" w:styleId="wyh3">
    <w:name w:val="wyh3"/>
    <w:basedOn w:val="a1"/>
    <w:qFormat/>
    <w:pPr>
      <w:widowControl/>
      <w:tabs>
        <w:tab w:val="left" w:pos="0"/>
      </w:tabs>
      <w:adjustRightInd w:val="0"/>
      <w:snapToGrid w:val="0"/>
      <w:spacing w:beforeLines="50" w:line="400" w:lineRule="exact"/>
      <w:jc w:val="left"/>
      <w:textAlignment w:val="baseline"/>
    </w:pPr>
    <w:rPr>
      <w:rFonts w:ascii="宋体" w:hAnsi="宋体" w:cs="宋体"/>
      <w:b/>
      <w:snapToGrid w:val="0"/>
      <w:kern w:val="0"/>
      <w:sz w:val="24"/>
      <w:szCs w:val="24"/>
    </w:rPr>
  </w:style>
  <w:style w:type="paragraph" w:customStyle="1" w:styleId="affffffffffffffffffffffffffff2">
    <w:name w:val="图"/>
    <w:basedOn w:val="a2"/>
    <w:next w:val="a1"/>
    <w:qFormat/>
    <w:pPr>
      <w:adjustRightInd/>
      <w:snapToGrid/>
      <w:spacing w:line="240" w:lineRule="auto"/>
      <w:ind w:firstLineChars="0" w:firstLine="0"/>
      <w:jc w:val="center"/>
    </w:pPr>
    <w:rPr>
      <w:rFonts w:eastAsia="宋体"/>
      <w:b/>
      <w:bCs/>
      <w:color w:val="000000"/>
      <w:kern w:val="2"/>
      <w:sz w:val="21"/>
      <w:szCs w:val="21"/>
    </w:rPr>
  </w:style>
  <w:style w:type="paragraph" w:customStyle="1" w:styleId="reader-word-layerreader-word-s30-12">
    <w:name w:val="reader-word-layer reader-word-s30-12"/>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1-9">
    <w:name w:val="reader-word-layer reader-word-s1-9"/>
    <w:basedOn w:val="a1"/>
    <w:qFormat/>
    <w:pPr>
      <w:widowControl/>
      <w:spacing w:before="100" w:beforeAutospacing="1" w:after="100" w:afterAutospacing="1"/>
      <w:jc w:val="left"/>
    </w:pPr>
    <w:rPr>
      <w:rFonts w:ascii="宋体" w:hAnsi="宋体" w:cs="宋体"/>
      <w:kern w:val="0"/>
      <w:sz w:val="24"/>
      <w:szCs w:val="24"/>
    </w:rPr>
  </w:style>
  <w:style w:type="paragraph" w:customStyle="1" w:styleId="affffffffffffffffffffffffffff3">
    <w:name w:val="样式 宋体 居中"/>
    <w:basedOn w:val="a1"/>
    <w:qFormat/>
    <w:pPr>
      <w:adjustRightInd w:val="0"/>
      <w:snapToGrid w:val="0"/>
      <w:spacing w:line="360" w:lineRule="auto"/>
      <w:jc w:val="center"/>
    </w:pPr>
    <w:rPr>
      <w:rFonts w:ascii="宋体" w:hAnsi="宋体"/>
      <w:szCs w:val="20"/>
    </w:rPr>
  </w:style>
  <w:style w:type="paragraph" w:customStyle="1" w:styleId="affffffffffffffffffffffffffff4">
    <w:name w:val="标准标志"/>
    <w:next w:val="a1"/>
    <w:qFormat/>
    <w:pPr>
      <w:shd w:val="solid" w:color="FFFFFF" w:fill="FFFFFF"/>
      <w:spacing w:line="0" w:lineRule="atLeast"/>
      <w:jc w:val="right"/>
    </w:pPr>
    <w:rPr>
      <w:b/>
      <w:w w:val="130"/>
      <w:sz w:val="96"/>
    </w:rPr>
  </w:style>
  <w:style w:type="paragraph" w:customStyle="1" w:styleId="Char1CharCharCharCharCharCharCharCharChar">
    <w:name w:val="Char1 Char Char Char Char Char Char Char Char Char"/>
    <w:basedOn w:val="a1"/>
    <w:qFormat/>
    <w:rPr>
      <w:rFonts w:ascii="楷体_GB2312" w:eastAsia="楷体_GB2312" w:hAnsi="Times New Roman"/>
      <w:sz w:val="28"/>
      <w:szCs w:val="24"/>
    </w:rPr>
  </w:style>
  <w:style w:type="paragraph" w:customStyle="1" w:styleId="a90">
    <w:name w:val="a9"/>
    <w:basedOn w:val="a1"/>
    <w:qFormat/>
    <w:pPr>
      <w:widowControl/>
      <w:spacing w:before="100" w:beforeAutospacing="1" w:after="100" w:afterAutospacing="1"/>
      <w:jc w:val="left"/>
    </w:pPr>
    <w:rPr>
      <w:rFonts w:ascii="宋体" w:hAnsi="宋体"/>
      <w:kern w:val="0"/>
      <w:sz w:val="24"/>
      <w:szCs w:val="24"/>
    </w:rPr>
  </w:style>
  <w:style w:type="paragraph" w:customStyle="1" w:styleId="-9">
    <w:name w:val="张海龙-正文"/>
    <w:basedOn w:val="a1"/>
    <w:qFormat/>
    <w:pPr>
      <w:spacing w:line="360" w:lineRule="auto"/>
      <w:ind w:firstLineChars="200" w:firstLine="200"/>
    </w:pPr>
    <w:rPr>
      <w:rFonts w:ascii="Times" w:hAnsi="Times"/>
      <w:sz w:val="24"/>
      <w:szCs w:val="28"/>
    </w:rPr>
  </w:style>
  <w:style w:type="paragraph" w:customStyle="1" w:styleId="pa-9">
    <w:name w:val="pa-9"/>
    <w:basedOn w:val="a1"/>
    <w:qFormat/>
    <w:pPr>
      <w:widowControl/>
      <w:spacing w:line="280" w:lineRule="atLeast"/>
    </w:pPr>
    <w:rPr>
      <w:rFonts w:ascii="宋体" w:hAnsi="宋体" w:cs="宋体"/>
      <w:kern w:val="0"/>
      <w:sz w:val="24"/>
      <w:szCs w:val="24"/>
    </w:rPr>
  </w:style>
  <w:style w:type="paragraph" w:customStyle="1" w:styleId="reader-word-layerreader-word-s1-14">
    <w:name w:val="reader-word-layer reader-word-s1-14"/>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2-15">
    <w:name w:val="reader-word-layer reader-word-s2-15"/>
    <w:basedOn w:val="a1"/>
    <w:qFormat/>
    <w:pPr>
      <w:widowControl/>
      <w:spacing w:before="100" w:beforeAutospacing="1" w:after="100" w:afterAutospacing="1"/>
      <w:jc w:val="left"/>
    </w:pPr>
    <w:rPr>
      <w:rFonts w:ascii="宋体" w:hAnsi="宋体" w:cs="宋体"/>
      <w:kern w:val="0"/>
      <w:sz w:val="24"/>
      <w:szCs w:val="24"/>
    </w:rPr>
  </w:style>
  <w:style w:type="paragraph" w:customStyle="1" w:styleId="CharCharCharCharCharCharChar11">
    <w:name w:val="Char Char Char Char Char Char Char11"/>
    <w:basedOn w:val="a1"/>
    <w:qFormat/>
    <w:rPr>
      <w:rFonts w:ascii="Times New Roman" w:hAnsi="Times New Roman"/>
      <w:szCs w:val="24"/>
    </w:rPr>
  </w:style>
  <w:style w:type="paragraph" w:customStyle="1" w:styleId="affffffffffffffffffffffffffff5">
    <w:name w:val="其他标准称谓"/>
    <w:qFormat/>
    <w:pPr>
      <w:spacing w:line="0" w:lineRule="atLeast"/>
      <w:jc w:val="distribute"/>
    </w:pPr>
    <w:rPr>
      <w:rFonts w:ascii="黑体" w:eastAsia="黑体" w:hAnsi="宋体"/>
      <w:sz w:val="52"/>
    </w:rPr>
  </w:style>
  <w:style w:type="paragraph" w:customStyle="1" w:styleId="reader-word-layerreader-word-s1-5">
    <w:name w:val="reader-word-layer reader-word-s1-5"/>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6-11">
    <w:name w:val="reader-word-layer reader-word-s6-11"/>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30-9">
    <w:name w:val="reader-word-layer reader-word-s30-9"/>
    <w:basedOn w:val="a1"/>
    <w:qFormat/>
    <w:pPr>
      <w:widowControl/>
      <w:spacing w:before="100" w:beforeAutospacing="1" w:after="100" w:afterAutospacing="1"/>
      <w:jc w:val="left"/>
    </w:pPr>
    <w:rPr>
      <w:rFonts w:ascii="宋体" w:hAnsi="宋体" w:cs="宋体"/>
      <w:kern w:val="0"/>
      <w:sz w:val="24"/>
      <w:szCs w:val="24"/>
    </w:rPr>
  </w:style>
  <w:style w:type="paragraph" w:customStyle="1" w:styleId="Legal3L7">
    <w:name w:val="Legal3_L7"/>
    <w:basedOn w:val="Legal3L6"/>
    <w:next w:val="afb"/>
    <w:qFormat/>
    <w:pPr>
      <w:tabs>
        <w:tab w:val="left" w:pos="3058"/>
      </w:tabs>
      <w:ind w:left="3058" w:firstLine="720"/>
      <w:outlineLvl w:val="6"/>
    </w:pPr>
  </w:style>
  <w:style w:type="paragraph" w:customStyle="1" w:styleId="Legal3L6">
    <w:name w:val="Legal3_L6"/>
    <w:basedOn w:val="Legal3L5"/>
    <w:next w:val="afb"/>
    <w:qFormat/>
    <w:pPr>
      <w:tabs>
        <w:tab w:val="left" w:pos="3178"/>
        <w:tab w:val="left" w:pos="4320"/>
      </w:tabs>
      <w:ind w:left="3178" w:firstLine="3600"/>
      <w:outlineLvl w:val="5"/>
    </w:pPr>
  </w:style>
  <w:style w:type="paragraph" w:customStyle="1" w:styleId="Legal3L5">
    <w:name w:val="Legal3_L5"/>
    <w:basedOn w:val="Legal3L4"/>
    <w:next w:val="afb"/>
    <w:qFormat/>
    <w:pPr>
      <w:tabs>
        <w:tab w:val="left" w:pos="2518"/>
        <w:tab w:val="left" w:pos="3600"/>
      </w:tabs>
      <w:ind w:left="0" w:firstLine="3024"/>
      <w:outlineLvl w:val="4"/>
    </w:pPr>
    <w:rPr>
      <w:rFonts w:ascii="Times New Roman Bold" w:hAnsi="Times New Roman Bold" w:cs="Times New Roman Bold"/>
      <w:sz w:val="21"/>
    </w:rPr>
  </w:style>
  <w:style w:type="paragraph" w:customStyle="1" w:styleId="Legal3L4">
    <w:name w:val="Legal3_L4"/>
    <w:basedOn w:val="Legal3L3"/>
    <w:next w:val="afb"/>
    <w:qFormat/>
    <w:pPr>
      <w:tabs>
        <w:tab w:val="left" w:pos="1440"/>
        <w:tab w:val="left" w:pos="1798"/>
      </w:tabs>
      <w:ind w:left="1440" w:hanging="720"/>
      <w:jc w:val="both"/>
      <w:outlineLvl w:val="3"/>
    </w:pPr>
  </w:style>
  <w:style w:type="paragraph" w:customStyle="1" w:styleId="Legal3L3">
    <w:name w:val="Legal3_L3"/>
    <w:basedOn w:val="Legal3L2"/>
    <w:next w:val="afb"/>
    <w:qFormat/>
    <w:pPr>
      <w:tabs>
        <w:tab w:val="clear" w:pos="1140"/>
        <w:tab w:val="left" w:pos="1918"/>
      </w:tabs>
      <w:ind w:left="1918" w:hanging="960"/>
      <w:outlineLvl w:val="2"/>
    </w:pPr>
    <w:rPr>
      <w:rFonts w:ascii="Times New Roman" w:hAnsi="Times New Roman"/>
      <w:b w:val="0"/>
    </w:rPr>
  </w:style>
  <w:style w:type="paragraph" w:customStyle="1" w:styleId="reader-word-layerreader-word-s30-4">
    <w:name w:val="reader-word-layer reader-word-s30-4"/>
    <w:basedOn w:val="a1"/>
    <w:qFormat/>
    <w:pPr>
      <w:widowControl/>
      <w:spacing w:before="100" w:beforeAutospacing="1" w:after="100" w:afterAutospacing="1"/>
      <w:jc w:val="left"/>
    </w:pPr>
    <w:rPr>
      <w:rFonts w:ascii="宋体" w:hAnsi="宋体" w:cs="宋体"/>
      <w:kern w:val="0"/>
      <w:sz w:val="24"/>
      <w:szCs w:val="24"/>
    </w:rPr>
  </w:style>
  <w:style w:type="paragraph" w:customStyle="1" w:styleId="FliestextAufz">
    <w:name w:val="Fliestext/Aufz."/>
    <w:basedOn w:val="a1"/>
    <w:qFormat/>
    <w:pPr>
      <w:widowControl/>
      <w:overflowPunct w:val="0"/>
      <w:autoSpaceDE w:val="0"/>
      <w:autoSpaceDN w:val="0"/>
      <w:adjustRightInd w:val="0"/>
      <w:spacing w:after="120"/>
      <w:jc w:val="left"/>
      <w:textAlignment w:val="baseline"/>
    </w:pPr>
    <w:rPr>
      <w:rFonts w:ascii="Arial" w:eastAsia="MS Mincho" w:hAnsi="Arial" w:cs="宋体"/>
      <w:kern w:val="0"/>
      <w:sz w:val="22"/>
      <w:szCs w:val="20"/>
      <w:lang w:eastAsia="ja-JP"/>
    </w:rPr>
  </w:style>
  <w:style w:type="paragraph" w:customStyle="1" w:styleId="33h33rdlevelH3l3CT1113CharTimesNewR">
    <w:name w:val="样式 标题 33h33rd levelH3l3CT条标题1.1.1标题 3 Char + Times New R..."/>
    <w:basedOn w:val="3a"/>
    <w:qFormat/>
    <w:pPr>
      <w:spacing w:beforeLines="50" w:afterLines="50" w:line="480" w:lineRule="exact"/>
    </w:pPr>
    <w:rPr>
      <w:rFonts w:ascii="Times New Roman" w:hAnsi="Times New Roman" w:cs="宋体"/>
      <w:kern w:val="2"/>
      <w:sz w:val="28"/>
      <w:szCs w:val="20"/>
    </w:rPr>
  </w:style>
  <w:style w:type="paragraph" w:customStyle="1" w:styleId="reader-word-layerreader-word-s15-3">
    <w:name w:val="reader-word-layer reader-word-s15-3"/>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3-8">
    <w:name w:val="reader-word-layer reader-word-s3-8"/>
    <w:basedOn w:val="a1"/>
    <w:qFormat/>
    <w:pPr>
      <w:widowControl/>
      <w:spacing w:before="100" w:beforeAutospacing="1" w:after="100" w:afterAutospacing="1"/>
      <w:jc w:val="left"/>
    </w:pPr>
    <w:rPr>
      <w:rFonts w:ascii="宋体" w:hAnsi="宋体" w:cs="宋体"/>
      <w:kern w:val="0"/>
      <w:sz w:val="24"/>
      <w:szCs w:val="24"/>
    </w:rPr>
  </w:style>
  <w:style w:type="paragraph" w:customStyle="1" w:styleId="affffffffffffffffffffffffffff6">
    <w:name w:val="参考文献、索引标题"/>
    <w:basedOn w:val="a1"/>
    <w:next w:val="a1"/>
    <w:qFormat/>
    <w:pPr>
      <w:widowControl/>
      <w:shd w:val="clear" w:color="FFFFFF" w:fill="FFFFFF"/>
      <w:spacing w:before="640" w:after="200"/>
      <w:jc w:val="center"/>
      <w:outlineLvl w:val="0"/>
    </w:pPr>
    <w:rPr>
      <w:rFonts w:ascii="黑体" w:eastAsia="黑体" w:hAnsi="Times New Roman"/>
      <w:b/>
      <w:kern w:val="0"/>
      <w:szCs w:val="20"/>
    </w:rPr>
  </w:style>
  <w:style w:type="paragraph" w:customStyle="1" w:styleId="reader-word-layerreader-word-s2-10">
    <w:name w:val="reader-word-layer reader-word-s2-10"/>
    <w:basedOn w:val="a1"/>
    <w:qFormat/>
    <w:pPr>
      <w:widowControl/>
      <w:spacing w:before="100" w:beforeAutospacing="1" w:after="100" w:afterAutospacing="1"/>
      <w:jc w:val="left"/>
    </w:pPr>
    <w:rPr>
      <w:rFonts w:ascii="宋体" w:hAnsi="宋体" w:cs="宋体"/>
      <w:kern w:val="0"/>
      <w:sz w:val="24"/>
      <w:szCs w:val="24"/>
    </w:rPr>
  </w:style>
  <w:style w:type="paragraph" w:customStyle="1" w:styleId="affffffffffffffffffffffffffff7">
    <w:name w:val="传真标题"/>
    <w:basedOn w:val="a1"/>
    <w:qFormat/>
    <w:pPr>
      <w:widowControl/>
      <w:topLinePunct/>
      <w:jc w:val="center"/>
    </w:pPr>
    <w:rPr>
      <w:rFonts w:ascii="黑体" w:eastAsia="黑体" w:hAnsi="Times New Roman"/>
      <w:kern w:val="0"/>
      <w:sz w:val="24"/>
      <w:szCs w:val="24"/>
    </w:rPr>
  </w:style>
  <w:style w:type="paragraph" w:customStyle="1" w:styleId="reader-word-layerreader-word-s17-2reader-word-s17-9">
    <w:name w:val="reader-word-layer reader-word-s17-2 reader-word-s17-9"/>
    <w:basedOn w:val="a1"/>
    <w:qFormat/>
    <w:pPr>
      <w:widowControl/>
      <w:spacing w:before="100" w:beforeAutospacing="1" w:after="100" w:afterAutospacing="1"/>
      <w:jc w:val="left"/>
    </w:pPr>
    <w:rPr>
      <w:rFonts w:ascii="宋体" w:hAnsi="宋体" w:cs="宋体"/>
      <w:kern w:val="0"/>
      <w:sz w:val="24"/>
      <w:szCs w:val="24"/>
    </w:rPr>
  </w:style>
  <w:style w:type="paragraph" w:customStyle="1" w:styleId="CharCharCharCharCharCharCharCharCharCharCharCharChar2">
    <w:name w:val="Char Char Char Char Char Char Char Char Char Char Char Char Char2"/>
    <w:basedOn w:val="a1"/>
    <w:qFormat/>
    <w:pPr>
      <w:adjustRightInd w:val="0"/>
      <w:spacing w:line="360" w:lineRule="auto"/>
    </w:pPr>
    <w:rPr>
      <w:rFonts w:ascii="Times New Roman" w:hAnsi="Times New Roman"/>
      <w:szCs w:val="20"/>
    </w:rPr>
  </w:style>
  <w:style w:type="paragraph" w:customStyle="1" w:styleId="reader-word-layerreader-word-s3-6">
    <w:name w:val="reader-word-layer reader-word-s3-6"/>
    <w:basedOn w:val="a1"/>
    <w:qFormat/>
    <w:pPr>
      <w:widowControl/>
      <w:spacing w:before="100" w:beforeAutospacing="1" w:after="100" w:afterAutospacing="1"/>
      <w:jc w:val="left"/>
    </w:pPr>
    <w:rPr>
      <w:rFonts w:ascii="宋体" w:hAnsi="宋体" w:cs="宋体"/>
      <w:kern w:val="0"/>
      <w:sz w:val="24"/>
      <w:szCs w:val="24"/>
    </w:rPr>
  </w:style>
  <w:style w:type="paragraph" w:customStyle="1" w:styleId="-a">
    <w:name w:val="表格-项目"/>
    <w:basedOn w:val="a1"/>
    <w:qFormat/>
    <w:pPr>
      <w:widowControl/>
      <w:autoSpaceDE w:val="0"/>
      <w:autoSpaceDN w:val="0"/>
      <w:adjustRightInd w:val="0"/>
      <w:spacing w:line="0" w:lineRule="atLeast"/>
      <w:ind w:firstLine="57"/>
      <w:jc w:val="left"/>
      <w:textAlignment w:val="bottom"/>
    </w:pPr>
    <w:rPr>
      <w:rFonts w:ascii="Arial" w:hAnsi="Arial"/>
      <w:kern w:val="0"/>
      <w:sz w:val="26"/>
      <w:szCs w:val="20"/>
    </w:rPr>
  </w:style>
  <w:style w:type="paragraph" w:customStyle="1" w:styleId="affffffffffffffffffffffffffff8">
    <w:name w:val="(文字) (文字)"/>
    <w:basedOn w:val="a1"/>
    <w:qFormat/>
    <w:pPr>
      <w:spacing w:line="360" w:lineRule="auto"/>
      <w:ind w:firstLineChars="200" w:firstLine="200"/>
    </w:pPr>
    <w:rPr>
      <w:rFonts w:ascii="Times New Roman" w:hAnsi="Times New Roman"/>
      <w:szCs w:val="20"/>
    </w:rPr>
  </w:style>
  <w:style w:type="paragraph" w:customStyle="1" w:styleId="affffffffffffffffffffffffffff9">
    <w:name w:val="发布日期"/>
    <w:qFormat/>
    <w:rPr>
      <w:rFonts w:eastAsia="黑体"/>
      <w:sz w:val="28"/>
    </w:rPr>
  </w:style>
  <w:style w:type="paragraph" w:customStyle="1" w:styleId="reader-word-layerreader-word-s2-11">
    <w:name w:val="reader-word-layer reader-word-s2-11"/>
    <w:basedOn w:val="a1"/>
    <w:qFormat/>
    <w:pPr>
      <w:widowControl/>
      <w:spacing w:before="100" w:beforeAutospacing="1" w:after="100" w:afterAutospacing="1"/>
      <w:jc w:val="left"/>
    </w:pPr>
    <w:rPr>
      <w:rFonts w:ascii="宋体" w:hAnsi="宋体" w:cs="宋体"/>
      <w:kern w:val="0"/>
      <w:sz w:val="24"/>
      <w:szCs w:val="24"/>
    </w:rPr>
  </w:style>
  <w:style w:type="paragraph" w:customStyle="1" w:styleId="CharCharCharCharCharCharCharCharChar1Char1CharCharCharCharCharChar">
    <w:name w:val="Char Char Char Char Char Char Char Char Char1 Char1 Char Char Char Char Char Char"/>
    <w:basedOn w:val="a1"/>
    <w:qFormat/>
    <w:pPr>
      <w:spacing w:line="360" w:lineRule="auto"/>
      <w:ind w:firstLineChars="200" w:firstLine="200"/>
    </w:pPr>
    <w:rPr>
      <w:rFonts w:ascii="宋体" w:hAnsi="宋体" w:cs="宋体"/>
      <w:sz w:val="24"/>
      <w:szCs w:val="24"/>
    </w:rPr>
  </w:style>
  <w:style w:type="paragraph" w:customStyle="1" w:styleId="Char1CharChar1Char">
    <w:name w:val="Char1 Char Char1 Char"/>
    <w:basedOn w:val="a1"/>
    <w:qFormat/>
    <w:rPr>
      <w:rFonts w:ascii="Times New Roman" w:hAnsi="Times New Roman"/>
      <w:sz w:val="24"/>
      <w:szCs w:val="24"/>
    </w:rPr>
  </w:style>
  <w:style w:type="paragraph" w:customStyle="1" w:styleId="reader-word-layerreader-word-s2-8">
    <w:name w:val="reader-word-layer reader-word-s2-8"/>
    <w:basedOn w:val="a1"/>
    <w:qFormat/>
    <w:pPr>
      <w:widowControl/>
      <w:spacing w:before="100" w:beforeAutospacing="1" w:after="100" w:afterAutospacing="1"/>
      <w:jc w:val="left"/>
    </w:pPr>
    <w:rPr>
      <w:rFonts w:ascii="宋体" w:hAnsi="宋体" w:cs="宋体"/>
      <w:kern w:val="0"/>
      <w:sz w:val="24"/>
      <w:szCs w:val="24"/>
    </w:rPr>
  </w:style>
  <w:style w:type="paragraph" w:customStyle="1" w:styleId="cd6">
    <w:name w:val="cd6"/>
    <w:basedOn w:val="a1"/>
    <w:qFormat/>
    <w:pPr>
      <w:spacing w:before="120"/>
    </w:pPr>
    <w:rPr>
      <w:rFonts w:ascii="Times New Roman" w:hAnsi="Times New Roman"/>
      <w:sz w:val="24"/>
      <w:szCs w:val="20"/>
    </w:rPr>
  </w:style>
  <w:style w:type="paragraph" w:customStyle="1" w:styleId="reader-word-layerreader-word-s15-2">
    <w:name w:val="reader-word-layer reader-word-s15-2"/>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1-10reader-word-s1-13">
    <w:name w:val="reader-word-layer reader-word-s1-10 reader-word-s1-13"/>
    <w:basedOn w:val="a1"/>
    <w:qFormat/>
    <w:pPr>
      <w:widowControl/>
      <w:spacing w:before="100" w:beforeAutospacing="1" w:after="100" w:afterAutospacing="1"/>
      <w:jc w:val="left"/>
    </w:pPr>
    <w:rPr>
      <w:rFonts w:ascii="宋体" w:hAnsi="宋体" w:cs="宋体"/>
      <w:kern w:val="0"/>
      <w:sz w:val="24"/>
      <w:szCs w:val="24"/>
    </w:rPr>
  </w:style>
  <w:style w:type="paragraph" w:customStyle="1" w:styleId="affffffffffffffffffffffffffffa">
    <w:name w:val="样式 小四 居中"/>
    <w:basedOn w:val="a1"/>
    <w:qFormat/>
    <w:pPr>
      <w:jc w:val="center"/>
    </w:pPr>
    <w:rPr>
      <w:rFonts w:ascii="Times New Roman" w:eastAsia="楷体_GB2312" w:hAnsi="Times New Roman" w:cs="宋体"/>
      <w:sz w:val="24"/>
      <w:szCs w:val="20"/>
    </w:rPr>
  </w:style>
  <w:style w:type="paragraph" w:customStyle="1" w:styleId="2006">
    <w:name w:val="2006年协会论文参考文献标题"/>
    <w:basedOn w:val="a1"/>
    <w:qFormat/>
    <w:pPr>
      <w:spacing w:afterLines="50"/>
      <w:jc w:val="center"/>
    </w:pPr>
    <w:rPr>
      <w:rFonts w:ascii="Times New Roman" w:hAnsi="Times New Roman"/>
      <w:b/>
      <w:sz w:val="24"/>
      <w:szCs w:val="24"/>
    </w:rPr>
  </w:style>
  <w:style w:type="paragraph" w:customStyle="1" w:styleId="24Char0">
    <w:name w:val="样式 样式 四号 加粗 居中 行距: 固定值 24 磅 + 非加粗 Char"/>
    <w:basedOn w:val="24Char1"/>
    <w:qFormat/>
    <w:pPr>
      <w:spacing w:beforeLines="0"/>
      <w:jc w:val="both"/>
    </w:pPr>
    <w:rPr>
      <w:szCs w:val="28"/>
    </w:rPr>
  </w:style>
  <w:style w:type="paragraph" w:customStyle="1" w:styleId="24Char1">
    <w:name w:val="样式 四号 加粗 居中 行距: 固定值 24 磅 Char"/>
    <w:basedOn w:val="1a"/>
    <w:qFormat/>
    <w:pPr>
      <w:spacing w:beforeLines="20" w:after="0" w:line="240" w:lineRule="exact"/>
      <w:jc w:val="center"/>
      <w:outlineLvl w:val="9"/>
    </w:pPr>
    <w:rPr>
      <w:rFonts w:ascii="Times New Roman" w:eastAsia="Arial Unicode MS" w:hAnsi="Times New Roman"/>
      <w:kern w:val="2"/>
      <w:sz w:val="24"/>
      <w:szCs w:val="21"/>
    </w:rPr>
  </w:style>
  <w:style w:type="paragraph" w:customStyle="1" w:styleId="reader-word-layerreader-word-s3-12">
    <w:name w:val="reader-word-layer reader-word-s3-12"/>
    <w:basedOn w:val="a1"/>
    <w:qFormat/>
    <w:pPr>
      <w:widowControl/>
      <w:spacing w:before="100" w:beforeAutospacing="1" w:after="100" w:afterAutospacing="1"/>
      <w:jc w:val="left"/>
    </w:pPr>
    <w:rPr>
      <w:rFonts w:ascii="宋体" w:hAnsi="宋体" w:cs="宋体"/>
      <w:kern w:val="0"/>
      <w:sz w:val="24"/>
      <w:szCs w:val="24"/>
    </w:rPr>
  </w:style>
  <w:style w:type="paragraph" w:customStyle="1" w:styleId="Char2CharChar">
    <w:name w:val="Char2 Char Char"/>
    <w:basedOn w:val="a1"/>
    <w:qFormat/>
    <w:pPr>
      <w:spacing w:line="440" w:lineRule="atLeast"/>
    </w:pPr>
    <w:rPr>
      <w:rFonts w:ascii="Times New Roman" w:hAnsi="Times New Roman"/>
      <w:b/>
      <w:sz w:val="30"/>
      <w:szCs w:val="30"/>
    </w:rPr>
  </w:style>
  <w:style w:type="paragraph" w:customStyle="1" w:styleId="Title8">
    <w:name w:val="Title 8"/>
    <w:basedOn w:val="a1"/>
    <w:qFormat/>
    <w:pPr>
      <w:tabs>
        <w:tab w:val="left" w:pos="810"/>
      </w:tabs>
      <w:spacing w:after="120"/>
      <w:ind w:left="810" w:hanging="810"/>
    </w:pPr>
    <w:rPr>
      <w:rFonts w:ascii="Arial" w:hAnsi="Arial"/>
      <w:szCs w:val="20"/>
    </w:rPr>
  </w:style>
  <w:style w:type="paragraph" w:customStyle="1" w:styleId="CharCharCharChar23">
    <w:name w:val="Char Char Char Char23"/>
    <w:basedOn w:val="a1"/>
    <w:qFormat/>
    <w:rPr>
      <w:rFonts w:ascii="Times New Roman" w:hAnsi="Times New Roman"/>
      <w:sz w:val="24"/>
      <w:szCs w:val="24"/>
    </w:rPr>
  </w:style>
  <w:style w:type="paragraph" w:customStyle="1" w:styleId="211212">
    <w:name w:val="样式 标题 2节标题 1.1 + 左侧:  2.12 厘米"/>
    <w:basedOn w:val="2a"/>
    <w:qFormat/>
    <w:pPr>
      <w:tabs>
        <w:tab w:val="left" w:pos="567"/>
      </w:tabs>
      <w:spacing w:beforeLines="0" w:afterLines="0" w:line="480" w:lineRule="exact"/>
      <w:ind w:left="567" w:hanging="567"/>
      <w:jc w:val="both"/>
    </w:pPr>
    <w:rPr>
      <w:rFonts w:ascii="Times New Roman" w:eastAsia="宋体" w:hAnsi="Times New Roman" w:cs="宋体"/>
      <w:sz w:val="24"/>
      <w:szCs w:val="20"/>
    </w:rPr>
  </w:style>
  <w:style w:type="paragraph" w:customStyle="1" w:styleId="2ffffff0">
    <w:name w:val="自定义标题2"/>
    <w:basedOn w:val="1ffffffa"/>
    <w:next w:val="a1"/>
    <w:qFormat/>
    <w:pPr>
      <w:tabs>
        <w:tab w:val="left" w:pos="1400"/>
      </w:tabs>
      <w:spacing w:before="200"/>
      <w:ind w:left="1400" w:hanging="420"/>
    </w:pPr>
    <w:rPr>
      <w:sz w:val="24"/>
    </w:rPr>
  </w:style>
  <w:style w:type="paragraph" w:customStyle="1" w:styleId="1ffffffa">
    <w:name w:val="自定义标题1"/>
    <w:next w:val="a1"/>
    <w:qFormat/>
    <w:pPr>
      <w:widowControl w:val="0"/>
      <w:tabs>
        <w:tab w:val="left" w:pos="1009"/>
      </w:tabs>
      <w:adjustRightInd w:val="0"/>
      <w:spacing w:before="400" w:after="120" w:line="320" w:lineRule="exact"/>
      <w:ind w:left="1009" w:hanging="1009"/>
      <w:jc w:val="both"/>
      <w:textAlignment w:val="baseline"/>
    </w:pPr>
    <w:rPr>
      <w:rFonts w:ascii="Arial" w:hAnsi="Arial"/>
      <w:color w:val="0000FF"/>
      <w:sz w:val="28"/>
    </w:rPr>
  </w:style>
  <w:style w:type="paragraph" w:customStyle="1" w:styleId="CharCharChar2Char">
    <w:name w:val="Char Char Char2 Char"/>
    <w:basedOn w:val="a1"/>
    <w:qFormat/>
    <w:rPr>
      <w:rFonts w:ascii="Times New Roman" w:hAnsi="Times New Roman"/>
      <w:sz w:val="24"/>
      <w:szCs w:val="24"/>
    </w:rPr>
  </w:style>
  <w:style w:type="paragraph" w:customStyle="1" w:styleId="CharCharCharCharCharCharCharCharChar1Char12">
    <w:name w:val="Char Char Char Char Char Char Char Char Char1 Char12"/>
    <w:basedOn w:val="a1"/>
    <w:qFormat/>
    <w:rPr>
      <w:rFonts w:ascii="Times New Roman" w:hAnsi="Times New Roman"/>
      <w:sz w:val="24"/>
      <w:szCs w:val="24"/>
    </w:rPr>
  </w:style>
  <w:style w:type="paragraph" w:customStyle="1" w:styleId="reader-word-layerreader-word-s2-5">
    <w:name w:val="reader-word-layer reader-word-s2-5"/>
    <w:basedOn w:val="a1"/>
    <w:qFormat/>
    <w:pPr>
      <w:widowControl/>
      <w:spacing w:before="100" w:beforeAutospacing="1" w:after="100" w:afterAutospacing="1"/>
      <w:jc w:val="left"/>
    </w:pPr>
    <w:rPr>
      <w:rFonts w:ascii="宋体" w:hAnsi="宋体" w:cs="宋体"/>
      <w:kern w:val="0"/>
      <w:sz w:val="24"/>
      <w:szCs w:val="24"/>
    </w:rPr>
  </w:style>
  <w:style w:type="paragraph" w:customStyle="1" w:styleId="20060">
    <w:name w:val="2006年协会论文参考文献"/>
    <w:basedOn w:val="a1"/>
    <w:qFormat/>
    <w:pPr>
      <w:ind w:left="420" w:hangingChars="200" w:hanging="420"/>
    </w:pPr>
    <w:rPr>
      <w:rFonts w:ascii="Times New Roman" w:hAnsi="Times New Roman"/>
      <w:szCs w:val="21"/>
    </w:rPr>
  </w:style>
  <w:style w:type="paragraph" w:customStyle="1" w:styleId="xx">
    <w:name w:val="x.x"/>
    <w:basedOn w:val="a1"/>
    <w:qFormat/>
    <w:pPr>
      <w:spacing w:line="300" w:lineRule="auto"/>
      <w:ind w:left="567" w:hanging="567"/>
    </w:pPr>
    <w:rPr>
      <w:rFonts w:ascii="Times New Roman" w:hAnsi="Times New Roman"/>
      <w:kern w:val="0"/>
      <w:sz w:val="22"/>
      <w:szCs w:val="20"/>
      <w:lang w:eastAsia="en-US"/>
    </w:rPr>
  </w:style>
  <w:style w:type="paragraph" w:customStyle="1" w:styleId="GB23124">
    <w:name w:val="样式 样式 表格文字 + 楷体_GB2312 五号 + 居中"/>
    <w:basedOn w:val="a1"/>
    <w:qFormat/>
    <w:pPr>
      <w:spacing w:line="280" w:lineRule="exact"/>
      <w:jc w:val="center"/>
    </w:pPr>
    <w:rPr>
      <w:rFonts w:ascii="Times New Roman" w:eastAsia="楷体_GB2312" w:hAnsi="Times New Roman"/>
      <w:szCs w:val="20"/>
    </w:rPr>
  </w:style>
  <w:style w:type="paragraph" w:customStyle="1" w:styleId="1ffffffb">
    <w:name w:val="正缩1"/>
    <w:basedOn w:val="a1"/>
    <w:qFormat/>
    <w:pPr>
      <w:snapToGrid w:val="0"/>
      <w:spacing w:line="500" w:lineRule="exact"/>
      <w:ind w:firstLine="567"/>
    </w:pPr>
    <w:rPr>
      <w:rFonts w:ascii="Times New Roman" w:eastAsia="仿宋_GB2312" w:hAnsi="Times New Roman"/>
      <w:snapToGrid w:val="0"/>
      <w:color w:val="000000"/>
      <w:kern w:val="0"/>
      <w:sz w:val="28"/>
      <w:szCs w:val="20"/>
    </w:rPr>
  </w:style>
  <w:style w:type="paragraph" w:customStyle="1" w:styleId="affffffffffffffffffffffffffffb">
    <w:name w:val="方框"/>
    <w:basedOn w:val="a1"/>
    <w:qFormat/>
    <w:pPr>
      <w:widowControl/>
      <w:spacing w:line="240" w:lineRule="atLeast"/>
    </w:pPr>
    <w:rPr>
      <w:rFonts w:ascii="宋体" w:hAnsi="Times New Roman"/>
      <w:kern w:val="0"/>
      <w:sz w:val="24"/>
      <w:szCs w:val="20"/>
    </w:rPr>
  </w:style>
  <w:style w:type="paragraph" w:customStyle="1" w:styleId="YS3">
    <w:name w:val="YS3"/>
    <w:basedOn w:val="a1"/>
    <w:qFormat/>
    <w:pPr>
      <w:widowControl/>
      <w:spacing w:line="400" w:lineRule="exact"/>
      <w:jc w:val="left"/>
    </w:pPr>
    <w:rPr>
      <w:rFonts w:ascii="宋体" w:hAnsi="宋体" w:cs="宋体"/>
      <w:b/>
      <w:kern w:val="0"/>
      <w:sz w:val="24"/>
      <w:szCs w:val="24"/>
    </w:rPr>
  </w:style>
  <w:style w:type="paragraph" w:customStyle="1" w:styleId="3331321311332312">
    <w:name w:val="样式 标题 3培训3级三级标题培训3级1培训3级2三级标题1培训3级11培训3级3三级标题2培训3级12培训..."/>
    <w:basedOn w:val="3a"/>
    <w:qFormat/>
    <w:pPr>
      <w:widowControl/>
      <w:tabs>
        <w:tab w:val="left" w:pos="0"/>
      </w:tabs>
      <w:spacing w:before="156" w:after="156" w:line="360" w:lineRule="auto"/>
    </w:pPr>
    <w:rPr>
      <w:rFonts w:ascii="宋体" w:hAnsi="宋体" w:cs="宋体"/>
      <w:kern w:val="2"/>
      <w:sz w:val="21"/>
      <w:szCs w:val="20"/>
    </w:rPr>
  </w:style>
  <w:style w:type="paragraph" w:customStyle="1" w:styleId="uuu">
    <w:name w:val="uuu"/>
    <w:basedOn w:val="a1"/>
    <w:next w:val="a1"/>
    <w:qFormat/>
    <w:rPr>
      <w:rFonts w:ascii="Times New Roman" w:hAnsi="Times New Roman"/>
      <w:sz w:val="28"/>
      <w:szCs w:val="28"/>
    </w:rPr>
  </w:style>
  <w:style w:type="paragraph" w:customStyle="1" w:styleId="reader-word-layerreader-word-s1-13">
    <w:name w:val="reader-word-layer reader-word-s1-13"/>
    <w:basedOn w:val="a1"/>
    <w:qFormat/>
    <w:pPr>
      <w:widowControl/>
      <w:spacing w:before="100" w:beforeAutospacing="1" w:after="100" w:afterAutospacing="1"/>
      <w:jc w:val="left"/>
    </w:pPr>
    <w:rPr>
      <w:rFonts w:ascii="宋体" w:hAnsi="宋体" w:cs="宋体"/>
      <w:kern w:val="0"/>
      <w:sz w:val="24"/>
      <w:szCs w:val="24"/>
    </w:rPr>
  </w:style>
  <w:style w:type="paragraph" w:customStyle="1" w:styleId="33313213113323123">
    <w:name w:val="样式 标题 3培训3级三级标题培训3级1培训3级2三级标题1培训3级11培训3级3三级标题2培训3级12培训...3"/>
    <w:basedOn w:val="3a"/>
    <w:qFormat/>
    <w:pPr>
      <w:widowControl/>
      <w:tabs>
        <w:tab w:val="left" w:pos="0"/>
      </w:tabs>
      <w:spacing w:before="156" w:after="156" w:line="480" w:lineRule="auto"/>
      <w:ind w:left="840" w:hangingChars="400" w:hanging="840"/>
    </w:pPr>
    <w:rPr>
      <w:rFonts w:ascii="宋体" w:hAnsi="宋体" w:cs="宋体"/>
      <w:b w:val="0"/>
      <w:bCs w:val="0"/>
      <w:kern w:val="2"/>
      <w:sz w:val="21"/>
      <w:szCs w:val="21"/>
    </w:rPr>
  </w:style>
  <w:style w:type="paragraph" w:customStyle="1" w:styleId="240">
    <w:name w:val="样式 两端对齐 行距: 固定值 24 磅"/>
    <w:basedOn w:val="a1"/>
    <w:qFormat/>
    <w:pPr>
      <w:autoSpaceDE w:val="0"/>
      <w:autoSpaceDN w:val="0"/>
      <w:adjustRightInd w:val="0"/>
      <w:spacing w:line="480" w:lineRule="exact"/>
      <w:ind w:firstLineChars="200" w:firstLine="200"/>
    </w:pPr>
    <w:rPr>
      <w:rFonts w:ascii="Times New Roman" w:hAnsi="Times New Roman" w:cs="宋体"/>
      <w:kern w:val="0"/>
      <w:sz w:val="24"/>
      <w:szCs w:val="20"/>
    </w:rPr>
  </w:style>
  <w:style w:type="paragraph" w:customStyle="1" w:styleId="Legal3L9">
    <w:name w:val="Legal3_L9"/>
    <w:basedOn w:val="Legal3L8"/>
    <w:next w:val="afb"/>
    <w:qFormat/>
    <w:pPr>
      <w:tabs>
        <w:tab w:val="left" w:pos="2880"/>
        <w:tab w:val="left" w:pos="3898"/>
      </w:tabs>
      <w:ind w:left="3898" w:firstLine="2160"/>
      <w:outlineLvl w:val="8"/>
    </w:pPr>
  </w:style>
  <w:style w:type="paragraph" w:customStyle="1" w:styleId="Legal3L8">
    <w:name w:val="Legal3_L8"/>
    <w:basedOn w:val="Legal3L7"/>
    <w:next w:val="afb"/>
    <w:qFormat/>
    <w:pPr>
      <w:tabs>
        <w:tab w:val="clear" w:pos="1440"/>
        <w:tab w:val="clear" w:pos="3058"/>
        <w:tab w:val="left" w:pos="2160"/>
        <w:tab w:val="left" w:pos="3478"/>
      </w:tabs>
      <w:ind w:left="3478" w:firstLine="1584"/>
      <w:outlineLvl w:val="7"/>
    </w:pPr>
  </w:style>
  <w:style w:type="paragraph" w:customStyle="1" w:styleId="reader-word-layerreader-word-s6-10">
    <w:name w:val="reader-word-layer reader-word-s6-10"/>
    <w:basedOn w:val="a1"/>
    <w:qFormat/>
    <w:pPr>
      <w:widowControl/>
      <w:spacing w:before="100" w:beforeAutospacing="1" w:after="100" w:afterAutospacing="1"/>
      <w:jc w:val="left"/>
    </w:pPr>
    <w:rPr>
      <w:rFonts w:ascii="宋体" w:hAnsi="宋体" w:cs="宋体"/>
      <w:kern w:val="0"/>
      <w:sz w:val="24"/>
      <w:szCs w:val="24"/>
    </w:rPr>
  </w:style>
  <w:style w:type="paragraph" w:customStyle="1" w:styleId="BGBT">
    <w:name w:val="BGBT"/>
    <w:basedOn w:val="BG"/>
    <w:qFormat/>
    <w:pPr>
      <w:widowControl w:val="0"/>
      <w:spacing w:beforeLines="50"/>
      <w:jc w:val="center"/>
    </w:pPr>
    <w:rPr>
      <w:rFonts w:ascii="Times New Roman" w:hAnsi="Times New Roman" w:cs="Times New Roman"/>
      <w:b/>
      <w:kern w:val="2"/>
      <w:sz w:val="21"/>
      <w:szCs w:val="24"/>
    </w:rPr>
  </w:style>
  <w:style w:type="paragraph" w:customStyle="1" w:styleId="BG">
    <w:name w:val="BG"/>
    <w:basedOn w:val="a1"/>
    <w:qFormat/>
    <w:pPr>
      <w:widowControl/>
      <w:jc w:val="left"/>
    </w:pPr>
    <w:rPr>
      <w:rFonts w:ascii="宋体" w:hAnsi="宋体" w:cs="宋体"/>
      <w:kern w:val="0"/>
      <w:sz w:val="20"/>
      <w:szCs w:val="20"/>
    </w:rPr>
  </w:style>
  <w:style w:type="paragraph" w:customStyle="1" w:styleId="CharChar2CharCharCharChar">
    <w:name w:val="Char Char2 Char Char Char Char"/>
    <w:basedOn w:val="a1"/>
    <w:qFormat/>
    <w:pPr>
      <w:adjustRightInd w:val="0"/>
      <w:spacing w:line="312" w:lineRule="atLeast"/>
      <w:textAlignment w:val="baseline"/>
    </w:pPr>
    <w:rPr>
      <w:rFonts w:ascii="Times New Roman" w:hAnsi="Times New Roman"/>
      <w:kern w:val="0"/>
      <w:szCs w:val="20"/>
    </w:rPr>
  </w:style>
  <w:style w:type="paragraph" w:customStyle="1" w:styleId="reader-word-layerreader-word-s5-2">
    <w:name w:val="reader-word-layer reader-word-s5-2"/>
    <w:basedOn w:val="a1"/>
    <w:qFormat/>
    <w:pPr>
      <w:widowControl/>
      <w:spacing w:before="100" w:beforeAutospacing="1" w:after="100" w:afterAutospacing="1"/>
      <w:jc w:val="left"/>
    </w:pPr>
    <w:rPr>
      <w:rFonts w:ascii="宋体" w:hAnsi="宋体" w:cs="宋体"/>
      <w:kern w:val="0"/>
      <w:sz w:val="24"/>
      <w:szCs w:val="24"/>
    </w:rPr>
  </w:style>
  <w:style w:type="paragraph" w:customStyle="1" w:styleId="241">
    <w:name w:val="样式 四号 加粗 行距: 固定值 24 磅"/>
    <w:basedOn w:val="2a"/>
    <w:qFormat/>
    <w:pPr>
      <w:spacing w:beforeLines="0" w:afterLines="0" w:line="480" w:lineRule="exact"/>
    </w:pPr>
    <w:rPr>
      <w:rFonts w:ascii="Times New Roman" w:eastAsia="宋体" w:hAnsi="Times New Roman"/>
      <w:bCs w:val="0"/>
      <w:sz w:val="28"/>
      <w:szCs w:val="28"/>
    </w:rPr>
  </w:style>
  <w:style w:type="paragraph" w:customStyle="1" w:styleId="CharCharCharCharCharCharCharChar3">
    <w:name w:val="Char Char Char Char Char Char Char Char3"/>
    <w:basedOn w:val="a1"/>
    <w:qFormat/>
    <w:pPr>
      <w:widowControl/>
      <w:jc w:val="left"/>
    </w:pPr>
    <w:rPr>
      <w:rFonts w:ascii="宋体" w:hAnsi="宋体" w:cs="宋体"/>
      <w:kern w:val="0"/>
      <w:sz w:val="24"/>
      <w:szCs w:val="24"/>
    </w:rPr>
  </w:style>
  <w:style w:type="paragraph" w:customStyle="1" w:styleId="affffffffffffffffffffffffffffc">
    <w:name w:val="标准书脚_奇数页"/>
    <w:qFormat/>
    <w:pPr>
      <w:spacing w:before="120"/>
      <w:jc w:val="right"/>
    </w:pPr>
    <w:rPr>
      <w:sz w:val="18"/>
    </w:rPr>
  </w:style>
  <w:style w:type="paragraph" w:customStyle="1" w:styleId="Body-ind">
    <w:name w:val="Body-ind"/>
    <w:basedOn w:val="Body"/>
    <w:qFormat/>
    <w:pPr>
      <w:ind w:hanging="720"/>
      <w:jc w:val="both"/>
    </w:pPr>
  </w:style>
  <w:style w:type="paragraph" w:customStyle="1" w:styleId="Body">
    <w:name w:val="Body"/>
    <w:basedOn w:val="a1"/>
    <w:qFormat/>
    <w:pPr>
      <w:widowControl/>
      <w:suppressAutoHyphens/>
      <w:spacing w:before="120"/>
      <w:ind w:left="720"/>
      <w:jc w:val="left"/>
    </w:pPr>
    <w:rPr>
      <w:rFonts w:ascii="Arial" w:hAnsi="Arial"/>
      <w:spacing w:val="-1"/>
      <w:kern w:val="0"/>
      <w:sz w:val="20"/>
      <w:szCs w:val="20"/>
      <w:lang w:eastAsia="en-US"/>
    </w:rPr>
  </w:style>
  <w:style w:type="paragraph" w:customStyle="1" w:styleId="reader-word-layerreader-word-s30-7">
    <w:name w:val="reader-word-layer reader-word-s30-7"/>
    <w:basedOn w:val="a1"/>
    <w:qFormat/>
    <w:pPr>
      <w:widowControl/>
      <w:spacing w:before="100" w:beforeAutospacing="1" w:after="100" w:afterAutospacing="1"/>
      <w:jc w:val="left"/>
    </w:pPr>
    <w:rPr>
      <w:rFonts w:ascii="宋体" w:hAnsi="宋体" w:cs="宋体"/>
      <w:kern w:val="0"/>
      <w:sz w:val="24"/>
      <w:szCs w:val="24"/>
    </w:rPr>
  </w:style>
  <w:style w:type="paragraph" w:customStyle="1" w:styleId="affffffffffffffffffffffffffffd">
    <w:name w:val="文字框文字"/>
    <w:qFormat/>
    <w:pPr>
      <w:spacing w:line="300" w:lineRule="exact"/>
      <w:jc w:val="center"/>
    </w:pPr>
    <w:rPr>
      <w:rFonts w:eastAsia="仿宋_GB2312"/>
      <w:bCs/>
      <w:sz w:val="24"/>
    </w:rPr>
  </w:style>
  <w:style w:type="paragraph" w:customStyle="1" w:styleId="reader-word-layerreader-word-s2-21">
    <w:name w:val="reader-word-layer reader-word-s2-21"/>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1-8">
    <w:name w:val="reader-word-layer reader-word-s1-8"/>
    <w:basedOn w:val="a1"/>
    <w:qFormat/>
    <w:pPr>
      <w:widowControl/>
      <w:spacing w:before="100" w:beforeAutospacing="1" w:after="100" w:afterAutospacing="1"/>
      <w:jc w:val="left"/>
    </w:pPr>
    <w:rPr>
      <w:rFonts w:ascii="宋体" w:hAnsi="宋体" w:cs="宋体"/>
      <w:kern w:val="0"/>
      <w:sz w:val="24"/>
      <w:szCs w:val="24"/>
    </w:rPr>
  </w:style>
  <w:style w:type="paragraph" w:customStyle="1" w:styleId="2ffffff1">
    <w:name w:val="验收报告标题2"/>
    <w:basedOn w:val="1ffffff8"/>
    <w:qFormat/>
    <w:pPr>
      <w:spacing w:after="0"/>
    </w:pPr>
    <w:rPr>
      <w:sz w:val="28"/>
    </w:rPr>
  </w:style>
  <w:style w:type="paragraph" w:customStyle="1" w:styleId="CharChar1CharCharCharCharCharChar2">
    <w:name w:val="Char Char1 Char Char Char Char Char Char2"/>
    <w:basedOn w:val="a1"/>
    <w:qFormat/>
    <w:rPr>
      <w:rFonts w:ascii="Times New Roman" w:hAnsi="Times New Roman"/>
      <w:szCs w:val="24"/>
    </w:rPr>
  </w:style>
  <w:style w:type="paragraph" w:customStyle="1" w:styleId="2ffffff2">
    <w:name w:val="表格标题2"/>
    <w:basedOn w:val="a1"/>
    <w:qFormat/>
    <w:pPr>
      <w:keepNext/>
      <w:tabs>
        <w:tab w:val="center" w:pos="6832"/>
        <w:tab w:val="right" w:pos="13665"/>
      </w:tabs>
      <w:adjustRightInd w:val="0"/>
      <w:spacing w:after="60" w:line="312" w:lineRule="auto"/>
      <w:jc w:val="center"/>
      <w:textAlignment w:val="baseline"/>
    </w:pPr>
    <w:rPr>
      <w:rFonts w:ascii="Arial" w:hAnsi="Arial"/>
      <w:kern w:val="0"/>
      <w:sz w:val="28"/>
      <w:szCs w:val="20"/>
    </w:rPr>
  </w:style>
  <w:style w:type="paragraph" w:customStyle="1" w:styleId="reader-word-layerreader-word-s19-10">
    <w:name w:val="reader-word-layer reader-word-s19-10"/>
    <w:basedOn w:val="a1"/>
    <w:qFormat/>
    <w:pPr>
      <w:widowControl/>
      <w:spacing w:before="100" w:beforeAutospacing="1" w:after="100" w:afterAutospacing="1"/>
      <w:jc w:val="left"/>
    </w:pPr>
    <w:rPr>
      <w:rFonts w:ascii="宋体" w:hAnsi="宋体" w:cs="宋体"/>
      <w:kern w:val="0"/>
      <w:sz w:val="24"/>
      <w:szCs w:val="24"/>
    </w:rPr>
  </w:style>
  <w:style w:type="paragraph" w:customStyle="1" w:styleId="211112b2h2l22ndlevelTitre22Header2H2">
    <w:name w:val="样式 标题 2节标题 1.11.1标题2b2h2l22nd levelTitre22Header 2H2标..."/>
    <w:basedOn w:val="2a"/>
    <w:qFormat/>
    <w:pPr>
      <w:tabs>
        <w:tab w:val="left" w:pos="992"/>
      </w:tabs>
      <w:spacing w:beforeLines="0" w:afterLines="0"/>
      <w:ind w:left="992" w:hanging="567"/>
      <w:jc w:val="both"/>
    </w:pPr>
    <w:rPr>
      <w:rFonts w:ascii="宋体" w:eastAsia="宋体" w:hAnsi="宋体" w:cs="宋体"/>
      <w:sz w:val="28"/>
      <w:szCs w:val="20"/>
    </w:rPr>
  </w:style>
  <w:style w:type="paragraph" w:customStyle="1" w:styleId="reader-word-layerreader-word-s1-9reader-word-s1-13">
    <w:name w:val="reader-word-layer reader-word-s1-9 reader-word-s1-13"/>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3-10">
    <w:name w:val="reader-word-layer reader-word-s3-10"/>
    <w:basedOn w:val="a1"/>
    <w:qFormat/>
    <w:pPr>
      <w:widowControl/>
      <w:spacing w:before="100" w:beforeAutospacing="1" w:after="100" w:afterAutospacing="1"/>
      <w:jc w:val="left"/>
    </w:pPr>
    <w:rPr>
      <w:rFonts w:ascii="宋体" w:hAnsi="宋体" w:cs="宋体"/>
      <w:kern w:val="0"/>
      <w:sz w:val="24"/>
      <w:szCs w:val="24"/>
    </w:rPr>
  </w:style>
  <w:style w:type="paragraph" w:customStyle="1" w:styleId="affffffffffffffffffffffffffffe">
    <w:name w:val="标准书眉_奇数页"/>
    <w:next w:val="a1"/>
    <w:qFormat/>
    <w:pPr>
      <w:tabs>
        <w:tab w:val="center" w:pos="4154"/>
        <w:tab w:val="right" w:pos="8306"/>
      </w:tabs>
      <w:spacing w:after="120"/>
      <w:jc w:val="right"/>
    </w:pPr>
    <w:rPr>
      <w:sz w:val="21"/>
    </w:rPr>
  </w:style>
  <w:style w:type="paragraph" w:customStyle="1" w:styleId="reader-word-layerreader-word-s2-14">
    <w:name w:val="reader-word-layer reader-word-s2-14"/>
    <w:basedOn w:val="a1"/>
    <w:qFormat/>
    <w:pPr>
      <w:widowControl/>
      <w:spacing w:before="100" w:beforeAutospacing="1" w:after="100" w:afterAutospacing="1"/>
      <w:jc w:val="left"/>
    </w:pPr>
    <w:rPr>
      <w:rFonts w:ascii="宋体" w:hAnsi="宋体" w:cs="宋体"/>
      <w:kern w:val="0"/>
      <w:sz w:val="24"/>
      <w:szCs w:val="24"/>
    </w:rPr>
  </w:style>
  <w:style w:type="paragraph" w:customStyle="1" w:styleId="Char42">
    <w:name w:val="Char42"/>
    <w:basedOn w:val="a1"/>
    <w:qFormat/>
    <w:rPr>
      <w:rFonts w:ascii="Times New Roman" w:hAnsi="Times New Roman"/>
      <w:sz w:val="24"/>
      <w:szCs w:val="24"/>
    </w:rPr>
  </w:style>
  <w:style w:type="paragraph" w:customStyle="1" w:styleId="CharChar3CharCharCharChar">
    <w:name w:val="Char Char3 Char Char Char Char"/>
    <w:basedOn w:val="a1"/>
    <w:qFormat/>
    <w:pPr>
      <w:widowControl/>
      <w:spacing w:after="160" w:line="240" w:lineRule="exact"/>
      <w:jc w:val="left"/>
    </w:pPr>
    <w:rPr>
      <w:rFonts w:ascii="Verdana" w:hAnsi="Verdana"/>
      <w:kern w:val="0"/>
      <w:sz w:val="20"/>
      <w:szCs w:val="20"/>
      <w:lang w:eastAsia="en-US"/>
    </w:rPr>
  </w:style>
  <w:style w:type="paragraph" w:customStyle="1" w:styleId="910">
    <w:name w:val="91"/>
    <w:basedOn w:val="a1"/>
    <w:qFormat/>
    <w:pPr>
      <w:keepNext/>
      <w:spacing w:beforeLines="30" w:afterLines="30" w:line="360" w:lineRule="auto"/>
    </w:pPr>
    <w:rPr>
      <w:rFonts w:ascii="Times New Roman" w:hAnsi="Times New Roman"/>
      <w:sz w:val="24"/>
      <w:szCs w:val="24"/>
    </w:rPr>
  </w:style>
  <w:style w:type="paragraph" w:customStyle="1" w:styleId="lemon">
    <w:name w:val="lemon中文"/>
    <w:basedOn w:val="a1"/>
    <w:qFormat/>
    <w:pPr>
      <w:snapToGrid w:val="0"/>
      <w:spacing w:before="120" w:after="120" w:line="360" w:lineRule="auto"/>
    </w:pPr>
    <w:rPr>
      <w:rFonts w:ascii="Arial" w:hAnsi="Arial" w:cs="Arial"/>
      <w:sz w:val="24"/>
      <w:szCs w:val="24"/>
    </w:rPr>
  </w:style>
  <w:style w:type="paragraph" w:customStyle="1" w:styleId="20062">
    <w:name w:val="2006年协会论文标题2"/>
    <w:basedOn w:val="a1"/>
    <w:qFormat/>
    <w:pPr>
      <w:spacing w:beforeLines="30" w:afterLines="30"/>
    </w:pPr>
    <w:rPr>
      <w:rFonts w:ascii="Times New Roman" w:eastAsia="华文中宋" w:hAnsi="Times New Roman"/>
      <w:b/>
      <w:szCs w:val="21"/>
    </w:rPr>
  </w:style>
  <w:style w:type="paragraph" w:customStyle="1" w:styleId="reader-word-layerreader-word-s30-16">
    <w:name w:val="reader-word-layer reader-word-s30-16"/>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6-3">
    <w:name w:val="reader-word-layer reader-word-s6-3"/>
    <w:basedOn w:val="a1"/>
    <w:qFormat/>
    <w:pPr>
      <w:widowControl/>
      <w:spacing w:before="100" w:beforeAutospacing="1" w:after="100" w:afterAutospacing="1"/>
      <w:jc w:val="left"/>
    </w:pPr>
    <w:rPr>
      <w:rFonts w:ascii="宋体" w:hAnsi="宋体" w:cs="宋体"/>
      <w:kern w:val="0"/>
      <w:sz w:val="24"/>
      <w:szCs w:val="24"/>
    </w:rPr>
  </w:style>
  <w:style w:type="paragraph" w:customStyle="1" w:styleId="afffffffffffffffffffffffffffff">
    <w:name w:val="附表名称"/>
    <w:basedOn w:val="aff1"/>
    <w:qFormat/>
    <w:pPr>
      <w:adjustRightInd w:val="0"/>
      <w:snapToGrid w:val="0"/>
      <w:ind w:firstLineChars="0" w:firstLine="0"/>
      <w:jc w:val="center"/>
    </w:pPr>
    <w:rPr>
      <w:rFonts w:ascii="Arial Narrow" w:eastAsia="黑体" w:hAnsi="Arial Narrow" w:cs="Courier New"/>
      <w:sz w:val="28"/>
      <w:szCs w:val="21"/>
    </w:rPr>
  </w:style>
  <w:style w:type="paragraph" w:customStyle="1" w:styleId="CharCharCharCharCharCharCharCharChar1Char1CharCharCharCharCharCharCharCharCharCharChar">
    <w:name w:val="Char Char Char Char Char Char Char Char Char1 Char1 Char Char Char Char Char Char Char Char Char Char Char"/>
    <w:basedOn w:val="a1"/>
    <w:qFormat/>
    <w:pPr>
      <w:spacing w:line="360" w:lineRule="auto"/>
      <w:ind w:firstLineChars="200" w:firstLine="200"/>
    </w:pPr>
    <w:rPr>
      <w:rFonts w:ascii="宋体" w:hAnsi="宋体" w:cs="宋体"/>
      <w:sz w:val="24"/>
      <w:szCs w:val="24"/>
    </w:rPr>
  </w:style>
  <w:style w:type="paragraph" w:customStyle="1" w:styleId="afffffffffffffffffffffffffffff0">
    <w:name w:val="样式 表格标题 + 两端对齐"/>
    <w:basedOn w:val="a2"/>
    <w:qFormat/>
    <w:pPr>
      <w:snapToGrid/>
      <w:spacing w:before="120" w:afterLines="50" w:line="400" w:lineRule="exact"/>
      <w:ind w:firstLineChars="0" w:firstLine="0"/>
      <w:jc w:val="both"/>
      <w:textAlignment w:val="baseline"/>
    </w:pPr>
    <w:rPr>
      <w:rFonts w:eastAsia="文鼎CS中宋"/>
      <w:sz w:val="24"/>
    </w:rPr>
  </w:style>
  <w:style w:type="paragraph" w:customStyle="1" w:styleId="CharCharCharCharCharCharCharCharCharCharCharCharCharCharCharCharCharCharCharCharCharCharCharChar2">
    <w:name w:val="Char Char Char Char Char Char Char Char Char Char Char Char Char Char Char Char Char Char Char Char Char Char Char Char2"/>
    <w:basedOn w:val="a1"/>
    <w:qFormat/>
    <w:rPr>
      <w:rFonts w:ascii="Times New Roman" w:hAnsi="Times New Roman"/>
      <w:szCs w:val="24"/>
    </w:rPr>
  </w:style>
  <w:style w:type="paragraph" w:customStyle="1" w:styleId="reader-word-layerreader-word-s19-14">
    <w:name w:val="reader-word-layer reader-word-s19-14"/>
    <w:basedOn w:val="a1"/>
    <w:qFormat/>
    <w:pPr>
      <w:widowControl/>
      <w:spacing w:before="100" w:beforeAutospacing="1" w:after="100" w:afterAutospacing="1"/>
      <w:jc w:val="left"/>
    </w:pPr>
    <w:rPr>
      <w:rFonts w:ascii="宋体" w:hAnsi="宋体" w:cs="宋体"/>
      <w:kern w:val="0"/>
      <w:sz w:val="24"/>
      <w:szCs w:val="24"/>
    </w:rPr>
  </w:style>
  <w:style w:type="paragraph" w:customStyle="1" w:styleId="1ffffffc">
    <w:name w:val="项目符号1"/>
    <w:basedOn w:val="a1"/>
    <w:qFormat/>
    <w:pPr>
      <w:tabs>
        <w:tab w:val="left" w:pos="360"/>
      </w:tabs>
      <w:snapToGrid w:val="0"/>
      <w:spacing w:before="120" w:after="120" w:line="300" w:lineRule="auto"/>
      <w:ind w:left="360" w:hanging="360"/>
    </w:pPr>
    <w:rPr>
      <w:rFonts w:ascii="Arial" w:eastAsia="楷体_GB2312" w:hAnsi="Arial"/>
      <w:b/>
      <w:sz w:val="28"/>
      <w:szCs w:val="20"/>
    </w:rPr>
  </w:style>
  <w:style w:type="paragraph" w:customStyle="1" w:styleId="reader-word-layerreader-word-s3-5">
    <w:name w:val="reader-word-layer reader-word-s3-5"/>
    <w:basedOn w:val="a1"/>
    <w:qFormat/>
    <w:pPr>
      <w:widowControl/>
      <w:spacing w:before="100" w:beforeAutospacing="1" w:after="100" w:afterAutospacing="1"/>
      <w:jc w:val="left"/>
    </w:pPr>
    <w:rPr>
      <w:rFonts w:ascii="宋体" w:hAnsi="宋体" w:cs="宋体"/>
      <w:kern w:val="0"/>
      <w:sz w:val="24"/>
      <w:szCs w:val="24"/>
    </w:rPr>
  </w:style>
  <w:style w:type="paragraph" w:customStyle="1" w:styleId="Textt">
    <w:name w:val="Textt"/>
    <w:basedOn w:val="a1"/>
    <w:qFormat/>
    <w:pPr>
      <w:snapToGrid w:val="0"/>
      <w:spacing w:line="400" w:lineRule="exact"/>
      <w:jc w:val="center"/>
    </w:pPr>
    <w:rPr>
      <w:rFonts w:ascii="Times New Roman" w:hAnsi="Times New Roman"/>
      <w:sz w:val="18"/>
      <w:szCs w:val="18"/>
    </w:rPr>
  </w:style>
  <w:style w:type="paragraph" w:customStyle="1" w:styleId="afffffffffffffffffffffffffffff1">
    <w:name w:val="内容"/>
    <w:basedOn w:val="2f5"/>
    <w:qFormat/>
    <w:pPr>
      <w:spacing w:after="0" w:line="500" w:lineRule="exact"/>
      <w:ind w:leftChars="0" w:left="0" w:firstLine="200"/>
    </w:pPr>
    <w:rPr>
      <w:sz w:val="28"/>
      <w:szCs w:val="28"/>
    </w:rPr>
  </w:style>
  <w:style w:type="paragraph" w:customStyle="1" w:styleId="Char23">
    <w:name w:val="样式 Char + 首行缩进:  2 字符"/>
    <w:basedOn w:val="a1"/>
    <w:qFormat/>
    <w:pPr>
      <w:ind w:firstLineChars="200" w:firstLine="560"/>
    </w:pPr>
    <w:rPr>
      <w:rFonts w:ascii="Times New Roman" w:hAnsi="Times New Roman" w:cs="宋体"/>
      <w:sz w:val="28"/>
      <w:szCs w:val="20"/>
    </w:rPr>
  </w:style>
  <w:style w:type="paragraph" w:customStyle="1" w:styleId="CharCharCharChar22">
    <w:name w:val="Char Char Char Char22"/>
    <w:basedOn w:val="a1"/>
    <w:qFormat/>
    <w:rPr>
      <w:rFonts w:ascii="Times New Roman" w:hAnsi="Times New Roman"/>
      <w:sz w:val="24"/>
      <w:szCs w:val="24"/>
    </w:rPr>
  </w:style>
  <w:style w:type="paragraph" w:customStyle="1" w:styleId="Char2CharCharChar">
    <w:name w:val="Char2 Char Char Char"/>
    <w:basedOn w:val="a1"/>
    <w:qFormat/>
    <w:pPr>
      <w:spacing w:line="360" w:lineRule="auto"/>
    </w:pPr>
    <w:rPr>
      <w:rFonts w:ascii="Tahoma" w:hAnsi="Tahoma"/>
      <w:sz w:val="24"/>
      <w:szCs w:val="20"/>
    </w:rPr>
  </w:style>
  <w:style w:type="paragraph" w:customStyle="1" w:styleId="reader-word-layerreader-word-s7-2">
    <w:name w:val="reader-word-layer reader-word-s7-2"/>
    <w:basedOn w:val="a1"/>
    <w:qFormat/>
    <w:pPr>
      <w:widowControl/>
      <w:spacing w:before="100" w:beforeAutospacing="1" w:after="100" w:afterAutospacing="1"/>
      <w:jc w:val="left"/>
    </w:pPr>
    <w:rPr>
      <w:rFonts w:ascii="宋体" w:hAnsi="宋体" w:cs="宋体"/>
      <w:kern w:val="0"/>
      <w:sz w:val="24"/>
      <w:szCs w:val="24"/>
    </w:rPr>
  </w:style>
  <w:style w:type="paragraph" w:customStyle="1" w:styleId="22Heading2HiddenHeading2CCBSheading2H2h2">
    <w:name w:val="样式 标题 2第一章 标题 2Heading 2 HiddenHeading 2 CCBSheading 2H2h2..."/>
    <w:basedOn w:val="2a"/>
    <w:qFormat/>
    <w:pPr>
      <w:spacing w:beforeLines="0" w:afterLines="0" w:line="480" w:lineRule="exact"/>
      <w:jc w:val="center"/>
    </w:pPr>
    <w:rPr>
      <w:rFonts w:ascii="楷体_GB2312" w:eastAsia="楷体_GB2312" w:hAnsi="宋体"/>
    </w:rPr>
  </w:style>
  <w:style w:type="paragraph" w:customStyle="1" w:styleId="a14">
    <w:name w:val="a14"/>
    <w:basedOn w:val="a1"/>
    <w:qFormat/>
    <w:pPr>
      <w:widowControl/>
      <w:spacing w:before="100" w:beforeAutospacing="1" w:after="100" w:afterAutospacing="1" w:line="400" w:lineRule="atLeast"/>
      <w:ind w:firstLine="500"/>
      <w:jc w:val="left"/>
    </w:pPr>
    <w:rPr>
      <w:rFonts w:ascii="宋体" w:hAnsi="宋体"/>
      <w:kern w:val="0"/>
      <w:sz w:val="28"/>
      <w:szCs w:val="28"/>
    </w:rPr>
  </w:style>
  <w:style w:type="paragraph" w:customStyle="1" w:styleId="cjh">
    <w:name w:val="cjh"/>
    <w:basedOn w:val="a1"/>
    <w:next w:val="a1"/>
    <w:qFormat/>
    <w:pPr>
      <w:keepLines/>
      <w:suppressLineNumbers/>
      <w:suppressAutoHyphens/>
      <w:jc w:val="center"/>
      <w:outlineLvl w:val="0"/>
    </w:pPr>
    <w:rPr>
      <w:rFonts w:ascii="宋体" w:hAnsi="Times New Roman" w:hint="eastAsia"/>
      <w:kern w:val="24"/>
      <w:szCs w:val="20"/>
    </w:rPr>
  </w:style>
  <w:style w:type="paragraph" w:customStyle="1" w:styleId="reader-word-layerreader-word-s3-22">
    <w:name w:val="reader-word-layer reader-word-s3-22"/>
    <w:basedOn w:val="a1"/>
    <w:qFormat/>
    <w:pPr>
      <w:widowControl/>
      <w:spacing w:before="100" w:beforeAutospacing="1" w:after="100" w:afterAutospacing="1"/>
      <w:jc w:val="left"/>
    </w:pPr>
    <w:rPr>
      <w:rFonts w:ascii="宋体" w:hAnsi="宋体" w:cs="宋体"/>
      <w:kern w:val="0"/>
      <w:sz w:val="24"/>
      <w:szCs w:val="24"/>
    </w:rPr>
  </w:style>
  <w:style w:type="paragraph" w:customStyle="1" w:styleId="10624">
    <w:name w:val="样式 四号 首行缩进:  1.06 厘米 行距: 固定值 24 磅"/>
    <w:basedOn w:val="a1"/>
    <w:qFormat/>
    <w:pPr>
      <w:spacing w:beforeLines="50" w:line="360" w:lineRule="auto"/>
      <w:ind w:firstLineChars="200" w:firstLine="560"/>
    </w:pPr>
    <w:rPr>
      <w:rFonts w:ascii="Times New Roman" w:hAnsi="Times New Roman" w:cs="宋体"/>
      <w:sz w:val="28"/>
      <w:szCs w:val="20"/>
    </w:rPr>
  </w:style>
  <w:style w:type="paragraph" w:customStyle="1" w:styleId="reader-word-layerreader-word-s19-4">
    <w:name w:val="reader-word-layer reader-word-s19-4"/>
    <w:basedOn w:val="a1"/>
    <w:qFormat/>
    <w:pPr>
      <w:widowControl/>
      <w:spacing w:before="100" w:beforeAutospacing="1" w:after="100" w:afterAutospacing="1"/>
      <w:jc w:val="left"/>
    </w:pPr>
    <w:rPr>
      <w:rFonts w:ascii="宋体" w:hAnsi="宋体" w:cs="宋体"/>
      <w:kern w:val="0"/>
      <w:sz w:val="24"/>
      <w:szCs w:val="24"/>
    </w:rPr>
  </w:style>
  <w:style w:type="paragraph" w:customStyle="1" w:styleId="2ffffff3">
    <w:name w:val="项目符号2"/>
    <w:basedOn w:val="a1"/>
    <w:qFormat/>
    <w:pPr>
      <w:tabs>
        <w:tab w:val="left" w:pos="360"/>
        <w:tab w:val="left" w:pos="960"/>
        <w:tab w:val="left" w:pos="1275"/>
      </w:tabs>
      <w:snapToGrid w:val="0"/>
      <w:spacing w:before="120" w:after="120" w:line="312" w:lineRule="auto"/>
      <w:ind w:left="850" w:hanging="1275"/>
    </w:pPr>
    <w:rPr>
      <w:rFonts w:ascii="Arial" w:eastAsia="楷体_GB2312" w:hAnsi="Arial"/>
      <w:sz w:val="28"/>
      <w:szCs w:val="20"/>
    </w:rPr>
  </w:style>
  <w:style w:type="paragraph" w:customStyle="1" w:styleId="33313213113323122">
    <w:name w:val="样式 标题 3培训3级三级标题培训3级1培训3级2三级标题1培训3级11培训3级3三级标题2培训3级12培训...2"/>
    <w:basedOn w:val="3a"/>
    <w:qFormat/>
    <w:pPr>
      <w:widowControl/>
      <w:spacing w:before="0" w:after="0" w:line="360" w:lineRule="auto"/>
    </w:pPr>
    <w:rPr>
      <w:rFonts w:ascii="宋体" w:hAnsi="宋体" w:cs="宋体"/>
      <w:b w:val="0"/>
      <w:bCs w:val="0"/>
      <w:color w:val="000000"/>
      <w:kern w:val="2"/>
      <w:sz w:val="21"/>
      <w:szCs w:val="21"/>
    </w:rPr>
  </w:style>
  <w:style w:type="paragraph" w:customStyle="1" w:styleId="proposal">
    <w:name w:val="proposal"/>
    <w:basedOn w:val="a1"/>
    <w:qFormat/>
    <w:pPr>
      <w:widowControl/>
      <w:autoSpaceDE w:val="0"/>
      <w:autoSpaceDN w:val="0"/>
      <w:spacing w:line="300" w:lineRule="auto"/>
      <w:ind w:left="1440" w:hanging="1440"/>
    </w:pPr>
    <w:rPr>
      <w:rFonts w:ascii="Times New Roman" w:hAnsi="Times New Roman"/>
      <w:kern w:val="0"/>
      <w:sz w:val="24"/>
      <w:szCs w:val="24"/>
    </w:rPr>
  </w:style>
  <w:style w:type="paragraph" w:customStyle="1" w:styleId="InTable">
    <w:name w:val="In Table"/>
    <w:basedOn w:val="a1"/>
    <w:qFormat/>
    <w:pPr>
      <w:tabs>
        <w:tab w:val="left" w:pos="2200"/>
        <w:tab w:val="left" w:pos="3960"/>
        <w:tab w:val="left" w:pos="5280"/>
      </w:tabs>
      <w:spacing w:before="96" w:after="96" w:line="0" w:lineRule="atLeast"/>
      <w:jc w:val="center"/>
    </w:pPr>
    <w:rPr>
      <w:rFonts w:ascii="Tahoma" w:eastAsia="华文中宋" w:hAnsi="Tahoma"/>
      <w:szCs w:val="20"/>
    </w:rPr>
  </w:style>
  <w:style w:type="paragraph" w:customStyle="1" w:styleId="m4">
    <w:name w:val="m4"/>
    <w:basedOn w:val="a1"/>
    <w:qFormat/>
    <w:pPr>
      <w:widowControl/>
      <w:spacing w:before="100" w:beforeAutospacing="1" w:after="100" w:afterAutospacing="1" w:line="280" w:lineRule="atLeast"/>
      <w:jc w:val="left"/>
    </w:pPr>
    <w:rPr>
      <w:rFonts w:ascii="宋体" w:hAnsi="宋体"/>
      <w:b/>
      <w:bCs/>
      <w:color w:val="000000"/>
      <w:kern w:val="0"/>
      <w:sz w:val="28"/>
      <w:szCs w:val="28"/>
    </w:rPr>
  </w:style>
  <w:style w:type="paragraph" w:customStyle="1" w:styleId="afffffffffffffffffffffffffffff2">
    <w:name w:val="首钢正文样式"/>
    <w:basedOn w:val="a1"/>
    <w:qFormat/>
    <w:pPr>
      <w:adjustRightInd w:val="0"/>
      <w:snapToGrid w:val="0"/>
      <w:spacing w:line="360" w:lineRule="auto"/>
      <w:ind w:firstLineChars="200" w:firstLine="480"/>
    </w:pPr>
    <w:rPr>
      <w:rFonts w:ascii="宋体" w:hAnsi="宋体"/>
      <w:kern w:val="0"/>
      <w:sz w:val="24"/>
      <w:szCs w:val="20"/>
    </w:rPr>
  </w:style>
  <w:style w:type="paragraph" w:customStyle="1" w:styleId="afffffffffffffffffffffffffffff3">
    <w:name w:val="环评报告书"/>
    <w:basedOn w:val="4a"/>
    <w:qFormat/>
    <w:pPr>
      <w:autoSpaceDE w:val="0"/>
      <w:autoSpaceDN w:val="0"/>
      <w:adjustRightInd w:val="0"/>
      <w:spacing w:line="360" w:lineRule="auto"/>
      <w:jc w:val="left"/>
      <w:textAlignment w:val="baseline"/>
      <w:outlineLvl w:val="9"/>
    </w:pPr>
    <w:rPr>
      <w:rFonts w:ascii="Times New Roman" w:hAnsi="Times New Roman" w:cs="Times New Roman"/>
      <w:b w:val="0"/>
      <w:kern w:val="0"/>
      <w:szCs w:val="20"/>
    </w:rPr>
  </w:style>
  <w:style w:type="paragraph" w:customStyle="1" w:styleId="HEADR">
    <w:name w:val="HEADR"/>
    <w:basedOn w:val="a1"/>
    <w:qFormat/>
    <w:pPr>
      <w:widowControl/>
      <w:tabs>
        <w:tab w:val="left" w:pos="1728"/>
        <w:tab w:val="left" w:pos="5328"/>
        <w:tab w:val="left" w:pos="6192"/>
        <w:tab w:val="left" w:pos="10354"/>
      </w:tabs>
      <w:jc w:val="left"/>
    </w:pPr>
    <w:rPr>
      <w:rFonts w:ascii="Times New Roman" w:hAnsi="Times New Roman"/>
      <w:kern w:val="0"/>
      <w:sz w:val="24"/>
      <w:szCs w:val="20"/>
      <w:lang w:eastAsia="en-US"/>
    </w:rPr>
  </w:style>
  <w:style w:type="paragraph" w:customStyle="1" w:styleId="20061">
    <w:name w:val="2006年协会论文标题1"/>
    <w:basedOn w:val="a1"/>
    <w:qFormat/>
    <w:pPr>
      <w:spacing w:beforeLines="50"/>
    </w:pPr>
    <w:rPr>
      <w:rFonts w:ascii="Times New Roman" w:eastAsia="华文中宋" w:hAnsi="Times New Roman"/>
      <w:b/>
      <w:sz w:val="28"/>
      <w:szCs w:val="24"/>
    </w:rPr>
  </w:style>
  <w:style w:type="paragraph" w:customStyle="1" w:styleId="afffffffffffffffffffffffffffff4">
    <w:name w:val="工程建设条标题"/>
    <w:basedOn w:val="afffffffffffffffffffffffffffff5"/>
    <w:next w:val="a1"/>
    <w:qFormat/>
    <w:pPr>
      <w:tabs>
        <w:tab w:val="left" w:pos="360"/>
        <w:tab w:val="left" w:pos="735"/>
      </w:tabs>
      <w:spacing w:before="0" w:after="0"/>
      <w:ind w:left="360" w:hanging="360"/>
      <w:jc w:val="both"/>
      <w:outlineLvl w:val="3"/>
    </w:pPr>
    <w:rPr>
      <w:b w:val="0"/>
    </w:rPr>
  </w:style>
  <w:style w:type="paragraph" w:customStyle="1" w:styleId="afffffffffffffffffffffffffffff5">
    <w:name w:val="工程建设节标题"/>
    <w:basedOn w:val="a1"/>
    <w:next w:val="a1"/>
    <w:qFormat/>
    <w:pPr>
      <w:widowControl/>
      <w:tabs>
        <w:tab w:val="left" w:pos="525"/>
      </w:tabs>
      <w:spacing w:before="400" w:after="400"/>
      <w:jc w:val="center"/>
      <w:outlineLvl w:val="2"/>
    </w:pPr>
    <w:rPr>
      <w:rFonts w:ascii="黑体" w:eastAsia="黑体" w:hAnsi="Times New Roman"/>
      <w:b/>
      <w:kern w:val="0"/>
      <w:szCs w:val="20"/>
    </w:rPr>
  </w:style>
  <w:style w:type="paragraph" w:customStyle="1" w:styleId="CharCharChar1CharCharCharCharCharCharCharCharCharCharCharChar1CharCharCharCharCharCharCharCharCharChar2">
    <w:name w:val="Char Char Char1 Char Char Char Char Char Char Char Char Char Char Char Char1 Char Char Char Char Char Char Char Char Char Char2"/>
    <w:basedOn w:val="a1"/>
    <w:qFormat/>
    <w:rPr>
      <w:rFonts w:ascii="Times New Roman" w:eastAsia="仿宋_GB2312" w:hAnsi="Times New Roman"/>
      <w:szCs w:val="24"/>
    </w:rPr>
  </w:style>
  <w:style w:type="paragraph" w:customStyle="1" w:styleId="-51">
    <w:name w:val="标-5"/>
    <w:basedOn w:val="a1"/>
    <w:qFormat/>
    <w:pPr>
      <w:tabs>
        <w:tab w:val="right" w:leader="dot" w:pos="8789"/>
      </w:tabs>
      <w:spacing w:before="120"/>
      <w:ind w:left="1276" w:hanging="425"/>
    </w:pPr>
    <w:rPr>
      <w:rFonts w:ascii="Times New Roman" w:hAnsi="Times New Roman"/>
      <w:sz w:val="24"/>
      <w:szCs w:val="20"/>
    </w:rPr>
  </w:style>
  <w:style w:type="paragraph" w:customStyle="1" w:styleId="afffffffffffffffffffffffffffff6">
    <w:name w:val="＠正文"/>
    <w:basedOn w:val="a1"/>
    <w:qFormat/>
    <w:pPr>
      <w:spacing w:line="360" w:lineRule="auto"/>
      <w:ind w:firstLineChars="200" w:firstLine="200"/>
    </w:pPr>
    <w:rPr>
      <w:rFonts w:ascii="宋体" w:eastAsia="仿宋_GB2312" w:hAnsi="宋体"/>
      <w:color w:val="000000"/>
      <w:kern w:val="0"/>
      <w:sz w:val="28"/>
      <w:szCs w:val="28"/>
    </w:rPr>
  </w:style>
  <w:style w:type="paragraph" w:customStyle="1" w:styleId="31113h33rdlevelH3l3CTGB2312">
    <w:name w:val="样式 标题 3条标题1.1.13h33rd levelH3l3CT + (中文) 仿宋_GB2312 非加粗"/>
    <w:basedOn w:val="3a"/>
    <w:qFormat/>
    <w:pPr>
      <w:widowControl/>
      <w:adjustRightInd w:val="0"/>
      <w:spacing w:line="240" w:lineRule="auto"/>
      <w:ind w:left="540"/>
      <w:jc w:val="left"/>
    </w:pPr>
    <w:rPr>
      <w:rFonts w:ascii="仿宋_GB2312" w:eastAsia="仿宋_GB2312" w:hAnsi="Times New Roman"/>
      <w:bCs w:val="0"/>
      <w:sz w:val="28"/>
      <w:szCs w:val="20"/>
      <w:lang w:val="zh-CN"/>
    </w:rPr>
  </w:style>
  <w:style w:type="paragraph" w:customStyle="1" w:styleId="afffffffffffffffffffffffffffff7">
    <w:name w:val="表内序号"/>
    <w:basedOn w:val="a1"/>
    <w:qFormat/>
    <w:pPr>
      <w:widowControl/>
      <w:adjustRightInd w:val="0"/>
      <w:snapToGrid w:val="0"/>
      <w:spacing w:line="360" w:lineRule="auto"/>
      <w:jc w:val="center"/>
    </w:pPr>
    <w:rPr>
      <w:rFonts w:ascii="Times New Roman" w:hAnsi="Times New Roman"/>
      <w:kern w:val="0"/>
      <w:sz w:val="24"/>
      <w:szCs w:val="20"/>
    </w:rPr>
  </w:style>
  <w:style w:type="paragraph" w:customStyle="1" w:styleId="2ffffff4">
    <w:name w:val="正文样式2"/>
    <w:basedOn w:val="a1"/>
    <w:qFormat/>
    <w:pPr>
      <w:adjustRightInd w:val="0"/>
      <w:spacing w:line="480" w:lineRule="atLeast"/>
      <w:ind w:firstLine="567"/>
      <w:jc w:val="left"/>
      <w:textAlignment w:val="baseline"/>
    </w:pPr>
    <w:rPr>
      <w:rFonts w:ascii="黑体" w:eastAsia="黑体" w:hAnsi="Times New Roman"/>
      <w:kern w:val="0"/>
      <w:sz w:val="28"/>
      <w:szCs w:val="20"/>
    </w:rPr>
  </w:style>
  <w:style w:type="paragraph" w:customStyle="1" w:styleId="hh">
    <w:name w:val="hh"/>
    <w:basedOn w:val="a1"/>
    <w:qFormat/>
    <w:pPr>
      <w:adjustRightInd w:val="0"/>
      <w:ind w:firstLine="567"/>
      <w:textAlignment w:val="baseline"/>
    </w:pPr>
    <w:rPr>
      <w:rFonts w:ascii="Times New Roman" w:hAnsi="Times New Roman"/>
      <w:color w:val="000000"/>
      <w:kern w:val="0"/>
      <w:sz w:val="28"/>
      <w:szCs w:val="20"/>
    </w:rPr>
  </w:style>
  <w:style w:type="paragraph" w:customStyle="1" w:styleId="afffffffffffffffffffffffffffff8">
    <w:name w:val="条(四级)"/>
    <w:basedOn w:val="afffffffffffffffffffffffffffff9"/>
    <w:next w:val="4a"/>
    <w:qFormat/>
  </w:style>
  <w:style w:type="paragraph" w:customStyle="1" w:styleId="afffffffffffffffffffffffffffff9">
    <w:name w:val="条(三级)"/>
    <w:basedOn w:val="a1"/>
    <w:next w:val="a1"/>
    <w:qFormat/>
    <w:pPr>
      <w:keepNext/>
      <w:keepLines/>
      <w:adjustRightInd w:val="0"/>
      <w:spacing w:line="460" w:lineRule="exact"/>
      <w:jc w:val="left"/>
      <w:textAlignment w:val="baseline"/>
    </w:pPr>
    <w:rPr>
      <w:rFonts w:ascii="宋体" w:hAnsi="Arial"/>
      <w:spacing w:val="3"/>
      <w:kern w:val="24"/>
      <w:sz w:val="24"/>
      <w:szCs w:val="20"/>
    </w:rPr>
  </w:style>
  <w:style w:type="paragraph" w:customStyle="1" w:styleId="INDENT">
    <w:name w:val="INDENT"/>
    <w:basedOn w:val="a1"/>
    <w:qFormat/>
    <w:pPr>
      <w:widowControl/>
      <w:tabs>
        <w:tab w:val="left" w:pos="720"/>
        <w:tab w:val="left" w:pos="1440"/>
        <w:tab w:val="left" w:pos="2448"/>
        <w:tab w:val="left" w:pos="3600"/>
        <w:tab w:val="left" w:pos="5904"/>
        <w:tab w:val="left" w:pos="10354"/>
      </w:tabs>
      <w:ind w:left="720" w:hanging="720"/>
    </w:pPr>
    <w:rPr>
      <w:rFonts w:ascii="Times New Roman" w:hAnsi="Times New Roman"/>
      <w:i/>
      <w:kern w:val="0"/>
      <w:sz w:val="26"/>
      <w:szCs w:val="20"/>
      <w:lang w:eastAsia="en-US"/>
    </w:rPr>
  </w:style>
  <w:style w:type="paragraph" w:customStyle="1" w:styleId="font15">
    <w:name w:val="font15"/>
    <w:basedOn w:val="a1"/>
    <w:qFormat/>
    <w:pPr>
      <w:widowControl/>
      <w:spacing w:before="100" w:beforeAutospacing="1" w:after="100" w:afterAutospacing="1"/>
      <w:jc w:val="left"/>
    </w:pPr>
    <w:rPr>
      <w:rFonts w:ascii="Times New Roman" w:hAnsi="Times New Roman"/>
      <w:color w:val="000000"/>
      <w:kern w:val="0"/>
      <w:szCs w:val="21"/>
    </w:rPr>
  </w:style>
  <w:style w:type="paragraph" w:customStyle="1" w:styleId="reader-word-layerreader-word-s6-1">
    <w:name w:val="reader-word-layer reader-word-s6-1"/>
    <w:basedOn w:val="a1"/>
    <w:qFormat/>
    <w:pPr>
      <w:widowControl/>
      <w:spacing w:before="100" w:beforeAutospacing="1" w:after="100" w:afterAutospacing="1"/>
      <w:jc w:val="left"/>
    </w:pPr>
    <w:rPr>
      <w:rFonts w:ascii="宋体" w:hAnsi="宋体" w:cs="宋体"/>
      <w:kern w:val="0"/>
      <w:sz w:val="24"/>
      <w:szCs w:val="24"/>
    </w:rPr>
  </w:style>
  <w:style w:type="paragraph" w:customStyle="1" w:styleId="3fffa">
    <w:name w:val="小标题3"/>
    <w:basedOn w:val="1ffffffd"/>
    <w:qFormat/>
    <w:pPr>
      <w:tabs>
        <w:tab w:val="left" w:pos="0"/>
      </w:tabs>
      <w:ind w:left="420" w:hanging="420"/>
    </w:pPr>
  </w:style>
  <w:style w:type="paragraph" w:customStyle="1" w:styleId="1ffffffd">
    <w:name w:val="小标题1"/>
    <w:basedOn w:val="aff3"/>
    <w:qFormat/>
    <w:pPr>
      <w:ind w:leftChars="0" w:left="0"/>
    </w:pPr>
    <w:rPr>
      <w:rFonts w:ascii="仿宋_GB2312" w:eastAsia="仿宋_GB2312" w:hAnsi="Times New Roman"/>
      <w:sz w:val="28"/>
      <w:szCs w:val="28"/>
    </w:rPr>
  </w:style>
  <w:style w:type="paragraph" w:customStyle="1" w:styleId="afffffffffffffffffffffffffffffa">
    <w:name w:val="投标文件正文"/>
    <w:basedOn w:val="a1"/>
    <w:qFormat/>
    <w:pPr>
      <w:spacing w:line="400" w:lineRule="exact"/>
      <w:ind w:right="33" w:firstLineChars="200" w:firstLine="480"/>
      <w:jc w:val="left"/>
    </w:pPr>
    <w:rPr>
      <w:rFonts w:ascii="Arial" w:hAnsi="Arial"/>
      <w:iCs/>
      <w:color w:val="000000"/>
      <w:sz w:val="24"/>
      <w:szCs w:val="20"/>
    </w:rPr>
  </w:style>
  <w:style w:type="paragraph" w:customStyle="1" w:styleId="reader-word-layerreader-word-s2-12">
    <w:name w:val="reader-word-layer reader-word-s2-12"/>
    <w:basedOn w:val="a1"/>
    <w:qFormat/>
    <w:pPr>
      <w:widowControl/>
      <w:spacing w:before="100" w:beforeAutospacing="1" w:after="100" w:afterAutospacing="1"/>
      <w:jc w:val="left"/>
    </w:pPr>
    <w:rPr>
      <w:rFonts w:ascii="宋体" w:hAnsi="宋体" w:cs="宋体"/>
      <w:kern w:val="0"/>
      <w:sz w:val="24"/>
      <w:szCs w:val="24"/>
    </w:rPr>
  </w:style>
  <w:style w:type="paragraph" w:customStyle="1" w:styleId="-70">
    <w:name w:val="标-7"/>
    <w:basedOn w:val="a1"/>
    <w:qFormat/>
    <w:pPr>
      <w:tabs>
        <w:tab w:val="left" w:pos="420"/>
      </w:tabs>
      <w:spacing w:before="120"/>
      <w:ind w:left="1701" w:hanging="425"/>
    </w:pPr>
    <w:rPr>
      <w:rFonts w:ascii="Times New Roman" w:hAnsi="Times New Roman"/>
      <w:sz w:val="24"/>
      <w:szCs w:val="20"/>
    </w:rPr>
  </w:style>
  <w:style w:type="paragraph" w:customStyle="1" w:styleId="reader-word-layerreader-word-s6-22">
    <w:name w:val="reader-word-layer reader-word-s6-22"/>
    <w:basedOn w:val="a1"/>
    <w:qFormat/>
    <w:pPr>
      <w:widowControl/>
      <w:spacing w:before="100" w:beforeAutospacing="1" w:after="100" w:afterAutospacing="1"/>
      <w:jc w:val="left"/>
    </w:pPr>
    <w:rPr>
      <w:rFonts w:ascii="宋体" w:hAnsi="宋体" w:cs="宋体"/>
      <w:kern w:val="0"/>
      <w:sz w:val="24"/>
      <w:szCs w:val="24"/>
    </w:rPr>
  </w:style>
  <w:style w:type="paragraph" w:customStyle="1" w:styleId="ParaCharCharChar1CharCharCharCharCharCharCharCharCharChar">
    <w:name w:val="默认段落字体 Para Char Char Char1 Char Char Char Char Char Char Char Char Char Char"/>
    <w:basedOn w:val="a1"/>
    <w:qFormat/>
    <w:rPr>
      <w:rFonts w:ascii="Times New Roman" w:hAnsi="Times New Roman"/>
      <w:sz w:val="24"/>
      <w:szCs w:val="24"/>
    </w:rPr>
  </w:style>
  <w:style w:type="paragraph" w:customStyle="1" w:styleId="afffffffffffffffffffffffffffffb">
    <w:name w:val="院名标"/>
    <w:basedOn w:val="aff1"/>
    <w:qFormat/>
    <w:pPr>
      <w:ind w:firstLine="560"/>
    </w:pPr>
    <w:rPr>
      <w:rFonts w:ascii="华文仿宋" w:eastAsia="华文仿宋" w:cs="Courier New"/>
      <w:sz w:val="36"/>
      <w:szCs w:val="36"/>
    </w:rPr>
  </w:style>
  <w:style w:type="paragraph" w:customStyle="1" w:styleId="afffffffffffffffffffffffffffffc">
    <w:name w:val="工程建设表标题"/>
    <w:basedOn w:val="afffffffffffffffffffffffffffff4"/>
    <w:next w:val="a1"/>
    <w:qFormat/>
    <w:pPr>
      <w:jc w:val="center"/>
      <w:outlineLvl w:val="9"/>
    </w:pPr>
    <w:rPr>
      <w:b/>
    </w:rPr>
  </w:style>
  <w:style w:type="paragraph" w:customStyle="1" w:styleId="242">
    <w:name w:val="样式 行距: 固定值 24 磅"/>
    <w:basedOn w:val="a1"/>
    <w:qFormat/>
    <w:pPr>
      <w:adjustRightInd w:val="0"/>
      <w:snapToGrid w:val="0"/>
      <w:spacing w:line="500" w:lineRule="exact"/>
      <w:ind w:firstLine="510"/>
    </w:pPr>
    <w:rPr>
      <w:rFonts w:ascii="Times New Roman" w:hAnsi="Times New Roman" w:cs="宋体"/>
      <w:color w:val="000000"/>
      <w:sz w:val="28"/>
      <w:szCs w:val="20"/>
    </w:rPr>
  </w:style>
  <w:style w:type="paragraph" w:customStyle="1" w:styleId="reader-word-layerreader-word-s3-1">
    <w:name w:val="reader-word-layer reader-word-s3-1"/>
    <w:basedOn w:val="a1"/>
    <w:qFormat/>
    <w:pPr>
      <w:widowControl/>
      <w:spacing w:before="100" w:beforeAutospacing="1" w:after="100" w:afterAutospacing="1"/>
      <w:jc w:val="left"/>
    </w:pPr>
    <w:rPr>
      <w:rFonts w:ascii="宋体" w:hAnsi="宋体" w:cs="宋体"/>
      <w:kern w:val="0"/>
      <w:sz w:val="24"/>
      <w:szCs w:val="24"/>
    </w:rPr>
  </w:style>
  <w:style w:type="paragraph" w:customStyle="1" w:styleId="afffffffffffffffffffffffffffffd">
    <w:name w:val="正文纯文本"/>
    <w:basedOn w:val="a1"/>
    <w:qFormat/>
    <w:pPr>
      <w:spacing w:line="360" w:lineRule="auto"/>
    </w:pPr>
    <w:rPr>
      <w:rFonts w:ascii="Times New Roman" w:eastAsia="仿宋_GB2312" w:hAnsi="Times New Roman"/>
      <w:sz w:val="28"/>
      <w:szCs w:val="28"/>
    </w:rPr>
  </w:style>
  <w:style w:type="paragraph" w:customStyle="1" w:styleId="reader-word-layerreader-word-s1-6">
    <w:name w:val="reader-word-layer reader-word-s1-6"/>
    <w:basedOn w:val="a1"/>
    <w:qFormat/>
    <w:pPr>
      <w:widowControl/>
      <w:spacing w:before="100" w:beforeAutospacing="1" w:after="100" w:afterAutospacing="1"/>
      <w:jc w:val="left"/>
    </w:pPr>
    <w:rPr>
      <w:rFonts w:ascii="宋体" w:hAnsi="宋体" w:cs="宋体"/>
      <w:kern w:val="0"/>
      <w:sz w:val="24"/>
      <w:szCs w:val="24"/>
    </w:rPr>
  </w:style>
  <w:style w:type="paragraph" w:customStyle="1" w:styleId="2B0">
    <w:name w:val="列表 2B"/>
    <w:basedOn w:val="2d"/>
    <w:qFormat/>
    <w:pPr>
      <w:tabs>
        <w:tab w:val="left" w:pos="360"/>
      </w:tabs>
      <w:spacing w:line="288" w:lineRule="auto"/>
      <w:ind w:leftChars="0" w:left="360" w:firstLineChars="0" w:hanging="360"/>
    </w:pPr>
    <w:rPr>
      <w:rFonts w:ascii="Arial" w:hAnsi="Arial"/>
      <w:color w:val="FFFF99"/>
      <w:szCs w:val="20"/>
    </w:rPr>
  </w:style>
  <w:style w:type="paragraph" w:customStyle="1" w:styleId="afffffffffffffffffffffffffffffe">
    <w:name w:val="封面标准文稿类别"/>
    <w:qFormat/>
    <w:pPr>
      <w:spacing w:before="440" w:line="400" w:lineRule="exact"/>
      <w:jc w:val="center"/>
    </w:pPr>
    <w:rPr>
      <w:rFonts w:ascii="宋体"/>
      <w:sz w:val="24"/>
    </w:rPr>
  </w:style>
  <w:style w:type="paragraph" w:customStyle="1" w:styleId="affffffffffffffffffffffffffffff">
    <w:name w:val="表内容中"/>
    <w:basedOn w:val="aff3"/>
    <w:qFormat/>
    <w:pPr>
      <w:adjustRightInd w:val="0"/>
      <w:snapToGrid w:val="0"/>
      <w:ind w:leftChars="0" w:left="0"/>
      <w:jc w:val="center"/>
    </w:pPr>
    <w:rPr>
      <w:rFonts w:ascii="Arial" w:hAnsi="Arial"/>
      <w:color w:val="000000"/>
      <w:kern w:val="16"/>
      <w:sz w:val="21"/>
    </w:rPr>
  </w:style>
  <w:style w:type="paragraph" w:customStyle="1" w:styleId="T3">
    <w:name w:val="T3"/>
    <w:basedOn w:val="T2"/>
    <w:qFormat/>
    <w:pPr>
      <w:tabs>
        <w:tab w:val="left" w:pos="360"/>
        <w:tab w:val="left" w:pos="1410"/>
      </w:tabs>
      <w:ind w:left="1410" w:hanging="1410"/>
    </w:pPr>
  </w:style>
  <w:style w:type="paragraph" w:customStyle="1" w:styleId="T2">
    <w:name w:val="T2"/>
    <w:basedOn w:val="a1"/>
    <w:qFormat/>
    <w:pPr>
      <w:tabs>
        <w:tab w:val="left" w:pos="425"/>
      </w:tabs>
      <w:adjustRightInd w:val="0"/>
      <w:spacing w:before="60" w:line="288" w:lineRule="auto"/>
      <w:ind w:left="425" w:hanging="425"/>
      <w:textAlignment w:val="baseline"/>
    </w:pPr>
    <w:rPr>
      <w:rFonts w:ascii="Times New Roman" w:hAnsi="Times New Roman"/>
      <w:spacing w:val="16"/>
      <w:kern w:val="20"/>
      <w:sz w:val="28"/>
      <w:szCs w:val="20"/>
    </w:rPr>
  </w:style>
  <w:style w:type="paragraph" w:customStyle="1" w:styleId="affffffffffffffffffffffffffffff0">
    <w:name w:val="表格标题栏"/>
    <w:basedOn w:val="affffffffffffffffffffffffffffff1"/>
    <w:qFormat/>
    <w:pPr>
      <w:ind w:leftChars="-8" w:left="-17" w:firstLine="1"/>
      <w:jc w:val="center"/>
    </w:pPr>
  </w:style>
  <w:style w:type="paragraph" w:customStyle="1" w:styleId="affffffffffffffffffffffffffffff1">
    <w:name w:val="表格字体"/>
    <w:basedOn w:val="a1"/>
    <w:qFormat/>
    <w:pPr>
      <w:adjustRightInd w:val="0"/>
      <w:snapToGrid w:val="0"/>
    </w:pPr>
    <w:rPr>
      <w:rFonts w:ascii="Times New Roman" w:eastAsia="仿宋_GB2312" w:hAnsi="Times New Roman"/>
      <w:kern w:val="0"/>
      <w:szCs w:val="21"/>
    </w:rPr>
  </w:style>
  <w:style w:type="paragraph" w:customStyle="1" w:styleId="Char1100">
    <w:name w:val="Char110"/>
    <w:basedOn w:val="a1"/>
    <w:qFormat/>
    <w:rPr>
      <w:rFonts w:ascii="Times New Roman" w:hAnsi="Times New Roman"/>
      <w:sz w:val="24"/>
      <w:szCs w:val="24"/>
    </w:rPr>
  </w:style>
  <w:style w:type="paragraph" w:customStyle="1" w:styleId="affffffffffffffffffffffffffffff2">
    <w:name w:val="请勿折叠！"/>
    <w:qFormat/>
    <w:pPr>
      <w:widowControl w:val="0"/>
      <w:jc w:val="both"/>
    </w:pPr>
    <w:rPr>
      <w:kern w:val="2"/>
      <w:sz w:val="21"/>
      <w:szCs w:val="24"/>
    </w:rPr>
  </w:style>
  <w:style w:type="paragraph" w:customStyle="1" w:styleId="affffffffffffffffffffffffffffff3">
    <w:name w:val="！表注正文"/>
    <w:basedOn w:val="affffffffffffffffffffffffffffff4"/>
    <w:qFormat/>
    <w:pPr>
      <w:ind w:firstLine="200"/>
    </w:pPr>
    <w:rPr>
      <w:sz w:val="24"/>
    </w:rPr>
  </w:style>
  <w:style w:type="paragraph" w:customStyle="1" w:styleId="affffffffffffffffffffffffffffff4">
    <w:name w:val="!正文"/>
    <w:basedOn w:val="a1"/>
    <w:qFormat/>
    <w:pPr>
      <w:spacing w:line="360" w:lineRule="auto"/>
      <w:ind w:firstLineChars="200" w:firstLine="560"/>
    </w:pPr>
    <w:rPr>
      <w:rFonts w:ascii="宋体" w:hAnsi="宋体"/>
      <w:kern w:val="0"/>
      <w:sz w:val="28"/>
      <w:szCs w:val="28"/>
    </w:rPr>
  </w:style>
  <w:style w:type="paragraph" w:customStyle="1" w:styleId="CharChar1CharChar1">
    <w:name w:val="Char Char1 Char Char1"/>
    <w:basedOn w:val="a1"/>
    <w:qFormat/>
    <w:rPr>
      <w:rFonts w:ascii="Times New Roman" w:hAnsi="Times New Roman"/>
      <w:szCs w:val="24"/>
    </w:rPr>
  </w:style>
  <w:style w:type="paragraph" w:customStyle="1" w:styleId="reader-word-layerreader-word-s1-19">
    <w:name w:val="reader-word-layer reader-word-s1-19"/>
    <w:basedOn w:val="a1"/>
    <w:qFormat/>
    <w:pPr>
      <w:widowControl/>
      <w:spacing w:before="100" w:beforeAutospacing="1" w:after="100" w:afterAutospacing="1"/>
      <w:jc w:val="left"/>
    </w:pPr>
    <w:rPr>
      <w:rFonts w:ascii="宋体" w:hAnsi="宋体" w:cs="宋体"/>
      <w:kern w:val="0"/>
      <w:sz w:val="24"/>
      <w:szCs w:val="24"/>
    </w:rPr>
  </w:style>
  <w:style w:type="paragraph" w:customStyle="1" w:styleId="affffffffffffffffffffffffffffff5">
    <w:name w:val="图表标注"/>
    <w:basedOn w:val="a1"/>
    <w:qFormat/>
    <w:pPr>
      <w:adjustRightInd w:val="0"/>
      <w:snapToGrid w:val="0"/>
      <w:spacing w:line="360" w:lineRule="auto"/>
      <w:ind w:right="1124" w:firstLineChars="100" w:firstLine="241"/>
      <w:jc w:val="center"/>
    </w:pPr>
    <w:rPr>
      <w:rFonts w:ascii="Times New Roman" w:eastAsia="仿宋_GB2312" w:hAnsi="Times New Roman"/>
      <w:b/>
      <w:sz w:val="24"/>
      <w:szCs w:val="24"/>
    </w:rPr>
  </w:style>
  <w:style w:type="paragraph" w:customStyle="1" w:styleId="3fffb">
    <w:name w:val="自定义标题3"/>
    <w:basedOn w:val="2ffffff0"/>
    <w:next w:val="a1"/>
    <w:qFormat/>
    <w:pPr>
      <w:tabs>
        <w:tab w:val="clear" w:pos="1400"/>
        <w:tab w:val="left" w:pos="1820"/>
      </w:tabs>
      <w:spacing w:before="100"/>
      <w:ind w:left="1820"/>
    </w:pPr>
  </w:style>
  <w:style w:type="paragraph" w:customStyle="1" w:styleId="CharChar3CharCharCharChar1">
    <w:name w:val="Char Char3 Char Char Char Char1"/>
    <w:basedOn w:val="a1"/>
    <w:qFormat/>
    <w:pPr>
      <w:widowControl/>
      <w:spacing w:after="160" w:line="240" w:lineRule="exact"/>
      <w:jc w:val="left"/>
    </w:pPr>
    <w:rPr>
      <w:rFonts w:ascii="Verdana" w:hAnsi="Verdana"/>
      <w:kern w:val="0"/>
      <w:sz w:val="20"/>
      <w:szCs w:val="20"/>
      <w:lang w:eastAsia="en-US"/>
    </w:rPr>
  </w:style>
  <w:style w:type="paragraph" w:customStyle="1" w:styleId="20063">
    <w:name w:val="2006年协会论文正文"/>
    <w:basedOn w:val="a1"/>
    <w:qFormat/>
    <w:pPr>
      <w:spacing w:line="360" w:lineRule="exact"/>
      <w:ind w:firstLineChars="200" w:firstLine="200"/>
    </w:pPr>
    <w:rPr>
      <w:rFonts w:ascii="Times New Roman" w:hAnsi="Times New Roman"/>
      <w:szCs w:val="21"/>
    </w:rPr>
  </w:style>
  <w:style w:type="paragraph" w:customStyle="1" w:styleId="affffffffffffffffffffffffffffff6">
    <w:name w:val="库文"/>
    <w:basedOn w:val="aff1"/>
    <w:qFormat/>
    <w:rPr>
      <w:rFonts w:cs="Courier New"/>
      <w:sz w:val="24"/>
      <w:szCs w:val="18"/>
    </w:rPr>
  </w:style>
  <w:style w:type="paragraph" w:customStyle="1" w:styleId="affffffffffffffffffffffffffffff7">
    <w:name w:val="图表五号"/>
    <w:basedOn w:val="a1"/>
    <w:qFormat/>
    <w:pPr>
      <w:autoSpaceDE w:val="0"/>
      <w:autoSpaceDN w:val="0"/>
      <w:adjustRightInd w:val="0"/>
      <w:snapToGrid w:val="0"/>
      <w:spacing w:line="20" w:lineRule="atLeast"/>
      <w:jc w:val="center"/>
    </w:pPr>
    <w:rPr>
      <w:rFonts w:ascii="Times New Roman" w:hAnsi="Times New Roman"/>
      <w:szCs w:val="20"/>
    </w:rPr>
  </w:style>
  <w:style w:type="paragraph" w:customStyle="1" w:styleId="20064">
    <w:name w:val="2006年协会论文英文标题"/>
    <w:basedOn w:val="a1"/>
    <w:qFormat/>
    <w:pPr>
      <w:jc w:val="center"/>
    </w:pPr>
    <w:rPr>
      <w:rFonts w:ascii="宋体" w:eastAsia="Times New Roman" w:hAnsi="宋体"/>
      <w:b/>
      <w:kern w:val="0"/>
      <w:sz w:val="24"/>
      <w:szCs w:val="24"/>
    </w:rPr>
  </w:style>
  <w:style w:type="paragraph" w:customStyle="1" w:styleId="CharCharCharCharCharCharCharCharCharCharChar1CharCharCharCharCharCharChar">
    <w:name w:val="Char Char Char Char Char Char Char Char Char Char Char1 Char Char Char Char Char Char Char"/>
    <w:basedOn w:val="a1"/>
    <w:qFormat/>
    <w:rPr>
      <w:rFonts w:ascii="Times New Roman" w:hAnsi="Times New Roman"/>
      <w:szCs w:val="24"/>
    </w:rPr>
  </w:style>
  <w:style w:type="paragraph" w:customStyle="1" w:styleId="Objective">
    <w:name w:val="Objective"/>
    <w:basedOn w:val="a1"/>
    <w:next w:val="afb"/>
    <w:qFormat/>
    <w:pPr>
      <w:widowControl/>
      <w:spacing w:before="220" w:after="220" w:line="220" w:lineRule="atLeast"/>
      <w:jc w:val="left"/>
    </w:pPr>
    <w:rPr>
      <w:rFonts w:ascii="Times New Roman" w:hAnsi="Times New Roman"/>
      <w:kern w:val="0"/>
      <w:sz w:val="20"/>
      <w:szCs w:val="20"/>
    </w:rPr>
  </w:style>
  <w:style w:type="paragraph" w:customStyle="1" w:styleId="3fffc">
    <w:name w:val="验收报告标题3"/>
    <w:basedOn w:val="2ffffff1"/>
    <w:qFormat/>
  </w:style>
  <w:style w:type="paragraph" w:customStyle="1" w:styleId="12a">
    <w:name w:val="样式 宋体 小四 加粗 行距: 最小值 12 磅"/>
    <w:basedOn w:val="a1"/>
    <w:qFormat/>
    <w:pPr>
      <w:spacing w:before="120" w:after="120" w:line="240" w:lineRule="atLeast"/>
    </w:pPr>
    <w:rPr>
      <w:rFonts w:ascii="宋体" w:hAnsi="宋体"/>
      <w:b/>
      <w:bCs/>
      <w:sz w:val="24"/>
      <w:szCs w:val="20"/>
    </w:rPr>
  </w:style>
  <w:style w:type="paragraph" w:customStyle="1" w:styleId="font16">
    <w:name w:val="font16"/>
    <w:basedOn w:val="a1"/>
    <w:qFormat/>
    <w:pPr>
      <w:widowControl/>
      <w:spacing w:before="100" w:beforeAutospacing="1" w:after="100" w:afterAutospacing="1"/>
      <w:jc w:val="left"/>
    </w:pPr>
    <w:rPr>
      <w:rFonts w:ascii="宋体" w:hAnsi="宋体" w:cs="宋体"/>
      <w:kern w:val="0"/>
      <w:sz w:val="18"/>
      <w:szCs w:val="18"/>
    </w:rPr>
  </w:style>
  <w:style w:type="paragraph" w:customStyle="1" w:styleId="15b">
    <w:name w:val="样式 四号 加粗 行距: 1.5 倍行距"/>
    <w:basedOn w:val="4a"/>
    <w:qFormat/>
    <w:pPr>
      <w:spacing w:line="360" w:lineRule="auto"/>
      <w:ind w:firstLineChars="200" w:firstLine="562"/>
    </w:pPr>
    <w:rPr>
      <w:rFonts w:ascii="Arial" w:eastAsia="黑体" w:hAnsi="Arial" w:cs="Times New Roman"/>
      <w:b w:val="0"/>
      <w:bCs w:val="0"/>
      <w:kern w:val="0"/>
      <w:szCs w:val="20"/>
    </w:rPr>
  </w:style>
  <w:style w:type="paragraph" w:customStyle="1" w:styleId="-71">
    <w:name w:val="文-7"/>
    <w:basedOn w:val="-50"/>
    <w:qFormat/>
    <w:pPr>
      <w:tabs>
        <w:tab w:val="right" w:leader="dot" w:pos="8789"/>
      </w:tabs>
      <w:adjustRightInd/>
      <w:snapToGrid/>
      <w:spacing w:before="120" w:line="240" w:lineRule="auto"/>
      <w:ind w:left="1701" w:firstLine="482"/>
      <w:jc w:val="both"/>
    </w:pPr>
    <w:rPr>
      <w:rFonts w:ascii="Times New Roman" w:eastAsia="宋体" w:hAnsi="Times New Roman"/>
      <w:kern w:val="2"/>
      <w:sz w:val="24"/>
      <w:szCs w:val="20"/>
    </w:rPr>
  </w:style>
  <w:style w:type="paragraph" w:customStyle="1" w:styleId="-13">
    <w:name w:val="标-1"/>
    <w:basedOn w:val="a1"/>
    <w:qFormat/>
    <w:pPr>
      <w:spacing w:before="120"/>
      <w:ind w:left="851" w:hanging="851"/>
    </w:pPr>
    <w:rPr>
      <w:rFonts w:ascii="Times New Roman" w:hAnsi="Times New Roman"/>
      <w:b/>
      <w:sz w:val="24"/>
      <w:szCs w:val="20"/>
    </w:rPr>
  </w:style>
  <w:style w:type="paragraph" w:customStyle="1" w:styleId="reader-word-layerreader-word-s1-10">
    <w:name w:val="reader-word-layer reader-word-s1-10"/>
    <w:basedOn w:val="a1"/>
    <w:qFormat/>
    <w:pPr>
      <w:widowControl/>
      <w:spacing w:before="100" w:beforeAutospacing="1" w:after="100" w:afterAutospacing="1"/>
      <w:jc w:val="left"/>
    </w:pPr>
    <w:rPr>
      <w:rFonts w:ascii="宋体" w:hAnsi="宋体" w:cs="宋体"/>
      <w:kern w:val="0"/>
      <w:sz w:val="24"/>
      <w:szCs w:val="24"/>
    </w:rPr>
  </w:style>
  <w:style w:type="paragraph" w:customStyle="1" w:styleId="ZchnZchnCharCharZchnZchn">
    <w:name w:val="Zchn Zchn Char Char Zchn Zchn"/>
    <w:basedOn w:val="a1"/>
    <w:qFormat/>
    <w:rPr>
      <w:rFonts w:ascii="Tahoma" w:eastAsia="楷体_GB2312" w:hAnsi="Tahoma"/>
      <w:spacing w:val="10"/>
      <w:sz w:val="24"/>
      <w:szCs w:val="20"/>
    </w:rPr>
  </w:style>
  <w:style w:type="paragraph" w:customStyle="1" w:styleId="2006205">
    <w:name w:val="样式 2006年协会论文摘要 + 首行缩进:  2 字符 段前: 0.5 行"/>
    <w:basedOn w:val="a1"/>
    <w:qFormat/>
    <w:pPr>
      <w:ind w:firstLineChars="200" w:firstLine="200"/>
    </w:pPr>
    <w:rPr>
      <w:rFonts w:ascii="Times New Roman" w:eastAsia="楷体_GB2312" w:hAnsi="Times New Roman" w:cs="宋体"/>
      <w:szCs w:val="20"/>
    </w:rPr>
  </w:style>
  <w:style w:type="paragraph" w:customStyle="1" w:styleId="reader-word-layerreader-word-s1-22">
    <w:name w:val="reader-word-layer reader-word-s1-22"/>
    <w:basedOn w:val="a1"/>
    <w:qFormat/>
    <w:pPr>
      <w:widowControl/>
      <w:spacing w:before="100" w:beforeAutospacing="1" w:after="100" w:afterAutospacing="1"/>
      <w:jc w:val="left"/>
    </w:pPr>
    <w:rPr>
      <w:rFonts w:ascii="宋体" w:hAnsi="宋体" w:cs="宋体"/>
      <w:kern w:val="0"/>
      <w:sz w:val="24"/>
      <w:szCs w:val="24"/>
    </w:rPr>
  </w:style>
  <w:style w:type="paragraph" w:customStyle="1" w:styleId="affffffffffffffffffffffffffffff8">
    <w:name w:val="分手多日，近况如何？"/>
    <w:qFormat/>
    <w:pPr>
      <w:widowControl w:val="0"/>
      <w:jc w:val="both"/>
    </w:pPr>
    <w:rPr>
      <w:kern w:val="2"/>
      <w:sz w:val="21"/>
      <w:szCs w:val="24"/>
    </w:rPr>
  </w:style>
  <w:style w:type="paragraph" w:customStyle="1" w:styleId="affffffffffffffffffffffffffffff9">
    <w:name w:val="工程建设项标题"/>
    <w:basedOn w:val="affffffffffffffffffffffffffffffa"/>
    <w:qFormat/>
    <w:pPr>
      <w:tabs>
        <w:tab w:val="left" w:pos="3827"/>
      </w:tabs>
    </w:pPr>
  </w:style>
  <w:style w:type="paragraph" w:customStyle="1" w:styleId="affffffffffffffffffffffffffffffa">
    <w:name w:val="工程建设款标题"/>
    <w:basedOn w:val="afffffffffffffffffffffffffffff4"/>
    <w:next w:val="a1"/>
    <w:qFormat/>
    <w:pPr>
      <w:tabs>
        <w:tab w:val="clear" w:pos="360"/>
        <w:tab w:val="clear" w:pos="735"/>
        <w:tab w:val="left" w:pos="3260"/>
      </w:tabs>
      <w:outlineLvl w:val="9"/>
    </w:pPr>
  </w:style>
  <w:style w:type="paragraph" w:customStyle="1" w:styleId="affffffffffffffffffffffffffffffb">
    <w:name w:val="封面落款"/>
    <w:basedOn w:val="a1"/>
    <w:qFormat/>
    <w:pPr>
      <w:tabs>
        <w:tab w:val="left" w:pos="1134"/>
        <w:tab w:val="right" w:pos="7371"/>
      </w:tabs>
      <w:overflowPunct w:val="0"/>
      <w:adjustRightInd w:val="0"/>
      <w:spacing w:line="360" w:lineRule="auto"/>
      <w:ind w:firstLineChars="200" w:firstLine="200"/>
      <w:jc w:val="center"/>
      <w:textAlignment w:val="baseline"/>
    </w:pPr>
    <w:rPr>
      <w:rFonts w:ascii="Times New Roman" w:eastAsia="黑体" w:hAnsi="Times New Roman"/>
      <w:color w:val="0000FF"/>
      <w:spacing w:val="20"/>
      <w:kern w:val="0"/>
      <w:sz w:val="32"/>
      <w:szCs w:val="20"/>
    </w:rPr>
  </w:style>
  <w:style w:type="paragraph" w:customStyle="1" w:styleId="Char1CharCharChar1CharCharChar">
    <w:name w:val="Char1 Char Char Char1 Char Char Char"/>
    <w:basedOn w:val="a1"/>
    <w:qFormat/>
    <w:pPr>
      <w:spacing w:line="360" w:lineRule="auto"/>
      <w:ind w:firstLineChars="200" w:firstLine="200"/>
    </w:pPr>
    <w:rPr>
      <w:rFonts w:ascii="宋体" w:hAnsi="宋体" w:cs="宋体"/>
      <w:sz w:val="24"/>
      <w:szCs w:val="24"/>
    </w:rPr>
  </w:style>
  <w:style w:type="paragraph" w:customStyle="1" w:styleId="font17">
    <w:name w:val="font17"/>
    <w:basedOn w:val="a1"/>
    <w:qFormat/>
    <w:pPr>
      <w:widowControl/>
      <w:spacing w:before="100" w:beforeAutospacing="1" w:after="100" w:afterAutospacing="1"/>
      <w:jc w:val="left"/>
    </w:pPr>
    <w:rPr>
      <w:rFonts w:ascii="宋体" w:hAnsi="宋体" w:cs="宋体"/>
      <w:kern w:val="0"/>
      <w:sz w:val="18"/>
      <w:szCs w:val="18"/>
    </w:rPr>
  </w:style>
  <w:style w:type="paragraph" w:customStyle="1" w:styleId="affffffffffffffffffffffffffffffc">
    <w:name w:val="实施日期"/>
    <w:basedOn w:val="a1"/>
    <w:qFormat/>
    <w:pPr>
      <w:widowControl/>
      <w:jc w:val="right"/>
    </w:pPr>
    <w:rPr>
      <w:rFonts w:ascii="Times New Roman" w:eastAsia="黑体" w:hAnsi="Times New Roman"/>
      <w:kern w:val="0"/>
      <w:sz w:val="28"/>
      <w:szCs w:val="20"/>
    </w:rPr>
  </w:style>
  <w:style w:type="paragraph" w:customStyle="1" w:styleId="Title2">
    <w:name w:val="Title 2"/>
    <w:basedOn w:val="a1"/>
    <w:qFormat/>
    <w:pPr>
      <w:spacing w:after="120"/>
      <w:ind w:left="851" w:hanging="851"/>
    </w:pPr>
    <w:rPr>
      <w:rFonts w:ascii="Arial" w:hAnsi="Arial"/>
      <w:szCs w:val="20"/>
    </w:rPr>
  </w:style>
  <w:style w:type="paragraph" w:customStyle="1" w:styleId="Style5">
    <w:name w:val="Style5"/>
    <w:basedOn w:val="a1"/>
    <w:next w:val="5a"/>
    <w:qFormat/>
    <w:pPr>
      <w:widowControl/>
      <w:tabs>
        <w:tab w:val="left" w:pos="1440"/>
      </w:tabs>
      <w:spacing w:before="120" w:after="120" w:line="400" w:lineRule="atLeast"/>
      <w:ind w:left="1440" w:hanging="1440"/>
      <w:jc w:val="left"/>
    </w:pPr>
    <w:rPr>
      <w:rFonts w:ascii="Times New Roman" w:hAnsi="Times New Roman"/>
      <w:b/>
      <w:i/>
      <w:kern w:val="0"/>
      <w:sz w:val="24"/>
      <w:szCs w:val="20"/>
    </w:rPr>
  </w:style>
  <w:style w:type="paragraph" w:customStyle="1" w:styleId="4fff">
    <w:name w:val="正文小4"/>
    <w:basedOn w:val="4f9"/>
    <w:qFormat/>
    <w:pPr>
      <w:adjustRightInd/>
      <w:spacing w:line="360" w:lineRule="auto"/>
      <w:ind w:rightChars="-51" w:right="-107" w:hangingChars="1" w:hanging="2"/>
      <w:jc w:val="both"/>
      <w:textAlignment w:val="auto"/>
    </w:pPr>
    <w:rPr>
      <w:rFonts w:eastAsia="仿宋_GB2312" w:hAnsi="宋体"/>
      <w:szCs w:val="28"/>
    </w:rPr>
  </w:style>
  <w:style w:type="paragraph" w:customStyle="1" w:styleId="CharCharCharCharCharCharCharCharChar1Char1CharCharCharCharCharChar1">
    <w:name w:val="Char Char Char Char Char Char Char Char Char1 Char1 Char Char Char Char Char Char1"/>
    <w:basedOn w:val="a1"/>
    <w:qFormat/>
    <w:pPr>
      <w:spacing w:line="360" w:lineRule="auto"/>
      <w:ind w:firstLineChars="200" w:firstLine="200"/>
    </w:pPr>
    <w:rPr>
      <w:rFonts w:ascii="宋体" w:hAnsi="宋体" w:cs="宋体"/>
      <w:sz w:val="24"/>
      <w:szCs w:val="24"/>
    </w:rPr>
  </w:style>
  <w:style w:type="paragraph" w:customStyle="1" w:styleId="reader-word-layerreader-word-s1-21">
    <w:name w:val="reader-word-layer reader-word-s1-21"/>
    <w:basedOn w:val="a1"/>
    <w:qFormat/>
    <w:pPr>
      <w:widowControl/>
      <w:spacing w:before="100" w:beforeAutospacing="1" w:after="100" w:afterAutospacing="1"/>
      <w:jc w:val="left"/>
    </w:pPr>
    <w:rPr>
      <w:rFonts w:ascii="宋体" w:hAnsi="宋体" w:cs="宋体"/>
      <w:kern w:val="0"/>
      <w:sz w:val="24"/>
      <w:szCs w:val="24"/>
    </w:rPr>
  </w:style>
  <w:style w:type="paragraph" w:customStyle="1" w:styleId="2ffffff5">
    <w:name w:val="!节2标"/>
    <w:basedOn w:val="2a"/>
    <w:qFormat/>
    <w:pPr>
      <w:tabs>
        <w:tab w:val="left" w:pos="576"/>
      </w:tabs>
      <w:spacing w:beforeLines="0" w:afterLines="0"/>
      <w:ind w:left="557" w:hanging="557"/>
    </w:pPr>
    <w:rPr>
      <w:rFonts w:eastAsia="仿宋_GB2312"/>
    </w:rPr>
  </w:style>
  <w:style w:type="paragraph" w:customStyle="1" w:styleId="3fffd">
    <w:name w:val="!节3标"/>
    <w:basedOn w:val="3a"/>
    <w:qFormat/>
    <w:pPr>
      <w:overflowPunct w:val="0"/>
      <w:snapToGrid w:val="0"/>
      <w:spacing w:beforeLines="50" w:afterLines="50" w:line="360" w:lineRule="auto"/>
      <w:ind w:left="540" w:hanging="540"/>
      <w:jc w:val="left"/>
    </w:pPr>
    <w:rPr>
      <w:rFonts w:ascii="Times New Roman" w:hAnsi="宋体"/>
      <w:bCs w:val="0"/>
      <w:color w:val="000000"/>
      <w:kern w:val="2"/>
      <w:sz w:val="28"/>
      <w:szCs w:val="28"/>
      <w:lang w:val="zh-CN"/>
    </w:rPr>
  </w:style>
  <w:style w:type="paragraph" w:customStyle="1" w:styleId="4111111117878">
    <w:name w:val="样式 标题 4款标题1.1.1.11.1.1.1 + (符号) 宋体 左 段前: 7.8 磅 段后: 7.8 磅"/>
    <w:basedOn w:val="4a"/>
    <w:qFormat/>
    <w:pPr>
      <w:widowControl/>
      <w:spacing w:beforeLines="50" w:afterLines="50" w:line="360" w:lineRule="auto"/>
    </w:pPr>
    <w:rPr>
      <w:rFonts w:ascii="黑体" w:eastAsia="黑体" w:hAnsi="宋体" w:cs="宋体"/>
      <w:snapToGrid w:val="0"/>
      <w:color w:val="1B1B1B"/>
      <w:kern w:val="0"/>
    </w:rPr>
  </w:style>
  <w:style w:type="paragraph" w:customStyle="1" w:styleId="cd5">
    <w:name w:val="cd5"/>
    <w:basedOn w:val="a1"/>
    <w:qFormat/>
    <w:pPr>
      <w:spacing w:before="120"/>
    </w:pPr>
    <w:rPr>
      <w:rFonts w:ascii="Times New Roman" w:hAnsi="Times New Roman"/>
      <w:sz w:val="24"/>
      <w:szCs w:val="20"/>
    </w:rPr>
  </w:style>
  <w:style w:type="paragraph" w:customStyle="1" w:styleId="22c">
    <w:name w:val="样式 样式 ＠正文 + 首行缩进:  2 字符 + 首行缩进:  2 字符"/>
    <w:basedOn w:val="a1"/>
    <w:qFormat/>
    <w:pPr>
      <w:spacing w:line="360" w:lineRule="auto"/>
      <w:ind w:firstLineChars="200" w:firstLine="560"/>
    </w:pPr>
    <w:rPr>
      <w:rFonts w:ascii="仿宋_GB2312" w:eastAsia="仿宋_GB2312" w:hAnsi="宋体" w:cs="宋体"/>
      <w:color w:val="000000"/>
      <w:kern w:val="0"/>
      <w:sz w:val="28"/>
      <w:szCs w:val="28"/>
    </w:rPr>
  </w:style>
  <w:style w:type="paragraph" w:customStyle="1" w:styleId="reader-word-layerreader-word-s1-11">
    <w:name w:val="reader-word-layer reader-word-s1-11"/>
    <w:basedOn w:val="a1"/>
    <w:qFormat/>
    <w:pPr>
      <w:widowControl/>
      <w:spacing w:before="100" w:beforeAutospacing="1" w:after="100" w:afterAutospacing="1"/>
      <w:jc w:val="left"/>
    </w:pPr>
    <w:rPr>
      <w:rFonts w:ascii="宋体" w:hAnsi="宋体" w:cs="宋体"/>
      <w:kern w:val="0"/>
      <w:sz w:val="24"/>
      <w:szCs w:val="24"/>
    </w:rPr>
  </w:style>
  <w:style w:type="paragraph" w:customStyle="1" w:styleId="20065">
    <w:name w:val="2006年协会论文作者"/>
    <w:basedOn w:val="a1"/>
    <w:qFormat/>
    <w:pPr>
      <w:spacing w:afterLines="50"/>
      <w:ind w:firstLine="357"/>
      <w:jc w:val="center"/>
    </w:pPr>
    <w:rPr>
      <w:rFonts w:ascii="Times New Roman" w:eastAsia="华文楷体" w:hAnsi="Times New Roman"/>
      <w:sz w:val="24"/>
      <w:szCs w:val="24"/>
    </w:rPr>
  </w:style>
  <w:style w:type="paragraph" w:customStyle="1" w:styleId="m5">
    <w:name w:val="m5"/>
    <w:basedOn w:val="a1"/>
    <w:qFormat/>
    <w:pPr>
      <w:widowControl/>
      <w:spacing w:before="100" w:beforeAutospacing="1" w:after="100" w:afterAutospacing="1" w:line="280" w:lineRule="atLeast"/>
      <w:jc w:val="left"/>
    </w:pPr>
    <w:rPr>
      <w:rFonts w:ascii="宋体" w:hAnsi="宋体"/>
      <w:color w:val="000000"/>
      <w:kern w:val="0"/>
      <w:sz w:val="26"/>
      <w:szCs w:val="26"/>
    </w:rPr>
  </w:style>
  <w:style w:type="paragraph" w:customStyle="1" w:styleId="affffffffffffffffffffffffffffffd">
    <w:name w:val="工程建设无节条标题"/>
    <w:basedOn w:val="a1"/>
    <w:next w:val="a1"/>
    <w:qFormat/>
    <w:pPr>
      <w:tabs>
        <w:tab w:val="left" w:pos="735"/>
        <w:tab w:val="left" w:pos="2551"/>
      </w:tabs>
      <w:ind w:left="2551" w:hanging="850"/>
    </w:pPr>
    <w:rPr>
      <w:rFonts w:ascii="Times New Roman" w:hAnsi="Times New Roman"/>
      <w:szCs w:val="24"/>
    </w:rPr>
  </w:style>
  <w:style w:type="paragraph" w:customStyle="1" w:styleId="211h2l22ndlevelTitre22Header22">
    <w:name w:val="样式 标题 2节标题 1.1h2l22nd levelTitre22Header 2节节标题一级节名标题2..."/>
    <w:basedOn w:val="2a"/>
    <w:qFormat/>
    <w:pPr>
      <w:widowControl/>
      <w:adjustRightInd w:val="0"/>
      <w:spacing w:beforeLines="0" w:afterLines="0"/>
      <w:jc w:val="both"/>
    </w:pPr>
    <w:rPr>
      <w:rFonts w:ascii="仿宋_GB2312" w:eastAsia="仿宋_GB2312" w:hAnsi="宋体" w:cs="宋体"/>
      <w:bCs w:val="0"/>
      <w:sz w:val="28"/>
      <w:szCs w:val="28"/>
    </w:rPr>
  </w:style>
  <w:style w:type="paragraph" w:customStyle="1" w:styleId="affffffffffffffffffffffffffffffe">
    <w:name w:val="验收报告"/>
    <w:basedOn w:val="1a"/>
    <w:qFormat/>
    <w:pPr>
      <w:spacing w:before="0" w:after="10" w:line="240" w:lineRule="auto"/>
    </w:pPr>
    <w:rPr>
      <w:rFonts w:ascii="Times New Roman" w:eastAsia="仿宋_GB2312" w:hAnsi="Times New Roman"/>
      <w:sz w:val="30"/>
    </w:rPr>
  </w:style>
  <w:style w:type="paragraph" w:customStyle="1" w:styleId="1050">
    <w:name w:val="表题前1后0.5行"/>
    <w:basedOn w:val="a1"/>
    <w:qFormat/>
    <w:pPr>
      <w:overflowPunct w:val="0"/>
      <w:topLinePunct/>
      <w:autoSpaceDE w:val="0"/>
      <w:autoSpaceDN w:val="0"/>
      <w:spacing w:before="30" w:after="30"/>
      <w:jc w:val="center"/>
    </w:pPr>
    <w:rPr>
      <w:rFonts w:ascii="Times New Roman" w:hAnsi="Times New Roman"/>
      <w:szCs w:val="20"/>
    </w:rPr>
  </w:style>
  <w:style w:type="paragraph" w:customStyle="1" w:styleId="CharCharCharCharCharCharCharCharChar1Char1CharCharCharCharCharCharCharCharCharCharChar1">
    <w:name w:val="Char Char Char Char Char Char Char Char Char1 Char1 Char Char Char Char Char Char Char Char Char Char Char1"/>
    <w:basedOn w:val="a1"/>
    <w:qFormat/>
    <w:pPr>
      <w:spacing w:line="360" w:lineRule="auto"/>
      <w:ind w:firstLineChars="200" w:firstLine="200"/>
    </w:pPr>
    <w:rPr>
      <w:rFonts w:ascii="宋体" w:hAnsi="宋体" w:cs="宋体"/>
      <w:sz w:val="24"/>
      <w:szCs w:val="24"/>
    </w:rPr>
  </w:style>
  <w:style w:type="paragraph" w:customStyle="1" w:styleId="4fff0">
    <w:name w:val="!节4标"/>
    <w:basedOn w:val="4a"/>
    <w:qFormat/>
    <w:pPr>
      <w:widowControl/>
      <w:spacing w:beforeLines="50" w:afterLines="50" w:line="360" w:lineRule="auto"/>
      <w:jc w:val="left"/>
    </w:pPr>
    <w:rPr>
      <w:rFonts w:ascii="仿宋_GB2312" w:eastAsia="仿宋_GB2312" w:hAnsi="Times New Roman" w:cs="Times New Roman"/>
      <w:bCs w:val="0"/>
      <w:snapToGrid w:val="0"/>
      <w:kern w:val="20"/>
    </w:rPr>
  </w:style>
  <w:style w:type="paragraph" w:customStyle="1" w:styleId="10e">
    <w:name w:val="标题10"/>
    <w:basedOn w:val="a1"/>
    <w:qFormat/>
    <w:pPr>
      <w:adjustRightInd w:val="0"/>
      <w:snapToGrid w:val="0"/>
      <w:spacing w:line="360" w:lineRule="auto"/>
      <w:ind w:firstLineChars="200" w:firstLine="480"/>
    </w:pPr>
    <w:rPr>
      <w:rFonts w:ascii="宋体" w:hAnsi="Times New Roman" w:hint="eastAsia"/>
      <w:sz w:val="24"/>
      <w:szCs w:val="20"/>
    </w:rPr>
  </w:style>
  <w:style w:type="paragraph" w:customStyle="1" w:styleId="afffffffffffffffffffffffffffffff">
    <w:name w:val="正文编号"/>
    <w:basedOn w:val="a1"/>
    <w:qFormat/>
    <w:pPr>
      <w:tabs>
        <w:tab w:val="left" w:pos="1280"/>
      </w:tabs>
      <w:adjustRightInd w:val="0"/>
      <w:spacing w:line="400" w:lineRule="exact"/>
      <w:ind w:left="1280" w:hanging="720"/>
      <w:textAlignment w:val="baseline"/>
    </w:pPr>
    <w:rPr>
      <w:rFonts w:ascii="Times New Roman" w:eastAsia="楷体_GB2312" w:hAnsi="Times New Roman"/>
      <w:spacing w:val="8"/>
      <w:kern w:val="0"/>
      <w:sz w:val="28"/>
      <w:szCs w:val="20"/>
    </w:rPr>
  </w:style>
  <w:style w:type="paragraph" w:customStyle="1" w:styleId="font18">
    <w:name w:val="font18"/>
    <w:basedOn w:val="a1"/>
    <w:qFormat/>
    <w:pPr>
      <w:widowControl/>
      <w:spacing w:before="100" w:beforeAutospacing="1" w:after="100" w:afterAutospacing="1"/>
      <w:jc w:val="left"/>
    </w:pPr>
    <w:rPr>
      <w:rFonts w:ascii="宋体" w:hAnsi="宋体" w:cs="宋体"/>
      <w:b/>
      <w:bCs/>
      <w:kern w:val="0"/>
      <w:sz w:val="22"/>
    </w:rPr>
  </w:style>
  <w:style w:type="paragraph" w:customStyle="1" w:styleId="reader-word-layerreader-word-s1-20">
    <w:name w:val="reader-word-layer reader-word-s1-20"/>
    <w:basedOn w:val="a1"/>
    <w:qFormat/>
    <w:pPr>
      <w:widowControl/>
      <w:spacing w:before="100" w:beforeAutospacing="1" w:after="100" w:afterAutospacing="1"/>
      <w:jc w:val="left"/>
    </w:pPr>
    <w:rPr>
      <w:rFonts w:ascii="宋体" w:hAnsi="宋体" w:cs="宋体"/>
      <w:kern w:val="0"/>
      <w:sz w:val="24"/>
      <w:szCs w:val="24"/>
    </w:rPr>
  </w:style>
  <w:style w:type="paragraph" w:customStyle="1" w:styleId="size12">
    <w:name w:val="size12"/>
    <w:basedOn w:val="a1"/>
    <w:qFormat/>
    <w:pPr>
      <w:widowControl/>
      <w:tabs>
        <w:tab w:val="left" w:pos="360"/>
      </w:tabs>
      <w:spacing w:before="100" w:beforeAutospacing="1" w:after="100" w:afterAutospacing="1"/>
      <w:jc w:val="left"/>
    </w:pPr>
    <w:rPr>
      <w:rFonts w:ascii="宋体" w:hAnsi="宋体" w:cs="宋体"/>
      <w:color w:val="000000"/>
      <w:kern w:val="0"/>
      <w:sz w:val="18"/>
      <w:szCs w:val="18"/>
    </w:rPr>
  </w:style>
  <w:style w:type="paragraph" w:customStyle="1" w:styleId="reader-word-layerreader-word-s2-13">
    <w:name w:val="reader-word-layer reader-word-s2-13"/>
    <w:basedOn w:val="a1"/>
    <w:qFormat/>
    <w:pPr>
      <w:widowControl/>
      <w:spacing w:before="100" w:beforeAutospacing="1" w:after="100" w:afterAutospacing="1"/>
      <w:jc w:val="left"/>
    </w:pPr>
    <w:rPr>
      <w:rFonts w:ascii="宋体" w:hAnsi="宋体" w:cs="宋体"/>
      <w:kern w:val="0"/>
      <w:sz w:val="24"/>
      <w:szCs w:val="24"/>
    </w:rPr>
  </w:style>
  <w:style w:type="paragraph" w:customStyle="1" w:styleId="afffffffffffffffffffffffffffffff0">
    <w:name w:val="工程建设图标题"/>
    <w:basedOn w:val="afffffffffffffffffffffffffffff4"/>
    <w:next w:val="a1"/>
    <w:qFormat/>
    <w:pPr>
      <w:tabs>
        <w:tab w:val="clear" w:pos="360"/>
        <w:tab w:val="clear" w:pos="735"/>
        <w:tab w:val="left" w:pos="5102"/>
      </w:tabs>
      <w:jc w:val="center"/>
      <w:outlineLvl w:val="9"/>
    </w:pPr>
    <w:rPr>
      <w:b/>
    </w:rPr>
  </w:style>
  <w:style w:type="paragraph" w:customStyle="1" w:styleId="afffffffffffffffffffffffffffffff1">
    <w:name w:val="图文字"/>
    <w:basedOn w:val="a1"/>
    <w:next w:val="a1"/>
    <w:qFormat/>
    <w:pPr>
      <w:snapToGrid w:val="0"/>
    </w:pPr>
    <w:rPr>
      <w:rFonts w:ascii="Arial" w:eastAsia="楷体_GB2312" w:hAnsi="Arial"/>
      <w:sz w:val="24"/>
      <w:szCs w:val="24"/>
    </w:rPr>
  </w:style>
  <w:style w:type="paragraph" w:customStyle="1" w:styleId="270">
    <w:name w:val="2.7"/>
    <w:basedOn w:val="a1"/>
    <w:qFormat/>
    <w:pPr>
      <w:widowControl/>
      <w:tabs>
        <w:tab w:val="left" w:pos="425"/>
      </w:tabs>
      <w:spacing w:line="300" w:lineRule="auto"/>
      <w:ind w:left="425" w:hanging="425"/>
      <w:jc w:val="left"/>
      <w:outlineLvl w:val="2"/>
    </w:pPr>
    <w:rPr>
      <w:rFonts w:ascii="宋体" w:hAnsi="宋体" w:cs="宋体"/>
      <w:b/>
      <w:kern w:val="0"/>
      <w:sz w:val="24"/>
      <w:szCs w:val="21"/>
    </w:rPr>
  </w:style>
  <w:style w:type="paragraph" w:customStyle="1" w:styleId="1ffffffe">
    <w:name w:val="重点1"/>
    <w:basedOn w:val="a1"/>
    <w:qFormat/>
    <w:pPr>
      <w:tabs>
        <w:tab w:val="left" w:pos="902"/>
      </w:tabs>
      <w:adjustRightInd w:val="0"/>
      <w:snapToGrid w:val="0"/>
      <w:spacing w:beforeLines="50" w:afterLines="50"/>
      <w:ind w:left="902" w:hanging="420"/>
    </w:pPr>
    <w:rPr>
      <w:rFonts w:ascii="Arial Unicode MS" w:eastAsia="Arial Unicode MS" w:hAnsi="Arial Unicode MS"/>
      <w:b/>
      <w:bCs/>
      <w:sz w:val="24"/>
      <w:szCs w:val="24"/>
    </w:rPr>
  </w:style>
  <w:style w:type="paragraph" w:customStyle="1" w:styleId="afffffffffffffffffffffffffffffff2">
    <w:name w:val="款项"/>
    <w:basedOn w:val="a1"/>
    <w:qFormat/>
    <w:pPr>
      <w:widowControl/>
      <w:spacing w:beforeLines="50" w:afterLines="50"/>
      <w:jc w:val="left"/>
    </w:pPr>
    <w:rPr>
      <w:rFonts w:ascii="黑体" w:eastAsia="黑体" w:hAnsi="宋体" w:cs="宋体"/>
      <w:kern w:val="0"/>
      <w:sz w:val="24"/>
      <w:szCs w:val="24"/>
    </w:rPr>
  </w:style>
  <w:style w:type="paragraph" w:customStyle="1" w:styleId="2ffffff6">
    <w:name w:val="报告标题2"/>
    <w:basedOn w:val="a1"/>
    <w:qFormat/>
    <w:pPr>
      <w:widowControl/>
      <w:spacing w:beforeLines="50" w:afterLines="50" w:line="600" w:lineRule="exact"/>
      <w:jc w:val="left"/>
    </w:pPr>
    <w:rPr>
      <w:rFonts w:ascii="宋体" w:eastAsia="黑体" w:hAnsi="宋体" w:cs="宋体"/>
      <w:kern w:val="0"/>
      <w:sz w:val="30"/>
      <w:szCs w:val="24"/>
    </w:rPr>
  </w:style>
  <w:style w:type="paragraph" w:customStyle="1" w:styleId="142">
    <w:name w:val="样式 样式 宋体 小四 行距: 多倍行距 1.4 字行 + 首行缩进:  2 字符"/>
    <w:basedOn w:val="a1"/>
    <w:qFormat/>
    <w:pPr>
      <w:spacing w:line="360" w:lineRule="auto"/>
      <w:ind w:firstLineChars="200" w:firstLine="200"/>
    </w:pPr>
    <w:rPr>
      <w:rFonts w:ascii="宋体" w:hAnsi="宋体"/>
      <w:kern w:val="28"/>
      <w:sz w:val="28"/>
      <w:szCs w:val="20"/>
    </w:rPr>
  </w:style>
  <w:style w:type="paragraph" w:customStyle="1" w:styleId="33h33rdlevelH3l3CT1110">
    <w:name w:val="样式 标题 33h33rd levelH3l3CT条标题1.1.1 + 宋体 小四 段前: 0 磅 段后: ..."/>
    <w:basedOn w:val="3a"/>
    <w:qFormat/>
    <w:pPr>
      <w:widowControl/>
      <w:spacing w:before="0" w:after="0" w:line="360" w:lineRule="auto"/>
    </w:pPr>
    <w:rPr>
      <w:rFonts w:ascii="宋体" w:hAnsi="宋体" w:cs="宋体"/>
      <w:kern w:val="2"/>
      <w:sz w:val="24"/>
      <w:szCs w:val="20"/>
    </w:rPr>
  </w:style>
  <w:style w:type="paragraph" w:customStyle="1" w:styleId="Arial10Point4">
    <w:name w:val="Arial10Point4"/>
    <w:basedOn w:val="a1"/>
    <w:next w:val="a1"/>
    <w:qFormat/>
    <w:pPr>
      <w:widowControl/>
      <w:autoSpaceDE w:val="0"/>
      <w:autoSpaceDN w:val="0"/>
      <w:jc w:val="left"/>
    </w:pPr>
    <w:rPr>
      <w:rFonts w:ascii="Arial" w:hAnsi="Arial"/>
      <w:kern w:val="0"/>
      <w:sz w:val="24"/>
      <w:szCs w:val="20"/>
    </w:rPr>
  </w:style>
  <w:style w:type="paragraph" w:customStyle="1" w:styleId="201">
    <w:name w:val="样式 小四 居中 行距: 固定值 20 磅"/>
    <w:basedOn w:val="a1"/>
    <w:qFormat/>
    <w:pPr>
      <w:spacing w:line="360" w:lineRule="auto"/>
      <w:jc w:val="center"/>
    </w:pPr>
    <w:rPr>
      <w:rFonts w:ascii="Times New Roman" w:eastAsia="楷体_GB2312" w:hAnsi="Times New Roman" w:cs="宋体"/>
      <w:sz w:val="24"/>
      <w:szCs w:val="20"/>
    </w:rPr>
  </w:style>
  <w:style w:type="paragraph" w:customStyle="1" w:styleId="DL">
    <w:name w:val="DL"/>
    <w:basedOn w:val="a1"/>
    <w:qFormat/>
    <w:pPr>
      <w:spacing w:beforeLines="50" w:line="360" w:lineRule="auto"/>
      <w:ind w:firstLineChars="200" w:firstLine="200"/>
    </w:pPr>
    <w:rPr>
      <w:rFonts w:ascii="Times New Roman" w:hAnsi="Times New Roman"/>
      <w:sz w:val="24"/>
      <w:szCs w:val="24"/>
    </w:rPr>
  </w:style>
  <w:style w:type="paragraph" w:customStyle="1" w:styleId="21Char0">
    <w:name w:val="标准文本 首行缩进:2 字符 行距1倍 Char"/>
    <w:basedOn w:val="a1"/>
    <w:qFormat/>
    <w:pPr>
      <w:adjustRightInd w:val="0"/>
      <w:snapToGrid w:val="0"/>
      <w:spacing w:line="300" w:lineRule="auto"/>
      <w:ind w:firstLineChars="225" w:firstLine="540"/>
      <w:textAlignment w:val="center"/>
    </w:pPr>
    <w:rPr>
      <w:rFonts w:ascii="宋体" w:eastAsia="楷体_GB2312" w:hAnsi="宋体" w:cs="Arial"/>
      <w:bCs/>
      <w:color w:val="000000"/>
      <w:sz w:val="24"/>
      <w:szCs w:val="24"/>
    </w:rPr>
  </w:style>
  <w:style w:type="paragraph" w:customStyle="1" w:styleId="afffffffffffffffffffffffffffffff3">
    <w:name w:val="框图"/>
    <w:basedOn w:val="a1"/>
    <w:qFormat/>
    <w:pPr>
      <w:widowControl/>
      <w:autoSpaceDE w:val="0"/>
      <w:autoSpaceDN w:val="0"/>
      <w:adjustRightInd w:val="0"/>
      <w:jc w:val="center"/>
    </w:pPr>
    <w:rPr>
      <w:rFonts w:ascii="宋体" w:hAnsi="宋体" w:cs="宋体"/>
      <w:kern w:val="0"/>
      <w:sz w:val="24"/>
      <w:szCs w:val="24"/>
    </w:rPr>
  </w:style>
  <w:style w:type="paragraph" w:customStyle="1" w:styleId="afffffffffffffffffffffffffffffff4">
    <w:name w:val="样式 小四 红色 居中"/>
    <w:basedOn w:val="a1"/>
    <w:qFormat/>
    <w:pPr>
      <w:jc w:val="center"/>
    </w:pPr>
    <w:rPr>
      <w:rFonts w:ascii="Times New Roman" w:eastAsia="楷体_GB2312" w:hAnsi="Times New Roman" w:cs="宋体"/>
      <w:color w:val="FF0000"/>
      <w:sz w:val="24"/>
      <w:szCs w:val="20"/>
    </w:rPr>
  </w:style>
  <w:style w:type="paragraph" w:customStyle="1" w:styleId="2ffffff7">
    <w:name w:val="样式 段 + 首行缩进:  2 字符"/>
    <w:basedOn w:val="3a"/>
    <w:qFormat/>
    <w:pPr>
      <w:widowControl/>
      <w:autoSpaceDE w:val="0"/>
      <w:autoSpaceDN w:val="0"/>
      <w:spacing w:before="0" w:after="0" w:line="240" w:lineRule="auto"/>
      <w:outlineLvl w:val="9"/>
    </w:pPr>
    <w:rPr>
      <w:rFonts w:ascii="宋体" w:hAnsi="宋体" w:cs="宋体"/>
      <w:b w:val="0"/>
      <w:bCs w:val="0"/>
      <w:sz w:val="21"/>
      <w:szCs w:val="20"/>
    </w:rPr>
  </w:style>
  <w:style w:type="paragraph" w:customStyle="1" w:styleId="CharCharChar11">
    <w:name w:val="Char Char Char11"/>
    <w:basedOn w:val="a1"/>
    <w:qFormat/>
    <w:rPr>
      <w:rFonts w:ascii="Times New Roman" w:hAnsi="Times New Roman"/>
      <w:szCs w:val="24"/>
    </w:rPr>
  </w:style>
  <w:style w:type="paragraph" w:customStyle="1" w:styleId="afffffffffffffffffffffffffffffff5">
    <w:name w:val="封面标准名称"/>
    <w:qFormat/>
    <w:pPr>
      <w:widowControl w:val="0"/>
      <w:spacing w:line="680" w:lineRule="exact"/>
      <w:jc w:val="center"/>
      <w:textAlignment w:val="center"/>
    </w:pPr>
    <w:rPr>
      <w:rFonts w:ascii="黑体" w:eastAsia="黑体"/>
      <w:sz w:val="52"/>
    </w:rPr>
  </w:style>
  <w:style w:type="paragraph" w:customStyle="1" w:styleId="s00">
    <w:name w:val="s0"/>
    <w:qFormat/>
    <w:pPr>
      <w:widowControl w:val="0"/>
      <w:autoSpaceDE w:val="0"/>
      <w:autoSpaceDN w:val="0"/>
      <w:adjustRightInd w:val="0"/>
    </w:pPr>
    <w:rPr>
      <w:rFonts w:ascii="????" w:eastAsia="????"/>
    </w:rPr>
  </w:style>
  <w:style w:type="paragraph" w:customStyle="1" w:styleId="ksheet">
    <w:name w:val="ksheet"/>
    <w:basedOn w:val="a1"/>
    <w:qFormat/>
    <w:pPr>
      <w:widowControl/>
      <w:autoSpaceDE w:val="0"/>
      <w:autoSpaceDN w:val="0"/>
      <w:adjustRightInd w:val="0"/>
      <w:spacing w:line="300" w:lineRule="exact"/>
      <w:jc w:val="center"/>
      <w:textAlignment w:val="baseline"/>
    </w:pPr>
    <w:rPr>
      <w:rFonts w:ascii="宋体" w:hAnsi="宋体" w:cs="宋体"/>
      <w:color w:val="000000"/>
      <w:kern w:val="0"/>
      <w:sz w:val="24"/>
      <w:szCs w:val="21"/>
    </w:rPr>
  </w:style>
  <w:style w:type="paragraph" w:customStyle="1" w:styleId="CharChar1CharCharCharCharCharCharChar">
    <w:name w:val="Char Char1 Char Char Char Char Char Char Char"/>
    <w:basedOn w:val="a1"/>
    <w:qFormat/>
    <w:pPr>
      <w:widowControl/>
      <w:spacing w:after="160" w:line="240" w:lineRule="exact"/>
      <w:jc w:val="left"/>
    </w:pPr>
    <w:rPr>
      <w:rFonts w:ascii="Arial" w:eastAsia="Times New Roman" w:hAnsi="Arial" w:cs="Verdana"/>
      <w:b/>
      <w:kern w:val="0"/>
      <w:sz w:val="24"/>
      <w:szCs w:val="24"/>
      <w:lang w:eastAsia="en-US"/>
    </w:rPr>
  </w:style>
  <w:style w:type="paragraph" w:customStyle="1" w:styleId="0850">
    <w:name w:val="样式 首行缩进:  0.85 厘米"/>
    <w:basedOn w:val="a1"/>
    <w:qFormat/>
    <w:pPr>
      <w:adjustRightInd w:val="0"/>
      <w:snapToGrid w:val="0"/>
      <w:ind w:left="348" w:hangingChars="145" w:hanging="348"/>
    </w:pPr>
    <w:rPr>
      <w:rFonts w:ascii="宋体" w:hAnsi="宋体" w:hint="eastAsia"/>
      <w:sz w:val="24"/>
      <w:szCs w:val="24"/>
    </w:rPr>
  </w:style>
  <w:style w:type="paragraph" w:customStyle="1" w:styleId="CharCharCharChar1CharCharCharCharCharCharCharChar1">
    <w:name w:val="Char Char Char Char1 Char Char Char Char Char Char Char Char1"/>
    <w:basedOn w:val="a1"/>
    <w:next w:val="a1"/>
    <w:semiHidden/>
    <w:qFormat/>
    <w:pPr>
      <w:spacing w:line="360" w:lineRule="auto"/>
      <w:ind w:firstLineChars="200" w:firstLine="200"/>
    </w:pPr>
    <w:rPr>
      <w:rFonts w:ascii="宋体" w:hAnsi="宋体" w:cs="宋体"/>
      <w:sz w:val="24"/>
      <w:szCs w:val="24"/>
    </w:rPr>
  </w:style>
  <w:style w:type="paragraph" w:customStyle="1" w:styleId="afffffffffffffffffffffffffffffff6">
    <w:name w:val="领结"/>
    <w:basedOn w:val="a1"/>
    <w:qFormat/>
    <w:pPr>
      <w:jc w:val="center"/>
    </w:pPr>
    <w:rPr>
      <w:rFonts w:ascii="仿宋_GB2312" w:eastAsia="仿宋_GB2312" w:hAnsi="Times New Roman"/>
      <w:sz w:val="18"/>
      <w:szCs w:val="24"/>
    </w:rPr>
  </w:style>
  <w:style w:type="paragraph" w:customStyle="1" w:styleId="2ffffff8">
    <w:name w:val="正文文字缩进2"/>
    <w:basedOn w:val="2e"/>
    <w:qFormat/>
    <w:pPr>
      <w:spacing w:after="0" w:line="360" w:lineRule="auto"/>
      <w:ind w:leftChars="0" w:left="0" w:firstLineChars="200" w:firstLine="560"/>
    </w:pPr>
    <w:rPr>
      <w:rFonts w:ascii="仿宋_GB2312" w:eastAsia="仿宋_GB2312"/>
      <w:sz w:val="28"/>
    </w:rPr>
  </w:style>
  <w:style w:type="paragraph" w:customStyle="1" w:styleId="190">
    <w:name w:val="19号令"/>
    <w:basedOn w:val="a1"/>
    <w:qFormat/>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CharCharCharChar1CharCharCharCharCharCharCharCharCharChar2">
    <w:name w:val="Char Char Char Char1 Char Char Char Char Char Char Char Char Char Char2"/>
    <w:basedOn w:val="a1"/>
    <w:qFormat/>
    <w:rPr>
      <w:rFonts w:ascii="Times New Roman" w:hAnsi="Times New Roman"/>
      <w:sz w:val="24"/>
      <w:szCs w:val="24"/>
    </w:rPr>
  </w:style>
  <w:style w:type="paragraph" w:customStyle="1" w:styleId="2ffffff9">
    <w:name w:val="首行缩进2"/>
    <w:basedOn w:val="a1"/>
    <w:qFormat/>
    <w:pPr>
      <w:spacing w:line="360" w:lineRule="auto"/>
      <w:ind w:firstLine="482"/>
    </w:pPr>
    <w:rPr>
      <w:rFonts w:ascii="Times New Roman" w:hAnsi="Times New Roman"/>
      <w:sz w:val="24"/>
      <w:szCs w:val="24"/>
    </w:rPr>
  </w:style>
  <w:style w:type="paragraph" w:customStyle="1" w:styleId="2212">
    <w:name w:val="样式 样式 首行缩进:  2 字符 + 首行缩进:  2 字符1"/>
    <w:basedOn w:val="a1"/>
    <w:qFormat/>
    <w:pPr>
      <w:spacing w:line="440" w:lineRule="exact"/>
      <w:ind w:firstLineChars="200" w:firstLine="584"/>
    </w:pPr>
    <w:rPr>
      <w:rFonts w:ascii="Times New Roman" w:eastAsia="楷体_GB2312" w:hAnsi="Times New Roman"/>
      <w:spacing w:val="6"/>
      <w:kern w:val="0"/>
      <w:sz w:val="28"/>
      <w:szCs w:val="28"/>
    </w:rPr>
  </w:style>
  <w:style w:type="paragraph" w:customStyle="1" w:styleId="afffffffffffffffffffffffffffffff7">
    <w:name w:val="正文(齐头)"/>
    <w:basedOn w:val="a1"/>
    <w:qFormat/>
    <w:pPr>
      <w:adjustRightInd w:val="0"/>
      <w:spacing w:after="180" w:line="320" w:lineRule="exact"/>
      <w:ind w:left="1009" w:hanging="1009"/>
      <w:textAlignment w:val="bottom"/>
    </w:pPr>
    <w:rPr>
      <w:rFonts w:ascii="Arial" w:hAnsi="Arial"/>
      <w:kern w:val="0"/>
      <w:sz w:val="24"/>
      <w:szCs w:val="20"/>
    </w:rPr>
  </w:style>
  <w:style w:type="paragraph" w:customStyle="1" w:styleId="2234234">
    <w:name w:val="样式 标题 2 + 段前: 23.4 磅 段后: 23.4 磅"/>
    <w:basedOn w:val="2a"/>
    <w:qFormat/>
    <w:pPr>
      <w:tabs>
        <w:tab w:val="left" w:pos="567"/>
      </w:tabs>
      <w:adjustRightInd w:val="0"/>
      <w:spacing w:beforeLines="0" w:beforeAutospacing="1" w:afterLines="0" w:afterAutospacing="1" w:line="0" w:lineRule="atLeast"/>
      <w:ind w:left="567" w:hanging="567"/>
      <w:textAlignment w:val="baseline"/>
    </w:pPr>
    <w:rPr>
      <w:rFonts w:eastAsia="宋体" w:cs="宋体"/>
      <w:b w:val="0"/>
      <w:bCs w:val="0"/>
      <w:color w:val="0000FF"/>
      <w:sz w:val="24"/>
      <w:szCs w:val="20"/>
    </w:rPr>
  </w:style>
  <w:style w:type="paragraph" w:customStyle="1" w:styleId="Title9">
    <w:name w:val="Title 9"/>
    <w:basedOn w:val="a1"/>
    <w:qFormat/>
    <w:pPr>
      <w:spacing w:after="120"/>
      <w:ind w:left="1865" w:hanging="425"/>
    </w:pPr>
    <w:rPr>
      <w:rFonts w:ascii="Arial" w:hAnsi="Arial"/>
      <w:szCs w:val="20"/>
    </w:rPr>
  </w:style>
  <w:style w:type="paragraph" w:customStyle="1" w:styleId="reader-word-layerreader-word-s5-13">
    <w:name w:val="reader-word-layer reader-word-s5-13"/>
    <w:basedOn w:val="a1"/>
    <w:qFormat/>
    <w:pPr>
      <w:widowControl/>
      <w:spacing w:before="100" w:beforeAutospacing="1" w:after="100" w:afterAutospacing="1"/>
      <w:jc w:val="left"/>
    </w:pPr>
    <w:rPr>
      <w:rFonts w:ascii="宋体" w:hAnsi="宋体" w:cs="宋体"/>
      <w:kern w:val="0"/>
      <w:sz w:val="24"/>
      <w:szCs w:val="24"/>
    </w:rPr>
  </w:style>
  <w:style w:type="paragraph" w:customStyle="1" w:styleId="B4">
    <w:name w:val="B4"/>
    <w:basedOn w:val="3a"/>
    <w:qFormat/>
    <w:pPr>
      <w:tabs>
        <w:tab w:val="left" w:pos="360"/>
        <w:tab w:val="left" w:pos="1260"/>
      </w:tabs>
      <w:spacing w:before="120" w:after="0" w:line="360" w:lineRule="auto"/>
      <w:ind w:left="1260" w:hanging="690"/>
    </w:pPr>
    <w:rPr>
      <w:rFonts w:ascii="Times New Roman" w:hAnsi="Times New Roman"/>
      <w:bCs w:val="0"/>
      <w:spacing w:val="10"/>
      <w:kern w:val="24"/>
      <w:sz w:val="28"/>
      <w:szCs w:val="20"/>
    </w:rPr>
  </w:style>
  <w:style w:type="paragraph" w:customStyle="1" w:styleId="-80">
    <w:name w:val="标-8"/>
    <w:basedOn w:val="-70"/>
    <w:qFormat/>
    <w:pPr>
      <w:tabs>
        <w:tab w:val="clear" w:pos="420"/>
        <w:tab w:val="left" w:pos="1005"/>
      </w:tabs>
      <w:ind w:left="2126"/>
    </w:pPr>
  </w:style>
  <w:style w:type="paragraph" w:customStyle="1" w:styleId="-81">
    <w:name w:val="文-8"/>
    <w:basedOn w:val="-71"/>
    <w:qFormat/>
    <w:pPr>
      <w:tabs>
        <w:tab w:val="clear" w:pos="8789"/>
      </w:tabs>
      <w:ind w:left="2126"/>
    </w:pPr>
  </w:style>
  <w:style w:type="paragraph" w:customStyle="1" w:styleId="T1">
    <w:name w:val="T1"/>
    <w:basedOn w:val="a1"/>
    <w:next w:val="T2"/>
    <w:qFormat/>
    <w:pPr>
      <w:tabs>
        <w:tab w:val="left" w:pos="425"/>
      </w:tabs>
      <w:adjustRightInd w:val="0"/>
      <w:spacing w:before="240" w:line="312" w:lineRule="auto"/>
      <w:ind w:left="425" w:hanging="425"/>
      <w:textAlignment w:val="baseline"/>
    </w:pPr>
    <w:rPr>
      <w:rFonts w:ascii="Times New Roman" w:hAnsi="Times New Roman"/>
      <w:b/>
      <w:color w:val="000080"/>
      <w:spacing w:val="16"/>
      <w:kern w:val="20"/>
      <w:sz w:val="30"/>
      <w:szCs w:val="20"/>
    </w:rPr>
  </w:style>
  <w:style w:type="paragraph" w:customStyle="1" w:styleId="afffffffffffffffffffffffffffffff8">
    <w:name w:val="正文（首行缩进）"/>
    <w:basedOn w:val="a1"/>
    <w:qFormat/>
    <w:pPr>
      <w:spacing w:line="480" w:lineRule="exact"/>
      <w:ind w:firstLineChars="200" w:firstLine="560"/>
    </w:pPr>
    <w:rPr>
      <w:rFonts w:ascii="宋体" w:hAnsi="宋体"/>
      <w:sz w:val="24"/>
      <w:szCs w:val="24"/>
    </w:rPr>
  </w:style>
  <w:style w:type="paragraph" w:customStyle="1" w:styleId="08">
    <w:name w:val="样式 首行缩进:  0 字符"/>
    <w:basedOn w:val="a1"/>
    <w:qFormat/>
    <w:pPr>
      <w:spacing w:line="360" w:lineRule="auto"/>
      <w:ind w:firstLineChars="200" w:firstLine="200"/>
    </w:pPr>
    <w:rPr>
      <w:rFonts w:ascii="Times New Roman" w:hAnsi="Times New Roman" w:cs="宋体"/>
      <w:sz w:val="24"/>
      <w:szCs w:val="20"/>
    </w:rPr>
  </w:style>
  <w:style w:type="paragraph" w:customStyle="1" w:styleId="reader-word-layerreader-word-s7-6">
    <w:name w:val="reader-word-layer reader-word-s7-6"/>
    <w:basedOn w:val="a1"/>
    <w:qFormat/>
    <w:pPr>
      <w:widowControl/>
      <w:spacing w:before="100" w:beforeAutospacing="1" w:after="100" w:afterAutospacing="1"/>
      <w:jc w:val="left"/>
    </w:pPr>
    <w:rPr>
      <w:rFonts w:ascii="宋体" w:hAnsi="宋体" w:cs="宋体"/>
      <w:kern w:val="0"/>
      <w:sz w:val="24"/>
      <w:szCs w:val="24"/>
    </w:rPr>
  </w:style>
  <w:style w:type="paragraph" w:customStyle="1" w:styleId="ZchnZchnCharCharZchnZchn1">
    <w:name w:val="Zchn Zchn Char Char Zchn Zchn1"/>
    <w:basedOn w:val="a1"/>
    <w:qFormat/>
    <w:rPr>
      <w:rFonts w:ascii="Tahoma" w:eastAsia="楷体_GB2312" w:hAnsi="Tahoma"/>
      <w:spacing w:val="10"/>
      <w:sz w:val="24"/>
      <w:szCs w:val="20"/>
    </w:rPr>
  </w:style>
  <w:style w:type="paragraph" w:customStyle="1" w:styleId="reader-word-layerreader-word-s11-1">
    <w:name w:val="reader-word-layer reader-word-s11-1"/>
    <w:basedOn w:val="a1"/>
    <w:qFormat/>
    <w:pPr>
      <w:widowControl/>
      <w:spacing w:before="100" w:beforeAutospacing="1" w:after="100" w:afterAutospacing="1"/>
      <w:jc w:val="left"/>
    </w:pPr>
    <w:rPr>
      <w:rFonts w:ascii="宋体" w:hAnsi="宋体" w:cs="宋体"/>
      <w:kern w:val="0"/>
      <w:sz w:val="24"/>
      <w:szCs w:val="24"/>
    </w:rPr>
  </w:style>
  <w:style w:type="paragraph" w:customStyle="1" w:styleId="afffffffffffffffffffffffffffffff9">
    <w:name w:val="主正文"/>
    <w:basedOn w:val="a1"/>
    <w:qFormat/>
    <w:pPr>
      <w:spacing w:beforeLines="50" w:line="420" w:lineRule="auto"/>
      <w:ind w:firstLineChars="200" w:firstLine="200"/>
    </w:pPr>
    <w:rPr>
      <w:rFonts w:ascii="Times New Roman" w:hAnsi="Times New Roman"/>
      <w:spacing w:val="6"/>
      <w:sz w:val="24"/>
      <w:szCs w:val="24"/>
    </w:rPr>
  </w:style>
  <w:style w:type="paragraph" w:customStyle="1" w:styleId="reader-word-layerreader-word-s11-2">
    <w:name w:val="reader-word-layer reader-word-s11-2"/>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4-6">
    <w:name w:val="reader-word-layer reader-word-s4-6"/>
    <w:basedOn w:val="a1"/>
    <w:qFormat/>
    <w:pPr>
      <w:widowControl/>
      <w:spacing w:before="100" w:beforeAutospacing="1" w:after="100" w:afterAutospacing="1"/>
      <w:jc w:val="left"/>
    </w:pPr>
    <w:rPr>
      <w:rFonts w:ascii="宋体" w:hAnsi="宋体" w:cs="宋体"/>
      <w:kern w:val="0"/>
      <w:sz w:val="24"/>
      <w:szCs w:val="24"/>
    </w:rPr>
  </w:style>
  <w:style w:type="paragraph" w:customStyle="1" w:styleId="afffffffffffffffffffffffffffffffa">
    <w:name w:val="内部地址"/>
    <w:basedOn w:val="a1"/>
    <w:qFormat/>
    <w:rPr>
      <w:rFonts w:ascii="宋体" w:hAnsi="宋体"/>
      <w:sz w:val="24"/>
      <w:szCs w:val="24"/>
    </w:rPr>
  </w:style>
  <w:style w:type="paragraph" w:customStyle="1" w:styleId="reader-word-layerreader-word-s11-12">
    <w:name w:val="reader-word-layer reader-word-s11-12"/>
    <w:basedOn w:val="a1"/>
    <w:qFormat/>
    <w:pPr>
      <w:widowControl/>
      <w:spacing w:before="100" w:beforeAutospacing="1" w:after="100" w:afterAutospacing="1"/>
      <w:jc w:val="left"/>
    </w:pPr>
    <w:rPr>
      <w:rFonts w:ascii="宋体" w:hAnsi="宋体" w:cs="宋体"/>
      <w:kern w:val="0"/>
      <w:sz w:val="24"/>
      <w:szCs w:val="24"/>
    </w:rPr>
  </w:style>
  <w:style w:type="paragraph" w:customStyle="1" w:styleId="CharChar2CharCharCharChar1">
    <w:name w:val="Char Char2 Char Char Char Char1"/>
    <w:basedOn w:val="a1"/>
    <w:qFormat/>
    <w:pPr>
      <w:adjustRightInd w:val="0"/>
      <w:spacing w:line="312" w:lineRule="atLeast"/>
      <w:textAlignment w:val="baseline"/>
    </w:pPr>
    <w:rPr>
      <w:rFonts w:ascii="Times New Roman" w:hAnsi="Times New Roman"/>
      <w:kern w:val="0"/>
      <w:szCs w:val="20"/>
    </w:rPr>
  </w:style>
  <w:style w:type="paragraph" w:customStyle="1" w:styleId="reader-word-layerreader-word-s11-3">
    <w:name w:val="reader-word-layer reader-word-s11-3"/>
    <w:basedOn w:val="a1"/>
    <w:qFormat/>
    <w:pPr>
      <w:widowControl/>
      <w:spacing w:before="100" w:beforeAutospacing="1" w:after="100" w:afterAutospacing="1"/>
      <w:jc w:val="left"/>
    </w:pPr>
    <w:rPr>
      <w:rFonts w:ascii="宋体" w:hAnsi="宋体" w:cs="宋体"/>
      <w:kern w:val="0"/>
      <w:sz w:val="24"/>
      <w:szCs w:val="24"/>
    </w:rPr>
  </w:style>
  <w:style w:type="paragraph" w:customStyle="1" w:styleId="Char2CharChar1">
    <w:name w:val="Char2 Char Char1"/>
    <w:basedOn w:val="a1"/>
    <w:qFormat/>
    <w:pPr>
      <w:spacing w:line="440" w:lineRule="atLeast"/>
    </w:pPr>
    <w:rPr>
      <w:rFonts w:ascii="Times New Roman" w:hAnsi="Times New Roman"/>
      <w:b/>
      <w:sz w:val="30"/>
      <w:szCs w:val="30"/>
    </w:rPr>
  </w:style>
  <w:style w:type="paragraph" w:customStyle="1" w:styleId="reader-word-layerreader-word-s15-1">
    <w:name w:val="reader-word-layer reader-word-s15-1"/>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4-18">
    <w:name w:val="reader-word-layer reader-word-s4-18"/>
    <w:basedOn w:val="a1"/>
    <w:qFormat/>
    <w:pPr>
      <w:widowControl/>
      <w:spacing w:before="100" w:beforeAutospacing="1" w:after="100" w:afterAutospacing="1"/>
      <w:jc w:val="left"/>
    </w:pPr>
    <w:rPr>
      <w:rFonts w:ascii="宋体" w:hAnsi="宋体" w:cs="宋体"/>
      <w:kern w:val="0"/>
      <w:sz w:val="24"/>
      <w:szCs w:val="24"/>
    </w:rPr>
  </w:style>
  <w:style w:type="paragraph" w:customStyle="1" w:styleId="la">
    <w:name w:val="la"/>
    <w:basedOn w:val="a1"/>
    <w:qFormat/>
    <w:pPr>
      <w:widowControl/>
      <w:spacing w:before="100" w:beforeAutospacing="1" w:after="100" w:afterAutospacing="1"/>
      <w:jc w:val="left"/>
    </w:pPr>
    <w:rPr>
      <w:rFonts w:ascii="Arial Unicode MS" w:eastAsia="Arial Unicode MS" w:hAnsi="Arial Unicode MS" w:cs="Arial Unicode MS"/>
      <w:color w:val="FF0000"/>
      <w:kern w:val="0"/>
      <w:sz w:val="20"/>
      <w:szCs w:val="20"/>
    </w:rPr>
  </w:style>
  <w:style w:type="paragraph" w:customStyle="1" w:styleId="reader-word-layerreader-word-s17-5">
    <w:name w:val="reader-word-layer reader-word-s17-5"/>
    <w:basedOn w:val="a1"/>
    <w:qFormat/>
    <w:pPr>
      <w:widowControl/>
      <w:spacing w:before="100" w:beforeAutospacing="1" w:after="100" w:afterAutospacing="1"/>
      <w:jc w:val="left"/>
    </w:pPr>
    <w:rPr>
      <w:rFonts w:ascii="宋体" w:hAnsi="宋体" w:cs="宋体"/>
      <w:kern w:val="0"/>
      <w:sz w:val="24"/>
      <w:szCs w:val="24"/>
    </w:rPr>
  </w:style>
  <w:style w:type="paragraph" w:customStyle="1" w:styleId="afffffffffffffffffffffffffffffffb">
    <w:name w:val="安评正文"/>
    <w:basedOn w:val="a1"/>
    <w:qFormat/>
    <w:pPr>
      <w:spacing w:line="360" w:lineRule="auto"/>
      <w:jc w:val="center"/>
    </w:pPr>
    <w:rPr>
      <w:rFonts w:ascii="宋体" w:hAnsi="宋体"/>
      <w:b/>
      <w:bCs/>
      <w:kern w:val="0"/>
      <w:szCs w:val="28"/>
    </w:rPr>
  </w:style>
  <w:style w:type="paragraph" w:customStyle="1" w:styleId="afffffffffffffffffffffffffffffffc">
    <w:name w:val="表格（大）"/>
    <w:basedOn w:val="a1"/>
    <w:qFormat/>
    <w:pPr>
      <w:widowControl/>
      <w:spacing w:line="0" w:lineRule="atLeast"/>
      <w:outlineLvl w:val="1"/>
    </w:pPr>
    <w:rPr>
      <w:rFonts w:ascii="宋体" w:hAnsi="宋体"/>
      <w:snapToGrid w:val="0"/>
      <w:kern w:val="0"/>
      <w:sz w:val="24"/>
      <w:szCs w:val="20"/>
    </w:rPr>
  </w:style>
  <w:style w:type="paragraph" w:customStyle="1" w:styleId="2ffffffa">
    <w:name w:val="缩进2个字"/>
    <w:basedOn w:val="a1"/>
    <w:qFormat/>
    <w:pPr>
      <w:spacing w:line="0" w:lineRule="atLeast"/>
      <w:jc w:val="center"/>
    </w:pPr>
    <w:rPr>
      <w:rFonts w:ascii="Times New Roman" w:hAnsi="Times New Roman"/>
      <w:snapToGrid w:val="0"/>
      <w:color w:val="000000"/>
      <w:spacing w:val="12"/>
      <w:kern w:val="24"/>
      <w:szCs w:val="20"/>
    </w:rPr>
  </w:style>
  <w:style w:type="paragraph" w:customStyle="1" w:styleId="afffffffffffffffffffffffffffffffd">
    <w:name w:val="正文一"/>
    <w:basedOn w:val="a1"/>
    <w:qFormat/>
    <w:pPr>
      <w:spacing w:line="480" w:lineRule="exact"/>
      <w:ind w:firstLineChars="200" w:firstLine="480"/>
    </w:pPr>
    <w:rPr>
      <w:rFonts w:ascii="宋体" w:hAnsi="宋体"/>
      <w:sz w:val="24"/>
      <w:szCs w:val="28"/>
    </w:rPr>
  </w:style>
  <w:style w:type="paragraph" w:customStyle="1" w:styleId="2ffffffb">
    <w:name w:val="样式 样式2 + 四号"/>
    <w:basedOn w:val="a1"/>
    <w:qFormat/>
    <w:pPr>
      <w:keepNext/>
      <w:keepLines/>
      <w:spacing w:beforeLines="50" w:afterLines="50" w:line="360" w:lineRule="auto"/>
      <w:jc w:val="left"/>
      <w:outlineLvl w:val="1"/>
    </w:pPr>
    <w:rPr>
      <w:rFonts w:ascii="宋体" w:hAnsi="宋体"/>
      <w:b/>
      <w:bCs/>
      <w:sz w:val="30"/>
      <w:szCs w:val="32"/>
    </w:rPr>
  </w:style>
  <w:style w:type="paragraph" w:customStyle="1" w:styleId="0992">
    <w:name w:val="样式 正文文字 + 首行缩进:  0.99 厘米"/>
    <w:basedOn w:val="afb"/>
    <w:qFormat/>
    <w:pPr>
      <w:spacing w:after="0" w:line="400" w:lineRule="exact"/>
      <w:jc w:val="center"/>
    </w:pPr>
    <w:rPr>
      <w:rFonts w:ascii="宋体" w:hAnsi="宋体"/>
      <w:sz w:val="28"/>
      <w:szCs w:val="28"/>
    </w:rPr>
  </w:style>
  <w:style w:type="paragraph" w:customStyle="1" w:styleId="2ffffffc">
    <w:name w:val="样式 (西文) 宋体 首行缩进:  2 字符"/>
    <w:basedOn w:val="a1"/>
    <w:qFormat/>
    <w:pPr>
      <w:spacing w:line="360" w:lineRule="auto"/>
      <w:ind w:firstLineChars="200" w:firstLine="480"/>
    </w:pPr>
    <w:rPr>
      <w:rFonts w:ascii="宋体" w:hAnsi="宋体"/>
      <w:spacing w:val="20"/>
      <w:sz w:val="24"/>
      <w:szCs w:val="24"/>
    </w:rPr>
  </w:style>
  <w:style w:type="paragraph" w:customStyle="1" w:styleId="2150">
    <w:name w:val="样式 宋体 首行缩进:  2 字符 行距: 1.5 倍行距"/>
    <w:basedOn w:val="a1"/>
    <w:qFormat/>
    <w:pPr>
      <w:adjustRightInd w:val="0"/>
      <w:snapToGrid w:val="0"/>
      <w:spacing w:line="360" w:lineRule="auto"/>
      <w:ind w:firstLineChars="200" w:firstLine="200"/>
    </w:pPr>
    <w:rPr>
      <w:rFonts w:ascii="宋体" w:hAnsi="宋体" w:cs="宋体"/>
      <w:sz w:val="24"/>
      <w:szCs w:val="20"/>
    </w:rPr>
  </w:style>
  <w:style w:type="paragraph" w:customStyle="1" w:styleId="biao7-5">
    <w:name w:val="biao7-5"/>
    <w:basedOn w:val="9a"/>
    <w:qFormat/>
    <w:pPr>
      <w:widowControl/>
      <w:tabs>
        <w:tab w:val="clear" w:pos="3980"/>
        <w:tab w:val="left" w:pos="600"/>
      </w:tabs>
      <w:autoSpaceDE w:val="0"/>
      <w:autoSpaceDN w:val="0"/>
      <w:snapToGrid w:val="0"/>
      <w:spacing w:before="60" w:after="0" w:line="312" w:lineRule="auto"/>
      <w:ind w:left="0" w:firstLine="0"/>
      <w:jc w:val="center"/>
      <w:textAlignment w:val="bottom"/>
      <w:outlineLvl w:val="9"/>
    </w:pPr>
    <w:rPr>
      <w:rFonts w:ascii="Times New Roman" w:hAnsi="Times New Roman"/>
      <w:bCs/>
      <w:kern w:val="0"/>
      <w:szCs w:val="20"/>
    </w:rPr>
  </w:style>
  <w:style w:type="paragraph" w:customStyle="1" w:styleId="Paratitre">
    <w:name w:val="Paratitre"/>
    <w:basedOn w:val="a1"/>
    <w:qFormat/>
    <w:pPr>
      <w:widowControl/>
      <w:overflowPunct w:val="0"/>
      <w:autoSpaceDE w:val="0"/>
      <w:autoSpaceDN w:val="0"/>
      <w:adjustRightInd w:val="0"/>
      <w:spacing w:before="240"/>
      <w:ind w:left="700"/>
      <w:textAlignment w:val="baseline"/>
    </w:pPr>
    <w:rPr>
      <w:rFonts w:ascii="Arial" w:hAnsi="Arial"/>
      <w:kern w:val="0"/>
      <w:sz w:val="20"/>
      <w:szCs w:val="20"/>
    </w:rPr>
  </w:style>
  <w:style w:type="paragraph" w:customStyle="1" w:styleId="afffffffffffffffffffffffffffffffe">
    <w:name w:val="表题格式"/>
    <w:basedOn w:val="a1"/>
    <w:qFormat/>
    <w:pPr>
      <w:spacing w:line="440" w:lineRule="exact"/>
      <w:ind w:firstLineChars="377" w:firstLine="377"/>
    </w:pPr>
    <w:rPr>
      <w:rFonts w:ascii="Times New Roman" w:eastAsia="黑体" w:hAnsi="Times New Roman"/>
      <w:kern w:val="0"/>
      <w:sz w:val="24"/>
      <w:szCs w:val="20"/>
    </w:rPr>
  </w:style>
  <w:style w:type="paragraph" w:customStyle="1" w:styleId="affffffffffffffffffffffffffffffff">
    <w:name w:val="环表头"/>
    <w:basedOn w:val="a1"/>
    <w:qFormat/>
    <w:pPr>
      <w:widowControl/>
      <w:tabs>
        <w:tab w:val="left" w:pos="283"/>
        <w:tab w:val="left" w:pos="5094"/>
      </w:tabs>
      <w:adjustRightInd w:val="0"/>
      <w:spacing w:before="62" w:after="31" w:line="500" w:lineRule="exact"/>
      <w:ind w:left="493" w:right="28"/>
      <w:jc w:val="center"/>
      <w:textAlignment w:val="baseline"/>
    </w:pPr>
    <w:rPr>
      <w:rFonts w:ascii="宋体" w:hAnsi="宋体"/>
      <w:bCs/>
      <w:kern w:val="24"/>
      <w:sz w:val="28"/>
      <w:szCs w:val="28"/>
    </w:rPr>
  </w:style>
  <w:style w:type="paragraph" w:customStyle="1" w:styleId="affffffffffffffffffffffffffffffff0">
    <w:name w:val="环表"/>
    <w:basedOn w:val="a1"/>
    <w:qFormat/>
    <w:pPr>
      <w:widowControl/>
      <w:tabs>
        <w:tab w:val="left" w:pos="5094"/>
      </w:tabs>
      <w:adjustRightInd w:val="0"/>
      <w:spacing w:before="120" w:after="120" w:line="312" w:lineRule="atLeast"/>
      <w:ind w:right="29"/>
      <w:jc w:val="center"/>
      <w:textAlignment w:val="baseline"/>
    </w:pPr>
    <w:rPr>
      <w:rFonts w:ascii="仿宋_GB2312" w:eastAsia="仿宋_GB2312" w:hAnsi="Courier New"/>
      <w:kern w:val="0"/>
      <w:szCs w:val="24"/>
    </w:rPr>
  </w:style>
  <w:style w:type="paragraph" w:customStyle="1" w:styleId="affffffffffffffffffffffffffffffff1">
    <w:name w:val="样式 样式 题注 + 两端对齐 + 宋体"/>
    <w:basedOn w:val="a1"/>
    <w:qFormat/>
    <w:pPr>
      <w:keepNext/>
      <w:spacing w:line="360" w:lineRule="auto"/>
      <w:jc w:val="center"/>
    </w:pPr>
    <w:rPr>
      <w:rFonts w:ascii="宋体" w:hAnsi="宋体"/>
      <w:snapToGrid w:val="0"/>
      <w:kern w:val="0"/>
      <w:sz w:val="28"/>
      <w:szCs w:val="20"/>
    </w:rPr>
  </w:style>
  <w:style w:type="paragraph" w:customStyle="1" w:styleId="body-1">
    <w:name w:val="body-1"/>
    <w:basedOn w:val="a1"/>
    <w:qFormat/>
    <w:pPr>
      <w:widowControl/>
      <w:ind w:left="720" w:hanging="720"/>
      <w:jc w:val="left"/>
    </w:pPr>
    <w:rPr>
      <w:rFonts w:ascii="Arial" w:hAnsi="Arial"/>
      <w:kern w:val="0"/>
      <w:sz w:val="20"/>
      <w:szCs w:val="20"/>
      <w:lang w:eastAsia="en-US"/>
    </w:rPr>
  </w:style>
  <w:style w:type="paragraph" w:customStyle="1" w:styleId="body-tbl">
    <w:name w:val="body-tbl"/>
    <w:basedOn w:val="Body"/>
    <w:qFormat/>
    <w:pPr>
      <w:spacing w:after="120"/>
      <w:ind w:hanging="720"/>
    </w:pPr>
  </w:style>
  <w:style w:type="paragraph" w:customStyle="1" w:styleId="CharCharCharCharCharCharCharCharCharCharChar1CharCharCharCharCharCharChar1">
    <w:name w:val="Char Char Char Char Char Char Char Char Char Char Char1 Char Char Char Char Char Char Char1"/>
    <w:basedOn w:val="a1"/>
    <w:qFormat/>
    <w:rPr>
      <w:rFonts w:ascii="Times New Roman" w:hAnsi="Times New Roman"/>
      <w:szCs w:val="24"/>
    </w:rPr>
  </w:style>
  <w:style w:type="paragraph" w:customStyle="1" w:styleId="texten">
    <w:name w:val="texten"/>
    <w:basedOn w:val="a1"/>
    <w:qFormat/>
    <w:pPr>
      <w:widowControl/>
      <w:spacing w:before="100" w:beforeAutospacing="1" w:after="100" w:afterAutospacing="1" w:line="320" w:lineRule="atLeast"/>
      <w:jc w:val="left"/>
    </w:pPr>
    <w:rPr>
      <w:rFonts w:ascii="Arial" w:hAnsi="Arial" w:cs="Arial"/>
      <w:kern w:val="0"/>
      <w:szCs w:val="21"/>
    </w:rPr>
  </w:style>
  <w:style w:type="paragraph" w:customStyle="1" w:styleId="211GB2312">
    <w:name w:val="样式 标题 2节标题 1.1 + 楷体_GB2312 三号"/>
    <w:basedOn w:val="2a"/>
    <w:qFormat/>
    <w:pPr>
      <w:spacing w:beforeLines="0" w:afterLines="0"/>
      <w:jc w:val="both"/>
    </w:pPr>
    <w:rPr>
      <w:rFonts w:ascii="楷体_GB2312" w:eastAsia="楷体_GB2312" w:hAnsi="楷体_GB2312"/>
    </w:rPr>
  </w:style>
  <w:style w:type="paragraph" w:customStyle="1" w:styleId="affffffffffffffffffffffffffffffff2">
    <w:name w:val="中文表标题"/>
    <w:basedOn w:val="a1"/>
    <w:next w:val="a1"/>
    <w:qFormat/>
    <w:pPr>
      <w:keepNext/>
      <w:widowControl/>
      <w:overflowPunct w:val="0"/>
      <w:adjustRightInd w:val="0"/>
      <w:snapToGrid w:val="0"/>
      <w:spacing w:before="480" w:after="360" w:line="500" w:lineRule="exact"/>
      <w:jc w:val="center"/>
      <w:textAlignment w:val="baseline"/>
    </w:pPr>
    <w:rPr>
      <w:rFonts w:ascii="Times New Roman" w:hAnsi="Times New Roman"/>
      <w:kern w:val="0"/>
      <w:sz w:val="28"/>
      <w:szCs w:val="20"/>
    </w:rPr>
  </w:style>
  <w:style w:type="paragraph" w:customStyle="1" w:styleId="affffffffffffffffffffffffffffffff3">
    <w:name w:val="多"/>
    <w:basedOn w:val="a1"/>
    <w:qFormat/>
    <w:pPr>
      <w:spacing w:line="300" w:lineRule="auto"/>
      <w:ind w:firstLineChars="200" w:firstLine="200"/>
    </w:pPr>
    <w:rPr>
      <w:rFonts w:ascii="宋体" w:hAnsi="宋体" w:cs="宋体"/>
      <w:sz w:val="24"/>
      <w:szCs w:val="24"/>
    </w:rPr>
  </w:style>
  <w:style w:type="paragraph" w:customStyle="1" w:styleId="affffffffffffffffffffffffffffffff4">
    <w:name w:val="表格文字样式"/>
    <w:basedOn w:val="a1"/>
    <w:semiHidden/>
    <w:qFormat/>
    <w:pPr>
      <w:tabs>
        <w:tab w:val="left" w:pos="567"/>
      </w:tabs>
      <w:spacing w:line="360" w:lineRule="auto"/>
      <w:ind w:firstLineChars="200" w:firstLine="200"/>
      <w:jc w:val="center"/>
    </w:pPr>
    <w:rPr>
      <w:rFonts w:ascii="Times New Roman" w:eastAsia="华文中宋" w:hAnsi="Times New Roman"/>
      <w:spacing w:val="20"/>
      <w:sz w:val="24"/>
      <w:szCs w:val="20"/>
    </w:rPr>
  </w:style>
  <w:style w:type="paragraph" w:customStyle="1" w:styleId="CharCharCharChar1CharCharCharCharCharCharCharChar">
    <w:name w:val="Char Char Char Char1 Char Char Char Char Char Char Char Char"/>
    <w:basedOn w:val="a1"/>
    <w:next w:val="a1"/>
    <w:semiHidden/>
    <w:qFormat/>
    <w:pPr>
      <w:spacing w:line="360" w:lineRule="auto"/>
      <w:ind w:firstLineChars="200" w:firstLine="200"/>
    </w:pPr>
    <w:rPr>
      <w:rFonts w:ascii="宋体" w:eastAsia="Times New Roman" w:hAnsi="宋体" w:cs="宋体"/>
      <w:sz w:val="24"/>
      <w:szCs w:val="24"/>
    </w:rPr>
  </w:style>
  <w:style w:type="paragraph" w:customStyle="1" w:styleId="2ffffffd">
    <w:name w:val="中文表内容2"/>
    <w:basedOn w:val="a1"/>
    <w:next w:val="a1"/>
    <w:qFormat/>
    <w:pPr>
      <w:spacing w:line="300" w:lineRule="auto"/>
      <w:jc w:val="center"/>
    </w:pPr>
    <w:rPr>
      <w:rFonts w:ascii="Times New Roman" w:eastAsia="仿宋_GB2312" w:hAnsi="Times New Roman"/>
      <w:sz w:val="24"/>
      <w:szCs w:val="20"/>
    </w:rPr>
  </w:style>
  <w:style w:type="paragraph" w:customStyle="1" w:styleId="1523">
    <w:name w:val="样式 样式 宋体 小四 行距: 1.5 倍行距 + 首行缩进:  2 字符"/>
    <w:basedOn w:val="a1"/>
    <w:qFormat/>
    <w:pPr>
      <w:spacing w:line="360" w:lineRule="auto"/>
      <w:ind w:firstLineChars="200" w:firstLine="560"/>
    </w:pPr>
    <w:rPr>
      <w:rFonts w:ascii="宋体" w:hAnsi="宋体"/>
      <w:kern w:val="28"/>
      <w:sz w:val="28"/>
      <w:szCs w:val="20"/>
    </w:rPr>
  </w:style>
  <w:style w:type="paragraph" w:customStyle="1" w:styleId="reader-word-layerreader-word-s1-15">
    <w:name w:val="reader-word-layer reader-word-s1-15"/>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1-17">
    <w:name w:val="reader-word-layer reader-word-s1-17"/>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1-16">
    <w:name w:val="reader-word-layer reader-word-s1-16"/>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1-2">
    <w:name w:val="reader-word-layer reader-word-s1-2"/>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2-2">
    <w:name w:val="reader-word-layer reader-word-s2-2"/>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2-4">
    <w:name w:val="reader-word-layer reader-word-s2-4"/>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2-6">
    <w:name w:val="reader-word-layer reader-word-s2-6"/>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3-7">
    <w:name w:val="reader-word-layer reader-word-s3-7"/>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3-2">
    <w:name w:val="reader-word-layer reader-word-s3-2"/>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5-3">
    <w:name w:val="reader-word-layer reader-word-s5-3"/>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2-3">
    <w:name w:val="reader-word-layer reader-word-s2-3"/>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4-3">
    <w:name w:val="reader-word-layer reader-word-s4-3"/>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4-1">
    <w:name w:val="reader-word-layer reader-word-s4-1"/>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6-13">
    <w:name w:val="reader-word-layer reader-word-s6-13"/>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6-12">
    <w:name w:val="reader-word-layer reader-word-s6-12"/>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6-21">
    <w:name w:val="reader-word-layer reader-word-s6-21"/>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4-17">
    <w:name w:val="reader-word-layer reader-word-s4-17"/>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4-16">
    <w:name w:val="reader-word-layer reader-word-s4-16"/>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4-10">
    <w:name w:val="reader-word-layer reader-word-s4-10"/>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4-20">
    <w:name w:val="reader-word-layer reader-word-s4-20"/>
    <w:basedOn w:val="a1"/>
    <w:qFormat/>
    <w:pPr>
      <w:widowControl/>
      <w:spacing w:before="100" w:beforeAutospacing="1" w:after="100" w:afterAutospacing="1"/>
      <w:jc w:val="left"/>
    </w:pPr>
    <w:rPr>
      <w:rFonts w:ascii="宋体" w:hAnsi="宋体" w:cs="宋体"/>
      <w:kern w:val="0"/>
      <w:sz w:val="24"/>
      <w:szCs w:val="24"/>
    </w:rPr>
  </w:style>
  <w:style w:type="paragraph" w:customStyle="1" w:styleId="CharCharCharCharCharCharCharCharChar1Char11">
    <w:name w:val="Char Char Char Char Char Char Char Char Char1 Char11"/>
    <w:basedOn w:val="a1"/>
    <w:qFormat/>
    <w:rPr>
      <w:rFonts w:ascii="Times New Roman" w:hAnsi="Times New Roman"/>
      <w:sz w:val="24"/>
      <w:szCs w:val="24"/>
    </w:rPr>
  </w:style>
  <w:style w:type="paragraph" w:customStyle="1" w:styleId="reader-word-layerreader-word-s4-5">
    <w:name w:val="reader-word-layer reader-word-s4-5"/>
    <w:basedOn w:val="a1"/>
    <w:qFormat/>
    <w:pPr>
      <w:widowControl/>
      <w:spacing w:before="100" w:beforeAutospacing="1" w:after="100" w:afterAutospacing="1"/>
      <w:jc w:val="left"/>
    </w:pPr>
    <w:rPr>
      <w:rFonts w:ascii="宋体" w:hAnsi="宋体" w:cs="宋体"/>
      <w:kern w:val="0"/>
      <w:sz w:val="24"/>
      <w:szCs w:val="24"/>
    </w:rPr>
  </w:style>
  <w:style w:type="paragraph" w:customStyle="1" w:styleId="CharCharCharCharCharCharCharCharCharCharCharCharCharCharCharCharCharCharCharCharCharCharCharChar1">
    <w:name w:val="Char Char Char Char Char Char Char Char Char Char Char Char Char Char Char Char Char Char Char Char Char Char Char Char1"/>
    <w:basedOn w:val="a1"/>
    <w:qFormat/>
    <w:rPr>
      <w:rFonts w:ascii="Times New Roman" w:hAnsi="Times New Roman"/>
      <w:szCs w:val="24"/>
    </w:rPr>
  </w:style>
  <w:style w:type="paragraph" w:customStyle="1" w:styleId="reader-word-layerreader-word-s3-4">
    <w:name w:val="reader-word-layer reader-word-s3-4"/>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2-7">
    <w:name w:val="reader-word-layer reader-word-s2-7"/>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2-1">
    <w:name w:val="reader-word-layer reader-word-s2-1"/>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1-12">
    <w:name w:val="reader-word-layer reader-word-s1-12"/>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3-20">
    <w:name w:val="reader-word-layer reader-word-s3-20"/>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3-24">
    <w:name w:val="reader-word-layer reader-word-s3-24"/>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3-18">
    <w:name w:val="reader-word-layer reader-word-s3-18"/>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4-11">
    <w:name w:val="reader-word-layer reader-word-s4-11"/>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5-7">
    <w:name w:val="reader-word-layer reader-word-s5-7"/>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5-14">
    <w:name w:val="reader-word-layer reader-word-s5-14"/>
    <w:basedOn w:val="a1"/>
    <w:qFormat/>
    <w:pPr>
      <w:widowControl/>
      <w:spacing w:before="100" w:beforeAutospacing="1" w:after="100" w:afterAutospacing="1"/>
      <w:jc w:val="left"/>
    </w:pPr>
    <w:rPr>
      <w:rFonts w:ascii="宋体" w:hAnsi="宋体" w:cs="宋体"/>
      <w:kern w:val="0"/>
      <w:sz w:val="24"/>
      <w:szCs w:val="24"/>
    </w:rPr>
  </w:style>
  <w:style w:type="paragraph" w:customStyle="1" w:styleId="Char1CharCharChar1CharCharChar1">
    <w:name w:val="Char1 Char Char Char1 Char Char Char1"/>
    <w:basedOn w:val="a1"/>
    <w:qFormat/>
    <w:pPr>
      <w:spacing w:line="360" w:lineRule="auto"/>
      <w:ind w:firstLineChars="200" w:firstLine="200"/>
    </w:pPr>
    <w:rPr>
      <w:rFonts w:ascii="宋体" w:hAnsi="宋体" w:cs="宋体"/>
      <w:sz w:val="24"/>
      <w:szCs w:val="24"/>
    </w:rPr>
  </w:style>
  <w:style w:type="paragraph" w:customStyle="1" w:styleId="Char1CharChar1Char1">
    <w:name w:val="Char1 Char Char1 Char1"/>
    <w:basedOn w:val="a1"/>
    <w:qFormat/>
    <w:rPr>
      <w:rFonts w:ascii="Times New Roman" w:hAnsi="Times New Roman"/>
      <w:sz w:val="24"/>
      <w:szCs w:val="24"/>
    </w:rPr>
  </w:style>
  <w:style w:type="paragraph" w:customStyle="1" w:styleId="Char2CharCharChar1">
    <w:name w:val="Char2 Char Char Char1"/>
    <w:basedOn w:val="a1"/>
    <w:qFormat/>
    <w:pPr>
      <w:spacing w:line="360" w:lineRule="auto"/>
    </w:pPr>
    <w:rPr>
      <w:rFonts w:ascii="Tahoma" w:hAnsi="Tahoma"/>
      <w:sz w:val="24"/>
      <w:szCs w:val="20"/>
    </w:rPr>
  </w:style>
  <w:style w:type="paragraph" w:customStyle="1" w:styleId="GB2312151">
    <w:name w:val="样式 样式 楷体_GB2312 小四 居中 行距: 单倍行距 + 梅红 行距: 1.5 倍行距"/>
    <w:basedOn w:val="GB23122"/>
    <w:qFormat/>
    <w:rPr>
      <w:color w:val="993366"/>
    </w:rPr>
  </w:style>
  <w:style w:type="paragraph" w:customStyle="1" w:styleId="15c">
    <w:name w:val="样式 宋体 小四 黑色 行距: 1.5 倍行距"/>
    <w:basedOn w:val="a1"/>
    <w:qFormat/>
    <w:pPr>
      <w:spacing w:beforeLines="30" w:afterLines="30" w:line="360" w:lineRule="auto"/>
      <w:ind w:firstLineChars="200" w:firstLine="200"/>
    </w:pPr>
    <w:rPr>
      <w:rFonts w:ascii="宋体" w:hAnsi="宋体" w:cs="宋体"/>
      <w:color w:val="000000"/>
      <w:spacing w:val="12"/>
      <w:sz w:val="24"/>
      <w:szCs w:val="20"/>
    </w:rPr>
  </w:style>
  <w:style w:type="paragraph" w:customStyle="1" w:styleId="q4">
    <w:name w:val="q4"/>
    <w:basedOn w:val="a1"/>
    <w:qFormat/>
    <w:pPr>
      <w:keepNext/>
      <w:keepLines/>
      <w:tabs>
        <w:tab w:val="left" w:pos="851"/>
      </w:tabs>
      <w:adjustRightInd w:val="0"/>
      <w:spacing w:before="120" w:after="120" w:line="300" w:lineRule="exact"/>
      <w:ind w:firstLine="510"/>
      <w:jc w:val="left"/>
      <w:textAlignment w:val="baseline"/>
    </w:pPr>
    <w:rPr>
      <w:rFonts w:ascii="Arial" w:hAnsi="Arial"/>
      <w:b/>
      <w:color w:val="000000"/>
      <w:kern w:val="44"/>
      <w:sz w:val="24"/>
      <w:szCs w:val="20"/>
    </w:rPr>
  </w:style>
  <w:style w:type="paragraph" w:customStyle="1" w:styleId="CharCharCharChar1CharCharCharCharCharCharCharChar2">
    <w:name w:val="Char Char Char Char1 Char Char Char Char Char Char Char Char2"/>
    <w:basedOn w:val="a1"/>
    <w:next w:val="a1"/>
    <w:semiHidden/>
    <w:qFormat/>
    <w:pPr>
      <w:spacing w:line="360" w:lineRule="auto"/>
      <w:ind w:firstLineChars="200" w:firstLine="200"/>
    </w:pPr>
    <w:rPr>
      <w:rFonts w:ascii="宋体" w:hAnsi="宋体" w:cs="宋体"/>
      <w:sz w:val="24"/>
      <w:szCs w:val="24"/>
    </w:rPr>
  </w:style>
  <w:style w:type="paragraph" w:customStyle="1" w:styleId="CM12">
    <w:name w:val="CM12"/>
    <w:basedOn w:val="a1"/>
    <w:next w:val="a1"/>
    <w:qFormat/>
    <w:pPr>
      <w:autoSpaceDE w:val="0"/>
      <w:autoSpaceDN w:val="0"/>
      <w:adjustRightInd w:val="0"/>
      <w:spacing w:line="626" w:lineRule="atLeast"/>
      <w:jc w:val="left"/>
    </w:pPr>
    <w:rPr>
      <w:rFonts w:ascii="Times New Roman" w:hAnsi="Times New Roman"/>
      <w:kern w:val="0"/>
      <w:sz w:val="24"/>
      <w:szCs w:val="24"/>
    </w:rPr>
  </w:style>
  <w:style w:type="paragraph" w:customStyle="1" w:styleId="1fffffff">
    <w:name w:val="(文字) (文字)1"/>
    <w:basedOn w:val="a1"/>
    <w:qFormat/>
    <w:pPr>
      <w:spacing w:line="360" w:lineRule="auto"/>
      <w:ind w:firstLineChars="200" w:firstLine="200"/>
    </w:pPr>
    <w:rPr>
      <w:rFonts w:ascii="Times New Roman" w:hAnsi="Times New Roman"/>
      <w:szCs w:val="20"/>
    </w:rPr>
  </w:style>
  <w:style w:type="paragraph" w:customStyle="1" w:styleId="reader-word-layerreader-word-s19-13">
    <w:name w:val="reader-word-layer reader-word-s19-13"/>
    <w:basedOn w:val="a1"/>
    <w:qFormat/>
    <w:pPr>
      <w:widowControl/>
      <w:spacing w:before="100" w:beforeAutospacing="1" w:after="100" w:afterAutospacing="1"/>
      <w:jc w:val="left"/>
    </w:pPr>
    <w:rPr>
      <w:rFonts w:ascii="宋体" w:hAnsi="宋体" w:cs="宋体"/>
      <w:kern w:val="0"/>
      <w:sz w:val="24"/>
      <w:szCs w:val="24"/>
    </w:rPr>
  </w:style>
  <w:style w:type="paragraph" w:customStyle="1" w:styleId="TimesNewRomanGB231215">
    <w:name w:val="样式 (西文) Times New Roman (中文) 仿宋_GB2312 五号 黑色 行距: 1.5 倍行距"/>
    <w:basedOn w:val="a1"/>
    <w:qFormat/>
    <w:pPr>
      <w:adjustRightInd w:val="0"/>
      <w:spacing w:line="360" w:lineRule="auto"/>
      <w:ind w:firstLineChars="200" w:firstLine="420"/>
      <w:textAlignment w:val="baseline"/>
    </w:pPr>
    <w:rPr>
      <w:rFonts w:ascii="Times New Roman" w:eastAsia="仿宋_GB2312" w:hAnsi="Times New Roman" w:cs="宋体"/>
      <w:color w:val="000000"/>
      <w:sz w:val="24"/>
      <w:szCs w:val="20"/>
    </w:rPr>
  </w:style>
  <w:style w:type="paragraph" w:customStyle="1" w:styleId="ParaCharCharCharCharCharCharCharCharChar1Char">
    <w:name w:val="默认段落字体 Para Char Char Char Char Char Char Char Char Char1 Char"/>
    <w:basedOn w:val="a1"/>
    <w:semiHidden/>
    <w:qFormat/>
    <w:pPr>
      <w:pageBreakBefore/>
      <w:widowControl/>
      <w:jc w:val="left"/>
    </w:pPr>
    <w:rPr>
      <w:rFonts w:ascii="黑体" w:eastAsia="黑体" w:hAnsi="黑体" w:cs="宋体"/>
      <w:kern w:val="0"/>
      <w:sz w:val="28"/>
      <w:szCs w:val="24"/>
    </w:rPr>
  </w:style>
  <w:style w:type="paragraph" w:customStyle="1" w:styleId="2ffffffe">
    <w:name w:val="首行缩进2字符"/>
    <w:basedOn w:val="a1"/>
    <w:qFormat/>
    <w:pPr>
      <w:spacing w:line="360" w:lineRule="auto"/>
      <w:ind w:firstLineChars="200" w:firstLine="560"/>
    </w:pPr>
    <w:rPr>
      <w:rFonts w:ascii="Times New Roman" w:hAnsi="Times New Roman"/>
      <w:bCs/>
      <w:snapToGrid w:val="0"/>
      <w:kern w:val="28"/>
      <w:sz w:val="28"/>
      <w:szCs w:val="28"/>
    </w:rPr>
  </w:style>
  <w:style w:type="paragraph" w:customStyle="1" w:styleId="-0232">
    <w:name w:val="样式 左侧:  -0.23 厘米 首行缩进:  2 字符"/>
    <w:basedOn w:val="a1"/>
    <w:qFormat/>
    <w:pPr>
      <w:adjustRightInd w:val="0"/>
      <w:snapToGrid w:val="0"/>
      <w:spacing w:line="360" w:lineRule="auto"/>
      <w:ind w:firstLineChars="200" w:firstLine="200"/>
    </w:pPr>
    <w:rPr>
      <w:rFonts w:ascii="宋体" w:hAnsi="Times New Roman"/>
      <w:snapToGrid w:val="0"/>
      <w:kern w:val="0"/>
      <w:sz w:val="24"/>
      <w:szCs w:val="24"/>
    </w:rPr>
  </w:style>
  <w:style w:type="paragraph" w:customStyle="1" w:styleId="nilo">
    <w:name w:val="nilo_正文"/>
    <w:basedOn w:val="a1"/>
    <w:qFormat/>
    <w:rPr>
      <w:rFonts w:ascii="Times New Roman" w:hAnsi="Times New Roman"/>
      <w:szCs w:val="20"/>
    </w:rPr>
  </w:style>
  <w:style w:type="paragraph" w:customStyle="1" w:styleId="reader-word-layerreader-word-s19-12">
    <w:name w:val="reader-word-layer reader-word-s19-12"/>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19-11">
    <w:name w:val="reader-word-layer reader-word-s19-11"/>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19-8">
    <w:name w:val="reader-word-layer reader-word-s19-8"/>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19-15">
    <w:name w:val="reader-word-layer reader-word-s19-15"/>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19-5">
    <w:name w:val="reader-word-layer reader-word-s19-5"/>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19-7">
    <w:name w:val="reader-word-layer reader-word-s19-7"/>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30-14">
    <w:name w:val="reader-word-layer reader-word-s30-14"/>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30-15">
    <w:name w:val="reader-word-layer reader-word-s30-15"/>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30-5">
    <w:name w:val="reader-word-layer reader-word-s30-5"/>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30-13">
    <w:name w:val="reader-word-layer reader-word-s30-13"/>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6-9">
    <w:name w:val="reader-word-layer reader-word-s6-9"/>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7-1">
    <w:name w:val="reader-word-layer reader-word-s7-1"/>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11-11">
    <w:name w:val="reader-word-layer reader-word-s11-11"/>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15-6">
    <w:name w:val="reader-word-layer reader-word-s15-6"/>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15-7">
    <w:name w:val="reader-word-layer reader-word-s15-7"/>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17-4">
    <w:name w:val="reader-word-layer reader-word-s17-4"/>
    <w:basedOn w:val="a1"/>
    <w:qFormat/>
    <w:pPr>
      <w:widowControl/>
      <w:spacing w:before="100" w:beforeAutospacing="1" w:after="100" w:afterAutospacing="1"/>
      <w:jc w:val="left"/>
    </w:pPr>
    <w:rPr>
      <w:rFonts w:ascii="宋体" w:hAnsi="宋体" w:cs="宋体"/>
      <w:kern w:val="0"/>
      <w:sz w:val="24"/>
      <w:szCs w:val="24"/>
    </w:rPr>
  </w:style>
  <w:style w:type="paragraph" w:customStyle="1" w:styleId="reader-word-layerreader-word-s17-6reader-word-s17-9">
    <w:name w:val="reader-word-layer reader-word-s17-6 reader-word-s17-9"/>
    <w:basedOn w:val="a1"/>
    <w:qFormat/>
    <w:pPr>
      <w:widowControl/>
      <w:spacing w:before="100" w:beforeAutospacing="1" w:after="100" w:afterAutospacing="1"/>
      <w:jc w:val="left"/>
    </w:pPr>
    <w:rPr>
      <w:rFonts w:ascii="宋体" w:hAnsi="宋体" w:cs="宋体"/>
      <w:kern w:val="0"/>
      <w:sz w:val="24"/>
      <w:szCs w:val="24"/>
    </w:rPr>
  </w:style>
  <w:style w:type="paragraph" w:customStyle="1" w:styleId="affffffffffffffffffffffffffffffff5">
    <w:name w:val="样式 小一 加粗 居中"/>
    <w:basedOn w:val="a1"/>
    <w:qFormat/>
    <w:pPr>
      <w:spacing w:line="360" w:lineRule="auto"/>
      <w:jc w:val="center"/>
    </w:pPr>
    <w:rPr>
      <w:rFonts w:ascii="Times New Roman" w:hAnsi="Times New Roman" w:cs="宋体"/>
      <w:b/>
      <w:bCs/>
      <w:sz w:val="48"/>
      <w:szCs w:val="20"/>
    </w:rPr>
  </w:style>
  <w:style w:type="paragraph" w:customStyle="1" w:styleId="affffffffffffffffffffffffffffffff6">
    <w:name w:val="正缩"/>
    <w:basedOn w:val="a1"/>
    <w:qFormat/>
    <w:pPr>
      <w:adjustRightInd w:val="0"/>
      <w:ind w:firstLine="567"/>
      <w:textAlignment w:val="baseline"/>
    </w:pPr>
    <w:rPr>
      <w:rFonts w:ascii="Times New Roman" w:hAnsi="Times New Roman"/>
      <w:sz w:val="24"/>
      <w:szCs w:val="20"/>
    </w:rPr>
  </w:style>
  <w:style w:type="paragraph" w:customStyle="1" w:styleId="affffffffffffffffffffffffffffffff7">
    <w:name w:val="正文文字一"/>
    <w:basedOn w:val="a1"/>
    <w:qFormat/>
    <w:pPr>
      <w:spacing w:line="520" w:lineRule="exact"/>
      <w:ind w:firstLine="567"/>
    </w:pPr>
    <w:rPr>
      <w:rFonts w:ascii="Times New Roman" w:hAnsi="Times New Roman"/>
      <w:sz w:val="28"/>
      <w:szCs w:val="24"/>
    </w:rPr>
  </w:style>
  <w:style w:type="paragraph" w:customStyle="1" w:styleId="037037">
    <w:name w:val="样式 正文缩进 + 左侧:  0.37 厘米 右侧:  0.37 厘米"/>
    <w:basedOn w:val="Default"/>
    <w:next w:val="Default"/>
    <w:qFormat/>
    <w:rPr>
      <w:color w:val="auto"/>
    </w:rPr>
  </w:style>
  <w:style w:type="paragraph" w:customStyle="1" w:styleId="affffffffffffffffffffffffffffffff8">
    <w:name w:val="样式正文"/>
    <w:basedOn w:val="a1"/>
    <w:link w:val="Charffffe"/>
    <w:qFormat/>
    <w:pPr>
      <w:autoSpaceDE w:val="0"/>
      <w:autoSpaceDN w:val="0"/>
      <w:adjustRightInd w:val="0"/>
      <w:spacing w:line="360" w:lineRule="auto"/>
      <w:ind w:firstLineChars="270" w:firstLine="567"/>
      <w:jc w:val="left"/>
    </w:pPr>
    <w:rPr>
      <w:rFonts w:ascii="宋体" w:hAnsi="宋体" w:cs="宋体"/>
      <w:color w:val="000000"/>
      <w:kern w:val="0"/>
      <w:szCs w:val="21"/>
    </w:rPr>
  </w:style>
  <w:style w:type="paragraph" w:customStyle="1" w:styleId="s422">
    <w:name w:val="样式 样式 正文缩进s4 + 首行缩进:  2 字符 + 首行缩进:  2 字符"/>
    <w:basedOn w:val="a1"/>
    <w:qFormat/>
    <w:pPr>
      <w:adjustRightInd w:val="0"/>
      <w:snapToGrid w:val="0"/>
      <w:spacing w:line="336" w:lineRule="auto"/>
      <w:ind w:firstLineChars="227" w:firstLine="545"/>
    </w:pPr>
    <w:rPr>
      <w:rFonts w:ascii="宋体" w:hAnsi="宋体"/>
      <w:color w:val="000000"/>
      <w:sz w:val="28"/>
      <w:szCs w:val="20"/>
    </w:rPr>
  </w:style>
  <w:style w:type="paragraph" w:customStyle="1" w:styleId="2fffffff">
    <w:name w:val="正文(首行缩进2字）"/>
    <w:basedOn w:val="a1"/>
    <w:qFormat/>
    <w:pPr>
      <w:spacing w:line="360" w:lineRule="auto"/>
      <w:ind w:firstLineChars="200" w:firstLine="480"/>
    </w:pPr>
    <w:rPr>
      <w:rFonts w:ascii="Arial" w:hAnsi="Arial" w:cs="Arial"/>
      <w:sz w:val="24"/>
      <w:szCs w:val="24"/>
    </w:rPr>
  </w:style>
  <w:style w:type="paragraph" w:customStyle="1" w:styleId="NormalI">
    <w:name w:val="Normal I"/>
    <w:basedOn w:val="a1"/>
    <w:qFormat/>
    <w:pPr>
      <w:ind w:firstLineChars="200" w:firstLine="420"/>
    </w:pPr>
    <w:rPr>
      <w:rFonts w:ascii="Times New Roman" w:hAnsi="Times New Roman"/>
      <w:szCs w:val="21"/>
    </w:rPr>
  </w:style>
  <w:style w:type="paragraph" w:customStyle="1" w:styleId="12q">
    <w:name w:val="样式12q"/>
    <w:basedOn w:val="a1"/>
    <w:link w:val="12qChar"/>
    <w:qFormat/>
    <w:pPr>
      <w:spacing w:line="360" w:lineRule="auto"/>
      <w:ind w:firstLineChars="200" w:firstLine="560"/>
    </w:pPr>
    <w:rPr>
      <w:rFonts w:ascii="Times New Roman" w:hAnsi="Times New Roman"/>
      <w:sz w:val="28"/>
      <w:szCs w:val="28"/>
    </w:rPr>
  </w:style>
  <w:style w:type="paragraph" w:customStyle="1" w:styleId="0982">
    <w:name w:val="样式 题注 + 左侧:  0.98 厘米 首行缩进:  2 字符"/>
    <w:basedOn w:val="ae"/>
    <w:qFormat/>
    <w:pPr>
      <w:wordWrap w:val="0"/>
      <w:adjustRightInd w:val="0"/>
      <w:snapToGrid w:val="0"/>
      <w:spacing w:line="360" w:lineRule="auto"/>
      <w:jc w:val="center"/>
    </w:pPr>
    <w:rPr>
      <w:rFonts w:ascii="Times New Roman" w:eastAsia="宋体" w:hAnsi="宋体"/>
      <w:b/>
      <w:color w:val="000000"/>
      <w:sz w:val="24"/>
      <w:szCs w:val="24"/>
    </w:rPr>
  </w:style>
  <w:style w:type="paragraph" w:customStyle="1" w:styleId="098">
    <w:name w:val="样式 样式 表格 + 左侧:  0.98 厘米 + 居中"/>
    <w:basedOn w:val="a1"/>
    <w:qFormat/>
    <w:pPr>
      <w:adjustRightInd w:val="0"/>
      <w:snapToGrid w:val="0"/>
      <w:spacing w:before="100" w:beforeAutospacing="1" w:after="100" w:afterAutospacing="1" w:line="300" w:lineRule="auto"/>
      <w:jc w:val="center"/>
    </w:pPr>
    <w:rPr>
      <w:rFonts w:ascii="Arial" w:hAnsi="Arial"/>
      <w:snapToGrid w:val="0"/>
      <w:kern w:val="0"/>
      <w:szCs w:val="20"/>
    </w:rPr>
  </w:style>
  <w:style w:type="paragraph" w:customStyle="1" w:styleId="0980">
    <w:name w:val="样式 表格 + 左侧:  0.98 厘米"/>
    <w:basedOn w:val="a1"/>
    <w:qFormat/>
    <w:pPr>
      <w:adjustRightInd w:val="0"/>
      <w:snapToGrid w:val="0"/>
      <w:spacing w:before="100" w:beforeAutospacing="1" w:after="100" w:afterAutospacing="1" w:line="300" w:lineRule="auto"/>
    </w:pPr>
    <w:rPr>
      <w:rFonts w:ascii="Arial" w:hAnsi="Arial"/>
      <w:snapToGrid w:val="0"/>
      <w:kern w:val="0"/>
      <w:szCs w:val="20"/>
    </w:rPr>
  </w:style>
  <w:style w:type="paragraph" w:customStyle="1" w:styleId="0981">
    <w:name w:val="样式 左侧:  0.98 厘米"/>
    <w:basedOn w:val="a1"/>
    <w:qFormat/>
    <w:pPr>
      <w:adjustRightInd w:val="0"/>
      <w:snapToGrid w:val="0"/>
      <w:spacing w:line="490" w:lineRule="exact"/>
      <w:ind w:firstLineChars="200" w:firstLine="560"/>
    </w:pPr>
    <w:rPr>
      <w:rFonts w:ascii="Times New Roman" w:eastAsia="仿宋_GB2312" w:hAnsi="Times New Roman"/>
      <w:sz w:val="28"/>
      <w:szCs w:val="20"/>
    </w:rPr>
  </w:style>
  <w:style w:type="paragraph" w:customStyle="1" w:styleId="0983">
    <w:name w:val="样式 表格 + 居中 左侧:  0.98 厘米"/>
    <w:basedOn w:val="afffff"/>
    <w:qFormat/>
    <w:pPr>
      <w:adjustRightInd w:val="0"/>
      <w:snapToGrid w:val="0"/>
      <w:spacing w:before="100" w:beforeAutospacing="1" w:after="100" w:afterAutospacing="1"/>
      <w:ind w:leftChars="200" w:left="560"/>
    </w:pPr>
    <w:rPr>
      <w:rFonts w:ascii="Arial" w:hAnsi="Arial"/>
      <w:color w:val="000000"/>
      <w:szCs w:val="20"/>
    </w:rPr>
  </w:style>
  <w:style w:type="paragraph" w:customStyle="1" w:styleId="09812">
    <w:name w:val="样式 表格 + 左侧:  0.98 厘米 行距: 固定值 12 磅"/>
    <w:basedOn w:val="afffff"/>
    <w:qFormat/>
    <w:pPr>
      <w:adjustRightInd w:val="0"/>
      <w:snapToGrid w:val="0"/>
      <w:spacing w:before="100" w:beforeAutospacing="1" w:after="100" w:afterAutospacing="1" w:line="240" w:lineRule="exact"/>
      <w:ind w:leftChars="200" w:left="560"/>
    </w:pPr>
    <w:rPr>
      <w:rFonts w:ascii="Arial" w:hAnsi="Arial"/>
      <w:color w:val="000000"/>
      <w:szCs w:val="20"/>
    </w:rPr>
  </w:style>
  <w:style w:type="paragraph" w:customStyle="1" w:styleId="050">
    <w:name w:val="样式 题注 + 段前: 0.5 行"/>
    <w:basedOn w:val="ae"/>
    <w:qFormat/>
    <w:pPr>
      <w:keepNext/>
      <w:adjustRightInd w:val="0"/>
      <w:snapToGrid w:val="0"/>
      <w:spacing w:beforeLines="50" w:line="360" w:lineRule="auto"/>
      <w:ind w:leftChars="200" w:left="560"/>
      <w:jc w:val="left"/>
    </w:pPr>
    <w:rPr>
      <w:rFonts w:ascii="Arial" w:hAnsi="Arial"/>
      <w:snapToGrid w:val="0"/>
      <w:sz w:val="21"/>
    </w:rPr>
  </w:style>
  <w:style w:type="paragraph" w:customStyle="1" w:styleId="0984">
    <w:name w:val="样式 表格 + 加粗 居中 左侧:  0.98 厘米"/>
    <w:basedOn w:val="afffff"/>
    <w:qFormat/>
    <w:pPr>
      <w:adjustRightInd w:val="0"/>
      <w:snapToGrid w:val="0"/>
      <w:spacing w:before="100" w:beforeAutospacing="1" w:after="100" w:afterAutospacing="1"/>
      <w:ind w:leftChars="200" w:left="560"/>
    </w:pPr>
    <w:rPr>
      <w:rFonts w:ascii="Arial" w:hAnsi="Arial"/>
      <w:b/>
      <w:bCs/>
      <w:color w:val="000000"/>
      <w:szCs w:val="20"/>
    </w:rPr>
  </w:style>
  <w:style w:type="paragraph" w:customStyle="1" w:styleId="20982">
    <w:name w:val="样式 正文文本缩进 2 + 左侧:  0.98 厘米 首行缩进:  2 字符"/>
    <w:basedOn w:val="2e"/>
    <w:qFormat/>
    <w:pPr>
      <w:adjustRightInd w:val="0"/>
      <w:snapToGrid w:val="0"/>
      <w:spacing w:after="0" w:line="360" w:lineRule="auto"/>
      <w:ind w:leftChars="0" w:left="0" w:firstLineChars="200" w:firstLine="560"/>
    </w:pPr>
    <w:rPr>
      <w:rFonts w:eastAsia="仿宋_GB2312"/>
      <w:sz w:val="28"/>
    </w:rPr>
  </w:style>
  <w:style w:type="paragraph" w:customStyle="1" w:styleId="s440982">
    <w:name w:val="样式 正文缩进s4标题4 + 左侧:  0.98 厘米 首行缩进:  2 字符"/>
    <w:basedOn w:val="a2"/>
    <w:qFormat/>
    <w:pPr>
      <w:spacing w:line="360" w:lineRule="auto"/>
      <w:ind w:firstLine="560"/>
      <w:jc w:val="both"/>
    </w:pPr>
    <w:rPr>
      <w:kern w:val="2"/>
    </w:rPr>
  </w:style>
  <w:style w:type="paragraph" w:customStyle="1" w:styleId="09820">
    <w:name w:val="样式 正文文本缩进 + 左侧:  0.98 厘米 首行缩进:  2 字符"/>
    <w:basedOn w:val="afd"/>
    <w:qFormat/>
    <w:pPr>
      <w:adjustRightInd w:val="0"/>
      <w:snapToGrid w:val="0"/>
      <w:spacing w:after="0" w:line="360" w:lineRule="auto"/>
      <w:ind w:leftChars="0" w:left="0" w:firstLineChars="200" w:firstLine="560"/>
    </w:pPr>
    <w:rPr>
      <w:rFonts w:eastAsia="仿宋_GB2312"/>
      <w:sz w:val="28"/>
      <w:szCs w:val="20"/>
    </w:rPr>
  </w:style>
  <w:style w:type="paragraph" w:customStyle="1" w:styleId="s4409821">
    <w:name w:val="样式 正文缩进s4标题4 + 左侧:  0.98 厘米 首行缩进:  2 字符1"/>
    <w:basedOn w:val="a2"/>
    <w:qFormat/>
    <w:pPr>
      <w:spacing w:line="360" w:lineRule="auto"/>
      <w:ind w:firstLine="560"/>
      <w:jc w:val="both"/>
    </w:pPr>
  </w:style>
  <w:style w:type="paragraph" w:customStyle="1" w:styleId="09890">
    <w:name w:val="样式 表格 + 左侧:  0.98 厘米 字符缩放: 90%"/>
    <w:basedOn w:val="afffff"/>
    <w:qFormat/>
    <w:pPr>
      <w:adjustRightInd w:val="0"/>
      <w:snapToGrid w:val="0"/>
      <w:spacing w:before="100" w:beforeAutospacing="1" w:after="100" w:afterAutospacing="1"/>
      <w:ind w:leftChars="200" w:left="560"/>
    </w:pPr>
    <w:rPr>
      <w:rFonts w:ascii="Arial" w:hAnsi="Arial"/>
      <w:color w:val="000000"/>
      <w:w w:val="90"/>
      <w:szCs w:val="20"/>
    </w:rPr>
  </w:style>
  <w:style w:type="paragraph" w:customStyle="1" w:styleId="2fffffff0">
    <w:name w:val="样式 表 + 首行缩进:  2 字符"/>
    <w:basedOn w:val="affffffffc"/>
    <w:qFormat/>
    <w:pPr>
      <w:adjustRightInd w:val="0"/>
      <w:snapToGrid w:val="0"/>
      <w:spacing w:line="300" w:lineRule="auto"/>
      <w:jc w:val="both"/>
    </w:pPr>
    <w:rPr>
      <w:rFonts w:ascii="仿宋_GB2312" w:hAnsi="Times New Roman"/>
      <w:snapToGrid w:val="0"/>
      <w:spacing w:val="0"/>
      <w:szCs w:val="20"/>
    </w:rPr>
  </w:style>
  <w:style w:type="paragraph" w:customStyle="1" w:styleId="s42">
    <w:name w:val="样式 正文缩进s4 + 首行缩进:  2 字符"/>
    <w:basedOn w:val="a2"/>
    <w:qFormat/>
    <w:pPr>
      <w:spacing w:line="360" w:lineRule="auto"/>
      <w:ind w:firstLine="560"/>
      <w:jc w:val="both"/>
    </w:pPr>
    <w:rPr>
      <w:rFonts w:eastAsia="宋体"/>
      <w:kern w:val="2"/>
      <w:sz w:val="24"/>
    </w:rPr>
  </w:style>
  <w:style w:type="paragraph" w:customStyle="1" w:styleId="affffffffffffffffffffffffffffffff9">
    <w:name w:val="样式 表格 + 两端对齐"/>
    <w:basedOn w:val="afffff"/>
    <w:qFormat/>
    <w:pPr>
      <w:adjustRightInd w:val="0"/>
      <w:snapToGrid w:val="0"/>
      <w:spacing w:before="100" w:beforeAutospacing="1" w:after="100" w:afterAutospacing="1"/>
      <w:ind w:leftChars="200" w:left="560"/>
    </w:pPr>
    <w:rPr>
      <w:rFonts w:ascii="Arial" w:hAnsi="Arial"/>
      <w:color w:val="000000"/>
      <w:szCs w:val="20"/>
    </w:rPr>
  </w:style>
  <w:style w:type="paragraph" w:customStyle="1" w:styleId="s4220">
    <w:name w:val="样式 样式 样式 正文缩进s4 + 首行缩进:  2 字符 + 首行缩进:  2 字符 +"/>
    <w:basedOn w:val="s422"/>
    <w:qFormat/>
    <w:pPr>
      <w:spacing w:line="490" w:lineRule="exact"/>
      <w:ind w:firstLineChars="192" w:firstLine="538"/>
    </w:pPr>
    <w:rPr>
      <w:rFonts w:eastAsia="仿宋_GB2312"/>
      <w:kern w:val="0"/>
      <w:szCs w:val="28"/>
    </w:rPr>
  </w:style>
  <w:style w:type="paragraph" w:customStyle="1" w:styleId="0988">
    <w:name w:val="样式 表格 + 左侧:  0.98 厘米 字距调整8 磅"/>
    <w:basedOn w:val="afffff"/>
    <w:qFormat/>
    <w:pPr>
      <w:adjustRightInd w:val="0"/>
      <w:snapToGrid w:val="0"/>
      <w:spacing w:before="100" w:beforeAutospacing="1" w:after="100" w:afterAutospacing="1"/>
      <w:ind w:leftChars="200" w:left="560"/>
    </w:pPr>
    <w:rPr>
      <w:rFonts w:ascii="Arial" w:hAnsi="Arial"/>
      <w:color w:val="000000"/>
      <w:kern w:val="16"/>
      <w:szCs w:val="20"/>
    </w:rPr>
  </w:style>
  <w:style w:type="paragraph" w:customStyle="1" w:styleId="0985">
    <w:name w:val="样式 左 左侧:  0.98 厘米"/>
    <w:basedOn w:val="a1"/>
    <w:qFormat/>
    <w:pPr>
      <w:adjustRightInd w:val="0"/>
      <w:snapToGrid w:val="0"/>
      <w:spacing w:line="360" w:lineRule="auto"/>
      <w:ind w:firstLineChars="200" w:firstLine="200"/>
      <w:jc w:val="left"/>
    </w:pPr>
    <w:rPr>
      <w:rFonts w:ascii="Times New Roman" w:eastAsia="仿宋_GB2312" w:hAnsi="Times New Roman"/>
      <w:sz w:val="28"/>
      <w:szCs w:val="20"/>
    </w:rPr>
  </w:style>
  <w:style w:type="paragraph" w:customStyle="1" w:styleId="0986">
    <w:name w:val="样式 (西文) 宋体 左侧:  0.98 厘米"/>
    <w:basedOn w:val="a1"/>
    <w:qFormat/>
    <w:pPr>
      <w:adjustRightInd w:val="0"/>
      <w:snapToGrid w:val="0"/>
      <w:spacing w:line="360" w:lineRule="auto"/>
      <w:ind w:firstLineChars="200" w:firstLine="200"/>
    </w:pPr>
    <w:rPr>
      <w:rFonts w:ascii="宋体" w:eastAsia="仿宋_GB2312" w:hAnsi="Times New Roman"/>
      <w:sz w:val="28"/>
      <w:szCs w:val="20"/>
    </w:rPr>
  </w:style>
  <w:style w:type="paragraph" w:customStyle="1" w:styleId="0987">
    <w:name w:val="样式 左侧:  0.98 厘米 字距调整小四"/>
    <w:basedOn w:val="a1"/>
    <w:qFormat/>
    <w:pPr>
      <w:adjustRightInd w:val="0"/>
      <w:snapToGrid w:val="0"/>
      <w:spacing w:line="360" w:lineRule="auto"/>
      <w:ind w:firstLineChars="200" w:firstLine="200"/>
    </w:pPr>
    <w:rPr>
      <w:rFonts w:ascii="Times New Roman" w:eastAsia="仿宋_GB2312" w:hAnsi="Times New Roman"/>
      <w:kern w:val="24"/>
      <w:sz w:val="28"/>
      <w:szCs w:val="20"/>
    </w:rPr>
  </w:style>
  <w:style w:type="paragraph" w:customStyle="1" w:styleId="098225">
    <w:name w:val="样式 左侧:  0.98 厘米 首行缩进:  2.25 字符"/>
    <w:basedOn w:val="a1"/>
    <w:qFormat/>
    <w:pPr>
      <w:adjustRightInd w:val="0"/>
      <w:snapToGrid w:val="0"/>
      <w:spacing w:line="360" w:lineRule="auto"/>
      <w:ind w:firstLineChars="200" w:firstLine="200"/>
    </w:pPr>
    <w:rPr>
      <w:rFonts w:ascii="Times New Roman" w:eastAsia="仿宋_GB2312" w:hAnsi="Times New Roman"/>
      <w:sz w:val="28"/>
      <w:szCs w:val="20"/>
    </w:rPr>
  </w:style>
  <w:style w:type="paragraph" w:customStyle="1" w:styleId="09810">
    <w:name w:val="样式 左侧:  0.98 厘米1"/>
    <w:basedOn w:val="a1"/>
    <w:qFormat/>
    <w:pPr>
      <w:adjustRightInd w:val="0"/>
      <w:snapToGrid w:val="0"/>
      <w:spacing w:line="360" w:lineRule="auto"/>
      <w:ind w:firstLineChars="200" w:firstLine="200"/>
    </w:pPr>
    <w:rPr>
      <w:rFonts w:ascii="Times New Roman" w:eastAsia="仿宋_GB2312" w:hAnsi="Times New Roman"/>
      <w:kern w:val="0"/>
      <w:sz w:val="28"/>
      <w:szCs w:val="20"/>
    </w:rPr>
  </w:style>
  <w:style w:type="paragraph" w:customStyle="1" w:styleId="GB2312098">
    <w:name w:val="样式 (西文) 仿宋_GB2312 左侧:  0.98 厘米"/>
    <w:basedOn w:val="a1"/>
    <w:qFormat/>
    <w:pPr>
      <w:adjustRightInd w:val="0"/>
      <w:snapToGrid w:val="0"/>
      <w:spacing w:line="360" w:lineRule="auto"/>
      <w:ind w:firstLineChars="200" w:firstLine="200"/>
    </w:pPr>
    <w:rPr>
      <w:rFonts w:ascii="仿宋_GB2312" w:eastAsia="仿宋_GB2312" w:hAnsi="Times New Roman"/>
      <w:sz w:val="28"/>
      <w:szCs w:val="20"/>
    </w:rPr>
  </w:style>
  <w:style w:type="paragraph" w:customStyle="1" w:styleId="0989">
    <w:name w:val="样式 正文文本 + 左侧:  0.98 厘米"/>
    <w:basedOn w:val="afb"/>
    <w:qFormat/>
    <w:pPr>
      <w:widowControl/>
      <w:tabs>
        <w:tab w:val="left" w:pos="3720"/>
      </w:tabs>
      <w:autoSpaceDE w:val="0"/>
      <w:autoSpaceDN w:val="0"/>
      <w:adjustRightInd w:val="0"/>
      <w:snapToGrid w:val="0"/>
      <w:spacing w:after="0" w:line="360" w:lineRule="auto"/>
      <w:ind w:firstLineChars="200" w:firstLine="200"/>
      <w:jc w:val="left"/>
      <w:textAlignment w:val="bottom"/>
    </w:pPr>
    <w:rPr>
      <w:rFonts w:ascii="仿宋_GB2312" w:eastAsia="仿宋_GB2312"/>
      <w:sz w:val="28"/>
      <w:szCs w:val="20"/>
    </w:rPr>
  </w:style>
  <w:style w:type="paragraph" w:customStyle="1" w:styleId="affffffffffffffffffffffffffffffffa">
    <w:name w:val="特性表"/>
    <w:basedOn w:val="a1"/>
    <w:qFormat/>
    <w:pPr>
      <w:adjustRightInd w:val="0"/>
      <w:snapToGrid w:val="0"/>
      <w:spacing w:line="360" w:lineRule="auto"/>
      <w:jc w:val="center"/>
    </w:pPr>
    <w:rPr>
      <w:rFonts w:ascii="黑体" w:eastAsia="黑体" w:hAnsi="宋体"/>
      <w:sz w:val="30"/>
      <w:szCs w:val="20"/>
    </w:rPr>
  </w:style>
  <w:style w:type="paragraph" w:customStyle="1" w:styleId="affffffffffffffffffffffffffffffffb">
    <w:name w:val="特性表注"/>
    <w:basedOn w:val="a1"/>
    <w:qFormat/>
    <w:pPr>
      <w:adjustRightInd w:val="0"/>
      <w:snapToGrid w:val="0"/>
      <w:spacing w:line="360" w:lineRule="auto"/>
    </w:pPr>
    <w:rPr>
      <w:rFonts w:ascii="黑体" w:hAnsi="宋体"/>
      <w:snapToGrid w:val="0"/>
      <w:kern w:val="0"/>
      <w:szCs w:val="24"/>
    </w:rPr>
  </w:style>
  <w:style w:type="paragraph" w:customStyle="1" w:styleId="affffffffffffffffffffffffffffffffc">
    <w:name w:val="样式 小表 + 两端对齐"/>
    <w:basedOn w:val="affffffffffffffffffffffffffffffffd"/>
    <w:qFormat/>
    <w:pPr>
      <w:jc w:val="both"/>
    </w:pPr>
    <w:rPr>
      <w:sz w:val="18"/>
    </w:rPr>
  </w:style>
  <w:style w:type="paragraph" w:customStyle="1" w:styleId="affffffffffffffffffffffffffffffffd">
    <w:name w:val="小表"/>
    <w:basedOn w:val="a1"/>
    <w:qFormat/>
    <w:pPr>
      <w:adjustRightInd w:val="0"/>
      <w:snapToGrid w:val="0"/>
      <w:spacing w:line="331" w:lineRule="auto"/>
      <w:jc w:val="center"/>
    </w:pPr>
    <w:rPr>
      <w:rFonts w:ascii="宋体" w:hAnsi="宋体"/>
      <w:snapToGrid w:val="0"/>
      <w:sz w:val="15"/>
      <w:szCs w:val="20"/>
    </w:rPr>
  </w:style>
  <w:style w:type="paragraph" w:customStyle="1" w:styleId="affffffffffffffffffffffffffffffffe">
    <w:name w:val="表格（六号）"/>
    <w:basedOn w:val="a1"/>
    <w:next w:val="a2"/>
    <w:qFormat/>
    <w:pPr>
      <w:spacing w:line="315" w:lineRule="exact"/>
      <w:jc w:val="center"/>
    </w:pPr>
    <w:rPr>
      <w:rFonts w:ascii="宋体" w:hAnsi="宋体"/>
      <w:kern w:val="0"/>
      <w:sz w:val="15"/>
      <w:szCs w:val="20"/>
    </w:rPr>
  </w:style>
  <w:style w:type="paragraph" w:customStyle="1" w:styleId="afffffffffffffffffffffffffffffffff">
    <w:name w:val="表格文字（小五）"/>
    <w:basedOn w:val="afffff9"/>
    <w:next w:val="a2"/>
    <w:qFormat/>
    <w:pPr>
      <w:tabs>
        <w:tab w:val="left" w:pos="3720"/>
      </w:tabs>
      <w:autoSpaceDE w:val="0"/>
      <w:autoSpaceDN w:val="0"/>
      <w:adjustRightInd w:val="0"/>
      <w:spacing w:line="315" w:lineRule="exact"/>
      <w:jc w:val="both"/>
      <w:textAlignment w:val="bottom"/>
    </w:pPr>
    <w:rPr>
      <w:rFonts w:ascii="宋体" w:eastAsia="宋体"/>
      <w:color w:val="auto"/>
      <w:spacing w:val="0"/>
      <w:sz w:val="18"/>
    </w:rPr>
  </w:style>
  <w:style w:type="paragraph" w:customStyle="1" w:styleId="3BSH-3111">
    <w:name w:val="标题 3，BSH-3条标题1.1.1"/>
    <w:basedOn w:val="3a"/>
    <w:link w:val="3BSH-3111CharChar"/>
    <w:qFormat/>
    <w:pPr>
      <w:spacing w:before="0" w:after="0" w:line="360" w:lineRule="auto"/>
      <w:jc w:val="left"/>
      <w:outlineLvl w:val="9"/>
    </w:pPr>
    <w:rPr>
      <w:rFonts w:ascii="宋体" w:hAnsi="宋体"/>
      <w:b w:val="0"/>
      <w:bCs w:val="0"/>
      <w:caps/>
      <w:sz w:val="24"/>
      <w:szCs w:val="24"/>
    </w:rPr>
  </w:style>
  <w:style w:type="paragraph" w:customStyle="1" w:styleId="211112SeBSH-2h2l22ndlevelTitre22Header">
    <w:name w:val="样式 标题 2节标题 1.11.1标题2SeBSH-2h2l22nd levelTitre22Header ..."/>
    <w:basedOn w:val="2a"/>
    <w:link w:val="211112SeBSH-2h2l22ndlevelTitre22HeaderChar"/>
    <w:qFormat/>
    <w:pPr>
      <w:spacing w:beforeLines="0" w:afterLines="0" w:line="415" w:lineRule="auto"/>
      <w:jc w:val="both"/>
    </w:pPr>
    <w:rPr>
      <w:rFonts w:ascii="宋体" w:hAnsi="宋体"/>
      <w:b w:val="0"/>
      <w:sz w:val="24"/>
    </w:rPr>
  </w:style>
  <w:style w:type="paragraph" w:customStyle="1" w:styleId="085150">
    <w:name w:val="样式 正文文本表中文字 + (符号) 宋体 小四 首行缩进:  0.85 厘米 行距: 1.5 倍行距"/>
    <w:basedOn w:val="afb"/>
    <w:qFormat/>
    <w:pPr>
      <w:spacing w:after="0" w:line="360" w:lineRule="auto"/>
      <w:ind w:firstLine="454"/>
    </w:pPr>
    <w:rPr>
      <w:rFonts w:hAnsi="宋体" w:cs="宋体"/>
      <w:sz w:val="24"/>
      <w:szCs w:val="20"/>
    </w:rPr>
  </w:style>
  <w:style w:type="paragraph" w:customStyle="1" w:styleId="15d">
    <w:name w:val="样式 宋体 四号 行距: 1.5 倍行距"/>
    <w:basedOn w:val="a1"/>
    <w:qFormat/>
    <w:pPr>
      <w:snapToGrid w:val="0"/>
      <w:spacing w:line="360" w:lineRule="auto"/>
      <w:ind w:right="-170" w:firstLineChars="200" w:firstLine="480"/>
      <w:jc w:val="left"/>
    </w:pPr>
    <w:rPr>
      <w:rFonts w:ascii="宋体" w:hAnsi="宋体"/>
      <w:snapToGrid w:val="0"/>
      <w:kern w:val="0"/>
      <w:sz w:val="24"/>
      <w:szCs w:val="24"/>
    </w:rPr>
  </w:style>
  <w:style w:type="paragraph" w:customStyle="1" w:styleId="afffffffffffffffffffffffffffffffff0">
    <w:name w:val="正文：段落格式"/>
    <w:basedOn w:val="a1"/>
    <w:link w:val="Charfffff"/>
    <w:qFormat/>
    <w:pPr>
      <w:tabs>
        <w:tab w:val="left" w:pos="840"/>
      </w:tabs>
      <w:adjustRightInd w:val="0"/>
      <w:snapToGrid w:val="0"/>
      <w:spacing w:line="440" w:lineRule="atLeast"/>
      <w:ind w:left="840" w:hanging="420"/>
    </w:pPr>
    <w:rPr>
      <w:rFonts w:ascii="宋体" w:hAnsi="宋体"/>
      <w:color w:val="000000"/>
      <w:kern w:val="15"/>
      <w:sz w:val="24"/>
      <w:szCs w:val="24"/>
    </w:rPr>
  </w:style>
  <w:style w:type="paragraph" w:customStyle="1" w:styleId="2173">
    <w:name w:val="样式 标题 2 + 首行缩进:  1.73 厘米"/>
    <w:basedOn w:val="2a"/>
    <w:qFormat/>
    <w:pPr>
      <w:spacing w:beforeLines="0" w:afterLines="0" w:line="240" w:lineRule="auto"/>
      <w:jc w:val="both"/>
    </w:pPr>
    <w:rPr>
      <w:rFonts w:cs="宋体"/>
      <w:b w:val="0"/>
      <w:bCs w:val="0"/>
      <w:sz w:val="28"/>
      <w:szCs w:val="20"/>
    </w:rPr>
  </w:style>
  <w:style w:type="paragraph" w:customStyle="1" w:styleId="148">
    <w:name w:val="样式 首行缩进:  1.48 厘米"/>
    <w:basedOn w:val="a1"/>
    <w:qFormat/>
    <w:pPr>
      <w:ind w:firstLine="567"/>
    </w:pPr>
    <w:rPr>
      <w:rFonts w:ascii="宋体" w:hAnsi="宋体" w:cs="宋体"/>
      <w:kern w:val="0"/>
      <w:sz w:val="28"/>
      <w:szCs w:val="24"/>
    </w:rPr>
  </w:style>
  <w:style w:type="paragraph" w:customStyle="1" w:styleId="2099">
    <w:name w:val="样式 标题2 + 首行缩进:  0.99 厘米"/>
    <w:basedOn w:val="60"/>
    <w:qFormat/>
    <w:pPr>
      <w:tabs>
        <w:tab w:val="clear" w:pos="2720"/>
      </w:tabs>
      <w:spacing w:before="0" w:after="0" w:line="240" w:lineRule="auto"/>
      <w:ind w:left="0" w:firstLine="0"/>
      <w:outlineLvl w:val="1"/>
    </w:pPr>
    <w:rPr>
      <w:rFonts w:ascii="Arial" w:eastAsia="黑体" w:hAnsi="Arial" w:cs="宋体"/>
      <w:b w:val="0"/>
      <w:bCs w:val="0"/>
      <w:sz w:val="28"/>
      <w:szCs w:val="20"/>
    </w:rPr>
  </w:style>
  <w:style w:type="paragraph" w:customStyle="1" w:styleId="05312">
    <w:name w:val="样式 六号 居中 首行缩进:  0.53 厘米 行距: 固定值 12 磅"/>
    <w:basedOn w:val="a1"/>
    <w:qFormat/>
    <w:pPr>
      <w:spacing w:line="240" w:lineRule="exact"/>
      <w:jc w:val="center"/>
    </w:pPr>
    <w:rPr>
      <w:rFonts w:ascii="宋体" w:hAnsi="宋体" w:cs="宋体"/>
      <w:kern w:val="0"/>
      <w:sz w:val="15"/>
      <w:szCs w:val="24"/>
    </w:rPr>
  </w:style>
  <w:style w:type="paragraph" w:customStyle="1" w:styleId="15085">
    <w:name w:val="样式 样式 小四 行距: 固定值 15 磅 + 首行缩进:  0.85 厘米"/>
    <w:basedOn w:val="a1"/>
    <w:qFormat/>
    <w:pPr>
      <w:spacing w:line="400" w:lineRule="exact"/>
      <w:jc w:val="center"/>
    </w:pPr>
    <w:rPr>
      <w:rFonts w:ascii="宋体" w:hAnsi="宋体" w:cs="宋体"/>
      <w:kern w:val="0"/>
      <w:szCs w:val="24"/>
    </w:rPr>
  </w:style>
  <w:style w:type="paragraph" w:customStyle="1" w:styleId="2099099">
    <w:name w:val="样式 样式 标题2 + 首行缩进:  0.99 厘米 + 首行缩进:  0.99 厘米"/>
    <w:basedOn w:val="2099"/>
    <w:qFormat/>
  </w:style>
  <w:style w:type="paragraph" w:customStyle="1" w:styleId="1250">
    <w:name w:val="样式 标题 1 + 左 行距: 固定值 25 磅"/>
    <w:basedOn w:val="1a"/>
    <w:qFormat/>
    <w:pPr>
      <w:topLinePunct/>
      <w:spacing w:before="0" w:after="0" w:line="500" w:lineRule="exact"/>
      <w:jc w:val="left"/>
    </w:pPr>
    <w:rPr>
      <w:rFonts w:ascii="黑体" w:eastAsia="黑体" w:hAnsi="Times New Roman" w:cs="宋体"/>
      <w:color w:val="000000"/>
      <w:kern w:val="2"/>
      <w:sz w:val="28"/>
      <w:szCs w:val="20"/>
    </w:rPr>
  </w:style>
  <w:style w:type="paragraph" w:customStyle="1" w:styleId="4fff1">
    <w:name w:val="小标题 4"/>
    <w:basedOn w:val="4a"/>
    <w:qFormat/>
    <w:pPr>
      <w:spacing w:before="0" w:after="0" w:line="500" w:lineRule="exact"/>
    </w:pPr>
    <w:rPr>
      <w:rFonts w:ascii="Arial" w:hAnsi="Arial" w:cs="宋体"/>
      <w:b w:val="0"/>
      <w:kern w:val="0"/>
      <w:szCs w:val="20"/>
    </w:rPr>
  </w:style>
  <w:style w:type="paragraph" w:customStyle="1" w:styleId="1002">
    <w:name w:val="样式 目录 1 + 段前: 0 磅 段后: 0 磅"/>
    <w:basedOn w:val="1c"/>
    <w:qFormat/>
    <w:pPr>
      <w:tabs>
        <w:tab w:val="right" w:leader="dot" w:pos="8296"/>
      </w:tabs>
      <w:spacing w:beforeLines="50"/>
    </w:pPr>
    <w:rPr>
      <w:rFonts w:ascii="宋体" w:eastAsia="黑体" w:hAnsi="宋体" w:cs="宋体"/>
      <w:b/>
      <w:bCs/>
      <w:caps/>
      <w:color w:val="000000"/>
      <w:kern w:val="0"/>
      <w:sz w:val="28"/>
      <w:szCs w:val="24"/>
    </w:rPr>
  </w:style>
  <w:style w:type="paragraph" w:customStyle="1" w:styleId="3111h33rdlevelH3l3CT3">
    <w:name w:val="样式 标题 3条标题条标题1.1.1h33rd levelH3l3CT段3 + 红色 行距: 单倍行距"/>
    <w:basedOn w:val="3a"/>
    <w:qFormat/>
    <w:pPr>
      <w:spacing w:before="0" w:after="0" w:line="240" w:lineRule="auto"/>
      <w:textAlignment w:val="baseline"/>
    </w:pPr>
    <w:rPr>
      <w:rFonts w:ascii="宋体" w:hAnsi="宋体" w:cs="宋体"/>
      <w:color w:val="FF0000"/>
      <w:sz w:val="24"/>
      <w:szCs w:val="20"/>
    </w:rPr>
  </w:style>
  <w:style w:type="paragraph" w:customStyle="1" w:styleId="22d">
    <w:name w:val="样式 正文缩进正文（首行缩进两字）正文2 + 首行缩进:  2 字符"/>
    <w:basedOn w:val="a2"/>
    <w:qFormat/>
    <w:pPr>
      <w:adjustRightInd/>
      <w:snapToGrid/>
      <w:spacing w:line="500" w:lineRule="exact"/>
      <w:ind w:firstLine="200"/>
      <w:jc w:val="both"/>
    </w:pPr>
    <w:rPr>
      <w:rFonts w:eastAsia="宋体" w:cs="宋体"/>
      <w:kern w:val="2"/>
      <w:sz w:val="24"/>
    </w:rPr>
  </w:style>
  <w:style w:type="paragraph" w:customStyle="1" w:styleId="331113XW3Char3XWChar3111Char2">
    <w:name w:val="样式 标题 3标题 3 1.1.1标题 3XW标题 3 Char标题 3XW Char标题 3 1.1.1 Char ...2"/>
    <w:basedOn w:val="3a"/>
    <w:qFormat/>
    <w:pPr>
      <w:spacing w:before="0" w:after="0" w:line="360" w:lineRule="auto"/>
    </w:pPr>
    <w:rPr>
      <w:rFonts w:ascii="Times New Roman" w:eastAsia="黑体" w:hAnsi="Times New Roman"/>
      <w:b w:val="0"/>
      <w:kern w:val="2"/>
      <w:sz w:val="28"/>
    </w:rPr>
  </w:style>
  <w:style w:type="paragraph" w:customStyle="1" w:styleId="15e">
    <w:name w:val="样式 小四 行距: 1.5 倍行距"/>
    <w:basedOn w:val="a1"/>
    <w:qFormat/>
    <w:pPr>
      <w:spacing w:line="360" w:lineRule="auto"/>
      <w:ind w:firstLineChars="200" w:firstLine="200"/>
    </w:pPr>
    <w:rPr>
      <w:rFonts w:ascii="Times New Roman" w:hAnsi="Times New Roman" w:cs="宋体"/>
      <w:sz w:val="24"/>
      <w:szCs w:val="24"/>
    </w:rPr>
  </w:style>
  <w:style w:type="paragraph" w:customStyle="1" w:styleId="pic-info">
    <w:name w:val="pic-info"/>
    <w:basedOn w:val="a1"/>
    <w:qFormat/>
    <w:pPr>
      <w:widowControl/>
      <w:spacing w:before="100" w:beforeAutospacing="1" w:after="100" w:afterAutospacing="1"/>
      <w:jc w:val="left"/>
    </w:pPr>
    <w:rPr>
      <w:rFonts w:ascii="宋体" w:hAnsi="宋体" w:cs="宋体"/>
      <w:kern w:val="0"/>
      <w:sz w:val="24"/>
      <w:szCs w:val="24"/>
    </w:rPr>
  </w:style>
  <w:style w:type="paragraph" w:customStyle="1" w:styleId="Char11CharCharChar">
    <w:name w:val="Char11 Char Char Char"/>
    <w:basedOn w:val="a1"/>
    <w:qFormat/>
    <w:pPr>
      <w:spacing w:line="360" w:lineRule="auto"/>
      <w:ind w:firstLineChars="200" w:firstLine="200"/>
    </w:pPr>
    <w:rPr>
      <w:rFonts w:ascii="宋体" w:hAnsi="宋体" w:cs="宋体"/>
      <w:sz w:val="24"/>
      <w:szCs w:val="24"/>
    </w:rPr>
  </w:style>
  <w:style w:type="paragraph" w:customStyle="1" w:styleId="2TimesNewRoman04">
    <w:name w:val="样式 标题 2 + (西文) Times New Roman (中文) 宋体 四号 黑色 左 首行缩进:  0.4 厘..."/>
    <w:basedOn w:val="2a"/>
    <w:qFormat/>
    <w:pPr>
      <w:spacing w:beforeLines="0" w:afterLines="0" w:line="336" w:lineRule="auto"/>
    </w:pPr>
    <w:rPr>
      <w:rFonts w:ascii="Times New Roman" w:eastAsia="宋体" w:hAnsi="Times New Roman"/>
      <w:color w:val="000000"/>
      <w:sz w:val="28"/>
      <w:szCs w:val="20"/>
    </w:rPr>
  </w:style>
  <w:style w:type="paragraph" w:customStyle="1" w:styleId="font19">
    <w:name w:val="font19"/>
    <w:basedOn w:val="a1"/>
    <w:qFormat/>
    <w:pPr>
      <w:widowControl/>
      <w:spacing w:before="100" w:beforeAutospacing="1" w:after="100" w:afterAutospacing="1"/>
      <w:jc w:val="left"/>
    </w:pPr>
    <w:rPr>
      <w:rFonts w:ascii="Times New Roman" w:hAnsi="Times New Roman"/>
      <w:b/>
      <w:bCs/>
      <w:kern w:val="0"/>
      <w:sz w:val="36"/>
      <w:szCs w:val="36"/>
    </w:rPr>
  </w:style>
  <w:style w:type="paragraph" w:customStyle="1" w:styleId="xl244">
    <w:name w:val="xl244"/>
    <w:basedOn w:val="a1"/>
    <w:qFormat/>
    <w:pPr>
      <w:widowControl/>
      <w:pBdr>
        <w:top w:val="dashed" w:sz="4" w:space="0" w:color="auto"/>
        <w:left w:val="dashed" w:sz="4" w:space="0" w:color="auto"/>
        <w:right w:val="dashed" w:sz="4" w:space="0" w:color="auto"/>
      </w:pBdr>
      <w:spacing w:before="100" w:beforeAutospacing="1" w:after="100" w:afterAutospacing="1"/>
      <w:jc w:val="center"/>
      <w:textAlignment w:val="top"/>
    </w:pPr>
    <w:rPr>
      <w:rFonts w:ascii="宋体" w:hAnsi="宋体" w:cs="宋体"/>
      <w:kern w:val="0"/>
      <w:sz w:val="28"/>
      <w:szCs w:val="28"/>
    </w:rPr>
  </w:style>
  <w:style w:type="paragraph" w:customStyle="1" w:styleId="xl245">
    <w:name w:val="xl245"/>
    <w:basedOn w:val="a1"/>
    <w:qFormat/>
    <w:pPr>
      <w:widowControl/>
      <w:pBdr>
        <w:left w:val="single" w:sz="8" w:space="0" w:color="auto"/>
        <w:right w:val="single" w:sz="4" w:space="0" w:color="auto"/>
      </w:pBdr>
      <w:spacing w:before="100" w:beforeAutospacing="1" w:after="100" w:afterAutospacing="1"/>
      <w:jc w:val="left"/>
    </w:pPr>
    <w:rPr>
      <w:rFonts w:ascii="宋体" w:hAnsi="宋体" w:cs="宋体"/>
      <w:kern w:val="0"/>
      <w:sz w:val="22"/>
    </w:rPr>
  </w:style>
  <w:style w:type="paragraph" w:customStyle="1" w:styleId="xl246">
    <w:name w:val="xl246"/>
    <w:basedOn w:val="a1"/>
    <w:qFormat/>
    <w:pPr>
      <w:widowControl/>
      <w:pBdr>
        <w:top w:val="single" w:sz="4" w:space="0" w:color="auto"/>
        <w:left w:val="single" w:sz="8" w:space="0" w:color="auto"/>
        <w:right w:val="single" w:sz="4" w:space="0" w:color="auto"/>
      </w:pBdr>
      <w:spacing w:before="100" w:beforeAutospacing="1" w:after="100" w:afterAutospacing="1"/>
      <w:jc w:val="center"/>
    </w:pPr>
    <w:rPr>
      <w:rFonts w:ascii="宋体" w:hAnsi="宋体" w:cs="宋体"/>
      <w:kern w:val="0"/>
      <w:sz w:val="28"/>
      <w:szCs w:val="28"/>
    </w:rPr>
  </w:style>
  <w:style w:type="paragraph" w:customStyle="1" w:styleId="xl247">
    <w:name w:val="xl247"/>
    <w:basedOn w:val="a1"/>
    <w:qFormat/>
    <w:pPr>
      <w:widowControl/>
      <w:pBdr>
        <w:top w:val="single" w:sz="4" w:space="0" w:color="auto"/>
        <w:left w:val="single" w:sz="4" w:space="0" w:color="auto"/>
      </w:pBdr>
      <w:spacing w:before="100" w:beforeAutospacing="1" w:after="100" w:afterAutospacing="1"/>
      <w:jc w:val="center"/>
    </w:pPr>
    <w:rPr>
      <w:rFonts w:ascii="宋体" w:hAnsi="宋体" w:cs="宋体"/>
      <w:kern w:val="0"/>
      <w:sz w:val="32"/>
      <w:szCs w:val="32"/>
    </w:rPr>
  </w:style>
  <w:style w:type="paragraph" w:customStyle="1" w:styleId="xl248">
    <w:name w:val="xl248"/>
    <w:basedOn w:val="a1"/>
    <w:qFormat/>
    <w:pPr>
      <w:widowControl/>
      <w:pBdr>
        <w:top w:val="single" w:sz="4" w:space="0" w:color="auto"/>
      </w:pBdr>
      <w:spacing w:before="100" w:beforeAutospacing="1" w:after="100" w:afterAutospacing="1"/>
      <w:jc w:val="center"/>
    </w:pPr>
    <w:rPr>
      <w:rFonts w:ascii="宋体" w:hAnsi="宋体" w:cs="宋体"/>
      <w:kern w:val="0"/>
      <w:sz w:val="32"/>
      <w:szCs w:val="32"/>
    </w:rPr>
  </w:style>
  <w:style w:type="paragraph" w:customStyle="1" w:styleId="xl249">
    <w:name w:val="xl249"/>
    <w:basedOn w:val="a1"/>
    <w:qFormat/>
    <w:pPr>
      <w:widowControl/>
      <w:pBdr>
        <w:top w:val="single" w:sz="4" w:space="0" w:color="auto"/>
        <w:right w:val="single" w:sz="4" w:space="0" w:color="auto"/>
      </w:pBdr>
      <w:spacing w:before="100" w:beforeAutospacing="1" w:after="100" w:afterAutospacing="1"/>
      <w:jc w:val="center"/>
    </w:pPr>
    <w:rPr>
      <w:rFonts w:ascii="宋体" w:hAnsi="宋体" w:cs="宋体"/>
      <w:kern w:val="0"/>
      <w:sz w:val="32"/>
      <w:szCs w:val="32"/>
    </w:rPr>
  </w:style>
  <w:style w:type="paragraph" w:customStyle="1" w:styleId="xl250">
    <w:name w:val="xl250"/>
    <w:basedOn w:val="a1"/>
    <w:qFormat/>
    <w:pPr>
      <w:widowControl/>
      <w:pBdr>
        <w:top w:val="single" w:sz="8" w:space="0" w:color="auto"/>
        <w:bottom w:val="single" w:sz="4" w:space="0" w:color="auto"/>
      </w:pBdr>
      <w:spacing w:before="100" w:beforeAutospacing="1" w:after="100" w:afterAutospacing="1"/>
      <w:jc w:val="left"/>
    </w:pPr>
    <w:rPr>
      <w:rFonts w:ascii="宋体" w:hAnsi="宋体" w:cs="宋体"/>
      <w:kern w:val="0"/>
      <w:sz w:val="24"/>
      <w:szCs w:val="24"/>
    </w:rPr>
  </w:style>
  <w:style w:type="paragraph" w:customStyle="1" w:styleId="xl251">
    <w:name w:val="xl251"/>
    <w:basedOn w:val="a1"/>
    <w:qFormat/>
    <w:pPr>
      <w:widowControl/>
      <w:pBdr>
        <w:top w:val="single" w:sz="8" w:space="0" w:color="auto"/>
        <w:bottom w:val="single" w:sz="4" w:space="0" w:color="auto"/>
      </w:pBdr>
      <w:spacing w:before="100" w:beforeAutospacing="1" w:after="100" w:afterAutospacing="1"/>
      <w:jc w:val="left"/>
    </w:pPr>
    <w:rPr>
      <w:rFonts w:ascii="宋体" w:hAnsi="宋体" w:cs="宋体"/>
      <w:kern w:val="0"/>
      <w:sz w:val="24"/>
      <w:szCs w:val="24"/>
    </w:rPr>
  </w:style>
  <w:style w:type="paragraph" w:customStyle="1" w:styleId="xl252">
    <w:name w:val="xl252"/>
    <w:basedOn w:val="a1"/>
    <w:qFormat/>
    <w:pPr>
      <w:widowControl/>
      <w:pBdr>
        <w:top w:val="single" w:sz="8" w:space="0" w:color="auto"/>
        <w:bottom w:val="single" w:sz="4" w:space="0" w:color="auto"/>
      </w:pBdr>
      <w:spacing w:before="100" w:beforeAutospacing="1" w:after="100" w:afterAutospacing="1"/>
      <w:jc w:val="center"/>
    </w:pPr>
    <w:rPr>
      <w:rFonts w:ascii="宋体" w:hAnsi="宋体" w:cs="宋体"/>
      <w:kern w:val="0"/>
      <w:sz w:val="24"/>
      <w:szCs w:val="24"/>
    </w:rPr>
  </w:style>
  <w:style w:type="paragraph" w:customStyle="1" w:styleId="xl253">
    <w:name w:val="xl253"/>
    <w:basedOn w:val="a1"/>
    <w:qFormat/>
    <w:pPr>
      <w:widowControl/>
      <w:pBdr>
        <w:top w:val="single" w:sz="8" w:space="0" w:color="auto"/>
        <w:bottom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54">
    <w:name w:val="xl254"/>
    <w:basedOn w:val="a1"/>
    <w:qFormat/>
    <w:pPr>
      <w:widowControl/>
      <w:pBdr>
        <w:left w:val="single" w:sz="4" w:space="0" w:color="auto"/>
        <w:right w:val="single" w:sz="8" w:space="0" w:color="auto"/>
      </w:pBdr>
      <w:spacing w:before="100" w:beforeAutospacing="1" w:after="100" w:afterAutospacing="1"/>
      <w:jc w:val="left"/>
    </w:pPr>
    <w:rPr>
      <w:rFonts w:ascii="宋体" w:hAnsi="宋体" w:cs="宋体"/>
      <w:kern w:val="0"/>
      <w:sz w:val="24"/>
      <w:szCs w:val="24"/>
    </w:rPr>
  </w:style>
  <w:style w:type="paragraph" w:customStyle="1" w:styleId="xl255">
    <w:name w:val="xl255"/>
    <w:basedOn w:val="a1"/>
    <w:qFormat/>
    <w:pPr>
      <w:widowControl/>
      <w:pBdr>
        <w:top w:val="single" w:sz="8" w:space="0" w:color="auto"/>
        <w:left w:val="single" w:sz="8" w:space="0" w:color="auto"/>
      </w:pBdr>
      <w:spacing w:before="100" w:beforeAutospacing="1" w:after="100" w:afterAutospacing="1"/>
      <w:jc w:val="left"/>
    </w:pPr>
    <w:rPr>
      <w:rFonts w:ascii="宋体" w:hAnsi="宋体" w:cs="宋体"/>
      <w:kern w:val="0"/>
      <w:sz w:val="24"/>
      <w:szCs w:val="24"/>
    </w:rPr>
  </w:style>
  <w:style w:type="paragraph" w:customStyle="1" w:styleId="xl256">
    <w:name w:val="xl256"/>
    <w:basedOn w:val="a1"/>
    <w:qFormat/>
    <w:pPr>
      <w:widowControl/>
      <w:pBdr>
        <w:top w:val="single" w:sz="8" w:space="0" w:color="auto"/>
      </w:pBdr>
      <w:spacing w:before="100" w:beforeAutospacing="1" w:after="100" w:afterAutospacing="1"/>
      <w:jc w:val="center"/>
    </w:pPr>
    <w:rPr>
      <w:rFonts w:ascii="宋体" w:hAnsi="宋体" w:cs="宋体"/>
      <w:kern w:val="0"/>
      <w:sz w:val="24"/>
      <w:szCs w:val="24"/>
    </w:rPr>
  </w:style>
  <w:style w:type="paragraph" w:customStyle="1" w:styleId="xl257">
    <w:name w:val="xl257"/>
    <w:basedOn w:val="a1"/>
    <w:qFormat/>
    <w:pPr>
      <w:widowControl/>
      <w:pBdr>
        <w:top w:val="single" w:sz="8" w:space="0" w:color="auto"/>
      </w:pBdr>
      <w:shd w:val="clear" w:color="auto" w:fill="FFFFFF"/>
      <w:spacing w:before="100" w:beforeAutospacing="1" w:after="100" w:afterAutospacing="1"/>
      <w:jc w:val="left"/>
    </w:pPr>
    <w:rPr>
      <w:rFonts w:ascii="宋体" w:hAnsi="宋体" w:cs="宋体"/>
      <w:kern w:val="0"/>
      <w:sz w:val="24"/>
      <w:szCs w:val="24"/>
    </w:rPr>
  </w:style>
  <w:style w:type="paragraph" w:customStyle="1" w:styleId="xl258">
    <w:name w:val="xl258"/>
    <w:basedOn w:val="a1"/>
    <w:qFormat/>
    <w:pPr>
      <w:widowControl/>
      <w:pBdr>
        <w:top w:val="single" w:sz="8" w:space="0" w:color="auto"/>
      </w:pBdr>
      <w:shd w:val="clear" w:color="auto" w:fill="FFFFFF"/>
      <w:spacing w:before="100" w:beforeAutospacing="1" w:after="100" w:afterAutospacing="1"/>
      <w:jc w:val="center"/>
    </w:pPr>
    <w:rPr>
      <w:rFonts w:ascii="宋体" w:hAnsi="宋体" w:cs="宋体"/>
      <w:kern w:val="0"/>
      <w:sz w:val="24"/>
      <w:szCs w:val="24"/>
    </w:rPr>
  </w:style>
  <w:style w:type="paragraph" w:customStyle="1" w:styleId="xl259">
    <w:name w:val="xl259"/>
    <w:basedOn w:val="a1"/>
    <w:qFormat/>
    <w:pPr>
      <w:widowControl/>
      <w:pBdr>
        <w:top w:val="single" w:sz="8" w:space="0" w:color="auto"/>
      </w:pBdr>
      <w:shd w:val="clear" w:color="auto" w:fill="FFFFFF"/>
      <w:spacing w:before="100" w:beforeAutospacing="1" w:after="100" w:afterAutospacing="1"/>
      <w:jc w:val="center"/>
      <w:textAlignment w:val="center"/>
    </w:pPr>
    <w:rPr>
      <w:rFonts w:ascii="宋体" w:hAnsi="宋体" w:cs="宋体"/>
      <w:kern w:val="0"/>
      <w:sz w:val="24"/>
      <w:szCs w:val="24"/>
    </w:rPr>
  </w:style>
  <w:style w:type="paragraph" w:customStyle="1" w:styleId="xl260">
    <w:name w:val="xl260"/>
    <w:basedOn w:val="a1"/>
    <w:qFormat/>
    <w:pPr>
      <w:widowControl/>
      <w:pBdr>
        <w:top w:val="dashed" w:sz="4" w:space="0" w:color="auto"/>
        <w:left w:val="dashed" w:sz="4" w:space="0" w:color="auto"/>
        <w:right w:val="single" w:sz="8" w:space="0" w:color="auto"/>
      </w:pBdr>
      <w:spacing w:before="100" w:beforeAutospacing="1" w:after="100" w:afterAutospacing="1"/>
      <w:jc w:val="center"/>
      <w:textAlignment w:val="top"/>
    </w:pPr>
    <w:rPr>
      <w:rFonts w:ascii="宋体" w:hAnsi="宋体" w:cs="宋体"/>
      <w:kern w:val="0"/>
      <w:sz w:val="28"/>
      <w:szCs w:val="28"/>
    </w:rPr>
  </w:style>
  <w:style w:type="paragraph" w:customStyle="1" w:styleId="xl261">
    <w:name w:val="xl261"/>
    <w:basedOn w:val="a1"/>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kern w:val="0"/>
      <w:sz w:val="32"/>
      <w:szCs w:val="32"/>
    </w:rPr>
  </w:style>
  <w:style w:type="paragraph" w:customStyle="1" w:styleId="xl262">
    <w:name w:val="xl262"/>
    <w:basedOn w:val="a1"/>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32"/>
      <w:szCs w:val="32"/>
    </w:rPr>
  </w:style>
  <w:style w:type="paragraph" w:customStyle="1" w:styleId="xl263">
    <w:name w:val="xl263"/>
    <w:basedOn w:val="a1"/>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kern w:val="0"/>
      <w:sz w:val="32"/>
      <w:szCs w:val="32"/>
    </w:rPr>
  </w:style>
  <w:style w:type="paragraph" w:customStyle="1" w:styleId="xl264">
    <w:name w:val="xl264"/>
    <w:basedOn w:val="a1"/>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kern w:val="0"/>
      <w:sz w:val="32"/>
      <w:szCs w:val="32"/>
    </w:rPr>
  </w:style>
  <w:style w:type="paragraph" w:customStyle="1" w:styleId="xl265">
    <w:name w:val="xl265"/>
    <w:basedOn w:val="a1"/>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kern w:val="0"/>
      <w:sz w:val="32"/>
      <w:szCs w:val="32"/>
    </w:rPr>
  </w:style>
  <w:style w:type="paragraph" w:customStyle="1" w:styleId="xl266">
    <w:name w:val="xl266"/>
    <w:basedOn w:val="a1"/>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32"/>
      <w:szCs w:val="32"/>
    </w:rPr>
  </w:style>
  <w:style w:type="paragraph" w:customStyle="1" w:styleId="xl267">
    <w:name w:val="xl267"/>
    <w:basedOn w:val="a1"/>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宋体" w:hAnsi="宋体" w:cs="宋体"/>
      <w:kern w:val="0"/>
      <w:sz w:val="32"/>
      <w:szCs w:val="32"/>
    </w:rPr>
  </w:style>
  <w:style w:type="paragraph" w:customStyle="1" w:styleId="xl268">
    <w:name w:val="xl268"/>
    <w:basedOn w:val="a1"/>
    <w:qFormat/>
    <w:pPr>
      <w:widowControl/>
      <w:pBdr>
        <w:left w:val="single" w:sz="4" w:space="0" w:color="auto"/>
        <w:bottom w:val="single" w:sz="8" w:space="0" w:color="auto"/>
      </w:pBdr>
      <w:spacing w:before="100" w:beforeAutospacing="1" w:after="100" w:afterAutospacing="1"/>
      <w:jc w:val="center"/>
      <w:textAlignment w:val="center"/>
    </w:pPr>
    <w:rPr>
      <w:rFonts w:ascii="宋体" w:hAnsi="宋体" w:cs="宋体"/>
      <w:kern w:val="0"/>
      <w:sz w:val="32"/>
      <w:szCs w:val="32"/>
    </w:rPr>
  </w:style>
  <w:style w:type="paragraph" w:customStyle="1" w:styleId="xl269">
    <w:name w:val="xl269"/>
    <w:basedOn w:val="a1"/>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32"/>
      <w:szCs w:val="32"/>
    </w:rPr>
  </w:style>
  <w:style w:type="paragraph" w:customStyle="1" w:styleId="xl270">
    <w:name w:val="xl270"/>
    <w:basedOn w:val="a1"/>
    <w:qFormat/>
    <w:pPr>
      <w:widowControl/>
      <w:pBdr>
        <w:top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32"/>
      <w:szCs w:val="32"/>
    </w:rPr>
  </w:style>
  <w:style w:type="paragraph" w:customStyle="1" w:styleId="xl271">
    <w:name w:val="xl271"/>
    <w:basedOn w:val="a1"/>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32"/>
      <w:szCs w:val="32"/>
    </w:rPr>
  </w:style>
  <w:style w:type="paragraph" w:customStyle="1" w:styleId="xl272">
    <w:name w:val="xl272"/>
    <w:basedOn w:val="a1"/>
    <w:qFormat/>
    <w:pPr>
      <w:widowControl/>
      <w:pBdr>
        <w:bottom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73">
    <w:name w:val="xl273"/>
    <w:basedOn w:val="a1"/>
    <w:qFormat/>
    <w:pPr>
      <w:widowControl/>
      <w:pBdr>
        <w:top w:val="dashed" w:sz="4" w:space="0" w:color="auto"/>
        <w:left w:val="dashed" w:sz="4" w:space="0" w:color="auto"/>
        <w:bottom w:val="single" w:sz="8" w:space="0" w:color="auto"/>
        <w:right w:val="single" w:sz="8" w:space="0" w:color="auto"/>
      </w:pBdr>
      <w:spacing w:before="100" w:beforeAutospacing="1" w:after="100" w:afterAutospacing="1"/>
      <w:jc w:val="left"/>
    </w:pPr>
    <w:rPr>
      <w:rFonts w:ascii="宋体" w:hAnsi="宋体" w:cs="宋体"/>
      <w:kern w:val="0"/>
      <w:sz w:val="24"/>
      <w:szCs w:val="24"/>
    </w:rPr>
  </w:style>
  <w:style w:type="paragraph" w:customStyle="1" w:styleId="xl274">
    <w:name w:val="xl274"/>
    <w:basedOn w:val="a1"/>
    <w:qFormat/>
    <w:pPr>
      <w:widowControl/>
      <w:pBdr>
        <w:top w:val="dashed" w:sz="4" w:space="0" w:color="auto"/>
        <w:left w:val="single" w:sz="8" w:space="0" w:color="auto"/>
        <w:right w:val="dashed" w:sz="4" w:space="0" w:color="auto"/>
      </w:pBdr>
      <w:spacing w:before="100" w:beforeAutospacing="1" w:after="100" w:afterAutospacing="1"/>
      <w:jc w:val="left"/>
    </w:pPr>
    <w:rPr>
      <w:rFonts w:ascii="宋体" w:hAnsi="宋体" w:cs="宋体"/>
      <w:kern w:val="0"/>
      <w:sz w:val="24"/>
      <w:szCs w:val="24"/>
    </w:rPr>
  </w:style>
  <w:style w:type="paragraph" w:customStyle="1" w:styleId="xl275">
    <w:name w:val="xl275"/>
    <w:basedOn w:val="a1"/>
    <w:qFormat/>
    <w:pPr>
      <w:widowControl/>
      <w:pBdr>
        <w:top w:val="dashed" w:sz="4" w:space="0" w:color="auto"/>
        <w:left w:val="dashed" w:sz="4" w:space="0" w:color="auto"/>
        <w:right w:val="single" w:sz="8" w:space="0" w:color="auto"/>
      </w:pBdr>
      <w:spacing w:before="100" w:beforeAutospacing="1" w:after="100" w:afterAutospacing="1"/>
      <w:jc w:val="left"/>
    </w:pPr>
    <w:rPr>
      <w:rFonts w:ascii="宋体" w:hAnsi="宋体" w:cs="宋体"/>
      <w:kern w:val="0"/>
      <w:sz w:val="24"/>
      <w:szCs w:val="24"/>
    </w:rPr>
  </w:style>
  <w:style w:type="paragraph" w:customStyle="1" w:styleId="xl276">
    <w:name w:val="xl276"/>
    <w:basedOn w:val="a1"/>
    <w:qFormat/>
    <w:pPr>
      <w:widowControl/>
      <w:pBdr>
        <w:top w:val="single" w:sz="8" w:space="0" w:color="auto"/>
        <w:bottom w:val="single" w:sz="4" w:space="0" w:color="auto"/>
        <w:right w:val="single" w:sz="4" w:space="0" w:color="auto"/>
      </w:pBdr>
      <w:spacing w:before="100" w:beforeAutospacing="1" w:after="100" w:afterAutospacing="1"/>
      <w:jc w:val="center"/>
    </w:pPr>
    <w:rPr>
      <w:rFonts w:ascii="宋体" w:hAnsi="宋体" w:cs="宋体"/>
      <w:kern w:val="0"/>
      <w:sz w:val="32"/>
      <w:szCs w:val="32"/>
    </w:rPr>
  </w:style>
  <w:style w:type="paragraph" w:customStyle="1" w:styleId="xl277">
    <w:name w:val="xl277"/>
    <w:basedOn w:val="a1"/>
    <w:qFormat/>
    <w:pPr>
      <w:widowControl/>
      <w:pBdr>
        <w:top w:val="dashed" w:sz="4" w:space="0" w:color="auto"/>
        <w:bottom w:val="dashed" w:sz="4" w:space="0" w:color="auto"/>
        <w:right w:val="dashed" w:sz="4" w:space="0" w:color="auto"/>
      </w:pBdr>
      <w:spacing w:before="100" w:beforeAutospacing="1" w:after="100" w:afterAutospacing="1"/>
      <w:jc w:val="left"/>
    </w:pPr>
    <w:rPr>
      <w:rFonts w:ascii="宋体" w:hAnsi="宋体" w:cs="宋体"/>
      <w:kern w:val="0"/>
      <w:sz w:val="24"/>
      <w:szCs w:val="24"/>
    </w:rPr>
  </w:style>
  <w:style w:type="paragraph" w:customStyle="1" w:styleId="xl278">
    <w:name w:val="xl278"/>
    <w:basedOn w:val="a1"/>
    <w:qFormat/>
    <w:pPr>
      <w:widowControl/>
      <w:pBdr>
        <w:top w:val="dashed" w:sz="4" w:space="0" w:color="auto"/>
        <w:bottom w:val="dashed" w:sz="4" w:space="0" w:color="auto"/>
        <w:right w:val="dashed" w:sz="4" w:space="0" w:color="auto"/>
      </w:pBdr>
      <w:spacing w:before="100" w:beforeAutospacing="1" w:after="100" w:afterAutospacing="1"/>
      <w:jc w:val="center"/>
    </w:pPr>
    <w:rPr>
      <w:rFonts w:ascii="宋体" w:hAnsi="宋体" w:cs="宋体"/>
      <w:kern w:val="0"/>
      <w:sz w:val="32"/>
      <w:szCs w:val="32"/>
    </w:rPr>
  </w:style>
  <w:style w:type="paragraph" w:customStyle="1" w:styleId="xl279">
    <w:name w:val="xl279"/>
    <w:basedOn w:val="a1"/>
    <w:qFormat/>
    <w:pPr>
      <w:widowControl/>
      <w:pBdr>
        <w:top w:val="dashed" w:sz="4" w:space="0" w:color="auto"/>
        <w:bottom w:val="dashed" w:sz="4" w:space="0" w:color="auto"/>
        <w:right w:val="dashed" w:sz="4" w:space="0" w:color="auto"/>
      </w:pBdr>
      <w:spacing w:before="100" w:beforeAutospacing="1" w:after="100" w:afterAutospacing="1"/>
      <w:jc w:val="center"/>
    </w:pPr>
    <w:rPr>
      <w:rFonts w:ascii="宋体" w:hAnsi="宋体" w:cs="宋体"/>
      <w:kern w:val="0"/>
      <w:sz w:val="32"/>
      <w:szCs w:val="32"/>
    </w:rPr>
  </w:style>
  <w:style w:type="paragraph" w:customStyle="1" w:styleId="xl280">
    <w:name w:val="xl280"/>
    <w:basedOn w:val="a1"/>
    <w:qFormat/>
    <w:pPr>
      <w:widowControl/>
      <w:pBdr>
        <w:top w:val="single" w:sz="8" w:space="0" w:color="auto"/>
        <w:bottom w:val="dashed" w:sz="4" w:space="0" w:color="auto"/>
        <w:right w:val="dashed" w:sz="4" w:space="0" w:color="auto"/>
      </w:pBdr>
      <w:spacing w:before="100" w:beforeAutospacing="1" w:after="100" w:afterAutospacing="1"/>
      <w:jc w:val="left"/>
    </w:pPr>
    <w:rPr>
      <w:rFonts w:ascii="宋体" w:hAnsi="宋体" w:cs="宋体"/>
      <w:kern w:val="0"/>
      <w:sz w:val="24"/>
      <w:szCs w:val="24"/>
    </w:rPr>
  </w:style>
  <w:style w:type="paragraph" w:customStyle="1" w:styleId="xl281">
    <w:name w:val="xl281"/>
    <w:basedOn w:val="a1"/>
    <w:qFormat/>
    <w:pPr>
      <w:widowControl/>
      <w:pBdr>
        <w:top w:val="dashed" w:sz="4" w:space="0" w:color="auto"/>
        <w:right w:val="dashed" w:sz="4" w:space="0" w:color="auto"/>
      </w:pBdr>
      <w:spacing w:before="100" w:beforeAutospacing="1" w:after="100" w:afterAutospacing="1"/>
      <w:jc w:val="center"/>
      <w:textAlignment w:val="top"/>
    </w:pPr>
    <w:rPr>
      <w:rFonts w:ascii="宋体" w:hAnsi="宋体" w:cs="宋体"/>
      <w:kern w:val="0"/>
      <w:sz w:val="28"/>
      <w:szCs w:val="28"/>
    </w:rPr>
  </w:style>
  <w:style w:type="paragraph" w:customStyle="1" w:styleId="xl282">
    <w:name w:val="xl282"/>
    <w:basedOn w:val="a1"/>
    <w:qFormat/>
    <w:pPr>
      <w:widowControl/>
      <w:pBdr>
        <w:top w:val="dashed" w:sz="4" w:space="0" w:color="auto"/>
        <w:bottom w:val="single" w:sz="8" w:space="0" w:color="auto"/>
        <w:right w:val="dashed" w:sz="4" w:space="0" w:color="auto"/>
      </w:pBdr>
      <w:spacing w:before="100" w:beforeAutospacing="1" w:after="100" w:afterAutospacing="1"/>
      <w:jc w:val="center"/>
      <w:textAlignment w:val="top"/>
    </w:pPr>
    <w:rPr>
      <w:rFonts w:ascii="宋体" w:hAnsi="宋体" w:cs="宋体"/>
      <w:kern w:val="0"/>
      <w:sz w:val="28"/>
      <w:szCs w:val="28"/>
    </w:rPr>
  </w:style>
  <w:style w:type="paragraph" w:customStyle="1" w:styleId="xl283">
    <w:name w:val="xl283"/>
    <w:basedOn w:val="a1"/>
    <w:qFormat/>
    <w:pPr>
      <w:widowControl/>
      <w:pBdr>
        <w:top w:val="single" w:sz="8" w:space="0" w:color="auto"/>
        <w:bottom w:val="dashed" w:sz="4" w:space="0" w:color="auto"/>
        <w:right w:val="dashed" w:sz="4" w:space="0" w:color="auto"/>
      </w:pBdr>
      <w:spacing w:before="100" w:beforeAutospacing="1" w:after="100" w:afterAutospacing="1"/>
      <w:jc w:val="center"/>
    </w:pPr>
    <w:rPr>
      <w:rFonts w:ascii="宋体" w:hAnsi="宋体" w:cs="宋体"/>
      <w:kern w:val="0"/>
      <w:sz w:val="32"/>
      <w:szCs w:val="32"/>
    </w:rPr>
  </w:style>
  <w:style w:type="paragraph" w:customStyle="1" w:styleId="xl284">
    <w:name w:val="xl284"/>
    <w:basedOn w:val="a1"/>
    <w:qFormat/>
    <w:pPr>
      <w:widowControl/>
      <w:pBdr>
        <w:top w:val="dashed" w:sz="4" w:space="0" w:color="auto"/>
        <w:bottom w:val="dashed" w:sz="4" w:space="0" w:color="auto"/>
        <w:right w:val="dashed" w:sz="4" w:space="0" w:color="auto"/>
      </w:pBdr>
      <w:spacing w:before="100" w:beforeAutospacing="1" w:after="100" w:afterAutospacing="1"/>
      <w:jc w:val="center"/>
    </w:pPr>
    <w:rPr>
      <w:rFonts w:ascii="宋体" w:hAnsi="宋体" w:cs="宋体"/>
      <w:kern w:val="0"/>
      <w:sz w:val="32"/>
      <w:szCs w:val="32"/>
    </w:rPr>
  </w:style>
  <w:style w:type="paragraph" w:customStyle="1" w:styleId="xl285">
    <w:name w:val="xl285"/>
    <w:basedOn w:val="a1"/>
    <w:qFormat/>
    <w:pPr>
      <w:widowControl/>
      <w:pBdr>
        <w:top w:val="dashed" w:sz="4" w:space="0" w:color="auto"/>
        <w:bottom w:val="dashed" w:sz="4" w:space="0" w:color="auto"/>
        <w:right w:val="dashed" w:sz="4" w:space="0" w:color="auto"/>
      </w:pBdr>
      <w:spacing w:before="100" w:beforeAutospacing="1" w:after="100" w:afterAutospacing="1"/>
      <w:jc w:val="left"/>
    </w:pPr>
    <w:rPr>
      <w:rFonts w:ascii="宋体" w:hAnsi="宋体" w:cs="宋体"/>
      <w:kern w:val="0"/>
      <w:sz w:val="24"/>
      <w:szCs w:val="24"/>
    </w:rPr>
  </w:style>
  <w:style w:type="paragraph" w:customStyle="1" w:styleId="xl286">
    <w:name w:val="xl286"/>
    <w:basedOn w:val="a1"/>
    <w:qFormat/>
    <w:pPr>
      <w:widowControl/>
      <w:pBdr>
        <w:left w:val="single" w:sz="8" w:space="0" w:color="auto"/>
        <w:right w:val="dashed" w:sz="4" w:space="0" w:color="auto"/>
      </w:pBdr>
      <w:spacing w:before="100" w:beforeAutospacing="1" w:after="100" w:afterAutospacing="1"/>
      <w:jc w:val="left"/>
    </w:pPr>
    <w:rPr>
      <w:rFonts w:ascii="宋体" w:hAnsi="宋体" w:cs="宋体"/>
      <w:kern w:val="0"/>
      <w:sz w:val="24"/>
      <w:szCs w:val="24"/>
    </w:rPr>
  </w:style>
  <w:style w:type="paragraph" w:customStyle="1" w:styleId="xl287">
    <w:name w:val="xl287"/>
    <w:basedOn w:val="a1"/>
    <w:qFormat/>
    <w:pPr>
      <w:widowControl/>
      <w:pBdr>
        <w:bottom w:val="single" w:sz="8" w:space="0" w:color="auto"/>
        <w:right w:val="single" w:sz="4" w:space="0" w:color="auto"/>
      </w:pBdr>
      <w:spacing w:before="100" w:beforeAutospacing="1" w:after="100" w:afterAutospacing="1"/>
      <w:jc w:val="center"/>
      <w:textAlignment w:val="center"/>
    </w:pPr>
    <w:rPr>
      <w:rFonts w:ascii="宋体" w:hAnsi="宋体" w:cs="宋体"/>
      <w:kern w:val="0"/>
      <w:sz w:val="32"/>
      <w:szCs w:val="32"/>
    </w:rPr>
  </w:style>
  <w:style w:type="paragraph" w:customStyle="1" w:styleId="xl288">
    <w:name w:val="xl288"/>
    <w:basedOn w:val="a1"/>
    <w:qFormat/>
    <w:pPr>
      <w:widowControl/>
      <w:pBdr>
        <w:top w:val="dashed" w:sz="4" w:space="0" w:color="auto"/>
        <w:bottom w:val="single" w:sz="8" w:space="0" w:color="auto"/>
        <w:right w:val="dashed" w:sz="4" w:space="0" w:color="auto"/>
      </w:pBdr>
      <w:spacing w:before="100" w:beforeAutospacing="1" w:after="100" w:afterAutospacing="1"/>
      <w:jc w:val="left"/>
    </w:pPr>
    <w:rPr>
      <w:rFonts w:ascii="宋体" w:hAnsi="宋体" w:cs="宋体"/>
      <w:kern w:val="0"/>
      <w:sz w:val="24"/>
      <w:szCs w:val="24"/>
    </w:rPr>
  </w:style>
  <w:style w:type="paragraph" w:customStyle="1" w:styleId="xl289">
    <w:name w:val="xl289"/>
    <w:basedOn w:val="a1"/>
    <w:qFormat/>
    <w:pPr>
      <w:widowControl/>
      <w:pBdr>
        <w:bottom w:val="dashed" w:sz="4" w:space="0" w:color="auto"/>
        <w:right w:val="dashed" w:sz="4" w:space="0" w:color="auto"/>
      </w:pBdr>
      <w:spacing w:before="100" w:beforeAutospacing="1" w:after="100" w:afterAutospacing="1"/>
      <w:jc w:val="center"/>
      <w:textAlignment w:val="top"/>
    </w:pPr>
    <w:rPr>
      <w:rFonts w:ascii="宋体" w:hAnsi="宋体" w:cs="宋体"/>
      <w:kern w:val="0"/>
      <w:sz w:val="28"/>
      <w:szCs w:val="28"/>
    </w:rPr>
  </w:style>
  <w:style w:type="paragraph" w:customStyle="1" w:styleId="xl290">
    <w:name w:val="xl290"/>
    <w:basedOn w:val="a1"/>
    <w:qFormat/>
    <w:pPr>
      <w:widowControl/>
      <w:pBdr>
        <w:left w:val="single" w:sz="8" w:space="0" w:color="auto"/>
        <w:bottom w:val="dashed" w:sz="4" w:space="0" w:color="auto"/>
        <w:right w:val="single" w:sz="4" w:space="0" w:color="auto"/>
      </w:pBdr>
      <w:spacing w:before="100" w:beforeAutospacing="1" w:after="100" w:afterAutospacing="1"/>
      <w:jc w:val="center"/>
      <w:textAlignment w:val="top"/>
    </w:pPr>
    <w:rPr>
      <w:rFonts w:ascii="宋体" w:hAnsi="宋体" w:cs="宋体"/>
      <w:kern w:val="0"/>
      <w:sz w:val="28"/>
      <w:szCs w:val="28"/>
    </w:rPr>
  </w:style>
  <w:style w:type="paragraph" w:customStyle="1" w:styleId="xl291">
    <w:name w:val="xl291"/>
    <w:basedOn w:val="a1"/>
    <w:qFormat/>
    <w:pPr>
      <w:widowControl/>
      <w:pBdr>
        <w:top w:val="dashed"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宋体" w:hAnsi="宋体" w:cs="宋体"/>
      <w:kern w:val="0"/>
      <w:sz w:val="28"/>
      <w:szCs w:val="28"/>
    </w:rPr>
  </w:style>
  <w:style w:type="paragraph" w:customStyle="1" w:styleId="xl292">
    <w:name w:val="xl292"/>
    <w:basedOn w:val="a1"/>
    <w:qFormat/>
    <w:pPr>
      <w:widowControl/>
      <w:pBdr>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93">
    <w:name w:val="xl293"/>
    <w:basedOn w:val="a1"/>
    <w:qFormat/>
    <w:pPr>
      <w:widowControl/>
      <w:pBdr>
        <w:top w:val="dashed" w:sz="4" w:space="0" w:color="auto"/>
        <w:left w:val="dashed" w:sz="4" w:space="0" w:color="auto"/>
        <w:bottom w:val="dashed" w:sz="4" w:space="0" w:color="auto"/>
        <w:right w:val="single" w:sz="8" w:space="0" w:color="auto"/>
      </w:pBdr>
      <w:spacing w:before="100" w:beforeAutospacing="1" w:after="100" w:afterAutospacing="1"/>
      <w:jc w:val="left"/>
    </w:pPr>
    <w:rPr>
      <w:rFonts w:ascii="宋体" w:hAnsi="宋体" w:cs="宋体"/>
      <w:kern w:val="0"/>
      <w:sz w:val="24"/>
      <w:szCs w:val="24"/>
    </w:rPr>
  </w:style>
  <w:style w:type="paragraph" w:customStyle="1" w:styleId="xl294">
    <w:name w:val="xl294"/>
    <w:basedOn w:val="a1"/>
    <w:qFormat/>
    <w:pPr>
      <w:widowControl/>
      <w:pBdr>
        <w:top w:val="dashed" w:sz="4" w:space="0" w:color="auto"/>
        <w:left w:val="dashed" w:sz="4" w:space="0" w:color="auto"/>
        <w:bottom w:val="single" w:sz="8" w:space="0" w:color="auto"/>
        <w:right w:val="single" w:sz="8" w:space="0" w:color="auto"/>
      </w:pBdr>
      <w:spacing w:before="100" w:beforeAutospacing="1" w:after="100" w:afterAutospacing="1"/>
      <w:jc w:val="left"/>
    </w:pPr>
    <w:rPr>
      <w:rFonts w:ascii="宋体" w:hAnsi="宋体" w:cs="宋体"/>
      <w:kern w:val="0"/>
      <w:sz w:val="24"/>
      <w:szCs w:val="24"/>
    </w:rPr>
  </w:style>
  <w:style w:type="paragraph" w:customStyle="1" w:styleId="xl295">
    <w:name w:val="xl295"/>
    <w:basedOn w:val="a1"/>
    <w:qFormat/>
    <w:pPr>
      <w:widowControl/>
      <w:pBdr>
        <w:top w:val="dashed" w:sz="4" w:space="0" w:color="auto"/>
        <w:bottom w:val="dashed" w:sz="4" w:space="0" w:color="auto"/>
        <w:right w:val="dashed" w:sz="4" w:space="0" w:color="auto"/>
      </w:pBdr>
      <w:spacing w:before="100" w:beforeAutospacing="1" w:after="100" w:afterAutospacing="1"/>
      <w:jc w:val="center"/>
      <w:textAlignment w:val="top"/>
    </w:pPr>
    <w:rPr>
      <w:rFonts w:ascii="宋体" w:hAnsi="宋体" w:cs="宋体"/>
      <w:kern w:val="0"/>
      <w:sz w:val="28"/>
      <w:szCs w:val="28"/>
    </w:rPr>
  </w:style>
  <w:style w:type="paragraph" w:customStyle="1" w:styleId="xl296">
    <w:name w:val="xl296"/>
    <w:basedOn w:val="a1"/>
    <w:qFormat/>
    <w:pPr>
      <w:widowControl/>
      <w:pBdr>
        <w:top w:val="dashed" w:sz="4" w:space="0" w:color="auto"/>
        <w:left w:val="single" w:sz="4" w:space="0" w:color="auto"/>
        <w:bottom w:val="single" w:sz="8" w:space="0" w:color="auto"/>
        <w:right w:val="single" w:sz="8" w:space="0" w:color="auto"/>
      </w:pBdr>
      <w:spacing w:before="100" w:beforeAutospacing="1" w:after="100" w:afterAutospacing="1"/>
      <w:jc w:val="center"/>
    </w:pPr>
    <w:rPr>
      <w:rFonts w:ascii="宋体" w:hAnsi="宋体" w:cs="宋体"/>
      <w:kern w:val="0"/>
      <w:sz w:val="32"/>
      <w:szCs w:val="32"/>
    </w:rPr>
  </w:style>
  <w:style w:type="paragraph" w:customStyle="1" w:styleId="xl297">
    <w:name w:val="xl297"/>
    <w:basedOn w:val="a1"/>
    <w:qFormat/>
    <w:pPr>
      <w:widowControl/>
      <w:pBdr>
        <w:left w:val="single" w:sz="8" w:space="0" w:color="auto"/>
        <w:bottom w:val="dashed" w:sz="4" w:space="0" w:color="auto"/>
        <w:right w:val="single" w:sz="4" w:space="0" w:color="auto"/>
      </w:pBdr>
      <w:spacing w:before="100" w:beforeAutospacing="1" w:after="100" w:afterAutospacing="1"/>
      <w:jc w:val="center"/>
    </w:pPr>
    <w:rPr>
      <w:rFonts w:ascii="宋体" w:hAnsi="宋体" w:cs="宋体"/>
      <w:kern w:val="0"/>
      <w:sz w:val="32"/>
      <w:szCs w:val="32"/>
    </w:rPr>
  </w:style>
  <w:style w:type="paragraph" w:customStyle="1" w:styleId="xl298">
    <w:name w:val="xl298"/>
    <w:basedOn w:val="a1"/>
    <w:qFormat/>
    <w:pPr>
      <w:widowControl/>
      <w:pBdr>
        <w:left w:val="single" w:sz="4" w:space="0" w:color="auto"/>
        <w:bottom w:val="dashed" w:sz="4" w:space="0" w:color="auto"/>
        <w:right w:val="single" w:sz="4" w:space="0" w:color="auto"/>
      </w:pBdr>
      <w:spacing w:before="100" w:beforeAutospacing="1" w:after="100" w:afterAutospacing="1"/>
      <w:jc w:val="center"/>
    </w:pPr>
    <w:rPr>
      <w:rFonts w:ascii="宋体" w:hAnsi="宋体" w:cs="宋体"/>
      <w:kern w:val="0"/>
      <w:sz w:val="32"/>
      <w:szCs w:val="32"/>
    </w:rPr>
  </w:style>
  <w:style w:type="paragraph" w:customStyle="1" w:styleId="xl299">
    <w:name w:val="xl299"/>
    <w:basedOn w:val="a1"/>
    <w:qFormat/>
    <w:pPr>
      <w:widowControl/>
      <w:pBdr>
        <w:left w:val="single" w:sz="4" w:space="0" w:color="auto"/>
        <w:bottom w:val="dashed" w:sz="4" w:space="0" w:color="auto"/>
        <w:right w:val="single" w:sz="8" w:space="0" w:color="auto"/>
      </w:pBdr>
      <w:spacing w:before="100" w:beforeAutospacing="1" w:after="100" w:afterAutospacing="1"/>
      <w:jc w:val="center"/>
    </w:pPr>
    <w:rPr>
      <w:rFonts w:ascii="宋体" w:hAnsi="宋体" w:cs="宋体"/>
      <w:kern w:val="0"/>
      <w:sz w:val="32"/>
      <w:szCs w:val="32"/>
    </w:rPr>
  </w:style>
  <w:style w:type="paragraph" w:customStyle="1" w:styleId="xl300">
    <w:name w:val="xl300"/>
    <w:basedOn w:val="a1"/>
    <w:qFormat/>
    <w:pPr>
      <w:widowControl/>
      <w:pBdr>
        <w:top w:val="dashed"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kern w:val="0"/>
      <w:sz w:val="32"/>
      <w:szCs w:val="32"/>
    </w:rPr>
  </w:style>
  <w:style w:type="paragraph" w:customStyle="1" w:styleId="xl301">
    <w:name w:val="xl301"/>
    <w:basedOn w:val="a1"/>
    <w:qFormat/>
    <w:pPr>
      <w:widowControl/>
      <w:pBdr>
        <w:top w:val="dashed"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32"/>
      <w:szCs w:val="32"/>
    </w:rPr>
  </w:style>
  <w:style w:type="paragraph" w:customStyle="1" w:styleId="xl302">
    <w:name w:val="xl302"/>
    <w:basedOn w:val="a1"/>
    <w:qFormat/>
    <w:pPr>
      <w:widowControl/>
      <w:pBdr>
        <w:left w:val="single" w:sz="4" w:space="0" w:color="auto"/>
        <w:bottom w:val="dashed" w:sz="4" w:space="0" w:color="auto"/>
        <w:right w:val="single" w:sz="4" w:space="0" w:color="auto"/>
      </w:pBdr>
      <w:spacing w:before="100" w:beforeAutospacing="1" w:after="100" w:afterAutospacing="1"/>
      <w:jc w:val="center"/>
      <w:textAlignment w:val="top"/>
    </w:pPr>
    <w:rPr>
      <w:rFonts w:ascii="宋体" w:hAnsi="宋体" w:cs="宋体"/>
      <w:kern w:val="0"/>
      <w:sz w:val="28"/>
      <w:szCs w:val="28"/>
    </w:rPr>
  </w:style>
  <w:style w:type="paragraph" w:customStyle="1" w:styleId="xl303">
    <w:name w:val="xl303"/>
    <w:basedOn w:val="a1"/>
    <w:qFormat/>
    <w:pPr>
      <w:widowControl/>
      <w:pBdr>
        <w:left w:val="single" w:sz="4" w:space="0" w:color="auto"/>
        <w:bottom w:val="dashed"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304">
    <w:name w:val="xl304"/>
    <w:basedOn w:val="a1"/>
    <w:qFormat/>
    <w:pPr>
      <w:widowControl/>
      <w:pBdr>
        <w:left w:val="single" w:sz="4" w:space="0" w:color="auto"/>
        <w:bottom w:val="dashed" w:sz="4" w:space="0" w:color="auto"/>
        <w:right w:val="single" w:sz="8" w:space="0" w:color="auto"/>
      </w:pBdr>
      <w:spacing w:before="100" w:beforeAutospacing="1" w:after="100" w:afterAutospacing="1"/>
      <w:jc w:val="center"/>
      <w:textAlignment w:val="top"/>
    </w:pPr>
    <w:rPr>
      <w:rFonts w:ascii="宋体" w:hAnsi="宋体" w:cs="宋体"/>
      <w:kern w:val="0"/>
      <w:sz w:val="28"/>
      <w:szCs w:val="28"/>
    </w:rPr>
  </w:style>
  <w:style w:type="paragraph" w:customStyle="1" w:styleId="xl305">
    <w:name w:val="xl305"/>
    <w:basedOn w:val="a1"/>
    <w:qFormat/>
    <w:pPr>
      <w:widowControl/>
      <w:pBdr>
        <w:top w:val="dashed"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宋体" w:hAnsi="宋体" w:cs="宋体"/>
      <w:kern w:val="0"/>
      <w:sz w:val="28"/>
      <w:szCs w:val="28"/>
    </w:rPr>
  </w:style>
  <w:style w:type="paragraph" w:customStyle="1" w:styleId="xl306">
    <w:name w:val="xl306"/>
    <w:basedOn w:val="a1"/>
    <w:qFormat/>
    <w:pPr>
      <w:widowControl/>
      <w:pBdr>
        <w:top w:val="dashed"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307">
    <w:name w:val="xl307"/>
    <w:basedOn w:val="a1"/>
    <w:qFormat/>
    <w:pPr>
      <w:widowControl/>
      <w:pBdr>
        <w:top w:val="dashed"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宋体" w:hAnsi="宋体" w:cs="宋体"/>
      <w:kern w:val="0"/>
      <w:sz w:val="28"/>
      <w:szCs w:val="28"/>
    </w:rPr>
  </w:style>
  <w:style w:type="paragraph" w:customStyle="1" w:styleId="xl308">
    <w:name w:val="xl308"/>
    <w:basedOn w:val="a1"/>
    <w:qFormat/>
    <w:pPr>
      <w:widowControl/>
      <w:pBdr>
        <w:top w:val="dashed" w:sz="4" w:space="0" w:color="auto"/>
        <w:bottom w:val="single" w:sz="8" w:space="0" w:color="auto"/>
        <w:right w:val="dashed" w:sz="4" w:space="0" w:color="auto"/>
      </w:pBdr>
      <w:spacing w:before="100" w:beforeAutospacing="1" w:after="100" w:afterAutospacing="1"/>
      <w:jc w:val="center"/>
      <w:textAlignment w:val="top"/>
    </w:pPr>
    <w:rPr>
      <w:rFonts w:ascii="宋体" w:hAnsi="宋体" w:cs="宋体"/>
      <w:kern w:val="0"/>
      <w:sz w:val="32"/>
      <w:szCs w:val="32"/>
    </w:rPr>
  </w:style>
  <w:style w:type="paragraph" w:customStyle="1" w:styleId="xl309">
    <w:name w:val="xl309"/>
    <w:basedOn w:val="a1"/>
    <w:qFormat/>
    <w:pPr>
      <w:widowControl/>
      <w:pBdr>
        <w:left w:val="dashed" w:sz="4" w:space="0" w:color="auto"/>
        <w:right w:val="single" w:sz="8" w:space="0" w:color="auto"/>
      </w:pBdr>
      <w:spacing w:before="100" w:beforeAutospacing="1" w:after="100" w:afterAutospacing="1"/>
      <w:jc w:val="left"/>
    </w:pPr>
    <w:rPr>
      <w:rFonts w:ascii="宋体" w:hAnsi="宋体" w:cs="宋体"/>
      <w:kern w:val="0"/>
      <w:sz w:val="24"/>
      <w:szCs w:val="24"/>
    </w:rPr>
  </w:style>
  <w:style w:type="paragraph" w:customStyle="1" w:styleId="xl310">
    <w:name w:val="xl310"/>
    <w:basedOn w:val="a1"/>
    <w:qFormat/>
    <w:pPr>
      <w:widowControl/>
      <w:pBdr>
        <w:left w:val="dashed" w:sz="4" w:space="0" w:color="auto"/>
        <w:right w:val="dashed" w:sz="4" w:space="0" w:color="auto"/>
      </w:pBdr>
      <w:spacing w:before="100" w:beforeAutospacing="1" w:after="100" w:afterAutospacing="1"/>
      <w:jc w:val="left"/>
    </w:pPr>
    <w:rPr>
      <w:rFonts w:ascii="宋体" w:hAnsi="宋体" w:cs="宋体"/>
      <w:kern w:val="0"/>
      <w:sz w:val="24"/>
      <w:szCs w:val="24"/>
    </w:rPr>
  </w:style>
  <w:style w:type="paragraph" w:customStyle="1" w:styleId="xl311">
    <w:name w:val="xl311"/>
    <w:basedOn w:val="a1"/>
    <w:qFormat/>
    <w:pPr>
      <w:widowControl/>
      <w:pBdr>
        <w:top w:val="dashed" w:sz="4" w:space="0" w:color="auto"/>
        <w:left w:val="dashed" w:sz="4" w:space="0" w:color="auto"/>
        <w:bottom w:val="dashed" w:sz="4" w:space="0" w:color="auto"/>
        <w:right w:val="dashed" w:sz="4" w:space="0" w:color="auto"/>
      </w:pBdr>
      <w:spacing w:before="100" w:beforeAutospacing="1" w:after="100" w:afterAutospacing="1"/>
      <w:jc w:val="left"/>
      <w:textAlignment w:val="top"/>
    </w:pPr>
    <w:rPr>
      <w:rFonts w:ascii="宋体" w:hAnsi="宋体" w:cs="宋体"/>
      <w:kern w:val="0"/>
      <w:sz w:val="28"/>
      <w:szCs w:val="28"/>
    </w:rPr>
  </w:style>
  <w:style w:type="paragraph" w:customStyle="1" w:styleId="xl312">
    <w:name w:val="xl312"/>
    <w:basedOn w:val="a1"/>
    <w:qFormat/>
    <w:pPr>
      <w:widowControl/>
      <w:pBdr>
        <w:top w:val="single" w:sz="4" w:space="0" w:color="auto"/>
        <w:left w:val="single" w:sz="4" w:space="0" w:color="auto"/>
      </w:pBdr>
      <w:spacing w:before="100" w:beforeAutospacing="1" w:after="100" w:afterAutospacing="1"/>
      <w:jc w:val="center"/>
    </w:pPr>
    <w:rPr>
      <w:rFonts w:ascii="宋体" w:hAnsi="宋体" w:cs="宋体"/>
      <w:kern w:val="0"/>
      <w:sz w:val="32"/>
      <w:szCs w:val="32"/>
    </w:rPr>
  </w:style>
  <w:style w:type="paragraph" w:customStyle="1" w:styleId="xl313">
    <w:name w:val="xl313"/>
    <w:basedOn w:val="a1"/>
    <w:qFormat/>
    <w:pPr>
      <w:widowControl/>
      <w:pBdr>
        <w:left w:val="single" w:sz="8" w:space="0" w:color="auto"/>
        <w:right w:val="single" w:sz="8" w:space="0" w:color="auto"/>
      </w:pBdr>
      <w:spacing w:before="100" w:beforeAutospacing="1" w:after="100" w:afterAutospacing="1"/>
      <w:jc w:val="center"/>
      <w:textAlignment w:val="center"/>
    </w:pPr>
    <w:rPr>
      <w:rFonts w:ascii="宋体" w:hAnsi="宋体" w:cs="宋体"/>
      <w:kern w:val="0"/>
      <w:sz w:val="32"/>
      <w:szCs w:val="32"/>
    </w:rPr>
  </w:style>
  <w:style w:type="paragraph" w:customStyle="1" w:styleId="xl314">
    <w:name w:val="xl314"/>
    <w:basedOn w:val="a1"/>
    <w:qFormat/>
    <w:pPr>
      <w:widowControl/>
      <w:pBdr>
        <w:top w:val="dashed" w:sz="4" w:space="0" w:color="auto"/>
        <w:left w:val="single" w:sz="8" w:space="0" w:color="auto"/>
        <w:bottom w:val="dashed" w:sz="4" w:space="0" w:color="auto"/>
        <w:right w:val="dashed" w:sz="4" w:space="0" w:color="auto"/>
      </w:pBdr>
      <w:spacing w:before="100" w:beforeAutospacing="1" w:after="100" w:afterAutospacing="1"/>
      <w:jc w:val="center"/>
    </w:pPr>
    <w:rPr>
      <w:rFonts w:ascii="宋体" w:hAnsi="宋体" w:cs="宋体"/>
      <w:kern w:val="0"/>
      <w:sz w:val="28"/>
      <w:szCs w:val="28"/>
    </w:rPr>
  </w:style>
  <w:style w:type="paragraph" w:customStyle="1" w:styleId="xl315">
    <w:name w:val="xl315"/>
    <w:basedOn w:val="a1"/>
    <w:qFormat/>
    <w:pPr>
      <w:widowControl/>
      <w:pBdr>
        <w:top w:val="dashed" w:sz="4" w:space="0" w:color="auto"/>
        <w:left w:val="dashed" w:sz="4" w:space="0" w:color="auto"/>
        <w:bottom w:val="dashed" w:sz="4" w:space="0" w:color="auto"/>
        <w:right w:val="dashed" w:sz="4" w:space="0" w:color="auto"/>
      </w:pBdr>
      <w:spacing w:before="100" w:beforeAutospacing="1" w:after="100" w:afterAutospacing="1"/>
      <w:jc w:val="center"/>
    </w:pPr>
    <w:rPr>
      <w:rFonts w:ascii="宋体" w:hAnsi="宋体" w:cs="宋体"/>
      <w:kern w:val="0"/>
      <w:sz w:val="28"/>
      <w:szCs w:val="28"/>
    </w:rPr>
  </w:style>
  <w:style w:type="paragraph" w:customStyle="1" w:styleId="xl316">
    <w:name w:val="xl316"/>
    <w:basedOn w:val="a1"/>
    <w:qFormat/>
    <w:pPr>
      <w:widowControl/>
      <w:pBdr>
        <w:top w:val="dashed" w:sz="4" w:space="0" w:color="auto"/>
        <w:left w:val="dashed" w:sz="4" w:space="0" w:color="auto"/>
        <w:bottom w:val="dashed" w:sz="4" w:space="0" w:color="auto"/>
        <w:right w:val="dashed" w:sz="4" w:space="0" w:color="auto"/>
      </w:pBdr>
      <w:spacing w:before="100" w:beforeAutospacing="1" w:after="100" w:afterAutospacing="1"/>
      <w:jc w:val="left"/>
    </w:pPr>
    <w:rPr>
      <w:rFonts w:ascii="宋体" w:hAnsi="宋体" w:cs="宋体"/>
      <w:kern w:val="0"/>
      <w:sz w:val="28"/>
      <w:szCs w:val="28"/>
    </w:rPr>
  </w:style>
  <w:style w:type="paragraph" w:customStyle="1" w:styleId="xl317">
    <w:name w:val="xl317"/>
    <w:basedOn w:val="a1"/>
    <w:qFormat/>
    <w:pPr>
      <w:widowControl/>
      <w:pBdr>
        <w:top w:val="dashed" w:sz="4" w:space="0" w:color="auto"/>
        <w:left w:val="dashed" w:sz="4" w:space="0" w:color="auto"/>
        <w:bottom w:val="dashed" w:sz="4" w:space="0" w:color="auto"/>
        <w:right w:val="dashed" w:sz="4" w:space="0" w:color="auto"/>
      </w:pBdr>
      <w:spacing w:before="100" w:beforeAutospacing="1" w:after="100" w:afterAutospacing="1"/>
      <w:jc w:val="left"/>
    </w:pPr>
    <w:rPr>
      <w:rFonts w:ascii="宋体" w:hAnsi="宋体" w:cs="宋体"/>
      <w:kern w:val="0"/>
      <w:sz w:val="28"/>
      <w:szCs w:val="28"/>
    </w:rPr>
  </w:style>
  <w:style w:type="paragraph" w:customStyle="1" w:styleId="xl318">
    <w:name w:val="xl318"/>
    <w:basedOn w:val="a1"/>
    <w:qFormat/>
    <w:pPr>
      <w:widowControl/>
      <w:pBdr>
        <w:top w:val="dashed" w:sz="4" w:space="0" w:color="auto"/>
        <w:left w:val="dashed" w:sz="4" w:space="0" w:color="auto"/>
        <w:bottom w:val="dashed" w:sz="4" w:space="0" w:color="auto"/>
        <w:right w:val="dashed" w:sz="4" w:space="0" w:color="auto"/>
      </w:pBdr>
      <w:spacing w:before="100" w:beforeAutospacing="1" w:after="100" w:afterAutospacing="1"/>
      <w:jc w:val="left"/>
    </w:pPr>
    <w:rPr>
      <w:rFonts w:ascii="宋体" w:hAnsi="宋体" w:cs="宋体"/>
      <w:kern w:val="0"/>
      <w:sz w:val="28"/>
      <w:szCs w:val="28"/>
    </w:rPr>
  </w:style>
  <w:style w:type="paragraph" w:customStyle="1" w:styleId="xl319">
    <w:name w:val="xl319"/>
    <w:basedOn w:val="a1"/>
    <w:qFormat/>
    <w:pPr>
      <w:widowControl/>
      <w:pBdr>
        <w:top w:val="dashed" w:sz="4" w:space="0" w:color="auto"/>
        <w:left w:val="dashed" w:sz="4" w:space="0" w:color="auto"/>
        <w:bottom w:val="dashed" w:sz="4" w:space="0" w:color="auto"/>
        <w:right w:val="dashed" w:sz="4" w:space="0" w:color="auto"/>
      </w:pBdr>
      <w:spacing w:before="100" w:beforeAutospacing="1" w:after="100" w:afterAutospacing="1"/>
      <w:jc w:val="center"/>
    </w:pPr>
    <w:rPr>
      <w:rFonts w:ascii="宋体" w:hAnsi="宋体" w:cs="宋体"/>
      <w:kern w:val="0"/>
      <w:sz w:val="28"/>
      <w:szCs w:val="28"/>
    </w:rPr>
  </w:style>
  <w:style w:type="paragraph" w:customStyle="1" w:styleId="xl320">
    <w:name w:val="xl320"/>
    <w:basedOn w:val="a1"/>
    <w:qFormat/>
    <w:pPr>
      <w:widowControl/>
      <w:pBdr>
        <w:top w:val="dashed" w:sz="4" w:space="0" w:color="auto"/>
        <w:left w:val="dashed" w:sz="4" w:space="0" w:color="auto"/>
        <w:bottom w:val="single" w:sz="8" w:space="0" w:color="auto"/>
        <w:right w:val="dashed" w:sz="4" w:space="0" w:color="auto"/>
      </w:pBdr>
      <w:spacing w:before="100" w:beforeAutospacing="1" w:after="100" w:afterAutospacing="1"/>
      <w:jc w:val="left"/>
    </w:pPr>
    <w:rPr>
      <w:rFonts w:ascii="宋体" w:hAnsi="宋体" w:cs="宋体"/>
      <w:kern w:val="0"/>
      <w:sz w:val="28"/>
      <w:szCs w:val="28"/>
    </w:rPr>
  </w:style>
  <w:style w:type="paragraph" w:customStyle="1" w:styleId="xl321">
    <w:name w:val="xl321"/>
    <w:basedOn w:val="a1"/>
    <w:qFormat/>
    <w:pPr>
      <w:widowControl/>
      <w:pBdr>
        <w:top w:val="dashed" w:sz="4" w:space="0" w:color="auto"/>
        <w:left w:val="dashed" w:sz="4" w:space="0" w:color="auto"/>
        <w:bottom w:val="single" w:sz="8" w:space="0" w:color="auto"/>
        <w:right w:val="dashed" w:sz="4" w:space="0" w:color="auto"/>
      </w:pBdr>
      <w:spacing w:before="100" w:beforeAutospacing="1" w:after="100" w:afterAutospacing="1"/>
      <w:jc w:val="center"/>
    </w:pPr>
    <w:rPr>
      <w:rFonts w:ascii="宋体" w:hAnsi="宋体" w:cs="宋体"/>
      <w:kern w:val="0"/>
      <w:sz w:val="28"/>
      <w:szCs w:val="28"/>
    </w:rPr>
  </w:style>
  <w:style w:type="paragraph" w:customStyle="1" w:styleId="xl322">
    <w:name w:val="xl322"/>
    <w:basedOn w:val="a1"/>
    <w:qFormat/>
    <w:pPr>
      <w:widowControl/>
      <w:pBdr>
        <w:top w:val="dashed" w:sz="4" w:space="0" w:color="auto"/>
        <w:left w:val="dashed" w:sz="4" w:space="0" w:color="auto"/>
        <w:right w:val="dashed" w:sz="4" w:space="0" w:color="auto"/>
      </w:pBdr>
      <w:spacing w:before="100" w:beforeAutospacing="1" w:after="100" w:afterAutospacing="1"/>
      <w:jc w:val="center"/>
    </w:pPr>
    <w:rPr>
      <w:rFonts w:ascii="宋体" w:hAnsi="宋体" w:cs="宋体"/>
      <w:kern w:val="0"/>
      <w:sz w:val="32"/>
      <w:szCs w:val="32"/>
    </w:rPr>
  </w:style>
  <w:style w:type="paragraph" w:customStyle="1" w:styleId="xl323">
    <w:name w:val="xl323"/>
    <w:basedOn w:val="a1"/>
    <w:qFormat/>
    <w:pPr>
      <w:widowControl/>
      <w:pBdr>
        <w:top w:val="dashed" w:sz="4" w:space="0" w:color="auto"/>
        <w:left w:val="dashed" w:sz="4" w:space="0" w:color="auto"/>
        <w:right w:val="dashed" w:sz="4" w:space="0" w:color="auto"/>
      </w:pBdr>
      <w:spacing w:before="100" w:beforeAutospacing="1" w:after="100" w:afterAutospacing="1"/>
      <w:jc w:val="left"/>
    </w:pPr>
    <w:rPr>
      <w:rFonts w:ascii="宋体" w:hAnsi="宋体" w:cs="宋体"/>
      <w:kern w:val="0"/>
      <w:sz w:val="24"/>
      <w:szCs w:val="24"/>
    </w:rPr>
  </w:style>
  <w:style w:type="paragraph" w:customStyle="1" w:styleId="xl324">
    <w:name w:val="xl324"/>
    <w:basedOn w:val="a1"/>
    <w:qFormat/>
    <w:pPr>
      <w:widowControl/>
      <w:pBdr>
        <w:top w:val="dashed" w:sz="4" w:space="0" w:color="auto"/>
        <w:left w:val="dashed" w:sz="4" w:space="0" w:color="auto"/>
        <w:right w:val="dashed" w:sz="4" w:space="0" w:color="auto"/>
      </w:pBdr>
      <w:spacing w:before="100" w:beforeAutospacing="1" w:after="100" w:afterAutospacing="1"/>
      <w:jc w:val="center"/>
      <w:textAlignment w:val="top"/>
    </w:pPr>
    <w:rPr>
      <w:rFonts w:ascii="宋体" w:hAnsi="宋体" w:cs="宋体"/>
      <w:kern w:val="0"/>
      <w:sz w:val="32"/>
      <w:szCs w:val="32"/>
    </w:rPr>
  </w:style>
  <w:style w:type="paragraph" w:customStyle="1" w:styleId="xl325">
    <w:name w:val="xl325"/>
    <w:basedOn w:val="a1"/>
    <w:qFormat/>
    <w:pPr>
      <w:widowControl/>
      <w:pBdr>
        <w:top w:val="dashed" w:sz="4" w:space="0" w:color="auto"/>
        <w:left w:val="dashed" w:sz="4" w:space="0" w:color="auto"/>
        <w:right w:val="single" w:sz="8" w:space="0" w:color="auto"/>
      </w:pBdr>
      <w:spacing w:before="100" w:beforeAutospacing="1" w:after="100" w:afterAutospacing="1"/>
      <w:jc w:val="left"/>
    </w:pPr>
    <w:rPr>
      <w:rFonts w:ascii="宋体" w:hAnsi="宋体" w:cs="宋体"/>
      <w:kern w:val="0"/>
      <w:sz w:val="24"/>
      <w:szCs w:val="24"/>
    </w:rPr>
  </w:style>
  <w:style w:type="paragraph" w:customStyle="1" w:styleId="xl326">
    <w:name w:val="xl326"/>
    <w:basedOn w:val="a1"/>
    <w:qFormat/>
    <w:pPr>
      <w:widowControl/>
      <w:pBdr>
        <w:top w:val="dashed" w:sz="4" w:space="0" w:color="auto"/>
        <w:left w:val="dashed" w:sz="4" w:space="0" w:color="auto"/>
      </w:pBdr>
      <w:spacing w:before="100" w:beforeAutospacing="1" w:after="100" w:afterAutospacing="1"/>
      <w:jc w:val="left"/>
    </w:pPr>
    <w:rPr>
      <w:rFonts w:ascii="宋体" w:hAnsi="宋体" w:cs="宋体"/>
      <w:kern w:val="0"/>
      <w:sz w:val="24"/>
      <w:szCs w:val="24"/>
    </w:rPr>
  </w:style>
  <w:style w:type="paragraph" w:customStyle="1" w:styleId="xl327">
    <w:name w:val="xl327"/>
    <w:basedOn w:val="a1"/>
    <w:qFormat/>
    <w:pPr>
      <w:widowControl/>
      <w:pBdr>
        <w:left w:val="single" w:sz="8" w:space="0" w:color="auto"/>
        <w:right w:val="dashed" w:sz="4" w:space="0" w:color="auto"/>
      </w:pBdr>
      <w:spacing w:before="100" w:beforeAutospacing="1" w:after="100" w:afterAutospacing="1"/>
      <w:jc w:val="center"/>
    </w:pPr>
    <w:rPr>
      <w:rFonts w:ascii="宋体" w:hAnsi="宋体" w:cs="宋体"/>
      <w:kern w:val="0"/>
      <w:sz w:val="32"/>
      <w:szCs w:val="32"/>
    </w:rPr>
  </w:style>
  <w:style w:type="paragraph" w:customStyle="1" w:styleId="xl328">
    <w:name w:val="xl328"/>
    <w:basedOn w:val="a1"/>
    <w:qFormat/>
    <w:pPr>
      <w:widowControl/>
      <w:pBdr>
        <w:left w:val="dashed" w:sz="4" w:space="0" w:color="auto"/>
        <w:right w:val="dashed" w:sz="4" w:space="0" w:color="auto"/>
      </w:pBdr>
      <w:spacing w:before="100" w:beforeAutospacing="1" w:after="100" w:afterAutospacing="1"/>
      <w:jc w:val="center"/>
    </w:pPr>
    <w:rPr>
      <w:rFonts w:ascii="宋体" w:hAnsi="宋体" w:cs="宋体"/>
      <w:kern w:val="0"/>
      <w:sz w:val="32"/>
      <w:szCs w:val="32"/>
    </w:rPr>
  </w:style>
  <w:style w:type="paragraph" w:customStyle="1" w:styleId="xl329">
    <w:name w:val="xl329"/>
    <w:basedOn w:val="a1"/>
    <w:qFormat/>
    <w:pPr>
      <w:widowControl/>
      <w:pBdr>
        <w:left w:val="dashed" w:sz="4" w:space="0" w:color="auto"/>
        <w:right w:val="single" w:sz="8" w:space="0" w:color="auto"/>
      </w:pBdr>
      <w:spacing w:before="100" w:beforeAutospacing="1" w:after="100" w:afterAutospacing="1"/>
      <w:jc w:val="center"/>
    </w:pPr>
    <w:rPr>
      <w:rFonts w:ascii="宋体" w:hAnsi="宋体" w:cs="宋体"/>
      <w:kern w:val="0"/>
      <w:sz w:val="32"/>
      <w:szCs w:val="32"/>
    </w:rPr>
  </w:style>
  <w:style w:type="paragraph" w:customStyle="1" w:styleId="xl330">
    <w:name w:val="xl330"/>
    <w:basedOn w:val="a1"/>
    <w:qFormat/>
    <w:pPr>
      <w:widowControl/>
      <w:pBdr>
        <w:left w:val="dashed" w:sz="4" w:space="0" w:color="auto"/>
        <w:bottom w:val="dashed" w:sz="4" w:space="0" w:color="auto"/>
        <w:right w:val="dashed" w:sz="4" w:space="0" w:color="auto"/>
      </w:pBdr>
      <w:spacing w:before="100" w:beforeAutospacing="1" w:after="100" w:afterAutospacing="1"/>
      <w:jc w:val="center"/>
    </w:pPr>
    <w:rPr>
      <w:rFonts w:ascii="宋体" w:hAnsi="宋体" w:cs="宋体"/>
      <w:kern w:val="0"/>
      <w:sz w:val="32"/>
      <w:szCs w:val="32"/>
    </w:rPr>
  </w:style>
  <w:style w:type="paragraph" w:customStyle="1" w:styleId="xl331">
    <w:name w:val="xl331"/>
    <w:basedOn w:val="a1"/>
    <w:qFormat/>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宋体" w:hAnsi="宋体" w:cs="宋体"/>
      <w:b/>
      <w:bCs/>
      <w:kern w:val="0"/>
      <w:sz w:val="32"/>
      <w:szCs w:val="32"/>
    </w:rPr>
  </w:style>
  <w:style w:type="paragraph" w:customStyle="1" w:styleId="xl332">
    <w:name w:val="xl332"/>
    <w:basedOn w:val="a1"/>
    <w:qFormat/>
    <w:pPr>
      <w:widowControl/>
      <w:pBdr>
        <w:left w:val="dashed" w:sz="4" w:space="0" w:color="auto"/>
        <w:bottom w:val="dashed" w:sz="4" w:space="0" w:color="auto"/>
        <w:right w:val="single" w:sz="8" w:space="0" w:color="auto"/>
      </w:pBdr>
      <w:spacing w:before="100" w:beforeAutospacing="1" w:after="100" w:afterAutospacing="1"/>
      <w:jc w:val="center"/>
      <w:textAlignment w:val="top"/>
    </w:pPr>
    <w:rPr>
      <w:rFonts w:ascii="宋体" w:hAnsi="宋体" w:cs="宋体"/>
      <w:kern w:val="0"/>
      <w:sz w:val="28"/>
      <w:szCs w:val="28"/>
    </w:rPr>
  </w:style>
  <w:style w:type="paragraph" w:customStyle="1" w:styleId="xl333">
    <w:name w:val="xl333"/>
    <w:basedOn w:val="a1"/>
    <w:qFormat/>
    <w:pPr>
      <w:widowControl/>
      <w:pBdr>
        <w:top w:val="dashed" w:sz="4" w:space="0" w:color="auto"/>
        <w:left w:val="dashed" w:sz="4" w:space="0" w:color="auto"/>
        <w:right w:val="dashed" w:sz="4" w:space="0" w:color="auto"/>
      </w:pBdr>
      <w:spacing w:before="100" w:beforeAutospacing="1" w:after="100" w:afterAutospacing="1"/>
      <w:jc w:val="left"/>
      <w:textAlignment w:val="top"/>
    </w:pPr>
    <w:rPr>
      <w:rFonts w:ascii="宋体" w:hAnsi="宋体" w:cs="宋体"/>
      <w:kern w:val="0"/>
      <w:sz w:val="32"/>
      <w:szCs w:val="32"/>
    </w:rPr>
  </w:style>
  <w:style w:type="paragraph" w:customStyle="1" w:styleId="xl334">
    <w:name w:val="xl334"/>
    <w:basedOn w:val="a1"/>
    <w:qFormat/>
    <w:pPr>
      <w:widowControl/>
      <w:pBdr>
        <w:top w:val="dashed" w:sz="4" w:space="0" w:color="auto"/>
        <w:right w:val="dashed" w:sz="4" w:space="0" w:color="auto"/>
      </w:pBdr>
      <w:spacing w:before="100" w:beforeAutospacing="1" w:after="100" w:afterAutospacing="1"/>
      <w:jc w:val="center"/>
      <w:textAlignment w:val="top"/>
    </w:pPr>
    <w:rPr>
      <w:rFonts w:ascii="宋体" w:hAnsi="宋体" w:cs="宋体"/>
      <w:kern w:val="0"/>
      <w:sz w:val="32"/>
      <w:szCs w:val="32"/>
    </w:rPr>
  </w:style>
  <w:style w:type="paragraph" w:customStyle="1" w:styleId="xl335">
    <w:name w:val="xl335"/>
    <w:basedOn w:val="a1"/>
    <w:qFormat/>
    <w:pPr>
      <w:widowControl/>
      <w:pBdr>
        <w:right w:val="dashed" w:sz="4" w:space="0" w:color="auto"/>
      </w:pBdr>
      <w:spacing w:before="100" w:beforeAutospacing="1" w:after="100" w:afterAutospacing="1"/>
      <w:jc w:val="center"/>
    </w:pPr>
    <w:rPr>
      <w:rFonts w:ascii="宋体" w:hAnsi="宋体" w:cs="宋体"/>
      <w:kern w:val="0"/>
      <w:sz w:val="32"/>
      <w:szCs w:val="32"/>
    </w:rPr>
  </w:style>
  <w:style w:type="paragraph" w:customStyle="1" w:styleId="xl336">
    <w:name w:val="xl336"/>
    <w:basedOn w:val="a1"/>
    <w:qFormat/>
    <w:pPr>
      <w:widowControl/>
      <w:pBdr>
        <w:top w:val="single" w:sz="8" w:space="0" w:color="auto"/>
        <w:left w:val="dashed" w:sz="4" w:space="0" w:color="auto"/>
        <w:bottom w:val="dashed" w:sz="4" w:space="0" w:color="auto"/>
        <w:right w:val="single" w:sz="8" w:space="0" w:color="auto"/>
      </w:pBdr>
      <w:spacing w:before="100" w:beforeAutospacing="1" w:after="100" w:afterAutospacing="1"/>
      <w:jc w:val="center"/>
    </w:pPr>
    <w:rPr>
      <w:rFonts w:ascii="宋体" w:hAnsi="宋体" w:cs="宋体"/>
      <w:kern w:val="0"/>
      <w:sz w:val="32"/>
      <w:szCs w:val="32"/>
    </w:rPr>
  </w:style>
  <w:style w:type="paragraph" w:customStyle="1" w:styleId="xl337">
    <w:name w:val="xl337"/>
    <w:basedOn w:val="a1"/>
    <w:qFormat/>
    <w:pPr>
      <w:widowControl/>
      <w:pBdr>
        <w:top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32"/>
      <w:szCs w:val="32"/>
    </w:rPr>
  </w:style>
  <w:style w:type="paragraph" w:customStyle="1" w:styleId="xl338">
    <w:name w:val="xl338"/>
    <w:basedOn w:val="a1"/>
    <w:qFormat/>
    <w:pPr>
      <w:widowControl/>
      <w:pBdr>
        <w:top w:val="single" w:sz="8" w:space="0" w:color="auto"/>
        <w:bottom w:val="dashed" w:sz="4" w:space="0" w:color="auto"/>
        <w:right w:val="dashed" w:sz="4" w:space="0" w:color="auto"/>
      </w:pBdr>
      <w:spacing w:before="100" w:beforeAutospacing="1" w:after="100" w:afterAutospacing="1"/>
      <w:jc w:val="center"/>
    </w:pPr>
    <w:rPr>
      <w:rFonts w:ascii="宋体" w:hAnsi="宋体" w:cs="宋体"/>
      <w:kern w:val="0"/>
      <w:sz w:val="32"/>
      <w:szCs w:val="32"/>
    </w:rPr>
  </w:style>
  <w:style w:type="paragraph" w:customStyle="1" w:styleId="xl339">
    <w:name w:val="xl339"/>
    <w:basedOn w:val="a1"/>
    <w:qFormat/>
    <w:pPr>
      <w:widowControl/>
      <w:pBdr>
        <w:top w:val="dashed" w:sz="4" w:space="0" w:color="auto"/>
        <w:left w:val="single" w:sz="8" w:space="0" w:color="auto"/>
        <w:right w:val="dashed" w:sz="4" w:space="0" w:color="auto"/>
      </w:pBdr>
      <w:spacing w:before="100" w:beforeAutospacing="1" w:after="100" w:afterAutospacing="1"/>
      <w:jc w:val="center"/>
    </w:pPr>
    <w:rPr>
      <w:rFonts w:ascii="宋体" w:hAnsi="宋体" w:cs="宋体"/>
      <w:kern w:val="0"/>
      <w:sz w:val="32"/>
      <w:szCs w:val="32"/>
    </w:rPr>
  </w:style>
  <w:style w:type="paragraph" w:customStyle="1" w:styleId="xl340">
    <w:name w:val="xl340"/>
    <w:basedOn w:val="a1"/>
    <w:qFormat/>
    <w:pPr>
      <w:widowControl/>
      <w:pBdr>
        <w:top w:val="dashed" w:sz="4" w:space="0" w:color="auto"/>
        <w:left w:val="dashed" w:sz="4" w:space="0" w:color="auto"/>
        <w:right w:val="dashed" w:sz="4" w:space="0" w:color="auto"/>
      </w:pBdr>
      <w:spacing w:before="100" w:beforeAutospacing="1" w:after="100" w:afterAutospacing="1"/>
      <w:jc w:val="center"/>
    </w:pPr>
    <w:rPr>
      <w:rFonts w:ascii="宋体" w:hAnsi="宋体" w:cs="宋体"/>
      <w:kern w:val="0"/>
      <w:sz w:val="32"/>
      <w:szCs w:val="32"/>
    </w:rPr>
  </w:style>
  <w:style w:type="paragraph" w:customStyle="1" w:styleId="xl341">
    <w:name w:val="xl341"/>
    <w:basedOn w:val="a1"/>
    <w:qFormat/>
    <w:pPr>
      <w:widowControl/>
      <w:pBdr>
        <w:top w:val="dashed" w:sz="4" w:space="0" w:color="auto"/>
        <w:left w:val="dashed" w:sz="4" w:space="0" w:color="auto"/>
        <w:right w:val="single" w:sz="8" w:space="0" w:color="auto"/>
      </w:pBdr>
      <w:spacing w:before="100" w:beforeAutospacing="1" w:after="100" w:afterAutospacing="1"/>
      <w:jc w:val="center"/>
    </w:pPr>
    <w:rPr>
      <w:rFonts w:ascii="宋体" w:hAnsi="宋体" w:cs="宋体"/>
      <w:kern w:val="0"/>
      <w:sz w:val="32"/>
      <w:szCs w:val="32"/>
    </w:rPr>
  </w:style>
  <w:style w:type="paragraph" w:customStyle="1" w:styleId="xl342">
    <w:name w:val="xl342"/>
    <w:basedOn w:val="a1"/>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kern w:val="0"/>
      <w:sz w:val="32"/>
      <w:szCs w:val="32"/>
    </w:rPr>
  </w:style>
  <w:style w:type="paragraph" w:customStyle="1" w:styleId="xl343">
    <w:name w:val="xl343"/>
    <w:basedOn w:val="a1"/>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kern w:val="0"/>
      <w:sz w:val="32"/>
      <w:szCs w:val="32"/>
    </w:rPr>
  </w:style>
  <w:style w:type="paragraph" w:customStyle="1" w:styleId="xl344">
    <w:name w:val="xl344"/>
    <w:basedOn w:val="a1"/>
    <w:qFormat/>
    <w:pPr>
      <w:widowControl/>
      <w:pBdr>
        <w:top w:val="single" w:sz="8" w:space="0" w:color="auto"/>
        <w:left w:val="dashed" w:sz="4" w:space="0" w:color="auto"/>
        <w:bottom w:val="dashed" w:sz="4" w:space="0" w:color="auto"/>
        <w:right w:val="dashed" w:sz="4" w:space="0" w:color="auto"/>
      </w:pBdr>
      <w:spacing w:before="100" w:beforeAutospacing="1" w:after="100" w:afterAutospacing="1"/>
      <w:jc w:val="right"/>
      <w:textAlignment w:val="top"/>
    </w:pPr>
    <w:rPr>
      <w:rFonts w:ascii="宋体" w:hAnsi="宋体" w:cs="宋体"/>
      <w:kern w:val="0"/>
      <w:sz w:val="28"/>
      <w:szCs w:val="28"/>
    </w:rPr>
  </w:style>
  <w:style w:type="paragraph" w:customStyle="1" w:styleId="xl345">
    <w:name w:val="xl345"/>
    <w:basedOn w:val="a1"/>
    <w:qFormat/>
    <w:pPr>
      <w:widowControl/>
      <w:pBdr>
        <w:top w:val="single" w:sz="8" w:space="0" w:color="auto"/>
        <w:bottom w:val="dashed" w:sz="4" w:space="0" w:color="auto"/>
      </w:pBdr>
      <w:spacing w:before="100" w:beforeAutospacing="1" w:after="100" w:afterAutospacing="1"/>
      <w:jc w:val="center"/>
      <w:textAlignment w:val="top"/>
    </w:pPr>
    <w:rPr>
      <w:rFonts w:ascii="宋体" w:hAnsi="宋体" w:cs="宋体"/>
      <w:kern w:val="0"/>
      <w:sz w:val="28"/>
      <w:szCs w:val="28"/>
    </w:rPr>
  </w:style>
  <w:style w:type="paragraph" w:customStyle="1" w:styleId="xl346">
    <w:name w:val="xl346"/>
    <w:basedOn w:val="a1"/>
    <w:qFormat/>
    <w:pPr>
      <w:widowControl/>
      <w:pBdr>
        <w:top w:val="single" w:sz="8" w:space="0" w:color="auto"/>
        <w:bottom w:val="single" w:sz="4" w:space="0" w:color="auto"/>
      </w:pBdr>
      <w:spacing w:before="100" w:beforeAutospacing="1" w:after="100" w:afterAutospacing="1"/>
      <w:jc w:val="center"/>
    </w:pPr>
    <w:rPr>
      <w:rFonts w:ascii="宋体" w:hAnsi="宋体" w:cs="宋体"/>
      <w:kern w:val="0"/>
      <w:sz w:val="32"/>
      <w:szCs w:val="32"/>
    </w:rPr>
  </w:style>
  <w:style w:type="paragraph" w:customStyle="1" w:styleId="xl347">
    <w:name w:val="xl347"/>
    <w:basedOn w:val="a1"/>
    <w:qFormat/>
    <w:pPr>
      <w:widowControl/>
      <w:pBdr>
        <w:top w:val="single" w:sz="4" w:space="0" w:color="auto"/>
        <w:bottom w:val="single" w:sz="4" w:space="0" w:color="auto"/>
      </w:pBdr>
      <w:spacing w:before="100" w:beforeAutospacing="1" w:after="100" w:afterAutospacing="1"/>
      <w:jc w:val="center"/>
    </w:pPr>
    <w:rPr>
      <w:rFonts w:ascii="宋体" w:hAnsi="宋体" w:cs="宋体"/>
      <w:kern w:val="0"/>
      <w:sz w:val="32"/>
      <w:szCs w:val="32"/>
    </w:rPr>
  </w:style>
  <w:style w:type="paragraph" w:customStyle="1" w:styleId="xl348">
    <w:name w:val="xl348"/>
    <w:basedOn w:val="a1"/>
    <w:qFormat/>
    <w:pPr>
      <w:widowControl/>
      <w:pBdr>
        <w:top w:val="single" w:sz="4" w:space="0" w:color="auto"/>
        <w:bottom w:val="single" w:sz="8" w:space="0" w:color="auto"/>
      </w:pBdr>
      <w:spacing w:before="100" w:beforeAutospacing="1" w:after="100" w:afterAutospacing="1"/>
      <w:jc w:val="center"/>
    </w:pPr>
    <w:rPr>
      <w:rFonts w:ascii="宋体" w:hAnsi="宋体" w:cs="宋体"/>
      <w:kern w:val="0"/>
      <w:sz w:val="32"/>
      <w:szCs w:val="32"/>
    </w:rPr>
  </w:style>
  <w:style w:type="paragraph" w:customStyle="1" w:styleId="xl349">
    <w:name w:val="xl349"/>
    <w:basedOn w:val="a1"/>
    <w:qFormat/>
    <w:pPr>
      <w:widowControl/>
      <w:pBdr>
        <w:top w:val="dashed" w:sz="4" w:space="0" w:color="auto"/>
        <w:left w:val="dashed" w:sz="4" w:space="0" w:color="auto"/>
        <w:bottom w:val="dashed" w:sz="4" w:space="0" w:color="auto"/>
      </w:pBdr>
      <w:spacing w:before="100" w:beforeAutospacing="1" w:after="100" w:afterAutospacing="1"/>
      <w:jc w:val="center"/>
      <w:textAlignment w:val="top"/>
    </w:pPr>
    <w:rPr>
      <w:rFonts w:ascii="宋体" w:hAnsi="宋体" w:cs="宋体"/>
      <w:kern w:val="0"/>
      <w:sz w:val="28"/>
      <w:szCs w:val="28"/>
    </w:rPr>
  </w:style>
  <w:style w:type="paragraph" w:customStyle="1" w:styleId="xl350">
    <w:name w:val="xl350"/>
    <w:basedOn w:val="a1"/>
    <w:qFormat/>
    <w:pPr>
      <w:widowControl/>
      <w:pBdr>
        <w:left w:val="single" w:sz="4" w:space="0" w:color="auto"/>
        <w:bottom w:val="single" w:sz="4" w:space="0" w:color="auto"/>
        <w:right w:val="single" w:sz="8" w:space="0" w:color="auto"/>
      </w:pBdr>
      <w:spacing w:before="100" w:beforeAutospacing="1" w:after="100" w:afterAutospacing="1"/>
      <w:jc w:val="center"/>
    </w:pPr>
    <w:rPr>
      <w:rFonts w:ascii="宋体" w:hAnsi="宋体" w:cs="宋体"/>
      <w:kern w:val="0"/>
      <w:sz w:val="32"/>
      <w:szCs w:val="32"/>
    </w:rPr>
  </w:style>
  <w:style w:type="paragraph" w:customStyle="1" w:styleId="xl351">
    <w:name w:val="xl351"/>
    <w:basedOn w:val="a1"/>
    <w:qFormat/>
    <w:pPr>
      <w:widowControl/>
      <w:pBdr>
        <w:left w:val="single" w:sz="4" w:space="0" w:color="auto"/>
        <w:right w:val="single" w:sz="8" w:space="0" w:color="auto"/>
      </w:pBdr>
      <w:spacing w:before="100" w:beforeAutospacing="1" w:after="100" w:afterAutospacing="1"/>
      <w:jc w:val="center"/>
    </w:pPr>
    <w:rPr>
      <w:rFonts w:ascii="宋体" w:hAnsi="宋体" w:cs="宋体"/>
      <w:kern w:val="0"/>
      <w:sz w:val="32"/>
      <w:szCs w:val="32"/>
    </w:rPr>
  </w:style>
  <w:style w:type="paragraph" w:customStyle="1" w:styleId="xl352">
    <w:name w:val="xl352"/>
    <w:basedOn w:val="a1"/>
    <w:qFormat/>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宋体" w:hAnsi="宋体" w:cs="宋体"/>
      <w:kern w:val="0"/>
      <w:sz w:val="28"/>
      <w:szCs w:val="28"/>
    </w:rPr>
  </w:style>
  <w:style w:type="paragraph" w:customStyle="1" w:styleId="xl353">
    <w:name w:val="xl353"/>
    <w:basedOn w:val="a1"/>
    <w:qFormat/>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宋体" w:hAnsi="宋体" w:cs="宋体"/>
      <w:kern w:val="0"/>
      <w:sz w:val="28"/>
      <w:szCs w:val="28"/>
    </w:rPr>
  </w:style>
  <w:style w:type="paragraph" w:customStyle="1" w:styleId="xl354">
    <w:name w:val="xl354"/>
    <w:basedOn w:val="a1"/>
    <w:qFormat/>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8"/>
      <w:szCs w:val="28"/>
    </w:rPr>
  </w:style>
  <w:style w:type="paragraph" w:customStyle="1" w:styleId="xl355">
    <w:name w:val="xl355"/>
    <w:basedOn w:val="a1"/>
    <w:qFormat/>
    <w:pPr>
      <w:widowControl/>
      <w:pBdr>
        <w:top w:val="dashed" w:sz="4" w:space="0" w:color="auto"/>
        <w:left w:val="dashed" w:sz="4" w:space="0" w:color="auto"/>
        <w:right w:val="dashed" w:sz="4" w:space="0" w:color="auto"/>
      </w:pBdr>
      <w:spacing w:before="100" w:beforeAutospacing="1" w:after="100" w:afterAutospacing="1"/>
      <w:jc w:val="center"/>
    </w:pPr>
    <w:rPr>
      <w:rFonts w:ascii="宋体" w:hAnsi="宋体" w:cs="宋体"/>
      <w:kern w:val="0"/>
      <w:sz w:val="32"/>
      <w:szCs w:val="32"/>
    </w:rPr>
  </w:style>
  <w:style w:type="paragraph" w:customStyle="1" w:styleId="xl356">
    <w:name w:val="xl356"/>
    <w:basedOn w:val="a1"/>
    <w:qFormat/>
    <w:pPr>
      <w:widowControl/>
      <w:pBdr>
        <w:top w:val="dashed" w:sz="4" w:space="0" w:color="auto"/>
        <w:left w:val="dashed" w:sz="4" w:space="0" w:color="auto"/>
        <w:right w:val="single" w:sz="8" w:space="0" w:color="auto"/>
      </w:pBdr>
      <w:spacing w:before="100" w:beforeAutospacing="1" w:after="100" w:afterAutospacing="1"/>
      <w:jc w:val="center"/>
    </w:pPr>
    <w:rPr>
      <w:rFonts w:ascii="宋体" w:hAnsi="宋体" w:cs="宋体"/>
      <w:kern w:val="0"/>
      <w:sz w:val="32"/>
      <w:szCs w:val="32"/>
    </w:rPr>
  </w:style>
  <w:style w:type="paragraph" w:customStyle="1" w:styleId="xl357">
    <w:name w:val="xl357"/>
    <w:basedOn w:val="a1"/>
    <w:qFormat/>
    <w:pPr>
      <w:widowControl/>
      <w:pBdr>
        <w:top w:val="single" w:sz="4" w:space="0" w:color="auto"/>
        <w:left w:val="dashed" w:sz="4" w:space="0" w:color="auto"/>
        <w:bottom w:val="dashed" w:sz="4" w:space="0" w:color="auto"/>
        <w:right w:val="dashed" w:sz="4" w:space="0" w:color="auto"/>
      </w:pBdr>
      <w:spacing w:before="100" w:beforeAutospacing="1" w:after="100" w:afterAutospacing="1"/>
      <w:jc w:val="center"/>
    </w:pPr>
    <w:rPr>
      <w:rFonts w:ascii="宋体" w:hAnsi="宋体" w:cs="宋体"/>
      <w:kern w:val="0"/>
      <w:sz w:val="32"/>
      <w:szCs w:val="32"/>
    </w:rPr>
  </w:style>
  <w:style w:type="paragraph" w:customStyle="1" w:styleId="xl358">
    <w:name w:val="xl358"/>
    <w:basedOn w:val="a1"/>
    <w:qFormat/>
    <w:pPr>
      <w:widowControl/>
      <w:pBdr>
        <w:top w:val="single" w:sz="4" w:space="0" w:color="auto"/>
        <w:left w:val="dashed" w:sz="4" w:space="0" w:color="auto"/>
        <w:bottom w:val="dashed" w:sz="4" w:space="0" w:color="auto"/>
        <w:right w:val="single" w:sz="8" w:space="0" w:color="auto"/>
      </w:pBdr>
      <w:spacing w:before="100" w:beforeAutospacing="1" w:after="100" w:afterAutospacing="1"/>
      <w:jc w:val="center"/>
    </w:pPr>
    <w:rPr>
      <w:rFonts w:ascii="宋体" w:hAnsi="宋体" w:cs="宋体"/>
      <w:kern w:val="0"/>
      <w:sz w:val="32"/>
      <w:szCs w:val="32"/>
    </w:rPr>
  </w:style>
  <w:style w:type="paragraph" w:customStyle="1" w:styleId="xl359">
    <w:name w:val="xl359"/>
    <w:basedOn w:val="a1"/>
    <w:qFormat/>
    <w:pPr>
      <w:widowControl/>
      <w:pBdr>
        <w:bottom w:val="single" w:sz="8" w:space="0" w:color="auto"/>
        <w:right w:val="single" w:sz="8" w:space="0" w:color="auto"/>
      </w:pBdr>
      <w:spacing w:before="100" w:beforeAutospacing="1" w:after="100" w:afterAutospacing="1"/>
      <w:jc w:val="center"/>
      <w:textAlignment w:val="center"/>
    </w:pPr>
    <w:rPr>
      <w:rFonts w:ascii="宋体" w:hAnsi="宋体" w:cs="宋体"/>
      <w:kern w:val="0"/>
      <w:sz w:val="32"/>
      <w:szCs w:val="32"/>
    </w:rPr>
  </w:style>
  <w:style w:type="paragraph" w:customStyle="1" w:styleId="xl360">
    <w:name w:val="xl360"/>
    <w:basedOn w:val="a1"/>
    <w:qFormat/>
    <w:pPr>
      <w:widowControl/>
      <w:pBdr>
        <w:top w:val="single" w:sz="4" w:space="0" w:color="auto"/>
        <w:left w:val="single" w:sz="8" w:space="0" w:color="auto"/>
        <w:right w:val="single" w:sz="8" w:space="0" w:color="auto"/>
      </w:pBdr>
      <w:spacing w:before="100" w:beforeAutospacing="1" w:after="100" w:afterAutospacing="1"/>
      <w:jc w:val="center"/>
    </w:pPr>
    <w:rPr>
      <w:rFonts w:ascii="宋体" w:hAnsi="宋体" w:cs="宋体"/>
      <w:kern w:val="0"/>
      <w:sz w:val="28"/>
      <w:szCs w:val="28"/>
    </w:rPr>
  </w:style>
  <w:style w:type="paragraph" w:customStyle="1" w:styleId="xl361">
    <w:name w:val="xl361"/>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362">
    <w:name w:val="xl362"/>
    <w:basedOn w:val="a1"/>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363">
    <w:name w:val="xl363"/>
    <w:basedOn w:val="a1"/>
    <w:qFormat/>
    <w:pPr>
      <w:widowControl/>
      <w:pBdr>
        <w:top w:val="single" w:sz="8" w:space="0" w:color="auto"/>
        <w:bottom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364">
    <w:name w:val="xl364"/>
    <w:basedOn w:val="a1"/>
    <w:qFormat/>
    <w:pPr>
      <w:widowControl/>
      <w:pBdr>
        <w:top w:val="single" w:sz="8" w:space="0" w:color="auto"/>
        <w:bottom w:val="single" w:sz="4" w:space="0" w:color="auto"/>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365">
    <w:name w:val="xl365"/>
    <w:basedOn w:val="a1"/>
    <w:qFormat/>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宋体" w:hAnsi="宋体" w:cs="宋体"/>
      <w:kern w:val="0"/>
      <w:sz w:val="32"/>
      <w:szCs w:val="32"/>
    </w:rPr>
  </w:style>
  <w:style w:type="paragraph" w:customStyle="1" w:styleId="xl366">
    <w:name w:val="xl366"/>
    <w:basedOn w:val="a1"/>
    <w:qFormat/>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 w:val="32"/>
      <w:szCs w:val="32"/>
    </w:rPr>
  </w:style>
  <w:style w:type="paragraph" w:customStyle="1" w:styleId="xl367">
    <w:name w:val="xl367"/>
    <w:basedOn w:val="a1"/>
    <w:qFormat/>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宋体" w:hAnsi="宋体" w:cs="宋体"/>
      <w:kern w:val="0"/>
      <w:sz w:val="28"/>
      <w:szCs w:val="28"/>
    </w:rPr>
  </w:style>
  <w:style w:type="paragraph" w:customStyle="1" w:styleId="xl368">
    <w:name w:val="xl368"/>
    <w:basedOn w:val="a1"/>
    <w:qFormat/>
    <w:pPr>
      <w:widowControl/>
      <w:pBdr>
        <w:left w:val="single" w:sz="8" w:space="0" w:color="auto"/>
        <w:right w:val="single" w:sz="8" w:space="0" w:color="auto"/>
      </w:pBdr>
      <w:spacing w:before="100" w:beforeAutospacing="1" w:after="100" w:afterAutospacing="1"/>
      <w:jc w:val="center"/>
      <w:textAlignment w:val="center"/>
    </w:pPr>
    <w:rPr>
      <w:rFonts w:ascii="宋体" w:hAnsi="宋体" w:cs="宋体"/>
      <w:kern w:val="0"/>
      <w:sz w:val="28"/>
      <w:szCs w:val="28"/>
    </w:rPr>
  </w:style>
  <w:style w:type="paragraph" w:customStyle="1" w:styleId="xl369">
    <w:name w:val="xl369"/>
    <w:basedOn w:val="a1"/>
    <w:qFormat/>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宋体" w:hAnsi="宋体" w:cs="宋体"/>
      <w:b/>
      <w:bCs/>
      <w:kern w:val="0"/>
      <w:sz w:val="32"/>
      <w:szCs w:val="32"/>
    </w:rPr>
  </w:style>
  <w:style w:type="paragraph" w:customStyle="1" w:styleId="xl370">
    <w:name w:val="xl370"/>
    <w:basedOn w:val="a1"/>
    <w:qFormat/>
    <w:pPr>
      <w:widowControl/>
      <w:pBdr>
        <w:top w:val="single" w:sz="8" w:space="0" w:color="auto"/>
        <w:bottom w:val="single" w:sz="4" w:space="0" w:color="auto"/>
        <w:right w:val="single" w:sz="8" w:space="0" w:color="auto"/>
      </w:pBdr>
      <w:spacing w:before="100" w:beforeAutospacing="1" w:after="100" w:afterAutospacing="1"/>
      <w:jc w:val="left"/>
    </w:pPr>
    <w:rPr>
      <w:rFonts w:ascii="宋体" w:hAnsi="宋体" w:cs="宋体"/>
      <w:kern w:val="0"/>
      <w:sz w:val="24"/>
      <w:szCs w:val="24"/>
    </w:rPr>
  </w:style>
  <w:style w:type="paragraph" w:customStyle="1" w:styleId="xl371">
    <w:name w:val="xl371"/>
    <w:basedOn w:val="a1"/>
    <w:qFormat/>
    <w:pPr>
      <w:widowControl/>
      <w:pBdr>
        <w:left w:val="single" w:sz="8" w:space="0" w:color="auto"/>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372">
    <w:name w:val="xl372"/>
    <w:basedOn w:val="a1"/>
    <w:qFormat/>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373">
    <w:name w:val="xl373"/>
    <w:basedOn w:val="a1"/>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32"/>
      <w:szCs w:val="32"/>
    </w:rPr>
  </w:style>
  <w:style w:type="paragraph" w:customStyle="1" w:styleId="xl374">
    <w:name w:val="xl374"/>
    <w:basedOn w:val="a1"/>
    <w:qFormat/>
    <w:pPr>
      <w:widowControl/>
      <w:pBdr>
        <w:top w:val="single" w:sz="4" w:space="0" w:color="auto"/>
        <w:bottom w:val="single" w:sz="4" w:space="0" w:color="auto"/>
      </w:pBdr>
      <w:spacing w:before="100" w:beforeAutospacing="1" w:after="100" w:afterAutospacing="1"/>
      <w:jc w:val="center"/>
    </w:pPr>
    <w:rPr>
      <w:rFonts w:ascii="宋体" w:hAnsi="宋体" w:cs="宋体"/>
      <w:kern w:val="0"/>
      <w:sz w:val="24"/>
      <w:szCs w:val="24"/>
    </w:rPr>
  </w:style>
  <w:style w:type="paragraph" w:customStyle="1" w:styleId="xl375">
    <w:name w:val="xl375"/>
    <w:basedOn w:val="a1"/>
    <w:qFormat/>
    <w:pPr>
      <w:widowControl/>
      <w:pBdr>
        <w:top w:val="single" w:sz="4" w:space="0" w:color="auto"/>
        <w:bottom w:val="single" w:sz="4"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xl376">
    <w:name w:val="xl376"/>
    <w:basedOn w:val="a1"/>
    <w:qFormat/>
    <w:pPr>
      <w:widowControl/>
      <w:pBdr>
        <w:top w:val="single" w:sz="4" w:space="0" w:color="auto"/>
        <w:left w:val="single" w:sz="4" w:space="0" w:color="auto"/>
      </w:pBdr>
      <w:spacing w:before="100" w:beforeAutospacing="1" w:after="100" w:afterAutospacing="1"/>
      <w:jc w:val="center"/>
      <w:textAlignment w:val="center"/>
    </w:pPr>
    <w:rPr>
      <w:rFonts w:ascii="宋体" w:hAnsi="宋体" w:cs="宋体"/>
      <w:kern w:val="0"/>
      <w:sz w:val="32"/>
      <w:szCs w:val="32"/>
    </w:rPr>
  </w:style>
  <w:style w:type="paragraph" w:customStyle="1" w:styleId="xl377">
    <w:name w:val="xl377"/>
    <w:basedOn w:val="a1"/>
    <w:qFormat/>
    <w:pPr>
      <w:widowControl/>
      <w:pBdr>
        <w:top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378">
    <w:name w:val="xl378"/>
    <w:basedOn w:val="a1"/>
    <w:qFormat/>
    <w:pPr>
      <w:widowControl/>
      <w:pBdr>
        <w:top w:val="single" w:sz="4" w:space="0" w:color="auto"/>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379">
    <w:name w:val="xl379"/>
    <w:basedOn w:val="a1"/>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32"/>
      <w:szCs w:val="32"/>
    </w:rPr>
  </w:style>
  <w:style w:type="paragraph" w:customStyle="1" w:styleId="xl380">
    <w:name w:val="xl380"/>
    <w:basedOn w:val="a1"/>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381">
    <w:name w:val="xl381"/>
    <w:basedOn w:val="a1"/>
    <w:qFormat/>
    <w:pPr>
      <w:widowControl/>
      <w:pBdr>
        <w:top w:val="single" w:sz="4" w:space="0" w:color="auto"/>
        <w:left w:val="single" w:sz="4" w:space="0" w:color="auto"/>
      </w:pBdr>
      <w:spacing w:before="100" w:beforeAutospacing="1" w:after="100" w:afterAutospacing="1"/>
      <w:jc w:val="center"/>
      <w:textAlignment w:val="center"/>
    </w:pPr>
    <w:rPr>
      <w:rFonts w:ascii="宋体" w:hAnsi="宋体" w:cs="宋体"/>
      <w:kern w:val="0"/>
      <w:sz w:val="40"/>
      <w:szCs w:val="40"/>
    </w:rPr>
  </w:style>
  <w:style w:type="paragraph" w:customStyle="1" w:styleId="xl382">
    <w:name w:val="xl382"/>
    <w:basedOn w:val="a1"/>
    <w:qFormat/>
    <w:pPr>
      <w:widowControl/>
      <w:pBdr>
        <w:lef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383">
    <w:name w:val="xl383"/>
    <w:basedOn w:val="a1"/>
    <w:qFormat/>
    <w:pPr>
      <w:widowControl/>
      <w:pBdr>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384">
    <w:name w:val="xl384"/>
    <w:basedOn w:val="a1"/>
    <w:qFormat/>
    <w:pPr>
      <w:widowControl/>
      <w:pBdr>
        <w:left w:val="single" w:sz="4" w:space="0" w:color="auto"/>
        <w:bottom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385">
    <w:name w:val="xl385"/>
    <w:basedOn w:val="a1"/>
    <w:qFormat/>
    <w:pPr>
      <w:widowControl/>
      <w:pBdr>
        <w:bottom w:val="single" w:sz="4" w:space="0" w:color="auto"/>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386">
    <w:name w:val="xl386"/>
    <w:basedOn w:val="a1"/>
    <w:qFormat/>
    <w:pPr>
      <w:widowControl/>
      <w:pBdr>
        <w:top w:val="single" w:sz="4" w:space="0" w:color="auto"/>
        <w:left w:val="single" w:sz="4" w:space="0" w:color="auto"/>
      </w:pBdr>
      <w:spacing w:before="100" w:beforeAutospacing="1" w:after="100" w:afterAutospacing="1"/>
      <w:jc w:val="center"/>
      <w:textAlignment w:val="center"/>
    </w:pPr>
    <w:rPr>
      <w:rFonts w:ascii="宋体" w:hAnsi="宋体" w:cs="宋体"/>
      <w:kern w:val="0"/>
      <w:sz w:val="36"/>
      <w:szCs w:val="36"/>
    </w:rPr>
  </w:style>
  <w:style w:type="paragraph" w:customStyle="1" w:styleId="xl387">
    <w:name w:val="xl387"/>
    <w:basedOn w:val="a1"/>
    <w:qFormat/>
    <w:pPr>
      <w:widowControl/>
      <w:pBdr>
        <w:top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388">
    <w:name w:val="xl388"/>
    <w:basedOn w:val="a1"/>
    <w:qFormat/>
    <w:pPr>
      <w:widowControl/>
      <w:pBdr>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389">
    <w:name w:val="xl389"/>
    <w:basedOn w:val="a1"/>
    <w:qFormat/>
    <w:pPr>
      <w:widowControl/>
      <w:pBdr>
        <w:top w:val="single" w:sz="8" w:space="0" w:color="auto"/>
        <w:left w:val="single" w:sz="8" w:space="0" w:color="auto"/>
      </w:pBdr>
      <w:spacing w:before="100" w:beforeAutospacing="1" w:after="100" w:afterAutospacing="1"/>
      <w:jc w:val="center"/>
      <w:textAlignment w:val="center"/>
    </w:pPr>
    <w:rPr>
      <w:rFonts w:ascii="宋体" w:hAnsi="宋体" w:cs="宋体"/>
      <w:kern w:val="0"/>
      <w:sz w:val="56"/>
      <w:szCs w:val="56"/>
    </w:rPr>
  </w:style>
  <w:style w:type="paragraph" w:customStyle="1" w:styleId="xl390">
    <w:name w:val="xl390"/>
    <w:basedOn w:val="a1"/>
    <w:qFormat/>
    <w:pPr>
      <w:widowControl/>
      <w:pBdr>
        <w:top w:val="single" w:sz="8" w:space="0" w:color="auto"/>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391">
    <w:name w:val="xl391"/>
    <w:basedOn w:val="a1"/>
    <w:qFormat/>
    <w:pPr>
      <w:widowControl/>
      <w:pBdr>
        <w:left w:val="single" w:sz="8" w:space="0" w:color="auto"/>
        <w:bottom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392">
    <w:name w:val="xl392"/>
    <w:basedOn w:val="a1"/>
    <w:qFormat/>
    <w:pPr>
      <w:widowControl/>
      <w:spacing w:before="100" w:beforeAutospacing="1" w:after="100" w:afterAutospacing="1"/>
      <w:jc w:val="left"/>
      <w:textAlignment w:val="center"/>
    </w:pPr>
    <w:rPr>
      <w:rFonts w:ascii="宋体" w:hAnsi="宋体" w:cs="宋体"/>
      <w:kern w:val="0"/>
      <w:sz w:val="40"/>
      <w:szCs w:val="40"/>
    </w:rPr>
  </w:style>
  <w:style w:type="paragraph" w:customStyle="1" w:styleId="xl393">
    <w:name w:val="xl393"/>
    <w:basedOn w:val="a1"/>
    <w:qFormat/>
    <w:pPr>
      <w:widowControl/>
      <w:pBdr>
        <w:top w:val="single" w:sz="4" w:space="0" w:color="auto"/>
        <w:left w:val="single" w:sz="8" w:space="0" w:color="auto"/>
        <w:bottom w:val="single" w:sz="8" w:space="0" w:color="auto"/>
      </w:pBdr>
      <w:spacing w:before="100" w:beforeAutospacing="1" w:after="100" w:afterAutospacing="1"/>
      <w:jc w:val="center"/>
    </w:pPr>
    <w:rPr>
      <w:rFonts w:ascii="宋体" w:hAnsi="宋体" w:cs="宋体"/>
      <w:kern w:val="0"/>
      <w:sz w:val="32"/>
      <w:szCs w:val="32"/>
    </w:rPr>
  </w:style>
  <w:style w:type="paragraph" w:customStyle="1" w:styleId="xl394">
    <w:name w:val="xl394"/>
    <w:basedOn w:val="a1"/>
    <w:qFormat/>
    <w:pPr>
      <w:widowControl/>
      <w:pBdr>
        <w:top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32"/>
      <w:szCs w:val="32"/>
    </w:rPr>
  </w:style>
  <w:style w:type="paragraph" w:customStyle="1" w:styleId="xl395">
    <w:name w:val="xl395"/>
    <w:basedOn w:val="a1"/>
    <w:qFormat/>
    <w:pPr>
      <w:widowControl/>
      <w:pBdr>
        <w:left w:val="single" w:sz="8" w:space="0" w:color="auto"/>
      </w:pBdr>
      <w:shd w:val="clear" w:color="auto" w:fill="FFFFFF"/>
      <w:spacing w:before="100" w:beforeAutospacing="1" w:after="100" w:afterAutospacing="1"/>
      <w:jc w:val="center"/>
      <w:textAlignment w:val="center"/>
    </w:pPr>
    <w:rPr>
      <w:rFonts w:ascii="隶书" w:eastAsia="隶书" w:hAnsi="宋体" w:cs="宋体"/>
      <w:b/>
      <w:bCs/>
      <w:color w:val="000000"/>
      <w:kern w:val="0"/>
      <w:sz w:val="96"/>
      <w:szCs w:val="96"/>
    </w:rPr>
  </w:style>
  <w:style w:type="paragraph" w:customStyle="1" w:styleId="xl396">
    <w:name w:val="xl396"/>
    <w:basedOn w:val="a1"/>
    <w:qFormat/>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宋体" w:hAnsi="宋体" w:cs="宋体"/>
      <w:b/>
      <w:bCs/>
      <w:kern w:val="0"/>
      <w:sz w:val="32"/>
      <w:szCs w:val="32"/>
    </w:rPr>
  </w:style>
  <w:style w:type="paragraph" w:customStyle="1" w:styleId="xl397">
    <w:name w:val="xl397"/>
    <w:basedOn w:val="a1"/>
    <w:qFormat/>
    <w:pPr>
      <w:widowControl/>
      <w:pBdr>
        <w:left w:val="single" w:sz="4" w:space="0" w:color="auto"/>
        <w:bottom w:val="single" w:sz="8" w:space="0" w:color="auto"/>
        <w:right w:val="single" w:sz="8" w:space="0" w:color="auto"/>
      </w:pBdr>
      <w:spacing w:before="100" w:beforeAutospacing="1" w:after="100" w:afterAutospacing="1"/>
      <w:jc w:val="center"/>
      <w:textAlignment w:val="center"/>
    </w:pPr>
    <w:rPr>
      <w:rFonts w:ascii="宋体" w:hAnsi="宋体" w:cs="宋体"/>
      <w:b/>
      <w:bCs/>
      <w:kern w:val="0"/>
      <w:sz w:val="32"/>
      <w:szCs w:val="32"/>
    </w:rPr>
  </w:style>
  <w:style w:type="paragraph" w:customStyle="1" w:styleId="xl398">
    <w:name w:val="xl398"/>
    <w:basedOn w:val="a1"/>
    <w:qFormat/>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kern w:val="0"/>
      <w:sz w:val="32"/>
      <w:szCs w:val="32"/>
    </w:rPr>
  </w:style>
  <w:style w:type="paragraph" w:customStyle="1" w:styleId="xl399">
    <w:name w:val="xl399"/>
    <w:basedOn w:val="a1"/>
    <w:qFormat/>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b/>
      <w:bCs/>
      <w:kern w:val="0"/>
      <w:sz w:val="32"/>
      <w:szCs w:val="32"/>
    </w:rPr>
  </w:style>
  <w:style w:type="paragraph" w:customStyle="1" w:styleId="xl400">
    <w:name w:val="xl400"/>
    <w:basedOn w:val="a1"/>
    <w:qFormat/>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宋体" w:hAnsi="宋体" w:cs="宋体"/>
      <w:b/>
      <w:bCs/>
      <w:kern w:val="0"/>
      <w:sz w:val="36"/>
      <w:szCs w:val="36"/>
    </w:rPr>
  </w:style>
  <w:style w:type="paragraph" w:customStyle="1" w:styleId="xl401">
    <w:name w:val="xl401"/>
    <w:basedOn w:val="a1"/>
    <w:qFormat/>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宋体" w:hAnsi="宋体" w:cs="宋体"/>
      <w:b/>
      <w:bCs/>
      <w:kern w:val="0"/>
      <w:sz w:val="36"/>
      <w:szCs w:val="36"/>
    </w:rPr>
  </w:style>
  <w:style w:type="paragraph" w:customStyle="1" w:styleId="xl402">
    <w:name w:val="xl402"/>
    <w:basedOn w:val="a1"/>
    <w:qFormat/>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403">
    <w:name w:val="xl403"/>
    <w:basedOn w:val="a1"/>
    <w:qFormat/>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404">
    <w:name w:val="xl404"/>
    <w:basedOn w:val="a1"/>
    <w:qFormat/>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宋体" w:hAnsi="宋体" w:cs="宋体"/>
      <w:b/>
      <w:bCs/>
      <w:kern w:val="0"/>
      <w:sz w:val="32"/>
      <w:szCs w:val="32"/>
    </w:rPr>
  </w:style>
  <w:style w:type="paragraph" w:customStyle="1" w:styleId="xl405">
    <w:name w:val="xl405"/>
    <w:basedOn w:val="a1"/>
    <w:qFormat/>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宋体" w:hAnsi="宋体" w:cs="宋体"/>
      <w:b/>
      <w:bCs/>
      <w:kern w:val="0"/>
      <w:sz w:val="32"/>
      <w:szCs w:val="32"/>
    </w:rPr>
  </w:style>
  <w:style w:type="paragraph" w:customStyle="1" w:styleId="xl406">
    <w:name w:val="xl406"/>
    <w:basedOn w:val="a1"/>
    <w:qFormat/>
    <w:pPr>
      <w:widowControl/>
      <w:pBdr>
        <w:top w:val="single" w:sz="8" w:space="0" w:color="auto"/>
        <w:bottom w:val="single" w:sz="4" w:space="0" w:color="auto"/>
      </w:pBdr>
      <w:spacing w:before="100" w:beforeAutospacing="1" w:after="100" w:afterAutospacing="1"/>
      <w:jc w:val="center"/>
      <w:textAlignment w:val="center"/>
    </w:pPr>
    <w:rPr>
      <w:rFonts w:ascii="宋体" w:hAnsi="宋体" w:cs="宋体"/>
      <w:kern w:val="0"/>
      <w:sz w:val="32"/>
      <w:szCs w:val="32"/>
    </w:rPr>
  </w:style>
  <w:style w:type="paragraph" w:customStyle="1" w:styleId="xl407">
    <w:name w:val="xl407"/>
    <w:basedOn w:val="a1"/>
    <w:qFormat/>
    <w:pPr>
      <w:widowControl/>
      <w:pBdr>
        <w:top w:val="single" w:sz="8" w:space="0" w:color="auto"/>
        <w:bottom w:val="single" w:sz="4" w:space="0" w:color="auto"/>
        <w:right w:val="single" w:sz="8" w:space="0" w:color="auto"/>
      </w:pBdr>
      <w:spacing w:before="100" w:beforeAutospacing="1" w:after="100" w:afterAutospacing="1"/>
      <w:jc w:val="center"/>
      <w:textAlignment w:val="center"/>
    </w:pPr>
    <w:rPr>
      <w:rFonts w:ascii="宋体" w:hAnsi="宋体" w:cs="宋体"/>
      <w:kern w:val="0"/>
      <w:sz w:val="32"/>
      <w:szCs w:val="32"/>
    </w:rPr>
  </w:style>
  <w:style w:type="paragraph" w:customStyle="1" w:styleId="331113XW3Char3XWChar3111Char">
    <w:name w:val="样式 标题 3标题 3 1.1.1标题 3XW标题 3 Char标题 3XW Char标题 3 1.1.1 Char ..."/>
    <w:basedOn w:val="3a"/>
    <w:qFormat/>
    <w:pPr>
      <w:spacing w:before="0" w:after="0" w:line="360" w:lineRule="auto"/>
    </w:pPr>
    <w:rPr>
      <w:rFonts w:ascii="宋体" w:eastAsia="黑体" w:hAnsi="宋体"/>
      <w:b w:val="0"/>
      <w:bCs w:val="0"/>
      <w:kern w:val="2"/>
      <w:sz w:val="24"/>
    </w:rPr>
  </w:style>
  <w:style w:type="paragraph" w:customStyle="1" w:styleId="331113XW3Char3XWChar3111Char1">
    <w:name w:val="样式 标题 3标题 3 1.1.1标题 3XW标题 3 Char标题 3XW Char标题 3 1.1.1 Char ...1"/>
    <w:basedOn w:val="3a"/>
    <w:qFormat/>
    <w:pPr>
      <w:spacing w:before="0" w:after="0" w:line="360" w:lineRule="auto"/>
    </w:pPr>
    <w:rPr>
      <w:rFonts w:ascii="黑体" w:eastAsia="黑体" w:hAnsi="宋体"/>
      <w:b w:val="0"/>
      <w:bCs w:val="0"/>
      <w:kern w:val="2"/>
      <w:sz w:val="24"/>
    </w:rPr>
  </w:style>
  <w:style w:type="paragraph" w:customStyle="1" w:styleId="1fffffff0">
    <w:name w:val="1  综合说明"/>
    <w:basedOn w:val="1f9"/>
    <w:qFormat/>
    <w:pPr>
      <w:spacing w:line="360" w:lineRule="auto"/>
      <w:jc w:val="both"/>
    </w:pPr>
    <w:rPr>
      <w:rFonts w:ascii="Times New Roman" w:eastAsia="黑体" w:hAnsi="宋体"/>
      <w:b w:val="0"/>
      <w:bCs w:val="0"/>
      <w:kern w:val="2"/>
      <w:sz w:val="32"/>
      <w:szCs w:val="32"/>
    </w:rPr>
  </w:style>
  <w:style w:type="paragraph" w:customStyle="1" w:styleId="afffffffffffffffffffffffffffffffff1">
    <w:name w:val="图表头"/>
    <w:basedOn w:val="a1"/>
    <w:qFormat/>
    <w:pPr>
      <w:adjustRightInd w:val="0"/>
      <w:spacing w:line="360" w:lineRule="auto"/>
      <w:jc w:val="center"/>
      <w:textAlignment w:val="baseline"/>
    </w:pPr>
    <w:rPr>
      <w:rFonts w:ascii="黑体" w:eastAsia="黑体" w:hAnsi="Times New Roman"/>
      <w:spacing w:val="5"/>
      <w:kern w:val="0"/>
      <w:szCs w:val="24"/>
    </w:rPr>
  </w:style>
  <w:style w:type="paragraph" w:customStyle="1" w:styleId="Afffffffffffffffffffffffffffffffff2">
    <w:name w:val="A正文"/>
    <w:basedOn w:val="a1"/>
    <w:qFormat/>
    <w:pPr>
      <w:spacing w:line="360" w:lineRule="auto"/>
      <w:ind w:firstLineChars="200" w:firstLine="200"/>
    </w:pPr>
    <w:rPr>
      <w:rFonts w:ascii="Times New Roman" w:hAnsi="Times New Roman"/>
      <w:bCs/>
      <w:sz w:val="24"/>
      <w:szCs w:val="24"/>
    </w:rPr>
  </w:style>
  <w:style w:type="paragraph" w:customStyle="1" w:styleId="Char11CharChar">
    <w:name w:val="Char11 Char Char"/>
    <w:basedOn w:val="a1"/>
    <w:qFormat/>
    <w:pPr>
      <w:spacing w:line="360" w:lineRule="auto"/>
      <w:ind w:firstLineChars="200" w:firstLine="200"/>
    </w:pPr>
    <w:rPr>
      <w:rFonts w:ascii="宋体" w:hAnsi="宋体" w:cs="宋体"/>
      <w:sz w:val="24"/>
      <w:szCs w:val="24"/>
    </w:rPr>
  </w:style>
  <w:style w:type="paragraph" w:customStyle="1" w:styleId="afffffffffffffffffffffffffffffffff3">
    <w:name w:val="表头样式"/>
    <w:basedOn w:val="a1"/>
    <w:qFormat/>
    <w:pPr>
      <w:spacing w:beforeLines="30" w:afterLines="20"/>
      <w:jc w:val="center"/>
    </w:pPr>
    <w:rPr>
      <w:rFonts w:ascii="Times New Roman" w:eastAsia="黑体" w:hAnsi="Times New Roman"/>
      <w:sz w:val="24"/>
      <w:szCs w:val="24"/>
    </w:rPr>
  </w:style>
  <w:style w:type="paragraph" w:customStyle="1" w:styleId="Char11CharChar1">
    <w:name w:val="Char11 Char Char1"/>
    <w:basedOn w:val="a1"/>
    <w:qFormat/>
    <w:pPr>
      <w:spacing w:line="360" w:lineRule="auto"/>
      <w:ind w:firstLineChars="200" w:firstLine="200"/>
    </w:pPr>
    <w:rPr>
      <w:rFonts w:ascii="宋体" w:hAnsi="宋体" w:cs="宋体"/>
      <w:sz w:val="24"/>
      <w:szCs w:val="24"/>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1"/>
    <w:next w:val="a1"/>
    <w:qFormat/>
    <w:pPr>
      <w:pBdr>
        <w:right w:val="single" w:sz="12" w:space="4" w:color="auto"/>
      </w:pBdr>
      <w:spacing w:line="360" w:lineRule="auto"/>
      <w:ind w:firstLineChars="200" w:firstLine="200"/>
    </w:pPr>
    <w:rPr>
      <w:rFonts w:ascii="宋体" w:hAnsi="宋体" w:cs="宋体"/>
      <w:sz w:val="24"/>
      <w:szCs w:val="24"/>
    </w:rPr>
  </w:style>
  <w:style w:type="paragraph" w:customStyle="1" w:styleId="4444444444">
    <w:name w:val="表格4444444444"/>
    <w:basedOn w:val="a1"/>
    <w:qFormat/>
    <w:pPr>
      <w:adjustRightInd w:val="0"/>
      <w:snapToGrid w:val="0"/>
      <w:jc w:val="center"/>
    </w:pPr>
    <w:rPr>
      <w:rFonts w:ascii="仿宋_GB2312" w:eastAsia="仿宋_GB2312" w:hAnsi="Times New Roman"/>
      <w:sz w:val="24"/>
      <w:szCs w:val="28"/>
    </w:rPr>
  </w:style>
  <w:style w:type="paragraph" w:customStyle="1" w:styleId="1309227">
    <w:name w:val="样式 纯文本 + (符号) 宋体 13 磅 首行缩进:  0.92 厘米 行距: 固定值 27 磅"/>
    <w:basedOn w:val="aff1"/>
    <w:link w:val="1309227Char"/>
    <w:qFormat/>
    <w:pPr>
      <w:topLinePunct/>
      <w:autoSpaceDE w:val="0"/>
      <w:autoSpaceDN w:val="0"/>
      <w:adjustRightInd w:val="0"/>
      <w:spacing w:line="540" w:lineRule="exact"/>
      <w:ind w:firstLineChars="0" w:firstLine="522"/>
      <w:textAlignment w:val="baseline"/>
    </w:pPr>
    <w:rPr>
      <w:rFonts w:hAnsi="宋体" w:cs="宋体"/>
      <w:sz w:val="26"/>
    </w:rPr>
  </w:style>
  <w:style w:type="paragraph" w:customStyle="1" w:styleId="3150">
    <w:name w:val="样式 标题 3 + 行距: 1.5 倍行距"/>
    <w:basedOn w:val="3a"/>
    <w:qFormat/>
    <w:pPr>
      <w:tabs>
        <w:tab w:val="left" w:pos="1280"/>
      </w:tabs>
      <w:autoSpaceDE w:val="0"/>
      <w:autoSpaceDN w:val="0"/>
      <w:adjustRightInd w:val="0"/>
      <w:snapToGrid w:val="0"/>
      <w:spacing w:beforeLines="50" w:after="0" w:line="360" w:lineRule="auto"/>
      <w:jc w:val="left"/>
    </w:pPr>
    <w:rPr>
      <w:rFonts w:ascii="黑体" w:eastAsia="黑体" w:hAnsi="宋体" w:cs="宋体"/>
      <w:kern w:val="2"/>
      <w:sz w:val="28"/>
      <w:szCs w:val="28"/>
    </w:rPr>
  </w:style>
  <w:style w:type="paragraph" w:customStyle="1" w:styleId="afffffffffffffffffffffffffffffffff4">
    <w:name w:val="格式—正文"/>
    <w:basedOn w:val="a1"/>
    <w:link w:val="Charfffff0"/>
    <w:qFormat/>
    <w:pPr>
      <w:spacing w:line="360" w:lineRule="auto"/>
      <w:ind w:firstLineChars="200" w:firstLine="480"/>
    </w:pPr>
    <w:rPr>
      <w:rFonts w:ascii="宋体" w:hAnsi="宋体"/>
      <w:sz w:val="24"/>
      <w:szCs w:val="21"/>
    </w:rPr>
  </w:style>
  <w:style w:type="paragraph" w:customStyle="1" w:styleId="22CharCharCharCharChar2CharCharCharTime">
    <w:name w:val="样式 标题 2标题 2 Char Char Char Char Char标题 2 Char Char Char + Time..."/>
    <w:basedOn w:val="2a"/>
    <w:qFormat/>
    <w:pPr>
      <w:snapToGrid w:val="0"/>
      <w:spacing w:beforeLines="0" w:afterLines="0"/>
      <w:jc w:val="both"/>
    </w:pPr>
    <w:rPr>
      <w:rFonts w:ascii="黑体" w:hAnsi="Times New Roman"/>
      <w:b w:val="0"/>
      <w:color w:val="000000"/>
      <w:sz w:val="30"/>
      <w:szCs w:val="30"/>
    </w:rPr>
  </w:style>
  <w:style w:type="paragraph" w:customStyle="1" w:styleId="afffffffffffffffffffffffffffffffff5">
    <w:name w:val="图表题"/>
    <w:basedOn w:val="affffffffffff6"/>
    <w:next w:val="affffffffffff6"/>
    <w:link w:val="Charfffff1"/>
    <w:qFormat/>
    <w:pPr>
      <w:spacing w:line="360" w:lineRule="auto"/>
      <w:ind w:firstLineChars="0" w:firstLine="0"/>
      <w:jc w:val="center"/>
    </w:pPr>
    <w:rPr>
      <w:rFonts w:ascii="黑体" w:eastAsia="黑体" w:hAnsi="宋体"/>
      <w:b/>
      <w:bCs/>
      <w:kern w:val="2"/>
      <w:szCs w:val="24"/>
    </w:rPr>
  </w:style>
  <w:style w:type="paragraph" w:customStyle="1" w:styleId="DefaultArial15">
    <w:name w:val="样式 Default + (符号) Arial 自动设置 两端对齐 行距: 1.5 倍行距"/>
    <w:basedOn w:val="Default"/>
    <w:qFormat/>
    <w:pPr>
      <w:spacing w:line="360" w:lineRule="auto"/>
      <w:jc w:val="both"/>
    </w:pPr>
    <w:rPr>
      <w:rFonts w:hAnsi="Arial"/>
      <w:color w:val="auto"/>
      <w:spacing w:val="10"/>
      <w:szCs w:val="20"/>
    </w:rPr>
  </w:style>
  <w:style w:type="paragraph" w:customStyle="1" w:styleId="243">
    <w:name w:val="样式 宋体 四号 左 行距: 固定值 24 磅"/>
    <w:basedOn w:val="a1"/>
    <w:qFormat/>
    <w:pPr>
      <w:spacing w:line="480" w:lineRule="exact"/>
      <w:ind w:firstLineChars="200" w:firstLine="560"/>
      <w:jc w:val="left"/>
    </w:pPr>
    <w:rPr>
      <w:rFonts w:ascii="宋体" w:hAnsi="宋体" w:cs="宋体"/>
      <w:sz w:val="24"/>
      <w:szCs w:val="20"/>
    </w:rPr>
  </w:style>
  <w:style w:type="paragraph" w:customStyle="1" w:styleId="afffffffffffffffffffffffffffffffff6">
    <w:name w:val="【表头】"/>
    <w:basedOn w:val="a1"/>
    <w:qFormat/>
    <w:pPr>
      <w:jc w:val="center"/>
    </w:pPr>
    <w:rPr>
      <w:rFonts w:ascii="Times New Roman" w:eastAsia="黑体" w:hAnsi="Times New Roman" w:cs="Arial"/>
      <w:sz w:val="24"/>
      <w:szCs w:val="24"/>
    </w:rPr>
  </w:style>
  <w:style w:type="paragraph" w:customStyle="1" w:styleId="afffffffffffffffffffffffffffffffff7">
    <w:name w:val="导则正文"/>
    <w:basedOn w:val="a1"/>
    <w:link w:val="Charfffff2"/>
    <w:qFormat/>
    <w:pPr>
      <w:spacing w:line="360" w:lineRule="auto"/>
      <w:ind w:firstLineChars="200" w:firstLine="482"/>
    </w:pPr>
    <w:rPr>
      <w:rFonts w:cs="黑体"/>
      <w:szCs w:val="21"/>
    </w:rPr>
  </w:style>
  <w:style w:type="paragraph" w:customStyle="1" w:styleId="2fffffff1">
    <w:name w:val="正文文本缩进2"/>
    <w:basedOn w:val="a1"/>
    <w:qFormat/>
    <w:pPr>
      <w:spacing w:after="120"/>
      <w:ind w:leftChars="200" w:left="420"/>
    </w:pPr>
    <w:rPr>
      <w:rFonts w:ascii="Times New Roman" w:hAnsi="Times New Roman"/>
      <w:szCs w:val="24"/>
    </w:rPr>
  </w:style>
  <w:style w:type="paragraph" w:customStyle="1" w:styleId="Style74">
    <w:name w:val="Style74"/>
    <w:basedOn w:val="a1"/>
    <w:qFormat/>
    <w:pPr>
      <w:adjustRightInd w:val="0"/>
      <w:jc w:val="left"/>
    </w:pPr>
    <w:rPr>
      <w:rFonts w:ascii="宋体" w:hAnsi="Times New Roman" w:cs="宋体"/>
      <w:kern w:val="0"/>
      <w:sz w:val="24"/>
      <w:szCs w:val="24"/>
    </w:rPr>
  </w:style>
  <w:style w:type="paragraph" w:customStyle="1" w:styleId="a60">
    <w:name w:val="a表格标题6"/>
    <w:basedOn w:val="a1"/>
    <w:next w:val="a1"/>
    <w:link w:val="a6CharChar"/>
    <w:qFormat/>
    <w:pPr>
      <w:widowControl/>
      <w:tabs>
        <w:tab w:val="left" w:pos="2520"/>
      </w:tabs>
      <w:spacing w:beforeLines="50" w:line="360" w:lineRule="auto"/>
      <w:ind w:left="2520" w:hanging="420"/>
      <w:jc w:val="center"/>
      <w:outlineLvl w:val="5"/>
    </w:pPr>
    <w:rPr>
      <w:rFonts w:ascii="黑体" w:eastAsia="黑体" w:cs="黑体"/>
      <w:szCs w:val="21"/>
    </w:rPr>
  </w:style>
  <w:style w:type="paragraph" w:customStyle="1" w:styleId="860">
    <w:name w:val="正文86"/>
    <w:basedOn w:val="a1"/>
    <w:link w:val="86Char0"/>
    <w:qFormat/>
    <w:pPr>
      <w:tabs>
        <w:tab w:val="left" w:pos="567"/>
      </w:tabs>
      <w:adjustRightInd w:val="0"/>
      <w:spacing w:line="500" w:lineRule="exact"/>
      <w:ind w:firstLineChars="200" w:firstLine="480"/>
    </w:pPr>
    <w:rPr>
      <w:rFonts w:ascii="楷体_GB2312" w:eastAsia="楷体_GB2312" w:cs="宋体"/>
      <w:kern w:val="0"/>
      <w:sz w:val="24"/>
      <w:szCs w:val="24"/>
    </w:rPr>
  </w:style>
  <w:style w:type="paragraph" w:customStyle="1" w:styleId="22e">
    <w:name w:val="样式 样式 正文缩进 + 首行缩进:  2 字符 + 首行缩进:  2 字符"/>
    <w:basedOn w:val="a1"/>
    <w:qFormat/>
    <w:pPr>
      <w:widowControl/>
      <w:spacing w:line="360" w:lineRule="auto"/>
      <w:ind w:firstLineChars="200" w:firstLine="480"/>
      <w:jc w:val="left"/>
    </w:pPr>
    <w:rPr>
      <w:rFonts w:ascii="宋体" w:hAnsi="Times New Roman" w:cs="宋体"/>
      <w:kern w:val="0"/>
      <w:sz w:val="24"/>
      <w:szCs w:val="20"/>
    </w:rPr>
  </w:style>
  <w:style w:type="paragraph" w:customStyle="1" w:styleId="CM21">
    <w:name w:val="CM21"/>
    <w:basedOn w:val="Default"/>
    <w:next w:val="Default"/>
    <w:qFormat/>
    <w:pPr>
      <w:spacing w:line="468" w:lineRule="atLeast"/>
    </w:pPr>
    <w:rPr>
      <w:rFonts w:ascii="楷体_GB2312" w:eastAsia="楷体_GB2312" w:cs="楷体_GB2312"/>
      <w:color w:val="auto"/>
    </w:rPr>
  </w:style>
  <w:style w:type="paragraph" w:customStyle="1" w:styleId="1fffffff1">
    <w:name w:val="正文缩进1"/>
    <w:basedOn w:val="a1"/>
    <w:qFormat/>
    <w:pPr>
      <w:spacing w:after="120" w:line="336" w:lineRule="auto"/>
      <w:ind w:firstLineChars="200" w:firstLine="480"/>
      <w:textAlignment w:val="baseline"/>
    </w:pPr>
    <w:rPr>
      <w:rFonts w:ascii="Times New Roman" w:hAnsi="Times New Roman"/>
      <w:sz w:val="24"/>
      <w:szCs w:val="20"/>
    </w:rPr>
  </w:style>
  <w:style w:type="paragraph" w:customStyle="1" w:styleId="afffffffffffffffffffffffffffffffff8">
    <w:name w:val="表格后"/>
    <w:basedOn w:val="a1"/>
    <w:next w:val="a1"/>
    <w:qFormat/>
    <w:pPr>
      <w:spacing w:beforeLines="50" w:line="360" w:lineRule="auto"/>
      <w:ind w:firstLineChars="200" w:firstLine="200"/>
    </w:pPr>
    <w:rPr>
      <w:rFonts w:ascii="Times New Roman" w:hAnsi="Times New Roman"/>
      <w:sz w:val="24"/>
      <w:szCs w:val="24"/>
    </w:rPr>
  </w:style>
  <w:style w:type="paragraph" w:customStyle="1" w:styleId="8f2">
    <w:name w:val="正文8"/>
    <w:qFormat/>
    <w:pPr>
      <w:widowControl w:val="0"/>
      <w:adjustRightInd w:val="0"/>
      <w:spacing w:line="360" w:lineRule="atLeast"/>
      <w:textAlignment w:val="baseline"/>
    </w:pPr>
    <w:rPr>
      <w:rFonts w:ascii="宋体"/>
      <w:sz w:val="24"/>
    </w:rPr>
  </w:style>
  <w:style w:type="paragraph" w:customStyle="1" w:styleId="5ff4">
    <w:name w:val="图表目录5"/>
    <w:basedOn w:val="8f2"/>
    <w:next w:val="8f2"/>
    <w:qFormat/>
    <w:pPr>
      <w:tabs>
        <w:tab w:val="right" w:leader="dot" w:pos="8051"/>
      </w:tabs>
      <w:ind w:left="840" w:hanging="840"/>
    </w:pPr>
  </w:style>
  <w:style w:type="paragraph" w:customStyle="1" w:styleId="5ff5">
    <w:name w:val="尾注文本5"/>
    <w:basedOn w:val="8f2"/>
    <w:qFormat/>
    <w:rPr>
      <w:sz w:val="21"/>
    </w:rPr>
  </w:style>
  <w:style w:type="paragraph" w:customStyle="1" w:styleId="6f0">
    <w:name w:val="页脚6"/>
    <w:basedOn w:val="8f2"/>
    <w:qFormat/>
    <w:pPr>
      <w:tabs>
        <w:tab w:val="center" w:pos="4153"/>
        <w:tab w:val="right" w:pos="8306"/>
      </w:tabs>
      <w:spacing w:line="240" w:lineRule="atLeast"/>
    </w:pPr>
    <w:rPr>
      <w:sz w:val="18"/>
    </w:rPr>
  </w:style>
  <w:style w:type="paragraph" w:customStyle="1" w:styleId="5ff6">
    <w:name w:val="日期5"/>
    <w:basedOn w:val="a1"/>
    <w:next w:val="a1"/>
    <w:qFormat/>
    <w:pPr>
      <w:adjustRightInd w:val="0"/>
      <w:textAlignment w:val="baseline"/>
    </w:pPr>
    <w:rPr>
      <w:rFonts w:ascii="Times New Roman" w:hAnsi="Times New Roman"/>
      <w:szCs w:val="20"/>
    </w:rPr>
  </w:style>
  <w:style w:type="paragraph" w:customStyle="1" w:styleId="353">
    <w:name w:val="正文文本 35"/>
    <w:basedOn w:val="a1"/>
    <w:semiHidden/>
    <w:qFormat/>
    <w:pPr>
      <w:adjustRightInd w:val="0"/>
      <w:spacing w:line="360" w:lineRule="atLeast"/>
      <w:ind w:firstLineChars="200" w:firstLine="420"/>
      <w:jc w:val="center"/>
      <w:textAlignment w:val="baseline"/>
    </w:pPr>
    <w:rPr>
      <w:rFonts w:ascii="仿宋体" w:eastAsia="仿宋体" w:hAnsi="宋体"/>
      <w:kern w:val="0"/>
      <w:sz w:val="24"/>
      <w:szCs w:val="20"/>
    </w:rPr>
  </w:style>
  <w:style w:type="paragraph" w:customStyle="1" w:styleId="5ff7">
    <w:name w:val="列出段落5"/>
    <w:basedOn w:val="a1"/>
    <w:qFormat/>
    <w:pPr>
      <w:spacing w:line="360" w:lineRule="auto"/>
      <w:ind w:firstLineChars="200" w:firstLine="420"/>
    </w:pPr>
    <w:rPr>
      <w:sz w:val="24"/>
    </w:rPr>
  </w:style>
  <w:style w:type="paragraph" w:customStyle="1" w:styleId="5ff8">
    <w:name w:val="普通(网站)5"/>
    <w:basedOn w:val="a1"/>
    <w:qFormat/>
    <w:pPr>
      <w:adjustRightInd w:val="0"/>
      <w:spacing w:line="360" w:lineRule="auto"/>
      <w:ind w:firstLineChars="200" w:firstLine="420"/>
      <w:textAlignment w:val="baseline"/>
    </w:pPr>
    <w:rPr>
      <w:rFonts w:ascii="Times New Roman" w:hAnsi="Times New Roman"/>
      <w:sz w:val="24"/>
      <w:szCs w:val="20"/>
    </w:rPr>
  </w:style>
  <w:style w:type="paragraph" w:customStyle="1" w:styleId="TOC4">
    <w:name w:val="TOC 标题4"/>
    <w:basedOn w:val="1a"/>
    <w:next w:val="a1"/>
    <w:qFormat/>
    <w:pPr>
      <w:widowControl/>
      <w:tabs>
        <w:tab w:val="left" w:pos="2040"/>
      </w:tabs>
      <w:spacing w:before="480" w:after="0" w:line="276" w:lineRule="auto"/>
      <w:ind w:leftChars="800" w:left="2040" w:hangingChars="200" w:hanging="360"/>
      <w:jc w:val="left"/>
      <w:outlineLvl w:val="9"/>
    </w:pPr>
    <w:rPr>
      <w:rFonts w:ascii="Cambria" w:hAnsi="Cambria" w:cs="Cambria"/>
      <w:color w:val="365F91"/>
      <w:kern w:val="0"/>
      <w:sz w:val="28"/>
      <w:szCs w:val="28"/>
    </w:rPr>
  </w:style>
  <w:style w:type="paragraph" w:customStyle="1" w:styleId="411">
    <w:name w:val="无间隔41"/>
    <w:qFormat/>
    <w:pPr>
      <w:widowControl w:val="0"/>
      <w:jc w:val="both"/>
    </w:pPr>
    <w:rPr>
      <w:rFonts w:ascii="Calibri" w:hAnsi="Calibri" w:cs="Calibri"/>
      <w:kern w:val="2"/>
      <w:sz w:val="21"/>
      <w:szCs w:val="21"/>
    </w:rPr>
  </w:style>
  <w:style w:type="paragraph" w:customStyle="1" w:styleId="3fffe">
    <w:name w:val="正文文本缩进3"/>
    <w:basedOn w:val="a1"/>
    <w:qFormat/>
    <w:pPr>
      <w:spacing w:after="120"/>
      <w:ind w:leftChars="200" w:left="420"/>
    </w:pPr>
    <w:rPr>
      <w:rFonts w:ascii="Times New Roman" w:hAnsi="Times New Roman"/>
      <w:szCs w:val="24"/>
    </w:rPr>
  </w:style>
  <w:style w:type="paragraph" w:customStyle="1" w:styleId="CM54">
    <w:name w:val="CM54"/>
    <w:basedOn w:val="Default"/>
    <w:next w:val="Default"/>
    <w:qFormat/>
    <w:pPr>
      <w:spacing w:after="413"/>
    </w:pPr>
    <w:rPr>
      <w:rFonts w:ascii="楷体_GB2312" w:eastAsia="楷体_GB2312" w:cs="楷体_GB2312"/>
      <w:color w:val="auto"/>
    </w:rPr>
  </w:style>
  <w:style w:type="paragraph" w:customStyle="1" w:styleId="4fff2">
    <w:name w:val="正文文本缩进4"/>
    <w:basedOn w:val="a1"/>
    <w:qFormat/>
    <w:pPr>
      <w:spacing w:after="120"/>
      <w:ind w:leftChars="200" w:left="420"/>
    </w:pPr>
    <w:rPr>
      <w:rFonts w:ascii="Times New Roman" w:hAnsi="Times New Roman"/>
      <w:szCs w:val="24"/>
    </w:rPr>
  </w:style>
  <w:style w:type="paragraph" w:customStyle="1" w:styleId="6f1">
    <w:name w:val="普通(网站)6"/>
    <w:basedOn w:val="a1"/>
    <w:semiHidden/>
    <w:qFormat/>
    <w:rPr>
      <w:rFonts w:ascii="Arial" w:hAnsi="Arial" w:hint="eastAsia"/>
      <w:szCs w:val="21"/>
    </w:rPr>
  </w:style>
  <w:style w:type="paragraph" w:customStyle="1" w:styleId="6f2">
    <w:name w:val="日期6"/>
    <w:basedOn w:val="a1"/>
    <w:next w:val="a1"/>
    <w:qFormat/>
    <w:pPr>
      <w:overflowPunct w:val="0"/>
      <w:spacing w:line="360" w:lineRule="auto"/>
      <w:ind w:firstLine="560"/>
      <w:jc w:val="left"/>
    </w:pPr>
    <w:rPr>
      <w:rFonts w:ascii="仿宋_GB2312" w:hAnsi="Times New Roman"/>
      <w:sz w:val="28"/>
      <w:szCs w:val="20"/>
    </w:rPr>
  </w:style>
  <w:style w:type="paragraph" w:customStyle="1" w:styleId="6f3">
    <w:name w:val="列出段落6"/>
    <w:basedOn w:val="a1"/>
    <w:qFormat/>
    <w:pPr>
      <w:ind w:firstLineChars="200" w:firstLine="420"/>
    </w:pPr>
  </w:style>
  <w:style w:type="paragraph" w:customStyle="1" w:styleId="9f">
    <w:name w:val="正文9"/>
    <w:qFormat/>
    <w:pPr>
      <w:widowControl w:val="0"/>
      <w:adjustRightInd w:val="0"/>
      <w:spacing w:line="312" w:lineRule="atLeast"/>
      <w:jc w:val="both"/>
      <w:textAlignment w:val="baseline"/>
    </w:pPr>
    <w:rPr>
      <w:rFonts w:ascii="宋体"/>
      <w:sz w:val="34"/>
    </w:rPr>
  </w:style>
  <w:style w:type="paragraph" w:customStyle="1" w:styleId="5ff9">
    <w:name w:val="无间隔5"/>
    <w:qFormat/>
    <w:pPr>
      <w:adjustRightInd w:val="0"/>
      <w:snapToGrid w:val="0"/>
    </w:pPr>
    <w:rPr>
      <w:rFonts w:ascii="Tahoma" w:eastAsia="微软雅黑" w:hAnsi="Tahoma"/>
      <w:sz w:val="22"/>
      <w:szCs w:val="22"/>
    </w:rPr>
  </w:style>
  <w:style w:type="paragraph" w:customStyle="1" w:styleId="5ffa">
    <w:name w:val="正文文本5"/>
    <w:basedOn w:val="a1"/>
    <w:next w:val="a1"/>
    <w:qFormat/>
    <w:pPr>
      <w:widowControl/>
      <w:autoSpaceDE w:val="0"/>
      <w:autoSpaceDN w:val="0"/>
      <w:adjustRightInd w:val="0"/>
      <w:spacing w:before="60" w:after="60"/>
      <w:jc w:val="left"/>
    </w:pPr>
    <w:rPr>
      <w:rFonts w:ascii="宋体" w:hAnsi="Times New Roman"/>
      <w:kern w:val="0"/>
      <w:sz w:val="24"/>
      <w:szCs w:val="24"/>
      <w:lang w:eastAsia="en-US"/>
    </w:rPr>
  </w:style>
  <w:style w:type="paragraph" w:customStyle="1" w:styleId="afffffffffffffffffffffffffffffffff9">
    <w:name w:val="样式 表格文字居中 + 五号"/>
    <w:basedOn w:val="affffffffd"/>
    <w:qFormat/>
    <w:pPr>
      <w:tabs>
        <w:tab w:val="clear" w:pos="628"/>
        <w:tab w:val="clear" w:pos="1727"/>
        <w:tab w:val="clear" w:pos="1884"/>
      </w:tabs>
      <w:adjustRightInd w:val="0"/>
      <w:spacing w:line="240" w:lineRule="atLeast"/>
      <w:ind w:firstLineChars="0"/>
      <w:jc w:val="both"/>
    </w:pPr>
    <w:rPr>
      <w:rFonts w:cs="宋体"/>
      <w:bCs w:val="0"/>
      <w:snapToGrid w:val="0"/>
      <w:color w:val="000000"/>
      <w:spacing w:val="-6"/>
      <w:sz w:val="21"/>
      <w:szCs w:val="21"/>
    </w:rPr>
  </w:style>
  <w:style w:type="paragraph" w:customStyle="1" w:styleId="afffffffffffffffffffffffffffffffffa">
    <w:name w:val="三组标题"/>
    <w:basedOn w:val="a1"/>
    <w:qFormat/>
    <w:pPr>
      <w:keepNext/>
      <w:jc w:val="left"/>
    </w:pPr>
    <w:rPr>
      <w:rFonts w:ascii="Times New Roman" w:eastAsia="仿宋_GB2312" w:hAnsi="Times New Roman"/>
      <w:sz w:val="28"/>
      <w:szCs w:val="20"/>
    </w:rPr>
  </w:style>
  <w:style w:type="paragraph" w:customStyle="1" w:styleId="afffffffffffffffffffffffffffffffffb">
    <w:name w:val="公式说明"/>
    <w:basedOn w:val="a1"/>
    <w:link w:val="Charfffff3"/>
    <w:qFormat/>
    <w:pPr>
      <w:tabs>
        <w:tab w:val="left" w:pos="1920"/>
      </w:tabs>
      <w:adjustRightInd w:val="0"/>
      <w:snapToGrid w:val="0"/>
      <w:spacing w:line="620" w:lineRule="exact"/>
      <w:ind w:firstLineChars="200" w:firstLine="200"/>
    </w:pPr>
    <w:rPr>
      <w:rFonts w:ascii="Times New Roman" w:eastAsia="仿宋_GB2312" w:hAnsi="Times New Roman"/>
      <w:sz w:val="32"/>
    </w:rPr>
  </w:style>
  <w:style w:type="paragraph" w:customStyle="1" w:styleId="1fffffff2">
    <w:name w:val="纯文本1"/>
    <w:basedOn w:val="a1"/>
    <w:link w:val="Charfffff4"/>
    <w:qFormat/>
    <w:rPr>
      <w:rFonts w:ascii="宋体" w:hAnsi="Courier New" w:cs="Courier New"/>
      <w:szCs w:val="21"/>
    </w:rPr>
  </w:style>
  <w:style w:type="character" w:customStyle="1" w:styleId="affd">
    <w:name w:val="页眉 字符"/>
    <w:basedOn w:val="a3"/>
    <w:link w:val="affc"/>
    <w:qFormat/>
    <w:rPr>
      <w:sz w:val="18"/>
      <w:szCs w:val="18"/>
    </w:rPr>
  </w:style>
  <w:style w:type="character" w:customStyle="1" w:styleId="affa">
    <w:name w:val="页脚 字符"/>
    <w:basedOn w:val="a3"/>
    <w:link w:val="aff9"/>
    <w:uiPriority w:val="99"/>
    <w:qFormat/>
    <w:rPr>
      <w:sz w:val="18"/>
      <w:szCs w:val="18"/>
    </w:rPr>
  </w:style>
  <w:style w:type="character" w:customStyle="1" w:styleId="2Char9">
    <w:name w:val="标题 2 Char"/>
    <w:basedOn w:val="a3"/>
    <w:qFormat/>
    <w:rPr>
      <w:rFonts w:ascii="Cambria" w:eastAsia="宋体" w:hAnsi="Cambria" w:cs="黑体"/>
      <w:b/>
      <w:bCs/>
      <w:sz w:val="32"/>
      <w:szCs w:val="32"/>
    </w:rPr>
  </w:style>
  <w:style w:type="character" w:customStyle="1" w:styleId="2b">
    <w:name w:val="标题 2 字符"/>
    <w:link w:val="2a"/>
    <w:qFormat/>
    <w:rPr>
      <w:rFonts w:ascii="Arial" w:eastAsia="黑体" w:hAnsi="Arial" w:cs="Times New Roman"/>
      <w:b/>
      <w:bCs/>
      <w:kern w:val="0"/>
      <w:sz w:val="32"/>
      <w:szCs w:val="32"/>
    </w:rPr>
  </w:style>
  <w:style w:type="character" w:customStyle="1" w:styleId="af3">
    <w:name w:val="文档结构图 字符"/>
    <w:basedOn w:val="a3"/>
    <w:link w:val="af2"/>
    <w:qFormat/>
    <w:rPr>
      <w:rFonts w:ascii="宋体" w:eastAsia="宋体" w:hAnsi="Calibri" w:cs="Times New Roman"/>
      <w:sz w:val="18"/>
      <w:szCs w:val="18"/>
    </w:rPr>
  </w:style>
  <w:style w:type="character" w:customStyle="1" w:styleId="aff8">
    <w:name w:val="批注框文本 字符"/>
    <w:basedOn w:val="a3"/>
    <w:link w:val="aff7"/>
    <w:qFormat/>
    <w:rPr>
      <w:rFonts w:ascii="Calibri" w:eastAsia="宋体" w:hAnsi="Calibri" w:cs="Times New Roman"/>
      <w:sz w:val="18"/>
      <w:szCs w:val="18"/>
    </w:rPr>
  </w:style>
  <w:style w:type="character" w:customStyle="1" w:styleId="1b">
    <w:name w:val="标题 1 字符"/>
    <w:basedOn w:val="a3"/>
    <w:link w:val="1a"/>
    <w:qFormat/>
    <w:rPr>
      <w:rFonts w:ascii="Calibri" w:eastAsia="宋体" w:hAnsi="Calibri" w:cs="Times New Roman"/>
      <w:b/>
      <w:bCs/>
      <w:kern w:val="44"/>
      <w:sz w:val="44"/>
      <w:szCs w:val="44"/>
    </w:rPr>
  </w:style>
  <w:style w:type="character" w:customStyle="1" w:styleId="3Char1">
    <w:name w:val="标题 3 Char"/>
    <w:basedOn w:val="a3"/>
    <w:qFormat/>
    <w:rPr>
      <w:rFonts w:ascii="Calibri" w:eastAsia="宋体" w:hAnsi="Calibri" w:cs="Times New Roman"/>
      <w:b/>
      <w:bCs/>
      <w:sz w:val="32"/>
      <w:szCs w:val="32"/>
    </w:rPr>
  </w:style>
  <w:style w:type="character" w:customStyle="1" w:styleId="4b">
    <w:name w:val="标题 4 字符"/>
    <w:basedOn w:val="a3"/>
    <w:link w:val="4a"/>
    <w:qFormat/>
    <w:rPr>
      <w:rFonts w:ascii="Cambria" w:eastAsia="宋体" w:hAnsi="Cambria" w:cs="黑体"/>
      <w:b/>
      <w:bCs/>
      <w:sz w:val="28"/>
      <w:szCs w:val="28"/>
    </w:rPr>
  </w:style>
  <w:style w:type="character" w:customStyle="1" w:styleId="5Char5">
    <w:name w:val="标题 5 Char"/>
    <w:basedOn w:val="a3"/>
    <w:qFormat/>
    <w:rPr>
      <w:rFonts w:ascii="Calibri" w:eastAsia="宋体" w:hAnsi="Calibri" w:cs="Times New Roman"/>
      <w:b/>
      <w:bCs/>
      <w:sz w:val="28"/>
      <w:szCs w:val="28"/>
    </w:rPr>
  </w:style>
  <w:style w:type="character" w:customStyle="1" w:styleId="61">
    <w:name w:val="标题 6 字符"/>
    <w:basedOn w:val="a3"/>
    <w:link w:val="60"/>
    <w:qFormat/>
    <w:rPr>
      <w:rFonts w:ascii="Calibri Light" w:eastAsia="宋体" w:hAnsi="Calibri Light" w:cs="Times New Roman"/>
      <w:b/>
      <w:bCs/>
      <w:sz w:val="24"/>
      <w:szCs w:val="24"/>
    </w:rPr>
  </w:style>
  <w:style w:type="character" w:customStyle="1" w:styleId="7b">
    <w:name w:val="标题 7 字符"/>
    <w:basedOn w:val="a3"/>
    <w:link w:val="7a"/>
    <w:qFormat/>
    <w:rPr>
      <w:rFonts w:ascii="Calibri" w:eastAsia="宋体" w:hAnsi="Calibri" w:cs="Times New Roman"/>
      <w:b/>
      <w:bCs/>
      <w:sz w:val="24"/>
      <w:szCs w:val="24"/>
    </w:rPr>
  </w:style>
  <w:style w:type="character" w:customStyle="1" w:styleId="8Char0">
    <w:name w:val="标题 8 Char"/>
    <w:basedOn w:val="a3"/>
    <w:uiPriority w:val="9"/>
    <w:semiHidden/>
    <w:qFormat/>
    <w:rPr>
      <w:rFonts w:ascii="Cambria" w:eastAsia="宋体" w:hAnsi="Cambria" w:cs="黑体"/>
      <w:sz w:val="24"/>
      <w:szCs w:val="24"/>
    </w:rPr>
  </w:style>
  <w:style w:type="character" w:customStyle="1" w:styleId="9b">
    <w:name w:val="标题 9 字符"/>
    <w:basedOn w:val="a3"/>
    <w:link w:val="9a"/>
    <w:qFormat/>
    <w:rPr>
      <w:rFonts w:ascii="Calibri Light" w:eastAsia="宋体" w:hAnsi="Calibri Light" w:cs="Times New Roman"/>
      <w:szCs w:val="21"/>
    </w:rPr>
  </w:style>
  <w:style w:type="character" w:customStyle="1" w:styleId="4Char10">
    <w:name w:val="标题 4 Char1"/>
    <w:qFormat/>
    <w:rPr>
      <w:rFonts w:ascii="Arial" w:eastAsia="黑体" w:hAnsi="Arial" w:cs="Times New Roman"/>
      <w:b/>
      <w:bCs/>
      <w:sz w:val="28"/>
      <w:szCs w:val="28"/>
    </w:rPr>
  </w:style>
  <w:style w:type="character" w:customStyle="1" w:styleId="Char0">
    <w:name w:val="表格 Char"/>
    <w:basedOn w:val="a3"/>
    <w:link w:val="afffff"/>
    <w:qFormat/>
    <w:rPr>
      <w:rFonts w:ascii="Times New Roman" w:eastAsia="宋体" w:hAnsi="Times New Roman" w:cs="Times New Roman"/>
      <w:szCs w:val="24"/>
    </w:rPr>
  </w:style>
  <w:style w:type="character" w:customStyle="1" w:styleId="Charfffff5">
    <w:name w:val="表格样式 Char"/>
    <w:qFormat/>
    <w:rPr>
      <w:rFonts w:ascii="宋体" w:eastAsia="宋体" w:hAnsi="宋体"/>
      <w:szCs w:val="24"/>
      <w:lang w:bidi="ar-SA"/>
    </w:rPr>
  </w:style>
  <w:style w:type="character" w:customStyle="1" w:styleId="1Char">
    <w:name w:val="1表格 Char"/>
    <w:link w:val="1f7"/>
    <w:qFormat/>
    <w:rPr>
      <w:rFonts w:ascii="Times New Roman" w:eastAsia="宋体" w:hAnsi="Times New Roman" w:cs="Times New Roman"/>
      <w:spacing w:val="4"/>
      <w:kern w:val="0"/>
      <w:sz w:val="24"/>
      <w:szCs w:val="24"/>
    </w:rPr>
  </w:style>
  <w:style w:type="character" w:customStyle="1" w:styleId="CharChar">
    <w:name w:val="表头 Char Char"/>
    <w:link w:val="afffff0"/>
    <w:qFormat/>
    <w:rPr>
      <w:rFonts w:eastAsia="黑体"/>
      <w:szCs w:val="24"/>
    </w:rPr>
  </w:style>
  <w:style w:type="character" w:customStyle="1" w:styleId="1Char0">
    <w:name w:val="1正文 Char"/>
    <w:link w:val="1f8"/>
    <w:qFormat/>
    <w:rPr>
      <w:rFonts w:ascii="Times New Roman" w:eastAsia="宋体" w:hAnsi="Times New Roman" w:cs="Times New Roman"/>
      <w:color w:val="000000"/>
      <w:kern w:val="0"/>
      <w:sz w:val="24"/>
      <w:szCs w:val="24"/>
    </w:rPr>
  </w:style>
  <w:style w:type="character" w:customStyle="1" w:styleId="Char1">
    <w:name w:val="正文(首行缩进) Char"/>
    <w:link w:val="afffff2"/>
    <w:qFormat/>
    <w:rPr>
      <w:rFonts w:ascii="Times New Roman" w:eastAsia="宋体" w:hAnsi="Times New Roman" w:cs="Times New Roman"/>
      <w:snapToGrid w:val="0"/>
      <w:color w:val="000000"/>
      <w:kern w:val="0"/>
      <w:sz w:val="24"/>
      <w:szCs w:val="24"/>
    </w:rPr>
  </w:style>
  <w:style w:type="character" w:customStyle="1" w:styleId="3Char2">
    <w:name w:val="正文文本 3 Char"/>
    <w:basedOn w:val="a3"/>
    <w:qFormat/>
    <w:rPr>
      <w:rFonts w:ascii="Calibri" w:eastAsia="宋体" w:hAnsi="Calibri" w:cs="Times New Roman"/>
      <w:sz w:val="16"/>
      <w:szCs w:val="16"/>
    </w:rPr>
  </w:style>
  <w:style w:type="character" w:customStyle="1" w:styleId="3e">
    <w:name w:val="正文文本 3 字符"/>
    <w:link w:val="3d"/>
    <w:qFormat/>
    <w:rPr>
      <w:rFonts w:ascii="Times New Roman" w:eastAsia="宋体" w:hAnsi="Times New Roman" w:cs="Times New Roman"/>
      <w:kern w:val="0"/>
      <w:sz w:val="16"/>
      <w:szCs w:val="16"/>
    </w:rPr>
  </w:style>
  <w:style w:type="character" w:customStyle="1" w:styleId="afff9">
    <w:name w:val="普通(网站) 字符"/>
    <w:link w:val="afff8"/>
    <w:qFormat/>
    <w:rPr>
      <w:rFonts w:ascii="Arial Unicode MS" w:eastAsia="Arial Unicode MS" w:hAnsi="Times New Roman" w:cs="Times New Roman"/>
      <w:color w:val="000000"/>
      <w:kern w:val="0"/>
      <w:sz w:val="24"/>
      <w:szCs w:val="20"/>
    </w:rPr>
  </w:style>
  <w:style w:type="character" w:customStyle="1" w:styleId="CharCharb">
    <w:name w:val="正文(首行缩进) Char Char"/>
    <w:qFormat/>
    <w:rPr>
      <w:rFonts w:ascii="Calibri" w:eastAsia="宋体" w:hAnsi="Calibri"/>
      <w:snapToGrid w:val="0"/>
      <w:sz w:val="24"/>
      <w:szCs w:val="24"/>
      <w:lang w:val="en-US" w:eastAsia="en-US" w:bidi="en-US"/>
    </w:rPr>
  </w:style>
  <w:style w:type="character" w:customStyle="1" w:styleId="Char2">
    <w:name w:val="表内字 Char"/>
    <w:link w:val="afffff3"/>
    <w:qFormat/>
    <w:rPr>
      <w:rFonts w:ascii="Times New Roman" w:eastAsia="宋体" w:hAnsi="Times New Roman" w:cs="Times New Roman"/>
      <w:color w:val="000000"/>
    </w:rPr>
  </w:style>
  <w:style w:type="character" w:customStyle="1" w:styleId="Char10">
    <w:name w:val="表文字 Char1"/>
    <w:link w:val="afffff5"/>
    <w:qFormat/>
    <w:rPr>
      <w:rFonts w:ascii="Times New Roman" w:eastAsia="宋体" w:hAnsi="Times New Roman" w:cs="Times New Roman"/>
      <w:kern w:val="0"/>
      <w:sz w:val="20"/>
      <w:szCs w:val="21"/>
    </w:rPr>
  </w:style>
  <w:style w:type="character" w:customStyle="1" w:styleId="Charfffff6">
    <w:name w:val="正文文本 Char"/>
    <w:basedOn w:val="a3"/>
    <w:qFormat/>
    <w:rPr>
      <w:rFonts w:ascii="Calibri" w:eastAsia="宋体" w:hAnsi="Calibri" w:cs="Times New Roman"/>
    </w:rPr>
  </w:style>
  <w:style w:type="character" w:customStyle="1" w:styleId="Charfffff7">
    <w:name w:val="正文首行缩进 Char"/>
    <w:basedOn w:val="Charfffff6"/>
    <w:qFormat/>
    <w:rPr>
      <w:rFonts w:ascii="Calibri" w:eastAsia="宋体" w:hAnsi="Calibri" w:cs="Times New Roman"/>
    </w:rPr>
  </w:style>
  <w:style w:type="character" w:customStyle="1" w:styleId="affff">
    <w:name w:val="正文首行缩进 字符"/>
    <w:basedOn w:val="a3"/>
    <w:link w:val="afffe"/>
    <w:qFormat/>
    <w:rPr>
      <w:rFonts w:ascii="Times New Roman" w:eastAsia="宋体" w:hAnsi="Times New Roman" w:cs="Times New Roman"/>
      <w:kern w:val="0"/>
      <w:sz w:val="20"/>
      <w:szCs w:val="24"/>
    </w:rPr>
  </w:style>
  <w:style w:type="character" w:customStyle="1" w:styleId="13Char">
    <w:name w:val="正文小四首缩1.3行距 Char"/>
    <w:link w:val="130"/>
    <w:qFormat/>
    <w:locked/>
    <w:rPr>
      <w:rFonts w:ascii="Times New Roman" w:eastAsia="宋体" w:hAnsi="Times New Roman" w:cs="Times New Roman"/>
      <w:kern w:val="0"/>
      <w:sz w:val="24"/>
      <w:szCs w:val="24"/>
    </w:rPr>
  </w:style>
  <w:style w:type="character" w:customStyle="1" w:styleId="aff2">
    <w:name w:val="纯文本 字符"/>
    <w:link w:val="aff1"/>
    <w:qFormat/>
    <w:rPr>
      <w:rFonts w:ascii="宋体" w:eastAsia="宋体" w:hAnsi="Courier New"/>
    </w:rPr>
  </w:style>
  <w:style w:type="character" w:customStyle="1" w:styleId="Charfffff4">
    <w:name w:val="纯文本 Char"/>
    <w:basedOn w:val="a3"/>
    <w:link w:val="1fffffff2"/>
    <w:qFormat/>
    <w:rPr>
      <w:rFonts w:ascii="宋体" w:eastAsia="宋体" w:hAnsi="Courier New" w:cs="Courier New"/>
      <w:szCs w:val="21"/>
    </w:rPr>
  </w:style>
  <w:style w:type="character" w:customStyle="1" w:styleId="Charfffff8">
    <w:name w:val="正文文本缩进 Char"/>
    <w:basedOn w:val="a3"/>
    <w:semiHidden/>
    <w:qFormat/>
    <w:rPr>
      <w:rFonts w:ascii="Calibri" w:eastAsia="宋体" w:hAnsi="Calibri" w:cs="Times New Roman"/>
    </w:rPr>
  </w:style>
  <w:style w:type="character" w:customStyle="1" w:styleId="2Chara">
    <w:name w:val="正文首行缩进 2 Char"/>
    <w:basedOn w:val="Charfffff8"/>
    <w:semiHidden/>
    <w:qFormat/>
    <w:rPr>
      <w:rFonts w:ascii="Calibri" w:eastAsia="宋体" w:hAnsi="Calibri" w:cs="Times New Roman"/>
    </w:rPr>
  </w:style>
  <w:style w:type="character" w:customStyle="1" w:styleId="3f1">
    <w:name w:val="正文文本缩进 3 字符"/>
    <w:basedOn w:val="a3"/>
    <w:link w:val="3f0"/>
    <w:qFormat/>
    <w:rPr>
      <w:rFonts w:ascii="Times New Roman" w:eastAsia="宋体" w:hAnsi="Times New Roman" w:cs="Times New Roman"/>
      <w:sz w:val="16"/>
      <w:szCs w:val="16"/>
    </w:rPr>
  </w:style>
  <w:style w:type="character" w:customStyle="1" w:styleId="60Char">
    <w:name w:val="样式60 Char"/>
    <w:link w:val="600"/>
    <w:qFormat/>
    <w:rPr>
      <w:rFonts w:ascii="Times New Roman" w:eastAsia="宋体" w:hAnsi="Times New Roman" w:cs="Times New Roman"/>
      <w:b/>
      <w:bCs/>
      <w:kern w:val="0"/>
      <w:sz w:val="32"/>
      <w:szCs w:val="32"/>
    </w:rPr>
  </w:style>
  <w:style w:type="character" w:customStyle="1" w:styleId="63Char">
    <w:name w:val="样式63 Char"/>
    <w:link w:val="630"/>
    <w:qFormat/>
    <w:rPr>
      <w:rFonts w:ascii="Times New Roman" w:eastAsia="宋体" w:hAnsi="Times New Roman" w:cs="Times New Roman"/>
      <w:b/>
      <w:bCs/>
      <w:kern w:val="0"/>
      <w:sz w:val="30"/>
      <w:szCs w:val="30"/>
    </w:rPr>
  </w:style>
  <w:style w:type="character" w:customStyle="1" w:styleId="2Charb">
    <w:name w:val="正文文本缩进 2 Char"/>
    <w:basedOn w:val="a3"/>
    <w:uiPriority w:val="99"/>
    <w:semiHidden/>
    <w:qFormat/>
    <w:rPr>
      <w:rFonts w:ascii="Calibri" w:eastAsia="宋体" w:hAnsi="Calibri" w:cs="Times New Roman"/>
    </w:rPr>
  </w:style>
  <w:style w:type="character" w:customStyle="1" w:styleId="2f">
    <w:name w:val="正文文本缩进 2 字符"/>
    <w:link w:val="2e"/>
    <w:qFormat/>
    <w:rPr>
      <w:rFonts w:ascii="Times New Roman" w:eastAsia="宋体" w:hAnsi="Times New Roman" w:cs="Times New Roman"/>
      <w:kern w:val="0"/>
      <w:sz w:val="20"/>
      <w:szCs w:val="20"/>
    </w:rPr>
  </w:style>
  <w:style w:type="character" w:customStyle="1" w:styleId="Charfffff9">
    <w:name w:val="表头 Char"/>
    <w:qFormat/>
    <w:rPr>
      <w:rFonts w:ascii="Times New Roman" w:eastAsia="黑体" w:hAnsi="Times New Roman" w:cs="Times New Roman"/>
      <w:szCs w:val="24"/>
    </w:rPr>
  </w:style>
  <w:style w:type="character" w:customStyle="1" w:styleId="afc">
    <w:name w:val="正文文本 字符"/>
    <w:link w:val="afb"/>
    <w:qFormat/>
    <w:rPr>
      <w:rFonts w:ascii="Times New Roman" w:eastAsia="宋体" w:hAnsi="Times New Roman" w:cs="Times New Roman"/>
      <w:kern w:val="0"/>
      <w:sz w:val="20"/>
      <w:szCs w:val="24"/>
    </w:rPr>
  </w:style>
  <w:style w:type="character" w:customStyle="1" w:styleId="2Char">
    <w:name w:val="样式2 Char"/>
    <w:link w:val="2ff0"/>
    <w:qFormat/>
    <w:rPr>
      <w:rFonts w:ascii="Calibri Light" w:eastAsia="宋体" w:hAnsi="Calibri Light" w:cs="Times New Roman"/>
      <w:b/>
      <w:bCs/>
      <w:kern w:val="0"/>
      <w:sz w:val="32"/>
      <w:szCs w:val="32"/>
    </w:rPr>
  </w:style>
  <w:style w:type="character" w:customStyle="1" w:styleId="3b">
    <w:name w:val="标题 3 字符"/>
    <w:link w:val="3a"/>
    <w:qFormat/>
    <w:rPr>
      <w:rFonts w:ascii="Calibri" w:eastAsia="宋体" w:hAnsi="Calibri" w:cs="Times New Roman"/>
      <w:b/>
      <w:bCs/>
      <w:kern w:val="0"/>
      <w:sz w:val="32"/>
      <w:szCs w:val="32"/>
    </w:rPr>
  </w:style>
  <w:style w:type="character" w:customStyle="1" w:styleId="Charfffffa">
    <w:name w:val="日期 Char"/>
    <w:basedOn w:val="a3"/>
    <w:qFormat/>
    <w:rPr>
      <w:rFonts w:ascii="Calibri" w:eastAsia="宋体" w:hAnsi="Calibri" w:cs="Times New Roman"/>
    </w:rPr>
  </w:style>
  <w:style w:type="character" w:customStyle="1" w:styleId="aff4">
    <w:name w:val="日期 字符"/>
    <w:link w:val="aff3"/>
    <w:qFormat/>
    <w:rPr>
      <w:rFonts w:ascii="Calibri" w:eastAsia="宋体" w:hAnsi="Calibri" w:cs="Times New Roman"/>
      <w:kern w:val="0"/>
      <w:sz w:val="20"/>
      <w:szCs w:val="20"/>
    </w:rPr>
  </w:style>
  <w:style w:type="character" w:customStyle="1" w:styleId="1Char1">
    <w:name w:val="样式1 Char"/>
    <w:link w:val="1f9"/>
    <w:qFormat/>
    <w:rPr>
      <w:rFonts w:ascii="Calibri" w:eastAsia="宋体" w:hAnsi="Calibri" w:cs="Times New Roman"/>
      <w:b/>
      <w:bCs/>
      <w:kern w:val="44"/>
      <w:sz w:val="44"/>
      <w:szCs w:val="44"/>
    </w:rPr>
  </w:style>
  <w:style w:type="character" w:customStyle="1" w:styleId="3Char">
    <w:name w:val="样式3 Char"/>
    <w:link w:val="31"/>
    <w:qFormat/>
    <w:rPr>
      <w:rFonts w:ascii="Calibri Light" w:eastAsia="宋体" w:hAnsi="Calibri Light" w:cs="Times New Roman"/>
      <w:b/>
      <w:bCs/>
      <w:kern w:val="0"/>
      <w:sz w:val="32"/>
      <w:szCs w:val="32"/>
    </w:rPr>
  </w:style>
  <w:style w:type="character" w:customStyle="1" w:styleId="4Char">
    <w:name w:val="样式4 Char"/>
    <w:link w:val="4f3"/>
    <w:qFormat/>
    <w:rPr>
      <w:rFonts w:ascii="Calibri" w:eastAsia="宋体" w:hAnsi="Calibri" w:cs="Times New Roman"/>
      <w:b/>
      <w:bCs/>
      <w:kern w:val="0"/>
      <w:sz w:val="30"/>
      <w:szCs w:val="30"/>
    </w:rPr>
  </w:style>
  <w:style w:type="character" w:customStyle="1" w:styleId="5Char">
    <w:name w:val="样式5 Char"/>
    <w:link w:val="5f2"/>
    <w:qFormat/>
    <w:rPr>
      <w:rFonts w:ascii="Calibri" w:eastAsia="宋体" w:hAnsi="Calibri" w:cs="Times New Roman"/>
      <w:b/>
      <w:bCs/>
      <w:kern w:val="0"/>
      <w:sz w:val="30"/>
      <w:szCs w:val="30"/>
    </w:rPr>
  </w:style>
  <w:style w:type="character" w:customStyle="1" w:styleId="CharCharc">
    <w:name w:val="Char Char"/>
    <w:qFormat/>
    <w:rPr>
      <w:rFonts w:ascii="宋体" w:eastAsia="宋体" w:hAnsi="Courier New"/>
      <w:szCs w:val="21"/>
      <w:lang w:bidi="ar-SA"/>
    </w:rPr>
  </w:style>
  <w:style w:type="character" w:customStyle="1" w:styleId="6Char">
    <w:name w:val="样式6 Char"/>
    <w:link w:val="6"/>
    <w:qFormat/>
    <w:rPr>
      <w:rFonts w:ascii="Calibri" w:eastAsia="宋体" w:hAnsi="Calibri" w:cs="Times New Roman"/>
      <w:b/>
      <w:bCs/>
      <w:kern w:val="0"/>
      <w:sz w:val="30"/>
      <w:szCs w:val="30"/>
    </w:rPr>
  </w:style>
  <w:style w:type="character" w:customStyle="1" w:styleId="7Char">
    <w:name w:val="样式7 Char"/>
    <w:link w:val="7"/>
    <w:qFormat/>
    <w:rPr>
      <w:rFonts w:ascii="Calibri" w:eastAsia="宋体" w:hAnsi="Calibri" w:cs="Times New Roman"/>
      <w:b/>
      <w:bCs/>
      <w:kern w:val="0"/>
      <w:sz w:val="30"/>
      <w:szCs w:val="30"/>
    </w:rPr>
  </w:style>
  <w:style w:type="character" w:customStyle="1" w:styleId="8Char">
    <w:name w:val="样式8 Char"/>
    <w:link w:val="8"/>
    <w:qFormat/>
    <w:rPr>
      <w:rFonts w:ascii="Calibri" w:eastAsia="宋体" w:hAnsi="Calibri" w:cs="Times New Roman"/>
      <w:b/>
      <w:bCs/>
      <w:kern w:val="0"/>
      <w:sz w:val="30"/>
      <w:szCs w:val="30"/>
    </w:rPr>
  </w:style>
  <w:style w:type="character" w:customStyle="1" w:styleId="9Char">
    <w:name w:val="样式9 Char"/>
    <w:link w:val="9"/>
    <w:qFormat/>
    <w:rPr>
      <w:rFonts w:ascii="Calibri Light" w:eastAsia="宋体" w:hAnsi="Calibri Light" w:cs="Times New Roman"/>
      <w:b/>
      <w:bCs/>
      <w:kern w:val="0"/>
      <w:sz w:val="32"/>
      <w:szCs w:val="32"/>
    </w:rPr>
  </w:style>
  <w:style w:type="character" w:customStyle="1" w:styleId="10Char">
    <w:name w:val="样式10 Char"/>
    <w:link w:val="10"/>
    <w:qFormat/>
    <w:rPr>
      <w:rFonts w:ascii="Calibri Light" w:eastAsia="宋体" w:hAnsi="Calibri Light" w:cs="Times New Roman"/>
      <w:b/>
      <w:bCs/>
      <w:kern w:val="0"/>
      <w:sz w:val="32"/>
      <w:szCs w:val="32"/>
    </w:rPr>
  </w:style>
  <w:style w:type="character" w:customStyle="1" w:styleId="11Char">
    <w:name w:val="样式11 Char"/>
    <w:link w:val="11"/>
    <w:qFormat/>
    <w:rPr>
      <w:rFonts w:ascii="Calibri Light" w:eastAsia="宋体" w:hAnsi="Calibri Light" w:cs="Times New Roman"/>
      <w:b/>
      <w:bCs/>
      <w:kern w:val="0"/>
      <w:sz w:val="32"/>
      <w:szCs w:val="32"/>
    </w:rPr>
  </w:style>
  <w:style w:type="character" w:customStyle="1" w:styleId="Char3">
    <w:name w:val="图表标题 Char"/>
    <w:link w:val="afffff7"/>
    <w:qFormat/>
    <w:rPr>
      <w:rFonts w:ascii="Arial" w:eastAsia="黑体" w:hAnsi="Arial" w:cs="Times New Roman"/>
      <w:kern w:val="0"/>
      <w:sz w:val="24"/>
      <w:szCs w:val="24"/>
    </w:rPr>
  </w:style>
  <w:style w:type="character" w:customStyle="1" w:styleId="12Char">
    <w:name w:val="样式12 Char"/>
    <w:link w:val="12"/>
    <w:qFormat/>
    <w:rPr>
      <w:rFonts w:ascii="Calibri" w:eastAsia="宋体" w:hAnsi="Calibri" w:cs="Times New Roman"/>
      <w:b/>
      <w:bCs/>
      <w:kern w:val="0"/>
      <w:sz w:val="30"/>
      <w:szCs w:val="30"/>
    </w:rPr>
  </w:style>
  <w:style w:type="character" w:customStyle="1" w:styleId="13Char0">
    <w:name w:val="样式13 Char"/>
    <w:link w:val="13"/>
    <w:qFormat/>
    <w:rPr>
      <w:rFonts w:ascii="Calibri" w:eastAsia="宋体" w:hAnsi="Calibri" w:cs="Times New Roman"/>
      <w:b/>
      <w:bCs/>
      <w:kern w:val="0"/>
      <w:sz w:val="30"/>
      <w:szCs w:val="30"/>
    </w:rPr>
  </w:style>
  <w:style w:type="character" w:customStyle="1" w:styleId="14Char">
    <w:name w:val="样式14 Char"/>
    <w:link w:val="14"/>
    <w:qFormat/>
    <w:rPr>
      <w:rFonts w:ascii="Calibri Light" w:eastAsia="宋体" w:hAnsi="Calibri Light" w:cs="Times New Roman"/>
      <w:b/>
      <w:bCs/>
      <w:kern w:val="0"/>
      <w:sz w:val="32"/>
      <w:szCs w:val="32"/>
    </w:rPr>
  </w:style>
  <w:style w:type="character" w:customStyle="1" w:styleId="15Char">
    <w:name w:val="样式15 Char"/>
    <w:link w:val="15"/>
    <w:qFormat/>
    <w:rPr>
      <w:rFonts w:ascii="Calibri" w:eastAsia="宋体" w:hAnsi="Calibri" w:cs="Times New Roman"/>
      <w:b/>
      <w:bCs/>
      <w:kern w:val="0"/>
      <w:sz w:val="30"/>
      <w:szCs w:val="30"/>
    </w:rPr>
  </w:style>
  <w:style w:type="character" w:customStyle="1" w:styleId="16Char">
    <w:name w:val="样式16 Char"/>
    <w:link w:val="16"/>
    <w:qFormat/>
    <w:rPr>
      <w:rFonts w:ascii="Calibri Light" w:eastAsia="宋体" w:hAnsi="Calibri Light" w:cs="Times New Roman"/>
      <w:b/>
      <w:bCs/>
      <w:kern w:val="0"/>
      <w:sz w:val="32"/>
      <w:szCs w:val="32"/>
    </w:rPr>
  </w:style>
  <w:style w:type="character" w:customStyle="1" w:styleId="17Char">
    <w:name w:val="样式17 Char"/>
    <w:link w:val="17"/>
    <w:qFormat/>
    <w:rPr>
      <w:rFonts w:ascii="Times New Roman" w:eastAsia="宋体" w:hAnsi="Times New Roman" w:cs="Times New Roman"/>
      <w:kern w:val="0"/>
      <w:sz w:val="24"/>
      <w:szCs w:val="24"/>
    </w:rPr>
  </w:style>
  <w:style w:type="character" w:customStyle="1" w:styleId="18Char">
    <w:name w:val="样式18 Char"/>
    <w:link w:val="18"/>
    <w:qFormat/>
    <w:rPr>
      <w:rFonts w:ascii="Calibri" w:eastAsia="宋体" w:hAnsi="Calibri" w:cs="Times New Roman"/>
      <w:b/>
      <w:bCs/>
      <w:kern w:val="0"/>
      <w:sz w:val="30"/>
      <w:szCs w:val="30"/>
    </w:rPr>
  </w:style>
  <w:style w:type="character" w:customStyle="1" w:styleId="CharChard">
    <w:name w:val="表格 Char Char"/>
    <w:qFormat/>
    <w:rPr>
      <w:rFonts w:ascii="Arial" w:eastAsia="宋体" w:hAnsi="Arial" w:cs="Times New Roman"/>
    </w:rPr>
  </w:style>
  <w:style w:type="character" w:customStyle="1" w:styleId="19Char">
    <w:name w:val="样式19 Char"/>
    <w:link w:val="19"/>
    <w:qFormat/>
    <w:rPr>
      <w:rFonts w:ascii="Calibri" w:eastAsia="宋体" w:hAnsi="Calibri" w:cs="Times New Roman"/>
      <w:b/>
      <w:bCs/>
      <w:kern w:val="0"/>
      <w:sz w:val="30"/>
      <w:szCs w:val="30"/>
    </w:rPr>
  </w:style>
  <w:style w:type="character" w:customStyle="1" w:styleId="20Char">
    <w:name w:val="样式20 Char"/>
    <w:link w:val="20"/>
    <w:qFormat/>
    <w:rPr>
      <w:rFonts w:ascii="Times New Roman" w:eastAsia="宋体" w:hAnsi="Times New Roman" w:cs="Times New Roman"/>
      <w:b/>
      <w:bCs/>
      <w:kern w:val="0"/>
      <w:sz w:val="30"/>
      <w:szCs w:val="30"/>
    </w:rPr>
  </w:style>
  <w:style w:type="character" w:customStyle="1" w:styleId="Char24">
    <w:name w:val="表头 Char2"/>
    <w:qFormat/>
    <w:rPr>
      <w:rFonts w:ascii="Arial" w:eastAsia="黑体" w:hAnsi="Arial"/>
      <w:bCs/>
      <w:color w:val="00B050"/>
      <w:kern w:val="2"/>
      <w:sz w:val="21"/>
      <w:szCs w:val="28"/>
      <w:lang w:val="en-US" w:eastAsia="zh-CN" w:bidi="ar-SA"/>
    </w:rPr>
  </w:style>
  <w:style w:type="character" w:customStyle="1" w:styleId="21Char">
    <w:name w:val="样式21 Char"/>
    <w:link w:val="21"/>
    <w:qFormat/>
    <w:rPr>
      <w:rFonts w:ascii="Times New Roman" w:eastAsia="宋体" w:hAnsi="Times New Roman" w:cs="Times New Roman"/>
      <w:b/>
      <w:bCs/>
      <w:kern w:val="0"/>
      <w:sz w:val="30"/>
      <w:szCs w:val="30"/>
    </w:rPr>
  </w:style>
  <w:style w:type="character" w:customStyle="1" w:styleId="22Char">
    <w:name w:val="样式22 Char"/>
    <w:link w:val="22"/>
    <w:qFormat/>
    <w:rPr>
      <w:rFonts w:ascii="Times New Roman" w:eastAsia="宋体" w:hAnsi="Times New Roman" w:cs="Times New Roman"/>
      <w:kern w:val="0"/>
      <w:sz w:val="24"/>
      <w:szCs w:val="24"/>
    </w:rPr>
  </w:style>
  <w:style w:type="character" w:customStyle="1" w:styleId="23Char">
    <w:name w:val="样式23 Char"/>
    <w:link w:val="23"/>
    <w:qFormat/>
    <w:rPr>
      <w:rFonts w:ascii="Times New Roman" w:eastAsia="宋体" w:hAnsi="Times New Roman" w:cs="Times New Roman"/>
      <w:b/>
      <w:bCs/>
      <w:kern w:val="0"/>
      <w:sz w:val="30"/>
      <w:szCs w:val="30"/>
    </w:rPr>
  </w:style>
  <w:style w:type="character" w:customStyle="1" w:styleId="24Char">
    <w:name w:val="样式24 Char"/>
    <w:link w:val="24"/>
    <w:qFormat/>
    <w:rPr>
      <w:rFonts w:ascii="Calibri" w:eastAsia="宋体" w:hAnsi="Calibri" w:cs="Times New Roman"/>
      <w:b/>
      <w:bCs/>
      <w:kern w:val="0"/>
      <w:sz w:val="30"/>
      <w:szCs w:val="30"/>
    </w:rPr>
  </w:style>
  <w:style w:type="character" w:customStyle="1" w:styleId="Charfffffb">
    <w:name w:val="批注文字 Char"/>
    <w:basedOn w:val="a3"/>
    <w:qFormat/>
    <w:rPr>
      <w:rFonts w:ascii="Calibri" w:eastAsia="宋体" w:hAnsi="Calibri" w:cs="Times New Roman"/>
    </w:rPr>
  </w:style>
  <w:style w:type="character" w:customStyle="1" w:styleId="af6">
    <w:name w:val="批注文字 字符"/>
    <w:link w:val="af5"/>
    <w:qFormat/>
    <w:rPr>
      <w:rFonts w:ascii="Calibri" w:eastAsia="宋体" w:hAnsi="Calibri" w:cs="Times New Roman"/>
      <w:kern w:val="0"/>
      <w:sz w:val="20"/>
      <w:szCs w:val="20"/>
    </w:rPr>
  </w:style>
  <w:style w:type="character" w:customStyle="1" w:styleId="afffd">
    <w:name w:val="批注主题 字符"/>
    <w:basedOn w:val="Charfffffb"/>
    <w:link w:val="afffc"/>
    <w:qFormat/>
    <w:rPr>
      <w:rFonts w:ascii="Calibri" w:eastAsia="宋体" w:hAnsi="Calibri" w:cs="Times New Roman"/>
      <w:b/>
      <w:bCs/>
      <w:kern w:val="0"/>
      <w:sz w:val="20"/>
      <w:szCs w:val="20"/>
    </w:rPr>
  </w:style>
  <w:style w:type="character" w:customStyle="1" w:styleId="Char25">
    <w:name w:val="批注框文本 Char2"/>
    <w:qFormat/>
    <w:rPr>
      <w:rFonts w:ascii="Calibri" w:eastAsia="宋体" w:hAnsi="Calibri"/>
      <w:sz w:val="18"/>
      <w:szCs w:val="18"/>
      <w:lang w:bidi="ar-SA"/>
    </w:rPr>
  </w:style>
  <w:style w:type="character" w:customStyle="1" w:styleId="25Char">
    <w:name w:val="样式25 Char"/>
    <w:link w:val="25"/>
    <w:qFormat/>
    <w:rPr>
      <w:rFonts w:ascii="Calibri" w:eastAsia="宋体" w:hAnsi="Calibri" w:cs="Times New Roman"/>
      <w:b/>
      <w:bCs/>
      <w:kern w:val="0"/>
      <w:sz w:val="30"/>
      <w:szCs w:val="30"/>
    </w:rPr>
  </w:style>
  <w:style w:type="character" w:customStyle="1" w:styleId="26Char">
    <w:name w:val="样式26 Char"/>
    <w:link w:val="26"/>
    <w:qFormat/>
    <w:rPr>
      <w:rFonts w:ascii="Calibri" w:eastAsia="宋体" w:hAnsi="Calibri" w:cs="Times New Roman"/>
      <w:b/>
      <w:bCs/>
      <w:kern w:val="0"/>
      <w:sz w:val="30"/>
      <w:szCs w:val="30"/>
    </w:rPr>
  </w:style>
  <w:style w:type="character" w:customStyle="1" w:styleId="27Char">
    <w:name w:val="样式27 Char"/>
    <w:link w:val="27"/>
    <w:qFormat/>
    <w:rPr>
      <w:rFonts w:ascii="Calibri" w:eastAsia="宋体" w:hAnsi="Calibri" w:cs="Times New Roman"/>
      <w:b/>
      <w:bCs/>
      <w:kern w:val="0"/>
      <w:sz w:val="30"/>
      <w:szCs w:val="30"/>
    </w:rPr>
  </w:style>
  <w:style w:type="character" w:customStyle="1" w:styleId="2f6">
    <w:name w:val="正文首行缩进 2 字符"/>
    <w:link w:val="2f5"/>
    <w:qFormat/>
    <w:rPr>
      <w:rFonts w:ascii="Times New Roman" w:eastAsia="宋体" w:hAnsi="Times New Roman" w:cs="Times New Roman"/>
      <w:kern w:val="0"/>
      <w:sz w:val="20"/>
      <w:szCs w:val="24"/>
    </w:rPr>
  </w:style>
  <w:style w:type="character" w:customStyle="1" w:styleId="afe">
    <w:name w:val="正文文本缩进 字符"/>
    <w:link w:val="afd"/>
    <w:qFormat/>
    <w:rPr>
      <w:rFonts w:ascii="Times New Roman" w:eastAsia="宋体" w:hAnsi="Times New Roman" w:cs="Times New Roman"/>
      <w:kern w:val="0"/>
      <w:sz w:val="20"/>
      <w:szCs w:val="24"/>
    </w:rPr>
  </w:style>
  <w:style w:type="character" w:customStyle="1" w:styleId="2Char10">
    <w:name w:val="正文首行缩进 2 Char1"/>
    <w:qFormat/>
    <w:rPr>
      <w:rFonts w:ascii="Calibri" w:eastAsia="宋体" w:hAnsi="Calibri" w:cs="Times New Roman"/>
      <w:kern w:val="0"/>
      <w:sz w:val="20"/>
      <w:szCs w:val="20"/>
    </w:rPr>
  </w:style>
  <w:style w:type="character" w:customStyle="1" w:styleId="28Char">
    <w:name w:val="样式28 Char"/>
    <w:link w:val="28"/>
    <w:qFormat/>
    <w:rPr>
      <w:rFonts w:ascii="Calibri" w:eastAsia="宋体" w:hAnsi="Calibri" w:cs="Times New Roman"/>
      <w:b/>
      <w:bCs/>
      <w:kern w:val="0"/>
      <w:sz w:val="30"/>
      <w:szCs w:val="30"/>
    </w:rPr>
  </w:style>
  <w:style w:type="character" w:customStyle="1" w:styleId="29Char">
    <w:name w:val="样式29 Char"/>
    <w:link w:val="29"/>
    <w:qFormat/>
    <w:rPr>
      <w:rFonts w:ascii="Calibri" w:eastAsia="宋体" w:hAnsi="Calibri" w:cs="Times New Roman"/>
      <w:b/>
      <w:bCs/>
      <w:kern w:val="0"/>
      <w:sz w:val="30"/>
      <w:szCs w:val="30"/>
    </w:rPr>
  </w:style>
  <w:style w:type="character" w:customStyle="1" w:styleId="215Char">
    <w:name w:val="标准文本 首行缩进:2 字符 行距1.5倍 Char"/>
    <w:link w:val="215"/>
    <w:qFormat/>
    <w:rPr>
      <w:rFonts w:ascii="Times New Roman" w:eastAsia="宋体" w:hAnsi="宋体" w:cs="Times New Roman"/>
      <w:bCs/>
      <w:kern w:val="0"/>
      <w:sz w:val="24"/>
      <w:szCs w:val="24"/>
      <w:lang w:val="zh-CN"/>
    </w:rPr>
  </w:style>
  <w:style w:type="character" w:customStyle="1" w:styleId="30Char">
    <w:name w:val="样式30 Char"/>
    <w:link w:val="300"/>
    <w:qFormat/>
    <w:rPr>
      <w:rFonts w:ascii="Calibri" w:eastAsia="宋体" w:hAnsi="Calibri" w:cs="Times New Roman"/>
      <w:b/>
      <w:bCs/>
      <w:kern w:val="0"/>
      <w:sz w:val="30"/>
      <w:szCs w:val="30"/>
    </w:rPr>
  </w:style>
  <w:style w:type="character" w:customStyle="1" w:styleId="2Char1">
    <w:name w:val="样式 报告书正文 + 首行缩进:  2 字符 Char1"/>
    <w:link w:val="2ff1"/>
    <w:qFormat/>
    <w:rPr>
      <w:rFonts w:ascii="宋体" w:eastAsia="宋体" w:hAnsi="宋体" w:cs="Times New Roman"/>
      <w:spacing w:val="2"/>
      <w:kern w:val="0"/>
      <w:sz w:val="24"/>
      <w:szCs w:val="24"/>
    </w:rPr>
  </w:style>
  <w:style w:type="character" w:customStyle="1" w:styleId="Char1a">
    <w:name w:val="纯文本 Char1"/>
    <w:qFormat/>
    <w:rPr>
      <w:rFonts w:ascii="宋体" w:eastAsia="仿宋_GB2312" w:hAnsi="Courier New"/>
      <w:kern w:val="2"/>
      <w:sz w:val="28"/>
      <w:lang w:val="en-US" w:eastAsia="zh-CN" w:bidi="ar-SA"/>
    </w:rPr>
  </w:style>
  <w:style w:type="character" w:customStyle="1" w:styleId="CharChar0">
    <w:name w:val="金光华文本正文 Char Char"/>
    <w:link w:val="afffffc"/>
    <w:qFormat/>
    <w:rPr>
      <w:rFonts w:ascii="宋体" w:eastAsia="宋体" w:hAnsi="宋体"/>
      <w:sz w:val="24"/>
      <w:szCs w:val="24"/>
    </w:rPr>
  </w:style>
  <w:style w:type="character" w:customStyle="1" w:styleId="2CharChar1">
    <w:name w:val="正文首行缩进 2 Char Char"/>
    <w:qFormat/>
    <w:rPr>
      <w:rFonts w:eastAsia="宋体"/>
      <w:kern w:val="2"/>
      <w:sz w:val="26"/>
      <w:szCs w:val="24"/>
      <w:lang w:val="en-US" w:eastAsia="zh-CN" w:bidi="ar-SA"/>
    </w:rPr>
  </w:style>
  <w:style w:type="character" w:customStyle="1" w:styleId="31Char">
    <w:name w:val="样式31 Char"/>
    <w:link w:val="310"/>
    <w:qFormat/>
    <w:rPr>
      <w:rFonts w:ascii="Times New Roman" w:eastAsia="宋体" w:hAnsi="Times New Roman" w:cs="Times New Roman"/>
      <w:b/>
      <w:bCs/>
      <w:kern w:val="0"/>
      <w:sz w:val="32"/>
      <w:szCs w:val="32"/>
    </w:rPr>
  </w:style>
  <w:style w:type="character" w:customStyle="1" w:styleId="32Char">
    <w:name w:val="样式32 Char"/>
    <w:link w:val="32"/>
    <w:qFormat/>
    <w:rPr>
      <w:rFonts w:ascii="Times New Roman" w:eastAsia="宋体" w:hAnsi="Times New Roman" w:cs="Times New Roman"/>
      <w:b/>
      <w:bCs/>
      <w:kern w:val="0"/>
      <w:sz w:val="30"/>
      <w:szCs w:val="30"/>
    </w:rPr>
  </w:style>
  <w:style w:type="character" w:customStyle="1" w:styleId="33Char">
    <w:name w:val="样式33 Char"/>
    <w:link w:val="330"/>
    <w:qFormat/>
    <w:rPr>
      <w:rFonts w:ascii="Times New Roman" w:eastAsia="宋体" w:hAnsi="Times New Roman" w:cs="Times New Roman"/>
      <w:b/>
      <w:bCs/>
      <w:kern w:val="0"/>
      <w:sz w:val="32"/>
      <w:szCs w:val="32"/>
    </w:rPr>
  </w:style>
  <w:style w:type="character" w:customStyle="1" w:styleId="34Char">
    <w:name w:val="样式34 Char"/>
    <w:link w:val="34"/>
    <w:qFormat/>
    <w:rPr>
      <w:rFonts w:ascii="Times New Roman" w:eastAsia="宋体" w:hAnsi="Times New Roman" w:cs="Times New Roman"/>
      <w:b/>
      <w:bCs/>
      <w:kern w:val="0"/>
      <w:sz w:val="30"/>
      <w:szCs w:val="30"/>
    </w:rPr>
  </w:style>
  <w:style w:type="character" w:customStyle="1" w:styleId="35Char">
    <w:name w:val="样式35 Char"/>
    <w:link w:val="35"/>
    <w:qFormat/>
    <w:rPr>
      <w:rFonts w:ascii="Times New Roman" w:eastAsia="宋体" w:hAnsi="Times New Roman" w:cs="Times New Roman"/>
      <w:b/>
      <w:bCs/>
      <w:kern w:val="0"/>
      <w:sz w:val="30"/>
      <w:szCs w:val="30"/>
    </w:rPr>
  </w:style>
  <w:style w:type="character" w:customStyle="1" w:styleId="36Char">
    <w:name w:val="样式36 Char"/>
    <w:link w:val="36"/>
    <w:qFormat/>
    <w:rPr>
      <w:rFonts w:ascii="Times New Roman" w:eastAsia="宋体" w:hAnsi="Times New Roman" w:cs="Times New Roman"/>
      <w:b/>
      <w:bCs/>
      <w:kern w:val="0"/>
      <w:sz w:val="30"/>
      <w:szCs w:val="30"/>
    </w:rPr>
  </w:style>
  <w:style w:type="character" w:customStyle="1" w:styleId="37Char">
    <w:name w:val="样式37 Char"/>
    <w:link w:val="37"/>
    <w:qFormat/>
    <w:rPr>
      <w:rFonts w:ascii="Times New Roman" w:eastAsia="宋体" w:hAnsi="Times New Roman" w:cs="Times New Roman"/>
      <w:b/>
      <w:bCs/>
      <w:kern w:val="0"/>
      <w:sz w:val="32"/>
      <w:szCs w:val="32"/>
    </w:rPr>
  </w:style>
  <w:style w:type="character" w:customStyle="1" w:styleId="38Char">
    <w:name w:val="样式38 Char"/>
    <w:link w:val="38"/>
    <w:qFormat/>
    <w:rPr>
      <w:rFonts w:ascii="Calibri" w:eastAsia="宋体" w:hAnsi="Calibri" w:cs="Times New Roman"/>
      <w:b/>
      <w:bCs/>
      <w:kern w:val="0"/>
      <w:sz w:val="30"/>
      <w:szCs w:val="30"/>
    </w:rPr>
  </w:style>
  <w:style w:type="character" w:customStyle="1" w:styleId="39Char">
    <w:name w:val="样式39 Char"/>
    <w:link w:val="39"/>
    <w:qFormat/>
    <w:rPr>
      <w:rFonts w:ascii="Times New Roman" w:eastAsia="宋体" w:hAnsi="Times New Roman" w:cs="Times New Roman"/>
      <w:b/>
      <w:bCs/>
      <w:kern w:val="0"/>
      <w:sz w:val="30"/>
      <w:szCs w:val="30"/>
    </w:rPr>
  </w:style>
  <w:style w:type="character" w:customStyle="1" w:styleId="40Char">
    <w:name w:val="样式40 Char"/>
    <w:link w:val="400"/>
    <w:qFormat/>
    <w:rPr>
      <w:rFonts w:ascii="Times New Roman" w:eastAsia="宋体" w:hAnsi="Times New Roman" w:cs="Times New Roman"/>
      <w:b/>
      <w:bCs/>
      <w:kern w:val="0"/>
      <w:sz w:val="30"/>
      <w:szCs w:val="30"/>
    </w:rPr>
  </w:style>
  <w:style w:type="character" w:customStyle="1" w:styleId="41Char">
    <w:name w:val="样式41 Char"/>
    <w:link w:val="41"/>
    <w:qFormat/>
    <w:rPr>
      <w:rFonts w:ascii="Times New Roman" w:eastAsia="宋体" w:hAnsi="Times New Roman" w:cs="Times New Roman"/>
      <w:b/>
      <w:bCs/>
      <w:kern w:val="0"/>
      <w:sz w:val="30"/>
      <w:szCs w:val="30"/>
    </w:rPr>
  </w:style>
  <w:style w:type="character" w:customStyle="1" w:styleId="42Char">
    <w:name w:val="样式42 Char"/>
    <w:link w:val="42"/>
    <w:qFormat/>
    <w:rPr>
      <w:rFonts w:ascii="Times New Roman" w:eastAsia="宋体" w:hAnsi="Times New Roman" w:cs="Times New Roman"/>
      <w:b/>
      <w:bCs/>
      <w:kern w:val="0"/>
      <w:sz w:val="30"/>
      <w:szCs w:val="30"/>
    </w:rPr>
  </w:style>
  <w:style w:type="character" w:customStyle="1" w:styleId="43Char">
    <w:name w:val="样式43 Char"/>
    <w:link w:val="43"/>
    <w:qFormat/>
    <w:rPr>
      <w:rFonts w:ascii="Times New Roman" w:eastAsia="宋体" w:hAnsi="Times New Roman" w:cs="Times New Roman"/>
      <w:b/>
      <w:bCs/>
      <w:kern w:val="0"/>
      <w:sz w:val="30"/>
      <w:szCs w:val="30"/>
    </w:rPr>
  </w:style>
  <w:style w:type="character" w:customStyle="1" w:styleId="44Char">
    <w:name w:val="样式44 Char"/>
    <w:link w:val="44"/>
    <w:qFormat/>
    <w:rPr>
      <w:rFonts w:ascii="Times New Roman" w:eastAsia="宋体" w:hAnsi="Times New Roman" w:cs="Times New Roman"/>
      <w:b/>
      <w:bCs/>
      <w:kern w:val="0"/>
      <w:sz w:val="30"/>
      <w:szCs w:val="30"/>
    </w:rPr>
  </w:style>
  <w:style w:type="character" w:customStyle="1" w:styleId="45Char">
    <w:name w:val="样式45 Char"/>
    <w:link w:val="450"/>
    <w:qFormat/>
    <w:rPr>
      <w:rFonts w:ascii="Times New Roman" w:eastAsia="宋体" w:hAnsi="Times New Roman" w:cs="Times New Roman"/>
      <w:b/>
      <w:bCs/>
      <w:kern w:val="0"/>
      <w:sz w:val="30"/>
      <w:szCs w:val="30"/>
    </w:rPr>
  </w:style>
  <w:style w:type="character" w:customStyle="1" w:styleId="46Char">
    <w:name w:val="样式46 Char"/>
    <w:link w:val="46"/>
    <w:qFormat/>
    <w:rPr>
      <w:rFonts w:ascii="Times New Roman" w:eastAsia="宋体" w:hAnsi="Times New Roman" w:cs="Times New Roman"/>
      <w:b/>
      <w:bCs/>
      <w:kern w:val="0"/>
      <w:sz w:val="32"/>
      <w:szCs w:val="32"/>
    </w:rPr>
  </w:style>
  <w:style w:type="character" w:customStyle="1" w:styleId="47Char">
    <w:name w:val="样式47 Char"/>
    <w:link w:val="47"/>
    <w:qFormat/>
    <w:rPr>
      <w:rFonts w:ascii="Times New Roman" w:eastAsia="宋体" w:hAnsi="Times New Roman" w:cs="Times New Roman"/>
      <w:b/>
      <w:bCs/>
      <w:kern w:val="0"/>
      <w:sz w:val="30"/>
      <w:szCs w:val="30"/>
    </w:rPr>
  </w:style>
  <w:style w:type="character" w:customStyle="1" w:styleId="48Char">
    <w:name w:val="样式48 Char"/>
    <w:link w:val="48"/>
    <w:qFormat/>
    <w:rPr>
      <w:rFonts w:ascii="Times New Roman" w:eastAsia="宋体" w:hAnsi="Times New Roman" w:cs="Times New Roman"/>
      <w:b/>
      <w:bCs/>
      <w:kern w:val="0"/>
      <w:sz w:val="30"/>
      <w:szCs w:val="30"/>
    </w:rPr>
  </w:style>
  <w:style w:type="character" w:customStyle="1" w:styleId="49Char">
    <w:name w:val="样式49 Char"/>
    <w:link w:val="49"/>
    <w:qFormat/>
    <w:rPr>
      <w:rFonts w:ascii="Calibri Light" w:eastAsia="宋体" w:hAnsi="Calibri Light" w:cs="Times New Roman"/>
      <w:b/>
      <w:bCs/>
      <w:kern w:val="0"/>
      <w:sz w:val="32"/>
      <w:szCs w:val="32"/>
    </w:rPr>
  </w:style>
  <w:style w:type="character" w:customStyle="1" w:styleId="50Char">
    <w:name w:val="样式50 Char"/>
    <w:link w:val="500"/>
    <w:qFormat/>
    <w:rPr>
      <w:rFonts w:ascii="Calibri Light" w:eastAsia="宋体" w:hAnsi="Calibri Light" w:cs="Times New Roman"/>
      <w:b/>
      <w:bCs/>
      <w:kern w:val="0"/>
      <w:sz w:val="32"/>
      <w:szCs w:val="32"/>
    </w:rPr>
  </w:style>
  <w:style w:type="character" w:customStyle="1" w:styleId="51Char">
    <w:name w:val="样式51 Char"/>
    <w:link w:val="51"/>
    <w:qFormat/>
    <w:rPr>
      <w:rFonts w:ascii="Times New Roman" w:eastAsia="宋体" w:hAnsi="Times New Roman" w:cs="Times New Roman"/>
      <w:b/>
      <w:bCs/>
      <w:kern w:val="0"/>
      <w:sz w:val="30"/>
      <w:szCs w:val="30"/>
    </w:rPr>
  </w:style>
  <w:style w:type="character" w:customStyle="1" w:styleId="52Char">
    <w:name w:val="样式52 Char"/>
    <w:link w:val="52"/>
    <w:qFormat/>
    <w:rPr>
      <w:rFonts w:ascii="Calibri Light" w:eastAsia="宋体" w:hAnsi="Calibri Light" w:cs="Times New Roman"/>
      <w:b/>
      <w:bCs/>
      <w:kern w:val="0"/>
      <w:sz w:val="32"/>
      <w:szCs w:val="32"/>
    </w:rPr>
  </w:style>
  <w:style w:type="character" w:customStyle="1" w:styleId="53Char">
    <w:name w:val="样式53 Char"/>
    <w:link w:val="53"/>
    <w:qFormat/>
    <w:rPr>
      <w:rFonts w:ascii="Calibri Light" w:eastAsia="宋体" w:hAnsi="Calibri Light" w:cs="Times New Roman"/>
      <w:b/>
      <w:bCs/>
      <w:kern w:val="0"/>
      <w:sz w:val="32"/>
      <w:szCs w:val="32"/>
    </w:rPr>
  </w:style>
  <w:style w:type="character" w:customStyle="1" w:styleId="54Char">
    <w:name w:val="样式54 Char"/>
    <w:link w:val="54"/>
    <w:qFormat/>
    <w:rPr>
      <w:rFonts w:ascii="Times New Roman" w:eastAsia="宋体" w:hAnsi="Times New Roman" w:cs="Times New Roman"/>
      <w:b/>
      <w:bCs/>
      <w:kern w:val="0"/>
      <w:sz w:val="32"/>
      <w:szCs w:val="32"/>
    </w:rPr>
  </w:style>
  <w:style w:type="character" w:customStyle="1" w:styleId="55Char">
    <w:name w:val="样式55 Char"/>
    <w:link w:val="55"/>
    <w:qFormat/>
    <w:rPr>
      <w:rFonts w:ascii="Times New Roman" w:eastAsia="宋体" w:hAnsi="Times New Roman" w:cs="Times New Roman"/>
      <w:b/>
      <w:bCs/>
      <w:kern w:val="0"/>
      <w:sz w:val="30"/>
      <w:szCs w:val="30"/>
    </w:rPr>
  </w:style>
  <w:style w:type="character" w:customStyle="1" w:styleId="56Char">
    <w:name w:val="样式56 Char"/>
    <w:link w:val="56"/>
    <w:qFormat/>
    <w:rPr>
      <w:rFonts w:ascii="Times New Roman" w:eastAsia="宋体" w:hAnsi="Times New Roman" w:cs="Times New Roman"/>
      <w:b/>
      <w:bCs/>
      <w:kern w:val="0"/>
      <w:sz w:val="32"/>
      <w:szCs w:val="32"/>
    </w:rPr>
  </w:style>
  <w:style w:type="character" w:customStyle="1" w:styleId="57Char">
    <w:name w:val="样式57 Char"/>
    <w:link w:val="57"/>
    <w:qFormat/>
    <w:rPr>
      <w:rFonts w:ascii="Times New Roman" w:eastAsia="宋体" w:hAnsi="Times New Roman" w:cs="Times New Roman"/>
      <w:b/>
      <w:bCs/>
      <w:kern w:val="0"/>
      <w:sz w:val="30"/>
      <w:szCs w:val="30"/>
    </w:rPr>
  </w:style>
  <w:style w:type="character" w:customStyle="1" w:styleId="2f2">
    <w:name w:val="正文文本 2 字符"/>
    <w:basedOn w:val="a3"/>
    <w:link w:val="2f1"/>
    <w:qFormat/>
    <w:rPr>
      <w:rFonts w:ascii="Calibri" w:eastAsia="宋体" w:hAnsi="Calibri" w:cs="Times New Roman"/>
      <w:kern w:val="0"/>
      <w:sz w:val="20"/>
      <w:szCs w:val="20"/>
    </w:rPr>
  </w:style>
  <w:style w:type="character" w:customStyle="1" w:styleId="58Char">
    <w:name w:val="样式58 Char"/>
    <w:link w:val="58"/>
    <w:qFormat/>
    <w:rPr>
      <w:rFonts w:ascii="Times New Roman" w:eastAsia="宋体" w:hAnsi="Times New Roman" w:cs="Times New Roman"/>
      <w:b/>
      <w:bCs/>
      <w:kern w:val="0"/>
      <w:sz w:val="30"/>
      <w:szCs w:val="30"/>
    </w:rPr>
  </w:style>
  <w:style w:type="character" w:customStyle="1" w:styleId="59Char">
    <w:name w:val="样式59 Char"/>
    <w:link w:val="59"/>
    <w:qFormat/>
    <w:rPr>
      <w:rFonts w:ascii="Times New Roman" w:eastAsia="宋体" w:hAnsi="Times New Roman" w:cs="Times New Roman"/>
      <w:b/>
      <w:bCs/>
      <w:kern w:val="44"/>
      <w:sz w:val="44"/>
      <w:szCs w:val="44"/>
    </w:rPr>
  </w:style>
  <w:style w:type="character" w:customStyle="1" w:styleId="61Char">
    <w:name w:val="样式61 Char"/>
    <w:link w:val="610"/>
    <w:qFormat/>
    <w:rPr>
      <w:rFonts w:ascii="Times New Roman" w:eastAsia="宋体" w:hAnsi="Times New Roman" w:cs="Times New Roman"/>
      <w:b/>
      <w:bCs/>
      <w:kern w:val="0"/>
      <w:sz w:val="30"/>
      <w:szCs w:val="30"/>
    </w:rPr>
  </w:style>
  <w:style w:type="character" w:customStyle="1" w:styleId="62Char">
    <w:name w:val="样式62 Char"/>
    <w:link w:val="62"/>
    <w:qFormat/>
    <w:rPr>
      <w:rFonts w:ascii="Times New Roman" w:eastAsia="宋体" w:hAnsi="Times New Roman" w:cs="Times New Roman"/>
      <w:b/>
      <w:bCs/>
      <w:kern w:val="0"/>
      <w:sz w:val="30"/>
      <w:szCs w:val="30"/>
    </w:rPr>
  </w:style>
  <w:style w:type="character" w:customStyle="1" w:styleId="64Char">
    <w:name w:val="样式64 Char"/>
    <w:link w:val="64"/>
    <w:qFormat/>
    <w:rPr>
      <w:rFonts w:ascii="Times New Roman" w:eastAsia="宋体" w:hAnsi="Times New Roman" w:cs="Times New Roman"/>
      <w:b/>
      <w:bCs/>
      <w:kern w:val="0"/>
      <w:sz w:val="30"/>
      <w:szCs w:val="30"/>
    </w:rPr>
  </w:style>
  <w:style w:type="character" w:customStyle="1" w:styleId="65Char">
    <w:name w:val="样式65 Char"/>
    <w:link w:val="65"/>
    <w:qFormat/>
    <w:rPr>
      <w:rFonts w:ascii="Times New Roman" w:eastAsia="宋体" w:hAnsi="Times New Roman" w:cs="Times New Roman"/>
      <w:b/>
      <w:bCs/>
      <w:kern w:val="0"/>
      <w:sz w:val="30"/>
      <w:szCs w:val="30"/>
    </w:rPr>
  </w:style>
  <w:style w:type="character" w:customStyle="1" w:styleId="66Char">
    <w:name w:val="样式66 Char"/>
    <w:link w:val="66"/>
    <w:qFormat/>
    <w:rPr>
      <w:rFonts w:ascii="Times New Roman" w:eastAsia="宋体" w:hAnsi="Times New Roman" w:cs="Times New Roman"/>
      <w:b/>
      <w:bCs/>
      <w:kern w:val="0"/>
      <w:sz w:val="30"/>
      <w:szCs w:val="30"/>
    </w:rPr>
  </w:style>
  <w:style w:type="character" w:customStyle="1" w:styleId="67Char">
    <w:name w:val="样式67 Char"/>
    <w:link w:val="67"/>
    <w:qFormat/>
    <w:rPr>
      <w:rFonts w:ascii="Times New Roman" w:eastAsia="宋体" w:hAnsi="Times New Roman" w:cs="Times New Roman"/>
      <w:b/>
      <w:bCs/>
      <w:kern w:val="0"/>
      <w:sz w:val="30"/>
      <w:szCs w:val="30"/>
    </w:rPr>
  </w:style>
  <w:style w:type="character" w:customStyle="1" w:styleId="68Char">
    <w:name w:val="样式68 Char"/>
    <w:link w:val="68"/>
    <w:qFormat/>
    <w:rPr>
      <w:rFonts w:ascii="Calibri" w:eastAsia="宋体" w:hAnsi="Calibri" w:cs="Times New Roman"/>
      <w:b/>
      <w:bCs/>
      <w:kern w:val="0"/>
      <w:sz w:val="30"/>
      <w:szCs w:val="30"/>
    </w:rPr>
  </w:style>
  <w:style w:type="character" w:customStyle="1" w:styleId="69Char">
    <w:name w:val="样式69 Char"/>
    <w:link w:val="69"/>
    <w:qFormat/>
    <w:rPr>
      <w:rFonts w:ascii="Times New Roman" w:eastAsia="宋体" w:hAnsi="Times New Roman" w:cs="Times New Roman"/>
      <w:b/>
      <w:bCs/>
      <w:kern w:val="0"/>
      <w:sz w:val="30"/>
      <w:szCs w:val="30"/>
    </w:rPr>
  </w:style>
  <w:style w:type="character" w:customStyle="1" w:styleId="70Char">
    <w:name w:val="样式70 Char"/>
    <w:link w:val="70"/>
    <w:qFormat/>
    <w:rPr>
      <w:rFonts w:ascii="Times New Roman" w:eastAsia="宋体" w:hAnsi="Times New Roman" w:cs="Times New Roman"/>
      <w:b/>
      <w:bCs/>
      <w:kern w:val="0"/>
      <w:sz w:val="30"/>
      <w:szCs w:val="30"/>
    </w:rPr>
  </w:style>
  <w:style w:type="character" w:customStyle="1" w:styleId="71Char">
    <w:name w:val="样式71 Char"/>
    <w:link w:val="71"/>
    <w:qFormat/>
    <w:rPr>
      <w:rFonts w:ascii="Calibri" w:eastAsia="宋体" w:hAnsi="Calibri" w:cs="Times New Roman"/>
      <w:b/>
      <w:bCs/>
      <w:kern w:val="0"/>
      <w:sz w:val="30"/>
      <w:szCs w:val="30"/>
    </w:rPr>
  </w:style>
  <w:style w:type="character" w:customStyle="1" w:styleId="72Char">
    <w:name w:val="样式72 Char"/>
    <w:link w:val="72"/>
    <w:qFormat/>
    <w:rPr>
      <w:rFonts w:ascii="Times New Roman" w:eastAsia="宋体" w:hAnsi="Times New Roman" w:cs="Times New Roman"/>
      <w:b/>
      <w:bCs/>
      <w:kern w:val="0"/>
      <w:sz w:val="30"/>
      <w:szCs w:val="30"/>
    </w:rPr>
  </w:style>
  <w:style w:type="character" w:customStyle="1" w:styleId="73Char">
    <w:name w:val="样式73 Char"/>
    <w:link w:val="73"/>
    <w:qFormat/>
    <w:rPr>
      <w:rFonts w:ascii="Times New Roman" w:eastAsia="宋体" w:hAnsi="Times New Roman" w:cs="Times New Roman"/>
      <w:b/>
      <w:bCs/>
      <w:kern w:val="0"/>
      <w:sz w:val="30"/>
      <w:szCs w:val="30"/>
    </w:rPr>
  </w:style>
  <w:style w:type="character" w:customStyle="1" w:styleId="a6">
    <w:name w:val="正文缩进 字符"/>
    <w:link w:val="a2"/>
    <w:qFormat/>
    <w:rPr>
      <w:rFonts w:ascii="Times New Roman" w:eastAsia="仿宋_GB2312" w:hAnsi="Times New Roman" w:cs="Times New Roman"/>
      <w:kern w:val="0"/>
      <w:sz w:val="28"/>
      <w:szCs w:val="20"/>
    </w:rPr>
  </w:style>
  <w:style w:type="character" w:customStyle="1" w:styleId="0Char">
    <w:name w:val="0表图标题 Char"/>
    <w:link w:val="0"/>
    <w:qFormat/>
    <w:rPr>
      <w:rFonts w:ascii="黑体" w:eastAsia="黑体" w:hAnsi="黑体" w:cs="Times New Roman"/>
      <w:color w:val="000000"/>
      <w:kern w:val="0"/>
      <w:sz w:val="24"/>
      <w:szCs w:val="24"/>
    </w:rPr>
  </w:style>
  <w:style w:type="character" w:customStyle="1" w:styleId="74Char">
    <w:name w:val="样式74 Char"/>
    <w:link w:val="74"/>
    <w:qFormat/>
    <w:rPr>
      <w:rFonts w:ascii="Times New Roman" w:eastAsia="宋体" w:hAnsi="Times New Roman" w:cs="Times New Roman"/>
      <w:b/>
      <w:bCs/>
      <w:kern w:val="0"/>
      <w:sz w:val="30"/>
      <w:szCs w:val="30"/>
    </w:rPr>
  </w:style>
  <w:style w:type="character" w:customStyle="1" w:styleId="Char6">
    <w:name w:val="正文＋黑体 Char"/>
    <w:link w:val="afffffd"/>
    <w:qFormat/>
    <w:rPr>
      <w:rFonts w:ascii="Arial" w:eastAsia="黑体" w:hAnsi="Arial" w:cs="Times New Roman"/>
      <w:kern w:val="0"/>
      <w:sz w:val="24"/>
      <w:szCs w:val="24"/>
    </w:rPr>
  </w:style>
  <w:style w:type="character" w:customStyle="1" w:styleId="75Char">
    <w:name w:val="样式75 Char"/>
    <w:link w:val="75"/>
    <w:qFormat/>
    <w:rPr>
      <w:rFonts w:ascii="Calibri Light" w:eastAsia="宋体" w:hAnsi="Calibri Light" w:cs="Times New Roman"/>
      <w:b/>
      <w:bCs/>
      <w:kern w:val="0"/>
      <w:sz w:val="32"/>
      <w:szCs w:val="32"/>
    </w:rPr>
  </w:style>
  <w:style w:type="character" w:customStyle="1" w:styleId="76Char">
    <w:name w:val="样式76 Char"/>
    <w:link w:val="76"/>
    <w:qFormat/>
    <w:rPr>
      <w:rFonts w:ascii="Times New Roman" w:eastAsia="宋体" w:hAnsi="Times New Roman" w:cs="Times New Roman"/>
      <w:b/>
      <w:bCs/>
      <w:kern w:val="0"/>
      <w:sz w:val="30"/>
      <w:szCs w:val="30"/>
    </w:rPr>
  </w:style>
  <w:style w:type="character" w:customStyle="1" w:styleId="77Char">
    <w:name w:val="样式77 Char"/>
    <w:link w:val="77"/>
    <w:qFormat/>
    <w:rPr>
      <w:rFonts w:ascii="Calibri" w:eastAsia="宋体" w:hAnsi="Calibri" w:cs="Times New Roman"/>
    </w:rPr>
  </w:style>
  <w:style w:type="character" w:customStyle="1" w:styleId="78Char">
    <w:name w:val="样式78 Char"/>
    <w:link w:val="78"/>
    <w:qFormat/>
    <w:rPr>
      <w:rFonts w:ascii="Times New Roman" w:eastAsia="宋体" w:hAnsi="Times New Roman" w:cs="Times New Roman"/>
      <w:b/>
      <w:bCs/>
      <w:kern w:val="0"/>
      <w:sz w:val="30"/>
      <w:szCs w:val="30"/>
    </w:rPr>
  </w:style>
  <w:style w:type="character" w:customStyle="1" w:styleId="79Char">
    <w:name w:val="样式79 Char"/>
    <w:link w:val="79"/>
    <w:qFormat/>
    <w:rPr>
      <w:rFonts w:ascii="Times New Roman" w:eastAsia="宋体" w:hAnsi="Times New Roman" w:cs="Times New Roman"/>
      <w:b/>
      <w:bCs/>
      <w:kern w:val="0"/>
      <w:sz w:val="30"/>
      <w:szCs w:val="30"/>
    </w:rPr>
  </w:style>
  <w:style w:type="character" w:customStyle="1" w:styleId="80Char">
    <w:name w:val="样式80 Char"/>
    <w:link w:val="80"/>
    <w:qFormat/>
    <w:rPr>
      <w:rFonts w:ascii="Calibri Light" w:eastAsia="宋体" w:hAnsi="Calibri Light" w:cs="Times New Roman"/>
      <w:b/>
      <w:bCs/>
      <w:kern w:val="0"/>
      <w:sz w:val="32"/>
      <w:szCs w:val="32"/>
    </w:rPr>
  </w:style>
  <w:style w:type="character" w:customStyle="1" w:styleId="81Char">
    <w:name w:val="样式81 Char"/>
    <w:link w:val="81"/>
    <w:qFormat/>
    <w:rPr>
      <w:rFonts w:ascii="Calibri Light" w:eastAsia="宋体" w:hAnsi="Calibri Light" w:cs="Times New Roman"/>
      <w:b/>
      <w:bCs/>
      <w:kern w:val="0"/>
      <w:sz w:val="32"/>
      <w:szCs w:val="32"/>
    </w:rPr>
  </w:style>
  <w:style w:type="character" w:customStyle="1" w:styleId="82Char">
    <w:name w:val="样式82 Char"/>
    <w:link w:val="82"/>
    <w:qFormat/>
    <w:rPr>
      <w:rFonts w:ascii="Times New Roman" w:eastAsia="宋体" w:hAnsi="Times New Roman" w:cs="Times New Roman"/>
      <w:b/>
      <w:bCs/>
      <w:kern w:val="0"/>
      <w:sz w:val="30"/>
      <w:szCs w:val="30"/>
    </w:rPr>
  </w:style>
  <w:style w:type="character" w:customStyle="1" w:styleId="83Char">
    <w:name w:val="样式83 Char"/>
    <w:link w:val="83"/>
    <w:qFormat/>
    <w:rPr>
      <w:rFonts w:ascii="Times New Roman" w:eastAsia="宋体" w:hAnsi="Times New Roman" w:cs="Times New Roman"/>
      <w:b/>
      <w:bCs/>
      <w:kern w:val="0"/>
      <w:sz w:val="30"/>
      <w:szCs w:val="30"/>
    </w:rPr>
  </w:style>
  <w:style w:type="character" w:customStyle="1" w:styleId="84Char">
    <w:name w:val="样式84 Char"/>
    <w:link w:val="84"/>
    <w:qFormat/>
    <w:rPr>
      <w:rFonts w:ascii="Times New Roman" w:eastAsia="宋体" w:hAnsi="Times New Roman" w:cs="Times New Roman"/>
      <w:b/>
      <w:bCs/>
      <w:kern w:val="0"/>
      <w:sz w:val="30"/>
      <w:szCs w:val="30"/>
    </w:rPr>
  </w:style>
  <w:style w:type="character" w:customStyle="1" w:styleId="85Char">
    <w:name w:val="样式85 Char"/>
    <w:link w:val="85"/>
    <w:qFormat/>
    <w:rPr>
      <w:rFonts w:ascii="Times New Roman" w:eastAsia="宋体" w:hAnsi="Times New Roman" w:cs="Times New Roman"/>
      <w:b/>
      <w:bCs/>
      <w:kern w:val="0"/>
      <w:sz w:val="30"/>
      <w:szCs w:val="30"/>
    </w:rPr>
  </w:style>
  <w:style w:type="character" w:customStyle="1" w:styleId="86Char">
    <w:name w:val="样式86 Char"/>
    <w:link w:val="86"/>
    <w:qFormat/>
    <w:rPr>
      <w:rFonts w:ascii="Calibri Light" w:eastAsia="宋体" w:hAnsi="Calibri Light" w:cs="Times New Roman"/>
      <w:b/>
      <w:bCs/>
      <w:kern w:val="0"/>
      <w:sz w:val="32"/>
      <w:szCs w:val="32"/>
    </w:rPr>
  </w:style>
  <w:style w:type="character" w:customStyle="1" w:styleId="87Char">
    <w:name w:val="样式87 Char"/>
    <w:link w:val="87"/>
    <w:qFormat/>
    <w:rPr>
      <w:rFonts w:ascii="Times New Roman" w:eastAsia="宋体" w:hAnsi="Times New Roman" w:cs="Times New Roman"/>
      <w:b/>
      <w:bCs/>
      <w:kern w:val="0"/>
      <w:sz w:val="30"/>
      <w:szCs w:val="30"/>
    </w:rPr>
  </w:style>
  <w:style w:type="character" w:customStyle="1" w:styleId="88Char">
    <w:name w:val="样式88 Char"/>
    <w:link w:val="88"/>
    <w:qFormat/>
    <w:rPr>
      <w:rFonts w:ascii="Times New Roman" w:eastAsia="宋体" w:hAnsi="Times New Roman" w:cs="Times New Roman"/>
      <w:b/>
      <w:bCs/>
      <w:kern w:val="0"/>
      <w:sz w:val="30"/>
      <w:szCs w:val="30"/>
    </w:rPr>
  </w:style>
  <w:style w:type="character" w:customStyle="1" w:styleId="89Char">
    <w:name w:val="样式89 Char"/>
    <w:link w:val="89"/>
    <w:qFormat/>
    <w:rPr>
      <w:rFonts w:ascii="Times New Roman" w:eastAsia="宋体" w:hAnsi="Times New Roman" w:cs="Times New Roman"/>
      <w:b/>
      <w:bCs/>
      <w:kern w:val="0"/>
      <w:sz w:val="30"/>
      <w:szCs w:val="30"/>
    </w:rPr>
  </w:style>
  <w:style w:type="character" w:customStyle="1" w:styleId="90Char">
    <w:name w:val="样式90 Char"/>
    <w:link w:val="90"/>
    <w:qFormat/>
    <w:rPr>
      <w:rFonts w:ascii="Calibri Light" w:eastAsia="宋体" w:hAnsi="Calibri Light" w:cs="Times New Roman"/>
      <w:b/>
      <w:bCs/>
      <w:kern w:val="0"/>
      <w:sz w:val="32"/>
      <w:szCs w:val="32"/>
    </w:rPr>
  </w:style>
  <w:style w:type="character" w:customStyle="1" w:styleId="91Char">
    <w:name w:val="样式91 Char"/>
    <w:link w:val="91"/>
    <w:qFormat/>
    <w:rPr>
      <w:rFonts w:ascii="Times New Roman" w:eastAsia="宋体" w:hAnsi="Times New Roman" w:cs="Times New Roman"/>
      <w:b/>
      <w:bCs/>
      <w:kern w:val="0"/>
      <w:sz w:val="30"/>
      <w:szCs w:val="30"/>
    </w:rPr>
  </w:style>
  <w:style w:type="character" w:customStyle="1" w:styleId="92Char">
    <w:name w:val="样式92 Char"/>
    <w:link w:val="92"/>
    <w:qFormat/>
    <w:rPr>
      <w:rFonts w:ascii="Calibri Light" w:eastAsia="宋体" w:hAnsi="Calibri Light" w:cs="Times New Roman"/>
      <w:b/>
      <w:bCs/>
      <w:kern w:val="0"/>
      <w:sz w:val="32"/>
      <w:szCs w:val="32"/>
    </w:rPr>
  </w:style>
  <w:style w:type="character" w:customStyle="1" w:styleId="93Char">
    <w:name w:val="样式93 Char"/>
    <w:link w:val="93"/>
    <w:qFormat/>
    <w:rPr>
      <w:rFonts w:ascii="Calibri Light" w:eastAsia="宋体" w:hAnsi="Calibri Light" w:cs="Times New Roman"/>
      <w:b/>
      <w:bCs/>
      <w:kern w:val="0"/>
      <w:sz w:val="32"/>
      <w:szCs w:val="32"/>
    </w:rPr>
  </w:style>
  <w:style w:type="character" w:customStyle="1" w:styleId="94Char">
    <w:name w:val="样式94 Char"/>
    <w:link w:val="94"/>
    <w:qFormat/>
    <w:rPr>
      <w:rFonts w:ascii="Times New Roman" w:eastAsia="宋体" w:hAnsi="Times New Roman" w:cs="Times New Roman"/>
      <w:b/>
      <w:bCs/>
      <w:kern w:val="0"/>
      <w:sz w:val="30"/>
      <w:szCs w:val="30"/>
    </w:rPr>
  </w:style>
  <w:style w:type="character" w:customStyle="1" w:styleId="95Char">
    <w:name w:val="样式95 Char"/>
    <w:link w:val="95"/>
    <w:qFormat/>
    <w:rPr>
      <w:rFonts w:ascii="Times New Roman" w:eastAsia="宋体" w:hAnsi="Times New Roman" w:cs="Times New Roman"/>
      <w:b/>
      <w:bCs/>
      <w:kern w:val="0"/>
      <w:sz w:val="30"/>
      <w:szCs w:val="30"/>
    </w:rPr>
  </w:style>
  <w:style w:type="character" w:customStyle="1" w:styleId="96Char">
    <w:name w:val="样式96 Char"/>
    <w:link w:val="96"/>
    <w:qFormat/>
    <w:rPr>
      <w:rFonts w:ascii="Calibri Light" w:eastAsia="宋体" w:hAnsi="Calibri Light" w:cs="Times New Roman"/>
      <w:b/>
      <w:bCs/>
      <w:kern w:val="0"/>
      <w:sz w:val="32"/>
      <w:szCs w:val="32"/>
    </w:rPr>
  </w:style>
  <w:style w:type="character" w:customStyle="1" w:styleId="97Char">
    <w:name w:val="样式97 Char"/>
    <w:link w:val="97"/>
    <w:qFormat/>
    <w:rPr>
      <w:rFonts w:ascii="Times New Roman" w:eastAsia="宋体" w:hAnsi="Times New Roman" w:cs="Times New Roman"/>
      <w:b/>
      <w:bCs/>
      <w:kern w:val="0"/>
      <w:sz w:val="30"/>
      <w:szCs w:val="30"/>
    </w:rPr>
  </w:style>
  <w:style w:type="character" w:customStyle="1" w:styleId="98Char">
    <w:name w:val="样式98 Char"/>
    <w:link w:val="98"/>
    <w:qFormat/>
    <w:rPr>
      <w:rFonts w:ascii="Times New Roman" w:eastAsia="宋体" w:hAnsi="Times New Roman" w:cs="Times New Roman"/>
      <w:b/>
      <w:bCs/>
      <w:kern w:val="0"/>
      <w:sz w:val="30"/>
      <w:szCs w:val="30"/>
    </w:rPr>
  </w:style>
  <w:style w:type="character" w:customStyle="1" w:styleId="99Char">
    <w:name w:val="样式99 Char"/>
    <w:link w:val="99"/>
    <w:qFormat/>
    <w:rPr>
      <w:rFonts w:ascii="Calibri Light" w:eastAsia="宋体" w:hAnsi="Calibri Light" w:cs="Times New Roman"/>
      <w:b/>
      <w:bCs/>
      <w:kern w:val="0"/>
      <w:sz w:val="32"/>
      <w:szCs w:val="32"/>
    </w:rPr>
  </w:style>
  <w:style w:type="character" w:customStyle="1" w:styleId="100Char">
    <w:name w:val="样式100 Char"/>
    <w:link w:val="100"/>
    <w:qFormat/>
    <w:rPr>
      <w:rFonts w:ascii="Times New Roman" w:eastAsia="宋体" w:hAnsi="Times New Roman" w:cs="Times New Roman"/>
      <w:b/>
      <w:bCs/>
      <w:kern w:val="0"/>
      <w:sz w:val="30"/>
      <w:szCs w:val="30"/>
    </w:rPr>
  </w:style>
  <w:style w:type="character" w:customStyle="1" w:styleId="101Char">
    <w:name w:val="样式101 Char"/>
    <w:link w:val="101"/>
    <w:qFormat/>
    <w:rPr>
      <w:rFonts w:ascii="Calibri Light" w:eastAsia="宋体" w:hAnsi="Calibri Light" w:cs="Times New Roman"/>
      <w:b/>
      <w:bCs/>
      <w:kern w:val="0"/>
      <w:sz w:val="32"/>
      <w:szCs w:val="32"/>
    </w:rPr>
  </w:style>
  <w:style w:type="character" w:customStyle="1" w:styleId="102Char">
    <w:name w:val="样式102 Char"/>
    <w:link w:val="102"/>
    <w:qFormat/>
    <w:rPr>
      <w:rFonts w:ascii="Times New Roman" w:eastAsia="宋体" w:hAnsi="Times New Roman" w:cs="Times New Roman"/>
      <w:b/>
      <w:bCs/>
      <w:kern w:val="0"/>
      <w:sz w:val="30"/>
      <w:szCs w:val="30"/>
    </w:rPr>
  </w:style>
  <w:style w:type="character" w:customStyle="1" w:styleId="103Char">
    <w:name w:val="样式103 Char"/>
    <w:link w:val="103"/>
    <w:qFormat/>
    <w:rPr>
      <w:rFonts w:ascii="Calibri Light" w:eastAsia="宋体" w:hAnsi="Calibri Light" w:cs="Times New Roman"/>
      <w:b/>
      <w:bCs/>
      <w:kern w:val="0"/>
      <w:sz w:val="32"/>
      <w:szCs w:val="32"/>
    </w:rPr>
  </w:style>
  <w:style w:type="character" w:customStyle="1" w:styleId="104Char">
    <w:name w:val="样式104 Char"/>
    <w:link w:val="104"/>
    <w:qFormat/>
    <w:rPr>
      <w:rFonts w:ascii="Times New Roman" w:eastAsia="宋体" w:hAnsi="Times New Roman" w:cs="Times New Roman"/>
      <w:b/>
      <w:bCs/>
      <w:kern w:val="0"/>
      <w:sz w:val="30"/>
      <w:szCs w:val="30"/>
    </w:rPr>
  </w:style>
  <w:style w:type="character" w:customStyle="1" w:styleId="105Char">
    <w:name w:val="样式105 Char"/>
    <w:link w:val="105"/>
    <w:qFormat/>
    <w:rPr>
      <w:rFonts w:ascii="Times New Roman" w:eastAsia="宋体" w:hAnsi="Times New Roman" w:cs="Times New Roman"/>
      <w:b/>
      <w:bCs/>
      <w:kern w:val="0"/>
      <w:sz w:val="30"/>
      <w:szCs w:val="30"/>
    </w:rPr>
  </w:style>
  <w:style w:type="character" w:customStyle="1" w:styleId="106Char">
    <w:name w:val="样式106 Char"/>
    <w:link w:val="106"/>
    <w:qFormat/>
    <w:rPr>
      <w:rFonts w:ascii="Calibri Light" w:eastAsia="宋体" w:hAnsi="Calibri Light" w:cs="Times New Roman"/>
      <w:b/>
      <w:bCs/>
      <w:kern w:val="0"/>
      <w:sz w:val="32"/>
      <w:szCs w:val="32"/>
    </w:rPr>
  </w:style>
  <w:style w:type="character" w:customStyle="1" w:styleId="107Char">
    <w:name w:val="样式107 Char"/>
    <w:link w:val="107"/>
    <w:qFormat/>
    <w:rPr>
      <w:rFonts w:ascii="Times New Roman" w:eastAsia="宋体" w:hAnsi="Times New Roman" w:cs="Times New Roman"/>
      <w:b/>
      <w:bCs/>
      <w:kern w:val="0"/>
      <w:sz w:val="30"/>
      <w:szCs w:val="30"/>
    </w:rPr>
  </w:style>
  <w:style w:type="character" w:customStyle="1" w:styleId="108Char">
    <w:name w:val="样式108 Char"/>
    <w:link w:val="108"/>
    <w:qFormat/>
    <w:rPr>
      <w:rFonts w:ascii="Calibri Light" w:eastAsia="宋体" w:hAnsi="Calibri Light" w:cs="Times New Roman"/>
      <w:b/>
      <w:bCs/>
      <w:kern w:val="0"/>
      <w:sz w:val="32"/>
      <w:szCs w:val="32"/>
    </w:rPr>
  </w:style>
  <w:style w:type="character" w:customStyle="1" w:styleId="afffb">
    <w:name w:val="标题 字符"/>
    <w:basedOn w:val="a3"/>
    <w:link w:val="afffa"/>
    <w:qFormat/>
    <w:rPr>
      <w:rFonts w:ascii="Cambria" w:eastAsia="宋体" w:hAnsi="Cambria" w:cs="Times New Roman"/>
      <w:b/>
      <w:bCs/>
      <w:kern w:val="0"/>
      <w:sz w:val="32"/>
      <w:szCs w:val="32"/>
    </w:rPr>
  </w:style>
  <w:style w:type="character" w:customStyle="1" w:styleId="afff2">
    <w:name w:val="副标题 字符"/>
    <w:basedOn w:val="a3"/>
    <w:link w:val="afff1"/>
    <w:qFormat/>
    <w:rPr>
      <w:rFonts w:ascii="Cambria" w:eastAsia="宋体" w:hAnsi="Cambria" w:cs="Times New Roman"/>
      <w:b/>
      <w:bCs/>
      <w:kern w:val="28"/>
      <w:sz w:val="32"/>
      <w:szCs w:val="32"/>
    </w:rPr>
  </w:style>
  <w:style w:type="character" w:customStyle="1" w:styleId="1Char2">
    <w:name w:val="表格1 Char"/>
    <w:link w:val="1fb"/>
    <w:qFormat/>
    <w:rPr>
      <w:rFonts w:ascii="宋体" w:eastAsia="宋体" w:hAnsi="宋体" w:cs="Times New Roman"/>
      <w:kern w:val="0"/>
      <w:sz w:val="18"/>
      <w:szCs w:val="21"/>
    </w:rPr>
  </w:style>
  <w:style w:type="character" w:customStyle="1" w:styleId="109Char">
    <w:name w:val="样式109 Char"/>
    <w:link w:val="109"/>
    <w:qFormat/>
    <w:rPr>
      <w:rFonts w:ascii="Times New Roman" w:eastAsia="宋体" w:hAnsi="Times New Roman" w:cs="Times New Roman"/>
      <w:b/>
      <w:bCs/>
      <w:kern w:val="0"/>
      <w:sz w:val="30"/>
      <w:szCs w:val="30"/>
    </w:rPr>
  </w:style>
  <w:style w:type="character" w:customStyle="1" w:styleId="110Char">
    <w:name w:val="样式110 Char"/>
    <w:link w:val="110"/>
    <w:qFormat/>
    <w:rPr>
      <w:rFonts w:ascii="Arial" w:eastAsia="黑体" w:hAnsi="Arial" w:cs="Times New Roman"/>
      <w:b/>
      <w:bCs/>
      <w:kern w:val="0"/>
      <w:sz w:val="28"/>
      <w:szCs w:val="28"/>
    </w:rPr>
  </w:style>
  <w:style w:type="character" w:customStyle="1" w:styleId="z-Char0">
    <w:name w:val="z-窗体底端 Char"/>
    <w:qFormat/>
    <w:rPr>
      <w:rFonts w:ascii="Arial" w:eastAsia="宋体" w:hAnsi="Arial"/>
      <w:vanish/>
      <w:color w:val="000000"/>
      <w:sz w:val="16"/>
      <w:szCs w:val="16"/>
    </w:rPr>
  </w:style>
  <w:style w:type="character" w:customStyle="1" w:styleId="z-Char1">
    <w:name w:val="z-窗体底端 Char1"/>
    <w:basedOn w:val="a3"/>
    <w:link w:val="z-1"/>
    <w:qFormat/>
    <w:rPr>
      <w:rFonts w:ascii="Arial" w:eastAsia="宋体" w:hAnsi="Arial" w:cs="Arial"/>
      <w:vanish/>
      <w:sz w:val="16"/>
      <w:szCs w:val="16"/>
    </w:rPr>
  </w:style>
  <w:style w:type="character" w:customStyle="1" w:styleId="Char5">
    <w:name w:val="表格文字 Char"/>
    <w:link w:val="afffff9"/>
    <w:qFormat/>
    <w:rPr>
      <w:rFonts w:ascii="仿宋_GB2312" w:eastAsia="仿宋_GB2312" w:hAnsi="宋体" w:cs="Times New Roman"/>
      <w:color w:val="000000"/>
      <w:spacing w:val="6"/>
      <w:kern w:val="0"/>
      <w:sz w:val="20"/>
      <w:szCs w:val="20"/>
    </w:rPr>
  </w:style>
  <w:style w:type="character" w:customStyle="1" w:styleId="NormalChar">
    <w:name w:val="Normal Char"/>
    <w:link w:val="1fc"/>
    <w:qFormat/>
    <w:rPr>
      <w:rFonts w:ascii="宋体" w:eastAsia="宋体" w:hAnsi="Calibri" w:cs="Times New Roman"/>
      <w:kern w:val="0"/>
      <w:sz w:val="24"/>
      <w:szCs w:val="20"/>
    </w:rPr>
  </w:style>
  <w:style w:type="character" w:customStyle="1" w:styleId="5Char0">
    <w:name w:val="表内宋5中 Char"/>
    <w:link w:val="5f4"/>
    <w:qFormat/>
    <w:locked/>
    <w:rPr>
      <w:rFonts w:ascii="Times New Roman" w:eastAsia="宋体" w:hAnsi="Times New Roman" w:cs="Times New Roman"/>
      <w:color w:val="000000"/>
      <w:kern w:val="0"/>
      <w:sz w:val="20"/>
      <w:szCs w:val="21"/>
    </w:rPr>
  </w:style>
  <w:style w:type="character" w:customStyle="1" w:styleId="fuChar">
    <w:name w:val="fu正文 Char"/>
    <w:link w:val="fu"/>
    <w:qFormat/>
    <w:rPr>
      <w:rFonts w:ascii="Times New Roman" w:eastAsia="宋体" w:hAnsi="Times New Roman" w:cs="Times New Roman"/>
      <w:color w:val="000000"/>
      <w:kern w:val="0"/>
      <w:sz w:val="24"/>
      <w:szCs w:val="24"/>
    </w:rPr>
  </w:style>
  <w:style w:type="character" w:customStyle="1" w:styleId="8b">
    <w:name w:val="标题 8 字符"/>
    <w:link w:val="8a"/>
    <w:qFormat/>
    <w:rPr>
      <w:rFonts w:ascii="Calibri Light" w:eastAsia="宋体" w:hAnsi="Calibri Light" w:cs="Times New Roman"/>
      <w:kern w:val="0"/>
      <w:sz w:val="24"/>
      <w:szCs w:val="24"/>
    </w:rPr>
  </w:style>
  <w:style w:type="character" w:customStyle="1" w:styleId="Char26">
    <w:name w:val="页眉 Char2"/>
    <w:qFormat/>
    <w:rPr>
      <w:rFonts w:ascii="Times New Roman" w:eastAsia="宋体" w:hAnsi="Times New Roman" w:cs="Times New Roman"/>
      <w:sz w:val="18"/>
      <w:szCs w:val="18"/>
    </w:rPr>
  </w:style>
  <w:style w:type="character" w:customStyle="1" w:styleId="Char27">
    <w:name w:val="页脚 Char2"/>
    <w:qFormat/>
    <w:rPr>
      <w:rFonts w:ascii="Times New Roman" w:eastAsia="宋体" w:hAnsi="Times New Roman" w:cs="Times New Roman"/>
      <w:sz w:val="18"/>
      <w:szCs w:val="18"/>
    </w:rPr>
  </w:style>
  <w:style w:type="character" w:customStyle="1" w:styleId="5b">
    <w:name w:val="标题 5 字符"/>
    <w:link w:val="5a"/>
    <w:qFormat/>
    <w:rPr>
      <w:rFonts w:ascii="Calibri" w:eastAsia="宋体" w:hAnsi="Calibri" w:cs="Times New Roman"/>
      <w:b/>
      <w:bCs/>
      <w:kern w:val="0"/>
      <w:sz w:val="28"/>
      <w:szCs w:val="28"/>
    </w:rPr>
  </w:style>
  <w:style w:type="character" w:customStyle="1" w:styleId="Char1b">
    <w:name w:val="页眉 Char1"/>
    <w:qFormat/>
    <w:rPr>
      <w:rFonts w:eastAsia="宋体"/>
      <w:kern w:val="2"/>
      <w:sz w:val="18"/>
      <w:szCs w:val="18"/>
      <w:lang w:val="en-US" w:eastAsia="zh-CN" w:bidi="ar-SA"/>
    </w:rPr>
  </w:style>
  <w:style w:type="character" w:customStyle="1" w:styleId="Char1c">
    <w:name w:val="页脚 Char1"/>
    <w:qFormat/>
    <w:rPr>
      <w:rFonts w:eastAsia="宋体"/>
      <w:kern w:val="2"/>
      <w:sz w:val="18"/>
      <w:szCs w:val="18"/>
      <w:lang w:val="en-US" w:eastAsia="zh-CN" w:bidi="ar-SA"/>
    </w:rPr>
  </w:style>
  <w:style w:type="character" w:customStyle="1" w:styleId="p14">
    <w:name w:val="p14"/>
    <w:basedOn w:val="a3"/>
    <w:qFormat/>
  </w:style>
  <w:style w:type="character" w:customStyle="1" w:styleId="Charfffffc">
    <w:name w:val="正文样式 Char"/>
    <w:qFormat/>
    <w:rPr>
      <w:rFonts w:ascii="宋体" w:hAnsi="宋体"/>
      <w:color w:val="000000"/>
      <w:kern w:val="2"/>
      <w:sz w:val="24"/>
      <w:szCs w:val="24"/>
    </w:rPr>
  </w:style>
  <w:style w:type="character" w:customStyle="1" w:styleId="Char1d">
    <w:name w:val="正文首行缩进 Char1"/>
    <w:qFormat/>
    <w:rPr>
      <w:rFonts w:ascii="Calibri" w:eastAsia="宋体" w:hAnsi="Calibri" w:cs="Times New Roman"/>
      <w:kern w:val="0"/>
      <w:sz w:val="20"/>
      <w:szCs w:val="24"/>
    </w:rPr>
  </w:style>
  <w:style w:type="character" w:customStyle="1" w:styleId="-CharChar2">
    <w:name w:val="可研-正文首行缩进 Char Char2"/>
    <w:qFormat/>
    <w:rPr>
      <w:rFonts w:eastAsia="宋体"/>
      <w:kern w:val="2"/>
      <w:sz w:val="21"/>
      <w:szCs w:val="24"/>
      <w:lang w:val="en-US" w:eastAsia="zh-CN" w:bidi="ar-SA"/>
    </w:rPr>
  </w:style>
  <w:style w:type="character" w:customStyle="1" w:styleId="content2">
    <w:name w:val="content2"/>
    <w:basedOn w:val="a3"/>
    <w:qFormat/>
  </w:style>
  <w:style w:type="character" w:customStyle="1" w:styleId="content1">
    <w:name w:val="content1"/>
    <w:qFormat/>
    <w:rPr>
      <w:color w:val="000000"/>
      <w:sz w:val="28"/>
      <w:szCs w:val="28"/>
      <w:u w:val="none"/>
    </w:rPr>
  </w:style>
  <w:style w:type="character" w:customStyle="1" w:styleId="font241">
    <w:name w:val="font241"/>
    <w:qFormat/>
    <w:rPr>
      <w:spacing w:val="360"/>
      <w:sz w:val="21"/>
      <w:szCs w:val="21"/>
    </w:rPr>
  </w:style>
  <w:style w:type="character" w:customStyle="1" w:styleId="hangju1">
    <w:name w:val="hangju1"/>
    <w:qFormat/>
    <w:rPr>
      <w:spacing w:val="340"/>
    </w:rPr>
  </w:style>
  <w:style w:type="character" w:customStyle="1" w:styleId="detail">
    <w:name w:val="detail"/>
    <w:basedOn w:val="a3"/>
    <w:qFormat/>
  </w:style>
  <w:style w:type="character" w:customStyle="1" w:styleId="3zw1">
    <w:name w:val="3zw1"/>
    <w:qFormat/>
    <w:rPr>
      <w:color w:val="000000"/>
      <w:spacing w:val="360"/>
      <w:sz w:val="21"/>
      <w:szCs w:val="21"/>
    </w:rPr>
  </w:style>
  <w:style w:type="character" w:customStyle="1" w:styleId="-Char10">
    <w:name w:val="可研-正文 Char1"/>
    <w:qFormat/>
    <w:rPr>
      <w:rFonts w:ascii="宋体" w:eastAsia="宋体"/>
      <w:kern w:val="2"/>
      <w:sz w:val="28"/>
      <w:szCs w:val="24"/>
      <w:lang w:val="en-US" w:eastAsia="zh-CN" w:bidi="ar-SA"/>
    </w:rPr>
  </w:style>
  <w:style w:type="character" w:customStyle="1" w:styleId="Char1e">
    <w:name w:val="副标题 Char1"/>
    <w:qFormat/>
    <w:rPr>
      <w:rFonts w:ascii="Times New Roman" w:eastAsia="黑体" w:hAnsi="Times New Roman" w:cs="Arial"/>
      <w:bCs/>
      <w:kern w:val="28"/>
      <w:sz w:val="24"/>
      <w:szCs w:val="32"/>
    </w:rPr>
  </w:style>
  <w:style w:type="character" w:customStyle="1" w:styleId="132">
    <w:name w:val="样式 (符号) 宋体 13 磅"/>
    <w:qFormat/>
    <w:rPr>
      <w:rFonts w:ascii="宋体" w:eastAsia="宋体"/>
      <w:sz w:val="27"/>
      <w:szCs w:val="27"/>
    </w:rPr>
  </w:style>
  <w:style w:type="character" w:customStyle="1" w:styleId="2Charc">
    <w:name w:val="样式 首行缩进:  2 字符 Char"/>
    <w:qFormat/>
    <w:rPr>
      <w:rFonts w:ascii="宋体" w:eastAsia="宋体" w:cs="宋体"/>
      <w:kern w:val="2"/>
      <w:sz w:val="28"/>
      <w:szCs w:val="28"/>
      <w:lang w:val="en-US" w:eastAsia="zh-CN" w:bidi="ar-SA"/>
    </w:rPr>
  </w:style>
  <w:style w:type="character" w:customStyle="1" w:styleId="Charfffffd">
    <w:name w:val="正文部分 Char"/>
    <w:qFormat/>
    <w:rPr>
      <w:rFonts w:ascii="宋体" w:eastAsia="宋体" w:hAnsi="宋体" w:cs="宋体"/>
      <w:bCs/>
      <w:sz w:val="28"/>
      <w:szCs w:val="32"/>
      <w:lang w:val="en-US" w:eastAsia="zh-CN" w:bidi="ar-SA"/>
    </w:rPr>
  </w:style>
  <w:style w:type="character" w:customStyle="1" w:styleId="141512Char">
    <w:name w:val="样式 样式 方正宋三简体 14 磅 行距: 1.5 倍行距1 + 首行缩进:  2 字符 Char"/>
    <w:qFormat/>
    <w:rPr>
      <w:rFonts w:ascii="宋体" w:eastAsia="宋体" w:hAnsi="方正宋三简体" w:cs="宋体"/>
      <w:kern w:val="2"/>
      <w:sz w:val="27"/>
      <w:szCs w:val="27"/>
      <w:lang w:val="en-US" w:eastAsia="zh-CN" w:bidi="ar-SA"/>
    </w:rPr>
  </w:style>
  <w:style w:type="character" w:customStyle="1" w:styleId="title41">
    <w:name w:val="title41"/>
    <w:qFormat/>
    <w:rPr>
      <w:rFonts w:ascii="宋体" w:eastAsia="宋体" w:hAnsi="宋体" w:hint="eastAsia"/>
      <w:color w:val="FF6600"/>
      <w:sz w:val="36"/>
      <w:szCs w:val="36"/>
    </w:rPr>
  </w:style>
  <w:style w:type="character" w:customStyle="1" w:styleId="CharChar10">
    <w:name w:val="Char Char10"/>
    <w:qFormat/>
    <w:rPr>
      <w:rFonts w:eastAsia="宋体"/>
      <w:kern w:val="2"/>
      <w:sz w:val="16"/>
      <w:szCs w:val="16"/>
      <w:lang w:val="en-US" w:eastAsia="zh-CN" w:bidi="ar-SA"/>
    </w:rPr>
  </w:style>
  <w:style w:type="character" w:customStyle="1" w:styleId="Charfffffe">
    <w:name w:val="规划正文样式 Char"/>
    <w:qFormat/>
    <w:rPr>
      <w:rFonts w:eastAsia="宋体"/>
      <w:kern w:val="2"/>
      <w:sz w:val="24"/>
      <w:szCs w:val="24"/>
      <w:lang w:val="en-US" w:eastAsia="zh-CN" w:bidi="ar-SA"/>
    </w:rPr>
  </w:style>
  <w:style w:type="character" w:customStyle="1" w:styleId="unnamed11">
    <w:name w:val="unnamed11"/>
    <w:qFormat/>
    <w:rPr>
      <w:color w:val="000000"/>
      <w:spacing w:val="450"/>
      <w:sz w:val="18"/>
      <w:szCs w:val="18"/>
    </w:rPr>
  </w:style>
  <w:style w:type="character" w:customStyle="1" w:styleId="9dpi1">
    <w:name w:val="9dpi1"/>
    <w:qFormat/>
    <w:rPr>
      <w:spacing w:val="30"/>
      <w:sz w:val="18"/>
      <w:szCs w:val="18"/>
    </w:rPr>
  </w:style>
  <w:style w:type="character" w:customStyle="1" w:styleId="1Char1Char">
    <w:name w:val="标题 1 Char1 Char"/>
    <w:qFormat/>
    <w:rPr>
      <w:rFonts w:ascii="宋体" w:hAnsi="宋体"/>
      <w:b/>
      <w:kern w:val="44"/>
      <w:sz w:val="44"/>
      <w:szCs w:val="30"/>
    </w:rPr>
  </w:style>
  <w:style w:type="character" w:customStyle="1" w:styleId="112Char">
    <w:name w:val="1.1标题2 Char"/>
    <w:qFormat/>
    <w:rPr>
      <w:rFonts w:ascii="Arial" w:eastAsia="黑体" w:hAnsi="Arial"/>
      <w:bCs/>
      <w:kern w:val="2"/>
      <w:sz w:val="32"/>
      <w:szCs w:val="32"/>
      <w:lang w:val="en-US" w:eastAsia="zh-CN" w:bidi="ar-SA"/>
    </w:rPr>
  </w:style>
  <w:style w:type="character" w:customStyle="1" w:styleId="model11">
    <w:name w:val="model11"/>
    <w:qFormat/>
    <w:rPr>
      <w:rFonts w:ascii="宋体" w:eastAsia="宋体" w:hAnsi="宋体" w:hint="eastAsia"/>
      <w:sz w:val="18"/>
      <w:szCs w:val="18"/>
      <w:u w:val="none"/>
    </w:rPr>
  </w:style>
  <w:style w:type="character" w:customStyle="1" w:styleId="Charffffff">
    <w:name w:val="注释标题 Char"/>
    <w:basedOn w:val="a3"/>
    <w:qFormat/>
    <w:rPr>
      <w:rFonts w:ascii="Calibri" w:eastAsia="宋体" w:hAnsi="Calibri" w:cs="Times New Roman"/>
    </w:rPr>
  </w:style>
  <w:style w:type="character" w:customStyle="1" w:styleId="a9">
    <w:name w:val="注释标题 字符"/>
    <w:link w:val="a8"/>
    <w:qFormat/>
    <w:rPr>
      <w:rFonts w:ascii="Times New Roman" w:eastAsia="宋体" w:hAnsi="Times New Roman" w:cs="Times New Roman"/>
      <w:kern w:val="0"/>
      <w:sz w:val="20"/>
      <w:szCs w:val="20"/>
    </w:rPr>
  </w:style>
  <w:style w:type="character" w:customStyle="1" w:styleId="Charffffff0">
    <w:name w:val="正文文 Char"/>
    <w:qFormat/>
    <w:rPr>
      <w:rFonts w:eastAsia="宋体" w:cs="宋体"/>
      <w:kern w:val="2"/>
      <w:sz w:val="24"/>
      <w:lang w:val="en-US" w:eastAsia="zh-CN" w:bidi="ar-SA"/>
    </w:rPr>
  </w:style>
  <w:style w:type="character" w:customStyle="1" w:styleId="CharChare">
    <w:name w:val="正文(首行缩进)宋旭峰 Char Char"/>
    <w:qFormat/>
    <w:rPr>
      <w:rFonts w:eastAsia="宋体"/>
      <w:spacing w:val="16"/>
      <w:sz w:val="24"/>
      <w:szCs w:val="24"/>
      <w:lang w:val="en-US" w:eastAsia="zh-CN" w:bidi="ar-SA"/>
    </w:rPr>
  </w:style>
  <w:style w:type="character" w:customStyle="1" w:styleId="Charb">
    <w:name w:val="注 Char"/>
    <w:link w:val="afffffffff0"/>
    <w:qFormat/>
    <w:rPr>
      <w:rFonts w:ascii="Times New Roman" w:eastAsia="黑体" w:hAnsi="Times New Roman" w:cs="Times New Roman"/>
      <w:color w:val="000000"/>
      <w:kern w:val="0"/>
      <w:sz w:val="20"/>
      <w:szCs w:val="20"/>
    </w:rPr>
  </w:style>
  <w:style w:type="character" w:customStyle="1" w:styleId="contenttext11">
    <w:name w:val="contenttext11"/>
    <w:qFormat/>
    <w:rPr>
      <w:rFonts w:ascii="宋体" w:eastAsia="宋体" w:hAnsi="宋体" w:hint="eastAsia"/>
      <w:sz w:val="20"/>
      <w:szCs w:val="20"/>
    </w:rPr>
  </w:style>
  <w:style w:type="character" w:customStyle="1" w:styleId="fs121">
    <w:name w:val="fs121"/>
    <w:qFormat/>
    <w:rPr>
      <w:sz w:val="18"/>
      <w:szCs w:val="18"/>
    </w:rPr>
  </w:style>
  <w:style w:type="character" w:customStyle="1" w:styleId="1Chara">
    <w:name w:val="正文样式1 Char"/>
    <w:qFormat/>
    <w:rPr>
      <w:rFonts w:ascii="宋体" w:eastAsia="宋体"/>
      <w:kern w:val="2"/>
      <w:sz w:val="24"/>
      <w:szCs w:val="24"/>
      <w:lang w:val="en-US" w:eastAsia="zh-CN" w:bidi="ar-SA"/>
    </w:rPr>
  </w:style>
  <w:style w:type="character" w:customStyle="1" w:styleId="2Chard">
    <w:name w:val="标题样式2 Char"/>
    <w:qFormat/>
    <w:rPr>
      <w:rFonts w:ascii="黑体" w:eastAsia="黑体" w:hAnsi="Arial"/>
      <w:b/>
      <w:sz w:val="24"/>
      <w:szCs w:val="24"/>
      <w:lang w:val="en-US" w:eastAsia="zh-CN" w:bidi="ar-SA"/>
    </w:rPr>
  </w:style>
  <w:style w:type="character" w:customStyle="1" w:styleId="100Char0">
    <w:name w:val="正文样式100 Char"/>
    <w:qFormat/>
    <w:rPr>
      <w:rFonts w:ascii="宋体" w:eastAsia="宋体" w:hAnsi="宋体" w:cs="Courier New"/>
      <w:color w:val="000000"/>
      <w:kern w:val="2"/>
      <w:sz w:val="24"/>
      <w:szCs w:val="24"/>
      <w:lang w:val="en-US" w:eastAsia="zh-CN" w:bidi="ar-SA"/>
    </w:rPr>
  </w:style>
  <w:style w:type="character" w:customStyle="1" w:styleId="javascript">
    <w:name w:val="javascript"/>
    <w:basedOn w:val="a3"/>
    <w:qFormat/>
  </w:style>
  <w:style w:type="character" w:customStyle="1" w:styleId="l1201">
    <w:name w:val="l1201"/>
    <w:semiHidden/>
    <w:qFormat/>
    <w:rPr>
      <w:spacing w:val="288"/>
    </w:rPr>
  </w:style>
  <w:style w:type="character" w:customStyle="1" w:styleId="HTML0">
    <w:name w:val="HTML 地址 字符"/>
    <w:basedOn w:val="a3"/>
    <w:link w:val="HTML"/>
    <w:qFormat/>
    <w:rPr>
      <w:rFonts w:ascii="Times New Roman" w:eastAsia="宋体" w:hAnsi="Times New Roman" w:cs="Times New Roman"/>
      <w:i/>
      <w:iCs/>
      <w:szCs w:val="24"/>
    </w:rPr>
  </w:style>
  <w:style w:type="character" w:customStyle="1" w:styleId="HTML2">
    <w:name w:val="HTML 预设格式 字符"/>
    <w:basedOn w:val="a3"/>
    <w:link w:val="HTML1"/>
    <w:qFormat/>
    <w:rPr>
      <w:rFonts w:ascii="Courier New" w:eastAsia="宋体" w:hAnsi="Courier New" w:cs="Courier New"/>
      <w:sz w:val="20"/>
      <w:szCs w:val="20"/>
    </w:rPr>
  </w:style>
  <w:style w:type="character" w:customStyle="1" w:styleId="af8">
    <w:name w:val="称呼 字符"/>
    <w:basedOn w:val="a3"/>
    <w:link w:val="af7"/>
    <w:qFormat/>
    <w:rPr>
      <w:rFonts w:ascii="Times New Roman" w:eastAsia="宋体" w:hAnsi="Times New Roman" w:cs="Times New Roman"/>
      <w:szCs w:val="24"/>
    </w:rPr>
  </w:style>
  <w:style w:type="character" w:customStyle="1" w:styleId="ab">
    <w:name w:val="电子邮件签名 字符"/>
    <w:basedOn w:val="a3"/>
    <w:link w:val="aa"/>
    <w:qFormat/>
    <w:rPr>
      <w:rFonts w:ascii="Times New Roman" w:eastAsia="宋体" w:hAnsi="Times New Roman" w:cs="Times New Roman"/>
      <w:szCs w:val="24"/>
    </w:rPr>
  </w:style>
  <w:style w:type="character" w:customStyle="1" w:styleId="afa">
    <w:name w:val="结束语 字符"/>
    <w:basedOn w:val="a3"/>
    <w:link w:val="af9"/>
    <w:qFormat/>
    <w:rPr>
      <w:rFonts w:ascii="Times New Roman" w:eastAsia="宋体" w:hAnsi="Times New Roman" w:cs="Times New Roman"/>
      <w:szCs w:val="24"/>
    </w:rPr>
  </w:style>
  <w:style w:type="character" w:customStyle="1" w:styleId="afff">
    <w:name w:val="签名 字符"/>
    <w:basedOn w:val="a3"/>
    <w:link w:val="affe"/>
    <w:qFormat/>
    <w:rPr>
      <w:rFonts w:ascii="Times New Roman" w:eastAsia="宋体" w:hAnsi="Times New Roman" w:cs="Times New Roman"/>
      <w:szCs w:val="24"/>
    </w:rPr>
  </w:style>
  <w:style w:type="character" w:customStyle="1" w:styleId="afffffffffffffffffffffffffffffffffc">
    <w:name w:val="上标"/>
    <w:semiHidden/>
    <w:qFormat/>
    <w:rPr>
      <w:vertAlign w:val="superscript"/>
    </w:rPr>
  </w:style>
  <w:style w:type="character" w:customStyle="1" w:styleId="afff7">
    <w:name w:val="信息标题 字符"/>
    <w:basedOn w:val="a3"/>
    <w:link w:val="afff6"/>
    <w:qFormat/>
    <w:rPr>
      <w:rFonts w:ascii="Arial" w:eastAsia="宋体" w:hAnsi="Arial" w:cs="Arial"/>
      <w:szCs w:val="24"/>
      <w:shd w:val="pct20" w:color="auto" w:fill="auto"/>
    </w:rPr>
  </w:style>
  <w:style w:type="character" w:customStyle="1" w:styleId="Charffffff1">
    <w:name w:val="正文 Char"/>
    <w:qFormat/>
    <w:rPr>
      <w:rFonts w:eastAsia="宋体"/>
      <w:kern w:val="2"/>
      <w:sz w:val="24"/>
      <w:szCs w:val="24"/>
      <w:lang w:val="en-US" w:eastAsia="zh-CN" w:bidi="ar-SA"/>
    </w:rPr>
  </w:style>
  <w:style w:type="character" w:customStyle="1" w:styleId="afffffffffffffffffffffffffffffffffd">
    <w:name w:val="重点"/>
    <w:semiHidden/>
    <w:qFormat/>
    <w:rPr>
      <w:i/>
    </w:rPr>
  </w:style>
  <w:style w:type="character" w:customStyle="1" w:styleId="afffffffffffffffffffffffffffffffffe">
    <w:name w:val="重点引导"/>
    <w:semiHidden/>
    <w:qFormat/>
    <w:rPr>
      <w:b/>
      <w:i/>
    </w:rPr>
  </w:style>
  <w:style w:type="character" w:customStyle="1" w:styleId="Char12">
    <w:name w:val="正 Char1"/>
    <w:link w:val="afffffffffff7"/>
    <w:qFormat/>
    <w:rPr>
      <w:rFonts w:ascii="Times New Roman" w:eastAsia="宋体" w:hAnsi="Times New Roman" w:cs="Times New Roman"/>
      <w:kern w:val="0"/>
      <w:sz w:val="24"/>
      <w:szCs w:val="20"/>
    </w:rPr>
  </w:style>
  <w:style w:type="character" w:customStyle="1" w:styleId="Chare">
    <w:name w:val="图表名称 Char"/>
    <w:link w:val="afffffffffff8"/>
    <w:qFormat/>
    <w:rPr>
      <w:rFonts w:ascii="Times New Roman" w:eastAsia="黑体" w:hAnsi="Times New Roman" w:cs="Times New Roman"/>
      <w:b/>
      <w:bCs/>
      <w:kern w:val="0"/>
      <w:sz w:val="24"/>
      <w:szCs w:val="21"/>
    </w:rPr>
  </w:style>
  <w:style w:type="character" w:customStyle="1" w:styleId="TimesNewRomanChar">
    <w:name w:val="样式 纯文本 + Times New Roman 四号 Char"/>
    <w:link w:val="TimesNewRoman"/>
    <w:qFormat/>
    <w:rPr>
      <w:rFonts w:ascii="Times New Roman" w:eastAsia="宋体" w:hAnsi="Times New Roman"/>
      <w:sz w:val="28"/>
      <w:szCs w:val="21"/>
    </w:rPr>
  </w:style>
  <w:style w:type="character" w:customStyle="1" w:styleId="Charf">
    <w:name w:val="正文++++++++++ Char"/>
    <w:link w:val="afffffffffff9"/>
    <w:qFormat/>
    <w:rPr>
      <w:rFonts w:ascii="Times New Roman" w:eastAsia="宋体" w:hAnsi="Times New Roman" w:cs="Times New Roman"/>
      <w:kern w:val="0"/>
      <w:sz w:val="24"/>
      <w:szCs w:val="20"/>
    </w:rPr>
  </w:style>
  <w:style w:type="character" w:customStyle="1" w:styleId="3CharChar1">
    <w:name w:val="标题 3 Char Char"/>
    <w:qFormat/>
    <w:rPr>
      <w:rFonts w:eastAsia="宋体"/>
      <w:spacing w:val="-2"/>
      <w:sz w:val="28"/>
      <w:szCs w:val="28"/>
      <w:lang w:val="en-US" w:eastAsia="zh-CN" w:bidi="ar-SA"/>
    </w:rPr>
  </w:style>
  <w:style w:type="character" w:customStyle="1" w:styleId="2004">
    <w:name w:val="表格文字2004"/>
    <w:qFormat/>
    <w:rPr>
      <w:rFonts w:eastAsia="宋体"/>
      <w:sz w:val="24"/>
    </w:rPr>
  </w:style>
  <w:style w:type="character" w:customStyle="1" w:styleId="mytext1">
    <w:name w:val="mytext1"/>
    <w:basedOn w:val="a3"/>
    <w:qFormat/>
  </w:style>
  <w:style w:type="character" w:customStyle="1" w:styleId="Charffffff2">
    <w:name w:val="表中文字 Char"/>
    <w:qFormat/>
    <w:rPr>
      <w:rFonts w:eastAsia="宋体"/>
      <w:sz w:val="24"/>
      <w:lang w:val="en-US" w:eastAsia="zh-CN" w:bidi="ar-SA"/>
    </w:rPr>
  </w:style>
  <w:style w:type="character" w:customStyle="1" w:styleId="5Char1">
    <w:name w:val="5 Char"/>
    <w:link w:val="5f5"/>
    <w:qFormat/>
    <w:rPr>
      <w:rFonts w:ascii="Times New Roman" w:eastAsia="宋体" w:hAnsi="Times New Roman" w:cs="Times New Roman"/>
      <w:kern w:val="0"/>
      <w:sz w:val="36"/>
      <w:szCs w:val="20"/>
    </w:rPr>
  </w:style>
  <w:style w:type="character" w:customStyle="1" w:styleId="3333331">
    <w:name w:val="3333331"/>
    <w:qFormat/>
    <w:rPr>
      <w:color w:val="333333"/>
      <w:sz w:val="18"/>
      <w:szCs w:val="18"/>
      <w:u w:val="none"/>
    </w:rPr>
  </w:style>
  <w:style w:type="character" w:customStyle="1" w:styleId="mainfont1">
    <w:name w:val="mainfont1"/>
    <w:qFormat/>
    <w:rPr>
      <w:color w:val="666666"/>
      <w:sz w:val="18"/>
      <w:szCs w:val="18"/>
      <w:u w:val="none"/>
    </w:rPr>
  </w:style>
  <w:style w:type="character" w:customStyle="1" w:styleId="mainfont21">
    <w:name w:val="mainfont21"/>
    <w:qFormat/>
    <w:rPr>
      <w:color w:val="666666"/>
      <w:sz w:val="18"/>
      <w:szCs w:val="18"/>
      <w:u w:val="none"/>
    </w:rPr>
  </w:style>
  <w:style w:type="character" w:customStyle="1" w:styleId="3ffff">
    <w:name w:val="标题3"/>
    <w:basedOn w:val="a3"/>
    <w:qFormat/>
  </w:style>
  <w:style w:type="character" w:customStyle="1" w:styleId="CharChar21">
    <w:name w:val="Char Char21"/>
    <w:qFormat/>
    <w:rPr>
      <w:rFonts w:ascii="宋体" w:eastAsia="宋体"/>
      <w:color w:val="000000"/>
      <w:sz w:val="36"/>
      <w:lang w:val="en-US" w:eastAsia="zh-CN" w:bidi="ar-SA"/>
    </w:rPr>
  </w:style>
  <w:style w:type="character" w:customStyle="1" w:styleId="afff4">
    <w:name w:val="脚注文本 字符"/>
    <w:basedOn w:val="a3"/>
    <w:link w:val="afff3"/>
    <w:qFormat/>
    <w:rPr>
      <w:rFonts w:ascii="Times New Roman" w:eastAsia="宋体" w:hAnsi="Times New Roman" w:cs="Times New Roman"/>
      <w:sz w:val="18"/>
      <w:szCs w:val="18"/>
    </w:rPr>
  </w:style>
  <w:style w:type="character" w:customStyle="1" w:styleId="affffffffffffffffffffffffffffffffff">
    <w:name w:val="样式 宋体 四号"/>
    <w:qFormat/>
    <w:rPr>
      <w:rFonts w:ascii="宋体" w:hAnsi="宋体"/>
      <w:sz w:val="28"/>
    </w:rPr>
  </w:style>
  <w:style w:type="character" w:customStyle="1" w:styleId="CharChar22">
    <w:name w:val="Char Char22"/>
    <w:qFormat/>
    <w:rPr>
      <w:rFonts w:eastAsia="宋体"/>
      <w:kern w:val="2"/>
      <w:sz w:val="21"/>
      <w:szCs w:val="24"/>
      <w:lang w:val="en-US" w:eastAsia="zh-CN" w:bidi="ar-SA"/>
    </w:rPr>
  </w:style>
  <w:style w:type="character" w:customStyle="1" w:styleId="CharChar200">
    <w:name w:val="Char Char20"/>
    <w:qFormat/>
    <w:rPr>
      <w:rFonts w:eastAsia="黑体"/>
      <w:kern w:val="2"/>
      <w:sz w:val="24"/>
      <w:szCs w:val="24"/>
      <w:lang w:val="en-US" w:eastAsia="zh-CN" w:bidi="ar-SA"/>
    </w:rPr>
  </w:style>
  <w:style w:type="character" w:customStyle="1" w:styleId="CharChar19">
    <w:name w:val="Char Char19"/>
    <w:qFormat/>
    <w:rPr>
      <w:rFonts w:eastAsia="宋体"/>
      <w:kern w:val="2"/>
      <w:sz w:val="24"/>
      <w:szCs w:val="24"/>
      <w:lang w:val="en-US" w:eastAsia="zh-CN" w:bidi="ar-SA"/>
    </w:rPr>
  </w:style>
  <w:style w:type="character" w:customStyle="1" w:styleId="CharChar17">
    <w:name w:val="Char Char17"/>
    <w:qFormat/>
    <w:rPr>
      <w:rFonts w:eastAsia="宋体"/>
      <w:kern w:val="2"/>
      <w:sz w:val="21"/>
      <w:szCs w:val="24"/>
      <w:lang w:val="en-US" w:eastAsia="zh-CN" w:bidi="ar-SA"/>
    </w:rPr>
  </w:style>
  <w:style w:type="character" w:customStyle="1" w:styleId="CharChar16">
    <w:name w:val="Char Char16"/>
    <w:qFormat/>
    <w:rPr>
      <w:rFonts w:eastAsia="黑体" w:cs="Arial"/>
      <w:bCs/>
      <w:kern w:val="28"/>
      <w:sz w:val="24"/>
      <w:szCs w:val="32"/>
      <w:lang w:val="en-US" w:eastAsia="zh-CN" w:bidi="ar-SA"/>
    </w:rPr>
  </w:style>
  <w:style w:type="character" w:customStyle="1" w:styleId="CharChar15">
    <w:name w:val="Char Char15"/>
    <w:semiHidden/>
    <w:qFormat/>
    <w:rPr>
      <w:rFonts w:eastAsia="宋体"/>
      <w:kern w:val="2"/>
      <w:sz w:val="18"/>
      <w:szCs w:val="18"/>
      <w:lang w:val="en-US" w:eastAsia="zh-CN" w:bidi="ar-SA"/>
    </w:rPr>
  </w:style>
  <w:style w:type="character" w:customStyle="1" w:styleId="CharChar14">
    <w:name w:val="Char Char14"/>
    <w:qFormat/>
    <w:rPr>
      <w:rFonts w:eastAsia="宋体"/>
      <w:spacing w:val="6"/>
      <w:kern w:val="2"/>
      <w:sz w:val="24"/>
      <w:szCs w:val="24"/>
      <w:lang w:val="en-US" w:eastAsia="zh-CN" w:bidi="ar-SA"/>
    </w:rPr>
  </w:style>
  <w:style w:type="character" w:customStyle="1" w:styleId="CharChar13">
    <w:name w:val="Char Char13"/>
    <w:semiHidden/>
    <w:qFormat/>
    <w:rPr>
      <w:rFonts w:eastAsia="宋体"/>
      <w:lang w:val="en-US" w:eastAsia="zh-CN" w:bidi="ar-SA"/>
    </w:rPr>
  </w:style>
  <w:style w:type="character" w:customStyle="1" w:styleId="Charf2">
    <w:name w:val="报告正文 Char"/>
    <w:link w:val="affffffffffff5"/>
    <w:qFormat/>
    <w:rPr>
      <w:rFonts w:ascii="Times New Roman" w:eastAsia="宋体" w:hAnsi="Times New Roman" w:cs="Times New Roman"/>
      <w:color w:val="000000"/>
      <w:kern w:val="0"/>
      <w:sz w:val="24"/>
      <w:szCs w:val="24"/>
    </w:rPr>
  </w:style>
  <w:style w:type="character" w:customStyle="1" w:styleId="-CharChar">
    <w:name w:val="可研-正文首行缩进 Char Char"/>
    <w:qFormat/>
    <w:rPr>
      <w:rFonts w:eastAsia="宋体"/>
      <w:spacing w:val="6"/>
      <w:kern w:val="2"/>
      <w:sz w:val="24"/>
      <w:szCs w:val="24"/>
      <w:lang w:val="en-US" w:eastAsia="zh-CN" w:bidi="ar-SA"/>
    </w:rPr>
  </w:style>
  <w:style w:type="character" w:customStyle="1" w:styleId="H3Char1">
    <w:name w:val="H3 Char1"/>
    <w:qFormat/>
    <w:rPr>
      <w:rFonts w:ascii="宋体" w:eastAsia="宋体"/>
      <w:b/>
      <w:bCs/>
      <w:spacing w:val="16"/>
      <w:kern w:val="2"/>
      <w:sz w:val="24"/>
      <w:szCs w:val="32"/>
      <w:lang w:val="en-US" w:eastAsia="zh-CN" w:bidi="ar-SA"/>
    </w:rPr>
  </w:style>
  <w:style w:type="character" w:customStyle="1" w:styleId="Charf3">
    <w:name w:val="正文格式 Char"/>
    <w:link w:val="affffffffffff6"/>
    <w:qFormat/>
    <w:rPr>
      <w:rFonts w:ascii="Times New Roman" w:eastAsia="宋体" w:hAnsi="Times New Roman" w:cs="Times New Roman"/>
      <w:kern w:val="0"/>
      <w:sz w:val="24"/>
      <w:szCs w:val="20"/>
    </w:rPr>
  </w:style>
  <w:style w:type="character" w:customStyle="1" w:styleId="1Char13">
    <w:name w:val="页眉1 Char1"/>
    <w:qFormat/>
    <w:rPr>
      <w:rFonts w:eastAsia="宋体"/>
      <w:kern w:val="2"/>
      <w:sz w:val="18"/>
      <w:szCs w:val="18"/>
      <w:lang w:val="en-US" w:eastAsia="zh-CN" w:bidi="ar-SA"/>
    </w:rPr>
  </w:style>
  <w:style w:type="character" w:customStyle="1" w:styleId="-CharChar1">
    <w:name w:val="可研-正文首行缩进 Char Char1"/>
    <w:qFormat/>
    <w:rPr>
      <w:rFonts w:ascii="Times New Roman" w:eastAsia="宋体" w:hAnsi="Times New Roman" w:cs="Times New Roman"/>
      <w:spacing w:val="6"/>
      <w:kern w:val="2"/>
      <w:sz w:val="24"/>
      <w:szCs w:val="24"/>
      <w:lang w:val="en-US" w:eastAsia="zh-CN" w:bidi="ar-SA"/>
    </w:rPr>
  </w:style>
  <w:style w:type="character" w:customStyle="1" w:styleId="Char1f">
    <w:name w:val="章节标题 Char1"/>
    <w:qFormat/>
    <w:rPr>
      <w:rFonts w:eastAsia="宋体"/>
      <w:b/>
      <w:sz w:val="24"/>
      <w:szCs w:val="24"/>
      <w:lang w:val="en-US" w:eastAsia="zh-CN" w:bidi="ar-SA"/>
    </w:rPr>
  </w:style>
  <w:style w:type="character" w:customStyle="1" w:styleId="H2Char2">
    <w:name w:val="H2 Char2"/>
    <w:qFormat/>
    <w:rPr>
      <w:rFonts w:eastAsia="黑体"/>
      <w:b/>
      <w:kern w:val="2"/>
      <w:sz w:val="32"/>
      <w:lang w:val="en-US" w:eastAsia="zh-CN" w:bidi="ar-SA"/>
    </w:rPr>
  </w:style>
  <w:style w:type="character" w:customStyle="1" w:styleId="H3Char2">
    <w:name w:val="H3 Char2"/>
    <w:qFormat/>
    <w:rPr>
      <w:rFonts w:ascii="宋体" w:eastAsia="宋体"/>
      <w:b/>
      <w:bCs/>
      <w:spacing w:val="16"/>
      <w:kern w:val="2"/>
      <w:sz w:val="24"/>
      <w:szCs w:val="32"/>
      <w:lang w:val="en-US" w:eastAsia="zh-CN" w:bidi="ar-SA"/>
    </w:rPr>
  </w:style>
  <w:style w:type="character" w:customStyle="1" w:styleId="Char13">
    <w:name w:val="表内格式 Char1"/>
    <w:link w:val="affffffffffff7"/>
    <w:qFormat/>
    <w:rPr>
      <w:rFonts w:ascii="Times New Roman" w:eastAsia="宋体" w:hAnsi="Times New Roman" w:cs="Times New Roman"/>
      <w:kern w:val="0"/>
      <w:sz w:val="18"/>
      <w:szCs w:val="20"/>
    </w:rPr>
  </w:style>
  <w:style w:type="character" w:customStyle="1" w:styleId="1Char12">
    <w:name w:val="表头样式1 Char1"/>
    <w:link w:val="1ffd"/>
    <w:qFormat/>
    <w:rPr>
      <w:rFonts w:ascii="Times New Roman" w:eastAsia="黑体" w:hAnsi="Times New Roman" w:cs="Times New Roman"/>
      <w:b/>
      <w:kern w:val="0"/>
      <w:sz w:val="24"/>
      <w:szCs w:val="20"/>
    </w:rPr>
  </w:style>
  <w:style w:type="character" w:customStyle="1" w:styleId="style6">
    <w:name w:val="style6"/>
    <w:basedOn w:val="a3"/>
    <w:qFormat/>
  </w:style>
  <w:style w:type="character" w:customStyle="1" w:styleId="Char18">
    <w:name w:val="正文缩进 Char1"/>
    <w:link w:val="affffffffffffffffffff0"/>
    <w:qFormat/>
    <w:rPr>
      <w:rFonts w:eastAsia="宋体"/>
      <w:szCs w:val="24"/>
    </w:rPr>
  </w:style>
  <w:style w:type="character" w:customStyle="1" w:styleId="Charf5">
    <w:name w:val="样式表 Char"/>
    <w:link w:val="affffffffffffb"/>
    <w:qFormat/>
    <w:rPr>
      <w:rFonts w:ascii="Times New Roman" w:eastAsia="黑体" w:hAnsi="Times New Roman" w:cs="Times New Roman"/>
      <w:color w:val="000000"/>
      <w:kern w:val="0"/>
      <w:sz w:val="24"/>
      <w:szCs w:val="24"/>
    </w:rPr>
  </w:style>
  <w:style w:type="character" w:customStyle="1" w:styleId="1CharChar1">
    <w:name w:val="段落1 Char Char1"/>
    <w:qFormat/>
    <w:rPr>
      <w:rFonts w:eastAsia="宋体"/>
      <w:color w:val="000000"/>
      <w:spacing w:val="8"/>
      <w:kern w:val="2"/>
      <w:sz w:val="24"/>
      <w:szCs w:val="21"/>
      <w:lang w:val="en-US" w:eastAsia="zh-CN" w:bidi="ar-SA"/>
    </w:rPr>
  </w:style>
  <w:style w:type="character" w:customStyle="1" w:styleId="af">
    <w:name w:val="题注 字符"/>
    <w:link w:val="ae"/>
    <w:qFormat/>
    <w:rPr>
      <w:rFonts w:ascii="Calibri Light" w:eastAsia="黑体" w:hAnsi="Calibri Light" w:cs="Times New Roman"/>
      <w:kern w:val="0"/>
      <w:sz w:val="20"/>
      <w:szCs w:val="20"/>
    </w:rPr>
  </w:style>
  <w:style w:type="character" w:customStyle="1" w:styleId="f151">
    <w:name w:val="f151"/>
    <w:qFormat/>
    <w:rPr>
      <w:rFonts w:eastAsia="宋体"/>
      <w:color w:val="000000"/>
      <w:kern w:val="2"/>
      <w:sz w:val="23"/>
      <w:szCs w:val="23"/>
      <w:lang w:val="en-US" w:eastAsia="zh-CN" w:bidi="ar-SA"/>
    </w:rPr>
  </w:style>
  <w:style w:type="character" w:customStyle="1" w:styleId="large1">
    <w:name w:val="large1"/>
    <w:qFormat/>
    <w:rPr>
      <w:rFonts w:ascii="宋体" w:eastAsia="宋体" w:hAnsi="宋体" w:hint="eastAsia"/>
      <w:color w:val="000000"/>
      <w:kern w:val="2"/>
      <w:sz w:val="22"/>
      <w:szCs w:val="22"/>
      <w:lang w:val="en-US" w:eastAsia="zh-CN" w:bidi="ar-SA"/>
    </w:rPr>
  </w:style>
  <w:style w:type="character" w:customStyle="1" w:styleId="1Char3">
    <w:name w:val="段落1 Char"/>
    <w:link w:val="1ff6"/>
    <w:qFormat/>
    <w:rPr>
      <w:rFonts w:ascii="Times New Roman" w:eastAsia="宋体" w:hAnsi="Times New Roman" w:cs="Times New Roman"/>
      <w:spacing w:val="4"/>
      <w:kern w:val="0"/>
      <w:sz w:val="24"/>
      <w:szCs w:val="20"/>
    </w:rPr>
  </w:style>
  <w:style w:type="character" w:customStyle="1" w:styleId="2Char0">
    <w:name w:val="正文2 Char"/>
    <w:link w:val="2ffd"/>
    <w:qFormat/>
    <w:rPr>
      <w:rFonts w:ascii="Times New Roman" w:eastAsia="宋体" w:hAnsi="Times New Roman" w:cs="Times New Roman"/>
      <w:kern w:val="0"/>
      <w:sz w:val="24"/>
      <w:szCs w:val="20"/>
    </w:rPr>
  </w:style>
  <w:style w:type="character" w:customStyle="1" w:styleId="CharCharCharChar20">
    <w:name w:val="Char Char Char Char2"/>
    <w:qFormat/>
    <w:rPr>
      <w:rFonts w:eastAsia="宋体"/>
      <w:color w:val="000000"/>
      <w:kern w:val="2"/>
      <w:sz w:val="21"/>
      <w:szCs w:val="24"/>
      <w:lang w:val="en-US" w:eastAsia="zh-CN" w:bidi="ar-SA"/>
    </w:rPr>
  </w:style>
  <w:style w:type="character" w:customStyle="1" w:styleId="GB231220">
    <w:name w:val="样式 仿宋_GB2312 小四2"/>
    <w:qFormat/>
    <w:rPr>
      <w:rFonts w:ascii="Times New Roman" w:eastAsia="仿宋_GB2312" w:hAnsi="Times New Roman"/>
      <w:color w:val="000000"/>
      <w:kern w:val="2"/>
      <w:sz w:val="24"/>
      <w:szCs w:val="24"/>
      <w:lang w:val="en-US" w:eastAsia="zh-CN" w:bidi="ar-SA"/>
    </w:rPr>
  </w:style>
  <w:style w:type="character" w:customStyle="1" w:styleId="1CharChar0">
    <w:name w:val="段落1 Char Char"/>
    <w:qFormat/>
    <w:rPr>
      <w:rFonts w:eastAsia="宋体"/>
      <w:color w:val="000000"/>
      <w:spacing w:val="8"/>
      <w:kern w:val="2"/>
      <w:sz w:val="24"/>
      <w:szCs w:val="21"/>
      <w:lang w:val="en-US" w:eastAsia="zh-CN" w:bidi="ar-SA"/>
    </w:rPr>
  </w:style>
  <w:style w:type="character" w:customStyle="1" w:styleId="1Charb">
    <w:name w:val="表1 Char"/>
    <w:qFormat/>
    <w:rPr>
      <w:rFonts w:eastAsia="黑体"/>
      <w:color w:val="000000"/>
      <w:spacing w:val="10"/>
      <w:kern w:val="2"/>
      <w:sz w:val="24"/>
      <w:szCs w:val="21"/>
      <w:lang w:val="en-US" w:eastAsia="zh-CN" w:bidi="ar-SA"/>
    </w:rPr>
  </w:style>
  <w:style w:type="character" w:customStyle="1" w:styleId="CharCharf">
    <w:name w:val="表 头 Char Char"/>
    <w:qFormat/>
    <w:rPr>
      <w:rFonts w:eastAsia="黑体"/>
      <w:color w:val="000000"/>
      <w:spacing w:val="10"/>
      <w:kern w:val="2"/>
      <w:sz w:val="24"/>
      <w:szCs w:val="21"/>
      <w:lang w:val="en-US" w:eastAsia="zh-CN" w:bidi="ar-SA"/>
    </w:rPr>
  </w:style>
  <w:style w:type="character" w:customStyle="1" w:styleId="affffffffffffffffffffffffffffffffff0">
    <w:name w:val="职业"/>
    <w:qFormat/>
    <w:rPr>
      <w:i/>
    </w:rPr>
  </w:style>
  <w:style w:type="character" w:customStyle="1" w:styleId="1fffffff3">
    <w:name w:val="强调1"/>
    <w:qFormat/>
    <w:rPr>
      <w:i/>
    </w:rPr>
  </w:style>
  <w:style w:type="character" w:customStyle="1" w:styleId="Lead-inEmphasis">
    <w:name w:val="Lead-in Emphasis"/>
    <w:qFormat/>
    <w:rPr>
      <w:b/>
      <w:i/>
    </w:rPr>
  </w:style>
  <w:style w:type="character" w:customStyle="1" w:styleId="Superscript">
    <w:name w:val="Superscript"/>
    <w:qFormat/>
    <w:rPr>
      <w:vertAlign w:val="superscript"/>
    </w:rPr>
  </w:style>
  <w:style w:type="character" w:customStyle="1" w:styleId="CharCharf0">
    <w:name w:val="段落 Char Char"/>
    <w:qFormat/>
    <w:rPr>
      <w:rFonts w:eastAsia="宋体"/>
      <w:color w:val="000000"/>
      <w:spacing w:val="6"/>
      <w:kern w:val="24"/>
      <w:sz w:val="24"/>
      <w:szCs w:val="24"/>
      <w:lang w:val="en-US" w:eastAsia="zh-CN" w:bidi="ar-SA"/>
    </w:rPr>
  </w:style>
  <w:style w:type="character" w:customStyle="1" w:styleId="Charffffff3">
    <w:name w:val="表 Char"/>
    <w:qFormat/>
    <w:rPr>
      <w:rFonts w:eastAsia="黑体"/>
      <w:color w:val="000000"/>
      <w:spacing w:val="10"/>
      <w:kern w:val="2"/>
      <w:sz w:val="24"/>
      <w:szCs w:val="24"/>
      <w:lang w:val="en-US" w:eastAsia="zh-CN" w:bidi="ar-SA"/>
    </w:rPr>
  </w:style>
  <w:style w:type="character" w:customStyle="1" w:styleId="normaltext1">
    <w:name w:val="normaltext1"/>
    <w:qFormat/>
    <w:rPr>
      <w:rFonts w:eastAsia="宋体"/>
      <w:color w:val="000000"/>
      <w:kern w:val="2"/>
      <w:sz w:val="21"/>
      <w:szCs w:val="21"/>
      <w:lang w:val="en-US" w:eastAsia="zh-CN" w:bidi="ar-SA"/>
    </w:rPr>
  </w:style>
  <w:style w:type="character" w:customStyle="1" w:styleId="001Char">
    <w:name w:val="正文001 Char"/>
    <w:link w:val="001"/>
    <w:qFormat/>
    <w:rPr>
      <w:rFonts w:ascii="Arial" w:eastAsia="宋体" w:hAnsi="Arial" w:cs="Times New Roman"/>
      <w:kern w:val="0"/>
      <w:sz w:val="24"/>
      <w:szCs w:val="20"/>
    </w:rPr>
  </w:style>
  <w:style w:type="character" w:customStyle="1" w:styleId="001Char1">
    <w:name w:val="正文001 Char1"/>
    <w:qFormat/>
    <w:rPr>
      <w:rFonts w:ascii="Arial" w:eastAsia="宋体" w:hAnsi="Arial" w:cs="Arial"/>
      <w:color w:val="000000"/>
      <w:kern w:val="2"/>
      <w:sz w:val="24"/>
      <w:szCs w:val="21"/>
      <w:lang w:val="en-US" w:eastAsia="zh-CN" w:bidi="ar-SA"/>
    </w:rPr>
  </w:style>
  <w:style w:type="character" w:customStyle="1" w:styleId="f9wen1">
    <w:name w:val="f9wen1"/>
    <w:semiHidden/>
    <w:qFormat/>
    <w:rPr>
      <w:rFonts w:eastAsia="宋体"/>
      <w:color w:val="000000"/>
      <w:spacing w:val="12"/>
      <w:kern w:val="2"/>
      <w:sz w:val="18"/>
      <w:szCs w:val="18"/>
      <w:u w:val="none"/>
      <w:lang w:val="en-US" w:eastAsia="zh-CN" w:bidi="ar-SA"/>
    </w:rPr>
  </w:style>
  <w:style w:type="character" w:customStyle="1" w:styleId="1Charc">
    <w:name w:val="正文1 Char"/>
    <w:qFormat/>
    <w:rPr>
      <w:rFonts w:eastAsia="宋体"/>
      <w:color w:val="000000"/>
      <w:kern w:val="2"/>
      <w:sz w:val="24"/>
      <w:szCs w:val="24"/>
      <w:lang w:val="en-US" w:eastAsia="zh-CN" w:bidi="ar-SA"/>
    </w:rPr>
  </w:style>
  <w:style w:type="character" w:customStyle="1" w:styleId="unnamed31">
    <w:name w:val="unnamed31"/>
    <w:qFormat/>
    <w:rPr>
      <w:rFonts w:eastAsia="宋体"/>
      <w:color w:val="000000"/>
      <w:kern w:val="2"/>
      <w:sz w:val="18"/>
      <w:szCs w:val="18"/>
      <w:lang w:val="en-US" w:eastAsia="zh-CN" w:bidi="ar-SA"/>
    </w:rPr>
  </w:style>
  <w:style w:type="character" w:customStyle="1" w:styleId="xin11">
    <w:name w:val="xin11"/>
    <w:semiHidden/>
    <w:qFormat/>
    <w:rPr>
      <w:rFonts w:ascii="宋体" w:eastAsia="宋体" w:hAnsi="宋体" w:hint="eastAsia"/>
      <w:color w:val="666666"/>
      <w:kern w:val="2"/>
      <w:sz w:val="18"/>
      <w:szCs w:val="18"/>
      <w:u w:val="none"/>
      <w:lang w:val="en-US" w:eastAsia="zh-CN" w:bidi="ar-SA"/>
    </w:rPr>
  </w:style>
  <w:style w:type="character" w:customStyle="1" w:styleId="f10wentitle">
    <w:name w:val="f10wentitle"/>
    <w:semiHidden/>
    <w:qFormat/>
    <w:rPr>
      <w:rFonts w:eastAsia="宋体"/>
      <w:color w:val="000000"/>
      <w:kern w:val="2"/>
      <w:sz w:val="21"/>
      <w:szCs w:val="21"/>
      <w:lang w:val="en-US" w:eastAsia="zh-CN" w:bidi="ar-SA"/>
    </w:rPr>
  </w:style>
  <w:style w:type="character" w:customStyle="1" w:styleId="sb1">
    <w:name w:val="sb1"/>
    <w:semiHidden/>
    <w:qFormat/>
    <w:rPr>
      <w:rFonts w:eastAsia="宋体"/>
      <w:color w:val="000000"/>
      <w:kern w:val="2"/>
      <w:sz w:val="15"/>
      <w:szCs w:val="15"/>
      <w:vertAlign w:val="superscript"/>
      <w:lang w:val="en-US" w:eastAsia="zh-CN" w:bidi="ar-SA"/>
    </w:rPr>
  </w:style>
  <w:style w:type="character" w:customStyle="1" w:styleId="fs">
    <w:name w:val="fs"/>
    <w:semiHidden/>
    <w:qFormat/>
    <w:rPr>
      <w:rFonts w:eastAsia="宋体"/>
      <w:color w:val="000000"/>
      <w:kern w:val="2"/>
      <w:sz w:val="21"/>
      <w:szCs w:val="21"/>
      <w:lang w:val="en-US" w:eastAsia="zh-CN" w:bidi="ar-SA"/>
    </w:rPr>
  </w:style>
  <w:style w:type="character" w:customStyle="1" w:styleId="1Char11">
    <w:name w:val="正文1 Char1"/>
    <w:link w:val="111"/>
    <w:qFormat/>
    <w:rPr>
      <w:rFonts w:ascii="宋体" w:eastAsia="宋体" w:hAnsi="Times New Roman" w:cs="Times New Roman"/>
      <w:kern w:val="0"/>
      <w:sz w:val="24"/>
    </w:rPr>
  </w:style>
  <w:style w:type="character" w:customStyle="1" w:styleId="line21">
    <w:name w:val="line21"/>
    <w:qFormat/>
    <w:rPr>
      <w:rFonts w:eastAsia="宋体"/>
      <w:color w:val="666666"/>
      <w:kern w:val="2"/>
      <w:sz w:val="20"/>
      <w:szCs w:val="20"/>
      <w:u w:val="none"/>
      <w:lang w:val="en-US" w:eastAsia="zh-CN" w:bidi="ar-SA"/>
    </w:rPr>
  </w:style>
  <w:style w:type="character" w:customStyle="1" w:styleId="m11">
    <w:name w:val="m11"/>
    <w:qFormat/>
    <w:rPr>
      <w:rFonts w:eastAsia="宋体"/>
      <w:color w:val="000000"/>
      <w:kern w:val="2"/>
      <w:sz w:val="21"/>
      <w:szCs w:val="21"/>
      <w:lang w:val="en-US" w:eastAsia="zh-CN" w:bidi="ar-SA"/>
    </w:rPr>
  </w:style>
  <w:style w:type="character" w:customStyle="1" w:styleId="style161">
    <w:name w:val="style161"/>
    <w:qFormat/>
    <w:rPr>
      <w:rFonts w:eastAsia="宋体"/>
      <w:color w:val="000000"/>
      <w:kern w:val="2"/>
      <w:sz w:val="21"/>
      <w:szCs w:val="21"/>
      <w:lang w:val="en-US" w:eastAsia="zh-CN" w:bidi="ar-SA"/>
    </w:rPr>
  </w:style>
  <w:style w:type="character" w:customStyle="1" w:styleId="biaoti1">
    <w:name w:val="biaoti1"/>
    <w:qFormat/>
    <w:rPr>
      <w:rFonts w:eastAsia="宋体"/>
      <w:b/>
      <w:bCs/>
      <w:color w:val="000099"/>
      <w:kern w:val="2"/>
      <w:sz w:val="24"/>
      <w:szCs w:val="24"/>
      <w:lang w:val="en-US" w:eastAsia="zh-CN" w:bidi="ar-SA"/>
    </w:rPr>
  </w:style>
  <w:style w:type="character" w:customStyle="1" w:styleId="Char15">
    <w:name w:val="首行缩进正文 Char1"/>
    <w:link w:val="afffffffffffffffd"/>
    <w:qFormat/>
    <w:rPr>
      <w:rFonts w:ascii="Times New Roman" w:eastAsia="宋体" w:hAnsi="Times New Roman" w:cs="Times New Roman"/>
      <w:kern w:val="0"/>
      <w:sz w:val="24"/>
      <w:szCs w:val="24"/>
    </w:rPr>
  </w:style>
  <w:style w:type="character" w:customStyle="1" w:styleId="Charfd">
    <w:name w:val="题注（图、表） Char"/>
    <w:link w:val="affffffffffffffff"/>
    <w:qFormat/>
    <w:rPr>
      <w:rFonts w:ascii="Arial" w:eastAsia="黑体" w:hAnsi="Arial" w:cs="Times New Roman"/>
      <w:kern w:val="0"/>
      <w:sz w:val="24"/>
      <w:szCs w:val="24"/>
    </w:rPr>
  </w:style>
  <w:style w:type="character" w:customStyle="1" w:styleId="Charfc">
    <w:name w:val="图片样式 Char"/>
    <w:link w:val="afffffffffffffffe"/>
    <w:qFormat/>
    <w:rPr>
      <w:rFonts w:ascii="Times New Roman" w:eastAsia="宋体" w:hAnsi="Times New Roman" w:cs="Times New Roman"/>
      <w:kern w:val="0"/>
      <w:sz w:val="24"/>
      <w:szCs w:val="20"/>
    </w:rPr>
  </w:style>
  <w:style w:type="character" w:customStyle="1" w:styleId="Charffffff4">
    <w:name w:val="表格编号 Char"/>
    <w:qFormat/>
    <w:rPr>
      <w:rFonts w:eastAsia="宋体"/>
      <w:color w:val="000000"/>
      <w:kern w:val="2"/>
      <w:sz w:val="21"/>
      <w:szCs w:val="21"/>
      <w:lang w:val="en-US" w:eastAsia="zh-CN" w:bidi="ar-SA"/>
    </w:rPr>
  </w:style>
  <w:style w:type="character" w:customStyle="1" w:styleId="Char1Char">
    <w:name w:val="题注 Char1 Char"/>
    <w:qFormat/>
    <w:rPr>
      <w:rFonts w:eastAsia="宋体" w:cs="Arial"/>
      <w:color w:val="000000"/>
      <w:kern w:val="2"/>
      <w:sz w:val="24"/>
      <w:szCs w:val="21"/>
      <w:lang w:val="en-US" w:eastAsia="zh-CN" w:bidi="ar-SA"/>
    </w:rPr>
  </w:style>
  <w:style w:type="character" w:customStyle="1" w:styleId="CharCharf1">
    <w:name w:val="图表注 Char Char"/>
    <w:qFormat/>
    <w:rPr>
      <w:rFonts w:ascii="宋体" w:eastAsia="宋体" w:hAnsi="宋体" w:cs="Arial"/>
      <w:b/>
      <w:color w:val="000000"/>
      <w:kern w:val="2"/>
      <w:sz w:val="24"/>
      <w:szCs w:val="21"/>
      <w:lang w:val="en-US" w:eastAsia="zh-CN" w:bidi="ar-SA"/>
    </w:rPr>
  </w:style>
  <w:style w:type="character" w:customStyle="1" w:styleId="style2">
    <w:name w:val="style2"/>
    <w:qFormat/>
    <w:rPr>
      <w:rFonts w:eastAsia="宋体"/>
      <w:color w:val="000000"/>
      <w:kern w:val="2"/>
      <w:sz w:val="21"/>
      <w:szCs w:val="21"/>
      <w:lang w:val="en-US" w:eastAsia="zh-CN" w:bidi="ar-SA"/>
    </w:rPr>
  </w:style>
  <w:style w:type="character" w:customStyle="1" w:styleId="textcontents">
    <w:name w:val="textcontents"/>
    <w:qFormat/>
    <w:rPr>
      <w:rFonts w:eastAsia="宋体"/>
      <w:color w:val="000000"/>
      <w:kern w:val="2"/>
      <w:sz w:val="21"/>
      <w:szCs w:val="21"/>
      <w:lang w:val="en-US" w:eastAsia="zh-CN" w:bidi="ar-SA"/>
    </w:rPr>
  </w:style>
  <w:style w:type="character" w:customStyle="1" w:styleId="CharCharChar5">
    <w:name w:val="正文文本缩进 Char Char Char"/>
    <w:qFormat/>
    <w:locked/>
    <w:rPr>
      <w:rFonts w:ascii="宋体" w:eastAsia="宋体" w:hAnsi="宋体"/>
      <w:color w:val="000000"/>
      <w:spacing w:val="20"/>
      <w:kern w:val="2"/>
      <w:sz w:val="24"/>
      <w:szCs w:val="21"/>
      <w:lang w:val="en-US" w:eastAsia="zh-CN" w:bidi="ar-SA"/>
    </w:rPr>
  </w:style>
  <w:style w:type="character" w:customStyle="1" w:styleId="1CharChar2">
    <w:name w:val="表1 Char Char"/>
    <w:qFormat/>
    <w:rPr>
      <w:rFonts w:eastAsia="宋体"/>
      <w:color w:val="000000"/>
      <w:kern w:val="2"/>
      <w:sz w:val="21"/>
      <w:szCs w:val="21"/>
      <w:lang w:val="en-US" w:eastAsia="zh-CN" w:bidi="ar-SA"/>
    </w:rPr>
  </w:style>
  <w:style w:type="character" w:customStyle="1" w:styleId="11p1">
    <w:name w:val="11p1"/>
    <w:qFormat/>
    <w:rPr>
      <w:rFonts w:eastAsia="宋体"/>
      <w:color w:val="000000"/>
      <w:kern w:val="2"/>
      <w:sz w:val="23"/>
      <w:szCs w:val="23"/>
      <w:lang w:val="en-US" w:eastAsia="zh-CN" w:bidi="ar-SA"/>
    </w:rPr>
  </w:style>
  <w:style w:type="character" w:customStyle="1" w:styleId="CharChar11">
    <w:name w:val="正文格式 Char Char1"/>
    <w:qFormat/>
    <w:locked/>
    <w:rPr>
      <w:rFonts w:ascii="宋体" w:eastAsia="宋体" w:hAnsi="宋体" w:cs="宋体"/>
      <w:color w:val="000000"/>
      <w:kern w:val="2"/>
      <w:sz w:val="24"/>
      <w:szCs w:val="24"/>
      <w:lang w:val="en-US" w:eastAsia="zh-CN" w:bidi="ar-SA"/>
    </w:rPr>
  </w:style>
  <w:style w:type="character" w:customStyle="1" w:styleId="CharCharCharChar0">
    <w:name w:val="正文格式 Char Char Char Char"/>
    <w:link w:val="CharCharChar1"/>
    <w:qFormat/>
    <w:rPr>
      <w:rFonts w:ascii="Times New Roman" w:eastAsia="宋体" w:hAnsi="Times New Roman" w:cs="Times New Roman"/>
      <w:spacing w:val="4"/>
      <w:kern w:val="0"/>
      <w:sz w:val="24"/>
      <w:szCs w:val="24"/>
    </w:rPr>
  </w:style>
  <w:style w:type="character" w:customStyle="1" w:styleId="wz">
    <w:name w:val="wz"/>
    <w:qFormat/>
    <w:rPr>
      <w:rFonts w:eastAsia="宋体"/>
      <w:color w:val="000000"/>
      <w:kern w:val="2"/>
      <w:sz w:val="21"/>
      <w:szCs w:val="21"/>
      <w:lang w:val="en-US" w:eastAsia="zh-CN" w:bidi="ar-SA"/>
    </w:rPr>
  </w:style>
  <w:style w:type="character" w:customStyle="1" w:styleId="tit2">
    <w:name w:val="tit2"/>
    <w:qFormat/>
    <w:rPr>
      <w:rFonts w:eastAsia="宋体"/>
      <w:b/>
      <w:bCs/>
      <w:color w:val="000000"/>
      <w:kern w:val="2"/>
      <w:sz w:val="48"/>
      <w:szCs w:val="48"/>
      <w:lang w:val="en-US" w:eastAsia="zh-CN" w:bidi="ar-SA"/>
    </w:rPr>
  </w:style>
  <w:style w:type="character" w:customStyle="1" w:styleId="highlight1">
    <w:name w:val="highlight1"/>
    <w:qFormat/>
    <w:rPr>
      <w:rFonts w:eastAsia="宋体"/>
      <w:color w:val="000000"/>
      <w:kern w:val="2"/>
      <w:sz w:val="21"/>
      <w:szCs w:val="21"/>
      <w:lang w:val="en-US" w:eastAsia="zh-CN" w:bidi="ar-SA"/>
    </w:rPr>
  </w:style>
  <w:style w:type="character" w:customStyle="1" w:styleId="oo1">
    <w:name w:val="oo1"/>
    <w:qFormat/>
    <w:rPr>
      <w:rFonts w:eastAsia="宋体"/>
      <w:color w:val="000000"/>
      <w:spacing w:val="284"/>
      <w:kern w:val="2"/>
      <w:sz w:val="21"/>
      <w:szCs w:val="21"/>
      <w:lang w:val="en-US" w:eastAsia="zh-CN" w:bidi="ar-SA"/>
    </w:rPr>
  </w:style>
  <w:style w:type="character" w:customStyle="1" w:styleId="compcontent">
    <w:name w:val="comp_content"/>
    <w:qFormat/>
    <w:rPr>
      <w:rFonts w:eastAsia="宋体" w:hint="default"/>
      <w:color w:val="000000"/>
      <w:kern w:val="2"/>
      <w:sz w:val="21"/>
      <w:szCs w:val="21"/>
      <w:lang w:val="en-US" w:eastAsia="zh-CN" w:bidi="ar-SA"/>
    </w:rPr>
  </w:style>
  <w:style w:type="character" w:customStyle="1" w:styleId="CharCharf2">
    <w:name w:val="正文格式 Char Char"/>
    <w:qFormat/>
    <w:rPr>
      <w:rFonts w:eastAsia="宋体" w:cs="宋体"/>
      <w:color w:val="000000"/>
      <w:kern w:val="2"/>
      <w:sz w:val="24"/>
      <w:szCs w:val="24"/>
      <w:lang w:val="en-US" w:eastAsia="zh-CN" w:bidi="ar-SA"/>
    </w:rPr>
  </w:style>
  <w:style w:type="character" w:customStyle="1" w:styleId="CharChar12">
    <w:name w:val="图表注 Char Char1"/>
    <w:qFormat/>
    <w:rPr>
      <w:rFonts w:ascii="Arial" w:eastAsia="黑体" w:hAnsi="Arial" w:cs="Arial"/>
      <w:color w:val="000000"/>
      <w:kern w:val="2"/>
      <w:sz w:val="21"/>
      <w:szCs w:val="21"/>
      <w:lang w:val="en-US" w:eastAsia="zh-CN" w:bidi="ar-SA"/>
    </w:rPr>
  </w:style>
  <w:style w:type="character" w:customStyle="1" w:styleId="Char1f0">
    <w:name w:val="标题节 Char1"/>
    <w:qFormat/>
    <w:rPr>
      <w:rFonts w:eastAsia="黑体"/>
      <w:b/>
      <w:color w:val="000000"/>
      <w:kern w:val="2"/>
      <w:sz w:val="28"/>
      <w:szCs w:val="21"/>
      <w:lang w:val="en-US" w:eastAsia="zh-CN" w:bidi="ar-SA"/>
    </w:rPr>
  </w:style>
  <w:style w:type="character" w:customStyle="1" w:styleId="CharChar18">
    <w:name w:val="四 Char Char1"/>
    <w:qFormat/>
    <w:rPr>
      <w:rFonts w:eastAsia="宋体"/>
      <w:color w:val="000000"/>
      <w:kern w:val="2"/>
      <w:sz w:val="21"/>
      <w:szCs w:val="21"/>
      <w:lang w:val="en-US" w:eastAsia="zh-CN" w:bidi="ar-SA"/>
    </w:rPr>
  </w:style>
  <w:style w:type="character" w:customStyle="1" w:styleId="bfont1">
    <w:name w:val="bfont1"/>
    <w:qFormat/>
    <w:rPr>
      <w:rFonts w:ascii="Arial" w:eastAsia="宋体" w:hAnsi="Arial" w:hint="default"/>
      <w:color w:val="000000"/>
      <w:kern w:val="2"/>
      <w:sz w:val="18"/>
      <w:szCs w:val="21"/>
      <w:lang w:val="en-US" w:eastAsia="zh-CN" w:bidi="ar-SA"/>
    </w:rPr>
  </w:style>
  <w:style w:type="character" w:customStyle="1" w:styleId="style51">
    <w:name w:val="style51"/>
    <w:qFormat/>
    <w:rPr>
      <w:rFonts w:eastAsia="宋体"/>
      <w:color w:val="000000"/>
      <w:kern w:val="2"/>
      <w:sz w:val="21"/>
      <w:szCs w:val="21"/>
      <w:lang w:val="en-US" w:eastAsia="zh-CN" w:bidi="ar-SA"/>
    </w:rPr>
  </w:style>
  <w:style w:type="character" w:customStyle="1" w:styleId="CharChar5">
    <w:name w:val="四 Char Char"/>
    <w:link w:val="Charff0"/>
    <w:qFormat/>
    <w:rPr>
      <w:color w:val="000000"/>
      <w:sz w:val="28"/>
      <w:szCs w:val="21"/>
    </w:rPr>
  </w:style>
  <w:style w:type="character" w:customStyle="1" w:styleId="CharCharCharCharCharChar0">
    <w:name w:val="热电厂正文 Char Char Char Char Char Char"/>
    <w:qFormat/>
    <w:rPr>
      <w:rFonts w:eastAsia="宋体"/>
      <w:color w:val="000000"/>
      <w:kern w:val="2"/>
      <w:sz w:val="24"/>
      <w:szCs w:val="21"/>
      <w:lang w:val="en-US" w:eastAsia="zh-CN" w:bidi="ar-SA"/>
    </w:rPr>
  </w:style>
  <w:style w:type="character" w:customStyle="1" w:styleId="affffffffffffffffffffffffffffffffff1">
    <w:name w:val="样式 黑体 三号 加粗"/>
    <w:qFormat/>
    <w:rPr>
      <w:rFonts w:ascii="黑体" w:eastAsia="黑体" w:hAnsi="黑体"/>
      <w:b/>
      <w:color w:val="000000"/>
      <w:kern w:val="2"/>
      <w:sz w:val="44"/>
      <w:szCs w:val="21"/>
      <w:lang w:val="en-US" w:eastAsia="zh-CN" w:bidi="ar-SA"/>
    </w:rPr>
  </w:style>
  <w:style w:type="character" w:customStyle="1" w:styleId="p21">
    <w:name w:val="p21"/>
    <w:qFormat/>
    <w:rPr>
      <w:rFonts w:eastAsia="宋体"/>
      <w:color w:val="996600"/>
      <w:kern w:val="2"/>
      <w:sz w:val="18"/>
      <w:szCs w:val="21"/>
      <w:lang w:val="en-US" w:eastAsia="zh-CN" w:bidi="ar-SA"/>
    </w:rPr>
  </w:style>
  <w:style w:type="character" w:customStyle="1" w:styleId="style71">
    <w:name w:val="style71"/>
    <w:qFormat/>
    <w:rPr>
      <w:rFonts w:ascii="MingLiU" w:eastAsia="MingLiU" w:hAnsi="MingLiU" w:hint="eastAsia"/>
      <w:color w:val="000000"/>
      <w:kern w:val="2"/>
      <w:sz w:val="21"/>
      <w:szCs w:val="21"/>
      <w:lang w:val="en-US" w:eastAsia="zh-CN" w:bidi="ar-SA"/>
    </w:rPr>
  </w:style>
  <w:style w:type="character" w:customStyle="1" w:styleId="tpccontent1">
    <w:name w:val="tpc_content1"/>
    <w:qFormat/>
    <w:rPr>
      <w:rFonts w:eastAsia="宋体"/>
      <w:color w:val="000000"/>
      <w:kern w:val="2"/>
      <w:sz w:val="16"/>
      <w:szCs w:val="21"/>
      <w:lang w:val="en-US" w:eastAsia="zh-CN" w:bidi="ar-SA"/>
    </w:rPr>
  </w:style>
  <w:style w:type="character" w:customStyle="1" w:styleId="postbody1">
    <w:name w:val="postbody1"/>
    <w:qFormat/>
    <w:rPr>
      <w:rFonts w:eastAsia="宋体"/>
      <w:color w:val="000000"/>
      <w:kern w:val="2"/>
      <w:sz w:val="21"/>
      <w:szCs w:val="21"/>
      <w:lang w:val="en-US" w:eastAsia="zh-CN" w:bidi="ar-SA"/>
    </w:rPr>
  </w:style>
  <w:style w:type="character" w:customStyle="1" w:styleId="scc">
    <w:name w:val="s c c"/>
    <w:qFormat/>
    <w:rPr>
      <w:rFonts w:eastAsia="宋体"/>
      <w:color w:val="000000"/>
      <w:kern w:val="2"/>
      <w:sz w:val="21"/>
      <w:szCs w:val="21"/>
      <w:lang w:val="en-US" w:eastAsia="zh-CN" w:bidi="ar-SA"/>
    </w:rPr>
  </w:style>
  <w:style w:type="character" w:customStyle="1" w:styleId="p161">
    <w:name w:val="p161"/>
    <w:qFormat/>
    <w:rPr>
      <w:rFonts w:ascii="ˎ̥" w:eastAsia="宋体" w:hAnsi="ˎ̥" w:hint="default"/>
      <w:b/>
      <w:bCs/>
      <w:color w:val="236D17"/>
      <w:kern w:val="2"/>
      <w:sz w:val="24"/>
      <w:szCs w:val="24"/>
      <w:lang w:val="en-US" w:eastAsia="zh-CN" w:bidi="ar-SA"/>
    </w:rPr>
  </w:style>
  <w:style w:type="character" w:customStyle="1" w:styleId="CharCharCharCharChar">
    <w:name w:val="热电厂正文 Char Char Char Char Char"/>
    <w:link w:val="CharCharCharChar2"/>
    <w:qFormat/>
    <w:rPr>
      <w:rFonts w:ascii="Times New Roman" w:eastAsia="宋体" w:hAnsi="Times New Roman" w:cs="Times New Roman"/>
      <w:kern w:val="0"/>
      <w:sz w:val="24"/>
      <w:szCs w:val="20"/>
    </w:rPr>
  </w:style>
  <w:style w:type="character" w:customStyle="1" w:styleId="3Char2Char">
    <w:name w:val="标题 3 Char2 Char"/>
    <w:qFormat/>
    <w:rPr>
      <w:rFonts w:eastAsia="黑体"/>
      <w:b/>
      <w:bCs/>
      <w:color w:val="000000"/>
      <w:kern w:val="2"/>
      <w:sz w:val="24"/>
      <w:szCs w:val="24"/>
      <w:lang w:val="en-US" w:eastAsia="zh-CN" w:bidi="ar-SA"/>
    </w:rPr>
  </w:style>
  <w:style w:type="character" w:customStyle="1" w:styleId="CharChar1a">
    <w:name w:val="正文缩进 Char Char1"/>
    <w:qFormat/>
    <w:rPr>
      <w:rFonts w:eastAsia="宋体"/>
      <w:color w:val="000000"/>
      <w:kern w:val="2"/>
      <w:sz w:val="28"/>
      <w:szCs w:val="21"/>
      <w:lang w:val="en-US" w:eastAsia="zh-CN" w:bidi="ar-SA"/>
    </w:rPr>
  </w:style>
  <w:style w:type="character" w:customStyle="1" w:styleId="Charffffff5">
    <w:name w:val="题注 Char"/>
    <w:qFormat/>
    <w:rPr>
      <w:rFonts w:ascii="Arial" w:eastAsia="黑体" w:hAnsi="Arial" w:cs="Arial"/>
      <w:color w:val="000000"/>
      <w:spacing w:val="4"/>
      <w:kern w:val="2"/>
      <w:sz w:val="21"/>
      <w:szCs w:val="21"/>
      <w:lang w:val="en-US" w:eastAsia="zh-CN" w:bidi="ar-SA"/>
    </w:rPr>
  </w:style>
  <w:style w:type="character" w:customStyle="1" w:styleId="CharChar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Char Char"/>
    <w:qFormat/>
    <w:rPr>
      <w:rFonts w:eastAsia="宋体"/>
      <w:color w:val="000000"/>
      <w:kern w:val="2"/>
      <w:sz w:val="21"/>
      <w:szCs w:val="24"/>
      <w:lang w:val="en-US" w:eastAsia="zh-CN" w:bidi="ar-SA"/>
    </w:rPr>
  </w:style>
  <w:style w:type="character" w:customStyle="1" w:styleId="zy">
    <w:name w:val="zy"/>
    <w:qFormat/>
    <w:rPr>
      <w:rFonts w:eastAsia="宋体"/>
      <w:color w:val="000000"/>
      <w:kern w:val="2"/>
      <w:sz w:val="21"/>
      <w:szCs w:val="21"/>
      <w:lang w:val="en-US" w:eastAsia="zh-CN" w:bidi="ar-SA"/>
    </w:rPr>
  </w:style>
  <w:style w:type="character" w:customStyle="1" w:styleId="1Char14">
    <w:name w:val="段落1 Char1"/>
    <w:qFormat/>
    <w:rPr>
      <w:rFonts w:eastAsia="宋体"/>
      <w:color w:val="000000"/>
      <w:spacing w:val="6"/>
      <w:kern w:val="2"/>
      <w:sz w:val="28"/>
      <w:szCs w:val="21"/>
      <w:lang w:val="en-US" w:eastAsia="zh-CN" w:bidi="ar-SA"/>
    </w:rPr>
  </w:style>
  <w:style w:type="character" w:customStyle="1" w:styleId="zw1">
    <w:name w:val="zw1"/>
    <w:qFormat/>
    <w:rPr>
      <w:rFonts w:eastAsia="宋体"/>
      <w:color w:val="000000"/>
      <w:kern w:val="2"/>
      <w:sz w:val="21"/>
      <w:szCs w:val="21"/>
      <w:lang w:val="en-US" w:eastAsia="zh-CN" w:bidi="ar-SA"/>
    </w:rPr>
  </w:style>
  <w:style w:type="character" w:customStyle="1" w:styleId="Charff1">
    <w:name w:val="亚行正文 Char"/>
    <w:link w:val="affffffffffffffffc"/>
    <w:qFormat/>
    <w:rPr>
      <w:rFonts w:eastAsia="Times"/>
      <w:color w:val="000000"/>
      <w:sz w:val="24"/>
      <w:szCs w:val="24"/>
    </w:rPr>
  </w:style>
  <w:style w:type="character" w:customStyle="1" w:styleId="111111CharChar">
    <w:name w:val="111111正文 Char Char"/>
    <w:link w:val="111111"/>
    <w:qFormat/>
    <w:rPr>
      <w:rFonts w:ascii="Times New Roman" w:eastAsia="宋体" w:hAnsi="Times New Roman" w:cs="Times New Roman"/>
      <w:kern w:val="0"/>
      <w:sz w:val="24"/>
      <w:szCs w:val="24"/>
    </w:rPr>
  </w:style>
  <w:style w:type="character" w:customStyle="1" w:styleId="1Chard">
    <w:name w:val="1 Char"/>
    <w:semiHidden/>
    <w:qFormat/>
    <w:rPr>
      <w:kern w:val="2"/>
      <w:sz w:val="21"/>
      <w:szCs w:val="24"/>
    </w:rPr>
  </w:style>
  <w:style w:type="character" w:customStyle="1" w:styleId="15Char0">
    <w:name w:val="表格15 Char"/>
    <w:link w:val="154"/>
    <w:qFormat/>
    <w:rPr>
      <w:rFonts w:ascii="宋体" w:eastAsia="宋体" w:hAnsi="Times New Roman" w:cs="Times New Roman"/>
      <w:kern w:val="0"/>
      <w:sz w:val="20"/>
      <w:szCs w:val="28"/>
    </w:rPr>
  </w:style>
  <w:style w:type="character" w:customStyle="1" w:styleId="Char11">
    <w:name w:val="正文样式 Char1"/>
    <w:link w:val="affffff2"/>
    <w:qFormat/>
    <w:rPr>
      <w:rFonts w:ascii="宋体" w:eastAsia="宋体" w:hAnsi="宋体" w:cs="Times New Roman"/>
      <w:color w:val="000000"/>
      <w:kern w:val="0"/>
      <w:sz w:val="24"/>
      <w:szCs w:val="24"/>
    </w:rPr>
  </w:style>
  <w:style w:type="character" w:customStyle="1" w:styleId="1Char10">
    <w:name w:val="正文样式1 Char1"/>
    <w:link w:val="1ff1"/>
    <w:qFormat/>
    <w:rPr>
      <w:rFonts w:ascii="Times New Roman" w:eastAsia="宋体" w:hAnsi="Times New Roman" w:cs="Times New Roman"/>
      <w:spacing w:val="16"/>
      <w:kern w:val="0"/>
      <w:sz w:val="24"/>
      <w:szCs w:val="24"/>
    </w:rPr>
  </w:style>
  <w:style w:type="character" w:customStyle="1" w:styleId="1Char6">
    <w:name w:val="付正文1 Char"/>
    <w:link w:val="1ffff0"/>
    <w:qFormat/>
    <w:rPr>
      <w:rFonts w:ascii="宋体" w:eastAsia="宋体" w:hAnsi="宋体" w:cs="Times New Roman"/>
      <w:color w:val="000000"/>
      <w:kern w:val="0"/>
      <w:sz w:val="24"/>
      <w:szCs w:val="24"/>
    </w:rPr>
  </w:style>
  <w:style w:type="character" w:customStyle="1" w:styleId="CharChar6">
    <w:name w:val="付正文 Char Char"/>
    <w:link w:val="affffffffffffffffd"/>
    <w:qFormat/>
    <w:rPr>
      <w:rFonts w:ascii="宋体" w:eastAsia="宋体" w:hAnsi="Times New Roman" w:cs="Times New Roman"/>
      <w:color w:val="000000"/>
      <w:kern w:val="0"/>
      <w:sz w:val="24"/>
      <w:szCs w:val="21"/>
    </w:rPr>
  </w:style>
  <w:style w:type="character" w:customStyle="1" w:styleId="Charffffff6">
    <w:name w:val="珠江啤酒正文 Char"/>
    <w:qFormat/>
    <w:rPr>
      <w:rFonts w:ascii="宋体" w:eastAsia="宋体" w:hAnsi="宋体" w:hint="eastAsia"/>
      <w:b/>
      <w:bCs/>
      <w:kern w:val="2"/>
      <w:sz w:val="21"/>
      <w:szCs w:val="21"/>
      <w:lang w:val="en-US" w:eastAsia="zh-CN" w:bidi="ar-SA"/>
    </w:rPr>
  </w:style>
  <w:style w:type="character" w:customStyle="1" w:styleId="1-Char">
    <w:name w:val="1-正文 Char"/>
    <w:link w:val="1-"/>
    <w:qFormat/>
    <w:rPr>
      <w:rFonts w:ascii="宋体" w:eastAsia="宋体" w:hAnsi="宋体" w:cs="Times New Roman"/>
      <w:kern w:val="0"/>
      <w:sz w:val="24"/>
      <w:szCs w:val="24"/>
    </w:rPr>
  </w:style>
  <w:style w:type="character" w:customStyle="1" w:styleId="3CharChar2">
    <w:name w:val="标题 内蒙3 Char Char"/>
    <w:semiHidden/>
    <w:qFormat/>
    <w:rPr>
      <w:rFonts w:eastAsia="黑体"/>
      <w:b/>
      <w:bCs/>
      <w:kern w:val="2"/>
      <w:sz w:val="24"/>
      <w:szCs w:val="32"/>
      <w:lang w:val="en-US" w:eastAsia="zh-CN" w:bidi="ar-SA"/>
    </w:rPr>
  </w:style>
  <w:style w:type="character" w:customStyle="1" w:styleId="10Char0">
    <w:name w:val="正文样式10 Char"/>
    <w:link w:val="10b"/>
    <w:qFormat/>
    <w:rPr>
      <w:rFonts w:ascii="宋体" w:eastAsia="宋体" w:hAnsi="宋体" w:cs="Times New Roman"/>
      <w:bCs/>
      <w:color w:val="000000"/>
      <w:kern w:val="0"/>
      <w:sz w:val="24"/>
      <w:szCs w:val="20"/>
      <w:lang w:val="zh-CN"/>
    </w:rPr>
  </w:style>
  <w:style w:type="character" w:customStyle="1" w:styleId="13Char1">
    <w:name w:val="表格13 Char"/>
    <w:link w:val="131"/>
    <w:qFormat/>
    <w:rPr>
      <w:rFonts w:ascii="宋体" w:eastAsia="宋体" w:hAnsi="Times New Roman" w:cs="Times New Roman"/>
      <w:kern w:val="0"/>
      <w:sz w:val="20"/>
      <w:szCs w:val="28"/>
    </w:rPr>
  </w:style>
  <w:style w:type="character" w:customStyle="1" w:styleId="3xChar">
    <w:name w:val="新标题3x Char"/>
    <w:link w:val="3x"/>
    <w:qFormat/>
    <w:rPr>
      <w:rFonts w:ascii="黑体" w:eastAsia="黑体" w:hAnsi="Times New Roman" w:cs="Times New Roman"/>
      <w:b/>
      <w:bCs/>
      <w:color w:val="000000"/>
      <w:kern w:val="0"/>
      <w:sz w:val="24"/>
      <w:szCs w:val="24"/>
      <w:lang w:val="zh-CN"/>
    </w:rPr>
  </w:style>
  <w:style w:type="character" w:customStyle="1" w:styleId="CharCharf3">
    <w:name w:val="批注文字 Char Char"/>
    <w:qFormat/>
    <w:rPr>
      <w:rFonts w:ascii="Times New Roman" w:eastAsia="宋体" w:hAnsi="Times New Roman" w:cs="Times New Roman"/>
      <w:kern w:val="0"/>
      <w:sz w:val="28"/>
      <w:szCs w:val="24"/>
    </w:rPr>
  </w:style>
  <w:style w:type="character" w:customStyle="1" w:styleId="3CharChar">
    <w:name w:val="3级标题 Char Char"/>
    <w:link w:val="3ff4"/>
    <w:qFormat/>
    <w:rPr>
      <w:rFonts w:ascii="Arial" w:eastAsia="宋体" w:hAnsi="Arial" w:cs="Times New Roman"/>
      <w:b/>
      <w:bCs/>
      <w:kern w:val="0"/>
      <w:sz w:val="24"/>
      <w:szCs w:val="28"/>
    </w:rPr>
  </w:style>
  <w:style w:type="character" w:customStyle="1" w:styleId="4CharChar0">
    <w:name w:val="标题4 Char Char"/>
    <w:qFormat/>
    <w:rPr>
      <w:rFonts w:ascii="仿宋" w:eastAsia="仿宋" w:hAnsi="仿宋"/>
      <w:sz w:val="28"/>
      <w:szCs w:val="24"/>
    </w:rPr>
  </w:style>
  <w:style w:type="character" w:customStyle="1" w:styleId="4CharChar1">
    <w:name w:val="标题 4 Char Char1"/>
    <w:qFormat/>
    <w:rPr>
      <w:rFonts w:eastAsia="宋体"/>
      <w:b/>
      <w:bCs/>
      <w:kern w:val="2"/>
      <w:sz w:val="24"/>
      <w:szCs w:val="24"/>
      <w:lang w:eastAsia="zh-CN" w:bidi="ar-SA"/>
    </w:rPr>
  </w:style>
  <w:style w:type="character" w:customStyle="1" w:styleId="Char1f1">
    <w:name w:val="普通文字 Char1"/>
    <w:qFormat/>
    <w:rPr>
      <w:rFonts w:ascii="宋体" w:eastAsia="宋体" w:hAnsi="Courier New"/>
      <w:sz w:val="18"/>
      <w:lang w:val="en-US" w:eastAsia="zh-CN" w:bidi="ar-SA"/>
    </w:rPr>
  </w:style>
  <w:style w:type="character" w:customStyle="1" w:styleId="1Char4">
    <w:name w:val="表头1 Char"/>
    <w:link w:val="1ff7"/>
    <w:qFormat/>
    <w:rPr>
      <w:rFonts w:ascii="宋体" w:eastAsia="黑体" w:hAnsi="宋体" w:cs="Times New Roman"/>
      <w:color w:val="000000"/>
      <w:spacing w:val="-2"/>
      <w:kern w:val="0"/>
      <w:sz w:val="24"/>
      <w:szCs w:val="24"/>
    </w:rPr>
  </w:style>
  <w:style w:type="character" w:customStyle="1" w:styleId="unnamed51">
    <w:name w:val="unnamed51"/>
    <w:semiHidden/>
    <w:qFormat/>
    <w:rPr>
      <w:color w:val="000000"/>
      <w:spacing w:val="384"/>
      <w:sz w:val="18"/>
      <w:szCs w:val="18"/>
    </w:rPr>
  </w:style>
  <w:style w:type="character" w:customStyle="1" w:styleId="Charffffff7">
    <w:name w:val="表格文字居中 Char"/>
    <w:semiHidden/>
    <w:qFormat/>
    <w:rPr>
      <w:rFonts w:ascii="宋体" w:eastAsia="宋体" w:hAnsi="宋体" w:cs="Arial"/>
      <w:color w:val="000000"/>
      <w:sz w:val="24"/>
      <w:szCs w:val="21"/>
      <w:lang w:val="en-US" w:eastAsia="zh-CN" w:bidi="ar-SA"/>
    </w:rPr>
  </w:style>
  <w:style w:type="character" w:customStyle="1" w:styleId="5Char6">
    <w:name w:val="标题5 Char"/>
    <w:semiHidden/>
    <w:qFormat/>
    <w:rPr>
      <w:rFonts w:eastAsia="宋体"/>
      <w:kern w:val="2"/>
      <w:sz w:val="28"/>
      <w:szCs w:val="21"/>
      <w:lang w:val="en-US" w:eastAsia="zh-CN" w:bidi="ar-SA"/>
    </w:rPr>
  </w:style>
  <w:style w:type="character" w:customStyle="1" w:styleId="6Char0">
    <w:name w:val="标题6 Char"/>
    <w:semiHidden/>
    <w:qFormat/>
    <w:rPr>
      <w:rFonts w:ascii="宋体" w:eastAsia="宋体" w:hAnsi="宋体"/>
      <w:sz w:val="24"/>
      <w:szCs w:val="24"/>
      <w:lang w:val="zh-CN" w:eastAsia="zh-CN" w:bidi="ar-SA"/>
    </w:rPr>
  </w:style>
  <w:style w:type="character" w:customStyle="1" w:styleId="22Char1">
    <w:name w:val="样式 题注 + 首行缩进:  2 字符2 Char"/>
    <w:semiHidden/>
    <w:qFormat/>
    <w:rPr>
      <w:rFonts w:ascii="黑体" w:eastAsia="黑体" w:hAnsi="宋体"/>
      <w:kern w:val="2"/>
      <w:sz w:val="24"/>
      <w:lang w:val="en-US" w:eastAsia="zh-CN" w:bidi="ar-SA"/>
    </w:rPr>
  </w:style>
  <w:style w:type="character" w:customStyle="1" w:styleId="text1">
    <w:name w:val="text1"/>
    <w:qFormat/>
    <w:rPr>
      <w:color w:val="000000"/>
      <w:spacing w:val="330"/>
      <w:sz w:val="20"/>
      <w:szCs w:val="20"/>
    </w:rPr>
  </w:style>
  <w:style w:type="character" w:customStyle="1" w:styleId="style100">
    <w:name w:val="style10"/>
    <w:basedOn w:val="a3"/>
    <w:semiHidden/>
    <w:qFormat/>
  </w:style>
  <w:style w:type="character" w:customStyle="1" w:styleId="d11">
    <w:name w:val="d11"/>
    <w:semiHidden/>
    <w:qFormat/>
    <w:rPr>
      <w:spacing w:val="400"/>
      <w:sz w:val="20"/>
      <w:szCs w:val="20"/>
    </w:rPr>
  </w:style>
  <w:style w:type="character" w:customStyle="1" w:styleId="lh22px">
    <w:name w:val="lh22px"/>
    <w:basedOn w:val="a3"/>
    <w:semiHidden/>
    <w:qFormat/>
  </w:style>
  <w:style w:type="character" w:customStyle="1" w:styleId="2TimesNewRomanCharChar">
    <w:name w:val="正文首行缩进 2 + Times New Roman Char Char"/>
    <w:link w:val="2TimesNewRomanChar"/>
    <w:qFormat/>
    <w:rPr>
      <w:rFonts w:ascii="Times New Roman" w:eastAsia="宋体" w:hAnsi="Times New Roman" w:cs="Times New Roman"/>
      <w:kern w:val="0"/>
      <w:sz w:val="24"/>
      <w:szCs w:val="24"/>
    </w:rPr>
  </w:style>
  <w:style w:type="character" w:customStyle="1" w:styleId="Char9">
    <w:name w:val="燕山正文 Char"/>
    <w:link w:val="affffffff5"/>
    <w:qFormat/>
    <w:rPr>
      <w:rFonts w:ascii="宋体" w:eastAsia="宋体" w:hAnsi="宋体" w:cs="Times New Roman"/>
      <w:color w:val="000000"/>
      <w:kern w:val="0"/>
      <w:sz w:val="28"/>
      <w:szCs w:val="28"/>
    </w:rPr>
  </w:style>
  <w:style w:type="character" w:customStyle="1" w:styleId="Charffffff8">
    <w:name w:val="样式 题注 Char"/>
    <w:semiHidden/>
    <w:qFormat/>
    <w:rPr>
      <w:rFonts w:ascii="Arial" w:eastAsia="黑体" w:hAnsi="Arial" w:cs="宋体"/>
      <w:color w:val="000000"/>
      <w:kern w:val="2"/>
      <w:sz w:val="24"/>
      <w:szCs w:val="24"/>
      <w:lang w:val="en-US" w:eastAsia="zh-CN" w:bidi="ar-SA"/>
    </w:rPr>
  </w:style>
  <w:style w:type="character" w:customStyle="1" w:styleId="CharCharChar2">
    <w:name w:val="海南化工城正文 Char Char Char"/>
    <w:link w:val="CharChar7"/>
    <w:qFormat/>
    <w:rPr>
      <w:rFonts w:ascii="宋体" w:eastAsia="宋体" w:hAnsi="宋体" w:cs="Times New Roman"/>
      <w:kern w:val="0"/>
      <w:sz w:val="24"/>
      <w:szCs w:val="24"/>
    </w:rPr>
  </w:style>
  <w:style w:type="character" w:customStyle="1" w:styleId="z-Char">
    <w:name w:val="z-窗体顶端 Char"/>
    <w:basedOn w:val="a3"/>
    <w:link w:val="z-10"/>
    <w:qFormat/>
    <w:rPr>
      <w:rFonts w:ascii="Arial" w:eastAsia="宋体" w:hAnsi="Arial" w:cs="Arial"/>
      <w:vanish/>
      <w:sz w:val="16"/>
      <w:szCs w:val="16"/>
    </w:rPr>
  </w:style>
  <w:style w:type="character" w:customStyle="1" w:styleId="3Char3">
    <w:name w:val="3级标题 Char"/>
    <w:qFormat/>
    <w:rPr>
      <w:rFonts w:ascii="Times New Roman" w:eastAsia="仿宋_GB2312" w:hAnsi="Times New Roman"/>
      <w:b/>
      <w:bCs/>
      <w:sz w:val="30"/>
      <w:szCs w:val="26"/>
    </w:rPr>
  </w:style>
  <w:style w:type="character" w:customStyle="1" w:styleId="Charff4">
    <w:name w:val="表格题头 Char"/>
    <w:link w:val="afffffffffffffffffff7"/>
    <w:qFormat/>
    <w:rPr>
      <w:rFonts w:ascii="Times New Roman" w:eastAsia="仿宋_GB2312" w:hAnsi="Times New Roman" w:cs="Times New Roman"/>
      <w:kern w:val="0"/>
      <w:sz w:val="24"/>
      <w:szCs w:val="24"/>
    </w:rPr>
  </w:style>
  <w:style w:type="character" w:customStyle="1" w:styleId="6Char1">
    <w:name w:val="标题 6 Char1"/>
    <w:semiHidden/>
    <w:qFormat/>
    <w:rPr>
      <w:rFonts w:ascii="Cambria" w:eastAsia="宋体" w:hAnsi="Cambria" w:cs="Times New Roman"/>
      <w:b/>
      <w:bCs/>
      <w:kern w:val="2"/>
      <w:sz w:val="24"/>
      <w:szCs w:val="24"/>
    </w:rPr>
  </w:style>
  <w:style w:type="character" w:customStyle="1" w:styleId="7Char1">
    <w:name w:val="标题 7 Char1"/>
    <w:semiHidden/>
    <w:qFormat/>
    <w:rPr>
      <w:rFonts w:ascii="Calibri" w:eastAsia="宋体" w:hAnsi="Calibri"/>
      <w:b/>
      <w:bCs/>
      <w:kern w:val="2"/>
      <w:sz w:val="24"/>
      <w:szCs w:val="24"/>
    </w:rPr>
  </w:style>
  <w:style w:type="character" w:customStyle="1" w:styleId="8Char1">
    <w:name w:val="标题 8 Char1"/>
    <w:qFormat/>
    <w:rPr>
      <w:rFonts w:ascii="Cambria" w:eastAsia="宋体" w:hAnsi="Cambria" w:cs="Times New Roman"/>
      <w:kern w:val="2"/>
      <w:sz w:val="24"/>
      <w:szCs w:val="24"/>
    </w:rPr>
  </w:style>
  <w:style w:type="character" w:customStyle="1" w:styleId="9Char1">
    <w:name w:val="标题 9 Char1"/>
    <w:semiHidden/>
    <w:qFormat/>
    <w:rPr>
      <w:rFonts w:ascii="Cambria" w:eastAsia="宋体" w:hAnsi="Cambria" w:cs="Times New Roman"/>
      <w:kern w:val="2"/>
      <w:sz w:val="21"/>
      <w:szCs w:val="21"/>
    </w:rPr>
  </w:style>
  <w:style w:type="character" w:customStyle="1" w:styleId="Char1f2">
    <w:name w:val="标题 Char1"/>
    <w:qFormat/>
    <w:rPr>
      <w:rFonts w:ascii="Cambria" w:eastAsia="宋体" w:hAnsi="Cambria" w:cs="Times New Roman"/>
      <w:b/>
      <w:bCs/>
      <w:sz w:val="32"/>
      <w:szCs w:val="32"/>
    </w:rPr>
  </w:style>
  <w:style w:type="character" w:customStyle="1" w:styleId="Char1f3">
    <w:name w:val="注释标题 Char1"/>
    <w:basedOn w:val="a3"/>
    <w:qFormat/>
  </w:style>
  <w:style w:type="character" w:customStyle="1" w:styleId="Char1f4">
    <w:name w:val="批注文字 Char1"/>
    <w:basedOn w:val="a3"/>
    <w:qFormat/>
  </w:style>
  <w:style w:type="character" w:customStyle="1" w:styleId="Charffffff9">
    <w:name w:val="普通(网站) Char"/>
    <w:qFormat/>
    <w:locked/>
    <w:rPr>
      <w:rFonts w:ascii="Times New Roman" w:eastAsia="宋体" w:hAnsi="Times New Roman" w:cs="Times New Roman"/>
      <w:sz w:val="18"/>
      <w:szCs w:val="18"/>
    </w:rPr>
  </w:style>
  <w:style w:type="character" w:customStyle="1" w:styleId="3Char10">
    <w:name w:val="正文文本缩进 3 Char1"/>
    <w:semiHidden/>
    <w:qFormat/>
    <w:rPr>
      <w:sz w:val="16"/>
      <w:szCs w:val="16"/>
    </w:rPr>
  </w:style>
  <w:style w:type="character" w:customStyle="1" w:styleId="Char1f5">
    <w:name w:val="批注框文本 Char1"/>
    <w:semiHidden/>
    <w:qFormat/>
    <w:rPr>
      <w:rFonts w:ascii="Calibri" w:eastAsia="宋体" w:hAnsi="Calibri"/>
      <w:kern w:val="2"/>
      <w:sz w:val="18"/>
      <w:szCs w:val="18"/>
    </w:rPr>
  </w:style>
  <w:style w:type="character" w:customStyle="1" w:styleId="Char1f6">
    <w:name w:val="日期 Char1"/>
    <w:basedOn w:val="a3"/>
    <w:qFormat/>
  </w:style>
  <w:style w:type="character" w:customStyle="1" w:styleId="Char1f7">
    <w:name w:val="文档结构图 Char1"/>
    <w:semiHidden/>
    <w:qFormat/>
    <w:rPr>
      <w:rFonts w:ascii="宋体" w:eastAsia="宋体"/>
      <w:sz w:val="18"/>
      <w:szCs w:val="18"/>
    </w:rPr>
  </w:style>
  <w:style w:type="character" w:customStyle="1" w:styleId="Char1f8">
    <w:name w:val="批注主题 Char1"/>
    <w:semiHidden/>
    <w:qFormat/>
    <w:rPr>
      <w:b/>
      <w:bCs/>
    </w:rPr>
  </w:style>
  <w:style w:type="character" w:customStyle="1" w:styleId="3Char11">
    <w:name w:val="正文文本 3 Char1"/>
    <w:qFormat/>
    <w:rPr>
      <w:sz w:val="16"/>
      <w:szCs w:val="16"/>
    </w:rPr>
  </w:style>
  <w:style w:type="character" w:customStyle="1" w:styleId="Char1f9">
    <w:name w:val="称呼 Char1"/>
    <w:basedOn w:val="a3"/>
    <w:semiHidden/>
    <w:qFormat/>
  </w:style>
  <w:style w:type="character" w:customStyle="1" w:styleId="Char1fa">
    <w:name w:val="电子邮件签名 Char1"/>
    <w:basedOn w:val="a3"/>
    <w:semiHidden/>
    <w:qFormat/>
  </w:style>
  <w:style w:type="character" w:customStyle="1" w:styleId="Char1fb">
    <w:name w:val="结束语 Char1"/>
    <w:basedOn w:val="a3"/>
    <w:semiHidden/>
    <w:qFormat/>
  </w:style>
  <w:style w:type="character" w:customStyle="1" w:styleId="Char1fc">
    <w:name w:val="签名 Char1"/>
    <w:basedOn w:val="a3"/>
    <w:semiHidden/>
    <w:qFormat/>
  </w:style>
  <w:style w:type="character" w:customStyle="1" w:styleId="Char1fd">
    <w:name w:val="信息标题 Char1"/>
    <w:semiHidden/>
    <w:qFormat/>
    <w:rPr>
      <w:rFonts w:ascii="Cambria" w:eastAsia="宋体" w:hAnsi="Cambria" w:cs="Times New Roman"/>
      <w:sz w:val="24"/>
      <w:szCs w:val="24"/>
      <w:shd w:val="pct20" w:color="auto" w:fill="auto"/>
    </w:rPr>
  </w:style>
  <w:style w:type="character" w:customStyle="1" w:styleId="Char1fe">
    <w:name w:val="脚注文本 Char1"/>
    <w:semiHidden/>
    <w:qFormat/>
    <w:rPr>
      <w:sz w:val="18"/>
      <w:szCs w:val="18"/>
    </w:rPr>
  </w:style>
  <w:style w:type="character" w:customStyle="1" w:styleId="12CharChar">
    <w:name w:val="样式12 Char Char"/>
    <w:qFormat/>
    <w:rPr>
      <w:rFonts w:ascii="Times New Roman" w:eastAsia="宋体" w:hAnsi="Times New Roman" w:cs="Times New Roman"/>
      <w:sz w:val="24"/>
      <w:szCs w:val="20"/>
    </w:rPr>
  </w:style>
  <w:style w:type="character" w:customStyle="1" w:styleId="Charff5">
    <w:name w:val="表格内字体 Char"/>
    <w:link w:val="afffffffffffffffffff9"/>
    <w:qFormat/>
    <w:rPr>
      <w:rFonts w:ascii="宋体" w:eastAsia="宋体" w:hAnsi="宋体" w:cs="Times New Roman"/>
      <w:color w:val="000000"/>
      <w:kern w:val="0"/>
      <w:sz w:val="20"/>
      <w:szCs w:val="21"/>
    </w:rPr>
  </w:style>
  <w:style w:type="character" w:customStyle="1" w:styleId="-3Char">
    <w:name w:val="正文-3 Char"/>
    <w:link w:val="-30"/>
    <w:qFormat/>
    <w:rPr>
      <w:rFonts w:ascii="宋体" w:eastAsia="宋体" w:hAnsi="宋体" w:cs="Times New Roman"/>
      <w:kern w:val="0"/>
      <w:sz w:val="28"/>
      <w:szCs w:val="28"/>
    </w:rPr>
  </w:style>
  <w:style w:type="character" w:customStyle="1" w:styleId="2fffffff2">
    <w:name w:val="强调2"/>
    <w:qFormat/>
    <w:rPr>
      <w:i/>
    </w:rPr>
  </w:style>
  <w:style w:type="character" w:customStyle="1" w:styleId="p0CharChar">
    <w:name w:val="p0 Char Char"/>
    <w:link w:val="p0"/>
    <w:qFormat/>
    <w:rPr>
      <w:rFonts w:ascii="Times New Roman" w:eastAsia="宋体" w:hAnsi="Times New Roman" w:cs="Times New Roman"/>
      <w:kern w:val="0"/>
      <w:sz w:val="20"/>
      <w:szCs w:val="21"/>
    </w:rPr>
  </w:style>
  <w:style w:type="character" w:customStyle="1" w:styleId="221Char">
    <w:name w:val="样式 样式 样式 样式 正文 首行缩进 + 首行缩进:  2 字符 行距: 单倍行距 + 首行缩进:  2 字符 + 小四 首行...1 Char"/>
    <w:link w:val="2210"/>
    <w:qFormat/>
    <w:rPr>
      <w:rFonts w:ascii="Times New Roman" w:eastAsia="宋体" w:hAnsi="Times New Roman" w:cs="Times New Roman"/>
      <w:kern w:val="0"/>
      <w:sz w:val="24"/>
      <w:szCs w:val="20"/>
    </w:rPr>
  </w:style>
  <w:style w:type="character" w:customStyle="1" w:styleId="22Char0">
    <w:name w:val="样式 样式 样式 正文 首行缩进 + 首行缩进:  2 字符 行距: 单倍行距 + 首行缩进:  2 字符 + 小四 首行缩进... Char"/>
    <w:link w:val="227"/>
    <w:qFormat/>
    <w:rPr>
      <w:rFonts w:ascii="Times New Roman" w:eastAsia="宋体" w:hAnsi="Times New Roman" w:cs="Times New Roman"/>
      <w:kern w:val="0"/>
      <w:sz w:val="24"/>
      <w:szCs w:val="20"/>
    </w:rPr>
  </w:style>
  <w:style w:type="character" w:customStyle="1" w:styleId="222Char">
    <w:name w:val="样式 样式 样式 样式 正文 首行缩进 + 首行缩进:  2 字符 行距: 单倍行距 + 首行缩进:  2 字符 + 小四 首行...2 Char"/>
    <w:link w:val="2222"/>
    <w:qFormat/>
    <w:rPr>
      <w:rFonts w:ascii="Arial" w:eastAsia="宋体" w:hAnsi="Arial" w:cs="Times New Roman"/>
      <w:kern w:val="0"/>
      <w:sz w:val="24"/>
      <w:szCs w:val="20"/>
    </w:rPr>
  </w:style>
  <w:style w:type="character" w:customStyle="1" w:styleId="CharCharf4">
    <w:name w:val="表格文字 Char Char"/>
    <w:qFormat/>
    <w:rPr>
      <w:rFonts w:eastAsia="宋体"/>
      <w:sz w:val="21"/>
      <w:lang w:val="en-US" w:eastAsia="zh-CN" w:bidi="ar-SA"/>
    </w:rPr>
  </w:style>
  <w:style w:type="character" w:customStyle="1" w:styleId="4Char0">
    <w:name w:val="4级标题 Char"/>
    <w:link w:val="4fe"/>
    <w:qFormat/>
    <w:rPr>
      <w:rFonts w:ascii="Times New Roman" w:eastAsia="宋体" w:hAnsi="Times New Roman" w:cs="Times New Roman"/>
      <w:b/>
      <w:kern w:val="0"/>
      <w:sz w:val="28"/>
      <w:szCs w:val="28"/>
    </w:rPr>
  </w:style>
  <w:style w:type="character" w:customStyle="1" w:styleId="-1Char">
    <w:name w:val="正文-1 Char"/>
    <w:link w:val="-10"/>
    <w:qFormat/>
    <w:rPr>
      <w:rFonts w:ascii="宋体" w:eastAsia="宋体" w:hAnsi="宋体" w:cs="Times New Roman"/>
      <w:kern w:val="0"/>
      <w:sz w:val="24"/>
      <w:szCs w:val="24"/>
      <w:shd w:val="clear" w:color="auto" w:fill="FFFFFF"/>
      <w:lang w:val="zh-CN"/>
    </w:rPr>
  </w:style>
  <w:style w:type="character" w:customStyle="1" w:styleId="2CharChar2">
    <w:name w:val="2级标题 Char Char"/>
    <w:qFormat/>
    <w:rPr>
      <w:rFonts w:ascii="Times New Roman" w:hAnsi="Times New Roman"/>
      <w:b/>
      <w:bCs/>
      <w:iCs/>
      <w:sz w:val="36"/>
      <w:szCs w:val="24"/>
    </w:rPr>
  </w:style>
  <w:style w:type="character" w:customStyle="1" w:styleId="10CharChar">
    <w:name w:val="样式10 Char Char"/>
    <w:qFormat/>
    <w:rPr>
      <w:rFonts w:ascii="Times New Roman" w:eastAsia="仿宋_GB2312" w:hAnsi="Times New Roman" w:cs="Times New Roman"/>
      <w:sz w:val="24"/>
      <w:szCs w:val="24"/>
    </w:rPr>
  </w:style>
  <w:style w:type="character" w:customStyle="1" w:styleId="3CharChar0">
    <w:name w:val="3  级标题 Char Char"/>
    <w:link w:val="33"/>
    <w:qFormat/>
    <w:rPr>
      <w:rFonts w:ascii="黑体" w:eastAsia="黑体" w:hAnsi="宋体"/>
      <w:b/>
      <w:bCs/>
      <w:sz w:val="24"/>
      <w:szCs w:val="26"/>
    </w:rPr>
  </w:style>
  <w:style w:type="character" w:customStyle="1" w:styleId="CharChar1">
    <w:name w:val="表格名称 Char Char"/>
    <w:link w:val="afffffe"/>
    <w:qFormat/>
    <w:rPr>
      <w:rFonts w:ascii="华文中宋" w:eastAsia="华文中宋" w:hAnsi="华文中宋" w:cs="Times New Roman"/>
      <w:b/>
      <w:color w:val="000000"/>
      <w:kern w:val="0"/>
      <w:sz w:val="20"/>
      <w:szCs w:val="21"/>
    </w:rPr>
  </w:style>
  <w:style w:type="character" w:customStyle="1" w:styleId="4CharChar">
    <w:name w:val="4  级标题 Char Char"/>
    <w:link w:val="45"/>
    <w:qFormat/>
    <w:rPr>
      <w:rFonts w:ascii="黑体" w:eastAsia="黑体"/>
      <w:sz w:val="24"/>
      <w:szCs w:val="28"/>
    </w:rPr>
  </w:style>
  <w:style w:type="character" w:customStyle="1" w:styleId="CharCharf5">
    <w:name w:val="章标题(无序号) Char Char"/>
    <w:qFormat/>
    <w:rPr>
      <w:rFonts w:eastAsia="黑体"/>
      <w:b/>
      <w:kern w:val="2"/>
      <w:sz w:val="36"/>
      <w:lang w:val="en-US" w:eastAsia="zh-CN" w:bidi="ar-SA"/>
    </w:rPr>
  </w:style>
  <w:style w:type="character" w:customStyle="1" w:styleId="Char16">
    <w:name w:val="表格式 Char1"/>
    <w:link w:val="affffffffffffffff0"/>
    <w:qFormat/>
    <w:rPr>
      <w:rFonts w:ascii="宋体" w:eastAsia="宋体" w:hAnsi="Times New Roman" w:cs="Times New Roman"/>
      <w:kern w:val="0"/>
      <w:sz w:val="20"/>
      <w:szCs w:val="20"/>
    </w:rPr>
  </w:style>
  <w:style w:type="character" w:customStyle="1" w:styleId="z-Char10">
    <w:name w:val="z-窗体顶端 Char1"/>
    <w:qFormat/>
    <w:rPr>
      <w:rFonts w:ascii="Arial" w:hAnsi="Arial" w:cs="Arial"/>
      <w:vanish/>
      <w:kern w:val="2"/>
      <w:sz w:val="16"/>
      <w:szCs w:val="16"/>
    </w:rPr>
  </w:style>
  <w:style w:type="character" w:customStyle="1" w:styleId="1fffffff4">
    <w:name w:val="占位符文本1"/>
    <w:semiHidden/>
    <w:qFormat/>
    <w:rPr>
      <w:color w:val="808080"/>
    </w:rPr>
  </w:style>
  <w:style w:type="character" w:customStyle="1" w:styleId="0Char0">
    <w:name w:val="正文0 Char"/>
    <w:link w:val="05"/>
    <w:qFormat/>
    <w:rPr>
      <w:rFonts w:ascii="宋体" w:eastAsia="宋体" w:hAnsi="宋体" w:cs="Times New Roman"/>
      <w:kern w:val="0"/>
      <w:sz w:val="24"/>
      <w:szCs w:val="24"/>
      <w:shd w:val="clear" w:color="auto" w:fill="FFFFFF"/>
      <w:lang w:val="zh-CN"/>
    </w:rPr>
  </w:style>
  <w:style w:type="character" w:customStyle="1" w:styleId="Charf9">
    <w:name w:val="表体宋旭峰 Char"/>
    <w:link w:val="afffffffffffff7"/>
    <w:qFormat/>
    <w:rPr>
      <w:rFonts w:ascii="Times New Roman" w:eastAsia="宋体" w:hAnsi="Courier New" w:cs="Times New Roman"/>
      <w:snapToGrid w:val="0"/>
      <w:color w:val="000000"/>
      <w:kern w:val="24"/>
      <w:sz w:val="18"/>
      <w:szCs w:val="20"/>
    </w:rPr>
  </w:style>
  <w:style w:type="character" w:customStyle="1" w:styleId="Char4">
    <w:name w:val="表注 Char"/>
    <w:link w:val="afffff8"/>
    <w:qFormat/>
    <w:rPr>
      <w:rFonts w:ascii="Arial" w:eastAsia="宋体" w:hAnsi="Arial" w:cs="Times New Roman"/>
      <w:kern w:val="0"/>
      <w:sz w:val="20"/>
      <w:szCs w:val="21"/>
    </w:rPr>
  </w:style>
  <w:style w:type="character" w:customStyle="1" w:styleId="Char21">
    <w:name w:val="表号 Char2"/>
    <w:link w:val="afffffffb"/>
    <w:qFormat/>
    <w:rPr>
      <w:rFonts w:ascii="黑体" w:eastAsia="黑体" w:hAnsi="Times New Roman" w:cs="Times New Roman"/>
      <w:kern w:val="0"/>
      <w:sz w:val="20"/>
      <w:szCs w:val="20"/>
    </w:rPr>
  </w:style>
  <w:style w:type="character" w:customStyle="1" w:styleId="15Char1">
    <w:name w:val="样式 宋体 小四 行距: 1.5 倍行距 Char"/>
    <w:link w:val="155"/>
    <w:qFormat/>
    <w:rPr>
      <w:rFonts w:ascii="宋体" w:eastAsia="宋体" w:hAnsi="宋体" w:cs="Times New Roman"/>
      <w:kern w:val="0"/>
      <w:sz w:val="28"/>
      <w:szCs w:val="20"/>
    </w:rPr>
  </w:style>
  <w:style w:type="character" w:customStyle="1" w:styleId="0916Char">
    <w:name w:val="0916正文样式 Char"/>
    <w:link w:val="0916"/>
    <w:qFormat/>
    <w:rPr>
      <w:rFonts w:ascii="宋体" w:eastAsia="宋体" w:hAnsi="ˎ̥" w:cs="Times New Roman"/>
      <w:snapToGrid w:val="0"/>
      <w:kern w:val="0"/>
      <w:sz w:val="28"/>
      <w:szCs w:val="28"/>
    </w:rPr>
  </w:style>
  <w:style w:type="character" w:customStyle="1" w:styleId="Char28">
    <w:name w:val="报告正文 Char2"/>
    <w:qFormat/>
    <w:rPr>
      <w:rFonts w:eastAsia="宋体"/>
      <w:kern w:val="2"/>
      <w:sz w:val="28"/>
      <w:szCs w:val="24"/>
      <w:lang w:val="en-US" w:eastAsia="zh-CN" w:bidi="ar-SA"/>
    </w:rPr>
  </w:style>
  <w:style w:type="character" w:customStyle="1" w:styleId="Char1ff">
    <w:name w:val="正文(首行缩进) Char1"/>
    <w:qFormat/>
    <w:rPr>
      <w:rFonts w:eastAsia="宋体"/>
      <w:sz w:val="24"/>
      <w:szCs w:val="24"/>
      <w:lang w:val="en-US" w:eastAsia="zh-CN" w:bidi="ar-SA"/>
    </w:rPr>
  </w:style>
  <w:style w:type="character" w:customStyle="1" w:styleId="2Char3">
    <w:name w:val="正文缩进2个字符 Char"/>
    <w:link w:val="2ffff3"/>
    <w:qFormat/>
    <w:locked/>
    <w:rPr>
      <w:rFonts w:ascii="Calibri" w:eastAsia="宋体" w:hAnsi="Calibri" w:cs="Times New Roman"/>
      <w:kern w:val="0"/>
      <w:sz w:val="28"/>
      <w:szCs w:val="28"/>
    </w:rPr>
  </w:style>
  <w:style w:type="character" w:customStyle="1" w:styleId="1fffffff5">
    <w:name w:val="不明显强调1"/>
    <w:qFormat/>
    <w:rPr>
      <w:i/>
      <w:iCs/>
      <w:color w:val="808080"/>
    </w:rPr>
  </w:style>
  <w:style w:type="character" w:customStyle="1" w:styleId="-OPCCChar">
    <w:name w:val="图-题注（OPCC） Char"/>
    <w:link w:val="-OPCC"/>
    <w:qFormat/>
    <w:rPr>
      <w:rFonts w:eastAsia="黑体"/>
      <w:snapToGrid w:val="0"/>
      <w:sz w:val="24"/>
      <w:szCs w:val="24"/>
    </w:rPr>
  </w:style>
  <w:style w:type="character" w:customStyle="1" w:styleId="01Char">
    <w:name w:val="正文01 Char"/>
    <w:link w:val="01"/>
    <w:qFormat/>
    <w:rPr>
      <w:rFonts w:ascii="Arial" w:eastAsia="宋体" w:hAnsi="Arial" w:cs="Times New Roman"/>
      <w:kern w:val="0"/>
      <w:sz w:val="24"/>
      <w:szCs w:val="20"/>
    </w:rPr>
  </w:style>
  <w:style w:type="character" w:customStyle="1" w:styleId="zwb-Char">
    <w:name w:val="zwb-正文 Char"/>
    <w:link w:val="zwb-"/>
    <w:qFormat/>
    <w:rPr>
      <w:rFonts w:ascii="Times New Roman" w:eastAsia="宋体" w:hAnsi="Times New Roman" w:cs="Times New Roman"/>
      <w:kern w:val="0"/>
      <w:sz w:val="24"/>
      <w:szCs w:val="24"/>
    </w:rPr>
  </w:style>
  <w:style w:type="character" w:customStyle="1" w:styleId="Charff6">
    <w:name w:val="引用 Char"/>
    <w:basedOn w:val="a3"/>
    <w:link w:val="1ffff8"/>
    <w:qFormat/>
    <w:rPr>
      <w:rFonts w:ascii="Times New Roman" w:eastAsia="宋体" w:hAnsi="Times New Roman" w:cs="Times New Roman"/>
      <w:i/>
      <w:iCs/>
      <w:color w:val="000000"/>
      <w:sz w:val="24"/>
      <w:szCs w:val="24"/>
    </w:rPr>
  </w:style>
  <w:style w:type="character" w:customStyle="1" w:styleId="Charff7">
    <w:name w:val="报告书正文 Char"/>
    <w:link w:val="afffffffffffffffffffb"/>
    <w:qFormat/>
    <w:rPr>
      <w:rFonts w:ascii="Times New Roman" w:eastAsia="宋体" w:hAnsi="Times New Roman" w:cs="Times New Roman"/>
      <w:kern w:val="0"/>
      <w:sz w:val="24"/>
      <w:szCs w:val="24"/>
    </w:rPr>
  </w:style>
  <w:style w:type="character" w:customStyle="1" w:styleId="CharCharf6">
    <w:name w:val="表格样式 Char Char"/>
    <w:qFormat/>
    <w:rPr>
      <w:rFonts w:ascii="仿宋" w:eastAsia="宋体" w:hAnsi="仿宋"/>
      <w:lang w:val="zh-CN" w:bidi="ar-SA"/>
    </w:rPr>
  </w:style>
  <w:style w:type="character" w:customStyle="1" w:styleId="Charffffffa">
    <w:name w:val="表格名称 Char"/>
    <w:qFormat/>
    <w:rPr>
      <w:rFonts w:ascii="黑体" w:eastAsia="黑体" w:hAnsi="宋体" w:cs="Times New Roman"/>
      <w:kern w:val="2"/>
      <w:sz w:val="24"/>
      <w:szCs w:val="24"/>
    </w:rPr>
  </w:style>
  <w:style w:type="character" w:customStyle="1" w:styleId="Charfe">
    <w:name w:val="列出段落 Char"/>
    <w:link w:val="115"/>
    <w:qFormat/>
    <w:rPr>
      <w:rFonts w:ascii="Calibri" w:eastAsia="宋体" w:hAnsi="Calibri" w:cs="Times New Roman"/>
      <w:kern w:val="0"/>
      <w:sz w:val="24"/>
      <w:szCs w:val="20"/>
    </w:rPr>
  </w:style>
  <w:style w:type="character" w:customStyle="1" w:styleId="11f">
    <w:name w:val="占位符文本11"/>
    <w:qFormat/>
    <w:rPr>
      <w:color w:val="808080"/>
    </w:rPr>
  </w:style>
  <w:style w:type="character" w:customStyle="1" w:styleId="1fffffff6">
    <w:name w:val="访问过的超链接1"/>
    <w:unhideWhenUsed/>
    <w:qFormat/>
    <w:rPr>
      <w:color w:val="954F72"/>
      <w:u w:val="single"/>
    </w:rPr>
  </w:style>
  <w:style w:type="character" w:customStyle="1" w:styleId="CharChar27">
    <w:name w:val="Char Char27"/>
    <w:qFormat/>
    <w:rPr>
      <w:sz w:val="18"/>
      <w:szCs w:val="18"/>
    </w:rPr>
  </w:style>
  <w:style w:type="character" w:customStyle="1" w:styleId="CharChar26">
    <w:name w:val="Char Char26"/>
    <w:qFormat/>
    <w:rPr>
      <w:rFonts w:ascii="Times New Roman" w:eastAsia="宋体" w:hAnsi="Times New Roman" w:cs="Times New Roman"/>
      <w:sz w:val="24"/>
      <w:szCs w:val="24"/>
    </w:rPr>
  </w:style>
  <w:style w:type="character" w:customStyle="1" w:styleId="CharChar24">
    <w:name w:val="Char Char24"/>
    <w:qFormat/>
    <w:rPr>
      <w:rFonts w:ascii="Times New Roman" w:eastAsia="宋体" w:hAnsi="Times New Roman" w:cs="Times New Roman"/>
      <w:szCs w:val="24"/>
      <w:shd w:val="clear" w:color="auto" w:fill="000080"/>
    </w:rPr>
  </w:style>
  <w:style w:type="character" w:customStyle="1" w:styleId="2CharChar3">
    <w:name w:val="正文文字 2 Char Char"/>
    <w:qFormat/>
    <w:rPr>
      <w:rFonts w:ascii="Times New Roman" w:eastAsia="宋体" w:hAnsi="Times New Roman" w:cs="Times New Roman"/>
      <w:szCs w:val="24"/>
    </w:rPr>
  </w:style>
  <w:style w:type="character" w:customStyle="1" w:styleId="CharChar23">
    <w:name w:val="Char Char23"/>
    <w:qFormat/>
    <w:rPr>
      <w:rFonts w:ascii="Times New Roman" w:eastAsia="宋体" w:hAnsi="Times New Roman" w:cs="Times New Roman"/>
      <w:szCs w:val="24"/>
    </w:rPr>
  </w:style>
  <w:style w:type="character" w:customStyle="1" w:styleId="CharChar180">
    <w:name w:val="Char Char18"/>
    <w:qFormat/>
    <w:rPr>
      <w:rFonts w:ascii="Times New Roman" w:eastAsia="宋体" w:hAnsi="Times New Roman" w:cs="Times New Roman"/>
      <w:b/>
      <w:bCs/>
      <w:szCs w:val="24"/>
    </w:rPr>
  </w:style>
  <w:style w:type="character" w:customStyle="1" w:styleId="CharChar110">
    <w:name w:val="Char Char11"/>
    <w:qFormat/>
    <w:rPr>
      <w:rFonts w:ascii="Times New Roman" w:eastAsia="宋体" w:hAnsi="Times New Roman" w:cs="Times New Roman"/>
      <w:szCs w:val="21"/>
    </w:rPr>
  </w:style>
  <w:style w:type="character" w:customStyle="1" w:styleId="4fff3">
    <w:name w:val="标题4"/>
    <w:basedOn w:val="a3"/>
    <w:qFormat/>
  </w:style>
  <w:style w:type="character" w:customStyle="1" w:styleId="3ffff0">
    <w:name w:val="强调3"/>
    <w:qFormat/>
    <w:rPr>
      <w:i/>
    </w:rPr>
  </w:style>
  <w:style w:type="character" w:customStyle="1" w:styleId="2fffffff3">
    <w:name w:val="不明显强调2"/>
    <w:qFormat/>
    <w:rPr>
      <w:i/>
      <w:iCs/>
      <w:color w:val="808080"/>
    </w:rPr>
  </w:style>
  <w:style w:type="character" w:customStyle="1" w:styleId="apple-converted-space">
    <w:name w:val="apple-converted-space"/>
    <w:basedOn w:val="a3"/>
    <w:qFormat/>
  </w:style>
  <w:style w:type="character" w:customStyle="1" w:styleId="apple-style-span">
    <w:name w:val="apple-style-span"/>
    <w:basedOn w:val="a3"/>
    <w:qFormat/>
  </w:style>
  <w:style w:type="character" w:customStyle="1" w:styleId="textediteditable-title">
    <w:name w:val="text_edit editable-title"/>
    <w:basedOn w:val="a3"/>
    <w:qFormat/>
  </w:style>
  <w:style w:type="character" w:customStyle="1" w:styleId="headline-content4">
    <w:name w:val="headline-content4"/>
    <w:basedOn w:val="a3"/>
    <w:qFormat/>
  </w:style>
  <w:style w:type="character" w:customStyle="1" w:styleId="description4">
    <w:name w:val="description4"/>
    <w:basedOn w:val="a3"/>
    <w:qFormat/>
  </w:style>
  <w:style w:type="character" w:customStyle="1" w:styleId="CharChar272">
    <w:name w:val="Char Char272"/>
    <w:basedOn w:val="a3"/>
    <w:qFormat/>
    <w:rPr>
      <w:rFonts w:eastAsia="宋体"/>
      <w:kern w:val="2"/>
      <w:sz w:val="18"/>
      <w:szCs w:val="18"/>
      <w:lang w:val="en-US" w:eastAsia="zh-CN" w:bidi="ar-SA"/>
    </w:rPr>
  </w:style>
  <w:style w:type="character" w:customStyle="1" w:styleId="CharChar261">
    <w:name w:val="Char Char261"/>
    <w:basedOn w:val="a3"/>
    <w:qFormat/>
    <w:rPr>
      <w:rFonts w:eastAsia="宋体"/>
      <w:kern w:val="2"/>
      <w:sz w:val="24"/>
      <w:szCs w:val="24"/>
      <w:lang w:val="en-US" w:eastAsia="zh-CN" w:bidi="ar-SA"/>
    </w:rPr>
  </w:style>
  <w:style w:type="character" w:customStyle="1" w:styleId="CharChar25">
    <w:name w:val="Char Char25"/>
    <w:basedOn w:val="a3"/>
    <w:qFormat/>
    <w:rPr>
      <w:rFonts w:eastAsia="宋体"/>
      <w:kern w:val="2"/>
      <w:sz w:val="16"/>
      <w:szCs w:val="16"/>
      <w:lang w:val="en-US" w:eastAsia="zh-CN" w:bidi="ar-SA"/>
    </w:rPr>
  </w:style>
  <w:style w:type="character" w:customStyle="1" w:styleId="CharChar242">
    <w:name w:val="Char Char242"/>
    <w:basedOn w:val="a3"/>
    <w:semiHidden/>
    <w:qFormat/>
    <w:rPr>
      <w:rFonts w:eastAsia="宋体"/>
      <w:kern w:val="2"/>
      <w:sz w:val="21"/>
      <w:szCs w:val="24"/>
      <w:lang w:val="en-US" w:eastAsia="zh-CN" w:bidi="ar-SA"/>
    </w:rPr>
  </w:style>
  <w:style w:type="character" w:customStyle="1" w:styleId="21Char1">
    <w:name w:val="正文文字缩进 21 Char1"/>
    <w:basedOn w:val="a3"/>
    <w:qFormat/>
    <w:rPr>
      <w:rFonts w:ascii="Times New Roman" w:eastAsia="宋体" w:hAnsi="Times New Roman" w:cs="Times New Roman"/>
      <w:szCs w:val="24"/>
    </w:rPr>
  </w:style>
  <w:style w:type="character" w:customStyle="1" w:styleId="CharChar232">
    <w:name w:val="Char Char232"/>
    <w:basedOn w:val="a3"/>
    <w:qFormat/>
    <w:rPr>
      <w:rFonts w:eastAsia="宋体"/>
      <w:kern w:val="2"/>
      <w:sz w:val="21"/>
      <w:szCs w:val="24"/>
      <w:lang w:val="en-US" w:eastAsia="zh-CN" w:bidi="ar-SA"/>
    </w:rPr>
  </w:style>
  <w:style w:type="character" w:customStyle="1" w:styleId="1fffffff7">
    <w:name w:val="标题1"/>
    <w:basedOn w:val="a3"/>
    <w:qFormat/>
  </w:style>
  <w:style w:type="character" w:customStyle="1" w:styleId="2Chare">
    <w:name w:val="样式 2 Char"/>
    <w:basedOn w:val="a3"/>
    <w:qFormat/>
    <w:rPr>
      <w:rFonts w:eastAsia="黑体"/>
      <w:color w:val="000000"/>
      <w:spacing w:val="10"/>
      <w:kern w:val="2"/>
      <w:sz w:val="30"/>
      <w:szCs w:val="21"/>
      <w:lang w:val="en-US" w:eastAsia="zh-CN" w:bidi="ar-SA"/>
    </w:rPr>
  </w:style>
  <w:style w:type="character" w:customStyle="1" w:styleId="CharChar222">
    <w:name w:val="Char Char222"/>
    <w:basedOn w:val="a3"/>
    <w:semiHidden/>
    <w:qFormat/>
    <w:rPr>
      <w:rFonts w:eastAsia="宋体"/>
      <w:kern w:val="2"/>
      <w:sz w:val="21"/>
      <w:szCs w:val="24"/>
      <w:lang w:val="en-US" w:eastAsia="zh-CN" w:bidi="ar-SA"/>
    </w:rPr>
  </w:style>
  <w:style w:type="character" w:customStyle="1" w:styleId="CharChar202">
    <w:name w:val="Char Char202"/>
    <w:basedOn w:val="a3"/>
    <w:qFormat/>
    <w:rPr>
      <w:rFonts w:eastAsia="黑体"/>
      <w:kern w:val="2"/>
      <w:sz w:val="24"/>
      <w:szCs w:val="24"/>
      <w:lang w:val="en-US" w:eastAsia="zh-CN" w:bidi="ar-SA"/>
    </w:rPr>
  </w:style>
  <w:style w:type="character" w:customStyle="1" w:styleId="CharChar193">
    <w:name w:val="Char Char193"/>
    <w:basedOn w:val="a3"/>
    <w:qFormat/>
    <w:rPr>
      <w:rFonts w:eastAsia="宋体"/>
      <w:kern w:val="2"/>
      <w:sz w:val="24"/>
      <w:szCs w:val="24"/>
      <w:lang w:val="en-US" w:eastAsia="zh-CN" w:bidi="ar-SA"/>
    </w:rPr>
  </w:style>
  <w:style w:type="character" w:customStyle="1" w:styleId="4fff4">
    <w:name w:val="强调4"/>
    <w:qFormat/>
    <w:rPr>
      <w:i/>
    </w:rPr>
  </w:style>
  <w:style w:type="character" w:customStyle="1" w:styleId="2Char20">
    <w:name w:val="正文文本缩进 2 Char2"/>
    <w:basedOn w:val="a3"/>
    <w:qFormat/>
    <w:locked/>
    <w:rPr>
      <w:rFonts w:ascii="宋体" w:eastAsia="宋体" w:hAnsi="宋体"/>
      <w:kern w:val="2"/>
      <w:sz w:val="28"/>
      <w:szCs w:val="24"/>
      <w:lang w:val="en-US" w:eastAsia="zh-CN" w:bidi="ar-SA"/>
    </w:rPr>
  </w:style>
  <w:style w:type="character" w:customStyle="1" w:styleId="3ffff1">
    <w:name w:val="不明显强调3"/>
    <w:basedOn w:val="a3"/>
    <w:qFormat/>
    <w:rPr>
      <w:i/>
      <w:iCs/>
      <w:color w:val="808080"/>
    </w:rPr>
  </w:style>
  <w:style w:type="character" w:customStyle="1" w:styleId="Char1ff0">
    <w:name w:val="正文文本 Char1"/>
    <w:semiHidden/>
    <w:qFormat/>
    <w:rPr>
      <w:rFonts w:ascii="Times New Roman" w:eastAsia="宋体" w:hAnsi="Times New Roman" w:cs="Times New Roman"/>
      <w:szCs w:val="24"/>
    </w:rPr>
  </w:style>
  <w:style w:type="character" w:customStyle="1" w:styleId="CharCharChar6">
    <w:name w:val="表头 Char Char Char"/>
    <w:qFormat/>
    <w:rPr>
      <w:rFonts w:ascii="黑体" w:eastAsia="黑体" w:hAnsi="宋体" w:cs="宋体"/>
      <w:bCs/>
      <w:sz w:val="21"/>
      <w:szCs w:val="21"/>
      <w:lang w:val="en-US" w:eastAsia="zh-CN" w:bidi="ar-SA"/>
    </w:rPr>
  </w:style>
  <w:style w:type="character" w:customStyle="1" w:styleId="style171">
    <w:name w:val="style171"/>
    <w:qFormat/>
    <w:rPr>
      <w:sz w:val="18"/>
    </w:rPr>
  </w:style>
  <w:style w:type="character" w:customStyle="1" w:styleId="CharChar30">
    <w:name w:val="Char Char3"/>
    <w:qFormat/>
    <w:rPr>
      <w:rFonts w:ascii="宋体" w:eastAsia="宋体" w:hAnsi="宋体"/>
      <w:b/>
      <w:kern w:val="2"/>
      <w:sz w:val="21"/>
      <w:szCs w:val="24"/>
      <w:lang w:val="en-US" w:eastAsia="zh-CN" w:bidi="ar-SA"/>
    </w:rPr>
  </w:style>
  <w:style w:type="character" w:customStyle="1" w:styleId="aff6">
    <w:name w:val="尾注文本 字符"/>
    <w:basedOn w:val="a3"/>
    <w:link w:val="aff5"/>
    <w:semiHidden/>
    <w:qFormat/>
    <w:rPr>
      <w:rFonts w:ascii="Times New Roman" w:eastAsia="宋体" w:hAnsi="Times New Roman" w:cs="Times New Roman"/>
      <w:szCs w:val="21"/>
    </w:rPr>
  </w:style>
  <w:style w:type="character" w:customStyle="1" w:styleId="Chara">
    <w:name w:val="表、图名 Char"/>
    <w:link w:val="affffffffe"/>
    <w:qFormat/>
    <w:rPr>
      <w:rFonts w:ascii="黑体" w:eastAsia="黑体" w:hAnsi="宋体" w:cs="Times New Roman"/>
      <w:color w:val="000000"/>
      <w:kern w:val="0"/>
      <w:sz w:val="20"/>
      <w:szCs w:val="18"/>
    </w:rPr>
  </w:style>
  <w:style w:type="character" w:customStyle="1" w:styleId="3CharChar3">
    <w:name w:val="正文文字缩进 3 Char Char"/>
    <w:qFormat/>
    <w:rPr>
      <w:rFonts w:eastAsia="宋体"/>
      <w:kern w:val="2"/>
      <w:sz w:val="16"/>
      <w:szCs w:val="16"/>
      <w:lang w:val="en-US" w:eastAsia="zh-CN" w:bidi="ar-SA"/>
    </w:rPr>
  </w:style>
  <w:style w:type="character" w:customStyle="1" w:styleId="heading1Char">
    <w:name w:val="heading1 Char"/>
    <w:qFormat/>
    <w:rPr>
      <w:rFonts w:eastAsia="宋体"/>
      <w:b/>
      <w:bCs/>
      <w:kern w:val="44"/>
      <w:sz w:val="44"/>
      <w:szCs w:val="44"/>
      <w:lang w:val="en-US" w:eastAsia="zh-CN" w:bidi="ar-SA"/>
    </w:rPr>
  </w:style>
  <w:style w:type="character" w:customStyle="1" w:styleId="aa11">
    <w:name w:val="aa11"/>
    <w:basedOn w:val="a3"/>
    <w:qFormat/>
  </w:style>
  <w:style w:type="character" w:customStyle="1" w:styleId="HTMLCharChar">
    <w:name w:val="HTML 预先格式化 Char Char"/>
    <w:qFormat/>
    <w:rPr>
      <w:rFonts w:ascii="黑体" w:eastAsia="黑体" w:hAnsi="Courier New" w:cs="黑体"/>
      <w:color w:val="5EAC01"/>
      <w:lang w:val="en-US" w:eastAsia="zh-CN" w:bidi="ar-SA"/>
    </w:rPr>
  </w:style>
  <w:style w:type="character" w:customStyle="1" w:styleId="grame">
    <w:name w:val="grame"/>
    <w:basedOn w:val="a3"/>
    <w:qFormat/>
  </w:style>
  <w:style w:type="character" w:customStyle="1" w:styleId="ta14">
    <w:name w:val="ta14"/>
    <w:basedOn w:val="a3"/>
    <w:qFormat/>
  </w:style>
  <w:style w:type="character" w:customStyle="1" w:styleId="1CharCharCharCharCharCharCharChar">
    <w:name w:val="标题 1 Char Char Char Char Char Char Char Char"/>
    <w:qFormat/>
    <w:rPr>
      <w:rFonts w:ascii="宋体" w:eastAsia="宋体" w:hAnsi="宋体" w:cs="宋体"/>
      <w:kern w:val="44"/>
      <w:sz w:val="28"/>
      <w:szCs w:val="24"/>
      <w:lang w:val="en-US" w:eastAsia="zh-CN" w:bidi="ar-SA"/>
    </w:rPr>
  </w:style>
  <w:style w:type="character" w:customStyle="1" w:styleId="1fffffff8">
    <w:name w:val="书籍标题1"/>
    <w:qFormat/>
    <w:rPr>
      <w:b/>
      <w:smallCaps/>
      <w:spacing w:val="5"/>
    </w:rPr>
  </w:style>
  <w:style w:type="character" w:customStyle="1" w:styleId="txt4">
    <w:name w:val="txt4"/>
    <w:basedOn w:val="a3"/>
    <w:qFormat/>
  </w:style>
  <w:style w:type="character" w:customStyle="1" w:styleId="Charff9">
    <w:name w:val="正正文 Char"/>
    <w:link w:val="affffffffffffffffffff4"/>
    <w:qFormat/>
    <w:rPr>
      <w:rFonts w:ascii="宋体" w:eastAsia="宋体" w:hAnsi="宋体" w:cs="Times New Roman"/>
      <w:snapToGrid w:val="0"/>
      <w:kern w:val="0"/>
      <w:sz w:val="24"/>
      <w:szCs w:val="24"/>
    </w:rPr>
  </w:style>
  <w:style w:type="character" w:customStyle="1" w:styleId="3H3H31H32111Char">
    <w:name w:val="样式 标题 3小节标题头小标题H3H31H32条标题1.1.1 + 华文宋体 加粗 Char"/>
    <w:qFormat/>
    <w:rPr>
      <w:rFonts w:ascii="华文宋体" w:eastAsia="华文宋体" w:hAnsi="华文宋体"/>
      <w:b/>
      <w:bCs/>
      <w:kern w:val="2"/>
      <w:sz w:val="24"/>
      <w:szCs w:val="32"/>
      <w:lang w:val="en-US" w:eastAsia="zh-CN" w:bidi="ar-SA"/>
    </w:rPr>
  </w:style>
  <w:style w:type="character" w:customStyle="1" w:styleId="1111Char1">
    <w:name w:val="条标题1.1.1.1 Char1"/>
    <w:qFormat/>
    <w:rPr>
      <w:rFonts w:ascii="Arial" w:eastAsia="宋体" w:hAnsi="Arial"/>
      <w:b/>
      <w:bCs/>
      <w:kern w:val="2"/>
      <w:sz w:val="24"/>
      <w:szCs w:val="28"/>
      <w:lang w:val="en-US" w:eastAsia="zh-CN" w:bidi="ar-SA"/>
    </w:rPr>
  </w:style>
  <w:style w:type="character" w:customStyle="1" w:styleId="Char1CharChar">
    <w:name w:val="正文首行缩进 Char1 Char Char"/>
    <w:qFormat/>
    <w:rPr>
      <w:rFonts w:eastAsia="宋体"/>
      <w:szCs w:val="24"/>
      <w:lang w:bidi="ar-SA"/>
    </w:rPr>
  </w:style>
  <w:style w:type="character" w:customStyle="1" w:styleId="0CharCharChar">
    <w:name w:val="样式 居中 首行缩进:  0 字符 Char Char Char"/>
    <w:link w:val="0CharChar"/>
    <w:qFormat/>
    <w:rPr>
      <w:rFonts w:ascii="宋体" w:eastAsia="宋体" w:hAnsi="宋体" w:cs="Times New Roman"/>
      <w:color w:val="000000"/>
      <w:kern w:val="0"/>
      <w:sz w:val="18"/>
      <w:szCs w:val="18"/>
    </w:rPr>
  </w:style>
  <w:style w:type="character" w:customStyle="1" w:styleId="0Char1">
    <w:name w:val="样式 居中 首行缩进:  0 字符 Char"/>
    <w:link w:val="07"/>
    <w:qFormat/>
    <w:locked/>
    <w:rPr>
      <w:rFonts w:ascii="Times New Roman" w:eastAsia="仿宋_GB2312" w:hAnsi="Times New Roman" w:cs="Times New Roman"/>
      <w:kern w:val="0"/>
      <w:sz w:val="20"/>
      <w:szCs w:val="20"/>
    </w:rPr>
  </w:style>
  <w:style w:type="character" w:customStyle="1" w:styleId="s021">
    <w:name w:val="s021"/>
    <w:qFormat/>
    <w:rPr>
      <w:color w:val="000000"/>
      <w:spacing w:val="360"/>
    </w:rPr>
  </w:style>
  <w:style w:type="character" w:customStyle="1" w:styleId="Charffffffb">
    <w:name w:val="主标题 Char"/>
    <w:qFormat/>
    <w:rPr>
      <w:rFonts w:ascii="Arial" w:eastAsia="宋体" w:hAnsi="Arial" w:cs="Arial"/>
      <w:b/>
      <w:bCs/>
      <w:kern w:val="2"/>
      <w:sz w:val="32"/>
      <w:szCs w:val="32"/>
      <w:lang w:val="en-US" w:eastAsia="zh-CN" w:bidi="ar-SA"/>
    </w:rPr>
  </w:style>
  <w:style w:type="character" w:customStyle="1" w:styleId="2CharChar4">
    <w:name w:val="标题 2宋旭峰 Char Char"/>
    <w:qFormat/>
    <w:rPr>
      <w:rFonts w:ascii="黑体" w:eastAsia="黑体" w:hAnsi="Batang"/>
      <w:b/>
      <w:bCs/>
      <w:color w:val="000000"/>
      <w:sz w:val="30"/>
      <w:szCs w:val="30"/>
      <w:lang w:val="zh-CN" w:eastAsia="zh-CN" w:bidi="ar-SA"/>
    </w:rPr>
  </w:style>
  <w:style w:type="character" w:customStyle="1" w:styleId="t31">
    <w:name w:val="t31"/>
    <w:qFormat/>
    <w:rPr>
      <w:rFonts w:ascii="宋体" w:eastAsia="宋体" w:hAnsi="宋体" w:cs="Times New Roman"/>
      <w:color w:val="000000"/>
      <w:kern w:val="2"/>
      <w:sz w:val="20"/>
      <w:szCs w:val="20"/>
      <w:lang w:val="en-US" w:eastAsia="zh-CN" w:bidi="ar-SA"/>
    </w:rPr>
  </w:style>
  <w:style w:type="character" w:customStyle="1" w:styleId="style110">
    <w:name w:val="style11"/>
    <w:qFormat/>
    <w:rPr>
      <w:rFonts w:ascii="宋体" w:eastAsia="宋体" w:hAnsi="宋体" w:cs="Times New Roman"/>
      <w:color w:val="FF0000"/>
      <w:kern w:val="2"/>
      <w:sz w:val="32"/>
      <w:szCs w:val="32"/>
      <w:lang w:val="en-US" w:eastAsia="zh-CN" w:bidi="ar-SA"/>
    </w:rPr>
  </w:style>
  <w:style w:type="character" w:customStyle="1" w:styleId="0CharCharCharChar">
    <w:name w:val="样式 居中 首行缩进:  0 字符 Char Char Char Char"/>
    <w:qFormat/>
    <w:rPr>
      <w:rFonts w:ascii="宋体" w:eastAsia="宋体" w:hAnsi="宋体" w:cs="Courier New"/>
      <w:color w:val="FF0000"/>
      <w:kern w:val="2"/>
      <w:sz w:val="18"/>
      <w:szCs w:val="18"/>
      <w:lang w:val="en-US" w:eastAsia="zh-CN" w:bidi="ar-SA"/>
    </w:rPr>
  </w:style>
  <w:style w:type="character" w:customStyle="1" w:styleId="GB23125">
    <w:name w:val="样式 仿宋_GB2312 小四 黑色"/>
    <w:semiHidden/>
    <w:qFormat/>
    <w:rPr>
      <w:rFonts w:ascii="Times New Roman" w:eastAsia="仿宋_GB2312" w:hAnsi="Times New Roman" w:cs="Courier New"/>
      <w:color w:val="000000"/>
      <w:kern w:val="2"/>
      <w:sz w:val="24"/>
      <w:szCs w:val="24"/>
      <w:lang w:val="en-US" w:eastAsia="zh-CN" w:bidi="ar-SA"/>
    </w:rPr>
  </w:style>
  <w:style w:type="character" w:customStyle="1" w:styleId="GB23126">
    <w:name w:val="样式 (西文) 宋体 (中文) 仿宋_GB2312 黑色"/>
    <w:semiHidden/>
    <w:qFormat/>
    <w:rPr>
      <w:rFonts w:ascii="Times New Roman" w:eastAsia="仿宋_GB2312" w:hAnsi="Times New Roman" w:cs="Courier New"/>
      <w:color w:val="000000"/>
      <w:kern w:val="2"/>
      <w:sz w:val="32"/>
      <w:szCs w:val="32"/>
      <w:lang w:val="en-US" w:eastAsia="zh-CN" w:bidi="ar-SA"/>
    </w:rPr>
  </w:style>
  <w:style w:type="character" w:customStyle="1" w:styleId="3CharChar4">
    <w:name w:val="标题3样式 Char Char"/>
    <w:qFormat/>
    <w:rPr>
      <w:rFonts w:ascii="黑体" w:eastAsia="黑体" w:hAnsi="Batang"/>
      <w:b/>
      <w:bCs/>
      <w:color w:val="000000"/>
      <w:kern w:val="2"/>
      <w:sz w:val="28"/>
      <w:szCs w:val="28"/>
      <w:lang w:val="en-US" w:eastAsia="zh-CN" w:bidi="ar-SA"/>
    </w:rPr>
  </w:style>
  <w:style w:type="character" w:customStyle="1" w:styleId="xb">
    <w:name w:val="xb"/>
    <w:basedOn w:val="a3"/>
    <w:qFormat/>
  </w:style>
  <w:style w:type="character" w:customStyle="1" w:styleId="hottext">
    <w:name w:val="hottext"/>
    <w:basedOn w:val="a3"/>
    <w:qFormat/>
  </w:style>
  <w:style w:type="character" w:customStyle="1" w:styleId="da1">
    <w:name w:val="da1"/>
    <w:qFormat/>
    <w:rPr>
      <w:rFonts w:hint="default"/>
      <w:color w:val="000000"/>
      <w:spacing w:val="360"/>
      <w:sz w:val="21"/>
      <w:szCs w:val="21"/>
      <w:u w:val="none"/>
    </w:rPr>
  </w:style>
  <w:style w:type="character" w:customStyle="1" w:styleId="hottext1">
    <w:name w:val="hottext1"/>
    <w:qFormat/>
    <w:rPr>
      <w:rFonts w:ascii="宋体" w:eastAsia="宋体" w:hAnsi="宋体" w:hint="eastAsia"/>
      <w:color w:val="333333"/>
      <w:spacing w:val="260"/>
      <w:sz w:val="20"/>
      <w:szCs w:val="20"/>
      <w:u w:val="none"/>
    </w:rPr>
  </w:style>
  <w:style w:type="character" w:customStyle="1" w:styleId="Charffa">
    <w:name w:val="表底说明 Char"/>
    <w:link w:val="afffffffffffffffffffff2"/>
    <w:qFormat/>
    <w:rPr>
      <w:rFonts w:ascii="Times New Roman" w:eastAsia="宋体" w:hAnsi="Times New Roman" w:cs="Times New Roman"/>
      <w:kern w:val="0"/>
      <w:sz w:val="18"/>
      <w:szCs w:val="24"/>
    </w:rPr>
  </w:style>
  <w:style w:type="character" w:customStyle="1" w:styleId="aspmaker1">
    <w:name w:val="aspmaker1"/>
    <w:qFormat/>
    <w:rPr>
      <w:rFonts w:ascii="Verdana" w:hAnsi="Verdana" w:hint="default"/>
      <w:sz w:val="20"/>
      <w:szCs w:val="20"/>
    </w:rPr>
  </w:style>
  <w:style w:type="character" w:customStyle="1" w:styleId="neiyetest1">
    <w:name w:val="neiyetest1"/>
    <w:qFormat/>
    <w:rPr>
      <w:rFonts w:ascii="ˎ̥" w:hAnsi="ˎ̥" w:hint="default"/>
      <w:color w:val="000000"/>
      <w:sz w:val="20"/>
      <w:szCs w:val="20"/>
    </w:rPr>
  </w:style>
  <w:style w:type="character" w:customStyle="1" w:styleId="slink1">
    <w:name w:val="slink1"/>
    <w:qFormat/>
    <w:rPr>
      <w:rFonts w:ascii="ˎ̥" w:hAnsi="ˎ̥" w:hint="default"/>
      <w:sz w:val="18"/>
      <w:szCs w:val="18"/>
      <w:u w:val="none"/>
    </w:rPr>
  </w:style>
  <w:style w:type="character" w:customStyle="1" w:styleId="about-left1">
    <w:name w:val="about-left1"/>
    <w:qFormat/>
    <w:rPr>
      <w:color w:val="3A3A3A"/>
      <w:spacing w:val="15"/>
      <w:sz w:val="18"/>
      <w:szCs w:val="18"/>
      <w:u w:val="none"/>
    </w:rPr>
  </w:style>
  <w:style w:type="character" w:customStyle="1" w:styleId="3CharCharCharCharChar">
    <w:name w:val="标题 3 Char Char Char Char Char"/>
    <w:qFormat/>
    <w:rPr>
      <w:rFonts w:ascii="宋体" w:eastAsia="宋体" w:hAnsi="宋体"/>
      <w:b/>
      <w:bCs/>
      <w:kern w:val="2"/>
      <w:sz w:val="28"/>
      <w:szCs w:val="32"/>
      <w:lang w:val="en-US" w:eastAsia="zh-CN" w:bidi="ar-SA"/>
    </w:rPr>
  </w:style>
  <w:style w:type="character" w:customStyle="1" w:styleId="flzxp1">
    <w:name w:val="flzx_p1"/>
    <w:qFormat/>
    <w:rPr>
      <w:rFonts w:ascii="Arial" w:hAnsi="Arial" w:cs="Arial" w:hint="default"/>
      <w:color w:val="003483"/>
      <w:sz w:val="30"/>
      <w:szCs w:val="30"/>
      <w:u w:val="none"/>
    </w:rPr>
  </w:style>
  <w:style w:type="character" w:customStyle="1" w:styleId="2Char4">
    <w:name w:val="样式 正文首行缩进 2 + (符号) 宋体 Char"/>
    <w:link w:val="2ffff7"/>
    <w:qFormat/>
    <w:rPr>
      <w:rFonts w:ascii="宋体" w:eastAsia="宋体" w:hAnsi="Times New Roman" w:cs="Times New Roman"/>
      <w:kern w:val="0"/>
      <w:sz w:val="24"/>
      <w:szCs w:val="24"/>
    </w:rPr>
  </w:style>
  <w:style w:type="character" w:customStyle="1" w:styleId="affffffffffffffffffffffffffffffffff2">
    <w:name w:val="样式 楷体 小四"/>
    <w:qFormat/>
    <w:rPr>
      <w:rFonts w:ascii="Times New Roman" w:eastAsia="宋体" w:hAnsi="Times New Roman"/>
      <w:sz w:val="24"/>
      <w:szCs w:val="24"/>
    </w:rPr>
  </w:style>
  <w:style w:type="character" w:customStyle="1" w:styleId="highlight">
    <w:name w:val="highlight"/>
    <w:basedOn w:val="a3"/>
    <w:qFormat/>
  </w:style>
  <w:style w:type="character" w:customStyle="1" w:styleId="CharCharCharChar3">
    <w:name w:val="正文(首行缩进) Char Char Char Char"/>
    <w:link w:val="CharCharChar3"/>
    <w:qFormat/>
    <w:rPr>
      <w:rFonts w:ascii="Times New Roman" w:eastAsia="宋体" w:hAnsi="Times New Roman" w:cs="Times New Roman"/>
      <w:snapToGrid w:val="0"/>
      <w:kern w:val="0"/>
      <w:sz w:val="24"/>
      <w:szCs w:val="24"/>
    </w:rPr>
  </w:style>
  <w:style w:type="character" w:customStyle="1" w:styleId="2CharChar">
    <w:name w:val="样式 正文首行缩进 2 + (符号) 宋体 + (符号) 宋体 Char Char"/>
    <w:basedOn w:val="2Char4"/>
    <w:link w:val="2ffff8"/>
    <w:qFormat/>
    <w:rPr>
      <w:rFonts w:ascii="宋体" w:eastAsia="宋体" w:hAnsi="Times New Roman" w:cs="Times New Roman"/>
      <w:kern w:val="0"/>
      <w:sz w:val="24"/>
      <w:szCs w:val="24"/>
    </w:rPr>
  </w:style>
  <w:style w:type="character" w:customStyle="1" w:styleId="Charffc">
    <w:name w:val="环保专篇 Char"/>
    <w:link w:val="afffffffffffffffffffffd"/>
    <w:qFormat/>
    <w:rPr>
      <w:rFonts w:ascii="Times New Roman" w:eastAsia="宋体" w:hAnsi="Times New Roman" w:cs="Times New Roman"/>
      <w:kern w:val="0"/>
      <w:sz w:val="24"/>
      <w:szCs w:val="24"/>
    </w:rPr>
  </w:style>
  <w:style w:type="character" w:customStyle="1" w:styleId="style21">
    <w:name w:val="style21"/>
    <w:qFormat/>
    <w:rPr>
      <w:sz w:val="40"/>
      <w:szCs w:val="40"/>
    </w:rPr>
  </w:style>
  <w:style w:type="character" w:customStyle="1" w:styleId="affffffffffffffffffffffffffffffffff3">
    <w:name w:val="第一条"/>
    <w:basedOn w:val="a3"/>
    <w:qFormat/>
  </w:style>
  <w:style w:type="character" w:customStyle="1" w:styleId="font14px">
    <w:name w:val="font14px"/>
    <w:basedOn w:val="a3"/>
    <w:qFormat/>
  </w:style>
  <w:style w:type="character" w:customStyle="1" w:styleId="EmailStyle4761">
    <w:name w:val="EmailStyle4761"/>
    <w:qFormat/>
    <w:rPr>
      <w:rFonts w:ascii="Arial" w:eastAsia="宋体" w:hAnsi="Arial" w:cs="Arial"/>
      <w:color w:val="auto"/>
      <w:sz w:val="20"/>
    </w:rPr>
  </w:style>
  <w:style w:type="character" w:customStyle="1" w:styleId="EmailStyle4771">
    <w:name w:val="EmailStyle4771"/>
    <w:qFormat/>
    <w:rPr>
      <w:rFonts w:ascii="Arial" w:eastAsia="宋体" w:hAnsi="Arial" w:cs="Arial"/>
      <w:color w:val="auto"/>
      <w:sz w:val="20"/>
    </w:rPr>
  </w:style>
  <w:style w:type="character" w:customStyle="1" w:styleId="GB23127">
    <w:name w:val="样式 (中文) 仿宋_GB2312 小四"/>
    <w:qFormat/>
    <w:rPr>
      <w:rFonts w:eastAsia="宋体"/>
      <w:sz w:val="24"/>
    </w:rPr>
  </w:style>
  <w:style w:type="character" w:customStyle="1" w:styleId="unnamed1">
    <w:name w:val="unnamed1"/>
    <w:basedOn w:val="a3"/>
    <w:qFormat/>
  </w:style>
  <w:style w:type="character" w:customStyle="1" w:styleId="Charffe">
    <w:name w:val="明显引用 Char"/>
    <w:basedOn w:val="a3"/>
    <w:link w:val="1fffff1"/>
    <w:qFormat/>
    <w:rPr>
      <w:rFonts w:ascii="Times New Roman" w:eastAsia="宋体" w:hAnsi="Times New Roman" w:cs="Times New Roman"/>
      <w:b/>
      <w:i/>
      <w:kern w:val="0"/>
      <w:sz w:val="20"/>
      <w:szCs w:val="20"/>
    </w:rPr>
  </w:style>
  <w:style w:type="character" w:customStyle="1" w:styleId="4fff5">
    <w:name w:val="不明显强调4"/>
    <w:qFormat/>
    <w:rPr>
      <w:i/>
      <w:color w:val="5A5A5A"/>
    </w:rPr>
  </w:style>
  <w:style w:type="character" w:customStyle="1" w:styleId="1fffffff9">
    <w:name w:val="明显强调1"/>
    <w:qFormat/>
    <w:rPr>
      <w:b/>
      <w:i/>
      <w:sz w:val="24"/>
      <w:szCs w:val="24"/>
      <w:u w:val="single"/>
    </w:rPr>
  </w:style>
  <w:style w:type="character" w:customStyle="1" w:styleId="1fffffffa">
    <w:name w:val="不明显参考1"/>
    <w:qFormat/>
    <w:rPr>
      <w:sz w:val="24"/>
      <w:szCs w:val="24"/>
      <w:u w:val="single"/>
    </w:rPr>
  </w:style>
  <w:style w:type="character" w:customStyle="1" w:styleId="1fffffffb">
    <w:name w:val="明显参考1"/>
    <w:qFormat/>
    <w:rPr>
      <w:b/>
      <w:sz w:val="24"/>
      <w:u w:val="single"/>
    </w:rPr>
  </w:style>
  <w:style w:type="character" w:customStyle="1" w:styleId="CharChar181">
    <w:name w:val="Char Char181"/>
    <w:qFormat/>
    <w:rPr>
      <w:rFonts w:ascii="Cambria" w:eastAsia="宋体" w:hAnsi="Cambria"/>
      <w:b/>
      <w:bCs/>
      <w:i/>
      <w:iCs/>
      <w:sz w:val="28"/>
      <w:szCs w:val="28"/>
    </w:rPr>
  </w:style>
  <w:style w:type="character" w:customStyle="1" w:styleId="1Char5">
    <w:name w:val="1正文段落 Char"/>
    <w:link w:val="1fff9"/>
    <w:qFormat/>
    <w:rPr>
      <w:rFonts w:ascii="Times New Roman" w:eastAsia="宋体" w:hAnsi="Times New Roman" w:cs="Times New Roman"/>
      <w:snapToGrid w:val="0"/>
      <w:kern w:val="0"/>
      <w:sz w:val="24"/>
      <w:szCs w:val="24"/>
    </w:rPr>
  </w:style>
  <w:style w:type="character" w:customStyle="1" w:styleId="CharChar191">
    <w:name w:val="Char Char191"/>
    <w:qFormat/>
    <w:rPr>
      <w:rFonts w:ascii="Cambria" w:eastAsia="宋体" w:hAnsi="Cambria"/>
      <w:b/>
      <w:bCs/>
      <w:kern w:val="32"/>
      <w:sz w:val="32"/>
      <w:szCs w:val="32"/>
    </w:rPr>
  </w:style>
  <w:style w:type="character" w:customStyle="1" w:styleId="CharChar161">
    <w:name w:val="Char Char161"/>
    <w:qFormat/>
    <w:rPr>
      <w:b/>
      <w:bCs/>
      <w:sz w:val="28"/>
      <w:szCs w:val="28"/>
    </w:rPr>
  </w:style>
  <w:style w:type="character" w:customStyle="1" w:styleId="unnamed2">
    <w:name w:val="unnamed2"/>
    <w:basedOn w:val="a3"/>
    <w:qFormat/>
  </w:style>
  <w:style w:type="character" w:customStyle="1" w:styleId="CharChar50">
    <w:name w:val="Char Char5"/>
    <w:qFormat/>
    <w:locked/>
    <w:rPr>
      <w:rFonts w:ascii="宋体" w:eastAsia="宋体" w:hAnsi="Courier New"/>
      <w:sz w:val="22"/>
      <w:szCs w:val="21"/>
      <w:lang w:val="en-US" w:eastAsia="en-US" w:bidi="en-US"/>
    </w:rPr>
  </w:style>
  <w:style w:type="character" w:customStyle="1" w:styleId="Charfff">
    <w:name w:val="报告正文小四 Char"/>
    <w:link w:val="affffffffffffffffffffff3"/>
    <w:qFormat/>
    <w:rPr>
      <w:rFonts w:ascii="Times New Roman" w:eastAsia="宋体" w:hAnsi="Times New Roman" w:cs="Times New Roman"/>
      <w:kern w:val="0"/>
      <w:sz w:val="24"/>
      <w:szCs w:val="20"/>
    </w:rPr>
  </w:style>
  <w:style w:type="character" w:customStyle="1" w:styleId="p1">
    <w:name w:val="p1"/>
    <w:basedOn w:val="a3"/>
    <w:qFormat/>
  </w:style>
  <w:style w:type="character" w:customStyle="1" w:styleId="big1">
    <w:name w:val="big1"/>
    <w:basedOn w:val="a3"/>
    <w:qFormat/>
  </w:style>
  <w:style w:type="character" w:customStyle="1" w:styleId="lffChar">
    <w:name w:val="lff Char"/>
    <w:link w:val="lff"/>
    <w:qFormat/>
    <w:rPr>
      <w:rFonts w:ascii="宋体" w:eastAsia="宋体" w:hAnsi="宋体" w:cs="Times New Roman"/>
      <w:b/>
      <w:color w:val="0000FF"/>
      <w:kern w:val="0"/>
      <w:sz w:val="20"/>
      <w:szCs w:val="21"/>
    </w:rPr>
  </w:style>
  <w:style w:type="character" w:customStyle="1" w:styleId="large">
    <w:name w:val="large"/>
    <w:basedOn w:val="a3"/>
    <w:qFormat/>
  </w:style>
  <w:style w:type="character" w:customStyle="1" w:styleId="212H2h21121111211Char11Char">
    <w:name w:val="样式 标题 21标题2H2h2第一层条1.1标题 2节标题 1.11.1标题2节标题 1.1 Char1.1... Char"/>
    <w:link w:val="212H2h21121111211Char11"/>
    <w:qFormat/>
    <w:rPr>
      <w:rFonts w:ascii="Arial" w:eastAsia="宋体" w:hAnsi="Arial" w:cs="Times New Roman"/>
      <w:b/>
      <w:bCs/>
      <w:kern w:val="0"/>
      <w:sz w:val="30"/>
      <w:szCs w:val="20"/>
    </w:rPr>
  </w:style>
  <w:style w:type="character" w:customStyle="1" w:styleId="212H2h21121111211Char11Char0">
    <w:name w:val="样式 样式 标题 21标题2H2h2第一层条1.1标题 2节标题 1.11.1标题2节标题 1.1 Char1.1... + 加... Char"/>
    <w:link w:val="212H2h21121111211Char110"/>
    <w:qFormat/>
    <w:rPr>
      <w:rFonts w:ascii="Arial" w:eastAsia="宋体" w:hAnsi="Arial" w:cs="Times New Roman"/>
      <w:b/>
      <w:bCs/>
      <w:spacing w:val="8"/>
      <w:kern w:val="0"/>
      <w:sz w:val="28"/>
      <w:szCs w:val="20"/>
    </w:rPr>
  </w:style>
  <w:style w:type="character" w:customStyle="1" w:styleId="news1">
    <w:name w:val="news1"/>
    <w:qFormat/>
    <w:rPr>
      <w:color w:val="000000"/>
      <w:sz w:val="21"/>
      <w:szCs w:val="21"/>
      <w:u w:val="none"/>
    </w:rPr>
  </w:style>
  <w:style w:type="character" w:customStyle="1" w:styleId="CharCharChar7">
    <w:name w:val="文本匡小五号 Char Char Char"/>
    <w:semiHidden/>
    <w:qFormat/>
    <w:rPr>
      <w:rFonts w:ascii="宋体" w:eastAsia="仿宋_GB2312" w:hAnsi="宋体" w:cs="Courier New"/>
      <w:kern w:val="2"/>
      <w:sz w:val="18"/>
      <w:szCs w:val="24"/>
      <w:lang w:val="en-US" w:eastAsia="zh-CN" w:bidi="ar-SA"/>
    </w:rPr>
  </w:style>
  <w:style w:type="character" w:customStyle="1" w:styleId="CharCharChar8">
    <w:name w:val="文本框五号 Char Char Char"/>
    <w:semiHidden/>
    <w:qFormat/>
    <w:rPr>
      <w:rFonts w:ascii="宋体" w:eastAsia="仿宋_GB2312" w:hAnsi="宋体" w:cs="Courier New"/>
      <w:kern w:val="2"/>
      <w:sz w:val="21"/>
      <w:szCs w:val="21"/>
      <w:lang w:val="en-US" w:eastAsia="zh-CN" w:bidi="ar-SA"/>
    </w:rPr>
  </w:style>
  <w:style w:type="character" w:customStyle="1" w:styleId="CharCharCharChar6">
    <w:name w:val="文本框五号 Char Char Char Char"/>
    <w:semiHidden/>
    <w:qFormat/>
    <w:rPr>
      <w:rFonts w:ascii="宋体" w:eastAsia="仿宋_GB2312" w:hAnsi="宋体" w:cs="Courier New"/>
      <w:kern w:val="2"/>
      <w:sz w:val="21"/>
      <w:szCs w:val="21"/>
      <w:lang w:val="en-US" w:eastAsia="zh-CN" w:bidi="ar-SA"/>
    </w:rPr>
  </w:style>
  <w:style w:type="character" w:customStyle="1" w:styleId="15CharChar">
    <w:name w:val="文本框五号1.5倍行距 Char Char"/>
    <w:semiHidden/>
    <w:qFormat/>
    <w:rPr>
      <w:rFonts w:ascii="宋体" w:eastAsia="仿宋_GB2312" w:hAnsi="宋体" w:cs="Courier New"/>
      <w:kern w:val="2"/>
      <w:sz w:val="21"/>
      <w:szCs w:val="21"/>
      <w:lang w:val="en-US" w:eastAsia="zh-CN" w:bidi="ar-SA"/>
    </w:rPr>
  </w:style>
  <w:style w:type="character" w:customStyle="1" w:styleId="CharCharf7">
    <w:name w:val="文本框小四 Char Char"/>
    <w:semiHidden/>
    <w:qFormat/>
    <w:rPr>
      <w:rFonts w:ascii="宋体" w:eastAsia="仿宋_GB2312" w:hAnsi="宋体" w:cs="Courier New"/>
      <w:kern w:val="2"/>
      <w:sz w:val="24"/>
      <w:szCs w:val="24"/>
      <w:lang w:val="en-US" w:eastAsia="zh-CN" w:bidi="ar-SA"/>
    </w:rPr>
  </w:style>
  <w:style w:type="character" w:customStyle="1" w:styleId="style81">
    <w:name w:val="style81"/>
    <w:semiHidden/>
    <w:qFormat/>
    <w:rPr>
      <w:rFonts w:ascii="宋体" w:eastAsia="黑体" w:hAnsi="宋体" w:cs="宋体"/>
      <w:kern w:val="2"/>
      <w:sz w:val="24"/>
      <w:szCs w:val="24"/>
      <w:lang w:val="en-US" w:eastAsia="zh-CN" w:bidi="ar-SA"/>
    </w:rPr>
  </w:style>
  <w:style w:type="character" w:customStyle="1" w:styleId="mainfirst1">
    <w:name w:val="mainfirst1"/>
    <w:semiHidden/>
    <w:qFormat/>
    <w:rPr>
      <w:rFonts w:ascii="宋体" w:eastAsia="黑体" w:hAnsi="宋体" w:cs="宋体"/>
      <w:b/>
      <w:bCs/>
      <w:color w:val="FF0000"/>
      <w:kern w:val="2"/>
      <w:sz w:val="36"/>
      <w:szCs w:val="36"/>
      <w:lang w:val="en-US" w:eastAsia="zh-CN" w:bidi="ar-SA"/>
    </w:rPr>
  </w:style>
  <w:style w:type="character" w:customStyle="1" w:styleId="Charffffffc">
    <w:name w:val="章节标题 Char"/>
    <w:semiHidden/>
    <w:qFormat/>
    <w:rPr>
      <w:rFonts w:ascii="黑体" w:eastAsia="黑体" w:hAnsi="宋体" w:cs="宋体"/>
      <w:kern w:val="2"/>
      <w:sz w:val="32"/>
      <w:szCs w:val="24"/>
      <w:lang w:val="en-US" w:eastAsia="zh-CN" w:bidi="ar-SA"/>
    </w:rPr>
  </w:style>
  <w:style w:type="character" w:customStyle="1" w:styleId="CharCharCharCharCharCCharCharCharCharCharCharChar">
    <w:name w:val="普通文字 Char Char Char Char Char C Char Char Char Char Char Char Char"/>
    <w:semiHidden/>
    <w:qFormat/>
    <w:rPr>
      <w:rFonts w:ascii="宋体" w:eastAsia="宋体" w:hAnsi="Courier New" w:cs="宋体"/>
      <w:kern w:val="2"/>
      <w:sz w:val="28"/>
      <w:szCs w:val="24"/>
      <w:lang w:val="en-US" w:eastAsia="zh-CN" w:bidi="ar-SA"/>
    </w:rPr>
  </w:style>
  <w:style w:type="character" w:customStyle="1" w:styleId="redfont">
    <w:name w:val="redfont"/>
    <w:semiHidden/>
    <w:qFormat/>
    <w:rPr>
      <w:rFonts w:ascii="宋体" w:eastAsia="黑体" w:hAnsi="宋体" w:cs="宋体"/>
      <w:kern w:val="2"/>
      <w:sz w:val="28"/>
      <w:szCs w:val="24"/>
      <w:lang w:val="en-US" w:eastAsia="zh-CN" w:bidi="ar-SA"/>
    </w:rPr>
  </w:style>
  <w:style w:type="character" w:customStyle="1" w:styleId="affffffffffffffffffffffffffffffffff4">
    <w:name w:val="样式 黑体 小四"/>
    <w:semiHidden/>
    <w:qFormat/>
    <w:rPr>
      <w:rFonts w:ascii="黑体" w:eastAsia="黑体" w:hAnsi="黑体"/>
      <w:sz w:val="24"/>
    </w:rPr>
  </w:style>
  <w:style w:type="character" w:customStyle="1" w:styleId="Char29">
    <w:name w:val="正文(首行缩进) Char2"/>
    <w:semiHidden/>
    <w:qFormat/>
    <w:rPr>
      <w:rFonts w:eastAsia="黑体"/>
      <w:bCs/>
      <w:color w:val="000000"/>
      <w:kern w:val="2"/>
      <w:sz w:val="24"/>
      <w:lang w:val="en-US" w:eastAsia="zh-CN" w:bidi="ar-SA"/>
    </w:rPr>
  </w:style>
  <w:style w:type="character" w:customStyle="1" w:styleId="biaoti">
    <w:name w:val=".biaoti"/>
    <w:basedOn w:val="a3"/>
    <w:qFormat/>
  </w:style>
  <w:style w:type="character" w:customStyle="1" w:styleId="CharCharChar4">
    <w:name w:val="表题 Char Char Char"/>
    <w:link w:val="CharChar8"/>
    <w:qFormat/>
    <w:rPr>
      <w:rFonts w:ascii="宋体" w:eastAsia="宋体" w:hAnsi="宋体" w:cs="Times New Roman"/>
      <w:bCs/>
      <w:kern w:val="0"/>
      <w:sz w:val="24"/>
      <w:szCs w:val="24"/>
    </w:rPr>
  </w:style>
  <w:style w:type="character" w:customStyle="1" w:styleId="3Char0">
    <w:name w:val="样式 样式 标题 3 + 宋体 小四 + 非加粗 Char"/>
    <w:link w:val="3fff1"/>
    <w:qFormat/>
    <w:rPr>
      <w:rFonts w:ascii="宋体" w:eastAsia="宋体" w:hAnsi="宋体" w:cs="Times New Roman"/>
      <w:bCs/>
      <w:i/>
      <w:iCs/>
      <w:kern w:val="0"/>
      <w:sz w:val="24"/>
      <w:szCs w:val="24"/>
      <w:lang w:eastAsia="en-US" w:bidi="en-US"/>
    </w:rPr>
  </w:style>
  <w:style w:type="character" w:customStyle="1" w:styleId="2H211lxb211h2CharCharChar">
    <w:name w:val="样式 标题 2节H2节标题 1.1二级标题标题 lxb21.1h2第一层条二级标题 Char表标题单位名... Char Char"/>
    <w:link w:val="2H211lxb211h2CharChar"/>
    <w:qFormat/>
    <w:rPr>
      <w:rFonts w:ascii="黑体" w:eastAsia="黑体" w:hAnsi="宋体" w:cs="Times New Roman"/>
      <w:bCs/>
      <w:color w:val="000000"/>
      <w:kern w:val="0"/>
      <w:sz w:val="28"/>
      <w:szCs w:val="28"/>
    </w:rPr>
  </w:style>
  <w:style w:type="character" w:customStyle="1" w:styleId="CharChar9">
    <w:name w:val="样式 图表头 + (符号) 黑体 红色 Char Char"/>
    <w:link w:val="afffffffffffffffffffffff3"/>
    <w:qFormat/>
    <w:rPr>
      <w:rFonts w:ascii="黑体" w:eastAsia="仿宋_GB2312"/>
      <w:color w:val="FF0000"/>
      <w:spacing w:val="5"/>
      <w:sz w:val="24"/>
    </w:rPr>
  </w:style>
  <w:style w:type="character" w:customStyle="1" w:styleId="Char2Char">
    <w:name w:val="Char2 Char"/>
    <w:qFormat/>
    <w:rPr>
      <w:rFonts w:eastAsia="宋体"/>
      <w:kern w:val="2"/>
      <w:sz w:val="21"/>
      <w:szCs w:val="24"/>
      <w:lang w:val="en-US" w:eastAsia="zh-CN" w:bidi="ar-SA"/>
    </w:rPr>
  </w:style>
  <w:style w:type="character" w:customStyle="1" w:styleId="Char1ff1">
    <w:name w:val="正文文字 Char1"/>
    <w:qFormat/>
    <w:rPr>
      <w:rFonts w:eastAsia="宋体"/>
      <w:kern w:val="2"/>
      <w:sz w:val="21"/>
      <w:szCs w:val="24"/>
      <w:lang w:val="en-US" w:eastAsia="zh-CN" w:bidi="ar-SA"/>
    </w:rPr>
  </w:style>
  <w:style w:type="character" w:customStyle="1" w:styleId="Charfff4">
    <w:name w:val="正文缩 Char"/>
    <w:link w:val="afffffffffffffffffffffff6"/>
    <w:qFormat/>
    <w:rPr>
      <w:rFonts w:eastAsia="仿宋_GB2312" w:hAnsi="宋体"/>
      <w:sz w:val="28"/>
    </w:rPr>
  </w:style>
  <w:style w:type="character" w:customStyle="1" w:styleId="tille4Char">
    <w:name w:val="样式 tille4 + Char"/>
    <w:link w:val="tille4"/>
    <w:qFormat/>
    <w:rPr>
      <w:rFonts w:ascii="Arial" w:eastAsia="宋体" w:hAnsi="Arial"/>
      <w:b/>
      <w:bCs/>
      <w:sz w:val="24"/>
      <w:szCs w:val="32"/>
    </w:rPr>
  </w:style>
  <w:style w:type="character" w:customStyle="1" w:styleId="Charfff5">
    <w:name w:val="正文. Char"/>
    <w:link w:val="afffffffffffffffffffffff7"/>
    <w:qFormat/>
    <w:rPr>
      <w:rFonts w:ascii="宋体" w:eastAsia="宋体" w:hAnsi="宋体"/>
      <w:snapToGrid w:val="0"/>
      <w:sz w:val="24"/>
      <w:szCs w:val="24"/>
    </w:rPr>
  </w:style>
  <w:style w:type="character" w:customStyle="1" w:styleId="Charfff6">
    <w:name w:val="正文段落（宋旭峰） Char"/>
    <w:link w:val="afffffffffffffffffffffff8"/>
    <w:qFormat/>
    <w:rPr>
      <w:rFonts w:eastAsia="宋体"/>
      <w:snapToGrid w:val="0"/>
      <w:sz w:val="24"/>
      <w:szCs w:val="24"/>
    </w:rPr>
  </w:style>
  <w:style w:type="character" w:customStyle="1" w:styleId="2GB2312Char">
    <w:name w:val="样式 正文文本缩进 2 + (中文) 仿宋_GB2312 小四 Char"/>
    <w:link w:val="2GB2312"/>
    <w:qFormat/>
    <w:rPr>
      <w:rFonts w:eastAsia="宋体"/>
      <w:sz w:val="24"/>
      <w:szCs w:val="24"/>
    </w:rPr>
  </w:style>
  <w:style w:type="character" w:customStyle="1" w:styleId="Charfff7">
    <w:name w:val="表格上标 Char"/>
    <w:link w:val="afffffffffffffffffffffff9"/>
    <w:qFormat/>
    <w:rPr>
      <w:rFonts w:eastAsia="宋体"/>
      <w:sz w:val="18"/>
      <w:szCs w:val="18"/>
      <w:vertAlign w:val="superscript"/>
    </w:rPr>
  </w:style>
  <w:style w:type="character" w:customStyle="1" w:styleId="Charfff8">
    <w:name w:val="文章正文 Char"/>
    <w:link w:val="afffffffffffffffffffffffa"/>
    <w:qFormat/>
    <w:rPr>
      <w:rFonts w:ascii="宋体" w:eastAsia="宋体" w:hAnsi="宋体"/>
      <w:sz w:val="24"/>
      <w:szCs w:val="24"/>
    </w:rPr>
  </w:style>
  <w:style w:type="character" w:customStyle="1" w:styleId="Char1ff2">
    <w:name w:val="表中文字 Char1"/>
    <w:qFormat/>
    <w:rPr>
      <w:rFonts w:ascii="宋体" w:eastAsia="宋体" w:hAnsi="宋体" w:cs="宋体"/>
      <w:sz w:val="21"/>
      <w:szCs w:val="21"/>
      <w:lang w:val="en-US" w:eastAsia="zh-TW" w:bidi="ar-SA"/>
    </w:rPr>
  </w:style>
  <w:style w:type="character" w:customStyle="1" w:styleId="Charfff9">
    <w:name w:val="★居中 Char"/>
    <w:link w:val="afffffffffffffffffffffffb"/>
    <w:qFormat/>
    <w:rPr>
      <w:rFonts w:eastAsia="仿宋_GB2312"/>
      <w:sz w:val="24"/>
      <w:szCs w:val="21"/>
    </w:rPr>
  </w:style>
  <w:style w:type="character" w:customStyle="1" w:styleId="2Char5">
    <w:name w:val="★正文缩进2字符 Char"/>
    <w:link w:val="2fffff0"/>
    <w:qFormat/>
    <w:rPr>
      <w:rFonts w:eastAsia="仿宋_GB2312"/>
      <w:color w:val="000000"/>
      <w:sz w:val="24"/>
      <w:szCs w:val="24"/>
    </w:rPr>
  </w:style>
  <w:style w:type="character" w:customStyle="1" w:styleId="Charfffa">
    <w:name w:val="正文小四 Char"/>
    <w:link w:val="afffffffffffffffffffffffc"/>
    <w:qFormat/>
    <w:rPr>
      <w:sz w:val="24"/>
      <w:szCs w:val="24"/>
    </w:rPr>
  </w:style>
  <w:style w:type="character" w:customStyle="1" w:styleId="Charffffffd">
    <w:name w:val="上标 Char"/>
    <w:qFormat/>
    <w:rPr>
      <w:sz w:val="24"/>
      <w:szCs w:val="24"/>
      <w:vertAlign w:val="superscript"/>
      <w:lang w:bidi="ar-SA"/>
    </w:rPr>
  </w:style>
  <w:style w:type="character" w:customStyle="1" w:styleId="000Char">
    <w:name w:val="000 Char"/>
    <w:link w:val="000"/>
    <w:qFormat/>
    <w:rPr>
      <w:rFonts w:eastAsia="宋体"/>
      <w:sz w:val="24"/>
      <w:szCs w:val="24"/>
    </w:rPr>
  </w:style>
  <w:style w:type="character" w:customStyle="1" w:styleId="1Char7">
    <w:name w:val="正文缩1 Char"/>
    <w:link w:val="1fffff6"/>
    <w:qFormat/>
    <w:rPr>
      <w:rFonts w:eastAsia="宋体"/>
      <w:sz w:val="24"/>
    </w:rPr>
  </w:style>
  <w:style w:type="character" w:customStyle="1" w:styleId="1-Char0">
    <w:name w:val="1-正文样式 Char"/>
    <w:link w:val="1-0"/>
    <w:qFormat/>
    <w:rPr>
      <w:rFonts w:eastAsia="宋体"/>
      <w:sz w:val="24"/>
      <w:szCs w:val="24"/>
    </w:rPr>
  </w:style>
  <w:style w:type="character" w:customStyle="1" w:styleId="Charfffb">
    <w:name w:val="表格内正文 Char"/>
    <w:link w:val="afffffffffffffffffffffffd"/>
    <w:qFormat/>
    <w:rPr>
      <w:szCs w:val="24"/>
    </w:rPr>
  </w:style>
  <w:style w:type="character" w:customStyle="1" w:styleId="2CharChar0">
    <w:name w:val="正文 + 首行缩进:  2 字符 Char Char"/>
    <w:link w:val="2Char6"/>
    <w:qFormat/>
    <w:rPr>
      <w:rFonts w:eastAsia="宋体"/>
      <w:sz w:val="24"/>
      <w:szCs w:val="24"/>
    </w:rPr>
  </w:style>
  <w:style w:type="character" w:customStyle="1" w:styleId="2GB2312Char0">
    <w:name w:val="样式 正文文本缩进 2 + (中文) 仿宋_GB2312 小四 红色 Char"/>
    <w:link w:val="2GB23120"/>
    <w:qFormat/>
    <w:rPr>
      <w:rFonts w:eastAsia="宋体"/>
      <w:color w:val="FF0000"/>
      <w:sz w:val="24"/>
      <w:szCs w:val="24"/>
    </w:rPr>
  </w:style>
  <w:style w:type="character" w:customStyle="1" w:styleId="Charfffc">
    <w:name w:val="图头 Char"/>
    <w:link w:val="afffffffffffffffffffffffe"/>
    <w:qFormat/>
    <w:rPr>
      <w:rFonts w:eastAsia="宋体" w:hAnsi="宋体"/>
      <w:b/>
      <w:color w:val="000000"/>
      <w:sz w:val="28"/>
      <w:szCs w:val="24"/>
    </w:rPr>
  </w:style>
  <w:style w:type="character" w:customStyle="1" w:styleId="Charf8">
    <w:name w:val="表、图名宋旭峰 Char"/>
    <w:link w:val="afffffffffffff6"/>
    <w:qFormat/>
    <w:rPr>
      <w:rFonts w:ascii="黑体" w:eastAsia="黑体" w:hAnsi="Times New Roman" w:cs="Times New Roman"/>
      <w:color w:val="000000"/>
      <w:kern w:val="0"/>
      <w:sz w:val="24"/>
      <w:szCs w:val="24"/>
    </w:rPr>
  </w:style>
  <w:style w:type="character" w:customStyle="1" w:styleId="GB2312GB23120">
    <w:name w:val="样式 (西文) 仿宋_GB2312 (中文) 仿宋_GB2312 小四"/>
    <w:qFormat/>
    <w:rPr>
      <w:rFonts w:ascii="仿宋_GB2312" w:eastAsia="宋体" w:hAnsi="仿宋_GB2312"/>
      <w:sz w:val="24"/>
    </w:rPr>
  </w:style>
  <w:style w:type="character" w:customStyle="1" w:styleId="style3style4">
    <w:name w:val="style3 style4"/>
    <w:basedOn w:val="a3"/>
    <w:qFormat/>
  </w:style>
  <w:style w:type="character" w:customStyle="1" w:styleId="CharCharCharCharCharCharCharCharCharCharCharCharCharCharCharCharCharCharCharCharCharCharCharCharChar">
    <w:name w:val="标题 Char Char Char Char Char Char Char Char Char Char Char Char Char Char Char Char Char Char Char Char Char Char Char Char Char"/>
    <w:qFormat/>
    <w:rPr>
      <w:rFonts w:eastAsia="黑体"/>
      <w:kern w:val="2"/>
      <w:sz w:val="32"/>
      <w:szCs w:val="24"/>
      <w:lang w:val="en-US" w:eastAsia="zh-CN" w:bidi="ar-SA"/>
    </w:rPr>
  </w:style>
  <w:style w:type="character" w:customStyle="1" w:styleId="1CharCharCharCharCharCharCharCharCharCharCharCharCharCharCharCharCharCharCharCharCharCharCharCharCharCharCharCharCharCharCharCharCharCharCharCharCharCharCharCharCharCharCharCharCharCharCharCharChar">
    <w:name w:val="标题 1 Char Char Char Char Char Char Char Char Char Char Char Char Char Char Char Char Char Char Char Char Char Char Char Char Char Char Char Char Char Char Char Char Char Char Char Char Char Char Char Char Char Char Char Char Char Char Char Char Char"/>
    <w:qFormat/>
    <w:rPr>
      <w:rFonts w:ascii="黑体" w:eastAsia="黑体" w:hAnsi="Arial Unicode MS"/>
      <w:kern w:val="44"/>
      <w:sz w:val="28"/>
      <w:szCs w:val="28"/>
      <w:lang w:val="en-US" w:eastAsia="zh-CN" w:bidi="ar-SA"/>
    </w:rPr>
  </w:style>
  <w:style w:type="character" w:customStyle="1" w:styleId="affffffffffffffffffffffffffffffffff5">
    <w:name w:val="消息标题标签"/>
    <w:qFormat/>
    <w:rPr>
      <w:rFonts w:ascii="Arial Black" w:eastAsia="黑体" w:hAnsi="Arial Black"/>
      <w:b/>
      <w:sz w:val="18"/>
      <w:lang w:eastAsia="zh-CN"/>
    </w:rPr>
  </w:style>
  <w:style w:type="character" w:customStyle="1" w:styleId="CharCharCharCharCharCharCharCharCharCharCharCharCharCharCharCharCharCharCharCharCharCharCharCharCharCharCharCharCharCharCharCharCharCharCharCharCharCharCharChar1CharCharCharCharC">
    <w:name w:val="正文（首行缩进两字） Char Char Char Char Char Char Char Char Char Char Char Char Char Char Char Char Char Char Char Char Char Char Char Char Char Char Char Char Char Char Char Char Char Char Char Char Char Char Char Char1 Char Char Char Char C"/>
    <w:qFormat/>
    <w:rPr>
      <w:rFonts w:eastAsia="宋体"/>
      <w:kern w:val="2"/>
      <w:sz w:val="21"/>
      <w:szCs w:val="24"/>
      <w:lang w:val="en-US" w:eastAsia="zh-CN" w:bidi="ar-SA"/>
    </w:rPr>
  </w:style>
  <w:style w:type="character" w:customStyle="1" w:styleId="style91">
    <w:name w:val="style91"/>
    <w:qFormat/>
    <w:rPr>
      <w:sz w:val="18"/>
      <w:szCs w:val="18"/>
    </w:rPr>
  </w:style>
  <w:style w:type="character" w:customStyle="1" w:styleId="2Charf">
    <w:name w:val="标题 2 黑体 小四 Char"/>
    <w:qFormat/>
    <w:rPr>
      <w:rFonts w:ascii="宋体" w:eastAsia="黑体" w:hAnsi="宋体"/>
      <w:i/>
      <w:iCs/>
      <w:kern w:val="2"/>
      <w:sz w:val="24"/>
      <w:szCs w:val="24"/>
      <w:lang w:val="en-US" w:eastAsia="zh-CN" w:bidi="ar-SA"/>
    </w:rPr>
  </w:style>
  <w:style w:type="character" w:customStyle="1" w:styleId="bluewordb">
    <w:name w:val="bluewordb"/>
    <w:basedOn w:val="a3"/>
    <w:qFormat/>
  </w:style>
  <w:style w:type="character" w:customStyle="1" w:styleId="4Char11">
    <w:name w:val="样式 标题4 Char1"/>
    <w:qFormat/>
    <w:rPr>
      <w:rFonts w:ascii="宋体" w:eastAsia="宋体" w:cs="宋体"/>
      <w:color w:val="000000"/>
      <w:kern w:val="2"/>
      <w:sz w:val="28"/>
      <w:szCs w:val="28"/>
      <w:lang w:val="en-US" w:eastAsia="zh-CN" w:bidi="ar-SA"/>
    </w:rPr>
  </w:style>
  <w:style w:type="character" w:customStyle="1" w:styleId="b22">
    <w:name w:val="b22"/>
    <w:qFormat/>
    <w:rPr>
      <w:rFonts w:ascii="Arial" w:eastAsia="黑体" w:hAnsi="Arial"/>
      <w:b/>
      <w:bCs/>
      <w:sz w:val="30"/>
      <w:szCs w:val="32"/>
      <w:lang w:val="en-US" w:eastAsia="zh-CN" w:bidi="ar-SA"/>
    </w:rPr>
  </w:style>
  <w:style w:type="character" w:customStyle="1" w:styleId="CharChar1b">
    <w:name w:val="正文文字 Char Char1"/>
    <w:qFormat/>
    <w:rPr>
      <w:rFonts w:ascii="Times New Roman" w:eastAsia="宋体" w:hAnsi="Times New Roman" w:cs="Times New Roman"/>
      <w:szCs w:val="20"/>
    </w:rPr>
  </w:style>
  <w:style w:type="character" w:customStyle="1" w:styleId="b2Char1">
    <w:name w:val="b2 Char1"/>
    <w:qFormat/>
    <w:rPr>
      <w:rFonts w:ascii="Arial" w:eastAsia="黑体" w:hAnsi="Arial"/>
      <w:b/>
      <w:bCs/>
      <w:kern w:val="2"/>
      <w:sz w:val="32"/>
      <w:szCs w:val="32"/>
      <w:lang w:val="en-US" w:eastAsia="zh-CN" w:bidi="ar-SA"/>
    </w:rPr>
  </w:style>
  <w:style w:type="character" w:customStyle="1" w:styleId="11110">
    <w:name w:val="条标题1.1.11"/>
    <w:qFormat/>
    <w:rPr>
      <w:rFonts w:ascii="宋体" w:eastAsia="宋体" w:hAnsi="宋体"/>
      <w:b/>
      <w:bCs/>
      <w:color w:val="0000FF"/>
      <w:sz w:val="28"/>
      <w:lang w:val="en-US" w:eastAsia="zh-CN" w:bidi="ar-SA"/>
    </w:rPr>
  </w:style>
  <w:style w:type="character" w:customStyle="1" w:styleId="article1">
    <w:name w:val="article1"/>
    <w:qFormat/>
    <w:rPr>
      <w:sz w:val="21"/>
      <w:szCs w:val="21"/>
    </w:rPr>
  </w:style>
  <w:style w:type="character" w:customStyle="1" w:styleId="td1">
    <w:name w:val="td1"/>
    <w:qFormat/>
    <w:rPr>
      <w:sz w:val="18"/>
      <w:szCs w:val="18"/>
    </w:rPr>
  </w:style>
  <w:style w:type="character" w:customStyle="1" w:styleId="hang1">
    <w:name w:val="hang1"/>
    <w:qFormat/>
    <w:rPr>
      <w:rFonts w:ascii="Arial" w:hAnsi="Arial" w:cs="Arial" w:hint="default"/>
      <w:sz w:val="18"/>
      <w:szCs w:val="18"/>
    </w:rPr>
  </w:style>
  <w:style w:type="character" w:customStyle="1" w:styleId="style61">
    <w:name w:val="style61"/>
    <w:qFormat/>
    <w:rPr>
      <w:color w:val="FFFFFF"/>
    </w:rPr>
  </w:style>
  <w:style w:type="character" w:customStyle="1" w:styleId="p11">
    <w:name w:val="p11"/>
    <w:qFormat/>
    <w:rPr>
      <w:rFonts w:ascii="宋体" w:eastAsia="宋体" w:hAnsi="宋体" w:hint="eastAsia"/>
      <w:sz w:val="18"/>
      <w:szCs w:val="18"/>
    </w:rPr>
  </w:style>
  <w:style w:type="character" w:customStyle="1" w:styleId="1CharCharCharChar">
    <w:name w:val="正文缩进1 Char Char Char Char"/>
    <w:qFormat/>
    <w:rPr>
      <w:rFonts w:eastAsia="宋体"/>
      <w:sz w:val="24"/>
      <w:lang w:val="en-US" w:eastAsia="zh-CN" w:bidi="ar-SA"/>
    </w:rPr>
  </w:style>
  <w:style w:type="character" w:customStyle="1" w:styleId="1Char15">
    <w:name w:val="正文缩进1 Char1"/>
    <w:qFormat/>
    <w:rPr>
      <w:rFonts w:eastAsia="宋体"/>
      <w:sz w:val="24"/>
      <w:lang w:val="en-US" w:eastAsia="zh-CN" w:bidi="ar-SA"/>
    </w:rPr>
  </w:style>
  <w:style w:type="character" w:customStyle="1" w:styleId="btna-s">
    <w:name w:val="btna-s"/>
    <w:basedOn w:val="a3"/>
    <w:qFormat/>
  </w:style>
  <w:style w:type="character" w:customStyle="1" w:styleId="e1">
    <w:name w:val="e1"/>
    <w:qFormat/>
    <w:rPr>
      <w:color w:val="333333"/>
      <w:sz w:val="20"/>
      <w:szCs w:val="20"/>
      <w:u w:val="none"/>
    </w:rPr>
  </w:style>
  <w:style w:type="character" w:customStyle="1" w:styleId="ztltext1">
    <w:name w:val="ztltext1"/>
    <w:basedOn w:val="a3"/>
    <w:qFormat/>
  </w:style>
  <w:style w:type="character" w:customStyle="1" w:styleId="Charffffffe">
    <w:name w:val="样式 正文 Char"/>
    <w:qFormat/>
    <w:rPr>
      <w:rFonts w:ascii="宋体" w:eastAsia="宋体" w:hAnsi="宋体" w:cs="宋体"/>
      <w:color w:val="000000"/>
      <w:kern w:val="2"/>
      <w:sz w:val="28"/>
      <w:szCs w:val="28"/>
      <w:lang w:val="en-US" w:eastAsia="zh-CN" w:bidi="ar-SA"/>
    </w:rPr>
  </w:style>
  <w:style w:type="character" w:customStyle="1" w:styleId="article">
    <w:name w:val="article"/>
    <w:basedOn w:val="a3"/>
    <w:qFormat/>
  </w:style>
  <w:style w:type="character" w:customStyle="1" w:styleId="style31">
    <w:name w:val="style31"/>
    <w:qFormat/>
    <w:rPr>
      <w:rFonts w:ascii="Arial" w:hAnsi="Arial" w:cs="Arial" w:hint="default"/>
      <w:color w:val="FFFFFF"/>
      <w:sz w:val="24"/>
      <w:szCs w:val="24"/>
    </w:rPr>
  </w:style>
  <w:style w:type="character" w:customStyle="1" w:styleId="12b">
    <w:name w:val="正文缩进12"/>
    <w:qFormat/>
    <w:rPr>
      <w:rFonts w:eastAsia="宋体"/>
      <w:sz w:val="24"/>
      <w:lang w:val="en-US" w:eastAsia="zh-CN" w:bidi="ar-SA"/>
    </w:rPr>
  </w:style>
  <w:style w:type="character" w:customStyle="1" w:styleId="t11">
    <w:name w:val="t11"/>
    <w:qFormat/>
    <w:rPr>
      <w:color w:val="000000"/>
      <w:sz w:val="18"/>
      <w:szCs w:val="18"/>
    </w:rPr>
  </w:style>
  <w:style w:type="character" w:customStyle="1" w:styleId="Char1Char0">
    <w:name w:val="正文缩进 Char1 Char"/>
    <w:qFormat/>
    <w:rPr>
      <w:rFonts w:eastAsia="宋体"/>
      <w:kern w:val="2"/>
      <w:sz w:val="21"/>
      <w:szCs w:val="28"/>
      <w:lang w:val="en-US" w:eastAsia="zh-CN" w:bidi="ar-SA"/>
    </w:rPr>
  </w:style>
  <w:style w:type="character" w:customStyle="1" w:styleId="carboy">
    <w:name w:val="carboy"/>
    <w:basedOn w:val="a3"/>
    <w:qFormat/>
  </w:style>
  <w:style w:type="character" w:customStyle="1" w:styleId="juhuang1">
    <w:name w:val="juhuang1"/>
    <w:qFormat/>
    <w:rPr>
      <w:b/>
      <w:bCs/>
      <w:color w:val="FF6600"/>
      <w:sz w:val="21"/>
      <w:szCs w:val="21"/>
      <w:u w:val="none"/>
    </w:rPr>
  </w:style>
  <w:style w:type="character" w:customStyle="1" w:styleId="nors1">
    <w:name w:val="nors1"/>
    <w:qFormat/>
    <w:rPr>
      <w:rFonts w:ascii="宋体" w:eastAsia="宋体" w:hAnsi="宋体"/>
      <w:sz w:val="21"/>
    </w:rPr>
  </w:style>
  <w:style w:type="character" w:customStyle="1" w:styleId="txt41">
    <w:name w:val="txt41"/>
    <w:qFormat/>
    <w:rPr>
      <w:color w:val="000000"/>
      <w:sz w:val="40"/>
      <w:szCs w:val="40"/>
      <w:bdr w:val="single" w:sz="8" w:space="0" w:color="000000"/>
    </w:rPr>
  </w:style>
  <w:style w:type="character" w:customStyle="1" w:styleId="6CharChar">
    <w:name w:val="标题 6表内文字(小四) Char Char"/>
    <w:qFormat/>
    <w:rPr>
      <w:rFonts w:ascii="Cambria" w:hAnsi="Cambria"/>
      <w:b/>
      <w:bCs/>
      <w:kern w:val="2"/>
      <w:sz w:val="24"/>
      <w:szCs w:val="24"/>
    </w:rPr>
  </w:style>
  <w:style w:type="character" w:customStyle="1" w:styleId="CharCharf8">
    <w:name w:val="样式 正文 Char Char"/>
    <w:qFormat/>
    <w:rPr>
      <w:rFonts w:ascii="宋体" w:eastAsia="宋体" w:hAnsi="宋体" w:cs="宋体"/>
      <w:color w:val="000000"/>
      <w:kern w:val="2"/>
      <w:sz w:val="28"/>
      <w:szCs w:val="28"/>
      <w:lang w:val="en-US" w:eastAsia="zh-CN" w:bidi="ar-SA"/>
    </w:rPr>
  </w:style>
  <w:style w:type="character" w:customStyle="1" w:styleId="tit03">
    <w:name w:val="tit03"/>
    <w:basedOn w:val="a3"/>
    <w:qFormat/>
  </w:style>
  <w:style w:type="character" w:customStyle="1" w:styleId="n41">
    <w:name w:val="n41"/>
    <w:qFormat/>
    <w:rPr>
      <w:color w:val="000099"/>
      <w:sz w:val="18"/>
      <w:szCs w:val="18"/>
      <w:u w:val="none"/>
    </w:rPr>
  </w:style>
  <w:style w:type="character" w:customStyle="1" w:styleId="1Chare">
    <w:name w:val="样式 标题1 Char"/>
    <w:qFormat/>
    <w:rPr>
      <w:rFonts w:ascii="宋体" w:eastAsia="宋体" w:hAnsi="宋体" w:cs="宋体"/>
      <w:b/>
      <w:color w:val="000000"/>
      <w:kern w:val="2"/>
      <w:sz w:val="28"/>
      <w:szCs w:val="28"/>
      <w:lang w:val="en-US" w:eastAsia="zh-CN" w:bidi="ar-SA"/>
    </w:rPr>
  </w:style>
  <w:style w:type="character" w:customStyle="1" w:styleId="4CharChar2">
    <w:name w:val="样式 标题4 Char Char"/>
    <w:qFormat/>
    <w:rPr>
      <w:rFonts w:ascii="宋体" w:eastAsia="宋体" w:cs="宋体"/>
      <w:color w:val="000000"/>
      <w:kern w:val="2"/>
      <w:sz w:val="28"/>
      <w:szCs w:val="28"/>
      <w:lang w:val="en-US" w:eastAsia="zh-CN" w:bidi="ar-SA"/>
    </w:rPr>
  </w:style>
  <w:style w:type="character" w:customStyle="1" w:styleId="t2style2">
    <w:name w:val="t2 style2"/>
    <w:basedOn w:val="a3"/>
    <w:qFormat/>
  </w:style>
  <w:style w:type="character" w:customStyle="1" w:styleId="style41">
    <w:name w:val="style41"/>
    <w:qFormat/>
    <w:rPr>
      <w:color w:val="000000"/>
    </w:rPr>
  </w:style>
  <w:style w:type="character" w:customStyle="1" w:styleId="maintext">
    <w:name w:val="maintext"/>
    <w:basedOn w:val="a3"/>
    <w:qFormat/>
  </w:style>
  <w:style w:type="character" w:customStyle="1" w:styleId="c1">
    <w:name w:val="c1"/>
    <w:qFormat/>
    <w:rPr>
      <w:rFonts w:ascii="ˎ̥" w:hAnsi="ˎ̥" w:hint="default"/>
      <w:color w:val="000000"/>
      <w:sz w:val="21"/>
      <w:szCs w:val="21"/>
      <w:u w:val="none"/>
    </w:rPr>
  </w:style>
  <w:style w:type="character" w:customStyle="1" w:styleId="1CharCharCh">
    <w:name w:val="正文缩进1 Char Char Ch"/>
    <w:qFormat/>
    <w:rPr>
      <w:rFonts w:ascii="宋体" w:eastAsia="宋体"/>
      <w:sz w:val="24"/>
      <w:lang w:val="en-US" w:eastAsia="zh-CN" w:bidi="ar-SA"/>
    </w:rPr>
  </w:style>
  <w:style w:type="character" w:customStyle="1" w:styleId="H42">
    <w:name w:val="H42"/>
    <w:qFormat/>
    <w:rPr>
      <w:rFonts w:ascii="Arial" w:eastAsia="黑体" w:hAnsi="Arial"/>
      <w:b/>
      <w:bCs/>
      <w:kern w:val="2"/>
      <w:sz w:val="28"/>
      <w:szCs w:val="28"/>
      <w:lang w:val="en-US" w:eastAsia="zh-CN" w:bidi="ar-SA"/>
    </w:rPr>
  </w:style>
  <w:style w:type="character" w:customStyle="1" w:styleId="Char5Char1">
    <w:name w:val="Char5 Char1"/>
    <w:qFormat/>
    <w:rPr>
      <w:rFonts w:ascii="Cambria" w:hAnsi="Cambria"/>
      <w:kern w:val="2"/>
      <w:sz w:val="24"/>
      <w:szCs w:val="24"/>
    </w:rPr>
  </w:style>
  <w:style w:type="character" w:customStyle="1" w:styleId="CharChar220">
    <w:name w:val="正文文字 Char Char22"/>
    <w:qFormat/>
    <w:rPr>
      <w:rFonts w:eastAsia="宋体"/>
      <w:kern w:val="2"/>
      <w:sz w:val="21"/>
      <w:lang w:val="en-US" w:eastAsia="zh-CN" w:bidi="ar-SA"/>
    </w:rPr>
  </w:style>
  <w:style w:type="character" w:customStyle="1" w:styleId="CharCharChar1CharChar">
    <w:name w:val="Char Char Char1 Char Char"/>
    <w:qFormat/>
    <w:rPr>
      <w:kern w:val="2"/>
      <w:sz w:val="18"/>
      <w:szCs w:val="18"/>
    </w:rPr>
  </w:style>
  <w:style w:type="character" w:customStyle="1" w:styleId="style181">
    <w:name w:val="style181"/>
    <w:qFormat/>
    <w:rPr>
      <w:color w:val="000000"/>
    </w:rPr>
  </w:style>
  <w:style w:type="character" w:customStyle="1" w:styleId="1233Char">
    <w:name w:val="1233 Char"/>
    <w:qFormat/>
    <w:rPr>
      <w:rFonts w:eastAsia="宋体"/>
      <w:kern w:val="2"/>
      <w:sz w:val="24"/>
      <w:szCs w:val="24"/>
      <w:lang w:val="en-US" w:eastAsia="zh-CN" w:bidi="ar-SA"/>
    </w:rPr>
  </w:style>
  <w:style w:type="character" w:customStyle="1" w:styleId="PIM9Char">
    <w:name w:val="PIM 9 Char"/>
    <w:qFormat/>
    <w:rPr>
      <w:rFonts w:ascii="Arial" w:eastAsia="黑体" w:hAnsi="Arial"/>
      <w:kern w:val="2"/>
      <w:sz w:val="21"/>
      <w:szCs w:val="21"/>
    </w:rPr>
  </w:style>
  <w:style w:type="character" w:customStyle="1" w:styleId="CharCharChar9">
    <w:name w:val="无间隔 Char Char Char"/>
    <w:qFormat/>
    <w:rPr>
      <w:rFonts w:ascii="Calibri" w:eastAsia="宋体" w:hAnsi="Calibri"/>
      <w:sz w:val="22"/>
      <w:szCs w:val="21"/>
      <w:lang w:val="en-US" w:eastAsia="zh-CN" w:bidi="ar-SA"/>
    </w:rPr>
  </w:style>
  <w:style w:type="character" w:customStyle="1" w:styleId="3CharChar5">
    <w:name w:val="样式3 Char Char"/>
    <w:qFormat/>
    <w:rPr>
      <w:rFonts w:ascii="宋体" w:eastAsia="宋体" w:hAnsi="Courier New"/>
      <w:kern w:val="2"/>
      <w:sz w:val="28"/>
      <w:lang w:val="en-US" w:eastAsia="zh-CN" w:bidi="ar-SA"/>
    </w:rPr>
  </w:style>
  <w:style w:type="character" w:customStyle="1" w:styleId="unnamed21">
    <w:name w:val="unnamed21"/>
    <w:qFormat/>
    <w:rPr>
      <w:color w:val="000000"/>
    </w:rPr>
  </w:style>
  <w:style w:type="character" w:customStyle="1" w:styleId="4Char2">
    <w:name w:val="样式 标题4 Char"/>
    <w:qFormat/>
    <w:rPr>
      <w:rFonts w:ascii="宋体" w:eastAsia="宋体" w:hAnsi="Cambria" w:cs="宋体"/>
      <w:b/>
      <w:bCs/>
      <w:kern w:val="2"/>
      <w:sz w:val="28"/>
      <w:szCs w:val="28"/>
      <w:lang w:val="en-US" w:eastAsia="zh-CN" w:bidi="ar-SA"/>
    </w:rPr>
  </w:style>
  <w:style w:type="character" w:customStyle="1" w:styleId="t3style2">
    <w:name w:val="t3 style2"/>
    <w:basedOn w:val="a3"/>
    <w:qFormat/>
  </w:style>
  <w:style w:type="character" w:customStyle="1" w:styleId="111111111111">
    <w:name w:val="正文(首行缩进) 111111111111"/>
    <w:qFormat/>
    <w:rPr>
      <w:rFonts w:eastAsia="宋体"/>
      <w:sz w:val="24"/>
      <w:szCs w:val="24"/>
      <w:lang w:val="en-US" w:eastAsia="zh-CN" w:bidi="ar-SA"/>
    </w:rPr>
  </w:style>
  <w:style w:type="character" w:customStyle="1" w:styleId="s14zong1">
    <w:name w:val="s14zong1"/>
    <w:qFormat/>
    <w:rPr>
      <w:rFonts w:ascii="宋体" w:eastAsia="宋体" w:hAnsi="宋体" w:hint="eastAsia"/>
      <w:color w:val="663333"/>
      <w:sz w:val="21"/>
      <w:szCs w:val="21"/>
    </w:rPr>
  </w:style>
  <w:style w:type="character" w:customStyle="1" w:styleId="CharCharf9">
    <w:name w:val="正文缩 Char Char"/>
    <w:qFormat/>
    <w:rPr>
      <w:rFonts w:eastAsia="仿宋_GB2312" w:cs="宋体"/>
      <w:sz w:val="28"/>
      <w:szCs w:val="24"/>
      <w:lang w:val="en-US" w:eastAsia="zh-CN" w:bidi="ar-SA"/>
    </w:rPr>
  </w:style>
  <w:style w:type="character" w:customStyle="1" w:styleId="Char70">
    <w:name w:val="Char7"/>
    <w:qFormat/>
    <w:rPr>
      <w:rFonts w:eastAsia="宋体"/>
      <w:kern w:val="2"/>
      <w:sz w:val="18"/>
      <w:szCs w:val="18"/>
      <w:lang w:val="en-US" w:eastAsia="zh-CN" w:bidi="ar-SA"/>
    </w:rPr>
  </w:style>
  <w:style w:type="character" w:customStyle="1" w:styleId="t41">
    <w:name w:val="t41"/>
    <w:qFormat/>
    <w:rPr>
      <w:color w:val="990000"/>
      <w:sz w:val="18"/>
      <w:szCs w:val="18"/>
    </w:rPr>
  </w:style>
  <w:style w:type="character" w:customStyle="1" w:styleId="grad">
    <w:name w:val="grad"/>
    <w:basedOn w:val="a3"/>
    <w:qFormat/>
  </w:style>
  <w:style w:type="character" w:customStyle="1" w:styleId="GB23128">
    <w:name w:val="样式 (中文) 仿宋_GB2312 小四 红色"/>
    <w:qFormat/>
    <w:rPr>
      <w:rFonts w:eastAsia="宋体"/>
      <w:color w:val="FF0000"/>
      <w:sz w:val="24"/>
    </w:rPr>
  </w:style>
  <w:style w:type="character" w:customStyle="1" w:styleId="1CharCharChar">
    <w:name w:val="样式1 Char Char Char"/>
    <w:qFormat/>
    <w:rPr>
      <w:rFonts w:ascii="宋体" w:eastAsia="宋体" w:hAnsi="宋体" w:cs="Arial"/>
      <w:kern w:val="2"/>
      <w:sz w:val="28"/>
      <w:szCs w:val="28"/>
      <w:lang w:eastAsia="zh-CN" w:bidi="ar-SA"/>
    </w:rPr>
  </w:style>
  <w:style w:type="character" w:customStyle="1" w:styleId="Char33">
    <w:name w:val="正文文字缩进 Char3"/>
    <w:qFormat/>
    <w:rPr>
      <w:kern w:val="2"/>
      <w:sz w:val="28"/>
      <w:szCs w:val="24"/>
    </w:rPr>
  </w:style>
  <w:style w:type="character" w:customStyle="1" w:styleId="1Charf">
    <w:name w:val="样式 标题 1 Char"/>
    <w:qFormat/>
    <w:rPr>
      <w:rFonts w:ascii="宋体" w:eastAsia="宋体" w:hAnsi="宋体" w:cs="宋体"/>
      <w:b/>
      <w:color w:val="000000"/>
      <w:kern w:val="2"/>
      <w:sz w:val="32"/>
      <w:szCs w:val="32"/>
      <w:lang w:val="en-US" w:eastAsia="zh-CN" w:bidi="ar-SA"/>
    </w:rPr>
  </w:style>
  <w:style w:type="character" w:customStyle="1" w:styleId="red1">
    <w:name w:val="red1"/>
    <w:qFormat/>
    <w:rPr>
      <w:color w:val="FF3300"/>
    </w:rPr>
  </w:style>
  <w:style w:type="character" w:customStyle="1" w:styleId="1CharCharChar1CharCharChar">
    <w:name w:val="正文缩进1 Char Char Char1 Char Char Char"/>
    <w:qFormat/>
    <w:rPr>
      <w:rFonts w:eastAsia="宋体"/>
      <w:kern w:val="2"/>
      <w:sz w:val="21"/>
      <w:szCs w:val="24"/>
      <w:lang w:val="en-US" w:eastAsia="zh-CN" w:bidi="ar-SA"/>
    </w:rPr>
  </w:style>
  <w:style w:type="character" w:customStyle="1" w:styleId="zbggmainstyle9">
    <w:name w:val="zbggmain style9"/>
    <w:basedOn w:val="a3"/>
    <w:qFormat/>
  </w:style>
  <w:style w:type="character" w:customStyle="1" w:styleId="12h">
    <w:name w:val="12h"/>
    <w:basedOn w:val="a3"/>
    <w:qFormat/>
  </w:style>
  <w:style w:type="character" w:customStyle="1" w:styleId="b0">
    <w:name w:val="b"/>
    <w:basedOn w:val="a3"/>
    <w:qFormat/>
  </w:style>
  <w:style w:type="character" w:customStyle="1" w:styleId="2CharChar5">
    <w:name w:val="样式2 Char Char"/>
    <w:qFormat/>
    <w:rPr>
      <w:rFonts w:ascii="黑体" w:eastAsia="黑体" w:hAnsi="宋体" w:cs="Arial"/>
      <w:kern w:val="2"/>
      <w:sz w:val="28"/>
      <w:szCs w:val="28"/>
      <w:lang w:eastAsia="zh-CN" w:bidi="ar-SA"/>
    </w:rPr>
  </w:style>
  <w:style w:type="character" w:customStyle="1" w:styleId="Char3Char">
    <w:name w:val="Char3 Char"/>
    <w:qFormat/>
    <w:rPr>
      <w:rFonts w:eastAsia="宋体"/>
      <w:kern w:val="2"/>
      <w:sz w:val="21"/>
      <w:szCs w:val="24"/>
      <w:lang w:val="en-US" w:eastAsia="zh-CN" w:bidi="ar-SA"/>
    </w:rPr>
  </w:style>
  <w:style w:type="character" w:customStyle="1" w:styleId="textshow1">
    <w:name w:val="text_show1"/>
    <w:basedOn w:val="a3"/>
    <w:qFormat/>
  </w:style>
  <w:style w:type="character" w:customStyle="1" w:styleId="cont2">
    <w:name w:val="cont2"/>
    <w:basedOn w:val="a3"/>
    <w:qFormat/>
  </w:style>
  <w:style w:type="character" w:customStyle="1" w:styleId="2fffffff4">
    <w:name w:val="正文缩进2"/>
    <w:qFormat/>
    <w:rPr>
      <w:rFonts w:eastAsia="宋体"/>
      <w:kern w:val="2"/>
      <w:sz w:val="21"/>
      <w:szCs w:val="24"/>
      <w:lang w:val="en-US" w:eastAsia="zh-CN" w:bidi="ar-SA"/>
    </w:rPr>
  </w:style>
  <w:style w:type="character" w:customStyle="1" w:styleId="tpctitle1">
    <w:name w:val="tpc_title1"/>
    <w:qFormat/>
    <w:rPr>
      <w:b/>
      <w:bCs/>
      <w:sz w:val="18"/>
      <w:szCs w:val="18"/>
    </w:rPr>
  </w:style>
  <w:style w:type="character" w:customStyle="1" w:styleId="14hei1">
    <w:name w:val="14hei1"/>
    <w:qFormat/>
    <w:rPr>
      <w:color w:val="000000"/>
      <w:sz w:val="19"/>
      <w:szCs w:val="19"/>
      <w:u w:val="none"/>
    </w:rPr>
  </w:style>
  <w:style w:type="character" w:customStyle="1" w:styleId="affffffffffffffffffffffffffffffffff6">
    <w:name w:val="样式 小四"/>
    <w:qFormat/>
    <w:rPr>
      <w:sz w:val="26"/>
    </w:rPr>
  </w:style>
  <w:style w:type="character" w:customStyle="1" w:styleId="3CharCharCharCharCharCharChar1">
    <w:name w:val="标题 3 Char Char Char Char Char Char Char1"/>
    <w:qFormat/>
    <w:rPr>
      <w:rFonts w:eastAsia="宋体"/>
      <w:b/>
      <w:bCs/>
      <w:kern w:val="2"/>
      <w:sz w:val="32"/>
      <w:szCs w:val="32"/>
      <w:lang w:val="en-US" w:eastAsia="zh-CN"/>
    </w:rPr>
  </w:style>
  <w:style w:type="character" w:customStyle="1" w:styleId="Charfffd">
    <w:name w:val="三塘湖 Char"/>
    <w:link w:val="afffffffffffffffffffffffff0"/>
    <w:qFormat/>
    <w:rPr>
      <w:rFonts w:ascii="Arial Narrow" w:eastAsia="汉鼎简书宋" w:hAnsi="Arial Narrow" w:cs="Times New Roman"/>
      <w:bCs/>
      <w:kern w:val="0"/>
      <w:sz w:val="24"/>
      <w:szCs w:val="24"/>
    </w:rPr>
  </w:style>
  <w:style w:type="character" w:customStyle="1" w:styleId="CharCharCharChar7">
    <w:name w:val="三塘湖 Char Char Char Char"/>
    <w:qFormat/>
    <w:rPr>
      <w:rFonts w:ascii="Arial Narrow" w:eastAsia="汉鼎简书宋" w:hAnsi="Arial Narrow"/>
      <w:bCs/>
      <w:kern w:val="2"/>
      <w:sz w:val="24"/>
      <w:szCs w:val="24"/>
      <w:lang w:val="en-US" w:eastAsia="zh-CN" w:bidi="ar-SA"/>
    </w:rPr>
  </w:style>
  <w:style w:type="character" w:customStyle="1" w:styleId="Charfffe">
    <w:name w:val="三塘湖正文 Char"/>
    <w:link w:val="afffffffffffffffffffffffff1"/>
    <w:qFormat/>
    <w:rPr>
      <w:rFonts w:ascii="Arial Narrow" w:eastAsia="汉鼎简书宋" w:hAnsi="Arial Narrow" w:cs="Times New Roman"/>
      <w:bCs/>
      <w:snapToGrid w:val="0"/>
      <w:kern w:val="0"/>
      <w:sz w:val="24"/>
      <w:szCs w:val="24"/>
    </w:rPr>
  </w:style>
  <w:style w:type="character" w:customStyle="1" w:styleId="01CharChar">
    <w:name w:val="01 Char Char"/>
    <w:qFormat/>
    <w:rPr>
      <w:rFonts w:ascii="Arial" w:eastAsia="宋体" w:hAnsi="Arial" w:cs="Arial"/>
      <w:b/>
      <w:bCs/>
      <w:kern w:val="2"/>
      <w:sz w:val="32"/>
      <w:szCs w:val="32"/>
      <w:lang w:val="en-US" w:eastAsia="zh-CN" w:bidi="ar-SA"/>
    </w:rPr>
  </w:style>
  <w:style w:type="character" w:customStyle="1" w:styleId="1Char16">
    <w:name w:val="表格文字1 Char1"/>
    <w:qFormat/>
    <w:rPr>
      <w:rFonts w:ascii="宋体" w:eastAsia="宋体" w:hAnsi="宋体" w:cs="宋体"/>
      <w:sz w:val="24"/>
      <w:szCs w:val="24"/>
      <w:lang w:val="en-US" w:eastAsia="zh-CN" w:bidi="ar-SA"/>
    </w:rPr>
  </w:style>
  <w:style w:type="character" w:customStyle="1" w:styleId="Char8">
    <w:name w:val="表文 Char"/>
    <w:link w:val="affffffff3"/>
    <w:qFormat/>
    <w:locked/>
    <w:rPr>
      <w:rFonts w:ascii="宋体" w:eastAsia="宋体" w:hAnsi="宋体" w:cs="Times New Roman"/>
    </w:rPr>
  </w:style>
  <w:style w:type="character" w:customStyle="1" w:styleId="01Char1">
    <w:name w:val="正文01 Char1"/>
    <w:qFormat/>
    <w:rPr>
      <w:rFonts w:eastAsia="宋体"/>
      <w:kern w:val="2"/>
      <w:sz w:val="24"/>
      <w:szCs w:val="24"/>
      <w:lang w:val="en-US" w:eastAsia="zh-CN" w:bidi="ar-SA"/>
    </w:rPr>
  </w:style>
  <w:style w:type="character" w:customStyle="1" w:styleId="CharCharfa">
    <w:name w:val="段 Char Char"/>
    <w:qFormat/>
    <w:rPr>
      <w:rFonts w:ascii="Arial" w:eastAsia="楷体_GB2312" w:hAnsi="Arial"/>
      <w:b/>
      <w:kern w:val="2"/>
      <w:sz w:val="28"/>
    </w:rPr>
  </w:style>
  <w:style w:type="character" w:customStyle="1" w:styleId="CharCharfb">
    <w:name w:val="一级项 Char Char"/>
    <w:qFormat/>
    <w:rPr>
      <w:b/>
      <w:bCs/>
      <w:kern w:val="2"/>
      <w:sz w:val="28"/>
      <w:szCs w:val="28"/>
    </w:rPr>
  </w:style>
  <w:style w:type="character" w:customStyle="1" w:styleId="CharCharfc">
    <w:name w:val="二级项 Char Char"/>
    <w:qFormat/>
    <w:rPr>
      <w:rFonts w:ascii="宋体" w:hAnsi="宋体"/>
      <w:kern w:val="2"/>
      <w:sz w:val="24"/>
    </w:rPr>
  </w:style>
  <w:style w:type="character" w:customStyle="1" w:styleId="CharChar33">
    <w:name w:val="Char Char33"/>
    <w:qFormat/>
    <w:rPr>
      <w:b/>
      <w:bCs/>
      <w:kern w:val="2"/>
      <w:sz w:val="28"/>
      <w:szCs w:val="28"/>
    </w:rPr>
  </w:style>
  <w:style w:type="character" w:customStyle="1" w:styleId="CharChar32">
    <w:name w:val="Char Char32"/>
    <w:qFormat/>
    <w:rPr>
      <w:b/>
      <w:bCs/>
      <w:kern w:val="2"/>
      <w:sz w:val="28"/>
      <w:szCs w:val="28"/>
    </w:rPr>
  </w:style>
  <w:style w:type="character" w:customStyle="1" w:styleId="CharChar31">
    <w:name w:val="Char Char31"/>
    <w:qFormat/>
    <w:rPr>
      <w:rFonts w:ascii="仿宋_GB2312" w:eastAsia="仿宋_GB2312"/>
      <w:kern w:val="2"/>
      <w:sz w:val="28"/>
      <w:szCs w:val="24"/>
    </w:rPr>
  </w:style>
  <w:style w:type="character" w:customStyle="1" w:styleId="CharChar300">
    <w:name w:val="Char Char30"/>
    <w:qFormat/>
    <w:rPr>
      <w:color w:val="000000"/>
      <w:kern w:val="2"/>
      <w:sz w:val="28"/>
    </w:rPr>
  </w:style>
  <w:style w:type="character" w:customStyle="1" w:styleId="CharChar29">
    <w:name w:val="Char Char29"/>
    <w:qFormat/>
    <w:rPr>
      <w:rFonts w:ascii="宋体" w:hAnsi="宋体"/>
      <w:color w:val="000000"/>
      <w:kern w:val="2"/>
      <w:sz w:val="28"/>
    </w:rPr>
  </w:style>
  <w:style w:type="character" w:customStyle="1" w:styleId="CharChar28">
    <w:name w:val="Char Char28"/>
    <w:qFormat/>
    <w:rPr>
      <w:color w:val="000000"/>
      <w:kern w:val="2"/>
      <w:sz w:val="21"/>
    </w:rPr>
  </w:style>
  <w:style w:type="character" w:customStyle="1" w:styleId="3Char4">
    <w:name w:val="样式 标题 3 + (符号) 宋体 四号 加粗 Char"/>
    <w:qFormat/>
    <w:rPr>
      <w:rFonts w:ascii="宋体" w:eastAsia="宋体"/>
      <w:b/>
      <w:bCs/>
      <w:sz w:val="28"/>
      <w:lang w:val="en-US" w:eastAsia="zh-CN" w:bidi="ar-SA"/>
    </w:rPr>
  </w:style>
  <w:style w:type="character" w:customStyle="1" w:styleId="bbc1">
    <w:name w:val="bbc1"/>
    <w:qFormat/>
    <w:rPr>
      <w:b/>
      <w:bCs/>
      <w:color w:val="000000"/>
      <w:sz w:val="27"/>
      <w:szCs w:val="27"/>
      <w:u w:val="none"/>
    </w:rPr>
  </w:style>
  <w:style w:type="character" w:customStyle="1" w:styleId="show1">
    <w:name w:val="show1"/>
    <w:qFormat/>
    <w:rPr>
      <w:spacing w:val="330"/>
      <w:sz w:val="21"/>
      <w:szCs w:val="21"/>
    </w:rPr>
  </w:style>
  <w:style w:type="character" w:customStyle="1" w:styleId="ttitle1">
    <w:name w:val="ttitle1"/>
    <w:qFormat/>
    <w:rPr>
      <w:spacing w:val="120"/>
      <w:sz w:val="28"/>
      <w:szCs w:val="28"/>
    </w:rPr>
  </w:style>
  <w:style w:type="character" w:customStyle="1" w:styleId="f14b1">
    <w:name w:val="f14b1"/>
    <w:qFormat/>
    <w:rPr>
      <w:b/>
      <w:bCs/>
      <w:sz w:val="21"/>
      <w:szCs w:val="21"/>
    </w:rPr>
  </w:style>
  <w:style w:type="character" w:customStyle="1" w:styleId="01Char0">
    <w:name w:val="01 Char"/>
    <w:qFormat/>
    <w:rPr>
      <w:rFonts w:ascii="Arial" w:hAnsi="Arial" w:cs="Arial"/>
      <w:b/>
      <w:bCs/>
      <w:kern w:val="2"/>
      <w:sz w:val="32"/>
      <w:szCs w:val="32"/>
    </w:rPr>
  </w:style>
  <w:style w:type="character" w:customStyle="1" w:styleId="yqlink">
    <w:name w:val="yqlink"/>
    <w:basedOn w:val="a3"/>
    <w:qFormat/>
  </w:style>
  <w:style w:type="character" w:customStyle="1" w:styleId="bigfont">
    <w:name w:val="bigfont"/>
    <w:basedOn w:val="a3"/>
    <w:qFormat/>
  </w:style>
  <w:style w:type="character" w:customStyle="1" w:styleId="dabig1">
    <w:name w:val="dabig1"/>
    <w:qFormat/>
    <w:rPr>
      <w:spacing w:val="360"/>
      <w:sz w:val="21"/>
      <w:szCs w:val="21"/>
    </w:rPr>
  </w:style>
  <w:style w:type="character" w:customStyle="1" w:styleId="at1">
    <w:name w:val="at_1"/>
    <w:basedOn w:val="a3"/>
    <w:qFormat/>
  </w:style>
  <w:style w:type="character" w:customStyle="1" w:styleId="px14">
    <w:name w:val="px14"/>
    <w:basedOn w:val="a3"/>
    <w:qFormat/>
  </w:style>
  <w:style w:type="character" w:customStyle="1" w:styleId="Charffff">
    <w:name w:val="表格中文字 Char"/>
    <w:link w:val="afffffffffffffffffffffffff5"/>
    <w:qFormat/>
    <w:rPr>
      <w:kern w:val="18"/>
      <w:szCs w:val="21"/>
    </w:rPr>
  </w:style>
  <w:style w:type="character" w:customStyle="1" w:styleId="1fffffffc">
    <w:name w:val="批注引用1"/>
    <w:qFormat/>
    <w:rPr>
      <w:sz w:val="21"/>
      <w:szCs w:val="21"/>
    </w:rPr>
  </w:style>
  <w:style w:type="character" w:customStyle="1" w:styleId="newscda1">
    <w:name w:val="news_c_da1"/>
    <w:qFormat/>
    <w:rPr>
      <w:rFonts w:ascii="ˎ̥" w:hAnsi="ˎ̥" w:hint="default"/>
      <w:b/>
      <w:bCs/>
      <w:color w:val="000000"/>
      <w:sz w:val="24"/>
      <w:szCs w:val="24"/>
    </w:rPr>
  </w:style>
  <w:style w:type="character" w:customStyle="1" w:styleId="contentwordstext1">
    <w:name w:val="contentwordstext1"/>
    <w:qFormat/>
    <w:rPr>
      <w:rFonts w:hint="default"/>
      <w:spacing w:val="340"/>
      <w:sz w:val="21"/>
      <w:szCs w:val="21"/>
    </w:rPr>
  </w:style>
  <w:style w:type="character" w:customStyle="1" w:styleId="212121Char">
    <w:name w:val="样式 样式 样式 样式 正文缩进 + 首行缩进:  2 字符1 + 首行缩进:  2 字符1 + 首行缩进:  2 字符1 + ... Char"/>
    <w:qFormat/>
    <w:rPr>
      <w:rFonts w:ascii="宋体" w:eastAsia="宋体" w:hAnsi="宋体" w:cs="宋体" w:hint="eastAsia"/>
      <w:color w:val="000000"/>
      <w:spacing w:val="8"/>
      <w:kern w:val="24"/>
      <w:sz w:val="24"/>
      <w:shd w:val="clear" w:color="auto" w:fill="FFFFFF"/>
      <w:lang w:val="en-US" w:eastAsia="zh-CN"/>
    </w:rPr>
  </w:style>
  <w:style w:type="character" w:customStyle="1" w:styleId="top1">
    <w:name w:val="top1"/>
    <w:qFormat/>
    <w:rPr>
      <w:spacing w:val="270"/>
      <w:sz w:val="18"/>
      <w:szCs w:val="18"/>
    </w:rPr>
  </w:style>
  <w:style w:type="character" w:customStyle="1" w:styleId="black1">
    <w:name w:val="black1"/>
    <w:qFormat/>
    <w:rPr>
      <w:rFonts w:ascii="Arial" w:hAnsi="Arial" w:cs="Arial" w:hint="default"/>
      <w:color w:val="000000"/>
      <w:sz w:val="18"/>
      <w:szCs w:val="18"/>
      <w:u w:val="none"/>
    </w:rPr>
  </w:style>
  <w:style w:type="character" w:customStyle="1" w:styleId="td3">
    <w:name w:val="td3"/>
    <w:basedOn w:val="a3"/>
    <w:qFormat/>
  </w:style>
  <w:style w:type="character" w:customStyle="1" w:styleId="zhenwen141">
    <w:name w:val="zhenwen141"/>
    <w:qFormat/>
    <w:rPr>
      <w:rFonts w:ascii="ˎ̥" w:hAnsi="ˎ̥" w:hint="default"/>
      <w:sz w:val="21"/>
      <w:szCs w:val="21"/>
    </w:rPr>
  </w:style>
  <w:style w:type="character" w:customStyle="1" w:styleId="btcontent1">
    <w:name w:val="bt_content1"/>
    <w:qFormat/>
    <w:rPr>
      <w:sz w:val="21"/>
      <w:szCs w:val="21"/>
      <w:u w:val="none"/>
    </w:rPr>
  </w:style>
  <w:style w:type="character" w:customStyle="1" w:styleId="Charffff0">
    <w:name w:val="正本文字 Char"/>
    <w:link w:val="afffffffffffffffffffffffff6"/>
    <w:qFormat/>
    <w:rPr>
      <w:kern w:val="18"/>
      <w:sz w:val="24"/>
    </w:rPr>
  </w:style>
  <w:style w:type="character" w:customStyle="1" w:styleId="1fffffffd">
    <w:name w:val="页码1"/>
    <w:basedOn w:val="a3"/>
    <w:qFormat/>
  </w:style>
  <w:style w:type="character" w:customStyle="1" w:styleId="Charf4">
    <w:name w:val="表格正文 Char"/>
    <w:link w:val="affffffffffff8"/>
    <w:qFormat/>
    <w:rPr>
      <w:rFonts w:ascii="宋体" w:eastAsia="宋体" w:hAnsi="宋体" w:cs="Times New Roman"/>
      <w:bCs/>
      <w:kern w:val="0"/>
      <w:sz w:val="20"/>
      <w:szCs w:val="21"/>
    </w:rPr>
  </w:style>
  <w:style w:type="character" w:customStyle="1" w:styleId="Charfffffff">
    <w:name w:val="样式 四号 加粗 Char"/>
    <w:qFormat/>
    <w:rPr>
      <w:rFonts w:eastAsia="宋体"/>
      <w:b/>
      <w:kern w:val="2"/>
      <w:sz w:val="28"/>
      <w:szCs w:val="28"/>
      <w:lang w:val="en-US" w:eastAsia="zh-CN" w:bidi="ar-SA"/>
    </w:rPr>
  </w:style>
  <w:style w:type="character" w:customStyle="1" w:styleId="zhenwen14">
    <w:name w:val="zhenwen14"/>
    <w:basedOn w:val="a3"/>
    <w:qFormat/>
  </w:style>
  <w:style w:type="character" w:customStyle="1" w:styleId="bt21">
    <w:name w:val="bt21"/>
    <w:qFormat/>
    <w:rPr>
      <w:rFonts w:ascii="黑体" w:eastAsia="黑体" w:hint="eastAsia"/>
      <w:sz w:val="24"/>
      <w:szCs w:val="24"/>
    </w:rPr>
  </w:style>
  <w:style w:type="character" w:customStyle="1" w:styleId="spelle">
    <w:name w:val="spelle"/>
    <w:basedOn w:val="a3"/>
    <w:qFormat/>
  </w:style>
  <w:style w:type="character" w:customStyle="1" w:styleId="ttag">
    <w:name w:val="t_tag"/>
    <w:basedOn w:val="a3"/>
    <w:qFormat/>
  </w:style>
  <w:style w:type="character" w:customStyle="1" w:styleId="red">
    <w:name w:val="red"/>
    <w:basedOn w:val="a3"/>
    <w:qFormat/>
  </w:style>
  <w:style w:type="character" w:customStyle="1" w:styleId="clh15">
    <w:name w:val="c lh15"/>
    <w:basedOn w:val="a3"/>
    <w:qFormat/>
  </w:style>
  <w:style w:type="character" w:customStyle="1" w:styleId="sh141">
    <w:name w:val="sh141"/>
    <w:qFormat/>
    <w:rPr>
      <w:color w:val="2B2B2B"/>
      <w:sz w:val="21"/>
      <w:szCs w:val="21"/>
    </w:rPr>
  </w:style>
  <w:style w:type="character" w:customStyle="1" w:styleId="mathjye1">
    <w:name w:val="mathjye1"/>
    <w:qFormat/>
    <w:rPr>
      <w:spacing w:val="0"/>
      <w:sz w:val="18"/>
      <w:szCs w:val="18"/>
    </w:rPr>
  </w:style>
  <w:style w:type="character" w:customStyle="1" w:styleId="CharChar40">
    <w:name w:val="Char Char4"/>
    <w:qFormat/>
    <w:rPr>
      <w:rFonts w:ascii="宋体" w:eastAsia="宋体" w:hAnsi="Courier New"/>
      <w:kern w:val="2"/>
      <w:sz w:val="28"/>
      <w:lang w:val="en-US" w:eastAsia="zh-CN" w:bidi="ar-SA"/>
    </w:rPr>
  </w:style>
  <w:style w:type="character" w:customStyle="1" w:styleId="CharChar34">
    <w:name w:val="Char Char34"/>
    <w:qFormat/>
    <w:rPr>
      <w:rFonts w:ascii="宋体" w:eastAsia="宋体" w:hAnsi="宋体"/>
      <w:b/>
      <w:kern w:val="2"/>
      <w:sz w:val="21"/>
      <w:szCs w:val="24"/>
      <w:lang w:val="en-US" w:eastAsia="zh-CN" w:bidi="ar-SA"/>
    </w:rPr>
  </w:style>
  <w:style w:type="character" w:customStyle="1" w:styleId="CharChar182">
    <w:name w:val="Char Char182"/>
    <w:qFormat/>
    <w:rPr>
      <w:rFonts w:eastAsia="宋体"/>
      <w:kern w:val="2"/>
      <w:sz w:val="18"/>
      <w:szCs w:val="18"/>
      <w:lang w:val="en-US" w:eastAsia="zh-CN" w:bidi="ar-SA"/>
    </w:rPr>
  </w:style>
  <w:style w:type="character" w:customStyle="1" w:styleId="EmailStyle1369">
    <w:name w:val="EmailStyle1369"/>
    <w:qFormat/>
    <w:rPr>
      <w:rFonts w:ascii="Arial" w:eastAsia="宋体" w:hAnsi="Arial" w:cs="Arial"/>
      <w:color w:val="auto"/>
      <w:sz w:val="20"/>
    </w:rPr>
  </w:style>
  <w:style w:type="character" w:customStyle="1" w:styleId="EmailStyle1370">
    <w:name w:val="EmailStyle1370"/>
    <w:qFormat/>
    <w:rPr>
      <w:rFonts w:ascii="Arial" w:eastAsia="宋体" w:hAnsi="Arial" w:cs="Arial"/>
      <w:color w:val="auto"/>
      <w:sz w:val="20"/>
    </w:rPr>
  </w:style>
  <w:style w:type="character" w:customStyle="1" w:styleId="CharChar201">
    <w:name w:val="Char Char201"/>
    <w:qFormat/>
    <w:rPr>
      <w:rFonts w:ascii="Times New Roman" w:eastAsia="宋体" w:hAnsi="Times New Roman" w:cs="Times New Roman"/>
      <w:b/>
      <w:bCs/>
      <w:sz w:val="28"/>
      <w:szCs w:val="28"/>
    </w:rPr>
  </w:style>
  <w:style w:type="character" w:customStyle="1" w:styleId="CharChar231">
    <w:name w:val="Char Char231"/>
    <w:qFormat/>
    <w:rPr>
      <w:rFonts w:ascii="Cambria" w:eastAsia="宋体" w:hAnsi="Cambria" w:cs="Times New Roman"/>
      <w:b/>
      <w:bCs/>
      <w:kern w:val="32"/>
      <w:sz w:val="32"/>
      <w:szCs w:val="32"/>
    </w:rPr>
  </w:style>
  <w:style w:type="character" w:customStyle="1" w:styleId="CharChar221">
    <w:name w:val="Char Char221"/>
    <w:qFormat/>
    <w:rPr>
      <w:rFonts w:ascii="Cambria" w:eastAsia="宋体" w:hAnsi="Cambria" w:cs="Times New Roman"/>
      <w:b/>
      <w:bCs/>
      <w:i/>
      <w:iCs/>
      <w:sz w:val="28"/>
      <w:szCs w:val="28"/>
    </w:rPr>
  </w:style>
  <w:style w:type="character" w:customStyle="1" w:styleId="CharChar211">
    <w:name w:val="Char Char211"/>
    <w:qFormat/>
    <w:rPr>
      <w:rFonts w:ascii="Cambria" w:eastAsia="宋体" w:hAnsi="Cambria" w:cs="Times New Roman"/>
      <w:b/>
      <w:bCs/>
      <w:sz w:val="26"/>
      <w:szCs w:val="26"/>
    </w:rPr>
  </w:style>
  <w:style w:type="character" w:customStyle="1" w:styleId="CharChar192">
    <w:name w:val="Char Char192"/>
    <w:qFormat/>
    <w:rPr>
      <w:rFonts w:ascii="Cambria" w:eastAsia="宋体" w:hAnsi="Cambria"/>
      <w:b/>
      <w:bCs/>
      <w:kern w:val="32"/>
      <w:sz w:val="32"/>
      <w:szCs w:val="32"/>
    </w:rPr>
  </w:style>
  <w:style w:type="character" w:customStyle="1" w:styleId="CharChar162">
    <w:name w:val="Char Char162"/>
    <w:qFormat/>
    <w:rPr>
      <w:b/>
      <w:bCs/>
      <w:sz w:val="28"/>
      <w:szCs w:val="28"/>
    </w:rPr>
  </w:style>
  <w:style w:type="character" w:customStyle="1" w:styleId="1CharCharCharCharCharCharCharCharCharCharCharCharCharCharCharCharCharCharCharCharCharCharCharCharCharCharCharCharCharCharCharCharCharCharCharCharCharCharCharCharCharCharCharCharCharCharCharCharChar1">
    <w:name w:val="标题 1 Char Char Char Char Char Char Char Char Char Char Char Char Char Char Char Char Char Char Char Char Char Char Char Char Char Char Char Char Char Char Char Char Char Char Char Char Char Char Char Char Char Char Char Char Char Char Char Char Char1"/>
    <w:qFormat/>
    <w:rPr>
      <w:rFonts w:ascii="黑体" w:eastAsia="黑体" w:hAnsi="Arial Unicode MS"/>
      <w:kern w:val="44"/>
      <w:sz w:val="28"/>
      <w:szCs w:val="28"/>
      <w:lang w:val="en-US" w:eastAsia="zh-CN" w:bidi="ar-SA"/>
    </w:rPr>
  </w:style>
  <w:style w:type="character" w:customStyle="1" w:styleId="CharCharChar21">
    <w:name w:val="Char Char Char21"/>
    <w:qFormat/>
    <w:rPr>
      <w:rFonts w:ascii="Times New Roman" w:eastAsia="宋体" w:hAnsi="Times New Roman" w:cs="Times New Roman"/>
      <w:sz w:val="18"/>
      <w:szCs w:val="18"/>
    </w:rPr>
  </w:style>
  <w:style w:type="character" w:customStyle="1" w:styleId="CharCharCharChar21">
    <w:name w:val="Char Char Char Char21"/>
    <w:qFormat/>
    <w:rPr>
      <w:b/>
      <w:bCs/>
      <w:kern w:val="2"/>
      <w:sz w:val="28"/>
      <w:szCs w:val="28"/>
    </w:rPr>
  </w:style>
  <w:style w:type="character" w:customStyle="1" w:styleId="CharCharChar1CharChar1">
    <w:name w:val="Char Char Char1 Char Char1"/>
    <w:qFormat/>
    <w:rPr>
      <w:kern w:val="2"/>
      <w:sz w:val="18"/>
      <w:szCs w:val="18"/>
    </w:rPr>
  </w:style>
  <w:style w:type="character" w:customStyle="1" w:styleId="Char71">
    <w:name w:val="Char71"/>
    <w:qFormat/>
    <w:rPr>
      <w:rFonts w:eastAsia="宋体"/>
      <w:kern w:val="2"/>
      <w:sz w:val="18"/>
      <w:szCs w:val="18"/>
      <w:lang w:val="en-US" w:eastAsia="zh-CN" w:bidi="ar-SA"/>
    </w:rPr>
  </w:style>
  <w:style w:type="character" w:customStyle="1" w:styleId="1CharCharChar1CharCharChar1">
    <w:name w:val="正文缩进1 Char Char Char1 Char Char Char1"/>
    <w:qFormat/>
    <w:rPr>
      <w:rFonts w:eastAsia="宋体"/>
      <w:kern w:val="2"/>
      <w:sz w:val="21"/>
      <w:szCs w:val="24"/>
      <w:lang w:val="en-US" w:eastAsia="zh-CN" w:bidi="ar-SA"/>
    </w:rPr>
  </w:style>
  <w:style w:type="character" w:customStyle="1" w:styleId="Char3Char1">
    <w:name w:val="Char3 Char1"/>
    <w:qFormat/>
    <w:rPr>
      <w:rFonts w:eastAsia="宋体"/>
      <w:kern w:val="2"/>
      <w:sz w:val="21"/>
      <w:szCs w:val="24"/>
      <w:lang w:val="en-US" w:eastAsia="zh-CN" w:bidi="ar-SA"/>
    </w:rPr>
  </w:style>
  <w:style w:type="character" w:customStyle="1" w:styleId="2fffffff5">
    <w:name w:val="访问过的超链接2"/>
    <w:qFormat/>
    <w:rPr>
      <w:rFonts w:hint="default"/>
      <w:color w:val="800080"/>
      <w:u w:val="single"/>
    </w:rPr>
  </w:style>
  <w:style w:type="character" w:customStyle="1" w:styleId="CharChar331">
    <w:name w:val="Char Char331"/>
    <w:qFormat/>
    <w:rPr>
      <w:b/>
      <w:bCs/>
      <w:kern w:val="2"/>
      <w:sz w:val="28"/>
      <w:szCs w:val="28"/>
    </w:rPr>
  </w:style>
  <w:style w:type="character" w:customStyle="1" w:styleId="CharChar321">
    <w:name w:val="Char Char321"/>
    <w:qFormat/>
    <w:rPr>
      <w:b/>
      <w:bCs/>
      <w:kern w:val="2"/>
      <w:sz w:val="28"/>
      <w:szCs w:val="28"/>
    </w:rPr>
  </w:style>
  <w:style w:type="character" w:customStyle="1" w:styleId="CharChar311">
    <w:name w:val="Char Char311"/>
    <w:qFormat/>
    <w:rPr>
      <w:rFonts w:ascii="仿宋_GB2312" w:eastAsia="仿宋_GB2312"/>
      <w:kern w:val="2"/>
      <w:sz w:val="28"/>
      <w:szCs w:val="24"/>
    </w:rPr>
  </w:style>
  <w:style w:type="character" w:customStyle="1" w:styleId="CharChar301">
    <w:name w:val="Char Char301"/>
    <w:qFormat/>
    <w:rPr>
      <w:color w:val="000000"/>
      <w:kern w:val="2"/>
      <w:sz w:val="28"/>
    </w:rPr>
  </w:style>
  <w:style w:type="character" w:customStyle="1" w:styleId="CharChar291">
    <w:name w:val="Char Char291"/>
    <w:qFormat/>
    <w:rPr>
      <w:rFonts w:ascii="宋体" w:hAnsi="宋体"/>
      <w:color w:val="000000"/>
      <w:kern w:val="2"/>
      <w:sz w:val="28"/>
    </w:rPr>
  </w:style>
  <w:style w:type="character" w:customStyle="1" w:styleId="CharChar281">
    <w:name w:val="Char Char281"/>
    <w:qFormat/>
    <w:rPr>
      <w:color w:val="000000"/>
      <w:kern w:val="2"/>
      <w:sz w:val="21"/>
    </w:rPr>
  </w:style>
  <w:style w:type="character" w:customStyle="1" w:styleId="CharChar271">
    <w:name w:val="Char Char271"/>
    <w:qFormat/>
    <w:rPr>
      <w:kern w:val="2"/>
      <w:sz w:val="18"/>
    </w:rPr>
  </w:style>
  <w:style w:type="character" w:customStyle="1" w:styleId="CharChar241">
    <w:name w:val="Char Char241"/>
    <w:qFormat/>
    <w:rPr>
      <w:rFonts w:eastAsia="宋体"/>
      <w:color w:val="000000"/>
      <w:kern w:val="2"/>
      <w:sz w:val="28"/>
      <w:lang w:val="en-US" w:eastAsia="zh-CN" w:bidi="ar-SA"/>
    </w:rPr>
  </w:style>
  <w:style w:type="character" w:customStyle="1" w:styleId="3Char5">
    <w:name w:val="正文文字缩进 3 Char"/>
    <w:qFormat/>
    <w:rPr>
      <w:rFonts w:eastAsia="宋体"/>
      <w:kern w:val="2"/>
      <w:sz w:val="16"/>
      <w:szCs w:val="16"/>
      <w:lang w:val="en-US" w:eastAsia="zh-CN" w:bidi="ar-SA"/>
    </w:rPr>
  </w:style>
  <w:style w:type="character" w:customStyle="1" w:styleId="HTMLCharChar1">
    <w:name w:val="HTML 预先格式化 Char Char1"/>
    <w:qFormat/>
    <w:rPr>
      <w:rFonts w:ascii="黑体" w:eastAsia="黑体" w:hAnsi="Courier New" w:cs="黑体"/>
      <w:color w:val="5EAC01"/>
      <w:lang w:val="en-US" w:eastAsia="zh-CN" w:bidi="ar-SA"/>
    </w:rPr>
  </w:style>
  <w:style w:type="character" w:customStyle="1" w:styleId="Char7">
    <w:name w:val="表名 Char"/>
    <w:basedOn w:val="a3"/>
    <w:link w:val="afffffff1"/>
    <w:qFormat/>
    <w:rPr>
      <w:rFonts w:ascii="Arial" w:eastAsia="黑体" w:hAnsi="Arial" w:cs="Times New Roman"/>
      <w:sz w:val="24"/>
      <w:szCs w:val="20"/>
    </w:rPr>
  </w:style>
  <w:style w:type="character" w:customStyle="1" w:styleId="btCharChar">
    <w:name w:val="bt Char Char"/>
    <w:basedOn w:val="a3"/>
    <w:qFormat/>
    <w:rPr>
      <w:rFonts w:eastAsia="宋体"/>
      <w:kern w:val="2"/>
      <w:sz w:val="24"/>
      <w:szCs w:val="24"/>
      <w:vertAlign w:val="superscript"/>
      <w:lang w:val="en-US" w:eastAsia="zh-CN" w:bidi="ar-SA"/>
    </w:rPr>
  </w:style>
  <w:style w:type="character" w:customStyle="1" w:styleId="a3Char">
    <w:name w:val="a3 Char"/>
    <w:link w:val="a30"/>
    <w:qFormat/>
    <w:rPr>
      <w:rFonts w:ascii="宋体" w:eastAsia="宋体" w:hAnsi="宋体" w:cs="Times New Roman"/>
      <w:color w:val="000000"/>
      <w:kern w:val="0"/>
      <w:sz w:val="24"/>
      <w:szCs w:val="24"/>
    </w:rPr>
  </w:style>
  <w:style w:type="character" w:customStyle="1" w:styleId="a2Char">
    <w:name w:val="a2 Char"/>
    <w:link w:val="a20"/>
    <w:qFormat/>
    <w:rPr>
      <w:rFonts w:ascii="宋体" w:eastAsia="宋体" w:hAnsi="宋体" w:cs="Times New Roman"/>
      <w:b/>
      <w:bCs/>
      <w:color w:val="000000"/>
      <w:kern w:val="0"/>
      <w:sz w:val="32"/>
      <w:szCs w:val="32"/>
    </w:rPr>
  </w:style>
  <w:style w:type="character" w:customStyle="1" w:styleId="a4Char">
    <w:name w:val="a4 Char"/>
    <w:link w:val="a40"/>
    <w:qFormat/>
    <w:rPr>
      <w:rFonts w:ascii="Times New Roman" w:eastAsia="宋体" w:hAnsi="Times New Roman" w:cs="Times New Roman"/>
      <w:b/>
      <w:color w:val="000000"/>
      <w:kern w:val="0"/>
      <w:sz w:val="24"/>
      <w:szCs w:val="24"/>
    </w:rPr>
  </w:style>
  <w:style w:type="character" w:customStyle="1" w:styleId="1Char8">
    <w:name w:val="1表头 Char"/>
    <w:link w:val="1ffffff3"/>
    <w:qFormat/>
    <w:rPr>
      <w:rFonts w:ascii="Times New Roman" w:eastAsia="宋体" w:hAnsi="Times New Roman" w:cs="Times New Roman"/>
      <w:b/>
      <w:color w:val="000000"/>
      <w:kern w:val="0"/>
      <w:sz w:val="24"/>
      <w:szCs w:val="24"/>
    </w:rPr>
  </w:style>
  <w:style w:type="character" w:customStyle="1" w:styleId="CharChar2">
    <w:name w:val="表格文字居中 Char Char"/>
    <w:link w:val="affffffffd"/>
    <w:qFormat/>
    <w:rPr>
      <w:rFonts w:ascii="Times New Roman" w:eastAsia="宋体" w:hAnsi="Times New Roman" w:cs="Times New Roman"/>
      <w:bCs/>
      <w:kern w:val="0"/>
      <w:sz w:val="18"/>
      <w:szCs w:val="18"/>
    </w:rPr>
  </w:style>
  <w:style w:type="character" w:customStyle="1" w:styleId="Charffff2">
    <w:name w:val="题注 + 居中! Char"/>
    <w:link w:val="afffffffffffffffffffffffffd"/>
    <w:qFormat/>
    <w:rPr>
      <w:rFonts w:ascii="黑体" w:eastAsia="黑体" w:hAnsi="Arial" w:cs="Times New Roman"/>
      <w:kern w:val="0"/>
      <w:sz w:val="24"/>
      <w:szCs w:val="24"/>
    </w:rPr>
  </w:style>
  <w:style w:type="character" w:customStyle="1" w:styleId="ArialCharCharChar">
    <w:name w:val="样式 题注 + (西文) Arial (中文) 黑体 小四 Char Char Char"/>
    <w:link w:val="ArialCharChar"/>
    <w:qFormat/>
    <w:rPr>
      <w:rFonts w:ascii="Arial" w:eastAsia="黑体" w:hAnsi="Arial" w:cs="Times New Roman"/>
      <w:kern w:val="0"/>
      <w:sz w:val="24"/>
      <w:szCs w:val="20"/>
    </w:rPr>
  </w:style>
  <w:style w:type="character" w:customStyle="1" w:styleId="1a3Char">
    <w:name w:val="1a3 Char"/>
    <w:link w:val="1a3"/>
    <w:qFormat/>
    <w:rPr>
      <w:rFonts w:ascii="宋体" w:eastAsia="宋体" w:hAnsi="宋体" w:cs="Times New Roman"/>
      <w:b/>
      <w:color w:val="000000"/>
      <w:kern w:val="0"/>
      <w:sz w:val="30"/>
      <w:szCs w:val="30"/>
    </w:rPr>
  </w:style>
  <w:style w:type="character" w:customStyle="1" w:styleId="biaoge">
    <w:name w:val="biaoge"/>
    <w:basedOn w:val="a3"/>
    <w:qFormat/>
  </w:style>
  <w:style w:type="character" w:customStyle="1" w:styleId="ourfont2">
    <w:name w:val="ourfont2"/>
    <w:basedOn w:val="a3"/>
    <w:qFormat/>
  </w:style>
  <w:style w:type="character" w:customStyle="1" w:styleId="gy">
    <w:name w:val="gy"/>
    <w:basedOn w:val="a3"/>
    <w:qFormat/>
  </w:style>
  <w:style w:type="character" w:customStyle="1" w:styleId="px141">
    <w:name w:val="px141"/>
    <w:basedOn w:val="a3"/>
    <w:qFormat/>
    <w:rPr>
      <w:rFonts w:ascii="ˎ̥" w:hAnsi="ˎ̥" w:hint="default"/>
      <w:sz w:val="23"/>
      <w:szCs w:val="23"/>
    </w:rPr>
  </w:style>
  <w:style w:type="character" w:customStyle="1" w:styleId="edit">
    <w:name w:val="edit"/>
    <w:basedOn w:val="a3"/>
    <w:qFormat/>
  </w:style>
  <w:style w:type="character" w:customStyle="1" w:styleId="p111">
    <w:name w:val="p111"/>
    <w:basedOn w:val="a3"/>
    <w:qFormat/>
  </w:style>
  <w:style w:type="character" w:customStyle="1" w:styleId="zhengwen1">
    <w:name w:val="zhengwen1"/>
    <w:basedOn w:val="a3"/>
    <w:qFormat/>
    <w:rPr>
      <w:color w:val="333333"/>
      <w:sz w:val="18"/>
      <w:szCs w:val="18"/>
      <w:u w:val="none"/>
    </w:rPr>
  </w:style>
  <w:style w:type="character" w:customStyle="1" w:styleId="td7">
    <w:name w:val="td7"/>
    <w:basedOn w:val="a3"/>
    <w:qFormat/>
  </w:style>
  <w:style w:type="character" w:customStyle="1" w:styleId="announ-title">
    <w:name w:val="announ-title"/>
    <w:basedOn w:val="a3"/>
    <w:qFormat/>
  </w:style>
  <w:style w:type="character" w:customStyle="1" w:styleId="1fffffffe">
    <w:name w:val="副标题1"/>
    <w:basedOn w:val="a3"/>
    <w:qFormat/>
  </w:style>
  <w:style w:type="character" w:customStyle="1" w:styleId="style211">
    <w:name w:val="style211"/>
    <w:basedOn w:val="a3"/>
    <w:qFormat/>
    <w:rPr>
      <w:color w:val="000000"/>
    </w:rPr>
  </w:style>
  <w:style w:type="character" w:customStyle="1" w:styleId="catalog1">
    <w:name w:val="catalog1"/>
    <w:basedOn w:val="a3"/>
    <w:qFormat/>
    <w:rPr>
      <w:color w:val="000000"/>
      <w:sz w:val="15"/>
      <w:szCs w:val="15"/>
      <w:u w:val="none"/>
    </w:rPr>
  </w:style>
  <w:style w:type="character" w:customStyle="1" w:styleId="Charffd">
    <w:name w:val="报告书表格 Char"/>
    <w:basedOn w:val="a3"/>
    <w:link w:val="afffffffffffffffffffffe"/>
    <w:qFormat/>
    <w:rPr>
      <w:rFonts w:ascii="Times New Roman" w:eastAsia="宋体" w:hAnsi="Times New Roman" w:cs="Times New Roman"/>
      <w:kern w:val="0"/>
      <w:szCs w:val="20"/>
    </w:rPr>
  </w:style>
  <w:style w:type="character" w:customStyle="1" w:styleId="td71">
    <w:name w:val="td71"/>
    <w:basedOn w:val="a3"/>
    <w:qFormat/>
    <w:rPr>
      <w:color w:val="3B3B3B"/>
      <w:sz w:val="18"/>
      <w:szCs w:val="18"/>
    </w:rPr>
  </w:style>
  <w:style w:type="character" w:customStyle="1" w:styleId="fontcn14">
    <w:name w:val="font_cn_14"/>
    <w:basedOn w:val="a3"/>
    <w:qFormat/>
  </w:style>
  <w:style w:type="character" w:customStyle="1" w:styleId="1Charf0">
    <w:name w:val="正文首行缩进1 Char"/>
    <w:basedOn w:val="a3"/>
    <w:qFormat/>
    <w:rPr>
      <w:rFonts w:eastAsia="宋体"/>
      <w:color w:val="000000"/>
      <w:sz w:val="28"/>
      <w:szCs w:val="24"/>
      <w:lang w:val="en-US" w:eastAsia="zh-CN" w:bidi="ar-SA"/>
    </w:rPr>
  </w:style>
  <w:style w:type="character" w:customStyle="1" w:styleId="lh131">
    <w:name w:val="lh131"/>
    <w:basedOn w:val="a3"/>
    <w:qFormat/>
    <w:rPr>
      <w:bdr w:val="single" w:sz="6" w:space="0" w:color="BBBBBB"/>
    </w:rPr>
  </w:style>
  <w:style w:type="character" w:customStyle="1" w:styleId="at10">
    <w:name w:val="at_10"/>
    <w:basedOn w:val="a3"/>
    <w:qFormat/>
  </w:style>
  <w:style w:type="character" w:customStyle="1" w:styleId="at11">
    <w:name w:val="at_11"/>
    <w:basedOn w:val="a3"/>
    <w:qFormat/>
  </w:style>
  <w:style w:type="character" w:customStyle="1" w:styleId="Charffff3">
    <w:name w:val="图表 Char"/>
    <w:basedOn w:val="a3"/>
    <w:link w:val="affffffffffffffffffffffffff1"/>
    <w:qFormat/>
    <w:locked/>
    <w:rPr>
      <w:rFonts w:ascii="宋体" w:hAnsi="宋体"/>
      <w:szCs w:val="24"/>
    </w:rPr>
  </w:style>
  <w:style w:type="character" w:customStyle="1" w:styleId="5Char2">
    <w:name w:val="样式 表内5 + (符号) 宋体 两端对齐 行距: 单倍行距 Char"/>
    <w:basedOn w:val="a3"/>
    <w:link w:val="5f9"/>
    <w:qFormat/>
    <w:rPr>
      <w:rFonts w:ascii="宋体" w:eastAsia="楷体_GB2312" w:hAnsi="宋体" w:cs="Times New Roman"/>
      <w:sz w:val="24"/>
      <w:szCs w:val="20"/>
    </w:rPr>
  </w:style>
  <w:style w:type="character" w:customStyle="1" w:styleId="5Char3">
    <w:name w:val="样式 表内小5 + 黑体 加粗 倾斜 下划线 Char"/>
    <w:basedOn w:val="a3"/>
    <w:link w:val="5ff2"/>
    <w:qFormat/>
    <w:rPr>
      <w:rFonts w:ascii="黑体" w:eastAsia="黑体" w:hAnsi="黑体" w:cs="Times New Roman"/>
      <w:b/>
      <w:bCs/>
      <w:i/>
      <w:iCs/>
      <w:sz w:val="18"/>
      <w:szCs w:val="24"/>
      <w:u w:val="single"/>
    </w:rPr>
  </w:style>
  <w:style w:type="character" w:customStyle="1" w:styleId="5Char4">
    <w:name w:val="表内小5 Char"/>
    <w:basedOn w:val="a3"/>
    <w:link w:val="5ff3"/>
    <w:qFormat/>
    <w:rPr>
      <w:rFonts w:ascii="宋体" w:eastAsia="宋体" w:hAnsi="宋体" w:cs="Times New Roman"/>
      <w:sz w:val="18"/>
      <w:szCs w:val="24"/>
    </w:rPr>
  </w:style>
  <w:style w:type="character" w:customStyle="1" w:styleId="Charfffffff0">
    <w:name w:val="新正文 Char"/>
    <w:basedOn w:val="a3"/>
    <w:qFormat/>
    <w:rPr>
      <w:rFonts w:ascii="仿宋_GB2312" w:eastAsia="仿宋_GB2312"/>
      <w:bCs/>
      <w:sz w:val="28"/>
      <w:lang w:val="en-US" w:eastAsia="zh-CN" w:bidi="ar-SA"/>
    </w:rPr>
  </w:style>
  <w:style w:type="character" w:customStyle="1" w:styleId="Charffff4">
    <w:name w:val="紧凑表格 Char"/>
    <w:basedOn w:val="a3"/>
    <w:link w:val="affffffffffffffffffffffffff6"/>
    <w:qFormat/>
    <w:rPr>
      <w:rFonts w:ascii="Times New Roman" w:eastAsia="宋体" w:hAnsi="Times New Roman" w:cs="Times New Roman"/>
      <w:szCs w:val="24"/>
    </w:rPr>
  </w:style>
  <w:style w:type="character" w:customStyle="1" w:styleId="Charffff5">
    <w:name w:val="陆晶 正文 Char"/>
    <w:basedOn w:val="a3"/>
    <w:link w:val="affffffffffffffffffffffffffb"/>
    <w:qFormat/>
    <w:rPr>
      <w:rFonts w:ascii="Times New Roman" w:eastAsia="宋体" w:hAnsi="Times New Roman" w:cs="Times New Roman"/>
      <w:color w:val="000000"/>
      <w:spacing w:val="6"/>
      <w:kern w:val="0"/>
      <w:sz w:val="24"/>
      <w:szCs w:val="24"/>
      <w:lang w:val="zh-CN"/>
    </w:rPr>
  </w:style>
  <w:style w:type="character" w:customStyle="1" w:styleId="11Char1H1h11headingHeader1stPageh1chap">
    <w:name w:val="样式 标题 1标题 1 Char标题1章节H1h11headingHeader 1st Pageh1 chap..."/>
    <w:basedOn w:val="a3"/>
    <w:qFormat/>
    <w:rPr>
      <w:rFonts w:ascii="Times New Roman" w:eastAsia="仿宋_GB2312"/>
      <w:sz w:val="28"/>
    </w:rPr>
  </w:style>
  <w:style w:type="character" w:customStyle="1" w:styleId="Charfff3">
    <w:name w:val="标准段落 Char"/>
    <w:basedOn w:val="a3"/>
    <w:link w:val="afffffffffffffffffffffff1"/>
    <w:qFormat/>
    <w:rPr>
      <w:rFonts w:ascii="Times New Roman" w:eastAsia="宋体" w:hAnsi="宋体" w:cs="Times New Roman"/>
      <w:sz w:val="28"/>
      <w:szCs w:val="28"/>
    </w:rPr>
  </w:style>
  <w:style w:type="character" w:customStyle="1" w:styleId="Charf0">
    <w:name w:val="报告 Char"/>
    <w:basedOn w:val="a3"/>
    <w:link w:val="afffffffffffc"/>
    <w:qFormat/>
    <w:rPr>
      <w:rFonts w:ascii="宋体" w:eastAsia="宋体" w:hAnsi="宋体" w:cs="Times New Roman"/>
      <w:spacing w:val="-5"/>
      <w:sz w:val="24"/>
      <w:szCs w:val="32"/>
    </w:rPr>
  </w:style>
  <w:style w:type="character" w:customStyle="1" w:styleId="headline-content2">
    <w:name w:val="headline-content2"/>
    <w:basedOn w:val="a3"/>
    <w:qFormat/>
  </w:style>
  <w:style w:type="character" w:customStyle="1" w:styleId="Charffff6">
    <w:name w:val="陆晶  图标 Char"/>
    <w:basedOn w:val="a3"/>
    <w:link w:val="affffffffffffffffffffffffffe"/>
    <w:qFormat/>
    <w:rPr>
      <w:rFonts w:ascii="Times New Roman" w:eastAsia="黑体" w:hAnsi="Times New Roman" w:cs="Times New Roman"/>
      <w:sz w:val="28"/>
      <w:szCs w:val="24"/>
    </w:rPr>
  </w:style>
  <w:style w:type="character" w:customStyle="1" w:styleId="BCharChar">
    <w:name w:val="B Char Char"/>
    <w:basedOn w:val="a3"/>
    <w:qFormat/>
    <w:rPr>
      <w:rFonts w:ascii="宋体" w:eastAsia="宋体" w:hAnsi="宋体"/>
      <w:bCs/>
      <w:snapToGrid w:val="0"/>
      <w:kern w:val="11"/>
      <w:sz w:val="24"/>
      <w:szCs w:val="24"/>
      <w:lang w:val="en-US" w:eastAsia="zh-CN" w:bidi="ar-SA"/>
    </w:rPr>
  </w:style>
  <w:style w:type="character" w:customStyle="1" w:styleId="EmailStyle70">
    <w:name w:val="EmailStyle70"/>
    <w:basedOn w:val="a3"/>
    <w:qFormat/>
    <w:rPr>
      <w:rFonts w:ascii="Arial" w:eastAsia="宋体" w:hAnsi="Arial" w:cs="Arial"/>
      <w:color w:val="000080"/>
      <w:sz w:val="18"/>
      <w:szCs w:val="20"/>
    </w:rPr>
  </w:style>
  <w:style w:type="character" w:customStyle="1" w:styleId="tpccontent">
    <w:name w:val="tpc_content"/>
    <w:basedOn w:val="a3"/>
    <w:qFormat/>
  </w:style>
  <w:style w:type="character" w:customStyle="1" w:styleId="1ffffffff">
    <w:name w:val="未命名1"/>
    <w:basedOn w:val="a3"/>
    <w:qFormat/>
  </w:style>
  <w:style w:type="character" w:customStyle="1" w:styleId="listcontents1">
    <w:name w:val="listcontents1"/>
    <w:basedOn w:val="a3"/>
    <w:qFormat/>
    <w:rPr>
      <w:color w:val="000000"/>
      <w:spacing w:val="480"/>
      <w:sz w:val="14"/>
      <w:szCs w:val="14"/>
    </w:rPr>
  </w:style>
  <w:style w:type="character" w:customStyle="1" w:styleId="BChar">
    <w:name w:val="B Char"/>
    <w:basedOn w:val="a3"/>
    <w:link w:val="B"/>
    <w:qFormat/>
    <w:rPr>
      <w:rFonts w:ascii="宋体" w:hAnsi="宋体"/>
      <w:bCs/>
      <w:snapToGrid w:val="0"/>
      <w:kern w:val="11"/>
      <w:sz w:val="24"/>
      <w:szCs w:val="24"/>
    </w:rPr>
  </w:style>
  <w:style w:type="character" w:customStyle="1" w:styleId="A3Char0">
    <w:name w:val="A3 Char"/>
    <w:basedOn w:val="a3"/>
    <w:link w:val="A31"/>
    <w:qFormat/>
    <w:rPr>
      <w:bCs/>
      <w:sz w:val="28"/>
      <w:szCs w:val="28"/>
    </w:rPr>
  </w:style>
  <w:style w:type="character" w:customStyle="1" w:styleId="a1Char">
    <w:name w:val="a1 Char"/>
    <w:link w:val="a10"/>
    <w:qFormat/>
    <w:rPr>
      <w:rFonts w:ascii="宋体" w:eastAsia="宋体" w:hAnsi="宋体" w:cs="Times New Roman"/>
      <w:color w:val="000000"/>
      <w:kern w:val="0"/>
      <w:sz w:val="24"/>
      <w:szCs w:val="24"/>
    </w:rPr>
  </w:style>
  <w:style w:type="character" w:customStyle="1" w:styleId="mlh15">
    <w:name w:val="m lh15"/>
    <w:basedOn w:val="a3"/>
    <w:qFormat/>
  </w:style>
  <w:style w:type="character" w:customStyle="1" w:styleId="0CharCharCharCharCharChar">
    <w:name w:val="样式 居中 首行缩进:  0 字符 Char Char Char Char Char Char"/>
    <w:qFormat/>
    <w:rPr>
      <w:rFonts w:ascii="宋体" w:eastAsia="宋体" w:hAnsi="宋体"/>
      <w:color w:val="FF0000"/>
      <w:kern w:val="2"/>
      <w:sz w:val="18"/>
      <w:szCs w:val="18"/>
      <w:lang w:val="en-US" w:eastAsia="zh-CN" w:bidi="ar-SA"/>
    </w:rPr>
  </w:style>
  <w:style w:type="character" w:customStyle="1" w:styleId="t4">
    <w:name w:val="t"/>
    <w:basedOn w:val="a3"/>
    <w:qFormat/>
  </w:style>
  <w:style w:type="character" w:customStyle="1" w:styleId="2fffffff6">
    <w:name w:val="已访问的超链接2"/>
    <w:qFormat/>
    <w:rPr>
      <w:rFonts w:ascii="Times New Roman" w:hint="default"/>
      <w:color w:val="800080"/>
      <w:u w:val="single"/>
    </w:rPr>
  </w:style>
  <w:style w:type="character" w:customStyle="1" w:styleId="e011">
    <w:name w:val="e011"/>
    <w:qFormat/>
    <w:rPr>
      <w:sz w:val="21"/>
      <w:szCs w:val="21"/>
    </w:rPr>
  </w:style>
  <w:style w:type="character" w:customStyle="1" w:styleId="affffffffffffffffffffffffffffffffff7">
    <w:name w:val="个人撰写风格"/>
    <w:qFormat/>
    <w:rPr>
      <w:rFonts w:ascii="Arial" w:eastAsia="宋体" w:hAnsi="Arial" w:cs="Arial"/>
      <w:color w:val="auto"/>
      <w:sz w:val="20"/>
    </w:rPr>
  </w:style>
  <w:style w:type="character" w:customStyle="1" w:styleId="2CharChar6">
    <w:name w:val="标题 2 Char Char"/>
    <w:qFormat/>
    <w:rPr>
      <w:rFonts w:ascii="黑体" w:eastAsia="黑体" w:hAnsi="黑体"/>
      <w:kern w:val="2"/>
      <w:sz w:val="24"/>
      <w:lang w:val="en-US" w:eastAsia="zh-CN" w:bidi="ar-SA"/>
    </w:rPr>
  </w:style>
  <w:style w:type="character" w:customStyle="1" w:styleId="affffffffffffffffffffffffffffffffff8">
    <w:name w:val="个人答复风格"/>
    <w:qFormat/>
    <w:rPr>
      <w:rFonts w:ascii="Arial" w:eastAsia="宋体" w:hAnsi="Arial" w:cs="Arial"/>
      <w:color w:val="auto"/>
      <w:sz w:val="20"/>
    </w:rPr>
  </w:style>
  <w:style w:type="character" w:customStyle="1" w:styleId="Charffff7">
    <w:name w:val="样式 王效杰正文 + 黑色 Char"/>
    <w:basedOn w:val="a3"/>
    <w:link w:val="afffffffffffffffffffffffffff8"/>
    <w:qFormat/>
    <w:rPr>
      <w:rFonts w:ascii="宋体" w:eastAsia="宋体" w:hAnsi="宋体" w:cs="Times New Roman"/>
      <w:color w:val="000000"/>
      <w:sz w:val="28"/>
      <w:szCs w:val="28"/>
    </w:rPr>
  </w:style>
  <w:style w:type="character" w:customStyle="1" w:styleId="r1">
    <w:name w:val="r1"/>
    <w:basedOn w:val="a3"/>
    <w:qFormat/>
    <w:rPr>
      <w:sz w:val="20"/>
      <w:szCs w:val="20"/>
    </w:rPr>
  </w:style>
  <w:style w:type="character" w:customStyle="1" w:styleId="CharChar141">
    <w:name w:val="Char Char141"/>
    <w:basedOn w:val="a3"/>
    <w:qFormat/>
    <w:locked/>
    <w:rPr>
      <w:rFonts w:ascii="宋体" w:eastAsia="宋体" w:hAnsi="宋体"/>
      <w:sz w:val="18"/>
      <w:lang w:val="en-US" w:eastAsia="zh-CN" w:bidi="ar-SA"/>
    </w:rPr>
  </w:style>
  <w:style w:type="character" w:customStyle="1" w:styleId="CharChar91">
    <w:name w:val="Char Char91"/>
    <w:basedOn w:val="a3"/>
    <w:qFormat/>
    <w:locked/>
    <w:rPr>
      <w:rFonts w:ascii="楷体_GB2312" w:eastAsia="楷体_GB2312"/>
      <w:kern w:val="2"/>
      <w:sz w:val="30"/>
      <w:szCs w:val="24"/>
      <w:lang w:val="en-US" w:eastAsia="zh-CN" w:bidi="ar-SA"/>
    </w:rPr>
  </w:style>
  <w:style w:type="character" w:customStyle="1" w:styleId="Charffff8">
    <w:name w:val="五级 Char"/>
    <w:basedOn w:val="Chard"/>
    <w:link w:val="afffffffffffffffffffffffffff9"/>
    <w:qFormat/>
    <w:rPr>
      <w:rFonts w:ascii="Times New Roman" w:eastAsia="宋体" w:hAnsi="Times New Roman" w:cs="Arial"/>
      <w:b/>
      <w:bCs/>
      <w:kern w:val="0"/>
      <w:sz w:val="32"/>
      <w:szCs w:val="32"/>
      <w:lang w:val="en-US" w:eastAsia="zh-CN" w:bidi="ar-SA"/>
    </w:rPr>
  </w:style>
  <w:style w:type="character" w:customStyle="1" w:styleId="Chard">
    <w:name w:val="四级 Char"/>
    <w:basedOn w:val="Charc"/>
    <w:link w:val="afffffffffa"/>
    <w:qFormat/>
    <w:rPr>
      <w:rFonts w:ascii="Times New Roman" w:eastAsia="黑体" w:hAnsi="Times New Roman" w:cs="Times New Roman"/>
      <w:b/>
      <w:bCs/>
      <w:kern w:val="0"/>
      <w:sz w:val="24"/>
      <w:szCs w:val="28"/>
      <w:lang w:val="en-US" w:eastAsia="zh-CN" w:bidi="ar-SA"/>
    </w:rPr>
  </w:style>
  <w:style w:type="character" w:customStyle="1" w:styleId="Charc">
    <w:name w:val="三级 Char"/>
    <w:basedOn w:val="Charfffffff1"/>
    <w:link w:val="afffffffff9"/>
    <w:qFormat/>
    <w:rPr>
      <w:rFonts w:ascii="Times New Roman" w:eastAsia="黑体" w:hAnsi="Times New Roman" w:cs="宋体"/>
      <w:b/>
      <w:bCs/>
      <w:kern w:val="2"/>
      <w:sz w:val="28"/>
      <w:szCs w:val="20"/>
      <w:lang w:val="en-US" w:eastAsia="zh-CN" w:bidi="ar-SA"/>
    </w:rPr>
  </w:style>
  <w:style w:type="character" w:customStyle="1" w:styleId="Charfffffff1">
    <w:name w:val="二级 Char"/>
    <w:basedOn w:val="a3"/>
    <w:qFormat/>
    <w:rPr>
      <w:rFonts w:eastAsia="宋体" w:cs="Arial"/>
      <w:b/>
      <w:bCs/>
      <w:kern w:val="2"/>
      <w:sz w:val="32"/>
      <w:szCs w:val="32"/>
      <w:lang w:val="en-US" w:eastAsia="zh-CN" w:bidi="ar-SA"/>
    </w:rPr>
  </w:style>
  <w:style w:type="character" w:customStyle="1" w:styleId="Charffff9">
    <w:name w:val="排版正文 Char"/>
    <w:basedOn w:val="a3"/>
    <w:link w:val="afffffffffffffffffffffffffffa"/>
    <w:qFormat/>
    <w:rPr>
      <w:rFonts w:ascii="仿宋_GB2312" w:eastAsia="仿宋_GB2312"/>
      <w:spacing w:val="8"/>
      <w:sz w:val="28"/>
    </w:rPr>
  </w:style>
  <w:style w:type="character" w:customStyle="1" w:styleId="Charf1">
    <w:name w:val="标准 Char"/>
    <w:basedOn w:val="a3"/>
    <w:link w:val="afffffffffffd"/>
    <w:qFormat/>
    <w:rPr>
      <w:rFonts w:ascii="Times New Roman" w:eastAsia="宋体" w:hAnsi="Times New Roman" w:cs="Times New Roman"/>
      <w:kern w:val="0"/>
      <w:sz w:val="28"/>
      <w:szCs w:val="20"/>
    </w:rPr>
  </w:style>
  <w:style w:type="character" w:customStyle="1" w:styleId="tbCharChar">
    <w:name w:val="tb正文 Char Char"/>
    <w:basedOn w:val="a3"/>
    <w:link w:val="tb"/>
    <w:qFormat/>
    <w:rPr>
      <w:rFonts w:ascii="宋体" w:eastAsia="宋体" w:hAnsi="宋体"/>
      <w:sz w:val="24"/>
      <w:szCs w:val="24"/>
    </w:rPr>
  </w:style>
  <w:style w:type="character" w:customStyle="1" w:styleId="Char1ff3">
    <w:name w:val="表内字 Char1"/>
    <w:basedOn w:val="a3"/>
    <w:qFormat/>
    <w:rPr>
      <w:rFonts w:ascii="宋体" w:eastAsia="宋体" w:hAnsi="宋体" w:cs="Courier New"/>
      <w:color w:val="000000"/>
      <w:kern w:val="2"/>
      <w:sz w:val="21"/>
      <w:szCs w:val="21"/>
      <w:lang w:val="en-US" w:eastAsia="zh-CN" w:bidi="ar-SA"/>
    </w:rPr>
  </w:style>
  <w:style w:type="character" w:customStyle="1" w:styleId="UPChar">
    <w:name w:val="UP正文 Char"/>
    <w:basedOn w:val="a3"/>
    <w:link w:val="UP"/>
    <w:qFormat/>
    <w:locked/>
    <w:rPr>
      <w:rFonts w:ascii="Tahoma" w:eastAsia="宋体" w:cs="宋体"/>
    </w:rPr>
  </w:style>
  <w:style w:type="character" w:customStyle="1" w:styleId="richtextmngstyle1">
    <w:name w:val="richtextmngstyle1"/>
    <w:basedOn w:val="a3"/>
    <w:qFormat/>
    <w:rPr>
      <w:color w:val="000000"/>
      <w:spacing w:val="15"/>
      <w:sz w:val="21"/>
      <w:szCs w:val="21"/>
      <w:u w:val="none"/>
    </w:rPr>
  </w:style>
  <w:style w:type="character" w:customStyle="1" w:styleId="message1">
    <w:name w:val="message1"/>
    <w:basedOn w:val="a3"/>
    <w:qFormat/>
    <w:rPr>
      <w:shd w:val="clear" w:color="auto" w:fill="F4F4F4"/>
    </w:rPr>
  </w:style>
  <w:style w:type="character" w:customStyle="1" w:styleId="qqq1">
    <w:name w:val="qqq1"/>
    <w:basedOn w:val="a3"/>
    <w:qFormat/>
    <w:rPr>
      <w:color w:val="527594"/>
      <w:sz w:val="20"/>
      <w:szCs w:val="20"/>
    </w:rPr>
  </w:style>
  <w:style w:type="character" w:customStyle="1" w:styleId="px14blod230c9b1">
    <w:name w:val="px14blod230c9b1"/>
    <w:basedOn w:val="a3"/>
    <w:qFormat/>
    <w:rPr>
      <w:b/>
      <w:bCs/>
      <w:color w:val="230C9B"/>
      <w:sz w:val="14"/>
      <w:szCs w:val="14"/>
    </w:rPr>
  </w:style>
  <w:style w:type="character" w:customStyle="1" w:styleId="ca-110">
    <w:name w:val="ca-110"/>
    <w:basedOn w:val="a3"/>
    <w:qFormat/>
    <w:rPr>
      <w:rFonts w:ascii="宋体" w:eastAsia="宋体" w:hAnsi="宋体" w:hint="eastAsia"/>
      <w:color w:val="000000"/>
      <w:sz w:val="24"/>
      <w:szCs w:val="24"/>
    </w:rPr>
  </w:style>
  <w:style w:type="character" w:customStyle="1" w:styleId="simjour">
    <w:name w:val="simjour"/>
    <w:basedOn w:val="a3"/>
    <w:qFormat/>
  </w:style>
  <w:style w:type="character" w:customStyle="1" w:styleId="Charffffa">
    <w:name w:val="王效杰正文 Char"/>
    <w:basedOn w:val="a3"/>
    <w:link w:val="afffffffffffffffffffffffffffb"/>
    <w:qFormat/>
    <w:rPr>
      <w:rFonts w:eastAsia="楷体_GB2312" w:cs="宋体"/>
      <w:sz w:val="28"/>
      <w:szCs w:val="28"/>
    </w:rPr>
  </w:style>
  <w:style w:type="character" w:customStyle="1" w:styleId="CharCharfd">
    <w:name w:val="图表标识 Char Char"/>
    <w:basedOn w:val="a3"/>
    <w:qFormat/>
    <w:rPr>
      <w:rFonts w:ascii="宋体" w:eastAsia="宋体" w:hAnsi="Times New Roman" w:cs="Times New Roman"/>
      <w:szCs w:val="20"/>
    </w:rPr>
  </w:style>
  <w:style w:type="character" w:customStyle="1" w:styleId="CharChar60">
    <w:name w:val="Char Char6"/>
    <w:basedOn w:val="a3"/>
    <w:semiHidden/>
    <w:qFormat/>
    <w:rPr>
      <w:rFonts w:eastAsia="宋体"/>
      <w:kern w:val="2"/>
      <w:sz w:val="21"/>
      <w:lang w:val="en-US" w:eastAsia="zh-CN" w:bidi="ar-SA"/>
    </w:rPr>
  </w:style>
  <w:style w:type="character" w:customStyle="1" w:styleId="CharChar90">
    <w:name w:val="Char Char9"/>
    <w:basedOn w:val="a3"/>
    <w:qFormat/>
    <w:rPr>
      <w:rFonts w:ascii="Times New Roman" w:hAnsi="Times New Roman"/>
      <w:b/>
      <w:kern w:val="2"/>
      <w:sz w:val="24"/>
    </w:rPr>
  </w:style>
  <w:style w:type="character" w:customStyle="1" w:styleId="1ffffffff0">
    <w:name w:val="样式 宋体 小四1"/>
    <w:basedOn w:val="a3"/>
    <w:qFormat/>
    <w:rPr>
      <w:rFonts w:ascii="宋体" w:eastAsia="宋体" w:hAnsi="宋体"/>
      <w:kern w:val="28"/>
      <w:sz w:val="28"/>
    </w:rPr>
  </w:style>
  <w:style w:type="character" w:customStyle="1" w:styleId="GB2312Char">
    <w:name w:val="样式 楷体_GB2312 小四 居中 行距: 单倍行距 Char"/>
    <w:basedOn w:val="a3"/>
    <w:link w:val="GB23122"/>
    <w:qFormat/>
    <w:rPr>
      <w:rFonts w:eastAsia="楷体_GB2312" w:cs="宋体"/>
      <w:sz w:val="24"/>
      <w:szCs w:val="24"/>
    </w:rPr>
  </w:style>
  <w:style w:type="character" w:customStyle="1" w:styleId="CharChar41">
    <w:name w:val="Char Char41"/>
    <w:basedOn w:val="a3"/>
    <w:qFormat/>
    <w:rPr>
      <w:rFonts w:ascii="宋体" w:eastAsia="宋体" w:hAnsi="宋体" w:hint="eastAsia"/>
      <w:kern w:val="2"/>
      <w:sz w:val="28"/>
      <w:szCs w:val="28"/>
      <w:lang w:val="en-US" w:eastAsia="zh-CN" w:bidi="ar-SA"/>
    </w:rPr>
  </w:style>
  <w:style w:type="character" w:customStyle="1" w:styleId="2CharCharChar">
    <w:name w:val="正文文字缩进 2 Char Char Char"/>
    <w:basedOn w:val="a3"/>
    <w:qFormat/>
    <w:rPr>
      <w:rFonts w:eastAsia="宋体"/>
      <w:kern w:val="2"/>
      <w:sz w:val="24"/>
      <w:szCs w:val="24"/>
      <w:lang w:val="en-US" w:eastAsia="zh-CN" w:bidi="ar-SA"/>
    </w:rPr>
  </w:style>
  <w:style w:type="character" w:customStyle="1" w:styleId="hangju">
    <w:name w:val="hangju"/>
    <w:basedOn w:val="a3"/>
    <w:qFormat/>
  </w:style>
  <w:style w:type="character" w:customStyle="1" w:styleId="WWLChar">
    <w:name w:val="WWL正文 Char"/>
    <w:basedOn w:val="a3"/>
    <w:link w:val="WWL"/>
    <w:qFormat/>
    <w:rPr>
      <w:rFonts w:ascii="宋体" w:hAnsi="宋体"/>
      <w:color w:val="FF0000"/>
      <w:sz w:val="28"/>
      <w:szCs w:val="28"/>
      <w:shd w:val="clear" w:color="auto" w:fill="FFFFFF"/>
      <w:lang w:val="zh-CN"/>
    </w:rPr>
  </w:style>
  <w:style w:type="character" w:customStyle="1" w:styleId="Charffffb">
    <w:name w:val="杨柳 Char"/>
    <w:basedOn w:val="a3"/>
    <w:link w:val="afffffffffffffffffffffffffffc"/>
    <w:qFormat/>
    <w:rPr>
      <w:rFonts w:eastAsia="宋体" w:cs="宋体"/>
      <w:sz w:val="28"/>
    </w:rPr>
  </w:style>
  <w:style w:type="character" w:customStyle="1" w:styleId="title111">
    <w:name w:val="title111"/>
    <w:basedOn w:val="a3"/>
    <w:qFormat/>
  </w:style>
  <w:style w:type="character" w:customStyle="1" w:styleId="TimesNewRomanGB2312">
    <w:name w:val="样式 (西文) Times New Roman (中文) 仿宋_GB2312 五号 黑色"/>
    <w:basedOn w:val="a3"/>
    <w:qFormat/>
    <w:rPr>
      <w:rFonts w:ascii="Times New Roman" w:eastAsia="仿宋_GB2312" w:hAnsi="Times New Roman"/>
      <w:color w:val="000000"/>
      <w:sz w:val="24"/>
    </w:rPr>
  </w:style>
  <w:style w:type="character" w:customStyle="1" w:styleId="4Char1">
    <w:name w:val="内容4 Char"/>
    <w:basedOn w:val="a3"/>
    <w:link w:val="4ffe"/>
    <w:qFormat/>
    <w:rPr>
      <w:sz w:val="24"/>
      <w:szCs w:val="28"/>
    </w:rPr>
  </w:style>
  <w:style w:type="character" w:customStyle="1" w:styleId="text11">
    <w:name w:val="text11"/>
    <w:basedOn w:val="a3"/>
    <w:qFormat/>
  </w:style>
  <w:style w:type="character" w:customStyle="1" w:styleId="f31">
    <w:name w:val="f31"/>
    <w:basedOn w:val="a3"/>
    <w:qFormat/>
    <w:rPr>
      <w:sz w:val="32"/>
      <w:szCs w:val="32"/>
    </w:rPr>
  </w:style>
  <w:style w:type="character" w:customStyle="1" w:styleId="txt">
    <w:name w:val="txt"/>
    <w:basedOn w:val="a3"/>
    <w:qFormat/>
  </w:style>
  <w:style w:type="character" w:customStyle="1" w:styleId="style8">
    <w:name w:val="style8"/>
    <w:basedOn w:val="a3"/>
    <w:qFormat/>
  </w:style>
  <w:style w:type="character" w:customStyle="1" w:styleId="Charffffc">
    <w:name w:val="真正的正文 Char"/>
    <w:basedOn w:val="a3"/>
    <w:link w:val="afffffffffffffffffffffffffffd"/>
    <w:qFormat/>
    <w:rPr>
      <w:rFonts w:eastAsia="仿宋_GB2312" w:cs="宋体"/>
      <w:sz w:val="28"/>
    </w:rPr>
  </w:style>
  <w:style w:type="character" w:customStyle="1" w:styleId="3Char6">
    <w:name w:val="!节3标 Char"/>
    <w:basedOn w:val="a3"/>
    <w:qFormat/>
    <w:rPr>
      <w:rFonts w:ascii="宋体" w:eastAsia="仿宋_GB2312" w:hAnsi="宋体"/>
      <w:b/>
      <w:kern w:val="2"/>
      <w:sz w:val="28"/>
      <w:szCs w:val="28"/>
      <w:lang w:val="en-US" w:bidi="ar-SA"/>
    </w:rPr>
  </w:style>
  <w:style w:type="character" w:customStyle="1" w:styleId="Charfffffff2">
    <w:name w:val="!正文 Char"/>
    <w:basedOn w:val="a3"/>
    <w:qFormat/>
    <w:rPr>
      <w:rFonts w:ascii="仿宋_GB2312" w:eastAsia="仿宋_GB2312" w:hAnsi="宋体"/>
      <w:sz w:val="28"/>
      <w:szCs w:val="28"/>
      <w:lang w:val="en-US" w:eastAsia="zh-CN" w:bidi="ar-SA"/>
    </w:rPr>
  </w:style>
  <w:style w:type="character" w:customStyle="1" w:styleId="4111111117878Char">
    <w:name w:val="样式 标题 4款标题1.1.1.11.1.1.1 + (符号) 宋体 左 段前: 7.8 磅 段后: 7.8 磅 Char"/>
    <w:basedOn w:val="a3"/>
    <w:qFormat/>
    <w:rPr>
      <w:rFonts w:ascii="Arial" w:eastAsia="仿宋_GB2312" w:hAnsi="宋体" w:cs="宋体"/>
      <w:bCs/>
      <w:snapToGrid w:val="0"/>
      <w:sz w:val="28"/>
      <w:szCs w:val="28"/>
      <w:lang w:val="en-US" w:eastAsia="zh-CN" w:bidi="ar-SA"/>
    </w:rPr>
  </w:style>
  <w:style w:type="character" w:customStyle="1" w:styleId="4111111117878CharChar">
    <w:name w:val="样式 标题 4款标题1.1.1.11.1.1.1 + (符号) 宋体 左 段前: 7.8 磅 段后: 7.8 磅 Char Char"/>
    <w:basedOn w:val="a3"/>
    <w:qFormat/>
    <w:rPr>
      <w:rFonts w:ascii="Arial" w:eastAsia="仿宋_GB2312" w:hAnsi="宋体" w:cs="宋体"/>
      <w:bCs/>
      <w:snapToGrid w:val="0"/>
      <w:kern w:val="2"/>
      <w:sz w:val="28"/>
      <w:szCs w:val="28"/>
      <w:lang w:val="en-US" w:eastAsia="zh-CN" w:bidi="ar-SA"/>
    </w:rPr>
  </w:style>
  <w:style w:type="character" w:customStyle="1" w:styleId="24CharChar0">
    <w:name w:val="样式 四号 加粗 居中 行距: 固定值 24 磅 Char Char"/>
    <w:basedOn w:val="a3"/>
    <w:qFormat/>
    <w:rPr>
      <w:rFonts w:eastAsia="宋体" w:cs="宋体"/>
      <w:b/>
      <w:bCs/>
      <w:kern w:val="44"/>
      <w:sz w:val="28"/>
      <w:szCs w:val="30"/>
      <w:lang w:val="en-US" w:eastAsia="zh-CN" w:bidi="ar-SA"/>
    </w:rPr>
  </w:style>
  <w:style w:type="character" w:customStyle="1" w:styleId="2110505TimesNeCharCharCharCharCharCharCharCharCharCharCharCharCharCharCharCharCharCharCharCharCharCharCharCharCharCharCharCharCharCharCharCharCharCharCharChar">
    <w:name w:val="样式 样式 样式 标题 2 + 段前: 1 行 段后: 1 行 + 段前: 0.5 行 段后: 0.5 行 + Times Ne... Char Char Char Char Char Char Char Char Char Char Char Char Char Char Char Char Char Char Char Char Char Char Char Char Char Char Char Char Char Char Char Char Char Char Char Char"/>
    <w:basedOn w:val="a3"/>
    <w:link w:val="2110505TimesNeCharCharCharCharCharCharCharCharCharCharCharCharCharCharCharCharCharCharCharCharCharCharCharCharCharCharCharCharCharCharCharCharCharCharChar"/>
    <w:qFormat/>
    <w:rPr>
      <w:rFonts w:ascii="Arial" w:eastAsia="宋体" w:hAnsi="Arial"/>
      <w:b/>
      <w:sz w:val="28"/>
      <w:szCs w:val="32"/>
    </w:rPr>
  </w:style>
  <w:style w:type="character" w:customStyle="1" w:styleId="ST201Char">
    <w:name w:val="ST20_1 Char"/>
    <w:basedOn w:val="a3"/>
    <w:link w:val="ST201"/>
    <w:qFormat/>
    <w:rPr>
      <w:rFonts w:ascii="宋体" w:eastAsia="宋体" w:hAnsi="Times New Roman" w:cs="Times New Roman"/>
      <w:kern w:val="0"/>
      <w:sz w:val="24"/>
      <w:szCs w:val="20"/>
    </w:rPr>
  </w:style>
  <w:style w:type="character" w:customStyle="1" w:styleId="4CharCharChar">
    <w:name w:val="标题4 Char Char Char"/>
    <w:basedOn w:val="a3"/>
    <w:qFormat/>
    <w:rPr>
      <w:rFonts w:ascii="宋体" w:eastAsia="宋体" w:hAnsi="宋体"/>
      <w:snapToGrid w:val="0"/>
      <w:color w:val="000000"/>
      <w:sz w:val="24"/>
      <w:szCs w:val="28"/>
      <w:lang w:val="en-US" w:eastAsia="zh-CN" w:bidi="ar-SA"/>
    </w:rPr>
  </w:style>
  <w:style w:type="character" w:customStyle="1" w:styleId="p92">
    <w:name w:val="p92"/>
    <w:basedOn w:val="a3"/>
    <w:qFormat/>
    <w:rPr>
      <w:color w:val="000000"/>
      <w:sz w:val="18"/>
      <w:szCs w:val="18"/>
      <w:u w:val="none"/>
    </w:rPr>
  </w:style>
  <w:style w:type="character" w:customStyle="1" w:styleId="3CharCharCharCharCharCharCharCharCharCharCharCharCharCharCharCharCharCharCharCharCharCharCharCharCharCharCharCharCharCharCharCharCharCharCharCharCharCharCharCharChar">
    <w:name w:val="标题 3 Char Char Char Char Char Char Char Char Char Char Char Char Char Char Char Char Char Char Char Char Char Char Char Char Char Char Char Char Char Char Char Char Char Char Char Char Char Char Char Char Char"/>
    <w:basedOn w:val="a3"/>
    <w:qFormat/>
    <w:rPr>
      <w:rFonts w:eastAsia="宋体"/>
      <w:b/>
      <w:bCs/>
      <w:kern w:val="2"/>
      <w:sz w:val="32"/>
      <w:szCs w:val="32"/>
      <w:lang w:val="en-US" w:eastAsia="zh-CN" w:bidi="ar-SA"/>
    </w:rPr>
  </w:style>
  <w:style w:type="character" w:customStyle="1" w:styleId="2Char7">
    <w:name w:val="样式 样式 正文文本 2 + + 两端对齐 Char"/>
    <w:basedOn w:val="a3"/>
    <w:link w:val="2fffffd"/>
    <w:qFormat/>
    <w:rPr>
      <w:rFonts w:eastAsia="宋体" w:cs="宋体"/>
      <w:color w:val="000000"/>
      <w:sz w:val="24"/>
    </w:rPr>
  </w:style>
  <w:style w:type="character" w:customStyle="1" w:styleId="affffffffffffffffffffffffffffffffff9">
    <w:name w:val="样式 蓝色"/>
    <w:basedOn w:val="a3"/>
    <w:qFormat/>
    <w:rPr>
      <w:color w:val="000000"/>
    </w:rPr>
  </w:style>
  <w:style w:type="character" w:customStyle="1" w:styleId="unnamed91">
    <w:name w:val="unnamed91"/>
    <w:basedOn w:val="a3"/>
    <w:qFormat/>
    <w:rPr>
      <w:rFonts w:hint="default"/>
      <w:b/>
      <w:bCs/>
      <w:sz w:val="22"/>
      <w:szCs w:val="22"/>
    </w:rPr>
  </w:style>
  <w:style w:type="character" w:customStyle="1" w:styleId="f4">
    <w:name w:val="f4"/>
    <w:basedOn w:val="a3"/>
    <w:qFormat/>
  </w:style>
  <w:style w:type="character" w:customStyle="1" w:styleId="style16style25">
    <w:name w:val="style16 style25"/>
    <w:basedOn w:val="a3"/>
    <w:qFormat/>
  </w:style>
  <w:style w:type="character" w:customStyle="1" w:styleId="lan1">
    <w:name w:val="lan1"/>
    <w:basedOn w:val="a3"/>
    <w:qFormat/>
    <w:rPr>
      <w:color w:val="0000FF"/>
      <w:sz w:val="18"/>
      <w:szCs w:val="18"/>
      <w:u w:val="none"/>
    </w:rPr>
  </w:style>
  <w:style w:type="character" w:customStyle="1" w:styleId="24CharCharChar">
    <w:name w:val="样式 样式 四号 加粗 居中 行距: 固定值 24 磅 + 非加粗 Char Char Char"/>
    <w:basedOn w:val="a3"/>
    <w:link w:val="24CharChar"/>
    <w:qFormat/>
    <w:rPr>
      <w:rFonts w:ascii="宋体" w:eastAsia="宋体" w:hAnsi="宋体" w:cs="宋体"/>
      <w:b/>
      <w:bCs/>
      <w:kern w:val="44"/>
      <w:sz w:val="28"/>
      <w:szCs w:val="28"/>
    </w:rPr>
  </w:style>
  <w:style w:type="character" w:customStyle="1" w:styleId="aboutus1">
    <w:name w:val="aboutus1"/>
    <w:basedOn w:val="a3"/>
    <w:qFormat/>
    <w:rPr>
      <w:rFonts w:ascii="ˎ̥" w:hAnsi="ˎ̥" w:hint="default"/>
      <w:color w:val="000000"/>
      <w:sz w:val="18"/>
      <w:szCs w:val="18"/>
      <w:u w:val="none"/>
    </w:rPr>
  </w:style>
  <w:style w:type="character" w:customStyle="1" w:styleId="articlebody1">
    <w:name w:val="articlebody1"/>
    <w:basedOn w:val="a3"/>
    <w:qFormat/>
    <w:rPr>
      <w:sz w:val="21"/>
      <w:szCs w:val="21"/>
    </w:rPr>
  </w:style>
  <w:style w:type="character" w:customStyle="1" w:styleId="zhg864">
    <w:name w:val="zhg864"/>
    <w:basedOn w:val="a3"/>
    <w:qFormat/>
  </w:style>
  <w:style w:type="character" w:customStyle="1" w:styleId="articlebody3">
    <w:name w:val="articlebody3"/>
    <w:basedOn w:val="a3"/>
    <w:qFormat/>
    <w:rPr>
      <w:sz w:val="21"/>
      <w:szCs w:val="21"/>
    </w:rPr>
  </w:style>
  <w:style w:type="character" w:customStyle="1" w:styleId="txt1">
    <w:name w:val="txt1"/>
    <w:basedOn w:val="a3"/>
    <w:qFormat/>
    <w:rPr>
      <w:color w:val="0F4008"/>
      <w:spacing w:val="240"/>
      <w:sz w:val="18"/>
      <w:szCs w:val="18"/>
    </w:rPr>
  </w:style>
  <w:style w:type="character" w:customStyle="1" w:styleId="ft21">
    <w:name w:val="ft21"/>
    <w:basedOn w:val="a3"/>
    <w:qFormat/>
    <w:rPr>
      <w:rFonts w:ascii="宋体" w:eastAsia="宋体" w:hAnsi="宋体"/>
      <w:color w:val="000000"/>
      <w:sz w:val="17"/>
      <w:szCs w:val="17"/>
    </w:rPr>
  </w:style>
  <w:style w:type="character" w:customStyle="1" w:styleId="style421">
    <w:name w:val="style421"/>
    <w:basedOn w:val="a3"/>
    <w:qFormat/>
    <w:rPr>
      <w:b/>
      <w:bCs/>
      <w:sz w:val="36"/>
      <w:szCs w:val="36"/>
    </w:rPr>
  </w:style>
  <w:style w:type="character" w:customStyle="1" w:styleId="2Char8">
    <w:name w:val="样式 标题 2 + 黑体 非加粗 黑色 Char"/>
    <w:basedOn w:val="a3"/>
    <w:link w:val="2fffffe"/>
    <w:qFormat/>
    <w:rPr>
      <w:rFonts w:ascii="黑体" w:eastAsia="黑体" w:hAnsi="黑体" w:cs="宋体"/>
      <w:color w:val="000000"/>
      <w:sz w:val="32"/>
      <w:szCs w:val="28"/>
    </w:rPr>
  </w:style>
  <w:style w:type="character" w:customStyle="1" w:styleId="Char19">
    <w:name w:val="缩进正文 Char1"/>
    <w:basedOn w:val="a3"/>
    <w:link w:val="afffffffffffffffffffffffffffe"/>
    <w:qFormat/>
    <w:rPr>
      <w:rFonts w:eastAsia="宋体" w:cs="宋体"/>
      <w:sz w:val="24"/>
    </w:rPr>
  </w:style>
  <w:style w:type="character" w:customStyle="1" w:styleId="-Char0">
    <w:name w:val="表格正文-左齐 Char"/>
    <w:basedOn w:val="a3"/>
    <w:link w:val="-7"/>
    <w:qFormat/>
    <w:rPr>
      <w:rFonts w:eastAsia="宋体"/>
      <w:sz w:val="24"/>
      <w:szCs w:val="24"/>
    </w:rPr>
  </w:style>
  <w:style w:type="character" w:customStyle="1" w:styleId="Charfb">
    <w:name w:val="居中正文 Char"/>
    <w:basedOn w:val="a3"/>
    <w:link w:val="affffffffffffffa"/>
    <w:qFormat/>
    <w:rPr>
      <w:rFonts w:ascii="宋体" w:eastAsia="宋体" w:hAnsi="Times New Roman" w:cs="Times New Roman"/>
      <w:kern w:val="28"/>
      <w:sz w:val="24"/>
      <w:szCs w:val="20"/>
    </w:rPr>
  </w:style>
  <w:style w:type="character" w:customStyle="1" w:styleId="Charffffd">
    <w:name w:val="缩进正文上标 Char"/>
    <w:basedOn w:val="Char19"/>
    <w:link w:val="affffffffffffffffffffffffffff"/>
    <w:qFormat/>
    <w:rPr>
      <w:rFonts w:eastAsia="宋体" w:cs="宋体"/>
      <w:kern w:val="28"/>
      <w:sz w:val="24"/>
      <w:vertAlign w:val="superscript"/>
    </w:rPr>
  </w:style>
  <w:style w:type="character" w:customStyle="1" w:styleId="-Char1">
    <w:name w:val="表格正文-左齐下标 Char"/>
    <w:basedOn w:val="-Char0"/>
    <w:link w:val="-8"/>
    <w:qFormat/>
    <w:rPr>
      <w:rFonts w:eastAsia="宋体"/>
      <w:sz w:val="24"/>
      <w:szCs w:val="24"/>
      <w:vertAlign w:val="subscript"/>
    </w:rPr>
  </w:style>
  <w:style w:type="character" w:customStyle="1" w:styleId="bt1">
    <w:name w:val="bt1"/>
    <w:basedOn w:val="a3"/>
    <w:qFormat/>
    <w:rPr>
      <w:color w:val="000000"/>
    </w:rPr>
  </w:style>
  <w:style w:type="character" w:customStyle="1" w:styleId="1Char9">
    <w:name w:val="样式 标题 1 + 非加粗 Char"/>
    <w:basedOn w:val="a3"/>
    <w:link w:val="1ffffff7"/>
    <w:qFormat/>
    <w:rPr>
      <w:rFonts w:eastAsia="宋体"/>
      <w:b/>
      <w:kern w:val="44"/>
      <w:sz w:val="32"/>
      <w:szCs w:val="44"/>
    </w:rPr>
  </w:style>
  <w:style w:type="character" w:customStyle="1" w:styleId="8CharCharCharChar">
    <w:name w:val="8 Char Char Char Char"/>
    <w:basedOn w:val="a3"/>
    <w:link w:val="8CharCharChar"/>
    <w:semiHidden/>
    <w:qFormat/>
    <w:rPr>
      <w:rFonts w:eastAsia="宋体"/>
      <w:kern w:val="10"/>
      <w:sz w:val="24"/>
      <w:szCs w:val="24"/>
    </w:rPr>
  </w:style>
  <w:style w:type="character" w:customStyle="1" w:styleId="Mystyle3Char">
    <w:name w:val="Mystyle 3 Char"/>
    <w:basedOn w:val="a3"/>
    <w:qFormat/>
  </w:style>
  <w:style w:type="character" w:customStyle="1" w:styleId="p">
    <w:name w:val="p"/>
    <w:basedOn w:val="a3"/>
    <w:qFormat/>
  </w:style>
  <w:style w:type="character" w:customStyle="1" w:styleId="javascript1">
    <w:name w:val="javascript1"/>
    <w:basedOn w:val="a3"/>
    <w:qFormat/>
    <w:rPr>
      <w:rFonts w:ascii="Tahoma" w:hAnsi="Tahoma" w:cs="Tahoma" w:hint="default"/>
      <w:sz w:val="18"/>
      <w:szCs w:val="18"/>
    </w:rPr>
  </w:style>
  <w:style w:type="character" w:customStyle="1" w:styleId="8CharCharCharChar1">
    <w:name w:val="8 Char Char Char Char1"/>
    <w:basedOn w:val="a3"/>
    <w:qFormat/>
    <w:rPr>
      <w:rFonts w:eastAsia="宋体"/>
      <w:kern w:val="10"/>
      <w:sz w:val="24"/>
      <w:szCs w:val="24"/>
      <w:lang w:val="en-US" w:eastAsia="zh-CN" w:bidi="ar-SA"/>
    </w:rPr>
  </w:style>
  <w:style w:type="character" w:customStyle="1" w:styleId="label1">
    <w:name w:val="label1"/>
    <w:basedOn w:val="a3"/>
    <w:qFormat/>
  </w:style>
  <w:style w:type="character" w:customStyle="1" w:styleId="3CharCharCharCharCharCharCharCharCharCharCharCharCharCChar">
    <w:name w:val="标题 3 Char Char Char Char Char Char Char Char Char Char Char Char Char C... Char"/>
    <w:basedOn w:val="a3"/>
    <w:qFormat/>
    <w:rPr>
      <w:rFonts w:eastAsia="宋体"/>
      <w:b/>
      <w:bCs/>
      <w:kern w:val="2"/>
      <w:sz w:val="32"/>
      <w:szCs w:val="32"/>
      <w:lang w:val="en-US" w:eastAsia="zh-CN" w:bidi="ar-SA"/>
    </w:rPr>
  </w:style>
  <w:style w:type="character" w:customStyle="1" w:styleId="nine">
    <w:name w:val="nine"/>
    <w:basedOn w:val="a3"/>
    <w:qFormat/>
  </w:style>
  <w:style w:type="character" w:customStyle="1" w:styleId="htd01">
    <w:name w:val="htd01"/>
    <w:basedOn w:val="a3"/>
    <w:qFormat/>
  </w:style>
  <w:style w:type="character" w:customStyle="1" w:styleId="2CharChar11">
    <w:name w:val="标题 2 Char Char11"/>
    <w:basedOn w:val="a3"/>
    <w:qFormat/>
    <w:rPr>
      <w:rFonts w:eastAsia="宋体"/>
      <w:b/>
      <w:bCs/>
      <w:kern w:val="2"/>
      <w:sz w:val="28"/>
      <w:szCs w:val="28"/>
      <w:lang w:val="en-US" w:eastAsia="zh-CN" w:bidi="ar-SA"/>
    </w:rPr>
  </w:style>
  <w:style w:type="character" w:customStyle="1" w:styleId="003Char">
    <w:name w:val="标题003 Char"/>
    <w:basedOn w:val="a3"/>
    <w:link w:val="003"/>
    <w:qFormat/>
    <w:rPr>
      <w:rFonts w:eastAsia="宋体"/>
      <w:b/>
      <w:sz w:val="28"/>
      <w:szCs w:val="28"/>
    </w:rPr>
  </w:style>
  <w:style w:type="character" w:customStyle="1" w:styleId="CharChar101">
    <w:name w:val="Char Char101"/>
    <w:basedOn w:val="a3"/>
    <w:qFormat/>
    <w:rPr>
      <w:rFonts w:ascii="宋体" w:eastAsia="宋体" w:hAnsi="Courier New" w:cs="Wingdings"/>
      <w:kern w:val="2"/>
      <w:sz w:val="21"/>
      <w:szCs w:val="21"/>
      <w:lang w:val="en-US" w:eastAsia="zh-CN" w:bidi="ar-SA"/>
    </w:rPr>
  </w:style>
  <w:style w:type="character" w:customStyle="1" w:styleId="GB2312Char0">
    <w:name w:val="样式 样式 楷体_GB2312 小四 居中 行距: 单倍行距 + 宋体 Char"/>
    <w:basedOn w:val="GB2312Char"/>
    <w:link w:val="GB23123"/>
    <w:qFormat/>
    <w:rPr>
      <w:rFonts w:eastAsia="楷体_GB2312" w:cs="宋体"/>
      <w:sz w:val="24"/>
      <w:szCs w:val="24"/>
    </w:rPr>
  </w:style>
  <w:style w:type="character" w:customStyle="1" w:styleId="Charffffe">
    <w:name w:val="样式正文 Char"/>
    <w:basedOn w:val="a3"/>
    <w:link w:val="affffffffffffffffffffffffffffffff8"/>
    <w:qFormat/>
    <w:rPr>
      <w:rFonts w:ascii="宋体" w:eastAsia="宋体" w:hAnsi="宋体" w:cs="宋体"/>
      <w:color w:val="000000"/>
      <w:kern w:val="0"/>
      <w:szCs w:val="21"/>
    </w:rPr>
  </w:style>
  <w:style w:type="character" w:customStyle="1" w:styleId="Char1ff4">
    <w:name w:val="表头 Char1"/>
    <w:basedOn w:val="a3"/>
    <w:qFormat/>
    <w:rPr>
      <w:rFonts w:ascii="黑体" w:eastAsia="黑体" w:hAnsi="宋体"/>
      <w:sz w:val="24"/>
      <w:lang w:val="en-US" w:eastAsia="zh-CN" w:bidi="ar-SA"/>
    </w:rPr>
  </w:style>
  <w:style w:type="character" w:customStyle="1" w:styleId="2CharChar10">
    <w:name w:val="页脚2 Char Char1"/>
    <w:basedOn w:val="a3"/>
    <w:qFormat/>
    <w:rPr>
      <w:rFonts w:eastAsia="华文细黑"/>
      <w:kern w:val="2"/>
      <w:sz w:val="18"/>
      <w:szCs w:val="18"/>
      <w:lang w:val="en-US" w:eastAsia="zh-CN" w:bidi="ar-SA"/>
    </w:rPr>
  </w:style>
  <w:style w:type="character" w:customStyle="1" w:styleId="12qChar">
    <w:name w:val="样式12q Char"/>
    <w:basedOn w:val="a3"/>
    <w:link w:val="12q"/>
    <w:qFormat/>
    <w:rPr>
      <w:rFonts w:ascii="Times New Roman" w:eastAsia="宋体" w:hAnsi="Times New Roman" w:cs="Times New Roman"/>
      <w:sz w:val="28"/>
      <w:szCs w:val="28"/>
    </w:rPr>
  </w:style>
  <w:style w:type="character" w:customStyle="1" w:styleId="pt121">
    <w:name w:val="pt121"/>
    <w:basedOn w:val="a3"/>
    <w:qFormat/>
    <w:rPr>
      <w:rFonts w:ascii="宋体" w:eastAsia="宋体" w:hAnsi="宋体" w:hint="eastAsia"/>
      <w:sz w:val="24"/>
      <w:szCs w:val="24"/>
    </w:rPr>
  </w:style>
  <w:style w:type="character" w:customStyle="1" w:styleId="CharCharfe">
    <w:name w:val="表中文字 Char Char"/>
    <w:basedOn w:val="a3"/>
    <w:qFormat/>
    <w:rPr>
      <w:rFonts w:eastAsia="宋体"/>
      <w:kern w:val="2"/>
      <w:sz w:val="21"/>
      <w:lang w:val="en-US" w:eastAsia="zh-CN" w:bidi="ar-SA"/>
    </w:rPr>
  </w:style>
  <w:style w:type="character" w:customStyle="1" w:styleId="31CharChar">
    <w:name w:val="正文文字缩进 31 Char Char"/>
    <w:basedOn w:val="a3"/>
    <w:qFormat/>
    <w:rPr>
      <w:rFonts w:eastAsia="宋体"/>
      <w:kern w:val="2"/>
      <w:sz w:val="16"/>
      <w:szCs w:val="16"/>
      <w:lang w:val="en-US" w:eastAsia="zh-CN" w:bidi="ar-SA"/>
    </w:rPr>
  </w:style>
  <w:style w:type="character" w:customStyle="1" w:styleId="s42Char">
    <w:name w:val="样式 正文缩进s4 + 首行缩进:  2 字符 Char"/>
    <w:basedOn w:val="a3"/>
    <w:qFormat/>
    <w:rPr>
      <w:rFonts w:ascii="宋体" w:eastAsia="宋体" w:hAnsi="宋体" w:cs="宋体"/>
      <w:b/>
      <w:bCs/>
      <w:kern w:val="2"/>
      <w:sz w:val="24"/>
      <w:szCs w:val="32"/>
      <w:lang w:val="en-US" w:eastAsia="zh-CN" w:bidi="ar-SA"/>
    </w:rPr>
  </w:style>
  <w:style w:type="character" w:customStyle="1" w:styleId="s422Char">
    <w:name w:val="样式 样式 正文缩进s4 + 首行缩进:  2 字符 + 首行缩进:  2 字符 Char"/>
    <w:basedOn w:val="s42Char"/>
    <w:qFormat/>
    <w:rPr>
      <w:rFonts w:ascii="宋体" w:eastAsia="仿宋_GB2312" w:hAnsi="宋体" w:cs="宋体"/>
      <w:b/>
      <w:bCs/>
      <w:kern w:val="2"/>
      <w:sz w:val="28"/>
      <w:szCs w:val="32"/>
      <w:lang w:val="en-US" w:eastAsia="zh-CN" w:bidi="ar-SA"/>
    </w:rPr>
  </w:style>
  <w:style w:type="character" w:customStyle="1" w:styleId="s422Char0">
    <w:name w:val="样式 样式 样式 正文缩进s4 + 首行缩进:  2 字符 + 首行缩进:  2 字符 + Char"/>
    <w:basedOn w:val="s422Char"/>
    <w:qFormat/>
    <w:rPr>
      <w:rFonts w:ascii="宋体" w:eastAsia="仿宋_GB2312" w:hAnsi="宋体" w:cs="宋体"/>
      <w:b/>
      <w:bCs/>
      <w:color w:val="000000"/>
      <w:kern w:val="2"/>
      <w:sz w:val="28"/>
      <w:szCs w:val="28"/>
      <w:lang w:val="en-US" w:eastAsia="zh-CN" w:bidi="ar-SA"/>
    </w:rPr>
  </w:style>
  <w:style w:type="character" w:customStyle="1" w:styleId="xygk11">
    <w:name w:val="xygk11"/>
    <w:basedOn w:val="a3"/>
    <w:qFormat/>
    <w:rPr>
      <w:rFonts w:eastAsia="宋体" w:cs="宋体" w:hint="default"/>
      <w:b/>
      <w:bCs/>
      <w:spacing w:val="420"/>
      <w:kern w:val="44"/>
      <w:sz w:val="21"/>
      <w:szCs w:val="21"/>
      <w:lang w:val="en-US" w:eastAsia="zh-CN" w:bidi="ar-SA"/>
    </w:rPr>
  </w:style>
  <w:style w:type="character" w:customStyle="1" w:styleId="pt11">
    <w:name w:val="pt11"/>
    <w:basedOn w:val="a3"/>
    <w:qFormat/>
    <w:rPr>
      <w:rFonts w:ascii="宋体" w:eastAsia="宋体" w:hAnsi="宋体" w:cs="宋体"/>
      <w:b/>
      <w:bCs/>
      <w:kern w:val="44"/>
      <w:sz w:val="32"/>
      <w:szCs w:val="32"/>
      <w:lang w:val="en-US" w:eastAsia="zh-CN" w:bidi="ar-SA"/>
    </w:rPr>
  </w:style>
  <w:style w:type="character" w:customStyle="1" w:styleId="pt10-2">
    <w:name w:val="pt10-2"/>
    <w:basedOn w:val="a3"/>
    <w:qFormat/>
    <w:rPr>
      <w:rFonts w:ascii="宋体" w:eastAsia="宋体" w:hAnsi="宋体" w:cs="宋体"/>
      <w:b/>
      <w:bCs/>
      <w:kern w:val="44"/>
      <w:sz w:val="32"/>
      <w:szCs w:val="32"/>
      <w:lang w:val="en-US" w:eastAsia="zh-CN" w:bidi="ar-SA"/>
    </w:rPr>
  </w:style>
  <w:style w:type="character" w:customStyle="1" w:styleId="3BSH-3111CharChar">
    <w:name w:val="标题 3，BSH-3条标题1.1.1 Char Char"/>
    <w:basedOn w:val="a3"/>
    <w:link w:val="3BSH-3111"/>
    <w:qFormat/>
    <w:rPr>
      <w:rFonts w:ascii="宋体" w:eastAsia="宋体" w:hAnsi="宋体" w:cs="Times New Roman"/>
      <w:caps/>
      <w:kern w:val="0"/>
      <w:sz w:val="24"/>
      <w:szCs w:val="24"/>
    </w:rPr>
  </w:style>
  <w:style w:type="character" w:customStyle="1" w:styleId="211112SeBSH-2h2l22ndlevelTitre22HeaderChar">
    <w:name w:val="样式 标题 2节标题 1.11.1标题2SeBSH-2h2l22nd levelTitre22Header ... Char"/>
    <w:basedOn w:val="a3"/>
    <w:link w:val="211112SeBSH-2h2l22ndlevelTitre22Header"/>
    <w:qFormat/>
    <w:rPr>
      <w:rFonts w:ascii="宋体" w:eastAsia="黑体" w:hAnsi="宋体" w:cs="Times New Roman"/>
      <w:bCs/>
      <w:kern w:val="0"/>
      <w:sz w:val="24"/>
      <w:szCs w:val="32"/>
    </w:rPr>
  </w:style>
  <w:style w:type="character" w:customStyle="1" w:styleId="Charfffff">
    <w:name w:val="正文：段落格式 Char"/>
    <w:basedOn w:val="a3"/>
    <w:link w:val="afffffffffffffffffffffffffffffffff0"/>
    <w:qFormat/>
    <w:rPr>
      <w:rFonts w:ascii="宋体" w:eastAsia="宋体" w:hAnsi="宋体" w:cs="Times New Roman"/>
      <w:color w:val="000000"/>
      <w:kern w:val="15"/>
      <w:sz w:val="24"/>
      <w:szCs w:val="24"/>
    </w:rPr>
  </w:style>
  <w:style w:type="character" w:customStyle="1" w:styleId="APMingLiUCharChar">
    <w:name w:val="样式 正文A + (中文) PMingLiU Char Char"/>
    <w:basedOn w:val="a3"/>
    <w:qFormat/>
    <w:rPr>
      <w:rFonts w:eastAsia="宋体" w:cs="宋体"/>
      <w:kern w:val="2"/>
      <w:sz w:val="24"/>
      <w:szCs w:val="24"/>
      <w:lang w:val="en-US" w:eastAsia="zh-CN" w:bidi="ar-SA"/>
    </w:rPr>
  </w:style>
  <w:style w:type="character" w:customStyle="1" w:styleId="2CharChar7">
    <w:name w:val="页脚2 Char Char"/>
    <w:basedOn w:val="a3"/>
    <w:qFormat/>
    <w:rPr>
      <w:kern w:val="2"/>
      <w:sz w:val="18"/>
      <w:szCs w:val="18"/>
    </w:rPr>
  </w:style>
  <w:style w:type="character" w:customStyle="1" w:styleId="CharChar80">
    <w:name w:val="Char Char8"/>
    <w:basedOn w:val="a3"/>
    <w:qFormat/>
    <w:rPr>
      <w:rFonts w:ascii="Arial" w:eastAsia="黑体" w:hAnsi="Arial"/>
      <w:b/>
      <w:bCs/>
      <w:kern w:val="2"/>
      <w:sz w:val="32"/>
      <w:szCs w:val="32"/>
      <w:lang w:val="en-US" w:eastAsia="zh-CN" w:bidi="ar-SA"/>
    </w:rPr>
  </w:style>
  <w:style w:type="character" w:customStyle="1" w:styleId="group1">
    <w:name w:val="group1"/>
    <w:basedOn w:val="a3"/>
    <w:qFormat/>
    <w:rPr>
      <w:rFonts w:ascii="MingLiU" w:eastAsia="MingLiU" w:hAnsi="MingLiU" w:hint="eastAsia"/>
      <w:color w:val="808080"/>
      <w:sz w:val="17"/>
      <w:szCs w:val="17"/>
    </w:rPr>
  </w:style>
  <w:style w:type="character" w:customStyle="1" w:styleId="timestamp4">
    <w:name w:val="timestamp4"/>
    <w:basedOn w:val="a3"/>
    <w:qFormat/>
    <w:rPr>
      <w:color w:val="808080"/>
      <w:sz w:val="17"/>
      <w:szCs w:val="17"/>
    </w:rPr>
  </w:style>
  <w:style w:type="character" w:customStyle="1" w:styleId="pipe2">
    <w:name w:val="pipe2"/>
    <w:basedOn w:val="a3"/>
    <w:qFormat/>
    <w:rPr>
      <w:color w:val="AAAAAA"/>
      <w:sz w:val="17"/>
      <w:szCs w:val="17"/>
    </w:rPr>
  </w:style>
  <w:style w:type="character" w:customStyle="1" w:styleId="CharChar81">
    <w:name w:val="Char Char81"/>
    <w:basedOn w:val="a3"/>
    <w:qFormat/>
    <w:rPr>
      <w:rFonts w:ascii="Arial" w:eastAsia="黑体" w:hAnsi="Arial"/>
      <w:b/>
      <w:bCs/>
      <w:kern w:val="2"/>
      <w:sz w:val="32"/>
      <w:szCs w:val="32"/>
      <w:lang w:val="en-US" w:eastAsia="zh-CN" w:bidi="ar-SA"/>
    </w:rPr>
  </w:style>
  <w:style w:type="character" w:customStyle="1" w:styleId="1309227Char">
    <w:name w:val="样式 纯文本 + (符号) 宋体 13 磅 首行缩进:  0.92 厘米 行距: 固定值 27 磅 Char"/>
    <w:basedOn w:val="a3"/>
    <w:link w:val="1309227"/>
    <w:qFormat/>
    <w:rPr>
      <w:rFonts w:ascii="宋体" w:eastAsia="宋体" w:hAnsi="宋体" w:cs="宋体"/>
      <w:sz w:val="26"/>
    </w:rPr>
  </w:style>
  <w:style w:type="character" w:customStyle="1" w:styleId="Charfffff0">
    <w:name w:val="格式—正文 Char"/>
    <w:basedOn w:val="a3"/>
    <w:link w:val="afffffffffffffffffffffffffffffffff4"/>
    <w:qFormat/>
    <w:rPr>
      <w:rFonts w:ascii="宋体" w:eastAsia="宋体" w:hAnsi="宋体" w:cs="Times New Roman"/>
      <w:sz w:val="24"/>
      <w:szCs w:val="21"/>
    </w:rPr>
  </w:style>
  <w:style w:type="character" w:customStyle="1" w:styleId="showsmall">
    <w:name w:val="showsmall"/>
    <w:basedOn w:val="a3"/>
    <w:qFormat/>
  </w:style>
  <w:style w:type="character" w:customStyle="1" w:styleId="showbig">
    <w:name w:val="showbig"/>
    <w:basedOn w:val="a3"/>
    <w:qFormat/>
  </w:style>
  <w:style w:type="character" w:customStyle="1" w:styleId="3Char12">
    <w:name w:val="正文文字缩进 3 Char1"/>
    <w:qFormat/>
    <w:rPr>
      <w:rFonts w:ascii="Times New Roman" w:eastAsia="宋体" w:hAnsi="Times New Roman" w:cs="Times New Roman"/>
      <w:sz w:val="16"/>
      <w:szCs w:val="16"/>
    </w:rPr>
  </w:style>
  <w:style w:type="character" w:customStyle="1" w:styleId="Heading3Char">
    <w:name w:val="Heading 3 Char"/>
    <w:basedOn w:val="a3"/>
    <w:qFormat/>
    <w:locked/>
    <w:rPr>
      <w:rFonts w:eastAsia="宋体"/>
      <w:b/>
      <w:bCs/>
      <w:kern w:val="2"/>
      <w:sz w:val="32"/>
      <w:szCs w:val="32"/>
      <w:lang w:val="en-US" w:eastAsia="zh-CN" w:bidi="ar-SA"/>
    </w:rPr>
  </w:style>
  <w:style w:type="character" w:customStyle="1" w:styleId="Charfffff1">
    <w:name w:val="图表题 Char"/>
    <w:basedOn w:val="Charf3"/>
    <w:link w:val="afffffffffffffffffffffffffffffffff5"/>
    <w:qFormat/>
    <w:rPr>
      <w:rFonts w:ascii="黑体" w:eastAsia="黑体" w:hAnsi="宋体" w:cs="Times New Roman"/>
      <w:b/>
      <w:bCs/>
      <w:kern w:val="0"/>
      <w:sz w:val="24"/>
      <w:szCs w:val="24"/>
    </w:rPr>
  </w:style>
  <w:style w:type="character" w:customStyle="1" w:styleId="Charff8">
    <w:name w:val="环评正文 Char"/>
    <w:basedOn w:val="a3"/>
    <w:link w:val="affffffffffffffffffff"/>
    <w:qFormat/>
    <w:rPr>
      <w:rFonts w:ascii="Times New Roman" w:eastAsia="仿宋_GB2312" w:hAnsi="Times New Roman" w:cs="Times New Roman"/>
      <w:b/>
      <w:bCs/>
      <w:kern w:val="44"/>
      <w:sz w:val="24"/>
      <w:szCs w:val="28"/>
    </w:rPr>
  </w:style>
  <w:style w:type="character" w:customStyle="1" w:styleId="FontStyle302">
    <w:name w:val="Font Style302"/>
    <w:basedOn w:val="a3"/>
    <w:qFormat/>
    <w:rPr>
      <w:rFonts w:ascii="宋体" w:eastAsia="宋体" w:cs="宋体"/>
      <w:sz w:val="20"/>
      <w:szCs w:val="20"/>
    </w:rPr>
  </w:style>
  <w:style w:type="character" w:customStyle="1" w:styleId="Charffff1">
    <w:name w:val="中文报告书样式 Char"/>
    <w:link w:val="afffffffffffffffffffffffffb"/>
    <w:qFormat/>
    <w:rPr>
      <w:rFonts w:ascii="Times New Roman" w:eastAsia="宋体" w:hAnsi="Times New Roman" w:cs="Times New Roman"/>
      <w:kern w:val="24"/>
      <w:sz w:val="28"/>
      <w:szCs w:val="20"/>
    </w:rPr>
  </w:style>
  <w:style w:type="character" w:customStyle="1" w:styleId="Charfffff2">
    <w:name w:val="导则正文 Char"/>
    <w:link w:val="afffffffffffffffffffffffffffffffff7"/>
    <w:qFormat/>
    <w:rPr>
      <w:szCs w:val="21"/>
    </w:rPr>
  </w:style>
  <w:style w:type="character" w:customStyle="1" w:styleId="CharCharff">
    <w:name w:val="正文样式 Char Char"/>
    <w:basedOn w:val="a3"/>
    <w:qFormat/>
    <w:rPr>
      <w:spacing w:val="4"/>
      <w:kern w:val="2"/>
      <w:sz w:val="24"/>
      <w:szCs w:val="24"/>
      <w:lang w:bidi="ar-SA"/>
    </w:rPr>
  </w:style>
  <w:style w:type="character" w:customStyle="1" w:styleId="Charffb">
    <w:name w:val="我的正文 Char"/>
    <w:link w:val="afffffffffffffffffffff6"/>
    <w:qFormat/>
    <w:rPr>
      <w:rFonts w:ascii="Times New Roman" w:eastAsia="宋体" w:hAnsi="Times New Roman" w:cs="Times New Roman"/>
      <w:kern w:val="0"/>
      <w:sz w:val="24"/>
      <w:szCs w:val="24"/>
    </w:rPr>
  </w:style>
  <w:style w:type="character" w:customStyle="1" w:styleId="a6CharChar">
    <w:name w:val="a表格标题6 Char Char"/>
    <w:link w:val="a60"/>
    <w:qFormat/>
    <w:rPr>
      <w:rFonts w:ascii="黑体" w:eastAsia="黑体" w:hAnsi="Calibri"/>
      <w:szCs w:val="21"/>
    </w:rPr>
  </w:style>
  <w:style w:type="character" w:customStyle="1" w:styleId="3CharChar10">
    <w:name w:val="标题 3 Char Char1"/>
    <w:basedOn w:val="a3"/>
    <w:qFormat/>
    <w:rPr>
      <w:rFonts w:ascii="Arial" w:hAnsi="Arial" w:hint="eastAsia"/>
      <w:b/>
      <w:kern w:val="2"/>
      <w:sz w:val="28"/>
      <w:lang w:val="en-US" w:eastAsia="zh-CN"/>
    </w:rPr>
  </w:style>
  <w:style w:type="character" w:customStyle="1" w:styleId="86Char0">
    <w:name w:val="正文86 Char"/>
    <w:basedOn w:val="a3"/>
    <w:link w:val="860"/>
    <w:qFormat/>
    <w:rPr>
      <w:rFonts w:ascii="楷体_GB2312" w:eastAsia="楷体_GB2312" w:hAnsi="Calibri" w:cs="宋体"/>
      <w:kern w:val="0"/>
      <w:sz w:val="24"/>
      <w:szCs w:val="24"/>
    </w:rPr>
  </w:style>
  <w:style w:type="character" w:customStyle="1" w:styleId="-Char2">
    <w:name w:val="可研-正文首行缩进 Char"/>
    <w:qFormat/>
    <w:rPr>
      <w:rFonts w:eastAsia="宋体"/>
      <w:kern w:val="2"/>
      <w:sz w:val="21"/>
      <w:szCs w:val="24"/>
      <w:lang w:val="en-US" w:eastAsia="zh-CN" w:bidi="ar-SA"/>
    </w:rPr>
  </w:style>
  <w:style w:type="character" w:customStyle="1" w:styleId="WebChar1">
    <w:name w:val="普通 (Web) Char1"/>
    <w:qFormat/>
    <w:rPr>
      <w:rFonts w:ascii="Arial Unicode MS" w:eastAsia="Arial Unicode MS"/>
      <w:color w:val="000000"/>
      <w:sz w:val="24"/>
      <w:lang w:val="en-US" w:eastAsia="zh-CN" w:bidi="ar-SA"/>
    </w:rPr>
  </w:style>
  <w:style w:type="character" w:customStyle="1" w:styleId="3Char20">
    <w:name w:val="正文文字缩进 3 Char2"/>
    <w:qFormat/>
    <w:rPr>
      <w:rFonts w:eastAsia="宋体"/>
      <w:kern w:val="2"/>
      <w:sz w:val="16"/>
      <w:szCs w:val="16"/>
      <w:lang w:val="en-US" w:eastAsia="zh-CN" w:bidi="ar-SA"/>
    </w:rPr>
  </w:style>
  <w:style w:type="character" w:customStyle="1" w:styleId="HTMLCharChar2">
    <w:name w:val="HTML 预先格式化 Char Char2"/>
    <w:qFormat/>
    <w:rPr>
      <w:rFonts w:ascii="Courier New" w:eastAsia="宋体" w:hAnsi="Courier New" w:cs="Courier New"/>
      <w:kern w:val="2"/>
      <w:lang w:val="en-US" w:eastAsia="zh-CN" w:bidi="ar-SA"/>
    </w:rPr>
  </w:style>
  <w:style w:type="character" w:customStyle="1" w:styleId="affffffffffffffffffffffffffffffffffa">
    <w:name w:val="样式 四号 字距调整八号"/>
    <w:qFormat/>
    <w:rPr>
      <w:rFonts w:ascii="Times New Roman" w:eastAsia="宋体" w:hAnsi="Times New Roman"/>
      <w:color w:val="auto"/>
      <w:spacing w:val="0"/>
      <w:w w:val="100"/>
      <w:kern w:val="0"/>
      <w:position w:val="0"/>
      <w:sz w:val="24"/>
      <w:u w:val="none"/>
    </w:rPr>
  </w:style>
  <w:style w:type="character" w:customStyle="1" w:styleId="DefaultCharChar">
    <w:name w:val="Default Char Char"/>
    <w:link w:val="Default"/>
    <w:qFormat/>
    <w:rPr>
      <w:rFonts w:ascii="宋体" w:eastAsia="宋体" w:hAnsi="Times New Roman" w:cs="Times New Roman"/>
      <w:color w:val="000000"/>
      <w:kern w:val="0"/>
      <w:sz w:val="24"/>
      <w:szCs w:val="24"/>
    </w:rPr>
  </w:style>
  <w:style w:type="character" w:customStyle="1" w:styleId="5ffb">
    <w:name w:val="强调5"/>
    <w:qFormat/>
    <w:rPr>
      <w:i/>
    </w:rPr>
  </w:style>
  <w:style w:type="character" w:customStyle="1" w:styleId="412">
    <w:name w:val="不明显强调41"/>
    <w:basedOn w:val="a3"/>
    <w:qFormat/>
    <w:rPr>
      <w:i/>
      <w:iCs/>
      <w:color w:val="808080"/>
    </w:rPr>
  </w:style>
  <w:style w:type="character" w:customStyle="1" w:styleId="3ffff2">
    <w:name w:val="已访问的超链接3"/>
    <w:qFormat/>
    <w:rPr>
      <w:rFonts w:ascii="Times New Roman" w:hint="default"/>
      <w:color w:val="800080"/>
      <w:u w:val="single"/>
    </w:rPr>
  </w:style>
  <w:style w:type="character" w:customStyle="1" w:styleId="s4CharChar">
    <w:name w:val="s4 Char Char"/>
    <w:qFormat/>
    <w:rPr>
      <w:rFonts w:eastAsia="宋体"/>
      <w:kern w:val="2"/>
      <w:sz w:val="21"/>
      <w:szCs w:val="24"/>
      <w:lang w:val="en-US" w:eastAsia="zh-CN" w:bidi="ar-SA"/>
    </w:rPr>
  </w:style>
  <w:style w:type="character" w:customStyle="1" w:styleId="4fff6">
    <w:name w:val="已访问的超链接4"/>
    <w:qFormat/>
    <w:rPr>
      <w:rFonts w:ascii="Times New Roman" w:hint="default"/>
      <w:color w:val="800080"/>
      <w:u w:val="single"/>
    </w:rPr>
  </w:style>
  <w:style w:type="character" w:customStyle="1" w:styleId="11f0">
    <w:name w:val="副标题11"/>
    <w:basedOn w:val="a3"/>
    <w:qFormat/>
  </w:style>
  <w:style w:type="character" w:customStyle="1" w:styleId="Char1ff5">
    <w:name w:val="表格文字居中 Char1"/>
    <w:basedOn w:val="a3"/>
    <w:qFormat/>
    <w:locked/>
    <w:rPr>
      <w:snapToGrid w:val="0"/>
      <w:color w:val="FF0000"/>
      <w:spacing w:val="-2"/>
      <w:sz w:val="21"/>
      <w:szCs w:val="21"/>
    </w:rPr>
  </w:style>
  <w:style w:type="character" w:customStyle="1" w:styleId="font81">
    <w:name w:val="font81"/>
    <w:basedOn w:val="a3"/>
    <w:qFormat/>
    <w:rPr>
      <w:rFonts w:ascii="Arial" w:hAnsi="Arial" w:cs="Arial" w:hint="default"/>
      <w:color w:val="000000"/>
      <w:sz w:val="24"/>
      <w:szCs w:val="24"/>
      <w:u w:val="none"/>
      <w:vertAlign w:val="superscript"/>
    </w:rPr>
  </w:style>
  <w:style w:type="character" w:customStyle="1" w:styleId="fontstyle01">
    <w:name w:val="fontstyle01"/>
    <w:basedOn w:val="a3"/>
    <w:qFormat/>
    <w:rPr>
      <w:rFonts w:ascii="TimesNewRomanPSMT" w:hAnsi="TimesNewRomanPSMT" w:hint="default"/>
      <w:color w:val="000000"/>
      <w:sz w:val="22"/>
      <w:szCs w:val="22"/>
    </w:rPr>
  </w:style>
  <w:style w:type="character" w:customStyle="1" w:styleId="fontstyle11">
    <w:name w:val="fontstyle11"/>
    <w:basedOn w:val="a3"/>
    <w:qFormat/>
    <w:rPr>
      <w:rFonts w:ascii="宋体" w:eastAsia="宋体" w:hAnsi="宋体" w:hint="eastAsia"/>
      <w:color w:val="000000"/>
      <w:sz w:val="22"/>
      <w:szCs w:val="22"/>
    </w:rPr>
  </w:style>
  <w:style w:type="character" w:customStyle="1" w:styleId="fontstyle21">
    <w:name w:val="fontstyle21"/>
    <w:basedOn w:val="a3"/>
    <w:qFormat/>
    <w:rPr>
      <w:rFonts w:ascii="黑体" w:eastAsia="黑体" w:hAnsi="黑体" w:hint="eastAsia"/>
      <w:color w:val="000000"/>
      <w:sz w:val="22"/>
      <w:szCs w:val="22"/>
    </w:rPr>
  </w:style>
  <w:style w:type="character" w:customStyle="1" w:styleId="Charfffff3">
    <w:name w:val="公式说明 Char"/>
    <w:link w:val="afffffffffffffffffffffffffffffffffb"/>
    <w:qFormat/>
    <w:rPr>
      <w:rFonts w:ascii="Times New Roman" w:eastAsia="仿宋_GB2312" w:hAnsi="Times New Roman" w:cs="Times New Roman"/>
      <w:sz w:val="32"/>
    </w:rPr>
  </w:style>
  <w:style w:type="character" w:customStyle="1" w:styleId="2TimesNewRomanChar1">
    <w:name w:val="正文首行缩进 2 + Times New Roman Char1"/>
    <w:link w:val="2TimesNewRoman0"/>
    <w:qFormat/>
    <w:rPr>
      <w:rFonts w:ascii="Times New Roman" w:eastAsia="宋体" w:hAnsi="Times New Roman" w:cs="Times New Roman"/>
      <w:kern w:val="0"/>
      <w:sz w:val="24"/>
      <w:szCs w:val="24"/>
    </w:rPr>
  </w:style>
  <w:style w:type="table" w:customStyle="1" w:styleId="HIT-EIA">
    <w:name w:val="HIT-EIA"/>
    <w:basedOn w:val="1f"/>
    <w:qFormat/>
    <w:pPr>
      <w:jc w:val="center"/>
    </w:p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StylePr>
    <w:tblStylePr w:type="swCell">
      <w:rPr>
        <w:b/>
        <w:bCs/>
      </w:rPr>
    </w:tblStylePr>
  </w:style>
  <w:style w:type="table" w:customStyle="1" w:styleId="1ffffffff1">
    <w:name w:val="自建表格样式1"/>
    <w:basedOn w:val="a4"/>
    <w:qFormat/>
    <w:pPr>
      <w:jc w:val="center"/>
    </w:pPr>
    <w:rPr>
      <w:sz w:val="24"/>
    </w:rPr>
    <w:tblPr>
      <w:jc w:val="center"/>
      <w:tblBorders>
        <w:top w:val="threeDEngrave" w:sz="12" w:space="0" w:color="auto"/>
        <w:bottom w:val="threeDEmboss" w:sz="12" w:space="0" w:color="auto"/>
        <w:insideH w:val="single" w:sz="4" w:space="0" w:color="auto"/>
        <w:insideV w:val="single" w:sz="4" w:space="0" w:color="auto"/>
      </w:tblBorders>
    </w:tblPr>
    <w:trPr>
      <w:jc w:val="center"/>
    </w:trPr>
    <w:tcPr>
      <w:vAlign w:val="center"/>
    </w:tcPr>
    <w:tblStylePr w:type="firstRow">
      <w:rPr>
        <w:b/>
      </w:rPr>
    </w:tblStylePr>
    <w:tblStylePr w:type="lastRow">
      <w:rPr>
        <w:b/>
      </w:rPr>
    </w:tblStylePr>
    <w:tblStylePr w:type="firstCol">
      <w:rPr>
        <w:b/>
      </w:rPr>
    </w:tblStylePr>
  </w:style>
  <w:style w:type="table" w:customStyle="1" w:styleId="affffffffffffffffffffffffffffffffffb">
    <w:name w:val="报告表格"/>
    <w:basedOn w:val="a4"/>
    <w:qFormat/>
    <w:pPr>
      <w:widowControl w:val="0"/>
      <w:spacing w:line="0" w:lineRule="atLeast"/>
      <w:jc w:val="center"/>
    </w:pPr>
    <w:rPr>
      <w:rFonts w:ascii="Times" w:hAnsi="Times"/>
      <w:szCs w:val="21"/>
    </w:rPr>
    <w:tblPr>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Pr>
    <w:trPr>
      <w:jc w:val="center"/>
    </w:trPr>
    <w:tcPr>
      <w:vAlign w:val="center"/>
    </w:tcPr>
    <w:tblStylePr w:type="firstRow">
      <w:rPr>
        <w:rFonts w:eastAsia="黑体"/>
      </w:rPr>
      <w:tblPr/>
      <w:trPr>
        <w:tblHeader/>
      </w:trPr>
    </w:tblStylePr>
    <w:tblStylePr w:type="firstCol">
      <w:rPr>
        <w:rFonts w:eastAsia="黑体"/>
      </w:rPr>
    </w:tblStylePr>
  </w:style>
  <w:style w:type="table" w:customStyle="1" w:styleId="affffffffffffffffffffffffffffffffffc">
    <w:name w:val="环评表格"/>
    <w:basedOn w:val="a4"/>
    <w:qFormat/>
    <w:pPr>
      <w:snapToGrid w:val="0"/>
      <w:spacing w:line="240" w:lineRule="atLeast"/>
      <w:jc w:val="center"/>
    </w:p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1ffffffff2">
    <w:name w:val="流行型1"/>
    <w:basedOn w:val="a4"/>
    <w:semiHidden/>
    <w:qFormat/>
    <w:pPr>
      <w:widowControl w:val="0"/>
      <w:adjustRightInd w:val="0"/>
      <w:snapToGrid w:val="0"/>
      <w:jc w:val="both"/>
    </w:pPr>
    <w:tblPr>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customStyle="1" w:styleId="zxz0">
    <w:name w:val="zxz"/>
    <w:basedOn w:val="a4"/>
    <w:semiHidden/>
    <w:qFormat/>
    <w:pPr>
      <w:jc w:val="center"/>
    </w:pPr>
    <w:rPr>
      <w:sz w:val="18"/>
    </w:rPr>
    <w:tblPr>
      <w:tblBorders>
        <w:top w:val="single" w:sz="4" w:space="0" w:color="auto"/>
        <w:bottom w:val="single" w:sz="4" w:space="0" w:color="auto"/>
        <w:insideH w:val="single" w:sz="4" w:space="0" w:color="auto"/>
        <w:insideV w:val="single" w:sz="4" w:space="0" w:color="auto"/>
      </w:tblBorders>
    </w:tblPr>
    <w:tcPr>
      <w:vAlign w:val="center"/>
    </w:tcPr>
  </w:style>
  <w:style w:type="table" w:customStyle="1" w:styleId="11f1">
    <w:name w:val="表格样式11"/>
    <w:basedOn w:val="affff3"/>
    <w:qFormat/>
    <w:pPr>
      <w:adjustRightInd w:val="0"/>
      <w:spacing w:line="360" w:lineRule="exact"/>
      <w:jc w:val="center"/>
      <w:textAlignment w:val="center"/>
    </w:pPr>
    <w:rPr>
      <w:rFonts w:ascii="宋体"/>
      <w:szCs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Pr>
    <w:tcPr>
      <w:shd w:val="clear" w:color="auto" w:fill="F3F3F3"/>
      <w:vAlign w:val="center"/>
    </w:tcPr>
    <w:tblStylePr w:type="firstRow">
      <w:pPr>
        <w:jc w:val="center"/>
      </w:pPr>
      <w:rPr>
        <w:rFonts w:eastAsia="宋体"/>
        <w:b w:val="0"/>
        <w:bCs/>
        <w:color w:val="auto"/>
        <w:sz w:val="21"/>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customStyle="1" w:styleId="12c">
    <w:name w:val="表格样式12"/>
    <w:basedOn w:val="affff3"/>
    <w:qFormat/>
    <w:pPr>
      <w:adjustRightInd w:val="0"/>
      <w:spacing w:line="360" w:lineRule="exact"/>
      <w:jc w:val="center"/>
      <w:textAlignment w:val="center"/>
    </w:pPr>
    <w:rPr>
      <w:rFonts w:ascii="宋体"/>
      <w:szCs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Pr>
    <w:tcPr>
      <w:shd w:val="clear" w:color="auto" w:fill="F3F3F3"/>
      <w:vAlign w:val="center"/>
    </w:tcPr>
    <w:tblStylePr w:type="firstRow">
      <w:pPr>
        <w:jc w:val="center"/>
      </w:pPr>
      <w:rPr>
        <w:rFonts w:eastAsia="宋体"/>
        <w:b w:val="0"/>
        <w:bCs/>
        <w:color w:val="auto"/>
        <w:sz w:val="21"/>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customStyle="1" w:styleId="ljw">
    <w:name w:val="ljw"/>
    <w:basedOn w:val="affff1"/>
    <w:semiHidden/>
    <w:qFormat/>
    <w:pPr>
      <w:spacing w:line="440" w:lineRule="exact"/>
      <w:ind w:firstLineChars="200" w:firstLine="200"/>
    </w:pPr>
    <w:rPr>
      <w:snapToGrid w:val="0"/>
      <w:sz w:val="18"/>
      <w:szCs w:val="18"/>
    </w:rPr>
    <w:tblPr>
      <w:tblBorders>
        <w:top w:val="single" w:sz="6" w:space="0" w:color="auto"/>
        <w:left w:val="none" w:sz="0" w:space="0" w:color="auto"/>
        <w:bottom w:val="single" w:sz="6" w:space="0" w:color="auto"/>
        <w:right w:val="none" w:sz="0" w:space="0" w:color="auto"/>
        <w:insideH w:val="single" w:sz="6" w:space="0" w:color="auto"/>
        <w:insideV w:val="single" w:sz="6" w:space="0" w:color="auto"/>
      </w:tblBorders>
    </w:tblPr>
  </w:style>
  <w:style w:type="table" w:customStyle="1" w:styleId="affffffffffffffffffffffffffffffffffd">
    <w:name w:val="三线表"/>
    <w:basedOn w:val="a4"/>
    <w:qFormat/>
    <w:rPr>
      <w:rFonts w:ascii="Calibri" w:hAnsi="Calibri"/>
    </w:rPr>
    <w:tblPr>
      <w:tblBorders>
        <w:top w:val="single" w:sz="8" w:space="0" w:color="auto"/>
        <w:bottom w:val="single" w:sz="8" w:space="0" w:color="auto"/>
      </w:tblBorders>
    </w:tblPr>
    <w:tblStylePr w:type="firstRow">
      <w:tblPr/>
      <w:tcPr>
        <w:tcBorders>
          <w:top w:val="nil"/>
          <w:left w:val="nil"/>
          <w:bottom w:val="single" w:sz="4" w:space="0" w:color="auto"/>
          <w:right w:val="nil"/>
          <w:insideH w:val="nil"/>
          <w:insideV w:val="nil"/>
          <w:tl2br w:val="nil"/>
          <w:tr2bl w:val="nil"/>
        </w:tcBorders>
      </w:tcPr>
    </w:tblStylePr>
  </w:style>
  <w:style w:type="paragraph" w:customStyle="1" w:styleId="B1">
    <w:name w:val="B正文"/>
    <w:qFormat/>
    <w:pPr>
      <w:spacing w:line="360" w:lineRule="auto"/>
      <w:ind w:firstLineChars="200" w:firstLine="200"/>
    </w:pPr>
    <w:rPr>
      <w:rFonts w:cs="宋体"/>
      <w:sz w:val="24"/>
      <w:szCs w:val="24"/>
    </w:rPr>
  </w:style>
  <w:style w:type="paragraph" w:customStyle="1" w:styleId="B2">
    <w:name w:val="B表内字"/>
    <w:qFormat/>
    <w:pPr>
      <w:jc w:val="center"/>
    </w:pPr>
    <w:rPr>
      <w:rFonts w:cs="宋体"/>
      <w:sz w:val="21"/>
      <w:szCs w:val="24"/>
    </w:rPr>
  </w:style>
  <w:style w:type="paragraph" w:customStyle="1" w:styleId="B3">
    <w:name w:val="B图表标题"/>
    <w:basedOn w:val="affffffffffffffc"/>
    <w:next w:val="2e"/>
    <w:qFormat/>
    <w:pPr>
      <w:widowControl/>
      <w:adjustRightInd w:val="0"/>
      <w:snapToGrid w:val="0"/>
      <w:spacing w:before="120" w:line="240" w:lineRule="auto"/>
    </w:pPr>
    <w:rPr>
      <w:rFonts w:eastAsia="宋体"/>
      <w:b/>
      <w:snapToGrid w:val="0"/>
      <w:color w:val="000000"/>
      <w:kern w:val="0"/>
      <w:szCs w:val="28"/>
    </w:rPr>
  </w:style>
  <w:style w:type="paragraph" w:customStyle="1" w:styleId="affffffffffffffffffffffffffffffffffe">
    <w:name w:val="表格内容"/>
    <w:qFormat/>
    <w:pPr>
      <w:widowControl w:val="0"/>
      <w:overflowPunct w:val="0"/>
      <w:adjustRightInd w:val="0"/>
      <w:spacing w:before="40" w:after="60" w:line="200" w:lineRule="atLeast"/>
      <w:jc w:val="both"/>
      <w:textAlignment w:val="baseline"/>
    </w:pPr>
    <w:rPr>
      <w:rFonts w:ascii="宋体" w:hAnsi="Courier New" w:cs="Courier New"/>
      <w:kern w:val="2"/>
      <w:sz w:val="21"/>
      <w:szCs w:val="21"/>
    </w:rPr>
  </w:style>
  <w:style w:type="paragraph" w:customStyle="1" w:styleId="-ls">
    <w:name w:val="正文-ls"/>
    <w:basedOn w:val="a1"/>
    <w:qFormat/>
    <w:pPr>
      <w:ind w:firstLine="200"/>
    </w:pPr>
    <w:rPr>
      <w:rFonts w:ascii="Times New Roman" w:cs="宋体"/>
    </w:rPr>
  </w:style>
  <w:style w:type="paragraph" w:customStyle="1" w:styleId="B5">
    <w:name w:val="B加粗无缩进正文"/>
    <w:qFormat/>
    <w:pPr>
      <w:spacing w:line="360" w:lineRule="auto"/>
    </w:pPr>
    <w:rPr>
      <w:rFonts w:cs="宋体"/>
      <w:b/>
      <w:sz w:val="24"/>
      <w:szCs w:val="24"/>
    </w:rPr>
  </w:style>
  <w:style w:type="paragraph" w:customStyle="1" w:styleId="B30">
    <w:name w:val="B3"/>
    <w:next w:val="a1"/>
    <w:qFormat/>
    <w:pPr>
      <w:spacing w:before="80" w:after="80" w:line="360" w:lineRule="auto"/>
      <w:outlineLvl w:val="2"/>
    </w:pPr>
    <w:rPr>
      <w:rFonts w:cs="宋体"/>
      <w:b/>
      <w:sz w:val="28"/>
      <w:szCs w:val="24"/>
    </w:rPr>
  </w:style>
  <w:style w:type="paragraph" w:customStyle="1" w:styleId="afffffffffffffffffffffffffffffffffff">
    <w:name w:val="四级标题"/>
    <w:qFormat/>
    <w:pPr>
      <w:outlineLvl w:val="3"/>
    </w:pPr>
    <w:rPr>
      <w:rFonts w:ascii="宋体" w:hAnsi="宋体" w:cs="宋体"/>
      <w:b/>
      <w:sz w:val="24"/>
      <w:szCs w:val="24"/>
    </w:rPr>
  </w:style>
  <w:style w:type="paragraph" w:customStyle="1" w:styleId="aaChar">
    <w:name w:val="aa Char"/>
    <w:basedOn w:val="a2"/>
    <w:qFormat/>
    <w:pPr>
      <w:ind w:firstLineChars="0" w:firstLine="561"/>
    </w:pPr>
  </w:style>
  <w:style w:type="paragraph" w:customStyle="1" w:styleId="afffffffffffffffffffffffffffffffffff0">
    <w:name w:val="正文邓"/>
    <w:qFormat/>
    <w:pPr>
      <w:widowControl w:val="0"/>
      <w:adjustRightInd w:val="0"/>
      <w:snapToGrid w:val="0"/>
      <w:spacing w:line="360" w:lineRule="auto"/>
      <w:ind w:firstLineChars="200" w:firstLine="480"/>
    </w:pPr>
    <w:rPr>
      <w:bCs/>
      <w:color w:val="000000"/>
      <w:sz w:val="24"/>
      <w:szCs w:val="26"/>
    </w:rPr>
  </w:style>
  <w:style w:type="paragraph" w:customStyle="1" w:styleId="afffffffffffffffffffffffffffffffffff1">
    <w:name w:val="邓图后正文"/>
    <w:qFormat/>
    <w:pPr>
      <w:snapToGrid w:val="0"/>
      <w:spacing w:line="360" w:lineRule="auto"/>
      <w:jc w:val="center"/>
    </w:pPr>
    <w:rPr>
      <w:rFonts w:ascii="黑体" w:eastAsia="黑体" w:hAnsi="黑体"/>
      <w:b/>
      <w:bCs/>
      <w:kern w:val="2"/>
      <w:sz w:val="24"/>
      <w:szCs w:val="24"/>
    </w:rPr>
  </w:style>
  <w:style w:type="paragraph" w:customStyle="1" w:styleId="afffffffffffffffffffffffffffffffffff2">
    <w:name w:val="邓表格文字"/>
    <w:basedOn w:val="afffffffffffffffffffffffffffffffffff3"/>
    <w:qFormat/>
    <w:pPr>
      <w:spacing w:line="240" w:lineRule="auto"/>
    </w:pPr>
  </w:style>
  <w:style w:type="paragraph" w:customStyle="1" w:styleId="afffffffffffffffffffffffffffffffffff3">
    <w:name w:val="表格文字邓"/>
    <w:qFormat/>
    <w:pPr>
      <w:snapToGrid w:val="0"/>
      <w:spacing w:line="200" w:lineRule="exact"/>
      <w:jc w:val="center"/>
    </w:pPr>
    <w:rPr>
      <w:rFonts w:ascii="宋体" w:eastAsia="华文中宋" w:hAnsi="宋体"/>
      <w:color w:val="000000"/>
      <w:kern w:val="2"/>
      <w:sz w:val="18"/>
      <w:szCs w:val="18"/>
    </w:rPr>
  </w:style>
  <w:style w:type="paragraph" w:customStyle="1" w:styleId="afffffffffffffffffffffffffffffffffff4">
    <w:name w:val="邓表后空格"/>
    <w:basedOn w:val="afffffffffffffffffffffffffffffffffff5"/>
    <w:qFormat/>
    <w:pPr>
      <w:spacing w:line="240" w:lineRule="exact"/>
      <w:ind w:firstLineChars="0" w:firstLine="0"/>
    </w:pPr>
    <w:rPr>
      <w:rFonts w:eastAsia="宋体"/>
      <w:sz w:val="18"/>
    </w:rPr>
  </w:style>
  <w:style w:type="paragraph" w:customStyle="1" w:styleId="afffffffffffffffffffffffffffffffffff5">
    <w:name w:val="正文 楷体"/>
    <w:qFormat/>
    <w:pPr>
      <w:widowControl w:val="0"/>
      <w:spacing w:line="500" w:lineRule="exact"/>
      <w:ind w:firstLineChars="200" w:firstLine="200"/>
      <w:jc w:val="both"/>
    </w:pPr>
    <w:rPr>
      <w:rFonts w:ascii="楷体_GB2312" w:eastAsia="楷体_GB2312" w:hAnsi="楷体_GB2312"/>
      <w:kern w:val="2"/>
      <w:sz w:val="24"/>
      <w:szCs w:val="24"/>
    </w:rPr>
  </w:style>
  <w:style w:type="table" w:customStyle="1" w:styleId="11f2">
    <w:name w:val="网格型11"/>
    <w:qFormat/>
    <w:pPr>
      <w:widowControl w:val="0"/>
      <w:spacing w:line="360" w:lineRule="exact"/>
      <w:jc w:val="center"/>
    </w:pPr>
    <w:rPr>
      <w:rFonts w:ascii="宋体" w:hAnsi="宋体" w:cs="宋体"/>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0" w:type="dxa"/>
        <w:bottom w:w="0" w:type="dxa"/>
        <w:right w:w="0" w:type="dxa"/>
      </w:tblCellMar>
    </w:tblPr>
    <w:tcPr>
      <w:vAlign w:val="center"/>
    </w:tcPr>
  </w:style>
  <w:style w:type="table" w:customStyle="1" w:styleId="1ffffffff3">
    <w:name w:val="报告书表格样式1"/>
    <w:qFormat/>
    <w:pPr>
      <w:adjustRightInd w:val="0"/>
      <w:snapToGrid w:val="0"/>
      <w:spacing w:line="300" w:lineRule="exact"/>
      <w:jc w:val="center"/>
    </w:pPr>
    <w:rPr>
      <w:rFonts w:ascii="宋体" w:hAnsi="宋体" w:cs="宋体"/>
      <w:szCs w:val="21"/>
    </w:rPr>
    <w:tblPr>
      <w:jc w:val="center"/>
      <w:tblBorders>
        <w:top w:val="single" w:sz="12" w:space="0" w:color="auto"/>
        <w:bottom w:val="single" w:sz="12"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8.wmf"/><Relationship Id="rId47" Type="http://schemas.openxmlformats.org/officeDocument/2006/relationships/image" Target="media/image33.png"/><Relationship Id="rId50" Type="http://schemas.openxmlformats.org/officeDocument/2006/relationships/image" Target="media/image3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kns.cnki.net/kns/detail/detail.aspx?QueryID=9&amp;CurRec=4&amp;recid=&amp;FileName=1015024259.nh&amp;DbName=CDFDLAST2015&amp;DbCode=CDFD&amp;yx=&amp;pr=&amp;URLID=&amp;bsm=" TargetMode="External"/><Relationship Id="rId40" Type="http://schemas.openxmlformats.org/officeDocument/2006/relationships/image" Target="media/image27.wmf"/><Relationship Id="rId45" Type="http://schemas.openxmlformats.org/officeDocument/2006/relationships/image" Target="media/image31.em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0.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wmf"/><Relationship Id="rId43" Type="http://schemas.openxmlformats.org/officeDocument/2006/relationships/image" Target="media/image29.png"/><Relationship Id="rId48" Type="http://schemas.openxmlformats.org/officeDocument/2006/relationships/image" Target="media/image34.jpeg"/><Relationship Id="rId8" Type="http://schemas.openxmlformats.org/officeDocument/2006/relationships/image" Target="media/image1.pn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2.emf"/><Relationship Id="rId20" Type="http://schemas.openxmlformats.org/officeDocument/2006/relationships/image" Target="media/image9.png"/><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oleObject1.bin"/><Relationship Id="rId49" Type="http://schemas.openxmlformats.org/officeDocument/2006/relationships/image" Target="media/image3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3"/>
    <customShpInfo spid="_x0000_s3074"/>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4"/>
    <customShpInfo spid="_x0000_s2065"/>
    <customShpInfo spid="_x0000_s2066"/>
    <customShpInfo spid="_x0000_s2067"/>
    <customShpInfo spid="_x0000_s2063"/>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068"/>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25"/>
    <customShpInfo spid="_x0000_s2164"/>
    <customShpInfo spid="_x0000_s2165"/>
    <customShpInfo spid="_x0000_s2166"/>
    <customShpInfo spid="_x0000_s2167"/>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68"/>
    <customShpInfo spid="_x0000_s2198"/>
    <customShpInfo spid="_x0000_s2199"/>
    <customShpInfo spid="_x0000_s2200"/>
    <customShpInfo spid="_x0000_s2201"/>
    <customShpInfo spid="_x0000_s2202"/>
    <customShpInfo spid="_x0000_s2203"/>
    <customShpInfo spid="_x0000_s2204"/>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05"/>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2286"/>
    <customShpInfo spid="_x0000_s2287"/>
    <customShpInfo spid="_x0000_s2288"/>
    <customShpInfo spid="_x0000_s2289"/>
    <customShpInfo spid="_x0000_s2290"/>
    <customShpInfo spid="_x0000_s2291"/>
    <customShpInfo spid="_x0000_s2292"/>
    <customShpInfo spid="_x0000_s2293"/>
    <customShpInfo spid="_x0000_s2294"/>
    <customShpInfo spid="_x0000_s2295"/>
    <customShpInfo spid="_x0000_s2224"/>
    <customShpInfo spid="_x0000_s2296"/>
    <customShpInfo spid="_x0000_s2297"/>
    <customShpInfo spid="_x0000_s2298"/>
    <customShpInfo spid="_x0000_s2299"/>
    <customShpInfo spid="_x0000_s2300"/>
    <customShpInfo spid="_x0000_s2301"/>
    <customShpInfo spid="_x0000_s2302"/>
    <customShpInfo spid="_x0000_s2303"/>
    <customShpInfo spid="_x0000_s2305"/>
    <customShpInfo spid="_x0000_s2306"/>
    <customShpInfo spid="_x0000_s2307"/>
    <customShpInfo spid="_x0000_s2308"/>
    <customShpInfo spid="_x0000_s2309"/>
    <customShpInfo spid="_x0000_s2310"/>
    <customShpInfo spid="_x0000_s2311"/>
    <customShpInfo spid="_x0000_s2312"/>
    <customShpInfo spid="_x0000_s2313"/>
    <customShpInfo spid="_x0000_s2314"/>
    <customShpInfo spid="_x0000_s2315"/>
    <customShpInfo spid="_x0000_s2316"/>
    <customShpInfo spid="_x0000_s2317"/>
    <customShpInfo spid="_x0000_s2318"/>
    <customShpInfo spid="_x0000_s2320"/>
    <customShpInfo spid="_x0000_s2321"/>
    <customShpInfo spid="_x0000_s2319"/>
    <customShpInfo spid="_x0000_s2322"/>
    <customShpInfo spid="_x0000_s2323"/>
    <customShpInfo spid="_x0000_s2324"/>
    <customShpInfo spid="_x0000_s2325"/>
    <customShpInfo spid="_x0000_s2326"/>
    <customShpInfo spid="_x0000_s2327"/>
    <customShpInfo spid="_x0000_s2304"/>
    <customShpInfo spid="_x0000_s2329"/>
    <customShpInfo spid="_x0000_s2330"/>
    <customShpInfo spid="_x0000_s2331"/>
    <customShpInfo spid="_x0000_s2332"/>
    <customShpInfo spid="_x0000_s2333"/>
    <customShpInfo spid="_x0000_s2334"/>
    <customShpInfo spid="_x0000_s2335"/>
    <customShpInfo spid="_x0000_s2336"/>
    <customShpInfo spid="_x0000_s2337"/>
    <customShpInfo spid="_x0000_s2338"/>
    <customShpInfo spid="_x0000_s2339"/>
    <customShpInfo spid="_x0000_s2340"/>
    <customShpInfo spid="_x0000_s2341"/>
    <customShpInfo spid="_x0000_s2342"/>
    <customShpInfo spid="_x0000_s2343"/>
    <customShpInfo spid="_x0000_s2344"/>
    <customShpInfo spid="_x0000_s2345"/>
    <customShpInfo spid="_x0000_s2346"/>
    <customShpInfo spid="_x0000_s2347"/>
    <customShpInfo spid="_x0000_s2348"/>
    <customShpInfo spid="_x0000_s2349"/>
    <customShpInfo spid="_x0000_s2350"/>
    <customShpInfo spid="_x0000_s2351"/>
    <customShpInfo spid="_x0000_s2352"/>
    <customShpInfo spid="_x0000_s2353"/>
    <customShpInfo spid="_x0000_s2354"/>
    <customShpInfo spid="_x0000_s2355"/>
    <customShpInfo spid="_x0000_s2356"/>
    <customShpInfo spid="_x0000_s2357"/>
    <customShpInfo spid="_x0000_s2358"/>
    <customShpInfo spid="_x0000_s2359"/>
    <customShpInfo spid="_x0000_s2360"/>
    <customShpInfo spid="_x0000_s2361"/>
    <customShpInfo spid="_x0000_s2362"/>
    <customShpInfo spid="_x0000_s2363"/>
    <customShpInfo spid="_x0000_s2364"/>
    <customShpInfo spid="_x0000_s2365"/>
    <customShpInfo spid="_x0000_s2366"/>
    <customShpInfo spid="_x0000_s2367"/>
    <customShpInfo spid="_x0000_s2368"/>
    <customShpInfo spid="_x0000_s2369"/>
    <customShpInfo spid="_x0000_s2370"/>
    <customShpInfo spid="_x0000_s2371"/>
    <customShpInfo spid="_x0000_s2372"/>
    <customShpInfo spid="_x0000_s2373"/>
    <customShpInfo spid="_x0000_s2374"/>
    <customShpInfo spid="_x0000_s2375"/>
    <customShpInfo spid="_x0000_s2376"/>
    <customShpInfo spid="_x0000_s2377"/>
    <customShpInfo spid="_x0000_s2378"/>
    <customShpInfo spid="_x0000_s2379"/>
    <customShpInfo spid="_x0000_s2380"/>
    <customShpInfo spid="_x0000_s2381"/>
    <customShpInfo spid="_x0000_s2382"/>
    <customShpInfo spid="_x0000_s2383"/>
    <customShpInfo spid="_x0000_s2384"/>
    <customShpInfo spid="_x0000_s2385"/>
    <customShpInfo spid="_x0000_s2386"/>
    <customShpInfo spid="_x0000_s2387"/>
    <customShpInfo spid="_x0000_s2388"/>
    <customShpInfo spid="_x0000_s2389"/>
    <customShpInfo spid="_x0000_s2390"/>
    <customShpInfo spid="_x0000_s2391"/>
    <customShpInfo spid="_x0000_s2392"/>
    <customShpInfo spid="_x0000_s2393"/>
    <customShpInfo spid="_x0000_s2394"/>
    <customShpInfo spid="_x0000_s2395"/>
    <customShpInfo spid="_x0000_s2396"/>
    <customShpInfo spid="_x0000_s2397"/>
    <customShpInfo spid="_x0000_s2398"/>
    <customShpInfo spid="_x0000_s2399"/>
    <customShpInfo spid="_x0000_s2400"/>
    <customShpInfo spid="_x0000_s2401"/>
    <customShpInfo spid="_x0000_s2402"/>
    <customShpInfo spid="_x0000_s2403"/>
    <customShpInfo spid="_x0000_s2404"/>
    <customShpInfo spid="_x0000_s2405"/>
    <customShpInfo spid="_x0000_s2406"/>
    <customShpInfo spid="_x0000_s2407"/>
    <customShpInfo spid="_x0000_s2408"/>
    <customShpInfo spid="_x0000_s2328"/>
    <customShpInfo spid="_x0000_s2410"/>
    <customShpInfo spid="_x0000_s2411"/>
    <customShpInfo spid="_x0000_s2412"/>
    <customShpInfo spid="_x0000_s2413"/>
    <customShpInfo spid="_x0000_s2414"/>
    <customShpInfo spid="_x0000_s2415"/>
    <customShpInfo spid="_x0000_s2416"/>
    <customShpInfo spid="_x0000_s2417"/>
    <customShpInfo spid="_x0000_s2418"/>
    <customShpInfo spid="_x0000_s2419"/>
    <customShpInfo spid="_x0000_s2420"/>
    <customShpInfo spid="_x0000_s2421"/>
    <customShpInfo spid="_x0000_s2422"/>
    <customShpInfo spid="_x0000_s2423"/>
    <customShpInfo spid="_x0000_s2424"/>
    <customShpInfo spid="_x0000_s2425"/>
    <customShpInfo spid="_x0000_s2426"/>
    <customShpInfo spid="_x0000_s2427"/>
    <customShpInfo spid="_x0000_s2428"/>
    <customShpInfo spid="_x0000_s2429"/>
    <customShpInfo spid="_x0000_s2430"/>
    <customShpInfo spid="_x0000_s2431"/>
    <customShpInfo spid="_x0000_s2432"/>
    <customShpInfo spid="_x0000_s2433"/>
    <customShpInfo spid="_x0000_s2434"/>
    <customShpInfo spid="_x0000_s2435"/>
    <customShpInfo spid="_x0000_s2436"/>
    <customShpInfo spid="_x0000_s2437"/>
    <customShpInfo spid="_x0000_s2438"/>
    <customShpInfo spid="_x0000_s2439"/>
    <customShpInfo spid="_x0000_s2440"/>
    <customShpInfo spid="_x0000_s2441"/>
    <customShpInfo spid="_x0000_s2442"/>
    <customShpInfo spid="_x0000_s2443"/>
    <customShpInfo spid="_x0000_s2444"/>
    <customShpInfo spid="_x0000_s2445"/>
    <customShpInfo spid="_x0000_s2446"/>
    <customShpInfo spid="_x0000_s2447"/>
    <customShpInfo spid="_x0000_s2448"/>
    <customShpInfo spid="_x0000_s2449"/>
    <customShpInfo spid="_x0000_s2450"/>
    <customShpInfo spid="_x0000_s2451"/>
    <customShpInfo spid="_x0000_s2452"/>
    <customShpInfo spid="_x0000_s2453"/>
    <customShpInfo spid="_x0000_s2454"/>
    <customShpInfo spid="_x0000_s2455"/>
    <customShpInfo spid="_x0000_s2456"/>
    <customShpInfo spid="_x0000_s2457"/>
    <customShpInfo spid="_x0000_s2458"/>
    <customShpInfo spid="_x0000_s2459"/>
    <customShpInfo spid="_x0000_s2460"/>
    <customShpInfo spid="_x0000_s2461"/>
    <customShpInfo spid="_x0000_s2462"/>
    <customShpInfo spid="_x0000_s2463"/>
    <customShpInfo spid="_x0000_s2464"/>
    <customShpInfo spid="_x0000_s2465"/>
    <customShpInfo spid="_x0000_s2466"/>
    <customShpInfo spid="_x0000_s2467"/>
    <customShpInfo spid="_x0000_s2468"/>
    <customShpInfo spid="_x0000_s2469"/>
    <customShpInfo spid="_x0000_s2470"/>
    <customShpInfo spid="_x0000_s2471"/>
    <customShpInfo spid="_x0000_s2472"/>
    <customShpInfo spid="_x0000_s2473"/>
    <customShpInfo spid="_x0000_s2474"/>
    <customShpInfo spid="_x0000_s2475"/>
    <customShpInfo spid="_x0000_s2476"/>
    <customShpInfo spid="_x0000_s2477"/>
    <customShpInfo spid="_x0000_s2478"/>
    <customShpInfo spid="_x0000_s2479"/>
    <customShpInfo spid="_x0000_s2480"/>
    <customShpInfo spid="_x0000_s2481"/>
    <customShpInfo spid="_x0000_s2482"/>
    <customShpInfo spid="_x0000_s2483"/>
    <customShpInfo spid="_x0000_s2484"/>
    <customShpInfo spid="_x0000_s2485"/>
    <customShpInfo spid="_x0000_s2486"/>
    <customShpInfo spid="_x0000_s2487"/>
    <customShpInfo spid="_x0000_s2488"/>
    <customShpInfo spid="_x0000_s2489"/>
    <customShpInfo spid="_x0000_s2490"/>
    <customShpInfo spid="_x0000_s2491"/>
    <customShpInfo spid="_x0000_s2492"/>
    <customShpInfo spid="_x0000_s2493"/>
    <customShpInfo spid="_x0000_s2494"/>
    <customShpInfo spid="_x0000_s2495"/>
    <customShpInfo spid="_x0000_s2496"/>
    <customShpInfo spid="_x0000_s2497"/>
    <customShpInfo spid="_x0000_s2498"/>
    <customShpInfo spid="_x0000_s2499"/>
    <customShpInfo spid="_x0000_s2500"/>
    <customShpInfo spid="_x0000_s2501"/>
    <customShpInfo spid="_x0000_s2502"/>
    <customShpInfo spid="_x0000_s2503"/>
    <customShpInfo spid="_x0000_s2504"/>
    <customShpInfo spid="_x0000_s2505"/>
    <customShpInfo spid="_x0000_s2506"/>
    <customShpInfo spid="_x0000_s2507"/>
    <customShpInfo spid="_x0000_s2508"/>
    <customShpInfo spid="_x0000_s2509"/>
    <customShpInfo spid="_x0000_s2510"/>
    <customShpInfo spid="_x0000_s2511"/>
    <customShpInfo spid="_x0000_s2512"/>
    <customShpInfo spid="_x0000_s2513"/>
    <customShpInfo spid="_x0000_s2514"/>
    <customShpInfo spid="_x0000_s2515"/>
    <customShpInfo spid="_x0000_s2516"/>
    <customShpInfo spid="_x0000_s2517"/>
    <customShpInfo spid="_x0000_s2518"/>
    <customShpInfo spid="_x0000_s2519"/>
    <customShpInfo spid="_x0000_s2520"/>
    <customShpInfo spid="_x0000_s2521"/>
    <customShpInfo spid="_x0000_s2522"/>
    <customShpInfo spid="_x0000_s2523"/>
    <customShpInfo spid="_x0000_s2524"/>
    <customShpInfo spid="_x0000_s2525"/>
    <customShpInfo spid="_x0000_s2526"/>
    <customShpInfo spid="_x0000_s2527"/>
    <customShpInfo spid="_x0000_s2528"/>
    <customShpInfo spid="_x0000_s2529"/>
    <customShpInfo spid="_x0000_s2530"/>
    <customShpInfo spid="_x0000_s2531"/>
    <customShpInfo spid="_x0000_s2532"/>
    <customShpInfo spid="_x0000_s2533"/>
    <customShpInfo spid="_x0000_s2534"/>
    <customShpInfo spid="_x0000_s2535"/>
    <customShpInfo spid="_x0000_s2536"/>
    <customShpInfo spid="_x0000_s2537"/>
    <customShpInfo spid="_x0000_s2538"/>
    <customShpInfo spid="_x0000_s2539"/>
    <customShpInfo spid="_x0000_s2540"/>
    <customShpInfo spid="_x0000_s2541"/>
    <customShpInfo spid="_x0000_s2542"/>
    <customShpInfo spid="_x0000_s2543"/>
    <customShpInfo spid="_x0000_s2544"/>
    <customShpInfo spid="_x0000_s2545"/>
    <customShpInfo spid="_x0000_s2546"/>
    <customShpInfo spid="_x0000_s2547"/>
    <customShpInfo spid="_x0000_s2548"/>
    <customShpInfo spid="_x0000_s2549"/>
    <customShpInfo spid="_x0000_s2409"/>
    <customShpInfo spid="_x0000_s2551"/>
    <customShpInfo spid="_x0000_s2552"/>
    <customShpInfo spid="_x0000_s2553"/>
    <customShpInfo spid="_x0000_s2554"/>
    <customShpInfo spid="_x0000_s2555"/>
    <customShpInfo spid="_x0000_s2556"/>
    <customShpInfo spid="_x0000_s2557"/>
    <customShpInfo spid="_x0000_s2550"/>
    <customShpInfo spid="_x0000_s2559"/>
    <customShpInfo spid="_x0000_s2560"/>
    <customShpInfo spid="_x0000_s2561"/>
    <customShpInfo spid="_x0000_s2562"/>
    <customShpInfo spid="_x0000_s2563"/>
    <customShpInfo spid="_x0000_s2564"/>
    <customShpInfo spid="_x0000_s2565"/>
    <customShpInfo spid="_x0000_s2566"/>
    <customShpInfo spid="_x0000_s2567"/>
    <customShpInfo spid="_x0000_s2568"/>
    <customShpInfo spid="_x0000_s2569"/>
    <customShpInfo spid="_x0000_s2570"/>
    <customShpInfo spid="_x0000_s2571"/>
    <customShpInfo spid="_x0000_s2572"/>
    <customShpInfo spid="_x0000_s2573"/>
    <customShpInfo spid="_x0000_s2574"/>
    <customShpInfo spid="_x0000_s2575"/>
    <customShpInfo spid="_x0000_s2576"/>
    <customShpInfo spid="_x0000_s2577"/>
    <customShpInfo spid="_x0000_s2578"/>
    <customShpInfo spid="_x0000_s2579"/>
    <customShpInfo spid="_x0000_s2580"/>
    <customShpInfo spid="_x0000_s2581"/>
    <customShpInfo spid="_x0000_s2582"/>
    <customShpInfo spid="_x0000_s2583"/>
    <customShpInfo spid="_x0000_s2584"/>
    <customShpInfo spid="_x0000_s2585"/>
    <customShpInfo spid="_x0000_s2586"/>
    <customShpInfo spid="_x0000_s2587"/>
    <customShpInfo spid="_x0000_s2588"/>
    <customShpInfo spid="_x0000_s2589"/>
    <customShpInfo spid="_x0000_s2590"/>
    <customShpInfo spid="_x0000_s2591"/>
    <customShpInfo spid="_x0000_s2592"/>
    <customShpInfo spid="_x0000_s2593"/>
    <customShpInfo spid="_x0000_s2594"/>
    <customShpInfo spid="_x0000_s2595"/>
    <customShpInfo spid="_x0000_s2596"/>
    <customShpInfo spid="_x0000_s2597"/>
    <customShpInfo spid="_x0000_s2598"/>
    <customShpInfo spid="_x0000_s2599"/>
    <customShpInfo spid="_x0000_s2600"/>
    <customShpInfo spid="_x0000_s2601"/>
    <customShpInfo spid="_x0000_s2602"/>
    <customShpInfo spid="_x0000_s2603"/>
    <customShpInfo spid="_x0000_s2604"/>
    <customShpInfo spid="_x0000_s2605"/>
    <customShpInfo spid="_x0000_s2606"/>
    <customShpInfo spid="_x0000_s2607"/>
    <customShpInfo spid="_x0000_s2558"/>
    <customShpInfo spid="_x0000_s2609"/>
    <customShpInfo spid="_x0000_s2610"/>
    <customShpInfo spid="_x0000_s2611"/>
    <customShpInfo spid="_x0000_s2612"/>
    <customShpInfo spid="_x0000_s2613"/>
    <customShpInfo spid="_x0000_s2614"/>
    <customShpInfo spid="_x0000_s2615"/>
    <customShpInfo spid="_x0000_s2616"/>
    <customShpInfo spid="_x0000_s2617"/>
    <customShpInfo spid="_x0000_s2618"/>
    <customShpInfo spid="_x0000_s2619"/>
    <customShpInfo spid="_x0000_s2620"/>
    <customShpInfo spid="_x0000_s2621"/>
    <customShpInfo spid="_x0000_s2622"/>
    <customShpInfo spid="_x0000_s2623"/>
    <customShpInfo spid="_x0000_s2624"/>
    <customShpInfo spid="_x0000_s2625"/>
    <customShpInfo spid="_x0000_s2626"/>
    <customShpInfo spid="_x0000_s2627"/>
    <customShpInfo spid="_x0000_s2628"/>
    <customShpInfo spid="_x0000_s2629"/>
    <customShpInfo spid="_x0000_s2630"/>
    <customShpInfo spid="_x0000_s2631"/>
    <customShpInfo spid="_x0000_s2632"/>
    <customShpInfo spid="_x0000_s2633"/>
    <customShpInfo spid="_x0000_s2634"/>
    <customShpInfo spid="_x0000_s2635"/>
    <customShpInfo spid="_x0000_s2636"/>
    <customShpInfo spid="_x0000_s2637"/>
    <customShpInfo spid="_x0000_s2638"/>
    <customShpInfo spid="_x0000_s2639"/>
    <customShpInfo spid="_x0000_s2640"/>
    <customShpInfo spid="_x0000_s2641"/>
    <customShpInfo spid="_x0000_s2642"/>
    <customShpInfo spid="_x0000_s2643"/>
    <customShpInfo spid="_x0000_s2644"/>
    <customShpInfo spid="_x0000_s2645"/>
    <customShpInfo spid="_x0000_s2646"/>
    <customShpInfo spid="_x0000_s2647"/>
    <customShpInfo spid="_x0000_s2648"/>
    <customShpInfo spid="_x0000_s2649"/>
    <customShpInfo spid="_x0000_s2650"/>
    <customShpInfo spid="_x0000_s2651"/>
    <customShpInfo spid="_x0000_s2652"/>
    <customShpInfo spid="_x0000_s2653"/>
    <customShpInfo spid="_x0000_s2654"/>
    <customShpInfo spid="_x0000_s2655"/>
    <customShpInfo spid="_x0000_s2656"/>
    <customShpInfo spid="_x0000_s2657"/>
    <customShpInfo spid="_x0000_s2658"/>
    <customShpInfo spid="_x0000_s2659"/>
    <customShpInfo spid="_x0000_s2660"/>
    <customShpInfo spid="_x0000_s2661"/>
    <customShpInfo spid="_x0000_s2662"/>
    <customShpInfo spid="_x0000_s2663"/>
    <customShpInfo spid="_x0000_s2664"/>
    <customShpInfo spid="_x0000_s2665"/>
    <customShpInfo spid="_x0000_s2666"/>
    <customShpInfo spid="_x0000_s2667"/>
    <customShpInfo spid="_x0000_s2668"/>
    <customShpInfo spid="_x0000_s2669"/>
    <customShpInfo spid="_x0000_s2670"/>
    <customShpInfo spid="_x0000_s2671"/>
    <customShpInfo spid="_x0000_s2672"/>
    <customShpInfo spid="_x0000_s2673"/>
    <customShpInfo spid="_x0000_s2674"/>
    <customShpInfo spid="_x0000_s2675"/>
    <customShpInfo spid="_x0000_s2676"/>
    <customShpInfo spid="_x0000_s2677"/>
    <customShpInfo spid="_x0000_s2678"/>
    <customShpInfo spid="_x0000_s2679"/>
    <customShpInfo spid="_x0000_s2680"/>
    <customShpInfo spid="_x0000_s2681"/>
    <customShpInfo spid="_x0000_s2682"/>
    <customShpInfo spid="_x0000_s2683"/>
    <customShpInfo spid="_x0000_s2684"/>
    <customShpInfo spid="_x0000_s2685"/>
    <customShpInfo spid="_x0000_s2686"/>
    <customShpInfo spid="_x0000_s2687"/>
    <customShpInfo spid="_x0000_s2688"/>
    <customShpInfo spid="_x0000_s2689"/>
    <customShpInfo spid="_x0000_s2690"/>
    <customShpInfo spid="_x0000_s2691"/>
    <customShpInfo spid="_x0000_s2692"/>
    <customShpInfo spid="_x0000_s2693"/>
    <customShpInfo spid="_x0000_s2694"/>
    <customShpInfo spid="_x0000_s2695"/>
    <customShpInfo spid="_x0000_s2696"/>
    <customShpInfo spid="_x0000_s2697"/>
    <customShpInfo spid="_x0000_s2698"/>
    <customShpInfo spid="_x0000_s2699"/>
    <customShpInfo spid="_x0000_s2700"/>
    <customShpInfo spid="_x0000_s2701"/>
    <customShpInfo spid="_x0000_s2702"/>
    <customShpInfo spid="_x0000_s2703"/>
    <customShpInfo spid="_x0000_s2704"/>
    <customShpInfo spid="_x0000_s2705"/>
    <customShpInfo spid="_x0000_s2706"/>
    <customShpInfo spid="_x0000_s2707"/>
    <customShpInfo spid="_x0000_s2708"/>
    <customShpInfo spid="_x0000_s2709"/>
    <customShpInfo spid="_x0000_s2710"/>
    <customShpInfo spid="_x0000_s2711"/>
    <customShpInfo spid="_x0000_s2712"/>
    <customShpInfo spid="_x0000_s2713"/>
    <customShpInfo spid="_x0000_s2608"/>
    <customShpInfo spid="_x0000_s2715"/>
    <customShpInfo spid="_x0000_s2716"/>
    <customShpInfo spid="_x0000_s2717"/>
    <customShpInfo spid="_x0000_s2718"/>
    <customShpInfo spid="_x0000_s2719"/>
    <customShpInfo spid="_x0000_s2720"/>
    <customShpInfo spid="_x0000_s2721"/>
    <customShpInfo spid="_x0000_s2722"/>
    <customShpInfo spid="_x0000_s2723"/>
    <customShpInfo spid="_x0000_s2724"/>
    <customShpInfo spid="_x0000_s2725"/>
    <customShpInfo spid="_x0000_s2726"/>
    <customShpInfo spid="_x0000_s2727"/>
    <customShpInfo spid="_x0000_s2728"/>
    <customShpInfo spid="_x0000_s2729"/>
    <customShpInfo spid="_x0000_s2730"/>
    <customShpInfo spid="_x0000_s2731"/>
    <customShpInfo spid="_x0000_s2732"/>
    <customShpInfo spid="_x0000_s2733"/>
    <customShpInfo spid="_x0000_s2734"/>
    <customShpInfo spid="_x0000_s2735"/>
    <customShpInfo spid="_x0000_s2736"/>
    <customShpInfo spid="_x0000_s2737"/>
    <customShpInfo spid="_x0000_s2738"/>
    <customShpInfo spid="_x0000_s2739"/>
    <customShpInfo spid="_x0000_s2740"/>
    <customShpInfo spid="_x0000_s2741"/>
    <customShpInfo spid="_x0000_s2742"/>
    <customShpInfo spid="_x0000_s2743"/>
    <customShpInfo spid="_x0000_s2744"/>
    <customShpInfo spid="_x0000_s2745"/>
    <customShpInfo spid="_x0000_s2746"/>
    <customShpInfo spid="_x0000_s2747"/>
    <customShpInfo spid="_x0000_s2748"/>
    <customShpInfo spid="_x0000_s2749"/>
    <customShpInfo spid="_x0000_s2750"/>
    <customShpInfo spid="_x0000_s2751"/>
    <customShpInfo spid="_x0000_s2752"/>
    <customShpInfo spid="_x0000_s2753"/>
    <customShpInfo spid="_x0000_s2754"/>
    <customShpInfo spid="_x0000_s2755"/>
    <customShpInfo spid="_x0000_s2714"/>
    <customShpInfo spid="_x0000_s2757"/>
    <customShpInfo spid="_x0000_s2758"/>
    <customShpInfo spid="_x0000_s2759"/>
    <customShpInfo spid="_x0000_s2760"/>
    <customShpInfo spid="_x0000_s2761"/>
    <customShpInfo spid="_x0000_s2762"/>
    <customShpInfo spid="_x0000_s2763"/>
    <customShpInfo spid="_x0000_s2764"/>
    <customShpInfo spid="_x0000_s2765"/>
    <customShpInfo spid="_x0000_s2766"/>
    <customShpInfo spid="_x0000_s2767"/>
    <customShpInfo spid="_x0000_s2768"/>
    <customShpInfo spid="_x0000_s2769"/>
    <customShpInfo spid="_x0000_s2770"/>
    <customShpInfo spid="_x0000_s2771"/>
    <customShpInfo spid="_x0000_s2772"/>
    <customShpInfo spid="_x0000_s2773"/>
    <customShpInfo spid="_x0000_s2774"/>
    <customShpInfo spid="_x0000_s2775"/>
    <customShpInfo spid="_x0000_s2776"/>
    <customShpInfo spid="_x0000_s2777"/>
    <customShpInfo spid="_x0000_s2778"/>
    <customShpInfo spid="_x0000_s2779"/>
    <customShpInfo spid="_x0000_s2780"/>
    <customShpInfo spid="_x0000_s2781"/>
    <customShpInfo spid="_x0000_s2782"/>
    <customShpInfo spid="_x0000_s2783"/>
    <customShpInfo spid="_x0000_s2784"/>
    <customShpInfo spid="_x0000_s2785"/>
    <customShpInfo spid="_x0000_s2786"/>
    <customShpInfo spid="_x0000_s2787"/>
    <customShpInfo spid="_x0000_s2788"/>
    <customShpInfo spid="_x0000_s2789"/>
    <customShpInfo spid="_x0000_s2790"/>
    <customShpInfo spid="_x0000_s2791"/>
    <customShpInfo spid="_x0000_s2792"/>
    <customShpInfo spid="_x0000_s2793"/>
    <customShpInfo spid="_x0000_s2794"/>
    <customShpInfo spid="_x0000_s2795"/>
    <customShpInfo spid="_x0000_s2796"/>
    <customShpInfo spid="_x0000_s2797"/>
    <customShpInfo spid="_x0000_s2798"/>
    <customShpInfo spid="_x0000_s2799"/>
    <customShpInfo spid="_x0000_s2800"/>
    <customShpInfo spid="_x0000_s2801"/>
    <customShpInfo spid="_x0000_s2802"/>
    <customShpInfo spid="_x0000_s2803"/>
    <customShpInfo spid="_x0000_s2804"/>
    <customShpInfo spid="_x0000_s2805"/>
    <customShpInfo spid="_x0000_s2806"/>
    <customShpInfo spid="_x0000_s2807"/>
    <customShpInfo spid="_x0000_s2808"/>
    <customShpInfo spid="_x0000_s2809"/>
    <customShpInfo spid="_x0000_s2810"/>
    <customShpInfo spid="_x0000_s2811"/>
    <customShpInfo spid="_x0000_s2812"/>
    <customShpInfo spid="_x0000_s2813"/>
    <customShpInfo spid="_x0000_s2814"/>
    <customShpInfo spid="_x0000_s2815"/>
    <customShpInfo spid="_x0000_s2816"/>
    <customShpInfo spid="_x0000_s2817"/>
    <customShpInfo spid="_x0000_s2818"/>
    <customShpInfo spid="_x0000_s2819"/>
    <customShpInfo spid="_x0000_s2820"/>
    <customShpInfo spid="_x0000_s2821"/>
    <customShpInfo spid="_x0000_s2822"/>
    <customShpInfo spid="_x0000_s2823"/>
    <customShpInfo spid="_x0000_s2824"/>
    <customShpInfo spid="_x0000_s2825"/>
    <customShpInfo spid="_x0000_s2826"/>
    <customShpInfo spid="_x0000_s2827"/>
    <customShpInfo spid="_x0000_s2828"/>
    <customShpInfo spid="_x0000_s2829"/>
    <customShpInfo spid="_x0000_s2830"/>
    <customShpInfo spid="_x0000_s2831"/>
    <customShpInfo spid="_x0000_s2832"/>
    <customShpInfo spid="_x0000_s2833"/>
    <customShpInfo spid="_x0000_s2834"/>
    <customShpInfo spid="_x0000_s2835"/>
    <customShpInfo spid="_x0000_s2836"/>
    <customShpInfo spid="_x0000_s2837"/>
    <customShpInfo spid="_x0000_s2838"/>
    <customShpInfo spid="_x0000_s2839"/>
    <customShpInfo spid="_x0000_s2840"/>
    <customShpInfo spid="_x0000_s2841"/>
    <customShpInfo spid="_x0000_s2842"/>
    <customShpInfo spid="_x0000_s2843"/>
    <customShpInfo spid="_x0000_s2844"/>
    <customShpInfo spid="_x0000_s2845"/>
    <customShpInfo spid="_x0000_s2846"/>
    <customShpInfo spid="_x0000_s2847"/>
    <customShpInfo spid="_x0000_s2848"/>
    <customShpInfo spid="_x0000_s2849"/>
    <customShpInfo spid="_x0000_s2850"/>
    <customShpInfo spid="_x0000_s2851"/>
    <customShpInfo spid="_x0000_s2852"/>
    <customShpInfo spid="_x0000_s2853"/>
    <customShpInfo spid="_x0000_s2854"/>
    <customShpInfo spid="_x0000_s2855"/>
    <customShpInfo spid="_x0000_s2856"/>
    <customShpInfo spid="_x0000_s2857"/>
    <customShpInfo spid="_x0000_s2858"/>
    <customShpInfo spid="_x0000_s2859"/>
    <customShpInfo spid="_x0000_s2860"/>
    <customShpInfo spid="_x0000_s2861"/>
    <customShpInfo spid="_x0000_s2862"/>
    <customShpInfo spid="_x0000_s2863"/>
    <customShpInfo spid="_x0000_s2864"/>
    <customShpInfo spid="_x0000_s2865"/>
    <customShpInfo spid="_x0000_s2866"/>
    <customShpInfo spid="_x0000_s2867"/>
    <customShpInfo spid="_x0000_s2868"/>
    <customShpInfo spid="_x0000_s2869"/>
    <customShpInfo spid="_x0000_s2870"/>
    <customShpInfo spid="_x0000_s2871"/>
    <customShpInfo spid="_x0000_s2872"/>
    <customShpInfo spid="_x0000_s2873"/>
    <customShpInfo spid="_x0000_s2874"/>
    <customShpInfo spid="_x0000_s2875"/>
    <customShpInfo spid="_x0000_s2876"/>
    <customShpInfo spid="_x0000_s2877"/>
    <customShpInfo spid="_x0000_s2878"/>
    <customShpInfo spid="_x0000_s2879"/>
    <customShpInfo spid="_x0000_s2880"/>
    <customShpInfo spid="_x0000_s2881"/>
    <customShpInfo spid="_x0000_s2882"/>
    <customShpInfo spid="_x0000_s2883"/>
    <customShpInfo spid="_x0000_s2884"/>
    <customShpInfo spid="_x0000_s2885"/>
    <customShpInfo spid="_x0000_s2886"/>
    <customShpInfo spid="_x0000_s2887"/>
    <customShpInfo spid="_x0000_s2888"/>
    <customShpInfo spid="_x0000_s2889"/>
    <customShpInfo spid="_x0000_s2890"/>
    <customShpInfo spid="_x0000_s2891"/>
    <customShpInfo spid="_x0000_s2892"/>
    <customShpInfo spid="_x0000_s2893"/>
    <customShpInfo spid="_x0000_s2894"/>
    <customShpInfo spid="_x0000_s2895"/>
    <customShpInfo spid="_x0000_s2896"/>
    <customShpInfo spid="_x0000_s2897"/>
    <customShpInfo spid="_x0000_s2898"/>
    <customShpInfo spid="_x0000_s2899"/>
    <customShpInfo spid="_x0000_s2900"/>
    <customShpInfo spid="_x0000_s2901"/>
    <customShpInfo spid="_x0000_s2902"/>
    <customShpInfo spid="_x0000_s2903"/>
    <customShpInfo spid="_x0000_s2904"/>
    <customShpInfo spid="_x0000_s2905"/>
    <customShpInfo spid="_x0000_s2906"/>
    <customShpInfo spid="_x0000_s2907"/>
    <customShpInfo spid="_x0000_s2908"/>
    <customShpInfo spid="_x0000_s2909"/>
    <customShpInfo spid="_x0000_s2910"/>
    <customShpInfo spid="_x0000_s2911"/>
    <customShpInfo spid="_x0000_s2912"/>
    <customShpInfo spid="_x0000_s2913"/>
    <customShpInfo spid="_x0000_s2914"/>
    <customShpInfo spid="_x0000_s2915"/>
    <customShpInfo spid="_x0000_s2916"/>
    <customShpInfo spid="_x0000_s2917"/>
    <customShpInfo spid="_x0000_s2918"/>
    <customShpInfo spid="_x0000_s2919"/>
    <customShpInfo spid="_x0000_s2920"/>
    <customShpInfo spid="_x0000_s2921"/>
    <customShpInfo spid="_x0000_s2922"/>
    <customShpInfo spid="_x0000_s2923"/>
    <customShpInfo spid="_x0000_s2924"/>
    <customShpInfo spid="_x0000_s2925"/>
    <customShpInfo spid="_x0000_s2926"/>
    <customShpInfo spid="_x0000_s2927"/>
    <customShpInfo spid="_x0000_s2928"/>
    <customShpInfo spid="_x0000_s2929"/>
    <customShpInfo spid="_x0000_s2930"/>
    <customShpInfo spid="_x0000_s2931"/>
    <customShpInfo spid="_x0000_s2932"/>
    <customShpInfo spid="_x0000_s2933"/>
    <customShpInfo spid="_x0000_s2934"/>
    <customShpInfo spid="_x0000_s2935"/>
    <customShpInfo spid="_x0000_s2936"/>
    <customShpInfo spid="_x0000_s2937"/>
    <customShpInfo spid="_x0000_s2938"/>
    <customShpInfo spid="_x0000_s2939"/>
    <customShpInfo spid="_x0000_s2940"/>
    <customShpInfo spid="_x0000_s2941"/>
    <customShpInfo spid="_x0000_s2942"/>
    <customShpInfo spid="_x0000_s2943"/>
    <customShpInfo spid="_x0000_s2944"/>
    <customShpInfo spid="_x0000_s2945"/>
    <customShpInfo spid="_x0000_s2946"/>
    <customShpInfo spid="_x0000_s2947"/>
    <customShpInfo spid="_x0000_s2948"/>
    <customShpInfo spid="_x0000_s2949"/>
    <customShpInfo spid="_x0000_s2950"/>
    <customShpInfo spid="_x0000_s2951"/>
    <customShpInfo spid="_x0000_s2756"/>
    <customShpInfo spid="_x0000_s2952"/>
    <customShpInfo spid="_x0000_s2954"/>
    <customShpInfo spid="_x0000_s2955"/>
    <customShpInfo spid="_x0000_s2956"/>
    <customShpInfo spid="_x0000_s2957"/>
    <customShpInfo spid="_x0000_s2958"/>
    <customShpInfo spid="_x0000_s2959"/>
    <customShpInfo spid="_x0000_s2960"/>
    <customShpInfo spid="_x0000_s2961"/>
    <customShpInfo spid="_x0000_s2962"/>
    <customShpInfo spid="_x0000_s2963"/>
    <customShpInfo spid="_x0000_s2964"/>
    <customShpInfo spid="_x0000_s2965"/>
    <customShpInfo spid="_x0000_s2966"/>
    <customShpInfo spid="_x0000_s2967"/>
    <customShpInfo spid="_x0000_s2968"/>
    <customShpInfo spid="_x0000_s2969"/>
    <customShpInfo spid="_x0000_s2970"/>
    <customShpInfo spid="_x0000_s2971"/>
    <customShpInfo spid="_x0000_s2972"/>
    <customShpInfo spid="_x0000_s2973"/>
    <customShpInfo spid="_x0000_s2974"/>
    <customShpInfo spid="_x0000_s2975"/>
    <customShpInfo spid="_x0000_s2953"/>
    <customShpInfo spid="_x0000_s2977"/>
    <customShpInfo spid="_x0000_s2978"/>
    <customShpInfo spid="_x0000_s2979"/>
    <customShpInfo spid="_x0000_s2980"/>
    <customShpInfo spid="_x0000_s2981"/>
    <customShpInfo spid="_x0000_s2982"/>
    <customShpInfo spid="_x0000_s2983"/>
    <customShpInfo spid="_x0000_s2984"/>
    <customShpInfo spid="_x0000_s2985"/>
    <customShpInfo spid="_x0000_s2986"/>
    <customShpInfo spid="_x0000_s2987"/>
    <customShpInfo spid="_x0000_s2988"/>
    <customShpInfo spid="_x0000_s2989"/>
    <customShpInfo spid="_x0000_s2990"/>
    <customShpInfo spid="_x0000_s2991"/>
    <customShpInfo spid="_x0000_s2992"/>
    <customShpInfo spid="_x0000_s2993"/>
    <customShpInfo spid="_x0000_s2994"/>
    <customShpInfo spid="_x0000_s2976"/>
    <customShpInfo spid="_x0000_s2996"/>
    <customShpInfo spid="_x0000_s2997"/>
    <customShpInfo spid="_x0000_s2998"/>
    <customShpInfo spid="_x0000_s2999"/>
    <customShpInfo spid="_x0000_s3000"/>
    <customShpInfo spid="_x0000_s3001"/>
    <customShpInfo spid="_x0000_s3002"/>
    <customShpInfo spid="_x0000_s3003"/>
    <customShpInfo spid="_x0000_s3004"/>
    <customShpInfo spid="_x0000_s3005"/>
    <customShpInfo spid="_x0000_s3006"/>
    <customShpInfo spid="_x0000_s3007"/>
    <customShpInfo spid="_x0000_s3008"/>
    <customShpInfo spid="_x0000_s3009"/>
    <customShpInfo spid="_x0000_s3010"/>
    <customShpInfo spid="_x0000_s3011"/>
    <customShpInfo spid="_x0000_s3012"/>
    <customShpInfo spid="_x0000_s3013"/>
    <customShpInfo spid="_x0000_s3014"/>
    <customShpInfo spid="_x0000_s3015"/>
    <customShpInfo spid="_x0000_s3016"/>
    <customShpInfo spid="_x0000_s3017"/>
    <customShpInfo spid="_x0000_s3018"/>
    <customShpInfo spid="_x0000_s3019"/>
    <customShpInfo spid="_x0000_s3020"/>
    <customShpInfo spid="_x0000_s3021"/>
    <customShpInfo spid="_x0000_s3022"/>
    <customShpInfo spid="_x0000_s3023"/>
    <customShpInfo spid="_x0000_s3024"/>
    <customShpInfo spid="_x0000_s3025"/>
    <customShpInfo spid="_x0000_s3026"/>
    <customShpInfo spid="_x0000_s3027"/>
    <customShpInfo spid="_x0000_s3028"/>
    <customShpInfo spid="_x0000_s3029"/>
    <customShpInfo spid="_x0000_s3030"/>
    <customShpInfo spid="_x0000_s3031"/>
    <customShpInfo spid="_x0000_s3032"/>
    <customShpInfo spid="_x0000_s3033"/>
    <customShpInfo spid="_x0000_s3034"/>
    <customShpInfo spid="_x0000_s3035"/>
    <customShpInfo spid="_x0000_s3036"/>
    <customShpInfo spid="_x0000_s3037"/>
    <customShpInfo spid="_x0000_s3038"/>
    <customShpInfo spid="_x0000_s3039"/>
    <customShpInfo spid="_x0000_s3040"/>
    <customShpInfo spid="_x0000_s3041"/>
    <customShpInfo spid="_x0000_s3042"/>
    <customShpInfo spid="_x0000_s3043"/>
    <customShpInfo spid="_x0000_s3044"/>
    <customShpInfo spid="_x0000_s3045"/>
    <customShpInfo spid="_x0000_s3046"/>
    <customShpInfo spid="_x0000_s3047"/>
    <customShpInfo spid="_x0000_s3048"/>
    <customShpInfo spid="_x0000_s3049"/>
    <customShpInfo spid="_x0000_s3050"/>
    <customShpInfo spid="_x0000_s3051"/>
    <customShpInfo spid="_x0000_s2995"/>
    <customShpInfo spid="_x0000_s3053"/>
    <customShpInfo spid="_x0000_s3054"/>
    <customShpInfo spid="_x0000_s3055"/>
    <customShpInfo spid="_x0000_s3056"/>
    <customShpInfo spid="_x0000_s3057"/>
    <customShpInfo spid="_x0000_s3058"/>
    <customShpInfo spid="_x0000_s3059"/>
    <customShpInfo spid="_x0000_s3060"/>
    <customShpInfo spid="_x0000_s3061"/>
    <customShpInfo spid="_x0000_s3062"/>
    <customShpInfo spid="_x0000_s3063"/>
    <customShpInfo spid="_x0000_s3064"/>
    <customShpInfo spid="_x0000_s3065"/>
    <customShpInfo spid="_x0000_s3066"/>
    <customShpInfo spid="_x0000_s3067"/>
    <customShpInfo spid="_x0000_s3068"/>
    <customShpInfo spid="_x0000_s3069"/>
    <customShpInfo spid="_x0000_s3070"/>
    <customShpInfo spid="_x0000_s3071"/>
    <customShpInfo spid="_x0000_s4096"/>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Info spid="_x0000_s4111"/>
    <customShpInfo spid="_x0000_s4112"/>
    <customShpInfo spid="_x0000_s4113"/>
    <customShpInfo spid="_x0000_s4114"/>
    <customShpInfo spid="_x0000_s4115"/>
    <customShpInfo spid="_x0000_s4116"/>
    <customShpInfo spid="_x0000_s4117"/>
    <customShpInfo spid="_x0000_s4118"/>
    <customShpInfo spid="_x0000_s4119"/>
    <customShpInfo spid="_x0000_s4120"/>
    <customShpInfo spid="_x0000_s4121"/>
    <customShpInfo spid="_x0000_s4122"/>
    <customShpInfo spid="_x0000_s4123"/>
    <customShpInfo spid="_x0000_s4124"/>
    <customShpInfo spid="_x0000_s4125"/>
    <customShpInfo spid="_x0000_s4126"/>
    <customShpInfo spid="_x0000_s4127"/>
    <customShpInfo spid="_x0000_s4128"/>
    <customShpInfo spid="_x0000_s4129"/>
    <customShpInfo spid="_x0000_s4130"/>
    <customShpInfo spid="_x0000_s4131"/>
    <customShpInfo spid="_x0000_s4132"/>
    <customShpInfo spid="_x0000_s4133"/>
    <customShpInfo spid="_x0000_s4134"/>
    <customShpInfo spid="_x0000_s4135"/>
    <customShpInfo spid="_x0000_s4136"/>
    <customShpInfo spid="_x0000_s4137"/>
    <customShpInfo spid="_x0000_s4138"/>
    <customShpInfo spid="_x0000_s4139"/>
    <customShpInfo spid="_x0000_s4140"/>
    <customShpInfo spid="_x0000_s4141"/>
    <customShpInfo spid="_x0000_s4142"/>
    <customShpInfo spid="_x0000_s4143"/>
    <customShpInfo spid="_x0000_s4144"/>
    <customShpInfo spid="_x0000_s4145"/>
    <customShpInfo spid="_x0000_s4146"/>
    <customShpInfo spid="_x0000_s4147"/>
    <customShpInfo spid="_x0000_s4148"/>
    <customShpInfo spid="_x0000_s4149"/>
    <customShpInfo spid="_x0000_s4150"/>
    <customShpInfo spid="_x0000_s4151"/>
    <customShpInfo spid="_x0000_s4152"/>
    <customShpInfo spid="_x0000_s4153"/>
    <customShpInfo spid="_x0000_s4154"/>
    <customShpInfo spid="_x0000_s4155"/>
    <customShpInfo spid="_x0000_s4156"/>
    <customShpInfo spid="_x0000_s4157"/>
    <customShpInfo spid="_x0000_s4158"/>
    <customShpInfo spid="_x0000_s4159"/>
    <customShpInfo spid="_x0000_s4160"/>
    <customShpInfo spid="_x0000_s4161"/>
    <customShpInfo spid="_x0000_s4162"/>
    <customShpInfo spid="_x0000_s4163"/>
    <customShpInfo spid="_x0000_s4164"/>
    <customShpInfo spid="_x0000_s4165"/>
    <customShpInfo spid="_x0000_s4166"/>
    <customShpInfo spid="_x0000_s3052"/>
    <customShpInfo spid="_x0000_s4167"/>
    <customShpInfo spid="_x0000_s4168"/>
    <customShpInfo spid="_x0000_s4170"/>
    <customShpInfo spid="_x0000_s4172"/>
    <customShpInfo spid="_x0000_s4173"/>
    <customShpInfo spid="_x0000_s4171"/>
    <customShpInfo spid="_x0000_s4169"/>
    <customShpInfo spid="_x0000_s4174"/>
    <customShpInfo spid="_x0000_s4175"/>
    <customShpInfo spid="_x0000_s4176"/>
    <customShpInfo spid="_x0000_s4177"/>
    <customShpInfo spid="_x0000_s4178"/>
    <customShpInfo spid="_x0000_s4180"/>
    <customShpInfo spid="_x0000_s4181"/>
    <customShpInfo spid="_x0000_s4182"/>
    <customShpInfo spid="_x0000_s4183"/>
    <customShpInfo spid="_x0000_s4184"/>
    <customShpInfo spid="_x0000_s4185"/>
    <customShpInfo spid="_x0000_s4186"/>
    <customShpInfo spid="_x0000_s4187"/>
    <customShpInfo spid="_x0000_s4188"/>
    <customShpInfo spid="_x0000_s4189"/>
    <customShpInfo spid="_x0000_s4190"/>
    <customShpInfo spid="_x0000_s4191"/>
    <customShpInfo spid="_x0000_s4192"/>
    <customShpInfo spid="_x0000_s4193"/>
    <customShpInfo spid="_x0000_s4194"/>
    <customShpInfo spid="_x0000_s4195"/>
    <customShpInfo spid="_x0000_s4196"/>
    <customShpInfo spid="_x0000_s4197"/>
    <customShpInfo spid="_x0000_s4198"/>
    <customShpInfo spid="_x0000_s4199"/>
    <customShpInfo spid="_x0000_s4200"/>
    <customShpInfo spid="_x0000_s4201"/>
    <customShpInfo spid="_x0000_s4202"/>
    <customShpInfo spid="_x0000_s4203"/>
    <customShpInfo spid="_x0000_s4204"/>
    <customShpInfo spid="_x0000_s4205"/>
    <customShpInfo spid="_x0000_s4206"/>
    <customShpInfo spid="_x0000_s4207"/>
    <customShpInfo spid="_x0000_s4208"/>
    <customShpInfo spid="_x0000_s4209"/>
    <customShpInfo spid="_x0000_s4210"/>
    <customShpInfo spid="_x0000_s4211"/>
    <customShpInfo spid="_x0000_s4212"/>
    <customShpInfo spid="_x0000_s4213"/>
    <customShpInfo spid="_x0000_s4214"/>
    <customShpInfo spid="_x0000_s4215"/>
    <customShpInfo spid="_x0000_s4216"/>
    <customShpInfo spid="_x0000_s4217"/>
    <customShpInfo spid="_x0000_s4179"/>
    <customShpInfo spid="_x0000_s4218"/>
    <customShpInfo spid="_x0000_s4219"/>
    <customShpInfo spid="_x0000_s4220"/>
    <customShpInfo spid="_x0000_s4221"/>
    <customShpInfo spid="_x0000_s422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29126</Words>
  <Characters>166020</Characters>
  <Application>Microsoft Office Word</Application>
  <DocSecurity>0</DocSecurity>
  <Lines>1383</Lines>
  <Paragraphs>389</Paragraphs>
  <ScaleCrop>false</ScaleCrop>
  <Company>iTianKong.com</Company>
  <LinksUpToDate>false</LinksUpToDate>
  <CharactersWithSpaces>194757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概述</dc:title>
  <dc:creator>SkyUser</dc:creator>
  <cp:lastModifiedBy>beikeit.com</cp:lastModifiedBy>
  <cp:revision>10</cp:revision>
  <dcterms:created xsi:type="dcterms:W3CDTF">2017-12-11T01:55:00Z</dcterms:created>
  <dcterms:modified xsi:type="dcterms:W3CDTF">2023-06-02T04:42:00Z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